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BABF" w14:textId="77777777" w:rsidR="00A30E58" w:rsidRPr="007B2498" w:rsidRDefault="00A30E58" w:rsidP="00CA3566">
      <w:pPr>
        <w:spacing w:before="0" w:after="0"/>
        <w:jc w:val="center"/>
        <w:rPr>
          <w:rFonts w:cs="Arial"/>
          <w:b/>
        </w:rPr>
      </w:pPr>
      <w:r w:rsidRPr="007B2498"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00E5BC35" wp14:editId="00E5BC36">
            <wp:simplePos x="0" y="0"/>
            <wp:positionH relativeFrom="column">
              <wp:posOffset>2519680</wp:posOffset>
            </wp:positionH>
            <wp:positionV relativeFrom="paragraph">
              <wp:posOffset>14605</wp:posOffset>
            </wp:positionV>
            <wp:extent cx="790575" cy="55880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5BAC0" w14:textId="77777777" w:rsidR="00A30E58" w:rsidRPr="007B2498" w:rsidRDefault="00A30E58" w:rsidP="00CA3566">
      <w:pPr>
        <w:spacing w:before="0" w:after="0"/>
        <w:jc w:val="center"/>
        <w:rPr>
          <w:rFonts w:cs="Arial"/>
          <w:b/>
        </w:rPr>
      </w:pPr>
    </w:p>
    <w:p w14:paraId="00E5BAC1" w14:textId="77777777" w:rsidR="00A30E58" w:rsidRPr="007B2498" w:rsidRDefault="00A30E58" w:rsidP="00CA3566">
      <w:pPr>
        <w:spacing w:before="0" w:after="0"/>
        <w:jc w:val="center"/>
        <w:rPr>
          <w:rFonts w:cs="Arial"/>
          <w:b/>
        </w:rPr>
      </w:pPr>
    </w:p>
    <w:p w14:paraId="00E5BAC2" w14:textId="77777777" w:rsidR="00A30E58" w:rsidRPr="007B2498" w:rsidRDefault="00A30E58" w:rsidP="00CA3566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2498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00E5BAC3" w14:textId="77777777" w:rsidR="00A30E58" w:rsidRPr="007B2498" w:rsidRDefault="00A30E58" w:rsidP="00CA3566">
      <w:pPr>
        <w:spacing w:before="0" w:after="0"/>
        <w:jc w:val="center"/>
        <w:rPr>
          <w:rFonts w:asciiTheme="minorHAnsi" w:hAnsiTheme="minorHAnsi" w:cstheme="minorHAnsi"/>
          <w:b/>
        </w:rPr>
      </w:pPr>
    </w:p>
    <w:p w14:paraId="00E5BAC4" w14:textId="61FC145D" w:rsidR="00A30E58" w:rsidRPr="007B2498" w:rsidRDefault="00E043C7" w:rsidP="00CA3566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2498">
        <w:rPr>
          <w:rFonts w:asciiTheme="minorHAnsi" w:hAnsiTheme="minorHAnsi" w:cstheme="minorHAnsi"/>
          <w:b/>
          <w:sz w:val="28"/>
          <w:szCs w:val="28"/>
        </w:rPr>
        <w:t>15</w:t>
      </w:r>
      <w:r w:rsidR="00A30E58" w:rsidRPr="007B2498">
        <w:rPr>
          <w:rFonts w:asciiTheme="minorHAnsi" w:hAnsiTheme="minorHAnsi" w:cstheme="minorHAnsi"/>
          <w:b/>
          <w:sz w:val="28"/>
          <w:szCs w:val="28"/>
        </w:rPr>
        <w:t>/</w:t>
      </w:r>
      <w:r w:rsidRPr="007B2498">
        <w:rPr>
          <w:rFonts w:asciiTheme="minorHAnsi" w:hAnsiTheme="minorHAnsi" w:cstheme="minorHAnsi"/>
          <w:b/>
          <w:sz w:val="28"/>
          <w:szCs w:val="28"/>
        </w:rPr>
        <w:t>04</w:t>
      </w:r>
    </w:p>
    <w:p w14:paraId="00E5BAC5" w14:textId="77777777" w:rsidR="00A30E58" w:rsidRPr="007B2498" w:rsidRDefault="00A30E58" w:rsidP="00CA3566">
      <w:pPr>
        <w:spacing w:before="0" w:after="0"/>
        <w:jc w:val="center"/>
        <w:rPr>
          <w:rFonts w:asciiTheme="minorHAnsi" w:hAnsiTheme="minorHAnsi" w:cstheme="minorHAnsi"/>
          <w:b/>
        </w:rPr>
      </w:pPr>
    </w:p>
    <w:p w14:paraId="00E5BAC6" w14:textId="1118899A" w:rsidR="00A30E58" w:rsidRPr="007B2498" w:rsidRDefault="00E043C7" w:rsidP="00CA3566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B2498">
        <w:rPr>
          <w:rFonts w:ascii="Calibri" w:hAnsi="Calibri" w:cs="Calibri"/>
          <w:b/>
          <w:sz w:val="28"/>
          <w:szCs w:val="28"/>
        </w:rPr>
        <w:t xml:space="preserve">Peněžní prostředky určené na přípravu a realizaci projektu </w:t>
      </w:r>
      <w:r w:rsidRPr="00220F0E">
        <w:rPr>
          <w:rFonts w:ascii="Calibri" w:hAnsi="Calibri" w:cs="Calibri"/>
          <w:b/>
          <w:i/>
          <w:sz w:val="28"/>
          <w:szCs w:val="28"/>
        </w:rPr>
        <w:t>Plzeň – Evropské hlavní město kultury 2015</w:t>
      </w:r>
    </w:p>
    <w:p w14:paraId="00E5BAC7" w14:textId="77777777" w:rsidR="00A30E58" w:rsidRPr="007B2498" w:rsidRDefault="00A30E58" w:rsidP="00CA3566">
      <w:pPr>
        <w:spacing w:before="0" w:after="0"/>
        <w:rPr>
          <w:rFonts w:cs="Arial"/>
        </w:rPr>
      </w:pPr>
    </w:p>
    <w:p w14:paraId="00E5BAC8" w14:textId="77777777" w:rsidR="00A30E58" w:rsidRPr="007B2498" w:rsidRDefault="00A30E58" w:rsidP="00CA3566">
      <w:pPr>
        <w:spacing w:before="0" w:after="0"/>
        <w:rPr>
          <w:rFonts w:cs="Arial"/>
        </w:rPr>
      </w:pPr>
    </w:p>
    <w:p w14:paraId="00E5BAC9" w14:textId="58099F11" w:rsidR="00A30E58" w:rsidRPr="007B2498" w:rsidRDefault="00A30E58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spacing w:val="-2"/>
          <w:sz w:val="24"/>
          <w:szCs w:val="24"/>
        </w:rPr>
        <w:t xml:space="preserve">Kontrolní akce byla zařazena do plánu kontrolní činnosti Nejvyššího kontrolního úřadu </w:t>
      </w:r>
      <w:r w:rsidRPr="007B2498">
        <w:rPr>
          <w:rFonts w:asciiTheme="minorHAnsi" w:hAnsiTheme="minorHAnsi" w:cstheme="minorHAnsi"/>
          <w:sz w:val="24"/>
          <w:szCs w:val="24"/>
        </w:rPr>
        <w:t xml:space="preserve">(dále </w:t>
      </w:r>
      <w:r w:rsidR="009C0280" w:rsidRPr="007B2498">
        <w:rPr>
          <w:rFonts w:asciiTheme="minorHAnsi" w:hAnsiTheme="minorHAnsi" w:cstheme="minorHAnsi"/>
          <w:sz w:val="24"/>
          <w:szCs w:val="24"/>
        </w:rPr>
        <w:t>také</w:t>
      </w:r>
      <w:r w:rsidR="00E043C7" w:rsidRPr="007B2498">
        <w:rPr>
          <w:rFonts w:asciiTheme="minorHAnsi" w:hAnsiTheme="minorHAnsi" w:cstheme="minorHAnsi"/>
          <w:sz w:val="24"/>
          <w:szCs w:val="24"/>
        </w:rPr>
        <w:t xml:space="preserve"> „NKÚ“) na rok 2015 pod číslem 15</w:t>
      </w:r>
      <w:r w:rsidRPr="007B2498">
        <w:rPr>
          <w:rFonts w:asciiTheme="minorHAnsi" w:hAnsiTheme="minorHAnsi" w:cstheme="minorHAnsi"/>
          <w:sz w:val="24"/>
          <w:szCs w:val="24"/>
        </w:rPr>
        <w:t>/</w:t>
      </w:r>
      <w:r w:rsidR="00E043C7" w:rsidRPr="007B2498">
        <w:rPr>
          <w:rFonts w:asciiTheme="minorHAnsi" w:hAnsiTheme="minorHAnsi" w:cstheme="minorHAnsi"/>
          <w:sz w:val="24"/>
          <w:szCs w:val="24"/>
        </w:rPr>
        <w:t>04</w:t>
      </w:r>
      <w:r w:rsidRPr="007B2498">
        <w:rPr>
          <w:rFonts w:asciiTheme="minorHAnsi" w:hAnsiTheme="minorHAnsi" w:cstheme="minorHAnsi"/>
          <w:sz w:val="24"/>
          <w:szCs w:val="24"/>
        </w:rPr>
        <w:t xml:space="preserve">. Kontrolní akci řídil a kontrolní závěr vypracoval člen NKÚ </w:t>
      </w:r>
      <w:r w:rsidR="00E043C7" w:rsidRPr="007B2498">
        <w:rPr>
          <w:rFonts w:asciiTheme="minorHAnsi" w:hAnsiTheme="minorHAnsi" w:cstheme="minorHAnsi"/>
          <w:sz w:val="24"/>
          <w:szCs w:val="24"/>
        </w:rPr>
        <w:t xml:space="preserve">Ing. Rudolf </w:t>
      </w:r>
      <w:proofErr w:type="spellStart"/>
      <w:r w:rsidR="00E043C7" w:rsidRPr="007B2498">
        <w:rPr>
          <w:rFonts w:asciiTheme="minorHAnsi" w:hAnsiTheme="minorHAnsi" w:cstheme="minorHAnsi"/>
          <w:sz w:val="24"/>
          <w:szCs w:val="24"/>
        </w:rPr>
        <w:t>Kufa</w:t>
      </w:r>
      <w:proofErr w:type="spellEnd"/>
      <w:r w:rsidRPr="007B2498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00E5BACA" w14:textId="77777777" w:rsidR="003D5196" w:rsidRPr="007B2498" w:rsidRDefault="003D519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0E5BACB" w14:textId="4B524EE2" w:rsidR="00A3496C" w:rsidRPr="007B2498" w:rsidRDefault="00A3496C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iCs/>
          <w:sz w:val="24"/>
          <w:szCs w:val="24"/>
        </w:rPr>
        <w:t xml:space="preserve">Cílem kontroly bylo </w:t>
      </w:r>
      <w:r w:rsidR="00E043C7" w:rsidRPr="007B2498">
        <w:rPr>
          <w:rFonts w:ascii="Calibri" w:hAnsi="Calibri" w:cs="Calibri"/>
          <w:sz w:val="24"/>
          <w:szCs w:val="24"/>
        </w:rPr>
        <w:t xml:space="preserve">prověřit, zda kontrolované osoby poskytují a čerpají peněžní prostředky určené na přípravu a realizaci projektu </w:t>
      </w:r>
      <w:r w:rsidR="00E043C7" w:rsidRPr="00220F0E">
        <w:rPr>
          <w:rFonts w:ascii="Calibri" w:hAnsi="Calibri" w:cs="Calibri"/>
          <w:i/>
          <w:sz w:val="24"/>
          <w:szCs w:val="24"/>
        </w:rPr>
        <w:t>Plzeň – Evropské hlavní město kultury 2015</w:t>
      </w:r>
      <w:r w:rsidR="00E043C7" w:rsidRPr="007B2498">
        <w:rPr>
          <w:rFonts w:ascii="Calibri" w:hAnsi="Calibri" w:cs="Calibri"/>
          <w:sz w:val="24"/>
          <w:szCs w:val="24"/>
        </w:rPr>
        <w:t xml:space="preserve"> v souladu s právními předpisy a stanovenými podmínkami</w:t>
      </w:r>
      <w:r w:rsidRPr="007B2498">
        <w:rPr>
          <w:rFonts w:asciiTheme="minorHAnsi" w:hAnsiTheme="minorHAnsi" w:cstheme="minorHAnsi"/>
          <w:sz w:val="24"/>
          <w:szCs w:val="24"/>
        </w:rPr>
        <w:t>.</w:t>
      </w:r>
    </w:p>
    <w:p w14:paraId="00E5BACC" w14:textId="77777777" w:rsidR="003D5196" w:rsidRPr="007B2498" w:rsidRDefault="003D519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3E61C23" w14:textId="77777777" w:rsidR="00374E66" w:rsidRPr="007B2498" w:rsidRDefault="00374E6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sz w:val="24"/>
          <w:szCs w:val="24"/>
        </w:rPr>
        <w:t>Kontrolované osoby:</w:t>
      </w:r>
    </w:p>
    <w:p w14:paraId="5DD2728F" w14:textId="750A2AC6" w:rsidR="00374E66" w:rsidRPr="007B2498" w:rsidRDefault="00374E66" w:rsidP="00CA3566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Regionální rada regionu soudržnosti Jihozápad</w:t>
      </w:r>
      <w:r w:rsidR="00494E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E20" w:rsidRPr="007B2498">
        <w:rPr>
          <w:rFonts w:asciiTheme="minorHAnsi" w:hAnsiTheme="minorHAnsi" w:cstheme="minorHAnsi"/>
          <w:bCs/>
          <w:sz w:val="24"/>
          <w:szCs w:val="24"/>
        </w:rPr>
        <w:t xml:space="preserve">(dále také </w:t>
      </w:r>
      <w:r w:rsidR="00494E20">
        <w:rPr>
          <w:rFonts w:asciiTheme="minorHAnsi" w:hAnsiTheme="minorHAnsi" w:cstheme="minorHAnsi"/>
          <w:bCs/>
          <w:sz w:val="24"/>
          <w:szCs w:val="24"/>
        </w:rPr>
        <w:t>„</w:t>
      </w:r>
      <w:r w:rsidR="00494E20" w:rsidRPr="007B2498">
        <w:rPr>
          <w:rFonts w:asciiTheme="minorHAnsi" w:hAnsiTheme="minorHAnsi" w:cstheme="minorHAnsi"/>
          <w:bCs/>
          <w:sz w:val="24"/>
          <w:szCs w:val="24"/>
        </w:rPr>
        <w:t>RR</w:t>
      </w:r>
      <w:r w:rsidR="00494E20">
        <w:rPr>
          <w:rFonts w:asciiTheme="minorHAnsi" w:hAnsiTheme="minorHAnsi" w:cstheme="minorHAnsi"/>
          <w:bCs/>
          <w:sz w:val="24"/>
          <w:szCs w:val="24"/>
        </w:rPr>
        <w:t>“</w:t>
      </w:r>
      <w:r w:rsidR="00494E20" w:rsidRPr="007B2498">
        <w:rPr>
          <w:rFonts w:asciiTheme="minorHAnsi" w:hAnsiTheme="minorHAnsi" w:cstheme="minorHAnsi"/>
          <w:bCs/>
          <w:sz w:val="24"/>
          <w:szCs w:val="24"/>
        </w:rPr>
        <w:t>)</w:t>
      </w:r>
      <w:r w:rsidRPr="007B2498">
        <w:rPr>
          <w:rFonts w:asciiTheme="minorHAnsi" w:hAnsiTheme="minorHAnsi" w:cstheme="minorHAnsi"/>
          <w:bCs/>
          <w:sz w:val="24"/>
          <w:szCs w:val="24"/>
        </w:rPr>
        <w:t>, České Budějovice</w:t>
      </w:r>
      <w:r w:rsidR="00494E20">
        <w:rPr>
          <w:rFonts w:asciiTheme="minorHAnsi" w:hAnsiTheme="minorHAnsi" w:cstheme="minorHAnsi"/>
          <w:bCs/>
          <w:sz w:val="24"/>
          <w:szCs w:val="24"/>
        </w:rPr>
        <w:t>,</w:t>
      </w:r>
    </w:p>
    <w:p w14:paraId="6D81BDED" w14:textId="2217F1F5" w:rsidR="00374E66" w:rsidRPr="007B2498" w:rsidRDefault="00556F1F" w:rsidP="00CA3566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374E66" w:rsidRPr="007B2498">
        <w:rPr>
          <w:rFonts w:asciiTheme="minorHAnsi" w:hAnsiTheme="minorHAnsi" w:cstheme="minorHAnsi"/>
          <w:bCs/>
          <w:sz w:val="24"/>
          <w:szCs w:val="24"/>
        </w:rPr>
        <w:t>tatutární město Plzeň (dále také „město Plzeň“).</w:t>
      </w:r>
    </w:p>
    <w:p w14:paraId="25600F1B" w14:textId="77777777" w:rsidR="00374E66" w:rsidRDefault="00374E6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C83587E" w14:textId="12D877BD" w:rsidR="008911E9" w:rsidRPr="007B2498" w:rsidRDefault="0024775A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24775A">
        <w:rPr>
          <w:rFonts w:asciiTheme="minorHAnsi" w:hAnsiTheme="minorHAnsi" w:cstheme="minorHAnsi"/>
          <w:sz w:val="24"/>
          <w:szCs w:val="24"/>
        </w:rPr>
        <w:t>Kontrola byla prováděna u kontrolovan</w:t>
      </w:r>
      <w:r w:rsidR="00494E20">
        <w:rPr>
          <w:rFonts w:asciiTheme="minorHAnsi" w:hAnsiTheme="minorHAnsi" w:cstheme="minorHAnsi"/>
          <w:sz w:val="24"/>
          <w:szCs w:val="24"/>
        </w:rPr>
        <w:t>ých</w:t>
      </w:r>
      <w:r w:rsidRPr="0024775A">
        <w:rPr>
          <w:rFonts w:asciiTheme="minorHAnsi" w:hAnsiTheme="minorHAnsi" w:cstheme="minorHAnsi"/>
          <w:sz w:val="24"/>
          <w:szCs w:val="24"/>
        </w:rPr>
        <w:t xml:space="preserve"> osob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4775A">
        <w:rPr>
          <w:rFonts w:asciiTheme="minorHAnsi" w:hAnsiTheme="minorHAnsi" w:cstheme="minorHAnsi"/>
          <w:sz w:val="24"/>
          <w:szCs w:val="24"/>
        </w:rPr>
        <w:t>období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="00E043C7" w:rsidRPr="007B2498">
        <w:rPr>
          <w:rFonts w:asciiTheme="minorHAnsi" w:hAnsiTheme="minorHAnsi" w:cstheme="minorHAnsi"/>
          <w:sz w:val="24"/>
          <w:szCs w:val="24"/>
        </w:rPr>
        <w:t xml:space="preserve">d února 2015 do srpna 2015. </w:t>
      </w:r>
    </w:p>
    <w:p w14:paraId="4F0999C2" w14:textId="77777777" w:rsidR="008911E9" w:rsidRPr="007B2498" w:rsidRDefault="008911E9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499A762" w14:textId="42138963" w:rsidR="00E043C7" w:rsidRPr="007B2498" w:rsidRDefault="00E043C7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spacing w:val="-2"/>
          <w:sz w:val="24"/>
          <w:szCs w:val="24"/>
        </w:rPr>
        <w:t>K</w:t>
      </w:r>
      <w:r w:rsidR="008911E9" w:rsidRPr="007B2498">
        <w:rPr>
          <w:rFonts w:asciiTheme="minorHAnsi" w:hAnsiTheme="minorHAnsi" w:cstheme="minorHAnsi"/>
          <w:spacing w:val="-2"/>
          <w:sz w:val="24"/>
          <w:szCs w:val="24"/>
        </w:rPr>
        <w:t>ontrolovaným obdobím bylo období od roku 2008</w:t>
      </w:r>
      <w:r w:rsidRPr="007B249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911E9" w:rsidRPr="007B2498">
        <w:rPr>
          <w:rFonts w:asciiTheme="minorHAnsi" w:hAnsiTheme="minorHAnsi" w:cstheme="minorHAnsi"/>
          <w:spacing w:val="-2"/>
          <w:sz w:val="24"/>
          <w:szCs w:val="24"/>
        </w:rPr>
        <w:t>do doby ukončení kontroly</w:t>
      </w:r>
      <w:r w:rsidRPr="007B2498">
        <w:rPr>
          <w:rFonts w:asciiTheme="minorHAnsi" w:hAnsiTheme="minorHAnsi" w:cstheme="minorHAnsi"/>
          <w:sz w:val="24"/>
          <w:szCs w:val="24"/>
        </w:rPr>
        <w:t>.</w:t>
      </w:r>
    </w:p>
    <w:p w14:paraId="00E5BAD3" w14:textId="77777777" w:rsidR="000C33EE" w:rsidRPr="007B2498" w:rsidRDefault="000C33EE" w:rsidP="00CA3566">
      <w:pPr>
        <w:tabs>
          <w:tab w:val="num" w:pos="1276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0E5BAD6" w14:textId="3C92ABE8" w:rsidR="000C33EE" w:rsidRPr="007B2498" w:rsidRDefault="000C33EE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9400E6">
        <w:rPr>
          <w:rFonts w:asciiTheme="minorHAnsi" w:hAnsiTheme="minorHAnsi" w:cstheme="minorHAnsi"/>
          <w:sz w:val="24"/>
          <w:szCs w:val="24"/>
        </w:rPr>
        <w:t xml:space="preserve">Námitky proti kontrolnímu protokolu, které podaly </w:t>
      </w:r>
      <w:r w:rsidR="008911E9" w:rsidRPr="009400E6">
        <w:rPr>
          <w:rFonts w:asciiTheme="minorHAnsi" w:hAnsiTheme="minorHAnsi" w:cstheme="minorHAnsi"/>
          <w:sz w:val="24"/>
          <w:szCs w:val="24"/>
        </w:rPr>
        <w:t>město Plzeň</w:t>
      </w:r>
      <w:r w:rsidRPr="009400E6">
        <w:rPr>
          <w:rFonts w:asciiTheme="minorHAnsi" w:hAnsiTheme="minorHAnsi" w:cstheme="minorHAnsi"/>
          <w:sz w:val="24"/>
          <w:szCs w:val="24"/>
        </w:rPr>
        <w:t xml:space="preserve"> a </w:t>
      </w:r>
      <w:r w:rsidR="00584D81" w:rsidRPr="009400E6">
        <w:rPr>
          <w:rFonts w:asciiTheme="minorHAnsi" w:hAnsiTheme="minorHAnsi" w:cstheme="minorHAnsi"/>
          <w:sz w:val="24"/>
          <w:szCs w:val="24"/>
        </w:rPr>
        <w:t>RR</w:t>
      </w:r>
      <w:r w:rsidR="00DF27F3" w:rsidRPr="009400E6">
        <w:rPr>
          <w:rFonts w:asciiTheme="minorHAnsi" w:hAnsiTheme="minorHAnsi" w:cstheme="minorHAnsi"/>
          <w:sz w:val="24"/>
          <w:szCs w:val="24"/>
        </w:rPr>
        <w:t>,</w:t>
      </w:r>
      <w:r w:rsidRPr="009400E6">
        <w:rPr>
          <w:rFonts w:asciiTheme="minorHAnsi" w:hAnsiTheme="minorHAnsi" w:cstheme="minorHAnsi"/>
          <w:sz w:val="24"/>
          <w:szCs w:val="24"/>
        </w:rPr>
        <w:t xml:space="preserve"> byly vypořádány vedoucími skupin kontrolujících rozhodnutími o námitkách. Odvolání</w:t>
      </w:r>
      <w:r w:rsidR="009400E6" w:rsidRPr="009400E6">
        <w:rPr>
          <w:rFonts w:asciiTheme="minorHAnsi" w:hAnsiTheme="minorHAnsi" w:cstheme="minorHAnsi"/>
          <w:sz w:val="24"/>
          <w:szCs w:val="24"/>
        </w:rPr>
        <w:t>, které</w:t>
      </w:r>
      <w:r w:rsidRPr="009400E6">
        <w:rPr>
          <w:rFonts w:asciiTheme="minorHAnsi" w:hAnsiTheme="minorHAnsi" w:cstheme="minorHAnsi"/>
          <w:sz w:val="24"/>
          <w:szCs w:val="24"/>
        </w:rPr>
        <w:t xml:space="preserve"> proti rozhodnutí </w:t>
      </w:r>
      <w:r w:rsidR="005F65D2" w:rsidRPr="009400E6">
        <w:rPr>
          <w:rFonts w:asciiTheme="minorHAnsi" w:hAnsiTheme="minorHAnsi" w:cstheme="minorHAnsi"/>
          <w:sz w:val="24"/>
          <w:szCs w:val="24"/>
        </w:rPr>
        <w:t>o námitkách</w:t>
      </w:r>
      <w:r w:rsidR="009400E6" w:rsidRPr="009400E6">
        <w:rPr>
          <w:rFonts w:asciiTheme="minorHAnsi" w:hAnsiTheme="minorHAnsi" w:cstheme="minorHAnsi"/>
          <w:sz w:val="24"/>
          <w:szCs w:val="24"/>
        </w:rPr>
        <w:t xml:space="preserve"> podalo</w:t>
      </w:r>
      <w:r w:rsidR="00EB558C" w:rsidRPr="009400E6">
        <w:rPr>
          <w:rFonts w:asciiTheme="minorHAnsi" w:hAnsiTheme="minorHAnsi" w:cstheme="minorHAnsi"/>
          <w:sz w:val="24"/>
          <w:szCs w:val="24"/>
        </w:rPr>
        <w:t xml:space="preserve"> </w:t>
      </w:r>
      <w:r w:rsidR="009400E6" w:rsidRPr="009400E6">
        <w:rPr>
          <w:rFonts w:asciiTheme="minorHAnsi" w:hAnsiTheme="minorHAnsi" w:cstheme="minorHAnsi"/>
          <w:sz w:val="24"/>
          <w:szCs w:val="24"/>
        </w:rPr>
        <w:t>město Plzeň, bylo vypořádáno usnesením</w:t>
      </w:r>
      <w:r w:rsidRPr="009400E6">
        <w:rPr>
          <w:rFonts w:asciiTheme="minorHAnsi" w:hAnsiTheme="minorHAnsi" w:cstheme="minorHAnsi"/>
          <w:sz w:val="24"/>
          <w:szCs w:val="24"/>
        </w:rPr>
        <w:t xml:space="preserve"> Kolegia NKÚ.</w:t>
      </w:r>
    </w:p>
    <w:p w14:paraId="00E5BAD7" w14:textId="77777777" w:rsidR="00A30E58" w:rsidRPr="007B2498" w:rsidRDefault="00A30E58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D501E5F" w14:textId="77777777" w:rsidR="00FE6AE6" w:rsidRDefault="00FE6AE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0E5BAD9" w14:textId="77258713" w:rsidR="0044406D" w:rsidRPr="007B2498" w:rsidRDefault="0044406D" w:rsidP="00CA3566">
      <w:pPr>
        <w:spacing w:before="0"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gramStart"/>
      <w:r w:rsidRPr="007B2498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Kolegium</w:t>
      </w:r>
      <w:r w:rsidRPr="007B249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7B2498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NKÚ</w:t>
      </w:r>
      <w:proofErr w:type="gramEnd"/>
      <w:r w:rsidRPr="007B249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na svém </w:t>
      </w:r>
      <w:r w:rsidR="002972E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XVI. </w:t>
      </w:r>
      <w:r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>jednání, které se konalo</w:t>
      </w:r>
      <w:r w:rsidR="008911E9"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dne </w:t>
      </w:r>
      <w:r w:rsidR="005617F9" w:rsidRPr="002972E2">
        <w:rPr>
          <w:rFonts w:ascii="Calibri" w:eastAsia="Times New Roman" w:hAnsi="Calibri" w:cs="Calibri"/>
          <w:color w:val="000000" w:themeColor="text1"/>
          <w:sz w:val="24"/>
          <w:szCs w:val="24"/>
        </w:rPr>
        <w:t>30</w:t>
      </w:r>
      <w:r w:rsidRPr="002972E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00422F01" w:rsidRPr="002972E2">
        <w:rPr>
          <w:rFonts w:ascii="Calibri" w:eastAsia="Times New Roman" w:hAnsi="Calibri" w:cs="Calibri"/>
          <w:color w:val="000000" w:themeColor="text1"/>
          <w:sz w:val="24"/>
          <w:szCs w:val="24"/>
        </w:rPr>
        <w:t>listopadu</w:t>
      </w:r>
      <w:r w:rsidR="008911E9"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2015</w:t>
      </w:r>
      <w:r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</w:p>
    <w:p w14:paraId="00E5BADA" w14:textId="4F58DBFD" w:rsidR="0044406D" w:rsidRPr="007B2498" w:rsidRDefault="0044406D" w:rsidP="00CA3566">
      <w:pPr>
        <w:spacing w:before="0"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gramStart"/>
      <w:r w:rsidRPr="007B2498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schválilo</w:t>
      </w:r>
      <w:r w:rsidRPr="007B249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>usnesením</w:t>
      </w:r>
      <w:proofErr w:type="gramEnd"/>
      <w:r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č</w:t>
      </w:r>
      <w:r w:rsidR="002972E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00613D14">
        <w:rPr>
          <w:rFonts w:ascii="Calibri" w:eastAsia="Times New Roman" w:hAnsi="Calibri" w:cs="Calibri"/>
          <w:color w:val="000000" w:themeColor="text1"/>
          <w:sz w:val="24"/>
          <w:szCs w:val="24"/>
        </w:rPr>
        <w:t>9</w:t>
      </w:r>
      <w:r w:rsidR="002972E2">
        <w:rPr>
          <w:rFonts w:ascii="Calibri" w:eastAsia="Times New Roman" w:hAnsi="Calibri" w:cs="Calibri"/>
          <w:color w:val="000000" w:themeColor="text1"/>
          <w:sz w:val="24"/>
          <w:szCs w:val="24"/>
        </w:rPr>
        <w:t>/XVI</w:t>
      </w:r>
      <w:r w:rsidR="008911E9"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>/2015</w:t>
      </w:r>
    </w:p>
    <w:p w14:paraId="00E5BADB" w14:textId="77777777" w:rsidR="0044406D" w:rsidRPr="007B2498" w:rsidRDefault="0044406D" w:rsidP="00CA3566">
      <w:pPr>
        <w:spacing w:before="0"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gramStart"/>
      <w:r w:rsidRPr="007B2498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kontrolní</w:t>
      </w:r>
      <w:r w:rsidRPr="007B249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7B2498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závěr</w:t>
      </w:r>
      <w:proofErr w:type="gramEnd"/>
      <w:r w:rsidRPr="007B249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="004C76CF"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>v </w:t>
      </w:r>
      <w:r w:rsidRPr="007B2498">
        <w:rPr>
          <w:rFonts w:ascii="Calibri" w:eastAsia="Times New Roman" w:hAnsi="Calibri" w:cs="Calibri"/>
          <w:color w:val="000000" w:themeColor="text1"/>
          <w:sz w:val="24"/>
          <w:szCs w:val="24"/>
        </w:rPr>
        <w:t>tomto znění:</w:t>
      </w:r>
    </w:p>
    <w:p w14:paraId="4EF33B55" w14:textId="64380C29" w:rsidR="008911E9" w:rsidRPr="007B2498" w:rsidRDefault="008911E9" w:rsidP="00CA3566">
      <w:pPr>
        <w:spacing w:before="0" w:after="0"/>
        <w:rPr>
          <w:rFonts w:asciiTheme="minorHAnsi" w:hAnsiTheme="minorHAnsi" w:cstheme="minorHAnsi"/>
          <w:b/>
          <w:sz w:val="26"/>
          <w:szCs w:val="26"/>
        </w:rPr>
      </w:pPr>
      <w:r w:rsidRPr="007B2498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00E5BADC" w14:textId="24F020EC" w:rsidR="00A30E58" w:rsidRPr="007B2498" w:rsidRDefault="006840E5" w:rsidP="00CA3566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2498">
        <w:rPr>
          <w:rFonts w:asciiTheme="minorHAnsi" w:hAnsiTheme="minorHAnsi" w:cstheme="minorHAnsi"/>
          <w:b/>
          <w:sz w:val="26"/>
          <w:szCs w:val="26"/>
        </w:rPr>
        <w:lastRenderedPageBreak/>
        <w:t>I. Úvod</w:t>
      </w:r>
    </w:p>
    <w:p w14:paraId="00E5BADD" w14:textId="77777777" w:rsidR="00A30E58" w:rsidRPr="007B2498" w:rsidRDefault="00A30E58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4D1125F" w14:textId="777DF5CB" w:rsidR="00AA482B" w:rsidRDefault="00AA482B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sz w:val="24"/>
          <w:szCs w:val="24"/>
        </w:rPr>
        <w:t>RR je právnická osoba zřízená v územním obvodu statistické jednotky NUTS</w:t>
      </w:r>
      <w:r w:rsidR="00494E20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II Jihozápad zákonem č. 248/2000 Sb</w:t>
      </w:r>
      <w:r w:rsidR="004357EF" w:rsidRPr="007B2498">
        <w:rPr>
          <w:rFonts w:asciiTheme="minorHAnsi" w:hAnsiTheme="minorHAnsi" w:cstheme="minorHAnsi"/>
          <w:sz w:val="24"/>
          <w:szCs w:val="24"/>
        </w:rPr>
        <w:t>.</w:t>
      </w:r>
      <w:r w:rsidR="004357EF" w:rsidRPr="007B2498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7B2498">
        <w:rPr>
          <w:rFonts w:asciiTheme="minorHAnsi" w:hAnsiTheme="minorHAnsi" w:cstheme="minorHAnsi"/>
          <w:sz w:val="24"/>
          <w:szCs w:val="24"/>
        </w:rPr>
        <w:t xml:space="preserve"> RR je říd</w:t>
      </w:r>
      <w:r w:rsidR="00876687">
        <w:rPr>
          <w:rFonts w:asciiTheme="minorHAnsi" w:hAnsiTheme="minorHAnsi" w:cstheme="minorHAnsi"/>
          <w:sz w:val="24"/>
          <w:szCs w:val="24"/>
        </w:rPr>
        <w:t>i</w:t>
      </w:r>
      <w:r w:rsidRPr="007B2498">
        <w:rPr>
          <w:rFonts w:asciiTheme="minorHAnsi" w:hAnsiTheme="minorHAnsi" w:cstheme="minorHAnsi"/>
          <w:sz w:val="24"/>
          <w:szCs w:val="24"/>
        </w:rPr>
        <w:t xml:space="preserve">cím orgánem </w:t>
      </w:r>
      <w:r w:rsidRPr="00220F0E">
        <w:rPr>
          <w:rFonts w:asciiTheme="minorHAnsi" w:hAnsiTheme="minorHAnsi" w:cstheme="minorHAnsi"/>
          <w:i/>
          <w:sz w:val="24"/>
          <w:szCs w:val="24"/>
        </w:rPr>
        <w:t>Regionálního operačního programu regionu soudržnosti Jihozápad</w:t>
      </w:r>
      <w:r w:rsidRPr="007B2498">
        <w:rPr>
          <w:rFonts w:asciiTheme="minorHAnsi" w:hAnsiTheme="minorHAnsi" w:cstheme="minorHAnsi"/>
          <w:sz w:val="24"/>
          <w:szCs w:val="24"/>
        </w:rPr>
        <w:t xml:space="preserve"> (dále</w:t>
      </w:r>
      <w:r w:rsidR="00F77519">
        <w:rPr>
          <w:rFonts w:asciiTheme="minorHAnsi" w:hAnsiTheme="minorHAnsi" w:cstheme="minorHAnsi"/>
          <w:sz w:val="24"/>
          <w:szCs w:val="24"/>
        </w:rPr>
        <w:t xml:space="preserve"> také „ROP Jihozápad“), vymezeného</w:t>
      </w:r>
      <w:r w:rsidRPr="007B2498">
        <w:rPr>
          <w:rFonts w:asciiTheme="minorHAnsi" w:hAnsiTheme="minorHAnsi" w:cstheme="minorHAnsi"/>
          <w:sz w:val="24"/>
          <w:szCs w:val="24"/>
        </w:rPr>
        <w:t xml:space="preserve"> územím Jihočeského a</w:t>
      </w:r>
      <w:r w:rsidR="00BD760B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Plzeňského kraje. RR hospodaří podle vlastního rozpočtu a je účetní jednotkou.</w:t>
      </w:r>
      <w:r w:rsidR="00800EE9" w:rsidRPr="007B2498">
        <w:rPr>
          <w:rFonts w:asciiTheme="minorHAnsi" w:hAnsiTheme="minorHAnsi" w:cstheme="minorHAnsi"/>
          <w:sz w:val="24"/>
          <w:szCs w:val="24"/>
        </w:rPr>
        <w:t xml:space="preserve"> RR byla v kontrolované činnosti v postavení poskytovatele dotace.</w:t>
      </w:r>
    </w:p>
    <w:p w14:paraId="513509E6" w14:textId="77777777" w:rsidR="00CA3566" w:rsidRPr="007B2498" w:rsidRDefault="00CA356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0B59E42" w14:textId="2BB060A5" w:rsidR="00AA482B" w:rsidRDefault="00AA482B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sz w:val="24"/>
          <w:szCs w:val="24"/>
        </w:rPr>
        <w:t>Město Plzeň je územn</w:t>
      </w:r>
      <w:r w:rsidR="00494E20">
        <w:rPr>
          <w:rFonts w:asciiTheme="minorHAnsi" w:hAnsiTheme="minorHAnsi" w:cstheme="minorHAnsi"/>
          <w:sz w:val="24"/>
          <w:szCs w:val="24"/>
        </w:rPr>
        <w:t>í</w:t>
      </w:r>
      <w:r w:rsidRPr="007B2498">
        <w:rPr>
          <w:rFonts w:asciiTheme="minorHAnsi" w:hAnsiTheme="minorHAnsi" w:cstheme="minorHAnsi"/>
          <w:sz w:val="24"/>
          <w:szCs w:val="24"/>
        </w:rPr>
        <w:t xml:space="preserve"> samosprávný celek plnící úkoly v oblasti územní samosprávy a státní správy. Postavení a působnost města Plzně upravuje zákon č. 128/2000 Sb</w:t>
      </w:r>
      <w:r w:rsidR="004357EF" w:rsidRPr="007B2498">
        <w:rPr>
          <w:rFonts w:asciiTheme="minorHAnsi" w:hAnsiTheme="minorHAnsi" w:cstheme="minorHAnsi"/>
          <w:sz w:val="24"/>
          <w:szCs w:val="24"/>
        </w:rPr>
        <w:t>.</w:t>
      </w:r>
      <w:r w:rsidR="004357EF" w:rsidRPr="007B2498">
        <w:rPr>
          <w:rStyle w:val="Znakapoznpodarou"/>
          <w:rFonts w:asciiTheme="minorHAnsi" w:hAnsiTheme="minorHAnsi" w:cstheme="minorHAnsi"/>
          <w:sz w:val="24"/>
          <w:szCs w:val="24"/>
        </w:rPr>
        <w:footnoteReference w:id="2"/>
      </w:r>
      <w:r w:rsidR="004357EF" w:rsidRPr="007B2498">
        <w:rPr>
          <w:rFonts w:asciiTheme="minorHAnsi" w:hAnsiTheme="minorHAnsi" w:cstheme="minorHAnsi"/>
          <w:sz w:val="24"/>
          <w:szCs w:val="24"/>
        </w:rPr>
        <w:t xml:space="preserve"> </w:t>
      </w:r>
      <w:r w:rsidRPr="007B2498">
        <w:rPr>
          <w:rFonts w:asciiTheme="minorHAnsi" w:hAnsiTheme="minorHAnsi" w:cstheme="minorHAnsi"/>
          <w:sz w:val="24"/>
          <w:szCs w:val="24"/>
        </w:rPr>
        <w:t>Město Plzeň j</w:t>
      </w:r>
      <w:r w:rsidR="00800EE9" w:rsidRPr="007B2498">
        <w:rPr>
          <w:rFonts w:asciiTheme="minorHAnsi" w:hAnsiTheme="minorHAnsi" w:cstheme="minorHAnsi"/>
          <w:sz w:val="24"/>
          <w:szCs w:val="24"/>
        </w:rPr>
        <w:t>e právnická osoba hospodařící s</w:t>
      </w:r>
      <w:r w:rsidRPr="007B2498">
        <w:rPr>
          <w:rFonts w:asciiTheme="minorHAnsi" w:hAnsiTheme="minorHAnsi" w:cstheme="minorHAnsi"/>
          <w:sz w:val="24"/>
          <w:szCs w:val="24"/>
        </w:rPr>
        <w:t xml:space="preserve"> </w:t>
      </w:r>
      <w:r w:rsidR="00800EE9" w:rsidRPr="007B2498">
        <w:rPr>
          <w:rFonts w:asciiTheme="minorHAnsi" w:hAnsiTheme="minorHAnsi" w:cstheme="minorHAnsi"/>
          <w:sz w:val="24"/>
          <w:szCs w:val="24"/>
        </w:rPr>
        <w:t>vlastním</w:t>
      </w:r>
      <w:r w:rsidRPr="007B2498">
        <w:rPr>
          <w:rFonts w:asciiTheme="minorHAnsi" w:hAnsiTheme="minorHAnsi" w:cstheme="minorHAnsi"/>
          <w:sz w:val="24"/>
          <w:szCs w:val="24"/>
        </w:rPr>
        <w:t xml:space="preserve"> majetkem a je účetní jednotkou. </w:t>
      </w:r>
      <w:r w:rsidR="00800EE9" w:rsidRPr="007B2498">
        <w:rPr>
          <w:rFonts w:asciiTheme="minorHAnsi" w:hAnsiTheme="minorHAnsi" w:cstheme="minorHAnsi"/>
          <w:sz w:val="24"/>
          <w:szCs w:val="24"/>
        </w:rPr>
        <w:t>Rada EU jmenovala v</w:t>
      </w:r>
      <w:r w:rsidRPr="007B2498">
        <w:rPr>
          <w:rFonts w:asciiTheme="minorHAnsi" w:hAnsiTheme="minorHAnsi" w:cstheme="minorHAnsi"/>
          <w:sz w:val="24"/>
          <w:szCs w:val="24"/>
        </w:rPr>
        <w:t xml:space="preserve"> roce 2011 město Plzeň </w:t>
      </w:r>
      <w:r w:rsidR="00556F1F">
        <w:rPr>
          <w:rFonts w:asciiTheme="minorHAnsi" w:hAnsiTheme="minorHAnsi" w:cstheme="minorHAnsi"/>
          <w:sz w:val="24"/>
          <w:szCs w:val="24"/>
        </w:rPr>
        <w:t>e</w:t>
      </w:r>
      <w:r w:rsidRPr="007B2498">
        <w:rPr>
          <w:rFonts w:asciiTheme="minorHAnsi" w:hAnsiTheme="minorHAnsi" w:cstheme="minorHAnsi"/>
          <w:sz w:val="24"/>
          <w:szCs w:val="24"/>
        </w:rPr>
        <w:t>vropským hlavním městem kultury pro rok 2015.</w:t>
      </w:r>
      <w:r w:rsidR="00800EE9" w:rsidRPr="007B2498">
        <w:rPr>
          <w:rFonts w:asciiTheme="minorHAnsi" w:hAnsiTheme="minorHAnsi" w:cstheme="minorHAnsi"/>
          <w:sz w:val="24"/>
          <w:szCs w:val="24"/>
        </w:rPr>
        <w:t xml:space="preserve"> Město Plzeň bylo v kontrolované činnosti v postavení příjemce dotace.</w:t>
      </w:r>
    </w:p>
    <w:p w14:paraId="7AC99BB6" w14:textId="77777777" w:rsidR="00CA3566" w:rsidRPr="007B2498" w:rsidRDefault="00CA356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342989F" w14:textId="07BD527E" w:rsidR="0008264D" w:rsidRDefault="0008264D" w:rsidP="00CA3566">
      <w:pPr>
        <w:spacing w:before="0" w:after="0"/>
        <w:rPr>
          <w:rFonts w:asciiTheme="minorHAnsi" w:hAnsiTheme="minorHAnsi" w:cs="Calibri"/>
          <w:sz w:val="24"/>
          <w:szCs w:val="24"/>
        </w:rPr>
      </w:pPr>
      <w:r w:rsidRPr="007B2498">
        <w:rPr>
          <w:rFonts w:asciiTheme="minorHAnsi" w:hAnsiTheme="minorHAnsi" w:cstheme="minorHAnsi"/>
          <w:sz w:val="24"/>
          <w:szCs w:val="24"/>
        </w:rPr>
        <w:t xml:space="preserve">NKÚ kontrolou prověřil peněžní prostředky EU poskytnuté z </w:t>
      </w:r>
      <w:r w:rsidR="00AA482B" w:rsidRPr="007B2498">
        <w:rPr>
          <w:rFonts w:asciiTheme="minorHAnsi" w:hAnsiTheme="minorHAnsi" w:cstheme="minorHAnsi"/>
          <w:sz w:val="24"/>
          <w:szCs w:val="24"/>
        </w:rPr>
        <w:t>ROP Jihozápad</w:t>
      </w:r>
      <w:r w:rsidRPr="007B2498">
        <w:rPr>
          <w:rFonts w:asciiTheme="minorHAnsi" w:hAnsiTheme="minorHAnsi" w:cstheme="minorHAnsi"/>
          <w:sz w:val="24"/>
          <w:szCs w:val="24"/>
        </w:rPr>
        <w:t xml:space="preserve"> na vybrané dílčí projekty v rámci projektu </w:t>
      </w:r>
      <w:r w:rsidRPr="00220F0E">
        <w:rPr>
          <w:rFonts w:asciiTheme="minorHAnsi" w:hAnsiTheme="minorHAnsi" w:cstheme="minorHAnsi"/>
          <w:i/>
          <w:sz w:val="24"/>
          <w:szCs w:val="24"/>
        </w:rPr>
        <w:t>Plzeň – Evropské hlavní město kultury 2015</w:t>
      </w:r>
      <w:r w:rsidRPr="007B2498">
        <w:rPr>
          <w:rFonts w:asciiTheme="minorHAnsi" w:hAnsiTheme="minorHAnsi" w:cstheme="minorHAnsi"/>
          <w:sz w:val="24"/>
          <w:szCs w:val="24"/>
        </w:rPr>
        <w:t>.</w:t>
      </w:r>
      <w:r w:rsidR="00EC0AB6" w:rsidRPr="007B2498">
        <w:rPr>
          <w:rFonts w:asciiTheme="minorHAnsi" w:hAnsiTheme="minorHAnsi" w:cstheme="minorHAnsi"/>
          <w:sz w:val="24"/>
          <w:szCs w:val="24"/>
        </w:rPr>
        <w:t xml:space="preserve"> </w:t>
      </w:r>
      <w:r w:rsidRPr="007B2498">
        <w:rPr>
          <w:rFonts w:asciiTheme="minorHAnsi" w:hAnsiTheme="minorHAnsi" w:cs="Calibri"/>
          <w:sz w:val="24"/>
          <w:szCs w:val="24"/>
        </w:rPr>
        <w:t>Předmětem kontroly byly peněžní prostředky určené na investiční</w:t>
      </w:r>
      <w:r w:rsidR="0060179B">
        <w:rPr>
          <w:rFonts w:asciiTheme="minorHAnsi" w:hAnsiTheme="minorHAnsi" w:cs="Calibri"/>
          <w:sz w:val="24"/>
          <w:szCs w:val="24"/>
        </w:rPr>
        <w:t xml:space="preserve"> projekty schválené na základě </w:t>
      </w:r>
      <w:r w:rsidR="00494E20">
        <w:rPr>
          <w:rFonts w:asciiTheme="minorHAnsi" w:hAnsiTheme="minorHAnsi" w:cs="Calibri"/>
          <w:sz w:val="24"/>
          <w:szCs w:val="24"/>
        </w:rPr>
        <w:t>„</w:t>
      </w:r>
      <w:r w:rsidRPr="007B2498">
        <w:rPr>
          <w:rFonts w:asciiTheme="minorHAnsi" w:hAnsiTheme="minorHAnsi" w:cs="Calibri"/>
          <w:i/>
          <w:sz w:val="24"/>
          <w:szCs w:val="24"/>
        </w:rPr>
        <w:t>Kontinuální výzvy k předkládání žádostí dílčích projektů v rámci Integrovaného plánu rozvoje města Plzně Plzeň – Evropské hlavní město kultury 2015</w:t>
      </w:r>
      <w:r w:rsidR="005617F9">
        <w:rPr>
          <w:rFonts w:asciiTheme="minorHAnsi" w:hAnsiTheme="minorHAnsi" w:cs="Calibri"/>
          <w:sz w:val="24"/>
          <w:szCs w:val="24"/>
        </w:rPr>
        <w:t>“.</w:t>
      </w:r>
    </w:p>
    <w:p w14:paraId="2367892F" w14:textId="77777777" w:rsidR="00CA3566" w:rsidRPr="007B2498" w:rsidRDefault="00CA3566" w:rsidP="00CA356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CE5BBF1" w14:textId="05126F10" w:rsidR="0008264D" w:rsidRDefault="0008264D" w:rsidP="00CA3566">
      <w:pPr>
        <w:pStyle w:val="Normlnweb"/>
        <w:jc w:val="both"/>
        <w:rPr>
          <w:rFonts w:asciiTheme="minorHAnsi" w:hAnsiTheme="minorHAnsi" w:cstheme="minorHAnsi"/>
          <w:bCs/>
          <w:lang w:eastAsia="cs-CZ"/>
        </w:rPr>
      </w:pPr>
      <w:r w:rsidRPr="007B2498">
        <w:rPr>
          <w:rFonts w:asciiTheme="minorHAnsi" w:hAnsiTheme="minorHAnsi" w:cstheme="minorHAnsi"/>
          <w:bCs/>
        </w:rPr>
        <w:t xml:space="preserve">Integrovaný plán rozvoje města (dále také „IPRM“) </w:t>
      </w:r>
      <w:r w:rsidR="00967035" w:rsidRPr="007B2498">
        <w:rPr>
          <w:rFonts w:asciiTheme="minorHAnsi" w:hAnsiTheme="minorHAnsi" w:cstheme="minorHAnsi"/>
          <w:bCs/>
          <w:lang w:eastAsia="cs-CZ"/>
        </w:rPr>
        <w:t>byl</w:t>
      </w:r>
      <w:r w:rsidRPr="007B2498">
        <w:rPr>
          <w:rFonts w:asciiTheme="minorHAnsi" w:hAnsiTheme="minorHAnsi" w:cstheme="minorHAnsi"/>
          <w:bCs/>
          <w:lang w:eastAsia="cs-CZ"/>
        </w:rPr>
        <w:t xml:space="preserve"> základním koordinačním rámcem navazujícím na celkovou vizi a strategii rozvoje města za účelem identifikace a řešení problémů rozvojových oblastí města v návaznosti na využití podpory ze strukturálních fondů EU v programov</w:t>
      </w:r>
      <w:r w:rsidR="00494E20">
        <w:rPr>
          <w:rFonts w:asciiTheme="minorHAnsi" w:hAnsiTheme="minorHAnsi" w:cstheme="minorHAnsi"/>
          <w:bCs/>
          <w:lang w:eastAsia="cs-CZ"/>
        </w:rPr>
        <w:t>ém</w:t>
      </w:r>
      <w:r w:rsidRPr="007B2498">
        <w:rPr>
          <w:rFonts w:asciiTheme="minorHAnsi" w:hAnsiTheme="minorHAnsi" w:cstheme="minorHAnsi"/>
          <w:bCs/>
          <w:lang w:eastAsia="cs-CZ"/>
        </w:rPr>
        <w:t xml:space="preserve"> období 2007</w:t>
      </w:r>
      <w:r w:rsidR="00AE006D">
        <w:rPr>
          <w:rFonts w:asciiTheme="minorHAnsi" w:hAnsiTheme="minorHAnsi" w:cstheme="minorHAnsi"/>
          <w:bCs/>
          <w:lang w:eastAsia="cs-CZ"/>
        </w:rPr>
        <w:t>–</w:t>
      </w:r>
      <w:r w:rsidRPr="007B2498">
        <w:rPr>
          <w:rFonts w:asciiTheme="minorHAnsi" w:hAnsiTheme="minorHAnsi" w:cstheme="minorHAnsi"/>
          <w:bCs/>
          <w:lang w:eastAsia="cs-CZ"/>
        </w:rPr>
        <w:t xml:space="preserve">2013. </w:t>
      </w:r>
      <w:r w:rsidRPr="007B2498">
        <w:rPr>
          <w:rFonts w:asciiTheme="minorHAnsi" w:hAnsiTheme="minorHAnsi" w:cstheme="minorHAnsi"/>
          <w:bCs/>
        </w:rPr>
        <w:t xml:space="preserve">IPRM </w:t>
      </w:r>
      <w:r w:rsidR="00967035" w:rsidRPr="007B2498">
        <w:rPr>
          <w:rFonts w:asciiTheme="minorHAnsi" w:hAnsiTheme="minorHAnsi" w:cstheme="minorHAnsi"/>
          <w:bCs/>
          <w:lang w:eastAsia="cs-CZ"/>
        </w:rPr>
        <w:t>byl</w:t>
      </w:r>
      <w:r w:rsidRPr="007B2498">
        <w:rPr>
          <w:rFonts w:asciiTheme="minorHAnsi" w:hAnsiTheme="minorHAnsi" w:cstheme="minorHAnsi"/>
          <w:bCs/>
          <w:lang w:eastAsia="cs-CZ"/>
        </w:rPr>
        <w:t xml:space="preserve"> soubor vzájemně obsahově a časově provázaných akcí, které </w:t>
      </w:r>
      <w:r w:rsidR="00967035" w:rsidRPr="007B2498">
        <w:rPr>
          <w:rFonts w:asciiTheme="minorHAnsi" w:hAnsiTheme="minorHAnsi" w:cstheme="minorHAnsi"/>
          <w:bCs/>
          <w:lang w:eastAsia="cs-CZ"/>
        </w:rPr>
        <w:t>měly být</w:t>
      </w:r>
      <w:r w:rsidRPr="007B2498">
        <w:rPr>
          <w:rFonts w:asciiTheme="minorHAnsi" w:hAnsiTheme="minorHAnsi" w:cstheme="minorHAnsi"/>
          <w:bCs/>
          <w:lang w:eastAsia="cs-CZ"/>
        </w:rPr>
        <w:t xml:space="preserve"> realizovány na území mě</w:t>
      </w:r>
      <w:r w:rsidR="00967035" w:rsidRPr="007B2498">
        <w:rPr>
          <w:rFonts w:asciiTheme="minorHAnsi" w:hAnsiTheme="minorHAnsi" w:cstheme="minorHAnsi"/>
          <w:bCs/>
          <w:lang w:eastAsia="cs-CZ"/>
        </w:rPr>
        <w:t>sta v rámci vymezeného tématu a </w:t>
      </w:r>
      <w:r w:rsidRPr="007B2498">
        <w:rPr>
          <w:rFonts w:asciiTheme="minorHAnsi" w:hAnsiTheme="minorHAnsi" w:cstheme="minorHAnsi"/>
          <w:bCs/>
          <w:lang w:eastAsia="cs-CZ"/>
        </w:rPr>
        <w:t xml:space="preserve">které </w:t>
      </w:r>
      <w:r w:rsidR="00967035" w:rsidRPr="007B2498">
        <w:rPr>
          <w:rFonts w:asciiTheme="minorHAnsi" w:hAnsiTheme="minorHAnsi" w:cstheme="minorHAnsi"/>
          <w:bCs/>
          <w:lang w:eastAsia="cs-CZ"/>
        </w:rPr>
        <w:t>měly směřovat</w:t>
      </w:r>
      <w:r w:rsidRPr="007B2498">
        <w:rPr>
          <w:rFonts w:asciiTheme="minorHAnsi" w:hAnsiTheme="minorHAnsi" w:cstheme="minorHAnsi"/>
          <w:bCs/>
          <w:lang w:eastAsia="cs-CZ"/>
        </w:rPr>
        <w:t xml:space="preserve"> k dosažení strategických cílů města.</w:t>
      </w:r>
    </w:p>
    <w:p w14:paraId="5606917C" w14:textId="77777777" w:rsidR="00CA3566" w:rsidRPr="007B2498" w:rsidRDefault="00CA3566" w:rsidP="00CA3566">
      <w:pPr>
        <w:pStyle w:val="Normlnweb"/>
        <w:jc w:val="both"/>
        <w:rPr>
          <w:rFonts w:asciiTheme="minorHAnsi" w:hAnsiTheme="minorHAnsi" w:cstheme="minorHAnsi"/>
          <w:bCs/>
          <w:lang w:eastAsia="cs-CZ"/>
        </w:rPr>
      </w:pPr>
    </w:p>
    <w:p w14:paraId="00E5BAE5" w14:textId="4D756AD4" w:rsidR="003D5196" w:rsidRDefault="005617F9" w:rsidP="00CA3566">
      <w:pPr>
        <w:pStyle w:val="Normlnweb"/>
        <w:jc w:val="both"/>
        <w:rPr>
          <w:rFonts w:asciiTheme="minorHAnsi" w:hAnsiTheme="minorHAnsi" w:cstheme="minorHAnsi"/>
          <w:bCs/>
        </w:rPr>
      </w:pPr>
      <w:r w:rsidRPr="007B2498">
        <w:rPr>
          <w:rFonts w:asciiTheme="minorHAnsi" w:hAnsiTheme="minorHAnsi" w:cs="Calibri"/>
        </w:rPr>
        <w:t xml:space="preserve">Peněžní prostředky EU poskytované </w:t>
      </w:r>
      <w:r w:rsidR="00876687">
        <w:rPr>
          <w:rFonts w:asciiTheme="minorHAnsi" w:hAnsiTheme="minorHAnsi" w:cs="Calibri"/>
        </w:rPr>
        <w:t>r</w:t>
      </w:r>
      <w:r w:rsidR="006277B5">
        <w:rPr>
          <w:rFonts w:asciiTheme="minorHAnsi" w:hAnsiTheme="minorHAnsi" w:cs="Calibri"/>
        </w:rPr>
        <w:t>egionální radou</w:t>
      </w:r>
      <w:r w:rsidRPr="007B2498">
        <w:rPr>
          <w:rFonts w:asciiTheme="minorHAnsi" w:hAnsiTheme="minorHAnsi" w:cs="Calibri"/>
        </w:rPr>
        <w:t xml:space="preserve"> prostřednictvím ROP Jihozápad čerpalo město Plzeň na základě</w:t>
      </w:r>
      <w:r w:rsidR="00876687">
        <w:rPr>
          <w:rFonts w:asciiTheme="minorHAnsi" w:hAnsiTheme="minorHAnsi" w:cs="Calibri"/>
        </w:rPr>
        <w:t xml:space="preserve"> </w:t>
      </w:r>
      <w:r w:rsidRPr="007B2498">
        <w:rPr>
          <w:rFonts w:asciiTheme="minorHAnsi" w:hAnsiTheme="minorHAnsi" w:cs="Calibri"/>
        </w:rPr>
        <w:t>přijetí „</w:t>
      </w:r>
      <w:r w:rsidR="00494E20">
        <w:rPr>
          <w:rFonts w:asciiTheme="minorHAnsi" w:hAnsiTheme="minorHAnsi" w:cstheme="minorHAnsi"/>
        </w:rPr>
        <w:t>i</w:t>
      </w:r>
      <w:r w:rsidRPr="00494E20">
        <w:rPr>
          <w:rFonts w:asciiTheme="minorHAnsi" w:hAnsiTheme="minorHAnsi" w:cstheme="minorHAnsi"/>
        </w:rPr>
        <w:t xml:space="preserve">ntegrovaného plánu rozvoje města Plzeň </w:t>
      </w:r>
      <w:r w:rsidRPr="00494E20">
        <w:rPr>
          <w:rFonts w:asciiTheme="minorHAnsi" w:hAnsiTheme="minorHAnsi" w:cstheme="minorHAnsi"/>
          <w:bCs/>
        </w:rPr>
        <w:t>– Evropské hlavní město kultury 2015</w:t>
      </w:r>
      <w:r w:rsidRPr="007B2498">
        <w:rPr>
          <w:rFonts w:asciiTheme="minorHAnsi" w:hAnsiTheme="minorHAnsi" w:cstheme="minorHAnsi"/>
          <w:bCs/>
        </w:rPr>
        <w:t>“ (dále také „IPRM – PEHMK“)</w:t>
      </w:r>
      <w:r w:rsidRPr="007B2498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  <w:r w:rsidR="0008264D" w:rsidRPr="007B2498">
        <w:rPr>
          <w:rFonts w:asciiTheme="minorHAnsi" w:hAnsiTheme="minorHAnsi" w:cstheme="minorHAnsi"/>
          <w:bCs/>
        </w:rPr>
        <w:t xml:space="preserve">IPRM </w:t>
      </w:r>
      <w:r w:rsidR="00876687">
        <w:rPr>
          <w:rFonts w:asciiTheme="minorHAnsi" w:hAnsiTheme="minorHAnsi" w:cstheme="minorHAnsi"/>
          <w:bCs/>
        </w:rPr>
        <w:t>–</w:t>
      </w:r>
      <w:r w:rsidR="0008264D" w:rsidRPr="007B2498">
        <w:rPr>
          <w:rFonts w:asciiTheme="minorHAnsi" w:hAnsiTheme="minorHAnsi" w:cstheme="minorHAnsi"/>
          <w:bCs/>
        </w:rPr>
        <w:t xml:space="preserve"> PEHMK schválilo </w:t>
      </w:r>
      <w:r w:rsidR="00876687">
        <w:rPr>
          <w:rFonts w:asciiTheme="minorHAnsi" w:hAnsiTheme="minorHAnsi" w:cstheme="minorHAnsi"/>
          <w:bCs/>
        </w:rPr>
        <w:t>z</w:t>
      </w:r>
      <w:r w:rsidR="0008264D" w:rsidRPr="007B2498">
        <w:rPr>
          <w:rFonts w:asciiTheme="minorHAnsi" w:hAnsiTheme="minorHAnsi" w:cstheme="minorHAnsi"/>
          <w:bCs/>
        </w:rPr>
        <w:t>astupitelstvo města Plzně usnesením</w:t>
      </w:r>
      <w:r w:rsidR="00494E20" w:rsidRPr="00494E20">
        <w:rPr>
          <w:rFonts w:asciiTheme="minorHAnsi" w:hAnsiTheme="minorHAnsi" w:cstheme="minorHAnsi"/>
          <w:bCs/>
        </w:rPr>
        <w:t xml:space="preserve"> </w:t>
      </w:r>
      <w:r w:rsidR="00494E20" w:rsidRPr="007B2498">
        <w:rPr>
          <w:rFonts w:asciiTheme="minorHAnsi" w:hAnsiTheme="minorHAnsi" w:cstheme="minorHAnsi"/>
          <w:bCs/>
        </w:rPr>
        <w:t>č. 413</w:t>
      </w:r>
      <w:r w:rsidR="0008264D" w:rsidRPr="007B2498">
        <w:rPr>
          <w:rFonts w:asciiTheme="minorHAnsi" w:hAnsiTheme="minorHAnsi" w:cstheme="minorHAnsi"/>
          <w:bCs/>
        </w:rPr>
        <w:t xml:space="preserve"> ze dne 4. 9. 2008. IPRM </w:t>
      </w:r>
      <w:r w:rsidR="00876687">
        <w:rPr>
          <w:rFonts w:asciiTheme="minorHAnsi" w:hAnsiTheme="minorHAnsi" w:cstheme="minorHAnsi"/>
          <w:bCs/>
        </w:rPr>
        <w:t>–</w:t>
      </w:r>
      <w:r w:rsidR="0008264D" w:rsidRPr="007B2498">
        <w:rPr>
          <w:rFonts w:asciiTheme="minorHAnsi" w:hAnsiTheme="minorHAnsi" w:cstheme="minorHAnsi"/>
          <w:bCs/>
        </w:rPr>
        <w:t xml:space="preserve"> PEHMK tvořil investiční páteř kandidatury </w:t>
      </w:r>
      <w:r w:rsidR="00876687">
        <w:rPr>
          <w:rFonts w:asciiTheme="minorHAnsi" w:hAnsiTheme="minorHAnsi" w:cstheme="minorHAnsi"/>
          <w:bCs/>
        </w:rPr>
        <w:t xml:space="preserve">na </w:t>
      </w:r>
      <w:r w:rsidR="00494E20">
        <w:rPr>
          <w:rFonts w:asciiTheme="minorHAnsi" w:hAnsiTheme="minorHAnsi" w:cstheme="minorHAnsi"/>
          <w:bCs/>
        </w:rPr>
        <w:t>e</w:t>
      </w:r>
      <w:r w:rsidR="0008264D" w:rsidRPr="007B2498">
        <w:rPr>
          <w:rFonts w:asciiTheme="minorHAnsi" w:hAnsiTheme="minorHAnsi" w:cstheme="minorHAnsi"/>
          <w:bCs/>
        </w:rPr>
        <w:t>vropské hlavní měst</w:t>
      </w:r>
      <w:r w:rsidR="00876687">
        <w:rPr>
          <w:rFonts w:asciiTheme="minorHAnsi" w:hAnsiTheme="minorHAnsi" w:cstheme="minorHAnsi"/>
          <w:bCs/>
        </w:rPr>
        <w:t>o</w:t>
      </w:r>
      <w:r w:rsidR="0008264D" w:rsidRPr="007B2498">
        <w:rPr>
          <w:rFonts w:asciiTheme="minorHAnsi" w:hAnsiTheme="minorHAnsi" w:cstheme="minorHAnsi"/>
          <w:bCs/>
        </w:rPr>
        <w:t xml:space="preserve"> kultury 2015, </w:t>
      </w:r>
      <w:r w:rsidR="00494E20">
        <w:rPr>
          <w:rFonts w:asciiTheme="minorHAnsi" w:hAnsiTheme="minorHAnsi" w:cstheme="minorHAnsi"/>
          <w:bCs/>
        </w:rPr>
        <w:t>přičemž</w:t>
      </w:r>
      <w:r w:rsidR="0008264D" w:rsidRPr="007B2498">
        <w:rPr>
          <w:rFonts w:asciiTheme="minorHAnsi" w:hAnsiTheme="minorHAnsi" w:cstheme="minorHAnsi"/>
          <w:bCs/>
        </w:rPr>
        <w:t xml:space="preserve"> se předpokládalo spolufinancování v rámci ROP Jihozápad ve výši cca 15 mil. </w:t>
      </w:r>
      <w:r w:rsidR="00876687">
        <w:rPr>
          <w:rFonts w:asciiTheme="minorHAnsi" w:hAnsiTheme="minorHAnsi" w:cstheme="minorHAnsi"/>
          <w:bCs/>
        </w:rPr>
        <w:t>eur</w:t>
      </w:r>
      <w:r w:rsidR="0008264D" w:rsidRPr="007B2498">
        <w:rPr>
          <w:rFonts w:asciiTheme="minorHAnsi" w:hAnsiTheme="minorHAnsi" w:cstheme="minorHAnsi"/>
          <w:bCs/>
        </w:rPr>
        <w:t xml:space="preserve"> (</w:t>
      </w:r>
      <w:r w:rsidR="005E54FE">
        <w:rPr>
          <w:rFonts w:asciiTheme="minorHAnsi" w:hAnsiTheme="minorHAnsi" w:cstheme="minorHAnsi"/>
          <w:bCs/>
        </w:rPr>
        <w:t>v </w:t>
      </w:r>
      <w:r w:rsidR="0008264D" w:rsidRPr="007B2498">
        <w:rPr>
          <w:rFonts w:asciiTheme="minorHAnsi" w:hAnsiTheme="minorHAnsi" w:cstheme="minorHAnsi"/>
          <w:bCs/>
        </w:rPr>
        <w:t xml:space="preserve">roce 2013 byla alokace finančních prostředků navýšena na 19,5 mil. </w:t>
      </w:r>
      <w:r w:rsidR="00876687">
        <w:rPr>
          <w:rFonts w:asciiTheme="minorHAnsi" w:hAnsiTheme="minorHAnsi" w:cstheme="minorHAnsi"/>
          <w:bCs/>
        </w:rPr>
        <w:t>eur</w:t>
      </w:r>
      <w:r w:rsidR="0008264D" w:rsidRPr="007B2498">
        <w:rPr>
          <w:rFonts w:asciiTheme="minorHAnsi" w:hAnsiTheme="minorHAnsi" w:cstheme="minorHAnsi"/>
          <w:bCs/>
        </w:rPr>
        <w:t>).</w:t>
      </w:r>
      <w:r w:rsidR="006C2F16" w:rsidRPr="007B2498">
        <w:rPr>
          <w:rFonts w:asciiTheme="minorHAnsi" w:hAnsiTheme="minorHAnsi" w:cstheme="minorHAnsi"/>
          <w:bCs/>
        </w:rPr>
        <w:t xml:space="preserve"> </w:t>
      </w:r>
    </w:p>
    <w:p w14:paraId="550831D7" w14:textId="77777777" w:rsidR="00CA3566" w:rsidRPr="007B2498" w:rsidRDefault="00CA3566" w:rsidP="00CA3566">
      <w:pPr>
        <w:pStyle w:val="Normlnweb"/>
        <w:jc w:val="both"/>
        <w:rPr>
          <w:rFonts w:asciiTheme="minorHAnsi" w:hAnsiTheme="minorHAnsi" w:cstheme="minorHAnsi"/>
          <w:bCs/>
        </w:rPr>
      </w:pPr>
    </w:p>
    <w:p w14:paraId="709BF7ED" w14:textId="2EEBFD57" w:rsidR="008D2A44" w:rsidRDefault="00800EE9" w:rsidP="00CA3566">
      <w:pPr>
        <w:pStyle w:val="Normlnweb"/>
        <w:jc w:val="both"/>
        <w:rPr>
          <w:rFonts w:asciiTheme="minorHAnsi" w:hAnsiTheme="minorHAnsi" w:cstheme="minorHAnsi"/>
          <w:bCs/>
        </w:rPr>
      </w:pPr>
      <w:r w:rsidRPr="007B2498">
        <w:rPr>
          <w:rFonts w:asciiTheme="minorHAnsi" w:hAnsiTheme="minorHAnsi" w:cstheme="minorHAnsi"/>
          <w:bCs/>
        </w:rPr>
        <w:t>NKÚ kontrolou dále prověřil čerpání peněžních prostředků</w:t>
      </w:r>
      <w:r w:rsidR="008D2A44" w:rsidRPr="007B2498">
        <w:rPr>
          <w:rFonts w:asciiTheme="minorHAnsi" w:hAnsiTheme="minorHAnsi" w:cstheme="minorHAnsi"/>
          <w:bCs/>
        </w:rPr>
        <w:t xml:space="preserve"> státního rozpočtu </w:t>
      </w:r>
      <w:r w:rsidR="009B646A">
        <w:rPr>
          <w:rFonts w:asciiTheme="minorHAnsi" w:hAnsiTheme="minorHAnsi" w:cstheme="minorHAnsi"/>
          <w:bCs/>
        </w:rPr>
        <w:t>poskytnutých městu Plzeň z rozpočtové kapitoly</w:t>
      </w:r>
      <w:r w:rsidR="008D2A44" w:rsidRPr="007B2498">
        <w:rPr>
          <w:rFonts w:asciiTheme="minorHAnsi" w:hAnsiTheme="minorHAnsi" w:cstheme="minorHAnsi"/>
          <w:bCs/>
        </w:rPr>
        <w:t xml:space="preserve"> Ministerstva kultury </w:t>
      </w:r>
      <w:r w:rsidR="00610BDC">
        <w:rPr>
          <w:rFonts w:asciiTheme="minorHAnsi" w:hAnsiTheme="minorHAnsi" w:cstheme="minorHAnsi"/>
          <w:bCs/>
        </w:rPr>
        <w:t xml:space="preserve">ČR </w:t>
      </w:r>
      <w:r w:rsidR="008D2A44" w:rsidRPr="007B2498">
        <w:rPr>
          <w:rFonts w:asciiTheme="minorHAnsi" w:hAnsiTheme="minorHAnsi" w:cstheme="minorHAnsi"/>
          <w:bCs/>
        </w:rPr>
        <w:t xml:space="preserve">(dále také „MK“). MK vyčlenilo peněžní prostředky v celkové výši </w:t>
      </w:r>
      <w:r w:rsidR="00F77519">
        <w:rPr>
          <w:rFonts w:asciiTheme="minorHAnsi" w:hAnsiTheme="minorHAnsi" w:cstheme="minorHAnsi"/>
          <w:bCs/>
        </w:rPr>
        <w:t>100 mil. Kč na základě usnesení</w:t>
      </w:r>
      <w:r w:rsidR="0060179B">
        <w:rPr>
          <w:rFonts w:asciiTheme="minorHAnsi" w:hAnsiTheme="minorHAnsi" w:cstheme="minorHAnsi"/>
          <w:bCs/>
        </w:rPr>
        <w:t xml:space="preserve"> vlády ČR ze dne 10. srpna</w:t>
      </w:r>
      <w:r w:rsidR="00876687">
        <w:rPr>
          <w:rFonts w:asciiTheme="minorHAnsi" w:hAnsiTheme="minorHAnsi" w:cstheme="minorHAnsi"/>
          <w:bCs/>
        </w:rPr>
        <w:t xml:space="preserve"> </w:t>
      </w:r>
      <w:r w:rsidR="008D2A44" w:rsidRPr="007B2498">
        <w:rPr>
          <w:rFonts w:asciiTheme="minorHAnsi" w:hAnsiTheme="minorHAnsi" w:cstheme="minorHAnsi"/>
          <w:bCs/>
        </w:rPr>
        <w:t>2011</w:t>
      </w:r>
      <w:r w:rsidR="005617F9">
        <w:rPr>
          <w:rFonts w:asciiTheme="minorHAnsi" w:hAnsiTheme="minorHAnsi" w:cstheme="minorHAnsi"/>
          <w:bCs/>
        </w:rPr>
        <w:t xml:space="preserve"> č. </w:t>
      </w:r>
      <w:r w:rsidR="005617F9" w:rsidRPr="007B2498">
        <w:rPr>
          <w:rFonts w:asciiTheme="minorHAnsi" w:hAnsiTheme="minorHAnsi" w:cstheme="minorHAnsi"/>
          <w:bCs/>
        </w:rPr>
        <w:t>601</w:t>
      </w:r>
      <w:r w:rsidR="005617F9">
        <w:rPr>
          <w:rStyle w:val="Znakapoznpodarou"/>
          <w:rFonts w:asciiTheme="minorHAnsi" w:hAnsiTheme="minorHAnsi" w:cstheme="minorHAnsi"/>
          <w:bCs/>
        </w:rPr>
        <w:footnoteReference w:id="3"/>
      </w:r>
      <w:r w:rsidR="008D2A44" w:rsidRPr="007B2498">
        <w:rPr>
          <w:rFonts w:asciiTheme="minorHAnsi" w:hAnsiTheme="minorHAnsi" w:cstheme="minorHAnsi"/>
          <w:bCs/>
        </w:rPr>
        <w:t>. Peněžní prostředky mělo m</w:t>
      </w:r>
      <w:r w:rsidR="00AE006D">
        <w:rPr>
          <w:rFonts w:asciiTheme="minorHAnsi" w:hAnsiTheme="minorHAnsi" w:cstheme="minorHAnsi"/>
          <w:bCs/>
        </w:rPr>
        <w:t>ěsto Plzeň čerpat v letech 2012–</w:t>
      </w:r>
      <w:r w:rsidR="008D2A44" w:rsidRPr="007B2498">
        <w:rPr>
          <w:rFonts w:asciiTheme="minorHAnsi" w:hAnsiTheme="minorHAnsi" w:cstheme="minorHAnsi"/>
          <w:bCs/>
        </w:rPr>
        <w:t>2015.</w:t>
      </w:r>
    </w:p>
    <w:p w14:paraId="366CDF3F" w14:textId="77777777" w:rsidR="00CA3566" w:rsidRPr="007B2498" w:rsidRDefault="00CA3566" w:rsidP="00CA3566">
      <w:pPr>
        <w:pStyle w:val="Normlnweb"/>
        <w:jc w:val="both"/>
        <w:rPr>
          <w:rFonts w:asciiTheme="minorHAnsi" w:hAnsiTheme="minorHAnsi" w:cstheme="minorHAnsi"/>
          <w:bCs/>
        </w:rPr>
      </w:pPr>
    </w:p>
    <w:p w14:paraId="57D2320A" w14:textId="04A2AEFE" w:rsidR="008D2A44" w:rsidRDefault="00494E20" w:rsidP="00CA3566">
      <w:pPr>
        <w:pStyle w:val="Normlnweb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 regionální rady jakožto </w:t>
      </w:r>
      <w:r w:rsidR="003F04B3" w:rsidRPr="007B2498">
        <w:rPr>
          <w:rFonts w:asciiTheme="minorHAnsi" w:hAnsiTheme="minorHAnsi" w:cstheme="minorHAnsi"/>
          <w:bCs/>
        </w:rPr>
        <w:t>poskytovatele dotace</w:t>
      </w:r>
      <w:r w:rsidR="009B646A">
        <w:rPr>
          <w:rFonts w:asciiTheme="minorHAnsi" w:hAnsiTheme="minorHAnsi" w:cstheme="minorHAnsi"/>
          <w:bCs/>
        </w:rPr>
        <w:t xml:space="preserve"> </w:t>
      </w:r>
      <w:r w:rsidR="00BF53C0">
        <w:rPr>
          <w:rFonts w:asciiTheme="minorHAnsi" w:hAnsiTheme="minorHAnsi" w:cstheme="minorHAnsi"/>
          <w:bCs/>
        </w:rPr>
        <w:t>zkontroloval NKÚ</w:t>
      </w:r>
      <w:r w:rsidR="003F04B3" w:rsidRPr="007B2498">
        <w:rPr>
          <w:rFonts w:asciiTheme="minorHAnsi" w:hAnsiTheme="minorHAnsi" w:cstheme="minorHAnsi"/>
          <w:bCs/>
        </w:rPr>
        <w:t xml:space="preserve"> </w:t>
      </w:r>
      <w:r w:rsidR="00BD760B">
        <w:rPr>
          <w:rFonts w:asciiTheme="minorHAnsi" w:hAnsiTheme="minorHAnsi" w:cstheme="minorHAnsi"/>
        </w:rPr>
        <w:t>proces posuzování a </w:t>
      </w:r>
      <w:r w:rsidR="006840E5" w:rsidRPr="007B2498">
        <w:rPr>
          <w:rFonts w:asciiTheme="minorHAnsi" w:hAnsiTheme="minorHAnsi" w:cstheme="minorHAnsi"/>
        </w:rPr>
        <w:t xml:space="preserve">schvalování projektů, </w:t>
      </w:r>
      <w:r w:rsidR="003F04B3" w:rsidRPr="007B2498">
        <w:rPr>
          <w:rFonts w:asciiTheme="minorHAnsi" w:hAnsiTheme="minorHAnsi" w:cstheme="minorHAnsi"/>
        </w:rPr>
        <w:t>výkon kontrolní činnosti a</w:t>
      </w:r>
      <w:r w:rsidR="003F04B3" w:rsidRPr="007B2498">
        <w:rPr>
          <w:rFonts w:asciiTheme="minorHAnsi" w:hAnsiTheme="minorHAnsi" w:cstheme="minorHAnsi"/>
          <w:bCs/>
        </w:rPr>
        <w:t xml:space="preserve"> monitorování </w:t>
      </w:r>
      <w:r w:rsidR="003F04B3" w:rsidRPr="00893CEC">
        <w:rPr>
          <w:rFonts w:asciiTheme="minorHAnsi" w:hAnsiTheme="minorHAnsi" w:cstheme="minorHAnsi"/>
        </w:rPr>
        <w:t>projektů,</w:t>
      </w:r>
      <w:r w:rsidR="006840E5" w:rsidRPr="00893CEC">
        <w:rPr>
          <w:rFonts w:asciiTheme="minorHAnsi" w:hAnsiTheme="minorHAnsi" w:cstheme="minorHAnsi"/>
        </w:rPr>
        <w:t xml:space="preserve"> </w:t>
      </w:r>
      <w:r w:rsidR="00893CEC" w:rsidRPr="00893CEC">
        <w:rPr>
          <w:rFonts w:asciiTheme="minorHAnsi" w:hAnsiTheme="minorHAnsi" w:cstheme="minorHAnsi"/>
        </w:rPr>
        <w:t xml:space="preserve">řešení </w:t>
      </w:r>
      <w:r w:rsidR="00893CEC" w:rsidRPr="00893CEC">
        <w:rPr>
          <w:rFonts w:asciiTheme="minorHAnsi" w:hAnsiTheme="minorHAnsi" w:cstheme="minorHAnsi"/>
        </w:rPr>
        <w:lastRenderedPageBreak/>
        <w:t>nesrovnalostí a odvodů</w:t>
      </w:r>
      <w:r w:rsidR="00893CEC">
        <w:rPr>
          <w:rFonts w:asciiTheme="minorHAnsi" w:hAnsiTheme="minorHAnsi" w:cstheme="minorHAnsi"/>
        </w:rPr>
        <w:t xml:space="preserve"> a </w:t>
      </w:r>
      <w:r w:rsidR="003F04B3" w:rsidRPr="00893CEC">
        <w:rPr>
          <w:rFonts w:asciiTheme="minorHAnsi" w:hAnsiTheme="minorHAnsi" w:cstheme="minorHAnsi"/>
        </w:rPr>
        <w:t xml:space="preserve">u příjemce dotace </w:t>
      </w:r>
      <w:r w:rsidR="00BF53C0">
        <w:rPr>
          <w:rFonts w:asciiTheme="minorHAnsi" w:hAnsiTheme="minorHAnsi" w:cstheme="minorHAnsi"/>
        </w:rPr>
        <w:t xml:space="preserve">prověřil </w:t>
      </w:r>
      <w:r w:rsidR="003F04B3" w:rsidRPr="00893CEC">
        <w:rPr>
          <w:rFonts w:asciiTheme="minorHAnsi" w:hAnsiTheme="minorHAnsi" w:cstheme="minorHAnsi"/>
        </w:rPr>
        <w:t>hospodárné a účelné čerpání peněžníc</w:t>
      </w:r>
      <w:r w:rsidR="003F04B3" w:rsidRPr="007B2498">
        <w:rPr>
          <w:rFonts w:asciiTheme="minorHAnsi" w:hAnsiTheme="minorHAnsi" w:cstheme="minorHAnsi"/>
          <w:bCs/>
        </w:rPr>
        <w:t>h prostředků a dodržování podmínek poskytnuté dota</w:t>
      </w:r>
      <w:r w:rsidR="0060179B">
        <w:rPr>
          <w:rFonts w:asciiTheme="minorHAnsi" w:hAnsiTheme="minorHAnsi" w:cstheme="minorHAnsi"/>
          <w:bCs/>
        </w:rPr>
        <w:t>ce.</w:t>
      </w:r>
    </w:p>
    <w:p w14:paraId="4A101365" w14:textId="77777777" w:rsidR="0097774B" w:rsidRPr="007B2498" w:rsidRDefault="0097774B" w:rsidP="00CA3566">
      <w:pPr>
        <w:pStyle w:val="Normlnweb"/>
        <w:jc w:val="both"/>
        <w:rPr>
          <w:rFonts w:asciiTheme="minorHAnsi" w:hAnsiTheme="minorHAnsi" w:cstheme="minorHAnsi"/>
          <w:bCs/>
        </w:rPr>
      </w:pPr>
    </w:p>
    <w:p w14:paraId="1FD0A096" w14:textId="16C877FA" w:rsidR="0008264D" w:rsidRPr="007B2498" w:rsidRDefault="00876687" w:rsidP="00CA3566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Celkový o</w:t>
      </w:r>
      <w:r w:rsidR="006840E5" w:rsidRPr="007B2498">
        <w:rPr>
          <w:rFonts w:asciiTheme="minorHAnsi" w:hAnsiTheme="minorHAnsi" w:cstheme="minorHAnsi"/>
          <w:sz w:val="24"/>
          <w:szCs w:val="24"/>
          <w:lang w:eastAsia="cs-CZ"/>
        </w:rPr>
        <w:t>bjem kontrolovaných peněžních prostředků činil</w:t>
      </w:r>
      <w:r w:rsidR="000765F3" w:rsidRPr="000765F3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C06A0B">
        <w:rPr>
          <w:rFonts w:asciiTheme="minorHAnsi" w:hAnsiTheme="minorHAnsi" w:cstheme="minorHAnsi"/>
          <w:sz w:val="24"/>
          <w:szCs w:val="24"/>
          <w:lang w:eastAsia="cs-CZ"/>
        </w:rPr>
        <w:t>373 537 550</w:t>
      </w:r>
      <w:r w:rsidR="006840E5" w:rsidRPr="000765F3">
        <w:rPr>
          <w:rFonts w:asciiTheme="minorHAnsi" w:hAnsiTheme="minorHAnsi" w:cstheme="minorHAnsi"/>
          <w:sz w:val="24"/>
          <w:szCs w:val="24"/>
          <w:lang w:eastAsia="cs-CZ"/>
        </w:rPr>
        <w:t> Kč</w:t>
      </w:r>
      <w:r w:rsidR="000765F3" w:rsidRPr="000765F3">
        <w:rPr>
          <w:rFonts w:asciiTheme="minorHAnsi" w:hAnsiTheme="minorHAnsi" w:cstheme="minorHAnsi"/>
          <w:sz w:val="24"/>
          <w:szCs w:val="24"/>
          <w:lang w:eastAsia="cs-CZ"/>
        </w:rPr>
        <w:t>, z toho</w:t>
      </w:r>
      <w:r w:rsidR="00C06A0B">
        <w:rPr>
          <w:rFonts w:asciiTheme="minorHAnsi" w:hAnsiTheme="minorHAnsi" w:cstheme="minorHAnsi"/>
          <w:sz w:val="24"/>
          <w:szCs w:val="24"/>
          <w:lang w:eastAsia="cs-CZ"/>
        </w:rPr>
        <w:t xml:space="preserve"> dotace RR 305 408 804</w:t>
      </w:r>
      <w:r w:rsidR="000765F3">
        <w:rPr>
          <w:rFonts w:asciiTheme="minorHAnsi" w:hAnsiTheme="minorHAnsi" w:cstheme="minorHAnsi"/>
          <w:sz w:val="24"/>
          <w:szCs w:val="24"/>
          <w:lang w:eastAsia="cs-CZ"/>
        </w:rPr>
        <w:t> Kč, s</w:t>
      </w:r>
      <w:r w:rsidR="00C06A0B">
        <w:rPr>
          <w:rFonts w:asciiTheme="minorHAnsi" w:hAnsiTheme="minorHAnsi" w:cstheme="minorHAnsi"/>
          <w:sz w:val="24"/>
          <w:szCs w:val="24"/>
          <w:lang w:eastAsia="cs-CZ"/>
        </w:rPr>
        <w:t>poluúčast příjemce 53 895 671</w:t>
      </w:r>
      <w:r w:rsidR="000765F3">
        <w:rPr>
          <w:rFonts w:asciiTheme="minorHAnsi" w:hAnsiTheme="minorHAnsi" w:cstheme="minorHAnsi"/>
          <w:sz w:val="24"/>
          <w:szCs w:val="24"/>
          <w:lang w:eastAsia="cs-CZ"/>
        </w:rPr>
        <w:t> Kč a prostředky stát</w:t>
      </w:r>
      <w:r w:rsidR="00C06A0B">
        <w:rPr>
          <w:rFonts w:asciiTheme="minorHAnsi" w:hAnsiTheme="minorHAnsi" w:cstheme="minorHAnsi"/>
          <w:sz w:val="24"/>
          <w:szCs w:val="24"/>
          <w:lang w:eastAsia="cs-CZ"/>
        </w:rPr>
        <w:t>ního rozpočtu (MK) 14 233 075</w:t>
      </w:r>
      <w:r w:rsidR="000765F3">
        <w:rPr>
          <w:rFonts w:asciiTheme="minorHAnsi" w:hAnsiTheme="minorHAnsi" w:cstheme="minorHAnsi"/>
          <w:sz w:val="24"/>
          <w:szCs w:val="24"/>
          <w:lang w:eastAsia="cs-CZ"/>
        </w:rPr>
        <w:t> Kč.</w:t>
      </w:r>
    </w:p>
    <w:p w14:paraId="54A6C78B" w14:textId="77777777" w:rsidR="0060179B" w:rsidRDefault="0060179B" w:rsidP="00CA3566">
      <w:pPr>
        <w:spacing w:before="0" w:after="0"/>
        <w:rPr>
          <w:rFonts w:asciiTheme="minorHAnsi" w:hAnsiTheme="minorHAnsi" w:cstheme="minorHAnsi"/>
        </w:rPr>
      </w:pPr>
    </w:p>
    <w:p w14:paraId="5C1B37C7" w14:textId="0FC0E90B" w:rsidR="00C20A74" w:rsidRDefault="000D72C7" w:rsidP="000D72C7">
      <w:pPr>
        <w:spacing w:before="0"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76687">
        <w:rPr>
          <w:rFonts w:asciiTheme="minorHAnsi" w:hAnsiTheme="minorHAnsi" w:cstheme="minorHAnsi"/>
          <w:b/>
          <w:sz w:val="20"/>
          <w:szCs w:val="20"/>
        </w:rPr>
        <w:t>Pozn.:</w:t>
      </w:r>
      <w:r w:rsidRPr="000D72C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Právní předpisy byly aplikovány ve znění účinném pro kontrolované období.</w:t>
      </w:r>
    </w:p>
    <w:p w14:paraId="6187AE7B" w14:textId="77777777" w:rsidR="000D72C7" w:rsidRDefault="000D72C7" w:rsidP="000D72C7">
      <w:pPr>
        <w:spacing w:before="0" w:after="0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2D3D7FF3" w14:textId="77777777" w:rsidR="000D72C7" w:rsidRPr="000D72C7" w:rsidRDefault="000D72C7" w:rsidP="000D72C7">
      <w:pPr>
        <w:spacing w:before="0" w:after="0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3533B67A" w14:textId="24D467B3" w:rsidR="003F04B3" w:rsidRPr="00C052B6" w:rsidRDefault="003F04B3" w:rsidP="00C20A74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2498">
        <w:rPr>
          <w:rFonts w:asciiTheme="minorHAnsi" w:hAnsiTheme="minorHAnsi" w:cstheme="minorHAnsi"/>
          <w:b/>
          <w:sz w:val="26"/>
          <w:szCs w:val="26"/>
        </w:rPr>
        <w:t xml:space="preserve">II. </w:t>
      </w:r>
      <w:r w:rsidR="00DF220C" w:rsidRPr="007B2498">
        <w:rPr>
          <w:rFonts w:asciiTheme="minorHAnsi" w:hAnsiTheme="minorHAnsi" w:cstheme="minorHAnsi"/>
          <w:b/>
          <w:sz w:val="26"/>
          <w:szCs w:val="26"/>
        </w:rPr>
        <w:t xml:space="preserve">Shrnutí </w:t>
      </w:r>
      <w:r w:rsidR="004357EF" w:rsidRPr="007B2498">
        <w:rPr>
          <w:rFonts w:asciiTheme="minorHAnsi" w:hAnsiTheme="minorHAnsi" w:cstheme="minorHAnsi"/>
          <w:b/>
          <w:sz w:val="26"/>
          <w:szCs w:val="26"/>
        </w:rPr>
        <w:t xml:space="preserve">a vyhodnocení </w:t>
      </w:r>
      <w:r w:rsidR="00DF220C" w:rsidRPr="007B2498">
        <w:rPr>
          <w:rFonts w:asciiTheme="minorHAnsi" w:hAnsiTheme="minorHAnsi" w:cstheme="minorHAnsi"/>
          <w:b/>
          <w:sz w:val="26"/>
          <w:szCs w:val="26"/>
        </w:rPr>
        <w:t>skutečností zjištěných</w:t>
      </w:r>
      <w:r w:rsidRPr="007B2498">
        <w:rPr>
          <w:rFonts w:asciiTheme="minorHAnsi" w:hAnsiTheme="minorHAnsi" w:cstheme="minorHAnsi"/>
          <w:b/>
          <w:sz w:val="26"/>
          <w:szCs w:val="26"/>
        </w:rPr>
        <w:t xml:space="preserve"> při kontrole</w:t>
      </w:r>
      <w:r w:rsidR="00DF220C" w:rsidRPr="007B249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B3B0AFA" w14:textId="77777777" w:rsidR="00C052B6" w:rsidRPr="00AC319A" w:rsidRDefault="00C052B6" w:rsidP="00AC319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626AD70" w14:textId="23AF6898" w:rsidR="00584D81" w:rsidRPr="00AC319A" w:rsidRDefault="00053DFF" w:rsidP="00AC319A">
      <w:pPr>
        <w:pStyle w:val="Odstavecseseznamem"/>
        <w:numPr>
          <w:ilvl w:val="0"/>
          <w:numId w:val="36"/>
        </w:numPr>
        <w:spacing w:before="0" w:after="0"/>
        <w:ind w:left="284" w:hanging="284"/>
        <w:contextualSpacing w:val="0"/>
        <w:rPr>
          <w:rFonts w:asciiTheme="minorHAnsi" w:hAnsiTheme="minorHAnsi" w:cs="Calibri"/>
          <w:bCs/>
          <w:sz w:val="24"/>
          <w:szCs w:val="24"/>
          <w:lang w:eastAsia="cs-CZ"/>
        </w:rPr>
      </w:pPr>
      <w:r w:rsidRPr="00DF5623">
        <w:rPr>
          <w:rFonts w:asciiTheme="minorHAnsi" w:hAnsiTheme="minorHAnsi" w:cstheme="minorHAnsi"/>
          <w:b/>
          <w:bCs/>
          <w:sz w:val="24"/>
          <w:szCs w:val="24"/>
        </w:rPr>
        <w:t xml:space="preserve">Město Plzeň </w:t>
      </w:r>
      <w:r w:rsidR="00613D14">
        <w:rPr>
          <w:rFonts w:asciiTheme="minorHAnsi" w:hAnsiTheme="minorHAnsi" w:cstheme="minorHAnsi"/>
          <w:b/>
          <w:bCs/>
          <w:sz w:val="24"/>
          <w:szCs w:val="24"/>
        </w:rPr>
        <w:t>ani v</w:t>
      </w:r>
      <w:r w:rsidRPr="00DF5623">
        <w:rPr>
          <w:rFonts w:asciiTheme="minorHAnsi" w:hAnsiTheme="minorHAnsi" w:cs="Calibri"/>
          <w:b/>
          <w:sz w:val="24"/>
          <w:szCs w:val="24"/>
        </w:rPr>
        <w:t xml:space="preserve"> pokročilé fázi realizace IPRM – PEHMK </w:t>
      </w:r>
      <w:r w:rsidR="00613D14">
        <w:rPr>
          <w:rFonts w:asciiTheme="minorHAnsi" w:hAnsiTheme="minorHAnsi" w:cs="Calibri"/>
          <w:b/>
          <w:sz w:val="24"/>
          <w:szCs w:val="24"/>
        </w:rPr>
        <w:t>nerozhodlo o</w:t>
      </w:r>
      <w:r w:rsidRPr="00DF5623">
        <w:rPr>
          <w:rFonts w:asciiTheme="minorHAnsi" w:hAnsiTheme="minorHAnsi" w:cs="Calibri"/>
          <w:b/>
          <w:sz w:val="24"/>
          <w:szCs w:val="24"/>
        </w:rPr>
        <w:t xml:space="preserve"> tom, které dílčí projekty budou realizovány a které nikoliv</w:t>
      </w:r>
      <w:r w:rsidRPr="00102E74">
        <w:rPr>
          <w:rFonts w:asciiTheme="minorHAnsi" w:hAnsiTheme="minorHAnsi" w:cs="Calibri"/>
          <w:b/>
          <w:sz w:val="24"/>
          <w:szCs w:val="24"/>
        </w:rPr>
        <w:t>.</w:t>
      </w:r>
      <w:r w:rsidRPr="00DF5623">
        <w:rPr>
          <w:rFonts w:asciiTheme="minorHAnsi" w:hAnsiTheme="minorHAnsi" w:cs="Calibri"/>
          <w:sz w:val="24"/>
          <w:szCs w:val="24"/>
        </w:rPr>
        <w:t xml:space="preserve"> </w:t>
      </w:r>
      <w:r w:rsidR="006C1A3B" w:rsidRPr="00DF5623">
        <w:rPr>
          <w:rFonts w:asciiTheme="minorHAnsi" w:hAnsiTheme="minorHAnsi" w:cs="Calibri"/>
          <w:sz w:val="24"/>
          <w:szCs w:val="24"/>
        </w:rPr>
        <w:t>V roce 2013 a 2014 došlo k významným změnám v seznamu dílčíc</w:t>
      </w:r>
      <w:r w:rsidR="000D17D5" w:rsidRPr="00DF5623">
        <w:rPr>
          <w:rFonts w:asciiTheme="minorHAnsi" w:hAnsiTheme="minorHAnsi" w:cs="Calibri"/>
          <w:sz w:val="24"/>
          <w:szCs w:val="24"/>
        </w:rPr>
        <w:t>h projektů určených k realizaci</w:t>
      </w:r>
      <w:r w:rsidR="006C1A3B" w:rsidRPr="00DF5623">
        <w:rPr>
          <w:rFonts w:asciiTheme="minorHAnsi" w:hAnsiTheme="minorHAnsi" w:cs="Calibri"/>
          <w:sz w:val="24"/>
          <w:szCs w:val="24"/>
        </w:rPr>
        <w:t xml:space="preserve">. </w:t>
      </w:r>
      <w:r w:rsidRPr="00DF5623">
        <w:rPr>
          <w:rFonts w:asciiTheme="minorHAnsi" w:hAnsiTheme="minorHAnsi" w:cs="Calibri"/>
          <w:b/>
          <w:sz w:val="24"/>
          <w:szCs w:val="24"/>
        </w:rPr>
        <w:t xml:space="preserve">Pro realizaci IPRM </w:t>
      </w:r>
      <w:r w:rsidR="00876687">
        <w:rPr>
          <w:rFonts w:asciiTheme="minorHAnsi" w:hAnsiTheme="minorHAnsi" w:cs="Calibri"/>
          <w:b/>
          <w:sz w:val="24"/>
          <w:szCs w:val="24"/>
        </w:rPr>
        <w:t>–</w:t>
      </w:r>
      <w:r w:rsidRPr="00DF5623">
        <w:rPr>
          <w:rFonts w:asciiTheme="minorHAnsi" w:hAnsiTheme="minorHAnsi" w:cs="Calibri"/>
          <w:b/>
          <w:sz w:val="24"/>
          <w:szCs w:val="24"/>
        </w:rPr>
        <w:t xml:space="preserve"> PEHMK bylo schváleno postupně 17 dílčích projektů, z nichž skutečně realizováno bylo pouze 11</w:t>
      </w:r>
      <w:r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>.</w:t>
      </w:r>
    </w:p>
    <w:p w14:paraId="7957D5E3" w14:textId="77777777" w:rsidR="00AC319A" w:rsidRPr="00AC319A" w:rsidRDefault="00AC319A" w:rsidP="00AC319A">
      <w:pPr>
        <w:spacing w:before="0" w:after="0"/>
        <w:rPr>
          <w:rFonts w:asciiTheme="minorHAnsi" w:hAnsiTheme="minorHAnsi" w:cs="Calibri"/>
          <w:bCs/>
          <w:sz w:val="24"/>
          <w:szCs w:val="24"/>
          <w:lang w:eastAsia="cs-CZ"/>
        </w:rPr>
      </w:pPr>
    </w:p>
    <w:p w14:paraId="43196750" w14:textId="5C2264BC" w:rsidR="006C1A3B" w:rsidRPr="00DF5623" w:rsidRDefault="00F1644C" w:rsidP="00AC319A">
      <w:pPr>
        <w:pStyle w:val="Odstavecseseznamem"/>
        <w:numPr>
          <w:ilvl w:val="0"/>
          <w:numId w:val="36"/>
        </w:numPr>
        <w:spacing w:before="0" w:after="0"/>
        <w:ind w:left="284" w:hanging="284"/>
        <w:contextualSpacing w:val="0"/>
        <w:rPr>
          <w:rFonts w:asciiTheme="minorHAnsi" w:hAnsiTheme="minorHAnsi" w:cs="Calibri"/>
          <w:bCs/>
          <w:sz w:val="24"/>
          <w:szCs w:val="24"/>
        </w:rPr>
      </w:pPr>
      <w:r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>Z</w:t>
      </w:r>
      <w:r w:rsidR="0060179B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 pěti plánovaných </w:t>
      </w:r>
      <w:r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dílčích projektů </w:t>
      </w:r>
      <w:r w:rsidR="004B7D6F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spočívajících v budování nových sídel významných kulturních institucí </w:t>
      </w:r>
      <w:r w:rsidR="00544C6C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>zrealizovalo m</w:t>
      </w:r>
      <w:r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>ěsto Plzeň v rámci IPRM – PEHMK pouze jediný</w:t>
      </w:r>
      <w:r w:rsidR="00A9739D">
        <w:rPr>
          <w:rFonts w:asciiTheme="minorHAnsi" w:hAnsiTheme="minorHAnsi" w:cs="Calibri"/>
          <w:b/>
          <w:bCs/>
          <w:sz w:val="24"/>
          <w:szCs w:val="24"/>
          <w:lang w:eastAsia="cs-CZ"/>
        </w:rPr>
        <w:t>, a to</w:t>
      </w:r>
      <w:r w:rsidR="009400E6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 novostavbu</w:t>
      </w:r>
      <w:r w:rsidR="0060179B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 divadla</w:t>
      </w:r>
      <w:r w:rsidR="006C2F16" w:rsidRPr="00102E74">
        <w:rPr>
          <w:rFonts w:asciiTheme="minorHAnsi" w:hAnsiTheme="minorHAnsi" w:cs="Calibri"/>
          <w:b/>
          <w:bCs/>
          <w:sz w:val="24"/>
          <w:szCs w:val="24"/>
          <w:lang w:eastAsia="cs-CZ"/>
        </w:rPr>
        <w:t>.</w:t>
      </w:r>
      <w:r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</w:t>
      </w:r>
      <w:r w:rsidR="0060179B" w:rsidRPr="00DF5623">
        <w:rPr>
          <w:rFonts w:asciiTheme="minorHAnsi" w:hAnsiTheme="minorHAnsi" w:cs="Calibri"/>
          <w:bCs/>
          <w:sz w:val="24"/>
          <w:szCs w:val="24"/>
          <w:lang w:eastAsia="cs-CZ"/>
        </w:rPr>
        <w:t>P</w:t>
      </w:r>
      <w:r w:rsidR="001A1597" w:rsidRPr="00DF5623">
        <w:rPr>
          <w:rFonts w:asciiTheme="minorHAnsi" w:hAnsiTheme="minorHAnsi" w:cs="Calibri"/>
          <w:bCs/>
          <w:sz w:val="24"/>
          <w:szCs w:val="24"/>
          <w:lang w:eastAsia="cs-CZ"/>
        </w:rPr>
        <w:t>lánována byla</w:t>
      </w:r>
      <w:r w:rsidR="00544C6C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</w:t>
      </w:r>
      <w:r w:rsidR="001A1597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dále novostavba knihovny </w:t>
      </w:r>
      <w:r w:rsidR="0060179B" w:rsidRPr="00DF5623">
        <w:rPr>
          <w:rFonts w:asciiTheme="minorHAnsi" w:hAnsiTheme="minorHAnsi" w:cs="Calibri"/>
          <w:bCs/>
          <w:sz w:val="24"/>
          <w:szCs w:val="24"/>
          <w:lang w:eastAsia="cs-CZ"/>
        </w:rPr>
        <w:t>a</w:t>
      </w:r>
      <w:r w:rsidR="001A1597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rekonstrukce kulturního domu pro muzejní a galerijní účely</w:t>
      </w:r>
      <w:r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. Klíčové </w:t>
      </w:r>
      <w:r w:rsidR="00544C6C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dílčí </w:t>
      </w:r>
      <w:r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projekty </w:t>
      </w:r>
      <w:r w:rsidR="009400E6" w:rsidRPr="00DF5623">
        <w:rPr>
          <w:rFonts w:asciiTheme="minorHAnsi" w:hAnsiTheme="minorHAnsi" w:cs="Calibri"/>
          <w:bCs/>
          <w:sz w:val="24"/>
          <w:szCs w:val="24"/>
          <w:lang w:eastAsia="cs-CZ"/>
        </w:rPr>
        <w:t>multi</w:t>
      </w:r>
      <w:r w:rsidRPr="00DF5623">
        <w:rPr>
          <w:rFonts w:asciiTheme="minorHAnsi" w:hAnsiTheme="minorHAnsi" w:cs="Calibri"/>
          <w:bCs/>
          <w:sz w:val="24"/>
          <w:szCs w:val="24"/>
          <w:lang w:eastAsia="cs-CZ"/>
        </w:rPr>
        <w:t>kulturního centra a archivu</w:t>
      </w:r>
      <w:r w:rsidRPr="00DF562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EC0AB6" w:rsidRPr="00DF5623">
        <w:rPr>
          <w:rFonts w:asciiTheme="minorHAnsi" w:hAnsiTheme="minorHAnsi" w:cs="Calibri"/>
          <w:bCs/>
          <w:sz w:val="24"/>
          <w:szCs w:val="24"/>
        </w:rPr>
        <w:t xml:space="preserve">města </w:t>
      </w:r>
      <w:r w:rsidR="00544C6C" w:rsidRPr="00DF5623">
        <w:rPr>
          <w:rFonts w:asciiTheme="minorHAnsi" w:hAnsiTheme="minorHAnsi" w:cs="Calibri"/>
          <w:bCs/>
          <w:sz w:val="24"/>
          <w:szCs w:val="24"/>
        </w:rPr>
        <w:t xml:space="preserve">se </w:t>
      </w:r>
      <w:r w:rsidR="00610BDC" w:rsidRPr="00DF5623">
        <w:rPr>
          <w:rFonts w:asciiTheme="minorHAnsi" w:hAnsiTheme="minorHAnsi" w:cs="Calibri"/>
          <w:bCs/>
          <w:sz w:val="24"/>
          <w:szCs w:val="24"/>
        </w:rPr>
        <w:t>nepodařilo</w:t>
      </w:r>
      <w:r w:rsidRPr="00DF562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544C6C" w:rsidRPr="00DF5623">
        <w:rPr>
          <w:rFonts w:asciiTheme="minorHAnsi" w:hAnsiTheme="minorHAnsi" w:cs="Calibri"/>
          <w:bCs/>
          <w:sz w:val="24"/>
          <w:szCs w:val="24"/>
        </w:rPr>
        <w:t xml:space="preserve">realizovat, neboť město Plzeň neprovedlo </w:t>
      </w:r>
      <w:r w:rsidRPr="00DF5623">
        <w:rPr>
          <w:rFonts w:asciiTheme="minorHAnsi" w:hAnsiTheme="minorHAnsi" w:cs="Calibri"/>
          <w:bCs/>
          <w:sz w:val="24"/>
          <w:szCs w:val="24"/>
        </w:rPr>
        <w:t>veškeré přípravné práce tak, aby byla zaručena realizace</w:t>
      </w:r>
      <w:r w:rsidR="00544C6C" w:rsidRPr="00DF562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1A1597" w:rsidRPr="00DF5623">
        <w:rPr>
          <w:rFonts w:asciiTheme="minorHAnsi" w:hAnsiTheme="minorHAnsi" w:cs="Calibri"/>
          <w:bCs/>
          <w:sz w:val="24"/>
          <w:szCs w:val="24"/>
        </w:rPr>
        <w:t xml:space="preserve">těchto </w:t>
      </w:r>
      <w:r w:rsidR="00544C6C" w:rsidRPr="00DF5623">
        <w:rPr>
          <w:rFonts w:asciiTheme="minorHAnsi" w:hAnsiTheme="minorHAnsi" w:cs="Calibri"/>
          <w:bCs/>
          <w:sz w:val="24"/>
          <w:szCs w:val="24"/>
        </w:rPr>
        <w:t>projektů</w:t>
      </w:r>
      <w:r w:rsidRPr="00DF5623">
        <w:rPr>
          <w:rFonts w:asciiTheme="minorHAnsi" w:hAnsiTheme="minorHAnsi" w:cs="Calibri"/>
          <w:bCs/>
          <w:sz w:val="24"/>
          <w:szCs w:val="24"/>
        </w:rPr>
        <w:t xml:space="preserve"> v konečném termínu stanoveném RR</w:t>
      </w:r>
      <w:r w:rsidR="00544C6C" w:rsidRPr="00DF5623">
        <w:rPr>
          <w:rFonts w:asciiTheme="minorHAnsi" w:hAnsiTheme="minorHAnsi" w:cs="Calibri"/>
          <w:bCs/>
          <w:sz w:val="24"/>
          <w:szCs w:val="24"/>
        </w:rPr>
        <w:t>.</w:t>
      </w:r>
    </w:p>
    <w:p w14:paraId="586447F0" w14:textId="676C99FA" w:rsidR="006C2F16" w:rsidRDefault="00BD3551" w:rsidP="00AC319A">
      <w:pPr>
        <w:pStyle w:val="Odstavecseseznamem"/>
        <w:spacing w:before="0" w:after="0"/>
        <w:ind w:left="284"/>
        <w:contextualSpacing w:val="0"/>
        <w:rPr>
          <w:rFonts w:asciiTheme="minorHAnsi" w:hAnsiTheme="minorHAnsi" w:cs="Calibri"/>
          <w:bCs/>
          <w:sz w:val="24"/>
          <w:szCs w:val="24"/>
          <w:lang w:eastAsia="cs-CZ"/>
        </w:rPr>
      </w:pPr>
      <w:r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V důsledku nepřipravenosti investičních projektů </w:t>
      </w:r>
      <w:r w:rsidR="000D17D5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>IPRM – PEHMK nevyčerpalo město Plzeň</w:t>
      </w:r>
      <w:r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 </w:t>
      </w:r>
      <w:r w:rsidR="006C2F16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významnou část alokace peněžních prostředků. </w:t>
      </w:r>
      <w:r w:rsidR="00893CEC" w:rsidRPr="00893CEC">
        <w:rPr>
          <w:rFonts w:asciiTheme="minorHAnsi" w:hAnsiTheme="minorHAnsi" w:cs="Calibri"/>
          <w:bCs/>
          <w:sz w:val="24"/>
          <w:szCs w:val="24"/>
          <w:lang w:eastAsia="cs-CZ"/>
        </w:rPr>
        <w:t>Při kontrole NKÚ bylo zjištěno, že</w:t>
      </w:r>
      <w:r w:rsidR="00893CEC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</w:t>
      </w:r>
      <w:r w:rsidR="005E54FE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se </w:t>
      </w:r>
      <w:r w:rsidR="00F77519" w:rsidRPr="00DF5623">
        <w:rPr>
          <w:rFonts w:asciiTheme="minorHAnsi" w:hAnsiTheme="minorHAnsi" w:cs="Calibri"/>
          <w:bCs/>
          <w:sz w:val="24"/>
          <w:szCs w:val="24"/>
          <w:lang w:eastAsia="cs-CZ"/>
        </w:rPr>
        <w:t>jedná</w:t>
      </w:r>
      <w:r w:rsidR="000D17D5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o </w:t>
      </w:r>
      <w:r w:rsidR="006C2F16" w:rsidRPr="00DF5623">
        <w:rPr>
          <w:rFonts w:asciiTheme="minorHAnsi" w:hAnsiTheme="minorHAnsi" w:cs="Calibri"/>
          <w:bCs/>
          <w:sz w:val="24"/>
          <w:szCs w:val="24"/>
          <w:lang w:eastAsia="cs-CZ"/>
        </w:rPr>
        <w:t>částku převyšující 6 mil. </w:t>
      </w:r>
      <w:r w:rsidR="00A9739D">
        <w:rPr>
          <w:rFonts w:asciiTheme="minorHAnsi" w:hAnsiTheme="minorHAnsi" w:cs="Calibri"/>
          <w:bCs/>
          <w:sz w:val="24"/>
          <w:szCs w:val="24"/>
          <w:lang w:eastAsia="cs-CZ"/>
        </w:rPr>
        <w:t>eur</w:t>
      </w:r>
      <w:r w:rsidR="006C2F16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, což </w:t>
      </w:r>
      <w:r w:rsidR="00F77519" w:rsidRPr="00DF5623">
        <w:rPr>
          <w:rFonts w:asciiTheme="minorHAnsi" w:hAnsiTheme="minorHAnsi" w:cs="Calibri"/>
          <w:bCs/>
          <w:sz w:val="24"/>
          <w:szCs w:val="24"/>
          <w:lang w:eastAsia="cs-CZ"/>
        </w:rPr>
        <w:t>činí</w:t>
      </w:r>
      <w:r w:rsidR="006C2F16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přibližně </w:t>
      </w:r>
      <w:r w:rsidR="00A9739D">
        <w:rPr>
          <w:rFonts w:asciiTheme="minorHAnsi" w:hAnsiTheme="minorHAnsi" w:cstheme="minorHAnsi"/>
          <w:bCs/>
          <w:sz w:val="24"/>
          <w:szCs w:val="24"/>
          <w:lang w:eastAsia="cs-CZ"/>
        </w:rPr>
        <w:t>⅓</w:t>
      </w:r>
      <w:r w:rsidR="006C2F16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</w:t>
      </w:r>
      <w:r w:rsidR="000D17D5" w:rsidRPr="00DF5623">
        <w:rPr>
          <w:rFonts w:asciiTheme="minorHAnsi" w:hAnsiTheme="minorHAnsi" w:cs="Calibri"/>
          <w:bCs/>
          <w:sz w:val="24"/>
          <w:szCs w:val="24"/>
          <w:lang w:eastAsia="cs-CZ"/>
        </w:rPr>
        <w:t>schválené</w:t>
      </w:r>
      <w:r w:rsidR="006C2F16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alokace.</w:t>
      </w:r>
    </w:p>
    <w:p w14:paraId="0E20778C" w14:textId="77777777" w:rsidR="00AC319A" w:rsidRPr="00AC319A" w:rsidRDefault="00AC319A" w:rsidP="00AC319A">
      <w:pPr>
        <w:pStyle w:val="Odstavecseseznamem"/>
        <w:spacing w:before="0" w:after="0"/>
        <w:ind w:left="0"/>
        <w:contextualSpacing w:val="0"/>
        <w:rPr>
          <w:rFonts w:asciiTheme="minorHAnsi" w:hAnsiTheme="minorHAnsi" w:cs="Calibri"/>
          <w:bCs/>
          <w:sz w:val="24"/>
          <w:szCs w:val="24"/>
          <w:lang w:eastAsia="cs-CZ"/>
        </w:rPr>
      </w:pPr>
    </w:p>
    <w:p w14:paraId="7F3C2AA7" w14:textId="024EB378" w:rsidR="006F3A0A" w:rsidRPr="00AC319A" w:rsidRDefault="006F3A0A" w:rsidP="00AC319A">
      <w:pPr>
        <w:pStyle w:val="Odstavecseseznamem"/>
        <w:numPr>
          <w:ilvl w:val="0"/>
          <w:numId w:val="36"/>
        </w:numPr>
        <w:spacing w:before="0" w:after="0"/>
        <w:ind w:left="284" w:hanging="284"/>
        <w:contextualSpacing w:val="0"/>
        <w:rPr>
          <w:rFonts w:asciiTheme="minorHAnsi" w:hAnsiTheme="minorHAnsi" w:cs="Calibri"/>
          <w:b/>
          <w:bCs/>
          <w:sz w:val="24"/>
          <w:szCs w:val="24"/>
          <w:lang w:eastAsia="cs-CZ"/>
        </w:rPr>
      </w:pPr>
      <w:r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Stanovené indikátory projektů neměly reálnou vypovídací schopnost. </w:t>
      </w:r>
      <w:r w:rsidR="00C65161" w:rsidRPr="00C65161">
        <w:rPr>
          <w:rFonts w:asciiTheme="minorHAnsi" w:hAnsiTheme="minorHAnsi" w:cs="Calibri"/>
          <w:b/>
          <w:bCs/>
          <w:sz w:val="24"/>
          <w:szCs w:val="24"/>
          <w:lang w:eastAsia="cs-CZ"/>
        </w:rPr>
        <w:t>RR nestanovila reálné ceny za jednotky indikátorů projektů</w:t>
      </w:r>
      <w:r w:rsidR="00E152EC" w:rsidRPr="00DF5623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. </w:t>
      </w:r>
      <w:r w:rsidR="00374E66" w:rsidRPr="00374E66">
        <w:rPr>
          <w:rFonts w:asciiTheme="minorHAnsi" w:hAnsiTheme="minorHAnsi" w:cs="Calibri"/>
          <w:bCs/>
          <w:sz w:val="24"/>
          <w:szCs w:val="24"/>
          <w:lang w:eastAsia="cs-CZ"/>
        </w:rPr>
        <w:t xml:space="preserve">Optimální částky dotace vypočítávané RR na základě </w:t>
      </w:r>
      <w:r w:rsidR="00374E66">
        <w:rPr>
          <w:rFonts w:asciiTheme="minorHAnsi" w:hAnsiTheme="minorHAnsi" w:cs="Calibri"/>
          <w:bCs/>
          <w:sz w:val="24"/>
          <w:szCs w:val="24"/>
          <w:lang w:eastAsia="cs-CZ"/>
        </w:rPr>
        <w:t>stanovených</w:t>
      </w:r>
      <w:r w:rsidR="00374E66" w:rsidRPr="00374E66">
        <w:rPr>
          <w:rFonts w:asciiTheme="minorHAnsi" w:hAnsiTheme="minorHAnsi" w:cs="Calibri"/>
          <w:bCs/>
          <w:sz w:val="24"/>
          <w:szCs w:val="24"/>
          <w:lang w:eastAsia="cs-CZ"/>
        </w:rPr>
        <w:t xml:space="preserve"> indikátorů byly ve významném rozporu s rozpočty projektů a některé projekty byly neopodstatněně kvalifikovány jako mimořádně hospodárné</w:t>
      </w:r>
      <w:r w:rsidR="00ED1B7E">
        <w:rPr>
          <w:rFonts w:asciiTheme="minorHAnsi" w:hAnsiTheme="minorHAnsi" w:cs="Calibri"/>
          <w:bCs/>
          <w:sz w:val="24"/>
          <w:szCs w:val="24"/>
          <w:lang w:eastAsia="cs-CZ"/>
        </w:rPr>
        <w:t>.</w:t>
      </w:r>
      <w:r w:rsidR="00374E66" w:rsidRPr="00DF5623">
        <w:rPr>
          <w:rFonts w:asciiTheme="minorHAnsi" w:hAnsiTheme="minorHAnsi" w:cs="Calibri"/>
          <w:bCs/>
          <w:sz w:val="24"/>
          <w:szCs w:val="24"/>
          <w:lang w:eastAsia="cs-CZ"/>
        </w:rPr>
        <w:t xml:space="preserve"> </w:t>
      </w:r>
      <w:r w:rsidRPr="00DF5623">
        <w:rPr>
          <w:rFonts w:asciiTheme="minorHAnsi" w:hAnsiTheme="minorHAnsi" w:cs="Calibri"/>
          <w:bCs/>
          <w:sz w:val="24"/>
          <w:szCs w:val="24"/>
          <w:lang w:eastAsia="cs-CZ"/>
        </w:rPr>
        <w:t>Přitom smyslem indikátorů projektů bylo zejména měření cílů projektu, využití při hodnocení projektů či posouzení dosažených efektů a</w:t>
      </w:r>
      <w:r w:rsidR="00741C68">
        <w:rPr>
          <w:rFonts w:asciiTheme="minorHAnsi" w:hAnsiTheme="minorHAnsi" w:cs="Calibri"/>
          <w:bCs/>
          <w:sz w:val="24"/>
          <w:szCs w:val="24"/>
          <w:lang w:eastAsia="cs-CZ"/>
        </w:rPr>
        <w:t> </w:t>
      </w:r>
      <w:r w:rsidRPr="007B2498">
        <w:rPr>
          <w:rFonts w:asciiTheme="minorHAnsi" w:hAnsiTheme="minorHAnsi" w:cs="Calibri"/>
          <w:bCs/>
          <w:sz w:val="24"/>
          <w:szCs w:val="24"/>
          <w:lang w:eastAsia="cs-CZ"/>
        </w:rPr>
        <w:t>případně kvality projektu.</w:t>
      </w:r>
    </w:p>
    <w:p w14:paraId="6D4AA72C" w14:textId="77777777" w:rsidR="00AC319A" w:rsidRPr="00AC319A" w:rsidRDefault="00AC319A" w:rsidP="00AC319A">
      <w:pPr>
        <w:spacing w:before="0" w:after="0"/>
        <w:rPr>
          <w:rFonts w:asciiTheme="minorHAnsi" w:hAnsiTheme="minorHAnsi" w:cs="Calibri"/>
          <w:bCs/>
          <w:sz w:val="24"/>
          <w:szCs w:val="24"/>
          <w:lang w:eastAsia="cs-CZ"/>
        </w:rPr>
      </w:pPr>
    </w:p>
    <w:p w14:paraId="5ABE4AC3" w14:textId="106DC320" w:rsidR="00E55D7A" w:rsidRDefault="00F77519" w:rsidP="00AC319A">
      <w:pPr>
        <w:pStyle w:val="Odstavecseseznamem"/>
        <w:numPr>
          <w:ilvl w:val="0"/>
          <w:numId w:val="36"/>
        </w:numPr>
        <w:spacing w:before="0" w:after="0"/>
        <w:ind w:left="284" w:hanging="284"/>
        <w:contextualSpacing w:val="0"/>
        <w:rPr>
          <w:rFonts w:asciiTheme="minorHAnsi" w:hAnsiTheme="minorHAnsi" w:cs="Calibri"/>
          <w:b/>
          <w:bCs/>
          <w:sz w:val="24"/>
          <w:szCs w:val="24"/>
          <w:lang w:eastAsia="cs-CZ"/>
        </w:rPr>
      </w:pPr>
      <w:r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>NKÚ zjistil</w:t>
      </w:r>
      <w:r w:rsidR="00DF220C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>, že v některých příp</w:t>
      </w:r>
      <w:r w:rsidR="006F3A0A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>adech věcného hodnocení projektů</w:t>
      </w:r>
      <w:r w:rsidR="00DF220C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 nebyla výše bodů </w:t>
      </w:r>
      <w:r w:rsidR="00ED1B7E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přidělených hodnotiteli RR </w:t>
      </w:r>
      <w:r w:rsidR="00DF220C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opodstatněná. </w:t>
      </w:r>
      <w:r w:rsidR="00E55D7A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>V přidělování bodů byl</w:t>
      </w:r>
      <w:r w:rsidR="00ED1B7E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>y zjištěny významné disproporce. Tyto skutečnosti nesvědčí o objektivním hodnocení</w:t>
      </w:r>
      <w:r w:rsidR="00E55D7A" w:rsidRPr="007E3ABD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 projektů.</w:t>
      </w:r>
    </w:p>
    <w:p w14:paraId="1C064F0B" w14:textId="77777777" w:rsidR="00AC319A" w:rsidRPr="00AC319A" w:rsidRDefault="00AC319A" w:rsidP="00AC319A">
      <w:pPr>
        <w:spacing w:before="0" w:after="0"/>
        <w:rPr>
          <w:rFonts w:asciiTheme="minorHAnsi" w:hAnsiTheme="minorHAnsi" w:cs="Calibri"/>
          <w:bCs/>
          <w:sz w:val="24"/>
          <w:szCs w:val="24"/>
          <w:lang w:eastAsia="cs-CZ"/>
        </w:rPr>
      </w:pPr>
    </w:p>
    <w:p w14:paraId="1A02E3A7" w14:textId="2047A942" w:rsidR="00613D14" w:rsidRDefault="00613D14" w:rsidP="00AC319A">
      <w:pPr>
        <w:pStyle w:val="Odstavecseseznamem"/>
        <w:numPr>
          <w:ilvl w:val="0"/>
          <w:numId w:val="36"/>
        </w:numPr>
        <w:spacing w:before="0" w:after="0"/>
        <w:ind w:left="284" w:hanging="284"/>
        <w:contextualSpacing w:val="0"/>
        <w:rPr>
          <w:rFonts w:asciiTheme="minorHAnsi" w:hAnsiTheme="minorHAnsi" w:cs="Calibri"/>
          <w:b/>
          <w:bCs/>
          <w:sz w:val="24"/>
          <w:szCs w:val="24"/>
          <w:lang w:eastAsia="cs-CZ"/>
        </w:rPr>
      </w:pPr>
      <w:r w:rsidRPr="00613D14">
        <w:rPr>
          <w:rFonts w:asciiTheme="minorHAnsi" w:hAnsiTheme="minorHAnsi" w:cs="Calibri"/>
          <w:b/>
          <w:bCs/>
          <w:sz w:val="24"/>
          <w:szCs w:val="24"/>
          <w:lang w:eastAsia="cs-CZ"/>
        </w:rPr>
        <w:t>NKÚ ne</w:t>
      </w:r>
      <w:r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byl oprávněn </w:t>
      </w:r>
      <w:r w:rsidRPr="00613D14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s ohledem na </w:t>
      </w:r>
      <w:r>
        <w:rPr>
          <w:rFonts w:asciiTheme="minorHAnsi" w:hAnsiTheme="minorHAnsi" w:cs="Calibri"/>
          <w:b/>
          <w:bCs/>
          <w:sz w:val="24"/>
          <w:szCs w:val="24"/>
          <w:lang w:eastAsia="cs-CZ"/>
        </w:rPr>
        <w:t>p</w:t>
      </w:r>
      <w:r w:rsidRPr="00613D14">
        <w:rPr>
          <w:rFonts w:asciiTheme="minorHAnsi" w:hAnsiTheme="minorHAnsi" w:cs="Calibri"/>
          <w:b/>
          <w:bCs/>
          <w:sz w:val="24"/>
          <w:szCs w:val="24"/>
          <w:lang w:eastAsia="cs-CZ"/>
        </w:rPr>
        <w:t>latné znění zákona o NKÚ</w:t>
      </w:r>
      <w:r>
        <w:rPr>
          <w:rStyle w:val="Znakapoznpodarou"/>
          <w:rFonts w:asciiTheme="minorHAnsi" w:hAnsiTheme="minorHAnsi" w:cs="Calibri"/>
          <w:b/>
          <w:bCs/>
          <w:sz w:val="24"/>
          <w:szCs w:val="24"/>
          <w:lang w:eastAsia="cs-CZ"/>
        </w:rPr>
        <w:footnoteReference w:id="4"/>
      </w:r>
      <w:r w:rsidRPr="00613D14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 provést v rámci projektu </w:t>
      </w:r>
      <w:r w:rsidR="00BF53C0">
        <w:rPr>
          <w:rFonts w:asciiTheme="minorHAnsi" w:hAnsiTheme="minorHAnsi" w:cs="Calibri"/>
          <w:b/>
          <w:bCs/>
          <w:sz w:val="24"/>
          <w:szCs w:val="24"/>
          <w:lang w:eastAsia="cs-CZ"/>
        </w:rPr>
        <w:t>výstavby n</w:t>
      </w:r>
      <w:r w:rsidRPr="00613D14">
        <w:rPr>
          <w:rFonts w:asciiTheme="minorHAnsi" w:hAnsiTheme="minorHAnsi" w:cs="Calibri"/>
          <w:b/>
          <w:bCs/>
          <w:sz w:val="24"/>
          <w:szCs w:val="24"/>
          <w:lang w:eastAsia="cs-CZ"/>
        </w:rPr>
        <w:t>ového divadla kontrolu 75 % výdajů.</w:t>
      </w:r>
    </w:p>
    <w:p w14:paraId="114E59F2" w14:textId="77777777" w:rsidR="00AC319A" w:rsidRPr="00AC319A" w:rsidRDefault="00AC319A" w:rsidP="00AC319A">
      <w:pPr>
        <w:spacing w:before="0" w:after="0"/>
        <w:rPr>
          <w:rFonts w:asciiTheme="minorHAnsi" w:hAnsiTheme="minorHAnsi" w:cs="Calibri"/>
          <w:bCs/>
          <w:sz w:val="24"/>
          <w:szCs w:val="24"/>
          <w:lang w:eastAsia="cs-CZ"/>
        </w:rPr>
      </w:pPr>
    </w:p>
    <w:p w14:paraId="1E1F3555" w14:textId="0573D317" w:rsidR="002275CA" w:rsidRPr="00AC319A" w:rsidRDefault="002275CA" w:rsidP="00AC319A">
      <w:pPr>
        <w:pStyle w:val="Odstavecseseznamem"/>
        <w:numPr>
          <w:ilvl w:val="0"/>
          <w:numId w:val="36"/>
        </w:numPr>
        <w:spacing w:before="0" w:after="0"/>
        <w:ind w:left="284" w:hanging="284"/>
        <w:contextualSpacing w:val="0"/>
        <w:rPr>
          <w:rFonts w:asciiTheme="minorHAnsi" w:hAnsiTheme="minorHAnsi" w:cs="Calibri"/>
          <w:b/>
          <w:bCs/>
          <w:sz w:val="24"/>
          <w:szCs w:val="24"/>
          <w:lang w:eastAsia="cs-CZ"/>
        </w:rPr>
      </w:pPr>
      <w:r w:rsidRPr="00613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Město Plzeň </w:t>
      </w:r>
      <w:r w:rsidR="000D2310" w:rsidRPr="00613D14">
        <w:rPr>
          <w:rFonts w:asciiTheme="minorHAnsi" w:hAnsiTheme="minorHAnsi" w:cstheme="minorHAnsi"/>
          <w:b/>
          <w:color w:val="000000"/>
          <w:sz w:val="24"/>
          <w:szCs w:val="24"/>
        </w:rPr>
        <w:t>v několika případech nedodrželo zákon o veřejných zakázkách</w:t>
      </w:r>
      <w:r w:rsidR="00C65161">
        <w:rPr>
          <w:rStyle w:val="Znakapoznpodarou"/>
          <w:rFonts w:asciiTheme="minorHAnsi" w:hAnsiTheme="minorHAnsi" w:cstheme="minorHAnsi"/>
          <w:b/>
          <w:color w:val="000000"/>
          <w:sz w:val="24"/>
          <w:szCs w:val="24"/>
        </w:rPr>
        <w:footnoteReference w:id="5"/>
      </w:r>
      <w:r w:rsidR="000D2310" w:rsidRPr="00613D1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ED1B7E" w:rsidRPr="00613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D1B7E" w:rsidRPr="00613D14">
        <w:rPr>
          <w:rFonts w:asciiTheme="minorHAnsi" w:hAnsiTheme="minorHAnsi" w:cstheme="minorHAnsi"/>
          <w:color w:val="000000"/>
          <w:sz w:val="24"/>
          <w:szCs w:val="24"/>
        </w:rPr>
        <w:t xml:space="preserve">Jednalo se </w:t>
      </w:r>
      <w:r w:rsidR="00B73F26" w:rsidRPr="00613D14">
        <w:rPr>
          <w:rFonts w:asciiTheme="minorHAnsi" w:hAnsiTheme="minorHAnsi" w:cstheme="minorHAnsi"/>
          <w:color w:val="000000"/>
          <w:sz w:val="24"/>
          <w:szCs w:val="24"/>
        </w:rPr>
        <w:t xml:space="preserve">zejména </w:t>
      </w:r>
      <w:r w:rsidR="00ED1B7E" w:rsidRPr="00613D14">
        <w:rPr>
          <w:rFonts w:asciiTheme="minorHAnsi" w:hAnsiTheme="minorHAnsi" w:cstheme="minorHAnsi"/>
          <w:color w:val="000000"/>
          <w:sz w:val="24"/>
          <w:szCs w:val="24"/>
        </w:rPr>
        <w:t>o nedostatky při dodržování zákon</w:t>
      </w:r>
      <w:r w:rsidR="00B73F26" w:rsidRPr="00613D14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ED1B7E" w:rsidRPr="00613D14">
        <w:rPr>
          <w:rFonts w:asciiTheme="minorHAnsi" w:hAnsiTheme="minorHAnsi" w:cstheme="minorHAnsi"/>
          <w:color w:val="000000"/>
          <w:sz w:val="24"/>
          <w:szCs w:val="24"/>
        </w:rPr>
        <w:t xml:space="preserve">ých </w:t>
      </w:r>
      <w:r w:rsidR="00B73F26" w:rsidRPr="00613D14">
        <w:rPr>
          <w:rFonts w:asciiTheme="minorHAnsi" w:hAnsiTheme="minorHAnsi" w:cstheme="minorHAnsi"/>
          <w:color w:val="000000"/>
          <w:sz w:val="24"/>
          <w:szCs w:val="24"/>
        </w:rPr>
        <w:t>lhůt</w:t>
      </w:r>
      <w:r w:rsidR="000D2310" w:rsidRPr="00613D14">
        <w:rPr>
          <w:rFonts w:asciiTheme="minorHAnsi" w:hAnsiTheme="minorHAnsi" w:cstheme="minorHAnsi"/>
          <w:sz w:val="24"/>
          <w:szCs w:val="24"/>
          <w:lang w:eastAsia="cs-CZ"/>
        </w:rPr>
        <w:t xml:space="preserve">. RR vyčíslila </w:t>
      </w:r>
      <w:r w:rsidR="00D54AAE" w:rsidRPr="00613D14">
        <w:rPr>
          <w:rFonts w:asciiTheme="minorHAnsi" w:hAnsiTheme="minorHAnsi" w:cstheme="minorHAnsi"/>
          <w:sz w:val="24"/>
          <w:szCs w:val="24"/>
          <w:lang w:eastAsia="cs-CZ"/>
        </w:rPr>
        <w:t>v</w:t>
      </w:r>
      <w:r w:rsidR="00894408" w:rsidRPr="00613D14">
        <w:rPr>
          <w:rFonts w:asciiTheme="minorHAnsi" w:hAnsiTheme="minorHAnsi" w:cstheme="minorHAnsi"/>
          <w:sz w:val="24"/>
          <w:szCs w:val="24"/>
          <w:lang w:eastAsia="cs-CZ"/>
        </w:rPr>
        <w:t xml:space="preserve"> rámci kontrolovaných </w:t>
      </w:r>
      <w:r w:rsidR="00894408" w:rsidRPr="00613D14">
        <w:rPr>
          <w:rFonts w:asciiTheme="minorHAnsi" w:hAnsiTheme="minorHAnsi" w:cstheme="minorHAnsi"/>
          <w:sz w:val="24"/>
          <w:szCs w:val="24"/>
          <w:lang w:eastAsia="cs-CZ"/>
        </w:rPr>
        <w:lastRenderedPageBreak/>
        <w:t xml:space="preserve">dílčích </w:t>
      </w:r>
      <w:r w:rsidR="00D54AAE" w:rsidRPr="00613D14">
        <w:rPr>
          <w:rFonts w:asciiTheme="minorHAnsi" w:hAnsiTheme="minorHAnsi" w:cstheme="minorHAnsi"/>
          <w:sz w:val="24"/>
          <w:szCs w:val="24"/>
          <w:lang w:eastAsia="cs-CZ"/>
        </w:rPr>
        <w:t xml:space="preserve">projektů </w:t>
      </w:r>
      <w:r w:rsidR="00B73F26" w:rsidRPr="00613D14">
        <w:rPr>
          <w:rFonts w:asciiTheme="minorHAnsi" w:hAnsiTheme="minorHAnsi" w:cstheme="minorHAnsi"/>
          <w:sz w:val="24"/>
          <w:szCs w:val="24"/>
          <w:lang w:eastAsia="cs-CZ"/>
        </w:rPr>
        <w:t xml:space="preserve">v důsledku všech zjištěných nedostatků </w:t>
      </w:r>
      <w:r w:rsidR="00D54AAE" w:rsidRPr="00613D14">
        <w:rPr>
          <w:rFonts w:asciiTheme="minorHAnsi" w:hAnsiTheme="minorHAnsi" w:cstheme="minorHAnsi"/>
          <w:sz w:val="24"/>
          <w:szCs w:val="24"/>
          <w:lang w:eastAsia="cs-CZ"/>
        </w:rPr>
        <w:t>krácení dotace</w:t>
      </w:r>
      <w:r w:rsidR="000D2310" w:rsidRPr="00613D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D54AAE" w:rsidRPr="00613D14">
        <w:rPr>
          <w:rFonts w:asciiTheme="minorHAnsi" w:hAnsiTheme="minorHAnsi" w:cstheme="minorHAnsi"/>
          <w:sz w:val="24"/>
          <w:szCs w:val="24"/>
          <w:lang w:eastAsia="cs-CZ"/>
        </w:rPr>
        <w:t>v celkové výši 74 997 404 Kč.</w:t>
      </w:r>
    </w:p>
    <w:p w14:paraId="55133A55" w14:textId="77777777" w:rsidR="00AC319A" w:rsidRPr="00AC319A" w:rsidRDefault="00AC319A" w:rsidP="00AC319A">
      <w:pPr>
        <w:spacing w:before="0" w:after="0"/>
        <w:rPr>
          <w:rFonts w:asciiTheme="minorHAnsi" w:hAnsiTheme="minorHAnsi" w:cs="Calibri"/>
          <w:bCs/>
          <w:sz w:val="24"/>
          <w:szCs w:val="24"/>
          <w:lang w:eastAsia="cs-CZ"/>
        </w:rPr>
      </w:pPr>
    </w:p>
    <w:p w14:paraId="113D0B85" w14:textId="78351853" w:rsidR="00751314" w:rsidRDefault="00751314" w:rsidP="00AC319A">
      <w:pPr>
        <w:pStyle w:val="Odstavecseseznamem"/>
        <w:numPr>
          <w:ilvl w:val="0"/>
          <w:numId w:val="36"/>
        </w:numPr>
        <w:spacing w:before="0" w:after="0"/>
        <w:ind w:left="284" w:hanging="284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7513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Město Plzeň nedodržovalo podmínky stanovené RR ve </w:t>
      </w:r>
      <w:r w:rsidR="00A9739D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751314">
        <w:rPr>
          <w:rFonts w:asciiTheme="minorHAnsi" w:hAnsiTheme="minorHAnsi" w:cstheme="minorHAnsi"/>
          <w:b/>
          <w:color w:val="000000"/>
          <w:sz w:val="24"/>
          <w:szCs w:val="24"/>
        </w:rPr>
        <w:t>mlouvách o poskytnutí dotace</w:t>
      </w:r>
      <w:r w:rsidRPr="00102E74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751314">
        <w:rPr>
          <w:rFonts w:asciiTheme="minorHAnsi" w:hAnsiTheme="minorHAnsi" w:cstheme="minorHAnsi"/>
          <w:color w:val="000000"/>
          <w:sz w:val="24"/>
          <w:szCs w:val="24"/>
        </w:rPr>
        <w:t xml:space="preserve"> které se týkaly řádného oznamování změn v projektech, přičemž v některých případech se jednalo o zásadní změny projektu spočívající ve změnách výše výdajů projektů a termínů realizace staveb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3AC854" w14:textId="77777777" w:rsidR="00AC319A" w:rsidRDefault="00AC319A" w:rsidP="00AC319A">
      <w:p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9AA3137" w14:textId="77777777" w:rsidR="00AC319A" w:rsidRPr="00AC319A" w:rsidRDefault="00AC319A" w:rsidP="00AC319A">
      <w:p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4A03C8D" w14:textId="7F6FADD9" w:rsidR="00DF220C" w:rsidRPr="00C052B6" w:rsidRDefault="004357EF" w:rsidP="00D57E87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2498">
        <w:rPr>
          <w:rFonts w:asciiTheme="minorHAnsi" w:hAnsiTheme="minorHAnsi" w:cstheme="minorHAnsi"/>
          <w:b/>
          <w:sz w:val="26"/>
          <w:szCs w:val="26"/>
        </w:rPr>
        <w:t>III</w:t>
      </w:r>
      <w:r w:rsidR="00DF220C" w:rsidRPr="007B2498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Pr="007B2498">
        <w:rPr>
          <w:rFonts w:asciiTheme="minorHAnsi" w:hAnsiTheme="minorHAnsi" w:cstheme="minorHAnsi"/>
          <w:b/>
          <w:sz w:val="26"/>
          <w:szCs w:val="26"/>
        </w:rPr>
        <w:t>Skutečnosti zjištěné</w:t>
      </w:r>
      <w:r w:rsidR="00DF220C" w:rsidRPr="007B2498">
        <w:rPr>
          <w:rFonts w:asciiTheme="minorHAnsi" w:hAnsiTheme="minorHAnsi" w:cstheme="minorHAnsi"/>
          <w:b/>
          <w:sz w:val="26"/>
          <w:szCs w:val="26"/>
        </w:rPr>
        <w:t xml:space="preserve"> při kontrole</w:t>
      </w:r>
    </w:p>
    <w:p w14:paraId="4320CCE5" w14:textId="77777777" w:rsidR="00C052B6" w:rsidRPr="00AC319A" w:rsidRDefault="00C052B6" w:rsidP="00AC319A">
      <w:pPr>
        <w:spacing w:before="0" w:after="0"/>
        <w:rPr>
          <w:rFonts w:ascii="Calibri" w:hAnsi="Calibri" w:cs="Calibri"/>
          <w:sz w:val="24"/>
          <w:szCs w:val="24"/>
        </w:rPr>
      </w:pPr>
    </w:p>
    <w:p w14:paraId="7521E7B1" w14:textId="2F291A76" w:rsidR="00F2143D" w:rsidRP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24"/>
          <w:szCs w:val="24"/>
        </w:rPr>
      </w:pPr>
      <w:r w:rsidRPr="00AC319A">
        <w:rPr>
          <w:rFonts w:ascii="Calibri" w:hAnsi="Calibri" w:cs="Calibri"/>
          <w:b/>
          <w:sz w:val="24"/>
          <w:szCs w:val="24"/>
        </w:rPr>
        <w:t xml:space="preserve">1. </w:t>
      </w:r>
      <w:r w:rsidR="00F2143D" w:rsidRPr="00AC319A">
        <w:rPr>
          <w:rFonts w:ascii="Calibri" w:hAnsi="Calibri" w:cs="Calibri"/>
          <w:b/>
          <w:sz w:val="24"/>
          <w:szCs w:val="24"/>
        </w:rPr>
        <w:t>Integrovaný plán rozvoje města – IPRM Plzeň 2015</w:t>
      </w:r>
    </w:p>
    <w:p w14:paraId="1D1807F3" w14:textId="77777777" w:rsid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14:paraId="46CC90FB" w14:textId="77BADB06" w:rsidR="003C523F" w:rsidRPr="00AC319A" w:rsidRDefault="0003566C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AC319A">
        <w:rPr>
          <w:rFonts w:ascii="Calibri" w:hAnsi="Calibri" w:cs="Calibri"/>
          <w:sz w:val="24"/>
          <w:szCs w:val="24"/>
        </w:rPr>
        <w:t xml:space="preserve">Město Plzeň a RR uzavřely v lednu 2009 </w:t>
      </w:r>
      <w:r w:rsidR="001F1444">
        <w:rPr>
          <w:rFonts w:ascii="Calibri" w:hAnsi="Calibri" w:cs="Calibri"/>
          <w:sz w:val="24"/>
          <w:szCs w:val="24"/>
        </w:rPr>
        <w:t>s</w:t>
      </w:r>
      <w:r w:rsidRPr="00AC319A">
        <w:rPr>
          <w:rFonts w:ascii="Calibri" w:hAnsi="Calibri" w:cs="Calibri"/>
          <w:sz w:val="24"/>
          <w:szCs w:val="24"/>
        </w:rPr>
        <w:t xml:space="preserve">mlouvu o realizaci </w:t>
      </w:r>
      <w:r w:rsidR="00C77CFE">
        <w:rPr>
          <w:rFonts w:ascii="Calibri" w:hAnsi="Calibri" w:cs="Calibri"/>
          <w:sz w:val="24"/>
          <w:szCs w:val="24"/>
        </w:rPr>
        <w:t>„</w:t>
      </w:r>
      <w:r w:rsidR="00BF53C0">
        <w:rPr>
          <w:rFonts w:ascii="Calibri" w:hAnsi="Calibri" w:cs="Calibri"/>
          <w:sz w:val="24"/>
          <w:szCs w:val="24"/>
        </w:rPr>
        <w:t>i</w:t>
      </w:r>
      <w:r w:rsidRPr="00BF53C0">
        <w:rPr>
          <w:rFonts w:ascii="Calibri" w:hAnsi="Calibri" w:cs="Calibri"/>
          <w:sz w:val="24"/>
          <w:szCs w:val="24"/>
        </w:rPr>
        <w:t xml:space="preserve">ntegrovaného plánu </w:t>
      </w:r>
      <w:r w:rsidR="00AB10E4" w:rsidRPr="00BF53C0">
        <w:rPr>
          <w:rFonts w:ascii="Calibri" w:hAnsi="Calibri" w:cs="Calibri"/>
          <w:sz w:val="24"/>
          <w:szCs w:val="24"/>
        </w:rPr>
        <w:t xml:space="preserve">rozvoje města </w:t>
      </w:r>
      <w:r w:rsidRPr="00BF53C0">
        <w:rPr>
          <w:rFonts w:ascii="Calibri" w:hAnsi="Calibri" w:cs="Calibri"/>
          <w:sz w:val="24"/>
          <w:szCs w:val="24"/>
        </w:rPr>
        <w:t xml:space="preserve">Plzeň </w:t>
      </w:r>
      <w:r w:rsidR="001F1444" w:rsidRPr="00BF53C0">
        <w:rPr>
          <w:rFonts w:ascii="Calibri" w:hAnsi="Calibri" w:cs="Calibri"/>
          <w:sz w:val="24"/>
          <w:szCs w:val="24"/>
        </w:rPr>
        <w:t>–</w:t>
      </w:r>
      <w:r w:rsidRPr="00BF53C0">
        <w:rPr>
          <w:rFonts w:ascii="Calibri" w:hAnsi="Calibri" w:cs="Calibri"/>
          <w:sz w:val="24"/>
          <w:szCs w:val="24"/>
        </w:rPr>
        <w:t xml:space="preserve"> Evropské hlavní město kultury 2015“</w:t>
      </w:r>
      <w:r w:rsidRPr="00AC319A">
        <w:rPr>
          <w:rFonts w:ascii="Calibri" w:hAnsi="Calibri" w:cs="Calibri"/>
          <w:sz w:val="24"/>
          <w:szCs w:val="24"/>
        </w:rPr>
        <w:t xml:space="preserve"> (dále také „</w:t>
      </w:r>
      <w:r w:rsidR="001F1444">
        <w:rPr>
          <w:rFonts w:ascii="Calibri" w:hAnsi="Calibri" w:cs="Calibri"/>
          <w:sz w:val="24"/>
          <w:szCs w:val="24"/>
        </w:rPr>
        <w:t>s</w:t>
      </w:r>
      <w:r w:rsidRPr="00AC319A">
        <w:rPr>
          <w:rFonts w:ascii="Calibri" w:hAnsi="Calibri" w:cs="Calibri"/>
          <w:sz w:val="24"/>
          <w:szCs w:val="24"/>
        </w:rPr>
        <w:t xml:space="preserve">mlouva o IPRM“). </w:t>
      </w:r>
      <w:r w:rsidR="009E6AC1" w:rsidRPr="00AC319A">
        <w:rPr>
          <w:rFonts w:ascii="Calibri" w:hAnsi="Calibri" w:cs="Calibri"/>
          <w:sz w:val="24"/>
          <w:szCs w:val="24"/>
        </w:rPr>
        <w:t xml:space="preserve">Město Plzeň </w:t>
      </w:r>
      <w:r w:rsidRPr="00AC319A">
        <w:rPr>
          <w:rFonts w:ascii="Calibri" w:hAnsi="Calibri" w:cs="Calibri"/>
          <w:sz w:val="24"/>
          <w:szCs w:val="24"/>
        </w:rPr>
        <w:t>se zavázalo realizovat IPRM – PEHMK,</w:t>
      </w:r>
      <w:r w:rsidR="006F0812" w:rsidRPr="00AC319A">
        <w:rPr>
          <w:rFonts w:ascii="Calibri" w:hAnsi="Calibri" w:cs="Calibri"/>
          <w:sz w:val="24"/>
          <w:szCs w:val="24"/>
        </w:rPr>
        <w:t xml:space="preserve"> který byl mimo jiné vymezen </w:t>
      </w:r>
      <w:r w:rsidR="00BF53C0">
        <w:rPr>
          <w:rFonts w:ascii="Calibri" w:hAnsi="Calibri" w:cs="Calibri"/>
          <w:sz w:val="24"/>
          <w:szCs w:val="24"/>
        </w:rPr>
        <w:t>i</w:t>
      </w:r>
      <w:r w:rsidR="006F0812" w:rsidRPr="00102E74">
        <w:rPr>
          <w:rFonts w:ascii="Calibri" w:hAnsi="Calibri" w:cs="Calibri"/>
          <w:sz w:val="24"/>
          <w:szCs w:val="24"/>
        </w:rPr>
        <w:t>ndikativním seznamem dílčích projektů</w:t>
      </w:r>
      <w:r w:rsidR="006F0812" w:rsidRPr="00AC319A">
        <w:rPr>
          <w:rFonts w:ascii="Calibri" w:hAnsi="Calibri" w:cs="Calibri"/>
          <w:sz w:val="24"/>
          <w:szCs w:val="24"/>
        </w:rPr>
        <w:t xml:space="preserve">. Původní </w:t>
      </w:r>
      <w:r w:rsidR="001F1444">
        <w:rPr>
          <w:rFonts w:ascii="Calibri" w:hAnsi="Calibri" w:cs="Calibri"/>
          <w:sz w:val="24"/>
          <w:szCs w:val="24"/>
        </w:rPr>
        <w:t>i</w:t>
      </w:r>
      <w:r w:rsidR="006F0812" w:rsidRPr="00AC319A">
        <w:rPr>
          <w:rFonts w:ascii="Calibri" w:hAnsi="Calibri" w:cs="Calibri"/>
          <w:sz w:val="24"/>
          <w:szCs w:val="24"/>
        </w:rPr>
        <w:t xml:space="preserve">ndikativní seznam obsahoval </w:t>
      </w:r>
      <w:r w:rsidR="009E6AC1" w:rsidRPr="00AC319A">
        <w:rPr>
          <w:rFonts w:ascii="Calibri" w:hAnsi="Calibri" w:cs="Calibri"/>
          <w:sz w:val="24"/>
          <w:szCs w:val="24"/>
        </w:rPr>
        <w:t xml:space="preserve">sedm </w:t>
      </w:r>
      <w:r w:rsidR="006F0812" w:rsidRPr="00AC319A">
        <w:rPr>
          <w:rFonts w:ascii="Calibri" w:hAnsi="Calibri" w:cs="Calibri"/>
          <w:sz w:val="24"/>
          <w:szCs w:val="24"/>
        </w:rPr>
        <w:t xml:space="preserve">dílčích </w:t>
      </w:r>
      <w:r w:rsidR="00646FD9" w:rsidRPr="00AC319A">
        <w:rPr>
          <w:rFonts w:ascii="Calibri" w:hAnsi="Calibri" w:cs="Calibri"/>
          <w:sz w:val="24"/>
          <w:szCs w:val="24"/>
        </w:rPr>
        <w:t>projektů a </w:t>
      </w:r>
      <w:r w:rsidR="009E6AC1" w:rsidRPr="00AC319A">
        <w:rPr>
          <w:rFonts w:ascii="Calibri" w:hAnsi="Calibri" w:cs="Calibri"/>
          <w:sz w:val="24"/>
          <w:szCs w:val="24"/>
        </w:rPr>
        <w:t>jeden projekt</w:t>
      </w:r>
      <w:r w:rsidR="006F0812" w:rsidRPr="00AC319A">
        <w:rPr>
          <w:rFonts w:ascii="Calibri" w:hAnsi="Calibri" w:cs="Calibri"/>
          <w:sz w:val="24"/>
          <w:szCs w:val="24"/>
        </w:rPr>
        <w:t xml:space="preserve"> náhradní.</w:t>
      </w:r>
      <w:r w:rsidR="003C523F" w:rsidRPr="00AC319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D4E57" w:rsidRPr="00AC319A">
        <w:rPr>
          <w:rFonts w:ascii="Calibri" w:hAnsi="Calibri" w:cs="Calibri"/>
          <w:sz w:val="24"/>
          <w:szCs w:val="24"/>
        </w:rPr>
        <w:t xml:space="preserve">Město Plzeň a RR uzavřely ke </w:t>
      </w:r>
      <w:r w:rsidR="001F1444">
        <w:rPr>
          <w:rFonts w:ascii="Calibri" w:hAnsi="Calibri" w:cs="Calibri"/>
          <w:sz w:val="24"/>
          <w:szCs w:val="24"/>
        </w:rPr>
        <w:t>s</w:t>
      </w:r>
      <w:r w:rsidR="00AD4E57" w:rsidRPr="00AC319A">
        <w:rPr>
          <w:rFonts w:ascii="Calibri" w:hAnsi="Calibri" w:cs="Calibri"/>
          <w:sz w:val="24"/>
          <w:szCs w:val="24"/>
        </w:rPr>
        <w:t>mlouvě o IPRM celkem pět dodatků, přičemž v posledních dvou dodatcích došlo k významným změnám v </w:t>
      </w:r>
      <w:r w:rsidR="001F1444">
        <w:rPr>
          <w:rFonts w:ascii="Calibri" w:hAnsi="Calibri" w:cs="Calibri"/>
          <w:sz w:val="24"/>
          <w:szCs w:val="24"/>
        </w:rPr>
        <w:t>i</w:t>
      </w:r>
      <w:r w:rsidR="00AD4E57" w:rsidRPr="00AC319A">
        <w:rPr>
          <w:rFonts w:ascii="Calibri" w:hAnsi="Calibri" w:cs="Calibri"/>
          <w:sz w:val="24"/>
          <w:szCs w:val="24"/>
        </w:rPr>
        <w:t>ndikativním seznamu projektů.</w:t>
      </w:r>
    </w:p>
    <w:p w14:paraId="02694F68" w14:textId="77777777" w:rsid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14:paraId="37EEA3F8" w14:textId="7917492E" w:rsidR="009E6AC1" w:rsidRPr="00AC319A" w:rsidRDefault="003C523F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AC319A">
        <w:rPr>
          <w:rFonts w:ascii="Calibri" w:hAnsi="Calibri" w:cs="Calibri"/>
          <w:sz w:val="24"/>
          <w:szCs w:val="24"/>
        </w:rPr>
        <w:t>Město Plzeň předložilo RR sedm ročních monitorovacích zpráv o postupu realizace IPRM</w:t>
      </w:r>
      <w:r w:rsidR="00AC319A" w:rsidRPr="00AC319A">
        <w:rPr>
          <w:rFonts w:ascii="Calibri" w:hAnsi="Calibri" w:cs="Calibri"/>
          <w:sz w:val="24"/>
          <w:szCs w:val="24"/>
        </w:rPr>
        <w:t> </w:t>
      </w:r>
      <w:r w:rsidRPr="00AC319A">
        <w:rPr>
          <w:rFonts w:ascii="Calibri" w:hAnsi="Calibri" w:cs="Calibri"/>
          <w:sz w:val="24"/>
          <w:szCs w:val="24"/>
        </w:rPr>
        <w:t>– PEHMK. NKÚ zjistil</w:t>
      </w:r>
      <w:r w:rsidR="009E6AC1" w:rsidRPr="00AC319A">
        <w:rPr>
          <w:rFonts w:ascii="Calibri" w:hAnsi="Calibri" w:cs="Calibri"/>
          <w:sz w:val="24"/>
          <w:szCs w:val="24"/>
        </w:rPr>
        <w:t>, že při</w:t>
      </w:r>
      <w:r w:rsidR="001F1444">
        <w:rPr>
          <w:rFonts w:ascii="Calibri" w:hAnsi="Calibri" w:cs="Calibri"/>
          <w:sz w:val="24"/>
          <w:szCs w:val="24"/>
        </w:rPr>
        <w:t xml:space="preserve"> </w:t>
      </w:r>
      <w:r w:rsidRPr="00AC319A">
        <w:rPr>
          <w:rFonts w:ascii="Calibri" w:hAnsi="Calibri" w:cs="Calibri"/>
          <w:sz w:val="24"/>
          <w:szCs w:val="24"/>
        </w:rPr>
        <w:t>rozhodování o tom, jaké dílčí projekty budou realizovány,</w:t>
      </w:r>
      <w:r w:rsidR="009E6AC1" w:rsidRPr="00AC319A">
        <w:rPr>
          <w:rFonts w:ascii="Calibri" w:hAnsi="Calibri" w:cs="Calibri"/>
          <w:sz w:val="24"/>
          <w:szCs w:val="24"/>
        </w:rPr>
        <w:t xml:space="preserve"> docházelo k častým změnám, kdy </w:t>
      </w:r>
      <w:r w:rsidR="00BF53C0">
        <w:rPr>
          <w:rFonts w:ascii="Calibri" w:hAnsi="Calibri" w:cs="Calibri"/>
          <w:b/>
          <w:sz w:val="24"/>
          <w:szCs w:val="24"/>
        </w:rPr>
        <w:t>ani</w:t>
      </w:r>
      <w:r w:rsidR="009E6AC1" w:rsidRPr="00AC319A">
        <w:rPr>
          <w:rFonts w:ascii="Calibri" w:hAnsi="Calibri" w:cs="Calibri"/>
          <w:b/>
          <w:sz w:val="24"/>
          <w:szCs w:val="24"/>
        </w:rPr>
        <w:t xml:space="preserve"> v pokročilé fázi realizace IPRM – PEHMK nebylo jasné, které dílčí projekty bud</w:t>
      </w:r>
      <w:r w:rsidRPr="00AC319A">
        <w:rPr>
          <w:rFonts w:ascii="Calibri" w:hAnsi="Calibri" w:cs="Calibri"/>
          <w:b/>
          <w:sz w:val="24"/>
          <w:szCs w:val="24"/>
        </w:rPr>
        <w:t>ou realizovány a které nikoliv</w:t>
      </w:r>
      <w:r w:rsidRPr="00102E74">
        <w:rPr>
          <w:rFonts w:ascii="Calibri" w:hAnsi="Calibri" w:cs="Calibri"/>
          <w:b/>
          <w:sz w:val="24"/>
          <w:szCs w:val="24"/>
        </w:rPr>
        <w:t>.</w:t>
      </w:r>
      <w:r w:rsidR="00900AE8" w:rsidRPr="00AC319A">
        <w:rPr>
          <w:rFonts w:ascii="Calibri" w:hAnsi="Calibri" w:cs="Calibri"/>
          <w:sz w:val="24"/>
          <w:szCs w:val="24"/>
        </w:rPr>
        <w:t xml:space="preserve"> Město Plzeň zařadilo v druhé polovině roku 2013 do </w:t>
      </w:r>
      <w:r w:rsidR="001F1444">
        <w:rPr>
          <w:rFonts w:ascii="Calibri" w:hAnsi="Calibri" w:cs="Calibri"/>
          <w:sz w:val="24"/>
          <w:szCs w:val="24"/>
        </w:rPr>
        <w:t>i</w:t>
      </w:r>
      <w:r w:rsidR="00900AE8" w:rsidRPr="00AC319A">
        <w:rPr>
          <w:rFonts w:ascii="Calibri" w:hAnsi="Calibri" w:cs="Calibri"/>
          <w:sz w:val="24"/>
          <w:szCs w:val="24"/>
        </w:rPr>
        <w:t xml:space="preserve">ndikativního seznamu čtyři </w:t>
      </w:r>
      <w:r w:rsidR="00904781" w:rsidRPr="00AC319A">
        <w:rPr>
          <w:rFonts w:ascii="Calibri" w:hAnsi="Calibri" w:cs="Calibri"/>
          <w:sz w:val="24"/>
          <w:szCs w:val="24"/>
        </w:rPr>
        <w:t xml:space="preserve">nové </w:t>
      </w:r>
      <w:r w:rsidR="00900AE8" w:rsidRPr="00AC319A">
        <w:rPr>
          <w:rFonts w:ascii="Calibri" w:hAnsi="Calibri" w:cs="Calibri"/>
          <w:sz w:val="24"/>
          <w:szCs w:val="24"/>
        </w:rPr>
        <w:t>projekty a v únoru 2014 další dva projekty, které zamýšlelo v</w:t>
      </w:r>
      <w:r w:rsidR="00D32019" w:rsidRPr="00AC319A">
        <w:rPr>
          <w:rFonts w:ascii="Calibri" w:hAnsi="Calibri" w:cs="Calibri"/>
          <w:sz w:val="24"/>
          <w:szCs w:val="24"/>
        </w:rPr>
        <w:t xml:space="preserve"> rámci IPRM </w:t>
      </w:r>
      <w:r w:rsidR="00A64BA6" w:rsidRPr="00AC319A">
        <w:rPr>
          <w:rFonts w:ascii="Calibri" w:hAnsi="Calibri" w:cs="Calibri"/>
          <w:sz w:val="24"/>
          <w:szCs w:val="24"/>
        </w:rPr>
        <w:t>–</w:t>
      </w:r>
      <w:r w:rsidR="00D32019" w:rsidRPr="00AC319A">
        <w:rPr>
          <w:rFonts w:ascii="Calibri" w:hAnsi="Calibri" w:cs="Calibri"/>
          <w:sz w:val="24"/>
          <w:szCs w:val="24"/>
        </w:rPr>
        <w:t xml:space="preserve"> PEHMK realizovat.</w:t>
      </w:r>
    </w:p>
    <w:p w14:paraId="26F43A32" w14:textId="77777777" w:rsid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14:paraId="78C604D7" w14:textId="2CC8CF61" w:rsidR="00AD4E57" w:rsidRPr="00AC319A" w:rsidRDefault="00AD4E57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Cs/>
          <w:sz w:val="24"/>
          <w:szCs w:val="24"/>
          <w:lang w:eastAsia="cs-CZ"/>
        </w:rPr>
      </w:pPr>
      <w:r w:rsidRPr="00AC319A">
        <w:rPr>
          <w:rFonts w:ascii="Calibri" w:hAnsi="Calibri" w:cs="Calibri"/>
          <w:sz w:val="24"/>
          <w:szCs w:val="24"/>
        </w:rPr>
        <w:t xml:space="preserve">Pro realizaci IPRM </w:t>
      </w:r>
      <w:r w:rsidR="001F1444">
        <w:rPr>
          <w:rFonts w:ascii="Calibri" w:hAnsi="Calibri" w:cs="Calibri"/>
          <w:sz w:val="24"/>
          <w:szCs w:val="24"/>
        </w:rPr>
        <w:t>–</w:t>
      </w:r>
      <w:r w:rsidRPr="00AC319A">
        <w:rPr>
          <w:rFonts w:ascii="Calibri" w:hAnsi="Calibri" w:cs="Calibri"/>
          <w:sz w:val="24"/>
          <w:szCs w:val="24"/>
        </w:rPr>
        <w:t xml:space="preserve"> PEHMK schválila RR postupně celkem 17 dílčích projektů uvedených ve </w:t>
      </w:r>
      <w:r w:rsidR="001F1444">
        <w:rPr>
          <w:rFonts w:ascii="Calibri" w:hAnsi="Calibri" w:cs="Calibri"/>
          <w:sz w:val="24"/>
          <w:szCs w:val="24"/>
        </w:rPr>
        <w:t>s</w:t>
      </w:r>
      <w:r w:rsidRPr="00AC319A">
        <w:rPr>
          <w:rFonts w:ascii="Calibri" w:hAnsi="Calibri" w:cs="Calibri"/>
          <w:sz w:val="24"/>
          <w:szCs w:val="24"/>
        </w:rPr>
        <w:t xml:space="preserve">mlouvě o IPRM a následných dodatcích. </w:t>
      </w:r>
      <w:r w:rsidRPr="00AC319A">
        <w:rPr>
          <w:rFonts w:ascii="Calibri" w:hAnsi="Calibri" w:cs="Calibri"/>
          <w:b/>
          <w:sz w:val="24"/>
          <w:szCs w:val="24"/>
        </w:rPr>
        <w:t>Z těchto 17 dílčích projektů bylo skutečně realizováno 11 dílčích projektů, z nichž sedm nebylo do doby ukončení kontroly NKÚ finančně vypořádáno.</w:t>
      </w:r>
      <w:r w:rsidRPr="00AC319A">
        <w:rPr>
          <w:rFonts w:ascii="Calibri" w:hAnsi="Calibri" w:cs="Calibri"/>
          <w:sz w:val="24"/>
          <w:szCs w:val="24"/>
        </w:rPr>
        <w:t xml:space="preserve"> 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U pěti projektů </w:t>
      </w:r>
      <w:r w:rsidR="00BF53C0"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příjemce 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předložil </w:t>
      </w:r>
      <w:r w:rsidR="001E6CE9"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závěrečné monitorovací zprávy 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>teprve v průběhu června 2015</w:t>
      </w:r>
      <w:r w:rsidR="001F1444">
        <w:rPr>
          <w:rFonts w:ascii="Calibri" w:hAnsi="Calibri" w:cs="Calibri"/>
          <w:bCs/>
          <w:sz w:val="24"/>
          <w:szCs w:val="24"/>
          <w:lang w:eastAsia="cs-CZ"/>
        </w:rPr>
        <w:t>; jejich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 kontrola ze strany RR nebyla ukončena a způsobilé výdaje ještě nebyly proplaceny. </w:t>
      </w:r>
    </w:p>
    <w:p w14:paraId="094B4073" w14:textId="77777777" w:rsidR="00AC319A" w:rsidRDefault="00AC319A" w:rsidP="00AC319A">
      <w:pPr>
        <w:spacing w:before="0" w:after="0"/>
        <w:rPr>
          <w:rFonts w:ascii="Calibri" w:hAnsi="Calibri" w:cs="Calibri"/>
          <w:sz w:val="24"/>
          <w:szCs w:val="24"/>
        </w:rPr>
      </w:pPr>
    </w:p>
    <w:p w14:paraId="29F2EC3C" w14:textId="64EA0C2A" w:rsidR="00E548DF" w:rsidRPr="00AC319A" w:rsidRDefault="00E548DF" w:rsidP="00AC319A">
      <w:pPr>
        <w:spacing w:before="0" w:after="0"/>
        <w:rPr>
          <w:rFonts w:ascii="Calibri" w:hAnsi="Calibri" w:cs="Calibri"/>
          <w:bCs/>
          <w:sz w:val="24"/>
          <w:szCs w:val="24"/>
        </w:rPr>
      </w:pPr>
      <w:r w:rsidRPr="00AC319A">
        <w:rPr>
          <w:rFonts w:ascii="Calibri" w:hAnsi="Calibri" w:cs="Calibri"/>
          <w:sz w:val="24"/>
          <w:szCs w:val="24"/>
        </w:rPr>
        <w:t xml:space="preserve">Mezi klíčové projekty při realizaci </w:t>
      </w:r>
      <w:r w:rsidRPr="00AC319A">
        <w:rPr>
          <w:rFonts w:ascii="Calibri" w:hAnsi="Calibri" w:cs="Calibri"/>
          <w:bCs/>
          <w:sz w:val="24"/>
          <w:szCs w:val="24"/>
        </w:rPr>
        <w:t xml:space="preserve">IPRM </w:t>
      </w:r>
      <w:r w:rsidR="00A64BA6" w:rsidRPr="00AC319A">
        <w:rPr>
          <w:rFonts w:ascii="Calibri" w:hAnsi="Calibri" w:cs="Calibri"/>
          <w:bCs/>
          <w:sz w:val="24"/>
          <w:szCs w:val="24"/>
        </w:rPr>
        <w:t>–</w:t>
      </w:r>
      <w:r w:rsidRPr="00AC319A">
        <w:rPr>
          <w:rFonts w:ascii="Calibri" w:hAnsi="Calibri" w:cs="Calibri"/>
          <w:bCs/>
          <w:sz w:val="24"/>
          <w:szCs w:val="24"/>
        </w:rPr>
        <w:t xml:space="preserve"> PEHMK </w:t>
      </w:r>
      <w:r w:rsidR="00A85FDF" w:rsidRPr="00AC319A">
        <w:rPr>
          <w:rFonts w:ascii="Calibri" w:hAnsi="Calibri" w:cs="Calibri"/>
          <w:sz w:val="24"/>
          <w:szCs w:val="24"/>
        </w:rPr>
        <w:t>měla patřit</w:t>
      </w:r>
      <w:r w:rsidRPr="00AC319A">
        <w:rPr>
          <w:rFonts w:ascii="Calibri" w:hAnsi="Calibri" w:cs="Calibri"/>
          <w:sz w:val="24"/>
          <w:szCs w:val="24"/>
        </w:rPr>
        <w:t xml:space="preserve"> rekonstrukce</w:t>
      </w:r>
      <w:r w:rsidR="001F1444">
        <w:rPr>
          <w:rFonts w:ascii="Calibri" w:hAnsi="Calibri" w:cs="Calibri"/>
          <w:sz w:val="24"/>
          <w:szCs w:val="24"/>
        </w:rPr>
        <w:t xml:space="preserve"> </w:t>
      </w:r>
      <w:r w:rsidRPr="00AC319A">
        <w:rPr>
          <w:rFonts w:ascii="Calibri" w:hAnsi="Calibri" w:cs="Calibri"/>
          <w:sz w:val="24"/>
          <w:szCs w:val="24"/>
        </w:rPr>
        <w:t xml:space="preserve">nevyužívaného areálu bývalých kasáren </w:t>
      </w:r>
      <w:proofErr w:type="spellStart"/>
      <w:r w:rsidRPr="00AC319A">
        <w:rPr>
          <w:rFonts w:ascii="Calibri" w:hAnsi="Calibri" w:cs="Calibri"/>
          <w:sz w:val="24"/>
          <w:szCs w:val="24"/>
        </w:rPr>
        <w:t>Světovar</w:t>
      </w:r>
      <w:proofErr w:type="spellEnd"/>
      <w:r w:rsidRPr="00AC319A">
        <w:rPr>
          <w:rFonts w:ascii="Calibri" w:hAnsi="Calibri" w:cs="Calibri"/>
          <w:sz w:val="24"/>
          <w:szCs w:val="24"/>
        </w:rPr>
        <w:t xml:space="preserve">, kde měly být realizovány projekty </w:t>
      </w:r>
      <w:r w:rsidR="00AB10E4" w:rsidRPr="005E64B4">
        <w:rPr>
          <w:rFonts w:ascii="Calibri" w:hAnsi="Calibri" w:cs="Calibri"/>
          <w:i/>
          <w:sz w:val="24"/>
          <w:szCs w:val="24"/>
        </w:rPr>
        <w:t xml:space="preserve">4x4 </w:t>
      </w:r>
      <w:proofErr w:type="spellStart"/>
      <w:r w:rsidR="00AB10E4" w:rsidRPr="005E64B4">
        <w:rPr>
          <w:rFonts w:ascii="Calibri" w:hAnsi="Calibri" w:cs="Calibri"/>
          <w:i/>
          <w:sz w:val="24"/>
          <w:szCs w:val="24"/>
        </w:rPr>
        <w:t>Cultural</w:t>
      </w:r>
      <w:proofErr w:type="spellEnd"/>
      <w:r w:rsidR="00AB10E4" w:rsidRPr="005E64B4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AB10E4" w:rsidRPr="005E64B4">
        <w:rPr>
          <w:rFonts w:ascii="Calibri" w:hAnsi="Calibri" w:cs="Calibri"/>
          <w:i/>
          <w:sz w:val="24"/>
          <w:szCs w:val="24"/>
        </w:rPr>
        <w:t>Factory</w:t>
      </w:r>
      <w:proofErr w:type="spellEnd"/>
      <w:r w:rsidR="00AB10E4" w:rsidRPr="005E64B4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="00AB10E4" w:rsidRPr="005E64B4">
        <w:rPr>
          <w:rFonts w:ascii="Calibri" w:hAnsi="Calibri" w:cs="Calibri"/>
          <w:i/>
          <w:sz w:val="24"/>
          <w:szCs w:val="24"/>
        </w:rPr>
        <w:t>Světovar</w:t>
      </w:r>
      <w:proofErr w:type="spellEnd"/>
      <w:r w:rsidR="00AB10E4" w:rsidRPr="00AC319A">
        <w:rPr>
          <w:rFonts w:ascii="Calibri" w:hAnsi="Calibri" w:cs="Calibri"/>
          <w:sz w:val="24"/>
          <w:szCs w:val="24"/>
        </w:rPr>
        <w:t xml:space="preserve"> a </w:t>
      </w:r>
      <w:r w:rsidRPr="005E64B4">
        <w:rPr>
          <w:rFonts w:ascii="Calibri" w:hAnsi="Calibri" w:cs="Calibri"/>
          <w:i/>
          <w:sz w:val="24"/>
          <w:szCs w:val="24"/>
        </w:rPr>
        <w:t xml:space="preserve">Archiv </w:t>
      </w:r>
      <w:proofErr w:type="spellStart"/>
      <w:r w:rsidRPr="005E64B4">
        <w:rPr>
          <w:rFonts w:ascii="Calibri" w:hAnsi="Calibri" w:cs="Calibri"/>
          <w:i/>
          <w:sz w:val="24"/>
          <w:szCs w:val="24"/>
        </w:rPr>
        <w:t>Světovar</w:t>
      </w:r>
      <w:proofErr w:type="spellEnd"/>
      <w:r w:rsidRPr="00AC319A">
        <w:rPr>
          <w:rFonts w:ascii="Calibri" w:hAnsi="Calibri" w:cs="Calibri"/>
          <w:sz w:val="24"/>
          <w:szCs w:val="24"/>
        </w:rPr>
        <w:t xml:space="preserve"> (dále také souhrnně „projekty </w:t>
      </w:r>
      <w:proofErr w:type="spellStart"/>
      <w:r w:rsidRPr="00AC319A">
        <w:rPr>
          <w:rFonts w:ascii="Calibri" w:hAnsi="Calibri" w:cs="Calibri"/>
          <w:sz w:val="24"/>
          <w:szCs w:val="24"/>
        </w:rPr>
        <w:t>Světovar</w:t>
      </w:r>
      <w:proofErr w:type="spellEnd"/>
      <w:r w:rsidRPr="00AC319A">
        <w:rPr>
          <w:rFonts w:ascii="Calibri" w:hAnsi="Calibri" w:cs="Calibri"/>
          <w:sz w:val="24"/>
          <w:szCs w:val="24"/>
        </w:rPr>
        <w:t xml:space="preserve">“). Cíli projektů bylo </w:t>
      </w:r>
      <w:r w:rsidR="001F1444">
        <w:rPr>
          <w:rFonts w:ascii="Calibri" w:hAnsi="Calibri" w:cs="Calibri"/>
          <w:sz w:val="24"/>
          <w:szCs w:val="24"/>
        </w:rPr>
        <w:t>„</w:t>
      </w:r>
      <w:r w:rsidR="00AB10E4" w:rsidRPr="00AC319A">
        <w:rPr>
          <w:rFonts w:ascii="Calibri" w:hAnsi="Calibri" w:cs="Calibri"/>
          <w:i/>
          <w:color w:val="000000"/>
          <w:sz w:val="24"/>
          <w:szCs w:val="24"/>
        </w:rPr>
        <w:t xml:space="preserve">revitalizovat nevyužívané prostory pro </w:t>
      </w:r>
      <w:r w:rsidR="00AB10E4" w:rsidRPr="00AC319A">
        <w:rPr>
          <w:rFonts w:ascii="Calibri" w:hAnsi="Calibri" w:cs="Calibri"/>
          <w:bCs/>
          <w:i/>
          <w:sz w:val="24"/>
          <w:szCs w:val="24"/>
        </w:rPr>
        <w:t>rozvoj a prezentaci současného živého umění, vznikající</w:t>
      </w:r>
      <w:r w:rsidR="00BF53C0">
        <w:rPr>
          <w:rFonts w:ascii="Calibri" w:hAnsi="Calibri" w:cs="Calibri"/>
          <w:bCs/>
          <w:i/>
          <w:sz w:val="24"/>
          <w:szCs w:val="24"/>
        </w:rPr>
        <w:t>ho</w:t>
      </w:r>
      <w:r w:rsidR="00AB10E4" w:rsidRPr="00AC319A">
        <w:rPr>
          <w:rFonts w:ascii="Calibri" w:hAnsi="Calibri" w:cs="Calibri"/>
          <w:bCs/>
          <w:i/>
          <w:sz w:val="24"/>
          <w:szCs w:val="24"/>
        </w:rPr>
        <w:t xml:space="preserve"> na platformě nezávislé umělecké scény města Plzně i regionu, doplněné</w:t>
      </w:r>
      <w:r w:rsidR="00BF53C0">
        <w:rPr>
          <w:rFonts w:ascii="Calibri" w:hAnsi="Calibri" w:cs="Calibri"/>
          <w:bCs/>
          <w:i/>
          <w:sz w:val="24"/>
          <w:szCs w:val="24"/>
        </w:rPr>
        <w:t>ho</w:t>
      </w:r>
      <w:r w:rsidR="00AB10E4" w:rsidRPr="00AC319A">
        <w:rPr>
          <w:rFonts w:ascii="Calibri" w:hAnsi="Calibri" w:cs="Calibri"/>
          <w:bCs/>
          <w:i/>
          <w:sz w:val="24"/>
          <w:szCs w:val="24"/>
        </w:rPr>
        <w:t xml:space="preserve"> o aspekt mezinárodní spolupráce v rámci rezidenčních programů</w:t>
      </w:r>
      <w:r w:rsidR="00BF53C0">
        <w:rPr>
          <w:rFonts w:ascii="Calibri" w:hAnsi="Calibri" w:cs="Calibri"/>
          <w:bCs/>
          <w:i/>
          <w:sz w:val="24"/>
          <w:szCs w:val="24"/>
        </w:rPr>
        <w:t>,</w:t>
      </w:r>
      <w:r w:rsidR="00AB10E4" w:rsidRPr="00AC319A">
        <w:rPr>
          <w:rFonts w:ascii="Calibri" w:hAnsi="Calibri" w:cs="Calibri"/>
          <w:bCs/>
          <w:i/>
          <w:sz w:val="24"/>
          <w:szCs w:val="24"/>
        </w:rPr>
        <w:t xml:space="preserve"> a </w:t>
      </w:r>
      <w:r w:rsidRPr="00AC319A">
        <w:rPr>
          <w:rFonts w:ascii="Calibri" w:hAnsi="Calibri" w:cs="Calibri"/>
          <w:i/>
          <w:color w:val="000000"/>
          <w:sz w:val="24"/>
          <w:szCs w:val="24"/>
        </w:rPr>
        <w:t>zpřístupnit celý archivní fond formou moderníh</w:t>
      </w:r>
      <w:r w:rsidR="00AB10E4" w:rsidRPr="00AC319A">
        <w:rPr>
          <w:rFonts w:ascii="Calibri" w:hAnsi="Calibri" w:cs="Calibri"/>
          <w:i/>
          <w:color w:val="000000"/>
          <w:sz w:val="24"/>
          <w:szCs w:val="24"/>
        </w:rPr>
        <w:t>o vybavení a příjemných prostor</w:t>
      </w:r>
      <w:r w:rsidR="001F1444">
        <w:rPr>
          <w:rFonts w:ascii="Calibri" w:hAnsi="Calibri" w:cs="Calibri"/>
          <w:color w:val="000000"/>
          <w:sz w:val="24"/>
          <w:szCs w:val="24"/>
        </w:rPr>
        <w:t>“</w:t>
      </w:r>
      <w:r w:rsidRPr="00AC319A">
        <w:rPr>
          <w:rFonts w:ascii="Calibri" w:hAnsi="Calibri" w:cs="Calibri"/>
          <w:bCs/>
          <w:sz w:val="24"/>
          <w:szCs w:val="24"/>
        </w:rPr>
        <w:t>.</w:t>
      </w:r>
      <w:r w:rsidRPr="00AC319A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AC319A">
        <w:rPr>
          <w:rFonts w:ascii="Calibri" w:hAnsi="Calibri" w:cs="Calibri"/>
          <w:b/>
          <w:sz w:val="24"/>
          <w:szCs w:val="24"/>
          <w:lang w:eastAsia="cs-CZ"/>
        </w:rPr>
        <w:t>Městu Plzeň se n</w:t>
      </w:r>
      <w:r w:rsidR="00AD4E57"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epodařilo projekty </w:t>
      </w:r>
      <w:proofErr w:type="spellStart"/>
      <w:r w:rsidR="00AD4E57" w:rsidRPr="00AC319A">
        <w:rPr>
          <w:rFonts w:ascii="Calibri" w:hAnsi="Calibri" w:cs="Calibri"/>
          <w:b/>
          <w:bCs/>
          <w:sz w:val="24"/>
          <w:szCs w:val="24"/>
          <w:lang w:eastAsia="cs-CZ"/>
        </w:rPr>
        <w:t>Světovar</w:t>
      </w:r>
      <w:proofErr w:type="spellEnd"/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 </w:t>
      </w:r>
      <w:r w:rsidRPr="00AC319A">
        <w:rPr>
          <w:rFonts w:ascii="Calibri" w:hAnsi="Calibri" w:cs="Calibri"/>
          <w:b/>
          <w:bCs/>
          <w:sz w:val="24"/>
          <w:szCs w:val="24"/>
        </w:rPr>
        <w:t>realizovat</w:t>
      </w:r>
      <w:r w:rsidR="00AD4E57" w:rsidRPr="00AC319A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AC319A">
        <w:rPr>
          <w:rFonts w:ascii="Calibri" w:hAnsi="Calibri" w:cs="Calibri"/>
          <w:b/>
          <w:bCs/>
          <w:sz w:val="24"/>
          <w:szCs w:val="24"/>
        </w:rPr>
        <w:t>neboť neprovedlo veškeré přípravné práce tak, aby byla zaručena jejich realizace v </w:t>
      </w:r>
      <w:r w:rsidR="004C3067" w:rsidRPr="00AC319A">
        <w:rPr>
          <w:rFonts w:ascii="Calibri" w:hAnsi="Calibri" w:cs="Calibri"/>
          <w:b/>
          <w:bCs/>
          <w:sz w:val="24"/>
          <w:szCs w:val="24"/>
        </w:rPr>
        <w:t>konečném</w:t>
      </w:r>
      <w:r w:rsidRPr="00AC319A">
        <w:rPr>
          <w:rFonts w:ascii="Calibri" w:hAnsi="Calibri" w:cs="Calibri"/>
          <w:b/>
          <w:bCs/>
          <w:sz w:val="24"/>
          <w:szCs w:val="24"/>
        </w:rPr>
        <w:t xml:space="preserve"> termínu stanoveném RR</w:t>
      </w:r>
      <w:r w:rsidR="00900AE8" w:rsidRPr="005E64B4">
        <w:rPr>
          <w:rFonts w:ascii="Calibri" w:hAnsi="Calibri" w:cs="Calibri"/>
          <w:b/>
          <w:bCs/>
          <w:sz w:val="24"/>
          <w:szCs w:val="24"/>
        </w:rPr>
        <w:t>.</w:t>
      </w:r>
    </w:p>
    <w:p w14:paraId="564DFF62" w14:textId="77777777" w:rsid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Cs/>
          <w:sz w:val="24"/>
          <w:szCs w:val="24"/>
          <w:lang w:eastAsia="cs-CZ"/>
        </w:rPr>
      </w:pPr>
    </w:p>
    <w:p w14:paraId="25406436" w14:textId="7D43C25E" w:rsidR="009E6AC1" w:rsidRDefault="009E6AC1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Cs/>
          <w:sz w:val="24"/>
          <w:szCs w:val="24"/>
          <w:lang w:eastAsia="cs-CZ"/>
        </w:rPr>
      </w:pPr>
      <w:r w:rsidRPr="00AC319A">
        <w:rPr>
          <w:rFonts w:ascii="Calibri" w:hAnsi="Calibri" w:cs="Calibri"/>
          <w:bCs/>
          <w:sz w:val="24"/>
          <w:szCs w:val="24"/>
          <w:lang w:eastAsia="cs-CZ"/>
        </w:rPr>
        <w:t>Kontrola NKÚ zjistila, že čtyři dílčí projekty</w:t>
      </w:r>
      <w:r w:rsidR="004F69C0" w:rsidRPr="00AC319A">
        <w:rPr>
          <w:rFonts w:ascii="Calibri" w:hAnsi="Calibri" w:cs="Calibri"/>
          <w:bCs/>
          <w:sz w:val="24"/>
          <w:szCs w:val="24"/>
          <w:lang w:eastAsia="cs-CZ"/>
        </w:rPr>
        <w:t>,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  <w:r w:rsidR="004F69C0" w:rsidRPr="00AC319A">
        <w:rPr>
          <w:rFonts w:ascii="Calibri" w:hAnsi="Calibri" w:cs="Calibri"/>
          <w:bCs/>
          <w:sz w:val="24"/>
          <w:szCs w:val="24"/>
        </w:rPr>
        <w:t xml:space="preserve">jejichž cílem bylo </w:t>
      </w:r>
      <w:r w:rsidR="004F69C0" w:rsidRPr="00AC319A">
        <w:rPr>
          <w:rFonts w:ascii="Calibri" w:hAnsi="Calibri" w:cs="Calibri"/>
          <w:color w:val="000000"/>
          <w:sz w:val="24"/>
          <w:szCs w:val="24"/>
        </w:rPr>
        <w:t>zkvalitnění a oživení historického centra města a revitalizace parkových a sadových ploch,</w:t>
      </w:r>
      <w:r w:rsidR="004F69C0"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byly fyzicky ukončeny 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lastRenderedPageBreak/>
        <w:t>až v průběhu roku 2015</w:t>
      </w:r>
      <w:r w:rsidR="00BF53C0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  <w:r w:rsidR="00BF53C0" w:rsidRPr="00AC319A">
        <w:rPr>
          <w:rFonts w:ascii="Calibri" w:hAnsi="Calibri" w:cs="Calibri"/>
          <w:bCs/>
          <w:sz w:val="24"/>
          <w:szCs w:val="24"/>
          <w:lang w:eastAsia="cs-CZ"/>
        </w:rPr>
        <w:t>(leden 2015)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, tedy </w:t>
      </w:r>
      <w:r w:rsidR="004C3067"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až 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po oficiálním zahájení projektu </w:t>
      </w:r>
      <w:r w:rsidRPr="009C54A4">
        <w:rPr>
          <w:rFonts w:ascii="Calibri" w:hAnsi="Calibri" w:cs="Calibri"/>
          <w:bCs/>
          <w:i/>
          <w:sz w:val="24"/>
          <w:szCs w:val="24"/>
          <w:lang w:eastAsia="cs-CZ"/>
        </w:rPr>
        <w:t>Plzeň – Evropské hlavní město kultury 201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>5</w:t>
      </w:r>
      <w:r w:rsidR="004F69C0" w:rsidRPr="00AC319A">
        <w:rPr>
          <w:rFonts w:ascii="Calibri" w:hAnsi="Calibri" w:cs="Calibri"/>
          <w:bCs/>
          <w:sz w:val="24"/>
          <w:szCs w:val="24"/>
          <w:lang w:eastAsia="cs-CZ"/>
        </w:rPr>
        <w:t>.</w:t>
      </w:r>
    </w:p>
    <w:p w14:paraId="2886CC07" w14:textId="77777777" w:rsidR="00AC319A" w:rsidRP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14:paraId="69903724" w14:textId="3DF5AD7A" w:rsidR="00D73DD6" w:rsidRP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24"/>
          <w:szCs w:val="24"/>
        </w:rPr>
      </w:pPr>
      <w:r w:rsidRPr="00AC319A">
        <w:rPr>
          <w:rFonts w:ascii="Calibri" w:hAnsi="Calibri" w:cs="Calibri"/>
          <w:b/>
          <w:sz w:val="24"/>
          <w:szCs w:val="24"/>
        </w:rPr>
        <w:t xml:space="preserve">2. </w:t>
      </w:r>
      <w:r w:rsidR="00CE3395" w:rsidRPr="00AC319A">
        <w:rPr>
          <w:rFonts w:ascii="Calibri" w:hAnsi="Calibri" w:cs="Calibri"/>
          <w:b/>
          <w:sz w:val="24"/>
          <w:szCs w:val="24"/>
        </w:rPr>
        <w:t>Kontrolované dílčí projekty</w:t>
      </w:r>
    </w:p>
    <w:p w14:paraId="1246285A" w14:textId="77777777" w:rsid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Cs/>
          <w:sz w:val="24"/>
          <w:szCs w:val="24"/>
          <w:lang w:eastAsia="cs-CZ"/>
        </w:rPr>
      </w:pPr>
    </w:p>
    <w:p w14:paraId="5D66C103" w14:textId="4E7414CA" w:rsidR="00751314" w:rsidRDefault="009E6AC1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Cs/>
          <w:sz w:val="24"/>
          <w:szCs w:val="24"/>
          <w:lang w:eastAsia="cs-CZ"/>
        </w:rPr>
      </w:pPr>
      <w:r w:rsidRPr="00AC319A">
        <w:rPr>
          <w:rFonts w:ascii="Calibri" w:hAnsi="Calibri" w:cs="Calibri"/>
          <w:bCs/>
          <w:sz w:val="24"/>
          <w:szCs w:val="24"/>
          <w:lang w:eastAsia="cs-CZ"/>
        </w:rPr>
        <w:t>Jedním ze specifických cílů IPRM – PEHMK bylo „</w:t>
      </w:r>
      <w:r w:rsidRPr="00AC319A">
        <w:rPr>
          <w:rFonts w:ascii="Calibri" w:hAnsi="Calibri" w:cs="Calibri"/>
          <w:bCs/>
          <w:i/>
          <w:sz w:val="24"/>
          <w:szCs w:val="24"/>
          <w:lang w:eastAsia="cs-CZ"/>
        </w:rPr>
        <w:t>zvýšit prestiž města prostřednictvím budování nových sídel významných kulturních institucí, které přitahují celorepublikovou pozornost a mají potenciál stát se samotným důvodem pro návštěvu města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“. Město Plzeň plánovalo </w:t>
      </w:r>
      <w:r w:rsidR="001F1444">
        <w:rPr>
          <w:rFonts w:ascii="Calibri" w:hAnsi="Calibri" w:cs="Calibri"/>
          <w:bCs/>
          <w:sz w:val="24"/>
          <w:szCs w:val="24"/>
          <w:lang w:eastAsia="cs-CZ"/>
        </w:rPr>
        <w:t>naplnit uvedený cíl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 prostřednictvím realizace několika významných projektů</w:t>
      </w:r>
      <w:r w:rsidR="00AC319A" w:rsidRPr="00AC319A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>– mimo jiné rekonstrukcí kulturního domu pro muzejní nebo galerijní účely, novostavbou knihovny, novostavbou divadla</w:t>
      </w:r>
      <w:r w:rsidR="004C3067"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 či</w:t>
      </w:r>
      <w:r w:rsidRPr="00AC319A">
        <w:rPr>
          <w:rFonts w:ascii="Calibri" w:hAnsi="Calibri" w:cs="Calibri"/>
          <w:bCs/>
          <w:sz w:val="24"/>
          <w:szCs w:val="24"/>
          <w:lang w:eastAsia="cs-CZ"/>
        </w:rPr>
        <w:t xml:space="preserve"> vybudováním víceúčelového kulturního zařízení a archivu. </w:t>
      </w:r>
    </w:p>
    <w:p w14:paraId="1826598D" w14:textId="77777777" w:rsidR="00AC319A" w:rsidRP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Cs/>
          <w:sz w:val="24"/>
          <w:szCs w:val="24"/>
          <w:lang w:eastAsia="cs-CZ"/>
        </w:rPr>
      </w:pPr>
    </w:p>
    <w:p w14:paraId="325139C5" w14:textId="18AE8E78" w:rsidR="009E6AC1" w:rsidRDefault="00751314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>Z</w:t>
      </w:r>
      <w:r w:rsidR="00AC319A" w:rsidRPr="00AC319A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>pěti plánovaných dílčích projektů spočívajících v</w:t>
      </w:r>
      <w:r w:rsidR="00AC319A" w:rsidRPr="00AC319A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>budování nových sídel významných kulturních institucí zrealizovalo město Plzeň v</w:t>
      </w:r>
      <w:r w:rsidR="00AC319A" w:rsidRPr="00AC319A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>rámci IPRM – PEHMK pouze jediný</w:t>
      </w:r>
      <w:r w:rsidR="00BF53C0">
        <w:rPr>
          <w:rFonts w:ascii="Calibri" w:hAnsi="Calibri" w:cs="Calibri"/>
          <w:b/>
          <w:bCs/>
          <w:sz w:val="24"/>
          <w:szCs w:val="24"/>
          <w:lang w:eastAsia="cs-CZ"/>
        </w:rPr>
        <w:t>,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 </w:t>
      </w:r>
      <w:r w:rsidR="00BF53C0">
        <w:rPr>
          <w:rFonts w:ascii="Calibri" w:hAnsi="Calibri" w:cs="Calibri"/>
          <w:b/>
          <w:bCs/>
          <w:sz w:val="24"/>
          <w:szCs w:val="24"/>
          <w:lang w:eastAsia="cs-CZ"/>
        </w:rPr>
        <w:t xml:space="preserve">a to 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>novostavbu divadla.</w:t>
      </w:r>
    </w:p>
    <w:p w14:paraId="29A41E2C" w14:textId="77777777" w:rsidR="00AC319A" w:rsidRP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Cs/>
          <w:sz w:val="24"/>
          <w:szCs w:val="24"/>
          <w:lang w:eastAsia="cs-CZ"/>
        </w:rPr>
      </w:pPr>
    </w:p>
    <w:p w14:paraId="022D54D9" w14:textId="34889B6B" w:rsidR="00F2143D" w:rsidRPr="00AC319A" w:rsidRDefault="009E6AC1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24"/>
          <w:szCs w:val="24"/>
        </w:rPr>
      </w:pP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RR </w:t>
      </w:r>
      <w:r w:rsidR="00F77519" w:rsidRPr="00AC319A">
        <w:rPr>
          <w:rFonts w:ascii="Calibri" w:hAnsi="Calibri" w:cs="Calibri"/>
          <w:b/>
          <w:bCs/>
          <w:sz w:val="24"/>
          <w:szCs w:val="24"/>
          <w:lang w:eastAsia="cs-CZ"/>
        </w:rPr>
        <w:t>předpokládá</w:t>
      </w:r>
      <w:r w:rsidR="004C3067" w:rsidRPr="00AC319A">
        <w:rPr>
          <w:rFonts w:ascii="Calibri" w:hAnsi="Calibri" w:cs="Calibri"/>
          <w:b/>
          <w:bCs/>
          <w:sz w:val="24"/>
          <w:szCs w:val="24"/>
          <w:lang w:eastAsia="cs-CZ"/>
        </w:rPr>
        <w:t>, že v</w:t>
      </w:r>
      <w:r w:rsidR="00AC319A" w:rsidRPr="00AC319A">
        <w:rPr>
          <w:rFonts w:ascii="Calibri" w:hAnsi="Calibri" w:cs="Calibri"/>
          <w:b/>
          <w:bCs/>
          <w:sz w:val="24"/>
          <w:szCs w:val="24"/>
          <w:lang w:eastAsia="cs-CZ"/>
        </w:rPr>
        <w:t> </w:t>
      </w:r>
      <w:r w:rsidR="004C3067"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rámci IPRM – PEHMK 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>nebude vyčerpána částka převyšující 6 mil. </w:t>
      </w:r>
      <w:r w:rsidR="001F1444">
        <w:rPr>
          <w:rFonts w:ascii="Calibri" w:hAnsi="Calibri" w:cs="Calibri"/>
          <w:b/>
          <w:bCs/>
          <w:sz w:val="24"/>
          <w:szCs w:val="24"/>
          <w:lang w:eastAsia="cs-CZ"/>
        </w:rPr>
        <w:t>eur</w:t>
      </w:r>
      <w:r w:rsidR="00014C0E" w:rsidRPr="00AC319A">
        <w:rPr>
          <w:rFonts w:ascii="Calibri" w:hAnsi="Calibri" w:cs="Calibri"/>
          <w:b/>
          <w:bCs/>
          <w:sz w:val="24"/>
          <w:szCs w:val="24"/>
          <w:lang w:eastAsia="cs-CZ"/>
        </w:rPr>
        <w:t>, což činí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 </w:t>
      </w:r>
      <w:r w:rsidR="00900AE8" w:rsidRPr="00AC319A">
        <w:rPr>
          <w:rFonts w:ascii="Calibri" w:hAnsi="Calibri" w:cs="Calibri"/>
          <w:b/>
          <w:bCs/>
          <w:sz w:val="24"/>
          <w:szCs w:val="24"/>
          <w:lang w:eastAsia="cs-CZ"/>
        </w:rPr>
        <w:t>přibližně</w:t>
      </w:r>
      <w:r w:rsidR="00014C0E"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 </w:t>
      </w:r>
      <w:r w:rsidR="001F1444">
        <w:rPr>
          <w:rFonts w:ascii="Calibri" w:hAnsi="Calibri" w:cs="Calibri"/>
          <w:b/>
          <w:bCs/>
          <w:sz w:val="24"/>
          <w:szCs w:val="24"/>
          <w:lang w:eastAsia="cs-CZ"/>
        </w:rPr>
        <w:t>⅓</w:t>
      </w:r>
      <w:r w:rsidR="00014C0E" w:rsidRPr="00AC319A">
        <w:rPr>
          <w:rFonts w:ascii="Calibri" w:hAnsi="Calibri" w:cs="Calibri"/>
          <w:b/>
          <w:bCs/>
          <w:sz w:val="24"/>
          <w:szCs w:val="24"/>
          <w:lang w:eastAsia="cs-CZ"/>
        </w:rPr>
        <w:t xml:space="preserve"> celkové alokace</w:t>
      </w:r>
      <w:r w:rsidRPr="00AC319A">
        <w:rPr>
          <w:rFonts w:ascii="Calibri" w:hAnsi="Calibri" w:cs="Calibri"/>
          <w:b/>
          <w:bCs/>
          <w:sz w:val="24"/>
          <w:szCs w:val="24"/>
          <w:lang w:eastAsia="cs-CZ"/>
        </w:rPr>
        <w:t>.</w:t>
      </w:r>
    </w:p>
    <w:p w14:paraId="5DABFA09" w14:textId="77777777" w:rsid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14:paraId="00E5BAFC" w14:textId="0250C16F" w:rsidR="00184585" w:rsidRDefault="00926C8D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AC319A">
        <w:rPr>
          <w:rFonts w:ascii="Calibri" w:hAnsi="Calibri" w:cs="Calibri"/>
          <w:sz w:val="24"/>
          <w:szCs w:val="24"/>
        </w:rPr>
        <w:t>NKÚ</w:t>
      </w:r>
      <w:r w:rsidR="0008264D" w:rsidRPr="00AC319A">
        <w:rPr>
          <w:rFonts w:ascii="Calibri" w:hAnsi="Calibri" w:cs="Calibri"/>
          <w:sz w:val="24"/>
          <w:szCs w:val="24"/>
        </w:rPr>
        <w:t xml:space="preserve"> kontrolou prověřil</w:t>
      </w:r>
      <w:r w:rsidR="005A4C38" w:rsidRPr="00AC319A">
        <w:rPr>
          <w:rFonts w:ascii="Calibri" w:hAnsi="Calibri" w:cs="Calibri"/>
          <w:sz w:val="24"/>
          <w:szCs w:val="24"/>
        </w:rPr>
        <w:t xml:space="preserve"> </w:t>
      </w:r>
      <w:r w:rsidR="0008264D" w:rsidRPr="00AC319A">
        <w:rPr>
          <w:rFonts w:ascii="Calibri" w:hAnsi="Calibri" w:cs="Calibri"/>
          <w:sz w:val="24"/>
          <w:szCs w:val="24"/>
        </w:rPr>
        <w:t xml:space="preserve">čtyři realizované a dva plánované </w:t>
      </w:r>
      <w:r w:rsidR="003F04B3" w:rsidRPr="00AC319A">
        <w:rPr>
          <w:rFonts w:ascii="Calibri" w:hAnsi="Calibri" w:cs="Calibri"/>
          <w:sz w:val="24"/>
          <w:szCs w:val="24"/>
        </w:rPr>
        <w:t xml:space="preserve">dílčí </w:t>
      </w:r>
      <w:r w:rsidR="0008264D" w:rsidRPr="00AC319A">
        <w:rPr>
          <w:rFonts w:ascii="Calibri" w:hAnsi="Calibri" w:cs="Calibri"/>
          <w:sz w:val="24"/>
          <w:szCs w:val="24"/>
        </w:rPr>
        <w:t>projekty</w:t>
      </w:r>
      <w:r w:rsidR="004F31A5" w:rsidRPr="00AC319A">
        <w:rPr>
          <w:rFonts w:ascii="Calibri" w:hAnsi="Calibri" w:cs="Calibri"/>
          <w:sz w:val="24"/>
          <w:szCs w:val="24"/>
        </w:rPr>
        <w:t xml:space="preserve"> </w:t>
      </w:r>
      <w:r w:rsidR="0008264D" w:rsidRPr="00AC319A">
        <w:rPr>
          <w:rFonts w:ascii="Calibri" w:hAnsi="Calibri" w:cs="Calibri"/>
          <w:sz w:val="24"/>
          <w:szCs w:val="24"/>
        </w:rPr>
        <w:t>uvedené v</w:t>
      </w:r>
      <w:r w:rsidR="00AC319A" w:rsidRPr="00AC319A">
        <w:rPr>
          <w:rFonts w:ascii="Calibri" w:hAnsi="Calibri" w:cs="Calibri"/>
          <w:sz w:val="24"/>
          <w:szCs w:val="24"/>
        </w:rPr>
        <w:t> </w:t>
      </w:r>
      <w:r w:rsidR="00ED5A28" w:rsidRPr="00AC319A">
        <w:rPr>
          <w:rFonts w:ascii="Calibri" w:hAnsi="Calibri" w:cs="Calibri"/>
          <w:sz w:val="24"/>
          <w:szCs w:val="24"/>
        </w:rPr>
        <w:t>tabulce č. </w:t>
      </w:r>
      <w:r w:rsidR="009D4D40" w:rsidRPr="00AC319A">
        <w:rPr>
          <w:rFonts w:ascii="Calibri" w:hAnsi="Calibri" w:cs="Calibri"/>
          <w:sz w:val="24"/>
          <w:szCs w:val="24"/>
        </w:rPr>
        <w:t>1</w:t>
      </w:r>
      <w:r w:rsidR="004F31A5" w:rsidRPr="00AC319A">
        <w:rPr>
          <w:rFonts w:ascii="Calibri" w:hAnsi="Calibri" w:cs="Calibri"/>
          <w:sz w:val="24"/>
          <w:szCs w:val="24"/>
        </w:rPr>
        <w:t>.</w:t>
      </w:r>
    </w:p>
    <w:p w14:paraId="0E2FDFDE" w14:textId="77777777" w:rsidR="00AC319A" w:rsidRPr="00AC319A" w:rsidRDefault="00AC319A" w:rsidP="00AC319A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14:paraId="5198A875" w14:textId="3235FA87" w:rsidR="00ED5A28" w:rsidRPr="007B2498" w:rsidRDefault="00ED5A28" w:rsidP="006B4DFE">
      <w:pPr>
        <w:tabs>
          <w:tab w:val="right" w:pos="9072"/>
        </w:tabs>
        <w:autoSpaceDE w:val="0"/>
        <w:autoSpaceDN w:val="0"/>
        <w:adjustRightInd w:val="0"/>
        <w:spacing w:before="0" w:after="40"/>
        <w:rPr>
          <w:rFonts w:asciiTheme="minorHAnsi" w:hAnsiTheme="minorHAnsi" w:cs="Calibri"/>
          <w:sz w:val="24"/>
          <w:szCs w:val="24"/>
        </w:rPr>
      </w:pPr>
      <w:r w:rsidRPr="004A75BA">
        <w:rPr>
          <w:rFonts w:asciiTheme="minorHAnsi" w:hAnsiTheme="minorHAnsi" w:cs="Calibri"/>
          <w:sz w:val="24"/>
          <w:szCs w:val="24"/>
        </w:rPr>
        <w:t>T</w:t>
      </w:r>
      <w:r w:rsidRPr="0056076E">
        <w:rPr>
          <w:rFonts w:asciiTheme="minorHAnsi" w:hAnsiTheme="minorHAnsi" w:cs="Calibri"/>
          <w:b/>
          <w:sz w:val="24"/>
          <w:szCs w:val="24"/>
        </w:rPr>
        <w:t xml:space="preserve">abulka č. </w:t>
      </w:r>
      <w:r w:rsidR="009D4D40" w:rsidRPr="0056076E">
        <w:rPr>
          <w:rFonts w:asciiTheme="minorHAnsi" w:hAnsiTheme="minorHAnsi" w:cs="Calibri"/>
          <w:b/>
          <w:sz w:val="24"/>
          <w:szCs w:val="24"/>
        </w:rPr>
        <w:t>1</w:t>
      </w:r>
      <w:r w:rsidRPr="0056076E">
        <w:rPr>
          <w:rFonts w:asciiTheme="minorHAnsi" w:hAnsiTheme="minorHAnsi" w:cs="Calibri"/>
          <w:b/>
          <w:sz w:val="24"/>
          <w:szCs w:val="24"/>
        </w:rPr>
        <w:t xml:space="preserve"> – Kontrolované dílčí projekty IPRM – PEHMK</w:t>
      </w:r>
      <w:r w:rsidRPr="0056076E">
        <w:rPr>
          <w:rFonts w:asciiTheme="minorHAnsi" w:hAnsiTheme="minorHAnsi" w:cs="Calibri"/>
          <w:b/>
          <w:sz w:val="24"/>
          <w:szCs w:val="24"/>
        </w:rPr>
        <w:tab/>
      </w:r>
      <w:r w:rsidRPr="0056076E">
        <w:rPr>
          <w:rFonts w:asciiTheme="minorHAnsi" w:hAnsiTheme="minorHAnsi" w:cs="Calibri"/>
          <w:b/>
        </w:rPr>
        <w:t>(v Kč)</w:t>
      </w:r>
    </w:p>
    <w:tbl>
      <w:tblPr>
        <w:tblW w:w="9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387"/>
        <w:gridCol w:w="1453"/>
      </w:tblGrid>
      <w:tr w:rsidR="00ED5A28" w:rsidRPr="00C20A74" w14:paraId="35213CBD" w14:textId="77777777" w:rsidTr="00C20A74">
        <w:trPr>
          <w:trHeight w:val="2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37B20" w14:textId="77777777" w:rsidR="00ED5A28" w:rsidRPr="0056076E" w:rsidRDefault="00ED5A28" w:rsidP="00C20A74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076E">
              <w:rPr>
                <w:rFonts w:ascii="Calibri" w:hAnsi="Calibri" w:cs="Calibri"/>
                <w:b/>
                <w:bCs/>
                <w:sz w:val="20"/>
                <w:szCs w:val="20"/>
              </w:rPr>
              <w:t>Registrační číslo projektu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766AD" w14:textId="77777777" w:rsidR="00ED5A28" w:rsidRPr="0056076E" w:rsidRDefault="00ED5A28" w:rsidP="00C20A74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076E">
              <w:rPr>
                <w:rFonts w:ascii="Calibri" w:hAnsi="Calibri" w:cs="Calibri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AAB79" w14:textId="5BA493BC" w:rsidR="00ED5A28" w:rsidRPr="0056076E" w:rsidRDefault="00ED5A28" w:rsidP="00BF53C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07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Dotace </w:t>
            </w:r>
            <w:r w:rsidR="00BF53C0">
              <w:rPr>
                <w:rFonts w:ascii="Calibri" w:hAnsi="Calibri" w:cs="Calibri"/>
                <w:b/>
                <w:bCs/>
                <w:sz w:val="20"/>
                <w:szCs w:val="20"/>
              </w:rPr>
              <w:t>od</w:t>
            </w:r>
            <w:r w:rsidR="00AC319A" w:rsidRPr="005607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56076E">
              <w:rPr>
                <w:rFonts w:ascii="Calibri" w:hAnsi="Calibri" w:cs="Calibri"/>
                <w:b/>
                <w:bCs/>
                <w:sz w:val="20"/>
                <w:szCs w:val="20"/>
              </w:rPr>
              <w:t>RR</w:t>
            </w:r>
            <w:r w:rsidR="000A7906" w:rsidRPr="0056076E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090FE4" w:rsidRPr="00C20A74" w14:paraId="484AFAE4" w14:textId="77777777" w:rsidTr="00C20A74">
        <w:trPr>
          <w:trHeight w:val="227"/>
        </w:trPr>
        <w:tc>
          <w:tcPr>
            <w:tcW w:w="9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E707" w14:textId="4C01C145" w:rsidR="00090FE4" w:rsidRPr="00C20A74" w:rsidRDefault="00090FE4" w:rsidP="00C20A74">
            <w:pPr>
              <w:spacing w:before="20" w:after="20"/>
              <w:ind w:righ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Realizované projekty</w:t>
            </w:r>
          </w:p>
        </w:tc>
      </w:tr>
      <w:tr w:rsidR="00ED5A28" w:rsidRPr="00C20A74" w14:paraId="6C405D66" w14:textId="77777777" w:rsidTr="00C20A74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FB32" w14:textId="77777777" w:rsidR="00ED5A28" w:rsidRPr="00C20A74" w:rsidRDefault="00ED5A28" w:rsidP="00C20A74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CZ.1.14/2.1.00/15.02563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89385" w14:textId="41587352" w:rsidR="00ED5A28" w:rsidRPr="0056076E" w:rsidRDefault="00ED5A28" w:rsidP="00C20A74">
            <w:pPr>
              <w:spacing w:before="20" w:after="20"/>
              <w:jc w:val="left"/>
              <w:rPr>
                <w:rFonts w:ascii="Calibri" w:hAnsi="Calibri" w:cs="Calibri"/>
                <w:i/>
                <w:sz w:val="20"/>
                <w:szCs w:val="20"/>
                <w:lang w:eastAsia="cs-CZ"/>
              </w:rPr>
            </w:pPr>
            <w:r w:rsidRPr="0056076E">
              <w:rPr>
                <w:rFonts w:ascii="Calibri" w:hAnsi="Calibri" w:cs="Calibri"/>
                <w:bCs/>
                <w:i/>
                <w:sz w:val="20"/>
                <w:szCs w:val="20"/>
              </w:rPr>
              <w:t>Novostavba divadla v</w:t>
            </w:r>
            <w:r w:rsidR="00AC319A" w:rsidRPr="0056076E">
              <w:rPr>
                <w:rFonts w:ascii="Calibri" w:hAnsi="Calibri" w:cs="Calibri"/>
                <w:bCs/>
                <w:i/>
                <w:sz w:val="20"/>
                <w:szCs w:val="20"/>
              </w:rPr>
              <w:t> </w:t>
            </w:r>
            <w:r w:rsidRPr="0056076E">
              <w:rPr>
                <w:rFonts w:ascii="Calibri" w:hAnsi="Calibri" w:cs="Calibri"/>
                <w:bCs/>
                <w:i/>
                <w:sz w:val="20"/>
                <w:szCs w:val="20"/>
              </w:rPr>
              <w:t>Plzni, Divadlo Jízdecká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00D70" w14:textId="77777777" w:rsidR="00ED5A28" w:rsidRPr="00C20A74" w:rsidRDefault="00ED5A28" w:rsidP="00C20A7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197 635 313,54</w:t>
            </w:r>
          </w:p>
        </w:tc>
      </w:tr>
      <w:tr w:rsidR="00ED5A28" w:rsidRPr="00C20A74" w14:paraId="5610AAE6" w14:textId="77777777" w:rsidTr="00C20A74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BF87A" w14:textId="77777777" w:rsidR="00ED5A28" w:rsidRPr="00C20A74" w:rsidRDefault="00ED5A28" w:rsidP="00C20A74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CZ.1.14/2.1.00/04.02503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6C37" w14:textId="77777777" w:rsidR="00ED5A28" w:rsidRPr="0056076E" w:rsidRDefault="00ED5A28" w:rsidP="00C20A74">
            <w:pPr>
              <w:spacing w:before="20" w:after="20"/>
              <w:jc w:val="left"/>
              <w:rPr>
                <w:rFonts w:ascii="Calibri" w:hAnsi="Calibri" w:cs="Calibri"/>
                <w:i/>
                <w:sz w:val="20"/>
                <w:szCs w:val="20"/>
                <w:lang w:eastAsia="cs-CZ"/>
              </w:rPr>
            </w:pPr>
            <w:proofErr w:type="spellStart"/>
            <w:r w:rsidRPr="0056076E">
              <w:rPr>
                <w:rFonts w:ascii="Calibri" w:hAnsi="Calibri" w:cs="Calibri"/>
                <w:i/>
                <w:sz w:val="20"/>
                <w:szCs w:val="20"/>
                <w:lang w:eastAsia="cs-CZ"/>
              </w:rPr>
              <w:t>Relax</w:t>
            </w:r>
            <w:proofErr w:type="spellEnd"/>
            <w:r w:rsidRPr="0056076E">
              <w:rPr>
                <w:rFonts w:ascii="Calibri" w:hAnsi="Calibri" w:cs="Calibri"/>
                <w:i/>
                <w:sz w:val="20"/>
                <w:szCs w:val="20"/>
                <w:lang w:eastAsia="cs-CZ"/>
              </w:rPr>
              <w:t xml:space="preserve"> centrum Štruncovy sady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C3240" w14:textId="77777777" w:rsidR="00ED5A28" w:rsidRPr="00C20A74" w:rsidRDefault="00ED5A28" w:rsidP="00C20A7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48 144 135,93</w:t>
            </w:r>
          </w:p>
        </w:tc>
      </w:tr>
      <w:tr w:rsidR="00ED5A28" w:rsidRPr="00C20A74" w14:paraId="1F3AB056" w14:textId="77777777" w:rsidTr="00C20A74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917BD" w14:textId="77777777" w:rsidR="00ED5A28" w:rsidRPr="00C20A74" w:rsidRDefault="00ED5A28" w:rsidP="00C20A74">
            <w:pPr>
              <w:spacing w:before="20" w:after="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CZ.1.14/2.1.00/15.02835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093DD" w14:textId="77777777" w:rsidR="00ED5A28" w:rsidRPr="0056076E" w:rsidRDefault="00ED5A28" w:rsidP="00C20A74">
            <w:pPr>
              <w:spacing w:before="20" w:after="20"/>
              <w:jc w:val="left"/>
              <w:rPr>
                <w:rFonts w:ascii="Calibri" w:hAnsi="Calibri" w:cs="Calibri"/>
                <w:i/>
                <w:sz w:val="20"/>
                <w:szCs w:val="20"/>
                <w:lang w:eastAsia="cs-CZ"/>
              </w:rPr>
            </w:pPr>
            <w:r w:rsidRPr="0056076E">
              <w:rPr>
                <w:rFonts w:ascii="Calibri" w:hAnsi="Calibri" w:cs="Calibri"/>
                <w:i/>
                <w:sz w:val="20"/>
                <w:szCs w:val="20"/>
                <w:lang w:eastAsia="cs-CZ"/>
              </w:rPr>
              <w:t>Divadelní terasy – úprava JZ části sadového okruhu historického jádra města Plzně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55D6" w14:textId="77777777" w:rsidR="00ED5A28" w:rsidRPr="00C20A74" w:rsidRDefault="00ED5A28" w:rsidP="00C20A74">
            <w:pPr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35 977 831,64</w:t>
            </w:r>
          </w:p>
        </w:tc>
      </w:tr>
      <w:tr w:rsidR="00ED5A28" w:rsidRPr="00C20A74" w14:paraId="59E81D3B" w14:textId="77777777" w:rsidTr="00C20A74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B928F" w14:textId="77777777" w:rsidR="00ED5A28" w:rsidRPr="00C20A74" w:rsidRDefault="00ED5A28" w:rsidP="00C20A74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CZ.1.14/2.1.00/32.02974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23E14" w14:textId="53C478AD" w:rsidR="00ED5A28" w:rsidRPr="0056076E" w:rsidRDefault="00ED5A28" w:rsidP="00BF53C0">
            <w:pPr>
              <w:spacing w:before="20" w:after="20"/>
              <w:jc w:val="left"/>
              <w:rPr>
                <w:rFonts w:ascii="Calibri" w:hAnsi="Calibri" w:cs="Calibri"/>
                <w:i/>
                <w:sz w:val="20"/>
                <w:szCs w:val="20"/>
                <w:lang w:eastAsia="cs-CZ"/>
              </w:rPr>
            </w:pPr>
            <w:r w:rsidRPr="0056076E">
              <w:rPr>
                <w:rFonts w:ascii="Calibri" w:hAnsi="Calibri" w:cs="Calibri"/>
                <w:i/>
                <w:sz w:val="20"/>
                <w:szCs w:val="20"/>
                <w:lang w:eastAsia="cs-CZ"/>
              </w:rPr>
              <w:t xml:space="preserve">Revitalizace uliční sítě historického centra města Plzně, rekonstrukce TT Pražská – U </w:t>
            </w:r>
            <w:r w:rsidR="00BF53C0">
              <w:rPr>
                <w:rFonts w:ascii="Calibri" w:hAnsi="Calibri" w:cs="Calibri"/>
                <w:i/>
                <w:sz w:val="20"/>
                <w:szCs w:val="20"/>
                <w:lang w:eastAsia="cs-CZ"/>
              </w:rPr>
              <w:t>Z</w:t>
            </w:r>
            <w:r w:rsidRPr="0056076E">
              <w:rPr>
                <w:rFonts w:ascii="Calibri" w:hAnsi="Calibri" w:cs="Calibri"/>
                <w:i/>
                <w:sz w:val="20"/>
                <w:szCs w:val="20"/>
                <w:lang w:eastAsia="cs-CZ"/>
              </w:rPr>
              <w:t>vonu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8612" w14:textId="58519DC7" w:rsidR="00ED5A28" w:rsidRPr="00C20A74" w:rsidRDefault="00ED5A28" w:rsidP="00C20A7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23 </w:t>
            </w:r>
            <w:r w:rsidR="00C92A18"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651</w:t>
            </w:r>
            <w:r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  <w:r w:rsidR="00C92A18"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522</w:t>
            </w:r>
            <w:r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,</w:t>
            </w:r>
            <w:r w:rsidR="00C92A18"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57</w:t>
            </w:r>
          </w:p>
        </w:tc>
      </w:tr>
      <w:tr w:rsidR="00090FE4" w:rsidRPr="00C20A74" w14:paraId="62A8373F" w14:textId="77777777" w:rsidTr="00C20A74">
        <w:trPr>
          <w:trHeight w:val="227"/>
        </w:trPr>
        <w:tc>
          <w:tcPr>
            <w:tcW w:w="9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D0B2" w14:textId="5A44A895" w:rsidR="00090FE4" w:rsidRPr="00C20A74" w:rsidRDefault="00090FE4" w:rsidP="00C20A74">
            <w:pPr>
              <w:spacing w:before="20" w:after="20"/>
              <w:ind w:righ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Nerealizované projekty</w:t>
            </w:r>
          </w:p>
        </w:tc>
      </w:tr>
      <w:tr w:rsidR="00ED5A28" w:rsidRPr="00C20A74" w14:paraId="78A1BC59" w14:textId="77777777" w:rsidTr="00C20A74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63F38" w14:textId="77777777" w:rsidR="00ED5A28" w:rsidRPr="00C20A74" w:rsidRDefault="00ED5A28" w:rsidP="00C20A74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CZ.1.14/2.1.00/15.02725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41891" w14:textId="77777777" w:rsidR="00ED5A28" w:rsidRPr="0056076E" w:rsidRDefault="00ED5A28" w:rsidP="00C20A74">
            <w:pPr>
              <w:spacing w:before="20" w:after="20"/>
              <w:jc w:val="left"/>
              <w:rPr>
                <w:rFonts w:ascii="Calibri" w:hAnsi="Calibri" w:cs="Calibri"/>
                <w:i/>
                <w:sz w:val="20"/>
                <w:szCs w:val="20"/>
                <w:lang w:eastAsia="cs-CZ"/>
              </w:rPr>
            </w:pPr>
            <w:r w:rsidRPr="0056076E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Archiv </w:t>
            </w:r>
            <w:proofErr w:type="spellStart"/>
            <w:r w:rsidRPr="0056076E">
              <w:rPr>
                <w:rFonts w:ascii="Calibri" w:hAnsi="Calibri" w:cs="Calibri"/>
                <w:bCs/>
                <w:i/>
                <w:sz w:val="20"/>
                <w:szCs w:val="20"/>
              </w:rPr>
              <w:t>Světovar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489F" w14:textId="77777777" w:rsidR="00ED5A28" w:rsidRPr="00C20A74" w:rsidRDefault="00ED5A28" w:rsidP="00C20A7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73 424 470,00</w:t>
            </w:r>
          </w:p>
        </w:tc>
      </w:tr>
      <w:tr w:rsidR="00ED5A28" w:rsidRPr="00C20A74" w14:paraId="5E326DD5" w14:textId="77777777" w:rsidTr="00C20A74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9233" w14:textId="77777777" w:rsidR="00ED5A28" w:rsidRPr="00C20A74" w:rsidRDefault="00ED5A28" w:rsidP="00C20A74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CZ.1.14/2.1.00/15.02724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8FB6" w14:textId="39FFDECD" w:rsidR="00ED5A28" w:rsidRPr="0056076E" w:rsidRDefault="00ED5A28" w:rsidP="00C20A74">
            <w:pPr>
              <w:spacing w:before="20" w:after="20"/>
              <w:jc w:val="left"/>
              <w:rPr>
                <w:rFonts w:ascii="Calibri" w:hAnsi="Calibri" w:cs="Calibri"/>
                <w:i/>
                <w:sz w:val="20"/>
                <w:szCs w:val="20"/>
                <w:lang w:eastAsia="cs-CZ"/>
              </w:rPr>
            </w:pPr>
            <w:r w:rsidRPr="0056076E">
              <w:rPr>
                <w:rFonts w:ascii="Calibri" w:hAnsi="Calibri" w:cs="Calibri"/>
                <w:i/>
                <w:sz w:val="20"/>
                <w:szCs w:val="20"/>
              </w:rPr>
              <w:t xml:space="preserve">4x4 </w:t>
            </w:r>
            <w:proofErr w:type="spellStart"/>
            <w:r w:rsidRPr="0056076E">
              <w:rPr>
                <w:rFonts w:ascii="Calibri" w:hAnsi="Calibri" w:cs="Calibri"/>
                <w:i/>
                <w:sz w:val="20"/>
                <w:szCs w:val="20"/>
              </w:rPr>
              <w:t>Cultural</w:t>
            </w:r>
            <w:proofErr w:type="spellEnd"/>
            <w:r w:rsidRPr="0056076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rFonts w:ascii="Calibri" w:hAnsi="Calibri" w:cs="Calibri"/>
                <w:i/>
                <w:sz w:val="20"/>
                <w:szCs w:val="20"/>
              </w:rPr>
              <w:t>Factory</w:t>
            </w:r>
            <w:proofErr w:type="spellEnd"/>
            <w:r w:rsidR="00C77CFE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56076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rFonts w:ascii="Calibri" w:hAnsi="Calibri" w:cs="Calibri"/>
                <w:i/>
                <w:sz w:val="20"/>
                <w:szCs w:val="20"/>
              </w:rPr>
              <w:t>Světovar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20339" w14:textId="77777777" w:rsidR="00ED5A28" w:rsidRPr="00C20A74" w:rsidRDefault="00ED5A28" w:rsidP="00C20A7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20A74">
              <w:rPr>
                <w:rFonts w:ascii="Calibri" w:hAnsi="Calibri" w:cs="Calibri"/>
                <w:sz w:val="20"/>
                <w:szCs w:val="20"/>
                <w:lang w:eastAsia="cs-CZ"/>
              </w:rPr>
              <w:t>40 322 327,00</w:t>
            </w:r>
          </w:p>
        </w:tc>
      </w:tr>
    </w:tbl>
    <w:p w14:paraId="4FAC7332" w14:textId="52750CC4" w:rsidR="00ED5A28" w:rsidRPr="00A64BA6" w:rsidRDefault="00ED5A28" w:rsidP="00C20A74">
      <w:pPr>
        <w:spacing w:before="40" w:after="0"/>
        <w:outlineLvl w:val="0"/>
        <w:rPr>
          <w:rFonts w:asciiTheme="minorHAnsi" w:hAnsiTheme="minorHAnsi" w:cs="Calibri"/>
          <w:bCs/>
          <w:sz w:val="20"/>
          <w:szCs w:val="20"/>
        </w:rPr>
      </w:pPr>
      <w:r w:rsidRPr="00A64BA6">
        <w:rPr>
          <w:rFonts w:asciiTheme="minorHAnsi" w:hAnsiTheme="minorHAnsi" w:cs="Calibri"/>
          <w:b/>
          <w:bCs/>
          <w:sz w:val="20"/>
          <w:szCs w:val="20"/>
        </w:rPr>
        <w:t>Zdroj:</w:t>
      </w:r>
      <w:r w:rsidRPr="00A64BA6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1F1444">
        <w:rPr>
          <w:rFonts w:asciiTheme="minorHAnsi" w:hAnsiTheme="minorHAnsi" w:cs="Calibri"/>
          <w:bCs/>
          <w:sz w:val="20"/>
          <w:szCs w:val="20"/>
        </w:rPr>
        <w:t>ž</w:t>
      </w:r>
      <w:r w:rsidRPr="00A64BA6">
        <w:rPr>
          <w:rFonts w:asciiTheme="minorHAnsi" w:hAnsiTheme="minorHAnsi" w:cs="Calibri"/>
          <w:bCs/>
          <w:sz w:val="20"/>
          <w:szCs w:val="20"/>
        </w:rPr>
        <w:t>ádosti o platbu</w:t>
      </w:r>
      <w:r w:rsidR="00BF53C0">
        <w:rPr>
          <w:rFonts w:asciiTheme="minorHAnsi" w:hAnsiTheme="minorHAnsi" w:cs="Calibri"/>
          <w:bCs/>
          <w:sz w:val="20"/>
          <w:szCs w:val="20"/>
        </w:rPr>
        <w:t>;</w:t>
      </w:r>
      <w:r w:rsidRPr="00A64BA6">
        <w:rPr>
          <w:rFonts w:asciiTheme="minorHAnsi" w:hAnsiTheme="minorHAnsi" w:cs="Calibri"/>
          <w:bCs/>
          <w:sz w:val="20"/>
          <w:szCs w:val="20"/>
        </w:rPr>
        <w:t xml:space="preserve"> u nerealizovaných projektů </w:t>
      </w:r>
      <w:proofErr w:type="spellStart"/>
      <w:r w:rsidRPr="00A64BA6">
        <w:rPr>
          <w:rFonts w:asciiTheme="minorHAnsi" w:hAnsiTheme="minorHAnsi" w:cs="Calibri"/>
          <w:bCs/>
          <w:sz w:val="20"/>
          <w:szCs w:val="20"/>
        </w:rPr>
        <w:t>Světovar</w:t>
      </w:r>
      <w:proofErr w:type="spellEnd"/>
      <w:r w:rsidRPr="00A64BA6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BF53C0">
        <w:rPr>
          <w:rFonts w:asciiTheme="minorHAnsi" w:hAnsiTheme="minorHAnsi" w:cs="Calibri"/>
          <w:bCs/>
          <w:sz w:val="20"/>
          <w:szCs w:val="20"/>
        </w:rPr>
        <w:t xml:space="preserve">je uvedena </w:t>
      </w:r>
      <w:r w:rsidRPr="00A64BA6">
        <w:rPr>
          <w:rFonts w:asciiTheme="minorHAnsi" w:hAnsiTheme="minorHAnsi" w:cs="Calibri"/>
          <w:bCs/>
          <w:sz w:val="20"/>
          <w:szCs w:val="20"/>
        </w:rPr>
        <w:t xml:space="preserve">plánovaná částka dotace </w:t>
      </w:r>
      <w:r w:rsidR="00BF53C0">
        <w:rPr>
          <w:rFonts w:asciiTheme="minorHAnsi" w:hAnsiTheme="minorHAnsi" w:cs="Calibri"/>
          <w:bCs/>
          <w:sz w:val="20"/>
          <w:szCs w:val="20"/>
        </w:rPr>
        <w:t>dle</w:t>
      </w:r>
      <w:r w:rsidRPr="00A64BA6">
        <w:rPr>
          <w:rFonts w:asciiTheme="minorHAnsi" w:hAnsiTheme="minorHAnsi" w:cs="Calibri"/>
          <w:bCs/>
          <w:sz w:val="20"/>
          <w:szCs w:val="20"/>
        </w:rPr>
        <w:t xml:space="preserve"> smluv</w:t>
      </w:r>
      <w:r w:rsidR="00A64BA6" w:rsidRPr="00A64BA6">
        <w:rPr>
          <w:rFonts w:asciiTheme="minorHAnsi" w:hAnsiTheme="minorHAnsi" w:cs="Calibri"/>
          <w:bCs/>
          <w:sz w:val="20"/>
          <w:szCs w:val="20"/>
        </w:rPr>
        <w:t>.</w:t>
      </w:r>
    </w:p>
    <w:p w14:paraId="759B68E5" w14:textId="77777777" w:rsidR="00AC319A" w:rsidRDefault="00AC319A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7B5A895F" w14:textId="794CE9E0" w:rsidR="00F2143D" w:rsidRPr="00AC319A" w:rsidRDefault="00AC319A" w:rsidP="00AC319A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171F6A" w:rsidRPr="00AC319A">
        <w:rPr>
          <w:rFonts w:asciiTheme="minorHAnsi" w:hAnsiTheme="minorHAnsi" w:cstheme="minorHAnsi"/>
          <w:b/>
          <w:sz w:val="24"/>
          <w:szCs w:val="24"/>
        </w:rPr>
        <w:t>Indikátory projektů</w:t>
      </w:r>
    </w:p>
    <w:p w14:paraId="10C50E5B" w14:textId="77777777" w:rsidR="00AC319A" w:rsidRDefault="00AC319A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3B2ED7EA" w14:textId="4A79C7A6" w:rsidR="004A7392" w:rsidRDefault="004A7392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RR stanovovala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metodickém pokynu </w:t>
      </w:r>
      <w:r w:rsidRPr="00567FF2">
        <w:rPr>
          <w:rFonts w:asciiTheme="minorHAnsi" w:hAnsiTheme="minorHAnsi" w:cstheme="minorHAnsi"/>
          <w:bCs/>
          <w:i/>
          <w:sz w:val="24"/>
          <w:szCs w:val="24"/>
        </w:rPr>
        <w:t>Indikátorová soustava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indikátory projektů, jejichž smyslem bylo zejména monitorování a hodnocení úspěšnosti programu, efektivní řízení distribuce finančních prostředků a hodnocení projektů. RR stanovovala tzv. 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cenu za jednotku</w:t>
      </w:r>
      <w:r w:rsidRPr="007B2498">
        <w:rPr>
          <w:rFonts w:asciiTheme="minorHAnsi" w:hAnsiTheme="minorHAnsi" w:cstheme="minorHAnsi"/>
          <w:bCs/>
          <w:sz w:val="24"/>
          <w:szCs w:val="24"/>
        </w:rPr>
        <w:t>, která měla sloužit k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výpočtu tzv. 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optimální částky dotace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F1444">
        <w:rPr>
          <w:rFonts w:asciiTheme="minorHAnsi" w:hAnsiTheme="minorHAnsi" w:cstheme="minorHAnsi"/>
          <w:bCs/>
          <w:sz w:val="24"/>
          <w:szCs w:val="24"/>
        </w:rPr>
        <w:t>jednotku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daného indikátoru (např. m</w:t>
      </w:r>
      <w:r w:rsidRPr="007B2498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7B2498">
        <w:rPr>
          <w:rFonts w:asciiTheme="minorHAnsi" w:hAnsiTheme="minorHAnsi" w:cstheme="minorHAnsi"/>
          <w:bCs/>
          <w:sz w:val="24"/>
          <w:szCs w:val="24"/>
        </w:rPr>
        <w:t>, ha, ks apod.). Cenou za jednotku byl</w:t>
      </w:r>
      <w:r w:rsidR="001E2A3C">
        <w:rPr>
          <w:rFonts w:asciiTheme="minorHAnsi" w:hAnsiTheme="minorHAnsi" w:cstheme="minorHAnsi"/>
          <w:bCs/>
          <w:sz w:val="24"/>
          <w:szCs w:val="24"/>
        </w:rPr>
        <w:t>a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např. cena za 1 m</w:t>
      </w:r>
      <w:r w:rsidRPr="007B2498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užitné plochy </w:t>
      </w:r>
      <w:r w:rsidRPr="007B2498">
        <w:rPr>
          <w:rFonts w:asciiTheme="minorHAnsi" w:hAnsiTheme="minorHAnsi" w:cstheme="minorHAnsi"/>
          <w:bCs/>
          <w:sz w:val="24"/>
          <w:szCs w:val="24"/>
        </w:rPr>
        <w:lastRenderedPageBreak/>
        <w:t>regenerovaných a revitalizovaných objektů či cena za 1 ha plochy revitalizovaných nebo zanedbaných areálů (</w:t>
      </w:r>
      <w:proofErr w:type="spellStart"/>
      <w:r w:rsidRPr="007B2498">
        <w:rPr>
          <w:rFonts w:asciiTheme="minorHAnsi" w:hAnsiTheme="minorHAnsi" w:cstheme="minorHAnsi"/>
          <w:bCs/>
          <w:sz w:val="24"/>
          <w:szCs w:val="24"/>
        </w:rPr>
        <w:t>brownfields</w:t>
      </w:r>
      <w:proofErr w:type="spellEnd"/>
      <w:r w:rsidRPr="007B2498">
        <w:rPr>
          <w:rFonts w:asciiTheme="minorHAnsi" w:hAnsiTheme="minorHAnsi" w:cstheme="minorHAnsi"/>
          <w:bCs/>
          <w:sz w:val="24"/>
          <w:szCs w:val="24"/>
        </w:rPr>
        <w:t>).</w:t>
      </w:r>
    </w:p>
    <w:p w14:paraId="1A8238AD" w14:textId="77777777" w:rsidR="00AC319A" w:rsidRPr="007B2498" w:rsidRDefault="00AC319A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3052035B" w14:textId="24174DE4" w:rsidR="004A7392" w:rsidRDefault="004A7392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4A75BA">
        <w:rPr>
          <w:rFonts w:asciiTheme="minorHAnsi" w:hAnsiTheme="minorHAnsi" w:cstheme="minorHAnsi"/>
          <w:bCs/>
          <w:sz w:val="24"/>
          <w:szCs w:val="24"/>
        </w:rPr>
        <w:t>RR využívala indikátory projektů mimo jiné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4A75BA">
        <w:rPr>
          <w:rFonts w:asciiTheme="minorHAnsi" w:hAnsiTheme="minorHAnsi" w:cstheme="minorHAnsi"/>
          <w:bCs/>
          <w:sz w:val="24"/>
          <w:szCs w:val="24"/>
        </w:rPr>
        <w:t>rámci věcného hodnocení projekt</w:t>
      </w:r>
      <w:r w:rsidR="001E2A3C">
        <w:rPr>
          <w:rFonts w:asciiTheme="minorHAnsi" w:hAnsiTheme="minorHAnsi" w:cstheme="minorHAnsi"/>
          <w:bCs/>
          <w:sz w:val="24"/>
          <w:szCs w:val="24"/>
        </w:rPr>
        <w:t>ů</w:t>
      </w:r>
      <w:r w:rsidRPr="004A75BA">
        <w:rPr>
          <w:rFonts w:asciiTheme="minorHAnsi" w:hAnsiTheme="minorHAnsi" w:cstheme="minorHAnsi"/>
          <w:bCs/>
          <w:sz w:val="24"/>
          <w:szCs w:val="24"/>
        </w:rPr>
        <w:t xml:space="preserve"> (viz </w:t>
      </w:r>
      <w:r w:rsidR="00904781" w:rsidRPr="004A75BA">
        <w:rPr>
          <w:rFonts w:asciiTheme="minorHAnsi" w:hAnsiTheme="minorHAnsi" w:cstheme="minorHAnsi"/>
          <w:bCs/>
          <w:sz w:val="24"/>
          <w:szCs w:val="24"/>
        </w:rPr>
        <w:t>dále</w:t>
      </w:r>
      <w:r w:rsidRPr="004A75BA">
        <w:rPr>
          <w:rFonts w:asciiTheme="minorHAnsi" w:hAnsiTheme="minorHAnsi" w:cstheme="minorHAnsi"/>
          <w:bCs/>
          <w:sz w:val="24"/>
          <w:szCs w:val="24"/>
        </w:rPr>
        <w:t>),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při kterém hodnotitelé porovnávali vypočtené 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optimální částky dotace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navrženým</w:t>
      </w:r>
      <w:r w:rsidR="001E2A3C">
        <w:rPr>
          <w:rFonts w:asciiTheme="minorHAnsi" w:hAnsiTheme="minorHAnsi" w:cstheme="minorHAnsi"/>
          <w:bCs/>
          <w:sz w:val="24"/>
          <w:szCs w:val="24"/>
        </w:rPr>
        <w:t>i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rozpočt</w:t>
      </w:r>
      <w:r w:rsidR="001E2A3C">
        <w:rPr>
          <w:rFonts w:asciiTheme="minorHAnsi" w:hAnsiTheme="minorHAnsi" w:cstheme="minorHAnsi"/>
          <w:bCs/>
          <w:sz w:val="24"/>
          <w:szCs w:val="24"/>
        </w:rPr>
        <w:t>y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projekt</w:t>
      </w:r>
      <w:r w:rsidR="001E2A3C">
        <w:rPr>
          <w:rFonts w:asciiTheme="minorHAnsi" w:hAnsiTheme="minorHAnsi" w:cstheme="minorHAnsi"/>
          <w:bCs/>
          <w:sz w:val="24"/>
          <w:szCs w:val="24"/>
        </w:rPr>
        <w:t>ů</w:t>
      </w:r>
      <w:r w:rsidRPr="007B2498">
        <w:rPr>
          <w:rFonts w:asciiTheme="minorHAnsi" w:hAnsiTheme="minorHAnsi" w:cstheme="minorHAnsi"/>
          <w:bCs/>
          <w:sz w:val="24"/>
          <w:szCs w:val="24"/>
        </w:rPr>
        <w:t>. Pokud byl rozpočet projektu nižší než optimální částka dotace, obdržel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rámci hodnocení maximální počet bodů (100),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opačném případě byl počet bodů přidělen poměrně na základě procentuálního vyjádření podílu optimální částky dotace a rozpočtu projektu.</w:t>
      </w:r>
    </w:p>
    <w:p w14:paraId="6E42FA1E" w14:textId="77777777" w:rsidR="00AC319A" w:rsidRPr="007B2498" w:rsidRDefault="00AC319A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55578E0D" w14:textId="39108985" w:rsidR="004A7392" w:rsidRDefault="004A7392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Kontrolou dílčích projektů bylo zjištěno, že ceny za jednotku a optimální částky dotace byly ve významném rozporu s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rozpočty projektů a ve výsledku rovněž se skutečnými výdaji na projekt.</w:t>
      </w:r>
    </w:p>
    <w:p w14:paraId="66EFD919" w14:textId="77777777" w:rsidR="00AC319A" w:rsidRDefault="00AC319A" w:rsidP="00AC319A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3AB80C28" w14:textId="46386498" w:rsidR="00E351EF" w:rsidRPr="001250E6" w:rsidRDefault="00E351EF" w:rsidP="006B4DFE">
      <w:pPr>
        <w:tabs>
          <w:tab w:val="right" w:pos="9072"/>
        </w:tabs>
        <w:spacing w:before="0" w:after="40"/>
        <w:rPr>
          <w:rFonts w:asciiTheme="minorHAnsi" w:hAnsiTheme="minorHAnsi" w:cstheme="minorHAnsi"/>
          <w:b/>
          <w:bCs/>
          <w:sz w:val="24"/>
          <w:szCs w:val="24"/>
        </w:rPr>
      </w:pPr>
      <w:r w:rsidRPr="001250E6">
        <w:rPr>
          <w:rFonts w:asciiTheme="minorHAnsi" w:hAnsiTheme="minorHAnsi" w:cstheme="minorHAnsi"/>
          <w:b/>
          <w:bCs/>
          <w:sz w:val="24"/>
          <w:szCs w:val="24"/>
        </w:rPr>
        <w:t xml:space="preserve">Tabulka č. </w:t>
      </w:r>
      <w:r w:rsidR="009D4D40" w:rsidRPr="001250E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1250E6">
        <w:rPr>
          <w:rFonts w:asciiTheme="minorHAnsi" w:hAnsiTheme="minorHAnsi" w:cstheme="minorHAnsi"/>
          <w:b/>
          <w:bCs/>
          <w:sz w:val="24"/>
          <w:szCs w:val="24"/>
        </w:rPr>
        <w:t xml:space="preserve"> – Přehled rozpočtů a výdajů </w:t>
      </w:r>
      <w:r w:rsidR="009733BF" w:rsidRPr="001250E6">
        <w:rPr>
          <w:rFonts w:asciiTheme="minorHAnsi" w:hAnsiTheme="minorHAnsi" w:cstheme="minorHAnsi"/>
          <w:b/>
          <w:bCs/>
          <w:sz w:val="24"/>
          <w:szCs w:val="24"/>
        </w:rPr>
        <w:t>kontrolovan</w:t>
      </w:r>
      <w:r w:rsidR="001E2A3C">
        <w:rPr>
          <w:rFonts w:asciiTheme="minorHAnsi" w:hAnsiTheme="minorHAnsi" w:cstheme="minorHAnsi"/>
          <w:b/>
          <w:bCs/>
          <w:sz w:val="24"/>
          <w:szCs w:val="24"/>
        </w:rPr>
        <w:t>ých</w:t>
      </w:r>
      <w:r w:rsidR="009733BF" w:rsidRPr="001250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250E6">
        <w:rPr>
          <w:rFonts w:asciiTheme="minorHAnsi" w:hAnsiTheme="minorHAnsi" w:cstheme="minorHAnsi"/>
          <w:b/>
          <w:bCs/>
          <w:sz w:val="24"/>
          <w:szCs w:val="24"/>
        </w:rPr>
        <w:t>projekt</w:t>
      </w:r>
      <w:r w:rsidR="001E2A3C">
        <w:rPr>
          <w:rFonts w:asciiTheme="minorHAnsi" w:hAnsiTheme="minorHAnsi" w:cstheme="minorHAnsi"/>
          <w:b/>
          <w:bCs/>
          <w:sz w:val="24"/>
          <w:szCs w:val="24"/>
        </w:rPr>
        <w:t>ů</w:t>
      </w:r>
      <w:r w:rsidR="00A409E3" w:rsidRPr="001250E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409E3" w:rsidRPr="001250E6">
        <w:rPr>
          <w:rFonts w:asciiTheme="minorHAnsi" w:hAnsiTheme="minorHAnsi" w:cstheme="minorHAnsi"/>
          <w:b/>
          <w:bCs/>
        </w:rPr>
        <w:t>(v mil. Kč)</w:t>
      </w:r>
    </w:p>
    <w:tbl>
      <w:tblPr>
        <w:tblStyle w:val="Mkatabulky"/>
        <w:tblW w:w="9166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814"/>
        <w:gridCol w:w="1135"/>
        <w:gridCol w:w="1398"/>
      </w:tblGrid>
      <w:tr w:rsidR="00A409E3" w:rsidRPr="00C20A74" w14:paraId="6E129444" w14:textId="77777777" w:rsidTr="001F1444">
        <w:trPr>
          <w:trHeight w:val="227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1B0D261" w14:textId="72AC9C0E" w:rsidR="00E351EF" w:rsidRPr="001250E6" w:rsidRDefault="00E351EF" w:rsidP="00C20A74">
            <w:pPr>
              <w:pStyle w:val="Default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83BACA" w14:textId="648921CF" w:rsidR="00E351EF" w:rsidRPr="001250E6" w:rsidRDefault="00E351EF" w:rsidP="00C20A74">
            <w:pPr>
              <w:pStyle w:val="Default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>Optimální částka dotace (optimální rozpočet)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3A1B245" w14:textId="07D49277" w:rsidR="00E351EF" w:rsidRPr="001250E6" w:rsidRDefault="00E351EF" w:rsidP="00C20A74">
            <w:pPr>
              <w:pStyle w:val="Default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>Plánovaný rozpočet (způsobilé výdaje)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7D40E791" w14:textId="5FB9612C" w:rsidR="00E351EF" w:rsidRPr="001250E6" w:rsidRDefault="00E351EF" w:rsidP="00C20A74">
            <w:pPr>
              <w:pStyle w:val="Default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>Skutečné způsobilé výdaje</w:t>
            </w:r>
            <w:r w:rsidR="009733BF" w:rsidRPr="001250E6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3E009219" w14:textId="766B8ACD" w:rsidR="00E351EF" w:rsidRPr="001250E6" w:rsidRDefault="00A409E3" w:rsidP="001250E6">
            <w:pPr>
              <w:pStyle w:val="Default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>Optimální částka dotace</w:t>
            </w:r>
            <w:r w:rsidR="001250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1E2A3C">
              <w:rPr>
                <w:rFonts w:ascii="Calibri" w:hAnsi="Calibri" w:cs="Calibri"/>
                <w:b/>
                <w:bCs/>
                <w:sz w:val="20"/>
                <w:szCs w:val="20"/>
              </w:rPr>
              <w:t>Podíl optimálního rozpočtu vůči plánovanému</w:t>
            </w:r>
            <w:r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</w:t>
            </w:r>
            <w:r w:rsidR="00C20A74"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1250E6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  <w:r w:rsidR="009733BF" w:rsidRPr="001250E6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</w:rPr>
              <w:footnoteReference w:id="8"/>
            </w:r>
          </w:p>
        </w:tc>
      </w:tr>
      <w:tr w:rsidR="00A409E3" w:rsidRPr="00C20A74" w14:paraId="4DB6A0A0" w14:textId="77777777" w:rsidTr="001F1444">
        <w:trPr>
          <w:trHeight w:val="227"/>
          <w:jc w:val="center"/>
        </w:trPr>
        <w:tc>
          <w:tcPr>
            <w:tcW w:w="3118" w:type="dxa"/>
            <w:vAlign w:val="center"/>
          </w:tcPr>
          <w:p w14:paraId="59CEF55B" w14:textId="65AC8F36" w:rsidR="00E351EF" w:rsidRPr="001250E6" w:rsidRDefault="00E351EF" w:rsidP="00C20A74">
            <w:pPr>
              <w:pStyle w:val="Default"/>
              <w:spacing w:before="20" w:after="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250E6">
              <w:rPr>
                <w:rFonts w:ascii="Calibri" w:hAnsi="Calibri" w:cs="Calibri"/>
                <w:bCs/>
                <w:i/>
                <w:sz w:val="20"/>
                <w:szCs w:val="20"/>
              </w:rPr>
              <w:t>Nové divadlo</w:t>
            </w:r>
          </w:p>
        </w:tc>
        <w:tc>
          <w:tcPr>
            <w:tcW w:w="1701" w:type="dxa"/>
            <w:vAlign w:val="center"/>
          </w:tcPr>
          <w:p w14:paraId="73A77940" w14:textId="682FD9DB" w:rsidR="00E351EF" w:rsidRPr="00C20A74" w:rsidRDefault="00E72DB0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13,5</w:t>
            </w:r>
          </w:p>
        </w:tc>
        <w:tc>
          <w:tcPr>
            <w:tcW w:w="1814" w:type="dxa"/>
            <w:vAlign w:val="center"/>
          </w:tcPr>
          <w:p w14:paraId="7AE37A3E" w14:textId="216AFFC8" w:rsidR="00E351EF" w:rsidRPr="00C20A74" w:rsidRDefault="00FF2E6E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232,6</w:t>
            </w:r>
          </w:p>
        </w:tc>
        <w:tc>
          <w:tcPr>
            <w:tcW w:w="1135" w:type="dxa"/>
            <w:vAlign w:val="center"/>
          </w:tcPr>
          <w:p w14:paraId="03D58F3E" w14:textId="33CC74C3" w:rsidR="00E351EF" w:rsidRPr="00C20A74" w:rsidRDefault="00FF2E6E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232,5</w:t>
            </w:r>
          </w:p>
        </w:tc>
        <w:tc>
          <w:tcPr>
            <w:tcW w:w="1398" w:type="dxa"/>
            <w:vAlign w:val="center"/>
          </w:tcPr>
          <w:p w14:paraId="32E4F499" w14:textId="779564B7" w:rsidR="00E351EF" w:rsidRPr="00C20A74" w:rsidRDefault="00A409E3" w:rsidP="00C20A74">
            <w:pPr>
              <w:pStyle w:val="Default"/>
              <w:spacing w:before="20" w:after="20"/>
              <w:ind w:right="1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5,7 %</w:t>
            </w:r>
          </w:p>
        </w:tc>
      </w:tr>
      <w:tr w:rsidR="00A409E3" w:rsidRPr="00C20A74" w14:paraId="2E66E385" w14:textId="77777777" w:rsidTr="001F1444">
        <w:trPr>
          <w:trHeight w:val="227"/>
          <w:jc w:val="center"/>
        </w:trPr>
        <w:tc>
          <w:tcPr>
            <w:tcW w:w="3118" w:type="dxa"/>
            <w:vAlign w:val="center"/>
          </w:tcPr>
          <w:p w14:paraId="723CFA55" w14:textId="27AD1386" w:rsidR="00E351EF" w:rsidRPr="001250E6" w:rsidRDefault="00E351EF" w:rsidP="00C20A74">
            <w:pPr>
              <w:pStyle w:val="Default"/>
              <w:spacing w:before="20" w:after="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proofErr w:type="spellStart"/>
            <w:r w:rsidRPr="001250E6">
              <w:rPr>
                <w:rFonts w:ascii="Calibri" w:hAnsi="Calibri" w:cs="Calibri"/>
                <w:bCs/>
                <w:i/>
                <w:sz w:val="20"/>
                <w:szCs w:val="20"/>
              </w:rPr>
              <w:t>Relax</w:t>
            </w:r>
            <w:proofErr w:type="spellEnd"/>
            <w:r w:rsidRPr="001250E6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centrum Štruncovy sady</w:t>
            </w:r>
          </w:p>
        </w:tc>
        <w:tc>
          <w:tcPr>
            <w:tcW w:w="1701" w:type="dxa"/>
            <w:vAlign w:val="center"/>
          </w:tcPr>
          <w:p w14:paraId="285C7169" w14:textId="2AA80641" w:rsidR="00E351EF" w:rsidRPr="00C20A74" w:rsidRDefault="00A409E3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495,0</w:t>
            </w:r>
          </w:p>
        </w:tc>
        <w:tc>
          <w:tcPr>
            <w:tcW w:w="1814" w:type="dxa"/>
            <w:vAlign w:val="center"/>
          </w:tcPr>
          <w:p w14:paraId="7D779D96" w14:textId="44B48A75" w:rsidR="00E351EF" w:rsidRPr="00C20A74" w:rsidRDefault="00A409E3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82,7</w:t>
            </w:r>
          </w:p>
        </w:tc>
        <w:tc>
          <w:tcPr>
            <w:tcW w:w="1135" w:type="dxa"/>
            <w:vAlign w:val="center"/>
          </w:tcPr>
          <w:p w14:paraId="70E57887" w14:textId="5D308D42" w:rsidR="00E351EF" w:rsidRPr="00C20A74" w:rsidRDefault="00A409E3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56,6</w:t>
            </w:r>
          </w:p>
        </w:tc>
        <w:tc>
          <w:tcPr>
            <w:tcW w:w="1398" w:type="dxa"/>
            <w:vAlign w:val="center"/>
          </w:tcPr>
          <w:p w14:paraId="2E4DC8C2" w14:textId="672D020D" w:rsidR="00E351EF" w:rsidRPr="00C20A74" w:rsidRDefault="00A409E3" w:rsidP="00C20A74">
            <w:pPr>
              <w:pStyle w:val="Default"/>
              <w:spacing w:before="20" w:after="20"/>
              <w:ind w:right="1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599 %</w:t>
            </w:r>
          </w:p>
        </w:tc>
      </w:tr>
      <w:tr w:rsidR="00A409E3" w:rsidRPr="00C20A74" w14:paraId="7BD375FC" w14:textId="77777777" w:rsidTr="001F1444">
        <w:trPr>
          <w:trHeight w:val="227"/>
          <w:jc w:val="center"/>
        </w:trPr>
        <w:tc>
          <w:tcPr>
            <w:tcW w:w="3118" w:type="dxa"/>
            <w:vAlign w:val="center"/>
          </w:tcPr>
          <w:p w14:paraId="3C33217C" w14:textId="42D5C50D" w:rsidR="00E351EF" w:rsidRPr="001250E6" w:rsidRDefault="00E351EF" w:rsidP="00C20A74">
            <w:pPr>
              <w:pStyle w:val="Default"/>
              <w:spacing w:before="20" w:after="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250E6">
              <w:rPr>
                <w:rFonts w:ascii="Calibri" w:hAnsi="Calibri" w:cs="Calibri"/>
                <w:bCs/>
                <w:i/>
                <w:sz w:val="20"/>
                <w:szCs w:val="20"/>
              </w:rPr>
              <w:t>Divadelní terasy</w:t>
            </w:r>
          </w:p>
        </w:tc>
        <w:tc>
          <w:tcPr>
            <w:tcW w:w="1701" w:type="dxa"/>
            <w:vAlign w:val="center"/>
          </w:tcPr>
          <w:p w14:paraId="1098666B" w14:textId="75621625" w:rsidR="00E351EF" w:rsidRPr="00C20A74" w:rsidRDefault="00E72DB0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26,7</w:t>
            </w:r>
          </w:p>
        </w:tc>
        <w:tc>
          <w:tcPr>
            <w:tcW w:w="1814" w:type="dxa"/>
            <w:vAlign w:val="center"/>
          </w:tcPr>
          <w:p w14:paraId="419DDE94" w14:textId="30C2454F" w:rsidR="00E351EF" w:rsidRPr="00C20A74" w:rsidRDefault="00E72DB0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57,4</w:t>
            </w:r>
          </w:p>
        </w:tc>
        <w:tc>
          <w:tcPr>
            <w:tcW w:w="1135" w:type="dxa"/>
            <w:vAlign w:val="center"/>
          </w:tcPr>
          <w:p w14:paraId="6070A716" w14:textId="27E9B6AD" w:rsidR="00E351EF" w:rsidRPr="00C20A74" w:rsidRDefault="00E72DB0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42,3</w:t>
            </w:r>
          </w:p>
        </w:tc>
        <w:tc>
          <w:tcPr>
            <w:tcW w:w="1398" w:type="dxa"/>
            <w:vAlign w:val="center"/>
          </w:tcPr>
          <w:p w14:paraId="5CC6D03B" w14:textId="4EF8903D" w:rsidR="00E351EF" w:rsidRPr="00C20A74" w:rsidRDefault="00E72DB0" w:rsidP="00C20A74">
            <w:pPr>
              <w:pStyle w:val="Default"/>
              <w:spacing w:before="20" w:after="20"/>
              <w:ind w:right="1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46,6 %</w:t>
            </w:r>
          </w:p>
        </w:tc>
      </w:tr>
      <w:tr w:rsidR="00A409E3" w:rsidRPr="00C20A74" w14:paraId="74DA383E" w14:textId="77777777" w:rsidTr="001F1444">
        <w:trPr>
          <w:trHeight w:val="227"/>
          <w:jc w:val="center"/>
        </w:trPr>
        <w:tc>
          <w:tcPr>
            <w:tcW w:w="3118" w:type="dxa"/>
            <w:vAlign w:val="center"/>
          </w:tcPr>
          <w:p w14:paraId="7A623623" w14:textId="14D56CEE" w:rsidR="00E351EF" w:rsidRPr="001250E6" w:rsidRDefault="00A409E3" w:rsidP="00C20A74">
            <w:pPr>
              <w:pStyle w:val="Default"/>
              <w:spacing w:before="20" w:after="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250E6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Rekonstrukce TT Pražská – </w:t>
            </w:r>
            <w:r w:rsidR="00E351EF" w:rsidRPr="001250E6">
              <w:rPr>
                <w:rFonts w:ascii="Calibri" w:hAnsi="Calibri" w:cs="Calibri"/>
                <w:bCs/>
                <w:i/>
                <w:sz w:val="20"/>
                <w:szCs w:val="20"/>
              </w:rPr>
              <w:t>U Zvonu</w:t>
            </w:r>
          </w:p>
        </w:tc>
        <w:tc>
          <w:tcPr>
            <w:tcW w:w="1701" w:type="dxa"/>
            <w:vAlign w:val="center"/>
          </w:tcPr>
          <w:p w14:paraId="24C3C4A4" w14:textId="003F0AD4" w:rsidR="00E351EF" w:rsidRPr="00C20A74" w:rsidRDefault="00550FE7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318,8</w:t>
            </w:r>
          </w:p>
        </w:tc>
        <w:tc>
          <w:tcPr>
            <w:tcW w:w="1814" w:type="dxa"/>
            <w:vAlign w:val="center"/>
          </w:tcPr>
          <w:p w14:paraId="055B9F06" w14:textId="62546A14" w:rsidR="00E351EF" w:rsidRPr="00C20A74" w:rsidRDefault="00E72DB0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53,8</w:t>
            </w:r>
          </w:p>
        </w:tc>
        <w:tc>
          <w:tcPr>
            <w:tcW w:w="1135" w:type="dxa"/>
            <w:vAlign w:val="center"/>
          </w:tcPr>
          <w:p w14:paraId="26F05BAF" w14:textId="5B7665E5" w:rsidR="00E351EF" w:rsidRPr="00C20A74" w:rsidRDefault="00E72DB0" w:rsidP="00C20A74">
            <w:pPr>
              <w:pStyle w:val="Default"/>
              <w:spacing w:before="20" w:after="20"/>
              <w:ind w:right="17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27,8</w:t>
            </w:r>
          </w:p>
        </w:tc>
        <w:tc>
          <w:tcPr>
            <w:tcW w:w="1398" w:type="dxa"/>
            <w:vAlign w:val="center"/>
          </w:tcPr>
          <w:p w14:paraId="6DFA0C62" w14:textId="2E87503F" w:rsidR="00E351EF" w:rsidRPr="00C20A74" w:rsidRDefault="009733BF" w:rsidP="00C20A74">
            <w:pPr>
              <w:pStyle w:val="Default"/>
              <w:spacing w:before="20" w:after="20"/>
              <w:ind w:right="1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20A74">
              <w:rPr>
                <w:rFonts w:ascii="Calibri" w:hAnsi="Calibri" w:cs="Calibri"/>
                <w:bCs/>
                <w:sz w:val="20"/>
                <w:szCs w:val="20"/>
              </w:rPr>
              <w:t>592,7 %</w:t>
            </w:r>
          </w:p>
        </w:tc>
      </w:tr>
    </w:tbl>
    <w:p w14:paraId="6EC643E5" w14:textId="3BCAC841" w:rsidR="00690C5E" w:rsidRPr="00A64BA6" w:rsidRDefault="00A409E3" w:rsidP="006B4DFE">
      <w:pPr>
        <w:pStyle w:val="Default"/>
        <w:spacing w:before="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4BA6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="00496E46" w:rsidRPr="00A64B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708B6" w:rsidRPr="00A64BA6">
        <w:rPr>
          <w:rFonts w:asciiTheme="minorHAnsi" w:hAnsiTheme="minorHAnsi" w:cstheme="minorHAnsi"/>
          <w:bCs/>
          <w:sz w:val="20"/>
          <w:szCs w:val="20"/>
        </w:rPr>
        <w:t xml:space="preserve">RR </w:t>
      </w:r>
      <w:r w:rsidR="00AC319A">
        <w:rPr>
          <w:rFonts w:asciiTheme="minorHAnsi" w:hAnsiTheme="minorHAnsi" w:cstheme="minorHAnsi"/>
          <w:bCs/>
          <w:sz w:val="20"/>
          <w:szCs w:val="20"/>
        </w:rPr>
        <w:t>–</w:t>
      </w:r>
      <w:r w:rsidR="00F708B6" w:rsidRPr="00A64B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F1444">
        <w:rPr>
          <w:rFonts w:asciiTheme="minorHAnsi" w:hAnsiTheme="minorHAnsi" w:cstheme="minorHAnsi"/>
          <w:bCs/>
          <w:sz w:val="20"/>
          <w:szCs w:val="20"/>
        </w:rPr>
        <w:t>v</w:t>
      </w:r>
      <w:r w:rsidR="00496E46" w:rsidRPr="00A64BA6">
        <w:rPr>
          <w:rFonts w:asciiTheme="minorHAnsi" w:hAnsiTheme="minorHAnsi" w:cstheme="minorHAnsi"/>
          <w:bCs/>
          <w:sz w:val="20"/>
          <w:szCs w:val="20"/>
        </w:rPr>
        <w:t xml:space="preserve">ěcná hodnocení projektů, </w:t>
      </w:r>
      <w:r w:rsidR="001F1444">
        <w:rPr>
          <w:rFonts w:asciiTheme="minorHAnsi" w:hAnsiTheme="minorHAnsi" w:cstheme="minorHAnsi"/>
          <w:bCs/>
          <w:sz w:val="20"/>
          <w:szCs w:val="20"/>
        </w:rPr>
        <w:t>ž</w:t>
      </w:r>
      <w:r w:rsidR="00496E46" w:rsidRPr="00A64BA6">
        <w:rPr>
          <w:rFonts w:asciiTheme="minorHAnsi" w:hAnsiTheme="minorHAnsi" w:cstheme="minorHAnsi"/>
          <w:bCs/>
          <w:sz w:val="20"/>
          <w:szCs w:val="20"/>
        </w:rPr>
        <w:t>ádosti o platbu, rozpočty projektů</w:t>
      </w:r>
      <w:r w:rsidR="00A64BA6">
        <w:rPr>
          <w:rFonts w:asciiTheme="minorHAnsi" w:hAnsiTheme="minorHAnsi" w:cstheme="minorHAnsi"/>
          <w:bCs/>
          <w:sz w:val="20"/>
          <w:szCs w:val="20"/>
        </w:rPr>
        <w:t>.</w:t>
      </w:r>
    </w:p>
    <w:p w14:paraId="0EC59455" w14:textId="6D712959" w:rsidR="00E72DB0" w:rsidRPr="007B2498" w:rsidRDefault="00E72DB0" w:rsidP="006B4DF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4BA6">
        <w:rPr>
          <w:rFonts w:asciiTheme="minorHAnsi" w:hAnsiTheme="minorHAnsi" w:cstheme="minorHAnsi"/>
          <w:b/>
          <w:bCs/>
          <w:sz w:val="20"/>
          <w:szCs w:val="20"/>
        </w:rPr>
        <w:t>Pozn</w:t>
      </w:r>
      <w:r w:rsidR="001F144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64BA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496E46" w:rsidRPr="00A64BA6">
        <w:rPr>
          <w:rFonts w:asciiTheme="minorHAnsi" w:hAnsiTheme="minorHAnsi" w:cstheme="minorHAnsi"/>
          <w:bCs/>
          <w:sz w:val="20"/>
          <w:szCs w:val="20"/>
        </w:rPr>
        <w:t xml:space="preserve"> Č</w:t>
      </w:r>
      <w:r w:rsidRPr="00A64BA6">
        <w:rPr>
          <w:rFonts w:asciiTheme="minorHAnsi" w:hAnsiTheme="minorHAnsi" w:cstheme="minorHAnsi"/>
          <w:bCs/>
          <w:sz w:val="20"/>
          <w:szCs w:val="20"/>
        </w:rPr>
        <w:t>ástky byly zaokrouhleny</w:t>
      </w:r>
      <w:r w:rsidR="00A64BA6">
        <w:rPr>
          <w:rFonts w:asciiTheme="minorHAnsi" w:hAnsiTheme="minorHAnsi" w:cstheme="minorHAnsi"/>
          <w:bCs/>
          <w:sz w:val="20"/>
          <w:szCs w:val="20"/>
        </w:rPr>
        <w:t>.</w:t>
      </w:r>
    </w:p>
    <w:p w14:paraId="14045EC5" w14:textId="77777777" w:rsidR="006B4DFE" w:rsidRDefault="006B4DFE" w:rsidP="006B4DFE">
      <w:pPr>
        <w:pStyle w:val="Default"/>
        <w:jc w:val="both"/>
        <w:rPr>
          <w:rFonts w:asciiTheme="minorHAnsi" w:hAnsiTheme="minorHAnsi" w:cstheme="minorHAnsi"/>
          <w:bCs/>
        </w:rPr>
      </w:pPr>
    </w:p>
    <w:p w14:paraId="1EAC244B" w14:textId="294C1CF7" w:rsidR="00690C5E" w:rsidRDefault="00165437" w:rsidP="006B4DFE">
      <w:pPr>
        <w:pStyle w:val="Default"/>
        <w:jc w:val="both"/>
        <w:rPr>
          <w:rFonts w:asciiTheme="minorHAnsi" w:hAnsiTheme="minorHAnsi" w:cstheme="minorHAnsi"/>
          <w:bCs/>
        </w:rPr>
      </w:pPr>
      <w:r w:rsidRPr="007B2498">
        <w:rPr>
          <w:rFonts w:asciiTheme="minorHAnsi" w:hAnsiTheme="minorHAnsi" w:cstheme="minorHAnsi"/>
          <w:bCs/>
        </w:rPr>
        <w:t>Kontrola NKÚ zjistila případy, kdy stanovené indikátory projektu neodpovídaly skutečnému věcnému zaměření projektu.</w:t>
      </w:r>
      <w:r w:rsidRPr="007B2498">
        <w:rPr>
          <w:rFonts w:asciiTheme="minorHAnsi" w:hAnsiTheme="minorHAnsi" w:cstheme="minorHAnsi"/>
        </w:rPr>
        <w:t xml:space="preserve"> V</w:t>
      </w:r>
      <w:r w:rsidR="00AC319A">
        <w:rPr>
          <w:rFonts w:asciiTheme="minorHAnsi" w:hAnsiTheme="minorHAnsi" w:cstheme="minorHAnsi"/>
        </w:rPr>
        <w:t> </w:t>
      </w:r>
      <w:r w:rsidRPr="007B2498">
        <w:rPr>
          <w:rFonts w:asciiTheme="minorHAnsi" w:hAnsiTheme="minorHAnsi" w:cstheme="minorHAnsi"/>
        </w:rPr>
        <w:t xml:space="preserve">případě projektu </w:t>
      </w:r>
      <w:proofErr w:type="spellStart"/>
      <w:r w:rsidRPr="001250E6">
        <w:rPr>
          <w:rFonts w:asciiTheme="minorHAnsi" w:hAnsiTheme="minorHAnsi" w:cstheme="minorHAnsi"/>
          <w:bCs/>
          <w:i/>
        </w:rPr>
        <w:t>Relax</w:t>
      </w:r>
      <w:proofErr w:type="spellEnd"/>
      <w:r w:rsidRPr="001250E6">
        <w:rPr>
          <w:rFonts w:asciiTheme="minorHAnsi" w:hAnsiTheme="minorHAnsi" w:cstheme="minorHAnsi"/>
          <w:bCs/>
          <w:i/>
        </w:rPr>
        <w:t xml:space="preserve"> centrum Štruncovy </w:t>
      </w:r>
      <w:r w:rsidR="00995FF4" w:rsidRPr="001250E6">
        <w:rPr>
          <w:rFonts w:asciiTheme="minorHAnsi" w:hAnsiTheme="minorHAnsi" w:cstheme="minorHAnsi"/>
          <w:bCs/>
          <w:i/>
        </w:rPr>
        <w:t>sady</w:t>
      </w:r>
      <w:r w:rsidR="00995FF4" w:rsidRPr="007B2498">
        <w:rPr>
          <w:rFonts w:asciiTheme="minorHAnsi" w:hAnsiTheme="minorHAnsi" w:cstheme="minorHAnsi"/>
        </w:rPr>
        <w:t xml:space="preserve"> stanovila RR </w:t>
      </w:r>
      <w:r w:rsidR="00995FF4" w:rsidRPr="007B2498">
        <w:rPr>
          <w:rFonts w:asciiTheme="minorHAnsi" w:hAnsiTheme="minorHAnsi" w:cstheme="minorHAnsi"/>
          <w:bCs/>
        </w:rPr>
        <w:t>v</w:t>
      </w:r>
      <w:r w:rsidR="00AC319A">
        <w:rPr>
          <w:rFonts w:asciiTheme="minorHAnsi" w:hAnsiTheme="minorHAnsi" w:cstheme="minorHAnsi"/>
          <w:bCs/>
        </w:rPr>
        <w:t> </w:t>
      </w:r>
      <w:r w:rsidR="00995FF4" w:rsidRPr="007B2498">
        <w:rPr>
          <w:rFonts w:asciiTheme="minorHAnsi" w:hAnsiTheme="minorHAnsi" w:cstheme="minorHAnsi"/>
          <w:bCs/>
        </w:rPr>
        <w:t>rámci indikátoru „</w:t>
      </w:r>
      <w:r w:rsidR="001F1444">
        <w:rPr>
          <w:rFonts w:asciiTheme="minorHAnsi" w:hAnsiTheme="minorHAnsi" w:cstheme="minorHAnsi"/>
          <w:bCs/>
          <w:i/>
        </w:rPr>
        <w:t>p</w:t>
      </w:r>
      <w:r w:rsidRPr="007B2498">
        <w:rPr>
          <w:rFonts w:asciiTheme="minorHAnsi" w:hAnsiTheme="minorHAnsi" w:cstheme="minorHAnsi"/>
          <w:bCs/>
          <w:i/>
        </w:rPr>
        <w:t>locha regenerovaných a revitalizovaných objektů pro služby OVS (města)</w:t>
      </w:r>
      <w:r w:rsidR="00995FF4" w:rsidRPr="007B2498">
        <w:rPr>
          <w:rFonts w:asciiTheme="minorHAnsi" w:hAnsiTheme="minorHAnsi" w:cstheme="minorHAnsi"/>
          <w:bCs/>
        </w:rPr>
        <w:t>“</w:t>
      </w:r>
      <w:r w:rsidR="00995FF4" w:rsidRPr="007B2498">
        <w:rPr>
          <w:rStyle w:val="Znakapoznpodarou"/>
          <w:rFonts w:asciiTheme="minorHAnsi" w:hAnsiTheme="minorHAnsi" w:cstheme="minorHAnsi"/>
          <w:bCs/>
        </w:rPr>
        <w:footnoteReference w:id="9"/>
      </w:r>
      <w:r w:rsidR="00995FF4" w:rsidRPr="007B2498">
        <w:rPr>
          <w:rFonts w:asciiTheme="minorHAnsi" w:hAnsiTheme="minorHAnsi" w:cstheme="minorHAnsi"/>
          <w:bCs/>
          <w:i/>
        </w:rPr>
        <w:t xml:space="preserve"> </w:t>
      </w:r>
      <w:r w:rsidR="00995FF4" w:rsidRPr="007B2498">
        <w:rPr>
          <w:rFonts w:asciiTheme="minorHAnsi" w:hAnsiTheme="minorHAnsi" w:cstheme="minorHAnsi"/>
        </w:rPr>
        <w:t>optimální částku</w:t>
      </w:r>
      <w:r w:rsidRPr="007B2498">
        <w:rPr>
          <w:rFonts w:asciiTheme="minorHAnsi" w:hAnsiTheme="minorHAnsi" w:cstheme="minorHAnsi"/>
        </w:rPr>
        <w:t xml:space="preserve"> dotace na základě ceny za jednotku, kterou byla cena za 1 m</w:t>
      </w:r>
      <w:r w:rsidRPr="007B2498">
        <w:rPr>
          <w:rFonts w:asciiTheme="minorHAnsi" w:hAnsiTheme="minorHAnsi" w:cstheme="minorHAnsi"/>
          <w:vertAlign w:val="superscript"/>
        </w:rPr>
        <w:t>2</w:t>
      </w:r>
      <w:r w:rsidRPr="007B2498">
        <w:rPr>
          <w:rFonts w:asciiTheme="minorHAnsi" w:hAnsiTheme="minorHAnsi" w:cstheme="minorHAnsi"/>
          <w:bCs/>
        </w:rPr>
        <w:t xml:space="preserve"> užitné plochy objektu. </w:t>
      </w:r>
      <w:r w:rsidR="00DB09E6" w:rsidRPr="007B2498">
        <w:rPr>
          <w:rFonts w:asciiTheme="minorHAnsi" w:hAnsiTheme="minorHAnsi" w:cstheme="minorHAnsi"/>
          <w:bCs/>
        </w:rPr>
        <w:t>V</w:t>
      </w:r>
      <w:r w:rsidR="00995FF4" w:rsidRPr="007B2498">
        <w:rPr>
          <w:rFonts w:asciiTheme="minorHAnsi" w:hAnsiTheme="minorHAnsi" w:cstheme="minorHAnsi"/>
          <w:bCs/>
        </w:rPr>
        <w:t xml:space="preserve">e skutečnosti však byla </w:t>
      </w:r>
      <w:r w:rsidR="00DB09E6" w:rsidRPr="007B2498">
        <w:rPr>
          <w:rFonts w:asciiTheme="minorHAnsi" w:hAnsiTheme="minorHAnsi" w:cstheme="minorHAnsi"/>
          <w:bCs/>
        </w:rPr>
        <w:t>p</w:t>
      </w:r>
      <w:r w:rsidRPr="007B2498">
        <w:rPr>
          <w:rFonts w:asciiTheme="minorHAnsi" w:hAnsiTheme="minorHAnsi" w:cstheme="minorHAnsi"/>
          <w:bCs/>
        </w:rPr>
        <w:t xml:space="preserve">locha objektu </w:t>
      </w:r>
      <w:r w:rsidR="00995FF4" w:rsidRPr="007B2498">
        <w:rPr>
          <w:rFonts w:asciiTheme="minorHAnsi" w:hAnsiTheme="minorHAnsi" w:cstheme="minorHAnsi"/>
          <w:bCs/>
        </w:rPr>
        <w:t>naplněna pouze</w:t>
      </w:r>
      <w:r w:rsidRPr="007B2498">
        <w:rPr>
          <w:rFonts w:asciiTheme="minorHAnsi" w:hAnsiTheme="minorHAnsi" w:cstheme="minorHAnsi"/>
          <w:bCs/>
        </w:rPr>
        <w:t xml:space="preserve"> v</w:t>
      </w:r>
      <w:r w:rsidR="00AC319A">
        <w:rPr>
          <w:rFonts w:asciiTheme="minorHAnsi" w:hAnsiTheme="minorHAnsi" w:cstheme="minorHAnsi"/>
          <w:bCs/>
        </w:rPr>
        <w:t> </w:t>
      </w:r>
      <w:r w:rsidRPr="007B2498">
        <w:rPr>
          <w:rFonts w:asciiTheme="minorHAnsi" w:hAnsiTheme="minorHAnsi" w:cstheme="minorHAnsi"/>
          <w:bCs/>
        </w:rPr>
        <w:t>rozsahu 296,8 m</w:t>
      </w:r>
      <w:r w:rsidRPr="007B2498">
        <w:rPr>
          <w:rFonts w:asciiTheme="minorHAnsi" w:hAnsiTheme="minorHAnsi" w:cstheme="minorHAnsi"/>
          <w:bCs/>
          <w:vertAlign w:val="superscript"/>
        </w:rPr>
        <w:t>2</w:t>
      </w:r>
      <w:r w:rsidRPr="007B2498">
        <w:rPr>
          <w:rFonts w:asciiTheme="minorHAnsi" w:hAnsiTheme="minorHAnsi" w:cstheme="minorHAnsi"/>
          <w:bCs/>
        </w:rPr>
        <w:t xml:space="preserve">, zbylá plocha </w:t>
      </w:r>
      <w:r w:rsidR="00DB09E6" w:rsidRPr="007B2498">
        <w:rPr>
          <w:rFonts w:asciiTheme="minorHAnsi" w:hAnsiTheme="minorHAnsi" w:cstheme="minorHAnsi"/>
          <w:bCs/>
        </w:rPr>
        <w:t xml:space="preserve">indikátoru </w:t>
      </w:r>
      <w:r w:rsidRPr="007B2498">
        <w:rPr>
          <w:rFonts w:asciiTheme="minorHAnsi" w:hAnsiTheme="minorHAnsi" w:cstheme="minorHAnsi"/>
          <w:bCs/>
        </w:rPr>
        <w:t>v</w:t>
      </w:r>
      <w:r w:rsidR="00AC319A">
        <w:rPr>
          <w:rFonts w:asciiTheme="minorHAnsi" w:hAnsiTheme="minorHAnsi" w:cstheme="minorHAnsi"/>
          <w:bCs/>
        </w:rPr>
        <w:t> </w:t>
      </w:r>
      <w:r w:rsidRPr="007B2498">
        <w:rPr>
          <w:rFonts w:asciiTheme="minorHAnsi" w:hAnsiTheme="minorHAnsi" w:cstheme="minorHAnsi"/>
          <w:bCs/>
        </w:rPr>
        <w:t>rozsahu 16 352 m</w:t>
      </w:r>
      <w:r w:rsidRPr="007B2498">
        <w:rPr>
          <w:rFonts w:asciiTheme="minorHAnsi" w:hAnsiTheme="minorHAnsi" w:cstheme="minorHAnsi"/>
          <w:bCs/>
          <w:vertAlign w:val="superscript"/>
        </w:rPr>
        <w:t>2</w:t>
      </w:r>
      <w:r w:rsidRPr="007B2498">
        <w:rPr>
          <w:rFonts w:asciiTheme="minorHAnsi" w:hAnsiTheme="minorHAnsi" w:cstheme="minorHAnsi"/>
          <w:bCs/>
        </w:rPr>
        <w:t xml:space="preserve"> představovala plochu realizace parkových asfaltových a hliněných stezek a víceúčelového hřiště.</w:t>
      </w:r>
      <w:r w:rsidR="00995FF4" w:rsidRPr="007B2498">
        <w:rPr>
          <w:rFonts w:asciiTheme="minorHAnsi" w:hAnsiTheme="minorHAnsi" w:cstheme="minorHAnsi"/>
          <w:bCs/>
        </w:rPr>
        <w:t xml:space="preserve"> Použitá cena za jednotku ve výši 30 000 Kč/m</w:t>
      </w:r>
      <w:r w:rsidR="00995FF4" w:rsidRPr="007B2498">
        <w:rPr>
          <w:rFonts w:asciiTheme="minorHAnsi" w:hAnsiTheme="minorHAnsi" w:cstheme="minorHAnsi"/>
          <w:bCs/>
          <w:vertAlign w:val="superscript"/>
        </w:rPr>
        <w:t>2</w:t>
      </w:r>
      <w:r w:rsidR="00995FF4" w:rsidRPr="007B2498">
        <w:rPr>
          <w:rFonts w:asciiTheme="minorHAnsi" w:hAnsiTheme="minorHAnsi" w:cstheme="minorHAnsi"/>
          <w:bCs/>
        </w:rPr>
        <w:t xml:space="preserve"> </w:t>
      </w:r>
      <w:r w:rsidR="00DB09E6" w:rsidRPr="007B2498">
        <w:rPr>
          <w:rFonts w:asciiTheme="minorHAnsi" w:hAnsiTheme="minorHAnsi" w:cstheme="minorHAnsi"/>
          <w:bCs/>
        </w:rPr>
        <w:t xml:space="preserve">tak </w:t>
      </w:r>
      <w:r w:rsidR="00995FF4" w:rsidRPr="007B2498">
        <w:rPr>
          <w:rFonts w:asciiTheme="minorHAnsi" w:hAnsiTheme="minorHAnsi" w:cstheme="minorHAnsi"/>
          <w:bCs/>
        </w:rPr>
        <w:t>neodpovídala věcnému zaměření projektu. Nereálná cena za jednotku způsobila, že celý projekt byl v</w:t>
      </w:r>
      <w:r w:rsidR="00AC319A">
        <w:rPr>
          <w:rFonts w:asciiTheme="minorHAnsi" w:hAnsiTheme="minorHAnsi" w:cstheme="minorHAnsi"/>
          <w:bCs/>
        </w:rPr>
        <w:t> </w:t>
      </w:r>
      <w:r w:rsidR="00995FF4" w:rsidRPr="007B2498">
        <w:rPr>
          <w:rFonts w:asciiTheme="minorHAnsi" w:hAnsiTheme="minorHAnsi" w:cstheme="minorHAnsi"/>
          <w:bCs/>
        </w:rPr>
        <w:t xml:space="preserve">rámci věcného hodnocení kvalifikován </w:t>
      </w:r>
      <w:r w:rsidR="00DB09E6" w:rsidRPr="007B2498">
        <w:rPr>
          <w:rFonts w:asciiTheme="minorHAnsi" w:hAnsiTheme="minorHAnsi" w:cstheme="minorHAnsi"/>
          <w:bCs/>
        </w:rPr>
        <w:t xml:space="preserve">neopodstatněně </w:t>
      </w:r>
      <w:r w:rsidR="00995FF4" w:rsidRPr="007B2498">
        <w:rPr>
          <w:rFonts w:asciiTheme="minorHAnsi" w:hAnsiTheme="minorHAnsi" w:cstheme="minorHAnsi"/>
          <w:bCs/>
        </w:rPr>
        <w:t xml:space="preserve">jako </w:t>
      </w:r>
      <w:r w:rsidR="00995FF4" w:rsidRPr="004A75BA">
        <w:rPr>
          <w:rFonts w:asciiTheme="minorHAnsi" w:hAnsiTheme="minorHAnsi" w:cstheme="minorHAnsi"/>
          <w:bCs/>
        </w:rPr>
        <w:t>mimořádně hospodárný</w:t>
      </w:r>
      <w:r w:rsidR="007B2498" w:rsidRPr="004A75BA">
        <w:rPr>
          <w:rFonts w:asciiTheme="minorHAnsi" w:hAnsiTheme="minorHAnsi" w:cstheme="minorHAnsi"/>
          <w:bCs/>
        </w:rPr>
        <w:t xml:space="preserve"> (viz tabulka č. </w:t>
      </w:r>
      <w:r w:rsidR="009D4D40" w:rsidRPr="004A75BA">
        <w:rPr>
          <w:rFonts w:asciiTheme="minorHAnsi" w:hAnsiTheme="minorHAnsi" w:cstheme="minorHAnsi"/>
          <w:bCs/>
        </w:rPr>
        <w:t>2</w:t>
      </w:r>
      <w:r w:rsidR="007B2498" w:rsidRPr="004A75BA">
        <w:rPr>
          <w:rFonts w:asciiTheme="minorHAnsi" w:hAnsiTheme="minorHAnsi" w:cstheme="minorHAnsi"/>
          <w:bCs/>
        </w:rPr>
        <w:t>)</w:t>
      </w:r>
      <w:r w:rsidR="00995FF4" w:rsidRPr="004A75BA">
        <w:rPr>
          <w:rFonts w:asciiTheme="minorHAnsi" w:hAnsiTheme="minorHAnsi" w:cstheme="minorHAnsi"/>
          <w:bCs/>
        </w:rPr>
        <w:t>.</w:t>
      </w:r>
      <w:r w:rsidR="00690C5E" w:rsidRPr="004A75BA">
        <w:rPr>
          <w:rFonts w:asciiTheme="minorHAnsi" w:hAnsiTheme="minorHAnsi" w:cstheme="minorHAnsi"/>
          <w:bCs/>
        </w:rPr>
        <w:t xml:space="preserve"> </w:t>
      </w:r>
    </w:p>
    <w:p w14:paraId="59AB6119" w14:textId="77777777" w:rsidR="006B4DFE" w:rsidRPr="004A75BA" w:rsidRDefault="006B4DFE" w:rsidP="006B4DFE">
      <w:pPr>
        <w:pStyle w:val="Default"/>
        <w:jc w:val="both"/>
        <w:rPr>
          <w:rFonts w:asciiTheme="minorHAnsi" w:hAnsiTheme="minorHAnsi" w:cstheme="minorHAnsi"/>
          <w:bCs/>
        </w:rPr>
      </w:pPr>
    </w:p>
    <w:p w14:paraId="0D32E1F1" w14:textId="7CF8CD7D" w:rsidR="007B2498" w:rsidRDefault="007B2498" w:rsidP="006B4DFE">
      <w:pPr>
        <w:pStyle w:val="Default"/>
        <w:jc w:val="both"/>
        <w:rPr>
          <w:rFonts w:asciiTheme="minorHAnsi" w:hAnsiTheme="minorHAnsi" w:cstheme="minorHAnsi"/>
          <w:bCs/>
        </w:rPr>
      </w:pPr>
      <w:r w:rsidRPr="004A75BA">
        <w:rPr>
          <w:rFonts w:asciiTheme="minorHAnsi" w:hAnsiTheme="minorHAnsi" w:cstheme="minorHAnsi"/>
          <w:bCs/>
        </w:rPr>
        <w:lastRenderedPageBreak/>
        <w:t>V</w:t>
      </w:r>
      <w:r w:rsidR="00AC319A">
        <w:rPr>
          <w:rFonts w:asciiTheme="minorHAnsi" w:hAnsiTheme="minorHAnsi" w:cstheme="minorHAnsi"/>
          <w:bCs/>
        </w:rPr>
        <w:t> </w:t>
      </w:r>
      <w:r w:rsidRPr="004A75BA">
        <w:rPr>
          <w:rFonts w:asciiTheme="minorHAnsi" w:hAnsiTheme="minorHAnsi" w:cstheme="minorHAnsi"/>
          <w:bCs/>
        </w:rPr>
        <w:t xml:space="preserve">rámci projektu </w:t>
      </w:r>
      <w:r w:rsidRPr="001A786A">
        <w:rPr>
          <w:rFonts w:asciiTheme="minorHAnsi" w:hAnsiTheme="minorHAnsi" w:cstheme="minorHAnsi"/>
          <w:bCs/>
          <w:i/>
        </w:rPr>
        <w:t>Rekonstrukce TT</w:t>
      </w:r>
      <w:r w:rsidR="001E2A3C">
        <w:rPr>
          <w:rStyle w:val="Znakapoznpodarou"/>
          <w:rFonts w:asciiTheme="minorHAnsi" w:hAnsiTheme="minorHAnsi" w:cstheme="minorHAnsi"/>
          <w:bCs/>
          <w:i/>
        </w:rPr>
        <w:footnoteReference w:id="10"/>
      </w:r>
      <w:r w:rsidRPr="001A786A">
        <w:rPr>
          <w:rFonts w:asciiTheme="minorHAnsi" w:hAnsiTheme="minorHAnsi" w:cstheme="minorHAnsi"/>
          <w:bCs/>
          <w:i/>
        </w:rPr>
        <w:t xml:space="preserve"> Pražská – U Zvonu</w:t>
      </w:r>
      <w:r w:rsidRPr="004A75BA">
        <w:rPr>
          <w:rFonts w:asciiTheme="minorHAnsi" w:hAnsiTheme="minorHAnsi" w:cstheme="minorHAnsi"/>
          <w:bCs/>
        </w:rPr>
        <w:t xml:space="preserve"> použila RR cenu za jednotku ve výši 30 000 Kč/m</w:t>
      </w:r>
      <w:r w:rsidRPr="004A75BA">
        <w:rPr>
          <w:rFonts w:asciiTheme="minorHAnsi" w:hAnsiTheme="minorHAnsi" w:cstheme="minorHAnsi"/>
          <w:bCs/>
          <w:vertAlign w:val="superscript"/>
        </w:rPr>
        <w:t xml:space="preserve">2 </w:t>
      </w:r>
      <w:r w:rsidRPr="004A75BA">
        <w:rPr>
          <w:rFonts w:asciiTheme="minorHAnsi" w:hAnsiTheme="minorHAnsi" w:cstheme="minorHAnsi"/>
          <w:bCs/>
        </w:rPr>
        <w:t>také nevhodně, neboť p</w:t>
      </w:r>
      <w:r w:rsidRPr="004A75BA">
        <w:rPr>
          <w:rFonts w:asciiTheme="minorHAnsi" w:hAnsiTheme="minorHAnsi" w:cs="Calibri"/>
        </w:rPr>
        <w:t>ředmětem projektu nebyla regenerace či revitalizace objektu občanské vybavenosti, ale revitalizace uliční sítě (zejména rekonstrukce komunikací).</w:t>
      </w:r>
      <w:r w:rsidRPr="004A75BA">
        <w:rPr>
          <w:rFonts w:asciiTheme="minorHAnsi" w:hAnsiTheme="minorHAnsi" w:cstheme="minorHAnsi"/>
          <w:bCs/>
        </w:rPr>
        <w:t xml:space="preserve"> Nereálná cena za jednotku způsobila, že celý projekt byl v</w:t>
      </w:r>
      <w:r w:rsidR="00AC319A">
        <w:rPr>
          <w:rFonts w:asciiTheme="minorHAnsi" w:hAnsiTheme="minorHAnsi" w:cstheme="minorHAnsi"/>
          <w:bCs/>
        </w:rPr>
        <w:t> </w:t>
      </w:r>
      <w:r w:rsidRPr="004A75BA">
        <w:rPr>
          <w:rFonts w:asciiTheme="minorHAnsi" w:hAnsiTheme="minorHAnsi" w:cstheme="minorHAnsi"/>
          <w:bCs/>
        </w:rPr>
        <w:t xml:space="preserve">rámci věcného hodnocení kvalifikován neopodstatněně jako mimořádně hospodárný (viz tabulka č. </w:t>
      </w:r>
      <w:r w:rsidR="009D4D40" w:rsidRPr="004A75BA">
        <w:rPr>
          <w:rFonts w:asciiTheme="minorHAnsi" w:hAnsiTheme="minorHAnsi" w:cstheme="minorHAnsi"/>
          <w:bCs/>
        </w:rPr>
        <w:t>2</w:t>
      </w:r>
      <w:r w:rsidRPr="004A75BA">
        <w:rPr>
          <w:rFonts w:asciiTheme="minorHAnsi" w:hAnsiTheme="minorHAnsi" w:cstheme="minorHAnsi"/>
          <w:bCs/>
        </w:rPr>
        <w:t>).</w:t>
      </w:r>
    </w:p>
    <w:p w14:paraId="099CA67B" w14:textId="77777777" w:rsidR="006B4DFE" w:rsidRPr="007B2498" w:rsidRDefault="006B4DFE" w:rsidP="006B4DFE">
      <w:pPr>
        <w:pStyle w:val="Default"/>
        <w:jc w:val="both"/>
        <w:rPr>
          <w:rFonts w:asciiTheme="minorHAnsi" w:hAnsiTheme="minorHAnsi" w:cstheme="minorHAnsi"/>
          <w:bCs/>
        </w:rPr>
      </w:pPr>
    </w:p>
    <w:p w14:paraId="379954C6" w14:textId="20EF962F" w:rsidR="004A7392" w:rsidRDefault="004A7392" w:rsidP="006B4DFE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případě </w:t>
      </w:r>
      <w:r w:rsidR="00891668">
        <w:rPr>
          <w:rFonts w:asciiTheme="minorHAnsi" w:hAnsiTheme="minorHAnsi" w:cstheme="minorHAnsi"/>
          <w:bCs/>
          <w:sz w:val="24"/>
          <w:szCs w:val="24"/>
        </w:rPr>
        <w:t xml:space="preserve">projektu </w:t>
      </w:r>
      <w:r w:rsidR="00DB09E6" w:rsidRPr="001A786A">
        <w:rPr>
          <w:rFonts w:asciiTheme="minorHAnsi" w:hAnsiTheme="minorHAnsi" w:cstheme="minorHAnsi"/>
          <w:bCs/>
          <w:i/>
          <w:sz w:val="24"/>
          <w:szCs w:val="24"/>
        </w:rPr>
        <w:t>Divadelní teras</w:t>
      </w:r>
      <w:r w:rsidR="00891668" w:rsidRPr="001A786A">
        <w:rPr>
          <w:rFonts w:asciiTheme="minorHAnsi" w:hAnsiTheme="minorHAnsi" w:cstheme="minorHAnsi"/>
          <w:bCs/>
          <w:i/>
          <w:sz w:val="24"/>
          <w:szCs w:val="24"/>
        </w:rPr>
        <w:t>y</w:t>
      </w:r>
      <w:r w:rsidR="00DB09E6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2A3C" w:rsidRPr="007B2498">
        <w:rPr>
          <w:rFonts w:asciiTheme="minorHAnsi" w:hAnsiTheme="minorHAnsi" w:cstheme="minorHAnsi"/>
          <w:bCs/>
          <w:sz w:val="24"/>
          <w:szCs w:val="24"/>
        </w:rPr>
        <w:t xml:space="preserve">hodnotila </w:t>
      </w:r>
      <w:r w:rsidRPr="007B2498">
        <w:rPr>
          <w:rFonts w:asciiTheme="minorHAnsi" w:hAnsiTheme="minorHAnsi" w:cstheme="minorHAnsi"/>
          <w:bCs/>
          <w:sz w:val="24"/>
          <w:szCs w:val="24"/>
        </w:rPr>
        <w:t>RR projekt, aniž by disponovala informací, jakými konkrétními výstupy projektu hodlá žadatel naplnit stanovený indikátor</w:t>
      </w:r>
      <w:r w:rsidR="001E2A3C">
        <w:rPr>
          <w:rFonts w:asciiTheme="minorHAnsi" w:hAnsiTheme="minorHAnsi" w:cstheme="minorHAnsi"/>
          <w:bCs/>
          <w:sz w:val="24"/>
          <w:szCs w:val="24"/>
        </w:rPr>
        <w:t>.</w:t>
      </w:r>
      <w:r w:rsidR="00DB09E6" w:rsidRPr="007B2498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1E2A3C">
        <w:rPr>
          <w:rFonts w:asciiTheme="minorHAnsi" w:hAnsiTheme="minorHAnsi" w:cstheme="minorHAnsi"/>
          <w:bCs/>
          <w:sz w:val="24"/>
          <w:szCs w:val="24"/>
        </w:rPr>
        <w:t>Ž</w:t>
      </w:r>
      <w:r w:rsidR="00DB09E6" w:rsidRPr="007B2498">
        <w:rPr>
          <w:rFonts w:asciiTheme="minorHAnsi" w:hAnsiTheme="minorHAnsi" w:cstheme="minorHAnsi"/>
          <w:bCs/>
          <w:sz w:val="24"/>
          <w:szCs w:val="24"/>
        </w:rPr>
        <w:t>adatel poskytl relevantní informaci</w:t>
      </w:r>
      <w:r w:rsidR="003D3EA1" w:rsidRPr="007B2498">
        <w:rPr>
          <w:rFonts w:asciiTheme="minorHAnsi" w:hAnsiTheme="minorHAnsi" w:cstheme="minorHAnsi"/>
          <w:bCs/>
          <w:sz w:val="24"/>
          <w:szCs w:val="24"/>
        </w:rPr>
        <w:t xml:space="preserve"> o napl</w:t>
      </w:r>
      <w:r w:rsidR="007B2498" w:rsidRPr="007B2498">
        <w:rPr>
          <w:rFonts w:asciiTheme="minorHAnsi" w:hAnsiTheme="minorHAnsi" w:cstheme="minorHAnsi"/>
          <w:bCs/>
          <w:sz w:val="24"/>
          <w:szCs w:val="24"/>
        </w:rPr>
        <w:t>n</w:t>
      </w:r>
      <w:r w:rsidR="003D3EA1" w:rsidRPr="007B2498">
        <w:rPr>
          <w:rFonts w:asciiTheme="minorHAnsi" w:hAnsiTheme="minorHAnsi" w:cstheme="minorHAnsi"/>
          <w:bCs/>
          <w:sz w:val="24"/>
          <w:szCs w:val="24"/>
        </w:rPr>
        <w:t>ění indikátoru až po provedení věcného hodnocení projektu</w:t>
      </w:r>
      <w:r w:rsidR="001E2A3C">
        <w:rPr>
          <w:rFonts w:asciiTheme="minorHAnsi" w:hAnsiTheme="minorHAnsi" w:cstheme="minorHAnsi"/>
          <w:bCs/>
          <w:sz w:val="24"/>
          <w:szCs w:val="24"/>
        </w:rPr>
        <w:t>.</w:t>
      </w:r>
      <w:r w:rsidR="003D3EA1" w:rsidRPr="007B2498">
        <w:rPr>
          <w:rFonts w:asciiTheme="minorHAnsi" w:hAnsiTheme="minorHAnsi" w:cstheme="minorHAnsi"/>
          <w:bCs/>
          <w:sz w:val="24"/>
          <w:szCs w:val="24"/>
        </w:rPr>
        <w:t>)</w:t>
      </w:r>
    </w:p>
    <w:p w14:paraId="0477F91E" w14:textId="77777777" w:rsidR="006B4DFE" w:rsidRPr="007B2498" w:rsidRDefault="006B4DFE" w:rsidP="006B4DFE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1777F75C" w14:textId="323A0543" w:rsidR="004C3067" w:rsidRPr="00AC319A" w:rsidRDefault="00AC319A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4C3067" w:rsidRPr="00AC319A">
        <w:rPr>
          <w:rFonts w:asciiTheme="minorHAnsi" w:hAnsiTheme="minorHAnsi" w:cstheme="minorHAnsi"/>
          <w:b/>
          <w:sz w:val="24"/>
          <w:szCs w:val="24"/>
        </w:rPr>
        <w:t>Věcné hodnocení projektů</w:t>
      </w:r>
    </w:p>
    <w:p w14:paraId="5EEEA68B" w14:textId="77777777" w:rsidR="006B4DFE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0593CC4" w14:textId="5BAEC845" w:rsidR="004C3067" w:rsidRDefault="004C3067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sz w:val="24"/>
          <w:szCs w:val="24"/>
        </w:rPr>
        <w:t>RR hodnotila dílčí projekty ve fázi předkládání žádostí o dotaci s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cílem zjistit, zda je konkrétní projekt vhodný k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financování z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prostředků ROP Jihozápad</w:t>
      </w:r>
      <w:r w:rsidR="001E2A3C">
        <w:rPr>
          <w:rFonts w:asciiTheme="minorHAnsi" w:hAnsiTheme="minorHAnsi" w:cstheme="minorHAnsi"/>
          <w:sz w:val="24"/>
          <w:szCs w:val="24"/>
        </w:rPr>
        <w:t>,</w:t>
      </w:r>
      <w:r w:rsidRPr="007B2498">
        <w:rPr>
          <w:rFonts w:asciiTheme="minorHAnsi" w:hAnsiTheme="minorHAnsi" w:cstheme="minorHAnsi"/>
          <w:sz w:val="24"/>
          <w:szCs w:val="24"/>
        </w:rPr>
        <w:t xml:space="preserve"> či nikoliv. V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procesu věcného hodnocení projektu přidělovali vždy dva hodnotitelé v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rámci předem schválených kritérií body, jejichž celkový součet určil, zda je projekt vhodný ke schválení a financování.</w:t>
      </w:r>
    </w:p>
    <w:p w14:paraId="3BD469E1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A7D1BD2" w14:textId="55B1E540" w:rsidR="004C3067" w:rsidRPr="007B2498" w:rsidRDefault="004C3067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Kontrola NKÚ zjistila, že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některých případech věcného hodnocení projektu nebyla výše přidělených bodů opodstatněná. Například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případě </w:t>
      </w:r>
      <w:r w:rsidR="001E2A3C">
        <w:rPr>
          <w:rFonts w:asciiTheme="minorHAnsi" w:hAnsiTheme="minorHAnsi" w:cstheme="minorHAnsi"/>
          <w:bCs/>
          <w:sz w:val="24"/>
          <w:szCs w:val="24"/>
        </w:rPr>
        <w:t>u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projektu </w:t>
      </w:r>
      <w:r w:rsidRPr="001A786A">
        <w:rPr>
          <w:rFonts w:asciiTheme="minorHAnsi" w:hAnsiTheme="minorHAnsi" w:cstheme="minorHAnsi"/>
          <w:bCs/>
          <w:i/>
          <w:sz w:val="24"/>
          <w:szCs w:val="24"/>
        </w:rPr>
        <w:t>Nové divadl</w:t>
      </w:r>
      <w:r w:rsidR="001E2A3C" w:rsidRPr="001A786A">
        <w:rPr>
          <w:rFonts w:asciiTheme="minorHAnsi" w:hAnsiTheme="minorHAnsi" w:cstheme="minorHAnsi"/>
          <w:bCs/>
          <w:i/>
          <w:sz w:val="24"/>
          <w:szCs w:val="24"/>
        </w:rPr>
        <w:t>o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rámci hodnot</w:t>
      </w:r>
      <w:r w:rsidR="00891668">
        <w:rPr>
          <w:rFonts w:asciiTheme="minorHAnsi" w:hAnsiTheme="minorHAnsi" w:cstheme="minorHAnsi"/>
          <w:bCs/>
          <w:sz w:val="24"/>
          <w:szCs w:val="24"/>
        </w:rPr>
        <w:t>i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cího kritéria </w:t>
      </w:r>
      <w:r w:rsidRPr="00620863">
        <w:rPr>
          <w:rFonts w:asciiTheme="minorHAnsi" w:hAnsiTheme="minorHAnsi" w:cstheme="minorHAnsi"/>
          <w:bCs/>
          <w:sz w:val="24"/>
          <w:szCs w:val="24"/>
        </w:rPr>
        <w:t>„</w:t>
      </w:r>
      <w:r w:rsidR="001E2A3C">
        <w:rPr>
          <w:rFonts w:asciiTheme="minorHAnsi" w:hAnsiTheme="minorHAnsi" w:cstheme="minorHAnsi"/>
          <w:bCs/>
          <w:i/>
          <w:sz w:val="24"/>
          <w:szCs w:val="24"/>
        </w:rPr>
        <w:t>ž</w:t>
      </w:r>
      <w:r w:rsidRPr="001A786A">
        <w:rPr>
          <w:rFonts w:asciiTheme="minorHAnsi" w:hAnsiTheme="minorHAnsi" w:cstheme="minorHAnsi"/>
          <w:bCs/>
          <w:i/>
          <w:sz w:val="24"/>
          <w:szCs w:val="24"/>
        </w:rPr>
        <w:t>ivotní podmínky obyvatel a atraktivita území</w:t>
      </w:r>
      <w:r w:rsidRPr="00620863">
        <w:rPr>
          <w:rFonts w:asciiTheme="minorHAnsi" w:hAnsiTheme="minorHAnsi" w:cstheme="minorHAnsi"/>
          <w:bCs/>
          <w:sz w:val="24"/>
          <w:szCs w:val="24"/>
        </w:rPr>
        <w:t>“</w:t>
      </w:r>
      <w:r w:rsidR="00334D9C">
        <w:rPr>
          <w:rFonts w:asciiTheme="minorHAnsi" w:hAnsiTheme="minorHAnsi" w:cstheme="minorHAnsi"/>
          <w:bCs/>
          <w:sz w:val="24"/>
          <w:szCs w:val="24"/>
        </w:rPr>
        <w:t>, resp.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B2498">
        <w:rPr>
          <w:rFonts w:asciiTheme="minorHAnsi" w:hAnsiTheme="minorHAnsi" w:cstheme="minorHAnsi"/>
          <w:bCs/>
          <w:sz w:val="24"/>
          <w:szCs w:val="24"/>
        </w:rPr>
        <w:t>podkritéria</w:t>
      </w:r>
      <w:proofErr w:type="spellEnd"/>
      <w:r w:rsidRPr="007B2498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891668">
        <w:rPr>
          <w:rFonts w:asciiTheme="minorHAnsi" w:hAnsiTheme="minorHAnsi" w:cstheme="minorHAnsi"/>
          <w:bCs/>
          <w:i/>
          <w:sz w:val="24"/>
          <w:szCs w:val="24"/>
        </w:rPr>
        <w:t>p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rojekt eliminuje hlavní nedostatky občanské vybavenosti, nabídky objektů pro kulturu, volný čas, komunitní život, popř. pro veřejný sektor</w:t>
      </w:r>
      <w:r w:rsidRPr="007B2498">
        <w:rPr>
          <w:rFonts w:asciiTheme="minorHAnsi" w:hAnsiTheme="minorHAnsi" w:cstheme="minorHAnsi"/>
          <w:bCs/>
          <w:sz w:val="24"/>
          <w:szCs w:val="24"/>
        </w:rPr>
        <w:t>“</w:t>
      </w:r>
      <w:r w:rsidR="00334D9C">
        <w:rPr>
          <w:rFonts w:asciiTheme="minorHAnsi" w:hAnsiTheme="minorHAnsi" w:cstheme="minorHAnsi"/>
          <w:bCs/>
          <w:sz w:val="24"/>
          <w:szCs w:val="24"/>
        </w:rPr>
        <w:t>,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přidělili oba hodnotitelé maximální počet bodů, přestože projekt ve skutečnosti neeliminoval nedostatek občanské vybavenosti či nabídky objektů pro kulturu, neboť se jednalo o náhradu za jiné funkční divadlo. Za opodstatněné bylo </w:t>
      </w:r>
      <w:r w:rsidR="00620863">
        <w:rPr>
          <w:rFonts w:asciiTheme="minorHAnsi" w:hAnsiTheme="minorHAnsi" w:cstheme="minorHAnsi"/>
          <w:bCs/>
          <w:sz w:val="24"/>
          <w:szCs w:val="24"/>
        </w:rPr>
        <w:t>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="00620863">
        <w:rPr>
          <w:rFonts w:asciiTheme="minorHAnsi" w:hAnsiTheme="minorHAnsi" w:cstheme="minorHAnsi"/>
          <w:bCs/>
          <w:sz w:val="24"/>
          <w:szCs w:val="24"/>
        </w:rPr>
        <w:t xml:space="preserve">tomto případě </w:t>
      </w:r>
      <w:r w:rsidRPr="007B2498">
        <w:rPr>
          <w:rFonts w:asciiTheme="minorHAnsi" w:hAnsiTheme="minorHAnsi" w:cstheme="minorHAnsi"/>
          <w:bCs/>
          <w:sz w:val="24"/>
          <w:szCs w:val="24"/>
        </w:rPr>
        <w:t>možné označit přidělení maximálního počtu bodů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rámci </w:t>
      </w:r>
      <w:proofErr w:type="spellStart"/>
      <w:r w:rsidRPr="007B2498">
        <w:rPr>
          <w:rFonts w:asciiTheme="minorHAnsi" w:hAnsiTheme="minorHAnsi" w:cstheme="minorHAnsi"/>
          <w:bCs/>
          <w:sz w:val="24"/>
          <w:szCs w:val="24"/>
        </w:rPr>
        <w:t>podkritéria</w:t>
      </w:r>
      <w:proofErr w:type="spellEnd"/>
      <w:r w:rsidRPr="007B2498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891668">
        <w:rPr>
          <w:rFonts w:asciiTheme="minorHAnsi" w:hAnsiTheme="minorHAnsi" w:cstheme="minorHAnsi"/>
          <w:bCs/>
          <w:i/>
          <w:sz w:val="24"/>
          <w:szCs w:val="24"/>
        </w:rPr>
        <w:t>p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rojekt eliminuje hlavní funkční a estetické závady (zanedbané areály, objekty nebo plochy) uvnitř zastavěného území měst nebo v</w:t>
      </w:r>
      <w:r w:rsidR="00AC319A">
        <w:rPr>
          <w:rFonts w:asciiTheme="minorHAnsi" w:hAnsiTheme="minorHAnsi" w:cstheme="minorHAnsi"/>
          <w:bCs/>
          <w:i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jejich bezprostřední blízkosti</w:t>
      </w:r>
      <w:r w:rsidRPr="007B2498">
        <w:rPr>
          <w:rFonts w:asciiTheme="minorHAnsi" w:hAnsiTheme="minorHAnsi" w:cstheme="minorHAnsi"/>
          <w:bCs/>
          <w:sz w:val="24"/>
          <w:szCs w:val="24"/>
        </w:rPr>
        <w:t>“.</w:t>
      </w:r>
    </w:p>
    <w:p w14:paraId="6DC1B89E" w14:textId="77777777" w:rsidR="006B4DFE" w:rsidRDefault="006B4DFE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1CA1216E" w14:textId="28954CFA" w:rsidR="004C3067" w:rsidRDefault="004C3067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Kontrolou byly zjištěny případy, kdy mezi hodnotiteli došlo při přidělování bodů k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významným disproporcím, které mohly ovlivnit výsledek věcného hodnocení projektu.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některých případech přidělil jeden hodnotitel 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>vysoký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počet bodů a druhý hodnotitel žádný bod. Například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případě projektu </w:t>
      </w:r>
      <w:proofErr w:type="spellStart"/>
      <w:r w:rsidRPr="001A786A">
        <w:rPr>
          <w:rFonts w:asciiTheme="minorHAnsi" w:hAnsiTheme="minorHAnsi" w:cstheme="minorHAnsi"/>
          <w:bCs/>
          <w:i/>
          <w:sz w:val="24"/>
          <w:szCs w:val="24"/>
        </w:rPr>
        <w:t>Relax</w:t>
      </w:r>
      <w:proofErr w:type="spellEnd"/>
      <w:r w:rsidRPr="001A786A">
        <w:rPr>
          <w:rFonts w:asciiTheme="minorHAnsi" w:hAnsiTheme="minorHAnsi" w:cstheme="minorHAnsi"/>
          <w:bCs/>
          <w:i/>
          <w:sz w:val="24"/>
          <w:szCs w:val="24"/>
        </w:rPr>
        <w:t xml:space="preserve"> centrum Štruncovy sady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rámci kritéria</w:t>
      </w:r>
      <w:r w:rsidR="00AC31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0863">
        <w:rPr>
          <w:rFonts w:asciiTheme="minorHAnsi" w:hAnsiTheme="minorHAnsi" w:cstheme="minorHAnsi"/>
          <w:bCs/>
          <w:sz w:val="24"/>
          <w:szCs w:val="24"/>
        </w:rPr>
        <w:t>„</w:t>
      </w:r>
      <w:r w:rsidR="00334D9C">
        <w:rPr>
          <w:rFonts w:asciiTheme="minorHAnsi" w:hAnsiTheme="minorHAnsi" w:cstheme="minorHAnsi"/>
          <w:bCs/>
          <w:i/>
          <w:sz w:val="24"/>
          <w:szCs w:val="24"/>
        </w:rPr>
        <w:t>r</w:t>
      </w:r>
      <w:r w:rsidRPr="001A786A">
        <w:rPr>
          <w:rFonts w:asciiTheme="minorHAnsi" w:hAnsiTheme="minorHAnsi" w:cstheme="minorHAnsi"/>
          <w:bCs/>
          <w:i/>
          <w:sz w:val="24"/>
          <w:szCs w:val="24"/>
        </w:rPr>
        <w:t>ozvoj informační společnosti</w:t>
      </w:r>
      <w:r w:rsidRPr="00620863">
        <w:rPr>
          <w:rFonts w:asciiTheme="minorHAnsi" w:hAnsiTheme="minorHAnsi" w:cstheme="minorHAnsi"/>
          <w:bCs/>
          <w:sz w:val="24"/>
          <w:szCs w:val="24"/>
        </w:rPr>
        <w:t>“</w:t>
      </w:r>
      <w:r w:rsidR="00334D9C">
        <w:rPr>
          <w:rFonts w:asciiTheme="minorHAnsi" w:hAnsiTheme="minorHAnsi" w:cstheme="minorHAnsi"/>
          <w:bCs/>
          <w:sz w:val="24"/>
          <w:szCs w:val="24"/>
        </w:rPr>
        <w:t>, resp.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B2498">
        <w:rPr>
          <w:rFonts w:asciiTheme="minorHAnsi" w:hAnsiTheme="minorHAnsi" w:cstheme="minorHAnsi"/>
          <w:bCs/>
          <w:sz w:val="24"/>
          <w:szCs w:val="24"/>
        </w:rPr>
        <w:t>podkritéria</w:t>
      </w:r>
      <w:proofErr w:type="spellEnd"/>
      <w:r w:rsidRPr="007B2498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891668">
        <w:rPr>
          <w:rFonts w:asciiTheme="minorHAnsi" w:hAnsiTheme="minorHAnsi" w:cstheme="minorHAnsi"/>
          <w:bCs/>
          <w:i/>
          <w:sz w:val="24"/>
          <w:szCs w:val="24"/>
        </w:rPr>
        <w:t>v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yšší v</w:t>
      </w:r>
      <w:r w:rsidR="00B978DA">
        <w:rPr>
          <w:rFonts w:asciiTheme="minorHAnsi" w:hAnsiTheme="minorHAnsi" w:cstheme="minorHAnsi"/>
          <w:bCs/>
          <w:i/>
          <w:sz w:val="24"/>
          <w:szCs w:val="24"/>
        </w:rPr>
        <w:t>yužití moderních informačních a 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komunikačních technologií</w:t>
      </w:r>
      <w:r w:rsidRPr="007B2498">
        <w:rPr>
          <w:rFonts w:asciiTheme="minorHAnsi" w:hAnsiTheme="minorHAnsi" w:cstheme="minorHAnsi"/>
          <w:bCs/>
          <w:sz w:val="24"/>
          <w:szCs w:val="24"/>
        </w:rPr>
        <w:t>“</w:t>
      </w:r>
      <w:r w:rsidR="00334D9C">
        <w:rPr>
          <w:rFonts w:asciiTheme="minorHAnsi" w:hAnsiTheme="minorHAnsi" w:cstheme="minorHAnsi"/>
          <w:bCs/>
          <w:sz w:val="24"/>
          <w:szCs w:val="24"/>
        </w:rPr>
        <w:t>,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přidělil jeden hodnotitel maximální počet bodů, zatímco druhý hodnotitel přiřadil 0 bodů.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75BA">
        <w:rPr>
          <w:rFonts w:asciiTheme="minorHAnsi" w:hAnsiTheme="minorHAnsi" w:cstheme="minorHAnsi"/>
          <w:bCs/>
          <w:sz w:val="24"/>
          <w:szCs w:val="24"/>
        </w:rPr>
        <w:t>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="004A75BA">
        <w:rPr>
          <w:rFonts w:asciiTheme="minorHAnsi" w:hAnsiTheme="minorHAnsi" w:cstheme="minorHAnsi"/>
          <w:bCs/>
          <w:sz w:val="24"/>
          <w:szCs w:val="24"/>
        </w:rPr>
        <w:t xml:space="preserve">případě projektu </w:t>
      </w:r>
      <w:r w:rsidR="004A75BA" w:rsidRPr="001A786A">
        <w:rPr>
          <w:rFonts w:asciiTheme="minorHAnsi" w:hAnsiTheme="minorHAnsi" w:cstheme="minorHAnsi"/>
          <w:bCs/>
          <w:i/>
          <w:sz w:val="24"/>
          <w:szCs w:val="24"/>
        </w:rPr>
        <w:t>Nové divadl</w:t>
      </w:r>
      <w:r w:rsidR="00E760C8" w:rsidRPr="001A786A">
        <w:rPr>
          <w:rFonts w:asciiTheme="minorHAnsi" w:hAnsiTheme="minorHAnsi" w:cstheme="minorHAnsi"/>
          <w:bCs/>
          <w:i/>
          <w:sz w:val="24"/>
          <w:szCs w:val="24"/>
        </w:rPr>
        <w:t>o</w:t>
      </w:r>
      <w:r w:rsidR="004A75BA">
        <w:rPr>
          <w:rFonts w:asciiTheme="minorHAnsi" w:hAnsiTheme="minorHAnsi" w:cstheme="minorHAnsi"/>
          <w:bCs/>
          <w:sz w:val="24"/>
          <w:szCs w:val="24"/>
        </w:rPr>
        <w:t xml:space="preserve">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 xml:space="preserve">rámci kritéria </w:t>
      </w:r>
      <w:r w:rsidR="004A531A" w:rsidRPr="00620863">
        <w:rPr>
          <w:rFonts w:asciiTheme="minorHAnsi" w:hAnsiTheme="minorHAnsi" w:cstheme="minorHAnsi"/>
          <w:bCs/>
          <w:sz w:val="24"/>
          <w:szCs w:val="24"/>
        </w:rPr>
        <w:t>„</w:t>
      </w:r>
      <w:r w:rsidR="00E760C8">
        <w:rPr>
          <w:rFonts w:asciiTheme="minorHAnsi" w:hAnsiTheme="minorHAnsi" w:cstheme="minorHAnsi"/>
          <w:bCs/>
          <w:i/>
          <w:sz w:val="24"/>
          <w:szCs w:val="24"/>
        </w:rPr>
        <w:t>ř</w:t>
      </w:r>
      <w:r w:rsidR="004A531A" w:rsidRPr="001A786A">
        <w:rPr>
          <w:rFonts w:asciiTheme="minorHAnsi" w:hAnsiTheme="minorHAnsi" w:cstheme="minorHAnsi"/>
          <w:bCs/>
          <w:i/>
          <w:sz w:val="24"/>
          <w:szCs w:val="24"/>
        </w:rPr>
        <w:t>ízení rizik</w:t>
      </w:r>
      <w:r w:rsidR="004A531A" w:rsidRPr="00620863">
        <w:rPr>
          <w:rFonts w:asciiTheme="minorHAnsi" w:hAnsiTheme="minorHAnsi" w:cstheme="minorHAnsi"/>
          <w:bCs/>
          <w:sz w:val="24"/>
          <w:szCs w:val="24"/>
        </w:rPr>
        <w:t>“</w:t>
      </w:r>
      <w:r w:rsidR="00E760C8">
        <w:rPr>
          <w:rFonts w:asciiTheme="minorHAnsi" w:hAnsiTheme="minorHAnsi" w:cstheme="minorHAnsi"/>
          <w:bCs/>
          <w:sz w:val="24"/>
          <w:szCs w:val="24"/>
        </w:rPr>
        <w:t>, resp.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4A531A" w:rsidRPr="007B2498">
        <w:rPr>
          <w:rFonts w:asciiTheme="minorHAnsi" w:hAnsiTheme="minorHAnsi" w:cstheme="minorHAnsi"/>
          <w:bCs/>
          <w:sz w:val="24"/>
          <w:szCs w:val="24"/>
        </w:rPr>
        <w:t>podkritéria</w:t>
      </w:r>
      <w:proofErr w:type="spellEnd"/>
      <w:r w:rsidR="004A531A" w:rsidRPr="007B2498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891668">
        <w:rPr>
          <w:rFonts w:asciiTheme="minorHAnsi" w:hAnsiTheme="minorHAnsi" w:cstheme="minorHAnsi"/>
          <w:bCs/>
          <w:i/>
          <w:sz w:val="24"/>
          <w:szCs w:val="24"/>
        </w:rPr>
        <w:t>r</w:t>
      </w:r>
      <w:r w:rsidR="004A531A" w:rsidRPr="007B2498">
        <w:rPr>
          <w:rFonts w:asciiTheme="minorHAnsi" w:hAnsiTheme="minorHAnsi" w:cstheme="minorHAnsi"/>
          <w:bCs/>
          <w:i/>
          <w:sz w:val="24"/>
          <w:szCs w:val="24"/>
        </w:rPr>
        <w:t>ealizace projektu nepředstavuje zvýšené riziko (významné snížení dopravní propustnosti a dostupnosti dotčených regionů, riziko dopravních nehod apod.)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>“</w:t>
      </w:r>
      <w:r w:rsidR="00E760C8">
        <w:rPr>
          <w:rFonts w:asciiTheme="minorHAnsi" w:hAnsiTheme="minorHAnsi" w:cstheme="minorHAnsi"/>
          <w:bCs/>
          <w:sz w:val="24"/>
          <w:szCs w:val="24"/>
        </w:rPr>
        <w:t>,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 xml:space="preserve"> přidělil jeden </w:t>
      </w:r>
      <w:r w:rsidR="00620863">
        <w:rPr>
          <w:rFonts w:asciiTheme="minorHAnsi" w:hAnsiTheme="minorHAnsi" w:cstheme="minorHAnsi"/>
          <w:bCs/>
          <w:sz w:val="24"/>
          <w:szCs w:val="24"/>
        </w:rPr>
        <w:t xml:space="preserve">hodnotitel 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>20 bodů z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>25 a druhý hodnotitel nepřidělil žádný bod</w:t>
      </w:r>
      <w:r w:rsidR="00E760C8">
        <w:rPr>
          <w:rFonts w:asciiTheme="minorHAnsi" w:hAnsiTheme="minorHAnsi" w:cstheme="minorHAnsi"/>
          <w:bCs/>
          <w:sz w:val="24"/>
          <w:szCs w:val="24"/>
        </w:rPr>
        <w:t>, což odůvodnil větou: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4A531A" w:rsidRPr="007B2498">
        <w:rPr>
          <w:rFonts w:asciiTheme="minorHAnsi" w:hAnsiTheme="minorHAnsi" w:cstheme="minorHAnsi"/>
          <w:bCs/>
          <w:i/>
          <w:sz w:val="24"/>
          <w:szCs w:val="24"/>
        </w:rPr>
        <w:t>Dané riziko není v</w:t>
      </w:r>
      <w:r w:rsidR="00AC319A">
        <w:rPr>
          <w:rFonts w:asciiTheme="minorHAnsi" w:hAnsiTheme="minorHAnsi" w:cstheme="minorHAnsi"/>
          <w:bCs/>
          <w:i/>
          <w:sz w:val="24"/>
          <w:szCs w:val="24"/>
        </w:rPr>
        <w:t> </w:t>
      </w:r>
      <w:r w:rsidR="004A531A" w:rsidRPr="007B2498">
        <w:rPr>
          <w:rFonts w:asciiTheme="minorHAnsi" w:hAnsiTheme="minorHAnsi" w:cstheme="minorHAnsi"/>
          <w:bCs/>
          <w:i/>
          <w:sz w:val="24"/>
          <w:szCs w:val="24"/>
        </w:rPr>
        <w:t>projektu zmíněno</w:t>
      </w:r>
      <w:r w:rsidR="004A531A" w:rsidRPr="007B2498">
        <w:rPr>
          <w:rFonts w:asciiTheme="minorHAnsi" w:hAnsiTheme="minorHAnsi" w:cstheme="minorHAnsi"/>
          <w:bCs/>
          <w:sz w:val="24"/>
          <w:szCs w:val="24"/>
        </w:rPr>
        <w:t>“.</w:t>
      </w:r>
    </w:p>
    <w:p w14:paraId="744748D3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6C8C4024" w14:textId="22C5C380" w:rsidR="004C3067" w:rsidRDefault="004C3067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NKÚ zjistil případy, kdy hodnotitel udělil vysoké bodové ohodnocení i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případě, kdy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rámci daného kritéria identifikoval významné nedostatky. Například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případě projektu </w:t>
      </w:r>
      <w:r w:rsidRPr="001A786A">
        <w:rPr>
          <w:rFonts w:asciiTheme="minorHAnsi" w:hAnsiTheme="minorHAnsi" w:cstheme="minorHAnsi"/>
          <w:bCs/>
          <w:i/>
          <w:sz w:val="24"/>
          <w:szCs w:val="24"/>
        </w:rPr>
        <w:t>Nové divadl</w:t>
      </w:r>
      <w:r w:rsidR="00E760C8" w:rsidRPr="001A786A">
        <w:rPr>
          <w:rFonts w:asciiTheme="minorHAnsi" w:hAnsiTheme="minorHAnsi" w:cstheme="minorHAnsi"/>
          <w:bCs/>
          <w:i/>
          <w:sz w:val="24"/>
          <w:szCs w:val="24"/>
        </w:rPr>
        <w:t>o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rámci hodnot</w:t>
      </w:r>
      <w:r w:rsidR="00891668">
        <w:rPr>
          <w:rFonts w:asciiTheme="minorHAnsi" w:hAnsiTheme="minorHAnsi" w:cstheme="minorHAnsi"/>
          <w:bCs/>
          <w:sz w:val="24"/>
          <w:szCs w:val="24"/>
        </w:rPr>
        <w:t>i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cího kritéria </w:t>
      </w:r>
      <w:r w:rsidRPr="00620863">
        <w:rPr>
          <w:rFonts w:asciiTheme="minorHAnsi" w:hAnsiTheme="minorHAnsi" w:cstheme="minorHAnsi"/>
          <w:bCs/>
          <w:sz w:val="24"/>
          <w:szCs w:val="24"/>
        </w:rPr>
        <w:t>„</w:t>
      </w:r>
      <w:r w:rsidR="00E760C8">
        <w:rPr>
          <w:rFonts w:asciiTheme="minorHAnsi" w:hAnsiTheme="minorHAnsi" w:cstheme="minorHAnsi"/>
          <w:bCs/>
          <w:i/>
          <w:sz w:val="24"/>
          <w:szCs w:val="24"/>
        </w:rPr>
        <w:t>f</w:t>
      </w:r>
      <w:r w:rsidRPr="001A786A">
        <w:rPr>
          <w:rFonts w:asciiTheme="minorHAnsi" w:hAnsiTheme="minorHAnsi" w:cstheme="minorHAnsi"/>
          <w:bCs/>
          <w:i/>
          <w:sz w:val="24"/>
          <w:szCs w:val="24"/>
        </w:rPr>
        <w:t>inanční a ekonomická kvalita</w:t>
      </w:r>
      <w:r w:rsidRPr="00620863">
        <w:rPr>
          <w:rFonts w:asciiTheme="minorHAnsi" w:hAnsiTheme="minorHAnsi" w:cstheme="minorHAnsi"/>
          <w:bCs/>
          <w:sz w:val="24"/>
          <w:szCs w:val="24"/>
        </w:rPr>
        <w:t>“</w:t>
      </w:r>
      <w:r w:rsidR="00E760C8">
        <w:rPr>
          <w:rFonts w:asciiTheme="minorHAnsi" w:hAnsiTheme="minorHAnsi" w:cstheme="minorHAnsi"/>
          <w:bCs/>
          <w:sz w:val="24"/>
          <w:szCs w:val="24"/>
        </w:rPr>
        <w:t>, resp.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B2498">
        <w:rPr>
          <w:rFonts w:asciiTheme="minorHAnsi" w:hAnsiTheme="minorHAnsi" w:cstheme="minorHAnsi"/>
          <w:bCs/>
          <w:sz w:val="24"/>
          <w:szCs w:val="24"/>
        </w:rPr>
        <w:t>podkritéria</w:t>
      </w:r>
      <w:proofErr w:type="spellEnd"/>
      <w:r w:rsidRPr="007B2498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891668">
        <w:rPr>
          <w:rFonts w:asciiTheme="minorHAnsi" w:hAnsiTheme="minorHAnsi" w:cstheme="minorHAnsi"/>
          <w:bCs/>
          <w:i/>
          <w:sz w:val="24"/>
          <w:szCs w:val="24"/>
        </w:rPr>
        <w:t>b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yl proveden převod ocenitelných socioekonomických přínosů a nákladů na hotovostní toky na reálném základě a hodnoty nejsou výrazně nadhodnoceny ani podhodnoceny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“ přidělil </w:t>
      </w:r>
      <w:r w:rsidRPr="007B2498">
        <w:rPr>
          <w:rFonts w:asciiTheme="minorHAnsi" w:hAnsiTheme="minorHAnsi" w:cstheme="minorHAnsi"/>
          <w:bCs/>
          <w:sz w:val="24"/>
          <w:szCs w:val="24"/>
        </w:rPr>
        <w:lastRenderedPageBreak/>
        <w:t>hodnotitel 15 bodů z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20, přestože 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komentáři k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hodnocení uvedl: „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Není uveden způsob výpočtu a nelze ověřit reálnost hodnot</w:t>
      </w:r>
      <w:r w:rsidRPr="007B2498">
        <w:rPr>
          <w:rFonts w:asciiTheme="minorHAnsi" w:hAnsiTheme="minorHAnsi" w:cstheme="minorHAnsi"/>
          <w:bCs/>
          <w:sz w:val="24"/>
          <w:szCs w:val="24"/>
        </w:rPr>
        <w:t>“.</w:t>
      </w:r>
    </w:p>
    <w:p w14:paraId="49D46584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5B859458" w14:textId="1A4E4F6E" w:rsidR="004C3067" w:rsidRDefault="004C3067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 xml:space="preserve">Některá kritéria postrádala schopnost odlišovat kvalitnější projekty od méně kvalitních. Například kritérium </w:t>
      </w:r>
      <w:r w:rsidR="00891668">
        <w:rPr>
          <w:rFonts w:asciiTheme="minorHAnsi" w:hAnsiTheme="minorHAnsi" w:cstheme="minorHAnsi"/>
          <w:bCs/>
          <w:sz w:val="24"/>
          <w:szCs w:val="24"/>
        </w:rPr>
        <w:t>„</w:t>
      </w:r>
      <w:r w:rsidR="00891668">
        <w:rPr>
          <w:rFonts w:asciiTheme="minorHAnsi" w:hAnsiTheme="minorHAnsi" w:cstheme="minorHAnsi"/>
          <w:bCs/>
          <w:i/>
          <w:sz w:val="24"/>
          <w:szCs w:val="24"/>
        </w:rPr>
        <w:t>t</w:t>
      </w:r>
      <w:r w:rsidRPr="007B2498">
        <w:rPr>
          <w:rFonts w:asciiTheme="minorHAnsi" w:hAnsiTheme="minorHAnsi" w:cstheme="minorHAnsi"/>
          <w:bCs/>
          <w:i/>
          <w:sz w:val="24"/>
          <w:szCs w:val="24"/>
        </w:rPr>
        <w:t>vorba nových pracovních míst</w:t>
      </w:r>
      <w:r w:rsidR="00891668">
        <w:rPr>
          <w:rFonts w:asciiTheme="minorHAnsi" w:hAnsiTheme="minorHAnsi" w:cstheme="minorHAnsi"/>
          <w:bCs/>
          <w:i/>
          <w:sz w:val="24"/>
          <w:szCs w:val="24"/>
        </w:rPr>
        <w:t>“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bylo nastaveno tak, že stejný počet bodů mohly obdržet </w:t>
      </w:r>
      <w:r w:rsidR="00E760C8">
        <w:rPr>
          <w:rFonts w:asciiTheme="minorHAnsi" w:hAnsiTheme="minorHAnsi" w:cstheme="minorHAnsi"/>
          <w:bCs/>
          <w:sz w:val="24"/>
          <w:szCs w:val="24"/>
        </w:rPr>
        <w:t xml:space="preserve">jak 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projekty, které vytvářely jedno pracovní místo, tak projekty, které by vytvořily </w:t>
      </w:r>
      <w:r w:rsidR="004E3A66">
        <w:rPr>
          <w:rFonts w:asciiTheme="minorHAnsi" w:hAnsiTheme="minorHAnsi" w:cstheme="minorHAnsi"/>
          <w:bCs/>
          <w:sz w:val="24"/>
          <w:szCs w:val="24"/>
        </w:rPr>
        <w:t>výrazně více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pracovních míst.</w:t>
      </w:r>
    </w:p>
    <w:p w14:paraId="16AB6F2A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3B5ADEFD" w14:textId="4A546E59" w:rsidR="004C3067" w:rsidRDefault="004C3067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Kontrola dále zjistila, že hodnocení plánovaných rozpočtů ve vztahu k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optimálním rozpočtům projektů nebylo objektivní vzhledem k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>nedostatkům souvisejí</w:t>
      </w:r>
      <w:r w:rsidR="009D4D40">
        <w:rPr>
          <w:rFonts w:asciiTheme="minorHAnsi" w:hAnsiTheme="minorHAnsi" w:cstheme="minorHAnsi"/>
          <w:bCs/>
          <w:sz w:val="24"/>
          <w:szCs w:val="24"/>
        </w:rPr>
        <w:t>cí</w:t>
      </w:r>
      <w:r w:rsidRPr="007B2498">
        <w:rPr>
          <w:rFonts w:asciiTheme="minorHAnsi" w:hAnsiTheme="minorHAnsi" w:cstheme="minorHAnsi"/>
          <w:bCs/>
          <w:sz w:val="24"/>
          <w:szCs w:val="24"/>
        </w:rPr>
        <w:t>m s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indikátory a stanovenými </w:t>
      </w:r>
      <w:r w:rsidRPr="004A75BA">
        <w:rPr>
          <w:rFonts w:asciiTheme="minorHAnsi" w:hAnsiTheme="minorHAnsi" w:cstheme="minorHAnsi"/>
          <w:bCs/>
          <w:sz w:val="24"/>
          <w:szCs w:val="24"/>
        </w:rPr>
        <w:t xml:space="preserve">cenami za jednotku (viz </w:t>
      </w:r>
      <w:r w:rsidR="0063009B" w:rsidRPr="004A75BA">
        <w:rPr>
          <w:rFonts w:asciiTheme="minorHAnsi" w:hAnsiTheme="minorHAnsi" w:cstheme="minorHAnsi"/>
          <w:bCs/>
          <w:sz w:val="24"/>
          <w:szCs w:val="24"/>
        </w:rPr>
        <w:t>výše</w:t>
      </w:r>
      <w:r w:rsidRPr="004A75BA">
        <w:rPr>
          <w:rFonts w:asciiTheme="minorHAnsi" w:hAnsiTheme="minorHAnsi" w:cstheme="minorHAnsi"/>
          <w:bCs/>
          <w:sz w:val="24"/>
          <w:szCs w:val="24"/>
        </w:rPr>
        <w:t>).</w:t>
      </w:r>
    </w:p>
    <w:p w14:paraId="7E86DBCE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28295213" w14:textId="4949EFB3" w:rsidR="004C3067" w:rsidRDefault="007B6A75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="Calibri"/>
          <w:bCs/>
          <w:sz w:val="24"/>
          <w:szCs w:val="24"/>
          <w:lang w:eastAsia="cs-CZ"/>
        </w:rPr>
        <w:t>RR</w:t>
      </w:r>
      <w:r>
        <w:rPr>
          <w:rFonts w:asciiTheme="minorHAnsi" w:hAnsiTheme="minorHAnsi" w:cs="Calibri"/>
          <w:bCs/>
          <w:sz w:val="24"/>
          <w:szCs w:val="24"/>
          <w:lang w:eastAsia="cs-CZ"/>
        </w:rPr>
        <w:t xml:space="preserve"> nezpracovala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2498">
        <w:rPr>
          <w:rFonts w:asciiTheme="minorHAnsi" w:hAnsiTheme="minorHAnsi" w:cs="Calibri"/>
          <w:bCs/>
          <w:sz w:val="24"/>
          <w:szCs w:val="24"/>
          <w:lang w:eastAsia="cs-CZ"/>
        </w:rPr>
        <w:t>metodiku</w:t>
      </w:r>
      <w:r>
        <w:rPr>
          <w:rFonts w:asciiTheme="minorHAnsi" w:hAnsiTheme="minorHAnsi" w:cs="Calibri"/>
          <w:bCs/>
          <w:sz w:val="24"/>
          <w:szCs w:val="24"/>
          <w:lang w:eastAsia="cs-CZ"/>
        </w:rPr>
        <w:t>, která by upravovala post</w:t>
      </w:r>
      <w:r w:rsidR="006C6CD0">
        <w:rPr>
          <w:rFonts w:asciiTheme="minorHAnsi" w:hAnsiTheme="minorHAnsi" w:cs="Calibri"/>
          <w:bCs/>
          <w:sz w:val="24"/>
          <w:szCs w:val="24"/>
          <w:lang w:eastAsia="cs-CZ"/>
        </w:rPr>
        <w:t>up věcného hodnocení projektů a </w:t>
      </w:r>
      <w:r>
        <w:rPr>
          <w:rFonts w:asciiTheme="minorHAnsi" w:hAnsiTheme="minorHAnsi" w:cs="Calibri"/>
          <w:bCs/>
          <w:sz w:val="24"/>
          <w:szCs w:val="24"/>
          <w:lang w:eastAsia="cs-CZ"/>
        </w:rPr>
        <w:t>způsob přidělování bodů hodnotitel</w:t>
      </w:r>
      <w:r w:rsidR="00E760C8">
        <w:rPr>
          <w:rFonts w:asciiTheme="minorHAnsi" w:hAnsiTheme="minorHAnsi" w:cs="Calibri"/>
          <w:bCs/>
          <w:sz w:val="24"/>
          <w:szCs w:val="24"/>
          <w:lang w:eastAsia="cs-CZ"/>
        </w:rPr>
        <w:t>em</w:t>
      </w:r>
      <w:r>
        <w:rPr>
          <w:rFonts w:asciiTheme="minorHAnsi" w:hAnsiTheme="minorHAnsi" w:cs="Calibri"/>
          <w:bCs/>
          <w:sz w:val="24"/>
          <w:szCs w:val="24"/>
          <w:lang w:eastAsia="cs-CZ"/>
        </w:rPr>
        <w:t xml:space="preserve">. </w:t>
      </w:r>
      <w:r w:rsidR="004C3067" w:rsidRPr="007B2498">
        <w:rPr>
          <w:rFonts w:asciiTheme="minorHAnsi" w:hAnsiTheme="minorHAnsi" w:cstheme="minorHAnsi"/>
          <w:bCs/>
          <w:sz w:val="24"/>
          <w:szCs w:val="24"/>
        </w:rPr>
        <w:t>RR uvedla, že za účelem sjednocení hodnocení uskutečnila společné jednání (školení) hodnotitelů, kde byly za přítomnosti zástupců oddělení metodického řízení vysvětleny jednotlivé procesy a na základě společné diskuze vyjasněny potenciální sporné části přístupu hodnocení. Cílem jednání bylo vytvořit jednotný náhled na hodnocení každého výběrového kritéria.</w:t>
      </w:r>
      <w:r w:rsidR="0062086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Přestože RR provedla školení hodnotitelů, NKÚ zjistil ve věcném hodnocení</w:t>
      </w:r>
      <w:r w:rsidR="006C6CD0">
        <w:rPr>
          <w:rFonts w:asciiTheme="minorHAnsi" w:hAnsiTheme="minorHAnsi" w:cstheme="minorHAnsi"/>
          <w:bCs/>
          <w:sz w:val="24"/>
          <w:szCs w:val="24"/>
        </w:rPr>
        <w:t xml:space="preserve"> projektů významné disproporce.</w:t>
      </w:r>
    </w:p>
    <w:p w14:paraId="32BFAE1A" w14:textId="77777777" w:rsidR="006B4DFE" w:rsidRDefault="006B4DFE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019D2D8A" w14:textId="4D433D75" w:rsidR="00171F6A" w:rsidRPr="00AC319A" w:rsidRDefault="00AC319A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5. </w:t>
      </w:r>
      <w:r w:rsidR="00DC0415" w:rsidRPr="00AC31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Financování projektu </w:t>
      </w:r>
      <w:r w:rsidR="00DC0415" w:rsidRPr="00CF4AC1">
        <w:rPr>
          <w:rFonts w:asciiTheme="minorHAnsi" w:hAnsiTheme="minorHAnsi" w:cstheme="minorHAnsi"/>
          <w:b/>
          <w:i/>
          <w:color w:val="000000"/>
          <w:sz w:val="24"/>
          <w:szCs w:val="24"/>
        </w:rPr>
        <w:t>Nové divadl</w:t>
      </w:r>
      <w:r w:rsidR="00F90CB0" w:rsidRPr="00CF4AC1">
        <w:rPr>
          <w:rFonts w:asciiTheme="minorHAnsi" w:hAnsiTheme="minorHAnsi" w:cstheme="minorHAnsi"/>
          <w:b/>
          <w:i/>
          <w:color w:val="000000"/>
          <w:sz w:val="24"/>
          <w:szCs w:val="24"/>
        </w:rPr>
        <w:t>o</w:t>
      </w:r>
    </w:p>
    <w:p w14:paraId="7943A28B" w14:textId="77777777" w:rsidR="006B4DFE" w:rsidRDefault="006B4DFE" w:rsidP="006B4DFE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60D5825B" w14:textId="2D3DD6D9" w:rsidR="005617F9" w:rsidRDefault="005617F9" w:rsidP="006B4DFE">
      <w:pPr>
        <w:tabs>
          <w:tab w:val="right" w:pos="9072"/>
        </w:tabs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5617F9">
        <w:rPr>
          <w:rFonts w:asciiTheme="minorHAnsi" w:hAnsiTheme="minorHAnsi" w:cstheme="minorHAnsi"/>
          <w:bCs/>
          <w:sz w:val="24"/>
          <w:szCs w:val="24"/>
        </w:rPr>
        <w:t xml:space="preserve">Předmětem projektu </w:t>
      </w:r>
      <w:r w:rsidRPr="00CF4AC1">
        <w:rPr>
          <w:rFonts w:asciiTheme="minorHAnsi" w:hAnsiTheme="minorHAnsi" w:cstheme="minorHAnsi"/>
          <w:i/>
          <w:color w:val="000000"/>
          <w:sz w:val="24"/>
          <w:szCs w:val="24"/>
        </w:rPr>
        <w:t>Nové divadl</w:t>
      </w:r>
      <w:r w:rsidR="00F90CB0" w:rsidRPr="00CF4AC1">
        <w:rPr>
          <w:rFonts w:asciiTheme="minorHAnsi" w:hAnsiTheme="minorHAnsi" w:cstheme="minorHAnsi"/>
          <w:i/>
          <w:color w:val="000000"/>
          <w:sz w:val="24"/>
          <w:szCs w:val="24"/>
        </w:rPr>
        <w:t>o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 byla výstavba objektu nového divadla s</w:t>
      </w:r>
      <w:r w:rsidR="00AC319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cílem zajištění adekvátních a moderních prostor pro umělecká tělesa divadla J. K. Tyla. </w:t>
      </w:r>
      <w:r w:rsidR="006610CB">
        <w:rPr>
          <w:rFonts w:asciiTheme="minorHAnsi" w:hAnsiTheme="minorHAnsi" w:cstheme="minorHAnsi"/>
          <w:color w:val="000000"/>
          <w:sz w:val="24"/>
          <w:szCs w:val="24"/>
        </w:rPr>
        <w:t xml:space="preserve">Město Plzeň stanovilo </w:t>
      </w:r>
      <w:r w:rsidR="00524268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AC319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524268">
        <w:rPr>
          <w:rFonts w:asciiTheme="minorHAnsi" w:hAnsiTheme="minorHAnsi" w:cstheme="minorHAnsi"/>
          <w:color w:val="000000"/>
          <w:sz w:val="24"/>
          <w:szCs w:val="24"/>
        </w:rPr>
        <w:t xml:space="preserve">žádosti o poskytnutí dotace </w:t>
      </w:r>
      <w:r w:rsidR="006610CB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elkové plánované výdaje projektu </w:t>
      </w:r>
      <w:r w:rsidR="006610CB">
        <w:rPr>
          <w:rFonts w:asciiTheme="minorHAnsi" w:hAnsiTheme="minorHAnsi" w:cstheme="minorHAnsi"/>
          <w:color w:val="000000"/>
          <w:sz w:val="24"/>
          <w:szCs w:val="24"/>
        </w:rPr>
        <w:t xml:space="preserve">ve výši 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>951 707 305 Kč, z</w:t>
      </w:r>
      <w:r w:rsidR="00AC319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toho celkové </w:t>
      </w:r>
      <w:r w:rsidRPr="005617F9">
        <w:rPr>
          <w:rFonts w:asciiTheme="minorHAnsi" w:hAnsiTheme="minorHAnsi" w:cstheme="minorHAnsi"/>
          <w:bCs/>
          <w:sz w:val="24"/>
          <w:szCs w:val="24"/>
        </w:rPr>
        <w:t xml:space="preserve">způsobilé výdaje projektu </w:t>
      </w:r>
      <w:r w:rsidR="006610CB">
        <w:rPr>
          <w:rFonts w:asciiTheme="minorHAnsi" w:hAnsiTheme="minorHAnsi" w:cstheme="minorHAnsi"/>
          <w:bCs/>
          <w:sz w:val="24"/>
          <w:szCs w:val="24"/>
        </w:rPr>
        <w:t>vyčíslilo na</w:t>
      </w:r>
      <w:r w:rsidR="006C6CD0">
        <w:rPr>
          <w:rFonts w:asciiTheme="minorHAnsi" w:hAnsiTheme="minorHAnsi" w:cstheme="minorHAnsi"/>
          <w:color w:val="000000"/>
          <w:sz w:val="24"/>
          <w:szCs w:val="24"/>
        </w:rPr>
        <w:t xml:space="preserve"> 232 627 618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 Kč. Způsobilé výdaje projektu představovaly pouze výdaje na vybrané stavební objekty </w:t>
      </w:r>
      <w:r w:rsidR="00891668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E760C8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891668">
        <w:rPr>
          <w:rFonts w:asciiTheme="minorHAnsi" w:hAnsiTheme="minorHAnsi" w:cstheme="minorHAnsi"/>
          <w:bCs/>
          <w:sz w:val="24"/>
          <w:szCs w:val="24"/>
        </w:rPr>
        <w:t>a</w:t>
      </w:r>
      <w:r w:rsidRPr="005617F9">
        <w:rPr>
          <w:rFonts w:asciiTheme="minorHAnsi" w:hAnsiTheme="minorHAnsi" w:cstheme="minorHAnsi"/>
          <w:bCs/>
          <w:sz w:val="24"/>
          <w:szCs w:val="24"/>
        </w:rPr>
        <w:t xml:space="preserve">rch-stav. technické řešení, </w:t>
      </w:r>
      <w:r w:rsidR="00891668">
        <w:rPr>
          <w:rFonts w:asciiTheme="minorHAnsi" w:hAnsiTheme="minorHAnsi" w:cstheme="minorHAnsi"/>
          <w:bCs/>
          <w:sz w:val="24"/>
          <w:szCs w:val="24"/>
        </w:rPr>
        <w:t>b</w:t>
      </w:r>
      <w:r w:rsidRPr="005617F9">
        <w:rPr>
          <w:rFonts w:asciiTheme="minorHAnsi" w:hAnsiTheme="minorHAnsi" w:cstheme="minorHAnsi"/>
          <w:bCs/>
          <w:sz w:val="24"/>
          <w:szCs w:val="24"/>
        </w:rPr>
        <w:t xml:space="preserve">etonové konstrukce, </w:t>
      </w:r>
      <w:r w:rsidR="00891668">
        <w:rPr>
          <w:rFonts w:asciiTheme="minorHAnsi" w:hAnsiTheme="minorHAnsi" w:cstheme="minorHAnsi"/>
          <w:bCs/>
          <w:sz w:val="24"/>
          <w:szCs w:val="24"/>
        </w:rPr>
        <w:t>o</w:t>
      </w:r>
      <w:r w:rsidRPr="005617F9">
        <w:rPr>
          <w:rFonts w:asciiTheme="minorHAnsi" w:hAnsiTheme="minorHAnsi" w:cstheme="minorHAnsi"/>
          <w:bCs/>
          <w:sz w:val="24"/>
          <w:szCs w:val="24"/>
        </w:rPr>
        <w:t xml:space="preserve">celové konstrukce, </w:t>
      </w:r>
      <w:r w:rsidR="00891668">
        <w:rPr>
          <w:rFonts w:asciiTheme="minorHAnsi" w:hAnsiTheme="minorHAnsi" w:cstheme="minorHAnsi"/>
          <w:bCs/>
          <w:sz w:val="24"/>
          <w:szCs w:val="24"/>
        </w:rPr>
        <w:t>z</w:t>
      </w:r>
      <w:r w:rsidRPr="005617F9">
        <w:rPr>
          <w:rFonts w:asciiTheme="minorHAnsi" w:hAnsiTheme="minorHAnsi" w:cstheme="minorHAnsi"/>
          <w:bCs/>
          <w:sz w:val="24"/>
          <w:szCs w:val="24"/>
        </w:rPr>
        <w:t xml:space="preserve">abezpečení stavební jámy, </w:t>
      </w:r>
      <w:r w:rsidR="00891668">
        <w:rPr>
          <w:rFonts w:asciiTheme="minorHAnsi" w:hAnsiTheme="minorHAnsi" w:cstheme="minorHAnsi"/>
          <w:bCs/>
          <w:sz w:val="24"/>
          <w:szCs w:val="24"/>
        </w:rPr>
        <w:t>v</w:t>
      </w:r>
      <w:r w:rsidRPr="005617F9">
        <w:rPr>
          <w:rFonts w:asciiTheme="minorHAnsi" w:hAnsiTheme="minorHAnsi" w:cstheme="minorHAnsi"/>
          <w:bCs/>
          <w:sz w:val="24"/>
          <w:szCs w:val="24"/>
        </w:rPr>
        <w:t>nitřní kanalizace</w:t>
      </w:r>
      <w:r w:rsidR="00E760C8">
        <w:rPr>
          <w:rFonts w:asciiTheme="minorHAnsi" w:hAnsiTheme="minorHAnsi" w:cstheme="minorHAnsi"/>
          <w:bCs/>
          <w:sz w:val="24"/>
          <w:szCs w:val="24"/>
        </w:rPr>
        <w:t>)</w:t>
      </w:r>
      <w:r w:rsidRPr="005617F9">
        <w:rPr>
          <w:rFonts w:asciiTheme="minorHAnsi" w:hAnsiTheme="minorHAnsi" w:cstheme="minorHAnsi"/>
          <w:bCs/>
          <w:sz w:val="24"/>
          <w:szCs w:val="24"/>
        </w:rPr>
        <w:t xml:space="preserve"> a dále výdaje na publicitu projektu.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B536481" w14:textId="77777777" w:rsidR="006B4DFE" w:rsidRPr="005617F9" w:rsidRDefault="006B4DFE" w:rsidP="006B4DFE">
      <w:pPr>
        <w:tabs>
          <w:tab w:val="right" w:pos="9072"/>
        </w:tabs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FFA495C" w14:textId="5787555A" w:rsidR="005617F9" w:rsidRDefault="005617F9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617F9">
        <w:rPr>
          <w:rFonts w:asciiTheme="minorHAnsi" w:hAnsiTheme="minorHAnsi" w:cstheme="minorHAnsi"/>
          <w:sz w:val="24"/>
          <w:szCs w:val="24"/>
        </w:rPr>
        <w:t xml:space="preserve">Podle dokumentace předložené </w:t>
      </w:r>
      <w:r w:rsidR="00E760C8">
        <w:rPr>
          <w:rFonts w:asciiTheme="minorHAnsi" w:hAnsiTheme="minorHAnsi" w:cstheme="minorHAnsi"/>
          <w:sz w:val="24"/>
          <w:szCs w:val="24"/>
        </w:rPr>
        <w:t>s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5617F9">
        <w:rPr>
          <w:rFonts w:asciiTheme="minorHAnsi" w:hAnsiTheme="minorHAnsi" w:cstheme="minorHAnsi"/>
          <w:sz w:val="24"/>
          <w:szCs w:val="24"/>
        </w:rPr>
        <w:t>žádost</w:t>
      </w:r>
      <w:r w:rsidR="00E760C8">
        <w:rPr>
          <w:rFonts w:asciiTheme="minorHAnsi" w:hAnsiTheme="minorHAnsi" w:cstheme="minorHAnsi"/>
          <w:sz w:val="24"/>
          <w:szCs w:val="24"/>
        </w:rPr>
        <w:t>í</w:t>
      </w:r>
      <w:r w:rsidRPr="005617F9">
        <w:rPr>
          <w:rFonts w:asciiTheme="minorHAnsi" w:hAnsiTheme="minorHAnsi" w:cstheme="minorHAnsi"/>
          <w:sz w:val="24"/>
          <w:szCs w:val="24"/>
        </w:rPr>
        <w:t xml:space="preserve"> o poskytnutí dotace bylo jedním ze základních cílů projektu </w:t>
      </w:r>
      <w:r w:rsidR="00E760C8">
        <w:rPr>
          <w:rFonts w:asciiTheme="minorHAnsi" w:hAnsiTheme="minorHAnsi" w:cstheme="minorHAnsi"/>
          <w:sz w:val="24"/>
          <w:szCs w:val="24"/>
        </w:rPr>
        <w:t>„</w:t>
      </w:r>
      <w:r w:rsidRPr="005617F9">
        <w:rPr>
          <w:rFonts w:asciiTheme="minorHAnsi" w:hAnsiTheme="minorHAnsi" w:cstheme="minorHAnsi"/>
          <w:i/>
          <w:color w:val="000000"/>
          <w:sz w:val="24"/>
          <w:szCs w:val="24"/>
        </w:rPr>
        <w:t>vybudování nového výrazného architektonického prvku ve městě</w:t>
      </w:r>
      <w:r w:rsidR="00E760C8">
        <w:rPr>
          <w:rFonts w:asciiTheme="minorHAnsi" w:hAnsiTheme="minorHAnsi" w:cstheme="minorHAnsi"/>
          <w:i/>
          <w:color w:val="000000"/>
          <w:sz w:val="24"/>
          <w:szCs w:val="24"/>
        </w:rPr>
        <w:t>“</w:t>
      </w: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. Výrazným architektonickým prvkem měla být mj. </w:t>
      </w:r>
      <w:r w:rsidRPr="005617F9">
        <w:rPr>
          <w:rFonts w:asciiTheme="minorHAnsi" w:hAnsiTheme="minorHAnsi" w:cstheme="minorHAnsi"/>
          <w:sz w:val="24"/>
          <w:szCs w:val="24"/>
        </w:rPr>
        <w:t xml:space="preserve">vejčitá skulptura </w:t>
      </w:r>
      <w:r w:rsidR="00F90CB0">
        <w:rPr>
          <w:rFonts w:asciiTheme="minorHAnsi" w:hAnsiTheme="minorHAnsi" w:cstheme="minorHAnsi"/>
          <w:sz w:val="24"/>
          <w:szCs w:val="24"/>
        </w:rPr>
        <w:t>s leštěným povrchem</w:t>
      </w:r>
      <w:r w:rsidRPr="005617F9">
        <w:rPr>
          <w:rFonts w:asciiTheme="minorHAnsi" w:hAnsiTheme="minorHAnsi" w:cstheme="minorHAnsi"/>
          <w:sz w:val="24"/>
          <w:szCs w:val="24"/>
        </w:rPr>
        <w:t xml:space="preserve"> umožňující „</w:t>
      </w:r>
      <w:r w:rsidRPr="005617F9">
        <w:rPr>
          <w:rFonts w:asciiTheme="minorHAnsi" w:hAnsiTheme="minorHAnsi" w:cstheme="minorHAnsi"/>
          <w:i/>
          <w:sz w:val="24"/>
          <w:szCs w:val="24"/>
        </w:rPr>
        <w:t>interaktivní hru kolemjdoucích diváků</w:t>
      </w:r>
      <w:r w:rsidR="00F90CB0">
        <w:rPr>
          <w:rFonts w:asciiTheme="minorHAnsi" w:hAnsiTheme="minorHAnsi" w:cstheme="minorHAnsi"/>
          <w:i/>
          <w:sz w:val="24"/>
          <w:szCs w:val="24"/>
        </w:rPr>
        <w:t>“</w:t>
      </w:r>
      <w:r w:rsidRPr="005617F9">
        <w:rPr>
          <w:rFonts w:asciiTheme="minorHAnsi" w:hAnsiTheme="minorHAnsi" w:cstheme="minorHAnsi"/>
          <w:sz w:val="24"/>
          <w:szCs w:val="24"/>
        </w:rPr>
        <w:t xml:space="preserve"> a dále </w:t>
      </w:r>
      <w:r w:rsidR="00F90CB0">
        <w:rPr>
          <w:rFonts w:asciiTheme="minorHAnsi" w:hAnsiTheme="minorHAnsi" w:cstheme="minorHAnsi"/>
          <w:sz w:val="24"/>
          <w:szCs w:val="24"/>
        </w:rPr>
        <w:t>čelní</w:t>
      </w:r>
      <w:r w:rsidRPr="005617F9">
        <w:rPr>
          <w:rFonts w:asciiTheme="minorHAnsi" w:hAnsiTheme="minorHAnsi" w:cstheme="minorHAnsi"/>
          <w:sz w:val="24"/>
          <w:szCs w:val="24"/>
        </w:rPr>
        <w:t xml:space="preserve"> betonová předsunutá fasáda (znázorňující prvek opony) realizovaná </w:t>
      </w:r>
      <w:r w:rsidRPr="00F90CB0">
        <w:rPr>
          <w:rFonts w:asciiTheme="minorHAnsi" w:hAnsiTheme="minorHAnsi" w:cstheme="minorHAnsi"/>
          <w:sz w:val="24"/>
          <w:szCs w:val="24"/>
        </w:rPr>
        <w:t>z</w:t>
      </w:r>
      <w:r w:rsidR="00AC319A" w:rsidRPr="00F90CB0">
        <w:rPr>
          <w:rFonts w:asciiTheme="minorHAnsi" w:hAnsiTheme="minorHAnsi" w:cstheme="minorHAnsi"/>
          <w:sz w:val="24"/>
          <w:szCs w:val="24"/>
        </w:rPr>
        <w:t> </w:t>
      </w:r>
      <w:r w:rsidRPr="00CF4AC1">
        <w:rPr>
          <w:rFonts w:asciiTheme="minorHAnsi" w:hAnsiTheme="minorHAnsi" w:cstheme="minorHAnsi"/>
          <w:sz w:val="24"/>
          <w:szCs w:val="24"/>
        </w:rPr>
        <w:t xml:space="preserve">bílého leštěného </w:t>
      </w:r>
      <w:proofErr w:type="spellStart"/>
      <w:r w:rsidRPr="00CF4AC1">
        <w:rPr>
          <w:rFonts w:asciiTheme="minorHAnsi" w:hAnsiTheme="minorHAnsi" w:cstheme="minorHAnsi"/>
          <w:sz w:val="24"/>
          <w:szCs w:val="24"/>
        </w:rPr>
        <w:t>terazza</w:t>
      </w:r>
      <w:proofErr w:type="spellEnd"/>
      <w:r w:rsidRPr="005617F9">
        <w:rPr>
          <w:rFonts w:asciiTheme="minorHAnsi" w:hAnsiTheme="minorHAnsi" w:cstheme="minorHAnsi"/>
          <w:sz w:val="24"/>
          <w:szCs w:val="24"/>
        </w:rPr>
        <w:t>.</w:t>
      </w:r>
    </w:p>
    <w:p w14:paraId="101E0931" w14:textId="77777777" w:rsidR="006B4DFE" w:rsidRPr="005617F9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FDD548A" w14:textId="12A44A07" w:rsidR="005617F9" w:rsidRDefault="005617F9" w:rsidP="006B4DFE">
      <w:pPr>
        <w:tabs>
          <w:tab w:val="right" w:pos="9072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5617F9">
        <w:rPr>
          <w:rFonts w:asciiTheme="minorHAnsi" w:hAnsiTheme="minorHAnsi" w:cstheme="minorHAnsi"/>
          <w:color w:val="000000"/>
          <w:sz w:val="24"/>
          <w:szCs w:val="24"/>
        </w:rPr>
        <w:t xml:space="preserve">NKÚ při fyzické kontrole zjistil, že </w:t>
      </w:r>
      <w:r w:rsidR="00F90CB0">
        <w:rPr>
          <w:rFonts w:asciiTheme="minorHAnsi" w:hAnsiTheme="minorHAnsi" w:cstheme="minorHAnsi"/>
          <w:sz w:val="24"/>
          <w:szCs w:val="24"/>
        </w:rPr>
        <w:t>čelní</w:t>
      </w:r>
      <w:r w:rsidR="00E7501E">
        <w:rPr>
          <w:rFonts w:asciiTheme="minorHAnsi" w:hAnsiTheme="minorHAnsi" w:cstheme="minorHAnsi"/>
          <w:sz w:val="24"/>
          <w:szCs w:val="24"/>
        </w:rPr>
        <w:t xml:space="preserve"> betonová předsunutá fasáda</w:t>
      </w:r>
      <w:r w:rsidRPr="005617F9">
        <w:rPr>
          <w:rFonts w:asciiTheme="minorHAnsi" w:hAnsiTheme="minorHAnsi" w:cstheme="minorHAnsi"/>
          <w:sz w:val="24"/>
          <w:szCs w:val="24"/>
        </w:rPr>
        <w:t xml:space="preserve"> nebyla realizována z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5617F9">
        <w:rPr>
          <w:rFonts w:asciiTheme="minorHAnsi" w:hAnsiTheme="minorHAnsi" w:cstheme="minorHAnsi"/>
          <w:sz w:val="24"/>
          <w:szCs w:val="24"/>
        </w:rPr>
        <w:t xml:space="preserve">bílého leštěného </w:t>
      </w:r>
      <w:proofErr w:type="spellStart"/>
      <w:r w:rsidRPr="005617F9">
        <w:rPr>
          <w:rFonts w:asciiTheme="minorHAnsi" w:hAnsiTheme="minorHAnsi" w:cstheme="minorHAnsi"/>
          <w:sz w:val="24"/>
          <w:szCs w:val="24"/>
        </w:rPr>
        <w:t>terazza</w:t>
      </w:r>
      <w:proofErr w:type="spellEnd"/>
      <w:r w:rsidRPr="005617F9">
        <w:rPr>
          <w:rFonts w:asciiTheme="minorHAnsi" w:hAnsiTheme="minorHAnsi" w:cstheme="minorHAnsi"/>
          <w:sz w:val="24"/>
          <w:szCs w:val="24"/>
        </w:rPr>
        <w:t xml:space="preserve"> a vejčitá skulptura nebyla provedena </w:t>
      </w:r>
      <w:r w:rsidR="00F90CB0">
        <w:rPr>
          <w:rFonts w:asciiTheme="minorHAnsi" w:hAnsiTheme="minorHAnsi" w:cstheme="minorHAnsi"/>
          <w:sz w:val="24"/>
          <w:szCs w:val="24"/>
        </w:rPr>
        <w:t>s leštěným povrchem</w:t>
      </w:r>
      <w:r w:rsidRPr="005617F9">
        <w:rPr>
          <w:rFonts w:asciiTheme="minorHAnsi" w:hAnsiTheme="minorHAnsi" w:cstheme="minorHAnsi"/>
          <w:sz w:val="24"/>
          <w:szCs w:val="24"/>
        </w:rPr>
        <w:t xml:space="preserve"> umožňující</w:t>
      </w:r>
      <w:r w:rsidR="00F90CB0">
        <w:rPr>
          <w:rFonts w:asciiTheme="minorHAnsi" w:hAnsiTheme="minorHAnsi" w:cstheme="minorHAnsi"/>
          <w:sz w:val="24"/>
          <w:szCs w:val="24"/>
        </w:rPr>
        <w:t>m</w:t>
      </w:r>
      <w:r w:rsidRPr="005617F9">
        <w:rPr>
          <w:rFonts w:asciiTheme="minorHAnsi" w:hAnsiTheme="minorHAnsi" w:cstheme="minorHAnsi"/>
          <w:sz w:val="24"/>
          <w:szCs w:val="24"/>
        </w:rPr>
        <w:t xml:space="preserve"> „interaktivní hru kolemjdoucích diváků</w:t>
      </w:r>
      <w:r w:rsidR="00891668" w:rsidRPr="005617F9">
        <w:rPr>
          <w:rFonts w:asciiTheme="minorHAnsi" w:hAnsiTheme="minorHAnsi" w:cstheme="minorHAnsi"/>
          <w:sz w:val="24"/>
          <w:szCs w:val="24"/>
        </w:rPr>
        <w:t>“</w:t>
      </w:r>
      <w:r w:rsidRPr="005617F9">
        <w:rPr>
          <w:rFonts w:asciiTheme="minorHAnsi" w:hAnsiTheme="minorHAnsi" w:cstheme="minorHAnsi"/>
          <w:sz w:val="24"/>
          <w:szCs w:val="24"/>
        </w:rPr>
        <w:t>. Původní architektonický záměr vyplývající z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5617F9">
        <w:rPr>
          <w:rFonts w:asciiTheme="minorHAnsi" w:hAnsiTheme="minorHAnsi" w:cstheme="minorHAnsi"/>
          <w:sz w:val="24"/>
          <w:szCs w:val="24"/>
        </w:rPr>
        <w:t xml:space="preserve">žádosti o poskytnutí dotace nebyl naplněn, jinými slovy </w:t>
      </w:r>
      <w:r w:rsidR="00E7501E">
        <w:rPr>
          <w:rFonts w:asciiTheme="minorHAnsi" w:hAnsiTheme="minorHAnsi" w:cstheme="minorHAnsi"/>
          <w:sz w:val="24"/>
          <w:szCs w:val="24"/>
        </w:rPr>
        <w:t xml:space="preserve">projekt </w:t>
      </w:r>
      <w:r w:rsidR="00E7501E" w:rsidRPr="00CF4AC1">
        <w:rPr>
          <w:rFonts w:asciiTheme="minorHAnsi" w:hAnsiTheme="minorHAnsi" w:cstheme="minorHAnsi"/>
          <w:i/>
          <w:sz w:val="24"/>
          <w:szCs w:val="24"/>
        </w:rPr>
        <w:t>Nové divadl</w:t>
      </w:r>
      <w:r w:rsidR="00F90CB0" w:rsidRPr="00CF4AC1">
        <w:rPr>
          <w:rFonts w:asciiTheme="minorHAnsi" w:hAnsiTheme="minorHAnsi" w:cstheme="minorHAnsi"/>
          <w:i/>
          <w:sz w:val="24"/>
          <w:szCs w:val="24"/>
        </w:rPr>
        <w:t>o</w:t>
      </w:r>
      <w:r w:rsidR="00E7501E">
        <w:rPr>
          <w:rFonts w:asciiTheme="minorHAnsi" w:hAnsiTheme="minorHAnsi" w:cstheme="minorHAnsi"/>
          <w:sz w:val="24"/>
          <w:szCs w:val="24"/>
        </w:rPr>
        <w:t xml:space="preserve"> nebyl realizován</w:t>
      </w:r>
      <w:r w:rsidRPr="005617F9">
        <w:rPr>
          <w:rFonts w:asciiTheme="minorHAnsi" w:hAnsiTheme="minorHAnsi" w:cstheme="minorHAnsi"/>
          <w:sz w:val="24"/>
          <w:szCs w:val="24"/>
        </w:rPr>
        <w:t xml:space="preserve"> </w:t>
      </w:r>
      <w:r w:rsidR="00E7501E">
        <w:rPr>
          <w:rFonts w:asciiTheme="minorHAnsi" w:hAnsiTheme="minorHAnsi" w:cstheme="minorHAnsi"/>
          <w:sz w:val="24"/>
          <w:szCs w:val="24"/>
        </w:rPr>
        <w:t>podle dokumentace doložené</w:t>
      </w:r>
      <w:r w:rsidRPr="005617F9">
        <w:rPr>
          <w:rFonts w:asciiTheme="minorHAnsi" w:hAnsiTheme="minorHAnsi" w:cstheme="minorHAnsi"/>
          <w:sz w:val="24"/>
          <w:szCs w:val="24"/>
        </w:rPr>
        <w:t xml:space="preserve"> k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5617F9">
        <w:rPr>
          <w:rFonts w:asciiTheme="minorHAnsi" w:hAnsiTheme="minorHAnsi" w:cstheme="minorHAnsi"/>
          <w:sz w:val="24"/>
          <w:szCs w:val="24"/>
        </w:rPr>
        <w:t xml:space="preserve">žádosti o poskytnutí dotace. </w:t>
      </w:r>
    </w:p>
    <w:p w14:paraId="66A2D6F9" w14:textId="77777777" w:rsidR="006B4DFE" w:rsidRPr="005617F9" w:rsidRDefault="006B4DFE" w:rsidP="006B4DFE">
      <w:pPr>
        <w:tabs>
          <w:tab w:val="right" w:pos="9072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E67BE40" w14:textId="1D1E0C23" w:rsidR="00B8015D" w:rsidRDefault="00B8015D" w:rsidP="006B4DFE">
      <w:pPr>
        <w:spacing w:before="0" w:after="0"/>
        <w:rPr>
          <w:rFonts w:asciiTheme="minorHAnsi" w:hAnsiTheme="minorHAnsi" w:cs="Calibri"/>
          <w:b/>
          <w:bCs/>
          <w:sz w:val="24"/>
          <w:szCs w:val="24"/>
          <w:lang w:eastAsia="cs-CZ"/>
        </w:rPr>
      </w:pPr>
      <w:r w:rsidRPr="00B8015D">
        <w:rPr>
          <w:rFonts w:asciiTheme="minorHAnsi" w:hAnsiTheme="minorHAnsi" w:cs="Calibri"/>
          <w:b/>
          <w:bCs/>
          <w:sz w:val="24"/>
          <w:szCs w:val="24"/>
          <w:lang w:eastAsia="cs-CZ"/>
        </w:rPr>
        <w:t>NKÚ ne</w:t>
      </w:r>
      <w:r w:rsidR="00340B59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byl oprávněn </w:t>
      </w:r>
      <w:r w:rsidRPr="00B8015D">
        <w:rPr>
          <w:rFonts w:asciiTheme="minorHAnsi" w:hAnsiTheme="minorHAnsi" w:cs="Calibri"/>
          <w:b/>
          <w:bCs/>
          <w:sz w:val="24"/>
          <w:szCs w:val="24"/>
          <w:lang w:eastAsia="cs-CZ"/>
        </w:rPr>
        <w:t>s</w:t>
      </w:r>
      <w:r w:rsidR="00AC319A">
        <w:rPr>
          <w:rFonts w:asciiTheme="minorHAnsi" w:hAnsiTheme="minorHAnsi" w:cs="Calibri"/>
          <w:b/>
          <w:bCs/>
          <w:sz w:val="24"/>
          <w:szCs w:val="24"/>
          <w:lang w:eastAsia="cs-CZ"/>
        </w:rPr>
        <w:t> </w:t>
      </w:r>
      <w:r w:rsidRPr="00B8015D">
        <w:rPr>
          <w:rFonts w:asciiTheme="minorHAnsi" w:hAnsiTheme="minorHAnsi" w:cs="Calibri"/>
          <w:b/>
          <w:bCs/>
          <w:sz w:val="24"/>
          <w:szCs w:val="24"/>
          <w:lang w:eastAsia="cs-CZ"/>
        </w:rPr>
        <w:t>ohledem na platné znění zákona o NKÚ provést v</w:t>
      </w:r>
      <w:r w:rsidR="00AC319A">
        <w:rPr>
          <w:rFonts w:asciiTheme="minorHAnsi" w:hAnsiTheme="minorHAnsi" w:cs="Calibri"/>
          <w:b/>
          <w:bCs/>
          <w:sz w:val="24"/>
          <w:szCs w:val="24"/>
          <w:lang w:eastAsia="cs-CZ"/>
        </w:rPr>
        <w:t> </w:t>
      </w:r>
      <w:r w:rsidRPr="00B8015D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rámci projektu </w:t>
      </w:r>
      <w:r w:rsidRPr="00CF4AC1">
        <w:rPr>
          <w:rFonts w:asciiTheme="minorHAnsi" w:hAnsiTheme="minorHAnsi" w:cs="Calibri"/>
          <w:b/>
          <w:bCs/>
          <w:i/>
          <w:sz w:val="24"/>
          <w:szCs w:val="24"/>
          <w:lang w:eastAsia="cs-CZ"/>
        </w:rPr>
        <w:t>Nové divadl</w:t>
      </w:r>
      <w:r w:rsidR="00F90CB0" w:rsidRPr="00CF4AC1">
        <w:rPr>
          <w:rFonts w:asciiTheme="minorHAnsi" w:hAnsiTheme="minorHAnsi" w:cs="Calibri"/>
          <w:b/>
          <w:bCs/>
          <w:i/>
          <w:sz w:val="24"/>
          <w:szCs w:val="24"/>
          <w:lang w:eastAsia="cs-CZ"/>
        </w:rPr>
        <w:t>o</w:t>
      </w:r>
      <w:r w:rsidRPr="00B8015D">
        <w:rPr>
          <w:rFonts w:asciiTheme="minorHAnsi" w:hAnsiTheme="minorHAnsi" w:cs="Calibri"/>
          <w:b/>
          <w:bCs/>
          <w:sz w:val="24"/>
          <w:szCs w:val="24"/>
          <w:lang w:eastAsia="cs-CZ"/>
        </w:rPr>
        <w:t xml:space="preserve"> kontrolu 75 % výdajů.</w:t>
      </w:r>
    </w:p>
    <w:p w14:paraId="18BB5B1B" w14:textId="77777777" w:rsidR="006B4DFE" w:rsidRPr="006B4DFE" w:rsidRDefault="006B4DFE" w:rsidP="006B4DFE">
      <w:pPr>
        <w:spacing w:before="0" w:after="0"/>
        <w:rPr>
          <w:rFonts w:asciiTheme="minorHAnsi" w:hAnsiTheme="minorHAnsi" w:cs="Calibri"/>
          <w:bCs/>
          <w:sz w:val="24"/>
          <w:szCs w:val="24"/>
          <w:lang w:eastAsia="cs-CZ"/>
        </w:rPr>
      </w:pPr>
    </w:p>
    <w:p w14:paraId="702007C2" w14:textId="77777777" w:rsidR="00BD760B" w:rsidRDefault="00BD760B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7D6943E" w14:textId="77777777" w:rsidR="00BD760B" w:rsidRDefault="00BD760B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86AC103" w14:textId="1428D811" w:rsidR="00171F6A" w:rsidRPr="00AC319A" w:rsidRDefault="00AC319A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6. </w:t>
      </w:r>
      <w:r w:rsidR="00171F6A" w:rsidRPr="00AC319A">
        <w:rPr>
          <w:rFonts w:asciiTheme="minorHAnsi" w:hAnsiTheme="minorHAnsi" w:cstheme="minorHAnsi"/>
          <w:b/>
          <w:color w:val="000000"/>
          <w:sz w:val="24"/>
          <w:szCs w:val="24"/>
        </w:rPr>
        <w:t>Zadávací řízení</w:t>
      </w:r>
      <w:r w:rsidR="00711235" w:rsidRPr="00AC31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 nesrovnalosti</w:t>
      </w:r>
    </w:p>
    <w:p w14:paraId="2A584E2A" w14:textId="77777777" w:rsidR="006B4DFE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0204746E" w14:textId="6E417F6B" w:rsidR="009E6AC1" w:rsidRDefault="009E6AC1" w:rsidP="006B4DFE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Kontrola NKÚ prověřila </w:t>
      </w:r>
      <w:r w:rsidR="00D14DE4"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celkem </w:t>
      </w:r>
      <w:r w:rsidR="00A2656A" w:rsidRPr="007B2498">
        <w:rPr>
          <w:rFonts w:asciiTheme="minorHAnsi" w:hAnsiTheme="minorHAnsi" w:cstheme="minorHAnsi"/>
          <w:sz w:val="24"/>
          <w:szCs w:val="24"/>
          <w:lang w:eastAsia="cs-CZ"/>
        </w:rPr>
        <w:t>20</w:t>
      </w:r>
      <w:r w:rsidR="00D14DE4"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 veřejných zakázek, z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D14DE4" w:rsidRPr="007B2498">
        <w:rPr>
          <w:rFonts w:asciiTheme="minorHAnsi" w:hAnsiTheme="minorHAnsi" w:cstheme="minorHAnsi"/>
          <w:sz w:val="24"/>
          <w:szCs w:val="24"/>
          <w:lang w:eastAsia="cs-CZ"/>
        </w:rPr>
        <w:t>toho čtyři zadané v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D14DE4"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otevřeném řízení, </w:t>
      </w:r>
      <w:r w:rsidR="00A2656A" w:rsidRPr="007B2498">
        <w:rPr>
          <w:rFonts w:asciiTheme="minorHAnsi" w:hAnsiTheme="minorHAnsi" w:cstheme="minorHAnsi"/>
          <w:sz w:val="24"/>
          <w:szCs w:val="24"/>
          <w:lang w:eastAsia="cs-CZ"/>
        </w:rPr>
        <w:t>12</w:t>
      </w:r>
      <w:r w:rsidR="00D14DE4"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 v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D14DE4"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jednacím řízení bez uveřejnění a </w:t>
      </w:r>
      <w:r w:rsidR="00A2656A" w:rsidRPr="007B2498">
        <w:rPr>
          <w:rFonts w:asciiTheme="minorHAnsi" w:hAnsiTheme="minorHAnsi" w:cstheme="minorHAnsi"/>
          <w:sz w:val="24"/>
          <w:szCs w:val="24"/>
          <w:lang w:eastAsia="cs-CZ"/>
        </w:rPr>
        <w:t>čtyři veřejné zakázky</w:t>
      </w:r>
      <w:r w:rsidR="00D14DE4"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 malého rozsahu.</w:t>
      </w:r>
    </w:p>
    <w:p w14:paraId="3E7BB194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D32ED0E" w14:textId="42C96494" w:rsidR="00D14DE4" w:rsidRDefault="00D14DE4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sz w:val="24"/>
          <w:szCs w:val="24"/>
          <w:lang w:eastAsia="cs-CZ"/>
        </w:rPr>
        <w:t>Významné nedostatky v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Pr="007B2498">
        <w:rPr>
          <w:rFonts w:asciiTheme="minorHAnsi" w:hAnsiTheme="minorHAnsi" w:cstheme="minorHAnsi"/>
          <w:sz w:val="24"/>
          <w:szCs w:val="24"/>
          <w:lang w:eastAsia="cs-CZ"/>
        </w:rPr>
        <w:t>zadávacích řízeních zjistil v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Pr="007B2498">
        <w:rPr>
          <w:rFonts w:asciiTheme="minorHAnsi" w:hAnsiTheme="minorHAnsi" w:cstheme="minorHAnsi"/>
          <w:sz w:val="24"/>
          <w:szCs w:val="24"/>
          <w:lang w:eastAsia="cs-CZ"/>
        </w:rPr>
        <w:t xml:space="preserve">rámci projektů </w:t>
      </w:r>
      <w:r w:rsidRPr="00CF4AC1">
        <w:rPr>
          <w:rFonts w:asciiTheme="minorHAnsi" w:hAnsiTheme="minorHAnsi" w:cstheme="minorHAnsi"/>
          <w:bCs/>
          <w:i/>
          <w:sz w:val="24"/>
          <w:szCs w:val="24"/>
        </w:rPr>
        <w:t>Nov</w:t>
      </w:r>
      <w:r w:rsidR="00F90CB0">
        <w:rPr>
          <w:rFonts w:asciiTheme="minorHAnsi" w:hAnsiTheme="minorHAnsi" w:cstheme="minorHAnsi"/>
          <w:bCs/>
          <w:i/>
          <w:sz w:val="24"/>
          <w:szCs w:val="24"/>
        </w:rPr>
        <w:t>é</w:t>
      </w:r>
      <w:r w:rsidRPr="00CF4AC1">
        <w:rPr>
          <w:rFonts w:asciiTheme="minorHAnsi" w:hAnsiTheme="minorHAnsi" w:cstheme="minorHAnsi"/>
          <w:bCs/>
          <w:i/>
          <w:sz w:val="24"/>
          <w:szCs w:val="24"/>
        </w:rPr>
        <w:t xml:space="preserve"> divadl</w:t>
      </w:r>
      <w:r w:rsidR="00F90CB0">
        <w:rPr>
          <w:rFonts w:asciiTheme="minorHAnsi" w:hAnsiTheme="minorHAnsi" w:cstheme="minorHAnsi"/>
          <w:bCs/>
          <w:i/>
          <w:sz w:val="24"/>
          <w:szCs w:val="24"/>
        </w:rPr>
        <w:t>o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a </w:t>
      </w:r>
      <w:proofErr w:type="spellStart"/>
      <w:r w:rsidRPr="00CF4AC1">
        <w:rPr>
          <w:rFonts w:asciiTheme="minorHAnsi" w:hAnsiTheme="minorHAnsi" w:cstheme="minorHAnsi"/>
          <w:bCs/>
          <w:i/>
          <w:sz w:val="24"/>
          <w:szCs w:val="24"/>
        </w:rPr>
        <w:t>Relax</w:t>
      </w:r>
      <w:proofErr w:type="spellEnd"/>
      <w:r w:rsidRPr="00CF4AC1">
        <w:rPr>
          <w:rFonts w:asciiTheme="minorHAnsi" w:hAnsiTheme="minorHAnsi" w:cstheme="minorHAnsi"/>
          <w:bCs/>
          <w:i/>
          <w:sz w:val="24"/>
          <w:szCs w:val="24"/>
        </w:rPr>
        <w:t xml:space="preserve"> centra Štruncovy sady</w:t>
      </w:r>
      <w:r w:rsidRPr="004E3A6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1668">
        <w:rPr>
          <w:rFonts w:asciiTheme="minorHAnsi" w:hAnsiTheme="minorHAnsi" w:cstheme="minorHAnsi"/>
          <w:sz w:val="24"/>
          <w:szCs w:val="24"/>
          <w:lang w:eastAsia="cs-CZ"/>
        </w:rPr>
        <w:t>a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uditní orgán (Ministerstvo financí). </w:t>
      </w:r>
      <w:r w:rsidR="005043D3" w:rsidRPr="004E3A66">
        <w:rPr>
          <w:rFonts w:asciiTheme="minorHAnsi" w:hAnsiTheme="minorHAnsi" w:cstheme="minorHAnsi"/>
          <w:sz w:val="24"/>
          <w:szCs w:val="24"/>
          <w:lang w:eastAsia="cs-CZ"/>
        </w:rPr>
        <w:t>RR stanovila v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důsledku 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vyčíslení </w:t>
      </w:r>
      <w:r w:rsidR="005C1B4D"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všech 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nedostatků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celkový 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>odvod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, resp. nesrovnalost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 (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krácení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 dotace)</w:t>
      </w:r>
      <w:r w:rsidR="00F90CB0">
        <w:rPr>
          <w:rFonts w:asciiTheme="minorHAnsi" w:hAnsiTheme="minorHAnsi" w:cstheme="minorHAnsi"/>
          <w:sz w:val="24"/>
          <w:szCs w:val="24"/>
          <w:lang w:eastAsia="cs-CZ"/>
        </w:rPr>
        <w:t>,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ve výši 65 064 025 Kč v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rámci projektu </w:t>
      </w:r>
      <w:r w:rsidR="00924E87" w:rsidRPr="00CF4AC1">
        <w:rPr>
          <w:rFonts w:asciiTheme="minorHAnsi" w:hAnsiTheme="minorHAnsi" w:cstheme="minorHAnsi"/>
          <w:bCs/>
          <w:i/>
          <w:sz w:val="24"/>
          <w:szCs w:val="24"/>
        </w:rPr>
        <w:t>Nov</w:t>
      </w:r>
      <w:r w:rsidR="00F90CB0">
        <w:rPr>
          <w:rFonts w:asciiTheme="minorHAnsi" w:hAnsiTheme="minorHAnsi" w:cstheme="minorHAnsi"/>
          <w:bCs/>
          <w:i/>
          <w:sz w:val="24"/>
          <w:szCs w:val="24"/>
        </w:rPr>
        <w:t>é</w:t>
      </w:r>
      <w:r w:rsidR="00924E87" w:rsidRPr="00CF4AC1">
        <w:rPr>
          <w:rFonts w:asciiTheme="minorHAnsi" w:hAnsiTheme="minorHAnsi" w:cstheme="minorHAnsi"/>
          <w:bCs/>
          <w:i/>
          <w:sz w:val="24"/>
          <w:szCs w:val="24"/>
        </w:rPr>
        <w:t xml:space="preserve"> divadl</w:t>
      </w:r>
      <w:r w:rsidR="00F90CB0">
        <w:rPr>
          <w:rFonts w:asciiTheme="minorHAnsi" w:hAnsiTheme="minorHAnsi" w:cstheme="minorHAnsi"/>
          <w:bCs/>
          <w:i/>
          <w:sz w:val="24"/>
          <w:szCs w:val="24"/>
        </w:rPr>
        <w:t>o</w:t>
      </w:r>
      <w:r w:rsidR="00924E87" w:rsidRPr="004E3A6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a </w:t>
      </w:r>
      <w:r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ve výši 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9 933</w:t>
      </w:r>
      <w:r w:rsidR="005C1B4D" w:rsidRPr="004E3A66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379</w:t>
      </w:r>
      <w:r w:rsidR="005C1B4D" w:rsidRPr="004E3A66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711235"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Kč 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>v</w:t>
      </w:r>
      <w:r w:rsidR="00AC319A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924E87" w:rsidRPr="004E3A66">
        <w:rPr>
          <w:rFonts w:asciiTheme="minorHAnsi" w:hAnsiTheme="minorHAnsi" w:cstheme="minorHAnsi"/>
          <w:sz w:val="24"/>
          <w:szCs w:val="24"/>
          <w:lang w:eastAsia="cs-CZ"/>
        </w:rPr>
        <w:t xml:space="preserve">rámci projektu </w:t>
      </w:r>
      <w:proofErr w:type="spellStart"/>
      <w:r w:rsidR="00924E87" w:rsidRPr="00CF4AC1">
        <w:rPr>
          <w:rFonts w:asciiTheme="minorHAnsi" w:hAnsiTheme="minorHAnsi" w:cstheme="minorHAnsi"/>
          <w:bCs/>
          <w:i/>
          <w:sz w:val="24"/>
          <w:szCs w:val="24"/>
        </w:rPr>
        <w:t>Relax</w:t>
      </w:r>
      <w:proofErr w:type="spellEnd"/>
      <w:r w:rsidR="00924E87" w:rsidRPr="00CF4AC1">
        <w:rPr>
          <w:rFonts w:asciiTheme="minorHAnsi" w:hAnsiTheme="minorHAnsi" w:cstheme="minorHAnsi"/>
          <w:bCs/>
          <w:i/>
          <w:sz w:val="24"/>
          <w:szCs w:val="24"/>
        </w:rPr>
        <w:t xml:space="preserve"> centrum Štruncovy sady</w:t>
      </w:r>
      <w:r w:rsidR="00924E87" w:rsidRPr="004E3A66">
        <w:rPr>
          <w:rFonts w:asciiTheme="minorHAnsi" w:hAnsiTheme="minorHAnsi" w:cstheme="minorHAnsi"/>
          <w:bCs/>
          <w:sz w:val="24"/>
          <w:szCs w:val="24"/>
        </w:rPr>
        <w:t>.</w:t>
      </w:r>
    </w:p>
    <w:p w14:paraId="2634465A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FF3621E" w14:textId="15A865C8" w:rsidR="009E6AC1" w:rsidRDefault="00D14DE4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B2498">
        <w:rPr>
          <w:rFonts w:asciiTheme="minorHAnsi" w:hAnsiTheme="minorHAnsi" w:cstheme="minorHAnsi"/>
          <w:sz w:val="24"/>
          <w:szCs w:val="24"/>
        </w:rPr>
        <w:t>NKÚ zjistil několik dalších nedostatků v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>procesu zadávání veřejných zakázek. V</w:t>
      </w:r>
      <w:r w:rsidR="00AC319A">
        <w:rPr>
          <w:rFonts w:asciiTheme="minorHAnsi" w:hAnsiTheme="minorHAnsi" w:cstheme="minorHAnsi"/>
          <w:sz w:val="24"/>
          <w:szCs w:val="24"/>
        </w:rPr>
        <w:t> </w:t>
      </w:r>
      <w:r w:rsidRPr="007B2498">
        <w:rPr>
          <w:rFonts w:asciiTheme="minorHAnsi" w:hAnsiTheme="minorHAnsi" w:cstheme="minorHAnsi"/>
          <w:sz w:val="24"/>
          <w:szCs w:val="24"/>
        </w:rPr>
        <w:t xml:space="preserve">případě projektu </w:t>
      </w:r>
      <w:r w:rsidRPr="00CF4AC1">
        <w:rPr>
          <w:rFonts w:asciiTheme="minorHAnsi" w:hAnsiTheme="minorHAnsi" w:cstheme="minorHAnsi"/>
          <w:i/>
          <w:sz w:val="24"/>
          <w:szCs w:val="24"/>
        </w:rPr>
        <w:t>Nov</w:t>
      </w:r>
      <w:r w:rsidR="00F90CB0">
        <w:rPr>
          <w:rFonts w:asciiTheme="minorHAnsi" w:hAnsiTheme="minorHAnsi" w:cstheme="minorHAnsi"/>
          <w:i/>
          <w:sz w:val="24"/>
          <w:szCs w:val="24"/>
        </w:rPr>
        <w:t>é</w:t>
      </w:r>
      <w:r w:rsidR="009E6AC1" w:rsidRPr="00CF4AC1">
        <w:rPr>
          <w:rFonts w:asciiTheme="minorHAnsi" w:hAnsiTheme="minorHAnsi" w:cstheme="minorHAnsi"/>
          <w:i/>
          <w:sz w:val="24"/>
          <w:szCs w:val="24"/>
        </w:rPr>
        <w:t xml:space="preserve"> divadl</w:t>
      </w:r>
      <w:r w:rsidR="00F90CB0">
        <w:rPr>
          <w:rFonts w:asciiTheme="minorHAnsi" w:hAnsiTheme="minorHAnsi" w:cstheme="minorHAnsi"/>
          <w:i/>
          <w:sz w:val="24"/>
          <w:szCs w:val="24"/>
        </w:rPr>
        <w:t>o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 nepostupovalo </w:t>
      </w:r>
      <w:r w:rsidRPr="007B2498">
        <w:rPr>
          <w:rFonts w:asciiTheme="minorHAnsi" w:hAnsiTheme="minorHAnsi" w:cstheme="minorHAnsi"/>
          <w:sz w:val="24"/>
          <w:szCs w:val="24"/>
        </w:rPr>
        <w:t xml:space="preserve">město Plzeň 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při přezkoumání námitek jednoho ze stěžovatelů podle </w:t>
      </w:r>
      <w:r w:rsidRPr="007B2498">
        <w:rPr>
          <w:rFonts w:asciiTheme="minorHAnsi" w:hAnsiTheme="minorHAnsi" w:cstheme="minorHAnsi"/>
          <w:sz w:val="24"/>
          <w:szCs w:val="24"/>
        </w:rPr>
        <w:t>zákona</w:t>
      </w:r>
      <w:r w:rsidR="00F90CB0">
        <w:rPr>
          <w:rFonts w:asciiTheme="minorHAnsi" w:hAnsiTheme="minorHAnsi" w:cstheme="minorHAnsi"/>
          <w:sz w:val="24"/>
          <w:szCs w:val="24"/>
        </w:rPr>
        <w:t>, neboť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 </w:t>
      </w:r>
      <w:r w:rsidR="00A2656A" w:rsidRPr="007B2498">
        <w:rPr>
          <w:rFonts w:asciiTheme="minorHAnsi" w:hAnsiTheme="minorHAnsi" w:cstheme="minorHAnsi"/>
          <w:sz w:val="24"/>
          <w:szCs w:val="24"/>
        </w:rPr>
        <w:t>ve stanovené lhůtě neod</w:t>
      </w:r>
      <w:r w:rsidR="006C6CD0">
        <w:rPr>
          <w:rFonts w:asciiTheme="minorHAnsi" w:hAnsiTheme="minorHAnsi" w:cstheme="minorHAnsi"/>
          <w:sz w:val="24"/>
          <w:szCs w:val="24"/>
        </w:rPr>
        <w:t>eslalo stěžovateli rozhodnutí o </w:t>
      </w:r>
      <w:r w:rsidR="009E6AC1" w:rsidRPr="007B2498">
        <w:rPr>
          <w:rFonts w:asciiTheme="minorHAnsi" w:hAnsiTheme="minorHAnsi" w:cstheme="minorHAnsi"/>
          <w:sz w:val="24"/>
          <w:szCs w:val="24"/>
        </w:rPr>
        <w:t>tom, že námitkám nevyhovuje, a </w:t>
      </w:r>
      <w:r w:rsidR="00A2656A" w:rsidRPr="007B2498">
        <w:rPr>
          <w:rFonts w:asciiTheme="minorHAnsi" w:hAnsiTheme="minorHAnsi" w:cstheme="minorHAnsi"/>
          <w:sz w:val="24"/>
          <w:szCs w:val="24"/>
        </w:rPr>
        <w:t xml:space="preserve">neuvědomilo stěžovatele 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o možnosti podat návrh na zahájení řízení o přezkoumání úkonů zadavatele. </w:t>
      </w:r>
      <w:r w:rsidR="00A2656A" w:rsidRPr="007B2498">
        <w:rPr>
          <w:rFonts w:asciiTheme="minorHAnsi" w:hAnsiTheme="minorHAnsi" w:cstheme="minorHAnsi"/>
          <w:sz w:val="24"/>
          <w:szCs w:val="24"/>
        </w:rPr>
        <w:t>Město Plzeň d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ále </w:t>
      </w:r>
      <w:r w:rsidR="00A2656A" w:rsidRPr="007B2498">
        <w:rPr>
          <w:rFonts w:asciiTheme="minorHAnsi" w:hAnsiTheme="minorHAnsi" w:cstheme="minorHAnsi"/>
          <w:sz w:val="24"/>
          <w:szCs w:val="24"/>
        </w:rPr>
        <w:t>nedodrželo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 </w:t>
      </w:r>
      <w:r w:rsidR="006C6CD0">
        <w:rPr>
          <w:rFonts w:asciiTheme="minorHAnsi" w:hAnsiTheme="minorHAnsi" w:cstheme="minorHAnsi"/>
          <w:sz w:val="24"/>
          <w:szCs w:val="24"/>
        </w:rPr>
        <w:t>zákon</w:t>
      </w:r>
      <w:r w:rsidR="00A2656A" w:rsidRPr="007B2498">
        <w:rPr>
          <w:rFonts w:asciiTheme="minorHAnsi" w:hAnsiTheme="minorHAnsi" w:cstheme="minorHAnsi"/>
          <w:sz w:val="24"/>
          <w:szCs w:val="24"/>
        </w:rPr>
        <w:t xml:space="preserve"> tím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, </w:t>
      </w:r>
      <w:r w:rsidR="00A2656A" w:rsidRPr="007B2498">
        <w:rPr>
          <w:rFonts w:asciiTheme="minorHAnsi" w:hAnsiTheme="minorHAnsi" w:cstheme="minorHAnsi"/>
          <w:sz w:val="24"/>
          <w:szCs w:val="24"/>
        </w:rPr>
        <w:t>že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 neuvolnilo peněžní </w:t>
      </w:r>
      <w:r w:rsidR="00891668">
        <w:rPr>
          <w:rFonts w:asciiTheme="minorHAnsi" w:hAnsiTheme="minorHAnsi" w:cstheme="minorHAnsi"/>
          <w:sz w:val="24"/>
          <w:szCs w:val="24"/>
        </w:rPr>
        <w:t>jistinu</w:t>
      </w:r>
      <w:r w:rsidR="009E6AC1" w:rsidRPr="007B2498">
        <w:rPr>
          <w:rFonts w:asciiTheme="minorHAnsi" w:hAnsiTheme="minorHAnsi" w:cstheme="minorHAnsi"/>
          <w:sz w:val="24"/>
          <w:szCs w:val="24"/>
        </w:rPr>
        <w:t xml:space="preserve"> některých uchazečů </w:t>
      </w:r>
      <w:r w:rsidR="004460E7" w:rsidRPr="007B2498">
        <w:rPr>
          <w:rFonts w:asciiTheme="minorHAnsi" w:hAnsiTheme="minorHAnsi" w:cstheme="minorHAnsi"/>
          <w:sz w:val="24"/>
          <w:szCs w:val="24"/>
        </w:rPr>
        <w:t>ve stanovené lhůtě</w:t>
      </w:r>
      <w:r w:rsidR="006C6CD0">
        <w:rPr>
          <w:rFonts w:asciiTheme="minorHAnsi" w:hAnsiTheme="minorHAnsi" w:cstheme="minorHAnsi"/>
          <w:sz w:val="24"/>
          <w:szCs w:val="24"/>
        </w:rPr>
        <w:t>.</w:t>
      </w:r>
    </w:p>
    <w:p w14:paraId="45F369F2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7082804" w14:textId="359FDB73" w:rsidR="009E6AC1" w:rsidRDefault="009E6AC1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V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="004460E7" w:rsidRPr="007B2498">
        <w:rPr>
          <w:rFonts w:asciiTheme="minorHAnsi" w:hAnsiTheme="minorHAnsi" w:cstheme="minorHAnsi"/>
          <w:bCs/>
          <w:sz w:val="24"/>
          <w:szCs w:val="24"/>
        </w:rPr>
        <w:t>rámci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projektu </w:t>
      </w:r>
      <w:proofErr w:type="spellStart"/>
      <w:proofErr w:type="gramStart"/>
      <w:r w:rsidRPr="00CF4AC1">
        <w:rPr>
          <w:rFonts w:asciiTheme="minorHAnsi" w:hAnsiTheme="minorHAnsi" w:cstheme="minorHAnsi"/>
          <w:bCs/>
          <w:i/>
          <w:sz w:val="24"/>
          <w:szCs w:val="24"/>
        </w:rPr>
        <w:t>Relax</w:t>
      </w:r>
      <w:proofErr w:type="spellEnd"/>
      <w:proofErr w:type="gramEnd"/>
      <w:r w:rsidRPr="00CF4AC1">
        <w:rPr>
          <w:rFonts w:asciiTheme="minorHAnsi" w:hAnsiTheme="minorHAnsi" w:cstheme="minorHAnsi"/>
          <w:bCs/>
          <w:i/>
          <w:sz w:val="24"/>
          <w:szCs w:val="24"/>
        </w:rPr>
        <w:t xml:space="preserve"> centrum Štruncovy sady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nedodrželo </w:t>
      </w:r>
      <w:r w:rsidR="004460E7" w:rsidRPr="007B2498">
        <w:rPr>
          <w:rFonts w:asciiTheme="minorHAnsi" w:hAnsiTheme="minorHAnsi" w:cstheme="minorHAnsi"/>
          <w:bCs/>
          <w:sz w:val="24"/>
          <w:szCs w:val="24"/>
        </w:rPr>
        <w:t xml:space="preserve">město Plzeň </w:t>
      </w:r>
      <w:proofErr w:type="gramStart"/>
      <w:r w:rsidR="00EC07CB">
        <w:rPr>
          <w:rFonts w:asciiTheme="minorHAnsi" w:hAnsiTheme="minorHAnsi" w:cstheme="minorHAnsi"/>
          <w:sz w:val="24"/>
          <w:szCs w:val="24"/>
        </w:rPr>
        <w:t>zákon</w:t>
      </w:r>
      <w:proofErr w:type="gramEnd"/>
      <w:r w:rsidR="004460E7" w:rsidRPr="007B2498">
        <w:rPr>
          <w:rFonts w:asciiTheme="minorHAnsi" w:hAnsiTheme="minorHAnsi" w:cstheme="minorHAnsi"/>
          <w:sz w:val="24"/>
          <w:szCs w:val="24"/>
        </w:rPr>
        <w:t xml:space="preserve"> tím, že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odeslalo oznámení o zadání zakázky k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uveřejnění </w:t>
      </w:r>
      <w:r w:rsidR="004460E7" w:rsidRPr="007B2498">
        <w:rPr>
          <w:rFonts w:asciiTheme="minorHAnsi" w:hAnsiTheme="minorHAnsi" w:cstheme="minorHAnsi"/>
          <w:bCs/>
          <w:sz w:val="24"/>
          <w:szCs w:val="24"/>
        </w:rPr>
        <w:t>s</w:t>
      </w:r>
      <w:r w:rsidR="00AC319A">
        <w:rPr>
          <w:rFonts w:asciiTheme="minorHAnsi" w:hAnsiTheme="minorHAnsi" w:cstheme="minorHAnsi"/>
          <w:bCs/>
          <w:sz w:val="24"/>
          <w:szCs w:val="24"/>
        </w:rPr>
        <w:t> </w:t>
      </w:r>
      <w:r w:rsidR="004460E7" w:rsidRPr="007B2498">
        <w:rPr>
          <w:rFonts w:asciiTheme="minorHAnsi" w:hAnsiTheme="minorHAnsi" w:cstheme="minorHAnsi"/>
          <w:bCs/>
          <w:sz w:val="24"/>
          <w:szCs w:val="24"/>
        </w:rPr>
        <w:t>více než ročním zpožděním.</w:t>
      </w:r>
    </w:p>
    <w:p w14:paraId="6F590A77" w14:textId="77777777" w:rsidR="006B4DFE" w:rsidRPr="007B2498" w:rsidRDefault="006B4DFE" w:rsidP="006B4DFE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27B6B5B" w14:textId="50B2957B" w:rsidR="00171F6A" w:rsidRPr="00AC319A" w:rsidRDefault="00AC319A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7. </w:t>
      </w:r>
      <w:r w:rsidR="00370C6A" w:rsidRPr="00AC319A">
        <w:rPr>
          <w:rFonts w:asciiTheme="minorHAnsi" w:hAnsiTheme="minorHAnsi" w:cstheme="minorHAnsi"/>
          <w:b/>
          <w:color w:val="000000"/>
          <w:sz w:val="24"/>
          <w:szCs w:val="24"/>
        </w:rPr>
        <w:t>Další zjištěné skutečnosti</w:t>
      </w:r>
    </w:p>
    <w:p w14:paraId="7F9AC3DE" w14:textId="77777777" w:rsidR="006B4DFE" w:rsidRDefault="006B4DFE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</w:pPr>
    </w:p>
    <w:p w14:paraId="322CBBBA" w14:textId="5D55627A" w:rsidR="000129E7" w:rsidRDefault="000129E7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7B2498"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  <w:t xml:space="preserve">Město Plzeň bylo v důsledku uzavření smlouvy o poskytnutí dotace povinno dodržovat pravidla </w:t>
      </w:r>
      <w:r w:rsidR="000220C3" w:rsidRPr="007B2498"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  <w:t>a </w:t>
      </w:r>
      <w:r w:rsidRPr="007B2498"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  <w:t xml:space="preserve">podmínky stanovené RR. Město Plzeň bylo povinno oznamovat jakékoliv změny </w:t>
      </w:r>
      <w:r w:rsidR="000220C3" w:rsidRPr="007B2498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 </w:t>
      </w:r>
      <w:r w:rsidRPr="007B2498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projektu, ke kterým v průběhu realizace došlo, a to ve stanovených lhůtách – do pěti pracovních dnů od vzniku změny, kterou nebylo možné předvídat a </w:t>
      </w:r>
      <w:r w:rsidR="000220C3" w:rsidRPr="007B2498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u předvídatelných</w:t>
      </w:r>
      <w:r w:rsidR="000220C3" w:rsidRPr="007B2498"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  <w:t xml:space="preserve"> </w:t>
      </w:r>
      <w:r w:rsidR="000220C3" w:rsidRPr="007B2498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změn </w:t>
      </w:r>
      <w:r w:rsidRPr="007B2498"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  <w:t>nejpozději 15 pracovních dn</w:t>
      </w:r>
      <w:r w:rsidR="00F90CB0"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  <w:t>ů</w:t>
      </w:r>
      <w:r w:rsidRPr="007B2498">
        <w:rPr>
          <w:rFonts w:asciiTheme="minorHAnsi" w:hAnsiTheme="minorHAnsi" w:cstheme="minorHAnsi"/>
          <w:bCs/>
          <w:color w:val="000000"/>
          <w:sz w:val="24"/>
          <w:szCs w:val="24"/>
          <w:lang w:eastAsia="cs-CZ"/>
        </w:rPr>
        <w:t xml:space="preserve"> </w:t>
      </w:r>
      <w:r w:rsidRPr="007B2498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předtím, než mohla změna v projektu reálně nastat.</w:t>
      </w:r>
    </w:p>
    <w:p w14:paraId="7F912DE6" w14:textId="77777777" w:rsidR="006B4DFE" w:rsidRPr="007B2498" w:rsidRDefault="006B4DFE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14:paraId="3E3B720E" w14:textId="620B29C6" w:rsidR="00171F6A" w:rsidRDefault="000220C3" w:rsidP="006B4DFE">
      <w:pPr>
        <w:autoSpaceDE w:val="0"/>
        <w:autoSpaceDN w:val="0"/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7B2498">
        <w:rPr>
          <w:rFonts w:asciiTheme="minorHAnsi" w:hAnsiTheme="minorHAnsi" w:cstheme="minorHAnsi"/>
          <w:bCs/>
          <w:sz w:val="24"/>
          <w:szCs w:val="24"/>
        </w:rPr>
        <w:t>Kontrola NKÚ zjistila nedostatky v řádném oznamování změn u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 všech 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kontrolovaných realizovaných 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>projektů</w:t>
      </w:r>
      <w:r w:rsidRPr="007B2498">
        <w:rPr>
          <w:rFonts w:asciiTheme="minorHAnsi" w:hAnsiTheme="minorHAnsi" w:cstheme="minorHAnsi"/>
          <w:bCs/>
          <w:sz w:val="24"/>
          <w:szCs w:val="24"/>
        </w:rPr>
        <w:t>.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2498">
        <w:rPr>
          <w:rFonts w:asciiTheme="minorHAnsi" w:hAnsiTheme="minorHAnsi" w:cstheme="minorHAnsi"/>
          <w:bCs/>
          <w:sz w:val="24"/>
          <w:szCs w:val="24"/>
        </w:rPr>
        <w:t>Město Plzeň v několika případech neoznámilo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změny v projektech 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stanoveným způsobem a ve stanovených </w:t>
      </w:r>
      <w:r w:rsidRPr="007B2498">
        <w:rPr>
          <w:rFonts w:asciiTheme="minorHAnsi" w:hAnsiTheme="minorHAnsi" w:cstheme="minorHAnsi"/>
          <w:bCs/>
          <w:sz w:val="24"/>
          <w:szCs w:val="24"/>
        </w:rPr>
        <w:t>lhůtách. V n</w:t>
      </w:r>
      <w:r w:rsidR="00B978DA">
        <w:rPr>
          <w:rFonts w:asciiTheme="minorHAnsi" w:hAnsiTheme="minorHAnsi" w:cstheme="minorHAnsi"/>
          <w:bCs/>
          <w:sz w:val="24"/>
          <w:szCs w:val="24"/>
        </w:rPr>
        <w:t>ěkterých případech se jednalo o </w:t>
      </w:r>
      <w:r w:rsidRPr="007B2498">
        <w:rPr>
          <w:rFonts w:asciiTheme="minorHAnsi" w:hAnsiTheme="minorHAnsi" w:cstheme="minorHAnsi"/>
          <w:bCs/>
          <w:sz w:val="24"/>
          <w:szCs w:val="24"/>
        </w:rPr>
        <w:t>zásadní změny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 projektu spočívající zejména ve změnách </w:t>
      </w:r>
      <w:r w:rsidR="0098051A" w:rsidRPr="007B2498">
        <w:rPr>
          <w:rFonts w:asciiTheme="minorHAnsi" w:hAnsiTheme="minorHAnsi" w:cstheme="minorHAnsi"/>
          <w:bCs/>
          <w:sz w:val="24"/>
          <w:szCs w:val="24"/>
        </w:rPr>
        <w:t xml:space="preserve">výše výdajů projektu a 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>termínů realizace staveb</w:t>
      </w:r>
      <w:r w:rsidRPr="007B2498">
        <w:rPr>
          <w:rFonts w:asciiTheme="minorHAnsi" w:hAnsiTheme="minorHAnsi" w:cstheme="minorHAnsi"/>
          <w:bCs/>
          <w:sz w:val="24"/>
          <w:szCs w:val="24"/>
        </w:rPr>
        <w:t>.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Kontrola NKÚ </w:t>
      </w:r>
      <w:r w:rsidR="0098051A" w:rsidRPr="007B2498">
        <w:rPr>
          <w:rFonts w:asciiTheme="minorHAnsi" w:hAnsiTheme="minorHAnsi" w:cstheme="minorHAnsi"/>
          <w:bCs/>
          <w:sz w:val="24"/>
          <w:szCs w:val="24"/>
        </w:rPr>
        <w:t xml:space="preserve">například 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zjistila, </w:t>
      </w:r>
      <w:r w:rsidR="0098051A" w:rsidRPr="007B2498">
        <w:rPr>
          <w:rFonts w:asciiTheme="minorHAnsi" w:hAnsiTheme="minorHAnsi" w:cstheme="minorHAnsi"/>
          <w:bCs/>
          <w:sz w:val="24"/>
          <w:szCs w:val="24"/>
        </w:rPr>
        <w:t>že</w:t>
      </w:r>
      <w:r w:rsidRPr="007B2498">
        <w:rPr>
          <w:rFonts w:asciiTheme="minorHAnsi" w:hAnsiTheme="minorHAnsi" w:cstheme="minorHAnsi"/>
          <w:bCs/>
          <w:sz w:val="24"/>
          <w:szCs w:val="24"/>
        </w:rPr>
        <w:t xml:space="preserve"> město Plzeň oznámilo </w:t>
      </w:r>
      <w:r w:rsidR="0098051A" w:rsidRPr="007B2498">
        <w:rPr>
          <w:rFonts w:asciiTheme="minorHAnsi" w:hAnsiTheme="minorHAnsi" w:cstheme="minorHAnsi"/>
          <w:bCs/>
          <w:sz w:val="24"/>
          <w:szCs w:val="24"/>
        </w:rPr>
        <w:t>změnu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051A" w:rsidRPr="007B2498">
        <w:rPr>
          <w:rFonts w:asciiTheme="minorHAnsi" w:hAnsiTheme="minorHAnsi" w:cstheme="minorHAnsi"/>
          <w:bCs/>
          <w:sz w:val="24"/>
          <w:szCs w:val="24"/>
        </w:rPr>
        <w:t>výše výdajů projektu</w:t>
      </w:r>
      <w:r w:rsidR="00C806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2E3F" w:rsidRPr="007B2498">
        <w:rPr>
          <w:rFonts w:asciiTheme="minorHAnsi" w:hAnsiTheme="minorHAnsi" w:cstheme="minorHAnsi"/>
          <w:bCs/>
          <w:sz w:val="24"/>
          <w:szCs w:val="24"/>
        </w:rPr>
        <w:t xml:space="preserve">více než rok po </w:t>
      </w:r>
      <w:r w:rsidRPr="007B2498">
        <w:rPr>
          <w:rFonts w:asciiTheme="minorHAnsi" w:hAnsiTheme="minorHAnsi" w:cstheme="minorHAnsi"/>
          <w:bCs/>
          <w:sz w:val="24"/>
          <w:szCs w:val="24"/>
        </w:rPr>
        <w:t>uskutečnění</w:t>
      </w:r>
      <w:r w:rsidR="00942086" w:rsidRPr="007B2498">
        <w:rPr>
          <w:rFonts w:asciiTheme="minorHAnsi" w:hAnsiTheme="minorHAnsi" w:cstheme="minorHAnsi"/>
          <w:bCs/>
          <w:sz w:val="24"/>
          <w:szCs w:val="24"/>
        </w:rPr>
        <w:t xml:space="preserve"> změny</w:t>
      </w:r>
      <w:r w:rsidRPr="007B2498">
        <w:rPr>
          <w:rFonts w:asciiTheme="minorHAnsi" w:hAnsiTheme="minorHAnsi" w:cstheme="minorHAnsi"/>
          <w:bCs/>
          <w:sz w:val="24"/>
          <w:szCs w:val="24"/>
        </w:rPr>
        <w:t>.</w:t>
      </w:r>
      <w:r w:rsidR="0098051A" w:rsidRPr="007B249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9F3F880" w14:textId="77777777" w:rsidR="006B4DFE" w:rsidRPr="007B2498" w:rsidRDefault="006B4DFE" w:rsidP="006B4DFE">
      <w:pPr>
        <w:autoSpaceDE w:val="0"/>
        <w:autoSpaceDN w:val="0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49730E4" w14:textId="7461B6C0" w:rsidR="00BB59D7" w:rsidRDefault="00DF220C" w:rsidP="006B4DFE">
      <w:pPr>
        <w:pStyle w:val="Normlnweb"/>
        <w:jc w:val="both"/>
        <w:rPr>
          <w:rFonts w:asciiTheme="minorHAnsi" w:hAnsiTheme="minorHAnsi" w:cstheme="minorHAnsi"/>
          <w:bCs/>
        </w:rPr>
      </w:pPr>
      <w:r w:rsidRPr="007B2498">
        <w:rPr>
          <w:rFonts w:asciiTheme="minorHAnsi" w:hAnsiTheme="minorHAnsi" w:cstheme="minorHAnsi"/>
          <w:bCs/>
        </w:rPr>
        <w:t>NKÚ kontrolou prověřil čerpání peněžních prostředků státního rozpočtu vyčleněných v rozpočtové kapitole MK</w:t>
      </w:r>
      <w:r w:rsidR="002C1F3F" w:rsidRPr="007B2498">
        <w:rPr>
          <w:rFonts w:asciiTheme="minorHAnsi" w:hAnsiTheme="minorHAnsi" w:cstheme="minorHAnsi"/>
          <w:bCs/>
        </w:rPr>
        <w:t xml:space="preserve"> v</w:t>
      </w:r>
      <w:r w:rsidR="00BB59D7" w:rsidRPr="007B2498">
        <w:rPr>
          <w:rFonts w:asciiTheme="minorHAnsi" w:hAnsiTheme="minorHAnsi" w:cstheme="minorHAnsi"/>
          <w:bCs/>
        </w:rPr>
        <w:t xml:space="preserve"> </w:t>
      </w:r>
      <w:r w:rsidR="002C1F3F" w:rsidRPr="007B2498">
        <w:rPr>
          <w:rFonts w:asciiTheme="minorHAnsi" w:hAnsiTheme="minorHAnsi" w:cstheme="minorHAnsi"/>
          <w:bCs/>
        </w:rPr>
        <w:t>letech 2012</w:t>
      </w:r>
      <w:r w:rsidR="00B978DA">
        <w:rPr>
          <w:rFonts w:asciiTheme="minorHAnsi" w:hAnsiTheme="minorHAnsi" w:cstheme="minorHAnsi"/>
          <w:bCs/>
        </w:rPr>
        <w:t>–</w:t>
      </w:r>
      <w:r w:rsidR="002C1F3F" w:rsidRPr="007B2498">
        <w:rPr>
          <w:rFonts w:asciiTheme="minorHAnsi" w:hAnsiTheme="minorHAnsi" w:cstheme="minorHAnsi"/>
          <w:bCs/>
        </w:rPr>
        <w:t>2014</w:t>
      </w:r>
      <w:r w:rsidR="00BB59D7" w:rsidRPr="007B2498">
        <w:rPr>
          <w:rFonts w:asciiTheme="minorHAnsi" w:hAnsiTheme="minorHAnsi" w:cstheme="minorHAnsi"/>
          <w:bCs/>
        </w:rPr>
        <w:t xml:space="preserve"> </w:t>
      </w:r>
      <w:r w:rsidR="00F90CB0">
        <w:rPr>
          <w:rFonts w:asciiTheme="minorHAnsi" w:hAnsiTheme="minorHAnsi" w:cstheme="minorHAnsi"/>
          <w:bCs/>
        </w:rPr>
        <w:t>a </w:t>
      </w:r>
      <w:r w:rsidR="00BB59D7" w:rsidRPr="007B2498">
        <w:rPr>
          <w:rFonts w:asciiTheme="minorHAnsi" w:hAnsiTheme="minorHAnsi" w:cstheme="minorHAnsi"/>
          <w:bCs/>
        </w:rPr>
        <w:t xml:space="preserve">určených ke spolufinancování projektu </w:t>
      </w:r>
      <w:r w:rsidR="00F90CB0" w:rsidRPr="00A51275">
        <w:rPr>
          <w:rFonts w:asciiTheme="minorHAnsi" w:hAnsiTheme="minorHAnsi" w:cstheme="minorHAnsi"/>
          <w:bCs/>
          <w:i/>
        </w:rPr>
        <w:t>Plzeň</w:t>
      </w:r>
      <w:r w:rsidR="00F90CB0">
        <w:rPr>
          <w:rFonts w:asciiTheme="minorHAnsi" w:hAnsiTheme="minorHAnsi" w:cstheme="minorHAnsi"/>
          <w:bCs/>
          <w:i/>
        </w:rPr>
        <w:t> –</w:t>
      </w:r>
      <w:r w:rsidR="00F90CB0" w:rsidRPr="00A51275">
        <w:rPr>
          <w:rFonts w:asciiTheme="minorHAnsi" w:hAnsiTheme="minorHAnsi" w:cstheme="minorHAnsi"/>
          <w:bCs/>
          <w:i/>
        </w:rPr>
        <w:t xml:space="preserve"> </w:t>
      </w:r>
      <w:r w:rsidR="00BB59D7" w:rsidRPr="00B959C9">
        <w:rPr>
          <w:rFonts w:asciiTheme="minorHAnsi" w:hAnsiTheme="minorHAnsi" w:cstheme="minorHAnsi"/>
          <w:bCs/>
          <w:i/>
        </w:rPr>
        <w:t>Evropské hlavní město kultury 2015</w:t>
      </w:r>
      <w:r w:rsidR="00BB59D7" w:rsidRPr="007B2498">
        <w:rPr>
          <w:rFonts w:asciiTheme="minorHAnsi" w:hAnsiTheme="minorHAnsi" w:cstheme="minorHAnsi"/>
          <w:bCs/>
        </w:rPr>
        <w:t>.</w:t>
      </w:r>
      <w:r w:rsidR="00BB59D7" w:rsidRPr="007B2498">
        <w:rPr>
          <w:rFonts w:asciiTheme="minorHAnsi" w:hAnsiTheme="minorHAnsi" w:cstheme="minorHAnsi"/>
        </w:rPr>
        <w:t xml:space="preserve"> Prostředky vyčlenilo MK na základě usnesení vlády ČR ze dne 10. </w:t>
      </w:r>
      <w:r w:rsidR="00F90CB0">
        <w:rPr>
          <w:rFonts w:asciiTheme="minorHAnsi" w:hAnsiTheme="minorHAnsi" w:cstheme="minorHAnsi"/>
        </w:rPr>
        <w:t>8</w:t>
      </w:r>
      <w:r w:rsidR="00BB59D7" w:rsidRPr="007B2498">
        <w:rPr>
          <w:rFonts w:asciiTheme="minorHAnsi" w:hAnsiTheme="minorHAnsi" w:cstheme="minorHAnsi"/>
        </w:rPr>
        <w:t>. 2011</w:t>
      </w:r>
      <w:r w:rsidR="00B8015D" w:rsidRPr="00B8015D">
        <w:rPr>
          <w:rFonts w:asciiTheme="minorHAnsi" w:hAnsiTheme="minorHAnsi" w:cstheme="minorHAnsi"/>
        </w:rPr>
        <w:t xml:space="preserve"> </w:t>
      </w:r>
      <w:r w:rsidR="00B8015D" w:rsidRPr="007B2498">
        <w:rPr>
          <w:rFonts w:asciiTheme="minorHAnsi" w:hAnsiTheme="minorHAnsi" w:cstheme="minorHAnsi"/>
        </w:rPr>
        <w:t xml:space="preserve">č. </w:t>
      </w:r>
      <w:r w:rsidR="00B8015D" w:rsidRPr="007B2498">
        <w:rPr>
          <w:rFonts w:asciiTheme="minorHAnsi" w:hAnsiTheme="minorHAnsi" w:cstheme="minorHAnsi"/>
          <w:bCs/>
        </w:rPr>
        <w:t>601</w:t>
      </w:r>
      <w:r w:rsidR="00BB59D7" w:rsidRPr="007B2498">
        <w:rPr>
          <w:rFonts w:asciiTheme="minorHAnsi" w:hAnsiTheme="minorHAnsi" w:cstheme="minorHAnsi"/>
        </w:rPr>
        <w:t xml:space="preserve">. Celková výše vyčleněných peněžních prostředků činila </w:t>
      </w:r>
      <w:r w:rsidR="00891668">
        <w:rPr>
          <w:rFonts w:asciiTheme="minorHAnsi" w:hAnsiTheme="minorHAnsi" w:cstheme="minorHAnsi"/>
          <w:bCs/>
        </w:rPr>
        <w:t>100 </w:t>
      </w:r>
      <w:r w:rsidR="00BB59D7" w:rsidRPr="007B2498">
        <w:rPr>
          <w:rFonts w:asciiTheme="minorHAnsi" w:hAnsiTheme="minorHAnsi" w:cstheme="minorHAnsi"/>
          <w:bCs/>
        </w:rPr>
        <w:t>mil.</w:t>
      </w:r>
      <w:r w:rsidR="00891668">
        <w:rPr>
          <w:rFonts w:asciiTheme="minorHAnsi" w:hAnsiTheme="minorHAnsi" w:cstheme="minorHAnsi"/>
          <w:bCs/>
        </w:rPr>
        <w:t> </w:t>
      </w:r>
      <w:r w:rsidR="00BB59D7" w:rsidRPr="007B2498">
        <w:rPr>
          <w:rFonts w:asciiTheme="minorHAnsi" w:hAnsiTheme="minorHAnsi" w:cstheme="minorHAnsi"/>
          <w:bCs/>
        </w:rPr>
        <w:t xml:space="preserve">Kč, </w:t>
      </w:r>
      <w:r w:rsidR="00122645" w:rsidRPr="007B2498">
        <w:rPr>
          <w:rFonts w:asciiTheme="minorHAnsi" w:hAnsiTheme="minorHAnsi" w:cstheme="minorHAnsi"/>
          <w:bCs/>
        </w:rPr>
        <w:t xml:space="preserve">město Plzeň čerpalo </w:t>
      </w:r>
      <w:r w:rsidR="00BB59D7" w:rsidRPr="007B2498">
        <w:rPr>
          <w:rFonts w:asciiTheme="minorHAnsi" w:hAnsiTheme="minorHAnsi" w:cstheme="minorHAnsi"/>
          <w:bCs/>
        </w:rPr>
        <w:t>pr</w:t>
      </w:r>
      <w:r w:rsidR="00B978DA">
        <w:rPr>
          <w:rFonts w:asciiTheme="minorHAnsi" w:hAnsiTheme="minorHAnsi" w:cstheme="minorHAnsi"/>
          <w:bCs/>
        </w:rPr>
        <w:t>ostředky průběžně v letech 2012–</w:t>
      </w:r>
      <w:r w:rsidR="00BB59D7" w:rsidRPr="007B2498">
        <w:rPr>
          <w:rFonts w:asciiTheme="minorHAnsi" w:hAnsiTheme="minorHAnsi" w:cstheme="minorHAnsi"/>
          <w:bCs/>
        </w:rPr>
        <w:t>2015. K datu ukončení kontroly nebyla dotace plně vyčerpána.</w:t>
      </w:r>
    </w:p>
    <w:p w14:paraId="4BB42B75" w14:textId="77777777" w:rsidR="006B4DFE" w:rsidRPr="007B2498" w:rsidRDefault="006B4DFE" w:rsidP="006B4DFE">
      <w:pPr>
        <w:pStyle w:val="Normlnweb"/>
        <w:jc w:val="both"/>
        <w:rPr>
          <w:rFonts w:asciiTheme="minorHAnsi" w:hAnsiTheme="minorHAnsi" w:cstheme="minorHAnsi"/>
          <w:bCs/>
        </w:rPr>
      </w:pPr>
    </w:p>
    <w:p w14:paraId="13AECFF6" w14:textId="47917286" w:rsidR="00AE0CDE" w:rsidRDefault="00BB59D7" w:rsidP="006B4DFE">
      <w:pPr>
        <w:pStyle w:val="Normlnweb"/>
        <w:jc w:val="both"/>
        <w:rPr>
          <w:rFonts w:asciiTheme="minorHAnsi" w:hAnsiTheme="minorHAnsi" w:cstheme="minorHAnsi"/>
          <w:bCs/>
        </w:rPr>
      </w:pPr>
      <w:r w:rsidRPr="007B2498">
        <w:rPr>
          <w:rFonts w:asciiTheme="minorHAnsi" w:hAnsiTheme="minorHAnsi" w:cstheme="minorHAnsi"/>
          <w:bCs/>
        </w:rPr>
        <w:t xml:space="preserve">Dotace MK byla určena na </w:t>
      </w:r>
      <w:r w:rsidR="00122645" w:rsidRPr="007B2498">
        <w:rPr>
          <w:rFonts w:asciiTheme="minorHAnsi" w:hAnsiTheme="minorHAnsi" w:cstheme="minorHAnsi"/>
          <w:bCs/>
        </w:rPr>
        <w:t xml:space="preserve">přípravu a realizaci programových neinvestičních aktivit, které město Plzeň zabezpečovalo prostřednictvím společnosti Plzeň 2015, o.p.s. NKÚ kontrolou prověřil 15 vybraných </w:t>
      </w:r>
      <w:r w:rsidR="005468B1" w:rsidRPr="007B2498">
        <w:rPr>
          <w:rFonts w:asciiTheme="minorHAnsi" w:hAnsiTheme="minorHAnsi" w:cstheme="minorHAnsi"/>
          <w:bCs/>
        </w:rPr>
        <w:t>dotovaných projektů (programových aktivit)</w:t>
      </w:r>
      <w:r w:rsidR="00F90CB0">
        <w:rPr>
          <w:rFonts w:asciiTheme="minorHAnsi" w:hAnsiTheme="minorHAnsi" w:cstheme="minorHAnsi"/>
          <w:bCs/>
        </w:rPr>
        <w:t xml:space="preserve"> a</w:t>
      </w:r>
      <w:r w:rsidR="00122645" w:rsidRPr="007B2498">
        <w:rPr>
          <w:rFonts w:asciiTheme="minorHAnsi" w:hAnsiTheme="minorHAnsi" w:cstheme="minorHAnsi"/>
          <w:bCs/>
        </w:rPr>
        <w:t xml:space="preserve"> konstatoval, že město </w:t>
      </w:r>
      <w:r w:rsidR="00122645" w:rsidRPr="007B2498">
        <w:rPr>
          <w:rFonts w:asciiTheme="minorHAnsi" w:hAnsiTheme="minorHAnsi" w:cstheme="minorHAnsi"/>
          <w:bCs/>
        </w:rPr>
        <w:lastRenderedPageBreak/>
        <w:t xml:space="preserve">Plzeň použilo kontrolované peněžní prostředky </w:t>
      </w:r>
      <w:r w:rsidR="004E4FF9" w:rsidRPr="007B2498">
        <w:rPr>
          <w:rFonts w:asciiTheme="minorHAnsi" w:hAnsiTheme="minorHAnsi" w:cstheme="minorHAnsi"/>
          <w:bCs/>
        </w:rPr>
        <w:t xml:space="preserve">ve výši </w:t>
      </w:r>
      <w:r w:rsidR="00122645" w:rsidRPr="007B2498">
        <w:rPr>
          <w:rFonts w:asciiTheme="minorHAnsi" w:hAnsiTheme="minorHAnsi" w:cstheme="minorHAnsi"/>
          <w:bCs/>
        </w:rPr>
        <w:t>14 233 075 Kč v souladu s účelem, na který byly poskytnuty.</w:t>
      </w:r>
    </w:p>
    <w:p w14:paraId="31E35140" w14:textId="77777777" w:rsidR="00AE0CDE" w:rsidRDefault="00AE0CDE">
      <w:pPr>
        <w:spacing w:before="0"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</w:rPr>
        <w:br w:type="page"/>
      </w:r>
    </w:p>
    <w:p w14:paraId="277B7DAF" w14:textId="77777777" w:rsidR="00122645" w:rsidRPr="007B2498" w:rsidRDefault="00122645" w:rsidP="006B4DFE">
      <w:pPr>
        <w:pStyle w:val="Normlnweb"/>
        <w:jc w:val="both"/>
        <w:rPr>
          <w:rFonts w:asciiTheme="minorHAnsi" w:hAnsiTheme="minorHAnsi" w:cstheme="minorHAnsi"/>
          <w:bCs/>
        </w:rPr>
      </w:pPr>
    </w:p>
    <w:p w14:paraId="00E5BC0F" w14:textId="654A6CF1" w:rsidR="008E1CD5" w:rsidRPr="00B959C9" w:rsidRDefault="00A63671" w:rsidP="006B4DFE">
      <w:pPr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59C9">
        <w:rPr>
          <w:rFonts w:asciiTheme="minorHAnsi" w:hAnsiTheme="minorHAnsi" w:cstheme="minorHAnsi"/>
          <w:b/>
          <w:bCs/>
          <w:sz w:val="24"/>
          <w:szCs w:val="24"/>
        </w:rPr>
        <w:t>Zkratky kontrolovaných projektů</w:t>
      </w:r>
      <w:r w:rsidR="008E1CD5" w:rsidRPr="00B959C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05AE406" w14:textId="77777777" w:rsidR="006B4DFE" w:rsidRPr="006B4DFE" w:rsidRDefault="006B4DFE" w:rsidP="006B4DFE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14:paraId="00B6F2FA" w14:textId="53E37D46" w:rsidR="00E322AB" w:rsidRPr="00A63671" w:rsidRDefault="00E322AB" w:rsidP="006B4DFE">
      <w:pPr>
        <w:tabs>
          <w:tab w:val="left" w:pos="3969"/>
        </w:tabs>
        <w:autoSpaceDE w:val="0"/>
        <w:autoSpaceDN w:val="0"/>
        <w:adjustRightInd w:val="0"/>
        <w:spacing w:before="0" w:after="0"/>
        <w:ind w:left="3969" w:hanging="3969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197145242"/>
      <w:bookmarkStart w:id="2" w:name="_Toc388939880"/>
      <w:r w:rsidRPr="00A63671">
        <w:rPr>
          <w:rFonts w:asciiTheme="minorHAnsi" w:hAnsiTheme="minorHAnsi" w:cstheme="minorHAnsi"/>
          <w:b/>
          <w:bCs/>
          <w:sz w:val="24"/>
          <w:szCs w:val="24"/>
        </w:rPr>
        <w:t>Nové divadlo</w:t>
      </w:r>
      <w:r w:rsidR="006B4DF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959C9">
        <w:rPr>
          <w:rFonts w:asciiTheme="minorHAnsi" w:hAnsiTheme="minorHAnsi" w:cstheme="minorHAnsi"/>
          <w:i/>
          <w:color w:val="000000"/>
          <w:sz w:val="24"/>
          <w:szCs w:val="24"/>
        </w:rPr>
        <w:t>Novostavba divadla v Plzni, Divadlo Jízdecká</w:t>
      </w:r>
    </w:p>
    <w:p w14:paraId="3907F173" w14:textId="2DE638AB" w:rsidR="00E322AB" w:rsidRPr="00A63671" w:rsidRDefault="00E322AB" w:rsidP="006B4DFE">
      <w:pPr>
        <w:tabs>
          <w:tab w:val="left" w:pos="3969"/>
        </w:tabs>
        <w:spacing w:before="0" w:after="0"/>
        <w:ind w:left="3969" w:hanging="3969"/>
        <w:jc w:val="left"/>
        <w:rPr>
          <w:rFonts w:asciiTheme="minorHAnsi" w:hAnsiTheme="minorHAnsi" w:cstheme="minorHAnsi"/>
          <w:sz w:val="24"/>
          <w:szCs w:val="24"/>
        </w:rPr>
      </w:pPr>
      <w:r w:rsidRPr="00A63671">
        <w:rPr>
          <w:rFonts w:asciiTheme="minorHAnsi" w:hAnsiTheme="minorHAnsi" w:cstheme="minorHAnsi"/>
          <w:b/>
          <w:bCs/>
          <w:sz w:val="24"/>
          <w:szCs w:val="24"/>
        </w:rPr>
        <w:t>Divadelní terasy</w:t>
      </w:r>
      <w:r w:rsidR="006B4DF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959C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Divadelní terasy </w:t>
      </w:r>
      <w:r w:rsidR="00891668" w:rsidRPr="00B959C9">
        <w:rPr>
          <w:rFonts w:asciiTheme="minorHAnsi" w:hAnsiTheme="minorHAnsi" w:cstheme="minorHAnsi"/>
          <w:i/>
          <w:color w:val="000000"/>
          <w:sz w:val="24"/>
          <w:szCs w:val="24"/>
        </w:rPr>
        <w:t>–</w:t>
      </w:r>
      <w:r w:rsidRPr="00B959C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úprava JZ části sadového okruhu historického jádra města Plzně</w:t>
      </w:r>
    </w:p>
    <w:p w14:paraId="29BCE55B" w14:textId="72EBCDB3" w:rsidR="009E6AC1" w:rsidRPr="00A63671" w:rsidRDefault="009E6AC1" w:rsidP="006B4DFE">
      <w:pPr>
        <w:tabs>
          <w:tab w:val="left" w:pos="3969"/>
        </w:tabs>
        <w:autoSpaceDE w:val="0"/>
        <w:autoSpaceDN w:val="0"/>
        <w:adjustRightInd w:val="0"/>
        <w:spacing w:before="0" w:after="0"/>
        <w:ind w:left="3969" w:hanging="3969"/>
        <w:jc w:val="left"/>
        <w:rPr>
          <w:rFonts w:asciiTheme="minorHAnsi" w:hAnsiTheme="minorHAnsi" w:cstheme="minorHAnsi"/>
          <w:sz w:val="24"/>
          <w:szCs w:val="24"/>
        </w:rPr>
      </w:pPr>
      <w:r w:rsidRPr="00A63671">
        <w:rPr>
          <w:rFonts w:asciiTheme="minorHAnsi" w:hAnsiTheme="minorHAnsi" w:cstheme="minorHAnsi"/>
          <w:b/>
          <w:bCs/>
          <w:sz w:val="24"/>
          <w:szCs w:val="24"/>
        </w:rPr>
        <w:t>Rekonstrukce TT Pražská – U Zvonu</w:t>
      </w:r>
      <w:r w:rsidR="006B4DF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63671" w:rsidRPr="00B959C9">
        <w:rPr>
          <w:rFonts w:asciiTheme="minorHAnsi" w:hAnsiTheme="minorHAnsi" w:cstheme="minorHAnsi"/>
          <w:i/>
          <w:color w:val="000000"/>
          <w:sz w:val="24"/>
          <w:szCs w:val="24"/>
        </w:rPr>
        <w:t>Revitalizace uliční sítě historického centra města Plzně, rekonstrukce TT Pražská – U Zvonu</w:t>
      </w:r>
    </w:p>
    <w:p w14:paraId="088A42CF" w14:textId="74E3E452" w:rsidR="009E6AC1" w:rsidRDefault="009E6AC1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ED88856" w14:textId="13F3254F" w:rsidR="00A63671" w:rsidRPr="00B959C9" w:rsidRDefault="00A63671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B959C9">
        <w:rPr>
          <w:rFonts w:asciiTheme="minorHAnsi" w:hAnsiTheme="minorHAnsi" w:cstheme="minorHAnsi"/>
          <w:b/>
          <w:sz w:val="24"/>
          <w:szCs w:val="24"/>
        </w:rPr>
        <w:t>Ostatní zkratky:</w:t>
      </w:r>
    </w:p>
    <w:p w14:paraId="644A3CCF" w14:textId="77777777" w:rsidR="006B4DFE" w:rsidRPr="00A63671" w:rsidRDefault="006B4DFE" w:rsidP="006B4DFE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</w:p>
    <w:bookmarkEnd w:id="1"/>
    <w:bookmarkEnd w:id="2"/>
    <w:p w14:paraId="47F154CF" w14:textId="3B132CE6" w:rsidR="009D4D40" w:rsidRPr="009D4D40" w:rsidRDefault="009D4D4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 w:rsidRPr="009D4D40">
        <w:rPr>
          <w:rFonts w:asciiTheme="minorHAnsi" w:hAnsiTheme="minorHAnsi" w:cstheme="minorHAnsi"/>
          <w:b/>
          <w:sz w:val="24"/>
          <w:szCs w:val="24"/>
        </w:rPr>
        <w:t>EU</w:t>
      </w:r>
      <w:r w:rsidR="006B4DFE">
        <w:rPr>
          <w:rFonts w:asciiTheme="minorHAnsi" w:hAnsiTheme="minorHAnsi" w:cstheme="minorHAnsi"/>
          <w:sz w:val="24"/>
          <w:szCs w:val="24"/>
        </w:rPr>
        <w:tab/>
      </w:r>
      <w:r w:rsidRPr="009D4D40">
        <w:rPr>
          <w:rFonts w:asciiTheme="minorHAnsi" w:hAnsiTheme="minorHAnsi" w:cstheme="minorHAnsi"/>
          <w:sz w:val="24"/>
          <w:szCs w:val="24"/>
        </w:rPr>
        <w:t>Evropská unie</w:t>
      </w:r>
    </w:p>
    <w:p w14:paraId="104F5614" w14:textId="69AE4B4B" w:rsidR="009D4D40" w:rsidRPr="009D4D40" w:rsidRDefault="006B4DFE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IPRM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F90CB0">
        <w:rPr>
          <w:rFonts w:asciiTheme="minorHAnsi" w:hAnsiTheme="minorHAnsi" w:cstheme="minorHAnsi"/>
          <w:sz w:val="24"/>
          <w:szCs w:val="24"/>
        </w:rPr>
        <w:t>i</w:t>
      </w:r>
      <w:r w:rsidR="009D4D40" w:rsidRPr="009D4D40">
        <w:rPr>
          <w:rFonts w:asciiTheme="minorHAnsi" w:hAnsiTheme="minorHAnsi" w:cstheme="minorHAnsi"/>
          <w:sz w:val="24"/>
          <w:szCs w:val="24"/>
        </w:rPr>
        <w:t>ntegrovaný plán rozvoje města</w:t>
      </w:r>
    </w:p>
    <w:p w14:paraId="4EA5FEAD" w14:textId="267A4D3D" w:rsidR="009D4D40" w:rsidRPr="009D4D40" w:rsidRDefault="006B4DFE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IPRM – PEHMK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77CFE" w:rsidRPr="00B959C9">
        <w:rPr>
          <w:rFonts w:asciiTheme="minorHAnsi" w:hAnsiTheme="minorHAnsi" w:cstheme="minorHAnsi"/>
          <w:i/>
          <w:sz w:val="24"/>
          <w:szCs w:val="24"/>
        </w:rPr>
        <w:t>i</w:t>
      </w:r>
      <w:r w:rsidR="009D4D40" w:rsidRPr="00B959C9">
        <w:rPr>
          <w:rFonts w:asciiTheme="minorHAnsi" w:hAnsiTheme="minorHAnsi" w:cstheme="minorHAnsi"/>
          <w:i/>
          <w:sz w:val="24"/>
          <w:szCs w:val="24"/>
        </w:rPr>
        <w:t xml:space="preserve">ntegrovaný plán rozvoje města Plzeň </w:t>
      </w:r>
      <w:r w:rsidR="00891668" w:rsidRPr="00B959C9">
        <w:rPr>
          <w:rFonts w:asciiTheme="minorHAnsi" w:hAnsiTheme="minorHAnsi" w:cstheme="minorHAnsi"/>
          <w:i/>
          <w:sz w:val="24"/>
          <w:szCs w:val="24"/>
        </w:rPr>
        <w:t>–</w:t>
      </w:r>
      <w:r w:rsidR="009D4D40" w:rsidRPr="00B959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D4D40" w:rsidRPr="00B959C9">
        <w:rPr>
          <w:rFonts w:asciiTheme="minorHAnsi" w:hAnsiTheme="minorHAnsi" w:cstheme="minorHAnsi"/>
          <w:bCs/>
          <w:i/>
          <w:sz w:val="24"/>
          <w:szCs w:val="24"/>
        </w:rPr>
        <w:t>Evropské hlavní město kultury 2015</w:t>
      </w:r>
    </w:p>
    <w:p w14:paraId="5132C682" w14:textId="184CB734" w:rsidR="006B4DFE" w:rsidRDefault="009D4D4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 w:rsidRPr="009D4D40">
        <w:rPr>
          <w:rFonts w:asciiTheme="minorHAnsi" w:hAnsiTheme="minorHAnsi" w:cstheme="minorHAnsi"/>
          <w:b/>
          <w:sz w:val="24"/>
          <w:szCs w:val="24"/>
        </w:rPr>
        <w:t>město Plzeň</w:t>
      </w:r>
    </w:p>
    <w:p w14:paraId="0BC5C7B8" w14:textId="1D1B74F2" w:rsidR="009D4D40" w:rsidRPr="009D4D40" w:rsidRDefault="009D4D4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 w:rsidRPr="009D4D40">
        <w:rPr>
          <w:rFonts w:asciiTheme="minorHAnsi" w:hAnsiTheme="minorHAnsi" w:cstheme="minorHAnsi"/>
          <w:sz w:val="24"/>
          <w:szCs w:val="24"/>
        </w:rPr>
        <w:t>(neb</w:t>
      </w:r>
      <w:r w:rsidR="006B4DFE">
        <w:rPr>
          <w:rFonts w:asciiTheme="minorHAnsi" w:hAnsiTheme="minorHAnsi" w:cstheme="minorHAnsi"/>
          <w:sz w:val="24"/>
          <w:szCs w:val="24"/>
        </w:rPr>
        <w:t>o také „žadatel“ či „příjemce“)</w:t>
      </w:r>
      <w:r w:rsidR="006B4DFE">
        <w:rPr>
          <w:rFonts w:asciiTheme="minorHAnsi" w:hAnsiTheme="minorHAnsi" w:cstheme="minorHAnsi"/>
          <w:sz w:val="24"/>
          <w:szCs w:val="24"/>
        </w:rPr>
        <w:tab/>
      </w:r>
      <w:r w:rsidRPr="009D4D40">
        <w:rPr>
          <w:rFonts w:asciiTheme="minorHAnsi" w:hAnsiTheme="minorHAnsi" w:cstheme="minorHAnsi"/>
          <w:sz w:val="24"/>
          <w:szCs w:val="24"/>
        </w:rPr>
        <w:t>statutární město Plzeň</w:t>
      </w:r>
    </w:p>
    <w:p w14:paraId="0035045F" w14:textId="14930C60" w:rsidR="00F90CB0" w:rsidRDefault="00F90CB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MK</w:t>
      </w:r>
      <w:r>
        <w:rPr>
          <w:rFonts w:asciiTheme="minorHAnsi" w:hAnsiTheme="minorHAnsi" w:cstheme="minorHAnsi"/>
          <w:b/>
          <w:sz w:val="24"/>
          <w:szCs w:val="24"/>
        </w:rPr>
        <w:tab/>
        <w:t>Ministerstvo kultury</w:t>
      </w:r>
    </w:p>
    <w:p w14:paraId="0164A945" w14:textId="5BECE3FD" w:rsidR="00C77CFE" w:rsidRDefault="00C77CFE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NKÚ</w:t>
      </w:r>
      <w:r>
        <w:rPr>
          <w:rFonts w:asciiTheme="minorHAnsi" w:hAnsiTheme="minorHAnsi" w:cstheme="minorHAnsi"/>
          <w:b/>
          <w:sz w:val="24"/>
          <w:szCs w:val="24"/>
        </w:rPr>
        <w:tab/>
        <w:t>Nejvyšší kontrolní úřad</w:t>
      </w:r>
    </w:p>
    <w:p w14:paraId="3D8BA507" w14:textId="0DBE62E2" w:rsidR="009D4D40" w:rsidRPr="009D4D40" w:rsidRDefault="009D4D4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 w:rsidRPr="009D4D40">
        <w:rPr>
          <w:rFonts w:asciiTheme="minorHAnsi" w:hAnsiTheme="minorHAnsi" w:cstheme="minorHAnsi"/>
          <w:b/>
          <w:sz w:val="24"/>
          <w:szCs w:val="24"/>
        </w:rPr>
        <w:t>OVS</w:t>
      </w:r>
      <w:r w:rsidR="006B4DFE">
        <w:rPr>
          <w:rFonts w:asciiTheme="minorHAnsi" w:hAnsiTheme="minorHAnsi" w:cstheme="minorHAnsi"/>
          <w:sz w:val="24"/>
          <w:szCs w:val="24"/>
        </w:rPr>
        <w:tab/>
      </w:r>
      <w:r w:rsidRPr="009D4D40">
        <w:rPr>
          <w:rFonts w:asciiTheme="minorHAnsi" w:hAnsiTheme="minorHAnsi" w:cstheme="minorHAnsi"/>
          <w:sz w:val="24"/>
          <w:szCs w:val="24"/>
        </w:rPr>
        <w:t>občanská vybavenost sídel</w:t>
      </w:r>
    </w:p>
    <w:p w14:paraId="0337F981" w14:textId="57EEA2C8" w:rsidR="009D4D40" w:rsidRPr="009D4D40" w:rsidRDefault="009D4D4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 w:rsidRPr="009D4D40">
        <w:rPr>
          <w:rFonts w:asciiTheme="minorHAnsi" w:hAnsiTheme="minorHAnsi" w:cstheme="minorHAnsi"/>
          <w:b/>
          <w:sz w:val="24"/>
          <w:szCs w:val="24"/>
        </w:rPr>
        <w:t xml:space="preserve">projekty </w:t>
      </w:r>
      <w:proofErr w:type="spellStart"/>
      <w:r w:rsidRPr="009D4D40">
        <w:rPr>
          <w:rFonts w:asciiTheme="minorHAnsi" w:hAnsiTheme="minorHAnsi" w:cstheme="minorHAnsi"/>
          <w:b/>
          <w:sz w:val="24"/>
          <w:szCs w:val="24"/>
        </w:rPr>
        <w:t>Světovar</w:t>
      </w:r>
      <w:proofErr w:type="spellEnd"/>
      <w:r w:rsidR="006B4DFE">
        <w:rPr>
          <w:rFonts w:asciiTheme="minorHAnsi" w:hAnsiTheme="minorHAnsi" w:cstheme="minorHAnsi"/>
          <w:sz w:val="24"/>
          <w:szCs w:val="24"/>
        </w:rPr>
        <w:tab/>
      </w:r>
      <w:r w:rsidRPr="009D4D40">
        <w:rPr>
          <w:rFonts w:asciiTheme="minorHAnsi" w:hAnsiTheme="minorHAnsi" w:cstheme="minorHAnsi"/>
          <w:sz w:val="24"/>
          <w:szCs w:val="24"/>
        </w:rPr>
        <w:t xml:space="preserve">projekt </w:t>
      </w:r>
      <w:r w:rsidRPr="00B959C9">
        <w:rPr>
          <w:rFonts w:asciiTheme="minorHAnsi" w:eastAsiaTheme="minorHAnsi" w:hAnsiTheme="minorHAnsi" w:cstheme="minorHAnsi"/>
          <w:i/>
          <w:sz w:val="24"/>
          <w:szCs w:val="24"/>
        </w:rPr>
        <w:t xml:space="preserve">Archiv </w:t>
      </w:r>
      <w:proofErr w:type="spellStart"/>
      <w:r w:rsidRPr="00B959C9">
        <w:rPr>
          <w:rFonts w:asciiTheme="minorHAnsi" w:eastAsiaTheme="minorHAnsi" w:hAnsiTheme="minorHAnsi" w:cstheme="minorHAnsi"/>
          <w:i/>
          <w:sz w:val="24"/>
          <w:szCs w:val="24"/>
        </w:rPr>
        <w:t>Světovar</w:t>
      </w:r>
      <w:proofErr w:type="spellEnd"/>
      <w:r w:rsidRPr="009D4D40">
        <w:rPr>
          <w:rFonts w:asciiTheme="minorHAnsi" w:eastAsiaTheme="minorHAnsi" w:hAnsiTheme="minorHAnsi" w:cstheme="minorHAnsi"/>
          <w:sz w:val="24"/>
          <w:szCs w:val="24"/>
        </w:rPr>
        <w:t xml:space="preserve"> a 4x4 </w:t>
      </w:r>
      <w:proofErr w:type="spellStart"/>
      <w:r w:rsidRPr="00B959C9">
        <w:rPr>
          <w:rFonts w:asciiTheme="minorHAnsi" w:eastAsiaTheme="minorHAnsi" w:hAnsiTheme="minorHAnsi" w:cstheme="minorHAnsi"/>
          <w:i/>
          <w:sz w:val="24"/>
          <w:szCs w:val="24"/>
        </w:rPr>
        <w:t>Cultural</w:t>
      </w:r>
      <w:proofErr w:type="spellEnd"/>
      <w:r w:rsidRPr="00B959C9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959C9">
        <w:rPr>
          <w:rFonts w:asciiTheme="minorHAnsi" w:eastAsiaTheme="minorHAnsi" w:hAnsiTheme="minorHAnsi" w:cstheme="minorHAnsi"/>
          <w:i/>
          <w:sz w:val="24"/>
          <w:szCs w:val="24"/>
        </w:rPr>
        <w:t>Factory</w:t>
      </w:r>
      <w:proofErr w:type="spellEnd"/>
      <w:r w:rsidRPr="00B959C9">
        <w:rPr>
          <w:rFonts w:asciiTheme="minorHAnsi" w:eastAsia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B959C9">
        <w:rPr>
          <w:rFonts w:asciiTheme="minorHAnsi" w:eastAsiaTheme="minorHAnsi" w:hAnsiTheme="minorHAnsi" w:cstheme="minorHAnsi"/>
          <w:i/>
          <w:sz w:val="24"/>
          <w:szCs w:val="24"/>
        </w:rPr>
        <w:t>Světovar</w:t>
      </w:r>
      <w:proofErr w:type="spellEnd"/>
    </w:p>
    <w:p w14:paraId="156B8788" w14:textId="5E5FBFF7" w:rsidR="009D4D40" w:rsidRPr="009D4D40" w:rsidRDefault="009D4D4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 w:rsidRPr="009D4D40">
        <w:rPr>
          <w:rFonts w:asciiTheme="minorHAnsi" w:hAnsiTheme="minorHAnsi" w:cstheme="minorHAnsi"/>
          <w:b/>
          <w:sz w:val="24"/>
          <w:szCs w:val="24"/>
        </w:rPr>
        <w:t>ROP Jihozápad</w:t>
      </w:r>
      <w:r w:rsidR="006B4DFE">
        <w:rPr>
          <w:rFonts w:asciiTheme="minorHAnsi" w:hAnsiTheme="minorHAnsi" w:cstheme="minorHAnsi"/>
          <w:sz w:val="24"/>
          <w:szCs w:val="24"/>
        </w:rPr>
        <w:tab/>
      </w:r>
      <w:r w:rsidRPr="00B959C9">
        <w:rPr>
          <w:rFonts w:asciiTheme="minorHAnsi" w:hAnsiTheme="minorHAnsi" w:cstheme="minorHAnsi"/>
          <w:i/>
          <w:sz w:val="24"/>
          <w:szCs w:val="24"/>
        </w:rPr>
        <w:t>Regionální operační program NUTS II Jihozápad</w:t>
      </w:r>
    </w:p>
    <w:p w14:paraId="593B32B1" w14:textId="1A544B49" w:rsidR="009D4D40" w:rsidRPr="009D4D40" w:rsidRDefault="009D4D40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 w:rsidRPr="009D4D40">
        <w:rPr>
          <w:rFonts w:asciiTheme="minorHAnsi" w:hAnsiTheme="minorHAnsi" w:cstheme="minorHAnsi"/>
          <w:b/>
          <w:sz w:val="24"/>
          <w:szCs w:val="24"/>
        </w:rPr>
        <w:t>RR</w:t>
      </w:r>
      <w:r w:rsidR="006B4DFE">
        <w:rPr>
          <w:rFonts w:asciiTheme="minorHAnsi" w:hAnsiTheme="minorHAnsi" w:cstheme="minorHAnsi"/>
          <w:sz w:val="24"/>
          <w:szCs w:val="24"/>
        </w:rPr>
        <w:tab/>
      </w:r>
      <w:r w:rsidRPr="009D4D40">
        <w:rPr>
          <w:rFonts w:asciiTheme="minorHAnsi" w:hAnsiTheme="minorHAnsi" w:cs="Calibri"/>
          <w:color w:val="000000"/>
          <w:sz w:val="24"/>
          <w:szCs w:val="24"/>
        </w:rPr>
        <w:t>Regionální rada regionu soudržnosti Jihozápad</w:t>
      </w:r>
    </w:p>
    <w:p w14:paraId="6FEDDAB9" w14:textId="3105BB74" w:rsidR="00552603" w:rsidRDefault="00552603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smlouva o IPRM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</w:t>
      </w:r>
      <w:r w:rsidRPr="00AC319A">
        <w:rPr>
          <w:rFonts w:ascii="Calibri" w:hAnsi="Calibri" w:cs="Calibri"/>
          <w:sz w:val="24"/>
          <w:szCs w:val="24"/>
        </w:rPr>
        <w:t>mlouv</w:t>
      </w:r>
      <w:r>
        <w:rPr>
          <w:rFonts w:ascii="Calibri" w:hAnsi="Calibri" w:cs="Calibri"/>
          <w:sz w:val="24"/>
          <w:szCs w:val="24"/>
        </w:rPr>
        <w:t>a</w:t>
      </w:r>
      <w:r w:rsidRPr="00AC319A">
        <w:rPr>
          <w:rFonts w:ascii="Calibri" w:hAnsi="Calibri" w:cs="Calibri"/>
          <w:sz w:val="24"/>
          <w:szCs w:val="24"/>
        </w:rPr>
        <w:t xml:space="preserve"> o realizaci </w:t>
      </w:r>
      <w:r>
        <w:rPr>
          <w:rFonts w:ascii="Calibri" w:hAnsi="Calibri" w:cs="Calibri"/>
          <w:sz w:val="24"/>
          <w:szCs w:val="24"/>
        </w:rPr>
        <w:t>„i</w:t>
      </w:r>
      <w:r w:rsidRPr="00BF53C0">
        <w:rPr>
          <w:rFonts w:ascii="Calibri" w:hAnsi="Calibri" w:cs="Calibri"/>
          <w:sz w:val="24"/>
          <w:szCs w:val="24"/>
        </w:rPr>
        <w:t>ntegrovaného plánu rozvoje města Plzeň – Evropské hlavní město kultury 2015“</w:t>
      </w:r>
    </w:p>
    <w:p w14:paraId="4F148951" w14:textId="6EEA869A" w:rsidR="009D4D40" w:rsidRPr="009D4D40" w:rsidRDefault="0021624F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9D4D40" w:rsidRPr="009D4D40">
        <w:rPr>
          <w:rFonts w:asciiTheme="minorHAnsi" w:hAnsiTheme="minorHAnsi" w:cstheme="minorHAnsi"/>
          <w:b/>
          <w:sz w:val="24"/>
          <w:szCs w:val="24"/>
        </w:rPr>
        <w:t>mlouva o poskytnutí dotace</w:t>
      </w:r>
      <w:r w:rsidR="006B4DF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="009D4D40" w:rsidRPr="009D4D40">
        <w:rPr>
          <w:rFonts w:asciiTheme="minorHAnsi" w:hAnsiTheme="minorHAnsi" w:cs="Calibri"/>
          <w:color w:val="000000"/>
          <w:sz w:val="24"/>
          <w:szCs w:val="24"/>
        </w:rPr>
        <w:t>mlouva o podmínkách poskytnutí dotace z </w:t>
      </w:r>
      <w:r w:rsidR="009D4D40" w:rsidRPr="00B959C9">
        <w:rPr>
          <w:rFonts w:asciiTheme="minorHAnsi" w:hAnsiTheme="minorHAnsi" w:cs="Calibri"/>
          <w:i/>
          <w:color w:val="000000"/>
          <w:sz w:val="24"/>
          <w:szCs w:val="24"/>
        </w:rPr>
        <w:t>Regionálního operačního programu NUTS II Jihozápad</w:t>
      </w:r>
    </w:p>
    <w:p w14:paraId="61E4BA2C" w14:textId="143B5B73" w:rsidR="009D4D40" w:rsidRPr="009D4D40" w:rsidRDefault="006B4DFE" w:rsidP="006B4DFE">
      <w:pPr>
        <w:tabs>
          <w:tab w:val="left" w:pos="3544"/>
        </w:tabs>
        <w:spacing w:before="0" w:after="0"/>
        <w:ind w:left="3544" w:hanging="354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TT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D4D40" w:rsidRPr="009D4D40">
        <w:rPr>
          <w:rFonts w:asciiTheme="minorHAnsi" w:hAnsiTheme="minorHAnsi" w:cstheme="minorHAnsi"/>
          <w:sz w:val="24"/>
          <w:szCs w:val="24"/>
        </w:rPr>
        <w:t>tramvajová trať</w:t>
      </w:r>
    </w:p>
    <w:p w14:paraId="00E5BC24" w14:textId="77777777" w:rsidR="008E1CD5" w:rsidRPr="007B2498" w:rsidRDefault="008E1CD5" w:rsidP="006B4DFE">
      <w:pPr>
        <w:spacing w:before="0" w:after="0"/>
      </w:pPr>
    </w:p>
    <w:sectPr w:rsidR="008E1CD5" w:rsidRPr="007B2498" w:rsidSect="005A4C38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64AC6" w14:textId="77777777" w:rsidR="00891668" w:rsidRDefault="00891668" w:rsidP="00A30E58">
      <w:pPr>
        <w:spacing w:before="0" w:after="0"/>
      </w:pPr>
      <w:r>
        <w:separator/>
      </w:r>
    </w:p>
  </w:endnote>
  <w:endnote w:type="continuationSeparator" w:id="0">
    <w:p w14:paraId="67D57267" w14:textId="77777777" w:rsidR="00891668" w:rsidRDefault="00891668" w:rsidP="00A30E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BC3B" w14:textId="77777777" w:rsidR="00891668" w:rsidRPr="00A741C4" w:rsidRDefault="00891668">
    <w:pPr>
      <w:pStyle w:val="Zpat"/>
      <w:jc w:val="center"/>
      <w:rPr>
        <w:rFonts w:asciiTheme="minorHAnsi" w:hAnsiTheme="minorHAnsi" w:cstheme="minorHAnsi"/>
        <w:sz w:val="24"/>
        <w:szCs w:val="24"/>
      </w:rPr>
    </w:pPr>
    <w:r w:rsidRPr="00A741C4">
      <w:rPr>
        <w:rFonts w:asciiTheme="minorHAnsi" w:hAnsiTheme="minorHAnsi" w:cstheme="minorHAnsi"/>
        <w:sz w:val="24"/>
        <w:szCs w:val="24"/>
      </w:rPr>
      <w:fldChar w:fldCharType="begin"/>
    </w:r>
    <w:r w:rsidRPr="00A741C4">
      <w:rPr>
        <w:rFonts w:asciiTheme="minorHAnsi" w:hAnsiTheme="minorHAnsi" w:cstheme="minorHAnsi"/>
        <w:sz w:val="24"/>
        <w:szCs w:val="24"/>
      </w:rPr>
      <w:instrText>PAGE   \* MERGEFORMAT</w:instrText>
    </w:r>
    <w:r w:rsidRPr="00A741C4">
      <w:rPr>
        <w:rFonts w:asciiTheme="minorHAnsi" w:hAnsiTheme="minorHAnsi" w:cstheme="minorHAnsi"/>
        <w:sz w:val="24"/>
        <w:szCs w:val="24"/>
      </w:rPr>
      <w:fldChar w:fldCharType="separate"/>
    </w:r>
    <w:r w:rsidR="00B15956">
      <w:rPr>
        <w:rFonts w:asciiTheme="minorHAnsi" w:hAnsiTheme="minorHAnsi" w:cstheme="minorHAnsi"/>
        <w:noProof/>
        <w:sz w:val="24"/>
        <w:szCs w:val="24"/>
      </w:rPr>
      <w:t>2</w:t>
    </w:r>
    <w:r w:rsidRPr="00A741C4">
      <w:rPr>
        <w:rFonts w:asciiTheme="minorHAnsi" w:hAnsiTheme="minorHAnsi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AA627" w14:textId="77777777" w:rsidR="00891668" w:rsidRDefault="00891668" w:rsidP="00A30E58">
      <w:pPr>
        <w:spacing w:before="0" w:after="0"/>
      </w:pPr>
      <w:r>
        <w:separator/>
      </w:r>
    </w:p>
  </w:footnote>
  <w:footnote w:type="continuationSeparator" w:id="0">
    <w:p w14:paraId="5AE95D91" w14:textId="77777777" w:rsidR="00891668" w:rsidRDefault="00891668" w:rsidP="00A30E58">
      <w:pPr>
        <w:spacing w:before="0" w:after="0"/>
      </w:pPr>
      <w:r>
        <w:continuationSeparator/>
      </w:r>
    </w:p>
  </w:footnote>
  <w:footnote w:id="1">
    <w:p w14:paraId="57F660FA" w14:textId="644B59FF" w:rsidR="00891668" w:rsidRPr="00CA3566" w:rsidRDefault="00891668" w:rsidP="004357EF">
      <w:pPr>
        <w:pStyle w:val="Textpoznpodarou"/>
        <w:spacing w:before="0" w:after="0"/>
        <w:ind w:left="284" w:hanging="284"/>
        <w:rPr>
          <w:rStyle w:val="Znakapoznpodarou"/>
          <w:rFonts w:ascii="Calibri" w:hAnsi="Calibri" w:cs="Calibri"/>
          <w:sz w:val="20"/>
          <w:vertAlign w:val="baseline"/>
        </w:rPr>
      </w:pPr>
      <w:r w:rsidRPr="00CA3566">
        <w:rPr>
          <w:rStyle w:val="Znakapoznpodarou"/>
          <w:rFonts w:ascii="Calibri" w:hAnsi="Calibri" w:cs="Calibri"/>
          <w:sz w:val="20"/>
        </w:rPr>
        <w:footnoteRef/>
      </w:r>
      <w:r w:rsidRPr="00CA3566">
        <w:rPr>
          <w:rStyle w:val="Znakapoznpodarou"/>
          <w:rFonts w:ascii="Calibri" w:hAnsi="Calibri" w:cs="Calibri"/>
          <w:sz w:val="20"/>
        </w:rPr>
        <w:t xml:space="preserve"> </w:t>
      </w:r>
      <w:r w:rsidRPr="00CA3566">
        <w:rPr>
          <w:rFonts w:ascii="Calibri" w:hAnsi="Calibri" w:cs="Calibri"/>
          <w:sz w:val="20"/>
        </w:rPr>
        <w:tab/>
      </w:r>
      <w:r w:rsidRPr="00CA3566">
        <w:rPr>
          <w:rStyle w:val="Znakapoznpodarou"/>
          <w:rFonts w:ascii="Calibri" w:hAnsi="Calibri" w:cs="Calibri"/>
          <w:sz w:val="20"/>
          <w:vertAlign w:val="baseline"/>
        </w:rPr>
        <w:t xml:space="preserve">Zákon č. </w:t>
      </w:r>
      <w:r w:rsidRPr="00CA3566">
        <w:rPr>
          <w:rFonts w:ascii="Calibri" w:hAnsi="Calibri" w:cs="Calibri"/>
          <w:sz w:val="20"/>
        </w:rPr>
        <w:t>248/2000 Sb.,</w:t>
      </w:r>
      <w:r w:rsidRPr="00CA3566">
        <w:rPr>
          <w:rStyle w:val="Znakapoznpodarou"/>
          <w:rFonts w:ascii="Calibri" w:hAnsi="Calibri" w:cs="Calibri"/>
          <w:sz w:val="20"/>
          <w:vertAlign w:val="baseline"/>
        </w:rPr>
        <w:t xml:space="preserve"> </w:t>
      </w:r>
      <w:r w:rsidRPr="00CA3566">
        <w:rPr>
          <w:rFonts w:ascii="Calibri" w:hAnsi="Calibri" w:cs="Calibri"/>
          <w:sz w:val="20"/>
        </w:rPr>
        <w:t xml:space="preserve">o </w:t>
      </w:r>
      <w:r w:rsidRPr="00CA3566">
        <w:rPr>
          <w:rStyle w:val="Znakapoznpodarou"/>
          <w:rFonts w:ascii="Calibri" w:hAnsi="Calibri" w:cs="Calibri"/>
          <w:sz w:val="20"/>
          <w:vertAlign w:val="baseline"/>
        </w:rPr>
        <w:t>podpoře regionálního rozvoje</w:t>
      </w:r>
      <w:r w:rsidRPr="00CA3566">
        <w:rPr>
          <w:rFonts w:ascii="Calibri" w:hAnsi="Calibri" w:cs="Calibri"/>
          <w:sz w:val="20"/>
        </w:rPr>
        <w:t>.</w:t>
      </w:r>
    </w:p>
  </w:footnote>
  <w:footnote w:id="2">
    <w:p w14:paraId="14B136CA" w14:textId="39C87DE7" w:rsidR="00891668" w:rsidRPr="00CA3566" w:rsidRDefault="00891668" w:rsidP="004357EF">
      <w:pPr>
        <w:pStyle w:val="Textpoznpodarou"/>
        <w:spacing w:before="0" w:after="0"/>
        <w:ind w:left="284" w:hanging="284"/>
        <w:rPr>
          <w:rStyle w:val="Znakapoznpodarou"/>
          <w:rFonts w:ascii="Calibri" w:hAnsi="Calibri" w:cs="Calibri"/>
          <w:sz w:val="20"/>
          <w:vertAlign w:val="baseline"/>
        </w:rPr>
      </w:pPr>
      <w:r w:rsidRPr="00CA3566">
        <w:rPr>
          <w:rStyle w:val="Znakapoznpodarou"/>
          <w:rFonts w:ascii="Calibri" w:hAnsi="Calibri" w:cs="Calibri"/>
          <w:sz w:val="20"/>
        </w:rPr>
        <w:footnoteRef/>
      </w:r>
      <w:r w:rsidRPr="00CA3566">
        <w:rPr>
          <w:rStyle w:val="Znakapoznpodarou"/>
          <w:rFonts w:ascii="Calibri" w:hAnsi="Calibri" w:cs="Calibri"/>
          <w:sz w:val="20"/>
        </w:rPr>
        <w:t xml:space="preserve"> </w:t>
      </w:r>
      <w:r w:rsidRPr="00CA3566">
        <w:rPr>
          <w:rStyle w:val="Znakapoznpodarou"/>
          <w:rFonts w:ascii="Calibri" w:hAnsi="Calibri" w:cs="Calibri"/>
          <w:sz w:val="20"/>
        </w:rPr>
        <w:tab/>
      </w:r>
      <w:r w:rsidRPr="00CA3566">
        <w:rPr>
          <w:rStyle w:val="Znakapoznpodarou"/>
          <w:rFonts w:ascii="Calibri" w:hAnsi="Calibri" w:cs="Calibri"/>
          <w:sz w:val="20"/>
          <w:vertAlign w:val="baseline"/>
        </w:rPr>
        <w:t>Zákon č. 128/2000 Sb., o obcích (obecní zřízení)</w:t>
      </w:r>
      <w:r w:rsidRPr="00CA3566">
        <w:rPr>
          <w:rFonts w:ascii="Calibri" w:hAnsi="Calibri" w:cs="Calibri"/>
          <w:sz w:val="20"/>
        </w:rPr>
        <w:t>.</w:t>
      </w:r>
    </w:p>
  </w:footnote>
  <w:footnote w:id="3">
    <w:p w14:paraId="67BD9563" w14:textId="103E1FB5" w:rsidR="00891668" w:rsidRPr="00AC319A" w:rsidRDefault="00891668" w:rsidP="005617F9">
      <w:pPr>
        <w:pStyle w:val="Textpoznpodarou"/>
        <w:spacing w:before="0" w:after="0"/>
        <w:ind w:left="284" w:hanging="284"/>
        <w:rPr>
          <w:rStyle w:val="Znakapoznpodarou"/>
          <w:rFonts w:ascii="Calibri" w:hAnsi="Calibri" w:cs="Calibri"/>
          <w:sz w:val="20"/>
          <w:vertAlign w:val="baseline"/>
        </w:rPr>
      </w:pPr>
      <w:r w:rsidRPr="00CA3566">
        <w:rPr>
          <w:rStyle w:val="Znakapoznpodarou"/>
          <w:rFonts w:ascii="Calibri" w:hAnsi="Calibri" w:cs="Calibri"/>
          <w:sz w:val="20"/>
        </w:rPr>
        <w:footnoteRef/>
      </w:r>
      <w:r w:rsidRPr="00CA3566">
        <w:rPr>
          <w:rFonts w:ascii="Calibri" w:hAnsi="Calibri" w:cs="Calibri"/>
          <w:sz w:val="20"/>
        </w:rPr>
        <w:tab/>
        <w:t>U</w:t>
      </w:r>
      <w:r w:rsidRPr="00CA3566">
        <w:rPr>
          <w:rStyle w:val="Znakapoznpodarou"/>
          <w:rFonts w:ascii="Calibri" w:hAnsi="Calibri" w:cs="Calibri"/>
          <w:sz w:val="20"/>
          <w:vertAlign w:val="baseline"/>
        </w:rPr>
        <w:t xml:space="preserve">snesení vlády ČR ze dne 10. srpna 2011 č. 601, </w:t>
      </w:r>
      <w:r w:rsidRPr="00220F0E">
        <w:rPr>
          <w:rStyle w:val="Znakapoznpodarou"/>
          <w:rFonts w:ascii="Calibri" w:hAnsi="Calibri" w:cs="Calibri"/>
          <w:i/>
          <w:sz w:val="20"/>
          <w:vertAlign w:val="baseline"/>
        </w:rPr>
        <w:t>ke spolufinancování projektu Evropské hlavní město kultury Plzeň 2015 státem</w:t>
      </w:r>
      <w:r w:rsidRPr="00CA3566">
        <w:rPr>
          <w:rFonts w:ascii="Calibri" w:hAnsi="Calibri" w:cs="Calibri"/>
          <w:sz w:val="20"/>
        </w:rPr>
        <w:t>.</w:t>
      </w:r>
    </w:p>
  </w:footnote>
  <w:footnote w:id="4">
    <w:p w14:paraId="7BE43184" w14:textId="5EA1E955" w:rsidR="00891668" w:rsidRPr="00AC319A" w:rsidRDefault="00891668" w:rsidP="00613D14">
      <w:pPr>
        <w:pStyle w:val="Textpoznpodarou"/>
        <w:spacing w:before="0" w:after="0"/>
        <w:ind w:left="284" w:hanging="284"/>
        <w:rPr>
          <w:rStyle w:val="Znakapoznpodarou"/>
          <w:rFonts w:ascii="Calibri" w:hAnsi="Calibri" w:cs="Calibri"/>
          <w:sz w:val="20"/>
          <w:vertAlign w:val="baseline"/>
        </w:rPr>
      </w:pPr>
      <w:r w:rsidRPr="00AC319A">
        <w:rPr>
          <w:rStyle w:val="Znakapoznpodarou"/>
          <w:rFonts w:ascii="Calibri" w:hAnsi="Calibri" w:cs="Calibri"/>
          <w:sz w:val="20"/>
        </w:rPr>
        <w:footnoteRef/>
      </w:r>
      <w:r w:rsidRPr="00AC319A">
        <w:rPr>
          <w:rStyle w:val="Znakapoznpodarou"/>
          <w:rFonts w:ascii="Calibri" w:hAnsi="Calibri" w:cs="Calibri"/>
          <w:sz w:val="20"/>
          <w:vertAlign w:val="baseline"/>
        </w:rPr>
        <w:tab/>
        <w:t>Zákon č. 166/1993 Sb., o Nejvyšším kontrolním úřadu</w:t>
      </w:r>
      <w:r w:rsidRPr="00AC319A">
        <w:rPr>
          <w:rFonts w:ascii="Calibri" w:hAnsi="Calibri" w:cs="Calibri"/>
          <w:sz w:val="20"/>
        </w:rPr>
        <w:t>.</w:t>
      </w:r>
    </w:p>
  </w:footnote>
  <w:footnote w:id="5">
    <w:p w14:paraId="4775D24D" w14:textId="1CB81F9F" w:rsidR="00891668" w:rsidRPr="00AC319A" w:rsidRDefault="00891668" w:rsidP="00C65161">
      <w:pPr>
        <w:pStyle w:val="Textpoznpodarou"/>
        <w:spacing w:before="0" w:after="0"/>
        <w:ind w:left="284" w:hanging="284"/>
        <w:rPr>
          <w:rStyle w:val="Znakapoznpodarou"/>
          <w:rFonts w:ascii="Calibri" w:hAnsi="Calibri" w:cs="Calibri"/>
          <w:sz w:val="20"/>
          <w:vertAlign w:val="baseline"/>
        </w:rPr>
      </w:pPr>
      <w:r w:rsidRPr="00AC319A">
        <w:rPr>
          <w:rStyle w:val="Znakapoznpodarou"/>
          <w:rFonts w:ascii="Calibri" w:hAnsi="Calibri" w:cs="Calibri"/>
          <w:sz w:val="20"/>
        </w:rPr>
        <w:footnoteRef/>
      </w:r>
      <w:r w:rsidRPr="00AC319A">
        <w:rPr>
          <w:rFonts w:ascii="Calibri" w:hAnsi="Calibri" w:cs="Calibri"/>
          <w:sz w:val="20"/>
        </w:rPr>
        <w:tab/>
      </w:r>
      <w:r w:rsidRPr="00AC319A">
        <w:rPr>
          <w:rStyle w:val="Znakapoznpodarou"/>
          <w:rFonts w:ascii="Calibri" w:hAnsi="Calibri" w:cs="Calibri"/>
          <w:sz w:val="20"/>
          <w:vertAlign w:val="baseline"/>
        </w:rPr>
        <w:t>Zákon č. 137/2006 Sb., o veřejných zakázkách</w:t>
      </w:r>
      <w:r w:rsidRPr="00AC319A">
        <w:rPr>
          <w:rFonts w:ascii="Calibri" w:hAnsi="Calibri" w:cs="Calibri"/>
          <w:sz w:val="20"/>
        </w:rPr>
        <w:t>.</w:t>
      </w:r>
    </w:p>
  </w:footnote>
  <w:footnote w:id="6">
    <w:p w14:paraId="337B3FCA" w14:textId="6ADCFA45" w:rsidR="00891668" w:rsidRPr="00AC319A" w:rsidRDefault="00891668" w:rsidP="000A7906">
      <w:pPr>
        <w:pStyle w:val="Textpoznpodarou"/>
        <w:spacing w:before="0" w:after="0"/>
        <w:ind w:left="284" w:hanging="284"/>
        <w:rPr>
          <w:rStyle w:val="Znakapoznpodarou"/>
          <w:rFonts w:asciiTheme="minorHAnsi" w:hAnsiTheme="minorHAnsi" w:cstheme="minorHAnsi"/>
          <w:sz w:val="20"/>
          <w:vertAlign w:val="baseline"/>
        </w:rPr>
      </w:pPr>
      <w:r w:rsidRPr="000A7906">
        <w:rPr>
          <w:rStyle w:val="Znakapoznpodarou"/>
          <w:rFonts w:asciiTheme="minorHAnsi" w:hAnsiTheme="minorHAnsi" w:cstheme="minorHAnsi"/>
          <w:sz w:val="20"/>
        </w:rPr>
        <w:footnoteRef/>
      </w:r>
      <w:r w:rsidRPr="006B4DFE">
        <w:rPr>
          <w:rStyle w:val="Znakapoznpodarou"/>
          <w:rFonts w:asciiTheme="minorHAnsi" w:hAnsiTheme="minorHAnsi" w:cstheme="minorHAnsi"/>
          <w:sz w:val="20"/>
          <w:vertAlign w:val="baseline"/>
        </w:rPr>
        <w:tab/>
      </w:r>
      <w:r w:rsidRPr="00AC319A">
        <w:rPr>
          <w:rStyle w:val="Znakapoznpodarou"/>
          <w:rFonts w:asciiTheme="minorHAnsi" w:hAnsiTheme="minorHAnsi" w:cstheme="minorHAnsi"/>
          <w:sz w:val="20"/>
          <w:vertAlign w:val="baseline"/>
        </w:rPr>
        <w:t>Částka dotace</w:t>
      </w:r>
      <w:r w:rsidRPr="00AC319A">
        <w:rPr>
          <w:rFonts w:asciiTheme="minorHAnsi" w:hAnsiTheme="minorHAnsi" w:cstheme="minorHAnsi"/>
          <w:sz w:val="20"/>
        </w:rPr>
        <w:t xml:space="preserve"> uvádí plánovanou/požadovanou částku peněžních prostředků projektu, kterou poskytuje RR příjemci dotace a která se spoluúčastí příjemce tvoří celkové způsobilé výdaje projektu. Celkové výdaje projektu tvoří uvedené způsobilé výdaje a dále nezpůsobilé výdaje, které hradí výlučně příjemce dotace z vlastních prostředků.</w:t>
      </w:r>
    </w:p>
  </w:footnote>
  <w:footnote w:id="7">
    <w:p w14:paraId="65D1B929" w14:textId="535096F8" w:rsidR="00891668" w:rsidRPr="00AC319A" w:rsidRDefault="00891668" w:rsidP="00AC319A">
      <w:pPr>
        <w:pStyle w:val="Textpoznpodarou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AC319A">
        <w:rPr>
          <w:rStyle w:val="Znakapoznpodarou"/>
          <w:rFonts w:asciiTheme="minorHAnsi" w:hAnsiTheme="minorHAnsi" w:cstheme="minorHAnsi"/>
          <w:sz w:val="20"/>
        </w:rPr>
        <w:footnoteRef/>
      </w:r>
      <w:r w:rsidRPr="00AC319A">
        <w:rPr>
          <w:rFonts w:asciiTheme="minorHAnsi" w:hAnsiTheme="minorHAnsi" w:cstheme="minorHAnsi"/>
          <w:sz w:val="20"/>
        </w:rPr>
        <w:tab/>
        <w:t>Skutečné celkové způsobilé výdaje (dotace RR + spoluúčast příjemce) byly zjištěny z vykázaných způsobilých výdajů uvedených příjemcem dotace v žádostech o platbu. Konečná skutečná výše způsobilých výdajů se může lišit v závislosti na zjištěných nesrovnalostech a navrácení části dotace. Kontrolované projekty nebyly v době provedení kontroly NKÚ finančně vypořádány.</w:t>
      </w:r>
    </w:p>
  </w:footnote>
  <w:footnote w:id="8">
    <w:p w14:paraId="7FB177DA" w14:textId="67FFFD47" w:rsidR="00891668" w:rsidRPr="00AC319A" w:rsidRDefault="00891668" w:rsidP="00AC319A">
      <w:pPr>
        <w:pStyle w:val="Textpoznpodarou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AC319A">
        <w:rPr>
          <w:rStyle w:val="Znakapoznpodarou"/>
          <w:rFonts w:asciiTheme="minorHAnsi" w:hAnsiTheme="minorHAnsi" w:cstheme="minorHAnsi"/>
          <w:sz w:val="20"/>
        </w:rPr>
        <w:footnoteRef/>
      </w:r>
      <w:r w:rsidRPr="00AC319A">
        <w:rPr>
          <w:rFonts w:asciiTheme="minorHAnsi" w:hAnsiTheme="minorHAnsi" w:cstheme="minorHAnsi"/>
          <w:sz w:val="20"/>
        </w:rPr>
        <w:tab/>
        <w:t xml:space="preserve">Optimální částka dotace byla zjištěna z výpočtu provedeného RR a je vyjádřením podílu optimálního rozpočtu </w:t>
      </w:r>
      <w:r w:rsidR="001E2A3C">
        <w:rPr>
          <w:rFonts w:asciiTheme="minorHAnsi" w:hAnsiTheme="minorHAnsi" w:cstheme="minorHAnsi"/>
          <w:sz w:val="20"/>
        </w:rPr>
        <w:t>n</w:t>
      </w:r>
      <w:r w:rsidRPr="00AC319A">
        <w:rPr>
          <w:rFonts w:asciiTheme="minorHAnsi" w:hAnsiTheme="minorHAnsi" w:cstheme="minorHAnsi"/>
          <w:sz w:val="20"/>
        </w:rPr>
        <w:t>a plánované</w:t>
      </w:r>
      <w:r w:rsidR="001E2A3C">
        <w:rPr>
          <w:rFonts w:asciiTheme="minorHAnsi" w:hAnsiTheme="minorHAnsi" w:cstheme="minorHAnsi"/>
          <w:sz w:val="20"/>
        </w:rPr>
        <w:t>m</w:t>
      </w:r>
      <w:r w:rsidRPr="00AC319A">
        <w:rPr>
          <w:rFonts w:asciiTheme="minorHAnsi" w:hAnsiTheme="minorHAnsi" w:cstheme="minorHAnsi"/>
          <w:sz w:val="20"/>
        </w:rPr>
        <w:t xml:space="preserve"> rozpočtu v procentech.</w:t>
      </w:r>
    </w:p>
  </w:footnote>
  <w:footnote w:id="9">
    <w:p w14:paraId="701725A4" w14:textId="3EAE7E85" w:rsidR="00891668" w:rsidRPr="00AC319A" w:rsidRDefault="00891668" w:rsidP="00AC319A">
      <w:pPr>
        <w:pStyle w:val="Textpoznpodarou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AC319A">
        <w:rPr>
          <w:rStyle w:val="Znakapoznpodarou"/>
          <w:rFonts w:asciiTheme="minorHAnsi" w:hAnsiTheme="minorHAnsi" w:cstheme="minorHAnsi"/>
          <w:sz w:val="20"/>
        </w:rPr>
        <w:footnoteRef/>
      </w:r>
      <w:r w:rsidRPr="00AC319A">
        <w:rPr>
          <w:rFonts w:asciiTheme="minorHAnsi" w:hAnsiTheme="minorHAnsi" w:cstheme="minorHAnsi"/>
          <w:sz w:val="20"/>
        </w:rPr>
        <w:tab/>
        <w:t>OVS – občanská vybavenost sídel.</w:t>
      </w:r>
    </w:p>
  </w:footnote>
  <w:footnote w:id="10">
    <w:p w14:paraId="6FF02EEA" w14:textId="2F220DE5" w:rsidR="001E2A3C" w:rsidRPr="001E2A3C" w:rsidRDefault="001E2A3C" w:rsidP="00C3020F">
      <w:pPr>
        <w:pStyle w:val="Textpoznpodarou"/>
        <w:spacing w:before="0" w:after="0"/>
        <w:ind w:left="284" w:hanging="284"/>
        <w:rPr>
          <w:rFonts w:ascii="Calibri" w:hAnsi="Calibri" w:cs="Calibri"/>
          <w:sz w:val="20"/>
        </w:rPr>
      </w:pPr>
      <w:r w:rsidRPr="001E2A3C">
        <w:rPr>
          <w:rStyle w:val="Znakapoznpodarou"/>
          <w:rFonts w:ascii="Calibri" w:hAnsi="Calibri" w:cs="Calibri"/>
          <w:sz w:val="20"/>
        </w:rPr>
        <w:footnoteRef/>
      </w:r>
      <w:r>
        <w:rPr>
          <w:rFonts w:ascii="Calibri" w:hAnsi="Calibri" w:cs="Calibri"/>
          <w:sz w:val="20"/>
        </w:rPr>
        <w:tab/>
      </w:r>
      <w:r w:rsidRPr="001E2A3C">
        <w:rPr>
          <w:rFonts w:ascii="Calibri" w:hAnsi="Calibri" w:cs="Calibri"/>
          <w:sz w:val="20"/>
        </w:rPr>
        <w:t>TT – tramvajová trať.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E3F4" w14:textId="07FEE8EF" w:rsidR="00891668" w:rsidRPr="00AC319A" w:rsidRDefault="00891668" w:rsidP="00AC319A">
    <w:pPr>
      <w:pStyle w:val="Zhlav"/>
      <w:tabs>
        <w:tab w:val="clear" w:pos="4536"/>
        <w:tab w:val="clear" w:pos="9072"/>
        <w:tab w:val="left" w:pos="3281"/>
      </w:tabs>
      <w:rPr>
        <w:rFonts w:ascii="Calibri" w:hAnsi="Calibri" w:cs="Calibri"/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BC3C" w14:textId="77777777" w:rsidR="00891668" w:rsidRPr="00A55DEF" w:rsidRDefault="00891668" w:rsidP="005A4C38">
    <w:pPr>
      <w:pStyle w:val="Zhlav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0F5A4C"/>
    <w:multiLevelType w:val="multilevel"/>
    <w:tmpl w:val="D93ECB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B11457"/>
    <w:multiLevelType w:val="hybridMultilevel"/>
    <w:tmpl w:val="25B29FB0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0970"/>
    <w:multiLevelType w:val="hybridMultilevel"/>
    <w:tmpl w:val="6F8CB22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91405"/>
    <w:multiLevelType w:val="multilevel"/>
    <w:tmpl w:val="5B8C6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>
    <w:nsid w:val="0D565B7B"/>
    <w:multiLevelType w:val="hybridMultilevel"/>
    <w:tmpl w:val="A7168456"/>
    <w:lvl w:ilvl="0" w:tplc="95F2D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2C1D"/>
    <w:multiLevelType w:val="hybridMultilevel"/>
    <w:tmpl w:val="7E0864C6"/>
    <w:lvl w:ilvl="0" w:tplc="361E8EF2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8CF2"/>
    <w:multiLevelType w:val="hybridMultilevel"/>
    <w:tmpl w:val="BF8E06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4B4E6B"/>
    <w:multiLevelType w:val="hybridMultilevel"/>
    <w:tmpl w:val="446E7C9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176C"/>
    <w:multiLevelType w:val="hybridMultilevel"/>
    <w:tmpl w:val="2492517E"/>
    <w:lvl w:ilvl="0" w:tplc="C53AF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0B92"/>
    <w:multiLevelType w:val="hybridMultilevel"/>
    <w:tmpl w:val="138EA18C"/>
    <w:lvl w:ilvl="0" w:tplc="D52209CE">
      <w:start w:val="3"/>
      <w:numFmt w:val="bullet"/>
      <w:lvlText w:val="−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C877DF"/>
    <w:multiLevelType w:val="hybridMultilevel"/>
    <w:tmpl w:val="C5C22A2C"/>
    <w:lvl w:ilvl="0" w:tplc="7D86255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91DFC"/>
    <w:multiLevelType w:val="multilevel"/>
    <w:tmpl w:val="142075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7C01C64"/>
    <w:multiLevelType w:val="hybridMultilevel"/>
    <w:tmpl w:val="DF069F02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29DF0B0C"/>
    <w:multiLevelType w:val="hybridMultilevel"/>
    <w:tmpl w:val="5BBA88E4"/>
    <w:lvl w:ilvl="0" w:tplc="2166A2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11B28"/>
    <w:multiLevelType w:val="hybridMultilevel"/>
    <w:tmpl w:val="C832DDB2"/>
    <w:lvl w:ilvl="0" w:tplc="B644D5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960F7"/>
    <w:multiLevelType w:val="hybridMultilevel"/>
    <w:tmpl w:val="7BCA8444"/>
    <w:lvl w:ilvl="0" w:tplc="A1F4B5CA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A52ACD"/>
    <w:multiLevelType w:val="hybridMultilevel"/>
    <w:tmpl w:val="8D1AAD1E"/>
    <w:lvl w:ilvl="0" w:tplc="EE8C0CC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F5AA4"/>
    <w:multiLevelType w:val="hybridMultilevel"/>
    <w:tmpl w:val="32B4A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06147"/>
    <w:multiLevelType w:val="multilevel"/>
    <w:tmpl w:val="D3E21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DB1126"/>
    <w:multiLevelType w:val="hybridMultilevel"/>
    <w:tmpl w:val="1D12959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7BF2EE3"/>
    <w:multiLevelType w:val="hybridMultilevel"/>
    <w:tmpl w:val="D4C87F5E"/>
    <w:lvl w:ilvl="0" w:tplc="95F2D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50869"/>
    <w:multiLevelType w:val="hybridMultilevel"/>
    <w:tmpl w:val="92288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D5C7D"/>
    <w:multiLevelType w:val="hybridMultilevel"/>
    <w:tmpl w:val="06E8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00D2A"/>
    <w:multiLevelType w:val="hybridMultilevel"/>
    <w:tmpl w:val="E75C616A"/>
    <w:lvl w:ilvl="0" w:tplc="7D3AB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5474E"/>
    <w:multiLevelType w:val="hybridMultilevel"/>
    <w:tmpl w:val="EBBAE762"/>
    <w:lvl w:ilvl="0" w:tplc="79E8570C">
      <w:numFmt w:val="bullet"/>
      <w:lvlText w:val="–"/>
      <w:lvlJc w:val="left"/>
      <w:pPr>
        <w:ind w:left="4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5DC1162"/>
    <w:multiLevelType w:val="multilevel"/>
    <w:tmpl w:val="315C04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947518A"/>
    <w:multiLevelType w:val="hybridMultilevel"/>
    <w:tmpl w:val="311EAF58"/>
    <w:lvl w:ilvl="0" w:tplc="54FCC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B7EA0"/>
    <w:multiLevelType w:val="hybridMultilevel"/>
    <w:tmpl w:val="5900DB00"/>
    <w:lvl w:ilvl="0" w:tplc="E0B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00DA1"/>
    <w:multiLevelType w:val="hybridMultilevel"/>
    <w:tmpl w:val="34EE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921AB"/>
    <w:multiLevelType w:val="hybridMultilevel"/>
    <w:tmpl w:val="921251C8"/>
    <w:lvl w:ilvl="0" w:tplc="7ED89D5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19">
      <w:numFmt w:val="bullet"/>
      <w:lvlText w:val="-"/>
      <w:lvlJc w:val="left"/>
      <w:pPr>
        <w:tabs>
          <w:tab w:val="num" w:pos="2163"/>
        </w:tabs>
        <w:ind w:left="2163" w:hanging="735"/>
      </w:pPr>
      <w:rPr>
        <w:rFonts w:ascii="Times New Roman" w:eastAsia="SimSu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E6507"/>
    <w:multiLevelType w:val="hybridMultilevel"/>
    <w:tmpl w:val="77D80E86"/>
    <w:lvl w:ilvl="0" w:tplc="FEEADD2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A4951"/>
    <w:multiLevelType w:val="hybridMultilevel"/>
    <w:tmpl w:val="D9BE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CB7F1C"/>
    <w:multiLevelType w:val="hybridMultilevel"/>
    <w:tmpl w:val="D15C66E8"/>
    <w:lvl w:ilvl="0" w:tplc="0405001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2163"/>
        </w:tabs>
        <w:ind w:left="2163" w:hanging="735"/>
      </w:pPr>
      <w:rPr>
        <w:rFonts w:ascii="Times New Roman" w:eastAsia="SimSu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3"/>
  </w:num>
  <w:num w:numId="5">
    <w:abstractNumId w:val="15"/>
  </w:num>
  <w:num w:numId="6">
    <w:abstractNumId w:val="32"/>
  </w:num>
  <w:num w:numId="7">
    <w:abstractNumId w:val="32"/>
    <w:lvlOverride w:ilvl="0">
      <w:startOverride w:val="1"/>
    </w:lvlOverride>
  </w:num>
  <w:num w:numId="8">
    <w:abstractNumId w:val="25"/>
  </w:num>
  <w:num w:numId="9">
    <w:abstractNumId w:val="24"/>
  </w:num>
  <w:num w:numId="10">
    <w:abstractNumId w:val="24"/>
    <w:lvlOverride w:ilvl="0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10"/>
  </w:num>
  <w:num w:numId="16">
    <w:abstractNumId w:val="2"/>
  </w:num>
  <w:num w:numId="17">
    <w:abstractNumId w:val="23"/>
  </w:num>
  <w:num w:numId="18">
    <w:abstractNumId w:val="20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2"/>
  </w:num>
  <w:num w:numId="23">
    <w:abstractNumId w:val="11"/>
  </w:num>
  <w:num w:numId="24">
    <w:abstractNumId w:val="28"/>
  </w:num>
  <w:num w:numId="25">
    <w:abstractNumId w:val="29"/>
  </w:num>
  <w:num w:numId="26">
    <w:abstractNumId w:val="22"/>
  </w:num>
  <w:num w:numId="27">
    <w:abstractNumId w:val="6"/>
  </w:num>
  <w:num w:numId="28">
    <w:abstractNumId w:val="33"/>
  </w:num>
  <w:num w:numId="29">
    <w:abstractNumId w:val="4"/>
  </w:num>
  <w:num w:numId="30">
    <w:abstractNumId w:val="7"/>
  </w:num>
  <w:num w:numId="31">
    <w:abstractNumId w:val="31"/>
  </w:num>
  <w:num w:numId="32">
    <w:abstractNumId w:val="30"/>
  </w:num>
  <w:num w:numId="33">
    <w:abstractNumId w:val="19"/>
  </w:num>
  <w:num w:numId="34">
    <w:abstractNumId w:val="16"/>
  </w:num>
  <w:num w:numId="35">
    <w:abstractNumId w:val="17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8"/>
    <w:rsid w:val="00001A79"/>
    <w:rsid w:val="000129E7"/>
    <w:rsid w:val="00014C0E"/>
    <w:rsid w:val="000220C3"/>
    <w:rsid w:val="00027065"/>
    <w:rsid w:val="00027691"/>
    <w:rsid w:val="00031EA5"/>
    <w:rsid w:val="0003566C"/>
    <w:rsid w:val="00053DFF"/>
    <w:rsid w:val="000541F8"/>
    <w:rsid w:val="00055303"/>
    <w:rsid w:val="000559A0"/>
    <w:rsid w:val="00056DEB"/>
    <w:rsid w:val="00061DC4"/>
    <w:rsid w:val="00066943"/>
    <w:rsid w:val="00067114"/>
    <w:rsid w:val="00067A3C"/>
    <w:rsid w:val="0007097B"/>
    <w:rsid w:val="0007204F"/>
    <w:rsid w:val="000765F3"/>
    <w:rsid w:val="0008264D"/>
    <w:rsid w:val="00082BFB"/>
    <w:rsid w:val="00086C80"/>
    <w:rsid w:val="00090FE4"/>
    <w:rsid w:val="000A7906"/>
    <w:rsid w:val="000B3024"/>
    <w:rsid w:val="000B7E80"/>
    <w:rsid w:val="000C33EE"/>
    <w:rsid w:val="000C5033"/>
    <w:rsid w:val="000C7712"/>
    <w:rsid w:val="000D12BD"/>
    <w:rsid w:val="000D17D5"/>
    <w:rsid w:val="000D2310"/>
    <w:rsid w:val="000D72C7"/>
    <w:rsid w:val="000E00B2"/>
    <w:rsid w:val="000E7BB2"/>
    <w:rsid w:val="000F2C27"/>
    <w:rsid w:val="000F7244"/>
    <w:rsid w:val="00102E74"/>
    <w:rsid w:val="00104094"/>
    <w:rsid w:val="00122645"/>
    <w:rsid w:val="001250E6"/>
    <w:rsid w:val="0012543B"/>
    <w:rsid w:val="00131EA6"/>
    <w:rsid w:val="001335A4"/>
    <w:rsid w:val="0013438B"/>
    <w:rsid w:val="00136B9B"/>
    <w:rsid w:val="00137158"/>
    <w:rsid w:val="0013745B"/>
    <w:rsid w:val="00140FE7"/>
    <w:rsid w:val="001417A7"/>
    <w:rsid w:val="001448FB"/>
    <w:rsid w:val="001528F7"/>
    <w:rsid w:val="00165437"/>
    <w:rsid w:val="00170B21"/>
    <w:rsid w:val="00171F6A"/>
    <w:rsid w:val="00180F4C"/>
    <w:rsid w:val="00184585"/>
    <w:rsid w:val="00185E43"/>
    <w:rsid w:val="00191D70"/>
    <w:rsid w:val="001A1597"/>
    <w:rsid w:val="001A4716"/>
    <w:rsid w:val="001A786A"/>
    <w:rsid w:val="001B46B1"/>
    <w:rsid w:val="001B6C42"/>
    <w:rsid w:val="001C6A6B"/>
    <w:rsid w:val="001D1E85"/>
    <w:rsid w:val="001E2A3C"/>
    <w:rsid w:val="001E6CE9"/>
    <w:rsid w:val="001F0081"/>
    <w:rsid w:val="001F1444"/>
    <w:rsid w:val="001F2237"/>
    <w:rsid w:val="001F4072"/>
    <w:rsid w:val="002016EC"/>
    <w:rsid w:val="0021603E"/>
    <w:rsid w:val="0021624F"/>
    <w:rsid w:val="00220F0E"/>
    <w:rsid w:val="002249C3"/>
    <w:rsid w:val="00225FCD"/>
    <w:rsid w:val="002275CA"/>
    <w:rsid w:val="00233F85"/>
    <w:rsid w:val="00245664"/>
    <w:rsid w:val="0024765B"/>
    <w:rsid w:val="0024775A"/>
    <w:rsid w:val="00254EC3"/>
    <w:rsid w:val="00255DD4"/>
    <w:rsid w:val="0025616D"/>
    <w:rsid w:val="00270E0B"/>
    <w:rsid w:val="002821E1"/>
    <w:rsid w:val="0028304F"/>
    <w:rsid w:val="00283AA5"/>
    <w:rsid w:val="00295A63"/>
    <w:rsid w:val="002972E2"/>
    <w:rsid w:val="002A1CFD"/>
    <w:rsid w:val="002B0D45"/>
    <w:rsid w:val="002B6945"/>
    <w:rsid w:val="002C1F3F"/>
    <w:rsid w:val="002D00C0"/>
    <w:rsid w:val="002E3AB9"/>
    <w:rsid w:val="002F2086"/>
    <w:rsid w:val="00305C12"/>
    <w:rsid w:val="0031070D"/>
    <w:rsid w:val="00313E07"/>
    <w:rsid w:val="00315E13"/>
    <w:rsid w:val="00317BC8"/>
    <w:rsid w:val="003205C2"/>
    <w:rsid w:val="00325A1C"/>
    <w:rsid w:val="00332D4C"/>
    <w:rsid w:val="00334D9C"/>
    <w:rsid w:val="00337BB3"/>
    <w:rsid w:val="00340B59"/>
    <w:rsid w:val="00341623"/>
    <w:rsid w:val="00344A19"/>
    <w:rsid w:val="003451AE"/>
    <w:rsid w:val="00347581"/>
    <w:rsid w:val="00360DC5"/>
    <w:rsid w:val="003627C9"/>
    <w:rsid w:val="00363D86"/>
    <w:rsid w:val="00370C6A"/>
    <w:rsid w:val="00374E66"/>
    <w:rsid w:val="00380014"/>
    <w:rsid w:val="003816A0"/>
    <w:rsid w:val="003850B8"/>
    <w:rsid w:val="00387B9C"/>
    <w:rsid w:val="0039278B"/>
    <w:rsid w:val="003A20B6"/>
    <w:rsid w:val="003A63D5"/>
    <w:rsid w:val="003A66BB"/>
    <w:rsid w:val="003C49E2"/>
    <w:rsid w:val="003C523F"/>
    <w:rsid w:val="003D3EA1"/>
    <w:rsid w:val="003D5196"/>
    <w:rsid w:val="003E02EA"/>
    <w:rsid w:val="003E4111"/>
    <w:rsid w:val="003E7653"/>
    <w:rsid w:val="003F04B3"/>
    <w:rsid w:val="003F13CE"/>
    <w:rsid w:val="003F3EA7"/>
    <w:rsid w:val="003F64AA"/>
    <w:rsid w:val="00410C72"/>
    <w:rsid w:val="0041263E"/>
    <w:rsid w:val="00422F01"/>
    <w:rsid w:val="00423A1F"/>
    <w:rsid w:val="004241BE"/>
    <w:rsid w:val="0042614F"/>
    <w:rsid w:val="00426BF9"/>
    <w:rsid w:val="00427101"/>
    <w:rsid w:val="004272A4"/>
    <w:rsid w:val="004321A8"/>
    <w:rsid w:val="004357EF"/>
    <w:rsid w:val="00436BF4"/>
    <w:rsid w:val="0044142C"/>
    <w:rsid w:val="00441895"/>
    <w:rsid w:val="0044406D"/>
    <w:rsid w:val="004460E7"/>
    <w:rsid w:val="00464B0E"/>
    <w:rsid w:val="00464B66"/>
    <w:rsid w:val="00470B02"/>
    <w:rsid w:val="00477586"/>
    <w:rsid w:val="00484DB0"/>
    <w:rsid w:val="00492427"/>
    <w:rsid w:val="0049271D"/>
    <w:rsid w:val="00494E20"/>
    <w:rsid w:val="00496E46"/>
    <w:rsid w:val="004A0D6D"/>
    <w:rsid w:val="004A2837"/>
    <w:rsid w:val="004A531A"/>
    <w:rsid w:val="004A7392"/>
    <w:rsid w:val="004A75BA"/>
    <w:rsid w:val="004B1480"/>
    <w:rsid w:val="004B351B"/>
    <w:rsid w:val="004B5074"/>
    <w:rsid w:val="004B7D6F"/>
    <w:rsid w:val="004C0EB8"/>
    <w:rsid w:val="004C3067"/>
    <w:rsid w:val="004C76CF"/>
    <w:rsid w:val="004E3587"/>
    <w:rsid w:val="004E3A66"/>
    <w:rsid w:val="004E4FF9"/>
    <w:rsid w:val="004F0F4F"/>
    <w:rsid w:val="004F31A5"/>
    <w:rsid w:val="004F5529"/>
    <w:rsid w:val="004F69C0"/>
    <w:rsid w:val="004F7881"/>
    <w:rsid w:val="00500FBA"/>
    <w:rsid w:val="005043D3"/>
    <w:rsid w:val="0051036B"/>
    <w:rsid w:val="00524268"/>
    <w:rsid w:val="0052524D"/>
    <w:rsid w:val="0052662A"/>
    <w:rsid w:val="00540CBF"/>
    <w:rsid w:val="00544C6C"/>
    <w:rsid w:val="005468B1"/>
    <w:rsid w:val="005479AB"/>
    <w:rsid w:val="00550846"/>
    <w:rsid w:val="00550FE7"/>
    <w:rsid w:val="0055213C"/>
    <w:rsid w:val="005525D9"/>
    <w:rsid w:val="00552603"/>
    <w:rsid w:val="00552FD6"/>
    <w:rsid w:val="00556F1F"/>
    <w:rsid w:val="00557B59"/>
    <w:rsid w:val="0056076E"/>
    <w:rsid w:val="005617F9"/>
    <w:rsid w:val="00567FF2"/>
    <w:rsid w:val="0057358E"/>
    <w:rsid w:val="00584D81"/>
    <w:rsid w:val="005904FE"/>
    <w:rsid w:val="005A1843"/>
    <w:rsid w:val="005A4C38"/>
    <w:rsid w:val="005A68E2"/>
    <w:rsid w:val="005A6F19"/>
    <w:rsid w:val="005A7EB8"/>
    <w:rsid w:val="005B1755"/>
    <w:rsid w:val="005C1B4D"/>
    <w:rsid w:val="005C7B19"/>
    <w:rsid w:val="005D7D37"/>
    <w:rsid w:val="005E54FE"/>
    <w:rsid w:val="005E64B4"/>
    <w:rsid w:val="005F65D2"/>
    <w:rsid w:val="0060179B"/>
    <w:rsid w:val="00602C47"/>
    <w:rsid w:val="00603058"/>
    <w:rsid w:val="00605E49"/>
    <w:rsid w:val="00610BDC"/>
    <w:rsid w:val="00611318"/>
    <w:rsid w:val="00613D14"/>
    <w:rsid w:val="00620863"/>
    <w:rsid w:val="006277B5"/>
    <w:rsid w:val="0063009B"/>
    <w:rsid w:val="00632031"/>
    <w:rsid w:val="00632A5F"/>
    <w:rsid w:val="00637458"/>
    <w:rsid w:val="006378A4"/>
    <w:rsid w:val="00637EFE"/>
    <w:rsid w:val="00643017"/>
    <w:rsid w:val="00644CAB"/>
    <w:rsid w:val="00646FD9"/>
    <w:rsid w:val="006479A2"/>
    <w:rsid w:val="00651BB7"/>
    <w:rsid w:val="006610CB"/>
    <w:rsid w:val="006815B5"/>
    <w:rsid w:val="00681924"/>
    <w:rsid w:val="006829B5"/>
    <w:rsid w:val="006840E5"/>
    <w:rsid w:val="0068646B"/>
    <w:rsid w:val="006878B6"/>
    <w:rsid w:val="00690C5E"/>
    <w:rsid w:val="006A1756"/>
    <w:rsid w:val="006B1683"/>
    <w:rsid w:val="006B2AB9"/>
    <w:rsid w:val="006B2BC9"/>
    <w:rsid w:val="006B2F4E"/>
    <w:rsid w:val="006B4DFE"/>
    <w:rsid w:val="006B7E15"/>
    <w:rsid w:val="006C1A3B"/>
    <w:rsid w:val="006C2F16"/>
    <w:rsid w:val="006C6546"/>
    <w:rsid w:val="006C6CD0"/>
    <w:rsid w:val="006D7EF5"/>
    <w:rsid w:val="006E0BA0"/>
    <w:rsid w:val="006F0812"/>
    <w:rsid w:val="006F3A0A"/>
    <w:rsid w:val="00702ABE"/>
    <w:rsid w:val="007054A1"/>
    <w:rsid w:val="007110B6"/>
    <w:rsid w:val="00711235"/>
    <w:rsid w:val="0071268F"/>
    <w:rsid w:val="0073444D"/>
    <w:rsid w:val="00740305"/>
    <w:rsid w:val="00741C68"/>
    <w:rsid w:val="00744383"/>
    <w:rsid w:val="007467C5"/>
    <w:rsid w:val="0074785F"/>
    <w:rsid w:val="00751314"/>
    <w:rsid w:val="007613B3"/>
    <w:rsid w:val="00763AF8"/>
    <w:rsid w:val="00764305"/>
    <w:rsid w:val="00764707"/>
    <w:rsid w:val="0076592D"/>
    <w:rsid w:val="00766A7F"/>
    <w:rsid w:val="00774AB4"/>
    <w:rsid w:val="0077656B"/>
    <w:rsid w:val="00780E54"/>
    <w:rsid w:val="0078401D"/>
    <w:rsid w:val="00786A53"/>
    <w:rsid w:val="00786B0F"/>
    <w:rsid w:val="007A384D"/>
    <w:rsid w:val="007A6708"/>
    <w:rsid w:val="007A677F"/>
    <w:rsid w:val="007B2498"/>
    <w:rsid w:val="007B6A75"/>
    <w:rsid w:val="007C1479"/>
    <w:rsid w:val="007C542A"/>
    <w:rsid w:val="007E36D5"/>
    <w:rsid w:val="007E3ABD"/>
    <w:rsid w:val="007E4557"/>
    <w:rsid w:val="007E523B"/>
    <w:rsid w:val="007E613A"/>
    <w:rsid w:val="007E7DF2"/>
    <w:rsid w:val="007F1D18"/>
    <w:rsid w:val="00800EE9"/>
    <w:rsid w:val="00813CE9"/>
    <w:rsid w:val="00814042"/>
    <w:rsid w:val="00814D9D"/>
    <w:rsid w:val="00823BAB"/>
    <w:rsid w:val="00823BEF"/>
    <w:rsid w:val="008420A0"/>
    <w:rsid w:val="00876687"/>
    <w:rsid w:val="00883D30"/>
    <w:rsid w:val="008904DB"/>
    <w:rsid w:val="008911E9"/>
    <w:rsid w:val="00891668"/>
    <w:rsid w:val="00893CEC"/>
    <w:rsid w:val="00894408"/>
    <w:rsid w:val="008962EA"/>
    <w:rsid w:val="008A2119"/>
    <w:rsid w:val="008B1638"/>
    <w:rsid w:val="008B64E6"/>
    <w:rsid w:val="008D0EDA"/>
    <w:rsid w:val="008D2A44"/>
    <w:rsid w:val="008E1CD5"/>
    <w:rsid w:val="008E3975"/>
    <w:rsid w:val="008E7515"/>
    <w:rsid w:val="008F14C6"/>
    <w:rsid w:val="009007C5"/>
    <w:rsid w:val="00900AE8"/>
    <w:rsid w:val="00900D48"/>
    <w:rsid w:val="00901E4A"/>
    <w:rsid w:val="00902E3F"/>
    <w:rsid w:val="00904781"/>
    <w:rsid w:val="0090795A"/>
    <w:rsid w:val="00924E87"/>
    <w:rsid w:val="00926C8D"/>
    <w:rsid w:val="0093555B"/>
    <w:rsid w:val="009400E6"/>
    <w:rsid w:val="00942086"/>
    <w:rsid w:val="009426DA"/>
    <w:rsid w:val="00942950"/>
    <w:rsid w:val="009466ED"/>
    <w:rsid w:val="00951285"/>
    <w:rsid w:val="00952101"/>
    <w:rsid w:val="0095553C"/>
    <w:rsid w:val="00964634"/>
    <w:rsid w:val="00967035"/>
    <w:rsid w:val="00967BDD"/>
    <w:rsid w:val="0097139E"/>
    <w:rsid w:val="00971A97"/>
    <w:rsid w:val="009733BF"/>
    <w:rsid w:val="0097774B"/>
    <w:rsid w:val="0098051A"/>
    <w:rsid w:val="00980D52"/>
    <w:rsid w:val="00983F5F"/>
    <w:rsid w:val="009869BB"/>
    <w:rsid w:val="00991EF4"/>
    <w:rsid w:val="00995FF4"/>
    <w:rsid w:val="00996D8B"/>
    <w:rsid w:val="009A09CC"/>
    <w:rsid w:val="009A0E05"/>
    <w:rsid w:val="009A44C4"/>
    <w:rsid w:val="009B646A"/>
    <w:rsid w:val="009C0280"/>
    <w:rsid w:val="009C2043"/>
    <w:rsid w:val="009C54A4"/>
    <w:rsid w:val="009D4D40"/>
    <w:rsid w:val="009E0953"/>
    <w:rsid w:val="009E2A04"/>
    <w:rsid w:val="009E6AC1"/>
    <w:rsid w:val="00A00C18"/>
    <w:rsid w:val="00A0748F"/>
    <w:rsid w:val="00A10175"/>
    <w:rsid w:val="00A135DD"/>
    <w:rsid w:val="00A15C2B"/>
    <w:rsid w:val="00A17F6D"/>
    <w:rsid w:val="00A2656A"/>
    <w:rsid w:val="00A30E58"/>
    <w:rsid w:val="00A32158"/>
    <w:rsid w:val="00A3496C"/>
    <w:rsid w:val="00A409E3"/>
    <w:rsid w:val="00A43F2D"/>
    <w:rsid w:val="00A516A5"/>
    <w:rsid w:val="00A57AB3"/>
    <w:rsid w:val="00A63671"/>
    <w:rsid w:val="00A64BA6"/>
    <w:rsid w:val="00A65C3B"/>
    <w:rsid w:val="00A70D56"/>
    <w:rsid w:val="00A7308B"/>
    <w:rsid w:val="00A741C4"/>
    <w:rsid w:val="00A85FDF"/>
    <w:rsid w:val="00A906B2"/>
    <w:rsid w:val="00A95D75"/>
    <w:rsid w:val="00A9739D"/>
    <w:rsid w:val="00AA3C33"/>
    <w:rsid w:val="00AA482B"/>
    <w:rsid w:val="00AB10E4"/>
    <w:rsid w:val="00AB1E54"/>
    <w:rsid w:val="00AC319A"/>
    <w:rsid w:val="00AC7A81"/>
    <w:rsid w:val="00AD4E57"/>
    <w:rsid w:val="00AE006D"/>
    <w:rsid w:val="00AE0CDE"/>
    <w:rsid w:val="00AE1F2E"/>
    <w:rsid w:val="00AF39D9"/>
    <w:rsid w:val="00B15956"/>
    <w:rsid w:val="00B319C9"/>
    <w:rsid w:val="00B32150"/>
    <w:rsid w:val="00B33859"/>
    <w:rsid w:val="00B34266"/>
    <w:rsid w:val="00B42CE0"/>
    <w:rsid w:val="00B44B2F"/>
    <w:rsid w:val="00B478A9"/>
    <w:rsid w:val="00B56AE1"/>
    <w:rsid w:val="00B56D68"/>
    <w:rsid w:val="00B56DDF"/>
    <w:rsid w:val="00B73F26"/>
    <w:rsid w:val="00B745D7"/>
    <w:rsid w:val="00B8015D"/>
    <w:rsid w:val="00B91167"/>
    <w:rsid w:val="00B959C9"/>
    <w:rsid w:val="00B978DA"/>
    <w:rsid w:val="00BA500A"/>
    <w:rsid w:val="00BB39B8"/>
    <w:rsid w:val="00BB59D7"/>
    <w:rsid w:val="00BC59BA"/>
    <w:rsid w:val="00BC6D19"/>
    <w:rsid w:val="00BD3551"/>
    <w:rsid w:val="00BD760B"/>
    <w:rsid w:val="00BD7ACE"/>
    <w:rsid w:val="00BF53C0"/>
    <w:rsid w:val="00BF7614"/>
    <w:rsid w:val="00C00107"/>
    <w:rsid w:val="00C052B6"/>
    <w:rsid w:val="00C06A0B"/>
    <w:rsid w:val="00C20636"/>
    <w:rsid w:val="00C20A74"/>
    <w:rsid w:val="00C23694"/>
    <w:rsid w:val="00C243B5"/>
    <w:rsid w:val="00C27254"/>
    <w:rsid w:val="00C27EF1"/>
    <w:rsid w:val="00C3020F"/>
    <w:rsid w:val="00C37953"/>
    <w:rsid w:val="00C405F1"/>
    <w:rsid w:val="00C56564"/>
    <w:rsid w:val="00C65161"/>
    <w:rsid w:val="00C73157"/>
    <w:rsid w:val="00C75030"/>
    <w:rsid w:val="00C763C1"/>
    <w:rsid w:val="00C7766A"/>
    <w:rsid w:val="00C77CFE"/>
    <w:rsid w:val="00C8064E"/>
    <w:rsid w:val="00C82EE8"/>
    <w:rsid w:val="00C91656"/>
    <w:rsid w:val="00C92A18"/>
    <w:rsid w:val="00C96591"/>
    <w:rsid w:val="00CA2359"/>
    <w:rsid w:val="00CA3566"/>
    <w:rsid w:val="00CA50C5"/>
    <w:rsid w:val="00CA7011"/>
    <w:rsid w:val="00CA7533"/>
    <w:rsid w:val="00CB04F2"/>
    <w:rsid w:val="00CB4702"/>
    <w:rsid w:val="00CB677B"/>
    <w:rsid w:val="00CC3C16"/>
    <w:rsid w:val="00CC7417"/>
    <w:rsid w:val="00CE3395"/>
    <w:rsid w:val="00CE58FD"/>
    <w:rsid w:val="00CF4AC1"/>
    <w:rsid w:val="00CF7117"/>
    <w:rsid w:val="00D03D65"/>
    <w:rsid w:val="00D03E08"/>
    <w:rsid w:val="00D03ECF"/>
    <w:rsid w:val="00D12A55"/>
    <w:rsid w:val="00D14326"/>
    <w:rsid w:val="00D14DE4"/>
    <w:rsid w:val="00D22565"/>
    <w:rsid w:val="00D23B78"/>
    <w:rsid w:val="00D32019"/>
    <w:rsid w:val="00D33154"/>
    <w:rsid w:val="00D3429A"/>
    <w:rsid w:val="00D34ED8"/>
    <w:rsid w:val="00D42FF8"/>
    <w:rsid w:val="00D462B1"/>
    <w:rsid w:val="00D54AAE"/>
    <w:rsid w:val="00D5686B"/>
    <w:rsid w:val="00D57E87"/>
    <w:rsid w:val="00D6631C"/>
    <w:rsid w:val="00D73DD6"/>
    <w:rsid w:val="00D81FE5"/>
    <w:rsid w:val="00D9404E"/>
    <w:rsid w:val="00DA00BB"/>
    <w:rsid w:val="00DB09E6"/>
    <w:rsid w:val="00DB316A"/>
    <w:rsid w:val="00DC0415"/>
    <w:rsid w:val="00DC0FF8"/>
    <w:rsid w:val="00DD0823"/>
    <w:rsid w:val="00DD69FC"/>
    <w:rsid w:val="00DF0FB4"/>
    <w:rsid w:val="00DF220C"/>
    <w:rsid w:val="00DF27F3"/>
    <w:rsid w:val="00DF5623"/>
    <w:rsid w:val="00E03839"/>
    <w:rsid w:val="00E043C7"/>
    <w:rsid w:val="00E11515"/>
    <w:rsid w:val="00E152EC"/>
    <w:rsid w:val="00E16E02"/>
    <w:rsid w:val="00E228E0"/>
    <w:rsid w:val="00E322AB"/>
    <w:rsid w:val="00E35138"/>
    <w:rsid w:val="00E351EF"/>
    <w:rsid w:val="00E36210"/>
    <w:rsid w:val="00E36AEE"/>
    <w:rsid w:val="00E372BF"/>
    <w:rsid w:val="00E41BD7"/>
    <w:rsid w:val="00E42E3F"/>
    <w:rsid w:val="00E548DF"/>
    <w:rsid w:val="00E55D7A"/>
    <w:rsid w:val="00E64B01"/>
    <w:rsid w:val="00E7073F"/>
    <w:rsid w:val="00E72931"/>
    <w:rsid w:val="00E72DB0"/>
    <w:rsid w:val="00E7501E"/>
    <w:rsid w:val="00E760C8"/>
    <w:rsid w:val="00E859D6"/>
    <w:rsid w:val="00E9085C"/>
    <w:rsid w:val="00E92C13"/>
    <w:rsid w:val="00E97406"/>
    <w:rsid w:val="00EA4A49"/>
    <w:rsid w:val="00EB08CB"/>
    <w:rsid w:val="00EB2EF8"/>
    <w:rsid w:val="00EB558C"/>
    <w:rsid w:val="00EB6FAF"/>
    <w:rsid w:val="00EB7949"/>
    <w:rsid w:val="00EC07CB"/>
    <w:rsid w:val="00EC0AB6"/>
    <w:rsid w:val="00EC18B5"/>
    <w:rsid w:val="00EC1DDF"/>
    <w:rsid w:val="00EC452B"/>
    <w:rsid w:val="00ED1B7E"/>
    <w:rsid w:val="00ED4972"/>
    <w:rsid w:val="00ED5A28"/>
    <w:rsid w:val="00EE2C6D"/>
    <w:rsid w:val="00EE490D"/>
    <w:rsid w:val="00EE5377"/>
    <w:rsid w:val="00EE5442"/>
    <w:rsid w:val="00EE5DB9"/>
    <w:rsid w:val="00EE640A"/>
    <w:rsid w:val="00EF7CD4"/>
    <w:rsid w:val="00F1644C"/>
    <w:rsid w:val="00F20FB1"/>
    <w:rsid w:val="00F2143D"/>
    <w:rsid w:val="00F25B89"/>
    <w:rsid w:val="00F263DB"/>
    <w:rsid w:val="00F3534E"/>
    <w:rsid w:val="00F5293F"/>
    <w:rsid w:val="00F572E8"/>
    <w:rsid w:val="00F708B6"/>
    <w:rsid w:val="00F72A2C"/>
    <w:rsid w:val="00F755EB"/>
    <w:rsid w:val="00F7602B"/>
    <w:rsid w:val="00F77519"/>
    <w:rsid w:val="00F82A32"/>
    <w:rsid w:val="00F831D8"/>
    <w:rsid w:val="00F9002C"/>
    <w:rsid w:val="00F90CB0"/>
    <w:rsid w:val="00F94C24"/>
    <w:rsid w:val="00F952ED"/>
    <w:rsid w:val="00FA1170"/>
    <w:rsid w:val="00FA2129"/>
    <w:rsid w:val="00FA46E0"/>
    <w:rsid w:val="00FA6095"/>
    <w:rsid w:val="00FB230B"/>
    <w:rsid w:val="00FC2330"/>
    <w:rsid w:val="00FC29D4"/>
    <w:rsid w:val="00FC3F3F"/>
    <w:rsid w:val="00FC4F08"/>
    <w:rsid w:val="00FD1EDB"/>
    <w:rsid w:val="00FD5136"/>
    <w:rsid w:val="00FE6AE6"/>
    <w:rsid w:val="00FF1191"/>
    <w:rsid w:val="00FF2E6E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BABF"/>
  <w15:docId w15:val="{1F6BD797-50A5-454E-8C8D-BCC6A92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F4F"/>
    <w:pPr>
      <w:spacing w:before="120" w:after="120"/>
    </w:pPr>
    <w:rPr>
      <w:rFonts w:eastAsiaTheme="minorEastAsia" w:cs="Times New Roman"/>
    </w:rPr>
  </w:style>
  <w:style w:type="paragraph" w:styleId="Nadpis1">
    <w:name w:val="heading 1"/>
    <w:basedOn w:val="Normln"/>
    <w:next w:val="Normln"/>
    <w:link w:val="Nadpis1Char"/>
    <w:qFormat/>
    <w:rsid w:val="00A30E58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F27F3"/>
    <w:pPr>
      <w:keepNext/>
      <w:keepLines/>
      <w:spacing w:before="0" w:after="0"/>
      <w:outlineLvl w:val="1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A30E58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0E58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E58"/>
    <w:rPr>
      <w:rFonts w:eastAsiaTheme="majorEastAsia" w:cs="Times New Roman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27F3"/>
    <w:rPr>
      <w:rFonts w:asciiTheme="minorHAnsi" w:eastAsiaTheme="majorEastAsia" w:hAnsiTheme="minorHAnsi" w:cstheme="minorHAnsi"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0E58"/>
    <w:rPr>
      <w:rFonts w:eastAsiaTheme="majorEastAsia"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"/>
    <w:rsid w:val="00A30E5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A30E58"/>
    <w:pPr>
      <w:suppressAutoHyphens/>
      <w:spacing w:after="120" w:line="276" w:lineRule="auto"/>
    </w:pPr>
    <w:rPr>
      <w:rFonts w:eastAsia="Times New Roman" w:cs="Calibri"/>
      <w:szCs w:val="24"/>
      <w:lang w:eastAsia="ar-SA"/>
    </w:rPr>
  </w:style>
  <w:style w:type="paragraph" w:customStyle="1" w:styleId="Textbody">
    <w:name w:val="Text body"/>
    <w:rsid w:val="00A30E58"/>
    <w:pPr>
      <w:suppressAutoHyphens/>
      <w:spacing w:after="200" w:line="360" w:lineRule="auto"/>
      <w:jc w:val="left"/>
    </w:pPr>
    <w:rPr>
      <w:rFonts w:asciiTheme="minorHAnsi" w:eastAsiaTheme="minorEastAsia" w:hAnsiTheme="minorHAns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A30E5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0E5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28"/>
      <w:szCs w:val="52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A30E58"/>
    <w:pPr>
      <w:ind w:left="720"/>
      <w:contextualSpacing/>
    </w:pPr>
  </w:style>
  <w:style w:type="paragraph" w:styleId="Textpoznpodarou">
    <w:name w:val="footnote text"/>
    <w:aliases w:val="Text pozn. pod čarou times"/>
    <w:basedOn w:val="Normln"/>
    <w:link w:val="TextpoznpodarouChar"/>
    <w:uiPriority w:val="99"/>
    <w:unhideWhenUsed/>
    <w:qFormat/>
    <w:rsid w:val="00A30E5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Text pozn. pod čarou times Char"/>
    <w:basedOn w:val="Standardnpsmoodstavce"/>
    <w:link w:val="Textpoznpodarou"/>
    <w:uiPriority w:val="99"/>
    <w:rsid w:val="00A30E58"/>
    <w:rPr>
      <w:rFonts w:ascii="Times New Roman" w:eastAsiaTheme="minorEastAsia" w:hAnsi="Times New Roman" w:cs="Times New Roman"/>
      <w:sz w:val="18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A30E58"/>
    <w:rPr>
      <w:position w:val="0"/>
      <w:vertAlign w:val="superscript"/>
    </w:rPr>
  </w:style>
  <w:style w:type="paragraph" w:styleId="Normlnweb">
    <w:name w:val="Normal (Web)"/>
    <w:basedOn w:val="Normln"/>
    <w:uiPriority w:val="99"/>
    <w:rsid w:val="00A30E58"/>
    <w:pPr>
      <w:spacing w:before="0" w:after="0"/>
      <w:jc w:val="left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0E5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30E58"/>
    <w:rPr>
      <w:rFonts w:eastAsiaTheme="minorEastAsia" w:cs="Times New Roman"/>
    </w:rPr>
  </w:style>
  <w:style w:type="paragraph" w:styleId="Zpat">
    <w:name w:val="footer"/>
    <w:basedOn w:val="Normln"/>
    <w:link w:val="ZpatChar"/>
    <w:uiPriority w:val="99"/>
    <w:unhideWhenUsed/>
    <w:rsid w:val="00A30E5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30E58"/>
    <w:rPr>
      <w:rFonts w:eastAsiaTheme="minorEastAsia" w:cs="Times New Roman"/>
    </w:rPr>
  </w:style>
  <w:style w:type="character" w:customStyle="1" w:styleId="Znakypropoznmkupodarou">
    <w:name w:val="Znaky pro poznámku pod čarou"/>
    <w:basedOn w:val="Standardnpsmoodstavce"/>
    <w:rsid w:val="00A30E58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58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0E5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E58"/>
    <w:rPr>
      <w:rFonts w:eastAsiaTheme="minorEastAs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E58"/>
    <w:rPr>
      <w:rFonts w:eastAsiaTheme="minorEastAsia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30E58"/>
    <w:pPr>
      <w:jc w:val="left"/>
    </w:pPr>
    <w:rPr>
      <w:rFonts w:asciiTheme="minorHAnsi" w:eastAsia="Times New Roman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nmkapodarou">
    <w:name w:val="poznámka pod čarou"/>
    <w:basedOn w:val="Textpoznpodarou"/>
    <w:link w:val="poznmkapodarouChar"/>
    <w:qFormat/>
    <w:rsid w:val="003816A0"/>
    <w:pPr>
      <w:widowControl/>
      <w:tabs>
        <w:tab w:val="left" w:pos="284"/>
      </w:tabs>
      <w:autoSpaceDE/>
      <w:autoSpaceDN/>
      <w:adjustRightInd/>
      <w:spacing w:before="0" w:after="0"/>
      <w:ind w:left="284" w:hanging="284"/>
    </w:pPr>
    <w:rPr>
      <w:rFonts w:ascii="Calibri" w:eastAsia="Times New Roman" w:hAnsi="Calibri"/>
    </w:rPr>
  </w:style>
  <w:style w:type="character" w:customStyle="1" w:styleId="poznmkapodarouChar">
    <w:name w:val="poznámka pod čarou Char"/>
    <w:basedOn w:val="TextpoznpodarouChar"/>
    <w:link w:val="poznmkapodarou"/>
    <w:rsid w:val="003816A0"/>
    <w:rPr>
      <w:rFonts w:ascii="Calibri" w:eastAsia="Times New Roman" w:hAnsi="Calibri" w:cs="Times New Roman"/>
      <w:sz w:val="18"/>
      <w:szCs w:val="20"/>
      <w:lang w:eastAsia="cs-CZ"/>
    </w:rPr>
  </w:style>
  <w:style w:type="paragraph" w:customStyle="1" w:styleId="Default">
    <w:name w:val="Default"/>
    <w:rsid w:val="00AA3C3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zera">
    <w:name w:val="mezera"/>
    <w:basedOn w:val="Normln"/>
    <w:next w:val="Normln"/>
    <w:rsid w:val="00066943"/>
    <w:pPr>
      <w:spacing w:before="0" w:after="0"/>
    </w:pPr>
    <w:rPr>
      <w:rFonts w:eastAsia="Times New Roman"/>
      <w:szCs w:val="20"/>
      <w:lang w:eastAsia="cs-CZ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5A4C38"/>
    <w:rPr>
      <w:rFonts w:eastAsiaTheme="minorEastAsia" w:cs="Times New Roman"/>
    </w:rPr>
  </w:style>
  <w:style w:type="paragraph" w:styleId="Zkladntextodsazen">
    <w:name w:val="Body Text Indent"/>
    <w:basedOn w:val="Normln"/>
    <w:link w:val="ZkladntextodsazenChar"/>
    <w:semiHidden/>
    <w:rsid w:val="00225FCD"/>
    <w:pPr>
      <w:spacing w:before="0" w:after="0"/>
      <w:ind w:firstLine="708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5FCD"/>
    <w:rPr>
      <w:rFonts w:eastAsia="Times New Roman" w:cs="Times New Roman"/>
      <w:szCs w:val="24"/>
      <w:lang w:eastAsia="cs-CZ"/>
    </w:rPr>
  </w:style>
  <w:style w:type="character" w:styleId="Siln">
    <w:name w:val="Strong"/>
    <w:uiPriority w:val="22"/>
    <w:qFormat/>
    <w:rsid w:val="006D7EF5"/>
    <w:rPr>
      <w:b/>
      <w:bCs/>
    </w:rPr>
  </w:style>
  <w:style w:type="paragraph" w:customStyle="1" w:styleId="Oddlen-nadpis">
    <w:name w:val="Oddělení-nadpis"/>
    <w:basedOn w:val="Nadpis1"/>
    <w:rsid w:val="00CA7011"/>
    <w:pPr>
      <w:keepLines w:val="0"/>
      <w:tabs>
        <w:tab w:val="num" w:pos="360"/>
        <w:tab w:val="left" w:pos="720"/>
      </w:tabs>
      <w:spacing w:before="120" w:after="120"/>
      <w:ind w:left="360" w:hanging="360"/>
      <w:jc w:val="both"/>
    </w:pPr>
    <w:rPr>
      <w:rFonts w:eastAsia="Times New Roman" w:cs="Arial"/>
      <w:bCs w:val="0"/>
      <w:sz w:val="22"/>
      <w:szCs w:val="24"/>
    </w:rPr>
  </w:style>
  <w:style w:type="paragraph" w:customStyle="1" w:styleId="Pa10">
    <w:name w:val="Pa10"/>
    <w:basedOn w:val="Default"/>
    <w:next w:val="Default"/>
    <w:rsid w:val="00926C8D"/>
    <w:pPr>
      <w:spacing w:before="360" w:after="100" w:line="281" w:lineRule="atLeast"/>
    </w:pPr>
    <w:rPr>
      <w:rFonts w:ascii="Arial" w:eastAsia="Times New Roman" w:hAnsi="Arial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0FD3D-2392-4AA4-A25C-017069A6AE0F}"/>
</file>

<file path=customXml/itemProps2.xml><?xml version="1.0" encoding="utf-8"?>
<ds:datastoreItem xmlns:ds="http://schemas.openxmlformats.org/officeDocument/2006/customXml" ds:itemID="{B4BA45FD-AAB7-41C2-92F0-38F1548774E9}"/>
</file>

<file path=customXml/itemProps3.xml><?xml version="1.0" encoding="utf-8"?>
<ds:datastoreItem xmlns:ds="http://schemas.openxmlformats.org/officeDocument/2006/customXml" ds:itemID="{CE3960FF-D35C-44B1-9439-FFF04CF07904}"/>
</file>

<file path=customXml/itemProps4.xml><?xml version="1.0" encoding="utf-8"?>
<ds:datastoreItem xmlns:ds="http://schemas.openxmlformats.org/officeDocument/2006/customXml" ds:itemID="{64D44BA0-B7D1-43BE-A770-A28A11293D8A}"/>
</file>

<file path=docProps/app.xml><?xml version="1.0" encoding="utf-8"?>
<Properties xmlns="http://schemas.openxmlformats.org/officeDocument/2006/extended-properties" xmlns:vt="http://schemas.openxmlformats.org/officeDocument/2006/docPropsVTypes">
  <Template>DD213AB8.dotm</Template>
  <TotalTime>4</TotalTime>
  <Pages>11</Pages>
  <Words>3527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14/16</vt:lpstr>
    </vt:vector>
  </TitlesOfParts>
  <Company>NKU</Company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15/04</dc:title>
  <dc:subject>Kontrolní závěr z kontrolní akce NKÚ č. 15/04 - Peněžní prostředky určené na přípravu a realizaci projektu Plzeň – Evropské hlavní město kultury 2015</dc:subject>
  <dc:creator>Nejvyšší kontrolní úřad</dc:creator>
  <cp:keywords>Plzeň, EHMK, ROP Jihozápad, evropské dotace</cp:keywords>
  <dc:description/>
  <cp:lastModifiedBy>KOKRDA Daniel</cp:lastModifiedBy>
  <cp:revision>4</cp:revision>
  <cp:lastPrinted>2015-12-03T13:10:00Z</cp:lastPrinted>
  <dcterms:created xsi:type="dcterms:W3CDTF">2015-12-03T13:08:00Z</dcterms:created>
  <dcterms:modified xsi:type="dcterms:W3CDTF">2015-12-03T13:11:00Z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