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4F59A" w14:textId="77777777" w:rsidR="007D164A" w:rsidRPr="00C30EAD" w:rsidRDefault="007A1F31" w:rsidP="007C008D">
      <w:pPr>
        <w:spacing w:line="23" w:lineRule="atLeast"/>
        <w:ind w:right="23"/>
        <w:rPr>
          <w:b/>
          <w:bCs/>
          <w:szCs w:val="22"/>
        </w:rPr>
      </w:pPr>
      <w:r w:rsidRPr="00C30EAD">
        <w:rPr>
          <w:bCs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DD56899" wp14:editId="7F1AB8EE">
            <wp:simplePos x="0" y="0"/>
            <wp:positionH relativeFrom="column">
              <wp:posOffset>2514600</wp:posOffset>
            </wp:positionH>
            <wp:positionV relativeFrom="paragraph">
              <wp:posOffset>-171450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EFB00" w14:textId="77777777" w:rsidR="009C000D" w:rsidRPr="00C30EAD" w:rsidRDefault="009C000D" w:rsidP="007C008D">
      <w:pPr>
        <w:pStyle w:val="Nzev"/>
        <w:spacing w:line="23" w:lineRule="atLeast"/>
        <w:jc w:val="left"/>
        <w:outlineLvl w:val="0"/>
        <w:rPr>
          <w:b w:val="0"/>
          <w:szCs w:val="22"/>
        </w:rPr>
      </w:pPr>
    </w:p>
    <w:p w14:paraId="63EFF19C" w14:textId="77777777" w:rsidR="00B93F74" w:rsidRPr="00C30EAD" w:rsidRDefault="00B93F74" w:rsidP="007C008D">
      <w:pPr>
        <w:pStyle w:val="Nzev"/>
        <w:spacing w:line="23" w:lineRule="atLeast"/>
        <w:outlineLvl w:val="0"/>
        <w:rPr>
          <w:rFonts w:cs="Arial"/>
          <w:szCs w:val="22"/>
        </w:rPr>
      </w:pPr>
    </w:p>
    <w:p w14:paraId="0714D9DF" w14:textId="77777777" w:rsidR="00B93F74" w:rsidRPr="00C30EAD" w:rsidRDefault="00B93F74" w:rsidP="007C008D">
      <w:pPr>
        <w:pStyle w:val="Nzev"/>
        <w:spacing w:line="23" w:lineRule="atLeast"/>
        <w:outlineLvl w:val="0"/>
        <w:rPr>
          <w:rFonts w:cs="Arial"/>
          <w:sz w:val="28"/>
          <w:szCs w:val="28"/>
        </w:rPr>
      </w:pPr>
    </w:p>
    <w:p w14:paraId="45F6FE94" w14:textId="77777777" w:rsidR="00962F73" w:rsidRPr="009D0852" w:rsidRDefault="00962F73" w:rsidP="007C008D">
      <w:pPr>
        <w:pStyle w:val="Nzev"/>
        <w:spacing w:line="23" w:lineRule="atLeast"/>
        <w:outlineLvl w:val="0"/>
        <w:rPr>
          <w:rFonts w:cs="Arial"/>
          <w:sz w:val="28"/>
          <w:szCs w:val="28"/>
        </w:rPr>
      </w:pPr>
      <w:r w:rsidRPr="009D0852">
        <w:rPr>
          <w:rFonts w:cs="Arial"/>
          <w:sz w:val="28"/>
          <w:szCs w:val="28"/>
        </w:rPr>
        <w:t>Kontrolní závěr z kontrolní akce</w:t>
      </w:r>
    </w:p>
    <w:p w14:paraId="2F9140F1" w14:textId="77777777" w:rsidR="00CD3951" w:rsidRPr="009D0852" w:rsidRDefault="00CD3951" w:rsidP="007C008D">
      <w:pPr>
        <w:pStyle w:val="Nzev"/>
        <w:spacing w:line="23" w:lineRule="atLeast"/>
        <w:outlineLvl w:val="0"/>
        <w:rPr>
          <w:rFonts w:cs="Arial"/>
          <w:sz w:val="28"/>
          <w:szCs w:val="28"/>
        </w:rPr>
      </w:pPr>
    </w:p>
    <w:p w14:paraId="72753AD5" w14:textId="77777777" w:rsidR="00962F73" w:rsidRPr="009D0852" w:rsidRDefault="00B93521" w:rsidP="007C008D">
      <w:pPr>
        <w:spacing w:line="23" w:lineRule="atLeast"/>
        <w:jc w:val="center"/>
        <w:rPr>
          <w:rFonts w:cs="Arial"/>
          <w:b/>
          <w:bCs/>
          <w:sz w:val="28"/>
          <w:szCs w:val="28"/>
        </w:rPr>
      </w:pPr>
      <w:r w:rsidRPr="009D0852">
        <w:rPr>
          <w:rFonts w:cs="Arial"/>
          <w:b/>
          <w:bCs/>
          <w:sz w:val="28"/>
          <w:szCs w:val="28"/>
        </w:rPr>
        <w:t>1</w:t>
      </w:r>
      <w:r w:rsidR="006B7D43" w:rsidRPr="009D0852">
        <w:rPr>
          <w:rFonts w:cs="Arial"/>
          <w:b/>
          <w:bCs/>
          <w:sz w:val="28"/>
          <w:szCs w:val="28"/>
        </w:rPr>
        <w:t>2</w:t>
      </w:r>
      <w:r w:rsidRPr="009D0852">
        <w:rPr>
          <w:rFonts w:cs="Arial"/>
          <w:b/>
          <w:bCs/>
          <w:sz w:val="28"/>
          <w:szCs w:val="28"/>
        </w:rPr>
        <w:t>/</w:t>
      </w:r>
      <w:r w:rsidR="006B7D43" w:rsidRPr="009D0852">
        <w:rPr>
          <w:rFonts w:cs="Arial"/>
          <w:b/>
          <w:bCs/>
          <w:sz w:val="28"/>
          <w:szCs w:val="28"/>
        </w:rPr>
        <w:t>21</w:t>
      </w:r>
    </w:p>
    <w:p w14:paraId="165F030E" w14:textId="77777777" w:rsidR="00CD3951" w:rsidRPr="009D0852" w:rsidRDefault="00CD3951" w:rsidP="007C008D">
      <w:pPr>
        <w:spacing w:line="23" w:lineRule="atLeast"/>
        <w:jc w:val="center"/>
        <w:rPr>
          <w:rFonts w:cs="Arial"/>
          <w:b/>
          <w:bCs/>
          <w:sz w:val="28"/>
          <w:szCs w:val="28"/>
        </w:rPr>
      </w:pPr>
    </w:p>
    <w:p w14:paraId="5604E55C" w14:textId="77777777" w:rsidR="00962F73" w:rsidRPr="009D0852" w:rsidRDefault="00B93521" w:rsidP="007C008D">
      <w:pPr>
        <w:spacing w:line="23" w:lineRule="atLeast"/>
        <w:jc w:val="center"/>
        <w:rPr>
          <w:rFonts w:cs="Arial"/>
          <w:b/>
          <w:bCs/>
          <w:i/>
          <w:sz w:val="28"/>
          <w:szCs w:val="28"/>
        </w:rPr>
      </w:pPr>
      <w:r w:rsidRPr="009D0852">
        <w:rPr>
          <w:rFonts w:cs="Arial"/>
          <w:b/>
          <w:bCs/>
          <w:sz w:val="28"/>
          <w:szCs w:val="28"/>
        </w:rPr>
        <w:t xml:space="preserve">Peněžní prostředky Evropské unie a státního rozpočtu určené </w:t>
      </w:r>
      <w:r w:rsidR="006B7D43" w:rsidRPr="009D0852">
        <w:rPr>
          <w:rFonts w:cs="Arial"/>
          <w:b/>
          <w:bCs/>
          <w:sz w:val="28"/>
          <w:szCs w:val="28"/>
        </w:rPr>
        <w:t>na realizaci</w:t>
      </w:r>
      <w:r w:rsidRPr="009D0852">
        <w:rPr>
          <w:rFonts w:cs="Arial"/>
          <w:b/>
          <w:bCs/>
          <w:sz w:val="28"/>
          <w:szCs w:val="28"/>
        </w:rPr>
        <w:t xml:space="preserve"> operačního programu </w:t>
      </w:r>
      <w:r w:rsidR="006B7D43" w:rsidRPr="009D0852">
        <w:rPr>
          <w:rFonts w:cs="Arial"/>
          <w:b/>
          <w:bCs/>
          <w:i/>
          <w:sz w:val="28"/>
          <w:szCs w:val="28"/>
        </w:rPr>
        <w:t>Výzkum a vývoj pro inovace</w:t>
      </w:r>
    </w:p>
    <w:p w14:paraId="14DFD9E2" w14:textId="77777777" w:rsidR="00962F73" w:rsidRDefault="00962F73" w:rsidP="007C008D">
      <w:pPr>
        <w:tabs>
          <w:tab w:val="left" w:pos="7988"/>
        </w:tabs>
        <w:spacing w:line="23" w:lineRule="atLeast"/>
        <w:rPr>
          <w:szCs w:val="22"/>
        </w:rPr>
      </w:pPr>
    </w:p>
    <w:p w14:paraId="464D6A3B" w14:textId="77777777" w:rsidR="00F81EE6" w:rsidRPr="009D0852" w:rsidRDefault="00F81EE6" w:rsidP="007C008D">
      <w:pPr>
        <w:tabs>
          <w:tab w:val="left" w:pos="7988"/>
        </w:tabs>
        <w:spacing w:line="23" w:lineRule="atLeast"/>
        <w:rPr>
          <w:szCs w:val="22"/>
        </w:rPr>
      </w:pPr>
    </w:p>
    <w:p w14:paraId="6AB6764F" w14:textId="77777777" w:rsidR="00962F73" w:rsidRPr="00C30EAD" w:rsidRDefault="00962F73" w:rsidP="007C008D">
      <w:pPr>
        <w:spacing w:line="23" w:lineRule="atLeast"/>
        <w:rPr>
          <w:rFonts w:cs="Arial"/>
          <w:szCs w:val="22"/>
        </w:rPr>
      </w:pPr>
      <w:r w:rsidRPr="00C30EAD">
        <w:rPr>
          <w:rFonts w:cs="Arial"/>
          <w:szCs w:val="22"/>
        </w:rPr>
        <w:t xml:space="preserve">Kontrolní akce byla zařazena do plánu kontrolní činnosti Nejvyššího kontrolního úřadu (dále jen „NKÚ“) na </w:t>
      </w:r>
      <w:r w:rsidR="00B93521" w:rsidRPr="00C30EAD">
        <w:rPr>
          <w:rFonts w:cs="Arial"/>
          <w:szCs w:val="22"/>
        </w:rPr>
        <w:t>rok 201</w:t>
      </w:r>
      <w:r w:rsidR="006B7D43" w:rsidRPr="00C30EAD">
        <w:rPr>
          <w:rFonts w:cs="Arial"/>
          <w:szCs w:val="22"/>
        </w:rPr>
        <w:t>2</w:t>
      </w:r>
      <w:r w:rsidR="00B93521" w:rsidRPr="00C30EAD">
        <w:rPr>
          <w:rFonts w:cs="Arial"/>
          <w:szCs w:val="22"/>
        </w:rPr>
        <w:t xml:space="preserve"> pod číslem 1</w:t>
      </w:r>
      <w:r w:rsidR="006B7D43" w:rsidRPr="00C30EAD">
        <w:rPr>
          <w:rFonts w:cs="Arial"/>
          <w:szCs w:val="22"/>
        </w:rPr>
        <w:t>2</w:t>
      </w:r>
      <w:r w:rsidR="00B93521" w:rsidRPr="00C30EAD">
        <w:rPr>
          <w:rFonts w:cs="Arial"/>
          <w:szCs w:val="22"/>
        </w:rPr>
        <w:t>/</w:t>
      </w:r>
      <w:r w:rsidR="006B7D43" w:rsidRPr="00C30EAD">
        <w:rPr>
          <w:rFonts w:cs="Arial"/>
          <w:szCs w:val="22"/>
        </w:rPr>
        <w:t>21</w:t>
      </w:r>
      <w:r w:rsidR="00F95BC4" w:rsidRPr="00C30EAD">
        <w:rPr>
          <w:rFonts w:cs="Arial"/>
          <w:szCs w:val="22"/>
        </w:rPr>
        <w:t>. Kontrolní akci řídil a kontrolní závěr vypracoval člen</w:t>
      </w:r>
      <w:r w:rsidRPr="00C30EAD">
        <w:rPr>
          <w:rFonts w:cs="Arial"/>
          <w:szCs w:val="22"/>
        </w:rPr>
        <w:t xml:space="preserve"> NKÚ </w:t>
      </w:r>
      <w:r w:rsidR="006B7D43" w:rsidRPr="00C30EAD">
        <w:rPr>
          <w:rFonts w:cs="Arial"/>
          <w:szCs w:val="22"/>
        </w:rPr>
        <w:t xml:space="preserve">JUDr. </w:t>
      </w:r>
      <w:r w:rsidR="00F95BC4" w:rsidRPr="00C30EAD">
        <w:rPr>
          <w:rFonts w:cs="Arial"/>
          <w:szCs w:val="22"/>
        </w:rPr>
        <w:t>Ing</w:t>
      </w:r>
      <w:r w:rsidRPr="00C30EAD">
        <w:rPr>
          <w:rFonts w:cs="Arial"/>
          <w:szCs w:val="22"/>
        </w:rPr>
        <w:t xml:space="preserve">. </w:t>
      </w:r>
      <w:r w:rsidR="00B93521" w:rsidRPr="00C30EAD">
        <w:rPr>
          <w:rFonts w:cs="Arial"/>
          <w:szCs w:val="22"/>
        </w:rPr>
        <w:t>J</w:t>
      </w:r>
      <w:r w:rsidR="006B7D43" w:rsidRPr="00C30EAD">
        <w:rPr>
          <w:rFonts w:cs="Arial"/>
          <w:szCs w:val="22"/>
        </w:rPr>
        <w:t>iří Kalivoda</w:t>
      </w:r>
      <w:r w:rsidRPr="00C30EAD">
        <w:rPr>
          <w:rFonts w:cs="Arial"/>
          <w:szCs w:val="22"/>
        </w:rPr>
        <w:t>.</w:t>
      </w:r>
    </w:p>
    <w:p w14:paraId="74E5B247" w14:textId="77777777" w:rsidR="00962F73" w:rsidRPr="00C30EAD" w:rsidRDefault="00962F73" w:rsidP="007C008D">
      <w:pPr>
        <w:spacing w:line="23" w:lineRule="atLeast"/>
        <w:rPr>
          <w:rFonts w:cs="Arial"/>
          <w:szCs w:val="22"/>
        </w:rPr>
      </w:pPr>
    </w:p>
    <w:p w14:paraId="2AF5381E" w14:textId="5ABEA236" w:rsidR="00223A5C" w:rsidRPr="00C30EAD" w:rsidRDefault="006B7D43" w:rsidP="007C008D">
      <w:pPr>
        <w:tabs>
          <w:tab w:val="left" w:pos="2240"/>
        </w:tabs>
        <w:spacing w:line="23" w:lineRule="atLeast"/>
        <w:rPr>
          <w:rFonts w:cs="Arial"/>
          <w:szCs w:val="22"/>
        </w:rPr>
      </w:pPr>
      <w:r w:rsidRPr="00C30EAD">
        <w:rPr>
          <w:rFonts w:cs="Arial"/>
          <w:szCs w:val="22"/>
        </w:rPr>
        <w:t xml:space="preserve">Cílem kontroly bylo prověřit, zda kontrolované osoby </w:t>
      </w:r>
      <w:r w:rsidR="00C10869">
        <w:rPr>
          <w:rFonts w:cs="Arial"/>
          <w:szCs w:val="22"/>
        </w:rPr>
        <w:t>v </w:t>
      </w:r>
      <w:r w:rsidRPr="00C30EAD">
        <w:rPr>
          <w:rFonts w:cs="Arial"/>
          <w:szCs w:val="22"/>
        </w:rPr>
        <w:t>oblasti poskytování a čerpání prostředků na evropská centra excelence a na regionál</w:t>
      </w:r>
      <w:r w:rsidR="00044C8A" w:rsidRPr="00C30EAD">
        <w:rPr>
          <w:rFonts w:cs="Arial"/>
          <w:szCs w:val="22"/>
        </w:rPr>
        <w:t>ní výzkumná a vývojová centra z </w:t>
      </w:r>
      <w:r w:rsidRPr="00C30EAD">
        <w:rPr>
          <w:rFonts w:cs="Arial"/>
          <w:szCs w:val="22"/>
        </w:rPr>
        <w:t xml:space="preserve">operačního programu </w:t>
      </w:r>
      <w:r w:rsidRPr="009D0852">
        <w:rPr>
          <w:rFonts w:cs="Arial"/>
          <w:i/>
          <w:szCs w:val="22"/>
        </w:rPr>
        <w:t>Výzkum a vývoj pro inovace</w:t>
      </w:r>
      <w:r w:rsidRPr="00C30EAD">
        <w:rPr>
          <w:rFonts w:cs="Arial"/>
          <w:szCs w:val="22"/>
        </w:rPr>
        <w:t xml:space="preserve"> postupují </w:t>
      </w:r>
      <w:r w:rsidR="00C10869">
        <w:rPr>
          <w:rFonts w:cs="Arial"/>
          <w:szCs w:val="22"/>
        </w:rPr>
        <w:t>v </w:t>
      </w:r>
      <w:r w:rsidRPr="00C30EAD">
        <w:rPr>
          <w:rFonts w:cs="Arial"/>
          <w:szCs w:val="22"/>
        </w:rPr>
        <w:t xml:space="preserve">souladu </w:t>
      </w:r>
      <w:r w:rsidR="00C10869">
        <w:rPr>
          <w:rFonts w:cs="Arial"/>
          <w:szCs w:val="22"/>
        </w:rPr>
        <w:t>s </w:t>
      </w:r>
      <w:r w:rsidRPr="00C30EAD">
        <w:rPr>
          <w:rFonts w:cs="Arial"/>
          <w:szCs w:val="22"/>
        </w:rPr>
        <w:t xml:space="preserve">právními předpisy a stanovenými podmínkami, a dále prověřit, zda implementační systém operačního programu nevykazuje nedostatky ohrožující čerpání prostředků poskytovaných </w:t>
      </w:r>
      <w:r w:rsidR="00C10869">
        <w:rPr>
          <w:rFonts w:cs="Arial"/>
          <w:szCs w:val="22"/>
        </w:rPr>
        <w:t>z </w:t>
      </w:r>
      <w:r w:rsidRPr="00C30EAD">
        <w:rPr>
          <w:rFonts w:cs="Arial"/>
          <w:szCs w:val="22"/>
        </w:rPr>
        <w:t>rozpočtu Evropské unie</w:t>
      </w:r>
      <w:r w:rsidR="00C80C0E" w:rsidRPr="00C30EAD">
        <w:rPr>
          <w:rFonts w:cs="Arial"/>
          <w:szCs w:val="22"/>
        </w:rPr>
        <w:t xml:space="preserve"> (dále též „EU“)</w:t>
      </w:r>
      <w:r w:rsidRPr="00C30EAD">
        <w:rPr>
          <w:rFonts w:cs="Arial"/>
          <w:szCs w:val="22"/>
        </w:rPr>
        <w:t>.</w:t>
      </w:r>
      <w:r w:rsidR="00506CD9" w:rsidRPr="00C30EAD">
        <w:rPr>
          <w:rFonts w:cs="Arial"/>
          <w:szCs w:val="22"/>
        </w:rPr>
        <w:t xml:space="preserve"> </w:t>
      </w:r>
    </w:p>
    <w:p w14:paraId="1C76A726" w14:textId="77777777" w:rsidR="00223A5C" w:rsidRPr="00C30EAD" w:rsidRDefault="00223A5C" w:rsidP="007C008D">
      <w:pPr>
        <w:tabs>
          <w:tab w:val="left" w:pos="2240"/>
        </w:tabs>
        <w:spacing w:line="23" w:lineRule="atLeast"/>
        <w:rPr>
          <w:rFonts w:cs="Arial"/>
          <w:szCs w:val="22"/>
        </w:rPr>
      </w:pPr>
    </w:p>
    <w:p w14:paraId="0EF724E4" w14:textId="69608FC5" w:rsidR="00223A5C" w:rsidRPr="00C30EAD" w:rsidRDefault="00223A5C" w:rsidP="007C008D">
      <w:pPr>
        <w:tabs>
          <w:tab w:val="left" w:pos="2240"/>
        </w:tabs>
        <w:spacing w:line="23" w:lineRule="atLeast"/>
        <w:rPr>
          <w:rFonts w:cs="Arial"/>
          <w:szCs w:val="22"/>
        </w:rPr>
      </w:pPr>
      <w:r w:rsidRPr="00C30EAD">
        <w:rPr>
          <w:rFonts w:cs="Arial"/>
          <w:szCs w:val="22"/>
        </w:rPr>
        <w:t xml:space="preserve">Ve vztahu </w:t>
      </w:r>
      <w:r w:rsidR="00C10869">
        <w:rPr>
          <w:rFonts w:cs="Arial"/>
          <w:szCs w:val="22"/>
        </w:rPr>
        <w:t>k </w:t>
      </w:r>
      <w:r w:rsidRPr="00C30EAD">
        <w:rPr>
          <w:rFonts w:cs="Arial"/>
          <w:szCs w:val="22"/>
        </w:rPr>
        <w:t>cíli kontroly byl</w:t>
      </w:r>
      <w:r w:rsidR="00C22A27" w:rsidRPr="00C30EAD">
        <w:rPr>
          <w:rFonts w:cs="Arial"/>
          <w:szCs w:val="22"/>
        </w:rPr>
        <w:t>a</w:t>
      </w:r>
      <w:r w:rsidRPr="00C30EAD">
        <w:rPr>
          <w:rFonts w:cs="Arial"/>
          <w:szCs w:val="22"/>
        </w:rPr>
        <w:t xml:space="preserve"> prověřen</w:t>
      </w:r>
      <w:r w:rsidR="00C22A27" w:rsidRPr="00C30EAD">
        <w:rPr>
          <w:rFonts w:cs="Arial"/>
          <w:szCs w:val="22"/>
        </w:rPr>
        <w:t>a</w:t>
      </w:r>
      <w:r w:rsidRPr="00C30EAD">
        <w:rPr>
          <w:rFonts w:cs="Arial"/>
          <w:szCs w:val="22"/>
        </w:rPr>
        <w:t xml:space="preserve"> prioritní os</w:t>
      </w:r>
      <w:r w:rsidR="00C22A27" w:rsidRPr="00C30EAD">
        <w:rPr>
          <w:rFonts w:cs="Arial"/>
          <w:szCs w:val="22"/>
        </w:rPr>
        <w:t>a</w:t>
      </w:r>
      <w:r w:rsidRPr="00C30EAD">
        <w:rPr>
          <w:rFonts w:cs="Arial"/>
          <w:szCs w:val="22"/>
        </w:rPr>
        <w:t xml:space="preserve"> 1 – </w:t>
      </w:r>
      <w:r w:rsidRPr="009D0852">
        <w:rPr>
          <w:rFonts w:cs="Arial"/>
          <w:i/>
          <w:szCs w:val="22"/>
        </w:rPr>
        <w:t>Evropská centra excelence</w:t>
      </w:r>
      <w:r w:rsidRPr="00C30EAD">
        <w:rPr>
          <w:rFonts w:cs="Arial"/>
          <w:szCs w:val="22"/>
        </w:rPr>
        <w:t xml:space="preserve"> a</w:t>
      </w:r>
      <w:r w:rsidR="002C529E">
        <w:rPr>
          <w:rFonts w:cs="Arial"/>
          <w:szCs w:val="22"/>
        </w:rPr>
        <w:t> </w:t>
      </w:r>
      <w:r w:rsidR="00C22A27" w:rsidRPr="00C30EAD">
        <w:rPr>
          <w:rFonts w:cs="Arial"/>
          <w:szCs w:val="22"/>
        </w:rPr>
        <w:t xml:space="preserve">prioritní osa </w:t>
      </w:r>
      <w:r w:rsidRPr="00C30EAD">
        <w:rPr>
          <w:rFonts w:cs="Arial"/>
          <w:szCs w:val="22"/>
        </w:rPr>
        <w:t xml:space="preserve">2 – </w:t>
      </w:r>
      <w:r w:rsidRPr="009D0852">
        <w:rPr>
          <w:rFonts w:cs="Arial"/>
          <w:i/>
          <w:szCs w:val="22"/>
        </w:rPr>
        <w:t>Regionální výzkumná a vývojová centra</w:t>
      </w:r>
      <w:r w:rsidRPr="00C30EAD">
        <w:rPr>
          <w:rFonts w:cs="Arial"/>
          <w:szCs w:val="22"/>
        </w:rPr>
        <w:t xml:space="preserve">. Objem kontrolovaných prostředků činil 4 840 734 942 Kč, z toho </w:t>
      </w:r>
      <w:r w:rsidR="009A66F7" w:rsidRPr="00C30EAD">
        <w:rPr>
          <w:rFonts w:cs="Arial"/>
          <w:szCs w:val="22"/>
        </w:rPr>
        <w:t xml:space="preserve">částku </w:t>
      </w:r>
      <w:r w:rsidR="00EA4778">
        <w:rPr>
          <w:rFonts w:cs="Arial"/>
          <w:szCs w:val="22"/>
        </w:rPr>
        <w:t>4 114 624 701</w:t>
      </w:r>
      <w:r w:rsidRPr="00C30EAD">
        <w:rPr>
          <w:rFonts w:cs="Arial"/>
          <w:szCs w:val="22"/>
        </w:rPr>
        <w:t xml:space="preserve"> Kč </w:t>
      </w:r>
      <w:r w:rsidR="00142004" w:rsidRPr="00C30EAD">
        <w:rPr>
          <w:rFonts w:cs="Arial"/>
          <w:szCs w:val="22"/>
        </w:rPr>
        <w:t>tvo</w:t>
      </w:r>
      <w:r w:rsidR="009A66F7" w:rsidRPr="00C30EAD">
        <w:rPr>
          <w:rFonts w:cs="Arial"/>
          <w:szCs w:val="22"/>
        </w:rPr>
        <w:t xml:space="preserve">řily </w:t>
      </w:r>
      <w:r w:rsidRPr="00C30EAD">
        <w:rPr>
          <w:rFonts w:cs="Arial"/>
          <w:szCs w:val="22"/>
        </w:rPr>
        <w:t>zdroje státního rozpočtu poskytnuté na předfinancování výdajů, které mají být kryty z rozpočtu EU</w:t>
      </w:r>
      <w:r w:rsidR="006449A0" w:rsidRPr="00C30EAD">
        <w:rPr>
          <w:rFonts w:cs="Arial"/>
          <w:szCs w:val="22"/>
        </w:rPr>
        <w:t>,</w:t>
      </w:r>
      <w:r w:rsidRPr="00C30EAD">
        <w:rPr>
          <w:rFonts w:cs="Arial"/>
          <w:szCs w:val="22"/>
        </w:rPr>
        <w:t xml:space="preserve"> a </w:t>
      </w:r>
      <w:r w:rsidR="009A66F7" w:rsidRPr="00C30EAD">
        <w:rPr>
          <w:rFonts w:cs="Arial"/>
          <w:szCs w:val="22"/>
        </w:rPr>
        <w:t xml:space="preserve">částku </w:t>
      </w:r>
      <w:r w:rsidR="00EA4778">
        <w:rPr>
          <w:rFonts w:cs="Arial"/>
          <w:szCs w:val="22"/>
        </w:rPr>
        <w:t>726 110 241</w:t>
      </w:r>
      <w:r w:rsidRPr="00C30EAD">
        <w:rPr>
          <w:rFonts w:cs="Arial"/>
          <w:szCs w:val="22"/>
        </w:rPr>
        <w:t xml:space="preserve"> Kč </w:t>
      </w:r>
      <w:r w:rsidR="00142004" w:rsidRPr="00C30EAD">
        <w:rPr>
          <w:rFonts w:cs="Arial"/>
          <w:szCs w:val="22"/>
        </w:rPr>
        <w:t>představ</w:t>
      </w:r>
      <w:r w:rsidR="009A66F7" w:rsidRPr="00C30EAD">
        <w:rPr>
          <w:rFonts w:cs="Arial"/>
          <w:szCs w:val="22"/>
        </w:rPr>
        <w:t>ovaly</w:t>
      </w:r>
      <w:r w:rsidR="00142004" w:rsidRPr="00C30EAD">
        <w:rPr>
          <w:rFonts w:cs="Arial"/>
          <w:szCs w:val="22"/>
        </w:rPr>
        <w:t xml:space="preserve"> </w:t>
      </w:r>
      <w:r w:rsidRPr="00C30EAD">
        <w:rPr>
          <w:rFonts w:cs="Arial"/>
          <w:szCs w:val="22"/>
        </w:rPr>
        <w:t>zdroje státního rozpočtu.</w:t>
      </w:r>
      <w:r w:rsidR="00635927" w:rsidRPr="00C30EAD">
        <w:rPr>
          <w:rFonts w:cs="Arial"/>
          <w:szCs w:val="22"/>
        </w:rPr>
        <w:t xml:space="preserve"> </w:t>
      </w:r>
      <w:r w:rsidR="00C10869">
        <w:rPr>
          <w:rFonts w:cs="Arial"/>
          <w:szCs w:val="22"/>
        </w:rPr>
        <w:t>V </w:t>
      </w:r>
      <w:r w:rsidR="00635927" w:rsidRPr="00C30EAD">
        <w:rPr>
          <w:rFonts w:cs="Arial"/>
          <w:szCs w:val="22"/>
        </w:rPr>
        <w:t>rámci kontroly systému hodnocení a výběru projektů k financování byla ověřena</w:t>
      </w:r>
      <w:r w:rsidR="00635927" w:rsidRPr="00C30EAD">
        <w:rPr>
          <w:rStyle w:val="Znakapoznpodarou"/>
          <w:rFonts w:cs="Arial"/>
          <w:szCs w:val="22"/>
        </w:rPr>
        <w:footnoteReference w:id="1"/>
      </w:r>
      <w:r w:rsidR="00635927" w:rsidRPr="00C30EAD">
        <w:rPr>
          <w:rFonts w:cs="Arial"/>
          <w:szCs w:val="22"/>
        </w:rPr>
        <w:t xml:space="preserve"> částka požadovaných dotací ve výši 25 504 771 440 Kč</w:t>
      </w:r>
      <w:r w:rsidR="00C23DC1" w:rsidRPr="00C30EAD">
        <w:rPr>
          <w:rFonts w:cs="Arial"/>
          <w:szCs w:val="22"/>
        </w:rPr>
        <w:t>.</w:t>
      </w:r>
    </w:p>
    <w:p w14:paraId="3A4EE844" w14:textId="77777777" w:rsidR="00223A5C" w:rsidRPr="00C30EAD" w:rsidRDefault="00223A5C" w:rsidP="007C008D">
      <w:pPr>
        <w:spacing w:line="23" w:lineRule="atLeast"/>
        <w:rPr>
          <w:rFonts w:cs="Arial"/>
          <w:szCs w:val="22"/>
        </w:rPr>
      </w:pPr>
    </w:p>
    <w:p w14:paraId="00313D57" w14:textId="77777777" w:rsidR="00962F73" w:rsidRPr="00C30EAD" w:rsidRDefault="00962F73" w:rsidP="007C008D">
      <w:pPr>
        <w:spacing w:line="23" w:lineRule="atLeast"/>
        <w:rPr>
          <w:rFonts w:cs="Arial"/>
          <w:szCs w:val="22"/>
        </w:rPr>
      </w:pPr>
      <w:r w:rsidRPr="00C30EAD">
        <w:rPr>
          <w:rFonts w:cs="Arial"/>
          <w:szCs w:val="22"/>
        </w:rPr>
        <w:t>Kontrola byla prov</w:t>
      </w:r>
      <w:r w:rsidR="00F770AA" w:rsidRPr="00C30EAD">
        <w:rPr>
          <w:rFonts w:cs="Arial"/>
          <w:szCs w:val="22"/>
        </w:rPr>
        <w:t>á</w:t>
      </w:r>
      <w:r w:rsidRPr="00C30EAD">
        <w:rPr>
          <w:rFonts w:cs="Arial"/>
          <w:szCs w:val="22"/>
        </w:rPr>
        <w:t>d</w:t>
      </w:r>
      <w:r w:rsidR="00F770AA" w:rsidRPr="00C30EAD">
        <w:rPr>
          <w:rFonts w:cs="Arial"/>
          <w:szCs w:val="22"/>
        </w:rPr>
        <w:t>ě</w:t>
      </w:r>
      <w:r w:rsidRPr="00C30EAD">
        <w:rPr>
          <w:rFonts w:cs="Arial"/>
          <w:szCs w:val="22"/>
        </w:rPr>
        <w:t xml:space="preserve">na </w:t>
      </w:r>
      <w:r w:rsidR="001C7C03" w:rsidRPr="00C30EAD">
        <w:rPr>
          <w:rFonts w:cs="Arial"/>
          <w:szCs w:val="22"/>
        </w:rPr>
        <w:t>v </w:t>
      </w:r>
      <w:r w:rsidRPr="00C30EAD">
        <w:rPr>
          <w:rFonts w:cs="Arial"/>
          <w:szCs w:val="22"/>
        </w:rPr>
        <w:t xml:space="preserve">době od </w:t>
      </w:r>
      <w:r w:rsidR="00B93521" w:rsidRPr="00C30EAD">
        <w:rPr>
          <w:rFonts w:cs="Arial"/>
          <w:szCs w:val="22"/>
        </w:rPr>
        <w:t>červ</w:t>
      </w:r>
      <w:r w:rsidR="00016DF4" w:rsidRPr="00C30EAD">
        <w:rPr>
          <w:rFonts w:cs="Arial"/>
          <w:szCs w:val="22"/>
        </w:rPr>
        <w:t>ence</w:t>
      </w:r>
      <w:r w:rsidR="00B93521" w:rsidRPr="00C30EAD">
        <w:rPr>
          <w:rFonts w:cs="Arial"/>
          <w:szCs w:val="22"/>
        </w:rPr>
        <w:t xml:space="preserve"> 201</w:t>
      </w:r>
      <w:r w:rsidR="006B7D43" w:rsidRPr="00C30EAD">
        <w:rPr>
          <w:rFonts w:cs="Arial"/>
          <w:szCs w:val="22"/>
        </w:rPr>
        <w:t>2</w:t>
      </w:r>
      <w:r w:rsidR="009B6283" w:rsidRPr="00C30EAD">
        <w:rPr>
          <w:rFonts w:cs="Arial"/>
          <w:szCs w:val="22"/>
        </w:rPr>
        <w:t xml:space="preserve"> do </w:t>
      </w:r>
      <w:r w:rsidR="006B7D43" w:rsidRPr="00C30EAD">
        <w:rPr>
          <w:rFonts w:cs="Arial"/>
          <w:szCs w:val="22"/>
        </w:rPr>
        <w:t xml:space="preserve">března </w:t>
      </w:r>
      <w:r w:rsidR="00B93521" w:rsidRPr="00C30EAD">
        <w:rPr>
          <w:rFonts w:cs="Arial"/>
          <w:szCs w:val="22"/>
        </w:rPr>
        <w:t>201</w:t>
      </w:r>
      <w:r w:rsidR="006B7D43" w:rsidRPr="00C30EAD">
        <w:rPr>
          <w:rFonts w:cs="Arial"/>
          <w:szCs w:val="22"/>
        </w:rPr>
        <w:t>3</w:t>
      </w:r>
      <w:r w:rsidRPr="00C30EAD">
        <w:rPr>
          <w:rFonts w:cs="Arial"/>
          <w:szCs w:val="22"/>
        </w:rPr>
        <w:t>. Kontrolovaný</w:t>
      </w:r>
      <w:r w:rsidR="00B93521" w:rsidRPr="00C30EAD">
        <w:rPr>
          <w:rFonts w:cs="Arial"/>
          <w:szCs w:val="22"/>
        </w:rPr>
        <w:t>m obdobím byly roky 200</w:t>
      </w:r>
      <w:r w:rsidR="006B7D43" w:rsidRPr="00C30EAD">
        <w:rPr>
          <w:rFonts w:cs="Arial"/>
          <w:szCs w:val="22"/>
        </w:rPr>
        <w:t>9</w:t>
      </w:r>
      <w:r w:rsidR="00B93521" w:rsidRPr="00C30EAD">
        <w:rPr>
          <w:rFonts w:cs="Arial"/>
          <w:szCs w:val="22"/>
        </w:rPr>
        <w:t xml:space="preserve"> až 201</w:t>
      </w:r>
      <w:r w:rsidR="006B7D43" w:rsidRPr="00C30EAD">
        <w:rPr>
          <w:rFonts w:cs="Arial"/>
          <w:szCs w:val="22"/>
        </w:rPr>
        <w:t>2</w:t>
      </w:r>
      <w:r w:rsidRPr="00C30EAD">
        <w:rPr>
          <w:rFonts w:cs="Arial"/>
          <w:szCs w:val="22"/>
        </w:rPr>
        <w:t xml:space="preserve">, </w:t>
      </w:r>
      <w:r w:rsidR="001C7C03" w:rsidRPr="00C30EAD">
        <w:rPr>
          <w:rFonts w:cs="Arial"/>
          <w:szCs w:val="22"/>
        </w:rPr>
        <w:t>v </w:t>
      </w:r>
      <w:r w:rsidRPr="00C30EAD">
        <w:rPr>
          <w:rFonts w:cs="Arial"/>
          <w:szCs w:val="22"/>
        </w:rPr>
        <w:t>případě věcných souvislostí i</w:t>
      </w:r>
      <w:r w:rsidR="00CD3951" w:rsidRPr="00C30EAD">
        <w:rPr>
          <w:rFonts w:cs="Arial"/>
          <w:szCs w:val="22"/>
        </w:rPr>
        <w:t xml:space="preserve"> </w:t>
      </w:r>
      <w:r w:rsidRPr="00C30EAD">
        <w:rPr>
          <w:rFonts w:cs="Arial"/>
          <w:szCs w:val="22"/>
        </w:rPr>
        <w:t>období předcházející a</w:t>
      </w:r>
      <w:r w:rsidR="007C3250" w:rsidRPr="00C30EAD">
        <w:rPr>
          <w:rFonts w:cs="Arial"/>
          <w:szCs w:val="22"/>
        </w:rPr>
        <w:t xml:space="preserve"> </w:t>
      </w:r>
      <w:r w:rsidR="00D72D28" w:rsidRPr="00C30EAD">
        <w:rPr>
          <w:rFonts w:cs="Arial"/>
          <w:szCs w:val="22"/>
        </w:rPr>
        <w:t>období do</w:t>
      </w:r>
      <w:r w:rsidR="000162B3" w:rsidRPr="00C30EAD">
        <w:rPr>
          <w:rFonts w:cs="Arial"/>
          <w:szCs w:val="22"/>
        </w:rPr>
        <w:t xml:space="preserve"> </w:t>
      </w:r>
      <w:r w:rsidR="00D72D28" w:rsidRPr="00C30EAD">
        <w:rPr>
          <w:rFonts w:cs="Arial"/>
          <w:szCs w:val="22"/>
        </w:rPr>
        <w:t>ukončení kontroly.</w:t>
      </w:r>
      <w:r w:rsidR="003231A4" w:rsidRPr="00C30EAD">
        <w:rPr>
          <w:rFonts w:cs="Arial"/>
          <w:szCs w:val="22"/>
        </w:rPr>
        <w:t xml:space="preserve"> </w:t>
      </w:r>
    </w:p>
    <w:p w14:paraId="7C0AF4C4" w14:textId="77777777" w:rsidR="00962F73" w:rsidRPr="00C30EAD" w:rsidRDefault="00962F73" w:rsidP="007C008D">
      <w:pPr>
        <w:spacing w:line="23" w:lineRule="atLeast"/>
        <w:rPr>
          <w:rFonts w:cs="Arial"/>
          <w:szCs w:val="22"/>
        </w:rPr>
      </w:pPr>
    </w:p>
    <w:p w14:paraId="4B5CEBF4" w14:textId="77777777" w:rsidR="00962F73" w:rsidRPr="00C30EAD" w:rsidRDefault="00962F73" w:rsidP="007C008D">
      <w:pPr>
        <w:pStyle w:val="Zkladntext"/>
        <w:spacing w:line="23" w:lineRule="atLeast"/>
        <w:rPr>
          <w:rFonts w:cs="Arial"/>
          <w:szCs w:val="22"/>
          <w:lang w:eastAsia="en-US"/>
        </w:rPr>
      </w:pPr>
      <w:r w:rsidRPr="00C30EAD">
        <w:rPr>
          <w:rFonts w:cs="Arial"/>
          <w:szCs w:val="22"/>
          <w:lang w:eastAsia="en-US"/>
        </w:rPr>
        <w:t>Kontrolovan</w:t>
      </w:r>
      <w:r w:rsidR="00016DF4" w:rsidRPr="00C30EAD">
        <w:rPr>
          <w:rFonts w:cs="Arial"/>
          <w:szCs w:val="22"/>
          <w:lang w:eastAsia="en-US"/>
        </w:rPr>
        <w:t>é</w:t>
      </w:r>
      <w:r w:rsidRPr="00C30EAD">
        <w:rPr>
          <w:rFonts w:cs="Arial"/>
          <w:szCs w:val="22"/>
          <w:lang w:eastAsia="en-US"/>
        </w:rPr>
        <w:t xml:space="preserve"> osob</w:t>
      </w:r>
      <w:r w:rsidR="00016DF4" w:rsidRPr="00C30EAD">
        <w:rPr>
          <w:rFonts w:cs="Arial"/>
          <w:szCs w:val="22"/>
          <w:lang w:eastAsia="en-US"/>
        </w:rPr>
        <w:t>y</w:t>
      </w:r>
      <w:r w:rsidRPr="00C30EAD">
        <w:rPr>
          <w:rFonts w:cs="Arial"/>
          <w:szCs w:val="22"/>
          <w:lang w:eastAsia="en-US"/>
        </w:rPr>
        <w:t>:</w:t>
      </w:r>
    </w:p>
    <w:p w14:paraId="46D4D551" w14:textId="77777777" w:rsidR="00962F73" w:rsidRPr="00C30EAD" w:rsidRDefault="00962F73" w:rsidP="00CA0847">
      <w:pPr>
        <w:spacing w:after="120" w:line="23" w:lineRule="atLeast"/>
      </w:pPr>
      <w:r w:rsidRPr="00C30EAD">
        <w:rPr>
          <w:rFonts w:cs="Arial"/>
          <w:szCs w:val="22"/>
        </w:rPr>
        <w:t xml:space="preserve">Ministerstvo </w:t>
      </w:r>
      <w:r w:rsidR="00B93521" w:rsidRPr="00C30EAD">
        <w:rPr>
          <w:bCs/>
        </w:rPr>
        <w:t>školství, mládeže a tělovýchovy</w:t>
      </w:r>
      <w:r w:rsidR="00B93521" w:rsidRPr="00C30EAD">
        <w:t xml:space="preserve"> (dále </w:t>
      </w:r>
      <w:r w:rsidR="00185554" w:rsidRPr="00C30EAD">
        <w:t>též</w:t>
      </w:r>
      <w:r w:rsidR="00B93521" w:rsidRPr="00C30EAD">
        <w:t xml:space="preserve"> „MŠMT“)</w:t>
      </w:r>
    </w:p>
    <w:p w14:paraId="54E0E82C" w14:textId="77777777" w:rsidR="00016DF4" w:rsidRPr="00C30EAD" w:rsidRDefault="007E216F" w:rsidP="007C008D">
      <w:pPr>
        <w:spacing w:line="23" w:lineRule="atLeast"/>
        <w:rPr>
          <w:rFonts w:cs="Arial"/>
          <w:szCs w:val="22"/>
        </w:rPr>
      </w:pPr>
      <w:r w:rsidRPr="00C30EAD">
        <w:rPr>
          <w:rFonts w:cs="Arial"/>
          <w:szCs w:val="22"/>
        </w:rPr>
        <w:t>a vybraní příjemci podpory:</w:t>
      </w:r>
    </w:p>
    <w:p w14:paraId="6FF24B2D" w14:textId="5CAE5504" w:rsidR="004C7547" w:rsidRPr="00C30EAD" w:rsidRDefault="00185554" w:rsidP="007C008D">
      <w:pPr>
        <w:rPr>
          <w:rFonts w:cs="Arial"/>
          <w:szCs w:val="22"/>
        </w:rPr>
      </w:pPr>
      <w:r w:rsidRPr="00C30EAD">
        <w:t>Technická univerzita v Liberci</w:t>
      </w:r>
      <w:r w:rsidR="008E2D3B" w:rsidRPr="00C30EAD">
        <w:t>;</w:t>
      </w:r>
      <w:r w:rsidRPr="00C30EAD">
        <w:t xml:space="preserve"> </w:t>
      </w:r>
      <w:r w:rsidR="009879B3" w:rsidRPr="00C30EAD">
        <w:t>VÚTS</w:t>
      </w:r>
      <w:r w:rsidRPr="00C30EAD">
        <w:t>, a.s.</w:t>
      </w:r>
      <w:r w:rsidR="009879B3" w:rsidRPr="00C30EAD">
        <w:t>, Liberec</w:t>
      </w:r>
      <w:r w:rsidR="006A0454" w:rsidRPr="00C30EAD">
        <w:t xml:space="preserve">; </w:t>
      </w:r>
      <w:r w:rsidRPr="00C30EAD">
        <w:t>Masary</w:t>
      </w:r>
      <w:r w:rsidR="008E2D3B" w:rsidRPr="00C30EAD">
        <w:t>kova univerzita</w:t>
      </w:r>
      <w:r w:rsidR="00044C8A" w:rsidRPr="00C30EAD">
        <w:t xml:space="preserve"> v</w:t>
      </w:r>
      <w:r w:rsidR="000A257D" w:rsidRPr="00C30EAD">
        <w:t> Brn</w:t>
      </w:r>
      <w:r w:rsidR="00044C8A" w:rsidRPr="00C30EAD">
        <w:t>ě</w:t>
      </w:r>
      <w:r w:rsidR="000A257D" w:rsidRPr="00C30EAD">
        <w:t xml:space="preserve">; </w:t>
      </w:r>
      <w:r w:rsidRPr="00C30EAD">
        <w:t>Centrum výzkumu globální změny AV ČR, v.</w:t>
      </w:r>
      <w:r w:rsidR="00142004" w:rsidRPr="00C30EAD">
        <w:t xml:space="preserve"> </w:t>
      </w:r>
      <w:r w:rsidRPr="00C30EAD">
        <w:t>v.</w:t>
      </w:r>
      <w:r w:rsidR="00142004" w:rsidRPr="00C30EAD">
        <w:t xml:space="preserve"> </w:t>
      </w:r>
      <w:r w:rsidRPr="00C30EAD">
        <w:t>i.</w:t>
      </w:r>
      <w:r w:rsidR="009879B3" w:rsidRPr="00C30EAD">
        <w:t>,</w:t>
      </w:r>
      <w:r w:rsidRPr="00C30EAD">
        <w:t xml:space="preserve"> Brn</w:t>
      </w:r>
      <w:r w:rsidR="009879B3" w:rsidRPr="00C30EAD">
        <w:t>o</w:t>
      </w:r>
      <w:r w:rsidR="008E2D3B" w:rsidRPr="00C30EAD">
        <w:t>;</w:t>
      </w:r>
      <w:r w:rsidRPr="00C30EAD">
        <w:t xml:space="preserve"> Fakultní nemocnice u sv. Anny</w:t>
      </w:r>
      <w:r w:rsidR="000A257D" w:rsidRPr="00C30EAD">
        <w:t xml:space="preserve"> v Brně; </w:t>
      </w:r>
      <w:r w:rsidRPr="00C30EAD">
        <w:t xml:space="preserve">Jihočeská univerzita </w:t>
      </w:r>
      <w:r w:rsidR="000A257D" w:rsidRPr="00C30EAD">
        <w:t xml:space="preserve">v Českých Budějovicích; </w:t>
      </w:r>
      <w:r w:rsidRPr="00C30EAD">
        <w:t>Vysoká škola báňská – Technická univerzita Ostrav</w:t>
      </w:r>
      <w:r w:rsidR="000A257D" w:rsidRPr="00C30EAD">
        <w:t>a</w:t>
      </w:r>
      <w:r w:rsidR="006A0454" w:rsidRPr="00C30EAD">
        <w:t xml:space="preserve">; </w:t>
      </w:r>
      <w:r w:rsidRPr="00C30EAD">
        <w:t>Výzkumný ústav anorganické chemie, a.s.</w:t>
      </w:r>
      <w:r w:rsidR="009879B3" w:rsidRPr="00C30EAD">
        <w:t>,</w:t>
      </w:r>
      <w:r w:rsidRPr="00C30EAD">
        <w:t xml:space="preserve"> Ústí nad Labem.</w:t>
      </w:r>
    </w:p>
    <w:p w14:paraId="3D3AF90E" w14:textId="77777777" w:rsidR="006F7D78" w:rsidRPr="00C30EAD" w:rsidRDefault="006F7D78" w:rsidP="007C008D">
      <w:pPr>
        <w:pStyle w:val="Zkladntext"/>
        <w:spacing w:line="23" w:lineRule="atLeast"/>
        <w:rPr>
          <w:rFonts w:cs="Arial"/>
          <w:szCs w:val="22"/>
          <w:lang w:eastAsia="en-US"/>
        </w:rPr>
      </w:pPr>
    </w:p>
    <w:p w14:paraId="1AE12F40" w14:textId="77777777" w:rsidR="00F81EE6" w:rsidRDefault="00F81EE6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A7163BB" w14:textId="22F1373F" w:rsidR="00EC580F" w:rsidRPr="00C30EAD" w:rsidRDefault="00962F73" w:rsidP="007C008D">
      <w:pPr>
        <w:pStyle w:val="Zkladntext"/>
        <w:spacing w:line="23" w:lineRule="atLeast"/>
        <w:rPr>
          <w:rFonts w:cs="Arial"/>
          <w:szCs w:val="22"/>
          <w:lang w:eastAsia="en-US"/>
        </w:rPr>
      </w:pPr>
      <w:r w:rsidRPr="00C30EAD">
        <w:rPr>
          <w:rFonts w:cs="Arial"/>
          <w:szCs w:val="22"/>
          <w:lang w:eastAsia="en-US"/>
        </w:rPr>
        <w:lastRenderedPageBreak/>
        <w:t>Námitky, které prot</w:t>
      </w:r>
      <w:r w:rsidR="007E216F" w:rsidRPr="00C30EAD">
        <w:rPr>
          <w:rFonts w:cs="Arial"/>
          <w:szCs w:val="22"/>
          <w:lang w:eastAsia="en-US"/>
        </w:rPr>
        <w:t xml:space="preserve">i kontrolnímu protokolu </w:t>
      </w:r>
      <w:r w:rsidR="00AA0FA1" w:rsidRPr="00C30EAD">
        <w:rPr>
          <w:rFonts w:cs="Arial"/>
          <w:szCs w:val="22"/>
          <w:lang w:eastAsia="en-US"/>
        </w:rPr>
        <w:t xml:space="preserve">podaly </w:t>
      </w:r>
      <w:r w:rsidR="007E216F" w:rsidRPr="00C30EAD">
        <w:rPr>
          <w:rFonts w:cs="Arial"/>
          <w:szCs w:val="22"/>
          <w:lang w:eastAsia="en-US"/>
        </w:rPr>
        <w:t xml:space="preserve">MŠMT a </w:t>
      </w:r>
      <w:r w:rsidR="00D55437" w:rsidRPr="00C30EAD">
        <w:rPr>
          <w:rFonts w:cs="Arial"/>
          <w:szCs w:val="22"/>
          <w:lang w:eastAsia="en-US"/>
        </w:rPr>
        <w:t>C</w:t>
      </w:r>
      <w:r w:rsidR="00FC2F70" w:rsidRPr="00C30EAD">
        <w:rPr>
          <w:rFonts w:cs="Arial"/>
          <w:szCs w:val="22"/>
          <w:lang w:eastAsia="en-US"/>
        </w:rPr>
        <w:t>entrum výzkumu globální změny</w:t>
      </w:r>
      <w:r w:rsidR="00506CD9" w:rsidRPr="00C30EAD">
        <w:rPr>
          <w:rFonts w:cs="Arial"/>
          <w:szCs w:val="22"/>
          <w:lang w:eastAsia="en-US"/>
        </w:rPr>
        <w:t xml:space="preserve"> AV ČR, v.</w:t>
      </w:r>
      <w:r w:rsidR="00142004" w:rsidRPr="00C30EAD">
        <w:rPr>
          <w:rFonts w:cs="Arial"/>
          <w:szCs w:val="22"/>
          <w:lang w:eastAsia="en-US"/>
        </w:rPr>
        <w:t xml:space="preserve"> </w:t>
      </w:r>
      <w:r w:rsidR="00506CD9" w:rsidRPr="00C30EAD">
        <w:rPr>
          <w:rFonts w:cs="Arial"/>
          <w:szCs w:val="22"/>
          <w:lang w:eastAsia="en-US"/>
        </w:rPr>
        <w:t>v.</w:t>
      </w:r>
      <w:r w:rsidR="00142004" w:rsidRPr="00C30EAD">
        <w:rPr>
          <w:rFonts w:cs="Arial"/>
          <w:szCs w:val="22"/>
          <w:lang w:eastAsia="en-US"/>
        </w:rPr>
        <w:t xml:space="preserve"> </w:t>
      </w:r>
      <w:r w:rsidR="00506CD9" w:rsidRPr="00C30EAD">
        <w:rPr>
          <w:rFonts w:cs="Arial"/>
          <w:szCs w:val="22"/>
          <w:lang w:eastAsia="en-US"/>
        </w:rPr>
        <w:t>i.</w:t>
      </w:r>
      <w:r w:rsidR="00FC2F70" w:rsidRPr="00C30EAD">
        <w:rPr>
          <w:rFonts w:cs="Arial"/>
          <w:szCs w:val="22"/>
          <w:lang w:eastAsia="en-US"/>
        </w:rPr>
        <w:t>,</w:t>
      </w:r>
      <w:r w:rsidR="00AB32AA" w:rsidRPr="00C30EAD">
        <w:rPr>
          <w:rFonts w:cs="Arial"/>
          <w:szCs w:val="22"/>
          <w:lang w:eastAsia="en-US"/>
        </w:rPr>
        <w:t xml:space="preserve"> </w:t>
      </w:r>
      <w:r w:rsidRPr="00C30EAD">
        <w:rPr>
          <w:rFonts w:cs="Arial"/>
          <w:szCs w:val="22"/>
          <w:lang w:eastAsia="en-US"/>
        </w:rPr>
        <w:t xml:space="preserve">byly vypořádány vedoucími skupin kontrolujících </w:t>
      </w:r>
      <w:r w:rsidR="00A165F8" w:rsidRPr="00C30EAD">
        <w:rPr>
          <w:rFonts w:cs="Arial"/>
          <w:szCs w:val="22"/>
          <w:lang w:eastAsia="en-US"/>
        </w:rPr>
        <w:t>rozhodnutím</w:t>
      </w:r>
      <w:r w:rsidR="00984F7C" w:rsidRPr="00C30EAD">
        <w:rPr>
          <w:rFonts w:cs="Arial"/>
          <w:szCs w:val="22"/>
          <w:lang w:eastAsia="en-US"/>
        </w:rPr>
        <w:t>i</w:t>
      </w:r>
      <w:r w:rsidR="00A165F8" w:rsidRPr="00C30EAD">
        <w:rPr>
          <w:rFonts w:cs="Arial"/>
          <w:szCs w:val="22"/>
          <w:lang w:eastAsia="en-US"/>
        </w:rPr>
        <w:t xml:space="preserve"> o</w:t>
      </w:r>
      <w:r w:rsidR="00CD3951" w:rsidRPr="00C30EAD">
        <w:rPr>
          <w:rFonts w:cs="Arial"/>
          <w:szCs w:val="22"/>
          <w:lang w:eastAsia="en-US"/>
        </w:rPr>
        <w:t xml:space="preserve"> </w:t>
      </w:r>
      <w:r w:rsidRPr="00C30EAD">
        <w:rPr>
          <w:rFonts w:cs="Arial"/>
          <w:szCs w:val="22"/>
          <w:lang w:eastAsia="en-US"/>
        </w:rPr>
        <w:t xml:space="preserve">námitkách. </w:t>
      </w:r>
    </w:p>
    <w:p w14:paraId="0B0BC804" w14:textId="77777777" w:rsidR="00EC580F" w:rsidRPr="00C30EAD" w:rsidRDefault="00EC580F" w:rsidP="007C008D">
      <w:pPr>
        <w:pStyle w:val="Zkladntext"/>
        <w:spacing w:line="23" w:lineRule="atLeast"/>
        <w:rPr>
          <w:rFonts w:cs="Arial"/>
          <w:szCs w:val="22"/>
          <w:lang w:eastAsia="en-US"/>
        </w:rPr>
      </w:pPr>
    </w:p>
    <w:p w14:paraId="5E04F514" w14:textId="77777777" w:rsidR="00B64C7C" w:rsidRPr="00C30EAD" w:rsidRDefault="00B64C7C" w:rsidP="007C008D">
      <w:pPr>
        <w:pStyle w:val="Zkladntext"/>
        <w:spacing w:line="23" w:lineRule="atLeast"/>
        <w:rPr>
          <w:rFonts w:cs="Arial"/>
          <w:szCs w:val="22"/>
          <w:lang w:eastAsia="en-US"/>
        </w:rPr>
      </w:pPr>
      <w:r w:rsidRPr="00C30EAD">
        <w:rPr>
          <w:rFonts w:cs="Arial"/>
          <w:szCs w:val="22"/>
          <w:lang w:eastAsia="en-US"/>
        </w:rPr>
        <w:t>Proti rozhodnutím o námitkách nebyla ze strany kontrolovaných osob podána odvolání.</w:t>
      </w:r>
    </w:p>
    <w:p w14:paraId="7F3ADFDF" w14:textId="41227E2D" w:rsidR="003E61FB" w:rsidRPr="00C30EAD" w:rsidRDefault="003E61FB" w:rsidP="007C008D">
      <w:pPr>
        <w:pStyle w:val="Zkladntext"/>
        <w:spacing w:line="23" w:lineRule="atLeast"/>
        <w:rPr>
          <w:rFonts w:cs="Arial"/>
          <w:b/>
          <w:bCs/>
          <w:i/>
          <w:iCs/>
          <w:szCs w:val="22"/>
        </w:rPr>
      </w:pPr>
    </w:p>
    <w:p w14:paraId="10AB6587" w14:textId="77777777" w:rsidR="006A0454" w:rsidRPr="00C30EAD" w:rsidRDefault="006A0454" w:rsidP="007C008D">
      <w:pPr>
        <w:pStyle w:val="Zkladntext"/>
        <w:spacing w:line="23" w:lineRule="atLeast"/>
        <w:rPr>
          <w:rFonts w:cs="Arial"/>
          <w:b/>
          <w:bCs/>
          <w:i/>
          <w:iCs/>
          <w:szCs w:val="22"/>
        </w:rPr>
      </w:pPr>
    </w:p>
    <w:p w14:paraId="1A6294BB" w14:textId="1B4F3E9F" w:rsidR="00962F73" w:rsidRPr="00C30EAD" w:rsidRDefault="00962F73" w:rsidP="007C008D">
      <w:pPr>
        <w:pStyle w:val="Zkladntext"/>
        <w:spacing w:line="23" w:lineRule="atLeast"/>
        <w:rPr>
          <w:rFonts w:cs="Arial"/>
          <w:szCs w:val="22"/>
        </w:rPr>
      </w:pPr>
      <w:r w:rsidRPr="00C30EAD">
        <w:rPr>
          <w:rFonts w:cs="Arial"/>
          <w:b/>
          <w:bCs/>
          <w:i/>
          <w:iCs/>
          <w:szCs w:val="22"/>
        </w:rPr>
        <w:t>K o l e g i u m</w:t>
      </w:r>
      <w:r w:rsidR="00A165F8" w:rsidRPr="00C30EAD">
        <w:rPr>
          <w:rFonts w:cs="Arial"/>
          <w:b/>
          <w:bCs/>
          <w:i/>
          <w:iCs/>
          <w:szCs w:val="22"/>
        </w:rPr>
        <w:t xml:space="preserve">  </w:t>
      </w:r>
      <w:r w:rsidRPr="00C30EAD">
        <w:rPr>
          <w:rFonts w:cs="Arial"/>
          <w:b/>
          <w:bCs/>
          <w:i/>
          <w:iCs/>
          <w:szCs w:val="22"/>
        </w:rPr>
        <w:t xml:space="preserve"> N</w:t>
      </w:r>
      <w:r w:rsidR="003F3F4A" w:rsidRPr="00C30EAD">
        <w:rPr>
          <w:rFonts w:cs="Arial"/>
          <w:b/>
          <w:bCs/>
          <w:i/>
          <w:iCs/>
          <w:szCs w:val="22"/>
        </w:rPr>
        <w:t xml:space="preserve"> </w:t>
      </w:r>
      <w:r w:rsidRPr="00C30EAD">
        <w:rPr>
          <w:rFonts w:cs="Arial"/>
          <w:b/>
          <w:bCs/>
          <w:i/>
          <w:iCs/>
          <w:szCs w:val="22"/>
        </w:rPr>
        <w:t>K</w:t>
      </w:r>
      <w:r w:rsidR="003F3F4A" w:rsidRPr="00C30EAD">
        <w:rPr>
          <w:rFonts w:cs="Arial"/>
          <w:b/>
          <w:bCs/>
          <w:i/>
          <w:iCs/>
          <w:szCs w:val="22"/>
        </w:rPr>
        <w:t xml:space="preserve"> </w:t>
      </w:r>
      <w:r w:rsidRPr="00C30EAD">
        <w:rPr>
          <w:rFonts w:cs="Arial"/>
          <w:b/>
          <w:bCs/>
          <w:i/>
          <w:iCs/>
          <w:szCs w:val="22"/>
        </w:rPr>
        <w:t>Ú</w:t>
      </w:r>
      <w:r w:rsidR="00A165F8" w:rsidRPr="00C30EAD">
        <w:rPr>
          <w:rFonts w:cs="Arial"/>
          <w:b/>
          <w:bCs/>
          <w:i/>
          <w:iCs/>
          <w:szCs w:val="22"/>
        </w:rPr>
        <w:t xml:space="preserve">  </w:t>
      </w:r>
      <w:r w:rsidR="00757B83" w:rsidRPr="00C30EAD">
        <w:rPr>
          <w:rFonts w:cs="Arial"/>
          <w:szCs w:val="22"/>
        </w:rPr>
        <w:t xml:space="preserve"> na svém </w:t>
      </w:r>
      <w:r w:rsidR="002C529E">
        <w:rPr>
          <w:rFonts w:cs="Arial"/>
          <w:szCs w:val="22"/>
        </w:rPr>
        <w:t xml:space="preserve">IX. </w:t>
      </w:r>
      <w:r w:rsidR="00C446C6" w:rsidRPr="00C30EAD">
        <w:rPr>
          <w:rFonts w:cs="Arial"/>
          <w:szCs w:val="22"/>
        </w:rPr>
        <w:t xml:space="preserve">zasedání, konaném dne </w:t>
      </w:r>
      <w:r w:rsidR="002C529E">
        <w:rPr>
          <w:rFonts w:cs="Arial"/>
          <w:szCs w:val="22"/>
        </w:rPr>
        <w:t xml:space="preserve">13. května </w:t>
      </w:r>
      <w:r w:rsidR="007E216F" w:rsidRPr="00C30EAD">
        <w:rPr>
          <w:rFonts w:cs="Arial"/>
          <w:szCs w:val="22"/>
        </w:rPr>
        <w:t>201</w:t>
      </w:r>
      <w:r w:rsidR="006B7D43" w:rsidRPr="00C30EAD">
        <w:rPr>
          <w:rFonts w:cs="Arial"/>
          <w:szCs w:val="22"/>
        </w:rPr>
        <w:t>3</w:t>
      </w:r>
      <w:r w:rsidRPr="00C30EAD">
        <w:rPr>
          <w:rFonts w:cs="Arial"/>
          <w:szCs w:val="22"/>
        </w:rPr>
        <w:t xml:space="preserve">, </w:t>
      </w:r>
    </w:p>
    <w:p w14:paraId="52F0959C" w14:textId="2E1792F1" w:rsidR="00B93F74" w:rsidRPr="00C30EAD" w:rsidRDefault="00962F73" w:rsidP="007C008D">
      <w:pPr>
        <w:pStyle w:val="NormlnKZ"/>
        <w:spacing w:after="0" w:line="23" w:lineRule="atLeast"/>
        <w:ind w:firstLine="0"/>
        <w:rPr>
          <w:rFonts w:cs="Arial"/>
          <w:szCs w:val="22"/>
        </w:rPr>
      </w:pPr>
      <w:r w:rsidRPr="00C30EAD">
        <w:rPr>
          <w:rFonts w:cs="Arial"/>
          <w:b/>
          <w:bCs/>
          <w:i/>
          <w:iCs/>
          <w:szCs w:val="22"/>
        </w:rPr>
        <w:t xml:space="preserve">s c h v á l i l o  </w:t>
      </w:r>
      <w:r w:rsidRPr="00C30EAD">
        <w:rPr>
          <w:rFonts w:cs="Arial"/>
          <w:szCs w:val="22"/>
        </w:rPr>
        <w:t xml:space="preserve"> usnesením č</w:t>
      </w:r>
      <w:r w:rsidR="004B108A" w:rsidRPr="00C30EAD">
        <w:rPr>
          <w:rFonts w:cs="Arial"/>
          <w:szCs w:val="22"/>
        </w:rPr>
        <w:t>.</w:t>
      </w:r>
      <w:r w:rsidR="009711F3" w:rsidRPr="00C30EAD">
        <w:rPr>
          <w:rFonts w:cs="Arial"/>
          <w:szCs w:val="22"/>
        </w:rPr>
        <w:t xml:space="preserve"> </w:t>
      </w:r>
      <w:r w:rsidR="00577871">
        <w:rPr>
          <w:rFonts w:cs="Arial"/>
          <w:szCs w:val="22"/>
        </w:rPr>
        <w:t>5</w:t>
      </w:r>
      <w:r w:rsidR="00B93F74" w:rsidRPr="00C30EAD">
        <w:rPr>
          <w:rFonts w:cs="Arial"/>
          <w:szCs w:val="22"/>
        </w:rPr>
        <w:t>/</w:t>
      </w:r>
      <w:r w:rsidR="002C529E">
        <w:rPr>
          <w:rFonts w:cs="Arial"/>
          <w:szCs w:val="22"/>
        </w:rPr>
        <w:t>IX</w:t>
      </w:r>
      <w:r w:rsidR="007E216F" w:rsidRPr="00C30EAD">
        <w:rPr>
          <w:rFonts w:cs="Arial"/>
          <w:szCs w:val="22"/>
        </w:rPr>
        <w:t>/201</w:t>
      </w:r>
      <w:r w:rsidR="006B7D43" w:rsidRPr="00C30EAD">
        <w:rPr>
          <w:rFonts w:cs="Arial"/>
          <w:szCs w:val="22"/>
        </w:rPr>
        <w:t>3</w:t>
      </w:r>
    </w:p>
    <w:p w14:paraId="72A86D0B" w14:textId="77777777" w:rsidR="00962F73" w:rsidRPr="00C30EAD" w:rsidRDefault="00962F73" w:rsidP="007C008D">
      <w:pPr>
        <w:pStyle w:val="NormlnKZ"/>
        <w:spacing w:after="0" w:line="23" w:lineRule="atLeast"/>
        <w:ind w:firstLine="0"/>
        <w:rPr>
          <w:rFonts w:cs="Arial"/>
          <w:szCs w:val="22"/>
        </w:rPr>
      </w:pPr>
      <w:r w:rsidRPr="00C30EAD">
        <w:rPr>
          <w:rFonts w:cs="Arial"/>
          <w:b/>
          <w:bCs/>
          <w:i/>
          <w:iCs/>
          <w:szCs w:val="22"/>
        </w:rPr>
        <w:t>k o n t r o l n í   z á v ě r</w:t>
      </w:r>
      <w:r w:rsidRPr="00C30EAD">
        <w:rPr>
          <w:rFonts w:cs="Arial"/>
          <w:szCs w:val="22"/>
        </w:rPr>
        <w:t xml:space="preserve">   v</w:t>
      </w:r>
      <w:r w:rsidR="00CD3951" w:rsidRPr="00C30EAD">
        <w:rPr>
          <w:rFonts w:cs="Arial"/>
          <w:szCs w:val="22"/>
        </w:rPr>
        <w:t xml:space="preserve"> </w:t>
      </w:r>
      <w:r w:rsidRPr="00C30EAD">
        <w:rPr>
          <w:rFonts w:cs="Arial"/>
          <w:szCs w:val="22"/>
        </w:rPr>
        <w:t>tomto znění:</w:t>
      </w:r>
    </w:p>
    <w:p w14:paraId="426C2400" w14:textId="77777777" w:rsidR="009711F3" w:rsidRDefault="009711F3" w:rsidP="007C008D">
      <w:pPr>
        <w:pStyle w:val="NormlnKZ"/>
        <w:spacing w:after="0" w:line="23" w:lineRule="atLeast"/>
        <w:ind w:firstLine="0"/>
        <w:rPr>
          <w:rFonts w:cs="Arial"/>
          <w:szCs w:val="22"/>
        </w:rPr>
      </w:pPr>
    </w:p>
    <w:p w14:paraId="4BDE690A" w14:textId="77777777" w:rsidR="00F81EE6" w:rsidRPr="00C30EAD" w:rsidRDefault="00F81EE6" w:rsidP="007C008D">
      <w:pPr>
        <w:pStyle w:val="NormlnKZ"/>
        <w:spacing w:after="0" w:line="23" w:lineRule="atLeast"/>
        <w:ind w:firstLine="0"/>
        <w:rPr>
          <w:rFonts w:cs="Arial"/>
          <w:szCs w:val="22"/>
        </w:rPr>
      </w:pPr>
    </w:p>
    <w:p w14:paraId="49ADE825" w14:textId="77777777" w:rsidR="00962F73" w:rsidRPr="009D0852" w:rsidRDefault="00962F73" w:rsidP="007C008D">
      <w:pPr>
        <w:spacing w:line="23" w:lineRule="atLeast"/>
        <w:jc w:val="center"/>
        <w:rPr>
          <w:rFonts w:cs="Arial"/>
          <w:b/>
          <w:bCs/>
          <w:sz w:val="24"/>
        </w:rPr>
      </w:pPr>
      <w:r w:rsidRPr="009D0852">
        <w:rPr>
          <w:rFonts w:cs="Arial"/>
          <w:b/>
          <w:bCs/>
          <w:sz w:val="24"/>
        </w:rPr>
        <w:t xml:space="preserve">I. </w:t>
      </w:r>
      <w:r w:rsidR="005E5E3E" w:rsidRPr="009D0852">
        <w:rPr>
          <w:rFonts w:cs="Arial"/>
          <w:b/>
          <w:bCs/>
          <w:sz w:val="24"/>
        </w:rPr>
        <w:t>Ú</w:t>
      </w:r>
      <w:r w:rsidRPr="009D0852">
        <w:rPr>
          <w:rFonts w:cs="Arial"/>
          <w:b/>
          <w:bCs/>
          <w:sz w:val="24"/>
        </w:rPr>
        <w:t>vod</w:t>
      </w:r>
    </w:p>
    <w:p w14:paraId="2FAFAC9B" w14:textId="77777777" w:rsidR="00AA5FF2" w:rsidRPr="00C30EAD" w:rsidRDefault="00AA5FF2" w:rsidP="007C008D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</w:p>
    <w:p w14:paraId="017D95FF" w14:textId="09CFC357" w:rsidR="008C35F0" w:rsidRPr="00C30EAD" w:rsidRDefault="006D6876" w:rsidP="007C008D">
      <w:pPr>
        <w:rPr>
          <w:lang w:eastAsia="cs-CZ"/>
        </w:rPr>
      </w:pPr>
      <w:r w:rsidRPr="00C30EAD">
        <w:t>Globálním cílem o</w:t>
      </w:r>
      <w:r w:rsidR="003A28A1" w:rsidRPr="00C30EAD">
        <w:t>perační</w:t>
      </w:r>
      <w:r w:rsidRPr="00C30EAD">
        <w:t>ho</w:t>
      </w:r>
      <w:r w:rsidR="003A28A1" w:rsidRPr="00C30EAD">
        <w:t xml:space="preserve"> program</w:t>
      </w:r>
      <w:r w:rsidRPr="00C30EAD">
        <w:t>u</w:t>
      </w:r>
      <w:r w:rsidR="003A28A1" w:rsidRPr="00C30EAD">
        <w:t xml:space="preserve"> </w:t>
      </w:r>
      <w:r w:rsidR="003A28A1" w:rsidRPr="009D0852">
        <w:rPr>
          <w:i/>
        </w:rPr>
        <w:t>Výzkum a vývoj pro inovace</w:t>
      </w:r>
      <w:r w:rsidR="00142004" w:rsidRPr="00C30EAD">
        <w:t xml:space="preserve"> (dále též „OP VaVpI“)</w:t>
      </w:r>
      <w:r w:rsidR="003A28A1" w:rsidRPr="00C30EAD">
        <w:t xml:space="preserve"> </w:t>
      </w:r>
      <w:r w:rsidRPr="00C30EAD">
        <w:t xml:space="preserve">je </w:t>
      </w:r>
      <w:r w:rsidR="008C35F0" w:rsidRPr="00C30EAD">
        <w:rPr>
          <w:lang w:eastAsia="cs-CZ"/>
        </w:rPr>
        <w:t>posilování výzkumného, vývojového a inovačního potenciálu Č</w:t>
      </w:r>
      <w:r w:rsidR="00B64C7C" w:rsidRPr="00C30EAD">
        <w:rPr>
          <w:lang w:eastAsia="cs-CZ"/>
        </w:rPr>
        <w:t>eské republiky (dále jen „ČR“)</w:t>
      </w:r>
      <w:r w:rsidR="008C35F0" w:rsidRPr="00C30EAD">
        <w:rPr>
          <w:lang w:eastAsia="cs-CZ"/>
        </w:rPr>
        <w:t>, který přispěje k růstu, konkurenceschopnosti a k vytváření vysoce kvalifikovaných pracovních míst tak, aby se regiony ČR staly významnými místy koncentrace těchto aktivit v Evropě.</w:t>
      </w:r>
      <w:r w:rsidR="008C3C7D" w:rsidRPr="00C30EAD">
        <w:rPr>
          <w:lang w:eastAsia="cs-CZ"/>
        </w:rPr>
        <w:t xml:space="preserve"> </w:t>
      </w:r>
      <w:r w:rsidR="003A28A1" w:rsidRPr="00C30EAD">
        <w:rPr>
          <w:lang w:eastAsia="cs-CZ"/>
        </w:rPr>
        <w:t>Tento g</w:t>
      </w:r>
      <w:r w:rsidR="008C3C7D" w:rsidRPr="00C30EAD">
        <w:rPr>
          <w:lang w:eastAsia="cs-CZ"/>
        </w:rPr>
        <w:t xml:space="preserve">lobální cíl zajišťuje významnou část </w:t>
      </w:r>
      <w:r w:rsidR="00F81EE6">
        <w:rPr>
          <w:lang w:eastAsia="cs-CZ"/>
        </w:rPr>
        <w:t>s</w:t>
      </w:r>
      <w:r w:rsidR="008C3C7D" w:rsidRPr="00C30EAD">
        <w:rPr>
          <w:lang w:eastAsia="cs-CZ"/>
        </w:rPr>
        <w:t xml:space="preserve">trategického cíle </w:t>
      </w:r>
      <w:r w:rsidR="008C3C7D" w:rsidRPr="009D0852">
        <w:rPr>
          <w:i/>
          <w:lang w:eastAsia="cs-CZ"/>
        </w:rPr>
        <w:t>Národního strategického referenčního rámce</w:t>
      </w:r>
      <w:bookmarkStart w:id="0" w:name="_Ref353291951"/>
      <w:r w:rsidR="003A28A1" w:rsidRPr="00F81EE6">
        <w:rPr>
          <w:rStyle w:val="Znakapoznpodarou"/>
          <w:lang w:eastAsia="cs-CZ"/>
        </w:rPr>
        <w:footnoteReference w:id="2"/>
      </w:r>
      <w:bookmarkEnd w:id="0"/>
      <w:r w:rsidR="00F81EE6">
        <w:rPr>
          <w:lang w:eastAsia="cs-CZ"/>
        </w:rPr>
        <w:t>, a to cíle</w:t>
      </w:r>
      <w:r w:rsidR="008C3C7D" w:rsidRPr="00F81EE6">
        <w:rPr>
          <w:lang w:eastAsia="cs-CZ"/>
        </w:rPr>
        <w:t xml:space="preserve"> </w:t>
      </w:r>
      <w:r w:rsidR="008C3C7D" w:rsidRPr="009D0852">
        <w:rPr>
          <w:lang w:eastAsia="cs-CZ"/>
        </w:rPr>
        <w:t>„</w:t>
      </w:r>
      <w:r w:rsidR="008C3C7D" w:rsidRPr="00C30EAD">
        <w:rPr>
          <w:i/>
          <w:lang w:eastAsia="cs-CZ"/>
        </w:rPr>
        <w:t>Konkurenceschopná česká ekonomika</w:t>
      </w:r>
      <w:r w:rsidR="008C3C7D" w:rsidRPr="009D0852">
        <w:rPr>
          <w:lang w:eastAsia="cs-CZ"/>
        </w:rPr>
        <w:t>“</w:t>
      </w:r>
      <w:r w:rsidR="00AA0FA1" w:rsidRPr="00F81EE6">
        <w:rPr>
          <w:lang w:eastAsia="cs-CZ"/>
        </w:rPr>
        <w:t>.</w:t>
      </w:r>
      <w:r w:rsidR="009A66F7" w:rsidRPr="00C30EAD">
        <w:rPr>
          <w:lang w:eastAsia="cs-CZ"/>
        </w:rPr>
        <w:t xml:space="preserve"> </w:t>
      </w:r>
    </w:p>
    <w:p w14:paraId="49F00964" w14:textId="77777777" w:rsidR="00DF69AE" w:rsidRPr="00C30EAD" w:rsidRDefault="00DF69AE" w:rsidP="007C008D">
      <w:pPr>
        <w:rPr>
          <w:lang w:eastAsia="cs-CZ"/>
        </w:rPr>
      </w:pPr>
    </w:p>
    <w:p w14:paraId="18A50C2F" w14:textId="312F9B4D" w:rsidR="00DF69AE" w:rsidRPr="00C30EAD" w:rsidRDefault="00C10869" w:rsidP="007C008D">
      <w:pPr>
        <w:rPr>
          <w:lang w:eastAsia="cs-CZ"/>
        </w:rPr>
      </w:pPr>
      <w:r>
        <w:rPr>
          <w:lang w:eastAsia="cs-CZ"/>
        </w:rPr>
        <w:t>V </w:t>
      </w:r>
      <w:r w:rsidR="00DF69AE" w:rsidRPr="00C30EAD">
        <w:rPr>
          <w:lang w:eastAsia="cs-CZ"/>
        </w:rPr>
        <w:t xml:space="preserve">rámci </w:t>
      </w:r>
      <w:r w:rsidR="006D6876" w:rsidRPr="00C30EAD">
        <w:rPr>
          <w:lang w:eastAsia="cs-CZ"/>
        </w:rPr>
        <w:t xml:space="preserve">tohoto </w:t>
      </w:r>
      <w:r w:rsidR="00DF69AE" w:rsidRPr="00C30EAD">
        <w:rPr>
          <w:lang w:eastAsia="cs-CZ"/>
        </w:rPr>
        <w:t xml:space="preserve">operačního programu získávají </w:t>
      </w:r>
      <w:r w:rsidR="006D6876" w:rsidRPr="00C30EAD">
        <w:rPr>
          <w:lang w:eastAsia="cs-CZ"/>
        </w:rPr>
        <w:t xml:space="preserve">veřejné a státní vysoké školy realizující výzkum, </w:t>
      </w:r>
      <w:r w:rsidR="00DF69AE" w:rsidRPr="00C30EAD">
        <w:rPr>
          <w:lang w:eastAsia="cs-CZ"/>
        </w:rPr>
        <w:t>veřejné výzkumné instituce</w:t>
      </w:r>
      <w:r w:rsidR="006D6876" w:rsidRPr="00C30EAD">
        <w:rPr>
          <w:lang w:eastAsia="cs-CZ"/>
        </w:rPr>
        <w:t>, výzkumné ústavy i</w:t>
      </w:r>
      <w:r w:rsidR="00DF69AE" w:rsidRPr="00C30EAD">
        <w:rPr>
          <w:lang w:eastAsia="cs-CZ"/>
        </w:rPr>
        <w:t xml:space="preserve"> jiné právn</w:t>
      </w:r>
      <w:r w:rsidR="00007574" w:rsidRPr="00C30EAD">
        <w:rPr>
          <w:lang w:eastAsia="cs-CZ"/>
        </w:rPr>
        <w:t>ické</w:t>
      </w:r>
      <w:r w:rsidR="00DF69AE" w:rsidRPr="00C30EAD">
        <w:rPr>
          <w:lang w:eastAsia="cs-CZ"/>
        </w:rPr>
        <w:t xml:space="preserve"> </w:t>
      </w:r>
      <w:r w:rsidR="00007574" w:rsidRPr="00C30EAD">
        <w:rPr>
          <w:lang w:eastAsia="cs-CZ"/>
        </w:rPr>
        <w:t>osoby</w:t>
      </w:r>
      <w:r w:rsidR="00DF69AE" w:rsidRPr="00C30EAD">
        <w:rPr>
          <w:lang w:eastAsia="cs-CZ"/>
        </w:rPr>
        <w:t xml:space="preserve"> </w:t>
      </w:r>
      <w:r w:rsidR="009879B3" w:rsidRPr="00C30EAD">
        <w:rPr>
          <w:lang w:eastAsia="cs-CZ"/>
        </w:rPr>
        <w:t xml:space="preserve">podporu </w:t>
      </w:r>
      <w:r w:rsidR="00DF69AE" w:rsidRPr="00C30EAD">
        <w:rPr>
          <w:lang w:eastAsia="cs-CZ"/>
        </w:rPr>
        <w:t>na realizaci projektů zaměřených na budování</w:t>
      </w:r>
      <w:r w:rsidR="00EA1CD5" w:rsidRPr="00C30EAD">
        <w:rPr>
          <w:lang w:eastAsia="cs-CZ"/>
        </w:rPr>
        <w:t xml:space="preserve"> a </w:t>
      </w:r>
      <w:r w:rsidR="00DF69AE" w:rsidRPr="00C30EAD">
        <w:rPr>
          <w:lang w:eastAsia="cs-CZ"/>
        </w:rPr>
        <w:t xml:space="preserve">modernizaci infrastruktury a kapacit </w:t>
      </w:r>
      <w:r w:rsidR="00926F07" w:rsidRPr="00C30EAD">
        <w:rPr>
          <w:lang w:eastAsia="cs-CZ"/>
        </w:rPr>
        <w:t>výzkumu a </w:t>
      </w:r>
      <w:r w:rsidR="00DF69AE" w:rsidRPr="00C30EAD">
        <w:rPr>
          <w:lang w:eastAsia="cs-CZ"/>
        </w:rPr>
        <w:t xml:space="preserve">vývoje (dále </w:t>
      </w:r>
      <w:r w:rsidR="002C4499" w:rsidRPr="00C30EAD">
        <w:rPr>
          <w:lang w:eastAsia="cs-CZ"/>
        </w:rPr>
        <w:t xml:space="preserve">též </w:t>
      </w:r>
      <w:r w:rsidR="00DF69AE" w:rsidRPr="00C30EAD">
        <w:rPr>
          <w:lang w:eastAsia="cs-CZ"/>
        </w:rPr>
        <w:t xml:space="preserve">„VaV“), </w:t>
      </w:r>
      <w:r w:rsidR="00B64C7C" w:rsidRPr="00C30EAD">
        <w:rPr>
          <w:lang w:eastAsia="cs-CZ"/>
        </w:rPr>
        <w:t xml:space="preserve">na </w:t>
      </w:r>
      <w:r w:rsidR="006D6876" w:rsidRPr="00C30EAD">
        <w:rPr>
          <w:lang w:eastAsia="cs-CZ"/>
        </w:rPr>
        <w:t>v</w:t>
      </w:r>
      <w:r w:rsidR="00EA1CD5" w:rsidRPr="00C30EAD">
        <w:rPr>
          <w:lang w:eastAsia="cs-CZ"/>
        </w:rPr>
        <w:t xml:space="preserve">ybavení výzkumných pracovišť moderní technikou, </w:t>
      </w:r>
      <w:r w:rsidR="00B64C7C" w:rsidRPr="00C30EAD">
        <w:rPr>
          <w:lang w:eastAsia="cs-CZ"/>
        </w:rPr>
        <w:t xml:space="preserve">na </w:t>
      </w:r>
      <w:r w:rsidR="00DF69AE" w:rsidRPr="00C30EAD">
        <w:rPr>
          <w:lang w:eastAsia="cs-CZ"/>
        </w:rPr>
        <w:t xml:space="preserve">posilování spolupráce </w:t>
      </w:r>
      <w:r>
        <w:rPr>
          <w:lang w:eastAsia="cs-CZ"/>
        </w:rPr>
        <w:t>s </w:t>
      </w:r>
      <w:r w:rsidR="00DF69AE" w:rsidRPr="00C30EAD">
        <w:rPr>
          <w:lang w:eastAsia="cs-CZ"/>
        </w:rPr>
        <w:t xml:space="preserve">předními národními a mezinárodními vědeckými kapacitami, </w:t>
      </w:r>
      <w:r w:rsidR="00B64C7C" w:rsidRPr="00C30EAD">
        <w:rPr>
          <w:lang w:eastAsia="cs-CZ"/>
        </w:rPr>
        <w:t xml:space="preserve">na </w:t>
      </w:r>
      <w:r w:rsidR="00DF69AE" w:rsidRPr="00C30EAD">
        <w:rPr>
          <w:lang w:eastAsia="cs-CZ"/>
        </w:rPr>
        <w:t xml:space="preserve">posilování spolupráce </w:t>
      </w:r>
      <w:r>
        <w:rPr>
          <w:lang w:eastAsia="cs-CZ"/>
        </w:rPr>
        <w:t>s </w:t>
      </w:r>
      <w:r w:rsidR="00DF69AE" w:rsidRPr="00C30EAD">
        <w:rPr>
          <w:lang w:eastAsia="cs-CZ"/>
        </w:rPr>
        <w:t xml:space="preserve">aplikačním sektorem </w:t>
      </w:r>
      <w:r w:rsidR="00B64C7C" w:rsidRPr="00C30EAD">
        <w:rPr>
          <w:lang w:eastAsia="cs-CZ"/>
        </w:rPr>
        <w:t>i</w:t>
      </w:r>
      <w:r w:rsidR="00DF69AE" w:rsidRPr="00C30EAD">
        <w:rPr>
          <w:lang w:eastAsia="cs-CZ"/>
        </w:rPr>
        <w:t xml:space="preserve"> </w:t>
      </w:r>
      <w:r w:rsidR="00B64C7C" w:rsidRPr="00C30EAD">
        <w:rPr>
          <w:lang w:eastAsia="cs-CZ"/>
        </w:rPr>
        <w:t xml:space="preserve">sektorem veřejným a dále na </w:t>
      </w:r>
      <w:r w:rsidR="00DF69AE" w:rsidRPr="00C30EAD">
        <w:rPr>
          <w:lang w:eastAsia="cs-CZ"/>
        </w:rPr>
        <w:t>vytvoření systémů pro ochranu a nabídku výsledků výzkumu a vývoje</w:t>
      </w:r>
      <w:r w:rsidR="00B64C7C" w:rsidRPr="00C30EAD">
        <w:rPr>
          <w:lang w:eastAsia="cs-CZ"/>
        </w:rPr>
        <w:t xml:space="preserve">. </w:t>
      </w:r>
    </w:p>
    <w:p w14:paraId="0ED137A0" w14:textId="77777777" w:rsidR="000C78D6" w:rsidRPr="00C30EAD" w:rsidRDefault="000C78D6" w:rsidP="007C008D">
      <w:pPr>
        <w:spacing w:line="23" w:lineRule="atLeast"/>
        <w:ind w:left="595" w:hanging="595"/>
        <w:jc w:val="left"/>
        <w:rPr>
          <w:rFonts w:cs="Arial"/>
          <w:b/>
          <w:iCs/>
          <w:sz w:val="18"/>
          <w:szCs w:val="18"/>
        </w:rPr>
      </w:pPr>
    </w:p>
    <w:p w14:paraId="0B4FB2B8" w14:textId="6F5C6172" w:rsidR="000C78D6" w:rsidRPr="00C30EAD" w:rsidRDefault="00EA4778" w:rsidP="007C008D">
      <w:pPr>
        <w:rPr>
          <w:rFonts w:cs="Arial"/>
          <w:b/>
          <w:iCs/>
          <w:sz w:val="18"/>
          <w:szCs w:val="18"/>
        </w:rPr>
      </w:pPr>
      <w:r>
        <w:t xml:space="preserve">OP VaVpI spadá mezi </w:t>
      </w:r>
      <w:r w:rsidR="002C529E">
        <w:t>te</w:t>
      </w:r>
      <w:r w:rsidR="002C529E" w:rsidRPr="00C30EAD">
        <w:t>matické</w:t>
      </w:r>
      <w:r w:rsidR="003A0989" w:rsidRPr="00C30EAD">
        <w:t xml:space="preserve"> operační programy </w:t>
      </w:r>
      <w:r w:rsidR="00F81EE6">
        <w:t xml:space="preserve">realizované </w:t>
      </w:r>
      <w:r w:rsidR="00C10869">
        <w:t>v</w:t>
      </w:r>
      <w:r w:rsidR="00F81EE6">
        <w:t xml:space="preserve"> rámci </w:t>
      </w:r>
      <w:r w:rsidR="003A0989" w:rsidRPr="00C30EAD">
        <w:t>cíl</w:t>
      </w:r>
      <w:r w:rsidR="00F81EE6">
        <w:t>e</w:t>
      </w:r>
      <w:r w:rsidR="003A0989" w:rsidRPr="00C30EAD">
        <w:t xml:space="preserve"> </w:t>
      </w:r>
      <w:r w:rsidR="003A0989" w:rsidRPr="009D0852">
        <w:rPr>
          <w:i/>
        </w:rPr>
        <w:t>Konvergence</w:t>
      </w:r>
      <w:r w:rsidR="003A0989" w:rsidRPr="00C30EAD">
        <w:rPr>
          <w:rStyle w:val="Znakapoznpodarou"/>
        </w:rPr>
        <w:footnoteReference w:id="3"/>
      </w:r>
      <w:r w:rsidR="003A0989" w:rsidRPr="00C30EAD">
        <w:t xml:space="preserve"> a</w:t>
      </w:r>
      <w:r w:rsidR="00ED0755">
        <w:t> </w:t>
      </w:r>
      <w:r w:rsidR="00C10869">
        <w:t>z </w:t>
      </w:r>
      <w:r w:rsidR="003A0989" w:rsidRPr="00C30EAD">
        <w:t xml:space="preserve">pohledu finančních prostředků je čtvrtým největším českým operačním programem. </w:t>
      </w:r>
      <w:r w:rsidR="001415E6" w:rsidRPr="00C30EAD">
        <w:t>Celková alokace OP VaVpI na období 2007</w:t>
      </w:r>
      <w:r w:rsidR="00292425" w:rsidRPr="00C30EAD">
        <w:t>–</w:t>
      </w:r>
      <w:r w:rsidR="001415E6" w:rsidRPr="00C30EAD">
        <w:t>2013 je 2,43 mld. €</w:t>
      </w:r>
      <w:r w:rsidR="00405E49" w:rsidRPr="00C30EAD">
        <w:t>. Z</w:t>
      </w:r>
      <w:r w:rsidR="001415E6" w:rsidRPr="00C30EAD">
        <w:t> fondů EU je pr</w:t>
      </w:r>
      <w:r w:rsidR="00506CD9" w:rsidRPr="00C30EAD">
        <w:rPr>
          <w:lang w:eastAsia="cs-CZ"/>
        </w:rPr>
        <w:t xml:space="preserve">o </w:t>
      </w:r>
      <w:r w:rsidR="001415E6" w:rsidRPr="00C30EAD">
        <w:rPr>
          <w:lang w:eastAsia="cs-CZ"/>
        </w:rPr>
        <w:t xml:space="preserve">tento program </w:t>
      </w:r>
      <w:r w:rsidR="00506CD9" w:rsidRPr="00C30EAD">
        <w:rPr>
          <w:lang w:eastAsia="cs-CZ"/>
        </w:rPr>
        <w:t xml:space="preserve">vyčleněno </w:t>
      </w:r>
      <w:r w:rsidR="00506CD9" w:rsidRPr="00C30EAD">
        <w:rPr>
          <w:b/>
          <w:bCs/>
          <w:lang w:eastAsia="cs-CZ"/>
        </w:rPr>
        <w:t>2,07 mld. €</w:t>
      </w:r>
      <w:r w:rsidR="00506CD9" w:rsidRPr="00C30EAD">
        <w:rPr>
          <w:lang w:eastAsia="cs-CZ"/>
        </w:rPr>
        <w:t xml:space="preserve">, což činí </w:t>
      </w:r>
      <w:r w:rsidR="00EA1CD5" w:rsidRPr="00C30EAD">
        <w:rPr>
          <w:lang w:eastAsia="cs-CZ"/>
        </w:rPr>
        <w:t xml:space="preserve">přibližně </w:t>
      </w:r>
      <w:r w:rsidR="00506CD9" w:rsidRPr="00C30EAD">
        <w:rPr>
          <w:b/>
          <w:bCs/>
          <w:lang w:eastAsia="cs-CZ"/>
        </w:rPr>
        <w:t>7,</w:t>
      </w:r>
      <w:r w:rsidR="00EA1CD5" w:rsidRPr="00C30EAD">
        <w:rPr>
          <w:b/>
          <w:bCs/>
          <w:lang w:eastAsia="cs-CZ"/>
        </w:rPr>
        <w:t>8</w:t>
      </w:r>
      <w:r w:rsidR="00007574" w:rsidRPr="00C30EAD">
        <w:rPr>
          <w:b/>
          <w:bCs/>
          <w:lang w:eastAsia="cs-CZ"/>
        </w:rPr>
        <w:t xml:space="preserve"> </w:t>
      </w:r>
      <w:r w:rsidR="00506CD9" w:rsidRPr="00C30EAD">
        <w:rPr>
          <w:b/>
          <w:bCs/>
          <w:lang w:eastAsia="cs-CZ"/>
        </w:rPr>
        <w:t xml:space="preserve">% veškerých prostředků určených </w:t>
      </w:r>
      <w:r w:rsidR="00C10869">
        <w:rPr>
          <w:b/>
          <w:bCs/>
          <w:lang w:eastAsia="cs-CZ"/>
        </w:rPr>
        <w:t>z </w:t>
      </w:r>
      <w:r w:rsidR="00506CD9" w:rsidRPr="00C30EAD">
        <w:rPr>
          <w:b/>
          <w:bCs/>
          <w:lang w:eastAsia="cs-CZ"/>
        </w:rPr>
        <w:t>fondů EU pro ČR</w:t>
      </w:r>
      <w:r w:rsidR="00506CD9" w:rsidRPr="009D0852">
        <w:rPr>
          <w:b/>
          <w:lang w:eastAsia="cs-CZ"/>
        </w:rPr>
        <w:t>.</w:t>
      </w:r>
      <w:r w:rsidR="00506CD9" w:rsidRPr="00C30EAD">
        <w:rPr>
          <w:lang w:eastAsia="cs-CZ"/>
        </w:rPr>
        <w:t xml:space="preserve"> </w:t>
      </w:r>
      <w:r w:rsidR="00506CD9" w:rsidRPr="00C30EAD">
        <w:t xml:space="preserve">Hlavním zdrojem financování programu je </w:t>
      </w:r>
      <w:r w:rsidR="00506CD9" w:rsidRPr="009D0852">
        <w:rPr>
          <w:i/>
        </w:rPr>
        <w:t>Evropský fond pro regionální rozvoj</w:t>
      </w:r>
      <w:r w:rsidR="00506CD9" w:rsidRPr="00C30EAD">
        <w:t xml:space="preserve"> (dále jen „ERDF</w:t>
      </w:r>
      <w:r w:rsidR="00142004" w:rsidRPr="00C30EAD">
        <w:t>“</w:t>
      </w:r>
      <w:r w:rsidR="00506CD9" w:rsidRPr="00C30EAD">
        <w:rPr>
          <w:rStyle w:val="Znakapoznpodarou"/>
        </w:rPr>
        <w:footnoteReference w:id="4"/>
      </w:r>
      <w:r w:rsidR="009879B3" w:rsidRPr="00C30EAD">
        <w:t>)</w:t>
      </w:r>
      <w:r w:rsidR="00506CD9" w:rsidRPr="00C30EAD">
        <w:t xml:space="preserve">, jehož podíl </w:t>
      </w:r>
      <w:r w:rsidR="00405E49" w:rsidRPr="00C30EAD">
        <w:t xml:space="preserve">představuje </w:t>
      </w:r>
      <w:r w:rsidR="00506CD9" w:rsidRPr="00C30EAD">
        <w:t xml:space="preserve">85 % </w:t>
      </w:r>
      <w:r w:rsidR="00C10869">
        <w:t>z </w:t>
      </w:r>
      <w:r w:rsidR="00506CD9" w:rsidRPr="00C30EAD">
        <w:t>celkové alokace</w:t>
      </w:r>
      <w:r w:rsidR="00B64C7C" w:rsidRPr="00C30EAD">
        <w:t xml:space="preserve"> programu</w:t>
      </w:r>
      <w:r w:rsidR="00506CD9" w:rsidRPr="00C30EAD">
        <w:t xml:space="preserve">. Zbývající část finančních prostředků je </w:t>
      </w:r>
      <w:r w:rsidR="00C66DE2" w:rsidRPr="00C30EAD">
        <w:t xml:space="preserve">poskytnuta </w:t>
      </w:r>
      <w:r w:rsidR="00506CD9" w:rsidRPr="00C30EAD">
        <w:t xml:space="preserve">ze zdrojů státního rozpočtu (dále </w:t>
      </w:r>
      <w:r w:rsidR="00F81EE6">
        <w:t>též</w:t>
      </w:r>
      <w:r w:rsidR="00506CD9" w:rsidRPr="00C30EAD">
        <w:t xml:space="preserve"> „SR“) prostřednictvím rozpočtové kapitoly MŠMT.</w:t>
      </w:r>
    </w:p>
    <w:p w14:paraId="0B87FC29" w14:textId="77777777" w:rsidR="000C78D6" w:rsidRPr="00C30EAD" w:rsidRDefault="000C78D6" w:rsidP="007C008D">
      <w:pPr>
        <w:spacing w:line="23" w:lineRule="atLeast"/>
        <w:rPr>
          <w:rFonts w:cs="Arial"/>
          <w:b/>
          <w:iCs/>
          <w:sz w:val="18"/>
          <w:szCs w:val="18"/>
        </w:rPr>
      </w:pPr>
    </w:p>
    <w:p w14:paraId="7AE17706" w14:textId="77777777" w:rsidR="006453E9" w:rsidRPr="00C30EAD" w:rsidRDefault="00FE2A6A" w:rsidP="007C008D">
      <w:pPr>
        <w:rPr>
          <w:lang w:eastAsia="cs-CZ"/>
        </w:rPr>
      </w:pPr>
      <w:r w:rsidRPr="00C30EAD">
        <w:rPr>
          <w:lang w:eastAsia="cs-CZ"/>
        </w:rPr>
        <w:t>K naplňování globálního cíle OP VaVpI byly stanoveny čtyři specifické cíle korespondující se čtyřmi prioritními osami</w:t>
      </w:r>
      <w:r w:rsidR="006453E9" w:rsidRPr="00C30EAD">
        <w:rPr>
          <w:lang w:eastAsia="cs-CZ"/>
        </w:rPr>
        <w:t xml:space="preserve">: </w:t>
      </w:r>
    </w:p>
    <w:p w14:paraId="36A021FB" w14:textId="461337A4" w:rsidR="00255B9E" w:rsidRPr="00C30EAD" w:rsidRDefault="00F81EE6" w:rsidP="007C008D">
      <w:pPr>
        <w:rPr>
          <w:lang w:eastAsia="cs-CZ"/>
        </w:rPr>
      </w:pPr>
      <w:r>
        <w:rPr>
          <w:lang w:eastAsia="cs-CZ"/>
        </w:rPr>
        <w:t>p</w:t>
      </w:r>
      <w:r w:rsidR="00FE2A6A" w:rsidRPr="00C30EAD">
        <w:rPr>
          <w:lang w:eastAsia="cs-CZ"/>
        </w:rPr>
        <w:t xml:space="preserve">rioritní osa 1 – </w:t>
      </w:r>
      <w:r w:rsidR="00FE2A6A" w:rsidRPr="009D0852">
        <w:rPr>
          <w:i/>
          <w:lang w:eastAsia="cs-CZ"/>
        </w:rPr>
        <w:t>Evropská centra excelence</w:t>
      </w:r>
      <w:r>
        <w:rPr>
          <w:lang w:eastAsia="cs-CZ"/>
        </w:rPr>
        <w:t>,</w:t>
      </w:r>
      <w:r w:rsidR="00255B9E" w:rsidRPr="00C30EAD">
        <w:rPr>
          <w:lang w:eastAsia="cs-CZ"/>
        </w:rPr>
        <w:t xml:space="preserve"> </w:t>
      </w:r>
    </w:p>
    <w:p w14:paraId="38447D51" w14:textId="6A4A77B3" w:rsidR="00FE2A6A" w:rsidRPr="00C30EAD" w:rsidRDefault="00F81EE6" w:rsidP="007C008D">
      <w:pPr>
        <w:rPr>
          <w:lang w:eastAsia="cs-CZ"/>
        </w:rPr>
      </w:pPr>
      <w:r>
        <w:rPr>
          <w:lang w:eastAsia="cs-CZ"/>
        </w:rPr>
        <w:t>p</w:t>
      </w:r>
      <w:r w:rsidR="00FE2A6A" w:rsidRPr="00C30EAD">
        <w:rPr>
          <w:lang w:eastAsia="cs-CZ"/>
        </w:rPr>
        <w:t xml:space="preserve">rioritní osa 2 – </w:t>
      </w:r>
      <w:r w:rsidR="00FE2A6A" w:rsidRPr="009D0852">
        <w:rPr>
          <w:i/>
          <w:lang w:eastAsia="cs-CZ"/>
        </w:rPr>
        <w:t xml:space="preserve">Regionální </w:t>
      </w:r>
      <w:r w:rsidR="006453E9" w:rsidRPr="009D0852">
        <w:rPr>
          <w:i/>
          <w:lang w:eastAsia="cs-CZ"/>
        </w:rPr>
        <w:t xml:space="preserve">VaV </w:t>
      </w:r>
      <w:r w:rsidR="000E5827" w:rsidRPr="009D0852">
        <w:rPr>
          <w:i/>
          <w:lang w:eastAsia="cs-CZ"/>
        </w:rPr>
        <w:t>centra</w:t>
      </w:r>
      <w:r>
        <w:rPr>
          <w:lang w:eastAsia="cs-CZ"/>
        </w:rPr>
        <w:t>,</w:t>
      </w:r>
      <w:r w:rsidR="000E5827" w:rsidRPr="00C30EAD">
        <w:rPr>
          <w:lang w:eastAsia="cs-CZ"/>
        </w:rPr>
        <w:t xml:space="preserve"> </w:t>
      </w:r>
    </w:p>
    <w:p w14:paraId="36884BD1" w14:textId="45DF0829" w:rsidR="00FE2A6A" w:rsidRPr="00C30EAD" w:rsidRDefault="00F81EE6" w:rsidP="007C008D">
      <w:pPr>
        <w:rPr>
          <w:lang w:eastAsia="cs-CZ"/>
        </w:rPr>
      </w:pPr>
      <w:r>
        <w:rPr>
          <w:lang w:eastAsia="cs-CZ"/>
        </w:rPr>
        <w:t>p</w:t>
      </w:r>
      <w:r w:rsidR="00FE2A6A" w:rsidRPr="00C30EAD">
        <w:rPr>
          <w:lang w:eastAsia="cs-CZ"/>
        </w:rPr>
        <w:t xml:space="preserve">rioritní osa 3 – </w:t>
      </w:r>
      <w:r w:rsidR="00FE2A6A" w:rsidRPr="009D0852">
        <w:rPr>
          <w:i/>
          <w:lang w:eastAsia="cs-CZ"/>
        </w:rPr>
        <w:t>Komercializace a popularizace</w:t>
      </w:r>
      <w:r w:rsidR="000E5827" w:rsidRPr="009D0852">
        <w:rPr>
          <w:i/>
          <w:lang w:eastAsia="cs-CZ"/>
        </w:rPr>
        <w:t xml:space="preserve"> </w:t>
      </w:r>
      <w:r w:rsidR="00FE2A6A" w:rsidRPr="009D0852">
        <w:rPr>
          <w:i/>
          <w:lang w:eastAsia="cs-CZ"/>
        </w:rPr>
        <w:t>VaV</w:t>
      </w:r>
      <w:r>
        <w:rPr>
          <w:lang w:eastAsia="cs-CZ"/>
        </w:rPr>
        <w:t>,</w:t>
      </w:r>
    </w:p>
    <w:p w14:paraId="25D15E07" w14:textId="4035C70E" w:rsidR="00255B9E" w:rsidRPr="00C30EAD" w:rsidRDefault="00F81EE6" w:rsidP="007C008D">
      <w:pPr>
        <w:rPr>
          <w:lang w:eastAsia="cs-CZ"/>
        </w:rPr>
      </w:pPr>
      <w:r>
        <w:rPr>
          <w:lang w:eastAsia="cs-CZ"/>
        </w:rPr>
        <w:t>p</w:t>
      </w:r>
      <w:r w:rsidR="00FE2A6A" w:rsidRPr="00C30EAD">
        <w:rPr>
          <w:lang w:eastAsia="cs-CZ"/>
        </w:rPr>
        <w:t xml:space="preserve">rioritní osa 4 – </w:t>
      </w:r>
      <w:r w:rsidR="00FE2A6A" w:rsidRPr="009D0852">
        <w:rPr>
          <w:i/>
          <w:lang w:eastAsia="cs-CZ"/>
        </w:rPr>
        <w:t>Infrastruktura pro výuku na vysokých školách spoj</w:t>
      </w:r>
      <w:r w:rsidR="00255B9E" w:rsidRPr="009D0852">
        <w:rPr>
          <w:i/>
          <w:lang w:eastAsia="cs-CZ"/>
        </w:rPr>
        <w:t>enou s</w:t>
      </w:r>
      <w:r w:rsidRPr="009D0852">
        <w:rPr>
          <w:i/>
          <w:lang w:eastAsia="cs-CZ"/>
        </w:rPr>
        <w:t> </w:t>
      </w:r>
      <w:r w:rsidR="00255B9E" w:rsidRPr="009D0852">
        <w:rPr>
          <w:i/>
          <w:lang w:eastAsia="cs-CZ"/>
        </w:rPr>
        <w:t>výzkumem</w:t>
      </w:r>
      <w:r>
        <w:rPr>
          <w:lang w:eastAsia="cs-CZ"/>
        </w:rPr>
        <w:t>.</w:t>
      </w:r>
    </w:p>
    <w:p w14:paraId="6C1108DC" w14:textId="77777777" w:rsidR="00255B9E" w:rsidRPr="00C30EAD" w:rsidRDefault="00255B9E" w:rsidP="007C008D">
      <w:pPr>
        <w:rPr>
          <w:lang w:eastAsia="cs-CZ"/>
        </w:rPr>
      </w:pPr>
    </w:p>
    <w:p w14:paraId="648DC35A" w14:textId="77777777" w:rsidR="007733AE" w:rsidRPr="00C30EAD" w:rsidRDefault="00506CD9" w:rsidP="007C008D">
      <w:r w:rsidRPr="00C30EAD">
        <w:t xml:space="preserve">Na prioritní osu 1 – </w:t>
      </w:r>
      <w:r w:rsidRPr="009D0852">
        <w:rPr>
          <w:i/>
        </w:rPr>
        <w:t>Evropská centra excelence</w:t>
      </w:r>
      <w:r w:rsidRPr="00C30EAD">
        <w:t xml:space="preserve"> </w:t>
      </w:r>
      <w:r w:rsidR="00F83C4D" w:rsidRPr="00C30EAD">
        <w:t>bylo</w:t>
      </w:r>
      <w:r w:rsidRPr="00C30EAD">
        <w:t xml:space="preserve"> </w:t>
      </w:r>
      <w:r w:rsidR="00142004" w:rsidRPr="00C30EAD">
        <w:t xml:space="preserve">alokováno </w:t>
      </w:r>
      <w:r w:rsidRPr="00C30EAD">
        <w:t xml:space="preserve">celkem 806 347 498 €, což představuje 33 % celkové alokace OP VaVpI. Shodná částka </w:t>
      </w:r>
      <w:r w:rsidR="00F83C4D" w:rsidRPr="00C30EAD">
        <w:t>byla</w:t>
      </w:r>
      <w:r w:rsidRPr="00C30EAD">
        <w:t xml:space="preserve"> vyčleněna na prioritní osu 2 – </w:t>
      </w:r>
      <w:r w:rsidRPr="009D0852">
        <w:rPr>
          <w:i/>
        </w:rPr>
        <w:t>Regionální VaV centra</w:t>
      </w:r>
      <w:r w:rsidRPr="00C30EAD">
        <w:t>.</w:t>
      </w:r>
      <w:r w:rsidR="008C3C7D" w:rsidRPr="00C30EAD">
        <w:t xml:space="preserve"> </w:t>
      </w:r>
    </w:p>
    <w:p w14:paraId="2D8C2F09" w14:textId="77777777" w:rsidR="007733AE" w:rsidRPr="00C30EAD" w:rsidRDefault="007733AE" w:rsidP="007C008D"/>
    <w:p w14:paraId="75F52FDA" w14:textId="5F41820A" w:rsidR="00506CD9" w:rsidRPr="00C30EAD" w:rsidRDefault="007227F3" w:rsidP="007C008D">
      <w:r w:rsidRPr="00C30EAD">
        <w:t xml:space="preserve">Podpora center excelence </w:t>
      </w:r>
      <w:r w:rsidR="006D6876" w:rsidRPr="00C30EAD">
        <w:t xml:space="preserve">v rámci prioritní osy 1 </w:t>
      </w:r>
      <w:r w:rsidRPr="00C30EAD">
        <w:t>sestává z</w:t>
      </w:r>
      <w:r w:rsidR="006453E9" w:rsidRPr="00C30EAD">
        <w:t> </w:t>
      </w:r>
      <w:r w:rsidRPr="00C30EAD">
        <w:t>podpory</w:t>
      </w:r>
      <w:r w:rsidR="006453E9" w:rsidRPr="00C30EAD">
        <w:t xml:space="preserve"> investic do</w:t>
      </w:r>
      <w:r w:rsidRPr="00C30EAD">
        <w:t xml:space="preserve"> infrastruktury</w:t>
      </w:r>
      <w:r w:rsidR="00142004" w:rsidRPr="00C30EAD">
        <w:t xml:space="preserve"> a </w:t>
      </w:r>
      <w:r w:rsidRPr="00C30EAD">
        <w:t xml:space="preserve">podpory kvalitní VaV činnosti, která je zaměřena na zvyšování mezinárodní spolupráce </w:t>
      </w:r>
      <w:r w:rsidR="001F27E4">
        <w:lastRenderedPageBreak/>
        <w:t>předních</w:t>
      </w:r>
      <w:r w:rsidRPr="00C30EAD">
        <w:t xml:space="preserve"> výzkumný</w:t>
      </w:r>
      <w:r w:rsidR="001F27E4">
        <w:t>ch</w:t>
      </w:r>
      <w:r w:rsidRPr="00C30EAD">
        <w:t xml:space="preserve"> instituc</w:t>
      </w:r>
      <w:r w:rsidR="001F27E4">
        <w:t xml:space="preserve">í </w:t>
      </w:r>
      <w:r w:rsidRPr="00C30EAD">
        <w:t>ČR</w:t>
      </w:r>
      <w:r w:rsidR="00B64C7C" w:rsidRPr="00C30EAD">
        <w:t>.</w:t>
      </w:r>
      <w:r w:rsidR="00F64F64" w:rsidRPr="00C30EAD">
        <w:t xml:space="preserve"> Tím by měl být n</w:t>
      </w:r>
      <w:r w:rsidR="000E5827" w:rsidRPr="00C30EAD">
        <w:t>apl</w:t>
      </w:r>
      <w:r w:rsidR="005F4220" w:rsidRPr="00C30EAD">
        <w:t xml:space="preserve">něn </w:t>
      </w:r>
      <w:r w:rsidRPr="00C30EAD">
        <w:t>specifický cíl této prioritní osy</w:t>
      </w:r>
      <w:r w:rsidR="000E5827" w:rsidRPr="00C30EAD">
        <w:t>, tj.</w:t>
      </w:r>
      <w:r w:rsidR="00ED0755">
        <w:t> </w:t>
      </w:r>
      <w:r w:rsidR="00604CCE" w:rsidRPr="00C30EAD">
        <w:t xml:space="preserve">vytvoření omezeného počtu špičkových center </w:t>
      </w:r>
      <w:r w:rsidR="00C10869">
        <w:t>s </w:t>
      </w:r>
      <w:r w:rsidR="00604CCE" w:rsidRPr="00C30EAD">
        <w:t>vysoce kvalitní VaV infrastrukturou</w:t>
      </w:r>
      <w:r w:rsidR="00405E49" w:rsidRPr="00C30EAD">
        <w:t>, kter</w:t>
      </w:r>
      <w:r w:rsidR="003231A4" w:rsidRPr="00C30EAD">
        <w:t>á</w:t>
      </w:r>
      <w:r w:rsidR="00405E49" w:rsidRPr="00C30EAD">
        <w:t xml:space="preserve"> budou </w:t>
      </w:r>
      <w:r w:rsidR="00604CCE" w:rsidRPr="00C30EAD">
        <w:t>schopn</w:t>
      </w:r>
      <w:r w:rsidR="003231A4" w:rsidRPr="00C30EAD">
        <w:t>a</w:t>
      </w:r>
      <w:r w:rsidR="00604CCE" w:rsidRPr="00C30EAD">
        <w:t xml:space="preserve"> zapojit se do mezinárodní spolupráce </w:t>
      </w:r>
      <w:r w:rsidR="00C10869">
        <w:t>v </w:t>
      </w:r>
      <w:r w:rsidR="00604CCE" w:rsidRPr="00C30EAD">
        <w:t>rámci ERA</w:t>
      </w:r>
      <w:r w:rsidR="0078763A" w:rsidRPr="00C30EAD">
        <w:rPr>
          <w:rStyle w:val="Znakapoznpodarou"/>
        </w:rPr>
        <w:footnoteReference w:id="5"/>
      </w:r>
      <w:r w:rsidR="00604CCE" w:rsidRPr="00C30EAD">
        <w:t xml:space="preserve"> a </w:t>
      </w:r>
      <w:proofErr w:type="spellStart"/>
      <w:r w:rsidR="00604CCE" w:rsidRPr="00C30EAD">
        <w:t>ESFR</w:t>
      </w:r>
      <w:r w:rsidR="00153C2B" w:rsidRPr="00C30EAD">
        <w:t>I</w:t>
      </w:r>
      <w:proofErr w:type="spellEnd"/>
      <w:r w:rsidR="0078763A" w:rsidRPr="00C30EAD">
        <w:rPr>
          <w:rStyle w:val="Znakapoznpodarou"/>
        </w:rPr>
        <w:footnoteReference w:id="6"/>
      </w:r>
      <w:r w:rsidR="00CA0847">
        <w:t>,</w:t>
      </w:r>
      <w:r w:rsidR="00292425" w:rsidRPr="00C30EAD">
        <w:t xml:space="preserve"> a </w:t>
      </w:r>
      <w:r w:rsidR="00836BC4" w:rsidRPr="00C30EAD">
        <w:t>v</w:t>
      </w:r>
      <w:r w:rsidR="00604CCE" w:rsidRPr="00C30EAD">
        <w:t>ytvářet tak poznatky využitelné</w:t>
      </w:r>
      <w:r w:rsidR="002C4499" w:rsidRPr="00C30EAD">
        <w:t xml:space="preserve"> </w:t>
      </w:r>
      <w:r w:rsidR="00604CCE" w:rsidRPr="00C30EAD">
        <w:t>v</w:t>
      </w:r>
      <w:r w:rsidR="002C4499" w:rsidRPr="00C30EAD">
        <w:t> a</w:t>
      </w:r>
      <w:r w:rsidR="00604CCE" w:rsidRPr="00C30EAD">
        <w:t>plikační sféře</w:t>
      </w:r>
      <w:r w:rsidRPr="00C30EAD">
        <w:t xml:space="preserve">. </w:t>
      </w:r>
      <w:r w:rsidR="00CC7C37" w:rsidRPr="00C30EAD">
        <w:t xml:space="preserve">Podpora regionálních VaV center sestává z podpory infrastruktury i podpory VaV činnosti, kde </w:t>
      </w:r>
      <w:r w:rsidR="001415E6" w:rsidRPr="00C30EAD">
        <w:t xml:space="preserve">je </w:t>
      </w:r>
      <w:r w:rsidR="00CC7C37" w:rsidRPr="00C30EAD">
        <w:t xml:space="preserve">cílem </w:t>
      </w:r>
      <w:r w:rsidR="001415E6" w:rsidRPr="00C30EAD">
        <w:t>p</w:t>
      </w:r>
      <w:r w:rsidR="00CC7C37" w:rsidRPr="00C30EAD">
        <w:t>osí</w:t>
      </w:r>
      <w:r w:rsidR="001415E6" w:rsidRPr="00C30EAD">
        <w:t>lení</w:t>
      </w:r>
      <w:r w:rsidR="00CC7C37" w:rsidRPr="00C30EAD">
        <w:t xml:space="preserve"> vaz</w:t>
      </w:r>
      <w:r w:rsidR="001415E6" w:rsidRPr="00C30EAD">
        <w:t>e</w:t>
      </w:r>
      <w:r w:rsidR="00CC7C37" w:rsidRPr="00C30EAD">
        <w:t>b na aplikační sektor tak, aby byla ve střednědobém výhledu zvýšena kapacita pro smluvní výzkum</w:t>
      </w:r>
      <w:r w:rsidR="006453E9" w:rsidRPr="00C30EAD">
        <w:t xml:space="preserve">. </w:t>
      </w:r>
      <w:r w:rsidR="00F64F64" w:rsidRPr="00C30EAD">
        <w:t>Tím by měl být n</w:t>
      </w:r>
      <w:r w:rsidR="000E5827" w:rsidRPr="00C30EAD">
        <w:t>apl</w:t>
      </w:r>
      <w:r w:rsidR="005F4220" w:rsidRPr="00C30EAD">
        <w:t xml:space="preserve">něn </w:t>
      </w:r>
      <w:r w:rsidR="00604CCE" w:rsidRPr="00C30EAD">
        <w:t>specifický cíl prioritní osy</w:t>
      </w:r>
      <w:r w:rsidR="006D6876" w:rsidRPr="00C30EAD">
        <w:t xml:space="preserve"> 2</w:t>
      </w:r>
      <w:r w:rsidR="000E5827" w:rsidRPr="00C30EAD">
        <w:t>, tj.</w:t>
      </w:r>
      <w:r w:rsidR="00ED0755">
        <w:t> </w:t>
      </w:r>
      <w:r w:rsidR="000E5827" w:rsidRPr="00C30EAD">
        <w:t>z</w:t>
      </w:r>
      <w:r w:rsidR="00604CCE" w:rsidRPr="00C30EAD">
        <w:t xml:space="preserve">ajištění regionálních </w:t>
      </w:r>
      <w:proofErr w:type="spellStart"/>
      <w:r w:rsidR="00604CCE" w:rsidRPr="00C30EAD">
        <w:t>VaV</w:t>
      </w:r>
      <w:proofErr w:type="spellEnd"/>
      <w:r w:rsidR="00604CCE" w:rsidRPr="00C30EAD">
        <w:t xml:space="preserve"> kapacit určených pro tvorbu a přenos poznatků a posílení spolupráce VaV institucí s aplikační sférou</w:t>
      </w:r>
      <w:r w:rsidR="00CC7C37" w:rsidRPr="00C30EAD">
        <w:t xml:space="preserve">. </w:t>
      </w:r>
    </w:p>
    <w:p w14:paraId="5A39B841" w14:textId="77777777" w:rsidR="003E61FB" w:rsidRPr="00C30EAD" w:rsidRDefault="003E61FB" w:rsidP="007C008D"/>
    <w:p w14:paraId="735E6B67" w14:textId="25A0C981" w:rsidR="007733AE" w:rsidRPr="00C30EAD" w:rsidRDefault="007733AE" w:rsidP="007C008D">
      <w:pPr>
        <w:spacing w:line="23" w:lineRule="atLeast"/>
        <w:rPr>
          <w:rFonts w:cs="Arial"/>
          <w:iCs/>
          <w:szCs w:val="22"/>
        </w:rPr>
      </w:pPr>
      <w:r w:rsidRPr="00C30EAD">
        <w:t xml:space="preserve">V rámci prioritních os 1 a 2 bylo k datu ukončení kontrolní akce </w:t>
      </w:r>
      <w:r w:rsidR="00F64F64" w:rsidRPr="00C30EAD">
        <w:t xml:space="preserve">proplaceno </w:t>
      </w:r>
      <w:r w:rsidRPr="00C30EAD">
        <w:t>příjemcům</w:t>
      </w:r>
      <w:r w:rsidR="004B299F" w:rsidRPr="00C30EAD">
        <w:t xml:space="preserve"> </w:t>
      </w:r>
      <w:r w:rsidR="00292425" w:rsidRPr="00C30EAD">
        <w:t>28,6 </w:t>
      </w:r>
      <w:r w:rsidR="00F64F64" w:rsidRPr="00C30EAD">
        <w:t>%</w:t>
      </w:r>
      <w:r w:rsidR="00934E8B" w:rsidRPr="00C30EAD">
        <w:t xml:space="preserve"> v ose 1</w:t>
      </w:r>
      <w:r w:rsidR="005F69DE">
        <w:t xml:space="preserve"> a</w:t>
      </w:r>
      <w:r w:rsidR="00F64F64" w:rsidRPr="00C30EAD">
        <w:t xml:space="preserve"> </w:t>
      </w:r>
      <w:r w:rsidR="00EC35C4" w:rsidRPr="00C30EAD">
        <w:t>51,2</w:t>
      </w:r>
      <w:r w:rsidR="00292425" w:rsidRPr="00C30EAD">
        <w:t> </w:t>
      </w:r>
      <w:r w:rsidR="00F64F64" w:rsidRPr="00C30EAD">
        <w:t>%</w:t>
      </w:r>
      <w:r w:rsidR="00934E8B" w:rsidRPr="00C30EAD">
        <w:t xml:space="preserve"> v ose 2</w:t>
      </w:r>
      <w:r w:rsidR="00F64F64" w:rsidRPr="00C30EAD">
        <w:t xml:space="preserve"> z</w:t>
      </w:r>
      <w:r w:rsidRPr="00C30EAD">
        <w:t xml:space="preserve"> celkového objemu </w:t>
      </w:r>
      <w:r w:rsidR="00302C33" w:rsidRPr="00C30EAD">
        <w:t xml:space="preserve">peněžních </w:t>
      </w:r>
      <w:r w:rsidRPr="00C30EAD">
        <w:t>prostředků krytých vydanými rozhodnutími o poskytnutí dotace. Jedná se o prostředky poskytnuté prostřednictvím zálohových plateb. Z</w:t>
      </w:r>
      <w:r w:rsidR="005F69DE">
        <w:t> </w:t>
      </w:r>
      <w:r w:rsidRPr="00C30EAD">
        <w:t>prostředků</w:t>
      </w:r>
      <w:r w:rsidR="005F69DE">
        <w:t>,</w:t>
      </w:r>
      <w:r w:rsidRPr="00C30EAD">
        <w:t xml:space="preserve"> </w:t>
      </w:r>
      <w:r w:rsidR="005F69DE">
        <w:t xml:space="preserve">které </w:t>
      </w:r>
      <w:r w:rsidR="00041562" w:rsidRPr="00C30EAD">
        <w:t xml:space="preserve">dosud </w:t>
      </w:r>
      <w:r w:rsidR="005F69DE" w:rsidRPr="00C30EAD">
        <w:t xml:space="preserve">příjemci </w:t>
      </w:r>
      <w:r w:rsidRPr="00C30EAD">
        <w:t>vyúčtova</w:t>
      </w:r>
      <w:r w:rsidR="005F69DE">
        <w:t>li</w:t>
      </w:r>
      <w:r w:rsidRPr="00C30EAD">
        <w:t xml:space="preserve"> vůči MŠMT</w:t>
      </w:r>
      <w:r w:rsidR="005F69DE">
        <w:t>,</w:t>
      </w:r>
      <w:r w:rsidRPr="00C30EAD">
        <w:t xml:space="preserve"> bylo cert</w:t>
      </w:r>
      <w:r w:rsidRPr="00C30EAD">
        <w:rPr>
          <w:rFonts w:cs="Arial"/>
          <w:iCs/>
          <w:szCs w:val="22"/>
        </w:rPr>
        <w:t>ifikováno</w:t>
      </w:r>
      <w:r w:rsidRPr="00C30EAD">
        <w:rPr>
          <w:rFonts w:cs="Arial"/>
          <w:iCs/>
          <w:szCs w:val="22"/>
          <w:vertAlign w:val="superscript"/>
        </w:rPr>
        <w:footnoteReference w:id="7"/>
      </w:r>
      <w:r w:rsidRPr="00C30EAD">
        <w:rPr>
          <w:rFonts w:cs="Arial"/>
          <w:iCs/>
          <w:szCs w:val="22"/>
        </w:rPr>
        <w:t xml:space="preserve"> </w:t>
      </w:r>
      <w:r w:rsidR="00EC35C4" w:rsidRPr="00C30EAD">
        <w:rPr>
          <w:rFonts w:cs="Arial"/>
          <w:iCs/>
          <w:szCs w:val="22"/>
        </w:rPr>
        <w:t>38</w:t>
      </w:r>
      <w:r w:rsidRPr="00C30EAD">
        <w:rPr>
          <w:rFonts w:cs="Arial"/>
          <w:iCs/>
          <w:szCs w:val="22"/>
        </w:rPr>
        <w:t xml:space="preserve"> % výdajů u prioritní osy 1</w:t>
      </w:r>
      <w:r w:rsidR="005F69DE">
        <w:rPr>
          <w:rFonts w:cs="Arial"/>
          <w:iCs/>
          <w:szCs w:val="22"/>
        </w:rPr>
        <w:t xml:space="preserve"> a</w:t>
      </w:r>
      <w:r w:rsidRPr="00C30EAD">
        <w:rPr>
          <w:rFonts w:cs="Arial"/>
          <w:iCs/>
          <w:szCs w:val="22"/>
        </w:rPr>
        <w:t xml:space="preserve"> </w:t>
      </w:r>
      <w:r w:rsidR="00EC35C4" w:rsidRPr="00C30EAD">
        <w:rPr>
          <w:rFonts w:cs="Arial"/>
          <w:iCs/>
          <w:szCs w:val="22"/>
        </w:rPr>
        <w:t>67</w:t>
      </w:r>
      <w:r w:rsidR="005F69DE">
        <w:rPr>
          <w:rFonts w:cs="Arial"/>
          <w:iCs/>
          <w:szCs w:val="22"/>
        </w:rPr>
        <w:t> </w:t>
      </w:r>
      <w:r w:rsidRPr="00C30EAD">
        <w:rPr>
          <w:rFonts w:cs="Arial"/>
          <w:iCs/>
          <w:szCs w:val="22"/>
        </w:rPr>
        <w:t>% výdajů u prioritní osy 2</w:t>
      </w:r>
      <w:r w:rsidR="00292425" w:rsidRPr="00C30EAD">
        <w:rPr>
          <w:rFonts w:cs="Arial"/>
          <w:iCs/>
          <w:szCs w:val="22"/>
        </w:rPr>
        <w:t>. Přehled o </w:t>
      </w:r>
      <w:r w:rsidR="00D47617" w:rsidRPr="00C30EAD">
        <w:rPr>
          <w:rFonts w:cs="Arial"/>
          <w:iCs/>
          <w:szCs w:val="22"/>
        </w:rPr>
        <w:t>alokovaných, proplacených, vyúčtovaných a certifikovaných prostředcích obou prioritních os uvádí následující tabulka</w:t>
      </w:r>
      <w:r w:rsidR="006A0454" w:rsidRPr="00C30EAD">
        <w:rPr>
          <w:rFonts w:cs="Arial"/>
          <w:iCs/>
          <w:szCs w:val="22"/>
        </w:rPr>
        <w:t>:</w:t>
      </w:r>
    </w:p>
    <w:p w14:paraId="084B4DCD" w14:textId="77777777" w:rsidR="00980ED0" w:rsidRPr="00C30EAD" w:rsidRDefault="00980ED0" w:rsidP="007C008D">
      <w:pPr>
        <w:spacing w:line="23" w:lineRule="atLeast"/>
        <w:rPr>
          <w:rFonts w:cs="Arial"/>
          <w:iCs/>
          <w:szCs w:val="22"/>
        </w:rPr>
      </w:pPr>
    </w:p>
    <w:p w14:paraId="4BF45CDB" w14:textId="596D00B7" w:rsidR="007733AE" w:rsidRPr="009D0852" w:rsidRDefault="00980ED0" w:rsidP="007C008D">
      <w:pPr>
        <w:tabs>
          <w:tab w:val="left" w:pos="1134"/>
          <w:tab w:val="right" w:pos="9072"/>
        </w:tabs>
        <w:rPr>
          <w:b/>
          <w:lang w:eastAsia="cs-CZ"/>
        </w:rPr>
      </w:pPr>
      <w:r w:rsidRPr="009D0852">
        <w:rPr>
          <w:b/>
          <w:lang w:eastAsia="cs-CZ"/>
        </w:rPr>
        <w:t>Tabulka</w:t>
      </w:r>
      <w:r w:rsidR="002C529E" w:rsidRPr="009D0852">
        <w:rPr>
          <w:b/>
          <w:lang w:eastAsia="cs-CZ"/>
        </w:rPr>
        <w:t xml:space="preserve"> č</w:t>
      </w:r>
      <w:r w:rsidR="00577871" w:rsidRPr="009D0852">
        <w:rPr>
          <w:b/>
          <w:lang w:eastAsia="cs-CZ"/>
        </w:rPr>
        <w:t>.</w:t>
      </w:r>
      <w:r w:rsidR="002C529E" w:rsidRPr="009D0852">
        <w:rPr>
          <w:b/>
          <w:lang w:eastAsia="cs-CZ"/>
        </w:rPr>
        <w:t xml:space="preserve"> 1 – </w:t>
      </w:r>
      <w:r w:rsidRPr="009D0852">
        <w:rPr>
          <w:b/>
          <w:lang w:eastAsia="cs-CZ"/>
        </w:rPr>
        <w:t>Přehled o prostředcích prioritní osy 1 a prioritní osy 2 OP VaVpI</w:t>
      </w:r>
      <w:r w:rsidRPr="009D0852">
        <w:rPr>
          <w:b/>
          <w:lang w:eastAsia="cs-CZ"/>
        </w:rPr>
        <w:tab/>
        <w:t>(v Kč)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80"/>
        <w:gridCol w:w="1380"/>
        <w:gridCol w:w="1380"/>
        <w:gridCol w:w="1380"/>
        <w:gridCol w:w="1380"/>
      </w:tblGrid>
      <w:tr w:rsidR="0010287E" w:rsidRPr="00C30EAD" w14:paraId="323A101C" w14:textId="77777777" w:rsidTr="0039023D">
        <w:trPr>
          <w:trHeight w:val="91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9B1DEA" w14:textId="6BBF1B63" w:rsidR="0010287E" w:rsidRPr="00C30EAD" w:rsidRDefault="0010287E" w:rsidP="005F69DE">
            <w:pPr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Prioritní osa / </w:t>
            </w:r>
            <w:r w:rsidR="005F69DE">
              <w:rPr>
                <w:rFonts w:cs="Arial"/>
                <w:color w:val="000000"/>
                <w:sz w:val="14"/>
                <w:szCs w:val="14"/>
                <w:lang w:eastAsia="cs-CZ"/>
              </w:rPr>
              <w:t>o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blast podpory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D78A79" w14:textId="4F7C39B8" w:rsidR="0010287E" w:rsidRPr="00C30EAD" w:rsidRDefault="0010287E" w:rsidP="005F69DE">
            <w:pPr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Alokace podpory 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br/>
            </w:r>
            <w:r w:rsidR="005F69DE">
              <w:rPr>
                <w:rFonts w:cs="Arial"/>
                <w:color w:val="000000"/>
                <w:sz w:val="14"/>
                <w:szCs w:val="14"/>
                <w:lang w:eastAsia="cs-CZ"/>
              </w:rPr>
              <w:t>n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a období 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br/>
              <w:t>2007</w:t>
            </w:r>
            <w:r w:rsidR="005F69DE">
              <w:rPr>
                <w:rFonts w:cs="Arial"/>
                <w:color w:val="000000"/>
                <w:sz w:val="14"/>
                <w:szCs w:val="14"/>
                <w:lang w:eastAsia="cs-CZ"/>
              </w:rPr>
              <w:t>–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E83685" w14:textId="38B49AF2" w:rsidR="0010287E" w:rsidRPr="00C30EAD" w:rsidRDefault="0010287E" w:rsidP="00CA0847">
            <w:pPr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Prostředky kryté </w:t>
            </w:r>
            <w:r w:rsidR="005F69DE">
              <w:rPr>
                <w:rFonts w:cs="Arial"/>
                <w:color w:val="000000"/>
                <w:sz w:val="14"/>
                <w:szCs w:val="14"/>
                <w:lang w:eastAsia="cs-CZ"/>
              </w:rPr>
              <w:t>r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ozhodnutím/ </w:t>
            </w:r>
            <w:r w:rsidR="00CA0847">
              <w:rPr>
                <w:rFonts w:cs="Arial"/>
                <w:color w:val="000000"/>
                <w:sz w:val="14"/>
                <w:szCs w:val="14"/>
                <w:lang w:eastAsia="cs-CZ"/>
              </w:rPr>
              <w:t>/</w:t>
            </w:r>
            <w:r w:rsidR="005F69DE">
              <w:rPr>
                <w:rFonts w:cs="Arial"/>
                <w:color w:val="000000"/>
                <w:sz w:val="14"/>
                <w:szCs w:val="14"/>
                <w:lang w:eastAsia="cs-CZ"/>
              </w:rPr>
              <w:t>s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mlouvou (dodatkem) nebo jiným dokumentem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80822F" w14:textId="245F2B03" w:rsidR="0010287E" w:rsidRPr="00C30EAD" w:rsidRDefault="0010287E" w:rsidP="00AF0EAC">
            <w:pPr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Schválené žádosti o platbu </w:t>
            </w:r>
            <w:r w:rsidR="00AF0EAC">
              <w:rPr>
                <w:rFonts w:cs="Arial"/>
                <w:color w:val="000000"/>
                <w:sz w:val="14"/>
                <w:szCs w:val="14"/>
                <w:lang w:eastAsia="cs-CZ"/>
              </w:rPr>
              <w:t>podané ze strany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příjemců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br/>
              <w:t>(vyúčtované prostředky</w:t>
            </w:r>
            <w:r w:rsidR="00AD2969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kumulovaně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0EEDE9" w14:textId="77777777" w:rsidR="0010287E" w:rsidRPr="00C30EAD" w:rsidRDefault="0010287E" w:rsidP="007C008D">
            <w:pPr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Proplacené prostředky</w:t>
            </w:r>
            <w:r w:rsidR="0056758C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(zálohy</w:t>
            </w:r>
            <w:r w:rsidR="00AD2969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kumulovaně</w:t>
            </w:r>
            <w:r w:rsidR="008B4702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3C9DD42" w14:textId="4CB98C03" w:rsidR="0010287E" w:rsidRPr="00C30EAD" w:rsidRDefault="0010287E" w:rsidP="007C008D">
            <w:pPr>
              <w:jc w:val="center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Ce</w:t>
            </w:r>
            <w:r w:rsidR="00AD2969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rtifikované výdaje předložené Evropské komisi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br/>
              <w:t>a související platby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br/>
              <w:t>z národních zdrojů</w:t>
            </w:r>
            <w:r w:rsidR="00AD2969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(kumulovaně)</w:t>
            </w:r>
          </w:p>
        </w:tc>
      </w:tr>
      <w:tr w:rsidR="0010287E" w:rsidRPr="00C30EAD" w14:paraId="2485D563" w14:textId="77777777" w:rsidTr="0039023D">
        <w:trPr>
          <w:trHeight w:val="675"/>
        </w:trPr>
        <w:tc>
          <w:tcPr>
            <w:tcW w:w="218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C18F" w14:textId="77777777" w:rsidR="0010287E" w:rsidRPr="00C30EAD" w:rsidRDefault="0010287E" w:rsidP="007C008D">
            <w:pPr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  <w:r w:rsidR="00C66DE2" w:rsidRPr="00C30EAD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.</w:t>
            </w:r>
            <w:r w:rsidRPr="00C30EAD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Evropská centra excelence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E6A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20 6</w:t>
            </w:r>
            <w:r w:rsidR="00536B8C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84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536B8C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426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536B8C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018</w:t>
            </w: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,</w:t>
            </w:r>
            <w:r w:rsidR="00536B8C"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7EE7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20 181 001 434,98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27F5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1 640 754 168,43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2C9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5 765 391 004,00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E602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618 640 745,90</w:t>
            </w:r>
          </w:p>
        </w:tc>
      </w:tr>
      <w:tr w:rsidR="0010287E" w:rsidRPr="00C30EAD" w14:paraId="0853A8FB" w14:textId="77777777" w:rsidTr="0010287E">
        <w:trPr>
          <w:trHeight w:val="6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F7C7" w14:textId="77777777" w:rsidR="0010287E" w:rsidRPr="00C30EAD" w:rsidRDefault="0010287E" w:rsidP="007C008D">
            <w:pPr>
              <w:jc w:val="left"/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  <w:r w:rsidR="00C66DE2" w:rsidRPr="00C30EAD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>.</w:t>
            </w:r>
            <w:r w:rsidRPr="00C30EAD">
              <w:rPr>
                <w:rFonts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Regionální VaV centra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BB3" w14:textId="77777777" w:rsidR="0010287E" w:rsidRPr="00C30EAD" w:rsidRDefault="00536B8C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20 684 426 018,70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AD23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20 373 863 346,11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BFA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5 284 498 732,27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CB81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10 440 210 553,20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EADC" w14:textId="77777777" w:rsidR="0010287E" w:rsidRPr="00C30EAD" w:rsidRDefault="0010287E" w:rsidP="007C008D">
            <w:pPr>
              <w:jc w:val="right"/>
              <w:rPr>
                <w:rFonts w:cs="Arial"/>
                <w:color w:val="000000"/>
                <w:sz w:val="14"/>
                <w:szCs w:val="14"/>
                <w:lang w:eastAsia="cs-CZ"/>
              </w:rPr>
            </w:pPr>
            <w:r w:rsidRPr="00C30EAD">
              <w:rPr>
                <w:rFonts w:cs="Arial"/>
                <w:color w:val="000000"/>
                <w:sz w:val="14"/>
                <w:szCs w:val="14"/>
                <w:lang w:eastAsia="cs-CZ"/>
              </w:rPr>
              <w:t>3 522 964 641,65</w:t>
            </w:r>
          </w:p>
        </w:tc>
      </w:tr>
    </w:tbl>
    <w:p w14:paraId="0C865B5C" w14:textId="683A739C" w:rsidR="003E61FB" w:rsidRPr="002C529E" w:rsidRDefault="003E61FB" w:rsidP="007C008D">
      <w:pPr>
        <w:shd w:val="clear" w:color="auto" w:fill="FFFFFF"/>
        <w:tabs>
          <w:tab w:val="left" w:pos="567"/>
        </w:tabs>
        <w:spacing w:line="23" w:lineRule="atLeast"/>
        <w:ind w:left="567" w:hanging="567"/>
        <w:rPr>
          <w:sz w:val="18"/>
          <w:szCs w:val="18"/>
        </w:rPr>
      </w:pPr>
      <w:r w:rsidRPr="002C529E">
        <w:rPr>
          <w:b/>
          <w:sz w:val="18"/>
          <w:szCs w:val="18"/>
        </w:rPr>
        <w:t>Zdroj:</w:t>
      </w:r>
      <w:r w:rsidR="00C66DE2" w:rsidRPr="002C529E">
        <w:rPr>
          <w:sz w:val="18"/>
          <w:szCs w:val="18"/>
        </w:rPr>
        <w:tab/>
      </w:r>
      <w:r w:rsidR="00AF0EAC">
        <w:rPr>
          <w:sz w:val="18"/>
          <w:szCs w:val="18"/>
        </w:rPr>
        <w:t>s</w:t>
      </w:r>
      <w:r w:rsidRPr="002C529E">
        <w:rPr>
          <w:sz w:val="18"/>
          <w:szCs w:val="18"/>
        </w:rPr>
        <w:t>estava z </w:t>
      </w:r>
      <w:proofErr w:type="spellStart"/>
      <w:r w:rsidRPr="002C529E">
        <w:rPr>
          <w:sz w:val="18"/>
          <w:szCs w:val="18"/>
        </w:rPr>
        <w:t>MSC2007</w:t>
      </w:r>
      <w:proofErr w:type="spellEnd"/>
      <w:r w:rsidR="00AF0EAC">
        <w:rPr>
          <w:sz w:val="18"/>
          <w:szCs w:val="18"/>
        </w:rPr>
        <w:t>,</w:t>
      </w:r>
      <w:r w:rsidRPr="002C529E">
        <w:rPr>
          <w:sz w:val="18"/>
          <w:szCs w:val="18"/>
        </w:rPr>
        <w:t xml:space="preserve"> údaje k</w:t>
      </w:r>
      <w:r w:rsidR="00577871">
        <w:rPr>
          <w:sz w:val="18"/>
          <w:szCs w:val="18"/>
        </w:rPr>
        <w:t xml:space="preserve"> </w:t>
      </w:r>
      <w:r w:rsidRPr="002C529E">
        <w:rPr>
          <w:sz w:val="18"/>
          <w:szCs w:val="18"/>
        </w:rPr>
        <w:t xml:space="preserve">28. </w:t>
      </w:r>
      <w:r w:rsidR="00612B75" w:rsidRPr="002C529E">
        <w:rPr>
          <w:sz w:val="18"/>
          <w:szCs w:val="18"/>
        </w:rPr>
        <w:t>únoru</w:t>
      </w:r>
      <w:r w:rsidR="00980ED0" w:rsidRPr="002C529E">
        <w:rPr>
          <w:sz w:val="18"/>
          <w:szCs w:val="18"/>
        </w:rPr>
        <w:t xml:space="preserve"> 2013</w:t>
      </w:r>
      <w:r w:rsidR="00536B8C" w:rsidRPr="002C529E">
        <w:rPr>
          <w:sz w:val="18"/>
          <w:szCs w:val="18"/>
        </w:rPr>
        <w:t xml:space="preserve">. Částky alokace podpory </w:t>
      </w:r>
      <w:r w:rsidR="000162B3" w:rsidRPr="002C529E">
        <w:rPr>
          <w:sz w:val="18"/>
          <w:szCs w:val="18"/>
        </w:rPr>
        <w:t xml:space="preserve">byly </w:t>
      </w:r>
      <w:r w:rsidRPr="002C529E">
        <w:rPr>
          <w:sz w:val="18"/>
          <w:szCs w:val="18"/>
        </w:rPr>
        <w:t>přepočteny kurzem 25,652</w:t>
      </w:r>
      <w:r w:rsidR="00980ED0" w:rsidRPr="002C529E">
        <w:rPr>
          <w:sz w:val="18"/>
          <w:szCs w:val="18"/>
        </w:rPr>
        <w:t> </w:t>
      </w:r>
      <w:r w:rsidR="00536B8C" w:rsidRPr="002C529E">
        <w:rPr>
          <w:sz w:val="18"/>
          <w:szCs w:val="18"/>
        </w:rPr>
        <w:t>CZK/</w:t>
      </w:r>
      <w:r w:rsidR="007D689F" w:rsidRPr="002C529E">
        <w:rPr>
          <w:sz w:val="18"/>
          <w:szCs w:val="18"/>
        </w:rPr>
        <w:t>EUR</w:t>
      </w:r>
      <w:r w:rsidR="00536B8C" w:rsidRPr="002C529E">
        <w:rPr>
          <w:sz w:val="18"/>
          <w:szCs w:val="18"/>
        </w:rPr>
        <w:t xml:space="preserve"> (měsíční kurz vyhl</w:t>
      </w:r>
      <w:r w:rsidR="0084635B" w:rsidRPr="002C529E">
        <w:rPr>
          <w:sz w:val="18"/>
          <w:szCs w:val="18"/>
        </w:rPr>
        <w:t>ášený</w:t>
      </w:r>
      <w:r w:rsidR="00536B8C" w:rsidRPr="002C529E">
        <w:rPr>
          <w:sz w:val="18"/>
          <w:szCs w:val="18"/>
        </w:rPr>
        <w:t xml:space="preserve"> Evropskou komisí pro měsíc únor 2013)</w:t>
      </w:r>
      <w:r w:rsidR="0084635B" w:rsidRPr="002C529E">
        <w:rPr>
          <w:sz w:val="18"/>
          <w:szCs w:val="18"/>
        </w:rPr>
        <w:t>.</w:t>
      </w:r>
    </w:p>
    <w:p w14:paraId="196B986A" w14:textId="77777777" w:rsidR="003E61FB" w:rsidRPr="00C30EAD" w:rsidRDefault="003E61FB" w:rsidP="007C008D">
      <w:pPr>
        <w:shd w:val="clear" w:color="auto" w:fill="FFFFFF"/>
        <w:spacing w:line="23" w:lineRule="atLeast"/>
      </w:pPr>
    </w:p>
    <w:p w14:paraId="4FC2D2A1" w14:textId="29245E15" w:rsidR="00461677" w:rsidRPr="00C30EAD" w:rsidRDefault="00200E20" w:rsidP="007C008D">
      <w:pPr>
        <w:spacing w:line="23" w:lineRule="atLeast"/>
        <w:rPr>
          <w:rFonts w:cs="Arial"/>
          <w:iCs/>
          <w:szCs w:val="22"/>
        </w:rPr>
      </w:pPr>
      <w:r w:rsidRPr="00C30EAD">
        <w:rPr>
          <w:rFonts w:cs="Arial"/>
          <w:iCs/>
          <w:szCs w:val="22"/>
        </w:rPr>
        <w:t xml:space="preserve">Kontrole NKÚ byl podroben systém administrace projektů </w:t>
      </w:r>
      <w:r w:rsidR="00EC35C4" w:rsidRPr="00C30EAD">
        <w:rPr>
          <w:rFonts w:cs="Arial"/>
          <w:iCs/>
          <w:szCs w:val="22"/>
        </w:rPr>
        <w:t xml:space="preserve">realizovaných v rámci výše uvedených </w:t>
      </w:r>
      <w:r w:rsidRPr="00C30EAD">
        <w:rPr>
          <w:rFonts w:cs="Arial"/>
          <w:iCs/>
          <w:szCs w:val="22"/>
        </w:rPr>
        <w:t xml:space="preserve">prioritních os 1 a 2. </w:t>
      </w:r>
      <w:r w:rsidR="00461677" w:rsidRPr="00C30EAD">
        <w:rPr>
          <w:rFonts w:cs="Arial"/>
          <w:iCs/>
          <w:szCs w:val="22"/>
        </w:rPr>
        <w:t xml:space="preserve">Kontrola NKÚ posuzovala zejména nastavení a účinnost řídicích a kontrolních systémů a výkon činnosti MŠMT jako řídicího orgánu při </w:t>
      </w:r>
      <w:r w:rsidR="00070163" w:rsidRPr="00C30EAD">
        <w:rPr>
          <w:rFonts w:cs="Arial"/>
          <w:iCs/>
          <w:szCs w:val="22"/>
        </w:rPr>
        <w:t xml:space="preserve">organizaci výzev, při hodnocení a </w:t>
      </w:r>
      <w:r w:rsidR="00EC35C4" w:rsidRPr="00C30EAD">
        <w:rPr>
          <w:rFonts w:cs="Arial"/>
          <w:iCs/>
          <w:szCs w:val="22"/>
        </w:rPr>
        <w:t xml:space="preserve">výběru projektů, při jejich </w:t>
      </w:r>
      <w:r w:rsidR="00461677" w:rsidRPr="00C30EAD">
        <w:rPr>
          <w:rFonts w:cs="Arial"/>
          <w:iCs/>
          <w:szCs w:val="22"/>
        </w:rPr>
        <w:t xml:space="preserve">administraci, </w:t>
      </w:r>
      <w:r w:rsidR="00EC35C4" w:rsidRPr="00C30EAD">
        <w:rPr>
          <w:rFonts w:cs="Arial"/>
          <w:iCs/>
          <w:szCs w:val="22"/>
        </w:rPr>
        <w:t>kontrole a m</w:t>
      </w:r>
      <w:r w:rsidR="00461677" w:rsidRPr="00C30EAD">
        <w:rPr>
          <w:rFonts w:cs="Arial"/>
          <w:iCs/>
          <w:szCs w:val="22"/>
        </w:rPr>
        <w:t>onitorování</w:t>
      </w:r>
      <w:r w:rsidR="00070163" w:rsidRPr="00C30EAD">
        <w:rPr>
          <w:rFonts w:cs="Arial"/>
          <w:iCs/>
          <w:szCs w:val="22"/>
        </w:rPr>
        <w:t xml:space="preserve">. </w:t>
      </w:r>
      <w:r w:rsidR="00A72B94" w:rsidRPr="00C30EAD">
        <w:rPr>
          <w:rFonts w:cs="Arial"/>
          <w:iCs/>
          <w:szCs w:val="22"/>
        </w:rPr>
        <w:t xml:space="preserve">Prověřen </w:t>
      </w:r>
      <w:r w:rsidR="00070163" w:rsidRPr="00C30EAD">
        <w:rPr>
          <w:rFonts w:cs="Arial"/>
          <w:iCs/>
          <w:szCs w:val="22"/>
        </w:rPr>
        <w:t xml:space="preserve">byl </w:t>
      </w:r>
      <w:r w:rsidR="00A72B94" w:rsidRPr="00C30EAD">
        <w:rPr>
          <w:rFonts w:cs="Arial"/>
          <w:iCs/>
          <w:szCs w:val="22"/>
        </w:rPr>
        <w:t xml:space="preserve">též </w:t>
      </w:r>
      <w:r w:rsidR="00070163" w:rsidRPr="00C30EAD">
        <w:rPr>
          <w:rFonts w:cs="Arial"/>
          <w:iCs/>
          <w:szCs w:val="22"/>
        </w:rPr>
        <w:t>systém finančního řízení programu</w:t>
      </w:r>
      <w:r w:rsidR="00C66DE2" w:rsidRPr="00C30EAD">
        <w:rPr>
          <w:rFonts w:cs="Arial"/>
          <w:iCs/>
          <w:szCs w:val="22"/>
        </w:rPr>
        <w:t xml:space="preserve"> včetně výkaznictví</w:t>
      </w:r>
      <w:r w:rsidR="00070163" w:rsidRPr="00C30EAD">
        <w:rPr>
          <w:rFonts w:cs="Arial"/>
          <w:iCs/>
          <w:szCs w:val="22"/>
        </w:rPr>
        <w:t xml:space="preserve"> a systém hlášení, evidence a šetření nesrovnalostí</w:t>
      </w:r>
      <w:r w:rsidR="00EC35C4" w:rsidRPr="00C30EAD">
        <w:rPr>
          <w:rFonts w:cs="Arial"/>
          <w:iCs/>
          <w:szCs w:val="22"/>
        </w:rPr>
        <w:t xml:space="preserve">. </w:t>
      </w:r>
      <w:r w:rsidRPr="00C30EAD">
        <w:rPr>
          <w:rFonts w:cs="Arial"/>
          <w:iCs/>
          <w:szCs w:val="22"/>
        </w:rPr>
        <w:t xml:space="preserve">Kromě </w:t>
      </w:r>
      <w:r w:rsidR="00BB00A6" w:rsidRPr="00C30EAD">
        <w:rPr>
          <w:rFonts w:cs="Arial"/>
          <w:iCs/>
          <w:szCs w:val="22"/>
        </w:rPr>
        <w:t xml:space="preserve">nastavení a </w:t>
      </w:r>
      <w:r w:rsidRPr="00C30EAD">
        <w:rPr>
          <w:rFonts w:cs="Arial"/>
          <w:iCs/>
          <w:szCs w:val="22"/>
        </w:rPr>
        <w:t xml:space="preserve">funkčnosti systému byl </w:t>
      </w:r>
      <w:r w:rsidR="00972012" w:rsidRPr="00C30EAD">
        <w:rPr>
          <w:rFonts w:cs="Arial"/>
          <w:iCs/>
          <w:szCs w:val="22"/>
        </w:rPr>
        <w:t>zkontrolován</w:t>
      </w:r>
      <w:r w:rsidR="00EC35C4" w:rsidRPr="00C30EAD">
        <w:rPr>
          <w:rFonts w:cs="Arial"/>
          <w:iCs/>
          <w:szCs w:val="22"/>
        </w:rPr>
        <w:t xml:space="preserve"> </w:t>
      </w:r>
      <w:r w:rsidRPr="00C30EAD">
        <w:rPr>
          <w:rFonts w:cs="Arial"/>
          <w:iCs/>
          <w:szCs w:val="22"/>
        </w:rPr>
        <w:t xml:space="preserve">vzorek </w:t>
      </w:r>
      <w:r w:rsidR="00CC668D" w:rsidRPr="00C30EAD">
        <w:rPr>
          <w:rFonts w:cs="Arial"/>
          <w:iCs/>
          <w:szCs w:val="22"/>
        </w:rPr>
        <w:t xml:space="preserve">osmi </w:t>
      </w:r>
      <w:r w:rsidRPr="00C30EAD">
        <w:rPr>
          <w:rFonts w:cs="Arial"/>
          <w:iCs/>
          <w:szCs w:val="22"/>
        </w:rPr>
        <w:t>realizovaných projektů.</w:t>
      </w:r>
    </w:p>
    <w:p w14:paraId="00174634" w14:textId="77777777" w:rsidR="00200E20" w:rsidRPr="00C30EAD" w:rsidRDefault="00200E20" w:rsidP="007C008D">
      <w:pPr>
        <w:spacing w:line="23" w:lineRule="atLeast"/>
        <w:rPr>
          <w:rFonts w:cs="Arial"/>
          <w:iCs/>
          <w:szCs w:val="22"/>
        </w:rPr>
      </w:pPr>
    </w:p>
    <w:p w14:paraId="17ECF8F5" w14:textId="77777777" w:rsidR="009C0D12" w:rsidRPr="00C30EAD" w:rsidRDefault="009C0D12" w:rsidP="007C008D">
      <w:pPr>
        <w:spacing w:line="23" w:lineRule="atLeast"/>
        <w:ind w:left="595" w:hanging="595"/>
        <w:rPr>
          <w:rFonts w:cs="Arial"/>
          <w:iCs/>
          <w:sz w:val="18"/>
          <w:szCs w:val="18"/>
        </w:rPr>
      </w:pPr>
      <w:r w:rsidRPr="00C30EAD">
        <w:rPr>
          <w:rFonts w:cs="Arial"/>
          <w:b/>
          <w:iCs/>
          <w:sz w:val="18"/>
          <w:szCs w:val="18"/>
        </w:rPr>
        <w:t>Pozn</w:t>
      </w:r>
      <w:r w:rsidR="00B550B9" w:rsidRPr="00C30EAD">
        <w:rPr>
          <w:rFonts w:cs="Arial"/>
          <w:b/>
          <w:iCs/>
          <w:sz w:val="18"/>
          <w:szCs w:val="18"/>
        </w:rPr>
        <w:t>.</w:t>
      </w:r>
      <w:r w:rsidR="0036625B" w:rsidRPr="00C30EAD">
        <w:rPr>
          <w:rFonts w:cs="Arial"/>
          <w:b/>
          <w:iCs/>
          <w:sz w:val="18"/>
          <w:szCs w:val="18"/>
        </w:rPr>
        <w:t>:</w:t>
      </w:r>
      <w:r w:rsidRPr="00C30EAD">
        <w:rPr>
          <w:rFonts w:cs="Arial"/>
          <w:iCs/>
          <w:sz w:val="18"/>
          <w:szCs w:val="18"/>
        </w:rPr>
        <w:t xml:space="preserve"> </w:t>
      </w:r>
      <w:r w:rsidR="0036625B" w:rsidRPr="00C30EAD">
        <w:rPr>
          <w:rFonts w:cs="Arial"/>
          <w:iCs/>
          <w:sz w:val="18"/>
          <w:szCs w:val="18"/>
        </w:rPr>
        <w:t>P</w:t>
      </w:r>
      <w:r w:rsidRPr="00C30EAD">
        <w:rPr>
          <w:rFonts w:cs="Arial"/>
          <w:iCs/>
          <w:sz w:val="18"/>
          <w:szCs w:val="18"/>
        </w:rPr>
        <w:t xml:space="preserve">rávní předpisy uváděné </w:t>
      </w:r>
      <w:r w:rsidR="001C7C03" w:rsidRPr="00C30EAD">
        <w:rPr>
          <w:rFonts w:cs="Arial"/>
          <w:iCs/>
          <w:sz w:val="18"/>
          <w:szCs w:val="18"/>
        </w:rPr>
        <w:t>v </w:t>
      </w:r>
      <w:r w:rsidRPr="00C30EAD">
        <w:rPr>
          <w:rFonts w:cs="Arial"/>
          <w:iCs/>
          <w:sz w:val="18"/>
          <w:szCs w:val="18"/>
        </w:rPr>
        <w:t>tomto kontrolním závěru jsou aplikovány ve</w:t>
      </w:r>
      <w:r w:rsidR="007C3250" w:rsidRPr="00C30EAD">
        <w:rPr>
          <w:rFonts w:cs="Arial"/>
          <w:iCs/>
          <w:sz w:val="18"/>
          <w:szCs w:val="18"/>
        </w:rPr>
        <w:t xml:space="preserve"> </w:t>
      </w:r>
      <w:r w:rsidRPr="00C30EAD">
        <w:rPr>
          <w:rFonts w:cs="Arial"/>
          <w:iCs/>
          <w:sz w:val="18"/>
          <w:szCs w:val="18"/>
        </w:rPr>
        <w:t xml:space="preserve">znění účinném pro kontrolované období. </w:t>
      </w:r>
    </w:p>
    <w:p w14:paraId="79178E17" w14:textId="77777777" w:rsidR="009C0D12" w:rsidRPr="00C30EAD" w:rsidRDefault="009C0D12" w:rsidP="007C008D">
      <w:pPr>
        <w:shd w:val="clear" w:color="auto" w:fill="FFFFFF"/>
        <w:spacing w:line="23" w:lineRule="atLeast"/>
      </w:pPr>
    </w:p>
    <w:p w14:paraId="17B313F8" w14:textId="77777777" w:rsidR="008E2D3B" w:rsidRPr="00C30EAD" w:rsidRDefault="008E2D3B" w:rsidP="007C008D">
      <w:pPr>
        <w:shd w:val="clear" w:color="auto" w:fill="FFFFFF"/>
        <w:spacing w:line="23" w:lineRule="atLeast"/>
      </w:pPr>
    </w:p>
    <w:p w14:paraId="75EC6E16" w14:textId="77777777" w:rsidR="00ED0755" w:rsidRDefault="00ED0755">
      <w:pPr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br w:type="page"/>
      </w:r>
    </w:p>
    <w:p w14:paraId="4C11CBE9" w14:textId="327812D6" w:rsidR="007060FA" w:rsidRPr="009D0852" w:rsidRDefault="007060FA" w:rsidP="00065F51">
      <w:pPr>
        <w:spacing w:line="23" w:lineRule="atLeast"/>
        <w:jc w:val="center"/>
        <w:rPr>
          <w:rFonts w:cs="Arial"/>
          <w:b/>
          <w:bCs/>
          <w:sz w:val="24"/>
        </w:rPr>
      </w:pPr>
      <w:r w:rsidRPr="009D0852">
        <w:rPr>
          <w:rFonts w:cs="Arial"/>
          <w:b/>
          <w:bCs/>
          <w:sz w:val="24"/>
        </w:rPr>
        <w:lastRenderedPageBreak/>
        <w:t xml:space="preserve">II. Skutečnosti zjištěné </w:t>
      </w:r>
      <w:r w:rsidR="00405E49" w:rsidRPr="009D0852">
        <w:rPr>
          <w:rFonts w:cs="Arial"/>
          <w:b/>
          <w:bCs/>
          <w:sz w:val="24"/>
        </w:rPr>
        <w:t>při kontrole činnost</w:t>
      </w:r>
      <w:r w:rsidR="00FC13F3" w:rsidRPr="009D0852">
        <w:rPr>
          <w:rFonts w:cs="Arial"/>
          <w:b/>
          <w:bCs/>
          <w:sz w:val="24"/>
        </w:rPr>
        <w:t>í</w:t>
      </w:r>
      <w:r w:rsidR="00405E49" w:rsidRPr="009D0852">
        <w:rPr>
          <w:rFonts w:cs="Arial"/>
          <w:b/>
          <w:bCs/>
          <w:sz w:val="24"/>
        </w:rPr>
        <w:t xml:space="preserve"> MŠMT v roli řídicího orgánu </w:t>
      </w:r>
      <w:r w:rsidR="009577F5" w:rsidRPr="009D0852">
        <w:rPr>
          <w:rFonts w:cs="Arial"/>
          <w:b/>
          <w:bCs/>
          <w:sz w:val="24"/>
        </w:rPr>
        <w:t>OP</w:t>
      </w:r>
      <w:r w:rsidR="004A4D6A" w:rsidRPr="009D0852">
        <w:rPr>
          <w:rFonts w:cs="Arial"/>
          <w:b/>
          <w:bCs/>
          <w:sz w:val="24"/>
        </w:rPr>
        <w:t> </w:t>
      </w:r>
      <w:r w:rsidR="009577F5" w:rsidRPr="009D0852">
        <w:rPr>
          <w:rFonts w:cs="Arial"/>
          <w:b/>
          <w:bCs/>
          <w:sz w:val="24"/>
        </w:rPr>
        <w:t>VaVpI</w:t>
      </w:r>
    </w:p>
    <w:p w14:paraId="61C89A09" w14:textId="77777777" w:rsidR="009D7B78" w:rsidRPr="00C30EAD" w:rsidRDefault="009D7B78" w:rsidP="007C008D">
      <w:pPr>
        <w:shd w:val="clear" w:color="auto" w:fill="FFFFFF"/>
        <w:spacing w:line="23" w:lineRule="atLeast"/>
      </w:pPr>
    </w:p>
    <w:p w14:paraId="67CA36CA" w14:textId="77777777" w:rsidR="007060FA" w:rsidRDefault="00436A69" w:rsidP="009D0852">
      <w:pPr>
        <w:pStyle w:val="Nadpis1"/>
        <w:ind w:left="284" w:hanging="284"/>
        <w:jc w:val="left"/>
      </w:pPr>
      <w:r w:rsidRPr="00C30EAD">
        <w:t>Organizace činnost</w:t>
      </w:r>
      <w:r w:rsidR="00CE09C3" w:rsidRPr="00C30EAD">
        <w:t>í</w:t>
      </w:r>
      <w:r w:rsidRPr="00C30EAD">
        <w:t xml:space="preserve"> při implementaci </w:t>
      </w:r>
      <w:r w:rsidR="003A28A1" w:rsidRPr="00C30EAD">
        <w:t xml:space="preserve">operačního programu </w:t>
      </w:r>
      <w:r w:rsidR="00E14EE1" w:rsidRPr="00C30EAD">
        <w:t>a</w:t>
      </w:r>
      <w:r w:rsidR="00A72860" w:rsidRPr="00C30EAD">
        <w:t xml:space="preserve"> zajištění </w:t>
      </w:r>
      <w:r w:rsidR="003A28A1" w:rsidRPr="00C30EAD">
        <w:t>informačních povinností</w:t>
      </w:r>
    </w:p>
    <w:p w14:paraId="1AE04051" w14:textId="77777777" w:rsidR="002C529E" w:rsidRPr="002C529E" w:rsidRDefault="002C529E" w:rsidP="007C008D">
      <w:pPr>
        <w:rPr>
          <w:lang w:eastAsia="cs-CZ"/>
        </w:rPr>
      </w:pPr>
    </w:p>
    <w:p w14:paraId="53A4D652" w14:textId="43776852" w:rsidR="00AA5901" w:rsidRDefault="00CC7C37" w:rsidP="007C008D">
      <w:pPr>
        <w:pStyle w:val="KP-normlntext"/>
        <w:tabs>
          <w:tab w:val="left" w:pos="1983"/>
        </w:tabs>
        <w:spacing w:before="0" w:after="0" w:line="23" w:lineRule="atLeast"/>
        <w:ind w:firstLine="0"/>
      </w:pPr>
      <w:r w:rsidRPr="00C30EAD">
        <w:t xml:space="preserve">Operační program </w:t>
      </w:r>
      <w:r w:rsidRPr="009D0852">
        <w:rPr>
          <w:i/>
        </w:rPr>
        <w:t>Výzkum a vývoj pro inovace</w:t>
      </w:r>
      <w:r w:rsidRPr="00C30EAD">
        <w:t xml:space="preserve"> schválila vláda ČR </w:t>
      </w:r>
      <w:r w:rsidR="004E5D2C" w:rsidRPr="00C30EAD">
        <w:t xml:space="preserve">svým </w:t>
      </w:r>
      <w:r w:rsidRPr="00C30EAD">
        <w:t>usnesením</w:t>
      </w:r>
      <w:r w:rsidR="004E5D2C" w:rsidRPr="00C30EAD">
        <w:rPr>
          <w:rStyle w:val="Znakapoznpodarou"/>
        </w:rPr>
        <w:footnoteReference w:id="8"/>
      </w:r>
      <w:r w:rsidRPr="00C30EAD">
        <w:t xml:space="preserve"> </w:t>
      </w:r>
      <w:r w:rsidR="004E5D2C" w:rsidRPr="00C30EAD">
        <w:t>v</w:t>
      </w:r>
      <w:r w:rsidR="002C529E">
        <w:t> </w:t>
      </w:r>
      <w:r w:rsidRPr="00C30EAD">
        <w:t>dubn</w:t>
      </w:r>
      <w:r w:rsidR="004E5D2C" w:rsidRPr="00C30EAD">
        <w:t>u</w:t>
      </w:r>
      <w:r w:rsidRPr="00C30EAD">
        <w:t xml:space="preserve"> 2008. Ze strany Evropské komise byl OP VaVpI schválen </w:t>
      </w:r>
      <w:r w:rsidR="00C10869">
        <w:t>v </w:t>
      </w:r>
      <w:r w:rsidR="00612B75" w:rsidRPr="00C30EAD">
        <w:t>říjn</w:t>
      </w:r>
      <w:r w:rsidR="004E5D2C" w:rsidRPr="00C30EAD">
        <w:t>u</w:t>
      </w:r>
      <w:r w:rsidRPr="00C30EAD">
        <w:t xml:space="preserve"> 2008. </w:t>
      </w:r>
      <w:r w:rsidR="00A72B94" w:rsidRPr="00C30EAD">
        <w:t xml:space="preserve">Výkonem funkce řídicího orgánu pro OP VaVpI byla </w:t>
      </w:r>
      <w:r w:rsidR="00BA638C">
        <w:t>r</w:t>
      </w:r>
      <w:r w:rsidR="00A72B94" w:rsidRPr="00C30EAD">
        <w:t>ozhodnutím ministryně školství, mládeže a</w:t>
      </w:r>
      <w:r w:rsidR="002C529E">
        <w:t> </w:t>
      </w:r>
      <w:r w:rsidR="00A72B94" w:rsidRPr="00C30EAD">
        <w:t xml:space="preserve">tělovýchovy ze dne 12. </w:t>
      </w:r>
      <w:r w:rsidR="00612B75" w:rsidRPr="00C30EAD">
        <w:t xml:space="preserve">září </w:t>
      </w:r>
      <w:r w:rsidR="00A72B94" w:rsidRPr="00C30EAD">
        <w:t>2007 pověřena Sekce pro řízení strukturálních fond</w:t>
      </w:r>
      <w:r w:rsidR="008A2973" w:rsidRPr="00C30EAD">
        <w:t>ů</w:t>
      </w:r>
      <w:r w:rsidR="00B51CAE" w:rsidRPr="00C30EAD">
        <w:t>. K</w:t>
      </w:r>
      <w:r w:rsidR="00856663" w:rsidRPr="00C30EAD">
        <w:t>ontrol</w:t>
      </w:r>
      <w:r w:rsidR="008A2973" w:rsidRPr="00C30EAD">
        <w:t>a</w:t>
      </w:r>
      <w:r w:rsidR="00856663" w:rsidRPr="00C30EAD">
        <w:t xml:space="preserve"> NKÚ </w:t>
      </w:r>
      <w:r w:rsidR="005E7967" w:rsidRPr="00C30EAD">
        <w:t>ověř</w:t>
      </w:r>
      <w:r w:rsidR="008A2973" w:rsidRPr="00C30EAD">
        <w:t xml:space="preserve">ila, že </w:t>
      </w:r>
      <w:r w:rsidR="005E7967" w:rsidRPr="00C30EAD">
        <w:t>organizační struktur</w:t>
      </w:r>
      <w:r w:rsidR="00856663" w:rsidRPr="00C30EAD">
        <w:t>a</w:t>
      </w:r>
      <w:r w:rsidR="005E7967" w:rsidRPr="00C30EAD">
        <w:t xml:space="preserve"> řídicího orgánu pokrývá veškeré funkce potřebné k implementaci OP VaVpI</w:t>
      </w:r>
      <w:r w:rsidR="005E7967" w:rsidRPr="00C30EAD">
        <w:rPr>
          <w:b/>
        </w:rPr>
        <w:t xml:space="preserve"> </w:t>
      </w:r>
      <w:r w:rsidR="005E7967" w:rsidRPr="00C30EAD">
        <w:t xml:space="preserve">a </w:t>
      </w:r>
      <w:r w:rsidR="008A2973" w:rsidRPr="00C30EAD">
        <w:t>že e</w:t>
      </w:r>
      <w:r w:rsidR="005E7967" w:rsidRPr="00C30EAD">
        <w:t>xistuje jasné rozdělení úkolů mezi organizačními útvary MŠMT.</w:t>
      </w:r>
      <w:r w:rsidR="008A2973" w:rsidRPr="00C30EAD">
        <w:t xml:space="preserve"> </w:t>
      </w:r>
    </w:p>
    <w:p w14:paraId="19436AD4" w14:textId="77777777" w:rsidR="00BA638C" w:rsidRPr="00C30EAD" w:rsidRDefault="00BA638C" w:rsidP="007C008D">
      <w:pPr>
        <w:pStyle w:val="KP-normlntext"/>
        <w:tabs>
          <w:tab w:val="left" w:pos="1983"/>
        </w:tabs>
        <w:spacing w:before="0" w:after="0" w:line="23" w:lineRule="atLeast"/>
        <w:ind w:firstLine="0"/>
      </w:pPr>
    </w:p>
    <w:p w14:paraId="75BEFA0D" w14:textId="3AF38CEB" w:rsidR="00604CCE" w:rsidRPr="00C30EAD" w:rsidRDefault="00BA638C" w:rsidP="007C008D">
      <w:pPr>
        <w:pStyle w:val="KP-normlntext"/>
        <w:widowControl w:val="0"/>
        <w:tabs>
          <w:tab w:val="left" w:pos="1983"/>
        </w:tabs>
        <w:spacing w:before="0" w:after="0" w:line="23" w:lineRule="atLeast"/>
        <w:ind w:firstLine="0"/>
        <w:rPr>
          <w:bCs/>
        </w:rPr>
      </w:pPr>
      <w:r>
        <w:t xml:space="preserve">V oblasti </w:t>
      </w:r>
      <w:r w:rsidR="00A54112" w:rsidRPr="00C30EAD">
        <w:t>za</w:t>
      </w:r>
      <w:r w:rsidR="00F23E7F" w:rsidRPr="00C30EAD">
        <w:t xml:space="preserve">bezpečení </w:t>
      </w:r>
      <w:r w:rsidR="00A54112" w:rsidRPr="00C30EAD">
        <w:t>náležité informovanosti a přístupu k relevantním informacím pro žadatele, příjemce i veřejnost</w:t>
      </w:r>
      <w:r w:rsidR="00D5450C" w:rsidRPr="00C30EAD">
        <w:t xml:space="preserve"> </w:t>
      </w:r>
      <w:r w:rsidR="00972012" w:rsidRPr="00C30EAD">
        <w:rPr>
          <w:bCs/>
        </w:rPr>
        <w:t xml:space="preserve">MŠMT </w:t>
      </w:r>
      <w:r w:rsidR="00972012" w:rsidRPr="00C30EAD">
        <w:t xml:space="preserve">plnilo svoji povinnost poskytovat </w:t>
      </w:r>
      <w:r w:rsidR="00A54112" w:rsidRPr="00C30EAD">
        <w:t xml:space="preserve">a zpřístupňovat </w:t>
      </w:r>
      <w:r w:rsidR="00577871">
        <w:t xml:space="preserve">příslušným </w:t>
      </w:r>
      <w:r w:rsidR="00972012" w:rsidRPr="00C30EAD">
        <w:t xml:space="preserve">subjektům jasné a podrobné informace v souladu s požadavky </w:t>
      </w:r>
      <w:r w:rsidR="004F6F34" w:rsidRPr="00C30EAD">
        <w:t xml:space="preserve">evropských </w:t>
      </w:r>
      <w:r w:rsidR="00972012" w:rsidRPr="00C30EAD">
        <w:t>předpisů</w:t>
      </w:r>
      <w:r w:rsidR="00972012" w:rsidRPr="00C30EAD">
        <w:rPr>
          <w:rStyle w:val="Znakapoznpodarou"/>
        </w:rPr>
        <w:footnoteReference w:id="9"/>
      </w:r>
      <w:r w:rsidR="004B299F" w:rsidRPr="00C30EAD">
        <w:t>.</w:t>
      </w:r>
      <w:r w:rsidR="00F23E7F" w:rsidRPr="00C30EAD">
        <w:t xml:space="preserve"> </w:t>
      </w:r>
      <w:r w:rsidR="00F27ECF" w:rsidRPr="00C30EAD">
        <w:rPr>
          <w:b/>
        </w:rPr>
        <w:t xml:space="preserve">V oblasti publicity </w:t>
      </w:r>
      <w:r w:rsidR="00F23E7F" w:rsidRPr="00C30EAD">
        <w:rPr>
          <w:b/>
        </w:rPr>
        <w:t xml:space="preserve">však </w:t>
      </w:r>
      <w:r w:rsidR="00C80C0E" w:rsidRPr="00C30EAD">
        <w:rPr>
          <w:b/>
        </w:rPr>
        <w:t xml:space="preserve">MŠMT </w:t>
      </w:r>
      <w:r w:rsidR="00225161" w:rsidRPr="00C30EAD">
        <w:rPr>
          <w:b/>
        </w:rPr>
        <w:t xml:space="preserve">nezajistilo </w:t>
      </w:r>
      <w:r w:rsidR="00295270" w:rsidRPr="00C30EAD">
        <w:rPr>
          <w:b/>
          <w:bCs/>
        </w:rPr>
        <w:t>všechny n</w:t>
      </w:r>
      <w:r w:rsidR="00744D5B" w:rsidRPr="00C30EAD">
        <w:rPr>
          <w:b/>
          <w:bCs/>
        </w:rPr>
        <w:t xml:space="preserve">áležitosti </w:t>
      </w:r>
      <w:r w:rsidR="00B33DC9" w:rsidRPr="00C30EAD">
        <w:rPr>
          <w:b/>
          <w:bCs/>
        </w:rPr>
        <w:t>v</w:t>
      </w:r>
      <w:r w:rsidR="001024E6" w:rsidRPr="00C30EAD">
        <w:rPr>
          <w:b/>
          <w:bCs/>
        </w:rPr>
        <w:t> souladu s evropskými předpisy</w:t>
      </w:r>
      <w:r w:rsidR="00B51CAE" w:rsidRPr="00C30EAD">
        <w:rPr>
          <w:rStyle w:val="Znakapoznpodarou"/>
          <w:bCs/>
        </w:rPr>
        <w:footnoteReference w:id="10"/>
      </w:r>
      <w:r w:rsidR="004B299F" w:rsidRPr="00C30EAD">
        <w:rPr>
          <w:bCs/>
        </w:rPr>
        <w:t>,</w:t>
      </w:r>
      <w:r w:rsidR="00B366BE" w:rsidRPr="00C30EAD">
        <w:rPr>
          <w:bCs/>
        </w:rPr>
        <w:t xml:space="preserve"> neboť </w:t>
      </w:r>
      <w:r w:rsidR="00D5450C" w:rsidRPr="00C30EAD">
        <w:rPr>
          <w:bCs/>
        </w:rPr>
        <w:t xml:space="preserve">k informacím o implementaci OP VaVpI neuvedlo </w:t>
      </w:r>
      <w:r w:rsidR="00F27ECF" w:rsidRPr="00C30EAD">
        <w:rPr>
          <w:bCs/>
        </w:rPr>
        <w:t xml:space="preserve">na </w:t>
      </w:r>
      <w:r w:rsidR="00C57D03" w:rsidRPr="00C30EAD">
        <w:rPr>
          <w:bCs/>
        </w:rPr>
        <w:t xml:space="preserve">internetovém portálu </w:t>
      </w:r>
      <w:hyperlink r:id="rId14" w:history="1">
        <w:r w:rsidR="00C57D03" w:rsidRPr="00C30EAD">
          <w:rPr>
            <w:rStyle w:val="Hypertextovodkaz"/>
            <w:bCs/>
          </w:rPr>
          <w:t>www.msmt.cz</w:t>
        </w:r>
      </w:hyperlink>
      <w:r w:rsidR="00C57D03" w:rsidRPr="00C30EAD">
        <w:rPr>
          <w:bCs/>
        </w:rPr>
        <w:t xml:space="preserve"> </w:t>
      </w:r>
      <w:r w:rsidR="00744D5B" w:rsidRPr="00C30EAD">
        <w:rPr>
          <w:bCs/>
        </w:rPr>
        <w:t>povinné značení</w:t>
      </w:r>
      <w:r w:rsidR="00B33DC9" w:rsidRPr="00C30EAD">
        <w:rPr>
          <w:bCs/>
        </w:rPr>
        <w:t xml:space="preserve"> v podobě symbolu </w:t>
      </w:r>
      <w:r w:rsidR="00B51CAE" w:rsidRPr="00C30EAD">
        <w:rPr>
          <w:bCs/>
        </w:rPr>
        <w:t xml:space="preserve">i odkazu na </w:t>
      </w:r>
      <w:r w:rsidR="00B33DC9" w:rsidRPr="00C30EAD">
        <w:rPr>
          <w:bCs/>
        </w:rPr>
        <w:t>EU</w:t>
      </w:r>
      <w:r w:rsidR="00D5450C" w:rsidRPr="00C30EAD">
        <w:rPr>
          <w:bCs/>
        </w:rPr>
        <w:t xml:space="preserve"> </w:t>
      </w:r>
      <w:r w:rsidR="00B33DC9" w:rsidRPr="00C30EAD">
        <w:rPr>
          <w:bCs/>
        </w:rPr>
        <w:t>a</w:t>
      </w:r>
      <w:r w:rsidR="00130073">
        <w:rPr>
          <w:bCs/>
        </w:rPr>
        <w:t xml:space="preserve"> neuvedlo ani </w:t>
      </w:r>
      <w:r w:rsidR="00295270" w:rsidRPr="00C30EAD">
        <w:rPr>
          <w:bCs/>
        </w:rPr>
        <w:t xml:space="preserve">vybrané </w:t>
      </w:r>
      <w:r w:rsidR="00B33DC9" w:rsidRPr="00C30EAD">
        <w:rPr>
          <w:bCs/>
        </w:rPr>
        <w:t xml:space="preserve">prohlášení </w:t>
      </w:r>
      <w:r w:rsidR="00130073">
        <w:rPr>
          <w:bCs/>
        </w:rPr>
        <w:t>„</w:t>
      </w:r>
      <w:r w:rsidR="00B33DC9" w:rsidRPr="00C30EAD">
        <w:rPr>
          <w:bCs/>
          <w:i/>
        </w:rPr>
        <w:t>Investice do vaší budoucnosti</w:t>
      </w:r>
      <w:r w:rsidR="00130073">
        <w:rPr>
          <w:bCs/>
        </w:rPr>
        <w:t>“</w:t>
      </w:r>
      <w:r w:rsidR="00B33DC9" w:rsidRPr="009D0852">
        <w:rPr>
          <w:bCs/>
        </w:rPr>
        <w:t>,</w:t>
      </w:r>
      <w:r w:rsidR="00B33DC9" w:rsidRPr="00C30EAD">
        <w:rPr>
          <w:bCs/>
          <w:i/>
        </w:rPr>
        <w:t xml:space="preserve"> </w:t>
      </w:r>
      <w:r w:rsidR="00B33DC9" w:rsidRPr="00C30EAD">
        <w:rPr>
          <w:bCs/>
        </w:rPr>
        <w:t xml:space="preserve">jež zdůrazňuje přínos intervence </w:t>
      </w:r>
      <w:r w:rsidR="00130073">
        <w:rPr>
          <w:bCs/>
        </w:rPr>
        <w:t>EU</w:t>
      </w:r>
      <w:r w:rsidR="00B33DC9" w:rsidRPr="00C30EAD">
        <w:rPr>
          <w:bCs/>
        </w:rPr>
        <w:t xml:space="preserve">. </w:t>
      </w:r>
      <w:r w:rsidR="00744D5B" w:rsidRPr="00C30EAD">
        <w:rPr>
          <w:bCs/>
        </w:rPr>
        <w:t xml:space="preserve">MŠMT výše uvedený nedostatek </w:t>
      </w:r>
      <w:r w:rsidR="00F27ECF" w:rsidRPr="00C30EAD">
        <w:rPr>
          <w:bCs/>
        </w:rPr>
        <w:t xml:space="preserve">odstranilo </w:t>
      </w:r>
      <w:r w:rsidR="00C57D03" w:rsidRPr="00C30EAD">
        <w:rPr>
          <w:bCs/>
        </w:rPr>
        <w:t xml:space="preserve">až 25. </w:t>
      </w:r>
      <w:r w:rsidR="00612B75" w:rsidRPr="00C30EAD">
        <w:rPr>
          <w:bCs/>
        </w:rPr>
        <w:t xml:space="preserve">února </w:t>
      </w:r>
      <w:r w:rsidR="00C57D03" w:rsidRPr="00C30EAD">
        <w:rPr>
          <w:bCs/>
        </w:rPr>
        <w:t>2013</w:t>
      </w:r>
      <w:r w:rsidR="00D5450C" w:rsidRPr="00C30EAD">
        <w:rPr>
          <w:bCs/>
        </w:rPr>
        <w:t>, kdy</w:t>
      </w:r>
      <w:r w:rsidR="00C57D03" w:rsidRPr="00C30EAD">
        <w:rPr>
          <w:bCs/>
        </w:rPr>
        <w:t xml:space="preserve"> </w:t>
      </w:r>
      <w:r w:rsidR="00D5450C" w:rsidRPr="00C30EAD">
        <w:rPr>
          <w:bCs/>
        </w:rPr>
        <w:t>c</w:t>
      </w:r>
      <w:r w:rsidR="00F23E7F" w:rsidRPr="00C30EAD">
        <w:rPr>
          <w:bCs/>
        </w:rPr>
        <w:t xml:space="preserve">hybějící </w:t>
      </w:r>
      <w:r w:rsidR="00F27ECF" w:rsidRPr="00C30EAD">
        <w:rPr>
          <w:bCs/>
        </w:rPr>
        <w:t xml:space="preserve">stanovené </w:t>
      </w:r>
      <w:r w:rsidR="00744D5B" w:rsidRPr="00C30EAD">
        <w:rPr>
          <w:bCs/>
        </w:rPr>
        <w:t xml:space="preserve">značení na </w:t>
      </w:r>
      <w:r w:rsidR="00C57D03" w:rsidRPr="00C30EAD">
        <w:rPr>
          <w:bCs/>
        </w:rPr>
        <w:t xml:space="preserve">svých webových stránkách </w:t>
      </w:r>
      <w:r w:rsidR="00225161" w:rsidRPr="00C30EAD">
        <w:rPr>
          <w:bCs/>
        </w:rPr>
        <w:t>zveřejnilo.</w:t>
      </w:r>
      <w:r w:rsidR="00744D5B" w:rsidRPr="00C30EAD">
        <w:rPr>
          <w:bCs/>
        </w:rPr>
        <w:t xml:space="preserve"> </w:t>
      </w:r>
    </w:p>
    <w:p w14:paraId="3A8BC500" w14:textId="77777777" w:rsidR="00744D5B" w:rsidRPr="00C30EAD" w:rsidRDefault="00744D5B" w:rsidP="007C008D">
      <w:pPr>
        <w:pStyle w:val="Zkladntext2"/>
        <w:tabs>
          <w:tab w:val="left" w:pos="284"/>
        </w:tabs>
        <w:overflowPunct/>
        <w:autoSpaceDE/>
        <w:autoSpaceDN/>
        <w:adjustRightInd/>
        <w:spacing w:after="0" w:line="23" w:lineRule="atLeast"/>
        <w:textAlignment w:val="auto"/>
        <w:rPr>
          <w:rFonts w:cs="Arial"/>
          <w:b/>
          <w:bCs/>
          <w:szCs w:val="22"/>
        </w:rPr>
      </w:pPr>
    </w:p>
    <w:p w14:paraId="1F1169A4" w14:textId="77777777" w:rsidR="0031300F" w:rsidRDefault="0031300F" w:rsidP="007C008D">
      <w:pPr>
        <w:pStyle w:val="Nadpis1"/>
        <w:ind w:hanging="720"/>
      </w:pPr>
      <w:r w:rsidRPr="00C30EAD">
        <w:t>Nastavení cílů</w:t>
      </w:r>
      <w:r w:rsidR="002D7D08" w:rsidRPr="00C30EAD">
        <w:t xml:space="preserve"> a monitorování </w:t>
      </w:r>
      <w:r w:rsidR="00E14EE1" w:rsidRPr="00C30EAD">
        <w:t>věcného</w:t>
      </w:r>
      <w:r w:rsidR="002D7D08" w:rsidRPr="00C30EAD">
        <w:t xml:space="preserve"> pokroku</w:t>
      </w:r>
    </w:p>
    <w:p w14:paraId="31FCFEFF" w14:textId="77777777" w:rsidR="002C529E" w:rsidRPr="002C529E" w:rsidRDefault="002C529E" w:rsidP="007C008D">
      <w:pPr>
        <w:rPr>
          <w:lang w:eastAsia="cs-CZ"/>
        </w:rPr>
      </w:pPr>
    </w:p>
    <w:p w14:paraId="7A0E8DD8" w14:textId="77777777" w:rsidR="00987FB2" w:rsidRPr="00C30EAD" w:rsidRDefault="00670328" w:rsidP="007C008D">
      <w:pPr>
        <w:pStyle w:val="KP-normlntext"/>
        <w:spacing w:before="0" w:after="0" w:line="23" w:lineRule="atLeast"/>
        <w:ind w:firstLine="0"/>
        <w:rPr>
          <w:bCs/>
        </w:rPr>
      </w:pPr>
      <w:r w:rsidRPr="00C30EAD">
        <w:rPr>
          <w:bCs/>
          <w:color w:val="auto"/>
        </w:rPr>
        <w:t xml:space="preserve">Kontrolou bylo ověřeno, že </w:t>
      </w:r>
      <w:r w:rsidR="00295270" w:rsidRPr="00C30EAD">
        <w:rPr>
          <w:bCs/>
        </w:rPr>
        <w:t xml:space="preserve">MŠMT </w:t>
      </w:r>
      <w:r w:rsidR="00987FB2" w:rsidRPr="00C30EAD">
        <w:rPr>
          <w:bCs/>
        </w:rPr>
        <w:t>v souladu se zásadou řádného finančního řízení</w:t>
      </w:r>
      <w:bookmarkStart w:id="1" w:name="_Ref353291926"/>
      <w:r w:rsidR="00987FB2" w:rsidRPr="00C30EAD">
        <w:rPr>
          <w:rStyle w:val="Znakapoznpodarou"/>
          <w:bCs/>
        </w:rPr>
        <w:footnoteReference w:id="11"/>
      </w:r>
      <w:bookmarkEnd w:id="1"/>
      <w:r w:rsidR="00987FB2" w:rsidRPr="00C30EAD">
        <w:rPr>
          <w:bCs/>
        </w:rPr>
        <w:t xml:space="preserve"> </w:t>
      </w:r>
      <w:r w:rsidR="00E61E2A" w:rsidRPr="00C30EAD">
        <w:rPr>
          <w:bCs/>
        </w:rPr>
        <w:t xml:space="preserve">dekomponovalo </w:t>
      </w:r>
      <w:r w:rsidR="00987FB2" w:rsidRPr="00C30EAD">
        <w:rPr>
          <w:bCs/>
        </w:rPr>
        <w:t xml:space="preserve">globální cíle </w:t>
      </w:r>
      <w:r w:rsidR="00B51CAE" w:rsidRPr="00C30EAD">
        <w:rPr>
          <w:bCs/>
        </w:rPr>
        <w:t>p</w:t>
      </w:r>
      <w:r w:rsidR="00987FB2" w:rsidRPr="00C30EAD">
        <w:rPr>
          <w:bCs/>
        </w:rPr>
        <w:t>rioritních os</w:t>
      </w:r>
      <w:r w:rsidR="00B51CAE" w:rsidRPr="00C30EAD">
        <w:rPr>
          <w:bCs/>
        </w:rPr>
        <w:t xml:space="preserve"> 1 a 2</w:t>
      </w:r>
      <w:r w:rsidR="00987FB2" w:rsidRPr="00C30EAD">
        <w:rPr>
          <w:bCs/>
        </w:rPr>
        <w:t xml:space="preserve"> na konkrétní, měřitelné, dosažitelné, odpovídající a časově vymezené specifické cíle</w:t>
      </w:r>
      <w:r w:rsidR="00762E93" w:rsidRPr="00C30EAD">
        <w:rPr>
          <w:bCs/>
        </w:rPr>
        <w:t xml:space="preserve"> a že s</w:t>
      </w:r>
      <w:r w:rsidR="00987FB2" w:rsidRPr="00C30EAD">
        <w:rPr>
          <w:bCs/>
        </w:rPr>
        <w:t xml:space="preserve">pecifické cíle výzev jsou dostatečně konkrétní vůči cíli příslušné prioritní osy. </w:t>
      </w:r>
    </w:p>
    <w:p w14:paraId="1B648C6F" w14:textId="77777777" w:rsidR="00907590" w:rsidRPr="00C30EAD" w:rsidRDefault="00907590" w:rsidP="007C008D">
      <w:pPr>
        <w:pStyle w:val="Zkladntext2"/>
        <w:overflowPunct/>
        <w:autoSpaceDE/>
        <w:autoSpaceDN/>
        <w:adjustRightInd/>
        <w:spacing w:after="0" w:line="23" w:lineRule="atLeast"/>
        <w:textAlignment w:val="auto"/>
        <w:rPr>
          <w:rFonts w:cs="Arial"/>
          <w:bCs/>
          <w:szCs w:val="22"/>
        </w:rPr>
      </w:pPr>
    </w:p>
    <w:p w14:paraId="7B6C46A0" w14:textId="263680DE" w:rsidR="00A112AE" w:rsidRPr="00C30EAD" w:rsidRDefault="00762E93" w:rsidP="007C008D">
      <w:pPr>
        <w:pStyle w:val="KP-normlntext"/>
        <w:spacing w:before="0" w:after="0" w:line="23" w:lineRule="atLeast"/>
        <w:ind w:firstLine="0"/>
        <w:rPr>
          <w:bCs/>
        </w:rPr>
      </w:pPr>
      <w:r w:rsidRPr="00C30EAD">
        <w:rPr>
          <w:bCs/>
        </w:rPr>
        <w:t xml:space="preserve">Pro účely </w:t>
      </w:r>
      <w:r w:rsidR="008F4137" w:rsidRPr="00C30EAD">
        <w:rPr>
          <w:bCs/>
        </w:rPr>
        <w:t xml:space="preserve">měření plnění cílů a </w:t>
      </w:r>
      <w:r w:rsidR="00130073">
        <w:rPr>
          <w:bCs/>
        </w:rPr>
        <w:t xml:space="preserve">pro účely </w:t>
      </w:r>
      <w:r w:rsidR="008F4137" w:rsidRPr="00C30EAD">
        <w:rPr>
          <w:bCs/>
        </w:rPr>
        <w:t>monitorování a hodnocení efektivity operačního programu</w:t>
      </w:r>
      <w:r w:rsidR="00486D25" w:rsidRPr="00C30EAD">
        <w:rPr>
          <w:bCs/>
        </w:rPr>
        <w:t xml:space="preserve"> zavedlo MŠMT systém kontextových indikátorů, indikátorů dopadu na úrovni programu a</w:t>
      </w:r>
      <w:r w:rsidR="002C529E">
        <w:rPr>
          <w:bCs/>
        </w:rPr>
        <w:t> </w:t>
      </w:r>
      <w:r w:rsidR="00486D25" w:rsidRPr="00C30EAD">
        <w:rPr>
          <w:bCs/>
        </w:rPr>
        <w:t xml:space="preserve">indikátorů výsledků a výstupů na úrovni jednotlivých prioritních os. </w:t>
      </w:r>
      <w:r w:rsidR="00486D25" w:rsidRPr="00C30EAD">
        <w:rPr>
          <w:b/>
          <w:bCs/>
        </w:rPr>
        <w:t>Při</w:t>
      </w:r>
      <w:r w:rsidR="00987FB2" w:rsidRPr="00C30EAD">
        <w:rPr>
          <w:b/>
          <w:bCs/>
        </w:rPr>
        <w:t xml:space="preserve"> nastavování operačního programu </w:t>
      </w:r>
      <w:r w:rsidR="009831A1" w:rsidRPr="00C30EAD">
        <w:rPr>
          <w:b/>
          <w:bCs/>
        </w:rPr>
        <w:t xml:space="preserve">podhodnotilo </w:t>
      </w:r>
      <w:r w:rsidR="00987FB2" w:rsidRPr="00C30EAD">
        <w:rPr>
          <w:b/>
          <w:bCs/>
        </w:rPr>
        <w:t xml:space="preserve">MŠMT v procesu plánování cílové hodnoty </w:t>
      </w:r>
      <w:r w:rsidR="00F23505" w:rsidRPr="00C30EAD">
        <w:rPr>
          <w:b/>
          <w:bCs/>
        </w:rPr>
        <w:t xml:space="preserve">některých </w:t>
      </w:r>
      <w:r w:rsidR="00987FB2" w:rsidRPr="00C30EAD">
        <w:rPr>
          <w:b/>
          <w:bCs/>
        </w:rPr>
        <w:t>monitorovací</w:t>
      </w:r>
      <w:r w:rsidR="00F23505" w:rsidRPr="00C30EAD">
        <w:rPr>
          <w:b/>
          <w:bCs/>
        </w:rPr>
        <w:t>ch</w:t>
      </w:r>
      <w:r w:rsidR="00987FB2" w:rsidRPr="00C30EAD">
        <w:rPr>
          <w:b/>
          <w:bCs/>
        </w:rPr>
        <w:t xml:space="preserve"> indikátor</w:t>
      </w:r>
      <w:r w:rsidR="00F23505" w:rsidRPr="00C30EAD">
        <w:rPr>
          <w:b/>
          <w:bCs/>
        </w:rPr>
        <w:t>ů</w:t>
      </w:r>
      <w:r w:rsidR="009831A1" w:rsidRPr="00C30EAD">
        <w:rPr>
          <w:b/>
          <w:bCs/>
        </w:rPr>
        <w:t xml:space="preserve">, </w:t>
      </w:r>
      <w:r w:rsidR="00F23505" w:rsidRPr="00C30EAD">
        <w:rPr>
          <w:b/>
          <w:bCs/>
        </w:rPr>
        <w:t>nejmark</w:t>
      </w:r>
      <w:r w:rsidR="009711F3" w:rsidRPr="00C30EAD">
        <w:rPr>
          <w:b/>
          <w:bCs/>
        </w:rPr>
        <w:t>a</w:t>
      </w:r>
      <w:r w:rsidR="00F23505" w:rsidRPr="00C30EAD">
        <w:rPr>
          <w:b/>
          <w:bCs/>
        </w:rPr>
        <w:t>n</w:t>
      </w:r>
      <w:r w:rsidR="00612B75" w:rsidRPr="00C30EAD">
        <w:rPr>
          <w:b/>
          <w:bCs/>
        </w:rPr>
        <w:t>tn</w:t>
      </w:r>
      <w:r w:rsidR="00F23505" w:rsidRPr="00C30EAD">
        <w:rPr>
          <w:b/>
          <w:bCs/>
        </w:rPr>
        <w:t xml:space="preserve">ěji u indikátoru, </w:t>
      </w:r>
      <w:r w:rsidR="009831A1" w:rsidRPr="00C30EAD">
        <w:rPr>
          <w:b/>
          <w:bCs/>
        </w:rPr>
        <w:t>který sleduje přírůstek celkového počtu uznaných výsledků VaV za všechna pracoviště v</w:t>
      </w:r>
      <w:r w:rsidR="00130073">
        <w:rPr>
          <w:b/>
          <w:bCs/>
        </w:rPr>
        <w:t> </w:t>
      </w:r>
      <w:r w:rsidR="009831A1" w:rsidRPr="00C30EAD">
        <w:rPr>
          <w:b/>
          <w:bCs/>
        </w:rPr>
        <w:t>regionech</w:t>
      </w:r>
      <w:r w:rsidR="00130073">
        <w:rPr>
          <w:b/>
          <w:bCs/>
        </w:rPr>
        <w:t xml:space="preserve"> spadajících pod cíl</w:t>
      </w:r>
      <w:r w:rsidR="009831A1" w:rsidRPr="00C30EAD">
        <w:rPr>
          <w:b/>
          <w:bCs/>
        </w:rPr>
        <w:t xml:space="preserve"> </w:t>
      </w:r>
      <w:r w:rsidR="009831A1" w:rsidRPr="009D0852">
        <w:rPr>
          <w:b/>
          <w:bCs/>
          <w:i/>
        </w:rPr>
        <w:t>Konvergence</w:t>
      </w:r>
      <w:r w:rsidR="009831A1" w:rsidRPr="00C30EAD">
        <w:rPr>
          <w:b/>
          <w:bCs/>
        </w:rPr>
        <w:t>.</w:t>
      </w:r>
      <w:r w:rsidR="009831A1" w:rsidRPr="00C30EAD">
        <w:rPr>
          <w:bCs/>
        </w:rPr>
        <w:t xml:space="preserve"> MŠMT neupravilo cílovou hodnotu příslušného indikátoru ani v revidované verzi programového dokumentu OP VaVpI schváleného </w:t>
      </w:r>
      <w:r w:rsidR="00152C29" w:rsidRPr="00C30EAD">
        <w:rPr>
          <w:bCs/>
        </w:rPr>
        <w:t xml:space="preserve">Evropskou komisí </w:t>
      </w:r>
      <w:r w:rsidR="009831A1" w:rsidRPr="00C30EAD">
        <w:rPr>
          <w:bCs/>
        </w:rPr>
        <w:t>dne 20.</w:t>
      </w:r>
      <w:r w:rsidR="00612B75" w:rsidRPr="00C30EAD">
        <w:rPr>
          <w:bCs/>
        </w:rPr>
        <w:t> února </w:t>
      </w:r>
      <w:r w:rsidR="009831A1" w:rsidRPr="00C30EAD">
        <w:rPr>
          <w:bCs/>
        </w:rPr>
        <w:t xml:space="preserve">2012. </w:t>
      </w:r>
    </w:p>
    <w:p w14:paraId="03DE7332" w14:textId="77777777" w:rsidR="00A112AE" w:rsidRPr="00C30EAD" w:rsidRDefault="00A112AE" w:rsidP="007C008D">
      <w:pPr>
        <w:pStyle w:val="Zkladntext2"/>
        <w:overflowPunct/>
        <w:autoSpaceDE/>
        <w:autoSpaceDN/>
        <w:adjustRightInd/>
        <w:spacing w:after="0" w:line="23" w:lineRule="atLeast"/>
        <w:textAlignment w:val="auto"/>
        <w:rPr>
          <w:rFonts w:cs="Arial"/>
          <w:bCs/>
          <w:szCs w:val="22"/>
        </w:rPr>
      </w:pPr>
    </w:p>
    <w:p w14:paraId="07F5FD70" w14:textId="44292121" w:rsidR="000C78D6" w:rsidRPr="00C30EAD" w:rsidRDefault="00571074" w:rsidP="007C008D">
      <w:pPr>
        <w:pStyle w:val="Zkladntext2"/>
        <w:overflowPunct/>
        <w:autoSpaceDE/>
        <w:autoSpaceDN/>
        <w:adjustRightInd/>
        <w:spacing w:after="0" w:line="23" w:lineRule="atLeast"/>
        <w:textAlignment w:val="auto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 xml:space="preserve">Z údajů uvedených ve </w:t>
      </w:r>
      <w:r w:rsidR="00285513" w:rsidRPr="00C30EAD">
        <w:rPr>
          <w:rFonts w:cs="Arial"/>
          <w:bCs/>
          <w:szCs w:val="22"/>
        </w:rPr>
        <w:t>výročních zprávách za roky 2007–</w:t>
      </w:r>
      <w:r w:rsidRPr="00C30EAD">
        <w:rPr>
          <w:rFonts w:cs="Arial"/>
          <w:bCs/>
          <w:szCs w:val="22"/>
        </w:rPr>
        <w:t xml:space="preserve">2011 vyplývá, že </w:t>
      </w:r>
      <w:r w:rsidR="00987FB2" w:rsidRPr="00C30EAD">
        <w:rPr>
          <w:rFonts w:cs="Arial"/>
          <w:b/>
          <w:bCs/>
          <w:szCs w:val="22"/>
        </w:rPr>
        <w:t xml:space="preserve">MŠMT nastavilo </w:t>
      </w:r>
      <w:r w:rsidR="000C2881" w:rsidRPr="00C30EAD">
        <w:rPr>
          <w:rFonts w:cs="Arial"/>
          <w:b/>
          <w:bCs/>
          <w:szCs w:val="22"/>
        </w:rPr>
        <w:t xml:space="preserve">pro sledování pokroku </w:t>
      </w:r>
      <w:r w:rsidR="00987FB2" w:rsidRPr="00C30EAD">
        <w:rPr>
          <w:rFonts w:cs="Arial"/>
          <w:b/>
          <w:bCs/>
          <w:szCs w:val="22"/>
        </w:rPr>
        <w:t xml:space="preserve">systém monitorovacích indikátorů, který </w:t>
      </w:r>
      <w:r w:rsidR="00F23505" w:rsidRPr="00C30EAD">
        <w:rPr>
          <w:rFonts w:cs="Arial"/>
          <w:b/>
          <w:bCs/>
          <w:szCs w:val="22"/>
        </w:rPr>
        <w:t>neu</w:t>
      </w:r>
      <w:r w:rsidR="00987FB2" w:rsidRPr="00C30EAD">
        <w:rPr>
          <w:rFonts w:cs="Arial"/>
          <w:b/>
          <w:bCs/>
          <w:szCs w:val="22"/>
        </w:rPr>
        <w:t xml:space="preserve">možňuje </w:t>
      </w:r>
      <w:r w:rsidR="00F23505" w:rsidRPr="00C30EAD">
        <w:rPr>
          <w:rFonts w:cs="Arial"/>
          <w:b/>
          <w:bCs/>
          <w:szCs w:val="22"/>
        </w:rPr>
        <w:t xml:space="preserve">vždy měření </w:t>
      </w:r>
      <w:r w:rsidR="00987FB2" w:rsidRPr="00C30EAD">
        <w:rPr>
          <w:rFonts w:cs="Arial"/>
          <w:b/>
          <w:bCs/>
          <w:szCs w:val="22"/>
        </w:rPr>
        <w:t xml:space="preserve">naplňování stanovených cílů a </w:t>
      </w:r>
      <w:r w:rsidR="00F23505" w:rsidRPr="00C30EAD">
        <w:rPr>
          <w:rFonts w:cs="Arial"/>
          <w:b/>
          <w:bCs/>
          <w:szCs w:val="22"/>
        </w:rPr>
        <w:t xml:space="preserve">průběžného </w:t>
      </w:r>
      <w:r w:rsidR="00987FB2" w:rsidRPr="00C30EAD">
        <w:rPr>
          <w:rFonts w:cs="Arial"/>
          <w:b/>
          <w:bCs/>
          <w:szCs w:val="22"/>
        </w:rPr>
        <w:t>pokroku</w:t>
      </w:r>
      <w:r w:rsidR="00A112AE" w:rsidRPr="00C30EAD">
        <w:rPr>
          <w:rFonts w:cs="Arial"/>
          <w:b/>
          <w:bCs/>
          <w:szCs w:val="22"/>
        </w:rPr>
        <w:t xml:space="preserve">. </w:t>
      </w:r>
      <w:r w:rsidR="00E837E4" w:rsidRPr="00C30EAD">
        <w:rPr>
          <w:rFonts w:cs="Arial"/>
          <w:bCs/>
          <w:szCs w:val="22"/>
        </w:rPr>
        <w:t xml:space="preserve">To se týká </w:t>
      </w:r>
      <w:r w:rsidR="00E61E2A" w:rsidRPr="00C30EAD">
        <w:rPr>
          <w:rFonts w:cs="Arial"/>
          <w:bCs/>
          <w:szCs w:val="22"/>
        </w:rPr>
        <w:t xml:space="preserve">indikátorů </w:t>
      </w:r>
      <w:r w:rsidR="009675B3" w:rsidRPr="00C30EAD">
        <w:rPr>
          <w:rFonts w:cs="Arial"/>
          <w:bCs/>
          <w:szCs w:val="22"/>
        </w:rPr>
        <w:t>výsledku pro prioritní osu 1 a indikátor</w:t>
      </w:r>
      <w:r w:rsidRPr="00C30EAD">
        <w:rPr>
          <w:rFonts w:cs="Arial"/>
          <w:bCs/>
          <w:szCs w:val="22"/>
        </w:rPr>
        <w:t>ů</w:t>
      </w:r>
      <w:r w:rsidR="009675B3" w:rsidRPr="00C30EAD">
        <w:rPr>
          <w:rFonts w:cs="Arial"/>
          <w:bCs/>
          <w:szCs w:val="22"/>
        </w:rPr>
        <w:t xml:space="preserve"> </w:t>
      </w:r>
      <w:r w:rsidR="00E61E2A" w:rsidRPr="00C30EAD">
        <w:rPr>
          <w:rFonts w:cs="Arial"/>
          <w:bCs/>
          <w:szCs w:val="22"/>
        </w:rPr>
        <w:t xml:space="preserve">výstupu </w:t>
      </w:r>
      <w:r w:rsidR="009675B3" w:rsidRPr="00C30EAD">
        <w:rPr>
          <w:rFonts w:cs="Arial"/>
          <w:bCs/>
          <w:szCs w:val="22"/>
        </w:rPr>
        <w:t>na úrovni obou p</w:t>
      </w:r>
      <w:r w:rsidR="00E61E2A" w:rsidRPr="00C30EAD">
        <w:rPr>
          <w:rFonts w:cs="Arial"/>
          <w:bCs/>
          <w:szCs w:val="22"/>
        </w:rPr>
        <w:t>rioritní</w:t>
      </w:r>
      <w:r w:rsidR="009675B3" w:rsidRPr="00C30EAD">
        <w:rPr>
          <w:rFonts w:cs="Arial"/>
          <w:bCs/>
          <w:szCs w:val="22"/>
        </w:rPr>
        <w:t>ch</w:t>
      </w:r>
      <w:r w:rsidR="00E61E2A" w:rsidRPr="00C30EAD">
        <w:rPr>
          <w:rFonts w:cs="Arial"/>
          <w:bCs/>
          <w:szCs w:val="22"/>
        </w:rPr>
        <w:t xml:space="preserve"> os</w:t>
      </w:r>
      <w:r w:rsidR="009675B3" w:rsidRPr="00C30EAD">
        <w:rPr>
          <w:rFonts w:cs="Arial"/>
          <w:bCs/>
          <w:szCs w:val="22"/>
        </w:rPr>
        <w:t xml:space="preserve">, kde </w:t>
      </w:r>
      <w:r w:rsidRPr="00C30EAD">
        <w:rPr>
          <w:rFonts w:cs="Arial"/>
          <w:bCs/>
          <w:szCs w:val="22"/>
        </w:rPr>
        <w:t xml:space="preserve">jsou vykazovány </w:t>
      </w:r>
      <w:r w:rsidR="00285513" w:rsidRPr="00C30EAD">
        <w:rPr>
          <w:rFonts w:cs="Arial"/>
          <w:bCs/>
          <w:szCs w:val="22"/>
        </w:rPr>
        <w:t>za období 2007–</w:t>
      </w:r>
      <w:r w:rsidR="00E837E4" w:rsidRPr="00C30EAD">
        <w:rPr>
          <w:rFonts w:cs="Arial"/>
          <w:bCs/>
          <w:szCs w:val="22"/>
        </w:rPr>
        <w:t xml:space="preserve">2011 </w:t>
      </w:r>
      <w:r w:rsidR="00635927" w:rsidRPr="00C30EAD">
        <w:rPr>
          <w:rFonts w:cs="Arial"/>
          <w:bCs/>
          <w:szCs w:val="22"/>
        </w:rPr>
        <w:t xml:space="preserve">nulové </w:t>
      </w:r>
      <w:r w:rsidRPr="00C30EAD">
        <w:rPr>
          <w:rFonts w:cs="Arial"/>
          <w:bCs/>
          <w:szCs w:val="22"/>
        </w:rPr>
        <w:t>hodnoty</w:t>
      </w:r>
      <w:r w:rsidR="006220BD" w:rsidRPr="00C30EAD">
        <w:rPr>
          <w:rFonts w:cs="Arial"/>
          <w:bCs/>
          <w:szCs w:val="22"/>
        </w:rPr>
        <w:t>.</w:t>
      </w:r>
      <w:r w:rsidR="006220BD" w:rsidRPr="00C30EAD">
        <w:rPr>
          <w:rFonts w:cs="Arial"/>
          <w:bCs/>
          <w:i/>
          <w:szCs w:val="22"/>
        </w:rPr>
        <w:t xml:space="preserve"> </w:t>
      </w:r>
      <w:r w:rsidR="006220BD" w:rsidRPr="00C30EAD">
        <w:rPr>
          <w:rFonts w:cs="Arial"/>
          <w:bCs/>
          <w:szCs w:val="22"/>
        </w:rPr>
        <w:t>E</w:t>
      </w:r>
      <w:r w:rsidR="00E61E2A" w:rsidRPr="00C30EAD">
        <w:rPr>
          <w:rFonts w:cs="Arial"/>
          <w:bCs/>
          <w:szCs w:val="22"/>
        </w:rPr>
        <w:t xml:space="preserve">xistuje riziko, že </w:t>
      </w:r>
      <w:r w:rsidRPr="00C30EAD">
        <w:rPr>
          <w:rFonts w:cs="Arial"/>
          <w:bCs/>
          <w:szCs w:val="22"/>
        </w:rPr>
        <w:t xml:space="preserve">pomocí těchto </w:t>
      </w:r>
      <w:r w:rsidR="009675B3" w:rsidRPr="00C30EAD">
        <w:rPr>
          <w:rFonts w:cs="Arial"/>
          <w:bCs/>
          <w:szCs w:val="22"/>
        </w:rPr>
        <w:t>indikátor</w:t>
      </w:r>
      <w:r w:rsidRPr="00C30EAD">
        <w:rPr>
          <w:rFonts w:cs="Arial"/>
          <w:bCs/>
          <w:szCs w:val="22"/>
        </w:rPr>
        <w:t xml:space="preserve">ů nelze průběžně měřit </w:t>
      </w:r>
      <w:r w:rsidR="006220BD" w:rsidRPr="00C30EAD">
        <w:rPr>
          <w:rFonts w:cs="Arial"/>
          <w:bCs/>
          <w:szCs w:val="22"/>
        </w:rPr>
        <w:t xml:space="preserve">dosažený </w:t>
      </w:r>
      <w:r w:rsidRPr="00C30EAD">
        <w:rPr>
          <w:rFonts w:cs="Arial"/>
          <w:bCs/>
          <w:szCs w:val="22"/>
        </w:rPr>
        <w:t xml:space="preserve">pokrok ve vztahu k výchozí situaci a že tyto </w:t>
      </w:r>
      <w:r w:rsidRPr="00C30EAD">
        <w:rPr>
          <w:rFonts w:cs="Arial"/>
          <w:bCs/>
          <w:szCs w:val="22"/>
        </w:rPr>
        <w:lastRenderedPageBreak/>
        <w:t xml:space="preserve">indikátory </w:t>
      </w:r>
      <w:r w:rsidR="009675B3" w:rsidRPr="00C30EAD">
        <w:rPr>
          <w:rFonts w:cs="Arial"/>
          <w:bCs/>
          <w:szCs w:val="22"/>
        </w:rPr>
        <w:t xml:space="preserve">nevyjadřují </w:t>
      </w:r>
      <w:r w:rsidR="006220BD" w:rsidRPr="00C30EAD">
        <w:rPr>
          <w:rFonts w:cs="Arial"/>
          <w:bCs/>
          <w:szCs w:val="22"/>
        </w:rPr>
        <w:t>údaje</w:t>
      </w:r>
      <w:r w:rsidR="008F4137" w:rsidRPr="00C30EAD">
        <w:rPr>
          <w:rFonts w:cs="Arial"/>
          <w:bCs/>
          <w:szCs w:val="22"/>
        </w:rPr>
        <w:t xml:space="preserve"> o</w:t>
      </w:r>
      <w:r w:rsidR="006220BD" w:rsidRPr="00C30EAD">
        <w:rPr>
          <w:rFonts w:cs="Arial"/>
          <w:bCs/>
          <w:szCs w:val="22"/>
        </w:rPr>
        <w:t xml:space="preserve"> </w:t>
      </w:r>
      <w:r w:rsidR="009675B3" w:rsidRPr="00C30EAD">
        <w:rPr>
          <w:rFonts w:cs="Arial"/>
          <w:bCs/>
          <w:szCs w:val="22"/>
        </w:rPr>
        <w:t>účincích podpory v</w:t>
      </w:r>
      <w:r w:rsidR="006220BD" w:rsidRPr="00C30EAD">
        <w:rPr>
          <w:rFonts w:cs="Arial"/>
          <w:bCs/>
          <w:szCs w:val="22"/>
        </w:rPr>
        <w:t xml:space="preserve"> návaznosti na </w:t>
      </w:r>
      <w:r w:rsidR="00585124" w:rsidRPr="00C30EAD">
        <w:rPr>
          <w:rFonts w:cs="Arial"/>
          <w:bCs/>
          <w:szCs w:val="22"/>
        </w:rPr>
        <w:t xml:space="preserve">objem </w:t>
      </w:r>
      <w:r w:rsidR="009675B3" w:rsidRPr="00C30EAD">
        <w:rPr>
          <w:rFonts w:cs="Arial"/>
          <w:bCs/>
          <w:szCs w:val="22"/>
        </w:rPr>
        <w:t>finanční</w:t>
      </w:r>
      <w:r w:rsidR="00585124" w:rsidRPr="00C30EAD">
        <w:rPr>
          <w:rFonts w:cs="Arial"/>
          <w:bCs/>
          <w:szCs w:val="22"/>
        </w:rPr>
        <w:t>ch</w:t>
      </w:r>
      <w:r w:rsidR="009675B3" w:rsidRPr="00C30EAD">
        <w:rPr>
          <w:rFonts w:cs="Arial"/>
          <w:bCs/>
          <w:szCs w:val="22"/>
        </w:rPr>
        <w:t xml:space="preserve"> prostředk</w:t>
      </w:r>
      <w:r w:rsidR="00585124" w:rsidRPr="00C30EAD">
        <w:rPr>
          <w:rFonts w:cs="Arial"/>
          <w:bCs/>
          <w:szCs w:val="22"/>
        </w:rPr>
        <w:t>ů</w:t>
      </w:r>
      <w:r w:rsidR="006220BD" w:rsidRPr="00C30EAD">
        <w:rPr>
          <w:rFonts w:cs="Arial"/>
          <w:bCs/>
          <w:szCs w:val="22"/>
        </w:rPr>
        <w:t xml:space="preserve"> proplacených příjemcům ve sledovaných obdobích.</w:t>
      </w:r>
    </w:p>
    <w:p w14:paraId="030874FA" w14:textId="77777777" w:rsidR="00D133EB" w:rsidRPr="004C26FF" w:rsidRDefault="00D133EB" w:rsidP="007C008D">
      <w:pPr>
        <w:pStyle w:val="Zkladntext2"/>
        <w:overflowPunct/>
        <w:autoSpaceDE/>
        <w:autoSpaceDN/>
        <w:adjustRightInd/>
        <w:spacing w:after="0" w:line="23" w:lineRule="atLeast"/>
        <w:textAlignment w:val="auto"/>
        <w:rPr>
          <w:rFonts w:cs="Arial"/>
          <w:bCs/>
          <w:szCs w:val="22"/>
        </w:rPr>
      </w:pPr>
    </w:p>
    <w:p w14:paraId="767C52A4" w14:textId="77777777" w:rsidR="00907590" w:rsidRPr="00C30EAD" w:rsidRDefault="00907590" w:rsidP="007C008D">
      <w:pPr>
        <w:pStyle w:val="Zkladntext2"/>
        <w:overflowPunct/>
        <w:autoSpaceDE/>
        <w:autoSpaceDN/>
        <w:adjustRightInd/>
        <w:spacing w:after="0" w:line="23" w:lineRule="atLeast"/>
        <w:textAlignment w:val="auto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 xml:space="preserve">Na vzorku projektů vybraných ke kontrole bylo též ověřeno, že záznamy v informačním systému řídicího orgánu </w:t>
      </w:r>
      <w:r w:rsidR="00486D25" w:rsidRPr="00C30EAD">
        <w:rPr>
          <w:rFonts w:cs="Arial"/>
          <w:bCs/>
          <w:szCs w:val="22"/>
        </w:rPr>
        <w:t xml:space="preserve">pro účely povinného monitorování </w:t>
      </w:r>
      <w:r w:rsidRPr="00C30EAD">
        <w:rPr>
          <w:rFonts w:cs="Arial"/>
          <w:bCs/>
          <w:szCs w:val="22"/>
        </w:rPr>
        <w:t>jsou v souladu s údaji v předložených projektových složkách.</w:t>
      </w:r>
    </w:p>
    <w:p w14:paraId="1A7B43C9" w14:textId="77777777" w:rsidR="0020242C" w:rsidRPr="00C30EAD" w:rsidRDefault="0020242C" w:rsidP="007C008D">
      <w:pPr>
        <w:pStyle w:val="Zkladntext2"/>
        <w:tabs>
          <w:tab w:val="left" w:pos="284"/>
        </w:tabs>
        <w:overflowPunct/>
        <w:autoSpaceDE/>
        <w:autoSpaceDN/>
        <w:adjustRightInd/>
        <w:spacing w:after="0" w:line="23" w:lineRule="atLeast"/>
        <w:ind w:left="284" w:hanging="284"/>
        <w:textAlignment w:val="auto"/>
        <w:rPr>
          <w:rFonts w:cs="Arial"/>
          <w:b/>
          <w:bCs/>
          <w:szCs w:val="22"/>
        </w:rPr>
      </w:pPr>
    </w:p>
    <w:p w14:paraId="05E43723" w14:textId="77777777" w:rsidR="00111249" w:rsidRDefault="00A676B4" w:rsidP="007C008D">
      <w:pPr>
        <w:pStyle w:val="Nadpis1"/>
        <w:ind w:hanging="720"/>
      </w:pPr>
      <w:r w:rsidRPr="00C30EAD">
        <w:t>Hodnocení a výběr</w:t>
      </w:r>
      <w:r w:rsidR="00111249" w:rsidRPr="00C30EAD">
        <w:t xml:space="preserve"> projektů</w:t>
      </w:r>
    </w:p>
    <w:p w14:paraId="40E88134" w14:textId="77777777" w:rsidR="002C529E" w:rsidRPr="002C529E" w:rsidRDefault="002C529E" w:rsidP="007C008D">
      <w:pPr>
        <w:rPr>
          <w:lang w:eastAsia="cs-CZ"/>
        </w:rPr>
      </w:pPr>
    </w:p>
    <w:p w14:paraId="1F23E746" w14:textId="17A944F4" w:rsidR="00BB00A6" w:rsidRPr="00C30EAD" w:rsidRDefault="00115D7E" w:rsidP="007C008D">
      <w:pPr>
        <w:pStyle w:val="Zkladntext2"/>
        <w:tabs>
          <w:tab w:val="left" w:pos="284"/>
        </w:tabs>
        <w:overflowPunct/>
        <w:autoSpaceDE/>
        <w:autoSpaceDN/>
        <w:adjustRightInd/>
        <w:spacing w:after="0" w:line="23" w:lineRule="atLeast"/>
        <w:textAlignment w:val="auto"/>
        <w:rPr>
          <w:rFonts w:cs="Arial"/>
        </w:rPr>
      </w:pPr>
      <w:r w:rsidRPr="00C30EAD">
        <w:rPr>
          <w:rFonts w:cs="Arial"/>
        </w:rPr>
        <w:t xml:space="preserve">V rámci tří výzev vyhlášených </w:t>
      </w:r>
      <w:r w:rsidR="004D3952" w:rsidRPr="00C30EAD">
        <w:rPr>
          <w:rFonts w:cs="Arial"/>
        </w:rPr>
        <w:t xml:space="preserve">MŠMT </w:t>
      </w:r>
      <w:r w:rsidRPr="00C30EAD">
        <w:rPr>
          <w:rFonts w:cs="Arial"/>
        </w:rPr>
        <w:t>pro prioritn</w:t>
      </w:r>
      <w:r w:rsidR="00285513" w:rsidRPr="00C30EAD">
        <w:rPr>
          <w:rFonts w:cs="Arial"/>
        </w:rPr>
        <w:t>í osy 1 a 2 bylo předloženo 118 </w:t>
      </w:r>
      <w:r w:rsidRPr="00C30EAD">
        <w:rPr>
          <w:rFonts w:cs="Arial"/>
        </w:rPr>
        <w:t>projektových žádostí, z nichž do fáze realizace po</w:t>
      </w:r>
      <w:r w:rsidR="00285513" w:rsidRPr="00C30EAD">
        <w:rPr>
          <w:rFonts w:cs="Arial"/>
        </w:rPr>
        <w:t>stoupilo z procesu hodnocení 48 </w:t>
      </w:r>
      <w:r w:rsidRPr="00C30EAD">
        <w:rPr>
          <w:rFonts w:cs="Arial"/>
        </w:rPr>
        <w:t xml:space="preserve">schválených projektů. </w:t>
      </w:r>
      <w:r w:rsidRPr="00C30EAD">
        <w:rPr>
          <w:rFonts w:cs="Arial"/>
          <w:bCs/>
          <w:szCs w:val="22"/>
        </w:rPr>
        <w:t>S</w:t>
      </w:r>
      <w:r w:rsidR="005E7967" w:rsidRPr="00C30EAD">
        <w:rPr>
          <w:rFonts w:cs="Arial"/>
          <w:bCs/>
          <w:szCs w:val="22"/>
        </w:rPr>
        <w:t xml:space="preserve">ystém hodnocení a výběru projektů byl </w:t>
      </w:r>
      <w:r w:rsidR="00F23E7F" w:rsidRPr="00C30EAD">
        <w:rPr>
          <w:rFonts w:cs="Arial"/>
          <w:bCs/>
          <w:szCs w:val="22"/>
        </w:rPr>
        <w:t xml:space="preserve">kontrolou NKÚ </w:t>
      </w:r>
      <w:r w:rsidRPr="00C30EAD">
        <w:rPr>
          <w:rFonts w:cs="Arial"/>
          <w:bCs/>
          <w:szCs w:val="22"/>
        </w:rPr>
        <w:t>pr</w:t>
      </w:r>
      <w:r w:rsidR="005E7967" w:rsidRPr="00C30EAD">
        <w:rPr>
          <w:rFonts w:cs="Arial"/>
          <w:bCs/>
          <w:szCs w:val="22"/>
        </w:rPr>
        <w:t>ověřen na vzorku 10 schválených, resp. realizovaných proje</w:t>
      </w:r>
      <w:r w:rsidR="00285513" w:rsidRPr="00C30EAD">
        <w:rPr>
          <w:rFonts w:cs="Arial"/>
          <w:bCs/>
          <w:szCs w:val="22"/>
        </w:rPr>
        <w:t>ktů a 7 neschválených žádostí o </w:t>
      </w:r>
      <w:r w:rsidR="005E7967" w:rsidRPr="00C30EAD">
        <w:rPr>
          <w:rFonts w:cs="Arial"/>
          <w:bCs/>
          <w:szCs w:val="22"/>
        </w:rPr>
        <w:t>podporu</w:t>
      </w:r>
      <w:r w:rsidR="004D3952" w:rsidRPr="00C30EAD">
        <w:rPr>
          <w:rFonts w:cs="Arial"/>
          <w:bCs/>
          <w:szCs w:val="22"/>
        </w:rPr>
        <w:t xml:space="preserve"> ze všech tří výzev</w:t>
      </w:r>
      <w:r w:rsidR="005E7967" w:rsidRPr="00C30EAD">
        <w:rPr>
          <w:rFonts w:cs="Arial"/>
          <w:bCs/>
          <w:szCs w:val="22"/>
        </w:rPr>
        <w:t xml:space="preserve">. </w:t>
      </w:r>
      <w:r w:rsidR="00E049C7" w:rsidRPr="00C30EAD">
        <w:rPr>
          <w:rFonts w:cs="Arial"/>
        </w:rPr>
        <w:t xml:space="preserve">MŠMT hodnotilo </w:t>
      </w:r>
      <w:r w:rsidR="004D3952" w:rsidRPr="00C30EAD">
        <w:rPr>
          <w:rFonts w:cs="Arial"/>
        </w:rPr>
        <w:t xml:space="preserve">předložené </w:t>
      </w:r>
      <w:r w:rsidR="00E049C7" w:rsidRPr="00C30EAD">
        <w:rPr>
          <w:rFonts w:cs="Arial"/>
        </w:rPr>
        <w:t xml:space="preserve">projekty z hlediska formálních náležitostí, </w:t>
      </w:r>
      <w:r w:rsidR="000D1054" w:rsidRPr="00C30EAD">
        <w:rPr>
          <w:rFonts w:cs="Arial"/>
        </w:rPr>
        <w:t xml:space="preserve">z hlediska </w:t>
      </w:r>
      <w:r w:rsidR="00E049C7" w:rsidRPr="00C30EAD">
        <w:rPr>
          <w:rFonts w:cs="Arial"/>
        </w:rPr>
        <w:t xml:space="preserve">přijatelnosti projektů </w:t>
      </w:r>
      <w:r w:rsidR="000D1054">
        <w:rPr>
          <w:rFonts w:cs="Arial"/>
        </w:rPr>
        <w:t>i</w:t>
      </w:r>
      <w:r w:rsidR="00E049C7" w:rsidRPr="00C30EAD">
        <w:rPr>
          <w:rFonts w:cs="Arial"/>
        </w:rPr>
        <w:t xml:space="preserve"> z hlediska věcného</w:t>
      </w:r>
      <w:r w:rsidR="00C23DC1" w:rsidRPr="00C30EAD">
        <w:rPr>
          <w:rFonts w:cs="Arial"/>
        </w:rPr>
        <w:t>. V rámci věcného hodnocení</w:t>
      </w:r>
      <w:r w:rsidR="005618BD" w:rsidRPr="00C30EAD">
        <w:rPr>
          <w:rFonts w:cs="Arial"/>
        </w:rPr>
        <w:t xml:space="preserve"> </w:t>
      </w:r>
      <w:r w:rsidR="00C23DC1" w:rsidRPr="00C30EAD">
        <w:rPr>
          <w:rFonts w:cs="Arial"/>
        </w:rPr>
        <w:t xml:space="preserve">MŠMT </w:t>
      </w:r>
      <w:r w:rsidR="00E049C7" w:rsidRPr="00C30EAD">
        <w:rPr>
          <w:rFonts w:cs="Arial"/>
        </w:rPr>
        <w:t xml:space="preserve">nastavilo </w:t>
      </w:r>
      <w:r w:rsidR="006C2A5D" w:rsidRPr="00C30EAD">
        <w:rPr>
          <w:rFonts w:cs="Arial"/>
        </w:rPr>
        <w:t xml:space="preserve">poměrně složitý </w:t>
      </w:r>
      <w:r w:rsidR="00907590" w:rsidRPr="00C30EAD">
        <w:rPr>
          <w:rFonts w:cs="Arial"/>
        </w:rPr>
        <w:t xml:space="preserve">systém </w:t>
      </w:r>
      <w:r w:rsidR="00223A5C" w:rsidRPr="00C30EAD">
        <w:rPr>
          <w:rFonts w:cs="Arial"/>
        </w:rPr>
        <w:t>hodnocení a výběru</w:t>
      </w:r>
      <w:r w:rsidR="004D3952" w:rsidRPr="00C30EAD">
        <w:rPr>
          <w:rFonts w:cs="Arial"/>
        </w:rPr>
        <w:t xml:space="preserve">, </w:t>
      </w:r>
      <w:r w:rsidR="006C2A5D" w:rsidRPr="00C30EAD">
        <w:rPr>
          <w:rFonts w:cs="Arial"/>
        </w:rPr>
        <w:t>je</w:t>
      </w:r>
      <w:r w:rsidR="00E049C7" w:rsidRPr="00C30EAD">
        <w:rPr>
          <w:rFonts w:cs="Arial"/>
        </w:rPr>
        <w:t>n</w:t>
      </w:r>
      <w:r w:rsidR="006C2A5D" w:rsidRPr="00C30EAD">
        <w:rPr>
          <w:rFonts w:cs="Arial"/>
        </w:rPr>
        <w:t xml:space="preserve">ž probíhal </w:t>
      </w:r>
      <w:r w:rsidR="00223A5C" w:rsidRPr="00C30EAD">
        <w:rPr>
          <w:rFonts w:cs="Arial"/>
        </w:rPr>
        <w:t>v několika krocích</w:t>
      </w:r>
      <w:r w:rsidR="006C2A5D" w:rsidRPr="00C30EAD">
        <w:rPr>
          <w:rFonts w:cs="Arial"/>
        </w:rPr>
        <w:t xml:space="preserve"> za účasti národních i zahraničních expertů. </w:t>
      </w:r>
      <w:r w:rsidR="008E05CF" w:rsidRPr="00C30EAD">
        <w:rPr>
          <w:rFonts w:cs="Arial"/>
        </w:rPr>
        <w:t>Nedostatky</w:t>
      </w:r>
      <w:r w:rsidR="004A02D3" w:rsidRPr="00C30EAD">
        <w:rPr>
          <w:rFonts w:cs="Arial"/>
        </w:rPr>
        <w:t xml:space="preserve"> </w:t>
      </w:r>
      <w:r w:rsidR="006F043C" w:rsidRPr="00C30EAD">
        <w:rPr>
          <w:rFonts w:cs="Arial"/>
        </w:rPr>
        <w:t xml:space="preserve">zjištěné </w:t>
      </w:r>
      <w:r w:rsidR="008E05CF" w:rsidRPr="00C30EAD">
        <w:rPr>
          <w:rFonts w:cs="Arial"/>
        </w:rPr>
        <w:t xml:space="preserve">kontrolou NKÚ </w:t>
      </w:r>
      <w:r w:rsidR="004A02D3" w:rsidRPr="00C30EAD">
        <w:rPr>
          <w:rFonts w:cs="Arial"/>
        </w:rPr>
        <w:t xml:space="preserve">se týkají </w:t>
      </w:r>
      <w:r w:rsidR="004D3952" w:rsidRPr="00C30EAD">
        <w:rPr>
          <w:rFonts w:cs="Arial"/>
        </w:rPr>
        <w:t xml:space="preserve">v největší míře </w:t>
      </w:r>
      <w:r w:rsidR="008E05CF" w:rsidRPr="00C30EAD">
        <w:rPr>
          <w:rFonts w:cs="Arial"/>
        </w:rPr>
        <w:t xml:space="preserve">hodnocení a výběru projektů </w:t>
      </w:r>
      <w:r w:rsidR="00C10869">
        <w:rPr>
          <w:rFonts w:cs="Arial"/>
        </w:rPr>
        <w:t>v </w:t>
      </w:r>
      <w:r w:rsidR="00C23DC1" w:rsidRPr="00C30EAD">
        <w:rPr>
          <w:rFonts w:cs="Arial"/>
        </w:rPr>
        <w:t>první</w:t>
      </w:r>
      <w:r w:rsidR="008E05CF" w:rsidRPr="00C30EAD">
        <w:rPr>
          <w:rFonts w:cs="Arial"/>
        </w:rPr>
        <w:t xml:space="preserve"> výzvě pro prioritní osu 2.</w:t>
      </w:r>
    </w:p>
    <w:p w14:paraId="3F6C2CB1" w14:textId="77777777" w:rsidR="00BB00A6" w:rsidRPr="00C30EAD" w:rsidRDefault="00BB00A6" w:rsidP="007C008D">
      <w:pPr>
        <w:spacing w:line="23" w:lineRule="atLeast"/>
        <w:rPr>
          <w:rFonts w:cs="Arial"/>
          <w:lang w:eastAsia="cs-CZ"/>
        </w:rPr>
      </w:pPr>
    </w:p>
    <w:p w14:paraId="33FB47FC" w14:textId="19CCBB64" w:rsidR="0078101D" w:rsidRPr="00C30EAD" w:rsidRDefault="0078101D" w:rsidP="007C008D">
      <w:pPr>
        <w:spacing w:line="23" w:lineRule="atLeast"/>
        <w:rPr>
          <w:rFonts w:cs="Arial"/>
          <w:color w:val="000000"/>
          <w:lang w:eastAsia="cs-CZ"/>
        </w:rPr>
      </w:pPr>
      <w:r w:rsidRPr="00C30EAD">
        <w:rPr>
          <w:rFonts w:cs="Arial"/>
          <w:color w:val="000000"/>
          <w:lang w:eastAsia="cs-CZ"/>
        </w:rPr>
        <w:t>Kontrolou NKÚ bylo zjištěno</w:t>
      </w:r>
      <w:r w:rsidR="00BB00A6" w:rsidRPr="00C30EAD">
        <w:rPr>
          <w:rFonts w:cs="Arial"/>
          <w:color w:val="000000"/>
          <w:lang w:eastAsia="cs-CZ"/>
        </w:rPr>
        <w:t xml:space="preserve">, že </w:t>
      </w:r>
      <w:r w:rsidR="00BB00A6" w:rsidRPr="00C30EAD">
        <w:rPr>
          <w:rFonts w:cs="Arial"/>
          <w:b/>
          <w:color w:val="000000"/>
          <w:lang w:eastAsia="cs-CZ"/>
        </w:rPr>
        <w:t xml:space="preserve">MŠMT </w:t>
      </w:r>
      <w:r w:rsidR="000D1054" w:rsidRPr="00C30EAD">
        <w:rPr>
          <w:rFonts w:cs="Arial"/>
          <w:b/>
          <w:color w:val="000000"/>
          <w:lang w:eastAsia="cs-CZ"/>
        </w:rPr>
        <w:t xml:space="preserve">postupovalo </w:t>
      </w:r>
      <w:r w:rsidR="00BB00A6" w:rsidRPr="00C30EAD">
        <w:rPr>
          <w:rFonts w:cs="Arial"/>
          <w:b/>
          <w:color w:val="000000"/>
          <w:lang w:eastAsia="cs-CZ"/>
        </w:rPr>
        <w:t>nevhodně při</w:t>
      </w:r>
      <w:r w:rsidRPr="00C30EAD">
        <w:rPr>
          <w:rFonts w:cs="Arial"/>
          <w:b/>
          <w:color w:val="000000"/>
          <w:lang w:eastAsia="cs-CZ"/>
        </w:rPr>
        <w:t xml:space="preserve"> zabezpečení nestrannosti a vyloučení střetu zájmů u individuálních hodnotitelů</w:t>
      </w:r>
      <w:r w:rsidR="00950F44" w:rsidRPr="00C30EAD">
        <w:rPr>
          <w:rFonts w:cs="Arial"/>
          <w:b/>
          <w:color w:val="000000"/>
          <w:lang w:eastAsia="cs-CZ"/>
        </w:rPr>
        <w:t xml:space="preserve">. </w:t>
      </w:r>
      <w:r w:rsidRPr="00C30EAD">
        <w:rPr>
          <w:rFonts w:cs="Arial"/>
          <w:color w:val="000000"/>
          <w:lang w:eastAsia="cs-CZ"/>
        </w:rPr>
        <w:t xml:space="preserve">MŠMT pověřilo hodnocením a </w:t>
      </w:r>
      <w:r w:rsidR="00AB0086" w:rsidRPr="00C30EAD">
        <w:rPr>
          <w:rFonts w:cs="Arial"/>
          <w:color w:val="000000"/>
          <w:lang w:eastAsia="cs-CZ"/>
        </w:rPr>
        <w:t xml:space="preserve">členstvím </w:t>
      </w:r>
      <w:r w:rsidRPr="00C30EAD">
        <w:rPr>
          <w:rFonts w:cs="Arial"/>
          <w:color w:val="000000"/>
          <w:lang w:eastAsia="cs-CZ"/>
        </w:rPr>
        <w:t xml:space="preserve">ve výběrových komisích </w:t>
      </w:r>
      <w:r w:rsidRPr="00C30EAD">
        <w:rPr>
          <w:rFonts w:cs="Arial"/>
          <w:i/>
          <w:color w:val="000000"/>
          <w:lang w:eastAsia="cs-CZ"/>
        </w:rPr>
        <w:t>Panel pro aplikace</w:t>
      </w:r>
      <w:r w:rsidRPr="00C30EAD">
        <w:rPr>
          <w:rFonts w:cs="Arial"/>
          <w:color w:val="000000"/>
          <w:lang w:eastAsia="cs-CZ"/>
        </w:rPr>
        <w:t xml:space="preserve"> experta, který byl zároveň členem Monitorovacího výboru OP VaVpI a podílel se na schvalování kritérií pro hodnocení a výběr projektů všech výzev vyhlášených pro prioritní osy 1 a 2. Dotyčný člen </w:t>
      </w:r>
      <w:r w:rsidR="006E12CB">
        <w:rPr>
          <w:rFonts w:cs="Arial"/>
          <w:color w:val="000000"/>
          <w:lang w:eastAsia="cs-CZ"/>
        </w:rPr>
        <w:t>m</w:t>
      </w:r>
      <w:r w:rsidRPr="00C30EAD">
        <w:rPr>
          <w:rFonts w:cs="Arial"/>
          <w:color w:val="000000"/>
          <w:lang w:eastAsia="cs-CZ"/>
        </w:rPr>
        <w:t xml:space="preserve">onitorovacího výboru tak </w:t>
      </w:r>
      <w:r w:rsidR="00C10869">
        <w:rPr>
          <w:rFonts w:cs="Arial"/>
          <w:color w:val="000000"/>
          <w:lang w:eastAsia="cs-CZ"/>
        </w:rPr>
        <w:t>v </w:t>
      </w:r>
      <w:r w:rsidRPr="00C30EAD">
        <w:rPr>
          <w:rFonts w:cs="Arial"/>
          <w:color w:val="000000"/>
          <w:lang w:eastAsia="cs-CZ"/>
        </w:rPr>
        <w:t xml:space="preserve">roli hodnotitele a člena jedné </w:t>
      </w:r>
      <w:r w:rsidR="00C10869">
        <w:rPr>
          <w:rFonts w:cs="Arial"/>
          <w:color w:val="000000"/>
          <w:lang w:eastAsia="cs-CZ"/>
        </w:rPr>
        <w:t>z </w:t>
      </w:r>
      <w:r w:rsidRPr="00C30EAD">
        <w:rPr>
          <w:rFonts w:cs="Arial"/>
          <w:color w:val="000000"/>
          <w:lang w:eastAsia="cs-CZ"/>
        </w:rPr>
        <w:t>výběrových komisí nevhodně participoval na hodnot</w:t>
      </w:r>
      <w:r w:rsidR="000D1054">
        <w:rPr>
          <w:rFonts w:cs="Arial"/>
          <w:color w:val="000000"/>
          <w:lang w:eastAsia="cs-CZ"/>
        </w:rPr>
        <w:t>i</w:t>
      </w:r>
      <w:r w:rsidRPr="00C30EAD">
        <w:rPr>
          <w:rFonts w:cs="Arial"/>
          <w:color w:val="000000"/>
          <w:lang w:eastAsia="cs-CZ"/>
        </w:rPr>
        <w:t xml:space="preserve">cím procesu, </w:t>
      </w:r>
      <w:r w:rsidR="00000D81" w:rsidRPr="00C30EAD">
        <w:rPr>
          <w:rFonts w:cs="Arial"/>
          <w:color w:val="000000"/>
          <w:lang w:eastAsia="cs-CZ"/>
        </w:rPr>
        <w:t>jenž podléhá</w:t>
      </w:r>
      <w:r w:rsidRPr="00C30EAD">
        <w:rPr>
          <w:rFonts w:cs="Arial"/>
          <w:color w:val="000000"/>
          <w:lang w:eastAsia="cs-CZ"/>
        </w:rPr>
        <w:t xml:space="preserve"> řídicí a kontrolní činnost</w:t>
      </w:r>
      <w:r w:rsidR="005B3001" w:rsidRPr="00C30EAD">
        <w:rPr>
          <w:rFonts w:cs="Arial"/>
          <w:color w:val="000000"/>
          <w:lang w:eastAsia="cs-CZ"/>
        </w:rPr>
        <w:t>i</w:t>
      </w:r>
      <w:r w:rsidRPr="00C30EAD">
        <w:rPr>
          <w:rFonts w:cs="Arial"/>
          <w:color w:val="000000"/>
          <w:lang w:eastAsia="cs-CZ"/>
        </w:rPr>
        <w:t xml:space="preserve"> </w:t>
      </w:r>
      <w:r w:rsidR="006E12CB">
        <w:rPr>
          <w:rFonts w:cs="Arial"/>
          <w:color w:val="000000"/>
          <w:lang w:eastAsia="cs-CZ"/>
        </w:rPr>
        <w:t>m</w:t>
      </w:r>
      <w:r w:rsidRPr="00C30EAD">
        <w:rPr>
          <w:rFonts w:cs="Arial"/>
          <w:color w:val="000000"/>
          <w:lang w:eastAsia="cs-CZ"/>
        </w:rPr>
        <w:t>onitorovacího výboru.</w:t>
      </w:r>
    </w:p>
    <w:p w14:paraId="4A05658A" w14:textId="77777777" w:rsidR="0078101D" w:rsidRPr="00C30EAD" w:rsidRDefault="0078101D" w:rsidP="007C008D">
      <w:pPr>
        <w:spacing w:line="23" w:lineRule="atLeast"/>
        <w:rPr>
          <w:rFonts w:cs="Arial"/>
          <w:color w:val="000000"/>
          <w:lang w:eastAsia="cs-CZ"/>
        </w:rPr>
      </w:pPr>
    </w:p>
    <w:p w14:paraId="4C15348D" w14:textId="65B83560" w:rsidR="00C14A43" w:rsidRPr="00C30EAD" w:rsidRDefault="00DE4763" w:rsidP="007C008D">
      <w:pPr>
        <w:spacing w:line="23" w:lineRule="atLeast"/>
        <w:rPr>
          <w:rFonts w:cs="Arial"/>
          <w:color w:val="000000"/>
          <w:lang w:eastAsia="cs-CZ"/>
        </w:rPr>
      </w:pPr>
      <w:r w:rsidRPr="00C30EAD">
        <w:rPr>
          <w:rFonts w:cs="Arial"/>
          <w:b/>
          <w:color w:val="000000"/>
          <w:lang w:eastAsia="cs-CZ"/>
        </w:rPr>
        <w:t>MŠMT</w:t>
      </w:r>
      <w:r w:rsidRPr="00C30EAD">
        <w:rPr>
          <w:rFonts w:cs="Arial"/>
          <w:color w:val="000000"/>
          <w:lang w:eastAsia="cs-CZ"/>
        </w:rPr>
        <w:t xml:space="preserve"> </w:t>
      </w:r>
      <w:r w:rsidRPr="00C30EAD">
        <w:rPr>
          <w:rFonts w:cs="Arial"/>
          <w:b/>
          <w:color w:val="000000"/>
          <w:lang w:eastAsia="cs-CZ"/>
        </w:rPr>
        <w:t xml:space="preserve">nepostupovalo v souladu </w:t>
      </w:r>
      <w:r w:rsidR="00C10869">
        <w:rPr>
          <w:rFonts w:cs="Arial"/>
          <w:b/>
          <w:color w:val="000000"/>
          <w:lang w:eastAsia="cs-CZ"/>
        </w:rPr>
        <w:t>s </w:t>
      </w:r>
      <w:r w:rsidR="001024E6" w:rsidRPr="00C30EAD">
        <w:rPr>
          <w:rFonts w:cs="Arial"/>
          <w:b/>
          <w:color w:val="000000"/>
          <w:lang w:eastAsia="cs-CZ"/>
        </w:rPr>
        <w:t>evropským předpisem</w:t>
      </w:r>
      <w:r w:rsidRPr="00C30EAD">
        <w:rPr>
          <w:rStyle w:val="Znakapoznpodarou"/>
          <w:rFonts w:cs="Arial"/>
          <w:b/>
          <w:color w:val="000000"/>
          <w:lang w:eastAsia="cs-CZ"/>
        </w:rPr>
        <w:footnoteReference w:id="12"/>
      </w:r>
      <w:r w:rsidRPr="00C30EAD">
        <w:rPr>
          <w:rFonts w:cs="Arial"/>
          <w:b/>
          <w:color w:val="000000"/>
          <w:lang w:eastAsia="cs-CZ"/>
        </w:rPr>
        <w:t xml:space="preserve">, </w:t>
      </w:r>
      <w:r w:rsidR="00000D81" w:rsidRPr="00C30EAD">
        <w:rPr>
          <w:rFonts w:cs="Arial"/>
          <w:b/>
          <w:color w:val="000000"/>
          <w:lang w:eastAsia="cs-CZ"/>
        </w:rPr>
        <w:t>který</w:t>
      </w:r>
      <w:r w:rsidRPr="00C30EAD">
        <w:rPr>
          <w:rFonts w:cs="Arial"/>
          <w:b/>
          <w:color w:val="000000"/>
          <w:lang w:eastAsia="cs-CZ"/>
        </w:rPr>
        <w:t xml:space="preserve"> stanoví povinnost</w:t>
      </w:r>
      <w:r w:rsidR="00182B97">
        <w:rPr>
          <w:rFonts w:cs="Arial"/>
          <w:b/>
          <w:color w:val="000000"/>
          <w:lang w:eastAsia="cs-CZ"/>
        </w:rPr>
        <w:t xml:space="preserve"> </w:t>
      </w:r>
      <w:r w:rsidRPr="00C30EAD">
        <w:rPr>
          <w:rFonts w:cs="Arial"/>
          <w:b/>
          <w:color w:val="000000"/>
          <w:lang w:eastAsia="cs-CZ"/>
        </w:rPr>
        <w:t>uchováv</w:t>
      </w:r>
      <w:r w:rsidR="00182B97">
        <w:rPr>
          <w:rFonts w:cs="Arial"/>
          <w:b/>
          <w:color w:val="000000"/>
          <w:lang w:eastAsia="cs-CZ"/>
        </w:rPr>
        <w:t>at</w:t>
      </w:r>
      <w:r w:rsidRPr="00C30EAD">
        <w:rPr>
          <w:rFonts w:cs="Arial"/>
          <w:b/>
          <w:color w:val="000000"/>
          <w:lang w:eastAsia="cs-CZ"/>
        </w:rPr>
        <w:t xml:space="preserve"> informac</w:t>
      </w:r>
      <w:r w:rsidR="00182B97">
        <w:rPr>
          <w:rFonts w:cs="Arial"/>
          <w:b/>
          <w:color w:val="000000"/>
          <w:lang w:eastAsia="cs-CZ"/>
        </w:rPr>
        <w:t>e</w:t>
      </w:r>
      <w:r w:rsidRPr="00C30EAD">
        <w:rPr>
          <w:rFonts w:cs="Arial"/>
          <w:b/>
          <w:color w:val="000000"/>
          <w:lang w:eastAsia="cs-CZ"/>
        </w:rPr>
        <w:t xml:space="preserve"> nezbytn</w:t>
      </w:r>
      <w:r w:rsidR="00182B97">
        <w:rPr>
          <w:rFonts w:cs="Arial"/>
          <w:b/>
          <w:color w:val="000000"/>
          <w:lang w:eastAsia="cs-CZ"/>
        </w:rPr>
        <w:t>é</w:t>
      </w:r>
      <w:r w:rsidRPr="00C30EAD">
        <w:rPr>
          <w:rFonts w:cs="Arial"/>
          <w:b/>
          <w:color w:val="000000"/>
          <w:lang w:eastAsia="cs-CZ"/>
        </w:rPr>
        <w:t xml:space="preserve"> pro účely hodnocení a podávání zpráv. </w:t>
      </w:r>
      <w:r w:rsidR="00D47617" w:rsidRPr="00C30EAD">
        <w:rPr>
          <w:rFonts w:cs="Arial"/>
          <w:color w:val="000000"/>
          <w:lang w:eastAsia="cs-CZ"/>
        </w:rPr>
        <w:t>K</w:t>
      </w:r>
      <w:r w:rsidR="004A02D3" w:rsidRPr="00C30EAD">
        <w:rPr>
          <w:rFonts w:cs="Arial"/>
          <w:color w:val="000000"/>
          <w:lang w:eastAsia="cs-CZ"/>
        </w:rPr>
        <w:t xml:space="preserve">ontrola NKÚ </w:t>
      </w:r>
      <w:r w:rsidR="00D47617" w:rsidRPr="00C30EAD">
        <w:rPr>
          <w:rFonts w:cs="Arial"/>
          <w:color w:val="000000"/>
          <w:lang w:eastAsia="cs-CZ"/>
        </w:rPr>
        <w:t>zjistila</w:t>
      </w:r>
      <w:r w:rsidR="00B901D5" w:rsidRPr="00C30EAD">
        <w:rPr>
          <w:rFonts w:cs="Arial"/>
          <w:color w:val="000000"/>
          <w:lang w:eastAsia="cs-CZ"/>
        </w:rPr>
        <w:t xml:space="preserve"> </w:t>
      </w:r>
      <w:r w:rsidR="00213D3A" w:rsidRPr="00C30EAD">
        <w:rPr>
          <w:rFonts w:cs="Arial"/>
          <w:color w:val="000000"/>
          <w:lang w:eastAsia="cs-CZ"/>
        </w:rPr>
        <w:t>n</w:t>
      </w:r>
      <w:r w:rsidR="00C14A43" w:rsidRPr="00C30EAD">
        <w:rPr>
          <w:rFonts w:cs="Arial"/>
          <w:color w:val="000000"/>
          <w:lang w:eastAsia="cs-CZ"/>
        </w:rPr>
        <w:t>edostatk</w:t>
      </w:r>
      <w:r w:rsidR="00000D81" w:rsidRPr="00C30EAD">
        <w:rPr>
          <w:rFonts w:cs="Arial"/>
          <w:color w:val="000000"/>
          <w:lang w:eastAsia="cs-CZ"/>
        </w:rPr>
        <w:t>y</w:t>
      </w:r>
      <w:r w:rsidR="00807DC5" w:rsidRPr="00C30EAD">
        <w:rPr>
          <w:rFonts w:cs="Arial"/>
          <w:color w:val="000000"/>
          <w:lang w:eastAsia="cs-CZ"/>
        </w:rPr>
        <w:t xml:space="preserve">, které </w:t>
      </w:r>
      <w:r w:rsidRPr="00C30EAD">
        <w:rPr>
          <w:rFonts w:cs="Arial"/>
          <w:color w:val="000000"/>
          <w:lang w:eastAsia="cs-CZ"/>
        </w:rPr>
        <w:t xml:space="preserve">negativně </w:t>
      </w:r>
      <w:r w:rsidR="00807DC5" w:rsidRPr="00C30EAD">
        <w:rPr>
          <w:rFonts w:cs="Arial"/>
          <w:color w:val="000000"/>
          <w:lang w:eastAsia="cs-CZ"/>
        </w:rPr>
        <w:t>ovlivnily transparentnost</w:t>
      </w:r>
      <w:r w:rsidR="00285513" w:rsidRPr="00C30EAD">
        <w:rPr>
          <w:rFonts w:cs="Arial"/>
          <w:color w:val="000000"/>
          <w:lang w:eastAsia="cs-CZ"/>
        </w:rPr>
        <w:t xml:space="preserve"> hodnocení a </w:t>
      </w:r>
      <w:r w:rsidR="00D47617" w:rsidRPr="00C30EAD">
        <w:rPr>
          <w:rFonts w:cs="Arial"/>
          <w:color w:val="000000"/>
          <w:lang w:eastAsia="cs-CZ"/>
        </w:rPr>
        <w:t>výběru projektů</w:t>
      </w:r>
      <w:r w:rsidR="00213D3A" w:rsidRPr="00C30EAD">
        <w:rPr>
          <w:rFonts w:cs="Arial"/>
          <w:color w:val="000000"/>
          <w:lang w:eastAsia="cs-CZ"/>
        </w:rPr>
        <w:t>:</w:t>
      </w:r>
    </w:p>
    <w:p w14:paraId="648DE1C2" w14:textId="6C0749FB" w:rsidR="00BA468E" w:rsidRPr="00C30EAD" w:rsidRDefault="00000D81" w:rsidP="007C008D">
      <w:pPr>
        <w:numPr>
          <w:ilvl w:val="0"/>
          <w:numId w:val="13"/>
        </w:numPr>
        <w:spacing w:line="23" w:lineRule="atLeast"/>
        <w:ind w:left="284" w:hanging="284"/>
        <w:rPr>
          <w:rFonts w:cs="Arial"/>
          <w:color w:val="000000"/>
          <w:lang w:eastAsia="cs-CZ"/>
        </w:rPr>
      </w:pPr>
      <w:r w:rsidRPr="00C30EAD">
        <w:rPr>
          <w:rFonts w:cs="Arial"/>
          <w:color w:val="000000"/>
          <w:lang w:eastAsia="cs-CZ"/>
        </w:rPr>
        <w:t>MŠMT ne</w:t>
      </w:r>
      <w:r w:rsidR="00DE4763" w:rsidRPr="00C30EAD">
        <w:rPr>
          <w:rFonts w:cs="Arial"/>
          <w:color w:val="000000"/>
          <w:lang w:eastAsia="cs-CZ"/>
        </w:rPr>
        <w:t>dodrže</w:t>
      </w:r>
      <w:r w:rsidRPr="00C30EAD">
        <w:rPr>
          <w:rFonts w:cs="Arial"/>
          <w:color w:val="000000"/>
          <w:lang w:eastAsia="cs-CZ"/>
        </w:rPr>
        <w:t>lo</w:t>
      </w:r>
      <w:r w:rsidR="00DE4763" w:rsidRPr="00C30EAD">
        <w:rPr>
          <w:rFonts w:cs="Arial"/>
          <w:color w:val="000000"/>
          <w:lang w:eastAsia="cs-CZ"/>
        </w:rPr>
        <w:t xml:space="preserve"> archivační povinnost pro některé z</w:t>
      </w:r>
      <w:r w:rsidR="007C008D">
        <w:rPr>
          <w:rFonts w:cs="Arial"/>
          <w:color w:val="000000"/>
          <w:lang w:eastAsia="cs-CZ"/>
        </w:rPr>
        <w:t> </w:t>
      </w:r>
      <w:r w:rsidR="00DE4763" w:rsidRPr="00C30EAD">
        <w:rPr>
          <w:rFonts w:cs="Arial"/>
          <w:color w:val="000000"/>
          <w:lang w:eastAsia="cs-CZ"/>
        </w:rPr>
        <w:t xml:space="preserve">kontrolních listů vztahující se k provedené kontrole formálních náležitostí. </w:t>
      </w:r>
      <w:r w:rsidRPr="00C30EAD">
        <w:rPr>
          <w:rFonts w:cs="Arial"/>
          <w:color w:val="000000"/>
          <w:lang w:eastAsia="cs-CZ"/>
        </w:rPr>
        <w:t xml:space="preserve">V důsledku </w:t>
      </w:r>
      <w:r w:rsidR="006F043C" w:rsidRPr="00C30EAD">
        <w:rPr>
          <w:rFonts w:cs="Arial"/>
          <w:color w:val="000000"/>
          <w:lang w:eastAsia="cs-CZ"/>
        </w:rPr>
        <w:t xml:space="preserve">toho </w:t>
      </w:r>
      <w:r w:rsidRPr="00C30EAD">
        <w:rPr>
          <w:rFonts w:cs="Arial"/>
          <w:color w:val="000000"/>
          <w:lang w:eastAsia="cs-CZ"/>
        </w:rPr>
        <w:t>nemohl</w:t>
      </w:r>
      <w:r w:rsidR="00BA468E" w:rsidRPr="00C30EAD">
        <w:rPr>
          <w:rFonts w:cs="Arial"/>
          <w:color w:val="000000"/>
          <w:lang w:eastAsia="cs-CZ"/>
        </w:rPr>
        <w:t xml:space="preserve"> </w:t>
      </w:r>
      <w:r w:rsidR="00182B97" w:rsidRPr="00C30EAD">
        <w:rPr>
          <w:rFonts w:cs="Arial"/>
          <w:color w:val="000000"/>
          <w:lang w:eastAsia="cs-CZ"/>
        </w:rPr>
        <w:t xml:space="preserve">NKÚ </w:t>
      </w:r>
      <w:r w:rsidR="00BA468E" w:rsidRPr="00C30EAD">
        <w:rPr>
          <w:rFonts w:cs="Arial"/>
          <w:color w:val="000000"/>
          <w:lang w:eastAsia="cs-CZ"/>
        </w:rPr>
        <w:t>ověř</w:t>
      </w:r>
      <w:r w:rsidRPr="00C30EAD">
        <w:rPr>
          <w:rFonts w:cs="Arial"/>
          <w:color w:val="000000"/>
          <w:lang w:eastAsia="cs-CZ"/>
        </w:rPr>
        <w:t>it</w:t>
      </w:r>
      <w:r w:rsidR="00BA468E" w:rsidRPr="00C30EAD">
        <w:rPr>
          <w:rFonts w:cs="Arial"/>
          <w:color w:val="000000"/>
          <w:lang w:eastAsia="cs-CZ"/>
        </w:rPr>
        <w:t xml:space="preserve"> provedení primární kontroly, z jejíchž výsledků vzešly požadavky na doplnění a úpravy hodnocených projektových žádostí</w:t>
      </w:r>
      <w:r w:rsidR="00D47617" w:rsidRPr="00C30EAD">
        <w:rPr>
          <w:rFonts w:cs="Arial"/>
          <w:color w:val="000000"/>
          <w:lang w:eastAsia="cs-CZ"/>
        </w:rPr>
        <w:t xml:space="preserve"> ve všech výzvách</w:t>
      </w:r>
      <w:r w:rsidR="00BA468E" w:rsidRPr="00C30EAD">
        <w:rPr>
          <w:rFonts w:cs="Arial"/>
          <w:color w:val="000000"/>
          <w:lang w:eastAsia="cs-CZ"/>
        </w:rPr>
        <w:t>.</w:t>
      </w:r>
    </w:p>
    <w:p w14:paraId="321AB5D4" w14:textId="09073F74" w:rsidR="00BA468E" w:rsidRPr="00C30EAD" w:rsidRDefault="00BA468E" w:rsidP="007C008D">
      <w:pPr>
        <w:numPr>
          <w:ilvl w:val="0"/>
          <w:numId w:val="13"/>
        </w:numPr>
        <w:spacing w:line="23" w:lineRule="atLeast"/>
        <w:ind w:left="284" w:hanging="284"/>
        <w:rPr>
          <w:rFonts w:cs="Arial"/>
          <w:color w:val="000000"/>
          <w:lang w:eastAsia="cs-CZ"/>
        </w:rPr>
      </w:pPr>
      <w:r w:rsidRPr="00C30EAD">
        <w:rPr>
          <w:rFonts w:cs="Arial"/>
          <w:color w:val="000000"/>
          <w:lang w:eastAsia="cs-CZ"/>
        </w:rPr>
        <w:t>Obdobného pochybení</w:t>
      </w:r>
      <w:r w:rsidR="00D47617" w:rsidRPr="00C30EAD">
        <w:rPr>
          <w:rFonts w:cs="Arial"/>
          <w:color w:val="000000"/>
          <w:lang w:eastAsia="cs-CZ"/>
        </w:rPr>
        <w:t xml:space="preserve"> se </w:t>
      </w:r>
      <w:r w:rsidRPr="00C30EAD">
        <w:rPr>
          <w:rFonts w:cs="Arial"/>
          <w:color w:val="000000"/>
          <w:lang w:eastAsia="cs-CZ"/>
        </w:rPr>
        <w:t>MŠMT dopustilo tím, že ne</w:t>
      </w:r>
      <w:r w:rsidR="00213D3A" w:rsidRPr="00C30EAD">
        <w:rPr>
          <w:rFonts w:cs="Arial"/>
          <w:color w:val="000000"/>
          <w:lang w:eastAsia="cs-CZ"/>
        </w:rPr>
        <w:t>uchov</w:t>
      </w:r>
      <w:r w:rsidRPr="00C30EAD">
        <w:rPr>
          <w:rFonts w:cs="Arial"/>
          <w:color w:val="000000"/>
          <w:lang w:eastAsia="cs-CZ"/>
        </w:rPr>
        <w:t xml:space="preserve">alo všechny podklady k záznamu o hlasování jedné z výběrových komisí </w:t>
      </w:r>
      <w:r w:rsidR="00DE4763" w:rsidRPr="00C30EAD">
        <w:rPr>
          <w:rFonts w:cs="Arial"/>
          <w:i/>
          <w:color w:val="000000"/>
          <w:lang w:eastAsia="cs-CZ"/>
        </w:rPr>
        <w:t xml:space="preserve">Panel pro aplikace </w:t>
      </w:r>
      <w:r w:rsidR="00C10869">
        <w:rPr>
          <w:rFonts w:cs="Arial"/>
          <w:color w:val="000000"/>
          <w:lang w:eastAsia="cs-CZ"/>
        </w:rPr>
        <w:t>v </w:t>
      </w:r>
      <w:r w:rsidR="00000D81" w:rsidRPr="00C30EAD">
        <w:rPr>
          <w:rFonts w:cs="Arial"/>
          <w:color w:val="000000"/>
          <w:lang w:eastAsia="cs-CZ"/>
        </w:rPr>
        <w:t>první</w:t>
      </w:r>
      <w:r w:rsidRPr="00C30EAD">
        <w:rPr>
          <w:rFonts w:cs="Arial"/>
          <w:color w:val="000000"/>
          <w:lang w:eastAsia="cs-CZ"/>
        </w:rPr>
        <w:t xml:space="preserve"> výzvě </w:t>
      </w:r>
      <w:r w:rsidR="00000D81" w:rsidRPr="00C30EAD">
        <w:rPr>
          <w:rFonts w:cs="Arial"/>
          <w:color w:val="000000"/>
          <w:lang w:eastAsia="cs-CZ"/>
        </w:rPr>
        <w:t>pro prioritní osu 2.</w:t>
      </w:r>
    </w:p>
    <w:p w14:paraId="45BE6480" w14:textId="761A0DD1" w:rsidR="00C126B9" w:rsidRPr="00C30EAD" w:rsidRDefault="004E5D2C" w:rsidP="007C008D">
      <w:pPr>
        <w:numPr>
          <w:ilvl w:val="0"/>
          <w:numId w:val="13"/>
        </w:numPr>
        <w:spacing w:line="23" w:lineRule="atLeast"/>
        <w:ind w:left="284" w:hanging="284"/>
        <w:rPr>
          <w:rFonts w:cs="Arial"/>
          <w:color w:val="000000"/>
          <w:lang w:eastAsia="cs-CZ"/>
        </w:rPr>
      </w:pPr>
      <w:r w:rsidRPr="00C30EAD">
        <w:rPr>
          <w:rFonts w:cs="Arial"/>
          <w:color w:val="000000"/>
          <w:lang w:eastAsia="cs-CZ"/>
        </w:rPr>
        <w:t>V </w:t>
      </w:r>
      <w:r w:rsidR="000D764F" w:rsidRPr="00C30EAD">
        <w:rPr>
          <w:rFonts w:cs="Arial"/>
          <w:color w:val="000000"/>
          <w:lang w:eastAsia="cs-CZ"/>
        </w:rPr>
        <w:t>oblasti</w:t>
      </w:r>
      <w:r w:rsidRPr="00C30EAD">
        <w:rPr>
          <w:rFonts w:cs="Arial"/>
          <w:color w:val="000000"/>
          <w:lang w:eastAsia="cs-CZ"/>
        </w:rPr>
        <w:t xml:space="preserve"> věcného hodnocení u první výzvy pro prioritní osu 2 probíhala jednání mezi hodnotiteli a žadateli, která nebyla standardní součástí hodnot</w:t>
      </w:r>
      <w:r w:rsidR="00182B97">
        <w:rPr>
          <w:rFonts w:cs="Arial"/>
          <w:color w:val="000000"/>
          <w:lang w:eastAsia="cs-CZ"/>
        </w:rPr>
        <w:t>i</w:t>
      </w:r>
      <w:r w:rsidRPr="00C30EAD">
        <w:rPr>
          <w:rFonts w:cs="Arial"/>
          <w:color w:val="000000"/>
          <w:lang w:eastAsia="cs-CZ"/>
        </w:rPr>
        <w:t>cího procesu</w:t>
      </w:r>
      <w:r w:rsidR="000D764F" w:rsidRPr="00C30EAD">
        <w:rPr>
          <w:rFonts w:cs="Arial"/>
          <w:color w:val="000000"/>
          <w:lang w:eastAsia="cs-CZ"/>
        </w:rPr>
        <w:t>.</w:t>
      </w:r>
      <w:r w:rsidRPr="00C30EAD">
        <w:rPr>
          <w:rFonts w:cs="Arial"/>
          <w:color w:val="000000"/>
          <w:lang w:eastAsia="cs-CZ"/>
        </w:rPr>
        <w:t xml:space="preserve"> </w:t>
      </w:r>
      <w:r w:rsidR="000D764F" w:rsidRPr="00C30EAD">
        <w:rPr>
          <w:rFonts w:cs="Arial"/>
          <w:color w:val="000000"/>
          <w:lang w:eastAsia="cs-CZ"/>
        </w:rPr>
        <w:t xml:space="preserve">Z těchto jednání MŠMT nepořizovalo záznamy, ačkoliv v některých případech </w:t>
      </w:r>
      <w:r w:rsidR="00C10869">
        <w:rPr>
          <w:rFonts w:cs="Arial"/>
          <w:color w:val="000000"/>
          <w:lang w:eastAsia="cs-CZ"/>
        </w:rPr>
        <w:t>v </w:t>
      </w:r>
      <w:r w:rsidR="000D764F" w:rsidRPr="00C30EAD">
        <w:rPr>
          <w:rFonts w:cs="Arial"/>
          <w:color w:val="000000"/>
          <w:lang w:eastAsia="cs-CZ"/>
        </w:rPr>
        <w:t xml:space="preserve">důsledku </w:t>
      </w:r>
      <w:r w:rsidR="00182B97">
        <w:rPr>
          <w:rFonts w:cs="Arial"/>
          <w:color w:val="000000"/>
          <w:lang w:eastAsia="cs-CZ"/>
        </w:rPr>
        <w:t xml:space="preserve">zmíněných jednání </w:t>
      </w:r>
      <w:r w:rsidR="000D764F" w:rsidRPr="00C30EAD">
        <w:rPr>
          <w:rFonts w:cs="Arial"/>
          <w:color w:val="000000"/>
          <w:lang w:eastAsia="cs-CZ"/>
        </w:rPr>
        <w:t xml:space="preserve">docházelo ke změně posudku projektových žádostí. </w:t>
      </w:r>
      <w:r w:rsidR="00213D3A" w:rsidRPr="00C30EAD">
        <w:rPr>
          <w:rFonts w:cs="Arial"/>
          <w:color w:val="000000"/>
          <w:lang w:eastAsia="cs-CZ"/>
        </w:rPr>
        <w:t xml:space="preserve">V oblasti věcného hodnocení </w:t>
      </w:r>
      <w:r w:rsidR="000D764F" w:rsidRPr="00C30EAD">
        <w:rPr>
          <w:rFonts w:cs="Arial"/>
          <w:color w:val="000000"/>
          <w:lang w:eastAsia="cs-CZ"/>
        </w:rPr>
        <w:t xml:space="preserve">tak </w:t>
      </w:r>
      <w:r w:rsidR="00213D3A" w:rsidRPr="00C30EAD">
        <w:rPr>
          <w:rFonts w:cs="Arial"/>
          <w:color w:val="000000"/>
          <w:lang w:eastAsia="cs-CZ"/>
        </w:rPr>
        <w:t xml:space="preserve">MŠMT </w:t>
      </w:r>
      <w:r w:rsidR="00000D81" w:rsidRPr="00C30EAD">
        <w:rPr>
          <w:rFonts w:cs="Arial"/>
          <w:color w:val="000000"/>
          <w:lang w:eastAsia="cs-CZ"/>
        </w:rPr>
        <w:t xml:space="preserve">nezajistilo </w:t>
      </w:r>
      <w:r w:rsidR="00223A5C" w:rsidRPr="00C30EAD">
        <w:rPr>
          <w:rFonts w:cs="Arial"/>
          <w:color w:val="000000"/>
          <w:lang w:eastAsia="cs-CZ"/>
        </w:rPr>
        <w:t xml:space="preserve">transparentnost </w:t>
      </w:r>
      <w:r w:rsidR="00D133EB" w:rsidRPr="00C30EAD">
        <w:rPr>
          <w:rFonts w:cs="Arial"/>
          <w:color w:val="000000"/>
          <w:lang w:eastAsia="cs-CZ"/>
        </w:rPr>
        <w:t xml:space="preserve">jednoho </w:t>
      </w:r>
      <w:r w:rsidR="00C10869">
        <w:rPr>
          <w:rFonts w:cs="Arial"/>
          <w:color w:val="000000"/>
          <w:lang w:eastAsia="cs-CZ"/>
        </w:rPr>
        <w:t>z </w:t>
      </w:r>
      <w:r w:rsidR="00223A5C" w:rsidRPr="00C30EAD">
        <w:rPr>
          <w:rFonts w:cs="Arial"/>
          <w:color w:val="000000"/>
          <w:lang w:eastAsia="cs-CZ"/>
        </w:rPr>
        <w:t>kroků hodnocení</w:t>
      </w:r>
      <w:r w:rsidR="000D764F" w:rsidRPr="00C30EAD">
        <w:rPr>
          <w:rFonts w:cs="Arial"/>
          <w:color w:val="000000"/>
          <w:lang w:eastAsia="cs-CZ"/>
        </w:rPr>
        <w:t>.</w:t>
      </w:r>
    </w:p>
    <w:p w14:paraId="34225E37" w14:textId="77777777" w:rsidR="00FC13F3" w:rsidRPr="00C30EAD" w:rsidRDefault="00FC13F3" w:rsidP="007C008D">
      <w:pPr>
        <w:spacing w:line="23" w:lineRule="atLeast"/>
        <w:rPr>
          <w:rFonts w:cs="Arial"/>
          <w:color w:val="000000"/>
          <w:lang w:eastAsia="cs-CZ"/>
        </w:rPr>
      </w:pPr>
    </w:p>
    <w:p w14:paraId="2585240C" w14:textId="60911278" w:rsidR="00807DC5" w:rsidRPr="00C30EAD" w:rsidRDefault="00807DC5" w:rsidP="007C008D">
      <w:pPr>
        <w:spacing w:line="23" w:lineRule="atLeast"/>
        <w:rPr>
          <w:rFonts w:cs="Arial"/>
          <w:color w:val="000000"/>
          <w:lang w:eastAsia="cs-CZ"/>
        </w:rPr>
      </w:pPr>
      <w:r w:rsidRPr="00C30EAD">
        <w:rPr>
          <w:rFonts w:cs="Arial"/>
          <w:b/>
          <w:color w:val="000000"/>
          <w:lang w:eastAsia="cs-CZ"/>
        </w:rPr>
        <w:t xml:space="preserve">V procesu věcného hodnocení MŠMT </w:t>
      </w:r>
      <w:r w:rsidR="00C126B9" w:rsidRPr="00C30EAD">
        <w:rPr>
          <w:rFonts w:cs="Arial"/>
          <w:b/>
          <w:color w:val="000000"/>
          <w:lang w:eastAsia="cs-CZ"/>
        </w:rPr>
        <w:t>neza</w:t>
      </w:r>
      <w:r w:rsidR="000153BB" w:rsidRPr="00C30EAD">
        <w:rPr>
          <w:rFonts w:cs="Arial"/>
          <w:b/>
          <w:color w:val="000000"/>
          <w:lang w:eastAsia="cs-CZ"/>
        </w:rPr>
        <w:t>bezpečilo</w:t>
      </w:r>
      <w:r w:rsidR="00C126B9" w:rsidRPr="00C30EAD">
        <w:rPr>
          <w:rFonts w:cs="Arial"/>
          <w:b/>
          <w:color w:val="000000"/>
          <w:lang w:eastAsia="cs-CZ"/>
        </w:rPr>
        <w:t xml:space="preserve"> v</w:t>
      </w:r>
      <w:r w:rsidR="00000D81" w:rsidRPr="00C30EAD">
        <w:rPr>
          <w:rFonts w:cs="Arial"/>
          <w:b/>
          <w:color w:val="000000"/>
          <w:lang w:eastAsia="cs-CZ"/>
        </w:rPr>
        <w:t xml:space="preserve"> níže uvedených </w:t>
      </w:r>
      <w:r w:rsidR="00C126B9" w:rsidRPr="00C30EAD">
        <w:rPr>
          <w:rFonts w:cs="Arial"/>
          <w:b/>
          <w:color w:val="000000"/>
          <w:lang w:eastAsia="cs-CZ"/>
        </w:rPr>
        <w:t>případech hodnocení projekt</w:t>
      </w:r>
      <w:r w:rsidR="00D47617" w:rsidRPr="00C30EAD">
        <w:rPr>
          <w:rFonts w:cs="Arial"/>
          <w:b/>
          <w:color w:val="000000"/>
          <w:lang w:eastAsia="cs-CZ"/>
        </w:rPr>
        <w:t>ů</w:t>
      </w:r>
      <w:r w:rsidR="00C126B9" w:rsidRPr="00C30EAD">
        <w:rPr>
          <w:rFonts w:cs="Arial"/>
          <w:b/>
          <w:color w:val="000000"/>
          <w:lang w:eastAsia="cs-CZ"/>
        </w:rPr>
        <w:t xml:space="preserve"> v souladu s kritérii schválenými Monitorovacím výborem OP</w:t>
      </w:r>
      <w:r w:rsidR="007F1FB4">
        <w:rPr>
          <w:rFonts w:cs="Arial"/>
          <w:b/>
          <w:color w:val="000000"/>
          <w:lang w:eastAsia="cs-CZ"/>
        </w:rPr>
        <w:t> </w:t>
      </w:r>
      <w:r w:rsidR="00C126B9" w:rsidRPr="00C30EAD">
        <w:rPr>
          <w:rFonts w:cs="Arial"/>
          <w:b/>
          <w:color w:val="000000"/>
          <w:lang w:eastAsia="cs-CZ"/>
        </w:rPr>
        <w:t>VaVpI</w:t>
      </w:r>
      <w:r w:rsidR="00182B97">
        <w:rPr>
          <w:rFonts w:cs="Arial"/>
          <w:b/>
          <w:color w:val="000000"/>
          <w:lang w:eastAsia="cs-CZ"/>
        </w:rPr>
        <w:t>,</w:t>
      </w:r>
      <w:r w:rsidR="00C126B9" w:rsidRPr="00C30EAD">
        <w:rPr>
          <w:rFonts w:cs="Arial"/>
          <w:b/>
          <w:color w:val="000000"/>
          <w:lang w:eastAsia="cs-CZ"/>
        </w:rPr>
        <w:t xml:space="preserve"> a postupovalo tak v rozporu s evropským předpisem</w:t>
      </w:r>
      <w:r w:rsidR="00C126B9" w:rsidRPr="00C30EAD">
        <w:rPr>
          <w:rStyle w:val="Znakapoznpodarou"/>
          <w:rFonts w:cs="Arial"/>
          <w:color w:val="000000"/>
          <w:lang w:eastAsia="cs-CZ"/>
        </w:rPr>
        <w:footnoteReference w:id="13"/>
      </w:r>
      <w:r w:rsidR="00000D81" w:rsidRPr="00C30EAD">
        <w:rPr>
          <w:rFonts w:cs="Arial"/>
          <w:color w:val="000000"/>
          <w:lang w:eastAsia="cs-CZ"/>
        </w:rPr>
        <w:t>:</w:t>
      </w:r>
    </w:p>
    <w:p w14:paraId="7FC49F72" w14:textId="193D2774" w:rsidR="00D63091" w:rsidRPr="00C30EAD" w:rsidRDefault="00D63091" w:rsidP="007C008D">
      <w:pPr>
        <w:numPr>
          <w:ilvl w:val="0"/>
          <w:numId w:val="12"/>
        </w:numPr>
        <w:spacing w:line="23" w:lineRule="atLeast"/>
        <w:ind w:left="284" w:hanging="284"/>
        <w:rPr>
          <w:rFonts w:cs="Arial"/>
          <w:color w:val="000000"/>
          <w:lang w:eastAsia="cs-CZ"/>
        </w:rPr>
      </w:pPr>
      <w:r w:rsidRPr="00C30EAD">
        <w:rPr>
          <w:rFonts w:cs="Arial"/>
          <w:color w:val="000000"/>
          <w:lang w:eastAsia="cs-CZ"/>
        </w:rPr>
        <w:t xml:space="preserve">MŠMT udělilo podporu projektu </w:t>
      </w:r>
      <w:proofErr w:type="spellStart"/>
      <w:r w:rsidRPr="00C30EAD">
        <w:rPr>
          <w:rFonts w:cs="Arial"/>
          <w:i/>
          <w:color w:val="000000"/>
          <w:lang w:eastAsia="cs-CZ"/>
        </w:rPr>
        <w:t>HiLASE</w:t>
      </w:r>
      <w:proofErr w:type="spellEnd"/>
      <w:r w:rsidRPr="00C30EAD">
        <w:rPr>
          <w:rFonts w:cs="Arial"/>
          <w:i/>
          <w:color w:val="000000"/>
          <w:lang w:eastAsia="cs-CZ"/>
        </w:rPr>
        <w:t xml:space="preserve"> – Nové lasery pro průmysl a výzkum</w:t>
      </w:r>
      <w:r w:rsidR="00B901D5" w:rsidRPr="00C30EAD">
        <w:rPr>
          <w:rFonts w:cs="Arial"/>
          <w:color w:val="000000"/>
          <w:lang w:eastAsia="cs-CZ"/>
        </w:rPr>
        <w:t xml:space="preserve"> (dále jen „projekt HiLASE“)</w:t>
      </w:r>
      <w:r w:rsidRPr="00C30EAD">
        <w:rPr>
          <w:rFonts w:cs="Arial"/>
          <w:color w:val="000000"/>
          <w:lang w:eastAsia="cs-CZ"/>
        </w:rPr>
        <w:t xml:space="preserve">, který byl v rámci </w:t>
      </w:r>
      <w:r w:rsidR="00000D81" w:rsidRPr="00C30EAD">
        <w:rPr>
          <w:rFonts w:cs="Arial"/>
          <w:color w:val="000000"/>
          <w:lang w:eastAsia="cs-CZ"/>
        </w:rPr>
        <w:t xml:space="preserve">první </w:t>
      </w:r>
      <w:r w:rsidRPr="00C30EAD">
        <w:rPr>
          <w:rFonts w:cs="Arial"/>
          <w:color w:val="000000"/>
          <w:lang w:eastAsia="cs-CZ"/>
        </w:rPr>
        <w:t xml:space="preserve">výzvy </w:t>
      </w:r>
      <w:r w:rsidR="00000D81" w:rsidRPr="00C30EAD">
        <w:rPr>
          <w:rFonts w:cs="Arial"/>
          <w:color w:val="000000"/>
          <w:lang w:eastAsia="cs-CZ"/>
        </w:rPr>
        <w:t>pro prioritní osu 2</w:t>
      </w:r>
      <w:r w:rsidRPr="00C30EAD">
        <w:rPr>
          <w:rFonts w:cs="Arial"/>
          <w:color w:val="000000"/>
          <w:lang w:eastAsia="cs-CZ"/>
        </w:rPr>
        <w:t xml:space="preserve"> upřednostněn před jinými projekty</w:t>
      </w:r>
      <w:r w:rsidR="00000D81" w:rsidRPr="00C30EAD">
        <w:rPr>
          <w:rFonts w:cs="Arial"/>
          <w:color w:val="000000"/>
          <w:lang w:eastAsia="cs-CZ"/>
        </w:rPr>
        <w:t>. Projekt HiLASE</w:t>
      </w:r>
      <w:r w:rsidRPr="00C30EAD">
        <w:rPr>
          <w:rFonts w:cs="Arial"/>
          <w:color w:val="000000"/>
          <w:lang w:eastAsia="cs-CZ"/>
        </w:rPr>
        <w:t xml:space="preserve"> postoupil do fáze realizace </w:t>
      </w:r>
      <w:r w:rsidR="00182B97">
        <w:rPr>
          <w:rFonts w:cs="Arial"/>
          <w:color w:val="000000"/>
          <w:lang w:eastAsia="cs-CZ"/>
        </w:rPr>
        <w:t xml:space="preserve">i </w:t>
      </w:r>
      <w:r w:rsidRPr="00C30EAD">
        <w:rPr>
          <w:rFonts w:cs="Arial"/>
          <w:color w:val="000000"/>
          <w:lang w:eastAsia="cs-CZ"/>
        </w:rPr>
        <w:t xml:space="preserve">přesto, že přidělený počet </w:t>
      </w:r>
      <w:r w:rsidR="00950F44" w:rsidRPr="00C30EAD">
        <w:rPr>
          <w:rFonts w:cs="Arial"/>
          <w:color w:val="000000"/>
          <w:lang w:eastAsia="cs-CZ"/>
        </w:rPr>
        <w:t xml:space="preserve">dílčích </w:t>
      </w:r>
      <w:r w:rsidRPr="00C30EAD">
        <w:rPr>
          <w:rFonts w:cs="Arial"/>
          <w:color w:val="000000"/>
          <w:lang w:eastAsia="cs-CZ"/>
        </w:rPr>
        <w:t xml:space="preserve">bodů </w:t>
      </w:r>
      <w:r w:rsidR="00950F44" w:rsidRPr="00C30EAD">
        <w:rPr>
          <w:rFonts w:cs="Arial"/>
          <w:color w:val="000000"/>
          <w:lang w:eastAsia="cs-CZ"/>
        </w:rPr>
        <w:t xml:space="preserve">u některých aspektů </w:t>
      </w:r>
      <w:r w:rsidR="004D3952" w:rsidRPr="00C30EAD">
        <w:rPr>
          <w:rFonts w:cs="Arial"/>
          <w:color w:val="000000"/>
          <w:lang w:eastAsia="cs-CZ"/>
        </w:rPr>
        <w:t>nebyl v souladu s</w:t>
      </w:r>
      <w:r w:rsidR="00950F44" w:rsidRPr="00C30EAD">
        <w:rPr>
          <w:rFonts w:cs="Arial"/>
          <w:color w:val="000000"/>
          <w:lang w:eastAsia="cs-CZ"/>
        </w:rPr>
        <w:t xml:space="preserve"> jejich </w:t>
      </w:r>
      <w:r w:rsidR="002F4A29" w:rsidRPr="00C30EAD">
        <w:rPr>
          <w:rFonts w:cs="Arial"/>
          <w:color w:val="000000"/>
          <w:lang w:eastAsia="cs-CZ"/>
        </w:rPr>
        <w:t>slovním</w:t>
      </w:r>
      <w:r w:rsidRPr="00C30EAD">
        <w:rPr>
          <w:rFonts w:cs="Arial"/>
          <w:color w:val="000000"/>
          <w:lang w:eastAsia="cs-CZ"/>
        </w:rPr>
        <w:t xml:space="preserve"> hodnocení</w:t>
      </w:r>
      <w:r w:rsidR="004D3952" w:rsidRPr="00C30EAD">
        <w:rPr>
          <w:rFonts w:cs="Arial"/>
          <w:color w:val="000000"/>
          <w:lang w:eastAsia="cs-CZ"/>
        </w:rPr>
        <w:t>m</w:t>
      </w:r>
      <w:r w:rsidR="00182B97">
        <w:rPr>
          <w:rFonts w:cs="Arial"/>
          <w:color w:val="000000"/>
          <w:lang w:eastAsia="cs-CZ"/>
        </w:rPr>
        <w:t>,</w:t>
      </w:r>
      <w:r w:rsidRPr="00C30EAD">
        <w:rPr>
          <w:rFonts w:cs="Arial"/>
          <w:color w:val="000000"/>
          <w:lang w:eastAsia="cs-CZ"/>
        </w:rPr>
        <w:t xml:space="preserve"> a </w:t>
      </w:r>
      <w:r w:rsidR="00182B97">
        <w:rPr>
          <w:rFonts w:cs="Arial"/>
          <w:color w:val="000000"/>
          <w:lang w:eastAsia="cs-CZ"/>
        </w:rPr>
        <w:t>tedy</w:t>
      </w:r>
      <w:r w:rsidRPr="00C30EAD">
        <w:rPr>
          <w:rFonts w:cs="Arial"/>
          <w:color w:val="000000"/>
          <w:lang w:eastAsia="cs-CZ"/>
        </w:rPr>
        <w:t xml:space="preserve"> ani </w:t>
      </w:r>
      <w:r w:rsidR="00A22E2C" w:rsidRPr="00C30EAD">
        <w:rPr>
          <w:rFonts w:cs="Arial"/>
          <w:color w:val="000000"/>
          <w:lang w:eastAsia="cs-CZ"/>
        </w:rPr>
        <w:lastRenderedPageBreak/>
        <w:t xml:space="preserve">v souladu </w:t>
      </w:r>
      <w:r w:rsidR="00C10869">
        <w:rPr>
          <w:rFonts w:cs="Arial"/>
          <w:color w:val="000000"/>
          <w:lang w:eastAsia="cs-CZ"/>
        </w:rPr>
        <w:t>s </w:t>
      </w:r>
      <w:r w:rsidRPr="00C30EAD">
        <w:rPr>
          <w:rFonts w:cs="Arial"/>
          <w:color w:val="000000"/>
          <w:lang w:eastAsia="cs-CZ"/>
        </w:rPr>
        <w:t>definic</w:t>
      </w:r>
      <w:r w:rsidR="00A22E2C" w:rsidRPr="00C30EAD">
        <w:rPr>
          <w:rFonts w:cs="Arial"/>
          <w:color w:val="000000"/>
          <w:lang w:eastAsia="cs-CZ"/>
        </w:rPr>
        <w:t>í</w:t>
      </w:r>
      <w:r w:rsidRPr="00C30EAD">
        <w:rPr>
          <w:rFonts w:cs="Arial"/>
          <w:color w:val="000000"/>
          <w:lang w:eastAsia="cs-CZ"/>
        </w:rPr>
        <w:t xml:space="preserve"> na stanovené bodové stupnici</w:t>
      </w:r>
      <w:r w:rsidR="003521A2" w:rsidRPr="00C30EAD">
        <w:rPr>
          <w:rFonts w:cs="Arial"/>
          <w:color w:val="000000"/>
          <w:lang w:eastAsia="cs-CZ"/>
        </w:rPr>
        <w:t xml:space="preserve"> zveřejněné výzvou.</w:t>
      </w:r>
      <w:r w:rsidRPr="00C30EAD">
        <w:rPr>
          <w:rFonts w:cs="Arial"/>
          <w:color w:val="000000"/>
          <w:lang w:eastAsia="cs-CZ"/>
        </w:rPr>
        <w:t xml:space="preserve"> Připravenost </w:t>
      </w:r>
      <w:r w:rsidR="00E93E2E" w:rsidRPr="00C30EAD">
        <w:rPr>
          <w:rFonts w:cs="Arial"/>
          <w:color w:val="000000"/>
          <w:lang w:eastAsia="cs-CZ"/>
        </w:rPr>
        <w:t xml:space="preserve">vybraného </w:t>
      </w:r>
      <w:r w:rsidRPr="00C30EAD">
        <w:rPr>
          <w:rFonts w:cs="Arial"/>
          <w:color w:val="000000"/>
          <w:lang w:eastAsia="cs-CZ"/>
        </w:rPr>
        <w:t xml:space="preserve">projektu HiLASE, který jako strategicky významný </w:t>
      </w:r>
      <w:r w:rsidR="000D764F" w:rsidRPr="00C30EAD">
        <w:rPr>
          <w:rFonts w:cs="Arial"/>
          <w:color w:val="000000"/>
          <w:lang w:eastAsia="cs-CZ"/>
        </w:rPr>
        <w:t xml:space="preserve">v listopadu 2009 </w:t>
      </w:r>
      <w:r w:rsidRPr="00C30EAD">
        <w:rPr>
          <w:rFonts w:cs="Arial"/>
          <w:color w:val="000000"/>
          <w:lang w:eastAsia="cs-CZ"/>
        </w:rPr>
        <w:t>podpořila vláda</w:t>
      </w:r>
      <w:r w:rsidR="003521A2" w:rsidRPr="00C30EAD">
        <w:rPr>
          <w:rFonts w:cs="Arial"/>
          <w:color w:val="000000"/>
          <w:lang w:eastAsia="cs-CZ"/>
        </w:rPr>
        <w:t xml:space="preserve"> ČR </w:t>
      </w:r>
      <w:r w:rsidR="000D764F" w:rsidRPr="00C30EAD">
        <w:rPr>
          <w:rFonts w:cs="Arial"/>
          <w:color w:val="000000"/>
          <w:lang w:eastAsia="cs-CZ"/>
        </w:rPr>
        <w:t xml:space="preserve">svým </w:t>
      </w:r>
      <w:r w:rsidR="003521A2" w:rsidRPr="00C30EAD">
        <w:rPr>
          <w:rFonts w:cs="Arial"/>
          <w:color w:val="000000"/>
          <w:lang w:eastAsia="cs-CZ"/>
        </w:rPr>
        <w:t>usnesením</w:t>
      </w:r>
      <w:r w:rsidR="000D764F" w:rsidRPr="004C26FF">
        <w:rPr>
          <w:rStyle w:val="Znakapoznpodarou"/>
          <w:rFonts w:cs="Arial"/>
          <w:color w:val="000000"/>
          <w:lang w:eastAsia="cs-CZ"/>
        </w:rPr>
        <w:footnoteReference w:id="14"/>
      </w:r>
      <w:r w:rsidR="003521A2" w:rsidRPr="00C30EAD">
        <w:rPr>
          <w:rFonts w:cs="Arial"/>
          <w:color w:val="000000"/>
          <w:lang w:eastAsia="cs-CZ"/>
        </w:rPr>
        <w:t xml:space="preserve">, byla hodnocena po kvalitativní stránce jako slabá v kritériích, která se váží k posouzení naplnění cílů výzvy, </w:t>
      </w:r>
      <w:r w:rsidR="004B7941" w:rsidRPr="00C30EAD">
        <w:rPr>
          <w:rFonts w:cs="Arial"/>
          <w:color w:val="000000"/>
          <w:lang w:eastAsia="cs-CZ"/>
        </w:rPr>
        <w:t>tzn</w:t>
      </w:r>
      <w:r w:rsidR="003521A2" w:rsidRPr="00C30EAD">
        <w:rPr>
          <w:rFonts w:cs="Arial"/>
          <w:color w:val="000000"/>
          <w:lang w:eastAsia="cs-CZ"/>
        </w:rPr>
        <w:t>. k posouzení účelnosti projektu.</w:t>
      </w:r>
    </w:p>
    <w:p w14:paraId="3525D65F" w14:textId="77777777" w:rsidR="00223A5C" w:rsidRPr="00C30EAD" w:rsidRDefault="00D63091" w:rsidP="007C008D">
      <w:pPr>
        <w:numPr>
          <w:ilvl w:val="0"/>
          <w:numId w:val="12"/>
        </w:numPr>
        <w:spacing w:line="23" w:lineRule="atLeast"/>
        <w:ind w:left="284" w:hanging="284"/>
        <w:rPr>
          <w:rFonts w:cs="Arial"/>
          <w:color w:val="000000"/>
          <w:lang w:eastAsia="cs-CZ"/>
        </w:rPr>
      </w:pPr>
      <w:r w:rsidRPr="00C30EAD">
        <w:rPr>
          <w:rFonts w:cs="Arial"/>
          <w:color w:val="000000"/>
          <w:lang w:eastAsia="cs-CZ"/>
        </w:rPr>
        <w:t xml:space="preserve">U několika hodnotících posudků </w:t>
      </w:r>
      <w:r w:rsidR="007B1CFB" w:rsidRPr="00C30EAD">
        <w:rPr>
          <w:rFonts w:cs="Arial"/>
          <w:color w:val="000000"/>
          <w:lang w:eastAsia="cs-CZ"/>
        </w:rPr>
        <w:t xml:space="preserve">neodpovídalo </w:t>
      </w:r>
      <w:r w:rsidR="005B3001" w:rsidRPr="00C30EAD">
        <w:rPr>
          <w:rFonts w:cs="Arial"/>
          <w:color w:val="000000"/>
          <w:lang w:eastAsia="cs-CZ"/>
        </w:rPr>
        <w:t xml:space="preserve">negativní </w:t>
      </w:r>
      <w:r w:rsidR="007B1CFB" w:rsidRPr="00C30EAD">
        <w:rPr>
          <w:rFonts w:cs="Arial"/>
          <w:color w:val="000000"/>
          <w:lang w:eastAsia="cs-CZ"/>
        </w:rPr>
        <w:t xml:space="preserve">slovní hodnocení a výhrady </w:t>
      </w:r>
      <w:r w:rsidR="00E93E2E" w:rsidRPr="00C30EAD">
        <w:rPr>
          <w:rFonts w:cs="Arial"/>
          <w:color w:val="000000"/>
          <w:lang w:eastAsia="cs-CZ"/>
        </w:rPr>
        <w:t xml:space="preserve">v komentářích </w:t>
      </w:r>
      <w:r w:rsidR="007B1CFB" w:rsidRPr="00C30EAD">
        <w:rPr>
          <w:rFonts w:cs="Arial"/>
          <w:color w:val="000000"/>
          <w:lang w:eastAsia="cs-CZ"/>
        </w:rPr>
        <w:t>hodnotitelských komisí</w:t>
      </w:r>
      <w:r w:rsidR="005B3001" w:rsidRPr="00C30EAD">
        <w:rPr>
          <w:rFonts w:cs="Arial"/>
          <w:color w:val="000000"/>
          <w:lang w:eastAsia="cs-CZ"/>
        </w:rPr>
        <w:t xml:space="preserve"> zaznamenanému</w:t>
      </w:r>
      <w:r w:rsidR="007B1CFB" w:rsidRPr="00C30EAD">
        <w:rPr>
          <w:rFonts w:cs="Arial"/>
          <w:color w:val="000000"/>
          <w:lang w:eastAsia="cs-CZ"/>
        </w:rPr>
        <w:t xml:space="preserve"> výsledku „ANO“ </w:t>
      </w:r>
      <w:r w:rsidR="00E93E2E" w:rsidRPr="00C30EAD">
        <w:rPr>
          <w:rFonts w:cs="Arial"/>
          <w:color w:val="000000"/>
          <w:lang w:eastAsia="cs-CZ"/>
        </w:rPr>
        <w:t>u</w:t>
      </w:r>
      <w:r w:rsidR="009000CF" w:rsidRPr="00C30EAD">
        <w:rPr>
          <w:rFonts w:cs="Arial"/>
          <w:color w:val="000000"/>
          <w:lang w:eastAsia="cs-CZ"/>
        </w:rPr>
        <w:t> </w:t>
      </w:r>
      <w:r w:rsidR="007B1CFB" w:rsidRPr="00C30EAD">
        <w:rPr>
          <w:rFonts w:cs="Arial"/>
          <w:color w:val="000000"/>
          <w:lang w:eastAsia="cs-CZ"/>
        </w:rPr>
        <w:t xml:space="preserve">vylučovacích kritérií. Rozpory mezi výsledkem hodnocení a uvedenými komentáři byly zjištěny u </w:t>
      </w:r>
      <w:r w:rsidR="00D90DF2" w:rsidRPr="00C30EAD">
        <w:rPr>
          <w:rFonts w:cs="Arial"/>
          <w:color w:val="000000"/>
          <w:lang w:eastAsia="cs-CZ"/>
        </w:rPr>
        <w:t xml:space="preserve">tří </w:t>
      </w:r>
      <w:r w:rsidR="007B1CFB" w:rsidRPr="00C30EAD">
        <w:rPr>
          <w:rFonts w:cs="Arial"/>
          <w:color w:val="000000"/>
          <w:lang w:eastAsia="cs-CZ"/>
        </w:rPr>
        <w:t xml:space="preserve">projektů hodnocených v rámci prioritní osy 2. </w:t>
      </w:r>
    </w:p>
    <w:p w14:paraId="079DBB07" w14:textId="3BF4634D" w:rsidR="00B63AD5" w:rsidRPr="00C30EAD" w:rsidRDefault="00D63091" w:rsidP="007C008D">
      <w:pPr>
        <w:widowControl w:val="0"/>
        <w:numPr>
          <w:ilvl w:val="0"/>
          <w:numId w:val="12"/>
        </w:numPr>
        <w:spacing w:line="23" w:lineRule="atLeast"/>
        <w:ind w:left="284" w:hanging="284"/>
        <w:rPr>
          <w:rFonts w:cs="Arial"/>
          <w:color w:val="000000"/>
          <w:lang w:eastAsia="cs-CZ"/>
        </w:rPr>
      </w:pPr>
      <w:r w:rsidRPr="00C30EAD">
        <w:rPr>
          <w:rFonts w:cs="Arial"/>
          <w:color w:val="000000"/>
          <w:lang w:eastAsia="cs-CZ"/>
        </w:rPr>
        <w:t xml:space="preserve">V některých případech </w:t>
      </w:r>
      <w:r w:rsidR="00A8752A" w:rsidRPr="00C30EAD">
        <w:rPr>
          <w:rFonts w:cs="Arial"/>
          <w:color w:val="000000"/>
          <w:lang w:eastAsia="cs-CZ"/>
        </w:rPr>
        <w:t xml:space="preserve">nebylo možné, </w:t>
      </w:r>
      <w:r w:rsidRPr="00C30EAD">
        <w:rPr>
          <w:rFonts w:cs="Arial"/>
          <w:color w:val="000000"/>
          <w:lang w:eastAsia="cs-CZ"/>
        </w:rPr>
        <w:t>aby hodnotitelé posoudi</w:t>
      </w:r>
      <w:r w:rsidR="00A8752A" w:rsidRPr="00C30EAD">
        <w:rPr>
          <w:rFonts w:cs="Arial"/>
          <w:color w:val="000000"/>
          <w:lang w:eastAsia="cs-CZ"/>
        </w:rPr>
        <w:t>li</w:t>
      </w:r>
      <w:r w:rsidRPr="00C30EAD">
        <w:rPr>
          <w:rFonts w:cs="Arial"/>
          <w:color w:val="000000"/>
          <w:lang w:eastAsia="cs-CZ"/>
        </w:rPr>
        <w:t xml:space="preserve"> všechny aspekty projektového záměru z hlediska principu hospodárnosti</w:t>
      </w:r>
      <w:r w:rsidR="00B901D5" w:rsidRPr="00C30EAD">
        <w:rPr>
          <w:rFonts w:cs="Arial"/>
          <w:color w:val="000000"/>
          <w:lang w:eastAsia="cs-CZ"/>
        </w:rPr>
        <w:t xml:space="preserve"> nákladů</w:t>
      </w:r>
      <w:r w:rsidRPr="00C30EAD">
        <w:rPr>
          <w:rFonts w:cs="Arial"/>
          <w:color w:val="000000"/>
          <w:lang w:eastAsia="cs-CZ"/>
        </w:rPr>
        <w:t xml:space="preserve">, a to z důvodu neúplnosti podkladů doložených v projektové žádosti. Tento nedostatek se nejvýrazněji </w:t>
      </w:r>
      <w:r w:rsidR="000467BA" w:rsidRPr="00C30EAD">
        <w:rPr>
          <w:rFonts w:cs="Arial"/>
          <w:color w:val="000000"/>
          <w:lang w:eastAsia="cs-CZ"/>
        </w:rPr>
        <w:t xml:space="preserve">projevil </w:t>
      </w:r>
      <w:r w:rsidRPr="00C30EAD">
        <w:rPr>
          <w:rFonts w:cs="Arial"/>
          <w:color w:val="000000"/>
          <w:lang w:eastAsia="cs-CZ"/>
        </w:rPr>
        <w:t>u</w:t>
      </w:r>
      <w:r w:rsidR="007C008D">
        <w:rPr>
          <w:rFonts w:cs="Arial"/>
          <w:color w:val="000000"/>
          <w:lang w:eastAsia="cs-CZ"/>
        </w:rPr>
        <w:t> </w:t>
      </w:r>
      <w:r w:rsidRPr="00C30EAD">
        <w:rPr>
          <w:rFonts w:cs="Arial"/>
          <w:color w:val="000000"/>
          <w:lang w:eastAsia="cs-CZ"/>
        </w:rPr>
        <w:t>vylučovacího kritéria, kter</w:t>
      </w:r>
      <w:r w:rsidR="00B901D5" w:rsidRPr="00C30EAD">
        <w:rPr>
          <w:rFonts w:cs="Arial"/>
          <w:color w:val="000000"/>
          <w:lang w:eastAsia="cs-CZ"/>
        </w:rPr>
        <w:t>ým</w:t>
      </w:r>
      <w:r w:rsidRPr="00C30EAD">
        <w:rPr>
          <w:rFonts w:cs="Arial"/>
          <w:color w:val="000000"/>
          <w:lang w:eastAsia="cs-CZ"/>
        </w:rPr>
        <w:t xml:space="preserve"> </w:t>
      </w:r>
      <w:r w:rsidR="00B901D5" w:rsidRPr="00C30EAD">
        <w:rPr>
          <w:rFonts w:cs="Arial"/>
          <w:color w:val="000000"/>
          <w:lang w:eastAsia="cs-CZ"/>
        </w:rPr>
        <w:t>byl</w:t>
      </w:r>
      <w:r w:rsidR="00EC29CE">
        <w:rPr>
          <w:rFonts w:cs="Arial"/>
          <w:color w:val="000000"/>
          <w:lang w:eastAsia="cs-CZ"/>
        </w:rPr>
        <w:t>y</w:t>
      </w:r>
      <w:r w:rsidR="00B901D5" w:rsidRPr="00C30EAD">
        <w:rPr>
          <w:rFonts w:cs="Arial"/>
          <w:color w:val="000000"/>
          <w:lang w:eastAsia="cs-CZ"/>
        </w:rPr>
        <w:t xml:space="preserve"> </w:t>
      </w:r>
      <w:r w:rsidRPr="00C30EAD">
        <w:rPr>
          <w:rFonts w:cs="Arial"/>
          <w:color w:val="000000"/>
          <w:lang w:eastAsia="cs-CZ"/>
        </w:rPr>
        <w:t>posuzov</w:t>
      </w:r>
      <w:r w:rsidR="00B901D5" w:rsidRPr="00C30EAD">
        <w:rPr>
          <w:rFonts w:cs="Arial"/>
          <w:color w:val="000000"/>
          <w:lang w:eastAsia="cs-CZ"/>
        </w:rPr>
        <w:t>án</w:t>
      </w:r>
      <w:r w:rsidR="00EC29CE">
        <w:rPr>
          <w:rFonts w:cs="Arial"/>
          <w:color w:val="000000"/>
          <w:lang w:eastAsia="cs-CZ"/>
        </w:rPr>
        <w:t>y</w:t>
      </w:r>
      <w:r w:rsidRPr="00C30EAD">
        <w:rPr>
          <w:rFonts w:cs="Arial"/>
          <w:color w:val="000000"/>
          <w:lang w:eastAsia="cs-CZ"/>
        </w:rPr>
        <w:t xml:space="preserve"> specifikac</w:t>
      </w:r>
      <w:r w:rsidR="00B901D5" w:rsidRPr="00C30EAD">
        <w:rPr>
          <w:rFonts w:cs="Arial"/>
          <w:color w:val="000000"/>
          <w:lang w:eastAsia="cs-CZ"/>
        </w:rPr>
        <w:t>e</w:t>
      </w:r>
      <w:r w:rsidRPr="00C30EAD">
        <w:rPr>
          <w:rFonts w:cs="Arial"/>
          <w:color w:val="000000"/>
          <w:lang w:eastAsia="cs-CZ"/>
        </w:rPr>
        <w:t xml:space="preserve">, zdůvodnění a časový harmonogram pořizování technického a přístrojového vybavení, popř. stavebních nákladů, tj. nejvýznamnějších </w:t>
      </w:r>
      <w:r w:rsidR="009B211D" w:rsidRPr="00C30EAD">
        <w:rPr>
          <w:rFonts w:cs="Arial"/>
          <w:color w:val="000000"/>
          <w:lang w:eastAsia="cs-CZ"/>
        </w:rPr>
        <w:t xml:space="preserve">investičních </w:t>
      </w:r>
      <w:r w:rsidRPr="00C30EAD">
        <w:rPr>
          <w:rFonts w:cs="Arial"/>
          <w:color w:val="000000"/>
          <w:lang w:eastAsia="cs-CZ"/>
        </w:rPr>
        <w:t>položek rozpočtu projektu.</w:t>
      </w:r>
    </w:p>
    <w:p w14:paraId="491CBE14" w14:textId="77777777" w:rsidR="00D63091" w:rsidRPr="00C30EAD" w:rsidRDefault="00D63091" w:rsidP="007C008D">
      <w:pPr>
        <w:spacing w:line="23" w:lineRule="atLeast"/>
        <w:rPr>
          <w:rFonts w:cs="Arial"/>
          <w:color w:val="000000"/>
          <w:lang w:eastAsia="cs-CZ"/>
        </w:rPr>
      </w:pPr>
    </w:p>
    <w:p w14:paraId="6EB4EA7E" w14:textId="4CA1EEAF" w:rsidR="009A5744" w:rsidRPr="00C30EAD" w:rsidRDefault="003521A2" w:rsidP="007C008D">
      <w:pPr>
        <w:spacing w:line="23" w:lineRule="atLeast"/>
        <w:rPr>
          <w:rFonts w:cs="Arial"/>
          <w:szCs w:val="22"/>
        </w:rPr>
      </w:pPr>
      <w:r w:rsidRPr="00C30EAD">
        <w:rPr>
          <w:rFonts w:cs="Arial"/>
          <w:b/>
          <w:color w:val="000000"/>
          <w:lang w:eastAsia="cs-CZ"/>
        </w:rPr>
        <w:t xml:space="preserve">MŠMT jako řídicí orgán </w:t>
      </w:r>
      <w:r w:rsidR="00A22E2C" w:rsidRPr="00C30EAD">
        <w:rPr>
          <w:rFonts w:cs="Arial"/>
          <w:b/>
          <w:color w:val="000000"/>
          <w:lang w:eastAsia="cs-CZ"/>
        </w:rPr>
        <w:t xml:space="preserve">schválilo již </w:t>
      </w:r>
      <w:r w:rsidRPr="00C30EAD">
        <w:rPr>
          <w:rFonts w:cs="Arial"/>
          <w:b/>
          <w:color w:val="000000"/>
          <w:lang w:eastAsia="cs-CZ"/>
        </w:rPr>
        <w:t xml:space="preserve">ve fázi hodnocení a výběru projektů </w:t>
      </w:r>
      <w:r w:rsidR="00AB72BA" w:rsidRPr="00C30EAD">
        <w:rPr>
          <w:rFonts w:cs="Arial"/>
          <w:b/>
          <w:color w:val="000000"/>
          <w:lang w:eastAsia="cs-CZ"/>
        </w:rPr>
        <w:t xml:space="preserve">před vydáním právního aktu o poskytnutí dotace </w:t>
      </w:r>
      <w:r w:rsidR="00A22E2C" w:rsidRPr="00C30EAD">
        <w:rPr>
          <w:rFonts w:cs="Arial"/>
          <w:b/>
          <w:color w:val="000000"/>
          <w:lang w:eastAsia="cs-CZ"/>
        </w:rPr>
        <w:t>výjimk</w:t>
      </w:r>
      <w:r w:rsidR="00D90DF2" w:rsidRPr="00C30EAD">
        <w:rPr>
          <w:rFonts w:cs="Arial"/>
          <w:b/>
          <w:color w:val="000000"/>
          <w:lang w:eastAsia="cs-CZ"/>
        </w:rPr>
        <w:t>y</w:t>
      </w:r>
      <w:r w:rsidR="00A22E2C" w:rsidRPr="00C30EAD">
        <w:rPr>
          <w:rFonts w:cs="Arial"/>
          <w:b/>
          <w:color w:val="000000"/>
          <w:lang w:eastAsia="cs-CZ"/>
        </w:rPr>
        <w:t xml:space="preserve"> </w:t>
      </w:r>
      <w:r w:rsidR="00C10869">
        <w:rPr>
          <w:rFonts w:cs="Arial"/>
          <w:b/>
          <w:color w:val="000000"/>
          <w:lang w:eastAsia="cs-CZ"/>
        </w:rPr>
        <w:t>z </w:t>
      </w:r>
      <w:r w:rsidRPr="00C30EAD">
        <w:rPr>
          <w:rFonts w:cs="Arial"/>
          <w:b/>
          <w:color w:val="000000"/>
          <w:lang w:eastAsia="cs-CZ"/>
        </w:rPr>
        <w:t>pravidel a postupů OP VaVpI, které s</w:t>
      </w:r>
      <w:r w:rsidR="003B4012" w:rsidRPr="00C30EAD">
        <w:rPr>
          <w:rFonts w:cs="Arial"/>
          <w:b/>
          <w:color w:val="000000"/>
          <w:lang w:eastAsia="cs-CZ"/>
        </w:rPr>
        <w:t>a</w:t>
      </w:r>
      <w:r w:rsidRPr="00C30EAD">
        <w:rPr>
          <w:rFonts w:cs="Arial"/>
          <w:b/>
          <w:color w:val="000000"/>
          <w:lang w:eastAsia="cs-CZ"/>
        </w:rPr>
        <w:t>m</w:t>
      </w:r>
      <w:r w:rsidR="003B4012" w:rsidRPr="00C30EAD">
        <w:rPr>
          <w:rFonts w:cs="Arial"/>
          <w:b/>
          <w:color w:val="000000"/>
          <w:lang w:eastAsia="cs-CZ"/>
        </w:rPr>
        <w:t>o</w:t>
      </w:r>
      <w:r w:rsidRPr="00C30EAD">
        <w:rPr>
          <w:rFonts w:cs="Arial"/>
          <w:b/>
          <w:color w:val="000000"/>
          <w:lang w:eastAsia="cs-CZ"/>
        </w:rPr>
        <w:t xml:space="preserve"> stanovil</w:t>
      </w:r>
      <w:r w:rsidR="003B4012" w:rsidRPr="00C30EAD">
        <w:rPr>
          <w:rFonts w:cs="Arial"/>
          <w:b/>
          <w:color w:val="000000"/>
          <w:lang w:eastAsia="cs-CZ"/>
        </w:rPr>
        <w:t>o</w:t>
      </w:r>
      <w:r w:rsidRPr="009D0852">
        <w:rPr>
          <w:rFonts w:cs="Arial"/>
          <w:b/>
          <w:color w:val="000000"/>
          <w:lang w:eastAsia="cs-CZ"/>
        </w:rPr>
        <w:t>.</w:t>
      </w:r>
      <w:r w:rsidRPr="00C30EAD">
        <w:rPr>
          <w:rFonts w:cs="Arial"/>
          <w:color w:val="000000"/>
          <w:lang w:eastAsia="cs-CZ"/>
        </w:rPr>
        <w:t xml:space="preserve"> </w:t>
      </w:r>
      <w:r w:rsidR="000B2D31" w:rsidRPr="00C30EAD">
        <w:rPr>
          <w:rFonts w:cs="Arial"/>
          <w:color w:val="000000"/>
          <w:lang w:eastAsia="cs-CZ"/>
        </w:rPr>
        <w:t>Jedn</w:t>
      </w:r>
      <w:r w:rsidR="003B4012" w:rsidRPr="00C30EAD">
        <w:rPr>
          <w:rFonts w:cs="Arial"/>
          <w:color w:val="000000"/>
          <w:lang w:eastAsia="cs-CZ"/>
        </w:rPr>
        <w:t>alo</w:t>
      </w:r>
      <w:r w:rsidR="000B2D31" w:rsidRPr="00C30EAD">
        <w:rPr>
          <w:rFonts w:cs="Arial"/>
          <w:color w:val="000000"/>
          <w:lang w:eastAsia="cs-CZ"/>
        </w:rPr>
        <w:t xml:space="preserve"> se např. o udělení výjimky z pravidel územní způsobilosti</w:t>
      </w:r>
      <w:r w:rsidR="00BD0B54" w:rsidRPr="00C30EAD">
        <w:rPr>
          <w:rFonts w:cs="Arial"/>
          <w:color w:val="000000"/>
          <w:lang w:eastAsia="cs-CZ"/>
        </w:rPr>
        <w:t xml:space="preserve"> (uznání způsobilosti výdajů vznikajících v regionu mimo cíl </w:t>
      </w:r>
      <w:r w:rsidR="00BD0B54" w:rsidRPr="009D0852">
        <w:rPr>
          <w:rFonts w:cs="Arial"/>
          <w:i/>
          <w:color w:val="000000"/>
          <w:lang w:eastAsia="cs-CZ"/>
        </w:rPr>
        <w:t>Konvergence</w:t>
      </w:r>
      <w:r w:rsidR="00BD0B54" w:rsidRPr="00C30EAD">
        <w:rPr>
          <w:rFonts w:cs="Arial"/>
          <w:color w:val="000000"/>
          <w:lang w:eastAsia="cs-CZ"/>
        </w:rPr>
        <w:t>)</w:t>
      </w:r>
      <w:r w:rsidR="000B2D31" w:rsidRPr="00C30EAD">
        <w:rPr>
          <w:rFonts w:cs="Arial"/>
          <w:color w:val="000000"/>
          <w:lang w:eastAsia="cs-CZ"/>
        </w:rPr>
        <w:t xml:space="preserve"> </w:t>
      </w:r>
      <w:r w:rsidR="00BD0B54" w:rsidRPr="00C30EAD">
        <w:rPr>
          <w:rFonts w:cs="Arial"/>
          <w:color w:val="000000"/>
          <w:lang w:eastAsia="cs-CZ"/>
        </w:rPr>
        <w:t xml:space="preserve">a udělení výjimky z pravidel způsobilosti vztahujících se k plnění ze strany ekonomicky propojeného subjektu (nákup nemovitostí od majetkově propojené </w:t>
      </w:r>
      <w:r w:rsidR="003B4012" w:rsidRPr="00C30EAD">
        <w:rPr>
          <w:rFonts w:cs="Arial"/>
          <w:color w:val="000000"/>
          <w:lang w:eastAsia="cs-CZ"/>
        </w:rPr>
        <w:t>instituce</w:t>
      </w:r>
      <w:r w:rsidR="00BD0B54" w:rsidRPr="00C30EAD">
        <w:rPr>
          <w:rFonts w:cs="Arial"/>
          <w:color w:val="000000"/>
          <w:lang w:eastAsia="cs-CZ"/>
        </w:rPr>
        <w:t xml:space="preserve">). </w:t>
      </w:r>
      <w:r w:rsidR="00D90DF2" w:rsidRPr="00C30EAD">
        <w:rPr>
          <w:rFonts w:cs="Arial"/>
          <w:color w:val="000000"/>
          <w:lang w:eastAsia="cs-CZ"/>
        </w:rPr>
        <w:t>S</w:t>
      </w:r>
      <w:r w:rsidRPr="00C30EAD">
        <w:rPr>
          <w:rFonts w:cs="Arial"/>
          <w:color w:val="000000"/>
          <w:lang w:eastAsia="cs-CZ"/>
        </w:rPr>
        <w:t>ystém</w:t>
      </w:r>
      <w:r w:rsidR="00D90DF2" w:rsidRPr="00C30EAD">
        <w:rPr>
          <w:rFonts w:cs="Arial"/>
          <w:color w:val="000000"/>
          <w:lang w:eastAsia="cs-CZ"/>
        </w:rPr>
        <w:t xml:space="preserve"> nastavený </w:t>
      </w:r>
      <w:r w:rsidR="00C10869">
        <w:rPr>
          <w:rFonts w:cs="Arial"/>
          <w:color w:val="000000"/>
          <w:lang w:eastAsia="cs-CZ"/>
        </w:rPr>
        <w:t>v </w:t>
      </w:r>
      <w:r w:rsidR="003B4012" w:rsidRPr="00C30EAD">
        <w:rPr>
          <w:rFonts w:cs="Arial"/>
          <w:color w:val="000000"/>
          <w:lang w:eastAsia="cs-CZ"/>
        </w:rPr>
        <w:t xml:space="preserve">OP VaVpI </w:t>
      </w:r>
      <w:r w:rsidRPr="00C30EAD">
        <w:rPr>
          <w:rFonts w:cs="Arial"/>
          <w:color w:val="000000"/>
          <w:lang w:eastAsia="cs-CZ"/>
        </w:rPr>
        <w:t>umožňuje schvalování výjimek žadatel</w:t>
      </w:r>
      <w:r w:rsidR="00950F44" w:rsidRPr="00C30EAD">
        <w:rPr>
          <w:rFonts w:cs="Arial"/>
          <w:color w:val="000000"/>
          <w:lang w:eastAsia="cs-CZ"/>
        </w:rPr>
        <w:t>ům a příjemcům</w:t>
      </w:r>
      <w:r w:rsidR="00D90DF2" w:rsidRPr="00C30EAD">
        <w:rPr>
          <w:rFonts w:cs="Arial"/>
          <w:color w:val="000000"/>
          <w:lang w:eastAsia="cs-CZ"/>
        </w:rPr>
        <w:t>.</w:t>
      </w:r>
      <w:r w:rsidR="00950F44" w:rsidRPr="00C30EAD">
        <w:rPr>
          <w:rFonts w:cs="Arial"/>
          <w:color w:val="000000"/>
          <w:lang w:eastAsia="cs-CZ"/>
        </w:rPr>
        <w:t xml:space="preserve"> </w:t>
      </w:r>
      <w:r w:rsidR="00D90DF2" w:rsidRPr="00C30EAD">
        <w:rPr>
          <w:rFonts w:cs="Arial"/>
          <w:color w:val="000000"/>
          <w:lang w:eastAsia="cs-CZ"/>
        </w:rPr>
        <w:t>Použitá f</w:t>
      </w:r>
      <w:r w:rsidR="003B4012" w:rsidRPr="00C30EAD">
        <w:rPr>
          <w:rFonts w:cs="Arial"/>
          <w:color w:val="000000"/>
          <w:lang w:eastAsia="cs-CZ"/>
        </w:rPr>
        <w:t xml:space="preserve">ormulace </w:t>
      </w:r>
      <w:r w:rsidR="003B4012" w:rsidRPr="009D0852">
        <w:rPr>
          <w:rFonts w:cs="Arial"/>
          <w:color w:val="000000"/>
          <w:lang w:eastAsia="cs-CZ"/>
        </w:rPr>
        <w:t>„</w:t>
      </w:r>
      <w:r w:rsidR="003B4012" w:rsidRPr="00C30EAD">
        <w:rPr>
          <w:rFonts w:cs="Arial"/>
          <w:i/>
          <w:color w:val="000000"/>
          <w:lang w:eastAsia="cs-CZ"/>
        </w:rPr>
        <w:t xml:space="preserve">pokud </w:t>
      </w:r>
      <w:proofErr w:type="spellStart"/>
      <w:r w:rsidR="003B4012" w:rsidRPr="00C30EAD">
        <w:rPr>
          <w:rFonts w:cs="Arial"/>
          <w:i/>
          <w:color w:val="000000"/>
          <w:lang w:eastAsia="cs-CZ"/>
        </w:rPr>
        <w:t>ŘO</w:t>
      </w:r>
      <w:proofErr w:type="spellEnd"/>
      <w:r w:rsidR="003B4012" w:rsidRPr="00C30EAD">
        <w:rPr>
          <w:rFonts w:cs="Arial"/>
          <w:i/>
          <w:color w:val="000000"/>
          <w:lang w:eastAsia="cs-CZ"/>
        </w:rPr>
        <w:t xml:space="preserve"> OP </w:t>
      </w:r>
      <w:proofErr w:type="spellStart"/>
      <w:r w:rsidR="003B4012" w:rsidRPr="00C30EAD">
        <w:rPr>
          <w:rFonts w:cs="Arial"/>
          <w:i/>
          <w:color w:val="000000"/>
          <w:lang w:eastAsia="cs-CZ"/>
        </w:rPr>
        <w:t>VaVpI</w:t>
      </w:r>
      <w:proofErr w:type="spellEnd"/>
      <w:r w:rsidR="003B4012" w:rsidRPr="00C30EAD">
        <w:rPr>
          <w:rFonts w:cs="Arial"/>
          <w:i/>
          <w:color w:val="000000"/>
          <w:lang w:eastAsia="cs-CZ"/>
        </w:rPr>
        <w:t xml:space="preserve"> výslovně nerozhodne jinak</w:t>
      </w:r>
      <w:r w:rsidR="003B4012" w:rsidRPr="009D0852">
        <w:rPr>
          <w:rFonts w:cs="Arial"/>
          <w:color w:val="000000"/>
          <w:lang w:eastAsia="cs-CZ"/>
        </w:rPr>
        <w:t>“</w:t>
      </w:r>
      <w:r w:rsidR="00D90DF2" w:rsidRPr="00C30EAD">
        <w:rPr>
          <w:rFonts w:cs="Arial"/>
          <w:i/>
          <w:color w:val="000000"/>
          <w:lang w:eastAsia="cs-CZ"/>
        </w:rPr>
        <w:t xml:space="preserve"> </w:t>
      </w:r>
      <w:r w:rsidR="00D90DF2" w:rsidRPr="00C30EAD">
        <w:rPr>
          <w:rFonts w:cs="Arial"/>
          <w:color w:val="000000"/>
          <w:lang w:eastAsia="cs-CZ"/>
        </w:rPr>
        <w:t xml:space="preserve">dává prostor </w:t>
      </w:r>
      <w:r w:rsidR="00C10869">
        <w:rPr>
          <w:rFonts w:cs="Arial"/>
          <w:color w:val="000000"/>
          <w:lang w:eastAsia="cs-CZ"/>
        </w:rPr>
        <w:t>k </w:t>
      </w:r>
      <w:r w:rsidR="00D90DF2" w:rsidRPr="00C30EAD">
        <w:rPr>
          <w:rFonts w:cs="Arial"/>
          <w:color w:val="000000"/>
          <w:lang w:eastAsia="cs-CZ"/>
        </w:rPr>
        <w:t>prolamování</w:t>
      </w:r>
      <w:r w:rsidR="00E93E2E" w:rsidRPr="00C30EAD">
        <w:rPr>
          <w:rFonts w:cs="Arial"/>
          <w:color w:val="000000"/>
          <w:lang w:eastAsia="cs-CZ"/>
        </w:rPr>
        <w:t xml:space="preserve"> stanoven</w:t>
      </w:r>
      <w:r w:rsidR="00D90DF2" w:rsidRPr="00C30EAD">
        <w:rPr>
          <w:rFonts w:cs="Arial"/>
          <w:color w:val="000000"/>
          <w:lang w:eastAsia="cs-CZ"/>
        </w:rPr>
        <w:t>ých</w:t>
      </w:r>
      <w:r w:rsidR="00E93E2E" w:rsidRPr="00C30EAD">
        <w:rPr>
          <w:rFonts w:cs="Arial"/>
          <w:color w:val="000000"/>
          <w:lang w:eastAsia="cs-CZ"/>
        </w:rPr>
        <w:t xml:space="preserve"> pravid</w:t>
      </w:r>
      <w:r w:rsidR="00D90DF2" w:rsidRPr="00C30EAD">
        <w:rPr>
          <w:rFonts w:cs="Arial"/>
          <w:color w:val="000000"/>
          <w:lang w:eastAsia="cs-CZ"/>
        </w:rPr>
        <w:t>e</w:t>
      </w:r>
      <w:r w:rsidR="00E93E2E" w:rsidRPr="00C30EAD">
        <w:rPr>
          <w:rFonts w:cs="Arial"/>
          <w:color w:val="000000"/>
          <w:lang w:eastAsia="cs-CZ"/>
        </w:rPr>
        <w:t>l</w:t>
      </w:r>
      <w:r w:rsidR="003B4012" w:rsidRPr="00C30EAD">
        <w:rPr>
          <w:rFonts w:cs="Arial"/>
          <w:i/>
          <w:color w:val="000000"/>
          <w:lang w:eastAsia="cs-CZ"/>
        </w:rPr>
        <w:t xml:space="preserve">. </w:t>
      </w:r>
      <w:r w:rsidR="003B4012" w:rsidRPr="00C30EAD">
        <w:rPr>
          <w:rFonts w:cs="Arial"/>
          <w:color w:val="000000"/>
          <w:lang w:eastAsia="cs-CZ"/>
        </w:rPr>
        <w:t>Udělování</w:t>
      </w:r>
      <w:r w:rsidR="00893771">
        <w:rPr>
          <w:rFonts w:cs="Arial"/>
          <w:color w:val="000000"/>
          <w:lang w:eastAsia="cs-CZ"/>
        </w:rPr>
        <w:t>m</w:t>
      </w:r>
      <w:r w:rsidR="003B4012" w:rsidRPr="00C30EAD">
        <w:rPr>
          <w:rFonts w:cs="Arial"/>
          <w:color w:val="000000"/>
          <w:lang w:eastAsia="cs-CZ"/>
        </w:rPr>
        <w:t xml:space="preserve"> v</w:t>
      </w:r>
      <w:r w:rsidRPr="00C30EAD">
        <w:rPr>
          <w:rFonts w:cs="Arial"/>
          <w:color w:val="000000"/>
          <w:lang w:eastAsia="cs-CZ"/>
        </w:rPr>
        <w:t>ýjim</w:t>
      </w:r>
      <w:r w:rsidR="003B4012" w:rsidRPr="00C30EAD">
        <w:rPr>
          <w:rFonts w:cs="Arial"/>
          <w:color w:val="000000"/>
          <w:lang w:eastAsia="cs-CZ"/>
        </w:rPr>
        <w:t>e</w:t>
      </w:r>
      <w:r w:rsidRPr="00C30EAD">
        <w:rPr>
          <w:rFonts w:cs="Arial"/>
          <w:color w:val="000000"/>
          <w:lang w:eastAsia="cs-CZ"/>
        </w:rPr>
        <w:t xml:space="preserve">k </w:t>
      </w:r>
      <w:r w:rsidR="00C52316" w:rsidRPr="00C30EAD">
        <w:rPr>
          <w:rFonts w:cs="Arial"/>
          <w:color w:val="000000"/>
          <w:lang w:eastAsia="cs-CZ"/>
        </w:rPr>
        <w:t>formou</w:t>
      </w:r>
      <w:r w:rsidR="003B4012" w:rsidRPr="00C30EAD">
        <w:rPr>
          <w:rFonts w:cs="Arial"/>
          <w:color w:val="000000"/>
          <w:lang w:eastAsia="cs-CZ"/>
        </w:rPr>
        <w:t xml:space="preserve"> </w:t>
      </w:r>
      <w:r w:rsidRPr="00C30EAD">
        <w:rPr>
          <w:rFonts w:cs="Arial"/>
          <w:color w:val="000000"/>
          <w:lang w:eastAsia="cs-CZ"/>
        </w:rPr>
        <w:t>individuální</w:t>
      </w:r>
      <w:r w:rsidR="00C52316" w:rsidRPr="00C30EAD">
        <w:rPr>
          <w:rFonts w:cs="Arial"/>
          <w:color w:val="000000"/>
          <w:lang w:eastAsia="cs-CZ"/>
        </w:rPr>
        <w:t>ch</w:t>
      </w:r>
      <w:r w:rsidRPr="00C30EAD">
        <w:rPr>
          <w:rFonts w:cs="Arial"/>
          <w:color w:val="000000"/>
          <w:lang w:eastAsia="cs-CZ"/>
        </w:rPr>
        <w:t xml:space="preserve"> akt</w:t>
      </w:r>
      <w:r w:rsidR="00C52316" w:rsidRPr="00C30EAD">
        <w:rPr>
          <w:rFonts w:cs="Arial"/>
          <w:color w:val="000000"/>
          <w:lang w:eastAsia="cs-CZ"/>
        </w:rPr>
        <w:t xml:space="preserve">ů </w:t>
      </w:r>
      <w:r w:rsidR="00893771" w:rsidRPr="00C30EAD">
        <w:rPr>
          <w:rFonts w:cs="Arial"/>
          <w:color w:val="000000"/>
          <w:lang w:eastAsia="cs-CZ"/>
        </w:rPr>
        <w:t xml:space="preserve">vytvořil </w:t>
      </w:r>
      <w:r w:rsidR="00C52316" w:rsidRPr="00C30EAD">
        <w:rPr>
          <w:rFonts w:cs="Arial"/>
          <w:color w:val="000000"/>
          <w:lang w:eastAsia="cs-CZ"/>
        </w:rPr>
        <w:t>řídicí orgán</w:t>
      </w:r>
      <w:r w:rsidRPr="00C30EAD">
        <w:rPr>
          <w:rFonts w:cs="Arial"/>
          <w:color w:val="000000"/>
          <w:lang w:eastAsia="cs-CZ"/>
        </w:rPr>
        <w:t xml:space="preserve"> rizik</w:t>
      </w:r>
      <w:r w:rsidR="00C52316" w:rsidRPr="00C30EAD">
        <w:rPr>
          <w:rFonts w:cs="Arial"/>
          <w:color w:val="000000"/>
          <w:lang w:eastAsia="cs-CZ"/>
        </w:rPr>
        <w:t>o</w:t>
      </w:r>
      <w:r w:rsidRPr="00C30EAD">
        <w:rPr>
          <w:rFonts w:cs="Arial"/>
          <w:color w:val="000000"/>
          <w:lang w:eastAsia="cs-CZ"/>
        </w:rPr>
        <w:t xml:space="preserve"> nerovnosti a </w:t>
      </w:r>
      <w:r w:rsidR="00E93E2E" w:rsidRPr="00C30EAD">
        <w:rPr>
          <w:rFonts w:cs="Arial"/>
          <w:color w:val="000000"/>
          <w:lang w:eastAsia="cs-CZ"/>
        </w:rPr>
        <w:t>rizik</w:t>
      </w:r>
      <w:r w:rsidR="00C52316" w:rsidRPr="00C30EAD">
        <w:rPr>
          <w:rFonts w:cs="Arial"/>
          <w:color w:val="000000"/>
          <w:lang w:eastAsia="cs-CZ"/>
        </w:rPr>
        <w:t>o</w:t>
      </w:r>
      <w:r w:rsidR="00E93E2E" w:rsidRPr="00C30EAD">
        <w:rPr>
          <w:rFonts w:cs="Arial"/>
          <w:color w:val="000000"/>
          <w:lang w:eastAsia="cs-CZ"/>
        </w:rPr>
        <w:t xml:space="preserve"> vzniku </w:t>
      </w:r>
      <w:r w:rsidRPr="00C30EAD">
        <w:rPr>
          <w:rFonts w:cs="Arial"/>
          <w:color w:val="000000"/>
          <w:lang w:eastAsia="cs-CZ"/>
        </w:rPr>
        <w:t>korupčního prostředí.</w:t>
      </w:r>
    </w:p>
    <w:p w14:paraId="2D94CCD3" w14:textId="77777777" w:rsidR="004D3952" w:rsidRPr="004C26FF" w:rsidRDefault="004D3952" w:rsidP="007C008D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</w:p>
    <w:p w14:paraId="40828774" w14:textId="77777777" w:rsidR="0087261A" w:rsidRDefault="008C5412" w:rsidP="00893771">
      <w:pPr>
        <w:pStyle w:val="Nadpis1"/>
        <w:ind w:hanging="720"/>
      </w:pPr>
      <w:r w:rsidRPr="00C30EAD">
        <w:t xml:space="preserve">Nastavení </w:t>
      </w:r>
      <w:r w:rsidR="006A2411" w:rsidRPr="00C30EAD">
        <w:t>kontrolních systémů</w:t>
      </w:r>
      <w:r w:rsidRPr="00C30EAD">
        <w:t xml:space="preserve"> a výkon </w:t>
      </w:r>
      <w:r w:rsidR="00E40330" w:rsidRPr="00C30EAD">
        <w:t xml:space="preserve">kontrolní činnosti řídicího orgánu </w:t>
      </w:r>
    </w:p>
    <w:p w14:paraId="32B19104" w14:textId="77777777" w:rsidR="002C529E" w:rsidRPr="002C529E" w:rsidRDefault="002C529E" w:rsidP="007C008D">
      <w:pPr>
        <w:rPr>
          <w:lang w:eastAsia="cs-CZ"/>
        </w:rPr>
      </w:pPr>
    </w:p>
    <w:p w14:paraId="6A934DF2" w14:textId="7B4E7CAC" w:rsidR="00FD7490" w:rsidRPr="00C30EAD" w:rsidRDefault="005C0E06" w:rsidP="007C008D">
      <w:pPr>
        <w:spacing w:line="23" w:lineRule="atLeast"/>
        <w:rPr>
          <w:rFonts w:cs="Arial"/>
          <w:szCs w:val="22"/>
          <w:lang w:eastAsia="cs-CZ"/>
        </w:rPr>
      </w:pPr>
      <w:r w:rsidRPr="00C30EAD">
        <w:rPr>
          <w:rFonts w:cs="Arial"/>
          <w:szCs w:val="22"/>
          <w:lang w:eastAsia="cs-CZ"/>
        </w:rPr>
        <w:t xml:space="preserve">Kontrolou bylo ověřeno, že systém administrativních kontrol monitorovacích zpráv a žádostí o zálohovou platbu je </w:t>
      </w:r>
      <w:r w:rsidR="0076107F" w:rsidRPr="00C30EAD">
        <w:rPr>
          <w:rFonts w:cs="Arial"/>
          <w:szCs w:val="22"/>
          <w:lang w:eastAsia="cs-CZ"/>
        </w:rPr>
        <w:t xml:space="preserve">s výjimkou mzdových výdajů </w:t>
      </w:r>
      <w:r w:rsidRPr="00C30EAD">
        <w:rPr>
          <w:rFonts w:cs="Arial"/>
          <w:szCs w:val="22"/>
          <w:lang w:eastAsia="cs-CZ"/>
        </w:rPr>
        <w:t>nastaven tak, aby řídicímu orgá</w:t>
      </w:r>
      <w:r w:rsidR="009000CF" w:rsidRPr="00C30EAD">
        <w:rPr>
          <w:rFonts w:cs="Arial"/>
          <w:szCs w:val="22"/>
          <w:lang w:eastAsia="cs-CZ"/>
        </w:rPr>
        <w:t>nu poskytl přiměřené ujištění o </w:t>
      </w:r>
      <w:r w:rsidR="00AB50CB" w:rsidRPr="00C30EAD">
        <w:rPr>
          <w:rFonts w:cs="Arial"/>
          <w:szCs w:val="22"/>
          <w:lang w:eastAsia="cs-CZ"/>
        </w:rPr>
        <w:t xml:space="preserve">správnosti </w:t>
      </w:r>
      <w:r w:rsidRPr="00C30EAD">
        <w:rPr>
          <w:rFonts w:cs="Arial"/>
          <w:szCs w:val="22"/>
          <w:lang w:eastAsia="cs-CZ"/>
        </w:rPr>
        <w:t>operací spolufinancovaných z prostředků EU a SR.</w:t>
      </w:r>
      <w:r w:rsidR="00D47617" w:rsidRPr="00C30EAD">
        <w:rPr>
          <w:rFonts w:cs="Arial"/>
          <w:szCs w:val="22"/>
          <w:lang w:eastAsia="cs-CZ"/>
        </w:rPr>
        <w:t xml:space="preserve"> </w:t>
      </w:r>
    </w:p>
    <w:p w14:paraId="302230D4" w14:textId="77777777" w:rsidR="00FD7490" w:rsidRPr="00C30EAD" w:rsidRDefault="00FD7490" w:rsidP="007C008D">
      <w:pPr>
        <w:spacing w:line="23" w:lineRule="atLeast"/>
        <w:rPr>
          <w:rFonts w:cs="Arial"/>
          <w:szCs w:val="22"/>
          <w:lang w:eastAsia="cs-CZ"/>
        </w:rPr>
      </w:pPr>
    </w:p>
    <w:p w14:paraId="2AB80EC8" w14:textId="1C174C1B" w:rsidR="008A6BB8" w:rsidRPr="00C30EAD" w:rsidRDefault="005C0E06" w:rsidP="007C008D">
      <w:pPr>
        <w:spacing w:line="23" w:lineRule="atLeast"/>
        <w:rPr>
          <w:rFonts w:cs="Arial"/>
          <w:lang w:eastAsia="cs-CZ"/>
        </w:rPr>
      </w:pPr>
      <w:r w:rsidRPr="00C30EAD">
        <w:rPr>
          <w:rFonts w:cs="Arial"/>
          <w:b/>
          <w:szCs w:val="22"/>
          <w:lang w:eastAsia="cs-CZ"/>
        </w:rPr>
        <w:t>Při ověřování funkčnosti nastaveného systému byl</w:t>
      </w:r>
      <w:r w:rsidR="002962CB" w:rsidRPr="00C30EAD">
        <w:rPr>
          <w:rFonts w:cs="Arial"/>
          <w:b/>
          <w:szCs w:val="22"/>
          <w:lang w:eastAsia="cs-CZ"/>
        </w:rPr>
        <w:t xml:space="preserve">o zjištěno, že MŠMT v několika případech nedodrželo ustanovení </w:t>
      </w:r>
      <w:r w:rsidR="001024E6" w:rsidRPr="00C30EAD">
        <w:rPr>
          <w:rFonts w:cs="Arial"/>
          <w:b/>
          <w:szCs w:val="22"/>
          <w:lang w:eastAsia="cs-CZ"/>
        </w:rPr>
        <w:t xml:space="preserve">evropského </w:t>
      </w:r>
      <w:bookmarkStart w:id="2" w:name="_Ref353313156"/>
      <w:r w:rsidR="001024E6" w:rsidRPr="00C30EAD">
        <w:rPr>
          <w:rFonts w:cs="Arial"/>
          <w:b/>
          <w:szCs w:val="22"/>
          <w:lang w:eastAsia="cs-CZ"/>
        </w:rPr>
        <w:t>předpisu</w:t>
      </w:r>
      <w:r w:rsidR="004A02D3" w:rsidRPr="00C30EAD">
        <w:rPr>
          <w:rStyle w:val="Znakapoznpodarou"/>
          <w:rFonts w:cs="Arial"/>
          <w:szCs w:val="22"/>
          <w:lang w:eastAsia="cs-CZ"/>
        </w:rPr>
        <w:footnoteReference w:id="15"/>
      </w:r>
      <w:bookmarkEnd w:id="2"/>
      <w:r w:rsidR="002962CB" w:rsidRPr="00C30EAD">
        <w:rPr>
          <w:rFonts w:cs="Arial"/>
          <w:szCs w:val="22"/>
          <w:lang w:eastAsia="cs-CZ"/>
        </w:rPr>
        <w:t xml:space="preserve"> tím, že nedostatečně provedlo administrativní kontrolu </w:t>
      </w:r>
      <w:r w:rsidR="006E2F16" w:rsidRPr="00C30EAD">
        <w:rPr>
          <w:rFonts w:cs="Arial"/>
          <w:szCs w:val="22"/>
          <w:lang w:eastAsia="cs-CZ"/>
        </w:rPr>
        <w:t xml:space="preserve">výdajů </w:t>
      </w:r>
      <w:r w:rsidR="002962CB" w:rsidRPr="00C30EAD">
        <w:rPr>
          <w:rFonts w:cs="Arial"/>
          <w:szCs w:val="22"/>
          <w:lang w:eastAsia="cs-CZ"/>
        </w:rPr>
        <w:t xml:space="preserve">vyúčtovaných </w:t>
      </w:r>
      <w:r w:rsidR="006E2F16" w:rsidRPr="00C30EAD">
        <w:rPr>
          <w:rFonts w:cs="Arial"/>
          <w:szCs w:val="22"/>
          <w:lang w:eastAsia="cs-CZ"/>
        </w:rPr>
        <w:t xml:space="preserve">příjemci </w:t>
      </w:r>
      <w:r w:rsidR="002962CB" w:rsidRPr="00C30EAD">
        <w:rPr>
          <w:rFonts w:cs="Arial"/>
          <w:szCs w:val="22"/>
          <w:lang w:eastAsia="cs-CZ"/>
        </w:rPr>
        <w:t xml:space="preserve">a neodhalilo např. následující </w:t>
      </w:r>
      <w:r w:rsidR="00AB50CB" w:rsidRPr="00C30EAD">
        <w:rPr>
          <w:rFonts w:cs="Arial"/>
          <w:szCs w:val="22"/>
          <w:lang w:eastAsia="cs-CZ"/>
        </w:rPr>
        <w:t>případy nezpůsobilých výdajů</w:t>
      </w:r>
      <w:r w:rsidR="002962CB" w:rsidRPr="00C30EAD">
        <w:rPr>
          <w:rFonts w:cs="Arial"/>
          <w:szCs w:val="22"/>
          <w:lang w:eastAsia="cs-CZ"/>
        </w:rPr>
        <w:t xml:space="preserve">: </w:t>
      </w:r>
    </w:p>
    <w:p w14:paraId="74989526" w14:textId="10F8F4A8" w:rsidR="00A12E7E" w:rsidRPr="00C30EAD" w:rsidRDefault="00A12E7E" w:rsidP="007C008D">
      <w:pPr>
        <w:numPr>
          <w:ilvl w:val="0"/>
          <w:numId w:val="6"/>
        </w:numPr>
        <w:spacing w:line="23" w:lineRule="atLeast"/>
        <w:ind w:left="284" w:hanging="284"/>
        <w:rPr>
          <w:rFonts w:cs="Arial"/>
          <w:lang w:eastAsia="cs-CZ"/>
        </w:rPr>
      </w:pPr>
      <w:r w:rsidRPr="00C30EAD">
        <w:rPr>
          <w:rFonts w:cs="Arial"/>
          <w:lang w:eastAsia="cs-CZ"/>
        </w:rPr>
        <w:t xml:space="preserve">Výdaje ve výši 535 576 Kč vynaložené na základě rámcové smlouvy </w:t>
      </w:r>
      <w:r w:rsidR="00D84BD8" w:rsidRPr="00C30EAD">
        <w:rPr>
          <w:rFonts w:cs="Arial"/>
          <w:lang w:eastAsia="cs-CZ"/>
        </w:rPr>
        <w:t xml:space="preserve">uzavřené </w:t>
      </w:r>
      <w:r w:rsidRPr="00C30EAD">
        <w:rPr>
          <w:rFonts w:cs="Arial"/>
          <w:lang w:eastAsia="cs-CZ"/>
        </w:rPr>
        <w:t xml:space="preserve">s uchazečem, jehož nabídka měla být vyřazena, u projektu </w:t>
      </w:r>
      <w:r w:rsidRPr="00C30EAD">
        <w:rPr>
          <w:rFonts w:cs="Arial"/>
          <w:i/>
          <w:lang w:eastAsia="cs-CZ"/>
        </w:rPr>
        <w:t>Institut čistých technologií těžby a užití energetických surovin.</w:t>
      </w:r>
      <w:r w:rsidR="00EA4778">
        <w:rPr>
          <w:rFonts w:cs="Arial"/>
          <w:lang w:eastAsia="cs-CZ"/>
        </w:rPr>
        <w:t xml:space="preserve"> Zároveň byla část výdajů vynaložena </w:t>
      </w:r>
      <w:r w:rsidR="00EA4778" w:rsidRPr="00C30EAD">
        <w:rPr>
          <w:rFonts w:cs="Arial"/>
          <w:lang w:eastAsia="cs-CZ"/>
        </w:rPr>
        <w:t>v rozporu s</w:t>
      </w:r>
      <w:r w:rsidR="007C008D">
        <w:rPr>
          <w:rFonts w:cs="Arial"/>
          <w:lang w:eastAsia="cs-CZ"/>
        </w:rPr>
        <w:t> </w:t>
      </w:r>
      <w:r w:rsidR="00EA4778" w:rsidRPr="00C30EAD">
        <w:rPr>
          <w:rFonts w:cs="Arial"/>
          <w:lang w:eastAsia="cs-CZ"/>
        </w:rPr>
        <w:t>podmínkami stanovenými v</w:t>
      </w:r>
      <w:r w:rsidR="00661F9A">
        <w:rPr>
          <w:rFonts w:cs="Arial"/>
          <w:lang w:eastAsia="cs-CZ"/>
        </w:rPr>
        <w:t xml:space="preserve"> této </w:t>
      </w:r>
      <w:r w:rsidR="00EA4778" w:rsidRPr="00C30EAD">
        <w:rPr>
          <w:rFonts w:cs="Arial"/>
          <w:lang w:eastAsia="cs-CZ"/>
        </w:rPr>
        <w:t>rámcové smlouvě.</w:t>
      </w:r>
    </w:p>
    <w:p w14:paraId="721BD95B" w14:textId="6E2455C8" w:rsidR="005C0E06" w:rsidRPr="00C30EAD" w:rsidRDefault="007A1DB9" w:rsidP="007C008D">
      <w:pPr>
        <w:numPr>
          <w:ilvl w:val="0"/>
          <w:numId w:val="6"/>
        </w:numPr>
        <w:spacing w:line="23" w:lineRule="atLeast"/>
        <w:ind w:left="284" w:hanging="284"/>
        <w:rPr>
          <w:rFonts w:cs="Arial"/>
          <w:i/>
          <w:lang w:eastAsia="cs-CZ"/>
        </w:rPr>
      </w:pPr>
      <w:r w:rsidRPr="00C30EAD">
        <w:rPr>
          <w:rFonts w:cs="Arial"/>
          <w:lang w:eastAsia="cs-CZ"/>
        </w:rPr>
        <w:t>V</w:t>
      </w:r>
      <w:r w:rsidR="005C0E06" w:rsidRPr="00C30EAD">
        <w:rPr>
          <w:rFonts w:cs="Arial"/>
          <w:lang w:eastAsia="cs-CZ"/>
        </w:rPr>
        <w:t xml:space="preserve">ýdaje </w:t>
      </w:r>
      <w:r w:rsidR="000D764F" w:rsidRPr="00C30EAD">
        <w:rPr>
          <w:rFonts w:cs="Arial"/>
          <w:lang w:eastAsia="cs-CZ"/>
        </w:rPr>
        <w:t xml:space="preserve">ve výši </w:t>
      </w:r>
      <w:r w:rsidR="00A12E7E" w:rsidRPr="00C30EAD">
        <w:rPr>
          <w:rFonts w:cs="Arial"/>
          <w:lang w:eastAsia="cs-CZ"/>
        </w:rPr>
        <w:t xml:space="preserve">278 931 Kč </w:t>
      </w:r>
      <w:r w:rsidR="002962CB" w:rsidRPr="00C30EAD">
        <w:rPr>
          <w:rFonts w:cs="Arial"/>
          <w:lang w:eastAsia="cs-CZ"/>
        </w:rPr>
        <w:t>vynaložené n</w:t>
      </w:r>
      <w:r w:rsidR="005C0E06" w:rsidRPr="00C30EAD">
        <w:rPr>
          <w:rFonts w:cs="Arial"/>
          <w:lang w:eastAsia="cs-CZ"/>
        </w:rPr>
        <w:t>a budování teplovodní přípojky, jež nesouvisí s</w:t>
      </w:r>
      <w:r w:rsidR="00C767C7">
        <w:rPr>
          <w:rFonts w:cs="Arial"/>
          <w:lang w:eastAsia="cs-CZ"/>
        </w:rPr>
        <w:t> </w:t>
      </w:r>
      <w:r w:rsidR="005C0E06" w:rsidRPr="00C30EAD">
        <w:rPr>
          <w:rFonts w:cs="Arial"/>
          <w:lang w:eastAsia="cs-CZ"/>
        </w:rPr>
        <w:t>realizací</w:t>
      </w:r>
      <w:r w:rsidR="00C767C7">
        <w:rPr>
          <w:rFonts w:cs="Arial"/>
          <w:lang w:eastAsia="cs-CZ"/>
        </w:rPr>
        <w:t>,</w:t>
      </w:r>
      <w:r w:rsidR="005C0E06" w:rsidRPr="00C30EAD">
        <w:rPr>
          <w:rFonts w:cs="Arial"/>
          <w:lang w:eastAsia="cs-CZ"/>
        </w:rPr>
        <w:t xml:space="preserve"> </w:t>
      </w:r>
      <w:r w:rsidR="00BD7865" w:rsidRPr="00C30EAD">
        <w:rPr>
          <w:rFonts w:cs="Arial"/>
          <w:lang w:eastAsia="cs-CZ"/>
        </w:rPr>
        <w:t>u</w:t>
      </w:r>
      <w:r w:rsidR="00637C47" w:rsidRPr="00C30EAD">
        <w:rPr>
          <w:rFonts w:cs="Arial"/>
          <w:lang w:eastAsia="cs-CZ"/>
        </w:rPr>
        <w:t> </w:t>
      </w:r>
      <w:r w:rsidR="005C0E06" w:rsidRPr="00C30EAD">
        <w:rPr>
          <w:rFonts w:cs="Arial"/>
          <w:lang w:eastAsia="cs-CZ"/>
        </w:rPr>
        <w:t xml:space="preserve">projektu </w:t>
      </w:r>
      <w:r w:rsidR="005C0E06" w:rsidRPr="00C30EAD">
        <w:rPr>
          <w:rFonts w:cs="Arial"/>
          <w:i/>
          <w:lang w:eastAsia="cs-CZ"/>
        </w:rPr>
        <w:t xml:space="preserve">Centrum pro </w:t>
      </w:r>
      <w:proofErr w:type="spellStart"/>
      <w:r w:rsidR="005C0E06" w:rsidRPr="00C30EAD">
        <w:rPr>
          <w:rFonts w:cs="Arial"/>
          <w:i/>
          <w:lang w:eastAsia="cs-CZ"/>
        </w:rPr>
        <w:t>nanomateriály</w:t>
      </w:r>
      <w:proofErr w:type="spellEnd"/>
      <w:r w:rsidR="005C0E06" w:rsidRPr="00C30EAD">
        <w:rPr>
          <w:rFonts w:cs="Arial"/>
          <w:i/>
          <w:lang w:eastAsia="cs-CZ"/>
        </w:rPr>
        <w:t>, pokročilé technologie a inovace</w:t>
      </w:r>
      <w:r w:rsidR="006E2F16" w:rsidRPr="009D0852">
        <w:rPr>
          <w:rFonts w:cs="Arial"/>
          <w:lang w:eastAsia="cs-CZ"/>
        </w:rPr>
        <w:t>.</w:t>
      </w:r>
    </w:p>
    <w:p w14:paraId="76954DAC" w14:textId="4E087314" w:rsidR="005C0E06" w:rsidRPr="004C26FF" w:rsidRDefault="007A1DB9" w:rsidP="007C008D">
      <w:pPr>
        <w:numPr>
          <w:ilvl w:val="0"/>
          <w:numId w:val="6"/>
        </w:numPr>
        <w:spacing w:line="23" w:lineRule="atLeast"/>
        <w:ind w:left="284" w:hanging="284"/>
        <w:rPr>
          <w:rFonts w:cs="Arial"/>
          <w:lang w:eastAsia="cs-CZ"/>
        </w:rPr>
      </w:pPr>
      <w:r w:rsidRPr="00C30EAD">
        <w:rPr>
          <w:rFonts w:eastAsia="Calibri" w:cs="Arial"/>
          <w:szCs w:val="22"/>
        </w:rPr>
        <w:t>V</w:t>
      </w:r>
      <w:r w:rsidR="006E2F16" w:rsidRPr="00C30EAD">
        <w:rPr>
          <w:rFonts w:eastAsia="Calibri" w:cs="Arial"/>
          <w:szCs w:val="22"/>
        </w:rPr>
        <w:t xml:space="preserve">ýdaje </w:t>
      </w:r>
      <w:r w:rsidR="00A12E7E" w:rsidRPr="004C26FF">
        <w:rPr>
          <w:rFonts w:eastAsia="Calibri" w:cs="Arial"/>
          <w:szCs w:val="22"/>
        </w:rPr>
        <w:t xml:space="preserve">ve výši 182 130 Kč </w:t>
      </w:r>
      <w:r w:rsidR="006E2F16" w:rsidRPr="00C30EAD">
        <w:rPr>
          <w:rFonts w:eastAsia="Calibri" w:cs="Arial"/>
          <w:szCs w:val="22"/>
        </w:rPr>
        <w:t xml:space="preserve">vynaložené na uspořádání </w:t>
      </w:r>
      <w:r w:rsidR="00A12E7E" w:rsidRPr="004C26FF">
        <w:rPr>
          <w:rFonts w:eastAsia="Calibri" w:cs="Arial"/>
          <w:szCs w:val="22"/>
        </w:rPr>
        <w:t xml:space="preserve">dvou </w:t>
      </w:r>
      <w:r w:rsidR="006E2F16" w:rsidRPr="00C30EAD">
        <w:rPr>
          <w:rFonts w:eastAsia="Calibri" w:cs="Arial"/>
          <w:szCs w:val="22"/>
        </w:rPr>
        <w:t xml:space="preserve">společenských večerů </w:t>
      </w:r>
      <w:r w:rsidR="00BD7865" w:rsidRPr="00C30EAD">
        <w:rPr>
          <w:rFonts w:eastAsia="Calibri" w:cs="Arial"/>
          <w:szCs w:val="22"/>
        </w:rPr>
        <w:t>v</w:t>
      </w:r>
      <w:r w:rsidR="00637C47" w:rsidRPr="004C26FF">
        <w:rPr>
          <w:rFonts w:eastAsia="Calibri" w:cs="Arial"/>
          <w:szCs w:val="22"/>
        </w:rPr>
        <w:t> </w:t>
      </w:r>
      <w:r w:rsidR="006E2F16" w:rsidRPr="00C30EAD">
        <w:rPr>
          <w:rFonts w:eastAsia="Calibri" w:cs="Arial"/>
          <w:szCs w:val="22"/>
        </w:rPr>
        <w:t>rozporu s prin</w:t>
      </w:r>
      <w:r w:rsidR="009000CF" w:rsidRPr="00C30EAD">
        <w:rPr>
          <w:rFonts w:eastAsia="Calibri" w:cs="Arial"/>
          <w:szCs w:val="22"/>
        </w:rPr>
        <w:t>cipy účelnosti a efektivnosti u </w:t>
      </w:r>
      <w:r w:rsidR="006E2F16" w:rsidRPr="00C30EAD">
        <w:rPr>
          <w:rFonts w:eastAsia="Calibri" w:cs="Arial"/>
          <w:szCs w:val="22"/>
        </w:rPr>
        <w:t xml:space="preserve">projektu </w:t>
      </w:r>
      <w:proofErr w:type="spellStart"/>
      <w:r w:rsidR="00A12E7E" w:rsidRPr="00C30EAD">
        <w:rPr>
          <w:rFonts w:eastAsia="Calibri" w:cs="Arial"/>
          <w:i/>
          <w:szCs w:val="22"/>
        </w:rPr>
        <w:t>CEITEC</w:t>
      </w:r>
      <w:proofErr w:type="spellEnd"/>
      <w:r w:rsidR="00A12E7E" w:rsidRPr="00C30EAD">
        <w:rPr>
          <w:rFonts w:eastAsia="Calibri" w:cs="Arial"/>
          <w:i/>
          <w:szCs w:val="22"/>
        </w:rPr>
        <w:t xml:space="preserve"> – středoevropský technologický institut</w:t>
      </w:r>
      <w:r w:rsidR="00A12E7E" w:rsidRPr="00C30EAD">
        <w:rPr>
          <w:rFonts w:eastAsia="Calibri" w:cs="Arial"/>
          <w:szCs w:val="22"/>
        </w:rPr>
        <w:t xml:space="preserve"> (dále jen „</w:t>
      </w:r>
      <w:proofErr w:type="spellStart"/>
      <w:r w:rsidR="00A12E7E" w:rsidRPr="00C30EAD">
        <w:rPr>
          <w:rFonts w:eastAsia="Calibri" w:cs="Arial"/>
          <w:szCs w:val="22"/>
        </w:rPr>
        <w:t>CEITEC</w:t>
      </w:r>
      <w:proofErr w:type="spellEnd"/>
      <w:r w:rsidR="00A12E7E" w:rsidRPr="00C30EAD">
        <w:rPr>
          <w:rFonts w:eastAsia="Calibri" w:cs="Arial"/>
          <w:szCs w:val="22"/>
        </w:rPr>
        <w:t>“)</w:t>
      </w:r>
      <w:r w:rsidR="006E2F16" w:rsidRPr="00C30EAD">
        <w:rPr>
          <w:rFonts w:eastAsia="Calibri" w:cs="Arial"/>
          <w:szCs w:val="22"/>
        </w:rPr>
        <w:t>.</w:t>
      </w:r>
      <w:r w:rsidR="00A12E7E" w:rsidRPr="004C26FF">
        <w:rPr>
          <w:rFonts w:eastAsia="Calibri" w:cs="Arial"/>
          <w:szCs w:val="22"/>
        </w:rPr>
        <w:t xml:space="preserve"> V rámci těchto neformálních společenských akcí byly prezentovány základní informace o projektu a jeho pokroku členům a přátelům </w:t>
      </w:r>
      <w:proofErr w:type="spellStart"/>
      <w:r w:rsidR="00A12E7E" w:rsidRPr="004C26FF">
        <w:rPr>
          <w:rFonts w:eastAsia="Calibri" w:cs="Arial"/>
          <w:szCs w:val="22"/>
        </w:rPr>
        <w:t>CEITEC</w:t>
      </w:r>
      <w:proofErr w:type="spellEnd"/>
      <w:r w:rsidR="00A12E7E" w:rsidRPr="004C26FF">
        <w:rPr>
          <w:rFonts w:eastAsia="Calibri" w:cs="Arial"/>
          <w:szCs w:val="22"/>
        </w:rPr>
        <w:t>.</w:t>
      </w:r>
    </w:p>
    <w:p w14:paraId="3F57C1E9" w14:textId="63EA8AE5" w:rsidR="00EA4778" w:rsidRDefault="00661F9A" w:rsidP="007C008D">
      <w:pPr>
        <w:numPr>
          <w:ilvl w:val="0"/>
          <w:numId w:val="6"/>
        </w:numPr>
        <w:spacing w:line="23" w:lineRule="atLeast"/>
        <w:ind w:left="284" w:hanging="284"/>
        <w:rPr>
          <w:rFonts w:cs="Arial"/>
          <w:lang w:eastAsia="cs-CZ"/>
        </w:rPr>
      </w:pPr>
      <w:r>
        <w:rPr>
          <w:rFonts w:cs="Arial"/>
          <w:lang w:eastAsia="cs-CZ"/>
        </w:rPr>
        <w:lastRenderedPageBreak/>
        <w:t>V</w:t>
      </w:r>
      <w:r w:rsidRPr="00EA4778">
        <w:rPr>
          <w:rFonts w:cs="Arial"/>
          <w:lang w:eastAsia="cs-CZ"/>
        </w:rPr>
        <w:t xml:space="preserve">ýdaje </w:t>
      </w:r>
      <w:r>
        <w:rPr>
          <w:rFonts w:cs="Arial"/>
          <w:lang w:eastAsia="cs-CZ"/>
        </w:rPr>
        <w:t>v</w:t>
      </w:r>
      <w:r w:rsidR="00EA4778" w:rsidRPr="00EA4778">
        <w:rPr>
          <w:rFonts w:cs="Arial"/>
          <w:lang w:eastAsia="cs-CZ"/>
        </w:rPr>
        <w:t xml:space="preserve"> rámci projektu </w:t>
      </w:r>
      <w:r w:rsidR="00EA4778" w:rsidRPr="00EA4778">
        <w:rPr>
          <w:rFonts w:cs="Arial"/>
          <w:i/>
          <w:lang w:eastAsia="cs-CZ"/>
        </w:rPr>
        <w:t>Fakultní nemocnice u sv. Anny v Brně – Mezinárodní centrum klinického výzkumu</w:t>
      </w:r>
      <w:r w:rsidR="00EA4778" w:rsidRPr="00EA4778">
        <w:rPr>
          <w:rFonts w:cs="Arial"/>
          <w:lang w:eastAsia="cs-CZ"/>
        </w:rPr>
        <w:t xml:space="preserve"> </w:t>
      </w:r>
      <w:r w:rsidRPr="00EA4778">
        <w:rPr>
          <w:rFonts w:cs="Arial"/>
          <w:lang w:eastAsia="cs-CZ"/>
        </w:rPr>
        <w:t xml:space="preserve">vynaložené </w:t>
      </w:r>
      <w:r w:rsidR="002A12DA" w:rsidRPr="00EA4778">
        <w:rPr>
          <w:rFonts w:cs="Arial"/>
          <w:lang w:eastAsia="cs-CZ"/>
        </w:rPr>
        <w:t>v rozporu</w:t>
      </w:r>
    </w:p>
    <w:p w14:paraId="4DB46C65" w14:textId="4C2FE17E" w:rsidR="00EA4778" w:rsidRDefault="002A12DA" w:rsidP="007C008D">
      <w:pPr>
        <w:numPr>
          <w:ilvl w:val="1"/>
          <w:numId w:val="6"/>
        </w:numPr>
        <w:spacing w:line="23" w:lineRule="atLeast"/>
        <w:ind w:left="567" w:hanging="283"/>
        <w:rPr>
          <w:rFonts w:cs="Arial"/>
          <w:lang w:eastAsia="cs-CZ"/>
        </w:rPr>
      </w:pPr>
      <w:r w:rsidRPr="00EA4778">
        <w:rPr>
          <w:rFonts w:cs="Arial"/>
          <w:lang w:eastAsia="cs-CZ"/>
        </w:rPr>
        <w:t xml:space="preserve">s principy účelnosti a hospodárnosti </w:t>
      </w:r>
      <w:r w:rsidR="00EA4778" w:rsidRPr="00EA4778">
        <w:rPr>
          <w:rFonts w:cs="Arial"/>
          <w:lang w:eastAsia="cs-CZ"/>
        </w:rPr>
        <w:t>za občerstvení pro účastníky workshopu</w:t>
      </w:r>
      <w:r w:rsidR="00891BFE">
        <w:rPr>
          <w:rFonts w:cs="Arial"/>
          <w:lang w:eastAsia="cs-CZ"/>
        </w:rPr>
        <w:t>,</w:t>
      </w:r>
    </w:p>
    <w:p w14:paraId="5D0F4D73" w14:textId="18C2F611" w:rsidR="002A12DA" w:rsidRPr="00EA4778" w:rsidRDefault="00EA4778" w:rsidP="007C008D">
      <w:pPr>
        <w:numPr>
          <w:ilvl w:val="1"/>
          <w:numId w:val="6"/>
        </w:numPr>
        <w:spacing w:line="23" w:lineRule="atLeast"/>
        <w:ind w:left="567" w:hanging="283"/>
        <w:rPr>
          <w:rFonts w:cs="Arial"/>
          <w:lang w:eastAsia="cs-CZ"/>
        </w:rPr>
      </w:pPr>
      <w:r w:rsidRPr="00EA4778">
        <w:rPr>
          <w:rFonts w:cs="Arial"/>
          <w:lang w:eastAsia="cs-CZ"/>
        </w:rPr>
        <w:t xml:space="preserve">s principem účelnosti </w:t>
      </w:r>
      <w:r w:rsidR="002A12DA" w:rsidRPr="00EA4778">
        <w:rPr>
          <w:rFonts w:cs="Arial"/>
          <w:lang w:eastAsia="cs-CZ"/>
        </w:rPr>
        <w:t xml:space="preserve">za volnočasové aktivity a kulturní program. </w:t>
      </w:r>
    </w:p>
    <w:p w14:paraId="2F1B0CBF" w14:textId="77777777" w:rsidR="002A12DA" w:rsidRPr="00C30EAD" w:rsidRDefault="002A12DA" w:rsidP="007C008D">
      <w:pPr>
        <w:spacing w:line="23" w:lineRule="atLeast"/>
        <w:rPr>
          <w:rFonts w:cs="Arial"/>
          <w:b/>
          <w:lang w:eastAsia="cs-CZ"/>
        </w:rPr>
      </w:pPr>
    </w:p>
    <w:p w14:paraId="3BC4B84E" w14:textId="37DF5127" w:rsidR="002962CB" w:rsidRPr="00C30EAD" w:rsidRDefault="002962CB" w:rsidP="007C008D">
      <w:pPr>
        <w:spacing w:line="23" w:lineRule="atLeast"/>
        <w:rPr>
          <w:rFonts w:cs="Arial"/>
          <w:b/>
          <w:lang w:eastAsia="cs-CZ"/>
        </w:rPr>
      </w:pPr>
      <w:r w:rsidRPr="00C30EAD">
        <w:rPr>
          <w:rFonts w:cs="Arial"/>
          <w:b/>
          <w:lang w:eastAsia="cs-CZ"/>
        </w:rPr>
        <w:t>Porušení rozpočtové kázně</w:t>
      </w:r>
      <w:bookmarkStart w:id="3" w:name="_Ref353267315"/>
      <w:r w:rsidR="00EC2E3C" w:rsidRPr="00C30EAD">
        <w:rPr>
          <w:rStyle w:val="Znakapoznpodarou"/>
          <w:rFonts w:cs="Arial"/>
          <w:b/>
          <w:lang w:eastAsia="cs-CZ"/>
        </w:rPr>
        <w:footnoteReference w:id="16"/>
      </w:r>
      <w:bookmarkEnd w:id="3"/>
      <w:r w:rsidRPr="00C30EAD">
        <w:rPr>
          <w:rFonts w:cs="Arial"/>
          <w:b/>
          <w:lang w:eastAsia="cs-CZ"/>
        </w:rPr>
        <w:t xml:space="preserve"> </w:t>
      </w:r>
      <w:r w:rsidR="00BD7865" w:rsidRPr="00C30EAD">
        <w:rPr>
          <w:rFonts w:cs="Arial"/>
          <w:b/>
          <w:lang w:eastAsia="cs-CZ"/>
        </w:rPr>
        <w:t xml:space="preserve">u </w:t>
      </w:r>
      <w:r w:rsidRPr="00C30EAD">
        <w:rPr>
          <w:rFonts w:cs="Arial"/>
          <w:b/>
          <w:lang w:eastAsia="cs-CZ"/>
        </w:rPr>
        <w:t xml:space="preserve">zjištěných nedostatků může dosáhnout </w:t>
      </w:r>
      <w:r w:rsidR="0085703F" w:rsidRPr="00C30EAD">
        <w:rPr>
          <w:rFonts w:cs="Arial"/>
          <w:b/>
          <w:lang w:eastAsia="cs-CZ"/>
        </w:rPr>
        <w:t xml:space="preserve">částky </w:t>
      </w:r>
      <w:r w:rsidR="007A1DB9" w:rsidRPr="00C30EAD">
        <w:rPr>
          <w:rFonts w:cs="Arial"/>
          <w:b/>
          <w:lang w:eastAsia="cs-CZ"/>
        </w:rPr>
        <w:t xml:space="preserve">až </w:t>
      </w:r>
      <w:r w:rsidR="00EB2022" w:rsidRPr="00C30EAD">
        <w:rPr>
          <w:rFonts w:cs="Arial"/>
          <w:b/>
          <w:lang w:eastAsia="cs-CZ"/>
        </w:rPr>
        <w:t>1 024 278</w:t>
      </w:r>
      <w:r w:rsidRPr="00C30EAD">
        <w:rPr>
          <w:rFonts w:cs="Arial"/>
          <w:b/>
          <w:lang w:eastAsia="cs-CZ"/>
        </w:rPr>
        <w:t xml:space="preserve"> Kč. Částka dotčená nesrovnalostí</w:t>
      </w:r>
      <w:r w:rsidR="007A1DB9" w:rsidRPr="00C30EAD">
        <w:rPr>
          <w:rStyle w:val="Znakapoznpodarou"/>
          <w:rFonts w:cs="Arial"/>
          <w:b/>
          <w:lang w:eastAsia="cs-CZ"/>
        </w:rPr>
        <w:footnoteReference w:id="17"/>
      </w:r>
      <w:r w:rsidRPr="00C30EAD">
        <w:rPr>
          <w:rFonts w:cs="Arial"/>
          <w:b/>
          <w:lang w:eastAsia="cs-CZ"/>
        </w:rPr>
        <w:t xml:space="preserve"> představuje 85</w:t>
      </w:r>
      <w:r w:rsidR="007A1DB9" w:rsidRPr="00C30EAD">
        <w:rPr>
          <w:rFonts w:cs="Arial"/>
          <w:b/>
          <w:lang w:eastAsia="cs-CZ"/>
        </w:rPr>
        <w:t xml:space="preserve"> </w:t>
      </w:r>
      <w:r w:rsidR="00EB2022" w:rsidRPr="00C30EAD">
        <w:rPr>
          <w:rFonts w:cs="Arial"/>
          <w:b/>
          <w:lang w:eastAsia="cs-CZ"/>
        </w:rPr>
        <w:t>%</w:t>
      </w:r>
      <w:r w:rsidR="00A4638C" w:rsidRPr="00C30EAD">
        <w:rPr>
          <w:rFonts w:cs="Arial"/>
          <w:b/>
          <w:lang w:eastAsia="cs-CZ"/>
        </w:rPr>
        <w:t xml:space="preserve"> z této částky</w:t>
      </w:r>
      <w:r w:rsidR="00EB2022" w:rsidRPr="00C30EAD">
        <w:rPr>
          <w:rFonts w:cs="Arial"/>
          <w:b/>
          <w:lang w:eastAsia="cs-CZ"/>
        </w:rPr>
        <w:t>, tj.</w:t>
      </w:r>
      <w:r w:rsidR="00065F51">
        <w:rPr>
          <w:rFonts w:cs="Arial"/>
          <w:b/>
          <w:lang w:eastAsia="cs-CZ"/>
        </w:rPr>
        <w:t> </w:t>
      </w:r>
      <w:r w:rsidR="00EB2022" w:rsidRPr="00C30EAD">
        <w:rPr>
          <w:rFonts w:cs="Arial"/>
          <w:b/>
          <w:lang w:eastAsia="cs-CZ"/>
        </w:rPr>
        <w:t>870 636</w:t>
      </w:r>
      <w:r w:rsidRPr="00C30EAD">
        <w:rPr>
          <w:rFonts w:cs="Arial"/>
          <w:b/>
          <w:lang w:eastAsia="cs-CZ"/>
        </w:rPr>
        <w:t xml:space="preserve"> Kč.</w:t>
      </w:r>
    </w:p>
    <w:p w14:paraId="04DF55AA" w14:textId="77777777" w:rsidR="002962CB" w:rsidRPr="00C30EAD" w:rsidRDefault="002962CB" w:rsidP="007C008D">
      <w:pPr>
        <w:spacing w:line="23" w:lineRule="atLeast"/>
        <w:rPr>
          <w:rFonts w:cs="Arial"/>
          <w:lang w:eastAsia="cs-CZ"/>
        </w:rPr>
      </w:pPr>
    </w:p>
    <w:p w14:paraId="06E61F9F" w14:textId="74B537E8" w:rsidR="008A6BB8" w:rsidRPr="00C30EAD" w:rsidRDefault="00811E8A" w:rsidP="007C008D">
      <w:pPr>
        <w:spacing w:line="23" w:lineRule="atLeast"/>
        <w:rPr>
          <w:rFonts w:cs="Arial"/>
          <w:lang w:eastAsia="cs-CZ"/>
        </w:rPr>
      </w:pPr>
      <w:r>
        <w:rPr>
          <w:rFonts w:cs="Arial"/>
          <w:b/>
          <w:lang w:eastAsia="cs-CZ"/>
        </w:rPr>
        <w:t>V</w:t>
      </w:r>
      <w:r w:rsidRPr="00C30EAD">
        <w:rPr>
          <w:rFonts w:cs="Arial"/>
          <w:b/>
          <w:lang w:eastAsia="cs-CZ"/>
        </w:rPr>
        <w:t xml:space="preserve"> rámci </w:t>
      </w:r>
      <w:r>
        <w:rPr>
          <w:rFonts w:cs="Arial"/>
          <w:b/>
          <w:lang w:eastAsia="cs-CZ"/>
        </w:rPr>
        <w:t xml:space="preserve">systému </w:t>
      </w:r>
      <w:r w:rsidRPr="00C30EAD">
        <w:rPr>
          <w:rFonts w:cs="Arial"/>
          <w:b/>
          <w:lang w:eastAsia="cs-CZ"/>
        </w:rPr>
        <w:t xml:space="preserve">ověřování způsobilosti mezd </w:t>
      </w:r>
      <w:r w:rsidRPr="00C30EAD">
        <w:rPr>
          <w:rFonts w:cs="Arial"/>
          <w:lang w:eastAsia="cs-CZ"/>
        </w:rPr>
        <w:t>členů realizačního týmu na vybraných pozicích</w:t>
      </w:r>
      <w:r w:rsidRPr="009D0852">
        <w:rPr>
          <w:rFonts w:cs="Arial"/>
          <w:lang w:eastAsia="cs-CZ"/>
        </w:rPr>
        <w:t xml:space="preserve"> </w:t>
      </w:r>
      <w:r w:rsidR="00A05AE2">
        <w:rPr>
          <w:rFonts w:cs="Arial"/>
          <w:lang w:eastAsia="cs-CZ"/>
        </w:rPr>
        <w:t>nemělo</w:t>
      </w:r>
      <w:r w:rsidRPr="00C30EAD">
        <w:rPr>
          <w:rFonts w:cs="Arial"/>
          <w:lang w:eastAsia="cs-CZ"/>
        </w:rPr>
        <w:t xml:space="preserve"> </w:t>
      </w:r>
      <w:r w:rsidR="00891BFE" w:rsidRPr="00C20041">
        <w:rPr>
          <w:rFonts w:cs="Arial"/>
          <w:lang w:eastAsia="cs-CZ"/>
        </w:rPr>
        <w:t>MŠMT</w:t>
      </w:r>
      <w:r w:rsidR="00891BFE">
        <w:rPr>
          <w:rFonts w:cs="Arial"/>
          <w:lang w:eastAsia="cs-CZ"/>
        </w:rPr>
        <w:t xml:space="preserve"> </w:t>
      </w:r>
      <w:r w:rsidRPr="00C30EAD">
        <w:rPr>
          <w:rFonts w:cs="Arial"/>
          <w:lang w:eastAsia="cs-CZ"/>
        </w:rPr>
        <w:t xml:space="preserve">hledisko pro posuzování </w:t>
      </w:r>
      <w:r>
        <w:rPr>
          <w:rFonts w:cs="Arial"/>
          <w:lang w:eastAsia="cs-CZ"/>
        </w:rPr>
        <w:t xml:space="preserve">jejich </w:t>
      </w:r>
      <w:r w:rsidRPr="00C30EAD">
        <w:rPr>
          <w:rFonts w:cs="Arial"/>
          <w:lang w:eastAsia="cs-CZ"/>
        </w:rPr>
        <w:t>přiměřenosti.</w:t>
      </w:r>
      <w:r>
        <w:rPr>
          <w:rFonts w:cs="Arial"/>
          <w:lang w:eastAsia="cs-CZ"/>
        </w:rPr>
        <w:t xml:space="preserve"> </w:t>
      </w:r>
      <w:r w:rsidR="00A05AE2" w:rsidRPr="00C20041">
        <w:rPr>
          <w:rFonts w:cs="Arial"/>
          <w:b/>
          <w:lang w:eastAsia="cs-CZ"/>
        </w:rPr>
        <w:t xml:space="preserve">V důsledku </w:t>
      </w:r>
      <w:r w:rsidR="00A05AE2" w:rsidRPr="00811E8A">
        <w:rPr>
          <w:rFonts w:cs="Arial"/>
          <w:b/>
          <w:lang w:eastAsia="cs-CZ"/>
        </w:rPr>
        <w:t>uznalo způsobilými také osobní výdaje, které nerespektovaly cenu v čase a místě obvyklou.</w:t>
      </w:r>
      <w:r w:rsidR="00A05AE2" w:rsidRPr="00C30EAD">
        <w:rPr>
          <w:rFonts w:cs="Arial"/>
          <w:lang w:eastAsia="cs-CZ"/>
        </w:rPr>
        <w:t xml:space="preserve"> </w:t>
      </w:r>
      <w:r w:rsidR="00A05AE2" w:rsidRPr="00A05AE2">
        <w:rPr>
          <w:rFonts w:cs="Arial"/>
          <w:lang w:eastAsia="cs-CZ"/>
        </w:rPr>
        <w:t xml:space="preserve">Tím, že </w:t>
      </w:r>
      <w:r w:rsidR="008A473C" w:rsidRPr="004C26FF">
        <w:rPr>
          <w:rFonts w:cs="Arial"/>
          <w:lang w:eastAsia="cs-CZ"/>
        </w:rPr>
        <w:t xml:space="preserve">MŠMT </w:t>
      </w:r>
      <w:r w:rsidRPr="004C26FF">
        <w:rPr>
          <w:rFonts w:cs="Arial"/>
          <w:lang w:eastAsia="cs-CZ"/>
        </w:rPr>
        <w:t xml:space="preserve">nestanovilo kritéria pro hodnocení hospodárného výkonu veřejné správy, jak stanoví </w:t>
      </w:r>
      <w:r w:rsidR="00F05DAF" w:rsidRPr="004C26FF">
        <w:rPr>
          <w:rFonts w:cs="Arial"/>
          <w:lang w:eastAsia="cs-CZ"/>
        </w:rPr>
        <w:t>prováděcí vyhlášk</w:t>
      </w:r>
      <w:r w:rsidRPr="004C26FF">
        <w:rPr>
          <w:rFonts w:cs="Arial"/>
          <w:lang w:eastAsia="cs-CZ"/>
        </w:rPr>
        <w:t>a</w:t>
      </w:r>
      <w:r w:rsidR="00F05DAF" w:rsidRPr="004C26FF">
        <w:rPr>
          <w:rFonts w:cs="Arial"/>
          <w:lang w:eastAsia="cs-CZ"/>
        </w:rPr>
        <w:t xml:space="preserve"> k zákonu o </w:t>
      </w:r>
      <w:r w:rsidR="0085703F" w:rsidRPr="004C26FF">
        <w:rPr>
          <w:rFonts w:cs="Arial"/>
          <w:lang w:eastAsia="cs-CZ"/>
        </w:rPr>
        <w:t>finanční kontrole</w:t>
      </w:r>
      <w:r w:rsidR="008F2B46" w:rsidRPr="004C26FF">
        <w:rPr>
          <w:rStyle w:val="Znakapoznpodarou"/>
          <w:rFonts w:cs="Arial"/>
          <w:lang w:eastAsia="cs-CZ"/>
        </w:rPr>
        <w:footnoteReference w:id="18"/>
      </w:r>
      <w:r w:rsidR="00A05AE2" w:rsidRPr="004C26FF">
        <w:rPr>
          <w:rFonts w:cs="Arial"/>
          <w:lang w:eastAsia="cs-CZ"/>
        </w:rPr>
        <w:t>,</w:t>
      </w:r>
      <w:r w:rsidRPr="004C26FF">
        <w:rPr>
          <w:rFonts w:cs="Arial"/>
          <w:lang w:eastAsia="cs-CZ"/>
        </w:rPr>
        <w:t xml:space="preserve"> </w:t>
      </w:r>
      <w:r w:rsidR="00DD443D" w:rsidRPr="00C30EAD">
        <w:rPr>
          <w:rFonts w:cs="Arial"/>
          <w:lang w:eastAsia="cs-CZ"/>
        </w:rPr>
        <w:t xml:space="preserve">nenaplnilo určené </w:t>
      </w:r>
      <w:r w:rsidR="00DA53F7" w:rsidRPr="00C30EAD">
        <w:rPr>
          <w:rFonts w:cs="Arial"/>
          <w:lang w:eastAsia="cs-CZ"/>
        </w:rPr>
        <w:t xml:space="preserve">úkoly </w:t>
      </w:r>
      <w:r w:rsidR="00DD443D" w:rsidRPr="00C30EAD">
        <w:rPr>
          <w:rFonts w:cs="Arial"/>
          <w:lang w:eastAsia="cs-CZ"/>
        </w:rPr>
        <w:t>nejhospodárnějším způsobem</w:t>
      </w:r>
      <w:r w:rsidR="00DA53F7" w:rsidRPr="004C26FF">
        <w:rPr>
          <w:rFonts w:cs="Arial"/>
          <w:lang w:eastAsia="cs-CZ"/>
        </w:rPr>
        <w:t>.</w:t>
      </w:r>
      <w:r w:rsidR="00DA53F7" w:rsidRPr="009D0852">
        <w:rPr>
          <w:rFonts w:cs="Arial"/>
          <w:lang w:eastAsia="cs-CZ"/>
        </w:rPr>
        <w:t xml:space="preserve"> </w:t>
      </w:r>
      <w:r w:rsidR="005D50E7" w:rsidRPr="00C30EAD">
        <w:rPr>
          <w:rFonts w:cs="Arial"/>
          <w:lang w:eastAsia="cs-CZ"/>
        </w:rPr>
        <w:t>Kontrolou NKÚ</w:t>
      </w:r>
      <w:r w:rsidR="00DD443D" w:rsidRPr="00C30EAD">
        <w:rPr>
          <w:rFonts w:cs="Arial"/>
          <w:lang w:eastAsia="cs-CZ"/>
        </w:rPr>
        <w:t xml:space="preserve"> bylo zjištěno, že osobní výdaje na typových pozicích manažer projektu, dotační manažer, personalista a účetní </w:t>
      </w:r>
      <w:r w:rsidR="00DA53F7" w:rsidRPr="00C30EAD">
        <w:rPr>
          <w:rFonts w:cs="Arial"/>
          <w:lang w:eastAsia="cs-CZ"/>
        </w:rPr>
        <w:t xml:space="preserve">se </w:t>
      </w:r>
      <w:r w:rsidR="00DD443D" w:rsidRPr="00C30EAD">
        <w:rPr>
          <w:rFonts w:cs="Arial"/>
          <w:lang w:eastAsia="cs-CZ"/>
        </w:rPr>
        <w:t>v</w:t>
      </w:r>
      <w:r w:rsidR="00DA53F7" w:rsidRPr="00C30EAD">
        <w:rPr>
          <w:rFonts w:cs="Arial"/>
          <w:lang w:eastAsia="cs-CZ"/>
        </w:rPr>
        <w:t xml:space="preserve"> některých </w:t>
      </w:r>
      <w:r w:rsidR="00DD443D" w:rsidRPr="00C30EAD">
        <w:rPr>
          <w:rFonts w:cs="Arial"/>
          <w:lang w:eastAsia="cs-CZ"/>
        </w:rPr>
        <w:t xml:space="preserve">projektech </w:t>
      </w:r>
      <w:r w:rsidR="001942B3" w:rsidRPr="00C30EAD">
        <w:rPr>
          <w:rFonts w:cs="Arial"/>
          <w:lang w:eastAsia="cs-CZ"/>
        </w:rPr>
        <w:t xml:space="preserve">OP </w:t>
      </w:r>
      <w:r w:rsidR="00DD443D" w:rsidRPr="00C30EAD">
        <w:rPr>
          <w:rFonts w:cs="Arial"/>
          <w:lang w:eastAsia="cs-CZ"/>
        </w:rPr>
        <w:t>VaVpI výrazně odchylují</w:t>
      </w:r>
      <w:r w:rsidR="00D04C4F" w:rsidRPr="00C30EAD">
        <w:rPr>
          <w:rFonts w:cs="Arial"/>
          <w:lang w:eastAsia="cs-CZ"/>
        </w:rPr>
        <w:t xml:space="preserve"> směrem vzhůru</w:t>
      </w:r>
      <w:r w:rsidR="00DD443D" w:rsidRPr="00C30EAD">
        <w:rPr>
          <w:rFonts w:cs="Arial"/>
          <w:lang w:eastAsia="cs-CZ"/>
        </w:rPr>
        <w:t xml:space="preserve"> od nejčastější výše odměny pro danou kategorii pracovního </w:t>
      </w:r>
      <w:r w:rsidR="00DA53F7" w:rsidRPr="00C30EAD">
        <w:rPr>
          <w:rFonts w:cs="Arial"/>
          <w:lang w:eastAsia="cs-CZ"/>
        </w:rPr>
        <w:t xml:space="preserve">místa </w:t>
      </w:r>
      <w:r w:rsidR="00DD443D" w:rsidRPr="00C30EAD">
        <w:rPr>
          <w:rFonts w:cs="Arial"/>
          <w:lang w:eastAsia="cs-CZ"/>
        </w:rPr>
        <w:t>v Č</w:t>
      </w:r>
      <w:r w:rsidR="006A76C4" w:rsidRPr="00C30EAD">
        <w:rPr>
          <w:rFonts w:cs="Arial"/>
          <w:lang w:eastAsia="cs-CZ"/>
        </w:rPr>
        <w:t>R</w:t>
      </w:r>
      <w:r w:rsidR="00EE536D" w:rsidRPr="00C30EAD">
        <w:rPr>
          <w:rStyle w:val="Znakapoznpodarou"/>
          <w:rFonts w:cs="Arial"/>
          <w:lang w:eastAsia="cs-CZ"/>
        </w:rPr>
        <w:footnoteReference w:id="19"/>
      </w:r>
      <w:r w:rsidR="00891BFE">
        <w:rPr>
          <w:rFonts w:cs="Arial"/>
          <w:lang w:eastAsia="cs-CZ"/>
        </w:rPr>
        <w:t>, a to</w:t>
      </w:r>
      <w:r w:rsidR="006A76C4" w:rsidRPr="00C30EAD">
        <w:rPr>
          <w:rFonts w:cs="Arial"/>
          <w:lang w:eastAsia="cs-CZ"/>
        </w:rPr>
        <w:t xml:space="preserve"> bez řádného zdůvodnění</w:t>
      </w:r>
      <w:r w:rsidR="00DA53F7" w:rsidRPr="00C30EAD">
        <w:rPr>
          <w:rFonts w:cs="Arial"/>
          <w:lang w:eastAsia="cs-CZ"/>
        </w:rPr>
        <w:t xml:space="preserve">. </w:t>
      </w:r>
      <w:r w:rsidR="00D04C4F" w:rsidRPr="00C30EAD">
        <w:rPr>
          <w:rFonts w:cs="Arial"/>
          <w:lang w:eastAsia="cs-CZ"/>
        </w:rPr>
        <w:t>V</w:t>
      </w:r>
      <w:r w:rsidR="006B430C">
        <w:rPr>
          <w:rFonts w:cs="Arial"/>
          <w:lang w:eastAsia="cs-CZ"/>
        </w:rPr>
        <w:t>ýše uvedené skutečnosti nasvědčují tomu, že</w:t>
      </w:r>
      <w:r w:rsidR="00341A9F" w:rsidRPr="00C30EAD">
        <w:rPr>
          <w:rFonts w:cs="Arial"/>
          <w:lang w:eastAsia="cs-CZ"/>
        </w:rPr>
        <w:t xml:space="preserve"> </w:t>
      </w:r>
      <w:r w:rsidR="0066481D" w:rsidRPr="00C30EAD">
        <w:rPr>
          <w:rFonts w:cs="Arial"/>
          <w:lang w:eastAsia="cs-CZ"/>
        </w:rPr>
        <w:t xml:space="preserve">schválením nepřiměřených osobních výdajů </w:t>
      </w:r>
      <w:r w:rsidR="006B430C" w:rsidRPr="00C30EAD">
        <w:rPr>
          <w:rFonts w:cs="Arial"/>
          <w:lang w:eastAsia="cs-CZ"/>
        </w:rPr>
        <w:t xml:space="preserve">se MŠMT </w:t>
      </w:r>
      <w:r w:rsidR="00341A9F" w:rsidRPr="00C30EAD">
        <w:rPr>
          <w:rFonts w:cs="Arial"/>
          <w:lang w:eastAsia="cs-CZ"/>
        </w:rPr>
        <w:t>dopustilo porušení rozpočtové kázně</w:t>
      </w:r>
      <w:r w:rsidR="005D50E7" w:rsidRPr="00C30EAD">
        <w:rPr>
          <w:rStyle w:val="Znakapoznpodarou"/>
          <w:rFonts w:cs="Arial"/>
          <w:lang w:eastAsia="cs-CZ"/>
        </w:rPr>
        <w:footnoteReference w:id="20"/>
      </w:r>
      <w:r w:rsidR="009A0785" w:rsidRPr="00C30EAD">
        <w:rPr>
          <w:rFonts w:cs="Arial"/>
          <w:lang w:eastAsia="cs-CZ"/>
        </w:rPr>
        <w:t>, které</w:t>
      </w:r>
      <w:r w:rsidR="0066481D" w:rsidRPr="00C30EAD">
        <w:rPr>
          <w:rFonts w:cs="Arial"/>
          <w:lang w:eastAsia="cs-CZ"/>
        </w:rPr>
        <w:t xml:space="preserve"> </w:t>
      </w:r>
      <w:r w:rsidR="00D04C4F" w:rsidRPr="00C30EAD">
        <w:rPr>
          <w:rFonts w:cs="Arial"/>
          <w:lang w:eastAsia="cs-CZ"/>
        </w:rPr>
        <w:t>též</w:t>
      </w:r>
      <w:r w:rsidR="0066481D" w:rsidRPr="00C30EAD">
        <w:rPr>
          <w:rFonts w:cs="Arial"/>
          <w:lang w:eastAsia="cs-CZ"/>
        </w:rPr>
        <w:t xml:space="preserve"> vede ke vzniku nesrovnalosti ve smyslu evropských předpisů</w:t>
      </w:r>
      <w:r w:rsidR="0066481D" w:rsidRPr="00C30EAD">
        <w:rPr>
          <w:rStyle w:val="Znakapoznpodarou"/>
          <w:rFonts w:cs="Arial"/>
          <w:lang w:eastAsia="cs-CZ"/>
        </w:rPr>
        <w:footnoteReference w:id="21"/>
      </w:r>
      <w:r w:rsidR="0066481D" w:rsidRPr="00C30EAD">
        <w:rPr>
          <w:rFonts w:cs="Arial"/>
          <w:lang w:eastAsia="cs-CZ"/>
        </w:rPr>
        <w:t>.</w:t>
      </w:r>
    </w:p>
    <w:p w14:paraId="4557C777" w14:textId="77777777" w:rsidR="00DA53F7" w:rsidRPr="00C30EAD" w:rsidRDefault="00DA53F7" w:rsidP="007C008D">
      <w:pPr>
        <w:rPr>
          <w:rFonts w:cs="Arial"/>
          <w:szCs w:val="22"/>
          <w:lang w:eastAsia="cs-CZ"/>
        </w:rPr>
      </w:pPr>
    </w:p>
    <w:p w14:paraId="538BFC9E" w14:textId="59FEA623" w:rsidR="000A32EF" w:rsidRPr="00C30EAD" w:rsidRDefault="00DA53F7" w:rsidP="007C008D">
      <w:pPr>
        <w:rPr>
          <w:rFonts w:cs="Arial"/>
          <w:bCs/>
          <w:color w:val="000000"/>
          <w:szCs w:val="22"/>
        </w:rPr>
      </w:pPr>
      <w:r w:rsidRPr="00C30EAD">
        <w:rPr>
          <w:rFonts w:cs="Arial"/>
          <w:szCs w:val="22"/>
          <w:lang w:eastAsia="cs-CZ"/>
        </w:rPr>
        <w:t>Při kontrole NKÚ bylo t</w:t>
      </w:r>
      <w:r w:rsidR="00AF7629" w:rsidRPr="00C30EAD">
        <w:rPr>
          <w:rFonts w:cs="Arial"/>
          <w:szCs w:val="22"/>
          <w:lang w:eastAsia="cs-CZ"/>
        </w:rPr>
        <w:t>é</w:t>
      </w:r>
      <w:r w:rsidRPr="00C30EAD">
        <w:rPr>
          <w:rFonts w:cs="Arial"/>
          <w:szCs w:val="22"/>
          <w:lang w:eastAsia="cs-CZ"/>
        </w:rPr>
        <w:t>ž prověřeno nastavení systému pro</w:t>
      </w:r>
      <w:r w:rsidR="00F05DAF" w:rsidRPr="00C30EAD">
        <w:rPr>
          <w:rFonts w:cs="Arial"/>
          <w:szCs w:val="22"/>
          <w:lang w:eastAsia="cs-CZ"/>
        </w:rPr>
        <w:t xml:space="preserve"> kontrolu na místě u příjemců a </w:t>
      </w:r>
      <w:r w:rsidRPr="00C30EAD">
        <w:rPr>
          <w:rFonts w:cs="Arial"/>
          <w:szCs w:val="22"/>
          <w:lang w:eastAsia="cs-CZ"/>
        </w:rPr>
        <w:t>způsob výběru vzorku pro kontrolu projektů</w:t>
      </w:r>
      <w:r w:rsidR="00E95D45" w:rsidRPr="00C30EAD">
        <w:rPr>
          <w:rFonts w:cs="Arial"/>
          <w:szCs w:val="22"/>
          <w:lang w:eastAsia="cs-CZ"/>
        </w:rPr>
        <w:t>.</w:t>
      </w:r>
      <w:r w:rsidRPr="00C30EAD">
        <w:rPr>
          <w:rFonts w:cs="Arial"/>
          <w:szCs w:val="22"/>
          <w:lang w:eastAsia="cs-CZ"/>
        </w:rPr>
        <w:t xml:space="preserve"> </w:t>
      </w:r>
      <w:r w:rsidR="005D50E7" w:rsidRPr="00C30EAD">
        <w:rPr>
          <w:rFonts w:cs="Arial"/>
          <w:bCs/>
          <w:color w:val="000000"/>
          <w:szCs w:val="22"/>
        </w:rPr>
        <w:t>MŠMT</w:t>
      </w:r>
      <w:r w:rsidR="005D50E7" w:rsidRPr="00C30EAD">
        <w:rPr>
          <w:rFonts w:cs="Arial"/>
          <w:szCs w:val="22"/>
          <w:lang w:eastAsia="cs-CZ"/>
        </w:rPr>
        <w:t xml:space="preserve"> zavedlo </w:t>
      </w:r>
      <w:r w:rsidR="001942B3" w:rsidRPr="00C30EAD">
        <w:rPr>
          <w:rFonts w:cs="Arial"/>
          <w:szCs w:val="22"/>
          <w:lang w:eastAsia="cs-CZ"/>
        </w:rPr>
        <w:t>pro</w:t>
      </w:r>
      <w:r w:rsidR="00D56A4F" w:rsidRPr="00C30EAD">
        <w:rPr>
          <w:rFonts w:cs="Arial"/>
          <w:szCs w:val="22"/>
          <w:lang w:eastAsia="cs-CZ"/>
        </w:rPr>
        <w:t xml:space="preserve"> účely kontrol na místě u</w:t>
      </w:r>
      <w:r w:rsidR="002C529E">
        <w:rPr>
          <w:rFonts w:cs="Arial"/>
          <w:szCs w:val="22"/>
          <w:lang w:eastAsia="cs-CZ"/>
        </w:rPr>
        <w:t> </w:t>
      </w:r>
      <w:r w:rsidR="00D56A4F" w:rsidRPr="00C30EAD">
        <w:rPr>
          <w:rFonts w:cs="Arial"/>
          <w:szCs w:val="22"/>
          <w:lang w:eastAsia="cs-CZ"/>
        </w:rPr>
        <w:t xml:space="preserve">příjemců dotací kromě veřejnosprávních kontrol na místě institut tzv. </w:t>
      </w:r>
      <w:r w:rsidR="00D56A4F" w:rsidRPr="00C30EAD">
        <w:rPr>
          <w:rFonts w:cs="Arial"/>
          <w:i/>
          <w:szCs w:val="22"/>
          <w:lang w:eastAsia="cs-CZ"/>
        </w:rPr>
        <w:t>dohledové kontroly</w:t>
      </w:r>
      <w:r w:rsidR="00D56A4F" w:rsidRPr="00C30EAD">
        <w:rPr>
          <w:rFonts w:cs="Arial"/>
          <w:szCs w:val="22"/>
          <w:lang w:eastAsia="cs-CZ"/>
        </w:rPr>
        <w:t xml:space="preserve">, která je též prováděna na místě u příjemců a je výkonem státní moci. </w:t>
      </w:r>
      <w:r w:rsidR="008A6BB8" w:rsidRPr="00C30EAD">
        <w:rPr>
          <w:rFonts w:cs="Arial"/>
          <w:szCs w:val="22"/>
          <w:lang w:eastAsia="cs-CZ"/>
        </w:rPr>
        <w:t xml:space="preserve">MŠMT </w:t>
      </w:r>
      <w:r w:rsidR="00D56A4F" w:rsidRPr="00C30EAD">
        <w:rPr>
          <w:rFonts w:cs="Arial"/>
          <w:szCs w:val="22"/>
          <w:lang w:eastAsia="cs-CZ"/>
        </w:rPr>
        <w:t xml:space="preserve">výkon dohledové kontroly </w:t>
      </w:r>
      <w:r w:rsidR="00B94F7C" w:rsidRPr="00C30EAD">
        <w:rPr>
          <w:rFonts w:cs="Arial"/>
          <w:szCs w:val="22"/>
          <w:lang w:eastAsia="cs-CZ"/>
        </w:rPr>
        <w:t xml:space="preserve">nepovažuje </w:t>
      </w:r>
      <w:r w:rsidR="008A6BB8" w:rsidRPr="00C30EAD">
        <w:rPr>
          <w:rFonts w:cs="Arial"/>
          <w:szCs w:val="22"/>
          <w:lang w:eastAsia="cs-CZ"/>
        </w:rPr>
        <w:t>za veřejnosprávní kontrolu, jejíž provádění by se mělo řídit zákonem</w:t>
      </w:r>
      <w:bookmarkStart w:id="4" w:name="_Ref332810914"/>
      <w:r w:rsidR="008A6BB8" w:rsidRPr="00C30EAD">
        <w:rPr>
          <w:rStyle w:val="Znakapoznpodarou"/>
          <w:rFonts w:cs="Arial"/>
          <w:szCs w:val="22"/>
          <w:lang w:eastAsia="cs-CZ"/>
        </w:rPr>
        <w:footnoteReference w:id="22"/>
      </w:r>
      <w:bookmarkEnd w:id="4"/>
      <w:r w:rsidR="008A6BB8" w:rsidRPr="00C30EAD">
        <w:rPr>
          <w:rFonts w:cs="Arial"/>
          <w:szCs w:val="22"/>
          <w:lang w:eastAsia="cs-CZ"/>
        </w:rPr>
        <w:t xml:space="preserve">. </w:t>
      </w:r>
      <w:r w:rsidR="00C10869">
        <w:rPr>
          <w:rFonts w:cs="Arial"/>
          <w:bCs/>
          <w:color w:val="000000"/>
          <w:szCs w:val="22"/>
        </w:rPr>
        <w:t>V </w:t>
      </w:r>
      <w:r w:rsidR="000A32EF" w:rsidRPr="00C30EAD">
        <w:rPr>
          <w:rFonts w:cs="Arial"/>
          <w:bCs/>
          <w:color w:val="000000"/>
          <w:szCs w:val="22"/>
        </w:rPr>
        <w:t>důsledku toho kontrolovaní příjemci</w:t>
      </w:r>
      <w:r w:rsidR="00B94F7C" w:rsidRPr="00C30EAD">
        <w:rPr>
          <w:rFonts w:cs="Arial"/>
          <w:bCs/>
          <w:color w:val="000000"/>
          <w:szCs w:val="22"/>
        </w:rPr>
        <w:t>, jejichž práva mohou být dohledovou kontrolou dotčena,</w:t>
      </w:r>
      <w:r w:rsidR="000A32EF" w:rsidRPr="00C30EAD">
        <w:rPr>
          <w:rFonts w:cs="Arial"/>
          <w:bCs/>
          <w:color w:val="000000"/>
          <w:szCs w:val="22"/>
        </w:rPr>
        <w:t xml:space="preserve"> nemohou využít </w:t>
      </w:r>
      <w:r w:rsidR="00DF79FC" w:rsidRPr="00C30EAD">
        <w:rPr>
          <w:rFonts w:cs="Arial"/>
          <w:bCs/>
          <w:color w:val="000000"/>
          <w:szCs w:val="22"/>
        </w:rPr>
        <w:t xml:space="preserve">procesních </w:t>
      </w:r>
      <w:r w:rsidR="00D56A4F" w:rsidRPr="00C30EAD">
        <w:rPr>
          <w:rFonts w:cs="Arial"/>
          <w:bCs/>
          <w:color w:val="000000"/>
          <w:szCs w:val="22"/>
        </w:rPr>
        <w:t xml:space="preserve">práv, </w:t>
      </w:r>
      <w:r w:rsidR="000A32EF" w:rsidRPr="00C30EAD">
        <w:rPr>
          <w:rFonts w:cs="Arial"/>
          <w:bCs/>
          <w:color w:val="000000"/>
          <w:szCs w:val="22"/>
        </w:rPr>
        <w:t>která jim příslušné právní předpisy zaručují</w:t>
      </w:r>
      <w:r w:rsidR="000A32EF" w:rsidRPr="00C30EAD">
        <w:rPr>
          <w:rFonts w:cs="Arial"/>
          <w:bCs/>
          <w:color w:val="000000"/>
          <w:szCs w:val="22"/>
          <w:vertAlign w:val="superscript"/>
        </w:rPr>
        <w:footnoteReference w:id="23"/>
      </w:r>
      <w:r w:rsidR="005D50E7" w:rsidRPr="00C30EAD">
        <w:rPr>
          <w:rFonts w:cs="Arial"/>
          <w:bCs/>
          <w:color w:val="000000"/>
          <w:szCs w:val="22"/>
        </w:rPr>
        <w:t>.</w:t>
      </w:r>
      <w:r w:rsidR="00D56A4F" w:rsidRPr="00C30EAD">
        <w:rPr>
          <w:rFonts w:cs="Arial"/>
          <w:bCs/>
          <w:color w:val="000000"/>
          <w:szCs w:val="22"/>
        </w:rPr>
        <w:t xml:space="preserve"> Evropsk</w:t>
      </w:r>
      <w:r w:rsidR="004F6F34" w:rsidRPr="00C30EAD">
        <w:rPr>
          <w:rFonts w:cs="Arial"/>
          <w:bCs/>
          <w:color w:val="000000"/>
          <w:szCs w:val="22"/>
        </w:rPr>
        <w:t>é</w:t>
      </w:r>
      <w:r w:rsidR="00D56A4F" w:rsidRPr="00C30EAD">
        <w:rPr>
          <w:rFonts w:cs="Arial"/>
          <w:bCs/>
          <w:color w:val="000000"/>
          <w:szCs w:val="22"/>
        </w:rPr>
        <w:t xml:space="preserve"> </w:t>
      </w:r>
      <w:r w:rsidR="004F6F34" w:rsidRPr="00C30EAD">
        <w:rPr>
          <w:rFonts w:cs="Arial"/>
          <w:bCs/>
          <w:color w:val="000000"/>
          <w:szCs w:val="22"/>
        </w:rPr>
        <w:t xml:space="preserve">předpisy </w:t>
      </w:r>
      <w:r w:rsidR="00D56A4F" w:rsidRPr="00C30EAD">
        <w:rPr>
          <w:rFonts w:cs="Arial"/>
          <w:bCs/>
          <w:color w:val="000000"/>
          <w:szCs w:val="22"/>
        </w:rPr>
        <w:t>vztahující se k povinnostem řídicího orgánu v oblasti ověřování</w:t>
      </w:r>
      <w:r w:rsidR="00B94F7C" w:rsidRPr="00C30EAD">
        <w:rPr>
          <w:rFonts w:cs="Arial"/>
          <w:bCs/>
          <w:color w:val="000000"/>
          <w:szCs w:val="22"/>
        </w:rPr>
        <w:t xml:space="preserve"> </w:t>
      </w:r>
      <w:r w:rsidR="00E95D45" w:rsidRPr="00C30EAD">
        <w:rPr>
          <w:rFonts w:cs="Arial"/>
          <w:bCs/>
          <w:color w:val="000000"/>
          <w:szCs w:val="22"/>
        </w:rPr>
        <w:t xml:space="preserve">operací </w:t>
      </w:r>
      <w:r w:rsidR="00B94F7C" w:rsidRPr="00C30EAD">
        <w:rPr>
          <w:rFonts w:cs="Arial"/>
          <w:bCs/>
          <w:color w:val="000000"/>
          <w:szCs w:val="22"/>
        </w:rPr>
        <w:t>neupravují procesní stránku</w:t>
      </w:r>
      <w:r w:rsidR="005D50E7" w:rsidRPr="00C30EAD">
        <w:rPr>
          <w:rFonts w:cs="Arial"/>
          <w:bCs/>
          <w:color w:val="000000"/>
          <w:szCs w:val="22"/>
        </w:rPr>
        <w:t xml:space="preserve"> </w:t>
      </w:r>
      <w:r w:rsidR="00B94F7C" w:rsidRPr="00C30EAD">
        <w:rPr>
          <w:rFonts w:cs="Arial"/>
          <w:bCs/>
          <w:color w:val="000000"/>
          <w:szCs w:val="22"/>
        </w:rPr>
        <w:t>kontrol</w:t>
      </w:r>
      <w:r w:rsidR="005D50E7" w:rsidRPr="00C30EAD">
        <w:rPr>
          <w:rFonts w:cs="Arial"/>
          <w:bCs/>
          <w:color w:val="000000"/>
          <w:szCs w:val="22"/>
        </w:rPr>
        <w:t xml:space="preserve"> na místě</w:t>
      </w:r>
      <w:r w:rsidR="00D56A4F" w:rsidRPr="00C30EAD">
        <w:rPr>
          <w:rFonts w:cs="Arial"/>
          <w:bCs/>
          <w:color w:val="000000"/>
          <w:szCs w:val="22"/>
        </w:rPr>
        <w:t xml:space="preserve">, </w:t>
      </w:r>
      <w:r w:rsidR="004F357F" w:rsidRPr="00C30EAD">
        <w:rPr>
          <w:rFonts w:cs="Arial"/>
          <w:bCs/>
          <w:color w:val="000000"/>
          <w:szCs w:val="22"/>
        </w:rPr>
        <w:t xml:space="preserve">proto </w:t>
      </w:r>
      <w:r w:rsidR="00B94F7C" w:rsidRPr="00C30EAD">
        <w:rPr>
          <w:rFonts w:cs="Arial"/>
          <w:bCs/>
          <w:color w:val="000000"/>
          <w:szCs w:val="22"/>
        </w:rPr>
        <w:t>je nutn</w:t>
      </w:r>
      <w:r w:rsidR="008C3BE7">
        <w:rPr>
          <w:rFonts w:cs="Arial"/>
          <w:bCs/>
          <w:color w:val="000000"/>
          <w:szCs w:val="22"/>
        </w:rPr>
        <w:t>é</w:t>
      </w:r>
      <w:r w:rsidR="00B94F7C" w:rsidRPr="00C30EAD">
        <w:rPr>
          <w:rFonts w:cs="Arial"/>
          <w:bCs/>
          <w:color w:val="000000"/>
          <w:szCs w:val="22"/>
        </w:rPr>
        <w:t xml:space="preserve"> při dohledové kontrole aplikovat </w:t>
      </w:r>
      <w:r w:rsidR="000C1E76" w:rsidRPr="00C30EAD">
        <w:rPr>
          <w:rFonts w:cs="Arial"/>
          <w:bCs/>
          <w:color w:val="000000"/>
          <w:szCs w:val="22"/>
        </w:rPr>
        <w:t>národní právní předpisy</w:t>
      </w:r>
      <w:r w:rsidR="004F357F" w:rsidRPr="00C30EAD">
        <w:rPr>
          <w:rFonts w:cs="Arial"/>
          <w:bCs/>
          <w:color w:val="000000"/>
          <w:szCs w:val="22"/>
        </w:rPr>
        <w:t>.</w:t>
      </w:r>
      <w:r w:rsidR="00661F9A">
        <w:rPr>
          <w:rFonts w:cs="Arial"/>
          <w:bCs/>
          <w:color w:val="000000"/>
          <w:szCs w:val="22"/>
        </w:rPr>
        <w:t xml:space="preserve"> </w:t>
      </w:r>
      <w:r w:rsidR="00661F9A" w:rsidRPr="00661F9A">
        <w:rPr>
          <w:rFonts w:cs="Arial"/>
          <w:b/>
          <w:bCs/>
          <w:color w:val="000000"/>
          <w:szCs w:val="22"/>
        </w:rPr>
        <w:t>P</w:t>
      </w:r>
      <w:r w:rsidR="00661F9A" w:rsidRPr="00C30EAD">
        <w:rPr>
          <w:rFonts w:cs="Arial"/>
          <w:b/>
          <w:szCs w:val="22"/>
          <w:lang w:eastAsia="cs-CZ"/>
        </w:rPr>
        <w:t>ři výkonu dohledových kontrol u nepod</w:t>
      </w:r>
      <w:r w:rsidR="00D84BD8">
        <w:rPr>
          <w:rFonts w:cs="Arial"/>
          <w:b/>
          <w:szCs w:val="22"/>
          <w:lang w:eastAsia="cs-CZ"/>
        </w:rPr>
        <w:t>řízeného subjektu postupovalo</w:t>
      </w:r>
      <w:r w:rsidR="00661F9A" w:rsidRPr="00C30EAD">
        <w:rPr>
          <w:rFonts w:cs="Arial"/>
          <w:b/>
          <w:szCs w:val="22"/>
          <w:lang w:eastAsia="cs-CZ"/>
        </w:rPr>
        <w:t xml:space="preserve"> </w:t>
      </w:r>
      <w:r w:rsidR="008C3BE7">
        <w:rPr>
          <w:rFonts w:cs="Arial"/>
          <w:b/>
          <w:szCs w:val="22"/>
          <w:lang w:eastAsia="cs-CZ"/>
        </w:rPr>
        <w:t xml:space="preserve">MŠMT </w:t>
      </w:r>
      <w:r w:rsidR="00661F9A">
        <w:rPr>
          <w:rFonts w:cs="Arial"/>
          <w:b/>
          <w:szCs w:val="22"/>
          <w:lang w:eastAsia="cs-CZ"/>
        </w:rPr>
        <w:t>nad rámec národních předpisů</w:t>
      </w:r>
      <w:r w:rsidR="00661F9A" w:rsidRPr="009D0852">
        <w:rPr>
          <w:rFonts w:cs="Arial"/>
          <w:b/>
          <w:bCs/>
          <w:color w:val="000000"/>
          <w:szCs w:val="22"/>
        </w:rPr>
        <w:t>.</w:t>
      </w:r>
      <w:r w:rsidR="00661F9A">
        <w:rPr>
          <w:rFonts w:cs="Arial"/>
          <w:bCs/>
          <w:color w:val="000000"/>
          <w:szCs w:val="22"/>
        </w:rPr>
        <w:t xml:space="preserve"> Na tuto skutečnost NKÚ upozornil již v rámci kontrolní akce č. 11/17</w:t>
      </w:r>
      <w:r w:rsidR="00661F9A">
        <w:rPr>
          <w:rStyle w:val="Znakapoznpodarou"/>
          <w:rFonts w:cs="Arial"/>
          <w:bCs/>
          <w:color w:val="000000"/>
          <w:szCs w:val="22"/>
        </w:rPr>
        <w:footnoteReference w:id="24"/>
      </w:r>
      <w:r w:rsidR="00661F9A">
        <w:rPr>
          <w:rFonts w:cs="Arial"/>
          <w:bCs/>
          <w:color w:val="000000"/>
          <w:szCs w:val="22"/>
        </w:rPr>
        <w:t>.</w:t>
      </w:r>
    </w:p>
    <w:p w14:paraId="3C6711D0" w14:textId="77777777" w:rsidR="008A6BB8" w:rsidRDefault="008A6BB8" w:rsidP="007C008D">
      <w:pPr>
        <w:spacing w:line="23" w:lineRule="atLeast"/>
        <w:ind w:left="284" w:hanging="284"/>
        <w:jc w:val="left"/>
        <w:rPr>
          <w:rFonts w:cs="Arial"/>
          <w:b/>
          <w:lang w:eastAsia="cs-CZ"/>
        </w:rPr>
      </w:pPr>
    </w:p>
    <w:p w14:paraId="567E7C59" w14:textId="77777777" w:rsidR="00D02F57" w:rsidRDefault="00D02F57" w:rsidP="007C008D">
      <w:pPr>
        <w:spacing w:line="23" w:lineRule="atLeast"/>
        <w:ind w:left="284" w:hanging="284"/>
        <w:jc w:val="left"/>
        <w:rPr>
          <w:rFonts w:cs="Arial"/>
          <w:b/>
          <w:lang w:eastAsia="cs-CZ"/>
        </w:rPr>
      </w:pPr>
    </w:p>
    <w:p w14:paraId="4D75447D" w14:textId="77777777" w:rsidR="00D02F57" w:rsidRPr="00C30EAD" w:rsidRDefault="00D02F57" w:rsidP="007C008D">
      <w:pPr>
        <w:spacing w:line="23" w:lineRule="atLeast"/>
        <w:ind w:left="284" w:hanging="284"/>
        <w:jc w:val="left"/>
        <w:rPr>
          <w:rFonts w:cs="Arial"/>
          <w:b/>
          <w:lang w:eastAsia="cs-CZ"/>
        </w:rPr>
      </w:pPr>
    </w:p>
    <w:p w14:paraId="59233F4A" w14:textId="77777777" w:rsidR="008434D7" w:rsidRDefault="00191C87" w:rsidP="007C008D">
      <w:pPr>
        <w:pStyle w:val="Nadpis1"/>
        <w:ind w:hanging="720"/>
      </w:pPr>
      <w:r w:rsidRPr="00C30EAD">
        <w:lastRenderedPageBreak/>
        <w:t>Finanční řízení a výkaznictví</w:t>
      </w:r>
    </w:p>
    <w:p w14:paraId="52EFC59E" w14:textId="77777777" w:rsidR="002C529E" w:rsidRPr="002C529E" w:rsidRDefault="002C529E" w:rsidP="007C008D">
      <w:pPr>
        <w:rPr>
          <w:lang w:eastAsia="cs-CZ"/>
        </w:rPr>
      </w:pPr>
    </w:p>
    <w:p w14:paraId="383FD4D9" w14:textId="02BAE329" w:rsidR="00FD30E1" w:rsidRPr="00C30EAD" w:rsidRDefault="00E038D5" w:rsidP="007C008D">
      <w:pPr>
        <w:spacing w:line="23" w:lineRule="atLeast"/>
        <w:rPr>
          <w:rFonts w:cs="Arial"/>
          <w:lang w:eastAsia="cs-CZ"/>
        </w:rPr>
      </w:pPr>
      <w:r w:rsidRPr="00C30EAD">
        <w:rPr>
          <w:rFonts w:cs="Arial"/>
          <w:b/>
          <w:lang w:eastAsia="cs-CZ"/>
        </w:rPr>
        <w:t>MŠMT jako řídicí orgán jednalo v rozporu s evropským předpisem</w:t>
      </w:r>
      <w:r w:rsidR="007A226D" w:rsidRPr="00C30EAD">
        <w:rPr>
          <w:rStyle w:val="Znakapoznpodarou"/>
          <w:rFonts w:cs="Arial"/>
          <w:b/>
          <w:lang w:eastAsia="cs-CZ"/>
        </w:rPr>
        <w:footnoteReference w:id="25"/>
      </w:r>
      <w:r w:rsidR="007A226D" w:rsidRPr="00C30EAD">
        <w:rPr>
          <w:rFonts w:cs="Arial"/>
          <w:b/>
          <w:lang w:eastAsia="cs-CZ"/>
        </w:rPr>
        <w:t xml:space="preserve">, neboť nezajistilo, aby certifikační orgán obdržel pro účely </w:t>
      </w:r>
      <w:r w:rsidR="00FD30E1" w:rsidRPr="00C30EAD">
        <w:rPr>
          <w:rFonts w:cs="Arial"/>
          <w:b/>
          <w:lang w:eastAsia="cs-CZ"/>
        </w:rPr>
        <w:t>4., 7. a 8.</w:t>
      </w:r>
      <w:r w:rsidR="00FD30E1" w:rsidRPr="00C30EAD">
        <w:rPr>
          <w:rFonts w:cs="Arial"/>
          <w:lang w:eastAsia="cs-CZ"/>
        </w:rPr>
        <w:t xml:space="preserve"> </w:t>
      </w:r>
      <w:r w:rsidR="007A226D" w:rsidRPr="00C30EAD">
        <w:rPr>
          <w:rFonts w:cs="Arial"/>
          <w:b/>
          <w:lang w:eastAsia="cs-CZ"/>
        </w:rPr>
        <w:t>certifikace výdajů všechny nezbytné informace o postupech a ověřeních provedených v souvislosti s</w:t>
      </w:r>
      <w:r w:rsidR="005D3F94">
        <w:rPr>
          <w:rFonts w:cs="Arial"/>
          <w:b/>
          <w:lang w:eastAsia="cs-CZ"/>
        </w:rPr>
        <w:t> </w:t>
      </w:r>
      <w:r w:rsidR="007A226D" w:rsidRPr="00C30EAD">
        <w:rPr>
          <w:rFonts w:cs="Arial"/>
          <w:b/>
          <w:lang w:eastAsia="cs-CZ"/>
        </w:rPr>
        <w:t xml:space="preserve">výdaji vztahujícími </w:t>
      </w:r>
      <w:r w:rsidR="00C52316" w:rsidRPr="00C30EAD">
        <w:rPr>
          <w:rFonts w:cs="Arial"/>
          <w:b/>
          <w:lang w:eastAsia="cs-CZ"/>
        </w:rPr>
        <w:t xml:space="preserve">se </w:t>
      </w:r>
      <w:r w:rsidR="007A226D" w:rsidRPr="00C30EAD">
        <w:rPr>
          <w:rFonts w:cs="Arial"/>
          <w:b/>
          <w:lang w:eastAsia="cs-CZ"/>
        </w:rPr>
        <w:t xml:space="preserve">k veřejným zakázkám. </w:t>
      </w:r>
      <w:r w:rsidR="00FD30E1" w:rsidRPr="00C30EAD">
        <w:rPr>
          <w:rFonts w:cs="Arial"/>
          <w:lang w:eastAsia="cs-CZ"/>
        </w:rPr>
        <w:t xml:space="preserve">MŠMT poskytlo </w:t>
      </w:r>
      <w:r w:rsidR="000C1E76" w:rsidRPr="00C30EAD">
        <w:rPr>
          <w:rFonts w:cs="Arial"/>
          <w:lang w:eastAsia="cs-CZ"/>
        </w:rPr>
        <w:t>v podkladech pro certifikaci nepravdivá</w:t>
      </w:r>
      <w:r w:rsidR="00FD30E1" w:rsidRPr="00C30EAD">
        <w:rPr>
          <w:rFonts w:cs="Arial"/>
          <w:lang w:eastAsia="cs-CZ"/>
        </w:rPr>
        <w:t xml:space="preserve"> ujištění </w:t>
      </w:r>
      <w:r w:rsidR="00BD25F9" w:rsidRPr="00C30EAD">
        <w:rPr>
          <w:rFonts w:cs="Arial"/>
          <w:lang w:eastAsia="cs-CZ"/>
        </w:rPr>
        <w:t>o souladu výdajů s</w:t>
      </w:r>
      <w:r w:rsidR="004F6F34" w:rsidRPr="00C30EAD">
        <w:rPr>
          <w:rFonts w:cs="Arial"/>
          <w:lang w:eastAsia="cs-CZ"/>
        </w:rPr>
        <w:t xml:space="preserve"> evropskými i národními právními </w:t>
      </w:r>
      <w:r w:rsidR="00BD25F9" w:rsidRPr="00C30EAD">
        <w:rPr>
          <w:rFonts w:cs="Arial"/>
          <w:lang w:eastAsia="cs-CZ"/>
        </w:rPr>
        <w:t>předpisy a o uskutečnění ověření výdajů</w:t>
      </w:r>
      <w:r w:rsidR="00FD30E1" w:rsidRPr="00C30EAD">
        <w:rPr>
          <w:rFonts w:cs="Arial"/>
          <w:lang w:eastAsia="cs-CZ"/>
        </w:rPr>
        <w:t xml:space="preserve"> v celkové výši 2 463 399 Kč</w:t>
      </w:r>
      <w:r w:rsidR="00BD25F9" w:rsidRPr="00C30EAD">
        <w:rPr>
          <w:rFonts w:cs="Arial"/>
          <w:lang w:eastAsia="cs-CZ"/>
        </w:rPr>
        <w:t xml:space="preserve"> na veřejné zakázky, i když tato ověř</w:t>
      </w:r>
      <w:r w:rsidR="00DB7B26">
        <w:rPr>
          <w:rFonts w:cs="Arial"/>
          <w:lang w:eastAsia="cs-CZ"/>
        </w:rPr>
        <w:t>ení</w:t>
      </w:r>
      <w:r w:rsidR="00BD25F9" w:rsidRPr="00C30EAD">
        <w:rPr>
          <w:rFonts w:cs="Arial"/>
          <w:lang w:eastAsia="cs-CZ"/>
        </w:rPr>
        <w:t xml:space="preserve"> nebyla dokončena.</w:t>
      </w:r>
    </w:p>
    <w:p w14:paraId="0E30B102" w14:textId="77777777" w:rsidR="00ED5D50" w:rsidRDefault="00ED5D50" w:rsidP="007C008D">
      <w:pPr>
        <w:spacing w:line="23" w:lineRule="atLeast"/>
        <w:rPr>
          <w:rFonts w:cs="Arial"/>
          <w:lang w:eastAsia="cs-CZ"/>
        </w:rPr>
      </w:pPr>
    </w:p>
    <w:p w14:paraId="03D54FF1" w14:textId="7C69BD5C" w:rsidR="00E038D5" w:rsidRPr="00C30EAD" w:rsidRDefault="000C1E76" w:rsidP="007C008D">
      <w:pPr>
        <w:spacing w:line="23" w:lineRule="atLeast"/>
        <w:rPr>
          <w:rFonts w:cs="Arial"/>
          <w:lang w:eastAsia="cs-CZ"/>
        </w:rPr>
      </w:pPr>
      <w:r w:rsidRPr="00C30EAD">
        <w:rPr>
          <w:rFonts w:cs="Arial"/>
          <w:lang w:eastAsia="cs-CZ"/>
        </w:rPr>
        <w:t xml:space="preserve">Dále bylo zjištěno, že MŠMT v rámci 9. certifikace předložilo </w:t>
      </w:r>
      <w:r w:rsidR="006E12CB">
        <w:rPr>
          <w:rFonts w:cs="Arial"/>
          <w:lang w:eastAsia="cs-CZ"/>
        </w:rPr>
        <w:t>p</w:t>
      </w:r>
      <w:r w:rsidRPr="00C30EAD">
        <w:rPr>
          <w:rFonts w:cs="Arial"/>
          <w:lang w:eastAsia="cs-CZ"/>
        </w:rPr>
        <w:t xml:space="preserve">latebnímu a certifikačnímu orgánu souhrnnou žádost k proplacení výdaje ve výši 11 540 300 Kč, přestože dosud probíhala kontrola </w:t>
      </w:r>
      <w:r w:rsidR="00A4638C" w:rsidRPr="00C30EAD">
        <w:rPr>
          <w:rFonts w:cs="Arial"/>
          <w:lang w:eastAsia="cs-CZ"/>
        </w:rPr>
        <w:t xml:space="preserve">zadávacích </w:t>
      </w:r>
      <w:r w:rsidRPr="00C30EAD">
        <w:rPr>
          <w:rFonts w:cs="Arial"/>
          <w:lang w:eastAsia="cs-CZ"/>
        </w:rPr>
        <w:t>řízení.</w:t>
      </w:r>
    </w:p>
    <w:p w14:paraId="2968927D" w14:textId="77777777" w:rsidR="00B56EA8" w:rsidRPr="00C30EAD" w:rsidRDefault="00B56EA8" w:rsidP="007C008D">
      <w:pPr>
        <w:spacing w:line="23" w:lineRule="atLeast"/>
        <w:rPr>
          <w:rFonts w:cs="Arial"/>
          <w:b/>
          <w:lang w:eastAsia="cs-CZ"/>
        </w:rPr>
      </w:pPr>
    </w:p>
    <w:p w14:paraId="2BC89942" w14:textId="3AA0E555" w:rsidR="00CE4490" w:rsidRPr="00C30EAD" w:rsidRDefault="00DB7B26" w:rsidP="007C008D">
      <w:pPr>
        <w:spacing w:line="23" w:lineRule="atLeast"/>
        <w:rPr>
          <w:b/>
          <w:bCs/>
        </w:rPr>
      </w:pPr>
      <w:r w:rsidRPr="00C30EAD">
        <w:t xml:space="preserve">NKÚ </w:t>
      </w:r>
      <w:r>
        <w:t>p</w:t>
      </w:r>
      <w:r w:rsidR="00CE4490" w:rsidRPr="00C30EAD">
        <w:t xml:space="preserve">ři kontrole </w:t>
      </w:r>
      <w:r w:rsidR="009C2DD8">
        <w:t xml:space="preserve">také </w:t>
      </w:r>
      <w:r w:rsidR="00CE4490" w:rsidRPr="00C30EAD">
        <w:t xml:space="preserve">zjistil, že částky finančních predikcí pro období od II. čtvrtletí 2013 do IV. čtvrtletí 2014 byly upraveny o částky, jejichž přičtení či odečtení od vykázaných predikcí nebylo zdůvodněno. </w:t>
      </w:r>
      <w:r w:rsidR="00CE4490" w:rsidRPr="00C30EAD">
        <w:rPr>
          <w:b/>
          <w:bCs/>
        </w:rPr>
        <w:t>Systém vykazování finančních predikcí OP VaVpI tak nebyl způsobilý řádně a včas vyhodnocovat finanční rizika spojená s plněním tzv. pravidla N+2/N+3.</w:t>
      </w:r>
    </w:p>
    <w:p w14:paraId="49AC3645" w14:textId="77777777" w:rsidR="00822825" w:rsidRPr="00C30EAD" w:rsidRDefault="00822825" w:rsidP="007C008D">
      <w:pPr>
        <w:spacing w:line="23" w:lineRule="atLeast"/>
        <w:rPr>
          <w:rFonts w:cs="Arial"/>
          <w:b/>
          <w:lang w:eastAsia="cs-CZ"/>
        </w:rPr>
      </w:pPr>
    </w:p>
    <w:p w14:paraId="6EAABEDE" w14:textId="6B703746" w:rsidR="00A97B2F" w:rsidRPr="00C30EAD" w:rsidRDefault="00A97B2F" w:rsidP="007C008D">
      <w:pPr>
        <w:spacing w:line="23" w:lineRule="atLeast"/>
        <w:rPr>
          <w:rFonts w:cs="Arial"/>
          <w:lang w:eastAsia="cs-CZ"/>
        </w:rPr>
      </w:pPr>
      <w:r w:rsidRPr="00C30EAD">
        <w:rPr>
          <w:rFonts w:cs="Arial"/>
          <w:lang w:eastAsia="cs-CZ"/>
        </w:rPr>
        <w:t>NKÚ prověřil</w:t>
      </w:r>
      <w:r w:rsidR="00F671D4" w:rsidRPr="00C30EAD">
        <w:rPr>
          <w:rFonts w:cs="Arial"/>
          <w:lang w:eastAsia="cs-CZ"/>
        </w:rPr>
        <w:t xml:space="preserve"> správnost a aktuálnost finančních údajů v</w:t>
      </w:r>
      <w:r w:rsidR="00A84782" w:rsidRPr="00C30EAD">
        <w:rPr>
          <w:rFonts w:cs="Arial"/>
          <w:lang w:eastAsia="cs-CZ"/>
        </w:rPr>
        <w:t xml:space="preserve"> informačních </w:t>
      </w:r>
      <w:r w:rsidR="00F05DAF" w:rsidRPr="00C30EAD">
        <w:rPr>
          <w:rFonts w:cs="Arial"/>
          <w:lang w:eastAsia="cs-CZ"/>
        </w:rPr>
        <w:t>systémech Monit7+ a </w:t>
      </w:r>
      <w:r w:rsidR="00F671D4" w:rsidRPr="00C30EAD">
        <w:rPr>
          <w:rFonts w:cs="Arial"/>
          <w:lang w:eastAsia="cs-CZ"/>
        </w:rPr>
        <w:t>CEDR</w:t>
      </w:r>
      <w:r w:rsidRPr="00C30EAD">
        <w:rPr>
          <w:rFonts w:cs="Arial"/>
          <w:lang w:eastAsia="cs-CZ"/>
        </w:rPr>
        <w:t xml:space="preserve">. MŠMT u šesti projektů z osmi </w:t>
      </w:r>
      <w:r w:rsidR="00DB7B26">
        <w:rPr>
          <w:rFonts w:cs="Arial"/>
          <w:lang w:eastAsia="cs-CZ"/>
        </w:rPr>
        <w:t>kontrolovaných</w:t>
      </w:r>
      <w:r w:rsidRPr="00C30EAD">
        <w:rPr>
          <w:rFonts w:cs="Arial"/>
          <w:lang w:eastAsia="cs-CZ"/>
        </w:rPr>
        <w:t xml:space="preserve"> nevedlo v </w:t>
      </w:r>
      <w:proofErr w:type="spellStart"/>
      <w:r w:rsidRPr="00C30EAD">
        <w:rPr>
          <w:rFonts w:cs="Arial"/>
          <w:lang w:eastAsia="cs-CZ"/>
        </w:rPr>
        <w:t>IS</w:t>
      </w:r>
      <w:proofErr w:type="spellEnd"/>
      <w:r w:rsidRPr="00C30EAD">
        <w:rPr>
          <w:rFonts w:cs="Arial"/>
          <w:lang w:eastAsia="cs-CZ"/>
        </w:rPr>
        <w:t xml:space="preserve"> </w:t>
      </w:r>
      <w:proofErr w:type="spellStart"/>
      <w:r w:rsidRPr="00C30EAD">
        <w:rPr>
          <w:rFonts w:cs="Arial"/>
          <w:lang w:eastAsia="cs-CZ"/>
        </w:rPr>
        <w:t>Monit7</w:t>
      </w:r>
      <w:proofErr w:type="spellEnd"/>
      <w:r w:rsidRPr="00C30EAD">
        <w:rPr>
          <w:rFonts w:cs="Arial"/>
          <w:lang w:eastAsia="cs-CZ"/>
        </w:rPr>
        <w:t xml:space="preserve">+ v rozporu se zásadou řádného </w:t>
      </w:r>
      <w:r w:rsidR="0047230D" w:rsidRPr="00C30EAD">
        <w:rPr>
          <w:rFonts w:cs="Arial"/>
          <w:lang w:eastAsia="cs-CZ"/>
        </w:rPr>
        <w:t>finančního výkaznictví</w:t>
      </w:r>
      <w:r w:rsidRPr="00C30EAD">
        <w:rPr>
          <w:rStyle w:val="Znakapoznpodarou"/>
          <w:rFonts w:cs="Arial"/>
          <w:lang w:eastAsia="cs-CZ"/>
        </w:rPr>
        <w:footnoteReference w:id="26"/>
      </w:r>
      <w:r w:rsidRPr="00C30EAD">
        <w:rPr>
          <w:rFonts w:cs="Arial"/>
          <w:lang w:eastAsia="cs-CZ"/>
        </w:rPr>
        <w:t xml:space="preserve"> spolehlivé údaje o předpokládaných požadovaných částkách předfinancování a</w:t>
      </w:r>
      <w:r w:rsidR="002F6684">
        <w:rPr>
          <w:rFonts w:cs="Arial"/>
          <w:lang w:eastAsia="cs-CZ"/>
        </w:rPr>
        <w:t>ni o</w:t>
      </w:r>
      <w:r w:rsidRPr="00C30EAD">
        <w:rPr>
          <w:rFonts w:cs="Arial"/>
          <w:lang w:eastAsia="cs-CZ"/>
        </w:rPr>
        <w:t xml:space="preserve"> předpokládané výši vyúčtování</w:t>
      </w:r>
      <w:r w:rsidR="00A84782" w:rsidRPr="00C30EAD">
        <w:rPr>
          <w:rFonts w:cs="Arial"/>
          <w:lang w:eastAsia="cs-CZ"/>
        </w:rPr>
        <w:t>. MŠMT do svých pracovních postupů</w:t>
      </w:r>
      <w:r w:rsidR="00A84782" w:rsidRPr="00C30EAD">
        <w:rPr>
          <w:rStyle w:val="Znakapoznpodarou"/>
          <w:rFonts w:cs="Arial"/>
          <w:lang w:eastAsia="cs-CZ"/>
        </w:rPr>
        <w:footnoteReference w:id="27"/>
      </w:r>
      <w:r w:rsidR="00A84782" w:rsidRPr="00C30EAD">
        <w:rPr>
          <w:rFonts w:cs="Arial"/>
          <w:lang w:eastAsia="cs-CZ"/>
        </w:rPr>
        <w:t xml:space="preserve"> nezapracovalo postup pro pravidelné ověřování správnosti finančních údajů o projektech podpořených z OP VaVpI vedených v informačním systému CEDR. </w:t>
      </w:r>
      <w:r w:rsidR="00FA2C34" w:rsidRPr="00C30EAD">
        <w:rPr>
          <w:rFonts w:cs="Arial"/>
          <w:lang w:eastAsia="cs-CZ"/>
        </w:rPr>
        <w:t>V</w:t>
      </w:r>
      <w:r w:rsidR="00A84782" w:rsidRPr="00C30EAD">
        <w:rPr>
          <w:rFonts w:cs="Arial"/>
          <w:lang w:eastAsia="cs-CZ"/>
        </w:rPr>
        <w:t>nitřní kontrolní</w:t>
      </w:r>
      <w:r w:rsidR="00FA2C34" w:rsidRPr="00C30EAD">
        <w:rPr>
          <w:rFonts w:cs="Arial"/>
          <w:lang w:eastAsia="cs-CZ"/>
        </w:rPr>
        <w:t xml:space="preserve"> systém</w:t>
      </w:r>
      <w:r w:rsidR="00A84782" w:rsidRPr="00C30EAD">
        <w:rPr>
          <w:rFonts w:cs="Arial"/>
          <w:lang w:eastAsia="cs-CZ"/>
        </w:rPr>
        <w:t xml:space="preserve"> tak nebyl plně způsobilý včas zjišťovat a vyhodnocovat rizika spojená s vedením chybných údajů v centrální evidenci dotací.</w:t>
      </w:r>
    </w:p>
    <w:p w14:paraId="276947A1" w14:textId="77777777" w:rsidR="00D20B07" w:rsidRPr="00C30EAD" w:rsidRDefault="00D20B07" w:rsidP="007C008D">
      <w:pPr>
        <w:spacing w:line="23" w:lineRule="atLeast"/>
        <w:rPr>
          <w:rFonts w:cs="Arial"/>
          <w:lang w:eastAsia="cs-CZ"/>
        </w:rPr>
      </w:pPr>
    </w:p>
    <w:p w14:paraId="0CEDC46E" w14:textId="67EFED26" w:rsidR="007B4CD2" w:rsidRPr="00C30EAD" w:rsidRDefault="005A100D" w:rsidP="007C008D">
      <w:pPr>
        <w:spacing w:line="23" w:lineRule="atLeast"/>
        <w:rPr>
          <w:rFonts w:cs="Arial"/>
          <w:b/>
          <w:lang w:eastAsia="cs-CZ"/>
        </w:rPr>
      </w:pPr>
      <w:r w:rsidRPr="00C30EAD">
        <w:rPr>
          <w:rFonts w:cs="Arial"/>
          <w:b/>
          <w:lang w:eastAsia="cs-CZ"/>
        </w:rPr>
        <w:t xml:space="preserve">Kontrola NKÚ identifikovala riziko, že nebude dodržen </w:t>
      </w:r>
      <w:r w:rsidR="002F6684">
        <w:rPr>
          <w:rFonts w:cs="Arial"/>
          <w:b/>
          <w:lang w:eastAsia="cs-CZ"/>
        </w:rPr>
        <w:t>10</w:t>
      </w:r>
      <w:r w:rsidR="002F6684" w:rsidRPr="00C30EAD">
        <w:rPr>
          <w:rFonts w:cs="Arial"/>
          <w:b/>
          <w:lang w:eastAsia="cs-CZ"/>
        </w:rPr>
        <w:t>%</w:t>
      </w:r>
      <w:r w:rsidR="002F6684">
        <w:rPr>
          <w:rFonts w:cs="Arial"/>
          <w:b/>
          <w:lang w:eastAsia="cs-CZ"/>
        </w:rPr>
        <w:t xml:space="preserve"> </w:t>
      </w:r>
      <w:r w:rsidRPr="00C30EAD">
        <w:rPr>
          <w:rFonts w:cs="Arial"/>
          <w:b/>
          <w:lang w:eastAsia="cs-CZ"/>
        </w:rPr>
        <w:t>limit stanovený</w:t>
      </w:r>
      <w:r w:rsidRPr="00C30EAD">
        <w:rPr>
          <w:rStyle w:val="Znakapoznpodarou"/>
          <w:rFonts w:cs="Arial"/>
          <w:b/>
          <w:lang w:eastAsia="cs-CZ"/>
        </w:rPr>
        <w:footnoteReference w:id="28"/>
      </w:r>
      <w:r w:rsidRPr="00C30EAD">
        <w:rPr>
          <w:rFonts w:cs="Arial"/>
          <w:b/>
          <w:lang w:eastAsia="cs-CZ"/>
        </w:rPr>
        <w:t xml:space="preserve"> pro financování doplňkovým způsobem za prioritní osy 1 a 2, resp. </w:t>
      </w:r>
      <w:r w:rsidR="002F6684">
        <w:rPr>
          <w:rFonts w:cs="Arial"/>
          <w:b/>
          <w:lang w:eastAsia="cs-CZ"/>
        </w:rPr>
        <w:t xml:space="preserve">devítiprocentní </w:t>
      </w:r>
      <w:r w:rsidRPr="00C30EAD">
        <w:rPr>
          <w:rFonts w:cs="Arial"/>
          <w:b/>
          <w:lang w:eastAsia="cs-CZ"/>
        </w:rPr>
        <w:t>limit za prioritní osy 1 a 2 stanovený v Pokynech pro křížové financování</w:t>
      </w:r>
      <w:r w:rsidRPr="00C30EAD">
        <w:rPr>
          <w:rStyle w:val="Znakapoznpodarou"/>
          <w:rFonts w:cs="Arial"/>
          <w:b/>
          <w:lang w:eastAsia="cs-CZ"/>
        </w:rPr>
        <w:footnoteReference w:id="29"/>
      </w:r>
      <w:r w:rsidRPr="00C30EAD">
        <w:rPr>
          <w:rFonts w:cs="Arial"/>
          <w:b/>
          <w:lang w:eastAsia="cs-CZ"/>
        </w:rPr>
        <w:t xml:space="preserve">. </w:t>
      </w:r>
      <w:r w:rsidRPr="00C30EAD">
        <w:rPr>
          <w:rFonts w:cs="Arial"/>
          <w:lang w:eastAsia="cs-CZ"/>
        </w:rPr>
        <w:t>Podstatou rizika je skutečnost</w:t>
      </w:r>
      <w:r w:rsidR="001A59C3" w:rsidRPr="00C30EAD">
        <w:rPr>
          <w:rFonts w:cs="Arial"/>
          <w:lang w:eastAsia="cs-CZ"/>
        </w:rPr>
        <w:t xml:space="preserve">, že MŠMT nesleduje a nevykazuje výdaje související se vzděláváním </w:t>
      </w:r>
      <w:r w:rsidRPr="00C30EAD">
        <w:rPr>
          <w:rFonts w:cs="Arial"/>
          <w:lang w:eastAsia="cs-CZ"/>
        </w:rPr>
        <w:t xml:space="preserve">výzkumných pracovníků </w:t>
      </w:r>
      <w:r w:rsidR="001A59C3" w:rsidRPr="00C30EAD">
        <w:rPr>
          <w:rFonts w:cs="Arial"/>
          <w:lang w:eastAsia="cs-CZ"/>
        </w:rPr>
        <w:t>v rámci tzv. křížového financování</w:t>
      </w:r>
      <w:r w:rsidR="003C54A3" w:rsidRPr="00C30EAD">
        <w:rPr>
          <w:rStyle w:val="Znakapoznpodarou"/>
          <w:rFonts w:cs="Arial"/>
          <w:lang w:eastAsia="cs-CZ"/>
        </w:rPr>
        <w:footnoteReference w:id="30"/>
      </w:r>
      <w:r w:rsidRPr="00C30EAD">
        <w:rPr>
          <w:rFonts w:cs="Arial"/>
          <w:lang w:eastAsia="cs-CZ"/>
        </w:rPr>
        <w:t>.</w:t>
      </w:r>
      <w:r w:rsidR="001A59C3" w:rsidRPr="00C30EAD">
        <w:rPr>
          <w:rFonts w:cs="Arial"/>
          <w:b/>
          <w:lang w:eastAsia="cs-CZ"/>
        </w:rPr>
        <w:t xml:space="preserve"> </w:t>
      </w:r>
      <w:r w:rsidR="00F671D4" w:rsidRPr="00C30EAD">
        <w:rPr>
          <w:rFonts w:cs="Arial"/>
          <w:lang w:eastAsia="cs-CZ"/>
        </w:rPr>
        <w:t>MŠMT neaplikuje křížové financování</w:t>
      </w:r>
      <w:r w:rsidR="002F6684">
        <w:rPr>
          <w:rFonts w:cs="Arial"/>
          <w:lang w:eastAsia="cs-CZ"/>
        </w:rPr>
        <w:t xml:space="preserve"> i</w:t>
      </w:r>
      <w:r w:rsidR="009A0785" w:rsidRPr="00C30EAD">
        <w:rPr>
          <w:rFonts w:cs="Arial"/>
          <w:lang w:eastAsia="cs-CZ"/>
        </w:rPr>
        <w:t xml:space="preserve"> </w:t>
      </w:r>
      <w:r w:rsidR="00F671D4" w:rsidRPr="00C30EAD">
        <w:rPr>
          <w:rFonts w:cs="Arial"/>
          <w:lang w:eastAsia="cs-CZ"/>
        </w:rPr>
        <w:t xml:space="preserve">přesto, že v programovém dokumentu OP VaVpI je uvedeno, že bude využita 10% flexibilita na akce, které spadají do rámce </w:t>
      </w:r>
      <w:r w:rsidR="00F671D4" w:rsidRPr="009D0852">
        <w:rPr>
          <w:rFonts w:cs="Arial"/>
          <w:i/>
          <w:lang w:eastAsia="cs-CZ"/>
        </w:rPr>
        <w:t>E</w:t>
      </w:r>
      <w:r w:rsidR="00D61B22" w:rsidRPr="009D0852">
        <w:rPr>
          <w:rFonts w:cs="Arial"/>
          <w:i/>
          <w:lang w:eastAsia="cs-CZ"/>
        </w:rPr>
        <w:t xml:space="preserve">vropského sociálního </w:t>
      </w:r>
      <w:r w:rsidR="009F2BF5" w:rsidRPr="009D0852">
        <w:rPr>
          <w:rFonts w:cs="Arial"/>
          <w:i/>
          <w:lang w:eastAsia="cs-CZ"/>
        </w:rPr>
        <w:t>fondu</w:t>
      </w:r>
      <w:r w:rsidR="002F6684">
        <w:rPr>
          <w:rFonts w:cs="Arial"/>
          <w:lang w:eastAsia="cs-CZ"/>
        </w:rPr>
        <w:t>,</w:t>
      </w:r>
      <w:r w:rsidR="00F671D4" w:rsidRPr="00C30EAD">
        <w:rPr>
          <w:rFonts w:cs="Arial"/>
          <w:lang w:eastAsia="cs-CZ"/>
        </w:rPr>
        <w:t xml:space="preserve"> jsou nezbytné pro uspokojivé provádění operace a přímo s</w:t>
      </w:r>
      <w:r w:rsidR="007706A9">
        <w:rPr>
          <w:rFonts w:cs="Arial"/>
          <w:lang w:eastAsia="cs-CZ"/>
        </w:rPr>
        <w:t> touto operací</w:t>
      </w:r>
      <w:r w:rsidR="00F671D4" w:rsidRPr="00C30EAD">
        <w:rPr>
          <w:rFonts w:cs="Arial"/>
          <w:lang w:eastAsia="cs-CZ"/>
        </w:rPr>
        <w:t xml:space="preserve"> souvisejí.</w:t>
      </w:r>
      <w:r w:rsidR="00F05DAF" w:rsidRPr="00C30EAD">
        <w:rPr>
          <w:rFonts w:cs="Arial"/>
          <w:lang w:eastAsia="cs-CZ"/>
        </w:rPr>
        <w:t xml:space="preserve"> Postgraduální studium a </w:t>
      </w:r>
      <w:r w:rsidR="00D61B22" w:rsidRPr="00C30EAD">
        <w:rPr>
          <w:rFonts w:cs="Arial"/>
          <w:lang w:eastAsia="cs-CZ"/>
        </w:rPr>
        <w:t>odbornou příprav</w:t>
      </w:r>
      <w:r w:rsidR="009F2BF5" w:rsidRPr="00C30EAD">
        <w:rPr>
          <w:rFonts w:cs="Arial"/>
          <w:lang w:eastAsia="cs-CZ"/>
        </w:rPr>
        <w:t xml:space="preserve">u výzkumných pracovníků vykládá MŠMT jako součást </w:t>
      </w:r>
      <w:r w:rsidR="009F2BF5" w:rsidRPr="009D0852">
        <w:rPr>
          <w:rFonts w:cs="Arial"/>
          <w:lang w:eastAsia="cs-CZ"/>
        </w:rPr>
        <w:t>„</w:t>
      </w:r>
      <w:r w:rsidR="009F2BF5" w:rsidRPr="00C30EAD">
        <w:rPr>
          <w:rFonts w:cs="Arial"/>
          <w:i/>
          <w:lang w:eastAsia="cs-CZ"/>
        </w:rPr>
        <w:t>posilování kapacit pro výzkum a technologický rozvoj a jejich začlenění do Evropského výzkumného prostoru, včetně infrastruktury</w:t>
      </w:r>
      <w:r w:rsidR="009F2BF5" w:rsidRPr="009D0852">
        <w:rPr>
          <w:rFonts w:cs="Arial"/>
          <w:lang w:eastAsia="cs-CZ"/>
        </w:rPr>
        <w:t>“</w:t>
      </w:r>
      <w:r w:rsidR="009F2BF5" w:rsidRPr="00C30EAD">
        <w:rPr>
          <w:rFonts w:cs="Arial"/>
          <w:lang w:eastAsia="cs-CZ"/>
        </w:rPr>
        <w:t xml:space="preserve"> a s ohledem na tento výklad považuje výdaje související se vzděláváním </w:t>
      </w:r>
      <w:r w:rsidRPr="00C30EAD">
        <w:rPr>
          <w:rFonts w:cs="Arial"/>
          <w:lang w:eastAsia="cs-CZ"/>
        </w:rPr>
        <w:t xml:space="preserve">členů výzkumných týmů </w:t>
      </w:r>
      <w:r w:rsidR="009F2BF5" w:rsidRPr="00C30EAD">
        <w:rPr>
          <w:rFonts w:cs="Arial"/>
          <w:lang w:eastAsia="cs-CZ"/>
        </w:rPr>
        <w:t xml:space="preserve">za způsobilé pro financování z ERDF. </w:t>
      </w:r>
    </w:p>
    <w:p w14:paraId="18957ABE" w14:textId="733A076C" w:rsidR="008434D7" w:rsidRDefault="008434D7" w:rsidP="007C008D">
      <w:pPr>
        <w:spacing w:line="23" w:lineRule="atLeast"/>
        <w:rPr>
          <w:rFonts w:cs="Arial"/>
          <w:lang w:eastAsia="cs-CZ"/>
        </w:rPr>
      </w:pPr>
    </w:p>
    <w:p w14:paraId="26D1474E" w14:textId="77777777" w:rsidR="00D02F57" w:rsidRDefault="00D02F57" w:rsidP="007C008D">
      <w:pPr>
        <w:spacing w:line="23" w:lineRule="atLeast"/>
        <w:rPr>
          <w:rFonts w:cs="Arial"/>
          <w:lang w:eastAsia="cs-CZ"/>
        </w:rPr>
      </w:pPr>
    </w:p>
    <w:p w14:paraId="45A93149" w14:textId="77777777" w:rsidR="00D02F57" w:rsidRDefault="00D02F57" w:rsidP="007C008D">
      <w:pPr>
        <w:spacing w:line="23" w:lineRule="atLeast"/>
        <w:rPr>
          <w:rFonts w:cs="Arial"/>
          <w:lang w:eastAsia="cs-CZ"/>
        </w:rPr>
      </w:pPr>
    </w:p>
    <w:p w14:paraId="06D48EF8" w14:textId="77777777" w:rsidR="00D02F57" w:rsidRDefault="00D02F57" w:rsidP="007C008D">
      <w:pPr>
        <w:spacing w:line="23" w:lineRule="atLeast"/>
        <w:rPr>
          <w:rFonts w:cs="Arial"/>
          <w:lang w:eastAsia="cs-CZ"/>
        </w:rPr>
      </w:pPr>
    </w:p>
    <w:p w14:paraId="237D8495" w14:textId="77777777" w:rsidR="00D02F57" w:rsidRPr="00C30EAD" w:rsidRDefault="00D02F57" w:rsidP="007C008D">
      <w:pPr>
        <w:spacing w:line="23" w:lineRule="atLeast"/>
        <w:rPr>
          <w:rFonts w:cs="Arial"/>
          <w:lang w:eastAsia="cs-CZ"/>
        </w:rPr>
      </w:pPr>
    </w:p>
    <w:p w14:paraId="39928924" w14:textId="77777777" w:rsidR="00443C9E" w:rsidRDefault="00443C9E" w:rsidP="007C008D">
      <w:pPr>
        <w:pStyle w:val="Nadpis1"/>
        <w:ind w:hanging="720"/>
      </w:pPr>
      <w:r w:rsidRPr="00C30EAD">
        <w:lastRenderedPageBreak/>
        <w:t>Systém hlášení, evidence a šetření nesrovnalostí</w:t>
      </w:r>
    </w:p>
    <w:p w14:paraId="58F88F3A" w14:textId="77777777" w:rsidR="007C008D" w:rsidRPr="007C008D" w:rsidRDefault="007C008D" w:rsidP="007C008D">
      <w:pPr>
        <w:rPr>
          <w:lang w:eastAsia="cs-CZ"/>
        </w:rPr>
      </w:pPr>
    </w:p>
    <w:p w14:paraId="45A3F3CF" w14:textId="16D7F264" w:rsidR="00F317D9" w:rsidRPr="00C30EAD" w:rsidRDefault="00F317D9" w:rsidP="007C008D">
      <w:pPr>
        <w:spacing w:line="23" w:lineRule="atLeast"/>
        <w:rPr>
          <w:rFonts w:cs="Arial"/>
          <w:lang w:eastAsia="cs-CZ"/>
        </w:rPr>
      </w:pPr>
      <w:r w:rsidRPr="00C30EAD">
        <w:rPr>
          <w:rFonts w:cs="Arial"/>
          <w:b/>
          <w:lang w:eastAsia="cs-CZ"/>
        </w:rPr>
        <w:t xml:space="preserve">Kontrolou </w:t>
      </w:r>
      <w:r w:rsidR="005A100D" w:rsidRPr="00C30EAD">
        <w:rPr>
          <w:rFonts w:cs="Arial"/>
          <w:b/>
          <w:lang w:eastAsia="cs-CZ"/>
        </w:rPr>
        <w:t xml:space="preserve">NKÚ </w:t>
      </w:r>
      <w:r w:rsidRPr="00C30EAD">
        <w:rPr>
          <w:rFonts w:cs="Arial"/>
          <w:b/>
          <w:lang w:eastAsia="cs-CZ"/>
        </w:rPr>
        <w:t>byl zjištěn nedostatek související s</w:t>
      </w:r>
      <w:r w:rsidR="00A84782" w:rsidRPr="00C30EAD">
        <w:rPr>
          <w:rFonts w:cs="Arial"/>
          <w:b/>
          <w:lang w:eastAsia="cs-CZ"/>
        </w:rPr>
        <w:t> </w:t>
      </w:r>
      <w:r w:rsidR="008E7A50" w:rsidRPr="00C30EAD">
        <w:rPr>
          <w:rFonts w:cs="Arial"/>
          <w:b/>
          <w:lang w:eastAsia="cs-CZ"/>
        </w:rPr>
        <w:t>evidencí</w:t>
      </w:r>
      <w:r w:rsidR="00A84782" w:rsidRPr="00C30EAD">
        <w:rPr>
          <w:rFonts w:cs="Arial"/>
          <w:b/>
          <w:lang w:eastAsia="cs-CZ"/>
        </w:rPr>
        <w:t xml:space="preserve"> </w:t>
      </w:r>
      <w:r w:rsidR="008E7A50" w:rsidRPr="00C30EAD">
        <w:rPr>
          <w:rFonts w:cs="Arial"/>
          <w:b/>
          <w:lang w:eastAsia="cs-CZ"/>
        </w:rPr>
        <w:t>nesrovnalostí, kdy MŠMT v rozporu se závaznou metodikou Ministerstva financí ČR</w:t>
      </w:r>
      <w:r w:rsidR="008E7A50" w:rsidRPr="00C30EAD">
        <w:rPr>
          <w:rStyle w:val="Znakapoznpodarou"/>
          <w:rFonts w:cs="Arial"/>
          <w:b/>
          <w:lang w:eastAsia="cs-CZ"/>
        </w:rPr>
        <w:footnoteReference w:id="31"/>
      </w:r>
      <w:r w:rsidR="008E7A50" w:rsidRPr="00C30EAD">
        <w:rPr>
          <w:rFonts w:cs="Arial"/>
          <w:b/>
          <w:lang w:eastAsia="cs-CZ"/>
        </w:rPr>
        <w:t xml:space="preserve"> zjištěné nesrovnalosti nezaevidovalo </w:t>
      </w:r>
      <w:r w:rsidR="007706A9">
        <w:rPr>
          <w:rFonts w:cs="Arial"/>
          <w:b/>
          <w:lang w:eastAsia="cs-CZ"/>
        </w:rPr>
        <w:t>do</w:t>
      </w:r>
      <w:r w:rsidR="008E7A50" w:rsidRPr="00C30EAD">
        <w:rPr>
          <w:rFonts w:cs="Arial"/>
          <w:b/>
          <w:lang w:eastAsia="cs-CZ"/>
        </w:rPr>
        <w:t xml:space="preserve"> vnitřní</w:t>
      </w:r>
      <w:r w:rsidR="007706A9">
        <w:rPr>
          <w:rFonts w:cs="Arial"/>
          <w:b/>
          <w:lang w:eastAsia="cs-CZ"/>
        </w:rPr>
        <w:t>ho</w:t>
      </w:r>
      <w:r w:rsidR="008E7A50" w:rsidRPr="00C30EAD">
        <w:rPr>
          <w:rFonts w:cs="Arial"/>
          <w:b/>
          <w:lang w:eastAsia="cs-CZ"/>
        </w:rPr>
        <w:t xml:space="preserve"> </w:t>
      </w:r>
      <w:r w:rsidR="007706A9">
        <w:rPr>
          <w:rFonts w:cs="Arial"/>
          <w:b/>
          <w:lang w:eastAsia="cs-CZ"/>
        </w:rPr>
        <w:t>okruhu</w:t>
      </w:r>
      <w:r w:rsidR="008E7A50" w:rsidRPr="00C30EAD">
        <w:rPr>
          <w:rFonts w:cs="Arial"/>
          <w:b/>
          <w:lang w:eastAsia="cs-CZ"/>
        </w:rPr>
        <w:t xml:space="preserve"> systému hlášení nesrovnalostí.</w:t>
      </w:r>
      <w:r w:rsidRPr="00C30EAD">
        <w:rPr>
          <w:rFonts w:cs="Arial"/>
          <w:lang w:eastAsia="cs-CZ"/>
        </w:rPr>
        <w:t xml:space="preserve"> </w:t>
      </w:r>
      <w:r w:rsidR="00A0448E" w:rsidRPr="00C30EAD">
        <w:rPr>
          <w:rFonts w:cs="Arial"/>
          <w:lang w:eastAsia="cs-CZ"/>
        </w:rPr>
        <w:t xml:space="preserve">MŠMT v důsledku nesprávného posouzení </w:t>
      </w:r>
      <w:r w:rsidR="007706A9" w:rsidRPr="00C30EAD">
        <w:rPr>
          <w:rFonts w:cs="Arial"/>
          <w:lang w:eastAsia="cs-CZ"/>
        </w:rPr>
        <w:t xml:space="preserve">nenahlásilo </w:t>
      </w:r>
      <w:r w:rsidR="00A0448E" w:rsidRPr="00C30EAD">
        <w:rPr>
          <w:rFonts w:cs="Arial"/>
          <w:lang w:eastAsia="cs-CZ"/>
        </w:rPr>
        <w:t xml:space="preserve">řádně </w:t>
      </w:r>
      <w:r w:rsidR="007706A9">
        <w:rPr>
          <w:rFonts w:cs="Arial"/>
          <w:lang w:eastAsia="cs-CZ"/>
        </w:rPr>
        <w:t>do</w:t>
      </w:r>
      <w:r w:rsidR="00A0448E" w:rsidRPr="00C30EAD">
        <w:rPr>
          <w:rFonts w:cs="Arial"/>
          <w:lang w:eastAsia="cs-CZ"/>
        </w:rPr>
        <w:t xml:space="preserve"> vnitřní</w:t>
      </w:r>
      <w:r w:rsidR="007706A9">
        <w:rPr>
          <w:rFonts w:cs="Arial"/>
          <w:lang w:eastAsia="cs-CZ"/>
        </w:rPr>
        <w:t>ho</w:t>
      </w:r>
      <w:r w:rsidR="00A0448E" w:rsidRPr="00C30EAD">
        <w:rPr>
          <w:rFonts w:cs="Arial"/>
          <w:lang w:eastAsia="cs-CZ"/>
        </w:rPr>
        <w:t xml:space="preserve"> </w:t>
      </w:r>
      <w:r w:rsidR="007706A9">
        <w:rPr>
          <w:rFonts w:cs="Arial"/>
          <w:lang w:eastAsia="cs-CZ"/>
        </w:rPr>
        <w:t>okruhu</w:t>
      </w:r>
      <w:r w:rsidR="00A0448E" w:rsidRPr="00C30EAD">
        <w:rPr>
          <w:rFonts w:cs="Arial"/>
          <w:lang w:eastAsia="cs-CZ"/>
        </w:rPr>
        <w:t xml:space="preserve"> hlášení případy nesrovnalost</w:t>
      </w:r>
      <w:r w:rsidR="003B3BC7">
        <w:rPr>
          <w:rFonts w:cs="Arial"/>
          <w:lang w:eastAsia="cs-CZ"/>
        </w:rPr>
        <w:t>í v celkové výši 359 928</w:t>
      </w:r>
      <w:r w:rsidR="00A0448E" w:rsidRPr="00C30EAD">
        <w:rPr>
          <w:rFonts w:cs="Arial"/>
          <w:lang w:eastAsia="cs-CZ"/>
        </w:rPr>
        <w:t xml:space="preserve"> Kč, které uzavřel</w:t>
      </w:r>
      <w:r w:rsidR="00D61B22" w:rsidRPr="00C30EAD">
        <w:rPr>
          <w:rFonts w:cs="Arial"/>
          <w:lang w:eastAsia="cs-CZ"/>
        </w:rPr>
        <w:t>o</w:t>
      </w:r>
      <w:r w:rsidR="00A0448E" w:rsidRPr="00C30EAD">
        <w:rPr>
          <w:rFonts w:cs="Arial"/>
          <w:lang w:eastAsia="cs-CZ"/>
        </w:rPr>
        <w:t xml:space="preserve"> jako neopodstatněné podezření na nesrovnalost z důvodu uhrazení nezpůsobilých výdajů z vlastních prostředků příjemce na projektovém účtu.</w:t>
      </w:r>
    </w:p>
    <w:p w14:paraId="3DCD1BD9" w14:textId="77777777" w:rsidR="00F317D9" w:rsidRPr="00C30EAD" w:rsidRDefault="00F317D9" w:rsidP="007C008D">
      <w:pPr>
        <w:spacing w:line="23" w:lineRule="atLeast"/>
        <w:rPr>
          <w:rFonts w:cs="Arial"/>
          <w:lang w:eastAsia="cs-CZ"/>
        </w:rPr>
      </w:pPr>
    </w:p>
    <w:p w14:paraId="00B230E6" w14:textId="59274E35" w:rsidR="002D6501" w:rsidRPr="00C30EAD" w:rsidRDefault="006910A9" w:rsidP="007C008D">
      <w:pPr>
        <w:spacing w:line="23" w:lineRule="atLeast"/>
        <w:rPr>
          <w:rFonts w:cs="Arial"/>
          <w:b/>
          <w:lang w:eastAsia="cs-CZ"/>
        </w:rPr>
      </w:pPr>
      <w:r w:rsidRPr="00C30EAD">
        <w:rPr>
          <w:rFonts w:cs="Arial"/>
          <w:lang w:eastAsia="cs-CZ"/>
        </w:rPr>
        <w:t xml:space="preserve">MŠMT </w:t>
      </w:r>
      <w:r w:rsidR="00734353" w:rsidRPr="00C30EAD">
        <w:rPr>
          <w:rFonts w:cs="Arial"/>
          <w:lang w:eastAsia="cs-CZ"/>
        </w:rPr>
        <w:t xml:space="preserve">dále </w:t>
      </w:r>
      <w:r w:rsidR="007706A9">
        <w:rPr>
          <w:rFonts w:cs="Arial"/>
          <w:lang w:eastAsia="cs-CZ"/>
        </w:rPr>
        <w:t>u dvou</w:t>
      </w:r>
      <w:r w:rsidRPr="00C30EAD">
        <w:rPr>
          <w:rFonts w:cs="Arial"/>
          <w:lang w:eastAsia="cs-CZ"/>
        </w:rPr>
        <w:t xml:space="preserve"> nahlášených případů podezření na nesrovnalost svo</w:t>
      </w:r>
      <w:r w:rsidR="008E7A50" w:rsidRPr="00C30EAD">
        <w:rPr>
          <w:rFonts w:cs="Arial"/>
          <w:lang w:eastAsia="cs-CZ"/>
        </w:rPr>
        <w:t>u</w:t>
      </w:r>
      <w:r w:rsidRPr="00C30EAD">
        <w:rPr>
          <w:rFonts w:cs="Arial"/>
          <w:lang w:eastAsia="cs-CZ"/>
        </w:rPr>
        <w:t xml:space="preserve"> </w:t>
      </w:r>
      <w:r w:rsidR="008E7A50" w:rsidRPr="00C30EAD">
        <w:rPr>
          <w:rFonts w:cs="Arial"/>
          <w:lang w:eastAsia="cs-CZ"/>
        </w:rPr>
        <w:t xml:space="preserve">dlouhodobou </w:t>
      </w:r>
      <w:r w:rsidRPr="00C30EAD">
        <w:rPr>
          <w:rFonts w:cs="Arial"/>
          <w:lang w:eastAsia="cs-CZ"/>
        </w:rPr>
        <w:t xml:space="preserve">nečinností </w:t>
      </w:r>
      <w:r w:rsidR="008E7A50" w:rsidRPr="00C30EAD">
        <w:rPr>
          <w:rFonts w:cs="Arial"/>
          <w:lang w:eastAsia="cs-CZ"/>
        </w:rPr>
        <w:t>(</w:t>
      </w:r>
      <w:r w:rsidR="007706A9">
        <w:rPr>
          <w:rFonts w:cs="Arial"/>
          <w:lang w:eastAsia="cs-CZ"/>
        </w:rPr>
        <w:t>trvající</w:t>
      </w:r>
      <w:r w:rsidR="008E7A50" w:rsidRPr="00C30EAD">
        <w:rPr>
          <w:rFonts w:cs="Arial"/>
          <w:lang w:eastAsia="cs-CZ"/>
        </w:rPr>
        <w:t xml:space="preserve"> více než 6 měsíců) </w:t>
      </w:r>
      <w:r w:rsidRPr="00C30EAD">
        <w:rPr>
          <w:rFonts w:cs="Arial"/>
          <w:lang w:eastAsia="cs-CZ"/>
        </w:rPr>
        <w:t xml:space="preserve">porušilo povinnost řádně a včas konat ve věci nahlášených případů nesrovnalostí </w:t>
      </w:r>
      <w:r w:rsidR="00722F27" w:rsidRPr="00C30EAD">
        <w:rPr>
          <w:rFonts w:cs="Arial"/>
          <w:lang w:eastAsia="cs-CZ"/>
        </w:rPr>
        <w:t xml:space="preserve">ve smyslu </w:t>
      </w:r>
      <w:r w:rsidR="008E7A50" w:rsidRPr="00C30EAD">
        <w:rPr>
          <w:rFonts w:cs="Arial"/>
          <w:lang w:eastAsia="cs-CZ"/>
        </w:rPr>
        <w:t>závazné</w:t>
      </w:r>
      <w:r w:rsidR="00A4041C" w:rsidRPr="00C30EAD">
        <w:rPr>
          <w:rFonts w:cs="Arial"/>
          <w:lang w:eastAsia="cs-CZ"/>
        </w:rPr>
        <w:t xml:space="preserve"> metodiky</w:t>
      </w:r>
      <w:r w:rsidR="008E7A50" w:rsidRPr="00C30EAD">
        <w:rPr>
          <w:rFonts w:cs="Arial"/>
          <w:lang w:eastAsia="cs-CZ"/>
        </w:rPr>
        <w:t xml:space="preserve"> Ministerstva financí ČR</w:t>
      </w:r>
      <w:r w:rsidR="00314AF3" w:rsidRPr="00C30EAD">
        <w:rPr>
          <w:rFonts w:cs="Arial"/>
          <w:lang w:eastAsia="cs-CZ"/>
        </w:rPr>
        <w:t xml:space="preserve">. Na základě provedené kontroly NKÚ </w:t>
      </w:r>
      <w:r w:rsidR="004757C4" w:rsidRPr="00C30EAD">
        <w:rPr>
          <w:rFonts w:cs="Arial"/>
          <w:lang w:eastAsia="cs-CZ"/>
        </w:rPr>
        <w:t xml:space="preserve">provedlo </w:t>
      </w:r>
      <w:r w:rsidR="00314AF3" w:rsidRPr="00C30EAD">
        <w:rPr>
          <w:rFonts w:cs="Arial"/>
          <w:lang w:eastAsia="cs-CZ"/>
        </w:rPr>
        <w:t>MŠMT</w:t>
      </w:r>
      <w:r w:rsidR="00722F27" w:rsidRPr="00C30EAD">
        <w:rPr>
          <w:rFonts w:cs="Arial"/>
          <w:lang w:eastAsia="cs-CZ"/>
        </w:rPr>
        <w:t xml:space="preserve"> </w:t>
      </w:r>
      <w:r w:rsidR="004757C4" w:rsidRPr="00C30EAD">
        <w:rPr>
          <w:rFonts w:cs="Arial"/>
          <w:lang w:eastAsia="cs-CZ"/>
        </w:rPr>
        <w:t>příslušné kroky vedoucí k uzavření obou případů</w:t>
      </w:r>
      <w:r w:rsidR="00722F27" w:rsidRPr="00C30EAD">
        <w:rPr>
          <w:rFonts w:cs="Arial"/>
          <w:lang w:eastAsia="cs-CZ"/>
        </w:rPr>
        <w:t>.</w:t>
      </w:r>
    </w:p>
    <w:p w14:paraId="4F0A8B98" w14:textId="77777777" w:rsidR="00E02DB1" w:rsidRDefault="00E02DB1" w:rsidP="007C008D">
      <w:pPr>
        <w:spacing w:line="23" w:lineRule="atLeast"/>
        <w:rPr>
          <w:rFonts w:cs="Arial"/>
          <w:b/>
          <w:lang w:eastAsia="cs-CZ"/>
        </w:rPr>
      </w:pPr>
    </w:p>
    <w:p w14:paraId="36C93C46" w14:textId="77777777" w:rsidR="007C008D" w:rsidRPr="00C30EAD" w:rsidRDefault="007C008D" w:rsidP="007C008D">
      <w:pPr>
        <w:spacing w:line="23" w:lineRule="atLeast"/>
        <w:rPr>
          <w:rFonts w:cs="Arial"/>
          <w:b/>
          <w:lang w:eastAsia="cs-CZ"/>
        </w:rPr>
      </w:pPr>
    </w:p>
    <w:p w14:paraId="629A2E38" w14:textId="77777777" w:rsidR="007C4F88" w:rsidRPr="009D0852" w:rsidRDefault="007C4F88" w:rsidP="007C008D">
      <w:pPr>
        <w:spacing w:line="23" w:lineRule="atLeast"/>
        <w:jc w:val="center"/>
        <w:rPr>
          <w:rFonts w:cs="Arial"/>
          <w:b/>
          <w:bCs/>
          <w:sz w:val="24"/>
        </w:rPr>
      </w:pPr>
      <w:r w:rsidRPr="009D0852">
        <w:rPr>
          <w:rFonts w:cs="Arial"/>
          <w:b/>
          <w:bCs/>
          <w:sz w:val="24"/>
        </w:rPr>
        <w:t>III. Skutečnosti zjištěné při kontrole u příjemců podpory</w:t>
      </w:r>
      <w:r w:rsidR="00041562" w:rsidRPr="009D0852">
        <w:rPr>
          <w:rFonts w:cs="Arial"/>
          <w:b/>
          <w:bCs/>
          <w:sz w:val="24"/>
        </w:rPr>
        <w:t xml:space="preserve"> z </w:t>
      </w:r>
      <w:proofErr w:type="gramStart"/>
      <w:r w:rsidR="00041562" w:rsidRPr="009D0852">
        <w:rPr>
          <w:rFonts w:cs="Arial"/>
          <w:b/>
          <w:bCs/>
          <w:sz w:val="24"/>
        </w:rPr>
        <w:t>OP</w:t>
      </w:r>
      <w:proofErr w:type="gramEnd"/>
      <w:r w:rsidR="00041562" w:rsidRPr="009D0852">
        <w:rPr>
          <w:rFonts w:cs="Arial"/>
          <w:b/>
          <w:bCs/>
          <w:sz w:val="24"/>
        </w:rPr>
        <w:t xml:space="preserve"> VaVpI</w:t>
      </w:r>
    </w:p>
    <w:p w14:paraId="4FEC0424" w14:textId="77777777" w:rsidR="00A116F3" w:rsidRPr="007C008D" w:rsidRDefault="00A116F3" w:rsidP="007C008D">
      <w:pPr>
        <w:spacing w:line="23" w:lineRule="atLeast"/>
        <w:jc w:val="center"/>
        <w:rPr>
          <w:rFonts w:cs="Arial"/>
          <w:b/>
          <w:bCs/>
          <w:szCs w:val="22"/>
        </w:rPr>
      </w:pPr>
    </w:p>
    <w:p w14:paraId="2C67C533" w14:textId="77777777" w:rsidR="00E02DB1" w:rsidRDefault="00E02DB1" w:rsidP="007C008D">
      <w:pPr>
        <w:pStyle w:val="Nadpis1"/>
        <w:numPr>
          <w:ilvl w:val="0"/>
          <w:numId w:val="24"/>
        </w:numPr>
        <w:ind w:hanging="720"/>
      </w:pPr>
      <w:r w:rsidRPr="00C30EAD">
        <w:t>Rozsah kontroly</w:t>
      </w:r>
      <w:r w:rsidR="006370AC" w:rsidRPr="00C30EAD">
        <w:t xml:space="preserve"> u příjemců podpory</w:t>
      </w:r>
    </w:p>
    <w:p w14:paraId="4941DE2E" w14:textId="77777777" w:rsidR="007C008D" w:rsidRPr="007C008D" w:rsidRDefault="007C008D" w:rsidP="007C008D">
      <w:pPr>
        <w:rPr>
          <w:lang w:eastAsia="cs-CZ"/>
        </w:rPr>
      </w:pPr>
    </w:p>
    <w:p w14:paraId="2405137D" w14:textId="3C83A0F0" w:rsidR="00200E20" w:rsidRPr="00C30EAD" w:rsidRDefault="001B1B8A" w:rsidP="007C008D">
      <w:pPr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 xml:space="preserve">Kontrole bylo podrobeno osm </w:t>
      </w:r>
      <w:r w:rsidR="009C665C" w:rsidRPr="00C30EAD">
        <w:rPr>
          <w:rFonts w:cs="Arial"/>
          <w:bCs/>
          <w:szCs w:val="22"/>
        </w:rPr>
        <w:t>projektů realizov</w:t>
      </w:r>
      <w:r w:rsidR="00041562" w:rsidRPr="00C30EAD">
        <w:rPr>
          <w:rFonts w:cs="Arial"/>
          <w:bCs/>
          <w:szCs w:val="22"/>
        </w:rPr>
        <w:t>aných</w:t>
      </w:r>
      <w:r w:rsidR="009C665C" w:rsidRPr="00C30EAD">
        <w:rPr>
          <w:rFonts w:cs="Arial"/>
          <w:bCs/>
          <w:szCs w:val="22"/>
        </w:rPr>
        <w:t xml:space="preserve"> příjemci z řad veřejných vysokých škol, veřejných výzkumných institucí, obchodních společností </w:t>
      </w:r>
      <w:r w:rsidR="00D7688D" w:rsidRPr="00C30EAD">
        <w:rPr>
          <w:rFonts w:cs="Arial"/>
          <w:bCs/>
          <w:szCs w:val="22"/>
        </w:rPr>
        <w:t>a</w:t>
      </w:r>
      <w:r w:rsidR="009C665C" w:rsidRPr="00C30EAD">
        <w:rPr>
          <w:rFonts w:cs="Arial"/>
          <w:bCs/>
          <w:szCs w:val="22"/>
        </w:rPr>
        <w:t xml:space="preserve"> příspěvkových organizací. </w:t>
      </w:r>
      <w:r w:rsidR="007B3623" w:rsidRPr="00C30EAD">
        <w:rPr>
          <w:rFonts w:cs="Arial"/>
          <w:bCs/>
          <w:szCs w:val="22"/>
        </w:rPr>
        <w:t>Kontrola byla provedena na vzorku tří projektů prioritní osy 1 a pěti projekt</w:t>
      </w:r>
      <w:r w:rsidR="006A0454" w:rsidRPr="00C30EAD">
        <w:rPr>
          <w:rFonts w:cs="Arial"/>
          <w:bCs/>
          <w:szCs w:val="22"/>
        </w:rPr>
        <w:t>ů</w:t>
      </w:r>
      <w:r w:rsidR="007B3623" w:rsidRPr="00C30EAD">
        <w:rPr>
          <w:rFonts w:cs="Arial"/>
          <w:bCs/>
          <w:szCs w:val="22"/>
        </w:rPr>
        <w:t xml:space="preserve"> prioritní osy 2. </w:t>
      </w:r>
      <w:r w:rsidR="009C665C" w:rsidRPr="00C30EAD">
        <w:rPr>
          <w:rFonts w:cs="Arial"/>
          <w:bCs/>
          <w:szCs w:val="22"/>
        </w:rPr>
        <w:t>Vybraný kontrolní vzorek zahrnoval i tzv. velké projekty</w:t>
      </w:r>
      <w:r w:rsidR="009C665C" w:rsidRPr="00C30EAD">
        <w:rPr>
          <w:rStyle w:val="Znakapoznpodarou"/>
          <w:rFonts w:cs="Arial"/>
          <w:bCs/>
          <w:szCs w:val="22"/>
        </w:rPr>
        <w:footnoteReference w:id="32"/>
      </w:r>
      <w:r w:rsidR="009C665C" w:rsidRPr="00C30EAD">
        <w:rPr>
          <w:rFonts w:cs="Arial"/>
          <w:bCs/>
          <w:szCs w:val="22"/>
        </w:rPr>
        <w:t>.</w:t>
      </w:r>
    </w:p>
    <w:p w14:paraId="71C973B4" w14:textId="77777777" w:rsidR="009C665C" w:rsidRPr="00C30EAD" w:rsidRDefault="009C665C" w:rsidP="007C008D">
      <w:pPr>
        <w:rPr>
          <w:rFonts w:cs="Arial"/>
          <w:bCs/>
          <w:szCs w:val="22"/>
        </w:rPr>
      </w:pPr>
    </w:p>
    <w:p w14:paraId="5868C3AA" w14:textId="046591AE" w:rsidR="00200E20" w:rsidRPr="00C30EAD" w:rsidRDefault="00200E20" w:rsidP="007C008D">
      <w:pPr>
        <w:widowControl w:val="0"/>
        <w:rPr>
          <w:rFonts w:cs="Arial"/>
          <w:szCs w:val="22"/>
        </w:rPr>
      </w:pPr>
      <w:r w:rsidRPr="00C30EAD">
        <w:rPr>
          <w:rFonts w:cs="Arial"/>
          <w:bCs/>
          <w:szCs w:val="22"/>
        </w:rPr>
        <w:t>U příjemců podpory byla prověřena legalita realizace podpořených projektů v klíčových bodech</w:t>
      </w:r>
      <w:r w:rsidR="006A0454" w:rsidRPr="00C30EAD">
        <w:rPr>
          <w:rFonts w:cs="Arial"/>
          <w:bCs/>
          <w:szCs w:val="22"/>
        </w:rPr>
        <w:t xml:space="preserve">, </w:t>
      </w:r>
      <w:r w:rsidRPr="00C30EAD">
        <w:rPr>
          <w:rFonts w:cs="Arial"/>
          <w:bCs/>
          <w:szCs w:val="22"/>
        </w:rPr>
        <w:t xml:space="preserve">jakými jsou </w:t>
      </w:r>
      <w:r w:rsidRPr="00C30EAD">
        <w:rPr>
          <w:rFonts w:cs="Arial"/>
          <w:szCs w:val="22"/>
        </w:rPr>
        <w:t xml:space="preserve">plnění cílů a monitorovacích indikátorů, </w:t>
      </w:r>
      <w:r w:rsidR="001B1B8A" w:rsidRPr="00C30EAD">
        <w:rPr>
          <w:rFonts w:cs="Arial"/>
          <w:szCs w:val="22"/>
        </w:rPr>
        <w:t xml:space="preserve">soulad </w:t>
      </w:r>
      <w:r w:rsidRPr="00C30EAD">
        <w:rPr>
          <w:rFonts w:cs="Arial"/>
          <w:szCs w:val="22"/>
        </w:rPr>
        <w:t>realizace projektových aktivit se stanovenými podmínkami</w:t>
      </w:r>
      <w:r w:rsidR="006A0454" w:rsidRPr="00C30EAD">
        <w:rPr>
          <w:rFonts w:cs="Arial"/>
          <w:szCs w:val="22"/>
        </w:rPr>
        <w:t xml:space="preserve"> přidělení dotace</w:t>
      </w:r>
      <w:r w:rsidR="001B1B8A" w:rsidRPr="00C30EAD">
        <w:rPr>
          <w:rFonts w:cs="Arial"/>
          <w:szCs w:val="22"/>
        </w:rPr>
        <w:t xml:space="preserve">, vedení analytické účetní evidence transakcí </w:t>
      </w:r>
      <w:r w:rsidR="004E64E0">
        <w:rPr>
          <w:rFonts w:cs="Arial"/>
          <w:szCs w:val="22"/>
        </w:rPr>
        <w:t xml:space="preserve">souvisejících </w:t>
      </w:r>
      <w:r w:rsidR="001B1B8A" w:rsidRPr="00C30EAD">
        <w:rPr>
          <w:rFonts w:cs="Arial"/>
          <w:szCs w:val="22"/>
        </w:rPr>
        <w:t xml:space="preserve">s těmito aktivitami, dodržování </w:t>
      </w:r>
      <w:r w:rsidRPr="00C30EAD">
        <w:rPr>
          <w:rFonts w:cs="Arial"/>
          <w:szCs w:val="22"/>
        </w:rPr>
        <w:t>rozpočtu projekt</w:t>
      </w:r>
      <w:r w:rsidR="001B1B8A" w:rsidRPr="00C30EAD">
        <w:rPr>
          <w:rFonts w:cs="Arial"/>
          <w:szCs w:val="22"/>
        </w:rPr>
        <w:t>ů a z</w:t>
      </w:r>
      <w:r w:rsidRPr="00C30EAD">
        <w:rPr>
          <w:rFonts w:cs="Arial"/>
          <w:szCs w:val="22"/>
        </w:rPr>
        <w:t xml:space="preserve">působilost </w:t>
      </w:r>
      <w:r w:rsidR="001B1B8A" w:rsidRPr="00C30EAD">
        <w:rPr>
          <w:rFonts w:cs="Arial"/>
          <w:szCs w:val="22"/>
        </w:rPr>
        <w:t xml:space="preserve">vykazovaných </w:t>
      </w:r>
      <w:r w:rsidRPr="00C30EAD">
        <w:rPr>
          <w:rFonts w:cs="Arial"/>
          <w:szCs w:val="22"/>
        </w:rPr>
        <w:t xml:space="preserve">výdajů, oblast zajištění povinné publicity projektů a též soulad výběru dodavatelů </w:t>
      </w:r>
      <w:r w:rsidR="00C10869">
        <w:rPr>
          <w:rFonts w:cs="Arial"/>
          <w:szCs w:val="22"/>
        </w:rPr>
        <w:t>s </w:t>
      </w:r>
      <w:r w:rsidRPr="00C30EAD">
        <w:rPr>
          <w:rFonts w:cs="Arial"/>
          <w:szCs w:val="22"/>
        </w:rPr>
        <w:t>pravidly pro zadávání veřejných zakázek.</w:t>
      </w:r>
    </w:p>
    <w:p w14:paraId="46273397" w14:textId="77777777" w:rsidR="001B1B8A" w:rsidRPr="00C30EAD" w:rsidRDefault="001B1B8A" w:rsidP="007C008D">
      <w:pPr>
        <w:rPr>
          <w:rFonts w:cs="Arial"/>
          <w:bCs/>
          <w:szCs w:val="22"/>
        </w:rPr>
      </w:pPr>
    </w:p>
    <w:p w14:paraId="68F2F1BC" w14:textId="2A266DF2" w:rsidR="00E02DB1" w:rsidRDefault="004E64E0" w:rsidP="007C008D">
      <w:pPr>
        <w:pStyle w:val="Nadpis1"/>
        <w:ind w:hanging="720"/>
      </w:pPr>
      <w:r>
        <w:t>N</w:t>
      </w:r>
      <w:r w:rsidRPr="00C30EAD">
        <w:t xml:space="preserve">edostatky </w:t>
      </w:r>
      <w:r>
        <w:t>z</w:t>
      </w:r>
      <w:r w:rsidR="00E02DB1" w:rsidRPr="00C30EAD">
        <w:t xml:space="preserve">jištěné </w:t>
      </w:r>
      <w:r w:rsidR="006370AC" w:rsidRPr="00C30EAD">
        <w:t>u příjemců podpory</w:t>
      </w:r>
    </w:p>
    <w:p w14:paraId="7EF56FC9" w14:textId="77777777" w:rsidR="007C008D" w:rsidRPr="007C008D" w:rsidRDefault="007C008D" w:rsidP="007C008D">
      <w:pPr>
        <w:rPr>
          <w:lang w:eastAsia="cs-CZ"/>
        </w:rPr>
      </w:pPr>
    </w:p>
    <w:p w14:paraId="4B3096E2" w14:textId="65EB44B1" w:rsidR="008A2279" w:rsidRPr="00C30EAD" w:rsidRDefault="00E6721E" w:rsidP="007C008D">
      <w:pPr>
        <w:spacing w:line="23" w:lineRule="atLeast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>Nedostatky zjištěné u příjemců podpory z </w:t>
      </w:r>
      <w:proofErr w:type="gramStart"/>
      <w:r w:rsidRPr="00C30EAD">
        <w:rPr>
          <w:rFonts w:cs="Arial"/>
          <w:bCs/>
          <w:szCs w:val="22"/>
        </w:rPr>
        <w:t>OP</w:t>
      </w:r>
      <w:proofErr w:type="gramEnd"/>
      <w:r w:rsidRPr="00C30EAD">
        <w:rPr>
          <w:rFonts w:cs="Arial"/>
          <w:bCs/>
          <w:szCs w:val="22"/>
        </w:rPr>
        <w:t xml:space="preserve"> VaVpI</w:t>
      </w:r>
      <w:r w:rsidR="000C1E76" w:rsidRPr="00C30EAD">
        <w:rPr>
          <w:rFonts w:cs="Arial"/>
          <w:bCs/>
          <w:szCs w:val="22"/>
        </w:rPr>
        <w:t xml:space="preserve"> </w:t>
      </w:r>
      <w:r w:rsidR="004E64E0">
        <w:rPr>
          <w:rFonts w:cs="Arial"/>
          <w:bCs/>
          <w:szCs w:val="22"/>
        </w:rPr>
        <w:t>byly dvojího druhu:</w:t>
      </w:r>
      <w:r w:rsidRPr="00C30EAD">
        <w:rPr>
          <w:rFonts w:cs="Arial"/>
          <w:bCs/>
          <w:szCs w:val="22"/>
        </w:rPr>
        <w:t xml:space="preserve"> </w:t>
      </w:r>
      <w:r w:rsidR="004E64E0">
        <w:rPr>
          <w:rFonts w:cs="Arial"/>
          <w:bCs/>
          <w:szCs w:val="22"/>
        </w:rPr>
        <w:t xml:space="preserve">1) </w:t>
      </w:r>
      <w:r w:rsidRPr="00C30EAD">
        <w:rPr>
          <w:rFonts w:cs="Arial"/>
          <w:bCs/>
          <w:szCs w:val="22"/>
        </w:rPr>
        <w:t>pochybení v oblasti výběru dodavatelů</w:t>
      </w:r>
      <w:r w:rsidR="004E64E0">
        <w:rPr>
          <w:rFonts w:cs="Arial"/>
          <w:bCs/>
          <w:szCs w:val="22"/>
        </w:rPr>
        <w:t>, 2)</w:t>
      </w:r>
      <w:r w:rsidR="00367BE7">
        <w:rPr>
          <w:rFonts w:cs="Arial"/>
          <w:bCs/>
          <w:szCs w:val="22"/>
        </w:rPr>
        <w:t xml:space="preserve"> </w:t>
      </w:r>
      <w:r w:rsidRPr="00C30EAD">
        <w:rPr>
          <w:rFonts w:cs="Arial"/>
          <w:bCs/>
          <w:szCs w:val="22"/>
        </w:rPr>
        <w:t xml:space="preserve">pochybení v oblasti vykazování způsobilosti výdajů. </w:t>
      </w:r>
      <w:r w:rsidR="00EB2022" w:rsidRPr="00C30EAD">
        <w:rPr>
          <w:rFonts w:cs="Arial"/>
          <w:b/>
          <w:bCs/>
          <w:szCs w:val="22"/>
        </w:rPr>
        <w:t xml:space="preserve">Nedostatky kvalifikované jako porušení rozpočtové kázně </w:t>
      </w:r>
      <w:r w:rsidR="004E64E0">
        <w:rPr>
          <w:rFonts w:cs="Arial"/>
          <w:b/>
          <w:bCs/>
          <w:szCs w:val="22"/>
        </w:rPr>
        <w:t>dosáhly</w:t>
      </w:r>
      <w:r w:rsidR="00EB2022" w:rsidRPr="00C30EAD">
        <w:rPr>
          <w:rFonts w:cs="Arial"/>
          <w:b/>
          <w:bCs/>
          <w:szCs w:val="22"/>
        </w:rPr>
        <w:t xml:space="preserve"> výš</w:t>
      </w:r>
      <w:r w:rsidR="004E64E0">
        <w:rPr>
          <w:rFonts w:cs="Arial"/>
          <w:b/>
          <w:bCs/>
          <w:szCs w:val="22"/>
        </w:rPr>
        <w:t>e</w:t>
      </w:r>
      <w:r w:rsidR="00EB2022" w:rsidRPr="00C30EAD">
        <w:rPr>
          <w:rFonts w:cs="Arial"/>
          <w:b/>
          <w:bCs/>
          <w:szCs w:val="22"/>
        </w:rPr>
        <w:t xml:space="preserve"> 1 375 860 Kč. Částka dotčená nesrovnalostí představuje 85 %</w:t>
      </w:r>
      <w:r w:rsidR="00A4638C" w:rsidRPr="004C26FF">
        <w:rPr>
          <w:rFonts w:cs="Arial"/>
          <w:b/>
          <w:bCs/>
          <w:szCs w:val="22"/>
        </w:rPr>
        <w:t xml:space="preserve"> z této částky</w:t>
      </w:r>
      <w:r w:rsidR="00EB2022" w:rsidRPr="00C30EAD">
        <w:rPr>
          <w:rFonts w:cs="Arial"/>
          <w:b/>
          <w:bCs/>
          <w:szCs w:val="22"/>
        </w:rPr>
        <w:t>, tj. 1 169 481 Kč.</w:t>
      </w:r>
    </w:p>
    <w:p w14:paraId="221930EC" w14:textId="77777777" w:rsidR="008A2279" w:rsidRDefault="008A2279" w:rsidP="007C008D">
      <w:pPr>
        <w:spacing w:line="23" w:lineRule="atLeast"/>
        <w:rPr>
          <w:rFonts w:cs="Arial"/>
          <w:bCs/>
          <w:i/>
          <w:szCs w:val="22"/>
        </w:rPr>
      </w:pPr>
    </w:p>
    <w:p w14:paraId="00E85959" w14:textId="158B0A35" w:rsidR="006B430C" w:rsidRDefault="006B430C" w:rsidP="009D0852">
      <w:pPr>
        <w:pStyle w:val="Nadpis4"/>
        <w:numPr>
          <w:ilvl w:val="1"/>
          <w:numId w:val="23"/>
        </w:numPr>
        <w:tabs>
          <w:tab w:val="clear" w:pos="284"/>
          <w:tab w:val="left" w:pos="851"/>
        </w:tabs>
        <w:spacing w:after="120"/>
        <w:ind w:left="357" w:hanging="357"/>
      </w:pPr>
      <w:r>
        <w:t>Pochybení v oblasti výběru dodavatelů</w:t>
      </w:r>
    </w:p>
    <w:p w14:paraId="3B7698E3" w14:textId="70806667" w:rsidR="00C76DE7" w:rsidRDefault="00C76DE7" w:rsidP="007C008D">
      <w:pPr>
        <w:spacing w:line="23" w:lineRule="atLeast"/>
        <w:rPr>
          <w:rFonts w:cs="Arial"/>
          <w:bCs/>
          <w:szCs w:val="22"/>
        </w:rPr>
      </w:pPr>
      <w:r w:rsidRPr="00C30EAD">
        <w:rPr>
          <w:rFonts w:cs="Arial"/>
          <w:b/>
          <w:bCs/>
          <w:szCs w:val="22"/>
        </w:rPr>
        <w:t xml:space="preserve">Významnější </w:t>
      </w:r>
      <w:r w:rsidR="00A22E2C" w:rsidRPr="00C30EAD">
        <w:rPr>
          <w:rFonts w:cs="Arial"/>
          <w:b/>
          <w:bCs/>
          <w:szCs w:val="22"/>
        </w:rPr>
        <w:t xml:space="preserve">nedostatky </w:t>
      </w:r>
      <w:r w:rsidR="009446BF" w:rsidRPr="00C30EAD">
        <w:rPr>
          <w:rFonts w:cs="Arial"/>
          <w:b/>
          <w:bCs/>
          <w:szCs w:val="22"/>
        </w:rPr>
        <w:t>v oblasti výběru dodavatelů</w:t>
      </w:r>
      <w:r w:rsidR="009446BF" w:rsidRPr="00C30EAD">
        <w:rPr>
          <w:rFonts w:cs="Arial"/>
          <w:bCs/>
          <w:szCs w:val="22"/>
        </w:rPr>
        <w:t xml:space="preserve"> identifikoval</w:t>
      </w:r>
      <w:r w:rsidR="00A116F3" w:rsidRPr="00C30EAD">
        <w:rPr>
          <w:rFonts w:cs="Arial"/>
          <w:bCs/>
          <w:szCs w:val="22"/>
        </w:rPr>
        <w:t xml:space="preserve"> </w:t>
      </w:r>
      <w:r w:rsidR="004E64E0" w:rsidRPr="00C30EAD">
        <w:rPr>
          <w:rFonts w:cs="Arial"/>
          <w:bCs/>
          <w:szCs w:val="22"/>
        </w:rPr>
        <w:t xml:space="preserve">NKÚ </w:t>
      </w:r>
      <w:r w:rsidR="00A116F3" w:rsidRPr="00C30EAD">
        <w:rPr>
          <w:rFonts w:cs="Arial"/>
          <w:bCs/>
          <w:szCs w:val="22"/>
        </w:rPr>
        <w:t xml:space="preserve">u příjemců Technická univerzita </w:t>
      </w:r>
      <w:r w:rsidR="00C10869">
        <w:rPr>
          <w:rFonts w:cs="Arial"/>
          <w:bCs/>
          <w:szCs w:val="22"/>
        </w:rPr>
        <w:t>v </w:t>
      </w:r>
      <w:r w:rsidR="00A116F3" w:rsidRPr="00C30EAD">
        <w:rPr>
          <w:rFonts w:cs="Arial"/>
          <w:bCs/>
          <w:szCs w:val="22"/>
        </w:rPr>
        <w:t xml:space="preserve">Liberci </w:t>
      </w:r>
      <w:r w:rsidRPr="00C30EAD">
        <w:rPr>
          <w:rFonts w:cs="Arial"/>
          <w:bCs/>
          <w:szCs w:val="22"/>
        </w:rPr>
        <w:t xml:space="preserve">(dále též „TUL“) </w:t>
      </w:r>
      <w:r w:rsidR="00A116F3" w:rsidRPr="00C30EAD">
        <w:rPr>
          <w:rFonts w:cs="Arial"/>
          <w:bCs/>
          <w:szCs w:val="22"/>
        </w:rPr>
        <w:t>a Vysoká škola báňská – Technická univerzita Ostrava (</w:t>
      </w:r>
      <w:r w:rsidR="006A0454" w:rsidRPr="00C30EAD">
        <w:rPr>
          <w:rFonts w:cs="Arial"/>
          <w:bCs/>
          <w:szCs w:val="22"/>
        </w:rPr>
        <w:t>dále též „</w:t>
      </w:r>
      <w:r w:rsidR="00A116F3" w:rsidRPr="00C30EAD">
        <w:rPr>
          <w:rFonts w:cs="Arial"/>
          <w:bCs/>
          <w:szCs w:val="22"/>
        </w:rPr>
        <w:t>VŠB</w:t>
      </w:r>
      <w:r w:rsidR="006A0454" w:rsidRPr="00C30EAD">
        <w:rPr>
          <w:rFonts w:cs="Arial"/>
          <w:bCs/>
          <w:szCs w:val="22"/>
        </w:rPr>
        <w:t>-TU“</w:t>
      </w:r>
      <w:r w:rsidR="00A116F3" w:rsidRPr="00C30EAD">
        <w:rPr>
          <w:rFonts w:cs="Arial"/>
          <w:bCs/>
          <w:szCs w:val="22"/>
        </w:rPr>
        <w:t>), k</w:t>
      </w:r>
      <w:r w:rsidRPr="00C30EAD">
        <w:rPr>
          <w:rFonts w:cs="Arial"/>
          <w:bCs/>
          <w:szCs w:val="22"/>
        </w:rPr>
        <w:t>de p</w:t>
      </w:r>
      <w:r w:rsidR="00A116F3" w:rsidRPr="00C30EAD">
        <w:rPr>
          <w:rFonts w:cs="Arial"/>
          <w:bCs/>
          <w:szCs w:val="22"/>
        </w:rPr>
        <w:t>říjemc</w:t>
      </w:r>
      <w:r w:rsidR="006A0454" w:rsidRPr="00C30EAD">
        <w:rPr>
          <w:rFonts w:cs="Arial"/>
          <w:bCs/>
          <w:szCs w:val="22"/>
        </w:rPr>
        <w:t>i</w:t>
      </w:r>
      <w:r w:rsidR="00A116F3" w:rsidRPr="00C30EAD">
        <w:rPr>
          <w:rFonts w:cs="Arial"/>
          <w:bCs/>
          <w:szCs w:val="22"/>
        </w:rPr>
        <w:t xml:space="preserve"> jako zadavatel</w:t>
      </w:r>
      <w:r w:rsidR="006A0454" w:rsidRPr="00C30EAD">
        <w:rPr>
          <w:rFonts w:cs="Arial"/>
          <w:bCs/>
          <w:szCs w:val="22"/>
        </w:rPr>
        <w:t>é</w:t>
      </w:r>
      <w:r w:rsidR="00A116F3" w:rsidRPr="00C30EAD">
        <w:rPr>
          <w:rFonts w:cs="Arial"/>
          <w:bCs/>
          <w:szCs w:val="22"/>
        </w:rPr>
        <w:t xml:space="preserve"> </w:t>
      </w:r>
      <w:r w:rsidRPr="00C30EAD">
        <w:rPr>
          <w:rFonts w:cs="Arial"/>
          <w:bCs/>
          <w:szCs w:val="22"/>
        </w:rPr>
        <w:t>veřejn</w:t>
      </w:r>
      <w:r w:rsidR="004E64E0">
        <w:rPr>
          <w:rFonts w:cs="Arial"/>
          <w:bCs/>
          <w:szCs w:val="22"/>
        </w:rPr>
        <w:t>ých</w:t>
      </w:r>
      <w:r w:rsidRPr="00C30EAD">
        <w:rPr>
          <w:rFonts w:cs="Arial"/>
          <w:bCs/>
          <w:szCs w:val="22"/>
        </w:rPr>
        <w:t xml:space="preserve"> zakáz</w:t>
      </w:r>
      <w:r w:rsidR="004E64E0">
        <w:rPr>
          <w:rFonts w:cs="Arial"/>
          <w:bCs/>
          <w:szCs w:val="22"/>
        </w:rPr>
        <w:t>e</w:t>
      </w:r>
      <w:r w:rsidRPr="00C30EAD">
        <w:rPr>
          <w:rFonts w:cs="Arial"/>
          <w:bCs/>
          <w:szCs w:val="22"/>
        </w:rPr>
        <w:t xml:space="preserve">k </w:t>
      </w:r>
      <w:r w:rsidR="00A116F3" w:rsidRPr="00C30EAD">
        <w:rPr>
          <w:rFonts w:cs="Arial"/>
          <w:bCs/>
          <w:szCs w:val="22"/>
        </w:rPr>
        <w:t>uzavřel</w:t>
      </w:r>
      <w:r w:rsidRPr="00C30EAD">
        <w:rPr>
          <w:rFonts w:cs="Arial"/>
          <w:bCs/>
          <w:szCs w:val="22"/>
        </w:rPr>
        <w:t>i</w:t>
      </w:r>
      <w:r w:rsidR="00A116F3" w:rsidRPr="00C30EAD">
        <w:rPr>
          <w:rFonts w:cs="Arial"/>
          <w:bCs/>
          <w:szCs w:val="22"/>
        </w:rPr>
        <w:t xml:space="preserve"> smlouv</w:t>
      </w:r>
      <w:r w:rsidR="004E64E0">
        <w:rPr>
          <w:rFonts w:cs="Arial"/>
          <w:bCs/>
          <w:szCs w:val="22"/>
        </w:rPr>
        <w:t>y</w:t>
      </w:r>
      <w:r w:rsidR="00A116F3" w:rsidRPr="00C30EAD">
        <w:rPr>
          <w:rFonts w:cs="Arial"/>
          <w:bCs/>
          <w:szCs w:val="22"/>
        </w:rPr>
        <w:t xml:space="preserve"> o dílo </w:t>
      </w:r>
      <w:r w:rsidR="00C10869">
        <w:rPr>
          <w:rFonts w:cs="Arial"/>
          <w:bCs/>
          <w:szCs w:val="22"/>
        </w:rPr>
        <w:t>s </w:t>
      </w:r>
      <w:r w:rsidR="00A116F3" w:rsidRPr="00C30EAD">
        <w:rPr>
          <w:rFonts w:cs="Arial"/>
          <w:bCs/>
          <w:szCs w:val="22"/>
        </w:rPr>
        <w:t>uchazeči, jejichž nabídky nesplnily zákonné požadavky</w:t>
      </w:r>
      <w:r w:rsidR="005D75C2" w:rsidRPr="00C30EAD">
        <w:rPr>
          <w:rStyle w:val="Znakapoznpodarou"/>
          <w:rFonts w:cs="Arial"/>
          <w:bCs/>
          <w:szCs w:val="22"/>
        </w:rPr>
        <w:footnoteReference w:id="33"/>
      </w:r>
      <w:r w:rsidRPr="00C30EAD">
        <w:rPr>
          <w:rFonts w:cs="Arial"/>
          <w:bCs/>
          <w:szCs w:val="22"/>
        </w:rPr>
        <w:t>,</w:t>
      </w:r>
      <w:r w:rsidR="00A116F3" w:rsidRPr="00C30EAD">
        <w:rPr>
          <w:rFonts w:cs="Arial"/>
          <w:bCs/>
          <w:szCs w:val="22"/>
        </w:rPr>
        <w:t xml:space="preserve"> resp. požadavky zadavatel</w:t>
      </w:r>
      <w:r w:rsidRPr="00C30EAD">
        <w:rPr>
          <w:rFonts w:cs="Arial"/>
          <w:bCs/>
          <w:szCs w:val="22"/>
        </w:rPr>
        <w:t>ů</w:t>
      </w:r>
      <w:r w:rsidR="00A116F3" w:rsidRPr="00C30EAD">
        <w:rPr>
          <w:rFonts w:cs="Arial"/>
          <w:bCs/>
          <w:szCs w:val="22"/>
        </w:rPr>
        <w:t>.</w:t>
      </w:r>
    </w:p>
    <w:p w14:paraId="31E6E128" w14:textId="77777777" w:rsidR="004E64E0" w:rsidRPr="00C30EAD" w:rsidRDefault="004E64E0" w:rsidP="007C008D">
      <w:pPr>
        <w:spacing w:line="23" w:lineRule="atLeast"/>
        <w:rPr>
          <w:rFonts w:cs="Arial"/>
          <w:bCs/>
          <w:szCs w:val="22"/>
        </w:rPr>
      </w:pPr>
    </w:p>
    <w:p w14:paraId="4FD41D6C" w14:textId="099F3055" w:rsidR="00C76DE7" w:rsidRPr="00C30EAD" w:rsidRDefault="00A116F3" w:rsidP="007C008D">
      <w:pPr>
        <w:spacing w:line="23" w:lineRule="atLeast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 xml:space="preserve">Příjemce TUL </w:t>
      </w:r>
      <w:r w:rsidR="00174834" w:rsidRPr="00C30EAD">
        <w:rPr>
          <w:rFonts w:cs="Arial"/>
          <w:bCs/>
          <w:szCs w:val="22"/>
        </w:rPr>
        <w:t>c</w:t>
      </w:r>
      <w:r w:rsidRPr="00C30EAD">
        <w:rPr>
          <w:rFonts w:cs="Arial"/>
          <w:bCs/>
          <w:szCs w:val="22"/>
        </w:rPr>
        <w:t>hyboval při výběru dodavatel</w:t>
      </w:r>
      <w:r w:rsidR="00C76DE7" w:rsidRPr="00C30EAD">
        <w:rPr>
          <w:rFonts w:cs="Arial"/>
          <w:bCs/>
          <w:szCs w:val="22"/>
        </w:rPr>
        <w:t>ů</w:t>
      </w:r>
      <w:r w:rsidRPr="00C30EAD">
        <w:rPr>
          <w:rFonts w:cs="Arial"/>
          <w:bCs/>
          <w:szCs w:val="22"/>
        </w:rPr>
        <w:t xml:space="preserve"> ve třech případech</w:t>
      </w:r>
      <w:r w:rsidR="00C76DE7" w:rsidRPr="00C30EAD">
        <w:rPr>
          <w:rFonts w:cs="Arial"/>
          <w:bCs/>
          <w:szCs w:val="22"/>
        </w:rPr>
        <w:t>:</w:t>
      </w:r>
    </w:p>
    <w:p w14:paraId="177993BA" w14:textId="4C32D9A0" w:rsidR="00C76DE7" w:rsidRPr="00C30EAD" w:rsidRDefault="00A116F3" w:rsidP="007C008D">
      <w:pPr>
        <w:numPr>
          <w:ilvl w:val="0"/>
          <w:numId w:val="7"/>
        </w:numPr>
        <w:spacing w:line="23" w:lineRule="atLeast"/>
        <w:ind w:left="284" w:hanging="284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>U veřejn</w:t>
      </w:r>
      <w:r w:rsidR="004E64E0">
        <w:rPr>
          <w:rFonts w:cs="Arial"/>
          <w:bCs/>
          <w:szCs w:val="22"/>
        </w:rPr>
        <w:t>é</w:t>
      </w:r>
      <w:r w:rsidRPr="00C30EAD">
        <w:rPr>
          <w:rFonts w:cs="Arial"/>
          <w:bCs/>
          <w:szCs w:val="22"/>
        </w:rPr>
        <w:t xml:space="preserve"> zakáz</w:t>
      </w:r>
      <w:r w:rsidR="004E64E0">
        <w:rPr>
          <w:rFonts w:cs="Arial"/>
          <w:bCs/>
          <w:szCs w:val="22"/>
        </w:rPr>
        <w:t>ky</w:t>
      </w:r>
      <w:r w:rsidRPr="00C30EAD">
        <w:rPr>
          <w:rFonts w:cs="Arial"/>
          <w:bCs/>
          <w:szCs w:val="22"/>
        </w:rPr>
        <w:t xml:space="preserve"> </w:t>
      </w:r>
      <w:r w:rsidRPr="00C30EAD">
        <w:rPr>
          <w:rFonts w:cs="Arial"/>
          <w:bCs/>
          <w:i/>
          <w:szCs w:val="22"/>
        </w:rPr>
        <w:t xml:space="preserve">Stavitelné zatěžovací rámy </w:t>
      </w:r>
      <w:r w:rsidR="00C10869">
        <w:rPr>
          <w:rFonts w:cs="Arial"/>
          <w:bCs/>
          <w:i/>
          <w:szCs w:val="22"/>
        </w:rPr>
        <w:t>s </w:t>
      </w:r>
      <w:r w:rsidRPr="00C30EAD">
        <w:rPr>
          <w:rFonts w:cs="Arial"/>
          <w:bCs/>
          <w:i/>
          <w:szCs w:val="22"/>
        </w:rPr>
        <w:t>hydromotory jednoosé, 6stupňový</w:t>
      </w:r>
      <w:r w:rsidR="00637C47" w:rsidRPr="00C30EAD">
        <w:rPr>
          <w:rFonts w:cs="Arial"/>
          <w:bCs/>
          <w:i/>
          <w:szCs w:val="22"/>
        </w:rPr>
        <w:t> </w:t>
      </w:r>
      <w:r w:rsidRPr="00C30EAD">
        <w:rPr>
          <w:rFonts w:cs="Arial"/>
          <w:bCs/>
          <w:i/>
          <w:szCs w:val="22"/>
        </w:rPr>
        <w:t xml:space="preserve">prostorový zatěžovací rám </w:t>
      </w:r>
      <w:r w:rsidR="00C10869">
        <w:rPr>
          <w:rFonts w:cs="Arial"/>
          <w:bCs/>
          <w:i/>
          <w:szCs w:val="22"/>
        </w:rPr>
        <w:t>s </w:t>
      </w:r>
      <w:r w:rsidRPr="00C30EAD">
        <w:rPr>
          <w:rFonts w:cs="Arial"/>
          <w:bCs/>
          <w:i/>
          <w:szCs w:val="22"/>
        </w:rPr>
        <w:t>hydromotory</w:t>
      </w:r>
      <w:r w:rsidRPr="00C30EAD">
        <w:rPr>
          <w:rFonts w:cs="Arial"/>
          <w:bCs/>
          <w:szCs w:val="22"/>
        </w:rPr>
        <w:t xml:space="preserve"> a </w:t>
      </w:r>
      <w:r w:rsidR="004E64E0">
        <w:rPr>
          <w:rFonts w:cs="Arial"/>
          <w:bCs/>
          <w:szCs w:val="22"/>
        </w:rPr>
        <w:t xml:space="preserve">veřejné zakázky </w:t>
      </w:r>
      <w:r w:rsidRPr="00C30EAD">
        <w:rPr>
          <w:rFonts w:cs="Arial"/>
          <w:bCs/>
          <w:i/>
          <w:szCs w:val="22"/>
        </w:rPr>
        <w:t xml:space="preserve">Mikroskop </w:t>
      </w:r>
      <w:r w:rsidR="00C10869">
        <w:rPr>
          <w:rFonts w:cs="Arial"/>
          <w:bCs/>
          <w:i/>
          <w:szCs w:val="22"/>
        </w:rPr>
        <w:lastRenderedPageBreak/>
        <w:t>s </w:t>
      </w:r>
      <w:r w:rsidRPr="00C30EAD">
        <w:rPr>
          <w:rFonts w:cs="Arial"/>
          <w:bCs/>
          <w:i/>
          <w:szCs w:val="22"/>
        </w:rPr>
        <w:t xml:space="preserve">rastrující sondou – </w:t>
      </w:r>
      <w:proofErr w:type="spellStart"/>
      <w:r w:rsidRPr="00C30EAD">
        <w:rPr>
          <w:rFonts w:cs="Arial"/>
          <w:bCs/>
          <w:i/>
          <w:szCs w:val="22"/>
        </w:rPr>
        <w:t>AFM</w:t>
      </w:r>
      <w:proofErr w:type="spellEnd"/>
      <w:r w:rsidRPr="00C30EAD">
        <w:rPr>
          <w:rFonts w:cs="Arial"/>
          <w:bCs/>
          <w:szCs w:val="22"/>
        </w:rPr>
        <w:t xml:space="preserve"> hodnoticí komise zadavatele nevyřadila nabídky uchazečů, které ne</w:t>
      </w:r>
      <w:r w:rsidR="00CB0EB8">
        <w:rPr>
          <w:rFonts w:cs="Arial"/>
          <w:bCs/>
          <w:szCs w:val="22"/>
        </w:rPr>
        <w:t>ob</w:t>
      </w:r>
      <w:r w:rsidRPr="00C30EAD">
        <w:rPr>
          <w:rFonts w:cs="Arial"/>
          <w:bCs/>
          <w:szCs w:val="22"/>
        </w:rPr>
        <w:t>s</w:t>
      </w:r>
      <w:r w:rsidR="00CB0EB8">
        <w:rPr>
          <w:rFonts w:cs="Arial"/>
          <w:bCs/>
          <w:szCs w:val="22"/>
        </w:rPr>
        <w:t>ahova</w:t>
      </w:r>
      <w:r w:rsidRPr="00C30EAD">
        <w:rPr>
          <w:rFonts w:cs="Arial"/>
          <w:bCs/>
          <w:szCs w:val="22"/>
        </w:rPr>
        <w:t xml:space="preserve">ly </w:t>
      </w:r>
      <w:r w:rsidR="00CB0EB8">
        <w:rPr>
          <w:rFonts w:cs="Arial"/>
          <w:bCs/>
          <w:szCs w:val="22"/>
        </w:rPr>
        <w:t xml:space="preserve">zadavatelem </w:t>
      </w:r>
      <w:r w:rsidRPr="00C30EAD">
        <w:rPr>
          <w:rFonts w:cs="Arial"/>
          <w:bCs/>
          <w:szCs w:val="22"/>
        </w:rPr>
        <w:t>požad</w:t>
      </w:r>
      <w:r w:rsidR="00CB0EB8">
        <w:rPr>
          <w:rFonts w:cs="Arial"/>
          <w:bCs/>
          <w:szCs w:val="22"/>
        </w:rPr>
        <w:t>ovaný</w:t>
      </w:r>
      <w:r w:rsidR="002D487C">
        <w:rPr>
          <w:rFonts w:cs="Arial"/>
          <w:bCs/>
          <w:szCs w:val="22"/>
        </w:rPr>
        <w:t xml:space="preserve"> </w:t>
      </w:r>
      <w:r w:rsidRPr="00C30EAD">
        <w:rPr>
          <w:rFonts w:cs="Arial"/>
          <w:bCs/>
          <w:szCs w:val="22"/>
        </w:rPr>
        <w:t>termín předání předmětu plnění.</w:t>
      </w:r>
    </w:p>
    <w:p w14:paraId="2E24F1BB" w14:textId="6FBE1D0B" w:rsidR="00C76DE7" w:rsidRPr="00C30EAD" w:rsidRDefault="00A116F3" w:rsidP="007C008D">
      <w:pPr>
        <w:numPr>
          <w:ilvl w:val="0"/>
          <w:numId w:val="7"/>
        </w:numPr>
        <w:spacing w:line="23" w:lineRule="atLeast"/>
        <w:ind w:left="284" w:hanging="284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 xml:space="preserve">U veřejné zakázky </w:t>
      </w:r>
      <w:r w:rsidRPr="00C30EAD">
        <w:rPr>
          <w:rFonts w:cs="Arial"/>
          <w:bCs/>
          <w:i/>
          <w:szCs w:val="22"/>
        </w:rPr>
        <w:t xml:space="preserve">Laserový zdroj </w:t>
      </w:r>
      <w:r w:rsidR="00C10869">
        <w:rPr>
          <w:rFonts w:cs="Arial"/>
          <w:bCs/>
          <w:i/>
          <w:szCs w:val="22"/>
        </w:rPr>
        <w:t>s </w:t>
      </w:r>
      <w:r w:rsidRPr="00C30EAD">
        <w:rPr>
          <w:rFonts w:cs="Arial"/>
          <w:bCs/>
          <w:i/>
          <w:szCs w:val="22"/>
        </w:rPr>
        <w:t>hlavou a světlovodem</w:t>
      </w:r>
      <w:r w:rsidRPr="00C30EAD">
        <w:rPr>
          <w:rFonts w:cs="Arial"/>
          <w:bCs/>
          <w:szCs w:val="22"/>
        </w:rPr>
        <w:t xml:space="preserve"> </w:t>
      </w:r>
      <w:r w:rsidR="00C76DE7" w:rsidRPr="00C30EAD">
        <w:rPr>
          <w:rFonts w:cs="Arial"/>
          <w:bCs/>
          <w:szCs w:val="22"/>
        </w:rPr>
        <w:t xml:space="preserve">nevyloučila </w:t>
      </w:r>
      <w:r w:rsidRPr="00C30EAD">
        <w:rPr>
          <w:rFonts w:cs="Arial"/>
          <w:bCs/>
          <w:szCs w:val="22"/>
        </w:rPr>
        <w:t xml:space="preserve">hodnoticí komise </w:t>
      </w:r>
      <w:r w:rsidR="00C76DE7" w:rsidRPr="00C30EAD">
        <w:rPr>
          <w:rFonts w:cs="Arial"/>
          <w:bCs/>
          <w:szCs w:val="22"/>
        </w:rPr>
        <w:t xml:space="preserve">ze zadávacího řízení </w:t>
      </w:r>
      <w:r w:rsidRPr="00C30EAD">
        <w:rPr>
          <w:rFonts w:cs="Arial"/>
          <w:bCs/>
          <w:szCs w:val="22"/>
        </w:rPr>
        <w:t>nabídku</w:t>
      </w:r>
      <w:r w:rsidR="00C76DE7" w:rsidRPr="00C30EAD">
        <w:rPr>
          <w:rFonts w:cs="Arial"/>
          <w:bCs/>
          <w:szCs w:val="22"/>
        </w:rPr>
        <w:t xml:space="preserve">, </w:t>
      </w:r>
      <w:r w:rsidRPr="00C30EAD">
        <w:rPr>
          <w:rFonts w:cs="Arial"/>
          <w:bCs/>
          <w:szCs w:val="22"/>
        </w:rPr>
        <w:t xml:space="preserve">která obsahovala </w:t>
      </w:r>
      <w:r w:rsidR="006E12CB">
        <w:rPr>
          <w:rFonts w:cs="Arial"/>
          <w:bCs/>
          <w:szCs w:val="22"/>
        </w:rPr>
        <w:t>„v</w:t>
      </w:r>
      <w:r w:rsidRPr="00C30EAD">
        <w:rPr>
          <w:rFonts w:cs="Arial"/>
          <w:bCs/>
          <w:szCs w:val="22"/>
        </w:rPr>
        <w:t>ýpis ze seznamu kvalifikovaných dodavatelů</w:t>
      </w:r>
      <w:r w:rsidR="006E12CB">
        <w:rPr>
          <w:rFonts w:cs="Arial"/>
          <w:bCs/>
          <w:szCs w:val="22"/>
        </w:rPr>
        <w:t>“</w:t>
      </w:r>
      <w:r w:rsidRPr="00C30EAD">
        <w:rPr>
          <w:rFonts w:cs="Arial"/>
          <w:bCs/>
          <w:szCs w:val="22"/>
        </w:rPr>
        <w:t xml:space="preserve">, </w:t>
      </w:r>
      <w:r w:rsidR="00C76DE7" w:rsidRPr="00C30EAD">
        <w:rPr>
          <w:rFonts w:cs="Arial"/>
          <w:bCs/>
          <w:szCs w:val="22"/>
        </w:rPr>
        <w:t>jenž n</w:t>
      </w:r>
      <w:r w:rsidRPr="00C30EAD">
        <w:rPr>
          <w:rFonts w:cs="Arial"/>
          <w:bCs/>
          <w:szCs w:val="22"/>
        </w:rPr>
        <w:t>ebyl úředně ověřenou kopií.</w:t>
      </w:r>
    </w:p>
    <w:p w14:paraId="7CC19617" w14:textId="77777777" w:rsidR="00B114F3" w:rsidRDefault="00B114F3" w:rsidP="007C008D">
      <w:pPr>
        <w:spacing w:line="23" w:lineRule="atLeast"/>
        <w:rPr>
          <w:rFonts w:cs="Arial"/>
          <w:bCs/>
          <w:szCs w:val="22"/>
        </w:rPr>
      </w:pPr>
    </w:p>
    <w:p w14:paraId="5A5A5E63" w14:textId="13413EB8" w:rsidR="00C76DE7" w:rsidRPr="00C30EAD" w:rsidRDefault="000C1E76" w:rsidP="007C008D">
      <w:pPr>
        <w:spacing w:line="23" w:lineRule="atLeast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>Příjemce VŠB-TU chyboval</w:t>
      </w:r>
      <w:r w:rsidR="00174834" w:rsidRPr="00C30EAD">
        <w:rPr>
          <w:rFonts w:cs="Arial"/>
          <w:bCs/>
          <w:szCs w:val="22"/>
        </w:rPr>
        <w:t xml:space="preserve"> v</w:t>
      </w:r>
      <w:r w:rsidR="00035DAF" w:rsidRPr="00C30EAD">
        <w:rPr>
          <w:rFonts w:cs="Arial"/>
          <w:bCs/>
          <w:szCs w:val="22"/>
        </w:rPr>
        <w:t> níže uvedeném případě:</w:t>
      </w:r>
    </w:p>
    <w:p w14:paraId="57E3D26E" w14:textId="428A4099" w:rsidR="00E6721E" w:rsidRPr="00C30EAD" w:rsidRDefault="00A116F3" w:rsidP="007C008D">
      <w:pPr>
        <w:numPr>
          <w:ilvl w:val="0"/>
          <w:numId w:val="8"/>
        </w:numPr>
        <w:spacing w:line="23" w:lineRule="atLeast"/>
        <w:ind w:left="284" w:hanging="284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 xml:space="preserve">U veřejné zakázky </w:t>
      </w:r>
      <w:r w:rsidRPr="00C30EAD">
        <w:rPr>
          <w:rFonts w:cs="Arial"/>
          <w:bCs/>
          <w:i/>
          <w:szCs w:val="22"/>
        </w:rPr>
        <w:t>Výběr mandatáře pro organizaci veřejných zakázek pro projekt ICT v</w:t>
      </w:r>
      <w:r w:rsidR="007C008D">
        <w:rPr>
          <w:rFonts w:cs="Arial"/>
          <w:bCs/>
          <w:i/>
          <w:szCs w:val="22"/>
        </w:rPr>
        <w:t> </w:t>
      </w:r>
      <w:r w:rsidRPr="00C30EAD">
        <w:rPr>
          <w:rFonts w:cs="Arial"/>
          <w:bCs/>
          <w:i/>
          <w:szCs w:val="22"/>
        </w:rPr>
        <w:t>rámci OP VaVpI</w:t>
      </w:r>
      <w:r w:rsidRPr="00C30EAD">
        <w:rPr>
          <w:rFonts w:cs="Arial"/>
          <w:bCs/>
          <w:szCs w:val="22"/>
        </w:rPr>
        <w:t xml:space="preserve"> </w:t>
      </w:r>
      <w:r w:rsidR="00C76DE7" w:rsidRPr="00C30EAD">
        <w:rPr>
          <w:rFonts w:cs="Arial"/>
          <w:bCs/>
          <w:szCs w:val="22"/>
        </w:rPr>
        <w:t>p</w:t>
      </w:r>
      <w:r w:rsidRPr="00C30EAD">
        <w:rPr>
          <w:rFonts w:cs="Arial"/>
          <w:bCs/>
          <w:szCs w:val="22"/>
        </w:rPr>
        <w:t>ochybila hodnoticí</w:t>
      </w:r>
      <w:r w:rsidR="001024E6" w:rsidRPr="00C30EAD">
        <w:rPr>
          <w:rFonts w:cs="Arial"/>
          <w:bCs/>
          <w:szCs w:val="22"/>
        </w:rPr>
        <w:t xml:space="preserve"> komise, když nevyřadila nabídky uchazečů, kteří nesplnili</w:t>
      </w:r>
      <w:r w:rsidRPr="00C30EAD">
        <w:rPr>
          <w:rFonts w:cs="Arial"/>
          <w:bCs/>
          <w:szCs w:val="22"/>
        </w:rPr>
        <w:t xml:space="preserve"> základní kvalifikační požadavky.</w:t>
      </w:r>
      <w:r w:rsidR="001024E6" w:rsidRPr="00C30EAD">
        <w:rPr>
          <w:rFonts w:cs="Arial"/>
          <w:bCs/>
          <w:szCs w:val="22"/>
        </w:rPr>
        <w:t xml:space="preserve"> Jedna z těchto nabídek byla</w:t>
      </w:r>
      <w:r w:rsidR="004C0A90" w:rsidRPr="00C30EAD">
        <w:rPr>
          <w:rFonts w:cs="Arial"/>
          <w:bCs/>
          <w:szCs w:val="22"/>
        </w:rPr>
        <w:t xml:space="preserve"> vyhodnocena jako nejvhodnější.</w:t>
      </w:r>
      <w:r w:rsidR="001024E6" w:rsidRPr="00C30EAD">
        <w:rPr>
          <w:rFonts w:cs="Arial"/>
          <w:bCs/>
          <w:szCs w:val="22"/>
        </w:rPr>
        <w:t xml:space="preserve"> VŠB-TU</w:t>
      </w:r>
      <w:r w:rsidR="004C0A90" w:rsidRPr="00C30EAD">
        <w:rPr>
          <w:rFonts w:cs="Arial"/>
          <w:bCs/>
          <w:szCs w:val="22"/>
        </w:rPr>
        <w:t xml:space="preserve"> nerespektoval</w:t>
      </w:r>
      <w:r w:rsidR="00B114F3">
        <w:rPr>
          <w:rFonts w:cs="Arial"/>
          <w:bCs/>
          <w:szCs w:val="22"/>
        </w:rPr>
        <w:t>a</w:t>
      </w:r>
      <w:r w:rsidR="004C0A90" w:rsidRPr="00C30EAD">
        <w:rPr>
          <w:rFonts w:cs="Arial"/>
          <w:bCs/>
          <w:szCs w:val="22"/>
        </w:rPr>
        <w:t xml:space="preserve"> princip transparentnosti a</w:t>
      </w:r>
      <w:r w:rsidR="007B0F22" w:rsidRPr="00C30EAD">
        <w:rPr>
          <w:rFonts w:cs="Arial"/>
          <w:bCs/>
          <w:szCs w:val="22"/>
        </w:rPr>
        <w:t> </w:t>
      </w:r>
      <w:r w:rsidR="004C0A90" w:rsidRPr="00C30EAD">
        <w:rPr>
          <w:rFonts w:cs="Arial"/>
          <w:bCs/>
          <w:szCs w:val="22"/>
        </w:rPr>
        <w:t xml:space="preserve">neoprávněně </w:t>
      </w:r>
      <w:r w:rsidR="001024E6" w:rsidRPr="00C30EAD">
        <w:rPr>
          <w:rFonts w:cs="Arial"/>
          <w:bCs/>
          <w:szCs w:val="22"/>
        </w:rPr>
        <w:t>uzavřel</w:t>
      </w:r>
      <w:r w:rsidR="00B114F3">
        <w:rPr>
          <w:rFonts w:cs="Arial"/>
          <w:bCs/>
          <w:szCs w:val="22"/>
        </w:rPr>
        <w:t>a</w:t>
      </w:r>
      <w:r w:rsidR="004C0A90" w:rsidRPr="00C30EAD">
        <w:rPr>
          <w:rFonts w:cs="Arial"/>
          <w:bCs/>
          <w:szCs w:val="22"/>
        </w:rPr>
        <w:t xml:space="preserve"> s uchazečem</w:t>
      </w:r>
      <w:r w:rsidR="001024E6" w:rsidRPr="00C30EAD">
        <w:rPr>
          <w:rFonts w:cs="Arial"/>
          <w:bCs/>
          <w:szCs w:val="22"/>
        </w:rPr>
        <w:t xml:space="preserve"> rámcovou </w:t>
      </w:r>
      <w:r w:rsidR="004C0A90" w:rsidRPr="00C30EAD">
        <w:rPr>
          <w:rFonts w:cs="Arial"/>
          <w:bCs/>
          <w:szCs w:val="22"/>
        </w:rPr>
        <w:t>smlouvu, na jejímž základě byly proplaceny nezpůsobilé výdaje</w:t>
      </w:r>
      <w:r w:rsidR="003B3BC7">
        <w:rPr>
          <w:rFonts w:cs="Arial"/>
          <w:bCs/>
          <w:szCs w:val="22"/>
        </w:rPr>
        <w:t>.</w:t>
      </w:r>
    </w:p>
    <w:p w14:paraId="29A7E5EB" w14:textId="77777777" w:rsidR="00B114F3" w:rsidRDefault="00B114F3" w:rsidP="007C008D">
      <w:pPr>
        <w:spacing w:line="23" w:lineRule="atLeast"/>
        <w:rPr>
          <w:rFonts w:cs="Arial"/>
          <w:bCs/>
          <w:szCs w:val="22"/>
        </w:rPr>
      </w:pPr>
    </w:p>
    <w:p w14:paraId="34E1E48A" w14:textId="65FE8CCD" w:rsidR="00035DAF" w:rsidRPr="00C30EAD" w:rsidRDefault="00035DAF" w:rsidP="007C008D">
      <w:pPr>
        <w:spacing w:line="23" w:lineRule="atLeast"/>
        <w:rPr>
          <w:rFonts w:cs="Arial"/>
          <w:bCs/>
          <w:szCs w:val="22"/>
        </w:rPr>
      </w:pPr>
      <w:r w:rsidRPr="00C30EAD">
        <w:rPr>
          <w:rFonts w:cs="Arial"/>
          <w:bCs/>
          <w:szCs w:val="22"/>
        </w:rPr>
        <w:t xml:space="preserve">V souvislosti </w:t>
      </w:r>
      <w:r w:rsidR="00C10869">
        <w:rPr>
          <w:rFonts w:cs="Arial"/>
          <w:bCs/>
          <w:szCs w:val="22"/>
        </w:rPr>
        <w:t>s </w:t>
      </w:r>
      <w:r w:rsidRPr="00C30EAD">
        <w:rPr>
          <w:rFonts w:cs="Arial"/>
          <w:bCs/>
          <w:szCs w:val="22"/>
        </w:rPr>
        <w:t xml:space="preserve">výběrem dodavatelů došlo </w:t>
      </w:r>
      <w:r w:rsidR="00B114F3" w:rsidRPr="00C30EAD">
        <w:rPr>
          <w:rFonts w:cs="Arial"/>
          <w:bCs/>
          <w:szCs w:val="22"/>
        </w:rPr>
        <w:t>u příjemce VŠB-TU</w:t>
      </w:r>
      <w:r w:rsidR="00B114F3">
        <w:rPr>
          <w:rFonts w:cs="Arial"/>
          <w:bCs/>
          <w:szCs w:val="22"/>
        </w:rPr>
        <w:t xml:space="preserve"> </w:t>
      </w:r>
      <w:r w:rsidRPr="00C30EAD">
        <w:rPr>
          <w:rFonts w:cs="Arial"/>
          <w:bCs/>
          <w:szCs w:val="22"/>
        </w:rPr>
        <w:t>též k nerespektování principu transparentnosti</w:t>
      </w:r>
      <w:r w:rsidR="00B114F3">
        <w:rPr>
          <w:rFonts w:cs="Arial"/>
          <w:bCs/>
          <w:szCs w:val="22"/>
        </w:rPr>
        <w:t>:</w:t>
      </w:r>
    </w:p>
    <w:p w14:paraId="59093F7F" w14:textId="68943BF0" w:rsidR="008A2279" w:rsidRPr="00C30EAD" w:rsidRDefault="00A23E5D" w:rsidP="007C008D">
      <w:pPr>
        <w:numPr>
          <w:ilvl w:val="0"/>
          <w:numId w:val="8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 xml:space="preserve">V souvislosti s veřejnou zakázkou </w:t>
      </w:r>
      <w:r w:rsidR="008A2279" w:rsidRPr="00C30EAD">
        <w:rPr>
          <w:rFonts w:eastAsia="Calibri" w:cs="Arial"/>
          <w:i/>
          <w:szCs w:val="22"/>
        </w:rPr>
        <w:t>Čelisťový drtič</w:t>
      </w:r>
      <w:r w:rsidR="00035DAF" w:rsidRPr="00C30EAD">
        <w:rPr>
          <w:rFonts w:eastAsia="Calibri" w:cs="Arial"/>
          <w:i/>
          <w:szCs w:val="22"/>
        </w:rPr>
        <w:t xml:space="preserve"> </w:t>
      </w:r>
      <w:r w:rsidR="00035DAF" w:rsidRPr="00C30EAD">
        <w:rPr>
          <w:rFonts w:eastAsia="Calibri" w:cs="Arial"/>
          <w:szCs w:val="22"/>
        </w:rPr>
        <w:t xml:space="preserve">příjemce v roli </w:t>
      </w:r>
      <w:r w:rsidR="008A2279" w:rsidRPr="00C30EAD">
        <w:rPr>
          <w:rFonts w:eastAsia="Calibri" w:cs="Arial"/>
          <w:szCs w:val="22"/>
        </w:rPr>
        <w:t>zadavatel</w:t>
      </w:r>
      <w:r w:rsidR="00035DAF" w:rsidRPr="00C30EAD">
        <w:rPr>
          <w:rFonts w:eastAsia="Calibri" w:cs="Arial"/>
          <w:szCs w:val="22"/>
        </w:rPr>
        <w:t>e</w:t>
      </w:r>
      <w:r w:rsidR="008A2279" w:rsidRPr="00C30EAD">
        <w:rPr>
          <w:rFonts w:eastAsia="Calibri" w:cs="Arial"/>
          <w:szCs w:val="22"/>
        </w:rPr>
        <w:t xml:space="preserve"> </w:t>
      </w:r>
      <w:r w:rsidR="00035DAF" w:rsidRPr="00C30EAD">
        <w:rPr>
          <w:rFonts w:eastAsia="Calibri" w:cs="Arial"/>
          <w:szCs w:val="22"/>
        </w:rPr>
        <w:t xml:space="preserve">k této zakázce předložil </w:t>
      </w:r>
      <w:r w:rsidR="008A2279" w:rsidRPr="00C30EAD">
        <w:rPr>
          <w:rFonts w:eastAsia="Calibri" w:cs="Arial"/>
          <w:szCs w:val="22"/>
        </w:rPr>
        <w:t>doklady</w:t>
      </w:r>
      <w:r w:rsidR="00035DAF" w:rsidRPr="00C30EAD">
        <w:rPr>
          <w:rFonts w:eastAsia="Calibri" w:cs="Arial"/>
          <w:szCs w:val="22"/>
        </w:rPr>
        <w:t xml:space="preserve">, které se neshodovaly </w:t>
      </w:r>
      <w:r w:rsidR="00C10869">
        <w:rPr>
          <w:rFonts w:eastAsia="Calibri" w:cs="Arial"/>
          <w:szCs w:val="22"/>
        </w:rPr>
        <w:t>s </w:t>
      </w:r>
      <w:r w:rsidR="008A2279" w:rsidRPr="00C30EAD">
        <w:rPr>
          <w:rFonts w:eastAsia="Calibri" w:cs="Arial"/>
          <w:szCs w:val="22"/>
        </w:rPr>
        <w:t>doklad</w:t>
      </w:r>
      <w:r w:rsidR="00035DAF" w:rsidRPr="00C30EAD">
        <w:rPr>
          <w:rFonts w:eastAsia="Calibri" w:cs="Arial"/>
          <w:szCs w:val="22"/>
        </w:rPr>
        <w:t>y</w:t>
      </w:r>
      <w:r w:rsidR="008A2279" w:rsidRPr="00C30EAD">
        <w:rPr>
          <w:rFonts w:eastAsia="Calibri" w:cs="Arial"/>
          <w:szCs w:val="22"/>
        </w:rPr>
        <w:t xml:space="preserve"> předložený</w:t>
      </w:r>
      <w:r w:rsidR="00035DAF" w:rsidRPr="00C30EAD">
        <w:rPr>
          <w:rFonts w:eastAsia="Calibri" w:cs="Arial"/>
          <w:szCs w:val="22"/>
        </w:rPr>
        <w:t>mi</w:t>
      </w:r>
      <w:r w:rsidR="008A2279" w:rsidRPr="00C30EAD">
        <w:rPr>
          <w:rFonts w:eastAsia="Calibri" w:cs="Arial"/>
          <w:szCs w:val="22"/>
        </w:rPr>
        <w:t xml:space="preserve"> řídicímu orgánu v</w:t>
      </w:r>
      <w:r w:rsidR="00035DAF" w:rsidRPr="00C30EAD">
        <w:rPr>
          <w:rFonts w:eastAsia="Calibri" w:cs="Arial"/>
          <w:szCs w:val="22"/>
        </w:rPr>
        <w:t xml:space="preserve"> příslušné </w:t>
      </w:r>
      <w:r w:rsidR="008A2279" w:rsidRPr="00C30EAD">
        <w:rPr>
          <w:rFonts w:eastAsia="Calibri" w:cs="Arial"/>
          <w:szCs w:val="22"/>
        </w:rPr>
        <w:t xml:space="preserve">monitorovací zprávě. </w:t>
      </w:r>
      <w:r w:rsidR="004757C4" w:rsidRPr="00C30EAD">
        <w:rPr>
          <w:rFonts w:eastAsia="Calibri" w:cs="Arial"/>
          <w:szCs w:val="22"/>
        </w:rPr>
        <w:t xml:space="preserve">NKÚ nemohl </w:t>
      </w:r>
      <w:r w:rsidR="008A2279" w:rsidRPr="00C30EAD">
        <w:rPr>
          <w:rFonts w:eastAsia="Calibri" w:cs="Arial"/>
          <w:szCs w:val="22"/>
        </w:rPr>
        <w:t xml:space="preserve">ověřit, zda </w:t>
      </w:r>
      <w:r w:rsidR="009446BF" w:rsidRPr="00C30EAD">
        <w:rPr>
          <w:rFonts w:eastAsia="Calibri" w:cs="Arial"/>
          <w:szCs w:val="22"/>
        </w:rPr>
        <w:t>příjemce hodnotil</w:t>
      </w:r>
      <w:r w:rsidR="008A2279" w:rsidRPr="00C30EAD">
        <w:rPr>
          <w:rFonts w:eastAsia="Calibri" w:cs="Arial"/>
          <w:szCs w:val="22"/>
        </w:rPr>
        <w:t xml:space="preserve"> pouze nabídky p</w:t>
      </w:r>
      <w:r w:rsidR="009446BF" w:rsidRPr="00C30EAD">
        <w:rPr>
          <w:rFonts w:eastAsia="Calibri" w:cs="Arial"/>
          <w:szCs w:val="22"/>
        </w:rPr>
        <w:t xml:space="preserve">ředložené </w:t>
      </w:r>
      <w:r w:rsidR="00C10869">
        <w:rPr>
          <w:rFonts w:eastAsia="Calibri" w:cs="Arial"/>
          <w:szCs w:val="22"/>
        </w:rPr>
        <w:t>v </w:t>
      </w:r>
      <w:r w:rsidR="009446BF" w:rsidRPr="00C30EAD">
        <w:rPr>
          <w:rFonts w:eastAsia="Calibri" w:cs="Arial"/>
          <w:szCs w:val="22"/>
        </w:rPr>
        <w:t>řádném termínu.</w:t>
      </w:r>
    </w:p>
    <w:p w14:paraId="52D5E246" w14:textId="77777777" w:rsidR="0031326C" w:rsidRPr="00C30EAD" w:rsidRDefault="0031326C" w:rsidP="007C008D">
      <w:pPr>
        <w:rPr>
          <w:rFonts w:eastAsia="Calibri" w:cs="Arial"/>
          <w:szCs w:val="22"/>
        </w:rPr>
      </w:pPr>
    </w:p>
    <w:p w14:paraId="725669EC" w14:textId="19CC5A67" w:rsidR="008A2279" w:rsidRPr="00C30EAD" w:rsidRDefault="00C10869" w:rsidP="007C008D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V </w:t>
      </w:r>
      <w:r w:rsidR="008A2279" w:rsidRPr="00C30EAD">
        <w:rPr>
          <w:rFonts w:eastAsia="Calibri" w:cs="Arial"/>
          <w:szCs w:val="22"/>
        </w:rPr>
        <w:t xml:space="preserve">některých případech byla </w:t>
      </w:r>
      <w:r>
        <w:rPr>
          <w:rFonts w:eastAsia="Calibri" w:cs="Arial"/>
          <w:szCs w:val="22"/>
        </w:rPr>
        <w:t>v </w:t>
      </w:r>
      <w:r w:rsidR="008A2279" w:rsidRPr="00C30EAD">
        <w:rPr>
          <w:rFonts w:eastAsia="Calibri" w:cs="Arial"/>
          <w:szCs w:val="22"/>
        </w:rPr>
        <w:t>procesu výběru dodavatelů zjištěna</w:t>
      </w:r>
      <w:r w:rsidR="008A2279" w:rsidRPr="00C30EAD">
        <w:rPr>
          <w:rFonts w:eastAsia="Calibri" w:cs="Arial"/>
          <w:b/>
          <w:szCs w:val="22"/>
        </w:rPr>
        <w:t xml:space="preserve"> méně </w:t>
      </w:r>
      <w:r w:rsidR="004F6F34" w:rsidRPr="00C30EAD">
        <w:rPr>
          <w:rFonts w:eastAsia="Calibri" w:cs="Arial"/>
          <w:b/>
          <w:szCs w:val="22"/>
        </w:rPr>
        <w:t xml:space="preserve">významná </w:t>
      </w:r>
      <w:r w:rsidR="008A2279" w:rsidRPr="00C30EAD">
        <w:rPr>
          <w:rFonts w:eastAsia="Calibri" w:cs="Arial"/>
          <w:b/>
          <w:szCs w:val="22"/>
        </w:rPr>
        <w:t>pochybení</w:t>
      </w:r>
      <w:r w:rsidR="008A2279" w:rsidRPr="009D0852">
        <w:rPr>
          <w:rFonts w:eastAsia="Calibri" w:cs="Arial"/>
          <w:b/>
          <w:szCs w:val="22"/>
        </w:rPr>
        <w:t>,</w:t>
      </w:r>
      <w:r w:rsidR="008A2279" w:rsidRPr="00C30EAD">
        <w:rPr>
          <w:rFonts w:eastAsia="Calibri" w:cs="Arial"/>
          <w:szCs w:val="22"/>
        </w:rPr>
        <w:t xml:space="preserve"> při kterých došlo </w:t>
      </w:r>
      <w:r>
        <w:rPr>
          <w:rFonts w:eastAsia="Calibri" w:cs="Arial"/>
          <w:szCs w:val="22"/>
        </w:rPr>
        <w:t>k </w:t>
      </w:r>
      <w:r w:rsidR="008A2279" w:rsidRPr="00C30EAD">
        <w:rPr>
          <w:rFonts w:eastAsia="Calibri" w:cs="Arial"/>
          <w:szCs w:val="22"/>
        </w:rPr>
        <w:t>porušení zákona o veřejných zakázkách</w:t>
      </w:r>
      <w:r w:rsidR="002C787A" w:rsidRPr="00C30EAD">
        <w:rPr>
          <w:rFonts w:eastAsia="Calibri" w:cs="Arial"/>
          <w:szCs w:val="22"/>
        </w:rPr>
        <w:t>,</w:t>
      </w:r>
      <w:r w:rsidR="008A2279" w:rsidRPr="00C30EAD">
        <w:rPr>
          <w:rFonts w:eastAsia="Calibri" w:cs="Arial"/>
          <w:szCs w:val="22"/>
        </w:rPr>
        <w:t xml:space="preserve"> resp. pravidel </w:t>
      </w:r>
      <w:r w:rsidR="002A12DA" w:rsidRPr="00C30EAD">
        <w:rPr>
          <w:rFonts w:eastAsia="Calibri" w:cs="Arial"/>
          <w:szCs w:val="22"/>
        </w:rPr>
        <w:t>OP</w:t>
      </w:r>
      <w:r w:rsidR="006E08F1">
        <w:rPr>
          <w:rFonts w:eastAsia="Calibri" w:cs="Arial"/>
          <w:szCs w:val="22"/>
        </w:rPr>
        <w:t> </w:t>
      </w:r>
      <w:r w:rsidR="008A2279" w:rsidRPr="00C30EAD">
        <w:rPr>
          <w:rFonts w:eastAsia="Calibri" w:cs="Arial"/>
          <w:szCs w:val="22"/>
        </w:rPr>
        <w:t>VaVpI</w:t>
      </w:r>
      <w:r w:rsidR="002D6501" w:rsidRPr="00C30EAD">
        <w:rPr>
          <w:rFonts w:eastAsia="Calibri" w:cs="Arial"/>
          <w:szCs w:val="22"/>
        </w:rPr>
        <w:t>:</w:t>
      </w:r>
      <w:r w:rsidR="008A2279" w:rsidRPr="00C30EAD">
        <w:rPr>
          <w:rFonts w:eastAsia="Calibri" w:cs="Arial"/>
          <w:szCs w:val="22"/>
        </w:rPr>
        <w:t xml:space="preserve"> </w:t>
      </w:r>
    </w:p>
    <w:p w14:paraId="782A8269" w14:textId="47D26E0C" w:rsidR="008A2279" w:rsidRPr="00C30EAD" w:rsidRDefault="008A2279" w:rsidP="007C008D">
      <w:pPr>
        <w:numPr>
          <w:ilvl w:val="0"/>
          <w:numId w:val="15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 xml:space="preserve">Příjemci </w:t>
      </w:r>
      <w:r w:rsidR="00491D84" w:rsidRPr="00C30EAD">
        <w:rPr>
          <w:rFonts w:eastAsia="Calibri" w:cs="Arial"/>
          <w:szCs w:val="22"/>
        </w:rPr>
        <w:t>Centrum výzkumu globální změny AV ČR, v. v. i.</w:t>
      </w:r>
      <w:r w:rsidR="00B114F3">
        <w:rPr>
          <w:rFonts w:eastAsia="Calibri" w:cs="Arial"/>
          <w:szCs w:val="22"/>
        </w:rPr>
        <w:t>,</w:t>
      </w:r>
      <w:r w:rsidR="00491D84" w:rsidRPr="00C30EAD">
        <w:rPr>
          <w:rFonts w:eastAsia="Calibri" w:cs="Arial"/>
          <w:szCs w:val="22"/>
        </w:rPr>
        <w:t xml:space="preserve"> (dále též „CVGZ“)</w:t>
      </w:r>
      <w:r w:rsidRPr="00C30EAD">
        <w:rPr>
          <w:rFonts w:eastAsia="Calibri" w:cs="Arial"/>
          <w:szCs w:val="22"/>
        </w:rPr>
        <w:t>, F</w:t>
      </w:r>
      <w:r w:rsidR="00412752" w:rsidRPr="00C30EAD">
        <w:rPr>
          <w:rFonts w:eastAsia="Calibri" w:cs="Arial"/>
          <w:szCs w:val="22"/>
        </w:rPr>
        <w:t xml:space="preserve">akultní nemocnice u sv. Anny v Brně </w:t>
      </w:r>
      <w:r w:rsidR="00174834" w:rsidRPr="00C30EAD">
        <w:rPr>
          <w:rFonts w:eastAsia="Calibri" w:cs="Arial"/>
          <w:szCs w:val="22"/>
        </w:rPr>
        <w:t xml:space="preserve">a </w:t>
      </w:r>
      <w:r w:rsidRPr="00C30EAD">
        <w:rPr>
          <w:rFonts w:eastAsia="Calibri" w:cs="Arial"/>
          <w:szCs w:val="22"/>
        </w:rPr>
        <w:t xml:space="preserve">TUL </w:t>
      </w:r>
      <w:r w:rsidR="00174834" w:rsidRPr="00C30EAD">
        <w:rPr>
          <w:rFonts w:eastAsia="Calibri" w:cs="Arial"/>
          <w:szCs w:val="22"/>
        </w:rPr>
        <w:t>(ve třech případech)</w:t>
      </w:r>
      <w:r w:rsidRPr="00C30EAD">
        <w:rPr>
          <w:rFonts w:eastAsia="Calibri" w:cs="Arial"/>
          <w:szCs w:val="22"/>
        </w:rPr>
        <w:t xml:space="preserve"> nedodrželi zákonné lhůty pro odeslání oznámení o výsledku zadávacího řízení </w:t>
      </w:r>
      <w:r w:rsidR="00C10869">
        <w:rPr>
          <w:rFonts w:eastAsia="Calibri" w:cs="Arial"/>
          <w:szCs w:val="22"/>
        </w:rPr>
        <w:t>k </w:t>
      </w:r>
      <w:r w:rsidRPr="00C30EAD">
        <w:rPr>
          <w:rFonts w:eastAsia="Calibri" w:cs="Arial"/>
          <w:szCs w:val="22"/>
        </w:rPr>
        <w:t>uveřejnění a</w:t>
      </w:r>
      <w:r w:rsidR="00174834" w:rsidRPr="00C30EAD">
        <w:rPr>
          <w:rFonts w:eastAsia="Calibri" w:cs="Arial"/>
          <w:szCs w:val="22"/>
        </w:rPr>
        <w:t>/</w:t>
      </w:r>
      <w:r w:rsidRPr="00C30EAD">
        <w:rPr>
          <w:rFonts w:eastAsia="Calibri" w:cs="Arial"/>
          <w:szCs w:val="22"/>
        </w:rPr>
        <w:t xml:space="preserve">nebo nezajistili ve stanovené lhůtě zveřejnění na </w:t>
      </w:r>
      <w:r w:rsidR="00797EF6">
        <w:rPr>
          <w:rFonts w:eastAsia="Calibri" w:cs="Arial"/>
          <w:szCs w:val="22"/>
        </w:rPr>
        <w:t>svých webových stánkách.</w:t>
      </w:r>
    </w:p>
    <w:p w14:paraId="11D9E3C5" w14:textId="687087E7" w:rsidR="008A2279" w:rsidRPr="00C30EAD" w:rsidRDefault="008A2279" w:rsidP="007C008D">
      <w:pPr>
        <w:numPr>
          <w:ilvl w:val="0"/>
          <w:numId w:val="15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 xml:space="preserve">Příjemce TUL ve </w:t>
      </w:r>
      <w:r w:rsidR="00A4638C" w:rsidRPr="00C30EAD">
        <w:rPr>
          <w:rFonts w:eastAsia="Calibri" w:cs="Arial"/>
          <w:szCs w:val="22"/>
        </w:rPr>
        <w:t xml:space="preserve">třech </w:t>
      </w:r>
      <w:r w:rsidRPr="00C30EAD">
        <w:rPr>
          <w:rFonts w:eastAsia="Calibri" w:cs="Arial"/>
          <w:szCs w:val="22"/>
        </w:rPr>
        <w:t xml:space="preserve">případech </w:t>
      </w:r>
      <w:r w:rsidR="00035DAF" w:rsidRPr="00C30EAD">
        <w:rPr>
          <w:rFonts w:eastAsia="Calibri" w:cs="Arial"/>
          <w:szCs w:val="22"/>
        </w:rPr>
        <w:t xml:space="preserve">neuzavřel </w:t>
      </w:r>
      <w:r w:rsidR="007B0F22" w:rsidRPr="00C30EAD">
        <w:rPr>
          <w:rFonts w:eastAsia="Calibri" w:cs="Arial"/>
          <w:szCs w:val="22"/>
        </w:rPr>
        <w:t xml:space="preserve">smlouvu </w:t>
      </w:r>
      <w:r w:rsidR="00C10869">
        <w:rPr>
          <w:rFonts w:eastAsia="Calibri" w:cs="Arial"/>
          <w:szCs w:val="22"/>
        </w:rPr>
        <w:t>s </w:t>
      </w:r>
      <w:r w:rsidR="007B0F22" w:rsidRPr="00C30EAD">
        <w:rPr>
          <w:rFonts w:eastAsia="Calibri" w:cs="Arial"/>
          <w:szCs w:val="22"/>
        </w:rPr>
        <w:t>vybraným uchazečem v </w:t>
      </w:r>
      <w:r w:rsidRPr="00C30EAD">
        <w:rPr>
          <w:rFonts w:eastAsia="Calibri" w:cs="Arial"/>
          <w:szCs w:val="22"/>
        </w:rPr>
        <w:t>zákonné lhůtě.</w:t>
      </w:r>
    </w:p>
    <w:p w14:paraId="6F03A626" w14:textId="15A60E6B" w:rsidR="008A2279" w:rsidRPr="00C30EAD" w:rsidRDefault="008A2279" w:rsidP="007C008D">
      <w:pPr>
        <w:numPr>
          <w:ilvl w:val="0"/>
          <w:numId w:val="15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 xml:space="preserve">CVGZ akceptovalo </w:t>
      </w:r>
      <w:r w:rsidR="00C10869">
        <w:rPr>
          <w:rFonts w:eastAsia="Calibri" w:cs="Arial"/>
          <w:szCs w:val="22"/>
        </w:rPr>
        <w:t>v </w:t>
      </w:r>
      <w:r w:rsidRPr="00C30EAD">
        <w:rPr>
          <w:rFonts w:eastAsia="Calibri" w:cs="Arial"/>
          <w:szCs w:val="22"/>
        </w:rPr>
        <w:t>jednacím řízení bez uveřejnění nedodržení zákonné formy předložených nabídek.</w:t>
      </w:r>
    </w:p>
    <w:p w14:paraId="7A09F8BC" w14:textId="5622469C" w:rsidR="008A2279" w:rsidRPr="00C30EAD" w:rsidRDefault="008A2279" w:rsidP="007C008D">
      <w:pPr>
        <w:numPr>
          <w:ilvl w:val="0"/>
          <w:numId w:val="15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 xml:space="preserve">Příjemce TUL neuvolnil peněžní jistotu </w:t>
      </w:r>
      <w:r w:rsidR="00C10869">
        <w:rPr>
          <w:rFonts w:eastAsia="Calibri" w:cs="Arial"/>
          <w:szCs w:val="22"/>
        </w:rPr>
        <w:t>v </w:t>
      </w:r>
      <w:r w:rsidRPr="00C30EAD">
        <w:rPr>
          <w:rFonts w:eastAsia="Calibri" w:cs="Arial"/>
          <w:szCs w:val="22"/>
        </w:rPr>
        <w:t xml:space="preserve">zákonné lhůtě uchazečům, kteří byli ze zadávacího řízení vyloučeni nebo </w:t>
      </w:r>
      <w:r w:rsidR="00C10869">
        <w:rPr>
          <w:rFonts w:eastAsia="Calibri" w:cs="Arial"/>
          <w:szCs w:val="22"/>
        </w:rPr>
        <w:t>s </w:t>
      </w:r>
      <w:r w:rsidRPr="00C30EAD">
        <w:rPr>
          <w:rFonts w:eastAsia="Calibri" w:cs="Arial"/>
          <w:szCs w:val="22"/>
        </w:rPr>
        <w:t>nimiž nebylo možno uzavřít smlouvu.</w:t>
      </w:r>
    </w:p>
    <w:p w14:paraId="6B984AF1" w14:textId="77777777" w:rsidR="008A2279" w:rsidRPr="00C30EAD" w:rsidRDefault="008A2279" w:rsidP="007C008D">
      <w:pPr>
        <w:ind w:left="284" w:hanging="284"/>
        <w:rPr>
          <w:rFonts w:eastAsia="Calibri" w:cs="Arial"/>
          <w:szCs w:val="22"/>
        </w:rPr>
      </w:pPr>
    </w:p>
    <w:p w14:paraId="447E257F" w14:textId="330EF2CE" w:rsidR="003B3BC7" w:rsidRPr="00C30EAD" w:rsidRDefault="003B3BC7" w:rsidP="009D0852">
      <w:pPr>
        <w:pStyle w:val="Nadpis4"/>
        <w:numPr>
          <w:ilvl w:val="1"/>
          <w:numId w:val="23"/>
        </w:numPr>
        <w:tabs>
          <w:tab w:val="clear" w:pos="284"/>
          <w:tab w:val="left" w:pos="851"/>
        </w:tabs>
        <w:spacing w:after="120"/>
        <w:ind w:left="357" w:hanging="357"/>
      </w:pPr>
      <w:r>
        <w:t xml:space="preserve">Pochybení </w:t>
      </w:r>
      <w:r w:rsidR="00C10869">
        <w:t>v </w:t>
      </w:r>
      <w:r>
        <w:t>oblasti vykazování způsobilosti výdajů</w:t>
      </w:r>
    </w:p>
    <w:p w14:paraId="4C7FE920" w14:textId="18AFE9AA" w:rsidR="00B122EF" w:rsidRPr="00C30EAD" w:rsidRDefault="008A2279" w:rsidP="007C008D">
      <w:pPr>
        <w:rPr>
          <w:rFonts w:eastAsia="Calibri" w:cs="Arial"/>
          <w:szCs w:val="22"/>
        </w:rPr>
      </w:pPr>
      <w:r w:rsidRPr="00C30EAD">
        <w:rPr>
          <w:rFonts w:eastAsia="Calibri" w:cs="Arial"/>
          <w:b/>
          <w:szCs w:val="22"/>
        </w:rPr>
        <w:t>Porušení dotačních podmínek</w:t>
      </w:r>
      <w:r w:rsidRPr="00C30EAD">
        <w:rPr>
          <w:rFonts w:eastAsia="Calibri" w:cs="Arial"/>
          <w:szCs w:val="22"/>
        </w:rPr>
        <w:t xml:space="preserve"> zji</w:t>
      </w:r>
      <w:r w:rsidR="00C30EAD">
        <w:rPr>
          <w:rFonts w:eastAsia="Calibri" w:cs="Arial"/>
          <w:szCs w:val="22"/>
        </w:rPr>
        <w:t>s</w:t>
      </w:r>
      <w:r w:rsidRPr="00C30EAD">
        <w:rPr>
          <w:rFonts w:eastAsia="Calibri" w:cs="Arial"/>
          <w:szCs w:val="22"/>
        </w:rPr>
        <w:t>t</w:t>
      </w:r>
      <w:r w:rsidR="00C30EAD">
        <w:rPr>
          <w:rFonts w:eastAsia="Calibri" w:cs="Arial"/>
          <w:szCs w:val="22"/>
        </w:rPr>
        <w:t>il</w:t>
      </w:r>
      <w:r w:rsidRPr="00C30EAD">
        <w:rPr>
          <w:rFonts w:eastAsia="Calibri" w:cs="Arial"/>
          <w:szCs w:val="22"/>
        </w:rPr>
        <w:t xml:space="preserve"> </w:t>
      </w:r>
      <w:r w:rsidR="00B114F3" w:rsidRPr="00C30EAD">
        <w:rPr>
          <w:rFonts w:eastAsia="Calibri" w:cs="Arial"/>
          <w:szCs w:val="22"/>
        </w:rPr>
        <w:t xml:space="preserve">NKÚ </w:t>
      </w:r>
      <w:r w:rsidR="00412752" w:rsidRPr="00C30EAD">
        <w:rPr>
          <w:rFonts w:eastAsia="Calibri" w:cs="Arial"/>
          <w:szCs w:val="22"/>
        </w:rPr>
        <w:t xml:space="preserve">též </w:t>
      </w:r>
      <w:r w:rsidR="00C10869">
        <w:rPr>
          <w:rFonts w:eastAsia="Calibri" w:cs="Arial"/>
          <w:b/>
          <w:szCs w:val="22"/>
        </w:rPr>
        <w:t>v </w:t>
      </w:r>
      <w:r w:rsidRPr="00C30EAD">
        <w:rPr>
          <w:rFonts w:eastAsia="Calibri" w:cs="Arial"/>
          <w:b/>
          <w:szCs w:val="22"/>
        </w:rPr>
        <w:t>oblasti způsobilosti výdajů</w:t>
      </w:r>
      <w:r w:rsidR="005D75C2" w:rsidRPr="009D0852">
        <w:rPr>
          <w:rFonts w:eastAsia="Calibri" w:cs="Arial"/>
          <w:b/>
          <w:szCs w:val="22"/>
        </w:rPr>
        <w:t>,</w:t>
      </w:r>
      <w:r w:rsidR="005D75C2" w:rsidRPr="00C30EAD">
        <w:rPr>
          <w:rFonts w:eastAsia="Calibri" w:cs="Arial"/>
          <w:szCs w:val="22"/>
        </w:rPr>
        <w:t xml:space="preserve"> </w:t>
      </w:r>
      <w:r w:rsidR="00B122EF" w:rsidRPr="00C30EAD">
        <w:rPr>
          <w:rFonts w:eastAsia="Calibri" w:cs="Arial"/>
          <w:szCs w:val="22"/>
        </w:rPr>
        <w:t>např.:</w:t>
      </w:r>
    </w:p>
    <w:p w14:paraId="621F47EA" w14:textId="1E45F90B" w:rsidR="008A2279" w:rsidRPr="00C30EAD" w:rsidRDefault="008A2279" w:rsidP="007C008D">
      <w:pPr>
        <w:numPr>
          <w:ilvl w:val="0"/>
          <w:numId w:val="17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 xml:space="preserve">Příjemce TUL </w:t>
      </w:r>
      <w:r w:rsidR="00B114F3">
        <w:rPr>
          <w:rFonts w:eastAsia="Calibri" w:cs="Arial"/>
          <w:szCs w:val="22"/>
        </w:rPr>
        <w:t>zahrnul</w:t>
      </w:r>
      <w:r w:rsidRPr="00C30EAD">
        <w:rPr>
          <w:rFonts w:eastAsia="Calibri" w:cs="Arial"/>
          <w:szCs w:val="22"/>
        </w:rPr>
        <w:t xml:space="preserve"> do způsobilých výdajů i </w:t>
      </w:r>
      <w:r w:rsidR="00B114F3">
        <w:rPr>
          <w:rFonts w:eastAsia="Calibri" w:cs="Arial"/>
          <w:szCs w:val="22"/>
        </w:rPr>
        <w:t>náklady</w:t>
      </w:r>
      <w:r w:rsidRPr="00C30EAD">
        <w:rPr>
          <w:rFonts w:eastAsia="Calibri" w:cs="Arial"/>
          <w:szCs w:val="22"/>
        </w:rPr>
        <w:t xml:space="preserve"> na</w:t>
      </w:r>
      <w:r w:rsidR="00B114F3">
        <w:rPr>
          <w:rFonts w:eastAsia="Calibri" w:cs="Arial"/>
          <w:szCs w:val="22"/>
        </w:rPr>
        <w:t xml:space="preserve"> vybudování</w:t>
      </w:r>
      <w:r w:rsidRPr="00C30EAD">
        <w:rPr>
          <w:rFonts w:eastAsia="Calibri" w:cs="Arial"/>
          <w:szCs w:val="22"/>
        </w:rPr>
        <w:t xml:space="preserve"> teplovodní přípojk</w:t>
      </w:r>
      <w:r w:rsidR="00B114F3">
        <w:rPr>
          <w:rFonts w:eastAsia="Calibri" w:cs="Arial"/>
          <w:szCs w:val="22"/>
        </w:rPr>
        <w:t>y</w:t>
      </w:r>
      <w:r w:rsidRPr="00C30EAD">
        <w:rPr>
          <w:rFonts w:eastAsia="Calibri" w:cs="Arial"/>
          <w:szCs w:val="22"/>
        </w:rPr>
        <w:t xml:space="preserve"> k</w:t>
      </w:r>
      <w:r w:rsidR="007C008D">
        <w:rPr>
          <w:rFonts w:eastAsia="Calibri" w:cs="Arial"/>
          <w:szCs w:val="22"/>
        </w:rPr>
        <w:t> </w:t>
      </w:r>
      <w:r w:rsidRPr="00C30EAD">
        <w:rPr>
          <w:rFonts w:eastAsia="Calibri" w:cs="Arial"/>
          <w:szCs w:val="22"/>
        </w:rPr>
        <w:t xml:space="preserve">budově, která přímo nesouvisela </w:t>
      </w:r>
      <w:r w:rsidR="00C10869">
        <w:rPr>
          <w:rFonts w:eastAsia="Calibri" w:cs="Arial"/>
          <w:szCs w:val="22"/>
        </w:rPr>
        <w:t>s </w:t>
      </w:r>
      <w:r w:rsidRPr="00C30EAD">
        <w:rPr>
          <w:rFonts w:eastAsia="Calibri" w:cs="Arial"/>
          <w:szCs w:val="22"/>
        </w:rPr>
        <w:t>realizovaným projektem</w:t>
      </w:r>
      <w:r w:rsidR="002D6501" w:rsidRPr="00C30EAD">
        <w:rPr>
          <w:rFonts w:eastAsia="Calibri" w:cs="Arial"/>
          <w:szCs w:val="22"/>
        </w:rPr>
        <w:t>.</w:t>
      </w:r>
    </w:p>
    <w:p w14:paraId="6516CD4C" w14:textId="14C2119F" w:rsidR="008A2279" w:rsidRPr="00C30EAD" w:rsidRDefault="008A2279" w:rsidP="007C008D">
      <w:pPr>
        <w:numPr>
          <w:ilvl w:val="0"/>
          <w:numId w:val="16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>Příjemci M</w:t>
      </w:r>
      <w:r w:rsidR="00B122EF" w:rsidRPr="00C30EAD">
        <w:rPr>
          <w:rFonts w:eastAsia="Calibri" w:cs="Arial"/>
          <w:szCs w:val="22"/>
        </w:rPr>
        <w:t xml:space="preserve">asarykova univerzita </w:t>
      </w:r>
      <w:r w:rsidR="00C10869">
        <w:rPr>
          <w:rFonts w:eastAsia="Calibri" w:cs="Arial"/>
          <w:szCs w:val="22"/>
        </w:rPr>
        <w:t>v </w:t>
      </w:r>
      <w:r w:rsidR="00B122EF" w:rsidRPr="00C30EAD">
        <w:rPr>
          <w:rFonts w:eastAsia="Calibri" w:cs="Arial"/>
          <w:szCs w:val="22"/>
        </w:rPr>
        <w:t>Brně</w:t>
      </w:r>
      <w:r w:rsidRPr="00C30EAD">
        <w:rPr>
          <w:rFonts w:eastAsia="Calibri" w:cs="Arial"/>
          <w:szCs w:val="22"/>
        </w:rPr>
        <w:t xml:space="preserve"> a TUL pochybili </w:t>
      </w:r>
      <w:r w:rsidR="00B122EF" w:rsidRPr="00C30EAD">
        <w:rPr>
          <w:rFonts w:eastAsia="Calibri" w:cs="Arial"/>
          <w:szCs w:val="22"/>
        </w:rPr>
        <w:t xml:space="preserve">v případě </w:t>
      </w:r>
      <w:r w:rsidR="007B0F22" w:rsidRPr="00C30EAD">
        <w:rPr>
          <w:rFonts w:eastAsia="Calibri" w:cs="Arial"/>
          <w:szCs w:val="22"/>
        </w:rPr>
        <w:t>výpočtu mzdy u </w:t>
      </w:r>
      <w:r w:rsidRPr="00C30EAD">
        <w:rPr>
          <w:rFonts w:eastAsia="Calibri" w:cs="Arial"/>
          <w:szCs w:val="22"/>
        </w:rPr>
        <w:t>jednoho ze svých zaměstnanců, k</w:t>
      </w:r>
      <w:r w:rsidR="00E6721E" w:rsidRPr="00C30EAD">
        <w:rPr>
          <w:rFonts w:eastAsia="Calibri" w:cs="Arial"/>
          <w:szCs w:val="22"/>
        </w:rPr>
        <w:t>de osobní výdaj</w:t>
      </w:r>
      <w:r w:rsidR="002B0FB4">
        <w:rPr>
          <w:rFonts w:eastAsia="Calibri" w:cs="Arial"/>
          <w:szCs w:val="22"/>
        </w:rPr>
        <w:t>e</w:t>
      </w:r>
      <w:r w:rsidR="00E6721E" w:rsidRPr="00C30EAD">
        <w:rPr>
          <w:rFonts w:eastAsia="Calibri" w:cs="Arial"/>
          <w:szCs w:val="22"/>
        </w:rPr>
        <w:t xml:space="preserve"> </w:t>
      </w:r>
      <w:r w:rsidR="00412752" w:rsidRPr="00C30EAD">
        <w:rPr>
          <w:rFonts w:eastAsia="Calibri" w:cs="Arial"/>
          <w:szCs w:val="22"/>
        </w:rPr>
        <w:t>překračující stanovenou hranici průměrné měsíční superhrubé mzdy po přepočtu na celý úvazek</w:t>
      </w:r>
      <w:r w:rsidR="00FD7609" w:rsidRPr="00C30EAD">
        <w:rPr>
          <w:rFonts w:eastAsia="Calibri" w:cs="Arial"/>
          <w:szCs w:val="22"/>
        </w:rPr>
        <w:t xml:space="preserve">/rok </w:t>
      </w:r>
      <w:r w:rsidR="00E6721E" w:rsidRPr="00C30EAD">
        <w:rPr>
          <w:rFonts w:eastAsia="Calibri" w:cs="Arial"/>
          <w:szCs w:val="22"/>
        </w:rPr>
        <w:t xml:space="preserve">neoprávněně nárokovali jako </w:t>
      </w:r>
      <w:r w:rsidRPr="00C30EAD">
        <w:rPr>
          <w:rFonts w:eastAsia="Calibri" w:cs="Arial"/>
          <w:szCs w:val="22"/>
        </w:rPr>
        <w:t>způsobilý výdaj</w:t>
      </w:r>
      <w:r w:rsidR="00412752" w:rsidRPr="00C30EAD">
        <w:rPr>
          <w:rFonts w:eastAsia="Calibri" w:cs="Arial"/>
          <w:szCs w:val="22"/>
        </w:rPr>
        <w:t>, který měl být adekvátně krácen v souladu s pokyny uvedenými v </w:t>
      </w:r>
      <w:r w:rsidR="006E12CB">
        <w:rPr>
          <w:rFonts w:eastAsia="Calibri" w:cs="Arial"/>
          <w:szCs w:val="22"/>
        </w:rPr>
        <w:t>„</w:t>
      </w:r>
      <w:r w:rsidR="00412752" w:rsidRPr="00C30EAD">
        <w:rPr>
          <w:rFonts w:eastAsia="Calibri" w:cs="Arial"/>
          <w:szCs w:val="22"/>
        </w:rPr>
        <w:t xml:space="preserve">Příručce pro příjemce OP </w:t>
      </w:r>
      <w:proofErr w:type="spellStart"/>
      <w:r w:rsidR="00412752" w:rsidRPr="00C30EAD">
        <w:rPr>
          <w:rFonts w:eastAsia="Calibri" w:cs="Arial"/>
          <w:szCs w:val="22"/>
        </w:rPr>
        <w:t>VaVpI</w:t>
      </w:r>
      <w:proofErr w:type="spellEnd"/>
      <w:r w:rsidR="006E12CB">
        <w:rPr>
          <w:rFonts w:eastAsia="Calibri" w:cs="Arial"/>
          <w:szCs w:val="22"/>
        </w:rPr>
        <w:t>“</w:t>
      </w:r>
      <w:r w:rsidRPr="00C30EAD">
        <w:rPr>
          <w:rFonts w:eastAsia="Calibri" w:cs="Arial"/>
          <w:szCs w:val="22"/>
        </w:rPr>
        <w:t>.</w:t>
      </w:r>
    </w:p>
    <w:p w14:paraId="36CECF07" w14:textId="20C65F01" w:rsidR="008A2279" w:rsidRPr="00C30EAD" w:rsidRDefault="00C52316" w:rsidP="007C008D">
      <w:pPr>
        <w:numPr>
          <w:ilvl w:val="0"/>
          <w:numId w:val="16"/>
        </w:numPr>
        <w:ind w:left="284" w:hanging="284"/>
        <w:rPr>
          <w:rFonts w:eastAsia="Calibri" w:cs="Arial"/>
          <w:szCs w:val="22"/>
        </w:rPr>
      </w:pPr>
      <w:r w:rsidRPr="00C30EAD">
        <w:rPr>
          <w:rFonts w:eastAsia="Calibri" w:cs="Arial"/>
          <w:szCs w:val="22"/>
        </w:rPr>
        <w:t xml:space="preserve">NKÚ </w:t>
      </w:r>
      <w:r w:rsidR="008A2279" w:rsidRPr="00C30EAD">
        <w:rPr>
          <w:rFonts w:eastAsia="Calibri" w:cs="Arial"/>
          <w:szCs w:val="22"/>
        </w:rPr>
        <w:t xml:space="preserve">dále identifikoval u příjemce VŠB-TU </w:t>
      </w:r>
      <w:r w:rsidR="00625074" w:rsidRPr="00C30EAD">
        <w:rPr>
          <w:rFonts w:eastAsia="Calibri" w:cs="Arial"/>
          <w:szCs w:val="22"/>
        </w:rPr>
        <w:t xml:space="preserve">neoprávněné </w:t>
      </w:r>
      <w:r w:rsidR="008A2279" w:rsidRPr="00C30EAD">
        <w:rPr>
          <w:rFonts w:eastAsia="Calibri" w:cs="Arial"/>
          <w:szCs w:val="22"/>
        </w:rPr>
        <w:t xml:space="preserve">proplacení faktur mandatáři na základě rámcové smlouvy na zajištění organizace veřejných zakázek. </w:t>
      </w:r>
      <w:r w:rsidR="00B42BBF" w:rsidRPr="00C30EAD">
        <w:rPr>
          <w:rFonts w:eastAsia="Calibri" w:cs="Arial"/>
          <w:szCs w:val="22"/>
        </w:rPr>
        <w:t>Příjemce uhradil výdaje</w:t>
      </w:r>
      <w:r w:rsidR="008A2279" w:rsidRPr="00C30EAD">
        <w:rPr>
          <w:rFonts w:eastAsia="Calibri" w:cs="Arial"/>
          <w:szCs w:val="22"/>
        </w:rPr>
        <w:t xml:space="preserve"> i za zrušená zadávací řízení vždy </w:t>
      </w:r>
      <w:r w:rsidR="00DC0880">
        <w:rPr>
          <w:rFonts w:eastAsia="Calibri" w:cs="Arial"/>
          <w:szCs w:val="22"/>
        </w:rPr>
        <w:t xml:space="preserve">ve výši </w:t>
      </w:r>
      <w:r w:rsidR="008A2279" w:rsidRPr="00C30EAD">
        <w:rPr>
          <w:rFonts w:eastAsia="Calibri" w:cs="Arial"/>
          <w:szCs w:val="22"/>
        </w:rPr>
        <w:t xml:space="preserve">100 % </w:t>
      </w:r>
      <w:r w:rsidR="00C10869">
        <w:rPr>
          <w:rFonts w:eastAsia="Calibri" w:cs="Arial"/>
          <w:szCs w:val="22"/>
        </w:rPr>
        <w:t>z </w:t>
      </w:r>
      <w:r w:rsidR="008A2279" w:rsidRPr="00C30EAD">
        <w:rPr>
          <w:rFonts w:eastAsia="Calibri" w:cs="Arial"/>
          <w:szCs w:val="22"/>
        </w:rPr>
        <w:t xml:space="preserve">ceny daného druhu zadávacího řízení, </w:t>
      </w:r>
      <w:r w:rsidR="00DC0880">
        <w:rPr>
          <w:rFonts w:eastAsia="Calibri" w:cs="Arial"/>
          <w:szCs w:val="22"/>
        </w:rPr>
        <w:t>i když</w:t>
      </w:r>
      <w:r w:rsidR="008A2279" w:rsidRPr="00C30EAD">
        <w:rPr>
          <w:rFonts w:eastAsia="Calibri" w:cs="Arial"/>
          <w:szCs w:val="22"/>
        </w:rPr>
        <w:t xml:space="preserve"> dle smlouvy o dílo </w:t>
      </w:r>
      <w:r w:rsidR="00B42BBF" w:rsidRPr="00C30EAD">
        <w:rPr>
          <w:rFonts w:eastAsia="Calibri" w:cs="Arial"/>
          <w:szCs w:val="22"/>
        </w:rPr>
        <w:t xml:space="preserve">měl </w:t>
      </w:r>
      <w:r w:rsidR="008A2279" w:rsidRPr="00C30EAD">
        <w:rPr>
          <w:rFonts w:eastAsia="Calibri" w:cs="Arial"/>
          <w:szCs w:val="22"/>
        </w:rPr>
        <w:t xml:space="preserve">mandatář </w:t>
      </w:r>
      <w:r w:rsidR="00B42BBF" w:rsidRPr="00C30EAD">
        <w:rPr>
          <w:rFonts w:eastAsia="Calibri" w:cs="Arial"/>
          <w:szCs w:val="22"/>
        </w:rPr>
        <w:t xml:space="preserve">nárok </w:t>
      </w:r>
      <w:r w:rsidR="008A2279" w:rsidRPr="00C30EAD">
        <w:rPr>
          <w:rFonts w:eastAsia="Calibri" w:cs="Arial"/>
          <w:szCs w:val="22"/>
        </w:rPr>
        <w:t>pouze</w:t>
      </w:r>
      <w:r w:rsidR="00B42BBF" w:rsidRPr="00C30EAD">
        <w:rPr>
          <w:rFonts w:eastAsia="Calibri" w:cs="Arial"/>
          <w:szCs w:val="22"/>
        </w:rPr>
        <w:t xml:space="preserve"> na</w:t>
      </w:r>
      <w:r w:rsidR="008A2279" w:rsidRPr="00C30EAD">
        <w:rPr>
          <w:rFonts w:eastAsia="Calibri" w:cs="Arial"/>
          <w:szCs w:val="22"/>
        </w:rPr>
        <w:t xml:space="preserve"> část ceny dle stanovených pravidel. Celkem se t</w:t>
      </w:r>
      <w:r w:rsidR="00E6721E" w:rsidRPr="00C30EAD">
        <w:rPr>
          <w:rFonts w:eastAsia="Calibri" w:cs="Arial"/>
          <w:szCs w:val="22"/>
        </w:rPr>
        <w:t>o</w:t>
      </w:r>
      <w:r w:rsidR="008A2279" w:rsidRPr="00C30EAD">
        <w:rPr>
          <w:rFonts w:eastAsia="Calibri" w:cs="Arial"/>
          <w:szCs w:val="22"/>
        </w:rPr>
        <w:t xml:space="preserve">to </w:t>
      </w:r>
      <w:r w:rsidR="00E6721E" w:rsidRPr="00C30EAD">
        <w:rPr>
          <w:rFonts w:eastAsia="Calibri" w:cs="Arial"/>
          <w:szCs w:val="22"/>
        </w:rPr>
        <w:t>pochybení</w:t>
      </w:r>
      <w:r w:rsidR="008A2279" w:rsidRPr="00C30EAD">
        <w:rPr>
          <w:rFonts w:eastAsia="Calibri" w:cs="Arial"/>
          <w:szCs w:val="22"/>
        </w:rPr>
        <w:t xml:space="preserve"> týkal</w:t>
      </w:r>
      <w:r w:rsidR="00E6721E" w:rsidRPr="00C30EAD">
        <w:rPr>
          <w:rFonts w:eastAsia="Calibri" w:cs="Arial"/>
          <w:szCs w:val="22"/>
        </w:rPr>
        <w:t>o</w:t>
      </w:r>
      <w:r w:rsidR="007B0F22" w:rsidRPr="00C30EAD">
        <w:rPr>
          <w:rFonts w:eastAsia="Calibri" w:cs="Arial"/>
          <w:szCs w:val="22"/>
        </w:rPr>
        <w:t xml:space="preserve"> 13 </w:t>
      </w:r>
      <w:r w:rsidR="008A2279" w:rsidRPr="00C30EAD">
        <w:rPr>
          <w:rFonts w:eastAsia="Calibri" w:cs="Arial"/>
          <w:szCs w:val="22"/>
        </w:rPr>
        <w:t>zadávacích řízení</w:t>
      </w:r>
      <w:r w:rsidR="00700165" w:rsidRPr="00C30EAD">
        <w:rPr>
          <w:rFonts w:eastAsia="Calibri" w:cs="Arial"/>
          <w:szCs w:val="22"/>
        </w:rPr>
        <w:t>.</w:t>
      </w:r>
    </w:p>
    <w:p w14:paraId="36E90108" w14:textId="77777777" w:rsidR="00B122EF" w:rsidRDefault="00B122EF" w:rsidP="007C008D">
      <w:pPr>
        <w:rPr>
          <w:rFonts w:eastAsia="Calibri" w:cs="Arial"/>
          <w:szCs w:val="22"/>
        </w:rPr>
      </w:pPr>
    </w:p>
    <w:p w14:paraId="2153FC5B" w14:textId="77777777" w:rsidR="00D02F57" w:rsidRDefault="00D02F57" w:rsidP="007C008D">
      <w:pPr>
        <w:rPr>
          <w:rFonts w:eastAsia="Calibri" w:cs="Arial"/>
          <w:szCs w:val="22"/>
        </w:rPr>
      </w:pPr>
    </w:p>
    <w:p w14:paraId="2E04F9B0" w14:textId="77777777" w:rsidR="00D02F57" w:rsidRDefault="00D02F57" w:rsidP="007C008D">
      <w:pPr>
        <w:rPr>
          <w:rFonts w:eastAsia="Calibri" w:cs="Arial"/>
          <w:szCs w:val="22"/>
        </w:rPr>
      </w:pPr>
    </w:p>
    <w:p w14:paraId="0FEBAB7C" w14:textId="77777777" w:rsidR="00D02F57" w:rsidRDefault="00D02F57" w:rsidP="007C008D">
      <w:pPr>
        <w:rPr>
          <w:rFonts w:eastAsia="Calibri" w:cs="Arial"/>
          <w:szCs w:val="22"/>
        </w:rPr>
      </w:pPr>
    </w:p>
    <w:p w14:paraId="5F1E5FA7" w14:textId="77777777" w:rsidR="00D02F57" w:rsidRDefault="00D02F57" w:rsidP="007C008D">
      <w:pPr>
        <w:rPr>
          <w:rFonts w:eastAsia="Calibri" w:cs="Arial"/>
          <w:szCs w:val="22"/>
        </w:rPr>
      </w:pPr>
    </w:p>
    <w:p w14:paraId="1331A42F" w14:textId="77777777" w:rsidR="007C008D" w:rsidRPr="00C30EAD" w:rsidRDefault="007C008D" w:rsidP="007C008D">
      <w:pPr>
        <w:rPr>
          <w:rFonts w:eastAsia="Calibri" w:cs="Arial"/>
          <w:szCs w:val="22"/>
        </w:rPr>
      </w:pPr>
    </w:p>
    <w:p w14:paraId="60E70AC8" w14:textId="77777777" w:rsidR="006813F7" w:rsidRPr="00C30EAD" w:rsidRDefault="006813F7" w:rsidP="007C008D">
      <w:pPr>
        <w:spacing w:line="23" w:lineRule="atLeast"/>
        <w:jc w:val="center"/>
        <w:rPr>
          <w:rFonts w:cs="Arial"/>
          <w:b/>
          <w:bCs/>
          <w:sz w:val="24"/>
        </w:rPr>
      </w:pPr>
      <w:r w:rsidRPr="00C30EAD">
        <w:rPr>
          <w:rFonts w:cs="Arial"/>
          <w:b/>
          <w:bCs/>
          <w:sz w:val="24"/>
        </w:rPr>
        <w:lastRenderedPageBreak/>
        <w:t>I</w:t>
      </w:r>
      <w:r w:rsidR="007C4F88" w:rsidRPr="00C30EAD">
        <w:rPr>
          <w:rFonts w:cs="Arial"/>
          <w:b/>
          <w:bCs/>
          <w:sz w:val="24"/>
        </w:rPr>
        <w:t>V</w:t>
      </w:r>
      <w:r w:rsidRPr="00C30EAD">
        <w:rPr>
          <w:rFonts w:cs="Arial"/>
          <w:b/>
          <w:bCs/>
          <w:sz w:val="24"/>
        </w:rPr>
        <w:t xml:space="preserve">. </w:t>
      </w:r>
      <w:r w:rsidR="00F43EF7" w:rsidRPr="00C30EAD">
        <w:rPr>
          <w:rFonts w:cs="Arial"/>
          <w:b/>
          <w:bCs/>
          <w:sz w:val="24"/>
        </w:rPr>
        <w:t>V</w:t>
      </w:r>
      <w:r w:rsidRPr="00C30EAD">
        <w:rPr>
          <w:rFonts w:cs="Arial"/>
          <w:b/>
          <w:bCs/>
          <w:sz w:val="24"/>
        </w:rPr>
        <w:t>yhodnocení</w:t>
      </w:r>
    </w:p>
    <w:p w14:paraId="1A957C24" w14:textId="77777777" w:rsidR="009577F5" w:rsidRPr="00C30EAD" w:rsidRDefault="009577F5" w:rsidP="007C008D">
      <w:pPr>
        <w:spacing w:line="23" w:lineRule="atLeast"/>
        <w:jc w:val="center"/>
        <w:rPr>
          <w:rFonts w:cs="Arial"/>
          <w:b/>
          <w:bCs/>
          <w:sz w:val="24"/>
        </w:rPr>
      </w:pPr>
    </w:p>
    <w:p w14:paraId="73C8309D" w14:textId="6BAEAAB6" w:rsidR="00B16E14" w:rsidRPr="00C30EAD" w:rsidRDefault="009A413F" w:rsidP="007C008D">
      <w:pPr>
        <w:rPr>
          <w:rFonts w:cs="Arial"/>
          <w:szCs w:val="22"/>
        </w:rPr>
      </w:pPr>
      <w:r w:rsidRPr="00C30EAD">
        <w:rPr>
          <w:rFonts w:cs="Arial"/>
          <w:szCs w:val="22"/>
        </w:rPr>
        <w:t>Předmětem kontroly byly peněžní prostředky Evropské</w:t>
      </w:r>
      <w:r w:rsidR="007B0F22" w:rsidRPr="00C30EAD">
        <w:rPr>
          <w:rFonts w:cs="Arial"/>
          <w:szCs w:val="22"/>
        </w:rPr>
        <w:t xml:space="preserve"> </w:t>
      </w:r>
      <w:r w:rsidR="00B42BBF" w:rsidRPr="00C30EAD">
        <w:rPr>
          <w:rFonts w:cs="Arial"/>
          <w:szCs w:val="22"/>
        </w:rPr>
        <w:t>unie</w:t>
      </w:r>
      <w:r w:rsidR="007B0F22" w:rsidRPr="00C30EAD">
        <w:rPr>
          <w:rFonts w:cs="Arial"/>
          <w:szCs w:val="22"/>
        </w:rPr>
        <w:t xml:space="preserve"> a </w:t>
      </w:r>
      <w:r w:rsidRPr="00C30EAD">
        <w:rPr>
          <w:rFonts w:cs="Arial"/>
          <w:szCs w:val="22"/>
        </w:rPr>
        <w:t xml:space="preserve">státního rozpočtu určené na </w:t>
      </w:r>
      <w:r w:rsidR="00637C47" w:rsidRPr="00C30EAD">
        <w:rPr>
          <w:rFonts w:cs="Arial"/>
          <w:szCs w:val="22"/>
        </w:rPr>
        <w:t xml:space="preserve">realizaci </w:t>
      </w:r>
      <w:r w:rsidR="00E1201B" w:rsidRPr="004C26FF">
        <w:rPr>
          <w:rFonts w:cs="Arial"/>
          <w:szCs w:val="22"/>
        </w:rPr>
        <w:t>operačního programu</w:t>
      </w:r>
      <w:r w:rsidR="000C1E76" w:rsidRPr="00C30EAD">
        <w:rPr>
          <w:rFonts w:cs="Arial"/>
          <w:szCs w:val="22"/>
        </w:rPr>
        <w:t xml:space="preserve"> </w:t>
      </w:r>
      <w:r w:rsidR="000C1E76" w:rsidRPr="009D0852">
        <w:rPr>
          <w:rFonts w:cs="Arial"/>
          <w:i/>
          <w:szCs w:val="22"/>
        </w:rPr>
        <w:t>V</w:t>
      </w:r>
      <w:r w:rsidR="00E1201B" w:rsidRPr="009D0852">
        <w:rPr>
          <w:rFonts w:cs="Arial"/>
          <w:i/>
          <w:szCs w:val="22"/>
        </w:rPr>
        <w:t>ýzkum a vývoj pro inovace</w:t>
      </w:r>
      <w:r w:rsidRPr="00C30EAD">
        <w:rPr>
          <w:rFonts w:cs="Arial"/>
          <w:szCs w:val="22"/>
        </w:rPr>
        <w:t>. Kontrol</w:t>
      </w:r>
      <w:r w:rsidR="00DC0880">
        <w:rPr>
          <w:rFonts w:cs="Arial"/>
          <w:szCs w:val="22"/>
        </w:rPr>
        <w:t>a</w:t>
      </w:r>
      <w:r w:rsidRPr="00C30EAD">
        <w:rPr>
          <w:rFonts w:cs="Arial"/>
          <w:szCs w:val="22"/>
        </w:rPr>
        <w:t xml:space="preserve"> </w:t>
      </w:r>
      <w:r w:rsidR="00DC0880">
        <w:rPr>
          <w:rFonts w:cs="Arial"/>
          <w:szCs w:val="22"/>
        </w:rPr>
        <w:t>prověřila</w:t>
      </w:r>
      <w:r w:rsidRPr="00C30EAD">
        <w:rPr>
          <w:rFonts w:cs="Arial"/>
          <w:szCs w:val="22"/>
        </w:rPr>
        <w:t xml:space="preserve"> celkové nastavení implementačního systému a zároveň činnost MŠMT související s</w:t>
      </w:r>
      <w:r w:rsidR="00D56A4F" w:rsidRPr="00C30EAD">
        <w:rPr>
          <w:rFonts w:cs="Arial"/>
          <w:szCs w:val="22"/>
        </w:rPr>
        <w:t> </w:t>
      </w:r>
      <w:r w:rsidRPr="00C30EAD">
        <w:rPr>
          <w:rFonts w:cs="Arial"/>
          <w:szCs w:val="22"/>
        </w:rPr>
        <w:t>administrací</w:t>
      </w:r>
      <w:r w:rsidR="00D56A4F" w:rsidRPr="00C30EAD">
        <w:rPr>
          <w:rFonts w:cs="Arial"/>
          <w:szCs w:val="22"/>
        </w:rPr>
        <w:t>, monitorováním</w:t>
      </w:r>
      <w:r w:rsidRPr="00C30EAD">
        <w:rPr>
          <w:rFonts w:cs="Arial"/>
          <w:szCs w:val="22"/>
        </w:rPr>
        <w:t xml:space="preserve"> </w:t>
      </w:r>
      <w:r w:rsidR="00C1642B" w:rsidRPr="00C30EAD">
        <w:rPr>
          <w:rFonts w:cs="Arial"/>
          <w:szCs w:val="22"/>
        </w:rPr>
        <w:t xml:space="preserve">a </w:t>
      </w:r>
      <w:r w:rsidR="0092605A" w:rsidRPr="00C30EAD">
        <w:rPr>
          <w:rFonts w:cs="Arial"/>
          <w:szCs w:val="22"/>
        </w:rPr>
        <w:t xml:space="preserve">výkonem </w:t>
      </w:r>
      <w:r w:rsidR="00C1642B" w:rsidRPr="00C30EAD">
        <w:rPr>
          <w:rFonts w:cs="Arial"/>
          <w:szCs w:val="22"/>
        </w:rPr>
        <w:t>kontrol</w:t>
      </w:r>
      <w:r w:rsidR="0092605A" w:rsidRPr="00C30EAD">
        <w:rPr>
          <w:rFonts w:cs="Arial"/>
          <w:szCs w:val="22"/>
        </w:rPr>
        <w:t>y</w:t>
      </w:r>
      <w:r w:rsidR="00C1642B" w:rsidRPr="00C30EAD">
        <w:rPr>
          <w:rFonts w:cs="Arial"/>
          <w:szCs w:val="22"/>
        </w:rPr>
        <w:t xml:space="preserve"> </w:t>
      </w:r>
      <w:r w:rsidR="007B0F22" w:rsidRPr="00C30EAD">
        <w:rPr>
          <w:rFonts w:cs="Arial"/>
          <w:szCs w:val="22"/>
        </w:rPr>
        <w:t>projektů. U </w:t>
      </w:r>
      <w:r w:rsidRPr="00C30EAD">
        <w:rPr>
          <w:rFonts w:cs="Arial"/>
          <w:szCs w:val="22"/>
        </w:rPr>
        <w:t xml:space="preserve">příjemců </w:t>
      </w:r>
      <w:r w:rsidR="00995A65" w:rsidRPr="00C30EAD">
        <w:rPr>
          <w:rFonts w:cs="Arial"/>
          <w:szCs w:val="22"/>
        </w:rPr>
        <w:t>podpory</w:t>
      </w:r>
      <w:r w:rsidR="00046B01" w:rsidRPr="00C30EAD">
        <w:rPr>
          <w:rFonts w:cs="Arial"/>
          <w:szCs w:val="22"/>
        </w:rPr>
        <w:t xml:space="preserve"> </w:t>
      </w:r>
      <w:r w:rsidRPr="00C30EAD">
        <w:rPr>
          <w:rFonts w:cs="Arial"/>
          <w:szCs w:val="22"/>
        </w:rPr>
        <w:t>bylo prověřeno především dodržování právních předpisů a podmínek stanovených při poskytnutí dotace.</w:t>
      </w:r>
    </w:p>
    <w:p w14:paraId="61FDF86F" w14:textId="77777777" w:rsidR="009A413F" w:rsidRPr="00C30EAD" w:rsidRDefault="009A413F" w:rsidP="007C008D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</w:p>
    <w:p w14:paraId="6730AED6" w14:textId="54C30ADC" w:rsidR="00954A06" w:rsidRPr="00C30EAD" w:rsidRDefault="00CE4490" w:rsidP="007C008D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  <w:r w:rsidRPr="00C30EAD">
        <w:rPr>
          <w:rFonts w:cs="Arial"/>
          <w:szCs w:val="22"/>
        </w:rPr>
        <w:t>Kontrolou byly na vzorku osmi projektů prověřeny v</w:t>
      </w:r>
      <w:r w:rsidR="00423BF3" w:rsidRPr="00C30EAD">
        <w:rPr>
          <w:rFonts w:cs="Arial"/>
          <w:szCs w:val="22"/>
        </w:rPr>
        <w:t>ýdaje financované z rozpočtu Evropské unie</w:t>
      </w:r>
      <w:r w:rsidRPr="00C30EAD">
        <w:rPr>
          <w:rFonts w:cs="Arial"/>
          <w:szCs w:val="22"/>
        </w:rPr>
        <w:t xml:space="preserve"> a ze státního rozpočtu</w:t>
      </w:r>
      <w:r w:rsidR="00954A06" w:rsidRPr="00C30EAD">
        <w:rPr>
          <w:rFonts w:cs="Arial"/>
          <w:szCs w:val="22"/>
        </w:rPr>
        <w:t xml:space="preserve"> v celkové výši 4 840 734 942 </w:t>
      </w:r>
      <w:r w:rsidRPr="00C30EAD">
        <w:rPr>
          <w:rFonts w:cs="Arial"/>
          <w:szCs w:val="22"/>
        </w:rPr>
        <w:t xml:space="preserve">Kč. V rámci </w:t>
      </w:r>
      <w:r w:rsidR="00954A06" w:rsidRPr="00C30EAD">
        <w:rPr>
          <w:rFonts w:cs="Arial"/>
          <w:szCs w:val="22"/>
        </w:rPr>
        <w:t>kontrolní akce</w:t>
      </w:r>
      <w:r w:rsidRPr="00C30EAD">
        <w:rPr>
          <w:rFonts w:cs="Arial"/>
          <w:szCs w:val="22"/>
        </w:rPr>
        <w:t xml:space="preserve"> byla stanovena hladina významnosti ve výši 2</w:t>
      </w:r>
      <w:r w:rsidR="00954A06" w:rsidRPr="00C30EAD">
        <w:rPr>
          <w:rFonts w:cs="Arial"/>
          <w:szCs w:val="22"/>
        </w:rPr>
        <w:t xml:space="preserve"> </w:t>
      </w:r>
      <w:r w:rsidRPr="00C30EAD">
        <w:rPr>
          <w:rFonts w:cs="Arial"/>
          <w:szCs w:val="22"/>
        </w:rPr>
        <w:t xml:space="preserve">% </w:t>
      </w:r>
      <w:r w:rsidR="00C10869">
        <w:rPr>
          <w:rFonts w:cs="Arial"/>
          <w:szCs w:val="22"/>
        </w:rPr>
        <w:t>z </w:t>
      </w:r>
      <w:r w:rsidRPr="00C30EAD">
        <w:rPr>
          <w:rFonts w:cs="Arial"/>
          <w:szCs w:val="22"/>
        </w:rPr>
        <w:t xml:space="preserve">uvedené </w:t>
      </w:r>
      <w:r w:rsidR="00DC0880">
        <w:rPr>
          <w:rFonts w:cs="Arial"/>
          <w:szCs w:val="22"/>
        </w:rPr>
        <w:t>částky</w:t>
      </w:r>
      <w:r w:rsidRPr="00C30EAD">
        <w:rPr>
          <w:rFonts w:cs="Arial"/>
          <w:szCs w:val="22"/>
        </w:rPr>
        <w:t xml:space="preserve">, tj. </w:t>
      </w:r>
      <w:r w:rsidR="00DC0880">
        <w:rPr>
          <w:rFonts w:cs="Arial"/>
          <w:szCs w:val="22"/>
        </w:rPr>
        <w:t xml:space="preserve">ve výši </w:t>
      </w:r>
      <w:r w:rsidR="00954A06" w:rsidRPr="00C30EAD">
        <w:rPr>
          <w:rFonts w:cs="Arial"/>
          <w:szCs w:val="22"/>
        </w:rPr>
        <w:t>96 814 699</w:t>
      </w:r>
      <w:r w:rsidR="002D487C">
        <w:rPr>
          <w:rFonts w:cs="Arial"/>
          <w:szCs w:val="22"/>
        </w:rPr>
        <w:t xml:space="preserve"> Kč. Kontrolou</w:t>
      </w:r>
      <w:r w:rsidRPr="00C30EAD">
        <w:rPr>
          <w:rFonts w:cs="Arial"/>
          <w:szCs w:val="22"/>
        </w:rPr>
        <w:t xml:space="preserve"> na uvedeném vzorku projektů byly zjištěny finančně vyčíslitelné nedostatky</w:t>
      </w:r>
      <w:r w:rsidR="00954A06" w:rsidRPr="00C30EAD">
        <w:rPr>
          <w:rFonts w:cs="Arial"/>
          <w:szCs w:val="22"/>
        </w:rPr>
        <w:t>,</w:t>
      </w:r>
      <w:r w:rsidR="00EB2022" w:rsidRPr="00C30EAD">
        <w:rPr>
          <w:rFonts w:cs="Arial"/>
          <w:szCs w:val="22"/>
        </w:rPr>
        <w:t xml:space="preserve"> jejichž celková výše činila 1 586 631</w:t>
      </w:r>
      <w:r w:rsidRPr="00C30EAD">
        <w:rPr>
          <w:rFonts w:cs="Arial"/>
          <w:szCs w:val="22"/>
        </w:rPr>
        <w:t xml:space="preserve"> Kč</w:t>
      </w:r>
      <w:r w:rsidR="00EB2022" w:rsidRPr="00C30EAD">
        <w:rPr>
          <w:rStyle w:val="Znakapoznpodarou"/>
          <w:rFonts w:cs="Arial"/>
          <w:szCs w:val="22"/>
        </w:rPr>
        <w:footnoteReference w:id="34"/>
      </w:r>
      <w:r w:rsidRPr="00C30EAD">
        <w:rPr>
          <w:rFonts w:cs="Arial"/>
          <w:szCs w:val="22"/>
        </w:rPr>
        <w:t xml:space="preserve">. </w:t>
      </w:r>
      <w:r w:rsidR="00954A06" w:rsidRPr="00C30EAD">
        <w:rPr>
          <w:rFonts w:cs="Arial"/>
          <w:szCs w:val="22"/>
        </w:rPr>
        <w:t>Tyto nedostatky byly kvalifikovány</w:t>
      </w:r>
      <w:r w:rsidRPr="00C30EAD">
        <w:rPr>
          <w:rFonts w:cs="Arial"/>
          <w:szCs w:val="22"/>
        </w:rPr>
        <w:t xml:space="preserve"> j</w:t>
      </w:r>
      <w:r w:rsidR="00954A06" w:rsidRPr="00C30EAD">
        <w:rPr>
          <w:rFonts w:cs="Arial"/>
          <w:szCs w:val="22"/>
        </w:rPr>
        <w:t>ako porušení rozpočtové kázně. NK</w:t>
      </w:r>
      <w:r w:rsidR="00954A06" w:rsidRPr="00C30EAD">
        <w:rPr>
          <w:rFonts w:cs="Arial" w:hint="eastAsia"/>
          <w:szCs w:val="22"/>
        </w:rPr>
        <w:t>Ú</w:t>
      </w:r>
      <w:r w:rsidR="00954A06" w:rsidRPr="00C30EAD">
        <w:rPr>
          <w:rFonts w:cs="Arial"/>
          <w:szCs w:val="22"/>
        </w:rPr>
        <w:t xml:space="preserve"> následně splnil povinnost</w:t>
      </w:r>
      <w:r w:rsidR="00954A06" w:rsidRPr="00C30EAD">
        <w:rPr>
          <w:rStyle w:val="Znakapoznpodarou"/>
          <w:rFonts w:cs="Arial"/>
          <w:szCs w:val="22"/>
        </w:rPr>
        <w:footnoteReference w:id="35"/>
      </w:r>
      <w:r w:rsidR="00954A06" w:rsidRPr="00C30EAD">
        <w:rPr>
          <w:rFonts w:cs="Arial"/>
          <w:szCs w:val="22"/>
        </w:rPr>
        <w:t xml:space="preserve"> předat údaje uvedené v kontrolních protokolech p</w:t>
      </w:r>
      <w:r w:rsidR="00954A06" w:rsidRPr="00C30EAD">
        <w:rPr>
          <w:rFonts w:cs="Arial" w:hint="eastAsia"/>
          <w:szCs w:val="22"/>
        </w:rPr>
        <w:t>ří</w:t>
      </w:r>
      <w:r w:rsidR="00954A06" w:rsidRPr="00C30EAD">
        <w:rPr>
          <w:rFonts w:cs="Arial"/>
          <w:szCs w:val="22"/>
        </w:rPr>
        <w:t>slu</w:t>
      </w:r>
      <w:r w:rsidR="00954A06" w:rsidRPr="00C30EAD">
        <w:rPr>
          <w:rFonts w:cs="Arial" w:hint="eastAsia"/>
          <w:szCs w:val="22"/>
        </w:rPr>
        <w:t>š</w:t>
      </w:r>
      <w:r w:rsidR="00954A06" w:rsidRPr="00C30EAD">
        <w:rPr>
          <w:rFonts w:cs="Arial"/>
          <w:szCs w:val="22"/>
        </w:rPr>
        <w:t>n</w:t>
      </w:r>
      <w:r w:rsidR="00954A06" w:rsidRPr="00C30EAD">
        <w:rPr>
          <w:rFonts w:cs="Arial" w:hint="eastAsia"/>
          <w:szCs w:val="22"/>
        </w:rPr>
        <w:t>ý</w:t>
      </w:r>
      <w:r w:rsidR="00954A06" w:rsidRPr="00C30EAD">
        <w:rPr>
          <w:rFonts w:cs="Arial"/>
          <w:szCs w:val="22"/>
        </w:rPr>
        <w:t>m spr</w:t>
      </w:r>
      <w:r w:rsidR="00954A06" w:rsidRPr="00C30EAD">
        <w:rPr>
          <w:rFonts w:cs="Arial" w:hint="eastAsia"/>
          <w:szCs w:val="22"/>
        </w:rPr>
        <w:t>á</w:t>
      </w:r>
      <w:r w:rsidR="00954A06" w:rsidRPr="00C30EAD">
        <w:rPr>
          <w:rFonts w:cs="Arial"/>
          <w:szCs w:val="22"/>
        </w:rPr>
        <w:t>vc</w:t>
      </w:r>
      <w:r w:rsidR="00954A06" w:rsidRPr="00C30EAD">
        <w:rPr>
          <w:rFonts w:cs="Arial" w:hint="eastAsia"/>
          <w:szCs w:val="22"/>
        </w:rPr>
        <w:t>ů</w:t>
      </w:r>
      <w:r w:rsidR="00954A06" w:rsidRPr="00C30EAD">
        <w:rPr>
          <w:rFonts w:cs="Arial"/>
          <w:szCs w:val="22"/>
        </w:rPr>
        <w:t>m dan</w:t>
      </w:r>
      <w:r w:rsidR="00954A06" w:rsidRPr="00C30EAD">
        <w:rPr>
          <w:rFonts w:cs="Arial" w:hint="eastAsia"/>
          <w:szCs w:val="22"/>
        </w:rPr>
        <w:t>ě</w:t>
      </w:r>
      <w:r w:rsidR="00954A06" w:rsidRPr="00C30EAD">
        <w:rPr>
          <w:rFonts w:cs="Arial"/>
          <w:szCs w:val="22"/>
        </w:rPr>
        <w:t>.</w:t>
      </w:r>
    </w:p>
    <w:p w14:paraId="51B032E4" w14:textId="77777777" w:rsidR="00CE4490" w:rsidRPr="00095E8C" w:rsidRDefault="00CE4490" w:rsidP="007C008D">
      <w:pPr>
        <w:rPr>
          <w:rFonts w:cs="Arial"/>
          <w:szCs w:val="22"/>
        </w:rPr>
      </w:pPr>
    </w:p>
    <w:p w14:paraId="520D7BB3" w14:textId="0E2F9267" w:rsidR="00C30EAD" w:rsidRPr="004C26FF" w:rsidRDefault="007C4F88" w:rsidP="007C008D">
      <w:pPr>
        <w:rPr>
          <w:rFonts w:cs="Arial"/>
          <w:szCs w:val="22"/>
        </w:rPr>
      </w:pPr>
      <w:r w:rsidRPr="00C30EAD">
        <w:rPr>
          <w:rFonts w:cs="Arial"/>
          <w:szCs w:val="22"/>
        </w:rPr>
        <w:t>Na základě prověření klíčových prvků řídicího a kontrolního systému</w:t>
      </w:r>
      <w:r w:rsidR="007D2B60" w:rsidRPr="00C30EAD">
        <w:rPr>
          <w:rFonts w:cs="Arial"/>
          <w:szCs w:val="22"/>
        </w:rPr>
        <w:t xml:space="preserve"> operačního programu </w:t>
      </w:r>
      <w:r w:rsidR="007D2B60" w:rsidRPr="009D0852">
        <w:rPr>
          <w:rFonts w:cs="Arial"/>
          <w:i/>
          <w:szCs w:val="22"/>
        </w:rPr>
        <w:t>Výzkum a vývoj pro inovace</w:t>
      </w:r>
      <w:r w:rsidRPr="00C30EAD">
        <w:rPr>
          <w:rFonts w:cs="Arial"/>
          <w:szCs w:val="22"/>
        </w:rPr>
        <w:t xml:space="preserve"> byl tento </w:t>
      </w:r>
      <w:r w:rsidRPr="00C30EAD">
        <w:rPr>
          <w:rFonts w:cs="Arial"/>
          <w:b/>
          <w:szCs w:val="22"/>
        </w:rPr>
        <w:t>systém v kontrolovaném období vyhodnocen jako</w:t>
      </w:r>
      <w:r w:rsidR="006E12CB">
        <w:rPr>
          <w:rFonts w:cs="Arial"/>
          <w:b/>
          <w:szCs w:val="22"/>
        </w:rPr>
        <w:t xml:space="preserve"> funkční a </w:t>
      </w:r>
      <w:r w:rsidRPr="00C30EAD">
        <w:rPr>
          <w:rFonts w:cs="Arial"/>
          <w:b/>
          <w:szCs w:val="22"/>
        </w:rPr>
        <w:t>účinný</w:t>
      </w:r>
      <w:r w:rsidR="00C30EAD" w:rsidRPr="004C26FF">
        <w:rPr>
          <w:rFonts w:cs="Arial"/>
          <w:b/>
          <w:szCs w:val="22"/>
        </w:rPr>
        <w:t>.</w:t>
      </w:r>
      <w:r w:rsidR="00557566" w:rsidRPr="004C26FF">
        <w:rPr>
          <w:rFonts w:cs="Arial"/>
          <w:b/>
          <w:szCs w:val="22"/>
        </w:rPr>
        <w:t xml:space="preserve"> </w:t>
      </w:r>
      <w:r w:rsidR="003C54A3" w:rsidRPr="004C26FF">
        <w:rPr>
          <w:rFonts w:cs="Arial"/>
          <w:szCs w:val="22"/>
        </w:rPr>
        <w:t>NKÚ</w:t>
      </w:r>
      <w:r w:rsidR="00624D49" w:rsidRPr="004C26FF">
        <w:rPr>
          <w:rFonts w:cs="Arial"/>
          <w:szCs w:val="22"/>
        </w:rPr>
        <w:t xml:space="preserve"> </w:t>
      </w:r>
      <w:r w:rsidR="003B3BC7">
        <w:rPr>
          <w:rFonts w:cs="Arial"/>
          <w:szCs w:val="22"/>
        </w:rPr>
        <w:t>však</w:t>
      </w:r>
      <w:r w:rsidR="00C30EAD" w:rsidRPr="004C26FF">
        <w:rPr>
          <w:rFonts w:cs="Arial"/>
          <w:szCs w:val="22"/>
        </w:rPr>
        <w:t xml:space="preserve"> </w:t>
      </w:r>
      <w:r w:rsidR="00624D49" w:rsidRPr="004C26FF">
        <w:rPr>
          <w:rFonts w:cs="Arial"/>
          <w:szCs w:val="22"/>
        </w:rPr>
        <w:t xml:space="preserve">doporučuje přijmout </w:t>
      </w:r>
      <w:r w:rsidR="003B3BC7">
        <w:rPr>
          <w:rFonts w:cs="Arial"/>
          <w:szCs w:val="22"/>
        </w:rPr>
        <w:t xml:space="preserve">některá </w:t>
      </w:r>
      <w:r w:rsidR="00624D49" w:rsidRPr="004C26FF">
        <w:rPr>
          <w:rFonts w:cs="Arial"/>
          <w:szCs w:val="22"/>
        </w:rPr>
        <w:t>opatření</w:t>
      </w:r>
      <w:r w:rsidR="003B3BC7">
        <w:rPr>
          <w:rFonts w:cs="Arial"/>
          <w:szCs w:val="22"/>
        </w:rPr>
        <w:t>, a to</w:t>
      </w:r>
      <w:r w:rsidR="00624D49" w:rsidRPr="00C30EAD">
        <w:rPr>
          <w:rFonts w:cs="Arial"/>
          <w:szCs w:val="22"/>
        </w:rPr>
        <w:t xml:space="preserve"> zejména</w:t>
      </w:r>
      <w:r w:rsidR="00C30EAD" w:rsidRPr="00C30EAD">
        <w:rPr>
          <w:rFonts w:cs="Arial"/>
          <w:szCs w:val="22"/>
        </w:rPr>
        <w:t xml:space="preserve"> v oblast</w:t>
      </w:r>
      <w:r w:rsidR="00C30EAD">
        <w:rPr>
          <w:rFonts w:cs="Arial"/>
          <w:szCs w:val="22"/>
        </w:rPr>
        <w:t>i</w:t>
      </w:r>
      <w:r w:rsidR="00C30EAD" w:rsidRPr="004C26FF">
        <w:rPr>
          <w:rFonts w:cs="Arial"/>
          <w:szCs w:val="22"/>
        </w:rPr>
        <w:t>:</w:t>
      </w:r>
    </w:p>
    <w:p w14:paraId="6DD71C5D" w14:textId="21B8DB40" w:rsidR="00C30EAD" w:rsidRPr="004C26FF" w:rsidRDefault="00624D49" w:rsidP="007C008D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</w:rPr>
      </w:pPr>
      <w:r w:rsidRPr="00C30EAD">
        <w:rPr>
          <w:rFonts w:cs="Arial"/>
          <w:szCs w:val="22"/>
        </w:rPr>
        <w:t>nastavení kontrolního systému</w:t>
      </w:r>
      <w:r w:rsidR="00DA2D34" w:rsidRPr="004C26FF">
        <w:rPr>
          <w:rFonts w:cs="Arial"/>
          <w:szCs w:val="22"/>
        </w:rPr>
        <w:t xml:space="preserve"> (</w:t>
      </w:r>
      <w:r w:rsidRPr="00C30EAD">
        <w:rPr>
          <w:rFonts w:cs="Arial"/>
          <w:szCs w:val="22"/>
        </w:rPr>
        <w:t>posuzování hospodárnosti a přiměřenosti osobních výdajů členů realizačního týmu</w:t>
      </w:r>
      <w:r w:rsidR="00DA2D34" w:rsidRPr="004C26FF">
        <w:rPr>
          <w:rFonts w:cs="Arial"/>
          <w:szCs w:val="22"/>
        </w:rPr>
        <w:t xml:space="preserve">; </w:t>
      </w:r>
      <w:r w:rsidRPr="00C30EAD">
        <w:rPr>
          <w:rFonts w:cs="Arial"/>
          <w:szCs w:val="22"/>
        </w:rPr>
        <w:t xml:space="preserve">provádění </w:t>
      </w:r>
      <w:r w:rsidR="003C54A3" w:rsidRPr="00C30EAD">
        <w:rPr>
          <w:rFonts w:cs="Arial"/>
          <w:szCs w:val="22"/>
        </w:rPr>
        <w:t>tzv. dohledových kontrol</w:t>
      </w:r>
      <w:r w:rsidR="00DA2D34" w:rsidRPr="004C26FF">
        <w:rPr>
          <w:rFonts w:cs="Arial"/>
          <w:szCs w:val="22"/>
        </w:rPr>
        <w:t>)</w:t>
      </w:r>
      <w:r w:rsidRPr="00C30EAD">
        <w:rPr>
          <w:rFonts w:cs="Arial"/>
          <w:szCs w:val="22"/>
        </w:rPr>
        <w:t>,</w:t>
      </w:r>
    </w:p>
    <w:p w14:paraId="2B55116D" w14:textId="147017AD" w:rsidR="00C30EAD" w:rsidRPr="004C26FF" w:rsidRDefault="00624D49" w:rsidP="007C008D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</w:rPr>
      </w:pPr>
      <w:r w:rsidRPr="00C30EAD">
        <w:rPr>
          <w:rFonts w:cs="Arial"/>
          <w:szCs w:val="22"/>
        </w:rPr>
        <w:t xml:space="preserve">vykazování finančních predikcí </w:t>
      </w:r>
      <w:r w:rsidR="00DA2D34" w:rsidRPr="004C26FF">
        <w:rPr>
          <w:rFonts w:cs="Arial"/>
          <w:szCs w:val="22"/>
        </w:rPr>
        <w:t>(</w:t>
      </w:r>
      <w:r w:rsidRPr="00C30EAD">
        <w:rPr>
          <w:rFonts w:cs="Arial"/>
          <w:szCs w:val="22"/>
        </w:rPr>
        <w:t xml:space="preserve">v souvislosti se způsobilostí </w:t>
      </w:r>
      <w:r w:rsidR="006709A9">
        <w:rPr>
          <w:rFonts w:cs="Arial"/>
          <w:szCs w:val="22"/>
        </w:rPr>
        <w:t xml:space="preserve">výdajů </w:t>
      </w:r>
      <w:r w:rsidRPr="00C30EAD">
        <w:rPr>
          <w:rFonts w:cs="Arial"/>
          <w:szCs w:val="22"/>
        </w:rPr>
        <w:t>vyhodnocovat rizika spojená s p</w:t>
      </w:r>
      <w:r w:rsidR="003C54A3" w:rsidRPr="00C30EAD">
        <w:rPr>
          <w:rFonts w:cs="Arial"/>
          <w:szCs w:val="22"/>
        </w:rPr>
        <w:t>lněním tzv. pravidla N+2/N+3</w:t>
      </w:r>
      <w:r w:rsidR="00DA2D34" w:rsidRPr="004C26FF">
        <w:rPr>
          <w:rFonts w:cs="Arial"/>
          <w:szCs w:val="22"/>
        </w:rPr>
        <w:t>)</w:t>
      </w:r>
      <w:r w:rsidR="003C54A3" w:rsidRPr="00C30EAD">
        <w:rPr>
          <w:rFonts w:cs="Arial"/>
          <w:szCs w:val="22"/>
        </w:rPr>
        <w:t xml:space="preserve"> a</w:t>
      </w:r>
    </w:p>
    <w:p w14:paraId="04F76F4A" w14:textId="40649546" w:rsidR="00C30EAD" w:rsidRPr="00C30EAD" w:rsidRDefault="003C54A3" w:rsidP="007C008D">
      <w:pPr>
        <w:pStyle w:val="Odstavecseseznamem"/>
        <w:numPr>
          <w:ilvl w:val="0"/>
          <w:numId w:val="18"/>
        </w:numPr>
        <w:ind w:left="284" w:hanging="284"/>
        <w:rPr>
          <w:rFonts w:cs="Arial"/>
          <w:szCs w:val="22"/>
        </w:rPr>
      </w:pPr>
      <w:r w:rsidRPr="00C30EAD">
        <w:rPr>
          <w:rFonts w:cs="Arial"/>
          <w:szCs w:val="22"/>
        </w:rPr>
        <w:t>tzv. křížového financování.</w:t>
      </w:r>
      <w:r w:rsidR="007C4F88" w:rsidRPr="00C30EAD">
        <w:rPr>
          <w:rFonts w:cs="Arial"/>
          <w:szCs w:val="22"/>
        </w:rPr>
        <w:t xml:space="preserve"> </w:t>
      </w:r>
    </w:p>
    <w:p w14:paraId="33E122D0" w14:textId="77777777" w:rsidR="00C30EAD" w:rsidRPr="00C30EAD" w:rsidRDefault="00C30EAD" w:rsidP="007C008D">
      <w:pPr>
        <w:rPr>
          <w:rFonts w:cs="Arial"/>
          <w:szCs w:val="22"/>
        </w:rPr>
      </w:pPr>
    </w:p>
    <w:p w14:paraId="6F9D24ED" w14:textId="4D47E43F" w:rsidR="007C4F88" w:rsidRPr="00C30EAD" w:rsidRDefault="00491D84" w:rsidP="007C008D">
      <w:pPr>
        <w:rPr>
          <w:rFonts w:cs="Arial"/>
          <w:szCs w:val="22"/>
        </w:rPr>
      </w:pPr>
      <w:r w:rsidRPr="00C30EAD">
        <w:rPr>
          <w:rFonts w:cs="Arial"/>
          <w:b/>
          <w:szCs w:val="22"/>
        </w:rPr>
        <w:t>N</w:t>
      </w:r>
      <w:r w:rsidR="007C4F88" w:rsidRPr="00C30EAD">
        <w:rPr>
          <w:rFonts w:cs="Arial"/>
          <w:b/>
          <w:szCs w:val="22"/>
        </w:rPr>
        <w:t>edostatky</w:t>
      </w:r>
      <w:r w:rsidR="007C4F88" w:rsidRPr="00C30EAD">
        <w:rPr>
          <w:rFonts w:cs="Arial"/>
          <w:szCs w:val="22"/>
        </w:rPr>
        <w:t xml:space="preserve"> zjištěné v nastaveném implementačním systému</w:t>
      </w:r>
      <w:r w:rsidR="00C628CF" w:rsidRPr="00C30EAD">
        <w:rPr>
          <w:rFonts w:cs="Arial"/>
          <w:szCs w:val="22"/>
        </w:rPr>
        <w:t xml:space="preserve">, </w:t>
      </w:r>
      <w:r w:rsidR="007C4F88" w:rsidRPr="00C30EAD">
        <w:rPr>
          <w:rFonts w:cs="Arial"/>
          <w:szCs w:val="22"/>
        </w:rPr>
        <w:t xml:space="preserve">v činnosti MŠMT jako řídicího orgánu </w:t>
      </w:r>
      <w:r w:rsidR="00C628CF" w:rsidRPr="00C30EAD">
        <w:rPr>
          <w:rFonts w:cs="Arial"/>
          <w:szCs w:val="22"/>
        </w:rPr>
        <w:t>i nedostatky zjištěné u příjemců podpory z</w:t>
      </w:r>
      <w:r w:rsidR="00423BF3" w:rsidRPr="00C30EAD">
        <w:rPr>
          <w:rFonts w:cs="Arial"/>
          <w:szCs w:val="22"/>
        </w:rPr>
        <w:t> </w:t>
      </w:r>
      <w:proofErr w:type="gramStart"/>
      <w:r w:rsidR="00C628CF" w:rsidRPr="00C30EAD">
        <w:rPr>
          <w:rFonts w:cs="Arial"/>
          <w:szCs w:val="22"/>
        </w:rPr>
        <w:t>OP</w:t>
      </w:r>
      <w:proofErr w:type="gramEnd"/>
      <w:r w:rsidR="00423BF3" w:rsidRPr="00C30EAD">
        <w:rPr>
          <w:rFonts w:cs="Arial"/>
          <w:szCs w:val="22"/>
        </w:rPr>
        <w:t> </w:t>
      </w:r>
      <w:r w:rsidR="00C628CF" w:rsidRPr="00C30EAD">
        <w:rPr>
          <w:rFonts w:cs="Arial"/>
          <w:szCs w:val="22"/>
        </w:rPr>
        <w:t xml:space="preserve">VaVpI </w:t>
      </w:r>
      <w:r w:rsidR="007C4F88" w:rsidRPr="00C30EAD">
        <w:rPr>
          <w:rFonts w:cs="Arial"/>
          <w:b/>
          <w:szCs w:val="22"/>
        </w:rPr>
        <w:t xml:space="preserve">nepředstavují </w:t>
      </w:r>
      <w:r w:rsidR="0092605A" w:rsidRPr="00C30EAD">
        <w:rPr>
          <w:rFonts w:cs="Arial"/>
          <w:b/>
          <w:szCs w:val="22"/>
        </w:rPr>
        <w:t xml:space="preserve">významnější riziko </w:t>
      </w:r>
      <w:r w:rsidR="007C4F88" w:rsidRPr="00C30EAD">
        <w:rPr>
          <w:rFonts w:cs="Arial"/>
          <w:b/>
          <w:szCs w:val="22"/>
        </w:rPr>
        <w:t>ohro</w:t>
      </w:r>
      <w:r w:rsidR="0092605A" w:rsidRPr="00C30EAD">
        <w:rPr>
          <w:rFonts w:cs="Arial"/>
          <w:b/>
          <w:szCs w:val="22"/>
        </w:rPr>
        <w:t>žení</w:t>
      </w:r>
      <w:r w:rsidR="007C4F88" w:rsidRPr="00C30EAD">
        <w:rPr>
          <w:rFonts w:cs="Arial"/>
          <w:b/>
          <w:szCs w:val="22"/>
        </w:rPr>
        <w:t xml:space="preserve"> čerpání </w:t>
      </w:r>
      <w:r w:rsidR="0092605A" w:rsidRPr="00C30EAD">
        <w:rPr>
          <w:rFonts w:cs="Arial"/>
          <w:b/>
          <w:szCs w:val="22"/>
        </w:rPr>
        <w:t xml:space="preserve">finančních </w:t>
      </w:r>
      <w:r w:rsidR="007C4F88" w:rsidRPr="00C30EAD">
        <w:rPr>
          <w:rFonts w:cs="Arial"/>
          <w:b/>
          <w:szCs w:val="22"/>
        </w:rPr>
        <w:t>prostředků</w:t>
      </w:r>
      <w:r w:rsidR="007C4F88" w:rsidRPr="00C30EAD">
        <w:rPr>
          <w:rFonts w:cs="Arial"/>
          <w:szCs w:val="22"/>
        </w:rPr>
        <w:t xml:space="preserve"> </w:t>
      </w:r>
      <w:r w:rsidR="007C4F88" w:rsidRPr="00C30EAD">
        <w:rPr>
          <w:rFonts w:cs="Arial"/>
          <w:b/>
          <w:szCs w:val="22"/>
        </w:rPr>
        <w:t>poskytovaných z rozpočtu Evropské unie</w:t>
      </w:r>
      <w:r w:rsidR="007C4F88" w:rsidRPr="009D0852">
        <w:rPr>
          <w:rFonts w:cs="Arial"/>
          <w:b/>
          <w:szCs w:val="22"/>
        </w:rPr>
        <w:t>.</w:t>
      </w:r>
      <w:r w:rsidR="00C628CF" w:rsidRPr="00C30EAD">
        <w:rPr>
          <w:rFonts w:cs="Arial"/>
          <w:szCs w:val="22"/>
        </w:rPr>
        <w:t xml:space="preserve"> </w:t>
      </w:r>
    </w:p>
    <w:p w14:paraId="7A9E789A" w14:textId="77777777" w:rsidR="00363CDD" w:rsidRPr="00C30EAD" w:rsidRDefault="00363CDD" w:rsidP="007C008D">
      <w:pPr>
        <w:autoSpaceDE w:val="0"/>
        <w:autoSpaceDN w:val="0"/>
        <w:adjustRightInd w:val="0"/>
        <w:spacing w:line="23" w:lineRule="atLeast"/>
        <w:rPr>
          <w:rFonts w:cs="Arial"/>
          <w:szCs w:val="22"/>
        </w:rPr>
      </w:pPr>
      <w:bookmarkStart w:id="5" w:name="_GoBack"/>
      <w:bookmarkEnd w:id="5"/>
    </w:p>
    <w:sectPr w:rsidR="00363CDD" w:rsidRPr="00C30EAD" w:rsidSect="002C529E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4A67" w14:textId="77777777" w:rsidR="00797EF6" w:rsidRDefault="00797EF6" w:rsidP="00AB4D3E">
      <w:r>
        <w:separator/>
      </w:r>
    </w:p>
  </w:endnote>
  <w:endnote w:type="continuationSeparator" w:id="0">
    <w:p w14:paraId="40EAB0C9" w14:textId="77777777" w:rsidR="00797EF6" w:rsidRDefault="00797EF6" w:rsidP="00AB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98A9" w14:textId="77777777" w:rsidR="00797EF6" w:rsidRDefault="00797EF6">
    <w:pPr>
      <w:pStyle w:val="Zpat"/>
      <w:jc w:val="center"/>
    </w:pPr>
  </w:p>
  <w:p w14:paraId="18803D99" w14:textId="77777777" w:rsidR="00797EF6" w:rsidRDefault="00797EF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2CB">
      <w:rPr>
        <w:noProof/>
      </w:rPr>
      <w:t>11</w:t>
    </w:r>
    <w:r>
      <w:rPr>
        <w:noProof/>
      </w:rPr>
      <w:fldChar w:fldCharType="end"/>
    </w:r>
  </w:p>
  <w:p w14:paraId="0AC7E4E3" w14:textId="77777777" w:rsidR="00797EF6" w:rsidRDefault="00797E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1510D" w14:textId="77777777" w:rsidR="00797EF6" w:rsidRDefault="00797EF6" w:rsidP="00AB4D3E">
      <w:r>
        <w:separator/>
      </w:r>
    </w:p>
  </w:footnote>
  <w:footnote w:type="continuationSeparator" w:id="0">
    <w:p w14:paraId="5361BBA1" w14:textId="77777777" w:rsidR="00797EF6" w:rsidRDefault="00797EF6" w:rsidP="00AB4D3E">
      <w:r>
        <w:continuationSeparator/>
      </w:r>
    </w:p>
  </w:footnote>
  <w:footnote w:id="1">
    <w:p w14:paraId="1EE502A8" w14:textId="52DECDE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Kontrola byla provedena na vzorku 17 projektových žádostí, z toho 6 žádostí předložili žadatelé o podporu z prioritní osy 1 v rámci druhé výzvy a 11 žádostí o podporu z prioritní osy 2 předložili žadatelé v rámci první a</w:t>
      </w:r>
      <w:r>
        <w:rPr>
          <w:spacing w:val="0"/>
        </w:rPr>
        <w:t> </w:t>
      </w:r>
      <w:r w:rsidRPr="009D0852">
        <w:rPr>
          <w:spacing w:val="0"/>
        </w:rPr>
        <w:t xml:space="preserve">třetí výzvy. </w:t>
      </w:r>
    </w:p>
  </w:footnote>
  <w:footnote w:id="2">
    <w:p w14:paraId="52A3B734" w14:textId="77777777" w:rsidR="00797EF6" w:rsidRPr="009D0852" w:rsidRDefault="00797EF6" w:rsidP="00672490">
      <w:pPr>
        <w:pStyle w:val="Poznmkapodarou-text"/>
        <w:rPr>
          <w:spacing w:val="0"/>
        </w:rPr>
      </w:pPr>
      <w:r w:rsidRPr="007735E7">
        <w:rPr>
          <w:rStyle w:val="Znakapoznpodarou"/>
        </w:rPr>
        <w:footnoteRef/>
      </w:r>
      <w:r w:rsidRPr="007735E7">
        <w:t xml:space="preserve"> </w:t>
      </w:r>
      <w:r>
        <w:tab/>
      </w:r>
      <w:r w:rsidRPr="009D0852">
        <w:rPr>
          <w:i/>
          <w:spacing w:val="0"/>
        </w:rPr>
        <w:t>Národní strategický referenční rámec</w:t>
      </w:r>
      <w:r w:rsidRPr="009D0852">
        <w:rPr>
          <w:spacing w:val="0"/>
        </w:rPr>
        <w:t xml:space="preserve"> představuje základní programový dokument České republiky pro využívání fondů Evropské unie v období 2007–2013. </w:t>
      </w:r>
    </w:p>
  </w:footnote>
  <w:footnote w:id="3">
    <w:p w14:paraId="6DB82D5D" w14:textId="3B2AD67A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 xml:space="preserve">Cíl </w:t>
      </w:r>
      <w:r w:rsidRPr="009D0852">
        <w:rPr>
          <w:i/>
          <w:spacing w:val="0"/>
        </w:rPr>
        <w:t>Konvergence</w:t>
      </w:r>
      <w:r w:rsidRPr="009D0852">
        <w:rPr>
          <w:spacing w:val="0"/>
        </w:rPr>
        <w:t xml:space="preserve"> je prvním cílem </w:t>
      </w:r>
      <w:r>
        <w:rPr>
          <w:spacing w:val="0"/>
        </w:rPr>
        <w:t>p</w:t>
      </w:r>
      <w:r w:rsidRPr="009D0852">
        <w:rPr>
          <w:spacing w:val="0"/>
        </w:rPr>
        <w:t>olitiky hospodářské a sociální soudržnosti EU v programov</w:t>
      </w:r>
      <w:r>
        <w:rPr>
          <w:spacing w:val="0"/>
        </w:rPr>
        <w:t>ém</w:t>
      </w:r>
      <w:r w:rsidRPr="009D0852">
        <w:rPr>
          <w:spacing w:val="0"/>
        </w:rPr>
        <w:t xml:space="preserve"> období </w:t>
      </w:r>
    </w:p>
    <w:p w14:paraId="4DB14311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spacing w:val="0"/>
        </w:rPr>
        <w:tab/>
        <w:t xml:space="preserve">2007–2013. </w:t>
      </w:r>
    </w:p>
  </w:footnote>
  <w:footnote w:id="4">
    <w:p w14:paraId="2466CDCD" w14:textId="31418F7F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 xml:space="preserve">ERDF </w:t>
      </w:r>
      <w:r>
        <w:rPr>
          <w:spacing w:val="0"/>
        </w:rPr>
        <w:t xml:space="preserve">– </w:t>
      </w:r>
      <w:r w:rsidRPr="009D0852">
        <w:rPr>
          <w:spacing w:val="0"/>
        </w:rPr>
        <w:t xml:space="preserve">z anglického </w:t>
      </w:r>
      <w:r w:rsidRPr="009D0852">
        <w:rPr>
          <w:i/>
          <w:spacing w:val="0"/>
          <w:lang w:val="en-GB"/>
        </w:rPr>
        <w:t>European Regional Development Fund</w:t>
      </w:r>
      <w:r w:rsidRPr="009D0852">
        <w:rPr>
          <w:spacing w:val="0"/>
        </w:rPr>
        <w:t xml:space="preserve">. </w:t>
      </w:r>
    </w:p>
  </w:footnote>
  <w:footnote w:id="5">
    <w:p w14:paraId="16F1F729" w14:textId="4536F11D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 xml:space="preserve">Evropský výzkumný prostor (z anglického European Research Area) je integrální součástí </w:t>
      </w:r>
      <w:r w:rsidRPr="009D0852">
        <w:rPr>
          <w:i/>
          <w:spacing w:val="0"/>
        </w:rPr>
        <w:t>Lisabonské strategie</w:t>
      </w:r>
      <w:r w:rsidRPr="009D0852">
        <w:rPr>
          <w:spacing w:val="0"/>
        </w:rPr>
        <w:t xml:space="preserve"> </w:t>
      </w:r>
      <w:r>
        <w:rPr>
          <w:spacing w:val="0"/>
        </w:rPr>
        <w:t xml:space="preserve">v oblasti </w:t>
      </w:r>
      <w:r w:rsidRPr="009D0852">
        <w:rPr>
          <w:spacing w:val="0"/>
        </w:rPr>
        <w:t>podpory evropské konkurenceschopnosti.</w:t>
      </w:r>
    </w:p>
  </w:footnote>
  <w:footnote w:id="6">
    <w:p w14:paraId="5BA39086" w14:textId="05EB4684" w:rsidR="00797EF6" w:rsidRDefault="00797EF6" w:rsidP="00672490">
      <w:pPr>
        <w:pStyle w:val="Poznmkapodarou-text"/>
      </w:pPr>
      <w:r w:rsidRPr="009D0852">
        <w:rPr>
          <w:rStyle w:val="Znakapoznpodarou"/>
          <w:spacing w:val="0"/>
        </w:rPr>
        <w:footnoteRef/>
      </w:r>
      <w:r w:rsidRPr="009D0852">
        <w:rPr>
          <w:rStyle w:val="Znakapoznpodarou"/>
          <w:spacing w:val="0"/>
        </w:rPr>
        <w:t xml:space="preserve"> </w:t>
      </w:r>
      <w:r w:rsidRPr="009D0852">
        <w:rPr>
          <w:rStyle w:val="Znakapoznpodarou"/>
          <w:spacing w:val="0"/>
          <w:vertAlign w:val="baseline"/>
        </w:rPr>
        <w:tab/>
      </w:r>
      <w:r w:rsidRPr="009D0852">
        <w:rPr>
          <w:spacing w:val="0"/>
        </w:rPr>
        <w:t xml:space="preserve">Evropské strategické fórum o výzkumných infrastrukturách (z anglického </w:t>
      </w:r>
      <w:proofErr w:type="spellStart"/>
      <w:r w:rsidRPr="009D0852">
        <w:rPr>
          <w:spacing w:val="0"/>
        </w:rPr>
        <w:t>European</w:t>
      </w:r>
      <w:proofErr w:type="spellEnd"/>
      <w:r w:rsidRPr="009D0852">
        <w:rPr>
          <w:spacing w:val="0"/>
        </w:rPr>
        <w:t xml:space="preserve"> </w:t>
      </w:r>
      <w:proofErr w:type="spellStart"/>
      <w:r w:rsidRPr="009D0852">
        <w:rPr>
          <w:spacing w:val="0"/>
        </w:rPr>
        <w:t>Strategy</w:t>
      </w:r>
      <w:proofErr w:type="spellEnd"/>
      <w:r w:rsidRPr="009D0852">
        <w:rPr>
          <w:spacing w:val="0"/>
        </w:rPr>
        <w:t xml:space="preserve"> </w:t>
      </w:r>
      <w:proofErr w:type="spellStart"/>
      <w:r w:rsidRPr="009D0852">
        <w:rPr>
          <w:spacing w:val="0"/>
        </w:rPr>
        <w:t>Forum</w:t>
      </w:r>
      <w:proofErr w:type="spellEnd"/>
      <w:r w:rsidRPr="009D0852">
        <w:rPr>
          <w:spacing w:val="0"/>
        </w:rPr>
        <w:t xml:space="preserve"> on </w:t>
      </w:r>
      <w:proofErr w:type="spellStart"/>
      <w:r w:rsidRPr="009D0852">
        <w:rPr>
          <w:spacing w:val="0"/>
        </w:rPr>
        <w:t>Research</w:t>
      </w:r>
      <w:proofErr w:type="spellEnd"/>
      <w:r w:rsidRPr="009D0852">
        <w:rPr>
          <w:spacing w:val="0"/>
        </w:rPr>
        <w:t xml:space="preserve"> </w:t>
      </w:r>
      <w:proofErr w:type="spellStart"/>
      <w:r w:rsidRPr="009D0852">
        <w:rPr>
          <w:spacing w:val="0"/>
        </w:rPr>
        <w:t>Infrastructures</w:t>
      </w:r>
      <w:proofErr w:type="spellEnd"/>
      <w:r w:rsidRPr="009D0852">
        <w:rPr>
          <w:spacing w:val="0"/>
        </w:rPr>
        <w:t>)</w:t>
      </w:r>
      <w:r w:rsidR="00CA0847">
        <w:rPr>
          <w:spacing w:val="0"/>
        </w:rPr>
        <w:t>;</w:t>
      </w:r>
      <w:r w:rsidRPr="009D0852">
        <w:rPr>
          <w:spacing w:val="0"/>
        </w:rPr>
        <w:t xml:space="preserve"> z jeho iniciativy vznikla v roce 2006 </w:t>
      </w:r>
      <w:r w:rsidRPr="009D0852">
        <w:rPr>
          <w:i/>
          <w:spacing w:val="0"/>
        </w:rPr>
        <w:t>Cestovní mapa velkých evropských výzkumných infrastruktur</w:t>
      </w:r>
      <w:r w:rsidRPr="009D0852">
        <w:rPr>
          <w:spacing w:val="0"/>
        </w:rPr>
        <w:t>.</w:t>
      </w:r>
    </w:p>
  </w:footnote>
  <w:footnote w:id="7">
    <w:p w14:paraId="2CEC3A19" w14:textId="542FB4C6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 xml:space="preserve">Certifikované prostředky představují výdaje, u kterých byla </w:t>
      </w:r>
      <w:r w:rsidRPr="00C36885">
        <w:rPr>
          <w:spacing w:val="0"/>
        </w:rPr>
        <w:t xml:space="preserve">Evropské komisi </w:t>
      </w:r>
      <w:r w:rsidRPr="00026F88">
        <w:rPr>
          <w:spacing w:val="0"/>
        </w:rPr>
        <w:t xml:space="preserve">potvrzena </w:t>
      </w:r>
      <w:r w:rsidRPr="003F0713">
        <w:rPr>
          <w:spacing w:val="0"/>
        </w:rPr>
        <w:t>jejich správnost</w:t>
      </w:r>
      <w:r>
        <w:rPr>
          <w:spacing w:val="0"/>
        </w:rPr>
        <w:t xml:space="preserve"> p</w:t>
      </w:r>
      <w:r w:rsidRPr="009D0852">
        <w:rPr>
          <w:spacing w:val="0"/>
        </w:rPr>
        <w:t xml:space="preserve">latebním a certifikačním orgánem </w:t>
      </w:r>
      <w:r>
        <w:rPr>
          <w:spacing w:val="0"/>
        </w:rPr>
        <w:t>(tj.</w:t>
      </w:r>
      <w:r w:rsidRPr="009D0852">
        <w:rPr>
          <w:spacing w:val="0"/>
        </w:rPr>
        <w:t xml:space="preserve"> Ministerstv</w:t>
      </w:r>
      <w:r>
        <w:rPr>
          <w:spacing w:val="0"/>
        </w:rPr>
        <w:t>em</w:t>
      </w:r>
      <w:r w:rsidRPr="009D0852">
        <w:rPr>
          <w:spacing w:val="0"/>
        </w:rPr>
        <w:t xml:space="preserve"> financí ČR</w:t>
      </w:r>
      <w:r>
        <w:rPr>
          <w:spacing w:val="0"/>
        </w:rPr>
        <w:t>)</w:t>
      </w:r>
      <w:r w:rsidRPr="009D0852">
        <w:rPr>
          <w:spacing w:val="0"/>
        </w:rPr>
        <w:t>.</w:t>
      </w:r>
    </w:p>
  </w:footnote>
  <w:footnote w:id="8">
    <w:p w14:paraId="45AC41AB" w14:textId="6C6F00BC" w:rsidR="00797EF6" w:rsidRPr="009D0852" w:rsidRDefault="00797EF6" w:rsidP="004C26FF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Usnesení vlády ze dne 2. dubna 2008 č. 362.</w:t>
      </w:r>
    </w:p>
  </w:footnote>
  <w:footnote w:id="9">
    <w:p w14:paraId="7D7DAD9D" w14:textId="6DE99C38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Článek 5 odst. 2 nařízení Komise (ES) č. 1828/2006</w:t>
      </w:r>
      <w:r>
        <w:rPr>
          <w:spacing w:val="0"/>
        </w:rPr>
        <w:t>,</w:t>
      </w:r>
      <w:r w:rsidRPr="009D0852">
        <w:rPr>
          <w:spacing w:val="0"/>
        </w:rPr>
        <w:t xml:space="preserve"> </w:t>
      </w:r>
      <w:r>
        <w:rPr>
          <w:spacing w:val="0"/>
        </w:rPr>
        <w:t>kterým se stanoví</w:t>
      </w:r>
      <w:r w:rsidRPr="009D0852">
        <w:rPr>
          <w:spacing w:val="0"/>
        </w:rPr>
        <w:t xml:space="preserve"> prováděcí pravidla </w:t>
      </w:r>
      <w:r>
        <w:rPr>
          <w:spacing w:val="0"/>
        </w:rPr>
        <w:t>k n</w:t>
      </w:r>
      <w:r w:rsidRPr="009D0852">
        <w:rPr>
          <w:spacing w:val="0"/>
        </w:rPr>
        <w:t xml:space="preserve">ařízení Rady (ES) č. 1083/2006 o obecných ustanoveních </w:t>
      </w:r>
      <w:r>
        <w:rPr>
          <w:spacing w:val="0"/>
        </w:rPr>
        <w:t>týkajících se</w:t>
      </w:r>
      <w:r w:rsidRPr="009D0852">
        <w:rPr>
          <w:spacing w:val="0"/>
        </w:rPr>
        <w:t xml:space="preserve"> Evropské</w:t>
      </w:r>
      <w:r>
        <w:rPr>
          <w:spacing w:val="0"/>
        </w:rPr>
        <w:t>ho</w:t>
      </w:r>
      <w:r w:rsidRPr="009D0852">
        <w:rPr>
          <w:spacing w:val="0"/>
        </w:rPr>
        <w:t xml:space="preserve"> fondu pro</w:t>
      </w:r>
      <w:r>
        <w:rPr>
          <w:spacing w:val="0"/>
        </w:rPr>
        <w:t xml:space="preserve"> </w:t>
      </w:r>
      <w:r w:rsidRPr="009D0852">
        <w:rPr>
          <w:spacing w:val="0"/>
        </w:rPr>
        <w:t>regionální rozvoj, Evropské</w:t>
      </w:r>
      <w:r>
        <w:rPr>
          <w:spacing w:val="0"/>
        </w:rPr>
        <w:t>ho</w:t>
      </w:r>
      <w:r w:rsidRPr="009D0852">
        <w:rPr>
          <w:spacing w:val="0"/>
        </w:rPr>
        <w:t xml:space="preserve"> sociální</w:t>
      </w:r>
      <w:r>
        <w:rPr>
          <w:spacing w:val="0"/>
        </w:rPr>
        <w:t>ho</w:t>
      </w:r>
      <w:r w:rsidRPr="009D0852">
        <w:rPr>
          <w:spacing w:val="0"/>
        </w:rPr>
        <w:t xml:space="preserve"> fondu a Fondu soudržnosti a</w:t>
      </w:r>
      <w:r>
        <w:rPr>
          <w:spacing w:val="0"/>
        </w:rPr>
        <w:t xml:space="preserve"> k</w:t>
      </w:r>
      <w:r w:rsidRPr="009D0852">
        <w:rPr>
          <w:spacing w:val="0"/>
        </w:rPr>
        <w:t xml:space="preserve"> </w:t>
      </w:r>
      <w:r>
        <w:rPr>
          <w:spacing w:val="0"/>
        </w:rPr>
        <w:t>n</w:t>
      </w:r>
      <w:r w:rsidRPr="009D0852">
        <w:rPr>
          <w:spacing w:val="0"/>
        </w:rPr>
        <w:t>ařízení Evropského parlamentu a Rady (ES) č.</w:t>
      </w:r>
      <w:r>
        <w:rPr>
          <w:spacing w:val="0"/>
        </w:rPr>
        <w:t> </w:t>
      </w:r>
      <w:r w:rsidRPr="009D0852">
        <w:rPr>
          <w:spacing w:val="0"/>
        </w:rPr>
        <w:t xml:space="preserve">1080/2006 o Evropském fondu pro regionální rozvoj. </w:t>
      </w:r>
    </w:p>
  </w:footnote>
  <w:footnote w:id="10">
    <w:p w14:paraId="597A6CC0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 xml:space="preserve">Článek 9 nařízení Komise (ES) č. 1828/2006. </w:t>
      </w:r>
    </w:p>
  </w:footnote>
  <w:footnote w:id="11">
    <w:p w14:paraId="48AAE03C" w14:textId="361AFB58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Článek 27 odst. 3 nařízení Rady (ES, EURATOM) č. 1605/2002</w:t>
      </w:r>
      <w:r>
        <w:rPr>
          <w:spacing w:val="0"/>
        </w:rPr>
        <w:t>,</w:t>
      </w:r>
      <w:r w:rsidRPr="009D0852">
        <w:rPr>
          <w:spacing w:val="0"/>
        </w:rPr>
        <w:t xml:space="preserve"> kterým se stanoví finanční nařízení o</w:t>
      </w:r>
      <w:r>
        <w:rPr>
          <w:spacing w:val="0"/>
        </w:rPr>
        <w:t> </w:t>
      </w:r>
      <w:r w:rsidRPr="009D0852">
        <w:rPr>
          <w:spacing w:val="0"/>
        </w:rPr>
        <w:t>souhrnném rozpočtu Evropských společenství.</w:t>
      </w:r>
    </w:p>
  </w:footnote>
  <w:footnote w:id="12">
    <w:p w14:paraId="5E693982" w14:textId="18BBFB5D" w:rsidR="00797EF6" w:rsidRPr="009D0852" w:rsidRDefault="00797EF6" w:rsidP="00672490">
      <w:pPr>
        <w:pStyle w:val="Poznmkapodarou-text"/>
        <w:rPr>
          <w:i/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Článek 19 odst. 3 nařízení Komise (ES) č. 1828/2006.</w:t>
      </w:r>
    </w:p>
  </w:footnote>
  <w:footnote w:id="13">
    <w:p w14:paraId="05D016A8" w14:textId="710FD0F4" w:rsidR="00797EF6" w:rsidRPr="009D0852" w:rsidRDefault="00797EF6" w:rsidP="00672490">
      <w:pPr>
        <w:pStyle w:val="Poznmkapodarou-text"/>
        <w:rPr>
          <w:i/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Článek 60 písm. a) nařízení Rady (ES) č. 1083/2006</w:t>
      </w:r>
      <w:r>
        <w:rPr>
          <w:spacing w:val="0"/>
        </w:rPr>
        <w:t>,</w:t>
      </w:r>
      <w:r w:rsidRPr="009D0852">
        <w:rPr>
          <w:spacing w:val="0"/>
        </w:rPr>
        <w:t xml:space="preserve"> o obecných ustanoveních o Evropském fondu pro regionální rozvoj, Evropském sociálním fondu a Fondu soudržnosti a o zrušení nařízení (ES) č. 1260/1999.</w:t>
      </w:r>
    </w:p>
  </w:footnote>
  <w:footnote w:id="14">
    <w:p w14:paraId="7874E67A" w14:textId="001385F9" w:rsidR="00797EF6" w:rsidRPr="009D0852" w:rsidRDefault="00797EF6" w:rsidP="004C26FF">
      <w:pPr>
        <w:pStyle w:val="Poznmkapodarou-text"/>
        <w:rPr>
          <w:spacing w:val="0"/>
          <w:u w:val="single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Usnesení vlády ze dne 23. listopadu 2009 č. 1442.</w:t>
      </w:r>
    </w:p>
  </w:footnote>
  <w:footnote w:id="15">
    <w:p w14:paraId="1B01EA20" w14:textId="17DCE5A1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Článek 13 odst. 2 nařízení Komise (ES) č. 1828/2006: „</w:t>
      </w:r>
      <w:r w:rsidRPr="009D0852">
        <w:rPr>
          <w:i/>
          <w:spacing w:val="0"/>
        </w:rPr>
        <w:t>Ověřování, které provádí řídící orgán podle čl. 60 písm. b) nařízení (ES) č. 1083/2006, se týká správních, finančních, technických a případně hmotných aspektů operací. Ověřování zaručí, že vykázané výdaje jsou skutečné, že produkty nebo služby byly poskytnuty v</w:t>
      </w:r>
      <w:r>
        <w:rPr>
          <w:i/>
          <w:spacing w:val="0"/>
        </w:rPr>
        <w:t> </w:t>
      </w:r>
      <w:r w:rsidRPr="009D0852">
        <w:rPr>
          <w:i/>
          <w:spacing w:val="0"/>
        </w:rPr>
        <w:t>souladu s rozhodnutím o schválení, že žádosti příjemce o úhradu jsou správné a že operace a výdaje jsou v</w:t>
      </w:r>
      <w:r>
        <w:rPr>
          <w:i/>
          <w:spacing w:val="0"/>
        </w:rPr>
        <w:t> </w:t>
      </w:r>
      <w:r w:rsidRPr="009D0852">
        <w:rPr>
          <w:i/>
          <w:spacing w:val="0"/>
        </w:rPr>
        <w:t>souladu s vnitrostátními pravidly a pravidly Společenství</w:t>
      </w:r>
      <w:r w:rsidRPr="009D0852">
        <w:rPr>
          <w:spacing w:val="0"/>
        </w:rPr>
        <w:t>.“</w:t>
      </w:r>
    </w:p>
  </w:footnote>
  <w:footnote w:id="16">
    <w:p w14:paraId="337F7EDB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Ve smyslu ustanovení § 44 odst. 1 písm. b) zákona č. 218/2000 Sb.</w:t>
      </w:r>
      <w:r w:rsidRPr="009D0852">
        <w:rPr>
          <w:rFonts w:eastAsia="Calibri"/>
          <w:spacing w:val="0"/>
        </w:rPr>
        <w:t>, o rozpočtových pravidlech a o změně některých souvisejících zákonů (rozpočtová pravidla).</w:t>
      </w:r>
      <w:r w:rsidRPr="009D0852">
        <w:rPr>
          <w:spacing w:val="0"/>
        </w:rPr>
        <w:t xml:space="preserve"> </w:t>
      </w:r>
    </w:p>
  </w:footnote>
  <w:footnote w:id="17">
    <w:p w14:paraId="3D3257FF" w14:textId="77777777" w:rsidR="00797EF6" w:rsidRPr="009D0852" w:rsidRDefault="00797EF6" w:rsidP="007A1DB9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Článek 2 bod 7 nařízení Rady (ES) č. 1083/2006.</w:t>
      </w:r>
    </w:p>
  </w:footnote>
  <w:footnote w:id="18">
    <w:p w14:paraId="4F66B391" w14:textId="107C3DED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Ustanovení § 6 odst. 3 vyhlášky č. 416/2004 Sb., kterou se provádí zákon č. 320/2001 Sb., o finanční kontrole</w:t>
      </w:r>
      <w:r>
        <w:rPr>
          <w:spacing w:val="0"/>
        </w:rPr>
        <w:t xml:space="preserve"> </w:t>
      </w:r>
      <w:r w:rsidRPr="00E60513">
        <w:rPr>
          <w:spacing w:val="0"/>
        </w:rPr>
        <w:t>ve veřejné správě a o změně některých zákonů (zákon o finanční kontrole), ve znění zákona č. 309/2002 Sb., zákona č. 320/2002 Sb. a zákona č. 123/2003 Sb</w:t>
      </w:r>
      <w:r w:rsidRPr="009D0852">
        <w:rPr>
          <w:spacing w:val="0"/>
        </w:rPr>
        <w:t>.</w:t>
      </w:r>
    </w:p>
  </w:footnote>
  <w:footnote w:id="19">
    <w:p w14:paraId="3203AB07" w14:textId="0510856B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 xml:space="preserve">Údaje o nejčastější výši odměn byly pro účely kontroly NKÚ převzaty z </w:t>
      </w:r>
      <w:r w:rsidRPr="009D0852">
        <w:rPr>
          <w:i/>
          <w:spacing w:val="0"/>
        </w:rPr>
        <w:t>Informačního systému o průměrném výdělku</w:t>
      </w:r>
      <w:r w:rsidRPr="009D0852">
        <w:rPr>
          <w:spacing w:val="0"/>
        </w:rPr>
        <w:t xml:space="preserve"> (ISPV). ISPV </w:t>
      </w:r>
      <w:r w:rsidRPr="009D0852">
        <w:rPr>
          <w:spacing w:val="0"/>
          <w:shd w:val="clear" w:color="auto" w:fill="FFFFFF"/>
        </w:rPr>
        <w:t xml:space="preserve">je systém pravidelného monitorování výdělkové úrovně a pracovní doby zaměstnanců v ČR formou statistického šetření, </w:t>
      </w:r>
      <w:r>
        <w:rPr>
          <w:spacing w:val="0"/>
          <w:shd w:val="clear" w:color="auto" w:fill="FFFFFF"/>
        </w:rPr>
        <w:t xml:space="preserve">správcem tohoto systému </w:t>
      </w:r>
      <w:r w:rsidRPr="009D0852">
        <w:rPr>
          <w:spacing w:val="0"/>
          <w:shd w:val="clear" w:color="auto" w:fill="FFFFFF"/>
        </w:rPr>
        <w:t>je Ministerstvo práce a sociálních věcí.</w:t>
      </w:r>
    </w:p>
  </w:footnote>
  <w:footnote w:id="20">
    <w:p w14:paraId="51C4EDDB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Ve smyslu ustanovení § 44 odst. 1 písm. f) zákona č. 218/2000 Sb.</w:t>
      </w:r>
      <w:r w:rsidRPr="009D0852">
        <w:rPr>
          <w:rFonts w:eastAsia="Calibri"/>
          <w:spacing w:val="0"/>
        </w:rPr>
        <w:t>, o rozpočtových pravidlech a o změně některých souvisejících zákonů (rozpočtová pravidla).</w:t>
      </w:r>
    </w:p>
  </w:footnote>
  <w:footnote w:id="21">
    <w:p w14:paraId="0AE5BAE3" w14:textId="65DB1643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Ve smyslu ustanovení článku 2 bod 7 nařízení Rady (ES) č. 1083/2006.</w:t>
      </w:r>
    </w:p>
  </w:footnote>
  <w:footnote w:id="22">
    <w:p w14:paraId="2A3F3F27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Zákon č. 320/2001 Sb., o finanční kontrole ve veřejné správě a o změně některých zákonů, a zákon č. 552/1991 Sb., o státní kontrole.</w:t>
      </w:r>
    </w:p>
  </w:footnote>
  <w:footnote w:id="23">
    <w:p w14:paraId="576686D8" w14:textId="2AB64E78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Příkladem možno uvést právo příjemce nahlédnout do pověření kontrolujícího k výkonu kontroly, možnost namítat podjatost kontrolujícího, vznést námitky ke zjištěným skutečnostem, povinnost MŠMT pořizovat protokol o provedené kontrole apod.</w:t>
      </w:r>
    </w:p>
  </w:footnote>
  <w:footnote w:id="24">
    <w:p w14:paraId="27F36C5E" w14:textId="7CCEF5BD" w:rsidR="00797EF6" w:rsidRPr="009D0852" w:rsidRDefault="00797EF6" w:rsidP="00661F9A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 xml:space="preserve">Kontrolní akce č. 11/17 </w:t>
      </w:r>
      <w:r>
        <w:rPr>
          <w:spacing w:val="0"/>
        </w:rPr>
        <w:t xml:space="preserve">– </w:t>
      </w:r>
      <w:r w:rsidRPr="009D0852">
        <w:rPr>
          <w:i/>
          <w:spacing w:val="0"/>
        </w:rPr>
        <w:t>Peněžní prostředky Evropské unie a státního rozpočtu určené v rámci operačního programu Vzdělávání pro konkurenceschopnost na prioritní osu Počáteční vzdělávání</w:t>
      </w:r>
      <w:r w:rsidRPr="009D0852">
        <w:rPr>
          <w:spacing w:val="0"/>
        </w:rPr>
        <w:t xml:space="preserve"> (kontrolní závěr zveřejněn v</w:t>
      </w:r>
      <w:r>
        <w:rPr>
          <w:spacing w:val="0"/>
        </w:rPr>
        <w:t> částce</w:t>
      </w:r>
      <w:r w:rsidRPr="009D0852">
        <w:rPr>
          <w:spacing w:val="0"/>
        </w:rPr>
        <w:t xml:space="preserve"> </w:t>
      </w:r>
      <w:r w:rsidRPr="005928E9">
        <w:rPr>
          <w:spacing w:val="0"/>
        </w:rPr>
        <w:t>4/2012</w:t>
      </w:r>
      <w:r>
        <w:rPr>
          <w:spacing w:val="0"/>
        </w:rPr>
        <w:t xml:space="preserve"> </w:t>
      </w:r>
      <w:r w:rsidRPr="009D0852">
        <w:rPr>
          <w:i/>
          <w:spacing w:val="0"/>
        </w:rPr>
        <w:t>Věstníku NKÚ</w:t>
      </w:r>
      <w:r w:rsidRPr="009D0852">
        <w:rPr>
          <w:spacing w:val="0"/>
        </w:rPr>
        <w:t>).</w:t>
      </w:r>
    </w:p>
  </w:footnote>
  <w:footnote w:id="25">
    <w:p w14:paraId="134FF7D8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Článek 60 písm. g) nařízení Rady (ES) č. 1083/2006.</w:t>
      </w:r>
    </w:p>
  </w:footnote>
  <w:footnote w:id="26">
    <w:p w14:paraId="7DE3D81B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Ustanovení článku 58 písm. d) nařízení Rady (ES) č. 1083/2006.</w:t>
      </w:r>
    </w:p>
  </w:footnote>
  <w:footnote w:id="27">
    <w:p w14:paraId="28E67E51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Operační manuál OP VaVpI.</w:t>
      </w:r>
    </w:p>
  </w:footnote>
  <w:footnote w:id="28">
    <w:p w14:paraId="2D88C2AB" w14:textId="77777777" w:rsidR="00797EF6" w:rsidRPr="009D0852" w:rsidRDefault="00797EF6" w:rsidP="005A100D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Ustanovení článku 34 odst. 2 nařízení Rady (ES) č. 1083/2006.</w:t>
      </w:r>
    </w:p>
  </w:footnote>
  <w:footnote w:id="29">
    <w:p w14:paraId="72A0DA68" w14:textId="77777777" w:rsidR="00797EF6" w:rsidRPr="009D0852" w:rsidRDefault="00797EF6" w:rsidP="005A100D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</w:r>
      <w:r w:rsidRPr="009D0852">
        <w:rPr>
          <w:i/>
          <w:spacing w:val="0"/>
        </w:rPr>
        <w:t>Pokyny pro křížové financování na programové období 2007–2013</w:t>
      </w:r>
      <w:r w:rsidRPr="009D0852">
        <w:rPr>
          <w:spacing w:val="0"/>
        </w:rPr>
        <w:t xml:space="preserve"> vypracovalo Ministerstvo pro místní rozvoj za účelem vytvoření základního rámce pro aplikaci doplňkového způsobu financování prioritních os operačních programů při provádění </w:t>
      </w:r>
      <w:r w:rsidRPr="009D0852">
        <w:rPr>
          <w:i/>
          <w:spacing w:val="0"/>
        </w:rPr>
        <w:t>Evropského fondu pro regionální rozvoj</w:t>
      </w:r>
      <w:r w:rsidRPr="009D0852">
        <w:rPr>
          <w:spacing w:val="0"/>
        </w:rPr>
        <w:t xml:space="preserve"> a </w:t>
      </w:r>
      <w:r w:rsidRPr="009D0852">
        <w:rPr>
          <w:i/>
          <w:spacing w:val="0"/>
        </w:rPr>
        <w:t>Evropského sociálního fondu</w:t>
      </w:r>
      <w:r w:rsidRPr="009D0852">
        <w:rPr>
          <w:spacing w:val="0"/>
        </w:rPr>
        <w:t>.</w:t>
      </w:r>
    </w:p>
  </w:footnote>
  <w:footnote w:id="30">
    <w:p w14:paraId="1FE7C224" w14:textId="7A69ADDB" w:rsidR="00797EF6" w:rsidRPr="009D0852" w:rsidRDefault="00797EF6" w:rsidP="003C54A3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Křížové financování je definováno v článku 34 nařízení Rady (ES) č. 1083/2006 jako možnost z ERDF a </w:t>
      </w:r>
      <w:r w:rsidRPr="009D0852">
        <w:rPr>
          <w:i/>
          <w:spacing w:val="0"/>
        </w:rPr>
        <w:t>Evropského sociálního fondu</w:t>
      </w:r>
      <w:r w:rsidRPr="009D0852">
        <w:rPr>
          <w:spacing w:val="0"/>
        </w:rPr>
        <w:t xml:space="preserve"> </w:t>
      </w:r>
      <w:r w:rsidRPr="006E397B">
        <w:rPr>
          <w:spacing w:val="0"/>
        </w:rPr>
        <w:t xml:space="preserve">financovat </w:t>
      </w:r>
      <w:r w:rsidRPr="009D0852">
        <w:rPr>
          <w:spacing w:val="0"/>
        </w:rPr>
        <w:t xml:space="preserve">doplňkovým způsobem opatření spadající do oblasti pomoci z druhého z těchto fondů, pokud jsou tato opatření nezbytná pro uspokojivé provádění operace a přímo s ní souvisí. </w:t>
      </w:r>
    </w:p>
  </w:footnote>
  <w:footnote w:id="31">
    <w:p w14:paraId="190FAA62" w14:textId="77777777" w:rsidR="00797EF6" w:rsidRPr="009D0852" w:rsidRDefault="00797EF6" w:rsidP="008E7A5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</w:r>
      <w:r w:rsidRPr="009D0852">
        <w:rPr>
          <w:i/>
          <w:spacing w:val="0"/>
        </w:rPr>
        <w:t>Metodika finančních toků a kontroly programů spolufinancovaných ze strukturálních fondů, Fondu soudržnosti a Evropského rybářského fondu na programové období 2007–2013</w:t>
      </w:r>
      <w:r w:rsidRPr="009D0852">
        <w:rPr>
          <w:spacing w:val="0"/>
        </w:rPr>
        <w:t>.</w:t>
      </w:r>
    </w:p>
  </w:footnote>
  <w:footnote w:id="32">
    <w:p w14:paraId="09083A23" w14:textId="77777777" w:rsidR="00797EF6" w:rsidRPr="009D0852" w:rsidRDefault="00797EF6" w:rsidP="00672490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Projekty s finančním objemem nad 50 mil. €.</w:t>
      </w:r>
    </w:p>
  </w:footnote>
  <w:footnote w:id="33">
    <w:p w14:paraId="1BAAFD99" w14:textId="68ECC727" w:rsidR="00797EF6" w:rsidRPr="009D0852" w:rsidRDefault="00797EF6" w:rsidP="005D75C2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Zákon č. 137/2006 Sb., o veřejných zakáz</w:t>
      </w:r>
      <w:r>
        <w:rPr>
          <w:spacing w:val="0"/>
        </w:rPr>
        <w:t>kách</w:t>
      </w:r>
      <w:r w:rsidRPr="009D0852">
        <w:rPr>
          <w:spacing w:val="0"/>
        </w:rPr>
        <w:t>.</w:t>
      </w:r>
    </w:p>
  </w:footnote>
  <w:footnote w:id="34">
    <w:p w14:paraId="09CFA8DB" w14:textId="77777777" w:rsidR="00797EF6" w:rsidRPr="009D0852" w:rsidRDefault="00797EF6" w:rsidP="00EB2022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V částce 1 586 631 Kč jsou zohledněny identické vyčíslitelné nedostatky zjištěné u MŠMT i na úrovni příjemců ve výši 813 507 Kč.</w:t>
      </w:r>
    </w:p>
  </w:footnote>
  <w:footnote w:id="35">
    <w:p w14:paraId="7E8D9DF7" w14:textId="77777777" w:rsidR="00797EF6" w:rsidRPr="009D0852" w:rsidRDefault="00797EF6" w:rsidP="00EB2022">
      <w:pPr>
        <w:pStyle w:val="Poznmkapodarou-text"/>
        <w:rPr>
          <w:spacing w:val="0"/>
        </w:rPr>
      </w:pPr>
      <w:r w:rsidRPr="009D0852">
        <w:rPr>
          <w:rStyle w:val="Znakapoznpodarou"/>
          <w:spacing w:val="0"/>
        </w:rPr>
        <w:footnoteRef/>
      </w:r>
      <w:r w:rsidRPr="009D0852">
        <w:rPr>
          <w:spacing w:val="0"/>
        </w:rPr>
        <w:t xml:space="preserve"> </w:t>
      </w:r>
      <w:r w:rsidRPr="009D0852">
        <w:rPr>
          <w:spacing w:val="0"/>
        </w:rPr>
        <w:tab/>
        <w:t>Ve smyslu ustanovení § 59 zákona č. 280/2009 Sb., daňový řád.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64"/>
    <w:multiLevelType w:val="hybridMultilevel"/>
    <w:tmpl w:val="288CE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1D6"/>
    <w:multiLevelType w:val="multilevel"/>
    <w:tmpl w:val="084A392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09330D62"/>
    <w:multiLevelType w:val="hybridMultilevel"/>
    <w:tmpl w:val="121C3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737"/>
    <w:multiLevelType w:val="hybridMultilevel"/>
    <w:tmpl w:val="D6040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1DE7"/>
    <w:multiLevelType w:val="hybridMultilevel"/>
    <w:tmpl w:val="779E6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4D3F"/>
    <w:multiLevelType w:val="hybridMultilevel"/>
    <w:tmpl w:val="465CA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403FD"/>
    <w:multiLevelType w:val="hybridMultilevel"/>
    <w:tmpl w:val="78084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25CF"/>
    <w:multiLevelType w:val="hybridMultilevel"/>
    <w:tmpl w:val="6E4CB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16CE"/>
    <w:multiLevelType w:val="hybridMultilevel"/>
    <w:tmpl w:val="7CD22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488D4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32CFA"/>
    <w:multiLevelType w:val="multilevel"/>
    <w:tmpl w:val="74FA053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6D6E7D"/>
    <w:multiLevelType w:val="hybridMultilevel"/>
    <w:tmpl w:val="2408C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E12A4"/>
    <w:multiLevelType w:val="hybridMultilevel"/>
    <w:tmpl w:val="B7E8B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65684"/>
    <w:multiLevelType w:val="hybridMultilevel"/>
    <w:tmpl w:val="DB4A1F9A"/>
    <w:lvl w:ilvl="0" w:tplc="E0F4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23A7"/>
    <w:multiLevelType w:val="hybridMultilevel"/>
    <w:tmpl w:val="E1088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B261D"/>
    <w:multiLevelType w:val="hybridMultilevel"/>
    <w:tmpl w:val="B6405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C2CC6"/>
    <w:multiLevelType w:val="hybridMultilevel"/>
    <w:tmpl w:val="7FFA10E0"/>
    <w:lvl w:ilvl="0" w:tplc="04050001">
      <w:start w:val="1"/>
      <w:numFmt w:val="decimal"/>
      <w:pStyle w:val="Bezmezer"/>
      <w:lvlText w:val="%1."/>
      <w:lvlJc w:val="left"/>
      <w:pPr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CB7C15"/>
    <w:multiLevelType w:val="hybridMultilevel"/>
    <w:tmpl w:val="CEA29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0B0B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86E84"/>
    <w:multiLevelType w:val="hybridMultilevel"/>
    <w:tmpl w:val="69622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B50F5"/>
    <w:multiLevelType w:val="hybridMultilevel"/>
    <w:tmpl w:val="48B0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E4CD3"/>
    <w:multiLevelType w:val="hybridMultilevel"/>
    <w:tmpl w:val="F1A03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18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2"/>
  </w:num>
  <w:num w:numId="14">
    <w:abstractNumId w:val="7"/>
  </w:num>
  <w:num w:numId="15">
    <w:abstractNumId w:val="19"/>
  </w:num>
  <w:num w:numId="16">
    <w:abstractNumId w:val="11"/>
  </w:num>
  <w:num w:numId="17">
    <w:abstractNumId w:val="10"/>
  </w:num>
  <w:num w:numId="18">
    <w:abstractNumId w:val="13"/>
  </w:num>
  <w:num w:numId="19">
    <w:abstractNumId w:val="4"/>
  </w:num>
  <w:num w:numId="20">
    <w:abstractNumId w:val="12"/>
    <w:lvlOverride w:ilvl="0">
      <w:startOverride w:val="1"/>
    </w:lvlOverride>
  </w:num>
  <w:num w:numId="21">
    <w:abstractNumId w:val="12"/>
  </w:num>
  <w:num w:numId="22">
    <w:abstractNumId w:val="12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3"/>
    <w:rsid w:val="00000D81"/>
    <w:rsid w:val="00001DA9"/>
    <w:rsid w:val="00002B17"/>
    <w:rsid w:val="00002CF8"/>
    <w:rsid w:val="00002DD8"/>
    <w:rsid w:val="00003B58"/>
    <w:rsid w:val="00004099"/>
    <w:rsid w:val="000046E4"/>
    <w:rsid w:val="00005348"/>
    <w:rsid w:val="00005EDD"/>
    <w:rsid w:val="00007574"/>
    <w:rsid w:val="000076F8"/>
    <w:rsid w:val="00007B06"/>
    <w:rsid w:val="00007B66"/>
    <w:rsid w:val="00007E4F"/>
    <w:rsid w:val="000102FB"/>
    <w:rsid w:val="00011439"/>
    <w:rsid w:val="00012774"/>
    <w:rsid w:val="000153BB"/>
    <w:rsid w:val="0001595B"/>
    <w:rsid w:val="000162B3"/>
    <w:rsid w:val="000165A5"/>
    <w:rsid w:val="00016851"/>
    <w:rsid w:val="00016D1D"/>
    <w:rsid w:val="00016DF4"/>
    <w:rsid w:val="0001725E"/>
    <w:rsid w:val="000174E9"/>
    <w:rsid w:val="000178EC"/>
    <w:rsid w:val="000201B0"/>
    <w:rsid w:val="000203BF"/>
    <w:rsid w:val="0002061E"/>
    <w:rsid w:val="000210BC"/>
    <w:rsid w:val="00021FD1"/>
    <w:rsid w:val="00022678"/>
    <w:rsid w:val="00023D43"/>
    <w:rsid w:val="000243C5"/>
    <w:rsid w:val="0002561C"/>
    <w:rsid w:val="00025C48"/>
    <w:rsid w:val="00025CAC"/>
    <w:rsid w:val="00027438"/>
    <w:rsid w:val="00027A44"/>
    <w:rsid w:val="00030F86"/>
    <w:rsid w:val="000310B1"/>
    <w:rsid w:val="0003120A"/>
    <w:rsid w:val="00032E22"/>
    <w:rsid w:val="00032E55"/>
    <w:rsid w:val="00033F74"/>
    <w:rsid w:val="00033F80"/>
    <w:rsid w:val="000348B1"/>
    <w:rsid w:val="00035DAF"/>
    <w:rsid w:val="00035DD7"/>
    <w:rsid w:val="000361F4"/>
    <w:rsid w:val="000364C9"/>
    <w:rsid w:val="00036B9F"/>
    <w:rsid w:val="000374BD"/>
    <w:rsid w:val="0003771D"/>
    <w:rsid w:val="000411F6"/>
    <w:rsid w:val="00041562"/>
    <w:rsid w:val="00041C21"/>
    <w:rsid w:val="00042314"/>
    <w:rsid w:val="00042EC1"/>
    <w:rsid w:val="00043802"/>
    <w:rsid w:val="00043DDE"/>
    <w:rsid w:val="00044AE6"/>
    <w:rsid w:val="00044C8A"/>
    <w:rsid w:val="00045693"/>
    <w:rsid w:val="0004679F"/>
    <w:rsid w:val="000467BA"/>
    <w:rsid w:val="00046B01"/>
    <w:rsid w:val="00046D86"/>
    <w:rsid w:val="00046E00"/>
    <w:rsid w:val="00046E55"/>
    <w:rsid w:val="0004739E"/>
    <w:rsid w:val="0005029C"/>
    <w:rsid w:val="00050563"/>
    <w:rsid w:val="00050CE6"/>
    <w:rsid w:val="0005210A"/>
    <w:rsid w:val="0005210C"/>
    <w:rsid w:val="000532A8"/>
    <w:rsid w:val="0005422E"/>
    <w:rsid w:val="000550C4"/>
    <w:rsid w:val="00055BE0"/>
    <w:rsid w:val="00056A31"/>
    <w:rsid w:val="00057DDB"/>
    <w:rsid w:val="0006137B"/>
    <w:rsid w:val="0006206D"/>
    <w:rsid w:val="00062A65"/>
    <w:rsid w:val="00063227"/>
    <w:rsid w:val="00063A76"/>
    <w:rsid w:val="00065E5C"/>
    <w:rsid w:val="00065F51"/>
    <w:rsid w:val="0006670A"/>
    <w:rsid w:val="000674F1"/>
    <w:rsid w:val="000678CB"/>
    <w:rsid w:val="00067E63"/>
    <w:rsid w:val="00070163"/>
    <w:rsid w:val="00070F95"/>
    <w:rsid w:val="000724A8"/>
    <w:rsid w:val="00072B86"/>
    <w:rsid w:val="00073748"/>
    <w:rsid w:val="00073C87"/>
    <w:rsid w:val="00074E52"/>
    <w:rsid w:val="00075DF8"/>
    <w:rsid w:val="00076717"/>
    <w:rsid w:val="00077F87"/>
    <w:rsid w:val="00080170"/>
    <w:rsid w:val="00080394"/>
    <w:rsid w:val="000809AA"/>
    <w:rsid w:val="000816D1"/>
    <w:rsid w:val="0008240E"/>
    <w:rsid w:val="00083CA6"/>
    <w:rsid w:val="00084B46"/>
    <w:rsid w:val="00085041"/>
    <w:rsid w:val="000855C7"/>
    <w:rsid w:val="0008563A"/>
    <w:rsid w:val="00086B54"/>
    <w:rsid w:val="00087A8F"/>
    <w:rsid w:val="00090DA3"/>
    <w:rsid w:val="00091061"/>
    <w:rsid w:val="000917E3"/>
    <w:rsid w:val="00092438"/>
    <w:rsid w:val="00092B9B"/>
    <w:rsid w:val="000939EC"/>
    <w:rsid w:val="000942F4"/>
    <w:rsid w:val="00094870"/>
    <w:rsid w:val="00094BE5"/>
    <w:rsid w:val="00095512"/>
    <w:rsid w:val="00095E8C"/>
    <w:rsid w:val="000962CA"/>
    <w:rsid w:val="00097109"/>
    <w:rsid w:val="000A0335"/>
    <w:rsid w:val="000A0A48"/>
    <w:rsid w:val="000A0A93"/>
    <w:rsid w:val="000A1145"/>
    <w:rsid w:val="000A18C7"/>
    <w:rsid w:val="000A227A"/>
    <w:rsid w:val="000A257D"/>
    <w:rsid w:val="000A32EF"/>
    <w:rsid w:val="000A379C"/>
    <w:rsid w:val="000A38EE"/>
    <w:rsid w:val="000A3EBF"/>
    <w:rsid w:val="000A428B"/>
    <w:rsid w:val="000A68F7"/>
    <w:rsid w:val="000A6F34"/>
    <w:rsid w:val="000B085A"/>
    <w:rsid w:val="000B2350"/>
    <w:rsid w:val="000B24C8"/>
    <w:rsid w:val="000B2594"/>
    <w:rsid w:val="000B25C6"/>
    <w:rsid w:val="000B28A0"/>
    <w:rsid w:val="000B2D31"/>
    <w:rsid w:val="000B3A6E"/>
    <w:rsid w:val="000B3B3E"/>
    <w:rsid w:val="000B4540"/>
    <w:rsid w:val="000B4DC2"/>
    <w:rsid w:val="000B6166"/>
    <w:rsid w:val="000B6A5D"/>
    <w:rsid w:val="000B76AE"/>
    <w:rsid w:val="000B7A3F"/>
    <w:rsid w:val="000C0260"/>
    <w:rsid w:val="000C04E6"/>
    <w:rsid w:val="000C070C"/>
    <w:rsid w:val="000C11CE"/>
    <w:rsid w:val="000C1E76"/>
    <w:rsid w:val="000C2645"/>
    <w:rsid w:val="000C2881"/>
    <w:rsid w:val="000C3B0E"/>
    <w:rsid w:val="000C45D5"/>
    <w:rsid w:val="000C50A9"/>
    <w:rsid w:val="000C6103"/>
    <w:rsid w:val="000C7699"/>
    <w:rsid w:val="000C78D6"/>
    <w:rsid w:val="000D1054"/>
    <w:rsid w:val="000D117F"/>
    <w:rsid w:val="000D22C1"/>
    <w:rsid w:val="000D2309"/>
    <w:rsid w:val="000D3424"/>
    <w:rsid w:val="000D3596"/>
    <w:rsid w:val="000D3DA8"/>
    <w:rsid w:val="000D4892"/>
    <w:rsid w:val="000D4D3D"/>
    <w:rsid w:val="000D51F6"/>
    <w:rsid w:val="000D5C79"/>
    <w:rsid w:val="000D64A1"/>
    <w:rsid w:val="000D6710"/>
    <w:rsid w:val="000D6985"/>
    <w:rsid w:val="000D764F"/>
    <w:rsid w:val="000E0913"/>
    <w:rsid w:val="000E1E08"/>
    <w:rsid w:val="000E297F"/>
    <w:rsid w:val="000E2F68"/>
    <w:rsid w:val="000E3789"/>
    <w:rsid w:val="000E432D"/>
    <w:rsid w:val="000E4331"/>
    <w:rsid w:val="000E5827"/>
    <w:rsid w:val="000E5B2E"/>
    <w:rsid w:val="000E5CF1"/>
    <w:rsid w:val="000E6AA8"/>
    <w:rsid w:val="000E6AD6"/>
    <w:rsid w:val="000E71A3"/>
    <w:rsid w:val="000E7499"/>
    <w:rsid w:val="000F109E"/>
    <w:rsid w:val="000F26B8"/>
    <w:rsid w:val="000F29EF"/>
    <w:rsid w:val="000F350E"/>
    <w:rsid w:val="000F4147"/>
    <w:rsid w:val="000F5EE7"/>
    <w:rsid w:val="00100F6A"/>
    <w:rsid w:val="00101CF1"/>
    <w:rsid w:val="001024E6"/>
    <w:rsid w:val="0010287E"/>
    <w:rsid w:val="0010325B"/>
    <w:rsid w:val="00103528"/>
    <w:rsid w:val="00103788"/>
    <w:rsid w:val="0010397B"/>
    <w:rsid w:val="001045BF"/>
    <w:rsid w:val="001050CE"/>
    <w:rsid w:val="001056D1"/>
    <w:rsid w:val="00106196"/>
    <w:rsid w:val="00106A01"/>
    <w:rsid w:val="001109A2"/>
    <w:rsid w:val="00110E0C"/>
    <w:rsid w:val="00111111"/>
    <w:rsid w:val="00111249"/>
    <w:rsid w:val="001121BC"/>
    <w:rsid w:val="00112C28"/>
    <w:rsid w:val="0011376E"/>
    <w:rsid w:val="00114CEB"/>
    <w:rsid w:val="00114DFA"/>
    <w:rsid w:val="00115D7E"/>
    <w:rsid w:val="0011625C"/>
    <w:rsid w:val="00116973"/>
    <w:rsid w:val="00116F0E"/>
    <w:rsid w:val="00123514"/>
    <w:rsid w:val="00123B9C"/>
    <w:rsid w:val="00123BEC"/>
    <w:rsid w:val="001248B2"/>
    <w:rsid w:val="00125162"/>
    <w:rsid w:val="0012550D"/>
    <w:rsid w:val="00125D0A"/>
    <w:rsid w:val="001269B9"/>
    <w:rsid w:val="00126CAD"/>
    <w:rsid w:val="00126DD0"/>
    <w:rsid w:val="001275E4"/>
    <w:rsid w:val="00127E43"/>
    <w:rsid w:val="00130073"/>
    <w:rsid w:val="00130AE1"/>
    <w:rsid w:val="00131423"/>
    <w:rsid w:val="00131500"/>
    <w:rsid w:val="00132C5D"/>
    <w:rsid w:val="00134716"/>
    <w:rsid w:val="001349A9"/>
    <w:rsid w:val="00134B6A"/>
    <w:rsid w:val="0013752B"/>
    <w:rsid w:val="001405CB"/>
    <w:rsid w:val="001414E9"/>
    <w:rsid w:val="001415E6"/>
    <w:rsid w:val="00142004"/>
    <w:rsid w:val="001423C9"/>
    <w:rsid w:val="0014378E"/>
    <w:rsid w:val="00144750"/>
    <w:rsid w:val="001448B8"/>
    <w:rsid w:val="00145041"/>
    <w:rsid w:val="001453C0"/>
    <w:rsid w:val="001458C0"/>
    <w:rsid w:val="00146C4C"/>
    <w:rsid w:val="001471D5"/>
    <w:rsid w:val="001472DA"/>
    <w:rsid w:val="001509FC"/>
    <w:rsid w:val="00150D9E"/>
    <w:rsid w:val="00151B91"/>
    <w:rsid w:val="00152C29"/>
    <w:rsid w:val="00153871"/>
    <w:rsid w:val="00153C2B"/>
    <w:rsid w:val="0015473C"/>
    <w:rsid w:val="00155BDC"/>
    <w:rsid w:val="00156057"/>
    <w:rsid w:val="00156F33"/>
    <w:rsid w:val="001606A5"/>
    <w:rsid w:val="00160F77"/>
    <w:rsid w:val="00161652"/>
    <w:rsid w:val="001622A1"/>
    <w:rsid w:val="00164191"/>
    <w:rsid w:val="00164672"/>
    <w:rsid w:val="001651C8"/>
    <w:rsid w:val="001651DE"/>
    <w:rsid w:val="001669E9"/>
    <w:rsid w:val="001708FA"/>
    <w:rsid w:val="00171ABC"/>
    <w:rsid w:val="00172411"/>
    <w:rsid w:val="001729D4"/>
    <w:rsid w:val="00174834"/>
    <w:rsid w:val="00174FE4"/>
    <w:rsid w:val="00175D4C"/>
    <w:rsid w:val="00175EDB"/>
    <w:rsid w:val="001800B1"/>
    <w:rsid w:val="00180479"/>
    <w:rsid w:val="0018188C"/>
    <w:rsid w:val="00182314"/>
    <w:rsid w:val="00182B97"/>
    <w:rsid w:val="00182D7C"/>
    <w:rsid w:val="00183139"/>
    <w:rsid w:val="001834CD"/>
    <w:rsid w:val="00183BBA"/>
    <w:rsid w:val="0018440D"/>
    <w:rsid w:val="001846D6"/>
    <w:rsid w:val="00184A8E"/>
    <w:rsid w:val="00185554"/>
    <w:rsid w:val="001862DD"/>
    <w:rsid w:val="001866E7"/>
    <w:rsid w:val="00187D1E"/>
    <w:rsid w:val="001900F1"/>
    <w:rsid w:val="001902AD"/>
    <w:rsid w:val="00190AD5"/>
    <w:rsid w:val="00190B21"/>
    <w:rsid w:val="001914EF"/>
    <w:rsid w:val="00191C87"/>
    <w:rsid w:val="001934DB"/>
    <w:rsid w:val="001942B3"/>
    <w:rsid w:val="00194475"/>
    <w:rsid w:val="00194504"/>
    <w:rsid w:val="00196302"/>
    <w:rsid w:val="00196421"/>
    <w:rsid w:val="0019678A"/>
    <w:rsid w:val="00196C37"/>
    <w:rsid w:val="001A0446"/>
    <w:rsid w:val="001A0EF4"/>
    <w:rsid w:val="001A16C5"/>
    <w:rsid w:val="001A2D11"/>
    <w:rsid w:val="001A5228"/>
    <w:rsid w:val="001A59C3"/>
    <w:rsid w:val="001A5DE5"/>
    <w:rsid w:val="001A7093"/>
    <w:rsid w:val="001A7807"/>
    <w:rsid w:val="001A7BFC"/>
    <w:rsid w:val="001B0B52"/>
    <w:rsid w:val="001B0B53"/>
    <w:rsid w:val="001B12E8"/>
    <w:rsid w:val="001B1325"/>
    <w:rsid w:val="001B15C9"/>
    <w:rsid w:val="001B1B8A"/>
    <w:rsid w:val="001B2F18"/>
    <w:rsid w:val="001B395D"/>
    <w:rsid w:val="001B4E82"/>
    <w:rsid w:val="001B55AA"/>
    <w:rsid w:val="001B59B5"/>
    <w:rsid w:val="001B67AA"/>
    <w:rsid w:val="001B7138"/>
    <w:rsid w:val="001B7D0B"/>
    <w:rsid w:val="001C0983"/>
    <w:rsid w:val="001C1126"/>
    <w:rsid w:val="001C303E"/>
    <w:rsid w:val="001C408D"/>
    <w:rsid w:val="001C5286"/>
    <w:rsid w:val="001C6239"/>
    <w:rsid w:val="001C7C03"/>
    <w:rsid w:val="001D0587"/>
    <w:rsid w:val="001D23C2"/>
    <w:rsid w:val="001D25A8"/>
    <w:rsid w:val="001D3271"/>
    <w:rsid w:val="001D4A50"/>
    <w:rsid w:val="001D4EEA"/>
    <w:rsid w:val="001D785C"/>
    <w:rsid w:val="001E09C2"/>
    <w:rsid w:val="001E17F8"/>
    <w:rsid w:val="001E2E03"/>
    <w:rsid w:val="001E3B9D"/>
    <w:rsid w:val="001E4604"/>
    <w:rsid w:val="001E461C"/>
    <w:rsid w:val="001E61AD"/>
    <w:rsid w:val="001E63E7"/>
    <w:rsid w:val="001E734A"/>
    <w:rsid w:val="001E7F42"/>
    <w:rsid w:val="001F00A9"/>
    <w:rsid w:val="001F0800"/>
    <w:rsid w:val="001F0FAD"/>
    <w:rsid w:val="001F235B"/>
    <w:rsid w:val="001F27E4"/>
    <w:rsid w:val="001F32F4"/>
    <w:rsid w:val="001F4120"/>
    <w:rsid w:val="001F5A01"/>
    <w:rsid w:val="001F5E62"/>
    <w:rsid w:val="001F61B7"/>
    <w:rsid w:val="001F7C28"/>
    <w:rsid w:val="001F7CC2"/>
    <w:rsid w:val="00200E20"/>
    <w:rsid w:val="0020242C"/>
    <w:rsid w:val="00202590"/>
    <w:rsid w:val="0020395F"/>
    <w:rsid w:val="00205019"/>
    <w:rsid w:val="00206DA5"/>
    <w:rsid w:val="00207509"/>
    <w:rsid w:val="0020775F"/>
    <w:rsid w:val="00207B25"/>
    <w:rsid w:val="0021333F"/>
    <w:rsid w:val="00213D3A"/>
    <w:rsid w:val="00215826"/>
    <w:rsid w:val="00215B71"/>
    <w:rsid w:val="00216B5B"/>
    <w:rsid w:val="00217165"/>
    <w:rsid w:val="0022032F"/>
    <w:rsid w:val="00221620"/>
    <w:rsid w:val="00221EB4"/>
    <w:rsid w:val="00222258"/>
    <w:rsid w:val="002229E1"/>
    <w:rsid w:val="00222CC4"/>
    <w:rsid w:val="00222E8C"/>
    <w:rsid w:val="00223375"/>
    <w:rsid w:val="00223448"/>
    <w:rsid w:val="00223A5C"/>
    <w:rsid w:val="00224F64"/>
    <w:rsid w:val="00225161"/>
    <w:rsid w:val="0022689C"/>
    <w:rsid w:val="00226973"/>
    <w:rsid w:val="0022762A"/>
    <w:rsid w:val="00227F36"/>
    <w:rsid w:val="0023018D"/>
    <w:rsid w:val="002324B0"/>
    <w:rsid w:val="00232B5B"/>
    <w:rsid w:val="00232CA5"/>
    <w:rsid w:val="00233BFF"/>
    <w:rsid w:val="002348A7"/>
    <w:rsid w:val="00234EB7"/>
    <w:rsid w:val="0023716A"/>
    <w:rsid w:val="00237A47"/>
    <w:rsid w:val="00240075"/>
    <w:rsid w:val="0024035A"/>
    <w:rsid w:val="00241EF7"/>
    <w:rsid w:val="00243D7E"/>
    <w:rsid w:val="00243EC8"/>
    <w:rsid w:val="00245265"/>
    <w:rsid w:val="002452F8"/>
    <w:rsid w:val="0024545C"/>
    <w:rsid w:val="002457C1"/>
    <w:rsid w:val="00245F9C"/>
    <w:rsid w:val="002465F2"/>
    <w:rsid w:val="002466F9"/>
    <w:rsid w:val="0024673F"/>
    <w:rsid w:val="00247B32"/>
    <w:rsid w:val="0025124C"/>
    <w:rsid w:val="002514CF"/>
    <w:rsid w:val="00251B4D"/>
    <w:rsid w:val="00252D5D"/>
    <w:rsid w:val="002542B9"/>
    <w:rsid w:val="00254637"/>
    <w:rsid w:val="00255B9E"/>
    <w:rsid w:val="00256FE6"/>
    <w:rsid w:val="0025787E"/>
    <w:rsid w:val="0026240B"/>
    <w:rsid w:val="00263802"/>
    <w:rsid w:val="00263DD4"/>
    <w:rsid w:val="002651CA"/>
    <w:rsid w:val="002662EE"/>
    <w:rsid w:val="002670A3"/>
    <w:rsid w:val="002706AA"/>
    <w:rsid w:val="00270901"/>
    <w:rsid w:val="002720FD"/>
    <w:rsid w:val="0027367B"/>
    <w:rsid w:val="0027623F"/>
    <w:rsid w:val="002762BA"/>
    <w:rsid w:val="002766DA"/>
    <w:rsid w:val="00276AA4"/>
    <w:rsid w:val="00282C1A"/>
    <w:rsid w:val="0028389A"/>
    <w:rsid w:val="002838C5"/>
    <w:rsid w:val="00284C05"/>
    <w:rsid w:val="0028544E"/>
    <w:rsid w:val="00285513"/>
    <w:rsid w:val="0028622D"/>
    <w:rsid w:val="00287071"/>
    <w:rsid w:val="002871A5"/>
    <w:rsid w:val="00287A19"/>
    <w:rsid w:val="00290027"/>
    <w:rsid w:val="002915A3"/>
    <w:rsid w:val="00292425"/>
    <w:rsid w:val="00292809"/>
    <w:rsid w:val="00293EC8"/>
    <w:rsid w:val="00294401"/>
    <w:rsid w:val="00294CBE"/>
    <w:rsid w:val="00295270"/>
    <w:rsid w:val="00295D40"/>
    <w:rsid w:val="002962CB"/>
    <w:rsid w:val="002973ED"/>
    <w:rsid w:val="002A0AAC"/>
    <w:rsid w:val="002A11DF"/>
    <w:rsid w:val="002A12DA"/>
    <w:rsid w:val="002A15E2"/>
    <w:rsid w:val="002A2A54"/>
    <w:rsid w:val="002A3D8A"/>
    <w:rsid w:val="002A4686"/>
    <w:rsid w:val="002A54D1"/>
    <w:rsid w:val="002A550A"/>
    <w:rsid w:val="002A61E1"/>
    <w:rsid w:val="002A6507"/>
    <w:rsid w:val="002A6DD8"/>
    <w:rsid w:val="002A738B"/>
    <w:rsid w:val="002B0FB4"/>
    <w:rsid w:val="002B11C6"/>
    <w:rsid w:val="002B1478"/>
    <w:rsid w:val="002B38DC"/>
    <w:rsid w:val="002B413E"/>
    <w:rsid w:val="002B44A0"/>
    <w:rsid w:val="002B4BED"/>
    <w:rsid w:val="002B564A"/>
    <w:rsid w:val="002B6788"/>
    <w:rsid w:val="002B7B10"/>
    <w:rsid w:val="002C0147"/>
    <w:rsid w:val="002C09EB"/>
    <w:rsid w:val="002C1BBC"/>
    <w:rsid w:val="002C217A"/>
    <w:rsid w:val="002C22AC"/>
    <w:rsid w:val="002C38D7"/>
    <w:rsid w:val="002C4499"/>
    <w:rsid w:val="002C5179"/>
    <w:rsid w:val="002C529E"/>
    <w:rsid w:val="002C6047"/>
    <w:rsid w:val="002C73DA"/>
    <w:rsid w:val="002C7726"/>
    <w:rsid w:val="002C787A"/>
    <w:rsid w:val="002D0878"/>
    <w:rsid w:val="002D0E5D"/>
    <w:rsid w:val="002D41BF"/>
    <w:rsid w:val="002D487C"/>
    <w:rsid w:val="002D5C94"/>
    <w:rsid w:val="002D5E79"/>
    <w:rsid w:val="002D6501"/>
    <w:rsid w:val="002D785E"/>
    <w:rsid w:val="002D7D08"/>
    <w:rsid w:val="002E0453"/>
    <w:rsid w:val="002E1065"/>
    <w:rsid w:val="002E18DB"/>
    <w:rsid w:val="002E286E"/>
    <w:rsid w:val="002E490C"/>
    <w:rsid w:val="002E5922"/>
    <w:rsid w:val="002E6BD7"/>
    <w:rsid w:val="002E6E36"/>
    <w:rsid w:val="002E6E82"/>
    <w:rsid w:val="002E7DF5"/>
    <w:rsid w:val="002F007D"/>
    <w:rsid w:val="002F0115"/>
    <w:rsid w:val="002F1725"/>
    <w:rsid w:val="002F1869"/>
    <w:rsid w:val="002F1965"/>
    <w:rsid w:val="002F2FC4"/>
    <w:rsid w:val="002F32B7"/>
    <w:rsid w:val="002F3C92"/>
    <w:rsid w:val="002F4767"/>
    <w:rsid w:val="002F4A29"/>
    <w:rsid w:val="002F560A"/>
    <w:rsid w:val="002F6684"/>
    <w:rsid w:val="002F6E15"/>
    <w:rsid w:val="002F7026"/>
    <w:rsid w:val="002F71DA"/>
    <w:rsid w:val="002F77D9"/>
    <w:rsid w:val="00300B39"/>
    <w:rsid w:val="00300B90"/>
    <w:rsid w:val="00301042"/>
    <w:rsid w:val="003020AE"/>
    <w:rsid w:val="00302C33"/>
    <w:rsid w:val="00303697"/>
    <w:rsid w:val="00304064"/>
    <w:rsid w:val="003054A9"/>
    <w:rsid w:val="00305BDD"/>
    <w:rsid w:val="0030699E"/>
    <w:rsid w:val="00310E92"/>
    <w:rsid w:val="00311219"/>
    <w:rsid w:val="003118D6"/>
    <w:rsid w:val="00312999"/>
    <w:rsid w:val="0031300F"/>
    <w:rsid w:val="0031326C"/>
    <w:rsid w:val="00313F1F"/>
    <w:rsid w:val="00313FB7"/>
    <w:rsid w:val="00314AF3"/>
    <w:rsid w:val="00314E70"/>
    <w:rsid w:val="00317F9D"/>
    <w:rsid w:val="003215B2"/>
    <w:rsid w:val="00321AD3"/>
    <w:rsid w:val="003231A4"/>
    <w:rsid w:val="00323E71"/>
    <w:rsid w:val="00324EEE"/>
    <w:rsid w:val="0032593E"/>
    <w:rsid w:val="00326174"/>
    <w:rsid w:val="00326812"/>
    <w:rsid w:val="003278E7"/>
    <w:rsid w:val="00327D33"/>
    <w:rsid w:val="003312C3"/>
    <w:rsid w:val="00332C5A"/>
    <w:rsid w:val="00332D62"/>
    <w:rsid w:val="00334A88"/>
    <w:rsid w:val="003361EA"/>
    <w:rsid w:val="0033680B"/>
    <w:rsid w:val="0033692E"/>
    <w:rsid w:val="003370B7"/>
    <w:rsid w:val="00337355"/>
    <w:rsid w:val="00341A9F"/>
    <w:rsid w:val="003439B0"/>
    <w:rsid w:val="00343C36"/>
    <w:rsid w:val="00343F48"/>
    <w:rsid w:val="00344D75"/>
    <w:rsid w:val="0034526D"/>
    <w:rsid w:val="00346604"/>
    <w:rsid w:val="00346DEA"/>
    <w:rsid w:val="00347491"/>
    <w:rsid w:val="00350F9B"/>
    <w:rsid w:val="00351514"/>
    <w:rsid w:val="00351670"/>
    <w:rsid w:val="003521A2"/>
    <w:rsid w:val="00352D40"/>
    <w:rsid w:val="0035580F"/>
    <w:rsid w:val="00355FAE"/>
    <w:rsid w:val="00360129"/>
    <w:rsid w:val="00360B5C"/>
    <w:rsid w:val="00361515"/>
    <w:rsid w:val="00363CDD"/>
    <w:rsid w:val="00365125"/>
    <w:rsid w:val="00365B27"/>
    <w:rsid w:val="0036625B"/>
    <w:rsid w:val="00366CA4"/>
    <w:rsid w:val="003677F9"/>
    <w:rsid w:val="00367BE7"/>
    <w:rsid w:val="00367C78"/>
    <w:rsid w:val="00367CB6"/>
    <w:rsid w:val="00371796"/>
    <w:rsid w:val="00371B87"/>
    <w:rsid w:val="00372103"/>
    <w:rsid w:val="0037420F"/>
    <w:rsid w:val="00375353"/>
    <w:rsid w:val="003753A6"/>
    <w:rsid w:val="00376952"/>
    <w:rsid w:val="00377C8C"/>
    <w:rsid w:val="003804DE"/>
    <w:rsid w:val="00380FC6"/>
    <w:rsid w:val="003814DD"/>
    <w:rsid w:val="00381D31"/>
    <w:rsid w:val="00383CA2"/>
    <w:rsid w:val="00386034"/>
    <w:rsid w:val="003863F2"/>
    <w:rsid w:val="00386DC3"/>
    <w:rsid w:val="0039023D"/>
    <w:rsid w:val="003903F2"/>
    <w:rsid w:val="00390400"/>
    <w:rsid w:val="003911BC"/>
    <w:rsid w:val="00391438"/>
    <w:rsid w:val="0039314B"/>
    <w:rsid w:val="003935D3"/>
    <w:rsid w:val="003937F8"/>
    <w:rsid w:val="0039398D"/>
    <w:rsid w:val="003940E2"/>
    <w:rsid w:val="003954C5"/>
    <w:rsid w:val="003962B2"/>
    <w:rsid w:val="003962C1"/>
    <w:rsid w:val="00396744"/>
    <w:rsid w:val="00396D6F"/>
    <w:rsid w:val="00397A72"/>
    <w:rsid w:val="00397BE0"/>
    <w:rsid w:val="00397F11"/>
    <w:rsid w:val="003A0493"/>
    <w:rsid w:val="003A093E"/>
    <w:rsid w:val="003A0989"/>
    <w:rsid w:val="003A28A1"/>
    <w:rsid w:val="003A29DC"/>
    <w:rsid w:val="003A2B63"/>
    <w:rsid w:val="003A2D66"/>
    <w:rsid w:val="003A384C"/>
    <w:rsid w:val="003A3A5E"/>
    <w:rsid w:val="003A45BA"/>
    <w:rsid w:val="003A4A08"/>
    <w:rsid w:val="003A57D7"/>
    <w:rsid w:val="003A61CA"/>
    <w:rsid w:val="003A68B1"/>
    <w:rsid w:val="003A79DF"/>
    <w:rsid w:val="003A7F13"/>
    <w:rsid w:val="003B01D0"/>
    <w:rsid w:val="003B0DCF"/>
    <w:rsid w:val="003B19DC"/>
    <w:rsid w:val="003B1C52"/>
    <w:rsid w:val="003B27EF"/>
    <w:rsid w:val="003B29CA"/>
    <w:rsid w:val="003B2A69"/>
    <w:rsid w:val="003B3BC7"/>
    <w:rsid w:val="003B4012"/>
    <w:rsid w:val="003B5CA1"/>
    <w:rsid w:val="003B7025"/>
    <w:rsid w:val="003B7808"/>
    <w:rsid w:val="003C00B9"/>
    <w:rsid w:val="003C1A8B"/>
    <w:rsid w:val="003C3520"/>
    <w:rsid w:val="003C54A3"/>
    <w:rsid w:val="003C6C5F"/>
    <w:rsid w:val="003D19F2"/>
    <w:rsid w:val="003D3FFC"/>
    <w:rsid w:val="003D4CB0"/>
    <w:rsid w:val="003D4D6A"/>
    <w:rsid w:val="003D4D7D"/>
    <w:rsid w:val="003D66EC"/>
    <w:rsid w:val="003D6D10"/>
    <w:rsid w:val="003D6F23"/>
    <w:rsid w:val="003D73AD"/>
    <w:rsid w:val="003D7497"/>
    <w:rsid w:val="003D76C9"/>
    <w:rsid w:val="003D7939"/>
    <w:rsid w:val="003E0C0A"/>
    <w:rsid w:val="003E0D6A"/>
    <w:rsid w:val="003E2667"/>
    <w:rsid w:val="003E38C9"/>
    <w:rsid w:val="003E3BBD"/>
    <w:rsid w:val="003E3E55"/>
    <w:rsid w:val="003E426F"/>
    <w:rsid w:val="003E4CA7"/>
    <w:rsid w:val="003E5CCF"/>
    <w:rsid w:val="003E61FB"/>
    <w:rsid w:val="003E628F"/>
    <w:rsid w:val="003E68B5"/>
    <w:rsid w:val="003E705B"/>
    <w:rsid w:val="003F130E"/>
    <w:rsid w:val="003F205C"/>
    <w:rsid w:val="003F3F4A"/>
    <w:rsid w:val="003F4747"/>
    <w:rsid w:val="003F5770"/>
    <w:rsid w:val="003F61B3"/>
    <w:rsid w:val="003F7154"/>
    <w:rsid w:val="003F7845"/>
    <w:rsid w:val="00401596"/>
    <w:rsid w:val="00401F37"/>
    <w:rsid w:val="00402B38"/>
    <w:rsid w:val="004033EB"/>
    <w:rsid w:val="004035CB"/>
    <w:rsid w:val="004040A4"/>
    <w:rsid w:val="00405566"/>
    <w:rsid w:val="00405981"/>
    <w:rsid w:val="00405E49"/>
    <w:rsid w:val="00406219"/>
    <w:rsid w:val="00407BCF"/>
    <w:rsid w:val="004113F1"/>
    <w:rsid w:val="004115AE"/>
    <w:rsid w:val="00411899"/>
    <w:rsid w:val="00411A38"/>
    <w:rsid w:val="00411B65"/>
    <w:rsid w:val="00412752"/>
    <w:rsid w:val="00412C55"/>
    <w:rsid w:val="004145F9"/>
    <w:rsid w:val="00414CD7"/>
    <w:rsid w:val="00416611"/>
    <w:rsid w:val="00416A8F"/>
    <w:rsid w:val="004176D4"/>
    <w:rsid w:val="00417F4F"/>
    <w:rsid w:val="004200F2"/>
    <w:rsid w:val="00420708"/>
    <w:rsid w:val="00422283"/>
    <w:rsid w:val="0042263B"/>
    <w:rsid w:val="004234B3"/>
    <w:rsid w:val="00423579"/>
    <w:rsid w:val="00423BF3"/>
    <w:rsid w:val="00424D30"/>
    <w:rsid w:val="00424DA1"/>
    <w:rsid w:val="00424E92"/>
    <w:rsid w:val="0042503C"/>
    <w:rsid w:val="00425351"/>
    <w:rsid w:val="00425B68"/>
    <w:rsid w:val="00427BC8"/>
    <w:rsid w:val="00430AF9"/>
    <w:rsid w:val="00430C28"/>
    <w:rsid w:val="0043143C"/>
    <w:rsid w:val="0043352C"/>
    <w:rsid w:val="00433625"/>
    <w:rsid w:val="00433694"/>
    <w:rsid w:val="004344FC"/>
    <w:rsid w:val="00434616"/>
    <w:rsid w:val="004349FB"/>
    <w:rsid w:val="00436A69"/>
    <w:rsid w:val="00436C3B"/>
    <w:rsid w:val="004406B5"/>
    <w:rsid w:val="0044114B"/>
    <w:rsid w:val="00441EBE"/>
    <w:rsid w:val="004423D2"/>
    <w:rsid w:val="00442486"/>
    <w:rsid w:val="00442D32"/>
    <w:rsid w:val="00442EE7"/>
    <w:rsid w:val="004432A8"/>
    <w:rsid w:val="00443C9E"/>
    <w:rsid w:val="00444AE5"/>
    <w:rsid w:val="004454CC"/>
    <w:rsid w:val="00445575"/>
    <w:rsid w:val="00445D17"/>
    <w:rsid w:val="00447315"/>
    <w:rsid w:val="0044741A"/>
    <w:rsid w:val="004479C0"/>
    <w:rsid w:val="00447AC1"/>
    <w:rsid w:val="00447CA1"/>
    <w:rsid w:val="00450930"/>
    <w:rsid w:val="00451947"/>
    <w:rsid w:val="0045195E"/>
    <w:rsid w:val="00452EE5"/>
    <w:rsid w:val="004543FF"/>
    <w:rsid w:val="00455410"/>
    <w:rsid w:val="00455472"/>
    <w:rsid w:val="0045668A"/>
    <w:rsid w:val="00456BCA"/>
    <w:rsid w:val="0046038A"/>
    <w:rsid w:val="00460CF4"/>
    <w:rsid w:val="00461278"/>
    <w:rsid w:val="00461677"/>
    <w:rsid w:val="00461918"/>
    <w:rsid w:val="00461B48"/>
    <w:rsid w:val="00461F07"/>
    <w:rsid w:val="004627A8"/>
    <w:rsid w:val="004634DE"/>
    <w:rsid w:val="004647E8"/>
    <w:rsid w:val="00464B62"/>
    <w:rsid w:val="004657C2"/>
    <w:rsid w:val="00465A66"/>
    <w:rsid w:val="004661CE"/>
    <w:rsid w:val="00466932"/>
    <w:rsid w:val="00466D5E"/>
    <w:rsid w:val="0046773E"/>
    <w:rsid w:val="00467A29"/>
    <w:rsid w:val="00467B1C"/>
    <w:rsid w:val="00467C34"/>
    <w:rsid w:val="004721C4"/>
    <w:rsid w:val="0047230D"/>
    <w:rsid w:val="00473D92"/>
    <w:rsid w:val="00474056"/>
    <w:rsid w:val="004757C4"/>
    <w:rsid w:val="00475808"/>
    <w:rsid w:val="00476372"/>
    <w:rsid w:val="00477260"/>
    <w:rsid w:val="00481B2F"/>
    <w:rsid w:val="004823AF"/>
    <w:rsid w:val="004824FC"/>
    <w:rsid w:val="00483AD1"/>
    <w:rsid w:val="00483ED6"/>
    <w:rsid w:val="00484BE1"/>
    <w:rsid w:val="0048513C"/>
    <w:rsid w:val="00485C24"/>
    <w:rsid w:val="00486D25"/>
    <w:rsid w:val="00486F01"/>
    <w:rsid w:val="00487BDB"/>
    <w:rsid w:val="00487C07"/>
    <w:rsid w:val="00490AFA"/>
    <w:rsid w:val="00490E86"/>
    <w:rsid w:val="00491550"/>
    <w:rsid w:val="00491D84"/>
    <w:rsid w:val="00492664"/>
    <w:rsid w:val="00493034"/>
    <w:rsid w:val="004931B7"/>
    <w:rsid w:val="004941B5"/>
    <w:rsid w:val="00494B45"/>
    <w:rsid w:val="00495405"/>
    <w:rsid w:val="004959A7"/>
    <w:rsid w:val="00496DFA"/>
    <w:rsid w:val="004974FC"/>
    <w:rsid w:val="00497A50"/>
    <w:rsid w:val="004A02BE"/>
    <w:rsid w:val="004A02D3"/>
    <w:rsid w:val="004A2AC5"/>
    <w:rsid w:val="004A3CBE"/>
    <w:rsid w:val="004A4D6A"/>
    <w:rsid w:val="004A4E70"/>
    <w:rsid w:val="004A543A"/>
    <w:rsid w:val="004A6230"/>
    <w:rsid w:val="004A68F8"/>
    <w:rsid w:val="004B108A"/>
    <w:rsid w:val="004B186E"/>
    <w:rsid w:val="004B299F"/>
    <w:rsid w:val="004B2F39"/>
    <w:rsid w:val="004B30E4"/>
    <w:rsid w:val="004B3DCF"/>
    <w:rsid w:val="004B3E1B"/>
    <w:rsid w:val="004B4391"/>
    <w:rsid w:val="004B5B55"/>
    <w:rsid w:val="004B6DB6"/>
    <w:rsid w:val="004B72CA"/>
    <w:rsid w:val="004B7941"/>
    <w:rsid w:val="004B79B4"/>
    <w:rsid w:val="004B79B6"/>
    <w:rsid w:val="004C0A90"/>
    <w:rsid w:val="004C13CC"/>
    <w:rsid w:val="004C26FF"/>
    <w:rsid w:val="004C38CD"/>
    <w:rsid w:val="004C56D5"/>
    <w:rsid w:val="004C596C"/>
    <w:rsid w:val="004C66F1"/>
    <w:rsid w:val="004C718F"/>
    <w:rsid w:val="004C7547"/>
    <w:rsid w:val="004D1CE5"/>
    <w:rsid w:val="004D250B"/>
    <w:rsid w:val="004D2AA4"/>
    <w:rsid w:val="004D2C60"/>
    <w:rsid w:val="004D37EB"/>
    <w:rsid w:val="004D3952"/>
    <w:rsid w:val="004D3D0E"/>
    <w:rsid w:val="004D41B0"/>
    <w:rsid w:val="004D41DC"/>
    <w:rsid w:val="004D513F"/>
    <w:rsid w:val="004D666B"/>
    <w:rsid w:val="004D6926"/>
    <w:rsid w:val="004D73C7"/>
    <w:rsid w:val="004D792C"/>
    <w:rsid w:val="004E06B9"/>
    <w:rsid w:val="004E11D7"/>
    <w:rsid w:val="004E13F0"/>
    <w:rsid w:val="004E19C0"/>
    <w:rsid w:val="004E25DE"/>
    <w:rsid w:val="004E3D7E"/>
    <w:rsid w:val="004E51E3"/>
    <w:rsid w:val="004E5D2C"/>
    <w:rsid w:val="004E64E0"/>
    <w:rsid w:val="004E6CF1"/>
    <w:rsid w:val="004E6D44"/>
    <w:rsid w:val="004E795A"/>
    <w:rsid w:val="004F0756"/>
    <w:rsid w:val="004F15E6"/>
    <w:rsid w:val="004F1A61"/>
    <w:rsid w:val="004F205E"/>
    <w:rsid w:val="004F2E58"/>
    <w:rsid w:val="004F2E89"/>
    <w:rsid w:val="004F357F"/>
    <w:rsid w:val="004F3A88"/>
    <w:rsid w:val="004F3DEE"/>
    <w:rsid w:val="004F3F53"/>
    <w:rsid w:val="004F50D5"/>
    <w:rsid w:val="004F583D"/>
    <w:rsid w:val="004F5F2A"/>
    <w:rsid w:val="004F607B"/>
    <w:rsid w:val="004F6F34"/>
    <w:rsid w:val="004F7B97"/>
    <w:rsid w:val="005005DA"/>
    <w:rsid w:val="00500EEC"/>
    <w:rsid w:val="00501375"/>
    <w:rsid w:val="00501AA3"/>
    <w:rsid w:val="00502F92"/>
    <w:rsid w:val="00503056"/>
    <w:rsid w:val="005030DD"/>
    <w:rsid w:val="00504C43"/>
    <w:rsid w:val="005050EB"/>
    <w:rsid w:val="00506887"/>
    <w:rsid w:val="00506CD9"/>
    <w:rsid w:val="00506FF4"/>
    <w:rsid w:val="005070BB"/>
    <w:rsid w:val="005071B2"/>
    <w:rsid w:val="00507E79"/>
    <w:rsid w:val="00510D30"/>
    <w:rsid w:val="00510F2E"/>
    <w:rsid w:val="00511D24"/>
    <w:rsid w:val="0051222A"/>
    <w:rsid w:val="00512CF2"/>
    <w:rsid w:val="00513E08"/>
    <w:rsid w:val="00516BDB"/>
    <w:rsid w:val="00520A7A"/>
    <w:rsid w:val="00521B46"/>
    <w:rsid w:val="005227BB"/>
    <w:rsid w:val="00524794"/>
    <w:rsid w:val="005252CC"/>
    <w:rsid w:val="00526A12"/>
    <w:rsid w:val="00526C46"/>
    <w:rsid w:val="00526CAD"/>
    <w:rsid w:val="00527B43"/>
    <w:rsid w:val="00527BA3"/>
    <w:rsid w:val="005307D8"/>
    <w:rsid w:val="00530D7D"/>
    <w:rsid w:val="00531F88"/>
    <w:rsid w:val="00533D2A"/>
    <w:rsid w:val="00534EE4"/>
    <w:rsid w:val="00535B25"/>
    <w:rsid w:val="00536006"/>
    <w:rsid w:val="005366B9"/>
    <w:rsid w:val="00536B8C"/>
    <w:rsid w:val="00536F4B"/>
    <w:rsid w:val="005402AB"/>
    <w:rsid w:val="00540820"/>
    <w:rsid w:val="005408A7"/>
    <w:rsid w:val="00543A4B"/>
    <w:rsid w:val="00543F3F"/>
    <w:rsid w:val="00544192"/>
    <w:rsid w:val="0054629F"/>
    <w:rsid w:val="0054705B"/>
    <w:rsid w:val="00547F33"/>
    <w:rsid w:val="00550DC0"/>
    <w:rsid w:val="00552616"/>
    <w:rsid w:val="00552B7D"/>
    <w:rsid w:val="00552FD1"/>
    <w:rsid w:val="00553ADA"/>
    <w:rsid w:val="005540E5"/>
    <w:rsid w:val="005573B1"/>
    <w:rsid w:val="00557566"/>
    <w:rsid w:val="00560412"/>
    <w:rsid w:val="005618BD"/>
    <w:rsid w:val="00563C5A"/>
    <w:rsid w:val="00563DF8"/>
    <w:rsid w:val="005643A9"/>
    <w:rsid w:val="00564FBA"/>
    <w:rsid w:val="0056758C"/>
    <w:rsid w:val="005702FF"/>
    <w:rsid w:val="005707E0"/>
    <w:rsid w:val="00571074"/>
    <w:rsid w:val="00572715"/>
    <w:rsid w:val="00573217"/>
    <w:rsid w:val="00573724"/>
    <w:rsid w:val="0057566C"/>
    <w:rsid w:val="00575E0F"/>
    <w:rsid w:val="00577871"/>
    <w:rsid w:val="0058010C"/>
    <w:rsid w:val="00580E28"/>
    <w:rsid w:val="005814BE"/>
    <w:rsid w:val="0058247C"/>
    <w:rsid w:val="005826EA"/>
    <w:rsid w:val="00582FEE"/>
    <w:rsid w:val="00583892"/>
    <w:rsid w:val="00585124"/>
    <w:rsid w:val="0058600C"/>
    <w:rsid w:val="00587BAE"/>
    <w:rsid w:val="00591686"/>
    <w:rsid w:val="00591E58"/>
    <w:rsid w:val="005926FD"/>
    <w:rsid w:val="00592B0E"/>
    <w:rsid w:val="00593775"/>
    <w:rsid w:val="00593F6E"/>
    <w:rsid w:val="005943BD"/>
    <w:rsid w:val="005959EE"/>
    <w:rsid w:val="00595EE8"/>
    <w:rsid w:val="00596611"/>
    <w:rsid w:val="0059700A"/>
    <w:rsid w:val="0059765D"/>
    <w:rsid w:val="005976BB"/>
    <w:rsid w:val="00597791"/>
    <w:rsid w:val="00597C11"/>
    <w:rsid w:val="00597D54"/>
    <w:rsid w:val="005A05F8"/>
    <w:rsid w:val="005A0E14"/>
    <w:rsid w:val="005A100D"/>
    <w:rsid w:val="005A1A6A"/>
    <w:rsid w:val="005A2919"/>
    <w:rsid w:val="005A2F13"/>
    <w:rsid w:val="005A3BF7"/>
    <w:rsid w:val="005A41F2"/>
    <w:rsid w:val="005A4749"/>
    <w:rsid w:val="005A5593"/>
    <w:rsid w:val="005A58BC"/>
    <w:rsid w:val="005A65FE"/>
    <w:rsid w:val="005A7896"/>
    <w:rsid w:val="005A7CDE"/>
    <w:rsid w:val="005A7F35"/>
    <w:rsid w:val="005B0752"/>
    <w:rsid w:val="005B21CA"/>
    <w:rsid w:val="005B2843"/>
    <w:rsid w:val="005B2FBB"/>
    <w:rsid w:val="005B3001"/>
    <w:rsid w:val="005B4AEB"/>
    <w:rsid w:val="005B5CFB"/>
    <w:rsid w:val="005B756F"/>
    <w:rsid w:val="005C070C"/>
    <w:rsid w:val="005C0D17"/>
    <w:rsid w:val="005C0E06"/>
    <w:rsid w:val="005C18F0"/>
    <w:rsid w:val="005C25A2"/>
    <w:rsid w:val="005C3CD8"/>
    <w:rsid w:val="005C5272"/>
    <w:rsid w:val="005C5BB0"/>
    <w:rsid w:val="005C66E9"/>
    <w:rsid w:val="005C6E59"/>
    <w:rsid w:val="005D05A1"/>
    <w:rsid w:val="005D1971"/>
    <w:rsid w:val="005D3602"/>
    <w:rsid w:val="005D3F94"/>
    <w:rsid w:val="005D43CD"/>
    <w:rsid w:val="005D488C"/>
    <w:rsid w:val="005D50E7"/>
    <w:rsid w:val="005D556B"/>
    <w:rsid w:val="005D6A11"/>
    <w:rsid w:val="005D7572"/>
    <w:rsid w:val="005D75C2"/>
    <w:rsid w:val="005E03C8"/>
    <w:rsid w:val="005E324B"/>
    <w:rsid w:val="005E3328"/>
    <w:rsid w:val="005E4310"/>
    <w:rsid w:val="005E5073"/>
    <w:rsid w:val="005E5E3E"/>
    <w:rsid w:val="005E61A2"/>
    <w:rsid w:val="005E706D"/>
    <w:rsid w:val="005E763D"/>
    <w:rsid w:val="005E7967"/>
    <w:rsid w:val="005E7C34"/>
    <w:rsid w:val="005E7CC2"/>
    <w:rsid w:val="005F1078"/>
    <w:rsid w:val="005F1B92"/>
    <w:rsid w:val="005F1BCF"/>
    <w:rsid w:val="005F4220"/>
    <w:rsid w:val="005F5FDE"/>
    <w:rsid w:val="005F617F"/>
    <w:rsid w:val="005F69DE"/>
    <w:rsid w:val="005F72E0"/>
    <w:rsid w:val="005F7EE3"/>
    <w:rsid w:val="00600EE8"/>
    <w:rsid w:val="00600F18"/>
    <w:rsid w:val="006015C0"/>
    <w:rsid w:val="00604CCE"/>
    <w:rsid w:val="00605E1C"/>
    <w:rsid w:val="006104A5"/>
    <w:rsid w:val="00610864"/>
    <w:rsid w:val="00610DF0"/>
    <w:rsid w:val="006120CC"/>
    <w:rsid w:val="006129B2"/>
    <w:rsid w:val="00612B75"/>
    <w:rsid w:val="00612EB9"/>
    <w:rsid w:val="00613BC8"/>
    <w:rsid w:val="00613E23"/>
    <w:rsid w:val="00615C89"/>
    <w:rsid w:val="00615F6D"/>
    <w:rsid w:val="00615FEF"/>
    <w:rsid w:val="006175AE"/>
    <w:rsid w:val="00617E28"/>
    <w:rsid w:val="00620A1C"/>
    <w:rsid w:val="00621291"/>
    <w:rsid w:val="00621471"/>
    <w:rsid w:val="00621510"/>
    <w:rsid w:val="006220BD"/>
    <w:rsid w:val="00622C0E"/>
    <w:rsid w:val="00623407"/>
    <w:rsid w:val="0062385A"/>
    <w:rsid w:val="00623FDF"/>
    <w:rsid w:val="00624134"/>
    <w:rsid w:val="00624D49"/>
    <w:rsid w:val="00625074"/>
    <w:rsid w:val="0062593C"/>
    <w:rsid w:val="0062662B"/>
    <w:rsid w:val="00626F3D"/>
    <w:rsid w:val="00627C4D"/>
    <w:rsid w:val="006323F5"/>
    <w:rsid w:val="00632D73"/>
    <w:rsid w:val="00635927"/>
    <w:rsid w:val="00635B47"/>
    <w:rsid w:val="00635CDF"/>
    <w:rsid w:val="00636BB6"/>
    <w:rsid w:val="006370AC"/>
    <w:rsid w:val="006371DA"/>
    <w:rsid w:val="00637C47"/>
    <w:rsid w:val="00640A94"/>
    <w:rsid w:val="0064160E"/>
    <w:rsid w:val="00641CD1"/>
    <w:rsid w:val="0064307D"/>
    <w:rsid w:val="00643762"/>
    <w:rsid w:val="006449A0"/>
    <w:rsid w:val="006453E9"/>
    <w:rsid w:val="00645873"/>
    <w:rsid w:val="00650668"/>
    <w:rsid w:val="006555C4"/>
    <w:rsid w:val="0065695F"/>
    <w:rsid w:val="006575DA"/>
    <w:rsid w:val="00660984"/>
    <w:rsid w:val="00661F9A"/>
    <w:rsid w:val="00663351"/>
    <w:rsid w:val="0066348B"/>
    <w:rsid w:val="0066481D"/>
    <w:rsid w:val="00665482"/>
    <w:rsid w:val="00665798"/>
    <w:rsid w:val="00665E3A"/>
    <w:rsid w:val="0066733B"/>
    <w:rsid w:val="006679D4"/>
    <w:rsid w:val="00667AB7"/>
    <w:rsid w:val="00667D76"/>
    <w:rsid w:val="00667DBF"/>
    <w:rsid w:val="00670328"/>
    <w:rsid w:val="006703DC"/>
    <w:rsid w:val="0067052D"/>
    <w:rsid w:val="006709A9"/>
    <w:rsid w:val="00672490"/>
    <w:rsid w:val="0067342D"/>
    <w:rsid w:val="00673A9F"/>
    <w:rsid w:val="00673BA8"/>
    <w:rsid w:val="00674BC3"/>
    <w:rsid w:val="006755BF"/>
    <w:rsid w:val="00675A61"/>
    <w:rsid w:val="00676423"/>
    <w:rsid w:val="00676535"/>
    <w:rsid w:val="0068013F"/>
    <w:rsid w:val="006813F7"/>
    <w:rsid w:val="0068165D"/>
    <w:rsid w:val="00681BA1"/>
    <w:rsid w:val="00681E4F"/>
    <w:rsid w:val="00682184"/>
    <w:rsid w:val="006828A4"/>
    <w:rsid w:val="00682A09"/>
    <w:rsid w:val="006838AD"/>
    <w:rsid w:val="006843C5"/>
    <w:rsid w:val="00684694"/>
    <w:rsid w:val="00684B7E"/>
    <w:rsid w:val="00685992"/>
    <w:rsid w:val="006862BD"/>
    <w:rsid w:val="00686F4B"/>
    <w:rsid w:val="00687421"/>
    <w:rsid w:val="00687C3E"/>
    <w:rsid w:val="006900DD"/>
    <w:rsid w:val="00690FB8"/>
    <w:rsid w:val="006910A9"/>
    <w:rsid w:val="006919BD"/>
    <w:rsid w:val="00691A00"/>
    <w:rsid w:val="006930F3"/>
    <w:rsid w:val="00693429"/>
    <w:rsid w:val="00693476"/>
    <w:rsid w:val="0069367F"/>
    <w:rsid w:val="006942EF"/>
    <w:rsid w:val="00694D6E"/>
    <w:rsid w:val="00694DC0"/>
    <w:rsid w:val="00695C4B"/>
    <w:rsid w:val="0069682B"/>
    <w:rsid w:val="00697815"/>
    <w:rsid w:val="006A0454"/>
    <w:rsid w:val="006A0C7F"/>
    <w:rsid w:val="006A1036"/>
    <w:rsid w:val="006A171E"/>
    <w:rsid w:val="006A1C34"/>
    <w:rsid w:val="006A2411"/>
    <w:rsid w:val="006A25C3"/>
    <w:rsid w:val="006A3842"/>
    <w:rsid w:val="006A387A"/>
    <w:rsid w:val="006A3DA2"/>
    <w:rsid w:val="006A408C"/>
    <w:rsid w:val="006A4A0B"/>
    <w:rsid w:val="006A52A5"/>
    <w:rsid w:val="006A7282"/>
    <w:rsid w:val="006A76C4"/>
    <w:rsid w:val="006A7E17"/>
    <w:rsid w:val="006B0658"/>
    <w:rsid w:val="006B16B3"/>
    <w:rsid w:val="006B1ACA"/>
    <w:rsid w:val="006B20F1"/>
    <w:rsid w:val="006B2EF3"/>
    <w:rsid w:val="006B38FC"/>
    <w:rsid w:val="006B430C"/>
    <w:rsid w:val="006B4CF4"/>
    <w:rsid w:val="006B6C02"/>
    <w:rsid w:val="006B7D43"/>
    <w:rsid w:val="006C0BA3"/>
    <w:rsid w:val="006C1BF9"/>
    <w:rsid w:val="006C2A5D"/>
    <w:rsid w:val="006C2BC6"/>
    <w:rsid w:val="006C3106"/>
    <w:rsid w:val="006C3803"/>
    <w:rsid w:val="006C3AA5"/>
    <w:rsid w:val="006C59D1"/>
    <w:rsid w:val="006C5FDD"/>
    <w:rsid w:val="006C7E58"/>
    <w:rsid w:val="006D0B2B"/>
    <w:rsid w:val="006D1972"/>
    <w:rsid w:val="006D2209"/>
    <w:rsid w:val="006D335E"/>
    <w:rsid w:val="006D36BB"/>
    <w:rsid w:val="006D3EFC"/>
    <w:rsid w:val="006D6876"/>
    <w:rsid w:val="006D6896"/>
    <w:rsid w:val="006D6DC2"/>
    <w:rsid w:val="006E062A"/>
    <w:rsid w:val="006E08F1"/>
    <w:rsid w:val="006E0A15"/>
    <w:rsid w:val="006E12CB"/>
    <w:rsid w:val="006E1DD3"/>
    <w:rsid w:val="006E2A5E"/>
    <w:rsid w:val="006E2F16"/>
    <w:rsid w:val="006E3556"/>
    <w:rsid w:val="006E3A24"/>
    <w:rsid w:val="006E44AE"/>
    <w:rsid w:val="006E4735"/>
    <w:rsid w:val="006E6A72"/>
    <w:rsid w:val="006F037B"/>
    <w:rsid w:val="006F043C"/>
    <w:rsid w:val="006F0E04"/>
    <w:rsid w:val="006F1B94"/>
    <w:rsid w:val="006F26C5"/>
    <w:rsid w:val="006F271F"/>
    <w:rsid w:val="006F3156"/>
    <w:rsid w:val="006F35D2"/>
    <w:rsid w:val="006F3CA3"/>
    <w:rsid w:val="006F432F"/>
    <w:rsid w:val="006F4C28"/>
    <w:rsid w:val="006F4CBD"/>
    <w:rsid w:val="006F4ED3"/>
    <w:rsid w:val="006F5468"/>
    <w:rsid w:val="006F696D"/>
    <w:rsid w:val="006F7D78"/>
    <w:rsid w:val="00700165"/>
    <w:rsid w:val="0070160A"/>
    <w:rsid w:val="00701B33"/>
    <w:rsid w:val="00701D5E"/>
    <w:rsid w:val="00703CA8"/>
    <w:rsid w:val="007040C6"/>
    <w:rsid w:val="007060FA"/>
    <w:rsid w:val="007068BA"/>
    <w:rsid w:val="00707CEA"/>
    <w:rsid w:val="00716E50"/>
    <w:rsid w:val="0072177F"/>
    <w:rsid w:val="007227A1"/>
    <w:rsid w:val="007227F3"/>
    <w:rsid w:val="00722F27"/>
    <w:rsid w:val="00724D72"/>
    <w:rsid w:val="007254B4"/>
    <w:rsid w:val="00725762"/>
    <w:rsid w:val="0072590A"/>
    <w:rsid w:val="00726899"/>
    <w:rsid w:val="00727378"/>
    <w:rsid w:val="007279E6"/>
    <w:rsid w:val="00727B2A"/>
    <w:rsid w:val="00730428"/>
    <w:rsid w:val="0073116E"/>
    <w:rsid w:val="00732521"/>
    <w:rsid w:val="00734353"/>
    <w:rsid w:val="007343A9"/>
    <w:rsid w:val="007352C2"/>
    <w:rsid w:val="00735B1B"/>
    <w:rsid w:val="00736060"/>
    <w:rsid w:val="00736DE8"/>
    <w:rsid w:val="00737B21"/>
    <w:rsid w:val="00742520"/>
    <w:rsid w:val="007426B4"/>
    <w:rsid w:val="00742A3D"/>
    <w:rsid w:val="0074307B"/>
    <w:rsid w:val="00743748"/>
    <w:rsid w:val="0074451F"/>
    <w:rsid w:val="00744A42"/>
    <w:rsid w:val="00744D5B"/>
    <w:rsid w:val="007453B2"/>
    <w:rsid w:val="00745EA6"/>
    <w:rsid w:val="00746D6D"/>
    <w:rsid w:val="00747671"/>
    <w:rsid w:val="00747673"/>
    <w:rsid w:val="00747A92"/>
    <w:rsid w:val="00750851"/>
    <w:rsid w:val="007518DD"/>
    <w:rsid w:val="00753CB9"/>
    <w:rsid w:val="00754340"/>
    <w:rsid w:val="00755135"/>
    <w:rsid w:val="00757428"/>
    <w:rsid w:val="00757B83"/>
    <w:rsid w:val="00757E5C"/>
    <w:rsid w:val="00760550"/>
    <w:rsid w:val="0076107F"/>
    <w:rsid w:val="00761B2E"/>
    <w:rsid w:val="007622BB"/>
    <w:rsid w:val="00762BBA"/>
    <w:rsid w:val="00762BE2"/>
    <w:rsid w:val="00762E93"/>
    <w:rsid w:val="0076384A"/>
    <w:rsid w:val="00763C38"/>
    <w:rsid w:val="00764E17"/>
    <w:rsid w:val="00765CF8"/>
    <w:rsid w:val="00766FA9"/>
    <w:rsid w:val="00767552"/>
    <w:rsid w:val="007706A9"/>
    <w:rsid w:val="00771743"/>
    <w:rsid w:val="0077206F"/>
    <w:rsid w:val="00772502"/>
    <w:rsid w:val="00772966"/>
    <w:rsid w:val="00773214"/>
    <w:rsid w:val="007733AE"/>
    <w:rsid w:val="007735E7"/>
    <w:rsid w:val="00773901"/>
    <w:rsid w:val="00773D3E"/>
    <w:rsid w:val="0077589A"/>
    <w:rsid w:val="00777149"/>
    <w:rsid w:val="007800A9"/>
    <w:rsid w:val="0078036F"/>
    <w:rsid w:val="00780AB5"/>
    <w:rsid w:val="0078101D"/>
    <w:rsid w:val="00781D8C"/>
    <w:rsid w:val="00782782"/>
    <w:rsid w:val="007847E6"/>
    <w:rsid w:val="00784D39"/>
    <w:rsid w:val="007855A9"/>
    <w:rsid w:val="007857E4"/>
    <w:rsid w:val="00785F1C"/>
    <w:rsid w:val="00786092"/>
    <w:rsid w:val="00786251"/>
    <w:rsid w:val="007863E9"/>
    <w:rsid w:val="007866E0"/>
    <w:rsid w:val="007868EC"/>
    <w:rsid w:val="00786990"/>
    <w:rsid w:val="00786A81"/>
    <w:rsid w:val="0078763A"/>
    <w:rsid w:val="007902E1"/>
    <w:rsid w:val="00790CE5"/>
    <w:rsid w:val="00791574"/>
    <w:rsid w:val="00791D1E"/>
    <w:rsid w:val="00791E4F"/>
    <w:rsid w:val="00792517"/>
    <w:rsid w:val="00792942"/>
    <w:rsid w:val="00793187"/>
    <w:rsid w:val="0079411F"/>
    <w:rsid w:val="00794B93"/>
    <w:rsid w:val="00794E21"/>
    <w:rsid w:val="00794EFF"/>
    <w:rsid w:val="007963CC"/>
    <w:rsid w:val="00796A2D"/>
    <w:rsid w:val="00796DAD"/>
    <w:rsid w:val="00797ABE"/>
    <w:rsid w:val="00797EF6"/>
    <w:rsid w:val="007A0515"/>
    <w:rsid w:val="007A0B99"/>
    <w:rsid w:val="007A1DB9"/>
    <w:rsid w:val="007A1F31"/>
    <w:rsid w:val="007A226D"/>
    <w:rsid w:val="007A2968"/>
    <w:rsid w:val="007A30F9"/>
    <w:rsid w:val="007A3171"/>
    <w:rsid w:val="007A3FA4"/>
    <w:rsid w:val="007A3FDC"/>
    <w:rsid w:val="007A4AE1"/>
    <w:rsid w:val="007A5B31"/>
    <w:rsid w:val="007A6064"/>
    <w:rsid w:val="007A7551"/>
    <w:rsid w:val="007A7A08"/>
    <w:rsid w:val="007B0F22"/>
    <w:rsid w:val="007B1126"/>
    <w:rsid w:val="007B1304"/>
    <w:rsid w:val="007B141E"/>
    <w:rsid w:val="007B1CFB"/>
    <w:rsid w:val="007B2AE2"/>
    <w:rsid w:val="007B2F2E"/>
    <w:rsid w:val="007B2F47"/>
    <w:rsid w:val="007B34C7"/>
    <w:rsid w:val="007B3623"/>
    <w:rsid w:val="007B39EC"/>
    <w:rsid w:val="007B3EF9"/>
    <w:rsid w:val="007B4844"/>
    <w:rsid w:val="007B4CD2"/>
    <w:rsid w:val="007B6242"/>
    <w:rsid w:val="007B70E4"/>
    <w:rsid w:val="007B7A07"/>
    <w:rsid w:val="007B7E79"/>
    <w:rsid w:val="007C008D"/>
    <w:rsid w:val="007C247E"/>
    <w:rsid w:val="007C2635"/>
    <w:rsid w:val="007C2F96"/>
    <w:rsid w:val="007C3250"/>
    <w:rsid w:val="007C32B5"/>
    <w:rsid w:val="007C3346"/>
    <w:rsid w:val="007C3912"/>
    <w:rsid w:val="007C3F5B"/>
    <w:rsid w:val="007C407B"/>
    <w:rsid w:val="007C44E2"/>
    <w:rsid w:val="007C4F88"/>
    <w:rsid w:val="007C6960"/>
    <w:rsid w:val="007C6F4F"/>
    <w:rsid w:val="007D164A"/>
    <w:rsid w:val="007D2966"/>
    <w:rsid w:val="007D2B60"/>
    <w:rsid w:val="007D3717"/>
    <w:rsid w:val="007D3CB8"/>
    <w:rsid w:val="007D4E6C"/>
    <w:rsid w:val="007D53D5"/>
    <w:rsid w:val="007D57C8"/>
    <w:rsid w:val="007D5BB3"/>
    <w:rsid w:val="007D6660"/>
    <w:rsid w:val="007D6662"/>
    <w:rsid w:val="007D689F"/>
    <w:rsid w:val="007D6D11"/>
    <w:rsid w:val="007E0301"/>
    <w:rsid w:val="007E0CF4"/>
    <w:rsid w:val="007E1A09"/>
    <w:rsid w:val="007E216F"/>
    <w:rsid w:val="007E29CF"/>
    <w:rsid w:val="007E321F"/>
    <w:rsid w:val="007E352F"/>
    <w:rsid w:val="007E3950"/>
    <w:rsid w:val="007E44D5"/>
    <w:rsid w:val="007E49B4"/>
    <w:rsid w:val="007E56F0"/>
    <w:rsid w:val="007E60A7"/>
    <w:rsid w:val="007E61D9"/>
    <w:rsid w:val="007E6B64"/>
    <w:rsid w:val="007F1FB4"/>
    <w:rsid w:val="007F2C2B"/>
    <w:rsid w:val="007F32DD"/>
    <w:rsid w:val="007F3A66"/>
    <w:rsid w:val="007F3EC2"/>
    <w:rsid w:val="007F425E"/>
    <w:rsid w:val="007F5C80"/>
    <w:rsid w:val="007F6393"/>
    <w:rsid w:val="007F69A2"/>
    <w:rsid w:val="007F792E"/>
    <w:rsid w:val="00802485"/>
    <w:rsid w:val="00804113"/>
    <w:rsid w:val="008042AA"/>
    <w:rsid w:val="008055DE"/>
    <w:rsid w:val="0080657E"/>
    <w:rsid w:val="00806F76"/>
    <w:rsid w:val="00807BDE"/>
    <w:rsid w:val="00807DC5"/>
    <w:rsid w:val="00807F64"/>
    <w:rsid w:val="00810AF8"/>
    <w:rsid w:val="0081107F"/>
    <w:rsid w:val="008118E5"/>
    <w:rsid w:val="00811E8A"/>
    <w:rsid w:val="00811FC4"/>
    <w:rsid w:val="008130C3"/>
    <w:rsid w:val="0081322A"/>
    <w:rsid w:val="00813865"/>
    <w:rsid w:val="00813A9E"/>
    <w:rsid w:val="00813FBC"/>
    <w:rsid w:val="008148C9"/>
    <w:rsid w:val="00820A07"/>
    <w:rsid w:val="00821315"/>
    <w:rsid w:val="00821757"/>
    <w:rsid w:val="00821E0B"/>
    <w:rsid w:val="008220D6"/>
    <w:rsid w:val="00822555"/>
    <w:rsid w:val="00822825"/>
    <w:rsid w:val="00822BD4"/>
    <w:rsid w:val="00822D96"/>
    <w:rsid w:val="00822EA4"/>
    <w:rsid w:val="00823127"/>
    <w:rsid w:val="00823ACF"/>
    <w:rsid w:val="008248C5"/>
    <w:rsid w:val="00824A36"/>
    <w:rsid w:val="0082551C"/>
    <w:rsid w:val="00826DEF"/>
    <w:rsid w:val="00827B3E"/>
    <w:rsid w:val="00827FB2"/>
    <w:rsid w:val="0083053C"/>
    <w:rsid w:val="00830791"/>
    <w:rsid w:val="00830E01"/>
    <w:rsid w:val="00831E88"/>
    <w:rsid w:val="008325F2"/>
    <w:rsid w:val="00832A2B"/>
    <w:rsid w:val="00832B4D"/>
    <w:rsid w:val="0083306B"/>
    <w:rsid w:val="00833104"/>
    <w:rsid w:val="00834EA0"/>
    <w:rsid w:val="00835A0D"/>
    <w:rsid w:val="00835D34"/>
    <w:rsid w:val="00836761"/>
    <w:rsid w:val="00836BC4"/>
    <w:rsid w:val="0083727D"/>
    <w:rsid w:val="0083739E"/>
    <w:rsid w:val="008426CF"/>
    <w:rsid w:val="00842E6A"/>
    <w:rsid w:val="00842EE0"/>
    <w:rsid w:val="008434D7"/>
    <w:rsid w:val="008438C7"/>
    <w:rsid w:val="00843A77"/>
    <w:rsid w:val="008447C3"/>
    <w:rsid w:val="0084524B"/>
    <w:rsid w:val="0084635B"/>
    <w:rsid w:val="00846604"/>
    <w:rsid w:val="00847411"/>
    <w:rsid w:val="00851115"/>
    <w:rsid w:val="00851653"/>
    <w:rsid w:val="00851CF7"/>
    <w:rsid w:val="00852913"/>
    <w:rsid w:val="008529A4"/>
    <w:rsid w:val="00852ED5"/>
    <w:rsid w:val="0085315E"/>
    <w:rsid w:val="00853160"/>
    <w:rsid w:val="00854804"/>
    <w:rsid w:val="00856663"/>
    <w:rsid w:val="008566C5"/>
    <w:rsid w:val="0085670D"/>
    <w:rsid w:val="0085703F"/>
    <w:rsid w:val="008574AD"/>
    <w:rsid w:val="00860C55"/>
    <w:rsid w:val="00864A6F"/>
    <w:rsid w:val="00864F62"/>
    <w:rsid w:val="0086543B"/>
    <w:rsid w:val="0086580D"/>
    <w:rsid w:val="008658AB"/>
    <w:rsid w:val="00865A01"/>
    <w:rsid w:val="00866A38"/>
    <w:rsid w:val="00866F56"/>
    <w:rsid w:val="008707DA"/>
    <w:rsid w:val="00871516"/>
    <w:rsid w:val="008716C8"/>
    <w:rsid w:val="008716DA"/>
    <w:rsid w:val="0087261A"/>
    <w:rsid w:val="00872F99"/>
    <w:rsid w:val="008740A5"/>
    <w:rsid w:val="00874E32"/>
    <w:rsid w:val="008751B1"/>
    <w:rsid w:val="00875ACA"/>
    <w:rsid w:val="00876306"/>
    <w:rsid w:val="00876568"/>
    <w:rsid w:val="0087745C"/>
    <w:rsid w:val="008776A3"/>
    <w:rsid w:val="00880E41"/>
    <w:rsid w:val="00882B87"/>
    <w:rsid w:val="0088304E"/>
    <w:rsid w:val="00883621"/>
    <w:rsid w:val="00883644"/>
    <w:rsid w:val="00883B13"/>
    <w:rsid w:val="00883FBE"/>
    <w:rsid w:val="0088465E"/>
    <w:rsid w:val="008856F5"/>
    <w:rsid w:val="00886133"/>
    <w:rsid w:val="0088654F"/>
    <w:rsid w:val="00890353"/>
    <w:rsid w:val="00890CB7"/>
    <w:rsid w:val="00891BFE"/>
    <w:rsid w:val="00893771"/>
    <w:rsid w:val="008946B8"/>
    <w:rsid w:val="00894CFD"/>
    <w:rsid w:val="00895085"/>
    <w:rsid w:val="008952A0"/>
    <w:rsid w:val="00895595"/>
    <w:rsid w:val="00895B77"/>
    <w:rsid w:val="00897BEB"/>
    <w:rsid w:val="008A0CD0"/>
    <w:rsid w:val="008A11CE"/>
    <w:rsid w:val="008A1D5B"/>
    <w:rsid w:val="008A2279"/>
    <w:rsid w:val="008A2973"/>
    <w:rsid w:val="008A35EA"/>
    <w:rsid w:val="008A463F"/>
    <w:rsid w:val="008A473C"/>
    <w:rsid w:val="008A486D"/>
    <w:rsid w:val="008A528B"/>
    <w:rsid w:val="008A5BCB"/>
    <w:rsid w:val="008A6BB8"/>
    <w:rsid w:val="008A7000"/>
    <w:rsid w:val="008B18AE"/>
    <w:rsid w:val="008B32D7"/>
    <w:rsid w:val="008B455E"/>
    <w:rsid w:val="008B4702"/>
    <w:rsid w:val="008B48B6"/>
    <w:rsid w:val="008B4A02"/>
    <w:rsid w:val="008B4DF1"/>
    <w:rsid w:val="008B5892"/>
    <w:rsid w:val="008B5B2B"/>
    <w:rsid w:val="008B6479"/>
    <w:rsid w:val="008C025F"/>
    <w:rsid w:val="008C0924"/>
    <w:rsid w:val="008C09FE"/>
    <w:rsid w:val="008C0A92"/>
    <w:rsid w:val="008C156D"/>
    <w:rsid w:val="008C35F0"/>
    <w:rsid w:val="008C3895"/>
    <w:rsid w:val="008C39D3"/>
    <w:rsid w:val="008C3BE7"/>
    <w:rsid w:val="008C3C7D"/>
    <w:rsid w:val="008C486E"/>
    <w:rsid w:val="008C5412"/>
    <w:rsid w:val="008C5D70"/>
    <w:rsid w:val="008C6CED"/>
    <w:rsid w:val="008C7174"/>
    <w:rsid w:val="008D13A6"/>
    <w:rsid w:val="008D221E"/>
    <w:rsid w:val="008D2E72"/>
    <w:rsid w:val="008D2FD7"/>
    <w:rsid w:val="008D355F"/>
    <w:rsid w:val="008D43C6"/>
    <w:rsid w:val="008D5009"/>
    <w:rsid w:val="008D55DC"/>
    <w:rsid w:val="008D5877"/>
    <w:rsid w:val="008D5D7A"/>
    <w:rsid w:val="008D701C"/>
    <w:rsid w:val="008D736F"/>
    <w:rsid w:val="008E05CF"/>
    <w:rsid w:val="008E1AEF"/>
    <w:rsid w:val="008E2162"/>
    <w:rsid w:val="008E21EB"/>
    <w:rsid w:val="008E26D9"/>
    <w:rsid w:val="008E2D3B"/>
    <w:rsid w:val="008E38C3"/>
    <w:rsid w:val="008E6829"/>
    <w:rsid w:val="008E7A50"/>
    <w:rsid w:val="008E7CC5"/>
    <w:rsid w:val="008F0A97"/>
    <w:rsid w:val="008F1FF3"/>
    <w:rsid w:val="008F2B46"/>
    <w:rsid w:val="008F4137"/>
    <w:rsid w:val="008F4CAE"/>
    <w:rsid w:val="008F58FB"/>
    <w:rsid w:val="009000CF"/>
    <w:rsid w:val="00900960"/>
    <w:rsid w:val="00900C26"/>
    <w:rsid w:val="0090129D"/>
    <w:rsid w:val="009012BA"/>
    <w:rsid w:val="0090196F"/>
    <w:rsid w:val="009044EB"/>
    <w:rsid w:val="00906B1F"/>
    <w:rsid w:val="00906DF3"/>
    <w:rsid w:val="00907590"/>
    <w:rsid w:val="00907EB5"/>
    <w:rsid w:val="00910CE2"/>
    <w:rsid w:val="00910F7A"/>
    <w:rsid w:val="00911053"/>
    <w:rsid w:val="00912190"/>
    <w:rsid w:val="0091242C"/>
    <w:rsid w:val="00912B94"/>
    <w:rsid w:val="009137F8"/>
    <w:rsid w:val="00913828"/>
    <w:rsid w:val="0091691C"/>
    <w:rsid w:val="00916C4D"/>
    <w:rsid w:val="009170AE"/>
    <w:rsid w:val="009176C0"/>
    <w:rsid w:val="00917AB5"/>
    <w:rsid w:val="00917EF3"/>
    <w:rsid w:val="009201F9"/>
    <w:rsid w:val="009202D4"/>
    <w:rsid w:val="00921626"/>
    <w:rsid w:val="00921CC6"/>
    <w:rsid w:val="00921D00"/>
    <w:rsid w:val="00922CD4"/>
    <w:rsid w:val="00922DDA"/>
    <w:rsid w:val="009238DC"/>
    <w:rsid w:val="0092605A"/>
    <w:rsid w:val="0092676B"/>
    <w:rsid w:val="00926F07"/>
    <w:rsid w:val="009302DD"/>
    <w:rsid w:val="0093107D"/>
    <w:rsid w:val="00931FED"/>
    <w:rsid w:val="00932B17"/>
    <w:rsid w:val="00933325"/>
    <w:rsid w:val="00933C71"/>
    <w:rsid w:val="009345D3"/>
    <w:rsid w:val="00934DD4"/>
    <w:rsid w:val="00934E8B"/>
    <w:rsid w:val="00935BDA"/>
    <w:rsid w:val="0093723A"/>
    <w:rsid w:val="009402E6"/>
    <w:rsid w:val="00942BBD"/>
    <w:rsid w:val="009436E0"/>
    <w:rsid w:val="00943797"/>
    <w:rsid w:val="00943C28"/>
    <w:rsid w:val="009446BF"/>
    <w:rsid w:val="009447E2"/>
    <w:rsid w:val="0094703F"/>
    <w:rsid w:val="00947109"/>
    <w:rsid w:val="00947CFD"/>
    <w:rsid w:val="0095090C"/>
    <w:rsid w:val="00950F44"/>
    <w:rsid w:val="00951737"/>
    <w:rsid w:val="00951A01"/>
    <w:rsid w:val="00951A2C"/>
    <w:rsid w:val="00952004"/>
    <w:rsid w:val="00952F4E"/>
    <w:rsid w:val="00953CFA"/>
    <w:rsid w:val="00954052"/>
    <w:rsid w:val="009547CD"/>
    <w:rsid w:val="00954A06"/>
    <w:rsid w:val="0095705C"/>
    <w:rsid w:val="00957271"/>
    <w:rsid w:val="00957377"/>
    <w:rsid w:val="009577F5"/>
    <w:rsid w:val="00960361"/>
    <w:rsid w:val="00961AFF"/>
    <w:rsid w:val="00961D57"/>
    <w:rsid w:val="00962BAF"/>
    <w:rsid w:val="00962F73"/>
    <w:rsid w:val="00963E61"/>
    <w:rsid w:val="00964176"/>
    <w:rsid w:val="009665CA"/>
    <w:rsid w:val="00966C52"/>
    <w:rsid w:val="00966EC8"/>
    <w:rsid w:val="009675B3"/>
    <w:rsid w:val="00967D91"/>
    <w:rsid w:val="00967F46"/>
    <w:rsid w:val="009702EA"/>
    <w:rsid w:val="00971188"/>
    <w:rsid w:val="009711F3"/>
    <w:rsid w:val="00971239"/>
    <w:rsid w:val="0097174E"/>
    <w:rsid w:val="00971E00"/>
    <w:rsid w:val="00972012"/>
    <w:rsid w:val="00972091"/>
    <w:rsid w:val="009730D4"/>
    <w:rsid w:val="009754F3"/>
    <w:rsid w:val="00975F26"/>
    <w:rsid w:val="00976094"/>
    <w:rsid w:val="0097655C"/>
    <w:rsid w:val="009779B9"/>
    <w:rsid w:val="00980ED0"/>
    <w:rsid w:val="0098164A"/>
    <w:rsid w:val="00982168"/>
    <w:rsid w:val="00982E6E"/>
    <w:rsid w:val="00982F2A"/>
    <w:rsid w:val="009831A1"/>
    <w:rsid w:val="0098366C"/>
    <w:rsid w:val="00983AE2"/>
    <w:rsid w:val="00984F7C"/>
    <w:rsid w:val="00986956"/>
    <w:rsid w:val="009879B3"/>
    <w:rsid w:val="00987CDD"/>
    <w:rsid w:val="00987FB2"/>
    <w:rsid w:val="009906D4"/>
    <w:rsid w:val="009907E4"/>
    <w:rsid w:val="00990D4D"/>
    <w:rsid w:val="00992126"/>
    <w:rsid w:val="00992AB1"/>
    <w:rsid w:val="00993168"/>
    <w:rsid w:val="0099445F"/>
    <w:rsid w:val="00995A65"/>
    <w:rsid w:val="00996710"/>
    <w:rsid w:val="00997C14"/>
    <w:rsid w:val="009A0785"/>
    <w:rsid w:val="009A0D97"/>
    <w:rsid w:val="009A176F"/>
    <w:rsid w:val="009A1DB9"/>
    <w:rsid w:val="009A2815"/>
    <w:rsid w:val="009A2ACB"/>
    <w:rsid w:val="009A413F"/>
    <w:rsid w:val="009A4A56"/>
    <w:rsid w:val="009A4B99"/>
    <w:rsid w:val="009A4D0B"/>
    <w:rsid w:val="009A538F"/>
    <w:rsid w:val="009A5744"/>
    <w:rsid w:val="009A66F7"/>
    <w:rsid w:val="009A67BE"/>
    <w:rsid w:val="009A6C5C"/>
    <w:rsid w:val="009A73C4"/>
    <w:rsid w:val="009A76E0"/>
    <w:rsid w:val="009B0B4C"/>
    <w:rsid w:val="009B1251"/>
    <w:rsid w:val="009B1F61"/>
    <w:rsid w:val="009B211D"/>
    <w:rsid w:val="009B2273"/>
    <w:rsid w:val="009B26E1"/>
    <w:rsid w:val="009B2E99"/>
    <w:rsid w:val="009B3EC3"/>
    <w:rsid w:val="009B43E1"/>
    <w:rsid w:val="009B4CE6"/>
    <w:rsid w:val="009B5232"/>
    <w:rsid w:val="009B5747"/>
    <w:rsid w:val="009B5CA8"/>
    <w:rsid w:val="009B6283"/>
    <w:rsid w:val="009B6378"/>
    <w:rsid w:val="009B78D2"/>
    <w:rsid w:val="009B7961"/>
    <w:rsid w:val="009C000D"/>
    <w:rsid w:val="009C03A8"/>
    <w:rsid w:val="009C057F"/>
    <w:rsid w:val="009C0D12"/>
    <w:rsid w:val="009C197C"/>
    <w:rsid w:val="009C2DD8"/>
    <w:rsid w:val="009C4C14"/>
    <w:rsid w:val="009C4C3F"/>
    <w:rsid w:val="009C6446"/>
    <w:rsid w:val="009C665C"/>
    <w:rsid w:val="009C7A70"/>
    <w:rsid w:val="009C7DA7"/>
    <w:rsid w:val="009D0249"/>
    <w:rsid w:val="009D0852"/>
    <w:rsid w:val="009D09CB"/>
    <w:rsid w:val="009D0B4D"/>
    <w:rsid w:val="009D0C9B"/>
    <w:rsid w:val="009D1138"/>
    <w:rsid w:val="009D1156"/>
    <w:rsid w:val="009D3239"/>
    <w:rsid w:val="009D40FC"/>
    <w:rsid w:val="009D419E"/>
    <w:rsid w:val="009D4C74"/>
    <w:rsid w:val="009D628A"/>
    <w:rsid w:val="009D663E"/>
    <w:rsid w:val="009D722C"/>
    <w:rsid w:val="009D7B78"/>
    <w:rsid w:val="009D7C67"/>
    <w:rsid w:val="009E20B4"/>
    <w:rsid w:val="009E3196"/>
    <w:rsid w:val="009E3F1C"/>
    <w:rsid w:val="009E51DC"/>
    <w:rsid w:val="009E6F53"/>
    <w:rsid w:val="009E710B"/>
    <w:rsid w:val="009E7D8E"/>
    <w:rsid w:val="009F18E0"/>
    <w:rsid w:val="009F2847"/>
    <w:rsid w:val="009F286C"/>
    <w:rsid w:val="009F2BF5"/>
    <w:rsid w:val="009F3C66"/>
    <w:rsid w:val="009F4F91"/>
    <w:rsid w:val="009F505E"/>
    <w:rsid w:val="009F5263"/>
    <w:rsid w:val="009F545D"/>
    <w:rsid w:val="009F5B10"/>
    <w:rsid w:val="009F78F9"/>
    <w:rsid w:val="00A0049A"/>
    <w:rsid w:val="00A0078D"/>
    <w:rsid w:val="00A00881"/>
    <w:rsid w:val="00A011E5"/>
    <w:rsid w:val="00A032C0"/>
    <w:rsid w:val="00A03713"/>
    <w:rsid w:val="00A0448E"/>
    <w:rsid w:val="00A0552A"/>
    <w:rsid w:val="00A056EB"/>
    <w:rsid w:val="00A05AE2"/>
    <w:rsid w:val="00A05EB1"/>
    <w:rsid w:val="00A06581"/>
    <w:rsid w:val="00A07764"/>
    <w:rsid w:val="00A0793F"/>
    <w:rsid w:val="00A07BB4"/>
    <w:rsid w:val="00A104E6"/>
    <w:rsid w:val="00A11199"/>
    <w:rsid w:val="00A112AE"/>
    <w:rsid w:val="00A116F3"/>
    <w:rsid w:val="00A11718"/>
    <w:rsid w:val="00A11742"/>
    <w:rsid w:val="00A12E7E"/>
    <w:rsid w:val="00A12EEC"/>
    <w:rsid w:val="00A15EF3"/>
    <w:rsid w:val="00A16191"/>
    <w:rsid w:val="00A161BC"/>
    <w:rsid w:val="00A165F8"/>
    <w:rsid w:val="00A1694C"/>
    <w:rsid w:val="00A178DE"/>
    <w:rsid w:val="00A206DE"/>
    <w:rsid w:val="00A210E0"/>
    <w:rsid w:val="00A21F56"/>
    <w:rsid w:val="00A22513"/>
    <w:rsid w:val="00A22E2C"/>
    <w:rsid w:val="00A2335B"/>
    <w:rsid w:val="00A23E5D"/>
    <w:rsid w:val="00A2422D"/>
    <w:rsid w:val="00A24C2C"/>
    <w:rsid w:val="00A25003"/>
    <w:rsid w:val="00A253F8"/>
    <w:rsid w:val="00A2594D"/>
    <w:rsid w:val="00A2662E"/>
    <w:rsid w:val="00A26A8A"/>
    <w:rsid w:val="00A26C32"/>
    <w:rsid w:val="00A325D1"/>
    <w:rsid w:val="00A32E1E"/>
    <w:rsid w:val="00A34E8B"/>
    <w:rsid w:val="00A36AB1"/>
    <w:rsid w:val="00A37AE1"/>
    <w:rsid w:val="00A40076"/>
    <w:rsid w:val="00A402EC"/>
    <w:rsid w:val="00A4041C"/>
    <w:rsid w:val="00A42D38"/>
    <w:rsid w:val="00A43CB8"/>
    <w:rsid w:val="00A45538"/>
    <w:rsid w:val="00A45D53"/>
    <w:rsid w:val="00A4638C"/>
    <w:rsid w:val="00A46BB9"/>
    <w:rsid w:val="00A47143"/>
    <w:rsid w:val="00A47614"/>
    <w:rsid w:val="00A476AB"/>
    <w:rsid w:val="00A47E92"/>
    <w:rsid w:val="00A50D3E"/>
    <w:rsid w:val="00A51DB0"/>
    <w:rsid w:val="00A52517"/>
    <w:rsid w:val="00A533A0"/>
    <w:rsid w:val="00A53D58"/>
    <w:rsid w:val="00A54112"/>
    <w:rsid w:val="00A54176"/>
    <w:rsid w:val="00A54A15"/>
    <w:rsid w:val="00A5541C"/>
    <w:rsid w:val="00A557D2"/>
    <w:rsid w:val="00A55ABD"/>
    <w:rsid w:val="00A55FC5"/>
    <w:rsid w:val="00A56B80"/>
    <w:rsid w:val="00A5747D"/>
    <w:rsid w:val="00A5799B"/>
    <w:rsid w:val="00A60032"/>
    <w:rsid w:val="00A617CF"/>
    <w:rsid w:val="00A63928"/>
    <w:rsid w:val="00A63F94"/>
    <w:rsid w:val="00A64897"/>
    <w:rsid w:val="00A64EEF"/>
    <w:rsid w:val="00A64FD3"/>
    <w:rsid w:val="00A6559E"/>
    <w:rsid w:val="00A65B56"/>
    <w:rsid w:val="00A66B23"/>
    <w:rsid w:val="00A66D96"/>
    <w:rsid w:val="00A676B4"/>
    <w:rsid w:val="00A67778"/>
    <w:rsid w:val="00A72860"/>
    <w:rsid w:val="00A72A97"/>
    <w:rsid w:val="00A72B94"/>
    <w:rsid w:val="00A73084"/>
    <w:rsid w:val="00A74101"/>
    <w:rsid w:val="00A769AE"/>
    <w:rsid w:val="00A7764A"/>
    <w:rsid w:val="00A77E21"/>
    <w:rsid w:val="00A806F2"/>
    <w:rsid w:val="00A81945"/>
    <w:rsid w:val="00A81C36"/>
    <w:rsid w:val="00A8214D"/>
    <w:rsid w:val="00A823DC"/>
    <w:rsid w:val="00A83E86"/>
    <w:rsid w:val="00A84782"/>
    <w:rsid w:val="00A84985"/>
    <w:rsid w:val="00A84A32"/>
    <w:rsid w:val="00A851E5"/>
    <w:rsid w:val="00A854DE"/>
    <w:rsid w:val="00A85A3A"/>
    <w:rsid w:val="00A869CC"/>
    <w:rsid w:val="00A8752A"/>
    <w:rsid w:val="00A878C3"/>
    <w:rsid w:val="00A9044D"/>
    <w:rsid w:val="00A907C0"/>
    <w:rsid w:val="00A90881"/>
    <w:rsid w:val="00A9187C"/>
    <w:rsid w:val="00A9191A"/>
    <w:rsid w:val="00A92587"/>
    <w:rsid w:val="00A92925"/>
    <w:rsid w:val="00A9324E"/>
    <w:rsid w:val="00A93435"/>
    <w:rsid w:val="00A9420A"/>
    <w:rsid w:val="00A94211"/>
    <w:rsid w:val="00A94260"/>
    <w:rsid w:val="00A959CE"/>
    <w:rsid w:val="00A972F7"/>
    <w:rsid w:val="00A97313"/>
    <w:rsid w:val="00A97B2F"/>
    <w:rsid w:val="00AA0FA1"/>
    <w:rsid w:val="00AA145E"/>
    <w:rsid w:val="00AA24AA"/>
    <w:rsid w:val="00AA494E"/>
    <w:rsid w:val="00AA5901"/>
    <w:rsid w:val="00AA5D5C"/>
    <w:rsid w:val="00AA5FF2"/>
    <w:rsid w:val="00AA60B4"/>
    <w:rsid w:val="00AA74BD"/>
    <w:rsid w:val="00AB0086"/>
    <w:rsid w:val="00AB0175"/>
    <w:rsid w:val="00AB04B1"/>
    <w:rsid w:val="00AB25BB"/>
    <w:rsid w:val="00AB2ACF"/>
    <w:rsid w:val="00AB32AA"/>
    <w:rsid w:val="00AB38F9"/>
    <w:rsid w:val="00AB4D3E"/>
    <w:rsid w:val="00AB50CB"/>
    <w:rsid w:val="00AB61A4"/>
    <w:rsid w:val="00AB61C4"/>
    <w:rsid w:val="00AB639A"/>
    <w:rsid w:val="00AB6C23"/>
    <w:rsid w:val="00AB72BA"/>
    <w:rsid w:val="00AB7B3D"/>
    <w:rsid w:val="00AC07CD"/>
    <w:rsid w:val="00AC0F76"/>
    <w:rsid w:val="00AC106F"/>
    <w:rsid w:val="00AC1436"/>
    <w:rsid w:val="00AC2EB2"/>
    <w:rsid w:val="00AC3F44"/>
    <w:rsid w:val="00AC445F"/>
    <w:rsid w:val="00AC5B58"/>
    <w:rsid w:val="00AC6C1D"/>
    <w:rsid w:val="00AC7449"/>
    <w:rsid w:val="00AD01B8"/>
    <w:rsid w:val="00AD08D6"/>
    <w:rsid w:val="00AD0A78"/>
    <w:rsid w:val="00AD0F96"/>
    <w:rsid w:val="00AD2036"/>
    <w:rsid w:val="00AD2969"/>
    <w:rsid w:val="00AD3650"/>
    <w:rsid w:val="00AD36BF"/>
    <w:rsid w:val="00AD4A65"/>
    <w:rsid w:val="00AD5F48"/>
    <w:rsid w:val="00AD7773"/>
    <w:rsid w:val="00AD77C4"/>
    <w:rsid w:val="00AD7E78"/>
    <w:rsid w:val="00AE0AAA"/>
    <w:rsid w:val="00AE1666"/>
    <w:rsid w:val="00AE3416"/>
    <w:rsid w:val="00AE4948"/>
    <w:rsid w:val="00AE4B23"/>
    <w:rsid w:val="00AE4C37"/>
    <w:rsid w:val="00AE6596"/>
    <w:rsid w:val="00AE7CF3"/>
    <w:rsid w:val="00AF04FF"/>
    <w:rsid w:val="00AF0EAC"/>
    <w:rsid w:val="00AF1092"/>
    <w:rsid w:val="00AF1498"/>
    <w:rsid w:val="00AF20AB"/>
    <w:rsid w:val="00AF2A7A"/>
    <w:rsid w:val="00AF3658"/>
    <w:rsid w:val="00AF3BB5"/>
    <w:rsid w:val="00AF4ACA"/>
    <w:rsid w:val="00AF53F9"/>
    <w:rsid w:val="00AF5745"/>
    <w:rsid w:val="00AF5999"/>
    <w:rsid w:val="00AF6861"/>
    <w:rsid w:val="00AF6D4F"/>
    <w:rsid w:val="00AF7629"/>
    <w:rsid w:val="00B00050"/>
    <w:rsid w:val="00B00524"/>
    <w:rsid w:val="00B0094C"/>
    <w:rsid w:val="00B01B87"/>
    <w:rsid w:val="00B01CA9"/>
    <w:rsid w:val="00B028F3"/>
    <w:rsid w:val="00B02B27"/>
    <w:rsid w:val="00B0329D"/>
    <w:rsid w:val="00B03A6C"/>
    <w:rsid w:val="00B0414E"/>
    <w:rsid w:val="00B053EB"/>
    <w:rsid w:val="00B05719"/>
    <w:rsid w:val="00B05EE9"/>
    <w:rsid w:val="00B06167"/>
    <w:rsid w:val="00B06A62"/>
    <w:rsid w:val="00B07CCD"/>
    <w:rsid w:val="00B102D6"/>
    <w:rsid w:val="00B10320"/>
    <w:rsid w:val="00B10AF3"/>
    <w:rsid w:val="00B10D92"/>
    <w:rsid w:val="00B114F3"/>
    <w:rsid w:val="00B1176F"/>
    <w:rsid w:val="00B12240"/>
    <w:rsid w:val="00B122EF"/>
    <w:rsid w:val="00B12D4E"/>
    <w:rsid w:val="00B1338F"/>
    <w:rsid w:val="00B14444"/>
    <w:rsid w:val="00B15F33"/>
    <w:rsid w:val="00B168FA"/>
    <w:rsid w:val="00B1694C"/>
    <w:rsid w:val="00B16E14"/>
    <w:rsid w:val="00B2179B"/>
    <w:rsid w:val="00B217E8"/>
    <w:rsid w:val="00B23A1E"/>
    <w:rsid w:val="00B24620"/>
    <w:rsid w:val="00B24C51"/>
    <w:rsid w:val="00B2549A"/>
    <w:rsid w:val="00B2585B"/>
    <w:rsid w:val="00B26165"/>
    <w:rsid w:val="00B26885"/>
    <w:rsid w:val="00B26BE5"/>
    <w:rsid w:val="00B27498"/>
    <w:rsid w:val="00B3092A"/>
    <w:rsid w:val="00B319DD"/>
    <w:rsid w:val="00B31A9D"/>
    <w:rsid w:val="00B32319"/>
    <w:rsid w:val="00B33DC9"/>
    <w:rsid w:val="00B34CF4"/>
    <w:rsid w:val="00B3551B"/>
    <w:rsid w:val="00B3571B"/>
    <w:rsid w:val="00B3581D"/>
    <w:rsid w:val="00B35B8B"/>
    <w:rsid w:val="00B35DAA"/>
    <w:rsid w:val="00B36092"/>
    <w:rsid w:val="00B366BE"/>
    <w:rsid w:val="00B3729B"/>
    <w:rsid w:val="00B3785C"/>
    <w:rsid w:val="00B378F6"/>
    <w:rsid w:val="00B404E2"/>
    <w:rsid w:val="00B41480"/>
    <w:rsid w:val="00B4151B"/>
    <w:rsid w:val="00B417D7"/>
    <w:rsid w:val="00B41E04"/>
    <w:rsid w:val="00B422FF"/>
    <w:rsid w:val="00B42BBF"/>
    <w:rsid w:val="00B431D0"/>
    <w:rsid w:val="00B4329F"/>
    <w:rsid w:val="00B44111"/>
    <w:rsid w:val="00B4496C"/>
    <w:rsid w:val="00B4629C"/>
    <w:rsid w:val="00B468F6"/>
    <w:rsid w:val="00B47320"/>
    <w:rsid w:val="00B50DDA"/>
    <w:rsid w:val="00B513B6"/>
    <w:rsid w:val="00B51CAE"/>
    <w:rsid w:val="00B52ADD"/>
    <w:rsid w:val="00B53AF2"/>
    <w:rsid w:val="00B53CA7"/>
    <w:rsid w:val="00B54105"/>
    <w:rsid w:val="00B550B9"/>
    <w:rsid w:val="00B55568"/>
    <w:rsid w:val="00B56555"/>
    <w:rsid w:val="00B56D9B"/>
    <w:rsid w:val="00B56EA8"/>
    <w:rsid w:val="00B6000E"/>
    <w:rsid w:val="00B60439"/>
    <w:rsid w:val="00B623DF"/>
    <w:rsid w:val="00B63AD5"/>
    <w:rsid w:val="00B64C7C"/>
    <w:rsid w:val="00B66174"/>
    <w:rsid w:val="00B674B5"/>
    <w:rsid w:val="00B678A9"/>
    <w:rsid w:val="00B70046"/>
    <w:rsid w:val="00B748AE"/>
    <w:rsid w:val="00B74F8E"/>
    <w:rsid w:val="00B775D2"/>
    <w:rsid w:val="00B776AC"/>
    <w:rsid w:val="00B77B83"/>
    <w:rsid w:val="00B77F7B"/>
    <w:rsid w:val="00B80782"/>
    <w:rsid w:val="00B80EA9"/>
    <w:rsid w:val="00B81992"/>
    <w:rsid w:val="00B821DC"/>
    <w:rsid w:val="00B829B1"/>
    <w:rsid w:val="00B82F4F"/>
    <w:rsid w:val="00B832F4"/>
    <w:rsid w:val="00B848EF"/>
    <w:rsid w:val="00B85BCE"/>
    <w:rsid w:val="00B87B6D"/>
    <w:rsid w:val="00B87CB9"/>
    <w:rsid w:val="00B901D5"/>
    <w:rsid w:val="00B90BE5"/>
    <w:rsid w:val="00B914D2"/>
    <w:rsid w:val="00B92B97"/>
    <w:rsid w:val="00B93521"/>
    <w:rsid w:val="00B93B21"/>
    <w:rsid w:val="00B93F74"/>
    <w:rsid w:val="00B94F7C"/>
    <w:rsid w:val="00B95BB8"/>
    <w:rsid w:val="00B97CFE"/>
    <w:rsid w:val="00BA0BC6"/>
    <w:rsid w:val="00BA12FA"/>
    <w:rsid w:val="00BA210C"/>
    <w:rsid w:val="00BA2B7C"/>
    <w:rsid w:val="00BA3DEA"/>
    <w:rsid w:val="00BA468E"/>
    <w:rsid w:val="00BA4CD3"/>
    <w:rsid w:val="00BA4F36"/>
    <w:rsid w:val="00BA4F53"/>
    <w:rsid w:val="00BA5781"/>
    <w:rsid w:val="00BA5877"/>
    <w:rsid w:val="00BA638C"/>
    <w:rsid w:val="00BB00A6"/>
    <w:rsid w:val="00BB05C5"/>
    <w:rsid w:val="00BB0E78"/>
    <w:rsid w:val="00BB124E"/>
    <w:rsid w:val="00BB20C4"/>
    <w:rsid w:val="00BB2BE9"/>
    <w:rsid w:val="00BB3ADB"/>
    <w:rsid w:val="00BB3C2E"/>
    <w:rsid w:val="00BB4CEC"/>
    <w:rsid w:val="00BB56A8"/>
    <w:rsid w:val="00BB79E8"/>
    <w:rsid w:val="00BC1C61"/>
    <w:rsid w:val="00BC4E9C"/>
    <w:rsid w:val="00BC5ED8"/>
    <w:rsid w:val="00BD06D8"/>
    <w:rsid w:val="00BD0B54"/>
    <w:rsid w:val="00BD13BF"/>
    <w:rsid w:val="00BD1AF5"/>
    <w:rsid w:val="00BD1D5E"/>
    <w:rsid w:val="00BD25F9"/>
    <w:rsid w:val="00BD4A3D"/>
    <w:rsid w:val="00BD6413"/>
    <w:rsid w:val="00BD64DC"/>
    <w:rsid w:val="00BD6EB6"/>
    <w:rsid w:val="00BD727B"/>
    <w:rsid w:val="00BD745F"/>
    <w:rsid w:val="00BD7682"/>
    <w:rsid w:val="00BD7865"/>
    <w:rsid w:val="00BD7A0C"/>
    <w:rsid w:val="00BE1658"/>
    <w:rsid w:val="00BE2E06"/>
    <w:rsid w:val="00BE3AD0"/>
    <w:rsid w:val="00BE5764"/>
    <w:rsid w:val="00BE6B77"/>
    <w:rsid w:val="00BE70F5"/>
    <w:rsid w:val="00BF1BF4"/>
    <w:rsid w:val="00BF1D43"/>
    <w:rsid w:val="00BF1D94"/>
    <w:rsid w:val="00BF25E1"/>
    <w:rsid w:val="00BF312A"/>
    <w:rsid w:val="00BF4259"/>
    <w:rsid w:val="00BF5787"/>
    <w:rsid w:val="00BF5D82"/>
    <w:rsid w:val="00BF716D"/>
    <w:rsid w:val="00BF71A0"/>
    <w:rsid w:val="00BF751D"/>
    <w:rsid w:val="00BF7630"/>
    <w:rsid w:val="00BF7799"/>
    <w:rsid w:val="00C0099D"/>
    <w:rsid w:val="00C00ACB"/>
    <w:rsid w:val="00C012AD"/>
    <w:rsid w:val="00C012F7"/>
    <w:rsid w:val="00C017C5"/>
    <w:rsid w:val="00C01A00"/>
    <w:rsid w:val="00C0387D"/>
    <w:rsid w:val="00C04D55"/>
    <w:rsid w:val="00C05E33"/>
    <w:rsid w:val="00C06965"/>
    <w:rsid w:val="00C06FF7"/>
    <w:rsid w:val="00C070F1"/>
    <w:rsid w:val="00C07685"/>
    <w:rsid w:val="00C10869"/>
    <w:rsid w:val="00C126B9"/>
    <w:rsid w:val="00C139C3"/>
    <w:rsid w:val="00C14A43"/>
    <w:rsid w:val="00C1642B"/>
    <w:rsid w:val="00C164F1"/>
    <w:rsid w:val="00C202FF"/>
    <w:rsid w:val="00C215F9"/>
    <w:rsid w:val="00C22A27"/>
    <w:rsid w:val="00C22A4E"/>
    <w:rsid w:val="00C239AF"/>
    <w:rsid w:val="00C23DC1"/>
    <w:rsid w:val="00C23E33"/>
    <w:rsid w:val="00C248DB"/>
    <w:rsid w:val="00C24F0A"/>
    <w:rsid w:val="00C253D7"/>
    <w:rsid w:val="00C26542"/>
    <w:rsid w:val="00C2703D"/>
    <w:rsid w:val="00C27108"/>
    <w:rsid w:val="00C2714F"/>
    <w:rsid w:val="00C27841"/>
    <w:rsid w:val="00C30C08"/>
    <w:rsid w:val="00C30EAD"/>
    <w:rsid w:val="00C314B1"/>
    <w:rsid w:val="00C31618"/>
    <w:rsid w:val="00C317BE"/>
    <w:rsid w:val="00C3193B"/>
    <w:rsid w:val="00C31E18"/>
    <w:rsid w:val="00C3224C"/>
    <w:rsid w:val="00C32C15"/>
    <w:rsid w:val="00C33D76"/>
    <w:rsid w:val="00C340BB"/>
    <w:rsid w:val="00C34BA0"/>
    <w:rsid w:val="00C40086"/>
    <w:rsid w:val="00C400B9"/>
    <w:rsid w:val="00C43F1A"/>
    <w:rsid w:val="00C446C6"/>
    <w:rsid w:val="00C465C1"/>
    <w:rsid w:val="00C4687D"/>
    <w:rsid w:val="00C46B8E"/>
    <w:rsid w:val="00C476B2"/>
    <w:rsid w:val="00C478FF"/>
    <w:rsid w:val="00C50BB7"/>
    <w:rsid w:val="00C521D0"/>
    <w:rsid w:val="00C52316"/>
    <w:rsid w:val="00C5236C"/>
    <w:rsid w:val="00C5284D"/>
    <w:rsid w:val="00C53218"/>
    <w:rsid w:val="00C548BF"/>
    <w:rsid w:val="00C54A2E"/>
    <w:rsid w:val="00C55B43"/>
    <w:rsid w:val="00C564E7"/>
    <w:rsid w:val="00C568A0"/>
    <w:rsid w:val="00C57D03"/>
    <w:rsid w:val="00C60877"/>
    <w:rsid w:val="00C60A05"/>
    <w:rsid w:val="00C61FA3"/>
    <w:rsid w:val="00C62785"/>
    <w:rsid w:val="00C628CF"/>
    <w:rsid w:val="00C63EFB"/>
    <w:rsid w:val="00C64239"/>
    <w:rsid w:val="00C65057"/>
    <w:rsid w:val="00C65DDB"/>
    <w:rsid w:val="00C66DE2"/>
    <w:rsid w:val="00C679F8"/>
    <w:rsid w:val="00C70287"/>
    <w:rsid w:val="00C70E86"/>
    <w:rsid w:val="00C70ED0"/>
    <w:rsid w:val="00C729FD"/>
    <w:rsid w:val="00C738DF"/>
    <w:rsid w:val="00C74943"/>
    <w:rsid w:val="00C74CF8"/>
    <w:rsid w:val="00C74D9E"/>
    <w:rsid w:val="00C75FC4"/>
    <w:rsid w:val="00C762FB"/>
    <w:rsid w:val="00C7660C"/>
    <w:rsid w:val="00C767C7"/>
    <w:rsid w:val="00C768B9"/>
    <w:rsid w:val="00C76DE7"/>
    <w:rsid w:val="00C77431"/>
    <w:rsid w:val="00C8006A"/>
    <w:rsid w:val="00C80B4C"/>
    <w:rsid w:val="00C80C0E"/>
    <w:rsid w:val="00C8191D"/>
    <w:rsid w:val="00C84137"/>
    <w:rsid w:val="00C84A2F"/>
    <w:rsid w:val="00C87935"/>
    <w:rsid w:val="00C87DD4"/>
    <w:rsid w:val="00C913B2"/>
    <w:rsid w:val="00C92B2C"/>
    <w:rsid w:val="00C9507C"/>
    <w:rsid w:val="00C951FA"/>
    <w:rsid w:val="00C96A4C"/>
    <w:rsid w:val="00C97F3B"/>
    <w:rsid w:val="00CA0847"/>
    <w:rsid w:val="00CA0FAC"/>
    <w:rsid w:val="00CA1C49"/>
    <w:rsid w:val="00CA2C37"/>
    <w:rsid w:val="00CA30F1"/>
    <w:rsid w:val="00CA34F6"/>
    <w:rsid w:val="00CA4064"/>
    <w:rsid w:val="00CA5502"/>
    <w:rsid w:val="00CA5A43"/>
    <w:rsid w:val="00CA669A"/>
    <w:rsid w:val="00CA67C9"/>
    <w:rsid w:val="00CA6F99"/>
    <w:rsid w:val="00CA799E"/>
    <w:rsid w:val="00CB0646"/>
    <w:rsid w:val="00CB0EB8"/>
    <w:rsid w:val="00CB18FE"/>
    <w:rsid w:val="00CB27BA"/>
    <w:rsid w:val="00CB4D03"/>
    <w:rsid w:val="00CB5D1D"/>
    <w:rsid w:val="00CB735D"/>
    <w:rsid w:val="00CB7523"/>
    <w:rsid w:val="00CB79BD"/>
    <w:rsid w:val="00CB7DDE"/>
    <w:rsid w:val="00CC02B0"/>
    <w:rsid w:val="00CC1C0C"/>
    <w:rsid w:val="00CC2A45"/>
    <w:rsid w:val="00CC2AED"/>
    <w:rsid w:val="00CC3C0F"/>
    <w:rsid w:val="00CC3E5B"/>
    <w:rsid w:val="00CC46AA"/>
    <w:rsid w:val="00CC4B28"/>
    <w:rsid w:val="00CC4E64"/>
    <w:rsid w:val="00CC54BA"/>
    <w:rsid w:val="00CC668D"/>
    <w:rsid w:val="00CC6EC3"/>
    <w:rsid w:val="00CC7647"/>
    <w:rsid w:val="00CC7AEB"/>
    <w:rsid w:val="00CC7C37"/>
    <w:rsid w:val="00CD1834"/>
    <w:rsid w:val="00CD19C5"/>
    <w:rsid w:val="00CD2106"/>
    <w:rsid w:val="00CD2A64"/>
    <w:rsid w:val="00CD2F57"/>
    <w:rsid w:val="00CD372A"/>
    <w:rsid w:val="00CD3951"/>
    <w:rsid w:val="00CD4528"/>
    <w:rsid w:val="00CD5946"/>
    <w:rsid w:val="00CD66CE"/>
    <w:rsid w:val="00CD6F2C"/>
    <w:rsid w:val="00CD7924"/>
    <w:rsid w:val="00CD796B"/>
    <w:rsid w:val="00CD7A62"/>
    <w:rsid w:val="00CD7EBA"/>
    <w:rsid w:val="00CD7F42"/>
    <w:rsid w:val="00CE09C3"/>
    <w:rsid w:val="00CE0B46"/>
    <w:rsid w:val="00CE119E"/>
    <w:rsid w:val="00CE1B01"/>
    <w:rsid w:val="00CE1F65"/>
    <w:rsid w:val="00CE2E49"/>
    <w:rsid w:val="00CE397D"/>
    <w:rsid w:val="00CE4490"/>
    <w:rsid w:val="00CE4D06"/>
    <w:rsid w:val="00CE5711"/>
    <w:rsid w:val="00CE59ED"/>
    <w:rsid w:val="00CE6C84"/>
    <w:rsid w:val="00CE7246"/>
    <w:rsid w:val="00CE7D44"/>
    <w:rsid w:val="00CE7F9D"/>
    <w:rsid w:val="00CF0382"/>
    <w:rsid w:val="00CF16AD"/>
    <w:rsid w:val="00CF2399"/>
    <w:rsid w:val="00CF27E1"/>
    <w:rsid w:val="00CF3001"/>
    <w:rsid w:val="00CF3364"/>
    <w:rsid w:val="00CF396F"/>
    <w:rsid w:val="00CF3A89"/>
    <w:rsid w:val="00CF4238"/>
    <w:rsid w:val="00CF44E1"/>
    <w:rsid w:val="00CF4753"/>
    <w:rsid w:val="00CF4E71"/>
    <w:rsid w:val="00CF4F9D"/>
    <w:rsid w:val="00CF56E4"/>
    <w:rsid w:val="00CF5D96"/>
    <w:rsid w:val="00CF6416"/>
    <w:rsid w:val="00CF7E1F"/>
    <w:rsid w:val="00CF7F27"/>
    <w:rsid w:val="00D0023F"/>
    <w:rsid w:val="00D01484"/>
    <w:rsid w:val="00D017FD"/>
    <w:rsid w:val="00D02E18"/>
    <w:rsid w:val="00D02F57"/>
    <w:rsid w:val="00D03263"/>
    <w:rsid w:val="00D0349A"/>
    <w:rsid w:val="00D0414C"/>
    <w:rsid w:val="00D04C33"/>
    <w:rsid w:val="00D04C4F"/>
    <w:rsid w:val="00D04E57"/>
    <w:rsid w:val="00D055D2"/>
    <w:rsid w:val="00D0581D"/>
    <w:rsid w:val="00D059B0"/>
    <w:rsid w:val="00D05A6B"/>
    <w:rsid w:val="00D0637E"/>
    <w:rsid w:val="00D070D9"/>
    <w:rsid w:val="00D07E6A"/>
    <w:rsid w:val="00D12361"/>
    <w:rsid w:val="00D133EB"/>
    <w:rsid w:val="00D16838"/>
    <w:rsid w:val="00D169DB"/>
    <w:rsid w:val="00D16E17"/>
    <w:rsid w:val="00D20483"/>
    <w:rsid w:val="00D20B07"/>
    <w:rsid w:val="00D21A61"/>
    <w:rsid w:val="00D22CE6"/>
    <w:rsid w:val="00D232C8"/>
    <w:rsid w:val="00D23FC9"/>
    <w:rsid w:val="00D24291"/>
    <w:rsid w:val="00D2483C"/>
    <w:rsid w:val="00D24ED2"/>
    <w:rsid w:val="00D253FB"/>
    <w:rsid w:val="00D25DF2"/>
    <w:rsid w:val="00D26C14"/>
    <w:rsid w:val="00D307AB"/>
    <w:rsid w:val="00D30D0F"/>
    <w:rsid w:val="00D3557C"/>
    <w:rsid w:val="00D36915"/>
    <w:rsid w:val="00D372D4"/>
    <w:rsid w:val="00D37B4F"/>
    <w:rsid w:val="00D401FD"/>
    <w:rsid w:val="00D4050D"/>
    <w:rsid w:val="00D40C93"/>
    <w:rsid w:val="00D410F2"/>
    <w:rsid w:val="00D41E17"/>
    <w:rsid w:val="00D4225E"/>
    <w:rsid w:val="00D42424"/>
    <w:rsid w:val="00D42F9D"/>
    <w:rsid w:val="00D4387E"/>
    <w:rsid w:val="00D438A1"/>
    <w:rsid w:val="00D4689C"/>
    <w:rsid w:val="00D47617"/>
    <w:rsid w:val="00D50167"/>
    <w:rsid w:val="00D50DC8"/>
    <w:rsid w:val="00D51E14"/>
    <w:rsid w:val="00D5254B"/>
    <w:rsid w:val="00D52CD5"/>
    <w:rsid w:val="00D5450C"/>
    <w:rsid w:val="00D55366"/>
    <w:rsid w:val="00D55437"/>
    <w:rsid w:val="00D55BC4"/>
    <w:rsid w:val="00D56A4F"/>
    <w:rsid w:val="00D56BC0"/>
    <w:rsid w:val="00D5742A"/>
    <w:rsid w:val="00D60F1C"/>
    <w:rsid w:val="00D61502"/>
    <w:rsid w:val="00D61560"/>
    <w:rsid w:val="00D619F6"/>
    <w:rsid w:val="00D61B22"/>
    <w:rsid w:val="00D63091"/>
    <w:rsid w:val="00D63226"/>
    <w:rsid w:val="00D6325E"/>
    <w:rsid w:val="00D635F1"/>
    <w:rsid w:val="00D63F40"/>
    <w:rsid w:val="00D648CF"/>
    <w:rsid w:val="00D64D4B"/>
    <w:rsid w:val="00D64DF1"/>
    <w:rsid w:val="00D660F0"/>
    <w:rsid w:val="00D660FA"/>
    <w:rsid w:val="00D66A0B"/>
    <w:rsid w:val="00D67FB7"/>
    <w:rsid w:val="00D70487"/>
    <w:rsid w:val="00D708E1"/>
    <w:rsid w:val="00D71C5C"/>
    <w:rsid w:val="00D7232F"/>
    <w:rsid w:val="00D72D28"/>
    <w:rsid w:val="00D733D0"/>
    <w:rsid w:val="00D743C4"/>
    <w:rsid w:val="00D75A61"/>
    <w:rsid w:val="00D75FB2"/>
    <w:rsid w:val="00D765BF"/>
    <w:rsid w:val="00D7688D"/>
    <w:rsid w:val="00D76EEF"/>
    <w:rsid w:val="00D77059"/>
    <w:rsid w:val="00D77851"/>
    <w:rsid w:val="00D77C65"/>
    <w:rsid w:val="00D80503"/>
    <w:rsid w:val="00D80EC5"/>
    <w:rsid w:val="00D814A4"/>
    <w:rsid w:val="00D82B13"/>
    <w:rsid w:val="00D83E8F"/>
    <w:rsid w:val="00D83F0F"/>
    <w:rsid w:val="00D83F20"/>
    <w:rsid w:val="00D840B3"/>
    <w:rsid w:val="00D84BD8"/>
    <w:rsid w:val="00D8572B"/>
    <w:rsid w:val="00D86F3A"/>
    <w:rsid w:val="00D87F7B"/>
    <w:rsid w:val="00D9012B"/>
    <w:rsid w:val="00D901D8"/>
    <w:rsid w:val="00D902A6"/>
    <w:rsid w:val="00D90DF2"/>
    <w:rsid w:val="00D9198C"/>
    <w:rsid w:val="00D9266D"/>
    <w:rsid w:val="00D9307A"/>
    <w:rsid w:val="00D93389"/>
    <w:rsid w:val="00D93FA0"/>
    <w:rsid w:val="00D94C3A"/>
    <w:rsid w:val="00D966B3"/>
    <w:rsid w:val="00D9692B"/>
    <w:rsid w:val="00D9696F"/>
    <w:rsid w:val="00D96996"/>
    <w:rsid w:val="00D97440"/>
    <w:rsid w:val="00D975E6"/>
    <w:rsid w:val="00DA0B49"/>
    <w:rsid w:val="00DA0E54"/>
    <w:rsid w:val="00DA166A"/>
    <w:rsid w:val="00DA1A5A"/>
    <w:rsid w:val="00DA2D34"/>
    <w:rsid w:val="00DA3718"/>
    <w:rsid w:val="00DA3D2B"/>
    <w:rsid w:val="00DA51A0"/>
    <w:rsid w:val="00DA53F7"/>
    <w:rsid w:val="00DA56BA"/>
    <w:rsid w:val="00DA6021"/>
    <w:rsid w:val="00DA73E4"/>
    <w:rsid w:val="00DA76FF"/>
    <w:rsid w:val="00DB0061"/>
    <w:rsid w:val="00DB0BCB"/>
    <w:rsid w:val="00DB19C8"/>
    <w:rsid w:val="00DB3217"/>
    <w:rsid w:val="00DB330B"/>
    <w:rsid w:val="00DB38A8"/>
    <w:rsid w:val="00DB418F"/>
    <w:rsid w:val="00DB467A"/>
    <w:rsid w:val="00DB502F"/>
    <w:rsid w:val="00DB5983"/>
    <w:rsid w:val="00DB757A"/>
    <w:rsid w:val="00DB76BB"/>
    <w:rsid w:val="00DB7B26"/>
    <w:rsid w:val="00DC01A0"/>
    <w:rsid w:val="00DC0880"/>
    <w:rsid w:val="00DC09FF"/>
    <w:rsid w:val="00DC0B14"/>
    <w:rsid w:val="00DC1286"/>
    <w:rsid w:val="00DC29D9"/>
    <w:rsid w:val="00DC73C6"/>
    <w:rsid w:val="00DC7FF7"/>
    <w:rsid w:val="00DD06D2"/>
    <w:rsid w:val="00DD1FCE"/>
    <w:rsid w:val="00DD2625"/>
    <w:rsid w:val="00DD3ABC"/>
    <w:rsid w:val="00DD409B"/>
    <w:rsid w:val="00DD443D"/>
    <w:rsid w:val="00DD5713"/>
    <w:rsid w:val="00DD688F"/>
    <w:rsid w:val="00DD6B02"/>
    <w:rsid w:val="00DD6D50"/>
    <w:rsid w:val="00DD6F59"/>
    <w:rsid w:val="00DD78C0"/>
    <w:rsid w:val="00DD78DC"/>
    <w:rsid w:val="00DE00D3"/>
    <w:rsid w:val="00DE0A9C"/>
    <w:rsid w:val="00DE0E7A"/>
    <w:rsid w:val="00DE2083"/>
    <w:rsid w:val="00DE259B"/>
    <w:rsid w:val="00DE3415"/>
    <w:rsid w:val="00DE3449"/>
    <w:rsid w:val="00DE407B"/>
    <w:rsid w:val="00DE4763"/>
    <w:rsid w:val="00DE6828"/>
    <w:rsid w:val="00DE6A26"/>
    <w:rsid w:val="00DF03EB"/>
    <w:rsid w:val="00DF20FE"/>
    <w:rsid w:val="00DF23B5"/>
    <w:rsid w:val="00DF2723"/>
    <w:rsid w:val="00DF2CD8"/>
    <w:rsid w:val="00DF3967"/>
    <w:rsid w:val="00DF3E2E"/>
    <w:rsid w:val="00DF54D2"/>
    <w:rsid w:val="00DF653F"/>
    <w:rsid w:val="00DF69AE"/>
    <w:rsid w:val="00DF6A37"/>
    <w:rsid w:val="00DF79FC"/>
    <w:rsid w:val="00E00695"/>
    <w:rsid w:val="00E01364"/>
    <w:rsid w:val="00E01B5C"/>
    <w:rsid w:val="00E0206F"/>
    <w:rsid w:val="00E02DB1"/>
    <w:rsid w:val="00E038D5"/>
    <w:rsid w:val="00E049C7"/>
    <w:rsid w:val="00E05479"/>
    <w:rsid w:val="00E055B6"/>
    <w:rsid w:val="00E0693A"/>
    <w:rsid w:val="00E0694D"/>
    <w:rsid w:val="00E06CA8"/>
    <w:rsid w:val="00E06F1E"/>
    <w:rsid w:val="00E077CE"/>
    <w:rsid w:val="00E07923"/>
    <w:rsid w:val="00E10A66"/>
    <w:rsid w:val="00E112D3"/>
    <w:rsid w:val="00E1201B"/>
    <w:rsid w:val="00E124B4"/>
    <w:rsid w:val="00E148FF"/>
    <w:rsid w:val="00E149CE"/>
    <w:rsid w:val="00E14EE1"/>
    <w:rsid w:val="00E16D4F"/>
    <w:rsid w:val="00E173F0"/>
    <w:rsid w:val="00E201A8"/>
    <w:rsid w:val="00E210BE"/>
    <w:rsid w:val="00E21F4C"/>
    <w:rsid w:val="00E22C38"/>
    <w:rsid w:val="00E24903"/>
    <w:rsid w:val="00E2554B"/>
    <w:rsid w:val="00E25E34"/>
    <w:rsid w:val="00E262FB"/>
    <w:rsid w:val="00E269FE"/>
    <w:rsid w:val="00E3107C"/>
    <w:rsid w:val="00E31358"/>
    <w:rsid w:val="00E31C3C"/>
    <w:rsid w:val="00E32C6C"/>
    <w:rsid w:val="00E330C4"/>
    <w:rsid w:val="00E342FD"/>
    <w:rsid w:val="00E34D3A"/>
    <w:rsid w:val="00E3530F"/>
    <w:rsid w:val="00E35AEF"/>
    <w:rsid w:val="00E3653A"/>
    <w:rsid w:val="00E3659C"/>
    <w:rsid w:val="00E36AA0"/>
    <w:rsid w:val="00E36CD0"/>
    <w:rsid w:val="00E376AE"/>
    <w:rsid w:val="00E40330"/>
    <w:rsid w:val="00E406BF"/>
    <w:rsid w:val="00E40C77"/>
    <w:rsid w:val="00E41A98"/>
    <w:rsid w:val="00E41CB3"/>
    <w:rsid w:val="00E42C7D"/>
    <w:rsid w:val="00E43191"/>
    <w:rsid w:val="00E435F1"/>
    <w:rsid w:val="00E43EE6"/>
    <w:rsid w:val="00E454AF"/>
    <w:rsid w:val="00E47848"/>
    <w:rsid w:val="00E47866"/>
    <w:rsid w:val="00E5090C"/>
    <w:rsid w:val="00E5132E"/>
    <w:rsid w:val="00E515EA"/>
    <w:rsid w:val="00E52551"/>
    <w:rsid w:val="00E528DA"/>
    <w:rsid w:val="00E53157"/>
    <w:rsid w:val="00E53A47"/>
    <w:rsid w:val="00E542AD"/>
    <w:rsid w:val="00E54314"/>
    <w:rsid w:val="00E54C52"/>
    <w:rsid w:val="00E55751"/>
    <w:rsid w:val="00E5597F"/>
    <w:rsid w:val="00E60513"/>
    <w:rsid w:val="00E613CD"/>
    <w:rsid w:val="00E61C26"/>
    <w:rsid w:val="00E61CD2"/>
    <w:rsid w:val="00E61E2A"/>
    <w:rsid w:val="00E62C5F"/>
    <w:rsid w:val="00E63605"/>
    <w:rsid w:val="00E65360"/>
    <w:rsid w:val="00E65C66"/>
    <w:rsid w:val="00E6721E"/>
    <w:rsid w:val="00E67A71"/>
    <w:rsid w:val="00E67AD0"/>
    <w:rsid w:val="00E701B0"/>
    <w:rsid w:val="00E72BA2"/>
    <w:rsid w:val="00E72D5B"/>
    <w:rsid w:val="00E73A92"/>
    <w:rsid w:val="00E73BB2"/>
    <w:rsid w:val="00E80CC7"/>
    <w:rsid w:val="00E80E4F"/>
    <w:rsid w:val="00E8179B"/>
    <w:rsid w:val="00E834DD"/>
    <w:rsid w:val="00E837E4"/>
    <w:rsid w:val="00E845DB"/>
    <w:rsid w:val="00E84F39"/>
    <w:rsid w:val="00E85ACF"/>
    <w:rsid w:val="00E85E04"/>
    <w:rsid w:val="00E87B65"/>
    <w:rsid w:val="00E91BAC"/>
    <w:rsid w:val="00E91E11"/>
    <w:rsid w:val="00E92862"/>
    <w:rsid w:val="00E93E2E"/>
    <w:rsid w:val="00E95D45"/>
    <w:rsid w:val="00E9664A"/>
    <w:rsid w:val="00E96699"/>
    <w:rsid w:val="00E9708F"/>
    <w:rsid w:val="00EA020C"/>
    <w:rsid w:val="00EA0936"/>
    <w:rsid w:val="00EA0DF8"/>
    <w:rsid w:val="00EA12EF"/>
    <w:rsid w:val="00EA1CD3"/>
    <w:rsid w:val="00EA1CD5"/>
    <w:rsid w:val="00EA3795"/>
    <w:rsid w:val="00EA38CA"/>
    <w:rsid w:val="00EA4778"/>
    <w:rsid w:val="00EA52D8"/>
    <w:rsid w:val="00EA60EC"/>
    <w:rsid w:val="00EB0A7B"/>
    <w:rsid w:val="00EB2022"/>
    <w:rsid w:val="00EB291E"/>
    <w:rsid w:val="00EB2E2D"/>
    <w:rsid w:val="00EB3162"/>
    <w:rsid w:val="00EB36ED"/>
    <w:rsid w:val="00EB4618"/>
    <w:rsid w:val="00EB5563"/>
    <w:rsid w:val="00EB5F76"/>
    <w:rsid w:val="00EB7DB6"/>
    <w:rsid w:val="00EC0DA5"/>
    <w:rsid w:val="00EC2987"/>
    <w:rsid w:val="00EC29CE"/>
    <w:rsid w:val="00EC2E3C"/>
    <w:rsid w:val="00EC35C4"/>
    <w:rsid w:val="00EC3884"/>
    <w:rsid w:val="00EC46E9"/>
    <w:rsid w:val="00EC580F"/>
    <w:rsid w:val="00EC5830"/>
    <w:rsid w:val="00EC665E"/>
    <w:rsid w:val="00EC784C"/>
    <w:rsid w:val="00EC7911"/>
    <w:rsid w:val="00ED0311"/>
    <w:rsid w:val="00ED0755"/>
    <w:rsid w:val="00ED0C51"/>
    <w:rsid w:val="00ED0F36"/>
    <w:rsid w:val="00ED16DA"/>
    <w:rsid w:val="00ED1722"/>
    <w:rsid w:val="00ED398C"/>
    <w:rsid w:val="00ED3EDD"/>
    <w:rsid w:val="00ED4492"/>
    <w:rsid w:val="00ED575E"/>
    <w:rsid w:val="00ED5D50"/>
    <w:rsid w:val="00ED5F82"/>
    <w:rsid w:val="00ED6355"/>
    <w:rsid w:val="00ED6CE6"/>
    <w:rsid w:val="00ED7FE7"/>
    <w:rsid w:val="00EE03E7"/>
    <w:rsid w:val="00EE04BF"/>
    <w:rsid w:val="00EE0F28"/>
    <w:rsid w:val="00EE15E4"/>
    <w:rsid w:val="00EE1BA0"/>
    <w:rsid w:val="00EE2D86"/>
    <w:rsid w:val="00EE4604"/>
    <w:rsid w:val="00EE536D"/>
    <w:rsid w:val="00EE5FCA"/>
    <w:rsid w:val="00EE7F92"/>
    <w:rsid w:val="00EF1C01"/>
    <w:rsid w:val="00EF23C8"/>
    <w:rsid w:val="00EF2472"/>
    <w:rsid w:val="00EF2E5F"/>
    <w:rsid w:val="00EF37F9"/>
    <w:rsid w:val="00EF40C2"/>
    <w:rsid w:val="00EF4201"/>
    <w:rsid w:val="00EF4407"/>
    <w:rsid w:val="00EF51D4"/>
    <w:rsid w:val="00EF53A3"/>
    <w:rsid w:val="00EF572A"/>
    <w:rsid w:val="00EF5CD9"/>
    <w:rsid w:val="00EF67E3"/>
    <w:rsid w:val="00F00BB8"/>
    <w:rsid w:val="00F0117E"/>
    <w:rsid w:val="00F0155D"/>
    <w:rsid w:val="00F01FB6"/>
    <w:rsid w:val="00F05DAF"/>
    <w:rsid w:val="00F0619E"/>
    <w:rsid w:val="00F0689E"/>
    <w:rsid w:val="00F07796"/>
    <w:rsid w:val="00F106A2"/>
    <w:rsid w:val="00F115B9"/>
    <w:rsid w:val="00F11D75"/>
    <w:rsid w:val="00F12A21"/>
    <w:rsid w:val="00F149EF"/>
    <w:rsid w:val="00F14AAB"/>
    <w:rsid w:val="00F15264"/>
    <w:rsid w:val="00F160D0"/>
    <w:rsid w:val="00F163E2"/>
    <w:rsid w:val="00F16A2B"/>
    <w:rsid w:val="00F17A6C"/>
    <w:rsid w:val="00F20D1C"/>
    <w:rsid w:val="00F21101"/>
    <w:rsid w:val="00F22166"/>
    <w:rsid w:val="00F22535"/>
    <w:rsid w:val="00F2305B"/>
    <w:rsid w:val="00F230DA"/>
    <w:rsid w:val="00F23505"/>
    <w:rsid w:val="00F23973"/>
    <w:rsid w:val="00F23AF2"/>
    <w:rsid w:val="00F23E7F"/>
    <w:rsid w:val="00F25070"/>
    <w:rsid w:val="00F2679A"/>
    <w:rsid w:val="00F27C77"/>
    <w:rsid w:val="00F27ECF"/>
    <w:rsid w:val="00F3096A"/>
    <w:rsid w:val="00F30CFF"/>
    <w:rsid w:val="00F317D9"/>
    <w:rsid w:val="00F32168"/>
    <w:rsid w:val="00F32268"/>
    <w:rsid w:val="00F322F2"/>
    <w:rsid w:val="00F34762"/>
    <w:rsid w:val="00F34DCC"/>
    <w:rsid w:val="00F361B5"/>
    <w:rsid w:val="00F37103"/>
    <w:rsid w:val="00F37213"/>
    <w:rsid w:val="00F3740D"/>
    <w:rsid w:val="00F379CF"/>
    <w:rsid w:val="00F37B93"/>
    <w:rsid w:val="00F413A7"/>
    <w:rsid w:val="00F41E79"/>
    <w:rsid w:val="00F43EF7"/>
    <w:rsid w:val="00F45B48"/>
    <w:rsid w:val="00F46AC1"/>
    <w:rsid w:val="00F47930"/>
    <w:rsid w:val="00F5041B"/>
    <w:rsid w:val="00F51059"/>
    <w:rsid w:val="00F5180C"/>
    <w:rsid w:val="00F518B7"/>
    <w:rsid w:val="00F52750"/>
    <w:rsid w:val="00F55248"/>
    <w:rsid w:val="00F55EE4"/>
    <w:rsid w:val="00F6087A"/>
    <w:rsid w:val="00F626D0"/>
    <w:rsid w:val="00F63888"/>
    <w:rsid w:val="00F64F64"/>
    <w:rsid w:val="00F671D4"/>
    <w:rsid w:val="00F6797E"/>
    <w:rsid w:val="00F67C08"/>
    <w:rsid w:val="00F67E3F"/>
    <w:rsid w:val="00F730AA"/>
    <w:rsid w:val="00F7328C"/>
    <w:rsid w:val="00F741AB"/>
    <w:rsid w:val="00F743BD"/>
    <w:rsid w:val="00F74DF8"/>
    <w:rsid w:val="00F75426"/>
    <w:rsid w:val="00F770AA"/>
    <w:rsid w:val="00F77BFA"/>
    <w:rsid w:val="00F807C3"/>
    <w:rsid w:val="00F81EE6"/>
    <w:rsid w:val="00F8380D"/>
    <w:rsid w:val="00F83C4D"/>
    <w:rsid w:val="00F83FA3"/>
    <w:rsid w:val="00F8406F"/>
    <w:rsid w:val="00F844A0"/>
    <w:rsid w:val="00F851FA"/>
    <w:rsid w:val="00F85263"/>
    <w:rsid w:val="00F85A3D"/>
    <w:rsid w:val="00F85A6A"/>
    <w:rsid w:val="00F86650"/>
    <w:rsid w:val="00F86EAA"/>
    <w:rsid w:val="00F90543"/>
    <w:rsid w:val="00F90661"/>
    <w:rsid w:val="00F912F3"/>
    <w:rsid w:val="00F93393"/>
    <w:rsid w:val="00F93781"/>
    <w:rsid w:val="00F93CA4"/>
    <w:rsid w:val="00F93D87"/>
    <w:rsid w:val="00F94035"/>
    <w:rsid w:val="00F9430F"/>
    <w:rsid w:val="00F94A04"/>
    <w:rsid w:val="00F95BC4"/>
    <w:rsid w:val="00F95BCB"/>
    <w:rsid w:val="00F95F64"/>
    <w:rsid w:val="00F96A21"/>
    <w:rsid w:val="00F97CEA"/>
    <w:rsid w:val="00FA1CCD"/>
    <w:rsid w:val="00FA24B1"/>
    <w:rsid w:val="00FA2C34"/>
    <w:rsid w:val="00FA65D2"/>
    <w:rsid w:val="00FA7298"/>
    <w:rsid w:val="00FA7D6F"/>
    <w:rsid w:val="00FB0910"/>
    <w:rsid w:val="00FB22A9"/>
    <w:rsid w:val="00FB37F2"/>
    <w:rsid w:val="00FB47E5"/>
    <w:rsid w:val="00FB4EEF"/>
    <w:rsid w:val="00FB5AC3"/>
    <w:rsid w:val="00FB7004"/>
    <w:rsid w:val="00FB7150"/>
    <w:rsid w:val="00FB77B2"/>
    <w:rsid w:val="00FB7970"/>
    <w:rsid w:val="00FC07AC"/>
    <w:rsid w:val="00FC0E80"/>
    <w:rsid w:val="00FC13F3"/>
    <w:rsid w:val="00FC15C0"/>
    <w:rsid w:val="00FC1654"/>
    <w:rsid w:val="00FC2F70"/>
    <w:rsid w:val="00FC317D"/>
    <w:rsid w:val="00FC4E61"/>
    <w:rsid w:val="00FC6365"/>
    <w:rsid w:val="00FC65B6"/>
    <w:rsid w:val="00FC65CE"/>
    <w:rsid w:val="00FC6EDD"/>
    <w:rsid w:val="00FC7549"/>
    <w:rsid w:val="00FC7FC3"/>
    <w:rsid w:val="00FD002E"/>
    <w:rsid w:val="00FD04E7"/>
    <w:rsid w:val="00FD1020"/>
    <w:rsid w:val="00FD2939"/>
    <w:rsid w:val="00FD2D8D"/>
    <w:rsid w:val="00FD30E1"/>
    <w:rsid w:val="00FD373C"/>
    <w:rsid w:val="00FD7490"/>
    <w:rsid w:val="00FD74CE"/>
    <w:rsid w:val="00FD7609"/>
    <w:rsid w:val="00FD7D8B"/>
    <w:rsid w:val="00FE1D2B"/>
    <w:rsid w:val="00FE1F71"/>
    <w:rsid w:val="00FE2062"/>
    <w:rsid w:val="00FE2A6A"/>
    <w:rsid w:val="00FE31D7"/>
    <w:rsid w:val="00FE35E4"/>
    <w:rsid w:val="00FE3C4E"/>
    <w:rsid w:val="00FE43FF"/>
    <w:rsid w:val="00FE53D6"/>
    <w:rsid w:val="00FE73C0"/>
    <w:rsid w:val="00FE7CC5"/>
    <w:rsid w:val="00FF04F9"/>
    <w:rsid w:val="00FF0D25"/>
    <w:rsid w:val="00FF1191"/>
    <w:rsid w:val="00FF136E"/>
    <w:rsid w:val="00FF1B70"/>
    <w:rsid w:val="00FF280E"/>
    <w:rsid w:val="00FF476B"/>
    <w:rsid w:val="00FF5E3D"/>
    <w:rsid w:val="00FF730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C4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491D84"/>
    <w:pPr>
      <w:numPr>
        <w:numId w:val="23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4A4D6A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6B430C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962F73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A4D6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4Char">
    <w:name w:val="Nadpis 4 Char"/>
    <w:link w:val="Nadpis4"/>
    <w:rsid w:val="006B430C"/>
    <w:rPr>
      <w:rFonts w:ascii="Arial" w:eastAsia="Times New Roman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rsid w:val="00962F73"/>
    <w:rPr>
      <w:rFonts w:ascii="Times New Roman" w:eastAsia="Times New Roman" w:hAnsi="Times New Roman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962F73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link w:val="Nzev"/>
    <w:rsid w:val="00962F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962F73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link w:val="Zkladntext"/>
    <w:semiHidden/>
    <w:rsid w:val="00962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‡kladn’ text 2"/>
    <w:basedOn w:val="Normln"/>
    <w:rsid w:val="00962F7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962F73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962F73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2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34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6734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4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67342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93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9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398D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2D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E6A72"/>
    <w:rPr>
      <w:rFonts w:ascii="Arial" w:eastAsia="Times New Roman" w:hAnsi="Arial"/>
      <w:sz w:val="22"/>
      <w:szCs w:val="24"/>
      <w:lang w:eastAsia="en-US"/>
    </w:rPr>
  </w:style>
  <w:style w:type="paragraph" w:customStyle="1" w:styleId="poznmkapodarou">
    <w:name w:val="poznámka pod čarou"/>
    <w:basedOn w:val="Textpoznpodarou"/>
    <w:link w:val="poznmkapodarouChar"/>
    <w:qFormat/>
    <w:rsid w:val="000C0260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0C0260"/>
    <w:rPr>
      <w:rFonts w:ascii="Arial" w:eastAsia="Times New Roman" w:hAnsi="Arial" w:cs="Arial"/>
      <w:sz w:val="18"/>
      <w:lang w:eastAsia="en-US"/>
    </w:rPr>
  </w:style>
  <w:style w:type="paragraph" w:styleId="Bezmezer">
    <w:name w:val="No Spacing"/>
    <w:aliases w:val="číslovaný odstavec"/>
    <w:uiPriority w:val="1"/>
    <w:qFormat/>
    <w:rsid w:val="00371B87"/>
    <w:pPr>
      <w:numPr>
        <w:numId w:val="2"/>
      </w:numPr>
      <w:spacing w:line="276" w:lineRule="auto"/>
      <w:ind w:left="714" w:hanging="357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4B6DB6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4B6DB6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7C9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1708FA"/>
    <w:rPr>
      <w:color w:val="0000FF"/>
      <w:u w:val="single"/>
    </w:rPr>
  </w:style>
  <w:style w:type="character" w:styleId="Sledovanodkaz">
    <w:name w:val="FollowedHyperlink"/>
    <w:semiHidden/>
    <w:rsid w:val="007E216F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0D5C79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2F007D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36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080394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263DD4"/>
    <w:rPr>
      <w:b/>
      <w:bCs/>
      <w:i w:val="0"/>
      <w:iCs w:val="0"/>
    </w:rPr>
  </w:style>
  <w:style w:type="character" w:customStyle="1" w:styleId="st">
    <w:name w:val="st"/>
    <w:rsid w:val="00263DD4"/>
  </w:style>
  <w:style w:type="character" w:styleId="Siln">
    <w:name w:val="Strong"/>
    <w:uiPriority w:val="22"/>
    <w:qFormat/>
    <w:rsid w:val="003A0989"/>
    <w:rPr>
      <w:b/>
      <w:bCs/>
      <w:color w:val="333333"/>
    </w:rPr>
  </w:style>
  <w:style w:type="paragraph" w:customStyle="1" w:styleId="Default">
    <w:name w:val="Default"/>
    <w:rsid w:val="00D7232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D7232F"/>
    <w:rPr>
      <w:rFonts w:cs="Georgia"/>
      <w:color w:val="000000"/>
      <w:sz w:val="19"/>
      <w:szCs w:val="19"/>
    </w:rPr>
  </w:style>
  <w:style w:type="character" w:customStyle="1" w:styleId="Nadpis1Char">
    <w:name w:val="Nadpis 1 Char"/>
    <w:link w:val="Nadpis1"/>
    <w:uiPriority w:val="9"/>
    <w:rsid w:val="00491D84"/>
    <w:rPr>
      <w:rFonts w:ascii="Arial" w:eastAsia="Times New Roman" w:hAnsi="Arial" w:cs="Arial"/>
      <w:b/>
      <w:bCs/>
      <w:sz w:val="22"/>
      <w:szCs w:val="22"/>
    </w:rPr>
  </w:style>
  <w:style w:type="paragraph" w:styleId="Revize">
    <w:name w:val="Revision"/>
    <w:hidden/>
    <w:uiPriority w:val="99"/>
    <w:semiHidden/>
    <w:rsid w:val="004F6F34"/>
    <w:rPr>
      <w:rFonts w:ascii="Arial" w:eastAsia="Times New Roman" w:hAnsi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B430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BC4"/>
    <w:pPr>
      <w:jc w:val="both"/>
    </w:pPr>
    <w:rPr>
      <w:rFonts w:ascii="Arial" w:eastAsia="Times New Roman" w:hAnsi="Arial"/>
      <w:sz w:val="22"/>
      <w:szCs w:val="24"/>
      <w:lang w:eastAsia="en-US"/>
    </w:rPr>
  </w:style>
  <w:style w:type="paragraph" w:styleId="Nadpis1">
    <w:name w:val="heading 1"/>
    <w:basedOn w:val="Zkladntext2"/>
    <w:next w:val="Normln"/>
    <w:link w:val="Nadpis1Char"/>
    <w:uiPriority w:val="9"/>
    <w:qFormat/>
    <w:rsid w:val="00491D84"/>
    <w:pPr>
      <w:numPr>
        <w:numId w:val="23"/>
      </w:numPr>
      <w:tabs>
        <w:tab w:val="left" w:pos="284"/>
      </w:tabs>
      <w:overflowPunct/>
      <w:autoSpaceDE/>
      <w:autoSpaceDN/>
      <w:adjustRightInd/>
      <w:spacing w:after="0" w:line="23" w:lineRule="atLeast"/>
      <w:textAlignment w:val="auto"/>
      <w:outlineLvl w:val="0"/>
    </w:pPr>
    <w:rPr>
      <w:rFonts w:cs="Arial"/>
      <w:b/>
      <w:bCs/>
      <w:szCs w:val="22"/>
    </w:rPr>
  </w:style>
  <w:style w:type="paragraph" w:styleId="Nadpis2">
    <w:name w:val="heading 2"/>
    <w:basedOn w:val="Nadpis1"/>
    <w:next w:val="Normln"/>
    <w:link w:val="Nadpis2Char"/>
    <w:qFormat/>
    <w:rsid w:val="004A4D6A"/>
    <w:pPr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B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adpis2"/>
    <w:next w:val="Normln"/>
    <w:link w:val="Nadpis4Char"/>
    <w:qFormat/>
    <w:rsid w:val="006B430C"/>
    <w:pPr>
      <w:outlineLvl w:val="3"/>
    </w:pPr>
  </w:style>
  <w:style w:type="paragraph" w:styleId="Nadpis5">
    <w:name w:val="heading 5"/>
    <w:basedOn w:val="Normln"/>
    <w:next w:val="Normln"/>
    <w:link w:val="Nadpis5Char"/>
    <w:qFormat/>
    <w:rsid w:val="00962F73"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A4D6A"/>
    <w:rPr>
      <w:rFonts w:ascii="Arial" w:eastAsia="Times New Roman" w:hAnsi="Arial" w:cs="Arial"/>
      <w:b/>
      <w:bCs/>
      <w:sz w:val="22"/>
      <w:szCs w:val="22"/>
    </w:rPr>
  </w:style>
  <w:style w:type="character" w:customStyle="1" w:styleId="Nadpis4Char">
    <w:name w:val="Nadpis 4 Char"/>
    <w:link w:val="Nadpis4"/>
    <w:rsid w:val="006B430C"/>
    <w:rPr>
      <w:rFonts w:ascii="Arial" w:eastAsia="Times New Roman" w:hAnsi="Arial" w:cs="Arial"/>
      <w:b/>
      <w:bCs/>
      <w:sz w:val="22"/>
      <w:szCs w:val="22"/>
    </w:rPr>
  </w:style>
  <w:style w:type="character" w:customStyle="1" w:styleId="Nadpis5Char">
    <w:name w:val="Nadpis 5 Char"/>
    <w:link w:val="Nadpis5"/>
    <w:rsid w:val="00962F73"/>
    <w:rPr>
      <w:rFonts w:ascii="Times New Roman" w:eastAsia="Times New Roman" w:hAnsi="Times New Roman" w:cs="Times New Roman"/>
      <w:b/>
      <w:sz w:val="28"/>
      <w:szCs w:val="24"/>
    </w:rPr>
  </w:style>
  <w:style w:type="paragraph" w:styleId="Nzev">
    <w:name w:val="Title"/>
    <w:basedOn w:val="Normln"/>
    <w:link w:val="NzevChar"/>
    <w:qFormat/>
    <w:rsid w:val="00962F73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link w:val="Nzev"/>
    <w:rsid w:val="00962F7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aliases w:val="Standard paragraph,Body Text1,b,block style,?????1"/>
    <w:basedOn w:val="Normln"/>
    <w:link w:val="ZkladntextChar"/>
    <w:semiHidden/>
    <w:rsid w:val="00962F73"/>
    <w:rPr>
      <w:szCs w:val="20"/>
      <w:lang w:eastAsia="cs-CZ"/>
    </w:rPr>
  </w:style>
  <w:style w:type="character" w:customStyle="1" w:styleId="ZkladntextChar">
    <w:name w:val="Základní text Char"/>
    <w:aliases w:val="Standard paragraph Char,Body Text1 Char,b Char,block style Char,?????1 Char"/>
    <w:link w:val="Zkladntext"/>
    <w:semiHidden/>
    <w:rsid w:val="00962F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">
    <w:name w:val="Z‡kladn’ text 2"/>
    <w:basedOn w:val="Normln"/>
    <w:rsid w:val="00962F7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customStyle="1" w:styleId="NormlnKZ">
    <w:name w:val="Normální KZ"/>
    <w:basedOn w:val="Normln"/>
    <w:rsid w:val="00962F73"/>
    <w:pPr>
      <w:spacing w:after="120"/>
      <w:ind w:firstLine="425"/>
    </w:pPr>
    <w:rPr>
      <w:lang w:eastAsia="cs-CZ"/>
    </w:rPr>
  </w:style>
  <w:style w:type="paragraph" w:customStyle="1" w:styleId="Pa10">
    <w:name w:val="Pa10"/>
    <w:basedOn w:val="Normln"/>
    <w:next w:val="Normln"/>
    <w:uiPriority w:val="99"/>
    <w:rsid w:val="00962F73"/>
    <w:pPr>
      <w:autoSpaceDE w:val="0"/>
      <w:autoSpaceDN w:val="0"/>
      <w:adjustRightInd w:val="0"/>
      <w:spacing w:before="360" w:after="100" w:line="281" w:lineRule="atLeast"/>
    </w:pPr>
    <w:rPr>
      <w:rFonts w:cs="Arial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962F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4D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4D3E"/>
    <w:rPr>
      <w:rFonts w:ascii="Times New Roman" w:eastAsia="Times New Roman" w:hAnsi="Times New Roman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342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67342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342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342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67342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93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98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9398D"/>
    <w:rPr>
      <w:rFonts w:ascii="Times New Roman" w:eastAsia="Times New Roman" w:hAnsi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2DD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E6A72"/>
    <w:rPr>
      <w:rFonts w:ascii="Arial" w:eastAsia="Times New Roman" w:hAnsi="Arial"/>
      <w:sz w:val="22"/>
      <w:szCs w:val="24"/>
      <w:lang w:eastAsia="en-US"/>
    </w:rPr>
  </w:style>
  <w:style w:type="paragraph" w:customStyle="1" w:styleId="poznmkapodarou">
    <w:name w:val="poznámka pod čarou"/>
    <w:basedOn w:val="Textpoznpodarou"/>
    <w:link w:val="poznmkapodarouChar"/>
    <w:qFormat/>
    <w:rsid w:val="000C0260"/>
    <w:pPr>
      <w:tabs>
        <w:tab w:val="left" w:pos="284"/>
      </w:tabs>
      <w:ind w:left="284" w:hanging="284"/>
    </w:pPr>
    <w:rPr>
      <w:rFonts w:cs="Arial"/>
      <w:sz w:val="18"/>
      <w:lang w:eastAsia="cs-CZ"/>
    </w:rPr>
  </w:style>
  <w:style w:type="character" w:customStyle="1" w:styleId="poznmkapodarouChar">
    <w:name w:val="poznámka pod čarou Char"/>
    <w:link w:val="poznmkapodarou"/>
    <w:rsid w:val="000C0260"/>
    <w:rPr>
      <w:rFonts w:ascii="Arial" w:eastAsia="Times New Roman" w:hAnsi="Arial" w:cs="Arial"/>
      <w:sz w:val="18"/>
      <w:lang w:eastAsia="en-US"/>
    </w:rPr>
  </w:style>
  <w:style w:type="paragraph" w:styleId="Bezmezer">
    <w:name w:val="No Spacing"/>
    <w:aliases w:val="číslovaný odstavec"/>
    <w:uiPriority w:val="1"/>
    <w:qFormat/>
    <w:rsid w:val="00371B87"/>
    <w:pPr>
      <w:numPr>
        <w:numId w:val="2"/>
      </w:numPr>
      <w:spacing w:line="276" w:lineRule="auto"/>
      <w:ind w:left="714" w:hanging="357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KP-normlntext">
    <w:name w:val="KP-normální text"/>
    <w:basedOn w:val="Normln"/>
    <w:link w:val="KP-normlntextChar"/>
    <w:qFormat/>
    <w:rsid w:val="004B6DB6"/>
    <w:pPr>
      <w:spacing w:before="120" w:after="120"/>
      <w:ind w:firstLine="720"/>
    </w:pPr>
    <w:rPr>
      <w:rFonts w:cs="Arial"/>
      <w:color w:val="000000"/>
      <w:szCs w:val="22"/>
    </w:rPr>
  </w:style>
  <w:style w:type="character" w:customStyle="1" w:styleId="KP-normlntextChar">
    <w:name w:val="KP-normální text Char"/>
    <w:link w:val="KP-normlntext"/>
    <w:rsid w:val="004B6DB6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7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A67C9"/>
    <w:rPr>
      <w:rFonts w:ascii="Arial" w:eastAsia="Times New Roman" w:hAnsi="Arial"/>
      <w:b/>
      <w:bCs/>
      <w:lang w:eastAsia="en-US"/>
    </w:rPr>
  </w:style>
  <w:style w:type="character" w:styleId="Hypertextovodkaz">
    <w:name w:val="Hyperlink"/>
    <w:uiPriority w:val="99"/>
    <w:unhideWhenUsed/>
    <w:rsid w:val="001708FA"/>
    <w:rPr>
      <w:color w:val="0000FF"/>
      <w:u w:val="single"/>
    </w:rPr>
  </w:style>
  <w:style w:type="character" w:styleId="Sledovanodkaz">
    <w:name w:val="FollowedHyperlink"/>
    <w:semiHidden/>
    <w:rsid w:val="007E216F"/>
    <w:rPr>
      <w:color w:val="800080"/>
      <w:u w:val="single"/>
    </w:rPr>
  </w:style>
  <w:style w:type="paragraph" w:customStyle="1" w:styleId="Poznmkapodarou-text">
    <w:name w:val="Poznámka pod čarou - text"/>
    <w:basedOn w:val="Normln"/>
    <w:qFormat/>
    <w:rsid w:val="000D5C79"/>
    <w:pPr>
      <w:widowControl w:val="0"/>
      <w:tabs>
        <w:tab w:val="left" w:pos="284"/>
      </w:tabs>
      <w:adjustRightInd w:val="0"/>
      <w:ind w:left="284" w:hanging="284"/>
      <w:textAlignment w:val="baseline"/>
    </w:pPr>
    <w:rPr>
      <w:rFonts w:cs="Arial"/>
      <w:color w:val="000000"/>
      <w:spacing w:val="-4"/>
      <w:sz w:val="18"/>
      <w:szCs w:val="18"/>
      <w:lang w:eastAsia="cs-CZ"/>
    </w:rPr>
  </w:style>
  <w:style w:type="paragraph" w:customStyle="1" w:styleId="1117Normln">
    <w:name w:val="11/17 Normální"/>
    <w:basedOn w:val="Normln"/>
    <w:rsid w:val="002F007D"/>
    <w:pPr>
      <w:keepNext/>
      <w:spacing w:before="120" w:after="120"/>
    </w:pPr>
    <w:rPr>
      <w:szCs w:val="22"/>
      <w:lang w:bidi="en-US"/>
    </w:rPr>
  </w:style>
  <w:style w:type="table" w:styleId="Mkatabulky">
    <w:name w:val="Table Grid"/>
    <w:basedOn w:val="Normlntabulka"/>
    <w:uiPriority w:val="59"/>
    <w:rsid w:val="00367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"/>
    <w:next w:val="Normln"/>
    <w:uiPriority w:val="99"/>
    <w:rsid w:val="00080394"/>
    <w:pPr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lang w:eastAsia="cs-CZ"/>
    </w:rPr>
  </w:style>
  <w:style w:type="character" w:styleId="Zvraznn">
    <w:name w:val="Emphasis"/>
    <w:uiPriority w:val="20"/>
    <w:qFormat/>
    <w:rsid w:val="00263DD4"/>
    <w:rPr>
      <w:b/>
      <w:bCs/>
      <w:i w:val="0"/>
      <w:iCs w:val="0"/>
    </w:rPr>
  </w:style>
  <w:style w:type="character" w:customStyle="1" w:styleId="st">
    <w:name w:val="st"/>
    <w:rsid w:val="00263DD4"/>
  </w:style>
  <w:style w:type="character" w:styleId="Siln">
    <w:name w:val="Strong"/>
    <w:uiPriority w:val="22"/>
    <w:qFormat/>
    <w:rsid w:val="003A0989"/>
    <w:rPr>
      <w:b/>
      <w:bCs/>
      <w:color w:val="333333"/>
    </w:rPr>
  </w:style>
  <w:style w:type="paragraph" w:customStyle="1" w:styleId="Default">
    <w:name w:val="Default"/>
    <w:rsid w:val="00D7232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3">
    <w:name w:val="A3"/>
    <w:uiPriority w:val="99"/>
    <w:rsid w:val="00D7232F"/>
    <w:rPr>
      <w:rFonts w:cs="Georgia"/>
      <w:color w:val="000000"/>
      <w:sz w:val="19"/>
      <w:szCs w:val="19"/>
    </w:rPr>
  </w:style>
  <w:style w:type="character" w:customStyle="1" w:styleId="Nadpis1Char">
    <w:name w:val="Nadpis 1 Char"/>
    <w:link w:val="Nadpis1"/>
    <w:uiPriority w:val="9"/>
    <w:rsid w:val="00491D84"/>
    <w:rPr>
      <w:rFonts w:ascii="Arial" w:eastAsia="Times New Roman" w:hAnsi="Arial" w:cs="Arial"/>
      <w:b/>
      <w:bCs/>
      <w:sz w:val="22"/>
      <w:szCs w:val="22"/>
    </w:rPr>
  </w:style>
  <w:style w:type="paragraph" w:styleId="Revize">
    <w:name w:val="Revision"/>
    <w:hidden/>
    <w:uiPriority w:val="99"/>
    <w:semiHidden/>
    <w:rsid w:val="004F6F34"/>
    <w:rPr>
      <w:rFonts w:ascii="Arial" w:eastAsia="Times New Roman" w:hAnsi="Arial"/>
      <w:sz w:val="22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6B430C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E716-E902-477C-B742-3AD0C5291F07}"/>
</file>

<file path=customXml/itemProps2.xml><?xml version="1.0" encoding="utf-8"?>
<ds:datastoreItem xmlns:ds="http://schemas.openxmlformats.org/officeDocument/2006/customXml" ds:itemID="{D765C774-F25C-4F40-A91A-9F81B79D525E}"/>
</file>

<file path=customXml/itemProps3.xml><?xml version="1.0" encoding="utf-8"?>
<ds:datastoreItem xmlns:ds="http://schemas.openxmlformats.org/officeDocument/2006/customXml" ds:itemID="{8D0C75F7-EEBD-4AA3-8A27-65D7EFFF7E89}"/>
</file>

<file path=customXml/itemProps4.xml><?xml version="1.0" encoding="utf-8"?>
<ds:datastoreItem xmlns:ds="http://schemas.openxmlformats.org/officeDocument/2006/customXml" ds:itemID="{DC483872-517A-4C95-8FBD-5FB17CC6AFB9}"/>
</file>

<file path=customXml/itemProps5.xml><?xml version="1.0" encoding="utf-8"?>
<ds:datastoreItem xmlns:ds="http://schemas.openxmlformats.org/officeDocument/2006/customXml" ds:itemID="{FC3DE604-558F-44E7-B306-4A28373DC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4414</Words>
  <Characters>26047</Characters>
  <Application>Microsoft Office Word</Application>
  <DocSecurity>0</DocSecurity>
  <Lines>217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11/17</vt:lpstr>
      <vt:lpstr>kontrolní závěr</vt:lpstr>
    </vt:vector>
  </TitlesOfParts>
  <Company>Nejvyšší kontrolní úřad</Company>
  <LinksUpToDate>false</LinksUpToDate>
  <CharactersWithSpaces>30401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12/21</dc:title>
  <dc:creator>Lenka KOVÁŘOVÁ</dc:creator>
  <cp:lastModifiedBy>GREŠOVÁ Romana</cp:lastModifiedBy>
  <cp:revision>6</cp:revision>
  <cp:lastPrinted>2013-05-13T14:19:00Z</cp:lastPrinted>
  <dcterms:created xsi:type="dcterms:W3CDTF">2013-05-27T06:39:00Z</dcterms:created>
  <dcterms:modified xsi:type="dcterms:W3CDTF">2013-05-30T09:59:00Z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286/13-NKU200/204/13</vt:lpwstr>
  </property>
  <property fmtid="{D5CDD505-2E9C-101B-9397-08002B2CF9AE}" pid="4" name="SZ_Spis_Pisemnost">
    <vt:lpwstr>286/13</vt:lpwstr>
  </property>
  <property fmtid="{D5CDD505-2E9C-101B-9397-08002B2CF9AE}" pid="5" name="DisplayName_SpisovyUzel_PoziceZodpo_Pisemnost">
    <vt:lpwstr>200</vt:lpwstr>
  </property>
  <property fmtid="{D5CDD505-2E9C-101B-9397-08002B2CF9AE}" pid="6" name="Zkratka_SpisovyUzel_PoziceZodpo_Pisemnost">
    <vt:lpwstr>200</vt:lpwstr>
  </property>
  <property fmtid="{D5CDD505-2E9C-101B-9397-08002B2CF9AE}" pid="7" name="Key_BarCode_Pisemnost">
    <vt:lpwstr>*B000177759*</vt:lpwstr>
  </property>
  <property fmtid="{D5CDD505-2E9C-101B-9397-08002B2CF9AE}" pid="8" name="DisplayName_CisloObalky_PostaOdes">
    <vt:lpwstr>{DisplayName_CisloObalky_PostaOdes}</vt:lpwstr>
  </property>
  <property fmtid="{D5CDD505-2E9C-101B-9397-08002B2CF9AE}" pid="9" name="EC_Pisemnost">
    <vt:lpwstr>13-5706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7/1</vt:lpwstr>
  </property>
  <property fmtid="{D5CDD505-2E9C-101B-9397-08002B2CF9AE}" pid="18" name="Vec_Pisemnost">
    <vt:lpwstr>KZ 12/21 - připomínkové řízení</vt:lpwstr>
  </property>
  <property fmtid="{D5CDD505-2E9C-101B-9397-08002B2CF9AE}" pid="19" name="DatumPoriz_Pisemnost">
    <vt:lpwstr>12.4.2013</vt:lpwstr>
  </property>
  <property fmtid="{D5CDD505-2E9C-101B-9397-08002B2CF9AE}" pid="20" name="Contact_PostaOdes_All">
    <vt:lpwstr/>
  </property>
  <property fmtid="{D5CDD505-2E9C-101B-9397-08002B2CF9AE}" pid="21" name="KRukam">
    <vt:lpwstr>{KRukam}</vt:lpwstr>
  </property>
  <property fmtid="{D5CDD505-2E9C-101B-9397-08002B2CF9AE}" pid="22" name="PocetListuDokumentu_Pisemnost">
    <vt:lpwstr>7</vt:lpwstr>
  </property>
  <property fmtid="{D5CDD505-2E9C-101B-9397-08002B2CF9AE}" pid="23" name="PocetPriloh_Pisemnost">
    <vt:lpwstr>1</vt:lpwstr>
  </property>
  <property fmtid="{D5CDD505-2E9C-101B-9397-08002B2CF9AE}" pid="24" name="TypPrilohy_Pisemnost">
    <vt:lpwstr>dokument ve Wordu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