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AC" w:rsidRPr="00E06DF3" w:rsidRDefault="0097250A" w:rsidP="00E06DF3">
      <w:pPr>
        <w:pStyle w:val="Nadpis9"/>
        <w:spacing w:before="0" w:after="0"/>
        <w:jc w:val="center"/>
        <w:rPr>
          <w:rFonts w:ascii="Arial" w:hAnsi="Arial" w:cs="Arial"/>
          <w:b/>
        </w:rPr>
      </w:pPr>
      <w:r w:rsidRPr="00E06DF3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42931E6D" wp14:editId="21031630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0" t="0" r="8890" b="0"/>
            <wp:wrapTopAndBottom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7DAC" w:rsidRPr="00E06DF3" w:rsidRDefault="00E47DAC" w:rsidP="00E06DF3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2706B5" w:rsidRPr="00E06DF3" w:rsidRDefault="002706B5" w:rsidP="00E06DF3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E47DAC" w:rsidRPr="00E06DF3" w:rsidRDefault="00E47DAC" w:rsidP="00E06DF3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E06DF3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7C5432" w:rsidRPr="00E06DF3" w:rsidRDefault="007C5432" w:rsidP="00E06DF3">
      <w:pPr>
        <w:jc w:val="center"/>
        <w:rPr>
          <w:rFonts w:cs="Arial"/>
          <w:sz w:val="22"/>
          <w:szCs w:val="22"/>
        </w:rPr>
      </w:pPr>
    </w:p>
    <w:p w:rsidR="00E47DAC" w:rsidRPr="00E06DF3" w:rsidRDefault="004379AD" w:rsidP="00E06DF3">
      <w:pPr>
        <w:jc w:val="center"/>
        <w:rPr>
          <w:rFonts w:cs="Arial"/>
          <w:b/>
          <w:bCs/>
          <w:sz w:val="28"/>
          <w:szCs w:val="28"/>
        </w:rPr>
      </w:pPr>
      <w:r w:rsidRPr="00E06DF3">
        <w:rPr>
          <w:rFonts w:cs="Arial"/>
          <w:b/>
          <w:bCs/>
          <w:sz w:val="28"/>
          <w:szCs w:val="28"/>
        </w:rPr>
        <w:t>1</w:t>
      </w:r>
      <w:r w:rsidR="008409FA" w:rsidRPr="00E06DF3">
        <w:rPr>
          <w:rFonts w:cs="Arial"/>
          <w:b/>
          <w:bCs/>
          <w:sz w:val="28"/>
          <w:szCs w:val="28"/>
        </w:rPr>
        <w:t>2</w:t>
      </w:r>
      <w:r w:rsidR="00553974" w:rsidRPr="00E06DF3">
        <w:rPr>
          <w:rFonts w:cs="Arial"/>
          <w:b/>
          <w:bCs/>
          <w:sz w:val="28"/>
          <w:szCs w:val="28"/>
        </w:rPr>
        <w:t>/</w:t>
      </w:r>
      <w:r w:rsidR="00052699" w:rsidRPr="00E06DF3">
        <w:rPr>
          <w:rFonts w:cs="Arial"/>
          <w:b/>
          <w:bCs/>
          <w:sz w:val="28"/>
          <w:szCs w:val="28"/>
        </w:rPr>
        <w:t>33</w:t>
      </w:r>
    </w:p>
    <w:p w:rsidR="007C5432" w:rsidRPr="00E06DF3" w:rsidRDefault="007C5432" w:rsidP="00E06DF3">
      <w:pPr>
        <w:jc w:val="center"/>
        <w:rPr>
          <w:rFonts w:cs="Arial"/>
          <w:b/>
          <w:bCs/>
          <w:sz w:val="22"/>
          <w:szCs w:val="22"/>
        </w:rPr>
      </w:pPr>
    </w:p>
    <w:p w:rsidR="006460C1" w:rsidRPr="00BE6B25" w:rsidRDefault="008409FA" w:rsidP="00E06DF3">
      <w:pPr>
        <w:jc w:val="center"/>
        <w:rPr>
          <w:rFonts w:cs="Arial"/>
          <w:b/>
          <w:spacing w:val="-4"/>
          <w:sz w:val="28"/>
          <w:szCs w:val="28"/>
        </w:rPr>
      </w:pPr>
      <w:r w:rsidRPr="00BE6B25">
        <w:rPr>
          <w:rFonts w:cs="Arial"/>
          <w:b/>
          <w:spacing w:val="-4"/>
          <w:sz w:val="28"/>
          <w:szCs w:val="28"/>
        </w:rPr>
        <w:t xml:space="preserve">Peněžní prostředky určené na </w:t>
      </w:r>
      <w:r w:rsidR="00EC00C4" w:rsidRPr="00BE6B25">
        <w:rPr>
          <w:rFonts w:cs="Arial"/>
          <w:b/>
          <w:spacing w:val="-4"/>
          <w:sz w:val="28"/>
          <w:szCs w:val="28"/>
        </w:rPr>
        <w:t xml:space="preserve">pořizování </w:t>
      </w:r>
      <w:r w:rsidR="00E229D5" w:rsidRPr="00BE6B25">
        <w:rPr>
          <w:rFonts w:cs="Arial"/>
          <w:b/>
          <w:spacing w:val="-4"/>
          <w:sz w:val="28"/>
          <w:szCs w:val="28"/>
        </w:rPr>
        <w:t>vybrané vý</w:t>
      </w:r>
      <w:r w:rsidR="00E04BB3" w:rsidRPr="00BE6B25">
        <w:rPr>
          <w:rFonts w:cs="Arial"/>
          <w:b/>
          <w:spacing w:val="-4"/>
          <w:sz w:val="28"/>
          <w:szCs w:val="28"/>
        </w:rPr>
        <w:t>zbroje</w:t>
      </w:r>
      <w:r w:rsidR="00E06DF3" w:rsidRPr="00BE6B25">
        <w:rPr>
          <w:rFonts w:cs="Arial"/>
          <w:b/>
          <w:spacing w:val="-4"/>
          <w:sz w:val="28"/>
          <w:szCs w:val="28"/>
        </w:rPr>
        <w:t xml:space="preserve"> a </w:t>
      </w:r>
      <w:r w:rsidR="00E04BB3" w:rsidRPr="00BE6B25">
        <w:rPr>
          <w:rFonts w:cs="Arial"/>
          <w:b/>
          <w:spacing w:val="-4"/>
          <w:sz w:val="28"/>
          <w:szCs w:val="28"/>
        </w:rPr>
        <w:t>techniky pro pozemní a </w:t>
      </w:r>
      <w:r w:rsidR="00E229D5" w:rsidRPr="00BE6B25">
        <w:rPr>
          <w:rFonts w:cs="Arial"/>
          <w:b/>
          <w:spacing w:val="-4"/>
          <w:sz w:val="28"/>
          <w:szCs w:val="28"/>
        </w:rPr>
        <w:t>specializované síly Armády České republiky</w:t>
      </w:r>
    </w:p>
    <w:p w:rsidR="00E47DAC" w:rsidRPr="00E06DF3" w:rsidRDefault="00E47DAC">
      <w:pPr>
        <w:rPr>
          <w:rFonts w:cs="Arial"/>
          <w:color w:val="000000" w:themeColor="text1"/>
          <w:sz w:val="22"/>
          <w:szCs w:val="22"/>
        </w:rPr>
      </w:pPr>
    </w:p>
    <w:p w:rsidR="00E47DAC" w:rsidRPr="00E06DF3" w:rsidRDefault="00E47DAC">
      <w:pPr>
        <w:rPr>
          <w:rFonts w:cs="Arial"/>
          <w:color w:val="000000" w:themeColor="text1"/>
          <w:sz w:val="22"/>
          <w:szCs w:val="22"/>
        </w:rPr>
      </w:pPr>
    </w:p>
    <w:p w:rsidR="00E47DAC" w:rsidRPr="00E06DF3" w:rsidRDefault="00E47DAC">
      <w:pPr>
        <w:pStyle w:val="Zkladn"/>
        <w:spacing w:before="0"/>
        <w:rPr>
          <w:rFonts w:cs="Arial"/>
          <w:color w:val="000000" w:themeColor="text1"/>
          <w:sz w:val="22"/>
          <w:szCs w:val="22"/>
        </w:rPr>
      </w:pPr>
      <w:r w:rsidRPr="00E06DF3">
        <w:rPr>
          <w:rFonts w:cs="Arial"/>
          <w:color w:val="000000" w:themeColor="text1"/>
          <w:sz w:val="22"/>
          <w:szCs w:val="22"/>
        </w:rPr>
        <w:t>Kontrolní akce byla zařazena do plánu kontrolní činnosti Nejvyššího kontrolního úřadu (dále jen „NKÚ“) na rok 20</w:t>
      </w:r>
      <w:r w:rsidR="004379AD" w:rsidRPr="00E06DF3">
        <w:rPr>
          <w:rFonts w:cs="Arial"/>
          <w:color w:val="000000" w:themeColor="text1"/>
          <w:sz w:val="22"/>
          <w:szCs w:val="22"/>
        </w:rPr>
        <w:t>1</w:t>
      </w:r>
      <w:r w:rsidR="008409FA" w:rsidRPr="00E06DF3">
        <w:rPr>
          <w:rFonts w:cs="Arial"/>
          <w:color w:val="000000" w:themeColor="text1"/>
          <w:sz w:val="22"/>
          <w:szCs w:val="22"/>
        </w:rPr>
        <w:t>2</w:t>
      </w:r>
      <w:r w:rsidRPr="00E06DF3">
        <w:rPr>
          <w:rFonts w:cs="Arial"/>
          <w:color w:val="000000" w:themeColor="text1"/>
          <w:sz w:val="22"/>
          <w:szCs w:val="22"/>
        </w:rPr>
        <w:t xml:space="preserve"> pod číslem </w:t>
      </w:r>
      <w:r w:rsidR="004379AD" w:rsidRPr="00E06DF3">
        <w:rPr>
          <w:rFonts w:cs="Arial"/>
          <w:color w:val="000000" w:themeColor="text1"/>
          <w:sz w:val="22"/>
          <w:szCs w:val="22"/>
        </w:rPr>
        <w:t>1</w:t>
      </w:r>
      <w:r w:rsidR="008409FA" w:rsidRPr="00E06DF3">
        <w:rPr>
          <w:rFonts w:cs="Arial"/>
          <w:color w:val="000000" w:themeColor="text1"/>
          <w:sz w:val="22"/>
          <w:szCs w:val="22"/>
        </w:rPr>
        <w:t>2</w:t>
      </w:r>
      <w:r w:rsidRPr="00E06DF3">
        <w:rPr>
          <w:rFonts w:cs="Arial"/>
          <w:color w:val="000000" w:themeColor="text1"/>
          <w:sz w:val="22"/>
          <w:szCs w:val="22"/>
        </w:rPr>
        <w:t>/</w:t>
      </w:r>
      <w:r w:rsidR="00E229D5" w:rsidRPr="00E06DF3">
        <w:rPr>
          <w:rFonts w:cs="Arial"/>
          <w:color w:val="000000" w:themeColor="text1"/>
          <w:sz w:val="22"/>
          <w:szCs w:val="22"/>
        </w:rPr>
        <w:t>33</w:t>
      </w:r>
      <w:r w:rsidRPr="00E06DF3">
        <w:rPr>
          <w:rFonts w:cs="Arial"/>
          <w:color w:val="000000" w:themeColor="text1"/>
          <w:sz w:val="22"/>
          <w:szCs w:val="22"/>
        </w:rPr>
        <w:t>. Kontrolní akci řídil a kontrol</w:t>
      </w:r>
      <w:r w:rsidR="00E229D5" w:rsidRPr="00E06DF3">
        <w:rPr>
          <w:rFonts w:cs="Arial"/>
          <w:color w:val="000000" w:themeColor="text1"/>
          <w:sz w:val="22"/>
          <w:szCs w:val="22"/>
        </w:rPr>
        <w:t>ní závěr vypracoval člen NKÚ MVDr. Rudolf Němeček</w:t>
      </w:r>
      <w:r w:rsidR="00B2216F" w:rsidRPr="00E06DF3">
        <w:rPr>
          <w:rFonts w:cs="Arial"/>
          <w:color w:val="000000" w:themeColor="text1"/>
          <w:sz w:val="22"/>
          <w:szCs w:val="22"/>
        </w:rPr>
        <w:t>.</w:t>
      </w:r>
    </w:p>
    <w:p w:rsidR="00E47DAC" w:rsidRPr="00E06DF3" w:rsidRDefault="00E47DAC">
      <w:pPr>
        <w:pStyle w:val="Zkladn"/>
        <w:spacing w:before="0"/>
        <w:rPr>
          <w:rFonts w:cs="Arial"/>
          <w:color w:val="000000" w:themeColor="text1"/>
          <w:sz w:val="22"/>
          <w:szCs w:val="22"/>
        </w:rPr>
      </w:pPr>
    </w:p>
    <w:p w:rsidR="00B2216F" w:rsidRPr="00E06DF3" w:rsidRDefault="00B2216F" w:rsidP="00B2216F">
      <w:pPr>
        <w:pStyle w:val="Zkladntextodsazen"/>
        <w:spacing w:after="0"/>
        <w:ind w:left="0"/>
        <w:jc w:val="both"/>
        <w:rPr>
          <w:rFonts w:cs="Arial"/>
          <w:color w:val="000000" w:themeColor="text1"/>
          <w:sz w:val="22"/>
          <w:szCs w:val="22"/>
        </w:rPr>
      </w:pPr>
      <w:r w:rsidRPr="00E06DF3">
        <w:rPr>
          <w:rFonts w:cs="Arial"/>
          <w:color w:val="000000" w:themeColor="text1"/>
          <w:sz w:val="22"/>
          <w:szCs w:val="22"/>
        </w:rPr>
        <w:t>Cílem kontroly bylo prověřit poskytování, čerpání a použití peněžních prostředků státního rozpočtu určených na pořizování vybrané výzbroje a techniky pro pozemní a specializované síly Armády České republiky</w:t>
      </w:r>
      <w:r w:rsidR="00B55A46" w:rsidRPr="00E06DF3">
        <w:rPr>
          <w:rFonts w:cs="Arial"/>
          <w:color w:val="000000" w:themeColor="text1"/>
          <w:sz w:val="22"/>
          <w:szCs w:val="22"/>
        </w:rPr>
        <w:t>.</w:t>
      </w:r>
    </w:p>
    <w:p w:rsidR="008409FA" w:rsidRPr="00E06DF3" w:rsidRDefault="008409FA" w:rsidP="0014414B">
      <w:pPr>
        <w:pStyle w:val="Zkladntextodsazen"/>
        <w:spacing w:after="0"/>
        <w:ind w:left="0"/>
        <w:jc w:val="both"/>
        <w:rPr>
          <w:rFonts w:cs="Arial"/>
          <w:color w:val="000000" w:themeColor="text1"/>
          <w:sz w:val="22"/>
          <w:szCs w:val="22"/>
        </w:rPr>
      </w:pPr>
    </w:p>
    <w:p w:rsidR="00DD1F0E" w:rsidRPr="00E06DF3" w:rsidRDefault="008409FA" w:rsidP="0014414B">
      <w:pPr>
        <w:pStyle w:val="Zkladntextodsazen"/>
        <w:spacing w:after="0"/>
        <w:ind w:left="0"/>
        <w:jc w:val="both"/>
        <w:rPr>
          <w:rFonts w:cs="Arial"/>
          <w:color w:val="000000" w:themeColor="text1"/>
          <w:sz w:val="22"/>
          <w:szCs w:val="22"/>
        </w:rPr>
      </w:pPr>
      <w:r w:rsidRPr="00E06DF3">
        <w:rPr>
          <w:rFonts w:cs="Arial"/>
          <w:color w:val="000000" w:themeColor="text1"/>
          <w:sz w:val="22"/>
          <w:szCs w:val="22"/>
        </w:rPr>
        <w:t>Kontrolováno bylo</w:t>
      </w:r>
      <w:r w:rsidR="00637B66" w:rsidRPr="00E06DF3">
        <w:rPr>
          <w:rFonts w:cs="Arial"/>
          <w:color w:val="000000" w:themeColor="text1"/>
          <w:sz w:val="22"/>
          <w:szCs w:val="22"/>
        </w:rPr>
        <w:t xml:space="preserve"> </w:t>
      </w:r>
      <w:r w:rsidR="00E47DAC" w:rsidRPr="00E06DF3">
        <w:rPr>
          <w:rFonts w:cs="Arial"/>
          <w:color w:val="000000" w:themeColor="text1"/>
          <w:sz w:val="22"/>
          <w:szCs w:val="22"/>
        </w:rPr>
        <w:t>období</w:t>
      </w:r>
      <w:r w:rsidRPr="00E06DF3">
        <w:rPr>
          <w:rFonts w:cs="Arial"/>
          <w:color w:val="000000" w:themeColor="text1"/>
          <w:sz w:val="22"/>
          <w:szCs w:val="22"/>
        </w:rPr>
        <w:t xml:space="preserve"> od roku 200</w:t>
      </w:r>
      <w:r w:rsidR="00B2216F" w:rsidRPr="00E06DF3">
        <w:rPr>
          <w:rFonts w:cs="Arial"/>
          <w:color w:val="000000" w:themeColor="text1"/>
          <w:sz w:val="22"/>
          <w:szCs w:val="22"/>
        </w:rPr>
        <w:t>8</w:t>
      </w:r>
      <w:r w:rsidRPr="00E06DF3">
        <w:rPr>
          <w:rFonts w:cs="Arial"/>
          <w:color w:val="000000" w:themeColor="text1"/>
          <w:sz w:val="22"/>
          <w:szCs w:val="22"/>
        </w:rPr>
        <w:t xml:space="preserve"> do </w:t>
      </w:r>
      <w:r w:rsidR="006460C1" w:rsidRPr="00E06DF3">
        <w:rPr>
          <w:rFonts w:cs="Arial"/>
          <w:color w:val="000000" w:themeColor="text1"/>
          <w:sz w:val="22"/>
          <w:szCs w:val="22"/>
        </w:rPr>
        <w:t>roku</w:t>
      </w:r>
      <w:r w:rsidRPr="00E06DF3">
        <w:rPr>
          <w:rFonts w:cs="Arial"/>
          <w:color w:val="000000" w:themeColor="text1"/>
          <w:sz w:val="22"/>
          <w:szCs w:val="22"/>
        </w:rPr>
        <w:t xml:space="preserve"> 2012</w:t>
      </w:r>
      <w:r w:rsidR="00491C48" w:rsidRPr="00E06DF3">
        <w:rPr>
          <w:rFonts w:cs="Arial"/>
          <w:color w:val="000000" w:themeColor="text1"/>
          <w:sz w:val="22"/>
          <w:szCs w:val="22"/>
        </w:rPr>
        <w:t>,</w:t>
      </w:r>
      <w:r w:rsidR="00E47DAC" w:rsidRPr="00E06DF3">
        <w:rPr>
          <w:rFonts w:cs="Arial"/>
          <w:color w:val="000000" w:themeColor="text1"/>
          <w:sz w:val="22"/>
          <w:szCs w:val="22"/>
        </w:rPr>
        <w:t xml:space="preserve"> </w:t>
      </w:r>
      <w:r w:rsidR="00A314B2" w:rsidRPr="00E06DF3">
        <w:rPr>
          <w:rFonts w:cs="Arial"/>
          <w:color w:val="000000" w:themeColor="text1"/>
          <w:sz w:val="22"/>
          <w:szCs w:val="22"/>
        </w:rPr>
        <w:t>v</w:t>
      </w:r>
      <w:r w:rsidR="0094007F" w:rsidRPr="00E06DF3">
        <w:rPr>
          <w:rFonts w:cs="Arial"/>
          <w:color w:val="000000" w:themeColor="text1"/>
          <w:sz w:val="22"/>
          <w:szCs w:val="22"/>
        </w:rPr>
        <w:t xml:space="preserve"> </w:t>
      </w:r>
      <w:r w:rsidR="00DD1F0E" w:rsidRPr="00E06DF3">
        <w:rPr>
          <w:rFonts w:cs="Arial"/>
          <w:color w:val="000000" w:themeColor="text1"/>
          <w:sz w:val="22"/>
          <w:szCs w:val="22"/>
        </w:rPr>
        <w:t>případě věcných souvislostí i</w:t>
      </w:r>
      <w:r w:rsidR="0094007F" w:rsidRPr="00E06DF3">
        <w:rPr>
          <w:rFonts w:cs="Arial"/>
          <w:color w:val="000000" w:themeColor="text1"/>
          <w:sz w:val="22"/>
          <w:szCs w:val="22"/>
        </w:rPr>
        <w:t xml:space="preserve"> </w:t>
      </w:r>
      <w:r w:rsidR="00DD1F0E" w:rsidRPr="00E06DF3">
        <w:rPr>
          <w:rFonts w:cs="Arial"/>
          <w:color w:val="000000" w:themeColor="text1"/>
          <w:sz w:val="22"/>
          <w:szCs w:val="22"/>
        </w:rPr>
        <w:t>období</w:t>
      </w:r>
      <w:r w:rsidR="003F046B" w:rsidRPr="00E06DF3">
        <w:rPr>
          <w:rFonts w:cs="Arial"/>
          <w:color w:val="000000" w:themeColor="text1"/>
          <w:sz w:val="22"/>
          <w:szCs w:val="22"/>
        </w:rPr>
        <w:t xml:space="preserve"> předcházející a</w:t>
      </w:r>
      <w:r w:rsidR="006101EC" w:rsidRPr="00E06DF3">
        <w:rPr>
          <w:rFonts w:cs="Arial"/>
          <w:color w:val="000000" w:themeColor="text1"/>
          <w:sz w:val="22"/>
          <w:szCs w:val="22"/>
        </w:rPr>
        <w:t xml:space="preserve"> </w:t>
      </w:r>
      <w:r w:rsidR="003F046B" w:rsidRPr="00E06DF3">
        <w:rPr>
          <w:rFonts w:cs="Arial"/>
          <w:color w:val="000000" w:themeColor="text1"/>
          <w:sz w:val="22"/>
          <w:szCs w:val="22"/>
        </w:rPr>
        <w:t>následující</w:t>
      </w:r>
      <w:r w:rsidR="00DD1F0E" w:rsidRPr="00E06DF3">
        <w:rPr>
          <w:rFonts w:cs="Arial"/>
          <w:color w:val="000000" w:themeColor="text1"/>
          <w:sz w:val="22"/>
          <w:szCs w:val="22"/>
        </w:rPr>
        <w:t xml:space="preserve">. </w:t>
      </w:r>
      <w:r w:rsidR="00E47DAC" w:rsidRPr="00E06DF3">
        <w:rPr>
          <w:rFonts w:cs="Arial"/>
          <w:color w:val="000000" w:themeColor="text1"/>
          <w:sz w:val="22"/>
          <w:szCs w:val="22"/>
        </w:rPr>
        <w:t>Kontrola byla prov</w:t>
      </w:r>
      <w:r w:rsidR="005C2A50" w:rsidRPr="00E06DF3">
        <w:rPr>
          <w:rFonts w:cs="Arial"/>
          <w:color w:val="000000" w:themeColor="text1"/>
          <w:sz w:val="22"/>
          <w:szCs w:val="22"/>
        </w:rPr>
        <w:t>á</w:t>
      </w:r>
      <w:r w:rsidR="00E47DAC" w:rsidRPr="00E06DF3">
        <w:rPr>
          <w:rFonts w:cs="Arial"/>
          <w:color w:val="000000" w:themeColor="text1"/>
          <w:sz w:val="22"/>
          <w:szCs w:val="22"/>
        </w:rPr>
        <w:t>d</w:t>
      </w:r>
      <w:r w:rsidR="005C2A50" w:rsidRPr="00E06DF3">
        <w:rPr>
          <w:rFonts w:cs="Arial"/>
          <w:color w:val="000000" w:themeColor="text1"/>
          <w:sz w:val="22"/>
          <w:szCs w:val="22"/>
        </w:rPr>
        <w:t>ě</w:t>
      </w:r>
      <w:r w:rsidR="00E47DAC" w:rsidRPr="00E06DF3">
        <w:rPr>
          <w:rFonts w:cs="Arial"/>
          <w:color w:val="000000" w:themeColor="text1"/>
          <w:sz w:val="22"/>
          <w:szCs w:val="22"/>
        </w:rPr>
        <w:t xml:space="preserve">na od </w:t>
      </w:r>
      <w:r w:rsidR="00B2216F" w:rsidRPr="00E06DF3">
        <w:rPr>
          <w:rFonts w:cs="Arial"/>
          <w:color w:val="000000" w:themeColor="text1"/>
          <w:sz w:val="22"/>
          <w:szCs w:val="22"/>
        </w:rPr>
        <w:t>listopadu</w:t>
      </w:r>
      <w:r w:rsidR="00DD1F0E" w:rsidRPr="00E06DF3">
        <w:rPr>
          <w:rFonts w:cs="Arial"/>
          <w:color w:val="000000" w:themeColor="text1"/>
          <w:sz w:val="22"/>
          <w:szCs w:val="22"/>
        </w:rPr>
        <w:t xml:space="preserve"> 20</w:t>
      </w:r>
      <w:r w:rsidR="00BB6DBE" w:rsidRPr="00E06DF3">
        <w:rPr>
          <w:rFonts w:cs="Arial"/>
          <w:color w:val="000000" w:themeColor="text1"/>
          <w:sz w:val="22"/>
          <w:szCs w:val="22"/>
        </w:rPr>
        <w:t>1</w:t>
      </w:r>
      <w:r w:rsidRPr="00E06DF3">
        <w:rPr>
          <w:rFonts w:cs="Arial"/>
          <w:color w:val="000000" w:themeColor="text1"/>
          <w:sz w:val="22"/>
          <w:szCs w:val="22"/>
        </w:rPr>
        <w:t>2</w:t>
      </w:r>
      <w:r w:rsidR="00E47DAC" w:rsidRPr="00E06DF3">
        <w:rPr>
          <w:rFonts w:cs="Arial"/>
          <w:color w:val="000000" w:themeColor="text1"/>
          <w:sz w:val="22"/>
          <w:szCs w:val="22"/>
        </w:rPr>
        <w:t xml:space="preserve"> do </w:t>
      </w:r>
      <w:r w:rsidR="00B2216F" w:rsidRPr="00E06DF3">
        <w:rPr>
          <w:rFonts w:cs="Arial"/>
          <w:color w:val="000000" w:themeColor="text1"/>
          <w:sz w:val="22"/>
          <w:szCs w:val="22"/>
        </w:rPr>
        <w:t xml:space="preserve">července </w:t>
      </w:r>
      <w:r w:rsidR="00E47DAC" w:rsidRPr="00E06DF3">
        <w:rPr>
          <w:rFonts w:cs="Arial"/>
          <w:color w:val="000000" w:themeColor="text1"/>
          <w:sz w:val="22"/>
          <w:szCs w:val="22"/>
        </w:rPr>
        <w:t>20</w:t>
      </w:r>
      <w:r w:rsidR="00B27B29" w:rsidRPr="00E06DF3">
        <w:rPr>
          <w:rFonts w:cs="Arial"/>
          <w:color w:val="000000" w:themeColor="text1"/>
          <w:sz w:val="22"/>
          <w:szCs w:val="22"/>
        </w:rPr>
        <w:t>1</w:t>
      </w:r>
      <w:r w:rsidRPr="00E06DF3">
        <w:rPr>
          <w:rFonts w:cs="Arial"/>
          <w:color w:val="000000" w:themeColor="text1"/>
          <w:sz w:val="22"/>
          <w:szCs w:val="22"/>
        </w:rPr>
        <w:t>3</w:t>
      </w:r>
      <w:r w:rsidR="00DD1F0E" w:rsidRPr="00E06DF3">
        <w:rPr>
          <w:rFonts w:cs="Arial"/>
          <w:color w:val="000000" w:themeColor="text1"/>
          <w:sz w:val="22"/>
          <w:szCs w:val="22"/>
        </w:rPr>
        <w:t>.</w:t>
      </w:r>
    </w:p>
    <w:p w:rsidR="00DD1F0E" w:rsidRPr="00E06DF3" w:rsidRDefault="00DD1F0E">
      <w:pPr>
        <w:pStyle w:val="Zkladn"/>
        <w:spacing w:before="0"/>
        <w:rPr>
          <w:rFonts w:cs="Arial"/>
          <w:color w:val="000000" w:themeColor="text1"/>
          <w:sz w:val="22"/>
          <w:szCs w:val="22"/>
        </w:rPr>
      </w:pPr>
    </w:p>
    <w:p w:rsidR="00E47DAC" w:rsidRPr="00E06DF3" w:rsidRDefault="00B2216F">
      <w:pPr>
        <w:pStyle w:val="Zkladn"/>
        <w:spacing w:before="0"/>
        <w:rPr>
          <w:rFonts w:cs="Arial"/>
          <w:color w:val="000000" w:themeColor="text1"/>
          <w:sz w:val="22"/>
          <w:szCs w:val="22"/>
        </w:rPr>
      </w:pPr>
      <w:r w:rsidRPr="00E06DF3">
        <w:rPr>
          <w:rFonts w:cs="Arial"/>
          <w:color w:val="000000" w:themeColor="text1"/>
          <w:sz w:val="22"/>
          <w:szCs w:val="22"/>
        </w:rPr>
        <w:t>Kontrolovanou osob</w:t>
      </w:r>
      <w:r w:rsidR="00B55A46" w:rsidRPr="00E06DF3">
        <w:rPr>
          <w:rFonts w:cs="Arial"/>
          <w:color w:val="000000" w:themeColor="text1"/>
          <w:sz w:val="22"/>
          <w:szCs w:val="22"/>
        </w:rPr>
        <w:t>o</w:t>
      </w:r>
      <w:r w:rsidRPr="00E06DF3">
        <w:rPr>
          <w:rFonts w:cs="Arial"/>
          <w:color w:val="000000" w:themeColor="text1"/>
          <w:sz w:val="22"/>
          <w:szCs w:val="22"/>
        </w:rPr>
        <w:t xml:space="preserve">u bylo Ministerstvo obrany (dále </w:t>
      </w:r>
      <w:r w:rsidR="00640C3F">
        <w:rPr>
          <w:rFonts w:cs="Arial"/>
          <w:color w:val="000000" w:themeColor="text1"/>
          <w:sz w:val="22"/>
          <w:szCs w:val="22"/>
        </w:rPr>
        <w:t>také</w:t>
      </w:r>
      <w:r w:rsidRPr="00E06DF3">
        <w:rPr>
          <w:rFonts w:cs="Arial"/>
          <w:color w:val="000000" w:themeColor="text1"/>
          <w:sz w:val="22"/>
          <w:szCs w:val="22"/>
        </w:rPr>
        <w:t xml:space="preserve"> „MO“).</w:t>
      </w:r>
    </w:p>
    <w:p w:rsidR="008409FA" w:rsidRPr="00E06DF3" w:rsidRDefault="008409FA">
      <w:pPr>
        <w:pStyle w:val="Zkladn"/>
        <w:spacing w:before="0"/>
        <w:rPr>
          <w:rFonts w:cs="Arial"/>
          <w:color w:val="000000" w:themeColor="text1"/>
          <w:sz w:val="22"/>
          <w:szCs w:val="22"/>
        </w:rPr>
      </w:pPr>
    </w:p>
    <w:p w:rsidR="00250598" w:rsidRPr="00E06DF3" w:rsidRDefault="00E47DAC">
      <w:pPr>
        <w:pStyle w:val="Zkladn"/>
        <w:spacing w:before="0"/>
        <w:rPr>
          <w:rFonts w:cs="Arial"/>
          <w:color w:val="000000" w:themeColor="text1"/>
          <w:sz w:val="22"/>
          <w:szCs w:val="22"/>
        </w:rPr>
      </w:pPr>
      <w:r w:rsidRPr="00E06DF3">
        <w:rPr>
          <w:rFonts w:cs="Arial"/>
          <w:color w:val="000000" w:themeColor="text1"/>
          <w:sz w:val="22"/>
          <w:szCs w:val="22"/>
        </w:rPr>
        <w:t xml:space="preserve">Námitky </w:t>
      </w:r>
      <w:r w:rsidR="00B2216F" w:rsidRPr="00E06DF3">
        <w:rPr>
          <w:rFonts w:cs="Arial"/>
          <w:color w:val="000000" w:themeColor="text1"/>
          <w:sz w:val="22"/>
          <w:szCs w:val="22"/>
        </w:rPr>
        <w:t xml:space="preserve">MO </w:t>
      </w:r>
      <w:r w:rsidRPr="00E06DF3">
        <w:rPr>
          <w:rFonts w:cs="Arial"/>
          <w:color w:val="000000" w:themeColor="text1"/>
          <w:sz w:val="22"/>
          <w:szCs w:val="22"/>
        </w:rPr>
        <w:t>proti kontroln</w:t>
      </w:r>
      <w:r w:rsidR="00DD1F0E" w:rsidRPr="00E06DF3">
        <w:rPr>
          <w:rFonts w:cs="Arial"/>
          <w:color w:val="000000" w:themeColor="text1"/>
          <w:sz w:val="22"/>
          <w:szCs w:val="22"/>
        </w:rPr>
        <w:t>ímu protokolu</w:t>
      </w:r>
      <w:r w:rsidR="00B2216F" w:rsidRPr="00E06DF3">
        <w:rPr>
          <w:rFonts w:cs="Arial"/>
          <w:color w:val="000000" w:themeColor="text1"/>
          <w:sz w:val="22"/>
          <w:szCs w:val="22"/>
        </w:rPr>
        <w:t xml:space="preserve"> </w:t>
      </w:r>
      <w:r w:rsidR="00DE3383" w:rsidRPr="00E06DF3">
        <w:rPr>
          <w:rFonts w:cs="Arial"/>
          <w:color w:val="000000" w:themeColor="text1"/>
          <w:sz w:val="22"/>
          <w:szCs w:val="22"/>
        </w:rPr>
        <w:t>byly vypořádány vedoucím</w:t>
      </w:r>
      <w:r w:rsidR="00250598" w:rsidRPr="00E06DF3">
        <w:rPr>
          <w:rFonts w:cs="Arial"/>
          <w:color w:val="000000" w:themeColor="text1"/>
          <w:sz w:val="22"/>
          <w:szCs w:val="22"/>
        </w:rPr>
        <w:t xml:space="preserve"> skupin</w:t>
      </w:r>
      <w:r w:rsidR="00DE3383" w:rsidRPr="00E06DF3">
        <w:rPr>
          <w:rFonts w:cs="Arial"/>
          <w:color w:val="000000" w:themeColor="text1"/>
          <w:sz w:val="22"/>
          <w:szCs w:val="22"/>
        </w:rPr>
        <w:t>y</w:t>
      </w:r>
      <w:r w:rsidR="00250598" w:rsidRPr="00E06DF3">
        <w:rPr>
          <w:rFonts w:cs="Arial"/>
          <w:color w:val="000000" w:themeColor="text1"/>
          <w:sz w:val="22"/>
          <w:szCs w:val="22"/>
        </w:rPr>
        <w:t xml:space="preserve"> kontrolujících ro</w:t>
      </w:r>
      <w:r w:rsidR="00BF43F1" w:rsidRPr="00E06DF3">
        <w:rPr>
          <w:rFonts w:cs="Arial"/>
          <w:color w:val="000000" w:themeColor="text1"/>
          <w:sz w:val="22"/>
          <w:szCs w:val="22"/>
        </w:rPr>
        <w:t>zhodnutím</w:t>
      </w:r>
      <w:r w:rsidR="00F4062F" w:rsidRPr="00E06DF3">
        <w:rPr>
          <w:rFonts w:cs="Arial"/>
          <w:color w:val="000000" w:themeColor="text1"/>
          <w:sz w:val="22"/>
          <w:szCs w:val="22"/>
        </w:rPr>
        <w:t xml:space="preserve"> o</w:t>
      </w:r>
      <w:r w:rsidR="0094007F" w:rsidRPr="00E06DF3">
        <w:rPr>
          <w:rFonts w:cs="Arial"/>
          <w:color w:val="000000" w:themeColor="text1"/>
          <w:sz w:val="22"/>
          <w:szCs w:val="22"/>
        </w:rPr>
        <w:t xml:space="preserve"> </w:t>
      </w:r>
      <w:r w:rsidR="00F4062F" w:rsidRPr="00E06DF3">
        <w:rPr>
          <w:rFonts w:cs="Arial"/>
          <w:color w:val="000000" w:themeColor="text1"/>
          <w:sz w:val="22"/>
          <w:szCs w:val="22"/>
        </w:rPr>
        <w:t>námitkách.</w:t>
      </w:r>
      <w:r w:rsidR="00490825" w:rsidRPr="00E06DF3">
        <w:rPr>
          <w:rFonts w:cs="Arial"/>
          <w:color w:val="000000" w:themeColor="text1"/>
          <w:sz w:val="22"/>
          <w:szCs w:val="22"/>
        </w:rPr>
        <w:t xml:space="preserve"> </w:t>
      </w:r>
    </w:p>
    <w:p w:rsidR="00250598" w:rsidRPr="00E06DF3" w:rsidRDefault="00250598">
      <w:pPr>
        <w:pStyle w:val="Zkladn"/>
        <w:spacing w:before="0"/>
        <w:rPr>
          <w:rFonts w:cs="Arial"/>
          <w:color w:val="000000" w:themeColor="text1"/>
          <w:sz w:val="22"/>
          <w:szCs w:val="22"/>
        </w:rPr>
      </w:pPr>
    </w:p>
    <w:p w:rsidR="00BD2316" w:rsidRPr="00E06DF3" w:rsidRDefault="00BD2316">
      <w:pPr>
        <w:ind w:right="70"/>
        <w:jc w:val="both"/>
        <w:rPr>
          <w:rFonts w:cs="Arial"/>
          <w:color w:val="000000" w:themeColor="text1"/>
          <w:sz w:val="22"/>
          <w:szCs w:val="22"/>
        </w:rPr>
      </w:pPr>
    </w:p>
    <w:p w:rsidR="00E47DAC" w:rsidRPr="00E06DF3" w:rsidRDefault="00E47DAC">
      <w:pPr>
        <w:ind w:right="70"/>
        <w:jc w:val="both"/>
        <w:rPr>
          <w:rFonts w:cs="Arial"/>
          <w:color w:val="000000" w:themeColor="text1"/>
          <w:sz w:val="22"/>
          <w:szCs w:val="22"/>
        </w:rPr>
      </w:pPr>
      <w:proofErr w:type="gramStart"/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K o l e g i u m</w:t>
      </w:r>
      <w:r w:rsidRPr="00E06DF3">
        <w:rPr>
          <w:rFonts w:cs="Arial"/>
          <w:color w:val="000000" w:themeColor="text1"/>
          <w:sz w:val="22"/>
          <w:szCs w:val="22"/>
        </w:rPr>
        <w:t xml:space="preserve">  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N</w:t>
      </w:r>
      <w:r w:rsidR="008D64F9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K</w:t>
      </w:r>
      <w:r w:rsidR="005E2660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Ú</w:t>
      </w:r>
      <w:r w:rsidR="002313A4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 </w:t>
      </w:r>
      <w:r w:rsidR="00F738AA" w:rsidRPr="00E06DF3">
        <w:rPr>
          <w:rFonts w:cs="Arial"/>
          <w:b/>
          <w:bCs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color w:val="000000" w:themeColor="text1"/>
          <w:sz w:val="22"/>
          <w:szCs w:val="22"/>
        </w:rPr>
        <w:t>na</w:t>
      </w:r>
      <w:proofErr w:type="gramEnd"/>
      <w:r w:rsidR="00F57CC9" w:rsidRPr="00E06DF3">
        <w:rPr>
          <w:rFonts w:cs="Arial"/>
          <w:color w:val="000000" w:themeColor="text1"/>
          <w:sz w:val="22"/>
          <w:szCs w:val="22"/>
        </w:rPr>
        <w:t xml:space="preserve"> </w:t>
      </w:r>
      <w:r w:rsidR="00F34AD3" w:rsidRPr="00E06DF3">
        <w:rPr>
          <w:rFonts w:cs="Arial"/>
          <w:color w:val="000000" w:themeColor="text1"/>
          <w:sz w:val="22"/>
          <w:szCs w:val="22"/>
        </w:rPr>
        <w:t xml:space="preserve">svém </w:t>
      </w:r>
      <w:r w:rsidR="0095251D" w:rsidRPr="00E06DF3">
        <w:rPr>
          <w:rFonts w:cs="Arial"/>
          <w:color w:val="000000" w:themeColor="text1"/>
          <w:sz w:val="22"/>
          <w:szCs w:val="22"/>
        </w:rPr>
        <w:t>XVII.</w:t>
      </w:r>
      <w:r w:rsidR="001418C0" w:rsidRPr="00E06DF3">
        <w:rPr>
          <w:rFonts w:cs="Arial"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color w:val="000000" w:themeColor="text1"/>
          <w:sz w:val="22"/>
          <w:szCs w:val="22"/>
        </w:rPr>
        <w:t>zasedání, konaném dne</w:t>
      </w:r>
      <w:r w:rsidR="009A12AE" w:rsidRPr="00E06DF3">
        <w:rPr>
          <w:rFonts w:cs="Arial"/>
          <w:color w:val="000000" w:themeColor="text1"/>
          <w:sz w:val="22"/>
          <w:szCs w:val="22"/>
        </w:rPr>
        <w:t xml:space="preserve"> </w:t>
      </w:r>
      <w:r w:rsidR="00E214A4" w:rsidRPr="00E06DF3">
        <w:rPr>
          <w:rFonts w:cs="Arial"/>
          <w:color w:val="000000" w:themeColor="text1"/>
          <w:sz w:val="22"/>
          <w:szCs w:val="22"/>
        </w:rPr>
        <w:t>14</w:t>
      </w:r>
      <w:r w:rsidR="001418C0" w:rsidRPr="00E06DF3">
        <w:rPr>
          <w:rFonts w:cs="Arial"/>
          <w:color w:val="000000" w:themeColor="text1"/>
          <w:sz w:val="22"/>
          <w:szCs w:val="22"/>
        </w:rPr>
        <w:t xml:space="preserve">. </w:t>
      </w:r>
      <w:r w:rsidR="00A91AA6" w:rsidRPr="00E06DF3">
        <w:rPr>
          <w:rFonts w:cs="Arial"/>
          <w:color w:val="000000" w:themeColor="text1"/>
          <w:sz w:val="22"/>
          <w:szCs w:val="22"/>
        </w:rPr>
        <w:t>října</w:t>
      </w:r>
      <w:r w:rsidR="001418C0" w:rsidRPr="00E06DF3">
        <w:rPr>
          <w:rFonts w:cs="Arial"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color w:val="000000" w:themeColor="text1"/>
          <w:sz w:val="22"/>
          <w:szCs w:val="22"/>
        </w:rPr>
        <w:t>20</w:t>
      </w:r>
      <w:r w:rsidR="00B27B29" w:rsidRPr="00E06DF3">
        <w:rPr>
          <w:rFonts w:cs="Arial"/>
          <w:color w:val="000000" w:themeColor="text1"/>
          <w:sz w:val="22"/>
          <w:szCs w:val="22"/>
        </w:rPr>
        <w:t>1</w:t>
      </w:r>
      <w:r w:rsidR="004B4092" w:rsidRPr="00E06DF3">
        <w:rPr>
          <w:rFonts w:cs="Arial"/>
          <w:color w:val="000000" w:themeColor="text1"/>
          <w:sz w:val="22"/>
          <w:szCs w:val="22"/>
        </w:rPr>
        <w:t>3</w:t>
      </w:r>
      <w:r w:rsidRPr="00E06DF3">
        <w:rPr>
          <w:rFonts w:cs="Arial"/>
          <w:color w:val="000000" w:themeColor="text1"/>
          <w:sz w:val="22"/>
          <w:szCs w:val="22"/>
        </w:rPr>
        <w:t xml:space="preserve">, </w:t>
      </w:r>
    </w:p>
    <w:p w:rsidR="00E47DAC" w:rsidRPr="00E06DF3" w:rsidRDefault="00A427F9" w:rsidP="00A427F9">
      <w:pPr>
        <w:ind w:right="68"/>
        <w:jc w:val="both"/>
        <w:rPr>
          <w:rFonts w:cs="Arial"/>
          <w:color w:val="000000" w:themeColor="text1"/>
          <w:sz w:val="22"/>
          <w:szCs w:val="22"/>
        </w:rPr>
      </w:pPr>
      <w:proofErr w:type="gramStart"/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s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c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h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v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á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l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i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l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o</w:t>
      </w:r>
      <w:r w:rsidR="00E47DAC" w:rsidRPr="00E06DF3">
        <w:rPr>
          <w:rFonts w:cs="Arial"/>
          <w:color w:val="000000" w:themeColor="text1"/>
          <w:sz w:val="22"/>
          <w:szCs w:val="22"/>
        </w:rPr>
        <w:t xml:space="preserve"> </w:t>
      </w:r>
      <w:r w:rsidR="002313A4" w:rsidRPr="00E06DF3">
        <w:rPr>
          <w:rFonts w:cs="Arial"/>
          <w:color w:val="000000" w:themeColor="text1"/>
          <w:sz w:val="22"/>
          <w:szCs w:val="22"/>
        </w:rPr>
        <w:t xml:space="preserve">  </w:t>
      </w:r>
      <w:r w:rsidR="00E47DAC" w:rsidRPr="00E06DF3">
        <w:rPr>
          <w:rFonts w:cs="Arial"/>
          <w:color w:val="000000" w:themeColor="text1"/>
          <w:sz w:val="22"/>
          <w:szCs w:val="22"/>
        </w:rPr>
        <w:t>usnesením č.</w:t>
      </w:r>
      <w:proofErr w:type="gramEnd"/>
      <w:r w:rsidR="009A12AE" w:rsidRPr="00E06DF3">
        <w:rPr>
          <w:rFonts w:cs="Arial"/>
          <w:color w:val="000000" w:themeColor="text1"/>
          <w:sz w:val="22"/>
          <w:szCs w:val="22"/>
        </w:rPr>
        <w:t xml:space="preserve"> </w:t>
      </w:r>
      <w:r w:rsidR="00FB7902" w:rsidRPr="00E06DF3">
        <w:rPr>
          <w:rFonts w:cs="Arial"/>
          <w:color w:val="000000" w:themeColor="text1"/>
          <w:sz w:val="22"/>
          <w:szCs w:val="22"/>
        </w:rPr>
        <w:t>7</w:t>
      </w:r>
      <w:r w:rsidR="00BD2316" w:rsidRPr="00E06DF3">
        <w:rPr>
          <w:rFonts w:cs="Arial"/>
          <w:color w:val="000000" w:themeColor="text1"/>
          <w:sz w:val="22"/>
          <w:szCs w:val="22"/>
        </w:rPr>
        <w:t>/</w:t>
      </w:r>
      <w:r w:rsidR="00D21F83" w:rsidRPr="00E06DF3">
        <w:rPr>
          <w:rFonts w:cs="Arial"/>
          <w:color w:val="000000" w:themeColor="text1"/>
          <w:sz w:val="22"/>
          <w:szCs w:val="22"/>
        </w:rPr>
        <w:t>XVII</w:t>
      </w:r>
      <w:r w:rsidR="00BD2316" w:rsidRPr="00E06DF3">
        <w:rPr>
          <w:rFonts w:cs="Arial"/>
          <w:color w:val="000000" w:themeColor="text1"/>
          <w:sz w:val="22"/>
          <w:szCs w:val="22"/>
        </w:rPr>
        <w:t>/201</w:t>
      </w:r>
      <w:r w:rsidR="004B4092" w:rsidRPr="00E06DF3">
        <w:rPr>
          <w:rFonts w:cs="Arial"/>
          <w:color w:val="000000" w:themeColor="text1"/>
          <w:sz w:val="22"/>
          <w:szCs w:val="22"/>
        </w:rPr>
        <w:t>3</w:t>
      </w:r>
      <w:r w:rsidR="00E47DAC" w:rsidRPr="00E06DF3">
        <w:rPr>
          <w:rFonts w:cs="Arial"/>
          <w:color w:val="000000" w:themeColor="text1"/>
          <w:sz w:val="22"/>
          <w:szCs w:val="22"/>
        </w:rPr>
        <w:t xml:space="preserve"> </w:t>
      </w:r>
    </w:p>
    <w:p w:rsidR="00E47DAC" w:rsidRPr="00E06DF3" w:rsidRDefault="00A427F9">
      <w:pPr>
        <w:ind w:right="70"/>
        <w:jc w:val="both"/>
        <w:rPr>
          <w:rFonts w:cs="Arial"/>
          <w:color w:val="000000" w:themeColor="text1"/>
          <w:sz w:val="22"/>
          <w:szCs w:val="22"/>
        </w:rPr>
      </w:pPr>
      <w:proofErr w:type="gramStart"/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k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o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n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t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r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o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l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n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í 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z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á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v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ě</w:t>
      </w:r>
      <w:r w:rsidR="003E0C7C"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E06DF3">
        <w:rPr>
          <w:rFonts w:cs="Arial"/>
          <w:b/>
          <w:bCs/>
          <w:i/>
          <w:iCs/>
          <w:color w:val="000000" w:themeColor="text1"/>
          <w:sz w:val="22"/>
          <w:szCs w:val="22"/>
        </w:rPr>
        <w:t>r</w:t>
      </w:r>
      <w:r w:rsidR="00E47DAC" w:rsidRPr="00E06DF3">
        <w:rPr>
          <w:rFonts w:cs="Arial"/>
          <w:color w:val="000000" w:themeColor="text1"/>
          <w:sz w:val="22"/>
          <w:szCs w:val="22"/>
        </w:rPr>
        <w:t xml:space="preserve"> </w:t>
      </w:r>
      <w:r w:rsidR="002313A4" w:rsidRPr="00E06DF3">
        <w:rPr>
          <w:rFonts w:cs="Arial"/>
          <w:color w:val="000000" w:themeColor="text1"/>
          <w:sz w:val="22"/>
          <w:szCs w:val="22"/>
        </w:rPr>
        <w:t xml:space="preserve">  </w:t>
      </w:r>
      <w:r w:rsidR="0013397D" w:rsidRPr="00E06DF3">
        <w:rPr>
          <w:rFonts w:cs="Arial"/>
          <w:color w:val="000000" w:themeColor="text1"/>
          <w:sz w:val="22"/>
          <w:szCs w:val="22"/>
        </w:rPr>
        <w:t>v</w:t>
      </w:r>
      <w:r w:rsidR="006101EC" w:rsidRPr="00E06DF3">
        <w:rPr>
          <w:rFonts w:cs="Arial"/>
          <w:color w:val="000000" w:themeColor="text1"/>
          <w:sz w:val="22"/>
          <w:szCs w:val="22"/>
        </w:rPr>
        <w:t xml:space="preserve"> </w:t>
      </w:r>
      <w:r w:rsidR="00E47DAC" w:rsidRPr="00E06DF3">
        <w:rPr>
          <w:rFonts w:cs="Arial"/>
          <w:color w:val="000000" w:themeColor="text1"/>
          <w:sz w:val="22"/>
          <w:szCs w:val="22"/>
        </w:rPr>
        <w:t>tomto</w:t>
      </w:r>
      <w:proofErr w:type="gramEnd"/>
      <w:r w:rsidR="00E47DAC" w:rsidRPr="00E06DF3">
        <w:rPr>
          <w:rFonts w:cs="Arial"/>
          <w:color w:val="000000" w:themeColor="text1"/>
          <w:sz w:val="22"/>
          <w:szCs w:val="22"/>
        </w:rPr>
        <w:t xml:space="preserve"> znění:</w:t>
      </w:r>
    </w:p>
    <w:p w:rsidR="003F75C8" w:rsidRPr="00E06DF3" w:rsidRDefault="003F75C8">
      <w:pPr>
        <w:ind w:right="70"/>
        <w:jc w:val="both"/>
        <w:rPr>
          <w:rFonts w:cs="Arial"/>
          <w:color w:val="000000" w:themeColor="text1"/>
          <w:sz w:val="22"/>
          <w:szCs w:val="22"/>
        </w:rPr>
      </w:pPr>
    </w:p>
    <w:p w:rsidR="00AC7D59" w:rsidRPr="00E06DF3" w:rsidRDefault="00AC7D59">
      <w:pPr>
        <w:ind w:right="70"/>
        <w:jc w:val="both"/>
        <w:rPr>
          <w:rFonts w:cs="Arial"/>
          <w:color w:val="000000" w:themeColor="text1"/>
          <w:sz w:val="22"/>
          <w:szCs w:val="22"/>
        </w:rPr>
      </w:pPr>
    </w:p>
    <w:p w:rsidR="00E47DAC" w:rsidRPr="00E06DF3" w:rsidRDefault="005C2A50" w:rsidP="00E06DF3">
      <w:pPr>
        <w:jc w:val="center"/>
        <w:rPr>
          <w:b/>
        </w:rPr>
      </w:pPr>
      <w:r w:rsidRPr="00E06DF3">
        <w:rPr>
          <w:b/>
        </w:rPr>
        <w:t xml:space="preserve">I. </w:t>
      </w:r>
      <w:r w:rsidR="00E47DAC" w:rsidRPr="00E06DF3">
        <w:rPr>
          <w:b/>
        </w:rPr>
        <w:t>Úvod</w:t>
      </w:r>
    </w:p>
    <w:p w:rsidR="00E06DF3" w:rsidRDefault="00E06DF3" w:rsidP="00E06DF3">
      <w:pPr>
        <w:jc w:val="both"/>
        <w:rPr>
          <w:rFonts w:cs="Arial"/>
          <w:sz w:val="22"/>
          <w:szCs w:val="22"/>
        </w:rPr>
      </w:pPr>
    </w:p>
    <w:p w:rsidR="00052699" w:rsidRDefault="00052699" w:rsidP="00E06DF3">
      <w:pPr>
        <w:jc w:val="both"/>
        <w:rPr>
          <w:rFonts w:cs="Arial"/>
          <w:sz w:val="22"/>
          <w:szCs w:val="22"/>
        </w:rPr>
      </w:pPr>
      <w:r w:rsidRPr="00E06DF3">
        <w:rPr>
          <w:rFonts w:cs="Arial"/>
          <w:sz w:val="22"/>
          <w:szCs w:val="22"/>
        </w:rPr>
        <w:t xml:space="preserve">MO je organizační složkou státu a ústředním orgánem státní správy </w:t>
      </w:r>
      <w:r w:rsidR="000C13DD" w:rsidRPr="00E06DF3">
        <w:rPr>
          <w:rFonts w:cs="Arial"/>
          <w:sz w:val="22"/>
          <w:szCs w:val="22"/>
        </w:rPr>
        <w:t xml:space="preserve">zejména </w:t>
      </w:r>
      <w:r w:rsidRPr="00E06DF3">
        <w:rPr>
          <w:rFonts w:cs="Arial"/>
          <w:sz w:val="22"/>
          <w:szCs w:val="22"/>
        </w:rPr>
        <w:t>pro zabezpečení obrany České republiky a řízení Armády České republiky (dále jen „AČR“). MO je správcem rozpočtové kapitoly</w:t>
      </w:r>
      <w:r w:rsidR="00066B9B" w:rsidRPr="00E06DF3">
        <w:rPr>
          <w:rFonts w:cs="Arial"/>
          <w:sz w:val="22"/>
          <w:szCs w:val="22"/>
        </w:rPr>
        <w:t xml:space="preserve"> 307</w:t>
      </w:r>
      <w:r w:rsidRPr="00E06DF3">
        <w:rPr>
          <w:rFonts w:cs="Arial"/>
          <w:sz w:val="22"/>
          <w:szCs w:val="22"/>
        </w:rPr>
        <w:t xml:space="preserve"> a správce</w:t>
      </w:r>
      <w:r w:rsidR="003164E1" w:rsidRPr="00E06DF3">
        <w:rPr>
          <w:rFonts w:cs="Arial"/>
          <w:sz w:val="22"/>
          <w:szCs w:val="22"/>
        </w:rPr>
        <w:t>m programů, v</w:t>
      </w:r>
      <w:r w:rsidR="0094007F" w:rsidRPr="00E06DF3">
        <w:rPr>
          <w:rFonts w:cs="Arial"/>
          <w:sz w:val="22"/>
          <w:szCs w:val="22"/>
        </w:rPr>
        <w:t xml:space="preserve"> </w:t>
      </w:r>
      <w:r w:rsidR="003164E1" w:rsidRPr="00E06DF3">
        <w:rPr>
          <w:rFonts w:cs="Arial"/>
          <w:sz w:val="22"/>
          <w:szCs w:val="22"/>
        </w:rPr>
        <w:t>jejichž rámci byl</w:t>
      </w:r>
      <w:r w:rsidR="00782EAD">
        <w:rPr>
          <w:rFonts w:cs="Arial"/>
          <w:sz w:val="22"/>
          <w:szCs w:val="22"/>
        </w:rPr>
        <w:t>y</w:t>
      </w:r>
      <w:r w:rsidRPr="00E06DF3">
        <w:rPr>
          <w:rFonts w:cs="Arial"/>
          <w:sz w:val="22"/>
          <w:szCs w:val="22"/>
        </w:rPr>
        <w:t xml:space="preserve"> vybraná výzb</w:t>
      </w:r>
      <w:r w:rsidR="00E06DF3">
        <w:rPr>
          <w:rFonts w:cs="Arial"/>
          <w:sz w:val="22"/>
          <w:szCs w:val="22"/>
        </w:rPr>
        <w:t>roj a</w:t>
      </w:r>
      <w:r w:rsidR="00782EAD">
        <w:rPr>
          <w:rFonts w:cs="Arial"/>
          <w:sz w:val="22"/>
          <w:szCs w:val="22"/>
        </w:rPr>
        <w:t> vybraná</w:t>
      </w:r>
      <w:r w:rsidR="00E06DF3">
        <w:rPr>
          <w:rFonts w:cs="Arial"/>
          <w:sz w:val="22"/>
          <w:szCs w:val="22"/>
        </w:rPr>
        <w:t xml:space="preserve"> technika pořizován</w:t>
      </w:r>
      <w:r w:rsidR="00782EAD">
        <w:rPr>
          <w:rFonts w:cs="Arial"/>
          <w:sz w:val="22"/>
          <w:szCs w:val="22"/>
        </w:rPr>
        <w:t>y</w:t>
      </w:r>
      <w:r w:rsidR="00E06DF3">
        <w:rPr>
          <w:rFonts w:cs="Arial"/>
          <w:sz w:val="22"/>
          <w:szCs w:val="22"/>
        </w:rPr>
        <w:t>.</w:t>
      </w:r>
    </w:p>
    <w:p w:rsidR="00E06DF3" w:rsidRPr="00E06DF3" w:rsidRDefault="00E06DF3" w:rsidP="00E06DF3">
      <w:pPr>
        <w:jc w:val="both"/>
        <w:rPr>
          <w:rFonts w:cs="Arial"/>
          <w:sz w:val="22"/>
          <w:szCs w:val="22"/>
        </w:rPr>
      </w:pPr>
    </w:p>
    <w:p w:rsidR="008745E7" w:rsidRDefault="000274AE" w:rsidP="00E06DF3">
      <w:pPr>
        <w:jc w:val="both"/>
        <w:rPr>
          <w:rFonts w:cs="Arial"/>
          <w:sz w:val="22"/>
          <w:szCs w:val="22"/>
        </w:rPr>
      </w:pPr>
      <w:r w:rsidRPr="00E06DF3">
        <w:rPr>
          <w:rFonts w:cs="Arial"/>
          <w:sz w:val="22"/>
          <w:szCs w:val="22"/>
        </w:rPr>
        <w:t>Kontrole bylo podrobeno</w:t>
      </w:r>
      <w:r w:rsidR="00AC6A72" w:rsidRPr="00E06DF3">
        <w:rPr>
          <w:rFonts w:cs="Arial"/>
          <w:sz w:val="22"/>
          <w:szCs w:val="22"/>
        </w:rPr>
        <w:t xml:space="preserve"> </w:t>
      </w:r>
      <w:r w:rsidR="00052699" w:rsidRPr="00E06DF3">
        <w:rPr>
          <w:rFonts w:cs="Arial"/>
          <w:sz w:val="22"/>
          <w:szCs w:val="22"/>
        </w:rPr>
        <w:t>po</w:t>
      </w:r>
      <w:r w:rsidR="00AC6A72" w:rsidRPr="00E06DF3">
        <w:rPr>
          <w:rFonts w:cs="Arial"/>
          <w:sz w:val="22"/>
          <w:szCs w:val="22"/>
        </w:rPr>
        <w:t>řizování výzbroje a techniky pozemních a</w:t>
      </w:r>
      <w:r w:rsidR="0094007F" w:rsidRPr="00E06DF3">
        <w:rPr>
          <w:rFonts w:cs="Arial"/>
          <w:sz w:val="22"/>
          <w:szCs w:val="22"/>
        </w:rPr>
        <w:t xml:space="preserve"> </w:t>
      </w:r>
      <w:r w:rsidR="00AC6A72" w:rsidRPr="00E06DF3">
        <w:rPr>
          <w:rFonts w:cs="Arial"/>
          <w:sz w:val="22"/>
          <w:szCs w:val="22"/>
        </w:rPr>
        <w:t>speciálních sil A</w:t>
      </w:r>
      <w:r w:rsidR="00EC00C4" w:rsidRPr="00E06DF3">
        <w:rPr>
          <w:rFonts w:cs="Arial"/>
          <w:sz w:val="22"/>
          <w:szCs w:val="22"/>
        </w:rPr>
        <w:t>ČR</w:t>
      </w:r>
      <w:r w:rsidR="004414B5" w:rsidRPr="00E06DF3">
        <w:rPr>
          <w:rFonts w:cs="Arial"/>
          <w:sz w:val="22"/>
          <w:szCs w:val="22"/>
        </w:rPr>
        <w:t>,</w:t>
      </w:r>
      <w:r w:rsidR="00EC00C4" w:rsidRPr="00E06DF3">
        <w:rPr>
          <w:rFonts w:cs="Arial"/>
          <w:sz w:val="22"/>
          <w:szCs w:val="22"/>
        </w:rPr>
        <w:t xml:space="preserve"> </w:t>
      </w:r>
      <w:r w:rsidR="00782EAD">
        <w:rPr>
          <w:rFonts w:cs="Arial"/>
          <w:sz w:val="22"/>
          <w:szCs w:val="22"/>
        </w:rPr>
        <w:t>konkrétně</w:t>
      </w:r>
      <w:r w:rsidR="00B55A46" w:rsidRPr="00E06DF3">
        <w:rPr>
          <w:rFonts w:cs="Arial"/>
          <w:sz w:val="22"/>
          <w:szCs w:val="22"/>
        </w:rPr>
        <w:t xml:space="preserve"> </w:t>
      </w:r>
      <w:r w:rsidR="00EC00C4" w:rsidRPr="00E06DF3">
        <w:rPr>
          <w:rFonts w:cs="Arial"/>
          <w:sz w:val="22"/>
          <w:szCs w:val="22"/>
        </w:rPr>
        <w:t>soulad s</w:t>
      </w:r>
      <w:r w:rsidR="0094007F" w:rsidRPr="00E06DF3">
        <w:rPr>
          <w:rFonts w:cs="Arial"/>
          <w:sz w:val="22"/>
          <w:szCs w:val="22"/>
        </w:rPr>
        <w:t xml:space="preserve"> </w:t>
      </w:r>
      <w:r w:rsidR="00EC00C4" w:rsidRPr="00E06DF3">
        <w:rPr>
          <w:rFonts w:cs="Arial"/>
          <w:sz w:val="22"/>
          <w:szCs w:val="22"/>
        </w:rPr>
        <w:t>koncepcemi</w:t>
      </w:r>
      <w:r w:rsidR="00D73B76" w:rsidRPr="00E06DF3">
        <w:rPr>
          <w:rFonts w:cs="Arial"/>
          <w:sz w:val="22"/>
          <w:szCs w:val="22"/>
        </w:rPr>
        <w:t xml:space="preserve"> a cíli programů</w:t>
      </w:r>
      <w:r w:rsidR="00EC00C4" w:rsidRPr="00E06DF3">
        <w:rPr>
          <w:rFonts w:cs="Arial"/>
          <w:sz w:val="22"/>
          <w:szCs w:val="22"/>
        </w:rPr>
        <w:t>, správnost realizace</w:t>
      </w:r>
      <w:r w:rsidR="000C13DD" w:rsidRPr="00E06DF3">
        <w:rPr>
          <w:rFonts w:cs="Arial"/>
          <w:sz w:val="22"/>
          <w:szCs w:val="22"/>
        </w:rPr>
        <w:t xml:space="preserve"> akcí</w:t>
      </w:r>
      <w:r w:rsidR="00AC6A72" w:rsidRPr="00E06DF3">
        <w:rPr>
          <w:rFonts w:cs="Arial"/>
          <w:sz w:val="22"/>
          <w:szCs w:val="22"/>
        </w:rPr>
        <w:t xml:space="preserve">, splnění požadovaných technických parametrů a využívání nakoupené techniky. Kontrolovány </w:t>
      </w:r>
      <w:r w:rsidRPr="00E06DF3">
        <w:rPr>
          <w:rFonts w:cs="Arial"/>
          <w:sz w:val="22"/>
          <w:szCs w:val="22"/>
        </w:rPr>
        <w:t xml:space="preserve">byly dále </w:t>
      </w:r>
      <w:r w:rsidR="00B55A46" w:rsidRPr="00E06DF3">
        <w:rPr>
          <w:rFonts w:cs="Arial"/>
          <w:sz w:val="22"/>
          <w:szCs w:val="22"/>
        </w:rPr>
        <w:t>činnosti a </w:t>
      </w:r>
      <w:r w:rsidR="00AC6A72" w:rsidRPr="00E06DF3">
        <w:rPr>
          <w:rFonts w:cs="Arial"/>
          <w:sz w:val="22"/>
          <w:szCs w:val="22"/>
        </w:rPr>
        <w:t>povinnosti MO vyplývající z</w:t>
      </w:r>
      <w:r w:rsidR="0094007F" w:rsidRPr="00E06DF3">
        <w:rPr>
          <w:rFonts w:cs="Arial"/>
          <w:sz w:val="22"/>
          <w:szCs w:val="22"/>
        </w:rPr>
        <w:t xml:space="preserve"> </w:t>
      </w:r>
      <w:r w:rsidR="00AC6A72" w:rsidRPr="00E06DF3">
        <w:rPr>
          <w:rFonts w:cs="Arial"/>
          <w:sz w:val="22"/>
          <w:szCs w:val="22"/>
        </w:rPr>
        <w:t>funkce</w:t>
      </w:r>
      <w:r w:rsidR="00B55A46" w:rsidRPr="00E06DF3">
        <w:rPr>
          <w:rFonts w:cs="Arial"/>
          <w:sz w:val="22"/>
          <w:szCs w:val="22"/>
        </w:rPr>
        <w:t xml:space="preserve"> správce programů, především dodržování zákona č. </w:t>
      </w:r>
      <w:r w:rsidR="00AC6A72" w:rsidRPr="00E06DF3">
        <w:rPr>
          <w:rFonts w:cs="Arial"/>
          <w:sz w:val="22"/>
          <w:szCs w:val="22"/>
        </w:rPr>
        <w:t>218/2000 Sb.</w:t>
      </w:r>
      <w:r w:rsidR="00AC6A72" w:rsidRPr="00E06DF3">
        <w:rPr>
          <w:rStyle w:val="Znakapoznpodarou"/>
          <w:rFonts w:cs="Arial"/>
          <w:sz w:val="22"/>
          <w:szCs w:val="22"/>
        </w:rPr>
        <w:footnoteReference w:id="1"/>
      </w:r>
      <w:r w:rsidR="00EC00C4" w:rsidRPr="00E06DF3">
        <w:rPr>
          <w:rFonts w:cs="Arial"/>
          <w:sz w:val="22"/>
          <w:szCs w:val="22"/>
        </w:rPr>
        <w:t xml:space="preserve"> a</w:t>
      </w:r>
      <w:r w:rsidR="0094007F" w:rsidRPr="00E06DF3">
        <w:rPr>
          <w:rFonts w:cs="Arial"/>
          <w:sz w:val="22"/>
          <w:szCs w:val="22"/>
        </w:rPr>
        <w:t xml:space="preserve"> </w:t>
      </w:r>
      <w:r w:rsidR="000F66E0" w:rsidRPr="00E06DF3">
        <w:rPr>
          <w:rFonts w:cs="Arial"/>
          <w:sz w:val="22"/>
          <w:szCs w:val="22"/>
        </w:rPr>
        <w:t>vyhlášky č. 560/2006 Sb.</w:t>
      </w:r>
      <w:r w:rsidR="000F66E0" w:rsidRPr="00E06DF3">
        <w:rPr>
          <w:rStyle w:val="Znakapoznpodarou"/>
          <w:rFonts w:cs="Arial"/>
          <w:sz w:val="22"/>
          <w:szCs w:val="22"/>
        </w:rPr>
        <w:footnoteReference w:id="2"/>
      </w:r>
      <w:r w:rsidRPr="00E06DF3">
        <w:rPr>
          <w:rFonts w:cs="Arial"/>
          <w:sz w:val="22"/>
          <w:szCs w:val="22"/>
        </w:rPr>
        <w:t xml:space="preserve"> Programy </w:t>
      </w:r>
      <w:r w:rsidR="00F83149" w:rsidRPr="00E06DF3">
        <w:rPr>
          <w:rFonts w:cs="Arial"/>
          <w:sz w:val="22"/>
          <w:szCs w:val="22"/>
        </w:rPr>
        <w:t xml:space="preserve">a podprogramy </w:t>
      </w:r>
      <w:r w:rsidRPr="00E06DF3">
        <w:rPr>
          <w:rFonts w:cs="Arial"/>
          <w:sz w:val="22"/>
          <w:szCs w:val="22"/>
        </w:rPr>
        <w:t>byly kontrolovány zejména v</w:t>
      </w:r>
      <w:r w:rsidR="0094007F" w:rsidRPr="00E06DF3">
        <w:rPr>
          <w:rFonts w:cs="Arial"/>
          <w:sz w:val="22"/>
          <w:szCs w:val="22"/>
        </w:rPr>
        <w:t xml:space="preserve"> </w:t>
      </w:r>
      <w:r w:rsidRPr="00E06DF3">
        <w:rPr>
          <w:rFonts w:cs="Arial"/>
          <w:sz w:val="22"/>
          <w:szCs w:val="22"/>
        </w:rPr>
        <w:t>souvislosti s</w:t>
      </w:r>
      <w:r w:rsidR="0094007F" w:rsidRPr="00E06DF3">
        <w:rPr>
          <w:rFonts w:cs="Arial"/>
          <w:sz w:val="22"/>
          <w:szCs w:val="22"/>
        </w:rPr>
        <w:t xml:space="preserve"> </w:t>
      </w:r>
      <w:r w:rsidRPr="00E06DF3">
        <w:rPr>
          <w:rFonts w:cs="Arial"/>
          <w:sz w:val="22"/>
          <w:szCs w:val="22"/>
        </w:rPr>
        <w:t>v</w:t>
      </w:r>
      <w:r w:rsidR="00D73B76" w:rsidRPr="00E06DF3">
        <w:rPr>
          <w:rFonts w:cs="Arial"/>
          <w:sz w:val="22"/>
          <w:szCs w:val="22"/>
        </w:rPr>
        <w:t>ybranými kontrolovanými akcemi</w:t>
      </w:r>
      <w:r w:rsidR="008745E7" w:rsidRPr="00E06DF3">
        <w:rPr>
          <w:rFonts w:cs="Arial"/>
          <w:sz w:val="22"/>
          <w:szCs w:val="22"/>
        </w:rPr>
        <w:t>:</w:t>
      </w:r>
    </w:p>
    <w:p w:rsidR="004414B5" w:rsidRPr="00E06DF3" w:rsidRDefault="004414B5" w:rsidP="00E06DF3">
      <w:pPr>
        <w:rPr>
          <w:rFonts w:cs="Arial"/>
          <w:sz w:val="22"/>
          <w:szCs w:val="22"/>
        </w:rPr>
      </w:pPr>
    </w:p>
    <w:p w:rsidR="004414B5" w:rsidRPr="00E06DF3" w:rsidRDefault="004414B5" w:rsidP="00E06DF3">
      <w:pPr>
        <w:jc w:val="both"/>
        <w:rPr>
          <w:rFonts w:cs="Arial"/>
          <w:sz w:val="22"/>
          <w:szCs w:val="22"/>
        </w:rPr>
      </w:pPr>
      <w:r w:rsidRPr="00E06DF3">
        <w:rPr>
          <w:rFonts w:cs="Arial"/>
          <w:sz w:val="22"/>
          <w:szCs w:val="22"/>
        </w:rPr>
        <w:lastRenderedPageBreak/>
        <w:t>Celkem bylo kontrolováno 15 akcí s</w:t>
      </w:r>
      <w:r w:rsidR="0094007F" w:rsidRPr="00E06DF3">
        <w:rPr>
          <w:rFonts w:cs="Arial"/>
          <w:sz w:val="22"/>
          <w:szCs w:val="22"/>
        </w:rPr>
        <w:t xml:space="preserve"> </w:t>
      </w:r>
      <w:r w:rsidRPr="00E06DF3">
        <w:rPr>
          <w:rFonts w:cs="Arial"/>
          <w:sz w:val="22"/>
          <w:szCs w:val="22"/>
        </w:rPr>
        <w:t>celkovými výdaji 5</w:t>
      </w:r>
      <w:r w:rsidR="0094007F" w:rsidRPr="00E06DF3">
        <w:rPr>
          <w:rFonts w:cs="Arial"/>
          <w:sz w:val="22"/>
          <w:szCs w:val="22"/>
        </w:rPr>
        <w:t xml:space="preserve"> </w:t>
      </w:r>
      <w:r w:rsidRPr="00E06DF3">
        <w:rPr>
          <w:rFonts w:cs="Arial"/>
          <w:sz w:val="22"/>
          <w:szCs w:val="22"/>
        </w:rPr>
        <w:t>833,5 mil. Kč. Výběr kontrolovaných akcí byl proveden podle výše účasti státního rozpočtu a</w:t>
      </w:r>
      <w:r w:rsidR="0094007F" w:rsidRPr="00E06DF3">
        <w:rPr>
          <w:rFonts w:cs="Arial"/>
          <w:sz w:val="22"/>
          <w:szCs w:val="22"/>
        </w:rPr>
        <w:t xml:space="preserve"> </w:t>
      </w:r>
      <w:r w:rsidRPr="00E06DF3">
        <w:rPr>
          <w:rFonts w:cs="Arial"/>
          <w:sz w:val="22"/>
          <w:szCs w:val="22"/>
        </w:rPr>
        <w:t>předpokládaného stavu realizace projektu tak, aby byla zkontrolována významná část programů a</w:t>
      </w:r>
      <w:r w:rsidR="00782EAD">
        <w:rPr>
          <w:rFonts w:cs="Arial"/>
          <w:sz w:val="22"/>
          <w:szCs w:val="22"/>
        </w:rPr>
        <w:t> aby</w:t>
      </w:r>
      <w:r w:rsidRPr="00E06DF3">
        <w:rPr>
          <w:rFonts w:cs="Arial"/>
          <w:sz w:val="22"/>
          <w:szCs w:val="22"/>
        </w:rPr>
        <w:t xml:space="preserve"> mohlo být vyhodnoceno využití pořízené techniky.</w:t>
      </w:r>
    </w:p>
    <w:p w:rsidR="004414B5" w:rsidRPr="00E06DF3" w:rsidRDefault="004414B5" w:rsidP="00E06DF3">
      <w:pPr>
        <w:rPr>
          <w:rFonts w:cs="Arial"/>
          <w:sz w:val="22"/>
          <w:szCs w:val="22"/>
        </w:rPr>
      </w:pPr>
    </w:p>
    <w:p w:rsidR="00DC7E4D" w:rsidRPr="00E06DF3" w:rsidRDefault="00DC7E4D" w:rsidP="00E06DF3">
      <w:pPr>
        <w:jc w:val="both"/>
        <w:rPr>
          <w:rFonts w:cs="Arial"/>
          <w:sz w:val="22"/>
          <w:szCs w:val="22"/>
        </w:rPr>
      </w:pPr>
      <w:r w:rsidRPr="00E06DF3">
        <w:rPr>
          <w:rFonts w:cs="Arial"/>
          <w:sz w:val="22"/>
          <w:szCs w:val="22"/>
        </w:rPr>
        <w:t>Kontrolované programy, podprogramy a akce</w:t>
      </w:r>
      <w:r w:rsidR="00626107">
        <w:rPr>
          <w:rFonts w:cs="Arial"/>
          <w:sz w:val="22"/>
          <w:szCs w:val="22"/>
        </w:rPr>
        <w:t>,</w:t>
      </w:r>
      <w:r w:rsidRPr="00E06DF3">
        <w:rPr>
          <w:rFonts w:cs="Arial"/>
          <w:sz w:val="22"/>
          <w:szCs w:val="22"/>
        </w:rPr>
        <w:t xml:space="preserve"> resp. projekty reprodukce majetku jsou uvedeny v</w:t>
      </w:r>
      <w:r w:rsidR="0094007F" w:rsidRPr="00E06DF3">
        <w:rPr>
          <w:rFonts w:cs="Arial"/>
          <w:sz w:val="22"/>
          <w:szCs w:val="22"/>
        </w:rPr>
        <w:t xml:space="preserve"> </w:t>
      </w:r>
      <w:r w:rsidRPr="00E06DF3">
        <w:rPr>
          <w:rFonts w:cs="Arial"/>
          <w:sz w:val="22"/>
          <w:szCs w:val="22"/>
        </w:rPr>
        <w:t>tabulce č. 1.</w:t>
      </w:r>
    </w:p>
    <w:p w:rsidR="00DC7E4D" w:rsidRPr="00E06DF3" w:rsidRDefault="00DC7E4D" w:rsidP="00E06DF3">
      <w:pPr>
        <w:rPr>
          <w:rFonts w:cs="Arial"/>
          <w:sz w:val="22"/>
          <w:szCs w:val="22"/>
        </w:rPr>
      </w:pPr>
    </w:p>
    <w:p w:rsidR="000F58ED" w:rsidRPr="00E06DF3" w:rsidRDefault="00DC7E4D" w:rsidP="00E06DF3">
      <w:pPr>
        <w:spacing w:after="40"/>
        <w:rPr>
          <w:rFonts w:cs="Arial"/>
          <w:b/>
          <w:sz w:val="22"/>
          <w:szCs w:val="22"/>
        </w:rPr>
      </w:pPr>
      <w:r w:rsidRPr="00E06DF3">
        <w:rPr>
          <w:rFonts w:cs="Arial"/>
          <w:b/>
          <w:sz w:val="22"/>
          <w:szCs w:val="22"/>
        </w:rPr>
        <w:t>Tabulka č. 1</w:t>
      </w:r>
      <w:r w:rsidR="00626107">
        <w:rPr>
          <w:rFonts w:cs="Arial"/>
          <w:b/>
          <w:sz w:val="22"/>
          <w:szCs w:val="22"/>
        </w:rPr>
        <w:t> – Kontrolované programy, podprogramy a akce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216"/>
        <w:gridCol w:w="850"/>
        <w:gridCol w:w="4536"/>
        <w:gridCol w:w="1559"/>
      </w:tblGrid>
      <w:tr w:rsidR="00E06DF3" w:rsidRPr="00E06DF3" w:rsidTr="00556799">
        <w:trPr>
          <w:cantSplit/>
          <w:trHeight w:val="283"/>
          <w:jc w:val="center"/>
        </w:trPr>
        <w:tc>
          <w:tcPr>
            <w:tcW w:w="875" w:type="dxa"/>
            <w:shd w:val="clear" w:color="auto" w:fill="F2F2F2" w:themeFill="background1" w:themeFillShade="F2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Program</w:t>
            </w:r>
            <w:r w:rsidR="00E06DF3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ev.</w:t>
            </w:r>
            <w:r w:rsidR="00E06DF3">
              <w:rPr>
                <w:rFonts w:cs="Arial"/>
                <w:b/>
                <w:color w:val="000000" w:themeColor="text1"/>
                <w:sz w:val="16"/>
                <w:szCs w:val="18"/>
              </w:rPr>
              <w:t> </w:t>
            </w: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č.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Podprogram ev.</w:t>
            </w:r>
            <w:r w:rsidR="00E06DF3">
              <w:rPr>
                <w:rFonts w:cs="Arial"/>
                <w:b/>
                <w:color w:val="000000" w:themeColor="text1"/>
                <w:sz w:val="16"/>
                <w:szCs w:val="18"/>
              </w:rPr>
              <w:t> </w:t>
            </w: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č.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Akce</w:t>
            </w:r>
            <w:r w:rsidR="00E06DF3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ev. </w:t>
            </w: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č.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F58ED" w:rsidRPr="00E06DF3" w:rsidRDefault="000F58ED" w:rsidP="008470C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Název programu/podprogramu/akce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F58ED" w:rsidRPr="00E06DF3" w:rsidRDefault="000F58ED" w:rsidP="006261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Skutečné výdaje na realizaci projektů /</w:t>
            </w:r>
            <w:r w:rsidR="000B5CF3"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v </w:t>
            </w: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Kč/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shd w:val="clear" w:color="auto" w:fill="8DB3E2" w:themeFill="text2" w:themeFillTint="66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207V210</w:t>
            </w:r>
          </w:p>
        </w:tc>
        <w:tc>
          <w:tcPr>
            <w:tcW w:w="1216" w:type="dxa"/>
            <w:shd w:val="clear" w:color="auto" w:fill="8DB3E2" w:themeFill="text2" w:themeFillTint="66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Zvyšování schopností pozemních a specializovaných sil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shd w:val="clear" w:color="auto" w:fill="DAEEF3" w:themeFill="accent5" w:themeFillTint="3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DAEEF3" w:themeFill="accent5" w:themeFillTint="3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207V212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Zabezpečení schopností bojových útvarů 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259 494 257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207V212 </w:t>
            </w:r>
            <w:r w:rsidR="00C20BA3">
              <w:rPr>
                <w:rFonts w:cs="Arial"/>
                <w:color w:val="000000" w:themeColor="text1"/>
                <w:sz w:val="16"/>
                <w:szCs w:val="18"/>
              </w:rPr>
              <w:br/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7003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58ED" w:rsidRPr="00E06DF3" w:rsidRDefault="00E06DF3" w:rsidP="00E06DF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color w:val="000000" w:themeColor="text1"/>
                <w:sz w:val="16"/>
                <w:szCs w:val="18"/>
              </w:rPr>
              <w:t>Osobní padáky –</w:t>
            </w:r>
            <w:r w:rsidR="000F58ED"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 nákup</w:t>
            </w:r>
          </w:p>
        </w:tc>
        <w:tc>
          <w:tcPr>
            <w:tcW w:w="1559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23 500 994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207V212 </w:t>
            </w:r>
            <w:r w:rsidR="00C20BA3">
              <w:rPr>
                <w:rFonts w:cs="Arial"/>
                <w:color w:val="000000" w:themeColor="text1"/>
                <w:sz w:val="16"/>
                <w:szCs w:val="18"/>
              </w:rPr>
              <w:br/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7006</w:t>
            </w:r>
          </w:p>
        </w:tc>
        <w:tc>
          <w:tcPr>
            <w:tcW w:w="453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Přís</w:t>
            </w:r>
            <w:r w:rsidR="00E06DF3">
              <w:rPr>
                <w:rFonts w:cs="Arial"/>
                <w:color w:val="000000" w:themeColor="text1"/>
                <w:sz w:val="16"/>
                <w:szCs w:val="18"/>
              </w:rPr>
              <w:t>troje nočního vidění, 3. etapa –</w:t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 nákup </w:t>
            </w:r>
          </w:p>
        </w:tc>
        <w:tc>
          <w:tcPr>
            <w:tcW w:w="1559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235 993 263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shd w:val="clear" w:color="auto" w:fill="DAEEF3" w:themeFill="accent5" w:themeFillTint="3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DAEEF3" w:themeFill="accent5" w:themeFillTint="3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207V213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Zabezpečení schopností druhů sil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126 948 004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207V213 </w:t>
            </w:r>
            <w:r w:rsidR="00C20BA3">
              <w:rPr>
                <w:rFonts w:cs="Arial"/>
                <w:color w:val="000000" w:themeColor="text1"/>
                <w:sz w:val="16"/>
                <w:szCs w:val="18"/>
              </w:rPr>
              <w:br/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6004</w:t>
            </w:r>
          </w:p>
        </w:tc>
        <w:tc>
          <w:tcPr>
            <w:tcW w:w="453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Souprava chemického poz</w:t>
            </w:r>
            <w:r w:rsidR="00E06DF3">
              <w:rPr>
                <w:rFonts w:cs="Arial"/>
                <w:color w:val="000000" w:themeColor="text1"/>
                <w:sz w:val="16"/>
                <w:szCs w:val="18"/>
              </w:rPr>
              <w:t xml:space="preserve">orovatele – chemický </w:t>
            </w:r>
            <w:proofErr w:type="spellStart"/>
            <w:r w:rsidR="00E06DF3">
              <w:rPr>
                <w:rFonts w:cs="Arial"/>
                <w:color w:val="000000" w:themeColor="text1"/>
                <w:sz w:val="16"/>
                <w:szCs w:val="18"/>
              </w:rPr>
              <w:t>průkazník</w:t>
            </w:r>
            <w:proofErr w:type="spellEnd"/>
            <w:r w:rsidR="00E06DF3">
              <w:rPr>
                <w:rFonts w:cs="Arial"/>
                <w:color w:val="000000" w:themeColor="text1"/>
                <w:sz w:val="16"/>
                <w:szCs w:val="18"/>
              </w:rPr>
              <w:t xml:space="preserve"> –</w:t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 nákup</w:t>
            </w:r>
          </w:p>
        </w:tc>
        <w:tc>
          <w:tcPr>
            <w:tcW w:w="1559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63 898 143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207V213 </w:t>
            </w:r>
            <w:r w:rsidR="00C20BA3">
              <w:rPr>
                <w:rFonts w:cs="Arial"/>
                <w:color w:val="000000" w:themeColor="text1"/>
                <w:sz w:val="16"/>
                <w:szCs w:val="18"/>
              </w:rPr>
              <w:br/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7010</w:t>
            </w:r>
          </w:p>
        </w:tc>
        <w:tc>
          <w:tcPr>
            <w:tcW w:w="453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8"/>
              </w:rPr>
            </w:pPr>
            <w:proofErr w:type="spellStart"/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Provětrávací</w:t>
            </w:r>
            <w:proofErr w:type="spellEnd"/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 protichemický izolační oděv – OPCH-05 – nákup</w:t>
            </w:r>
          </w:p>
        </w:tc>
        <w:tc>
          <w:tcPr>
            <w:tcW w:w="1559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63 049 861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shd w:val="clear" w:color="auto" w:fill="8DB3E2" w:themeFill="text2" w:themeFillTint="66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107V050</w:t>
            </w:r>
          </w:p>
        </w:tc>
        <w:tc>
          <w:tcPr>
            <w:tcW w:w="1216" w:type="dxa"/>
            <w:shd w:val="clear" w:color="auto" w:fill="8DB3E2" w:themeFill="text2" w:themeFillTint="66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Pořízení lehkých obrněných vozidel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shd w:val="clear" w:color="auto" w:fill="DAEEF3" w:themeFill="accent5" w:themeFillTint="3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DAEEF3" w:themeFill="accent5" w:themeFillTint="3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107V052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4536" w:type="dxa"/>
            <w:shd w:val="clear" w:color="auto" w:fill="DAEEF3" w:themeFill="accent5" w:themeFillTint="3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eastAsia="Calibri" w:cs="Arial"/>
                <w:color w:val="000000" w:themeColor="text1"/>
                <w:sz w:val="16"/>
                <w:szCs w:val="18"/>
              </w:rPr>
              <w:t>Lehké obrněné vozidlo 4x4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b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3 766 507 325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107V052 </w:t>
            </w:r>
            <w:r w:rsidR="00C20BA3">
              <w:rPr>
                <w:rFonts w:cs="Arial"/>
                <w:color w:val="000000" w:themeColor="text1"/>
                <w:sz w:val="16"/>
                <w:szCs w:val="18"/>
              </w:rPr>
              <w:br/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0001</w:t>
            </w:r>
          </w:p>
        </w:tc>
        <w:tc>
          <w:tcPr>
            <w:tcW w:w="453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eastAsia="Calibri" w:cs="Arial"/>
                <w:color w:val="000000" w:themeColor="text1"/>
                <w:sz w:val="16"/>
                <w:szCs w:val="18"/>
              </w:rPr>
              <w:t xml:space="preserve">Lehké obrněné vozidlo bojové a podpůrné </w:t>
            </w:r>
            <w:r w:rsidR="00E06DF3">
              <w:rPr>
                <w:rFonts w:eastAsia="Calibri" w:cs="Arial"/>
                <w:color w:val="000000" w:themeColor="text1"/>
                <w:sz w:val="16"/>
                <w:szCs w:val="18"/>
              </w:rPr>
              <w:t>–</w:t>
            </w:r>
            <w:r w:rsidRPr="00E06DF3">
              <w:rPr>
                <w:rFonts w:eastAsia="Calibri" w:cs="Arial"/>
                <w:color w:val="000000" w:themeColor="text1"/>
                <w:sz w:val="16"/>
                <w:szCs w:val="18"/>
              </w:rPr>
              <w:t xml:space="preserve"> nákup</w:t>
            </w:r>
          </w:p>
        </w:tc>
        <w:tc>
          <w:tcPr>
            <w:tcW w:w="1559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eastAsia="Calibri" w:cs="Arial"/>
                <w:color w:val="000000" w:themeColor="text1"/>
                <w:sz w:val="16"/>
                <w:szCs w:val="18"/>
              </w:rPr>
              <w:t>3 586 313 886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107V052 </w:t>
            </w:r>
            <w:r w:rsidR="00C20BA3">
              <w:rPr>
                <w:rFonts w:cs="Arial"/>
                <w:color w:val="000000" w:themeColor="text1"/>
                <w:sz w:val="16"/>
                <w:szCs w:val="18"/>
              </w:rPr>
              <w:br/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0011</w:t>
            </w:r>
          </w:p>
        </w:tc>
        <w:tc>
          <w:tcPr>
            <w:tcW w:w="453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eastAsia="Calibri" w:cs="Arial"/>
                <w:color w:val="000000" w:themeColor="text1"/>
                <w:sz w:val="16"/>
                <w:szCs w:val="18"/>
              </w:rPr>
              <w:t>Dílenské prostředky, školení a kurzy – nákup</w:t>
            </w:r>
          </w:p>
        </w:tc>
        <w:tc>
          <w:tcPr>
            <w:tcW w:w="1559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eastAsia="Calibri" w:cs="Arial"/>
                <w:color w:val="000000" w:themeColor="text1"/>
                <w:sz w:val="16"/>
                <w:szCs w:val="18"/>
              </w:rPr>
              <w:t>24 618 000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107V052 </w:t>
            </w:r>
            <w:r w:rsidR="00C20BA3">
              <w:rPr>
                <w:rFonts w:cs="Arial"/>
                <w:color w:val="000000" w:themeColor="text1"/>
                <w:sz w:val="16"/>
                <w:szCs w:val="18"/>
              </w:rPr>
              <w:br/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0012</w:t>
            </w:r>
          </w:p>
        </w:tc>
        <w:tc>
          <w:tcPr>
            <w:tcW w:w="453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Elektronická výbava LOV 50 B</w:t>
            </w:r>
          </w:p>
        </w:tc>
        <w:tc>
          <w:tcPr>
            <w:tcW w:w="1559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155 575 439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shd w:val="clear" w:color="auto" w:fill="8DB3E2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107V110</w:t>
            </w:r>
          </w:p>
        </w:tc>
        <w:tc>
          <w:tcPr>
            <w:tcW w:w="1216" w:type="dxa"/>
            <w:shd w:val="clear" w:color="auto" w:fill="8DB3E2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4536" w:type="dxa"/>
            <w:shd w:val="clear" w:color="auto" w:fill="8DB3E2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Zvyšování schopností vojáka 21. století 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shd w:val="clear" w:color="auto" w:fill="DAEEF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DAEEF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107V112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4536" w:type="dxa"/>
            <w:shd w:val="clear" w:color="auto" w:fill="DAEEF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Pořízení zbraní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1 233 982 366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107V112 </w:t>
            </w:r>
            <w:r w:rsidR="00C20BA3">
              <w:rPr>
                <w:rFonts w:cs="Arial"/>
                <w:color w:val="000000" w:themeColor="text1"/>
                <w:sz w:val="16"/>
                <w:szCs w:val="18"/>
              </w:rPr>
              <w:br/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1001</w:t>
            </w:r>
          </w:p>
        </w:tc>
        <w:tc>
          <w:tcPr>
            <w:tcW w:w="453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Útočná puška s podvěsným granátometem</w:t>
            </w:r>
          </w:p>
        </w:tc>
        <w:tc>
          <w:tcPr>
            <w:tcW w:w="1559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1 104 184 104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107V112 </w:t>
            </w:r>
            <w:r w:rsidR="00C20BA3">
              <w:rPr>
                <w:rFonts w:cs="Arial"/>
                <w:color w:val="000000" w:themeColor="text1"/>
                <w:sz w:val="16"/>
                <w:szCs w:val="18"/>
              </w:rPr>
              <w:br/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1103</w:t>
            </w:r>
          </w:p>
        </w:tc>
        <w:tc>
          <w:tcPr>
            <w:tcW w:w="453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Pistole – nákup</w:t>
            </w:r>
          </w:p>
        </w:tc>
        <w:tc>
          <w:tcPr>
            <w:tcW w:w="1559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97 775 024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107V112 </w:t>
            </w:r>
            <w:r w:rsidR="00C20BA3">
              <w:rPr>
                <w:rFonts w:cs="Arial"/>
                <w:color w:val="000000" w:themeColor="text1"/>
                <w:sz w:val="16"/>
                <w:szCs w:val="18"/>
              </w:rPr>
              <w:br/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1203</w:t>
            </w:r>
          </w:p>
        </w:tc>
        <w:tc>
          <w:tcPr>
            <w:tcW w:w="453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Zbraň PDW </w:t>
            </w:r>
            <w:r w:rsidR="00E06DF3">
              <w:rPr>
                <w:rFonts w:cs="Arial"/>
                <w:color w:val="000000" w:themeColor="text1"/>
                <w:sz w:val="16"/>
                <w:szCs w:val="18"/>
              </w:rPr>
              <w:t>–</w:t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 nákup</w:t>
            </w:r>
          </w:p>
        </w:tc>
        <w:tc>
          <w:tcPr>
            <w:tcW w:w="1559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32 023 238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shd w:val="clear" w:color="auto" w:fill="8DB3E2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107V210</w:t>
            </w:r>
          </w:p>
        </w:tc>
        <w:tc>
          <w:tcPr>
            <w:tcW w:w="1216" w:type="dxa"/>
            <w:shd w:val="clear" w:color="auto" w:fill="8DB3E2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8DB3E2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4536" w:type="dxa"/>
            <w:shd w:val="clear" w:color="auto" w:fill="8DB3E2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Rozvoj pozemních sil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 w:themeColor="text1"/>
                <w:sz w:val="16"/>
                <w:szCs w:val="18"/>
              </w:rPr>
            </w:pP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shd w:val="clear" w:color="auto" w:fill="DAEEF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DAEEF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107V213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4536" w:type="dxa"/>
            <w:shd w:val="clear" w:color="auto" w:fill="DAEEF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Pořízení a modernizace prostředků druhů vojsk pozemních sil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0F58ED" w:rsidRPr="00E06DF3" w:rsidRDefault="00D7122E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99</w:t>
            </w:r>
            <w:r w:rsidR="000F58ED"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 776 400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107V213 </w:t>
            </w:r>
            <w:r w:rsidR="00C20BA3">
              <w:rPr>
                <w:rFonts w:cs="Arial"/>
                <w:color w:val="000000" w:themeColor="text1"/>
                <w:sz w:val="16"/>
                <w:szCs w:val="18"/>
              </w:rPr>
              <w:br/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1002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58ED" w:rsidRPr="00E06DF3" w:rsidRDefault="00E06DF3" w:rsidP="00E06DF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color w:val="000000" w:themeColor="text1"/>
                <w:sz w:val="16"/>
                <w:szCs w:val="18"/>
              </w:rPr>
              <w:t>Mobilní komplet EB –</w:t>
            </w:r>
            <w:r w:rsidR="000F58ED"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 nákup</w:t>
            </w:r>
          </w:p>
        </w:tc>
        <w:tc>
          <w:tcPr>
            <w:tcW w:w="1559" w:type="dxa"/>
            <w:vAlign w:val="center"/>
          </w:tcPr>
          <w:p w:rsidR="000F58ED" w:rsidRPr="00E06DF3" w:rsidRDefault="00D7122E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99</w:t>
            </w:r>
            <w:r w:rsidR="000F58ED" w:rsidRPr="00E06DF3">
              <w:rPr>
                <w:rFonts w:cs="Arial"/>
                <w:color w:val="000000" w:themeColor="text1"/>
                <w:sz w:val="16"/>
                <w:szCs w:val="18"/>
              </w:rPr>
              <w:t> 776 400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shd w:val="clear" w:color="auto" w:fill="DAEEF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DAEEF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107V214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4536" w:type="dxa"/>
            <w:shd w:val="clear" w:color="auto" w:fill="DAEEF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Pořízení a modernizace prostředků ostatních složek ozbrojených sil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44 164 320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107V214 </w:t>
            </w:r>
            <w:r w:rsidR="00C20BA3">
              <w:rPr>
                <w:rFonts w:cs="Arial"/>
                <w:color w:val="000000" w:themeColor="text1"/>
                <w:sz w:val="16"/>
                <w:szCs w:val="18"/>
              </w:rPr>
              <w:br/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1001</w:t>
            </w:r>
          </w:p>
        </w:tc>
        <w:tc>
          <w:tcPr>
            <w:tcW w:w="453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Osobní padáky – nákup – II. etapa</w:t>
            </w:r>
          </w:p>
        </w:tc>
        <w:tc>
          <w:tcPr>
            <w:tcW w:w="1559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44 164 320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shd w:val="clear" w:color="auto" w:fill="DAEEF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shd w:val="clear" w:color="auto" w:fill="DAEEF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107V215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4536" w:type="dxa"/>
            <w:shd w:val="clear" w:color="auto" w:fill="DAEEF3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Pořízení a modernizace prostředků útvarů nasazených v mezinárodních operacích 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0F58ED" w:rsidRPr="00E06DF3" w:rsidRDefault="00D7122E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302 640</w:t>
            </w:r>
            <w:r w:rsidR="000F58ED"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034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107V215 </w:t>
            </w:r>
            <w:r w:rsidR="00C20BA3">
              <w:rPr>
                <w:rFonts w:cs="Arial"/>
                <w:color w:val="000000" w:themeColor="text1"/>
                <w:sz w:val="16"/>
                <w:szCs w:val="18"/>
              </w:rPr>
              <w:br/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0001</w:t>
            </w:r>
          </w:p>
        </w:tc>
        <w:tc>
          <w:tcPr>
            <w:tcW w:w="453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Víceúčelové obrněné </w:t>
            </w:r>
            <w:r w:rsidR="00E06DF3">
              <w:rPr>
                <w:rFonts w:cs="Arial"/>
                <w:color w:val="000000" w:themeColor="text1"/>
                <w:sz w:val="16"/>
                <w:szCs w:val="18"/>
              </w:rPr>
              <w:t>vozidlo se speciální – rušící a </w:t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průzkumnou nástavbou </w:t>
            </w:r>
            <w:r w:rsidR="00E06DF3">
              <w:rPr>
                <w:rFonts w:cs="Arial"/>
                <w:color w:val="000000" w:themeColor="text1"/>
                <w:sz w:val="16"/>
                <w:szCs w:val="18"/>
              </w:rPr>
              <w:t>–</w:t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 nákup</w:t>
            </w:r>
          </w:p>
        </w:tc>
        <w:tc>
          <w:tcPr>
            <w:tcW w:w="1559" w:type="dxa"/>
            <w:vAlign w:val="center"/>
          </w:tcPr>
          <w:p w:rsidR="000F58ED" w:rsidRPr="00E06DF3" w:rsidRDefault="00D7122E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79 651</w:t>
            </w:r>
            <w:r w:rsidR="000F58ED"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 200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107V215 </w:t>
            </w:r>
            <w:r w:rsidR="00C20BA3">
              <w:rPr>
                <w:rFonts w:cs="Arial"/>
                <w:color w:val="000000" w:themeColor="text1"/>
                <w:sz w:val="16"/>
                <w:szCs w:val="18"/>
              </w:rPr>
              <w:br/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1004</w:t>
            </w:r>
          </w:p>
        </w:tc>
        <w:tc>
          <w:tcPr>
            <w:tcW w:w="453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Lehké obrněné vozidlo zdravotnické </w:t>
            </w:r>
            <w:r w:rsidR="00E06DF3">
              <w:rPr>
                <w:rFonts w:cs="Arial"/>
                <w:color w:val="000000" w:themeColor="text1"/>
                <w:sz w:val="16"/>
                <w:szCs w:val="18"/>
              </w:rPr>
              <w:t>–</w:t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 nákup</w:t>
            </w:r>
          </w:p>
        </w:tc>
        <w:tc>
          <w:tcPr>
            <w:tcW w:w="1559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101 760 000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875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F58ED" w:rsidRPr="00E06DF3" w:rsidRDefault="000F58ED" w:rsidP="00C2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 xml:space="preserve">107V215 </w:t>
            </w:r>
            <w:r w:rsidR="00C20BA3">
              <w:rPr>
                <w:rFonts w:cs="Arial"/>
                <w:color w:val="000000" w:themeColor="text1"/>
                <w:sz w:val="16"/>
                <w:szCs w:val="18"/>
              </w:rPr>
              <w:br/>
            </w: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1006</w:t>
            </w:r>
          </w:p>
        </w:tc>
        <w:tc>
          <w:tcPr>
            <w:tcW w:w="4536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Automobil LRD – nákup – 2. etapa</w:t>
            </w:r>
          </w:p>
        </w:tc>
        <w:tc>
          <w:tcPr>
            <w:tcW w:w="1559" w:type="dxa"/>
            <w:vAlign w:val="center"/>
          </w:tcPr>
          <w:p w:rsidR="000F58ED" w:rsidRPr="00E06DF3" w:rsidRDefault="000F58ED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color w:val="000000" w:themeColor="text1"/>
                <w:sz w:val="16"/>
                <w:szCs w:val="18"/>
              </w:rPr>
              <w:t>121 228 834</w:t>
            </w:r>
          </w:p>
        </w:tc>
      </w:tr>
      <w:tr w:rsidR="00E06DF3" w:rsidRPr="00E06DF3" w:rsidTr="00E06DF3">
        <w:trPr>
          <w:trHeight w:val="283"/>
          <w:jc w:val="center"/>
        </w:trPr>
        <w:tc>
          <w:tcPr>
            <w:tcW w:w="7477" w:type="dxa"/>
            <w:gridSpan w:val="4"/>
            <w:shd w:val="clear" w:color="auto" w:fill="DBE5F1" w:themeFill="accent1" w:themeFillTint="33"/>
            <w:vAlign w:val="center"/>
          </w:tcPr>
          <w:p w:rsidR="000B5CF3" w:rsidRPr="00E06DF3" w:rsidRDefault="000B5CF3" w:rsidP="00E06DF3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Celkem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0B5CF3" w:rsidRPr="00E06DF3" w:rsidRDefault="00D7122E" w:rsidP="00E06DF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E06DF3">
              <w:rPr>
                <w:rFonts w:cs="Arial"/>
                <w:b/>
                <w:color w:val="000000" w:themeColor="text1"/>
                <w:sz w:val="16"/>
                <w:szCs w:val="18"/>
              </w:rPr>
              <w:t>5 833 512 706</w:t>
            </w:r>
          </w:p>
        </w:tc>
      </w:tr>
    </w:tbl>
    <w:p w:rsidR="00EB7EF6" w:rsidRDefault="000F58ED" w:rsidP="00E06DF3">
      <w:pPr>
        <w:tabs>
          <w:tab w:val="left" w:pos="7920"/>
        </w:tabs>
        <w:autoSpaceDE w:val="0"/>
        <w:autoSpaceDN w:val="0"/>
        <w:adjustRightInd w:val="0"/>
        <w:spacing w:before="40"/>
        <w:jc w:val="both"/>
        <w:rPr>
          <w:rFonts w:cs="Arial"/>
          <w:sz w:val="18"/>
          <w:szCs w:val="18"/>
        </w:rPr>
      </w:pPr>
      <w:r w:rsidRPr="00FB7902">
        <w:rPr>
          <w:rFonts w:cs="Arial"/>
          <w:b/>
          <w:sz w:val="18"/>
          <w:szCs w:val="18"/>
        </w:rPr>
        <w:t>Zdroj:</w:t>
      </w:r>
      <w:r w:rsidRPr="00FB7902">
        <w:rPr>
          <w:rFonts w:cs="Arial"/>
          <w:i/>
          <w:sz w:val="18"/>
          <w:szCs w:val="18"/>
        </w:rPr>
        <w:t xml:space="preserve"> </w:t>
      </w:r>
      <w:r w:rsidRPr="00FB7902">
        <w:rPr>
          <w:rFonts w:cs="Arial"/>
          <w:sz w:val="18"/>
          <w:szCs w:val="18"/>
        </w:rPr>
        <w:t>ISPROFIN/SMVS</w:t>
      </w:r>
      <w:r w:rsidR="00A70681" w:rsidRPr="00FB7902">
        <w:rPr>
          <w:rFonts w:cs="Arial"/>
          <w:sz w:val="18"/>
          <w:szCs w:val="18"/>
        </w:rPr>
        <w:t>, MO</w:t>
      </w:r>
      <w:r w:rsidR="00CA1F3C" w:rsidRPr="00FB7902">
        <w:rPr>
          <w:rFonts w:cs="Arial"/>
          <w:sz w:val="18"/>
          <w:szCs w:val="18"/>
        </w:rPr>
        <w:t>.</w:t>
      </w:r>
    </w:p>
    <w:p w:rsidR="00DC7E4D" w:rsidRPr="00D0377B" w:rsidRDefault="00DC7E4D" w:rsidP="00CA1F3C">
      <w:pPr>
        <w:ind w:left="1134" w:hanging="1134"/>
        <w:jc w:val="both"/>
        <w:rPr>
          <w:rFonts w:cs="Arial"/>
          <w:sz w:val="22"/>
          <w:szCs w:val="22"/>
        </w:rPr>
      </w:pPr>
    </w:p>
    <w:p w:rsidR="00782EAD" w:rsidRDefault="00830BDF" w:rsidP="00782EAD">
      <w:pPr>
        <w:tabs>
          <w:tab w:val="left" w:pos="709"/>
          <w:tab w:val="left" w:pos="7920"/>
        </w:tabs>
        <w:autoSpaceDE w:val="0"/>
        <w:autoSpaceDN w:val="0"/>
        <w:adjustRightInd w:val="0"/>
        <w:ind w:left="709" w:hanging="709"/>
        <w:jc w:val="both"/>
        <w:rPr>
          <w:rFonts w:cs="Arial"/>
          <w:sz w:val="18"/>
          <w:szCs w:val="18"/>
        </w:rPr>
      </w:pPr>
      <w:r w:rsidRPr="00564BC7">
        <w:rPr>
          <w:rFonts w:cs="Arial"/>
          <w:b/>
          <w:sz w:val="18"/>
          <w:szCs w:val="18"/>
        </w:rPr>
        <w:t>Pozn</w:t>
      </w:r>
      <w:r w:rsidR="008470CA" w:rsidRPr="00564BC7">
        <w:rPr>
          <w:rFonts w:cs="Arial"/>
          <w:b/>
          <w:sz w:val="18"/>
          <w:szCs w:val="18"/>
        </w:rPr>
        <w:t>.</w:t>
      </w:r>
      <w:r w:rsidRPr="00564BC7">
        <w:rPr>
          <w:rFonts w:cs="Arial"/>
          <w:b/>
          <w:sz w:val="18"/>
          <w:szCs w:val="18"/>
        </w:rPr>
        <w:t>:</w:t>
      </w:r>
      <w:r w:rsidR="008470CA">
        <w:rPr>
          <w:rFonts w:cs="Arial"/>
          <w:sz w:val="18"/>
          <w:szCs w:val="18"/>
        </w:rPr>
        <w:t xml:space="preserve"> </w:t>
      </w:r>
      <w:r w:rsidR="00782EAD">
        <w:rPr>
          <w:rFonts w:cs="Arial"/>
          <w:sz w:val="18"/>
          <w:szCs w:val="18"/>
        </w:rPr>
        <w:t xml:space="preserve">1) </w:t>
      </w:r>
      <w:r w:rsidRPr="00FB7902">
        <w:rPr>
          <w:rFonts w:cs="Arial"/>
          <w:sz w:val="18"/>
          <w:szCs w:val="18"/>
        </w:rPr>
        <w:t>Právní předpisy uvedené v tomto kontrolním závěru jsou aplikovány ve znění účinném pro kontrolované období.</w:t>
      </w:r>
      <w:r w:rsidR="008470CA" w:rsidRPr="008470CA">
        <w:rPr>
          <w:rFonts w:cs="Arial"/>
          <w:sz w:val="18"/>
          <w:szCs w:val="18"/>
        </w:rPr>
        <w:t xml:space="preserve"> </w:t>
      </w:r>
    </w:p>
    <w:p w:rsidR="000B5CF3" w:rsidRPr="00FB7902" w:rsidRDefault="008470CA" w:rsidP="00564BC7">
      <w:pPr>
        <w:tabs>
          <w:tab w:val="left" w:pos="709"/>
          <w:tab w:val="left" w:pos="7920"/>
        </w:tabs>
        <w:autoSpaceDE w:val="0"/>
        <w:autoSpaceDN w:val="0"/>
        <w:adjustRightInd w:val="0"/>
        <w:ind w:left="709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Peněžní částky v tomto kontrolním závěru jsou uvedeny včetně DPH.</w:t>
      </w:r>
    </w:p>
    <w:p w:rsidR="00D0377B" w:rsidRPr="00D0377B" w:rsidRDefault="00D0377B" w:rsidP="00D0377B">
      <w:pPr>
        <w:jc w:val="both"/>
        <w:rPr>
          <w:rFonts w:cs="Arial"/>
          <w:sz w:val="22"/>
          <w:szCs w:val="22"/>
        </w:rPr>
      </w:pPr>
    </w:p>
    <w:p w:rsidR="00D0377B" w:rsidRPr="00D0377B" w:rsidRDefault="00D0377B" w:rsidP="00D0377B">
      <w:pPr>
        <w:jc w:val="both"/>
        <w:rPr>
          <w:rFonts w:cs="Arial"/>
          <w:sz w:val="22"/>
          <w:szCs w:val="22"/>
        </w:rPr>
      </w:pPr>
    </w:p>
    <w:p w:rsidR="00DE0FB7" w:rsidRPr="00D0377B" w:rsidRDefault="00830BDF" w:rsidP="00D0377B">
      <w:pPr>
        <w:jc w:val="center"/>
        <w:rPr>
          <w:rFonts w:cs="Arial"/>
          <w:b/>
        </w:rPr>
      </w:pPr>
      <w:r w:rsidRPr="00D0377B">
        <w:rPr>
          <w:rFonts w:cs="Arial"/>
          <w:b/>
        </w:rPr>
        <w:lastRenderedPageBreak/>
        <w:t>II. Skutečnosti zjištěn</w:t>
      </w:r>
      <w:r w:rsidR="00A54F48" w:rsidRPr="00D0377B">
        <w:rPr>
          <w:rFonts w:cs="Arial"/>
          <w:b/>
        </w:rPr>
        <w:t>é</w:t>
      </w:r>
      <w:r w:rsidRPr="00D0377B">
        <w:rPr>
          <w:rFonts w:cs="Arial"/>
          <w:b/>
        </w:rPr>
        <w:t xml:space="preserve"> při kontrole</w:t>
      </w:r>
    </w:p>
    <w:p w:rsidR="00D0377B" w:rsidRPr="00D0377B" w:rsidRDefault="00D0377B" w:rsidP="00D0377B">
      <w:pPr>
        <w:ind w:left="284" w:hanging="284"/>
        <w:rPr>
          <w:rFonts w:cs="Arial"/>
          <w:sz w:val="22"/>
          <w:szCs w:val="22"/>
        </w:rPr>
      </w:pPr>
    </w:p>
    <w:p w:rsidR="00015F29" w:rsidRPr="00EC313A" w:rsidRDefault="007C7E8E" w:rsidP="00D0377B">
      <w:pPr>
        <w:ind w:left="284" w:hanging="284"/>
        <w:rPr>
          <w:rFonts w:cs="Arial"/>
          <w:b/>
          <w:sz w:val="22"/>
          <w:szCs w:val="22"/>
        </w:rPr>
      </w:pPr>
      <w:r w:rsidRPr="00E04BB3">
        <w:rPr>
          <w:rFonts w:cs="Arial"/>
          <w:b/>
          <w:sz w:val="22"/>
          <w:szCs w:val="22"/>
        </w:rPr>
        <w:t>1.</w:t>
      </w:r>
      <w:r w:rsidR="004265D7">
        <w:rPr>
          <w:rFonts w:cs="Arial"/>
          <w:b/>
          <w:sz w:val="22"/>
          <w:szCs w:val="22"/>
        </w:rPr>
        <w:t xml:space="preserve"> </w:t>
      </w:r>
      <w:r w:rsidRPr="00E04BB3">
        <w:rPr>
          <w:rFonts w:cs="Arial"/>
          <w:b/>
          <w:sz w:val="22"/>
          <w:szCs w:val="22"/>
        </w:rPr>
        <w:t>Koncepce AČR</w:t>
      </w:r>
      <w:r w:rsidR="008B2B97" w:rsidRPr="00E04BB3">
        <w:rPr>
          <w:rFonts w:cs="Arial"/>
          <w:b/>
          <w:sz w:val="22"/>
          <w:szCs w:val="22"/>
        </w:rPr>
        <w:t xml:space="preserve"> v oblasti pozemních sil</w:t>
      </w:r>
    </w:p>
    <w:p w:rsidR="00D0377B" w:rsidRDefault="00D0377B" w:rsidP="00D0377B">
      <w:pPr>
        <w:jc w:val="both"/>
        <w:rPr>
          <w:rFonts w:cs="Arial"/>
          <w:sz w:val="22"/>
          <w:szCs w:val="22"/>
        </w:rPr>
      </w:pPr>
    </w:p>
    <w:p w:rsidR="00C4242B" w:rsidRDefault="00DC7E4D" w:rsidP="00D0377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roku 2010 byla</w:t>
      </w:r>
      <w:r w:rsidRPr="00E04BB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</w:t>
      </w:r>
      <w:r w:rsidR="007C7E8E" w:rsidRPr="00E04BB3">
        <w:rPr>
          <w:rFonts w:cs="Arial"/>
          <w:sz w:val="22"/>
          <w:szCs w:val="22"/>
        </w:rPr>
        <w:t>louhodobým problémem MO</w:t>
      </w:r>
      <w:r w:rsidR="00015F29">
        <w:rPr>
          <w:rFonts w:cs="Arial"/>
          <w:sz w:val="22"/>
          <w:szCs w:val="22"/>
        </w:rPr>
        <w:t xml:space="preserve"> </w:t>
      </w:r>
      <w:r w:rsidR="007C7E8E" w:rsidRPr="00E04BB3">
        <w:rPr>
          <w:rFonts w:cs="Arial"/>
          <w:sz w:val="22"/>
          <w:szCs w:val="22"/>
        </w:rPr>
        <w:t>absence koncepčního materiálu rozvoje AČR</w:t>
      </w:r>
      <w:r w:rsidR="00EB7EF6">
        <w:rPr>
          <w:rFonts w:cs="Arial"/>
          <w:sz w:val="22"/>
          <w:szCs w:val="22"/>
        </w:rPr>
        <w:t xml:space="preserve">. </w:t>
      </w:r>
      <w:r w:rsidR="00782EAD">
        <w:rPr>
          <w:rFonts w:cs="Arial"/>
          <w:sz w:val="22"/>
          <w:szCs w:val="22"/>
        </w:rPr>
        <w:t>K</w:t>
      </w:r>
      <w:r w:rsidR="00015F29">
        <w:rPr>
          <w:rFonts w:cs="Arial"/>
          <w:sz w:val="22"/>
          <w:szCs w:val="22"/>
        </w:rPr>
        <w:t xml:space="preserve">oncepční materiály </w:t>
      </w:r>
      <w:r w:rsidR="00782EAD">
        <w:rPr>
          <w:rFonts w:cs="Arial"/>
          <w:sz w:val="22"/>
          <w:szCs w:val="22"/>
        </w:rPr>
        <w:t xml:space="preserve">platné v uvedené době </w:t>
      </w:r>
      <w:r w:rsidR="00015F29">
        <w:rPr>
          <w:rFonts w:cs="Arial"/>
          <w:sz w:val="22"/>
          <w:szCs w:val="22"/>
        </w:rPr>
        <w:t>byly příliš obecné a</w:t>
      </w:r>
      <w:r w:rsidR="00782EAD">
        <w:rPr>
          <w:rFonts w:cs="Arial"/>
          <w:sz w:val="22"/>
          <w:szCs w:val="22"/>
        </w:rPr>
        <w:t> </w:t>
      </w:r>
      <w:r w:rsidR="00015F29">
        <w:rPr>
          <w:rFonts w:cs="Arial"/>
          <w:sz w:val="22"/>
          <w:szCs w:val="22"/>
        </w:rPr>
        <w:t xml:space="preserve">umožňovaly MO nakupovat vojenskou techniku bez dostatečně zdůvodněné potřeby. </w:t>
      </w:r>
      <w:r>
        <w:rPr>
          <w:rFonts w:cs="Arial"/>
          <w:sz w:val="22"/>
          <w:szCs w:val="22"/>
        </w:rPr>
        <w:t>NKÚ tuto skutečnost konstatoval i v</w:t>
      </w:r>
      <w:r w:rsidRPr="00E04BB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kontrolním závěru z kontrolní akce</w:t>
      </w:r>
      <w:r w:rsidRPr="00E04BB3">
        <w:rPr>
          <w:rFonts w:cs="Arial"/>
          <w:sz w:val="22"/>
          <w:szCs w:val="22"/>
        </w:rPr>
        <w:t xml:space="preserve"> č. 10/10</w:t>
      </w:r>
      <w:r w:rsidRPr="00E04BB3">
        <w:rPr>
          <w:rStyle w:val="Znakapoznpodarou"/>
          <w:rFonts w:cs="Arial"/>
          <w:sz w:val="22"/>
          <w:szCs w:val="22"/>
        </w:rPr>
        <w:footnoteReference w:id="3"/>
      </w:r>
      <w:r>
        <w:rPr>
          <w:rFonts w:cs="Arial"/>
          <w:sz w:val="22"/>
          <w:szCs w:val="22"/>
        </w:rPr>
        <w:t xml:space="preserve">. </w:t>
      </w:r>
      <w:r w:rsidR="00C4242B">
        <w:rPr>
          <w:rFonts w:cs="Arial"/>
          <w:sz w:val="22"/>
          <w:szCs w:val="22"/>
        </w:rPr>
        <w:t xml:space="preserve">V roce 2011 </w:t>
      </w:r>
      <w:r w:rsidR="00540B9F">
        <w:rPr>
          <w:rFonts w:cs="Arial"/>
          <w:sz w:val="22"/>
          <w:szCs w:val="22"/>
        </w:rPr>
        <w:t>MO vypracovalo</w:t>
      </w:r>
      <w:r w:rsidR="00C4242B">
        <w:rPr>
          <w:rFonts w:cs="Arial"/>
          <w:sz w:val="22"/>
          <w:szCs w:val="22"/>
        </w:rPr>
        <w:t xml:space="preserve"> </w:t>
      </w:r>
      <w:r w:rsidR="00C4242B" w:rsidRPr="00564BC7">
        <w:rPr>
          <w:rFonts w:cs="Arial"/>
          <w:i/>
          <w:sz w:val="22"/>
          <w:szCs w:val="22"/>
        </w:rPr>
        <w:t>Bílou knihu o obraně</w:t>
      </w:r>
      <w:r w:rsidR="00C4242B">
        <w:rPr>
          <w:rFonts w:cs="Arial"/>
          <w:sz w:val="22"/>
          <w:szCs w:val="22"/>
        </w:rPr>
        <w:t xml:space="preserve"> (dále také „Bílá kniha“)</w:t>
      </w:r>
      <w:r w:rsidR="00C4242B" w:rsidRPr="00E04BB3">
        <w:rPr>
          <w:rFonts w:cs="Arial"/>
          <w:sz w:val="22"/>
          <w:szCs w:val="22"/>
        </w:rPr>
        <w:t xml:space="preserve"> jako základní koncepční dokument, který vymezil koncepční principy a konkrétní cíle pro stabilní rozvoj ozbrojených sil. Vláda Bí</w:t>
      </w:r>
      <w:r w:rsidR="00C4242B">
        <w:rPr>
          <w:rFonts w:cs="Arial"/>
          <w:sz w:val="22"/>
          <w:szCs w:val="22"/>
        </w:rPr>
        <w:t>lou knihu schválila svý</w:t>
      </w:r>
      <w:r w:rsidR="00C4242B" w:rsidRPr="00E04BB3">
        <w:rPr>
          <w:rFonts w:cs="Arial"/>
          <w:sz w:val="22"/>
          <w:szCs w:val="22"/>
        </w:rPr>
        <w:t>m usnesení</w:t>
      </w:r>
      <w:r w:rsidR="00C4242B">
        <w:rPr>
          <w:rFonts w:cs="Arial"/>
          <w:sz w:val="22"/>
          <w:szCs w:val="22"/>
        </w:rPr>
        <w:t>m ze dne 18. </w:t>
      </w:r>
      <w:r w:rsidR="00C4242B" w:rsidRPr="00E04BB3">
        <w:rPr>
          <w:rFonts w:cs="Arial"/>
          <w:sz w:val="22"/>
          <w:szCs w:val="22"/>
        </w:rPr>
        <w:t>května 2011 č. 369</w:t>
      </w:r>
      <w:r w:rsidR="00C4242B" w:rsidRPr="00E04BB3">
        <w:rPr>
          <w:rStyle w:val="Znakapoznpodarou"/>
          <w:rFonts w:cs="Arial"/>
          <w:sz w:val="22"/>
          <w:szCs w:val="22"/>
        </w:rPr>
        <w:footnoteReference w:id="4"/>
      </w:r>
      <w:r w:rsidR="00C4242B" w:rsidRPr="00E04BB3">
        <w:rPr>
          <w:rFonts w:cs="Arial"/>
          <w:sz w:val="22"/>
          <w:szCs w:val="22"/>
        </w:rPr>
        <w:t>.</w:t>
      </w:r>
    </w:p>
    <w:p w:rsidR="00D0377B" w:rsidRDefault="00D0377B" w:rsidP="00D0377B">
      <w:pPr>
        <w:jc w:val="both"/>
        <w:rPr>
          <w:rFonts w:cs="Arial"/>
          <w:sz w:val="22"/>
          <w:szCs w:val="22"/>
        </w:rPr>
      </w:pPr>
    </w:p>
    <w:p w:rsidR="0001076D" w:rsidRDefault="00335194" w:rsidP="00D0377B">
      <w:pPr>
        <w:jc w:val="both"/>
        <w:rPr>
          <w:rFonts w:cs="Arial"/>
          <w:sz w:val="22"/>
          <w:szCs w:val="22"/>
        </w:rPr>
      </w:pPr>
      <w:r w:rsidRPr="00E04BB3">
        <w:rPr>
          <w:rFonts w:cs="Arial"/>
          <w:sz w:val="22"/>
          <w:szCs w:val="22"/>
        </w:rPr>
        <w:t xml:space="preserve">Bílá kniha mj. doporučuje prioritu investic do rozvoje vojenských schopností, a to striktně podle jejich přínosu </w:t>
      </w:r>
      <w:r w:rsidR="00782EAD">
        <w:rPr>
          <w:rFonts w:cs="Arial"/>
          <w:sz w:val="22"/>
          <w:szCs w:val="22"/>
        </w:rPr>
        <w:t xml:space="preserve">ve vztahu </w:t>
      </w:r>
      <w:r w:rsidRPr="00E04BB3">
        <w:rPr>
          <w:rFonts w:cs="Arial"/>
          <w:sz w:val="22"/>
          <w:szCs w:val="22"/>
        </w:rPr>
        <w:t>k rolím, funkcím a mezinárodním závaz</w:t>
      </w:r>
      <w:r w:rsidR="000C13DD">
        <w:rPr>
          <w:rFonts w:cs="Arial"/>
          <w:sz w:val="22"/>
          <w:szCs w:val="22"/>
        </w:rPr>
        <w:t>kům ozbrojených sil ČR, zastavení investic do zbytných schopností a zavedení</w:t>
      </w:r>
      <w:r w:rsidRPr="00E04BB3">
        <w:rPr>
          <w:rFonts w:cs="Arial"/>
          <w:sz w:val="22"/>
          <w:szCs w:val="22"/>
        </w:rPr>
        <w:t xml:space="preserve"> transparentní</w:t>
      </w:r>
      <w:r w:rsidR="000C13DD">
        <w:rPr>
          <w:rFonts w:cs="Arial"/>
          <w:sz w:val="22"/>
          <w:szCs w:val="22"/>
        </w:rPr>
        <w:t>ho</w:t>
      </w:r>
      <w:r w:rsidRPr="00E04BB3">
        <w:rPr>
          <w:rFonts w:cs="Arial"/>
          <w:sz w:val="22"/>
          <w:szCs w:val="22"/>
        </w:rPr>
        <w:t xml:space="preserve"> a efektivní</w:t>
      </w:r>
      <w:r w:rsidR="000C13DD">
        <w:rPr>
          <w:rFonts w:cs="Arial"/>
          <w:sz w:val="22"/>
          <w:szCs w:val="22"/>
        </w:rPr>
        <w:t>ho</w:t>
      </w:r>
      <w:r w:rsidRPr="00E04BB3">
        <w:rPr>
          <w:rFonts w:cs="Arial"/>
          <w:sz w:val="22"/>
          <w:szCs w:val="22"/>
        </w:rPr>
        <w:t xml:space="preserve"> akviziční</w:t>
      </w:r>
      <w:r w:rsidR="000C13DD">
        <w:rPr>
          <w:rFonts w:cs="Arial"/>
          <w:sz w:val="22"/>
          <w:szCs w:val="22"/>
        </w:rPr>
        <w:t>ho</w:t>
      </w:r>
      <w:r w:rsidRPr="00E04BB3">
        <w:rPr>
          <w:rFonts w:cs="Arial"/>
          <w:sz w:val="22"/>
          <w:szCs w:val="22"/>
        </w:rPr>
        <w:t xml:space="preserve"> proces</w:t>
      </w:r>
      <w:r w:rsidR="000C13DD">
        <w:rPr>
          <w:rFonts w:cs="Arial"/>
          <w:sz w:val="22"/>
          <w:szCs w:val="22"/>
        </w:rPr>
        <w:t>u</w:t>
      </w:r>
      <w:r w:rsidRPr="00E04BB3">
        <w:rPr>
          <w:rFonts w:cs="Arial"/>
          <w:sz w:val="22"/>
          <w:szCs w:val="22"/>
        </w:rPr>
        <w:t>. V rámci konkrétních opatření bylo pro oblast pozemních a speciálníc</w:t>
      </w:r>
      <w:r w:rsidR="004903EC">
        <w:rPr>
          <w:rFonts w:cs="Arial"/>
          <w:sz w:val="22"/>
          <w:szCs w:val="22"/>
        </w:rPr>
        <w:t xml:space="preserve">h sil uvedeno dokončení programu </w:t>
      </w:r>
      <w:r w:rsidR="00517AEC">
        <w:rPr>
          <w:rFonts w:cs="Arial"/>
          <w:sz w:val="22"/>
          <w:szCs w:val="22"/>
        </w:rPr>
        <w:t xml:space="preserve">ev. č. 107V110 – </w:t>
      </w:r>
      <w:r w:rsidR="004903EC" w:rsidRPr="00564BC7">
        <w:rPr>
          <w:rFonts w:cs="Arial"/>
          <w:i/>
          <w:sz w:val="22"/>
          <w:szCs w:val="22"/>
        </w:rPr>
        <w:t>Zvyšování schopností vojáka</w:t>
      </w:r>
      <w:r w:rsidR="00F96DC1" w:rsidRPr="00564BC7">
        <w:rPr>
          <w:rFonts w:cs="Arial"/>
          <w:i/>
          <w:sz w:val="22"/>
          <w:szCs w:val="22"/>
        </w:rPr>
        <w:t xml:space="preserve"> 21. století</w:t>
      </w:r>
      <w:r w:rsidR="00F96DC1">
        <w:rPr>
          <w:rFonts w:cs="Arial"/>
          <w:sz w:val="22"/>
          <w:szCs w:val="22"/>
        </w:rPr>
        <w:t xml:space="preserve"> </w:t>
      </w:r>
      <w:r w:rsidR="004903EC">
        <w:rPr>
          <w:rFonts w:cs="Arial"/>
          <w:sz w:val="22"/>
          <w:szCs w:val="22"/>
        </w:rPr>
        <w:t xml:space="preserve">s plánovaným termínem ukončení v roce 2014. </w:t>
      </w:r>
      <w:r w:rsidR="00DC7E4D">
        <w:rPr>
          <w:rFonts w:cs="Arial"/>
          <w:sz w:val="22"/>
          <w:szCs w:val="22"/>
        </w:rPr>
        <w:t>Tento program je v</w:t>
      </w:r>
      <w:r w:rsidR="00490825">
        <w:rPr>
          <w:rFonts w:cs="Arial"/>
          <w:sz w:val="22"/>
          <w:szCs w:val="22"/>
        </w:rPr>
        <w:t xml:space="preserve"> </w:t>
      </w:r>
      <w:r w:rsidR="0001076D" w:rsidRPr="00E04BB3">
        <w:rPr>
          <w:rFonts w:cs="Arial"/>
          <w:sz w:val="22"/>
          <w:szCs w:val="22"/>
        </w:rPr>
        <w:t>Bílé knize uveden mezi hlavními modernizačními a rozvojovými projekty ozbroje</w:t>
      </w:r>
      <w:r w:rsidR="001C7B7E">
        <w:rPr>
          <w:rFonts w:cs="Arial"/>
          <w:sz w:val="22"/>
          <w:szCs w:val="22"/>
        </w:rPr>
        <w:t xml:space="preserve">ných sil v letech 2000 až </w:t>
      </w:r>
      <w:r w:rsidR="00540B9F">
        <w:rPr>
          <w:rFonts w:cs="Arial"/>
          <w:sz w:val="22"/>
          <w:szCs w:val="22"/>
        </w:rPr>
        <w:t>2020</w:t>
      </w:r>
      <w:r w:rsidR="00DC7E4D">
        <w:rPr>
          <w:rFonts w:cs="Arial"/>
          <w:sz w:val="22"/>
          <w:szCs w:val="22"/>
        </w:rPr>
        <w:t>. M</w:t>
      </w:r>
      <w:r w:rsidR="000C13DD">
        <w:rPr>
          <w:rFonts w:cs="Arial"/>
          <w:sz w:val="22"/>
          <w:szCs w:val="22"/>
        </w:rPr>
        <w:t>ezi nimi</w:t>
      </w:r>
      <w:r w:rsidR="00540B9F">
        <w:rPr>
          <w:rFonts w:cs="Arial"/>
          <w:sz w:val="22"/>
          <w:szCs w:val="22"/>
        </w:rPr>
        <w:t xml:space="preserve"> je dále uvedeno</w:t>
      </w:r>
      <w:r w:rsidR="0001076D" w:rsidRPr="00E04BB3">
        <w:rPr>
          <w:rFonts w:cs="Arial"/>
          <w:sz w:val="22"/>
          <w:szCs w:val="22"/>
        </w:rPr>
        <w:t xml:space="preserve"> pořízení lehk</w:t>
      </w:r>
      <w:r w:rsidR="003164E1">
        <w:rPr>
          <w:rFonts w:cs="Arial"/>
          <w:sz w:val="22"/>
          <w:szCs w:val="22"/>
        </w:rPr>
        <w:t xml:space="preserve">ých obrněných transportérů </w:t>
      </w:r>
      <w:r w:rsidR="00F96DC1">
        <w:rPr>
          <w:rFonts w:cs="Arial"/>
          <w:sz w:val="22"/>
          <w:szCs w:val="22"/>
        </w:rPr>
        <w:t>a </w:t>
      </w:r>
      <w:r w:rsidR="0001076D" w:rsidRPr="00E04BB3">
        <w:rPr>
          <w:rFonts w:cs="Arial"/>
          <w:sz w:val="22"/>
          <w:szCs w:val="22"/>
        </w:rPr>
        <w:t>nákupy ručních zbraní a</w:t>
      </w:r>
      <w:r w:rsidR="0094007F">
        <w:rPr>
          <w:rFonts w:cs="Arial"/>
          <w:sz w:val="22"/>
          <w:szCs w:val="22"/>
        </w:rPr>
        <w:t> </w:t>
      </w:r>
      <w:r w:rsidR="0001076D" w:rsidRPr="00E04BB3">
        <w:rPr>
          <w:rFonts w:cs="Arial"/>
          <w:sz w:val="22"/>
          <w:szCs w:val="22"/>
        </w:rPr>
        <w:t>minometů.</w:t>
      </w:r>
      <w:r w:rsidR="004A3CC2">
        <w:rPr>
          <w:rFonts w:cs="Arial"/>
          <w:sz w:val="22"/>
          <w:szCs w:val="22"/>
        </w:rPr>
        <w:t xml:space="preserve"> Modernizační a rozvojové proj</w:t>
      </w:r>
      <w:r w:rsidR="00117C9C">
        <w:rPr>
          <w:rFonts w:cs="Arial"/>
          <w:sz w:val="22"/>
          <w:szCs w:val="22"/>
        </w:rPr>
        <w:t>ekty jsou</w:t>
      </w:r>
      <w:r w:rsidR="00626107" w:rsidRPr="00626107">
        <w:rPr>
          <w:rFonts w:cs="Arial"/>
          <w:sz w:val="22"/>
          <w:szCs w:val="22"/>
        </w:rPr>
        <w:t xml:space="preserve"> </w:t>
      </w:r>
      <w:r w:rsidR="00626107">
        <w:rPr>
          <w:rFonts w:cs="Arial"/>
          <w:sz w:val="22"/>
          <w:szCs w:val="22"/>
        </w:rPr>
        <w:t>zde</w:t>
      </w:r>
      <w:r w:rsidR="00117C9C">
        <w:rPr>
          <w:rFonts w:cs="Arial"/>
          <w:sz w:val="22"/>
          <w:szCs w:val="22"/>
        </w:rPr>
        <w:t xml:space="preserve"> pouze naznačeny a </w:t>
      </w:r>
      <w:r w:rsidR="004A3CC2">
        <w:rPr>
          <w:rFonts w:cs="Arial"/>
          <w:sz w:val="22"/>
          <w:szCs w:val="22"/>
        </w:rPr>
        <w:t>nejsou konkrétně vymezeny.</w:t>
      </w:r>
      <w:r w:rsidR="00D62572">
        <w:rPr>
          <w:rFonts w:cs="Arial"/>
          <w:sz w:val="22"/>
          <w:szCs w:val="22"/>
        </w:rPr>
        <w:t xml:space="preserve"> Mají být realizovány prostřednictvím konkrétních projektů</w:t>
      </w:r>
      <w:r w:rsidR="00C804D1">
        <w:rPr>
          <w:rStyle w:val="Znakapoznpodarou"/>
          <w:rFonts w:cs="Arial"/>
          <w:sz w:val="22"/>
          <w:szCs w:val="22"/>
        </w:rPr>
        <w:footnoteReference w:id="5"/>
      </w:r>
      <w:r w:rsidR="00D62572">
        <w:rPr>
          <w:rFonts w:cs="Arial"/>
          <w:sz w:val="22"/>
          <w:szCs w:val="22"/>
        </w:rPr>
        <w:t xml:space="preserve"> uspořádaných do náležité programové struktury.</w:t>
      </w:r>
      <w:r w:rsidR="000C13DD">
        <w:rPr>
          <w:rFonts w:cs="Arial"/>
          <w:sz w:val="22"/>
          <w:szCs w:val="22"/>
        </w:rPr>
        <w:t xml:space="preserve"> MO </w:t>
      </w:r>
      <w:r w:rsidR="00FB7902">
        <w:rPr>
          <w:rFonts w:cs="Arial"/>
          <w:sz w:val="22"/>
          <w:szCs w:val="22"/>
        </w:rPr>
        <w:t xml:space="preserve">zahájilo </w:t>
      </w:r>
      <w:r w:rsidR="00EB7EF6">
        <w:rPr>
          <w:rFonts w:cs="Arial"/>
          <w:sz w:val="22"/>
          <w:szCs w:val="22"/>
        </w:rPr>
        <w:t>od roku 2013</w:t>
      </w:r>
      <w:r w:rsidR="000C13DD">
        <w:rPr>
          <w:rFonts w:cs="Arial"/>
          <w:sz w:val="22"/>
          <w:szCs w:val="22"/>
        </w:rPr>
        <w:t xml:space="preserve"> nové programy. Tyto programy </w:t>
      </w:r>
      <w:r w:rsidR="00D0377B">
        <w:rPr>
          <w:rFonts w:cs="Arial"/>
          <w:sz w:val="22"/>
          <w:szCs w:val="22"/>
        </w:rPr>
        <w:t>nebyly předmětem kontroly.</w:t>
      </w:r>
    </w:p>
    <w:p w:rsidR="00D0377B" w:rsidRPr="00E04BB3" w:rsidRDefault="00D0377B" w:rsidP="00D0377B">
      <w:pPr>
        <w:jc w:val="both"/>
        <w:rPr>
          <w:rFonts w:cs="Arial"/>
          <w:sz w:val="22"/>
          <w:szCs w:val="22"/>
        </w:rPr>
      </w:pPr>
    </w:p>
    <w:p w:rsidR="0001076D" w:rsidRDefault="000C13DD" w:rsidP="00D0377B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01076D" w:rsidRPr="00E04BB3">
        <w:rPr>
          <w:rFonts w:cs="Arial"/>
          <w:sz w:val="22"/>
          <w:szCs w:val="22"/>
        </w:rPr>
        <w:t>snesení</w:t>
      </w:r>
      <w:r>
        <w:rPr>
          <w:rFonts w:cs="Arial"/>
          <w:sz w:val="22"/>
          <w:szCs w:val="22"/>
        </w:rPr>
        <w:t>m</w:t>
      </w:r>
      <w:r w:rsidR="0001076D" w:rsidRPr="00E04BB3">
        <w:rPr>
          <w:rFonts w:cs="Arial"/>
          <w:sz w:val="22"/>
          <w:szCs w:val="22"/>
        </w:rPr>
        <w:t xml:space="preserve"> vlády ze dne 26. září 2012 č. 699</w:t>
      </w:r>
      <w:r w:rsidR="0001076D" w:rsidRPr="00E04BB3">
        <w:rPr>
          <w:rStyle w:val="Znakapoznpodarou"/>
          <w:rFonts w:cs="Arial"/>
          <w:sz w:val="22"/>
          <w:szCs w:val="22"/>
        </w:rPr>
        <w:footnoteReference w:id="6"/>
      </w:r>
      <w:r>
        <w:rPr>
          <w:rFonts w:cs="Arial"/>
          <w:sz w:val="22"/>
          <w:szCs w:val="22"/>
        </w:rPr>
        <w:t xml:space="preserve"> </w:t>
      </w:r>
      <w:r w:rsidR="0001076D" w:rsidRPr="00E04BB3">
        <w:rPr>
          <w:rFonts w:cs="Arial"/>
          <w:sz w:val="22"/>
          <w:szCs w:val="22"/>
        </w:rPr>
        <w:t xml:space="preserve">byla schválena </w:t>
      </w:r>
      <w:r w:rsidR="0001076D" w:rsidRPr="00564BC7">
        <w:rPr>
          <w:rFonts w:cs="Arial"/>
          <w:i/>
          <w:sz w:val="22"/>
          <w:szCs w:val="22"/>
        </w:rPr>
        <w:t>Obranná strategie Č</w:t>
      </w:r>
      <w:r w:rsidR="00626107" w:rsidRPr="00564BC7">
        <w:rPr>
          <w:rFonts w:cs="Arial"/>
          <w:i/>
          <w:sz w:val="22"/>
          <w:szCs w:val="22"/>
        </w:rPr>
        <w:t>eské republiky</w:t>
      </w:r>
      <w:r>
        <w:rPr>
          <w:rFonts w:cs="Arial"/>
          <w:sz w:val="22"/>
          <w:szCs w:val="22"/>
        </w:rPr>
        <w:t xml:space="preserve">. Uvedeným usnesením </w:t>
      </w:r>
      <w:r w:rsidR="008B2B97" w:rsidRPr="00E04BB3">
        <w:rPr>
          <w:rFonts w:cs="Arial"/>
          <w:sz w:val="22"/>
          <w:szCs w:val="22"/>
        </w:rPr>
        <w:t>bylo ministru o</w:t>
      </w:r>
      <w:r w:rsidR="008745E7">
        <w:rPr>
          <w:rFonts w:cs="Arial"/>
          <w:sz w:val="22"/>
          <w:szCs w:val="22"/>
        </w:rPr>
        <w:t>brany uloženo vycházet z této</w:t>
      </w:r>
      <w:r w:rsidR="008B2B97" w:rsidRPr="00E04BB3">
        <w:rPr>
          <w:rFonts w:cs="Arial"/>
          <w:sz w:val="22"/>
          <w:szCs w:val="22"/>
        </w:rPr>
        <w:t xml:space="preserve"> strategie při zpracování a aktualizaci základních strategických a koncepčních dokumentů a legislativních opatření v oblasti obrany. </w:t>
      </w:r>
      <w:r w:rsidR="008B2B97" w:rsidRPr="00EB7EF6">
        <w:rPr>
          <w:rFonts w:cs="Arial"/>
          <w:b/>
          <w:sz w:val="22"/>
          <w:szCs w:val="22"/>
        </w:rPr>
        <w:t xml:space="preserve">Do doby ukončení kontroly </w:t>
      </w:r>
      <w:r w:rsidR="0019273E" w:rsidRPr="00EB7EF6">
        <w:rPr>
          <w:rFonts w:cs="Arial"/>
          <w:b/>
          <w:sz w:val="22"/>
          <w:szCs w:val="22"/>
        </w:rPr>
        <w:t>ne</w:t>
      </w:r>
      <w:r w:rsidR="00782EAD">
        <w:rPr>
          <w:rFonts w:cs="Arial"/>
          <w:b/>
          <w:sz w:val="22"/>
          <w:szCs w:val="22"/>
        </w:rPr>
        <w:t>vy</w:t>
      </w:r>
      <w:r w:rsidR="0019273E" w:rsidRPr="00EB7EF6">
        <w:rPr>
          <w:rFonts w:cs="Arial"/>
          <w:b/>
          <w:sz w:val="22"/>
          <w:szCs w:val="22"/>
        </w:rPr>
        <w:t>pracovalo</w:t>
      </w:r>
      <w:r w:rsidR="00782EAD" w:rsidRPr="00782EAD">
        <w:rPr>
          <w:rFonts w:cs="Arial"/>
          <w:b/>
          <w:sz w:val="22"/>
          <w:szCs w:val="22"/>
        </w:rPr>
        <w:t xml:space="preserve"> </w:t>
      </w:r>
      <w:r w:rsidR="00782EAD" w:rsidRPr="00EB7EF6">
        <w:rPr>
          <w:rFonts w:cs="Arial"/>
          <w:b/>
          <w:sz w:val="22"/>
          <w:szCs w:val="22"/>
        </w:rPr>
        <w:t>MO</w:t>
      </w:r>
      <w:r w:rsidR="0019273E" w:rsidRPr="00EB7EF6">
        <w:rPr>
          <w:rFonts w:cs="Arial"/>
          <w:b/>
          <w:sz w:val="22"/>
          <w:szCs w:val="22"/>
        </w:rPr>
        <w:t xml:space="preserve"> </w:t>
      </w:r>
      <w:r w:rsidR="008B2B97" w:rsidRPr="00EB7EF6">
        <w:rPr>
          <w:rFonts w:cs="Arial"/>
          <w:b/>
          <w:sz w:val="22"/>
          <w:szCs w:val="22"/>
        </w:rPr>
        <w:t xml:space="preserve">koncepční materiál, </w:t>
      </w:r>
      <w:r w:rsidR="00DC7E4D">
        <w:rPr>
          <w:rFonts w:cs="Arial"/>
          <w:b/>
          <w:sz w:val="22"/>
          <w:szCs w:val="22"/>
        </w:rPr>
        <w:t>který by</w:t>
      </w:r>
      <w:r w:rsidR="008B2B97" w:rsidRPr="00EB7EF6">
        <w:rPr>
          <w:rFonts w:cs="Arial"/>
          <w:b/>
          <w:sz w:val="22"/>
          <w:szCs w:val="22"/>
        </w:rPr>
        <w:t xml:space="preserve"> </w:t>
      </w:r>
      <w:r w:rsidR="00782EAD">
        <w:rPr>
          <w:rFonts w:cs="Arial"/>
          <w:b/>
          <w:sz w:val="22"/>
          <w:szCs w:val="22"/>
        </w:rPr>
        <w:t xml:space="preserve">podrobněji </w:t>
      </w:r>
      <w:r w:rsidR="008B2B97" w:rsidRPr="00EB7EF6">
        <w:rPr>
          <w:rFonts w:cs="Arial"/>
          <w:b/>
          <w:sz w:val="22"/>
          <w:szCs w:val="22"/>
        </w:rPr>
        <w:t>stanovil výstavbu a rozvoj pozemních či specializovaných sil s konkrétním vymezením</w:t>
      </w:r>
      <w:r w:rsidR="00C77122" w:rsidRPr="00EB7EF6">
        <w:rPr>
          <w:rFonts w:cs="Arial"/>
          <w:b/>
          <w:sz w:val="22"/>
          <w:szCs w:val="22"/>
        </w:rPr>
        <w:t xml:space="preserve"> </w:t>
      </w:r>
      <w:r w:rsidR="00FF4CD6" w:rsidRPr="00EB7EF6">
        <w:rPr>
          <w:rFonts w:cs="Arial"/>
          <w:b/>
          <w:sz w:val="22"/>
          <w:szCs w:val="22"/>
        </w:rPr>
        <w:t xml:space="preserve">cílového stavu, </w:t>
      </w:r>
      <w:r w:rsidR="00174EFE" w:rsidRPr="00EB7EF6">
        <w:rPr>
          <w:rFonts w:cs="Arial"/>
          <w:b/>
          <w:sz w:val="22"/>
          <w:szCs w:val="22"/>
        </w:rPr>
        <w:t>materiálních potřeb, peněžní</w:t>
      </w:r>
      <w:r w:rsidR="00C77122" w:rsidRPr="00EB7EF6">
        <w:rPr>
          <w:rFonts w:cs="Arial"/>
          <w:b/>
          <w:sz w:val="22"/>
          <w:szCs w:val="22"/>
        </w:rPr>
        <w:t>mi nároky</w:t>
      </w:r>
      <w:r w:rsidR="008B2B97" w:rsidRPr="00EB7EF6">
        <w:rPr>
          <w:rFonts w:cs="Arial"/>
          <w:b/>
          <w:sz w:val="22"/>
          <w:szCs w:val="22"/>
        </w:rPr>
        <w:t xml:space="preserve"> na jejich naplnění a časový</w:t>
      </w:r>
      <w:r w:rsidR="00C77122" w:rsidRPr="00EB7EF6">
        <w:rPr>
          <w:rFonts w:cs="Arial"/>
          <w:b/>
          <w:sz w:val="22"/>
          <w:szCs w:val="22"/>
        </w:rPr>
        <w:t>m</w:t>
      </w:r>
      <w:r w:rsidR="008B2B97" w:rsidRPr="00EB7EF6">
        <w:rPr>
          <w:rFonts w:cs="Arial"/>
          <w:b/>
          <w:sz w:val="22"/>
          <w:szCs w:val="22"/>
        </w:rPr>
        <w:t xml:space="preserve"> horizont</w:t>
      </w:r>
      <w:r w:rsidR="00C77122" w:rsidRPr="00EB7EF6">
        <w:rPr>
          <w:rFonts w:cs="Arial"/>
          <w:b/>
          <w:sz w:val="22"/>
          <w:szCs w:val="22"/>
        </w:rPr>
        <w:t>em</w:t>
      </w:r>
      <w:r w:rsidR="00D0377B">
        <w:rPr>
          <w:rFonts w:cs="Arial"/>
          <w:b/>
          <w:sz w:val="22"/>
          <w:szCs w:val="22"/>
        </w:rPr>
        <w:t xml:space="preserve"> realizace.</w:t>
      </w:r>
    </w:p>
    <w:p w:rsidR="00D0377B" w:rsidRPr="00D0377B" w:rsidRDefault="00D0377B" w:rsidP="00D0377B">
      <w:pPr>
        <w:jc w:val="both"/>
        <w:rPr>
          <w:rFonts w:cs="Arial"/>
          <w:sz w:val="22"/>
          <w:szCs w:val="22"/>
        </w:rPr>
      </w:pPr>
    </w:p>
    <w:p w:rsidR="00886018" w:rsidRPr="00E42AFD" w:rsidRDefault="008B2B97" w:rsidP="00782EAD">
      <w:pPr>
        <w:ind w:left="284" w:hanging="284"/>
        <w:rPr>
          <w:rFonts w:cs="Arial"/>
          <w:b/>
          <w:sz w:val="22"/>
          <w:szCs w:val="22"/>
        </w:rPr>
      </w:pPr>
      <w:r w:rsidRPr="00E04BB3">
        <w:rPr>
          <w:rFonts w:cs="Arial"/>
          <w:b/>
          <w:sz w:val="22"/>
          <w:szCs w:val="22"/>
        </w:rPr>
        <w:t>2.</w:t>
      </w:r>
      <w:r w:rsidR="004C414F">
        <w:rPr>
          <w:rFonts w:cs="Arial"/>
          <w:b/>
          <w:sz w:val="22"/>
          <w:szCs w:val="22"/>
        </w:rPr>
        <w:tab/>
      </w:r>
      <w:r w:rsidRPr="00E04BB3">
        <w:rPr>
          <w:rFonts w:cs="Arial"/>
          <w:b/>
          <w:sz w:val="22"/>
          <w:szCs w:val="22"/>
        </w:rPr>
        <w:t>Programy</w:t>
      </w:r>
      <w:r w:rsidR="00B55A46">
        <w:rPr>
          <w:rFonts w:cs="Arial"/>
          <w:b/>
          <w:sz w:val="22"/>
          <w:szCs w:val="22"/>
        </w:rPr>
        <w:t>,</w:t>
      </w:r>
      <w:r w:rsidRPr="00E04BB3">
        <w:rPr>
          <w:rFonts w:cs="Arial"/>
          <w:b/>
          <w:sz w:val="22"/>
          <w:szCs w:val="22"/>
        </w:rPr>
        <w:t xml:space="preserve"> v</w:t>
      </w:r>
      <w:r w:rsidR="00984648">
        <w:rPr>
          <w:rFonts w:cs="Arial"/>
          <w:b/>
          <w:sz w:val="22"/>
          <w:szCs w:val="22"/>
        </w:rPr>
        <w:t xml:space="preserve"> </w:t>
      </w:r>
      <w:r w:rsidRPr="00E04BB3">
        <w:rPr>
          <w:rFonts w:cs="Arial"/>
          <w:b/>
          <w:sz w:val="22"/>
          <w:szCs w:val="22"/>
        </w:rPr>
        <w:t>jejichž rámci b</w:t>
      </w:r>
      <w:r w:rsidR="00A03819">
        <w:rPr>
          <w:rFonts w:cs="Arial"/>
          <w:b/>
          <w:sz w:val="22"/>
          <w:szCs w:val="22"/>
        </w:rPr>
        <w:t xml:space="preserve">yla pořizována </w:t>
      </w:r>
      <w:r w:rsidRPr="00E04BB3">
        <w:rPr>
          <w:rFonts w:cs="Arial"/>
          <w:b/>
          <w:sz w:val="22"/>
          <w:szCs w:val="22"/>
        </w:rPr>
        <w:t>výzbroj a technika p</w:t>
      </w:r>
      <w:r w:rsidR="00C4242B">
        <w:rPr>
          <w:rFonts w:cs="Arial"/>
          <w:b/>
          <w:sz w:val="22"/>
          <w:szCs w:val="22"/>
        </w:rPr>
        <w:t>ozemních a specializovaných sil</w:t>
      </w:r>
    </w:p>
    <w:p w:rsidR="00D0377B" w:rsidRDefault="00D0377B" w:rsidP="00D0377B">
      <w:pPr>
        <w:jc w:val="both"/>
        <w:rPr>
          <w:rFonts w:cs="Arial"/>
          <w:sz w:val="22"/>
          <w:szCs w:val="22"/>
        </w:rPr>
      </w:pPr>
    </w:p>
    <w:p w:rsidR="00E521A6" w:rsidRDefault="00E521A6" w:rsidP="00D0377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 oblast pozemních a speciálních sil byla jednou z pr</w:t>
      </w:r>
      <w:r w:rsidR="0052780A">
        <w:rPr>
          <w:rFonts w:cs="Arial"/>
          <w:sz w:val="22"/>
          <w:szCs w:val="22"/>
        </w:rPr>
        <w:t>iorit realizace programu ev. č. </w:t>
      </w:r>
      <w:r>
        <w:rPr>
          <w:rFonts w:cs="Arial"/>
          <w:sz w:val="22"/>
          <w:szCs w:val="22"/>
        </w:rPr>
        <w:t>207V210</w:t>
      </w:r>
      <w:r w:rsidR="00517AEC">
        <w:rPr>
          <w:rFonts w:cs="Arial"/>
          <w:sz w:val="22"/>
          <w:szCs w:val="22"/>
        </w:rPr>
        <w:t> –</w:t>
      </w:r>
      <w:r>
        <w:rPr>
          <w:rFonts w:cs="Arial"/>
          <w:sz w:val="22"/>
          <w:szCs w:val="22"/>
        </w:rPr>
        <w:t xml:space="preserve"> </w:t>
      </w:r>
      <w:r w:rsidRPr="00564BC7">
        <w:rPr>
          <w:rFonts w:cs="Arial"/>
          <w:i/>
          <w:sz w:val="22"/>
          <w:szCs w:val="22"/>
        </w:rPr>
        <w:t>Zvyšování schopností pozemních a specializovaných sil</w:t>
      </w:r>
      <w:r>
        <w:rPr>
          <w:rFonts w:cs="Arial"/>
          <w:sz w:val="22"/>
          <w:szCs w:val="22"/>
        </w:rPr>
        <w:t xml:space="preserve"> schváleného v roce 2004 s předpokládaným termínem realizace v letech 2005 až 2010. V roce 2009 byly </w:t>
      </w:r>
      <w:r w:rsidR="006757C6">
        <w:rPr>
          <w:rFonts w:cs="Arial"/>
          <w:sz w:val="22"/>
          <w:szCs w:val="22"/>
        </w:rPr>
        <w:t xml:space="preserve">dále </w:t>
      </w:r>
      <w:r>
        <w:rPr>
          <w:rFonts w:cs="Arial"/>
          <w:sz w:val="22"/>
          <w:szCs w:val="22"/>
        </w:rPr>
        <w:t>schváleny programy ev. č. 107V050</w:t>
      </w:r>
      <w:r w:rsidR="00517AEC">
        <w:rPr>
          <w:rFonts w:cs="Arial"/>
          <w:sz w:val="22"/>
          <w:szCs w:val="22"/>
        </w:rPr>
        <w:t> –</w:t>
      </w:r>
      <w:r>
        <w:rPr>
          <w:rFonts w:cs="Arial"/>
          <w:sz w:val="22"/>
          <w:szCs w:val="22"/>
        </w:rPr>
        <w:t xml:space="preserve"> </w:t>
      </w:r>
      <w:r w:rsidRPr="00564BC7">
        <w:rPr>
          <w:rFonts w:cs="Arial"/>
          <w:i/>
          <w:sz w:val="22"/>
          <w:szCs w:val="22"/>
        </w:rPr>
        <w:t>Pořízení leh</w:t>
      </w:r>
      <w:r w:rsidR="0052780A" w:rsidRPr="00564BC7">
        <w:rPr>
          <w:rFonts w:cs="Arial"/>
          <w:i/>
          <w:sz w:val="22"/>
          <w:szCs w:val="22"/>
        </w:rPr>
        <w:t>kých obrněných vozidel</w:t>
      </w:r>
      <w:r w:rsidR="0052780A">
        <w:rPr>
          <w:rFonts w:cs="Arial"/>
          <w:sz w:val="22"/>
          <w:szCs w:val="22"/>
        </w:rPr>
        <w:t>, ev. č. </w:t>
      </w:r>
      <w:r>
        <w:rPr>
          <w:rFonts w:cs="Arial"/>
          <w:sz w:val="22"/>
          <w:szCs w:val="22"/>
        </w:rPr>
        <w:t>107V110</w:t>
      </w:r>
      <w:r w:rsidR="00517AEC">
        <w:rPr>
          <w:rFonts w:cs="Arial"/>
          <w:sz w:val="22"/>
          <w:szCs w:val="22"/>
        </w:rPr>
        <w:t> –</w:t>
      </w:r>
      <w:r>
        <w:rPr>
          <w:rFonts w:cs="Arial"/>
          <w:sz w:val="22"/>
          <w:szCs w:val="22"/>
        </w:rPr>
        <w:t xml:space="preserve"> </w:t>
      </w:r>
      <w:r w:rsidRPr="00564BC7">
        <w:rPr>
          <w:rFonts w:cs="Arial"/>
          <w:i/>
          <w:sz w:val="22"/>
          <w:szCs w:val="22"/>
        </w:rPr>
        <w:t>Zvyšování schopností vojáka 21. století</w:t>
      </w:r>
      <w:r>
        <w:rPr>
          <w:rFonts w:cs="Arial"/>
          <w:sz w:val="22"/>
          <w:szCs w:val="22"/>
        </w:rPr>
        <w:t xml:space="preserve"> a </w:t>
      </w:r>
      <w:r w:rsidR="00FB7902">
        <w:rPr>
          <w:rFonts w:cs="Arial"/>
          <w:sz w:val="22"/>
          <w:szCs w:val="22"/>
        </w:rPr>
        <w:t xml:space="preserve">ev. č. </w:t>
      </w:r>
      <w:r>
        <w:rPr>
          <w:rFonts w:cs="Arial"/>
          <w:sz w:val="22"/>
          <w:szCs w:val="22"/>
        </w:rPr>
        <w:t>107V210</w:t>
      </w:r>
      <w:r w:rsidR="00517AEC">
        <w:rPr>
          <w:rFonts w:cs="Arial"/>
          <w:sz w:val="22"/>
          <w:szCs w:val="22"/>
        </w:rPr>
        <w:t> –</w:t>
      </w:r>
      <w:r>
        <w:rPr>
          <w:rFonts w:cs="Arial"/>
          <w:sz w:val="22"/>
          <w:szCs w:val="22"/>
        </w:rPr>
        <w:t xml:space="preserve"> </w:t>
      </w:r>
      <w:r w:rsidRPr="00564BC7">
        <w:rPr>
          <w:rFonts w:cs="Arial"/>
          <w:i/>
          <w:sz w:val="22"/>
          <w:szCs w:val="22"/>
        </w:rPr>
        <w:t>Rozvoj pozemních sil</w:t>
      </w:r>
      <w:r>
        <w:rPr>
          <w:rFonts w:cs="Arial"/>
          <w:sz w:val="22"/>
          <w:szCs w:val="22"/>
        </w:rPr>
        <w:t xml:space="preserve"> s termíny realizace v letech 20</w:t>
      </w:r>
      <w:r w:rsidR="00A962DA">
        <w:rPr>
          <w:rFonts w:cs="Arial"/>
          <w:sz w:val="22"/>
          <w:szCs w:val="22"/>
        </w:rPr>
        <w:t>09</w:t>
      </w:r>
      <w:r>
        <w:rPr>
          <w:rFonts w:cs="Arial"/>
          <w:sz w:val="22"/>
          <w:szCs w:val="22"/>
        </w:rPr>
        <w:t xml:space="preserve"> až 2015.</w:t>
      </w:r>
    </w:p>
    <w:p w:rsidR="00D0377B" w:rsidRDefault="00D0377B" w:rsidP="00D0377B">
      <w:pPr>
        <w:jc w:val="both"/>
        <w:rPr>
          <w:rFonts w:cs="Arial"/>
          <w:sz w:val="22"/>
          <w:szCs w:val="22"/>
        </w:rPr>
      </w:pPr>
    </w:p>
    <w:p w:rsidR="008B2B97" w:rsidRDefault="00117C9C" w:rsidP="00D0377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884C49" w:rsidRPr="00E04BB3">
        <w:rPr>
          <w:rFonts w:cs="Arial"/>
          <w:sz w:val="22"/>
          <w:szCs w:val="22"/>
        </w:rPr>
        <w:t>ři ze čtyř</w:t>
      </w:r>
      <w:r w:rsidR="000C13DD">
        <w:rPr>
          <w:rFonts w:cs="Arial"/>
          <w:sz w:val="22"/>
          <w:szCs w:val="22"/>
        </w:rPr>
        <w:t xml:space="preserve"> kontrolovaných </w:t>
      </w:r>
      <w:r w:rsidR="00884C49" w:rsidRPr="00E04BB3">
        <w:rPr>
          <w:rFonts w:cs="Arial"/>
          <w:sz w:val="22"/>
          <w:szCs w:val="22"/>
        </w:rPr>
        <w:t xml:space="preserve">programů nebyly doposud ukončeny. </w:t>
      </w:r>
      <w:r w:rsidR="00886018" w:rsidRPr="00E04BB3">
        <w:rPr>
          <w:rFonts w:cs="Arial"/>
          <w:sz w:val="22"/>
          <w:szCs w:val="22"/>
        </w:rPr>
        <w:t xml:space="preserve">Realizace jediného doposud ukončeného programu </w:t>
      </w:r>
      <w:r w:rsidR="00EB7EF6">
        <w:rPr>
          <w:rFonts w:cs="Arial"/>
          <w:sz w:val="22"/>
          <w:szCs w:val="22"/>
        </w:rPr>
        <w:t>(</w:t>
      </w:r>
      <w:r w:rsidR="00A03819">
        <w:rPr>
          <w:rFonts w:cs="Arial"/>
          <w:sz w:val="22"/>
          <w:szCs w:val="22"/>
        </w:rPr>
        <w:t>ev. č. </w:t>
      </w:r>
      <w:r w:rsidR="00A03819" w:rsidRPr="00E04BB3">
        <w:rPr>
          <w:rFonts w:cs="Arial"/>
          <w:sz w:val="22"/>
          <w:szCs w:val="22"/>
        </w:rPr>
        <w:t>207V210</w:t>
      </w:r>
      <w:r w:rsidR="00EB7EF6">
        <w:rPr>
          <w:rFonts w:cs="Arial"/>
          <w:sz w:val="22"/>
          <w:szCs w:val="22"/>
        </w:rPr>
        <w:t>)</w:t>
      </w:r>
      <w:r w:rsidR="00A03819">
        <w:rPr>
          <w:rFonts w:cs="Arial"/>
          <w:sz w:val="22"/>
          <w:szCs w:val="22"/>
        </w:rPr>
        <w:t xml:space="preserve"> </w:t>
      </w:r>
      <w:r w:rsidR="00886018" w:rsidRPr="00E04BB3">
        <w:rPr>
          <w:rFonts w:cs="Arial"/>
          <w:sz w:val="22"/>
          <w:szCs w:val="22"/>
        </w:rPr>
        <w:t>byla dvakrát</w:t>
      </w:r>
      <w:r w:rsidR="00C77122">
        <w:rPr>
          <w:rFonts w:cs="Arial"/>
          <w:sz w:val="22"/>
          <w:szCs w:val="22"/>
        </w:rPr>
        <w:t xml:space="preserve"> prodloužena</w:t>
      </w:r>
      <w:r w:rsidR="00782EAD">
        <w:rPr>
          <w:rFonts w:cs="Arial"/>
          <w:sz w:val="22"/>
          <w:szCs w:val="22"/>
        </w:rPr>
        <w:t>, a to</w:t>
      </w:r>
      <w:r w:rsidR="00884C49" w:rsidRPr="00E04BB3">
        <w:rPr>
          <w:rFonts w:cs="Arial"/>
          <w:sz w:val="22"/>
          <w:szCs w:val="22"/>
        </w:rPr>
        <w:t xml:space="preserve"> celkem </w:t>
      </w:r>
      <w:r w:rsidR="00EB7EF6" w:rsidRPr="00E04BB3">
        <w:rPr>
          <w:rFonts w:cs="Arial"/>
          <w:sz w:val="22"/>
          <w:szCs w:val="22"/>
        </w:rPr>
        <w:t xml:space="preserve">o </w:t>
      </w:r>
      <w:r w:rsidR="00884C49" w:rsidRPr="00E04BB3">
        <w:rPr>
          <w:rFonts w:cs="Arial"/>
          <w:sz w:val="22"/>
          <w:szCs w:val="22"/>
        </w:rPr>
        <w:t>dva roky</w:t>
      </w:r>
      <w:r w:rsidR="00886018" w:rsidRPr="00E04BB3">
        <w:rPr>
          <w:rFonts w:cs="Arial"/>
          <w:sz w:val="22"/>
          <w:szCs w:val="22"/>
        </w:rPr>
        <w:t>. Ke</w:t>
      </w:r>
      <w:r w:rsidR="00E42AFD">
        <w:rPr>
          <w:rFonts w:cs="Arial"/>
          <w:sz w:val="22"/>
          <w:szCs w:val="22"/>
        </w:rPr>
        <w:t> </w:t>
      </w:r>
      <w:r w:rsidR="00886018" w:rsidRPr="00E04BB3">
        <w:rPr>
          <w:rFonts w:cs="Arial"/>
          <w:sz w:val="22"/>
          <w:szCs w:val="22"/>
        </w:rPr>
        <w:t>změ</w:t>
      </w:r>
      <w:r w:rsidR="00A178F4">
        <w:rPr>
          <w:rFonts w:cs="Arial"/>
          <w:sz w:val="22"/>
          <w:szCs w:val="22"/>
        </w:rPr>
        <w:t>ně finančních parametrů došlo u </w:t>
      </w:r>
      <w:r w:rsidR="00886018" w:rsidRPr="00E04BB3">
        <w:rPr>
          <w:rFonts w:cs="Arial"/>
          <w:sz w:val="22"/>
          <w:szCs w:val="22"/>
        </w:rPr>
        <w:t>dvou progra</w:t>
      </w:r>
      <w:r w:rsidR="00884C49" w:rsidRPr="00E04BB3">
        <w:rPr>
          <w:rFonts w:cs="Arial"/>
          <w:sz w:val="22"/>
          <w:szCs w:val="22"/>
        </w:rPr>
        <w:t>mů (</w:t>
      </w:r>
      <w:r w:rsidR="00601F0F">
        <w:rPr>
          <w:rFonts w:cs="Arial"/>
          <w:sz w:val="22"/>
          <w:szCs w:val="22"/>
        </w:rPr>
        <w:t>ev. </w:t>
      </w:r>
      <w:r w:rsidR="008A5CAB">
        <w:rPr>
          <w:rFonts w:cs="Arial"/>
          <w:sz w:val="22"/>
          <w:szCs w:val="22"/>
        </w:rPr>
        <w:t>č. 207V210 a ev. </w:t>
      </w:r>
      <w:r w:rsidR="003B23DF">
        <w:rPr>
          <w:rFonts w:cs="Arial"/>
          <w:sz w:val="22"/>
          <w:szCs w:val="22"/>
        </w:rPr>
        <w:t>č</w:t>
      </w:r>
      <w:r w:rsidR="008A5CAB">
        <w:rPr>
          <w:rFonts w:cs="Arial"/>
          <w:sz w:val="22"/>
          <w:szCs w:val="22"/>
        </w:rPr>
        <w:t>. </w:t>
      </w:r>
      <w:r w:rsidR="00884C49" w:rsidRPr="00E04BB3">
        <w:rPr>
          <w:rFonts w:cs="Arial"/>
          <w:sz w:val="22"/>
          <w:szCs w:val="22"/>
        </w:rPr>
        <w:t>107V210)</w:t>
      </w:r>
      <w:r w:rsidR="003B23DF">
        <w:rPr>
          <w:rFonts w:cs="Arial"/>
          <w:sz w:val="22"/>
          <w:szCs w:val="22"/>
        </w:rPr>
        <w:t>.</w:t>
      </w:r>
      <w:r w:rsidR="00884C49" w:rsidRPr="00E04BB3">
        <w:rPr>
          <w:rFonts w:cs="Arial"/>
          <w:sz w:val="22"/>
          <w:szCs w:val="22"/>
        </w:rPr>
        <w:t xml:space="preserve"> </w:t>
      </w:r>
    </w:p>
    <w:p w:rsidR="00984648" w:rsidRDefault="00984648" w:rsidP="00D0377B">
      <w:pPr>
        <w:jc w:val="both"/>
        <w:rPr>
          <w:rFonts w:cs="Arial"/>
          <w:sz w:val="22"/>
          <w:szCs w:val="22"/>
        </w:rPr>
      </w:pPr>
    </w:p>
    <w:p w:rsidR="00564BC7" w:rsidRDefault="00564BC7" w:rsidP="00D0377B">
      <w:pPr>
        <w:jc w:val="both"/>
        <w:rPr>
          <w:rFonts w:cs="Arial"/>
          <w:sz w:val="22"/>
          <w:szCs w:val="22"/>
        </w:rPr>
      </w:pPr>
    </w:p>
    <w:p w:rsidR="00564BC7" w:rsidRDefault="00564BC7" w:rsidP="00D0377B">
      <w:pPr>
        <w:jc w:val="both"/>
        <w:rPr>
          <w:rFonts w:cs="Arial"/>
          <w:sz w:val="22"/>
          <w:szCs w:val="22"/>
        </w:rPr>
      </w:pPr>
    </w:p>
    <w:p w:rsidR="00564BC7" w:rsidRDefault="00564BC7" w:rsidP="00D0377B">
      <w:pPr>
        <w:jc w:val="both"/>
        <w:rPr>
          <w:rFonts w:cs="Arial"/>
          <w:sz w:val="22"/>
          <w:szCs w:val="22"/>
        </w:rPr>
      </w:pPr>
    </w:p>
    <w:p w:rsidR="000B5CF3" w:rsidRDefault="008B2B97" w:rsidP="00D0377B">
      <w:pPr>
        <w:ind w:left="284" w:hanging="284"/>
        <w:rPr>
          <w:rFonts w:cs="Arial"/>
          <w:b/>
          <w:sz w:val="22"/>
          <w:szCs w:val="22"/>
        </w:rPr>
      </w:pPr>
      <w:r w:rsidRPr="00E04BB3">
        <w:rPr>
          <w:rFonts w:cs="Arial"/>
          <w:b/>
          <w:sz w:val="22"/>
          <w:szCs w:val="22"/>
        </w:rPr>
        <w:lastRenderedPageBreak/>
        <w:t>3.</w:t>
      </w:r>
      <w:r w:rsidR="004265D7">
        <w:rPr>
          <w:rFonts w:cs="Arial"/>
          <w:b/>
          <w:sz w:val="22"/>
          <w:szCs w:val="22"/>
        </w:rPr>
        <w:t xml:space="preserve"> </w:t>
      </w:r>
      <w:r w:rsidRPr="00E04BB3">
        <w:rPr>
          <w:rFonts w:cs="Arial"/>
          <w:b/>
          <w:sz w:val="22"/>
          <w:szCs w:val="22"/>
        </w:rPr>
        <w:t xml:space="preserve">Kontrolované </w:t>
      </w:r>
      <w:r w:rsidR="00B24D43">
        <w:rPr>
          <w:rFonts w:cs="Arial"/>
          <w:b/>
          <w:sz w:val="22"/>
          <w:szCs w:val="22"/>
        </w:rPr>
        <w:t>akce (</w:t>
      </w:r>
      <w:r w:rsidRPr="00E04BB3">
        <w:rPr>
          <w:rFonts w:cs="Arial"/>
          <w:b/>
          <w:sz w:val="22"/>
          <w:szCs w:val="22"/>
        </w:rPr>
        <w:t>projekty</w:t>
      </w:r>
      <w:r w:rsidR="00B24D43">
        <w:rPr>
          <w:rFonts w:cs="Arial"/>
          <w:b/>
          <w:sz w:val="22"/>
          <w:szCs w:val="22"/>
        </w:rPr>
        <w:t>)</w:t>
      </w:r>
    </w:p>
    <w:p w:rsidR="00D0377B" w:rsidRPr="00D0377B" w:rsidRDefault="00D0377B" w:rsidP="00D0377B">
      <w:pPr>
        <w:ind w:left="284" w:hanging="284"/>
        <w:rPr>
          <w:rFonts w:cs="Arial"/>
          <w:sz w:val="22"/>
          <w:szCs w:val="22"/>
        </w:rPr>
      </w:pPr>
    </w:p>
    <w:p w:rsidR="00B14268" w:rsidRDefault="00B14268" w:rsidP="002352E9">
      <w:pPr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3.1</w:t>
      </w:r>
      <w:r w:rsidR="004C414F">
        <w:rPr>
          <w:rFonts w:cs="Arial"/>
          <w:b/>
          <w:sz w:val="22"/>
          <w:szCs w:val="22"/>
        </w:rPr>
        <w:tab/>
      </w:r>
      <w:r w:rsidRPr="00B14268">
        <w:rPr>
          <w:rFonts w:cs="Arial"/>
          <w:b/>
          <w:sz w:val="22"/>
          <w:szCs w:val="22"/>
        </w:rPr>
        <w:t>Program ev. č. 207V210</w:t>
      </w:r>
      <w:r w:rsidR="00782EAD">
        <w:rPr>
          <w:rFonts w:cs="Arial"/>
          <w:b/>
          <w:sz w:val="22"/>
          <w:szCs w:val="22"/>
        </w:rPr>
        <w:t> –</w:t>
      </w:r>
      <w:r w:rsidR="001C3C57">
        <w:rPr>
          <w:rFonts w:cs="Arial"/>
          <w:b/>
          <w:sz w:val="22"/>
          <w:szCs w:val="22"/>
        </w:rPr>
        <w:t xml:space="preserve"> </w:t>
      </w:r>
      <w:r w:rsidR="001C3C57" w:rsidRPr="00564BC7">
        <w:rPr>
          <w:rFonts w:cs="Arial"/>
          <w:b/>
          <w:i/>
          <w:sz w:val="22"/>
          <w:szCs w:val="22"/>
        </w:rPr>
        <w:t>Zvyšování schopností pozemních a specializovaných sil</w:t>
      </w:r>
      <w:r w:rsidR="0083682A">
        <w:rPr>
          <w:rFonts w:cs="Arial"/>
          <w:b/>
          <w:sz w:val="22"/>
          <w:szCs w:val="22"/>
        </w:rPr>
        <w:t>, podprogramy ev. č. 207V212</w:t>
      </w:r>
      <w:r w:rsidR="00782EAD">
        <w:rPr>
          <w:rFonts w:cs="Arial"/>
          <w:b/>
          <w:sz w:val="22"/>
          <w:szCs w:val="22"/>
        </w:rPr>
        <w:t> –</w:t>
      </w:r>
      <w:r w:rsidR="0083682A">
        <w:rPr>
          <w:rFonts w:cs="Arial"/>
          <w:b/>
          <w:sz w:val="22"/>
          <w:szCs w:val="22"/>
        </w:rPr>
        <w:t xml:space="preserve"> </w:t>
      </w:r>
      <w:r w:rsidR="0083682A" w:rsidRPr="00564BC7">
        <w:rPr>
          <w:rFonts w:cs="Arial"/>
          <w:b/>
          <w:i/>
          <w:sz w:val="22"/>
          <w:szCs w:val="22"/>
        </w:rPr>
        <w:t>Zabezpečení schopností bojových útvarů</w:t>
      </w:r>
      <w:r w:rsidR="0083682A">
        <w:rPr>
          <w:rFonts w:cs="Arial"/>
          <w:b/>
          <w:sz w:val="22"/>
          <w:szCs w:val="22"/>
        </w:rPr>
        <w:t xml:space="preserve"> a ev. č. 207V213</w:t>
      </w:r>
      <w:r w:rsidR="00782EAD">
        <w:rPr>
          <w:rFonts w:cs="Arial"/>
          <w:b/>
          <w:sz w:val="22"/>
          <w:szCs w:val="22"/>
        </w:rPr>
        <w:t> –</w:t>
      </w:r>
      <w:r w:rsidR="0083682A">
        <w:rPr>
          <w:rFonts w:cs="Arial"/>
          <w:b/>
          <w:sz w:val="22"/>
          <w:szCs w:val="22"/>
        </w:rPr>
        <w:t xml:space="preserve"> </w:t>
      </w:r>
      <w:r w:rsidR="0083682A" w:rsidRPr="00564BC7">
        <w:rPr>
          <w:rFonts w:cs="Arial"/>
          <w:b/>
          <w:i/>
          <w:sz w:val="22"/>
          <w:szCs w:val="22"/>
        </w:rPr>
        <w:t>Zabezpečení schopností druhů sil</w:t>
      </w:r>
    </w:p>
    <w:p w:rsidR="00D0377B" w:rsidRDefault="00D0377B" w:rsidP="00D0377B">
      <w:pPr>
        <w:jc w:val="both"/>
        <w:rPr>
          <w:rFonts w:cs="Arial"/>
          <w:sz w:val="22"/>
          <w:szCs w:val="22"/>
        </w:rPr>
      </w:pPr>
    </w:p>
    <w:p w:rsidR="000B5CF3" w:rsidRDefault="000B5CF3" w:rsidP="00D0377B">
      <w:pPr>
        <w:jc w:val="both"/>
        <w:rPr>
          <w:rFonts w:cs="Arial"/>
          <w:sz w:val="22"/>
          <w:szCs w:val="22"/>
        </w:rPr>
      </w:pPr>
      <w:r w:rsidRPr="00E04BB3">
        <w:rPr>
          <w:rFonts w:cs="Arial"/>
          <w:sz w:val="22"/>
          <w:szCs w:val="22"/>
        </w:rPr>
        <w:t xml:space="preserve">Dokumentace programu </w:t>
      </w:r>
      <w:r w:rsidRPr="00491EB2">
        <w:rPr>
          <w:rFonts w:cs="Arial"/>
          <w:sz w:val="22"/>
          <w:szCs w:val="22"/>
        </w:rPr>
        <w:t>ev. č. 207V210</w:t>
      </w:r>
      <w:r w:rsidRPr="00E04BB3">
        <w:rPr>
          <w:rFonts w:cs="Arial"/>
          <w:sz w:val="22"/>
          <w:szCs w:val="22"/>
        </w:rPr>
        <w:t xml:space="preserve"> s celkovými výdaji státního rozpočtu ve výši 2</w:t>
      </w:r>
      <w:r w:rsidR="00564BC7">
        <w:rPr>
          <w:rFonts w:cs="Arial"/>
          <w:sz w:val="22"/>
          <w:szCs w:val="22"/>
        </w:rPr>
        <w:t> </w:t>
      </w:r>
      <w:r w:rsidRPr="00E04BB3">
        <w:rPr>
          <w:rFonts w:cs="Arial"/>
          <w:sz w:val="22"/>
          <w:szCs w:val="22"/>
        </w:rPr>
        <w:t>172</w:t>
      </w:r>
      <w:r w:rsidR="00564BC7">
        <w:rPr>
          <w:rFonts w:cs="Arial"/>
          <w:sz w:val="22"/>
          <w:szCs w:val="22"/>
        </w:rPr>
        <w:t> </w:t>
      </w:r>
      <w:r w:rsidRPr="00E04BB3">
        <w:rPr>
          <w:rFonts w:cs="Arial"/>
          <w:sz w:val="22"/>
          <w:szCs w:val="22"/>
        </w:rPr>
        <w:t>mil. Kč a dobou realizace v </w:t>
      </w:r>
      <w:r>
        <w:rPr>
          <w:rFonts w:cs="Arial"/>
          <w:sz w:val="22"/>
          <w:szCs w:val="22"/>
        </w:rPr>
        <w:t>letech 2005 až 2010</w:t>
      </w:r>
      <w:r w:rsidR="00517AEC" w:rsidRPr="00517AEC">
        <w:rPr>
          <w:rFonts w:cs="Arial"/>
          <w:sz w:val="22"/>
          <w:szCs w:val="22"/>
        </w:rPr>
        <w:t xml:space="preserve"> </w:t>
      </w:r>
      <w:r w:rsidR="00517AEC" w:rsidRPr="00E04BB3">
        <w:rPr>
          <w:rFonts w:cs="Arial"/>
          <w:sz w:val="22"/>
          <w:szCs w:val="22"/>
        </w:rPr>
        <w:t>by</w:t>
      </w:r>
      <w:r w:rsidR="00517AEC">
        <w:rPr>
          <w:rFonts w:cs="Arial"/>
          <w:sz w:val="22"/>
          <w:szCs w:val="22"/>
        </w:rPr>
        <w:t>la schválena dne 11. června 2004</w:t>
      </w:r>
      <w:r>
        <w:rPr>
          <w:rFonts w:cs="Arial"/>
          <w:sz w:val="22"/>
          <w:szCs w:val="22"/>
        </w:rPr>
        <w:t xml:space="preserve">. </w:t>
      </w:r>
      <w:r w:rsidRPr="008B202F">
        <w:rPr>
          <w:rFonts w:cs="Arial"/>
          <w:sz w:val="22"/>
          <w:szCs w:val="22"/>
        </w:rPr>
        <w:t xml:space="preserve">V letech 2006 až </w:t>
      </w:r>
      <w:r w:rsidR="00174EFE" w:rsidRPr="008B202F">
        <w:rPr>
          <w:rFonts w:cs="Arial"/>
          <w:sz w:val="22"/>
          <w:szCs w:val="22"/>
        </w:rPr>
        <w:t xml:space="preserve">2009 došlo </w:t>
      </w:r>
      <w:r w:rsidR="00A03819" w:rsidRPr="008B202F">
        <w:rPr>
          <w:rFonts w:cs="Arial"/>
          <w:sz w:val="22"/>
          <w:szCs w:val="22"/>
        </w:rPr>
        <w:t>k snížení výdajů kapitoly 307</w:t>
      </w:r>
      <w:r w:rsidR="00517AEC">
        <w:rPr>
          <w:rFonts w:cs="Arial"/>
          <w:sz w:val="22"/>
          <w:szCs w:val="22"/>
        </w:rPr>
        <w:t> –</w:t>
      </w:r>
      <w:r w:rsidR="00174EFE" w:rsidRPr="008B202F">
        <w:rPr>
          <w:rFonts w:cs="Arial"/>
          <w:sz w:val="22"/>
          <w:szCs w:val="22"/>
        </w:rPr>
        <w:t xml:space="preserve"> </w:t>
      </w:r>
      <w:r w:rsidR="00174EFE" w:rsidRPr="00564BC7">
        <w:rPr>
          <w:rFonts w:cs="Arial"/>
          <w:i/>
          <w:sz w:val="22"/>
          <w:szCs w:val="22"/>
        </w:rPr>
        <w:t>Ministerstvo obrany</w:t>
      </w:r>
      <w:r w:rsidR="00174EFE" w:rsidRPr="008B202F">
        <w:rPr>
          <w:rFonts w:cs="Arial"/>
          <w:sz w:val="22"/>
          <w:szCs w:val="22"/>
        </w:rPr>
        <w:t>, což vedlo</w:t>
      </w:r>
      <w:r w:rsidRPr="008B202F">
        <w:rPr>
          <w:rFonts w:cs="Arial"/>
          <w:sz w:val="22"/>
          <w:szCs w:val="22"/>
        </w:rPr>
        <w:t xml:space="preserve"> </w:t>
      </w:r>
      <w:r w:rsidR="00174EFE" w:rsidRPr="008B202F">
        <w:rPr>
          <w:rFonts w:cs="Arial"/>
          <w:sz w:val="22"/>
          <w:szCs w:val="22"/>
        </w:rPr>
        <w:t>k</w:t>
      </w:r>
      <w:r w:rsidR="00564BC7">
        <w:rPr>
          <w:rFonts w:cs="Arial"/>
          <w:sz w:val="22"/>
          <w:szCs w:val="22"/>
        </w:rPr>
        <w:t> </w:t>
      </w:r>
      <w:r w:rsidR="00174EFE" w:rsidRPr="008B202F">
        <w:rPr>
          <w:rFonts w:cs="Arial"/>
          <w:sz w:val="22"/>
          <w:szCs w:val="22"/>
        </w:rPr>
        <w:t xml:space="preserve">snížení </w:t>
      </w:r>
      <w:r w:rsidR="003B23DF" w:rsidRPr="008B202F">
        <w:rPr>
          <w:rFonts w:cs="Arial"/>
          <w:sz w:val="22"/>
          <w:szCs w:val="22"/>
        </w:rPr>
        <w:t>výdajů na pro</w:t>
      </w:r>
      <w:r w:rsidR="008B202F">
        <w:rPr>
          <w:rFonts w:cs="Arial"/>
          <w:sz w:val="22"/>
          <w:szCs w:val="22"/>
        </w:rPr>
        <w:t>gram</w:t>
      </w:r>
      <w:r w:rsidR="003B23DF" w:rsidRPr="008B202F">
        <w:rPr>
          <w:rFonts w:cs="Arial"/>
          <w:sz w:val="22"/>
          <w:szCs w:val="22"/>
        </w:rPr>
        <w:t xml:space="preserve"> </w:t>
      </w:r>
      <w:r w:rsidR="00174EFE" w:rsidRPr="008B202F">
        <w:rPr>
          <w:rFonts w:cs="Arial"/>
          <w:sz w:val="22"/>
          <w:szCs w:val="22"/>
        </w:rPr>
        <w:t xml:space="preserve">na </w:t>
      </w:r>
      <w:r w:rsidRPr="008B202F">
        <w:rPr>
          <w:rFonts w:cs="Arial"/>
          <w:sz w:val="22"/>
          <w:szCs w:val="22"/>
        </w:rPr>
        <w:t>1 603,5 mil. Kč</w:t>
      </w:r>
      <w:r w:rsidR="00174EFE">
        <w:rPr>
          <w:rFonts w:cs="Arial"/>
          <w:sz w:val="22"/>
          <w:szCs w:val="22"/>
        </w:rPr>
        <w:t xml:space="preserve"> a</w:t>
      </w:r>
      <w:r w:rsidR="00517AEC">
        <w:rPr>
          <w:rFonts w:cs="Arial"/>
          <w:sz w:val="22"/>
          <w:szCs w:val="22"/>
        </w:rPr>
        <w:t> </w:t>
      </w:r>
      <w:r w:rsidR="00782EAD">
        <w:rPr>
          <w:rFonts w:cs="Arial"/>
          <w:sz w:val="22"/>
          <w:szCs w:val="22"/>
        </w:rPr>
        <w:t>k </w:t>
      </w:r>
      <w:r>
        <w:rPr>
          <w:rFonts w:cs="Arial"/>
          <w:sz w:val="22"/>
          <w:szCs w:val="22"/>
        </w:rPr>
        <w:t xml:space="preserve">upuštění od realizace některých akcí. </w:t>
      </w:r>
      <w:r w:rsidR="001A4447" w:rsidRPr="008B202F">
        <w:rPr>
          <w:rFonts w:cs="Arial"/>
          <w:sz w:val="22"/>
          <w:szCs w:val="22"/>
        </w:rPr>
        <w:t>Původně stanovený termín realizace programu nebyl dodržen</w:t>
      </w:r>
      <w:r w:rsidR="00D0377B">
        <w:rPr>
          <w:rFonts w:cs="Arial"/>
          <w:sz w:val="22"/>
          <w:szCs w:val="22"/>
        </w:rPr>
        <w:t>, a to o dva roky.</w:t>
      </w:r>
    </w:p>
    <w:p w:rsidR="00D0377B" w:rsidRPr="008B202F" w:rsidRDefault="00D0377B" w:rsidP="00D0377B">
      <w:pPr>
        <w:jc w:val="both"/>
        <w:rPr>
          <w:rFonts w:cs="Arial"/>
          <w:sz w:val="22"/>
          <w:szCs w:val="22"/>
        </w:rPr>
      </w:pPr>
    </w:p>
    <w:p w:rsidR="00174EFE" w:rsidRDefault="00C75C95" w:rsidP="00D0377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EE36A7" w:rsidRPr="00A178F4">
        <w:rPr>
          <w:rFonts w:cs="Arial"/>
          <w:sz w:val="22"/>
          <w:szCs w:val="22"/>
        </w:rPr>
        <w:t xml:space="preserve">rogram </w:t>
      </w:r>
      <w:r>
        <w:rPr>
          <w:rFonts w:cs="Arial"/>
          <w:sz w:val="22"/>
          <w:szCs w:val="22"/>
        </w:rPr>
        <w:t xml:space="preserve">byl </w:t>
      </w:r>
      <w:r w:rsidR="00EE36A7" w:rsidRPr="00A178F4">
        <w:rPr>
          <w:rFonts w:cs="Arial"/>
          <w:sz w:val="22"/>
          <w:szCs w:val="22"/>
        </w:rPr>
        <w:t xml:space="preserve">rozdělen </w:t>
      </w:r>
      <w:r w:rsidR="00174EFE" w:rsidRPr="00A178F4">
        <w:rPr>
          <w:rFonts w:cs="Arial"/>
          <w:sz w:val="22"/>
          <w:szCs w:val="22"/>
        </w:rPr>
        <w:t>do tří podprogramů</w:t>
      </w:r>
      <w:r w:rsidR="004D51C5">
        <w:rPr>
          <w:rFonts w:cs="Arial"/>
          <w:sz w:val="22"/>
          <w:szCs w:val="22"/>
        </w:rPr>
        <w:t>. Kontrole byly</w:t>
      </w:r>
      <w:r w:rsidR="00174EFE" w:rsidRPr="00A178F4">
        <w:rPr>
          <w:rFonts w:cs="Arial"/>
          <w:sz w:val="22"/>
          <w:szCs w:val="22"/>
        </w:rPr>
        <w:t xml:space="preserve"> </w:t>
      </w:r>
      <w:r w:rsidR="004D51C5" w:rsidRPr="00A178F4">
        <w:rPr>
          <w:rFonts w:cs="Arial"/>
          <w:sz w:val="22"/>
          <w:szCs w:val="22"/>
        </w:rPr>
        <w:t xml:space="preserve">vzhledem k výši výdajů státního rozpočtu podrobeny </w:t>
      </w:r>
      <w:r w:rsidR="004D51C5">
        <w:rPr>
          <w:rFonts w:cs="Arial"/>
          <w:sz w:val="22"/>
          <w:szCs w:val="22"/>
        </w:rPr>
        <w:t xml:space="preserve">dva z nich, </w:t>
      </w:r>
      <w:r w:rsidR="00174EFE" w:rsidRPr="00A178F4">
        <w:rPr>
          <w:rFonts w:cs="Arial"/>
          <w:sz w:val="22"/>
          <w:szCs w:val="22"/>
        </w:rPr>
        <w:t>a to ev. č. </w:t>
      </w:r>
      <w:r w:rsidR="00EE36A7" w:rsidRPr="00A178F4">
        <w:rPr>
          <w:rFonts w:cs="Arial"/>
          <w:sz w:val="22"/>
          <w:szCs w:val="22"/>
        </w:rPr>
        <w:t>207V212</w:t>
      </w:r>
      <w:r w:rsidR="00782EAD">
        <w:rPr>
          <w:rFonts w:cs="Arial"/>
          <w:sz w:val="22"/>
          <w:szCs w:val="22"/>
        </w:rPr>
        <w:t> –</w:t>
      </w:r>
      <w:r w:rsidR="00EE36A7" w:rsidRPr="00A178F4">
        <w:rPr>
          <w:rFonts w:cs="Arial"/>
          <w:i/>
          <w:sz w:val="22"/>
          <w:szCs w:val="22"/>
        </w:rPr>
        <w:t xml:space="preserve"> Zabezpečení schopnosti bojových útvarů</w:t>
      </w:r>
      <w:r w:rsidR="00EE36A7" w:rsidRPr="00A178F4">
        <w:rPr>
          <w:rFonts w:cs="Arial"/>
          <w:sz w:val="22"/>
          <w:szCs w:val="22"/>
        </w:rPr>
        <w:t>, ev. č. 207V213</w:t>
      </w:r>
      <w:r w:rsidR="00782EAD">
        <w:rPr>
          <w:rFonts w:cs="Arial"/>
          <w:sz w:val="22"/>
          <w:szCs w:val="22"/>
        </w:rPr>
        <w:t> –</w:t>
      </w:r>
      <w:r w:rsidR="00EE36A7" w:rsidRPr="00A178F4">
        <w:rPr>
          <w:rFonts w:cs="Arial"/>
          <w:i/>
          <w:sz w:val="22"/>
          <w:szCs w:val="22"/>
        </w:rPr>
        <w:t xml:space="preserve"> Zabezpečení schopností druhů sil</w:t>
      </w:r>
      <w:r w:rsidRPr="00517AEC">
        <w:rPr>
          <w:rFonts w:cs="Arial"/>
          <w:sz w:val="22"/>
          <w:szCs w:val="22"/>
        </w:rPr>
        <w:t>.</w:t>
      </w:r>
      <w:r>
        <w:rPr>
          <w:rFonts w:cs="Arial"/>
          <w:i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Program</w:t>
      </w:r>
      <w:r w:rsidR="00EE36A7" w:rsidRPr="00A178F4">
        <w:rPr>
          <w:rFonts w:cs="Arial"/>
          <w:sz w:val="22"/>
          <w:szCs w:val="22"/>
        </w:rPr>
        <w:t xml:space="preserve"> ev. č. 207V215</w:t>
      </w:r>
      <w:r w:rsidR="00782EAD">
        <w:rPr>
          <w:rFonts w:cs="Arial"/>
          <w:sz w:val="22"/>
          <w:szCs w:val="22"/>
        </w:rPr>
        <w:t> –</w:t>
      </w:r>
      <w:r w:rsidR="00EE36A7" w:rsidRPr="00A178F4">
        <w:rPr>
          <w:rFonts w:cs="Arial"/>
          <w:sz w:val="22"/>
          <w:szCs w:val="22"/>
        </w:rPr>
        <w:t xml:space="preserve"> </w:t>
      </w:r>
      <w:r w:rsidR="00EE36A7" w:rsidRPr="00A178F4">
        <w:rPr>
          <w:rFonts w:cs="Arial"/>
          <w:i/>
          <w:sz w:val="22"/>
          <w:szCs w:val="22"/>
        </w:rPr>
        <w:t>Zabezpečení schopností záchranných útvarů</w:t>
      </w:r>
      <w:r>
        <w:rPr>
          <w:rFonts w:cs="Arial"/>
          <w:sz w:val="22"/>
          <w:szCs w:val="22"/>
        </w:rPr>
        <w:t xml:space="preserve"> nebyl kontrole podroben.</w:t>
      </w:r>
    </w:p>
    <w:p w:rsidR="00D0377B" w:rsidRPr="00A178F4" w:rsidRDefault="00D0377B" w:rsidP="00D0377B">
      <w:pPr>
        <w:jc w:val="both"/>
        <w:rPr>
          <w:rFonts w:cs="Arial"/>
          <w:sz w:val="22"/>
          <w:szCs w:val="22"/>
        </w:rPr>
      </w:pPr>
    </w:p>
    <w:p w:rsidR="00EE36A7" w:rsidRDefault="00EE36A7" w:rsidP="00D0377B">
      <w:pPr>
        <w:jc w:val="both"/>
        <w:rPr>
          <w:rFonts w:cs="Arial"/>
          <w:sz w:val="22"/>
          <w:szCs w:val="22"/>
        </w:rPr>
      </w:pPr>
      <w:r w:rsidRPr="00A178F4">
        <w:rPr>
          <w:rFonts w:cs="Arial"/>
          <w:sz w:val="22"/>
          <w:szCs w:val="22"/>
        </w:rPr>
        <w:t>Podprogram ev. č. 207V212</w:t>
      </w:r>
      <w:r w:rsidR="00782EAD">
        <w:rPr>
          <w:rFonts w:cs="Arial"/>
          <w:sz w:val="22"/>
          <w:szCs w:val="22"/>
        </w:rPr>
        <w:t> –</w:t>
      </w:r>
      <w:r w:rsidRPr="00A178F4">
        <w:rPr>
          <w:rFonts w:cs="Arial"/>
          <w:sz w:val="22"/>
          <w:szCs w:val="22"/>
        </w:rPr>
        <w:t xml:space="preserve"> </w:t>
      </w:r>
      <w:r w:rsidRPr="00A178F4">
        <w:rPr>
          <w:rFonts w:cs="Arial"/>
          <w:i/>
          <w:sz w:val="22"/>
          <w:szCs w:val="22"/>
        </w:rPr>
        <w:t xml:space="preserve">Zabezpečení schopnosti bojových útvarů </w:t>
      </w:r>
      <w:r w:rsidRPr="00A178F4">
        <w:rPr>
          <w:rFonts w:cs="Arial"/>
          <w:sz w:val="22"/>
          <w:szCs w:val="22"/>
        </w:rPr>
        <w:t>s předpokládanými výdaji státního rozpočtu ve výši téměř 1,06 mld. Kč</w:t>
      </w:r>
      <w:r w:rsidRPr="00A178F4">
        <w:rPr>
          <w:rFonts w:cs="Arial"/>
          <w:i/>
          <w:sz w:val="22"/>
          <w:szCs w:val="22"/>
        </w:rPr>
        <w:t xml:space="preserve"> </w:t>
      </w:r>
      <w:r w:rsidRPr="00A178F4">
        <w:rPr>
          <w:rFonts w:cs="Arial"/>
          <w:sz w:val="22"/>
          <w:szCs w:val="22"/>
        </w:rPr>
        <w:t>byl zaměřen na zabezpečení jednotek mechanizovaného vojska moderní technikou tak, aby svými silami a prostředky byly schopny působit v součinnosti s ostatními druhy vojsk. K naplňování tohoto cíle byly realizovány</w:t>
      </w:r>
      <w:r w:rsidR="00174EFE" w:rsidRPr="00A178F4">
        <w:rPr>
          <w:rFonts w:cs="Arial"/>
          <w:sz w:val="22"/>
          <w:szCs w:val="22"/>
        </w:rPr>
        <w:t xml:space="preserve"> nákupy padáků a </w:t>
      </w:r>
      <w:r w:rsidRPr="00A178F4">
        <w:rPr>
          <w:rFonts w:cs="Arial"/>
          <w:sz w:val="22"/>
          <w:szCs w:val="22"/>
        </w:rPr>
        <w:t>přístrojů nočního vidění</w:t>
      </w:r>
      <w:r w:rsidR="00B965EF">
        <w:rPr>
          <w:rFonts w:cs="Arial"/>
          <w:sz w:val="22"/>
          <w:szCs w:val="22"/>
        </w:rPr>
        <w:t>, které byly podrobeny kontrole NKÚ.</w:t>
      </w:r>
    </w:p>
    <w:p w:rsidR="00D0377B" w:rsidRPr="00A178F4" w:rsidRDefault="00D0377B" w:rsidP="00D0377B">
      <w:pPr>
        <w:jc w:val="both"/>
        <w:rPr>
          <w:rFonts w:cs="Arial"/>
          <w:sz w:val="22"/>
          <w:szCs w:val="22"/>
        </w:rPr>
      </w:pPr>
    </w:p>
    <w:p w:rsidR="00EE36A7" w:rsidRDefault="00EE36A7" w:rsidP="00D0377B">
      <w:pPr>
        <w:jc w:val="both"/>
        <w:rPr>
          <w:rFonts w:cs="Arial"/>
          <w:sz w:val="22"/>
          <w:szCs w:val="22"/>
        </w:rPr>
      </w:pPr>
      <w:r w:rsidRPr="00A178F4">
        <w:rPr>
          <w:rFonts w:cs="Arial"/>
          <w:sz w:val="22"/>
          <w:szCs w:val="22"/>
        </w:rPr>
        <w:t>Prioritou podprogramu ev. č. 207V213</w:t>
      </w:r>
      <w:r w:rsidR="00782EAD">
        <w:rPr>
          <w:rFonts w:cs="Arial"/>
          <w:sz w:val="22"/>
          <w:szCs w:val="22"/>
        </w:rPr>
        <w:t> –</w:t>
      </w:r>
      <w:r w:rsidRPr="00A178F4">
        <w:rPr>
          <w:rFonts w:cs="Arial"/>
          <w:sz w:val="22"/>
          <w:szCs w:val="22"/>
        </w:rPr>
        <w:t xml:space="preserve"> </w:t>
      </w:r>
      <w:r w:rsidRPr="00A178F4">
        <w:rPr>
          <w:rFonts w:cs="Arial"/>
          <w:i/>
          <w:sz w:val="22"/>
          <w:szCs w:val="22"/>
        </w:rPr>
        <w:t>Zabezpečení schopností druhů sil</w:t>
      </w:r>
      <w:r w:rsidRPr="00A178F4">
        <w:rPr>
          <w:rFonts w:cs="Arial"/>
          <w:sz w:val="22"/>
          <w:szCs w:val="22"/>
        </w:rPr>
        <w:t xml:space="preserve"> s předpokládanými výdaji státního rozpočtu ve výši téměř 0,76 mld. Kč</w:t>
      </w:r>
      <w:r w:rsidRPr="00A178F4">
        <w:rPr>
          <w:rFonts w:cs="Arial"/>
          <w:i/>
          <w:sz w:val="22"/>
          <w:szCs w:val="22"/>
        </w:rPr>
        <w:t xml:space="preserve"> </w:t>
      </w:r>
      <w:r w:rsidRPr="00A178F4">
        <w:rPr>
          <w:rFonts w:cs="Arial"/>
          <w:sz w:val="22"/>
          <w:szCs w:val="22"/>
        </w:rPr>
        <w:t>bylo vybavení chemického vojska technikou a materiálem se zaměřením na plnění úkolů spojených s ochranou proti zbraním hromadného ničení. V rámci této priority byly realizovány nákupy souprav chemického pozorovatele a chemického izolačního oděvu</w:t>
      </w:r>
      <w:r w:rsidR="005A1A07">
        <w:rPr>
          <w:rFonts w:cs="Arial"/>
          <w:sz w:val="22"/>
          <w:szCs w:val="22"/>
        </w:rPr>
        <w:t>, které byly předmětem kontroly NKÚ.</w:t>
      </w:r>
    </w:p>
    <w:p w:rsidR="00D0377B" w:rsidRPr="00D0377B" w:rsidRDefault="00D0377B" w:rsidP="00D0377B">
      <w:pPr>
        <w:jc w:val="both"/>
        <w:rPr>
          <w:rFonts w:cs="Arial"/>
          <w:sz w:val="22"/>
          <w:szCs w:val="22"/>
        </w:rPr>
      </w:pPr>
    </w:p>
    <w:p w:rsidR="00242006" w:rsidRPr="00B14268" w:rsidRDefault="007977A0" w:rsidP="002352E9">
      <w:pPr>
        <w:autoSpaceDE w:val="0"/>
        <w:autoSpaceDN w:val="0"/>
        <w:adjustRightInd w:val="0"/>
        <w:ind w:left="567" w:hanging="567"/>
        <w:rPr>
          <w:rFonts w:cs="Arial"/>
          <w:b/>
          <w:sz w:val="22"/>
          <w:szCs w:val="22"/>
        </w:rPr>
      </w:pPr>
      <w:r w:rsidRPr="00E04BB3">
        <w:rPr>
          <w:rFonts w:cs="Arial"/>
          <w:b/>
          <w:sz w:val="22"/>
          <w:szCs w:val="22"/>
        </w:rPr>
        <w:t>3.1</w:t>
      </w:r>
      <w:r w:rsidR="00B14268">
        <w:rPr>
          <w:rFonts w:cs="Arial"/>
          <w:b/>
          <w:sz w:val="22"/>
          <w:szCs w:val="22"/>
        </w:rPr>
        <w:t>.1</w:t>
      </w:r>
      <w:r w:rsidRPr="00E04BB3">
        <w:rPr>
          <w:rFonts w:cs="Arial"/>
          <w:b/>
          <w:sz w:val="22"/>
          <w:szCs w:val="22"/>
        </w:rPr>
        <w:t xml:space="preserve"> </w:t>
      </w:r>
      <w:r w:rsidR="000253FC" w:rsidRPr="000253FC">
        <w:rPr>
          <w:rFonts w:cs="Arial"/>
          <w:b/>
          <w:bCs/>
          <w:sz w:val="22"/>
          <w:szCs w:val="22"/>
        </w:rPr>
        <w:t>Akce ev. č. 207V212 7003</w:t>
      </w:r>
      <w:r w:rsidR="00782EAD">
        <w:rPr>
          <w:rFonts w:cs="Arial"/>
          <w:b/>
          <w:bCs/>
          <w:sz w:val="22"/>
          <w:szCs w:val="22"/>
        </w:rPr>
        <w:t> –</w:t>
      </w:r>
      <w:r w:rsidR="000253FC" w:rsidRPr="000253FC">
        <w:rPr>
          <w:rFonts w:cs="Arial"/>
          <w:b/>
          <w:bCs/>
          <w:sz w:val="22"/>
          <w:szCs w:val="22"/>
        </w:rPr>
        <w:t xml:space="preserve"> </w:t>
      </w:r>
      <w:r w:rsidR="000253FC" w:rsidRPr="00564BC7">
        <w:rPr>
          <w:rFonts w:cs="Arial"/>
          <w:b/>
          <w:bCs/>
          <w:i/>
          <w:sz w:val="22"/>
          <w:szCs w:val="22"/>
        </w:rPr>
        <w:t>Osobní padáky – nákup</w:t>
      </w:r>
      <w:r w:rsidR="000253FC">
        <w:rPr>
          <w:rFonts w:cs="Arial"/>
          <w:b/>
          <w:bCs/>
          <w:sz w:val="22"/>
          <w:szCs w:val="22"/>
        </w:rPr>
        <w:t xml:space="preserve"> a akce ev. č</w:t>
      </w:r>
      <w:r w:rsidR="000253FC" w:rsidRPr="000253FC">
        <w:rPr>
          <w:rFonts w:cs="Arial"/>
          <w:b/>
          <w:bCs/>
          <w:sz w:val="22"/>
          <w:szCs w:val="22"/>
        </w:rPr>
        <w:t>.</w:t>
      </w:r>
      <w:r w:rsidR="000253FC" w:rsidRPr="000253FC">
        <w:rPr>
          <w:rFonts w:cs="Arial"/>
          <w:b/>
          <w:sz w:val="22"/>
          <w:szCs w:val="22"/>
        </w:rPr>
        <w:t xml:space="preserve"> 107V214 1001</w:t>
      </w:r>
      <w:r w:rsidR="00782EAD">
        <w:rPr>
          <w:rFonts w:cs="Arial"/>
          <w:b/>
          <w:sz w:val="22"/>
          <w:szCs w:val="22"/>
        </w:rPr>
        <w:t> –</w:t>
      </w:r>
      <w:r w:rsidR="000253FC" w:rsidRPr="000253FC">
        <w:rPr>
          <w:rFonts w:cs="Arial"/>
          <w:b/>
          <w:sz w:val="22"/>
          <w:szCs w:val="22"/>
        </w:rPr>
        <w:t xml:space="preserve"> </w:t>
      </w:r>
      <w:r w:rsidR="000253FC" w:rsidRPr="00564BC7">
        <w:rPr>
          <w:rFonts w:cs="Arial"/>
          <w:b/>
          <w:i/>
          <w:sz w:val="22"/>
          <w:szCs w:val="22"/>
        </w:rPr>
        <w:t>Osobní padáky – nákup – II. etapa</w:t>
      </w:r>
    </w:p>
    <w:p w:rsidR="00D0377B" w:rsidRDefault="00D0377B" w:rsidP="00D0377B">
      <w:pPr>
        <w:jc w:val="both"/>
        <w:rPr>
          <w:rFonts w:cs="Arial"/>
          <w:sz w:val="22"/>
          <w:szCs w:val="22"/>
        </w:rPr>
      </w:pPr>
    </w:p>
    <w:p w:rsidR="000253FC" w:rsidRDefault="000253FC" w:rsidP="00D0377B">
      <w:pPr>
        <w:jc w:val="both"/>
        <w:rPr>
          <w:rFonts w:cs="Arial"/>
          <w:sz w:val="22"/>
          <w:szCs w:val="22"/>
        </w:rPr>
      </w:pPr>
      <w:r w:rsidRPr="00A178F4">
        <w:rPr>
          <w:rFonts w:cs="Arial"/>
          <w:sz w:val="22"/>
          <w:szCs w:val="22"/>
        </w:rPr>
        <w:t>Vzhledem k</w:t>
      </w:r>
      <w:r w:rsidR="00486685" w:rsidRPr="00A178F4">
        <w:rPr>
          <w:rFonts w:cs="Arial"/>
          <w:sz w:val="22"/>
          <w:szCs w:val="22"/>
        </w:rPr>
        <w:t> realizaci</w:t>
      </w:r>
      <w:r w:rsidR="00BF7EB7" w:rsidRPr="00A178F4">
        <w:rPr>
          <w:rFonts w:cs="Arial"/>
          <w:sz w:val="22"/>
          <w:szCs w:val="22"/>
        </w:rPr>
        <w:t xml:space="preserve"> nák</w:t>
      </w:r>
      <w:r w:rsidR="00486685" w:rsidRPr="00A178F4">
        <w:rPr>
          <w:rFonts w:cs="Arial"/>
          <w:sz w:val="22"/>
          <w:szCs w:val="22"/>
        </w:rPr>
        <w:t>up</w:t>
      </w:r>
      <w:r w:rsidR="00EC2E79">
        <w:rPr>
          <w:rFonts w:cs="Arial"/>
          <w:sz w:val="22"/>
          <w:szCs w:val="22"/>
        </w:rPr>
        <w:t>u</w:t>
      </w:r>
      <w:r w:rsidR="00486685" w:rsidRPr="00A178F4">
        <w:rPr>
          <w:rFonts w:cs="Arial"/>
          <w:sz w:val="22"/>
          <w:szCs w:val="22"/>
        </w:rPr>
        <w:t xml:space="preserve"> osobních padáků ve dvou</w:t>
      </w:r>
      <w:r w:rsidR="00BF7EB7" w:rsidRPr="00A178F4">
        <w:rPr>
          <w:rFonts w:cs="Arial"/>
          <w:sz w:val="22"/>
          <w:szCs w:val="22"/>
        </w:rPr>
        <w:t xml:space="preserve"> </w:t>
      </w:r>
      <w:r w:rsidR="00486685" w:rsidRPr="00A178F4">
        <w:rPr>
          <w:rFonts w:cs="Arial"/>
          <w:sz w:val="22"/>
          <w:szCs w:val="22"/>
        </w:rPr>
        <w:t>programech</w:t>
      </w:r>
      <w:r w:rsidR="00BF7EB7" w:rsidRPr="00A178F4">
        <w:rPr>
          <w:rFonts w:cs="Arial"/>
          <w:sz w:val="22"/>
          <w:szCs w:val="22"/>
        </w:rPr>
        <w:t>,</w:t>
      </w:r>
      <w:r w:rsidR="00486685" w:rsidRPr="00A178F4">
        <w:rPr>
          <w:rFonts w:cs="Arial"/>
          <w:sz w:val="22"/>
          <w:szCs w:val="22"/>
        </w:rPr>
        <w:t xml:space="preserve"> a to ev. č. 207V210 a </w:t>
      </w:r>
      <w:r w:rsidR="00BF7EB7" w:rsidRPr="00A178F4">
        <w:rPr>
          <w:rFonts w:cs="Arial"/>
          <w:sz w:val="22"/>
          <w:szCs w:val="22"/>
        </w:rPr>
        <w:t>107V210</w:t>
      </w:r>
      <w:r w:rsidR="00B24D43" w:rsidRPr="00A178F4">
        <w:rPr>
          <w:rFonts w:cs="Arial"/>
          <w:sz w:val="22"/>
          <w:szCs w:val="22"/>
        </w:rPr>
        <w:t>,</w:t>
      </w:r>
      <w:r w:rsidR="00486685" w:rsidRPr="00A178F4">
        <w:rPr>
          <w:rFonts w:cs="Arial"/>
          <w:sz w:val="22"/>
          <w:szCs w:val="22"/>
        </w:rPr>
        <w:t xml:space="preserve"> který byl </w:t>
      </w:r>
      <w:r w:rsidR="00EC2E79">
        <w:rPr>
          <w:rFonts w:cs="Arial"/>
          <w:sz w:val="22"/>
          <w:szCs w:val="22"/>
        </w:rPr>
        <w:t>zahájen</w:t>
      </w:r>
      <w:r w:rsidR="00486685" w:rsidRPr="00A178F4">
        <w:rPr>
          <w:rFonts w:cs="Arial"/>
          <w:sz w:val="22"/>
          <w:szCs w:val="22"/>
        </w:rPr>
        <w:t xml:space="preserve"> </w:t>
      </w:r>
      <w:r w:rsidR="00AE44A6" w:rsidRPr="00A178F4">
        <w:rPr>
          <w:rFonts w:cs="Arial"/>
          <w:sz w:val="22"/>
          <w:szCs w:val="22"/>
        </w:rPr>
        <w:t xml:space="preserve">již </w:t>
      </w:r>
      <w:r w:rsidR="00486685" w:rsidRPr="00A178F4">
        <w:rPr>
          <w:rFonts w:cs="Arial"/>
          <w:sz w:val="22"/>
          <w:szCs w:val="22"/>
        </w:rPr>
        <w:t>v roce 2010</w:t>
      </w:r>
      <w:r w:rsidR="00AE44A6" w:rsidRPr="00A178F4">
        <w:rPr>
          <w:rFonts w:cs="Arial"/>
          <w:sz w:val="22"/>
          <w:szCs w:val="22"/>
        </w:rPr>
        <w:t>,</w:t>
      </w:r>
      <w:r w:rsidR="00486685" w:rsidRPr="00A178F4">
        <w:rPr>
          <w:rFonts w:cs="Arial"/>
          <w:sz w:val="22"/>
          <w:szCs w:val="22"/>
        </w:rPr>
        <w:t xml:space="preserve"> paralelně ještě před uzavřením dříve zahájeného programu ev. č. 207V210, </w:t>
      </w:r>
      <w:r w:rsidR="00BF7EB7" w:rsidRPr="00A178F4">
        <w:rPr>
          <w:rFonts w:cs="Arial"/>
          <w:sz w:val="22"/>
          <w:szCs w:val="22"/>
        </w:rPr>
        <w:t>byly tyto akce kontrolovány souběžně.</w:t>
      </w:r>
    </w:p>
    <w:p w:rsidR="00D0377B" w:rsidRPr="00A178F4" w:rsidRDefault="00D0377B" w:rsidP="00D0377B">
      <w:pPr>
        <w:jc w:val="both"/>
        <w:rPr>
          <w:rFonts w:cs="Arial"/>
          <w:sz w:val="22"/>
          <w:szCs w:val="22"/>
        </w:rPr>
      </w:pPr>
    </w:p>
    <w:p w:rsidR="00BF7EB7" w:rsidRDefault="00BF7EB7" w:rsidP="00D0377B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3.1.1</w:t>
      </w:r>
      <w:r w:rsidR="00B14268">
        <w:rPr>
          <w:rFonts w:cs="Arial"/>
          <w:b/>
          <w:sz w:val="22"/>
          <w:szCs w:val="22"/>
        </w:rPr>
        <w:t>.1</w:t>
      </w:r>
      <w:r>
        <w:rPr>
          <w:rFonts w:cs="Arial"/>
          <w:b/>
          <w:sz w:val="22"/>
          <w:szCs w:val="22"/>
        </w:rPr>
        <w:t xml:space="preserve"> Akce </w:t>
      </w:r>
      <w:r w:rsidRPr="000253FC">
        <w:rPr>
          <w:rFonts w:cs="Arial"/>
          <w:b/>
          <w:bCs/>
          <w:sz w:val="22"/>
          <w:szCs w:val="22"/>
        </w:rPr>
        <w:t>ev. č. 207V212 7003</w:t>
      </w:r>
      <w:r w:rsidR="00782EAD">
        <w:rPr>
          <w:rFonts w:cs="Arial"/>
          <w:b/>
          <w:bCs/>
          <w:sz w:val="22"/>
          <w:szCs w:val="22"/>
        </w:rPr>
        <w:t> –</w:t>
      </w:r>
      <w:r w:rsidRPr="000253FC">
        <w:rPr>
          <w:rFonts w:cs="Arial"/>
          <w:b/>
          <w:bCs/>
          <w:sz w:val="22"/>
          <w:szCs w:val="22"/>
        </w:rPr>
        <w:t xml:space="preserve"> </w:t>
      </w:r>
      <w:r w:rsidRPr="00564BC7">
        <w:rPr>
          <w:rFonts w:cs="Arial"/>
          <w:b/>
          <w:bCs/>
          <w:i/>
          <w:sz w:val="22"/>
          <w:szCs w:val="22"/>
        </w:rPr>
        <w:t>Osobní padáky – nákup</w:t>
      </w:r>
      <w:r>
        <w:rPr>
          <w:rFonts w:cs="Arial"/>
          <w:sz w:val="22"/>
          <w:szCs w:val="22"/>
        </w:rPr>
        <w:t xml:space="preserve"> </w:t>
      </w:r>
    </w:p>
    <w:p w:rsidR="00D0377B" w:rsidRDefault="00D0377B" w:rsidP="00D0377B">
      <w:pPr>
        <w:jc w:val="both"/>
        <w:rPr>
          <w:rFonts w:cs="Arial"/>
          <w:sz w:val="22"/>
          <w:szCs w:val="22"/>
        </w:rPr>
      </w:pPr>
    </w:p>
    <w:p w:rsidR="00513669" w:rsidRDefault="00C77122" w:rsidP="00D0377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Důvodem pro pořízení </w:t>
      </w:r>
      <w:r w:rsidR="004C6C4B">
        <w:rPr>
          <w:rFonts w:cs="Arial"/>
          <w:sz w:val="22"/>
          <w:szCs w:val="22"/>
        </w:rPr>
        <w:t xml:space="preserve">nových souprav </w:t>
      </w:r>
      <w:r>
        <w:rPr>
          <w:rFonts w:cs="Arial"/>
          <w:sz w:val="22"/>
          <w:szCs w:val="22"/>
        </w:rPr>
        <w:t>osobních padáků měl</w:t>
      </w:r>
      <w:r w:rsidR="0047357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být obnova padákové techniky a její doplnění na počty potřebné k provádění kvalitního výcviku a možné</w:t>
      </w:r>
      <w:r w:rsidR="00782EAD">
        <w:rPr>
          <w:rFonts w:cs="Arial"/>
          <w:sz w:val="22"/>
          <w:szCs w:val="22"/>
        </w:rPr>
        <w:t>mu</w:t>
      </w:r>
      <w:r>
        <w:rPr>
          <w:rFonts w:cs="Arial"/>
          <w:sz w:val="22"/>
          <w:szCs w:val="22"/>
        </w:rPr>
        <w:t xml:space="preserve"> bojové</w:t>
      </w:r>
      <w:r w:rsidR="00782EAD">
        <w:rPr>
          <w:rFonts w:cs="Arial"/>
          <w:sz w:val="22"/>
          <w:szCs w:val="22"/>
        </w:rPr>
        <w:t>mu</w:t>
      </w:r>
      <w:r>
        <w:rPr>
          <w:rFonts w:cs="Arial"/>
          <w:sz w:val="22"/>
          <w:szCs w:val="22"/>
        </w:rPr>
        <w:t xml:space="preserve"> nasazení. </w:t>
      </w:r>
      <w:r w:rsidR="00DC07F1">
        <w:rPr>
          <w:rFonts w:cs="Arial"/>
          <w:sz w:val="22"/>
          <w:szCs w:val="22"/>
        </w:rPr>
        <w:t>MO v únoru</w:t>
      </w:r>
      <w:r w:rsidR="00D52957" w:rsidRPr="00E04BB3">
        <w:rPr>
          <w:rFonts w:cs="Arial"/>
          <w:sz w:val="22"/>
          <w:szCs w:val="22"/>
        </w:rPr>
        <w:t xml:space="preserve"> 2006 </w:t>
      </w:r>
      <w:r w:rsidR="00DC07F1">
        <w:rPr>
          <w:rFonts w:cs="Arial"/>
          <w:sz w:val="22"/>
          <w:szCs w:val="22"/>
        </w:rPr>
        <w:t>předpokládalo</w:t>
      </w:r>
      <w:r w:rsidR="00A35BA1">
        <w:rPr>
          <w:rFonts w:cs="Arial"/>
          <w:sz w:val="22"/>
          <w:szCs w:val="22"/>
        </w:rPr>
        <w:t xml:space="preserve"> podle původní specifikace nákup 300 </w:t>
      </w:r>
      <w:r w:rsidR="00DC07F1">
        <w:rPr>
          <w:rFonts w:cs="Arial"/>
          <w:sz w:val="22"/>
          <w:szCs w:val="22"/>
        </w:rPr>
        <w:t xml:space="preserve">nových </w:t>
      </w:r>
      <w:r w:rsidR="00D52957" w:rsidRPr="00E04BB3">
        <w:rPr>
          <w:rFonts w:cs="Arial"/>
          <w:sz w:val="22"/>
          <w:szCs w:val="22"/>
        </w:rPr>
        <w:t>souprav padáků</w:t>
      </w:r>
      <w:r w:rsidR="00DC07F1">
        <w:rPr>
          <w:rFonts w:cs="Arial"/>
          <w:sz w:val="22"/>
          <w:szCs w:val="22"/>
        </w:rPr>
        <w:t xml:space="preserve"> </w:t>
      </w:r>
      <w:r w:rsidR="00D52957" w:rsidRPr="00E04BB3">
        <w:rPr>
          <w:rFonts w:cs="Arial"/>
          <w:sz w:val="22"/>
          <w:szCs w:val="22"/>
        </w:rPr>
        <w:t>s předpokládanou cenou 4</w:t>
      </w:r>
      <w:r w:rsidR="006C586D">
        <w:rPr>
          <w:rFonts w:cs="Arial"/>
          <w:sz w:val="22"/>
          <w:szCs w:val="22"/>
        </w:rPr>
        <w:t>0 mil. Kč</w:t>
      </w:r>
      <w:r w:rsidR="00473579">
        <w:rPr>
          <w:rFonts w:cs="Arial"/>
          <w:sz w:val="22"/>
          <w:szCs w:val="22"/>
        </w:rPr>
        <w:t>. Kontrolou bylo zjištěno, že</w:t>
      </w:r>
      <w:r w:rsidR="006C586D">
        <w:rPr>
          <w:rFonts w:cs="Arial"/>
          <w:sz w:val="22"/>
          <w:szCs w:val="22"/>
        </w:rPr>
        <w:t xml:space="preserve"> </w:t>
      </w:r>
      <w:r w:rsidR="00EF35CB">
        <w:rPr>
          <w:rFonts w:cs="Arial"/>
          <w:sz w:val="22"/>
          <w:szCs w:val="22"/>
        </w:rPr>
        <w:t xml:space="preserve">MO </w:t>
      </w:r>
      <w:r w:rsidR="006C586D">
        <w:rPr>
          <w:rFonts w:cs="Arial"/>
          <w:sz w:val="22"/>
          <w:szCs w:val="22"/>
        </w:rPr>
        <w:t>v</w:t>
      </w:r>
      <w:r w:rsidR="00D52957" w:rsidRPr="00E04BB3">
        <w:rPr>
          <w:rFonts w:cs="Arial"/>
          <w:sz w:val="22"/>
          <w:szCs w:val="22"/>
        </w:rPr>
        <w:t> té době mělo na skladě 712</w:t>
      </w:r>
      <w:r w:rsidR="005225BE">
        <w:rPr>
          <w:rFonts w:cs="Arial"/>
          <w:sz w:val="22"/>
          <w:szCs w:val="22"/>
        </w:rPr>
        <w:t> </w:t>
      </w:r>
      <w:r w:rsidR="00A35BA1">
        <w:rPr>
          <w:rFonts w:cs="Arial"/>
          <w:sz w:val="22"/>
          <w:szCs w:val="22"/>
        </w:rPr>
        <w:t>souprav padáků VTP-100, pořízených v roce 1996</w:t>
      </w:r>
      <w:r>
        <w:rPr>
          <w:rFonts w:cs="Arial"/>
          <w:sz w:val="22"/>
          <w:szCs w:val="22"/>
        </w:rPr>
        <w:t xml:space="preserve"> za 120,1 mil.</w:t>
      </w:r>
      <w:r w:rsidR="00A35BA1">
        <w:rPr>
          <w:rFonts w:cs="Arial"/>
          <w:sz w:val="22"/>
          <w:szCs w:val="22"/>
        </w:rPr>
        <w:t xml:space="preserve"> Kč</w:t>
      </w:r>
      <w:r w:rsidR="00473579">
        <w:rPr>
          <w:rFonts w:cs="Arial"/>
          <w:sz w:val="22"/>
          <w:szCs w:val="22"/>
        </w:rPr>
        <w:t>. Tyto padáky</w:t>
      </w:r>
      <w:r w:rsidR="00A35BA1">
        <w:rPr>
          <w:rFonts w:cs="Arial"/>
          <w:sz w:val="22"/>
          <w:szCs w:val="22"/>
        </w:rPr>
        <w:t xml:space="preserve"> </w:t>
      </w:r>
      <w:r w:rsidR="00513669">
        <w:rPr>
          <w:rFonts w:cs="Arial"/>
          <w:sz w:val="22"/>
          <w:szCs w:val="22"/>
        </w:rPr>
        <w:t>byly</w:t>
      </w:r>
      <w:r w:rsidR="00A35BA1">
        <w:rPr>
          <w:rFonts w:cs="Arial"/>
          <w:sz w:val="22"/>
          <w:szCs w:val="22"/>
        </w:rPr>
        <w:t xml:space="preserve"> od pořízení</w:t>
      </w:r>
      <w:r w:rsidR="00513669">
        <w:rPr>
          <w:rFonts w:cs="Arial"/>
          <w:sz w:val="22"/>
          <w:szCs w:val="22"/>
        </w:rPr>
        <w:t xml:space="preserve"> pouze uskladněny a nebyly kromě zkušebních seskoků </w:t>
      </w:r>
      <w:r w:rsidR="00DA2703">
        <w:rPr>
          <w:rFonts w:cs="Arial"/>
          <w:sz w:val="22"/>
          <w:szCs w:val="22"/>
        </w:rPr>
        <w:t xml:space="preserve">využívány. </w:t>
      </w:r>
      <w:r w:rsidR="00320A83">
        <w:rPr>
          <w:rFonts w:cs="Arial"/>
          <w:sz w:val="22"/>
          <w:szCs w:val="22"/>
        </w:rPr>
        <w:t>V</w:t>
      </w:r>
      <w:r w:rsidR="00960330">
        <w:rPr>
          <w:rFonts w:cs="Arial"/>
          <w:sz w:val="22"/>
          <w:szCs w:val="22"/>
        </w:rPr>
        <w:t xml:space="preserve"> roce 2009 </w:t>
      </w:r>
      <w:r w:rsidR="00320A83">
        <w:rPr>
          <w:rFonts w:cs="Arial"/>
          <w:sz w:val="22"/>
          <w:szCs w:val="22"/>
        </w:rPr>
        <w:t xml:space="preserve">po ukončení jejich technické životnosti vydalo MO </w:t>
      </w:r>
      <w:r w:rsidR="00960330">
        <w:rPr>
          <w:rFonts w:cs="Arial"/>
          <w:sz w:val="22"/>
          <w:szCs w:val="22"/>
        </w:rPr>
        <w:t>rozhodnutí o jejich nepotřebnosti</w:t>
      </w:r>
      <w:r w:rsidR="00320A83">
        <w:rPr>
          <w:rFonts w:cs="Arial"/>
          <w:sz w:val="22"/>
          <w:szCs w:val="22"/>
        </w:rPr>
        <w:t>. V</w:t>
      </w:r>
      <w:r w:rsidR="00D52957" w:rsidRPr="00E04BB3">
        <w:rPr>
          <w:rFonts w:cs="Arial"/>
          <w:sz w:val="22"/>
          <w:szCs w:val="22"/>
        </w:rPr>
        <w:t> roce</w:t>
      </w:r>
      <w:r w:rsidR="00320A83">
        <w:rPr>
          <w:rFonts w:cs="Arial"/>
          <w:sz w:val="22"/>
          <w:szCs w:val="22"/>
        </w:rPr>
        <w:t xml:space="preserve"> 2010 byly fyzicky zlikvidovány.</w:t>
      </w:r>
    </w:p>
    <w:p w:rsidR="00D0377B" w:rsidRDefault="00D0377B" w:rsidP="00D0377B">
      <w:pPr>
        <w:jc w:val="both"/>
        <w:rPr>
          <w:rFonts w:cs="Arial"/>
          <w:sz w:val="22"/>
          <w:szCs w:val="22"/>
        </w:rPr>
      </w:pPr>
    </w:p>
    <w:p w:rsidR="00295872" w:rsidRDefault="003D5CCD" w:rsidP="00D0377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 vydalo v červenci 2006 r</w:t>
      </w:r>
      <w:r w:rsidR="00960330">
        <w:rPr>
          <w:rFonts w:cs="Arial"/>
          <w:sz w:val="22"/>
          <w:szCs w:val="22"/>
        </w:rPr>
        <w:t>egistrační list na akci s par</w:t>
      </w:r>
      <w:r>
        <w:rPr>
          <w:rFonts w:cs="Arial"/>
          <w:sz w:val="22"/>
          <w:szCs w:val="22"/>
        </w:rPr>
        <w:t>ametry 300 souprav</w:t>
      </w:r>
      <w:r w:rsidR="00174EFE">
        <w:rPr>
          <w:rFonts w:cs="Arial"/>
          <w:sz w:val="22"/>
          <w:szCs w:val="22"/>
        </w:rPr>
        <w:t xml:space="preserve"> osobních padáků</w:t>
      </w:r>
      <w:r>
        <w:rPr>
          <w:rFonts w:cs="Arial"/>
          <w:sz w:val="22"/>
          <w:szCs w:val="22"/>
        </w:rPr>
        <w:t xml:space="preserve"> za 40 mil.</w:t>
      </w:r>
      <w:r w:rsidR="00960330">
        <w:rPr>
          <w:rFonts w:cs="Arial"/>
          <w:sz w:val="22"/>
          <w:szCs w:val="22"/>
        </w:rPr>
        <w:t xml:space="preserve"> Kč. </w:t>
      </w:r>
      <w:r w:rsidR="00782EAD">
        <w:rPr>
          <w:rFonts w:cs="Arial"/>
          <w:sz w:val="22"/>
          <w:szCs w:val="22"/>
        </w:rPr>
        <w:t>V</w:t>
      </w:r>
      <w:r w:rsidR="00DA2703">
        <w:rPr>
          <w:rFonts w:cs="Arial"/>
          <w:sz w:val="22"/>
          <w:szCs w:val="22"/>
        </w:rPr>
        <w:t> listopadu 2006</w:t>
      </w:r>
      <w:r w:rsidR="00782EAD">
        <w:rPr>
          <w:rFonts w:cs="Arial"/>
          <w:sz w:val="22"/>
          <w:szCs w:val="22"/>
        </w:rPr>
        <w:t xml:space="preserve"> snížilo MO</w:t>
      </w:r>
      <w:r w:rsidR="00DA2703">
        <w:rPr>
          <w:rFonts w:cs="Arial"/>
          <w:sz w:val="22"/>
          <w:szCs w:val="22"/>
        </w:rPr>
        <w:t xml:space="preserve"> uvažovaný počet pořizovaných</w:t>
      </w:r>
      <w:r w:rsidR="00EC00C4">
        <w:rPr>
          <w:rFonts w:cs="Arial"/>
          <w:sz w:val="22"/>
          <w:szCs w:val="22"/>
        </w:rPr>
        <w:t xml:space="preserve"> </w:t>
      </w:r>
      <w:r w:rsidR="00D52957" w:rsidRPr="00E04BB3">
        <w:rPr>
          <w:rFonts w:cs="Arial"/>
          <w:sz w:val="22"/>
          <w:szCs w:val="22"/>
        </w:rPr>
        <w:t>souprav</w:t>
      </w:r>
      <w:r w:rsidR="0068634F">
        <w:rPr>
          <w:rFonts w:cs="Arial"/>
          <w:sz w:val="22"/>
          <w:szCs w:val="22"/>
        </w:rPr>
        <w:t xml:space="preserve"> padáků </w:t>
      </w:r>
      <w:r w:rsidR="00D52957" w:rsidRPr="00E04BB3">
        <w:rPr>
          <w:rFonts w:cs="Arial"/>
          <w:sz w:val="22"/>
          <w:szCs w:val="22"/>
        </w:rPr>
        <w:t>na 200</w:t>
      </w:r>
      <w:r w:rsidR="0068634F">
        <w:rPr>
          <w:rFonts w:cs="Arial"/>
          <w:sz w:val="22"/>
          <w:szCs w:val="22"/>
        </w:rPr>
        <w:t xml:space="preserve">, což </w:t>
      </w:r>
      <w:r w:rsidR="00D52957" w:rsidRPr="00E04BB3">
        <w:rPr>
          <w:rFonts w:cs="Arial"/>
          <w:sz w:val="22"/>
          <w:szCs w:val="22"/>
        </w:rPr>
        <w:t>při zachování předpokládané</w:t>
      </w:r>
      <w:r w:rsidR="00295872">
        <w:rPr>
          <w:rFonts w:cs="Arial"/>
          <w:sz w:val="22"/>
          <w:szCs w:val="22"/>
        </w:rPr>
        <w:t xml:space="preserve"> celkové</w:t>
      </w:r>
      <w:r w:rsidR="00D52957" w:rsidRPr="00E04BB3">
        <w:rPr>
          <w:rFonts w:cs="Arial"/>
          <w:sz w:val="22"/>
          <w:szCs w:val="22"/>
        </w:rPr>
        <w:t xml:space="preserve"> ceny </w:t>
      </w:r>
      <w:r w:rsidR="00513669">
        <w:rPr>
          <w:rFonts w:cs="Arial"/>
          <w:sz w:val="22"/>
          <w:szCs w:val="22"/>
        </w:rPr>
        <w:t>40 mil. Kč</w:t>
      </w:r>
      <w:r w:rsidR="00E96260">
        <w:rPr>
          <w:rFonts w:cs="Arial"/>
          <w:sz w:val="22"/>
          <w:szCs w:val="22"/>
        </w:rPr>
        <w:t xml:space="preserve"> </w:t>
      </w:r>
      <w:r w:rsidR="00D52957" w:rsidRPr="00E04BB3">
        <w:rPr>
          <w:rFonts w:cs="Arial"/>
          <w:sz w:val="22"/>
          <w:szCs w:val="22"/>
        </w:rPr>
        <w:t xml:space="preserve">zvýšilo </w:t>
      </w:r>
      <w:r w:rsidR="00295872">
        <w:rPr>
          <w:rFonts w:cs="Arial"/>
          <w:sz w:val="22"/>
          <w:szCs w:val="22"/>
        </w:rPr>
        <w:t>předpokládanou cenu jedné soupravy</w:t>
      </w:r>
      <w:r w:rsidR="00117C9C">
        <w:rPr>
          <w:rFonts w:cs="Arial"/>
          <w:sz w:val="22"/>
          <w:szCs w:val="22"/>
        </w:rPr>
        <w:t xml:space="preserve"> ze 133 tis. Kč na 200 </w:t>
      </w:r>
      <w:r w:rsidR="00513669">
        <w:rPr>
          <w:rFonts w:cs="Arial"/>
          <w:sz w:val="22"/>
          <w:szCs w:val="22"/>
        </w:rPr>
        <w:t>tis. Kč</w:t>
      </w:r>
      <w:r w:rsidR="007F3A25">
        <w:rPr>
          <w:rFonts w:cs="Arial"/>
          <w:sz w:val="22"/>
          <w:szCs w:val="22"/>
        </w:rPr>
        <w:t xml:space="preserve"> bez bližšího zdůvodnění</w:t>
      </w:r>
      <w:r w:rsidR="00D0377B">
        <w:rPr>
          <w:rFonts w:cs="Arial"/>
          <w:sz w:val="22"/>
          <w:szCs w:val="22"/>
        </w:rPr>
        <w:t>.</w:t>
      </w:r>
    </w:p>
    <w:p w:rsidR="00D0377B" w:rsidRDefault="00D0377B" w:rsidP="00D0377B">
      <w:pPr>
        <w:jc w:val="both"/>
        <w:rPr>
          <w:rFonts w:cs="Arial"/>
          <w:sz w:val="22"/>
          <w:szCs w:val="22"/>
        </w:rPr>
      </w:pPr>
    </w:p>
    <w:p w:rsidR="002E1CB0" w:rsidRDefault="002E1CB0" w:rsidP="00D0377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MO v prvním </w:t>
      </w:r>
      <w:r w:rsidR="00D52957" w:rsidRPr="00E04BB3">
        <w:rPr>
          <w:rFonts w:cs="Arial"/>
          <w:sz w:val="22"/>
          <w:szCs w:val="22"/>
        </w:rPr>
        <w:t>zadávací</w:t>
      </w:r>
      <w:r>
        <w:rPr>
          <w:rFonts w:cs="Arial"/>
          <w:sz w:val="22"/>
          <w:szCs w:val="22"/>
        </w:rPr>
        <w:t>m</w:t>
      </w:r>
      <w:r w:rsidR="00D52957" w:rsidRPr="00E04BB3">
        <w:rPr>
          <w:rFonts w:cs="Arial"/>
          <w:sz w:val="22"/>
          <w:szCs w:val="22"/>
        </w:rPr>
        <w:t xml:space="preserve"> řízení </w:t>
      </w:r>
      <w:r w:rsidR="00513669">
        <w:rPr>
          <w:rFonts w:cs="Arial"/>
          <w:sz w:val="22"/>
          <w:szCs w:val="22"/>
        </w:rPr>
        <w:t xml:space="preserve">postupovalo </w:t>
      </w:r>
      <w:r w:rsidR="00960330">
        <w:rPr>
          <w:rFonts w:cs="Arial"/>
          <w:sz w:val="22"/>
          <w:szCs w:val="22"/>
        </w:rPr>
        <w:t xml:space="preserve">mimo režim </w:t>
      </w:r>
      <w:r w:rsidR="00513669">
        <w:rPr>
          <w:rFonts w:cs="Arial"/>
          <w:sz w:val="22"/>
          <w:szCs w:val="22"/>
        </w:rPr>
        <w:t>zákona o veřejných zakázkách</w:t>
      </w:r>
      <w:r w:rsidR="00304733"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 xml:space="preserve">zajištění obrany </w:t>
      </w:r>
      <w:r w:rsidR="00304733">
        <w:rPr>
          <w:rFonts w:cs="Arial"/>
          <w:sz w:val="22"/>
          <w:szCs w:val="22"/>
        </w:rPr>
        <w:t>státu)</w:t>
      </w:r>
      <w:r>
        <w:rPr>
          <w:rStyle w:val="Znakapoznpodarou"/>
          <w:rFonts w:cs="Arial"/>
          <w:sz w:val="22"/>
          <w:szCs w:val="22"/>
        </w:rPr>
        <w:footnoteReference w:id="7"/>
      </w:r>
      <w:r>
        <w:rPr>
          <w:rFonts w:cs="Arial"/>
          <w:sz w:val="22"/>
          <w:szCs w:val="22"/>
        </w:rPr>
        <w:t xml:space="preserve"> a zakázku </w:t>
      </w:r>
      <w:r w:rsidR="00513669">
        <w:rPr>
          <w:rFonts w:cs="Arial"/>
          <w:sz w:val="22"/>
          <w:szCs w:val="22"/>
        </w:rPr>
        <w:t xml:space="preserve">zadalo </w:t>
      </w:r>
      <w:r w:rsidR="00513669" w:rsidRPr="00E04BB3">
        <w:rPr>
          <w:rFonts w:cs="Arial"/>
          <w:sz w:val="22"/>
          <w:szCs w:val="22"/>
        </w:rPr>
        <w:t>v řízení</w:t>
      </w:r>
      <w:r w:rsidR="00B55A46">
        <w:rPr>
          <w:rFonts w:cs="Arial"/>
          <w:sz w:val="22"/>
          <w:szCs w:val="22"/>
        </w:rPr>
        <w:t xml:space="preserve"> obdobném otevřenému </w:t>
      </w:r>
      <w:r w:rsidR="00513669" w:rsidRPr="00E04BB3">
        <w:rPr>
          <w:rFonts w:cs="Arial"/>
          <w:sz w:val="22"/>
          <w:szCs w:val="22"/>
        </w:rPr>
        <w:t>řízení</w:t>
      </w:r>
      <w:r>
        <w:rPr>
          <w:rFonts w:cs="Arial"/>
          <w:sz w:val="22"/>
          <w:szCs w:val="22"/>
        </w:rPr>
        <w:t xml:space="preserve">. </w:t>
      </w:r>
      <w:r w:rsidR="00DA2703">
        <w:rPr>
          <w:rFonts w:cs="Arial"/>
          <w:sz w:val="22"/>
          <w:szCs w:val="22"/>
        </w:rPr>
        <w:t xml:space="preserve">Řízení bylo uveřejněno v prosinci 2006. </w:t>
      </w:r>
      <w:r w:rsidR="00A91AA6" w:rsidRPr="00501FAE">
        <w:rPr>
          <w:rFonts w:cs="Arial"/>
          <w:sz w:val="22"/>
          <w:szCs w:val="22"/>
        </w:rPr>
        <w:t>V</w:t>
      </w:r>
      <w:r w:rsidR="008149E6" w:rsidRPr="00501FAE">
        <w:rPr>
          <w:rFonts w:cs="Arial"/>
          <w:sz w:val="22"/>
          <w:szCs w:val="22"/>
        </w:rPr>
        <w:t xml:space="preserve"> květnu 2007 </w:t>
      </w:r>
      <w:r w:rsidR="00A91AA6" w:rsidRPr="00501FAE">
        <w:rPr>
          <w:rFonts w:cs="Arial"/>
          <w:sz w:val="22"/>
          <w:szCs w:val="22"/>
        </w:rPr>
        <w:t xml:space="preserve">MO </w:t>
      </w:r>
      <w:r w:rsidR="008149E6" w:rsidRPr="00501FAE">
        <w:rPr>
          <w:rFonts w:cs="Arial"/>
          <w:sz w:val="22"/>
          <w:szCs w:val="22"/>
        </w:rPr>
        <w:t>zadávací řízení zrušilo</w:t>
      </w:r>
      <w:r w:rsidR="0033423F" w:rsidRPr="00501FAE">
        <w:rPr>
          <w:rFonts w:cs="Arial"/>
          <w:sz w:val="22"/>
          <w:szCs w:val="22"/>
        </w:rPr>
        <w:t xml:space="preserve"> </w:t>
      </w:r>
      <w:r w:rsidR="003537D3">
        <w:rPr>
          <w:rFonts w:cs="Arial"/>
          <w:sz w:val="22"/>
          <w:szCs w:val="22"/>
        </w:rPr>
        <w:t xml:space="preserve">mj. </w:t>
      </w:r>
      <w:r w:rsidR="0033423F" w:rsidRPr="00501FAE">
        <w:rPr>
          <w:rFonts w:cs="Arial"/>
          <w:sz w:val="22"/>
          <w:szCs w:val="22"/>
        </w:rPr>
        <w:t>z důvodu chybně uvedené maximální výše nabídkové ceny v zadávací dokumentaci.</w:t>
      </w:r>
    </w:p>
    <w:p w:rsidR="00D0377B" w:rsidRPr="00501FAE" w:rsidRDefault="00D0377B" w:rsidP="00D0377B">
      <w:pPr>
        <w:jc w:val="both"/>
        <w:rPr>
          <w:rFonts w:cs="Arial"/>
          <w:sz w:val="22"/>
          <w:szCs w:val="22"/>
        </w:rPr>
      </w:pPr>
    </w:p>
    <w:p w:rsidR="002E1CB0" w:rsidRDefault="00D52957" w:rsidP="00D0377B">
      <w:pPr>
        <w:jc w:val="both"/>
        <w:rPr>
          <w:rFonts w:cs="Arial"/>
          <w:sz w:val="22"/>
          <w:szCs w:val="22"/>
        </w:rPr>
      </w:pPr>
      <w:r w:rsidRPr="00501FAE">
        <w:rPr>
          <w:rFonts w:cs="Arial"/>
          <w:sz w:val="22"/>
          <w:szCs w:val="22"/>
        </w:rPr>
        <w:t xml:space="preserve">Druhé </w:t>
      </w:r>
      <w:r w:rsidR="002E1CB0" w:rsidRPr="00501FAE">
        <w:rPr>
          <w:rFonts w:cs="Arial"/>
          <w:sz w:val="22"/>
          <w:szCs w:val="22"/>
        </w:rPr>
        <w:t xml:space="preserve">zadávací řízení bylo </w:t>
      </w:r>
      <w:r w:rsidR="0054609E">
        <w:rPr>
          <w:rFonts w:cs="Arial"/>
          <w:sz w:val="22"/>
          <w:szCs w:val="22"/>
        </w:rPr>
        <w:t>realizováno formou</w:t>
      </w:r>
      <w:r w:rsidR="002E1CB0" w:rsidRPr="00501FAE">
        <w:rPr>
          <w:rFonts w:cs="Arial"/>
          <w:sz w:val="22"/>
          <w:szCs w:val="22"/>
        </w:rPr>
        <w:t xml:space="preserve"> otevřené</w:t>
      </w:r>
      <w:r w:rsidR="0054609E">
        <w:rPr>
          <w:rFonts w:cs="Arial"/>
          <w:sz w:val="22"/>
          <w:szCs w:val="22"/>
        </w:rPr>
        <w:t>ho</w:t>
      </w:r>
      <w:r w:rsidR="002E1CB0" w:rsidRPr="00501FAE">
        <w:rPr>
          <w:rFonts w:cs="Arial"/>
          <w:sz w:val="22"/>
          <w:szCs w:val="22"/>
        </w:rPr>
        <w:t xml:space="preserve"> řízení</w:t>
      </w:r>
      <w:r w:rsidR="00D760EC" w:rsidRPr="00501FAE">
        <w:rPr>
          <w:rStyle w:val="Znakapoznpodarou"/>
          <w:rFonts w:cs="Arial"/>
          <w:sz w:val="22"/>
          <w:szCs w:val="22"/>
        </w:rPr>
        <w:footnoteReference w:id="8"/>
      </w:r>
      <w:r w:rsidR="00D760EC" w:rsidRPr="00501FAE">
        <w:rPr>
          <w:rFonts w:cs="Arial"/>
          <w:sz w:val="22"/>
          <w:szCs w:val="22"/>
        </w:rPr>
        <w:t xml:space="preserve">. </w:t>
      </w:r>
      <w:r w:rsidR="00960330" w:rsidRPr="00501FAE">
        <w:rPr>
          <w:rFonts w:cs="Arial"/>
          <w:sz w:val="22"/>
          <w:szCs w:val="22"/>
        </w:rPr>
        <w:t>Oznámení o</w:t>
      </w:r>
      <w:r w:rsidR="0054609E">
        <w:rPr>
          <w:rFonts w:cs="Arial"/>
          <w:sz w:val="22"/>
          <w:szCs w:val="22"/>
        </w:rPr>
        <w:t> </w:t>
      </w:r>
      <w:r w:rsidR="00960330" w:rsidRPr="00501FAE">
        <w:rPr>
          <w:rFonts w:cs="Arial"/>
          <w:sz w:val="22"/>
          <w:szCs w:val="22"/>
        </w:rPr>
        <w:t xml:space="preserve">zahájení zadávacího </w:t>
      </w:r>
      <w:r w:rsidR="00960330">
        <w:rPr>
          <w:rFonts w:cs="Arial"/>
          <w:sz w:val="22"/>
          <w:szCs w:val="22"/>
        </w:rPr>
        <w:t>řízení b</w:t>
      </w:r>
      <w:r w:rsidR="00D760EC">
        <w:rPr>
          <w:rFonts w:cs="Arial"/>
          <w:sz w:val="22"/>
          <w:szCs w:val="22"/>
        </w:rPr>
        <w:t>ylo uveřejněno v červnu 2007</w:t>
      </w:r>
      <w:r w:rsidR="0033423F" w:rsidRPr="00501FAE">
        <w:rPr>
          <w:rFonts w:cs="Arial"/>
          <w:sz w:val="22"/>
          <w:szCs w:val="22"/>
        </w:rPr>
        <w:t>.</w:t>
      </w:r>
      <w:r w:rsidR="00D760EC" w:rsidRPr="00501FAE">
        <w:rPr>
          <w:rFonts w:cs="Arial"/>
          <w:sz w:val="22"/>
          <w:szCs w:val="22"/>
        </w:rPr>
        <w:t xml:space="preserve"> </w:t>
      </w:r>
      <w:r w:rsidR="0033423F" w:rsidRPr="00501FAE">
        <w:rPr>
          <w:rFonts w:cs="Arial"/>
          <w:sz w:val="22"/>
          <w:szCs w:val="22"/>
        </w:rPr>
        <w:t xml:space="preserve">Po vyloučení </w:t>
      </w:r>
      <w:r w:rsidR="00FB7902">
        <w:rPr>
          <w:rFonts w:cs="Arial"/>
          <w:sz w:val="22"/>
          <w:szCs w:val="22"/>
        </w:rPr>
        <w:t xml:space="preserve">obou </w:t>
      </w:r>
      <w:r w:rsidR="0033423F" w:rsidRPr="00501FAE">
        <w:rPr>
          <w:rFonts w:cs="Arial"/>
          <w:sz w:val="22"/>
          <w:szCs w:val="22"/>
        </w:rPr>
        <w:t>uchazečů bylo zadávací řízení zrušeno.</w:t>
      </w:r>
    </w:p>
    <w:p w:rsidR="00D0377B" w:rsidRPr="00501FAE" w:rsidRDefault="00D0377B" w:rsidP="00D0377B">
      <w:pPr>
        <w:jc w:val="both"/>
        <w:rPr>
          <w:rFonts w:cs="Arial"/>
          <w:b/>
          <w:sz w:val="22"/>
          <w:szCs w:val="22"/>
        </w:rPr>
      </w:pPr>
    </w:p>
    <w:p w:rsidR="00D52957" w:rsidRDefault="00D52957" w:rsidP="00D0377B">
      <w:pPr>
        <w:jc w:val="both"/>
        <w:rPr>
          <w:rFonts w:cs="Arial"/>
          <w:sz w:val="22"/>
          <w:szCs w:val="22"/>
        </w:rPr>
      </w:pPr>
      <w:r w:rsidRPr="002E1CB0">
        <w:rPr>
          <w:rFonts w:cs="Arial"/>
          <w:sz w:val="22"/>
          <w:szCs w:val="22"/>
        </w:rPr>
        <w:t xml:space="preserve">Třetí </w:t>
      </w:r>
      <w:r w:rsidR="001A4447">
        <w:rPr>
          <w:rFonts w:cs="Arial"/>
          <w:sz w:val="22"/>
          <w:szCs w:val="22"/>
        </w:rPr>
        <w:t xml:space="preserve">zadávací </w:t>
      </w:r>
      <w:r w:rsidRPr="002E1CB0">
        <w:rPr>
          <w:rFonts w:cs="Arial"/>
          <w:sz w:val="22"/>
          <w:szCs w:val="22"/>
        </w:rPr>
        <w:t>řízení bylo</w:t>
      </w:r>
      <w:r w:rsidR="00D760EC">
        <w:rPr>
          <w:rFonts w:cs="Arial"/>
          <w:sz w:val="22"/>
          <w:szCs w:val="22"/>
        </w:rPr>
        <w:t xml:space="preserve"> opět zadá</w:t>
      </w:r>
      <w:r w:rsidR="00960330">
        <w:rPr>
          <w:rFonts w:cs="Arial"/>
          <w:sz w:val="22"/>
          <w:szCs w:val="22"/>
        </w:rPr>
        <w:t xml:space="preserve">váno v </w:t>
      </w:r>
      <w:r w:rsidR="00D760EC">
        <w:rPr>
          <w:rFonts w:cs="Arial"/>
          <w:sz w:val="22"/>
          <w:szCs w:val="22"/>
        </w:rPr>
        <w:t>otevřené</w:t>
      </w:r>
      <w:r w:rsidR="00960330">
        <w:rPr>
          <w:rFonts w:cs="Arial"/>
          <w:sz w:val="22"/>
          <w:szCs w:val="22"/>
        </w:rPr>
        <w:t>m</w:t>
      </w:r>
      <w:r w:rsidR="00D760EC">
        <w:rPr>
          <w:rFonts w:cs="Arial"/>
          <w:sz w:val="22"/>
          <w:szCs w:val="22"/>
        </w:rPr>
        <w:t xml:space="preserve"> řízení. </w:t>
      </w:r>
      <w:r w:rsidR="00DE3383">
        <w:rPr>
          <w:rFonts w:cs="Arial"/>
          <w:sz w:val="22"/>
          <w:szCs w:val="22"/>
        </w:rPr>
        <w:t xml:space="preserve">Na základě změny </w:t>
      </w:r>
      <w:r w:rsidR="00517AEC">
        <w:rPr>
          <w:rFonts w:cs="Arial"/>
          <w:sz w:val="22"/>
          <w:szCs w:val="22"/>
        </w:rPr>
        <w:br/>
      </w:r>
      <w:r w:rsidR="00DE3383">
        <w:rPr>
          <w:rFonts w:cs="Arial"/>
          <w:sz w:val="22"/>
          <w:szCs w:val="22"/>
        </w:rPr>
        <w:t>takticko-</w:t>
      </w:r>
      <w:r w:rsidR="00960330">
        <w:rPr>
          <w:rFonts w:cs="Arial"/>
          <w:sz w:val="22"/>
          <w:szCs w:val="22"/>
        </w:rPr>
        <w:t>technických požadavků na nákup byl p</w:t>
      </w:r>
      <w:r w:rsidR="00D760EC" w:rsidRPr="002E1CB0">
        <w:rPr>
          <w:rFonts w:cs="Arial"/>
          <w:sz w:val="22"/>
          <w:szCs w:val="22"/>
        </w:rPr>
        <w:t>o</w:t>
      </w:r>
      <w:r w:rsidR="00960330">
        <w:rPr>
          <w:rFonts w:cs="Arial"/>
          <w:sz w:val="22"/>
          <w:szCs w:val="22"/>
        </w:rPr>
        <w:t>čet souprav</w:t>
      </w:r>
      <w:r w:rsidR="00E96260">
        <w:rPr>
          <w:rFonts w:cs="Arial"/>
          <w:sz w:val="22"/>
          <w:szCs w:val="22"/>
        </w:rPr>
        <w:t xml:space="preserve"> osobních padáků</w:t>
      </w:r>
      <w:r w:rsidR="00960330">
        <w:rPr>
          <w:rFonts w:cs="Arial"/>
          <w:sz w:val="22"/>
          <w:szCs w:val="22"/>
        </w:rPr>
        <w:t xml:space="preserve"> </w:t>
      </w:r>
      <w:r w:rsidR="00D760EC">
        <w:rPr>
          <w:rFonts w:cs="Arial"/>
          <w:sz w:val="22"/>
          <w:szCs w:val="22"/>
        </w:rPr>
        <w:t>snížen na 150 a </w:t>
      </w:r>
      <w:r w:rsidR="00D760EC" w:rsidRPr="002E1CB0">
        <w:rPr>
          <w:rFonts w:cs="Arial"/>
          <w:sz w:val="22"/>
          <w:szCs w:val="22"/>
        </w:rPr>
        <w:t xml:space="preserve">předpokládaná cena </w:t>
      </w:r>
      <w:r w:rsidR="00960330">
        <w:rPr>
          <w:rFonts w:cs="Arial"/>
          <w:sz w:val="22"/>
          <w:szCs w:val="22"/>
        </w:rPr>
        <w:t xml:space="preserve">snížena </w:t>
      </w:r>
      <w:r w:rsidR="00DE3383">
        <w:rPr>
          <w:rFonts w:cs="Arial"/>
          <w:sz w:val="22"/>
          <w:szCs w:val="22"/>
        </w:rPr>
        <w:t xml:space="preserve">na 30 mil. Kč. </w:t>
      </w:r>
      <w:r w:rsidR="0033423F" w:rsidRPr="004315AB">
        <w:rPr>
          <w:rFonts w:cs="Arial"/>
          <w:sz w:val="22"/>
          <w:szCs w:val="22"/>
        </w:rPr>
        <w:t xml:space="preserve">Jediný uchazeč byl </w:t>
      </w:r>
      <w:r w:rsidRPr="002E1CB0">
        <w:rPr>
          <w:rFonts w:cs="Arial"/>
          <w:sz w:val="22"/>
          <w:szCs w:val="22"/>
        </w:rPr>
        <w:t>vyloučen pro nesplnění kvalifikačních požadavků</w:t>
      </w:r>
      <w:r w:rsidR="0033423F">
        <w:rPr>
          <w:rFonts w:cs="Arial"/>
          <w:sz w:val="22"/>
          <w:szCs w:val="22"/>
        </w:rPr>
        <w:t xml:space="preserve"> </w:t>
      </w:r>
      <w:r w:rsidR="0033423F" w:rsidRPr="004315AB">
        <w:rPr>
          <w:rFonts w:cs="Arial"/>
          <w:sz w:val="22"/>
          <w:szCs w:val="22"/>
        </w:rPr>
        <w:t>a</w:t>
      </w:r>
      <w:r w:rsidRPr="004315AB">
        <w:rPr>
          <w:rFonts w:cs="Arial"/>
          <w:sz w:val="22"/>
          <w:szCs w:val="22"/>
        </w:rPr>
        <w:t xml:space="preserve"> </w:t>
      </w:r>
      <w:r w:rsidR="0033423F" w:rsidRPr="004315AB">
        <w:rPr>
          <w:rFonts w:cs="Arial"/>
          <w:sz w:val="22"/>
          <w:szCs w:val="22"/>
        </w:rPr>
        <w:t>z</w:t>
      </w:r>
      <w:r w:rsidRPr="004315AB">
        <w:rPr>
          <w:rFonts w:cs="Arial"/>
          <w:sz w:val="22"/>
          <w:szCs w:val="22"/>
        </w:rPr>
        <w:t xml:space="preserve">adávací </w:t>
      </w:r>
      <w:r w:rsidRPr="0033423F">
        <w:rPr>
          <w:rFonts w:cs="Arial"/>
          <w:sz w:val="22"/>
          <w:szCs w:val="22"/>
        </w:rPr>
        <w:t>řízení bylo v červenci 2008 zrušeno.</w:t>
      </w:r>
    </w:p>
    <w:p w:rsidR="00D0377B" w:rsidRDefault="00D0377B" w:rsidP="00D0377B">
      <w:pPr>
        <w:jc w:val="both"/>
        <w:rPr>
          <w:rFonts w:cs="Arial"/>
          <w:sz w:val="22"/>
          <w:szCs w:val="22"/>
        </w:rPr>
      </w:pPr>
    </w:p>
    <w:p w:rsidR="001C3895" w:rsidRPr="00E04BB3" w:rsidRDefault="001C3895" w:rsidP="00D0377B">
      <w:pPr>
        <w:jc w:val="both"/>
        <w:rPr>
          <w:rFonts w:cs="Arial"/>
          <w:sz w:val="22"/>
          <w:szCs w:val="22"/>
        </w:rPr>
      </w:pPr>
      <w:r w:rsidRPr="00E04BB3">
        <w:rPr>
          <w:rFonts w:cs="Arial"/>
          <w:sz w:val="22"/>
          <w:szCs w:val="22"/>
        </w:rPr>
        <w:t xml:space="preserve">MO </w:t>
      </w:r>
      <w:r>
        <w:rPr>
          <w:rFonts w:cs="Arial"/>
          <w:sz w:val="22"/>
          <w:szCs w:val="22"/>
        </w:rPr>
        <w:t xml:space="preserve">zaslalo v srpnu 2008 vyřazenému uchazeči </w:t>
      </w:r>
      <w:r w:rsidRPr="00E04BB3">
        <w:rPr>
          <w:rFonts w:cs="Arial"/>
          <w:sz w:val="22"/>
          <w:szCs w:val="22"/>
        </w:rPr>
        <w:t>oznámení</w:t>
      </w:r>
      <w:r>
        <w:rPr>
          <w:rFonts w:cs="Arial"/>
          <w:sz w:val="22"/>
          <w:szCs w:val="22"/>
        </w:rPr>
        <w:t xml:space="preserve"> </w:t>
      </w:r>
      <w:r w:rsidRPr="00A178F4">
        <w:rPr>
          <w:rFonts w:cs="Arial"/>
          <w:sz w:val="22"/>
          <w:szCs w:val="22"/>
        </w:rPr>
        <w:t xml:space="preserve">o jednacím </w:t>
      </w:r>
      <w:r w:rsidRPr="00E04BB3">
        <w:rPr>
          <w:rFonts w:cs="Arial"/>
          <w:sz w:val="22"/>
          <w:szCs w:val="22"/>
        </w:rPr>
        <w:t xml:space="preserve">řízení s uveřejněním </w:t>
      </w:r>
      <w:r>
        <w:rPr>
          <w:rFonts w:cs="Arial"/>
          <w:sz w:val="22"/>
          <w:szCs w:val="22"/>
        </w:rPr>
        <w:t>–</w:t>
      </w:r>
      <w:r w:rsidRPr="00E04BB3">
        <w:rPr>
          <w:rFonts w:cs="Arial"/>
          <w:sz w:val="22"/>
          <w:szCs w:val="22"/>
        </w:rPr>
        <w:t xml:space="preserve"> výzvu k</w:t>
      </w:r>
      <w:r w:rsidR="00490825">
        <w:rPr>
          <w:rFonts w:cs="Arial"/>
          <w:sz w:val="22"/>
          <w:szCs w:val="22"/>
        </w:rPr>
        <w:t xml:space="preserve"> </w:t>
      </w:r>
      <w:r w:rsidRPr="00E04BB3">
        <w:rPr>
          <w:rFonts w:cs="Arial"/>
          <w:sz w:val="22"/>
          <w:szCs w:val="22"/>
        </w:rPr>
        <w:t>jednání</w:t>
      </w:r>
      <w:r>
        <w:rPr>
          <w:rStyle w:val="Znakapoznpodarou"/>
          <w:rFonts w:cs="Arial"/>
          <w:sz w:val="22"/>
          <w:szCs w:val="22"/>
        </w:rPr>
        <w:footnoteReference w:id="9"/>
      </w:r>
      <w:r w:rsidRPr="00E04BB3">
        <w:rPr>
          <w:rFonts w:cs="Arial"/>
          <w:sz w:val="22"/>
          <w:szCs w:val="22"/>
        </w:rPr>
        <w:t xml:space="preserve">. Výsledkem jednání byla nabídková cena </w:t>
      </w:r>
      <w:r w:rsidRPr="009A7A96">
        <w:rPr>
          <w:rFonts w:cs="Arial"/>
          <w:sz w:val="22"/>
          <w:szCs w:val="22"/>
        </w:rPr>
        <w:t>23,3 mil. Kč</w:t>
      </w:r>
      <w:r w:rsidRPr="00E04BB3">
        <w:rPr>
          <w:rFonts w:cs="Arial"/>
          <w:sz w:val="22"/>
          <w:szCs w:val="22"/>
        </w:rPr>
        <w:t xml:space="preserve"> za dodání 150 souprav padáků a v říjnu 2008 byla</w:t>
      </w:r>
      <w:r>
        <w:rPr>
          <w:rFonts w:cs="Arial"/>
          <w:sz w:val="22"/>
          <w:szCs w:val="22"/>
        </w:rPr>
        <w:t xml:space="preserve"> </w:t>
      </w:r>
      <w:r w:rsidRPr="00E04BB3">
        <w:rPr>
          <w:rFonts w:cs="Arial"/>
          <w:sz w:val="22"/>
          <w:szCs w:val="22"/>
        </w:rPr>
        <w:t xml:space="preserve">podepsána kupní smlouva. </w:t>
      </w:r>
    </w:p>
    <w:p w:rsidR="004C414F" w:rsidRPr="00D0377B" w:rsidRDefault="004C414F" w:rsidP="00D0377B">
      <w:pPr>
        <w:rPr>
          <w:rFonts w:cs="Arial"/>
          <w:sz w:val="22"/>
          <w:szCs w:val="22"/>
        </w:rPr>
      </w:pPr>
    </w:p>
    <w:p w:rsidR="00E96260" w:rsidRPr="00A178F4" w:rsidRDefault="00AD7725" w:rsidP="00D0377B">
      <w:pPr>
        <w:spacing w:after="40"/>
        <w:rPr>
          <w:rFonts w:cs="Arial"/>
          <w:sz w:val="22"/>
          <w:szCs w:val="22"/>
        </w:rPr>
      </w:pPr>
      <w:r w:rsidRPr="00A178F4">
        <w:rPr>
          <w:rFonts w:cs="Arial"/>
          <w:b/>
          <w:sz w:val="22"/>
          <w:szCs w:val="22"/>
        </w:rPr>
        <w:t xml:space="preserve">Tabulka č. 2 </w:t>
      </w:r>
      <w:r w:rsidR="00927018">
        <w:rPr>
          <w:rFonts w:cs="Arial"/>
          <w:b/>
          <w:sz w:val="22"/>
          <w:szCs w:val="22"/>
        </w:rPr>
        <w:t>–</w:t>
      </w:r>
      <w:r w:rsidRPr="00A178F4">
        <w:rPr>
          <w:rFonts w:cs="Arial"/>
          <w:b/>
          <w:sz w:val="22"/>
          <w:szCs w:val="22"/>
        </w:rPr>
        <w:t xml:space="preserve"> </w:t>
      </w:r>
      <w:r w:rsidR="00E96260" w:rsidRPr="00A178F4">
        <w:rPr>
          <w:rFonts w:cs="Arial"/>
          <w:b/>
          <w:sz w:val="22"/>
          <w:szCs w:val="22"/>
        </w:rPr>
        <w:t>Porovnání původní a konečné specifikace</w:t>
      </w:r>
    </w:p>
    <w:tbl>
      <w:tblPr>
        <w:tblStyle w:val="Mkatabulky"/>
        <w:tblW w:w="9017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757"/>
        <w:gridCol w:w="1448"/>
        <w:gridCol w:w="1134"/>
      </w:tblGrid>
      <w:tr w:rsidR="00D0377B" w:rsidRPr="00D0377B" w:rsidTr="00556799">
        <w:trPr>
          <w:trHeight w:val="283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96260" w:rsidRPr="00D0377B" w:rsidRDefault="00E96260" w:rsidP="008470CA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b/>
                <w:color w:val="000000" w:themeColor="text1"/>
                <w:sz w:val="18"/>
                <w:szCs w:val="18"/>
              </w:rPr>
              <w:t>Specifikace čj.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96260" w:rsidRPr="00D0377B" w:rsidRDefault="00E96260" w:rsidP="00D0377B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b/>
                <w:color w:val="000000" w:themeColor="text1"/>
                <w:sz w:val="18"/>
                <w:szCs w:val="18"/>
              </w:rPr>
              <w:t>Datum schválení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96260" w:rsidRPr="00D0377B" w:rsidRDefault="00FD17A5" w:rsidP="00D0377B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b/>
                <w:color w:val="000000" w:themeColor="text1"/>
                <w:sz w:val="18"/>
                <w:szCs w:val="18"/>
              </w:rPr>
              <w:t>Počet souprav</w:t>
            </w:r>
            <w:r w:rsidR="00E96260" w:rsidRPr="00D0377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padáků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E96260" w:rsidRPr="00D0377B" w:rsidRDefault="00E96260" w:rsidP="00D0377B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b/>
                <w:color w:val="000000" w:themeColor="text1"/>
                <w:sz w:val="18"/>
                <w:szCs w:val="18"/>
              </w:rPr>
              <w:t>Cena za soupravu</w:t>
            </w:r>
            <w:r w:rsidR="00FD17A5" w:rsidRPr="00D0377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(max.</w:t>
            </w:r>
            <w:r w:rsidRPr="00D0377B">
              <w:rPr>
                <w:rFonts w:cs="Arial"/>
                <w:b/>
                <w:color w:val="000000" w:themeColor="text1"/>
                <w:sz w:val="18"/>
                <w:szCs w:val="18"/>
              </w:rPr>
              <w:t>)</w:t>
            </w:r>
            <w:r w:rsidR="00172BD2" w:rsidRPr="00D0377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/v Kč/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E96260" w:rsidRPr="00D0377B" w:rsidRDefault="00E96260" w:rsidP="00D0377B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b/>
                <w:color w:val="000000" w:themeColor="text1"/>
                <w:sz w:val="18"/>
                <w:szCs w:val="18"/>
              </w:rPr>
              <w:t>Celková cena</w:t>
            </w:r>
            <w:r w:rsidR="00D0377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D17A5" w:rsidRPr="00D0377B">
              <w:rPr>
                <w:rFonts w:cs="Arial"/>
                <w:b/>
                <w:color w:val="000000" w:themeColor="text1"/>
                <w:sz w:val="18"/>
                <w:szCs w:val="18"/>
              </w:rPr>
              <w:t>(max.</w:t>
            </w:r>
            <w:r w:rsidRPr="00D0377B">
              <w:rPr>
                <w:rFonts w:cs="Arial"/>
                <w:b/>
                <w:color w:val="000000" w:themeColor="text1"/>
                <w:sz w:val="18"/>
                <w:szCs w:val="18"/>
              </w:rPr>
              <w:t>)</w:t>
            </w:r>
            <w:r w:rsidR="00172BD2" w:rsidRPr="00D0377B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/v Kč/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96260" w:rsidRPr="00D0377B" w:rsidRDefault="00E96260" w:rsidP="00D0377B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b/>
                <w:color w:val="000000" w:themeColor="text1"/>
                <w:sz w:val="18"/>
                <w:szCs w:val="18"/>
              </w:rPr>
              <w:t>Termín dodávek</w:t>
            </w:r>
          </w:p>
        </w:tc>
      </w:tr>
      <w:tr w:rsidR="00D0377B" w:rsidRPr="00D0377B" w:rsidTr="00D0377B">
        <w:trPr>
          <w:trHeight w:val="283"/>
          <w:jc w:val="center"/>
        </w:trPr>
        <w:tc>
          <w:tcPr>
            <w:tcW w:w="2410" w:type="dxa"/>
            <w:vAlign w:val="center"/>
          </w:tcPr>
          <w:p w:rsidR="00E96260" w:rsidRPr="00D0377B" w:rsidRDefault="00E96260" w:rsidP="00E96260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535/2006-1618</w:t>
            </w:r>
          </w:p>
        </w:tc>
        <w:tc>
          <w:tcPr>
            <w:tcW w:w="1134" w:type="dxa"/>
            <w:vAlign w:val="center"/>
          </w:tcPr>
          <w:p w:rsidR="00E96260" w:rsidRPr="00D0377B" w:rsidRDefault="00E96260" w:rsidP="00D0377B">
            <w:pPr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="0053683D" w:rsidRPr="00D0377B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  <w:r w:rsidR="0094007F" w:rsidRPr="00D0377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53683D" w:rsidRPr="00D0377B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  <w:r w:rsidR="0094007F" w:rsidRPr="00D0377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2006</w:t>
            </w:r>
          </w:p>
        </w:tc>
        <w:tc>
          <w:tcPr>
            <w:tcW w:w="1134" w:type="dxa"/>
            <w:vAlign w:val="center"/>
          </w:tcPr>
          <w:p w:rsidR="00E96260" w:rsidRPr="00D0377B" w:rsidRDefault="00E96260" w:rsidP="00E96260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57" w:type="dxa"/>
            <w:vAlign w:val="center"/>
          </w:tcPr>
          <w:p w:rsidR="00E96260" w:rsidRPr="00D0377B" w:rsidRDefault="00FD17A5" w:rsidP="00D0377B">
            <w:pPr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133 333</w:t>
            </w:r>
          </w:p>
        </w:tc>
        <w:tc>
          <w:tcPr>
            <w:tcW w:w="1448" w:type="dxa"/>
            <w:vAlign w:val="center"/>
          </w:tcPr>
          <w:p w:rsidR="00E96260" w:rsidRPr="00D0377B" w:rsidRDefault="00E96260" w:rsidP="00D0377B">
            <w:pPr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40 000 000</w:t>
            </w:r>
          </w:p>
        </w:tc>
        <w:tc>
          <w:tcPr>
            <w:tcW w:w="1134" w:type="dxa"/>
            <w:vAlign w:val="center"/>
          </w:tcPr>
          <w:p w:rsidR="00E96260" w:rsidRPr="00D0377B" w:rsidRDefault="00E96260" w:rsidP="00D0377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2007</w:t>
            </w:r>
            <w:r w:rsidR="00B83F47" w:rsidRPr="00D0377B">
              <w:rPr>
                <w:rFonts w:cs="Arial"/>
                <w:color w:val="000000" w:themeColor="text1"/>
                <w:sz w:val="18"/>
                <w:szCs w:val="18"/>
              </w:rPr>
              <w:t>–</w:t>
            </w: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2009</w:t>
            </w:r>
          </w:p>
        </w:tc>
      </w:tr>
      <w:tr w:rsidR="00D0377B" w:rsidRPr="00D0377B" w:rsidTr="00D0377B">
        <w:trPr>
          <w:trHeight w:val="283"/>
          <w:jc w:val="center"/>
        </w:trPr>
        <w:tc>
          <w:tcPr>
            <w:tcW w:w="2410" w:type="dxa"/>
            <w:vAlign w:val="center"/>
          </w:tcPr>
          <w:p w:rsidR="00E96260" w:rsidRPr="00D0377B" w:rsidRDefault="00E96260" w:rsidP="00E96260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103278-15/2006/DP-5888</w:t>
            </w:r>
          </w:p>
        </w:tc>
        <w:tc>
          <w:tcPr>
            <w:tcW w:w="1134" w:type="dxa"/>
            <w:vAlign w:val="center"/>
          </w:tcPr>
          <w:p w:rsidR="00E96260" w:rsidRPr="00D0377B" w:rsidRDefault="00E96260" w:rsidP="00D0377B">
            <w:pPr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8.</w:t>
            </w:r>
            <w:r w:rsidR="0094007F" w:rsidRPr="00D0377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11.</w:t>
            </w:r>
            <w:r w:rsidR="0094007F" w:rsidRPr="00D0377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2006</w:t>
            </w:r>
          </w:p>
        </w:tc>
        <w:tc>
          <w:tcPr>
            <w:tcW w:w="1134" w:type="dxa"/>
            <w:vAlign w:val="center"/>
          </w:tcPr>
          <w:p w:rsidR="00E96260" w:rsidRPr="00D0377B" w:rsidRDefault="00E96260" w:rsidP="00E96260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757" w:type="dxa"/>
            <w:vAlign w:val="center"/>
          </w:tcPr>
          <w:p w:rsidR="00E96260" w:rsidRPr="00D0377B" w:rsidRDefault="00E96260" w:rsidP="00D0377B">
            <w:pPr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200 000</w:t>
            </w:r>
          </w:p>
        </w:tc>
        <w:tc>
          <w:tcPr>
            <w:tcW w:w="1448" w:type="dxa"/>
            <w:vAlign w:val="center"/>
          </w:tcPr>
          <w:p w:rsidR="00E96260" w:rsidRPr="00D0377B" w:rsidRDefault="00E96260" w:rsidP="00D0377B">
            <w:pPr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40 000 000</w:t>
            </w:r>
          </w:p>
        </w:tc>
        <w:tc>
          <w:tcPr>
            <w:tcW w:w="1134" w:type="dxa"/>
            <w:vAlign w:val="center"/>
          </w:tcPr>
          <w:p w:rsidR="00E96260" w:rsidRPr="00D0377B" w:rsidRDefault="00E96260" w:rsidP="00D0377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2007</w:t>
            </w:r>
            <w:r w:rsidR="00B83F47" w:rsidRPr="00D0377B">
              <w:rPr>
                <w:rFonts w:cs="Arial"/>
                <w:color w:val="000000" w:themeColor="text1"/>
                <w:sz w:val="18"/>
                <w:szCs w:val="18"/>
              </w:rPr>
              <w:t>–</w:t>
            </w: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2009</w:t>
            </w:r>
          </w:p>
        </w:tc>
      </w:tr>
      <w:tr w:rsidR="00D0377B" w:rsidRPr="00D0377B" w:rsidTr="00D0377B">
        <w:trPr>
          <w:trHeight w:val="283"/>
          <w:jc w:val="center"/>
        </w:trPr>
        <w:tc>
          <w:tcPr>
            <w:tcW w:w="2410" w:type="dxa"/>
            <w:vAlign w:val="center"/>
          </w:tcPr>
          <w:p w:rsidR="00E96260" w:rsidRPr="00D0377B" w:rsidRDefault="00E96260" w:rsidP="00E96260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103278-34/2006/DP-5888</w:t>
            </w:r>
          </w:p>
        </w:tc>
        <w:tc>
          <w:tcPr>
            <w:tcW w:w="1134" w:type="dxa"/>
            <w:vAlign w:val="center"/>
          </w:tcPr>
          <w:p w:rsidR="00E96260" w:rsidRPr="00D0377B" w:rsidRDefault="00E96260" w:rsidP="00D0377B">
            <w:pPr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="0053683D" w:rsidRPr="00D0377B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  <w:r w:rsidR="0094007F" w:rsidRPr="00D0377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3.</w:t>
            </w:r>
            <w:r w:rsidR="0094007F" w:rsidRPr="00D0377B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134" w:type="dxa"/>
            <w:vAlign w:val="center"/>
          </w:tcPr>
          <w:p w:rsidR="00E96260" w:rsidRPr="00D0377B" w:rsidRDefault="00E96260" w:rsidP="00E96260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757" w:type="dxa"/>
            <w:vAlign w:val="center"/>
          </w:tcPr>
          <w:p w:rsidR="00E96260" w:rsidRPr="00D0377B" w:rsidRDefault="00E96260" w:rsidP="00D0377B">
            <w:pPr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200 000</w:t>
            </w:r>
          </w:p>
        </w:tc>
        <w:tc>
          <w:tcPr>
            <w:tcW w:w="1448" w:type="dxa"/>
            <w:vAlign w:val="center"/>
          </w:tcPr>
          <w:p w:rsidR="00E96260" w:rsidRPr="00D0377B" w:rsidRDefault="00E96260" w:rsidP="00D0377B">
            <w:pPr>
              <w:ind w:right="146"/>
              <w:jc w:val="right"/>
              <w:rPr>
                <w:rFonts w:cs="Arial"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30 000 000</w:t>
            </w:r>
          </w:p>
        </w:tc>
        <w:tc>
          <w:tcPr>
            <w:tcW w:w="1134" w:type="dxa"/>
            <w:vAlign w:val="center"/>
          </w:tcPr>
          <w:p w:rsidR="00E96260" w:rsidRPr="00D0377B" w:rsidRDefault="00E96260" w:rsidP="00D0377B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2008</w:t>
            </w:r>
            <w:r w:rsidR="00B83F47" w:rsidRPr="00D0377B">
              <w:rPr>
                <w:rFonts w:cs="Arial"/>
                <w:color w:val="000000" w:themeColor="text1"/>
                <w:sz w:val="18"/>
                <w:szCs w:val="18"/>
              </w:rPr>
              <w:t>–</w:t>
            </w:r>
            <w:r w:rsidRPr="00D0377B">
              <w:rPr>
                <w:rFonts w:cs="Arial"/>
                <w:color w:val="000000" w:themeColor="text1"/>
                <w:sz w:val="18"/>
                <w:szCs w:val="18"/>
              </w:rPr>
              <w:t>2009</w:t>
            </w:r>
          </w:p>
        </w:tc>
      </w:tr>
    </w:tbl>
    <w:p w:rsidR="00E96260" w:rsidRPr="0094007F" w:rsidRDefault="00E96260" w:rsidP="00D0377B">
      <w:pPr>
        <w:spacing w:before="40"/>
        <w:jc w:val="both"/>
        <w:rPr>
          <w:rFonts w:cs="Arial"/>
          <w:sz w:val="18"/>
          <w:szCs w:val="18"/>
        </w:rPr>
      </w:pPr>
      <w:r w:rsidRPr="0094007F">
        <w:rPr>
          <w:rFonts w:cs="Arial"/>
          <w:b/>
          <w:sz w:val="18"/>
          <w:szCs w:val="18"/>
          <w:lang w:eastAsia="en-US"/>
        </w:rPr>
        <w:t>Zdroj</w:t>
      </w:r>
      <w:r w:rsidRPr="008470CA">
        <w:rPr>
          <w:rFonts w:cs="Arial"/>
          <w:b/>
          <w:sz w:val="18"/>
          <w:szCs w:val="18"/>
          <w:lang w:eastAsia="en-US"/>
        </w:rPr>
        <w:t>:</w:t>
      </w:r>
      <w:r w:rsidRPr="0094007F">
        <w:rPr>
          <w:rFonts w:cs="Arial"/>
          <w:sz w:val="18"/>
          <w:szCs w:val="18"/>
          <w:lang w:eastAsia="en-US"/>
        </w:rPr>
        <w:t xml:space="preserve"> MO – dokumentace </w:t>
      </w:r>
      <w:r w:rsidR="0053683D" w:rsidRPr="0094007F">
        <w:rPr>
          <w:rFonts w:cs="Arial"/>
          <w:sz w:val="18"/>
          <w:szCs w:val="18"/>
          <w:lang w:eastAsia="en-US"/>
        </w:rPr>
        <w:t>akce.</w:t>
      </w:r>
    </w:p>
    <w:p w:rsidR="00D0377B" w:rsidRPr="00D0377B" w:rsidRDefault="00D0377B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FD101A" w:rsidRDefault="00D52957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 xml:space="preserve">V lednu 2009 došlo v průběhu vojskových zkoušek ke smrtelné nehodě výsadkáře AČR a zkoušky byly až do vyšetření příčin pozastaveny. </w:t>
      </w:r>
      <w:r w:rsidR="00276FFF" w:rsidRPr="00D0377B">
        <w:rPr>
          <w:rFonts w:cs="Arial"/>
          <w:color w:val="000000" w:themeColor="text1"/>
          <w:sz w:val="22"/>
          <w:szCs w:val="22"/>
        </w:rPr>
        <w:t xml:space="preserve">Provádění vojskových zkoušek pokračovalo </w:t>
      </w:r>
      <w:r w:rsidR="00A07BB2" w:rsidRPr="00D0377B">
        <w:rPr>
          <w:rFonts w:cs="Arial"/>
          <w:color w:val="000000" w:themeColor="text1"/>
          <w:sz w:val="22"/>
          <w:szCs w:val="22"/>
        </w:rPr>
        <w:t xml:space="preserve">až do dubna 2011, kdy bylo </w:t>
      </w:r>
      <w:r w:rsidR="006F62EE" w:rsidRPr="00D0377B">
        <w:rPr>
          <w:rFonts w:cs="Arial"/>
          <w:color w:val="000000" w:themeColor="text1"/>
          <w:sz w:val="22"/>
          <w:szCs w:val="22"/>
        </w:rPr>
        <w:t>zavedení padáků</w:t>
      </w:r>
      <w:r w:rsidR="00D35759" w:rsidRPr="00D0377B">
        <w:rPr>
          <w:rFonts w:cs="Arial"/>
          <w:color w:val="000000" w:themeColor="text1"/>
          <w:sz w:val="22"/>
          <w:szCs w:val="22"/>
        </w:rPr>
        <w:t xml:space="preserve"> OVP-80.08</w:t>
      </w:r>
      <w:r w:rsidR="006F62EE" w:rsidRPr="00D0377B">
        <w:rPr>
          <w:rFonts w:cs="Arial"/>
          <w:color w:val="000000" w:themeColor="text1"/>
          <w:sz w:val="22"/>
          <w:szCs w:val="22"/>
        </w:rPr>
        <w:t xml:space="preserve"> do užívání v</w:t>
      </w:r>
      <w:r w:rsidR="00A07BB2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68634F" w:rsidRPr="00D0377B">
        <w:rPr>
          <w:rFonts w:cs="Arial"/>
          <w:color w:val="000000" w:themeColor="text1"/>
          <w:sz w:val="22"/>
          <w:szCs w:val="22"/>
        </w:rPr>
        <w:t xml:space="preserve">AČR </w:t>
      </w:r>
      <w:r w:rsidR="00A07BB2" w:rsidRPr="00D0377B">
        <w:rPr>
          <w:rFonts w:cs="Arial"/>
          <w:color w:val="000000" w:themeColor="text1"/>
          <w:sz w:val="22"/>
          <w:szCs w:val="22"/>
        </w:rPr>
        <w:t>doporučeno.</w:t>
      </w:r>
      <w:r w:rsidR="00490825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A07BB2" w:rsidRPr="00D0377B">
        <w:rPr>
          <w:rFonts w:cs="Arial"/>
          <w:color w:val="000000" w:themeColor="text1"/>
          <w:sz w:val="22"/>
          <w:szCs w:val="22"/>
        </w:rPr>
        <w:t xml:space="preserve">Padáky byly </w:t>
      </w:r>
      <w:r w:rsidR="006F62EE" w:rsidRPr="00D0377B">
        <w:rPr>
          <w:rFonts w:cs="Arial"/>
          <w:color w:val="000000" w:themeColor="text1"/>
          <w:sz w:val="22"/>
          <w:szCs w:val="22"/>
        </w:rPr>
        <w:t xml:space="preserve">dodány </w:t>
      </w:r>
      <w:r w:rsidR="00A07BB2" w:rsidRPr="00D0377B">
        <w:rPr>
          <w:rFonts w:cs="Arial"/>
          <w:color w:val="000000" w:themeColor="text1"/>
          <w:sz w:val="22"/>
          <w:szCs w:val="22"/>
        </w:rPr>
        <w:t>v prosinci</w:t>
      </w:r>
      <w:r w:rsidR="006F62EE" w:rsidRPr="00D0377B">
        <w:rPr>
          <w:rFonts w:cs="Arial"/>
          <w:color w:val="000000" w:themeColor="text1"/>
          <w:sz w:val="22"/>
          <w:szCs w:val="22"/>
        </w:rPr>
        <w:t xml:space="preserve"> 2011</w:t>
      </w:r>
      <w:r w:rsidR="00D0377B">
        <w:rPr>
          <w:rFonts w:cs="Arial"/>
          <w:color w:val="000000" w:themeColor="text1"/>
          <w:sz w:val="22"/>
          <w:szCs w:val="22"/>
        </w:rPr>
        <w:t>.</w:t>
      </w:r>
      <w:r w:rsidR="0054609E">
        <w:rPr>
          <w:rFonts w:cs="Arial"/>
          <w:color w:val="000000" w:themeColor="text1"/>
          <w:sz w:val="22"/>
          <w:szCs w:val="22"/>
        </w:rPr>
        <w:t xml:space="preserve"> </w:t>
      </w:r>
      <w:r w:rsidR="00FD101A" w:rsidRPr="00D0377B">
        <w:rPr>
          <w:rFonts w:cs="Arial"/>
          <w:color w:val="000000" w:themeColor="text1"/>
          <w:sz w:val="22"/>
          <w:szCs w:val="22"/>
        </w:rPr>
        <w:t xml:space="preserve">Za pozdní dodávky </w:t>
      </w:r>
      <w:r w:rsidR="00821C13" w:rsidRPr="00D0377B">
        <w:rPr>
          <w:rFonts w:cs="Arial"/>
          <w:color w:val="000000" w:themeColor="text1"/>
          <w:sz w:val="22"/>
          <w:szCs w:val="22"/>
        </w:rPr>
        <w:t xml:space="preserve">60 </w:t>
      </w:r>
      <w:r w:rsidR="00FE32C1" w:rsidRPr="00D0377B">
        <w:rPr>
          <w:rFonts w:cs="Arial"/>
          <w:color w:val="000000" w:themeColor="text1"/>
          <w:sz w:val="22"/>
          <w:szCs w:val="22"/>
        </w:rPr>
        <w:t xml:space="preserve">souprav </w:t>
      </w:r>
      <w:r w:rsidR="00FD101A" w:rsidRPr="00D0377B">
        <w:rPr>
          <w:rFonts w:cs="Arial"/>
          <w:color w:val="000000" w:themeColor="text1"/>
          <w:sz w:val="22"/>
          <w:szCs w:val="22"/>
        </w:rPr>
        <w:t>padáků uplatnilo MO smluvní pokutu ve výši 58,7 tis. Kč, která byla dodavatelskou firmou uhrazena.</w:t>
      </w:r>
    </w:p>
    <w:p w:rsidR="00D0377B" w:rsidRPr="00D0377B" w:rsidRDefault="00D0377B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FD101A" w:rsidRDefault="00FD101A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 xml:space="preserve">Zadávací řízení zahájené v roce 2006 bylo </w:t>
      </w:r>
      <w:r w:rsidR="00FE32C1" w:rsidRPr="00D0377B">
        <w:rPr>
          <w:rFonts w:cs="Arial"/>
          <w:color w:val="000000" w:themeColor="text1"/>
          <w:sz w:val="22"/>
          <w:szCs w:val="22"/>
        </w:rPr>
        <w:t>třikrát</w:t>
      </w:r>
      <w:r w:rsidRPr="00D0377B">
        <w:rPr>
          <w:rFonts w:cs="Arial"/>
          <w:color w:val="000000" w:themeColor="text1"/>
          <w:sz w:val="22"/>
          <w:szCs w:val="22"/>
        </w:rPr>
        <w:t xml:space="preserve"> zrušeno a ukončeno bylo až v roce 2008. V průběhu nákupu došlo ke snížení pořizovaného počtu souprav na polovinu. Padákové soupravy byly v důsledku technických závad dodány až o dva roky později za celkovou cenu 23,3 mil. Kč. </w:t>
      </w:r>
    </w:p>
    <w:p w:rsidR="00D0377B" w:rsidRPr="00D0377B" w:rsidRDefault="00D0377B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B57715" w:rsidRDefault="00517AEC" w:rsidP="00D0377B">
      <w:pPr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P</w:t>
      </w:r>
      <w:r w:rsidR="00B57715" w:rsidRPr="00D0377B">
        <w:rPr>
          <w:rFonts w:cs="Arial"/>
          <w:color w:val="000000" w:themeColor="text1"/>
          <w:sz w:val="22"/>
          <w:szCs w:val="22"/>
        </w:rPr>
        <w:t xml:space="preserve">řestože nebyly ukončeny vojskové zkoušky a nebyly zahájeny dodávky souprav padáků OVP-80.08, byla </w:t>
      </w:r>
      <w:r>
        <w:rPr>
          <w:rFonts w:cs="Arial"/>
          <w:color w:val="000000" w:themeColor="text1"/>
          <w:sz w:val="22"/>
          <w:szCs w:val="22"/>
        </w:rPr>
        <w:t xml:space="preserve">v roce 2010 </w:t>
      </w:r>
      <w:r w:rsidR="00B57715" w:rsidRPr="00D0377B">
        <w:rPr>
          <w:rFonts w:cs="Arial"/>
          <w:color w:val="000000" w:themeColor="text1"/>
          <w:sz w:val="22"/>
          <w:szCs w:val="22"/>
        </w:rPr>
        <w:t>do nově otevřeného programu ev. č. 107V210 zařazena akce ev. č. 107V214 1001</w:t>
      </w:r>
      <w:r w:rsidR="0054609E">
        <w:rPr>
          <w:rFonts w:cs="Arial"/>
          <w:color w:val="000000" w:themeColor="text1"/>
          <w:sz w:val="22"/>
          <w:szCs w:val="22"/>
        </w:rPr>
        <w:t> –</w:t>
      </w:r>
      <w:r w:rsidR="00B57715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B57715" w:rsidRPr="00564BC7">
        <w:rPr>
          <w:rFonts w:cs="Arial"/>
          <w:i/>
          <w:color w:val="000000" w:themeColor="text1"/>
          <w:sz w:val="22"/>
          <w:szCs w:val="22"/>
        </w:rPr>
        <w:t xml:space="preserve">Osobní padáky – nákup – </w:t>
      </w:r>
      <w:r w:rsidR="000D0C4C" w:rsidRPr="00564BC7">
        <w:rPr>
          <w:rFonts w:cs="Arial"/>
          <w:i/>
          <w:color w:val="000000" w:themeColor="text1"/>
          <w:sz w:val="22"/>
          <w:szCs w:val="22"/>
        </w:rPr>
        <w:t>II</w:t>
      </w:r>
      <w:r w:rsidR="00B57715" w:rsidRPr="00564BC7">
        <w:rPr>
          <w:rFonts w:cs="Arial"/>
          <w:i/>
          <w:color w:val="000000" w:themeColor="text1"/>
          <w:sz w:val="22"/>
          <w:szCs w:val="22"/>
        </w:rPr>
        <w:t>. etapa</w:t>
      </w:r>
      <w:r w:rsidR="00B57715" w:rsidRPr="00D0377B">
        <w:rPr>
          <w:rFonts w:cs="Arial"/>
          <w:color w:val="000000" w:themeColor="text1"/>
          <w:sz w:val="22"/>
          <w:szCs w:val="22"/>
        </w:rPr>
        <w:t>.</w:t>
      </w:r>
    </w:p>
    <w:p w:rsidR="00D0377B" w:rsidRPr="00D0377B" w:rsidRDefault="00D0377B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023F73" w:rsidRDefault="00023F73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>Z</w:t>
      </w:r>
      <w:r w:rsidR="00490825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Pr="00D0377B">
        <w:rPr>
          <w:rFonts w:cs="Arial"/>
          <w:color w:val="000000" w:themeColor="text1"/>
          <w:sz w:val="22"/>
          <w:szCs w:val="22"/>
        </w:rPr>
        <w:t xml:space="preserve">uvedených údajů vyplývá jednoznačná nekoncepčnost při realizaci </w:t>
      </w:r>
      <w:r w:rsidR="006056D2" w:rsidRPr="00D0377B">
        <w:rPr>
          <w:rFonts w:cs="Arial"/>
          <w:color w:val="000000" w:themeColor="text1"/>
          <w:sz w:val="22"/>
          <w:szCs w:val="22"/>
        </w:rPr>
        <w:t>této akce.</w:t>
      </w:r>
    </w:p>
    <w:p w:rsidR="00D0377B" w:rsidRPr="00D0377B" w:rsidRDefault="00D0377B" w:rsidP="00D0377B">
      <w:pPr>
        <w:jc w:val="both"/>
        <w:rPr>
          <w:rFonts w:cs="Arial"/>
          <w:strike/>
          <w:color w:val="000000" w:themeColor="text1"/>
          <w:sz w:val="22"/>
          <w:szCs w:val="22"/>
        </w:rPr>
      </w:pPr>
    </w:p>
    <w:p w:rsidR="00BF7EB7" w:rsidRPr="00D0377B" w:rsidRDefault="00070031" w:rsidP="00D0377B">
      <w:pPr>
        <w:autoSpaceDE w:val="0"/>
        <w:autoSpaceDN w:val="0"/>
        <w:adjustRightInd w:val="0"/>
        <w:jc w:val="both"/>
        <w:rPr>
          <w:rFonts w:cs="Arial"/>
          <w:b/>
          <w:color w:val="000000" w:themeColor="text1"/>
          <w:sz w:val="22"/>
          <w:szCs w:val="22"/>
        </w:rPr>
      </w:pPr>
      <w:r w:rsidRPr="00D0377B">
        <w:rPr>
          <w:rFonts w:cs="Arial"/>
          <w:b/>
          <w:color w:val="000000" w:themeColor="text1"/>
          <w:sz w:val="22"/>
          <w:szCs w:val="22"/>
        </w:rPr>
        <w:t>3.1.</w:t>
      </w:r>
      <w:r w:rsidR="00B14268" w:rsidRPr="00D0377B">
        <w:rPr>
          <w:rFonts w:cs="Arial"/>
          <w:b/>
          <w:color w:val="000000" w:themeColor="text1"/>
          <w:sz w:val="22"/>
          <w:szCs w:val="22"/>
        </w:rPr>
        <w:t>1.</w:t>
      </w:r>
      <w:r w:rsidRPr="00D0377B">
        <w:rPr>
          <w:rFonts w:cs="Arial"/>
          <w:b/>
          <w:color w:val="000000" w:themeColor="text1"/>
          <w:sz w:val="22"/>
          <w:szCs w:val="22"/>
        </w:rPr>
        <w:t>2</w:t>
      </w:r>
      <w:r w:rsidR="00BF7EB7" w:rsidRPr="00D0377B">
        <w:rPr>
          <w:rFonts w:cs="Arial"/>
          <w:b/>
          <w:color w:val="000000" w:themeColor="text1"/>
          <w:sz w:val="22"/>
          <w:szCs w:val="22"/>
        </w:rPr>
        <w:t xml:space="preserve"> Akce </w:t>
      </w:r>
      <w:r w:rsidR="00BF7EB7" w:rsidRPr="00D0377B">
        <w:rPr>
          <w:rFonts w:cs="Arial"/>
          <w:b/>
          <w:bCs/>
          <w:color w:val="000000" w:themeColor="text1"/>
          <w:sz w:val="22"/>
          <w:szCs w:val="22"/>
        </w:rPr>
        <w:t xml:space="preserve">ev. č. </w:t>
      </w:r>
      <w:r w:rsidR="00BF7EB7" w:rsidRPr="00D0377B">
        <w:rPr>
          <w:rFonts w:cs="Arial"/>
          <w:b/>
          <w:color w:val="000000" w:themeColor="text1"/>
          <w:sz w:val="22"/>
          <w:szCs w:val="22"/>
        </w:rPr>
        <w:t>107V214 1001</w:t>
      </w:r>
      <w:r w:rsidR="0054609E">
        <w:rPr>
          <w:rFonts w:cs="Arial"/>
          <w:b/>
          <w:color w:val="000000" w:themeColor="text1"/>
          <w:sz w:val="22"/>
          <w:szCs w:val="22"/>
        </w:rPr>
        <w:t> –</w:t>
      </w:r>
      <w:r w:rsidR="00BF7EB7" w:rsidRPr="00D0377B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BF7EB7" w:rsidRPr="00564BC7">
        <w:rPr>
          <w:rFonts w:cs="Arial"/>
          <w:b/>
          <w:i/>
          <w:color w:val="000000" w:themeColor="text1"/>
          <w:sz w:val="22"/>
          <w:szCs w:val="22"/>
        </w:rPr>
        <w:t>Osobní padáky – nákup – II. etapa</w:t>
      </w:r>
    </w:p>
    <w:p w:rsidR="00D0377B" w:rsidRDefault="00D0377B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AB4A42" w:rsidRPr="00D0377B" w:rsidRDefault="00AB4A42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>MO podle schválených takticko-technických požadavků na I</w:t>
      </w:r>
      <w:r w:rsidR="00927018" w:rsidRPr="00D0377B">
        <w:rPr>
          <w:rFonts w:cs="Arial"/>
          <w:color w:val="000000" w:themeColor="text1"/>
          <w:sz w:val="22"/>
          <w:szCs w:val="22"/>
        </w:rPr>
        <w:t>I. etapu nákupu padák</w:t>
      </w:r>
      <w:r w:rsidR="0054609E">
        <w:rPr>
          <w:rFonts w:cs="Arial"/>
          <w:color w:val="000000" w:themeColor="text1"/>
          <w:sz w:val="22"/>
          <w:szCs w:val="22"/>
        </w:rPr>
        <w:t>ů</w:t>
      </w:r>
      <w:r w:rsidR="00927018" w:rsidRPr="00D0377B">
        <w:rPr>
          <w:rFonts w:cs="Arial"/>
          <w:color w:val="000000" w:themeColor="text1"/>
          <w:sz w:val="22"/>
          <w:szCs w:val="22"/>
        </w:rPr>
        <w:t xml:space="preserve"> z března </w:t>
      </w:r>
      <w:r w:rsidRPr="00D0377B">
        <w:rPr>
          <w:rFonts w:cs="Arial"/>
          <w:color w:val="000000" w:themeColor="text1"/>
          <w:sz w:val="22"/>
          <w:szCs w:val="22"/>
        </w:rPr>
        <w:t xml:space="preserve">2009 předpokládalo </w:t>
      </w:r>
      <w:r w:rsidR="00075596" w:rsidRPr="00D0377B">
        <w:rPr>
          <w:rFonts w:cs="Arial"/>
          <w:color w:val="000000" w:themeColor="text1"/>
          <w:sz w:val="22"/>
          <w:szCs w:val="22"/>
        </w:rPr>
        <w:t xml:space="preserve">v letech 2010 až 2014 </w:t>
      </w:r>
      <w:r w:rsidRPr="00D0377B">
        <w:rPr>
          <w:rFonts w:cs="Arial"/>
          <w:color w:val="000000" w:themeColor="text1"/>
          <w:sz w:val="22"/>
          <w:szCs w:val="22"/>
        </w:rPr>
        <w:t>pořízení dalších 250 s</w:t>
      </w:r>
      <w:r w:rsidR="009A7A96" w:rsidRPr="00D0377B">
        <w:rPr>
          <w:rFonts w:cs="Arial"/>
          <w:color w:val="000000" w:themeColor="text1"/>
          <w:sz w:val="22"/>
          <w:szCs w:val="22"/>
        </w:rPr>
        <w:t xml:space="preserve">ouprav padáků </w:t>
      </w:r>
      <w:r w:rsidR="0073754F" w:rsidRPr="00D0377B">
        <w:rPr>
          <w:rFonts w:cs="Arial"/>
          <w:color w:val="000000" w:themeColor="text1"/>
          <w:sz w:val="22"/>
          <w:szCs w:val="22"/>
        </w:rPr>
        <w:t>za</w:t>
      </w:r>
      <w:r w:rsidR="009A7A96" w:rsidRPr="00D0377B">
        <w:rPr>
          <w:rFonts w:cs="Arial"/>
          <w:color w:val="000000" w:themeColor="text1"/>
          <w:sz w:val="22"/>
          <w:szCs w:val="22"/>
        </w:rPr>
        <w:t xml:space="preserve"> 50</w:t>
      </w:r>
      <w:r w:rsidR="002E0364" w:rsidRPr="00D0377B">
        <w:rPr>
          <w:rFonts w:cs="Arial"/>
          <w:color w:val="000000" w:themeColor="text1"/>
          <w:sz w:val="22"/>
          <w:szCs w:val="22"/>
        </w:rPr>
        <w:t> mil. </w:t>
      </w:r>
      <w:r w:rsidRPr="00D0377B">
        <w:rPr>
          <w:rFonts w:cs="Arial"/>
          <w:color w:val="000000" w:themeColor="text1"/>
          <w:sz w:val="22"/>
          <w:szCs w:val="22"/>
        </w:rPr>
        <w:t>Kč</w:t>
      </w:r>
      <w:r w:rsidR="0073754F" w:rsidRPr="00D0377B">
        <w:rPr>
          <w:rFonts w:cs="Arial"/>
          <w:color w:val="000000" w:themeColor="text1"/>
          <w:sz w:val="22"/>
          <w:szCs w:val="22"/>
        </w:rPr>
        <w:t>.</w:t>
      </w:r>
      <w:r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54609E">
        <w:rPr>
          <w:rFonts w:cs="Arial"/>
          <w:color w:val="000000" w:themeColor="text1"/>
          <w:sz w:val="22"/>
          <w:szCs w:val="22"/>
        </w:rPr>
        <w:t>V</w:t>
      </w:r>
      <w:r w:rsidR="00D84ECD" w:rsidRPr="00D0377B">
        <w:rPr>
          <w:rFonts w:cs="Arial"/>
          <w:color w:val="000000" w:themeColor="text1"/>
          <w:sz w:val="22"/>
          <w:szCs w:val="22"/>
        </w:rPr>
        <w:t xml:space="preserve"> květnu 2009 </w:t>
      </w:r>
      <w:r w:rsidR="0054609E" w:rsidRPr="00D0377B">
        <w:rPr>
          <w:rFonts w:cs="Arial"/>
          <w:color w:val="000000" w:themeColor="text1"/>
          <w:sz w:val="22"/>
          <w:szCs w:val="22"/>
        </w:rPr>
        <w:t>navýšilo</w:t>
      </w:r>
      <w:r w:rsidR="0054609E">
        <w:rPr>
          <w:rFonts w:cs="Arial"/>
          <w:color w:val="000000" w:themeColor="text1"/>
          <w:sz w:val="22"/>
          <w:szCs w:val="22"/>
        </w:rPr>
        <w:t xml:space="preserve"> MO</w:t>
      </w:r>
      <w:r w:rsidR="0054609E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506AE7" w:rsidRPr="00D0377B">
        <w:rPr>
          <w:rFonts w:cs="Arial"/>
          <w:color w:val="000000" w:themeColor="text1"/>
          <w:sz w:val="22"/>
          <w:szCs w:val="22"/>
        </w:rPr>
        <w:t>počet souprav padáků na 400</w:t>
      </w:r>
      <w:r w:rsidR="009A7A96" w:rsidRPr="00D0377B">
        <w:rPr>
          <w:rFonts w:cs="Arial"/>
          <w:color w:val="000000" w:themeColor="text1"/>
          <w:sz w:val="22"/>
          <w:szCs w:val="22"/>
        </w:rPr>
        <w:t xml:space="preserve"> za stejnou cenu</w:t>
      </w:r>
      <w:r w:rsidR="00506AE7" w:rsidRPr="00D0377B">
        <w:rPr>
          <w:rFonts w:cs="Arial"/>
          <w:color w:val="000000" w:themeColor="text1"/>
          <w:sz w:val="22"/>
          <w:szCs w:val="22"/>
        </w:rPr>
        <w:t>.</w:t>
      </w:r>
      <w:r w:rsidR="00490825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Pr="00D0377B">
        <w:rPr>
          <w:rFonts w:cs="Arial"/>
          <w:color w:val="000000" w:themeColor="text1"/>
          <w:sz w:val="22"/>
          <w:szCs w:val="22"/>
        </w:rPr>
        <w:lastRenderedPageBreak/>
        <w:t xml:space="preserve">Jednotková cena tak byla snížena z 200 tisíc Kč na 125 tisíc Kč. </w:t>
      </w:r>
      <w:r w:rsidR="004220BA" w:rsidRPr="00D0377B">
        <w:rPr>
          <w:rFonts w:cs="Arial"/>
          <w:color w:val="000000" w:themeColor="text1"/>
          <w:sz w:val="22"/>
          <w:szCs w:val="22"/>
        </w:rPr>
        <w:t>MO zdůvodnilo navýšení počtu</w:t>
      </w:r>
      <w:r w:rsidR="00506AE7" w:rsidRPr="00D0377B">
        <w:rPr>
          <w:rFonts w:cs="Arial"/>
          <w:color w:val="000000" w:themeColor="text1"/>
          <w:sz w:val="22"/>
          <w:szCs w:val="22"/>
        </w:rPr>
        <w:t xml:space="preserve"> p</w:t>
      </w:r>
      <w:r w:rsidR="004220BA" w:rsidRPr="00D0377B">
        <w:rPr>
          <w:rFonts w:cs="Arial"/>
          <w:color w:val="000000" w:themeColor="text1"/>
          <w:sz w:val="22"/>
          <w:szCs w:val="22"/>
        </w:rPr>
        <w:t>adáků dosažením dostatečných zásob padáků pro jednotky AČR</w:t>
      </w:r>
      <w:r w:rsidR="00FE3BFA" w:rsidRPr="00D0377B">
        <w:rPr>
          <w:rFonts w:cs="Arial"/>
          <w:color w:val="000000" w:themeColor="text1"/>
          <w:sz w:val="22"/>
          <w:szCs w:val="22"/>
        </w:rPr>
        <w:t>.</w:t>
      </w:r>
      <w:r w:rsidR="004220BA" w:rsidRPr="00D0377B">
        <w:rPr>
          <w:rFonts w:cs="Arial"/>
          <w:color w:val="000000" w:themeColor="text1"/>
          <w:sz w:val="22"/>
          <w:szCs w:val="22"/>
        </w:rPr>
        <w:t xml:space="preserve"> </w:t>
      </w:r>
    </w:p>
    <w:p w:rsidR="00BF7C30" w:rsidRPr="00D0377B" w:rsidRDefault="00BF7C30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3E7117" w:rsidRPr="00D0377B" w:rsidRDefault="00AD7725" w:rsidP="00D0377B">
      <w:pPr>
        <w:spacing w:after="40"/>
        <w:rPr>
          <w:rFonts w:cs="Arial"/>
          <w:sz w:val="22"/>
          <w:szCs w:val="22"/>
        </w:rPr>
      </w:pPr>
      <w:r w:rsidRPr="00D0377B">
        <w:rPr>
          <w:rFonts w:cs="Arial"/>
          <w:b/>
          <w:sz w:val="22"/>
          <w:szCs w:val="22"/>
        </w:rPr>
        <w:t xml:space="preserve">Tabulka č. 3 </w:t>
      </w:r>
      <w:r w:rsidR="00ED3238" w:rsidRPr="00D0377B">
        <w:rPr>
          <w:rFonts w:cs="Arial"/>
          <w:b/>
          <w:sz w:val="22"/>
          <w:szCs w:val="22"/>
        </w:rPr>
        <w:t>–</w:t>
      </w:r>
      <w:r w:rsidRPr="00D0377B">
        <w:rPr>
          <w:rFonts w:cs="Arial"/>
          <w:b/>
          <w:sz w:val="22"/>
          <w:szCs w:val="22"/>
        </w:rPr>
        <w:t xml:space="preserve"> </w:t>
      </w:r>
      <w:r w:rsidR="003E7117" w:rsidRPr="00D0377B">
        <w:rPr>
          <w:rFonts w:cs="Arial"/>
          <w:b/>
          <w:sz w:val="22"/>
          <w:szCs w:val="22"/>
        </w:rPr>
        <w:t>Porovnání původní a konečné specifikace</w:t>
      </w:r>
    </w:p>
    <w:tbl>
      <w:tblPr>
        <w:tblStyle w:val="Mkatabulky"/>
        <w:tblW w:w="907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65"/>
        <w:gridCol w:w="1864"/>
        <w:gridCol w:w="1537"/>
        <w:gridCol w:w="1245"/>
      </w:tblGrid>
      <w:tr w:rsidR="003E7117" w:rsidRPr="00D0377B" w:rsidTr="00556799">
        <w:trPr>
          <w:trHeight w:val="283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E7117" w:rsidRPr="00D0377B" w:rsidRDefault="003E7117" w:rsidP="008470C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377B">
              <w:rPr>
                <w:rFonts w:cs="Arial"/>
                <w:b/>
                <w:sz w:val="18"/>
                <w:szCs w:val="18"/>
              </w:rPr>
              <w:t>Specifikace čj.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E7117" w:rsidRPr="00D0377B" w:rsidRDefault="003E7117" w:rsidP="00D037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377B">
              <w:rPr>
                <w:rFonts w:cs="Arial"/>
                <w:b/>
                <w:sz w:val="18"/>
                <w:szCs w:val="18"/>
              </w:rPr>
              <w:t>Datum schválení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:rsidR="003E7117" w:rsidRPr="00D0377B" w:rsidRDefault="00FD17A5" w:rsidP="00D037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377B">
              <w:rPr>
                <w:rFonts w:cs="Arial"/>
                <w:b/>
                <w:sz w:val="18"/>
                <w:szCs w:val="18"/>
              </w:rPr>
              <w:t>Počet souprav</w:t>
            </w:r>
            <w:r w:rsidR="003E7117" w:rsidRPr="00D0377B">
              <w:rPr>
                <w:rFonts w:cs="Arial"/>
                <w:b/>
                <w:sz w:val="18"/>
                <w:szCs w:val="18"/>
              </w:rPr>
              <w:t xml:space="preserve"> padáků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3E7117" w:rsidRPr="00D0377B" w:rsidRDefault="003E7117" w:rsidP="00D037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377B">
              <w:rPr>
                <w:rFonts w:cs="Arial"/>
                <w:b/>
                <w:sz w:val="18"/>
                <w:szCs w:val="18"/>
              </w:rPr>
              <w:t>Cena za soupravu</w:t>
            </w:r>
            <w:r w:rsidR="00FD17A5" w:rsidRPr="00D0377B">
              <w:rPr>
                <w:rFonts w:cs="Arial"/>
                <w:b/>
                <w:sz w:val="18"/>
                <w:szCs w:val="18"/>
              </w:rPr>
              <w:t xml:space="preserve"> (max.</w:t>
            </w:r>
            <w:r w:rsidRPr="00D0377B">
              <w:rPr>
                <w:rFonts w:cs="Arial"/>
                <w:b/>
                <w:sz w:val="18"/>
                <w:szCs w:val="18"/>
              </w:rPr>
              <w:t>)</w:t>
            </w:r>
            <w:r w:rsidR="00440898" w:rsidRPr="00D0377B">
              <w:rPr>
                <w:rFonts w:cs="Arial"/>
                <w:b/>
                <w:sz w:val="18"/>
                <w:szCs w:val="18"/>
              </w:rPr>
              <w:t xml:space="preserve"> /v Kč/</w:t>
            </w: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:rsidR="003E7117" w:rsidRPr="00D0377B" w:rsidRDefault="003E7117" w:rsidP="00D037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377B">
              <w:rPr>
                <w:rFonts w:cs="Arial"/>
                <w:b/>
                <w:sz w:val="18"/>
                <w:szCs w:val="18"/>
              </w:rPr>
              <w:t>Celková cena</w:t>
            </w:r>
          </w:p>
          <w:p w:rsidR="003E7117" w:rsidRPr="00D0377B" w:rsidRDefault="00FD17A5" w:rsidP="00D037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377B">
              <w:rPr>
                <w:rFonts w:cs="Arial"/>
                <w:b/>
                <w:sz w:val="18"/>
                <w:szCs w:val="18"/>
              </w:rPr>
              <w:t>(max.</w:t>
            </w:r>
            <w:r w:rsidR="003E7117" w:rsidRPr="00D0377B">
              <w:rPr>
                <w:rFonts w:cs="Arial"/>
                <w:b/>
                <w:sz w:val="18"/>
                <w:szCs w:val="18"/>
              </w:rPr>
              <w:t>)</w:t>
            </w:r>
            <w:r w:rsidR="00440898" w:rsidRPr="00D0377B">
              <w:rPr>
                <w:rFonts w:cs="Arial"/>
                <w:b/>
                <w:sz w:val="18"/>
                <w:szCs w:val="18"/>
              </w:rPr>
              <w:t xml:space="preserve"> /v Kč/</w:t>
            </w:r>
          </w:p>
        </w:tc>
        <w:tc>
          <w:tcPr>
            <w:tcW w:w="1245" w:type="dxa"/>
            <w:shd w:val="clear" w:color="auto" w:fill="F2F2F2" w:themeFill="background1" w:themeFillShade="F2"/>
            <w:vAlign w:val="center"/>
          </w:tcPr>
          <w:p w:rsidR="003E7117" w:rsidRPr="00D0377B" w:rsidRDefault="003E7117" w:rsidP="00D0377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0377B">
              <w:rPr>
                <w:rFonts w:cs="Arial"/>
                <w:b/>
                <w:sz w:val="18"/>
                <w:szCs w:val="18"/>
              </w:rPr>
              <w:t>Termín dodávek</w:t>
            </w:r>
          </w:p>
        </w:tc>
      </w:tr>
      <w:tr w:rsidR="003E7117" w:rsidRPr="00D0377B" w:rsidTr="00556799">
        <w:trPr>
          <w:trHeight w:val="283"/>
          <w:jc w:val="center"/>
        </w:trPr>
        <w:tc>
          <w:tcPr>
            <w:tcW w:w="1985" w:type="dxa"/>
            <w:vAlign w:val="center"/>
          </w:tcPr>
          <w:p w:rsidR="003E7117" w:rsidRPr="00D0377B" w:rsidRDefault="003E7117" w:rsidP="003E7117">
            <w:pPr>
              <w:rPr>
                <w:rFonts w:cs="Arial"/>
                <w:sz w:val="18"/>
                <w:szCs w:val="18"/>
              </w:rPr>
            </w:pPr>
            <w:r w:rsidRPr="00D0377B">
              <w:rPr>
                <w:rFonts w:cs="Arial"/>
                <w:sz w:val="18"/>
                <w:szCs w:val="18"/>
              </w:rPr>
              <w:t>25-34/2009-1618</w:t>
            </w:r>
          </w:p>
        </w:tc>
        <w:tc>
          <w:tcPr>
            <w:tcW w:w="1276" w:type="dxa"/>
            <w:vAlign w:val="center"/>
          </w:tcPr>
          <w:p w:rsidR="003E7117" w:rsidRPr="00D0377B" w:rsidRDefault="00370884" w:rsidP="00D0377B">
            <w:pPr>
              <w:jc w:val="right"/>
              <w:rPr>
                <w:rFonts w:cs="Arial"/>
                <w:sz w:val="18"/>
                <w:szCs w:val="18"/>
              </w:rPr>
            </w:pPr>
            <w:r w:rsidRPr="00D0377B">
              <w:rPr>
                <w:rFonts w:cs="Arial"/>
                <w:sz w:val="18"/>
                <w:szCs w:val="18"/>
              </w:rPr>
              <w:t>26</w:t>
            </w:r>
            <w:r w:rsidR="003E7117" w:rsidRPr="00D0377B">
              <w:rPr>
                <w:rFonts w:cs="Arial"/>
                <w:sz w:val="18"/>
                <w:szCs w:val="18"/>
              </w:rPr>
              <w:t>.</w:t>
            </w:r>
            <w:r w:rsidR="0094007F" w:rsidRPr="00D0377B">
              <w:rPr>
                <w:rFonts w:cs="Arial"/>
                <w:sz w:val="18"/>
                <w:szCs w:val="18"/>
              </w:rPr>
              <w:t xml:space="preserve"> </w:t>
            </w:r>
            <w:r w:rsidRPr="00D0377B">
              <w:rPr>
                <w:rFonts w:cs="Arial"/>
                <w:sz w:val="18"/>
                <w:szCs w:val="18"/>
              </w:rPr>
              <w:t>3</w:t>
            </w:r>
            <w:r w:rsidR="003E7117" w:rsidRPr="00D0377B">
              <w:rPr>
                <w:rFonts w:cs="Arial"/>
                <w:sz w:val="18"/>
                <w:szCs w:val="18"/>
              </w:rPr>
              <w:t>.</w:t>
            </w:r>
            <w:r w:rsidR="0094007F" w:rsidRPr="00D0377B">
              <w:rPr>
                <w:rFonts w:cs="Arial"/>
                <w:sz w:val="18"/>
                <w:szCs w:val="18"/>
              </w:rPr>
              <w:t xml:space="preserve"> </w:t>
            </w:r>
            <w:r w:rsidR="003E7117" w:rsidRPr="00D0377B">
              <w:rPr>
                <w:rFonts w:cs="Arial"/>
                <w:sz w:val="18"/>
                <w:szCs w:val="18"/>
              </w:rPr>
              <w:t>2009</w:t>
            </w:r>
          </w:p>
        </w:tc>
        <w:tc>
          <w:tcPr>
            <w:tcW w:w="1165" w:type="dxa"/>
            <w:vAlign w:val="center"/>
          </w:tcPr>
          <w:p w:rsidR="003E7117" w:rsidRPr="00D0377B" w:rsidRDefault="003E7117" w:rsidP="003E7117">
            <w:pPr>
              <w:jc w:val="center"/>
              <w:rPr>
                <w:rFonts w:cs="Arial"/>
                <w:sz w:val="18"/>
                <w:szCs w:val="18"/>
              </w:rPr>
            </w:pPr>
            <w:r w:rsidRPr="00D0377B"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1864" w:type="dxa"/>
            <w:vAlign w:val="center"/>
          </w:tcPr>
          <w:p w:rsidR="003E7117" w:rsidRPr="00D0377B" w:rsidRDefault="00FD17A5" w:rsidP="00D0377B">
            <w:pPr>
              <w:ind w:right="86"/>
              <w:jc w:val="right"/>
              <w:rPr>
                <w:rFonts w:cs="Arial"/>
                <w:sz w:val="18"/>
                <w:szCs w:val="18"/>
              </w:rPr>
            </w:pPr>
            <w:r w:rsidRPr="00D0377B">
              <w:rPr>
                <w:rFonts w:cs="Arial"/>
                <w:sz w:val="18"/>
                <w:szCs w:val="18"/>
              </w:rPr>
              <w:t>200</w:t>
            </w:r>
            <w:r w:rsidR="003E7117" w:rsidRPr="00D0377B">
              <w:rPr>
                <w:rFonts w:cs="Arial"/>
                <w:sz w:val="18"/>
                <w:szCs w:val="18"/>
              </w:rPr>
              <w:t xml:space="preserve"> 000</w:t>
            </w:r>
          </w:p>
        </w:tc>
        <w:tc>
          <w:tcPr>
            <w:tcW w:w="1537" w:type="dxa"/>
            <w:vAlign w:val="center"/>
          </w:tcPr>
          <w:p w:rsidR="003E7117" w:rsidRPr="00D0377B" w:rsidRDefault="00FD17A5" w:rsidP="00D0377B">
            <w:pPr>
              <w:ind w:right="86"/>
              <w:jc w:val="right"/>
              <w:rPr>
                <w:rFonts w:cs="Arial"/>
                <w:sz w:val="18"/>
                <w:szCs w:val="18"/>
              </w:rPr>
            </w:pPr>
            <w:r w:rsidRPr="00D0377B">
              <w:rPr>
                <w:rFonts w:cs="Arial"/>
                <w:sz w:val="18"/>
                <w:szCs w:val="18"/>
              </w:rPr>
              <w:t>5</w:t>
            </w:r>
            <w:r w:rsidR="003E7117" w:rsidRPr="00D0377B">
              <w:rPr>
                <w:rFonts w:cs="Arial"/>
                <w:sz w:val="18"/>
                <w:szCs w:val="18"/>
              </w:rPr>
              <w:t>0 000 000</w:t>
            </w:r>
          </w:p>
        </w:tc>
        <w:tc>
          <w:tcPr>
            <w:tcW w:w="1245" w:type="dxa"/>
          </w:tcPr>
          <w:p w:rsidR="003E7117" w:rsidRPr="00D0377B" w:rsidRDefault="003E7117" w:rsidP="00082E8A">
            <w:pPr>
              <w:jc w:val="right"/>
              <w:rPr>
                <w:rFonts w:cs="Arial"/>
                <w:sz w:val="18"/>
                <w:szCs w:val="18"/>
              </w:rPr>
            </w:pPr>
            <w:r w:rsidRPr="00D0377B">
              <w:rPr>
                <w:rFonts w:cs="Arial"/>
                <w:sz w:val="18"/>
                <w:szCs w:val="18"/>
              </w:rPr>
              <w:t>2010</w:t>
            </w:r>
            <w:r w:rsidR="00082E8A" w:rsidRPr="00D0377B">
              <w:rPr>
                <w:rFonts w:cs="Arial"/>
                <w:sz w:val="18"/>
                <w:szCs w:val="18"/>
              </w:rPr>
              <w:t>–</w:t>
            </w:r>
            <w:r w:rsidRPr="00D0377B">
              <w:rPr>
                <w:rFonts w:cs="Arial"/>
                <w:sz w:val="18"/>
                <w:szCs w:val="18"/>
              </w:rPr>
              <w:t>2014</w:t>
            </w:r>
          </w:p>
        </w:tc>
      </w:tr>
      <w:tr w:rsidR="003E7117" w:rsidRPr="00D0377B" w:rsidTr="00556799">
        <w:trPr>
          <w:trHeight w:val="283"/>
          <w:jc w:val="center"/>
        </w:trPr>
        <w:tc>
          <w:tcPr>
            <w:tcW w:w="1985" w:type="dxa"/>
            <w:vAlign w:val="center"/>
          </w:tcPr>
          <w:p w:rsidR="003E7117" w:rsidRPr="00D0377B" w:rsidRDefault="00FD17A5" w:rsidP="003E7117">
            <w:pPr>
              <w:rPr>
                <w:rFonts w:cs="Arial"/>
                <w:sz w:val="18"/>
                <w:szCs w:val="18"/>
              </w:rPr>
            </w:pPr>
            <w:r w:rsidRPr="00D0377B">
              <w:rPr>
                <w:rFonts w:cs="Arial"/>
                <w:sz w:val="18"/>
                <w:szCs w:val="18"/>
              </w:rPr>
              <w:t>25-58/2009-1618</w:t>
            </w:r>
          </w:p>
        </w:tc>
        <w:tc>
          <w:tcPr>
            <w:tcW w:w="1276" w:type="dxa"/>
            <w:vAlign w:val="center"/>
          </w:tcPr>
          <w:p w:rsidR="003E7117" w:rsidRPr="00D0377B" w:rsidRDefault="00FD17A5" w:rsidP="00D0377B">
            <w:pPr>
              <w:jc w:val="right"/>
              <w:rPr>
                <w:rFonts w:cs="Arial"/>
                <w:sz w:val="18"/>
                <w:szCs w:val="18"/>
              </w:rPr>
            </w:pPr>
            <w:r w:rsidRPr="00D0377B">
              <w:rPr>
                <w:rFonts w:cs="Arial"/>
                <w:sz w:val="18"/>
                <w:szCs w:val="18"/>
              </w:rPr>
              <w:t>15.</w:t>
            </w:r>
            <w:r w:rsidR="0094007F" w:rsidRPr="00D0377B">
              <w:rPr>
                <w:rFonts w:cs="Arial"/>
                <w:sz w:val="18"/>
                <w:szCs w:val="18"/>
              </w:rPr>
              <w:t xml:space="preserve"> </w:t>
            </w:r>
            <w:r w:rsidRPr="00D0377B">
              <w:rPr>
                <w:rFonts w:cs="Arial"/>
                <w:sz w:val="18"/>
                <w:szCs w:val="18"/>
              </w:rPr>
              <w:t>5.</w:t>
            </w:r>
            <w:r w:rsidR="0094007F" w:rsidRPr="00D0377B">
              <w:rPr>
                <w:rFonts w:cs="Arial"/>
                <w:sz w:val="18"/>
                <w:szCs w:val="18"/>
              </w:rPr>
              <w:t xml:space="preserve"> </w:t>
            </w:r>
            <w:r w:rsidRPr="00D0377B">
              <w:rPr>
                <w:rFonts w:cs="Arial"/>
                <w:sz w:val="18"/>
                <w:szCs w:val="18"/>
              </w:rPr>
              <w:t>2009</w:t>
            </w:r>
          </w:p>
        </w:tc>
        <w:tc>
          <w:tcPr>
            <w:tcW w:w="1165" w:type="dxa"/>
            <w:vAlign w:val="center"/>
          </w:tcPr>
          <w:p w:rsidR="003E7117" w:rsidRPr="00D0377B" w:rsidRDefault="00FD17A5" w:rsidP="003E7117">
            <w:pPr>
              <w:jc w:val="center"/>
              <w:rPr>
                <w:rFonts w:cs="Arial"/>
                <w:sz w:val="18"/>
                <w:szCs w:val="18"/>
              </w:rPr>
            </w:pPr>
            <w:r w:rsidRPr="00D0377B">
              <w:rPr>
                <w:rFonts w:cs="Arial"/>
                <w:sz w:val="18"/>
                <w:szCs w:val="18"/>
              </w:rPr>
              <w:t>400</w:t>
            </w:r>
          </w:p>
        </w:tc>
        <w:tc>
          <w:tcPr>
            <w:tcW w:w="1864" w:type="dxa"/>
            <w:vAlign w:val="center"/>
          </w:tcPr>
          <w:p w:rsidR="003E7117" w:rsidRPr="00D0377B" w:rsidRDefault="00FD17A5" w:rsidP="00D0377B">
            <w:pPr>
              <w:ind w:right="86"/>
              <w:jc w:val="right"/>
              <w:rPr>
                <w:rFonts w:cs="Arial"/>
                <w:sz w:val="18"/>
                <w:szCs w:val="18"/>
              </w:rPr>
            </w:pPr>
            <w:r w:rsidRPr="00D0377B">
              <w:rPr>
                <w:rFonts w:cs="Arial"/>
                <w:sz w:val="18"/>
                <w:szCs w:val="18"/>
              </w:rPr>
              <w:t>125</w:t>
            </w:r>
            <w:r w:rsidR="003E7117" w:rsidRPr="00D0377B">
              <w:rPr>
                <w:rFonts w:cs="Arial"/>
                <w:sz w:val="18"/>
                <w:szCs w:val="18"/>
              </w:rPr>
              <w:t xml:space="preserve"> 000</w:t>
            </w:r>
          </w:p>
        </w:tc>
        <w:tc>
          <w:tcPr>
            <w:tcW w:w="1537" w:type="dxa"/>
            <w:vAlign w:val="center"/>
          </w:tcPr>
          <w:p w:rsidR="003E7117" w:rsidRPr="00D0377B" w:rsidRDefault="00FD17A5" w:rsidP="00D0377B">
            <w:pPr>
              <w:ind w:right="86"/>
              <w:jc w:val="right"/>
              <w:rPr>
                <w:rFonts w:cs="Arial"/>
                <w:sz w:val="18"/>
                <w:szCs w:val="18"/>
              </w:rPr>
            </w:pPr>
            <w:r w:rsidRPr="00D0377B">
              <w:rPr>
                <w:rFonts w:cs="Arial"/>
                <w:sz w:val="18"/>
                <w:szCs w:val="18"/>
              </w:rPr>
              <w:t>5</w:t>
            </w:r>
            <w:r w:rsidR="003E7117" w:rsidRPr="00D0377B">
              <w:rPr>
                <w:rFonts w:cs="Arial"/>
                <w:sz w:val="18"/>
                <w:szCs w:val="18"/>
              </w:rPr>
              <w:t>0 000 000</w:t>
            </w:r>
          </w:p>
        </w:tc>
        <w:tc>
          <w:tcPr>
            <w:tcW w:w="1245" w:type="dxa"/>
          </w:tcPr>
          <w:p w:rsidR="003E7117" w:rsidRPr="00D0377B" w:rsidRDefault="00FD17A5" w:rsidP="00082E8A">
            <w:pPr>
              <w:jc w:val="right"/>
              <w:rPr>
                <w:rFonts w:cs="Arial"/>
                <w:sz w:val="18"/>
                <w:szCs w:val="18"/>
              </w:rPr>
            </w:pPr>
            <w:r w:rsidRPr="00D0377B">
              <w:rPr>
                <w:rFonts w:cs="Arial"/>
                <w:sz w:val="18"/>
                <w:szCs w:val="18"/>
              </w:rPr>
              <w:t>2010</w:t>
            </w:r>
            <w:r w:rsidR="00082E8A" w:rsidRPr="00D0377B">
              <w:rPr>
                <w:rFonts w:cs="Arial"/>
                <w:sz w:val="18"/>
                <w:szCs w:val="18"/>
              </w:rPr>
              <w:t>–</w:t>
            </w:r>
            <w:r w:rsidRPr="00D0377B">
              <w:rPr>
                <w:rFonts w:cs="Arial"/>
                <w:sz w:val="18"/>
                <w:szCs w:val="18"/>
              </w:rPr>
              <w:t>2014</w:t>
            </w:r>
          </w:p>
        </w:tc>
      </w:tr>
    </w:tbl>
    <w:p w:rsidR="003E7117" w:rsidRPr="00BF7C30" w:rsidRDefault="003E7117" w:rsidP="00D0377B">
      <w:pPr>
        <w:spacing w:before="40"/>
        <w:jc w:val="both"/>
        <w:rPr>
          <w:rFonts w:cs="Arial"/>
          <w:sz w:val="18"/>
          <w:szCs w:val="18"/>
        </w:rPr>
      </w:pPr>
      <w:r w:rsidRPr="00BF7C30">
        <w:rPr>
          <w:rFonts w:cs="Arial"/>
          <w:b/>
          <w:sz w:val="18"/>
          <w:szCs w:val="18"/>
          <w:lang w:eastAsia="en-US"/>
        </w:rPr>
        <w:t>Zdroj:</w:t>
      </w:r>
      <w:r w:rsidRPr="00BF7C30">
        <w:rPr>
          <w:rFonts w:cs="Arial"/>
          <w:sz w:val="18"/>
          <w:szCs w:val="18"/>
          <w:lang w:eastAsia="en-US"/>
        </w:rPr>
        <w:t xml:space="preserve"> MO – dokumentace </w:t>
      </w:r>
      <w:r w:rsidR="00370884" w:rsidRPr="00BF7C30">
        <w:rPr>
          <w:rFonts w:cs="Arial"/>
          <w:sz w:val="18"/>
          <w:szCs w:val="18"/>
          <w:lang w:eastAsia="en-US"/>
        </w:rPr>
        <w:t>akce.</w:t>
      </w:r>
    </w:p>
    <w:p w:rsidR="00D0377B" w:rsidRDefault="00D0377B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200A45" w:rsidRDefault="008250DC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 xml:space="preserve">Při </w:t>
      </w:r>
      <w:r w:rsidR="00087610" w:rsidRPr="00D0377B">
        <w:rPr>
          <w:rFonts w:cs="Arial"/>
          <w:color w:val="000000" w:themeColor="text1"/>
          <w:sz w:val="22"/>
          <w:szCs w:val="22"/>
        </w:rPr>
        <w:t>vypracová</w:t>
      </w:r>
      <w:r w:rsidR="0054609E">
        <w:rPr>
          <w:rFonts w:cs="Arial"/>
          <w:color w:val="000000" w:themeColor="text1"/>
          <w:sz w:val="22"/>
          <w:szCs w:val="22"/>
        </w:rPr>
        <w:t>vá</w:t>
      </w:r>
      <w:r w:rsidR="00087610" w:rsidRPr="00D0377B">
        <w:rPr>
          <w:rFonts w:cs="Arial"/>
          <w:color w:val="000000" w:themeColor="text1"/>
          <w:sz w:val="22"/>
          <w:szCs w:val="22"/>
        </w:rPr>
        <w:t xml:space="preserve">ní </w:t>
      </w:r>
      <w:r w:rsidRPr="00D0377B">
        <w:rPr>
          <w:rFonts w:cs="Arial"/>
          <w:color w:val="000000" w:themeColor="text1"/>
          <w:sz w:val="22"/>
          <w:szCs w:val="22"/>
        </w:rPr>
        <w:t>investičního záměru došlo v průběhu šesti týdnů ke změně specifikace, a</w:t>
      </w:r>
      <w:r w:rsidR="0054609E">
        <w:rPr>
          <w:rFonts w:cs="Arial"/>
          <w:color w:val="000000" w:themeColor="text1"/>
          <w:sz w:val="22"/>
          <w:szCs w:val="22"/>
        </w:rPr>
        <w:t> </w:t>
      </w:r>
      <w:r w:rsidRPr="00D0377B">
        <w:rPr>
          <w:rFonts w:cs="Arial"/>
          <w:color w:val="000000" w:themeColor="text1"/>
          <w:sz w:val="22"/>
          <w:szCs w:val="22"/>
        </w:rPr>
        <w:t>to jak v požadovaném množství pořizovaného majetku, tak i v</w:t>
      </w:r>
      <w:r w:rsidR="00490825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Pr="00D0377B">
        <w:rPr>
          <w:rFonts w:cs="Arial"/>
          <w:color w:val="000000" w:themeColor="text1"/>
          <w:sz w:val="22"/>
          <w:szCs w:val="22"/>
        </w:rPr>
        <w:t>ceně za souprav</w:t>
      </w:r>
      <w:r w:rsidR="0054609E">
        <w:rPr>
          <w:rFonts w:cs="Arial"/>
          <w:color w:val="000000" w:themeColor="text1"/>
          <w:sz w:val="22"/>
          <w:szCs w:val="22"/>
        </w:rPr>
        <w:t>u</w:t>
      </w:r>
      <w:r w:rsidRPr="00D0377B">
        <w:rPr>
          <w:rFonts w:cs="Arial"/>
          <w:color w:val="000000" w:themeColor="text1"/>
          <w:sz w:val="22"/>
          <w:szCs w:val="22"/>
        </w:rPr>
        <w:t xml:space="preserve"> padák</w:t>
      </w:r>
      <w:r w:rsidR="0054609E">
        <w:rPr>
          <w:rFonts w:cs="Arial"/>
          <w:color w:val="000000" w:themeColor="text1"/>
          <w:sz w:val="22"/>
          <w:szCs w:val="22"/>
        </w:rPr>
        <w:t>u</w:t>
      </w:r>
      <w:r w:rsidRPr="00D0377B">
        <w:rPr>
          <w:rFonts w:cs="Arial"/>
          <w:color w:val="000000" w:themeColor="text1"/>
          <w:sz w:val="22"/>
          <w:szCs w:val="22"/>
        </w:rPr>
        <w:t>.</w:t>
      </w:r>
      <w:r w:rsidR="00BE4A6C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440898" w:rsidRPr="00D0377B">
        <w:rPr>
          <w:rFonts w:cs="Arial"/>
          <w:color w:val="000000" w:themeColor="text1"/>
          <w:sz w:val="22"/>
          <w:szCs w:val="22"/>
        </w:rPr>
        <w:t>Opět</w:t>
      </w:r>
      <w:r w:rsidR="00200A45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440898" w:rsidRPr="00D0377B">
        <w:rPr>
          <w:rFonts w:cs="Arial"/>
          <w:color w:val="000000" w:themeColor="text1"/>
          <w:sz w:val="22"/>
          <w:szCs w:val="22"/>
        </w:rPr>
        <w:t xml:space="preserve">se </w:t>
      </w:r>
      <w:r w:rsidR="00200A45" w:rsidRPr="00D0377B">
        <w:rPr>
          <w:rFonts w:cs="Arial"/>
          <w:color w:val="000000" w:themeColor="text1"/>
          <w:sz w:val="22"/>
          <w:szCs w:val="22"/>
        </w:rPr>
        <w:t>p</w:t>
      </w:r>
      <w:r w:rsidR="00440898" w:rsidRPr="00D0377B">
        <w:rPr>
          <w:rFonts w:cs="Arial"/>
          <w:color w:val="000000" w:themeColor="text1"/>
          <w:sz w:val="22"/>
          <w:szCs w:val="22"/>
        </w:rPr>
        <w:t>rojevila</w:t>
      </w:r>
      <w:r w:rsidR="00087610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266ABE" w:rsidRPr="00D0377B">
        <w:rPr>
          <w:rFonts w:cs="Arial"/>
          <w:color w:val="000000" w:themeColor="text1"/>
          <w:sz w:val="22"/>
          <w:szCs w:val="22"/>
        </w:rPr>
        <w:t>neujasněnost a nekoncepčnost v požadavcích ze strany MO</w:t>
      </w:r>
      <w:r w:rsidR="00D0377B">
        <w:rPr>
          <w:rFonts w:cs="Arial"/>
          <w:color w:val="000000" w:themeColor="text1"/>
          <w:sz w:val="22"/>
          <w:szCs w:val="22"/>
        </w:rPr>
        <w:t>.</w:t>
      </w:r>
    </w:p>
    <w:p w:rsidR="00D0377B" w:rsidRPr="00D0377B" w:rsidRDefault="00D0377B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D52957" w:rsidRDefault="00B44AED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>Veřejná z</w:t>
      </w:r>
      <w:r w:rsidR="00513669" w:rsidRPr="00D0377B">
        <w:rPr>
          <w:rFonts w:cs="Arial"/>
          <w:color w:val="000000" w:themeColor="text1"/>
          <w:sz w:val="22"/>
          <w:szCs w:val="22"/>
        </w:rPr>
        <w:t>akázka byla zadá</w:t>
      </w:r>
      <w:r w:rsidRPr="00D0377B">
        <w:rPr>
          <w:rFonts w:cs="Arial"/>
          <w:color w:val="000000" w:themeColor="text1"/>
          <w:sz w:val="22"/>
          <w:szCs w:val="22"/>
        </w:rPr>
        <w:t>vá</w:t>
      </w:r>
      <w:r w:rsidR="00513669" w:rsidRPr="00D0377B">
        <w:rPr>
          <w:rFonts w:cs="Arial"/>
          <w:color w:val="000000" w:themeColor="text1"/>
          <w:sz w:val="22"/>
          <w:szCs w:val="22"/>
        </w:rPr>
        <w:t xml:space="preserve">na v otevřeném řízení. </w:t>
      </w:r>
      <w:r w:rsidR="00D52957" w:rsidRPr="00D0377B">
        <w:rPr>
          <w:rFonts w:cs="Arial"/>
          <w:color w:val="000000" w:themeColor="text1"/>
          <w:sz w:val="22"/>
          <w:szCs w:val="22"/>
        </w:rPr>
        <w:t>Oznámení o z</w:t>
      </w:r>
      <w:r w:rsidR="0068634F" w:rsidRPr="00D0377B">
        <w:rPr>
          <w:rFonts w:cs="Arial"/>
          <w:color w:val="000000" w:themeColor="text1"/>
          <w:sz w:val="22"/>
          <w:szCs w:val="22"/>
        </w:rPr>
        <w:t>ahájení zadávacího řízení bylo u</w:t>
      </w:r>
      <w:r w:rsidR="00D52957" w:rsidRPr="00D0377B">
        <w:rPr>
          <w:rFonts w:cs="Arial"/>
          <w:color w:val="000000" w:themeColor="text1"/>
          <w:sz w:val="22"/>
          <w:szCs w:val="22"/>
        </w:rPr>
        <w:t>veřejněno v dubnu 2010</w:t>
      </w:r>
      <w:r w:rsidR="00423B6F" w:rsidRPr="00D0377B">
        <w:rPr>
          <w:rFonts w:cs="Arial"/>
          <w:color w:val="000000" w:themeColor="text1"/>
          <w:sz w:val="22"/>
          <w:szCs w:val="22"/>
        </w:rPr>
        <w:t>. Nabídku podali tři uchazeči</w:t>
      </w:r>
      <w:r w:rsidR="00D856FD" w:rsidRPr="00D0377B">
        <w:rPr>
          <w:rFonts w:cs="Arial"/>
          <w:color w:val="000000" w:themeColor="text1"/>
          <w:sz w:val="22"/>
          <w:szCs w:val="22"/>
        </w:rPr>
        <w:t>,</w:t>
      </w:r>
      <w:r w:rsidR="00423B6F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D52957" w:rsidRPr="00D0377B">
        <w:rPr>
          <w:rFonts w:cs="Arial"/>
          <w:color w:val="000000" w:themeColor="text1"/>
          <w:sz w:val="22"/>
          <w:szCs w:val="22"/>
        </w:rPr>
        <w:t>z nichž jeden byl dodavatel</w:t>
      </w:r>
      <w:r w:rsidR="00EC0863">
        <w:rPr>
          <w:rFonts w:cs="Arial"/>
          <w:color w:val="000000" w:themeColor="text1"/>
          <w:sz w:val="22"/>
          <w:szCs w:val="22"/>
        </w:rPr>
        <w:t>em</w:t>
      </w:r>
      <w:r w:rsidR="00D52957" w:rsidRPr="00D0377B">
        <w:rPr>
          <w:rFonts w:cs="Arial"/>
          <w:color w:val="000000" w:themeColor="text1"/>
          <w:sz w:val="22"/>
          <w:szCs w:val="22"/>
        </w:rPr>
        <w:t xml:space="preserve"> předchozích souprav</w:t>
      </w:r>
      <w:r w:rsidR="00EA1B3D" w:rsidRPr="00D0377B">
        <w:rPr>
          <w:rFonts w:cs="Arial"/>
          <w:color w:val="000000" w:themeColor="text1"/>
          <w:sz w:val="22"/>
          <w:szCs w:val="22"/>
        </w:rPr>
        <w:t xml:space="preserve"> padáků</w:t>
      </w:r>
      <w:r w:rsidR="00D52957" w:rsidRPr="00D0377B">
        <w:rPr>
          <w:rFonts w:cs="Arial"/>
          <w:color w:val="000000" w:themeColor="text1"/>
          <w:sz w:val="22"/>
          <w:szCs w:val="22"/>
        </w:rPr>
        <w:t xml:space="preserve">. </w:t>
      </w:r>
      <w:r w:rsidRPr="00D0377B">
        <w:rPr>
          <w:rFonts w:cs="Arial"/>
          <w:color w:val="000000" w:themeColor="text1"/>
          <w:sz w:val="22"/>
          <w:szCs w:val="22"/>
        </w:rPr>
        <w:t xml:space="preserve">MO </w:t>
      </w:r>
      <w:r w:rsidR="00BD0201" w:rsidRPr="00D0377B">
        <w:rPr>
          <w:rFonts w:cs="Arial"/>
          <w:color w:val="000000" w:themeColor="text1"/>
          <w:sz w:val="22"/>
          <w:szCs w:val="22"/>
        </w:rPr>
        <w:t>i</w:t>
      </w:r>
      <w:r w:rsidR="00D52957" w:rsidRPr="00D0377B">
        <w:rPr>
          <w:rFonts w:cs="Arial"/>
          <w:color w:val="000000" w:themeColor="text1"/>
          <w:sz w:val="22"/>
          <w:szCs w:val="22"/>
        </w:rPr>
        <w:t xml:space="preserve"> přes špatné z</w:t>
      </w:r>
      <w:r w:rsidR="00BD0201" w:rsidRPr="00D0377B">
        <w:rPr>
          <w:rFonts w:cs="Arial"/>
          <w:color w:val="000000" w:themeColor="text1"/>
          <w:sz w:val="22"/>
          <w:szCs w:val="22"/>
        </w:rPr>
        <w:t xml:space="preserve">kušenosti s předchozím nákupem padáků </w:t>
      </w:r>
      <w:r w:rsidR="00EA1B3D" w:rsidRPr="00D0377B">
        <w:rPr>
          <w:rFonts w:cs="Arial"/>
          <w:color w:val="000000" w:themeColor="text1"/>
          <w:sz w:val="22"/>
          <w:szCs w:val="22"/>
        </w:rPr>
        <w:t xml:space="preserve">jeho </w:t>
      </w:r>
      <w:r w:rsidRPr="00D0377B">
        <w:rPr>
          <w:rFonts w:cs="Arial"/>
          <w:color w:val="000000" w:themeColor="text1"/>
          <w:sz w:val="22"/>
          <w:szCs w:val="22"/>
        </w:rPr>
        <w:t xml:space="preserve">nabídku </w:t>
      </w:r>
      <w:r w:rsidR="00BD0201" w:rsidRPr="00D0377B">
        <w:rPr>
          <w:rFonts w:cs="Arial"/>
          <w:color w:val="000000" w:themeColor="text1"/>
          <w:sz w:val="22"/>
          <w:szCs w:val="22"/>
        </w:rPr>
        <w:t>akceptovalo a v srpnu 2010 s tímto dodavatelem</w:t>
      </w:r>
      <w:r w:rsidR="00D52957" w:rsidRPr="00D0377B">
        <w:rPr>
          <w:rFonts w:cs="Arial"/>
          <w:color w:val="000000" w:themeColor="text1"/>
          <w:sz w:val="22"/>
          <w:szCs w:val="22"/>
        </w:rPr>
        <w:t xml:space="preserve"> uzavřelo smlouvu. Cena za 400 souprav</w:t>
      </w:r>
      <w:r w:rsidR="00EA1B3D" w:rsidRPr="00D0377B">
        <w:rPr>
          <w:rFonts w:cs="Arial"/>
          <w:color w:val="000000" w:themeColor="text1"/>
          <w:sz w:val="22"/>
          <w:szCs w:val="22"/>
        </w:rPr>
        <w:t xml:space="preserve"> padáků</w:t>
      </w:r>
      <w:r w:rsidR="00D35759" w:rsidRPr="00D0377B">
        <w:rPr>
          <w:rStyle w:val="Znakapoznpodarou"/>
          <w:rFonts w:cs="Arial"/>
          <w:color w:val="000000" w:themeColor="text1"/>
          <w:sz w:val="22"/>
          <w:szCs w:val="22"/>
        </w:rPr>
        <w:footnoteReference w:id="10"/>
      </w:r>
      <w:r w:rsidR="00D52957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423B6F" w:rsidRPr="00D0377B">
        <w:rPr>
          <w:rFonts w:cs="Arial"/>
          <w:color w:val="000000" w:themeColor="text1"/>
          <w:sz w:val="22"/>
          <w:szCs w:val="22"/>
        </w:rPr>
        <w:t>činila</w:t>
      </w:r>
      <w:r w:rsidR="00D52957" w:rsidRPr="00D0377B">
        <w:rPr>
          <w:rFonts w:cs="Arial"/>
          <w:color w:val="000000" w:themeColor="text1"/>
          <w:sz w:val="22"/>
          <w:szCs w:val="22"/>
        </w:rPr>
        <w:t xml:space="preserve"> 44,2 mil. Kč. Dodávka prvních 80 soupr</w:t>
      </w:r>
      <w:r w:rsidR="00DE3383" w:rsidRPr="00D0377B">
        <w:rPr>
          <w:rFonts w:cs="Arial"/>
          <w:color w:val="000000" w:themeColor="text1"/>
          <w:sz w:val="22"/>
          <w:szCs w:val="22"/>
        </w:rPr>
        <w:t xml:space="preserve">av měla být </w:t>
      </w:r>
      <w:r w:rsidR="00423B6F" w:rsidRPr="00D0377B">
        <w:rPr>
          <w:rFonts w:cs="Arial"/>
          <w:color w:val="000000" w:themeColor="text1"/>
          <w:sz w:val="22"/>
          <w:szCs w:val="22"/>
        </w:rPr>
        <w:t xml:space="preserve">uskutečněna </w:t>
      </w:r>
      <w:r w:rsidR="00BD0201" w:rsidRPr="00D0377B">
        <w:rPr>
          <w:rFonts w:cs="Arial"/>
          <w:color w:val="000000" w:themeColor="text1"/>
          <w:sz w:val="22"/>
          <w:szCs w:val="22"/>
        </w:rPr>
        <w:t xml:space="preserve">do </w:t>
      </w:r>
      <w:r w:rsidR="00DE3383" w:rsidRPr="00D0377B">
        <w:rPr>
          <w:rFonts w:cs="Arial"/>
          <w:color w:val="000000" w:themeColor="text1"/>
          <w:sz w:val="22"/>
          <w:szCs w:val="22"/>
        </w:rPr>
        <w:t>180 dn</w:t>
      </w:r>
      <w:r w:rsidR="0054609E">
        <w:rPr>
          <w:rFonts w:cs="Arial"/>
          <w:color w:val="000000" w:themeColor="text1"/>
          <w:sz w:val="22"/>
          <w:szCs w:val="22"/>
        </w:rPr>
        <w:t>ů</w:t>
      </w:r>
      <w:r w:rsidR="00DE3383" w:rsidRPr="00D0377B">
        <w:rPr>
          <w:rFonts w:cs="Arial"/>
          <w:color w:val="000000" w:themeColor="text1"/>
          <w:sz w:val="22"/>
          <w:szCs w:val="22"/>
        </w:rPr>
        <w:t xml:space="preserve"> po vyhovujících vojskových zkouš</w:t>
      </w:r>
      <w:r w:rsidR="00D52957" w:rsidRPr="00D0377B">
        <w:rPr>
          <w:rFonts w:cs="Arial"/>
          <w:color w:val="000000" w:themeColor="text1"/>
          <w:sz w:val="22"/>
          <w:szCs w:val="22"/>
        </w:rPr>
        <w:t>k</w:t>
      </w:r>
      <w:r w:rsidR="00DE3383" w:rsidRPr="00D0377B">
        <w:rPr>
          <w:rFonts w:cs="Arial"/>
          <w:color w:val="000000" w:themeColor="text1"/>
          <w:sz w:val="22"/>
          <w:szCs w:val="22"/>
        </w:rPr>
        <w:t>ách</w:t>
      </w:r>
      <w:r w:rsidR="00D52957" w:rsidRPr="00D0377B">
        <w:rPr>
          <w:rFonts w:cs="Arial"/>
          <w:color w:val="000000" w:themeColor="text1"/>
          <w:sz w:val="22"/>
          <w:szCs w:val="22"/>
        </w:rPr>
        <w:t xml:space="preserve"> a </w:t>
      </w:r>
      <w:r w:rsidR="00423B6F" w:rsidRPr="00D0377B">
        <w:rPr>
          <w:rFonts w:cs="Arial"/>
          <w:color w:val="000000" w:themeColor="text1"/>
          <w:sz w:val="22"/>
          <w:szCs w:val="22"/>
        </w:rPr>
        <w:t>dále</w:t>
      </w:r>
      <w:r w:rsidR="00D52957" w:rsidRPr="00D0377B">
        <w:rPr>
          <w:rFonts w:cs="Arial"/>
          <w:color w:val="000000" w:themeColor="text1"/>
          <w:sz w:val="22"/>
          <w:szCs w:val="22"/>
        </w:rPr>
        <w:t xml:space="preserve"> po 80 </w:t>
      </w:r>
      <w:r w:rsidR="00DE3383" w:rsidRPr="00D0377B">
        <w:rPr>
          <w:rFonts w:cs="Arial"/>
          <w:color w:val="000000" w:themeColor="text1"/>
          <w:sz w:val="22"/>
          <w:szCs w:val="22"/>
        </w:rPr>
        <w:t xml:space="preserve">soupravách </w:t>
      </w:r>
      <w:r w:rsidR="0054609E">
        <w:rPr>
          <w:rFonts w:cs="Arial"/>
          <w:color w:val="000000" w:themeColor="text1"/>
          <w:sz w:val="22"/>
          <w:szCs w:val="22"/>
        </w:rPr>
        <w:t xml:space="preserve">mělo být dodáváno </w:t>
      </w:r>
      <w:r w:rsidR="00DE3383" w:rsidRPr="00D0377B">
        <w:rPr>
          <w:rFonts w:cs="Arial"/>
          <w:color w:val="000000" w:themeColor="text1"/>
          <w:sz w:val="22"/>
          <w:szCs w:val="22"/>
        </w:rPr>
        <w:t>každoročně</w:t>
      </w:r>
      <w:r w:rsidR="00721722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423B6F" w:rsidRPr="00D0377B">
        <w:rPr>
          <w:rFonts w:cs="Arial"/>
          <w:color w:val="000000" w:themeColor="text1"/>
          <w:sz w:val="22"/>
          <w:szCs w:val="22"/>
        </w:rPr>
        <w:t>až d</w:t>
      </w:r>
      <w:r w:rsidR="00D52957" w:rsidRPr="00D0377B">
        <w:rPr>
          <w:rFonts w:cs="Arial"/>
          <w:color w:val="000000" w:themeColor="text1"/>
          <w:sz w:val="22"/>
          <w:szCs w:val="22"/>
        </w:rPr>
        <w:t>o roku 2014.</w:t>
      </w:r>
    </w:p>
    <w:p w:rsidR="00D0377B" w:rsidRPr="00D0377B" w:rsidRDefault="00D0377B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B44AED" w:rsidRDefault="00D52957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>V důsledku neschválených technických podmínek byly vojskové zkoušky odloženy</w:t>
      </w:r>
      <w:r w:rsidR="00D856FD" w:rsidRPr="00D0377B">
        <w:rPr>
          <w:rFonts w:cs="Arial"/>
          <w:color w:val="000000" w:themeColor="text1"/>
          <w:sz w:val="22"/>
          <w:szCs w:val="22"/>
        </w:rPr>
        <w:t xml:space="preserve"> a </w:t>
      </w:r>
      <w:r w:rsidR="00087610" w:rsidRPr="00D0377B">
        <w:rPr>
          <w:rFonts w:cs="Arial"/>
          <w:color w:val="000000" w:themeColor="text1"/>
          <w:sz w:val="22"/>
          <w:szCs w:val="22"/>
        </w:rPr>
        <w:t>z</w:t>
      </w:r>
      <w:r w:rsidRPr="00D0377B">
        <w:rPr>
          <w:rFonts w:cs="Arial"/>
          <w:color w:val="000000" w:themeColor="text1"/>
          <w:sz w:val="22"/>
          <w:szCs w:val="22"/>
        </w:rPr>
        <w:t xml:space="preserve">ávěrečná zpráva o jejich výsledku z června 2011 </w:t>
      </w:r>
      <w:r w:rsidR="00EC0863" w:rsidRPr="00D0377B">
        <w:rPr>
          <w:rFonts w:cs="Arial"/>
          <w:color w:val="000000" w:themeColor="text1"/>
          <w:sz w:val="22"/>
          <w:szCs w:val="22"/>
        </w:rPr>
        <w:t xml:space="preserve">nedoporučila </w:t>
      </w:r>
      <w:r w:rsidRPr="00D0377B">
        <w:rPr>
          <w:rFonts w:cs="Arial"/>
          <w:color w:val="000000" w:themeColor="text1"/>
          <w:sz w:val="22"/>
          <w:szCs w:val="22"/>
        </w:rPr>
        <w:t xml:space="preserve">zavedení nových souprav </w:t>
      </w:r>
      <w:r w:rsidR="00933FC7" w:rsidRPr="00D0377B">
        <w:rPr>
          <w:rFonts w:cs="Arial"/>
          <w:color w:val="000000" w:themeColor="text1"/>
          <w:sz w:val="22"/>
          <w:szCs w:val="22"/>
        </w:rPr>
        <w:t xml:space="preserve">padáků </w:t>
      </w:r>
      <w:r w:rsidRPr="00D0377B">
        <w:rPr>
          <w:rFonts w:cs="Arial"/>
          <w:color w:val="000000" w:themeColor="text1"/>
          <w:sz w:val="22"/>
          <w:szCs w:val="22"/>
        </w:rPr>
        <w:t xml:space="preserve">do užívání. </w:t>
      </w:r>
      <w:r w:rsidR="00D37A8A" w:rsidRPr="00D0377B">
        <w:rPr>
          <w:rFonts w:cs="Arial"/>
          <w:color w:val="000000" w:themeColor="text1"/>
          <w:sz w:val="22"/>
          <w:szCs w:val="22"/>
        </w:rPr>
        <w:t>V</w:t>
      </w:r>
      <w:r w:rsidRPr="00D0377B">
        <w:rPr>
          <w:rFonts w:cs="Arial"/>
          <w:color w:val="000000" w:themeColor="text1"/>
          <w:sz w:val="22"/>
          <w:szCs w:val="22"/>
        </w:rPr>
        <w:t xml:space="preserve"> listopadu 2011 </w:t>
      </w:r>
      <w:r w:rsidR="00D37A8A" w:rsidRPr="00D0377B">
        <w:rPr>
          <w:rFonts w:cs="Arial"/>
          <w:color w:val="000000" w:themeColor="text1"/>
          <w:sz w:val="22"/>
          <w:szCs w:val="22"/>
        </w:rPr>
        <w:t xml:space="preserve">byl </w:t>
      </w:r>
      <w:r w:rsidR="0054609E" w:rsidRPr="00D0377B">
        <w:rPr>
          <w:rFonts w:cs="Arial"/>
          <w:color w:val="000000" w:themeColor="text1"/>
          <w:sz w:val="22"/>
          <w:szCs w:val="22"/>
        </w:rPr>
        <w:t xml:space="preserve">ke smlouvě </w:t>
      </w:r>
      <w:r w:rsidRPr="00D0377B">
        <w:rPr>
          <w:rFonts w:cs="Arial"/>
          <w:color w:val="000000" w:themeColor="text1"/>
          <w:sz w:val="22"/>
          <w:szCs w:val="22"/>
        </w:rPr>
        <w:t xml:space="preserve">uzavřen </w:t>
      </w:r>
      <w:r w:rsidR="009A4141" w:rsidRPr="00D0377B">
        <w:rPr>
          <w:rFonts w:cs="Arial"/>
          <w:color w:val="000000" w:themeColor="text1"/>
          <w:sz w:val="22"/>
          <w:szCs w:val="22"/>
        </w:rPr>
        <w:t xml:space="preserve">dodatek, </w:t>
      </w:r>
      <w:r w:rsidR="004E3AB8" w:rsidRPr="00D0377B">
        <w:rPr>
          <w:rFonts w:cs="Arial"/>
          <w:color w:val="000000" w:themeColor="text1"/>
          <w:sz w:val="22"/>
          <w:szCs w:val="22"/>
        </w:rPr>
        <w:t xml:space="preserve">kterým byl </w:t>
      </w:r>
      <w:r w:rsidR="009A4141" w:rsidRPr="00D0377B">
        <w:rPr>
          <w:rFonts w:cs="Arial"/>
          <w:color w:val="000000" w:themeColor="text1"/>
          <w:sz w:val="22"/>
          <w:szCs w:val="22"/>
        </w:rPr>
        <w:t>termín první dodávky souprav padáků posunut o více než půl roku a</w:t>
      </w:r>
      <w:r w:rsidR="0054609E">
        <w:rPr>
          <w:rFonts w:cs="Arial"/>
          <w:color w:val="000000" w:themeColor="text1"/>
          <w:sz w:val="22"/>
          <w:szCs w:val="22"/>
        </w:rPr>
        <w:t> </w:t>
      </w:r>
      <w:r w:rsidR="009A4141" w:rsidRPr="00D0377B">
        <w:rPr>
          <w:rFonts w:cs="Arial"/>
          <w:color w:val="000000" w:themeColor="text1"/>
          <w:sz w:val="22"/>
          <w:szCs w:val="22"/>
        </w:rPr>
        <w:t xml:space="preserve">celková </w:t>
      </w:r>
      <w:r w:rsidRPr="00D0377B">
        <w:rPr>
          <w:rFonts w:cs="Arial"/>
          <w:color w:val="000000" w:themeColor="text1"/>
          <w:sz w:val="22"/>
          <w:szCs w:val="22"/>
        </w:rPr>
        <w:t xml:space="preserve">cena </w:t>
      </w:r>
      <w:r w:rsidR="009A4141" w:rsidRPr="00D0377B">
        <w:rPr>
          <w:rFonts w:cs="Arial"/>
          <w:color w:val="000000" w:themeColor="text1"/>
          <w:sz w:val="22"/>
          <w:szCs w:val="22"/>
        </w:rPr>
        <w:t>byla snížena</w:t>
      </w:r>
      <w:r w:rsidRPr="00D0377B">
        <w:rPr>
          <w:rFonts w:cs="Arial"/>
          <w:color w:val="000000" w:themeColor="text1"/>
          <w:sz w:val="22"/>
          <w:szCs w:val="22"/>
        </w:rPr>
        <w:t xml:space="preserve"> na </w:t>
      </w:r>
      <w:r w:rsidR="009A4141" w:rsidRPr="00D0377B">
        <w:rPr>
          <w:rFonts w:cs="Arial"/>
          <w:color w:val="000000" w:themeColor="text1"/>
          <w:sz w:val="22"/>
          <w:szCs w:val="22"/>
        </w:rPr>
        <w:t>44</w:t>
      </w:r>
      <w:r w:rsidR="005225BE" w:rsidRPr="00D0377B">
        <w:rPr>
          <w:rFonts w:cs="Arial"/>
          <w:color w:val="000000" w:themeColor="text1"/>
          <w:sz w:val="22"/>
          <w:szCs w:val="22"/>
        </w:rPr>
        <w:t> mil. </w:t>
      </w:r>
      <w:r w:rsidRPr="00D0377B">
        <w:rPr>
          <w:rFonts w:cs="Arial"/>
          <w:color w:val="000000" w:themeColor="text1"/>
          <w:sz w:val="22"/>
          <w:szCs w:val="22"/>
        </w:rPr>
        <w:t>Kč</w:t>
      </w:r>
      <w:r w:rsidR="00D0377B">
        <w:rPr>
          <w:rFonts w:cs="Arial"/>
          <w:color w:val="000000" w:themeColor="text1"/>
          <w:sz w:val="22"/>
          <w:szCs w:val="22"/>
        </w:rPr>
        <w:t>.</w:t>
      </w:r>
    </w:p>
    <w:p w:rsidR="00D0377B" w:rsidRPr="00D0377B" w:rsidRDefault="00D0377B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D52957" w:rsidRDefault="00D52957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 xml:space="preserve">Doplňkové </w:t>
      </w:r>
      <w:r w:rsidR="00B44AED" w:rsidRPr="00D0377B">
        <w:rPr>
          <w:rFonts w:cs="Arial"/>
          <w:color w:val="000000" w:themeColor="text1"/>
          <w:sz w:val="22"/>
          <w:szCs w:val="22"/>
        </w:rPr>
        <w:t xml:space="preserve">vojskové </w:t>
      </w:r>
      <w:r w:rsidRPr="00D0377B">
        <w:rPr>
          <w:rFonts w:cs="Arial"/>
          <w:color w:val="000000" w:themeColor="text1"/>
          <w:sz w:val="22"/>
          <w:szCs w:val="22"/>
        </w:rPr>
        <w:t>zkoušky z března a dubna 2012 měly opět neg</w:t>
      </w:r>
      <w:r w:rsidR="00DE3383" w:rsidRPr="00D0377B">
        <w:rPr>
          <w:rFonts w:cs="Arial"/>
          <w:color w:val="000000" w:themeColor="text1"/>
          <w:sz w:val="22"/>
          <w:szCs w:val="22"/>
        </w:rPr>
        <w:t xml:space="preserve">ativní výsledek </w:t>
      </w:r>
      <w:r w:rsidR="00D37A8A" w:rsidRPr="00D0377B">
        <w:rPr>
          <w:rFonts w:cs="Arial"/>
          <w:color w:val="000000" w:themeColor="text1"/>
          <w:sz w:val="22"/>
          <w:szCs w:val="22"/>
        </w:rPr>
        <w:t>z důvodu technických závad a znovu byl posunut termín první dodávky</w:t>
      </w:r>
      <w:r w:rsidRPr="00D0377B">
        <w:rPr>
          <w:rFonts w:cs="Arial"/>
          <w:color w:val="000000" w:themeColor="text1"/>
          <w:sz w:val="22"/>
          <w:szCs w:val="22"/>
        </w:rPr>
        <w:t>.</w:t>
      </w:r>
      <w:r w:rsidR="00A11FF2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Pr="00D0377B">
        <w:rPr>
          <w:rFonts w:cs="Arial"/>
          <w:color w:val="000000" w:themeColor="text1"/>
          <w:sz w:val="22"/>
          <w:szCs w:val="22"/>
        </w:rPr>
        <w:t>Na dalším jednání dodavatel navrhl</w:t>
      </w:r>
      <w:r w:rsidR="0054609E">
        <w:rPr>
          <w:rFonts w:cs="Arial"/>
          <w:color w:val="000000" w:themeColor="text1"/>
          <w:sz w:val="22"/>
          <w:szCs w:val="22"/>
        </w:rPr>
        <w:t>, že</w:t>
      </w:r>
      <w:r w:rsidR="00136D08" w:rsidRPr="00D0377B">
        <w:rPr>
          <w:rFonts w:cs="Arial"/>
          <w:color w:val="000000" w:themeColor="text1"/>
          <w:sz w:val="22"/>
          <w:szCs w:val="22"/>
        </w:rPr>
        <w:t xml:space="preserve"> penále ve</w:t>
      </w:r>
      <w:r w:rsidR="00117C9C" w:rsidRPr="00D0377B">
        <w:rPr>
          <w:rFonts w:cs="Arial"/>
          <w:color w:val="000000" w:themeColor="text1"/>
          <w:sz w:val="22"/>
          <w:szCs w:val="22"/>
        </w:rPr>
        <w:t xml:space="preserve"> výši 129,7 tis. </w:t>
      </w:r>
      <w:r w:rsidR="00136D08" w:rsidRPr="00D0377B">
        <w:rPr>
          <w:rFonts w:cs="Arial"/>
          <w:color w:val="000000" w:themeColor="text1"/>
          <w:sz w:val="22"/>
          <w:szCs w:val="22"/>
        </w:rPr>
        <w:t>Kč</w:t>
      </w:r>
      <w:r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54609E" w:rsidRPr="00D0377B">
        <w:rPr>
          <w:rFonts w:cs="Arial"/>
          <w:color w:val="000000" w:themeColor="text1"/>
          <w:sz w:val="22"/>
          <w:szCs w:val="22"/>
        </w:rPr>
        <w:t xml:space="preserve">za prodlení s plněním dodávky </w:t>
      </w:r>
      <w:r w:rsidR="0054609E">
        <w:rPr>
          <w:rFonts w:cs="Arial"/>
          <w:color w:val="000000" w:themeColor="text1"/>
          <w:sz w:val="22"/>
          <w:szCs w:val="22"/>
        </w:rPr>
        <w:t>nahradí</w:t>
      </w:r>
      <w:r w:rsidR="007D2474" w:rsidRPr="00D0377B">
        <w:rPr>
          <w:rFonts w:cs="Arial"/>
          <w:color w:val="000000" w:themeColor="text1"/>
          <w:sz w:val="22"/>
          <w:szCs w:val="22"/>
        </w:rPr>
        <w:t xml:space="preserve"> dodávkou dalšího zboží</w:t>
      </w:r>
      <w:r w:rsidR="007F3A25" w:rsidRPr="00D0377B">
        <w:rPr>
          <w:rFonts w:cs="Arial"/>
          <w:color w:val="000000" w:themeColor="text1"/>
          <w:sz w:val="22"/>
          <w:szCs w:val="22"/>
        </w:rPr>
        <w:t>, např. náhradní</w:t>
      </w:r>
      <w:r w:rsidR="0054609E">
        <w:rPr>
          <w:rFonts w:cs="Arial"/>
          <w:color w:val="000000" w:themeColor="text1"/>
          <w:sz w:val="22"/>
          <w:szCs w:val="22"/>
        </w:rPr>
        <w:t>mi</w:t>
      </w:r>
      <w:r w:rsidR="007F3A25" w:rsidRPr="00D0377B">
        <w:rPr>
          <w:rFonts w:cs="Arial"/>
          <w:color w:val="000000" w:themeColor="text1"/>
          <w:sz w:val="22"/>
          <w:szCs w:val="22"/>
        </w:rPr>
        <w:t xml:space="preserve"> díl</w:t>
      </w:r>
      <w:r w:rsidR="0054609E">
        <w:rPr>
          <w:rFonts w:cs="Arial"/>
          <w:color w:val="000000" w:themeColor="text1"/>
          <w:sz w:val="22"/>
          <w:szCs w:val="22"/>
        </w:rPr>
        <w:t>y</w:t>
      </w:r>
      <w:r w:rsidR="002068C1" w:rsidRPr="00D0377B">
        <w:rPr>
          <w:rFonts w:cs="Arial"/>
          <w:color w:val="000000" w:themeColor="text1"/>
          <w:sz w:val="22"/>
          <w:szCs w:val="22"/>
        </w:rPr>
        <w:t xml:space="preserve"> nebo výcvikový</w:t>
      </w:r>
      <w:r w:rsidR="0054609E">
        <w:rPr>
          <w:rFonts w:cs="Arial"/>
          <w:color w:val="000000" w:themeColor="text1"/>
          <w:sz w:val="22"/>
          <w:szCs w:val="22"/>
        </w:rPr>
        <w:t>mi</w:t>
      </w:r>
      <w:r w:rsidR="002068C1" w:rsidRPr="00D0377B">
        <w:rPr>
          <w:rFonts w:cs="Arial"/>
          <w:color w:val="000000" w:themeColor="text1"/>
          <w:sz w:val="22"/>
          <w:szCs w:val="22"/>
        </w:rPr>
        <w:t xml:space="preserve"> prostředk</w:t>
      </w:r>
      <w:r w:rsidR="0054609E">
        <w:rPr>
          <w:rFonts w:cs="Arial"/>
          <w:color w:val="000000" w:themeColor="text1"/>
          <w:sz w:val="22"/>
          <w:szCs w:val="22"/>
        </w:rPr>
        <w:t>y</w:t>
      </w:r>
      <w:r w:rsidR="007D2474" w:rsidRPr="00D0377B">
        <w:rPr>
          <w:rFonts w:cs="Arial"/>
          <w:color w:val="000000" w:themeColor="text1"/>
          <w:sz w:val="22"/>
          <w:szCs w:val="22"/>
        </w:rPr>
        <w:t xml:space="preserve">. </w:t>
      </w:r>
      <w:r w:rsidRPr="00D0377B">
        <w:rPr>
          <w:rFonts w:cs="Arial"/>
          <w:color w:val="000000" w:themeColor="text1"/>
          <w:sz w:val="22"/>
          <w:szCs w:val="22"/>
        </w:rPr>
        <w:t xml:space="preserve">MO </w:t>
      </w:r>
      <w:r w:rsidR="007D2474" w:rsidRPr="00D0377B">
        <w:rPr>
          <w:rFonts w:cs="Arial"/>
          <w:color w:val="000000" w:themeColor="text1"/>
          <w:sz w:val="22"/>
          <w:szCs w:val="22"/>
        </w:rPr>
        <w:t xml:space="preserve">na tento návrh </w:t>
      </w:r>
      <w:r w:rsidRPr="00D0377B">
        <w:rPr>
          <w:rFonts w:cs="Arial"/>
          <w:color w:val="000000" w:themeColor="text1"/>
          <w:sz w:val="22"/>
          <w:szCs w:val="22"/>
        </w:rPr>
        <w:t>nepřistoupilo. V srpnu 2012 proběhly vojskové zkoušky</w:t>
      </w:r>
      <w:r w:rsidR="00D5177E" w:rsidRPr="00D0377B">
        <w:rPr>
          <w:rFonts w:cs="Arial"/>
          <w:color w:val="000000" w:themeColor="text1"/>
          <w:sz w:val="22"/>
          <w:szCs w:val="22"/>
        </w:rPr>
        <w:t xml:space="preserve"> s vyhovujícími</w:t>
      </w:r>
      <w:r w:rsidR="002068C1" w:rsidRPr="00D0377B">
        <w:rPr>
          <w:rFonts w:cs="Arial"/>
          <w:color w:val="000000" w:themeColor="text1"/>
          <w:sz w:val="22"/>
          <w:szCs w:val="22"/>
        </w:rPr>
        <w:t xml:space="preserve"> výsledky a dodávky padáků OVP</w:t>
      </w:r>
      <w:r w:rsidR="00F30B2D">
        <w:rPr>
          <w:rFonts w:cs="Arial"/>
          <w:color w:val="000000" w:themeColor="text1"/>
          <w:sz w:val="22"/>
          <w:szCs w:val="22"/>
        </w:rPr>
        <w:t>-</w:t>
      </w:r>
      <w:r w:rsidR="002068C1" w:rsidRPr="00D0377B">
        <w:rPr>
          <w:rFonts w:cs="Arial"/>
          <w:color w:val="000000" w:themeColor="text1"/>
          <w:sz w:val="22"/>
          <w:szCs w:val="22"/>
        </w:rPr>
        <w:t>80.08 SL</w:t>
      </w:r>
      <w:r w:rsidR="002E0364" w:rsidRPr="00D0377B">
        <w:rPr>
          <w:rStyle w:val="Znakapoznpodarou"/>
          <w:rFonts w:cs="Arial"/>
          <w:color w:val="000000" w:themeColor="text1"/>
          <w:sz w:val="22"/>
          <w:szCs w:val="22"/>
        </w:rPr>
        <w:footnoteReference w:id="11"/>
      </w:r>
      <w:r w:rsidR="002068C1" w:rsidRPr="00D0377B">
        <w:rPr>
          <w:rFonts w:cs="Arial"/>
          <w:color w:val="000000" w:themeColor="text1"/>
          <w:sz w:val="22"/>
          <w:szCs w:val="22"/>
        </w:rPr>
        <w:t>, resp. OVP-12 SL, byly zahájeny v listopadu 2012</w:t>
      </w:r>
      <w:r w:rsidR="00D5177E" w:rsidRPr="00D0377B">
        <w:rPr>
          <w:rFonts w:cs="Arial"/>
          <w:color w:val="000000" w:themeColor="text1"/>
          <w:sz w:val="22"/>
          <w:szCs w:val="22"/>
        </w:rPr>
        <w:t>.</w:t>
      </w:r>
      <w:r w:rsidR="00F6610F" w:rsidRPr="00D0377B">
        <w:rPr>
          <w:rFonts w:cs="Arial"/>
          <w:color w:val="000000" w:themeColor="text1"/>
          <w:sz w:val="22"/>
          <w:szCs w:val="22"/>
        </w:rPr>
        <w:t xml:space="preserve"> MO </w:t>
      </w:r>
      <w:proofErr w:type="gramStart"/>
      <w:r w:rsidR="00F6610F" w:rsidRPr="00D0377B">
        <w:rPr>
          <w:rFonts w:cs="Arial"/>
          <w:color w:val="000000" w:themeColor="text1"/>
          <w:sz w:val="22"/>
          <w:szCs w:val="22"/>
        </w:rPr>
        <w:t>uplatnilo</w:t>
      </w:r>
      <w:proofErr w:type="gramEnd"/>
      <w:r w:rsidR="00F6610F" w:rsidRPr="00D0377B">
        <w:rPr>
          <w:rFonts w:cs="Arial"/>
          <w:color w:val="000000" w:themeColor="text1"/>
          <w:sz w:val="22"/>
          <w:szCs w:val="22"/>
        </w:rPr>
        <w:t xml:space="preserve"> smluvní sankce za nedodání souprav padáků ve výši 0,05</w:t>
      </w:r>
      <w:r w:rsidR="00F30B2D">
        <w:rPr>
          <w:rFonts w:cs="Arial"/>
          <w:color w:val="000000" w:themeColor="text1"/>
          <w:sz w:val="22"/>
          <w:szCs w:val="22"/>
        </w:rPr>
        <w:t> </w:t>
      </w:r>
      <w:r w:rsidR="00F6610F" w:rsidRPr="00D0377B">
        <w:rPr>
          <w:rFonts w:cs="Arial"/>
          <w:color w:val="000000" w:themeColor="text1"/>
          <w:sz w:val="22"/>
          <w:szCs w:val="22"/>
        </w:rPr>
        <w:t xml:space="preserve">% z celkové ceny zboží včetně DPH </w:t>
      </w:r>
      <w:r w:rsidR="00D0377B">
        <w:rPr>
          <w:rFonts w:cs="Arial"/>
          <w:color w:val="000000" w:themeColor="text1"/>
          <w:sz w:val="22"/>
          <w:szCs w:val="22"/>
        </w:rPr>
        <w:t>za každý započatý den prodlení.</w:t>
      </w:r>
    </w:p>
    <w:p w:rsidR="00D0377B" w:rsidRPr="00D0377B" w:rsidRDefault="00D0377B" w:rsidP="00D0377B">
      <w:pPr>
        <w:jc w:val="both"/>
        <w:rPr>
          <w:rFonts w:cs="Arial"/>
          <w:b/>
          <w:color w:val="000000" w:themeColor="text1"/>
          <w:sz w:val="22"/>
          <w:szCs w:val="22"/>
        </w:rPr>
      </w:pPr>
    </w:p>
    <w:p w:rsidR="00D52957" w:rsidRDefault="00D52957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 xml:space="preserve">MO i </w:t>
      </w:r>
      <w:r w:rsidR="00943FA2" w:rsidRPr="00D0377B">
        <w:rPr>
          <w:rFonts w:cs="Arial"/>
          <w:color w:val="000000" w:themeColor="text1"/>
          <w:sz w:val="22"/>
          <w:szCs w:val="22"/>
        </w:rPr>
        <w:t>přes problémy při</w:t>
      </w:r>
      <w:r w:rsidR="00490825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54609E">
        <w:rPr>
          <w:rFonts w:cs="Arial"/>
          <w:color w:val="000000" w:themeColor="text1"/>
          <w:sz w:val="22"/>
          <w:szCs w:val="22"/>
        </w:rPr>
        <w:t>p</w:t>
      </w:r>
      <w:r w:rsidR="00EC0863">
        <w:rPr>
          <w:rFonts w:cs="Arial"/>
          <w:color w:val="000000" w:themeColor="text1"/>
          <w:sz w:val="22"/>
          <w:szCs w:val="22"/>
        </w:rPr>
        <w:t>ořizování</w:t>
      </w:r>
      <w:r w:rsidR="00943FA2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7F3A25" w:rsidRPr="00D0377B">
        <w:rPr>
          <w:rFonts w:cs="Arial"/>
          <w:color w:val="000000" w:themeColor="text1"/>
          <w:sz w:val="22"/>
          <w:szCs w:val="22"/>
        </w:rPr>
        <w:t xml:space="preserve">padáků OVP-80.08 </w:t>
      </w:r>
      <w:r w:rsidRPr="00D0377B">
        <w:rPr>
          <w:rFonts w:cs="Arial"/>
          <w:color w:val="000000" w:themeColor="text1"/>
          <w:sz w:val="22"/>
          <w:szCs w:val="22"/>
        </w:rPr>
        <w:t>vybralo pro dodávku dalších souprav padáků stejné</w:t>
      </w:r>
      <w:r w:rsidR="009A4141" w:rsidRPr="00D0377B">
        <w:rPr>
          <w:rFonts w:cs="Arial"/>
          <w:color w:val="000000" w:themeColor="text1"/>
          <w:sz w:val="22"/>
          <w:szCs w:val="22"/>
        </w:rPr>
        <w:t xml:space="preserve">ho dodavatele. Ten </w:t>
      </w:r>
      <w:r w:rsidR="00E557B2" w:rsidRPr="00D0377B">
        <w:rPr>
          <w:rFonts w:cs="Arial"/>
          <w:color w:val="000000" w:themeColor="text1"/>
          <w:sz w:val="22"/>
          <w:szCs w:val="22"/>
        </w:rPr>
        <w:t>opět nezajistil</w:t>
      </w:r>
      <w:r w:rsidR="00E04BB3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9A4141" w:rsidRPr="00D0377B">
        <w:rPr>
          <w:rFonts w:cs="Arial"/>
          <w:color w:val="000000" w:themeColor="text1"/>
          <w:sz w:val="22"/>
          <w:szCs w:val="22"/>
        </w:rPr>
        <w:t>a ve vojskových zkouškách</w:t>
      </w:r>
      <w:r w:rsidR="002068C1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E557B2" w:rsidRPr="00D0377B">
        <w:rPr>
          <w:rFonts w:cs="Arial"/>
          <w:color w:val="000000" w:themeColor="text1"/>
          <w:sz w:val="22"/>
          <w:szCs w:val="22"/>
        </w:rPr>
        <w:t xml:space="preserve">neprokázal ve stanoveném termínu </w:t>
      </w:r>
      <w:r w:rsidR="00E04BB3" w:rsidRPr="00D0377B">
        <w:rPr>
          <w:rFonts w:cs="Arial"/>
          <w:color w:val="000000" w:themeColor="text1"/>
          <w:sz w:val="22"/>
          <w:szCs w:val="22"/>
        </w:rPr>
        <w:t>požadovanou kvalitu</w:t>
      </w:r>
      <w:r w:rsidR="002068C1" w:rsidRPr="00D0377B">
        <w:rPr>
          <w:rFonts w:cs="Arial"/>
          <w:color w:val="000000" w:themeColor="text1"/>
          <w:sz w:val="22"/>
          <w:szCs w:val="22"/>
        </w:rPr>
        <w:t xml:space="preserve"> padáků </w:t>
      </w:r>
      <w:r w:rsidR="005F3896">
        <w:rPr>
          <w:rFonts w:cs="Arial"/>
          <w:color w:val="000000" w:themeColor="text1"/>
          <w:sz w:val="22"/>
          <w:szCs w:val="22"/>
        </w:rPr>
        <w:t>a nezajistil ani</w:t>
      </w:r>
      <w:r w:rsidR="002068C1" w:rsidRPr="00D0377B">
        <w:rPr>
          <w:rFonts w:cs="Arial"/>
          <w:color w:val="000000" w:themeColor="text1"/>
          <w:sz w:val="22"/>
          <w:szCs w:val="22"/>
        </w:rPr>
        <w:t xml:space="preserve"> zapracování změn </w:t>
      </w:r>
      <w:r w:rsidR="005F3896">
        <w:rPr>
          <w:rFonts w:cs="Arial"/>
          <w:color w:val="000000" w:themeColor="text1"/>
          <w:sz w:val="22"/>
          <w:szCs w:val="22"/>
        </w:rPr>
        <w:t xml:space="preserve">do </w:t>
      </w:r>
      <w:r w:rsidR="002068C1" w:rsidRPr="00D0377B">
        <w:rPr>
          <w:rFonts w:cs="Arial"/>
          <w:color w:val="000000" w:themeColor="text1"/>
          <w:sz w:val="22"/>
          <w:szCs w:val="22"/>
        </w:rPr>
        <w:t>technické dokumentac</w:t>
      </w:r>
      <w:r w:rsidR="005F3896">
        <w:rPr>
          <w:rFonts w:cs="Arial"/>
          <w:color w:val="000000" w:themeColor="text1"/>
          <w:sz w:val="22"/>
          <w:szCs w:val="22"/>
        </w:rPr>
        <w:t>e v náležitém termínu</w:t>
      </w:r>
      <w:r w:rsidR="002068C1" w:rsidRPr="00D0377B">
        <w:rPr>
          <w:rFonts w:cs="Arial"/>
          <w:color w:val="000000" w:themeColor="text1"/>
          <w:sz w:val="22"/>
          <w:szCs w:val="22"/>
        </w:rPr>
        <w:t>.</w:t>
      </w:r>
      <w:r w:rsidR="00D0377B">
        <w:rPr>
          <w:rFonts w:cs="Arial"/>
          <w:color w:val="000000" w:themeColor="text1"/>
          <w:sz w:val="22"/>
          <w:szCs w:val="22"/>
        </w:rPr>
        <w:t xml:space="preserve"> </w:t>
      </w:r>
      <w:r w:rsidR="002068C1" w:rsidRPr="00D0377B">
        <w:rPr>
          <w:rFonts w:cs="Arial"/>
          <w:color w:val="000000" w:themeColor="text1"/>
          <w:sz w:val="22"/>
          <w:szCs w:val="22"/>
        </w:rPr>
        <w:t>P</w:t>
      </w:r>
      <w:r w:rsidRPr="00D0377B">
        <w:rPr>
          <w:rFonts w:cs="Arial"/>
          <w:color w:val="000000" w:themeColor="text1"/>
          <w:sz w:val="22"/>
          <w:szCs w:val="22"/>
        </w:rPr>
        <w:t xml:space="preserve">rvní dodávka souprav </w:t>
      </w:r>
      <w:r w:rsidR="002068C1" w:rsidRPr="00D0377B">
        <w:rPr>
          <w:rFonts w:cs="Arial"/>
          <w:color w:val="000000" w:themeColor="text1"/>
          <w:sz w:val="22"/>
          <w:szCs w:val="22"/>
        </w:rPr>
        <w:t xml:space="preserve">padáků </w:t>
      </w:r>
      <w:r w:rsidRPr="00D0377B">
        <w:rPr>
          <w:rFonts w:cs="Arial"/>
          <w:color w:val="000000" w:themeColor="text1"/>
          <w:sz w:val="22"/>
          <w:szCs w:val="22"/>
        </w:rPr>
        <w:t xml:space="preserve">se posunula </w:t>
      </w:r>
      <w:r w:rsidR="00D0377B">
        <w:rPr>
          <w:rFonts w:cs="Arial"/>
          <w:color w:val="000000" w:themeColor="text1"/>
          <w:sz w:val="22"/>
          <w:szCs w:val="22"/>
        </w:rPr>
        <w:t>téměř o dva roky.</w:t>
      </w:r>
    </w:p>
    <w:p w:rsidR="00D0377B" w:rsidRPr="00D0377B" w:rsidRDefault="00D0377B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7742E1" w:rsidRPr="00D0377B" w:rsidRDefault="007977A0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b/>
          <w:color w:val="000000" w:themeColor="text1"/>
          <w:sz w:val="22"/>
          <w:szCs w:val="22"/>
        </w:rPr>
        <w:t>3.</w:t>
      </w:r>
      <w:r w:rsidR="00B14268" w:rsidRPr="00D0377B">
        <w:rPr>
          <w:rFonts w:cs="Arial"/>
          <w:b/>
          <w:color w:val="000000" w:themeColor="text1"/>
          <w:sz w:val="22"/>
          <w:szCs w:val="22"/>
        </w:rPr>
        <w:t>1.</w:t>
      </w:r>
      <w:r w:rsidRPr="00D0377B">
        <w:rPr>
          <w:rFonts w:cs="Arial"/>
          <w:b/>
          <w:color w:val="000000" w:themeColor="text1"/>
          <w:sz w:val="22"/>
          <w:szCs w:val="22"/>
        </w:rPr>
        <w:t>2</w:t>
      </w:r>
      <w:r w:rsidR="00070031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070031" w:rsidRPr="00D0377B">
        <w:rPr>
          <w:rFonts w:cs="Arial"/>
          <w:b/>
          <w:bCs/>
          <w:color w:val="000000" w:themeColor="text1"/>
          <w:sz w:val="22"/>
          <w:szCs w:val="22"/>
        </w:rPr>
        <w:t>Akce ev. č. 207V212 7006</w:t>
      </w:r>
      <w:r w:rsidR="005F3896">
        <w:rPr>
          <w:rFonts w:cs="Arial"/>
          <w:b/>
          <w:bCs/>
          <w:color w:val="000000" w:themeColor="text1"/>
          <w:sz w:val="22"/>
          <w:szCs w:val="22"/>
        </w:rPr>
        <w:t> –</w:t>
      </w:r>
      <w:r w:rsidR="00070031" w:rsidRPr="00D0377B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070031" w:rsidRPr="00564BC7">
        <w:rPr>
          <w:rFonts w:cs="Arial"/>
          <w:b/>
          <w:bCs/>
          <w:i/>
          <w:color w:val="000000" w:themeColor="text1"/>
          <w:sz w:val="22"/>
          <w:szCs w:val="22"/>
        </w:rPr>
        <w:t xml:space="preserve">Přístroje nočního vidění, III. etapa </w:t>
      </w:r>
      <w:r w:rsidR="00DC04DC" w:rsidRPr="00564BC7">
        <w:rPr>
          <w:rFonts w:cs="Arial"/>
          <w:b/>
          <w:bCs/>
          <w:i/>
          <w:color w:val="000000" w:themeColor="text1"/>
          <w:sz w:val="22"/>
          <w:szCs w:val="22"/>
        </w:rPr>
        <w:t xml:space="preserve">– </w:t>
      </w:r>
      <w:r w:rsidR="00070031" w:rsidRPr="00564BC7">
        <w:rPr>
          <w:rFonts w:cs="Arial"/>
          <w:b/>
          <w:bCs/>
          <w:i/>
          <w:color w:val="000000" w:themeColor="text1"/>
          <w:sz w:val="22"/>
          <w:szCs w:val="22"/>
        </w:rPr>
        <w:t>nákup</w:t>
      </w:r>
    </w:p>
    <w:p w:rsidR="00D0377B" w:rsidRDefault="00D0377B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516E96" w:rsidRPr="00D0377B" w:rsidRDefault="00721722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 xml:space="preserve">Realizace nákupu </w:t>
      </w:r>
      <w:r w:rsidR="00933FC7" w:rsidRPr="00D0377B">
        <w:rPr>
          <w:rFonts w:cs="Arial"/>
          <w:color w:val="000000" w:themeColor="text1"/>
          <w:sz w:val="22"/>
          <w:szCs w:val="22"/>
        </w:rPr>
        <w:t xml:space="preserve">přístrojů nočního vidění </w:t>
      </w:r>
      <w:r w:rsidRPr="00D0377B">
        <w:rPr>
          <w:rFonts w:cs="Arial"/>
          <w:color w:val="000000" w:themeColor="text1"/>
          <w:sz w:val="22"/>
          <w:szCs w:val="22"/>
        </w:rPr>
        <w:t xml:space="preserve">měla za cíl dosažení kompatibility AČR s armádami NATO ve vztahu k bojové činnosti v noci. </w:t>
      </w:r>
      <w:r w:rsidR="00516E96" w:rsidRPr="00D0377B">
        <w:rPr>
          <w:rFonts w:cs="Arial"/>
          <w:color w:val="000000" w:themeColor="text1"/>
          <w:sz w:val="22"/>
          <w:szCs w:val="22"/>
        </w:rPr>
        <w:t xml:space="preserve">Do konce roku 2005 bylo v předchozích etapách </w:t>
      </w:r>
      <w:r w:rsidR="005F3896">
        <w:rPr>
          <w:rFonts w:cs="Arial"/>
          <w:color w:val="000000" w:themeColor="text1"/>
          <w:sz w:val="22"/>
          <w:szCs w:val="22"/>
        </w:rPr>
        <w:t>pořízeno pro</w:t>
      </w:r>
      <w:r w:rsidR="00516E96" w:rsidRPr="00D0377B">
        <w:rPr>
          <w:rFonts w:cs="Arial"/>
          <w:color w:val="000000" w:themeColor="text1"/>
          <w:sz w:val="22"/>
          <w:szCs w:val="22"/>
        </w:rPr>
        <w:t xml:space="preserve"> AČR celkem 331 souprav </w:t>
      </w:r>
      <w:r w:rsidR="000712F9" w:rsidRPr="00D0377B">
        <w:rPr>
          <w:rFonts w:cs="Arial"/>
          <w:color w:val="000000" w:themeColor="text1"/>
          <w:sz w:val="22"/>
          <w:szCs w:val="22"/>
        </w:rPr>
        <w:t xml:space="preserve">zaměřovačů </w:t>
      </w:r>
      <w:r w:rsidR="00516E96" w:rsidRPr="00D0377B">
        <w:rPr>
          <w:rFonts w:cs="Arial"/>
          <w:color w:val="000000" w:themeColor="text1"/>
          <w:sz w:val="22"/>
          <w:szCs w:val="22"/>
        </w:rPr>
        <w:t>M</w:t>
      </w:r>
      <w:r w:rsidR="00422031" w:rsidRPr="00D0377B">
        <w:rPr>
          <w:rFonts w:cs="Arial"/>
          <w:color w:val="000000" w:themeColor="text1"/>
          <w:sz w:val="22"/>
          <w:szCs w:val="22"/>
        </w:rPr>
        <w:t>EO-50 a 321 </w:t>
      </w:r>
      <w:r w:rsidR="004259C6" w:rsidRPr="00D0377B">
        <w:rPr>
          <w:rFonts w:cs="Arial"/>
          <w:color w:val="000000" w:themeColor="text1"/>
          <w:sz w:val="22"/>
          <w:szCs w:val="22"/>
        </w:rPr>
        <w:t>pozorovacích souprav KLÁRA.</w:t>
      </w:r>
    </w:p>
    <w:p w:rsidR="00D0377B" w:rsidRDefault="00D0377B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7977A0" w:rsidRDefault="00E30CEE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>V registračním listu</w:t>
      </w:r>
      <w:r w:rsidR="003D5CCD" w:rsidRPr="00D0377B">
        <w:rPr>
          <w:rFonts w:cs="Arial"/>
          <w:color w:val="000000" w:themeColor="text1"/>
          <w:sz w:val="22"/>
          <w:szCs w:val="22"/>
        </w:rPr>
        <w:t>, který M</w:t>
      </w:r>
      <w:r w:rsidR="005F3896">
        <w:rPr>
          <w:rFonts w:cs="Arial"/>
          <w:color w:val="000000" w:themeColor="text1"/>
          <w:sz w:val="22"/>
          <w:szCs w:val="22"/>
        </w:rPr>
        <w:t>inisterstvo financí</w:t>
      </w:r>
      <w:r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3D5CCD" w:rsidRPr="00D0377B">
        <w:rPr>
          <w:rFonts w:cs="Arial"/>
          <w:color w:val="000000" w:themeColor="text1"/>
          <w:sz w:val="22"/>
          <w:szCs w:val="22"/>
        </w:rPr>
        <w:t xml:space="preserve">schválilo </w:t>
      </w:r>
      <w:r w:rsidR="00516E96" w:rsidRPr="00D0377B">
        <w:rPr>
          <w:rFonts w:cs="Arial"/>
          <w:color w:val="000000" w:themeColor="text1"/>
          <w:sz w:val="22"/>
          <w:szCs w:val="22"/>
        </w:rPr>
        <w:t>v květnu 2007</w:t>
      </w:r>
      <w:r w:rsidR="003D5CCD" w:rsidRPr="00D0377B">
        <w:rPr>
          <w:rFonts w:cs="Arial"/>
          <w:color w:val="000000" w:themeColor="text1"/>
          <w:sz w:val="22"/>
          <w:szCs w:val="22"/>
        </w:rPr>
        <w:t>,</w:t>
      </w:r>
      <w:r w:rsidR="00516E96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Pr="00D0377B">
        <w:rPr>
          <w:rFonts w:cs="Arial"/>
          <w:color w:val="000000" w:themeColor="text1"/>
          <w:sz w:val="22"/>
          <w:szCs w:val="22"/>
        </w:rPr>
        <w:t xml:space="preserve">byl </w:t>
      </w:r>
      <w:r w:rsidR="00516E96" w:rsidRPr="00D0377B">
        <w:rPr>
          <w:rFonts w:cs="Arial"/>
          <w:color w:val="000000" w:themeColor="text1"/>
          <w:sz w:val="22"/>
          <w:szCs w:val="22"/>
        </w:rPr>
        <w:t xml:space="preserve">počet souprav stanoven </w:t>
      </w:r>
      <w:r w:rsidR="0035364D" w:rsidRPr="00D0377B">
        <w:rPr>
          <w:rFonts w:cs="Arial"/>
          <w:color w:val="000000" w:themeColor="text1"/>
          <w:sz w:val="22"/>
          <w:szCs w:val="22"/>
        </w:rPr>
        <w:t>na 851</w:t>
      </w:r>
      <w:r w:rsidR="003612A8" w:rsidRPr="00D0377B">
        <w:rPr>
          <w:rFonts w:cs="Arial"/>
          <w:color w:val="000000" w:themeColor="text1"/>
          <w:sz w:val="22"/>
          <w:szCs w:val="22"/>
        </w:rPr>
        <w:t> </w:t>
      </w:r>
      <w:r w:rsidRPr="00D0377B">
        <w:rPr>
          <w:rFonts w:cs="Arial"/>
          <w:color w:val="000000" w:themeColor="text1"/>
          <w:sz w:val="22"/>
          <w:szCs w:val="22"/>
        </w:rPr>
        <w:t>s výdaji státního rozpočtu 261,2 mil. Kč. Jednalo se o dva typy př</w:t>
      </w:r>
      <w:r w:rsidR="00136D08" w:rsidRPr="00D0377B">
        <w:rPr>
          <w:rFonts w:cs="Arial"/>
          <w:color w:val="000000" w:themeColor="text1"/>
          <w:sz w:val="22"/>
          <w:szCs w:val="22"/>
        </w:rPr>
        <w:t>ístrojů nočního vidění</w:t>
      </w:r>
      <w:r w:rsidR="00EC0863">
        <w:rPr>
          <w:rFonts w:cs="Arial"/>
          <w:color w:val="000000" w:themeColor="text1"/>
          <w:sz w:val="22"/>
          <w:szCs w:val="22"/>
        </w:rPr>
        <w:t>.</w:t>
      </w:r>
      <w:r w:rsidR="00136D08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EC0863">
        <w:rPr>
          <w:rFonts w:cs="Arial"/>
          <w:color w:val="000000" w:themeColor="text1"/>
          <w:sz w:val="22"/>
          <w:szCs w:val="22"/>
        </w:rPr>
        <w:t>Z</w:t>
      </w:r>
      <w:r w:rsidR="00017076" w:rsidRPr="00D0377B">
        <w:rPr>
          <w:rFonts w:cs="Arial"/>
          <w:color w:val="000000" w:themeColor="text1"/>
          <w:sz w:val="22"/>
          <w:szCs w:val="22"/>
        </w:rPr>
        <w:t>akázky</w:t>
      </w:r>
      <w:r w:rsidR="00136D08" w:rsidRPr="00D0377B">
        <w:rPr>
          <w:rFonts w:cs="Arial"/>
          <w:color w:val="000000" w:themeColor="text1"/>
          <w:sz w:val="22"/>
          <w:szCs w:val="22"/>
        </w:rPr>
        <w:t xml:space="preserve"> byly</w:t>
      </w:r>
      <w:r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017076" w:rsidRPr="00D0377B">
        <w:rPr>
          <w:rFonts w:cs="Arial"/>
          <w:color w:val="000000" w:themeColor="text1"/>
          <w:sz w:val="22"/>
          <w:szCs w:val="22"/>
        </w:rPr>
        <w:t xml:space="preserve">v květnu a červnu 2007 </w:t>
      </w:r>
      <w:r w:rsidR="00136D08" w:rsidRPr="00D0377B">
        <w:rPr>
          <w:rFonts w:cs="Arial"/>
          <w:color w:val="000000" w:themeColor="text1"/>
          <w:sz w:val="22"/>
          <w:szCs w:val="22"/>
        </w:rPr>
        <w:t>zadány</w:t>
      </w:r>
      <w:r w:rsidRPr="00D0377B">
        <w:rPr>
          <w:rFonts w:cs="Arial"/>
          <w:color w:val="000000" w:themeColor="text1"/>
          <w:sz w:val="22"/>
          <w:szCs w:val="22"/>
        </w:rPr>
        <w:t xml:space="preserve"> v jednacím řízení bez uveřejnění s odůvodněním, že zakázku může splnit pouze určitý dodavatel</w:t>
      </w:r>
      <w:r w:rsidRPr="00D0377B">
        <w:rPr>
          <w:rStyle w:val="Znakapoznpodarou"/>
          <w:rFonts w:cs="Arial"/>
          <w:color w:val="000000" w:themeColor="text1"/>
          <w:sz w:val="22"/>
          <w:szCs w:val="22"/>
        </w:rPr>
        <w:footnoteReference w:id="12"/>
      </w:r>
      <w:r w:rsidR="00017076" w:rsidRPr="00D0377B">
        <w:rPr>
          <w:rFonts w:cs="Arial"/>
          <w:color w:val="000000" w:themeColor="text1"/>
          <w:sz w:val="22"/>
          <w:szCs w:val="22"/>
        </w:rPr>
        <w:t xml:space="preserve">. </w:t>
      </w:r>
      <w:r w:rsidR="001F536A" w:rsidRPr="00D0377B">
        <w:rPr>
          <w:rFonts w:cs="Arial"/>
          <w:color w:val="000000" w:themeColor="text1"/>
          <w:sz w:val="22"/>
          <w:szCs w:val="22"/>
        </w:rPr>
        <w:t>Smlouv</w:t>
      </w:r>
      <w:r w:rsidR="00933FC7" w:rsidRPr="00D0377B">
        <w:rPr>
          <w:rFonts w:cs="Arial"/>
          <w:color w:val="000000" w:themeColor="text1"/>
          <w:sz w:val="22"/>
          <w:szCs w:val="22"/>
        </w:rPr>
        <w:t>y</w:t>
      </w:r>
      <w:r w:rsidR="001F536A" w:rsidRPr="00D0377B">
        <w:rPr>
          <w:rFonts w:cs="Arial"/>
          <w:color w:val="000000" w:themeColor="text1"/>
          <w:sz w:val="22"/>
          <w:szCs w:val="22"/>
        </w:rPr>
        <w:t xml:space="preserve"> byl</w:t>
      </w:r>
      <w:r w:rsidR="00B44AED" w:rsidRPr="00D0377B">
        <w:rPr>
          <w:rFonts w:cs="Arial"/>
          <w:color w:val="000000" w:themeColor="text1"/>
          <w:sz w:val="22"/>
          <w:szCs w:val="22"/>
        </w:rPr>
        <w:t>y</w:t>
      </w:r>
      <w:r w:rsidR="001F536A" w:rsidRPr="00D0377B">
        <w:rPr>
          <w:rFonts w:cs="Arial"/>
          <w:color w:val="000000" w:themeColor="text1"/>
          <w:sz w:val="22"/>
          <w:szCs w:val="22"/>
        </w:rPr>
        <w:t xml:space="preserve"> uzavřen</w:t>
      </w:r>
      <w:r w:rsidR="00B44AED" w:rsidRPr="00D0377B">
        <w:rPr>
          <w:rFonts w:cs="Arial"/>
          <w:color w:val="000000" w:themeColor="text1"/>
          <w:sz w:val="22"/>
          <w:szCs w:val="22"/>
        </w:rPr>
        <w:t>y</w:t>
      </w:r>
      <w:r w:rsidR="001F536A" w:rsidRPr="00D0377B">
        <w:rPr>
          <w:rFonts w:cs="Arial"/>
          <w:color w:val="000000" w:themeColor="text1"/>
          <w:sz w:val="22"/>
          <w:szCs w:val="22"/>
        </w:rPr>
        <w:t xml:space="preserve"> v červenci 2007 a c</w:t>
      </w:r>
      <w:r w:rsidR="00017076" w:rsidRPr="00D0377B">
        <w:rPr>
          <w:rFonts w:cs="Arial"/>
          <w:color w:val="000000" w:themeColor="text1"/>
          <w:sz w:val="22"/>
          <w:szCs w:val="22"/>
        </w:rPr>
        <w:t>elkem bylo</w:t>
      </w:r>
      <w:r w:rsidR="0098778D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1F536A" w:rsidRPr="00D0377B">
        <w:rPr>
          <w:rFonts w:cs="Arial"/>
          <w:color w:val="000000" w:themeColor="text1"/>
          <w:sz w:val="22"/>
          <w:szCs w:val="22"/>
        </w:rPr>
        <w:t xml:space="preserve">v letech 2007 až 2009 </w:t>
      </w:r>
      <w:r w:rsidR="00017076" w:rsidRPr="00D0377B">
        <w:rPr>
          <w:rFonts w:cs="Arial"/>
          <w:color w:val="000000" w:themeColor="text1"/>
          <w:sz w:val="22"/>
          <w:szCs w:val="22"/>
        </w:rPr>
        <w:t>dodáno</w:t>
      </w:r>
      <w:r w:rsidR="001F536A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017076" w:rsidRPr="00D0377B">
        <w:rPr>
          <w:rFonts w:cs="Arial"/>
          <w:color w:val="000000" w:themeColor="text1"/>
          <w:sz w:val="22"/>
          <w:szCs w:val="22"/>
        </w:rPr>
        <w:t>334 </w:t>
      </w:r>
      <w:r w:rsidR="00B004AA" w:rsidRPr="00D0377B">
        <w:rPr>
          <w:rFonts w:cs="Arial"/>
          <w:color w:val="000000" w:themeColor="text1"/>
          <w:sz w:val="22"/>
          <w:szCs w:val="22"/>
        </w:rPr>
        <w:t>souprav zaměřovačů MEO-50</w:t>
      </w:r>
      <w:r w:rsidRPr="00D0377B">
        <w:rPr>
          <w:rFonts w:cs="Arial"/>
          <w:color w:val="000000" w:themeColor="text1"/>
          <w:sz w:val="22"/>
          <w:szCs w:val="22"/>
        </w:rPr>
        <w:t xml:space="preserve"> za </w:t>
      </w:r>
      <w:r w:rsidR="009A7A96" w:rsidRPr="00D0377B">
        <w:rPr>
          <w:rFonts w:cs="Arial"/>
          <w:color w:val="000000" w:themeColor="text1"/>
          <w:sz w:val="22"/>
          <w:szCs w:val="22"/>
        </w:rPr>
        <w:t>118</w:t>
      </w:r>
      <w:r w:rsidRPr="00D0377B">
        <w:rPr>
          <w:rFonts w:cs="Arial"/>
          <w:color w:val="000000" w:themeColor="text1"/>
          <w:sz w:val="22"/>
          <w:szCs w:val="22"/>
        </w:rPr>
        <w:t xml:space="preserve"> mil. Kč a 517</w:t>
      </w:r>
      <w:r w:rsidR="00516E96" w:rsidRPr="00D0377B">
        <w:rPr>
          <w:rFonts w:cs="Arial"/>
          <w:color w:val="000000" w:themeColor="text1"/>
          <w:sz w:val="22"/>
          <w:szCs w:val="22"/>
        </w:rPr>
        <w:t xml:space="preserve"> souprav </w:t>
      </w:r>
      <w:r w:rsidR="00B004AA" w:rsidRPr="00D0377B">
        <w:rPr>
          <w:rFonts w:cs="Arial"/>
          <w:color w:val="000000" w:themeColor="text1"/>
          <w:sz w:val="22"/>
          <w:szCs w:val="22"/>
        </w:rPr>
        <w:t xml:space="preserve">KLÁRA </w:t>
      </w:r>
      <w:r w:rsidRPr="00D0377B">
        <w:rPr>
          <w:rFonts w:cs="Arial"/>
          <w:color w:val="000000" w:themeColor="text1"/>
          <w:sz w:val="22"/>
          <w:szCs w:val="22"/>
        </w:rPr>
        <w:t xml:space="preserve">za </w:t>
      </w:r>
      <w:r w:rsidR="009A7A96" w:rsidRPr="00D0377B">
        <w:rPr>
          <w:rFonts w:cs="Arial"/>
          <w:color w:val="000000" w:themeColor="text1"/>
          <w:sz w:val="22"/>
          <w:szCs w:val="22"/>
        </w:rPr>
        <w:t>118</w:t>
      </w:r>
      <w:r w:rsidRPr="00D0377B">
        <w:rPr>
          <w:rFonts w:cs="Arial"/>
          <w:color w:val="000000" w:themeColor="text1"/>
          <w:sz w:val="22"/>
          <w:szCs w:val="22"/>
        </w:rPr>
        <w:t xml:space="preserve"> mil. Kč.</w:t>
      </w:r>
    </w:p>
    <w:p w:rsidR="00D0377B" w:rsidRPr="00D0377B" w:rsidRDefault="00D0377B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7977A0" w:rsidRPr="00D0377B" w:rsidRDefault="007977A0" w:rsidP="002352E9">
      <w:pPr>
        <w:pStyle w:val="Zhlav"/>
        <w:tabs>
          <w:tab w:val="clear" w:pos="4536"/>
          <w:tab w:val="clear" w:pos="9072"/>
        </w:tabs>
        <w:ind w:left="624" w:hanging="624"/>
        <w:rPr>
          <w:rFonts w:cs="Arial"/>
          <w:b/>
          <w:bCs/>
          <w:color w:val="000000" w:themeColor="text1"/>
          <w:sz w:val="22"/>
          <w:szCs w:val="22"/>
        </w:rPr>
      </w:pPr>
      <w:r w:rsidRPr="00D0377B">
        <w:rPr>
          <w:rFonts w:cs="Arial"/>
          <w:b/>
          <w:color w:val="000000" w:themeColor="text1"/>
          <w:sz w:val="22"/>
          <w:szCs w:val="22"/>
        </w:rPr>
        <w:t>3.</w:t>
      </w:r>
      <w:r w:rsidR="00B14268" w:rsidRPr="00D0377B">
        <w:rPr>
          <w:rFonts w:cs="Arial"/>
          <w:b/>
          <w:color w:val="000000" w:themeColor="text1"/>
          <w:sz w:val="22"/>
          <w:szCs w:val="22"/>
        </w:rPr>
        <w:t>1.</w:t>
      </w:r>
      <w:r w:rsidRPr="00D0377B">
        <w:rPr>
          <w:rFonts w:cs="Arial"/>
          <w:b/>
          <w:color w:val="000000" w:themeColor="text1"/>
          <w:sz w:val="22"/>
          <w:szCs w:val="22"/>
        </w:rPr>
        <w:t>3</w:t>
      </w:r>
      <w:r w:rsidR="002352E9">
        <w:rPr>
          <w:rFonts w:cs="Arial"/>
          <w:color w:val="000000" w:themeColor="text1"/>
          <w:sz w:val="22"/>
          <w:szCs w:val="22"/>
        </w:rPr>
        <w:tab/>
      </w:r>
      <w:r w:rsidR="00070031" w:rsidRPr="00D0377B">
        <w:rPr>
          <w:rFonts w:cs="Arial"/>
          <w:b/>
          <w:bCs/>
          <w:color w:val="000000" w:themeColor="text1"/>
          <w:sz w:val="22"/>
          <w:szCs w:val="22"/>
        </w:rPr>
        <w:t>Akce ev. č. 207V213 6004</w:t>
      </w:r>
      <w:r w:rsidR="005F3896">
        <w:rPr>
          <w:rFonts w:cs="Arial"/>
          <w:b/>
          <w:bCs/>
          <w:color w:val="000000" w:themeColor="text1"/>
          <w:sz w:val="22"/>
          <w:szCs w:val="22"/>
        </w:rPr>
        <w:t> –</w:t>
      </w:r>
      <w:r w:rsidR="00070031" w:rsidRPr="00D0377B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070031" w:rsidRPr="00564BC7">
        <w:rPr>
          <w:rFonts w:cs="Arial"/>
          <w:b/>
          <w:bCs/>
          <w:i/>
          <w:color w:val="000000" w:themeColor="text1"/>
          <w:sz w:val="22"/>
          <w:szCs w:val="22"/>
        </w:rPr>
        <w:t>Souprava che</w:t>
      </w:r>
      <w:r w:rsidR="00370146" w:rsidRPr="00564BC7">
        <w:rPr>
          <w:rFonts w:cs="Arial"/>
          <w:b/>
          <w:bCs/>
          <w:i/>
          <w:color w:val="000000" w:themeColor="text1"/>
          <w:sz w:val="22"/>
          <w:szCs w:val="22"/>
        </w:rPr>
        <w:t xml:space="preserve">mického pozorovatele – chemický </w:t>
      </w:r>
      <w:proofErr w:type="spellStart"/>
      <w:r w:rsidR="00070031" w:rsidRPr="00564BC7">
        <w:rPr>
          <w:rFonts w:cs="Arial"/>
          <w:b/>
          <w:bCs/>
          <w:i/>
          <w:color w:val="000000" w:themeColor="text1"/>
          <w:sz w:val="22"/>
          <w:szCs w:val="22"/>
        </w:rPr>
        <w:t>průkazník</w:t>
      </w:r>
      <w:proofErr w:type="spellEnd"/>
      <w:r w:rsidR="00070031" w:rsidRPr="00564BC7">
        <w:rPr>
          <w:rFonts w:cs="Arial"/>
          <w:b/>
          <w:bCs/>
          <w:i/>
          <w:color w:val="000000" w:themeColor="text1"/>
          <w:sz w:val="22"/>
          <w:szCs w:val="22"/>
        </w:rPr>
        <w:t xml:space="preserve"> – nákup</w:t>
      </w:r>
    </w:p>
    <w:p w:rsidR="00D0377B" w:rsidRDefault="00D0377B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0712F9" w:rsidRDefault="000D305C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>Nákupem souprav chemického pozorovatele má být chemickým jednotkám AČR umožněno monitorování radiační situace a vytyčení kontaminovaných prostor v ČR i v zahraničních misích</w:t>
      </w:r>
      <w:r w:rsidR="00E52EE5">
        <w:rPr>
          <w:rFonts w:cs="Arial"/>
          <w:color w:val="000000" w:themeColor="text1"/>
          <w:sz w:val="22"/>
          <w:szCs w:val="22"/>
        </w:rPr>
        <w:t>, a to při</w:t>
      </w:r>
      <w:r w:rsidRPr="00D0377B">
        <w:rPr>
          <w:rFonts w:cs="Arial"/>
          <w:color w:val="000000" w:themeColor="text1"/>
          <w:sz w:val="22"/>
          <w:szCs w:val="22"/>
        </w:rPr>
        <w:t xml:space="preserve"> zajištění kompatibility s aliančními prostředky. Podle investičního záměru z července 2005 mělo být nakoupeno 129 souprav za 64,6 mil. Kč.</w:t>
      </w:r>
      <w:r w:rsidR="00761348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0712F9" w:rsidRPr="00D0377B">
        <w:rPr>
          <w:rFonts w:cs="Arial"/>
          <w:color w:val="000000" w:themeColor="text1"/>
          <w:sz w:val="22"/>
          <w:szCs w:val="22"/>
        </w:rPr>
        <w:t>Na základě výsledků vývoje a provedených vojskových zkoušek upravilo</w:t>
      </w:r>
      <w:r w:rsidR="00E52EE5" w:rsidRPr="00E52EE5">
        <w:rPr>
          <w:rFonts w:cs="Arial"/>
          <w:color w:val="000000" w:themeColor="text1"/>
          <w:sz w:val="22"/>
          <w:szCs w:val="22"/>
        </w:rPr>
        <w:t xml:space="preserve"> </w:t>
      </w:r>
      <w:r w:rsidR="00E52EE5" w:rsidRPr="00D0377B">
        <w:rPr>
          <w:rFonts w:cs="Arial"/>
          <w:color w:val="000000" w:themeColor="text1"/>
          <w:sz w:val="22"/>
          <w:szCs w:val="22"/>
        </w:rPr>
        <w:t>MO</w:t>
      </w:r>
      <w:r w:rsidR="000712F9" w:rsidRPr="00D0377B">
        <w:rPr>
          <w:rFonts w:cs="Arial"/>
          <w:color w:val="000000" w:themeColor="text1"/>
          <w:sz w:val="22"/>
          <w:szCs w:val="22"/>
        </w:rPr>
        <w:t xml:space="preserve"> specifikaci a snížilo počet souprav z požadovaných 129 na 87, </w:t>
      </w:r>
      <w:r w:rsidR="00E52EE5">
        <w:rPr>
          <w:rFonts w:cs="Arial"/>
          <w:color w:val="000000" w:themeColor="text1"/>
          <w:sz w:val="22"/>
          <w:szCs w:val="22"/>
        </w:rPr>
        <w:t>čímž</w:t>
      </w:r>
      <w:r w:rsidR="000712F9" w:rsidRPr="00D0377B">
        <w:rPr>
          <w:rFonts w:cs="Arial"/>
          <w:color w:val="000000" w:themeColor="text1"/>
          <w:sz w:val="22"/>
          <w:szCs w:val="22"/>
        </w:rPr>
        <w:t xml:space="preserve"> došlo ke zvýšení ceny za soupravu z 501</w:t>
      </w:r>
      <w:r w:rsidR="00F30B2D">
        <w:rPr>
          <w:rFonts w:cs="Arial"/>
          <w:color w:val="000000" w:themeColor="text1"/>
          <w:sz w:val="22"/>
          <w:szCs w:val="22"/>
        </w:rPr>
        <w:t> tis. </w:t>
      </w:r>
      <w:r w:rsidR="000712F9" w:rsidRPr="00D0377B">
        <w:rPr>
          <w:rFonts w:cs="Arial"/>
          <w:color w:val="000000" w:themeColor="text1"/>
          <w:sz w:val="22"/>
          <w:szCs w:val="22"/>
        </w:rPr>
        <w:t>Kč na 75</w:t>
      </w:r>
      <w:r w:rsidR="00564BC7">
        <w:rPr>
          <w:rFonts w:cs="Arial"/>
          <w:color w:val="000000" w:themeColor="text1"/>
          <w:sz w:val="22"/>
          <w:szCs w:val="22"/>
        </w:rPr>
        <w:t>2</w:t>
      </w:r>
      <w:r w:rsidR="000712F9" w:rsidRPr="00D0377B">
        <w:rPr>
          <w:rFonts w:cs="Arial"/>
          <w:color w:val="000000" w:themeColor="text1"/>
          <w:sz w:val="22"/>
          <w:szCs w:val="22"/>
        </w:rPr>
        <w:t> tis. Kč</w:t>
      </w:r>
      <w:r w:rsidR="00E70A64">
        <w:rPr>
          <w:rFonts w:cs="Arial"/>
          <w:color w:val="000000" w:themeColor="text1"/>
          <w:sz w:val="22"/>
          <w:szCs w:val="22"/>
        </w:rPr>
        <w:t>,</w:t>
      </w:r>
      <w:r w:rsidR="000712F9" w:rsidRPr="00D0377B">
        <w:rPr>
          <w:rFonts w:cs="Arial"/>
          <w:color w:val="000000" w:themeColor="text1"/>
          <w:sz w:val="22"/>
          <w:szCs w:val="22"/>
        </w:rPr>
        <w:t xml:space="preserve"> tj. cca o</w:t>
      </w:r>
      <w:r w:rsidR="00F30B2D">
        <w:rPr>
          <w:rFonts w:cs="Arial"/>
          <w:color w:val="000000" w:themeColor="text1"/>
          <w:sz w:val="22"/>
          <w:szCs w:val="22"/>
        </w:rPr>
        <w:t> </w:t>
      </w:r>
      <w:r w:rsidR="000712F9" w:rsidRPr="00D0377B">
        <w:rPr>
          <w:rFonts w:cs="Arial"/>
          <w:color w:val="000000" w:themeColor="text1"/>
          <w:sz w:val="22"/>
          <w:szCs w:val="22"/>
        </w:rPr>
        <w:t>50</w:t>
      </w:r>
      <w:r w:rsidR="00F30B2D">
        <w:rPr>
          <w:rFonts w:cs="Arial"/>
          <w:color w:val="000000" w:themeColor="text1"/>
          <w:sz w:val="22"/>
          <w:szCs w:val="22"/>
        </w:rPr>
        <w:t> </w:t>
      </w:r>
      <w:r w:rsidR="000712F9" w:rsidRPr="00D0377B">
        <w:rPr>
          <w:rFonts w:cs="Arial"/>
          <w:color w:val="000000" w:themeColor="text1"/>
          <w:sz w:val="22"/>
          <w:szCs w:val="22"/>
        </w:rPr>
        <w:t>%.</w:t>
      </w:r>
    </w:p>
    <w:p w:rsidR="00D0377B" w:rsidRPr="00D0377B" w:rsidRDefault="00D0377B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741DF6" w:rsidRPr="00736780" w:rsidRDefault="00AD7725" w:rsidP="00D0377B">
      <w:pPr>
        <w:spacing w:after="40"/>
        <w:rPr>
          <w:rFonts w:cs="Arial"/>
          <w:sz w:val="22"/>
          <w:szCs w:val="22"/>
        </w:rPr>
      </w:pPr>
      <w:r w:rsidRPr="00736780">
        <w:rPr>
          <w:rFonts w:cs="Arial"/>
          <w:b/>
          <w:sz w:val="22"/>
          <w:szCs w:val="22"/>
        </w:rPr>
        <w:t xml:space="preserve">Tabulka č. 4 </w:t>
      </w:r>
      <w:r w:rsidR="007A3A05">
        <w:rPr>
          <w:rFonts w:cs="Arial"/>
          <w:b/>
          <w:sz w:val="22"/>
          <w:szCs w:val="22"/>
        </w:rPr>
        <w:t>–</w:t>
      </w:r>
      <w:r w:rsidRPr="00736780">
        <w:rPr>
          <w:rFonts w:cs="Arial"/>
          <w:b/>
          <w:sz w:val="22"/>
          <w:szCs w:val="22"/>
        </w:rPr>
        <w:t xml:space="preserve"> </w:t>
      </w:r>
      <w:r w:rsidR="00741DF6" w:rsidRPr="00736780">
        <w:rPr>
          <w:rFonts w:cs="Arial"/>
          <w:b/>
          <w:sz w:val="22"/>
          <w:szCs w:val="22"/>
        </w:rPr>
        <w:t>Porovnání původní a konečné specifikace</w:t>
      </w:r>
    </w:p>
    <w:tbl>
      <w:tblPr>
        <w:tblStyle w:val="Mkatabulky"/>
        <w:tblW w:w="907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1843"/>
        <w:gridCol w:w="1559"/>
        <w:gridCol w:w="1134"/>
      </w:tblGrid>
      <w:tr w:rsidR="00741DF6" w:rsidRPr="00BF7C30" w:rsidTr="00556799">
        <w:trPr>
          <w:trHeight w:val="283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41DF6" w:rsidRPr="00BF7C30" w:rsidRDefault="00741DF6" w:rsidP="00741DF6">
            <w:pPr>
              <w:rPr>
                <w:rFonts w:cs="Arial"/>
                <w:b/>
                <w:sz w:val="18"/>
                <w:szCs w:val="18"/>
              </w:rPr>
            </w:pPr>
            <w:r w:rsidRPr="00BF7C30">
              <w:rPr>
                <w:rFonts w:cs="Arial"/>
                <w:b/>
                <w:sz w:val="18"/>
                <w:szCs w:val="18"/>
              </w:rPr>
              <w:t>Specifikace čj.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41DF6" w:rsidRPr="00BF7C30" w:rsidRDefault="00741DF6" w:rsidP="00741D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7C30">
              <w:rPr>
                <w:rFonts w:cs="Arial"/>
                <w:b/>
                <w:sz w:val="18"/>
                <w:szCs w:val="18"/>
              </w:rPr>
              <w:t>Datum schválení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41DF6" w:rsidRPr="00BF7C30" w:rsidRDefault="00741DF6" w:rsidP="00741D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7C30">
              <w:rPr>
                <w:rFonts w:cs="Arial"/>
                <w:b/>
                <w:sz w:val="18"/>
                <w:szCs w:val="18"/>
              </w:rPr>
              <w:t xml:space="preserve">Počet souprav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41DF6" w:rsidRPr="00BF7C30" w:rsidRDefault="00741DF6" w:rsidP="00741D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7C30">
              <w:rPr>
                <w:rFonts w:cs="Arial"/>
                <w:b/>
                <w:sz w:val="18"/>
                <w:szCs w:val="18"/>
              </w:rPr>
              <w:t>Cena za soupravu (max.)</w:t>
            </w:r>
            <w:r w:rsidR="005B49E8" w:rsidRPr="00BF7C30">
              <w:rPr>
                <w:rFonts w:cs="Arial"/>
                <w:b/>
                <w:sz w:val="18"/>
                <w:szCs w:val="18"/>
              </w:rPr>
              <w:t xml:space="preserve"> /v Kč/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41DF6" w:rsidRPr="00BF7C30" w:rsidRDefault="00741DF6" w:rsidP="0055679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7C30">
              <w:rPr>
                <w:rFonts w:cs="Arial"/>
                <w:b/>
                <w:sz w:val="18"/>
                <w:szCs w:val="18"/>
              </w:rPr>
              <w:t>Celková cena</w:t>
            </w:r>
            <w:r w:rsidR="0055679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F7C30">
              <w:rPr>
                <w:rFonts w:cs="Arial"/>
                <w:b/>
                <w:sz w:val="18"/>
                <w:szCs w:val="18"/>
              </w:rPr>
              <w:t>(max.)</w:t>
            </w:r>
            <w:r w:rsidR="005B49E8" w:rsidRPr="00BF7C30">
              <w:rPr>
                <w:rFonts w:cs="Arial"/>
                <w:b/>
                <w:sz w:val="18"/>
                <w:szCs w:val="18"/>
              </w:rPr>
              <w:t xml:space="preserve"> /v Kč/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41DF6" w:rsidRPr="00BF7C30" w:rsidRDefault="00741DF6" w:rsidP="00741DF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7C30">
              <w:rPr>
                <w:rFonts w:cs="Arial"/>
                <w:b/>
                <w:sz w:val="18"/>
                <w:szCs w:val="18"/>
              </w:rPr>
              <w:t>Termín dodávek</w:t>
            </w:r>
          </w:p>
        </w:tc>
      </w:tr>
      <w:tr w:rsidR="00741DF6" w:rsidRPr="00BF7C30" w:rsidTr="00556799">
        <w:trPr>
          <w:trHeight w:val="283"/>
          <w:jc w:val="center"/>
        </w:trPr>
        <w:tc>
          <w:tcPr>
            <w:tcW w:w="2410" w:type="dxa"/>
            <w:vAlign w:val="center"/>
          </w:tcPr>
          <w:p w:rsidR="00741DF6" w:rsidRPr="00BF7C30" w:rsidRDefault="00741DF6" w:rsidP="00741DF6">
            <w:pPr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102769-2/2005/DP-5888</w:t>
            </w:r>
          </w:p>
        </w:tc>
        <w:tc>
          <w:tcPr>
            <w:tcW w:w="1134" w:type="dxa"/>
            <w:vAlign w:val="center"/>
          </w:tcPr>
          <w:p w:rsidR="00741DF6" w:rsidRPr="00BF7C30" w:rsidRDefault="00741DF6" w:rsidP="00741DF6">
            <w:pPr>
              <w:jc w:val="center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13.</w:t>
            </w:r>
            <w:r w:rsidR="008470CA">
              <w:rPr>
                <w:rFonts w:cs="Arial"/>
                <w:sz w:val="18"/>
                <w:szCs w:val="18"/>
              </w:rPr>
              <w:t> </w:t>
            </w:r>
            <w:r w:rsidRPr="00BF7C30">
              <w:rPr>
                <w:rFonts w:cs="Arial"/>
                <w:sz w:val="18"/>
                <w:szCs w:val="18"/>
              </w:rPr>
              <w:t>7.</w:t>
            </w:r>
            <w:r w:rsidR="008470CA">
              <w:rPr>
                <w:rFonts w:cs="Arial"/>
                <w:sz w:val="18"/>
                <w:szCs w:val="18"/>
              </w:rPr>
              <w:t> </w:t>
            </w:r>
            <w:r w:rsidRPr="00BF7C30">
              <w:rPr>
                <w:rFonts w:cs="Arial"/>
                <w:sz w:val="18"/>
                <w:szCs w:val="18"/>
              </w:rPr>
              <w:t>2005</w:t>
            </w:r>
          </w:p>
        </w:tc>
        <w:tc>
          <w:tcPr>
            <w:tcW w:w="992" w:type="dxa"/>
            <w:vAlign w:val="center"/>
          </w:tcPr>
          <w:p w:rsidR="00741DF6" w:rsidRPr="00BF7C30" w:rsidRDefault="00741DF6" w:rsidP="00741DF6">
            <w:pPr>
              <w:jc w:val="center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129</w:t>
            </w:r>
          </w:p>
        </w:tc>
        <w:tc>
          <w:tcPr>
            <w:tcW w:w="1843" w:type="dxa"/>
            <w:vAlign w:val="center"/>
          </w:tcPr>
          <w:p w:rsidR="00741DF6" w:rsidRPr="00BF7C30" w:rsidRDefault="00741DF6" w:rsidP="0094007F">
            <w:pPr>
              <w:jc w:val="center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501</w:t>
            </w:r>
            <w:r w:rsidR="00EA499C" w:rsidRPr="00BF7C30">
              <w:rPr>
                <w:rFonts w:cs="Arial"/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741DF6" w:rsidRPr="00BF7C30" w:rsidRDefault="00EA499C" w:rsidP="00741DF6">
            <w:pPr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64 6</w:t>
            </w:r>
            <w:r w:rsidR="00741DF6" w:rsidRPr="00BF7C30">
              <w:rPr>
                <w:rFonts w:cs="Arial"/>
                <w:sz w:val="18"/>
                <w:szCs w:val="18"/>
              </w:rPr>
              <w:t>00 000</w:t>
            </w:r>
          </w:p>
        </w:tc>
        <w:tc>
          <w:tcPr>
            <w:tcW w:w="1134" w:type="dxa"/>
          </w:tcPr>
          <w:p w:rsidR="00741DF6" w:rsidRPr="00BF7C30" w:rsidRDefault="00AF2613" w:rsidP="00AF2613">
            <w:pPr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2006–</w:t>
            </w:r>
            <w:r w:rsidR="00EA499C" w:rsidRPr="00BF7C30">
              <w:rPr>
                <w:rFonts w:cs="Arial"/>
                <w:sz w:val="18"/>
                <w:szCs w:val="18"/>
              </w:rPr>
              <w:t>2009</w:t>
            </w:r>
          </w:p>
        </w:tc>
      </w:tr>
      <w:tr w:rsidR="00741DF6" w:rsidRPr="00BF7C30" w:rsidTr="00556799">
        <w:trPr>
          <w:trHeight w:val="283"/>
          <w:jc w:val="center"/>
        </w:trPr>
        <w:tc>
          <w:tcPr>
            <w:tcW w:w="2410" w:type="dxa"/>
            <w:vAlign w:val="center"/>
          </w:tcPr>
          <w:p w:rsidR="00741DF6" w:rsidRPr="00BF7C30" w:rsidRDefault="00EA499C" w:rsidP="00741DF6">
            <w:pPr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102769-11/2006/DP-5888</w:t>
            </w:r>
          </w:p>
        </w:tc>
        <w:tc>
          <w:tcPr>
            <w:tcW w:w="1134" w:type="dxa"/>
            <w:vAlign w:val="center"/>
          </w:tcPr>
          <w:p w:rsidR="00741DF6" w:rsidRPr="00BF7C30" w:rsidRDefault="00EA499C" w:rsidP="00741DF6">
            <w:pPr>
              <w:jc w:val="center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6.</w:t>
            </w:r>
            <w:r w:rsidR="008470CA">
              <w:rPr>
                <w:rFonts w:cs="Arial"/>
                <w:sz w:val="18"/>
                <w:szCs w:val="18"/>
              </w:rPr>
              <w:t> </w:t>
            </w:r>
            <w:r w:rsidRPr="00BF7C30">
              <w:rPr>
                <w:rFonts w:cs="Arial"/>
                <w:sz w:val="18"/>
                <w:szCs w:val="18"/>
              </w:rPr>
              <w:t>3.</w:t>
            </w:r>
            <w:r w:rsidR="008470CA">
              <w:rPr>
                <w:rFonts w:cs="Arial"/>
                <w:sz w:val="18"/>
                <w:szCs w:val="18"/>
              </w:rPr>
              <w:t> </w:t>
            </w:r>
            <w:r w:rsidRPr="00BF7C30">
              <w:rPr>
                <w:rFonts w:cs="Arial"/>
                <w:sz w:val="18"/>
                <w:szCs w:val="18"/>
              </w:rPr>
              <w:t>2006</w:t>
            </w:r>
          </w:p>
        </w:tc>
        <w:tc>
          <w:tcPr>
            <w:tcW w:w="992" w:type="dxa"/>
            <w:vAlign w:val="center"/>
          </w:tcPr>
          <w:p w:rsidR="00741DF6" w:rsidRPr="00BF7C30" w:rsidRDefault="00EA499C" w:rsidP="00741DF6">
            <w:pPr>
              <w:jc w:val="center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 xml:space="preserve"> 87</w:t>
            </w:r>
          </w:p>
        </w:tc>
        <w:tc>
          <w:tcPr>
            <w:tcW w:w="1843" w:type="dxa"/>
            <w:vAlign w:val="center"/>
          </w:tcPr>
          <w:p w:rsidR="00741DF6" w:rsidRPr="00BF7C30" w:rsidRDefault="00EA499C" w:rsidP="0094007F">
            <w:pPr>
              <w:jc w:val="center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752</w:t>
            </w:r>
            <w:r w:rsidR="00741DF6" w:rsidRPr="00BF7C30">
              <w:rPr>
                <w:rFonts w:cs="Arial"/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741DF6" w:rsidRPr="00BF7C30" w:rsidRDefault="00EA499C" w:rsidP="00741DF6">
            <w:pPr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65 4</w:t>
            </w:r>
            <w:r w:rsidR="00741DF6" w:rsidRPr="00BF7C30">
              <w:rPr>
                <w:rFonts w:cs="Arial"/>
                <w:sz w:val="18"/>
                <w:szCs w:val="18"/>
              </w:rPr>
              <w:t>00 000</w:t>
            </w:r>
          </w:p>
        </w:tc>
        <w:tc>
          <w:tcPr>
            <w:tcW w:w="1134" w:type="dxa"/>
          </w:tcPr>
          <w:p w:rsidR="00741DF6" w:rsidRPr="00BF7C30" w:rsidRDefault="00AF2613" w:rsidP="00AF2613">
            <w:pPr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2006–</w:t>
            </w:r>
            <w:r w:rsidR="00EA499C" w:rsidRPr="00BF7C30">
              <w:rPr>
                <w:rFonts w:cs="Arial"/>
                <w:sz w:val="18"/>
                <w:szCs w:val="18"/>
              </w:rPr>
              <w:t>2009</w:t>
            </w:r>
          </w:p>
        </w:tc>
      </w:tr>
    </w:tbl>
    <w:p w:rsidR="00741DF6" w:rsidRPr="00BF7C30" w:rsidRDefault="00741DF6" w:rsidP="00D0377B">
      <w:pPr>
        <w:spacing w:before="40"/>
        <w:jc w:val="both"/>
        <w:rPr>
          <w:rFonts w:cs="Arial"/>
          <w:sz w:val="18"/>
          <w:szCs w:val="18"/>
        </w:rPr>
      </w:pPr>
      <w:r w:rsidRPr="00BF7C30">
        <w:rPr>
          <w:rFonts w:cs="Arial"/>
          <w:b/>
          <w:sz w:val="18"/>
          <w:szCs w:val="18"/>
          <w:lang w:eastAsia="en-US"/>
        </w:rPr>
        <w:t>Zdroj</w:t>
      </w:r>
      <w:r w:rsidRPr="008470CA">
        <w:rPr>
          <w:rFonts w:cs="Arial"/>
          <w:b/>
          <w:sz w:val="18"/>
          <w:szCs w:val="18"/>
          <w:lang w:eastAsia="en-US"/>
        </w:rPr>
        <w:t>:</w:t>
      </w:r>
      <w:r w:rsidRPr="00BF7C30">
        <w:rPr>
          <w:rFonts w:cs="Arial"/>
          <w:sz w:val="18"/>
          <w:szCs w:val="18"/>
          <w:lang w:eastAsia="en-US"/>
        </w:rPr>
        <w:t xml:space="preserve"> MO – dokumenta</w:t>
      </w:r>
      <w:r w:rsidR="005E5C1C" w:rsidRPr="00BF7C30">
        <w:rPr>
          <w:rFonts w:cs="Arial"/>
          <w:sz w:val="18"/>
          <w:szCs w:val="18"/>
          <w:lang w:eastAsia="en-US"/>
        </w:rPr>
        <w:t xml:space="preserve">ce </w:t>
      </w:r>
      <w:r w:rsidR="00CC4519" w:rsidRPr="00BF7C30">
        <w:rPr>
          <w:rFonts w:cs="Arial"/>
          <w:sz w:val="18"/>
          <w:szCs w:val="18"/>
          <w:lang w:eastAsia="en-US"/>
        </w:rPr>
        <w:t>akce.</w:t>
      </w:r>
    </w:p>
    <w:p w:rsidR="00556799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0D305C" w:rsidRDefault="004265D7" w:rsidP="00D0377B">
      <w:pPr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MO při </w:t>
      </w:r>
      <w:r w:rsidR="000D305C" w:rsidRPr="00D0377B">
        <w:rPr>
          <w:rFonts w:cs="Arial"/>
          <w:color w:val="000000" w:themeColor="text1"/>
          <w:sz w:val="22"/>
          <w:szCs w:val="22"/>
        </w:rPr>
        <w:t xml:space="preserve">zadávacím řízení postupovalo mimo režim zákona o veřejných zakázkách (zajištění obrany státu) a zakázku zadalo postupem přiměřeným jednacímu řízení bez uveřejnění jediné firmě, která do roku 2005 zajišťovala vývoj chemického </w:t>
      </w:r>
      <w:proofErr w:type="spellStart"/>
      <w:r w:rsidR="000D305C" w:rsidRPr="00D0377B">
        <w:rPr>
          <w:rFonts w:cs="Arial"/>
          <w:color w:val="000000" w:themeColor="text1"/>
          <w:sz w:val="22"/>
          <w:szCs w:val="22"/>
        </w:rPr>
        <w:t>průkazníku</w:t>
      </w:r>
      <w:proofErr w:type="spellEnd"/>
      <w:r w:rsidR="000D305C" w:rsidRPr="00D0377B">
        <w:rPr>
          <w:rFonts w:cs="Arial"/>
          <w:color w:val="000000" w:themeColor="text1"/>
          <w:sz w:val="22"/>
          <w:szCs w:val="22"/>
        </w:rPr>
        <w:t xml:space="preserve"> a byla držitelem výsledků výzkumu, vývoje i veškeré, zejména výrobní dokumentace. </w:t>
      </w:r>
      <w:r w:rsidR="00736780" w:rsidRPr="00D0377B">
        <w:rPr>
          <w:rFonts w:cs="Arial"/>
          <w:color w:val="000000" w:themeColor="text1"/>
          <w:sz w:val="22"/>
          <w:szCs w:val="22"/>
        </w:rPr>
        <w:t>MO v září 2006 uzavřelo s dodavatelem kupní smlouvu. D</w:t>
      </w:r>
      <w:r w:rsidR="000D305C" w:rsidRPr="00D0377B">
        <w:rPr>
          <w:rFonts w:cs="Arial"/>
          <w:color w:val="000000" w:themeColor="text1"/>
          <w:sz w:val="22"/>
          <w:szCs w:val="22"/>
        </w:rPr>
        <w:t xml:space="preserve">o roku 2010 </w:t>
      </w:r>
      <w:r w:rsidR="00736780" w:rsidRPr="00D0377B">
        <w:rPr>
          <w:rFonts w:cs="Arial"/>
          <w:color w:val="000000" w:themeColor="text1"/>
          <w:sz w:val="22"/>
          <w:szCs w:val="22"/>
        </w:rPr>
        <w:t xml:space="preserve">bylo </w:t>
      </w:r>
      <w:r w:rsidR="000D305C" w:rsidRPr="00D0377B">
        <w:rPr>
          <w:rFonts w:cs="Arial"/>
          <w:color w:val="000000" w:themeColor="text1"/>
          <w:sz w:val="22"/>
          <w:szCs w:val="22"/>
        </w:rPr>
        <w:t xml:space="preserve">dodáno 87 souprav </w:t>
      </w:r>
      <w:r w:rsidR="00891A5C" w:rsidRPr="00D0377B">
        <w:rPr>
          <w:rFonts w:cs="Arial"/>
          <w:color w:val="000000" w:themeColor="text1"/>
          <w:sz w:val="22"/>
          <w:szCs w:val="22"/>
        </w:rPr>
        <w:t xml:space="preserve">chemického pozorovatele </w:t>
      </w:r>
      <w:r w:rsidR="000D305C" w:rsidRPr="00D0377B">
        <w:rPr>
          <w:rFonts w:cs="Arial"/>
          <w:color w:val="000000" w:themeColor="text1"/>
          <w:sz w:val="22"/>
          <w:szCs w:val="22"/>
        </w:rPr>
        <w:t xml:space="preserve">za </w:t>
      </w:r>
      <w:r w:rsidR="00736780" w:rsidRPr="00D0377B">
        <w:rPr>
          <w:rFonts w:cs="Arial"/>
          <w:color w:val="000000" w:themeColor="text1"/>
          <w:sz w:val="22"/>
          <w:szCs w:val="22"/>
        </w:rPr>
        <w:t>63,9 mil. </w:t>
      </w:r>
      <w:r w:rsidR="00556799">
        <w:rPr>
          <w:rFonts w:cs="Arial"/>
          <w:color w:val="000000" w:themeColor="text1"/>
          <w:sz w:val="22"/>
          <w:szCs w:val="22"/>
        </w:rPr>
        <w:t>Kč.</w:t>
      </w:r>
    </w:p>
    <w:p w:rsidR="00556799" w:rsidRPr="00D0377B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017076" w:rsidRPr="00D0377B" w:rsidRDefault="00070031" w:rsidP="002352E9">
      <w:pPr>
        <w:pStyle w:val="Zhlav"/>
        <w:tabs>
          <w:tab w:val="clear" w:pos="4536"/>
          <w:tab w:val="clear" w:pos="9072"/>
        </w:tabs>
        <w:ind w:left="567" w:hanging="567"/>
        <w:rPr>
          <w:rFonts w:cs="Arial"/>
          <w:b/>
          <w:bCs/>
          <w:color w:val="000000" w:themeColor="text1"/>
          <w:sz w:val="22"/>
          <w:szCs w:val="22"/>
        </w:rPr>
      </w:pPr>
      <w:r w:rsidRPr="00D0377B">
        <w:rPr>
          <w:rFonts w:cs="Arial"/>
          <w:b/>
          <w:bCs/>
          <w:color w:val="000000" w:themeColor="text1"/>
          <w:sz w:val="22"/>
          <w:szCs w:val="22"/>
        </w:rPr>
        <w:t>3.</w:t>
      </w:r>
      <w:r w:rsidR="00B14268" w:rsidRPr="00D0377B">
        <w:rPr>
          <w:rFonts w:cs="Arial"/>
          <w:b/>
          <w:bCs/>
          <w:color w:val="000000" w:themeColor="text1"/>
          <w:sz w:val="22"/>
          <w:szCs w:val="22"/>
        </w:rPr>
        <w:t>1.</w:t>
      </w:r>
      <w:r w:rsidRPr="00D0377B">
        <w:rPr>
          <w:rFonts w:cs="Arial"/>
          <w:b/>
          <w:bCs/>
          <w:color w:val="000000" w:themeColor="text1"/>
          <w:sz w:val="22"/>
          <w:szCs w:val="22"/>
        </w:rPr>
        <w:t>4 Akce ev. č. 207V213 7010</w:t>
      </w:r>
      <w:r w:rsidR="002352E9">
        <w:rPr>
          <w:rFonts w:cs="Arial"/>
          <w:b/>
          <w:bCs/>
          <w:color w:val="000000" w:themeColor="text1"/>
          <w:sz w:val="22"/>
          <w:szCs w:val="22"/>
        </w:rPr>
        <w:t> –</w:t>
      </w:r>
      <w:r w:rsidRPr="00D0377B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564BC7">
        <w:rPr>
          <w:rFonts w:cs="Arial"/>
          <w:b/>
          <w:bCs/>
          <w:i/>
          <w:color w:val="000000" w:themeColor="text1"/>
          <w:sz w:val="22"/>
          <w:szCs w:val="22"/>
        </w:rPr>
        <w:t>Provětrávací</w:t>
      </w:r>
      <w:proofErr w:type="spellEnd"/>
      <w:r w:rsidRPr="00564BC7">
        <w:rPr>
          <w:rFonts w:cs="Arial"/>
          <w:b/>
          <w:bCs/>
          <w:i/>
          <w:color w:val="000000" w:themeColor="text1"/>
          <w:sz w:val="22"/>
          <w:szCs w:val="22"/>
        </w:rPr>
        <w:t xml:space="preserve"> protichemický izolační oděv – OPCH</w:t>
      </w:r>
      <w:r w:rsidR="002352E9" w:rsidRPr="00564BC7">
        <w:rPr>
          <w:rFonts w:cs="Arial"/>
          <w:b/>
          <w:bCs/>
          <w:i/>
          <w:color w:val="000000" w:themeColor="text1"/>
          <w:sz w:val="22"/>
          <w:szCs w:val="22"/>
        </w:rPr>
        <w:t> </w:t>
      </w:r>
      <w:r w:rsidRPr="00564BC7">
        <w:rPr>
          <w:rFonts w:cs="Arial"/>
          <w:b/>
          <w:bCs/>
          <w:i/>
          <w:color w:val="000000" w:themeColor="text1"/>
          <w:sz w:val="22"/>
          <w:szCs w:val="22"/>
        </w:rPr>
        <w:t>05</w:t>
      </w:r>
      <w:r w:rsidR="002352E9" w:rsidRPr="002352E9">
        <w:rPr>
          <w:rFonts w:cs="Arial"/>
          <w:b/>
          <w:bCs/>
          <w:i/>
          <w:color w:val="000000" w:themeColor="text1"/>
          <w:sz w:val="22"/>
          <w:szCs w:val="22"/>
        </w:rPr>
        <w:t> </w:t>
      </w:r>
      <w:r w:rsidRPr="00564BC7">
        <w:rPr>
          <w:rFonts w:cs="Arial"/>
          <w:b/>
          <w:bCs/>
          <w:i/>
          <w:color w:val="000000" w:themeColor="text1"/>
          <w:sz w:val="22"/>
          <w:szCs w:val="22"/>
        </w:rPr>
        <w:t>– nákup</w:t>
      </w:r>
    </w:p>
    <w:p w:rsidR="00556799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EA6B9A" w:rsidRDefault="00017076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 xml:space="preserve">Cílem </w:t>
      </w:r>
      <w:r w:rsidR="00693D80" w:rsidRPr="00D0377B">
        <w:rPr>
          <w:rFonts w:cs="Arial"/>
          <w:color w:val="000000" w:themeColor="text1"/>
          <w:sz w:val="22"/>
          <w:szCs w:val="22"/>
        </w:rPr>
        <w:t xml:space="preserve">projektu </w:t>
      </w:r>
      <w:r w:rsidRPr="00D0377B">
        <w:rPr>
          <w:rFonts w:cs="Arial"/>
          <w:color w:val="000000" w:themeColor="text1"/>
          <w:sz w:val="22"/>
          <w:szCs w:val="22"/>
        </w:rPr>
        <w:t xml:space="preserve">bylo vyvinout a dodat </w:t>
      </w:r>
      <w:r w:rsidR="00FA7A57" w:rsidRPr="00D0377B">
        <w:rPr>
          <w:rFonts w:cs="Arial"/>
          <w:color w:val="000000" w:themeColor="text1"/>
          <w:sz w:val="22"/>
          <w:szCs w:val="22"/>
        </w:rPr>
        <w:t xml:space="preserve">nový </w:t>
      </w:r>
      <w:r w:rsidRPr="00D0377B">
        <w:rPr>
          <w:rFonts w:cs="Arial"/>
          <w:color w:val="000000" w:themeColor="text1"/>
          <w:sz w:val="22"/>
          <w:szCs w:val="22"/>
        </w:rPr>
        <w:t xml:space="preserve">protichemický izolační oděv, který by nahradil </w:t>
      </w:r>
      <w:r w:rsidR="00E70A64" w:rsidRPr="00D0377B">
        <w:rPr>
          <w:rFonts w:cs="Arial"/>
          <w:color w:val="000000" w:themeColor="text1"/>
          <w:sz w:val="22"/>
          <w:szCs w:val="22"/>
        </w:rPr>
        <w:t xml:space="preserve">stávající </w:t>
      </w:r>
      <w:r w:rsidRPr="00D0377B">
        <w:rPr>
          <w:rFonts w:cs="Arial"/>
          <w:color w:val="000000" w:themeColor="text1"/>
          <w:sz w:val="22"/>
          <w:szCs w:val="22"/>
        </w:rPr>
        <w:t xml:space="preserve">obleky a byl kompatibilní se zavedenou plynovou maskou. </w:t>
      </w:r>
      <w:r w:rsidR="00FA7A57" w:rsidRPr="00D0377B">
        <w:rPr>
          <w:rFonts w:cs="Arial"/>
          <w:color w:val="000000" w:themeColor="text1"/>
          <w:sz w:val="22"/>
          <w:szCs w:val="22"/>
        </w:rPr>
        <w:t>Potřeba vycházela ze specializace AČR v rámci NATO a</w:t>
      </w:r>
      <w:r w:rsidR="00CB06E6">
        <w:rPr>
          <w:rFonts w:cs="Arial"/>
          <w:color w:val="000000" w:themeColor="text1"/>
          <w:sz w:val="22"/>
          <w:szCs w:val="22"/>
        </w:rPr>
        <w:t> z</w:t>
      </w:r>
      <w:r w:rsidR="00FA7A57" w:rsidRPr="00D0377B">
        <w:rPr>
          <w:rFonts w:cs="Arial"/>
          <w:color w:val="000000" w:themeColor="text1"/>
          <w:sz w:val="22"/>
          <w:szCs w:val="22"/>
        </w:rPr>
        <w:t xml:space="preserve"> možnosti nasazení chemického vojska v zahraničních operacích. </w:t>
      </w:r>
      <w:r w:rsidR="0063742D" w:rsidRPr="00D0377B">
        <w:rPr>
          <w:rFonts w:cs="Arial"/>
          <w:color w:val="000000" w:themeColor="text1"/>
          <w:sz w:val="22"/>
          <w:szCs w:val="22"/>
        </w:rPr>
        <w:t>MO již v roce 2003 vybralo ve veřejné soutěži výrobce, který by nový izolační oblek vyvinul. Podle investičního záměru z dubna 2006 mělo b</w:t>
      </w:r>
      <w:r w:rsidR="00736780" w:rsidRPr="00D0377B">
        <w:rPr>
          <w:rFonts w:cs="Arial"/>
          <w:color w:val="000000" w:themeColor="text1"/>
          <w:sz w:val="22"/>
          <w:szCs w:val="22"/>
        </w:rPr>
        <w:t>ýt nakoupeno 642 souprav za 58</w:t>
      </w:r>
      <w:r w:rsidR="0063742D" w:rsidRPr="00D0377B">
        <w:rPr>
          <w:rFonts w:cs="Arial"/>
          <w:color w:val="000000" w:themeColor="text1"/>
          <w:sz w:val="22"/>
          <w:szCs w:val="22"/>
        </w:rPr>
        <w:t xml:space="preserve"> mil. Kč</w:t>
      </w:r>
      <w:r w:rsidR="00EA6B9A" w:rsidRPr="00D0377B">
        <w:rPr>
          <w:rFonts w:cs="Arial"/>
          <w:color w:val="000000" w:themeColor="text1"/>
          <w:sz w:val="22"/>
          <w:szCs w:val="22"/>
        </w:rPr>
        <w:t>.</w:t>
      </w:r>
      <w:r w:rsidR="006C39C1" w:rsidRPr="00D0377B">
        <w:rPr>
          <w:rFonts w:cs="Arial"/>
          <w:color w:val="000000" w:themeColor="text1"/>
          <w:sz w:val="22"/>
          <w:szCs w:val="22"/>
        </w:rPr>
        <w:t xml:space="preserve"> Se stejnými parametry bylo v prosinci 2006 vydán</w:t>
      </w:r>
      <w:r w:rsidR="00556799">
        <w:rPr>
          <w:rFonts w:cs="Arial"/>
          <w:color w:val="000000" w:themeColor="text1"/>
          <w:sz w:val="22"/>
          <w:szCs w:val="22"/>
        </w:rPr>
        <w:t>o rozhodnutí o</w:t>
      </w:r>
      <w:r w:rsidR="00F30B2D">
        <w:rPr>
          <w:rFonts w:cs="Arial"/>
          <w:color w:val="000000" w:themeColor="text1"/>
          <w:sz w:val="22"/>
          <w:szCs w:val="22"/>
        </w:rPr>
        <w:t> </w:t>
      </w:r>
      <w:r w:rsidR="00556799">
        <w:rPr>
          <w:rFonts w:cs="Arial"/>
          <w:color w:val="000000" w:themeColor="text1"/>
          <w:sz w:val="22"/>
          <w:szCs w:val="22"/>
        </w:rPr>
        <w:t>registraci akce.</w:t>
      </w:r>
    </w:p>
    <w:p w:rsidR="00556799" w:rsidRPr="00D0377B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7F3D37" w:rsidRDefault="00E21075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>Zakázka byla zadána v otevřeném řízení,</w:t>
      </w:r>
      <w:r w:rsidR="00D32159" w:rsidRPr="00D0377B">
        <w:rPr>
          <w:rFonts w:cs="Arial"/>
          <w:color w:val="000000" w:themeColor="text1"/>
          <w:sz w:val="22"/>
          <w:szCs w:val="22"/>
        </w:rPr>
        <w:t xml:space="preserve"> které bylo uveřejněno v lednu 2007. </w:t>
      </w:r>
      <w:r w:rsidR="006C39C1" w:rsidRPr="00D0377B">
        <w:rPr>
          <w:rFonts w:cs="Arial"/>
          <w:color w:val="000000" w:themeColor="text1"/>
          <w:sz w:val="22"/>
          <w:szCs w:val="22"/>
        </w:rPr>
        <w:t>N</w:t>
      </w:r>
      <w:r w:rsidR="0063742D" w:rsidRPr="00D0377B">
        <w:rPr>
          <w:rFonts w:cs="Arial"/>
          <w:color w:val="000000" w:themeColor="text1"/>
          <w:sz w:val="22"/>
          <w:szCs w:val="22"/>
        </w:rPr>
        <w:t xml:space="preserve">abídku </w:t>
      </w:r>
      <w:r w:rsidR="006C39C1" w:rsidRPr="00D0377B">
        <w:rPr>
          <w:rFonts w:cs="Arial"/>
          <w:color w:val="000000" w:themeColor="text1"/>
          <w:sz w:val="22"/>
          <w:szCs w:val="22"/>
        </w:rPr>
        <w:t xml:space="preserve">podal </w:t>
      </w:r>
      <w:r w:rsidR="0063742D" w:rsidRPr="00D0377B">
        <w:rPr>
          <w:rFonts w:cs="Arial"/>
          <w:color w:val="000000" w:themeColor="text1"/>
          <w:sz w:val="22"/>
          <w:szCs w:val="22"/>
        </w:rPr>
        <w:t>je</w:t>
      </w:r>
      <w:r w:rsidR="00FA7A57" w:rsidRPr="00D0377B">
        <w:rPr>
          <w:rFonts w:cs="Arial"/>
          <w:color w:val="000000" w:themeColor="text1"/>
          <w:sz w:val="22"/>
          <w:szCs w:val="22"/>
        </w:rPr>
        <w:t xml:space="preserve">diný uchazeč, který </w:t>
      </w:r>
      <w:r w:rsidR="00F67527" w:rsidRPr="00D0377B">
        <w:rPr>
          <w:rFonts w:cs="Arial"/>
          <w:color w:val="000000" w:themeColor="text1"/>
          <w:sz w:val="22"/>
          <w:szCs w:val="22"/>
        </w:rPr>
        <w:t>oděv</w:t>
      </w:r>
      <w:r w:rsidR="0063742D" w:rsidRPr="00D0377B">
        <w:rPr>
          <w:rFonts w:cs="Arial"/>
          <w:color w:val="000000" w:themeColor="text1"/>
          <w:sz w:val="22"/>
          <w:szCs w:val="22"/>
        </w:rPr>
        <w:t xml:space="preserve"> vyvíjel. Podle nabídky byla cena za uvedený počet souprav </w:t>
      </w:r>
      <w:r w:rsidR="00736780" w:rsidRPr="00D0377B">
        <w:rPr>
          <w:rFonts w:cs="Arial"/>
          <w:color w:val="000000" w:themeColor="text1"/>
          <w:sz w:val="22"/>
          <w:szCs w:val="22"/>
        </w:rPr>
        <w:t>63</w:t>
      </w:r>
      <w:r w:rsidR="00A50C68" w:rsidRPr="00D0377B">
        <w:rPr>
          <w:rFonts w:cs="Arial"/>
          <w:color w:val="000000" w:themeColor="text1"/>
          <w:sz w:val="22"/>
          <w:szCs w:val="22"/>
        </w:rPr>
        <w:t> </w:t>
      </w:r>
      <w:r w:rsidR="0063742D" w:rsidRPr="00D0377B">
        <w:rPr>
          <w:rFonts w:cs="Arial"/>
          <w:color w:val="000000" w:themeColor="text1"/>
          <w:sz w:val="22"/>
          <w:szCs w:val="22"/>
        </w:rPr>
        <w:t>mil. Kč</w:t>
      </w:r>
      <w:r w:rsidR="00A43FEF" w:rsidRPr="00D0377B">
        <w:rPr>
          <w:rFonts w:cs="Arial"/>
          <w:color w:val="000000" w:themeColor="text1"/>
          <w:sz w:val="22"/>
          <w:szCs w:val="22"/>
        </w:rPr>
        <w:t>, tj. o </w:t>
      </w:r>
      <w:r w:rsidR="00736780" w:rsidRPr="00D0377B">
        <w:rPr>
          <w:rFonts w:cs="Arial"/>
          <w:color w:val="000000" w:themeColor="text1"/>
          <w:sz w:val="22"/>
          <w:szCs w:val="22"/>
        </w:rPr>
        <w:t>5</w:t>
      </w:r>
      <w:r w:rsidR="00266ABE" w:rsidRPr="00D0377B">
        <w:rPr>
          <w:rFonts w:cs="Arial"/>
          <w:color w:val="000000" w:themeColor="text1"/>
          <w:sz w:val="22"/>
          <w:szCs w:val="22"/>
        </w:rPr>
        <w:t> mil. Kč vyšší, než</w:t>
      </w:r>
      <w:r w:rsidR="004933E2" w:rsidRPr="00D0377B">
        <w:rPr>
          <w:rFonts w:cs="Arial"/>
          <w:color w:val="000000" w:themeColor="text1"/>
          <w:sz w:val="22"/>
          <w:szCs w:val="22"/>
        </w:rPr>
        <w:t xml:space="preserve"> bylo uvedeno </w:t>
      </w:r>
      <w:r w:rsidR="00A43FEF" w:rsidRPr="00D0377B">
        <w:rPr>
          <w:rFonts w:cs="Arial"/>
          <w:color w:val="000000" w:themeColor="text1"/>
          <w:sz w:val="22"/>
          <w:szCs w:val="22"/>
        </w:rPr>
        <w:t xml:space="preserve">v </w:t>
      </w:r>
      <w:r w:rsidR="004933E2" w:rsidRPr="00D0377B">
        <w:rPr>
          <w:rFonts w:cs="Arial"/>
          <w:color w:val="000000" w:themeColor="text1"/>
          <w:sz w:val="22"/>
          <w:szCs w:val="22"/>
        </w:rPr>
        <w:t>rozhodnutí o registraci akce</w:t>
      </w:r>
      <w:r w:rsidR="00F67527" w:rsidRPr="00D0377B">
        <w:rPr>
          <w:rFonts w:cs="Arial"/>
          <w:color w:val="000000" w:themeColor="text1"/>
          <w:sz w:val="22"/>
          <w:szCs w:val="22"/>
        </w:rPr>
        <w:t xml:space="preserve">. </w:t>
      </w:r>
      <w:r w:rsidR="0063742D" w:rsidRPr="00D0377B">
        <w:rPr>
          <w:rFonts w:cs="Arial"/>
          <w:color w:val="000000" w:themeColor="text1"/>
          <w:sz w:val="22"/>
          <w:szCs w:val="22"/>
        </w:rPr>
        <w:t>MO</w:t>
      </w:r>
      <w:r w:rsidR="00F67527" w:rsidRPr="00D0377B">
        <w:rPr>
          <w:rFonts w:cs="Arial"/>
          <w:color w:val="000000" w:themeColor="text1"/>
          <w:sz w:val="22"/>
          <w:szCs w:val="22"/>
        </w:rPr>
        <w:t xml:space="preserve"> tuto cenu akceptovalo a nabídku přijalo.</w:t>
      </w:r>
      <w:r w:rsidR="0063742D" w:rsidRPr="00D0377B">
        <w:rPr>
          <w:rFonts w:cs="Arial"/>
          <w:color w:val="000000" w:themeColor="text1"/>
          <w:sz w:val="22"/>
          <w:szCs w:val="22"/>
        </w:rPr>
        <w:t xml:space="preserve"> Podle</w:t>
      </w:r>
      <w:r w:rsidR="00F67527" w:rsidRPr="00D0377B">
        <w:rPr>
          <w:rFonts w:cs="Arial"/>
          <w:color w:val="000000" w:themeColor="text1"/>
          <w:sz w:val="22"/>
          <w:szCs w:val="22"/>
        </w:rPr>
        <w:t xml:space="preserve"> smlouvy uzavřené</w:t>
      </w:r>
      <w:r w:rsidR="0063742D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736780" w:rsidRPr="00D0377B">
        <w:rPr>
          <w:rFonts w:cs="Arial"/>
          <w:color w:val="000000" w:themeColor="text1"/>
          <w:sz w:val="22"/>
          <w:szCs w:val="22"/>
        </w:rPr>
        <w:t>v červenci 2007</w:t>
      </w:r>
      <w:r w:rsidR="00E22B9F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63742D" w:rsidRPr="00D0377B">
        <w:rPr>
          <w:rFonts w:cs="Arial"/>
          <w:color w:val="000000" w:themeColor="text1"/>
          <w:sz w:val="22"/>
          <w:szCs w:val="22"/>
        </w:rPr>
        <w:t>měly bý</w:t>
      </w:r>
      <w:r w:rsidR="00B55A46" w:rsidRPr="00D0377B">
        <w:rPr>
          <w:rFonts w:cs="Arial"/>
          <w:color w:val="000000" w:themeColor="text1"/>
          <w:sz w:val="22"/>
          <w:szCs w:val="22"/>
        </w:rPr>
        <w:t xml:space="preserve">t soupravy dodány </w:t>
      </w:r>
      <w:r w:rsidR="00D27EFE" w:rsidRPr="00D0377B">
        <w:rPr>
          <w:rFonts w:cs="Arial"/>
          <w:color w:val="000000" w:themeColor="text1"/>
          <w:sz w:val="22"/>
          <w:szCs w:val="22"/>
        </w:rPr>
        <w:t xml:space="preserve">v několika etapách </w:t>
      </w:r>
      <w:r w:rsidR="00B55A46" w:rsidRPr="00D0377B">
        <w:rPr>
          <w:rFonts w:cs="Arial"/>
          <w:color w:val="000000" w:themeColor="text1"/>
          <w:sz w:val="22"/>
          <w:szCs w:val="22"/>
        </w:rPr>
        <w:t xml:space="preserve">v letech 2007 až </w:t>
      </w:r>
      <w:r w:rsidR="0063742D" w:rsidRPr="00D0377B">
        <w:rPr>
          <w:rFonts w:cs="Arial"/>
          <w:color w:val="000000" w:themeColor="text1"/>
          <w:sz w:val="22"/>
          <w:szCs w:val="22"/>
        </w:rPr>
        <w:t>2010. Za opoždě</w:t>
      </w:r>
      <w:r w:rsidR="00F67527" w:rsidRPr="00D0377B">
        <w:rPr>
          <w:rFonts w:cs="Arial"/>
          <w:color w:val="000000" w:themeColor="text1"/>
          <w:sz w:val="22"/>
          <w:szCs w:val="22"/>
        </w:rPr>
        <w:t>né dodávky v roce 2007 vystavilo MO penalizační faktury v celkové výši 426,8 tis. </w:t>
      </w:r>
      <w:r w:rsidR="00736780" w:rsidRPr="00D0377B">
        <w:rPr>
          <w:rFonts w:cs="Arial"/>
          <w:color w:val="000000" w:themeColor="text1"/>
          <w:sz w:val="22"/>
          <w:szCs w:val="22"/>
        </w:rPr>
        <w:t>Kč</w:t>
      </w:r>
      <w:r w:rsidR="00CB06E6">
        <w:rPr>
          <w:rFonts w:cs="Arial"/>
          <w:color w:val="000000" w:themeColor="text1"/>
          <w:sz w:val="22"/>
          <w:szCs w:val="22"/>
        </w:rPr>
        <w:t>; tuto částku</w:t>
      </w:r>
      <w:r w:rsidR="00A84FEF" w:rsidRPr="00D0377B">
        <w:rPr>
          <w:rFonts w:cs="Arial"/>
          <w:color w:val="000000" w:themeColor="text1"/>
          <w:sz w:val="22"/>
          <w:szCs w:val="22"/>
        </w:rPr>
        <w:t xml:space="preserve"> dodavatel</w:t>
      </w:r>
      <w:r w:rsidR="0063742D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556799">
        <w:rPr>
          <w:rFonts w:cs="Arial"/>
          <w:color w:val="000000" w:themeColor="text1"/>
          <w:sz w:val="22"/>
          <w:szCs w:val="22"/>
        </w:rPr>
        <w:t>uhradil.</w:t>
      </w:r>
    </w:p>
    <w:p w:rsidR="00556799" w:rsidRPr="00D0377B" w:rsidRDefault="00556799" w:rsidP="00D0377B">
      <w:pPr>
        <w:jc w:val="both"/>
        <w:rPr>
          <w:rFonts w:cs="Arial"/>
          <w:strike/>
          <w:color w:val="000000" w:themeColor="text1"/>
          <w:sz w:val="22"/>
          <w:szCs w:val="22"/>
        </w:rPr>
      </w:pPr>
    </w:p>
    <w:p w:rsidR="001C3C57" w:rsidRPr="00D0377B" w:rsidRDefault="001C3C57" w:rsidP="009A2C3A">
      <w:pPr>
        <w:keepNext/>
        <w:ind w:left="425" w:hanging="425"/>
        <w:rPr>
          <w:rFonts w:cs="Arial"/>
          <w:b/>
          <w:color w:val="000000" w:themeColor="text1"/>
          <w:sz w:val="22"/>
          <w:szCs w:val="22"/>
        </w:rPr>
      </w:pPr>
      <w:r w:rsidRPr="00D0377B">
        <w:rPr>
          <w:rFonts w:cs="Arial"/>
          <w:b/>
          <w:color w:val="000000" w:themeColor="text1"/>
          <w:sz w:val="22"/>
          <w:szCs w:val="22"/>
        </w:rPr>
        <w:t>3.2</w:t>
      </w:r>
      <w:r w:rsidR="004C414F" w:rsidRPr="00D0377B">
        <w:rPr>
          <w:rFonts w:cs="Arial"/>
          <w:b/>
          <w:color w:val="000000" w:themeColor="text1"/>
          <w:sz w:val="22"/>
          <w:szCs w:val="22"/>
        </w:rPr>
        <w:tab/>
      </w:r>
      <w:bookmarkStart w:id="0" w:name="_GoBack"/>
      <w:bookmarkEnd w:id="0"/>
      <w:r w:rsidRPr="00D0377B">
        <w:rPr>
          <w:rFonts w:cs="Arial"/>
          <w:b/>
          <w:color w:val="000000" w:themeColor="text1"/>
          <w:sz w:val="22"/>
          <w:szCs w:val="22"/>
        </w:rPr>
        <w:t>Program ev. č. 107V050</w:t>
      </w:r>
      <w:r w:rsidR="002352E9">
        <w:rPr>
          <w:rFonts w:cs="Arial"/>
          <w:b/>
          <w:color w:val="000000" w:themeColor="text1"/>
          <w:sz w:val="22"/>
          <w:szCs w:val="22"/>
        </w:rPr>
        <w:t> –</w:t>
      </w:r>
      <w:r w:rsidRPr="00D0377B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564BC7">
        <w:rPr>
          <w:rFonts w:cs="Arial"/>
          <w:b/>
          <w:i/>
          <w:color w:val="000000" w:themeColor="text1"/>
          <w:sz w:val="22"/>
          <w:szCs w:val="22"/>
        </w:rPr>
        <w:t>Pořízení lehkých obrněných vozidel</w:t>
      </w:r>
      <w:r w:rsidR="0083682A" w:rsidRPr="00D0377B">
        <w:rPr>
          <w:rFonts w:cs="Arial"/>
          <w:b/>
          <w:color w:val="000000" w:themeColor="text1"/>
          <w:sz w:val="22"/>
          <w:szCs w:val="22"/>
        </w:rPr>
        <w:t>, podprogram ev. č. 107V052</w:t>
      </w:r>
      <w:r w:rsidR="002352E9">
        <w:rPr>
          <w:rFonts w:cs="Arial"/>
          <w:b/>
          <w:color w:val="000000" w:themeColor="text1"/>
          <w:sz w:val="22"/>
          <w:szCs w:val="22"/>
        </w:rPr>
        <w:t> –</w:t>
      </w:r>
      <w:r w:rsidR="0083682A" w:rsidRPr="00D0377B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83682A" w:rsidRPr="00564BC7">
        <w:rPr>
          <w:rFonts w:cs="Arial"/>
          <w:b/>
          <w:i/>
          <w:color w:val="000000" w:themeColor="text1"/>
          <w:sz w:val="22"/>
          <w:szCs w:val="22"/>
        </w:rPr>
        <w:t>Lehké obrněné vozidlo 4x4</w:t>
      </w:r>
      <w:r w:rsidR="0083682A" w:rsidRPr="00D0377B">
        <w:rPr>
          <w:rFonts w:cs="Arial"/>
          <w:b/>
          <w:color w:val="000000" w:themeColor="text1"/>
          <w:sz w:val="22"/>
          <w:szCs w:val="22"/>
        </w:rPr>
        <w:t xml:space="preserve"> </w:t>
      </w:r>
    </w:p>
    <w:p w:rsidR="00556799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0B5CF3" w:rsidRDefault="000B5CF3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>Dokumentace program</w:t>
      </w:r>
      <w:r w:rsidR="00564BC7">
        <w:rPr>
          <w:rFonts w:cs="Arial"/>
          <w:color w:val="000000" w:themeColor="text1"/>
          <w:sz w:val="22"/>
          <w:szCs w:val="22"/>
        </w:rPr>
        <w:t>u</w:t>
      </w:r>
      <w:r w:rsidRPr="00D0377B">
        <w:rPr>
          <w:rFonts w:cs="Arial"/>
          <w:color w:val="000000" w:themeColor="text1"/>
          <w:sz w:val="22"/>
          <w:szCs w:val="22"/>
        </w:rPr>
        <w:t xml:space="preserve"> ev. č. 107V050 s celkovými výdaji ve výši 4 298 mil. Kč a dobou realizace v letech 2009 až 2015</w:t>
      </w:r>
      <w:r w:rsidR="00564BC7">
        <w:rPr>
          <w:rFonts w:cs="Arial"/>
          <w:color w:val="000000" w:themeColor="text1"/>
          <w:sz w:val="22"/>
          <w:szCs w:val="22"/>
        </w:rPr>
        <w:t xml:space="preserve"> </w:t>
      </w:r>
      <w:r w:rsidR="00564BC7" w:rsidRPr="00D0377B">
        <w:rPr>
          <w:rFonts w:cs="Arial"/>
          <w:color w:val="000000" w:themeColor="text1"/>
          <w:sz w:val="22"/>
          <w:szCs w:val="22"/>
        </w:rPr>
        <w:t>byla schválena dne 10. září 2009</w:t>
      </w:r>
      <w:r w:rsidRPr="00D0377B">
        <w:rPr>
          <w:rFonts w:cs="Arial"/>
          <w:color w:val="000000" w:themeColor="text1"/>
          <w:sz w:val="22"/>
          <w:szCs w:val="22"/>
        </w:rPr>
        <w:t>. Hlavním cílem podprogramu ev. č. 107V052</w:t>
      </w:r>
      <w:r w:rsidR="002352E9">
        <w:rPr>
          <w:rFonts w:cs="Arial"/>
          <w:color w:val="000000" w:themeColor="text1"/>
          <w:sz w:val="22"/>
          <w:szCs w:val="22"/>
        </w:rPr>
        <w:t> –</w:t>
      </w:r>
      <w:r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Pr="00D0377B">
        <w:rPr>
          <w:rFonts w:cs="Arial"/>
          <w:i/>
          <w:color w:val="000000" w:themeColor="text1"/>
          <w:sz w:val="22"/>
          <w:szCs w:val="22"/>
        </w:rPr>
        <w:t>Lehké obrněné vozidlo 4x4</w:t>
      </w:r>
      <w:r w:rsidRPr="00D0377B">
        <w:rPr>
          <w:rFonts w:cs="Arial"/>
          <w:color w:val="000000" w:themeColor="text1"/>
          <w:sz w:val="22"/>
          <w:szCs w:val="22"/>
        </w:rPr>
        <w:t xml:space="preserve"> bylo vyzbrojení části mechanizovaných a motorizovaných jednotek pozemních sil AČR a jejich podpůrných jednotek a části průzkumných jednotek lehkými obrněnými vozidly. Kromě pořízení těchto vozidel bylo součástí podprogramu i logistické zabezpečení vozidel a elek</w:t>
      </w:r>
      <w:r w:rsidR="00556799">
        <w:rPr>
          <w:rFonts w:cs="Arial"/>
          <w:color w:val="000000" w:themeColor="text1"/>
          <w:sz w:val="22"/>
          <w:szCs w:val="22"/>
        </w:rPr>
        <w:t>tronické vybavení části z nich.</w:t>
      </w:r>
    </w:p>
    <w:p w:rsidR="00556799" w:rsidRPr="00D0377B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0B5CF3" w:rsidRPr="00D0377B" w:rsidRDefault="001C3C57" w:rsidP="00D0377B">
      <w:pPr>
        <w:jc w:val="both"/>
        <w:rPr>
          <w:rFonts w:cs="Arial"/>
          <w:b/>
          <w:color w:val="000000" w:themeColor="text1"/>
          <w:sz w:val="22"/>
          <w:szCs w:val="22"/>
        </w:rPr>
      </w:pPr>
      <w:r w:rsidRPr="00D0377B">
        <w:rPr>
          <w:rFonts w:cs="Arial"/>
          <w:b/>
          <w:color w:val="000000" w:themeColor="text1"/>
          <w:sz w:val="22"/>
          <w:szCs w:val="22"/>
        </w:rPr>
        <w:t>3.2.1 Akce ev. č. 107V052 0001</w:t>
      </w:r>
      <w:r w:rsidR="002352E9">
        <w:rPr>
          <w:rFonts w:cs="Arial"/>
          <w:b/>
          <w:color w:val="000000" w:themeColor="text1"/>
          <w:sz w:val="22"/>
          <w:szCs w:val="22"/>
        </w:rPr>
        <w:t> –</w:t>
      </w:r>
      <w:r w:rsidRPr="00D0377B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564BC7">
        <w:rPr>
          <w:rFonts w:cs="Arial"/>
          <w:b/>
          <w:i/>
          <w:color w:val="000000" w:themeColor="text1"/>
          <w:sz w:val="22"/>
          <w:szCs w:val="22"/>
        </w:rPr>
        <w:t>Lehké obrněné vo</w:t>
      </w:r>
      <w:r w:rsidR="000B5CF3" w:rsidRPr="00564BC7">
        <w:rPr>
          <w:rFonts w:cs="Arial"/>
          <w:b/>
          <w:i/>
          <w:color w:val="000000" w:themeColor="text1"/>
          <w:sz w:val="22"/>
          <w:szCs w:val="22"/>
        </w:rPr>
        <w:t xml:space="preserve">zidlo bojové a podpůrné </w:t>
      </w:r>
      <w:r w:rsidR="00317FAB" w:rsidRPr="00564BC7">
        <w:rPr>
          <w:rFonts w:cs="Arial"/>
          <w:b/>
          <w:i/>
          <w:color w:val="000000" w:themeColor="text1"/>
          <w:sz w:val="22"/>
          <w:szCs w:val="22"/>
        </w:rPr>
        <w:t>–</w:t>
      </w:r>
      <w:r w:rsidR="000B5CF3" w:rsidRPr="00564BC7">
        <w:rPr>
          <w:rFonts w:cs="Arial"/>
          <w:b/>
          <w:i/>
          <w:color w:val="000000" w:themeColor="text1"/>
          <w:sz w:val="22"/>
          <w:szCs w:val="22"/>
        </w:rPr>
        <w:t xml:space="preserve"> nákup</w:t>
      </w:r>
    </w:p>
    <w:p w:rsidR="00556799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0B5CF3" w:rsidRDefault="000B5CF3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 xml:space="preserve">Příprava a proces zadání nákupu lehkých obrněných vozidel </w:t>
      </w:r>
      <w:r w:rsidR="00CB06E6">
        <w:rPr>
          <w:rFonts w:cs="Arial"/>
          <w:color w:val="000000" w:themeColor="text1"/>
          <w:sz w:val="22"/>
          <w:szCs w:val="22"/>
        </w:rPr>
        <w:t xml:space="preserve">již byly kontrolovány </w:t>
      </w:r>
      <w:r w:rsidR="00736780" w:rsidRPr="00D0377B">
        <w:rPr>
          <w:rFonts w:cs="Arial"/>
          <w:color w:val="000000" w:themeColor="text1"/>
          <w:sz w:val="22"/>
          <w:szCs w:val="22"/>
        </w:rPr>
        <w:t>v</w:t>
      </w:r>
      <w:r w:rsidR="00564BC7">
        <w:rPr>
          <w:rFonts w:cs="Arial"/>
          <w:color w:val="000000" w:themeColor="text1"/>
          <w:sz w:val="22"/>
          <w:szCs w:val="22"/>
        </w:rPr>
        <w:t> </w:t>
      </w:r>
      <w:r w:rsidR="00736780" w:rsidRPr="00D0377B">
        <w:rPr>
          <w:rFonts w:cs="Arial"/>
          <w:color w:val="000000" w:themeColor="text1"/>
          <w:sz w:val="22"/>
          <w:szCs w:val="22"/>
        </w:rPr>
        <w:t>rámci kontrolní akce</w:t>
      </w:r>
      <w:r w:rsidR="00CB06E6">
        <w:rPr>
          <w:rFonts w:cs="Arial"/>
          <w:color w:val="000000" w:themeColor="text1"/>
          <w:sz w:val="22"/>
          <w:szCs w:val="22"/>
        </w:rPr>
        <w:t xml:space="preserve"> NKÚ</w:t>
      </w:r>
      <w:r w:rsidRPr="00D0377B">
        <w:rPr>
          <w:rFonts w:cs="Arial"/>
          <w:color w:val="000000" w:themeColor="text1"/>
          <w:sz w:val="22"/>
          <w:szCs w:val="22"/>
        </w:rPr>
        <w:t xml:space="preserve"> č. 10/10. Současná kontrol</w:t>
      </w:r>
      <w:r w:rsidR="00C3531A" w:rsidRPr="00D0377B">
        <w:rPr>
          <w:rFonts w:cs="Arial"/>
          <w:color w:val="000000" w:themeColor="text1"/>
          <w:sz w:val="22"/>
          <w:szCs w:val="22"/>
        </w:rPr>
        <w:t xml:space="preserve">ní akce </w:t>
      </w:r>
      <w:r w:rsidRPr="00D0377B">
        <w:rPr>
          <w:rFonts w:cs="Arial"/>
          <w:color w:val="000000" w:themeColor="text1"/>
          <w:sz w:val="22"/>
          <w:szCs w:val="22"/>
        </w:rPr>
        <w:t>byla zaměřena na plnění smluvního vztahu a</w:t>
      </w:r>
      <w:r w:rsidR="00CB06E6">
        <w:rPr>
          <w:rFonts w:cs="Arial"/>
          <w:color w:val="000000" w:themeColor="text1"/>
          <w:sz w:val="22"/>
          <w:szCs w:val="22"/>
        </w:rPr>
        <w:t> na</w:t>
      </w:r>
      <w:r w:rsidRPr="00D0377B">
        <w:rPr>
          <w:rFonts w:cs="Arial"/>
          <w:color w:val="000000" w:themeColor="text1"/>
          <w:sz w:val="22"/>
          <w:szCs w:val="22"/>
        </w:rPr>
        <w:t xml:space="preserve"> další nakládán</w:t>
      </w:r>
      <w:r w:rsidR="00556799">
        <w:rPr>
          <w:rFonts w:cs="Arial"/>
          <w:color w:val="000000" w:themeColor="text1"/>
          <w:sz w:val="22"/>
          <w:szCs w:val="22"/>
        </w:rPr>
        <w:t xml:space="preserve">í </w:t>
      </w:r>
      <w:r w:rsidR="00CB06E6">
        <w:rPr>
          <w:rFonts w:cs="Arial"/>
          <w:color w:val="000000" w:themeColor="text1"/>
          <w:sz w:val="22"/>
          <w:szCs w:val="22"/>
        </w:rPr>
        <w:t>s </w:t>
      </w:r>
      <w:r w:rsidR="00556799">
        <w:rPr>
          <w:rFonts w:cs="Arial"/>
          <w:color w:val="000000" w:themeColor="text1"/>
          <w:sz w:val="22"/>
          <w:szCs w:val="22"/>
        </w:rPr>
        <w:t>nakoupen</w:t>
      </w:r>
      <w:r w:rsidR="00CB06E6">
        <w:rPr>
          <w:rFonts w:cs="Arial"/>
          <w:color w:val="000000" w:themeColor="text1"/>
          <w:sz w:val="22"/>
          <w:szCs w:val="22"/>
        </w:rPr>
        <w:t>ou</w:t>
      </w:r>
      <w:r w:rsidR="00556799">
        <w:rPr>
          <w:rFonts w:cs="Arial"/>
          <w:color w:val="000000" w:themeColor="text1"/>
          <w:sz w:val="22"/>
          <w:szCs w:val="22"/>
        </w:rPr>
        <w:t xml:space="preserve"> technik</w:t>
      </w:r>
      <w:r w:rsidR="00CB06E6">
        <w:rPr>
          <w:rFonts w:cs="Arial"/>
          <w:color w:val="000000" w:themeColor="text1"/>
          <w:sz w:val="22"/>
          <w:szCs w:val="22"/>
        </w:rPr>
        <w:t>ou</w:t>
      </w:r>
      <w:r w:rsidR="00556799">
        <w:rPr>
          <w:rFonts w:cs="Arial"/>
          <w:color w:val="000000" w:themeColor="text1"/>
          <w:sz w:val="22"/>
          <w:szCs w:val="22"/>
        </w:rPr>
        <w:t>.</w:t>
      </w:r>
    </w:p>
    <w:p w:rsidR="00556799" w:rsidRPr="00D0377B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0B5CF3" w:rsidRDefault="001C3C57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 xml:space="preserve">Podle smlouvy z prosince 2009 mělo být </w:t>
      </w:r>
      <w:r w:rsidR="00D27EFE" w:rsidRPr="00D0377B">
        <w:rPr>
          <w:rFonts w:cs="Arial"/>
          <w:color w:val="000000" w:themeColor="text1"/>
          <w:sz w:val="22"/>
          <w:szCs w:val="22"/>
        </w:rPr>
        <w:t xml:space="preserve">v letech 2009 až 2013 </w:t>
      </w:r>
      <w:r w:rsidRPr="00D0377B">
        <w:rPr>
          <w:rFonts w:cs="Arial"/>
          <w:color w:val="000000" w:themeColor="text1"/>
          <w:sz w:val="22"/>
          <w:szCs w:val="22"/>
        </w:rPr>
        <w:t xml:space="preserve">dodáno 90 vozidel v různém provedení </w:t>
      </w:r>
      <w:r w:rsidR="00CB06E6">
        <w:rPr>
          <w:rFonts w:cs="Arial"/>
          <w:color w:val="000000" w:themeColor="text1"/>
          <w:sz w:val="22"/>
          <w:szCs w:val="22"/>
        </w:rPr>
        <w:t>(</w:t>
      </w:r>
      <w:r w:rsidRPr="00D0377B">
        <w:rPr>
          <w:rFonts w:cs="Arial"/>
          <w:color w:val="000000" w:themeColor="text1"/>
          <w:sz w:val="22"/>
          <w:szCs w:val="22"/>
        </w:rPr>
        <w:t>včetně logistického zabezpečení a školení</w:t>
      </w:r>
      <w:r w:rsidR="00CB06E6">
        <w:rPr>
          <w:rFonts w:cs="Arial"/>
          <w:color w:val="000000" w:themeColor="text1"/>
          <w:sz w:val="22"/>
          <w:szCs w:val="22"/>
        </w:rPr>
        <w:t>)</w:t>
      </w:r>
      <w:r w:rsidRPr="00D0377B">
        <w:rPr>
          <w:rFonts w:cs="Arial"/>
          <w:color w:val="000000" w:themeColor="text1"/>
          <w:sz w:val="22"/>
          <w:szCs w:val="22"/>
        </w:rPr>
        <w:t xml:space="preserve"> za 3 620,4 mil. Kč. V průběhu plnění bylo ke smlouvě uzavřeno celkem šest dodatků, </w:t>
      </w:r>
      <w:r w:rsidR="008F4F4D" w:rsidRPr="00D0377B">
        <w:rPr>
          <w:rFonts w:cs="Arial"/>
          <w:color w:val="000000" w:themeColor="text1"/>
          <w:sz w:val="22"/>
          <w:szCs w:val="22"/>
        </w:rPr>
        <w:t xml:space="preserve">na </w:t>
      </w:r>
      <w:r w:rsidR="00E70A64">
        <w:rPr>
          <w:rFonts w:cs="Arial"/>
          <w:color w:val="000000" w:themeColor="text1"/>
          <w:sz w:val="22"/>
          <w:szCs w:val="22"/>
        </w:rPr>
        <w:t xml:space="preserve">jejichž </w:t>
      </w:r>
      <w:r w:rsidR="008F4F4D" w:rsidRPr="00D0377B">
        <w:rPr>
          <w:rFonts w:cs="Arial"/>
          <w:color w:val="000000" w:themeColor="text1"/>
          <w:sz w:val="22"/>
          <w:szCs w:val="22"/>
        </w:rPr>
        <w:t xml:space="preserve">základě byly upraveny </w:t>
      </w:r>
      <w:r w:rsidRPr="00D0377B">
        <w:rPr>
          <w:rFonts w:cs="Arial"/>
          <w:color w:val="000000" w:themeColor="text1"/>
          <w:sz w:val="22"/>
          <w:szCs w:val="22"/>
        </w:rPr>
        <w:t>některé technické parametry, počty kusů v jednotlivých letech a </w:t>
      </w:r>
      <w:r w:rsidR="007A3A05" w:rsidRPr="00D0377B">
        <w:rPr>
          <w:rFonts w:cs="Arial"/>
          <w:color w:val="000000" w:themeColor="text1"/>
          <w:sz w:val="22"/>
          <w:szCs w:val="22"/>
        </w:rPr>
        <w:t xml:space="preserve">celková cena snížena </w:t>
      </w:r>
      <w:r w:rsidRPr="00D0377B">
        <w:rPr>
          <w:rFonts w:cs="Arial"/>
          <w:color w:val="000000" w:themeColor="text1"/>
          <w:sz w:val="22"/>
          <w:szCs w:val="22"/>
        </w:rPr>
        <w:t>na</w:t>
      </w:r>
      <w:r w:rsidR="00F30B2D">
        <w:rPr>
          <w:rFonts w:cs="Arial"/>
          <w:color w:val="000000" w:themeColor="text1"/>
          <w:sz w:val="22"/>
          <w:szCs w:val="22"/>
        </w:rPr>
        <w:t xml:space="preserve"> </w:t>
      </w:r>
      <w:r w:rsidRPr="00D0377B">
        <w:rPr>
          <w:rFonts w:cs="Arial"/>
          <w:color w:val="000000" w:themeColor="text1"/>
          <w:sz w:val="22"/>
          <w:szCs w:val="22"/>
        </w:rPr>
        <w:t>3 610,9</w:t>
      </w:r>
      <w:r w:rsidR="00BF7C30" w:rsidRPr="00D0377B">
        <w:rPr>
          <w:rFonts w:cs="Arial"/>
          <w:color w:val="000000" w:themeColor="text1"/>
          <w:sz w:val="22"/>
          <w:szCs w:val="22"/>
        </w:rPr>
        <w:t> </w:t>
      </w:r>
      <w:r w:rsidRPr="00D0377B">
        <w:rPr>
          <w:rFonts w:cs="Arial"/>
          <w:color w:val="000000" w:themeColor="text1"/>
          <w:sz w:val="22"/>
          <w:szCs w:val="22"/>
        </w:rPr>
        <w:t>mil.</w:t>
      </w:r>
      <w:r w:rsidR="00BF7C30" w:rsidRPr="00D0377B">
        <w:rPr>
          <w:rFonts w:cs="Arial"/>
          <w:color w:val="000000" w:themeColor="text1"/>
          <w:sz w:val="22"/>
          <w:szCs w:val="22"/>
        </w:rPr>
        <w:t> </w:t>
      </w:r>
      <w:r w:rsidRPr="00D0377B">
        <w:rPr>
          <w:rFonts w:cs="Arial"/>
          <w:color w:val="000000" w:themeColor="text1"/>
          <w:sz w:val="22"/>
          <w:szCs w:val="22"/>
        </w:rPr>
        <w:t xml:space="preserve">Kč. </w:t>
      </w:r>
      <w:r w:rsidR="00266ABE" w:rsidRPr="00D0377B">
        <w:rPr>
          <w:rFonts w:cs="Arial"/>
          <w:color w:val="000000" w:themeColor="text1"/>
          <w:sz w:val="22"/>
          <w:szCs w:val="22"/>
        </w:rPr>
        <w:t xml:space="preserve">Z této částky bylo </w:t>
      </w:r>
      <w:r w:rsidR="00E70A64" w:rsidRPr="00D0377B">
        <w:rPr>
          <w:rFonts w:cs="Arial"/>
          <w:color w:val="000000" w:themeColor="text1"/>
          <w:sz w:val="22"/>
          <w:szCs w:val="22"/>
        </w:rPr>
        <w:t xml:space="preserve">vyčleněno </w:t>
      </w:r>
      <w:r w:rsidR="00266ABE" w:rsidRPr="00D0377B">
        <w:rPr>
          <w:rFonts w:cs="Arial"/>
          <w:color w:val="000000" w:themeColor="text1"/>
          <w:sz w:val="22"/>
          <w:szCs w:val="22"/>
        </w:rPr>
        <w:t>24,6 mil. Kč na zajištění d</w:t>
      </w:r>
      <w:r w:rsidR="00FB4301" w:rsidRPr="00D0377B">
        <w:rPr>
          <w:rFonts w:cs="Arial"/>
          <w:color w:val="000000" w:themeColor="text1"/>
          <w:sz w:val="22"/>
          <w:szCs w:val="22"/>
        </w:rPr>
        <w:t>ílenských prostředků, školení a </w:t>
      </w:r>
      <w:r w:rsidR="00266ABE" w:rsidRPr="00D0377B">
        <w:rPr>
          <w:rFonts w:cs="Arial"/>
          <w:color w:val="000000" w:themeColor="text1"/>
          <w:sz w:val="22"/>
          <w:szCs w:val="22"/>
        </w:rPr>
        <w:t xml:space="preserve">kurzů. </w:t>
      </w:r>
      <w:r w:rsidR="00E4359D" w:rsidRPr="00D0377B">
        <w:rPr>
          <w:rFonts w:cs="Arial"/>
          <w:color w:val="000000" w:themeColor="text1"/>
          <w:sz w:val="22"/>
          <w:szCs w:val="22"/>
        </w:rPr>
        <w:t>Hrazení každé jednotlivé dodávky provádí</w:t>
      </w:r>
      <w:r w:rsidR="00CB06E6" w:rsidRPr="00CB06E6">
        <w:rPr>
          <w:rFonts w:cs="Arial"/>
          <w:color w:val="000000" w:themeColor="text1"/>
          <w:sz w:val="22"/>
          <w:szCs w:val="22"/>
        </w:rPr>
        <w:t xml:space="preserve"> </w:t>
      </w:r>
      <w:r w:rsidR="00CB06E6" w:rsidRPr="00D0377B">
        <w:rPr>
          <w:rFonts w:cs="Arial"/>
          <w:color w:val="000000" w:themeColor="text1"/>
          <w:sz w:val="22"/>
          <w:szCs w:val="22"/>
        </w:rPr>
        <w:t>MO</w:t>
      </w:r>
      <w:r w:rsidR="00E4359D" w:rsidRPr="00D0377B">
        <w:rPr>
          <w:rFonts w:cs="Arial"/>
          <w:color w:val="000000" w:themeColor="text1"/>
          <w:sz w:val="22"/>
          <w:szCs w:val="22"/>
        </w:rPr>
        <w:t xml:space="preserve"> n</w:t>
      </w:r>
      <w:r w:rsidR="00FB4301" w:rsidRPr="00D0377B">
        <w:rPr>
          <w:rFonts w:cs="Arial"/>
          <w:color w:val="000000" w:themeColor="text1"/>
          <w:sz w:val="22"/>
          <w:szCs w:val="22"/>
        </w:rPr>
        <w:t>a základě předložených faktur a </w:t>
      </w:r>
      <w:r w:rsidR="00E4359D" w:rsidRPr="00D0377B">
        <w:rPr>
          <w:rFonts w:cs="Arial"/>
          <w:color w:val="000000" w:themeColor="text1"/>
          <w:sz w:val="22"/>
          <w:szCs w:val="22"/>
        </w:rPr>
        <w:t xml:space="preserve">přejímacích listů. </w:t>
      </w:r>
      <w:r w:rsidRPr="00D0377B">
        <w:rPr>
          <w:rFonts w:cs="Arial"/>
          <w:color w:val="000000" w:themeColor="text1"/>
          <w:sz w:val="22"/>
          <w:szCs w:val="22"/>
        </w:rPr>
        <w:t>Harmonogram dodávek je plněn a do konce roku 2</w:t>
      </w:r>
      <w:r w:rsidR="00E4359D" w:rsidRPr="00D0377B">
        <w:rPr>
          <w:rFonts w:cs="Arial"/>
          <w:color w:val="000000" w:themeColor="text1"/>
          <w:sz w:val="22"/>
          <w:szCs w:val="22"/>
        </w:rPr>
        <w:t>013 má být dodáno posledních 10 </w:t>
      </w:r>
      <w:r w:rsidR="00736780" w:rsidRPr="00D0377B">
        <w:rPr>
          <w:rFonts w:cs="Arial"/>
          <w:color w:val="000000" w:themeColor="text1"/>
          <w:sz w:val="22"/>
          <w:szCs w:val="22"/>
        </w:rPr>
        <w:t>vozidel.</w:t>
      </w:r>
    </w:p>
    <w:p w:rsidR="00556799" w:rsidRPr="00D0377B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1C3C57" w:rsidRPr="00D0377B" w:rsidRDefault="001C3C57" w:rsidP="00D0377B">
      <w:pPr>
        <w:jc w:val="both"/>
        <w:rPr>
          <w:rFonts w:cs="Arial"/>
          <w:b/>
          <w:color w:val="000000" w:themeColor="text1"/>
          <w:sz w:val="22"/>
          <w:szCs w:val="22"/>
        </w:rPr>
      </w:pPr>
      <w:r w:rsidRPr="00D0377B">
        <w:rPr>
          <w:rFonts w:cs="Arial"/>
          <w:b/>
          <w:color w:val="000000" w:themeColor="text1"/>
          <w:sz w:val="22"/>
          <w:szCs w:val="22"/>
        </w:rPr>
        <w:t>3.2.2 Akce ev. č. 10</w:t>
      </w:r>
      <w:r w:rsidR="0083682A" w:rsidRPr="00D0377B">
        <w:rPr>
          <w:rFonts w:cs="Arial"/>
          <w:b/>
          <w:color w:val="000000" w:themeColor="text1"/>
          <w:sz w:val="22"/>
          <w:szCs w:val="22"/>
        </w:rPr>
        <w:t>7V052 0011</w:t>
      </w:r>
      <w:r w:rsidR="002352E9">
        <w:rPr>
          <w:rFonts w:cs="Arial"/>
          <w:b/>
          <w:color w:val="000000" w:themeColor="text1"/>
          <w:sz w:val="22"/>
          <w:szCs w:val="22"/>
        </w:rPr>
        <w:t> –</w:t>
      </w:r>
      <w:r w:rsidR="0083682A" w:rsidRPr="00D0377B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83682A" w:rsidRPr="00564BC7">
        <w:rPr>
          <w:rFonts w:cs="Arial"/>
          <w:b/>
          <w:i/>
          <w:color w:val="000000" w:themeColor="text1"/>
          <w:sz w:val="22"/>
          <w:szCs w:val="22"/>
        </w:rPr>
        <w:t>Dílenské prostředky,</w:t>
      </w:r>
      <w:r w:rsidRPr="00564BC7">
        <w:rPr>
          <w:rFonts w:cs="Arial"/>
          <w:b/>
          <w:i/>
          <w:color w:val="000000" w:themeColor="text1"/>
          <w:sz w:val="22"/>
          <w:szCs w:val="22"/>
        </w:rPr>
        <w:t xml:space="preserve"> školení a kurzy </w:t>
      </w:r>
      <w:r w:rsidR="00317FAB" w:rsidRPr="00564BC7">
        <w:rPr>
          <w:rFonts w:cs="Arial"/>
          <w:b/>
          <w:i/>
          <w:color w:val="000000" w:themeColor="text1"/>
          <w:sz w:val="22"/>
          <w:szCs w:val="22"/>
        </w:rPr>
        <w:t>–</w:t>
      </w:r>
      <w:r w:rsidRPr="00564BC7">
        <w:rPr>
          <w:rFonts w:cs="Arial"/>
          <w:b/>
          <w:i/>
          <w:color w:val="000000" w:themeColor="text1"/>
          <w:sz w:val="22"/>
          <w:szCs w:val="22"/>
        </w:rPr>
        <w:t xml:space="preserve"> nákup</w:t>
      </w:r>
    </w:p>
    <w:p w:rsidR="00556799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EE36A7" w:rsidRDefault="00EE36A7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 xml:space="preserve">Součástí smlouvy na nákup lehkých obrněných vozidel bylo i zajištění dílenských prostředků pro všechny druhy údržby a oprav vozidel včetně diagnostiky. Vojskové zkoušky byly zahájeny v srpnu 2011 a po odstranění nedostatků byly v červnu 2012 </w:t>
      </w:r>
      <w:r w:rsidR="00CB06E6">
        <w:rPr>
          <w:rFonts w:cs="Arial"/>
          <w:color w:val="000000" w:themeColor="text1"/>
          <w:sz w:val="22"/>
          <w:szCs w:val="22"/>
        </w:rPr>
        <w:t xml:space="preserve">tyto dílenské prostředky </w:t>
      </w:r>
      <w:r w:rsidRPr="00D0377B">
        <w:rPr>
          <w:rFonts w:cs="Arial"/>
          <w:color w:val="000000" w:themeColor="text1"/>
          <w:sz w:val="22"/>
          <w:szCs w:val="22"/>
        </w:rPr>
        <w:t>vy</w:t>
      </w:r>
      <w:r w:rsidR="00736780" w:rsidRPr="00D0377B">
        <w:rPr>
          <w:rFonts w:cs="Arial"/>
          <w:color w:val="000000" w:themeColor="text1"/>
          <w:sz w:val="22"/>
          <w:szCs w:val="22"/>
        </w:rPr>
        <w:t>hodnoceny jako vyhovující. Dále</w:t>
      </w:r>
      <w:r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5B49E8" w:rsidRPr="00D0377B">
        <w:rPr>
          <w:rFonts w:cs="Arial"/>
          <w:color w:val="000000" w:themeColor="text1"/>
          <w:sz w:val="22"/>
          <w:szCs w:val="22"/>
        </w:rPr>
        <w:t xml:space="preserve">bylo </w:t>
      </w:r>
      <w:r w:rsidR="00986BB6" w:rsidRPr="00D0377B">
        <w:rPr>
          <w:rFonts w:cs="Arial"/>
          <w:color w:val="000000" w:themeColor="text1"/>
          <w:sz w:val="22"/>
          <w:szCs w:val="22"/>
        </w:rPr>
        <w:t>v rámci</w:t>
      </w:r>
      <w:r w:rsidR="005B646C" w:rsidRPr="00D0377B">
        <w:rPr>
          <w:rFonts w:cs="Arial"/>
          <w:color w:val="000000" w:themeColor="text1"/>
          <w:sz w:val="22"/>
          <w:szCs w:val="22"/>
        </w:rPr>
        <w:t xml:space="preserve"> výše uvedené </w:t>
      </w:r>
      <w:r w:rsidR="00986BB6" w:rsidRPr="00D0377B">
        <w:rPr>
          <w:rFonts w:cs="Arial"/>
          <w:color w:val="000000" w:themeColor="text1"/>
          <w:sz w:val="22"/>
          <w:szCs w:val="22"/>
        </w:rPr>
        <w:t xml:space="preserve">smlouvy proškoleno </w:t>
      </w:r>
      <w:r w:rsidRPr="00D0377B">
        <w:rPr>
          <w:rFonts w:cs="Arial"/>
          <w:color w:val="000000" w:themeColor="text1"/>
          <w:sz w:val="22"/>
          <w:szCs w:val="22"/>
        </w:rPr>
        <w:t>50 osob</w:t>
      </w:r>
      <w:r w:rsidR="00057AE7" w:rsidRPr="00D0377B">
        <w:rPr>
          <w:rFonts w:cs="Arial"/>
          <w:color w:val="000000" w:themeColor="text1"/>
          <w:sz w:val="22"/>
          <w:szCs w:val="22"/>
        </w:rPr>
        <w:t>.</w:t>
      </w:r>
    </w:p>
    <w:p w:rsidR="00556799" w:rsidRPr="00D0377B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56764F" w:rsidRPr="00D0377B" w:rsidRDefault="0056764F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b/>
          <w:color w:val="000000" w:themeColor="text1"/>
          <w:sz w:val="22"/>
          <w:szCs w:val="22"/>
        </w:rPr>
        <w:t>3.2.3 Akce ev. č. 107V052 0012</w:t>
      </w:r>
      <w:r w:rsidR="002352E9">
        <w:rPr>
          <w:rFonts w:cs="Arial"/>
          <w:b/>
          <w:color w:val="000000" w:themeColor="text1"/>
          <w:sz w:val="22"/>
          <w:szCs w:val="22"/>
        </w:rPr>
        <w:t> –</w:t>
      </w:r>
      <w:r w:rsidRPr="00D0377B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564BC7">
        <w:rPr>
          <w:rFonts w:cs="Arial"/>
          <w:b/>
          <w:i/>
          <w:color w:val="000000" w:themeColor="text1"/>
          <w:sz w:val="22"/>
          <w:szCs w:val="22"/>
        </w:rPr>
        <w:t>Elektronická výbava LOV 50 B</w:t>
      </w:r>
    </w:p>
    <w:p w:rsidR="00556799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1C3C57" w:rsidRDefault="00622C3E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 xml:space="preserve">Celkem 32 vozidel dodaných v letech 2010 a 2011 bylo doplněno elektronickou výbavou s cílem </w:t>
      </w:r>
      <w:r w:rsidR="00CB06E6">
        <w:rPr>
          <w:rFonts w:cs="Arial"/>
          <w:color w:val="000000" w:themeColor="text1"/>
          <w:sz w:val="22"/>
          <w:szCs w:val="22"/>
        </w:rPr>
        <w:t>rušit signály</w:t>
      </w:r>
      <w:r w:rsidRPr="00D0377B">
        <w:rPr>
          <w:rFonts w:cs="Arial"/>
          <w:color w:val="000000" w:themeColor="text1"/>
          <w:sz w:val="22"/>
          <w:szCs w:val="22"/>
        </w:rPr>
        <w:t xml:space="preserve"> prostředků používaných k radiové iniciaci</w:t>
      </w:r>
      <w:r w:rsidR="00986BB6" w:rsidRPr="00D0377B">
        <w:rPr>
          <w:rFonts w:cs="Arial"/>
          <w:color w:val="000000" w:themeColor="text1"/>
          <w:sz w:val="22"/>
          <w:szCs w:val="22"/>
        </w:rPr>
        <w:t xml:space="preserve"> výbušných nástrah</w:t>
      </w:r>
      <w:r w:rsidRPr="00D0377B">
        <w:rPr>
          <w:rFonts w:cs="Arial"/>
          <w:color w:val="000000" w:themeColor="text1"/>
          <w:sz w:val="22"/>
          <w:szCs w:val="22"/>
        </w:rPr>
        <w:t xml:space="preserve">. MO požadovalo konkrétní rušič vysokofrekvenčního signálu WBS 2500 </w:t>
      </w:r>
      <w:r w:rsidR="004F5080" w:rsidRPr="00D0377B">
        <w:rPr>
          <w:rFonts w:cs="Arial"/>
          <w:color w:val="000000" w:themeColor="text1"/>
          <w:sz w:val="22"/>
          <w:szCs w:val="22"/>
        </w:rPr>
        <w:t xml:space="preserve">z důvodu kompatibility s rušiči </w:t>
      </w:r>
      <w:r w:rsidR="00CB06E6">
        <w:rPr>
          <w:rFonts w:cs="Arial"/>
          <w:color w:val="000000" w:themeColor="text1"/>
          <w:sz w:val="22"/>
          <w:szCs w:val="22"/>
        </w:rPr>
        <w:t>používanými</w:t>
      </w:r>
      <w:r w:rsidR="004F5080" w:rsidRPr="00D0377B">
        <w:rPr>
          <w:rFonts w:cs="Arial"/>
          <w:color w:val="000000" w:themeColor="text1"/>
          <w:sz w:val="22"/>
          <w:szCs w:val="22"/>
        </w:rPr>
        <w:t xml:space="preserve"> v AČR </w:t>
      </w:r>
      <w:r w:rsidR="00A806F3" w:rsidRPr="00D0377B">
        <w:rPr>
          <w:rFonts w:cs="Arial"/>
          <w:color w:val="000000" w:themeColor="text1"/>
          <w:sz w:val="22"/>
          <w:szCs w:val="22"/>
        </w:rPr>
        <w:t>a armádách</w:t>
      </w:r>
      <w:r w:rsidR="004F5080" w:rsidRPr="00D0377B">
        <w:rPr>
          <w:rFonts w:cs="Arial"/>
          <w:color w:val="000000" w:themeColor="text1"/>
          <w:sz w:val="22"/>
          <w:szCs w:val="22"/>
        </w:rPr>
        <w:t xml:space="preserve"> NATO. </w:t>
      </w:r>
      <w:r w:rsidRPr="00D0377B">
        <w:rPr>
          <w:rFonts w:cs="Arial"/>
          <w:color w:val="000000" w:themeColor="text1"/>
          <w:sz w:val="22"/>
          <w:szCs w:val="22"/>
        </w:rPr>
        <w:t xml:space="preserve">Registrační list </w:t>
      </w:r>
      <w:r w:rsidR="003F4074" w:rsidRPr="00D0377B">
        <w:rPr>
          <w:rFonts w:cs="Arial"/>
          <w:color w:val="000000" w:themeColor="text1"/>
          <w:sz w:val="22"/>
          <w:szCs w:val="22"/>
        </w:rPr>
        <w:t xml:space="preserve">akce </w:t>
      </w:r>
      <w:r w:rsidR="00305277" w:rsidRPr="00D0377B">
        <w:rPr>
          <w:rFonts w:cs="Arial"/>
          <w:color w:val="000000" w:themeColor="text1"/>
          <w:sz w:val="22"/>
          <w:szCs w:val="22"/>
        </w:rPr>
        <w:t xml:space="preserve">s předpokládanou celkovou cenou 164,2 mil. Kč za 32 rušičů </w:t>
      </w:r>
      <w:r w:rsidR="00AE4498" w:rsidRPr="00D0377B">
        <w:rPr>
          <w:rFonts w:cs="Arial"/>
          <w:color w:val="000000" w:themeColor="text1"/>
          <w:sz w:val="22"/>
          <w:szCs w:val="22"/>
        </w:rPr>
        <w:t xml:space="preserve">schválilo </w:t>
      </w:r>
      <w:r w:rsidR="00556799">
        <w:rPr>
          <w:rFonts w:cs="Arial"/>
          <w:color w:val="000000" w:themeColor="text1"/>
          <w:sz w:val="22"/>
          <w:szCs w:val="22"/>
        </w:rPr>
        <w:t>MF v dubnu 2010.</w:t>
      </w:r>
      <w:r w:rsidR="00E70A64">
        <w:rPr>
          <w:rFonts w:cs="Arial"/>
          <w:color w:val="000000" w:themeColor="text1"/>
          <w:sz w:val="22"/>
          <w:szCs w:val="22"/>
        </w:rPr>
        <w:t xml:space="preserve"> </w:t>
      </w:r>
      <w:r w:rsidR="00C3531A" w:rsidRPr="00D0377B">
        <w:rPr>
          <w:rFonts w:cs="Arial"/>
          <w:color w:val="000000" w:themeColor="text1"/>
          <w:sz w:val="22"/>
          <w:szCs w:val="22"/>
        </w:rPr>
        <w:t>Poté MO</w:t>
      </w:r>
      <w:r w:rsidR="001C3C57" w:rsidRPr="00D0377B">
        <w:rPr>
          <w:rFonts w:cs="Arial"/>
          <w:color w:val="000000" w:themeColor="text1"/>
          <w:sz w:val="22"/>
          <w:szCs w:val="22"/>
        </w:rPr>
        <w:t xml:space="preserve"> zadalo zakázku mimo režim zákona o veřejných zakázkách Vojenskému opravárenskému podniku Nový Jičín </w:t>
      </w:r>
      <w:r w:rsidR="00C3531A" w:rsidRPr="00D0377B">
        <w:rPr>
          <w:rFonts w:cs="Arial"/>
          <w:color w:val="000000" w:themeColor="text1"/>
          <w:sz w:val="22"/>
          <w:szCs w:val="22"/>
        </w:rPr>
        <w:t>a v</w:t>
      </w:r>
      <w:r w:rsidR="001C3C57" w:rsidRPr="00D0377B">
        <w:rPr>
          <w:rFonts w:cs="Arial"/>
          <w:color w:val="000000" w:themeColor="text1"/>
          <w:sz w:val="22"/>
          <w:szCs w:val="22"/>
        </w:rPr>
        <w:t> če</w:t>
      </w:r>
      <w:r w:rsidR="00986BB6" w:rsidRPr="00D0377B">
        <w:rPr>
          <w:rFonts w:cs="Arial"/>
          <w:color w:val="000000" w:themeColor="text1"/>
          <w:sz w:val="22"/>
          <w:szCs w:val="22"/>
        </w:rPr>
        <w:t xml:space="preserve">rvnu 2010 </w:t>
      </w:r>
      <w:r w:rsidR="00A90DFD" w:rsidRPr="00D0377B">
        <w:rPr>
          <w:rFonts w:cs="Arial"/>
          <w:color w:val="000000" w:themeColor="text1"/>
          <w:sz w:val="22"/>
          <w:szCs w:val="22"/>
        </w:rPr>
        <w:t xml:space="preserve">s ním uzavřelo </w:t>
      </w:r>
      <w:r w:rsidR="00F30B2D">
        <w:rPr>
          <w:rFonts w:cs="Arial"/>
          <w:color w:val="000000" w:themeColor="text1"/>
          <w:sz w:val="22"/>
          <w:szCs w:val="22"/>
        </w:rPr>
        <w:t xml:space="preserve">smlouvu </w:t>
      </w:r>
      <w:r w:rsidR="00986BB6" w:rsidRPr="00D0377B">
        <w:rPr>
          <w:rFonts w:cs="Arial"/>
          <w:color w:val="000000" w:themeColor="text1"/>
          <w:sz w:val="22"/>
          <w:szCs w:val="22"/>
        </w:rPr>
        <w:t>za</w:t>
      </w:r>
      <w:r w:rsidR="001C3C57" w:rsidRPr="00D0377B">
        <w:rPr>
          <w:rFonts w:cs="Arial"/>
          <w:color w:val="000000" w:themeColor="text1"/>
          <w:sz w:val="22"/>
          <w:szCs w:val="22"/>
        </w:rPr>
        <w:t xml:space="preserve"> 155,6</w:t>
      </w:r>
      <w:r w:rsidR="004C414F" w:rsidRPr="00D0377B">
        <w:rPr>
          <w:rFonts w:cs="Arial"/>
          <w:color w:val="000000" w:themeColor="text1"/>
          <w:sz w:val="22"/>
          <w:szCs w:val="22"/>
        </w:rPr>
        <w:t> </w:t>
      </w:r>
      <w:r w:rsidR="001C3C57" w:rsidRPr="00D0377B">
        <w:rPr>
          <w:rFonts w:cs="Arial"/>
          <w:color w:val="000000" w:themeColor="text1"/>
          <w:sz w:val="22"/>
          <w:szCs w:val="22"/>
        </w:rPr>
        <w:t>mil.</w:t>
      </w:r>
      <w:r w:rsidR="004C414F" w:rsidRPr="00D0377B">
        <w:rPr>
          <w:rFonts w:cs="Arial"/>
          <w:color w:val="000000" w:themeColor="text1"/>
          <w:sz w:val="22"/>
          <w:szCs w:val="22"/>
        </w:rPr>
        <w:t> </w:t>
      </w:r>
      <w:r w:rsidR="00556799">
        <w:rPr>
          <w:rFonts w:cs="Arial"/>
          <w:color w:val="000000" w:themeColor="text1"/>
          <w:sz w:val="22"/>
          <w:szCs w:val="22"/>
        </w:rPr>
        <w:t>Kč.</w:t>
      </w:r>
    </w:p>
    <w:p w:rsidR="00556799" w:rsidRPr="00D0377B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1C3C57" w:rsidRPr="00D0377B" w:rsidRDefault="0056764F" w:rsidP="002352E9">
      <w:pPr>
        <w:ind w:left="426" w:hanging="426"/>
        <w:rPr>
          <w:rFonts w:cs="Arial"/>
          <w:b/>
          <w:color w:val="000000" w:themeColor="text1"/>
          <w:sz w:val="22"/>
          <w:szCs w:val="22"/>
        </w:rPr>
      </w:pPr>
      <w:r w:rsidRPr="00D0377B">
        <w:rPr>
          <w:rFonts w:cs="Arial"/>
          <w:b/>
          <w:color w:val="000000" w:themeColor="text1"/>
          <w:sz w:val="22"/>
          <w:szCs w:val="22"/>
        </w:rPr>
        <w:t>3.3</w:t>
      </w:r>
      <w:r w:rsidR="00586676">
        <w:rPr>
          <w:rFonts w:cs="Arial"/>
          <w:b/>
          <w:color w:val="000000" w:themeColor="text1"/>
          <w:sz w:val="22"/>
          <w:szCs w:val="22"/>
        </w:rPr>
        <w:tab/>
      </w:r>
      <w:r w:rsidRPr="00D0377B">
        <w:rPr>
          <w:rFonts w:cs="Arial"/>
          <w:b/>
          <w:color w:val="000000" w:themeColor="text1"/>
          <w:sz w:val="22"/>
          <w:szCs w:val="22"/>
        </w:rPr>
        <w:t>Program ev. č. 107V110</w:t>
      </w:r>
      <w:r w:rsidR="002352E9">
        <w:rPr>
          <w:rFonts w:cs="Arial"/>
          <w:b/>
          <w:color w:val="000000" w:themeColor="text1"/>
          <w:sz w:val="22"/>
          <w:szCs w:val="22"/>
        </w:rPr>
        <w:t> –</w:t>
      </w:r>
      <w:r w:rsidRPr="00D0377B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564BC7">
        <w:rPr>
          <w:rFonts w:cs="Arial"/>
          <w:b/>
          <w:i/>
          <w:color w:val="000000" w:themeColor="text1"/>
          <w:sz w:val="22"/>
          <w:szCs w:val="22"/>
        </w:rPr>
        <w:t xml:space="preserve">Zvyšování schopností vojáka 21. </w:t>
      </w:r>
      <w:r w:rsidR="00D127C5" w:rsidRPr="00564BC7">
        <w:rPr>
          <w:rFonts w:cs="Arial"/>
          <w:b/>
          <w:i/>
          <w:color w:val="000000" w:themeColor="text1"/>
          <w:sz w:val="22"/>
          <w:szCs w:val="22"/>
        </w:rPr>
        <w:t>s</w:t>
      </w:r>
      <w:r w:rsidRPr="00564BC7">
        <w:rPr>
          <w:rFonts w:cs="Arial"/>
          <w:b/>
          <w:i/>
          <w:color w:val="000000" w:themeColor="text1"/>
          <w:sz w:val="22"/>
          <w:szCs w:val="22"/>
        </w:rPr>
        <w:t>toletí</w:t>
      </w:r>
      <w:r w:rsidR="00D127C5" w:rsidRPr="00D0377B">
        <w:rPr>
          <w:rFonts w:cs="Arial"/>
          <w:b/>
          <w:color w:val="000000" w:themeColor="text1"/>
          <w:sz w:val="22"/>
          <w:szCs w:val="22"/>
        </w:rPr>
        <w:t>, podprogram ev. č.</w:t>
      </w:r>
      <w:r w:rsidR="0094007F" w:rsidRPr="00D0377B">
        <w:rPr>
          <w:rFonts w:cs="Arial"/>
          <w:b/>
          <w:color w:val="000000" w:themeColor="text1"/>
          <w:sz w:val="22"/>
          <w:szCs w:val="22"/>
        </w:rPr>
        <w:t> </w:t>
      </w:r>
      <w:r w:rsidR="00D127C5" w:rsidRPr="00D0377B">
        <w:rPr>
          <w:rFonts w:cs="Arial"/>
          <w:b/>
          <w:color w:val="000000" w:themeColor="text1"/>
          <w:sz w:val="22"/>
          <w:szCs w:val="22"/>
        </w:rPr>
        <w:t>107V112</w:t>
      </w:r>
      <w:r w:rsidR="002352E9">
        <w:rPr>
          <w:rFonts w:cs="Arial"/>
          <w:b/>
          <w:color w:val="000000" w:themeColor="text1"/>
          <w:sz w:val="22"/>
          <w:szCs w:val="22"/>
        </w:rPr>
        <w:t> –</w:t>
      </w:r>
      <w:r w:rsidR="00D127C5" w:rsidRPr="00D0377B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D127C5" w:rsidRPr="00564BC7">
        <w:rPr>
          <w:rFonts w:cs="Arial"/>
          <w:b/>
          <w:i/>
          <w:color w:val="000000" w:themeColor="text1"/>
          <w:sz w:val="22"/>
          <w:szCs w:val="22"/>
        </w:rPr>
        <w:t>Pořízení zbraní</w:t>
      </w:r>
      <w:r w:rsidR="00D127C5" w:rsidRPr="00D0377B">
        <w:rPr>
          <w:rFonts w:cs="Arial"/>
          <w:b/>
          <w:color w:val="000000" w:themeColor="text1"/>
          <w:sz w:val="22"/>
          <w:szCs w:val="22"/>
        </w:rPr>
        <w:t xml:space="preserve"> </w:t>
      </w:r>
    </w:p>
    <w:p w:rsidR="00556799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0B5CF3" w:rsidRDefault="000B5CF3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>Dokumentace programu ev. č. 107V110</w:t>
      </w:r>
      <w:r w:rsidRPr="00CB06E6">
        <w:rPr>
          <w:rFonts w:cs="Arial"/>
          <w:color w:val="000000" w:themeColor="text1"/>
          <w:sz w:val="22"/>
          <w:szCs w:val="22"/>
        </w:rPr>
        <w:t xml:space="preserve"> </w:t>
      </w:r>
      <w:r w:rsidRPr="00D0377B">
        <w:rPr>
          <w:rFonts w:cs="Arial"/>
          <w:color w:val="000000" w:themeColor="text1"/>
          <w:sz w:val="22"/>
          <w:szCs w:val="22"/>
        </w:rPr>
        <w:t>s celkovými výdaji ve výši 2 311,1 mil. Kč a dobou realizace v letech 2009 až 2015</w:t>
      </w:r>
      <w:r w:rsidR="00564BC7" w:rsidRPr="00564BC7">
        <w:rPr>
          <w:rFonts w:cs="Arial"/>
          <w:color w:val="000000" w:themeColor="text1"/>
          <w:sz w:val="22"/>
          <w:szCs w:val="22"/>
        </w:rPr>
        <w:t xml:space="preserve"> </w:t>
      </w:r>
      <w:r w:rsidR="00564BC7" w:rsidRPr="00D0377B">
        <w:rPr>
          <w:rFonts w:cs="Arial"/>
          <w:color w:val="000000" w:themeColor="text1"/>
          <w:sz w:val="22"/>
          <w:szCs w:val="22"/>
        </w:rPr>
        <w:t>byla schválena dne 10. září 2009</w:t>
      </w:r>
      <w:r w:rsidRPr="00D0377B">
        <w:rPr>
          <w:rFonts w:cs="Arial"/>
          <w:color w:val="000000" w:themeColor="text1"/>
          <w:sz w:val="22"/>
          <w:szCs w:val="22"/>
        </w:rPr>
        <w:t xml:space="preserve">. Hlavním cílem programu je pořídit systémy a komponenty výzbroje a výstroje a integrovat vše do jednoho funkčního celku, čímž by mělo dojít ke zvýšení akceschopnosti jednotek. Cílem </w:t>
      </w:r>
      <w:r w:rsidR="00776D9D" w:rsidRPr="00D0377B">
        <w:rPr>
          <w:rFonts w:cs="Arial"/>
          <w:color w:val="000000" w:themeColor="text1"/>
          <w:sz w:val="22"/>
          <w:szCs w:val="22"/>
        </w:rPr>
        <w:t>podprogramu ev. </w:t>
      </w:r>
      <w:r w:rsidRPr="00D0377B">
        <w:rPr>
          <w:rFonts w:cs="Arial"/>
          <w:color w:val="000000" w:themeColor="text1"/>
          <w:sz w:val="22"/>
          <w:szCs w:val="22"/>
        </w:rPr>
        <w:t>č. 107V112</w:t>
      </w:r>
      <w:r w:rsidR="002352E9">
        <w:rPr>
          <w:rFonts w:cs="Arial"/>
          <w:color w:val="000000" w:themeColor="text1"/>
          <w:sz w:val="22"/>
          <w:szCs w:val="22"/>
        </w:rPr>
        <w:t> –</w:t>
      </w:r>
      <w:r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Pr="00D0377B">
        <w:rPr>
          <w:rFonts w:cs="Arial"/>
          <w:i/>
          <w:color w:val="000000" w:themeColor="text1"/>
          <w:sz w:val="22"/>
          <w:szCs w:val="22"/>
        </w:rPr>
        <w:t>Pořízení zbraní</w:t>
      </w:r>
      <w:r w:rsidRPr="00D0377B">
        <w:rPr>
          <w:rFonts w:cs="Arial"/>
          <w:color w:val="000000" w:themeColor="text1"/>
          <w:sz w:val="22"/>
          <w:szCs w:val="22"/>
        </w:rPr>
        <w:t xml:space="preserve"> s výdaji státního rozpočtu ve výši</w:t>
      </w:r>
      <w:r w:rsidR="00B14C69" w:rsidRPr="00D0377B">
        <w:rPr>
          <w:rFonts w:cs="Arial"/>
          <w:color w:val="000000" w:themeColor="text1"/>
          <w:sz w:val="22"/>
          <w:szCs w:val="22"/>
        </w:rPr>
        <w:t xml:space="preserve"> 1 971,1 mil. </w:t>
      </w:r>
      <w:r w:rsidRPr="00D0377B">
        <w:rPr>
          <w:rFonts w:cs="Arial"/>
          <w:color w:val="000000" w:themeColor="text1"/>
          <w:sz w:val="22"/>
          <w:szCs w:val="22"/>
        </w:rPr>
        <w:t>Kč bylo zvýšit schopnost palebné účinnosti a ničivosti</w:t>
      </w:r>
      <w:r w:rsidR="00146468" w:rsidRPr="00D0377B">
        <w:rPr>
          <w:rFonts w:cs="Arial"/>
          <w:color w:val="000000" w:themeColor="text1"/>
          <w:sz w:val="22"/>
          <w:szCs w:val="22"/>
        </w:rPr>
        <w:t xml:space="preserve"> zbraní</w:t>
      </w:r>
      <w:r w:rsidRPr="00D0377B">
        <w:rPr>
          <w:rFonts w:cs="Arial"/>
          <w:color w:val="000000" w:themeColor="text1"/>
          <w:sz w:val="22"/>
          <w:szCs w:val="22"/>
        </w:rPr>
        <w:t xml:space="preserve">. Tento cíl byl zdůvodněn nutností </w:t>
      </w:r>
      <w:r w:rsidR="00E70A64">
        <w:rPr>
          <w:rFonts w:cs="Arial"/>
          <w:color w:val="000000" w:themeColor="text1"/>
          <w:sz w:val="22"/>
          <w:szCs w:val="22"/>
        </w:rPr>
        <w:t>vyměnit</w:t>
      </w:r>
      <w:r w:rsidRPr="00D0377B">
        <w:rPr>
          <w:rFonts w:cs="Arial"/>
          <w:color w:val="000000" w:themeColor="text1"/>
          <w:sz w:val="22"/>
          <w:szCs w:val="22"/>
        </w:rPr>
        <w:t xml:space="preserve"> staré ruční zbraně za moderní a účinnější zbraně kompatibilní v rámci NATO a současně k nim pořídit zaměřovače umožňující</w:t>
      </w:r>
      <w:r w:rsidR="00B14C69" w:rsidRPr="00D0377B">
        <w:rPr>
          <w:rFonts w:cs="Arial"/>
          <w:color w:val="000000" w:themeColor="text1"/>
          <w:sz w:val="22"/>
          <w:szCs w:val="22"/>
        </w:rPr>
        <w:t xml:space="preserve"> jejich použití i </w:t>
      </w:r>
      <w:r w:rsidRPr="00D0377B">
        <w:rPr>
          <w:rFonts w:cs="Arial"/>
          <w:color w:val="000000" w:themeColor="text1"/>
          <w:sz w:val="22"/>
          <w:szCs w:val="22"/>
        </w:rPr>
        <w:t xml:space="preserve">v noci a za špatné viditelnosti. Konkrétní rozbor technické životnosti </w:t>
      </w:r>
      <w:r w:rsidR="00D34EAC" w:rsidRPr="00D0377B">
        <w:rPr>
          <w:rFonts w:cs="Arial"/>
          <w:color w:val="000000" w:themeColor="text1"/>
          <w:sz w:val="22"/>
          <w:szCs w:val="22"/>
        </w:rPr>
        <w:t xml:space="preserve">dosud užívaných </w:t>
      </w:r>
      <w:r w:rsidRPr="00D0377B">
        <w:rPr>
          <w:rFonts w:cs="Arial"/>
          <w:color w:val="000000" w:themeColor="text1"/>
          <w:sz w:val="22"/>
          <w:szCs w:val="22"/>
        </w:rPr>
        <w:t>zbraní dokumentace programu neobsahovala.</w:t>
      </w:r>
    </w:p>
    <w:p w:rsidR="00556799" w:rsidRPr="00556799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7977A0" w:rsidRPr="00D0377B" w:rsidRDefault="0056764F" w:rsidP="00D0377B">
      <w:pPr>
        <w:jc w:val="both"/>
        <w:rPr>
          <w:rFonts w:cs="Arial"/>
          <w:b/>
          <w:color w:val="000000" w:themeColor="text1"/>
          <w:sz w:val="22"/>
          <w:szCs w:val="22"/>
        </w:rPr>
      </w:pPr>
      <w:r w:rsidRPr="00D0377B">
        <w:rPr>
          <w:rFonts w:cs="Arial"/>
          <w:b/>
          <w:color w:val="000000" w:themeColor="text1"/>
          <w:sz w:val="22"/>
          <w:szCs w:val="22"/>
        </w:rPr>
        <w:t>3.3.1 Akce ev. č. 107V112 1001</w:t>
      </w:r>
      <w:r w:rsidR="002352E9">
        <w:rPr>
          <w:rFonts w:cs="Arial"/>
          <w:b/>
          <w:color w:val="000000" w:themeColor="text1"/>
          <w:sz w:val="22"/>
          <w:szCs w:val="22"/>
        </w:rPr>
        <w:t> –</w:t>
      </w:r>
      <w:r w:rsidRPr="00D0377B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564BC7">
        <w:rPr>
          <w:rFonts w:cs="Arial"/>
          <w:b/>
          <w:i/>
          <w:color w:val="000000" w:themeColor="text1"/>
          <w:sz w:val="22"/>
          <w:szCs w:val="22"/>
        </w:rPr>
        <w:t>Útočná puška s podvěsným granátometem</w:t>
      </w:r>
    </w:p>
    <w:p w:rsidR="00556799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AE72E5" w:rsidRDefault="008350D3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 xml:space="preserve">MO </w:t>
      </w:r>
      <w:r w:rsidR="0093384B" w:rsidRPr="00D0377B">
        <w:rPr>
          <w:rFonts w:cs="Arial"/>
          <w:color w:val="000000" w:themeColor="text1"/>
          <w:sz w:val="22"/>
          <w:szCs w:val="22"/>
        </w:rPr>
        <w:t xml:space="preserve">v květnu 2009 </w:t>
      </w:r>
      <w:r w:rsidRPr="00D0377B">
        <w:rPr>
          <w:rFonts w:cs="Arial"/>
          <w:color w:val="000000" w:themeColor="text1"/>
          <w:sz w:val="22"/>
          <w:szCs w:val="22"/>
        </w:rPr>
        <w:t xml:space="preserve">provedlo </w:t>
      </w:r>
      <w:r w:rsidR="00C3531A" w:rsidRPr="00D0377B">
        <w:rPr>
          <w:rFonts w:cs="Arial"/>
          <w:color w:val="000000" w:themeColor="text1"/>
          <w:sz w:val="22"/>
          <w:szCs w:val="22"/>
        </w:rPr>
        <w:t xml:space="preserve">marketingový </w:t>
      </w:r>
      <w:r w:rsidRPr="00D0377B">
        <w:rPr>
          <w:rFonts w:cs="Arial"/>
          <w:color w:val="000000" w:themeColor="text1"/>
          <w:sz w:val="22"/>
          <w:szCs w:val="22"/>
        </w:rPr>
        <w:t>průzkum</w:t>
      </w:r>
      <w:r w:rsidR="00E22B9F" w:rsidRPr="00D0377B">
        <w:rPr>
          <w:rFonts w:cs="Arial"/>
          <w:color w:val="000000" w:themeColor="text1"/>
          <w:sz w:val="22"/>
          <w:szCs w:val="22"/>
        </w:rPr>
        <w:t>,</w:t>
      </w:r>
      <w:r w:rsidRPr="00D0377B">
        <w:rPr>
          <w:rFonts w:cs="Arial"/>
          <w:color w:val="000000" w:themeColor="text1"/>
          <w:sz w:val="22"/>
          <w:szCs w:val="22"/>
        </w:rPr>
        <w:t xml:space="preserve"> podle kterého rozhodujícím faktorem při výběru nové pušky měla být nabízená cena a podíl českého obranného průmyslu na dodávkách. </w:t>
      </w:r>
      <w:r w:rsidR="00F67527" w:rsidRPr="00D0377B">
        <w:rPr>
          <w:rFonts w:cs="Arial"/>
          <w:color w:val="000000" w:themeColor="text1"/>
          <w:sz w:val="22"/>
          <w:szCs w:val="22"/>
        </w:rPr>
        <w:t>V investičním záměr</w:t>
      </w:r>
      <w:r w:rsidR="00E21075" w:rsidRPr="00D0377B">
        <w:rPr>
          <w:rFonts w:cs="Arial"/>
          <w:color w:val="000000" w:themeColor="text1"/>
          <w:sz w:val="22"/>
          <w:szCs w:val="22"/>
        </w:rPr>
        <w:t>u ze září 2009 bylo</w:t>
      </w:r>
      <w:r w:rsidR="00E06447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E21075" w:rsidRPr="00D0377B">
        <w:rPr>
          <w:rFonts w:cs="Arial"/>
          <w:color w:val="000000" w:themeColor="text1"/>
          <w:sz w:val="22"/>
          <w:szCs w:val="22"/>
        </w:rPr>
        <w:t xml:space="preserve">uvedeno, že </w:t>
      </w:r>
      <w:r w:rsidRPr="00D0377B">
        <w:rPr>
          <w:rFonts w:cs="Arial"/>
          <w:color w:val="000000" w:themeColor="text1"/>
          <w:sz w:val="22"/>
          <w:szCs w:val="22"/>
        </w:rPr>
        <w:t>n</w:t>
      </w:r>
      <w:r w:rsidR="00E21075" w:rsidRPr="00D0377B">
        <w:rPr>
          <w:rFonts w:cs="Arial"/>
          <w:color w:val="000000" w:themeColor="text1"/>
          <w:sz w:val="22"/>
          <w:szCs w:val="22"/>
        </w:rPr>
        <w:t xml:space="preserve">ově pořízené pušky </w:t>
      </w:r>
      <w:r w:rsidRPr="00D0377B">
        <w:rPr>
          <w:rFonts w:cs="Arial"/>
          <w:color w:val="000000" w:themeColor="text1"/>
          <w:sz w:val="22"/>
          <w:szCs w:val="22"/>
        </w:rPr>
        <w:t xml:space="preserve">by </w:t>
      </w:r>
      <w:r w:rsidR="00E21075" w:rsidRPr="00D0377B">
        <w:rPr>
          <w:rFonts w:cs="Arial"/>
          <w:color w:val="000000" w:themeColor="text1"/>
          <w:sz w:val="22"/>
          <w:szCs w:val="22"/>
        </w:rPr>
        <w:t>měly sloužit také jako nosiče doplňkového vybavení s </w:t>
      </w:r>
      <w:proofErr w:type="spellStart"/>
      <w:r w:rsidR="00E21075" w:rsidRPr="00D0377B">
        <w:rPr>
          <w:rFonts w:cs="Arial"/>
          <w:color w:val="000000" w:themeColor="text1"/>
          <w:sz w:val="22"/>
          <w:szCs w:val="22"/>
        </w:rPr>
        <w:t>optoelektrickými</w:t>
      </w:r>
      <w:proofErr w:type="spellEnd"/>
      <w:r w:rsidR="00E21075" w:rsidRPr="00D0377B">
        <w:rPr>
          <w:rFonts w:cs="Arial"/>
          <w:color w:val="000000" w:themeColor="text1"/>
          <w:sz w:val="22"/>
          <w:szCs w:val="22"/>
        </w:rPr>
        <w:t xml:space="preserve"> systémy a při jejich pořízení </w:t>
      </w:r>
      <w:r w:rsidR="00CB06E6">
        <w:rPr>
          <w:rFonts w:cs="Arial"/>
          <w:color w:val="000000" w:themeColor="text1"/>
          <w:sz w:val="22"/>
          <w:szCs w:val="22"/>
        </w:rPr>
        <w:t xml:space="preserve">by </w:t>
      </w:r>
      <w:r w:rsidR="00E21075" w:rsidRPr="00D0377B">
        <w:rPr>
          <w:rFonts w:cs="Arial"/>
          <w:color w:val="000000" w:themeColor="text1"/>
          <w:sz w:val="22"/>
          <w:szCs w:val="22"/>
        </w:rPr>
        <w:t>měl být brán ohled na interoperabilitu s ostatními ozbrojenými silami států EU. Celkem</w:t>
      </w:r>
      <w:r w:rsidR="004A79A4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CB06E6">
        <w:rPr>
          <w:rFonts w:cs="Arial"/>
          <w:color w:val="000000" w:themeColor="text1"/>
          <w:sz w:val="22"/>
          <w:szCs w:val="22"/>
        </w:rPr>
        <w:t>má</w:t>
      </w:r>
      <w:r w:rsidR="00E21075" w:rsidRPr="00D0377B">
        <w:rPr>
          <w:rFonts w:cs="Arial"/>
          <w:color w:val="000000" w:themeColor="text1"/>
          <w:sz w:val="22"/>
          <w:szCs w:val="22"/>
        </w:rPr>
        <w:t xml:space="preserve"> být do konce roku 2015 nakoupeno 7 937 pušek</w:t>
      </w:r>
      <w:r w:rsidR="00986BB6" w:rsidRPr="00D0377B">
        <w:rPr>
          <w:rFonts w:cs="Arial"/>
          <w:color w:val="000000" w:themeColor="text1"/>
          <w:sz w:val="22"/>
          <w:szCs w:val="22"/>
        </w:rPr>
        <w:t xml:space="preserve"> za maximáln</w:t>
      </w:r>
      <w:r w:rsidR="00CB06E6">
        <w:rPr>
          <w:rFonts w:cs="Arial"/>
          <w:color w:val="000000" w:themeColor="text1"/>
          <w:sz w:val="22"/>
          <w:szCs w:val="22"/>
        </w:rPr>
        <w:t>í částku</w:t>
      </w:r>
      <w:r w:rsidR="00986BB6" w:rsidRPr="00D0377B">
        <w:rPr>
          <w:rFonts w:cs="Arial"/>
          <w:color w:val="000000" w:themeColor="text1"/>
          <w:sz w:val="22"/>
          <w:szCs w:val="22"/>
        </w:rPr>
        <w:t xml:space="preserve"> 1</w:t>
      </w:r>
      <w:r w:rsidR="004C414F" w:rsidRPr="00D0377B">
        <w:rPr>
          <w:rFonts w:cs="Arial"/>
          <w:color w:val="000000" w:themeColor="text1"/>
          <w:sz w:val="22"/>
          <w:szCs w:val="22"/>
        </w:rPr>
        <w:t> </w:t>
      </w:r>
      <w:r w:rsidR="00986BB6" w:rsidRPr="00D0377B">
        <w:rPr>
          <w:rFonts w:cs="Arial"/>
          <w:color w:val="000000" w:themeColor="text1"/>
          <w:sz w:val="22"/>
          <w:szCs w:val="22"/>
        </w:rPr>
        <w:t>589</w:t>
      </w:r>
      <w:r w:rsidR="004C414F" w:rsidRPr="00D0377B">
        <w:rPr>
          <w:rFonts w:cs="Arial"/>
          <w:color w:val="000000" w:themeColor="text1"/>
          <w:sz w:val="22"/>
          <w:szCs w:val="22"/>
        </w:rPr>
        <w:t> </w:t>
      </w:r>
      <w:r w:rsidR="00117C9C" w:rsidRPr="00D0377B">
        <w:rPr>
          <w:rFonts w:cs="Arial"/>
          <w:color w:val="000000" w:themeColor="text1"/>
          <w:sz w:val="22"/>
          <w:szCs w:val="22"/>
        </w:rPr>
        <w:t>mil.</w:t>
      </w:r>
      <w:r w:rsidR="004C414F" w:rsidRPr="00D0377B">
        <w:rPr>
          <w:rFonts w:cs="Arial"/>
          <w:color w:val="000000" w:themeColor="text1"/>
          <w:sz w:val="22"/>
          <w:szCs w:val="22"/>
        </w:rPr>
        <w:t> </w:t>
      </w:r>
      <w:r w:rsidR="00117C9C" w:rsidRPr="00D0377B">
        <w:rPr>
          <w:rFonts w:cs="Arial"/>
          <w:color w:val="000000" w:themeColor="text1"/>
          <w:sz w:val="22"/>
          <w:szCs w:val="22"/>
        </w:rPr>
        <w:t xml:space="preserve">Kč. S těmito parametry MF </w:t>
      </w:r>
      <w:r w:rsidR="00F67527" w:rsidRPr="00D0377B">
        <w:rPr>
          <w:rFonts w:cs="Arial"/>
          <w:color w:val="000000" w:themeColor="text1"/>
          <w:sz w:val="22"/>
          <w:szCs w:val="22"/>
        </w:rPr>
        <w:t>v září 2009 schvál</w:t>
      </w:r>
      <w:r w:rsidR="00D34EAC" w:rsidRPr="00D0377B">
        <w:rPr>
          <w:rFonts w:cs="Arial"/>
          <w:color w:val="000000" w:themeColor="text1"/>
          <w:sz w:val="22"/>
          <w:szCs w:val="22"/>
        </w:rPr>
        <w:t>ilo</w:t>
      </w:r>
      <w:r w:rsidR="00F67527" w:rsidRPr="00D0377B">
        <w:rPr>
          <w:rFonts w:cs="Arial"/>
          <w:color w:val="000000" w:themeColor="text1"/>
          <w:sz w:val="22"/>
          <w:szCs w:val="22"/>
        </w:rPr>
        <w:t xml:space="preserve"> registrační list.</w:t>
      </w:r>
    </w:p>
    <w:p w:rsidR="00556799" w:rsidRPr="00D0377B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E21075" w:rsidRDefault="00B55A46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>MO při</w:t>
      </w:r>
      <w:r w:rsidR="00E21075" w:rsidRPr="00D0377B">
        <w:rPr>
          <w:rFonts w:cs="Arial"/>
          <w:color w:val="000000" w:themeColor="text1"/>
          <w:sz w:val="22"/>
          <w:szCs w:val="22"/>
        </w:rPr>
        <w:t xml:space="preserve"> zadávací</w:t>
      </w:r>
      <w:r w:rsidRPr="00D0377B">
        <w:rPr>
          <w:rFonts w:cs="Arial"/>
          <w:color w:val="000000" w:themeColor="text1"/>
          <w:sz w:val="22"/>
          <w:szCs w:val="22"/>
        </w:rPr>
        <w:t>m</w:t>
      </w:r>
      <w:r w:rsidR="00E21075" w:rsidRPr="00D0377B">
        <w:rPr>
          <w:rFonts w:cs="Arial"/>
          <w:color w:val="000000" w:themeColor="text1"/>
          <w:sz w:val="22"/>
          <w:szCs w:val="22"/>
        </w:rPr>
        <w:t xml:space="preserve"> řízení </w:t>
      </w:r>
      <w:r w:rsidR="00F67527" w:rsidRPr="00D0377B">
        <w:rPr>
          <w:rFonts w:cs="Arial"/>
          <w:color w:val="000000" w:themeColor="text1"/>
          <w:sz w:val="22"/>
          <w:szCs w:val="22"/>
        </w:rPr>
        <w:t>postupovalo mimo režim</w:t>
      </w:r>
      <w:r w:rsidR="00E21075" w:rsidRPr="00D0377B">
        <w:rPr>
          <w:rFonts w:cs="Arial"/>
          <w:color w:val="000000" w:themeColor="text1"/>
          <w:sz w:val="22"/>
          <w:szCs w:val="22"/>
        </w:rPr>
        <w:t xml:space="preserve"> zákona o veřej</w:t>
      </w:r>
      <w:r w:rsidR="00AE72E5" w:rsidRPr="00D0377B">
        <w:rPr>
          <w:rFonts w:cs="Arial"/>
          <w:color w:val="000000" w:themeColor="text1"/>
          <w:sz w:val="22"/>
          <w:szCs w:val="22"/>
        </w:rPr>
        <w:t>ných zakázkách (</w:t>
      </w:r>
      <w:r w:rsidR="008350D3" w:rsidRPr="00D0377B">
        <w:rPr>
          <w:rFonts w:cs="Arial"/>
          <w:color w:val="000000" w:themeColor="text1"/>
          <w:sz w:val="22"/>
          <w:szCs w:val="22"/>
        </w:rPr>
        <w:t>zajištění obrany</w:t>
      </w:r>
      <w:r w:rsidR="00AE72E5" w:rsidRPr="00D0377B">
        <w:rPr>
          <w:rFonts w:cs="Arial"/>
          <w:color w:val="000000" w:themeColor="text1"/>
          <w:sz w:val="22"/>
          <w:szCs w:val="22"/>
        </w:rPr>
        <w:t xml:space="preserve"> státu) a </w:t>
      </w:r>
      <w:r w:rsidR="00E21075" w:rsidRPr="00D0377B">
        <w:rPr>
          <w:rFonts w:cs="Arial"/>
          <w:color w:val="000000" w:themeColor="text1"/>
          <w:sz w:val="22"/>
          <w:szCs w:val="22"/>
        </w:rPr>
        <w:t xml:space="preserve">zakázku zadalo </w:t>
      </w:r>
      <w:r w:rsidR="00C3531A" w:rsidRPr="00D0377B">
        <w:rPr>
          <w:rFonts w:cs="Arial"/>
          <w:color w:val="000000" w:themeColor="text1"/>
          <w:sz w:val="22"/>
          <w:szCs w:val="22"/>
        </w:rPr>
        <w:t xml:space="preserve">v listopadu 2009 </w:t>
      </w:r>
      <w:r w:rsidR="00E21075" w:rsidRPr="00D0377B">
        <w:rPr>
          <w:rFonts w:cs="Arial"/>
          <w:color w:val="000000" w:themeColor="text1"/>
          <w:sz w:val="22"/>
          <w:szCs w:val="22"/>
        </w:rPr>
        <w:t>v řízení</w:t>
      </w:r>
      <w:r w:rsidR="00F67527" w:rsidRPr="00D0377B">
        <w:rPr>
          <w:rFonts w:cs="Arial"/>
          <w:color w:val="000000" w:themeColor="text1"/>
          <w:sz w:val="22"/>
          <w:szCs w:val="22"/>
        </w:rPr>
        <w:t xml:space="preserve"> obdobném otevřenému </w:t>
      </w:r>
      <w:r w:rsidR="00E21075" w:rsidRPr="00D0377B">
        <w:rPr>
          <w:rFonts w:cs="Arial"/>
          <w:color w:val="000000" w:themeColor="text1"/>
          <w:sz w:val="22"/>
          <w:szCs w:val="22"/>
        </w:rPr>
        <w:t>řízení.</w:t>
      </w:r>
      <w:r w:rsidR="008350D3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AE72E5" w:rsidRPr="00D0377B">
        <w:rPr>
          <w:rFonts w:cs="Arial"/>
          <w:color w:val="000000" w:themeColor="text1"/>
          <w:sz w:val="22"/>
          <w:szCs w:val="22"/>
        </w:rPr>
        <w:t>V zadávací dokumentaci byl</w:t>
      </w:r>
      <w:r w:rsidR="00CB06E6">
        <w:rPr>
          <w:rFonts w:cs="Arial"/>
          <w:color w:val="000000" w:themeColor="text1"/>
          <w:sz w:val="22"/>
          <w:szCs w:val="22"/>
        </w:rPr>
        <w:t>y</w:t>
      </w:r>
      <w:r w:rsidR="00AE72E5" w:rsidRPr="00D0377B">
        <w:rPr>
          <w:rFonts w:cs="Arial"/>
          <w:color w:val="000000" w:themeColor="text1"/>
          <w:sz w:val="22"/>
          <w:szCs w:val="22"/>
        </w:rPr>
        <w:t xml:space="preserve"> jako kritéria stanoven</w:t>
      </w:r>
      <w:r w:rsidR="00CB06E6">
        <w:rPr>
          <w:rFonts w:cs="Arial"/>
          <w:color w:val="000000" w:themeColor="text1"/>
          <w:sz w:val="22"/>
          <w:szCs w:val="22"/>
        </w:rPr>
        <w:t>y</w:t>
      </w:r>
      <w:r w:rsidR="00AE72E5" w:rsidRPr="00D0377B">
        <w:rPr>
          <w:rFonts w:cs="Arial"/>
          <w:color w:val="000000" w:themeColor="text1"/>
          <w:sz w:val="22"/>
          <w:szCs w:val="22"/>
        </w:rPr>
        <w:t xml:space="preserve"> cena (60</w:t>
      </w:r>
      <w:r w:rsidR="00BF7C30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AE72E5" w:rsidRPr="00D0377B">
        <w:rPr>
          <w:rFonts w:cs="Arial"/>
          <w:color w:val="000000" w:themeColor="text1"/>
          <w:sz w:val="22"/>
          <w:szCs w:val="22"/>
        </w:rPr>
        <w:t>%), hmotnost (20</w:t>
      </w:r>
      <w:r w:rsidR="00BF7C30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AE72E5" w:rsidRPr="00D0377B">
        <w:rPr>
          <w:rFonts w:cs="Arial"/>
          <w:color w:val="000000" w:themeColor="text1"/>
          <w:sz w:val="22"/>
          <w:szCs w:val="22"/>
        </w:rPr>
        <w:t xml:space="preserve">%), účinný </w:t>
      </w:r>
      <w:r w:rsidR="00CB06E6">
        <w:rPr>
          <w:rFonts w:cs="Arial"/>
          <w:color w:val="000000" w:themeColor="text1"/>
          <w:sz w:val="22"/>
          <w:szCs w:val="22"/>
        </w:rPr>
        <w:t>dostřel</w:t>
      </w:r>
      <w:r w:rsidR="00AE72E5" w:rsidRPr="00D0377B">
        <w:rPr>
          <w:rFonts w:cs="Arial"/>
          <w:color w:val="000000" w:themeColor="text1"/>
          <w:sz w:val="22"/>
          <w:szCs w:val="22"/>
        </w:rPr>
        <w:t xml:space="preserve"> (15</w:t>
      </w:r>
      <w:r w:rsidR="00BF7C30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AE72E5" w:rsidRPr="00D0377B">
        <w:rPr>
          <w:rFonts w:cs="Arial"/>
          <w:color w:val="000000" w:themeColor="text1"/>
          <w:sz w:val="22"/>
          <w:szCs w:val="22"/>
        </w:rPr>
        <w:t>%) a životnost (5</w:t>
      </w:r>
      <w:r w:rsidR="00BF7C30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AE72E5" w:rsidRPr="00D0377B">
        <w:rPr>
          <w:rFonts w:cs="Arial"/>
          <w:color w:val="000000" w:themeColor="text1"/>
          <w:sz w:val="22"/>
          <w:szCs w:val="22"/>
        </w:rPr>
        <w:t>%). Dokumentaci si vyzve</w:t>
      </w:r>
      <w:r w:rsidR="008350D3" w:rsidRPr="00D0377B">
        <w:rPr>
          <w:rFonts w:cs="Arial"/>
          <w:color w:val="000000" w:themeColor="text1"/>
          <w:sz w:val="22"/>
          <w:szCs w:val="22"/>
        </w:rPr>
        <w:t xml:space="preserve">dlo 27 uchazečů, ale nabídku podali </w:t>
      </w:r>
      <w:r w:rsidR="00AE72E5" w:rsidRPr="00D0377B">
        <w:rPr>
          <w:rFonts w:cs="Arial"/>
          <w:color w:val="000000" w:themeColor="text1"/>
          <w:sz w:val="22"/>
          <w:szCs w:val="22"/>
        </w:rPr>
        <w:t xml:space="preserve">pouze dva. </w:t>
      </w:r>
      <w:r w:rsidR="008350D3" w:rsidRPr="00D0377B">
        <w:rPr>
          <w:rFonts w:cs="Arial"/>
          <w:color w:val="000000" w:themeColor="text1"/>
          <w:sz w:val="22"/>
          <w:szCs w:val="22"/>
        </w:rPr>
        <w:t xml:space="preserve">MO </w:t>
      </w:r>
      <w:r w:rsidR="00F67527" w:rsidRPr="00D0377B">
        <w:rPr>
          <w:rFonts w:cs="Arial"/>
          <w:color w:val="000000" w:themeColor="text1"/>
          <w:sz w:val="22"/>
          <w:szCs w:val="22"/>
        </w:rPr>
        <w:t xml:space="preserve">rozhodlo o nejvhodnější nabídce </w:t>
      </w:r>
      <w:r w:rsidRPr="00D0377B">
        <w:rPr>
          <w:rFonts w:cs="Arial"/>
          <w:color w:val="000000" w:themeColor="text1"/>
          <w:sz w:val="22"/>
          <w:szCs w:val="22"/>
        </w:rPr>
        <w:t>a</w:t>
      </w:r>
      <w:r w:rsidR="00CB06E6">
        <w:rPr>
          <w:rFonts w:cs="Arial"/>
          <w:color w:val="000000" w:themeColor="text1"/>
          <w:sz w:val="22"/>
          <w:szCs w:val="22"/>
        </w:rPr>
        <w:t> </w:t>
      </w:r>
      <w:r w:rsidRPr="00D0377B">
        <w:rPr>
          <w:rFonts w:cs="Arial"/>
          <w:color w:val="000000" w:themeColor="text1"/>
          <w:sz w:val="22"/>
          <w:szCs w:val="22"/>
        </w:rPr>
        <w:t xml:space="preserve">s vybraným uchazečem </w:t>
      </w:r>
      <w:r w:rsidR="00F67527" w:rsidRPr="00D0377B">
        <w:rPr>
          <w:rFonts w:cs="Arial"/>
          <w:color w:val="000000" w:themeColor="text1"/>
          <w:sz w:val="22"/>
          <w:szCs w:val="22"/>
        </w:rPr>
        <w:t xml:space="preserve">v březnu 2010 uzavřelo </w:t>
      </w:r>
      <w:r w:rsidR="00FB7902" w:rsidRPr="00D0377B">
        <w:rPr>
          <w:rFonts w:cs="Arial"/>
          <w:color w:val="000000" w:themeColor="text1"/>
          <w:sz w:val="22"/>
          <w:szCs w:val="22"/>
        </w:rPr>
        <w:t xml:space="preserve">smlouvu </w:t>
      </w:r>
      <w:r w:rsidR="00AE72E5" w:rsidRPr="00D0377B">
        <w:rPr>
          <w:rFonts w:cs="Arial"/>
          <w:color w:val="000000" w:themeColor="text1"/>
          <w:sz w:val="22"/>
          <w:szCs w:val="22"/>
        </w:rPr>
        <w:t>na</w:t>
      </w:r>
      <w:r w:rsidR="00B14C69" w:rsidRPr="00D0377B">
        <w:rPr>
          <w:rFonts w:cs="Arial"/>
          <w:color w:val="000000" w:themeColor="text1"/>
          <w:sz w:val="22"/>
          <w:szCs w:val="22"/>
        </w:rPr>
        <w:t xml:space="preserve"> dodávku 6 687 útočných pušek a </w:t>
      </w:r>
      <w:r w:rsidR="00AE72E5" w:rsidRPr="00D0377B">
        <w:rPr>
          <w:rFonts w:cs="Arial"/>
          <w:color w:val="000000" w:themeColor="text1"/>
          <w:sz w:val="22"/>
          <w:szCs w:val="22"/>
        </w:rPr>
        <w:t>397 podvěsných granátometů</w:t>
      </w:r>
      <w:r w:rsidR="0056764F" w:rsidRPr="00D0377B">
        <w:rPr>
          <w:rStyle w:val="Znakapoznpodarou"/>
          <w:rFonts w:cs="Arial"/>
          <w:color w:val="000000" w:themeColor="text1"/>
          <w:sz w:val="22"/>
          <w:szCs w:val="22"/>
        </w:rPr>
        <w:footnoteReference w:id="13"/>
      </w:r>
      <w:r w:rsidR="00AE72E5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E22B9F" w:rsidRPr="00D0377B">
        <w:rPr>
          <w:rFonts w:cs="Arial"/>
          <w:color w:val="000000" w:themeColor="text1"/>
          <w:sz w:val="22"/>
          <w:szCs w:val="22"/>
        </w:rPr>
        <w:t xml:space="preserve">celkem </w:t>
      </w:r>
      <w:r w:rsidR="00AE72E5" w:rsidRPr="00D0377B">
        <w:rPr>
          <w:rFonts w:cs="Arial"/>
          <w:color w:val="000000" w:themeColor="text1"/>
          <w:sz w:val="22"/>
          <w:szCs w:val="22"/>
        </w:rPr>
        <w:t xml:space="preserve">za 1 102,7 </w:t>
      </w:r>
      <w:r w:rsidR="00AF3344" w:rsidRPr="00D0377B">
        <w:rPr>
          <w:rFonts w:cs="Arial"/>
          <w:color w:val="000000" w:themeColor="text1"/>
          <w:sz w:val="22"/>
          <w:szCs w:val="22"/>
        </w:rPr>
        <w:t>mil. Kč. Součástí smlouvy byl i </w:t>
      </w:r>
      <w:r w:rsidR="00E22B9F" w:rsidRPr="00D0377B">
        <w:rPr>
          <w:rFonts w:cs="Arial"/>
          <w:color w:val="000000" w:themeColor="text1"/>
          <w:sz w:val="22"/>
          <w:szCs w:val="22"/>
        </w:rPr>
        <w:t>harmonogram dodávek</w:t>
      </w:r>
      <w:r w:rsidR="008E03B6" w:rsidRPr="00D0377B">
        <w:rPr>
          <w:rFonts w:cs="Arial"/>
          <w:color w:val="000000" w:themeColor="text1"/>
          <w:sz w:val="22"/>
          <w:szCs w:val="22"/>
        </w:rPr>
        <w:t>. V období od uzavření</w:t>
      </w:r>
      <w:r w:rsidR="00C3531A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8E03B6" w:rsidRPr="00D0377B">
        <w:rPr>
          <w:rFonts w:cs="Arial"/>
          <w:color w:val="000000" w:themeColor="text1"/>
          <w:sz w:val="22"/>
          <w:szCs w:val="22"/>
        </w:rPr>
        <w:t xml:space="preserve">smlouvy do dubna 2013 </w:t>
      </w:r>
      <w:r w:rsidR="00C3531A" w:rsidRPr="00D0377B">
        <w:rPr>
          <w:rFonts w:cs="Arial"/>
          <w:color w:val="000000" w:themeColor="text1"/>
          <w:sz w:val="22"/>
          <w:szCs w:val="22"/>
        </w:rPr>
        <w:t>byla s</w:t>
      </w:r>
      <w:r w:rsidR="00E22B9F" w:rsidRPr="00D0377B">
        <w:rPr>
          <w:rFonts w:cs="Arial"/>
          <w:color w:val="000000" w:themeColor="text1"/>
          <w:sz w:val="22"/>
          <w:szCs w:val="22"/>
        </w:rPr>
        <w:t>mlouva</w:t>
      </w:r>
      <w:r w:rsidR="00AE72E5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C3531A" w:rsidRPr="00D0377B">
        <w:rPr>
          <w:rFonts w:cs="Arial"/>
          <w:color w:val="000000" w:themeColor="text1"/>
          <w:sz w:val="22"/>
          <w:szCs w:val="22"/>
        </w:rPr>
        <w:t xml:space="preserve">měněna </w:t>
      </w:r>
      <w:r w:rsidR="00AE72E5" w:rsidRPr="00D0377B">
        <w:rPr>
          <w:rFonts w:cs="Arial"/>
          <w:color w:val="000000" w:themeColor="text1"/>
          <w:sz w:val="22"/>
          <w:szCs w:val="22"/>
        </w:rPr>
        <w:t>osmi dodatky</w:t>
      </w:r>
      <w:r w:rsidR="00E22B9F" w:rsidRPr="00D0377B">
        <w:rPr>
          <w:rFonts w:cs="Arial"/>
          <w:color w:val="000000" w:themeColor="text1"/>
          <w:sz w:val="22"/>
          <w:szCs w:val="22"/>
        </w:rPr>
        <w:t xml:space="preserve">, které upravovaly harmonogram dodávek a </w:t>
      </w:r>
      <w:r w:rsidR="00F67527" w:rsidRPr="00D0377B">
        <w:rPr>
          <w:rFonts w:cs="Arial"/>
          <w:color w:val="000000" w:themeColor="text1"/>
          <w:sz w:val="22"/>
          <w:szCs w:val="22"/>
        </w:rPr>
        <w:t xml:space="preserve">zvýšily </w:t>
      </w:r>
      <w:r w:rsidR="00E22B9F" w:rsidRPr="00D0377B">
        <w:rPr>
          <w:rFonts w:cs="Arial"/>
          <w:color w:val="000000" w:themeColor="text1"/>
          <w:sz w:val="22"/>
          <w:szCs w:val="22"/>
        </w:rPr>
        <w:t xml:space="preserve">cenu </w:t>
      </w:r>
      <w:r w:rsidR="00AE72E5" w:rsidRPr="00D0377B">
        <w:rPr>
          <w:rFonts w:cs="Arial"/>
          <w:color w:val="000000" w:themeColor="text1"/>
          <w:sz w:val="22"/>
          <w:szCs w:val="22"/>
        </w:rPr>
        <w:t>na 1 104,2</w:t>
      </w:r>
      <w:r w:rsidR="00CB06E6">
        <w:rPr>
          <w:rFonts w:cs="Arial"/>
          <w:color w:val="000000" w:themeColor="text1"/>
          <w:sz w:val="22"/>
          <w:szCs w:val="22"/>
        </w:rPr>
        <w:t> </w:t>
      </w:r>
      <w:r w:rsidR="00AE72E5" w:rsidRPr="00D0377B">
        <w:rPr>
          <w:rFonts w:cs="Arial"/>
          <w:color w:val="000000" w:themeColor="text1"/>
          <w:sz w:val="22"/>
          <w:szCs w:val="22"/>
        </w:rPr>
        <w:t>mil.</w:t>
      </w:r>
      <w:r w:rsidR="00CB06E6">
        <w:rPr>
          <w:rFonts w:cs="Arial"/>
          <w:color w:val="000000" w:themeColor="text1"/>
          <w:sz w:val="22"/>
          <w:szCs w:val="22"/>
        </w:rPr>
        <w:t> </w:t>
      </w:r>
      <w:r w:rsidR="00AE72E5" w:rsidRPr="00D0377B">
        <w:rPr>
          <w:rFonts w:cs="Arial"/>
          <w:color w:val="000000" w:themeColor="text1"/>
          <w:sz w:val="22"/>
          <w:szCs w:val="22"/>
        </w:rPr>
        <w:t>Kč</w:t>
      </w:r>
      <w:r w:rsidR="00F67527" w:rsidRPr="00D0377B">
        <w:rPr>
          <w:rFonts w:cs="Arial"/>
          <w:color w:val="000000" w:themeColor="text1"/>
          <w:sz w:val="22"/>
          <w:szCs w:val="22"/>
        </w:rPr>
        <w:t xml:space="preserve"> v důsledku změny DPH.</w:t>
      </w:r>
      <w:r w:rsidR="00AE72E5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AF3344" w:rsidRPr="00D0377B">
        <w:rPr>
          <w:rFonts w:cs="Arial"/>
          <w:color w:val="000000" w:themeColor="text1"/>
          <w:sz w:val="22"/>
          <w:szCs w:val="22"/>
        </w:rPr>
        <w:t xml:space="preserve">Do dubna 2013 bylo dodáno </w:t>
      </w:r>
      <w:r w:rsidR="00C3531A" w:rsidRPr="00D0377B">
        <w:rPr>
          <w:rFonts w:cs="Arial"/>
          <w:color w:val="000000" w:themeColor="text1"/>
          <w:sz w:val="22"/>
          <w:szCs w:val="22"/>
        </w:rPr>
        <w:t xml:space="preserve">celkem </w:t>
      </w:r>
      <w:r w:rsidR="00FB4301" w:rsidRPr="00D0377B">
        <w:rPr>
          <w:rFonts w:cs="Arial"/>
          <w:color w:val="000000" w:themeColor="text1"/>
          <w:sz w:val="22"/>
          <w:szCs w:val="22"/>
        </w:rPr>
        <w:t>6 318 pušek a</w:t>
      </w:r>
      <w:r w:rsidR="00CB06E6">
        <w:rPr>
          <w:rFonts w:cs="Arial"/>
          <w:color w:val="000000" w:themeColor="text1"/>
          <w:sz w:val="22"/>
          <w:szCs w:val="22"/>
        </w:rPr>
        <w:t> </w:t>
      </w:r>
      <w:r w:rsidR="00FB4301" w:rsidRPr="00D0377B">
        <w:rPr>
          <w:rFonts w:cs="Arial"/>
          <w:color w:val="000000" w:themeColor="text1"/>
          <w:sz w:val="22"/>
          <w:szCs w:val="22"/>
        </w:rPr>
        <w:t>144 </w:t>
      </w:r>
      <w:r w:rsidR="00AF3344" w:rsidRPr="00D0377B">
        <w:rPr>
          <w:rFonts w:cs="Arial"/>
          <w:color w:val="000000" w:themeColor="text1"/>
          <w:sz w:val="22"/>
          <w:szCs w:val="22"/>
        </w:rPr>
        <w:t>granátome</w:t>
      </w:r>
      <w:r w:rsidR="004C6C4B" w:rsidRPr="00D0377B">
        <w:rPr>
          <w:rFonts w:cs="Arial"/>
          <w:color w:val="000000" w:themeColor="text1"/>
          <w:sz w:val="22"/>
          <w:szCs w:val="22"/>
        </w:rPr>
        <w:t>tů, které jsou postupně zavá</w:t>
      </w:r>
      <w:r w:rsidR="008350D3" w:rsidRPr="00D0377B">
        <w:rPr>
          <w:rFonts w:cs="Arial"/>
          <w:color w:val="000000" w:themeColor="text1"/>
          <w:sz w:val="22"/>
          <w:szCs w:val="22"/>
        </w:rPr>
        <w:t>děny</w:t>
      </w:r>
      <w:r w:rsidR="00AF3344" w:rsidRPr="00D0377B">
        <w:rPr>
          <w:rFonts w:cs="Arial"/>
          <w:color w:val="000000" w:themeColor="text1"/>
          <w:sz w:val="22"/>
          <w:szCs w:val="22"/>
        </w:rPr>
        <w:t xml:space="preserve"> do používání </w:t>
      </w:r>
      <w:r w:rsidR="00CB06E6">
        <w:rPr>
          <w:rFonts w:cs="Arial"/>
          <w:color w:val="000000" w:themeColor="text1"/>
          <w:sz w:val="22"/>
          <w:szCs w:val="22"/>
        </w:rPr>
        <w:t>v </w:t>
      </w:r>
      <w:r w:rsidR="00AF3344" w:rsidRPr="00D0377B">
        <w:rPr>
          <w:rFonts w:cs="Arial"/>
          <w:color w:val="000000" w:themeColor="text1"/>
          <w:sz w:val="22"/>
          <w:szCs w:val="22"/>
        </w:rPr>
        <w:t xml:space="preserve">AČR. </w:t>
      </w:r>
      <w:r w:rsidR="00E06447" w:rsidRPr="00D0377B">
        <w:rPr>
          <w:rFonts w:cs="Arial"/>
          <w:color w:val="000000" w:themeColor="text1"/>
          <w:sz w:val="22"/>
          <w:szCs w:val="22"/>
        </w:rPr>
        <w:t>Za zpoždě</w:t>
      </w:r>
      <w:r w:rsidR="00DE38ED" w:rsidRPr="00D0377B">
        <w:rPr>
          <w:rFonts w:cs="Arial"/>
          <w:color w:val="000000" w:themeColor="text1"/>
          <w:sz w:val="22"/>
          <w:szCs w:val="22"/>
        </w:rPr>
        <w:t>ní dodávek uplatnilo</w:t>
      </w:r>
      <w:r w:rsidR="00CB06E6" w:rsidRPr="00CB06E6">
        <w:rPr>
          <w:rFonts w:cs="Arial"/>
          <w:color w:val="000000" w:themeColor="text1"/>
          <w:sz w:val="22"/>
          <w:szCs w:val="22"/>
        </w:rPr>
        <w:t xml:space="preserve"> </w:t>
      </w:r>
      <w:r w:rsidR="00CB06E6" w:rsidRPr="00D0377B">
        <w:rPr>
          <w:rFonts w:cs="Arial"/>
          <w:color w:val="000000" w:themeColor="text1"/>
          <w:sz w:val="22"/>
          <w:szCs w:val="22"/>
        </w:rPr>
        <w:t>MO</w:t>
      </w:r>
      <w:r w:rsidR="00DE38ED" w:rsidRPr="00D0377B">
        <w:rPr>
          <w:rFonts w:cs="Arial"/>
          <w:color w:val="000000" w:themeColor="text1"/>
          <w:sz w:val="22"/>
          <w:szCs w:val="22"/>
        </w:rPr>
        <w:t xml:space="preserve"> v roce </w:t>
      </w:r>
      <w:r w:rsidR="008350D3" w:rsidRPr="00D0377B">
        <w:rPr>
          <w:rFonts w:cs="Arial"/>
          <w:color w:val="000000" w:themeColor="text1"/>
          <w:sz w:val="22"/>
          <w:szCs w:val="22"/>
        </w:rPr>
        <w:t>2011 penále ve výši 97,6 tis</w:t>
      </w:r>
      <w:r w:rsidR="00E06447" w:rsidRPr="00D0377B">
        <w:rPr>
          <w:rFonts w:cs="Arial"/>
          <w:color w:val="000000" w:themeColor="text1"/>
          <w:sz w:val="22"/>
          <w:szCs w:val="22"/>
        </w:rPr>
        <w:t>. Kč</w:t>
      </w:r>
      <w:r w:rsidR="00CB06E6">
        <w:rPr>
          <w:rFonts w:cs="Arial"/>
          <w:color w:val="000000" w:themeColor="text1"/>
          <w:sz w:val="22"/>
          <w:szCs w:val="22"/>
        </w:rPr>
        <w:t>; tuto částku</w:t>
      </w:r>
      <w:r w:rsidR="00556799">
        <w:rPr>
          <w:rFonts w:cs="Arial"/>
          <w:color w:val="000000" w:themeColor="text1"/>
          <w:sz w:val="22"/>
          <w:szCs w:val="22"/>
        </w:rPr>
        <w:t xml:space="preserve"> dodavatel uhradil.</w:t>
      </w:r>
    </w:p>
    <w:p w:rsidR="00556799" w:rsidRPr="00D0377B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7977A0" w:rsidRPr="00D0377B" w:rsidRDefault="003117A7" w:rsidP="002352E9">
      <w:pPr>
        <w:ind w:left="567" w:hanging="567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b/>
          <w:color w:val="000000" w:themeColor="text1"/>
          <w:sz w:val="22"/>
          <w:szCs w:val="22"/>
        </w:rPr>
        <w:t>3.3.</w:t>
      </w:r>
      <w:r w:rsidR="00586676">
        <w:rPr>
          <w:rFonts w:cs="Arial"/>
          <w:b/>
          <w:color w:val="000000" w:themeColor="text1"/>
          <w:sz w:val="22"/>
          <w:szCs w:val="22"/>
        </w:rPr>
        <w:t>2</w:t>
      </w:r>
      <w:r w:rsidR="000D2409" w:rsidRPr="00D0377B">
        <w:rPr>
          <w:rFonts w:cs="Arial"/>
          <w:b/>
          <w:color w:val="000000" w:themeColor="text1"/>
          <w:sz w:val="22"/>
          <w:szCs w:val="22"/>
        </w:rPr>
        <w:tab/>
      </w:r>
      <w:r w:rsidRPr="00D0377B">
        <w:rPr>
          <w:rFonts w:cs="Arial"/>
          <w:b/>
          <w:color w:val="000000" w:themeColor="text1"/>
          <w:sz w:val="22"/>
          <w:szCs w:val="22"/>
        </w:rPr>
        <w:t>Akce ev. č. 107V112 1103</w:t>
      </w:r>
      <w:r w:rsidR="002352E9">
        <w:rPr>
          <w:rFonts w:cs="Arial"/>
          <w:b/>
          <w:color w:val="000000" w:themeColor="text1"/>
          <w:sz w:val="22"/>
          <w:szCs w:val="22"/>
        </w:rPr>
        <w:t> –</w:t>
      </w:r>
      <w:r w:rsidRPr="00D0377B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564BC7">
        <w:rPr>
          <w:rFonts w:cs="Arial"/>
          <w:b/>
          <w:i/>
          <w:color w:val="000000" w:themeColor="text1"/>
          <w:sz w:val="22"/>
          <w:szCs w:val="22"/>
        </w:rPr>
        <w:t>Pistole – nákup</w:t>
      </w:r>
      <w:r w:rsidRPr="00D0377B">
        <w:rPr>
          <w:rFonts w:cs="Arial"/>
          <w:b/>
          <w:color w:val="000000" w:themeColor="text1"/>
          <w:sz w:val="22"/>
          <w:szCs w:val="22"/>
        </w:rPr>
        <w:t xml:space="preserve"> a </w:t>
      </w:r>
      <w:r w:rsidR="00C40AA4" w:rsidRPr="00D0377B">
        <w:rPr>
          <w:rFonts w:cs="Arial"/>
          <w:b/>
          <w:color w:val="000000" w:themeColor="text1"/>
          <w:sz w:val="22"/>
          <w:szCs w:val="22"/>
        </w:rPr>
        <w:t xml:space="preserve">akce </w:t>
      </w:r>
      <w:r w:rsidR="00586676">
        <w:rPr>
          <w:rFonts w:cs="Arial"/>
          <w:b/>
          <w:color w:val="000000" w:themeColor="text1"/>
          <w:sz w:val="22"/>
          <w:szCs w:val="22"/>
        </w:rPr>
        <w:t>ev. č. 107V112 1203</w:t>
      </w:r>
      <w:r w:rsidR="002352E9">
        <w:rPr>
          <w:rFonts w:cs="Arial"/>
          <w:b/>
          <w:color w:val="000000" w:themeColor="text1"/>
          <w:sz w:val="22"/>
          <w:szCs w:val="22"/>
        </w:rPr>
        <w:t> –</w:t>
      </w:r>
      <w:r w:rsidR="00586676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586676" w:rsidRPr="00564BC7">
        <w:rPr>
          <w:rFonts w:cs="Arial"/>
          <w:b/>
          <w:i/>
          <w:color w:val="000000" w:themeColor="text1"/>
          <w:sz w:val="22"/>
          <w:szCs w:val="22"/>
        </w:rPr>
        <w:t>Zbraň PDW </w:t>
      </w:r>
      <w:r w:rsidR="00BD7E02" w:rsidRPr="00564BC7">
        <w:rPr>
          <w:rFonts w:cs="Arial"/>
          <w:b/>
          <w:i/>
          <w:color w:val="000000" w:themeColor="text1"/>
          <w:sz w:val="22"/>
          <w:szCs w:val="22"/>
        </w:rPr>
        <w:t>–</w:t>
      </w:r>
      <w:r w:rsidR="00586676" w:rsidRPr="00564BC7">
        <w:rPr>
          <w:rFonts w:cs="Arial"/>
          <w:b/>
          <w:i/>
          <w:color w:val="000000" w:themeColor="text1"/>
          <w:sz w:val="22"/>
          <w:szCs w:val="22"/>
        </w:rPr>
        <w:t xml:space="preserve"> </w:t>
      </w:r>
      <w:r w:rsidRPr="00564BC7">
        <w:rPr>
          <w:rFonts w:cs="Arial"/>
          <w:b/>
          <w:i/>
          <w:color w:val="000000" w:themeColor="text1"/>
          <w:sz w:val="22"/>
          <w:szCs w:val="22"/>
        </w:rPr>
        <w:t>nákup</w:t>
      </w:r>
    </w:p>
    <w:p w:rsidR="00556799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3117A7" w:rsidRDefault="00E06447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>V investiční</w:t>
      </w:r>
      <w:r w:rsidR="00C40AA4" w:rsidRPr="00D0377B">
        <w:rPr>
          <w:rFonts w:cs="Arial"/>
          <w:color w:val="000000" w:themeColor="text1"/>
          <w:sz w:val="22"/>
          <w:szCs w:val="22"/>
        </w:rPr>
        <w:t>ch</w:t>
      </w:r>
      <w:r w:rsidRPr="00D0377B">
        <w:rPr>
          <w:rFonts w:cs="Arial"/>
          <w:color w:val="000000" w:themeColor="text1"/>
          <w:sz w:val="22"/>
          <w:szCs w:val="22"/>
        </w:rPr>
        <w:t xml:space="preserve"> záměr</w:t>
      </w:r>
      <w:r w:rsidR="00C40AA4" w:rsidRPr="00D0377B">
        <w:rPr>
          <w:rFonts w:cs="Arial"/>
          <w:color w:val="000000" w:themeColor="text1"/>
          <w:sz w:val="22"/>
          <w:szCs w:val="22"/>
        </w:rPr>
        <w:t>ech</w:t>
      </w:r>
      <w:r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E22B9F" w:rsidRPr="00D0377B">
        <w:rPr>
          <w:rFonts w:cs="Arial"/>
          <w:color w:val="000000" w:themeColor="text1"/>
          <w:sz w:val="22"/>
          <w:szCs w:val="22"/>
        </w:rPr>
        <w:t xml:space="preserve">na nákup pistolí </w:t>
      </w:r>
      <w:r w:rsidR="00C40AA4" w:rsidRPr="00D0377B">
        <w:rPr>
          <w:rFonts w:cs="Arial"/>
          <w:color w:val="000000" w:themeColor="text1"/>
          <w:sz w:val="22"/>
          <w:szCs w:val="22"/>
        </w:rPr>
        <w:t xml:space="preserve">a zbraní PDW </w:t>
      </w:r>
      <w:r w:rsidRPr="00D0377B">
        <w:rPr>
          <w:rFonts w:cs="Arial"/>
          <w:color w:val="000000" w:themeColor="text1"/>
          <w:sz w:val="22"/>
          <w:szCs w:val="22"/>
        </w:rPr>
        <w:t>z října 2009 bylo uvedeno, že dosud používané pistole jsou zastaralé a oddalování pořízení moderních ručníc</w:t>
      </w:r>
      <w:r w:rsidR="00E22B9F" w:rsidRPr="00D0377B">
        <w:rPr>
          <w:rFonts w:cs="Arial"/>
          <w:color w:val="000000" w:themeColor="text1"/>
          <w:sz w:val="22"/>
          <w:szCs w:val="22"/>
        </w:rPr>
        <w:t>h zbraní může ohrozit činnost a </w:t>
      </w:r>
      <w:r w:rsidRPr="00D0377B">
        <w:rPr>
          <w:rFonts w:cs="Arial"/>
          <w:color w:val="000000" w:themeColor="text1"/>
          <w:sz w:val="22"/>
          <w:szCs w:val="22"/>
        </w:rPr>
        <w:t>plnění úkolů AČR především v zahraničních misích</w:t>
      </w:r>
      <w:r w:rsidR="00E22B9F" w:rsidRPr="00D0377B">
        <w:rPr>
          <w:rFonts w:cs="Arial"/>
          <w:color w:val="000000" w:themeColor="text1"/>
          <w:sz w:val="22"/>
          <w:szCs w:val="22"/>
        </w:rPr>
        <w:t xml:space="preserve">. </w:t>
      </w:r>
      <w:r w:rsidR="0022638C" w:rsidRPr="00D0377B">
        <w:rPr>
          <w:rFonts w:cs="Arial"/>
          <w:color w:val="000000" w:themeColor="text1"/>
          <w:sz w:val="22"/>
          <w:szCs w:val="22"/>
        </w:rPr>
        <w:t>V listopadu 2009 byl</w:t>
      </w:r>
      <w:r w:rsidR="00C40AA4" w:rsidRPr="00D0377B">
        <w:rPr>
          <w:rFonts w:cs="Arial"/>
          <w:color w:val="000000" w:themeColor="text1"/>
          <w:sz w:val="22"/>
          <w:szCs w:val="22"/>
        </w:rPr>
        <w:t>y</w:t>
      </w:r>
      <w:r w:rsidR="0022638C" w:rsidRPr="00D0377B">
        <w:rPr>
          <w:rFonts w:cs="Arial"/>
          <w:color w:val="000000" w:themeColor="text1"/>
          <w:sz w:val="22"/>
          <w:szCs w:val="22"/>
        </w:rPr>
        <w:t xml:space="preserve"> vydán</w:t>
      </w:r>
      <w:r w:rsidR="00C40AA4" w:rsidRPr="00D0377B">
        <w:rPr>
          <w:rFonts w:cs="Arial"/>
          <w:color w:val="000000" w:themeColor="text1"/>
          <w:sz w:val="22"/>
          <w:szCs w:val="22"/>
        </w:rPr>
        <w:t>y</w:t>
      </w:r>
      <w:r w:rsidR="0022638C" w:rsidRPr="00D0377B">
        <w:rPr>
          <w:rFonts w:cs="Arial"/>
          <w:color w:val="000000" w:themeColor="text1"/>
          <w:sz w:val="22"/>
          <w:szCs w:val="22"/>
        </w:rPr>
        <w:t xml:space="preserve"> registrační list</w:t>
      </w:r>
      <w:r w:rsidR="00C40AA4" w:rsidRPr="00D0377B">
        <w:rPr>
          <w:rFonts w:cs="Arial"/>
          <w:color w:val="000000" w:themeColor="text1"/>
          <w:sz w:val="22"/>
          <w:szCs w:val="22"/>
        </w:rPr>
        <w:t>y</w:t>
      </w:r>
      <w:r w:rsidR="0022638C" w:rsidRPr="00D0377B">
        <w:rPr>
          <w:rFonts w:cs="Arial"/>
          <w:color w:val="000000" w:themeColor="text1"/>
          <w:sz w:val="22"/>
          <w:szCs w:val="22"/>
        </w:rPr>
        <w:t xml:space="preserve">. </w:t>
      </w:r>
      <w:r w:rsidR="00E22B9F" w:rsidRPr="00D0377B">
        <w:rPr>
          <w:rFonts w:cs="Arial"/>
          <w:color w:val="000000" w:themeColor="text1"/>
          <w:sz w:val="22"/>
          <w:szCs w:val="22"/>
        </w:rPr>
        <w:t xml:space="preserve">Celkem mělo být v letech 2010 až </w:t>
      </w:r>
      <w:r w:rsidRPr="00D0377B">
        <w:rPr>
          <w:rFonts w:cs="Arial"/>
          <w:color w:val="000000" w:themeColor="text1"/>
          <w:sz w:val="22"/>
          <w:szCs w:val="22"/>
        </w:rPr>
        <w:t>2011 nakoupeno 5 348 souprav pistolí za 97,8</w:t>
      </w:r>
      <w:r w:rsidR="008470CA">
        <w:rPr>
          <w:rFonts w:cs="Arial"/>
          <w:color w:val="000000" w:themeColor="text1"/>
          <w:sz w:val="22"/>
          <w:szCs w:val="22"/>
        </w:rPr>
        <w:t> </w:t>
      </w:r>
      <w:r w:rsidRPr="00D0377B">
        <w:rPr>
          <w:rFonts w:cs="Arial"/>
          <w:color w:val="000000" w:themeColor="text1"/>
          <w:sz w:val="22"/>
          <w:szCs w:val="22"/>
        </w:rPr>
        <w:t>mil.</w:t>
      </w:r>
      <w:r w:rsidR="008470CA">
        <w:rPr>
          <w:rFonts w:cs="Arial"/>
          <w:color w:val="000000" w:themeColor="text1"/>
          <w:sz w:val="22"/>
          <w:szCs w:val="22"/>
        </w:rPr>
        <w:t> </w:t>
      </w:r>
      <w:r w:rsidRPr="00D0377B">
        <w:rPr>
          <w:rFonts w:cs="Arial"/>
          <w:color w:val="000000" w:themeColor="text1"/>
          <w:sz w:val="22"/>
          <w:szCs w:val="22"/>
        </w:rPr>
        <w:t>Kč</w:t>
      </w:r>
      <w:r w:rsidR="00FB7902" w:rsidRPr="00D0377B">
        <w:rPr>
          <w:rFonts w:cs="Arial"/>
          <w:color w:val="000000" w:themeColor="text1"/>
          <w:sz w:val="22"/>
          <w:szCs w:val="22"/>
        </w:rPr>
        <w:t xml:space="preserve"> a 572 zbraní PDW za 32 mil. Kč</w:t>
      </w:r>
      <w:r w:rsidRPr="00D0377B">
        <w:rPr>
          <w:rFonts w:cs="Arial"/>
          <w:color w:val="000000" w:themeColor="text1"/>
          <w:sz w:val="22"/>
          <w:szCs w:val="22"/>
        </w:rPr>
        <w:t xml:space="preserve">. </w:t>
      </w:r>
      <w:r w:rsidR="001003FD" w:rsidRPr="00D0377B">
        <w:rPr>
          <w:rFonts w:cs="Arial"/>
          <w:color w:val="000000" w:themeColor="text1"/>
          <w:sz w:val="22"/>
          <w:szCs w:val="22"/>
        </w:rPr>
        <w:t>MO při společném zadávacím</w:t>
      </w:r>
      <w:r w:rsidR="008E2131" w:rsidRPr="00D0377B">
        <w:rPr>
          <w:rFonts w:cs="Arial"/>
          <w:color w:val="000000" w:themeColor="text1"/>
          <w:sz w:val="22"/>
          <w:szCs w:val="22"/>
        </w:rPr>
        <w:t xml:space="preserve"> řízení na obě střelné zbraně </w:t>
      </w:r>
      <w:r w:rsidR="001003FD" w:rsidRPr="00D0377B">
        <w:rPr>
          <w:rFonts w:cs="Arial"/>
          <w:color w:val="000000" w:themeColor="text1"/>
          <w:sz w:val="22"/>
          <w:szCs w:val="22"/>
        </w:rPr>
        <w:t xml:space="preserve">postupovalo </w:t>
      </w:r>
      <w:r w:rsidR="008E2131" w:rsidRPr="00D0377B">
        <w:rPr>
          <w:rFonts w:cs="Arial"/>
          <w:color w:val="000000" w:themeColor="text1"/>
          <w:sz w:val="22"/>
          <w:szCs w:val="22"/>
        </w:rPr>
        <w:t xml:space="preserve">mimo režim </w:t>
      </w:r>
      <w:r w:rsidR="001003FD" w:rsidRPr="00D0377B">
        <w:rPr>
          <w:rFonts w:cs="Arial"/>
          <w:color w:val="000000" w:themeColor="text1"/>
          <w:sz w:val="22"/>
          <w:szCs w:val="22"/>
        </w:rPr>
        <w:t>zákona o veřejných zakázkách (</w:t>
      </w:r>
      <w:r w:rsidR="00D32159" w:rsidRPr="00D0377B">
        <w:rPr>
          <w:rFonts w:cs="Arial"/>
          <w:color w:val="000000" w:themeColor="text1"/>
          <w:sz w:val="22"/>
          <w:szCs w:val="22"/>
        </w:rPr>
        <w:t>zajištění obrany</w:t>
      </w:r>
      <w:r w:rsidR="001003FD" w:rsidRPr="00D0377B">
        <w:rPr>
          <w:rFonts w:cs="Arial"/>
          <w:color w:val="000000" w:themeColor="text1"/>
          <w:sz w:val="22"/>
          <w:szCs w:val="22"/>
        </w:rPr>
        <w:t xml:space="preserve"> státu) a zakázku zadalo postupem přiměřeným jednacímu řízení bez uveřejnění jediné firmě.</w:t>
      </w:r>
      <w:r w:rsidR="00D32159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453C3E" w:rsidRPr="00D0377B">
        <w:rPr>
          <w:rFonts w:cs="Arial"/>
          <w:color w:val="000000" w:themeColor="text1"/>
          <w:sz w:val="22"/>
          <w:szCs w:val="22"/>
        </w:rPr>
        <w:t xml:space="preserve">Způsob zadání zakázky </w:t>
      </w:r>
      <w:proofErr w:type="gramStart"/>
      <w:r w:rsidR="00453C3E" w:rsidRPr="00D0377B">
        <w:rPr>
          <w:rFonts w:cs="Arial"/>
          <w:color w:val="000000" w:themeColor="text1"/>
          <w:sz w:val="22"/>
          <w:szCs w:val="22"/>
        </w:rPr>
        <w:t>byl</w:t>
      </w:r>
      <w:proofErr w:type="gramEnd"/>
      <w:r w:rsidR="00453C3E" w:rsidRPr="00D0377B">
        <w:rPr>
          <w:rFonts w:cs="Arial"/>
          <w:color w:val="000000" w:themeColor="text1"/>
          <w:sz w:val="22"/>
          <w:szCs w:val="22"/>
        </w:rPr>
        <w:t xml:space="preserve"> schválen usnesením vlády ze dne 23.</w:t>
      </w:r>
      <w:r w:rsidR="004C414F" w:rsidRPr="00D0377B">
        <w:rPr>
          <w:rFonts w:cs="Arial"/>
          <w:color w:val="000000" w:themeColor="text1"/>
          <w:sz w:val="22"/>
          <w:szCs w:val="22"/>
        </w:rPr>
        <w:t> </w:t>
      </w:r>
      <w:r w:rsidR="00453C3E" w:rsidRPr="00D0377B">
        <w:rPr>
          <w:rFonts w:cs="Arial"/>
          <w:color w:val="000000" w:themeColor="text1"/>
          <w:sz w:val="22"/>
          <w:szCs w:val="22"/>
        </w:rPr>
        <w:t>listopadu</w:t>
      </w:r>
      <w:r w:rsidR="008470CA">
        <w:rPr>
          <w:rFonts w:cs="Arial"/>
          <w:color w:val="000000" w:themeColor="text1"/>
          <w:sz w:val="22"/>
          <w:szCs w:val="22"/>
        </w:rPr>
        <w:t xml:space="preserve"> </w:t>
      </w:r>
      <w:r w:rsidR="00453C3E" w:rsidRPr="00D0377B">
        <w:rPr>
          <w:rFonts w:cs="Arial"/>
          <w:color w:val="000000" w:themeColor="text1"/>
          <w:sz w:val="22"/>
          <w:szCs w:val="22"/>
        </w:rPr>
        <w:t>2009 č. 1443</w:t>
      </w:r>
      <w:r w:rsidR="00453C3E" w:rsidRPr="00D0377B">
        <w:rPr>
          <w:rStyle w:val="Znakapoznpodarou"/>
          <w:rFonts w:cs="Arial"/>
          <w:color w:val="000000" w:themeColor="text1"/>
          <w:sz w:val="22"/>
          <w:szCs w:val="22"/>
        </w:rPr>
        <w:footnoteReference w:id="14"/>
      </w:r>
      <w:r w:rsidR="00453C3E" w:rsidRPr="00D0377B">
        <w:rPr>
          <w:rFonts w:cs="Arial"/>
          <w:color w:val="000000" w:themeColor="text1"/>
          <w:sz w:val="22"/>
          <w:szCs w:val="22"/>
        </w:rPr>
        <w:t xml:space="preserve">. </w:t>
      </w:r>
      <w:r w:rsidR="001B19BE" w:rsidRPr="00D0377B">
        <w:rPr>
          <w:rFonts w:cs="Arial"/>
          <w:color w:val="000000" w:themeColor="text1"/>
          <w:sz w:val="22"/>
          <w:szCs w:val="22"/>
        </w:rPr>
        <w:t>MO</w:t>
      </w:r>
      <w:r w:rsidR="0022638C" w:rsidRPr="00D0377B">
        <w:rPr>
          <w:rFonts w:cs="Arial"/>
          <w:color w:val="000000" w:themeColor="text1"/>
          <w:sz w:val="22"/>
          <w:szCs w:val="22"/>
        </w:rPr>
        <w:t xml:space="preserve"> </w:t>
      </w:r>
      <w:proofErr w:type="gramStart"/>
      <w:r w:rsidR="0022638C" w:rsidRPr="00D0377B">
        <w:rPr>
          <w:rFonts w:cs="Arial"/>
          <w:color w:val="000000" w:themeColor="text1"/>
          <w:sz w:val="22"/>
          <w:szCs w:val="22"/>
        </w:rPr>
        <w:t>jednalo</w:t>
      </w:r>
      <w:proofErr w:type="gramEnd"/>
      <w:r w:rsidR="00490825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1B19BE" w:rsidRPr="00D0377B">
        <w:rPr>
          <w:rFonts w:cs="Arial"/>
          <w:color w:val="000000" w:themeColor="text1"/>
          <w:sz w:val="22"/>
          <w:szCs w:val="22"/>
        </w:rPr>
        <w:t>s dodavatelem od</w:t>
      </w:r>
      <w:r w:rsidR="008470CA">
        <w:rPr>
          <w:rFonts w:cs="Arial"/>
          <w:color w:val="000000" w:themeColor="text1"/>
          <w:sz w:val="22"/>
          <w:szCs w:val="22"/>
        </w:rPr>
        <w:t xml:space="preserve"> </w:t>
      </w:r>
      <w:r w:rsidR="001B19BE" w:rsidRPr="00D0377B">
        <w:rPr>
          <w:rFonts w:cs="Arial"/>
          <w:color w:val="000000" w:themeColor="text1"/>
          <w:sz w:val="22"/>
          <w:szCs w:val="22"/>
        </w:rPr>
        <w:t>ledna do</w:t>
      </w:r>
      <w:r w:rsidR="008470CA">
        <w:rPr>
          <w:rFonts w:cs="Arial"/>
          <w:color w:val="000000" w:themeColor="text1"/>
          <w:sz w:val="22"/>
          <w:szCs w:val="22"/>
        </w:rPr>
        <w:t xml:space="preserve"> </w:t>
      </w:r>
      <w:r w:rsidR="001B19BE" w:rsidRPr="00D0377B">
        <w:rPr>
          <w:rFonts w:cs="Arial"/>
          <w:color w:val="000000" w:themeColor="text1"/>
          <w:sz w:val="22"/>
          <w:szCs w:val="22"/>
        </w:rPr>
        <w:t xml:space="preserve">března 2010. </w:t>
      </w:r>
      <w:r w:rsidR="0022638C" w:rsidRPr="00D0377B">
        <w:rPr>
          <w:rFonts w:cs="Arial"/>
          <w:color w:val="000000" w:themeColor="text1"/>
          <w:sz w:val="22"/>
          <w:szCs w:val="22"/>
        </w:rPr>
        <w:t>N</w:t>
      </w:r>
      <w:r w:rsidR="00B8616A" w:rsidRPr="00D0377B">
        <w:rPr>
          <w:rFonts w:cs="Arial"/>
          <w:color w:val="000000" w:themeColor="text1"/>
          <w:sz w:val="22"/>
          <w:szCs w:val="22"/>
        </w:rPr>
        <w:t>a základě požadavku uživatele</w:t>
      </w:r>
      <w:r w:rsidR="0022638C" w:rsidRPr="00D0377B">
        <w:rPr>
          <w:rFonts w:cs="Arial"/>
          <w:color w:val="000000" w:themeColor="text1"/>
          <w:sz w:val="22"/>
          <w:szCs w:val="22"/>
        </w:rPr>
        <w:t xml:space="preserve"> byl</w:t>
      </w:r>
      <w:r w:rsidR="00B8616A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1B19BE" w:rsidRPr="00D0377B">
        <w:rPr>
          <w:rFonts w:cs="Arial"/>
          <w:color w:val="000000" w:themeColor="text1"/>
          <w:sz w:val="22"/>
          <w:szCs w:val="22"/>
        </w:rPr>
        <w:t xml:space="preserve">v únoru 2010 zvýšen </w:t>
      </w:r>
      <w:r w:rsidR="00111815" w:rsidRPr="00D0377B">
        <w:rPr>
          <w:rFonts w:cs="Arial"/>
          <w:color w:val="000000" w:themeColor="text1"/>
          <w:sz w:val="22"/>
          <w:szCs w:val="22"/>
        </w:rPr>
        <w:t>počet pistolí</w:t>
      </w:r>
      <w:r w:rsidR="001B19BE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B8616A" w:rsidRPr="00D0377B">
        <w:rPr>
          <w:rFonts w:cs="Arial"/>
          <w:color w:val="000000" w:themeColor="text1"/>
          <w:sz w:val="22"/>
          <w:szCs w:val="22"/>
        </w:rPr>
        <w:t xml:space="preserve">o 222 souprav, tj. </w:t>
      </w:r>
      <w:r w:rsidR="001B19BE" w:rsidRPr="00D0377B">
        <w:rPr>
          <w:rFonts w:cs="Arial"/>
          <w:color w:val="000000" w:themeColor="text1"/>
          <w:sz w:val="22"/>
          <w:szCs w:val="22"/>
        </w:rPr>
        <w:t>na 5 570</w:t>
      </w:r>
      <w:r w:rsidR="00B8616A" w:rsidRPr="00D0377B">
        <w:rPr>
          <w:rFonts w:cs="Arial"/>
          <w:color w:val="000000" w:themeColor="text1"/>
          <w:sz w:val="22"/>
          <w:szCs w:val="22"/>
        </w:rPr>
        <w:t xml:space="preserve">, </w:t>
      </w:r>
      <w:r w:rsidR="0055688D">
        <w:rPr>
          <w:rFonts w:cs="Arial"/>
          <w:color w:val="000000" w:themeColor="text1"/>
          <w:sz w:val="22"/>
          <w:szCs w:val="22"/>
        </w:rPr>
        <w:t xml:space="preserve">a to </w:t>
      </w:r>
      <w:r w:rsidR="001B19BE" w:rsidRPr="00D0377B">
        <w:rPr>
          <w:rFonts w:cs="Arial"/>
          <w:color w:val="000000" w:themeColor="text1"/>
          <w:sz w:val="22"/>
          <w:szCs w:val="22"/>
        </w:rPr>
        <w:t>jako záměna za původně plánovanou dodávku nábojů</w:t>
      </w:r>
      <w:r w:rsidR="0043072D" w:rsidRPr="00D0377B">
        <w:rPr>
          <w:rStyle w:val="Znakapoznpodarou"/>
          <w:rFonts w:cs="Arial"/>
          <w:color w:val="000000" w:themeColor="text1"/>
          <w:sz w:val="22"/>
          <w:szCs w:val="22"/>
        </w:rPr>
        <w:footnoteReference w:id="15"/>
      </w:r>
      <w:r w:rsidR="001B19BE" w:rsidRPr="00D0377B">
        <w:rPr>
          <w:rFonts w:cs="Arial"/>
          <w:color w:val="000000" w:themeColor="text1"/>
          <w:sz w:val="22"/>
          <w:szCs w:val="22"/>
        </w:rPr>
        <w:t xml:space="preserve">. </w:t>
      </w:r>
      <w:r w:rsidR="00986BB6" w:rsidRPr="00D0377B">
        <w:rPr>
          <w:rFonts w:cs="Arial"/>
          <w:color w:val="000000" w:themeColor="text1"/>
          <w:sz w:val="22"/>
          <w:szCs w:val="22"/>
        </w:rPr>
        <w:t>V březnu 2010 MO uzavřelo s</w:t>
      </w:r>
      <w:r w:rsidR="00FB7902" w:rsidRPr="00D0377B">
        <w:rPr>
          <w:rFonts w:cs="Arial"/>
          <w:color w:val="000000" w:themeColor="text1"/>
          <w:sz w:val="22"/>
          <w:szCs w:val="22"/>
        </w:rPr>
        <w:t> </w:t>
      </w:r>
      <w:r w:rsidR="00986BB6" w:rsidRPr="00D0377B">
        <w:rPr>
          <w:rFonts w:cs="Arial"/>
          <w:color w:val="000000" w:themeColor="text1"/>
          <w:sz w:val="22"/>
          <w:szCs w:val="22"/>
        </w:rPr>
        <w:t>dodavatelem</w:t>
      </w:r>
      <w:r w:rsidR="001003FD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986BB6" w:rsidRPr="00D0377B">
        <w:rPr>
          <w:rFonts w:cs="Arial"/>
          <w:color w:val="000000" w:themeColor="text1"/>
          <w:sz w:val="22"/>
          <w:szCs w:val="22"/>
        </w:rPr>
        <w:t>kupní smlouvu</w:t>
      </w:r>
      <w:r w:rsidR="00453C3E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8C77D6" w:rsidRPr="00D0377B">
        <w:rPr>
          <w:rFonts w:cs="Arial"/>
          <w:color w:val="000000" w:themeColor="text1"/>
          <w:sz w:val="22"/>
          <w:szCs w:val="22"/>
        </w:rPr>
        <w:t>na dodávku 5 570 pistolí a 572 </w:t>
      </w:r>
      <w:r w:rsidR="008E2131" w:rsidRPr="00D0377B">
        <w:rPr>
          <w:rFonts w:cs="Arial"/>
          <w:color w:val="000000" w:themeColor="text1"/>
          <w:sz w:val="22"/>
          <w:szCs w:val="22"/>
        </w:rPr>
        <w:t>osobních zbraní</w:t>
      </w:r>
      <w:r w:rsidR="003117A7" w:rsidRPr="00D0377B">
        <w:rPr>
          <w:rStyle w:val="Znakapoznpodarou"/>
          <w:rFonts w:cs="Arial"/>
          <w:color w:val="000000" w:themeColor="text1"/>
          <w:sz w:val="22"/>
          <w:szCs w:val="22"/>
        </w:rPr>
        <w:footnoteReference w:id="16"/>
      </w:r>
      <w:r w:rsidR="008E2131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E70A64">
        <w:rPr>
          <w:rFonts w:cs="Arial"/>
          <w:color w:val="000000" w:themeColor="text1"/>
          <w:sz w:val="22"/>
          <w:szCs w:val="22"/>
        </w:rPr>
        <w:t>za celkovou částku</w:t>
      </w:r>
      <w:r w:rsidR="008470CA">
        <w:rPr>
          <w:rFonts w:cs="Arial"/>
          <w:color w:val="000000" w:themeColor="text1"/>
          <w:sz w:val="22"/>
          <w:szCs w:val="22"/>
        </w:rPr>
        <w:t xml:space="preserve"> 129,8 </w:t>
      </w:r>
      <w:r w:rsidR="001003FD" w:rsidRPr="00D0377B">
        <w:rPr>
          <w:rFonts w:cs="Arial"/>
          <w:color w:val="000000" w:themeColor="text1"/>
          <w:sz w:val="22"/>
          <w:szCs w:val="22"/>
        </w:rPr>
        <w:t>mil.</w:t>
      </w:r>
      <w:r w:rsidR="008470CA">
        <w:rPr>
          <w:rFonts w:cs="Arial"/>
          <w:color w:val="000000" w:themeColor="text1"/>
          <w:sz w:val="22"/>
          <w:szCs w:val="22"/>
        </w:rPr>
        <w:t> </w:t>
      </w:r>
      <w:r w:rsidR="001003FD" w:rsidRPr="00D0377B">
        <w:rPr>
          <w:rFonts w:cs="Arial"/>
          <w:color w:val="000000" w:themeColor="text1"/>
          <w:sz w:val="22"/>
          <w:szCs w:val="22"/>
        </w:rPr>
        <w:t>Kč.</w:t>
      </w:r>
    </w:p>
    <w:p w:rsidR="00556799" w:rsidRPr="00D0377B" w:rsidRDefault="00556799" w:rsidP="00D0377B">
      <w:pPr>
        <w:jc w:val="both"/>
        <w:rPr>
          <w:rFonts w:cs="Arial"/>
          <w:strike/>
          <w:color w:val="000000" w:themeColor="text1"/>
          <w:sz w:val="22"/>
          <w:szCs w:val="22"/>
        </w:rPr>
      </w:pPr>
    </w:p>
    <w:p w:rsidR="001C3C57" w:rsidRPr="00D0377B" w:rsidRDefault="003117A7" w:rsidP="002352E9">
      <w:pPr>
        <w:ind w:left="426" w:hanging="426"/>
        <w:rPr>
          <w:rFonts w:cs="Arial"/>
          <w:b/>
          <w:color w:val="000000" w:themeColor="text1"/>
          <w:sz w:val="22"/>
          <w:szCs w:val="22"/>
        </w:rPr>
      </w:pPr>
      <w:r w:rsidRPr="00D0377B">
        <w:rPr>
          <w:rFonts w:cs="Arial"/>
          <w:b/>
          <w:color w:val="000000" w:themeColor="text1"/>
          <w:sz w:val="22"/>
          <w:szCs w:val="22"/>
        </w:rPr>
        <w:t>3.4</w:t>
      </w:r>
      <w:r w:rsidR="004C414F" w:rsidRPr="00D0377B">
        <w:rPr>
          <w:rFonts w:cs="Arial"/>
          <w:b/>
          <w:color w:val="000000" w:themeColor="text1"/>
          <w:sz w:val="22"/>
          <w:szCs w:val="22"/>
        </w:rPr>
        <w:tab/>
      </w:r>
      <w:r w:rsidRPr="00D0377B">
        <w:rPr>
          <w:rFonts w:cs="Arial"/>
          <w:b/>
          <w:color w:val="000000" w:themeColor="text1"/>
          <w:sz w:val="22"/>
          <w:szCs w:val="22"/>
        </w:rPr>
        <w:t>Program ev. č. 107V210</w:t>
      </w:r>
      <w:r w:rsidR="002352E9">
        <w:rPr>
          <w:rFonts w:cs="Arial"/>
          <w:b/>
          <w:color w:val="000000" w:themeColor="text1"/>
          <w:sz w:val="22"/>
          <w:szCs w:val="22"/>
        </w:rPr>
        <w:t> –</w:t>
      </w:r>
      <w:r w:rsidR="00EA0B52" w:rsidRPr="00D0377B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EA0B52" w:rsidRPr="00564BC7">
        <w:rPr>
          <w:rFonts w:cs="Arial"/>
          <w:b/>
          <w:i/>
          <w:color w:val="000000" w:themeColor="text1"/>
          <w:sz w:val="22"/>
          <w:szCs w:val="22"/>
        </w:rPr>
        <w:t>Rozvoj pozemních sil</w:t>
      </w:r>
      <w:r w:rsidR="00D127C5" w:rsidRPr="00D0377B">
        <w:rPr>
          <w:rFonts w:cs="Arial"/>
          <w:b/>
          <w:color w:val="000000" w:themeColor="text1"/>
          <w:sz w:val="22"/>
          <w:szCs w:val="22"/>
        </w:rPr>
        <w:t>, podprogramy ev. č.</w:t>
      </w:r>
      <w:r w:rsidR="008707E1" w:rsidRPr="00D0377B">
        <w:rPr>
          <w:rFonts w:cs="Arial"/>
          <w:b/>
          <w:color w:val="000000" w:themeColor="text1"/>
          <w:sz w:val="22"/>
          <w:szCs w:val="22"/>
        </w:rPr>
        <w:t xml:space="preserve"> 107V213</w:t>
      </w:r>
      <w:r w:rsidR="002352E9">
        <w:rPr>
          <w:rFonts w:cs="Arial"/>
          <w:b/>
          <w:color w:val="000000" w:themeColor="text1"/>
          <w:sz w:val="22"/>
          <w:szCs w:val="22"/>
        </w:rPr>
        <w:t> –</w:t>
      </w:r>
      <w:r w:rsidR="00D127C5" w:rsidRPr="00D0377B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D127C5" w:rsidRPr="00564BC7">
        <w:rPr>
          <w:rFonts w:cs="Arial"/>
          <w:b/>
          <w:i/>
          <w:color w:val="000000" w:themeColor="text1"/>
          <w:sz w:val="22"/>
          <w:szCs w:val="22"/>
        </w:rPr>
        <w:t>Pořízení a modernizace prostředků druhů vojsk pozemních sil</w:t>
      </w:r>
      <w:r w:rsidR="00D127C5" w:rsidRPr="00D0377B">
        <w:rPr>
          <w:rFonts w:cs="Arial"/>
          <w:b/>
          <w:color w:val="000000" w:themeColor="text1"/>
          <w:sz w:val="22"/>
          <w:szCs w:val="22"/>
        </w:rPr>
        <w:t>, ev. č. 107V214</w:t>
      </w:r>
      <w:r w:rsidR="002352E9">
        <w:rPr>
          <w:rFonts w:cs="Arial"/>
          <w:b/>
          <w:color w:val="000000" w:themeColor="text1"/>
          <w:sz w:val="22"/>
          <w:szCs w:val="22"/>
        </w:rPr>
        <w:t> –</w:t>
      </w:r>
      <w:r w:rsidR="00D127C5" w:rsidRPr="00D0377B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D127C5" w:rsidRPr="00564BC7">
        <w:rPr>
          <w:rFonts w:cs="Arial"/>
          <w:b/>
          <w:i/>
          <w:color w:val="000000" w:themeColor="text1"/>
          <w:sz w:val="22"/>
          <w:szCs w:val="22"/>
        </w:rPr>
        <w:t>Pořízení a modernizace prostředků ostatních složek ozbrojených sil</w:t>
      </w:r>
      <w:r w:rsidR="008707E1" w:rsidRPr="00D0377B">
        <w:rPr>
          <w:rStyle w:val="Znakapoznpodarou"/>
          <w:rFonts w:cs="Arial"/>
          <w:b/>
          <w:color w:val="000000" w:themeColor="text1"/>
          <w:sz w:val="22"/>
          <w:szCs w:val="22"/>
        </w:rPr>
        <w:footnoteReference w:id="17"/>
      </w:r>
      <w:r w:rsidR="00A547FC" w:rsidRPr="00D0377B">
        <w:rPr>
          <w:rFonts w:cs="Arial"/>
          <w:b/>
          <w:color w:val="000000" w:themeColor="text1"/>
          <w:sz w:val="22"/>
          <w:szCs w:val="22"/>
        </w:rPr>
        <w:t xml:space="preserve"> a ev. č. </w:t>
      </w:r>
      <w:r w:rsidR="00D127C5" w:rsidRPr="00D0377B">
        <w:rPr>
          <w:rFonts w:cs="Arial"/>
          <w:b/>
          <w:color w:val="000000" w:themeColor="text1"/>
          <w:sz w:val="22"/>
          <w:szCs w:val="22"/>
        </w:rPr>
        <w:t>107V215</w:t>
      </w:r>
      <w:r w:rsidR="002352E9">
        <w:rPr>
          <w:rFonts w:cs="Arial"/>
          <w:b/>
          <w:color w:val="000000" w:themeColor="text1"/>
          <w:sz w:val="22"/>
          <w:szCs w:val="22"/>
        </w:rPr>
        <w:t> –</w:t>
      </w:r>
      <w:r w:rsidR="00D127C5" w:rsidRPr="00D0377B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D127C5" w:rsidRPr="00564BC7">
        <w:rPr>
          <w:rFonts w:cs="Arial"/>
          <w:b/>
          <w:i/>
          <w:color w:val="000000" w:themeColor="text1"/>
          <w:sz w:val="22"/>
          <w:szCs w:val="22"/>
        </w:rPr>
        <w:t>Pořízení a modernizace prostředků útvarů nasazených v mezinárodních operacích</w:t>
      </w:r>
      <w:r w:rsidR="00D127C5" w:rsidRPr="00D0377B">
        <w:rPr>
          <w:rFonts w:cs="Arial"/>
          <w:b/>
          <w:color w:val="000000" w:themeColor="text1"/>
          <w:sz w:val="22"/>
          <w:szCs w:val="22"/>
        </w:rPr>
        <w:t xml:space="preserve"> </w:t>
      </w:r>
    </w:p>
    <w:p w:rsidR="00556799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105A57" w:rsidRDefault="008470CA" w:rsidP="00D0377B">
      <w:pPr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Dokumentace programu ev. </w:t>
      </w:r>
      <w:r w:rsidR="00105A57" w:rsidRPr="00D0377B">
        <w:rPr>
          <w:rFonts w:cs="Arial"/>
          <w:color w:val="000000" w:themeColor="text1"/>
          <w:sz w:val="22"/>
          <w:szCs w:val="22"/>
        </w:rPr>
        <w:t>č.</w:t>
      </w:r>
      <w:r>
        <w:rPr>
          <w:rFonts w:cs="Arial"/>
          <w:color w:val="000000" w:themeColor="text1"/>
          <w:sz w:val="22"/>
          <w:szCs w:val="22"/>
        </w:rPr>
        <w:t> </w:t>
      </w:r>
      <w:r w:rsidR="00105A57" w:rsidRPr="00D0377B">
        <w:rPr>
          <w:rFonts w:cs="Arial"/>
          <w:color w:val="000000" w:themeColor="text1"/>
          <w:sz w:val="22"/>
          <w:szCs w:val="22"/>
        </w:rPr>
        <w:t>107V210 s výdaji státního rozp</w:t>
      </w:r>
      <w:r>
        <w:rPr>
          <w:rFonts w:cs="Arial"/>
          <w:color w:val="000000" w:themeColor="text1"/>
          <w:sz w:val="22"/>
          <w:szCs w:val="22"/>
        </w:rPr>
        <w:t>očtu 1 384,8 mil. </w:t>
      </w:r>
      <w:r w:rsidR="00105A57" w:rsidRPr="00D0377B">
        <w:rPr>
          <w:rFonts w:cs="Arial"/>
          <w:color w:val="000000" w:themeColor="text1"/>
          <w:sz w:val="22"/>
          <w:szCs w:val="22"/>
        </w:rPr>
        <w:t>Kč a realizací v letech 2010 až 2014</w:t>
      </w:r>
      <w:r w:rsidR="00564BC7">
        <w:rPr>
          <w:rFonts w:cs="Arial"/>
          <w:color w:val="000000" w:themeColor="text1"/>
          <w:sz w:val="22"/>
          <w:szCs w:val="22"/>
        </w:rPr>
        <w:t xml:space="preserve"> </w:t>
      </w:r>
      <w:r w:rsidR="00564BC7" w:rsidRPr="00D0377B">
        <w:rPr>
          <w:rFonts w:cs="Arial"/>
          <w:color w:val="000000" w:themeColor="text1"/>
          <w:sz w:val="22"/>
          <w:szCs w:val="22"/>
        </w:rPr>
        <w:t>byla schválena dne 13. října 2009</w:t>
      </w:r>
      <w:r w:rsidR="00105A57" w:rsidRPr="00D0377B">
        <w:rPr>
          <w:rFonts w:cs="Arial"/>
          <w:color w:val="000000" w:themeColor="text1"/>
          <w:sz w:val="22"/>
          <w:szCs w:val="22"/>
        </w:rPr>
        <w:t>. Cílem programu byla modernizace pozemních sil a druhů vojsk se zaměřením na obměn</w:t>
      </w:r>
      <w:r w:rsidR="00E70A64">
        <w:rPr>
          <w:rFonts w:cs="Arial"/>
          <w:color w:val="000000" w:themeColor="text1"/>
          <w:sz w:val="22"/>
          <w:szCs w:val="22"/>
        </w:rPr>
        <w:t>u</w:t>
      </w:r>
      <w:r w:rsidR="00105A57" w:rsidRPr="00D0377B">
        <w:rPr>
          <w:rFonts w:cs="Arial"/>
          <w:color w:val="000000" w:themeColor="text1"/>
          <w:sz w:val="22"/>
          <w:szCs w:val="22"/>
        </w:rPr>
        <w:t xml:space="preserve"> a modernizac</w:t>
      </w:r>
      <w:r w:rsidR="00E70A64">
        <w:rPr>
          <w:rFonts w:cs="Arial"/>
          <w:color w:val="000000" w:themeColor="text1"/>
          <w:sz w:val="22"/>
          <w:szCs w:val="22"/>
        </w:rPr>
        <w:t>i</w:t>
      </w:r>
      <w:r w:rsidR="00105A57" w:rsidRPr="00D0377B">
        <w:rPr>
          <w:rFonts w:cs="Arial"/>
          <w:color w:val="000000" w:themeColor="text1"/>
          <w:sz w:val="22"/>
          <w:szCs w:val="22"/>
        </w:rPr>
        <w:t xml:space="preserve"> zastaralých systémů a</w:t>
      </w:r>
      <w:r w:rsidR="00564BC7">
        <w:rPr>
          <w:rFonts w:cs="Arial"/>
          <w:color w:val="000000" w:themeColor="text1"/>
          <w:sz w:val="22"/>
          <w:szCs w:val="22"/>
        </w:rPr>
        <w:t> </w:t>
      </w:r>
      <w:r w:rsidR="00105A57" w:rsidRPr="00D0377B">
        <w:rPr>
          <w:rFonts w:cs="Arial"/>
          <w:color w:val="000000" w:themeColor="text1"/>
          <w:sz w:val="22"/>
          <w:szCs w:val="22"/>
        </w:rPr>
        <w:t>rozvíjení interope</w:t>
      </w:r>
      <w:r w:rsidR="00556799">
        <w:rPr>
          <w:rFonts w:cs="Arial"/>
          <w:color w:val="000000" w:themeColor="text1"/>
          <w:sz w:val="22"/>
          <w:szCs w:val="22"/>
        </w:rPr>
        <w:t>rabilního působení se spojenci.</w:t>
      </w:r>
    </w:p>
    <w:p w:rsidR="00556799" w:rsidRPr="00D0377B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EC313A" w:rsidRDefault="008470CA" w:rsidP="00D0377B">
      <w:pPr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Dne 12. </w:t>
      </w:r>
      <w:r w:rsidR="00105A57" w:rsidRPr="00D0377B">
        <w:rPr>
          <w:rFonts w:cs="Arial"/>
          <w:color w:val="000000" w:themeColor="text1"/>
          <w:sz w:val="22"/>
          <w:szCs w:val="22"/>
        </w:rPr>
        <w:t xml:space="preserve">dubna 2011 byl schválen doplněk č. 1 </w:t>
      </w:r>
      <w:r w:rsidR="00E70A64">
        <w:rPr>
          <w:rFonts w:cs="Arial"/>
          <w:color w:val="000000" w:themeColor="text1"/>
          <w:sz w:val="22"/>
          <w:szCs w:val="22"/>
        </w:rPr>
        <w:t>k </w:t>
      </w:r>
      <w:r w:rsidR="00105A57" w:rsidRPr="00D0377B">
        <w:rPr>
          <w:rFonts w:cs="Arial"/>
          <w:color w:val="000000" w:themeColor="text1"/>
          <w:sz w:val="22"/>
          <w:szCs w:val="22"/>
        </w:rPr>
        <w:t>dokumentac</w:t>
      </w:r>
      <w:r w:rsidR="00E70A64">
        <w:rPr>
          <w:rFonts w:cs="Arial"/>
          <w:color w:val="000000" w:themeColor="text1"/>
          <w:sz w:val="22"/>
          <w:szCs w:val="22"/>
        </w:rPr>
        <w:t>i</w:t>
      </w:r>
      <w:r w:rsidR="00105A57" w:rsidRPr="00D0377B">
        <w:rPr>
          <w:rFonts w:cs="Arial"/>
          <w:color w:val="000000" w:themeColor="text1"/>
          <w:sz w:val="22"/>
          <w:szCs w:val="22"/>
        </w:rPr>
        <w:t xml:space="preserve"> programu s navýšením celkových výdajů na 1 979,3 mil. Kč, včetně částky 181,7 mil.</w:t>
      </w:r>
      <w:r>
        <w:rPr>
          <w:rFonts w:cs="Arial"/>
          <w:color w:val="000000" w:themeColor="text1"/>
          <w:sz w:val="22"/>
          <w:szCs w:val="22"/>
        </w:rPr>
        <w:t> </w:t>
      </w:r>
      <w:r w:rsidR="00105A57" w:rsidRPr="00D0377B">
        <w:rPr>
          <w:rFonts w:cs="Arial"/>
          <w:color w:val="000000" w:themeColor="text1"/>
          <w:sz w:val="22"/>
          <w:szCs w:val="22"/>
        </w:rPr>
        <w:t xml:space="preserve">Kč z mimorozpočtových zdrojů. Důvodem navýšení výdajů bylo zejména dodatečné zařazení nákupů lehkých obrněných </w:t>
      </w:r>
      <w:r w:rsidR="00811897" w:rsidRPr="00D0377B">
        <w:rPr>
          <w:rFonts w:cs="Arial"/>
          <w:color w:val="000000" w:themeColor="text1"/>
          <w:sz w:val="22"/>
          <w:szCs w:val="22"/>
        </w:rPr>
        <w:t xml:space="preserve">zdravotnických </w:t>
      </w:r>
      <w:r w:rsidR="00105A57" w:rsidRPr="00D0377B">
        <w:rPr>
          <w:rFonts w:cs="Arial"/>
          <w:color w:val="000000" w:themeColor="text1"/>
          <w:sz w:val="22"/>
          <w:szCs w:val="22"/>
        </w:rPr>
        <w:t xml:space="preserve">vozidel a automobilů Land Rover </w:t>
      </w:r>
      <w:proofErr w:type="spellStart"/>
      <w:r w:rsidR="00105A57" w:rsidRPr="00D0377B">
        <w:rPr>
          <w:rFonts w:cs="Arial"/>
          <w:color w:val="000000" w:themeColor="text1"/>
          <w:sz w:val="22"/>
          <w:szCs w:val="22"/>
        </w:rPr>
        <w:t>Defender</w:t>
      </w:r>
      <w:proofErr w:type="spellEnd"/>
      <w:r w:rsidR="00105A57" w:rsidRPr="00D0377B">
        <w:rPr>
          <w:rFonts w:cs="Arial"/>
          <w:color w:val="000000" w:themeColor="text1"/>
          <w:sz w:val="22"/>
          <w:szCs w:val="22"/>
        </w:rPr>
        <w:t xml:space="preserve"> do podprogramu</w:t>
      </w:r>
      <w:r w:rsidR="00986BB6" w:rsidRPr="00D0377B">
        <w:rPr>
          <w:rFonts w:cs="Arial"/>
          <w:color w:val="000000" w:themeColor="text1"/>
          <w:sz w:val="22"/>
          <w:szCs w:val="22"/>
        </w:rPr>
        <w:t xml:space="preserve"> ev. č. </w:t>
      </w:r>
      <w:r w:rsidR="00105A57" w:rsidRPr="00D0377B">
        <w:rPr>
          <w:rFonts w:cs="Arial"/>
          <w:color w:val="000000" w:themeColor="text1"/>
          <w:sz w:val="22"/>
          <w:szCs w:val="22"/>
        </w:rPr>
        <w:t xml:space="preserve">107V215, </w:t>
      </w:r>
      <w:r w:rsidR="0055688D">
        <w:rPr>
          <w:rFonts w:cs="Arial"/>
          <w:color w:val="000000" w:themeColor="text1"/>
          <w:sz w:val="22"/>
          <w:szCs w:val="22"/>
        </w:rPr>
        <w:t>což</w:t>
      </w:r>
      <w:r w:rsidR="00105A57" w:rsidRPr="00D0377B">
        <w:rPr>
          <w:rFonts w:cs="Arial"/>
          <w:color w:val="000000" w:themeColor="text1"/>
          <w:sz w:val="22"/>
          <w:szCs w:val="22"/>
        </w:rPr>
        <w:t xml:space="preserve"> podle MO vyplynulo </w:t>
      </w:r>
      <w:r w:rsidR="00FC5392" w:rsidRPr="00D0377B">
        <w:rPr>
          <w:rFonts w:cs="Arial"/>
          <w:color w:val="000000" w:themeColor="text1"/>
          <w:sz w:val="22"/>
          <w:szCs w:val="22"/>
        </w:rPr>
        <w:t>z</w:t>
      </w:r>
      <w:r w:rsidR="00105A57" w:rsidRPr="00D0377B">
        <w:rPr>
          <w:rFonts w:cs="Arial"/>
          <w:color w:val="000000" w:themeColor="text1"/>
          <w:sz w:val="22"/>
          <w:szCs w:val="22"/>
        </w:rPr>
        <w:t xml:space="preserve"> okamžité potřeby </w:t>
      </w:r>
      <w:r w:rsidR="00556799">
        <w:rPr>
          <w:rFonts w:cs="Arial"/>
          <w:color w:val="000000" w:themeColor="text1"/>
          <w:sz w:val="22"/>
          <w:szCs w:val="22"/>
        </w:rPr>
        <w:t>nasazení v zahraničních misích.</w:t>
      </w:r>
    </w:p>
    <w:p w:rsidR="00556799" w:rsidRPr="00D0377B" w:rsidRDefault="00556799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EA0B52" w:rsidRPr="00D0377B" w:rsidRDefault="00EA0B52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b/>
          <w:color w:val="000000" w:themeColor="text1"/>
          <w:sz w:val="22"/>
          <w:szCs w:val="22"/>
        </w:rPr>
        <w:t>3.4.1 Akce ev. č. 107V213 1002</w:t>
      </w:r>
      <w:r w:rsidR="00EC2E79">
        <w:rPr>
          <w:rFonts w:cs="Arial"/>
          <w:b/>
          <w:color w:val="000000" w:themeColor="text1"/>
          <w:sz w:val="22"/>
          <w:szCs w:val="22"/>
        </w:rPr>
        <w:t> –</w:t>
      </w:r>
      <w:r w:rsidRPr="00D0377B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564BC7">
        <w:rPr>
          <w:rFonts w:cs="Arial"/>
          <w:b/>
          <w:i/>
          <w:color w:val="000000" w:themeColor="text1"/>
          <w:sz w:val="22"/>
          <w:szCs w:val="22"/>
        </w:rPr>
        <w:t xml:space="preserve">Mobilní komplet EB </w:t>
      </w:r>
      <w:r w:rsidR="00BD7E02" w:rsidRPr="00564BC7">
        <w:rPr>
          <w:rFonts w:cs="Arial"/>
          <w:b/>
          <w:i/>
          <w:color w:val="000000" w:themeColor="text1"/>
          <w:sz w:val="22"/>
          <w:szCs w:val="22"/>
        </w:rPr>
        <w:t>–</w:t>
      </w:r>
      <w:r w:rsidRPr="00564BC7">
        <w:rPr>
          <w:rFonts w:cs="Arial"/>
          <w:b/>
          <w:i/>
          <w:color w:val="000000" w:themeColor="text1"/>
          <w:sz w:val="22"/>
          <w:szCs w:val="22"/>
        </w:rPr>
        <w:t xml:space="preserve"> nákup</w:t>
      </w:r>
    </w:p>
    <w:p w:rsidR="00D0377B" w:rsidRDefault="00D0377B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D52869" w:rsidRDefault="00ED4E82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 xml:space="preserve">V investičním záměru schváleném v říjnu 2009 bylo uvedeno, že cílem </w:t>
      </w:r>
      <w:r w:rsidR="00F25666" w:rsidRPr="00D0377B">
        <w:rPr>
          <w:rFonts w:cs="Arial"/>
          <w:color w:val="000000" w:themeColor="text1"/>
          <w:sz w:val="22"/>
          <w:szCs w:val="22"/>
        </w:rPr>
        <w:t xml:space="preserve">této akce </w:t>
      </w:r>
      <w:r w:rsidRPr="00D0377B">
        <w:rPr>
          <w:rFonts w:cs="Arial"/>
          <w:color w:val="000000" w:themeColor="text1"/>
          <w:sz w:val="22"/>
          <w:szCs w:val="22"/>
        </w:rPr>
        <w:t>je zabezpečení efekt</w:t>
      </w:r>
      <w:r w:rsidR="00416C46" w:rsidRPr="00D0377B">
        <w:rPr>
          <w:rFonts w:cs="Arial"/>
          <w:color w:val="000000" w:themeColor="text1"/>
          <w:sz w:val="22"/>
          <w:szCs w:val="22"/>
        </w:rPr>
        <w:t>iv</w:t>
      </w:r>
      <w:r w:rsidRPr="00D0377B">
        <w:rPr>
          <w:rFonts w:cs="Arial"/>
          <w:color w:val="000000" w:themeColor="text1"/>
          <w:sz w:val="22"/>
          <w:szCs w:val="22"/>
        </w:rPr>
        <w:t>ní činnosti rušičů u jednotek nasazených v současných operacích</w:t>
      </w:r>
      <w:r w:rsidR="0055688D">
        <w:rPr>
          <w:rFonts w:cs="Arial"/>
          <w:color w:val="000000" w:themeColor="text1"/>
          <w:sz w:val="22"/>
          <w:szCs w:val="22"/>
        </w:rPr>
        <w:t>, a tedy</w:t>
      </w:r>
      <w:r w:rsidRPr="00D0377B">
        <w:rPr>
          <w:rFonts w:cs="Arial"/>
          <w:color w:val="000000" w:themeColor="text1"/>
          <w:sz w:val="22"/>
          <w:szCs w:val="22"/>
        </w:rPr>
        <w:t xml:space="preserve"> zvýšení bezpečnosti jednotek AČR. </w:t>
      </w:r>
      <w:r w:rsidR="000D4649" w:rsidRPr="00D0377B">
        <w:rPr>
          <w:rFonts w:cs="Arial"/>
          <w:color w:val="000000" w:themeColor="text1"/>
          <w:sz w:val="22"/>
          <w:szCs w:val="22"/>
        </w:rPr>
        <w:t xml:space="preserve">MO požadovalo </w:t>
      </w:r>
      <w:r w:rsidR="00B6570F" w:rsidRPr="00D0377B">
        <w:rPr>
          <w:rFonts w:cs="Arial"/>
          <w:color w:val="000000" w:themeColor="text1"/>
          <w:sz w:val="22"/>
          <w:szCs w:val="22"/>
        </w:rPr>
        <w:t xml:space="preserve">dodání dvou mobilních kompletů elektronického </w:t>
      </w:r>
      <w:r w:rsidR="005C7F1E" w:rsidRPr="00D0377B">
        <w:rPr>
          <w:rFonts w:cs="Arial"/>
          <w:color w:val="000000" w:themeColor="text1"/>
          <w:sz w:val="22"/>
          <w:szCs w:val="22"/>
        </w:rPr>
        <w:t>boje včetně odborného š</w:t>
      </w:r>
      <w:r w:rsidR="006A532A" w:rsidRPr="00D0377B">
        <w:rPr>
          <w:rFonts w:cs="Arial"/>
          <w:color w:val="000000" w:themeColor="text1"/>
          <w:sz w:val="22"/>
          <w:szCs w:val="22"/>
        </w:rPr>
        <w:t>kolení, softwarového vybavení a </w:t>
      </w:r>
      <w:r w:rsidR="005C7F1E" w:rsidRPr="00D0377B">
        <w:rPr>
          <w:rFonts w:cs="Arial"/>
          <w:color w:val="000000" w:themeColor="text1"/>
          <w:sz w:val="22"/>
          <w:szCs w:val="22"/>
        </w:rPr>
        <w:t>bezpečnostní certifikace</w:t>
      </w:r>
      <w:r w:rsidR="005E5C1C" w:rsidRPr="00D0377B">
        <w:rPr>
          <w:rFonts w:cs="Arial"/>
          <w:color w:val="000000" w:themeColor="text1"/>
          <w:sz w:val="22"/>
          <w:szCs w:val="22"/>
        </w:rPr>
        <w:t xml:space="preserve"> s př</w:t>
      </w:r>
      <w:r w:rsidR="008470CA">
        <w:rPr>
          <w:rFonts w:cs="Arial"/>
          <w:color w:val="000000" w:themeColor="text1"/>
          <w:sz w:val="22"/>
          <w:szCs w:val="22"/>
        </w:rPr>
        <w:t>edpokládanými výdaji ve výši 80 mil. </w:t>
      </w:r>
      <w:r w:rsidR="005E5C1C" w:rsidRPr="00D0377B">
        <w:rPr>
          <w:rFonts w:cs="Arial"/>
          <w:color w:val="000000" w:themeColor="text1"/>
          <w:sz w:val="22"/>
          <w:szCs w:val="22"/>
        </w:rPr>
        <w:t>Kč.</w:t>
      </w:r>
    </w:p>
    <w:p w:rsidR="00D0377B" w:rsidRPr="00D0377B" w:rsidRDefault="00D0377B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ED4E82" w:rsidRDefault="00D52869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>Na základě žádosti</w:t>
      </w:r>
      <w:r w:rsidR="000D4649" w:rsidRPr="00D0377B">
        <w:rPr>
          <w:rFonts w:cs="Arial"/>
          <w:color w:val="000000" w:themeColor="text1"/>
          <w:sz w:val="22"/>
          <w:szCs w:val="22"/>
        </w:rPr>
        <w:t xml:space="preserve"> MO</w:t>
      </w:r>
      <w:r w:rsidRPr="00D0377B">
        <w:rPr>
          <w:rFonts w:cs="Arial"/>
          <w:color w:val="000000" w:themeColor="text1"/>
          <w:sz w:val="22"/>
          <w:szCs w:val="22"/>
        </w:rPr>
        <w:t xml:space="preserve"> zaslal </w:t>
      </w:r>
      <w:r w:rsidR="005E5C1C" w:rsidRPr="00D0377B">
        <w:rPr>
          <w:rFonts w:cs="Arial"/>
          <w:color w:val="000000" w:themeColor="text1"/>
          <w:sz w:val="22"/>
          <w:szCs w:val="22"/>
        </w:rPr>
        <w:t xml:space="preserve">koncem října 2009 </w:t>
      </w:r>
      <w:r w:rsidRPr="00D0377B">
        <w:rPr>
          <w:rFonts w:cs="Arial"/>
          <w:color w:val="000000" w:themeColor="text1"/>
          <w:sz w:val="22"/>
          <w:szCs w:val="22"/>
        </w:rPr>
        <w:t>předpokládaný dodavatel tohoto specifického zařízení posouzení specifikace s</w:t>
      </w:r>
      <w:r w:rsidR="00490825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1023FC" w:rsidRPr="00D0377B">
        <w:rPr>
          <w:rFonts w:cs="Arial"/>
          <w:color w:val="000000" w:themeColor="text1"/>
          <w:sz w:val="22"/>
          <w:szCs w:val="22"/>
        </w:rPr>
        <w:t>cenou</w:t>
      </w:r>
      <w:r w:rsidR="006A532A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="00FB7902" w:rsidRPr="00D0377B">
        <w:rPr>
          <w:rFonts w:cs="Arial"/>
          <w:color w:val="000000" w:themeColor="text1"/>
          <w:sz w:val="22"/>
          <w:szCs w:val="22"/>
        </w:rPr>
        <w:t xml:space="preserve">kompletu </w:t>
      </w:r>
      <w:r w:rsidR="006A532A" w:rsidRPr="00D0377B">
        <w:rPr>
          <w:rFonts w:cs="Arial"/>
          <w:color w:val="000000" w:themeColor="text1"/>
          <w:sz w:val="22"/>
          <w:szCs w:val="22"/>
        </w:rPr>
        <w:t>v celkové výši 105,2 mil. </w:t>
      </w:r>
      <w:r w:rsidRPr="00D0377B">
        <w:rPr>
          <w:rFonts w:cs="Arial"/>
          <w:color w:val="000000" w:themeColor="text1"/>
          <w:sz w:val="22"/>
          <w:szCs w:val="22"/>
        </w:rPr>
        <w:t>Kč.</w:t>
      </w:r>
      <w:r w:rsidR="00E70A64">
        <w:rPr>
          <w:rFonts w:cs="Arial"/>
          <w:color w:val="000000" w:themeColor="text1"/>
          <w:sz w:val="22"/>
          <w:szCs w:val="22"/>
        </w:rPr>
        <w:t xml:space="preserve"> </w:t>
      </w:r>
      <w:r w:rsidR="000D4649" w:rsidRPr="00D0377B">
        <w:rPr>
          <w:rFonts w:cs="Arial"/>
          <w:color w:val="000000" w:themeColor="text1"/>
          <w:sz w:val="22"/>
          <w:szCs w:val="22"/>
        </w:rPr>
        <w:t xml:space="preserve">MO schválilo investiční záměr a v únoru 2010 </w:t>
      </w:r>
      <w:r w:rsidR="00E70A64" w:rsidRPr="00D0377B">
        <w:rPr>
          <w:rFonts w:cs="Arial"/>
          <w:color w:val="000000" w:themeColor="text1"/>
          <w:sz w:val="22"/>
          <w:szCs w:val="22"/>
        </w:rPr>
        <w:t xml:space="preserve">vydalo </w:t>
      </w:r>
      <w:r w:rsidR="000D4649" w:rsidRPr="00D0377B">
        <w:rPr>
          <w:rFonts w:cs="Arial"/>
          <w:color w:val="000000" w:themeColor="text1"/>
          <w:sz w:val="22"/>
          <w:szCs w:val="22"/>
        </w:rPr>
        <w:t xml:space="preserve">registrační list </w:t>
      </w:r>
      <w:r w:rsidR="00BE194E" w:rsidRPr="00D0377B">
        <w:rPr>
          <w:rFonts w:cs="Arial"/>
          <w:color w:val="000000" w:themeColor="text1"/>
          <w:sz w:val="22"/>
          <w:szCs w:val="22"/>
        </w:rPr>
        <w:t>s účast</w:t>
      </w:r>
      <w:r w:rsidR="0052780A" w:rsidRPr="00D0377B">
        <w:rPr>
          <w:rFonts w:cs="Arial"/>
          <w:color w:val="000000" w:themeColor="text1"/>
          <w:sz w:val="22"/>
          <w:szCs w:val="22"/>
        </w:rPr>
        <w:t>í státního rozpočtu ve výši 80</w:t>
      </w:r>
      <w:r w:rsidR="00BE194E" w:rsidRPr="00D0377B">
        <w:rPr>
          <w:rFonts w:cs="Arial"/>
          <w:color w:val="000000" w:themeColor="text1"/>
          <w:sz w:val="22"/>
          <w:szCs w:val="22"/>
        </w:rPr>
        <w:t xml:space="preserve"> mil. Kč.</w:t>
      </w:r>
    </w:p>
    <w:p w:rsidR="00D0377B" w:rsidRPr="00D0377B" w:rsidRDefault="00D0377B" w:rsidP="00D0377B">
      <w:pPr>
        <w:jc w:val="both"/>
        <w:rPr>
          <w:rFonts w:cs="Arial"/>
          <w:strike/>
          <w:color w:val="000000" w:themeColor="text1"/>
          <w:sz w:val="22"/>
          <w:szCs w:val="22"/>
        </w:rPr>
      </w:pPr>
    </w:p>
    <w:p w:rsidR="00EE36A7" w:rsidRDefault="00EE36A7" w:rsidP="00D0377B">
      <w:pPr>
        <w:jc w:val="both"/>
        <w:rPr>
          <w:rFonts w:cs="Arial"/>
          <w:color w:val="000000" w:themeColor="text1"/>
          <w:sz w:val="22"/>
          <w:szCs w:val="22"/>
        </w:rPr>
      </w:pPr>
      <w:r w:rsidRPr="00D0377B">
        <w:rPr>
          <w:rFonts w:cs="Arial"/>
          <w:color w:val="000000" w:themeColor="text1"/>
          <w:sz w:val="22"/>
          <w:szCs w:val="22"/>
        </w:rPr>
        <w:t>MO zadalo zakázku mimo režim zákona o veřejných zakázkách</w:t>
      </w:r>
      <w:r w:rsidR="00596621" w:rsidRPr="00D0377B">
        <w:rPr>
          <w:rStyle w:val="Znakapoznpodarou"/>
          <w:rFonts w:cs="Arial"/>
          <w:color w:val="000000" w:themeColor="text1"/>
          <w:sz w:val="22"/>
          <w:szCs w:val="22"/>
        </w:rPr>
        <w:footnoteReference w:id="18"/>
      </w:r>
      <w:r w:rsidR="0052780A" w:rsidRPr="00D0377B">
        <w:rPr>
          <w:rFonts w:cs="Arial"/>
          <w:color w:val="000000" w:themeColor="text1"/>
          <w:sz w:val="22"/>
          <w:szCs w:val="22"/>
        </w:rPr>
        <w:t xml:space="preserve">. </w:t>
      </w:r>
      <w:r w:rsidR="0050126A" w:rsidRPr="00D0377B">
        <w:rPr>
          <w:rFonts w:cs="Arial"/>
          <w:color w:val="000000" w:themeColor="text1"/>
          <w:sz w:val="22"/>
          <w:szCs w:val="22"/>
        </w:rPr>
        <w:t xml:space="preserve">MO </w:t>
      </w:r>
      <w:r w:rsidRPr="00D0377B">
        <w:rPr>
          <w:rFonts w:cs="Arial"/>
          <w:color w:val="000000" w:themeColor="text1"/>
          <w:sz w:val="22"/>
          <w:szCs w:val="22"/>
        </w:rPr>
        <w:t xml:space="preserve">vyzvalo v březnu 2010 </w:t>
      </w:r>
      <w:r w:rsidR="00577D70" w:rsidRPr="00D0377B">
        <w:rPr>
          <w:rFonts w:cs="Arial"/>
          <w:color w:val="000000" w:themeColor="text1"/>
          <w:sz w:val="22"/>
          <w:szCs w:val="22"/>
        </w:rPr>
        <w:t>Vojenský opravárenský podnik Šternberk (dále jen „VO</w:t>
      </w:r>
      <w:r w:rsidRPr="00D0377B">
        <w:rPr>
          <w:rFonts w:cs="Arial"/>
          <w:color w:val="000000" w:themeColor="text1"/>
          <w:sz w:val="22"/>
          <w:szCs w:val="22"/>
        </w:rPr>
        <w:t>P Šternberk</w:t>
      </w:r>
      <w:r w:rsidR="00577D70" w:rsidRPr="00D0377B">
        <w:rPr>
          <w:rFonts w:cs="Arial"/>
          <w:color w:val="000000" w:themeColor="text1"/>
          <w:sz w:val="22"/>
          <w:szCs w:val="22"/>
        </w:rPr>
        <w:t>“)</w:t>
      </w:r>
      <w:r w:rsidRPr="00D0377B">
        <w:rPr>
          <w:rFonts w:cs="Arial"/>
          <w:color w:val="000000" w:themeColor="text1"/>
          <w:sz w:val="22"/>
          <w:szCs w:val="22"/>
        </w:rPr>
        <w:t xml:space="preserve"> k podání nabídky. Nabídka z dubna 2010 i po redukci specifikace (takticko-t</w:t>
      </w:r>
      <w:r w:rsidR="005E5C1C" w:rsidRPr="00D0377B">
        <w:rPr>
          <w:rFonts w:cs="Arial"/>
          <w:color w:val="000000" w:themeColor="text1"/>
          <w:sz w:val="22"/>
          <w:szCs w:val="22"/>
        </w:rPr>
        <w:t>echnických požadavků) s</w:t>
      </w:r>
      <w:r w:rsidRPr="00D0377B">
        <w:rPr>
          <w:rFonts w:cs="Arial"/>
          <w:color w:val="000000" w:themeColor="text1"/>
          <w:sz w:val="22"/>
          <w:szCs w:val="22"/>
        </w:rPr>
        <w:t xml:space="preserve"> cenou ve výši </w:t>
      </w:r>
      <w:r w:rsidR="0050126A" w:rsidRPr="00D0377B">
        <w:rPr>
          <w:rFonts w:cs="Arial"/>
          <w:color w:val="000000" w:themeColor="text1"/>
          <w:sz w:val="22"/>
          <w:szCs w:val="22"/>
        </w:rPr>
        <w:t>99,8 mil. </w:t>
      </w:r>
      <w:r w:rsidRPr="00D0377B">
        <w:rPr>
          <w:rFonts w:cs="Arial"/>
          <w:color w:val="000000" w:themeColor="text1"/>
          <w:sz w:val="22"/>
          <w:szCs w:val="22"/>
        </w:rPr>
        <w:t>Kč</w:t>
      </w:r>
      <w:r w:rsidR="0052780A" w:rsidRPr="00D0377B">
        <w:rPr>
          <w:rFonts w:cs="Arial"/>
          <w:color w:val="000000" w:themeColor="text1"/>
          <w:sz w:val="22"/>
          <w:szCs w:val="22"/>
        </w:rPr>
        <w:t> přesahovala limit 80</w:t>
      </w:r>
      <w:r w:rsidRPr="00D0377B">
        <w:rPr>
          <w:rFonts w:cs="Arial"/>
          <w:color w:val="000000" w:themeColor="text1"/>
          <w:sz w:val="22"/>
          <w:szCs w:val="22"/>
        </w:rPr>
        <w:t xml:space="preserve"> mil. Kč uvedený v registračním listu</w:t>
      </w:r>
      <w:r w:rsidR="0052780A" w:rsidRPr="00D0377B">
        <w:rPr>
          <w:rFonts w:cs="Arial"/>
          <w:color w:val="000000" w:themeColor="text1"/>
          <w:sz w:val="22"/>
          <w:szCs w:val="22"/>
        </w:rPr>
        <w:t xml:space="preserve"> o téměř 20</w:t>
      </w:r>
      <w:r w:rsidR="0050126A" w:rsidRPr="00D0377B">
        <w:rPr>
          <w:rFonts w:cs="Arial"/>
          <w:color w:val="000000" w:themeColor="text1"/>
          <w:sz w:val="22"/>
          <w:szCs w:val="22"/>
        </w:rPr>
        <w:t xml:space="preserve"> mil. Kč</w:t>
      </w:r>
      <w:r w:rsidRPr="00D0377B">
        <w:rPr>
          <w:rFonts w:cs="Arial"/>
          <w:color w:val="000000" w:themeColor="text1"/>
          <w:sz w:val="22"/>
          <w:szCs w:val="22"/>
        </w:rPr>
        <w:t xml:space="preserve">. MO </w:t>
      </w:r>
      <w:r w:rsidR="00F25666" w:rsidRPr="00D0377B">
        <w:rPr>
          <w:rFonts w:cs="Arial"/>
          <w:color w:val="000000" w:themeColor="text1"/>
          <w:sz w:val="22"/>
          <w:szCs w:val="22"/>
        </w:rPr>
        <w:t xml:space="preserve">vyšší cenu </w:t>
      </w:r>
      <w:r w:rsidRPr="00D0377B">
        <w:rPr>
          <w:rFonts w:cs="Arial"/>
          <w:color w:val="000000" w:themeColor="text1"/>
          <w:sz w:val="22"/>
          <w:szCs w:val="22"/>
        </w:rPr>
        <w:t xml:space="preserve">akceptovalo, navýšilo prostředky a v červnu 2010 </w:t>
      </w:r>
      <w:r w:rsidR="00C95462" w:rsidRPr="00D0377B">
        <w:rPr>
          <w:rFonts w:cs="Arial"/>
          <w:color w:val="000000" w:themeColor="text1"/>
          <w:sz w:val="22"/>
          <w:szCs w:val="22"/>
        </w:rPr>
        <w:t>s </w:t>
      </w:r>
      <w:r w:rsidR="0055688D">
        <w:rPr>
          <w:rFonts w:cs="Arial"/>
          <w:color w:val="000000" w:themeColor="text1"/>
          <w:sz w:val="22"/>
          <w:szCs w:val="22"/>
        </w:rPr>
        <w:t>dodavatelem</w:t>
      </w:r>
      <w:r w:rsidR="00C95462" w:rsidRPr="00D0377B">
        <w:rPr>
          <w:rFonts w:cs="Arial"/>
          <w:color w:val="000000" w:themeColor="text1"/>
          <w:sz w:val="22"/>
          <w:szCs w:val="22"/>
        </w:rPr>
        <w:t xml:space="preserve"> </w:t>
      </w:r>
      <w:r w:rsidRPr="00D0377B">
        <w:rPr>
          <w:rFonts w:cs="Arial"/>
          <w:color w:val="000000" w:themeColor="text1"/>
          <w:sz w:val="22"/>
          <w:szCs w:val="22"/>
        </w:rPr>
        <w:t>uzavřelo smlouvu. Termín plnění byl stanoven na prosinec 2010</w:t>
      </w:r>
      <w:r w:rsidR="00E36FDC" w:rsidRPr="00D0377B">
        <w:rPr>
          <w:rFonts w:cs="Arial"/>
          <w:color w:val="000000" w:themeColor="text1"/>
          <w:sz w:val="22"/>
          <w:szCs w:val="22"/>
        </w:rPr>
        <w:t>.</w:t>
      </w:r>
    </w:p>
    <w:p w:rsidR="00D0377B" w:rsidRPr="00D0377B" w:rsidRDefault="00D0377B" w:rsidP="00D0377B">
      <w:pPr>
        <w:jc w:val="both"/>
        <w:rPr>
          <w:rFonts w:cs="Arial"/>
          <w:color w:val="000000" w:themeColor="text1"/>
          <w:sz w:val="22"/>
          <w:szCs w:val="22"/>
        </w:rPr>
      </w:pPr>
    </w:p>
    <w:p w:rsidR="00705AAB" w:rsidRPr="0052780A" w:rsidRDefault="00AD7725" w:rsidP="00D0377B">
      <w:pPr>
        <w:spacing w:after="40"/>
        <w:rPr>
          <w:rFonts w:cs="Arial"/>
          <w:sz w:val="22"/>
          <w:szCs w:val="22"/>
        </w:rPr>
      </w:pPr>
      <w:r w:rsidRPr="0052780A">
        <w:rPr>
          <w:rFonts w:cs="Arial"/>
          <w:b/>
          <w:sz w:val="22"/>
          <w:szCs w:val="22"/>
        </w:rPr>
        <w:t xml:space="preserve">Tabulka č. </w:t>
      </w:r>
      <w:r w:rsidR="00A21684" w:rsidRPr="0052780A">
        <w:rPr>
          <w:rFonts w:cs="Arial"/>
          <w:b/>
          <w:sz w:val="22"/>
          <w:szCs w:val="22"/>
        </w:rPr>
        <w:t xml:space="preserve">5 </w:t>
      </w:r>
      <w:r w:rsidR="00603075">
        <w:rPr>
          <w:rFonts w:cs="Arial"/>
          <w:b/>
          <w:sz w:val="22"/>
          <w:szCs w:val="22"/>
        </w:rPr>
        <w:t>–</w:t>
      </w:r>
      <w:r w:rsidR="00A21684" w:rsidRPr="0052780A">
        <w:rPr>
          <w:rFonts w:cs="Arial"/>
          <w:b/>
          <w:sz w:val="22"/>
          <w:szCs w:val="22"/>
        </w:rPr>
        <w:t xml:space="preserve"> </w:t>
      </w:r>
      <w:r w:rsidR="00705AAB" w:rsidRPr="0052780A">
        <w:rPr>
          <w:rFonts w:cs="Arial"/>
          <w:b/>
          <w:sz w:val="22"/>
          <w:szCs w:val="22"/>
        </w:rPr>
        <w:t>Porovnání původní a konečné specifikace</w:t>
      </w:r>
    </w:p>
    <w:tbl>
      <w:tblPr>
        <w:tblStyle w:val="Mkatabulky"/>
        <w:tblW w:w="907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993"/>
        <w:gridCol w:w="1417"/>
        <w:gridCol w:w="1559"/>
        <w:gridCol w:w="1134"/>
      </w:tblGrid>
      <w:tr w:rsidR="00705AAB" w:rsidRPr="00BF7C30" w:rsidTr="00556799">
        <w:trPr>
          <w:trHeight w:val="283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05AAB" w:rsidRPr="00BF7C30" w:rsidRDefault="00705AAB" w:rsidP="008470C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7C30">
              <w:rPr>
                <w:rFonts w:cs="Arial"/>
                <w:b/>
                <w:sz w:val="18"/>
                <w:szCs w:val="18"/>
              </w:rPr>
              <w:t>Specifikace čj.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05AAB" w:rsidRPr="00BF7C30" w:rsidRDefault="00705AAB" w:rsidP="0055679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7C30">
              <w:rPr>
                <w:rFonts w:cs="Arial"/>
                <w:b/>
                <w:sz w:val="18"/>
                <w:szCs w:val="18"/>
              </w:rPr>
              <w:t>Datum schválení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05AAB" w:rsidRPr="00BF7C30" w:rsidRDefault="00705AAB" w:rsidP="0055679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7C30">
              <w:rPr>
                <w:rFonts w:cs="Arial"/>
                <w:b/>
                <w:sz w:val="18"/>
                <w:szCs w:val="18"/>
              </w:rPr>
              <w:t>Počet souprav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05AAB" w:rsidRPr="00BF7C30" w:rsidRDefault="00705AAB" w:rsidP="0055679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7C30">
              <w:rPr>
                <w:rFonts w:cs="Arial"/>
                <w:b/>
                <w:sz w:val="18"/>
                <w:szCs w:val="18"/>
              </w:rPr>
              <w:t>Cena za soupravu (max.)</w:t>
            </w:r>
            <w:r w:rsidR="00BE194E" w:rsidRPr="00BF7C30">
              <w:rPr>
                <w:rFonts w:cs="Arial"/>
                <w:b/>
                <w:sz w:val="18"/>
                <w:szCs w:val="18"/>
              </w:rPr>
              <w:t xml:space="preserve"> /v Kč/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05AAB" w:rsidRPr="00BF7C30" w:rsidRDefault="00705AAB" w:rsidP="0055679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7C30">
              <w:rPr>
                <w:rFonts w:cs="Arial"/>
                <w:b/>
                <w:sz w:val="18"/>
                <w:szCs w:val="18"/>
              </w:rPr>
              <w:t>Celková cena</w:t>
            </w:r>
          </w:p>
          <w:p w:rsidR="00705AAB" w:rsidRPr="00BF7C30" w:rsidRDefault="00705AAB" w:rsidP="0055679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7C30">
              <w:rPr>
                <w:rFonts w:cs="Arial"/>
                <w:b/>
                <w:sz w:val="18"/>
                <w:szCs w:val="18"/>
              </w:rPr>
              <w:t>(max.)</w:t>
            </w:r>
            <w:r w:rsidR="00BE194E" w:rsidRPr="00BF7C30">
              <w:rPr>
                <w:rFonts w:cs="Arial"/>
                <w:b/>
                <w:sz w:val="18"/>
                <w:szCs w:val="18"/>
              </w:rPr>
              <w:t xml:space="preserve"> /v Kč/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05AAB" w:rsidRPr="00BF7C30" w:rsidRDefault="00705AAB" w:rsidP="0055679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7C30">
              <w:rPr>
                <w:rFonts w:cs="Arial"/>
                <w:b/>
                <w:sz w:val="18"/>
                <w:szCs w:val="18"/>
              </w:rPr>
              <w:t>Termín dodávek</w:t>
            </w:r>
          </w:p>
        </w:tc>
      </w:tr>
      <w:tr w:rsidR="00705AAB" w:rsidRPr="00BF7C30" w:rsidTr="00556799">
        <w:trPr>
          <w:trHeight w:val="283"/>
          <w:jc w:val="center"/>
        </w:trPr>
        <w:tc>
          <w:tcPr>
            <w:tcW w:w="2694" w:type="dxa"/>
            <w:vAlign w:val="center"/>
          </w:tcPr>
          <w:p w:rsidR="00705AAB" w:rsidRPr="00BF7C30" w:rsidRDefault="00705AAB" w:rsidP="00705AAB">
            <w:pPr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2102-15/2009/DP-5888</w:t>
            </w:r>
          </w:p>
        </w:tc>
        <w:tc>
          <w:tcPr>
            <w:tcW w:w="1275" w:type="dxa"/>
            <w:vAlign w:val="center"/>
          </w:tcPr>
          <w:p w:rsidR="00705AAB" w:rsidRPr="00BF7C30" w:rsidRDefault="00705AAB" w:rsidP="00556799">
            <w:pPr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23.</w:t>
            </w:r>
            <w:r w:rsidR="0094007F">
              <w:rPr>
                <w:rFonts w:cs="Arial"/>
                <w:sz w:val="18"/>
                <w:szCs w:val="18"/>
              </w:rPr>
              <w:t xml:space="preserve"> </w:t>
            </w:r>
            <w:r w:rsidRPr="00BF7C30">
              <w:rPr>
                <w:rFonts w:cs="Arial"/>
                <w:sz w:val="18"/>
                <w:szCs w:val="18"/>
              </w:rPr>
              <w:t>10.</w:t>
            </w:r>
            <w:r w:rsidR="0094007F">
              <w:rPr>
                <w:rFonts w:cs="Arial"/>
                <w:sz w:val="18"/>
                <w:szCs w:val="18"/>
              </w:rPr>
              <w:t xml:space="preserve"> </w:t>
            </w:r>
            <w:r w:rsidRPr="00BF7C30">
              <w:rPr>
                <w:rFonts w:cs="Arial"/>
                <w:sz w:val="18"/>
                <w:szCs w:val="18"/>
              </w:rPr>
              <w:t>2009</w:t>
            </w:r>
          </w:p>
        </w:tc>
        <w:tc>
          <w:tcPr>
            <w:tcW w:w="993" w:type="dxa"/>
            <w:vAlign w:val="center"/>
          </w:tcPr>
          <w:p w:rsidR="00705AAB" w:rsidRPr="00BF7C30" w:rsidRDefault="00705AAB" w:rsidP="00705AAB">
            <w:pPr>
              <w:jc w:val="center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05AAB" w:rsidRPr="00BF7C30" w:rsidRDefault="00705AAB" w:rsidP="00556799">
            <w:pPr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40 000 000</w:t>
            </w:r>
          </w:p>
        </w:tc>
        <w:tc>
          <w:tcPr>
            <w:tcW w:w="1559" w:type="dxa"/>
            <w:vAlign w:val="center"/>
          </w:tcPr>
          <w:p w:rsidR="00705AAB" w:rsidRPr="00BF7C30" w:rsidRDefault="00705AAB" w:rsidP="00556799">
            <w:pPr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80 000 000</w:t>
            </w:r>
          </w:p>
        </w:tc>
        <w:tc>
          <w:tcPr>
            <w:tcW w:w="1134" w:type="dxa"/>
            <w:vAlign w:val="center"/>
          </w:tcPr>
          <w:p w:rsidR="00705AAB" w:rsidRPr="00BF7C30" w:rsidRDefault="00705AAB" w:rsidP="00556799">
            <w:pPr>
              <w:jc w:val="center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2010</w:t>
            </w:r>
          </w:p>
        </w:tc>
      </w:tr>
      <w:tr w:rsidR="00705AAB" w:rsidRPr="00BF7C30" w:rsidTr="00556799">
        <w:trPr>
          <w:trHeight w:val="283"/>
          <w:jc w:val="center"/>
        </w:trPr>
        <w:tc>
          <w:tcPr>
            <w:tcW w:w="2694" w:type="dxa"/>
            <w:vAlign w:val="center"/>
          </w:tcPr>
          <w:p w:rsidR="00705AAB" w:rsidRPr="00BF7C30" w:rsidRDefault="00705AAB" w:rsidP="008470CA">
            <w:pPr>
              <w:rPr>
                <w:rFonts w:cs="Arial"/>
                <w:sz w:val="18"/>
                <w:szCs w:val="18"/>
              </w:rPr>
            </w:pPr>
            <w:proofErr w:type="spellStart"/>
            <w:r w:rsidRPr="00BF7C30">
              <w:rPr>
                <w:rFonts w:cs="Arial"/>
                <w:sz w:val="18"/>
                <w:szCs w:val="18"/>
              </w:rPr>
              <w:t>Příl</w:t>
            </w:r>
            <w:proofErr w:type="spellEnd"/>
            <w:r w:rsidRPr="00BF7C30">
              <w:rPr>
                <w:rFonts w:cs="Arial"/>
                <w:sz w:val="18"/>
                <w:szCs w:val="18"/>
              </w:rPr>
              <w:t xml:space="preserve">. </w:t>
            </w:r>
            <w:proofErr w:type="gramStart"/>
            <w:r w:rsidRPr="00BF7C30">
              <w:rPr>
                <w:rFonts w:cs="Arial"/>
                <w:sz w:val="18"/>
                <w:szCs w:val="18"/>
              </w:rPr>
              <w:t>č.</w:t>
            </w:r>
            <w:proofErr w:type="gramEnd"/>
            <w:r w:rsidRPr="00BF7C30">
              <w:rPr>
                <w:rFonts w:cs="Arial"/>
                <w:sz w:val="18"/>
                <w:szCs w:val="18"/>
              </w:rPr>
              <w:t xml:space="preserve"> 1 k čj. 772/2009-5368</w:t>
            </w:r>
          </w:p>
        </w:tc>
        <w:tc>
          <w:tcPr>
            <w:tcW w:w="1275" w:type="dxa"/>
            <w:vAlign w:val="center"/>
          </w:tcPr>
          <w:p w:rsidR="00705AAB" w:rsidRPr="00BF7C30" w:rsidRDefault="00705AAB" w:rsidP="00556799">
            <w:pPr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21.</w:t>
            </w:r>
            <w:r w:rsidR="0094007F">
              <w:rPr>
                <w:rFonts w:cs="Arial"/>
                <w:sz w:val="18"/>
                <w:szCs w:val="18"/>
              </w:rPr>
              <w:t xml:space="preserve"> </w:t>
            </w:r>
            <w:r w:rsidRPr="00BF7C30">
              <w:rPr>
                <w:rFonts w:cs="Arial"/>
                <w:sz w:val="18"/>
                <w:szCs w:val="18"/>
              </w:rPr>
              <w:t>1.</w:t>
            </w:r>
            <w:r w:rsidR="0094007F">
              <w:rPr>
                <w:rFonts w:cs="Arial"/>
                <w:sz w:val="18"/>
                <w:szCs w:val="18"/>
              </w:rPr>
              <w:t xml:space="preserve"> </w:t>
            </w:r>
            <w:r w:rsidRPr="00BF7C30">
              <w:rPr>
                <w:rFonts w:cs="Arial"/>
                <w:sz w:val="18"/>
                <w:szCs w:val="18"/>
              </w:rPr>
              <w:t>2010</w:t>
            </w:r>
          </w:p>
        </w:tc>
        <w:tc>
          <w:tcPr>
            <w:tcW w:w="993" w:type="dxa"/>
            <w:vAlign w:val="center"/>
          </w:tcPr>
          <w:p w:rsidR="00705AAB" w:rsidRPr="00BF7C30" w:rsidRDefault="00705AAB" w:rsidP="00705AAB">
            <w:pPr>
              <w:jc w:val="center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05AAB" w:rsidRPr="00BF7C30" w:rsidRDefault="00705AAB" w:rsidP="00556799">
            <w:pPr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80 000 000</w:t>
            </w:r>
          </w:p>
        </w:tc>
        <w:tc>
          <w:tcPr>
            <w:tcW w:w="1559" w:type="dxa"/>
            <w:vAlign w:val="center"/>
          </w:tcPr>
          <w:p w:rsidR="00705AAB" w:rsidRPr="00BF7C30" w:rsidRDefault="00705AAB" w:rsidP="00556799">
            <w:pPr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80 000 000</w:t>
            </w:r>
          </w:p>
        </w:tc>
        <w:tc>
          <w:tcPr>
            <w:tcW w:w="1134" w:type="dxa"/>
            <w:vAlign w:val="center"/>
          </w:tcPr>
          <w:p w:rsidR="00705AAB" w:rsidRPr="00BF7C30" w:rsidRDefault="00705AAB" w:rsidP="00556799">
            <w:pPr>
              <w:jc w:val="center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2010</w:t>
            </w:r>
          </w:p>
        </w:tc>
      </w:tr>
      <w:tr w:rsidR="00705AAB" w:rsidRPr="00BF7C30" w:rsidTr="00556799">
        <w:trPr>
          <w:trHeight w:val="283"/>
          <w:jc w:val="center"/>
        </w:trPr>
        <w:tc>
          <w:tcPr>
            <w:tcW w:w="2694" w:type="dxa"/>
            <w:vAlign w:val="center"/>
          </w:tcPr>
          <w:p w:rsidR="00705AAB" w:rsidRPr="00BF7C30" w:rsidRDefault="00705AAB" w:rsidP="00705AAB">
            <w:pPr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114-4/2010/DP-5368</w:t>
            </w:r>
          </w:p>
        </w:tc>
        <w:tc>
          <w:tcPr>
            <w:tcW w:w="1275" w:type="dxa"/>
            <w:vAlign w:val="center"/>
          </w:tcPr>
          <w:p w:rsidR="00705AAB" w:rsidRPr="00BF7C30" w:rsidRDefault="00705AAB" w:rsidP="00556799">
            <w:pPr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21.</w:t>
            </w:r>
            <w:r w:rsidR="0094007F">
              <w:rPr>
                <w:rFonts w:cs="Arial"/>
                <w:sz w:val="18"/>
                <w:szCs w:val="18"/>
              </w:rPr>
              <w:t xml:space="preserve"> </w:t>
            </w:r>
            <w:r w:rsidRPr="00BF7C30">
              <w:rPr>
                <w:rFonts w:cs="Arial"/>
                <w:sz w:val="18"/>
                <w:szCs w:val="18"/>
              </w:rPr>
              <w:t>9.</w:t>
            </w:r>
            <w:r w:rsidR="0094007F">
              <w:rPr>
                <w:rFonts w:cs="Arial"/>
                <w:sz w:val="18"/>
                <w:szCs w:val="18"/>
              </w:rPr>
              <w:t xml:space="preserve"> </w:t>
            </w:r>
            <w:r w:rsidRPr="00BF7C30">
              <w:rPr>
                <w:rFonts w:cs="Arial"/>
                <w:sz w:val="18"/>
                <w:szCs w:val="18"/>
              </w:rPr>
              <w:t>2010</w:t>
            </w:r>
          </w:p>
        </w:tc>
        <w:tc>
          <w:tcPr>
            <w:tcW w:w="993" w:type="dxa"/>
            <w:vAlign w:val="center"/>
          </w:tcPr>
          <w:p w:rsidR="00705AAB" w:rsidRPr="00BF7C30" w:rsidRDefault="00705AAB" w:rsidP="00705AAB">
            <w:pPr>
              <w:jc w:val="center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05AAB" w:rsidRPr="00BF7C30" w:rsidRDefault="00705AAB" w:rsidP="00556799">
            <w:pPr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97 777 000</w:t>
            </w:r>
          </w:p>
        </w:tc>
        <w:tc>
          <w:tcPr>
            <w:tcW w:w="1559" w:type="dxa"/>
            <w:vAlign w:val="center"/>
          </w:tcPr>
          <w:p w:rsidR="00705AAB" w:rsidRPr="00BF7C30" w:rsidRDefault="00705AAB" w:rsidP="00556799">
            <w:pPr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97 777 000</w:t>
            </w:r>
          </w:p>
        </w:tc>
        <w:tc>
          <w:tcPr>
            <w:tcW w:w="1134" w:type="dxa"/>
            <w:vAlign w:val="center"/>
          </w:tcPr>
          <w:p w:rsidR="00705AAB" w:rsidRPr="00BF7C30" w:rsidRDefault="00705AAB" w:rsidP="00556799">
            <w:pPr>
              <w:jc w:val="center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2010</w:t>
            </w:r>
          </w:p>
        </w:tc>
      </w:tr>
    </w:tbl>
    <w:p w:rsidR="00705AAB" w:rsidRPr="00BF7C30" w:rsidRDefault="00705AAB" w:rsidP="00556799">
      <w:pPr>
        <w:spacing w:before="40"/>
        <w:jc w:val="both"/>
        <w:rPr>
          <w:rFonts w:cs="Arial"/>
          <w:sz w:val="18"/>
          <w:szCs w:val="18"/>
        </w:rPr>
      </w:pPr>
      <w:r w:rsidRPr="00BF7C30">
        <w:rPr>
          <w:rFonts w:cs="Arial"/>
          <w:b/>
          <w:sz w:val="18"/>
          <w:szCs w:val="18"/>
          <w:lang w:eastAsia="en-US"/>
        </w:rPr>
        <w:t>Zdroj:</w:t>
      </w:r>
      <w:r w:rsidRPr="00BF7C30">
        <w:rPr>
          <w:rFonts w:cs="Arial"/>
          <w:sz w:val="18"/>
          <w:szCs w:val="18"/>
          <w:lang w:eastAsia="en-US"/>
        </w:rPr>
        <w:t xml:space="preserve"> MO – dokumentace </w:t>
      </w:r>
      <w:r w:rsidR="006500E9" w:rsidRPr="00BF7C30">
        <w:rPr>
          <w:rFonts w:cs="Arial"/>
          <w:sz w:val="18"/>
          <w:szCs w:val="18"/>
          <w:lang w:eastAsia="en-US"/>
        </w:rPr>
        <w:t>akce.</w:t>
      </w:r>
    </w:p>
    <w:p w:rsidR="00556799" w:rsidRDefault="00556799" w:rsidP="00556799">
      <w:pPr>
        <w:jc w:val="both"/>
        <w:rPr>
          <w:rFonts w:cs="Arial"/>
          <w:sz w:val="22"/>
          <w:szCs w:val="22"/>
        </w:rPr>
      </w:pPr>
    </w:p>
    <w:p w:rsidR="00705AAB" w:rsidRDefault="00E36FDC" w:rsidP="0055679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7C783B" w:rsidRPr="0052780A">
        <w:rPr>
          <w:rFonts w:cs="Arial"/>
          <w:sz w:val="22"/>
          <w:szCs w:val="22"/>
        </w:rPr>
        <w:t> průběhu necelého roku</w:t>
      </w:r>
      <w:r w:rsidR="00705AAB" w:rsidRPr="0052780A">
        <w:rPr>
          <w:rFonts w:cs="Arial"/>
          <w:sz w:val="22"/>
          <w:szCs w:val="22"/>
        </w:rPr>
        <w:t xml:space="preserve"> </w:t>
      </w:r>
      <w:r w:rsidRPr="00F25666">
        <w:rPr>
          <w:rFonts w:cs="Arial"/>
          <w:sz w:val="22"/>
          <w:szCs w:val="22"/>
        </w:rPr>
        <w:t xml:space="preserve">došlo </w:t>
      </w:r>
      <w:r w:rsidR="00705AAB" w:rsidRPr="0052780A">
        <w:rPr>
          <w:rFonts w:cs="Arial"/>
          <w:sz w:val="22"/>
          <w:szCs w:val="22"/>
        </w:rPr>
        <w:t xml:space="preserve">ke </w:t>
      </w:r>
      <w:r w:rsidR="007C783B" w:rsidRPr="0052780A">
        <w:rPr>
          <w:rFonts w:cs="Arial"/>
          <w:sz w:val="22"/>
          <w:szCs w:val="22"/>
        </w:rPr>
        <w:t>změnám</w:t>
      </w:r>
      <w:r w:rsidR="00705AAB" w:rsidRPr="0052780A">
        <w:rPr>
          <w:rFonts w:cs="Arial"/>
          <w:sz w:val="22"/>
          <w:szCs w:val="22"/>
        </w:rPr>
        <w:t xml:space="preserve"> specifika</w:t>
      </w:r>
      <w:r w:rsidR="00E5575A" w:rsidRPr="0052780A">
        <w:rPr>
          <w:rFonts w:cs="Arial"/>
          <w:sz w:val="22"/>
          <w:szCs w:val="22"/>
        </w:rPr>
        <w:t>ce</w:t>
      </w:r>
      <w:r w:rsidR="00FB7902">
        <w:rPr>
          <w:rFonts w:cs="Arial"/>
          <w:sz w:val="22"/>
          <w:szCs w:val="22"/>
        </w:rPr>
        <w:t xml:space="preserve"> </w:t>
      </w:r>
      <w:r w:rsidR="006A532A" w:rsidRPr="0052780A">
        <w:rPr>
          <w:rFonts w:cs="Arial"/>
          <w:sz w:val="22"/>
          <w:szCs w:val="22"/>
        </w:rPr>
        <w:t>snížením požadovaného počtu</w:t>
      </w:r>
      <w:r w:rsidR="00E5575A" w:rsidRPr="0052780A">
        <w:rPr>
          <w:rFonts w:cs="Arial"/>
          <w:sz w:val="22"/>
          <w:szCs w:val="22"/>
        </w:rPr>
        <w:t xml:space="preserve"> souprav ze dvou na jednu</w:t>
      </w:r>
      <w:r w:rsidR="00FB7902">
        <w:rPr>
          <w:rFonts w:cs="Arial"/>
          <w:sz w:val="22"/>
          <w:szCs w:val="22"/>
        </w:rPr>
        <w:t xml:space="preserve"> </w:t>
      </w:r>
      <w:r w:rsidR="00705AAB" w:rsidRPr="0052780A">
        <w:rPr>
          <w:rFonts w:cs="Arial"/>
          <w:sz w:val="22"/>
          <w:szCs w:val="22"/>
        </w:rPr>
        <w:t>i </w:t>
      </w:r>
      <w:r w:rsidR="006A532A" w:rsidRPr="0052780A">
        <w:rPr>
          <w:rFonts w:cs="Arial"/>
          <w:sz w:val="22"/>
          <w:szCs w:val="22"/>
        </w:rPr>
        <w:t>zvýšením ceny za soupravu</w:t>
      </w:r>
      <w:r w:rsidR="0052780A">
        <w:rPr>
          <w:rFonts w:cs="Arial"/>
          <w:sz w:val="22"/>
          <w:szCs w:val="22"/>
        </w:rPr>
        <w:t xml:space="preserve"> z původních 40</w:t>
      </w:r>
      <w:r w:rsidR="00E5575A" w:rsidRPr="0052780A">
        <w:rPr>
          <w:rFonts w:cs="Arial"/>
          <w:sz w:val="22"/>
          <w:szCs w:val="22"/>
        </w:rPr>
        <w:t xml:space="preserve"> mil. Kč na téměř 97,8 mil. Kč</w:t>
      </w:r>
      <w:r w:rsidR="007C783B" w:rsidRPr="0052780A">
        <w:rPr>
          <w:rFonts w:cs="Arial"/>
          <w:sz w:val="22"/>
          <w:szCs w:val="22"/>
        </w:rPr>
        <w:t xml:space="preserve"> v roce 2010</w:t>
      </w:r>
      <w:r w:rsidR="00705AAB" w:rsidRPr="0052780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F25666">
        <w:rPr>
          <w:rFonts w:cs="Arial"/>
          <w:sz w:val="22"/>
          <w:szCs w:val="22"/>
        </w:rPr>
        <w:t>Do</w:t>
      </w:r>
      <w:r w:rsidR="00E43225" w:rsidRPr="00F25666">
        <w:rPr>
          <w:rFonts w:cs="Arial"/>
          <w:sz w:val="22"/>
          <w:szCs w:val="22"/>
        </w:rPr>
        <w:t xml:space="preserve"> používání byl komplet převzat </w:t>
      </w:r>
      <w:r w:rsidRPr="00F25666">
        <w:rPr>
          <w:rFonts w:cs="Arial"/>
          <w:sz w:val="22"/>
          <w:szCs w:val="22"/>
        </w:rPr>
        <w:t>v lednu 2011.</w:t>
      </w:r>
    </w:p>
    <w:p w:rsidR="00556799" w:rsidRPr="00F25666" w:rsidRDefault="00556799" w:rsidP="00556799">
      <w:pPr>
        <w:jc w:val="both"/>
        <w:rPr>
          <w:rFonts w:cs="Arial"/>
          <w:sz w:val="22"/>
          <w:szCs w:val="22"/>
        </w:rPr>
      </w:pPr>
    </w:p>
    <w:p w:rsidR="00273315" w:rsidRDefault="00586676" w:rsidP="002352E9">
      <w:pPr>
        <w:ind w:left="567" w:hanging="567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3.4.2</w:t>
      </w:r>
      <w:r>
        <w:rPr>
          <w:rFonts w:cs="Arial"/>
          <w:b/>
          <w:sz w:val="22"/>
          <w:szCs w:val="22"/>
        </w:rPr>
        <w:tab/>
      </w:r>
      <w:r w:rsidR="00EA0B52">
        <w:rPr>
          <w:rFonts w:cs="Arial"/>
          <w:b/>
          <w:sz w:val="22"/>
          <w:szCs w:val="22"/>
        </w:rPr>
        <w:t>Akce ev. č. 107V215 0001</w:t>
      </w:r>
      <w:r w:rsidR="00EC2E79">
        <w:rPr>
          <w:rFonts w:cs="Arial"/>
          <w:b/>
          <w:sz w:val="22"/>
          <w:szCs w:val="22"/>
        </w:rPr>
        <w:t> –</w:t>
      </w:r>
      <w:r w:rsidR="00EA0B52">
        <w:rPr>
          <w:rFonts w:cs="Arial"/>
          <w:b/>
          <w:sz w:val="22"/>
          <w:szCs w:val="22"/>
        </w:rPr>
        <w:t xml:space="preserve"> </w:t>
      </w:r>
      <w:r w:rsidR="00EA0B52" w:rsidRPr="00564BC7">
        <w:rPr>
          <w:rFonts w:cs="Arial"/>
          <w:b/>
          <w:i/>
          <w:sz w:val="22"/>
          <w:szCs w:val="22"/>
        </w:rPr>
        <w:t xml:space="preserve">Víceúčelové obrněné vozidlo se speciální rušící a průzkumnou nástavbou </w:t>
      </w:r>
      <w:r w:rsidR="00F00A7D" w:rsidRPr="00564BC7">
        <w:rPr>
          <w:rFonts w:cs="Arial"/>
          <w:b/>
          <w:i/>
          <w:sz w:val="22"/>
          <w:szCs w:val="22"/>
        </w:rPr>
        <w:t>–</w:t>
      </w:r>
      <w:r w:rsidR="00EA0B52" w:rsidRPr="00564BC7">
        <w:rPr>
          <w:rFonts w:cs="Arial"/>
          <w:b/>
          <w:i/>
          <w:sz w:val="22"/>
          <w:szCs w:val="22"/>
        </w:rPr>
        <w:t xml:space="preserve"> nákup</w:t>
      </w:r>
      <w:r w:rsidR="00EA0B52">
        <w:rPr>
          <w:rFonts w:cs="Arial"/>
          <w:b/>
          <w:sz w:val="22"/>
          <w:szCs w:val="22"/>
        </w:rPr>
        <w:t xml:space="preserve"> </w:t>
      </w:r>
    </w:p>
    <w:p w:rsidR="00556799" w:rsidRDefault="00556799" w:rsidP="00556799">
      <w:pPr>
        <w:jc w:val="both"/>
        <w:rPr>
          <w:rFonts w:cs="Arial"/>
          <w:sz w:val="22"/>
          <w:szCs w:val="22"/>
        </w:rPr>
      </w:pPr>
    </w:p>
    <w:p w:rsidR="00C04745" w:rsidRDefault="00273315" w:rsidP="0055679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Podle investičního záměru z února 2010 byla </w:t>
      </w:r>
      <w:r w:rsidR="00A971C9">
        <w:rPr>
          <w:rFonts w:cs="Arial"/>
          <w:sz w:val="22"/>
          <w:szCs w:val="22"/>
        </w:rPr>
        <w:t>důvodem pořízení</w:t>
      </w:r>
      <w:r w:rsidR="000F75CE">
        <w:rPr>
          <w:rFonts w:cs="Arial"/>
          <w:sz w:val="22"/>
          <w:szCs w:val="22"/>
        </w:rPr>
        <w:t xml:space="preserve"> vozidla</w:t>
      </w:r>
      <w:r w:rsidR="00A971C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nezbytnost řešení průzkumu ve složitých horských terénech</w:t>
      </w:r>
      <w:r w:rsidR="00D52393">
        <w:rPr>
          <w:rFonts w:cs="Arial"/>
          <w:sz w:val="22"/>
          <w:szCs w:val="22"/>
        </w:rPr>
        <w:t xml:space="preserve"> zejména v zahraničních operacích</w:t>
      </w:r>
      <w:r w:rsidR="00E36FDC">
        <w:rPr>
          <w:rFonts w:cs="Arial"/>
          <w:sz w:val="22"/>
          <w:szCs w:val="22"/>
        </w:rPr>
        <w:t xml:space="preserve"> a byl z</w:t>
      </w:r>
      <w:r w:rsidR="000F75CE">
        <w:rPr>
          <w:rFonts w:cs="Arial"/>
          <w:sz w:val="22"/>
          <w:szCs w:val="22"/>
        </w:rPr>
        <w:t>ám</w:t>
      </w:r>
      <w:r w:rsidR="0052780A">
        <w:rPr>
          <w:rFonts w:cs="Arial"/>
          <w:sz w:val="22"/>
          <w:szCs w:val="22"/>
        </w:rPr>
        <w:t>ěr pořídit jedno vozidlo za 45</w:t>
      </w:r>
      <w:r w:rsidR="000F75CE">
        <w:rPr>
          <w:rFonts w:cs="Arial"/>
          <w:sz w:val="22"/>
          <w:szCs w:val="22"/>
        </w:rPr>
        <w:t xml:space="preserve"> mil. Kč</w:t>
      </w:r>
      <w:r w:rsidR="0030091B">
        <w:rPr>
          <w:rFonts w:cs="Arial"/>
          <w:sz w:val="22"/>
          <w:szCs w:val="22"/>
        </w:rPr>
        <w:t>. T</w:t>
      </w:r>
      <w:r w:rsidR="000F75CE">
        <w:rPr>
          <w:rFonts w:cs="Arial"/>
          <w:sz w:val="22"/>
          <w:szCs w:val="22"/>
        </w:rPr>
        <w:t xml:space="preserve">ermín dodání </w:t>
      </w:r>
      <w:r w:rsidR="0030091B">
        <w:rPr>
          <w:rFonts w:cs="Arial"/>
          <w:sz w:val="22"/>
          <w:szCs w:val="22"/>
        </w:rPr>
        <w:t xml:space="preserve">byl </w:t>
      </w:r>
      <w:r w:rsidR="000F75CE">
        <w:rPr>
          <w:rFonts w:cs="Arial"/>
          <w:sz w:val="22"/>
          <w:szCs w:val="22"/>
        </w:rPr>
        <w:t xml:space="preserve">do konce roku 2010. </w:t>
      </w:r>
      <w:r w:rsidR="0030091B">
        <w:rPr>
          <w:rFonts w:cs="Arial"/>
          <w:sz w:val="22"/>
          <w:szCs w:val="22"/>
        </w:rPr>
        <w:t>V </w:t>
      </w:r>
      <w:r w:rsidR="00E36FDC" w:rsidRPr="0030091B">
        <w:rPr>
          <w:rFonts w:cs="Arial"/>
          <w:sz w:val="22"/>
          <w:szCs w:val="22"/>
        </w:rPr>
        <w:t>r</w:t>
      </w:r>
      <w:r w:rsidR="00C04745" w:rsidRPr="0030091B">
        <w:rPr>
          <w:rFonts w:cs="Arial"/>
          <w:sz w:val="22"/>
          <w:szCs w:val="22"/>
        </w:rPr>
        <w:t>egistrační</w:t>
      </w:r>
      <w:r w:rsidR="00E36FDC" w:rsidRPr="0030091B">
        <w:rPr>
          <w:rFonts w:cs="Arial"/>
          <w:sz w:val="22"/>
          <w:szCs w:val="22"/>
        </w:rPr>
        <w:t>m</w:t>
      </w:r>
      <w:r w:rsidR="00C04745" w:rsidRPr="0030091B">
        <w:rPr>
          <w:rFonts w:cs="Arial"/>
          <w:sz w:val="22"/>
          <w:szCs w:val="22"/>
        </w:rPr>
        <w:t xml:space="preserve"> list</w:t>
      </w:r>
      <w:r w:rsidR="00E36FDC" w:rsidRPr="0030091B">
        <w:rPr>
          <w:rFonts w:cs="Arial"/>
          <w:sz w:val="22"/>
          <w:szCs w:val="22"/>
        </w:rPr>
        <w:t>u</w:t>
      </w:r>
      <w:r w:rsidR="0030091B">
        <w:rPr>
          <w:rFonts w:cs="Arial"/>
          <w:sz w:val="22"/>
          <w:szCs w:val="22"/>
        </w:rPr>
        <w:t xml:space="preserve">, který </w:t>
      </w:r>
      <w:r w:rsidR="00117C9C" w:rsidRPr="0030091B">
        <w:rPr>
          <w:rFonts w:cs="Arial"/>
          <w:sz w:val="22"/>
          <w:szCs w:val="22"/>
        </w:rPr>
        <w:t xml:space="preserve">MO </w:t>
      </w:r>
      <w:r w:rsidR="0030091B">
        <w:rPr>
          <w:rFonts w:cs="Arial"/>
          <w:sz w:val="22"/>
          <w:szCs w:val="22"/>
        </w:rPr>
        <w:t xml:space="preserve">vydalo </w:t>
      </w:r>
      <w:r w:rsidR="00117C9C" w:rsidRPr="0030091B">
        <w:rPr>
          <w:rFonts w:cs="Arial"/>
          <w:sz w:val="22"/>
          <w:szCs w:val="22"/>
        </w:rPr>
        <w:t>v říjnu</w:t>
      </w:r>
      <w:r w:rsidR="0052780A" w:rsidRPr="0030091B">
        <w:rPr>
          <w:rFonts w:cs="Arial"/>
          <w:sz w:val="22"/>
          <w:szCs w:val="22"/>
        </w:rPr>
        <w:t xml:space="preserve"> 2010</w:t>
      </w:r>
      <w:r w:rsidR="002812AD">
        <w:rPr>
          <w:rFonts w:cs="Arial"/>
          <w:sz w:val="22"/>
          <w:szCs w:val="22"/>
        </w:rPr>
        <w:t>,</w:t>
      </w:r>
      <w:r w:rsidR="0052780A" w:rsidRPr="0030091B">
        <w:rPr>
          <w:rFonts w:cs="Arial"/>
          <w:sz w:val="22"/>
          <w:szCs w:val="22"/>
        </w:rPr>
        <w:t xml:space="preserve"> </w:t>
      </w:r>
      <w:r w:rsidR="00E36FDC" w:rsidRPr="0030091B">
        <w:rPr>
          <w:rFonts w:cs="Arial"/>
          <w:sz w:val="22"/>
          <w:szCs w:val="22"/>
        </w:rPr>
        <w:t xml:space="preserve">byla uvedena </w:t>
      </w:r>
      <w:r w:rsidR="0052780A" w:rsidRPr="0030091B">
        <w:rPr>
          <w:rFonts w:cs="Arial"/>
          <w:sz w:val="22"/>
          <w:szCs w:val="22"/>
        </w:rPr>
        <w:t>cen</w:t>
      </w:r>
      <w:r w:rsidR="00E36FDC" w:rsidRPr="0030091B">
        <w:rPr>
          <w:rFonts w:cs="Arial"/>
          <w:sz w:val="22"/>
          <w:szCs w:val="22"/>
        </w:rPr>
        <w:t>a</w:t>
      </w:r>
      <w:r w:rsidR="0052780A" w:rsidRPr="0030091B">
        <w:rPr>
          <w:rFonts w:cs="Arial"/>
          <w:sz w:val="22"/>
          <w:szCs w:val="22"/>
        </w:rPr>
        <w:t xml:space="preserve"> 80</w:t>
      </w:r>
      <w:r w:rsidR="0055688D">
        <w:rPr>
          <w:rFonts w:cs="Arial"/>
          <w:sz w:val="22"/>
          <w:szCs w:val="22"/>
        </w:rPr>
        <w:t xml:space="preserve"> mil. Kč a </w:t>
      </w:r>
      <w:r w:rsidR="0030091B">
        <w:rPr>
          <w:rFonts w:cs="Arial"/>
          <w:sz w:val="22"/>
          <w:szCs w:val="22"/>
        </w:rPr>
        <w:t xml:space="preserve">termín </w:t>
      </w:r>
      <w:r w:rsidR="00C04745" w:rsidRPr="0030091B">
        <w:rPr>
          <w:rFonts w:cs="Arial"/>
          <w:sz w:val="22"/>
          <w:szCs w:val="22"/>
        </w:rPr>
        <w:t>d</w:t>
      </w:r>
      <w:r w:rsidR="0030091B">
        <w:rPr>
          <w:rFonts w:cs="Arial"/>
          <w:sz w:val="22"/>
          <w:szCs w:val="22"/>
        </w:rPr>
        <w:t>odání do </w:t>
      </w:r>
      <w:r w:rsidR="00DD4DBE" w:rsidRPr="0030091B">
        <w:rPr>
          <w:rFonts w:cs="Arial"/>
          <w:sz w:val="22"/>
          <w:szCs w:val="22"/>
        </w:rPr>
        <w:t>konce května 2011.</w:t>
      </w:r>
    </w:p>
    <w:p w:rsidR="00556799" w:rsidRDefault="00556799" w:rsidP="00556799">
      <w:pPr>
        <w:jc w:val="both"/>
        <w:rPr>
          <w:rFonts w:cs="Arial"/>
          <w:sz w:val="22"/>
          <w:szCs w:val="22"/>
        </w:rPr>
      </w:pPr>
    </w:p>
    <w:p w:rsidR="00564BC7" w:rsidRDefault="00564BC7" w:rsidP="00556799">
      <w:pPr>
        <w:jc w:val="both"/>
        <w:rPr>
          <w:rFonts w:cs="Arial"/>
          <w:sz w:val="22"/>
          <w:szCs w:val="22"/>
        </w:rPr>
      </w:pPr>
    </w:p>
    <w:p w:rsidR="00564BC7" w:rsidRPr="0030091B" w:rsidRDefault="00564BC7" w:rsidP="00556799">
      <w:pPr>
        <w:jc w:val="both"/>
        <w:rPr>
          <w:rFonts w:cs="Arial"/>
          <w:sz w:val="22"/>
          <w:szCs w:val="22"/>
        </w:rPr>
      </w:pPr>
    </w:p>
    <w:p w:rsidR="000F1B47" w:rsidRPr="0052780A" w:rsidRDefault="00A21684" w:rsidP="00556799">
      <w:pPr>
        <w:spacing w:after="40"/>
        <w:rPr>
          <w:rFonts w:cs="Arial"/>
          <w:sz w:val="22"/>
          <w:szCs w:val="22"/>
        </w:rPr>
      </w:pPr>
      <w:r w:rsidRPr="0052780A">
        <w:rPr>
          <w:rFonts w:cs="Arial"/>
          <w:b/>
          <w:sz w:val="22"/>
          <w:szCs w:val="22"/>
        </w:rPr>
        <w:t xml:space="preserve">Tabulka č. 6 </w:t>
      </w:r>
      <w:r w:rsidR="00893688">
        <w:rPr>
          <w:rFonts w:cs="Arial"/>
          <w:b/>
          <w:sz w:val="22"/>
          <w:szCs w:val="22"/>
        </w:rPr>
        <w:t>–</w:t>
      </w:r>
      <w:r w:rsidRPr="0052780A">
        <w:rPr>
          <w:rFonts w:cs="Arial"/>
          <w:b/>
          <w:sz w:val="22"/>
          <w:szCs w:val="22"/>
        </w:rPr>
        <w:t xml:space="preserve"> </w:t>
      </w:r>
      <w:r w:rsidR="000F1B47" w:rsidRPr="0052780A">
        <w:rPr>
          <w:rFonts w:cs="Arial"/>
          <w:b/>
          <w:sz w:val="22"/>
          <w:szCs w:val="22"/>
        </w:rPr>
        <w:t>Porovnání původní a konečné specifikace</w:t>
      </w:r>
    </w:p>
    <w:tbl>
      <w:tblPr>
        <w:tblStyle w:val="Mkatabulky"/>
        <w:tblW w:w="9072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992"/>
        <w:gridCol w:w="1701"/>
        <w:gridCol w:w="1559"/>
        <w:gridCol w:w="1134"/>
      </w:tblGrid>
      <w:tr w:rsidR="000F1B47" w:rsidRPr="00BF7C30" w:rsidTr="00556799">
        <w:trPr>
          <w:trHeight w:val="283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F1B47" w:rsidRPr="00BF7C30" w:rsidRDefault="000F1B47" w:rsidP="00B14CF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7C30">
              <w:rPr>
                <w:rFonts w:cs="Arial"/>
                <w:b/>
                <w:sz w:val="18"/>
                <w:szCs w:val="18"/>
              </w:rPr>
              <w:lastRenderedPageBreak/>
              <w:t>Specifikace čj.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F1B47" w:rsidRPr="00BF7C30" w:rsidRDefault="000F1B47" w:rsidP="0055679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7C30">
              <w:rPr>
                <w:rFonts w:cs="Arial"/>
                <w:b/>
                <w:sz w:val="18"/>
                <w:szCs w:val="18"/>
              </w:rPr>
              <w:t>Datum schválení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F1B47" w:rsidRPr="00BF7C30" w:rsidRDefault="000F1B47" w:rsidP="0055679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7C30">
              <w:rPr>
                <w:rFonts w:cs="Arial"/>
                <w:b/>
                <w:sz w:val="18"/>
                <w:szCs w:val="18"/>
              </w:rPr>
              <w:t>Počet souprav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F1B47" w:rsidRPr="00BF7C30" w:rsidRDefault="000F1B47" w:rsidP="0055679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7C30">
              <w:rPr>
                <w:rFonts w:cs="Arial"/>
                <w:b/>
                <w:sz w:val="18"/>
                <w:szCs w:val="18"/>
              </w:rPr>
              <w:t>Cena za soupravu (max.)</w:t>
            </w:r>
            <w:r w:rsidR="00BE194E" w:rsidRPr="00BF7C30">
              <w:rPr>
                <w:rFonts w:cs="Arial"/>
                <w:b/>
                <w:sz w:val="18"/>
                <w:szCs w:val="18"/>
              </w:rPr>
              <w:t xml:space="preserve"> /v Kč/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F1B47" w:rsidRPr="00BF7C30" w:rsidRDefault="000F1B47" w:rsidP="0055679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7C30">
              <w:rPr>
                <w:rFonts w:cs="Arial"/>
                <w:b/>
                <w:sz w:val="18"/>
                <w:szCs w:val="18"/>
              </w:rPr>
              <w:t>Celková cena</w:t>
            </w:r>
            <w:r w:rsidR="00556799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F7C30">
              <w:rPr>
                <w:rFonts w:cs="Arial"/>
                <w:b/>
                <w:sz w:val="18"/>
                <w:szCs w:val="18"/>
              </w:rPr>
              <w:t>(max.)</w:t>
            </w:r>
            <w:r w:rsidR="00BE194E" w:rsidRPr="00BF7C30">
              <w:rPr>
                <w:rFonts w:cs="Arial"/>
                <w:b/>
                <w:sz w:val="18"/>
                <w:szCs w:val="18"/>
              </w:rPr>
              <w:t xml:space="preserve"> /v Kč/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F1B47" w:rsidRPr="00BF7C30" w:rsidRDefault="000F1B47" w:rsidP="0055679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7C30">
              <w:rPr>
                <w:rFonts w:cs="Arial"/>
                <w:b/>
                <w:sz w:val="18"/>
                <w:szCs w:val="18"/>
              </w:rPr>
              <w:t>Termín dodávek</w:t>
            </w:r>
          </w:p>
        </w:tc>
      </w:tr>
      <w:tr w:rsidR="000F1B47" w:rsidRPr="00BF7C30" w:rsidTr="00556799">
        <w:trPr>
          <w:trHeight w:val="283"/>
          <w:jc w:val="center"/>
        </w:trPr>
        <w:tc>
          <w:tcPr>
            <w:tcW w:w="2410" w:type="dxa"/>
            <w:vAlign w:val="center"/>
          </w:tcPr>
          <w:p w:rsidR="000F1B47" w:rsidRPr="00BF7C30" w:rsidRDefault="000F1B47" w:rsidP="000F1B47">
            <w:pPr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2438-1/2010/DP-5888</w:t>
            </w:r>
          </w:p>
        </w:tc>
        <w:tc>
          <w:tcPr>
            <w:tcW w:w="1276" w:type="dxa"/>
            <w:vAlign w:val="center"/>
          </w:tcPr>
          <w:p w:rsidR="000F1B47" w:rsidRPr="00BF7C30" w:rsidRDefault="000F1B47" w:rsidP="00556799">
            <w:pPr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18.</w:t>
            </w:r>
            <w:r w:rsidR="00B14CFC">
              <w:rPr>
                <w:rFonts w:cs="Arial"/>
                <w:sz w:val="18"/>
                <w:szCs w:val="18"/>
              </w:rPr>
              <w:t> </w:t>
            </w:r>
            <w:r w:rsidRPr="00BF7C30">
              <w:rPr>
                <w:rFonts w:cs="Arial"/>
                <w:sz w:val="18"/>
                <w:szCs w:val="18"/>
              </w:rPr>
              <w:t>2.</w:t>
            </w:r>
            <w:r w:rsidR="00B14CFC">
              <w:rPr>
                <w:rFonts w:cs="Arial"/>
                <w:sz w:val="18"/>
                <w:szCs w:val="18"/>
              </w:rPr>
              <w:t> </w:t>
            </w:r>
            <w:r w:rsidRPr="00BF7C30">
              <w:rPr>
                <w:rFonts w:cs="Arial"/>
                <w:sz w:val="18"/>
                <w:szCs w:val="18"/>
              </w:rPr>
              <w:t>2010</w:t>
            </w:r>
          </w:p>
        </w:tc>
        <w:tc>
          <w:tcPr>
            <w:tcW w:w="992" w:type="dxa"/>
            <w:vAlign w:val="center"/>
          </w:tcPr>
          <w:p w:rsidR="000F1B47" w:rsidRPr="00BF7C30" w:rsidRDefault="000F1B47" w:rsidP="000F1B47">
            <w:pPr>
              <w:jc w:val="center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0F1B47" w:rsidRPr="00BF7C30" w:rsidRDefault="000F1B47" w:rsidP="00556799">
            <w:pPr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45 000 000</w:t>
            </w:r>
          </w:p>
        </w:tc>
        <w:tc>
          <w:tcPr>
            <w:tcW w:w="1559" w:type="dxa"/>
            <w:vAlign w:val="center"/>
          </w:tcPr>
          <w:p w:rsidR="000F1B47" w:rsidRPr="00BF7C30" w:rsidRDefault="000F1B47" w:rsidP="00556799">
            <w:pPr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45 000 000</w:t>
            </w:r>
          </w:p>
        </w:tc>
        <w:tc>
          <w:tcPr>
            <w:tcW w:w="1134" w:type="dxa"/>
            <w:vAlign w:val="center"/>
          </w:tcPr>
          <w:p w:rsidR="000F1B47" w:rsidRPr="00BF7C30" w:rsidRDefault="00DC5DBB" w:rsidP="00556799">
            <w:pPr>
              <w:jc w:val="center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2011</w:t>
            </w:r>
          </w:p>
        </w:tc>
      </w:tr>
      <w:tr w:rsidR="000F1B47" w:rsidRPr="00BF7C30" w:rsidTr="00556799">
        <w:trPr>
          <w:trHeight w:val="283"/>
          <w:jc w:val="center"/>
        </w:trPr>
        <w:tc>
          <w:tcPr>
            <w:tcW w:w="2410" w:type="dxa"/>
            <w:vAlign w:val="center"/>
          </w:tcPr>
          <w:p w:rsidR="000F1B47" w:rsidRPr="00BF7C30" w:rsidRDefault="000F1B47" w:rsidP="000F1B47">
            <w:pPr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2438-3/2010/DP-5888</w:t>
            </w:r>
          </w:p>
        </w:tc>
        <w:tc>
          <w:tcPr>
            <w:tcW w:w="1276" w:type="dxa"/>
            <w:vAlign w:val="center"/>
          </w:tcPr>
          <w:p w:rsidR="000F1B47" w:rsidRPr="00BF7C30" w:rsidRDefault="000F1B47" w:rsidP="00556799">
            <w:pPr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29.</w:t>
            </w:r>
            <w:r w:rsidR="00B14CFC">
              <w:rPr>
                <w:rFonts w:cs="Arial"/>
                <w:sz w:val="18"/>
                <w:szCs w:val="18"/>
              </w:rPr>
              <w:t> </w:t>
            </w:r>
            <w:r w:rsidRPr="00BF7C30">
              <w:rPr>
                <w:rFonts w:cs="Arial"/>
                <w:sz w:val="18"/>
                <w:szCs w:val="18"/>
              </w:rPr>
              <w:t>3.</w:t>
            </w:r>
            <w:r w:rsidR="00B14CFC">
              <w:rPr>
                <w:rFonts w:cs="Arial"/>
                <w:sz w:val="18"/>
                <w:szCs w:val="18"/>
              </w:rPr>
              <w:t> </w:t>
            </w:r>
            <w:r w:rsidRPr="00BF7C30">
              <w:rPr>
                <w:rFonts w:cs="Arial"/>
                <w:sz w:val="18"/>
                <w:szCs w:val="18"/>
              </w:rPr>
              <w:t>2010</w:t>
            </w:r>
          </w:p>
        </w:tc>
        <w:tc>
          <w:tcPr>
            <w:tcW w:w="992" w:type="dxa"/>
            <w:vAlign w:val="center"/>
          </w:tcPr>
          <w:p w:rsidR="000F1B47" w:rsidRPr="00BF7C30" w:rsidRDefault="000F1B47" w:rsidP="000F1B47">
            <w:pPr>
              <w:jc w:val="center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0F1B47" w:rsidRPr="00BF7C30" w:rsidRDefault="00DC5DBB" w:rsidP="00556799">
            <w:pPr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45</w:t>
            </w:r>
            <w:r w:rsidR="000F1B47" w:rsidRPr="00BF7C30">
              <w:rPr>
                <w:rFonts w:cs="Arial"/>
                <w:sz w:val="18"/>
                <w:szCs w:val="18"/>
              </w:rPr>
              <w:t> 000 000</w:t>
            </w:r>
          </w:p>
        </w:tc>
        <w:tc>
          <w:tcPr>
            <w:tcW w:w="1559" w:type="dxa"/>
            <w:vAlign w:val="center"/>
          </w:tcPr>
          <w:p w:rsidR="000F1B47" w:rsidRPr="00BF7C30" w:rsidRDefault="00DC5DBB" w:rsidP="00556799">
            <w:pPr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45</w:t>
            </w:r>
            <w:r w:rsidR="000F1B47" w:rsidRPr="00BF7C30">
              <w:rPr>
                <w:rFonts w:cs="Arial"/>
                <w:sz w:val="18"/>
                <w:szCs w:val="18"/>
              </w:rPr>
              <w:t> 000 000</w:t>
            </w:r>
          </w:p>
        </w:tc>
        <w:tc>
          <w:tcPr>
            <w:tcW w:w="1134" w:type="dxa"/>
            <w:vAlign w:val="center"/>
          </w:tcPr>
          <w:p w:rsidR="000F1B47" w:rsidRPr="00BF7C30" w:rsidRDefault="00DC5DBB" w:rsidP="00556799">
            <w:pPr>
              <w:jc w:val="center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2011</w:t>
            </w:r>
          </w:p>
        </w:tc>
      </w:tr>
      <w:tr w:rsidR="000F1B47" w:rsidRPr="00BF7C30" w:rsidTr="00556799">
        <w:trPr>
          <w:trHeight w:val="283"/>
          <w:jc w:val="center"/>
        </w:trPr>
        <w:tc>
          <w:tcPr>
            <w:tcW w:w="2410" w:type="dxa"/>
            <w:vAlign w:val="center"/>
          </w:tcPr>
          <w:p w:rsidR="000F1B47" w:rsidRPr="00BF7C30" w:rsidRDefault="00DC5DBB" w:rsidP="000F1B47">
            <w:pPr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2509-29/2010/DP-5888</w:t>
            </w:r>
          </w:p>
        </w:tc>
        <w:tc>
          <w:tcPr>
            <w:tcW w:w="1276" w:type="dxa"/>
            <w:vAlign w:val="center"/>
          </w:tcPr>
          <w:p w:rsidR="000F1B47" w:rsidRPr="00BF7C30" w:rsidRDefault="00DC5DBB" w:rsidP="00556799">
            <w:pPr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12.</w:t>
            </w:r>
            <w:r w:rsidR="00B14CFC">
              <w:rPr>
                <w:rFonts w:cs="Arial"/>
                <w:sz w:val="18"/>
                <w:szCs w:val="18"/>
              </w:rPr>
              <w:t> </w:t>
            </w:r>
            <w:r w:rsidRPr="00BF7C30">
              <w:rPr>
                <w:rFonts w:cs="Arial"/>
                <w:sz w:val="18"/>
                <w:szCs w:val="18"/>
              </w:rPr>
              <w:t>1.</w:t>
            </w:r>
            <w:r w:rsidR="00B14CFC">
              <w:rPr>
                <w:rFonts w:cs="Arial"/>
                <w:sz w:val="18"/>
                <w:szCs w:val="18"/>
              </w:rPr>
              <w:t> </w:t>
            </w:r>
            <w:r w:rsidRPr="00BF7C30">
              <w:rPr>
                <w:rFonts w:cs="Arial"/>
                <w:sz w:val="18"/>
                <w:szCs w:val="18"/>
              </w:rPr>
              <w:t>2011</w:t>
            </w:r>
          </w:p>
        </w:tc>
        <w:tc>
          <w:tcPr>
            <w:tcW w:w="992" w:type="dxa"/>
            <w:vAlign w:val="center"/>
          </w:tcPr>
          <w:p w:rsidR="000F1B47" w:rsidRPr="00BF7C30" w:rsidRDefault="000F1B47" w:rsidP="000F1B47">
            <w:pPr>
              <w:jc w:val="center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0F1B47" w:rsidRPr="00BF7C30" w:rsidRDefault="00DC5DBB" w:rsidP="00556799">
            <w:pPr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82 000 000</w:t>
            </w:r>
          </w:p>
        </w:tc>
        <w:tc>
          <w:tcPr>
            <w:tcW w:w="1559" w:type="dxa"/>
            <w:vAlign w:val="center"/>
          </w:tcPr>
          <w:p w:rsidR="000F1B47" w:rsidRPr="00BF7C30" w:rsidRDefault="00DC5DBB" w:rsidP="00556799">
            <w:pPr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82 000 000</w:t>
            </w:r>
          </w:p>
        </w:tc>
        <w:tc>
          <w:tcPr>
            <w:tcW w:w="1134" w:type="dxa"/>
            <w:vAlign w:val="center"/>
          </w:tcPr>
          <w:p w:rsidR="000F1B47" w:rsidRPr="00BF7C30" w:rsidRDefault="00DC5DBB" w:rsidP="00556799">
            <w:pPr>
              <w:jc w:val="center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2011</w:t>
            </w:r>
          </w:p>
        </w:tc>
      </w:tr>
      <w:tr w:rsidR="00DC5DBB" w:rsidRPr="00BF7C30" w:rsidTr="00556799">
        <w:trPr>
          <w:trHeight w:val="283"/>
          <w:jc w:val="center"/>
        </w:trPr>
        <w:tc>
          <w:tcPr>
            <w:tcW w:w="2410" w:type="dxa"/>
            <w:vAlign w:val="center"/>
          </w:tcPr>
          <w:p w:rsidR="00DC5DBB" w:rsidRPr="00BF7C30" w:rsidRDefault="00DC5DBB" w:rsidP="000F1B47">
            <w:pPr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2438-42/2010/DP-5888</w:t>
            </w:r>
          </w:p>
        </w:tc>
        <w:tc>
          <w:tcPr>
            <w:tcW w:w="1276" w:type="dxa"/>
            <w:vAlign w:val="center"/>
          </w:tcPr>
          <w:p w:rsidR="00DC5DBB" w:rsidRPr="00BF7C30" w:rsidRDefault="00FF0065" w:rsidP="00556799">
            <w:pPr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29.</w:t>
            </w:r>
            <w:r w:rsidR="00B14CFC">
              <w:rPr>
                <w:rFonts w:cs="Arial"/>
                <w:sz w:val="18"/>
                <w:szCs w:val="18"/>
              </w:rPr>
              <w:t> </w:t>
            </w:r>
            <w:r w:rsidRPr="00BF7C30">
              <w:rPr>
                <w:rFonts w:cs="Arial"/>
                <w:sz w:val="18"/>
                <w:szCs w:val="18"/>
              </w:rPr>
              <w:t>11.</w:t>
            </w:r>
            <w:r w:rsidR="00B14CFC">
              <w:rPr>
                <w:rFonts w:cs="Arial"/>
                <w:sz w:val="18"/>
                <w:szCs w:val="18"/>
              </w:rPr>
              <w:t> </w:t>
            </w:r>
            <w:r w:rsidRPr="00BF7C30">
              <w:rPr>
                <w:rFonts w:cs="Arial"/>
                <w:sz w:val="18"/>
                <w:szCs w:val="18"/>
              </w:rPr>
              <w:t>2011</w:t>
            </w:r>
          </w:p>
        </w:tc>
        <w:tc>
          <w:tcPr>
            <w:tcW w:w="992" w:type="dxa"/>
            <w:vAlign w:val="center"/>
          </w:tcPr>
          <w:p w:rsidR="00DC5DBB" w:rsidRPr="00BF7C30" w:rsidRDefault="00FF0065" w:rsidP="000F1B47">
            <w:pPr>
              <w:jc w:val="center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C5DBB" w:rsidRPr="00BF7C30" w:rsidRDefault="00FF0065" w:rsidP="00556799">
            <w:pPr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79 651 200</w:t>
            </w:r>
          </w:p>
        </w:tc>
        <w:tc>
          <w:tcPr>
            <w:tcW w:w="1559" w:type="dxa"/>
            <w:vAlign w:val="center"/>
          </w:tcPr>
          <w:p w:rsidR="00DC5DBB" w:rsidRPr="00BF7C30" w:rsidRDefault="00FF0065" w:rsidP="00556799">
            <w:pPr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80 000 000</w:t>
            </w:r>
          </w:p>
        </w:tc>
        <w:tc>
          <w:tcPr>
            <w:tcW w:w="1134" w:type="dxa"/>
            <w:vAlign w:val="center"/>
          </w:tcPr>
          <w:p w:rsidR="00DC5DBB" w:rsidRPr="00BF7C30" w:rsidRDefault="00FF0065" w:rsidP="00556799">
            <w:pPr>
              <w:jc w:val="center"/>
              <w:rPr>
                <w:rFonts w:cs="Arial"/>
                <w:sz w:val="18"/>
                <w:szCs w:val="18"/>
              </w:rPr>
            </w:pPr>
            <w:r w:rsidRPr="00BF7C30">
              <w:rPr>
                <w:rFonts w:cs="Arial"/>
                <w:sz w:val="18"/>
                <w:szCs w:val="18"/>
              </w:rPr>
              <w:t>2011</w:t>
            </w:r>
          </w:p>
        </w:tc>
      </w:tr>
    </w:tbl>
    <w:p w:rsidR="000F1B47" w:rsidRPr="00BF7C30" w:rsidRDefault="000F1B47" w:rsidP="00556799">
      <w:pPr>
        <w:spacing w:before="40"/>
        <w:jc w:val="both"/>
        <w:rPr>
          <w:rFonts w:cs="Arial"/>
          <w:sz w:val="18"/>
          <w:szCs w:val="18"/>
        </w:rPr>
      </w:pPr>
      <w:r w:rsidRPr="00BF7C30">
        <w:rPr>
          <w:rFonts w:cs="Arial"/>
          <w:b/>
          <w:sz w:val="18"/>
          <w:szCs w:val="18"/>
          <w:lang w:eastAsia="en-US"/>
        </w:rPr>
        <w:t>Zdroj</w:t>
      </w:r>
      <w:r w:rsidRPr="008470CA">
        <w:rPr>
          <w:rFonts w:cs="Arial"/>
          <w:b/>
          <w:sz w:val="18"/>
          <w:szCs w:val="18"/>
          <w:lang w:eastAsia="en-US"/>
        </w:rPr>
        <w:t>:</w:t>
      </w:r>
      <w:r w:rsidRPr="00BF7C30">
        <w:rPr>
          <w:rFonts w:cs="Arial"/>
          <w:sz w:val="18"/>
          <w:szCs w:val="18"/>
          <w:lang w:eastAsia="en-US"/>
        </w:rPr>
        <w:t xml:space="preserve"> MO – dokumentace </w:t>
      </w:r>
      <w:r w:rsidR="00BB4862" w:rsidRPr="00BF7C30">
        <w:rPr>
          <w:rFonts w:cs="Arial"/>
          <w:sz w:val="18"/>
          <w:szCs w:val="18"/>
          <w:lang w:eastAsia="en-US"/>
        </w:rPr>
        <w:t>akce.</w:t>
      </w:r>
    </w:p>
    <w:p w:rsidR="00556799" w:rsidRDefault="00556799" w:rsidP="00556799">
      <w:pPr>
        <w:jc w:val="both"/>
        <w:rPr>
          <w:rFonts w:cs="Arial"/>
          <w:sz w:val="22"/>
          <w:szCs w:val="22"/>
        </w:rPr>
      </w:pPr>
    </w:p>
    <w:p w:rsidR="000F75CE" w:rsidRDefault="00C04745" w:rsidP="00556799">
      <w:pPr>
        <w:jc w:val="both"/>
        <w:rPr>
          <w:rFonts w:cs="Arial"/>
          <w:sz w:val="22"/>
          <w:szCs w:val="22"/>
        </w:rPr>
      </w:pPr>
      <w:r w:rsidRPr="00556799">
        <w:rPr>
          <w:rFonts w:cs="Arial"/>
          <w:sz w:val="22"/>
          <w:szCs w:val="22"/>
        </w:rPr>
        <w:t xml:space="preserve">MO zakázku </w:t>
      </w:r>
      <w:r w:rsidR="00B14CFC" w:rsidRPr="00556799">
        <w:rPr>
          <w:rFonts w:cs="Arial"/>
          <w:sz w:val="22"/>
          <w:szCs w:val="22"/>
        </w:rPr>
        <w:t xml:space="preserve">zadalo </w:t>
      </w:r>
      <w:r w:rsidRPr="00556799">
        <w:rPr>
          <w:rFonts w:cs="Arial"/>
          <w:sz w:val="22"/>
          <w:szCs w:val="22"/>
        </w:rPr>
        <w:t xml:space="preserve">VOP Šternberk </w:t>
      </w:r>
      <w:r w:rsidR="008707E1" w:rsidRPr="00556799">
        <w:rPr>
          <w:rFonts w:cs="Arial"/>
          <w:sz w:val="22"/>
          <w:szCs w:val="22"/>
        </w:rPr>
        <w:t>ze stejných důvodů jako v</w:t>
      </w:r>
      <w:r w:rsidR="000F75CE" w:rsidRPr="00556799">
        <w:rPr>
          <w:rFonts w:cs="Arial"/>
          <w:sz w:val="22"/>
          <w:szCs w:val="22"/>
        </w:rPr>
        <w:t xml:space="preserve"> </w:t>
      </w:r>
      <w:r w:rsidR="008707E1" w:rsidRPr="00556799">
        <w:rPr>
          <w:rFonts w:cs="Arial"/>
          <w:sz w:val="22"/>
          <w:szCs w:val="22"/>
        </w:rPr>
        <w:t>předchozím případě</w:t>
      </w:r>
      <w:r w:rsidR="00A21684" w:rsidRPr="00556799">
        <w:rPr>
          <w:rFonts w:cs="Arial"/>
          <w:sz w:val="22"/>
          <w:szCs w:val="22"/>
          <w:vertAlign w:val="superscript"/>
        </w:rPr>
        <w:t>1</w:t>
      </w:r>
      <w:r w:rsidR="00596621" w:rsidRPr="00556799">
        <w:rPr>
          <w:rFonts w:cs="Arial"/>
          <w:sz w:val="22"/>
          <w:szCs w:val="22"/>
          <w:vertAlign w:val="superscript"/>
        </w:rPr>
        <w:t>9</w:t>
      </w:r>
      <w:r w:rsidR="00DF4EB4" w:rsidRPr="00556799">
        <w:rPr>
          <w:rFonts w:cs="Arial"/>
          <w:sz w:val="22"/>
          <w:szCs w:val="22"/>
        </w:rPr>
        <w:t>.</w:t>
      </w:r>
      <w:r w:rsidR="003F6E37" w:rsidRPr="00556799">
        <w:rPr>
          <w:rFonts w:cs="Arial"/>
          <w:sz w:val="22"/>
          <w:szCs w:val="22"/>
        </w:rPr>
        <w:t xml:space="preserve"> </w:t>
      </w:r>
      <w:r w:rsidR="007C783B" w:rsidRPr="00556799">
        <w:rPr>
          <w:rFonts w:cs="Arial"/>
          <w:sz w:val="22"/>
          <w:szCs w:val="22"/>
        </w:rPr>
        <w:t xml:space="preserve">Ve zdůvodnění </w:t>
      </w:r>
      <w:r w:rsidR="000F75CE" w:rsidRPr="00556799">
        <w:rPr>
          <w:rFonts w:cs="Arial"/>
          <w:sz w:val="22"/>
          <w:szCs w:val="22"/>
        </w:rPr>
        <w:t xml:space="preserve">uvedlo, že pořízení vozidla má </w:t>
      </w:r>
      <w:r w:rsidR="00D52393" w:rsidRPr="00556799">
        <w:rPr>
          <w:rFonts w:cs="Arial"/>
          <w:sz w:val="22"/>
          <w:szCs w:val="22"/>
        </w:rPr>
        <w:t xml:space="preserve">technickou návaznost na výše uvedené pořízení mobilního kompletu. </w:t>
      </w:r>
      <w:r w:rsidR="00B14CFC">
        <w:rPr>
          <w:rFonts w:cs="Arial"/>
          <w:sz w:val="22"/>
          <w:szCs w:val="22"/>
        </w:rPr>
        <w:t>V</w:t>
      </w:r>
      <w:r w:rsidR="00B14CFC" w:rsidRPr="00556799">
        <w:rPr>
          <w:rFonts w:cs="Arial"/>
          <w:sz w:val="22"/>
          <w:szCs w:val="22"/>
        </w:rPr>
        <w:t xml:space="preserve"> listopadu 2010 </w:t>
      </w:r>
      <w:r w:rsidR="000F75CE" w:rsidRPr="00556799">
        <w:rPr>
          <w:rFonts w:cs="Arial"/>
          <w:sz w:val="22"/>
          <w:szCs w:val="22"/>
        </w:rPr>
        <w:t xml:space="preserve">MO vyzvalo </w:t>
      </w:r>
      <w:r w:rsidR="00B14CFC" w:rsidRPr="00556799">
        <w:rPr>
          <w:rFonts w:cs="Arial"/>
          <w:sz w:val="22"/>
          <w:szCs w:val="22"/>
        </w:rPr>
        <w:t xml:space="preserve">k podání nabídky </w:t>
      </w:r>
      <w:r w:rsidR="00DF4EB4" w:rsidRPr="00556799">
        <w:rPr>
          <w:rFonts w:cs="Arial"/>
          <w:sz w:val="22"/>
          <w:szCs w:val="22"/>
        </w:rPr>
        <w:t>VOP Šternberk, který ještě v témže</w:t>
      </w:r>
      <w:r w:rsidR="003164E1" w:rsidRPr="00556799">
        <w:rPr>
          <w:rFonts w:cs="Arial"/>
          <w:sz w:val="22"/>
          <w:szCs w:val="22"/>
        </w:rPr>
        <w:t xml:space="preserve"> </w:t>
      </w:r>
      <w:r w:rsidR="00DF4EB4" w:rsidRPr="00556799">
        <w:rPr>
          <w:rFonts w:cs="Arial"/>
          <w:sz w:val="22"/>
          <w:szCs w:val="22"/>
        </w:rPr>
        <w:t xml:space="preserve">měsíci </w:t>
      </w:r>
      <w:r w:rsidR="00FB1260" w:rsidRPr="00556799">
        <w:rPr>
          <w:rFonts w:cs="Arial"/>
          <w:sz w:val="22"/>
          <w:szCs w:val="22"/>
        </w:rPr>
        <w:t xml:space="preserve">předložil nabídku </w:t>
      </w:r>
      <w:r w:rsidR="0052780A" w:rsidRPr="00556799">
        <w:rPr>
          <w:rFonts w:cs="Arial"/>
          <w:sz w:val="22"/>
          <w:szCs w:val="22"/>
        </w:rPr>
        <w:t>s cenou 80</w:t>
      </w:r>
      <w:r w:rsidR="000F75CE" w:rsidRPr="00556799">
        <w:rPr>
          <w:rFonts w:cs="Arial"/>
          <w:sz w:val="22"/>
          <w:szCs w:val="22"/>
        </w:rPr>
        <w:t xml:space="preserve"> mil. Kč. </w:t>
      </w:r>
      <w:r w:rsidRPr="00556799">
        <w:rPr>
          <w:rFonts w:cs="Arial"/>
          <w:sz w:val="22"/>
          <w:szCs w:val="22"/>
        </w:rPr>
        <w:t xml:space="preserve">Nabídka však nesplňovala některé požadavky </w:t>
      </w:r>
      <w:r w:rsidR="009B46CD" w:rsidRPr="00556799">
        <w:rPr>
          <w:rFonts w:cs="Arial"/>
          <w:sz w:val="22"/>
          <w:szCs w:val="22"/>
        </w:rPr>
        <w:t xml:space="preserve">uvedené ve </w:t>
      </w:r>
      <w:r w:rsidRPr="00556799">
        <w:rPr>
          <w:rFonts w:cs="Arial"/>
          <w:sz w:val="22"/>
          <w:szCs w:val="22"/>
        </w:rPr>
        <w:t>specifikaci a</w:t>
      </w:r>
      <w:r w:rsidR="00F30B2D">
        <w:rPr>
          <w:rFonts w:cs="Arial"/>
          <w:sz w:val="22"/>
          <w:szCs w:val="22"/>
        </w:rPr>
        <w:t> </w:t>
      </w:r>
      <w:r w:rsidRPr="00556799">
        <w:rPr>
          <w:rFonts w:cs="Arial"/>
          <w:sz w:val="22"/>
          <w:szCs w:val="22"/>
        </w:rPr>
        <w:t>byla přijata až po řadě jednání v únoru 2011. V červnu 20</w:t>
      </w:r>
      <w:r w:rsidR="00FB7902" w:rsidRPr="00556799">
        <w:rPr>
          <w:rFonts w:cs="Arial"/>
          <w:sz w:val="22"/>
          <w:szCs w:val="22"/>
        </w:rPr>
        <w:t>1</w:t>
      </w:r>
      <w:r w:rsidRPr="00556799">
        <w:rPr>
          <w:rFonts w:cs="Arial"/>
          <w:sz w:val="22"/>
          <w:szCs w:val="22"/>
        </w:rPr>
        <w:t xml:space="preserve">1 </w:t>
      </w:r>
      <w:r w:rsidR="00117C9C" w:rsidRPr="00556799">
        <w:rPr>
          <w:rFonts w:cs="Arial"/>
          <w:sz w:val="22"/>
          <w:szCs w:val="22"/>
        </w:rPr>
        <w:t xml:space="preserve">MO </w:t>
      </w:r>
      <w:r w:rsidR="0055688D">
        <w:rPr>
          <w:rFonts w:cs="Arial"/>
          <w:sz w:val="22"/>
          <w:szCs w:val="22"/>
        </w:rPr>
        <w:t>vydalo</w:t>
      </w:r>
      <w:r w:rsidRPr="00556799">
        <w:rPr>
          <w:rFonts w:cs="Arial"/>
          <w:sz w:val="22"/>
          <w:szCs w:val="22"/>
        </w:rPr>
        <w:t xml:space="preserve"> nový regi</w:t>
      </w:r>
      <w:r w:rsidR="00117C9C" w:rsidRPr="00556799">
        <w:rPr>
          <w:rFonts w:cs="Arial"/>
          <w:sz w:val="22"/>
          <w:szCs w:val="22"/>
        </w:rPr>
        <w:t xml:space="preserve">strační list se stejnou </w:t>
      </w:r>
      <w:r w:rsidR="00FB7902" w:rsidRPr="00556799">
        <w:rPr>
          <w:rFonts w:cs="Arial"/>
          <w:sz w:val="22"/>
          <w:szCs w:val="22"/>
        </w:rPr>
        <w:t xml:space="preserve">částkou </w:t>
      </w:r>
      <w:r w:rsidR="00117C9C" w:rsidRPr="00556799">
        <w:rPr>
          <w:rFonts w:cs="Arial"/>
          <w:sz w:val="22"/>
          <w:szCs w:val="22"/>
        </w:rPr>
        <w:t>a </w:t>
      </w:r>
      <w:r w:rsidR="00FD6CF5" w:rsidRPr="00556799">
        <w:rPr>
          <w:rFonts w:cs="Arial"/>
          <w:sz w:val="22"/>
          <w:szCs w:val="22"/>
        </w:rPr>
        <w:t>termínem dodání v prosinci </w:t>
      </w:r>
      <w:r w:rsidRPr="00556799">
        <w:rPr>
          <w:rFonts w:cs="Arial"/>
          <w:sz w:val="22"/>
          <w:szCs w:val="22"/>
        </w:rPr>
        <w:t>2011.</w:t>
      </w:r>
    </w:p>
    <w:p w:rsidR="00556799" w:rsidRPr="00556799" w:rsidRDefault="00556799" w:rsidP="00556799">
      <w:pPr>
        <w:jc w:val="both"/>
        <w:rPr>
          <w:rFonts w:cs="Arial"/>
          <w:sz w:val="22"/>
          <w:szCs w:val="22"/>
        </w:rPr>
      </w:pPr>
    </w:p>
    <w:p w:rsidR="00622C3E" w:rsidRDefault="00622C3E" w:rsidP="00556799">
      <w:pPr>
        <w:jc w:val="both"/>
        <w:rPr>
          <w:rFonts w:cs="Arial"/>
          <w:sz w:val="22"/>
          <w:szCs w:val="22"/>
        </w:rPr>
      </w:pPr>
      <w:r w:rsidRPr="00556799">
        <w:rPr>
          <w:rFonts w:cs="Arial"/>
          <w:sz w:val="22"/>
          <w:szCs w:val="22"/>
        </w:rPr>
        <w:t xml:space="preserve">V červenci 2011 byla uzavřena smlouva s cenou 79,6 mil. Kč a dobou plnění prosinec 2011. V průběhu </w:t>
      </w:r>
      <w:r w:rsidR="0055688D">
        <w:rPr>
          <w:rFonts w:cs="Arial"/>
          <w:sz w:val="22"/>
          <w:szCs w:val="22"/>
        </w:rPr>
        <w:t>pořizování</w:t>
      </w:r>
      <w:r w:rsidRPr="00556799">
        <w:rPr>
          <w:rFonts w:cs="Arial"/>
          <w:sz w:val="22"/>
          <w:szCs w:val="22"/>
        </w:rPr>
        <w:t xml:space="preserve"> byly velmi často měněny specifikace, protože podobné vozidlo nebylo doposud v České republice vyrobeno. Vojskové zkoušky byly u</w:t>
      </w:r>
      <w:r w:rsidR="00F5651C" w:rsidRPr="00556799">
        <w:rPr>
          <w:rFonts w:cs="Arial"/>
          <w:sz w:val="22"/>
          <w:szCs w:val="22"/>
        </w:rPr>
        <w:t>končeny</w:t>
      </w:r>
      <w:r w:rsidRPr="00556799">
        <w:rPr>
          <w:rFonts w:cs="Arial"/>
          <w:sz w:val="22"/>
          <w:szCs w:val="22"/>
        </w:rPr>
        <w:t xml:space="preserve"> v prosinci 2011 a vozidlo bylo v termínu dodáno. Vzhledem ke změně vojenskopolitické situace nebylo doposud do zahraničních misí zařazeno a je využíváno pro výcvik specialistů.</w:t>
      </w:r>
    </w:p>
    <w:p w:rsidR="00556799" w:rsidRPr="00556799" w:rsidRDefault="00556799" w:rsidP="00556799">
      <w:pPr>
        <w:jc w:val="both"/>
        <w:rPr>
          <w:rFonts w:cs="Arial"/>
          <w:sz w:val="22"/>
          <w:szCs w:val="22"/>
        </w:rPr>
      </w:pPr>
    </w:p>
    <w:p w:rsidR="00D52393" w:rsidRPr="00556799" w:rsidRDefault="00752666" w:rsidP="00556799">
      <w:pPr>
        <w:jc w:val="both"/>
        <w:rPr>
          <w:rFonts w:cs="Arial"/>
          <w:sz w:val="22"/>
          <w:szCs w:val="22"/>
        </w:rPr>
      </w:pPr>
      <w:r w:rsidRPr="00556799">
        <w:rPr>
          <w:rFonts w:cs="Arial"/>
          <w:b/>
          <w:sz w:val="22"/>
          <w:szCs w:val="22"/>
        </w:rPr>
        <w:t>3.4.3</w:t>
      </w:r>
      <w:r w:rsidR="00EA0B52" w:rsidRPr="00556799">
        <w:rPr>
          <w:rFonts w:cs="Arial"/>
          <w:b/>
          <w:sz w:val="22"/>
          <w:szCs w:val="22"/>
        </w:rPr>
        <w:t xml:space="preserve"> Akce ev. č. 107V215 1004</w:t>
      </w:r>
      <w:r w:rsidR="00EC2E79">
        <w:rPr>
          <w:rFonts w:cs="Arial"/>
          <w:b/>
          <w:sz w:val="22"/>
          <w:szCs w:val="22"/>
        </w:rPr>
        <w:t> –</w:t>
      </w:r>
      <w:r w:rsidR="00EA0B52" w:rsidRPr="00556799">
        <w:rPr>
          <w:rFonts w:cs="Arial"/>
          <w:b/>
          <w:sz w:val="22"/>
          <w:szCs w:val="22"/>
        </w:rPr>
        <w:t xml:space="preserve"> </w:t>
      </w:r>
      <w:r w:rsidR="00EA0B52" w:rsidRPr="00564BC7">
        <w:rPr>
          <w:rFonts w:cs="Arial"/>
          <w:b/>
          <w:i/>
          <w:sz w:val="22"/>
          <w:szCs w:val="22"/>
        </w:rPr>
        <w:t xml:space="preserve">Lehké obrněné vozidlo zdravotnické </w:t>
      </w:r>
      <w:r w:rsidR="00811897" w:rsidRPr="00564BC7">
        <w:rPr>
          <w:rFonts w:cs="Arial"/>
          <w:b/>
          <w:i/>
          <w:sz w:val="22"/>
          <w:szCs w:val="22"/>
        </w:rPr>
        <w:t>–</w:t>
      </w:r>
      <w:r w:rsidR="00EA0B52" w:rsidRPr="00564BC7">
        <w:rPr>
          <w:rFonts w:cs="Arial"/>
          <w:b/>
          <w:i/>
          <w:sz w:val="22"/>
          <w:szCs w:val="22"/>
        </w:rPr>
        <w:t xml:space="preserve"> nákup</w:t>
      </w:r>
    </w:p>
    <w:p w:rsidR="00556799" w:rsidRDefault="00556799" w:rsidP="00556799">
      <w:pPr>
        <w:jc w:val="both"/>
        <w:rPr>
          <w:rFonts w:cs="Arial"/>
          <w:sz w:val="22"/>
          <w:szCs w:val="22"/>
        </w:rPr>
      </w:pPr>
    </w:p>
    <w:p w:rsidR="00865C1D" w:rsidRDefault="00D52393" w:rsidP="00556799">
      <w:pPr>
        <w:jc w:val="both"/>
        <w:rPr>
          <w:rFonts w:cs="Arial"/>
          <w:sz w:val="22"/>
          <w:szCs w:val="22"/>
        </w:rPr>
      </w:pPr>
      <w:r w:rsidRPr="00556799">
        <w:rPr>
          <w:rFonts w:cs="Arial"/>
          <w:sz w:val="22"/>
          <w:szCs w:val="22"/>
        </w:rPr>
        <w:t>D</w:t>
      </w:r>
      <w:r w:rsidR="0011637A" w:rsidRPr="00556799">
        <w:rPr>
          <w:rFonts w:cs="Arial"/>
          <w:sz w:val="22"/>
          <w:szCs w:val="22"/>
        </w:rPr>
        <w:t xml:space="preserve">ůvodem pořízení </w:t>
      </w:r>
      <w:r w:rsidR="00EA0B52" w:rsidRPr="00556799">
        <w:rPr>
          <w:rFonts w:cs="Arial"/>
          <w:sz w:val="22"/>
          <w:szCs w:val="22"/>
        </w:rPr>
        <w:t xml:space="preserve">lehkých obrněných </w:t>
      </w:r>
      <w:r w:rsidR="00FB1260" w:rsidRPr="00556799">
        <w:rPr>
          <w:rFonts w:cs="Arial"/>
          <w:sz w:val="22"/>
          <w:szCs w:val="22"/>
        </w:rPr>
        <w:t>zdravotnických vozidel</w:t>
      </w:r>
      <w:r w:rsidR="00EA0B52" w:rsidRPr="00556799">
        <w:rPr>
          <w:rStyle w:val="Znakapoznpodarou"/>
          <w:rFonts w:cs="Arial"/>
          <w:sz w:val="22"/>
          <w:szCs w:val="22"/>
        </w:rPr>
        <w:footnoteReference w:id="19"/>
      </w:r>
      <w:r w:rsidR="00FB1260" w:rsidRPr="00556799">
        <w:rPr>
          <w:rFonts w:cs="Arial"/>
          <w:sz w:val="22"/>
          <w:szCs w:val="22"/>
        </w:rPr>
        <w:t xml:space="preserve"> </w:t>
      </w:r>
      <w:r w:rsidR="0011637A" w:rsidRPr="00556799">
        <w:rPr>
          <w:rFonts w:cs="Arial"/>
          <w:sz w:val="22"/>
          <w:szCs w:val="22"/>
        </w:rPr>
        <w:t>bylo zabezp</w:t>
      </w:r>
      <w:r w:rsidR="00FB1260" w:rsidRPr="00556799">
        <w:rPr>
          <w:rFonts w:cs="Arial"/>
          <w:sz w:val="22"/>
          <w:szCs w:val="22"/>
        </w:rPr>
        <w:t>ečení systému odsunu raněných a </w:t>
      </w:r>
      <w:r w:rsidR="0011637A" w:rsidRPr="00556799">
        <w:rPr>
          <w:rFonts w:cs="Arial"/>
          <w:sz w:val="22"/>
          <w:szCs w:val="22"/>
        </w:rPr>
        <w:t>nemocných v polních podmínkách, protože ve výzbroji AČR nebyla obrněná sanitní vozidla. V investičním záměru z března 2010 byl</w:t>
      </w:r>
      <w:r w:rsidR="00AE4C45" w:rsidRPr="00556799">
        <w:rPr>
          <w:rFonts w:cs="Arial"/>
          <w:sz w:val="22"/>
          <w:szCs w:val="22"/>
        </w:rPr>
        <w:t>a</w:t>
      </w:r>
      <w:r w:rsidR="0011637A" w:rsidRPr="00556799">
        <w:rPr>
          <w:rFonts w:cs="Arial"/>
          <w:sz w:val="22"/>
          <w:szCs w:val="22"/>
        </w:rPr>
        <w:t xml:space="preserve"> uveden</w:t>
      </w:r>
      <w:r w:rsidR="00AE4C45" w:rsidRPr="00556799">
        <w:rPr>
          <w:rFonts w:cs="Arial"/>
          <w:sz w:val="22"/>
          <w:szCs w:val="22"/>
        </w:rPr>
        <w:t>a</w:t>
      </w:r>
      <w:r w:rsidR="0011637A" w:rsidRPr="00556799">
        <w:rPr>
          <w:rFonts w:cs="Arial"/>
          <w:sz w:val="22"/>
          <w:szCs w:val="22"/>
        </w:rPr>
        <w:t xml:space="preserve"> cena</w:t>
      </w:r>
      <w:r w:rsidR="00556799">
        <w:rPr>
          <w:rFonts w:cs="Arial"/>
          <w:sz w:val="22"/>
          <w:szCs w:val="22"/>
        </w:rPr>
        <w:t xml:space="preserve"> za tři vozidla do 102 mil. Kč.</w:t>
      </w:r>
    </w:p>
    <w:p w:rsidR="00556799" w:rsidRPr="00556799" w:rsidRDefault="00556799" w:rsidP="00556799">
      <w:pPr>
        <w:jc w:val="both"/>
        <w:rPr>
          <w:rFonts w:cs="Arial"/>
          <w:sz w:val="22"/>
          <w:szCs w:val="22"/>
        </w:rPr>
      </w:pPr>
    </w:p>
    <w:p w:rsidR="00FB1260" w:rsidRDefault="007A56B2" w:rsidP="00556799">
      <w:pPr>
        <w:jc w:val="both"/>
        <w:rPr>
          <w:rFonts w:cs="Arial"/>
          <w:sz w:val="22"/>
          <w:szCs w:val="22"/>
        </w:rPr>
      </w:pPr>
      <w:r w:rsidRPr="00556799">
        <w:rPr>
          <w:rFonts w:cs="Arial"/>
          <w:sz w:val="22"/>
          <w:szCs w:val="22"/>
        </w:rPr>
        <w:t xml:space="preserve">MO při zadávacím řízení </w:t>
      </w:r>
      <w:r w:rsidR="0011637A" w:rsidRPr="00556799">
        <w:rPr>
          <w:rFonts w:cs="Arial"/>
          <w:sz w:val="22"/>
          <w:szCs w:val="22"/>
        </w:rPr>
        <w:t xml:space="preserve">postupovalo </w:t>
      </w:r>
      <w:r w:rsidRPr="00556799">
        <w:rPr>
          <w:rFonts w:cs="Arial"/>
          <w:sz w:val="22"/>
          <w:szCs w:val="22"/>
        </w:rPr>
        <w:t xml:space="preserve">mimo režim </w:t>
      </w:r>
      <w:r w:rsidR="0011637A" w:rsidRPr="00556799">
        <w:rPr>
          <w:rFonts w:cs="Arial"/>
          <w:sz w:val="22"/>
          <w:szCs w:val="22"/>
        </w:rPr>
        <w:t>zákona o veřejných zakázkách (</w:t>
      </w:r>
      <w:r w:rsidR="00865C1D" w:rsidRPr="00556799">
        <w:rPr>
          <w:rFonts w:cs="Arial"/>
          <w:sz w:val="22"/>
          <w:szCs w:val="22"/>
        </w:rPr>
        <w:t>zajištění obrany</w:t>
      </w:r>
      <w:r w:rsidR="0011637A" w:rsidRPr="00556799">
        <w:rPr>
          <w:rFonts w:cs="Arial"/>
          <w:sz w:val="22"/>
          <w:szCs w:val="22"/>
        </w:rPr>
        <w:t xml:space="preserve"> státu)</w:t>
      </w:r>
      <w:r w:rsidR="004152F2" w:rsidRPr="00556799">
        <w:rPr>
          <w:rStyle w:val="Znakapoznpodarou"/>
          <w:rFonts w:cs="Arial"/>
          <w:sz w:val="22"/>
          <w:szCs w:val="22"/>
        </w:rPr>
        <w:footnoteReference w:id="20"/>
      </w:r>
      <w:r w:rsidR="0011637A" w:rsidRPr="00556799">
        <w:rPr>
          <w:rFonts w:cs="Arial"/>
          <w:sz w:val="22"/>
          <w:szCs w:val="22"/>
        </w:rPr>
        <w:t xml:space="preserve"> a zakázku zadalo v dubnu 2010 postupem přiměřeným jednacímu řízení bez uveřejnění jediné firmě, která měla jako zprostředkovatel nákup zajistit. </w:t>
      </w:r>
      <w:r w:rsidR="004752A2" w:rsidRPr="00556799">
        <w:rPr>
          <w:rFonts w:cs="Arial"/>
          <w:sz w:val="22"/>
          <w:szCs w:val="22"/>
        </w:rPr>
        <w:t xml:space="preserve">MO zdůvodnilo požadavek na pořízení konkrétního vozidla </w:t>
      </w:r>
      <w:r w:rsidR="00DF4EB4" w:rsidRPr="00556799">
        <w:rPr>
          <w:rFonts w:cs="Arial"/>
          <w:sz w:val="22"/>
          <w:szCs w:val="22"/>
        </w:rPr>
        <w:t>tí</w:t>
      </w:r>
      <w:r w:rsidR="004752A2" w:rsidRPr="00556799">
        <w:rPr>
          <w:rFonts w:cs="Arial"/>
          <w:sz w:val="22"/>
          <w:szCs w:val="22"/>
        </w:rPr>
        <w:t xml:space="preserve">m, </w:t>
      </w:r>
      <w:r w:rsidR="00FB1260" w:rsidRPr="00556799">
        <w:rPr>
          <w:rFonts w:cs="Arial"/>
          <w:sz w:val="22"/>
          <w:szCs w:val="22"/>
        </w:rPr>
        <w:t xml:space="preserve">že podvozek vybraného vozidla je shodný s podvozky bojových vozidel již </w:t>
      </w:r>
      <w:r w:rsidR="00DE5AB3">
        <w:rPr>
          <w:rFonts w:cs="Arial"/>
          <w:sz w:val="22"/>
          <w:szCs w:val="22"/>
        </w:rPr>
        <w:t>užívaných</w:t>
      </w:r>
      <w:r w:rsidR="00FB1260" w:rsidRPr="00556799">
        <w:rPr>
          <w:rFonts w:cs="Arial"/>
          <w:sz w:val="22"/>
          <w:szCs w:val="22"/>
        </w:rPr>
        <w:t xml:space="preserve"> </w:t>
      </w:r>
      <w:r w:rsidR="00B44B98" w:rsidRPr="00556799">
        <w:rPr>
          <w:rFonts w:cs="Arial"/>
          <w:sz w:val="22"/>
          <w:szCs w:val="22"/>
        </w:rPr>
        <w:t>v</w:t>
      </w:r>
      <w:r w:rsidR="00FB1260" w:rsidRPr="00556799">
        <w:rPr>
          <w:rFonts w:cs="Arial"/>
          <w:sz w:val="22"/>
          <w:szCs w:val="22"/>
        </w:rPr>
        <w:t xml:space="preserve"> AČR, čímž se zjednodušuje logistické zabezpečení a</w:t>
      </w:r>
      <w:r w:rsidR="00B14CFC">
        <w:rPr>
          <w:rFonts w:cs="Arial"/>
          <w:sz w:val="22"/>
          <w:szCs w:val="22"/>
        </w:rPr>
        <w:t> zajišťuje</w:t>
      </w:r>
      <w:r w:rsidR="00FB1260" w:rsidRPr="00556799">
        <w:rPr>
          <w:rFonts w:cs="Arial"/>
          <w:sz w:val="22"/>
          <w:szCs w:val="22"/>
        </w:rPr>
        <w:t xml:space="preserve"> kompatibilita techniky v zahraničních misích</w:t>
      </w:r>
      <w:r w:rsidR="004678AC" w:rsidRPr="00556799">
        <w:rPr>
          <w:rFonts w:cs="Arial"/>
          <w:sz w:val="22"/>
          <w:szCs w:val="22"/>
        </w:rPr>
        <w:t xml:space="preserve">. Potenciální dodavatel předložil potvrzení, že je výhradním zástupcem </w:t>
      </w:r>
      <w:r w:rsidR="0093384B" w:rsidRPr="00556799">
        <w:rPr>
          <w:rFonts w:cs="Arial"/>
          <w:sz w:val="22"/>
          <w:szCs w:val="22"/>
        </w:rPr>
        <w:t xml:space="preserve">výrobce </w:t>
      </w:r>
      <w:r w:rsidR="0052780A" w:rsidRPr="00556799">
        <w:rPr>
          <w:rFonts w:cs="Arial"/>
          <w:sz w:val="22"/>
          <w:szCs w:val="22"/>
        </w:rPr>
        <w:t>pro</w:t>
      </w:r>
      <w:r w:rsidR="004678AC" w:rsidRPr="00556799">
        <w:rPr>
          <w:rFonts w:cs="Arial"/>
          <w:sz w:val="22"/>
          <w:szCs w:val="22"/>
        </w:rPr>
        <w:t xml:space="preserve"> ČR</w:t>
      </w:r>
      <w:r w:rsidR="00FB1260" w:rsidRPr="00556799">
        <w:rPr>
          <w:rFonts w:cs="Arial"/>
          <w:sz w:val="22"/>
          <w:szCs w:val="22"/>
        </w:rPr>
        <w:t>.</w:t>
      </w:r>
    </w:p>
    <w:p w:rsidR="00556799" w:rsidRPr="00556799" w:rsidRDefault="00556799" w:rsidP="00556799">
      <w:pPr>
        <w:jc w:val="both"/>
        <w:rPr>
          <w:rFonts w:cs="Arial"/>
          <w:sz w:val="22"/>
          <w:szCs w:val="22"/>
        </w:rPr>
      </w:pPr>
    </w:p>
    <w:p w:rsidR="00B3083C" w:rsidRDefault="00FB1260" w:rsidP="00556799">
      <w:pPr>
        <w:jc w:val="both"/>
        <w:rPr>
          <w:rFonts w:cs="Arial"/>
          <w:sz w:val="22"/>
          <w:szCs w:val="22"/>
        </w:rPr>
      </w:pPr>
      <w:r w:rsidRPr="00556799">
        <w:rPr>
          <w:rFonts w:cs="Arial"/>
          <w:sz w:val="22"/>
          <w:szCs w:val="22"/>
        </w:rPr>
        <w:t xml:space="preserve">Registrační list </w:t>
      </w:r>
      <w:r w:rsidR="00865C1D" w:rsidRPr="00556799">
        <w:rPr>
          <w:rFonts w:cs="Arial"/>
          <w:sz w:val="22"/>
          <w:szCs w:val="22"/>
        </w:rPr>
        <w:t>MO</w:t>
      </w:r>
      <w:r w:rsidR="00DE5AB3">
        <w:rPr>
          <w:rFonts w:cs="Arial"/>
          <w:sz w:val="22"/>
          <w:szCs w:val="22"/>
        </w:rPr>
        <w:t xml:space="preserve"> vydalo</w:t>
      </w:r>
      <w:r w:rsidR="003B2EC4" w:rsidRPr="00556799">
        <w:rPr>
          <w:rFonts w:cs="Arial"/>
          <w:sz w:val="22"/>
          <w:szCs w:val="22"/>
        </w:rPr>
        <w:t xml:space="preserve"> v březnu 2010 s parametry 102 mil. Kč za nákup tří vozidel a termínem do</w:t>
      </w:r>
      <w:r w:rsidR="006430CF" w:rsidRPr="00556799">
        <w:rPr>
          <w:rFonts w:cs="Arial"/>
          <w:sz w:val="22"/>
          <w:szCs w:val="22"/>
        </w:rPr>
        <w:t>dání</w:t>
      </w:r>
      <w:r w:rsidR="00650918" w:rsidRPr="00556799">
        <w:rPr>
          <w:rFonts w:cs="Arial"/>
          <w:sz w:val="22"/>
          <w:szCs w:val="22"/>
        </w:rPr>
        <w:t xml:space="preserve"> v </w:t>
      </w:r>
      <w:r w:rsidR="003B2EC4" w:rsidRPr="00556799">
        <w:rPr>
          <w:rFonts w:cs="Arial"/>
          <w:sz w:val="22"/>
          <w:szCs w:val="22"/>
        </w:rPr>
        <w:t>září 2010. MO</w:t>
      </w:r>
      <w:r w:rsidR="00865C1D" w:rsidRPr="00556799">
        <w:rPr>
          <w:rFonts w:cs="Arial"/>
          <w:sz w:val="22"/>
          <w:szCs w:val="22"/>
        </w:rPr>
        <w:t xml:space="preserve"> v dubnu 2010 zaslalo zprostředkovateli výzvu k jednání. Zprostředkovatel prokázal splnění kvalifikace </w:t>
      </w:r>
      <w:r w:rsidR="00A3344C" w:rsidRPr="00556799">
        <w:rPr>
          <w:rFonts w:cs="Arial"/>
          <w:sz w:val="22"/>
          <w:szCs w:val="22"/>
        </w:rPr>
        <w:t xml:space="preserve">a </w:t>
      </w:r>
      <w:r w:rsidR="00865C1D" w:rsidRPr="00556799">
        <w:rPr>
          <w:rFonts w:cs="Arial"/>
          <w:sz w:val="22"/>
          <w:szCs w:val="22"/>
        </w:rPr>
        <w:t xml:space="preserve">předložil nabídku ve výši </w:t>
      </w:r>
      <w:r w:rsidR="00DE5AB3">
        <w:rPr>
          <w:rFonts w:cs="Arial"/>
          <w:sz w:val="22"/>
          <w:szCs w:val="22"/>
        </w:rPr>
        <w:t>101,8 mil. </w:t>
      </w:r>
      <w:r w:rsidR="0011637A" w:rsidRPr="00556799">
        <w:rPr>
          <w:rFonts w:cs="Arial"/>
          <w:sz w:val="22"/>
          <w:szCs w:val="22"/>
        </w:rPr>
        <w:t xml:space="preserve">Kč. </w:t>
      </w:r>
      <w:r w:rsidR="006D7C51" w:rsidRPr="00556799">
        <w:rPr>
          <w:rFonts w:cs="Arial"/>
          <w:sz w:val="22"/>
          <w:szCs w:val="22"/>
        </w:rPr>
        <w:t>V květnu 2010 byla uzavřena smlouva. Termín dodání dvou vozidel byl stanoven na říjen 2010 a třetího vozidla na prosinec 2010. Vozidla byla př</w:t>
      </w:r>
      <w:r w:rsidR="00B3083C" w:rsidRPr="00556799">
        <w:rPr>
          <w:rFonts w:cs="Arial"/>
          <w:sz w:val="22"/>
          <w:szCs w:val="22"/>
        </w:rPr>
        <w:t>edána ve stanovených termínech</w:t>
      </w:r>
      <w:r w:rsidR="00FB7902" w:rsidRPr="00556799">
        <w:rPr>
          <w:rFonts w:cs="Arial"/>
          <w:sz w:val="22"/>
          <w:szCs w:val="22"/>
        </w:rPr>
        <w:t xml:space="preserve">. Dvě </w:t>
      </w:r>
      <w:r w:rsidR="00B3083C" w:rsidRPr="00556799">
        <w:rPr>
          <w:rFonts w:cs="Arial"/>
          <w:sz w:val="22"/>
          <w:szCs w:val="22"/>
        </w:rPr>
        <w:t xml:space="preserve">z nich </w:t>
      </w:r>
      <w:r w:rsidR="007E255B" w:rsidRPr="00556799">
        <w:rPr>
          <w:rFonts w:cs="Arial"/>
          <w:sz w:val="22"/>
          <w:szCs w:val="22"/>
        </w:rPr>
        <w:t>j</w:t>
      </w:r>
      <w:r w:rsidR="006D7C51" w:rsidRPr="00556799">
        <w:rPr>
          <w:rFonts w:cs="Arial"/>
          <w:sz w:val="22"/>
          <w:szCs w:val="22"/>
        </w:rPr>
        <w:t xml:space="preserve">sou využívána </w:t>
      </w:r>
      <w:r w:rsidR="00744769" w:rsidRPr="00556799">
        <w:rPr>
          <w:rFonts w:cs="Arial"/>
          <w:sz w:val="22"/>
          <w:szCs w:val="22"/>
        </w:rPr>
        <w:t>v</w:t>
      </w:r>
      <w:r w:rsidR="006D7C51" w:rsidRPr="00556799">
        <w:rPr>
          <w:rFonts w:cs="Arial"/>
          <w:sz w:val="22"/>
          <w:szCs w:val="22"/>
        </w:rPr>
        <w:t xml:space="preserve"> </w:t>
      </w:r>
      <w:r w:rsidR="00556799">
        <w:rPr>
          <w:rFonts w:cs="Arial"/>
          <w:sz w:val="22"/>
          <w:szCs w:val="22"/>
        </w:rPr>
        <w:t>zahraniční misi v Afghánistánu.</w:t>
      </w:r>
    </w:p>
    <w:p w:rsidR="00556799" w:rsidRPr="00556799" w:rsidRDefault="00556799" w:rsidP="00556799">
      <w:pPr>
        <w:jc w:val="both"/>
        <w:rPr>
          <w:rFonts w:cs="Arial"/>
          <w:sz w:val="22"/>
          <w:szCs w:val="22"/>
        </w:rPr>
      </w:pPr>
    </w:p>
    <w:p w:rsidR="006D7C51" w:rsidRPr="00556799" w:rsidRDefault="00752666" w:rsidP="00556799">
      <w:pPr>
        <w:jc w:val="both"/>
        <w:rPr>
          <w:rFonts w:cs="Arial"/>
          <w:sz w:val="22"/>
          <w:szCs w:val="22"/>
        </w:rPr>
      </w:pPr>
      <w:r w:rsidRPr="00556799">
        <w:rPr>
          <w:rFonts w:cs="Arial"/>
          <w:b/>
          <w:sz w:val="22"/>
          <w:szCs w:val="22"/>
        </w:rPr>
        <w:t>3.4.4</w:t>
      </w:r>
      <w:r w:rsidR="00E42AFD" w:rsidRPr="00556799">
        <w:rPr>
          <w:rFonts w:cs="Arial"/>
          <w:b/>
          <w:sz w:val="22"/>
          <w:szCs w:val="22"/>
        </w:rPr>
        <w:t xml:space="preserve"> Akce ev. č. 107V215 1006</w:t>
      </w:r>
      <w:r w:rsidR="00DE5AB3">
        <w:rPr>
          <w:rFonts w:cs="Arial"/>
          <w:b/>
          <w:sz w:val="22"/>
          <w:szCs w:val="22"/>
        </w:rPr>
        <w:t> –</w:t>
      </w:r>
      <w:r w:rsidR="00E42AFD" w:rsidRPr="00556799">
        <w:rPr>
          <w:rFonts w:cs="Arial"/>
          <w:b/>
          <w:sz w:val="22"/>
          <w:szCs w:val="22"/>
        </w:rPr>
        <w:t xml:space="preserve"> </w:t>
      </w:r>
      <w:r w:rsidR="00E42AFD" w:rsidRPr="00564BC7">
        <w:rPr>
          <w:rFonts w:cs="Arial"/>
          <w:b/>
          <w:i/>
          <w:sz w:val="22"/>
          <w:szCs w:val="22"/>
        </w:rPr>
        <w:t>Automobil LRD – nákup – 2. etapa</w:t>
      </w:r>
    </w:p>
    <w:p w:rsidR="00556799" w:rsidRDefault="00556799" w:rsidP="00556799">
      <w:pPr>
        <w:jc w:val="both"/>
        <w:rPr>
          <w:rFonts w:cs="Arial"/>
          <w:sz w:val="22"/>
          <w:szCs w:val="22"/>
        </w:rPr>
      </w:pPr>
    </w:p>
    <w:p w:rsidR="00A3344C" w:rsidRDefault="00290FFD" w:rsidP="00556799">
      <w:pPr>
        <w:jc w:val="both"/>
        <w:rPr>
          <w:rFonts w:cs="Arial"/>
          <w:sz w:val="22"/>
          <w:szCs w:val="22"/>
        </w:rPr>
      </w:pPr>
      <w:r w:rsidRPr="00556799">
        <w:rPr>
          <w:rFonts w:cs="Arial"/>
          <w:sz w:val="22"/>
          <w:szCs w:val="22"/>
        </w:rPr>
        <w:t>N</w:t>
      </w:r>
      <w:r w:rsidR="006D7C51" w:rsidRPr="00556799">
        <w:rPr>
          <w:rFonts w:cs="Arial"/>
          <w:sz w:val="22"/>
          <w:szCs w:val="22"/>
        </w:rPr>
        <w:t>ákup byl</w:t>
      </w:r>
      <w:r w:rsidRPr="00556799">
        <w:rPr>
          <w:rFonts w:cs="Arial"/>
          <w:sz w:val="22"/>
          <w:szCs w:val="22"/>
        </w:rPr>
        <w:t xml:space="preserve"> odůvodněn po</w:t>
      </w:r>
      <w:r w:rsidR="006D7C51" w:rsidRPr="00556799">
        <w:rPr>
          <w:rFonts w:cs="Arial"/>
          <w:sz w:val="22"/>
          <w:szCs w:val="22"/>
        </w:rPr>
        <w:t>třeb</w:t>
      </w:r>
      <w:r w:rsidRPr="00556799">
        <w:rPr>
          <w:rFonts w:cs="Arial"/>
          <w:sz w:val="22"/>
          <w:szCs w:val="22"/>
        </w:rPr>
        <w:t>ou</w:t>
      </w:r>
      <w:r w:rsidR="006D7C51" w:rsidRPr="00556799">
        <w:rPr>
          <w:rFonts w:cs="Arial"/>
          <w:sz w:val="22"/>
          <w:szCs w:val="22"/>
        </w:rPr>
        <w:t xml:space="preserve"> vybavit jednotky AČR moderními prostředky radioelektronického boje</w:t>
      </w:r>
      <w:r w:rsidR="00A3344C" w:rsidRPr="00556799">
        <w:rPr>
          <w:rFonts w:cs="Arial"/>
          <w:sz w:val="22"/>
          <w:szCs w:val="22"/>
        </w:rPr>
        <w:t>, doplnit výzbroj jednotek nasazovaných v zahraničních operacích a zvýšit interoperabilitu s NATO. V investičním záměru z března 2010 bylo mj. uvedeno, že se v podmínkách Afghánistánu prokázalo, že stávající palebná ochrana je nedostatečná</w:t>
      </w:r>
      <w:r w:rsidR="00DE5AB3">
        <w:rPr>
          <w:rFonts w:cs="Arial"/>
          <w:sz w:val="22"/>
          <w:szCs w:val="22"/>
        </w:rPr>
        <w:t>,</w:t>
      </w:r>
      <w:r w:rsidR="00A3344C" w:rsidRPr="00556799">
        <w:rPr>
          <w:rFonts w:cs="Arial"/>
          <w:sz w:val="22"/>
          <w:szCs w:val="22"/>
        </w:rPr>
        <w:t xml:space="preserve"> a prodlení v pořízení těchto vozidel v jejich předpokládaných počtech je závažné. Nasazení </w:t>
      </w:r>
      <w:r w:rsidR="00A3344C" w:rsidRPr="00556799">
        <w:rPr>
          <w:rFonts w:cs="Arial"/>
          <w:sz w:val="22"/>
          <w:szCs w:val="22"/>
        </w:rPr>
        <w:lastRenderedPageBreak/>
        <w:t xml:space="preserve">sil bylo plánováno již v průběhu roku 2010. Byla zde </w:t>
      </w:r>
      <w:r w:rsidR="006D7C51" w:rsidRPr="00556799">
        <w:rPr>
          <w:rFonts w:cs="Arial"/>
          <w:sz w:val="22"/>
          <w:szCs w:val="22"/>
        </w:rPr>
        <w:t>uveden</w:t>
      </w:r>
      <w:r w:rsidR="00BA4F40" w:rsidRPr="00556799">
        <w:rPr>
          <w:rFonts w:cs="Arial"/>
          <w:sz w:val="22"/>
          <w:szCs w:val="22"/>
        </w:rPr>
        <w:t xml:space="preserve">a potřeba 18 automobilů </w:t>
      </w:r>
      <w:r w:rsidR="00E42AFD" w:rsidRPr="00556799">
        <w:rPr>
          <w:rFonts w:cs="Arial"/>
          <w:sz w:val="22"/>
          <w:szCs w:val="22"/>
        </w:rPr>
        <w:t xml:space="preserve">Land Rover </w:t>
      </w:r>
      <w:proofErr w:type="spellStart"/>
      <w:r w:rsidR="00E42AFD" w:rsidRPr="00556799">
        <w:rPr>
          <w:rFonts w:cs="Arial"/>
          <w:sz w:val="22"/>
          <w:szCs w:val="22"/>
        </w:rPr>
        <w:t>Defender</w:t>
      </w:r>
      <w:proofErr w:type="spellEnd"/>
      <w:r w:rsidR="00E42AFD" w:rsidRPr="00556799">
        <w:rPr>
          <w:rFonts w:cs="Arial"/>
          <w:sz w:val="22"/>
          <w:szCs w:val="22"/>
        </w:rPr>
        <w:t xml:space="preserve"> 130</w:t>
      </w:r>
      <w:r w:rsidR="005225BE" w:rsidRPr="00556799">
        <w:rPr>
          <w:rStyle w:val="Znakapoznpodarou"/>
          <w:rFonts w:cs="Arial"/>
          <w:sz w:val="22"/>
          <w:szCs w:val="22"/>
        </w:rPr>
        <w:footnoteReference w:id="21"/>
      </w:r>
      <w:r w:rsidR="00E42AFD" w:rsidRPr="00556799">
        <w:rPr>
          <w:rFonts w:cs="Arial"/>
          <w:sz w:val="22"/>
          <w:szCs w:val="22"/>
        </w:rPr>
        <w:t xml:space="preserve"> </w:t>
      </w:r>
      <w:r w:rsidR="00117C9C" w:rsidRPr="00556799">
        <w:rPr>
          <w:rFonts w:cs="Arial"/>
          <w:sz w:val="22"/>
          <w:szCs w:val="22"/>
        </w:rPr>
        <w:t>za cenu 119,9 </w:t>
      </w:r>
      <w:r w:rsidR="006D7C51" w:rsidRPr="00556799">
        <w:rPr>
          <w:rFonts w:cs="Arial"/>
          <w:sz w:val="22"/>
          <w:szCs w:val="22"/>
        </w:rPr>
        <w:t>mil. Kč.</w:t>
      </w:r>
    </w:p>
    <w:p w:rsidR="00556799" w:rsidRPr="00556799" w:rsidRDefault="00556799" w:rsidP="00556799">
      <w:pPr>
        <w:jc w:val="both"/>
        <w:rPr>
          <w:rFonts w:cs="Arial"/>
          <w:sz w:val="22"/>
          <w:szCs w:val="22"/>
        </w:rPr>
      </w:pPr>
    </w:p>
    <w:p w:rsidR="00DC288C" w:rsidRDefault="006D7C51" w:rsidP="00556799">
      <w:pPr>
        <w:jc w:val="both"/>
        <w:rPr>
          <w:rFonts w:cs="Arial"/>
          <w:sz w:val="22"/>
          <w:szCs w:val="22"/>
        </w:rPr>
      </w:pPr>
      <w:r w:rsidRPr="00556799">
        <w:rPr>
          <w:rFonts w:cs="Arial"/>
          <w:sz w:val="22"/>
          <w:szCs w:val="22"/>
        </w:rPr>
        <w:t>MO zadalo zakázku v </w:t>
      </w:r>
      <w:r w:rsidR="00DC288C" w:rsidRPr="00556799">
        <w:rPr>
          <w:rFonts w:cs="Arial"/>
          <w:sz w:val="22"/>
          <w:szCs w:val="22"/>
        </w:rPr>
        <w:t>jednacím řízení bez uveřejně</w:t>
      </w:r>
      <w:r w:rsidR="00A3344C" w:rsidRPr="00556799">
        <w:rPr>
          <w:rFonts w:cs="Arial"/>
          <w:sz w:val="22"/>
          <w:szCs w:val="22"/>
        </w:rPr>
        <w:t>ní s odůvodněním, že se jedná o</w:t>
      </w:r>
      <w:r w:rsidR="00B14C69" w:rsidRPr="00556799">
        <w:rPr>
          <w:rFonts w:cs="Arial"/>
          <w:sz w:val="22"/>
          <w:szCs w:val="22"/>
        </w:rPr>
        <w:t> </w:t>
      </w:r>
      <w:r w:rsidR="005225BE" w:rsidRPr="00556799">
        <w:rPr>
          <w:rFonts w:cs="Arial"/>
          <w:sz w:val="22"/>
          <w:szCs w:val="22"/>
        </w:rPr>
        <w:t>dodatečnou dodávku od</w:t>
      </w:r>
      <w:r w:rsidR="00A3344C" w:rsidRPr="00556799">
        <w:rPr>
          <w:rFonts w:cs="Arial"/>
          <w:sz w:val="22"/>
          <w:szCs w:val="22"/>
        </w:rPr>
        <w:t> </w:t>
      </w:r>
      <w:r w:rsidR="00DC288C" w:rsidRPr="00556799">
        <w:rPr>
          <w:rFonts w:cs="Arial"/>
          <w:sz w:val="22"/>
          <w:szCs w:val="22"/>
        </w:rPr>
        <w:t xml:space="preserve">dodavatele, který AČR dodává unifikované speciální </w:t>
      </w:r>
      <w:r w:rsidR="00BA4F40" w:rsidRPr="00556799">
        <w:rPr>
          <w:rFonts w:cs="Arial"/>
          <w:sz w:val="22"/>
          <w:szCs w:val="22"/>
        </w:rPr>
        <w:t>nástavby, má vyškolené specialisty,</w:t>
      </w:r>
      <w:r w:rsidR="00A3344C" w:rsidRPr="00556799">
        <w:rPr>
          <w:rFonts w:cs="Arial"/>
          <w:sz w:val="22"/>
          <w:szCs w:val="22"/>
        </w:rPr>
        <w:t xml:space="preserve"> servis a </w:t>
      </w:r>
      <w:r w:rsidR="00DC288C" w:rsidRPr="00556799">
        <w:rPr>
          <w:rFonts w:cs="Arial"/>
          <w:sz w:val="22"/>
          <w:szCs w:val="22"/>
        </w:rPr>
        <w:t>vytvořenou zásobu náhradních dílů</w:t>
      </w:r>
      <w:r w:rsidR="00DC288C" w:rsidRPr="00556799">
        <w:rPr>
          <w:rStyle w:val="Znakapoznpodarou"/>
          <w:rFonts w:cs="Arial"/>
          <w:sz w:val="22"/>
          <w:szCs w:val="22"/>
        </w:rPr>
        <w:footnoteReference w:id="22"/>
      </w:r>
      <w:r w:rsidR="00DC288C" w:rsidRPr="00556799">
        <w:rPr>
          <w:rFonts w:cs="Arial"/>
          <w:sz w:val="22"/>
          <w:szCs w:val="22"/>
        </w:rPr>
        <w:t xml:space="preserve">. Dodávka od jiného dodavatele by podle MO navíc způsobila nutnost vojskových zkoušek, což by způsobilo výrazný časový posun v realizaci. </w:t>
      </w:r>
      <w:r w:rsidR="00FC3E46" w:rsidRPr="00556799">
        <w:rPr>
          <w:rFonts w:cs="Arial"/>
          <w:sz w:val="22"/>
          <w:szCs w:val="22"/>
        </w:rPr>
        <w:t xml:space="preserve">Výzva k jednání byla zaslána v dubnu 2010 a jednání, </w:t>
      </w:r>
      <w:r w:rsidR="003B2EC4" w:rsidRPr="00556799">
        <w:rPr>
          <w:rFonts w:cs="Arial"/>
          <w:sz w:val="22"/>
          <w:szCs w:val="22"/>
        </w:rPr>
        <w:t>v </w:t>
      </w:r>
      <w:r w:rsidR="00B14CFC">
        <w:rPr>
          <w:rFonts w:cs="Arial"/>
          <w:sz w:val="22"/>
          <w:szCs w:val="22"/>
        </w:rPr>
        <w:t xml:space="preserve">jehož </w:t>
      </w:r>
      <w:r w:rsidR="003B2EC4" w:rsidRPr="00556799">
        <w:rPr>
          <w:rFonts w:cs="Arial"/>
          <w:sz w:val="22"/>
          <w:szCs w:val="22"/>
        </w:rPr>
        <w:t xml:space="preserve">rámci </w:t>
      </w:r>
      <w:r w:rsidR="00FC3E46" w:rsidRPr="00556799">
        <w:rPr>
          <w:rFonts w:cs="Arial"/>
          <w:sz w:val="22"/>
          <w:szCs w:val="22"/>
        </w:rPr>
        <w:t>byly upravo</w:t>
      </w:r>
      <w:r w:rsidR="003B2EC4" w:rsidRPr="00556799">
        <w:rPr>
          <w:rFonts w:cs="Arial"/>
          <w:sz w:val="22"/>
          <w:szCs w:val="22"/>
        </w:rPr>
        <w:t>vány především smluvní podmínky, trvalo do května 2010.</w:t>
      </w:r>
      <w:r w:rsidR="00FC3E46" w:rsidRPr="00556799">
        <w:rPr>
          <w:rFonts w:cs="Arial"/>
          <w:sz w:val="22"/>
          <w:szCs w:val="22"/>
        </w:rPr>
        <w:t xml:space="preserve"> </w:t>
      </w:r>
      <w:r w:rsidR="003B2EC4" w:rsidRPr="00556799">
        <w:rPr>
          <w:rFonts w:cs="Arial"/>
          <w:sz w:val="22"/>
          <w:szCs w:val="22"/>
        </w:rPr>
        <w:t>Registrační list akce</w:t>
      </w:r>
      <w:r w:rsidR="003F6E37" w:rsidRPr="00556799">
        <w:rPr>
          <w:rFonts w:cs="Arial"/>
          <w:sz w:val="22"/>
          <w:szCs w:val="22"/>
        </w:rPr>
        <w:t>, který stanovil stejné parametry jako investiční záměr,</w:t>
      </w:r>
      <w:r w:rsidR="003B2EC4" w:rsidRPr="00556799">
        <w:rPr>
          <w:rFonts w:cs="Arial"/>
          <w:sz w:val="22"/>
          <w:szCs w:val="22"/>
        </w:rPr>
        <w:t xml:space="preserve"> odsouhlasilo MF v květnu 2010</w:t>
      </w:r>
      <w:r w:rsidR="005C1228" w:rsidRPr="00556799">
        <w:rPr>
          <w:rFonts w:cs="Arial"/>
          <w:sz w:val="22"/>
          <w:szCs w:val="22"/>
        </w:rPr>
        <w:t xml:space="preserve"> a o měsíc později byla </w:t>
      </w:r>
      <w:r w:rsidR="00FC3E46" w:rsidRPr="00556799">
        <w:rPr>
          <w:rFonts w:cs="Arial"/>
          <w:sz w:val="22"/>
          <w:szCs w:val="22"/>
        </w:rPr>
        <w:t xml:space="preserve">uzavřena smlouva na dodávku 18 automobilů za </w:t>
      </w:r>
      <w:r w:rsidR="003B2EC4" w:rsidRPr="00556799">
        <w:rPr>
          <w:rFonts w:cs="Arial"/>
          <w:sz w:val="22"/>
          <w:szCs w:val="22"/>
        </w:rPr>
        <w:t>119,9 </w:t>
      </w:r>
      <w:r w:rsidR="00DC288C" w:rsidRPr="00556799">
        <w:rPr>
          <w:rFonts w:cs="Arial"/>
          <w:sz w:val="22"/>
          <w:szCs w:val="22"/>
        </w:rPr>
        <w:t>mil. Kč</w:t>
      </w:r>
      <w:r w:rsidR="00FC3E46" w:rsidRPr="00556799">
        <w:rPr>
          <w:rFonts w:cs="Arial"/>
          <w:sz w:val="22"/>
          <w:szCs w:val="22"/>
        </w:rPr>
        <w:t xml:space="preserve"> s termínem dodání </w:t>
      </w:r>
      <w:r w:rsidR="00DC288C" w:rsidRPr="00556799">
        <w:rPr>
          <w:rFonts w:cs="Arial"/>
          <w:sz w:val="22"/>
          <w:szCs w:val="22"/>
        </w:rPr>
        <w:t>prosin</w:t>
      </w:r>
      <w:r w:rsidR="00FC3E46" w:rsidRPr="00556799">
        <w:rPr>
          <w:rFonts w:cs="Arial"/>
          <w:sz w:val="22"/>
          <w:szCs w:val="22"/>
        </w:rPr>
        <w:t>ec</w:t>
      </w:r>
      <w:r w:rsidR="00556799">
        <w:rPr>
          <w:rFonts w:cs="Arial"/>
          <w:sz w:val="22"/>
          <w:szCs w:val="22"/>
        </w:rPr>
        <w:t xml:space="preserve"> 2010.</w:t>
      </w:r>
    </w:p>
    <w:p w:rsidR="00556799" w:rsidRPr="00556799" w:rsidRDefault="00556799" w:rsidP="00556799">
      <w:pPr>
        <w:jc w:val="both"/>
        <w:rPr>
          <w:rFonts w:cs="Arial"/>
          <w:sz w:val="22"/>
          <w:szCs w:val="22"/>
        </w:rPr>
      </w:pPr>
    </w:p>
    <w:p w:rsidR="00622C3E" w:rsidRPr="00556799" w:rsidRDefault="00DC288C" w:rsidP="00556799">
      <w:pPr>
        <w:jc w:val="both"/>
        <w:rPr>
          <w:rFonts w:cs="Arial"/>
          <w:sz w:val="22"/>
          <w:szCs w:val="22"/>
        </w:rPr>
      </w:pPr>
      <w:r w:rsidRPr="00556799">
        <w:rPr>
          <w:rFonts w:cs="Arial"/>
          <w:sz w:val="22"/>
          <w:szCs w:val="22"/>
        </w:rPr>
        <w:t>Ke smlouvě bylo uzavřeno pět dodatků, kdy se kromě technických ujednání změnila</w:t>
      </w:r>
      <w:r w:rsidR="003B2EC4" w:rsidRPr="00556799">
        <w:rPr>
          <w:rFonts w:cs="Arial"/>
          <w:sz w:val="22"/>
          <w:szCs w:val="22"/>
        </w:rPr>
        <w:t xml:space="preserve"> z důvodu upřesnění specifikace </w:t>
      </w:r>
      <w:r w:rsidRPr="00556799">
        <w:rPr>
          <w:rFonts w:cs="Arial"/>
          <w:sz w:val="22"/>
          <w:szCs w:val="22"/>
        </w:rPr>
        <w:t xml:space="preserve">i cena na 121,2 mil. Kč. </w:t>
      </w:r>
      <w:r w:rsidR="0095124F" w:rsidRPr="00556799">
        <w:rPr>
          <w:rFonts w:cs="Arial"/>
          <w:sz w:val="22"/>
          <w:szCs w:val="22"/>
        </w:rPr>
        <w:t>Část dodávky byla zpožděna a MO uplatnilo penále ve výši 727,3 tis. Kč</w:t>
      </w:r>
      <w:r w:rsidR="00DE5AB3">
        <w:rPr>
          <w:rFonts w:cs="Arial"/>
          <w:sz w:val="22"/>
          <w:szCs w:val="22"/>
        </w:rPr>
        <w:t>; tuto částku</w:t>
      </w:r>
      <w:r w:rsidR="00E332E1" w:rsidRPr="00556799">
        <w:rPr>
          <w:rFonts w:cs="Arial"/>
          <w:sz w:val="22"/>
          <w:szCs w:val="22"/>
        </w:rPr>
        <w:t xml:space="preserve"> dodavatel uhradil.</w:t>
      </w:r>
      <w:r w:rsidR="0095124F" w:rsidRPr="00556799">
        <w:rPr>
          <w:rFonts w:cs="Arial"/>
          <w:sz w:val="22"/>
          <w:szCs w:val="22"/>
        </w:rPr>
        <w:t xml:space="preserve"> </w:t>
      </w:r>
      <w:r w:rsidR="00622C3E" w:rsidRPr="00556799">
        <w:rPr>
          <w:rFonts w:cs="Arial"/>
          <w:sz w:val="22"/>
          <w:szCs w:val="22"/>
        </w:rPr>
        <w:t xml:space="preserve">I když MO </w:t>
      </w:r>
      <w:r w:rsidR="00DE5AB3">
        <w:rPr>
          <w:rFonts w:cs="Arial"/>
          <w:sz w:val="22"/>
          <w:szCs w:val="22"/>
        </w:rPr>
        <w:t>původně zdůrazňovalo</w:t>
      </w:r>
      <w:r w:rsidR="00622C3E" w:rsidRPr="00556799">
        <w:rPr>
          <w:rFonts w:cs="Arial"/>
          <w:sz w:val="22"/>
          <w:szCs w:val="22"/>
        </w:rPr>
        <w:t xml:space="preserve"> nutnost rychlého pořízení vozidel, z důvodu změny vojenskopolitické situace </w:t>
      </w:r>
      <w:r w:rsidR="00DE5AB3" w:rsidRPr="00556799">
        <w:rPr>
          <w:rFonts w:cs="Arial"/>
          <w:sz w:val="22"/>
          <w:szCs w:val="22"/>
        </w:rPr>
        <w:t xml:space="preserve">nebyla </w:t>
      </w:r>
      <w:r w:rsidR="00622C3E" w:rsidRPr="00556799">
        <w:rPr>
          <w:rFonts w:cs="Arial"/>
          <w:sz w:val="22"/>
          <w:szCs w:val="22"/>
        </w:rPr>
        <w:t>vozidla do zahraničních misí</w:t>
      </w:r>
      <w:r w:rsidR="00DE5AB3">
        <w:rPr>
          <w:rFonts w:cs="Arial"/>
          <w:sz w:val="22"/>
          <w:szCs w:val="22"/>
        </w:rPr>
        <w:t xml:space="preserve"> dosud</w:t>
      </w:r>
      <w:r w:rsidR="00622C3E" w:rsidRPr="00556799">
        <w:rPr>
          <w:rFonts w:cs="Arial"/>
          <w:sz w:val="22"/>
          <w:szCs w:val="22"/>
        </w:rPr>
        <w:t xml:space="preserve"> nasazena.</w:t>
      </w:r>
    </w:p>
    <w:p w:rsidR="007608F3" w:rsidRDefault="007608F3" w:rsidP="00556799">
      <w:pPr>
        <w:jc w:val="both"/>
        <w:rPr>
          <w:rFonts w:cs="Arial"/>
          <w:sz w:val="22"/>
          <w:szCs w:val="22"/>
        </w:rPr>
      </w:pPr>
    </w:p>
    <w:p w:rsidR="00556799" w:rsidRPr="00556799" w:rsidRDefault="00556799" w:rsidP="00556799">
      <w:pPr>
        <w:jc w:val="both"/>
        <w:rPr>
          <w:rFonts w:cs="Arial"/>
          <w:sz w:val="22"/>
          <w:szCs w:val="22"/>
        </w:rPr>
      </w:pPr>
    </w:p>
    <w:p w:rsidR="007977A0" w:rsidRPr="00556799" w:rsidRDefault="00CE6DD2" w:rsidP="00556799">
      <w:pPr>
        <w:jc w:val="center"/>
        <w:rPr>
          <w:rFonts w:cs="Arial"/>
          <w:b/>
        </w:rPr>
      </w:pPr>
      <w:r w:rsidRPr="00556799">
        <w:rPr>
          <w:rFonts w:cs="Arial"/>
          <w:b/>
        </w:rPr>
        <w:t>III. Shrnutí</w:t>
      </w:r>
    </w:p>
    <w:p w:rsidR="00556799" w:rsidRDefault="00556799" w:rsidP="00556799">
      <w:pPr>
        <w:jc w:val="both"/>
        <w:rPr>
          <w:rFonts w:cs="Arial"/>
          <w:b/>
          <w:color w:val="000000" w:themeColor="text1"/>
          <w:sz w:val="22"/>
          <w:szCs w:val="22"/>
        </w:rPr>
      </w:pPr>
    </w:p>
    <w:p w:rsidR="000F5262" w:rsidRDefault="009A07EA" w:rsidP="00556799">
      <w:pPr>
        <w:jc w:val="both"/>
        <w:rPr>
          <w:rFonts w:cs="Arial"/>
          <w:b/>
          <w:color w:val="000000" w:themeColor="text1"/>
          <w:sz w:val="22"/>
          <w:szCs w:val="22"/>
        </w:rPr>
      </w:pPr>
      <w:r w:rsidRPr="00556799">
        <w:rPr>
          <w:rFonts w:cs="Arial"/>
          <w:b/>
          <w:color w:val="000000" w:themeColor="text1"/>
          <w:sz w:val="22"/>
          <w:szCs w:val="22"/>
        </w:rPr>
        <w:t xml:space="preserve">Kontrola byla zaměřena na poskytování, čerpání a použití peněžních prostředků státního rozpočtu při pořizování výzbroje a techniky </w:t>
      </w:r>
      <w:r w:rsidR="00DE5AB3">
        <w:rPr>
          <w:rFonts w:cs="Arial"/>
          <w:b/>
          <w:color w:val="000000" w:themeColor="text1"/>
          <w:sz w:val="22"/>
          <w:szCs w:val="22"/>
        </w:rPr>
        <w:t xml:space="preserve">pro </w:t>
      </w:r>
      <w:r w:rsidRPr="00556799">
        <w:rPr>
          <w:rFonts w:cs="Arial"/>
          <w:b/>
          <w:color w:val="000000" w:themeColor="text1"/>
          <w:sz w:val="22"/>
          <w:szCs w:val="22"/>
        </w:rPr>
        <w:t xml:space="preserve">pozemní a speciální </w:t>
      </w:r>
      <w:r w:rsidR="00DE5AB3">
        <w:rPr>
          <w:rFonts w:cs="Arial"/>
          <w:b/>
          <w:color w:val="000000" w:themeColor="text1"/>
          <w:sz w:val="22"/>
          <w:szCs w:val="22"/>
        </w:rPr>
        <w:t>síly</w:t>
      </w:r>
      <w:r w:rsidRPr="00556799">
        <w:rPr>
          <w:rFonts w:cs="Arial"/>
          <w:b/>
          <w:color w:val="000000" w:themeColor="text1"/>
          <w:sz w:val="22"/>
          <w:szCs w:val="22"/>
        </w:rPr>
        <w:t xml:space="preserve"> AČR. Prověřeno bylo celkem 15 akcí s celkovými výdaji 5 833,5 mil. Kč. V souvislosti s </w:t>
      </w:r>
      <w:r w:rsidR="00DE5AB3">
        <w:rPr>
          <w:rFonts w:cs="Arial"/>
          <w:b/>
          <w:color w:val="000000" w:themeColor="text1"/>
          <w:sz w:val="22"/>
          <w:szCs w:val="22"/>
        </w:rPr>
        <w:t>těmito</w:t>
      </w:r>
      <w:r w:rsidRPr="00556799">
        <w:rPr>
          <w:rFonts w:cs="Arial"/>
          <w:b/>
          <w:color w:val="000000" w:themeColor="text1"/>
          <w:sz w:val="22"/>
          <w:szCs w:val="22"/>
        </w:rPr>
        <w:t xml:space="preserve"> akcemi byly prověřeny i čtyři programy, v jejic</w:t>
      </w:r>
      <w:r w:rsidR="0052780A" w:rsidRPr="00556799">
        <w:rPr>
          <w:rFonts w:cs="Arial"/>
          <w:b/>
          <w:color w:val="000000" w:themeColor="text1"/>
          <w:sz w:val="22"/>
          <w:szCs w:val="22"/>
        </w:rPr>
        <w:t>hž rámci byly akce realizovány.</w:t>
      </w:r>
    </w:p>
    <w:p w:rsidR="00556799" w:rsidRPr="00556799" w:rsidRDefault="00556799" w:rsidP="00556799">
      <w:pPr>
        <w:jc w:val="both"/>
        <w:rPr>
          <w:rFonts w:cs="Arial"/>
          <w:b/>
          <w:color w:val="000000" w:themeColor="text1"/>
          <w:sz w:val="22"/>
          <w:szCs w:val="22"/>
        </w:rPr>
      </w:pPr>
    </w:p>
    <w:p w:rsidR="005E3F7B" w:rsidRDefault="005E3F7B" w:rsidP="00556799">
      <w:pPr>
        <w:jc w:val="both"/>
        <w:rPr>
          <w:rFonts w:cs="Arial"/>
          <w:b/>
          <w:color w:val="000000" w:themeColor="text1"/>
          <w:sz w:val="22"/>
          <w:szCs w:val="22"/>
        </w:rPr>
      </w:pPr>
      <w:r w:rsidRPr="00556799">
        <w:rPr>
          <w:rFonts w:cs="Arial"/>
          <w:b/>
          <w:color w:val="000000" w:themeColor="text1"/>
          <w:sz w:val="22"/>
          <w:szCs w:val="22"/>
        </w:rPr>
        <w:t xml:space="preserve">Do doby ukončení kontroly nezpracovalo </w:t>
      </w:r>
      <w:r w:rsidR="00DE5AB3" w:rsidRPr="00556799">
        <w:rPr>
          <w:rFonts w:cs="Arial"/>
          <w:b/>
          <w:color w:val="000000" w:themeColor="text1"/>
          <w:sz w:val="22"/>
          <w:szCs w:val="22"/>
        </w:rPr>
        <w:t xml:space="preserve">MO </w:t>
      </w:r>
      <w:r w:rsidRPr="00556799">
        <w:rPr>
          <w:rFonts w:cs="Arial"/>
          <w:b/>
          <w:color w:val="000000" w:themeColor="text1"/>
          <w:sz w:val="22"/>
          <w:szCs w:val="22"/>
        </w:rPr>
        <w:t>koncepční materiál, který by podrobněji stanovil výstavbu a rozvoj pozemních či specializovaných sil s konkrétním vymezením cílového stavu, materiálních potřeb a finančních a časových požadavků na jejich naplnění, což mělo mj. za následek nesysté</w:t>
      </w:r>
      <w:r w:rsidR="00D1569B" w:rsidRPr="00556799">
        <w:rPr>
          <w:rFonts w:cs="Arial"/>
          <w:b/>
          <w:color w:val="000000" w:themeColor="text1"/>
          <w:sz w:val="22"/>
          <w:szCs w:val="22"/>
        </w:rPr>
        <w:t>mové nákupy vojenské techniky a </w:t>
      </w:r>
      <w:r w:rsidRPr="00556799">
        <w:rPr>
          <w:rFonts w:cs="Arial"/>
          <w:b/>
          <w:color w:val="000000" w:themeColor="text1"/>
          <w:sz w:val="22"/>
          <w:szCs w:val="22"/>
        </w:rPr>
        <w:t>materiálu. Na tuto skutečnost NKÚ upozorňoval</w:t>
      </w:r>
      <w:r w:rsidR="00691BF9" w:rsidRPr="00556799">
        <w:rPr>
          <w:rFonts w:cs="Arial"/>
          <w:b/>
          <w:color w:val="000000" w:themeColor="text1"/>
          <w:sz w:val="22"/>
          <w:szCs w:val="22"/>
        </w:rPr>
        <w:t xml:space="preserve"> již</w:t>
      </w:r>
      <w:r w:rsidRPr="00556799">
        <w:rPr>
          <w:rFonts w:cs="Arial"/>
          <w:b/>
          <w:color w:val="000000" w:themeColor="text1"/>
          <w:sz w:val="22"/>
          <w:szCs w:val="22"/>
        </w:rPr>
        <w:t xml:space="preserve"> v kontrolním závěru z kontrolní akce č. 10/10.</w:t>
      </w:r>
      <w:r w:rsidR="00FB7902" w:rsidRPr="00556799">
        <w:rPr>
          <w:rFonts w:cs="Arial"/>
          <w:b/>
          <w:color w:val="000000" w:themeColor="text1"/>
          <w:sz w:val="22"/>
          <w:szCs w:val="22"/>
        </w:rPr>
        <w:t xml:space="preserve"> V </w:t>
      </w:r>
      <w:r w:rsidRPr="00556799">
        <w:rPr>
          <w:rFonts w:cs="Arial"/>
          <w:b/>
          <w:color w:val="000000" w:themeColor="text1"/>
          <w:sz w:val="22"/>
          <w:szCs w:val="22"/>
        </w:rPr>
        <w:t>roce 2011</w:t>
      </w:r>
      <w:r w:rsidR="00FB7902" w:rsidRPr="00556799">
        <w:rPr>
          <w:rFonts w:cs="Arial"/>
          <w:b/>
          <w:color w:val="000000" w:themeColor="text1"/>
          <w:sz w:val="22"/>
          <w:szCs w:val="22"/>
        </w:rPr>
        <w:t xml:space="preserve"> byla schválen</w:t>
      </w:r>
      <w:r w:rsidR="00B14CFC">
        <w:rPr>
          <w:rFonts w:cs="Arial"/>
          <w:b/>
          <w:color w:val="000000" w:themeColor="text1"/>
          <w:sz w:val="22"/>
          <w:szCs w:val="22"/>
        </w:rPr>
        <w:t>a</w:t>
      </w:r>
      <w:r w:rsidR="00FB7902" w:rsidRPr="00556799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B14CFC" w:rsidRPr="00564BC7">
        <w:rPr>
          <w:rFonts w:cs="Arial"/>
          <w:b/>
          <w:i/>
          <w:color w:val="000000" w:themeColor="text1"/>
          <w:sz w:val="22"/>
          <w:szCs w:val="22"/>
        </w:rPr>
        <w:t>B</w:t>
      </w:r>
      <w:r w:rsidR="00FB7902" w:rsidRPr="00564BC7">
        <w:rPr>
          <w:rFonts w:cs="Arial"/>
          <w:b/>
          <w:i/>
          <w:color w:val="000000" w:themeColor="text1"/>
          <w:sz w:val="22"/>
          <w:szCs w:val="22"/>
        </w:rPr>
        <w:t>ílá kniha</w:t>
      </w:r>
      <w:r w:rsidR="0055688D" w:rsidRPr="00564BC7">
        <w:rPr>
          <w:rFonts w:cs="Arial"/>
          <w:b/>
          <w:i/>
          <w:color w:val="000000" w:themeColor="text1"/>
          <w:sz w:val="22"/>
          <w:szCs w:val="22"/>
        </w:rPr>
        <w:t xml:space="preserve"> o obraně</w:t>
      </w:r>
      <w:r w:rsidRPr="00556799">
        <w:rPr>
          <w:rFonts w:cs="Arial"/>
          <w:b/>
          <w:color w:val="000000" w:themeColor="text1"/>
          <w:sz w:val="22"/>
          <w:szCs w:val="22"/>
        </w:rPr>
        <w:t xml:space="preserve"> jako</w:t>
      </w:r>
      <w:r w:rsidR="00DE5AB3">
        <w:rPr>
          <w:rFonts w:cs="Arial"/>
          <w:b/>
          <w:color w:val="000000" w:themeColor="text1"/>
          <w:sz w:val="22"/>
          <w:szCs w:val="22"/>
        </w:rPr>
        <w:t>žto</w:t>
      </w:r>
      <w:r w:rsidRPr="00556799">
        <w:rPr>
          <w:rFonts w:cs="Arial"/>
          <w:b/>
          <w:color w:val="000000" w:themeColor="text1"/>
          <w:sz w:val="22"/>
          <w:szCs w:val="22"/>
        </w:rPr>
        <w:t xml:space="preserve"> základní koncepční dokument, jehož cíle a priority mají být realizován</w:t>
      </w:r>
      <w:r w:rsidR="00DE5AB3">
        <w:rPr>
          <w:rFonts w:cs="Arial"/>
          <w:b/>
          <w:color w:val="000000" w:themeColor="text1"/>
          <w:sz w:val="22"/>
          <w:szCs w:val="22"/>
        </w:rPr>
        <w:t>y</w:t>
      </w:r>
      <w:r w:rsidRPr="00556799">
        <w:rPr>
          <w:rFonts w:cs="Arial"/>
          <w:b/>
          <w:color w:val="000000" w:themeColor="text1"/>
          <w:sz w:val="22"/>
          <w:szCs w:val="22"/>
        </w:rPr>
        <w:t xml:space="preserve"> prostřednictvím konkrétních programů</w:t>
      </w:r>
      <w:r w:rsidR="00FB7902" w:rsidRPr="00556799">
        <w:rPr>
          <w:rFonts w:cs="Arial"/>
          <w:b/>
          <w:color w:val="000000" w:themeColor="text1"/>
          <w:sz w:val="22"/>
          <w:szCs w:val="22"/>
        </w:rPr>
        <w:t xml:space="preserve">. </w:t>
      </w:r>
      <w:r w:rsidR="00DE5AB3">
        <w:rPr>
          <w:rFonts w:cs="Arial"/>
          <w:b/>
          <w:color w:val="000000" w:themeColor="text1"/>
          <w:sz w:val="22"/>
          <w:szCs w:val="22"/>
        </w:rPr>
        <w:t>Nové programy vycházející z Bílé knihy</w:t>
      </w:r>
      <w:r w:rsidR="00FB7902" w:rsidRPr="00556799">
        <w:rPr>
          <w:rFonts w:cs="Arial"/>
          <w:b/>
          <w:color w:val="000000" w:themeColor="text1"/>
          <w:sz w:val="22"/>
          <w:szCs w:val="22"/>
        </w:rPr>
        <w:t xml:space="preserve"> </w:t>
      </w:r>
      <w:r w:rsidRPr="00556799">
        <w:rPr>
          <w:rFonts w:cs="Arial"/>
          <w:b/>
          <w:color w:val="000000" w:themeColor="text1"/>
          <w:sz w:val="22"/>
          <w:szCs w:val="22"/>
        </w:rPr>
        <w:t xml:space="preserve">byly </w:t>
      </w:r>
      <w:r w:rsidR="00FB7902" w:rsidRPr="00556799">
        <w:rPr>
          <w:rFonts w:cs="Arial"/>
          <w:b/>
          <w:color w:val="000000" w:themeColor="text1"/>
          <w:sz w:val="22"/>
          <w:szCs w:val="22"/>
        </w:rPr>
        <w:t xml:space="preserve">zahájeny </w:t>
      </w:r>
      <w:r w:rsidRPr="00556799">
        <w:rPr>
          <w:rFonts w:cs="Arial"/>
          <w:b/>
          <w:color w:val="000000" w:themeColor="text1"/>
          <w:sz w:val="22"/>
          <w:szCs w:val="22"/>
        </w:rPr>
        <w:t>až v roce 2013</w:t>
      </w:r>
      <w:r w:rsidR="00FB7902" w:rsidRPr="00556799">
        <w:rPr>
          <w:rFonts w:cs="Arial"/>
          <w:b/>
          <w:color w:val="000000" w:themeColor="text1"/>
          <w:sz w:val="22"/>
          <w:szCs w:val="22"/>
        </w:rPr>
        <w:t xml:space="preserve"> a</w:t>
      </w:r>
      <w:r w:rsidR="00DE5AB3">
        <w:rPr>
          <w:rFonts w:cs="Arial"/>
          <w:b/>
          <w:color w:val="000000" w:themeColor="text1"/>
          <w:sz w:val="22"/>
          <w:szCs w:val="22"/>
        </w:rPr>
        <w:t> </w:t>
      </w:r>
      <w:r w:rsidRPr="00556799">
        <w:rPr>
          <w:rFonts w:cs="Arial"/>
          <w:b/>
          <w:color w:val="000000" w:themeColor="text1"/>
          <w:sz w:val="22"/>
          <w:szCs w:val="22"/>
        </w:rPr>
        <w:t>nebyly</w:t>
      </w:r>
      <w:r w:rsidR="00556799">
        <w:rPr>
          <w:rFonts w:cs="Arial"/>
          <w:b/>
          <w:color w:val="000000" w:themeColor="text1"/>
          <w:sz w:val="22"/>
          <w:szCs w:val="22"/>
        </w:rPr>
        <w:t xml:space="preserve"> předmětem této kontrolní akce.</w:t>
      </w:r>
    </w:p>
    <w:p w:rsidR="00556799" w:rsidRPr="00556799" w:rsidRDefault="00556799" w:rsidP="00556799">
      <w:pPr>
        <w:jc w:val="both"/>
        <w:rPr>
          <w:rFonts w:cs="Arial"/>
          <w:b/>
          <w:color w:val="000000" w:themeColor="text1"/>
          <w:sz w:val="22"/>
          <w:szCs w:val="22"/>
        </w:rPr>
      </w:pPr>
    </w:p>
    <w:p w:rsidR="002B4925" w:rsidRDefault="005E3F7B" w:rsidP="00556799">
      <w:pPr>
        <w:jc w:val="both"/>
        <w:rPr>
          <w:rFonts w:cs="Arial"/>
          <w:b/>
          <w:color w:val="000000" w:themeColor="text1"/>
          <w:sz w:val="22"/>
          <w:szCs w:val="22"/>
        </w:rPr>
      </w:pPr>
      <w:r w:rsidRPr="00556799">
        <w:rPr>
          <w:rFonts w:cs="Arial"/>
          <w:b/>
          <w:color w:val="000000" w:themeColor="text1"/>
          <w:sz w:val="22"/>
          <w:szCs w:val="22"/>
        </w:rPr>
        <w:t xml:space="preserve">Věcné, časové a finanční podmínky pro pořizování vojenské techniky, které stanovily kontrolované programy, byly v průběhu jejich realizace zásadním způsobem upravovány a měněny, </w:t>
      </w:r>
      <w:r w:rsidR="00B14CFC">
        <w:rPr>
          <w:rFonts w:cs="Arial"/>
          <w:b/>
          <w:color w:val="000000" w:themeColor="text1"/>
          <w:sz w:val="22"/>
          <w:szCs w:val="22"/>
        </w:rPr>
        <w:t xml:space="preserve">a to </w:t>
      </w:r>
      <w:r w:rsidRPr="00556799">
        <w:rPr>
          <w:rFonts w:cs="Arial"/>
          <w:b/>
          <w:color w:val="000000" w:themeColor="text1"/>
          <w:sz w:val="22"/>
          <w:szCs w:val="22"/>
        </w:rPr>
        <w:t xml:space="preserve">jak </w:t>
      </w:r>
      <w:r w:rsidR="00DE5AB3">
        <w:rPr>
          <w:rFonts w:cs="Arial"/>
          <w:b/>
          <w:color w:val="000000" w:themeColor="text1"/>
          <w:sz w:val="22"/>
          <w:szCs w:val="22"/>
        </w:rPr>
        <w:t xml:space="preserve">s ohledem na </w:t>
      </w:r>
      <w:r w:rsidRPr="00556799">
        <w:rPr>
          <w:rFonts w:cs="Arial"/>
          <w:b/>
          <w:color w:val="000000" w:themeColor="text1"/>
          <w:sz w:val="22"/>
          <w:szCs w:val="22"/>
        </w:rPr>
        <w:t xml:space="preserve">množství, tak </w:t>
      </w:r>
      <w:r w:rsidR="00DE5AB3">
        <w:rPr>
          <w:rFonts w:cs="Arial"/>
          <w:b/>
          <w:color w:val="000000" w:themeColor="text1"/>
          <w:sz w:val="22"/>
          <w:szCs w:val="22"/>
        </w:rPr>
        <w:t>co do výše</w:t>
      </w:r>
      <w:r w:rsidRPr="00556799">
        <w:rPr>
          <w:rFonts w:cs="Arial"/>
          <w:b/>
          <w:color w:val="000000" w:themeColor="text1"/>
          <w:sz w:val="22"/>
          <w:szCs w:val="22"/>
        </w:rPr>
        <w:t xml:space="preserve"> cen pořizovaného majetku.</w:t>
      </w:r>
      <w:r w:rsidR="00490825" w:rsidRPr="00556799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202533" w:rsidRPr="00556799">
        <w:rPr>
          <w:rFonts w:cs="Arial"/>
          <w:b/>
          <w:color w:val="000000" w:themeColor="text1"/>
          <w:sz w:val="22"/>
          <w:szCs w:val="22"/>
        </w:rPr>
        <w:t xml:space="preserve">V době </w:t>
      </w:r>
      <w:r w:rsidR="00D075A3" w:rsidRPr="00556799">
        <w:rPr>
          <w:rFonts w:cs="Arial"/>
          <w:b/>
          <w:color w:val="000000" w:themeColor="text1"/>
          <w:sz w:val="22"/>
          <w:szCs w:val="22"/>
        </w:rPr>
        <w:t>kontroly byl ukončen pouze program ev. č. 207V210</w:t>
      </w:r>
      <w:r w:rsidR="005225BE" w:rsidRPr="00556799">
        <w:rPr>
          <w:rFonts w:cs="Arial"/>
          <w:b/>
          <w:color w:val="000000" w:themeColor="text1"/>
          <w:sz w:val="22"/>
          <w:szCs w:val="22"/>
        </w:rPr>
        <w:t>. Doba jeho realizace byla dvakrát prodloužena</w:t>
      </w:r>
      <w:r w:rsidR="00DE5AB3">
        <w:rPr>
          <w:rFonts w:cs="Arial"/>
          <w:b/>
          <w:color w:val="000000" w:themeColor="text1"/>
          <w:sz w:val="22"/>
          <w:szCs w:val="22"/>
        </w:rPr>
        <w:t>, a to</w:t>
      </w:r>
      <w:r w:rsidR="005225BE" w:rsidRPr="00556799">
        <w:rPr>
          <w:rFonts w:cs="Arial"/>
          <w:b/>
          <w:color w:val="000000" w:themeColor="text1"/>
          <w:sz w:val="22"/>
          <w:szCs w:val="22"/>
        </w:rPr>
        <w:t xml:space="preserve"> celkem </w:t>
      </w:r>
      <w:r w:rsidR="009B355F" w:rsidRPr="00556799">
        <w:rPr>
          <w:rFonts w:cs="Arial"/>
          <w:b/>
          <w:color w:val="000000" w:themeColor="text1"/>
          <w:sz w:val="22"/>
          <w:szCs w:val="22"/>
        </w:rPr>
        <w:t>o dva roky, což</w:t>
      </w:r>
      <w:r w:rsidR="005225BE" w:rsidRPr="00556799">
        <w:rPr>
          <w:rFonts w:cs="Arial"/>
          <w:b/>
          <w:color w:val="000000" w:themeColor="text1"/>
          <w:sz w:val="22"/>
          <w:szCs w:val="22"/>
        </w:rPr>
        <w:t xml:space="preserve"> bylo způsobeno mimo jiné</w:t>
      </w:r>
      <w:r w:rsidR="00D075A3" w:rsidRPr="00556799">
        <w:rPr>
          <w:rFonts w:cs="Arial"/>
          <w:b/>
          <w:color w:val="000000" w:themeColor="text1"/>
          <w:sz w:val="22"/>
          <w:szCs w:val="22"/>
        </w:rPr>
        <w:t xml:space="preserve"> nedostatky v </w:t>
      </w:r>
      <w:r w:rsidR="00202533" w:rsidRPr="00556799">
        <w:rPr>
          <w:rFonts w:cs="Arial"/>
          <w:b/>
          <w:color w:val="000000" w:themeColor="text1"/>
          <w:sz w:val="22"/>
          <w:szCs w:val="22"/>
        </w:rPr>
        <w:t xml:space="preserve">postupu </w:t>
      </w:r>
      <w:r w:rsidR="009B355F" w:rsidRPr="00556799">
        <w:rPr>
          <w:rFonts w:cs="Arial"/>
          <w:b/>
          <w:color w:val="000000" w:themeColor="text1"/>
          <w:sz w:val="22"/>
          <w:szCs w:val="22"/>
        </w:rPr>
        <w:t>MO při nákupu</w:t>
      </w:r>
      <w:r w:rsidR="009A7A96" w:rsidRPr="00556799">
        <w:rPr>
          <w:rFonts w:cs="Arial"/>
          <w:b/>
          <w:color w:val="000000" w:themeColor="text1"/>
          <w:sz w:val="22"/>
          <w:szCs w:val="22"/>
        </w:rPr>
        <w:t xml:space="preserve"> souprav</w:t>
      </w:r>
      <w:r w:rsidR="009B355F" w:rsidRPr="00556799">
        <w:rPr>
          <w:rFonts w:cs="Arial"/>
          <w:b/>
          <w:color w:val="000000" w:themeColor="text1"/>
          <w:sz w:val="22"/>
          <w:szCs w:val="22"/>
        </w:rPr>
        <w:t xml:space="preserve"> padáků. </w:t>
      </w:r>
      <w:r w:rsidR="001B434B" w:rsidRPr="00556799">
        <w:rPr>
          <w:rFonts w:cs="Arial"/>
          <w:b/>
          <w:color w:val="000000" w:themeColor="text1"/>
          <w:sz w:val="22"/>
          <w:szCs w:val="22"/>
        </w:rPr>
        <w:t>Další program byl finančně navýšen o</w:t>
      </w:r>
      <w:r w:rsidR="00F30B2D">
        <w:rPr>
          <w:rFonts w:cs="Arial"/>
          <w:b/>
          <w:color w:val="000000" w:themeColor="text1"/>
          <w:sz w:val="22"/>
          <w:szCs w:val="22"/>
        </w:rPr>
        <w:t> </w:t>
      </w:r>
      <w:r w:rsidR="001B434B" w:rsidRPr="00556799">
        <w:rPr>
          <w:rFonts w:cs="Arial"/>
          <w:b/>
          <w:color w:val="000000" w:themeColor="text1"/>
          <w:sz w:val="22"/>
          <w:szCs w:val="22"/>
        </w:rPr>
        <w:t>42</w:t>
      </w:r>
      <w:r w:rsidR="00F30B2D">
        <w:rPr>
          <w:rFonts w:cs="Arial"/>
          <w:b/>
          <w:color w:val="000000" w:themeColor="text1"/>
          <w:sz w:val="22"/>
          <w:szCs w:val="22"/>
        </w:rPr>
        <w:t> </w:t>
      </w:r>
      <w:r w:rsidR="001B434B" w:rsidRPr="00556799">
        <w:rPr>
          <w:rFonts w:cs="Arial"/>
          <w:b/>
          <w:color w:val="000000" w:themeColor="text1"/>
          <w:sz w:val="22"/>
          <w:szCs w:val="22"/>
        </w:rPr>
        <w:t>%</w:t>
      </w:r>
      <w:r w:rsidR="00691BF9" w:rsidRPr="00556799">
        <w:rPr>
          <w:rFonts w:cs="Arial"/>
          <w:b/>
          <w:color w:val="000000" w:themeColor="text1"/>
          <w:sz w:val="22"/>
          <w:szCs w:val="22"/>
        </w:rPr>
        <w:t>, zejména</w:t>
      </w:r>
      <w:r w:rsidR="001B434B" w:rsidRPr="00556799">
        <w:rPr>
          <w:rFonts w:cs="Arial"/>
          <w:b/>
          <w:color w:val="000000" w:themeColor="text1"/>
          <w:sz w:val="22"/>
          <w:szCs w:val="22"/>
        </w:rPr>
        <w:t xml:space="preserve"> z důvod</w:t>
      </w:r>
      <w:r w:rsidR="00B14CFC">
        <w:rPr>
          <w:rFonts w:cs="Arial"/>
          <w:b/>
          <w:color w:val="000000" w:themeColor="text1"/>
          <w:sz w:val="22"/>
          <w:szCs w:val="22"/>
        </w:rPr>
        <w:t>u</w:t>
      </w:r>
      <w:r w:rsidR="001B434B" w:rsidRPr="00556799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202533" w:rsidRPr="00556799">
        <w:rPr>
          <w:rFonts w:cs="Arial"/>
          <w:b/>
          <w:color w:val="000000" w:themeColor="text1"/>
          <w:sz w:val="22"/>
          <w:szCs w:val="22"/>
        </w:rPr>
        <w:t xml:space="preserve">dodatečně zařazeného </w:t>
      </w:r>
      <w:r w:rsidR="001B434B" w:rsidRPr="00556799">
        <w:rPr>
          <w:rFonts w:cs="Arial"/>
          <w:b/>
          <w:color w:val="000000" w:themeColor="text1"/>
          <w:sz w:val="22"/>
          <w:szCs w:val="22"/>
        </w:rPr>
        <w:t xml:space="preserve">nákupu </w:t>
      </w:r>
      <w:r w:rsidR="00202533" w:rsidRPr="00556799">
        <w:rPr>
          <w:rFonts w:cs="Arial"/>
          <w:b/>
          <w:color w:val="000000" w:themeColor="text1"/>
          <w:sz w:val="22"/>
          <w:szCs w:val="22"/>
        </w:rPr>
        <w:t xml:space="preserve">speciálních </w:t>
      </w:r>
      <w:r w:rsidR="001B434B" w:rsidRPr="00556799">
        <w:rPr>
          <w:rFonts w:cs="Arial"/>
          <w:b/>
          <w:color w:val="000000" w:themeColor="text1"/>
          <w:sz w:val="22"/>
          <w:szCs w:val="22"/>
        </w:rPr>
        <w:t>vozidel</w:t>
      </w:r>
      <w:r w:rsidR="005B384B" w:rsidRPr="00556799">
        <w:rPr>
          <w:rFonts w:cs="Arial"/>
          <w:b/>
          <w:color w:val="000000" w:themeColor="text1"/>
          <w:sz w:val="22"/>
          <w:szCs w:val="22"/>
        </w:rPr>
        <w:t>, kter</w:t>
      </w:r>
      <w:r w:rsidR="00B14CFC">
        <w:rPr>
          <w:rFonts w:cs="Arial"/>
          <w:b/>
          <w:color w:val="000000" w:themeColor="text1"/>
          <w:sz w:val="22"/>
          <w:szCs w:val="22"/>
        </w:rPr>
        <w:t>á</w:t>
      </w:r>
      <w:r w:rsidR="005B384B" w:rsidRPr="00556799">
        <w:rPr>
          <w:rFonts w:cs="Arial"/>
          <w:b/>
          <w:color w:val="000000" w:themeColor="text1"/>
          <w:sz w:val="22"/>
          <w:szCs w:val="22"/>
        </w:rPr>
        <w:t xml:space="preserve"> měl</w:t>
      </w:r>
      <w:r w:rsidR="00B14CFC">
        <w:rPr>
          <w:rFonts w:cs="Arial"/>
          <w:b/>
          <w:color w:val="000000" w:themeColor="text1"/>
          <w:sz w:val="22"/>
          <w:szCs w:val="22"/>
        </w:rPr>
        <w:t>a</w:t>
      </w:r>
      <w:r w:rsidR="00202533" w:rsidRPr="00556799">
        <w:rPr>
          <w:rFonts w:cs="Arial"/>
          <w:b/>
          <w:color w:val="000000" w:themeColor="text1"/>
          <w:sz w:val="22"/>
          <w:szCs w:val="22"/>
        </w:rPr>
        <w:t xml:space="preserve"> být urychleně využit</w:t>
      </w:r>
      <w:r w:rsidR="00B14CFC">
        <w:rPr>
          <w:rFonts w:cs="Arial"/>
          <w:b/>
          <w:color w:val="000000" w:themeColor="text1"/>
          <w:sz w:val="22"/>
          <w:szCs w:val="22"/>
        </w:rPr>
        <w:t>a</w:t>
      </w:r>
      <w:r w:rsidR="00202533" w:rsidRPr="00556799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1B434B" w:rsidRPr="00556799">
        <w:rPr>
          <w:rFonts w:cs="Arial"/>
          <w:b/>
          <w:color w:val="000000" w:themeColor="text1"/>
          <w:sz w:val="22"/>
          <w:szCs w:val="22"/>
        </w:rPr>
        <w:t xml:space="preserve">v zahraničních misích. Část </w:t>
      </w:r>
      <w:r w:rsidR="00202533" w:rsidRPr="00556799">
        <w:rPr>
          <w:rFonts w:cs="Arial"/>
          <w:b/>
          <w:color w:val="000000" w:themeColor="text1"/>
          <w:sz w:val="22"/>
          <w:szCs w:val="22"/>
        </w:rPr>
        <w:t xml:space="preserve">těchto </w:t>
      </w:r>
      <w:r w:rsidR="001B434B" w:rsidRPr="00556799">
        <w:rPr>
          <w:rFonts w:cs="Arial"/>
          <w:b/>
          <w:color w:val="000000" w:themeColor="text1"/>
          <w:sz w:val="22"/>
          <w:szCs w:val="22"/>
        </w:rPr>
        <w:t xml:space="preserve">vozidel </w:t>
      </w:r>
      <w:r w:rsidR="00691BF9" w:rsidRPr="00556799">
        <w:rPr>
          <w:rFonts w:cs="Arial"/>
          <w:b/>
          <w:color w:val="000000" w:themeColor="text1"/>
          <w:sz w:val="22"/>
          <w:szCs w:val="22"/>
        </w:rPr>
        <w:t>pořízených</w:t>
      </w:r>
      <w:r w:rsidR="001B434B" w:rsidRPr="00556799">
        <w:rPr>
          <w:rFonts w:cs="Arial"/>
          <w:b/>
          <w:color w:val="000000" w:themeColor="text1"/>
          <w:sz w:val="22"/>
          <w:szCs w:val="22"/>
        </w:rPr>
        <w:t xml:space="preserve"> za 121,2 mil. Kč v roce 2010 nebyla </w:t>
      </w:r>
      <w:r w:rsidR="00202533" w:rsidRPr="00556799">
        <w:rPr>
          <w:rFonts w:cs="Arial"/>
          <w:b/>
          <w:color w:val="000000" w:themeColor="text1"/>
          <w:sz w:val="22"/>
          <w:szCs w:val="22"/>
        </w:rPr>
        <w:t xml:space="preserve">v </w:t>
      </w:r>
      <w:r w:rsidR="001B434B" w:rsidRPr="00556799">
        <w:rPr>
          <w:rFonts w:cs="Arial"/>
          <w:b/>
          <w:color w:val="000000" w:themeColor="text1"/>
          <w:sz w:val="22"/>
          <w:szCs w:val="22"/>
        </w:rPr>
        <w:t>zahraničí dosud nasazena.</w:t>
      </w:r>
    </w:p>
    <w:p w:rsidR="00564BC7" w:rsidRDefault="00564BC7" w:rsidP="00556799">
      <w:pPr>
        <w:jc w:val="both"/>
        <w:rPr>
          <w:rFonts w:cs="Arial"/>
          <w:b/>
          <w:color w:val="000000" w:themeColor="text1"/>
          <w:sz w:val="22"/>
          <w:szCs w:val="22"/>
        </w:rPr>
      </w:pPr>
    </w:p>
    <w:p w:rsidR="00A130B1" w:rsidRDefault="001B434B" w:rsidP="00556799">
      <w:pPr>
        <w:jc w:val="both"/>
        <w:rPr>
          <w:rFonts w:cs="Arial"/>
          <w:b/>
          <w:color w:val="000000" w:themeColor="text1"/>
          <w:sz w:val="22"/>
          <w:szCs w:val="22"/>
        </w:rPr>
      </w:pPr>
      <w:r w:rsidRPr="00556799">
        <w:rPr>
          <w:rFonts w:cs="Arial"/>
          <w:b/>
          <w:color w:val="000000" w:themeColor="text1"/>
          <w:sz w:val="22"/>
          <w:szCs w:val="22"/>
        </w:rPr>
        <w:t xml:space="preserve">Problémy </w:t>
      </w:r>
      <w:r w:rsidR="00DE5AB3">
        <w:rPr>
          <w:rFonts w:cs="Arial"/>
          <w:b/>
          <w:color w:val="000000" w:themeColor="text1"/>
          <w:sz w:val="22"/>
          <w:szCs w:val="22"/>
        </w:rPr>
        <w:t>se objevily</w:t>
      </w:r>
      <w:r w:rsidR="0052780A" w:rsidRPr="00556799">
        <w:rPr>
          <w:rFonts w:cs="Arial"/>
          <w:b/>
          <w:color w:val="000000" w:themeColor="text1"/>
          <w:sz w:val="22"/>
          <w:szCs w:val="22"/>
        </w:rPr>
        <w:t xml:space="preserve"> při nákupu </w:t>
      </w:r>
      <w:r w:rsidR="008957CA" w:rsidRPr="00556799">
        <w:rPr>
          <w:rFonts w:cs="Arial"/>
          <w:b/>
          <w:color w:val="000000" w:themeColor="text1"/>
          <w:sz w:val="22"/>
          <w:szCs w:val="22"/>
        </w:rPr>
        <w:t xml:space="preserve">souprav </w:t>
      </w:r>
      <w:r w:rsidR="0052780A" w:rsidRPr="00556799">
        <w:rPr>
          <w:rFonts w:cs="Arial"/>
          <w:b/>
          <w:color w:val="000000" w:themeColor="text1"/>
          <w:sz w:val="22"/>
          <w:szCs w:val="22"/>
        </w:rPr>
        <w:t xml:space="preserve">padáků, kdy první </w:t>
      </w:r>
      <w:r w:rsidR="0093384B" w:rsidRPr="00556799">
        <w:rPr>
          <w:rFonts w:cs="Arial"/>
          <w:b/>
          <w:color w:val="000000" w:themeColor="text1"/>
          <w:sz w:val="22"/>
          <w:szCs w:val="22"/>
        </w:rPr>
        <w:t xml:space="preserve">část </w:t>
      </w:r>
      <w:r w:rsidR="00B14CFC">
        <w:rPr>
          <w:rFonts w:cs="Arial"/>
          <w:b/>
          <w:color w:val="000000" w:themeColor="text1"/>
          <w:sz w:val="22"/>
          <w:szCs w:val="22"/>
        </w:rPr>
        <w:t xml:space="preserve">akce </w:t>
      </w:r>
      <w:r w:rsidR="00106AD4" w:rsidRPr="00556799">
        <w:rPr>
          <w:rFonts w:cs="Arial"/>
          <w:b/>
          <w:color w:val="000000" w:themeColor="text1"/>
          <w:sz w:val="22"/>
          <w:szCs w:val="22"/>
        </w:rPr>
        <w:t>byla realizována až v roce 2011</w:t>
      </w:r>
      <w:r w:rsidRPr="00556799">
        <w:rPr>
          <w:rFonts w:cs="Arial"/>
          <w:b/>
          <w:color w:val="000000" w:themeColor="text1"/>
          <w:sz w:val="22"/>
          <w:szCs w:val="22"/>
        </w:rPr>
        <w:t xml:space="preserve"> oproti stanovenému roku 2008</w:t>
      </w:r>
      <w:r w:rsidR="00DE5AB3">
        <w:rPr>
          <w:rFonts w:cs="Arial"/>
          <w:b/>
          <w:color w:val="000000" w:themeColor="text1"/>
          <w:sz w:val="22"/>
          <w:szCs w:val="22"/>
        </w:rPr>
        <w:t>;</w:t>
      </w:r>
      <w:r w:rsidRPr="00556799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DE5AB3">
        <w:rPr>
          <w:rFonts w:cs="Arial"/>
          <w:b/>
          <w:color w:val="000000" w:themeColor="text1"/>
          <w:sz w:val="22"/>
          <w:szCs w:val="22"/>
        </w:rPr>
        <w:t>důvodem byly</w:t>
      </w:r>
      <w:r w:rsidRPr="00556799">
        <w:rPr>
          <w:rFonts w:cs="Arial"/>
          <w:b/>
          <w:color w:val="000000" w:themeColor="text1"/>
          <w:sz w:val="22"/>
          <w:szCs w:val="22"/>
        </w:rPr>
        <w:t xml:space="preserve"> pro</w:t>
      </w:r>
      <w:r w:rsidR="00B14CFC">
        <w:rPr>
          <w:rFonts w:cs="Arial"/>
          <w:b/>
          <w:color w:val="000000" w:themeColor="text1"/>
          <w:sz w:val="22"/>
          <w:szCs w:val="22"/>
        </w:rPr>
        <w:t>blémy v zadávacích řízeních a </w:t>
      </w:r>
      <w:r w:rsidR="00202533" w:rsidRPr="00556799">
        <w:rPr>
          <w:rFonts w:cs="Arial"/>
          <w:b/>
          <w:color w:val="000000" w:themeColor="text1"/>
          <w:sz w:val="22"/>
          <w:szCs w:val="22"/>
        </w:rPr>
        <w:t>ne</w:t>
      </w:r>
      <w:r w:rsidRPr="00556799">
        <w:rPr>
          <w:rFonts w:cs="Arial"/>
          <w:b/>
          <w:color w:val="000000" w:themeColor="text1"/>
          <w:sz w:val="22"/>
          <w:szCs w:val="22"/>
        </w:rPr>
        <w:t xml:space="preserve">plnění technických parametrů dodavatelem. MO </w:t>
      </w:r>
      <w:r w:rsidR="00E332E1" w:rsidRPr="00556799">
        <w:rPr>
          <w:rFonts w:cs="Arial"/>
          <w:b/>
          <w:color w:val="000000" w:themeColor="text1"/>
          <w:sz w:val="22"/>
          <w:szCs w:val="22"/>
        </w:rPr>
        <w:t xml:space="preserve">přesto téhož </w:t>
      </w:r>
      <w:r w:rsidRPr="00556799">
        <w:rPr>
          <w:rFonts w:cs="Arial"/>
          <w:b/>
          <w:color w:val="000000" w:themeColor="text1"/>
          <w:sz w:val="22"/>
          <w:szCs w:val="22"/>
        </w:rPr>
        <w:t>dodav</w:t>
      </w:r>
      <w:r w:rsidR="00B14CFC">
        <w:rPr>
          <w:rFonts w:cs="Arial"/>
          <w:b/>
          <w:color w:val="000000" w:themeColor="text1"/>
          <w:sz w:val="22"/>
          <w:szCs w:val="22"/>
        </w:rPr>
        <w:t xml:space="preserve">atele </w:t>
      </w:r>
      <w:r w:rsidR="00B14CFC">
        <w:rPr>
          <w:rFonts w:cs="Arial"/>
          <w:b/>
          <w:color w:val="000000" w:themeColor="text1"/>
          <w:sz w:val="22"/>
          <w:szCs w:val="22"/>
        </w:rPr>
        <w:lastRenderedPageBreak/>
        <w:t>vybralo i </w:t>
      </w:r>
      <w:r w:rsidR="0093384B" w:rsidRPr="00556799">
        <w:rPr>
          <w:rFonts w:cs="Arial"/>
          <w:b/>
          <w:color w:val="000000" w:themeColor="text1"/>
          <w:sz w:val="22"/>
          <w:szCs w:val="22"/>
        </w:rPr>
        <w:t>pro druhou část</w:t>
      </w:r>
      <w:r w:rsidRPr="00556799">
        <w:rPr>
          <w:rFonts w:cs="Arial"/>
          <w:b/>
          <w:color w:val="000000" w:themeColor="text1"/>
          <w:sz w:val="22"/>
          <w:szCs w:val="22"/>
        </w:rPr>
        <w:t xml:space="preserve"> nákupu</w:t>
      </w:r>
      <w:r w:rsidR="0093384B" w:rsidRPr="00556799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DE5AB3">
        <w:rPr>
          <w:rFonts w:cs="Arial"/>
          <w:b/>
          <w:color w:val="000000" w:themeColor="text1"/>
          <w:sz w:val="22"/>
          <w:szCs w:val="22"/>
        </w:rPr>
        <w:t>financovanou</w:t>
      </w:r>
      <w:r w:rsidR="0093384B" w:rsidRPr="00556799">
        <w:rPr>
          <w:rFonts w:cs="Arial"/>
          <w:b/>
          <w:color w:val="000000" w:themeColor="text1"/>
          <w:sz w:val="22"/>
          <w:szCs w:val="22"/>
        </w:rPr>
        <w:t xml:space="preserve"> z jiného programu</w:t>
      </w:r>
      <w:r w:rsidR="00B14CFC">
        <w:rPr>
          <w:rFonts w:cs="Arial"/>
          <w:b/>
          <w:color w:val="000000" w:themeColor="text1"/>
          <w:sz w:val="22"/>
          <w:szCs w:val="22"/>
        </w:rPr>
        <w:t>;</w:t>
      </w:r>
      <w:r w:rsidRPr="00556799">
        <w:rPr>
          <w:rFonts w:cs="Arial"/>
          <w:b/>
          <w:color w:val="000000" w:themeColor="text1"/>
          <w:sz w:val="22"/>
          <w:szCs w:val="22"/>
        </w:rPr>
        <w:t xml:space="preserve"> technické problémy se opak</w:t>
      </w:r>
      <w:r w:rsidR="0052780A" w:rsidRPr="00556799">
        <w:rPr>
          <w:rFonts w:cs="Arial"/>
          <w:b/>
          <w:color w:val="000000" w:themeColor="text1"/>
          <w:sz w:val="22"/>
          <w:szCs w:val="22"/>
        </w:rPr>
        <w:t xml:space="preserve">ovaly a způsobily opět zpoždění </w:t>
      </w:r>
      <w:r w:rsidRPr="00556799">
        <w:rPr>
          <w:rFonts w:cs="Arial"/>
          <w:b/>
          <w:color w:val="000000" w:themeColor="text1"/>
          <w:sz w:val="22"/>
          <w:szCs w:val="22"/>
        </w:rPr>
        <w:t>o dva roky</w:t>
      </w:r>
      <w:r w:rsidR="00A130B1" w:rsidRPr="00556799">
        <w:rPr>
          <w:rFonts w:cs="Arial"/>
          <w:b/>
          <w:color w:val="000000" w:themeColor="text1"/>
          <w:sz w:val="22"/>
          <w:szCs w:val="22"/>
        </w:rPr>
        <w:t>.</w:t>
      </w:r>
    </w:p>
    <w:p w:rsidR="00556799" w:rsidRDefault="00556799" w:rsidP="00556799">
      <w:pPr>
        <w:jc w:val="both"/>
        <w:rPr>
          <w:rFonts w:cs="Arial"/>
          <w:b/>
          <w:color w:val="000000" w:themeColor="text1"/>
          <w:sz w:val="22"/>
          <w:szCs w:val="22"/>
        </w:rPr>
      </w:pPr>
    </w:p>
    <w:p w:rsidR="00426CF5" w:rsidRPr="00556799" w:rsidRDefault="00426CF5" w:rsidP="00426CF5">
      <w:pPr>
        <w:jc w:val="both"/>
        <w:rPr>
          <w:rFonts w:cs="Arial"/>
          <w:b/>
          <w:color w:val="000000" w:themeColor="text1"/>
          <w:sz w:val="22"/>
          <w:szCs w:val="22"/>
        </w:rPr>
      </w:pPr>
      <w:r w:rsidRPr="00556799">
        <w:rPr>
          <w:rFonts w:cs="Arial"/>
          <w:b/>
          <w:color w:val="000000" w:themeColor="text1"/>
          <w:sz w:val="22"/>
          <w:szCs w:val="22"/>
        </w:rPr>
        <w:t xml:space="preserve">Kontrolou bylo zjištěno, že MO mělo v kontrolovaném období na skladě 712 souprav padáků za cca 120 mil. Kč, které byly od pořízení pouze uskladněny. Po ukončení </w:t>
      </w:r>
      <w:r>
        <w:rPr>
          <w:rFonts w:cs="Arial"/>
          <w:b/>
          <w:color w:val="000000" w:themeColor="text1"/>
          <w:sz w:val="22"/>
          <w:szCs w:val="22"/>
        </w:rPr>
        <w:t>své</w:t>
      </w:r>
      <w:r w:rsidRPr="00556799">
        <w:rPr>
          <w:rFonts w:cs="Arial"/>
          <w:b/>
          <w:color w:val="000000" w:themeColor="text1"/>
          <w:sz w:val="22"/>
          <w:szCs w:val="22"/>
        </w:rPr>
        <w:t xml:space="preserve"> technické životnosti byly fyzicky zlikvidovány. </w:t>
      </w:r>
    </w:p>
    <w:p w:rsidR="00426CF5" w:rsidRPr="00556799" w:rsidRDefault="00426CF5" w:rsidP="00556799">
      <w:pPr>
        <w:jc w:val="both"/>
        <w:rPr>
          <w:rFonts w:cs="Arial"/>
          <w:b/>
          <w:color w:val="000000" w:themeColor="text1"/>
          <w:sz w:val="22"/>
          <w:szCs w:val="22"/>
        </w:rPr>
      </w:pPr>
    </w:p>
    <w:p w:rsidR="004D1CAF" w:rsidRPr="00556799" w:rsidRDefault="001B434B" w:rsidP="00556799">
      <w:pPr>
        <w:jc w:val="both"/>
        <w:rPr>
          <w:rFonts w:cs="Arial"/>
          <w:b/>
          <w:color w:val="000000" w:themeColor="text1"/>
          <w:sz w:val="22"/>
          <w:szCs w:val="22"/>
        </w:rPr>
      </w:pPr>
      <w:r w:rsidRPr="00556799">
        <w:rPr>
          <w:rFonts w:cs="Arial"/>
          <w:b/>
          <w:color w:val="000000" w:themeColor="text1"/>
          <w:sz w:val="22"/>
          <w:szCs w:val="22"/>
        </w:rPr>
        <w:t>V rámci kontrol</w:t>
      </w:r>
      <w:r w:rsidR="00106AD4" w:rsidRPr="00556799">
        <w:rPr>
          <w:rFonts w:cs="Arial"/>
          <w:b/>
          <w:color w:val="000000" w:themeColor="text1"/>
          <w:sz w:val="22"/>
          <w:szCs w:val="22"/>
        </w:rPr>
        <w:t>ní akce bylo prověřeno celkem 13</w:t>
      </w:r>
      <w:r w:rsidR="00B323AA" w:rsidRPr="00556799">
        <w:rPr>
          <w:rFonts w:cs="Arial"/>
          <w:b/>
          <w:color w:val="000000" w:themeColor="text1"/>
          <w:sz w:val="22"/>
          <w:szCs w:val="22"/>
        </w:rPr>
        <w:t xml:space="preserve"> zadávacích řízení. MO pouze ve čtyřech případech vybralo otevřené řízení nebo postup otevřenému ř</w:t>
      </w:r>
      <w:r w:rsidR="00106AD4" w:rsidRPr="00556799">
        <w:rPr>
          <w:rFonts w:cs="Arial"/>
          <w:b/>
          <w:color w:val="000000" w:themeColor="text1"/>
          <w:sz w:val="22"/>
          <w:szCs w:val="22"/>
        </w:rPr>
        <w:t>ízení obdobný. V ostatních devíti</w:t>
      </w:r>
      <w:r w:rsidR="00B323AA" w:rsidRPr="00556799">
        <w:rPr>
          <w:rFonts w:cs="Arial"/>
          <w:b/>
          <w:color w:val="000000" w:themeColor="text1"/>
          <w:sz w:val="22"/>
          <w:szCs w:val="22"/>
        </w:rPr>
        <w:t xml:space="preserve"> případech byl z různých důvodů osloven pouze jeden dodavatel. </w:t>
      </w:r>
      <w:r w:rsidR="00AB0177" w:rsidRPr="00556799">
        <w:rPr>
          <w:rFonts w:cs="Arial"/>
          <w:b/>
          <w:color w:val="000000" w:themeColor="text1"/>
          <w:sz w:val="22"/>
          <w:szCs w:val="22"/>
        </w:rPr>
        <w:t>Uvedeným postup</w:t>
      </w:r>
      <w:r w:rsidR="00DE5AB3">
        <w:rPr>
          <w:rFonts w:cs="Arial"/>
          <w:b/>
          <w:color w:val="000000" w:themeColor="text1"/>
          <w:sz w:val="22"/>
          <w:szCs w:val="22"/>
        </w:rPr>
        <w:t>em</w:t>
      </w:r>
      <w:r w:rsidR="00AB0177" w:rsidRPr="00556799">
        <w:rPr>
          <w:rFonts w:cs="Arial"/>
          <w:b/>
          <w:color w:val="000000" w:themeColor="text1"/>
          <w:sz w:val="22"/>
          <w:szCs w:val="22"/>
        </w:rPr>
        <w:t xml:space="preserve"> dochází k omezování hospodářské soutěže, což může v konečném důsledku negativně ovlivňovat výši kupní ceny. </w:t>
      </w:r>
      <w:r w:rsidR="001F55CF" w:rsidRPr="00556799">
        <w:rPr>
          <w:rFonts w:cs="Arial"/>
          <w:b/>
          <w:color w:val="000000" w:themeColor="text1"/>
          <w:sz w:val="22"/>
          <w:szCs w:val="22"/>
        </w:rPr>
        <w:t>Jako příklad je možné uvést pořízení osobních padáků, přístrojů nočního vidění, souprav chemického pozorovatele</w:t>
      </w:r>
      <w:r w:rsidR="00DE5AB3">
        <w:rPr>
          <w:rFonts w:cs="Arial"/>
          <w:b/>
          <w:color w:val="000000" w:themeColor="text1"/>
          <w:sz w:val="22"/>
          <w:szCs w:val="22"/>
        </w:rPr>
        <w:t xml:space="preserve"> nebo</w:t>
      </w:r>
      <w:r w:rsidR="001F55CF" w:rsidRPr="00556799">
        <w:rPr>
          <w:rFonts w:cs="Arial"/>
          <w:b/>
          <w:color w:val="000000" w:themeColor="text1"/>
          <w:sz w:val="22"/>
          <w:szCs w:val="22"/>
        </w:rPr>
        <w:t xml:space="preserve"> elektronické v</w:t>
      </w:r>
      <w:r w:rsidR="0052780A" w:rsidRPr="00556799">
        <w:rPr>
          <w:rFonts w:cs="Arial"/>
          <w:b/>
          <w:color w:val="000000" w:themeColor="text1"/>
          <w:sz w:val="22"/>
          <w:szCs w:val="22"/>
        </w:rPr>
        <w:t>ýbavy lehkých obrněných vozidel</w:t>
      </w:r>
      <w:r w:rsidR="001F55CF" w:rsidRPr="00556799">
        <w:rPr>
          <w:rFonts w:cs="Arial"/>
          <w:b/>
          <w:color w:val="000000" w:themeColor="text1"/>
          <w:sz w:val="22"/>
          <w:szCs w:val="22"/>
        </w:rPr>
        <w:t>.</w:t>
      </w:r>
    </w:p>
    <w:p w:rsidR="00B323AA" w:rsidRPr="00556799" w:rsidRDefault="00B323AA" w:rsidP="00556799">
      <w:pPr>
        <w:jc w:val="both"/>
        <w:rPr>
          <w:rFonts w:cs="Arial"/>
          <w:b/>
          <w:color w:val="000000" w:themeColor="text1"/>
          <w:sz w:val="22"/>
          <w:szCs w:val="22"/>
        </w:rPr>
      </w:pPr>
    </w:p>
    <w:sectPr w:rsidR="00B323AA" w:rsidRPr="00556799" w:rsidSect="00556799">
      <w:footerReference w:type="default" r:id="rId10"/>
      <w:footerReference w:type="first" r:id="rId11"/>
      <w:pgSz w:w="11907" w:h="16839" w:code="9"/>
      <w:pgMar w:top="1418" w:right="1418" w:bottom="1418" w:left="1418" w:header="68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E6" w:rsidRDefault="00CB06E6">
      <w:r>
        <w:separator/>
      </w:r>
    </w:p>
  </w:endnote>
  <w:endnote w:type="continuationSeparator" w:id="0">
    <w:p w:rsidR="00CB06E6" w:rsidRDefault="00CB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E6" w:rsidRPr="00E06DF3" w:rsidRDefault="00CB06E6" w:rsidP="00E06DF3">
    <w:pPr>
      <w:pStyle w:val="Zpat"/>
      <w:tabs>
        <w:tab w:val="clear" w:pos="4536"/>
      </w:tabs>
      <w:jc w:val="center"/>
      <w:rPr>
        <w:rFonts w:cs="Arial"/>
        <w:sz w:val="22"/>
        <w:szCs w:val="22"/>
      </w:rPr>
    </w:pPr>
    <w:r w:rsidRPr="00E06DF3">
      <w:rPr>
        <w:rFonts w:cs="Arial"/>
        <w:sz w:val="22"/>
        <w:szCs w:val="22"/>
      </w:rPr>
      <w:fldChar w:fldCharType="begin"/>
    </w:r>
    <w:r w:rsidRPr="00E06DF3">
      <w:rPr>
        <w:rFonts w:cs="Arial"/>
        <w:sz w:val="22"/>
        <w:szCs w:val="22"/>
      </w:rPr>
      <w:instrText xml:space="preserve"> PAGE   \* MERGEFORMAT </w:instrText>
    </w:r>
    <w:r w:rsidRPr="00E06DF3">
      <w:rPr>
        <w:rFonts w:cs="Arial"/>
        <w:sz w:val="22"/>
        <w:szCs w:val="22"/>
      </w:rPr>
      <w:fldChar w:fldCharType="separate"/>
    </w:r>
    <w:r w:rsidR="009A2C3A">
      <w:rPr>
        <w:rFonts w:cs="Arial"/>
        <w:noProof/>
        <w:sz w:val="22"/>
        <w:szCs w:val="22"/>
      </w:rPr>
      <w:t>11</w:t>
    </w:r>
    <w:r w:rsidRPr="00E06DF3">
      <w:rPr>
        <w:rFonts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E6" w:rsidRPr="00E06DF3" w:rsidRDefault="00CB06E6" w:rsidP="00E06DF3">
    <w:pPr>
      <w:pStyle w:val="Zpat"/>
      <w:tabs>
        <w:tab w:val="clear" w:pos="4536"/>
      </w:tabs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E6" w:rsidRDefault="00CB06E6">
      <w:r>
        <w:separator/>
      </w:r>
    </w:p>
  </w:footnote>
  <w:footnote w:type="continuationSeparator" w:id="0">
    <w:p w:rsidR="00CB06E6" w:rsidRDefault="00CB06E6">
      <w:r>
        <w:continuationSeparator/>
      </w:r>
    </w:p>
  </w:footnote>
  <w:footnote w:id="1">
    <w:p w:rsidR="00CB06E6" w:rsidRPr="00E06DF3" w:rsidRDefault="00CB06E6" w:rsidP="00E06DF3">
      <w:pPr>
        <w:ind w:left="284" w:hanging="284"/>
        <w:rPr>
          <w:rFonts w:cs="Arial"/>
          <w:sz w:val="18"/>
          <w:szCs w:val="18"/>
        </w:rPr>
      </w:pPr>
      <w:r w:rsidRPr="00E06DF3">
        <w:rPr>
          <w:rStyle w:val="Znakapoznpodarou"/>
          <w:rFonts w:cs="Arial"/>
          <w:sz w:val="18"/>
          <w:szCs w:val="18"/>
        </w:rPr>
        <w:footnoteRef/>
      </w:r>
      <w:r w:rsidRPr="00E06DF3">
        <w:rPr>
          <w:rFonts w:cs="Arial"/>
          <w:sz w:val="18"/>
          <w:szCs w:val="18"/>
        </w:rPr>
        <w:tab/>
        <w:t xml:space="preserve">Zákon č. 218/2000 Sb., </w:t>
      </w:r>
      <w:r w:rsidRPr="00564BC7">
        <w:rPr>
          <w:rFonts w:cs="Arial"/>
          <w:sz w:val="18"/>
          <w:szCs w:val="18"/>
        </w:rPr>
        <w:t>o rozpočtových pravidlech a o změně některých souvisejících zákonů (rozpočtová pravidla)</w:t>
      </w:r>
      <w:r w:rsidRPr="00E06DF3">
        <w:rPr>
          <w:rFonts w:cs="Arial"/>
          <w:sz w:val="18"/>
          <w:szCs w:val="18"/>
        </w:rPr>
        <w:t>.</w:t>
      </w:r>
    </w:p>
  </w:footnote>
  <w:footnote w:id="2">
    <w:p w:rsidR="00CB06E6" w:rsidRPr="00E06DF3" w:rsidRDefault="00CB06E6" w:rsidP="00E06DF3">
      <w:pPr>
        <w:ind w:left="284" w:hanging="284"/>
        <w:rPr>
          <w:rFonts w:cs="Arial"/>
          <w:sz w:val="18"/>
          <w:szCs w:val="18"/>
        </w:rPr>
      </w:pPr>
      <w:r w:rsidRPr="00E06DF3">
        <w:rPr>
          <w:rStyle w:val="Znakapoznpodarou"/>
          <w:rFonts w:cs="Arial"/>
          <w:sz w:val="18"/>
          <w:szCs w:val="18"/>
        </w:rPr>
        <w:footnoteRef/>
      </w:r>
      <w:r w:rsidRPr="00E06DF3">
        <w:rPr>
          <w:rFonts w:cs="Arial"/>
          <w:sz w:val="18"/>
          <w:szCs w:val="18"/>
        </w:rPr>
        <w:tab/>
        <w:t xml:space="preserve">Vyhláška č. 560/2006 Sb., </w:t>
      </w:r>
      <w:r w:rsidRPr="00564BC7">
        <w:rPr>
          <w:rFonts w:cs="Arial"/>
          <w:sz w:val="18"/>
          <w:szCs w:val="18"/>
        </w:rPr>
        <w:t>o účasti státního rozpočtu na financování programů reprodukce majetku</w:t>
      </w:r>
      <w:r w:rsidRPr="00E06DF3">
        <w:rPr>
          <w:rFonts w:cs="Arial"/>
          <w:sz w:val="18"/>
          <w:szCs w:val="18"/>
        </w:rPr>
        <w:t>.</w:t>
      </w:r>
    </w:p>
  </w:footnote>
  <w:footnote w:id="3">
    <w:p w:rsidR="00CB06E6" w:rsidRPr="00D0377B" w:rsidRDefault="00CB06E6" w:rsidP="004C414F">
      <w:pPr>
        <w:pStyle w:val="Textpoznpodarou"/>
        <w:ind w:left="284" w:hanging="284"/>
        <w:jc w:val="both"/>
        <w:rPr>
          <w:sz w:val="18"/>
          <w:szCs w:val="18"/>
        </w:rPr>
      </w:pPr>
      <w:r w:rsidRPr="00D0377B">
        <w:rPr>
          <w:rStyle w:val="Znakapoznpodarou"/>
          <w:sz w:val="18"/>
          <w:szCs w:val="18"/>
        </w:rPr>
        <w:footnoteRef/>
      </w:r>
      <w:r w:rsidRPr="00D0377B">
        <w:rPr>
          <w:sz w:val="18"/>
          <w:szCs w:val="18"/>
        </w:rPr>
        <w:tab/>
        <w:t xml:space="preserve">Kontrolní závěr z kontrolní akce č. 10/10 – </w:t>
      </w:r>
      <w:r w:rsidRPr="00D0377B">
        <w:rPr>
          <w:i/>
          <w:sz w:val="18"/>
          <w:szCs w:val="18"/>
        </w:rPr>
        <w:t>Peněžní prostředky určené na pořizování vybrané techniky Armády České republiky</w:t>
      </w:r>
      <w:r w:rsidRPr="00D0377B">
        <w:rPr>
          <w:sz w:val="18"/>
          <w:szCs w:val="18"/>
        </w:rPr>
        <w:t xml:space="preserve"> (byl zveřejněn v částce 2/2011 </w:t>
      </w:r>
      <w:r w:rsidRPr="00D0377B">
        <w:rPr>
          <w:i/>
          <w:sz w:val="18"/>
          <w:szCs w:val="18"/>
        </w:rPr>
        <w:t>Věstníku NKÚ)</w:t>
      </w:r>
      <w:r w:rsidRPr="00D0377B">
        <w:rPr>
          <w:sz w:val="18"/>
          <w:szCs w:val="18"/>
        </w:rPr>
        <w:t>.</w:t>
      </w:r>
    </w:p>
  </w:footnote>
  <w:footnote w:id="4">
    <w:p w:rsidR="00CB06E6" w:rsidRPr="00D0377B" w:rsidRDefault="00CB06E6" w:rsidP="004C414F">
      <w:pPr>
        <w:pStyle w:val="Textpoznpodarou"/>
        <w:ind w:left="284" w:hanging="284"/>
        <w:jc w:val="both"/>
        <w:rPr>
          <w:sz w:val="18"/>
          <w:szCs w:val="18"/>
        </w:rPr>
      </w:pPr>
      <w:r w:rsidRPr="00D0377B">
        <w:rPr>
          <w:rStyle w:val="Znakapoznpodarou"/>
          <w:sz w:val="18"/>
          <w:szCs w:val="18"/>
        </w:rPr>
        <w:footnoteRef/>
      </w:r>
      <w:r w:rsidRPr="00D0377B">
        <w:rPr>
          <w:sz w:val="18"/>
          <w:szCs w:val="18"/>
        </w:rPr>
        <w:tab/>
        <w:t xml:space="preserve">Usnesení vlády ze dne 18. května 2011 č. 369, </w:t>
      </w:r>
      <w:r w:rsidRPr="00D0377B">
        <w:rPr>
          <w:i/>
          <w:sz w:val="18"/>
          <w:szCs w:val="18"/>
        </w:rPr>
        <w:t>o Bílé knize o obraně</w:t>
      </w:r>
      <w:r w:rsidRPr="00D0377B">
        <w:rPr>
          <w:sz w:val="18"/>
          <w:szCs w:val="18"/>
        </w:rPr>
        <w:t>.</w:t>
      </w:r>
    </w:p>
  </w:footnote>
  <w:footnote w:id="5">
    <w:p w:rsidR="00CB06E6" w:rsidRPr="00D0377B" w:rsidRDefault="00CB06E6" w:rsidP="004C414F">
      <w:pPr>
        <w:pStyle w:val="Textpoznpodarou"/>
        <w:ind w:left="284" w:hanging="284"/>
        <w:rPr>
          <w:sz w:val="18"/>
          <w:szCs w:val="18"/>
        </w:rPr>
      </w:pPr>
      <w:r w:rsidRPr="00D0377B">
        <w:rPr>
          <w:rStyle w:val="Znakapoznpodarou"/>
          <w:sz w:val="18"/>
          <w:szCs w:val="18"/>
        </w:rPr>
        <w:footnoteRef/>
      </w:r>
      <w:r w:rsidRPr="00D0377B">
        <w:rPr>
          <w:sz w:val="18"/>
          <w:szCs w:val="18"/>
        </w:rPr>
        <w:tab/>
        <w:t xml:space="preserve">Projekty jsou uváděny v dokumentaci programů rovněž jako akce. </w:t>
      </w:r>
    </w:p>
  </w:footnote>
  <w:footnote w:id="6">
    <w:p w:rsidR="00CB06E6" w:rsidRPr="00D0377B" w:rsidRDefault="00CB06E6" w:rsidP="004C414F">
      <w:pPr>
        <w:pStyle w:val="Textpoznpodarou"/>
        <w:ind w:left="284" w:hanging="284"/>
        <w:jc w:val="both"/>
        <w:rPr>
          <w:sz w:val="18"/>
          <w:szCs w:val="18"/>
        </w:rPr>
      </w:pPr>
      <w:r w:rsidRPr="00D0377B">
        <w:rPr>
          <w:rStyle w:val="Znakapoznpodarou"/>
          <w:sz w:val="18"/>
          <w:szCs w:val="18"/>
        </w:rPr>
        <w:footnoteRef/>
      </w:r>
      <w:r w:rsidRPr="00D0377B">
        <w:rPr>
          <w:sz w:val="18"/>
          <w:szCs w:val="18"/>
        </w:rPr>
        <w:tab/>
        <w:t xml:space="preserve">Usnesení vlády ze dne 26. září 2012 č. 699, </w:t>
      </w:r>
      <w:r w:rsidRPr="00D0377B">
        <w:rPr>
          <w:i/>
          <w:sz w:val="18"/>
          <w:szCs w:val="18"/>
        </w:rPr>
        <w:t>o Obranné strategii České republiky</w:t>
      </w:r>
      <w:r w:rsidRPr="00D0377B">
        <w:rPr>
          <w:sz w:val="18"/>
          <w:szCs w:val="18"/>
        </w:rPr>
        <w:t xml:space="preserve">. </w:t>
      </w:r>
    </w:p>
  </w:footnote>
  <w:footnote w:id="7">
    <w:p w:rsidR="00CB06E6" w:rsidRPr="00D0377B" w:rsidRDefault="00CB06E6" w:rsidP="004C414F">
      <w:pPr>
        <w:pStyle w:val="Textpoznpodarou"/>
        <w:ind w:left="284" w:hanging="284"/>
        <w:jc w:val="both"/>
        <w:rPr>
          <w:sz w:val="18"/>
          <w:szCs w:val="18"/>
        </w:rPr>
      </w:pPr>
      <w:r w:rsidRPr="00D0377B">
        <w:rPr>
          <w:rStyle w:val="Znakapoznpodarou"/>
          <w:sz w:val="18"/>
          <w:szCs w:val="18"/>
        </w:rPr>
        <w:footnoteRef/>
      </w:r>
      <w:r w:rsidRPr="00D0377B">
        <w:rPr>
          <w:sz w:val="18"/>
          <w:szCs w:val="18"/>
        </w:rPr>
        <w:tab/>
        <w:t>Ustanovení § 4 odst. 1 písm. b) zákona č. 40/2004 Sb., o veřejných zakázkách, případně ustanovení § 18 odst. 1 písm. c) zákona č. 137/2006 Sb., o veřejných zakázkách.</w:t>
      </w:r>
    </w:p>
  </w:footnote>
  <w:footnote w:id="8">
    <w:p w:rsidR="00CB06E6" w:rsidRPr="00D0377B" w:rsidRDefault="00CB06E6" w:rsidP="004C414F">
      <w:pPr>
        <w:pStyle w:val="Textpoznpodarou"/>
        <w:ind w:left="284" w:hanging="284"/>
        <w:rPr>
          <w:rFonts w:cs="Arial"/>
          <w:sz w:val="18"/>
          <w:szCs w:val="18"/>
        </w:rPr>
      </w:pPr>
      <w:r w:rsidRPr="00D0377B">
        <w:rPr>
          <w:rStyle w:val="Znakapoznpodarou"/>
          <w:rFonts w:cs="Arial"/>
          <w:sz w:val="18"/>
          <w:szCs w:val="18"/>
        </w:rPr>
        <w:footnoteRef/>
      </w:r>
      <w:r w:rsidRPr="00D0377B">
        <w:rPr>
          <w:rFonts w:cs="Arial"/>
          <w:sz w:val="18"/>
          <w:szCs w:val="18"/>
        </w:rPr>
        <w:tab/>
        <w:t>Ustanovení § 21 odst. 1 písm. a) zákona č. 137/2006 Sb., o veřejných zakázkách.</w:t>
      </w:r>
    </w:p>
  </w:footnote>
  <w:footnote w:id="9">
    <w:p w:rsidR="00CB06E6" w:rsidRPr="00D0377B" w:rsidRDefault="00CB06E6" w:rsidP="004C414F">
      <w:pPr>
        <w:pStyle w:val="Textpoznpodarou"/>
        <w:ind w:left="284" w:hanging="284"/>
        <w:rPr>
          <w:rFonts w:cs="Arial"/>
          <w:sz w:val="18"/>
          <w:szCs w:val="18"/>
        </w:rPr>
      </w:pPr>
      <w:r w:rsidRPr="00D0377B">
        <w:rPr>
          <w:rStyle w:val="Znakapoznpodarou"/>
          <w:rFonts w:cs="Arial"/>
          <w:sz w:val="18"/>
          <w:szCs w:val="18"/>
        </w:rPr>
        <w:footnoteRef/>
      </w:r>
      <w:r w:rsidRPr="00D0377B">
        <w:rPr>
          <w:rFonts w:cs="Arial"/>
          <w:sz w:val="18"/>
          <w:szCs w:val="18"/>
        </w:rPr>
        <w:tab/>
        <w:t xml:space="preserve">Ustanovení § 22 odst. 1 a 2 zákona č. 137/2006 Sb., o veřejných zakázkách. </w:t>
      </w:r>
    </w:p>
  </w:footnote>
  <w:footnote w:id="10">
    <w:p w:rsidR="00CB06E6" w:rsidRPr="00D0377B" w:rsidRDefault="00CB06E6" w:rsidP="004C414F">
      <w:pPr>
        <w:pStyle w:val="Textpoznpodarou"/>
        <w:ind w:left="284" w:hanging="284"/>
        <w:rPr>
          <w:sz w:val="18"/>
          <w:szCs w:val="18"/>
        </w:rPr>
      </w:pPr>
      <w:r w:rsidRPr="00D0377B">
        <w:rPr>
          <w:rStyle w:val="Znakapoznpodarou"/>
          <w:sz w:val="18"/>
          <w:szCs w:val="18"/>
        </w:rPr>
        <w:footnoteRef/>
      </w:r>
      <w:r w:rsidRPr="00D0377B">
        <w:rPr>
          <w:sz w:val="18"/>
          <w:szCs w:val="18"/>
        </w:rPr>
        <w:tab/>
        <w:t>Padákový komplet s hlavním padákem s kruhovým vrchlíkem OVP-80.08 SL</w:t>
      </w:r>
      <w:r>
        <w:rPr>
          <w:sz w:val="18"/>
          <w:szCs w:val="18"/>
        </w:rPr>
        <w:t>,</w:t>
      </w:r>
      <w:r w:rsidRPr="00D0377B">
        <w:rPr>
          <w:sz w:val="18"/>
          <w:szCs w:val="18"/>
        </w:rPr>
        <w:t xml:space="preserve"> resp. OVP-12 SL.</w:t>
      </w:r>
    </w:p>
  </w:footnote>
  <w:footnote w:id="11">
    <w:p w:rsidR="00CB06E6" w:rsidRPr="00D0377B" w:rsidRDefault="00CB06E6" w:rsidP="004C414F">
      <w:pPr>
        <w:pStyle w:val="Textpoznpodarou"/>
        <w:ind w:left="284" w:hanging="284"/>
        <w:jc w:val="both"/>
        <w:rPr>
          <w:sz w:val="18"/>
          <w:szCs w:val="18"/>
        </w:rPr>
      </w:pPr>
      <w:r w:rsidRPr="00D0377B">
        <w:rPr>
          <w:rStyle w:val="Znakapoznpodarou"/>
          <w:sz w:val="18"/>
          <w:szCs w:val="18"/>
        </w:rPr>
        <w:footnoteRef/>
      </w:r>
      <w:r w:rsidRPr="00D0377B">
        <w:rPr>
          <w:sz w:val="18"/>
          <w:szCs w:val="18"/>
        </w:rPr>
        <w:tab/>
        <w:t>Z důvodu pořízení transportních letounů CASA-C-295M jako náhrady za letouny An-26 vyvstala potřeba přizpůsobit padákovou techniku pro možnost provádění padákových výsadků jednotek AČR z malých a středních výšek. Označení SL za označením padáku OVP-80.08 a OVP-12 znamená, že padák je vybaven výtažným</w:t>
      </w:r>
      <w:r>
        <w:rPr>
          <w:sz w:val="18"/>
          <w:szCs w:val="18"/>
        </w:rPr>
        <w:t xml:space="preserve"> </w:t>
      </w:r>
      <w:r w:rsidRPr="00D0377B">
        <w:rPr>
          <w:sz w:val="18"/>
          <w:szCs w:val="18"/>
        </w:rPr>
        <w:t>lanem, které je přizpůsoben</w:t>
      </w:r>
      <w:r>
        <w:rPr>
          <w:sz w:val="18"/>
          <w:szCs w:val="18"/>
        </w:rPr>
        <w:t>o</w:t>
      </w:r>
      <w:r w:rsidRPr="00D0377B">
        <w:rPr>
          <w:sz w:val="18"/>
          <w:szCs w:val="18"/>
        </w:rPr>
        <w:t xml:space="preserve"> pro použití pro seskoky z letounů CASA C-295M.</w:t>
      </w:r>
    </w:p>
  </w:footnote>
  <w:footnote w:id="12">
    <w:p w:rsidR="00CB06E6" w:rsidRPr="00697E77" w:rsidRDefault="00CB06E6" w:rsidP="004C414F">
      <w:pPr>
        <w:pStyle w:val="Textpoznpodarou"/>
        <w:ind w:left="284" w:hanging="284"/>
        <w:rPr>
          <w:sz w:val="18"/>
          <w:szCs w:val="18"/>
        </w:rPr>
      </w:pPr>
      <w:r w:rsidRPr="00697E77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697E77">
        <w:rPr>
          <w:sz w:val="18"/>
          <w:szCs w:val="18"/>
        </w:rPr>
        <w:t>Ustanovení § 23 odst. 4 písm. a) zákona č. 137/2006 Sb., o veřejných zakázkách.</w:t>
      </w:r>
    </w:p>
  </w:footnote>
  <w:footnote w:id="13">
    <w:p w:rsidR="00CB06E6" w:rsidRPr="00FB4301" w:rsidRDefault="00CB06E6" w:rsidP="004C414F">
      <w:pPr>
        <w:pStyle w:val="Textpoznpodarou"/>
        <w:ind w:left="284" w:hanging="284"/>
        <w:rPr>
          <w:sz w:val="18"/>
          <w:szCs w:val="18"/>
        </w:rPr>
      </w:pPr>
      <w:r w:rsidRPr="00FB4301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FB4301">
        <w:rPr>
          <w:sz w:val="18"/>
          <w:szCs w:val="18"/>
        </w:rPr>
        <w:t>Útočné pušky CZ 805 BREN A1 a A2 a podvěsné granátomety CZ 805 G1.</w:t>
      </w:r>
    </w:p>
  </w:footnote>
  <w:footnote w:id="14">
    <w:p w:rsidR="00CB06E6" w:rsidRPr="00D0377B" w:rsidRDefault="00CB06E6" w:rsidP="004C414F">
      <w:pPr>
        <w:pStyle w:val="Textpoznpodarou"/>
        <w:ind w:left="284" w:hanging="284"/>
        <w:rPr>
          <w:sz w:val="18"/>
          <w:szCs w:val="18"/>
        </w:rPr>
      </w:pPr>
      <w:r w:rsidRPr="00D0377B">
        <w:rPr>
          <w:rStyle w:val="Znakapoznpodarou"/>
          <w:sz w:val="18"/>
          <w:szCs w:val="18"/>
        </w:rPr>
        <w:footnoteRef/>
      </w:r>
      <w:r w:rsidRPr="00D0377B">
        <w:rPr>
          <w:sz w:val="18"/>
          <w:szCs w:val="18"/>
        </w:rPr>
        <w:tab/>
        <w:t xml:space="preserve">Usnesení vlády ze dne 23. listopadu 2009 č. 1443, </w:t>
      </w:r>
      <w:r w:rsidRPr="00D0377B">
        <w:rPr>
          <w:i/>
          <w:sz w:val="18"/>
          <w:szCs w:val="18"/>
        </w:rPr>
        <w:t>k informaci o stavu projektu Voják 21. století</w:t>
      </w:r>
      <w:r w:rsidRPr="00D0377B">
        <w:rPr>
          <w:sz w:val="18"/>
          <w:szCs w:val="18"/>
        </w:rPr>
        <w:t xml:space="preserve">. </w:t>
      </w:r>
    </w:p>
  </w:footnote>
  <w:footnote w:id="15">
    <w:p w:rsidR="00CB06E6" w:rsidRPr="00D0377B" w:rsidRDefault="00CB06E6" w:rsidP="004C414F">
      <w:pPr>
        <w:pStyle w:val="Textpoznpodarou"/>
        <w:ind w:left="284" w:hanging="284"/>
        <w:rPr>
          <w:sz w:val="18"/>
          <w:szCs w:val="18"/>
        </w:rPr>
      </w:pPr>
      <w:r w:rsidRPr="00D0377B">
        <w:rPr>
          <w:rStyle w:val="Znakapoznpodarou"/>
          <w:sz w:val="18"/>
          <w:szCs w:val="18"/>
        </w:rPr>
        <w:footnoteRef/>
      </w:r>
      <w:r w:rsidRPr="00D0377B">
        <w:rPr>
          <w:sz w:val="18"/>
          <w:szCs w:val="18"/>
        </w:rPr>
        <w:tab/>
        <w:t>Munice, mezi n</w:t>
      </w:r>
      <w:r>
        <w:rPr>
          <w:sz w:val="18"/>
          <w:szCs w:val="18"/>
        </w:rPr>
        <w:t>i</w:t>
      </w:r>
      <w:r w:rsidRPr="00D0377B">
        <w:rPr>
          <w:sz w:val="18"/>
          <w:szCs w:val="18"/>
        </w:rPr>
        <w:t>ž patří i uvedené</w:t>
      </w:r>
      <w:r>
        <w:rPr>
          <w:sz w:val="18"/>
          <w:szCs w:val="18"/>
        </w:rPr>
        <w:t>,</w:t>
      </w:r>
      <w:r w:rsidRPr="00D0377B">
        <w:rPr>
          <w:sz w:val="18"/>
          <w:szCs w:val="18"/>
        </w:rPr>
        <w:t xml:space="preserve"> je nakupována převážně z běžných výdajů.</w:t>
      </w:r>
    </w:p>
  </w:footnote>
  <w:footnote w:id="16">
    <w:p w:rsidR="00CB06E6" w:rsidRPr="00D0377B" w:rsidRDefault="00CB06E6" w:rsidP="004C414F">
      <w:pPr>
        <w:pStyle w:val="Textpoznpodarou"/>
        <w:ind w:left="284" w:hanging="284"/>
        <w:rPr>
          <w:sz w:val="18"/>
          <w:szCs w:val="18"/>
        </w:rPr>
      </w:pPr>
      <w:r w:rsidRPr="00D0377B">
        <w:rPr>
          <w:rStyle w:val="Znakapoznpodarou"/>
          <w:sz w:val="18"/>
          <w:szCs w:val="18"/>
        </w:rPr>
        <w:footnoteRef/>
      </w:r>
      <w:r w:rsidRPr="00D0377B">
        <w:rPr>
          <w:sz w:val="18"/>
          <w:szCs w:val="18"/>
        </w:rPr>
        <w:tab/>
        <w:t>Pistole CZ 75 SP-01 PHANTOM a osobní obran</w:t>
      </w:r>
      <w:r w:rsidR="0055688D">
        <w:rPr>
          <w:sz w:val="18"/>
          <w:szCs w:val="18"/>
        </w:rPr>
        <w:t>n</w:t>
      </w:r>
      <w:r w:rsidRPr="00D0377B">
        <w:rPr>
          <w:sz w:val="18"/>
          <w:szCs w:val="18"/>
        </w:rPr>
        <w:t>é zbraně CZ SCORPION EVO 3A1.</w:t>
      </w:r>
    </w:p>
  </w:footnote>
  <w:footnote w:id="17">
    <w:p w:rsidR="00CB06E6" w:rsidRPr="00D0377B" w:rsidRDefault="00CB06E6" w:rsidP="004C414F">
      <w:pPr>
        <w:pStyle w:val="Textpoznpodarou"/>
        <w:ind w:left="284" w:hanging="284"/>
        <w:rPr>
          <w:sz w:val="18"/>
          <w:szCs w:val="18"/>
        </w:rPr>
      </w:pPr>
      <w:r w:rsidRPr="00D0377B">
        <w:rPr>
          <w:rStyle w:val="Znakapoznpodarou"/>
          <w:sz w:val="18"/>
          <w:szCs w:val="18"/>
        </w:rPr>
        <w:footnoteRef/>
      </w:r>
      <w:r w:rsidRPr="00D0377B">
        <w:rPr>
          <w:sz w:val="18"/>
          <w:szCs w:val="18"/>
        </w:rPr>
        <w:tab/>
        <w:t xml:space="preserve">Akce ev. č. 107V214 1001 </w:t>
      </w:r>
      <w:r>
        <w:rPr>
          <w:sz w:val="18"/>
          <w:szCs w:val="18"/>
        </w:rPr>
        <w:t xml:space="preserve">je </w:t>
      </w:r>
      <w:r w:rsidRPr="00D0377B">
        <w:rPr>
          <w:sz w:val="18"/>
          <w:szCs w:val="18"/>
        </w:rPr>
        <w:t>popsána v bodu 3.1</w:t>
      </w:r>
      <w:r w:rsidR="0055688D">
        <w:rPr>
          <w:sz w:val="18"/>
          <w:szCs w:val="18"/>
        </w:rPr>
        <w:t>.1.2</w:t>
      </w:r>
      <w:r w:rsidRPr="00D037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tohoto </w:t>
      </w:r>
      <w:r w:rsidRPr="00D0377B">
        <w:rPr>
          <w:sz w:val="18"/>
          <w:szCs w:val="18"/>
        </w:rPr>
        <w:t>kontrolního závěru.</w:t>
      </w:r>
    </w:p>
  </w:footnote>
  <w:footnote w:id="18">
    <w:p w:rsidR="00CB06E6" w:rsidRPr="00D0377B" w:rsidRDefault="00CB06E6" w:rsidP="004C414F">
      <w:pPr>
        <w:pStyle w:val="Textpoznpodarou"/>
        <w:ind w:left="284" w:hanging="284"/>
        <w:rPr>
          <w:sz w:val="18"/>
          <w:szCs w:val="18"/>
        </w:rPr>
      </w:pPr>
      <w:r w:rsidRPr="00D0377B">
        <w:rPr>
          <w:rStyle w:val="Znakapoznpodarou"/>
          <w:sz w:val="18"/>
          <w:szCs w:val="18"/>
        </w:rPr>
        <w:footnoteRef/>
      </w:r>
      <w:r w:rsidRPr="00D0377B">
        <w:rPr>
          <w:sz w:val="18"/>
          <w:szCs w:val="18"/>
        </w:rPr>
        <w:tab/>
        <w:t>Ustanovení § 18 odst. 1 písm. j) zák</w:t>
      </w:r>
      <w:r>
        <w:rPr>
          <w:sz w:val="18"/>
          <w:szCs w:val="18"/>
        </w:rPr>
        <w:t>ona</w:t>
      </w:r>
      <w:r w:rsidRPr="00D0377B">
        <w:rPr>
          <w:sz w:val="18"/>
          <w:szCs w:val="18"/>
        </w:rPr>
        <w:t xml:space="preserve"> č. 137/2006 Sb.</w:t>
      </w:r>
      <w:r>
        <w:rPr>
          <w:sz w:val="18"/>
          <w:szCs w:val="18"/>
        </w:rPr>
        <w:t xml:space="preserve">, </w:t>
      </w:r>
      <w:r w:rsidRPr="00556799">
        <w:rPr>
          <w:sz w:val="18"/>
          <w:szCs w:val="18"/>
        </w:rPr>
        <w:t>o veřejných zakázkách.</w:t>
      </w:r>
    </w:p>
  </w:footnote>
  <w:footnote w:id="19">
    <w:p w:rsidR="00CB06E6" w:rsidRPr="00556799" w:rsidRDefault="00CB06E6" w:rsidP="004C414F">
      <w:pPr>
        <w:ind w:left="284" w:hanging="284"/>
        <w:jc w:val="both"/>
        <w:rPr>
          <w:rFonts w:cs="Arial"/>
          <w:sz w:val="18"/>
          <w:szCs w:val="18"/>
        </w:rPr>
      </w:pPr>
      <w:r w:rsidRPr="00556799">
        <w:rPr>
          <w:rStyle w:val="Znakapoznpodarou"/>
          <w:sz w:val="18"/>
          <w:szCs w:val="18"/>
        </w:rPr>
        <w:footnoteRef/>
      </w:r>
      <w:r w:rsidRPr="00556799">
        <w:rPr>
          <w:sz w:val="18"/>
          <w:szCs w:val="18"/>
        </w:rPr>
        <w:tab/>
        <w:t xml:space="preserve">Vozidlo IVECO M65E19WM 4x4 LMV </w:t>
      </w:r>
      <w:proofErr w:type="spellStart"/>
      <w:r w:rsidRPr="00556799">
        <w:rPr>
          <w:sz w:val="18"/>
          <w:szCs w:val="18"/>
        </w:rPr>
        <w:t>MedEvac</w:t>
      </w:r>
      <w:proofErr w:type="spellEnd"/>
      <w:r w:rsidRPr="00556799">
        <w:rPr>
          <w:sz w:val="18"/>
          <w:szCs w:val="18"/>
        </w:rPr>
        <w:t>.</w:t>
      </w:r>
    </w:p>
  </w:footnote>
  <w:footnote w:id="20">
    <w:p w:rsidR="00CB06E6" w:rsidRPr="00556799" w:rsidRDefault="00CB06E6" w:rsidP="004C414F">
      <w:pPr>
        <w:pStyle w:val="Textpoznpodarou"/>
        <w:ind w:left="284" w:hanging="284"/>
        <w:rPr>
          <w:sz w:val="18"/>
          <w:szCs w:val="18"/>
        </w:rPr>
      </w:pPr>
      <w:r w:rsidRPr="00556799">
        <w:rPr>
          <w:rStyle w:val="Znakapoznpodarou"/>
          <w:sz w:val="18"/>
          <w:szCs w:val="18"/>
        </w:rPr>
        <w:footnoteRef/>
      </w:r>
      <w:r w:rsidRPr="00556799">
        <w:rPr>
          <w:sz w:val="18"/>
          <w:szCs w:val="18"/>
        </w:rPr>
        <w:tab/>
        <w:t>Ustanovení § 18 odst. 1 písm. c) zákona č. 137/2006 Sb.</w:t>
      </w:r>
      <w:r>
        <w:rPr>
          <w:sz w:val="18"/>
          <w:szCs w:val="18"/>
        </w:rPr>
        <w:t>,</w:t>
      </w:r>
      <w:r w:rsidRPr="00556799">
        <w:rPr>
          <w:sz w:val="18"/>
          <w:szCs w:val="18"/>
        </w:rPr>
        <w:t xml:space="preserve"> o veřejných zakázkách.</w:t>
      </w:r>
    </w:p>
  </w:footnote>
  <w:footnote w:id="21">
    <w:p w:rsidR="00CB06E6" w:rsidRPr="00556799" w:rsidRDefault="00CB06E6" w:rsidP="004C414F">
      <w:pPr>
        <w:pStyle w:val="Textpoznpodarou"/>
        <w:ind w:left="284" w:hanging="284"/>
        <w:rPr>
          <w:sz w:val="18"/>
          <w:szCs w:val="18"/>
        </w:rPr>
      </w:pPr>
      <w:r w:rsidRPr="00556799">
        <w:rPr>
          <w:rStyle w:val="Znakapoznpodarou"/>
          <w:sz w:val="18"/>
          <w:szCs w:val="18"/>
        </w:rPr>
        <w:footnoteRef/>
      </w:r>
      <w:r w:rsidRPr="00556799">
        <w:rPr>
          <w:rFonts w:cs="Arial"/>
          <w:sz w:val="18"/>
          <w:szCs w:val="18"/>
        </w:rPr>
        <w:tab/>
        <w:t xml:space="preserve">Land Rover </w:t>
      </w:r>
      <w:proofErr w:type="spellStart"/>
      <w:r w:rsidRPr="00556799">
        <w:rPr>
          <w:rFonts w:cs="Arial"/>
          <w:sz w:val="18"/>
          <w:szCs w:val="18"/>
        </w:rPr>
        <w:t>Defender</w:t>
      </w:r>
      <w:proofErr w:type="spellEnd"/>
      <w:r w:rsidRPr="00556799">
        <w:rPr>
          <w:rFonts w:cs="Arial"/>
          <w:sz w:val="18"/>
          <w:szCs w:val="18"/>
        </w:rPr>
        <w:t xml:space="preserve"> 130 MILITARY – ARMOURED 4 KAJMAN M1.</w:t>
      </w:r>
    </w:p>
  </w:footnote>
  <w:footnote w:id="22">
    <w:p w:rsidR="00CB06E6" w:rsidRPr="00556799" w:rsidRDefault="00CB06E6" w:rsidP="004C414F">
      <w:pPr>
        <w:pStyle w:val="Textpoznpodarou"/>
        <w:ind w:left="284" w:hanging="284"/>
        <w:rPr>
          <w:sz w:val="18"/>
          <w:szCs w:val="18"/>
        </w:rPr>
      </w:pPr>
      <w:r w:rsidRPr="00556799">
        <w:rPr>
          <w:rStyle w:val="Znakapoznpodarou"/>
          <w:sz w:val="18"/>
          <w:szCs w:val="18"/>
        </w:rPr>
        <w:footnoteRef/>
      </w:r>
      <w:r w:rsidRPr="00556799">
        <w:rPr>
          <w:sz w:val="18"/>
          <w:szCs w:val="18"/>
        </w:rPr>
        <w:tab/>
        <w:t>Ustanovení § 23 odst. 5 písm. b) zákona č. 137/2006 Sb., o veřejných zakázkách.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23B1"/>
    <w:multiLevelType w:val="hybridMultilevel"/>
    <w:tmpl w:val="F66C19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2E0770"/>
    <w:multiLevelType w:val="hybridMultilevel"/>
    <w:tmpl w:val="E738EBB4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432D"/>
    <w:multiLevelType w:val="hybridMultilevel"/>
    <w:tmpl w:val="8A62476E"/>
    <w:lvl w:ilvl="0" w:tplc="149C25E0">
      <w:start w:val="8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731B7"/>
    <w:multiLevelType w:val="hybridMultilevel"/>
    <w:tmpl w:val="05EEDE6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C74D3"/>
    <w:multiLevelType w:val="hybridMultilevel"/>
    <w:tmpl w:val="503EB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C70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47176"/>
    <w:multiLevelType w:val="hybridMultilevel"/>
    <w:tmpl w:val="6D0836B2"/>
    <w:lvl w:ilvl="0" w:tplc="326CAC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8342631"/>
    <w:multiLevelType w:val="hybridMultilevel"/>
    <w:tmpl w:val="C382EE6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45634D4"/>
    <w:multiLevelType w:val="hybridMultilevel"/>
    <w:tmpl w:val="C610C8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55B62"/>
    <w:multiLevelType w:val="hybridMultilevel"/>
    <w:tmpl w:val="0AD4EA34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B4D70"/>
    <w:multiLevelType w:val="hybridMultilevel"/>
    <w:tmpl w:val="0DFE168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65532"/>
    <w:multiLevelType w:val="hybridMultilevel"/>
    <w:tmpl w:val="641A913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628CB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15C03"/>
    <w:multiLevelType w:val="hybridMultilevel"/>
    <w:tmpl w:val="794CEED4"/>
    <w:lvl w:ilvl="0" w:tplc="E71E0C04">
      <w:start w:val="213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5431729"/>
    <w:multiLevelType w:val="hybridMultilevel"/>
    <w:tmpl w:val="663A1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37367"/>
    <w:multiLevelType w:val="hybridMultilevel"/>
    <w:tmpl w:val="2FA8A59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5171A"/>
    <w:multiLevelType w:val="hybridMultilevel"/>
    <w:tmpl w:val="F382606A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51ACF"/>
    <w:multiLevelType w:val="hybridMultilevel"/>
    <w:tmpl w:val="76B699B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E1B5C85"/>
    <w:multiLevelType w:val="hybridMultilevel"/>
    <w:tmpl w:val="204A35A2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D730D060">
      <w:numFmt w:val="bullet"/>
      <w:lvlText w:val=""/>
      <w:lvlJc w:val="left"/>
      <w:pPr>
        <w:tabs>
          <w:tab w:val="num" w:pos="1670"/>
        </w:tabs>
        <w:ind w:left="1670" w:hanging="4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7">
    <w:nsid w:val="3E6D2D64"/>
    <w:multiLevelType w:val="hybridMultilevel"/>
    <w:tmpl w:val="B3C41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F6044"/>
    <w:multiLevelType w:val="hybridMultilevel"/>
    <w:tmpl w:val="A5F8A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C17DC"/>
    <w:multiLevelType w:val="hybridMultilevel"/>
    <w:tmpl w:val="7D4C3A64"/>
    <w:lvl w:ilvl="0" w:tplc="30E890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63FEA"/>
    <w:multiLevelType w:val="hybridMultilevel"/>
    <w:tmpl w:val="A6E29592"/>
    <w:lvl w:ilvl="0" w:tplc="1C181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56D58"/>
    <w:multiLevelType w:val="hybridMultilevel"/>
    <w:tmpl w:val="359889C2"/>
    <w:lvl w:ilvl="0" w:tplc="6DD4C4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05241"/>
    <w:multiLevelType w:val="hybridMultilevel"/>
    <w:tmpl w:val="018CBCF8"/>
    <w:lvl w:ilvl="0" w:tplc="50C622A2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A7A3576"/>
    <w:multiLevelType w:val="hybridMultilevel"/>
    <w:tmpl w:val="3ED0058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3544B"/>
    <w:multiLevelType w:val="hybridMultilevel"/>
    <w:tmpl w:val="F880E046"/>
    <w:lvl w:ilvl="0" w:tplc="7E9E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F13CD"/>
    <w:multiLevelType w:val="hybridMultilevel"/>
    <w:tmpl w:val="8E329716"/>
    <w:lvl w:ilvl="0" w:tplc="814CD9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C1D27"/>
    <w:multiLevelType w:val="hybridMultilevel"/>
    <w:tmpl w:val="2BE8CB08"/>
    <w:lvl w:ilvl="0" w:tplc="4FF61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42E15"/>
    <w:multiLevelType w:val="hybridMultilevel"/>
    <w:tmpl w:val="2E3C165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75E99"/>
    <w:multiLevelType w:val="hybridMultilevel"/>
    <w:tmpl w:val="D95ACE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664646B"/>
    <w:multiLevelType w:val="hybridMultilevel"/>
    <w:tmpl w:val="47F030BC"/>
    <w:lvl w:ilvl="0" w:tplc="E3B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812FF"/>
    <w:multiLevelType w:val="hybridMultilevel"/>
    <w:tmpl w:val="15629028"/>
    <w:lvl w:ilvl="0" w:tplc="687CE4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2A6C09"/>
    <w:multiLevelType w:val="hybridMultilevel"/>
    <w:tmpl w:val="C6A08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74B99"/>
    <w:multiLevelType w:val="hybridMultilevel"/>
    <w:tmpl w:val="D40682D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D5910"/>
    <w:multiLevelType w:val="hybridMultilevel"/>
    <w:tmpl w:val="B3149166"/>
    <w:lvl w:ilvl="0" w:tplc="6BF04F3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490F27"/>
    <w:multiLevelType w:val="hybridMultilevel"/>
    <w:tmpl w:val="FFB45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A152B"/>
    <w:multiLevelType w:val="hybridMultilevel"/>
    <w:tmpl w:val="13EA6EAC"/>
    <w:lvl w:ilvl="0" w:tplc="5906B534">
      <w:start w:val="58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6">
    <w:nsid w:val="7BEC4F84"/>
    <w:multiLevelType w:val="hybridMultilevel"/>
    <w:tmpl w:val="4C803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55B04"/>
    <w:multiLevelType w:val="hybridMultilevel"/>
    <w:tmpl w:val="C1020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4"/>
  </w:num>
  <w:num w:numId="4">
    <w:abstractNumId w:val="10"/>
  </w:num>
  <w:num w:numId="5">
    <w:abstractNumId w:val="7"/>
  </w:num>
  <w:num w:numId="6">
    <w:abstractNumId w:val="24"/>
  </w:num>
  <w:num w:numId="7">
    <w:abstractNumId w:val="20"/>
  </w:num>
  <w:num w:numId="8">
    <w:abstractNumId w:val="26"/>
  </w:num>
  <w:num w:numId="9">
    <w:abstractNumId w:val="29"/>
  </w:num>
  <w:num w:numId="10">
    <w:abstractNumId w:val="36"/>
  </w:num>
  <w:num w:numId="11">
    <w:abstractNumId w:val="17"/>
  </w:num>
  <w:num w:numId="12">
    <w:abstractNumId w:val="31"/>
  </w:num>
  <w:num w:numId="13">
    <w:abstractNumId w:val="37"/>
  </w:num>
  <w:num w:numId="14">
    <w:abstractNumId w:val="5"/>
  </w:num>
  <w:num w:numId="15">
    <w:abstractNumId w:val="12"/>
  </w:num>
  <w:num w:numId="16">
    <w:abstractNumId w:val="18"/>
  </w:num>
  <w:num w:numId="17">
    <w:abstractNumId w:val="25"/>
  </w:num>
  <w:num w:numId="18">
    <w:abstractNumId w:val="35"/>
  </w:num>
  <w:num w:numId="19">
    <w:abstractNumId w:val="30"/>
  </w:num>
  <w:num w:numId="20">
    <w:abstractNumId w:val="0"/>
  </w:num>
  <w:num w:numId="21">
    <w:abstractNumId w:val="33"/>
  </w:num>
  <w:num w:numId="22">
    <w:abstractNumId w:val="22"/>
  </w:num>
  <w:num w:numId="23">
    <w:abstractNumId w:val="2"/>
  </w:num>
  <w:num w:numId="24">
    <w:abstractNumId w:val="11"/>
  </w:num>
  <w:num w:numId="25">
    <w:abstractNumId w:val="6"/>
  </w:num>
  <w:num w:numId="26">
    <w:abstractNumId w:val="16"/>
  </w:num>
  <w:num w:numId="27">
    <w:abstractNumId w:val="23"/>
  </w:num>
  <w:num w:numId="28">
    <w:abstractNumId w:val="9"/>
  </w:num>
  <w:num w:numId="29">
    <w:abstractNumId w:val="27"/>
  </w:num>
  <w:num w:numId="30">
    <w:abstractNumId w:val="32"/>
  </w:num>
  <w:num w:numId="31">
    <w:abstractNumId w:val="14"/>
  </w:num>
  <w:num w:numId="32">
    <w:abstractNumId w:val="1"/>
  </w:num>
  <w:num w:numId="33">
    <w:abstractNumId w:val="3"/>
  </w:num>
  <w:num w:numId="34">
    <w:abstractNumId w:val="8"/>
  </w:num>
  <w:num w:numId="35">
    <w:abstractNumId w:val="15"/>
  </w:num>
  <w:num w:numId="36">
    <w:abstractNumId w:val="28"/>
  </w:num>
  <w:num w:numId="37">
    <w:abstractNumId w:val="2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932"/>
    <w:rsid w:val="00000ADF"/>
    <w:rsid w:val="00000F6C"/>
    <w:rsid w:val="00000F96"/>
    <w:rsid w:val="00001B91"/>
    <w:rsid w:val="00002073"/>
    <w:rsid w:val="0000330E"/>
    <w:rsid w:val="000033DB"/>
    <w:rsid w:val="00003D20"/>
    <w:rsid w:val="000044CF"/>
    <w:rsid w:val="00004B4F"/>
    <w:rsid w:val="00004DB0"/>
    <w:rsid w:val="00005220"/>
    <w:rsid w:val="0000580F"/>
    <w:rsid w:val="00005C3E"/>
    <w:rsid w:val="00005C47"/>
    <w:rsid w:val="00005C6C"/>
    <w:rsid w:val="000066B9"/>
    <w:rsid w:val="00006886"/>
    <w:rsid w:val="00006B02"/>
    <w:rsid w:val="00007773"/>
    <w:rsid w:val="0001076D"/>
    <w:rsid w:val="0001113E"/>
    <w:rsid w:val="000112F9"/>
    <w:rsid w:val="00013006"/>
    <w:rsid w:val="000131C6"/>
    <w:rsid w:val="00013507"/>
    <w:rsid w:val="00014603"/>
    <w:rsid w:val="000152B0"/>
    <w:rsid w:val="0001567E"/>
    <w:rsid w:val="00015CCB"/>
    <w:rsid w:val="00015F28"/>
    <w:rsid w:val="00015F29"/>
    <w:rsid w:val="000163B7"/>
    <w:rsid w:val="00017076"/>
    <w:rsid w:val="000172AE"/>
    <w:rsid w:val="00017EC7"/>
    <w:rsid w:val="00020A05"/>
    <w:rsid w:val="00020DE5"/>
    <w:rsid w:val="00021026"/>
    <w:rsid w:val="000218CA"/>
    <w:rsid w:val="000225B8"/>
    <w:rsid w:val="00023D6D"/>
    <w:rsid w:val="00023EA1"/>
    <w:rsid w:val="00023F73"/>
    <w:rsid w:val="0002450C"/>
    <w:rsid w:val="00024A45"/>
    <w:rsid w:val="00024E81"/>
    <w:rsid w:val="000253FC"/>
    <w:rsid w:val="000254CB"/>
    <w:rsid w:val="0002588D"/>
    <w:rsid w:val="00025A70"/>
    <w:rsid w:val="00025E01"/>
    <w:rsid w:val="00026AFA"/>
    <w:rsid w:val="000274AE"/>
    <w:rsid w:val="00027D3C"/>
    <w:rsid w:val="00027FA0"/>
    <w:rsid w:val="00030772"/>
    <w:rsid w:val="000307C5"/>
    <w:rsid w:val="0003087F"/>
    <w:rsid w:val="00030DD7"/>
    <w:rsid w:val="0003111A"/>
    <w:rsid w:val="000314CC"/>
    <w:rsid w:val="00031A57"/>
    <w:rsid w:val="00031C8A"/>
    <w:rsid w:val="00031D26"/>
    <w:rsid w:val="00032482"/>
    <w:rsid w:val="000326DA"/>
    <w:rsid w:val="00033741"/>
    <w:rsid w:val="000342ED"/>
    <w:rsid w:val="000343CF"/>
    <w:rsid w:val="000343E1"/>
    <w:rsid w:val="00034844"/>
    <w:rsid w:val="00037363"/>
    <w:rsid w:val="000406B5"/>
    <w:rsid w:val="000407CE"/>
    <w:rsid w:val="00041909"/>
    <w:rsid w:val="00041943"/>
    <w:rsid w:val="000419A7"/>
    <w:rsid w:val="00041F40"/>
    <w:rsid w:val="00041F64"/>
    <w:rsid w:val="0004223E"/>
    <w:rsid w:val="000423CF"/>
    <w:rsid w:val="00042D81"/>
    <w:rsid w:val="00042F15"/>
    <w:rsid w:val="00043303"/>
    <w:rsid w:val="000437B0"/>
    <w:rsid w:val="00043891"/>
    <w:rsid w:val="00043B34"/>
    <w:rsid w:val="00043D8A"/>
    <w:rsid w:val="0004440E"/>
    <w:rsid w:val="000459C2"/>
    <w:rsid w:val="00045E0B"/>
    <w:rsid w:val="000465B1"/>
    <w:rsid w:val="0004698C"/>
    <w:rsid w:val="00046CD6"/>
    <w:rsid w:val="00050E1F"/>
    <w:rsid w:val="00051EBF"/>
    <w:rsid w:val="00052394"/>
    <w:rsid w:val="00052699"/>
    <w:rsid w:val="00052837"/>
    <w:rsid w:val="00052F4A"/>
    <w:rsid w:val="000530F1"/>
    <w:rsid w:val="00054517"/>
    <w:rsid w:val="00054696"/>
    <w:rsid w:val="00054BBC"/>
    <w:rsid w:val="000550B4"/>
    <w:rsid w:val="000551FF"/>
    <w:rsid w:val="000558EC"/>
    <w:rsid w:val="000559BB"/>
    <w:rsid w:val="00055A17"/>
    <w:rsid w:val="000569A4"/>
    <w:rsid w:val="00056F50"/>
    <w:rsid w:val="00057193"/>
    <w:rsid w:val="00057577"/>
    <w:rsid w:val="00057A70"/>
    <w:rsid w:val="00057AE7"/>
    <w:rsid w:val="00057CBE"/>
    <w:rsid w:val="00060998"/>
    <w:rsid w:val="00060C32"/>
    <w:rsid w:val="000613C2"/>
    <w:rsid w:val="00061429"/>
    <w:rsid w:val="0006260B"/>
    <w:rsid w:val="00064144"/>
    <w:rsid w:val="000641DB"/>
    <w:rsid w:val="000642CE"/>
    <w:rsid w:val="00064524"/>
    <w:rsid w:val="0006454E"/>
    <w:rsid w:val="000647BD"/>
    <w:rsid w:val="00064DEF"/>
    <w:rsid w:val="0006671D"/>
    <w:rsid w:val="00066725"/>
    <w:rsid w:val="00066B9B"/>
    <w:rsid w:val="00066D9F"/>
    <w:rsid w:val="00070031"/>
    <w:rsid w:val="00070408"/>
    <w:rsid w:val="0007064B"/>
    <w:rsid w:val="000706B4"/>
    <w:rsid w:val="000712F9"/>
    <w:rsid w:val="00071622"/>
    <w:rsid w:val="00071B68"/>
    <w:rsid w:val="00071FA4"/>
    <w:rsid w:val="00072445"/>
    <w:rsid w:val="000732F3"/>
    <w:rsid w:val="00073CA5"/>
    <w:rsid w:val="00074954"/>
    <w:rsid w:val="00074A01"/>
    <w:rsid w:val="00075596"/>
    <w:rsid w:val="00075C06"/>
    <w:rsid w:val="00076806"/>
    <w:rsid w:val="00077196"/>
    <w:rsid w:val="00077727"/>
    <w:rsid w:val="00080987"/>
    <w:rsid w:val="00080C12"/>
    <w:rsid w:val="00081221"/>
    <w:rsid w:val="000813FB"/>
    <w:rsid w:val="0008264D"/>
    <w:rsid w:val="000828E4"/>
    <w:rsid w:val="00082BEF"/>
    <w:rsid w:val="00082E8A"/>
    <w:rsid w:val="00082FB7"/>
    <w:rsid w:val="000839E5"/>
    <w:rsid w:val="000843F6"/>
    <w:rsid w:val="00084EF4"/>
    <w:rsid w:val="00084F19"/>
    <w:rsid w:val="000855DB"/>
    <w:rsid w:val="00086FFF"/>
    <w:rsid w:val="00087183"/>
    <w:rsid w:val="00087610"/>
    <w:rsid w:val="00087884"/>
    <w:rsid w:val="00087A8A"/>
    <w:rsid w:val="00087ABD"/>
    <w:rsid w:val="000903FF"/>
    <w:rsid w:val="0009092D"/>
    <w:rsid w:val="00091459"/>
    <w:rsid w:val="000927F6"/>
    <w:rsid w:val="0009286D"/>
    <w:rsid w:val="000928EE"/>
    <w:rsid w:val="0009336C"/>
    <w:rsid w:val="00093E2F"/>
    <w:rsid w:val="00095329"/>
    <w:rsid w:val="00095904"/>
    <w:rsid w:val="000959E9"/>
    <w:rsid w:val="00095ED9"/>
    <w:rsid w:val="0009635C"/>
    <w:rsid w:val="00096F81"/>
    <w:rsid w:val="0009709F"/>
    <w:rsid w:val="00097455"/>
    <w:rsid w:val="000979E8"/>
    <w:rsid w:val="000A0A28"/>
    <w:rsid w:val="000A0E63"/>
    <w:rsid w:val="000A15CA"/>
    <w:rsid w:val="000A2538"/>
    <w:rsid w:val="000A41A3"/>
    <w:rsid w:val="000A446F"/>
    <w:rsid w:val="000A46D3"/>
    <w:rsid w:val="000A4816"/>
    <w:rsid w:val="000A53CC"/>
    <w:rsid w:val="000A58F6"/>
    <w:rsid w:val="000A7392"/>
    <w:rsid w:val="000B04BE"/>
    <w:rsid w:val="000B114F"/>
    <w:rsid w:val="000B1348"/>
    <w:rsid w:val="000B1C04"/>
    <w:rsid w:val="000B25C3"/>
    <w:rsid w:val="000B2B9A"/>
    <w:rsid w:val="000B2DD6"/>
    <w:rsid w:val="000B3145"/>
    <w:rsid w:val="000B3978"/>
    <w:rsid w:val="000B3B08"/>
    <w:rsid w:val="000B45B5"/>
    <w:rsid w:val="000B49FB"/>
    <w:rsid w:val="000B56D1"/>
    <w:rsid w:val="000B5CF3"/>
    <w:rsid w:val="000B5FE2"/>
    <w:rsid w:val="000B710A"/>
    <w:rsid w:val="000B7411"/>
    <w:rsid w:val="000C1234"/>
    <w:rsid w:val="000C13DD"/>
    <w:rsid w:val="000C1C55"/>
    <w:rsid w:val="000C1DFD"/>
    <w:rsid w:val="000C2190"/>
    <w:rsid w:val="000C28BB"/>
    <w:rsid w:val="000C3130"/>
    <w:rsid w:val="000C320D"/>
    <w:rsid w:val="000C3566"/>
    <w:rsid w:val="000C40E9"/>
    <w:rsid w:val="000C4C9A"/>
    <w:rsid w:val="000C5338"/>
    <w:rsid w:val="000C64AC"/>
    <w:rsid w:val="000C6DA4"/>
    <w:rsid w:val="000C7BDF"/>
    <w:rsid w:val="000D0088"/>
    <w:rsid w:val="000D0135"/>
    <w:rsid w:val="000D01D6"/>
    <w:rsid w:val="000D05D4"/>
    <w:rsid w:val="000D0C4C"/>
    <w:rsid w:val="000D0ED6"/>
    <w:rsid w:val="000D17BB"/>
    <w:rsid w:val="000D18A3"/>
    <w:rsid w:val="000D18F3"/>
    <w:rsid w:val="000D1CB4"/>
    <w:rsid w:val="000D202F"/>
    <w:rsid w:val="000D225C"/>
    <w:rsid w:val="000D225E"/>
    <w:rsid w:val="000D2409"/>
    <w:rsid w:val="000D305C"/>
    <w:rsid w:val="000D350B"/>
    <w:rsid w:val="000D4649"/>
    <w:rsid w:val="000D62D0"/>
    <w:rsid w:val="000D6416"/>
    <w:rsid w:val="000D6EB0"/>
    <w:rsid w:val="000D6EB6"/>
    <w:rsid w:val="000D702C"/>
    <w:rsid w:val="000D7D68"/>
    <w:rsid w:val="000E04BC"/>
    <w:rsid w:val="000E0B66"/>
    <w:rsid w:val="000E1099"/>
    <w:rsid w:val="000E123D"/>
    <w:rsid w:val="000E196A"/>
    <w:rsid w:val="000E1C21"/>
    <w:rsid w:val="000E1CA1"/>
    <w:rsid w:val="000E1E4B"/>
    <w:rsid w:val="000E21ED"/>
    <w:rsid w:val="000E23CC"/>
    <w:rsid w:val="000E3683"/>
    <w:rsid w:val="000E4219"/>
    <w:rsid w:val="000E5022"/>
    <w:rsid w:val="000E5071"/>
    <w:rsid w:val="000E53AF"/>
    <w:rsid w:val="000E5629"/>
    <w:rsid w:val="000E5967"/>
    <w:rsid w:val="000E5CA3"/>
    <w:rsid w:val="000E62B1"/>
    <w:rsid w:val="000E650F"/>
    <w:rsid w:val="000E661B"/>
    <w:rsid w:val="000F0258"/>
    <w:rsid w:val="000F0864"/>
    <w:rsid w:val="000F1B47"/>
    <w:rsid w:val="000F1FF6"/>
    <w:rsid w:val="000F272E"/>
    <w:rsid w:val="000F31D0"/>
    <w:rsid w:val="000F3776"/>
    <w:rsid w:val="000F37A0"/>
    <w:rsid w:val="000F3957"/>
    <w:rsid w:val="000F4618"/>
    <w:rsid w:val="000F4E31"/>
    <w:rsid w:val="000F5262"/>
    <w:rsid w:val="000F58ED"/>
    <w:rsid w:val="000F5FE2"/>
    <w:rsid w:val="000F5FF1"/>
    <w:rsid w:val="000F6159"/>
    <w:rsid w:val="000F659A"/>
    <w:rsid w:val="000F66E0"/>
    <w:rsid w:val="000F6E30"/>
    <w:rsid w:val="000F75CE"/>
    <w:rsid w:val="000F7CC7"/>
    <w:rsid w:val="001002B8"/>
    <w:rsid w:val="0010034C"/>
    <w:rsid w:val="001003FD"/>
    <w:rsid w:val="0010159A"/>
    <w:rsid w:val="001019FC"/>
    <w:rsid w:val="001021F7"/>
    <w:rsid w:val="0010231F"/>
    <w:rsid w:val="001023FC"/>
    <w:rsid w:val="00102B37"/>
    <w:rsid w:val="0010304D"/>
    <w:rsid w:val="0010376B"/>
    <w:rsid w:val="00103A3A"/>
    <w:rsid w:val="00104BDC"/>
    <w:rsid w:val="00105A57"/>
    <w:rsid w:val="00105AD0"/>
    <w:rsid w:val="00106174"/>
    <w:rsid w:val="0010688E"/>
    <w:rsid w:val="00106AD4"/>
    <w:rsid w:val="00106D02"/>
    <w:rsid w:val="0010734A"/>
    <w:rsid w:val="00110594"/>
    <w:rsid w:val="00110FFD"/>
    <w:rsid w:val="0011171A"/>
    <w:rsid w:val="00111815"/>
    <w:rsid w:val="00111936"/>
    <w:rsid w:val="00111E71"/>
    <w:rsid w:val="001129ED"/>
    <w:rsid w:val="00112B51"/>
    <w:rsid w:val="001135CA"/>
    <w:rsid w:val="0011376D"/>
    <w:rsid w:val="00113B93"/>
    <w:rsid w:val="001140CF"/>
    <w:rsid w:val="00115CEF"/>
    <w:rsid w:val="00115E25"/>
    <w:rsid w:val="0011637A"/>
    <w:rsid w:val="0011637B"/>
    <w:rsid w:val="00116982"/>
    <w:rsid w:val="00117C9C"/>
    <w:rsid w:val="00117DC9"/>
    <w:rsid w:val="001201A6"/>
    <w:rsid w:val="001208DD"/>
    <w:rsid w:val="0012129B"/>
    <w:rsid w:val="00121642"/>
    <w:rsid w:val="00121B6F"/>
    <w:rsid w:val="00122D95"/>
    <w:rsid w:val="00122F13"/>
    <w:rsid w:val="00124136"/>
    <w:rsid w:val="0012511E"/>
    <w:rsid w:val="00125B7B"/>
    <w:rsid w:val="00126303"/>
    <w:rsid w:val="001265E7"/>
    <w:rsid w:val="00126713"/>
    <w:rsid w:val="00126D66"/>
    <w:rsid w:val="00127E65"/>
    <w:rsid w:val="001302F2"/>
    <w:rsid w:val="001325AD"/>
    <w:rsid w:val="00132A7F"/>
    <w:rsid w:val="0013397D"/>
    <w:rsid w:val="00134C4E"/>
    <w:rsid w:val="00134C6A"/>
    <w:rsid w:val="0013587A"/>
    <w:rsid w:val="00135E06"/>
    <w:rsid w:val="001360A2"/>
    <w:rsid w:val="001368E7"/>
    <w:rsid w:val="00136D08"/>
    <w:rsid w:val="00137C8D"/>
    <w:rsid w:val="00137D95"/>
    <w:rsid w:val="001402EC"/>
    <w:rsid w:val="00140B7F"/>
    <w:rsid w:val="00140D10"/>
    <w:rsid w:val="00141310"/>
    <w:rsid w:val="00141355"/>
    <w:rsid w:val="001415FD"/>
    <w:rsid w:val="0014163E"/>
    <w:rsid w:val="001418C0"/>
    <w:rsid w:val="00141C97"/>
    <w:rsid w:val="00141D91"/>
    <w:rsid w:val="00141FA2"/>
    <w:rsid w:val="00141FDE"/>
    <w:rsid w:val="00142073"/>
    <w:rsid w:val="001422A6"/>
    <w:rsid w:val="001425AD"/>
    <w:rsid w:val="00142B1D"/>
    <w:rsid w:val="00143C9D"/>
    <w:rsid w:val="0014414B"/>
    <w:rsid w:val="001442C8"/>
    <w:rsid w:val="00144332"/>
    <w:rsid w:val="00144916"/>
    <w:rsid w:val="0014548A"/>
    <w:rsid w:val="001456CE"/>
    <w:rsid w:val="00145861"/>
    <w:rsid w:val="00146468"/>
    <w:rsid w:val="001468BA"/>
    <w:rsid w:val="00146B20"/>
    <w:rsid w:val="00146E18"/>
    <w:rsid w:val="00147599"/>
    <w:rsid w:val="00147A69"/>
    <w:rsid w:val="00147EAF"/>
    <w:rsid w:val="00151B47"/>
    <w:rsid w:val="00151D94"/>
    <w:rsid w:val="001523C1"/>
    <w:rsid w:val="00152479"/>
    <w:rsid w:val="00152B55"/>
    <w:rsid w:val="001531E3"/>
    <w:rsid w:val="0015334F"/>
    <w:rsid w:val="00153700"/>
    <w:rsid w:val="00153BF0"/>
    <w:rsid w:val="00154178"/>
    <w:rsid w:val="001550CC"/>
    <w:rsid w:val="0015511A"/>
    <w:rsid w:val="00155CDC"/>
    <w:rsid w:val="00155DE6"/>
    <w:rsid w:val="00156C62"/>
    <w:rsid w:val="0016027D"/>
    <w:rsid w:val="00160429"/>
    <w:rsid w:val="00160905"/>
    <w:rsid w:val="00160D42"/>
    <w:rsid w:val="00160E9D"/>
    <w:rsid w:val="00160F69"/>
    <w:rsid w:val="00161005"/>
    <w:rsid w:val="001616E0"/>
    <w:rsid w:val="00161978"/>
    <w:rsid w:val="0016199E"/>
    <w:rsid w:val="00161BFF"/>
    <w:rsid w:val="00161C93"/>
    <w:rsid w:val="001625D9"/>
    <w:rsid w:val="00162A88"/>
    <w:rsid w:val="00162B1D"/>
    <w:rsid w:val="00162C1D"/>
    <w:rsid w:val="001630EE"/>
    <w:rsid w:val="00163354"/>
    <w:rsid w:val="001645EF"/>
    <w:rsid w:val="00164813"/>
    <w:rsid w:val="001671F8"/>
    <w:rsid w:val="00167E12"/>
    <w:rsid w:val="001702DE"/>
    <w:rsid w:val="00170BEB"/>
    <w:rsid w:val="00171086"/>
    <w:rsid w:val="00171371"/>
    <w:rsid w:val="001715AC"/>
    <w:rsid w:val="00171A28"/>
    <w:rsid w:val="00171A41"/>
    <w:rsid w:val="001725CE"/>
    <w:rsid w:val="00172804"/>
    <w:rsid w:val="00172BD2"/>
    <w:rsid w:val="00173420"/>
    <w:rsid w:val="00173BFF"/>
    <w:rsid w:val="00173EA1"/>
    <w:rsid w:val="0017418E"/>
    <w:rsid w:val="001742A7"/>
    <w:rsid w:val="00174783"/>
    <w:rsid w:val="00174EFE"/>
    <w:rsid w:val="00174F59"/>
    <w:rsid w:val="00175157"/>
    <w:rsid w:val="0017558B"/>
    <w:rsid w:val="00175AD0"/>
    <w:rsid w:val="00176033"/>
    <w:rsid w:val="001766BF"/>
    <w:rsid w:val="00176AE7"/>
    <w:rsid w:val="00177D39"/>
    <w:rsid w:val="00177E1E"/>
    <w:rsid w:val="00177FEA"/>
    <w:rsid w:val="00180090"/>
    <w:rsid w:val="00180600"/>
    <w:rsid w:val="0018067B"/>
    <w:rsid w:val="00180B46"/>
    <w:rsid w:val="00180F3B"/>
    <w:rsid w:val="00181918"/>
    <w:rsid w:val="001826FC"/>
    <w:rsid w:val="00182F04"/>
    <w:rsid w:val="00184724"/>
    <w:rsid w:val="00186068"/>
    <w:rsid w:val="001862F0"/>
    <w:rsid w:val="0018767F"/>
    <w:rsid w:val="0019012B"/>
    <w:rsid w:val="00190D0D"/>
    <w:rsid w:val="00190D5F"/>
    <w:rsid w:val="001922FC"/>
    <w:rsid w:val="00192304"/>
    <w:rsid w:val="0019273E"/>
    <w:rsid w:val="00192BC2"/>
    <w:rsid w:val="00193533"/>
    <w:rsid w:val="0019357D"/>
    <w:rsid w:val="00194005"/>
    <w:rsid w:val="00194298"/>
    <w:rsid w:val="00194F87"/>
    <w:rsid w:val="0019536B"/>
    <w:rsid w:val="00195A5C"/>
    <w:rsid w:val="00195B7C"/>
    <w:rsid w:val="0019670B"/>
    <w:rsid w:val="001A03F3"/>
    <w:rsid w:val="001A08A9"/>
    <w:rsid w:val="001A094E"/>
    <w:rsid w:val="001A0BD8"/>
    <w:rsid w:val="001A0E1F"/>
    <w:rsid w:val="001A1518"/>
    <w:rsid w:val="001A15D3"/>
    <w:rsid w:val="001A1AAC"/>
    <w:rsid w:val="001A1CBF"/>
    <w:rsid w:val="001A1F1B"/>
    <w:rsid w:val="001A3388"/>
    <w:rsid w:val="001A360C"/>
    <w:rsid w:val="001A37F7"/>
    <w:rsid w:val="001A3FD4"/>
    <w:rsid w:val="001A4061"/>
    <w:rsid w:val="001A40D3"/>
    <w:rsid w:val="001A4447"/>
    <w:rsid w:val="001A4FFF"/>
    <w:rsid w:val="001A50E5"/>
    <w:rsid w:val="001A5628"/>
    <w:rsid w:val="001A5D01"/>
    <w:rsid w:val="001A69DA"/>
    <w:rsid w:val="001A71B5"/>
    <w:rsid w:val="001B02B5"/>
    <w:rsid w:val="001B0CFC"/>
    <w:rsid w:val="001B12AA"/>
    <w:rsid w:val="001B19BE"/>
    <w:rsid w:val="001B1A8D"/>
    <w:rsid w:val="001B2131"/>
    <w:rsid w:val="001B2A38"/>
    <w:rsid w:val="001B2B19"/>
    <w:rsid w:val="001B2B2B"/>
    <w:rsid w:val="001B2F10"/>
    <w:rsid w:val="001B434B"/>
    <w:rsid w:val="001B45CC"/>
    <w:rsid w:val="001B5134"/>
    <w:rsid w:val="001B537D"/>
    <w:rsid w:val="001B57E8"/>
    <w:rsid w:val="001B679F"/>
    <w:rsid w:val="001B69B3"/>
    <w:rsid w:val="001B6DAD"/>
    <w:rsid w:val="001C1BE9"/>
    <w:rsid w:val="001C3895"/>
    <w:rsid w:val="001C3C57"/>
    <w:rsid w:val="001C422A"/>
    <w:rsid w:val="001C43C9"/>
    <w:rsid w:val="001C43FA"/>
    <w:rsid w:val="001C561C"/>
    <w:rsid w:val="001C6A32"/>
    <w:rsid w:val="001C6A88"/>
    <w:rsid w:val="001C78EE"/>
    <w:rsid w:val="001C7B7E"/>
    <w:rsid w:val="001C7DEA"/>
    <w:rsid w:val="001D03FD"/>
    <w:rsid w:val="001D0FC2"/>
    <w:rsid w:val="001D37E1"/>
    <w:rsid w:val="001D61A3"/>
    <w:rsid w:val="001D727C"/>
    <w:rsid w:val="001E1BDA"/>
    <w:rsid w:val="001E2767"/>
    <w:rsid w:val="001E31FA"/>
    <w:rsid w:val="001E41B1"/>
    <w:rsid w:val="001E666E"/>
    <w:rsid w:val="001E71A6"/>
    <w:rsid w:val="001F0078"/>
    <w:rsid w:val="001F0576"/>
    <w:rsid w:val="001F071B"/>
    <w:rsid w:val="001F0D00"/>
    <w:rsid w:val="001F28F7"/>
    <w:rsid w:val="001F32ED"/>
    <w:rsid w:val="001F398B"/>
    <w:rsid w:val="001F47D9"/>
    <w:rsid w:val="001F536A"/>
    <w:rsid w:val="001F55CF"/>
    <w:rsid w:val="001F57C1"/>
    <w:rsid w:val="001F60FB"/>
    <w:rsid w:val="001F619F"/>
    <w:rsid w:val="001F633D"/>
    <w:rsid w:val="001F6CE7"/>
    <w:rsid w:val="001F774B"/>
    <w:rsid w:val="00200508"/>
    <w:rsid w:val="00200A45"/>
    <w:rsid w:val="00201C5B"/>
    <w:rsid w:val="00201E5D"/>
    <w:rsid w:val="00202300"/>
    <w:rsid w:val="00202533"/>
    <w:rsid w:val="002026C0"/>
    <w:rsid w:val="00203DCE"/>
    <w:rsid w:val="00203FDA"/>
    <w:rsid w:val="002041DA"/>
    <w:rsid w:val="0020444C"/>
    <w:rsid w:val="002053B9"/>
    <w:rsid w:val="002055CF"/>
    <w:rsid w:val="00206604"/>
    <w:rsid w:val="002068C1"/>
    <w:rsid w:val="00210221"/>
    <w:rsid w:val="00210672"/>
    <w:rsid w:val="00210DAC"/>
    <w:rsid w:val="002112BF"/>
    <w:rsid w:val="00211AB9"/>
    <w:rsid w:val="002120C1"/>
    <w:rsid w:val="002125EB"/>
    <w:rsid w:val="00212868"/>
    <w:rsid w:val="00212FBB"/>
    <w:rsid w:val="00215D2B"/>
    <w:rsid w:val="00216138"/>
    <w:rsid w:val="002178C3"/>
    <w:rsid w:val="00220899"/>
    <w:rsid w:val="0022140D"/>
    <w:rsid w:val="00222068"/>
    <w:rsid w:val="0022207C"/>
    <w:rsid w:val="00222D47"/>
    <w:rsid w:val="002231C0"/>
    <w:rsid w:val="0022321D"/>
    <w:rsid w:val="00223C72"/>
    <w:rsid w:val="0022430D"/>
    <w:rsid w:val="00224385"/>
    <w:rsid w:val="00225082"/>
    <w:rsid w:val="00225295"/>
    <w:rsid w:val="00225A49"/>
    <w:rsid w:val="00225AD3"/>
    <w:rsid w:val="00225AEE"/>
    <w:rsid w:val="0022638C"/>
    <w:rsid w:val="00226524"/>
    <w:rsid w:val="002268E1"/>
    <w:rsid w:val="0022754A"/>
    <w:rsid w:val="00230305"/>
    <w:rsid w:val="00230AF7"/>
    <w:rsid w:val="002313A4"/>
    <w:rsid w:val="00231891"/>
    <w:rsid w:val="00233586"/>
    <w:rsid w:val="00233994"/>
    <w:rsid w:val="00233B2D"/>
    <w:rsid w:val="00234734"/>
    <w:rsid w:val="00235288"/>
    <w:rsid w:val="002352E9"/>
    <w:rsid w:val="00235671"/>
    <w:rsid w:val="00235DB4"/>
    <w:rsid w:val="00236071"/>
    <w:rsid w:val="00236495"/>
    <w:rsid w:val="002364A9"/>
    <w:rsid w:val="0023655C"/>
    <w:rsid w:val="0023666E"/>
    <w:rsid w:val="00236DAD"/>
    <w:rsid w:val="0024031A"/>
    <w:rsid w:val="002404C4"/>
    <w:rsid w:val="0024071F"/>
    <w:rsid w:val="00241158"/>
    <w:rsid w:val="0024175C"/>
    <w:rsid w:val="00242006"/>
    <w:rsid w:val="00242A4C"/>
    <w:rsid w:val="002433C3"/>
    <w:rsid w:val="002449BF"/>
    <w:rsid w:val="00244A9F"/>
    <w:rsid w:val="00244C66"/>
    <w:rsid w:val="00245685"/>
    <w:rsid w:val="00245B80"/>
    <w:rsid w:val="002460FB"/>
    <w:rsid w:val="00250598"/>
    <w:rsid w:val="002506B7"/>
    <w:rsid w:val="00251810"/>
    <w:rsid w:val="00251995"/>
    <w:rsid w:val="00251B25"/>
    <w:rsid w:val="002521DD"/>
    <w:rsid w:val="00252631"/>
    <w:rsid w:val="00252CFD"/>
    <w:rsid w:val="002538C5"/>
    <w:rsid w:val="00254047"/>
    <w:rsid w:val="00254AE9"/>
    <w:rsid w:val="00255EB1"/>
    <w:rsid w:val="00256320"/>
    <w:rsid w:val="00256572"/>
    <w:rsid w:val="00256EFA"/>
    <w:rsid w:val="00257267"/>
    <w:rsid w:val="00257504"/>
    <w:rsid w:val="002602FB"/>
    <w:rsid w:val="00260848"/>
    <w:rsid w:val="002609EA"/>
    <w:rsid w:val="002611AB"/>
    <w:rsid w:val="00261540"/>
    <w:rsid w:val="0026274F"/>
    <w:rsid w:val="00262AD6"/>
    <w:rsid w:val="00262B21"/>
    <w:rsid w:val="00262DF8"/>
    <w:rsid w:val="00262E38"/>
    <w:rsid w:val="002634F2"/>
    <w:rsid w:val="00263EAF"/>
    <w:rsid w:val="00264E84"/>
    <w:rsid w:val="00265587"/>
    <w:rsid w:val="00265970"/>
    <w:rsid w:val="00266517"/>
    <w:rsid w:val="00266ABE"/>
    <w:rsid w:val="0026712E"/>
    <w:rsid w:val="00267306"/>
    <w:rsid w:val="002675B4"/>
    <w:rsid w:val="00267B5B"/>
    <w:rsid w:val="00270045"/>
    <w:rsid w:val="002701B7"/>
    <w:rsid w:val="002706B5"/>
    <w:rsid w:val="00271D19"/>
    <w:rsid w:val="00273315"/>
    <w:rsid w:val="0027334D"/>
    <w:rsid w:val="0027368D"/>
    <w:rsid w:val="002738D8"/>
    <w:rsid w:val="002740E9"/>
    <w:rsid w:val="0027414F"/>
    <w:rsid w:val="00274CA4"/>
    <w:rsid w:val="002752AF"/>
    <w:rsid w:val="00275A7A"/>
    <w:rsid w:val="00275B1E"/>
    <w:rsid w:val="00275C51"/>
    <w:rsid w:val="00276F6C"/>
    <w:rsid w:val="00276FFF"/>
    <w:rsid w:val="0027715A"/>
    <w:rsid w:val="0027732A"/>
    <w:rsid w:val="00277434"/>
    <w:rsid w:val="0028011C"/>
    <w:rsid w:val="00280D14"/>
    <w:rsid w:val="002812AD"/>
    <w:rsid w:val="00281932"/>
    <w:rsid w:val="0028216D"/>
    <w:rsid w:val="00283969"/>
    <w:rsid w:val="00285FA7"/>
    <w:rsid w:val="00285FBA"/>
    <w:rsid w:val="002867B7"/>
    <w:rsid w:val="00286C01"/>
    <w:rsid w:val="00286C26"/>
    <w:rsid w:val="00287824"/>
    <w:rsid w:val="00287A57"/>
    <w:rsid w:val="00287D23"/>
    <w:rsid w:val="002906F9"/>
    <w:rsid w:val="00290FFD"/>
    <w:rsid w:val="00291500"/>
    <w:rsid w:val="00291E7B"/>
    <w:rsid w:val="00292390"/>
    <w:rsid w:val="00292459"/>
    <w:rsid w:val="002928DA"/>
    <w:rsid w:val="002932D8"/>
    <w:rsid w:val="002935A5"/>
    <w:rsid w:val="00293C31"/>
    <w:rsid w:val="0029441E"/>
    <w:rsid w:val="002955AE"/>
    <w:rsid w:val="00295758"/>
    <w:rsid w:val="00295872"/>
    <w:rsid w:val="00295FE9"/>
    <w:rsid w:val="00296193"/>
    <w:rsid w:val="002961A0"/>
    <w:rsid w:val="002970F8"/>
    <w:rsid w:val="00297590"/>
    <w:rsid w:val="002975F0"/>
    <w:rsid w:val="00297642"/>
    <w:rsid w:val="002979E6"/>
    <w:rsid w:val="002A028B"/>
    <w:rsid w:val="002A08E4"/>
    <w:rsid w:val="002A094F"/>
    <w:rsid w:val="002A097F"/>
    <w:rsid w:val="002A0F56"/>
    <w:rsid w:val="002A1F47"/>
    <w:rsid w:val="002A23C8"/>
    <w:rsid w:val="002A31B4"/>
    <w:rsid w:val="002A3666"/>
    <w:rsid w:val="002A38AB"/>
    <w:rsid w:val="002A3B7E"/>
    <w:rsid w:val="002A4B86"/>
    <w:rsid w:val="002A546C"/>
    <w:rsid w:val="002A5E06"/>
    <w:rsid w:val="002A60F6"/>
    <w:rsid w:val="002A62ED"/>
    <w:rsid w:val="002A7DC1"/>
    <w:rsid w:val="002B023D"/>
    <w:rsid w:val="002B0259"/>
    <w:rsid w:val="002B080B"/>
    <w:rsid w:val="002B1B19"/>
    <w:rsid w:val="002B2032"/>
    <w:rsid w:val="002B40EE"/>
    <w:rsid w:val="002B449A"/>
    <w:rsid w:val="002B452A"/>
    <w:rsid w:val="002B4925"/>
    <w:rsid w:val="002B49C3"/>
    <w:rsid w:val="002B4CF5"/>
    <w:rsid w:val="002B5587"/>
    <w:rsid w:val="002B5B65"/>
    <w:rsid w:val="002B6023"/>
    <w:rsid w:val="002B64F0"/>
    <w:rsid w:val="002B667A"/>
    <w:rsid w:val="002B706F"/>
    <w:rsid w:val="002B71FA"/>
    <w:rsid w:val="002B77AD"/>
    <w:rsid w:val="002B7D05"/>
    <w:rsid w:val="002C052C"/>
    <w:rsid w:val="002C1910"/>
    <w:rsid w:val="002C1927"/>
    <w:rsid w:val="002C1E06"/>
    <w:rsid w:val="002C2AC4"/>
    <w:rsid w:val="002C2D4B"/>
    <w:rsid w:val="002C321C"/>
    <w:rsid w:val="002C43D4"/>
    <w:rsid w:val="002C475D"/>
    <w:rsid w:val="002C4CBB"/>
    <w:rsid w:val="002C5128"/>
    <w:rsid w:val="002C5723"/>
    <w:rsid w:val="002C60C3"/>
    <w:rsid w:val="002C62BA"/>
    <w:rsid w:val="002C6584"/>
    <w:rsid w:val="002C69F1"/>
    <w:rsid w:val="002C6AF1"/>
    <w:rsid w:val="002C7AB8"/>
    <w:rsid w:val="002C7C29"/>
    <w:rsid w:val="002D0280"/>
    <w:rsid w:val="002D0E06"/>
    <w:rsid w:val="002D15C9"/>
    <w:rsid w:val="002D2772"/>
    <w:rsid w:val="002D3D19"/>
    <w:rsid w:val="002D3D44"/>
    <w:rsid w:val="002D4A64"/>
    <w:rsid w:val="002D5E03"/>
    <w:rsid w:val="002D7926"/>
    <w:rsid w:val="002E0186"/>
    <w:rsid w:val="002E0364"/>
    <w:rsid w:val="002E0973"/>
    <w:rsid w:val="002E0A3E"/>
    <w:rsid w:val="002E13A5"/>
    <w:rsid w:val="002E15B2"/>
    <w:rsid w:val="002E1CB0"/>
    <w:rsid w:val="002E3346"/>
    <w:rsid w:val="002E35D3"/>
    <w:rsid w:val="002E3C7D"/>
    <w:rsid w:val="002E3D05"/>
    <w:rsid w:val="002E4445"/>
    <w:rsid w:val="002E51F0"/>
    <w:rsid w:val="002E5898"/>
    <w:rsid w:val="002E5B89"/>
    <w:rsid w:val="002E62DF"/>
    <w:rsid w:val="002E7555"/>
    <w:rsid w:val="002E7D5C"/>
    <w:rsid w:val="002F0581"/>
    <w:rsid w:val="002F0F7A"/>
    <w:rsid w:val="002F1F14"/>
    <w:rsid w:val="002F1F30"/>
    <w:rsid w:val="002F2131"/>
    <w:rsid w:val="002F2767"/>
    <w:rsid w:val="002F295F"/>
    <w:rsid w:val="002F375C"/>
    <w:rsid w:val="002F39A5"/>
    <w:rsid w:val="002F3D42"/>
    <w:rsid w:val="002F564D"/>
    <w:rsid w:val="002F5868"/>
    <w:rsid w:val="002F61D6"/>
    <w:rsid w:val="002F68DF"/>
    <w:rsid w:val="002F6A21"/>
    <w:rsid w:val="002F6B67"/>
    <w:rsid w:val="002F70C5"/>
    <w:rsid w:val="002F71ED"/>
    <w:rsid w:val="002F723B"/>
    <w:rsid w:val="002F745A"/>
    <w:rsid w:val="003002FF"/>
    <w:rsid w:val="003007B2"/>
    <w:rsid w:val="0030091B"/>
    <w:rsid w:val="0030144F"/>
    <w:rsid w:val="00301A10"/>
    <w:rsid w:val="00302053"/>
    <w:rsid w:val="00302146"/>
    <w:rsid w:val="00304520"/>
    <w:rsid w:val="00304733"/>
    <w:rsid w:val="00305277"/>
    <w:rsid w:val="0030575B"/>
    <w:rsid w:val="003059F1"/>
    <w:rsid w:val="00306F79"/>
    <w:rsid w:val="003073C5"/>
    <w:rsid w:val="0030741C"/>
    <w:rsid w:val="00310BDA"/>
    <w:rsid w:val="003110B8"/>
    <w:rsid w:val="0031110D"/>
    <w:rsid w:val="003117A7"/>
    <w:rsid w:val="00311871"/>
    <w:rsid w:val="00311D65"/>
    <w:rsid w:val="0031325B"/>
    <w:rsid w:val="003137B1"/>
    <w:rsid w:val="00314BCF"/>
    <w:rsid w:val="00315100"/>
    <w:rsid w:val="00315B4B"/>
    <w:rsid w:val="00315C2F"/>
    <w:rsid w:val="003164E1"/>
    <w:rsid w:val="003166A9"/>
    <w:rsid w:val="0031679F"/>
    <w:rsid w:val="00316E13"/>
    <w:rsid w:val="00317254"/>
    <w:rsid w:val="00317FAB"/>
    <w:rsid w:val="00320241"/>
    <w:rsid w:val="00320A83"/>
    <w:rsid w:val="00320B18"/>
    <w:rsid w:val="00320C8C"/>
    <w:rsid w:val="003214CE"/>
    <w:rsid w:val="003217BE"/>
    <w:rsid w:val="0032182E"/>
    <w:rsid w:val="00321AF2"/>
    <w:rsid w:val="0032236E"/>
    <w:rsid w:val="003231D6"/>
    <w:rsid w:val="0032329B"/>
    <w:rsid w:val="00323725"/>
    <w:rsid w:val="00323CC7"/>
    <w:rsid w:val="00323F1A"/>
    <w:rsid w:val="003241F1"/>
    <w:rsid w:val="00324499"/>
    <w:rsid w:val="00325BF4"/>
    <w:rsid w:val="0032616D"/>
    <w:rsid w:val="003262A8"/>
    <w:rsid w:val="00327081"/>
    <w:rsid w:val="0033001F"/>
    <w:rsid w:val="003317CA"/>
    <w:rsid w:val="00331F06"/>
    <w:rsid w:val="003325F1"/>
    <w:rsid w:val="003329C3"/>
    <w:rsid w:val="00332DC7"/>
    <w:rsid w:val="00332FAF"/>
    <w:rsid w:val="003341E0"/>
    <w:rsid w:val="0033422D"/>
    <w:rsid w:val="0033423F"/>
    <w:rsid w:val="00334643"/>
    <w:rsid w:val="00335194"/>
    <w:rsid w:val="00336063"/>
    <w:rsid w:val="00336171"/>
    <w:rsid w:val="00337293"/>
    <w:rsid w:val="003405F5"/>
    <w:rsid w:val="003409EE"/>
    <w:rsid w:val="00342486"/>
    <w:rsid w:val="003432FA"/>
    <w:rsid w:val="0034365F"/>
    <w:rsid w:val="00343F6F"/>
    <w:rsid w:val="0034444D"/>
    <w:rsid w:val="0034446D"/>
    <w:rsid w:val="00344D8C"/>
    <w:rsid w:val="00345B02"/>
    <w:rsid w:val="00345C6E"/>
    <w:rsid w:val="00346154"/>
    <w:rsid w:val="00346ED1"/>
    <w:rsid w:val="00347495"/>
    <w:rsid w:val="00347E78"/>
    <w:rsid w:val="00347F22"/>
    <w:rsid w:val="003501FD"/>
    <w:rsid w:val="003516A8"/>
    <w:rsid w:val="003516E8"/>
    <w:rsid w:val="00351CCE"/>
    <w:rsid w:val="00352769"/>
    <w:rsid w:val="003527E5"/>
    <w:rsid w:val="00352FDD"/>
    <w:rsid w:val="003530D9"/>
    <w:rsid w:val="003532A3"/>
    <w:rsid w:val="0035364D"/>
    <w:rsid w:val="003537D3"/>
    <w:rsid w:val="00353B0A"/>
    <w:rsid w:val="003554C0"/>
    <w:rsid w:val="00357E3F"/>
    <w:rsid w:val="0036057B"/>
    <w:rsid w:val="003609B2"/>
    <w:rsid w:val="00361034"/>
    <w:rsid w:val="003612A8"/>
    <w:rsid w:val="00361986"/>
    <w:rsid w:val="0036238B"/>
    <w:rsid w:val="00362B4C"/>
    <w:rsid w:val="003632BC"/>
    <w:rsid w:val="0036343D"/>
    <w:rsid w:val="00363DD0"/>
    <w:rsid w:val="003654BF"/>
    <w:rsid w:val="00367296"/>
    <w:rsid w:val="00367ED2"/>
    <w:rsid w:val="00367EF5"/>
    <w:rsid w:val="00370081"/>
    <w:rsid w:val="00370146"/>
    <w:rsid w:val="00370161"/>
    <w:rsid w:val="00370884"/>
    <w:rsid w:val="00370D8B"/>
    <w:rsid w:val="00370EEE"/>
    <w:rsid w:val="00370F52"/>
    <w:rsid w:val="003710CA"/>
    <w:rsid w:val="0037139B"/>
    <w:rsid w:val="00371A1A"/>
    <w:rsid w:val="00371B53"/>
    <w:rsid w:val="00371E79"/>
    <w:rsid w:val="00372011"/>
    <w:rsid w:val="003734EE"/>
    <w:rsid w:val="00374B2E"/>
    <w:rsid w:val="00374DED"/>
    <w:rsid w:val="00374E61"/>
    <w:rsid w:val="00375005"/>
    <w:rsid w:val="00375947"/>
    <w:rsid w:val="00376323"/>
    <w:rsid w:val="0037666E"/>
    <w:rsid w:val="003773C8"/>
    <w:rsid w:val="00377735"/>
    <w:rsid w:val="00377AB5"/>
    <w:rsid w:val="00380A3C"/>
    <w:rsid w:val="00380E69"/>
    <w:rsid w:val="00380E77"/>
    <w:rsid w:val="00381031"/>
    <w:rsid w:val="003817CB"/>
    <w:rsid w:val="00382C5D"/>
    <w:rsid w:val="00382C98"/>
    <w:rsid w:val="00382D65"/>
    <w:rsid w:val="00382FF4"/>
    <w:rsid w:val="00383DA1"/>
    <w:rsid w:val="0038550A"/>
    <w:rsid w:val="00386336"/>
    <w:rsid w:val="0038635C"/>
    <w:rsid w:val="00386617"/>
    <w:rsid w:val="00387A5A"/>
    <w:rsid w:val="00390646"/>
    <w:rsid w:val="003907B9"/>
    <w:rsid w:val="00390D42"/>
    <w:rsid w:val="003913FF"/>
    <w:rsid w:val="003935E8"/>
    <w:rsid w:val="00393B90"/>
    <w:rsid w:val="00396DA8"/>
    <w:rsid w:val="00397981"/>
    <w:rsid w:val="0039799D"/>
    <w:rsid w:val="00397F99"/>
    <w:rsid w:val="003A022D"/>
    <w:rsid w:val="003A0581"/>
    <w:rsid w:val="003A0932"/>
    <w:rsid w:val="003A0EBC"/>
    <w:rsid w:val="003A142D"/>
    <w:rsid w:val="003A1A1E"/>
    <w:rsid w:val="003A27F3"/>
    <w:rsid w:val="003A2BA0"/>
    <w:rsid w:val="003A2D57"/>
    <w:rsid w:val="003A3681"/>
    <w:rsid w:val="003A38BC"/>
    <w:rsid w:val="003A4000"/>
    <w:rsid w:val="003A40C3"/>
    <w:rsid w:val="003A4481"/>
    <w:rsid w:val="003A4B8E"/>
    <w:rsid w:val="003A6650"/>
    <w:rsid w:val="003A6F58"/>
    <w:rsid w:val="003A732C"/>
    <w:rsid w:val="003A7746"/>
    <w:rsid w:val="003B0FC5"/>
    <w:rsid w:val="003B1208"/>
    <w:rsid w:val="003B1653"/>
    <w:rsid w:val="003B1F73"/>
    <w:rsid w:val="003B23DF"/>
    <w:rsid w:val="003B247C"/>
    <w:rsid w:val="003B287C"/>
    <w:rsid w:val="003B29E1"/>
    <w:rsid w:val="003B2EC4"/>
    <w:rsid w:val="003B3007"/>
    <w:rsid w:val="003B4908"/>
    <w:rsid w:val="003B490B"/>
    <w:rsid w:val="003B509B"/>
    <w:rsid w:val="003B6D0E"/>
    <w:rsid w:val="003B789C"/>
    <w:rsid w:val="003B7AD3"/>
    <w:rsid w:val="003B7ED7"/>
    <w:rsid w:val="003C01C4"/>
    <w:rsid w:val="003C0538"/>
    <w:rsid w:val="003C0EB0"/>
    <w:rsid w:val="003C12E8"/>
    <w:rsid w:val="003C1C3D"/>
    <w:rsid w:val="003C33D4"/>
    <w:rsid w:val="003C3CE6"/>
    <w:rsid w:val="003C4D47"/>
    <w:rsid w:val="003C56C7"/>
    <w:rsid w:val="003C5C52"/>
    <w:rsid w:val="003C6486"/>
    <w:rsid w:val="003C7433"/>
    <w:rsid w:val="003C7688"/>
    <w:rsid w:val="003D1391"/>
    <w:rsid w:val="003D27CF"/>
    <w:rsid w:val="003D36D7"/>
    <w:rsid w:val="003D4507"/>
    <w:rsid w:val="003D5CCD"/>
    <w:rsid w:val="003D683E"/>
    <w:rsid w:val="003D79D3"/>
    <w:rsid w:val="003E00CE"/>
    <w:rsid w:val="003E0542"/>
    <w:rsid w:val="003E0C7C"/>
    <w:rsid w:val="003E11C3"/>
    <w:rsid w:val="003E1EF4"/>
    <w:rsid w:val="003E1F49"/>
    <w:rsid w:val="003E2019"/>
    <w:rsid w:val="003E2576"/>
    <w:rsid w:val="003E2F16"/>
    <w:rsid w:val="003E32D4"/>
    <w:rsid w:val="003E37A1"/>
    <w:rsid w:val="003E3EED"/>
    <w:rsid w:val="003E436A"/>
    <w:rsid w:val="003E4602"/>
    <w:rsid w:val="003E60A1"/>
    <w:rsid w:val="003E61C3"/>
    <w:rsid w:val="003E64F1"/>
    <w:rsid w:val="003E67F9"/>
    <w:rsid w:val="003E6877"/>
    <w:rsid w:val="003E7117"/>
    <w:rsid w:val="003F0277"/>
    <w:rsid w:val="003F046B"/>
    <w:rsid w:val="003F18CF"/>
    <w:rsid w:val="003F22E7"/>
    <w:rsid w:val="003F3594"/>
    <w:rsid w:val="003F38E8"/>
    <w:rsid w:val="003F4074"/>
    <w:rsid w:val="003F4DE4"/>
    <w:rsid w:val="003F4E96"/>
    <w:rsid w:val="003F6CB9"/>
    <w:rsid w:val="003F6D77"/>
    <w:rsid w:val="003F6E37"/>
    <w:rsid w:val="003F72F2"/>
    <w:rsid w:val="003F75C8"/>
    <w:rsid w:val="003F77BE"/>
    <w:rsid w:val="003F7B5D"/>
    <w:rsid w:val="003F7C6A"/>
    <w:rsid w:val="00400393"/>
    <w:rsid w:val="00401605"/>
    <w:rsid w:val="00402464"/>
    <w:rsid w:val="00402BE6"/>
    <w:rsid w:val="00402D68"/>
    <w:rsid w:val="00402D91"/>
    <w:rsid w:val="004030D0"/>
    <w:rsid w:val="0040374F"/>
    <w:rsid w:val="00404632"/>
    <w:rsid w:val="004064FE"/>
    <w:rsid w:val="004066D6"/>
    <w:rsid w:val="00407431"/>
    <w:rsid w:val="0041094C"/>
    <w:rsid w:val="00411CB8"/>
    <w:rsid w:val="00411DDC"/>
    <w:rsid w:val="00412A45"/>
    <w:rsid w:val="00412D07"/>
    <w:rsid w:val="00412F8F"/>
    <w:rsid w:val="004131AD"/>
    <w:rsid w:val="00413C47"/>
    <w:rsid w:val="004145D4"/>
    <w:rsid w:val="00414ABF"/>
    <w:rsid w:val="00414B15"/>
    <w:rsid w:val="00414D3A"/>
    <w:rsid w:val="00415098"/>
    <w:rsid w:val="004152F2"/>
    <w:rsid w:val="00415771"/>
    <w:rsid w:val="00416193"/>
    <w:rsid w:val="00416C46"/>
    <w:rsid w:val="00417C8E"/>
    <w:rsid w:val="004205B3"/>
    <w:rsid w:val="00421448"/>
    <w:rsid w:val="004218CB"/>
    <w:rsid w:val="00421A9A"/>
    <w:rsid w:val="00421E08"/>
    <w:rsid w:val="00422031"/>
    <w:rsid w:val="004220BA"/>
    <w:rsid w:val="0042347F"/>
    <w:rsid w:val="00423B6F"/>
    <w:rsid w:val="00423D11"/>
    <w:rsid w:val="00423FF0"/>
    <w:rsid w:val="00424C2D"/>
    <w:rsid w:val="00425014"/>
    <w:rsid w:val="00425314"/>
    <w:rsid w:val="004254AE"/>
    <w:rsid w:val="004259C6"/>
    <w:rsid w:val="00425BAA"/>
    <w:rsid w:val="004265D7"/>
    <w:rsid w:val="00426CF5"/>
    <w:rsid w:val="00430278"/>
    <w:rsid w:val="0043072D"/>
    <w:rsid w:val="00430F1D"/>
    <w:rsid w:val="00431190"/>
    <w:rsid w:val="004315AB"/>
    <w:rsid w:val="0043270E"/>
    <w:rsid w:val="00432BEE"/>
    <w:rsid w:val="00433443"/>
    <w:rsid w:val="004334D9"/>
    <w:rsid w:val="00434336"/>
    <w:rsid w:val="004357F7"/>
    <w:rsid w:val="00436C29"/>
    <w:rsid w:val="00436FE4"/>
    <w:rsid w:val="00437689"/>
    <w:rsid w:val="004379AD"/>
    <w:rsid w:val="00437D19"/>
    <w:rsid w:val="0044076A"/>
    <w:rsid w:val="00440898"/>
    <w:rsid w:val="00440A71"/>
    <w:rsid w:val="00440E58"/>
    <w:rsid w:val="00440F95"/>
    <w:rsid w:val="004414B5"/>
    <w:rsid w:val="0044156E"/>
    <w:rsid w:val="00441767"/>
    <w:rsid w:val="004420AF"/>
    <w:rsid w:val="0044225D"/>
    <w:rsid w:val="004423DF"/>
    <w:rsid w:val="00443032"/>
    <w:rsid w:val="0044382A"/>
    <w:rsid w:val="00443949"/>
    <w:rsid w:val="00443C05"/>
    <w:rsid w:val="00444832"/>
    <w:rsid w:val="00444854"/>
    <w:rsid w:val="00446FF8"/>
    <w:rsid w:val="004476A7"/>
    <w:rsid w:val="0044798F"/>
    <w:rsid w:val="004502BA"/>
    <w:rsid w:val="004505F8"/>
    <w:rsid w:val="00452318"/>
    <w:rsid w:val="00452559"/>
    <w:rsid w:val="004528D2"/>
    <w:rsid w:val="00452A25"/>
    <w:rsid w:val="00452BDA"/>
    <w:rsid w:val="00453835"/>
    <w:rsid w:val="00453B39"/>
    <w:rsid w:val="00453C3E"/>
    <w:rsid w:val="00453D50"/>
    <w:rsid w:val="004541FF"/>
    <w:rsid w:val="00455704"/>
    <w:rsid w:val="00455A18"/>
    <w:rsid w:val="00455C05"/>
    <w:rsid w:val="004563AF"/>
    <w:rsid w:val="00457503"/>
    <w:rsid w:val="00457C80"/>
    <w:rsid w:val="00457CF9"/>
    <w:rsid w:val="00457E68"/>
    <w:rsid w:val="0046040B"/>
    <w:rsid w:val="00460687"/>
    <w:rsid w:val="00461010"/>
    <w:rsid w:val="00461467"/>
    <w:rsid w:val="004617F4"/>
    <w:rsid w:val="00461BC3"/>
    <w:rsid w:val="00461BDC"/>
    <w:rsid w:val="004621FE"/>
    <w:rsid w:val="0046306C"/>
    <w:rsid w:val="0046326E"/>
    <w:rsid w:val="00463B09"/>
    <w:rsid w:val="0046403D"/>
    <w:rsid w:val="0046417E"/>
    <w:rsid w:val="00464A79"/>
    <w:rsid w:val="00464DC0"/>
    <w:rsid w:val="00464E56"/>
    <w:rsid w:val="00465DFE"/>
    <w:rsid w:val="004660EA"/>
    <w:rsid w:val="004666F5"/>
    <w:rsid w:val="00466B44"/>
    <w:rsid w:val="00467297"/>
    <w:rsid w:val="004678AC"/>
    <w:rsid w:val="00467C75"/>
    <w:rsid w:val="0047020D"/>
    <w:rsid w:val="00470A1F"/>
    <w:rsid w:val="00470ADE"/>
    <w:rsid w:val="004724F4"/>
    <w:rsid w:val="00472692"/>
    <w:rsid w:val="0047280B"/>
    <w:rsid w:val="00473324"/>
    <w:rsid w:val="00473579"/>
    <w:rsid w:val="0047371F"/>
    <w:rsid w:val="00473FD7"/>
    <w:rsid w:val="0047425E"/>
    <w:rsid w:val="004752A2"/>
    <w:rsid w:val="00475654"/>
    <w:rsid w:val="00477441"/>
    <w:rsid w:val="00477687"/>
    <w:rsid w:val="00477B72"/>
    <w:rsid w:val="0048021D"/>
    <w:rsid w:val="00480434"/>
    <w:rsid w:val="00480A9C"/>
    <w:rsid w:val="004826A3"/>
    <w:rsid w:val="004827C3"/>
    <w:rsid w:val="004837AA"/>
    <w:rsid w:val="00483E99"/>
    <w:rsid w:val="00485900"/>
    <w:rsid w:val="00485B34"/>
    <w:rsid w:val="00485CB1"/>
    <w:rsid w:val="00486685"/>
    <w:rsid w:val="00486AA2"/>
    <w:rsid w:val="00486E91"/>
    <w:rsid w:val="00487375"/>
    <w:rsid w:val="004879EE"/>
    <w:rsid w:val="004903EC"/>
    <w:rsid w:val="00490825"/>
    <w:rsid w:val="00490D8F"/>
    <w:rsid w:val="00490E1C"/>
    <w:rsid w:val="00491482"/>
    <w:rsid w:val="00491C48"/>
    <w:rsid w:val="00491EB2"/>
    <w:rsid w:val="0049213C"/>
    <w:rsid w:val="004926F3"/>
    <w:rsid w:val="004927A0"/>
    <w:rsid w:val="00492930"/>
    <w:rsid w:val="00492B9C"/>
    <w:rsid w:val="00492E74"/>
    <w:rsid w:val="004933E2"/>
    <w:rsid w:val="00493528"/>
    <w:rsid w:val="00493594"/>
    <w:rsid w:val="00494608"/>
    <w:rsid w:val="00494B16"/>
    <w:rsid w:val="00494FD7"/>
    <w:rsid w:val="00496AB7"/>
    <w:rsid w:val="00497D13"/>
    <w:rsid w:val="00497D33"/>
    <w:rsid w:val="004A0235"/>
    <w:rsid w:val="004A1078"/>
    <w:rsid w:val="004A1233"/>
    <w:rsid w:val="004A1725"/>
    <w:rsid w:val="004A1BA8"/>
    <w:rsid w:val="004A2CA9"/>
    <w:rsid w:val="004A3CC2"/>
    <w:rsid w:val="004A4673"/>
    <w:rsid w:val="004A4AF5"/>
    <w:rsid w:val="004A5560"/>
    <w:rsid w:val="004A6B78"/>
    <w:rsid w:val="004A6E29"/>
    <w:rsid w:val="004A76A1"/>
    <w:rsid w:val="004A79A4"/>
    <w:rsid w:val="004A7D52"/>
    <w:rsid w:val="004B0149"/>
    <w:rsid w:val="004B07DF"/>
    <w:rsid w:val="004B0F26"/>
    <w:rsid w:val="004B2742"/>
    <w:rsid w:val="004B2E60"/>
    <w:rsid w:val="004B3500"/>
    <w:rsid w:val="004B4092"/>
    <w:rsid w:val="004B4192"/>
    <w:rsid w:val="004B48CE"/>
    <w:rsid w:val="004B5553"/>
    <w:rsid w:val="004B5FDA"/>
    <w:rsid w:val="004B61A5"/>
    <w:rsid w:val="004B6E5E"/>
    <w:rsid w:val="004B7281"/>
    <w:rsid w:val="004C076A"/>
    <w:rsid w:val="004C08A0"/>
    <w:rsid w:val="004C09D0"/>
    <w:rsid w:val="004C0AB6"/>
    <w:rsid w:val="004C0C18"/>
    <w:rsid w:val="004C1221"/>
    <w:rsid w:val="004C146D"/>
    <w:rsid w:val="004C2BA4"/>
    <w:rsid w:val="004C2DA2"/>
    <w:rsid w:val="004C3573"/>
    <w:rsid w:val="004C3661"/>
    <w:rsid w:val="004C3B8C"/>
    <w:rsid w:val="004C40C7"/>
    <w:rsid w:val="004C414F"/>
    <w:rsid w:val="004C4189"/>
    <w:rsid w:val="004C41DA"/>
    <w:rsid w:val="004C4C23"/>
    <w:rsid w:val="004C4E36"/>
    <w:rsid w:val="004C5379"/>
    <w:rsid w:val="004C54FC"/>
    <w:rsid w:val="004C5EA3"/>
    <w:rsid w:val="004C6238"/>
    <w:rsid w:val="004C6991"/>
    <w:rsid w:val="004C6B00"/>
    <w:rsid w:val="004C6BC7"/>
    <w:rsid w:val="004C6C4B"/>
    <w:rsid w:val="004C7B1A"/>
    <w:rsid w:val="004C7EB2"/>
    <w:rsid w:val="004D0421"/>
    <w:rsid w:val="004D0A8E"/>
    <w:rsid w:val="004D0B8D"/>
    <w:rsid w:val="004D0DA2"/>
    <w:rsid w:val="004D1154"/>
    <w:rsid w:val="004D1CAF"/>
    <w:rsid w:val="004D2EB4"/>
    <w:rsid w:val="004D3193"/>
    <w:rsid w:val="004D3406"/>
    <w:rsid w:val="004D3796"/>
    <w:rsid w:val="004D3D5C"/>
    <w:rsid w:val="004D51C5"/>
    <w:rsid w:val="004D5A8E"/>
    <w:rsid w:val="004D7280"/>
    <w:rsid w:val="004D72A8"/>
    <w:rsid w:val="004D7484"/>
    <w:rsid w:val="004E07C4"/>
    <w:rsid w:val="004E1577"/>
    <w:rsid w:val="004E1BEC"/>
    <w:rsid w:val="004E1DF2"/>
    <w:rsid w:val="004E2588"/>
    <w:rsid w:val="004E2685"/>
    <w:rsid w:val="004E3AB8"/>
    <w:rsid w:val="004E408D"/>
    <w:rsid w:val="004E42B9"/>
    <w:rsid w:val="004E4693"/>
    <w:rsid w:val="004E474A"/>
    <w:rsid w:val="004E4964"/>
    <w:rsid w:val="004E5B5E"/>
    <w:rsid w:val="004E5B8C"/>
    <w:rsid w:val="004E647E"/>
    <w:rsid w:val="004E7035"/>
    <w:rsid w:val="004E71C3"/>
    <w:rsid w:val="004E725A"/>
    <w:rsid w:val="004E779A"/>
    <w:rsid w:val="004F088C"/>
    <w:rsid w:val="004F0C9A"/>
    <w:rsid w:val="004F0D80"/>
    <w:rsid w:val="004F187D"/>
    <w:rsid w:val="004F5080"/>
    <w:rsid w:val="004F54B3"/>
    <w:rsid w:val="004F566B"/>
    <w:rsid w:val="004F5F98"/>
    <w:rsid w:val="004F6F8B"/>
    <w:rsid w:val="004F7254"/>
    <w:rsid w:val="004F7D98"/>
    <w:rsid w:val="005006B5"/>
    <w:rsid w:val="00500C69"/>
    <w:rsid w:val="0050124D"/>
    <w:rsid w:val="0050126A"/>
    <w:rsid w:val="005012C0"/>
    <w:rsid w:val="005014F5"/>
    <w:rsid w:val="0050184D"/>
    <w:rsid w:val="00501FAE"/>
    <w:rsid w:val="00502D63"/>
    <w:rsid w:val="00503447"/>
    <w:rsid w:val="00503941"/>
    <w:rsid w:val="00503952"/>
    <w:rsid w:val="00503C3B"/>
    <w:rsid w:val="005040C1"/>
    <w:rsid w:val="0050428D"/>
    <w:rsid w:val="00504691"/>
    <w:rsid w:val="005056D7"/>
    <w:rsid w:val="00505A53"/>
    <w:rsid w:val="00505B30"/>
    <w:rsid w:val="0050623D"/>
    <w:rsid w:val="00506AE7"/>
    <w:rsid w:val="0050734A"/>
    <w:rsid w:val="00510023"/>
    <w:rsid w:val="00510863"/>
    <w:rsid w:val="00510E6B"/>
    <w:rsid w:val="005113AD"/>
    <w:rsid w:val="00512231"/>
    <w:rsid w:val="00512C66"/>
    <w:rsid w:val="0051333D"/>
    <w:rsid w:val="00513669"/>
    <w:rsid w:val="0051386E"/>
    <w:rsid w:val="00513B71"/>
    <w:rsid w:val="0051468D"/>
    <w:rsid w:val="0051494D"/>
    <w:rsid w:val="0051518E"/>
    <w:rsid w:val="0051542A"/>
    <w:rsid w:val="00516E96"/>
    <w:rsid w:val="00517530"/>
    <w:rsid w:val="00517A19"/>
    <w:rsid w:val="00517AEC"/>
    <w:rsid w:val="005207E0"/>
    <w:rsid w:val="00521127"/>
    <w:rsid w:val="005211B2"/>
    <w:rsid w:val="005224AD"/>
    <w:rsid w:val="005225BE"/>
    <w:rsid w:val="00522C42"/>
    <w:rsid w:val="00522D42"/>
    <w:rsid w:val="00523275"/>
    <w:rsid w:val="00523A52"/>
    <w:rsid w:val="00524F8D"/>
    <w:rsid w:val="00525331"/>
    <w:rsid w:val="00525945"/>
    <w:rsid w:val="00525B84"/>
    <w:rsid w:val="00526192"/>
    <w:rsid w:val="005262A9"/>
    <w:rsid w:val="005262E4"/>
    <w:rsid w:val="005264BD"/>
    <w:rsid w:val="00527595"/>
    <w:rsid w:val="005276F9"/>
    <w:rsid w:val="0052771A"/>
    <w:rsid w:val="0052780A"/>
    <w:rsid w:val="0053112F"/>
    <w:rsid w:val="00531385"/>
    <w:rsid w:val="00531952"/>
    <w:rsid w:val="00531B8F"/>
    <w:rsid w:val="00532930"/>
    <w:rsid w:val="00532984"/>
    <w:rsid w:val="00533040"/>
    <w:rsid w:val="00533E8B"/>
    <w:rsid w:val="00534BFA"/>
    <w:rsid w:val="005356ED"/>
    <w:rsid w:val="0053683D"/>
    <w:rsid w:val="00536AE4"/>
    <w:rsid w:val="00536F52"/>
    <w:rsid w:val="0053747C"/>
    <w:rsid w:val="0053761C"/>
    <w:rsid w:val="005376FF"/>
    <w:rsid w:val="005378B0"/>
    <w:rsid w:val="00537EB3"/>
    <w:rsid w:val="00537EFC"/>
    <w:rsid w:val="005402D7"/>
    <w:rsid w:val="00540573"/>
    <w:rsid w:val="00540B9F"/>
    <w:rsid w:val="00540E91"/>
    <w:rsid w:val="00541D5C"/>
    <w:rsid w:val="00542156"/>
    <w:rsid w:val="005421A2"/>
    <w:rsid w:val="005422D6"/>
    <w:rsid w:val="00542554"/>
    <w:rsid w:val="00542591"/>
    <w:rsid w:val="00542D05"/>
    <w:rsid w:val="00543CEA"/>
    <w:rsid w:val="0054437F"/>
    <w:rsid w:val="005446DE"/>
    <w:rsid w:val="00544718"/>
    <w:rsid w:val="00544765"/>
    <w:rsid w:val="00544FA1"/>
    <w:rsid w:val="0054609E"/>
    <w:rsid w:val="005467F0"/>
    <w:rsid w:val="0054695B"/>
    <w:rsid w:val="00546F15"/>
    <w:rsid w:val="005477A2"/>
    <w:rsid w:val="00550320"/>
    <w:rsid w:val="005504A5"/>
    <w:rsid w:val="00550E46"/>
    <w:rsid w:val="00551243"/>
    <w:rsid w:val="00551769"/>
    <w:rsid w:val="005519B7"/>
    <w:rsid w:val="00551C9A"/>
    <w:rsid w:val="0055235B"/>
    <w:rsid w:val="00553974"/>
    <w:rsid w:val="00554650"/>
    <w:rsid w:val="00554FF2"/>
    <w:rsid w:val="0055560D"/>
    <w:rsid w:val="005559E9"/>
    <w:rsid w:val="00555A4F"/>
    <w:rsid w:val="00556799"/>
    <w:rsid w:val="0055688D"/>
    <w:rsid w:val="005570BE"/>
    <w:rsid w:val="00557D62"/>
    <w:rsid w:val="00557EF0"/>
    <w:rsid w:val="005607B9"/>
    <w:rsid w:val="00560B85"/>
    <w:rsid w:val="00561FB4"/>
    <w:rsid w:val="0056233B"/>
    <w:rsid w:val="00562A51"/>
    <w:rsid w:val="00562B73"/>
    <w:rsid w:val="00562D96"/>
    <w:rsid w:val="00563402"/>
    <w:rsid w:val="005642F4"/>
    <w:rsid w:val="00564313"/>
    <w:rsid w:val="00564978"/>
    <w:rsid w:val="00564BC7"/>
    <w:rsid w:val="00564EBB"/>
    <w:rsid w:val="005655EE"/>
    <w:rsid w:val="00565D6A"/>
    <w:rsid w:val="00566A8C"/>
    <w:rsid w:val="00566C7E"/>
    <w:rsid w:val="0056717F"/>
    <w:rsid w:val="0056764F"/>
    <w:rsid w:val="00567B17"/>
    <w:rsid w:val="00570B82"/>
    <w:rsid w:val="00570E53"/>
    <w:rsid w:val="005720E6"/>
    <w:rsid w:val="005724C3"/>
    <w:rsid w:val="00572525"/>
    <w:rsid w:val="005729C7"/>
    <w:rsid w:val="00572E82"/>
    <w:rsid w:val="00572F77"/>
    <w:rsid w:val="0057357B"/>
    <w:rsid w:val="00573718"/>
    <w:rsid w:val="00574EA9"/>
    <w:rsid w:val="005753A1"/>
    <w:rsid w:val="005760AF"/>
    <w:rsid w:val="00576794"/>
    <w:rsid w:val="00576987"/>
    <w:rsid w:val="005774CE"/>
    <w:rsid w:val="00577A7B"/>
    <w:rsid w:val="00577D70"/>
    <w:rsid w:val="00581B7F"/>
    <w:rsid w:val="0058326E"/>
    <w:rsid w:val="00583329"/>
    <w:rsid w:val="005834B1"/>
    <w:rsid w:val="0058352B"/>
    <w:rsid w:val="005838B7"/>
    <w:rsid w:val="00583A41"/>
    <w:rsid w:val="00585028"/>
    <w:rsid w:val="00586676"/>
    <w:rsid w:val="00586B32"/>
    <w:rsid w:val="00587679"/>
    <w:rsid w:val="0059015E"/>
    <w:rsid w:val="00590661"/>
    <w:rsid w:val="005919CC"/>
    <w:rsid w:val="005923E7"/>
    <w:rsid w:val="005926FF"/>
    <w:rsid w:val="005927B6"/>
    <w:rsid w:val="00592FDE"/>
    <w:rsid w:val="00592FE6"/>
    <w:rsid w:val="00593A13"/>
    <w:rsid w:val="005954D3"/>
    <w:rsid w:val="00596199"/>
    <w:rsid w:val="00596621"/>
    <w:rsid w:val="0059689C"/>
    <w:rsid w:val="00596F4B"/>
    <w:rsid w:val="005972F4"/>
    <w:rsid w:val="005A1A07"/>
    <w:rsid w:val="005A2B90"/>
    <w:rsid w:val="005A2BD0"/>
    <w:rsid w:val="005A2D77"/>
    <w:rsid w:val="005A2E40"/>
    <w:rsid w:val="005A38A2"/>
    <w:rsid w:val="005A39D0"/>
    <w:rsid w:val="005A3D43"/>
    <w:rsid w:val="005A4010"/>
    <w:rsid w:val="005A4CC6"/>
    <w:rsid w:val="005A564F"/>
    <w:rsid w:val="005A7722"/>
    <w:rsid w:val="005B009E"/>
    <w:rsid w:val="005B0A49"/>
    <w:rsid w:val="005B1875"/>
    <w:rsid w:val="005B1BC4"/>
    <w:rsid w:val="005B1D52"/>
    <w:rsid w:val="005B2922"/>
    <w:rsid w:val="005B2F76"/>
    <w:rsid w:val="005B3624"/>
    <w:rsid w:val="005B384B"/>
    <w:rsid w:val="005B3903"/>
    <w:rsid w:val="005B49E8"/>
    <w:rsid w:val="005B4B4D"/>
    <w:rsid w:val="005B4C6B"/>
    <w:rsid w:val="005B4E81"/>
    <w:rsid w:val="005B56E2"/>
    <w:rsid w:val="005B646C"/>
    <w:rsid w:val="005B69B1"/>
    <w:rsid w:val="005C0398"/>
    <w:rsid w:val="005C0D9C"/>
    <w:rsid w:val="005C105E"/>
    <w:rsid w:val="005C1082"/>
    <w:rsid w:val="005C1228"/>
    <w:rsid w:val="005C1434"/>
    <w:rsid w:val="005C2A50"/>
    <w:rsid w:val="005C3502"/>
    <w:rsid w:val="005C4F27"/>
    <w:rsid w:val="005C5203"/>
    <w:rsid w:val="005C560C"/>
    <w:rsid w:val="005C5697"/>
    <w:rsid w:val="005C7158"/>
    <w:rsid w:val="005C75C9"/>
    <w:rsid w:val="005C7F1E"/>
    <w:rsid w:val="005D0527"/>
    <w:rsid w:val="005D0641"/>
    <w:rsid w:val="005D0D84"/>
    <w:rsid w:val="005D1278"/>
    <w:rsid w:val="005D1A73"/>
    <w:rsid w:val="005D4151"/>
    <w:rsid w:val="005D5494"/>
    <w:rsid w:val="005D5691"/>
    <w:rsid w:val="005D6267"/>
    <w:rsid w:val="005D6FF9"/>
    <w:rsid w:val="005D77BD"/>
    <w:rsid w:val="005E0230"/>
    <w:rsid w:val="005E04B5"/>
    <w:rsid w:val="005E05E5"/>
    <w:rsid w:val="005E0A06"/>
    <w:rsid w:val="005E0AB8"/>
    <w:rsid w:val="005E199B"/>
    <w:rsid w:val="005E1E7B"/>
    <w:rsid w:val="005E2246"/>
    <w:rsid w:val="005E2660"/>
    <w:rsid w:val="005E273B"/>
    <w:rsid w:val="005E30C8"/>
    <w:rsid w:val="005E3F7B"/>
    <w:rsid w:val="005E44FA"/>
    <w:rsid w:val="005E5C1C"/>
    <w:rsid w:val="005E62FA"/>
    <w:rsid w:val="005E6DD9"/>
    <w:rsid w:val="005E7C04"/>
    <w:rsid w:val="005F03A0"/>
    <w:rsid w:val="005F061D"/>
    <w:rsid w:val="005F0C85"/>
    <w:rsid w:val="005F0CDE"/>
    <w:rsid w:val="005F0FFB"/>
    <w:rsid w:val="005F1471"/>
    <w:rsid w:val="005F1E84"/>
    <w:rsid w:val="005F2181"/>
    <w:rsid w:val="005F2A54"/>
    <w:rsid w:val="005F3755"/>
    <w:rsid w:val="005F37A5"/>
    <w:rsid w:val="005F3896"/>
    <w:rsid w:val="005F3C9F"/>
    <w:rsid w:val="005F4C42"/>
    <w:rsid w:val="005F4CA5"/>
    <w:rsid w:val="005F543F"/>
    <w:rsid w:val="005F5D8A"/>
    <w:rsid w:val="005F5D8E"/>
    <w:rsid w:val="005F5E17"/>
    <w:rsid w:val="005F63B8"/>
    <w:rsid w:val="005F6C7F"/>
    <w:rsid w:val="005F7203"/>
    <w:rsid w:val="005F7753"/>
    <w:rsid w:val="006001FF"/>
    <w:rsid w:val="00601D92"/>
    <w:rsid w:val="00601E41"/>
    <w:rsid w:val="00601F0F"/>
    <w:rsid w:val="00602760"/>
    <w:rsid w:val="0060284B"/>
    <w:rsid w:val="00603075"/>
    <w:rsid w:val="006037AB"/>
    <w:rsid w:val="0060510F"/>
    <w:rsid w:val="00605650"/>
    <w:rsid w:val="006056D2"/>
    <w:rsid w:val="006061D6"/>
    <w:rsid w:val="006068B1"/>
    <w:rsid w:val="00607473"/>
    <w:rsid w:val="00607D7B"/>
    <w:rsid w:val="006101EC"/>
    <w:rsid w:val="00610D3B"/>
    <w:rsid w:val="00612D3E"/>
    <w:rsid w:val="00612F76"/>
    <w:rsid w:val="0061318B"/>
    <w:rsid w:val="006134F1"/>
    <w:rsid w:val="006136B6"/>
    <w:rsid w:val="006138C2"/>
    <w:rsid w:val="0061444E"/>
    <w:rsid w:val="00614EF9"/>
    <w:rsid w:val="006165E7"/>
    <w:rsid w:val="006177A1"/>
    <w:rsid w:val="00617A2C"/>
    <w:rsid w:val="0062143E"/>
    <w:rsid w:val="006229AA"/>
    <w:rsid w:val="00622C3E"/>
    <w:rsid w:val="00622F5C"/>
    <w:rsid w:val="00623A07"/>
    <w:rsid w:val="00624315"/>
    <w:rsid w:val="00624D07"/>
    <w:rsid w:val="00625684"/>
    <w:rsid w:val="00625B88"/>
    <w:rsid w:val="00625CFB"/>
    <w:rsid w:val="00625E35"/>
    <w:rsid w:val="00626107"/>
    <w:rsid w:val="0062715B"/>
    <w:rsid w:val="00630BAC"/>
    <w:rsid w:val="00630BDC"/>
    <w:rsid w:val="0063110C"/>
    <w:rsid w:val="006312D5"/>
    <w:rsid w:val="00631481"/>
    <w:rsid w:val="00631FF2"/>
    <w:rsid w:val="0063224C"/>
    <w:rsid w:val="00632F91"/>
    <w:rsid w:val="00633E0D"/>
    <w:rsid w:val="0063422C"/>
    <w:rsid w:val="006344F8"/>
    <w:rsid w:val="0063489F"/>
    <w:rsid w:val="006348B6"/>
    <w:rsid w:val="006348B8"/>
    <w:rsid w:val="00634A5D"/>
    <w:rsid w:val="00635682"/>
    <w:rsid w:val="006358AE"/>
    <w:rsid w:val="00635A2D"/>
    <w:rsid w:val="0063668C"/>
    <w:rsid w:val="006368F7"/>
    <w:rsid w:val="00636B55"/>
    <w:rsid w:val="00636C61"/>
    <w:rsid w:val="006373ED"/>
    <w:rsid w:val="0063742D"/>
    <w:rsid w:val="00637493"/>
    <w:rsid w:val="00637967"/>
    <w:rsid w:val="00637B66"/>
    <w:rsid w:val="00637E06"/>
    <w:rsid w:val="00640C3F"/>
    <w:rsid w:val="006417AE"/>
    <w:rsid w:val="00641F85"/>
    <w:rsid w:val="00642731"/>
    <w:rsid w:val="00642870"/>
    <w:rsid w:val="006430CF"/>
    <w:rsid w:val="0064383B"/>
    <w:rsid w:val="00643891"/>
    <w:rsid w:val="00643A2A"/>
    <w:rsid w:val="00644499"/>
    <w:rsid w:val="0064482E"/>
    <w:rsid w:val="006460C1"/>
    <w:rsid w:val="006462DB"/>
    <w:rsid w:val="00647767"/>
    <w:rsid w:val="00647F6F"/>
    <w:rsid w:val="006500E9"/>
    <w:rsid w:val="00650918"/>
    <w:rsid w:val="00650EAA"/>
    <w:rsid w:val="00651C20"/>
    <w:rsid w:val="0065276A"/>
    <w:rsid w:val="00652998"/>
    <w:rsid w:val="00652B7E"/>
    <w:rsid w:val="00652FC8"/>
    <w:rsid w:val="00654441"/>
    <w:rsid w:val="00655A73"/>
    <w:rsid w:val="00655C7B"/>
    <w:rsid w:val="00655EA0"/>
    <w:rsid w:val="00657DF3"/>
    <w:rsid w:val="0066205D"/>
    <w:rsid w:val="00662D2E"/>
    <w:rsid w:val="00663026"/>
    <w:rsid w:val="00663112"/>
    <w:rsid w:val="00663CAD"/>
    <w:rsid w:val="00663E40"/>
    <w:rsid w:val="00664453"/>
    <w:rsid w:val="0066484C"/>
    <w:rsid w:val="00664ADF"/>
    <w:rsid w:val="006655F7"/>
    <w:rsid w:val="006656B4"/>
    <w:rsid w:val="00665C19"/>
    <w:rsid w:val="006660AE"/>
    <w:rsid w:val="00666B65"/>
    <w:rsid w:val="00666EC5"/>
    <w:rsid w:val="00666F3C"/>
    <w:rsid w:val="00667772"/>
    <w:rsid w:val="0066790E"/>
    <w:rsid w:val="00670891"/>
    <w:rsid w:val="00671F70"/>
    <w:rsid w:val="00672956"/>
    <w:rsid w:val="006734B0"/>
    <w:rsid w:val="0067366E"/>
    <w:rsid w:val="00674464"/>
    <w:rsid w:val="006753D6"/>
    <w:rsid w:val="0067564A"/>
    <w:rsid w:val="006757C6"/>
    <w:rsid w:val="00675842"/>
    <w:rsid w:val="00675C7A"/>
    <w:rsid w:val="00675E97"/>
    <w:rsid w:val="00675FD2"/>
    <w:rsid w:val="00676869"/>
    <w:rsid w:val="00676E77"/>
    <w:rsid w:val="00677DFC"/>
    <w:rsid w:val="00677F37"/>
    <w:rsid w:val="00680A9F"/>
    <w:rsid w:val="00680DEA"/>
    <w:rsid w:val="006811F6"/>
    <w:rsid w:val="0068148F"/>
    <w:rsid w:val="0068158B"/>
    <w:rsid w:val="00681B0D"/>
    <w:rsid w:val="006823EA"/>
    <w:rsid w:val="00682A8B"/>
    <w:rsid w:val="00682AAD"/>
    <w:rsid w:val="00682D13"/>
    <w:rsid w:val="006832E6"/>
    <w:rsid w:val="00683FFC"/>
    <w:rsid w:val="0068424C"/>
    <w:rsid w:val="00684A34"/>
    <w:rsid w:val="00684E7E"/>
    <w:rsid w:val="006854E7"/>
    <w:rsid w:val="006854F4"/>
    <w:rsid w:val="0068634F"/>
    <w:rsid w:val="00686C5D"/>
    <w:rsid w:val="00686E78"/>
    <w:rsid w:val="00687035"/>
    <w:rsid w:val="00687072"/>
    <w:rsid w:val="00687651"/>
    <w:rsid w:val="00687738"/>
    <w:rsid w:val="00687815"/>
    <w:rsid w:val="006879AF"/>
    <w:rsid w:val="00687E90"/>
    <w:rsid w:val="00687F8E"/>
    <w:rsid w:val="0069058A"/>
    <w:rsid w:val="00691AF7"/>
    <w:rsid w:val="00691BF9"/>
    <w:rsid w:val="00691EEE"/>
    <w:rsid w:val="00692D9C"/>
    <w:rsid w:val="00693C56"/>
    <w:rsid w:val="00693D80"/>
    <w:rsid w:val="00694496"/>
    <w:rsid w:val="00694B7F"/>
    <w:rsid w:val="00695257"/>
    <w:rsid w:val="00695D02"/>
    <w:rsid w:val="00695DC0"/>
    <w:rsid w:val="00695F71"/>
    <w:rsid w:val="00696759"/>
    <w:rsid w:val="0069771F"/>
    <w:rsid w:val="00697E77"/>
    <w:rsid w:val="006A190C"/>
    <w:rsid w:val="006A410B"/>
    <w:rsid w:val="006A4744"/>
    <w:rsid w:val="006A4F47"/>
    <w:rsid w:val="006A532A"/>
    <w:rsid w:val="006A6CF0"/>
    <w:rsid w:val="006A7430"/>
    <w:rsid w:val="006A7B8E"/>
    <w:rsid w:val="006B0092"/>
    <w:rsid w:val="006B123D"/>
    <w:rsid w:val="006B1452"/>
    <w:rsid w:val="006B1790"/>
    <w:rsid w:val="006B1946"/>
    <w:rsid w:val="006B1DC1"/>
    <w:rsid w:val="006B285F"/>
    <w:rsid w:val="006B328A"/>
    <w:rsid w:val="006B3797"/>
    <w:rsid w:val="006B475E"/>
    <w:rsid w:val="006B4CBD"/>
    <w:rsid w:val="006B5CC1"/>
    <w:rsid w:val="006B5DE6"/>
    <w:rsid w:val="006B6130"/>
    <w:rsid w:val="006B696C"/>
    <w:rsid w:val="006B6E06"/>
    <w:rsid w:val="006B6F29"/>
    <w:rsid w:val="006B787F"/>
    <w:rsid w:val="006C155E"/>
    <w:rsid w:val="006C2094"/>
    <w:rsid w:val="006C2365"/>
    <w:rsid w:val="006C2486"/>
    <w:rsid w:val="006C25E5"/>
    <w:rsid w:val="006C2F3A"/>
    <w:rsid w:val="006C39C1"/>
    <w:rsid w:val="006C3DC4"/>
    <w:rsid w:val="006C4B12"/>
    <w:rsid w:val="006C53E6"/>
    <w:rsid w:val="006C56D2"/>
    <w:rsid w:val="006C586D"/>
    <w:rsid w:val="006C5943"/>
    <w:rsid w:val="006C5B48"/>
    <w:rsid w:val="006C664B"/>
    <w:rsid w:val="006C6EEA"/>
    <w:rsid w:val="006C6FF3"/>
    <w:rsid w:val="006C711A"/>
    <w:rsid w:val="006C7215"/>
    <w:rsid w:val="006C75E1"/>
    <w:rsid w:val="006C7992"/>
    <w:rsid w:val="006C7D39"/>
    <w:rsid w:val="006C7E76"/>
    <w:rsid w:val="006D024A"/>
    <w:rsid w:val="006D07EA"/>
    <w:rsid w:val="006D0A26"/>
    <w:rsid w:val="006D0E1E"/>
    <w:rsid w:val="006D11E2"/>
    <w:rsid w:val="006D17D9"/>
    <w:rsid w:val="006D1CC1"/>
    <w:rsid w:val="006D206A"/>
    <w:rsid w:val="006D4195"/>
    <w:rsid w:val="006D460E"/>
    <w:rsid w:val="006D47C3"/>
    <w:rsid w:val="006D568B"/>
    <w:rsid w:val="006D5F7B"/>
    <w:rsid w:val="006D5FB1"/>
    <w:rsid w:val="006D6507"/>
    <w:rsid w:val="006D700C"/>
    <w:rsid w:val="006D7B49"/>
    <w:rsid w:val="006D7C51"/>
    <w:rsid w:val="006E0102"/>
    <w:rsid w:val="006E0E9F"/>
    <w:rsid w:val="006E144C"/>
    <w:rsid w:val="006E18E3"/>
    <w:rsid w:val="006E20E5"/>
    <w:rsid w:val="006E21E6"/>
    <w:rsid w:val="006E2276"/>
    <w:rsid w:val="006E318F"/>
    <w:rsid w:val="006E3703"/>
    <w:rsid w:val="006E397A"/>
    <w:rsid w:val="006E4676"/>
    <w:rsid w:val="006E52AF"/>
    <w:rsid w:val="006E5D2E"/>
    <w:rsid w:val="006E61F3"/>
    <w:rsid w:val="006E6B7E"/>
    <w:rsid w:val="006E74AD"/>
    <w:rsid w:val="006E7724"/>
    <w:rsid w:val="006F055A"/>
    <w:rsid w:val="006F0733"/>
    <w:rsid w:val="006F0A85"/>
    <w:rsid w:val="006F1468"/>
    <w:rsid w:val="006F1605"/>
    <w:rsid w:val="006F1ACC"/>
    <w:rsid w:val="006F2FFF"/>
    <w:rsid w:val="006F3A71"/>
    <w:rsid w:val="006F3F3F"/>
    <w:rsid w:val="006F4053"/>
    <w:rsid w:val="006F4786"/>
    <w:rsid w:val="006F47BA"/>
    <w:rsid w:val="006F5CA0"/>
    <w:rsid w:val="006F5F53"/>
    <w:rsid w:val="006F62EE"/>
    <w:rsid w:val="006F69D6"/>
    <w:rsid w:val="006F6BA9"/>
    <w:rsid w:val="006F73B1"/>
    <w:rsid w:val="006F77E2"/>
    <w:rsid w:val="007000AC"/>
    <w:rsid w:val="00701076"/>
    <w:rsid w:val="00701276"/>
    <w:rsid w:val="0070196F"/>
    <w:rsid w:val="00701AF0"/>
    <w:rsid w:val="00703E8A"/>
    <w:rsid w:val="00704509"/>
    <w:rsid w:val="00705AAB"/>
    <w:rsid w:val="007062DB"/>
    <w:rsid w:val="0070699C"/>
    <w:rsid w:val="00706B0D"/>
    <w:rsid w:val="00706EDD"/>
    <w:rsid w:val="00707737"/>
    <w:rsid w:val="007077E9"/>
    <w:rsid w:val="00710ED3"/>
    <w:rsid w:val="0071110D"/>
    <w:rsid w:val="007134D1"/>
    <w:rsid w:val="00714162"/>
    <w:rsid w:val="00714812"/>
    <w:rsid w:val="00714BBC"/>
    <w:rsid w:val="00714EE0"/>
    <w:rsid w:val="007161D7"/>
    <w:rsid w:val="007164A8"/>
    <w:rsid w:val="007164FB"/>
    <w:rsid w:val="00717757"/>
    <w:rsid w:val="00717B5E"/>
    <w:rsid w:val="00717CEE"/>
    <w:rsid w:val="00720389"/>
    <w:rsid w:val="007203DF"/>
    <w:rsid w:val="00720C60"/>
    <w:rsid w:val="00720E75"/>
    <w:rsid w:val="00721722"/>
    <w:rsid w:val="00722439"/>
    <w:rsid w:val="007227A3"/>
    <w:rsid w:val="00722DE9"/>
    <w:rsid w:val="00723950"/>
    <w:rsid w:val="00723983"/>
    <w:rsid w:val="007249AC"/>
    <w:rsid w:val="0072524F"/>
    <w:rsid w:val="007261F2"/>
    <w:rsid w:val="0073131D"/>
    <w:rsid w:val="00731802"/>
    <w:rsid w:val="0073196A"/>
    <w:rsid w:val="00731B0C"/>
    <w:rsid w:val="00731D56"/>
    <w:rsid w:val="0073317A"/>
    <w:rsid w:val="00733236"/>
    <w:rsid w:val="0073329F"/>
    <w:rsid w:val="00733A39"/>
    <w:rsid w:val="00733B11"/>
    <w:rsid w:val="00733C21"/>
    <w:rsid w:val="00734414"/>
    <w:rsid w:val="00734578"/>
    <w:rsid w:val="00734C2E"/>
    <w:rsid w:val="0073599E"/>
    <w:rsid w:val="00735E7A"/>
    <w:rsid w:val="007362A7"/>
    <w:rsid w:val="00736780"/>
    <w:rsid w:val="0073754F"/>
    <w:rsid w:val="0074053E"/>
    <w:rsid w:val="0074076E"/>
    <w:rsid w:val="00740A31"/>
    <w:rsid w:val="00740DA7"/>
    <w:rsid w:val="007414A8"/>
    <w:rsid w:val="00741516"/>
    <w:rsid w:val="00741DF6"/>
    <w:rsid w:val="00743007"/>
    <w:rsid w:val="00743284"/>
    <w:rsid w:val="007438F4"/>
    <w:rsid w:val="00743912"/>
    <w:rsid w:val="00743A44"/>
    <w:rsid w:val="00744769"/>
    <w:rsid w:val="00745FAC"/>
    <w:rsid w:val="0074618B"/>
    <w:rsid w:val="00746908"/>
    <w:rsid w:val="00746DF4"/>
    <w:rsid w:val="007477ED"/>
    <w:rsid w:val="007506FC"/>
    <w:rsid w:val="007508EA"/>
    <w:rsid w:val="00750CE3"/>
    <w:rsid w:val="0075155A"/>
    <w:rsid w:val="00752666"/>
    <w:rsid w:val="007527B9"/>
    <w:rsid w:val="007530C6"/>
    <w:rsid w:val="00754418"/>
    <w:rsid w:val="0075463A"/>
    <w:rsid w:val="007552A7"/>
    <w:rsid w:val="0075538F"/>
    <w:rsid w:val="0075560F"/>
    <w:rsid w:val="007558B2"/>
    <w:rsid w:val="007561CC"/>
    <w:rsid w:val="00756312"/>
    <w:rsid w:val="00756562"/>
    <w:rsid w:val="00757034"/>
    <w:rsid w:val="00757897"/>
    <w:rsid w:val="007608F3"/>
    <w:rsid w:val="00761348"/>
    <w:rsid w:val="007615AC"/>
    <w:rsid w:val="00762030"/>
    <w:rsid w:val="00762A2A"/>
    <w:rsid w:val="00762DF4"/>
    <w:rsid w:val="007633F2"/>
    <w:rsid w:val="007637EC"/>
    <w:rsid w:val="007640A4"/>
    <w:rsid w:val="00764685"/>
    <w:rsid w:val="00764A74"/>
    <w:rsid w:val="007668F3"/>
    <w:rsid w:val="00766C04"/>
    <w:rsid w:val="00766F80"/>
    <w:rsid w:val="00766FAF"/>
    <w:rsid w:val="007677F9"/>
    <w:rsid w:val="00767971"/>
    <w:rsid w:val="0077108F"/>
    <w:rsid w:val="00772362"/>
    <w:rsid w:val="00772D75"/>
    <w:rsid w:val="007731C0"/>
    <w:rsid w:val="00773881"/>
    <w:rsid w:val="007742E1"/>
    <w:rsid w:val="00774FD1"/>
    <w:rsid w:val="0077539F"/>
    <w:rsid w:val="00775A4B"/>
    <w:rsid w:val="00776040"/>
    <w:rsid w:val="00776523"/>
    <w:rsid w:val="00776D9D"/>
    <w:rsid w:val="00780745"/>
    <w:rsid w:val="00781014"/>
    <w:rsid w:val="007816A1"/>
    <w:rsid w:val="0078175A"/>
    <w:rsid w:val="00781AD5"/>
    <w:rsid w:val="0078265F"/>
    <w:rsid w:val="00782EAD"/>
    <w:rsid w:val="0078374C"/>
    <w:rsid w:val="00784232"/>
    <w:rsid w:val="007847A7"/>
    <w:rsid w:val="00785E9B"/>
    <w:rsid w:val="00787173"/>
    <w:rsid w:val="007905C9"/>
    <w:rsid w:val="00790DA6"/>
    <w:rsid w:val="00792202"/>
    <w:rsid w:val="0079312A"/>
    <w:rsid w:val="007932C5"/>
    <w:rsid w:val="0079344E"/>
    <w:rsid w:val="007939F2"/>
    <w:rsid w:val="007948FA"/>
    <w:rsid w:val="007956E7"/>
    <w:rsid w:val="00796482"/>
    <w:rsid w:val="00796C4C"/>
    <w:rsid w:val="00797103"/>
    <w:rsid w:val="007977A0"/>
    <w:rsid w:val="007A0D4D"/>
    <w:rsid w:val="007A20EE"/>
    <w:rsid w:val="007A35C4"/>
    <w:rsid w:val="007A387D"/>
    <w:rsid w:val="007A3A05"/>
    <w:rsid w:val="007A3B72"/>
    <w:rsid w:val="007A4D0C"/>
    <w:rsid w:val="007A516F"/>
    <w:rsid w:val="007A5196"/>
    <w:rsid w:val="007A56B2"/>
    <w:rsid w:val="007A57ED"/>
    <w:rsid w:val="007A5CE0"/>
    <w:rsid w:val="007A6634"/>
    <w:rsid w:val="007A67F8"/>
    <w:rsid w:val="007A6C55"/>
    <w:rsid w:val="007A7F4A"/>
    <w:rsid w:val="007B05B5"/>
    <w:rsid w:val="007B10DE"/>
    <w:rsid w:val="007B14D0"/>
    <w:rsid w:val="007B1BA3"/>
    <w:rsid w:val="007B2294"/>
    <w:rsid w:val="007B2554"/>
    <w:rsid w:val="007B3D05"/>
    <w:rsid w:val="007B40AA"/>
    <w:rsid w:val="007B40BB"/>
    <w:rsid w:val="007B498A"/>
    <w:rsid w:val="007B49FE"/>
    <w:rsid w:val="007B5259"/>
    <w:rsid w:val="007B601D"/>
    <w:rsid w:val="007B68CC"/>
    <w:rsid w:val="007B6CC8"/>
    <w:rsid w:val="007B78BD"/>
    <w:rsid w:val="007B7A9C"/>
    <w:rsid w:val="007C0203"/>
    <w:rsid w:val="007C0573"/>
    <w:rsid w:val="007C13EB"/>
    <w:rsid w:val="007C23FF"/>
    <w:rsid w:val="007C2A01"/>
    <w:rsid w:val="007C3291"/>
    <w:rsid w:val="007C3BFD"/>
    <w:rsid w:val="007C4325"/>
    <w:rsid w:val="007C45EB"/>
    <w:rsid w:val="007C4F5C"/>
    <w:rsid w:val="007C5222"/>
    <w:rsid w:val="007C5432"/>
    <w:rsid w:val="007C5AF5"/>
    <w:rsid w:val="007C5D42"/>
    <w:rsid w:val="007C783B"/>
    <w:rsid w:val="007C7B20"/>
    <w:rsid w:val="007C7E8E"/>
    <w:rsid w:val="007C7F32"/>
    <w:rsid w:val="007D006F"/>
    <w:rsid w:val="007D00E0"/>
    <w:rsid w:val="007D10FE"/>
    <w:rsid w:val="007D1AAC"/>
    <w:rsid w:val="007D2474"/>
    <w:rsid w:val="007D24DA"/>
    <w:rsid w:val="007D3BDE"/>
    <w:rsid w:val="007D427E"/>
    <w:rsid w:val="007D6817"/>
    <w:rsid w:val="007D6A4A"/>
    <w:rsid w:val="007D6DC4"/>
    <w:rsid w:val="007D7508"/>
    <w:rsid w:val="007D7C50"/>
    <w:rsid w:val="007E0756"/>
    <w:rsid w:val="007E1976"/>
    <w:rsid w:val="007E1980"/>
    <w:rsid w:val="007E255B"/>
    <w:rsid w:val="007E3210"/>
    <w:rsid w:val="007E33E4"/>
    <w:rsid w:val="007E382B"/>
    <w:rsid w:val="007E4515"/>
    <w:rsid w:val="007E4E7C"/>
    <w:rsid w:val="007E6106"/>
    <w:rsid w:val="007E681F"/>
    <w:rsid w:val="007E6ACA"/>
    <w:rsid w:val="007E7695"/>
    <w:rsid w:val="007F0283"/>
    <w:rsid w:val="007F08E3"/>
    <w:rsid w:val="007F1ED9"/>
    <w:rsid w:val="007F31DA"/>
    <w:rsid w:val="007F3A25"/>
    <w:rsid w:val="007F3BC0"/>
    <w:rsid w:val="007F3D37"/>
    <w:rsid w:val="007F3FE2"/>
    <w:rsid w:val="007F47F5"/>
    <w:rsid w:val="007F718D"/>
    <w:rsid w:val="007F7E38"/>
    <w:rsid w:val="00801731"/>
    <w:rsid w:val="0080248B"/>
    <w:rsid w:val="00802614"/>
    <w:rsid w:val="00803A70"/>
    <w:rsid w:val="00804518"/>
    <w:rsid w:val="0080487E"/>
    <w:rsid w:val="0080513F"/>
    <w:rsid w:val="0080593D"/>
    <w:rsid w:val="00806E1B"/>
    <w:rsid w:val="008075BE"/>
    <w:rsid w:val="00810B35"/>
    <w:rsid w:val="00810C83"/>
    <w:rsid w:val="008110EB"/>
    <w:rsid w:val="008110F7"/>
    <w:rsid w:val="00811182"/>
    <w:rsid w:val="008117B2"/>
    <w:rsid w:val="00811833"/>
    <w:rsid w:val="0081188F"/>
    <w:rsid w:val="00811897"/>
    <w:rsid w:val="008121BE"/>
    <w:rsid w:val="0081264C"/>
    <w:rsid w:val="00813008"/>
    <w:rsid w:val="008137B3"/>
    <w:rsid w:val="00813F25"/>
    <w:rsid w:val="008149E6"/>
    <w:rsid w:val="00814D33"/>
    <w:rsid w:val="00814EDD"/>
    <w:rsid w:val="00816029"/>
    <w:rsid w:val="0081614C"/>
    <w:rsid w:val="00816894"/>
    <w:rsid w:val="00816933"/>
    <w:rsid w:val="00817AC6"/>
    <w:rsid w:val="00817AE6"/>
    <w:rsid w:val="00817F11"/>
    <w:rsid w:val="00820060"/>
    <w:rsid w:val="00820107"/>
    <w:rsid w:val="0082071B"/>
    <w:rsid w:val="008207B5"/>
    <w:rsid w:val="00820B56"/>
    <w:rsid w:val="00820E5E"/>
    <w:rsid w:val="00820F12"/>
    <w:rsid w:val="0082126D"/>
    <w:rsid w:val="008216C4"/>
    <w:rsid w:val="008216FE"/>
    <w:rsid w:val="00821C13"/>
    <w:rsid w:val="00821D98"/>
    <w:rsid w:val="00822A40"/>
    <w:rsid w:val="00822BB3"/>
    <w:rsid w:val="00823B2D"/>
    <w:rsid w:val="00824476"/>
    <w:rsid w:val="00824EE4"/>
    <w:rsid w:val="008250DC"/>
    <w:rsid w:val="00825727"/>
    <w:rsid w:val="008258B5"/>
    <w:rsid w:val="00825903"/>
    <w:rsid w:val="00825D60"/>
    <w:rsid w:val="00825F29"/>
    <w:rsid w:val="00825FFE"/>
    <w:rsid w:val="00826EEB"/>
    <w:rsid w:val="00826F64"/>
    <w:rsid w:val="00827934"/>
    <w:rsid w:val="00830BDF"/>
    <w:rsid w:val="00830CA0"/>
    <w:rsid w:val="00832192"/>
    <w:rsid w:val="008324C9"/>
    <w:rsid w:val="00833ED1"/>
    <w:rsid w:val="008350D3"/>
    <w:rsid w:val="0083582D"/>
    <w:rsid w:val="0083682A"/>
    <w:rsid w:val="00836B00"/>
    <w:rsid w:val="00837499"/>
    <w:rsid w:val="00837D4C"/>
    <w:rsid w:val="00837F48"/>
    <w:rsid w:val="00840771"/>
    <w:rsid w:val="008409FA"/>
    <w:rsid w:val="00840DED"/>
    <w:rsid w:val="0084142C"/>
    <w:rsid w:val="00841BA1"/>
    <w:rsid w:val="00842297"/>
    <w:rsid w:val="008425D8"/>
    <w:rsid w:val="008427B6"/>
    <w:rsid w:val="00842C0B"/>
    <w:rsid w:val="008437A8"/>
    <w:rsid w:val="00843ADC"/>
    <w:rsid w:val="00844463"/>
    <w:rsid w:val="0084483E"/>
    <w:rsid w:val="00844C99"/>
    <w:rsid w:val="008453ED"/>
    <w:rsid w:val="00845EEE"/>
    <w:rsid w:val="008470CA"/>
    <w:rsid w:val="008500C4"/>
    <w:rsid w:val="008501F9"/>
    <w:rsid w:val="0085096B"/>
    <w:rsid w:val="00851217"/>
    <w:rsid w:val="008516EF"/>
    <w:rsid w:val="00852643"/>
    <w:rsid w:val="00852FD0"/>
    <w:rsid w:val="008534E4"/>
    <w:rsid w:val="0085415B"/>
    <w:rsid w:val="00854741"/>
    <w:rsid w:val="00854D3B"/>
    <w:rsid w:val="00855E50"/>
    <w:rsid w:val="00856AE5"/>
    <w:rsid w:val="00856D75"/>
    <w:rsid w:val="0085708B"/>
    <w:rsid w:val="008578CD"/>
    <w:rsid w:val="00857B15"/>
    <w:rsid w:val="0086017B"/>
    <w:rsid w:val="00860DC3"/>
    <w:rsid w:val="00861C9F"/>
    <w:rsid w:val="008632A6"/>
    <w:rsid w:val="0086390D"/>
    <w:rsid w:val="00864DC3"/>
    <w:rsid w:val="00864ECB"/>
    <w:rsid w:val="00865C1D"/>
    <w:rsid w:val="008666C6"/>
    <w:rsid w:val="00867B06"/>
    <w:rsid w:val="008707E1"/>
    <w:rsid w:val="00870936"/>
    <w:rsid w:val="008712C1"/>
    <w:rsid w:val="00871332"/>
    <w:rsid w:val="008727C7"/>
    <w:rsid w:val="00872CE1"/>
    <w:rsid w:val="0087328F"/>
    <w:rsid w:val="00873436"/>
    <w:rsid w:val="0087444C"/>
    <w:rsid w:val="008745E7"/>
    <w:rsid w:val="00874C86"/>
    <w:rsid w:val="00874EA8"/>
    <w:rsid w:val="00874F7B"/>
    <w:rsid w:val="00875253"/>
    <w:rsid w:val="008753ED"/>
    <w:rsid w:val="00875432"/>
    <w:rsid w:val="00876278"/>
    <w:rsid w:val="0087692D"/>
    <w:rsid w:val="008770CD"/>
    <w:rsid w:val="00877352"/>
    <w:rsid w:val="0087748D"/>
    <w:rsid w:val="008777F8"/>
    <w:rsid w:val="0087783C"/>
    <w:rsid w:val="00877FB0"/>
    <w:rsid w:val="008807FD"/>
    <w:rsid w:val="008809F3"/>
    <w:rsid w:val="00881899"/>
    <w:rsid w:val="00882036"/>
    <w:rsid w:val="00882518"/>
    <w:rsid w:val="00883218"/>
    <w:rsid w:val="00883F9B"/>
    <w:rsid w:val="0088486D"/>
    <w:rsid w:val="00884C49"/>
    <w:rsid w:val="00885045"/>
    <w:rsid w:val="00885097"/>
    <w:rsid w:val="00885946"/>
    <w:rsid w:val="00885A29"/>
    <w:rsid w:val="00886018"/>
    <w:rsid w:val="00886699"/>
    <w:rsid w:val="00886EE9"/>
    <w:rsid w:val="0088709D"/>
    <w:rsid w:val="00887A2A"/>
    <w:rsid w:val="00890076"/>
    <w:rsid w:val="008905E0"/>
    <w:rsid w:val="008911E4"/>
    <w:rsid w:val="00891A5C"/>
    <w:rsid w:val="00893184"/>
    <w:rsid w:val="008931C9"/>
    <w:rsid w:val="00893379"/>
    <w:rsid w:val="00893535"/>
    <w:rsid w:val="00893688"/>
    <w:rsid w:val="00894660"/>
    <w:rsid w:val="00894886"/>
    <w:rsid w:val="0089568E"/>
    <w:rsid w:val="008957CA"/>
    <w:rsid w:val="008958C0"/>
    <w:rsid w:val="00897B69"/>
    <w:rsid w:val="008A0110"/>
    <w:rsid w:val="008A049C"/>
    <w:rsid w:val="008A066D"/>
    <w:rsid w:val="008A0CC1"/>
    <w:rsid w:val="008A0FDD"/>
    <w:rsid w:val="008A1059"/>
    <w:rsid w:val="008A1C6F"/>
    <w:rsid w:val="008A2261"/>
    <w:rsid w:val="008A2427"/>
    <w:rsid w:val="008A318B"/>
    <w:rsid w:val="008A5649"/>
    <w:rsid w:val="008A5CAB"/>
    <w:rsid w:val="008A6084"/>
    <w:rsid w:val="008A6C63"/>
    <w:rsid w:val="008A6D36"/>
    <w:rsid w:val="008A702A"/>
    <w:rsid w:val="008A7203"/>
    <w:rsid w:val="008B074B"/>
    <w:rsid w:val="008B085A"/>
    <w:rsid w:val="008B202F"/>
    <w:rsid w:val="008B2B97"/>
    <w:rsid w:val="008B2EB8"/>
    <w:rsid w:val="008B3092"/>
    <w:rsid w:val="008B3266"/>
    <w:rsid w:val="008B35D4"/>
    <w:rsid w:val="008B4684"/>
    <w:rsid w:val="008B4A81"/>
    <w:rsid w:val="008B503C"/>
    <w:rsid w:val="008B5262"/>
    <w:rsid w:val="008B54A0"/>
    <w:rsid w:val="008B55D7"/>
    <w:rsid w:val="008B611E"/>
    <w:rsid w:val="008B646A"/>
    <w:rsid w:val="008B72CB"/>
    <w:rsid w:val="008B7405"/>
    <w:rsid w:val="008C0580"/>
    <w:rsid w:val="008C0685"/>
    <w:rsid w:val="008C090E"/>
    <w:rsid w:val="008C0A0C"/>
    <w:rsid w:val="008C1077"/>
    <w:rsid w:val="008C11F0"/>
    <w:rsid w:val="008C1D9F"/>
    <w:rsid w:val="008C2DDC"/>
    <w:rsid w:val="008C38B5"/>
    <w:rsid w:val="008C4E4E"/>
    <w:rsid w:val="008C4FA8"/>
    <w:rsid w:val="008C521F"/>
    <w:rsid w:val="008C55E2"/>
    <w:rsid w:val="008C5669"/>
    <w:rsid w:val="008C62D2"/>
    <w:rsid w:val="008C6332"/>
    <w:rsid w:val="008C665E"/>
    <w:rsid w:val="008C71A2"/>
    <w:rsid w:val="008C72EC"/>
    <w:rsid w:val="008C77D6"/>
    <w:rsid w:val="008D06D2"/>
    <w:rsid w:val="008D17AB"/>
    <w:rsid w:val="008D1DB8"/>
    <w:rsid w:val="008D2496"/>
    <w:rsid w:val="008D2E5B"/>
    <w:rsid w:val="008D3C28"/>
    <w:rsid w:val="008D464C"/>
    <w:rsid w:val="008D4821"/>
    <w:rsid w:val="008D496B"/>
    <w:rsid w:val="008D505D"/>
    <w:rsid w:val="008D568F"/>
    <w:rsid w:val="008D628C"/>
    <w:rsid w:val="008D64F9"/>
    <w:rsid w:val="008E03B6"/>
    <w:rsid w:val="008E0901"/>
    <w:rsid w:val="008E10A4"/>
    <w:rsid w:val="008E1B8F"/>
    <w:rsid w:val="008E1EE5"/>
    <w:rsid w:val="008E2131"/>
    <w:rsid w:val="008E2329"/>
    <w:rsid w:val="008E2949"/>
    <w:rsid w:val="008E2BC9"/>
    <w:rsid w:val="008E4B95"/>
    <w:rsid w:val="008E5422"/>
    <w:rsid w:val="008E6536"/>
    <w:rsid w:val="008E71B4"/>
    <w:rsid w:val="008E7491"/>
    <w:rsid w:val="008F0017"/>
    <w:rsid w:val="008F0DDE"/>
    <w:rsid w:val="008F1361"/>
    <w:rsid w:val="008F245A"/>
    <w:rsid w:val="008F25C8"/>
    <w:rsid w:val="008F2B10"/>
    <w:rsid w:val="008F2DEC"/>
    <w:rsid w:val="008F3676"/>
    <w:rsid w:val="008F3757"/>
    <w:rsid w:val="008F3794"/>
    <w:rsid w:val="008F3796"/>
    <w:rsid w:val="008F3F86"/>
    <w:rsid w:val="008F4458"/>
    <w:rsid w:val="008F4F4D"/>
    <w:rsid w:val="008F5167"/>
    <w:rsid w:val="008F6808"/>
    <w:rsid w:val="008F6B69"/>
    <w:rsid w:val="009004DB"/>
    <w:rsid w:val="0090060E"/>
    <w:rsid w:val="00900FA8"/>
    <w:rsid w:val="00901164"/>
    <w:rsid w:val="009013C1"/>
    <w:rsid w:val="00902843"/>
    <w:rsid w:val="0090325B"/>
    <w:rsid w:val="00903288"/>
    <w:rsid w:val="00903D12"/>
    <w:rsid w:val="0090533A"/>
    <w:rsid w:val="00905B1E"/>
    <w:rsid w:val="00905C0B"/>
    <w:rsid w:val="00906E55"/>
    <w:rsid w:val="0090746C"/>
    <w:rsid w:val="009078EF"/>
    <w:rsid w:val="0091051D"/>
    <w:rsid w:val="00910D55"/>
    <w:rsid w:val="009111DA"/>
    <w:rsid w:val="00911B42"/>
    <w:rsid w:val="00912D0D"/>
    <w:rsid w:val="00912E30"/>
    <w:rsid w:val="00913104"/>
    <w:rsid w:val="009136EF"/>
    <w:rsid w:val="00913DA4"/>
    <w:rsid w:val="00914BF8"/>
    <w:rsid w:val="00914E36"/>
    <w:rsid w:val="00915F86"/>
    <w:rsid w:val="0091678E"/>
    <w:rsid w:val="00917B99"/>
    <w:rsid w:val="00917C21"/>
    <w:rsid w:val="00917E99"/>
    <w:rsid w:val="00920574"/>
    <w:rsid w:val="0092090D"/>
    <w:rsid w:val="00920C5D"/>
    <w:rsid w:val="0092161B"/>
    <w:rsid w:val="00922431"/>
    <w:rsid w:val="00922983"/>
    <w:rsid w:val="00922C87"/>
    <w:rsid w:val="00923283"/>
    <w:rsid w:val="0092344D"/>
    <w:rsid w:val="00923B8A"/>
    <w:rsid w:val="00924C13"/>
    <w:rsid w:val="00924EAF"/>
    <w:rsid w:val="00924ECB"/>
    <w:rsid w:val="00926207"/>
    <w:rsid w:val="009267D1"/>
    <w:rsid w:val="00926E74"/>
    <w:rsid w:val="00927018"/>
    <w:rsid w:val="00927207"/>
    <w:rsid w:val="00927DD9"/>
    <w:rsid w:val="0093035C"/>
    <w:rsid w:val="00930613"/>
    <w:rsid w:val="009319C5"/>
    <w:rsid w:val="00931BD8"/>
    <w:rsid w:val="00933300"/>
    <w:rsid w:val="0093384B"/>
    <w:rsid w:val="00933FC7"/>
    <w:rsid w:val="0093472F"/>
    <w:rsid w:val="009347C6"/>
    <w:rsid w:val="00934FB4"/>
    <w:rsid w:val="00935502"/>
    <w:rsid w:val="009355AD"/>
    <w:rsid w:val="009361E6"/>
    <w:rsid w:val="0094007F"/>
    <w:rsid w:val="0094111C"/>
    <w:rsid w:val="009413DF"/>
    <w:rsid w:val="00941EA2"/>
    <w:rsid w:val="00942077"/>
    <w:rsid w:val="0094307C"/>
    <w:rsid w:val="00943FA2"/>
    <w:rsid w:val="00944526"/>
    <w:rsid w:val="00944ECF"/>
    <w:rsid w:val="00945AB1"/>
    <w:rsid w:val="00946BE2"/>
    <w:rsid w:val="00947143"/>
    <w:rsid w:val="0094742E"/>
    <w:rsid w:val="009476B5"/>
    <w:rsid w:val="00947A5E"/>
    <w:rsid w:val="00950B5D"/>
    <w:rsid w:val="0095124F"/>
    <w:rsid w:val="00951EAE"/>
    <w:rsid w:val="0095209D"/>
    <w:rsid w:val="0095213B"/>
    <w:rsid w:val="00952224"/>
    <w:rsid w:val="00952490"/>
    <w:rsid w:val="0095251D"/>
    <w:rsid w:val="009527A5"/>
    <w:rsid w:val="00953109"/>
    <w:rsid w:val="0095318B"/>
    <w:rsid w:val="00953D0A"/>
    <w:rsid w:val="0095401D"/>
    <w:rsid w:val="009540B0"/>
    <w:rsid w:val="009569A7"/>
    <w:rsid w:val="00956B22"/>
    <w:rsid w:val="0095777D"/>
    <w:rsid w:val="00960242"/>
    <w:rsid w:val="00960330"/>
    <w:rsid w:val="009619F0"/>
    <w:rsid w:val="009619FE"/>
    <w:rsid w:val="00962265"/>
    <w:rsid w:val="009623B6"/>
    <w:rsid w:val="00963178"/>
    <w:rsid w:val="009633AA"/>
    <w:rsid w:val="009643EC"/>
    <w:rsid w:val="0096484B"/>
    <w:rsid w:val="00964FA6"/>
    <w:rsid w:val="0096718D"/>
    <w:rsid w:val="009672DC"/>
    <w:rsid w:val="009676A0"/>
    <w:rsid w:val="00971964"/>
    <w:rsid w:val="00971AF8"/>
    <w:rsid w:val="00971C25"/>
    <w:rsid w:val="0097250A"/>
    <w:rsid w:val="00972A9A"/>
    <w:rsid w:val="00972B03"/>
    <w:rsid w:val="00972E21"/>
    <w:rsid w:val="00972E84"/>
    <w:rsid w:val="00973081"/>
    <w:rsid w:val="0097699F"/>
    <w:rsid w:val="009777CF"/>
    <w:rsid w:val="00977994"/>
    <w:rsid w:val="00977EDB"/>
    <w:rsid w:val="00977EE4"/>
    <w:rsid w:val="00977FBC"/>
    <w:rsid w:val="009801C9"/>
    <w:rsid w:val="00980595"/>
    <w:rsid w:val="009808CA"/>
    <w:rsid w:val="00982AF5"/>
    <w:rsid w:val="009832E5"/>
    <w:rsid w:val="00983786"/>
    <w:rsid w:val="00984648"/>
    <w:rsid w:val="009847DC"/>
    <w:rsid w:val="00984AC1"/>
    <w:rsid w:val="00986619"/>
    <w:rsid w:val="00986728"/>
    <w:rsid w:val="009868A7"/>
    <w:rsid w:val="00986BB6"/>
    <w:rsid w:val="0098778D"/>
    <w:rsid w:val="0098792A"/>
    <w:rsid w:val="00990CA5"/>
    <w:rsid w:val="00990D6E"/>
    <w:rsid w:val="009910C0"/>
    <w:rsid w:val="00991331"/>
    <w:rsid w:val="009928A3"/>
    <w:rsid w:val="009928BA"/>
    <w:rsid w:val="0099292A"/>
    <w:rsid w:val="00992EA9"/>
    <w:rsid w:val="0099546D"/>
    <w:rsid w:val="009959D3"/>
    <w:rsid w:val="00995C8D"/>
    <w:rsid w:val="00995E6A"/>
    <w:rsid w:val="00995F6C"/>
    <w:rsid w:val="00995FD6"/>
    <w:rsid w:val="00997866"/>
    <w:rsid w:val="009A00DD"/>
    <w:rsid w:val="009A06F7"/>
    <w:rsid w:val="009A07EA"/>
    <w:rsid w:val="009A1173"/>
    <w:rsid w:val="009A11D0"/>
    <w:rsid w:val="009A1212"/>
    <w:rsid w:val="009A12AE"/>
    <w:rsid w:val="009A2C3A"/>
    <w:rsid w:val="009A33DA"/>
    <w:rsid w:val="009A4141"/>
    <w:rsid w:val="009A4A40"/>
    <w:rsid w:val="009A4F6D"/>
    <w:rsid w:val="009A54F1"/>
    <w:rsid w:val="009A557B"/>
    <w:rsid w:val="009A5821"/>
    <w:rsid w:val="009A5AA7"/>
    <w:rsid w:val="009A670E"/>
    <w:rsid w:val="009A72FE"/>
    <w:rsid w:val="009A7A5D"/>
    <w:rsid w:val="009A7A96"/>
    <w:rsid w:val="009B029C"/>
    <w:rsid w:val="009B1811"/>
    <w:rsid w:val="009B1A55"/>
    <w:rsid w:val="009B1FC5"/>
    <w:rsid w:val="009B2541"/>
    <w:rsid w:val="009B2A5D"/>
    <w:rsid w:val="009B355F"/>
    <w:rsid w:val="009B46CD"/>
    <w:rsid w:val="009B4BE6"/>
    <w:rsid w:val="009B5407"/>
    <w:rsid w:val="009B5435"/>
    <w:rsid w:val="009B575C"/>
    <w:rsid w:val="009B5EA9"/>
    <w:rsid w:val="009B69D1"/>
    <w:rsid w:val="009B6DF3"/>
    <w:rsid w:val="009B7709"/>
    <w:rsid w:val="009B792B"/>
    <w:rsid w:val="009C0062"/>
    <w:rsid w:val="009C02D8"/>
    <w:rsid w:val="009C0D71"/>
    <w:rsid w:val="009C0DAD"/>
    <w:rsid w:val="009C1291"/>
    <w:rsid w:val="009C1637"/>
    <w:rsid w:val="009C1D01"/>
    <w:rsid w:val="009C20CC"/>
    <w:rsid w:val="009C2BEC"/>
    <w:rsid w:val="009C368F"/>
    <w:rsid w:val="009C4C95"/>
    <w:rsid w:val="009C4EE5"/>
    <w:rsid w:val="009C5448"/>
    <w:rsid w:val="009C6725"/>
    <w:rsid w:val="009C680D"/>
    <w:rsid w:val="009C6DDD"/>
    <w:rsid w:val="009C7D11"/>
    <w:rsid w:val="009D0503"/>
    <w:rsid w:val="009D0692"/>
    <w:rsid w:val="009D0B05"/>
    <w:rsid w:val="009D0F4C"/>
    <w:rsid w:val="009D13E9"/>
    <w:rsid w:val="009D14BC"/>
    <w:rsid w:val="009D17D3"/>
    <w:rsid w:val="009D203E"/>
    <w:rsid w:val="009D292A"/>
    <w:rsid w:val="009D364B"/>
    <w:rsid w:val="009D3793"/>
    <w:rsid w:val="009D3E26"/>
    <w:rsid w:val="009D42AC"/>
    <w:rsid w:val="009D452F"/>
    <w:rsid w:val="009D4E80"/>
    <w:rsid w:val="009D52A0"/>
    <w:rsid w:val="009D5642"/>
    <w:rsid w:val="009D57D5"/>
    <w:rsid w:val="009D63E2"/>
    <w:rsid w:val="009D68FB"/>
    <w:rsid w:val="009D732B"/>
    <w:rsid w:val="009E1CB2"/>
    <w:rsid w:val="009E1F16"/>
    <w:rsid w:val="009E2450"/>
    <w:rsid w:val="009E24A5"/>
    <w:rsid w:val="009E31AA"/>
    <w:rsid w:val="009E412D"/>
    <w:rsid w:val="009E4181"/>
    <w:rsid w:val="009E444E"/>
    <w:rsid w:val="009E49BE"/>
    <w:rsid w:val="009E61EE"/>
    <w:rsid w:val="009E65E3"/>
    <w:rsid w:val="009E660A"/>
    <w:rsid w:val="009E664C"/>
    <w:rsid w:val="009E6B81"/>
    <w:rsid w:val="009E71FE"/>
    <w:rsid w:val="009F0167"/>
    <w:rsid w:val="009F04BC"/>
    <w:rsid w:val="009F0BE1"/>
    <w:rsid w:val="009F1684"/>
    <w:rsid w:val="009F276D"/>
    <w:rsid w:val="009F356F"/>
    <w:rsid w:val="009F36AD"/>
    <w:rsid w:val="009F3A73"/>
    <w:rsid w:val="009F3FFB"/>
    <w:rsid w:val="009F439A"/>
    <w:rsid w:val="009F4AA3"/>
    <w:rsid w:val="009F4D8D"/>
    <w:rsid w:val="009F53BD"/>
    <w:rsid w:val="009F550C"/>
    <w:rsid w:val="009F57C8"/>
    <w:rsid w:val="009F63B2"/>
    <w:rsid w:val="009F6942"/>
    <w:rsid w:val="00A005EE"/>
    <w:rsid w:val="00A008E8"/>
    <w:rsid w:val="00A00905"/>
    <w:rsid w:val="00A01409"/>
    <w:rsid w:val="00A01CC1"/>
    <w:rsid w:val="00A03819"/>
    <w:rsid w:val="00A03D23"/>
    <w:rsid w:val="00A04ABD"/>
    <w:rsid w:val="00A04EA5"/>
    <w:rsid w:val="00A051A6"/>
    <w:rsid w:val="00A05690"/>
    <w:rsid w:val="00A05DD3"/>
    <w:rsid w:val="00A06675"/>
    <w:rsid w:val="00A07BB2"/>
    <w:rsid w:val="00A10C16"/>
    <w:rsid w:val="00A11898"/>
    <w:rsid w:val="00A11FF2"/>
    <w:rsid w:val="00A120FB"/>
    <w:rsid w:val="00A127FC"/>
    <w:rsid w:val="00A130B1"/>
    <w:rsid w:val="00A13C71"/>
    <w:rsid w:val="00A142D1"/>
    <w:rsid w:val="00A148A0"/>
    <w:rsid w:val="00A14D9D"/>
    <w:rsid w:val="00A155BA"/>
    <w:rsid w:val="00A158CC"/>
    <w:rsid w:val="00A1592C"/>
    <w:rsid w:val="00A15A27"/>
    <w:rsid w:val="00A1675E"/>
    <w:rsid w:val="00A16920"/>
    <w:rsid w:val="00A16E48"/>
    <w:rsid w:val="00A171B6"/>
    <w:rsid w:val="00A178F4"/>
    <w:rsid w:val="00A17F05"/>
    <w:rsid w:val="00A201CB"/>
    <w:rsid w:val="00A204D8"/>
    <w:rsid w:val="00A207D5"/>
    <w:rsid w:val="00A21096"/>
    <w:rsid w:val="00A21684"/>
    <w:rsid w:val="00A22242"/>
    <w:rsid w:val="00A22264"/>
    <w:rsid w:val="00A22570"/>
    <w:rsid w:val="00A22E51"/>
    <w:rsid w:val="00A23A00"/>
    <w:rsid w:val="00A23F99"/>
    <w:rsid w:val="00A24140"/>
    <w:rsid w:val="00A24C93"/>
    <w:rsid w:val="00A24DD4"/>
    <w:rsid w:val="00A2552D"/>
    <w:rsid w:val="00A2552E"/>
    <w:rsid w:val="00A25751"/>
    <w:rsid w:val="00A25E02"/>
    <w:rsid w:val="00A25FC5"/>
    <w:rsid w:val="00A27672"/>
    <w:rsid w:val="00A30584"/>
    <w:rsid w:val="00A30E44"/>
    <w:rsid w:val="00A314B2"/>
    <w:rsid w:val="00A3180D"/>
    <w:rsid w:val="00A32050"/>
    <w:rsid w:val="00A32209"/>
    <w:rsid w:val="00A3265F"/>
    <w:rsid w:val="00A32ADA"/>
    <w:rsid w:val="00A32AE1"/>
    <w:rsid w:val="00A3344C"/>
    <w:rsid w:val="00A339D3"/>
    <w:rsid w:val="00A342F9"/>
    <w:rsid w:val="00A345AF"/>
    <w:rsid w:val="00A34E2C"/>
    <w:rsid w:val="00A34F96"/>
    <w:rsid w:val="00A3547A"/>
    <w:rsid w:val="00A35BA1"/>
    <w:rsid w:val="00A35D62"/>
    <w:rsid w:val="00A3616A"/>
    <w:rsid w:val="00A3653C"/>
    <w:rsid w:val="00A36950"/>
    <w:rsid w:val="00A37278"/>
    <w:rsid w:val="00A3741A"/>
    <w:rsid w:val="00A37DCA"/>
    <w:rsid w:val="00A400E1"/>
    <w:rsid w:val="00A410E0"/>
    <w:rsid w:val="00A410FB"/>
    <w:rsid w:val="00A41A09"/>
    <w:rsid w:val="00A427F9"/>
    <w:rsid w:val="00A428D5"/>
    <w:rsid w:val="00A42B46"/>
    <w:rsid w:val="00A42EFA"/>
    <w:rsid w:val="00A4301B"/>
    <w:rsid w:val="00A43D61"/>
    <w:rsid w:val="00A43FEF"/>
    <w:rsid w:val="00A445F6"/>
    <w:rsid w:val="00A45FB6"/>
    <w:rsid w:val="00A46081"/>
    <w:rsid w:val="00A4691B"/>
    <w:rsid w:val="00A47EBA"/>
    <w:rsid w:val="00A47FFA"/>
    <w:rsid w:val="00A504A0"/>
    <w:rsid w:val="00A50C68"/>
    <w:rsid w:val="00A51932"/>
    <w:rsid w:val="00A52229"/>
    <w:rsid w:val="00A524C8"/>
    <w:rsid w:val="00A53BD6"/>
    <w:rsid w:val="00A53D94"/>
    <w:rsid w:val="00A547FC"/>
    <w:rsid w:val="00A54F48"/>
    <w:rsid w:val="00A551AC"/>
    <w:rsid w:val="00A552E4"/>
    <w:rsid w:val="00A5596A"/>
    <w:rsid w:val="00A55A29"/>
    <w:rsid w:val="00A5615D"/>
    <w:rsid w:val="00A561CE"/>
    <w:rsid w:val="00A5633F"/>
    <w:rsid w:val="00A5641B"/>
    <w:rsid w:val="00A56775"/>
    <w:rsid w:val="00A56A18"/>
    <w:rsid w:val="00A5740A"/>
    <w:rsid w:val="00A57D54"/>
    <w:rsid w:val="00A6023B"/>
    <w:rsid w:val="00A61A50"/>
    <w:rsid w:val="00A63108"/>
    <w:rsid w:val="00A6388A"/>
    <w:rsid w:val="00A63AD2"/>
    <w:rsid w:val="00A63CDA"/>
    <w:rsid w:val="00A63EB5"/>
    <w:rsid w:val="00A6456A"/>
    <w:rsid w:val="00A64DA5"/>
    <w:rsid w:val="00A674DD"/>
    <w:rsid w:val="00A67910"/>
    <w:rsid w:val="00A67A2B"/>
    <w:rsid w:val="00A67EAE"/>
    <w:rsid w:val="00A7009F"/>
    <w:rsid w:val="00A7024A"/>
    <w:rsid w:val="00A70277"/>
    <w:rsid w:val="00A70681"/>
    <w:rsid w:val="00A70768"/>
    <w:rsid w:val="00A70D2A"/>
    <w:rsid w:val="00A7209C"/>
    <w:rsid w:val="00A729AF"/>
    <w:rsid w:val="00A729F7"/>
    <w:rsid w:val="00A73374"/>
    <w:rsid w:val="00A7403F"/>
    <w:rsid w:val="00A741F2"/>
    <w:rsid w:val="00A74B17"/>
    <w:rsid w:val="00A7525E"/>
    <w:rsid w:val="00A7607E"/>
    <w:rsid w:val="00A806F3"/>
    <w:rsid w:val="00A80ED8"/>
    <w:rsid w:val="00A81B3A"/>
    <w:rsid w:val="00A81C21"/>
    <w:rsid w:val="00A81D98"/>
    <w:rsid w:val="00A82174"/>
    <w:rsid w:val="00A82D0F"/>
    <w:rsid w:val="00A82FD2"/>
    <w:rsid w:val="00A8351D"/>
    <w:rsid w:val="00A836DB"/>
    <w:rsid w:val="00A842B7"/>
    <w:rsid w:val="00A84FEF"/>
    <w:rsid w:val="00A853AB"/>
    <w:rsid w:val="00A85939"/>
    <w:rsid w:val="00A86DF7"/>
    <w:rsid w:val="00A870E9"/>
    <w:rsid w:val="00A87AF6"/>
    <w:rsid w:val="00A87B32"/>
    <w:rsid w:val="00A87F27"/>
    <w:rsid w:val="00A87FF5"/>
    <w:rsid w:val="00A9032C"/>
    <w:rsid w:val="00A90AA9"/>
    <w:rsid w:val="00A90DFD"/>
    <w:rsid w:val="00A9126B"/>
    <w:rsid w:val="00A91550"/>
    <w:rsid w:val="00A91777"/>
    <w:rsid w:val="00A919B2"/>
    <w:rsid w:val="00A91AA6"/>
    <w:rsid w:val="00A91BB7"/>
    <w:rsid w:val="00A92204"/>
    <w:rsid w:val="00A927F1"/>
    <w:rsid w:val="00A93399"/>
    <w:rsid w:val="00A95018"/>
    <w:rsid w:val="00A9515E"/>
    <w:rsid w:val="00A962DA"/>
    <w:rsid w:val="00A971C9"/>
    <w:rsid w:val="00AA023A"/>
    <w:rsid w:val="00AA0639"/>
    <w:rsid w:val="00AA0D62"/>
    <w:rsid w:val="00AA12FB"/>
    <w:rsid w:val="00AA26D8"/>
    <w:rsid w:val="00AA2D89"/>
    <w:rsid w:val="00AA367F"/>
    <w:rsid w:val="00AA3695"/>
    <w:rsid w:val="00AA3A1A"/>
    <w:rsid w:val="00AA3B5D"/>
    <w:rsid w:val="00AA3F8F"/>
    <w:rsid w:val="00AA4033"/>
    <w:rsid w:val="00AA4402"/>
    <w:rsid w:val="00AA48ED"/>
    <w:rsid w:val="00AA5329"/>
    <w:rsid w:val="00AA5530"/>
    <w:rsid w:val="00AA5697"/>
    <w:rsid w:val="00AA5CC6"/>
    <w:rsid w:val="00AA7044"/>
    <w:rsid w:val="00AA7239"/>
    <w:rsid w:val="00AA7D06"/>
    <w:rsid w:val="00AA7D36"/>
    <w:rsid w:val="00AA7F82"/>
    <w:rsid w:val="00AB0177"/>
    <w:rsid w:val="00AB04A4"/>
    <w:rsid w:val="00AB0904"/>
    <w:rsid w:val="00AB25D0"/>
    <w:rsid w:val="00AB3E19"/>
    <w:rsid w:val="00AB4A42"/>
    <w:rsid w:val="00AB4D59"/>
    <w:rsid w:val="00AB55F9"/>
    <w:rsid w:val="00AB6614"/>
    <w:rsid w:val="00AB662B"/>
    <w:rsid w:val="00AB6A9C"/>
    <w:rsid w:val="00AB77BE"/>
    <w:rsid w:val="00AB7D51"/>
    <w:rsid w:val="00AB7D98"/>
    <w:rsid w:val="00AC0903"/>
    <w:rsid w:val="00AC0A12"/>
    <w:rsid w:val="00AC0F4F"/>
    <w:rsid w:val="00AC1136"/>
    <w:rsid w:val="00AC161B"/>
    <w:rsid w:val="00AC16A4"/>
    <w:rsid w:val="00AC19AB"/>
    <w:rsid w:val="00AC2755"/>
    <w:rsid w:val="00AC2BC3"/>
    <w:rsid w:val="00AC3133"/>
    <w:rsid w:val="00AC32E7"/>
    <w:rsid w:val="00AC3338"/>
    <w:rsid w:val="00AC33D2"/>
    <w:rsid w:val="00AC3842"/>
    <w:rsid w:val="00AC4496"/>
    <w:rsid w:val="00AC45DF"/>
    <w:rsid w:val="00AC47F7"/>
    <w:rsid w:val="00AC6184"/>
    <w:rsid w:val="00AC6A72"/>
    <w:rsid w:val="00AC7AE9"/>
    <w:rsid w:val="00AC7D59"/>
    <w:rsid w:val="00AC7E07"/>
    <w:rsid w:val="00AD25B0"/>
    <w:rsid w:val="00AD2E20"/>
    <w:rsid w:val="00AD3995"/>
    <w:rsid w:val="00AD39A2"/>
    <w:rsid w:val="00AD47DD"/>
    <w:rsid w:val="00AD4B4E"/>
    <w:rsid w:val="00AD4B83"/>
    <w:rsid w:val="00AD62A2"/>
    <w:rsid w:val="00AD6E24"/>
    <w:rsid w:val="00AD7725"/>
    <w:rsid w:val="00AE0984"/>
    <w:rsid w:val="00AE1799"/>
    <w:rsid w:val="00AE19E9"/>
    <w:rsid w:val="00AE2095"/>
    <w:rsid w:val="00AE26A2"/>
    <w:rsid w:val="00AE28B1"/>
    <w:rsid w:val="00AE28EB"/>
    <w:rsid w:val="00AE2F24"/>
    <w:rsid w:val="00AE3C96"/>
    <w:rsid w:val="00AE4498"/>
    <w:rsid w:val="00AE44A6"/>
    <w:rsid w:val="00AE4C45"/>
    <w:rsid w:val="00AE5206"/>
    <w:rsid w:val="00AE5248"/>
    <w:rsid w:val="00AE5D74"/>
    <w:rsid w:val="00AE6432"/>
    <w:rsid w:val="00AE6818"/>
    <w:rsid w:val="00AE69DE"/>
    <w:rsid w:val="00AE6AE6"/>
    <w:rsid w:val="00AE7192"/>
    <w:rsid w:val="00AE72E5"/>
    <w:rsid w:val="00AF040E"/>
    <w:rsid w:val="00AF042F"/>
    <w:rsid w:val="00AF05D4"/>
    <w:rsid w:val="00AF0D54"/>
    <w:rsid w:val="00AF0DBC"/>
    <w:rsid w:val="00AF1325"/>
    <w:rsid w:val="00AF1340"/>
    <w:rsid w:val="00AF1459"/>
    <w:rsid w:val="00AF1907"/>
    <w:rsid w:val="00AF1B7F"/>
    <w:rsid w:val="00AF22E3"/>
    <w:rsid w:val="00AF258E"/>
    <w:rsid w:val="00AF2613"/>
    <w:rsid w:val="00AF3197"/>
    <w:rsid w:val="00AF3280"/>
    <w:rsid w:val="00AF3344"/>
    <w:rsid w:val="00AF375C"/>
    <w:rsid w:val="00AF3B03"/>
    <w:rsid w:val="00AF4C84"/>
    <w:rsid w:val="00AF4C9B"/>
    <w:rsid w:val="00AF4DE8"/>
    <w:rsid w:val="00AF5033"/>
    <w:rsid w:val="00AF5169"/>
    <w:rsid w:val="00AF5229"/>
    <w:rsid w:val="00AF5CC7"/>
    <w:rsid w:val="00AF5D3E"/>
    <w:rsid w:val="00AF6858"/>
    <w:rsid w:val="00AF6CB6"/>
    <w:rsid w:val="00AF6CF7"/>
    <w:rsid w:val="00AF6EBC"/>
    <w:rsid w:val="00AF749B"/>
    <w:rsid w:val="00AF7B5D"/>
    <w:rsid w:val="00B00307"/>
    <w:rsid w:val="00B004AA"/>
    <w:rsid w:val="00B00891"/>
    <w:rsid w:val="00B00949"/>
    <w:rsid w:val="00B01014"/>
    <w:rsid w:val="00B0169E"/>
    <w:rsid w:val="00B01889"/>
    <w:rsid w:val="00B02275"/>
    <w:rsid w:val="00B02657"/>
    <w:rsid w:val="00B03363"/>
    <w:rsid w:val="00B03FD1"/>
    <w:rsid w:val="00B06538"/>
    <w:rsid w:val="00B07C9D"/>
    <w:rsid w:val="00B104F1"/>
    <w:rsid w:val="00B1070F"/>
    <w:rsid w:val="00B10E04"/>
    <w:rsid w:val="00B116F9"/>
    <w:rsid w:val="00B119DA"/>
    <w:rsid w:val="00B11C91"/>
    <w:rsid w:val="00B12444"/>
    <w:rsid w:val="00B1294A"/>
    <w:rsid w:val="00B129E8"/>
    <w:rsid w:val="00B13230"/>
    <w:rsid w:val="00B14069"/>
    <w:rsid w:val="00B14268"/>
    <w:rsid w:val="00B143B3"/>
    <w:rsid w:val="00B145FC"/>
    <w:rsid w:val="00B1476B"/>
    <w:rsid w:val="00B14C69"/>
    <w:rsid w:val="00B14CFC"/>
    <w:rsid w:val="00B14EBE"/>
    <w:rsid w:val="00B15C49"/>
    <w:rsid w:val="00B15EA1"/>
    <w:rsid w:val="00B1694C"/>
    <w:rsid w:val="00B1705E"/>
    <w:rsid w:val="00B17DD0"/>
    <w:rsid w:val="00B20265"/>
    <w:rsid w:val="00B20B8A"/>
    <w:rsid w:val="00B21368"/>
    <w:rsid w:val="00B21520"/>
    <w:rsid w:val="00B21ED4"/>
    <w:rsid w:val="00B21F67"/>
    <w:rsid w:val="00B2216F"/>
    <w:rsid w:val="00B22532"/>
    <w:rsid w:val="00B22B40"/>
    <w:rsid w:val="00B24319"/>
    <w:rsid w:val="00B24337"/>
    <w:rsid w:val="00B24BDD"/>
    <w:rsid w:val="00B24D43"/>
    <w:rsid w:val="00B25853"/>
    <w:rsid w:val="00B25909"/>
    <w:rsid w:val="00B2732A"/>
    <w:rsid w:val="00B27432"/>
    <w:rsid w:val="00B27B29"/>
    <w:rsid w:val="00B27B2D"/>
    <w:rsid w:val="00B3011F"/>
    <w:rsid w:val="00B3037B"/>
    <w:rsid w:val="00B3083C"/>
    <w:rsid w:val="00B30CAC"/>
    <w:rsid w:val="00B31491"/>
    <w:rsid w:val="00B315AF"/>
    <w:rsid w:val="00B323AA"/>
    <w:rsid w:val="00B324BD"/>
    <w:rsid w:val="00B332A6"/>
    <w:rsid w:val="00B33386"/>
    <w:rsid w:val="00B3415C"/>
    <w:rsid w:val="00B34FED"/>
    <w:rsid w:val="00B356C1"/>
    <w:rsid w:val="00B35884"/>
    <w:rsid w:val="00B3604B"/>
    <w:rsid w:val="00B36068"/>
    <w:rsid w:val="00B36517"/>
    <w:rsid w:val="00B36868"/>
    <w:rsid w:val="00B36872"/>
    <w:rsid w:val="00B36F71"/>
    <w:rsid w:val="00B374DF"/>
    <w:rsid w:val="00B3766B"/>
    <w:rsid w:val="00B37A03"/>
    <w:rsid w:val="00B37E03"/>
    <w:rsid w:val="00B404FF"/>
    <w:rsid w:val="00B405DA"/>
    <w:rsid w:val="00B4097F"/>
    <w:rsid w:val="00B40CBB"/>
    <w:rsid w:val="00B40EFC"/>
    <w:rsid w:val="00B41527"/>
    <w:rsid w:val="00B416F4"/>
    <w:rsid w:val="00B425B3"/>
    <w:rsid w:val="00B43C85"/>
    <w:rsid w:val="00B43DF6"/>
    <w:rsid w:val="00B43F83"/>
    <w:rsid w:val="00B442FD"/>
    <w:rsid w:val="00B44791"/>
    <w:rsid w:val="00B44AED"/>
    <w:rsid w:val="00B44B4E"/>
    <w:rsid w:val="00B44B98"/>
    <w:rsid w:val="00B44C6B"/>
    <w:rsid w:val="00B44F8C"/>
    <w:rsid w:val="00B450C6"/>
    <w:rsid w:val="00B46D2B"/>
    <w:rsid w:val="00B4766E"/>
    <w:rsid w:val="00B50D31"/>
    <w:rsid w:val="00B50D62"/>
    <w:rsid w:val="00B51775"/>
    <w:rsid w:val="00B51B3E"/>
    <w:rsid w:val="00B5464E"/>
    <w:rsid w:val="00B547E8"/>
    <w:rsid w:val="00B547F8"/>
    <w:rsid w:val="00B555D6"/>
    <w:rsid w:val="00B55A46"/>
    <w:rsid w:val="00B56634"/>
    <w:rsid w:val="00B56953"/>
    <w:rsid w:val="00B57715"/>
    <w:rsid w:val="00B57F3E"/>
    <w:rsid w:val="00B6033F"/>
    <w:rsid w:val="00B60B57"/>
    <w:rsid w:val="00B60CEB"/>
    <w:rsid w:val="00B614E8"/>
    <w:rsid w:val="00B6268E"/>
    <w:rsid w:val="00B62D4B"/>
    <w:rsid w:val="00B637DD"/>
    <w:rsid w:val="00B638D6"/>
    <w:rsid w:val="00B639E6"/>
    <w:rsid w:val="00B63B13"/>
    <w:rsid w:val="00B63C59"/>
    <w:rsid w:val="00B6413C"/>
    <w:rsid w:val="00B6517F"/>
    <w:rsid w:val="00B65500"/>
    <w:rsid w:val="00B6570F"/>
    <w:rsid w:val="00B664DA"/>
    <w:rsid w:val="00B666B6"/>
    <w:rsid w:val="00B667E8"/>
    <w:rsid w:val="00B678C2"/>
    <w:rsid w:val="00B71185"/>
    <w:rsid w:val="00B71532"/>
    <w:rsid w:val="00B72579"/>
    <w:rsid w:val="00B734E8"/>
    <w:rsid w:val="00B73897"/>
    <w:rsid w:val="00B73E87"/>
    <w:rsid w:val="00B740A4"/>
    <w:rsid w:val="00B74221"/>
    <w:rsid w:val="00B746A9"/>
    <w:rsid w:val="00B74D55"/>
    <w:rsid w:val="00B7569D"/>
    <w:rsid w:val="00B75D2E"/>
    <w:rsid w:val="00B75F16"/>
    <w:rsid w:val="00B77201"/>
    <w:rsid w:val="00B809F8"/>
    <w:rsid w:val="00B81DB7"/>
    <w:rsid w:val="00B81DEB"/>
    <w:rsid w:val="00B82C95"/>
    <w:rsid w:val="00B831A1"/>
    <w:rsid w:val="00B83771"/>
    <w:rsid w:val="00B83A62"/>
    <w:rsid w:val="00B83ECD"/>
    <w:rsid w:val="00B83F47"/>
    <w:rsid w:val="00B84034"/>
    <w:rsid w:val="00B8504F"/>
    <w:rsid w:val="00B8616A"/>
    <w:rsid w:val="00B8667B"/>
    <w:rsid w:val="00B867F7"/>
    <w:rsid w:val="00B869DE"/>
    <w:rsid w:val="00B86F5C"/>
    <w:rsid w:val="00B874EA"/>
    <w:rsid w:val="00B90DB2"/>
    <w:rsid w:val="00B919F3"/>
    <w:rsid w:val="00B91A8A"/>
    <w:rsid w:val="00B94668"/>
    <w:rsid w:val="00B947A2"/>
    <w:rsid w:val="00B94B65"/>
    <w:rsid w:val="00B95CFE"/>
    <w:rsid w:val="00B96307"/>
    <w:rsid w:val="00B965AE"/>
    <w:rsid w:val="00B965EF"/>
    <w:rsid w:val="00B96B55"/>
    <w:rsid w:val="00B96CBA"/>
    <w:rsid w:val="00B977CF"/>
    <w:rsid w:val="00B97828"/>
    <w:rsid w:val="00B97EC5"/>
    <w:rsid w:val="00BA1E84"/>
    <w:rsid w:val="00BA1F0D"/>
    <w:rsid w:val="00BA1FCB"/>
    <w:rsid w:val="00BA2038"/>
    <w:rsid w:val="00BA25A7"/>
    <w:rsid w:val="00BA2948"/>
    <w:rsid w:val="00BA2CC3"/>
    <w:rsid w:val="00BA30CE"/>
    <w:rsid w:val="00BA33DD"/>
    <w:rsid w:val="00BA4119"/>
    <w:rsid w:val="00BA449C"/>
    <w:rsid w:val="00BA4F40"/>
    <w:rsid w:val="00BA6D57"/>
    <w:rsid w:val="00BA709C"/>
    <w:rsid w:val="00BA73E5"/>
    <w:rsid w:val="00BA79E1"/>
    <w:rsid w:val="00BA7A53"/>
    <w:rsid w:val="00BA7A55"/>
    <w:rsid w:val="00BA7A92"/>
    <w:rsid w:val="00BB006E"/>
    <w:rsid w:val="00BB0305"/>
    <w:rsid w:val="00BB054A"/>
    <w:rsid w:val="00BB0DB8"/>
    <w:rsid w:val="00BB0E4D"/>
    <w:rsid w:val="00BB16CF"/>
    <w:rsid w:val="00BB1E0D"/>
    <w:rsid w:val="00BB2409"/>
    <w:rsid w:val="00BB27AA"/>
    <w:rsid w:val="00BB2CF6"/>
    <w:rsid w:val="00BB3056"/>
    <w:rsid w:val="00BB396F"/>
    <w:rsid w:val="00BB423A"/>
    <w:rsid w:val="00BB4862"/>
    <w:rsid w:val="00BB5EA1"/>
    <w:rsid w:val="00BB674A"/>
    <w:rsid w:val="00BB6DBE"/>
    <w:rsid w:val="00BB72D2"/>
    <w:rsid w:val="00BB789F"/>
    <w:rsid w:val="00BC0A0C"/>
    <w:rsid w:val="00BC24EC"/>
    <w:rsid w:val="00BC2904"/>
    <w:rsid w:val="00BC296A"/>
    <w:rsid w:val="00BC3CD5"/>
    <w:rsid w:val="00BC3F4A"/>
    <w:rsid w:val="00BC407B"/>
    <w:rsid w:val="00BC49D1"/>
    <w:rsid w:val="00BC4F19"/>
    <w:rsid w:val="00BC585A"/>
    <w:rsid w:val="00BC5B22"/>
    <w:rsid w:val="00BC5BBB"/>
    <w:rsid w:val="00BC5BD1"/>
    <w:rsid w:val="00BC6A61"/>
    <w:rsid w:val="00BC6E7B"/>
    <w:rsid w:val="00BC75EC"/>
    <w:rsid w:val="00BC7805"/>
    <w:rsid w:val="00BC7EF4"/>
    <w:rsid w:val="00BD0201"/>
    <w:rsid w:val="00BD031F"/>
    <w:rsid w:val="00BD1315"/>
    <w:rsid w:val="00BD1470"/>
    <w:rsid w:val="00BD2316"/>
    <w:rsid w:val="00BD3289"/>
    <w:rsid w:val="00BD377C"/>
    <w:rsid w:val="00BD3C9A"/>
    <w:rsid w:val="00BD403A"/>
    <w:rsid w:val="00BD413F"/>
    <w:rsid w:val="00BD45CA"/>
    <w:rsid w:val="00BD4C23"/>
    <w:rsid w:val="00BD55CB"/>
    <w:rsid w:val="00BD5BDC"/>
    <w:rsid w:val="00BD5D56"/>
    <w:rsid w:val="00BD61AE"/>
    <w:rsid w:val="00BD630D"/>
    <w:rsid w:val="00BD66A1"/>
    <w:rsid w:val="00BD7124"/>
    <w:rsid w:val="00BD736B"/>
    <w:rsid w:val="00BD737D"/>
    <w:rsid w:val="00BD743C"/>
    <w:rsid w:val="00BD7E02"/>
    <w:rsid w:val="00BE015B"/>
    <w:rsid w:val="00BE046B"/>
    <w:rsid w:val="00BE04B5"/>
    <w:rsid w:val="00BE0BB4"/>
    <w:rsid w:val="00BE0E92"/>
    <w:rsid w:val="00BE194E"/>
    <w:rsid w:val="00BE1CD3"/>
    <w:rsid w:val="00BE217C"/>
    <w:rsid w:val="00BE25B9"/>
    <w:rsid w:val="00BE2612"/>
    <w:rsid w:val="00BE2954"/>
    <w:rsid w:val="00BE2AA4"/>
    <w:rsid w:val="00BE376A"/>
    <w:rsid w:val="00BE3799"/>
    <w:rsid w:val="00BE4A6C"/>
    <w:rsid w:val="00BE4E7E"/>
    <w:rsid w:val="00BE55C5"/>
    <w:rsid w:val="00BE617B"/>
    <w:rsid w:val="00BE6403"/>
    <w:rsid w:val="00BE656D"/>
    <w:rsid w:val="00BE676D"/>
    <w:rsid w:val="00BE67AB"/>
    <w:rsid w:val="00BE6998"/>
    <w:rsid w:val="00BE6B25"/>
    <w:rsid w:val="00BE7C52"/>
    <w:rsid w:val="00BF031B"/>
    <w:rsid w:val="00BF05F3"/>
    <w:rsid w:val="00BF154E"/>
    <w:rsid w:val="00BF1CA4"/>
    <w:rsid w:val="00BF2FE2"/>
    <w:rsid w:val="00BF3027"/>
    <w:rsid w:val="00BF3DB8"/>
    <w:rsid w:val="00BF43F1"/>
    <w:rsid w:val="00BF4996"/>
    <w:rsid w:val="00BF4A23"/>
    <w:rsid w:val="00BF6099"/>
    <w:rsid w:val="00BF6129"/>
    <w:rsid w:val="00BF7C30"/>
    <w:rsid w:val="00BF7E75"/>
    <w:rsid w:val="00BF7EB7"/>
    <w:rsid w:val="00C00405"/>
    <w:rsid w:val="00C04745"/>
    <w:rsid w:val="00C04CDB"/>
    <w:rsid w:val="00C0546A"/>
    <w:rsid w:val="00C05BCF"/>
    <w:rsid w:val="00C05F41"/>
    <w:rsid w:val="00C066D8"/>
    <w:rsid w:val="00C10ECE"/>
    <w:rsid w:val="00C11055"/>
    <w:rsid w:val="00C1134F"/>
    <w:rsid w:val="00C12CB7"/>
    <w:rsid w:val="00C14E16"/>
    <w:rsid w:val="00C14FAF"/>
    <w:rsid w:val="00C151B7"/>
    <w:rsid w:val="00C152B8"/>
    <w:rsid w:val="00C1579C"/>
    <w:rsid w:val="00C16FF4"/>
    <w:rsid w:val="00C17390"/>
    <w:rsid w:val="00C2026F"/>
    <w:rsid w:val="00C20BA3"/>
    <w:rsid w:val="00C20BB3"/>
    <w:rsid w:val="00C21610"/>
    <w:rsid w:val="00C21781"/>
    <w:rsid w:val="00C226D7"/>
    <w:rsid w:val="00C22950"/>
    <w:rsid w:val="00C22AC8"/>
    <w:rsid w:val="00C22BF9"/>
    <w:rsid w:val="00C23B4D"/>
    <w:rsid w:val="00C23E01"/>
    <w:rsid w:val="00C24D9B"/>
    <w:rsid w:val="00C25482"/>
    <w:rsid w:val="00C25556"/>
    <w:rsid w:val="00C25E2B"/>
    <w:rsid w:val="00C26F99"/>
    <w:rsid w:val="00C27078"/>
    <w:rsid w:val="00C270C6"/>
    <w:rsid w:val="00C2790C"/>
    <w:rsid w:val="00C27D07"/>
    <w:rsid w:val="00C27EA4"/>
    <w:rsid w:val="00C302C6"/>
    <w:rsid w:val="00C30B75"/>
    <w:rsid w:val="00C30FD5"/>
    <w:rsid w:val="00C310F9"/>
    <w:rsid w:val="00C318E5"/>
    <w:rsid w:val="00C31BBF"/>
    <w:rsid w:val="00C31D2E"/>
    <w:rsid w:val="00C31DF0"/>
    <w:rsid w:val="00C32C9F"/>
    <w:rsid w:val="00C332E7"/>
    <w:rsid w:val="00C33C54"/>
    <w:rsid w:val="00C33C67"/>
    <w:rsid w:val="00C345E4"/>
    <w:rsid w:val="00C34A52"/>
    <w:rsid w:val="00C35155"/>
    <w:rsid w:val="00C3522D"/>
    <w:rsid w:val="00C3531A"/>
    <w:rsid w:val="00C359F0"/>
    <w:rsid w:val="00C35D93"/>
    <w:rsid w:val="00C36336"/>
    <w:rsid w:val="00C37159"/>
    <w:rsid w:val="00C37305"/>
    <w:rsid w:val="00C374E1"/>
    <w:rsid w:val="00C37B67"/>
    <w:rsid w:val="00C400E9"/>
    <w:rsid w:val="00C406B4"/>
    <w:rsid w:val="00C40AA4"/>
    <w:rsid w:val="00C41263"/>
    <w:rsid w:val="00C417AA"/>
    <w:rsid w:val="00C417AE"/>
    <w:rsid w:val="00C41D2F"/>
    <w:rsid w:val="00C420B7"/>
    <w:rsid w:val="00C4242B"/>
    <w:rsid w:val="00C4244C"/>
    <w:rsid w:val="00C42497"/>
    <w:rsid w:val="00C428C4"/>
    <w:rsid w:val="00C42A5D"/>
    <w:rsid w:val="00C42C95"/>
    <w:rsid w:val="00C430C9"/>
    <w:rsid w:val="00C43F54"/>
    <w:rsid w:val="00C44681"/>
    <w:rsid w:val="00C44978"/>
    <w:rsid w:val="00C455BF"/>
    <w:rsid w:val="00C45925"/>
    <w:rsid w:val="00C461FB"/>
    <w:rsid w:val="00C465F9"/>
    <w:rsid w:val="00C466ED"/>
    <w:rsid w:val="00C47091"/>
    <w:rsid w:val="00C470F0"/>
    <w:rsid w:val="00C47254"/>
    <w:rsid w:val="00C4774E"/>
    <w:rsid w:val="00C478A4"/>
    <w:rsid w:val="00C4794F"/>
    <w:rsid w:val="00C479A3"/>
    <w:rsid w:val="00C50670"/>
    <w:rsid w:val="00C50C26"/>
    <w:rsid w:val="00C51BA6"/>
    <w:rsid w:val="00C52231"/>
    <w:rsid w:val="00C52569"/>
    <w:rsid w:val="00C52898"/>
    <w:rsid w:val="00C52F0D"/>
    <w:rsid w:val="00C5410C"/>
    <w:rsid w:val="00C5500D"/>
    <w:rsid w:val="00C5505E"/>
    <w:rsid w:val="00C5592C"/>
    <w:rsid w:val="00C55A92"/>
    <w:rsid w:val="00C55E70"/>
    <w:rsid w:val="00C56F36"/>
    <w:rsid w:val="00C57425"/>
    <w:rsid w:val="00C577FA"/>
    <w:rsid w:val="00C602FB"/>
    <w:rsid w:val="00C61166"/>
    <w:rsid w:val="00C6168C"/>
    <w:rsid w:val="00C62235"/>
    <w:rsid w:val="00C63352"/>
    <w:rsid w:val="00C638EA"/>
    <w:rsid w:val="00C63CA7"/>
    <w:rsid w:val="00C6469C"/>
    <w:rsid w:val="00C64C3A"/>
    <w:rsid w:val="00C64CB6"/>
    <w:rsid w:val="00C6513C"/>
    <w:rsid w:val="00C654ED"/>
    <w:rsid w:val="00C66028"/>
    <w:rsid w:val="00C66B7F"/>
    <w:rsid w:val="00C66F1F"/>
    <w:rsid w:val="00C66F6B"/>
    <w:rsid w:val="00C67A91"/>
    <w:rsid w:val="00C67BE1"/>
    <w:rsid w:val="00C70B3A"/>
    <w:rsid w:val="00C71265"/>
    <w:rsid w:val="00C71CD7"/>
    <w:rsid w:val="00C7201B"/>
    <w:rsid w:val="00C73F00"/>
    <w:rsid w:val="00C740B1"/>
    <w:rsid w:val="00C74B7C"/>
    <w:rsid w:val="00C74C83"/>
    <w:rsid w:val="00C75C46"/>
    <w:rsid w:val="00C75C95"/>
    <w:rsid w:val="00C75FC0"/>
    <w:rsid w:val="00C76256"/>
    <w:rsid w:val="00C76537"/>
    <w:rsid w:val="00C76F9D"/>
    <w:rsid w:val="00C77122"/>
    <w:rsid w:val="00C77661"/>
    <w:rsid w:val="00C7778D"/>
    <w:rsid w:val="00C77A99"/>
    <w:rsid w:val="00C77B0D"/>
    <w:rsid w:val="00C804D1"/>
    <w:rsid w:val="00C80F06"/>
    <w:rsid w:val="00C82495"/>
    <w:rsid w:val="00C82621"/>
    <w:rsid w:val="00C82F60"/>
    <w:rsid w:val="00C82FDF"/>
    <w:rsid w:val="00C83066"/>
    <w:rsid w:val="00C831B6"/>
    <w:rsid w:val="00C83966"/>
    <w:rsid w:val="00C839DD"/>
    <w:rsid w:val="00C83F96"/>
    <w:rsid w:val="00C85617"/>
    <w:rsid w:val="00C85ABF"/>
    <w:rsid w:val="00C85D9A"/>
    <w:rsid w:val="00C85FF3"/>
    <w:rsid w:val="00C8672F"/>
    <w:rsid w:val="00C86DEA"/>
    <w:rsid w:val="00C90227"/>
    <w:rsid w:val="00C91216"/>
    <w:rsid w:val="00C9126E"/>
    <w:rsid w:val="00C93533"/>
    <w:rsid w:val="00C93CE7"/>
    <w:rsid w:val="00C95462"/>
    <w:rsid w:val="00C967D1"/>
    <w:rsid w:val="00C96A43"/>
    <w:rsid w:val="00C96E6B"/>
    <w:rsid w:val="00C979D8"/>
    <w:rsid w:val="00CA00F8"/>
    <w:rsid w:val="00CA131D"/>
    <w:rsid w:val="00CA18AC"/>
    <w:rsid w:val="00CA1F3C"/>
    <w:rsid w:val="00CA2D27"/>
    <w:rsid w:val="00CA301C"/>
    <w:rsid w:val="00CA30D6"/>
    <w:rsid w:val="00CA3A21"/>
    <w:rsid w:val="00CA4CC3"/>
    <w:rsid w:val="00CA5C8F"/>
    <w:rsid w:val="00CA5E93"/>
    <w:rsid w:val="00CA5FD8"/>
    <w:rsid w:val="00CA60A2"/>
    <w:rsid w:val="00CA647A"/>
    <w:rsid w:val="00CA6518"/>
    <w:rsid w:val="00CA67FD"/>
    <w:rsid w:val="00CA6DB2"/>
    <w:rsid w:val="00CA73A4"/>
    <w:rsid w:val="00CA787B"/>
    <w:rsid w:val="00CB04B2"/>
    <w:rsid w:val="00CB061C"/>
    <w:rsid w:val="00CB06E6"/>
    <w:rsid w:val="00CB2B98"/>
    <w:rsid w:val="00CB2D83"/>
    <w:rsid w:val="00CB31B2"/>
    <w:rsid w:val="00CB38CF"/>
    <w:rsid w:val="00CB4450"/>
    <w:rsid w:val="00CB4EE1"/>
    <w:rsid w:val="00CB514A"/>
    <w:rsid w:val="00CB55AF"/>
    <w:rsid w:val="00CB5BFA"/>
    <w:rsid w:val="00CB5E8A"/>
    <w:rsid w:val="00CB6902"/>
    <w:rsid w:val="00CB6F14"/>
    <w:rsid w:val="00CB7C83"/>
    <w:rsid w:val="00CC17AE"/>
    <w:rsid w:val="00CC1D97"/>
    <w:rsid w:val="00CC2532"/>
    <w:rsid w:val="00CC4519"/>
    <w:rsid w:val="00CC4753"/>
    <w:rsid w:val="00CC479A"/>
    <w:rsid w:val="00CC4E1C"/>
    <w:rsid w:val="00CC59FB"/>
    <w:rsid w:val="00CC5F10"/>
    <w:rsid w:val="00CC6193"/>
    <w:rsid w:val="00CC6BC7"/>
    <w:rsid w:val="00CC6C16"/>
    <w:rsid w:val="00CC6C2B"/>
    <w:rsid w:val="00CC749B"/>
    <w:rsid w:val="00CC759E"/>
    <w:rsid w:val="00CC76A9"/>
    <w:rsid w:val="00CC7709"/>
    <w:rsid w:val="00CC7A76"/>
    <w:rsid w:val="00CC7A77"/>
    <w:rsid w:val="00CD0075"/>
    <w:rsid w:val="00CD0FDF"/>
    <w:rsid w:val="00CD1357"/>
    <w:rsid w:val="00CD163E"/>
    <w:rsid w:val="00CD17F8"/>
    <w:rsid w:val="00CD1D0A"/>
    <w:rsid w:val="00CD2295"/>
    <w:rsid w:val="00CD33C4"/>
    <w:rsid w:val="00CD38D3"/>
    <w:rsid w:val="00CD3938"/>
    <w:rsid w:val="00CD3B88"/>
    <w:rsid w:val="00CD4DB8"/>
    <w:rsid w:val="00CD5388"/>
    <w:rsid w:val="00CD55F6"/>
    <w:rsid w:val="00CD5634"/>
    <w:rsid w:val="00CD5C6C"/>
    <w:rsid w:val="00CD60C0"/>
    <w:rsid w:val="00CD6700"/>
    <w:rsid w:val="00CD70A7"/>
    <w:rsid w:val="00CD787B"/>
    <w:rsid w:val="00CD7AE6"/>
    <w:rsid w:val="00CD7F4A"/>
    <w:rsid w:val="00CE0261"/>
    <w:rsid w:val="00CE1045"/>
    <w:rsid w:val="00CE1192"/>
    <w:rsid w:val="00CE1CB7"/>
    <w:rsid w:val="00CE3288"/>
    <w:rsid w:val="00CE3568"/>
    <w:rsid w:val="00CE3F00"/>
    <w:rsid w:val="00CE409D"/>
    <w:rsid w:val="00CE4955"/>
    <w:rsid w:val="00CE4F4A"/>
    <w:rsid w:val="00CE51C2"/>
    <w:rsid w:val="00CE615B"/>
    <w:rsid w:val="00CE6232"/>
    <w:rsid w:val="00CE6695"/>
    <w:rsid w:val="00CE6DD2"/>
    <w:rsid w:val="00CE764E"/>
    <w:rsid w:val="00CE7FCF"/>
    <w:rsid w:val="00CF0EE2"/>
    <w:rsid w:val="00CF11CF"/>
    <w:rsid w:val="00CF1289"/>
    <w:rsid w:val="00CF16CB"/>
    <w:rsid w:val="00CF1ACA"/>
    <w:rsid w:val="00CF2636"/>
    <w:rsid w:val="00CF44B3"/>
    <w:rsid w:val="00CF4560"/>
    <w:rsid w:val="00CF4930"/>
    <w:rsid w:val="00CF54EC"/>
    <w:rsid w:val="00CF5E40"/>
    <w:rsid w:val="00CF62CF"/>
    <w:rsid w:val="00CF6FB0"/>
    <w:rsid w:val="00CF72AE"/>
    <w:rsid w:val="00CF7D7A"/>
    <w:rsid w:val="00D005A6"/>
    <w:rsid w:val="00D00670"/>
    <w:rsid w:val="00D0132F"/>
    <w:rsid w:val="00D01C2E"/>
    <w:rsid w:val="00D01FE3"/>
    <w:rsid w:val="00D0377B"/>
    <w:rsid w:val="00D03798"/>
    <w:rsid w:val="00D039F9"/>
    <w:rsid w:val="00D04971"/>
    <w:rsid w:val="00D05440"/>
    <w:rsid w:val="00D0582E"/>
    <w:rsid w:val="00D05ADB"/>
    <w:rsid w:val="00D075A3"/>
    <w:rsid w:val="00D10AAD"/>
    <w:rsid w:val="00D10BDA"/>
    <w:rsid w:val="00D11351"/>
    <w:rsid w:val="00D1139F"/>
    <w:rsid w:val="00D115EB"/>
    <w:rsid w:val="00D11DBA"/>
    <w:rsid w:val="00D124AF"/>
    <w:rsid w:val="00D127B4"/>
    <w:rsid w:val="00D127C5"/>
    <w:rsid w:val="00D12ECA"/>
    <w:rsid w:val="00D13C51"/>
    <w:rsid w:val="00D14196"/>
    <w:rsid w:val="00D14707"/>
    <w:rsid w:val="00D14FB8"/>
    <w:rsid w:val="00D1569B"/>
    <w:rsid w:val="00D15759"/>
    <w:rsid w:val="00D15835"/>
    <w:rsid w:val="00D16452"/>
    <w:rsid w:val="00D16A5D"/>
    <w:rsid w:val="00D16C09"/>
    <w:rsid w:val="00D175FA"/>
    <w:rsid w:val="00D17B20"/>
    <w:rsid w:val="00D17B52"/>
    <w:rsid w:val="00D200A9"/>
    <w:rsid w:val="00D20A68"/>
    <w:rsid w:val="00D20F99"/>
    <w:rsid w:val="00D21F83"/>
    <w:rsid w:val="00D22039"/>
    <w:rsid w:val="00D22F9B"/>
    <w:rsid w:val="00D23606"/>
    <w:rsid w:val="00D23B8B"/>
    <w:rsid w:val="00D242A2"/>
    <w:rsid w:val="00D24480"/>
    <w:rsid w:val="00D24938"/>
    <w:rsid w:val="00D24AC0"/>
    <w:rsid w:val="00D24CDC"/>
    <w:rsid w:val="00D250D0"/>
    <w:rsid w:val="00D25968"/>
    <w:rsid w:val="00D25EB6"/>
    <w:rsid w:val="00D2608A"/>
    <w:rsid w:val="00D2651A"/>
    <w:rsid w:val="00D2697F"/>
    <w:rsid w:val="00D270EC"/>
    <w:rsid w:val="00D27B09"/>
    <w:rsid w:val="00D27D61"/>
    <w:rsid w:val="00D27EFE"/>
    <w:rsid w:val="00D30A1A"/>
    <w:rsid w:val="00D3109E"/>
    <w:rsid w:val="00D31312"/>
    <w:rsid w:val="00D32159"/>
    <w:rsid w:val="00D327E3"/>
    <w:rsid w:val="00D32ECF"/>
    <w:rsid w:val="00D33B6D"/>
    <w:rsid w:val="00D33F7F"/>
    <w:rsid w:val="00D344B2"/>
    <w:rsid w:val="00D34EAC"/>
    <w:rsid w:val="00D35484"/>
    <w:rsid w:val="00D35759"/>
    <w:rsid w:val="00D35AF7"/>
    <w:rsid w:val="00D36366"/>
    <w:rsid w:val="00D36547"/>
    <w:rsid w:val="00D36F5B"/>
    <w:rsid w:val="00D37A8A"/>
    <w:rsid w:val="00D37ADD"/>
    <w:rsid w:val="00D37B0A"/>
    <w:rsid w:val="00D37C79"/>
    <w:rsid w:val="00D40E6B"/>
    <w:rsid w:val="00D41E85"/>
    <w:rsid w:val="00D422B0"/>
    <w:rsid w:val="00D425B9"/>
    <w:rsid w:val="00D42B01"/>
    <w:rsid w:val="00D42DDB"/>
    <w:rsid w:val="00D449FD"/>
    <w:rsid w:val="00D4548B"/>
    <w:rsid w:val="00D45997"/>
    <w:rsid w:val="00D46525"/>
    <w:rsid w:val="00D469C0"/>
    <w:rsid w:val="00D47645"/>
    <w:rsid w:val="00D50408"/>
    <w:rsid w:val="00D50902"/>
    <w:rsid w:val="00D50BDC"/>
    <w:rsid w:val="00D5177E"/>
    <w:rsid w:val="00D52251"/>
    <w:rsid w:val="00D52393"/>
    <w:rsid w:val="00D5262C"/>
    <w:rsid w:val="00D52757"/>
    <w:rsid w:val="00D52869"/>
    <w:rsid w:val="00D52957"/>
    <w:rsid w:val="00D52A61"/>
    <w:rsid w:val="00D52BA9"/>
    <w:rsid w:val="00D52F55"/>
    <w:rsid w:val="00D52FA1"/>
    <w:rsid w:val="00D5332E"/>
    <w:rsid w:val="00D534B5"/>
    <w:rsid w:val="00D535DB"/>
    <w:rsid w:val="00D53A27"/>
    <w:rsid w:val="00D53E45"/>
    <w:rsid w:val="00D54236"/>
    <w:rsid w:val="00D56265"/>
    <w:rsid w:val="00D57982"/>
    <w:rsid w:val="00D57D86"/>
    <w:rsid w:val="00D57D9E"/>
    <w:rsid w:val="00D6070B"/>
    <w:rsid w:val="00D6118C"/>
    <w:rsid w:val="00D62282"/>
    <w:rsid w:val="00D62572"/>
    <w:rsid w:val="00D62779"/>
    <w:rsid w:val="00D629EA"/>
    <w:rsid w:val="00D641EB"/>
    <w:rsid w:val="00D64ECB"/>
    <w:rsid w:val="00D6567D"/>
    <w:rsid w:val="00D659A1"/>
    <w:rsid w:val="00D65EF1"/>
    <w:rsid w:val="00D66A16"/>
    <w:rsid w:val="00D66B1F"/>
    <w:rsid w:val="00D67E02"/>
    <w:rsid w:val="00D711D8"/>
    <w:rsid w:val="00D7122E"/>
    <w:rsid w:val="00D7173B"/>
    <w:rsid w:val="00D7204E"/>
    <w:rsid w:val="00D72257"/>
    <w:rsid w:val="00D728B8"/>
    <w:rsid w:val="00D729D5"/>
    <w:rsid w:val="00D73B76"/>
    <w:rsid w:val="00D73F03"/>
    <w:rsid w:val="00D741C2"/>
    <w:rsid w:val="00D759F1"/>
    <w:rsid w:val="00D760EC"/>
    <w:rsid w:val="00D761EE"/>
    <w:rsid w:val="00D76B4E"/>
    <w:rsid w:val="00D77226"/>
    <w:rsid w:val="00D8170D"/>
    <w:rsid w:val="00D81EC8"/>
    <w:rsid w:val="00D84514"/>
    <w:rsid w:val="00D847D0"/>
    <w:rsid w:val="00D84BFD"/>
    <w:rsid w:val="00D84E21"/>
    <w:rsid w:val="00D84ECD"/>
    <w:rsid w:val="00D856FD"/>
    <w:rsid w:val="00D861CD"/>
    <w:rsid w:val="00D86C17"/>
    <w:rsid w:val="00D872D2"/>
    <w:rsid w:val="00D87357"/>
    <w:rsid w:val="00D90608"/>
    <w:rsid w:val="00D90A53"/>
    <w:rsid w:val="00D920FB"/>
    <w:rsid w:val="00D922F1"/>
    <w:rsid w:val="00D9248A"/>
    <w:rsid w:val="00D9353A"/>
    <w:rsid w:val="00D9375D"/>
    <w:rsid w:val="00D93A38"/>
    <w:rsid w:val="00D94131"/>
    <w:rsid w:val="00D95CF6"/>
    <w:rsid w:val="00D9622C"/>
    <w:rsid w:val="00D9629F"/>
    <w:rsid w:val="00D97542"/>
    <w:rsid w:val="00DA01B2"/>
    <w:rsid w:val="00DA0328"/>
    <w:rsid w:val="00DA0443"/>
    <w:rsid w:val="00DA05B3"/>
    <w:rsid w:val="00DA23FC"/>
    <w:rsid w:val="00DA2589"/>
    <w:rsid w:val="00DA2703"/>
    <w:rsid w:val="00DA2782"/>
    <w:rsid w:val="00DA2BEF"/>
    <w:rsid w:val="00DA401C"/>
    <w:rsid w:val="00DA427E"/>
    <w:rsid w:val="00DA42A9"/>
    <w:rsid w:val="00DA51D8"/>
    <w:rsid w:val="00DA5232"/>
    <w:rsid w:val="00DA6E6B"/>
    <w:rsid w:val="00DA75DB"/>
    <w:rsid w:val="00DA780C"/>
    <w:rsid w:val="00DA7998"/>
    <w:rsid w:val="00DA7AF8"/>
    <w:rsid w:val="00DA7B97"/>
    <w:rsid w:val="00DB0142"/>
    <w:rsid w:val="00DB01EC"/>
    <w:rsid w:val="00DB0BBB"/>
    <w:rsid w:val="00DB1189"/>
    <w:rsid w:val="00DB1DB6"/>
    <w:rsid w:val="00DB23ED"/>
    <w:rsid w:val="00DB2515"/>
    <w:rsid w:val="00DB275F"/>
    <w:rsid w:val="00DB3727"/>
    <w:rsid w:val="00DB4122"/>
    <w:rsid w:val="00DB44A6"/>
    <w:rsid w:val="00DB528D"/>
    <w:rsid w:val="00DB5B26"/>
    <w:rsid w:val="00DB5E62"/>
    <w:rsid w:val="00DB6644"/>
    <w:rsid w:val="00DB66DB"/>
    <w:rsid w:val="00DB7327"/>
    <w:rsid w:val="00DB7F76"/>
    <w:rsid w:val="00DC04DC"/>
    <w:rsid w:val="00DC0769"/>
    <w:rsid w:val="00DC07F1"/>
    <w:rsid w:val="00DC0D8A"/>
    <w:rsid w:val="00DC0E52"/>
    <w:rsid w:val="00DC115F"/>
    <w:rsid w:val="00DC1775"/>
    <w:rsid w:val="00DC1DC8"/>
    <w:rsid w:val="00DC272B"/>
    <w:rsid w:val="00DC284A"/>
    <w:rsid w:val="00DC288C"/>
    <w:rsid w:val="00DC33A4"/>
    <w:rsid w:val="00DC3581"/>
    <w:rsid w:val="00DC3B4E"/>
    <w:rsid w:val="00DC47C7"/>
    <w:rsid w:val="00DC53AC"/>
    <w:rsid w:val="00DC53BA"/>
    <w:rsid w:val="00DC5D44"/>
    <w:rsid w:val="00DC5DBB"/>
    <w:rsid w:val="00DC6D51"/>
    <w:rsid w:val="00DC7817"/>
    <w:rsid w:val="00DC7C7A"/>
    <w:rsid w:val="00DC7DF7"/>
    <w:rsid w:val="00DC7E4D"/>
    <w:rsid w:val="00DD0129"/>
    <w:rsid w:val="00DD0992"/>
    <w:rsid w:val="00DD09A7"/>
    <w:rsid w:val="00DD0EE2"/>
    <w:rsid w:val="00DD18C9"/>
    <w:rsid w:val="00DD1F0E"/>
    <w:rsid w:val="00DD2BE6"/>
    <w:rsid w:val="00DD31A7"/>
    <w:rsid w:val="00DD4C0D"/>
    <w:rsid w:val="00DD4C9B"/>
    <w:rsid w:val="00DD4D18"/>
    <w:rsid w:val="00DD4DBE"/>
    <w:rsid w:val="00DD563E"/>
    <w:rsid w:val="00DD5C29"/>
    <w:rsid w:val="00DD68F8"/>
    <w:rsid w:val="00DE0FB7"/>
    <w:rsid w:val="00DE1471"/>
    <w:rsid w:val="00DE189A"/>
    <w:rsid w:val="00DE1BB2"/>
    <w:rsid w:val="00DE2042"/>
    <w:rsid w:val="00DE2194"/>
    <w:rsid w:val="00DE2AB6"/>
    <w:rsid w:val="00DE3383"/>
    <w:rsid w:val="00DE38ED"/>
    <w:rsid w:val="00DE400F"/>
    <w:rsid w:val="00DE44F7"/>
    <w:rsid w:val="00DE4962"/>
    <w:rsid w:val="00DE5AB3"/>
    <w:rsid w:val="00DE5B80"/>
    <w:rsid w:val="00DE5DE4"/>
    <w:rsid w:val="00DE6583"/>
    <w:rsid w:val="00DE709F"/>
    <w:rsid w:val="00DE7313"/>
    <w:rsid w:val="00DE774A"/>
    <w:rsid w:val="00DF0D66"/>
    <w:rsid w:val="00DF0E3D"/>
    <w:rsid w:val="00DF1A4B"/>
    <w:rsid w:val="00DF21A4"/>
    <w:rsid w:val="00DF23F1"/>
    <w:rsid w:val="00DF2922"/>
    <w:rsid w:val="00DF3B01"/>
    <w:rsid w:val="00DF43F9"/>
    <w:rsid w:val="00DF458D"/>
    <w:rsid w:val="00DF4A4A"/>
    <w:rsid w:val="00DF4EB4"/>
    <w:rsid w:val="00DF4FDE"/>
    <w:rsid w:val="00DF519A"/>
    <w:rsid w:val="00DF5FBE"/>
    <w:rsid w:val="00DF61D0"/>
    <w:rsid w:val="00DF6C8A"/>
    <w:rsid w:val="00DF715D"/>
    <w:rsid w:val="00DF76D1"/>
    <w:rsid w:val="00DF7A18"/>
    <w:rsid w:val="00DF7DCC"/>
    <w:rsid w:val="00E0012D"/>
    <w:rsid w:val="00E00326"/>
    <w:rsid w:val="00E00B9C"/>
    <w:rsid w:val="00E00C11"/>
    <w:rsid w:val="00E014C0"/>
    <w:rsid w:val="00E0152A"/>
    <w:rsid w:val="00E0192D"/>
    <w:rsid w:val="00E01C18"/>
    <w:rsid w:val="00E038D0"/>
    <w:rsid w:val="00E03FB5"/>
    <w:rsid w:val="00E04842"/>
    <w:rsid w:val="00E0496B"/>
    <w:rsid w:val="00E04BB3"/>
    <w:rsid w:val="00E05C60"/>
    <w:rsid w:val="00E05DB7"/>
    <w:rsid w:val="00E0637B"/>
    <w:rsid w:val="00E06447"/>
    <w:rsid w:val="00E06505"/>
    <w:rsid w:val="00E0680E"/>
    <w:rsid w:val="00E06933"/>
    <w:rsid w:val="00E06BC9"/>
    <w:rsid w:val="00E06DF3"/>
    <w:rsid w:val="00E078AE"/>
    <w:rsid w:val="00E101AC"/>
    <w:rsid w:val="00E10EB5"/>
    <w:rsid w:val="00E1223C"/>
    <w:rsid w:val="00E12430"/>
    <w:rsid w:val="00E14167"/>
    <w:rsid w:val="00E15335"/>
    <w:rsid w:val="00E1611B"/>
    <w:rsid w:val="00E16312"/>
    <w:rsid w:val="00E16B59"/>
    <w:rsid w:val="00E16FEC"/>
    <w:rsid w:val="00E176D3"/>
    <w:rsid w:val="00E17D38"/>
    <w:rsid w:val="00E20656"/>
    <w:rsid w:val="00E20780"/>
    <w:rsid w:val="00E21075"/>
    <w:rsid w:val="00E214A4"/>
    <w:rsid w:val="00E218BA"/>
    <w:rsid w:val="00E21A9E"/>
    <w:rsid w:val="00E21DBE"/>
    <w:rsid w:val="00E22683"/>
    <w:rsid w:val="00E229D5"/>
    <w:rsid w:val="00E22B9F"/>
    <w:rsid w:val="00E232AE"/>
    <w:rsid w:val="00E23372"/>
    <w:rsid w:val="00E238EC"/>
    <w:rsid w:val="00E24A16"/>
    <w:rsid w:val="00E24DEA"/>
    <w:rsid w:val="00E24EE7"/>
    <w:rsid w:val="00E252F0"/>
    <w:rsid w:val="00E25F2A"/>
    <w:rsid w:val="00E2783C"/>
    <w:rsid w:val="00E3003E"/>
    <w:rsid w:val="00E3022B"/>
    <w:rsid w:val="00E306DA"/>
    <w:rsid w:val="00E30CEE"/>
    <w:rsid w:val="00E3124F"/>
    <w:rsid w:val="00E316D9"/>
    <w:rsid w:val="00E32E67"/>
    <w:rsid w:val="00E330C5"/>
    <w:rsid w:val="00E332E1"/>
    <w:rsid w:val="00E33560"/>
    <w:rsid w:val="00E3413B"/>
    <w:rsid w:val="00E347E7"/>
    <w:rsid w:val="00E353E9"/>
    <w:rsid w:val="00E3589F"/>
    <w:rsid w:val="00E35F3B"/>
    <w:rsid w:val="00E36EA9"/>
    <w:rsid w:val="00E36FDC"/>
    <w:rsid w:val="00E40299"/>
    <w:rsid w:val="00E40F41"/>
    <w:rsid w:val="00E41393"/>
    <w:rsid w:val="00E42AFD"/>
    <w:rsid w:val="00E42ECE"/>
    <w:rsid w:val="00E43225"/>
    <w:rsid w:val="00E4359D"/>
    <w:rsid w:val="00E43879"/>
    <w:rsid w:val="00E44044"/>
    <w:rsid w:val="00E441BF"/>
    <w:rsid w:val="00E451DB"/>
    <w:rsid w:val="00E4592C"/>
    <w:rsid w:val="00E47864"/>
    <w:rsid w:val="00E47BD0"/>
    <w:rsid w:val="00E47DAC"/>
    <w:rsid w:val="00E501A6"/>
    <w:rsid w:val="00E501EB"/>
    <w:rsid w:val="00E5076A"/>
    <w:rsid w:val="00E50DBB"/>
    <w:rsid w:val="00E50E83"/>
    <w:rsid w:val="00E5131D"/>
    <w:rsid w:val="00E521A6"/>
    <w:rsid w:val="00E52403"/>
    <w:rsid w:val="00E52EE5"/>
    <w:rsid w:val="00E5575A"/>
    <w:rsid w:val="00E55777"/>
    <w:rsid w:val="00E557B2"/>
    <w:rsid w:val="00E56B33"/>
    <w:rsid w:val="00E56C37"/>
    <w:rsid w:val="00E60643"/>
    <w:rsid w:val="00E60CD7"/>
    <w:rsid w:val="00E60F39"/>
    <w:rsid w:val="00E61322"/>
    <w:rsid w:val="00E61F75"/>
    <w:rsid w:val="00E636AB"/>
    <w:rsid w:val="00E643C2"/>
    <w:rsid w:val="00E64808"/>
    <w:rsid w:val="00E64C3E"/>
    <w:rsid w:val="00E64E56"/>
    <w:rsid w:val="00E6576C"/>
    <w:rsid w:val="00E65F0D"/>
    <w:rsid w:val="00E666D7"/>
    <w:rsid w:val="00E6756B"/>
    <w:rsid w:val="00E679D3"/>
    <w:rsid w:val="00E70A64"/>
    <w:rsid w:val="00E70AE1"/>
    <w:rsid w:val="00E70C20"/>
    <w:rsid w:val="00E70D73"/>
    <w:rsid w:val="00E71169"/>
    <w:rsid w:val="00E711F0"/>
    <w:rsid w:val="00E71D09"/>
    <w:rsid w:val="00E7374D"/>
    <w:rsid w:val="00E73D04"/>
    <w:rsid w:val="00E745B4"/>
    <w:rsid w:val="00E7461B"/>
    <w:rsid w:val="00E7484B"/>
    <w:rsid w:val="00E748DF"/>
    <w:rsid w:val="00E750A5"/>
    <w:rsid w:val="00E7599B"/>
    <w:rsid w:val="00E761A1"/>
    <w:rsid w:val="00E76BCC"/>
    <w:rsid w:val="00E7793F"/>
    <w:rsid w:val="00E77F8B"/>
    <w:rsid w:val="00E80EAC"/>
    <w:rsid w:val="00E811CA"/>
    <w:rsid w:val="00E81FD0"/>
    <w:rsid w:val="00E823CA"/>
    <w:rsid w:val="00E826FF"/>
    <w:rsid w:val="00E8284D"/>
    <w:rsid w:val="00E82BD9"/>
    <w:rsid w:val="00E83082"/>
    <w:rsid w:val="00E83F2D"/>
    <w:rsid w:val="00E83F55"/>
    <w:rsid w:val="00E841DA"/>
    <w:rsid w:val="00E846ED"/>
    <w:rsid w:val="00E84760"/>
    <w:rsid w:val="00E8476C"/>
    <w:rsid w:val="00E856C5"/>
    <w:rsid w:val="00E86030"/>
    <w:rsid w:val="00E86DD1"/>
    <w:rsid w:val="00E876E4"/>
    <w:rsid w:val="00E90DE0"/>
    <w:rsid w:val="00E928DA"/>
    <w:rsid w:val="00E94DEB"/>
    <w:rsid w:val="00E950BB"/>
    <w:rsid w:val="00E95263"/>
    <w:rsid w:val="00E95A51"/>
    <w:rsid w:val="00E96260"/>
    <w:rsid w:val="00E96D01"/>
    <w:rsid w:val="00E973CA"/>
    <w:rsid w:val="00E97504"/>
    <w:rsid w:val="00EA04E4"/>
    <w:rsid w:val="00EA0A7C"/>
    <w:rsid w:val="00EA0B52"/>
    <w:rsid w:val="00EA0C40"/>
    <w:rsid w:val="00EA1B3D"/>
    <w:rsid w:val="00EA1C34"/>
    <w:rsid w:val="00EA20F1"/>
    <w:rsid w:val="00EA2978"/>
    <w:rsid w:val="00EA2F88"/>
    <w:rsid w:val="00EA319D"/>
    <w:rsid w:val="00EA3450"/>
    <w:rsid w:val="00EA437D"/>
    <w:rsid w:val="00EA499C"/>
    <w:rsid w:val="00EA4EE5"/>
    <w:rsid w:val="00EA5879"/>
    <w:rsid w:val="00EA5895"/>
    <w:rsid w:val="00EA5C4C"/>
    <w:rsid w:val="00EA6ABD"/>
    <w:rsid w:val="00EA6B9A"/>
    <w:rsid w:val="00EA7311"/>
    <w:rsid w:val="00EA7784"/>
    <w:rsid w:val="00EA7A80"/>
    <w:rsid w:val="00EB06C3"/>
    <w:rsid w:val="00EB0B3A"/>
    <w:rsid w:val="00EB102E"/>
    <w:rsid w:val="00EB29FE"/>
    <w:rsid w:val="00EB2F66"/>
    <w:rsid w:val="00EB3012"/>
    <w:rsid w:val="00EB3E72"/>
    <w:rsid w:val="00EB54FC"/>
    <w:rsid w:val="00EB6414"/>
    <w:rsid w:val="00EB643C"/>
    <w:rsid w:val="00EB6C92"/>
    <w:rsid w:val="00EB6E9A"/>
    <w:rsid w:val="00EB718C"/>
    <w:rsid w:val="00EB7472"/>
    <w:rsid w:val="00EB757A"/>
    <w:rsid w:val="00EB7667"/>
    <w:rsid w:val="00EB7EF6"/>
    <w:rsid w:val="00EC00C4"/>
    <w:rsid w:val="00EC03AB"/>
    <w:rsid w:val="00EC0863"/>
    <w:rsid w:val="00EC0BF9"/>
    <w:rsid w:val="00EC12B7"/>
    <w:rsid w:val="00EC19EB"/>
    <w:rsid w:val="00EC2E5B"/>
    <w:rsid w:val="00EC2E79"/>
    <w:rsid w:val="00EC313A"/>
    <w:rsid w:val="00EC321D"/>
    <w:rsid w:val="00EC3531"/>
    <w:rsid w:val="00EC3FF3"/>
    <w:rsid w:val="00EC438F"/>
    <w:rsid w:val="00EC48D1"/>
    <w:rsid w:val="00EC5A39"/>
    <w:rsid w:val="00EC5E74"/>
    <w:rsid w:val="00EC6532"/>
    <w:rsid w:val="00EC6D5D"/>
    <w:rsid w:val="00EC71CC"/>
    <w:rsid w:val="00EC71E5"/>
    <w:rsid w:val="00EC7404"/>
    <w:rsid w:val="00EC7ECE"/>
    <w:rsid w:val="00ED0A9A"/>
    <w:rsid w:val="00ED13C7"/>
    <w:rsid w:val="00ED1871"/>
    <w:rsid w:val="00ED1A4B"/>
    <w:rsid w:val="00ED1C10"/>
    <w:rsid w:val="00ED1DAC"/>
    <w:rsid w:val="00ED2717"/>
    <w:rsid w:val="00ED2CAF"/>
    <w:rsid w:val="00ED2DAA"/>
    <w:rsid w:val="00ED3218"/>
    <w:rsid w:val="00ED3238"/>
    <w:rsid w:val="00ED32B8"/>
    <w:rsid w:val="00ED3581"/>
    <w:rsid w:val="00ED3919"/>
    <w:rsid w:val="00ED3A9B"/>
    <w:rsid w:val="00ED44B0"/>
    <w:rsid w:val="00ED4951"/>
    <w:rsid w:val="00ED4E82"/>
    <w:rsid w:val="00ED6065"/>
    <w:rsid w:val="00ED63EC"/>
    <w:rsid w:val="00ED6A52"/>
    <w:rsid w:val="00ED701C"/>
    <w:rsid w:val="00ED7815"/>
    <w:rsid w:val="00ED7883"/>
    <w:rsid w:val="00EE05C0"/>
    <w:rsid w:val="00EE0737"/>
    <w:rsid w:val="00EE0CAD"/>
    <w:rsid w:val="00EE206D"/>
    <w:rsid w:val="00EE28AB"/>
    <w:rsid w:val="00EE300F"/>
    <w:rsid w:val="00EE36A7"/>
    <w:rsid w:val="00EE3AAE"/>
    <w:rsid w:val="00EE5052"/>
    <w:rsid w:val="00EE590D"/>
    <w:rsid w:val="00EE5923"/>
    <w:rsid w:val="00EE5EFB"/>
    <w:rsid w:val="00EE62E5"/>
    <w:rsid w:val="00EE7084"/>
    <w:rsid w:val="00EE7633"/>
    <w:rsid w:val="00EF0149"/>
    <w:rsid w:val="00EF08AD"/>
    <w:rsid w:val="00EF16E4"/>
    <w:rsid w:val="00EF23B6"/>
    <w:rsid w:val="00EF3356"/>
    <w:rsid w:val="00EF33BE"/>
    <w:rsid w:val="00EF35CB"/>
    <w:rsid w:val="00EF37FB"/>
    <w:rsid w:val="00EF3FDC"/>
    <w:rsid w:val="00EF40A5"/>
    <w:rsid w:val="00EF4214"/>
    <w:rsid w:val="00EF4EE1"/>
    <w:rsid w:val="00EF5570"/>
    <w:rsid w:val="00EF57CE"/>
    <w:rsid w:val="00EF5AB2"/>
    <w:rsid w:val="00EF658A"/>
    <w:rsid w:val="00EF690E"/>
    <w:rsid w:val="00EF73D4"/>
    <w:rsid w:val="00EF791F"/>
    <w:rsid w:val="00EF7998"/>
    <w:rsid w:val="00EF7A22"/>
    <w:rsid w:val="00EF7CC1"/>
    <w:rsid w:val="00F0086F"/>
    <w:rsid w:val="00F00A7D"/>
    <w:rsid w:val="00F0183A"/>
    <w:rsid w:val="00F01E16"/>
    <w:rsid w:val="00F02DD4"/>
    <w:rsid w:val="00F02DFD"/>
    <w:rsid w:val="00F02F78"/>
    <w:rsid w:val="00F03025"/>
    <w:rsid w:val="00F0307C"/>
    <w:rsid w:val="00F037E7"/>
    <w:rsid w:val="00F03A20"/>
    <w:rsid w:val="00F03BD3"/>
    <w:rsid w:val="00F0404B"/>
    <w:rsid w:val="00F045AD"/>
    <w:rsid w:val="00F04602"/>
    <w:rsid w:val="00F05BAB"/>
    <w:rsid w:val="00F060B8"/>
    <w:rsid w:val="00F062AB"/>
    <w:rsid w:val="00F0674E"/>
    <w:rsid w:val="00F07CBF"/>
    <w:rsid w:val="00F07E79"/>
    <w:rsid w:val="00F107C8"/>
    <w:rsid w:val="00F10B18"/>
    <w:rsid w:val="00F10C36"/>
    <w:rsid w:val="00F1226D"/>
    <w:rsid w:val="00F126A3"/>
    <w:rsid w:val="00F12763"/>
    <w:rsid w:val="00F13AFC"/>
    <w:rsid w:val="00F13EB3"/>
    <w:rsid w:val="00F13F08"/>
    <w:rsid w:val="00F14678"/>
    <w:rsid w:val="00F14CF1"/>
    <w:rsid w:val="00F14F12"/>
    <w:rsid w:val="00F15558"/>
    <w:rsid w:val="00F1578B"/>
    <w:rsid w:val="00F15CBB"/>
    <w:rsid w:val="00F16758"/>
    <w:rsid w:val="00F1755B"/>
    <w:rsid w:val="00F20438"/>
    <w:rsid w:val="00F20FEC"/>
    <w:rsid w:val="00F216C6"/>
    <w:rsid w:val="00F229AB"/>
    <w:rsid w:val="00F2334B"/>
    <w:rsid w:val="00F242C4"/>
    <w:rsid w:val="00F2491C"/>
    <w:rsid w:val="00F24E37"/>
    <w:rsid w:val="00F251A9"/>
    <w:rsid w:val="00F2523C"/>
    <w:rsid w:val="00F25282"/>
    <w:rsid w:val="00F2548A"/>
    <w:rsid w:val="00F25666"/>
    <w:rsid w:val="00F26123"/>
    <w:rsid w:val="00F26336"/>
    <w:rsid w:val="00F264C3"/>
    <w:rsid w:val="00F26767"/>
    <w:rsid w:val="00F2698F"/>
    <w:rsid w:val="00F26D89"/>
    <w:rsid w:val="00F270F4"/>
    <w:rsid w:val="00F27730"/>
    <w:rsid w:val="00F30B2D"/>
    <w:rsid w:val="00F31384"/>
    <w:rsid w:val="00F316EA"/>
    <w:rsid w:val="00F322E5"/>
    <w:rsid w:val="00F326E3"/>
    <w:rsid w:val="00F32855"/>
    <w:rsid w:val="00F32DA9"/>
    <w:rsid w:val="00F33658"/>
    <w:rsid w:val="00F33718"/>
    <w:rsid w:val="00F34AD3"/>
    <w:rsid w:val="00F3577A"/>
    <w:rsid w:val="00F36260"/>
    <w:rsid w:val="00F365CD"/>
    <w:rsid w:val="00F36743"/>
    <w:rsid w:val="00F37CF5"/>
    <w:rsid w:val="00F4058F"/>
    <w:rsid w:val="00F4062F"/>
    <w:rsid w:val="00F40725"/>
    <w:rsid w:val="00F4099A"/>
    <w:rsid w:val="00F41805"/>
    <w:rsid w:val="00F41923"/>
    <w:rsid w:val="00F41A88"/>
    <w:rsid w:val="00F43763"/>
    <w:rsid w:val="00F441B7"/>
    <w:rsid w:val="00F45495"/>
    <w:rsid w:val="00F46FA3"/>
    <w:rsid w:val="00F477AF"/>
    <w:rsid w:val="00F47B42"/>
    <w:rsid w:val="00F47F8D"/>
    <w:rsid w:val="00F50043"/>
    <w:rsid w:val="00F52A59"/>
    <w:rsid w:val="00F52B30"/>
    <w:rsid w:val="00F52D8B"/>
    <w:rsid w:val="00F53749"/>
    <w:rsid w:val="00F54616"/>
    <w:rsid w:val="00F54B05"/>
    <w:rsid w:val="00F557C3"/>
    <w:rsid w:val="00F559D1"/>
    <w:rsid w:val="00F5630D"/>
    <w:rsid w:val="00F5651C"/>
    <w:rsid w:val="00F56708"/>
    <w:rsid w:val="00F56712"/>
    <w:rsid w:val="00F56EA2"/>
    <w:rsid w:val="00F56F50"/>
    <w:rsid w:val="00F57AFD"/>
    <w:rsid w:val="00F57CC9"/>
    <w:rsid w:val="00F57EC4"/>
    <w:rsid w:val="00F6029F"/>
    <w:rsid w:val="00F618C5"/>
    <w:rsid w:val="00F63232"/>
    <w:rsid w:val="00F63C24"/>
    <w:rsid w:val="00F63DFE"/>
    <w:rsid w:val="00F641BE"/>
    <w:rsid w:val="00F65334"/>
    <w:rsid w:val="00F65B68"/>
    <w:rsid w:val="00F65BAD"/>
    <w:rsid w:val="00F6610F"/>
    <w:rsid w:val="00F6615F"/>
    <w:rsid w:val="00F67157"/>
    <w:rsid w:val="00F67527"/>
    <w:rsid w:val="00F6780B"/>
    <w:rsid w:val="00F67B77"/>
    <w:rsid w:val="00F710A0"/>
    <w:rsid w:val="00F71216"/>
    <w:rsid w:val="00F71757"/>
    <w:rsid w:val="00F71ABB"/>
    <w:rsid w:val="00F72B96"/>
    <w:rsid w:val="00F72BB7"/>
    <w:rsid w:val="00F72CD7"/>
    <w:rsid w:val="00F72E25"/>
    <w:rsid w:val="00F734B3"/>
    <w:rsid w:val="00F737AD"/>
    <w:rsid w:val="00F738AA"/>
    <w:rsid w:val="00F73C18"/>
    <w:rsid w:val="00F73C38"/>
    <w:rsid w:val="00F745B5"/>
    <w:rsid w:val="00F7481E"/>
    <w:rsid w:val="00F748D8"/>
    <w:rsid w:val="00F7508B"/>
    <w:rsid w:val="00F750CE"/>
    <w:rsid w:val="00F7586D"/>
    <w:rsid w:val="00F762FA"/>
    <w:rsid w:val="00F771D5"/>
    <w:rsid w:val="00F7725C"/>
    <w:rsid w:val="00F77D60"/>
    <w:rsid w:val="00F803C0"/>
    <w:rsid w:val="00F80489"/>
    <w:rsid w:val="00F817A0"/>
    <w:rsid w:val="00F82A8E"/>
    <w:rsid w:val="00F82E95"/>
    <w:rsid w:val="00F83149"/>
    <w:rsid w:val="00F83456"/>
    <w:rsid w:val="00F83628"/>
    <w:rsid w:val="00F83875"/>
    <w:rsid w:val="00F83D7F"/>
    <w:rsid w:val="00F843D3"/>
    <w:rsid w:val="00F847A5"/>
    <w:rsid w:val="00F84D77"/>
    <w:rsid w:val="00F866AD"/>
    <w:rsid w:val="00F87171"/>
    <w:rsid w:val="00F87DAF"/>
    <w:rsid w:val="00F87E05"/>
    <w:rsid w:val="00F87FA1"/>
    <w:rsid w:val="00F91080"/>
    <w:rsid w:val="00F92D19"/>
    <w:rsid w:val="00F930B6"/>
    <w:rsid w:val="00F9384D"/>
    <w:rsid w:val="00F94A2A"/>
    <w:rsid w:val="00F956E6"/>
    <w:rsid w:val="00F96407"/>
    <w:rsid w:val="00F966DF"/>
    <w:rsid w:val="00F96874"/>
    <w:rsid w:val="00F96DC1"/>
    <w:rsid w:val="00F9704E"/>
    <w:rsid w:val="00F97721"/>
    <w:rsid w:val="00F97CD4"/>
    <w:rsid w:val="00FA023A"/>
    <w:rsid w:val="00FA0DE0"/>
    <w:rsid w:val="00FA1374"/>
    <w:rsid w:val="00FA15FD"/>
    <w:rsid w:val="00FA34D5"/>
    <w:rsid w:val="00FA3896"/>
    <w:rsid w:val="00FA4994"/>
    <w:rsid w:val="00FA49DB"/>
    <w:rsid w:val="00FA5199"/>
    <w:rsid w:val="00FA5E8A"/>
    <w:rsid w:val="00FA6BB1"/>
    <w:rsid w:val="00FA6FD7"/>
    <w:rsid w:val="00FA7508"/>
    <w:rsid w:val="00FA7A57"/>
    <w:rsid w:val="00FA7EDB"/>
    <w:rsid w:val="00FB0E34"/>
    <w:rsid w:val="00FB0EAF"/>
    <w:rsid w:val="00FB1260"/>
    <w:rsid w:val="00FB2DE2"/>
    <w:rsid w:val="00FB4301"/>
    <w:rsid w:val="00FB4389"/>
    <w:rsid w:val="00FB50FD"/>
    <w:rsid w:val="00FB524C"/>
    <w:rsid w:val="00FB5316"/>
    <w:rsid w:val="00FB59EA"/>
    <w:rsid w:val="00FB633A"/>
    <w:rsid w:val="00FB6B8B"/>
    <w:rsid w:val="00FB6C55"/>
    <w:rsid w:val="00FB706D"/>
    <w:rsid w:val="00FB70B5"/>
    <w:rsid w:val="00FB74D5"/>
    <w:rsid w:val="00FB7902"/>
    <w:rsid w:val="00FB7993"/>
    <w:rsid w:val="00FC0F42"/>
    <w:rsid w:val="00FC1028"/>
    <w:rsid w:val="00FC315C"/>
    <w:rsid w:val="00FC3E46"/>
    <w:rsid w:val="00FC3EDF"/>
    <w:rsid w:val="00FC4453"/>
    <w:rsid w:val="00FC4981"/>
    <w:rsid w:val="00FC5392"/>
    <w:rsid w:val="00FC6653"/>
    <w:rsid w:val="00FD008B"/>
    <w:rsid w:val="00FD0C3C"/>
    <w:rsid w:val="00FD0E12"/>
    <w:rsid w:val="00FD101A"/>
    <w:rsid w:val="00FD140C"/>
    <w:rsid w:val="00FD1762"/>
    <w:rsid w:val="00FD17A5"/>
    <w:rsid w:val="00FD215A"/>
    <w:rsid w:val="00FD2665"/>
    <w:rsid w:val="00FD39BE"/>
    <w:rsid w:val="00FD3D98"/>
    <w:rsid w:val="00FD40D8"/>
    <w:rsid w:val="00FD447D"/>
    <w:rsid w:val="00FD461F"/>
    <w:rsid w:val="00FD50A4"/>
    <w:rsid w:val="00FD520B"/>
    <w:rsid w:val="00FD5B60"/>
    <w:rsid w:val="00FD5F3A"/>
    <w:rsid w:val="00FD6CF5"/>
    <w:rsid w:val="00FD6D0C"/>
    <w:rsid w:val="00FD6D5F"/>
    <w:rsid w:val="00FD7198"/>
    <w:rsid w:val="00FD74A7"/>
    <w:rsid w:val="00FE015D"/>
    <w:rsid w:val="00FE023F"/>
    <w:rsid w:val="00FE0E7A"/>
    <w:rsid w:val="00FE190B"/>
    <w:rsid w:val="00FE218F"/>
    <w:rsid w:val="00FE2DDD"/>
    <w:rsid w:val="00FE32C1"/>
    <w:rsid w:val="00FE3BFA"/>
    <w:rsid w:val="00FE3C3F"/>
    <w:rsid w:val="00FE3D8E"/>
    <w:rsid w:val="00FE3F3A"/>
    <w:rsid w:val="00FE4629"/>
    <w:rsid w:val="00FE490F"/>
    <w:rsid w:val="00FE517A"/>
    <w:rsid w:val="00FE5F1E"/>
    <w:rsid w:val="00FE6954"/>
    <w:rsid w:val="00FE6A6E"/>
    <w:rsid w:val="00FE6B87"/>
    <w:rsid w:val="00FF0065"/>
    <w:rsid w:val="00FF2154"/>
    <w:rsid w:val="00FF2716"/>
    <w:rsid w:val="00FF32F9"/>
    <w:rsid w:val="00FF340F"/>
    <w:rsid w:val="00FF344D"/>
    <w:rsid w:val="00FF4CD6"/>
    <w:rsid w:val="00FF554B"/>
    <w:rsid w:val="00FF5C10"/>
    <w:rsid w:val="00FF5DE6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rsid w:val="00074A01"/>
  </w:style>
  <w:style w:type="character" w:styleId="Znakapoznpodarou">
    <w:name w:val="footnote reference"/>
    <w:aliases w:val="Footnote"/>
    <w:basedOn w:val="Standardnpsmoodstavce"/>
    <w:uiPriority w:val="99"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rsid w:val="00074A01"/>
  </w:style>
  <w:style w:type="character" w:styleId="Znakapoznpodarou">
    <w:name w:val="footnote reference"/>
    <w:aliases w:val="Footnote"/>
    <w:basedOn w:val="Standardnpsmoodstavce"/>
    <w:uiPriority w:val="99"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CB74E9-A431-47B4-BCC4-DFFCFEF911CA}"/>
</file>

<file path=customXml/itemProps2.xml><?xml version="1.0" encoding="utf-8"?>
<ds:datastoreItem xmlns:ds="http://schemas.openxmlformats.org/officeDocument/2006/customXml" ds:itemID="{98F11960-B42A-4BC2-8F73-B077D719AA05}"/>
</file>

<file path=customXml/itemProps3.xml><?xml version="1.0" encoding="utf-8"?>
<ds:datastoreItem xmlns:ds="http://schemas.openxmlformats.org/officeDocument/2006/customXml" ds:itemID="{4B668383-8A58-4B73-BF10-7E41E59E5EEC}"/>
</file>

<file path=customXml/itemProps4.xml><?xml version="1.0" encoding="utf-8"?>
<ds:datastoreItem xmlns:ds="http://schemas.openxmlformats.org/officeDocument/2006/customXml" ds:itemID="{F6B2FCDE-C9B8-4C35-835F-F02F831489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5354</Words>
  <Characters>31593</Characters>
  <Application>Microsoft Office Word</Application>
  <DocSecurity>0</DocSecurity>
  <Lines>263</Lines>
  <Paragraphs>73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36874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12/33</dc:title>
  <dc:creator>HLUSICKOVA</dc:creator>
  <cp:lastModifiedBy>POKORNÁ Jana</cp:lastModifiedBy>
  <cp:revision>8</cp:revision>
  <cp:lastPrinted>2013-10-14T14:16:00Z</cp:lastPrinted>
  <dcterms:created xsi:type="dcterms:W3CDTF">2013-10-22T10:46:00Z</dcterms:created>
  <dcterms:modified xsi:type="dcterms:W3CDTF">2013-11-13T08:29:00Z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08/14-30/318/08</vt:lpwstr>
  </property>
  <property fmtid="{D5CDD505-2E9C-101B-9397-08002B2CF9AE}" pid="3" name="SZ_Spis_Pisemnost">
    <vt:lpwstr>08/14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*B000054401*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08-12715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</Properties>
</file>