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620AEA" w:rsidRDefault="000768EE" w:rsidP="00620AEA">
      <w:pPr>
        <w:jc w:val="center"/>
        <w:rPr>
          <w:sz w:val="22"/>
          <w:szCs w:val="22"/>
        </w:rPr>
      </w:pPr>
      <w:r w:rsidRPr="00620AEA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D7BB5F9" wp14:editId="2E00DDF6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AC" w:rsidRPr="00620AEA" w:rsidRDefault="00E47DAC" w:rsidP="00620AEA">
      <w:pPr>
        <w:jc w:val="center"/>
        <w:rPr>
          <w:sz w:val="22"/>
          <w:szCs w:val="22"/>
        </w:rPr>
      </w:pPr>
    </w:p>
    <w:p w:rsidR="008441E4" w:rsidRPr="00620AEA" w:rsidRDefault="008441E4" w:rsidP="00620AEA">
      <w:pPr>
        <w:jc w:val="center"/>
        <w:rPr>
          <w:sz w:val="22"/>
          <w:szCs w:val="22"/>
        </w:rPr>
      </w:pPr>
    </w:p>
    <w:p w:rsidR="00E47DAC" w:rsidRPr="00620AEA" w:rsidRDefault="00E47DAC" w:rsidP="00620AEA">
      <w:pPr>
        <w:jc w:val="center"/>
        <w:rPr>
          <w:b/>
          <w:sz w:val="28"/>
          <w:szCs w:val="28"/>
        </w:rPr>
      </w:pPr>
      <w:r w:rsidRPr="00620AEA">
        <w:rPr>
          <w:b/>
          <w:sz w:val="28"/>
          <w:szCs w:val="28"/>
        </w:rPr>
        <w:t>Kontrolní závěr z kontrolní akce</w:t>
      </w:r>
    </w:p>
    <w:p w:rsidR="00A3050D" w:rsidRPr="00620AEA" w:rsidRDefault="00A3050D" w:rsidP="00620AEA">
      <w:pPr>
        <w:jc w:val="center"/>
        <w:rPr>
          <w:b/>
          <w:sz w:val="22"/>
          <w:szCs w:val="22"/>
        </w:rPr>
      </w:pPr>
    </w:p>
    <w:p w:rsidR="005B519B" w:rsidRDefault="004379AD" w:rsidP="00620AEA">
      <w:pPr>
        <w:jc w:val="center"/>
        <w:rPr>
          <w:b/>
          <w:bCs/>
          <w:sz w:val="28"/>
          <w:szCs w:val="28"/>
        </w:rPr>
      </w:pPr>
      <w:r w:rsidRPr="00620AEA">
        <w:rPr>
          <w:b/>
          <w:bCs/>
          <w:sz w:val="28"/>
          <w:szCs w:val="28"/>
        </w:rPr>
        <w:t>1</w:t>
      </w:r>
      <w:r w:rsidR="006B7388" w:rsidRPr="00620AEA">
        <w:rPr>
          <w:b/>
          <w:bCs/>
          <w:sz w:val="28"/>
          <w:szCs w:val="28"/>
        </w:rPr>
        <w:t>3</w:t>
      </w:r>
      <w:r w:rsidR="00553974" w:rsidRPr="00620AEA">
        <w:rPr>
          <w:b/>
          <w:bCs/>
          <w:sz w:val="28"/>
          <w:szCs w:val="28"/>
        </w:rPr>
        <w:t>/</w:t>
      </w:r>
      <w:r w:rsidR="009C3A28" w:rsidRPr="00620AEA">
        <w:rPr>
          <w:b/>
          <w:bCs/>
          <w:sz w:val="28"/>
          <w:szCs w:val="28"/>
        </w:rPr>
        <w:t>1</w:t>
      </w:r>
      <w:r w:rsidR="006B7388" w:rsidRPr="00620AEA">
        <w:rPr>
          <w:b/>
          <w:bCs/>
          <w:sz w:val="28"/>
          <w:szCs w:val="28"/>
        </w:rPr>
        <w:t>4</w:t>
      </w:r>
    </w:p>
    <w:p w:rsidR="00620AEA" w:rsidRPr="00620AEA" w:rsidRDefault="00620AEA" w:rsidP="00620AEA">
      <w:pPr>
        <w:jc w:val="center"/>
        <w:rPr>
          <w:b/>
          <w:bCs/>
          <w:sz w:val="22"/>
          <w:szCs w:val="22"/>
        </w:rPr>
      </w:pPr>
    </w:p>
    <w:p w:rsidR="00E47DAC" w:rsidRPr="00620AEA" w:rsidRDefault="009C3A28" w:rsidP="00620AEA">
      <w:pPr>
        <w:jc w:val="center"/>
        <w:rPr>
          <w:b/>
          <w:sz w:val="28"/>
          <w:szCs w:val="28"/>
        </w:rPr>
      </w:pPr>
      <w:r w:rsidRPr="00620AEA">
        <w:rPr>
          <w:b/>
          <w:sz w:val="28"/>
          <w:szCs w:val="28"/>
        </w:rPr>
        <w:t>Peněžní prostředky určené</w:t>
      </w:r>
      <w:r w:rsidR="00620AEA">
        <w:rPr>
          <w:b/>
          <w:sz w:val="28"/>
          <w:szCs w:val="28"/>
        </w:rPr>
        <w:t xml:space="preserve"> </w:t>
      </w:r>
      <w:r w:rsidRPr="00620AEA">
        <w:rPr>
          <w:b/>
          <w:sz w:val="28"/>
          <w:szCs w:val="28"/>
        </w:rPr>
        <w:t xml:space="preserve">na </w:t>
      </w:r>
      <w:r w:rsidR="00164335" w:rsidRPr="00620AEA">
        <w:rPr>
          <w:b/>
          <w:sz w:val="28"/>
          <w:szCs w:val="28"/>
        </w:rPr>
        <w:t xml:space="preserve">modernizaci </w:t>
      </w:r>
      <w:r w:rsidR="006B7388" w:rsidRPr="00620AEA">
        <w:rPr>
          <w:b/>
          <w:sz w:val="28"/>
          <w:szCs w:val="28"/>
        </w:rPr>
        <w:t>železniční sítě</w:t>
      </w:r>
    </w:p>
    <w:p w:rsidR="00E47DAC" w:rsidRDefault="00E47DAC" w:rsidP="00620AEA">
      <w:pPr>
        <w:jc w:val="both"/>
        <w:rPr>
          <w:sz w:val="22"/>
          <w:szCs w:val="22"/>
        </w:rPr>
      </w:pPr>
    </w:p>
    <w:p w:rsidR="00620AEA" w:rsidRPr="00620AEA" w:rsidRDefault="00620AEA" w:rsidP="00620AEA">
      <w:pPr>
        <w:jc w:val="both"/>
        <w:rPr>
          <w:sz w:val="22"/>
          <w:szCs w:val="22"/>
        </w:rPr>
      </w:pPr>
    </w:p>
    <w:p w:rsidR="00E47DAC" w:rsidRDefault="00E47DAC" w:rsidP="00620AEA">
      <w:pPr>
        <w:jc w:val="both"/>
        <w:rPr>
          <w:sz w:val="22"/>
          <w:szCs w:val="22"/>
        </w:rPr>
      </w:pPr>
      <w:r w:rsidRPr="00620AEA">
        <w:rPr>
          <w:sz w:val="22"/>
          <w:szCs w:val="22"/>
        </w:rPr>
        <w:t xml:space="preserve">Kontrolní akce byla zařazena do plánu kontrolní činnosti Nejvyššího kontrolního úřadu (dále </w:t>
      </w:r>
      <w:r w:rsidR="00E35BEF" w:rsidRPr="00620AEA">
        <w:rPr>
          <w:sz w:val="22"/>
          <w:szCs w:val="22"/>
        </w:rPr>
        <w:t>také</w:t>
      </w:r>
      <w:r w:rsidRPr="00620AEA">
        <w:rPr>
          <w:sz w:val="22"/>
          <w:szCs w:val="22"/>
        </w:rPr>
        <w:t xml:space="preserve"> „NKÚ“) na rok 20</w:t>
      </w:r>
      <w:r w:rsidR="004379AD" w:rsidRPr="00620AEA">
        <w:rPr>
          <w:sz w:val="22"/>
          <w:szCs w:val="22"/>
        </w:rPr>
        <w:t>1</w:t>
      </w:r>
      <w:r w:rsidR="006B7388" w:rsidRPr="00620AEA">
        <w:rPr>
          <w:sz w:val="22"/>
          <w:szCs w:val="22"/>
        </w:rPr>
        <w:t>3</w:t>
      </w:r>
      <w:r w:rsidRPr="00620AEA">
        <w:rPr>
          <w:sz w:val="22"/>
          <w:szCs w:val="22"/>
        </w:rPr>
        <w:t xml:space="preserve"> pod číslem </w:t>
      </w:r>
      <w:r w:rsidR="004379AD" w:rsidRPr="00620AEA">
        <w:rPr>
          <w:sz w:val="22"/>
          <w:szCs w:val="22"/>
        </w:rPr>
        <w:t>1</w:t>
      </w:r>
      <w:r w:rsidR="006B7388" w:rsidRPr="00620AEA">
        <w:rPr>
          <w:sz w:val="22"/>
          <w:szCs w:val="22"/>
        </w:rPr>
        <w:t>3</w:t>
      </w:r>
      <w:r w:rsidRPr="00620AEA">
        <w:rPr>
          <w:sz w:val="22"/>
          <w:szCs w:val="22"/>
        </w:rPr>
        <w:t>/</w:t>
      </w:r>
      <w:r w:rsidR="009C3A28" w:rsidRPr="00620AEA">
        <w:rPr>
          <w:sz w:val="22"/>
          <w:szCs w:val="22"/>
        </w:rPr>
        <w:t>1</w:t>
      </w:r>
      <w:r w:rsidR="006B7388" w:rsidRPr="00620AEA">
        <w:rPr>
          <w:sz w:val="22"/>
          <w:szCs w:val="22"/>
        </w:rPr>
        <w:t>4</w:t>
      </w:r>
      <w:r w:rsidRPr="00620AEA">
        <w:rPr>
          <w:sz w:val="22"/>
          <w:szCs w:val="22"/>
        </w:rPr>
        <w:t xml:space="preserve">. Kontrolní akci řídil a kontrolní závěr vypracoval člen NKÚ Ing. </w:t>
      </w:r>
      <w:r w:rsidR="009C3A28" w:rsidRPr="00620AEA">
        <w:rPr>
          <w:sz w:val="22"/>
          <w:szCs w:val="22"/>
        </w:rPr>
        <w:t>Karel Sehoř</w:t>
      </w:r>
      <w:r w:rsidR="00E37D2A" w:rsidRPr="00620AEA">
        <w:rPr>
          <w:sz w:val="22"/>
          <w:szCs w:val="22"/>
        </w:rPr>
        <w:t>.</w:t>
      </w:r>
    </w:p>
    <w:p w:rsidR="00620AEA" w:rsidRPr="00620AEA" w:rsidRDefault="00620AEA" w:rsidP="00620AEA">
      <w:pPr>
        <w:jc w:val="both"/>
        <w:rPr>
          <w:sz w:val="22"/>
          <w:szCs w:val="22"/>
        </w:rPr>
      </w:pPr>
    </w:p>
    <w:p w:rsidR="00292459" w:rsidRDefault="00E47DAC" w:rsidP="00620AEA">
      <w:pPr>
        <w:jc w:val="both"/>
        <w:rPr>
          <w:sz w:val="22"/>
          <w:szCs w:val="22"/>
        </w:rPr>
      </w:pPr>
      <w:r w:rsidRPr="00620AEA">
        <w:rPr>
          <w:sz w:val="22"/>
          <w:szCs w:val="22"/>
        </w:rPr>
        <w:t>Cílem kontroly bylo prověřit</w:t>
      </w:r>
      <w:r w:rsidR="00DD1F0E" w:rsidRPr="00620AEA">
        <w:rPr>
          <w:sz w:val="22"/>
          <w:szCs w:val="22"/>
        </w:rPr>
        <w:t xml:space="preserve"> poskytování, čerpání a užití </w:t>
      </w:r>
      <w:r w:rsidR="00DF7DCC" w:rsidRPr="00620AEA">
        <w:rPr>
          <w:sz w:val="22"/>
          <w:szCs w:val="22"/>
        </w:rPr>
        <w:t>peněžních</w:t>
      </w:r>
      <w:r w:rsidR="00DD1F0E" w:rsidRPr="00620AEA">
        <w:rPr>
          <w:sz w:val="22"/>
          <w:szCs w:val="22"/>
        </w:rPr>
        <w:t xml:space="preserve"> prostředků určených na </w:t>
      </w:r>
      <w:r w:rsidR="00164335" w:rsidRPr="00620AEA">
        <w:rPr>
          <w:sz w:val="22"/>
          <w:szCs w:val="22"/>
        </w:rPr>
        <w:t>modernizaci železniční</w:t>
      </w:r>
      <w:r w:rsidR="006B7388" w:rsidRPr="00620AEA">
        <w:rPr>
          <w:sz w:val="22"/>
          <w:szCs w:val="22"/>
        </w:rPr>
        <w:t xml:space="preserve"> sítě</w:t>
      </w:r>
      <w:r w:rsidR="00945311" w:rsidRPr="00620AEA">
        <w:rPr>
          <w:sz w:val="22"/>
          <w:szCs w:val="22"/>
        </w:rPr>
        <w:t xml:space="preserve"> mimo TEN-T</w:t>
      </w:r>
      <w:r w:rsidR="00EC3642" w:rsidRPr="00620AEA">
        <w:rPr>
          <w:rStyle w:val="Znakapoznpodarou"/>
          <w:rFonts w:cs="Arial"/>
          <w:sz w:val="22"/>
          <w:szCs w:val="22"/>
        </w:rPr>
        <w:footnoteReference w:id="1"/>
      </w:r>
      <w:r w:rsidR="00E414E2" w:rsidRPr="00620AEA">
        <w:rPr>
          <w:sz w:val="22"/>
          <w:szCs w:val="22"/>
        </w:rPr>
        <w:t>.</w:t>
      </w:r>
    </w:p>
    <w:p w:rsidR="00620AEA" w:rsidRPr="00620AEA" w:rsidRDefault="00620AEA" w:rsidP="00620AEA">
      <w:pPr>
        <w:jc w:val="both"/>
        <w:rPr>
          <w:sz w:val="22"/>
          <w:szCs w:val="22"/>
        </w:rPr>
      </w:pPr>
    </w:p>
    <w:p w:rsidR="009C3A28" w:rsidRDefault="009C3A28" w:rsidP="00620AEA">
      <w:pPr>
        <w:jc w:val="both"/>
        <w:rPr>
          <w:sz w:val="22"/>
          <w:szCs w:val="22"/>
        </w:rPr>
      </w:pPr>
      <w:r w:rsidRPr="00620AEA">
        <w:rPr>
          <w:sz w:val="22"/>
          <w:szCs w:val="22"/>
        </w:rPr>
        <w:t xml:space="preserve">Kontrola byla prováděna </w:t>
      </w:r>
      <w:r w:rsidR="007F7A8C" w:rsidRPr="00620AEA">
        <w:rPr>
          <w:sz w:val="22"/>
          <w:szCs w:val="22"/>
        </w:rPr>
        <w:t>v </w:t>
      </w:r>
      <w:r w:rsidRPr="00620AEA">
        <w:rPr>
          <w:sz w:val="22"/>
          <w:szCs w:val="22"/>
        </w:rPr>
        <w:t xml:space="preserve">době od </w:t>
      </w:r>
      <w:r w:rsidR="00164335" w:rsidRPr="00620AEA">
        <w:rPr>
          <w:sz w:val="22"/>
          <w:szCs w:val="22"/>
        </w:rPr>
        <w:t>března 201</w:t>
      </w:r>
      <w:r w:rsidR="006B7388" w:rsidRPr="00620AEA">
        <w:rPr>
          <w:sz w:val="22"/>
          <w:szCs w:val="22"/>
        </w:rPr>
        <w:t>3</w:t>
      </w:r>
      <w:r w:rsidRPr="00620AEA">
        <w:rPr>
          <w:sz w:val="22"/>
          <w:szCs w:val="22"/>
        </w:rPr>
        <w:t xml:space="preserve"> do </w:t>
      </w:r>
      <w:r w:rsidR="006B7388" w:rsidRPr="00620AEA">
        <w:rPr>
          <w:sz w:val="22"/>
          <w:szCs w:val="22"/>
        </w:rPr>
        <w:t>října</w:t>
      </w:r>
      <w:r w:rsidR="00C96BDC" w:rsidRPr="00620AEA">
        <w:rPr>
          <w:sz w:val="22"/>
          <w:szCs w:val="22"/>
        </w:rPr>
        <w:t xml:space="preserve"> </w:t>
      </w:r>
      <w:r w:rsidRPr="00620AEA">
        <w:rPr>
          <w:sz w:val="22"/>
          <w:szCs w:val="22"/>
        </w:rPr>
        <w:t>201</w:t>
      </w:r>
      <w:r w:rsidR="006B7388" w:rsidRPr="00620AEA">
        <w:rPr>
          <w:sz w:val="22"/>
          <w:szCs w:val="22"/>
        </w:rPr>
        <w:t>3</w:t>
      </w:r>
      <w:r w:rsidRPr="00620AEA">
        <w:rPr>
          <w:sz w:val="22"/>
          <w:szCs w:val="22"/>
        </w:rPr>
        <w:t>.</w:t>
      </w:r>
    </w:p>
    <w:p w:rsidR="00620AEA" w:rsidRPr="00620AEA" w:rsidRDefault="00620AEA" w:rsidP="00620AEA">
      <w:pPr>
        <w:jc w:val="both"/>
        <w:rPr>
          <w:sz w:val="22"/>
          <w:szCs w:val="22"/>
        </w:rPr>
      </w:pPr>
    </w:p>
    <w:p w:rsidR="009C3A28" w:rsidRDefault="009C3A28" w:rsidP="00620AEA">
      <w:pPr>
        <w:jc w:val="both"/>
        <w:rPr>
          <w:sz w:val="22"/>
          <w:szCs w:val="22"/>
        </w:rPr>
      </w:pPr>
      <w:r w:rsidRPr="00620AEA">
        <w:rPr>
          <w:sz w:val="22"/>
          <w:szCs w:val="22"/>
        </w:rPr>
        <w:t>Kontrolovaným obdobím bylo období od roku 200</w:t>
      </w:r>
      <w:r w:rsidR="00164335" w:rsidRPr="00620AEA">
        <w:rPr>
          <w:sz w:val="22"/>
          <w:szCs w:val="22"/>
        </w:rPr>
        <w:t>9</w:t>
      </w:r>
      <w:r w:rsidRPr="00620AEA">
        <w:rPr>
          <w:sz w:val="22"/>
          <w:szCs w:val="22"/>
        </w:rPr>
        <w:t xml:space="preserve"> do doby </w:t>
      </w:r>
      <w:r w:rsidR="0005531F" w:rsidRPr="00620AEA">
        <w:rPr>
          <w:sz w:val="22"/>
          <w:szCs w:val="22"/>
        </w:rPr>
        <w:t xml:space="preserve">ukončení </w:t>
      </w:r>
      <w:r w:rsidRPr="00620AEA">
        <w:rPr>
          <w:sz w:val="22"/>
          <w:szCs w:val="22"/>
        </w:rPr>
        <w:t xml:space="preserve">kontroly, </w:t>
      </w:r>
      <w:r w:rsidR="007F7A8C" w:rsidRPr="00620AEA">
        <w:rPr>
          <w:sz w:val="22"/>
          <w:szCs w:val="22"/>
        </w:rPr>
        <w:t>v </w:t>
      </w:r>
      <w:r w:rsidRPr="00620AEA">
        <w:rPr>
          <w:sz w:val="22"/>
          <w:szCs w:val="22"/>
        </w:rPr>
        <w:t>případě věcných souvislostí i období předchozí.</w:t>
      </w:r>
    </w:p>
    <w:p w:rsidR="00620AEA" w:rsidRPr="00620AEA" w:rsidRDefault="00620AEA" w:rsidP="00620AEA">
      <w:pPr>
        <w:jc w:val="both"/>
        <w:rPr>
          <w:sz w:val="22"/>
          <w:szCs w:val="22"/>
        </w:rPr>
      </w:pPr>
    </w:p>
    <w:p w:rsidR="00686E48" w:rsidRPr="00620AEA" w:rsidRDefault="00686E48" w:rsidP="00620AEA">
      <w:pPr>
        <w:jc w:val="both"/>
        <w:rPr>
          <w:sz w:val="22"/>
          <w:szCs w:val="22"/>
        </w:rPr>
      </w:pPr>
      <w:r w:rsidRPr="00620AEA">
        <w:rPr>
          <w:sz w:val="22"/>
          <w:szCs w:val="22"/>
        </w:rPr>
        <w:t>Kontrolované osoby:</w:t>
      </w:r>
    </w:p>
    <w:p w:rsidR="00777806" w:rsidRPr="00620AEA" w:rsidRDefault="00686E48" w:rsidP="00620AEA">
      <w:pPr>
        <w:jc w:val="both"/>
        <w:rPr>
          <w:sz w:val="22"/>
          <w:szCs w:val="22"/>
        </w:rPr>
      </w:pPr>
      <w:r w:rsidRPr="00620AEA">
        <w:rPr>
          <w:sz w:val="22"/>
          <w:szCs w:val="22"/>
        </w:rPr>
        <w:t xml:space="preserve">Ministerstvo dopravy (dále </w:t>
      </w:r>
      <w:r w:rsidR="00E35BEF" w:rsidRPr="00620AEA">
        <w:rPr>
          <w:sz w:val="22"/>
          <w:szCs w:val="22"/>
        </w:rPr>
        <w:t>také</w:t>
      </w:r>
      <w:r w:rsidRPr="00620AEA">
        <w:rPr>
          <w:sz w:val="22"/>
          <w:szCs w:val="22"/>
        </w:rPr>
        <w:t xml:space="preserve"> „</w:t>
      </w:r>
      <w:r w:rsidR="00BD3F2E" w:rsidRPr="00620AEA">
        <w:rPr>
          <w:sz w:val="22"/>
          <w:szCs w:val="22"/>
        </w:rPr>
        <w:t>MD“)</w:t>
      </w:r>
      <w:r w:rsidR="00CA3746" w:rsidRPr="00620AEA">
        <w:rPr>
          <w:sz w:val="22"/>
          <w:szCs w:val="22"/>
        </w:rPr>
        <w:t>;</w:t>
      </w:r>
      <w:r w:rsidR="00BD3F2E" w:rsidRPr="00620AEA">
        <w:rPr>
          <w:sz w:val="22"/>
          <w:szCs w:val="22"/>
        </w:rPr>
        <w:t xml:space="preserve"> </w:t>
      </w:r>
      <w:r w:rsidRPr="00620AEA">
        <w:rPr>
          <w:sz w:val="22"/>
          <w:szCs w:val="22"/>
        </w:rPr>
        <w:t>Státní fond dopravní infrastruktury</w:t>
      </w:r>
      <w:r w:rsidR="00945311" w:rsidRPr="00620AEA">
        <w:rPr>
          <w:sz w:val="22"/>
          <w:szCs w:val="22"/>
        </w:rPr>
        <w:t>, Praha</w:t>
      </w:r>
      <w:r w:rsidRPr="00620AEA">
        <w:rPr>
          <w:sz w:val="22"/>
          <w:szCs w:val="22"/>
        </w:rPr>
        <w:t xml:space="preserve"> (dále </w:t>
      </w:r>
      <w:r w:rsidR="00E35BEF" w:rsidRPr="00620AEA">
        <w:rPr>
          <w:sz w:val="22"/>
          <w:szCs w:val="22"/>
        </w:rPr>
        <w:t>také</w:t>
      </w:r>
      <w:r w:rsidRPr="00620AEA">
        <w:rPr>
          <w:sz w:val="22"/>
          <w:szCs w:val="22"/>
        </w:rPr>
        <w:t xml:space="preserve"> „</w:t>
      </w:r>
      <w:r w:rsidR="00BD3F2E" w:rsidRPr="00620AEA">
        <w:rPr>
          <w:sz w:val="22"/>
          <w:szCs w:val="22"/>
        </w:rPr>
        <w:t>SFDI“)</w:t>
      </w:r>
      <w:r w:rsidR="00CA3746" w:rsidRPr="00620AEA">
        <w:rPr>
          <w:sz w:val="22"/>
          <w:szCs w:val="22"/>
        </w:rPr>
        <w:t>;</w:t>
      </w:r>
      <w:r w:rsidR="00BD3F2E" w:rsidRPr="00620AEA">
        <w:rPr>
          <w:sz w:val="22"/>
          <w:szCs w:val="22"/>
        </w:rPr>
        <w:t xml:space="preserve"> </w:t>
      </w:r>
      <w:r w:rsidR="002302F3" w:rsidRPr="00620AEA">
        <w:rPr>
          <w:sz w:val="22"/>
          <w:szCs w:val="22"/>
        </w:rPr>
        <w:t>Správa železniční dopravní cesty, státní organizace</w:t>
      </w:r>
      <w:r w:rsidR="00945311" w:rsidRPr="00620AEA">
        <w:rPr>
          <w:sz w:val="22"/>
          <w:szCs w:val="22"/>
        </w:rPr>
        <w:t>, Praha</w:t>
      </w:r>
      <w:r w:rsidR="002302F3" w:rsidRPr="00620AEA">
        <w:rPr>
          <w:sz w:val="22"/>
          <w:szCs w:val="22"/>
        </w:rPr>
        <w:t xml:space="preserve"> (dále také „SŽDC“).</w:t>
      </w:r>
    </w:p>
    <w:p w:rsidR="00620AEA" w:rsidRDefault="00620AEA" w:rsidP="00620AEA">
      <w:pPr>
        <w:jc w:val="both"/>
        <w:rPr>
          <w:sz w:val="22"/>
          <w:szCs w:val="22"/>
        </w:rPr>
      </w:pPr>
    </w:p>
    <w:p w:rsidR="009C3A28" w:rsidRPr="00620AEA" w:rsidRDefault="009C3A28" w:rsidP="00620AEA">
      <w:pPr>
        <w:jc w:val="both"/>
        <w:rPr>
          <w:sz w:val="22"/>
          <w:szCs w:val="22"/>
        </w:rPr>
      </w:pPr>
      <w:r w:rsidRPr="00620AEA">
        <w:rPr>
          <w:sz w:val="22"/>
          <w:szCs w:val="22"/>
        </w:rPr>
        <w:t>Námitky proti kontrolnímu protokolu, které podal</w:t>
      </w:r>
      <w:r w:rsidR="00164335" w:rsidRPr="00620AEA">
        <w:rPr>
          <w:sz w:val="22"/>
          <w:szCs w:val="22"/>
        </w:rPr>
        <w:t xml:space="preserve"> </w:t>
      </w:r>
      <w:r w:rsidR="00686E48" w:rsidRPr="00620AEA">
        <w:rPr>
          <w:sz w:val="22"/>
          <w:szCs w:val="22"/>
        </w:rPr>
        <w:t>SFDI</w:t>
      </w:r>
      <w:r w:rsidR="000902DE" w:rsidRPr="00620AEA">
        <w:rPr>
          <w:sz w:val="22"/>
          <w:szCs w:val="22"/>
        </w:rPr>
        <w:t>,</w:t>
      </w:r>
      <w:r w:rsidR="00164335" w:rsidRPr="00620AEA">
        <w:rPr>
          <w:sz w:val="22"/>
          <w:szCs w:val="22"/>
        </w:rPr>
        <w:t xml:space="preserve"> </w:t>
      </w:r>
      <w:r w:rsidRPr="00620AEA">
        <w:rPr>
          <w:sz w:val="22"/>
          <w:szCs w:val="22"/>
        </w:rPr>
        <w:t>byly vypořádány vedoucím skupin</w:t>
      </w:r>
      <w:r w:rsidR="000902DE" w:rsidRPr="00620AEA">
        <w:rPr>
          <w:sz w:val="22"/>
          <w:szCs w:val="22"/>
        </w:rPr>
        <w:t>y</w:t>
      </w:r>
      <w:r w:rsidRPr="00620AEA">
        <w:rPr>
          <w:sz w:val="22"/>
          <w:szCs w:val="22"/>
        </w:rPr>
        <w:t xml:space="preserve"> kontrolujících rozhodnutím o námitkách.</w:t>
      </w:r>
    </w:p>
    <w:p w:rsidR="003F75C8" w:rsidRPr="00620AEA" w:rsidRDefault="003F75C8" w:rsidP="00620AEA">
      <w:pPr>
        <w:jc w:val="both"/>
        <w:rPr>
          <w:sz w:val="22"/>
          <w:szCs w:val="22"/>
        </w:rPr>
      </w:pPr>
    </w:p>
    <w:p w:rsidR="00EA0FC6" w:rsidRPr="00620AEA" w:rsidRDefault="00EA0FC6" w:rsidP="00620AEA">
      <w:pPr>
        <w:jc w:val="both"/>
        <w:rPr>
          <w:sz w:val="22"/>
          <w:szCs w:val="22"/>
        </w:rPr>
      </w:pPr>
      <w:r w:rsidRPr="00620AEA">
        <w:rPr>
          <w:b/>
          <w:bCs/>
          <w:i/>
          <w:iCs/>
          <w:sz w:val="22"/>
          <w:szCs w:val="22"/>
        </w:rPr>
        <w:t>K o l e g i u m</w:t>
      </w:r>
      <w:r w:rsidRPr="00620AEA">
        <w:rPr>
          <w:b/>
          <w:sz w:val="22"/>
          <w:szCs w:val="22"/>
        </w:rPr>
        <w:t xml:space="preserve">   </w:t>
      </w:r>
      <w:r w:rsidRPr="00620AEA">
        <w:rPr>
          <w:b/>
          <w:bCs/>
          <w:i/>
          <w:iCs/>
          <w:sz w:val="22"/>
          <w:szCs w:val="22"/>
        </w:rPr>
        <w:t>N K Ú</w:t>
      </w:r>
      <w:r w:rsidRPr="00620AEA">
        <w:rPr>
          <w:bCs/>
          <w:i/>
          <w:iCs/>
          <w:sz w:val="22"/>
          <w:szCs w:val="22"/>
        </w:rPr>
        <w:t xml:space="preserve">  </w:t>
      </w:r>
      <w:r w:rsidRPr="00620AEA">
        <w:rPr>
          <w:bCs/>
          <w:iCs/>
          <w:sz w:val="22"/>
          <w:szCs w:val="22"/>
        </w:rPr>
        <w:t xml:space="preserve"> </w:t>
      </w:r>
      <w:r w:rsidRPr="00620AEA">
        <w:rPr>
          <w:sz w:val="22"/>
          <w:szCs w:val="22"/>
        </w:rPr>
        <w:t xml:space="preserve">na svém </w:t>
      </w:r>
      <w:r w:rsidR="00285221" w:rsidRPr="00620AEA">
        <w:rPr>
          <w:sz w:val="22"/>
          <w:szCs w:val="22"/>
        </w:rPr>
        <w:t>XXI</w:t>
      </w:r>
      <w:r w:rsidRPr="00620AEA">
        <w:rPr>
          <w:sz w:val="22"/>
          <w:szCs w:val="22"/>
        </w:rPr>
        <w:t xml:space="preserve">. zasedání, konaném dne </w:t>
      </w:r>
      <w:r w:rsidR="00285221" w:rsidRPr="00620AEA">
        <w:rPr>
          <w:sz w:val="22"/>
          <w:szCs w:val="22"/>
        </w:rPr>
        <w:t>16. prosince</w:t>
      </w:r>
      <w:r w:rsidRPr="00620AEA">
        <w:rPr>
          <w:sz w:val="22"/>
          <w:szCs w:val="22"/>
        </w:rPr>
        <w:t xml:space="preserve"> 2013,</w:t>
      </w:r>
    </w:p>
    <w:p w:rsidR="00EA0FC6" w:rsidRPr="00620AEA" w:rsidRDefault="00EA0FC6" w:rsidP="00620AEA">
      <w:pPr>
        <w:jc w:val="both"/>
        <w:rPr>
          <w:sz w:val="22"/>
          <w:szCs w:val="22"/>
        </w:rPr>
      </w:pPr>
      <w:r w:rsidRPr="00620AEA">
        <w:rPr>
          <w:b/>
          <w:bCs/>
          <w:i/>
          <w:iCs/>
          <w:sz w:val="22"/>
          <w:szCs w:val="22"/>
        </w:rPr>
        <w:t>s c h v á l i l o</w:t>
      </w:r>
      <w:r w:rsidRPr="00620AEA">
        <w:rPr>
          <w:sz w:val="22"/>
          <w:szCs w:val="22"/>
        </w:rPr>
        <w:t xml:space="preserve">   usnesením č. </w:t>
      </w:r>
      <w:r w:rsidR="00D9655A" w:rsidRPr="00620AEA">
        <w:rPr>
          <w:sz w:val="22"/>
          <w:szCs w:val="22"/>
        </w:rPr>
        <w:t>6</w:t>
      </w:r>
      <w:r w:rsidR="00534D2A" w:rsidRPr="00620AEA">
        <w:rPr>
          <w:sz w:val="22"/>
          <w:szCs w:val="22"/>
        </w:rPr>
        <w:t>/</w:t>
      </w:r>
      <w:r w:rsidR="00285221" w:rsidRPr="00620AEA">
        <w:rPr>
          <w:sz w:val="22"/>
          <w:szCs w:val="22"/>
        </w:rPr>
        <w:t>XXI</w:t>
      </w:r>
      <w:r w:rsidR="00534D2A" w:rsidRPr="00620AEA">
        <w:rPr>
          <w:sz w:val="22"/>
          <w:szCs w:val="22"/>
        </w:rPr>
        <w:t>/2013</w:t>
      </w:r>
    </w:p>
    <w:p w:rsidR="00E47DAC" w:rsidRPr="00620AEA" w:rsidRDefault="00A427F9" w:rsidP="00620AEA">
      <w:pPr>
        <w:jc w:val="both"/>
        <w:rPr>
          <w:sz w:val="22"/>
          <w:szCs w:val="22"/>
        </w:rPr>
      </w:pPr>
      <w:r w:rsidRPr="00C22CD7">
        <w:rPr>
          <w:b/>
          <w:bCs/>
          <w:i/>
          <w:iCs/>
          <w:sz w:val="22"/>
          <w:szCs w:val="22"/>
        </w:rPr>
        <w:t>k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o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n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t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r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o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l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n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í</w:t>
      </w:r>
      <w:r w:rsidR="00C22CD7">
        <w:rPr>
          <w:b/>
          <w:bCs/>
          <w:i/>
          <w:iCs/>
          <w:sz w:val="22"/>
          <w:szCs w:val="22"/>
        </w:rPr>
        <w:t xml:space="preserve">  </w:t>
      </w:r>
      <w:r w:rsidRPr="00C22CD7">
        <w:rPr>
          <w:b/>
          <w:bCs/>
          <w:i/>
          <w:iCs/>
          <w:sz w:val="22"/>
          <w:szCs w:val="22"/>
        </w:rPr>
        <w:t xml:space="preserve"> z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á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v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ě</w:t>
      </w:r>
      <w:r w:rsidR="00C22CD7">
        <w:rPr>
          <w:b/>
          <w:bCs/>
          <w:i/>
          <w:iCs/>
          <w:sz w:val="22"/>
          <w:szCs w:val="22"/>
        </w:rPr>
        <w:t xml:space="preserve"> </w:t>
      </w:r>
      <w:r w:rsidRPr="00C22CD7">
        <w:rPr>
          <w:b/>
          <w:bCs/>
          <w:i/>
          <w:iCs/>
          <w:sz w:val="22"/>
          <w:szCs w:val="22"/>
        </w:rPr>
        <w:t>r</w:t>
      </w:r>
      <w:r w:rsidR="00E47DAC" w:rsidRPr="00620AEA">
        <w:rPr>
          <w:sz w:val="22"/>
          <w:szCs w:val="22"/>
        </w:rPr>
        <w:t xml:space="preserve"> </w:t>
      </w:r>
      <w:r w:rsidR="00A46921" w:rsidRPr="00620AEA">
        <w:rPr>
          <w:sz w:val="22"/>
          <w:szCs w:val="22"/>
        </w:rPr>
        <w:t xml:space="preserve"> </w:t>
      </w:r>
      <w:r w:rsidR="00EA0FC6" w:rsidRPr="00620AEA">
        <w:rPr>
          <w:sz w:val="22"/>
          <w:szCs w:val="22"/>
        </w:rPr>
        <w:t xml:space="preserve"> </w:t>
      </w:r>
      <w:r w:rsidR="0013397D" w:rsidRPr="00620AEA">
        <w:rPr>
          <w:sz w:val="22"/>
          <w:szCs w:val="22"/>
        </w:rPr>
        <w:t>v</w:t>
      </w:r>
      <w:r w:rsidR="00E626D9" w:rsidRPr="00620AEA">
        <w:rPr>
          <w:sz w:val="22"/>
          <w:szCs w:val="22"/>
        </w:rPr>
        <w:t xml:space="preserve"> </w:t>
      </w:r>
      <w:r w:rsidR="00E47DAC" w:rsidRPr="00620AEA">
        <w:rPr>
          <w:sz w:val="22"/>
          <w:szCs w:val="22"/>
        </w:rPr>
        <w:t>tomto znění:</w:t>
      </w:r>
    </w:p>
    <w:p w:rsidR="00953AB0" w:rsidRDefault="00953AB0" w:rsidP="00620AEA">
      <w:pPr>
        <w:jc w:val="both"/>
        <w:rPr>
          <w:sz w:val="22"/>
          <w:szCs w:val="22"/>
        </w:rPr>
      </w:pPr>
    </w:p>
    <w:p w:rsidR="00620AEA" w:rsidRPr="00620AEA" w:rsidRDefault="00620AEA" w:rsidP="00620AEA">
      <w:pPr>
        <w:jc w:val="both"/>
        <w:rPr>
          <w:sz w:val="22"/>
          <w:szCs w:val="22"/>
        </w:rPr>
      </w:pPr>
    </w:p>
    <w:p w:rsidR="00E47DAC" w:rsidRPr="00620AEA" w:rsidRDefault="00C22CD7" w:rsidP="00620AEA">
      <w:pPr>
        <w:jc w:val="center"/>
        <w:rPr>
          <w:b/>
        </w:rPr>
      </w:pPr>
      <w:r>
        <w:rPr>
          <w:b/>
        </w:rPr>
        <w:t xml:space="preserve">I. </w:t>
      </w:r>
      <w:r w:rsidR="00F11CB2" w:rsidRPr="00620AEA">
        <w:rPr>
          <w:b/>
        </w:rPr>
        <w:t>Ú</w:t>
      </w:r>
      <w:r w:rsidR="00E47DAC" w:rsidRPr="00620AEA">
        <w:rPr>
          <w:b/>
        </w:rPr>
        <w:t>vod</w:t>
      </w:r>
      <w:r w:rsidR="00F11CB2" w:rsidRPr="00620AEA">
        <w:rPr>
          <w:b/>
        </w:rPr>
        <w:t xml:space="preserve"> do problematiky</w:t>
      </w:r>
      <w:r w:rsidR="005779A8" w:rsidRPr="00620AEA">
        <w:rPr>
          <w:b/>
        </w:rPr>
        <w:t xml:space="preserve"> a vymezení pojmů</w:t>
      </w:r>
    </w:p>
    <w:p w:rsidR="00F938D4" w:rsidRPr="00620AEA" w:rsidRDefault="00F938D4" w:rsidP="00620AEA">
      <w:pPr>
        <w:jc w:val="both"/>
        <w:rPr>
          <w:sz w:val="22"/>
          <w:szCs w:val="22"/>
        </w:rPr>
      </w:pPr>
    </w:p>
    <w:p w:rsidR="007645C4" w:rsidRDefault="00254B04" w:rsidP="00620AEA">
      <w:pPr>
        <w:jc w:val="both"/>
        <w:rPr>
          <w:rFonts w:cs="Arial"/>
          <w:sz w:val="22"/>
          <w:szCs w:val="22"/>
        </w:rPr>
      </w:pPr>
      <w:r w:rsidRPr="00620AEA">
        <w:rPr>
          <w:rFonts w:cs="Arial"/>
          <w:b/>
          <w:sz w:val="22"/>
          <w:szCs w:val="22"/>
        </w:rPr>
        <w:t>MD</w:t>
      </w:r>
      <w:r w:rsidRPr="00620AEA">
        <w:rPr>
          <w:rFonts w:cs="Arial"/>
          <w:sz w:val="22"/>
          <w:szCs w:val="22"/>
        </w:rPr>
        <w:t xml:space="preserve"> </w:t>
      </w:r>
      <w:r w:rsidRPr="00620AEA">
        <w:rPr>
          <w:rFonts w:cs="Arial"/>
          <w:iCs/>
          <w:sz w:val="22"/>
          <w:szCs w:val="22"/>
        </w:rPr>
        <w:t xml:space="preserve">je ústředním orgánem státní správy ve věcech dopravy. </w:t>
      </w:r>
      <w:r w:rsidR="00E4168B" w:rsidRPr="00620AEA">
        <w:rPr>
          <w:rFonts w:cs="Arial"/>
          <w:sz w:val="22"/>
          <w:szCs w:val="22"/>
        </w:rPr>
        <w:t>Zodpovídá za tvorbu státní politiky v oblasti dopravy a v rozsahu své působnosti za její uskutečňování</w:t>
      </w:r>
      <w:r w:rsidR="00E4168B" w:rsidRPr="00620AEA">
        <w:rPr>
          <w:rStyle w:val="Znakapoznpodarou"/>
          <w:rFonts w:cs="Arial"/>
          <w:sz w:val="22"/>
          <w:szCs w:val="22"/>
        </w:rPr>
        <w:footnoteReference w:id="2"/>
      </w:r>
      <w:r w:rsidR="00E4168B" w:rsidRPr="00620AEA">
        <w:rPr>
          <w:rFonts w:cs="Arial"/>
          <w:sz w:val="22"/>
          <w:szCs w:val="22"/>
        </w:rPr>
        <w:t xml:space="preserve">. Zodpovídá tedy </w:t>
      </w:r>
      <w:r w:rsidR="00E4168B" w:rsidRPr="00620AEA">
        <w:rPr>
          <w:rFonts w:cs="Arial"/>
          <w:iCs/>
          <w:sz w:val="22"/>
          <w:szCs w:val="22"/>
        </w:rPr>
        <w:t>mj. za rozvoj dopravních sítí v České republice a do</w:t>
      </w:r>
      <w:r w:rsidRPr="00620AEA">
        <w:rPr>
          <w:rFonts w:cs="Arial"/>
          <w:iCs/>
          <w:sz w:val="22"/>
          <w:szCs w:val="22"/>
        </w:rPr>
        <w:t xml:space="preserve"> jeho působnosti spadá </w:t>
      </w:r>
      <w:r w:rsidR="00C91705" w:rsidRPr="00620AEA">
        <w:rPr>
          <w:rFonts w:cs="Arial"/>
          <w:iCs/>
          <w:sz w:val="22"/>
          <w:szCs w:val="22"/>
        </w:rPr>
        <w:t>i</w:t>
      </w:r>
      <w:r w:rsidRPr="00620AEA">
        <w:rPr>
          <w:rFonts w:cs="Arial"/>
          <w:iCs/>
          <w:sz w:val="22"/>
          <w:szCs w:val="22"/>
        </w:rPr>
        <w:t xml:space="preserve"> problematika </w:t>
      </w:r>
      <w:r w:rsidRPr="00620AEA">
        <w:rPr>
          <w:rFonts w:cs="Arial"/>
          <w:sz w:val="22"/>
          <w:szCs w:val="22"/>
        </w:rPr>
        <w:t>výstavby, obnovy a modernizace železničních tratí.</w:t>
      </w:r>
      <w:r w:rsidR="007645C4" w:rsidRPr="00620AEA">
        <w:rPr>
          <w:rFonts w:cs="Arial"/>
          <w:sz w:val="22"/>
          <w:szCs w:val="22"/>
        </w:rPr>
        <w:t xml:space="preserve"> Je </w:t>
      </w:r>
      <w:r w:rsidR="00A86BC6">
        <w:rPr>
          <w:rFonts w:cs="Arial"/>
          <w:sz w:val="22"/>
          <w:szCs w:val="22"/>
        </w:rPr>
        <w:t>ř</w:t>
      </w:r>
      <w:r w:rsidR="0055597A" w:rsidRPr="00620AEA">
        <w:rPr>
          <w:rFonts w:cs="Arial"/>
          <w:sz w:val="22"/>
          <w:szCs w:val="22"/>
        </w:rPr>
        <w:t xml:space="preserve">ídicím </w:t>
      </w:r>
      <w:r w:rsidR="007645C4" w:rsidRPr="00620AEA">
        <w:rPr>
          <w:rFonts w:cs="Arial"/>
          <w:sz w:val="22"/>
          <w:szCs w:val="22"/>
        </w:rPr>
        <w:t xml:space="preserve">orgánem </w:t>
      </w:r>
      <w:r w:rsidR="00A86BC6">
        <w:rPr>
          <w:rFonts w:cs="Arial"/>
          <w:sz w:val="22"/>
          <w:szCs w:val="22"/>
        </w:rPr>
        <w:t>o</w:t>
      </w:r>
      <w:r w:rsidR="007645C4" w:rsidRPr="00620AEA">
        <w:rPr>
          <w:rFonts w:cs="Arial"/>
          <w:sz w:val="22"/>
          <w:szCs w:val="22"/>
        </w:rPr>
        <w:t xml:space="preserve">peračního programu </w:t>
      </w:r>
      <w:r w:rsidR="007645C4" w:rsidRPr="0026697D">
        <w:rPr>
          <w:rFonts w:cs="Arial"/>
          <w:i/>
          <w:sz w:val="22"/>
          <w:szCs w:val="22"/>
        </w:rPr>
        <w:t>Doprava</w:t>
      </w:r>
      <w:r w:rsidR="007645C4" w:rsidRPr="00620AEA">
        <w:rPr>
          <w:rStyle w:val="Znakapoznpodarou"/>
          <w:rFonts w:cs="Arial"/>
          <w:sz w:val="22"/>
          <w:szCs w:val="22"/>
        </w:rPr>
        <w:footnoteReference w:id="3"/>
      </w:r>
      <w:r w:rsidR="00864B39" w:rsidRPr="00620AEA">
        <w:rPr>
          <w:rFonts w:cs="Arial"/>
          <w:sz w:val="22"/>
          <w:szCs w:val="22"/>
        </w:rPr>
        <w:t xml:space="preserve"> (dále také „OPD“)</w:t>
      </w:r>
      <w:r w:rsidR="007645C4" w:rsidRPr="00620AEA">
        <w:rPr>
          <w:rFonts w:cs="Arial"/>
          <w:sz w:val="22"/>
          <w:szCs w:val="22"/>
        </w:rPr>
        <w:t>.</w:t>
      </w:r>
    </w:p>
    <w:p w:rsidR="00620AEA" w:rsidRPr="00620AEA" w:rsidRDefault="00620AEA" w:rsidP="00620AEA">
      <w:pPr>
        <w:jc w:val="both"/>
        <w:rPr>
          <w:rFonts w:cs="Arial"/>
          <w:sz w:val="22"/>
          <w:szCs w:val="22"/>
        </w:rPr>
      </w:pPr>
    </w:p>
    <w:p w:rsidR="00CF1053" w:rsidRDefault="00CF1053" w:rsidP="00620AEA">
      <w:pPr>
        <w:jc w:val="both"/>
        <w:rPr>
          <w:rFonts w:cs="Arial"/>
          <w:sz w:val="22"/>
          <w:szCs w:val="22"/>
        </w:rPr>
      </w:pPr>
      <w:r w:rsidRPr="00620AEA">
        <w:rPr>
          <w:rFonts w:cs="Arial"/>
          <w:b/>
          <w:sz w:val="22"/>
          <w:szCs w:val="22"/>
        </w:rPr>
        <w:lastRenderedPageBreak/>
        <w:t>SFDI</w:t>
      </w:r>
      <w:r w:rsidRPr="00620AEA">
        <w:rPr>
          <w:rFonts w:cs="Arial"/>
          <w:sz w:val="22"/>
          <w:szCs w:val="22"/>
        </w:rPr>
        <w:t xml:space="preserve"> je právnickou osobou zřízenou zákonem č.</w:t>
      </w:r>
      <w:r w:rsidR="00A3050D" w:rsidRPr="00620AEA">
        <w:rPr>
          <w:rFonts w:cs="Arial"/>
          <w:sz w:val="22"/>
          <w:szCs w:val="22"/>
        </w:rPr>
        <w:t xml:space="preserve"> </w:t>
      </w:r>
      <w:r w:rsidRPr="00620AEA">
        <w:rPr>
          <w:rFonts w:cs="Arial"/>
          <w:sz w:val="22"/>
          <w:szCs w:val="22"/>
        </w:rPr>
        <w:t>104/2000 Sb</w:t>
      </w:r>
      <w:r w:rsidR="00AA3E2F" w:rsidRPr="00620AEA">
        <w:rPr>
          <w:rFonts w:cs="Arial"/>
          <w:sz w:val="22"/>
          <w:szCs w:val="22"/>
        </w:rPr>
        <w:t>.</w:t>
      </w:r>
      <w:r w:rsidR="00852A46" w:rsidRPr="00620AEA">
        <w:rPr>
          <w:rStyle w:val="Znakapoznpodarou"/>
          <w:rFonts w:cs="Arial"/>
          <w:sz w:val="22"/>
          <w:szCs w:val="22"/>
        </w:rPr>
        <w:footnoteReference w:id="4"/>
      </w:r>
      <w:r w:rsidRPr="00620AEA">
        <w:rPr>
          <w:rFonts w:cs="Arial"/>
          <w:sz w:val="22"/>
          <w:szCs w:val="22"/>
        </w:rPr>
        <w:t xml:space="preserve"> </w:t>
      </w:r>
      <w:r w:rsidR="00897E99" w:rsidRPr="00620AEA">
        <w:rPr>
          <w:rFonts w:cs="Arial"/>
          <w:sz w:val="22"/>
          <w:szCs w:val="22"/>
        </w:rPr>
        <w:t xml:space="preserve">Podle § 2 odst. 1 písm. </w:t>
      </w:r>
      <w:r w:rsidR="00254B04" w:rsidRPr="00620AEA">
        <w:rPr>
          <w:rFonts w:cs="Arial"/>
          <w:sz w:val="22"/>
          <w:szCs w:val="22"/>
        </w:rPr>
        <w:t>c</w:t>
      </w:r>
      <w:r w:rsidR="00897E99" w:rsidRPr="00620AEA">
        <w:rPr>
          <w:rFonts w:cs="Arial"/>
          <w:sz w:val="22"/>
          <w:szCs w:val="22"/>
        </w:rPr>
        <w:t xml:space="preserve">) </w:t>
      </w:r>
      <w:r w:rsidR="004D0443" w:rsidRPr="00620AEA">
        <w:rPr>
          <w:rFonts w:cs="Arial"/>
          <w:sz w:val="22"/>
          <w:szCs w:val="22"/>
        </w:rPr>
        <w:t xml:space="preserve">tohoto </w:t>
      </w:r>
      <w:r w:rsidR="00BD3F2E" w:rsidRPr="00620AEA">
        <w:rPr>
          <w:rFonts w:cs="Arial"/>
          <w:sz w:val="22"/>
          <w:szCs w:val="22"/>
        </w:rPr>
        <w:t xml:space="preserve">zákona </w:t>
      </w:r>
      <w:r w:rsidR="00897E99" w:rsidRPr="00620AEA">
        <w:rPr>
          <w:rFonts w:cs="Arial"/>
          <w:sz w:val="22"/>
          <w:szCs w:val="22"/>
        </w:rPr>
        <w:t xml:space="preserve">je </w:t>
      </w:r>
      <w:r w:rsidR="00CB1AE4" w:rsidRPr="00620AEA">
        <w:rPr>
          <w:rFonts w:cs="Arial"/>
          <w:sz w:val="22"/>
          <w:szCs w:val="22"/>
        </w:rPr>
        <w:t>jeho účelem</w:t>
      </w:r>
      <w:r w:rsidR="00897E99" w:rsidRPr="00620AEA">
        <w:rPr>
          <w:rFonts w:cs="Arial"/>
          <w:sz w:val="22"/>
          <w:szCs w:val="22"/>
        </w:rPr>
        <w:t xml:space="preserve"> </w:t>
      </w:r>
      <w:r w:rsidRPr="00620AEA">
        <w:rPr>
          <w:rFonts w:cs="Arial"/>
          <w:sz w:val="22"/>
          <w:szCs w:val="22"/>
        </w:rPr>
        <w:t xml:space="preserve">mj. </w:t>
      </w:r>
      <w:r w:rsidR="00897E99" w:rsidRPr="00620AEA">
        <w:rPr>
          <w:rFonts w:cs="Arial"/>
          <w:sz w:val="22"/>
          <w:szCs w:val="22"/>
        </w:rPr>
        <w:t>poskyto</w:t>
      </w:r>
      <w:r w:rsidRPr="00620AEA">
        <w:rPr>
          <w:rFonts w:cs="Arial"/>
          <w:sz w:val="22"/>
          <w:szCs w:val="22"/>
        </w:rPr>
        <w:t xml:space="preserve">vání </w:t>
      </w:r>
      <w:r w:rsidR="00897E99" w:rsidRPr="00620AEA">
        <w:rPr>
          <w:rFonts w:cs="Arial"/>
          <w:sz w:val="22"/>
          <w:szCs w:val="22"/>
        </w:rPr>
        <w:t xml:space="preserve">příspěvků na </w:t>
      </w:r>
      <w:r w:rsidR="00254B04" w:rsidRPr="00620AEA">
        <w:rPr>
          <w:rFonts w:cs="Arial"/>
          <w:sz w:val="22"/>
          <w:szCs w:val="22"/>
        </w:rPr>
        <w:t>financování výstavby, modernizace, oprav a údržby celostátních a regionálních drah.</w:t>
      </w:r>
      <w:r w:rsidR="007645C4" w:rsidRPr="00620AEA">
        <w:rPr>
          <w:rFonts w:cs="Arial"/>
          <w:sz w:val="22"/>
          <w:szCs w:val="22"/>
        </w:rPr>
        <w:t xml:space="preserve"> </w:t>
      </w:r>
      <w:r w:rsidR="00C8708B" w:rsidRPr="00620AEA">
        <w:rPr>
          <w:rFonts w:cs="Arial"/>
          <w:sz w:val="22"/>
          <w:szCs w:val="22"/>
        </w:rPr>
        <w:t xml:space="preserve">Na základě </w:t>
      </w:r>
      <w:r w:rsidR="00B1356A">
        <w:rPr>
          <w:rFonts w:cs="Arial"/>
          <w:sz w:val="22"/>
          <w:szCs w:val="22"/>
        </w:rPr>
        <w:t>d</w:t>
      </w:r>
      <w:r w:rsidR="005B519B" w:rsidRPr="00D958EF">
        <w:rPr>
          <w:rFonts w:cs="Arial"/>
          <w:sz w:val="22"/>
          <w:szCs w:val="22"/>
        </w:rPr>
        <w:t>ohody o </w:t>
      </w:r>
      <w:r w:rsidR="00C8708B" w:rsidRPr="00D958EF">
        <w:rPr>
          <w:rFonts w:cs="Arial"/>
          <w:sz w:val="22"/>
          <w:szCs w:val="22"/>
        </w:rPr>
        <w:t xml:space="preserve">delegování některých pravomocí a činností </w:t>
      </w:r>
      <w:r w:rsidR="00B1356A">
        <w:rPr>
          <w:rFonts w:cs="Arial"/>
          <w:sz w:val="22"/>
          <w:szCs w:val="22"/>
        </w:rPr>
        <w:t>ř</w:t>
      </w:r>
      <w:r w:rsidR="006079D3" w:rsidRPr="00D958EF">
        <w:rPr>
          <w:rFonts w:cs="Arial"/>
          <w:sz w:val="22"/>
          <w:szCs w:val="22"/>
        </w:rPr>
        <w:t xml:space="preserve">ídicího </w:t>
      </w:r>
      <w:r w:rsidR="00C8708B" w:rsidRPr="00D958EF">
        <w:rPr>
          <w:rFonts w:cs="Arial"/>
          <w:sz w:val="22"/>
          <w:szCs w:val="22"/>
        </w:rPr>
        <w:t xml:space="preserve">orgánu OPD na </w:t>
      </w:r>
      <w:r w:rsidR="00B1356A">
        <w:rPr>
          <w:rFonts w:cs="Arial"/>
          <w:sz w:val="22"/>
          <w:szCs w:val="22"/>
        </w:rPr>
        <w:t>z</w:t>
      </w:r>
      <w:r w:rsidR="00C8708B" w:rsidRPr="00D958EF">
        <w:rPr>
          <w:rFonts w:cs="Arial"/>
          <w:sz w:val="22"/>
          <w:szCs w:val="22"/>
        </w:rPr>
        <w:t>prostředkující subjekt OPD</w:t>
      </w:r>
      <w:r w:rsidR="00C8708B" w:rsidRPr="00620AEA">
        <w:rPr>
          <w:rFonts w:cs="Arial"/>
          <w:sz w:val="22"/>
          <w:szCs w:val="22"/>
        </w:rPr>
        <w:t xml:space="preserve"> j</w:t>
      </w:r>
      <w:r w:rsidR="007645C4" w:rsidRPr="00620AEA">
        <w:rPr>
          <w:rFonts w:cs="Arial"/>
          <w:sz w:val="22"/>
          <w:szCs w:val="22"/>
        </w:rPr>
        <w:t xml:space="preserve">e </w:t>
      </w:r>
      <w:r w:rsidR="003F0D97">
        <w:rPr>
          <w:rFonts w:cs="Arial"/>
          <w:sz w:val="22"/>
          <w:szCs w:val="22"/>
        </w:rPr>
        <w:t>z</w:t>
      </w:r>
      <w:r w:rsidR="0055597A" w:rsidRPr="00620AEA">
        <w:rPr>
          <w:rFonts w:cs="Arial"/>
          <w:sz w:val="22"/>
          <w:szCs w:val="22"/>
        </w:rPr>
        <w:t xml:space="preserve">prostředkujícím </w:t>
      </w:r>
      <w:r w:rsidR="007645C4" w:rsidRPr="00620AEA">
        <w:rPr>
          <w:rFonts w:cs="Arial"/>
          <w:sz w:val="22"/>
          <w:szCs w:val="22"/>
        </w:rPr>
        <w:t xml:space="preserve">subjektem </w:t>
      </w:r>
      <w:r w:rsidR="00864B39" w:rsidRPr="00620AEA">
        <w:rPr>
          <w:rFonts w:cs="Arial"/>
          <w:sz w:val="22"/>
          <w:szCs w:val="22"/>
        </w:rPr>
        <w:t>OPD.</w:t>
      </w:r>
    </w:p>
    <w:p w:rsidR="00620AEA" w:rsidRPr="00620AEA" w:rsidRDefault="00620AEA" w:rsidP="00620AEA">
      <w:pPr>
        <w:jc w:val="both"/>
        <w:rPr>
          <w:rFonts w:cs="Arial"/>
          <w:sz w:val="22"/>
          <w:szCs w:val="22"/>
        </w:rPr>
      </w:pPr>
    </w:p>
    <w:p w:rsidR="002302F3" w:rsidRDefault="00E2664B" w:rsidP="00620AEA">
      <w:pPr>
        <w:jc w:val="both"/>
        <w:rPr>
          <w:rFonts w:cs="Arial"/>
          <w:sz w:val="22"/>
          <w:szCs w:val="22"/>
        </w:rPr>
      </w:pPr>
      <w:r w:rsidRPr="00620AEA">
        <w:rPr>
          <w:rFonts w:cs="Arial"/>
          <w:b/>
          <w:sz w:val="22"/>
          <w:szCs w:val="22"/>
        </w:rPr>
        <w:t>SŽDC</w:t>
      </w:r>
      <w:r w:rsidR="002302F3" w:rsidRPr="00620AEA">
        <w:rPr>
          <w:rFonts w:cs="Arial"/>
          <w:sz w:val="22"/>
          <w:szCs w:val="22"/>
        </w:rPr>
        <w:t xml:space="preserve"> je právnickou osobou zřízenou zákonem </w:t>
      </w:r>
      <w:r w:rsidR="00EA0FC6" w:rsidRPr="00620AEA">
        <w:rPr>
          <w:rFonts w:cs="Arial"/>
          <w:sz w:val="22"/>
          <w:szCs w:val="22"/>
        </w:rPr>
        <w:t>č. 77/2002 Sb.</w:t>
      </w:r>
      <w:r w:rsidR="00EA0FC6" w:rsidRPr="00620AEA">
        <w:rPr>
          <w:rStyle w:val="Znakapoznpodarou"/>
          <w:rFonts w:cs="Arial"/>
          <w:sz w:val="22"/>
          <w:szCs w:val="22"/>
        </w:rPr>
        <w:footnoteReference w:id="5"/>
      </w:r>
      <w:r w:rsidR="00EA0FC6" w:rsidRPr="00620AEA">
        <w:rPr>
          <w:rFonts w:cs="Arial"/>
          <w:sz w:val="22"/>
          <w:szCs w:val="22"/>
        </w:rPr>
        <w:t xml:space="preserve"> </w:t>
      </w:r>
      <w:r w:rsidR="002302F3" w:rsidRPr="00620AEA">
        <w:rPr>
          <w:rFonts w:cs="Arial"/>
          <w:sz w:val="22"/>
          <w:szCs w:val="22"/>
        </w:rPr>
        <w:t>Hospodaří s majetkem státu</w:t>
      </w:r>
      <w:r w:rsidR="00EA0FC6" w:rsidRPr="00620AEA">
        <w:rPr>
          <w:rFonts w:cs="Arial"/>
          <w:sz w:val="22"/>
          <w:szCs w:val="22"/>
        </w:rPr>
        <w:t xml:space="preserve"> a zajišťuje modernizaci, rozvoj, provozuschopnost a provozování železniční dopravní cesty. </w:t>
      </w:r>
      <w:r w:rsidRPr="00620AEA">
        <w:rPr>
          <w:rFonts w:cs="Arial"/>
          <w:sz w:val="22"/>
          <w:szCs w:val="22"/>
        </w:rPr>
        <w:t xml:space="preserve">Organizačně se člení na </w:t>
      </w:r>
      <w:r w:rsidR="00AA3E2F" w:rsidRPr="00620AEA">
        <w:rPr>
          <w:rFonts w:cs="Arial"/>
          <w:sz w:val="22"/>
          <w:szCs w:val="22"/>
        </w:rPr>
        <w:t>generální ředitelství</w:t>
      </w:r>
      <w:r w:rsidRPr="00620AEA">
        <w:rPr>
          <w:rFonts w:cs="Arial"/>
          <w:sz w:val="22"/>
          <w:szCs w:val="22"/>
        </w:rPr>
        <w:t xml:space="preserve"> a dvě stavební správy, které mj. zajišťují přípravu a realizaci investičních akcí.</w:t>
      </w:r>
      <w:r w:rsidR="00864B39" w:rsidRPr="00620AEA">
        <w:rPr>
          <w:rFonts w:cs="Arial"/>
          <w:sz w:val="22"/>
          <w:szCs w:val="22"/>
        </w:rPr>
        <w:t xml:space="preserve"> Je příjemcem finančních prostředků </w:t>
      </w:r>
      <w:r w:rsidR="005B519B" w:rsidRPr="00620AEA">
        <w:rPr>
          <w:rFonts w:cs="Arial"/>
          <w:sz w:val="22"/>
          <w:szCs w:val="22"/>
        </w:rPr>
        <w:t>z rozpočtu SFDI a </w:t>
      </w:r>
      <w:r w:rsidR="00864B39" w:rsidRPr="00620AEA">
        <w:rPr>
          <w:rFonts w:cs="Arial"/>
          <w:sz w:val="22"/>
          <w:szCs w:val="22"/>
        </w:rPr>
        <w:t>z OPD.</w:t>
      </w:r>
    </w:p>
    <w:p w:rsidR="00620AEA" w:rsidRPr="00620AEA" w:rsidRDefault="00620AEA" w:rsidP="00620AEA">
      <w:pPr>
        <w:jc w:val="both"/>
        <w:rPr>
          <w:rFonts w:cs="Arial"/>
          <w:sz w:val="22"/>
          <w:szCs w:val="22"/>
        </w:rPr>
      </w:pPr>
    </w:p>
    <w:p w:rsidR="003D6B1C" w:rsidRDefault="001121A9" w:rsidP="00620AEA">
      <w:pPr>
        <w:jc w:val="both"/>
        <w:rPr>
          <w:rFonts w:cs="Arial"/>
          <w:sz w:val="22"/>
          <w:szCs w:val="22"/>
        </w:rPr>
      </w:pPr>
      <w:r w:rsidRPr="00620AEA">
        <w:rPr>
          <w:rFonts w:cs="Arial"/>
          <w:sz w:val="22"/>
          <w:szCs w:val="22"/>
        </w:rPr>
        <w:t xml:space="preserve">NKÚ při kontrolní akci č. </w:t>
      </w:r>
      <w:r w:rsidR="006B7388" w:rsidRPr="00620AEA">
        <w:rPr>
          <w:rFonts w:cs="Arial"/>
          <w:sz w:val="22"/>
          <w:szCs w:val="22"/>
        </w:rPr>
        <w:t>12</w:t>
      </w:r>
      <w:r w:rsidRPr="00620AEA">
        <w:rPr>
          <w:rFonts w:cs="Arial"/>
          <w:sz w:val="22"/>
          <w:szCs w:val="22"/>
        </w:rPr>
        <w:t>/</w:t>
      </w:r>
      <w:r w:rsidR="006B7388" w:rsidRPr="00620AEA">
        <w:rPr>
          <w:rFonts w:cs="Arial"/>
          <w:sz w:val="22"/>
          <w:szCs w:val="22"/>
        </w:rPr>
        <w:t>11</w:t>
      </w:r>
      <w:r w:rsidR="00873301">
        <w:rPr>
          <w:rFonts w:cs="Arial"/>
          <w:sz w:val="22"/>
          <w:szCs w:val="22"/>
        </w:rPr>
        <w:t> –</w:t>
      </w:r>
      <w:r w:rsidRPr="00620AEA">
        <w:rPr>
          <w:rFonts w:cs="Arial"/>
          <w:sz w:val="22"/>
          <w:szCs w:val="22"/>
        </w:rPr>
        <w:t xml:space="preserve"> </w:t>
      </w:r>
      <w:r w:rsidR="006B7388" w:rsidRPr="00620AEA">
        <w:rPr>
          <w:rFonts w:cs="Arial"/>
          <w:i/>
          <w:sz w:val="22"/>
          <w:szCs w:val="22"/>
        </w:rPr>
        <w:t>Peněžní prostředky určené na modernizaci významných železničních uzlů</w:t>
      </w:r>
      <w:r w:rsidRPr="00620AEA">
        <w:rPr>
          <w:rStyle w:val="Znakapoznpodarou"/>
          <w:rFonts w:cs="Arial"/>
          <w:sz w:val="22"/>
          <w:szCs w:val="22"/>
        </w:rPr>
        <w:footnoteReference w:id="6"/>
      </w:r>
      <w:r w:rsidRPr="00620AEA">
        <w:rPr>
          <w:rFonts w:cs="Arial"/>
          <w:sz w:val="22"/>
          <w:szCs w:val="22"/>
        </w:rPr>
        <w:t xml:space="preserve"> zjistil, že </w:t>
      </w:r>
      <w:r w:rsidR="006063A9" w:rsidRPr="00620AEA">
        <w:rPr>
          <w:rFonts w:cs="Arial"/>
          <w:sz w:val="22"/>
          <w:szCs w:val="22"/>
        </w:rPr>
        <w:t>o realizaci staveb bylo rozhodováno a jejich průběh byl sledován jen na úrovni jednotlivých projektů bez návazností na další stavby v rámci ucelených dopravních řešení. V průběhu jejich přípravy a realizace přitom docházelo k významným změnám finančních a časových parametrů i rozsahu a postupu prováděných prací, aniž by byly dostatečně vysvětleny důvody a</w:t>
      </w:r>
      <w:r w:rsidR="003326B4">
        <w:rPr>
          <w:rFonts w:cs="Arial"/>
          <w:sz w:val="22"/>
          <w:szCs w:val="22"/>
        </w:rPr>
        <w:t> </w:t>
      </w:r>
      <w:r w:rsidR="006063A9" w:rsidRPr="00620AEA">
        <w:rPr>
          <w:rFonts w:cs="Arial"/>
          <w:sz w:val="22"/>
          <w:szCs w:val="22"/>
        </w:rPr>
        <w:t xml:space="preserve">vyhodnoceny důsledky a dopady těchto změn. </w:t>
      </w:r>
      <w:r w:rsidR="003D6B1C" w:rsidRPr="00620AEA">
        <w:rPr>
          <w:rFonts w:cs="Arial"/>
          <w:sz w:val="22"/>
          <w:szCs w:val="22"/>
        </w:rPr>
        <w:t>Dále byla zjištěna přetrvávající absence koncepčního materiálu, který by byl objektivním podkladem pro rozhodování o prioritách při přípravě</w:t>
      </w:r>
      <w:r w:rsidR="00E37D2A" w:rsidRPr="00620AEA">
        <w:rPr>
          <w:rFonts w:cs="Arial"/>
          <w:sz w:val="22"/>
          <w:szCs w:val="22"/>
        </w:rPr>
        <w:t xml:space="preserve"> a realizaci dopravních staveb.</w:t>
      </w:r>
    </w:p>
    <w:p w:rsidR="00620AEA" w:rsidRPr="00620AEA" w:rsidRDefault="00620AEA" w:rsidP="00620AEA">
      <w:pPr>
        <w:jc w:val="both"/>
        <w:rPr>
          <w:rFonts w:cs="Arial"/>
          <w:sz w:val="22"/>
          <w:szCs w:val="22"/>
        </w:rPr>
      </w:pPr>
    </w:p>
    <w:p w:rsidR="00FF0B51" w:rsidRDefault="003D6B1C" w:rsidP="00620AEA">
      <w:pPr>
        <w:jc w:val="both"/>
        <w:rPr>
          <w:i/>
          <w:sz w:val="22"/>
          <w:szCs w:val="22"/>
        </w:rPr>
      </w:pPr>
      <w:r w:rsidRPr="00620AEA">
        <w:rPr>
          <w:rFonts w:cs="Arial"/>
          <w:sz w:val="22"/>
          <w:szCs w:val="22"/>
        </w:rPr>
        <w:t>Obdobné nedostatky NKÚ zjistil i při</w:t>
      </w:r>
      <w:r w:rsidR="006063A9" w:rsidRPr="00620AEA">
        <w:rPr>
          <w:rFonts w:cs="Arial"/>
          <w:sz w:val="22"/>
          <w:szCs w:val="22"/>
        </w:rPr>
        <w:t xml:space="preserve"> předchozích kontrolních akcích</w:t>
      </w:r>
      <w:r w:rsidR="005B519B" w:rsidRPr="00620AEA">
        <w:rPr>
          <w:rFonts w:cs="Arial"/>
          <w:sz w:val="22"/>
          <w:szCs w:val="22"/>
        </w:rPr>
        <w:t xml:space="preserve">, např. </w:t>
      </w:r>
      <w:r w:rsidR="00873A15">
        <w:rPr>
          <w:rFonts w:cs="Arial"/>
          <w:sz w:val="22"/>
          <w:szCs w:val="22"/>
        </w:rPr>
        <w:t xml:space="preserve">při </w:t>
      </w:r>
      <w:r w:rsidR="005B519B" w:rsidRPr="00620AEA">
        <w:rPr>
          <w:rFonts w:cs="Arial"/>
          <w:sz w:val="22"/>
          <w:szCs w:val="22"/>
        </w:rPr>
        <w:t>kontrolní akci č. </w:t>
      </w:r>
      <w:r w:rsidRPr="00620AEA">
        <w:rPr>
          <w:rFonts w:cs="Arial"/>
          <w:sz w:val="22"/>
          <w:szCs w:val="22"/>
        </w:rPr>
        <w:t>09/19</w:t>
      </w:r>
      <w:r w:rsidR="00873A15">
        <w:rPr>
          <w:rFonts w:cs="Arial"/>
          <w:sz w:val="22"/>
          <w:szCs w:val="22"/>
        </w:rPr>
        <w:t> –</w:t>
      </w:r>
      <w:r w:rsidRPr="00620AEA">
        <w:rPr>
          <w:rFonts w:cs="Arial"/>
          <w:sz w:val="22"/>
          <w:szCs w:val="22"/>
        </w:rPr>
        <w:t xml:space="preserve"> </w:t>
      </w:r>
      <w:r w:rsidRPr="00620AEA">
        <w:rPr>
          <w:rFonts w:cs="Arial"/>
          <w:i/>
          <w:sz w:val="22"/>
          <w:szCs w:val="22"/>
        </w:rPr>
        <w:t>Peněžní prostředky určené na rozvoj železniční infrastruktury</w:t>
      </w:r>
      <w:r w:rsidRPr="00620AEA">
        <w:rPr>
          <w:rStyle w:val="Znakapoznpodarou"/>
          <w:rFonts w:cs="Arial"/>
          <w:sz w:val="22"/>
          <w:szCs w:val="22"/>
        </w:rPr>
        <w:footnoteReference w:id="7"/>
      </w:r>
      <w:r w:rsidR="002D47C8" w:rsidRPr="00620AEA">
        <w:rPr>
          <w:rFonts w:cs="Arial"/>
          <w:sz w:val="22"/>
          <w:szCs w:val="22"/>
        </w:rPr>
        <w:t xml:space="preserve">, </w:t>
      </w:r>
      <w:r w:rsidR="005B519B" w:rsidRPr="00620AEA">
        <w:rPr>
          <w:rFonts w:cs="Arial"/>
          <w:sz w:val="22"/>
          <w:szCs w:val="22"/>
        </w:rPr>
        <w:t>kontrolní akci č. </w:t>
      </w:r>
      <w:r w:rsidRPr="00620AEA">
        <w:rPr>
          <w:rFonts w:cs="Arial"/>
          <w:sz w:val="22"/>
          <w:szCs w:val="22"/>
        </w:rPr>
        <w:t>09/27</w:t>
      </w:r>
      <w:r w:rsidR="00873A15">
        <w:rPr>
          <w:rFonts w:cs="Arial"/>
          <w:sz w:val="22"/>
          <w:szCs w:val="22"/>
        </w:rPr>
        <w:t> –</w:t>
      </w:r>
      <w:r w:rsidRPr="00620AEA">
        <w:rPr>
          <w:rFonts w:cs="Arial"/>
          <w:sz w:val="22"/>
          <w:szCs w:val="22"/>
        </w:rPr>
        <w:t xml:space="preserve"> </w:t>
      </w:r>
      <w:r w:rsidRPr="00620AEA">
        <w:rPr>
          <w:rFonts w:cs="Arial"/>
          <w:i/>
          <w:sz w:val="22"/>
          <w:szCs w:val="22"/>
        </w:rPr>
        <w:t>Finanční prostředky určené na výstavbu pozemních komunikací</w:t>
      </w:r>
      <w:r w:rsidRPr="00620AEA">
        <w:rPr>
          <w:rStyle w:val="Znakapoznpodarou"/>
          <w:rFonts w:cs="Arial"/>
          <w:sz w:val="22"/>
          <w:szCs w:val="22"/>
        </w:rPr>
        <w:footnoteReference w:id="8"/>
      </w:r>
      <w:r w:rsidR="005B519B" w:rsidRPr="00620AEA">
        <w:rPr>
          <w:rFonts w:cs="Arial"/>
          <w:sz w:val="22"/>
          <w:szCs w:val="22"/>
        </w:rPr>
        <w:t xml:space="preserve"> nebo kontrolní akci č. </w:t>
      </w:r>
      <w:r w:rsidR="002D47C8" w:rsidRPr="00620AEA">
        <w:rPr>
          <w:rFonts w:cs="Arial"/>
          <w:sz w:val="22"/>
          <w:szCs w:val="22"/>
        </w:rPr>
        <w:t>12/18</w:t>
      </w:r>
      <w:r w:rsidR="00873A15">
        <w:rPr>
          <w:rFonts w:cs="Arial"/>
          <w:sz w:val="22"/>
          <w:szCs w:val="22"/>
        </w:rPr>
        <w:t> –</w:t>
      </w:r>
      <w:r w:rsidR="002D47C8" w:rsidRPr="00620AEA">
        <w:rPr>
          <w:rFonts w:cs="Arial"/>
          <w:sz w:val="22"/>
          <w:szCs w:val="22"/>
        </w:rPr>
        <w:t xml:space="preserve"> </w:t>
      </w:r>
      <w:r w:rsidR="002D47C8" w:rsidRPr="00620AEA">
        <w:rPr>
          <w:i/>
          <w:sz w:val="22"/>
          <w:szCs w:val="22"/>
        </w:rPr>
        <w:t>Peněžní prostředky určené na výstavbu dálnic a rychlostních komunikací</w:t>
      </w:r>
      <w:r w:rsidR="002D47C8" w:rsidRPr="00D958EF">
        <w:rPr>
          <w:rStyle w:val="Znakapoznpodarou"/>
          <w:rFonts w:cs="Arial"/>
          <w:sz w:val="22"/>
          <w:szCs w:val="22"/>
        </w:rPr>
        <w:footnoteReference w:id="9"/>
      </w:r>
      <w:r w:rsidR="002D47C8" w:rsidRPr="00620AEA">
        <w:rPr>
          <w:i/>
          <w:sz w:val="22"/>
          <w:szCs w:val="22"/>
        </w:rPr>
        <w:t>.</w:t>
      </w:r>
    </w:p>
    <w:p w:rsidR="00620AEA" w:rsidRPr="00620AEA" w:rsidRDefault="00620AEA" w:rsidP="00620AEA">
      <w:pPr>
        <w:jc w:val="both"/>
        <w:rPr>
          <w:rFonts w:cs="Arial"/>
          <w:sz w:val="22"/>
          <w:szCs w:val="22"/>
        </w:rPr>
      </w:pPr>
    </w:p>
    <w:p w:rsidR="00E414E2" w:rsidRDefault="008B38F0" w:rsidP="00620AEA">
      <w:pPr>
        <w:jc w:val="both"/>
        <w:rPr>
          <w:rFonts w:cs="Arial"/>
          <w:sz w:val="22"/>
          <w:szCs w:val="22"/>
        </w:rPr>
      </w:pPr>
      <w:r w:rsidRPr="00620AEA">
        <w:rPr>
          <w:rFonts w:cs="Arial"/>
          <w:sz w:val="22"/>
          <w:szCs w:val="22"/>
        </w:rPr>
        <w:t>NKÚ se při k</w:t>
      </w:r>
      <w:r w:rsidR="00E414E2" w:rsidRPr="00620AEA">
        <w:rPr>
          <w:rFonts w:cs="Arial"/>
          <w:sz w:val="22"/>
          <w:szCs w:val="22"/>
        </w:rPr>
        <w:t>ontrolní akc</w:t>
      </w:r>
      <w:r w:rsidRPr="00620AEA">
        <w:rPr>
          <w:rFonts w:cs="Arial"/>
          <w:sz w:val="22"/>
          <w:szCs w:val="22"/>
        </w:rPr>
        <w:t>i</w:t>
      </w:r>
      <w:r w:rsidR="005B519B" w:rsidRPr="00620AEA">
        <w:rPr>
          <w:rFonts w:cs="Arial"/>
          <w:sz w:val="22"/>
          <w:szCs w:val="22"/>
        </w:rPr>
        <w:t xml:space="preserve"> č. </w:t>
      </w:r>
      <w:r w:rsidR="00E414E2" w:rsidRPr="00620AEA">
        <w:rPr>
          <w:rFonts w:cs="Arial"/>
          <w:sz w:val="22"/>
          <w:szCs w:val="22"/>
        </w:rPr>
        <w:t xml:space="preserve">13/14 </w:t>
      </w:r>
      <w:r w:rsidRPr="00620AEA">
        <w:rPr>
          <w:rFonts w:cs="Arial"/>
          <w:sz w:val="22"/>
          <w:szCs w:val="22"/>
        </w:rPr>
        <w:t>zaměřil na</w:t>
      </w:r>
      <w:r w:rsidR="008A644E" w:rsidRPr="00620AEA">
        <w:rPr>
          <w:rFonts w:cs="Arial"/>
          <w:sz w:val="22"/>
          <w:szCs w:val="22"/>
        </w:rPr>
        <w:t xml:space="preserve"> postup</w:t>
      </w:r>
      <w:r w:rsidRPr="00620AEA">
        <w:rPr>
          <w:rFonts w:cs="Arial"/>
          <w:sz w:val="22"/>
          <w:szCs w:val="22"/>
        </w:rPr>
        <w:t xml:space="preserve"> modernizac</w:t>
      </w:r>
      <w:r w:rsidR="008A644E" w:rsidRPr="00620AEA">
        <w:rPr>
          <w:rFonts w:cs="Arial"/>
          <w:sz w:val="22"/>
          <w:szCs w:val="22"/>
        </w:rPr>
        <w:t>e</w:t>
      </w:r>
      <w:r w:rsidRPr="00620AEA">
        <w:rPr>
          <w:rFonts w:cs="Arial"/>
          <w:sz w:val="22"/>
          <w:szCs w:val="22"/>
        </w:rPr>
        <w:t>, resp. elektrizac</w:t>
      </w:r>
      <w:r w:rsidR="008A644E" w:rsidRPr="00620AEA">
        <w:rPr>
          <w:rFonts w:cs="Arial"/>
          <w:sz w:val="22"/>
          <w:szCs w:val="22"/>
        </w:rPr>
        <w:t>e</w:t>
      </w:r>
      <w:r w:rsidRPr="00620AEA">
        <w:rPr>
          <w:rFonts w:cs="Arial"/>
          <w:sz w:val="22"/>
          <w:szCs w:val="22"/>
        </w:rPr>
        <w:t xml:space="preserve"> železničních tratí mimo síť TEN-T.</w:t>
      </w:r>
    </w:p>
    <w:p w:rsidR="00620AEA" w:rsidRPr="00620AEA" w:rsidRDefault="00620AEA" w:rsidP="00620AEA">
      <w:pPr>
        <w:jc w:val="both"/>
        <w:rPr>
          <w:rFonts w:cs="Arial"/>
          <w:sz w:val="22"/>
          <w:szCs w:val="22"/>
        </w:rPr>
      </w:pPr>
    </w:p>
    <w:p w:rsidR="00911CA2" w:rsidRPr="00620AEA" w:rsidRDefault="00F33277" w:rsidP="00620AEA">
      <w:pPr>
        <w:ind w:left="567" w:hanging="567"/>
        <w:jc w:val="both"/>
        <w:rPr>
          <w:rFonts w:cs="Arial"/>
          <w:sz w:val="18"/>
          <w:szCs w:val="18"/>
        </w:rPr>
      </w:pPr>
      <w:r w:rsidRPr="00620AEA">
        <w:rPr>
          <w:rFonts w:cs="Arial"/>
          <w:b/>
          <w:sz w:val="18"/>
          <w:szCs w:val="18"/>
        </w:rPr>
        <w:t>Pozn</w:t>
      </w:r>
      <w:r w:rsidR="00131313" w:rsidRPr="00620AEA">
        <w:rPr>
          <w:rFonts w:cs="Arial"/>
          <w:b/>
          <w:sz w:val="18"/>
          <w:szCs w:val="18"/>
        </w:rPr>
        <w:t>.</w:t>
      </w:r>
      <w:r w:rsidRPr="00620AEA">
        <w:rPr>
          <w:rFonts w:cs="Arial"/>
          <w:b/>
          <w:sz w:val="18"/>
          <w:szCs w:val="18"/>
        </w:rPr>
        <w:t>:</w:t>
      </w:r>
      <w:r w:rsidR="00282169" w:rsidRPr="00620AEA">
        <w:rPr>
          <w:rFonts w:cs="Arial"/>
          <w:sz w:val="18"/>
          <w:szCs w:val="18"/>
        </w:rPr>
        <w:tab/>
      </w:r>
      <w:r w:rsidRPr="00620AEA">
        <w:rPr>
          <w:rFonts w:cs="Arial"/>
          <w:sz w:val="18"/>
          <w:szCs w:val="18"/>
        </w:rPr>
        <w:t xml:space="preserve">Právní předpisy uvedené </w:t>
      </w:r>
      <w:r w:rsidR="007F7A8C" w:rsidRPr="00620AEA">
        <w:rPr>
          <w:rFonts w:cs="Arial"/>
          <w:sz w:val="18"/>
          <w:szCs w:val="18"/>
        </w:rPr>
        <w:t>v </w:t>
      </w:r>
      <w:r w:rsidRPr="00620AEA">
        <w:rPr>
          <w:rFonts w:cs="Arial"/>
          <w:sz w:val="18"/>
          <w:szCs w:val="18"/>
        </w:rPr>
        <w:t>kontrolním závěru jsou aplikovány ve znění účinném pro</w:t>
      </w:r>
      <w:r w:rsidR="00064771" w:rsidRPr="00620AEA">
        <w:rPr>
          <w:rFonts w:cs="Arial"/>
          <w:sz w:val="18"/>
          <w:szCs w:val="18"/>
        </w:rPr>
        <w:t xml:space="preserve"> </w:t>
      </w:r>
      <w:r w:rsidRPr="00620AEA">
        <w:rPr>
          <w:rFonts w:cs="Arial"/>
          <w:sz w:val="18"/>
          <w:szCs w:val="18"/>
        </w:rPr>
        <w:t>kontrolované období.</w:t>
      </w:r>
      <w:r w:rsidR="00911CA2" w:rsidRPr="00620AEA">
        <w:rPr>
          <w:rFonts w:cs="Arial"/>
          <w:sz w:val="18"/>
          <w:szCs w:val="18"/>
        </w:rPr>
        <w:t xml:space="preserve"> Není-li uvedeno jinak, finanční částky jsou uváděny bez DPH.</w:t>
      </w:r>
    </w:p>
    <w:p w:rsidR="00BB1413" w:rsidRDefault="00BB1413" w:rsidP="00620AEA">
      <w:pPr>
        <w:jc w:val="both"/>
        <w:rPr>
          <w:rFonts w:cs="Arial"/>
          <w:sz w:val="22"/>
          <w:szCs w:val="22"/>
        </w:rPr>
      </w:pPr>
    </w:p>
    <w:p w:rsidR="00620AEA" w:rsidRPr="00620AEA" w:rsidRDefault="00620AEA" w:rsidP="00620AEA">
      <w:pPr>
        <w:jc w:val="both"/>
        <w:rPr>
          <w:rFonts w:cs="Arial"/>
          <w:sz w:val="22"/>
          <w:szCs w:val="22"/>
        </w:rPr>
      </w:pPr>
    </w:p>
    <w:p w:rsidR="00275C51" w:rsidRPr="00620AEA" w:rsidRDefault="00275C51" w:rsidP="00620AEA">
      <w:pPr>
        <w:jc w:val="center"/>
        <w:rPr>
          <w:rFonts w:eastAsiaTheme="minorHAnsi" w:cs="Arial"/>
          <w:b/>
          <w:lang w:eastAsia="en-US"/>
        </w:rPr>
      </w:pPr>
      <w:r w:rsidRPr="00620AEA">
        <w:rPr>
          <w:rFonts w:eastAsiaTheme="minorHAnsi" w:cs="Arial"/>
          <w:b/>
          <w:lang w:eastAsia="en-US"/>
        </w:rPr>
        <w:t>II. Skutečnosti zjištěné při kontrole</w:t>
      </w:r>
    </w:p>
    <w:p w:rsidR="007D022E" w:rsidRPr="00620AEA" w:rsidRDefault="007D022E" w:rsidP="00620AEA">
      <w:pPr>
        <w:jc w:val="both"/>
        <w:rPr>
          <w:rFonts w:eastAsiaTheme="minorHAnsi" w:cs="Arial"/>
          <w:sz w:val="22"/>
          <w:szCs w:val="22"/>
          <w:lang w:eastAsia="en-US"/>
        </w:rPr>
      </w:pPr>
    </w:p>
    <w:p w:rsidR="00E414E2" w:rsidRPr="00E37D2A" w:rsidRDefault="00E65B69" w:rsidP="00620AEA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E37D2A">
        <w:rPr>
          <w:rFonts w:cs="Arial"/>
          <w:b/>
          <w:sz w:val="22"/>
          <w:szCs w:val="22"/>
        </w:rPr>
        <w:t xml:space="preserve">1. </w:t>
      </w:r>
      <w:r w:rsidR="00F665A5" w:rsidRPr="00E37D2A">
        <w:rPr>
          <w:rFonts w:cs="Arial"/>
          <w:b/>
          <w:sz w:val="22"/>
          <w:szCs w:val="22"/>
        </w:rPr>
        <w:t>P</w:t>
      </w:r>
      <w:r w:rsidR="00556D75" w:rsidRPr="00E37D2A">
        <w:rPr>
          <w:rFonts w:cs="Arial"/>
          <w:b/>
          <w:sz w:val="22"/>
          <w:szCs w:val="22"/>
        </w:rPr>
        <w:t xml:space="preserve">riority </w:t>
      </w:r>
      <w:r w:rsidR="00F665A5" w:rsidRPr="00E37D2A">
        <w:rPr>
          <w:rFonts w:cs="Arial"/>
          <w:b/>
          <w:sz w:val="22"/>
          <w:szCs w:val="22"/>
        </w:rPr>
        <w:t xml:space="preserve">a cíle </w:t>
      </w:r>
      <w:r w:rsidR="00E414E2" w:rsidRPr="00E37D2A">
        <w:rPr>
          <w:rFonts w:cs="Arial"/>
          <w:b/>
          <w:sz w:val="22"/>
          <w:szCs w:val="22"/>
        </w:rPr>
        <w:t xml:space="preserve">elektrizace </w:t>
      </w:r>
      <w:r w:rsidR="00E414E2" w:rsidRPr="00E37D2A">
        <w:rPr>
          <w:rFonts w:cs="Arial"/>
          <w:b/>
          <w:bCs/>
          <w:sz w:val="22"/>
          <w:szCs w:val="22"/>
        </w:rPr>
        <w:t>železničních tratí</w:t>
      </w:r>
    </w:p>
    <w:p w:rsidR="00620AEA" w:rsidRDefault="00620AEA" w:rsidP="00620AEA">
      <w:pPr>
        <w:jc w:val="both"/>
        <w:rPr>
          <w:rFonts w:cs="Arial"/>
          <w:sz w:val="22"/>
          <w:szCs w:val="22"/>
        </w:rPr>
      </w:pPr>
    </w:p>
    <w:p w:rsidR="00953AB0" w:rsidRDefault="008A644E" w:rsidP="00620AEA">
      <w:pPr>
        <w:jc w:val="both"/>
        <w:rPr>
          <w:rFonts w:cs="Arial"/>
          <w:sz w:val="22"/>
          <w:szCs w:val="22"/>
        </w:rPr>
      </w:pPr>
      <w:r w:rsidRPr="00E37D2A">
        <w:rPr>
          <w:rFonts w:cs="Arial"/>
          <w:sz w:val="22"/>
          <w:szCs w:val="22"/>
        </w:rPr>
        <w:t>C</w:t>
      </w:r>
      <w:r w:rsidR="00D07B9A" w:rsidRPr="00E37D2A">
        <w:rPr>
          <w:rFonts w:cs="Arial"/>
          <w:sz w:val="22"/>
          <w:szCs w:val="22"/>
        </w:rPr>
        <w:t xml:space="preserve">íle rozvoje </w:t>
      </w:r>
      <w:r w:rsidR="004B39B6" w:rsidRPr="00E37D2A">
        <w:rPr>
          <w:rFonts w:cs="Arial"/>
          <w:sz w:val="22"/>
          <w:szCs w:val="22"/>
        </w:rPr>
        <w:t xml:space="preserve">v oblasti dopravy a dopravní infrastruktury </w:t>
      </w:r>
      <w:r w:rsidR="00D07B9A" w:rsidRPr="00E37D2A">
        <w:rPr>
          <w:rFonts w:cs="Arial"/>
          <w:sz w:val="22"/>
          <w:szCs w:val="22"/>
        </w:rPr>
        <w:t xml:space="preserve">byly stanoveny výchozím strategickým dokumentem </w:t>
      </w:r>
      <w:r w:rsidR="00D07B9A" w:rsidRPr="00E37D2A">
        <w:rPr>
          <w:rFonts w:cs="Arial"/>
          <w:i/>
          <w:sz w:val="22"/>
          <w:szCs w:val="22"/>
        </w:rPr>
        <w:t>Dopravní politika České republiky pro léta 2005</w:t>
      </w:r>
      <w:r w:rsidR="002B5F30">
        <w:rPr>
          <w:rFonts w:cs="Arial"/>
          <w:i/>
          <w:sz w:val="22"/>
          <w:szCs w:val="22"/>
        </w:rPr>
        <w:t>–</w:t>
      </w:r>
      <w:r w:rsidR="00D07B9A" w:rsidRPr="00E37D2A">
        <w:rPr>
          <w:rFonts w:cs="Arial"/>
          <w:i/>
          <w:sz w:val="22"/>
          <w:szCs w:val="22"/>
        </w:rPr>
        <w:t>2013</w:t>
      </w:r>
      <w:r w:rsidR="00D07B9A" w:rsidRPr="00E37D2A">
        <w:rPr>
          <w:rFonts w:cs="Arial"/>
          <w:sz w:val="22"/>
          <w:szCs w:val="22"/>
        </w:rPr>
        <w:t xml:space="preserve"> (dále </w:t>
      </w:r>
      <w:r w:rsidR="00E37D2A">
        <w:rPr>
          <w:rFonts w:cs="Arial"/>
          <w:sz w:val="22"/>
          <w:szCs w:val="22"/>
        </w:rPr>
        <w:t>také</w:t>
      </w:r>
      <w:r w:rsidR="00D07B9A" w:rsidRPr="00E37D2A">
        <w:rPr>
          <w:rFonts w:cs="Arial"/>
          <w:sz w:val="22"/>
          <w:szCs w:val="22"/>
        </w:rPr>
        <w:t xml:space="preserve"> „Dopravní politika“) schváleným dne 13. července 2005</w:t>
      </w:r>
      <w:r w:rsidR="00D07B9A" w:rsidRPr="00E37D2A">
        <w:rPr>
          <w:rStyle w:val="Znakapoznpodarou"/>
          <w:rFonts w:cs="Arial"/>
          <w:sz w:val="22"/>
          <w:szCs w:val="22"/>
        </w:rPr>
        <w:footnoteReference w:id="10"/>
      </w:r>
      <w:r w:rsidR="00D07B9A" w:rsidRPr="00E37D2A">
        <w:rPr>
          <w:rFonts w:cs="Arial"/>
          <w:sz w:val="22"/>
          <w:szCs w:val="22"/>
        </w:rPr>
        <w:t xml:space="preserve">. </w:t>
      </w:r>
      <w:r w:rsidR="004B39B6" w:rsidRPr="00E37D2A">
        <w:rPr>
          <w:rFonts w:cs="Arial"/>
          <w:sz w:val="22"/>
          <w:szCs w:val="22"/>
        </w:rPr>
        <w:t xml:space="preserve">Jedním z cílů rozvoje železničních tratí mimo síť TEN-T bylo pokračování v programu elektrizace tratí. </w:t>
      </w:r>
      <w:r w:rsidR="00873F6D">
        <w:rPr>
          <w:rFonts w:cs="Arial"/>
          <w:sz w:val="22"/>
          <w:szCs w:val="22"/>
        </w:rPr>
        <w:t>Termín dokončení a </w:t>
      </w:r>
      <w:r w:rsidR="00D07B9A" w:rsidRPr="00E37D2A">
        <w:rPr>
          <w:rFonts w:cs="Arial"/>
          <w:sz w:val="22"/>
          <w:szCs w:val="22"/>
        </w:rPr>
        <w:t>schválení dokumentu</w:t>
      </w:r>
      <w:r w:rsidR="0083621A">
        <w:rPr>
          <w:rFonts w:cs="Arial"/>
          <w:sz w:val="22"/>
          <w:szCs w:val="22"/>
        </w:rPr>
        <w:t>,</w:t>
      </w:r>
      <w:r w:rsidR="00D07B9A" w:rsidRPr="00E37D2A">
        <w:rPr>
          <w:rFonts w:cs="Arial"/>
          <w:sz w:val="22"/>
          <w:szCs w:val="22"/>
        </w:rPr>
        <w:t xml:space="preserve"> který měl konkretizovat priority rozvoje dopravní infrastruktury v návaznosti na vývoj dopravních potřeb a reálné možnosti financování infrastrukt</w:t>
      </w:r>
      <w:r w:rsidR="00E37D2A" w:rsidRPr="00E37D2A">
        <w:rPr>
          <w:rFonts w:cs="Arial"/>
          <w:sz w:val="22"/>
          <w:szCs w:val="22"/>
        </w:rPr>
        <w:t xml:space="preserve">urních </w:t>
      </w:r>
      <w:r w:rsidR="00E37D2A" w:rsidRPr="00E37D2A">
        <w:rPr>
          <w:rFonts w:cs="Arial"/>
          <w:sz w:val="22"/>
          <w:szCs w:val="22"/>
        </w:rPr>
        <w:lastRenderedPageBreak/>
        <w:t xml:space="preserve">investic, byl </w:t>
      </w:r>
      <w:r w:rsidR="00953AB0">
        <w:rPr>
          <w:rFonts w:cs="Arial"/>
          <w:sz w:val="22"/>
          <w:szCs w:val="22"/>
        </w:rPr>
        <w:t xml:space="preserve">opakovaně </w:t>
      </w:r>
      <w:r w:rsidR="00E37D2A" w:rsidRPr="00E37D2A">
        <w:rPr>
          <w:rFonts w:cs="Arial"/>
          <w:sz w:val="22"/>
          <w:szCs w:val="22"/>
        </w:rPr>
        <w:t>odkládán</w:t>
      </w:r>
      <w:r w:rsidR="00953AB0">
        <w:rPr>
          <w:rFonts w:cs="Arial"/>
          <w:sz w:val="22"/>
          <w:szCs w:val="22"/>
        </w:rPr>
        <w:t>. D</w:t>
      </w:r>
      <w:r w:rsidR="00E414E2" w:rsidRPr="00E37D2A">
        <w:rPr>
          <w:rFonts w:cs="Arial"/>
          <w:sz w:val="22"/>
          <w:szCs w:val="22"/>
        </w:rPr>
        <w:t xml:space="preserve">okument </w:t>
      </w:r>
      <w:r w:rsidR="002223C6" w:rsidRPr="00E37D2A">
        <w:rPr>
          <w:rFonts w:cs="Arial"/>
          <w:i/>
          <w:sz w:val="22"/>
          <w:szCs w:val="22"/>
        </w:rPr>
        <w:t>Dopravní sektorové strategie – II. fáze</w:t>
      </w:r>
      <w:r w:rsidR="002223C6" w:rsidRPr="00E37D2A">
        <w:rPr>
          <w:rFonts w:cs="Arial"/>
          <w:sz w:val="22"/>
          <w:szCs w:val="22"/>
        </w:rPr>
        <w:t xml:space="preserve">, </w:t>
      </w:r>
      <w:r w:rsidR="00953AB0">
        <w:rPr>
          <w:rFonts w:cs="Arial"/>
          <w:sz w:val="22"/>
          <w:szCs w:val="22"/>
        </w:rPr>
        <w:t>byl schválen až dne 13. </w:t>
      </w:r>
      <w:r w:rsidR="002B5F30">
        <w:rPr>
          <w:rFonts w:cs="Arial"/>
          <w:sz w:val="22"/>
          <w:szCs w:val="22"/>
        </w:rPr>
        <w:t>listopadu</w:t>
      </w:r>
      <w:r w:rsidR="00953AB0">
        <w:rPr>
          <w:rFonts w:cs="Arial"/>
          <w:sz w:val="22"/>
          <w:szCs w:val="22"/>
        </w:rPr>
        <w:t> 2013</w:t>
      </w:r>
      <w:r w:rsidR="00953AB0" w:rsidRPr="00E37D2A">
        <w:rPr>
          <w:rStyle w:val="Znakapoznpodarou"/>
          <w:rFonts w:cs="Arial"/>
          <w:sz w:val="22"/>
          <w:szCs w:val="22"/>
        </w:rPr>
        <w:footnoteReference w:id="11"/>
      </w:r>
      <w:r w:rsidR="00953AB0">
        <w:rPr>
          <w:rFonts w:cs="Arial"/>
          <w:sz w:val="22"/>
          <w:szCs w:val="22"/>
        </w:rPr>
        <w:t>.</w:t>
      </w:r>
    </w:p>
    <w:p w:rsidR="00620AEA" w:rsidRDefault="00620AEA" w:rsidP="00620AEA">
      <w:pPr>
        <w:jc w:val="both"/>
        <w:rPr>
          <w:rFonts w:cs="Arial"/>
          <w:sz w:val="22"/>
          <w:szCs w:val="22"/>
        </w:rPr>
      </w:pPr>
    </w:p>
    <w:p w:rsidR="00407BEE" w:rsidRDefault="00645026" w:rsidP="00620AEA">
      <w:pPr>
        <w:jc w:val="both"/>
        <w:rPr>
          <w:rFonts w:cs="Arial"/>
          <w:sz w:val="22"/>
          <w:szCs w:val="22"/>
        </w:rPr>
      </w:pPr>
      <w:r w:rsidRPr="00EF3790">
        <w:rPr>
          <w:rFonts w:cs="Arial"/>
          <w:b/>
          <w:sz w:val="22"/>
          <w:szCs w:val="22"/>
        </w:rPr>
        <w:t>MD ke kontrole nepředložilo</w:t>
      </w:r>
      <w:r w:rsidRPr="00EF3790">
        <w:rPr>
          <w:rFonts w:cs="Arial"/>
          <w:b/>
          <w:noProof/>
          <w:sz w:val="22"/>
          <w:szCs w:val="22"/>
        </w:rPr>
        <w:t xml:space="preserve"> žádné </w:t>
      </w:r>
      <w:r w:rsidR="006D1DA2" w:rsidRPr="00EF3790">
        <w:rPr>
          <w:rFonts w:cs="Arial"/>
          <w:b/>
          <w:noProof/>
          <w:sz w:val="22"/>
          <w:szCs w:val="22"/>
        </w:rPr>
        <w:t xml:space="preserve">dokumenty, které by se zabývaly </w:t>
      </w:r>
      <w:r w:rsidR="00E414E2" w:rsidRPr="00EF3790">
        <w:rPr>
          <w:rFonts w:cs="Arial"/>
          <w:b/>
          <w:sz w:val="22"/>
          <w:szCs w:val="22"/>
        </w:rPr>
        <w:t>postupem elektrizace</w:t>
      </w:r>
      <w:r w:rsidR="006D1DA2" w:rsidRPr="00EF3790">
        <w:rPr>
          <w:rFonts w:cs="Arial"/>
          <w:b/>
          <w:sz w:val="22"/>
          <w:szCs w:val="22"/>
        </w:rPr>
        <w:t xml:space="preserve"> </w:t>
      </w:r>
      <w:r w:rsidR="00E503F5" w:rsidRPr="00EF3790">
        <w:rPr>
          <w:rFonts w:cs="Arial"/>
          <w:b/>
          <w:sz w:val="22"/>
          <w:szCs w:val="22"/>
        </w:rPr>
        <w:t>železničních tratí mimo síť TEN-T</w:t>
      </w:r>
      <w:r w:rsidR="00A61A4F" w:rsidRPr="00EF3790">
        <w:rPr>
          <w:rFonts w:cs="Arial"/>
          <w:b/>
          <w:sz w:val="22"/>
          <w:szCs w:val="22"/>
        </w:rPr>
        <w:t xml:space="preserve">, </w:t>
      </w:r>
      <w:r w:rsidR="00F03E4D" w:rsidRPr="00EF3790">
        <w:rPr>
          <w:rFonts w:cs="Arial"/>
          <w:b/>
          <w:sz w:val="22"/>
          <w:szCs w:val="22"/>
        </w:rPr>
        <w:t>z nichž by byl</w:t>
      </w:r>
      <w:r w:rsidR="00E414E2" w:rsidRPr="00EF3790">
        <w:rPr>
          <w:rFonts w:cs="Arial"/>
          <w:b/>
          <w:sz w:val="22"/>
          <w:szCs w:val="22"/>
        </w:rPr>
        <w:t>o</w:t>
      </w:r>
      <w:r w:rsidR="00F03E4D" w:rsidRPr="00EF3790">
        <w:rPr>
          <w:rFonts w:cs="Arial"/>
          <w:b/>
          <w:sz w:val="22"/>
          <w:szCs w:val="22"/>
        </w:rPr>
        <w:t xml:space="preserve"> zřejmé</w:t>
      </w:r>
      <w:r w:rsidR="006D1DA2" w:rsidRPr="00EF3790">
        <w:rPr>
          <w:rFonts w:cs="Arial"/>
          <w:b/>
          <w:sz w:val="22"/>
          <w:szCs w:val="22"/>
        </w:rPr>
        <w:t xml:space="preserve">, </w:t>
      </w:r>
      <w:r w:rsidR="00F03E4D" w:rsidRPr="00EF3790">
        <w:rPr>
          <w:rFonts w:cs="Arial"/>
          <w:b/>
          <w:sz w:val="22"/>
          <w:szCs w:val="22"/>
        </w:rPr>
        <w:t xml:space="preserve">do jaké míry se podařilo </w:t>
      </w:r>
      <w:r w:rsidR="00E414E2" w:rsidRPr="00EF3790">
        <w:rPr>
          <w:rFonts w:cs="Arial"/>
          <w:b/>
          <w:sz w:val="22"/>
          <w:szCs w:val="22"/>
        </w:rPr>
        <w:t xml:space="preserve">dosáhnout stanovených cílů </w:t>
      </w:r>
      <w:r w:rsidR="00F03E4D" w:rsidRPr="00EF3790">
        <w:rPr>
          <w:rFonts w:cs="Arial"/>
          <w:b/>
          <w:sz w:val="22"/>
          <w:szCs w:val="22"/>
        </w:rPr>
        <w:t xml:space="preserve">a jaká část </w:t>
      </w:r>
      <w:r w:rsidR="004B39B6" w:rsidRPr="00EF3790">
        <w:rPr>
          <w:rFonts w:cs="Arial"/>
          <w:b/>
          <w:sz w:val="22"/>
          <w:szCs w:val="22"/>
        </w:rPr>
        <w:t xml:space="preserve">programu elektrizace tratí </w:t>
      </w:r>
      <w:r w:rsidR="00F03E4D" w:rsidRPr="00EF3790">
        <w:rPr>
          <w:rFonts w:cs="Arial"/>
          <w:b/>
          <w:sz w:val="22"/>
          <w:szCs w:val="22"/>
        </w:rPr>
        <w:t>zatím zůstává ne</w:t>
      </w:r>
      <w:r w:rsidR="004B39B6" w:rsidRPr="00EF3790">
        <w:rPr>
          <w:rFonts w:cs="Arial"/>
          <w:b/>
          <w:sz w:val="22"/>
          <w:szCs w:val="22"/>
        </w:rPr>
        <w:t>naplně</w:t>
      </w:r>
      <w:r w:rsidR="00F03E4D" w:rsidRPr="00EF3790">
        <w:rPr>
          <w:rFonts w:cs="Arial"/>
          <w:b/>
          <w:sz w:val="22"/>
          <w:szCs w:val="22"/>
        </w:rPr>
        <w:t>na</w:t>
      </w:r>
      <w:r w:rsidRPr="00EF3790">
        <w:rPr>
          <w:rFonts w:cs="Arial"/>
          <w:b/>
          <w:sz w:val="22"/>
          <w:szCs w:val="22"/>
        </w:rPr>
        <w:t>.</w:t>
      </w:r>
      <w:r w:rsidR="0093095E" w:rsidRPr="00E37D2A">
        <w:rPr>
          <w:rFonts w:cs="Arial"/>
          <w:sz w:val="22"/>
          <w:szCs w:val="22"/>
        </w:rPr>
        <w:t xml:space="preserve"> </w:t>
      </w:r>
    </w:p>
    <w:p w:rsidR="00D9655A" w:rsidRPr="00142EB4" w:rsidRDefault="00D9655A" w:rsidP="00620AEA">
      <w:pPr>
        <w:jc w:val="both"/>
        <w:rPr>
          <w:rFonts w:cs="Arial"/>
          <w:sz w:val="22"/>
          <w:szCs w:val="22"/>
        </w:rPr>
      </w:pPr>
    </w:p>
    <w:p w:rsidR="00407BEE" w:rsidRPr="00E37D2A" w:rsidRDefault="00407BEE" w:rsidP="00620AEA">
      <w:pPr>
        <w:pStyle w:val="Odstavecseseznamem"/>
        <w:ind w:left="0"/>
        <w:jc w:val="both"/>
        <w:rPr>
          <w:rFonts w:cs="Arial"/>
          <w:b/>
          <w:sz w:val="22"/>
          <w:szCs w:val="22"/>
        </w:rPr>
      </w:pPr>
      <w:r w:rsidRPr="00E37D2A">
        <w:rPr>
          <w:rFonts w:cs="Arial"/>
          <w:b/>
          <w:sz w:val="22"/>
          <w:szCs w:val="22"/>
        </w:rPr>
        <w:t xml:space="preserve">2. Financování elektrizace </w:t>
      </w:r>
      <w:r w:rsidR="00B865E0">
        <w:rPr>
          <w:rFonts w:cs="Arial"/>
          <w:b/>
          <w:sz w:val="22"/>
          <w:szCs w:val="22"/>
        </w:rPr>
        <w:t xml:space="preserve">železničních </w:t>
      </w:r>
      <w:r w:rsidRPr="00E37D2A">
        <w:rPr>
          <w:rFonts w:cs="Arial"/>
          <w:b/>
          <w:sz w:val="22"/>
          <w:szCs w:val="22"/>
        </w:rPr>
        <w:t>tratí</w:t>
      </w:r>
    </w:p>
    <w:p w:rsidR="00620AEA" w:rsidRDefault="00620AEA" w:rsidP="00620AEA">
      <w:pPr>
        <w:jc w:val="both"/>
        <w:rPr>
          <w:rFonts w:cs="Arial"/>
          <w:bCs/>
          <w:sz w:val="22"/>
          <w:szCs w:val="22"/>
        </w:rPr>
      </w:pPr>
    </w:p>
    <w:p w:rsidR="007D022E" w:rsidRDefault="00407BEE" w:rsidP="00620AEA">
      <w:pPr>
        <w:jc w:val="both"/>
        <w:rPr>
          <w:rFonts w:cs="Arial"/>
          <w:color w:val="000000"/>
          <w:sz w:val="22"/>
          <w:szCs w:val="22"/>
        </w:rPr>
      </w:pPr>
      <w:r w:rsidRPr="00E37D2A">
        <w:rPr>
          <w:rFonts w:cs="Arial"/>
          <w:bCs/>
          <w:sz w:val="22"/>
          <w:szCs w:val="22"/>
        </w:rPr>
        <w:t xml:space="preserve">Výstavba a modernizace </w:t>
      </w:r>
      <w:r w:rsidRPr="00E37D2A">
        <w:rPr>
          <w:rFonts w:cs="Arial"/>
          <w:color w:val="000000"/>
          <w:sz w:val="22"/>
          <w:szCs w:val="22"/>
        </w:rPr>
        <w:t xml:space="preserve">železniční infrastruktury ve správě </w:t>
      </w:r>
      <w:r w:rsidRPr="00E37D2A">
        <w:rPr>
          <w:rFonts w:cs="Arial"/>
          <w:sz w:val="22"/>
          <w:szCs w:val="22"/>
        </w:rPr>
        <w:t>SŽDC</w:t>
      </w:r>
      <w:r w:rsidRPr="00E37D2A">
        <w:rPr>
          <w:rFonts w:cs="Arial"/>
          <w:color w:val="000000"/>
          <w:sz w:val="22"/>
          <w:szCs w:val="22"/>
        </w:rPr>
        <w:t xml:space="preserve"> byla financována </w:t>
      </w:r>
      <w:bookmarkStart w:id="0" w:name="_GoBack"/>
      <w:bookmarkEnd w:id="0"/>
      <w:r w:rsidRPr="00E37D2A">
        <w:rPr>
          <w:rFonts w:cs="Arial"/>
          <w:color w:val="000000"/>
          <w:sz w:val="22"/>
          <w:szCs w:val="22"/>
        </w:rPr>
        <w:t xml:space="preserve">z rozpočtu SFDI a dále z prostředků OPD, úvěrů poskytnutých </w:t>
      </w:r>
      <w:r w:rsidR="00626988">
        <w:rPr>
          <w:rFonts w:cs="Arial"/>
          <w:color w:val="000000"/>
          <w:sz w:val="22"/>
          <w:szCs w:val="22"/>
        </w:rPr>
        <w:t xml:space="preserve">Evropskou investiční bankou </w:t>
      </w:r>
      <w:r w:rsidRPr="00E37D2A">
        <w:rPr>
          <w:rFonts w:cs="Arial"/>
          <w:color w:val="000000"/>
          <w:sz w:val="22"/>
          <w:szCs w:val="22"/>
        </w:rPr>
        <w:t>(dále také „EIB“) a ostatních fondů Evropské unie (dále také „</w:t>
      </w:r>
      <w:r w:rsidR="00D77412">
        <w:rPr>
          <w:rFonts w:cs="Arial"/>
          <w:color w:val="000000"/>
          <w:sz w:val="22"/>
          <w:szCs w:val="22"/>
        </w:rPr>
        <w:t>f</w:t>
      </w:r>
      <w:r w:rsidRPr="00E37D2A">
        <w:rPr>
          <w:rFonts w:cs="Arial"/>
          <w:color w:val="000000"/>
          <w:sz w:val="22"/>
          <w:szCs w:val="22"/>
        </w:rPr>
        <w:t xml:space="preserve">ondy EU“). </w:t>
      </w:r>
      <w:r w:rsidRPr="00E37D2A">
        <w:rPr>
          <w:rFonts w:cs="Arial"/>
          <w:sz w:val="22"/>
          <w:szCs w:val="22"/>
        </w:rPr>
        <w:t xml:space="preserve">Údaje jen za projekty </w:t>
      </w:r>
      <w:r w:rsidRPr="00E37D2A">
        <w:rPr>
          <w:rFonts w:cs="Arial"/>
          <w:bCs/>
          <w:sz w:val="22"/>
          <w:szCs w:val="22"/>
        </w:rPr>
        <w:t xml:space="preserve">elektrizace, resp. modernizace železničních tratí mimo síť TEN-T </w:t>
      </w:r>
      <w:r w:rsidRPr="00E37D2A">
        <w:rPr>
          <w:rFonts w:cs="Arial"/>
          <w:sz w:val="22"/>
          <w:szCs w:val="22"/>
        </w:rPr>
        <w:t xml:space="preserve">není možno souhrnně vyčíslit, neboť nejsou samostatně sledovány. </w:t>
      </w:r>
      <w:r w:rsidRPr="00E37D2A">
        <w:rPr>
          <w:rFonts w:cs="Arial"/>
          <w:color w:val="000000"/>
          <w:sz w:val="22"/>
          <w:szCs w:val="22"/>
        </w:rPr>
        <w:t>Přehled o objemu plánovaných prostředků dle jednotlivých zdrojů financování je uveden v tabulce č. 1.</w:t>
      </w:r>
    </w:p>
    <w:p w:rsidR="00A57030" w:rsidRPr="00E37D2A" w:rsidRDefault="00A57030" w:rsidP="00620AEA">
      <w:pPr>
        <w:jc w:val="both"/>
        <w:rPr>
          <w:rFonts w:cs="Arial"/>
          <w:color w:val="000000"/>
          <w:sz w:val="22"/>
          <w:szCs w:val="22"/>
        </w:rPr>
      </w:pPr>
    </w:p>
    <w:p w:rsidR="00407BEE" w:rsidRPr="00A84518" w:rsidRDefault="00407BEE" w:rsidP="00D77412">
      <w:pPr>
        <w:tabs>
          <w:tab w:val="left" w:pos="1560"/>
          <w:tab w:val="left" w:pos="7938"/>
        </w:tabs>
        <w:spacing w:after="40"/>
        <w:ind w:left="1560" w:hanging="1560"/>
        <w:jc w:val="both"/>
        <w:rPr>
          <w:rFonts w:cs="Arial"/>
          <w:b/>
          <w:sz w:val="22"/>
          <w:szCs w:val="22"/>
        </w:rPr>
      </w:pPr>
      <w:r w:rsidRPr="00A84518">
        <w:rPr>
          <w:rFonts w:cs="Arial"/>
          <w:b/>
          <w:sz w:val="22"/>
          <w:szCs w:val="22"/>
        </w:rPr>
        <w:t>Tabulka č. 1</w:t>
      </w:r>
      <w:r w:rsidR="00D77412">
        <w:rPr>
          <w:rFonts w:cs="Arial"/>
          <w:b/>
          <w:sz w:val="22"/>
          <w:szCs w:val="22"/>
        </w:rPr>
        <w:t xml:space="preserve"> –</w:t>
      </w:r>
      <w:r w:rsidRPr="00A84518">
        <w:rPr>
          <w:rFonts w:cs="Arial"/>
          <w:b/>
          <w:sz w:val="22"/>
          <w:szCs w:val="22"/>
        </w:rPr>
        <w:tab/>
      </w:r>
      <w:r w:rsidR="00953AB0" w:rsidRPr="00C70A6A">
        <w:rPr>
          <w:rFonts w:cs="Arial"/>
          <w:b/>
          <w:sz w:val="22"/>
          <w:szCs w:val="22"/>
        </w:rPr>
        <w:t>Zdroje financování výstavby a modernizace</w:t>
      </w:r>
      <w:r w:rsidR="00A362EC" w:rsidRPr="00C70A6A">
        <w:rPr>
          <w:rFonts w:cs="Arial"/>
          <w:b/>
          <w:sz w:val="22"/>
          <w:szCs w:val="22"/>
        </w:rPr>
        <w:t xml:space="preserve"> železničních tratí</w:t>
      </w:r>
      <w:r w:rsidR="002B5F30" w:rsidRPr="00C70A6A">
        <w:rPr>
          <w:rFonts w:cs="Arial"/>
          <w:b/>
          <w:sz w:val="22"/>
          <w:szCs w:val="22"/>
        </w:rPr>
        <w:t xml:space="preserve"> </w:t>
      </w:r>
      <w:r w:rsidR="00953AB0" w:rsidRPr="00C70A6A">
        <w:rPr>
          <w:rFonts w:cs="Arial"/>
          <w:b/>
          <w:sz w:val="22"/>
          <w:szCs w:val="22"/>
        </w:rPr>
        <w:t>ve správě SŽDC (v</w:t>
      </w:r>
      <w:r w:rsidR="00A84518" w:rsidRPr="00C70A6A">
        <w:rPr>
          <w:rFonts w:cs="Arial"/>
          <w:b/>
          <w:sz w:val="22"/>
          <w:szCs w:val="22"/>
        </w:rPr>
        <w:t> </w:t>
      </w:r>
      <w:r w:rsidR="00953AB0" w:rsidRPr="00C70A6A">
        <w:rPr>
          <w:rFonts w:cs="Arial"/>
          <w:b/>
          <w:sz w:val="22"/>
          <w:szCs w:val="22"/>
        </w:rPr>
        <w:t>síti i</w:t>
      </w:r>
      <w:r w:rsidR="00A84518" w:rsidRPr="00C70A6A">
        <w:rPr>
          <w:rFonts w:cs="Arial"/>
          <w:b/>
          <w:sz w:val="22"/>
          <w:szCs w:val="22"/>
        </w:rPr>
        <w:t> </w:t>
      </w:r>
      <w:r w:rsidR="00953AB0" w:rsidRPr="00C70A6A">
        <w:rPr>
          <w:rFonts w:cs="Arial"/>
          <w:b/>
          <w:bCs/>
          <w:sz w:val="22"/>
          <w:szCs w:val="22"/>
        </w:rPr>
        <w:t>mimo síť TEN-T)</w:t>
      </w:r>
      <w:r w:rsidR="00953AB0" w:rsidRPr="00A84518">
        <w:rPr>
          <w:rFonts w:cs="Arial"/>
          <w:bCs/>
          <w:sz w:val="22"/>
          <w:szCs w:val="22"/>
        </w:rPr>
        <w:tab/>
      </w:r>
      <w:r w:rsidR="00A86BC6">
        <w:rPr>
          <w:rFonts w:cs="Arial"/>
          <w:b/>
          <w:bCs/>
          <w:sz w:val="22"/>
          <w:szCs w:val="22"/>
        </w:rPr>
        <w:t>(</w:t>
      </w:r>
      <w:r w:rsidRPr="00A84518">
        <w:rPr>
          <w:rFonts w:cs="Arial"/>
          <w:b/>
          <w:sz w:val="22"/>
          <w:szCs w:val="22"/>
        </w:rPr>
        <w:t>v tis. Kč</w:t>
      </w:r>
      <w:r w:rsidR="00A86BC6">
        <w:rPr>
          <w:rFonts w:cs="Arial"/>
          <w:b/>
          <w:sz w:val="22"/>
          <w:szCs w:val="22"/>
        </w:rPr>
        <w:t>)</w:t>
      </w:r>
    </w:p>
    <w:tbl>
      <w:tblPr>
        <w:tblW w:w="8997" w:type="dxa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8"/>
        <w:gridCol w:w="1514"/>
        <w:gridCol w:w="1514"/>
        <w:gridCol w:w="1513"/>
        <w:gridCol w:w="1514"/>
        <w:gridCol w:w="1514"/>
      </w:tblGrid>
      <w:tr w:rsidR="00407BEE" w:rsidRPr="00E37D2A" w:rsidTr="000768EE">
        <w:trPr>
          <w:trHeight w:val="283"/>
          <w:jc w:val="center"/>
        </w:trPr>
        <w:tc>
          <w:tcPr>
            <w:tcW w:w="1428" w:type="dxa"/>
            <w:shd w:val="clear" w:color="auto" w:fill="C6D9F1" w:themeFill="text2" w:themeFillTint="33"/>
            <w:vAlign w:val="center"/>
          </w:tcPr>
          <w:p w:rsidR="00407BEE" w:rsidRPr="00E37D2A" w:rsidRDefault="0095433F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514" w:type="dxa"/>
            <w:shd w:val="clear" w:color="auto" w:fill="C6D9F1" w:themeFill="text2" w:themeFillTint="33"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SFDI</w:t>
            </w:r>
          </w:p>
        </w:tc>
        <w:tc>
          <w:tcPr>
            <w:tcW w:w="1514" w:type="dxa"/>
            <w:shd w:val="clear" w:color="auto" w:fill="C6D9F1" w:themeFill="text2" w:themeFillTint="33"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OPD</w:t>
            </w:r>
          </w:p>
        </w:tc>
        <w:tc>
          <w:tcPr>
            <w:tcW w:w="1513" w:type="dxa"/>
            <w:shd w:val="clear" w:color="auto" w:fill="C6D9F1" w:themeFill="text2" w:themeFillTint="33"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Fondy EU</w:t>
            </w:r>
          </w:p>
        </w:tc>
        <w:tc>
          <w:tcPr>
            <w:tcW w:w="1514" w:type="dxa"/>
            <w:shd w:val="clear" w:color="auto" w:fill="C6D9F1" w:themeFill="text2" w:themeFillTint="33"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514" w:type="dxa"/>
            <w:shd w:val="clear" w:color="auto" w:fill="C6D9F1" w:themeFill="text2" w:themeFillTint="33"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Kapitálové výdaje celkem</w:t>
            </w:r>
          </w:p>
        </w:tc>
      </w:tr>
      <w:tr w:rsidR="00407BEE" w:rsidRPr="00E37D2A" w:rsidTr="000768EE">
        <w:trPr>
          <w:trHeight w:val="283"/>
          <w:jc w:val="center"/>
        </w:trPr>
        <w:tc>
          <w:tcPr>
            <w:tcW w:w="1428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7 000 535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11 735 928</w:t>
            </w:r>
          </w:p>
        </w:tc>
        <w:tc>
          <w:tcPr>
            <w:tcW w:w="1513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1 778 278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4 684 720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25 199 461</w:t>
            </w:r>
          </w:p>
        </w:tc>
      </w:tr>
      <w:tr w:rsidR="00407BEE" w:rsidRPr="00E37D2A" w:rsidTr="000768EE">
        <w:trPr>
          <w:trHeight w:val="283"/>
          <w:jc w:val="center"/>
        </w:trPr>
        <w:tc>
          <w:tcPr>
            <w:tcW w:w="1428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4 948 130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11 430 975</w:t>
            </w:r>
          </w:p>
        </w:tc>
        <w:tc>
          <w:tcPr>
            <w:tcW w:w="1513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4 655 683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21 034 788</w:t>
            </w:r>
          </w:p>
        </w:tc>
      </w:tr>
      <w:tr w:rsidR="00407BEE" w:rsidRPr="00E37D2A" w:rsidTr="000768EE">
        <w:trPr>
          <w:trHeight w:val="283"/>
          <w:jc w:val="center"/>
        </w:trPr>
        <w:tc>
          <w:tcPr>
            <w:tcW w:w="1428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4 790 009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6 521 500</w:t>
            </w:r>
          </w:p>
        </w:tc>
        <w:tc>
          <w:tcPr>
            <w:tcW w:w="1513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3 692 710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15 004 219</w:t>
            </w:r>
          </w:p>
        </w:tc>
      </w:tr>
      <w:tr w:rsidR="00407BEE" w:rsidRPr="00E37D2A" w:rsidTr="000768EE">
        <w:trPr>
          <w:trHeight w:val="283"/>
          <w:jc w:val="center"/>
        </w:trPr>
        <w:tc>
          <w:tcPr>
            <w:tcW w:w="1428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6 125 867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11 931 839</w:t>
            </w:r>
          </w:p>
        </w:tc>
        <w:tc>
          <w:tcPr>
            <w:tcW w:w="1513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2 202 477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20 260 183</w:t>
            </w:r>
          </w:p>
        </w:tc>
      </w:tr>
      <w:tr w:rsidR="00407BEE" w:rsidRPr="00E37D2A" w:rsidTr="000768EE">
        <w:trPr>
          <w:trHeight w:val="283"/>
          <w:jc w:val="center"/>
        </w:trPr>
        <w:tc>
          <w:tcPr>
            <w:tcW w:w="1428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14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14 843 000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10 938 000</w:t>
            </w:r>
          </w:p>
        </w:tc>
        <w:tc>
          <w:tcPr>
            <w:tcW w:w="1513" w:type="dxa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336 000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color w:val="000000"/>
                <w:sz w:val="18"/>
                <w:szCs w:val="18"/>
              </w:rPr>
              <w:t>26 117 000</w:t>
            </w:r>
          </w:p>
        </w:tc>
      </w:tr>
      <w:tr w:rsidR="00407BEE" w:rsidRPr="00E37D2A" w:rsidTr="000768EE">
        <w:trPr>
          <w:trHeight w:val="283"/>
          <w:jc w:val="center"/>
        </w:trPr>
        <w:tc>
          <w:tcPr>
            <w:tcW w:w="1428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37 707 541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52 558 242</w:t>
            </w:r>
          </w:p>
        </w:tc>
        <w:tc>
          <w:tcPr>
            <w:tcW w:w="1513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1 778 278</w:t>
            </w:r>
          </w:p>
        </w:tc>
        <w:tc>
          <w:tcPr>
            <w:tcW w:w="1514" w:type="dxa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15 571 590</w:t>
            </w:r>
          </w:p>
        </w:tc>
        <w:tc>
          <w:tcPr>
            <w:tcW w:w="1514" w:type="dxa"/>
            <w:shd w:val="clear" w:color="000000" w:fill="FFFFFF" w:themeFill="background1"/>
            <w:noWrap/>
            <w:vAlign w:val="center"/>
          </w:tcPr>
          <w:p w:rsidR="00407BEE" w:rsidRPr="00E37D2A" w:rsidRDefault="00407BEE" w:rsidP="00A84518">
            <w:pPr>
              <w:spacing w:before="20" w:after="20"/>
              <w:ind w:right="112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37D2A">
              <w:rPr>
                <w:rFonts w:cs="Arial"/>
                <w:b/>
                <w:bCs/>
                <w:color w:val="000000"/>
                <w:sz w:val="18"/>
                <w:szCs w:val="18"/>
              </w:rPr>
              <w:t>107 615 651</w:t>
            </w:r>
          </w:p>
        </w:tc>
      </w:tr>
    </w:tbl>
    <w:p w:rsidR="00407BEE" w:rsidRPr="00A84518" w:rsidRDefault="00407BEE" w:rsidP="00AB4189">
      <w:pPr>
        <w:tabs>
          <w:tab w:val="left" w:pos="567"/>
        </w:tabs>
        <w:spacing w:before="40"/>
        <w:jc w:val="both"/>
        <w:rPr>
          <w:rFonts w:cs="Arial"/>
          <w:sz w:val="18"/>
          <w:szCs w:val="18"/>
        </w:rPr>
      </w:pPr>
      <w:r w:rsidRPr="00AB4189">
        <w:rPr>
          <w:rFonts w:cs="Arial"/>
          <w:b/>
          <w:sz w:val="18"/>
          <w:szCs w:val="18"/>
        </w:rPr>
        <w:t xml:space="preserve">Zdroj: </w:t>
      </w:r>
      <w:r w:rsidR="00AB4189">
        <w:rPr>
          <w:rFonts w:cs="Arial"/>
          <w:sz w:val="18"/>
          <w:szCs w:val="18"/>
        </w:rPr>
        <w:tab/>
      </w:r>
      <w:r w:rsidR="00A86BC6">
        <w:rPr>
          <w:rFonts w:cs="Arial"/>
          <w:sz w:val="18"/>
          <w:szCs w:val="18"/>
        </w:rPr>
        <w:t>s</w:t>
      </w:r>
      <w:r w:rsidRPr="00A84518">
        <w:rPr>
          <w:rFonts w:cs="Arial"/>
          <w:sz w:val="18"/>
          <w:szCs w:val="18"/>
        </w:rPr>
        <w:t>chválené rozpočty SFDI pro roky 2009</w:t>
      </w:r>
      <w:r w:rsidR="00FF327F" w:rsidRPr="00A84518">
        <w:rPr>
          <w:rFonts w:cs="Arial"/>
          <w:sz w:val="18"/>
          <w:szCs w:val="18"/>
        </w:rPr>
        <w:t>–</w:t>
      </w:r>
      <w:r w:rsidRPr="00A84518">
        <w:rPr>
          <w:rFonts w:cs="Arial"/>
          <w:sz w:val="18"/>
          <w:szCs w:val="18"/>
        </w:rPr>
        <w:t>2013.</w:t>
      </w:r>
    </w:p>
    <w:p w:rsidR="00A84518" w:rsidRPr="00A84518" w:rsidRDefault="00A84518" w:rsidP="00A84518">
      <w:pPr>
        <w:jc w:val="both"/>
        <w:rPr>
          <w:rFonts w:cs="Arial"/>
          <w:bCs/>
          <w:sz w:val="22"/>
          <w:szCs w:val="22"/>
        </w:rPr>
      </w:pPr>
    </w:p>
    <w:p w:rsidR="00407BEE" w:rsidRPr="00A84518" w:rsidRDefault="00407BEE" w:rsidP="00A84518">
      <w:pPr>
        <w:jc w:val="both"/>
        <w:rPr>
          <w:rFonts w:cs="Arial"/>
          <w:bCs/>
          <w:sz w:val="22"/>
          <w:szCs w:val="22"/>
        </w:rPr>
      </w:pPr>
      <w:r w:rsidRPr="00A84518">
        <w:rPr>
          <w:rFonts w:cs="Arial"/>
          <w:bCs/>
          <w:sz w:val="22"/>
          <w:szCs w:val="22"/>
        </w:rPr>
        <w:t xml:space="preserve">Přehled o rozpočtovaných a skutečných investičních výdajích SFDI na </w:t>
      </w:r>
      <w:r w:rsidR="005236ED" w:rsidRPr="00A84518">
        <w:rPr>
          <w:rFonts w:cs="Arial"/>
          <w:sz w:val="22"/>
          <w:szCs w:val="22"/>
        </w:rPr>
        <w:t>výstavbu a </w:t>
      </w:r>
      <w:r w:rsidRPr="00A84518">
        <w:rPr>
          <w:rFonts w:cs="Arial"/>
          <w:sz w:val="22"/>
          <w:szCs w:val="22"/>
        </w:rPr>
        <w:t xml:space="preserve">modernizaci železničních tratí ve správě SŽDC </w:t>
      </w:r>
      <w:r w:rsidRPr="00A84518">
        <w:rPr>
          <w:rFonts w:cs="Arial"/>
          <w:color w:val="000000"/>
          <w:sz w:val="22"/>
          <w:szCs w:val="22"/>
        </w:rPr>
        <w:t>(v síti i mimo síť TEN-T)</w:t>
      </w:r>
      <w:r w:rsidRPr="00A84518">
        <w:rPr>
          <w:rFonts w:cs="Arial"/>
          <w:sz w:val="22"/>
          <w:szCs w:val="22"/>
        </w:rPr>
        <w:t xml:space="preserve"> </w:t>
      </w:r>
      <w:r w:rsidRPr="00A84518">
        <w:rPr>
          <w:rFonts w:cs="Arial"/>
          <w:bCs/>
          <w:sz w:val="22"/>
          <w:szCs w:val="22"/>
        </w:rPr>
        <w:t>včetně národního podílu a předfinancování akcí spolufinancovaných z </w:t>
      </w:r>
      <w:r w:rsidR="00D77412">
        <w:rPr>
          <w:rFonts w:cs="Arial"/>
          <w:bCs/>
          <w:sz w:val="22"/>
          <w:szCs w:val="22"/>
        </w:rPr>
        <w:t>f</w:t>
      </w:r>
      <w:r w:rsidR="005236ED" w:rsidRPr="00A84518">
        <w:rPr>
          <w:rFonts w:cs="Arial"/>
          <w:bCs/>
          <w:sz w:val="22"/>
          <w:szCs w:val="22"/>
        </w:rPr>
        <w:t>ondů EU je uveden v tabulce č. </w:t>
      </w:r>
      <w:r w:rsidRPr="00A84518">
        <w:rPr>
          <w:rFonts w:cs="Arial"/>
          <w:bCs/>
          <w:sz w:val="22"/>
          <w:szCs w:val="22"/>
        </w:rPr>
        <w:t>2.</w:t>
      </w:r>
    </w:p>
    <w:p w:rsidR="00575D7E" w:rsidRPr="00A84518" w:rsidRDefault="00575D7E" w:rsidP="00A84518">
      <w:pPr>
        <w:jc w:val="both"/>
        <w:rPr>
          <w:rFonts w:cs="Arial"/>
          <w:sz w:val="22"/>
          <w:szCs w:val="22"/>
        </w:rPr>
      </w:pPr>
    </w:p>
    <w:p w:rsidR="00407BEE" w:rsidRPr="00A84518" w:rsidRDefault="00407BEE" w:rsidP="00D77412">
      <w:pPr>
        <w:tabs>
          <w:tab w:val="left" w:pos="1560"/>
          <w:tab w:val="left" w:pos="7938"/>
        </w:tabs>
        <w:spacing w:after="40"/>
        <w:ind w:left="1560" w:hanging="1560"/>
        <w:jc w:val="both"/>
        <w:rPr>
          <w:rFonts w:cs="Arial"/>
          <w:b/>
          <w:sz w:val="22"/>
          <w:szCs w:val="22"/>
        </w:rPr>
      </w:pPr>
      <w:r w:rsidRPr="00A84518">
        <w:rPr>
          <w:rFonts w:cs="Arial"/>
          <w:b/>
          <w:sz w:val="22"/>
          <w:szCs w:val="22"/>
        </w:rPr>
        <w:t>Tabulka č. 2</w:t>
      </w:r>
      <w:r w:rsidR="00D77412">
        <w:rPr>
          <w:rFonts w:cs="Arial"/>
          <w:b/>
          <w:sz w:val="22"/>
          <w:szCs w:val="22"/>
        </w:rPr>
        <w:t xml:space="preserve"> –</w:t>
      </w:r>
      <w:r w:rsidRPr="00A84518">
        <w:rPr>
          <w:rFonts w:cs="Arial"/>
          <w:b/>
          <w:sz w:val="22"/>
          <w:szCs w:val="22"/>
        </w:rPr>
        <w:tab/>
      </w:r>
      <w:r w:rsidR="00FE28C7" w:rsidRPr="00C70A6A">
        <w:rPr>
          <w:rFonts w:cs="Arial"/>
          <w:b/>
          <w:sz w:val="22"/>
          <w:szCs w:val="22"/>
        </w:rPr>
        <w:t>Výdaje SFDI na výstavbu a modernizaci železničních tratí ve správě SŽDC</w:t>
      </w:r>
      <w:r w:rsidR="006538CE" w:rsidRPr="00C70A6A">
        <w:rPr>
          <w:rFonts w:cs="Arial"/>
          <w:b/>
          <w:sz w:val="22"/>
          <w:szCs w:val="22"/>
        </w:rPr>
        <w:t xml:space="preserve"> </w:t>
      </w:r>
      <w:r w:rsidR="00A84518">
        <w:rPr>
          <w:rFonts w:cs="Arial"/>
          <w:sz w:val="22"/>
          <w:szCs w:val="22"/>
        </w:rPr>
        <w:tab/>
      </w:r>
      <w:r w:rsidR="00A86BC6">
        <w:rPr>
          <w:rFonts w:cs="Arial"/>
          <w:b/>
          <w:sz w:val="22"/>
          <w:szCs w:val="22"/>
        </w:rPr>
        <w:t>(</w:t>
      </w:r>
      <w:r w:rsidRPr="00A84518">
        <w:rPr>
          <w:rFonts w:cs="Arial"/>
          <w:b/>
          <w:sz w:val="22"/>
          <w:szCs w:val="22"/>
        </w:rPr>
        <w:t>v tis. Kč</w:t>
      </w:r>
      <w:r w:rsidR="00A86BC6">
        <w:rPr>
          <w:rFonts w:cs="Arial"/>
          <w:b/>
          <w:sz w:val="22"/>
          <w:szCs w:val="22"/>
        </w:rPr>
        <w:t>)</w:t>
      </w:r>
    </w:p>
    <w:tbl>
      <w:tblPr>
        <w:tblW w:w="8991" w:type="dxa"/>
        <w:jc w:val="center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621"/>
        <w:gridCol w:w="1559"/>
        <w:gridCol w:w="1276"/>
        <w:gridCol w:w="1843"/>
        <w:gridCol w:w="1275"/>
      </w:tblGrid>
      <w:tr w:rsidR="00407BEE" w:rsidRPr="00A84518" w:rsidTr="00F32CD9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A84518">
              <w:rPr>
                <w:rFonts w:cs="Arial"/>
                <w:b/>
                <w:sz w:val="18"/>
                <w:szCs w:val="18"/>
              </w:rPr>
              <w:t>Rok</w:t>
            </w:r>
          </w:p>
        </w:tc>
        <w:tc>
          <w:tcPr>
            <w:tcW w:w="3180" w:type="dxa"/>
            <w:gridSpan w:val="2"/>
            <w:shd w:val="clear" w:color="auto" w:fill="C6D9F1" w:themeFill="text2" w:themeFillTint="33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A84518">
              <w:rPr>
                <w:rFonts w:cs="Arial"/>
                <w:b/>
                <w:sz w:val="18"/>
                <w:szCs w:val="18"/>
              </w:rPr>
              <w:t>Rozpočet SFDI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407BEE" w:rsidRPr="00A84518" w:rsidRDefault="00121C7F" w:rsidP="00A84518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A84518">
              <w:rPr>
                <w:rFonts w:cs="Arial"/>
                <w:b/>
                <w:sz w:val="18"/>
                <w:szCs w:val="18"/>
              </w:rPr>
              <w:t>P</w:t>
            </w:r>
            <w:r w:rsidR="00280565" w:rsidRPr="00A84518">
              <w:rPr>
                <w:rFonts w:cs="Arial"/>
                <w:b/>
                <w:sz w:val="18"/>
                <w:szCs w:val="18"/>
              </w:rPr>
              <w:t>odíl UR na SR v %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A84518">
              <w:rPr>
                <w:rFonts w:cs="Arial"/>
                <w:b/>
                <w:sz w:val="18"/>
                <w:szCs w:val="18"/>
              </w:rPr>
              <w:t>Skutečně čerpáno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  <w:vAlign w:val="center"/>
          </w:tcPr>
          <w:p w:rsidR="00407BEE" w:rsidRPr="00A84518" w:rsidRDefault="006552EA" w:rsidP="00A84518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</w:t>
            </w:r>
            <w:r w:rsidR="00407BEE" w:rsidRPr="00A84518">
              <w:rPr>
                <w:rFonts w:cs="Arial"/>
                <w:b/>
                <w:sz w:val="18"/>
                <w:szCs w:val="18"/>
              </w:rPr>
              <w:t>erpání UR</w:t>
            </w:r>
            <w:r w:rsidR="00977E4E" w:rsidRPr="00A84518">
              <w:rPr>
                <w:rFonts w:cs="Arial"/>
                <w:b/>
                <w:sz w:val="18"/>
                <w:szCs w:val="18"/>
              </w:rPr>
              <w:t xml:space="preserve"> v %</w:t>
            </w:r>
          </w:p>
        </w:tc>
      </w:tr>
      <w:tr w:rsidR="00407BEE" w:rsidRPr="00A84518" w:rsidTr="00F32CD9">
        <w:trPr>
          <w:trHeight w:val="283"/>
          <w:jc w:val="center"/>
        </w:trPr>
        <w:tc>
          <w:tcPr>
            <w:tcW w:w="1417" w:type="dxa"/>
            <w:vMerge/>
            <w:vAlign w:val="center"/>
          </w:tcPr>
          <w:p w:rsidR="00407BEE" w:rsidRPr="00A84518" w:rsidRDefault="00407BEE" w:rsidP="00A84518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C6D9F1" w:themeFill="text2" w:themeFillTint="33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84518">
              <w:rPr>
                <w:rFonts w:cs="Arial"/>
                <w:b/>
                <w:sz w:val="18"/>
                <w:szCs w:val="18"/>
              </w:rPr>
              <w:t>Schválený (SR)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A84518">
              <w:rPr>
                <w:rFonts w:cs="Arial"/>
                <w:b/>
                <w:sz w:val="18"/>
                <w:szCs w:val="18"/>
              </w:rPr>
              <w:t>Upravený (UR)</w:t>
            </w:r>
          </w:p>
        </w:tc>
        <w:tc>
          <w:tcPr>
            <w:tcW w:w="1276" w:type="dxa"/>
            <w:vMerge/>
            <w:vAlign w:val="center"/>
          </w:tcPr>
          <w:p w:rsidR="00407BEE" w:rsidRPr="00A84518" w:rsidRDefault="00407BEE" w:rsidP="00A84518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07BEE" w:rsidRPr="00A84518" w:rsidRDefault="00407BEE" w:rsidP="00A84518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07BEE" w:rsidRPr="00A84518" w:rsidRDefault="00407BEE" w:rsidP="00A84518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07BEE" w:rsidRPr="00A84518" w:rsidTr="00F32CD9">
        <w:trPr>
          <w:trHeight w:val="283"/>
          <w:jc w:val="center"/>
        </w:trPr>
        <w:tc>
          <w:tcPr>
            <w:tcW w:w="1417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84518">
              <w:rPr>
                <w:rFonts w:cs="Arial"/>
                <w:sz w:val="18"/>
                <w:szCs w:val="18"/>
              </w:rPr>
              <w:t>2009</w:t>
            </w:r>
          </w:p>
        </w:tc>
        <w:tc>
          <w:tcPr>
            <w:tcW w:w="1621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25 199 461</w:t>
            </w:r>
          </w:p>
        </w:tc>
        <w:tc>
          <w:tcPr>
            <w:tcW w:w="1559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20 023 212</w:t>
            </w:r>
          </w:p>
        </w:tc>
        <w:tc>
          <w:tcPr>
            <w:tcW w:w="1276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843" w:type="dxa"/>
            <w:vAlign w:val="center"/>
          </w:tcPr>
          <w:p w:rsidR="00407BEE" w:rsidRPr="00A84518" w:rsidRDefault="00407BEE" w:rsidP="00D6655F">
            <w:pPr>
              <w:tabs>
                <w:tab w:val="left" w:pos="1518"/>
              </w:tabs>
              <w:spacing w:before="20" w:after="20"/>
              <w:ind w:right="113" w:firstLineChars="300" w:firstLine="54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18 883 022</w:t>
            </w:r>
          </w:p>
        </w:tc>
        <w:tc>
          <w:tcPr>
            <w:tcW w:w="1275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94,3</w:t>
            </w:r>
          </w:p>
        </w:tc>
      </w:tr>
      <w:tr w:rsidR="00407BEE" w:rsidRPr="00A84518" w:rsidTr="00F32CD9">
        <w:trPr>
          <w:trHeight w:val="283"/>
          <w:jc w:val="center"/>
        </w:trPr>
        <w:tc>
          <w:tcPr>
            <w:tcW w:w="1417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84518">
              <w:rPr>
                <w:rFonts w:cs="Arial"/>
                <w:sz w:val="18"/>
                <w:szCs w:val="18"/>
              </w:rPr>
              <w:t>2010</w:t>
            </w:r>
          </w:p>
        </w:tc>
        <w:tc>
          <w:tcPr>
            <w:tcW w:w="1621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21 034 788</w:t>
            </w:r>
          </w:p>
        </w:tc>
        <w:tc>
          <w:tcPr>
            <w:tcW w:w="1559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14 067 956</w:t>
            </w:r>
          </w:p>
        </w:tc>
        <w:tc>
          <w:tcPr>
            <w:tcW w:w="1276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843" w:type="dxa"/>
            <w:vAlign w:val="center"/>
          </w:tcPr>
          <w:p w:rsidR="00407BEE" w:rsidRPr="00A84518" w:rsidRDefault="00407BEE" w:rsidP="00D6655F">
            <w:pPr>
              <w:tabs>
                <w:tab w:val="left" w:pos="1518"/>
              </w:tabs>
              <w:spacing w:before="20" w:after="20"/>
              <w:ind w:right="113" w:firstLineChars="300" w:firstLine="54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14 030 323</w:t>
            </w:r>
          </w:p>
        </w:tc>
        <w:tc>
          <w:tcPr>
            <w:tcW w:w="1275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99,7</w:t>
            </w:r>
          </w:p>
        </w:tc>
      </w:tr>
      <w:tr w:rsidR="00407BEE" w:rsidRPr="00A84518" w:rsidTr="00F32CD9">
        <w:trPr>
          <w:trHeight w:val="283"/>
          <w:jc w:val="center"/>
        </w:trPr>
        <w:tc>
          <w:tcPr>
            <w:tcW w:w="1417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84518">
              <w:rPr>
                <w:rFonts w:cs="Arial"/>
                <w:sz w:val="18"/>
                <w:szCs w:val="18"/>
              </w:rPr>
              <w:t>2011</w:t>
            </w:r>
          </w:p>
        </w:tc>
        <w:tc>
          <w:tcPr>
            <w:tcW w:w="1621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15 004 219</w:t>
            </w:r>
          </w:p>
        </w:tc>
        <w:tc>
          <w:tcPr>
            <w:tcW w:w="1559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11 208 852</w:t>
            </w:r>
          </w:p>
        </w:tc>
        <w:tc>
          <w:tcPr>
            <w:tcW w:w="1276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843" w:type="dxa"/>
            <w:vAlign w:val="center"/>
          </w:tcPr>
          <w:p w:rsidR="00407BEE" w:rsidRPr="00A84518" w:rsidRDefault="00407BEE" w:rsidP="00D6655F">
            <w:pPr>
              <w:tabs>
                <w:tab w:val="left" w:pos="1518"/>
              </w:tabs>
              <w:spacing w:before="20" w:after="20"/>
              <w:ind w:right="113" w:firstLineChars="300" w:firstLine="54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10 901 737</w:t>
            </w:r>
          </w:p>
        </w:tc>
        <w:tc>
          <w:tcPr>
            <w:tcW w:w="1275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97,3</w:t>
            </w:r>
          </w:p>
        </w:tc>
      </w:tr>
      <w:tr w:rsidR="00407BEE" w:rsidRPr="00A84518" w:rsidTr="00F32CD9">
        <w:trPr>
          <w:trHeight w:val="283"/>
          <w:jc w:val="center"/>
        </w:trPr>
        <w:tc>
          <w:tcPr>
            <w:tcW w:w="1417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A84518"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1621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20 260 183</w:t>
            </w:r>
          </w:p>
        </w:tc>
        <w:tc>
          <w:tcPr>
            <w:tcW w:w="1559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10 424 288</w:t>
            </w:r>
          </w:p>
        </w:tc>
        <w:tc>
          <w:tcPr>
            <w:tcW w:w="1276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843" w:type="dxa"/>
            <w:vAlign w:val="center"/>
          </w:tcPr>
          <w:p w:rsidR="00407BEE" w:rsidRPr="00A84518" w:rsidRDefault="00407BEE" w:rsidP="00D6655F">
            <w:pPr>
              <w:tabs>
                <w:tab w:val="left" w:pos="1518"/>
              </w:tabs>
              <w:spacing w:before="20" w:after="20"/>
              <w:ind w:right="113" w:firstLineChars="300" w:firstLine="54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9 513</w:t>
            </w:r>
            <w:r w:rsidR="00BD127B" w:rsidRPr="00A84518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A84518">
              <w:rPr>
                <w:rFonts w:cs="Arial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1275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91,3</w:t>
            </w:r>
          </w:p>
        </w:tc>
      </w:tr>
      <w:tr w:rsidR="00407BEE" w:rsidRPr="00A84518" w:rsidTr="00F32CD9">
        <w:trPr>
          <w:trHeight w:val="283"/>
          <w:jc w:val="center"/>
        </w:trPr>
        <w:tc>
          <w:tcPr>
            <w:tcW w:w="1417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84518"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1621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26 116 697</w:t>
            </w:r>
          </w:p>
        </w:tc>
        <w:tc>
          <w:tcPr>
            <w:tcW w:w="1559" w:type="dxa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13 919 722</w:t>
            </w:r>
          </w:p>
        </w:tc>
        <w:tc>
          <w:tcPr>
            <w:tcW w:w="1276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843" w:type="dxa"/>
            <w:vAlign w:val="center"/>
          </w:tcPr>
          <w:p w:rsidR="00407BEE" w:rsidRPr="00A84518" w:rsidRDefault="00407BEE" w:rsidP="00D6655F">
            <w:pPr>
              <w:tabs>
                <w:tab w:val="left" w:pos="1518"/>
              </w:tabs>
              <w:spacing w:before="20" w:after="2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7 769</w:t>
            </w:r>
            <w:r w:rsidR="0083621A" w:rsidRPr="00A84518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A84518">
              <w:rPr>
                <w:rFonts w:cs="Arial"/>
                <w:color w:val="000000"/>
                <w:sz w:val="18"/>
                <w:szCs w:val="18"/>
              </w:rPr>
              <w:t>194</w:t>
            </w:r>
            <w:r w:rsidR="0083621A" w:rsidRPr="00A84518">
              <w:rPr>
                <w:rFonts w:cs="Arial"/>
                <w:color w:val="000000"/>
                <w:sz w:val="18"/>
                <w:szCs w:val="18"/>
              </w:rPr>
              <w:t>*)</w:t>
            </w:r>
          </w:p>
        </w:tc>
        <w:tc>
          <w:tcPr>
            <w:tcW w:w="1275" w:type="dxa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color w:val="000000"/>
                <w:sz w:val="18"/>
                <w:szCs w:val="18"/>
              </w:rPr>
              <w:t>55,8</w:t>
            </w:r>
          </w:p>
        </w:tc>
      </w:tr>
      <w:tr w:rsidR="00407BEE" w:rsidRPr="00A84518" w:rsidTr="00F32CD9">
        <w:trPr>
          <w:trHeight w:val="283"/>
          <w:jc w:val="center"/>
        </w:trPr>
        <w:tc>
          <w:tcPr>
            <w:tcW w:w="1417" w:type="dxa"/>
            <w:vAlign w:val="center"/>
          </w:tcPr>
          <w:p w:rsidR="00407BEE" w:rsidRPr="00A84518" w:rsidRDefault="00407BEE" w:rsidP="00A84518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A84518">
              <w:rPr>
                <w:rFonts w:cs="Arial"/>
                <w:b/>
                <w:sz w:val="18"/>
                <w:szCs w:val="18"/>
              </w:rPr>
              <w:t>Celkem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b/>
                <w:bCs/>
                <w:color w:val="000000"/>
                <w:sz w:val="18"/>
                <w:szCs w:val="18"/>
              </w:rPr>
              <w:t>107 615 348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7BEE" w:rsidRPr="00A84518" w:rsidRDefault="00407BEE" w:rsidP="00D6655F">
            <w:pPr>
              <w:spacing w:before="20" w:after="20"/>
              <w:ind w:right="34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b/>
                <w:bCs/>
                <w:color w:val="000000"/>
                <w:sz w:val="18"/>
                <w:szCs w:val="18"/>
              </w:rPr>
              <w:t>69 644 030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07BEE" w:rsidRPr="00A84518" w:rsidRDefault="00407BEE" w:rsidP="00D6655F">
            <w:pPr>
              <w:spacing w:before="20" w:after="20"/>
              <w:ind w:right="113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84518">
              <w:rPr>
                <w:rFonts w:cs="Arial"/>
                <w:b/>
                <w:bCs/>
                <w:color w:val="000000"/>
                <w:sz w:val="18"/>
                <w:szCs w:val="18"/>
              </w:rPr>
              <w:t>61 097 357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7BEE" w:rsidRPr="00A84518" w:rsidRDefault="00407BEE" w:rsidP="00A84518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07BEE" w:rsidRPr="00D6655F" w:rsidRDefault="00407BEE" w:rsidP="00D6655F">
      <w:pPr>
        <w:spacing w:before="40"/>
        <w:ind w:left="567" w:hanging="567"/>
        <w:jc w:val="both"/>
        <w:rPr>
          <w:rFonts w:cs="Arial"/>
          <w:sz w:val="18"/>
          <w:szCs w:val="18"/>
        </w:rPr>
      </w:pPr>
      <w:r w:rsidRPr="00D6655F">
        <w:rPr>
          <w:rFonts w:cs="Arial"/>
          <w:sz w:val="18"/>
          <w:szCs w:val="18"/>
        </w:rPr>
        <w:t>*) k 15. 8. 2013</w:t>
      </w:r>
      <w:r w:rsidR="00F02377" w:rsidRPr="00D6655F">
        <w:rPr>
          <w:rFonts w:cs="Arial"/>
          <w:sz w:val="18"/>
          <w:szCs w:val="18"/>
        </w:rPr>
        <w:t>.</w:t>
      </w:r>
    </w:p>
    <w:p w:rsidR="00407BEE" w:rsidRPr="00D6655F" w:rsidRDefault="00407BEE" w:rsidP="00D6655F">
      <w:pPr>
        <w:ind w:left="567" w:hanging="567"/>
        <w:jc w:val="both"/>
        <w:rPr>
          <w:rFonts w:cs="Arial"/>
          <w:sz w:val="18"/>
          <w:szCs w:val="18"/>
        </w:rPr>
      </w:pPr>
      <w:r w:rsidRPr="00AB4189">
        <w:rPr>
          <w:rFonts w:cs="Arial"/>
          <w:b/>
          <w:sz w:val="18"/>
          <w:szCs w:val="18"/>
        </w:rPr>
        <w:t>Zdroj:</w:t>
      </w:r>
      <w:r w:rsidRPr="00D6655F">
        <w:rPr>
          <w:rFonts w:cs="Arial"/>
          <w:sz w:val="18"/>
          <w:szCs w:val="18"/>
        </w:rPr>
        <w:t xml:space="preserve"> </w:t>
      </w:r>
      <w:r w:rsidR="00AB4189">
        <w:rPr>
          <w:rFonts w:cs="Arial"/>
          <w:sz w:val="18"/>
          <w:szCs w:val="18"/>
        </w:rPr>
        <w:tab/>
      </w:r>
      <w:r w:rsidR="00A86BC6">
        <w:rPr>
          <w:rFonts w:cs="Arial"/>
          <w:sz w:val="18"/>
          <w:szCs w:val="18"/>
        </w:rPr>
        <w:t>s</w:t>
      </w:r>
      <w:r w:rsidRPr="00D6655F">
        <w:rPr>
          <w:rFonts w:cs="Arial"/>
          <w:sz w:val="18"/>
          <w:szCs w:val="18"/>
        </w:rPr>
        <w:t xml:space="preserve">chválené rozpočty SFDI v letech </w:t>
      </w:r>
      <w:r w:rsidR="008555B5" w:rsidRPr="00D6655F">
        <w:rPr>
          <w:rFonts w:cs="Arial"/>
          <w:sz w:val="18"/>
          <w:szCs w:val="18"/>
        </w:rPr>
        <w:t xml:space="preserve">2009 </w:t>
      </w:r>
      <w:r w:rsidRPr="00D6655F">
        <w:rPr>
          <w:rFonts w:cs="Arial"/>
          <w:sz w:val="18"/>
          <w:szCs w:val="18"/>
        </w:rPr>
        <w:t xml:space="preserve">až 2013, </w:t>
      </w:r>
      <w:r w:rsidR="00A86BC6">
        <w:rPr>
          <w:rFonts w:cs="Arial"/>
          <w:sz w:val="18"/>
          <w:szCs w:val="18"/>
        </w:rPr>
        <w:t>v</w:t>
      </w:r>
      <w:r w:rsidRPr="00D6655F">
        <w:rPr>
          <w:rFonts w:cs="Arial"/>
          <w:sz w:val="18"/>
          <w:szCs w:val="18"/>
        </w:rPr>
        <w:t xml:space="preserve">ýroční zprávy SFDI za rok </w:t>
      </w:r>
      <w:r w:rsidR="008555B5" w:rsidRPr="00D6655F">
        <w:rPr>
          <w:rFonts w:cs="Arial"/>
          <w:sz w:val="18"/>
          <w:szCs w:val="18"/>
        </w:rPr>
        <w:t xml:space="preserve">2009 </w:t>
      </w:r>
      <w:r w:rsidRPr="00D6655F">
        <w:rPr>
          <w:rFonts w:cs="Arial"/>
          <w:sz w:val="18"/>
          <w:szCs w:val="18"/>
        </w:rPr>
        <w:t xml:space="preserve">až 2012, </w:t>
      </w:r>
      <w:r w:rsidR="00A86BC6">
        <w:rPr>
          <w:rFonts w:cs="Arial"/>
          <w:sz w:val="18"/>
          <w:szCs w:val="18"/>
        </w:rPr>
        <w:t>s</w:t>
      </w:r>
      <w:r w:rsidRPr="00D6655F">
        <w:rPr>
          <w:rFonts w:cs="Arial"/>
          <w:sz w:val="18"/>
          <w:szCs w:val="18"/>
        </w:rPr>
        <w:t xml:space="preserve">mlouvy o poskytnutí finančních prostředků z rozpočtu SFDI mezi SFDI a SŽDC v letech </w:t>
      </w:r>
      <w:r w:rsidR="008555B5" w:rsidRPr="00D6655F">
        <w:rPr>
          <w:rFonts w:cs="Arial"/>
          <w:sz w:val="18"/>
          <w:szCs w:val="18"/>
        </w:rPr>
        <w:t xml:space="preserve">2009 </w:t>
      </w:r>
      <w:r w:rsidRPr="00D6655F">
        <w:rPr>
          <w:rFonts w:cs="Arial"/>
          <w:sz w:val="18"/>
          <w:szCs w:val="18"/>
        </w:rPr>
        <w:t xml:space="preserve">až 2013, </w:t>
      </w:r>
      <w:r w:rsidR="00A86BC6">
        <w:rPr>
          <w:rFonts w:cs="Arial"/>
          <w:sz w:val="18"/>
          <w:szCs w:val="18"/>
        </w:rPr>
        <w:t>p</w:t>
      </w:r>
      <w:r w:rsidRPr="00D6655F">
        <w:rPr>
          <w:rFonts w:cs="Arial"/>
          <w:sz w:val="18"/>
          <w:szCs w:val="18"/>
        </w:rPr>
        <w:t xml:space="preserve">řehledy SFDI v elektronickém systému </w:t>
      </w:r>
      <w:r w:rsidR="00A86BC6">
        <w:rPr>
          <w:rFonts w:cs="Arial"/>
          <w:sz w:val="18"/>
          <w:szCs w:val="18"/>
        </w:rPr>
        <w:t>e</w:t>
      </w:r>
      <w:r w:rsidRPr="00D6655F">
        <w:rPr>
          <w:rFonts w:cs="Arial"/>
          <w:sz w:val="18"/>
          <w:szCs w:val="18"/>
        </w:rPr>
        <w:t xml:space="preserve">vidence v letech </w:t>
      </w:r>
      <w:r w:rsidR="008555B5" w:rsidRPr="00D6655F">
        <w:rPr>
          <w:rFonts w:cs="Arial"/>
          <w:sz w:val="18"/>
          <w:szCs w:val="18"/>
        </w:rPr>
        <w:t xml:space="preserve">2009 </w:t>
      </w:r>
      <w:r w:rsidRPr="00D6655F">
        <w:rPr>
          <w:rFonts w:cs="Arial"/>
          <w:sz w:val="18"/>
          <w:szCs w:val="18"/>
        </w:rPr>
        <w:t>až 2013.</w:t>
      </w:r>
    </w:p>
    <w:p w:rsidR="00F02377" w:rsidRPr="00D6655F" w:rsidRDefault="00F02377" w:rsidP="00D6655F">
      <w:pPr>
        <w:jc w:val="both"/>
        <w:rPr>
          <w:rFonts w:cs="Arial"/>
          <w:sz w:val="22"/>
          <w:szCs w:val="22"/>
        </w:rPr>
      </w:pPr>
    </w:p>
    <w:p w:rsidR="00407BEE" w:rsidRPr="00CC7F8D" w:rsidRDefault="00407BEE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 xml:space="preserve">Rozpočet SFDI schválený Poslaneckou sněmovnou Parlamentu České republiky byl v jednotlivých letech upravován převody finančních prostředků nevyčerpaných v předchozím </w:t>
      </w:r>
      <w:r w:rsidRPr="00CC7F8D">
        <w:rPr>
          <w:sz w:val="22"/>
          <w:szCs w:val="22"/>
        </w:rPr>
        <w:lastRenderedPageBreak/>
        <w:t>roce a rozpočtovými opatřeními. SFDI k rozdílům mezi výší schváleného a upraveného rozpočtu uvedl, že jsou dány rozpočtovými opatřeními v reakci na aktuální potřeby f</w:t>
      </w:r>
      <w:r w:rsidR="005236ED" w:rsidRPr="00CC7F8D">
        <w:rPr>
          <w:sz w:val="22"/>
          <w:szCs w:val="22"/>
        </w:rPr>
        <w:t>inancování jednotlivých staveb.</w:t>
      </w:r>
      <w:r w:rsidR="0083621A" w:rsidRPr="00CC7F8D">
        <w:rPr>
          <w:b/>
          <w:sz w:val="22"/>
          <w:szCs w:val="22"/>
        </w:rPr>
        <w:t xml:space="preserve"> Doklady, které by se blíže zabývaly důvody a důsledky výrazných redukcí schválených rozpočtů, </w:t>
      </w:r>
      <w:r w:rsidR="00977E4E" w:rsidRPr="00CC7F8D">
        <w:rPr>
          <w:b/>
          <w:sz w:val="22"/>
          <w:szCs w:val="22"/>
        </w:rPr>
        <w:t xml:space="preserve">SFDI ani MD </w:t>
      </w:r>
      <w:r w:rsidR="0083621A" w:rsidRPr="00CC7F8D">
        <w:rPr>
          <w:b/>
          <w:sz w:val="22"/>
          <w:szCs w:val="22"/>
        </w:rPr>
        <w:t xml:space="preserve">ke kontrole </w:t>
      </w:r>
      <w:r w:rsidR="00977E4E" w:rsidRPr="00CC7F8D">
        <w:rPr>
          <w:b/>
          <w:sz w:val="22"/>
          <w:szCs w:val="22"/>
        </w:rPr>
        <w:t>nepředložily</w:t>
      </w:r>
      <w:r w:rsidR="0083621A" w:rsidRPr="00CC7F8D">
        <w:rPr>
          <w:b/>
          <w:sz w:val="22"/>
          <w:szCs w:val="22"/>
        </w:rPr>
        <w:t>.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407BEE" w:rsidRPr="00CC7F8D" w:rsidRDefault="00407BEE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>Kontrolou bylo zjištěno, že žádosti o provedení rozpočtových opatření byly</w:t>
      </w:r>
      <w:r w:rsidR="00243049" w:rsidRPr="00CC7F8D">
        <w:rPr>
          <w:sz w:val="22"/>
          <w:szCs w:val="22"/>
        </w:rPr>
        <w:t xml:space="preserve"> žadateli (SŽDC)</w:t>
      </w:r>
      <w:r w:rsidRPr="00CC7F8D">
        <w:rPr>
          <w:sz w:val="22"/>
          <w:szCs w:val="22"/>
        </w:rPr>
        <w:t xml:space="preserve"> zdůvodňovány pouze obecně a důvody nebyly nijak doloženy. Důsledky, které nastanou, nebude-li změna provedena, v žádostech uváděny nebyly, přestože to bylo </w:t>
      </w:r>
      <w:r w:rsidRPr="00CC7F8D">
        <w:rPr>
          <w:i/>
          <w:sz w:val="22"/>
          <w:szCs w:val="22"/>
        </w:rPr>
        <w:t>Pravidly pro financování programů, staveb a akcí z rozpočtu SFDI</w:t>
      </w:r>
      <w:r w:rsidRPr="00CC7F8D">
        <w:rPr>
          <w:rStyle w:val="Znakapoznpodarou"/>
          <w:rFonts w:cs="Arial"/>
          <w:sz w:val="22"/>
          <w:szCs w:val="22"/>
        </w:rPr>
        <w:footnoteReference w:id="12"/>
      </w:r>
      <w:r w:rsidRPr="00CC7F8D">
        <w:rPr>
          <w:sz w:val="22"/>
          <w:szCs w:val="22"/>
        </w:rPr>
        <w:t xml:space="preserve"> </w:t>
      </w:r>
      <w:r w:rsidR="00341A1B" w:rsidRPr="00CC7F8D">
        <w:rPr>
          <w:sz w:val="22"/>
          <w:szCs w:val="22"/>
        </w:rPr>
        <w:t>(dále také „Pravidla SFDI“)</w:t>
      </w:r>
      <w:r w:rsidR="00977E4E" w:rsidRPr="00CC7F8D">
        <w:rPr>
          <w:sz w:val="22"/>
          <w:szCs w:val="22"/>
        </w:rPr>
        <w:t>, která byla pro příjemce prostředků z rozpočtu SFDI závazná,</w:t>
      </w:r>
      <w:r w:rsidR="00341A1B" w:rsidRPr="00CC7F8D">
        <w:rPr>
          <w:sz w:val="22"/>
          <w:szCs w:val="22"/>
        </w:rPr>
        <w:t xml:space="preserve"> </w:t>
      </w:r>
      <w:r w:rsidRPr="00CC7F8D">
        <w:rPr>
          <w:sz w:val="22"/>
          <w:szCs w:val="22"/>
        </w:rPr>
        <w:t>výslovně požadováno.</w:t>
      </w:r>
    </w:p>
    <w:p w:rsidR="00A362EC" w:rsidRPr="00CC7F8D" w:rsidRDefault="00A362EC" w:rsidP="00CC7F8D">
      <w:pPr>
        <w:jc w:val="both"/>
        <w:rPr>
          <w:sz w:val="22"/>
          <w:szCs w:val="22"/>
        </w:rPr>
      </w:pPr>
    </w:p>
    <w:p w:rsidR="00CC45FB" w:rsidRPr="00CC7F8D" w:rsidRDefault="00407BEE" w:rsidP="00CC7F8D">
      <w:pPr>
        <w:jc w:val="both"/>
        <w:rPr>
          <w:b/>
          <w:sz w:val="22"/>
          <w:szCs w:val="22"/>
        </w:rPr>
      </w:pPr>
      <w:r w:rsidRPr="00CC7F8D">
        <w:rPr>
          <w:b/>
          <w:sz w:val="22"/>
          <w:szCs w:val="22"/>
        </w:rPr>
        <w:t>3</w:t>
      </w:r>
      <w:r w:rsidR="00CC45FB" w:rsidRPr="00CC7F8D">
        <w:rPr>
          <w:b/>
          <w:sz w:val="22"/>
          <w:szCs w:val="22"/>
        </w:rPr>
        <w:t xml:space="preserve">. </w:t>
      </w:r>
      <w:r w:rsidR="00EF3790" w:rsidRPr="00CC7F8D">
        <w:rPr>
          <w:b/>
          <w:sz w:val="22"/>
          <w:szCs w:val="22"/>
        </w:rPr>
        <w:t>Podpora z OPD a p</w:t>
      </w:r>
      <w:r w:rsidR="00E62284" w:rsidRPr="00CC7F8D">
        <w:rPr>
          <w:b/>
          <w:sz w:val="22"/>
          <w:szCs w:val="22"/>
        </w:rPr>
        <w:t xml:space="preserve">lnění cílů </w:t>
      </w:r>
      <w:r w:rsidR="00CC45FB" w:rsidRPr="00CC7F8D">
        <w:rPr>
          <w:b/>
          <w:sz w:val="22"/>
          <w:szCs w:val="22"/>
        </w:rPr>
        <w:t>elektrizac</w:t>
      </w:r>
      <w:r w:rsidR="00EF3790" w:rsidRPr="00CC7F8D">
        <w:rPr>
          <w:b/>
          <w:sz w:val="22"/>
          <w:szCs w:val="22"/>
        </w:rPr>
        <w:t>í</w:t>
      </w:r>
      <w:r w:rsidR="00CC45FB" w:rsidRPr="00CC7F8D">
        <w:rPr>
          <w:b/>
          <w:sz w:val="22"/>
          <w:szCs w:val="22"/>
        </w:rPr>
        <w:t xml:space="preserve"> </w:t>
      </w:r>
      <w:r w:rsidR="00B865E0" w:rsidRPr="00CC7F8D">
        <w:rPr>
          <w:b/>
          <w:sz w:val="22"/>
          <w:szCs w:val="22"/>
        </w:rPr>
        <w:t xml:space="preserve">železničních </w:t>
      </w:r>
      <w:r w:rsidR="00CC45FB" w:rsidRPr="00CC7F8D">
        <w:rPr>
          <w:b/>
          <w:sz w:val="22"/>
          <w:szCs w:val="22"/>
        </w:rPr>
        <w:t xml:space="preserve">tratí 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8B3350" w:rsidRDefault="00CC45FB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>Pro oblast elektrizace, resp. modernizace železniční sítě mimo síť TEN-T stanovil</w:t>
      </w:r>
      <w:r w:rsidR="00A76189" w:rsidRPr="00A76189">
        <w:rPr>
          <w:sz w:val="22"/>
          <w:szCs w:val="22"/>
        </w:rPr>
        <w:t xml:space="preserve"> </w:t>
      </w:r>
      <w:r w:rsidR="00A76189" w:rsidRPr="00CC7F8D">
        <w:rPr>
          <w:sz w:val="22"/>
          <w:szCs w:val="22"/>
        </w:rPr>
        <w:t>OPD</w:t>
      </w:r>
      <w:r w:rsidRPr="00CC7F8D">
        <w:rPr>
          <w:sz w:val="22"/>
          <w:szCs w:val="22"/>
        </w:rPr>
        <w:t xml:space="preserve"> specifický cíl „</w:t>
      </w:r>
      <w:r w:rsidR="00D77412">
        <w:rPr>
          <w:sz w:val="22"/>
          <w:szCs w:val="22"/>
        </w:rPr>
        <w:t>z</w:t>
      </w:r>
      <w:r w:rsidRPr="00CC7F8D">
        <w:rPr>
          <w:sz w:val="22"/>
          <w:szCs w:val="22"/>
        </w:rPr>
        <w:t xml:space="preserve">lepšení železniční dopravy na síti mimo TEN-T“ a jemu příslušnou prioritní osu 3 podpory s alokací 393,5 mil. EUR. Podle </w:t>
      </w:r>
      <w:r w:rsidR="00D77412">
        <w:rPr>
          <w:sz w:val="22"/>
          <w:szCs w:val="22"/>
        </w:rPr>
        <w:t>v</w:t>
      </w:r>
      <w:r w:rsidRPr="00CC7F8D">
        <w:rPr>
          <w:sz w:val="22"/>
          <w:szCs w:val="22"/>
        </w:rPr>
        <w:t>ýroční zprávy OPD za</w:t>
      </w:r>
      <w:r w:rsidR="005236ED" w:rsidRPr="00CC7F8D">
        <w:rPr>
          <w:sz w:val="22"/>
          <w:szCs w:val="22"/>
        </w:rPr>
        <w:t xml:space="preserve"> rok 2012 bylo k 31. </w:t>
      </w:r>
      <w:r w:rsidR="00F02377" w:rsidRPr="00CC7F8D">
        <w:rPr>
          <w:sz w:val="22"/>
          <w:szCs w:val="22"/>
        </w:rPr>
        <w:t>prosinci</w:t>
      </w:r>
      <w:r w:rsidR="005236ED" w:rsidRPr="00CC7F8D">
        <w:rPr>
          <w:sz w:val="22"/>
          <w:szCs w:val="22"/>
        </w:rPr>
        <w:t> </w:t>
      </w:r>
      <w:r w:rsidRPr="00CC7F8D">
        <w:rPr>
          <w:sz w:val="22"/>
          <w:szCs w:val="22"/>
        </w:rPr>
        <w:t xml:space="preserve">2012 (tj. po uplynutí cca 69 % doby platnosti výzvy) v rámci prioritní osy 3 podáno celkem 17 žádostí o </w:t>
      </w:r>
      <w:r w:rsidR="000817A7" w:rsidRPr="00CC7F8D">
        <w:rPr>
          <w:sz w:val="22"/>
          <w:szCs w:val="22"/>
        </w:rPr>
        <w:t xml:space="preserve">finanční podporu </w:t>
      </w:r>
      <w:r w:rsidRPr="00CC7F8D">
        <w:rPr>
          <w:sz w:val="22"/>
          <w:szCs w:val="22"/>
        </w:rPr>
        <w:t>v celko</w:t>
      </w:r>
      <w:r w:rsidR="005236ED" w:rsidRPr="00CC7F8D">
        <w:rPr>
          <w:sz w:val="22"/>
          <w:szCs w:val="22"/>
        </w:rPr>
        <w:t>vém objemu 186,5 mil. EUR (47,4 </w:t>
      </w:r>
      <w:r w:rsidRPr="00CC7F8D">
        <w:rPr>
          <w:sz w:val="22"/>
          <w:szCs w:val="22"/>
        </w:rPr>
        <w:t>% alokace), schváleno bylo 13 žádostí v celko</w:t>
      </w:r>
      <w:r w:rsidR="005236ED" w:rsidRPr="00CC7F8D">
        <w:rPr>
          <w:sz w:val="22"/>
          <w:szCs w:val="22"/>
        </w:rPr>
        <w:t>vém objemu 149,8 mil. EUR (38,1 </w:t>
      </w:r>
      <w:r w:rsidRPr="00CC7F8D">
        <w:rPr>
          <w:sz w:val="22"/>
          <w:szCs w:val="22"/>
        </w:rPr>
        <w:t>% alokace), příjemcům byly proplaceny prostředky včetně záloh v ce</w:t>
      </w:r>
      <w:r w:rsidR="005236ED" w:rsidRPr="00CC7F8D">
        <w:rPr>
          <w:sz w:val="22"/>
          <w:szCs w:val="22"/>
        </w:rPr>
        <w:t>lkové výši 138,0 mil. EUR (35,1 </w:t>
      </w:r>
      <w:r w:rsidRPr="00CC7F8D">
        <w:rPr>
          <w:sz w:val="22"/>
          <w:szCs w:val="22"/>
        </w:rPr>
        <w:t>% alokace), z toho certifikovány byly výdaje v c</w:t>
      </w:r>
      <w:r w:rsidR="005236ED" w:rsidRPr="00CC7F8D">
        <w:rPr>
          <w:sz w:val="22"/>
          <w:szCs w:val="22"/>
        </w:rPr>
        <w:t>elkové výši 40,6 mil. EUR (10,3 % alokace).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CC45FB" w:rsidRPr="00CC7F8D" w:rsidRDefault="00CC7F8D" w:rsidP="00CC7F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Podle </w:t>
      </w:r>
      <w:r w:rsidR="008B3350" w:rsidRPr="00CC7F8D">
        <w:rPr>
          <w:b/>
          <w:sz w:val="22"/>
          <w:szCs w:val="22"/>
        </w:rPr>
        <w:t>dosavadního průběhu čerpání podpory lze vyslovit důvodnou obavu, že plánovaná výše prostředků určených na podporu projektů rozvoje a modernizace železniční sítě mimo síť TEN-T v rámci prioritní osy 3 OPD nebude do konce progra</w:t>
      </w:r>
      <w:r w:rsidR="002D625C" w:rsidRPr="00CC7F8D">
        <w:rPr>
          <w:b/>
          <w:sz w:val="22"/>
          <w:szCs w:val="22"/>
        </w:rPr>
        <w:t>mového období vyčerpána.</w:t>
      </w:r>
      <w:r w:rsidR="005236ED" w:rsidRPr="00CC7F8D">
        <w:rPr>
          <w:sz w:val="22"/>
          <w:szCs w:val="22"/>
        </w:rPr>
        <w:t xml:space="preserve"> </w:t>
      </w:r>
      <w:r w:rsidR="00CC45FB" w:rsidRPr="00CC7F8D">
        <w:rPr>
          <w:sz w:val="22"/>
          <w:szCs w:val="22"/>
        </w:rPr>
        <w:t xml:space="preserve">Zdržení v předkládání velkých projektů z indikativního seznamu </w:t>
      </w:r>
      <w:r w:rsidR="005236ED" w:rsidRPr="00CC7F8D">
        <w:rPr>
          <w:sz w:val="22"/>
          <w:szCs w:val="22"/>
        </w:rPr>
        <w:t>velkých projektů prioritní osy </w:t>
      </w:r>
      <w:r w:rsidR="00CC45FB" w:rsidRPr="00CC7F8D">
        <w:rPr>
          <w:sz w:val="22"/>
          <w:szCs w:val="22"/>
        </w:rPr>
        <w:t xml:space="preserve">3 OPD </w:t>
      </w:r>
      <w:r w:rsidR="00A76189" w:rsidRPr="00CC7F8D">
        <w:rPr>
          <w:sz w:val="22"/>
          <w:szCs w:val="22"/>
        </w:rPr>
        <w:t xml:space="preserve">vysvětlilo </w:t>
      </w:r>
      <w:r w:rsidR="00CC45FB" w:rsidRPr="00CC7F8D">
        <w:rPr>
          <w:sz w:val="22"/>
          <w:szCs w:val="22"/>
        </w:rPr>
        <w:t>MD pouze obecně zdržením přípravy těchto projektů na úrovni SŽDC.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CC45FB" w:rsidRPr="00CC7F8D" w:rsidRDefault="00CC45FB" w:rsidP="00CC7F8D">
      <w:pPr>
        <w:jc w:val="both"/>
        <w:rPr>
          <w:b/>
          <w:sz w:val="22"/>
          <w:szCs w:val="22"/>
        </w:rPr>
      </w:pPr>
      <w:r w:rsidRPr="00CC7F8D">
        <w:rPr>
          <w:sz w:val="22"/>
          <w:szCs w:val="22"/>
        </w:rPr>
        <w:t xml:space="preserve">V rámci prioritní osy 3 </w:t>
      </w:r>
      <w:r w:rsidR="00243049" w:rsidRPr="00CC7F8D">
        <w:rPr>
          <w:sz w:val="22"/>
          <w:szCs w:val="22"/>
        </w:rPr>
        <w:t>stanovilo</w:t>
      </w:r>
      <w:r w:rsidRPr="00CC7F8D">
        <w:rPr>
          <w:sz w:val="22"/>
          <w:szCs w:val="22"/>
        </w:rPr>
        <w:t xml:space="preserve"> </w:t>
      </w:r>
      <w:r w:rsidR="00A76189" w:rsidRPr="00CC7F8D">
        <w:rPr>
          <w:sz w:val="22"/>
          <w:szCs w:val="22"/>
        </w:rPr>
        <w:t xml:space="preserve">MD </w:t>
      </w:r>
      <w:r w:rsidRPr="00CC7F8D">
        <w:rPr>
          <w:sz w:val="22"/>
          <w:szCs w:val="22"/>
        </w:rPr>
        <w:t xml:space="preserve">tři indikátory výstupu (mají vyjadřovat rozsah uskutečněných aktivit), dva indikátory výsledku (mají charakterizovat přímé účinky programu na uživatele) a tři indikátory dopadu (mají vyjadřovat střednědobé nebo dlouhodobé účinky programu na sociálně ekonomickou situaci, na kterou jsou globální a specifické cíle programu zaměřeny). </w:t>
      </w:r>
      <w:r w:rsidR="00A76189" w:rsidRPr="00CC7F8D">
        <w:rPr>
          <w:b/>
          <w:sz w:val="22"/>
          <w:szCs w:val="22"/>
        </w:rPr>
        <w:t xml:space="preserve">MD nevysvětlilo </w:t>
      </w:r>
      <w:r w:rsidR="00A76189">
        <w:rPr>
          <w:b/>
          <w:sz w:val="22"/>
          <w:szCs w:val="22"/>
        </w:rPr>
        <w:t>v</w:t>
      </w:r>
      <w:r w:rsidRPr="00CC7F8D">
        <w:rPr>
          <w:b/>
          <w:sz w:val="22"/>
          <w:szCs w:val="22"/>
        </w:rPr>
        <w:t xml:space="preserve">zájemné vztahy a návaznosti mezi stanovenými hodnotami indikátorů výstupu, výsledku a dopadu. </w:t>
      </w:r>
      <w:r w:rsidR="00F84251" w:rsidRPr="00CC7F8D">
        <w:rPr>
          <w:b/>
          <w:sz w:val="22"/>
          <w:szCs w:val="22"/>
        </w:rPr>
        <w:t xml:space="preserve">Takto nastavený systém indikátorů není </w:t>
      </w:r>
      <w:r w:rsidRPr="00CC7F8D">
        <w:rPr>
          <w:b/>
          <w:sz w:val="22"/>
          <w:szCs w:val="22"/>
        </w:rPr>
        <w:t>věrohodným podkladem pro obj</w:t>
      </w:r>
      <w:r w:rsidR="00FA2203" w:rsidRPr="00CC7F8D">
        <w:rPr>
          <w:b/>
          <w:sz w:val="22"/>
          <w:szCs w:val="22"/>
        </w:rPr>
        <w:t>ektivní vyhodnocení účelnosti a </w:t>
      </w:r>
      <w:r w:rsidRPr="00CC7F8D">
        <w:rPr>
          <w:b/>
          <w:sz w:val="22"/>
          <w:szCs w:val="22"/>
        </w:rPr>
        <w:t>efektivnosti podpory poskytnuté z OPD.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EF1713" w:rsidRDefault="00EF1713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>V lednu 2010 byla dokončena realizace projektu elektrizace trati Šatov</w:t>
      </w:r>
      <w:r w:rsidR="00CC7F8D">
        <w:rPr>
          <w:sz w:val="22"/>
          <w:szCs w:val="22"/>
        </w:rPr>
        <w:t>–</w:t>
      </w:r>
      <w:r w:rsidRPr="00CC7F8D">
        <w:rPr>
          <w:sz w:val="22"/>
          <w:szCs w:val="22"/>
        </w:rPr>
        <w:t xml:space="preserve">Znojmo o délce 11,16 km (projekt byl schválen Evropskou komisí v lednu 2011), v únoru 2010 byla dokončena realizace projektu elektrizace trati Lysá nad Labem </w:t>
      </w:r>
      <w:r w:rsidR="00CC7F8D">
        <w:rPr>
          <w:sz w:val="22"/>
          <w:szCs w:val="22"/>
        </w:rPr>
        <w:t>–</w:t>
      </w:r>
      <w:r w:rsidRPr="00CC7F8D">
        <w:rPr>
          <w:sz w:val="22"/>
          <w:szCs w:val="22"/>
        </w:rPr>
        <w:t xml:space="preserve"> Milovice o délce 5,7 km</w:t>
      </w:r>
      <w:r w:rsidR="00FA2203" w:rsidRPr="00CC7F8D">
        <w:rPr>
          <w:sz w:val="22"/>
          <w:szCs w:val="22"/>
        </w:rPr>
        <w:t xml:space="preserve"> a </w:t>
      </w:r>
      <w:r w:rsidRPr="00CC7F8D">
        <w:rPr>
          <w:sz w:val="22"/>
          <w:szCs w:val="22"/>
        </w:rPr>
        <w:t>v dubnu 2010 byla dokončena realizace projektu elektrizace trati Zábřeh</w:t>
      </w:r>
      <w:r w:rsidR="00CC7F8D">
        <w:rPr>
          <w:sz w:val="22"/>
          <w:szCs w:val="22"/>
        </w:rPr>
        <w:t>–Šumperk o </w:t>
      </w:r>
      <w:r w:rsidRPr="00CC7F8D">
        <w:rPr>
          <w:sz w:val="22"/>
          <w:szCs w:val="22"/>
        </w:rPr>
        <w:t>délce 13,46 km (projekt byl schválen Evropskou komisí v září 2011). Celková délka elektrizovaných tratí v rámci těchto tří projektů činila 30,32 km.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AA24DF" w:rsidRDefault="00953AB0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 xml:space="preserve">Podle údajů uvedených ve </w:t>
      </w:r>
      <w:r w:rsidR="00292995">
        <w:rPr>
          <w:sz w:val="22"/>
          <w:szCs w:val="22"/>
        </w:rPr>
        <w:t>v</w:t>
      </w:r>
      <w:r w:rsidRPr="00CC7F8D">
        <w:rPr>
          <w:sz w:val="22"/>
          <w:szCs w:val="22"/>
        </w:rPr>
        <w:t>ýroční zprávě OPD za rok 2012 se v</w:t>
      </w:r>
      <w:r w:rsidR="00CC45FB" w:rsidRPr="00CC7F8D">
        <w:rPr>
          <w:sz w:val="22"/>
          <w:szCs w:val="22"/>
        </w:rPr>
        <w:t> letech 20</w:t>
      </w:r>
      <w:r w:rsidR="00AA24DF" w:rsidRPr="00CC7F8D">
        <w:rPr>
          <w:sz w:val="22"/>
          <w:szCs w:val="22"/>
        </w:rPr>
        <w:t>09</w:t>
      </w:r>
      <w:r w:rsidR="00BE708C" w:rsidRPr="00CC7F8D">
        <w:rPr>
          <w:sz w:val="22"/>
          <w:szCs w:val="22"/>
        </w:rPr>
        <w:t>–</w:t>
      </w:r>
      <w:r w:rsidR="00CC45FB" w:rsidRPr="00CC7F8D">
        <w:rPr>
          <w:sz w:val="22"/>
          <w:szCs w:val="22"/>
        </w:rPr>
        <w:t xml:space="preserve">2012 dosažená hodnota indikátoru </w:t>
      </w:r>
      <w:r w:rsidR="00EF1713" w:rsidRPr="00CC7F8D">
        <w:rPr>
          <w:sz w:val="22"/>
          <w:szCs w:val="22"/>
        </w:rPr>
        <w:t>„</w:t>
      </w:r>
      <w:r w:rsidR="00292995">
        <w:rPr>
          <w:sz w:val="22"/>
          <w:szCs w:val="22"/>
        </w:rPr>
        <w:t>d</w:t>
      </w:r>
      <w:r w:rsidR="00EF1713" w:rsidRPr="00CC7F8D">
        <w:rPr>
          <w:sz w:val="22"/>
          <w:szCs w:val="22"/>
        </w:rPr>
        <w:t xml:space="preserve">élka rekonstruovaných železničních tratí mimo TEN-T“ (cílová hodnota 105,2 km) </w:t>
      </w:r>
      <w:r w:rsidR="00CC45FB" w:rsidRPr="00CC7F8D">
        <w:rPr>
          <w:sz w:val="22"/>
          <w:szCs w:val="22"/>
        </w:rPr>
        <w:t>zvýšila z</w:t>
      </w:r>
      <w:r w:rsidR="00023EFE">
        <w:rPr>
          <w:sz w:val="22"/>
          <w:szCs w:val="22"/>
        </w:rPr>
        <w:t xml:space="preserve">e </w:t>
      </w:r>
      <w:r w:rsidR="00AA24DF" w:rsidRPr="00CC7F8D">
        <w:rPr>
          <w:sz w:val="22"/>
          <w:szCs w:val="22"/>
        </w:rPr>
        <w:t xml:space="preserve">4,7 km v roce 2009 na </w:t>
      </w:r>
      <w:r w:rsidR="00CC45FB" w:rsidRPr="00CC7F8D">
        <w:rPr>
          <w:sz w:val="22"/>
          <w:szCs w:val="22"/>
        </w:rPr>
        <w:t xml:space="preserve">39,2 km </w:t>
      </w:r>
      <w:r w:rsidR="00AA24DF" w:rsidRPr="00CC7F8D">
        <w:rPr>
          <w:sz w:val="22"/>
          <w:szCs w:val="22"/>
        </w:rPr>
        <w:t xml:space="preserve">v roce 2010 a </w:t>
      </w:r>
      <w:r w:rsidR="00CC45FB" w:rsidRPr="00CC7F8D">
        <w:rPr>
          <w:sz w:val="22"/>
          <w:szCs w:val="22"/>
        </w:rPr>
        <w:t>na 42,77</w:t>
      </w:r>
      <w:r w:rsidR="006552EA">
        <w:rPr>
          <w:sz w:val="22"/>
          <w:szCs w:val="22"/>
        </w:rPr>
        <w:t> </w:t>
      </w:r>
      <w:r w:rsidR="00CC45FB" w:rsidRPr="00CC7F8D">
        <w:rPr>
          <w:sz w:val="22"/>
          <w:szCs w:val="22"/>
        </w:rPr>
        <w:t>km</w:t>
      </w:r>
      <w:r w:rsidR="00AA24DF" w:rsidRPr="00CC7F8D">
        <w:rPr>
          <w:sz w:val="22"/>
          <w:szCs w:val="22"/>
        </w:rPr>
        <w:t xml:space="preserve"> v roce 2012</w:t>
      </w:r>
      <w:r w:rsidR="00CC45FB" w:rsidRPr="00CC7F8D">
        <w:rPr>
          <w:sz w:val="22"/>
          <w:szCs w:val="22"/>
        </w:rPr>
        <w:t xml:space="preserve">. </w:t>
      </w:r>
      <w:r w:rsidR="00EF1713" w:rsidRPr="00CC7F8D">
        <w:rPr>
          <w:sz w:val="22"/>
          <w:szCs w:val="22"/>
        </w:rPr>
        <w:t xml:space="preserve">Dosažená hodnota </w:t>
      </w:r>
      <w:r w:rsidR="00CC45FB" w:rsidRPr="00CC7F8D">
        <w:rPr>
          <w:sz w:val="22"/>
          <w:szCs w:val="22"/>
        </w:rPr>
        <w:t>indikátoru výstupu „</w:t>
      </w:r>
      <w:r w:rsidR="00292995">
        <w:rPr>
          <w:sz w:val="22"/>
          <w:szCs w:val="22"/>
        </w:rPr>
        <w:t>d</w:t>
      </w:r>
      <w:r w:rsidR="00CC45FB" w:rsidRPr="00CC7F8D">
        <w:rPr>
          <w:sz w:val="22"/>
          <w:szCs w:val="22"/>
        </w:rPr>
        <w:t xml:space="preserve">élka elektrizovaných železničních tratí“ (cílová hodnota 53,5 km) </w:t>
      </w:r>
      <w:r w:rsidR="00AA24DF" w:rsidRPr="00CC7F8D">
        <w:rPr>
          <w:sz w:val="22"/>
          <w:szCs w:val="22"/>
        </w:rPr>
        <w:t>byla v roce 2009 nulová, v roce 2010 se zvýšila na 29,6 km a</w:t>
      </w:r>
      <w:r w:rsidR="005E4CE5">
        <w:rPr>
          <w:sz w:val="22"/>
          <w:szCs w:val="22"/>
        </w:rPr>
        <w:t> </w:t>
      </w:r>
      <w:r w:rsidR="00AA24DF" w:rsidRPr="00CC7F8D">
        <w:rPr>
          <w:sz w:val="22"/>
          <w:szCs w:val="22"/>
        </w:rPr>
        <w:t>v letech 2011 a 2012 zůstala nezměněna.</w:t>
      </w:r>
      <w:r w:rsidR="00CC45FB" w:rsidRPr="00CC7F8D">
        <w:rPr>
          <w:sz w:val="22"/>
          <w:szCs w:val="22"/>
        </w:rPr>
        <w:t xml:space="preserve"> 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953AB0" w:rsidRDefault="00CC45FB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lastRenderedPageBreak/>
        <w:t>Cílovou hodnotu indikátoru výsledku „</w:t>
      </w:r>
      <w:r w:rsidR="00292995">
        <w:rPr>
          <w:sz w:val="22"/>
          <w:szCs w:val="22"/>
        </w:rPr>
        <w:t>h</w:t>
      </w:r>
      <w:r w:rsidRPr="00CC7F8D">
        <w:rPr>
          <w:sz w:val="22"/>
          <w:szCs w:val="22"/>
        </w:rPr>
        <w:t xml:space="preserve">odnota úspory času v železniční dopravě v EUR“ stanovilo </w:t>
      </w:r>
      <w:r w:rsidR="00A76189" w:rsidRPr="00CC7F8D">
        <w:rPr>
          <w:sz w:val="22"/>
          <w:szCs w:val="22"/>
        </w:rPr>
        <w:t xml:space="preserve">MD </w:t>
      </w:r>
      <w:r w:rsidRPr="00CC7F8D">
        <w:rPr>
          <w:sz w:val="22"/>
          <w:szCs w:val="22"/>
        </w:rPr>
        <w:t>ve výši 4,9 mil. EUR/rok a v roce 2009 snížilo na 3,5 mil. EUR/rok. Avšak už v roce 2010 byla snížená hodnota tohoto indikátoru pře</w:t>
      </w:r>
      <w:r w:rsidR="00630CB2" w:rsidRPr="00CC7F8D">
        <w:rPr>
          <w:sz w:val="22"/>
          <w:szCs w:val="22"/>
        </w:rPr>
        <w:t xml:space="preserve">kročena a </w:t>
      </w:r>
      <w:r w:rsidR="00953AB0" w:rsidRPr="00CC7F8D">
        <w:rPr>
          <w:sz w:val="22"/>
          <w:szCs w:val="22"/>
        </w:rPr>
        <w:t xml:space="preserve">podle údajů uvedených ve </w:t>
      </w:r>
      <w:r w:rsidR="00292995">
        <w:rPr>
          <w:sz w:val="22"/>
          <w:szCs w:val="22"/>
        </w:rPr>
        <w:t>v</w:t>
      </w:r>
      <w:r w:rsidR="00953AB0" w:rsidRPr="00CC7F8D">
        <w:rPr>
          <w:sz w:val="22"/>
          <w:szCs w:val="22"/>
        </w:rPr>
        <w:t xml:space="preserve">ýroční zprávě OPD za rok 2012 </w:t>
      </w:r>
      <w:r w:rsidR="00630CB2" w:rsidRPr="00CC7F8D">
        <w:rPr>
          <w:sz w:val="22"/>
          <w:szCs w:val="22"/>
        </w:rPr>
        <w:t>k 31. </w:t>
      </w:r>
      <w:r w:rsidR="00BE708C" w:rsidRPr="00CC7F8D">
        <w:rPr>
          <w:sz w:val="22"/>
          <w:szCs w:val="22"/>
        </w:rPr>
        <w:t xml:space="preserve">prosinci </w:t>
      </w:r>
      <w:r w:rsidRPr="00CC7F8D">
        <w:rPr>
          <w:sz w:val="22"/>
          <w:szCs w:val="22"/>
        </w:rPr>
        <w:t>2012 dosáhla výše 3,567 mil. EUR/rok. Další úpravu hodnoty tohoto indikátoru přitom MD nepředpokládá.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A209CA" w:rsidRDefault="00CC45FB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>Ne</w:t>
      </w:r>
      <w:r w:rsidR="00A03C35">
        <w:rPr>
          <w:sz w:val="22"/>
          <w:szCs w:val="22"/>
        </w:rPr>
        <w:t>změněna</w:t>
      </w:r>
      <w:r w:rsidRPr="00CC7F8D">
        <w:rPr>
          <w:sz w:val="22"/>
          <w:szCs w:val="22"/>
        </w:rPr>
        <w:t xml:space="preserve"> v celém období let 2007</w:t>
      </w:r>
      <w:r w:rsidR="00D652CA" w:rsidRPr="00CC7F8D">
        <w:rPr>
          <w:sz w:val="22"/>
          <w:szCs w:val="22"/>
        </w:rPr>
        <w:t>–</w:t>
      </w:r>
      <w:r w:rsidRPr="00CC7F8D">
        <w:rPr>
          <w:sz w:val="22"/>
          <w:szCs w:val="22"/>
        </w:rPr>
        <w:t>2012 zůstala dosažená hodnota indikátorů dopadu „</w:t>
      </w:r>
      <w:r w:rsidR="00292995">
        <w:rPr>
          <w:sz w:val="22"/>
          <w:szCs w:val="22"/>
        </w:rPr>
        <w:t>z</w:t>
      </w:r>
      <w:r w:rsidRPr="00CC7F8D">
        <w:rPr>
          <w:sz w:val="22"/>
          <w:szCs w:val="22"/>
        </w:rPr>
        <w:t>výšení přepravních výkonů v osobní dopravě“ a „</w:t>
      </w:r>
      <w:r w:rsidR="00292995">
        <w:rPr>
          <w:sz w:val="22"/>
          <w:szCs w:val="22"/>
        </w:rPr>
        <w:t>z</w:t>
      </w:r>
      <w:r w:rsidRPr="00CC7F8D">
        <w:rPr>
          <w:sz w:val="22"/>
          <w:szCs w:val="22"/>
        </w:rPr>
        <w:t xml:space="preserve">výšení přepravních výkonů v nákladní dopravě“, </w:t>
      </w:r>
      <w:r w:rsidR="005236ED" w:rsidRPr="00CC7F8D">
        <w:rPr>
          <w:sz w:val="22"/>
          <w:szCs w:val="22"/>
        </w:rPr>
        <w:t xml:space="preserve">která byla </w:t>
      </w:r>
      <w:r w:rsidR="00D33115" w:rsidRPr="00CC7F8D">
        <w:rPr>
          <w:sz w:val="22"/>
          <w:szCs w:val="22"/>
        </w:rPr>
        <w:t xml:space="preserve">po celou tuto dobu vykazována </w:t>
      </w:r>
      <w:r w:rsidR="005236ED" w:rsidRPr="00CC7F8D">
        <w:rPr>
          <w:sz w:val="22"/>
          <w:szCs w:val="22"/>
        </w:rPr>
        <w:t>v</w:t>
      </w:r>
      <w:r w:rsidR="0095433F" w:rsidRPr="00CC7F8D">
        <w:rPr>
          <w:sz w:val="22"/>
          <w:szCs w:val="22"/>
        </w:rPr>
        <w:t xml:space="preserve">e </w:t>
      </w:r>
      <w:r w:rsidR="005236ED" w:rsidRPr="00CC7F8D">
        <w:rPr>
          <w:sz w:val="22"/>
          <w:szCs w:val="22"/>
        </w:rPr>
        <w:t>výši 100 </w:t>
      </w:r>
      <w:r w:rsidR="00A362EC" w:rsidRPr="00CC7F8D">
        <w:rPr>
          <w:sz w:val="22"/>
          <w:szCs w:val="22"/>
        </w:rPr>
        <w:t xml:space="preserve">%. </w:t>
      </w:r>
      <w:r w:rsidR="00FA2203" w:rsidRPr="00CC7F8D">
        <w:rPr>
          <w:sz w:val="22"/>
          <w:szCs w:val="22"/>
        </w:rPr>
        <w:t>Ke sledování a </w:t>
      </w:r>
      <w:r w:rsidRPr="00CC7F8D">
        <w:rPr>
          <w:sz w:val="22"/>
          <w:szCs w:val="22"/>
        </w:rPr>
        <w:t xml:space="preserve">vyhodnocování těchto indikátorů MD </w:t>
      </w:r>
      <w:r w:rsidR="00D33115" w:rsidRPr="00CC7F8D">
        <w:rPr>
          <w:sz w:val="22"/>
          <w:szCs w:val="22"/>
        </w:rPr>
        <w:t xml:space="preserve">pouze </w:t>
      </w:r>
      <w:r w:rsidRPr="00CC7F8D">
        <w:rPr>
          <w:sz w:val="22"/>
          <w:szCs w:val="22"/>
        </w:rPr>
        <w:t xml:space="preserve">uvedlo, že je vyhodnotí nejdříve v roce 2014, neboť účinky intervencí se projevují s časovým zpožděním. </w:t>
      </w:r>
      <w:r w:rsidR="00B865E0" w:rsidRPr="00CC7F8D">
        <w:rPr>
          <w:sz w:val="22"/>
          <w:szCs w:val="22"/>
        </w:rPr>
        <w:t>MD však nespecifikovalo dokumenty, na</w:t>
      </w:r>
      <w:r w:rsidR="00292995">
        <w:rPr>
          <w:sz w:val="22"/>
          <w:szCs w:val="22"/>
        </w:rPr>
        <w:t xml:space="preserve"> jejichž</w:t>
      </w:r>
      <w:r w:rsidR="00B865E0" w:rsidRPr="00CC7F8D">
        <w:rPr>
          <w:sz w:val="22"/>
          <w:szCs w:val="22"/>
        </w:rPr>
        <w:t xml:space="preserve"> základě hodnocení provede.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953AB0" w:rsidRDefault="00CC45FB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>Výchozí a cílová hodnota indikátoru dopadu „</w:t>
      </w:r>
      <w:r w:rsidR="00292995">
        <w:rPr>
          <w:sz w:val="22"/>
          <w:szCs w:val="22"/>
        </w:rPr>
        <w:t>s</w:t>
      </w:r>
      <w:r w:rsidRPr="00CC7F8D">
        <w:rPr>
          <w:sz w:val="22"/>
          <w:szCs w:val="22"/>
        </w:rPr>
        <w:t>nížení skleníkových emisí (CO</w:t>
      </w:r>
      <w:r w:rsidRPr="00CC7F8D">
        <w:rPr>
          <w:sz w:val="22"/>
          <w:szCs w:val="22"/>
          <w:vertAlign w:val="subscript"/>
        </w:rPr>
        <w:t>2</w:t>
      </w:r>
      <w:r w:rsidRPr="00CC7F8D">
        <w:rPr>
          <w:sz w:val="22"/>
          <w:szCs w:val="22"/>
        </w:rPr>
        <w:t>) z dopravy“ měla být stanovena v průběhu roku 2008 evaluační studií zpracovanou na základě projektů předložených v první výzvě. Stanovena však nebyla, neboť MD v roce 2011 na základě studie zjistilo, že přesné nastavení cílové hodnoty je problematické</w:t>
      </w:r>
      <w:r w:rsidR="00292995">
        <w:rPr>
          <w:sz w:val="22"/>
          <w:szCs w:val="22"/>
        </w:rPr>
        <w:t>,</w:t>
      </w:r>
      <w:r w:rsidRPr="00CC7F8D">
        <w:rPr>
          <w:sz w:val="22"/>
          <w:szCs w:val="22"/>
        </w:rPr>
        <w:t xml:space="preserve"> a uvedlo, že vyhodnocení vlivu intervencí OPD na snížení emisí CO</w:t>
      </w:r>
      <w:r w:rsidRPr="00CC7F8D">
        <w:rPr>
          <w:sz w:val="22"/>
          <w:szCs w:val="22"/>
          <w:vertAlign w:val="subscript"/>
        </w:rPr>
        <w:t xml:space="preserve">2 </w:t>
      </w:r>
      <w:r w:rsidRPr="00CC7F8D">
        <w:rPr>
          <w:sz w:val="22"/>
          <w:szCs w:val="22"/>
        </w:rPr>
        <w:t>bude provedeno až po ukončení OPD v rámci jeho komplexního hodnocení.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A362EC" w:rsidRPr="00CC7F8D" w:rsidRDefault="00407BEE" w:rsidP="00CC7F8D">
      <w:pPr>
        <w:jc w:val="both"/>
        <w:rPr>
          <w:sz w:val="22"/>
          <w:szCs w:val="22"/>
        </w:rPr>
      </w:pPr>
      <w:r w:rsidRPr="00CC7F8D">
        <w:rPr>
          <w:b/>
          <w:sz w:val="22"/>
          <w:szCs w:val="22"/>
        </w:rPr>
        <w:t>Ne</w:t>
      </w:r>
      <w:r w:rsidR="00B202B0" w:rsidRPr="00CC7F8D">
        <w:rPr>
          <w:b/>
          <w:sz w:val="22"/>
          <w:szCs w:val="22"/>
        </w:rPr>
        <w:t>přesvědčivý</w:t>
      </w:r>
      <w:r w:rsidRPr="00CC7F8D">
        <w:rPr>
          <w:b/>
          <w:sz w:val="22"/>
          <w:szCs w:val="22"/>
        </w:rPr>
        <w:t xml:space="preserve"> je i způsob, jakým </w:t>
      </w:r>
      <w:r w:rsidR="00E51E1E" w:rsidRPr="00CC7F8D">
        <w:rPr>
          <w:b/>
          <w:sz w:val="22"/>
          <w:szCs w:val="22"/>
        </w:rPr>
        <w:t>jsou</w:t>
      </w:r>
      <w:r w:rsidRPr="00CC7F8D">
        <w:rPr>
          <w:b/>
          <w:sz w:val="22"/>
          <w:szCs w:val="22"/>
        </w:rPr>
        <w:t xml:space="preserve"> hodnoceny </w:t>
      </w:r>
      <w:r w:rsidR="0033746C" w:rsidRPr="00CC7F8D">
        <w:rPr>
          <w:b/>
          <w:sz w:val="22"/>
          <w:szCs w:val="22"/>
        </w:rPr>
        <w:t>výsledky</w:t>
      </w:r>
      <w:r w:rsidRPr="00CC7F8D">
        <w:rPr>
          <w:b/>
          <w:sz w:val="22"/>
          <w:szCs w:val="22"/>
        </w:rPr>
        <w:t xml:space="preserve"> </w:t>
      </w:r>
      <w:r w:rsidR="00E51E1E" w:rsidRPr="00CC7F8D">
        <w:rPr>
          <w:b/>
          <w:sz w:val="22"/>
          <w:szCs w:val="22"/>
        </w:rPr>
        <w:t>modernizace a elektrizace tratí</w:t>
      </w:r>
      <w:r w:rsidR="005714F3" w:rsidRPr="00CC7F8D">
        <w:rPr>
          <w:b/>
          <w:sz w:val="22"/>
          <w:szCs w:val="22"/>
        </w:rPr>
        <w:t xml:space="preserve"> </w:t>
      </w:r>
      <w:r w:rsidR="005236ED" w:rsidRPr="00CC7F8D">
        <w:rPr>
          <w:b/>
          <w:sz w:val="22"/>
          <w:szCs w:val="22"/>
        </w:rPr>
        <w:t>i </w:t>
      </w:r>
      <w:r w:rsidRPr="00CC7F8D">
        <w:rPr>
          <w:b/>
          <w:sz w:val="22"/>
          <w:szCs w:val="22"/>
        </w:rPr>
        <w:t>na úrovni jednotlivých projektů.</w:t>
      </w:r>
      <w:r w:rsidRPr="00CC7F8D">
        <w:rPr>
          <w:sz w:val="22"/>
          <w:szCs w:val="22"/>
        </w:rPr>
        <w:t xml:space="preserve"> </w:t>
      </w:r>
      <w:r w:rsidR="00E51E1E" w:rsidRPr="00CC7F8D">
        <w:rPr>
          <w:sz w:val="22"/>
          <w:szCs w:val="22"/>
        </w:rPr>
        <w:t xml:space="preserve">V </w:t>
      </w:r>
      <w:r w:rsidR="001E3D56" w:rsidRPr="00CC7F8D">
        <w:rPr>
          <w:sz w:val="22"/>
          <w:szCs w:val="22"/>
        </w:rPr>
        <w:t xml:space="preserve">závěrečných </w:t>
      </w:r>
      <w:r w:rsidR="00E51E1E" w:rsidRPr="00CC7F8D">
        <w:rPr>
          <w:sz w:val="22"/>
          <w:szCs w:val="22"/>
        </w:rPr>
        <w:t>a</w:t>
      </w:r>
      <w:r w:rsidR="001E3D56" w:rsidRPr="00CC7F8D">
        <w:rPr>
          <w:sz w:val="22"/>
          <w:szCs w:val="22"/>
        </w:rPr>
        <w:t xml:space="preserve"> následných monitorovacích zprávách </w:t>
      </w:r>
      <w:r w:rsidR="00D33115" w:rsidRPr="00CC7F8D">
        <w:rPr>
          <w:sz w:val="22"/>
          <w:szCs w:val="22"/>
        </w:rPr>
        <w:t xml:space="preserve">zpracovaných SŽDC a schválených MD </w:t>
      </w:r>
      <w:r w:rsidR="0033746C" w:rsidRPr="00CC7F8D">
        <w:rPr>
          <w:sz w:val="22"/>
          <w:szCs w:val="22"/>
        </w:rPr>
        <w:t>bylo</w:t>
      </w:r>
      <w:r w:rsidR="001E3D56" w:rsidRPr="00CC7F8D">
        <w:rPr>
          <w:sz w:val="22"/>
          <w:szCs w:val="22"/>
        </w:rPr>
        <w:t xml:space="preserve"> </w:t>
      </w:r>
      <w:r w:rsidR="005236ED" w:rsidRPr="00CC7F8D">
        <w:rPr>
          <w:sz w:val="22"/>
          <w:szCs w:val="22"/>
        </w:rPr>
        <w:t>z </w:t>
      </w:r>
      <w:r w:rsidR="00E51E1E" w:rsidRPr="00CC7F8D">
        <w:rPr>
          <w:sz w:val="22"/>
          <w:szCs w:val="22"/>
        </w:rPr>
        <w:t>dosažení cílových hodnot technických parametrů projektů (délka modernizované, resp. elektrizované trati, zvýšení traťové rychlost</w:t>
      </w:r>
      <w:r w:rsidR="004327D3" w:rsidRPr="00CC7F8D">
        <w:rPr>
          <w:sz w:val="22"/>
          <w:szCs w:val="22"/>
        </w:rPr>
        <w:t>i</w:t>
      </w:r>
      <w:r w:rsidR="00E51E1E" w:rsidRPr="00CC7F8D">
        <w:rPr>
          <w:sz w:val="22"/>
          <w:szCs w:val="22"/>
        </w:rPr>
        <w:t>, zkrácení jízdní doby) vyvozováno, že tím bude automaticky dosaženo splnění všech cílů projektu, tedy</w:t>
      </w:r>
      <w:r w:rsidR="00B202B0" w:rsidRPr="00CC7F8D">
        <w:rPr>
          <w:sz w:val="22"/>
          <w:szCs w:val="22"/>
        </w:rPr>
        <w:t xml:space="preserve"> např.</w:t>
      </w:r>
      <w:r w:rsidR="005236ED" w:rsidRPr="00CC7F8D">
        <w:rPr>
          <w:sz w:val="22"/>
          <w:szCs w:val="22"/>
        </w:rPr>
        <w:t xml:space="preserve"> zvýšení bezpečnosti a </w:t>
      </w:r>
      <w:r w:rsidR="00E51E1E" w:rsidRPr="00CC7F8D">
        <w:rPr>
          <w:sz w:val="22"/>
          <w:szCs w:val="22"/>
        </w:rPr>
        <w:t>plynulosti dopravy, snížení negativních vlivů na životní prostředí atd.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407BEE" w:rsidRPr="00CC7F8D" w:rsidRDefault="00292995" w:rsidP="00CC7F8D">
      <w:pPr>
        <w:jc w:val="both"/>
        <w:rPr>
          <w:sz w:val="22"/>
          <w:szCs w:val="22"/>
        </w:rPr>
      </w:pPr>
      <w:r>
        <w:rPr>
          <w:sz w:val="22"/>
          <w:szCs w:val="22"/>
        </w:rPr>
        <w:t>Podobný postup byl uplatněn</w:t>
      </w:r>
      <w:r w:rsidR="00B202B0" w:rsidRPr="00CC7F8D">
        <w:rPr>
          <w:sz w:val="22"/>
          <w:szCs w:val="22"/>
        </w:rPr>
        <w:t xml:space="preserve"> i při hodnocení potvrzení socioekonomických předpokladů použitých v hodnocení nákladů a přínosů projektu při jeho schvalování: z dosažení plánované kvalitativní úrovně infrastruktury je vyvozováno splnění předpokladů o nárůstu dopravních a přepravních výkonů s tím, že přesnější hodnocení bude možno provést až v delším, blíže nespecifikovaném časovém horizontu. </w:t>
      </w:r>
      <w:r w:rsidR="004C7C57" w:rsidRPr="00CC7F8D">
        <w:rPr>
          <w:sz w:val="22"/>
          <w:szCs w:val="22"/>
        </w:rPr>
        <w:t>Způsob, jakým bude dosažení cílů projektu a naplnění socioekonomických př</w:t>
      </w:r>
      <w:r w:rsidR="005236ED" w:rsidRPr="00CC7F8D">
        <w:rPr>
          <w:sz w:val="22"/>
          <w:szCs w:val="22"/>
        </w:rPr>
        <w:t>edpokladů ověřeno, není zřejmý.</w:t>
      </w:r>
    </w:p>
    <w:p w:rsidR="005C37CF" w:rsidRPr="00CC7F8D" w:rsidRDefault="005C37CF" w:rsidP="00CC7F8D">
      <w:pPr>
        <w:jc w:val="both"/>
        <w:rPr>
          <w:sz w:val="22"/>
          <w:szCs w:val="22"/>
        </w:rPr>
      </w:pPr>
    </w:p>
    <w:p w:rsidR="00993ECE" w:rsidRPr="00CC7F8D" w:rsidRDefault="00407BEE" w:rsidP="00CC7F8D">
      <w:pPr>
        <w:jc w:val="both"/>
        <w:rPr>
          <w:sz w:val="22"/>
          <w:szCs w:val="22"/>
        </w:rPr>
      </w:pPr>
      <w:r w:rsidRPr="00CC7F8D">
        <w:rPr>
          <w:b/>
          <w:sz w:val="22"/>
          <w:szCs w:val="22"/>
        </w:rPr>
        <w:t>4</w:t>
      </w:r>
      <w:r w:rsidR="00993ECE" w:rsidRPr="00CC7F8D">
        <w:rPr>
          <w:b/>
          <w:sz w:val="22"/>
          <w:szCs w:val="22"/>
        </w:rPr>
        <w:t xml:space="preserve">. Postup MD při rozhodování o realizaci </w:t>
      </w:r>
      <w:r w:rsidRPr="00CC7F8D">
        <w:rPr>
          <w:b/>
          <w:sz w:val="22"/>
          <w:szCs w:val="22"/>
        </w:rPr>
        <w:t>akcí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A362EC" w:rsidRDefault="00993ECE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>K výběru projektů zejména ve vztahu k naplňování cílů a priorit stanovených v OPD a koncepčních materiálech pro oblast modernizace železniční infrastruktury MD uvedlo, že koordinaci realizace projektů zajišťuje ve spolupráci se SFDI a SŽDC prostřednictvím tvorby rozpočtu a střednědobého výhledu SFDI</w:t>
      </w:r>
      <w:r w:rsidR="00437030" w:rsidRPr="00CC7F8D">
        <w:rPr>
          <w:sz w:val="22"/>
          <w:szCs w:val="22"/>
        </w:rPr>
        <w:t>. Dále</w:t>
      </w:r>
      <w:r w:rsidRPr="00CC7F8D">
        <w:rPr>
          <w:sz w:val="22"/>
          <w:szCs w:val="22"/>
        </w:rPr>
        <w:t xml:space="preserve"> </w:t>
      </w:r>
      <w:r w:rsidR="00365989">
        <w:rPr>
          <w:sz w:val="22"/>
          <w:szCs w:val="22"/>
        </w:rPr>
        <w:t xml:space="preserve">uvedlo, </w:t>
      </w:r>
      <w:r w:rsidRPr="00CC7F8D">
        <w:rPr>
          <w:sz w:val="22"/>
          <w:szCs w:val="22"/>
        </w:rPr>
        <w:t xml:space="preserve">že absenci střednědobé investiční koncepce pro realizaci projektů nahrazuje aktualizovaný dokument </w:t>
      </w:r>
      <w:r w:rsidRPr="0013582B">
        <w:rPr>
          <w:i/>
          <w:sz w:val="22"/>
          <w:szCs w:val="22"/>
        </w:rPr>
        <w:t>Harmonogram výstavby dopravní infrastruktury v letech 2008</w:t>
      </w:r>
      <w:r w:rsidR="003425AB" w:rsidRPr="0013582B">
        <w:rPr>
          <w:i/>
          <w:sz w:val="22"/>
          <w:szCs w:val="22"/>
        </w:rPr>
        <w:t>–</w:t>
      </w:r>
      <w:r w:rsidR="00CB1AE4" w:rsidRPr="0013582B">
        <w:rPr>
          <w:i/>
          <w:sz w:val="22"/>
          <w:szCs w:val="22"/>
        </w:rPr>
        <w:t>2</w:t>
      </w:r>
      <w:r w:rsidRPr="0013582B">
        <w:rPr>
          <w:i/>
          <w:sz w:val="22"/>
          <w:szCs w:val="22"/>
        </w:rPr>
        <w:t>013</w:t>
      </w:r>
      <w:r w:rsidRPr="00CC7F8D">
        <w:rPr>
          <w:sz w:val="22"/>
          <w:szCs w:val="22"/>
        </w:rPr>
        <w:t xml:space="preserve"> (dále také „HVDI“), který však má charakter jen indikativního výhledu měnícího se v čase.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993ECE" w:rsidRDefault="00993ECE" w:rsidP="00CC7F8D">
      <w:pPr>
        <w:jc w:val="both"/>
        <w:rPr>
          <w:sz w:val="22"/>
          <w:szCs w:val="22"/>
        </w:rPr>
      </w:pPr>
      <w:r w:rsidRPr="00CC7F8D">
        <w:rPr>
          <w:b/>
          <w:sz w:val="22"/>
          <w:szCs w:val="22"/>
        </w:rPr>
        <w:t xml:space="preserve">Postup MD při rozhodování o průběhu </w:t>
      </w:r>
      <w:r w:rsidR="00A362EC" w:rsidRPr="00CC7F8D">
        <w:rPr>
          <w:b/>
          <w:sz w:val="22"/>
          <w:szCs w:val="22"/>
        </w:rPr>
        <w:t xml:space="preserve">přípravy a </w:t>
      </w:r>
      <w:r w:rsidRPr="00CC7F8D">
        <w:rPr>
          <w:b/>
          <w:sz w:val="22"/>
          <w:szCs w:val="22"/>
        </w:rPr>
        <w:t>realizace projektů byl netransparentní.</w:t>
      </w:r>
      <w:r w:rsidRPr="00CC7F8D">
        <w:rPr>
          <w:sz w:val="22"/>
          <w:szCs w:val="22"/>
        </w:rPr>
        <w:t xml:space="preserve"> </w:t>
      </w:r>
      <w:r w:rsidRPr="00CC7F8D">
        <w:rPr>
          <w:b/>
          <w:sz w:val="22"/>
          <w:szCs w:val="22"/>
        </w:rPr>
        <w:t>MD v některých případech samo zpochybnilo věrohodnost dokladů, na</w:t>
      </w:r>
      <w:r w:rsidR="00292995">
        <w:rPr>
          <w:b/>
          <w:sz w:val="22"/>
          <w:szCs w:val="22"/>
        </w:rPr>
        <w:t xml:space="preserve"> jejichž</w:t>
      </w:r>
      <w:r w:rsidRPr="00CC7F8D">
        <w:rPr>
          <w:b/>
          <w:sz w:val="22"/>
          <w:szCs w:val="22"/>
        </w:rPr>
        <w:t xml:space="preserve"> základě mělo rozhodovat.</w:t>
      </w:r>
      <w:r w:rsidRPr="00CC7F8D">
        <w:rPr>
          <w:sz w:val="22"/>
          <w:szCs w:val="22"/>
        </w:rPr>
        <w:t xml:space="preserve"> Správnost a objektivnost předpokladů, které byly použity v rámci ekonomických hodnocení akcí, nebylo možno z dokladů předložených ke kontrole ověřit. Finanční a časové parametry akcí se v průběhu rozhodování o jejich přípravě a realizaci výrazně měnily, aniž by byly vyhodnoceny příč</w:t>
      </w:r>
      <w:r w:rsidR="00142EB4" w:rsidRPr="00CC7F8D">
        <w:rPr>
          <w:sz w:val="22"/>
          <w:szCs w:val="22"/>
        </w:rPr>
        <w:t>iny a dopady těchto změn.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13582B" w:rsidRDefault="0013582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A362EC" w:rsidRPr="00CC7F8D" w:rsidRDefault="00993ECE" w:rsidP="00CC7F8D">
      <w:pPr>
        <w:jc w:val="both"/>
        <w:rPr>
          <w:sz w:val="22"/>
          <w:szCs w:val="22"/>
          <w:u w:val="single"/>
        </w:rPr>
      </w:pPr>
      <w:r w:rsidRPr="00CC7F8D">
        <w:rPr>
          <w:sz w:val="22"/>
          <w:szCs w:val="22"/>
          <w:u w:val="single"/>
        </w:rPr>
        <w:lastRenderedPageBreak/>
        <w:t>Příklad 1:</w:t>
      </w:r>
    </w:p>
    <w:p w:rsidR="00CC7F8D" w:rsidRDefault="00CC7F8D" w:rsidP="00CC7F8D">
      <w:pPr>
        <w:jc w:val="both"/>
        <w:rPr>
          <w:color w:val="000000"/>
          <w:sz w:val="22"/>
          <w:szCs w:val="22"/>
        </w:rPr>
      </w:pPr>
    </w:p>
    <w:p w:rsidR="00A362EC" w:rsidRDefault="00993ECE" w:rsidP="00CC7F8D">
      <w:pPr>
        <w:jc w:val="both"/>
        <w:rPr>
          <w:color w:val="000000"/>
          <w:sz w:val="22"/>
          <w:szCs w:val="22"/>
        </w:rPr>
      </w:pPr>
      <w:r w:rsidRPr="00CC7F8D">
        <w:rPr>
          <w:color w:val="000000"/>
          <w:sz w:val="22"/>
          <w:szCs w:val="22"/>
        </w:rPr>
        <w:t>MD dopisem z dubna 2006 souhlasilo s elektrizací trati Brno</w:t>
      </w:r>
      <w:r w:rsidR="00D13D69" w:rsidRPr="00CC7F8D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>Jihlava</w:t>
      </w:r>
      <w:r w:rsidR="00D13D69" w:rsidRPr="00CC7F8D">
        <w:rPr>
          <w:color w:val="000000"/>
          <w:sz w:val="22"/>
          <w:szCs w:val="22"/>
        </w:rPr>
        <w:t xml:space="preserve"> (104 km)</w:t>
      </w:r>
      <w:r w:rsidRPr="00CC7F8D">
        <w:rPr>
          <w:color w:val="000000"/>
          <w:sz w:val="22"/>
          <w:szCs w:val="22"/>
        </w:rPr>
        <w:t>. Zároveň ale zpochybnilo reálnost předloženého ekonomického hodnocení tohoto projektu, když poukazovalo na spekulativní charakter jeho některých závěrů. V lednu 2007 se ve svém stanovisku k výhledovému rozsahu dálkové dopravy vyjadřovalo již k redukovanému projektu elektrizace traťového úseku Brno</w:t>
      </w:r>
      <w:r w:rsidR="002223C6" w:rsidRPr="00CC7F8D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>Rapotice</w:t>
      </w:r>
      <w:r w:rsidR="002223C6" w:rsidRPr="00CC7F8D">
        <w:rPr>
          <w:color w:val="000000"/>
          <w:sz w:val="22"/>
          <w:szCs w:val="22"/>
        </w:rPr>
        <w:t xml:space="preserve"> (</w:t>
      </w:r>
      <w:r w:rsidR="00D13D69" w:rsidRPr="00CC7F8D">
        <w:rPr>
          <w:color w:val="000000"/>
          <w:sz w:val="22"/>
          <w:szCs w:val="22"/>
        </w:rPr>
        <w:t>32 km</w:t>
      </w:r>
      <w:r w:rsidR="002223C6" w:rsidRPr="00CC7F8D">
        <w:rPr>
          <w:color w:val="000000"/>
          <w:sz w:val="22"/>
          <w:szCs w:val="22"/>
        </w:rPr>
        <w:t>)</w:t>
      </w:r>
      <w:r w:rsidRPr="00CC7F8D">
        <w:rPr>
          <w:color w:val="000000"/>
          <w:sz w:val="22"/>
          <w:szCs w:val="22"/>
        </w:rPr>
        <w:t>. Doklady</w:t>
      </w:r>
      <w:r w:rsidR="005236ED" w:rsidRPr="00CC7F8D">
        <w:rPr>
          <w:color w:val="000000"/>
          <w:sz w:val="22"/>
          <w:szCs w:val="22"/>
        </w:rPr>
        <w:t>, které by se zabývaly důvody a </w:t>
      </w:r>
      <w:r w:rsidRPr="00CC7F8D">
        <w:rPr>
          <w:color w:val="000000"/>
          <w:sz w:val="22"/>
          <w:szCs w:val="22"/>
        </w:rPr>
        <w:t xml:space="preserve">dopady této změny, ke kontrole </w:t>
      </w:r>
      <w:r w:rsidR="007C57F5" w:rsidRPr="00CC7F8D">
        <w:rPr>
          <w:color w:val="000000"/>
          <w:sz w:val="22"/>
          <w:szCs w:val="22"/>
        </w:rPr>
        <w:t xml:space="preserve">nebyly </w:t>
      </w:r>
      <w:r w:rsidRPr="00CC7F8D">
        <w:rPr>
          <w:color w:val="000000"/>
          <w:sz w:val="22"/>
          <w:szCs w:val="22"/>
        </w:rPr>
        <w:t>předloženy.</w:t>
      </w:r>
    </w:p>
    <w:p w:rsidR="00CC7F8D" w:rsidRPr="00CC7F8D" w:rsidRDefault="00CC7F8D" w:rsidP="00CC7F8D">
      <w:pPr>
        <w:jc w:val="both"/>
        <w:rPr>
          <w:color w:val="000000"/>
          <w:sz w:val="22"/>
          <w:szCs w:val="22"/>
        </w:rPr>
      </w:pPr>
    </w:p>
    <w:p w:rsidR="00A362EC" w:rsidRPr="00CC7F8D" w:rsidRDefault="00993ECE" w:rsidP="00CC7F8D">
      <w:pPr>
        <w:jc w:val="both"/>
        <w:rPr>
          <w:color w:val="000000"/>
          <w:sz w:val="22"/>
          <w:szCs w:val="22"/>
        </w:rPr>
      </w:pPr>
      <w:r w:rsidRPr="00CC7F8D">
        <w:rPr>
          <w:color w:val="000000"/>
          <w:sz w:val="22"/>
          <w:szCs w:val="22"/>
        </w:rPr>
        <w:t xml:space="preserve">Do HVDI na rok 2008 byla </w:t>
      </w:r>
      <w:r w:rsidR="007C57F5" w:rsidRPr="00CC7F8D">
        <w:rPr>
          <w:color w:val="000000"/>
          <w:sz w:val="22"/>
          <w:szCs w:val="22"/>
        </w:rPr>
        <w:t xml:space="preserve">zařazena </w:t>
      </w:r>
      <w:r w:rsidRPr="00CC7F8D">
        <w:rPr>
          <w:color w:val="000000"/>
          <w:sz w:val="22"/>
          <w:szCs w:val="22"/>
        </w:rPr>
        <w:t>akce č. 500 372 0004</w:t>
      </w:r>
      <w:r w:rsidR="007C57F5">
        <w:rPr>
          <w:color w:val="000000"/>
          <w:sz w:val="22"/>
          <w:szCs w:val="22"/>
        </w:rPr>
        <w:t> –</w:t>
      </w:r>
      <w:r w:rsidRPr="00CC7F8D">
        <w:rPr>
          <w:color w:val="000000"/>
          <w:sz w:val="22"/>
          <w:szCs w:val="22"/>
        </w:rPr>
        <w:t xml:space="preserve"> </w:t>
      </w:r>
      <w:r w:rsidR="003425AB" w:rsidRPr="0013582B">
        <w:rPr>
          <w:i/>
          <w:color w:val="000000"/>
          <w:sz w:val="22"/>
          <w:szCs w:val="22"/>
        </w:rPr>
        <w:t>Elektrizace tratě vč. PEÚ</w:t>
      </w:r>
      <w:r w:rsidR="00437030" w:rsidRPr="0013582B">
        <w:rPr>
          <w:rStyle w:val="Znakapoznpodarou"/>
          <w:rFonts w:cs="Arial"/>
          <w:i/>
          <w:sz w:val="22"/>
          <w:szCs w:val="22"/>
        </w:rPr>
        <w:footnoteReference w:id="13"/>
      </w:r>
      <w:r w:rsidR="003425AB" w:rsidRPr="0013582B">
        <w:rPr>
          <w:i/>
          <w:color w:val="000000"/>
          <w:sz w:val="22"/>
          <w:szCs w:val="22"/>
        </w:rPr>
        <w:t xml:space="preserve"> Brno </w:t>
      </w:r>
      <w:r w:rsidR="00AB4189" w:rsidRPr="0013582B">
        <w:rPr>
          <w:i/>
          <w:color w:val="000000"/>
          <w:sz w:val="22"/>
          <w:szCs w:val="22"/>
        </w:rPr>
        <w:t>–</w:t>
      </w:r>
      <w:r w:rsidRPr="0013582B">
        <w:rPr>
          <w:i/>
          <w:color w:val="000000"/>
          <w:sz w:val="22"/>
          <w:szCs w:val="22"/>
        </w:rPr>
        <w:t xml:space="preserve"> Rapotic</w:t>
      </w:r>
      <w:r w:rsidRPr="00CC7F8D">
        <w:rPr>
          <w:color w:val="000000"/>
          <w:sz w:val="22"/>
          <w:szCs w:val="22"/>
        </w:rPr>
        <w:t>e</w:t>
      </w:r>
      <w:r w:rsidRPr="00CC7F8D">
        <w:rPr>
          <w:sz w:val="22"/>
          <w:szCs w:val="22"/>
        </w:rPr>
        <w:t xml:space="preserve"> </w:t>
      </w:r>
      <w:r w:rsidRPr="00CC7F8D">
        <w:rPr>
          <w:color w:val="000000"/>
          <w:sz w:val="22"/>
          <w:szCs w:val="22"/>
        </w:rPr>
        <w:t>s celkovými náklady 1</w:t>
      </w:r>
      <w:r w:rsidR="00142EB4" w:rsidRPr="00CC7F8D">
        <w:rPr>
          <w:color w:val="000000"/>
          <w:sz w:val="22"/>
          <w:szCs w:val="22"/>
        </w:rPr>
        <w:t> </w:t>
      </w:r>
      <w:r w:rsidRPr="00CC7F8D">
        <w:rPr>
          <w:color w:val="000000"/>
          <w:sz w:val="22"/>
          <w:szCs w:val="22"/>
        </w:rPr>
        <w:t>405</w:t>
      </w:r>
      <w:r w:rsidR="00142EB4" w:rsidRPr="00CC7F8D">
        <w:rPr>
          <w:color w:val="000000"/>
          <w:sz w:val="22"/>
          <w:szCs w:val="22"/>
        </w:rPr>
        <w:t xml:space="preserve">,0 </w:t>
      </w:r>
      <w:r w:rsidRPr="00CC7F8D">
        <w:rPr>
          <w:color w:val="000000"/>
          <w:sz w:val="22"/>
          <w:szCs w:val="22"/>
        </w:rPr>
        <w:t xml:space="preserve">mil. Kč a s dobou realizace v letech </w:t>
      </w:r>
      <w:r w:rsidR="006552EA">
        <w:rPr>
          <w:color w:val="000000"/>
          <w:sz w:val="22"/>
          <w:szCs w:val="22"/>
        </w:rPr>
        <w:br/>
      </w:r>
      <w:r w:rsidRPr="00CC7F8D">
        <w:rPr>
          <w:color w:val="000000"/>
          <w:sz w:val="22"/>
          <w:szCs w:val="22"/>
        </w:rPr>
        <w:t>2009</w:t>
      </w:r>
      <w:r w:rsidR="003425AB" w:rsidRPr="00CC7F8D">
        <w:rPr>
          <w:color w:val="000000"/>
          <w:sz w:val="22"/>
          <w:szCs w:val="22"/>
        </w:rPr>
        <w:t>–2011</w:t>
      </w:r>
      <w:r w:rsidRPr="00CC7F8D">
        <w:rPr>
          <w:color w:val="000000"/>
          <w:sz w:val="22"/>
          <w:szCs w:val="22"/>
        </w:rPr>
        <w:t>. V HVDI na rok 2009 byly celkové náklady této akce navýšeny na 2</w:t>
      </w:r>
      <w:r w:rsidR="00142EB4" w:rsidRPr="00CC7F8D">
        <w:rPr>
          <w:color w:val="000000"/>
          <w:sz w:val="22"/>
          <w:szCs w:val="22"/>
        </w:rPr>
        <w:t> </w:t>
      </w:r>
      <w:r w:rsidRPr="00CC7F8D">
        <w:rPr>
          <w:color w:val="000000"/>
          <w:sz w:val="22"/>
          <w:szCs w:val="22"/>
        </w:rPr>
        <w:t>717</w:t>
      </w:r>
      <w:r w:rsidR="00142EB4" w:rsidRPr="00CC7F8D">
        <w:rPr>
          <w:color w:val="000000"/>
          <w:sz w:val="22"/>
          <w:szCs w:val="22"/>
        </w:rPr>
        <w:t xml:space="preserve">,0 </w:t>
      </w:r>
      <w:r w:rsidRPr="00CC7F8D">
        <w:rPr>
          <w:color w:val="000000"/>
          <w:sz w:val="22"/>
          <w:szCs w:val="22"/>
        </w:rPr>
        <w:t>mil. Kč a termín ukončení její realizace posunut na prosinec 2012. Se stejnými parametry byla akce zařazena do schvále</w:t>
      </w:r>
      <w:r w:rsidR="005236ED" w:rsidRPr="00CC7F8D">
        <w:rPr>
          <w:color w:val="000000"/>
          <w:sz w:val="22"/>
          <w:szCs w:val="22"/>
        </w:rPr>
        <w:t>ného rozpočtu SFDI na rok 2009.</w:t>
      </w:r>
    </w:p>
    <w:p w:rsidR="00CC7F8D" w:rsidRDefault="00CC7F8D" w:rsidP="00CC7F8D">
      <w:pPr>
        <w:jc w:val="both"/>
        <w:rPr>
          <w:color w:val="000000"/>
          <w:sz w:val="22"/>
          <w:szCs w:val="22"/>
        </w:rPr>
      </w:pPr>
    </w:p>
    <w:p w:rsidR="00A362EC" w:rsidRPr="00CC7F8D" w:rsidRDefault="00993ECE" w:rsidP="00CC7F8D">
      <w:pPr>
        <w:jc w:val="both"/>
        <w:rPr>
          <w:sz w:val="22"/>
          <w:szCs w:val="22"/>
        </w:rPr>
      </w:pPr>
      <w:r w:rsidRPr="00CC7F8D">
        <w:rPr>
          <w:color w:val="000000"/>
          <w:sz w:val="22"/>
          <w:szCs w:val="22"/>
        </w:rPr>
        <w:t>V HVDI na roky 2010</w:t>
      </w:r>
      <w:r w:rsidR="003425AB" w:rsidRPr="00CC7F8D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>2012 byl původní projekt elektrizace trati Brno</w:t>
      </w:r>
      <w:r w:rsidR="00AB4189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 xml:space="preserve">Jihlava rozdělen na dvě samostatné akce: </w:t>
      </w:r>
      <w:r w:rsidRPr="0013582B">
        <w:rPr>
          <w:i/>
          <w:sz w:val="22"/>
          <w:szCs w:val="22"/>
        </w:rPr>
        <w:t xml:space="preserve">Elektrizace tratě vč. PEÚ Brno </w:t>
      </w:r>
      <w:r w:rsidR="00AB4189" w:rsidRPr="0013582B">
        <w:rPr>
          <w:i/>
          <w:sz w:val="22"/>
          <w:szCs w:val="22"/>
        </w:rPr>
        <w:t>–</w:t>
      </w:r>
      <w:r w:rsidRPr="0013582B">
        <w:rPr>
          <w:i/>
          <w:sz w:val="22"/>
          <w:szCs w:val="22"/>
        </w:rPr>
        <w:t xml:space="preserve"> Zastávka u Brna</w:t>
      </w:r>
      <w:r w:rsidRPr="00CC7F8D">
        <w:rPr>
          <w:color w:val="000000"/>
          <w:sz w:val="22"/>
          <w:szCs w:val="22"/>
        </w:rPr>
        <w:t xml:space="preserve"> </w:t>
      </w:r>
      <w:r w:rsidR="00915B47" w:rsidRPr="00CC7F8D">
        <w:rPr>
          <w:color w:val="000000"/>
          <w:sz w:val="22"/>
          <w:szCs w:val="22"/>
        </w:rPr>
        <w:t>(</w:t>
      </w:r>
      <w:r w:rsidR="00D13D69" w:rsidRPr="00CC7F8D">
        <w:rPr>
          <w:color w:val="000000"/>
          <w:sz w:val="22"/>
          <w:szCs w:val="22"/>
        </w:rPr>
        <w:t>23 km</w:t>
      </w:r>
      <w:r w:rsidR="00915B47" w:rsidRPr="00CC7F8D">
        <w:rPr>
          <w:color w:val="000000"/>
          <w:sz w:val="22"/>
          <w:szCs w:val="22"/>
        </w:rPr>
        <w:t xml:space="preserve">) </w:t>
      </w:r>
      <w:r w:rsidR="00FA2203" w:rsidRPr="00CC7F8D">
        <w:rPr>
          <w:color w:val="000000"/>
          <w:sz w:val="22"/>
          <w:szCs w:val="22"/>
        </w:rPr>
        <w:t>a </w:t>
      </w:r>
      <w:r w:rsidRPr="0013582B">
        <w:rPr>
          <w:i/>
          <w:sz w:val="22"/>
          <w:szCs w:val="22"/>
        </w:rPr>
        <w:t xml:space="preserve">Elektrizace tratě vč. PEÚ Zastávka u Brna </w:t>
      </w:r>
      <w:r w:rsidR="00AB4189" w:rsidRPr="0013582B">
        <w:rPr>
          <w:i/>
          <w:sz w:val="22"/>
          <w:szCs w:val="22"/>
        </w:rPr>
        <w:t>–</w:t>
      </w:r>
      <w:r w:rsidRPr="0013582B">
        <w:rPr>
          <w:i/>
          <w:sz w:val="22"/>
          <w:szCs w:val="22"/>
        </w:rPr>
        <w:t xml:space="preserve"> Jihlava</w:t>
      </w:r>
      <w:r w:rsidR="00D13D69" w:rsidRPr="00CC7F8D">
        <w:rPr>
          <w:sz w:val="22"/>
          <w:szCs w:val="22"/>
        </w:rPr>
        <w:t xml:space="preserve"> (81 km)</w:t>
      </w:r>
      <w:r w:rsidR="00915B47" w:rsidRPr="00CC7F8D">
        <w:rPr>
          <w:sz w:val="22"/>
          <w:szCs w:val="22"/>
        </w:rPr>
        <w:t>.</w:t>
      </w:r>
      <w:r w:rsidRPr="00CC7F8D">
        <w:rPr>
          <w:color w:val="000000"/>
          <w:sz w:val="22"/>
          <w:szCs w:val="22"/>
        </w:rPr>
        <w:t xml:space="preserve"> </w:t>
      </w:r>
      <w:r w:rsidR="00915B47" w:rsidRPr="00CC7F8D">
        <w:rPr>
          <w:color w:val="000000"/>
          <w:sz w:val="22"/>
          <w:szCs w:val="22"/>
        </w:rPr>
        <w:t xml:space="preserve">Přitom </w:t>
      </w:r>
      <w:r w:rsidRPr="00CC7F8D">
        <w:rPr>
          <w:color w:val="000000"/>
          <w:sz w:val="22"/>
          <w:szCs w:val="22"/>
        </w:rPr>
        <w:t>n</w:t>
      </w:r>
      <w:r w:rsidRPr="00CC7F8D">
        <w:rPr>
          <w:sz w:val="22"/>
          <w:szCs w:val="22"/>
        </w:rPr>
        <w:t>áklady samo</w:t>
      </w:r>
      <w:r w:rsidR="00A362EC" w:rsidRPr="00CC7F8D">
        <w:rPr>
          <w:sz w:val="22"/>
          <w:szCs w:val="22"/>
        </w:rPr>
        <w:t>tné</w:t>
      </w:r>
      <w:r w:rsidR="002079D2" w:rsidRPr="00CC7F8D">
        <w:rPr>
          <w:sz w:val="22"/>
          <w:szCs w:val="22"/>
        </w:rPr>
        <w:t>,</w:t>
      </w:r>
      <w:r w:rsidR="00A362EC" w:rsidRPr="00CC7F8D">
        <w:rPr>
          <w:sz w:val="22"/>
          <w:szCs w:val="22"/>
        </w:rPr>
        <w:t xml:space="preserve"> </w:t>
      </w:r>
      <w:r w:rsidR="00EB7FFA" w:rsidRPr="00CC7F8D">
        <w:rPr>
          <w:sz w:val="22"/>
          <w:szCs w:val="22"/>
        </w:rPr>
        <w:t xml:space="preserve">asi o třetinu redukované </w:t>
      </w:r>
      <w:r w:rsidR="00A362EC" w:rsidRPr="00CC7F8D">
        <w:rPr>
          <w:sz w:val="22"/>
          <w:szCs w:val="22"/>
        </w:rPr>
        <w:t xml:space="preserve">akce </w:t>
      </w:r>
      <w:r w:rsidR="00A362EC" w:rsidRPr="0013582B">
        <w:rPr>
          <w:i/>
          <w:sz w:val="22"/>
          <w:szCs w:val="22"/>
        </w:rPr>
        <w:t>Elektrizace tratě vč. </w:t>
      </w:r>
      <w:r w:rsidRPr="0013582B">
        <w:rPr>
          <w:i/>
          <w:sz w:val="22"/>
          <w:szCs w:val="22"/>
        </w:rPr>
        <w:t xml:space="preserve">PEÚ Brno </w:t>
      </w:r>
      <w:r w:rsidR="00AB4189" w:rsidRPr="0013582B">
        <w:rPr>
          <w:i/>
          <w:sz w:val="22"/>
          <w:szCs w:val="22"/>
        </w:rPr>
        <w:t>–</w:t>
      </w:r>
      <w:r w:rsidRPr="0013582B">
        <w:rPr>
          <w:i/>
          <w:sz w:val="22"/>
          <w:szCs w:val="22"/>
        </w:rPr>
        <w:t xml:space="preserve"> Zastávka u Brna</w:t>
      </w:r>
      <w:r w:rsidRPr="00CC7F8D">
        <w:rPr>
          <w:sz w:val="22"/>
          <w:szCs w:val="22"/>
        </w:rPr>
        <w:t xml:space="preserve"> ve výši 4</w:t>
      </w:r>
      <w:r w:rsidR="00142EB4" w:rsidRPr="00CC7F8D">
        <w:rPr>
          <w:sz w:val="22"/>
          <w:szCs w:val="22"/>
        </w:rPr>
        <w:t> </w:t>
      </w:r>
      <w:r w:rsidRPr="00CC7F8D">
        <w:rPr>
          <w:sz w:val="22"/>
          <w:szCs w:val="22"/>
        </w:rPr>
        <w:t>000</w:t>
      </w:r>
      <w:r w:rsidR="00FA2203" w:rsidRPr="00CC7F8D">
        <w:rPr>
          <w:sz w:val="22"/>
          <w:szCs w:val="22"/>
        </w:rPr>
        <w:t>,0 </w:t>
      </w:r>
      <w:r w:rsidRPr="00CC7F8D">
        <w:rPr>
          <w:sz w:val="22"/>
          <w:szCs w:val="22"/>
        </w:rPr>
        <w:t>mil. Kč jsou o 47,2 % vyšší než celkové náklady na</w:t>
      </w:r>
      <w:r w:rsidR="00EB7FFA" w:rsidRPr="00CC7F8D">
        <w:rPr>
          <w:sz w:val="22"/>
          <w:szCs w:val="22"/>
        </w:rPr>
        <w:t xml:space="preserve"> </w:t>
      </w:r>
      <w:r w:rsidRPr="00CC7F8D">
        <w:rPr>
          <w:sz w:val="22"/>
          <w:szCs w:val="22"/>
        </w:rPr>
        <w:t xml:space="preserve">akci </w:t>
      </w:r>
      <w:r w:rsidRPr="0013582B">
        <w:rPr>
          <w:i/>
          <w:sz w:val="22"/>
          <w:szCs w:val="22"/>
        </w:rPr>
        <w:t xml:space="preserve">Elektrizace tratě vč. PEÚ Brno </w:t>
      </w:r>
      <w:r w:rsidR="00AB4189" w:rsidRPr="0013582B">
        <w:rPr>
          <w:i/>
          <w:sz w:val="22"/>
          <w:szCs w:val="22"/>
        </w:rPr>
        <w:t>–</w:t>
      </w:r>
      <w:r w:rsidRPr="0013582B">
        <w:rPr>
          <w:i/>
          <w:sz w:val="22"/>
          <w:szCs w:val="22"/>
        </w:rPr>
        <w:t xml:space="preserve"> Rapotice</w:t>
      </w:r>
      <w:r w:rsidR="00142EB4" w:rsidRPr="00CC7F8D">
        <w:rPr>
          <w:sz w:val="22"/>
          <w:szCs w:val="22"/>
        </w:rPr>
        <w:t>.</w:t>
      </w:r>
      <w:r w:rsidR="00D13D69" w:rsidRPr="00CC7F8D">
        <w:rPr>
          <w:sz w:val="22"/>
          <w:szCs w:val="22"/>
        </w:rPr>
        <w:t xml:space="preserve"> Oproti původním předpokladům totiž došlo mj. ke zdvojkolejnění této části trati na základě požadavků Jihomoravského kraje.</w:t>
      </w:r>
    </w:p>
    <w:p w:rsidR="00CC7F8D" w:rsidRDefault="00CC7F8D" w:rsidP="00CC7F8D">
      <w:pPr>
        <w:jc w:val="both"/>
        <w:rPr>
          <w:color w:val="000000"/>
          <w:sz w:val="22"/>
          <w:szCs w:val="22"/>
        </w:rPr>
      </w:pPr>
    </w:p>
    <w:p w:rsidR="00A362EC" w:rsidRPr="00CC7F8D" w:rsidRDefault="00993ECE" w:rsidP="00CC7F8D">
      <w:pPr>
        <w:jc w:val="both"/>
        <w:rPr>
          <w:color w:val="000000"/>
          <w:sz w:val="22"/>
          <w:szCs w:val="22"/>
        </w:rPr>
      </w:pPr>
      <w:r w:rsidRPr="00CC7F8D">
        <w:rPr>
          <w:color w:val="000000"/>
          <w:sz w:val="22"/>
          <w:szCs w:val="22"/>
        </w:rPr>
        <w:t xml:space="preserve">Do rozpočtu SFDI na rok 2010 byla </w:t>
      </w:r>
      <w:r w:rsidR="007C57F5" w:rsidRPr="00CC7F8D">
        <w:rPr>
          <w:color w:val="000000"/>
          <w:sz w:val="22"/>
          <w:szCs w:val="22"/>
        </w:rPr>
        <w:t xml:space="preserve">zařazena </w:t>
      </w:r>
      <w:r w:rsidRPr="00CC7F8D">
        <w:rPr>
          <w:color w:val="000000"/>
          <w:sz w:val="22"/>
          <w:szCs w:val="22"/>
        </w:rPr>
        <w:t xml:space="preserve">akce </w:t>
      </w:r>
      <w:r w:rsidR="002223C6" w:rsidRPr="0013582B">
        <w:rPr>
          <w:i/>
          <w:sz w:val="22"/>
          <w:szCs w:val="22"/>
        </w:rPr>
        <w:t xml:space="preserve">Elektrizace tratě vč. PEÚ Brno </w:t>
      </w:r>
      <w:r w:rsidR="00AB4189" w:rsidRPr="0013582B">
        <w:rPr>
          <w:i/>
          <w:sz w:val="22"/>
          <w:szCs w:val="22"/>
        </w:rPr>
        <w:t>–</w:t>
      </w:r>
      <w:r w:rsidR="002223C6" w:rsidRPr="0013582B">
        <w:rPr>
          <w:i/>
          <w:sz w:val="22"/>
          <w:szCs w:val="22"/>
        </w:rPr>
        <w:t xml:space="preserve"> Zastávka u Brna</w:t>
      </w:r>
      <w:r w:rsidR="002223C6" w:rsidRPr="00CC7F8D">
        <w:rPr>
          <w:sz w:val="22"/>
          <w:szCs w:val="22"/>
        </w:rPr>
        <w:t xml:space="preserve"> </w:t>
      </w:r>
      <w:r w:rsidRPr="00CC7F8D">
        <w:rPr>
          <w:color w:val="000000"/>
          <w:sz w:val="22"/>
          <w:szCs w:val="22"/>
        </w:rPr>
        <w:t>s celkovými náklady 2</w:t>
      </w:r>
      <w:r w:rsidR="00142EB4" w:rsidRPr="00CC7F8D">
        <w:rPr>
          <w:color w:val="000000"/>
          <w:sz w:val="22"/>
          <w:szCs w:val="22"/>
        </w:rPr>
        <w:t> </w:t>
      </w:r>
      <w:r w:rsidRPr="00CC7F8D">
        <w:rPr>
          <w:color w:val="000000"/>
          <w:sz w:val="22"/>
          <w:szCs w:val="22"/>
        </w:rPr>
        <w:t>717</w:t>
      </w:r>
      <w:r w:rsidR="00142EB4" w:rsidRPr="00CC7F8D">
        <w:rPr>
          <w:color w:val="000000"/>
          <w:sz w:val="22"/>
          <w:szCs w:val="22"/>
        </w:rPr>
        <w:t>,0 mil. Kč. Již v </w:t>
      </w:r>
      <w:r w:rsidRPr="00CC7F8D">
        <w:rPr>
          <w:color w:val="000000"/>
          <w:sz w:val="22"/>
          <w:szCs w:val="22"/>
        </w:rPr>
        <w:t>březnu 2010 ale došlo k jejich navýšení na 5 557,2 mil. Kč a v prosinci 2010 pak k jejich redukci na 4 557,2 mil. Kč. V dokladech předložených ke kontrole nebyly ty</w:t>
      </w:r>
      <w:r w:rsidR="00142EB4" w:rsidRPr="00CC7F8D">
        <w:rPr>
          <w:color w:val="000000"/>
          <w:sz w:val="22"/>
          <w:szCs w:val="22"/>
        </w:rPr>
        <w:t>to změny dostatečně vysvětleny.</w:t>
      </w:r>
    </w:p>
    <w:p w:rsidR="00CC7F8D" w:rsidRDefault="00CC7F8D" w:rsidP="00CC7F8D">
      <w:pPr>
        <w:jc w:val="both"/>
        <w:rPr>
          <w:color w:val="000000"/>
          <w:sz w:val="22"/>
          <w:szCs w:val="22"/>
        </w:rPr>
      </w:pPr>
    </w:p>
    <w:p w:rsidR="00A362EC" w:rsidRPr="00CC7F8D" w:rsidRDefault="00993ECE" w:rsidP="00CC7F8D">
      <w:pPr>
        <w:jc w:val="both"/>
        <w:rPr>
          <w:color w:val="000000"/>
          <w:sz w:val="22"/>
          <w:szCs w:val="22"/>
        </w:rPr>
      </w:pPr>
      <w:r w:rsidRPr="00CC7F8D">
        <w:rPr>
          <w:color w:val="000000"/>
          <w:sz w:val="22"/>
          <w:szCs w:val="22"/>
        </w:rPr>
        <w:t xml:space="preserve">V dopise z dubna 2010 MD poukázalo na nejasnosti a chybějící údaje v předloženém investičním záměru a ekonomickém hodnocení z března 2010 </w:t>
      </w:r>
      <w:r w:rsidR="007C57F5">
        <w:rPr>
          <w:color w:val="000000"/>
          <w:sz w:val="22"/>
          <w:szCs w:val="22"/>
        </w:rPr>
        <w:t>a také</w:t>
      </w:r>
      <w:r w:rsidRPr="00CC7F8D">
        <w:rPr>
          <w:color w:val="000000"/>
          <w:sz w:val="22"/>
          <w:szCs w:val="22"/>
        </w:rPr>
        <w:t xml:space="preserve"> upozornilo na zkrácení stavebního úseku o třetinu při nárůstu celkových investičních nákladů na téměř dvojnásobek. SŽDC v dopise z června 2010 navýšení nákladů odůvodnilo kvalitativní změnou technického řešení mj. na základě požadavků Jihomoravského kra</w:t>
      </w:r>
      <w:r w:rsidR="00142EB4" w:rsidRPr="00CC7F8D">
        <w:rPr>
          <w:color w:val="000000"/>
          <w:sz w:val="22"/>
          <w:szCs w:val="22"/>
        </w:rPr>
        <w:t>je nejen na elektrizaci, ale i </w:t>
      </w:r>
      <w:r w:rsidRPr="00CC7F8D">
        <w:rPr>
          <w:color w:val="000000"/>
          <w:sz w:val="22"/>
          <w:szCs w:val="22"/>
        </w:rPr>
        <w:t>zkapacitnění příslušného traťového úseku. MD následně dopisem z května 2011 investiční záměr schválilo a stanovilo limitní investiční náklady akce náklady ve výši 4 101,3 mil. Kč s předpokládanou realizací akce v letech 2012</w:t>
      </w:r>
      <w:r w:rsidR="003425AB" w:rsidRPr="00CC7F8D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>2015 a svůj souhlas potvrdilo dopisem z června 2011.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993ECE" w:rsidRDefault="00993ECE" w:rsidP="00CC7F8D">
      <w:pPr>
        <w:jc w:val="both"/>
        <w:rPr>
          <w:color w:val="000000"/>
          <w:sz w:val="22"/>
          <w:szCs w:val="22"/>
        </w:rPr>
      </w:pPr>
      <w:r w:rsidRPr="00CC7F8D">
        <w:rPr>
          <w:sz w:val="22"/>
          <w:szCs w:val="22"/>
        </w:rPr>
        <w:t>V HVDI pro roky 2011</w:t>
      </w:r>
      <w:r w:rsidR="003425AB" w:rsidRPr="00CC7F8D">
        <w:rPr>
          <w:sz w:val="22"/>
          <w:szCs w:val="22"/>
        </w:rPr>
        <w:t>–</w:t>
      </w:r>
      <w:r w:rsidRPr="00CC7F8D">
        <w:rPr>
          <w:sz w:val="22"/>
          <w:szCs w:val="22"/>
        </w:rPr>
        <w:t>2013 byl termín ukončení realiz</w:t>
      </w:r>
      <w:r w:rsidR="00142EB4" w:rsidRPr="00CC7F8D">
        <w:rPr>
          <w:sz w:val="22"/>
          <w:szCs w:val="22"/>
        </w:rPr>
        <w:t>ace akce stanoven na rok 2014 a </w:t>
      </w:r>
      <w:r w:rsidRPr="00CC7F8D">
        <w:rPr>
          <w:sz w:val="22"/>
          <w:szCs w:val="22"/>
        </w:rPr>
        <w:t xml:space="preserve">náklady akce na 4 557,2 mil. Kč. </w:t>
      </w:r>
      <w:r w:rsidR="002079D2" w:rsidRPr="00CC7F8D">
        <w:rPr>
          <w:sz w:val="22"/>
          <w:szCs w:val="22"/>
        </w:rPr>
        <w:t>Do </w:t>
      </w:r>
      <w:r w:rsidRPr="00CC7F8D">
        <w:rPr>
          <w:sz w:val="22"/>
          <w:szCs w:val="22"/>
        </w:rPr>
        <w:t xml:space="preserve">rozpočtu SFDI na rok 2011 ale </w:t>
      </w:r>
      <w:r w:rsidRPr="00CC7F8D">
        <w:rPr>
          <w:color w:val="000000"/>
          <w:sz w:val="22"/>
          <w:szCs w:val="22"/>
        </w:rPr>
        <w:t>akce nebyla vůbec zařazena.</w:t>
      </w:r>
      <w:r w:rsidRPr="00CC7F8D">
        <w:rPr>
          <w:sz w:val="22"/>
          <w:szCs w:val="22"/>
        </w:rPr>
        <w:t xml:space="preserve"> </w:t>
      </w:r>
      <w:r w:rsidRPr="00CC7F8D">
        <w:rPr>
          <w:color w:val="000000"/>
          <w:sz w:val="22"/>
          <w:szCs w:val="22"/>
        </w:rPr>
        <w:t>Do rozpočtu SFDI na rok 2012 byla akce zařazena s celkovými náklady 4</w:t>
      </w:r>
      <w:r w:rsidR="00142EB4" w:rsidRPr="00CC7F8D">
        <w:rPr>
          <w:color w:val="000000"/>
          <w:sz w:val="22"/>
          <w:szCs w:val="22"/>
        </w:rPr>
        <w:t> </w:t>
      </w:r>
      <w:r w:rsidRPr="00CC7F8D">
        <w:rPr>
          <w:color w:val="000000"/>
          <w:sz w:val="22"/>
          <w:szCs w:val="22"/>
        </w:rPr>
        <w:t>557</w:t>
      </w:r>
      <w:r w:rsidR="00142EB4" w:rsidRPr="00CC7F8D">
        <w:rPr>
          <w:color w:val="000000"/>
          <w:sz w:val="22"/>
          <w:szCs w:val="22"/>
        </w:rPr>
        <w:t>,0 </w:t>
      </w:r>
      <w:r w:rsidRPr="00CC7F8D">
        <w:rPr>
          <w:color w:val="000000"/>
          <w:sz w:val="22"/>
          <w:szCs w:val="22"/>
        </w:rPr>
        <w:t>mil. Kč, tedy o 455,7 mil. Kč vyššími, než MD</w:t>
      </w:r>
      <w:r w:rsidR="007C57F5" w:rsidRPr="007C57F5">
        <w:rPr>
          <w:color w:val="000000"/>
          <w:sz w:val="22"/>
          <w:szCs w:val="22"/>
        </w:rPr>
        <w:t xml:space="preserve"> </w:t>
      </w:r>
      <w:r w:rsidR="007C57F5" w:rsidRPr="00CC7F8D">
        <w:rPr>
          <w:color w:val="000000"/>
          <w:sz w:val="22"/>
          <w:szCs w:val="22"/>
        </w:rPr>
        <w:t>stanovilo</w:t>
      </w:r>
      <w:r w:rsidRPr="00CC7F8D">
        <w:rPr>
          <w:color w:val="000000"/>
          <w:sz w:val="22"/>
          <w:szCs w:val="22"/>
        </w:rPr>
        <w:t xml:space="preserve"> v květnu, resp. červnu 2011. Do rozpočtu SFDI na rok 2013 již byla akce zařazena s </w:t>
      </w:r>
      <w:r w:rsidRPr="00CC7F8D">
        <w:rPr>
          <w:sz w:val="22"/>
          <w:szCs w:val="22"/>
        </w:rPr>
        <w:t xml:space="preserve">celkovými náklady </w:t>
      </w:r>
      <w:r w:rsidRPr="00CC7F8D">
        <w:rPr>
          <w:color w:val="000000"/>
          <w:sz w:val="22"/>
          <w:szCs w:val="22"/>
        </w:rPr>
        <w:t>4 101,3 mil. Kč. V době kontroly (červen 2013) byl projekt ve fázi dopracovávání projektové dokumentace stavby a jeho stavební realizace nebyla zahájena.</w:t>
      </w:r>
    </w:p>
    <w:p w:rsidR="00CC7F8D" w:rsidRPr="00CC7F8D" w:rsidRDefault="00CC7F8D" w:rsidP="00CC7F8D">
      <w:pPr>
        <w:jc w:val="both"/>
        <w:rPr>
          <w:color w:val="000000"/>
          <w:sz w:val="22"/>
          <w:szCs w:val="22"/>
        </w:rPr>
      </w:pPr>
    </w:p>
    <w:p w:rsidR="00A362EC" w:rsidRPr="00CC7F8D" w:rsidRDefault="00993ECE" w:rsidP="00CC7F8D">
      <w:pPr>
        <w:jc w:val="both"/>
        <w:rPr>
          <w:sz w:val="22"/>
          <w:szCs w:val="22"/>
          <w:u w:val="single"/>
        </w:rPr>
      </w:pPr>
      <w:r w:rsidRPr="00CC7F8D">
        <w:rPr>
          <w:sz w:val="22"/>
          <w:szCs w:val="22"/>
          <w:u w:val="single"/>
        </w:rPr>
        <w:t>Příklad 2:</w:t>
      </w:r>
    </w:p>
    <w:p w:rsidR="00CC7F8D" w:rsidRDefault="00CC7F8D" w:rsidP="00CC7F8D">
      <w:pPr>
        <w:jc w:val="both"/>
        <w:rPr>
          <w:bCs/>
          <w:sz w:val="22"/>
          <w:szCs w:val="22"/>
        </w:rPr>
      </w:pPr>
    </w:p>
    <w:p w:rsidR="00993ECE" w:rsidRPr="00CC7F8D" w:rsidRDefault="00993ECE" w:rsidP="00CC7F8D">
      <w:pPr>
        <w:jc w:val="both"/>
        <w:rPr>
          <w:bCs/>
          <w:sz w:val="22"/>
          <w:szCs w:val="22"/>
        </w:rPr>
      </w:pPr>
      <w:r w:rsidRPr="00CC7F8D">
        <w:rPr>
          <w:bCs/>
          <w:sz w:val="22"/>
          <w:szCs w:val="22"/>
        </w:rPr>
        <w:t xml:space="preserve">SŽDC spolu s přípravnou dokumentací akce </w:t>
      </w:r>
      <w:r w:rsidRPr="00CC7F8D">
        <w:rPr>
          <w:sz w:val="22"/>
          <w:szCs w:val="22"/>
        </w:rPr>
        <w:t>č. 562 372 0003</w:t>
      </w:r>
      <w:r w:rsidR="007C57F5">
        <w:rPr>
          <w:sz w:val="22"/>
          <w:szCs w:val="22"/>
        </w:rPr>
        <w:t> –</w:t>
      </w:r>
      <w:r w:rsidRPr="00CC7F8D">
        <w:rPr>
          <w:sz w:val="22"/>
          <w:szCs w:val="22"/>
        </w:rPr>
        <w:t xml:space="preserve"> </w:t>
      </w:r>
      <w:r w:rsidRPr="00A84E0F">
        <w:rPr>
          <w:i/>
          <w:sz w:val="22"/>
          <w:szCs w:val="22"/>
        </w:rPr>
        <w:t xml:space="preserve">Elektrizace traťového úseku vč. PEÚ Šatov </w:t>
      </w:r>
      <w:r w:rsidR="00AB4189" w:rsidRPr="00A84E0F">
        <w:rPr>
          <w:i/>
          <w:sz w:val="22"/>
          <w:szCs w:val="22"/>
        </w:rPr>
        <w:t>–</w:t>
      </w:r>
      <w:r w:rsidRPr="00A84E0F">
        <w:rPr>
          <w:i/>
          <w:sz w:val="22"/>
          <w:szCs w:val="22"/>
        </w:rPr>
        <w:t xml:space="preserve"> Znojmo</w:t>
      </w:r>
      <w:r w:rsidRPr="00CC7F8D">
        <w:rPr>
          <w:sz w:val="22"/>
          <w:szCs w:val="22"/>
        </w:rPr>
        <w:t xml:space="preserve"> </w:t>
      </w:r>
      <w:r w:rsidRPr="00CC7F8D">
        <w:rPr>
          <w:bCs/>
          <w:sz w:val="22"/>
          <w:szCs w:val="22"/>
        </w:rPr>
        <w:t xml:space="preserve">s celkovými investičními náklady 1 270,6 mil. Kč </w:t>
      </w:r>
      <w:r w:rsidRPr="00CC7F8D">
        <w:rPr>
          <w:sz w:val="22"/>
          <w:szCs w:val="22"/>
        </w:rPr>
        <w:t xml:space="preserve">předložila MD </w:t>
      </w:r>
      <w:r w:rsidR="00142EB4" w:rsidRPr="00CC7F8D">
        <w:rPr>
          <w:bCs/>
          <w:sz w:val="22"/>
          <w:szCs w:val="22"/>
        </w:rPr>
        <w:t>v </w:t>
      </w:r>
      <w:r w:rsidRPr="00CC7F8D">
        <w:rPr>
          <w:bCs/>
          <w:sz w:val="22"/>
          <w:szCs w:val="22"/>
        </w:rPr>
        <w:t>únoru 2007 ekonomické hodnocení z července 2006 zahrnující dvě navazující stavby v traťovém úseku Znojmo</w:t>
      </w:r>
      <w:r w:rsidR="003425AB" w:rsidRPr="00CC7F8D">
        <w:rPr>
          <w:bCs/>
          <w:sz w:val="22"/>
          <w:szCs w:val="22"/>
        </w:rPr>
        <w:t xml:space="preserve"> </w:t>
      </w:r>
      <w:r w:rsidR="00AB4189">
        <w:rPr>
          <w:bCs/>
          <w:sz w:val="22"/>
          <w:szCs w:val="22"/>
        </w:rPr>
        <w:t>–</w:t>
      </w:r>
      <w:r w:rsidRPr="00CC7F8D">
        <w:rPr>
          <w:bCs/>
          <w:sz w:val="22"/>
          <w:szCs w:val="22"/>
        </w:rPr>
        <w:t xml:space="preserve"> státní hranice s </w:t>
      </w:r>
      <w:r w:rsidRPr="00CC7F8D">
        <w:rPr>
          <w:sz w:val="22"/>
          <w:szCs w:val="22"/>
        </w:rPr>
        <w:t>celkovými investi</w:t>
      </w:r>
      <w:r w:rsidR="00D25232">
        <w:rPr>
          <w:sz w:val="22"/>
          <w:szCs w:val="22"/>
        </w:rPr>
        <w:t>čními náklady 1 404,9 </w:t>
      </w:r>
      <w:r w:rsidR="00142EB4" w:rsidRPr="00CC7F8D">
        <w:rPr>
          <w:sz w:val="22"/>
          <w:szCs w:val="22"/>
        </w:rPr>
        <w:t>mil.</w:t>
      </w:r>
      <w:r w:rsidR="00D25232">
        <w:rPr>
          <w:sz w:val="22"/>
          <w:szCs w:val="22"/>
        </w:rPr>
        <w:t> </w:t>
      </w:r>
      <w:r w:rsidR="00142EB4" w:rsidRPr="00CC7F8D">
        <w:rPr>
          <w:sz w:val="22"/>
          <w:szCs w:val="22"/>
        </w:rPr>
        <w:t>Kč a </w:t>
      </w:r>
      <w:r w:rsidRPr="00CC7F8D">
        <w:rPr>
          <w:sz w:val="22"/>
          <w:szCs w:val="22"/>
        </w:rPr>
        <w:t>plánovanou dobou realizace v období let 2006</w:t>
      </w:r>
      <w:r w:rsidR="003425AB" w:rsidRPr="00CC7F8D">
        <w:rPr>
          <w:sz w:val="22"/>
          <w:szCs w:val="22"/>
        </w:rPr>
        <w:t>–</w:t>
      </w:r>
      <w:r w:rsidRPr="00CC7F8D">
        <w:rPr>
          <w:sz w:val="22"/>
          <w:szCs w:val="22"/>
        </w:rPr>
        <w:t xml:space="preserve">2008. </w:t>
      </w:r>
      <w:r w:rsidRPr="00CC7F8D">
        <w:rPr>
          <w:bCs/>
          <w:sz w:val="22"/>
          <w:szCs w:val="22"/>
        </w:rPr>
        <w:t xml:space="preserve">MD v březnu 2007 vyslovilo </w:t>
      </w:r>
      <w:r w:rsidRPr="00CC7F8D">
        <w:rPr>
          <w:bCs/>
          <w:sz w:val="22"/>
          <w:szCs w:val="22"/>
        </w:rPr>
        <w:lastRenderedPageBreak/>
        <w:t xml:space="preserve">nesouhlas s pokračováním přípravy na realizaci stavby z </w:t>
      </w:r>
      <w:r w:rsidR="00142EB4" w:rsidRPr="00CC7F8D">
        <w:rPr>
          <w:bCs/>
          <w:sz w:val="22"/>
          <w:szCs w:val="22"/>
        </w:rPr>
        <w:t>důvodu připomínek k účelnosti a </w:t>
      </w:r>
      <w:r w:rsidRPr="00CC7F8D">
        <w:rPr>
          <w:bCs/>
          <w:sz w:val="22"/>
          <w:szCs w:val="22"/>
        </w:rPr>
        <w:t>efektivnosti navržených úprav trati.</w:t>
      </w:r>
    </w:p>
    <w:p w:rsidR="00CC7F8D" w:rsidRDefault="00CC7F8D" w:rsidP="00CC7F8D">
      <w:pPr>
        <w:jc w:val="both"/>
        <w:rPr>
          <w:bCs/>
          <w:sz w:val="22"/>
          <w:szCs w:val="22"/>
        </w:rPr>
      </w:pPr>
    </w:p>
    <w:p w:rsidR="001E3D56" w:rsidRPr="00CC7F8D" w:rsidRDefault="00993ECE" w:rsidP="00CC7F8D">
      <w:pPr>
        <w:jc w:val="both"/>
        <w:rPr>
          <w:color w:val="000000"/>
          <w:sz w:val="22"/>
          <w:szCs w:val="22"/>
        </w:rPr>
      </w:pPr>
      <w:r w:rsidRPr="00CC7F8D">
        <w:rPr>
          <w:bCs/>
          <w:sz w:val="22"/>
          <w:szCs w:val="22"/>
        </w:rPr>
        <w:t>SŽDC v květnu 2007 opakovaně požádala MD o stanovisko k přípravné dokumentaci akce, do níž zahrnula snížení investičních nákladů o cc</w:t>
      </w:r>
      <w:r w:rsidR="00E676A9" w:rsidRPr="00CC7F8D">
        <w:rPr>
          <w:bCs/>
          <w:sz w:val="22"/>
          <w:szCs w:val="22"/>
        </w:rPr>
        <w:t>a 3 </w:t>
      </w:r>
      <w:r w:rsidRPr="00CC7F8D">
        <w:rPr>
          <w:bCs/>
          <w:sz w:val="22"/>
          <w:szCs w:val="22"/>
        </w:rPr>
        <w:t>% a z</w:t>
      </w:r>
      <w:r w:rsidR="00142EB4" w:rsidRPr="00CC7F8D">
        <w:rPr>
          <w:bCs/>
          <w:sz w:val="22"/>
          <w:szCs w:val="22"/>
        </w:rPr>
        <w:t>ároveň MD poskytla vysvětlení k </w:t>
      </w:r>
      <w:r w:rsidRPr="00CC7F8D">
        <w:rPr>
          <w:bCs/>
          <w:sz w:val="22"/>
          <w:szCs w:val="22"/>
        </w:rPr>
        <w:t xml:space="preserve">jednotlivým připomínkám. MD v červnu 2007 souhlasilo s realizací akce s celkovými náklady </w:t>
      </w:r>
      <w:r w:rsidRPr="00CC7F8D">
        <w:rPr>
          <w:color w:val="000000"/>
          <w:sz w:val="22"/>
          <w:szCs w:val="22"/>
        </w:rPr>
        <w:t>1</w:t>
      </w:r>
      <w:r w:rsidR="00142EB4" w:rsidRPr="00CC7F8D">
        <w:rPr>
          <w:color w:val="000000"/>
          <w:sz w:val="22"/>
          <w:szCs w:val="22"/>
        </w:rPr>
        <w:t> </w:t>
      </w:r>
      <w:r w:rsidRPr="00CC7F8D">
        <w:rPr>
          <w:color w:val="000000"/>
          <w:sz w:val="22"/>
          <w:szCs w:val="22"/>
        </w:rPr>
        <w:t>231</w:t>
      </w:r>
      <w:r w:rsidR="00142EB4" w:rsidRPr="00CC7F8D">
        <w:rPr>
          <w:color w:val="000000"/>
          <w:sz w:val="22"/>
          <w:szCs w:val="22"/>
        </w:rPr>
        <w:t>,0</w:t>
      </w:r>
      <w:r w:rsidRPr="00CC7F8D">
        <w:rPr>
          <w:color w:val="000000"/>
          <w:sz w:val="22"/>
          <w:szCs w:val="22"/>
        </w:rPr>
        <w:t xml:space="preserve"> mil.</w:t>
      </w:r>
      <w:r w:rsidRPr="00CC7F8D">
        <w:rPr>
          <w:bCs/>
          <w:sz w:val="22"/>
          <w:szCs w:val="22"/>
        </w:rPr>
        <w:t xml:space="preserve"> Kč s tím, že </w:t>
      </w:r>
      <w:r w:rsidRPr="00CC7F8D">
        <w:rPr>
          <w:color w:val="000000"/>
          <w:sz w:val="22"/>
          <w:szCs w:val="22"/>
        </w:rPr>
        <w:t>připomínky v technické oblasti byly dostatečně vysvětleny. Zároveň ale zpochybnilo ekonomické ukazatele, přičemž např. uvažovaný čtyřnásobný nárůst přepravních výkonů</w:t>
      </w:r>
      <w:r w:rsidRPr="00CC7F8D">
        <w:rPr>
          <w:bCs/>
          <w:sz w:val="22"/>
          <w:szCs w:val="22"/>
        </w:rPr>
        <w:t xml:space="preserve"> označilo </w:t>
      </w:r>
      <w:r w:rsidRPr="00CC7F8D">
        <w:rPr>
          <w:color w:val="000000"/>
          <w:sz w:val="22"/>
          <w:szCs w:val="22"/>
        </w:rPr>
        <w:t xml:space="preserve">za </w:t>
      </w:r>
      <w:r w:rsidRPr="003D7FAA">
        <w:rPr>
          <w:color w:val="000000"/>
          <w:sz w:val="22"/>
          <w:szCs w:val="22"/>
        </w:rPr>
        <w:t>„nevěrohodnou fikci</w:t>
      </w:r>
      <w:r w:rsidR="00142EB4" w:rsidRPr="00CC4C61">
        <w:rPr>
          <w:color w:val="000000"/>
          <w:sz w:val="22"/>
          <w:szCs w:val="22"/>
        </w:rPr>
        <w:t>“</w:t>
      </w:r>
      <w:r w:rsidR="00142EB4" w:rsidRPr="00CC7F8D">
        <w:rPr>
          <w:color w:val="000000"/>
          <w:sz w:val="22"/>
          <w:szCs w:val="22"/>
        </w:rPr>
        <w:t>.</w:t>
      </w:r>
    </w:p>
    <w:p w:rsidR="00CC7F8D" w:rsidRDefault="00CC7F8D" w:rsidP="00CC7F8D">
      <w:pPr>
        <w:jc w:val="both"/>
        <w:rPr>
          <w:color w:val="000000"/>
          <w:sz w:val="22"/>
          <w:szCs w:val="22"/>
        </w:rPr>
      </w:pPr>
    </w:p>
    <w:p w:rsidR="00993ECE" w:rsidRPr="00CC7F8D" w:rsidRDefault="00993ECE" w:rsidP="00CC7F8D">
      <w:pPr>
        <w:jc w:val="both"/>
        <w:rPr>
          <w:bCs/>
          <w:sz w:val="22"/>
          <w:szCs w:val="22"/>
        </w:rPr>
      </w:pPr>
      <w:r w:rsidRPr="00CC7F8D">
        <w:rPr>
          <w:color w:val="000000"/>
          <w:sz w:val="22"/>
          <w:szCs w:val="22"/>
        </w:rPr>
        <w:t xml:space="preserve">Svůj souhlas s financováním akce z prostředků SFDI MD podmínilo její </w:t>
      </w:r>
      <w:r w:rsidRPr="00CC7F8D">
        <w:rPr>
          <w:bCs/>
          <w:sz w:val="22"/>
          <w:szCs w:val="22"/>
        </w:rPr>
        <w:t>koordinací se souvisejícími projekty (elektrizace úseků Brno</w:t>
      </w:r>
      <w:r w:rsidR="00AB4189">
        <w:rPr>
          <w:bCs/>
          <w:sz w:val="22"/>
          <w:szCs w:val="22"/>
        </w:rPr>
        <w:t>–</w:t>
      </w:r>
      <w:r w:rsidRPr="00CC7F8D">
        <w:rPr>
          <w:bCs/>
          <w:sz w:val="22"/>
          <w:szCs w:val="22"/>
        </w:rPr>
        <w:t>Jihlava a Okříšky</w:t>
      </w:r>
      <w:r w:rsidR="00AB4189">
        <w:rPr>
          <w:bCs/>
          <w:sz w:val="22"/>
          <w:szCs w:val="22"/>
        </w:rPr>
        <w:t>–</w:t>
      </w:r>
      <w:r w:rsidRPr="00CC7F8D">
        <w:rPr>
          <w:bCs/>
          <w:sz w:val="22"/>
          <w:szCs w:val="22"/>
        </w:rPr>
        <w:t>Znojmo).</w:t>
      </w:r>
      <w:r w:rsidR="001E3D56" w:rsidRPr="00CC7F8D">
        <w:rPr>
          <w:bCs/>
          <w:sz w:val="22"/>
          <w:szCs w:val="22"/>
        </w:rPr>
        <w:t xml:space="preserve"> </w:t>
      </w:r>
      <w:r w:rsidRPr="00CC7F8D">
        <w:rPr>
          <w:color w:val="000000"/>
          <w:sz w:val="22"/>
          <w:szCs w:val="22"/>
        </w:rPr>
        <w:t>Z dokladů předložených ke kontrole vyplývá, že elektrizace trati Brno</w:t>
      </w:r>
      <w:r w:rsidR="00AB4189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 xml:space="preserve">Jihlava je prováděna jen v úseku Brno </w:t>
      </w:r>
      <w:r w:rsidR="00AB4189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 xml:space="preserve"> Zastávka u Brna. Elektrizace úseku </w:t>
      </w:r>
      <w:r w:rsidRPr="00CC7F8D">
        <w:rPr>
          <w:bCs/>
          <w:sz w:val="22"/>
          <w:szCs w:val="22"/>
        </w:rPr>
        <w:t>Okří</w:t>
      </w:r>
      <w:r w:rsidR="00142EB4" w:rsidRPr="00CC7F8D">
        <w:rPr>
          <w:bCs/>
          <w:sz w:val="22"/>
          <w:szCs w:val="22"/>
        </w:rPr>
        <w:t>šky</w:t>
      </w:r>
      <w:r w:rsidR="00AB4189">
        <w:rPr>
          <w:bCs/>
          <w:sz w:val="22"/>
          <w:szCs w:val="22"/>
        </w:rPr>
        <w:t>–</w:t>
      </w:r>
      <w:r w:rsidR="00142EB4" w:rsidRPr="00CC7F8D">
        <w:rPr>
          <w:bCs/>
          <w:sz w:val="22"/>
          <w:szCs w:val="22"/>
        </w:rPr>
        <w:t>Znojmo provedena nebyla a </w:t>
      </w:r>
      <w:r w:rsidRPr="00CC7F8D">
        <w:rPr>
          <w:bCs/>
          <w:sz w:val="22"/>
          <w:szCs w:val="22"/>
        </w:rPr>
        <w:t xml:space="preserve">aktuálně </w:t>
      </w:r>
      <w:r w:rsidR="00CC4C61">
        <w:rPr>
          <w:bCs/>
          <w:sz w:val="22"/>
          <w:szCs w:val="22"/>
        </w:rPr>
        <w:t>se o ní ani neuvažuje</w:t>
      </w:r>
      <w:r w:rsidRPr="00CC7F8D">
        <w:rPr>
          <w:color w:val="000000"/>
          <w:sz w:val="22"/>
          <w:szCs w:val="22"/>
        </w:rPr>
        <w:t xml:space="preserve">. V červenci </w:t>
      </w:r>
      <w:r w:rsidRPr="00CC7F8D">
        <w:rPr>
          <w:bCs/>
          <w:sz w:val="22"/>
          <w:szCs w:val="22"/>
        </w:rPr>
        <w:t>2008 MD jako řídicí orgán OPD vyhodnotilo žádost SŽDC o</w:t>
      </w:r>
      <w:r w:rsidR="005E4CE5">
        <w:rPr>
          <w:bCs/>
          <w:sz w:val="22"/>
          <w:szCs w:val="22"/>
        </w:rPr>
        <w:t> </w:t>
      </w:r>
      <w:r w:rsidRPr="00CC7F8D">
        <w:rPr>
          <w:bCs/>
          <w:sz w:val="22"/>
          <w:szCs w:val="22"/>
        </w:rPr>
        <w:t>zařazení projektu k financování z OPD j</w:t>
      </w:r>
      <w:r w:rsidR="00142EB4" w:rsidRPr="00CC7F8D">
        <w:rPr>
          <w:bCs/>
          <w:sz w:val="22"/>
          <w:szCs w:val="22"/>
        </w:rPr>
        <w:t>ako vyhovující bez připomínek a </w:t>
      </w:r>
      <w:r w:rsidRPr="00CC7F8D">
        <w:rPr>
          <w:bCs/>
          <w:sz w:val="22"/>
          <w:szCs w:val="22"/>
        </w:rPr>
        <w:t>zařadilo ji k financování z OPD s maximálními celkovými náklady pro</w:t>
      </w:r>
      <w:r w:rsidR="00AB4189">
        <w:rPr>
          <w:bCs/>
          <w:sz w:val="22"/>
          <w:szCs w:val="22"/>
        </w:rPr>
        <w:t>jektu ve výši 1 134,3 </w:t>
      </w:r>
      <w:r w:rsidR="00142EB4" w:rsidRPr="00CC7F8D">
        <w:rPr>
          <w:bCs/>
          <w:sz w:val="22"/>
          <w:szCs w:val="22"/>
        </w:rPr>
        <w:t>mil. Kč a </w:t>
      </w:r>
      <w:r w:rsidRPr="00CC7F8D">
        <w:rPr>
          <w:bCs/>
          <w:sz w:val="22"/>
          <w:szCs w:val="22"/>
        </w:rPr>
        <w:t xml:space="preserve">maximální výší podpory z OPD </w:t>
      </w:r>
      <w:r w:rsidR="00D25232">
        <w:rPr>
          <w:bCs/>
          <w:sz w:val="22"/>
          <w:szCs w:val="22"/>
        </w:rPr>
        <w:t xml:space="preserve">ve výši </w:t>
      </w:r>
      <w:r w:rsidRPr="00CC7F8D">
        <w:rPr>
          <w:bCs/>
          <w:sz w:val="22"/>
          <w:szCs w:val="22"/>
        </w:rPr>
        <w:t>879,4</w:t>
      </w:r>
      <w:r w:rsidR="00D25232">
        <w:rPr>
          <w:bCs/>
          <w:sz w:val="22"/>
          <w:szCs w:val="22"/>
        </w:rPr>
        <w:t> mil. </w:t>
      </w:r>
      <w:r w:rsidRPr="00CC7F8D">
        <w:rPr>
          <w:bCs/>
          <w:sz w:val="22"/>
          <w:szCs w:val="22"/>
        </w:rPr>
        <w:t>Kč.</w:t>
      </w:r>
    </w:p>
    <w:p w:rsidR="00CC7F8D" w:rsidRDefault="00CC7F8D" w:rsidP="00CC7F8D">
      <w:pPr>
        <w:jc w:val="both"/>
        <w:rPr>
          <w:color w:val="000000"/>
          <w:sz w:val="22"/>
          <w:szCs w:val="22"/>
        </w:rPr>
      </w:pPr>
    </w:p>
    <w:p w:rsidR="00993ECE" w:rsidRDefault="00993ECE" w:rsidP="00CC7F8D">
      <w:pPr>
        <w:jc w:val="both"/>
        <w:rPr>
          <w:sz w:val="22"/>
          <w:szCs w:val="22"/>
        </w:rPr>
      </w:pPr>
      <w:r w:rsidRPr="00CC7F8D">
        <w:rPr>
          <w:color w:val="000000"/>
          <w:sz w:val="22"/>
          <w:szCs w:val="22"/>
        </w:rPr>
        <w:t xml:space="preserve">Do HVDI na rok 2008 byla </w:t>
      </w:r>
      <w:r w:rsidR="00CC4C61" w:rsidRPr="00CC7F8D">
        <w:rPr>
          <w:color w:val="000000"/>
          <w:sz w:val="22"/>
          <w:szCs w:val="22"/>
        </w:rPr>
        <w:t xml:space="preserve">zařazena </w:t>
      </w:r>
      <w:r w:rsidRPr="00CC7F8D">
        <w:rPr>
          <w:color w:val="000000"/>
          <w:sz w:val="22"/>
          <w:szCs w:val="22"/>
        </w:rPr>
        <w:t xml:space="preserve">akce č. </w:t>
      </w:r>
      <w:r w:rsidRPr="00CC7F8D">
        <w:rPr>
          <w:sz w:val="22"/>
          <w:szCs w:val="22"/>
        </w:rPr>
        <w:t>562 372 0003</w:t>
      </w:r>
      <w:r w:rsidR="00CC4C61">
        <w:rPr>
          <w:sz w:val="22"/>
          <w:szCs w:val="22"/>
        </w:rPr>
        <w:t> </w:t>
      </w:r>
      <w:r w:rsidR="000F43D4">
        <w:rPr>
          <w:sz w:val="22"/>
          <w:szCs w:val="22"/>
        </w:rPr>
        <w:t>–</w:t>
      </w:r>
      <w:r w:rsidRPr="00CC7F8D">
        <w:rPr>
          <w:sz w:val="22"/>
          <w:szCs w:val="22"/>
        </w:rPr>
        <w:t xml:space="preserve"> </w:t>
      </w:r>
      <w:r w:rsidRPr="003D7FAA">
        <w:rPr>
          <w:i/>
          <w:sz w:val="22"/>
          <w:szCs w:val="22"/>
        </w:rPr>
        <w:t xml:space="preserve">Elektrizace traťového úseku vč. PEÚ Šatov </w:t>
      </w:r>
      <w:r w:rsidR="00CC7F8D" w:rsidRPr="003D7FAA">
        <w:rPr>
          <w:i/>
          <w:sz w:val="22"/>
          <w:szCs w:val="22"/>
        </w:rPr>
        <w:t>–</w:t>
      </w:r>
      <w:r w:rsidRPr="003D7FAA">
        <w:rPr>
          <w:i/>
          <w:sz w:val="22"/>
          <w:szCs w:val="22"/>
        </w:rPr>
        <w:t xml:space="preserve"> Znojmo</w:t>
      </w:r>
      <w:r w:rsidRPr="00CC7F8D">
        <w:rPr>
          <w:sz w:val="22"/>
          <w:szCs w:val="22"/>
        </w:rPr>
        <w:t xml:space="preserve"> </w:t>
      </w:r>
      <w:r w:rsidRPr="00CC7F8D">
        <w:rPr>
          <w:color w:val="000000"/>
          <w:sz w:val="22"/>
          <w:szCs w:val="22"/>
        </w:rPr>
        <w:t>s celkovými náklady 1 158,1 mil. Kč. Do rozpočtu SFDI pro rok 2008 ale byla zařazena s celkovými náklady 1</w:t>
      </w:r>
      <w:r w:rsidR="00142EB4" w:rsidRPr="00CC7F8D">
        <w:rPr>
          <w:color w:val="000000"/>
          <w:sz w:val="22"/>
          <w:szCs w:val="22"/>
        </w:rPr>
        <w:t> </w:t>
      </w:r>
      <w:r w:rsidRPr="00CC7F8D">
        <w:rPr>
          <w:color w:val="000000"/>
          <w:sz w:val="22"/>
          <w:szCs w:val="22"/>
        </w:rPr>
        <w:t>231</w:t>
      </w:r>
      <w:r w:rsidR="00142EB4" w:rsidRPr="00CC7F8D">
        <w:rPr>
          <w:color w:val="000000"/>
          <w:sz w:val="22"/>
          <w:szCs w:val="22"/>
        </w:rPr>
        <w:t xml:space="preserve">,0 </w:t>
      </w:r>
      <w:r w:rsidRPr="00CC7F8D">
        <w:rPr>
          <w:color w:val="000000"/>
          <w:sz w:val="22"/>
          <w:szCs w:val="22"/>
        </w:rPr>
        <w:t xml:space="preserve">mil. Kč. Do HVDI na rok 2009 i do rozpočtu SFDI pro rok 2009 byla akce zařazena s celkovými náklady 1 271,2 mil. Kč. V rozpočtu SFDI na rok 2009 </w:t>
      </w:r>
      <w:r w:rsidR="002079D2" w:rsidRPr="00CC7F8D">
        <w:rPr>
          <w:color w:val="000000"/>
          <w:sz w:val="22"/>
          <w:szCs w:val="22"/>
        </w:rPr>
        <w:t xml:space="preserve">pak </w:t>
      </w:r>
      <w:r w:rsidRPr="00CC7F8D">
        <w:rPr>
          <w:color w:val="000000"/>
          <w:sz w:val="22"/>
          <w:szCs w:val="22"/>
        </w:rPr>
        <w:t>byly tyto náklady rozpočtovými opatřeními sníženy na 1</w:t>
      </w:r>
      <w:r w:rsidR="00142EB4" w:rsidRPr="00CC7F8D">
        <w:rPr>
          <w:color w:val="000000"/>
          <w:sz w:val="22"/>
          <w:szCs w:val="22"/>
        </w:rPr>
        <w:t> </w:t>
      </w:r>
      <w:r w:rsidRPr="00CC7F8D">
        <w:rPr>
          <w:color w:val="000000"/>
          <w:sz w:val="22"/>
          <w:szCs w:val="22"/>
        </w:rPr>
        <w:t>231</w:t>
      </w:r>
      <w:r w:rsidR="00142EB4" w:rsidRPr="00CC7F8D">
        <w:rPr>
          <w:color w:val="000000"/>
          <w:sz w:val="22"/>
          <w:szCs w:val="22"/>
        </w:rPr>
        <w:t xml:space="preserve">,0 </w:t>
      </w:r>
      <w:r w:rsidRPr="00CC7F8D">
        <w:rPr>
          <w:color w:val="000000"/>
          <w:sz w:val="22"/>
          <w:szCs w:val="22"/>
        </w:rPr>
        <w:t>mil. Kč. V HVDI na roky 2010</w:t>
      </w:r>
      <w:r w:rsidR="003425AB" w:rsidRPr="00CC7F8D">
        <w:rPr>
          <w:color w:val="000000"/>
          <w:sz w:val="22"/>
          <w:szCs w:val="22"/>
        </w:rPr>
        <w:t>–</w:t>
      </w:r>
      <w:r w:rsidRPr="00CC7F8D">
        <w:rPr>
          <w:color w:val="000000"/>
          <w:sz w:val="22"/>
          <w:szCs w:val="22"/>
        </w:rPr>
        <w:t xml:space="preserve">2012 akce zařazena nebyla. Do rozpočtu SFDI pro rok 2010 byla akce zařazena s celkovými náklady 1 176,4 mil. Kč, které odpovídají skutečným </w:t>
      </w:r>
      <w:r w:rsidRPr="00CC7F8D">
        <w:rPr>
          <w:sz w:val="22"/>
          <w:szCs w:val="22"/>
        </w:rPr>
        <w:t xml:space="preserve">celkovým investičním nákladům projektu uvedeným </w:t>
      </w:r>
      <w:r w:rsidR="00CB1AE4" w:rsidRPr="00CC7F8D">
        <w:rPr>
          <w:sz w:val="22"/>
          <w:szCs w:val="22"/>
        </w:rPr>
        <w:t xml:space="preserve">v </w:t>
      </w:r>
      <w:r w:rsidRPr="00CC7F8D">
        <w:rPr>
          <w:sz w:val="22"/>
          <w:szCs w:val="22"/>
        </w:rPr>
        <w:t>závěrečné zprávě projektu z listopadu 2012</w:t>
      </w:r>
      <w:r w:rsidRPr="00CC7F8D">
        <w:rPr>
          <w:color w:val="000000"/>
          <w:sz w:val="22"/>
          <w:szCs w:val="22"/>
        </w:rPr>
        <w:t xml:space="preserve">. </w:t>
      </w:r>
      <w:r w:rsidRPr="00CC7F8D">
        <w:rPr>
          <w:sz w:val="22"/>
          <w:szCs w:val="22"/>
        </w:rPr>
        <w:t>Podle této zprávy byla akce stavebně realizována v době od června 2008 do ledna 2010.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4C7C57" w:rsidRPr="00CC7F8D" w:rsidRDefault="004C7C57" w:rsidP="00CC7F8D">
      <w:pPr>
        <w:jc w:val="both"/>
        <w:rPr>
          <w:bCs/>
          <w:sz w:val="22"/>
          <w:szCs w:val="22"/>
        </w:rPr>
      </w:pPr>
      <w:r w:rsidRPr="00CC7F8D">
        <w:rPr>
          <w:bCs/>
          <w:sz w:val="22"/>
          <w:szCs w:val="22"/>
        </w:rPr>
        <w:t xml:space="preserve">V závěrečné zprávě </w:t>
      </w:r>
      <w:r w:rsidR="00916FA2" w:rsidRPr="00CC7F8D">
        <w:rPr>
          <w:bCs/>
          <w:sz w:val="22"/>
          <w:szCs w:val="22"/>
        </w:rPr>
        <w:t xml:space="preserve">projektu </w:t>
      </w:r>
      <w:r w:rsidRPr="00CC7F8D">
        <w:rPr>
          <w:bCs/>
          <w:sz w:val="22"/>
          <w:szCs w:val="22"/>
        </w:rPr>
        <w:t>je mj. konstatováno, že na traťovém úseku Šatov</w:t>
      </w:r>
      <w:r w:rsidR="00CC7F8D">
        <w:rPr>
          <w:bCs/>
          <w:sz w:val="22"/>
          <w:szCs w:val="22"/>
        </w:rPr>
        <w:t>–</w:t>
      </w:r>
      <w:r w:rsidRPr="00CC7F8D">
        <w:rPr>
          <w:bCs/>
          <w:sz w:val="22"/>
          <w:szCs w:val="22"/>
        </w:rPr>
        <w:t xml:space="preserve">Znojmo </w:t>
      </w:r>
      <w:r w:rsidR="00CC4C61" w:rsidRPr="00CC7F8D">
        <w:rPr>
          <w:bCs/>
          <w:sz w:val="22"/>
          <w:szCs w:val="22"/>
        </w:rPr>
        <w:t xml:space="preserve">prozatím nedošlo </w:t>
      </w:r>
      <w:r w:rsidRPr="00CC7F8D">
        <w:rPr>
          <w:bCs/>
          <w:sz w:val="22"/>
          <w:szCs w:val="22"/>
        </w:rPr>
        <w:t xml:space="preserve">k navýšení přepravních výkonů v osobní dopravě a ve výhledu se předpokládá jejich postupný nárůst, který ale bude opožděn. </w:t>
      </w:r>
      <w:r w:rsidR="00916FA2" w:rsidRPr="00CC7F8D">
        <w:rPr>
          <w:bCs/>
          <w:sz w:val="22"/>
          <w:szCs w:val="22"/>
        </w:rPr>
        <w:t>Předpoklad nárůstu počtu cestujících, který byl jedním z hlavních ukazatelů dokazujících ekonomickou efektivnost realizace projektu, tedy zůstává nenaplněn.</w:t>
      </w:r>
    </w:p>
    <w:p w:rsidR="000A41A4" w:rsidRPr="00CC7F8D" w:rsidRDefault="000A41A4" w:rsidP="00CC7F8D">
      <w:pPr>
        <w:jc w:val="both"/>
        <w:rPr>
          <w:sz w:val="22"/>
          <w:szCs w:val="22"/>
        </w:rPr>
      </w:pPr>
    </w:p>
    <w:p w:rsidR="00407BEE" w:rsidRPr="00CC7F8D" w:rsidRDefault="00407BEE" w:rsidP="00CC7F8D">
      <w:pPr>
        <w:jc w:val="both"/>
        <w:rPr>
          <w:b/>
          <w:sz w:val="22"/>
          <w:szCs w:val="22"/>
        </w:rPr>
      </w:pPr>
      <w:r w:rsidRPr="00CC7F8D">
        <w:rPr>
          <w:b/>
          <w:sz w:val="22"/>
          <w:szCs w:val="22"/>
        </w:rPr>
        <w:t xml:space="preserve">5. </w:t>
      </w:r>
      <w:r w:rsidR="0033746C" w:rsidRPr="00CC7F8D">
        <w:rPr>
          <w:b/>
          <w:sz w:val="22"/>
          <w:szCs w:val="22"/>
        </w:rPr>
        <w:t>Změny během výstavby, zadávání dodatečných stavebních prací</w:t>
      </w:r>
    </w:p>
    <w:p w:rsidR="00CC7F8D" w:rsidRDefault="00CC7F8D" w:rsidP="00CC7F8D">
      <w:pPr>
        <w:jc w:val="both"/>
        <w:rPr>
          <w:sz w:val="22"/>
          <w:szCs w:val="22"/>
        </w:rPr>
      </w:pPr>
    </w:p>
    <w:p w:rsidR="00D00D03" w:rsidRPr="00CC7F8D" w:rsidRDefault="00835F70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>SŽDC ve smlouvách o dílo stanovil</w:t>
      </w:r>
      <w:r w:rsidR="006516FD" w:rsidRPr="00CC7F8D">
        <w:rPr>
          <w:sz w:val="22"/>
          <w:szCs w:val="22"/>
        </w:rPr>
        <w:t>a</w:t>
      </w:r>
      <w:r w:rsidRPr="00CC7F8D">
        <w:rPr>
          <w:sz w:val="22"/>
          <w:szCs w:val="22"/>
        </w:rPr>
        <w:t xml:space="preserve"> předmět a rozsah díla </w:t>
      </w:r>
      <w:r w:rsidR="002F3027">
        <w:rPr>
          <w:sz w:val="22"/>
          <w:szCs w:val="22"/>
        </w:rPr>
        <w:t>s </w:t>
      </w:r>
      <w:r w:rsidRPr="00CC7F8D">
        <w:rPr>
          <w:sz w:val="22"/>
          <w:szCs w:val="22"/>
        </w:rPr>
        <w:t>odvoláním na přís</w:t>
      </w:r>
      <w:r w:rsidR="006516FD" w:rsidRPr="00CC7F8D">
        <w:rPr>
          <w:sz w:val="22"/>
          <w:szCs w:val="22"/>
        </w:rPr>
        <w:t>lušnou projektovou dokumentaci</w:t>
      </w:r>
      <w:r w:rsidR="003A1E09" w:rsidRPr="00CC7F8D">
        <w:rPr>
          <w:sz w:val="22"/>
          <w:szCs w:val="22"/>
        </w:rPr>
        <w:t xml:space="preserve"> a</w:t>
      </w:r>
      <w:r w:rsidR="006516FD" w:rsidRPr="00CC7F8D">
        <w:rPr>
          <w:sz w:val="22"/>
          <w:szCs w:val="22"/>
        </w:rPr>
        <w:t xml:space="preserve"> dále </w:t>
      </w:r>
      <w:r w:rsidR="003A1E09" w:rsidRPr="00CC7F8D">
        <w:rPr>
          <w:sz w:val="22"/>
          <w:szCs w:val="22"/>
        </w:rPr>
        <w:t xml:space="preserve">mj. </w:t>
      </w:r>
      <w:r w:rsidR="006516FD" w:rsidRPr="00CC7F8D">
        <w:rPr>
          <w:sz w:val="22"/>
          <w:szCs w:val="22"/>
        </w:rPr>
        <w:t>stanovila celkovou cenu d</w:t>
      </w:r>
      <w:r w:rsidR="00BD127B" w:rsidRPr="00CC7F8D">
        <w:rPr>
          <w:sz w:val="22"/>
          <w:szCs w:val="22"/>
        </w:rPr>
        <w:t>íla skládající se z ceny díla a </w:t>
      </w:r>
      <w:r w:rsidR="006516FD" w:rsidRPr="00CC7F8D">
        <w:rPr>
          <w:sz w:val="22"/>
          <w:szCs w:val="22"/>
        </w:rPr>
        <w:t xml:space="preserve">rezervní položky. </w:t>
      </w:r>
      <w:r w:rsidR="00EB7FFA" w:rsidRPr="00CC7F8D">
        <w:rPr>
          <w:b/>
          <w:sz w:val="22"/>
          <w:szCs w:val="22"/>
        </w:rPr>
        <w:t xml:space="preserve">Podle znění smluv o dílo byla rezervní položka </w:t>
      </w:r>
      <w:r w:rsidR="004F784D" w:rsidRPr="00CC7F8D">
        <w:rPr>
          <w:b/>
          <w:sz w:val="22"/>
          <w:szCs w:val="22"/>
        </w:rPr>
        <w:t xml:space="preserve">chápána jako </w:t>
      </w:r>
      <w:r w:rsidR="00EB7FFA" w:rsidRPr="00CC7F8D">
        <w:rPr>
          <w:b/>
          <w:sz w:val="22"/>
          <w:szCs w:val="22"/>
        </w:rPr>
        <w:t>součást celkové smluvní ceny díla</w:t>
      </w:r>
      <w:r w:rsidR="009367AD" w:rsidRPr="00CC7F8D">
        <w:rPr>
          <w:b/>
          <w:sz w:val="22"/>
          <w:szCs w:val="22"/>
        </w:rPr>
        <w:t>, avšak z</w:t>
      </w:r>
      <w:r w:rsidR="00D00D03" w:rsidRPr="00CC7F8D">
        <w:rPr>
          <w:b/>
          <w:sz w:val="22"/>
          <w:szCs w:val="22"/>
        </w:rPr>
        <w:t xml:space="preserve">působ a podmínky pro </w:t>
      </w:r>
      <w:r w:rsidR="009555E5" w:rsidRPr="00CC7F8D">
        <w:rPr>
          <w:b/>
          <w:sz w:val="22"/>
          <w:szCs w:val="22"/>
        </w:rPr>
        <w:t xml:space="preserve">její </w:t>
      </w:r>
      <w:r w:rsidR="00D00D03" w:rsidRPr="00CC7F8D">
        <w:rPr>
          <w:b/>
          <w:sz w:val="22"/>
          <w:szCs w:val="22"/>
        </w:rPr>
        <w:t>použití a čerpání</w:t>
      </w:r>
      <w:r w:rsidR="006F46EC" w:rsidRPr="00CC7F8D">
        <w:rPr>
          <w:b/>
          <w:sz w:val="22"/>
          <w:szCs w:val="22"/>
        </w:rPr>
        <w:t xml:space="preserve"> </w:t>
      </w:r>
      <w:r w:rsidR="00D00D03" w:rsidRPr="00CC7F8D">
        <w:rPr>
          <w:b/>
          <w:sz w:val="22"/>
          <w:szCs w:val="22"/>
        </w:rPr>
        <w:t xml:space="preserve">nebyly </w:t>
      </w:r>
      <w:r w:rsidR="009555E5" w:rsidRPr="00CC7F8D">
        <w:rPr>
          <w:b/>
          <w:sz w:val="22"/>
          <w:szCs w:val="22"/>
        </w:rPr>
        <w:t>v těchto smlouvách</w:t>
      </w:r>
      <w:r w:rsidR="00E51430" w:rsidRPr="00CC7F8D">
        <w:rPr>
          <w:b/>
          <w:sz w:val="22"/>
          <w:szCs w:val="22"/>
        </w:rPr>
        <w:t>,</w:t>
      </w:r>
      <w:r w:rsidR="00D00D03" w:rsidRPr="00CC7F8D">
        <w:rPr>
          <w:b/>
          <w:sz w:val="22"/>
          <w:szCs w:val="22"/>
        </w:rPr>
        <w:t xml:space="preserve"> ani jejich přílohách stanoveny</w:t>
      </w:r>
      <w:r w:rsidR="006F46EC" w:rsidRPr="00CC7F8D">
        <w:rPr>
          <w:sz w:val="22"/>
          <w:szCs w:val="22"/>
        </w:rPr>
        <w:t>. N</w:t>
      </w:r>
      <w:r w:rsidR="004F784D" w:rsidRPr="00CC7F8D">
        <w:rPr>
          <w:sz w:val="22"/>
          <w:szCs w:val="22"/>
        </w:rPr>
        <w:t>ebyl uveden ani odkaz na jiný dokument, který by čerpání rezervní položky upravoval</w:t>
      </w:r>
      <w:r w:rsidR="00DF67C6" w:rsidRPr="00CC7F8D">
        <w:rPr>
          <w:sz w:val="22"/>
          <w:szCs w:val="22"/>
        </w:rPr>
        <w:t xml:space="preserve">. </w:t>
      </w:r>
      <w:r w:rsidR="004F784D" w:rsidRPr="00CC7F8D">
        <w:rPr>
          <w:sz w:val="22"/>
          <w:szCs w:val="22"/>
        </w:rPr>
        <w:t xml:space="preserve">Takový postup nepovažuje NKÚ </w:t>
      </w:r>
      <w:r w:rsidR="009555E5" w:rsidRPr="00CC7F8D">
        <w:rPr>
          <w:sz w:val="22"/>
          <w:szCs w:val="22"/>
        </w:rPr>
        <w:t xml:space="preserve">z hlediska účelnosti </w:t>
      </w:r>
      <w:r w:rsidR="006F46EC" w:rsidRPr="00CC7F8D">
        <w:rPr>
          <w:sz w:val="22"/>
          <w:szCs w:val="22"/>
        </w:rPr>
        <w:t xml:space="preserve">a hospodárnosti </w:t>
      </w:r>
      <w:r w:rsidR="009555E5" w:rsidRPr="00CC7F8D">
        <w:rPr>
          <w:sz w:val="22"/>
          <w:szCs w:val="22"/>
        </w:rPr>
        <w:t>použití rezervních položek za správný.</w:t>
      </w:r>
      <w:r w:rsidR="004F784D" w:rsidRPr="00CC7F8D">
        <w:rPr>
          <w:sz w:val="22"/>
          <w:szCs w:val="22"/>
        </w:rPr>
        <w:t xml:space="preserve"> </w:t>
      </w:r>
      <w:r w:rsidR="00DF67C6" w:rsidRPr="00CC7F8D">
        <w:rPr>
          <w:sz w:val="22"/>
          <w:szCs w:val="22"/>
        </w:rPr>
        <w:t>Rezervní položky byly u jednotlivých akcí využity k úhrad</w:t>
      </w:r>
      <w:r w:rsidR="000823F3" w:rsidRPr="00CC7F8D">
        <w:rPr>
          <w:sz w:val="22"/>
          <w:szCs w:val="22"/>
        </w:rPr>
        <w:t>ám za dodatečné stavební práce</w:t>
      </w:r>
      <w:r w:rsidR="006516FD" w:rsidRPr="00CC7F8D">
        <w:rPr>
          <w:sz w:val="22"/>
          <w:szCs w:val="22"/>
        </w:rPr>
        <w:t>, resp. na úhradu cenového rozdílu mezi zadanými vícepracemi a neprovedenými méněpracemi.</w:t>
      </w:r>
    </w:p>
    <w:p w:rsidR="00A65656" w:rsidRPr="00CC7F8D" w:rsidRDefault="00A65656" w:rsidP="00CC7F8D">
      <w:pPr>
        <w:jc w:val="both"/>
        <w:rPr>
          <w:sz w:val="22"/>
          <w:szCs w:val="22"/>
        </w:rPr>
      </w:pPr>
    </w:p>
    <w:p w:rsidR="006251D0" w:rsidRDefault="006251D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A1E09" w:rsidRPr="003D7FAA" w:rsidRDefault="003A1E09" w:rsidP="00CC7F8D">
      <w:pPr>
        <w:spacing w:after="40"/>
        <w:jc w:val="both"/>
        <w:rPr>
          <w:b/>
          <w:sz w:val="22"/>
          <w:szCs w:val="22"/>
        </w:rPr>
      </w:pPr>
      <w:r w:rsidRPr="00CC7F8D">
        <w:rPr>
          <w:b/>
          <w:sz w:val="22"/>
          <w:szCs w:val="22"/>
        </w:rPr>
        <w:lastRenderedPageBreak/>
        <w:t>Tabulka č. 3</w:t>
      </w:r>
      <w:r w:rsidR="002F3027">
        <w:rPr>
          <w:b/>
          <w:sz w:val="22"/>
          <w:szCs w:val="22"/>
        </w:rPr>
        <w:t xml:space="preserve"> –</w:t>
      </w:r>
      <w:r w:rsidR="00A362EC" w:rsidRPr="00A86BC6">
        <w:rPr>
          <w:b/>
          <w:sz w:val="22"/>
          <w:szCs w:val="22"/>
        </w:rPr>
        <w:t xml:space="preserve"> </w:t>
      </w:r>
      <w:r w:rsidR="00A362EC" w:rsidRPr="003D7FAA">
        <w:rPr>
          <w:b/>
          <w:sz w:val="22"/>
          <w:szCs w:val="22"/>
        </w:rPr>
        <w:t>Dodatečné stavební práce</w:t>
      </w:r>
    </w:p>
    <w:tbl>
      <w:tblPr>
        <w:tblW w:w="9014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1553"/>
        <w:gridCol w:w="1418"/>
        <w:gridCol w:w="1275"/>
        <w:gridCol w:w="1418"/>
        <w:gridCol w:w="1196"/>
      </w:tblGrid>
      <w:tr w:rsidR="003A1E09" w:rsidRPr="000768EE" w:rsidTr="00C22CD7">
        <w:trPr>
          <w:trHeight w:val="283"/>
          <w:jc w:val="center"/>
        </w:trPr>
        <w:tc>
          <w:tcPr>
            <w:tcW w:w="2154" w:type="dxa"/>
            <w:vMerge w:val="restart"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Akce</w:t>
            </w:r>
          </w:p>
        </w:tc>
        <w:tc>
          <w:tcPr>
            <w:tcW w:w="1553" w:type="dxa"/>
            <w:vMerge w:val="restart"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Celková smluvní cena </w:t>
            </w:r>
            <w:r w:rsidR="00630CB2"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v </w:t>
            </w: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Kč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Vícepráce</w:t>
            </w:r>
          </w:p>
        </w:tc>
        <w:tc>
          <w:tcPr>
            <w:tcW w:w="2614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Méněpráce</w:t>
            </w:r>
          </w:p>
        </w:tc>
      </w:tr>
      <w:tr w:rsidR="003A1E09" w:rsidRPr="000768EE" w:rsidTr="00C22CD7">
        <w:trPr>
          <w:trHeight w:val="283"/>
          <w:jc w:val="center"/>
        </w:trPr>
        <w:tc>
          <w:tcPr>
            <w:tcW w:w="2154" w:type="dxa"/>
            <w:vMerge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% celkové smluvní ceny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196" w:type="dxa"/>
            <w:shd w:val="clear" w:color="auto" w:fill="C6D9F1" w:themeFill="text2" w:themeFillTint="33"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b/>
                <w:bCs/>
                <w:color w:val="000000"/>
                <w:sz w:val="16"/>
                <w:szCs w:val="16"/>
              </w:rPr>
              <w:t>% celkové smluvní ceny</w:t>
            </w:r>
          </w:p>
        </w:tc>
      </w:tr>
      <w:tr w:rsidR="003A1E09" w:rsidRPr="000768EE" w:rsidTr="00C22CD7">
        <w:trPr>
          <w:trHeight w:val="283"/>
          <w:jc w:val="center"/>
        </w:trPr>
        <w:tc>
          <w:tcPr>
            <w:tcW w:w="2154" w:type="dxa"/>
            <w:shd w:val="clear" w:color="auto" w:fill="auto"/>
            <w:vAlign w:val="center"/>
            <w:hideMark/>
          </w:tcPr>
          <w:p w:rsidR="003A1E09" w:rsidRPr="000768EE" w:rsidRDefault="003A1E09" w:rsidP="00A86BC6">
            <w:pPr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Elektrizace traťového úseku vč.</w:t>
            </w:r>
            <w:r w:rsidR="00C22CD7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0768EE">
              <w:rPr>
                <w:rFonts w:cs="Arial"/>
                <w:color w:val="000000"/>
                <w:sz w:val="16"/>
                <w:szCs w:val="16"/>
              </w:rPr>
              <w:t>PEÚ Šatov</w:t>
            </w:r>
            <w:r w:rsidR="00A72F99" w:rsidRPr="000768EE">
              <w:rPr>
                <w:rFonts w:cs="Arial"/>
                <w:color w:val="000000"/>
                <w:sz w:val="16"/>
                <w:szCs w:val="16"/>
              </w:rPr>
              <w:t>–</w:t>
            </w:r>
            <w:r w:rsidRPr="000768EE">
              <w:rPr>
                <w:rFonts w:cs="Arial"/>
                <w:color w:val="000000"/>
                <w:sz w:val="16"/>
                <w:szCs w:val="16"/>
              </w:rPr>
              <w:t>Znojmo</w:t>
            </w:r>
            <w:r w:rsidR="00C22CD7">
              <w:rPr>
                <w:rFonts w:cs="Arial"/>
                <w:color w:val="000000"/>
                <w:sz w:val="16"/>
                <w:szCs w:val="16"/>
              </w:rPr>
              <w:t xml:space="preserve"> (11,16 </w:t>
            </w:r>
            <w:r w:rsidR="00A72F99" w:rsidRPr="000768EE">
              <w:rPr>
                <w:rFonts w:cs="Arial"/>
                <w:color w:val="000000"/>
                <w:sz w:val="16"/>
                <w:szCs w:val="16"/>
              </w:rPr>
              <w:t>km)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1 121 047 910,13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73 943 648,86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6,93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51 054 380,95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4,78</w:t>
            </w:r>
          </w:p>
        </w:tc>
      </w:tr>
      <w:tr w:rsidR="00A72F99" w:rsidRPr="000768EE" w:rsidTr="00C22CD7">
        <w:trPr>
          <w:trHeight w:val="283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A72F99" w:rsidRPr="000768EE" w:rsidRDefault="00A72F99" w:rsidP="00CC7F8D">
            <w:pPr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Elektrizace trati Lysá nad Labem – Milovice (5,</w:t>
            </w:r>
            <w:r w:rsidR="00C22CD7">
              <w:rPr>
                <w:rFonts w:cs="Arial"/>
                <w:color w:val="000000"/>
                <w:sz w:val="16"/>
                <w:szCs w:val="16"/>
              </w:rPr>
              <w:t>7 </w:t>
            </w:r>
            <w:r w:rsidRPr="000768EE">
              <w:rPr>
                <w:rFonts w:cs="Arial"/>
                <w:color w:val="000000"/>
                <w:sz w:val="16"/>
                <w:szCs w:val="16"/>
              </w:rPr>
              <w:t>km)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72F99" w:rsidRPr="000768EE" w:rsidRDefault="00A72F9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264 336 466,00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F99" w:rsidRPr="000768EE" w:rsidRDefault="00A72F9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22 881 592,00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72F99" w:rsidRPr="000768EE" w:rsidRDefault="00A72F99" w:rsidP="00CC7F8D">
            <w:pPr>
              <w:spacing w:before="20" w:after="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F99" w:rsidRPr="000768EE" w:rsidRDefault="00A72F9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6 102 862,00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72F99" w:rsidRPr="000768EE" w:rsidRDefault="00A72F99" w:rsidP="00CC7F8D">
            <w:pPr>
              <w:spacing w:before="20" w:after="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2,31</w:t>
            </w:r>
          </w:p>
        </w:tc>
      </w:tr>
      <w:tr w:rsidR="003A1E09" w:rsidRPr="000768EE" w:rsidTr="00C22CD7">
        <w:trPr>
          <w:trHeight w:val="283"/>
          <w:jc w:val="center"/>
        </w:trPr>
        <w:tc>
          <w:tcPr>
            <w:tcW w:w="2154" w:type="dxa"/>
            <w:shd w:val="clear" w:color="auto" w:fill="auto"/>
            <w:vAlign w:val="center"/>
            <w:hideMark/>
          </w:tcPr>
          <w:p w:rsidR="003A1E09" w:rsidRPr="000768EE" w:rsidRDefault="003A1E09" w:rsidP="00A86BC6">
            <w:pPr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Elektrizace trati Zábřeh</w:t>
            </w:r>
            <w:r w:rsidR="00A72F99" w:rsidRPr="000768EE">
              <w:rPr>
                <w:rFonts w:cs="Arial"/>
                <w:color w:val="000000"/>
                <w:sz w:val="16"/>
                <w:szCs w:val="16"/>
              </w:rPr>
              <w:t>–</w:t>
            </w:r>
            <w:r w:rsidRPr="000768EE">
              <w:rPr>
                <w:rFonts w:cs="Arial"/>
                <w:color w:val="000000"/>
                <w:sz w:val="16"/>
                <w:szCs w:val="16"/>
              </w:rPr>
              <w:t>Šumperk</w:t>
            </w:r>
            <w:r w:rsidR="00A72F99" w:rsidRPr="000768EE">
              <w:rPr>
                <w:rFonts w:cs="Arial"/>
                <w:color w:val="000000"/>
                <w:sz w:val="16"/>
                <w:szCs w:val="16"/>
              </w:rPr>
              <w:t xml:space="preserve"> (13,46</w:t>
            </w:r>
            <w:r w:rsidR="00C22CD7">
              <w:rPr>
                <w:rFonts w:cs="Arial"/>
                <w:color w:val="000000"/>
                <w:sz w:val="16"/>
                <w:szCs w:val="16"/>
              </w:rPr>
              <w:t> </w:t>
            </w:r>
            <w:r w:rsidR="00A72F99" w:rsidRPr="000768EE">
              <w:rPr>
                <w:rFonts w:cs="Arial"/>
                <w:color w:val="000000"/>
                <w:sz w:val="16"/>
                <w:szCs w:val="16"/>
              </w:rPr>
              <w:t>km)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1 424 684 832,40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72 850 720,58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5,62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0768EE">
            <w:pPr>
              <w:spacing w:before="20" w:after="20"/>
              <w:ind w:right="72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28 886 245,62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3A1E09" w:rsidRPr="000768EE" w:rsidRDefault="003A1E09" w:rsidP="00CC7F8D">
            <w:pPr>
              <w:spacing w:before="20" w:after="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768EE">
              <w:rPr>
                <w:rFonts w:cs="Arial"/>
                <w:color w:val="000000"/>
                <w:sz w:val="16"/>
                <w:szCs w:val="16"/>
              </w:rPr>
              <w:t>2,23</w:t>
            </w:r>
          </w:p>
        </w:tc>
      </w:tr>
    </w:tbl>
    <w:p w:rsidR="00646BAE" w:rsidRPr="00CC7F8D" w:rsidRDefault="003A1E09" w:rsidP="00CC7F8D">
      <w:pPr>
        <w:pStyle w:val="Odstavecseseznamem"/>
        <w:spacing w:before="40"/>
        <w:ind w:left="0"/>
        <w:jc w:val="both"/>
        <w:rPr>
          <w:sz w:val="22"/>
          <w:szCs w:val="22"/>
        </w:rPr>
      </w:pPr>
      <w:r w:rsidRPr="000768EE">
        <w:rPr>
          <w:rFonts w:cs="Arial"/>
          <w:b/>
          <w:sz w:val="18"/>
          <w:szCs w:val="18"/>
        </w:rPr>
        <w:t>Zdroj:</w:t>
      </w:r>
      <w:r w:rsidRPr="00CC7F8D">
        <w:rPr>
          <w:rFonts w:cs="Arial"/>
          <w:sz w:val="18"/>
          <w:szCs w:val="18"/>
        </w:rPr>
        <w:t xml:space="preserve"> </w:t>
      </w:r>
      <w:r w:rsidR="00A86BC6">
        <w:rPr>
          <w:rFonts w:cs="Arial"/>
          <w:sz w:val="18"/>
          <w:szCs w:val="18"/>
        </w:rPr>
        <w:t>s</w:t>
      </w:r>
      <w:r w:rsidR="00630CB2" w:rsidRPr="00CC7F8D">
        <w:rPr>
          <w:rFonts w:cs="Arial"/>
          <w:sz w:val="18"/>
          <w:szCs w:val="18"/>
        </w:rPr>
        <w:t xml:space="preserve">mlouvy o dílo včetně dodatků, </w:t>
      </w:r>
      <w:r w:rsidR="00A86BC6">
        <w:rPr>
          <w:rFonts w:cs="Arial"/>
          <w:sz w:val="18"/>
          <w:szCs w:val="18"/>
        </w:rPr>
        <w:t>z</w:t>
      </w:r>
      <w:r w:rsidRPr="00CC7F8D">
        <w:rPr>
          <w:rFonts w:cs="Arial"/>
          <w:sz w:val="18"/>
          <w:szCs w:val="18"/>
        </w:rPr>
        <w:t>ávěrečné zprávy akcí.</w:t>
      </w:r>
    </w:p>
    <w:p w:rsidR="00CC7F8D" w:rsidRPr="00CC7F8D" w:rsidRDefault="00CC7F8D" w:rsidP="00CC7F8D">
      <w:pPr>
        <w:jc w:val="both"/>
        <w:rPr>
          <w:sz w:val="22"/>
          <w:szCs w:val="22"/>
        </w:rPr>
      </w:pPr>
    </w:p>
    <w:p w:rsidR="006516FD" w:rsidRPr="00CC7F8D" w:rsidRDefault="006516FD" w:rsidP="00CC7F8D">
      <w:pPr>
        <w:jc w:val="both"/>
        <w:rPr>
          <w:sz w:val="22"/>
          <w:szCs w:val="22"/>
        </w:rPr>
      </w:pPr>
      <w:r w:rsidRPr="00CC7F8D">
        <w:rPr>
          <w:sz w:val="22"/>
          <w:szCs w:val="22"/>
        </w:rPr>
        <w:t xml:space="preserve">Změny v předmětu a rozsahu díla SŽDC </w:t>
      </w:r>
      <w:r w:rsidR="00646BAE" w:rsidRPr="00CC7F8D">
        <w:rPr>
          <w:sz w:val="22"/>
          <w:szCs w:val="22"/>
        </w:rPr>
        <w:t>řešila v</w:t>
      </w:r>
      <w:r w:rsidR="00A362EC" w:rsidRPr="00CC7F8D">
        <w:rPr>
          <w:sz w:val="22"/>
          <w:szCs w:val="22"/>
        </w:rPr>
        <w:t xml:space="preserve"> </w:t>
      </w:r>
      <w:r w:rsidR="00430902" w:rsidRPr="00CC7F8D">
        <w:rPr>
          <w:sz w:val="22"/>
          <w:szCs w:val="22"/>
        </w:rPr>
        <w:t xml:space="preserve">průběhu </w:t>
      </w:r>
      <w:r w:rsidR="00646BAE" w:rsidRPr="00CC7F8D">
        <w:rPr>
          <w:sz w:val="22"/>
          <w:szCs w:val="22"/>
        </w:rPr>
        <w:t xml:space="preserve">stavební realizace akcí </w:t>
      </w:r>
      <w:r w:rsidR="006F46EC" w:rsidRPr="00CC7F8D">
        <w:rPr>
          <w:sz w:val="22"/>
          <w:szCs w:val="22"/>
        </w:rPr>
        <w:t xml:space="preserve">většinou </w:t>
      </w:r>
      <w:r w:rsidR="00646BAE" w:rsidRPr="00CC7F8D">
        <w:rPr>
          <w:sz w:val="22"/>
          <w:szCs w:val="22"/>
        </w:rPr>
        <w:t xml:space="preserve">formou </w:t>
      </w:r>
      <w:r w:rsidR="00646BAE" w:rsidRPr="00CC7F8D">
        <w:rPr>
          <w:rFonts w:cs="Arial"/>
          <w:sz w:val="22"/>
          <w:szCs w:val="22"/>
        </w:rPr>
        <w:t xml:space="preserve">změnových listů a k nim uzavřených dodatků smluv o dílo. </w:t>
      </w:r>
      <w:r w:rsidR="00646BAE" w:rsidRPr="00CC7F8D">
        <w:rPr>
          <w:rFonts w:cs="Arial"/>
          <w:b/>
          <w:sz w:val="22"/>
          <w:szCs w:val="22"/>
        </w:rPr>
        <w:t xml:space="preserve">Některé změny </w:t>
      </w:r>
      <w:r w:rsidR="006F46EC" w:rsidRPr="00CC7F8D">
        <w:rPr>
          <w:b/>
          <w:sz w:val="22"/>
          <w:szCs w:val="22"/>
        </w:rPr>
        <w:t xml:space="preserve">v předmětu a rozsahu díla </w:t>
      </w:r>
      <w:r w:rsidR="00646BAE" w:rsidRPr="00CC7F8D">
        <w:rPr>
          <w:rFonts w:cs="Arial"/>
          <w:b/>
          <w:sz w:val="22"/>
          <w:szCs w:val="22"/>
        </w:rPr>
        <w:t>byly provedeny jen na základě pokynů správce stavby, k nimž nebyly dodatky smluv o dílo uzavřeny.</w:t>
      </w:r>
      <w:r w:rsidR="00646BAE" w:rsidRPr="00CC7F8D">
        <w:rPr>
          <w:rFonts w:cs="Arial"/>
          <w:sz w:val="22"/>
          <w:szCs w:val="22"/>
        </w:rPr>
        <w:t xml:space="preserve"> Skutečný rozsah provedených prací byl zřejmý až </w:t>
      </w:r>
      <w:r w:rsidR="00875BB6" w:rsidRPr="00CC7F8D">
        <w:rPr>
          <w:rFonts w:cs="Arial"/>
          <w:sz w:val="22"/>
          <w:szCs w:val="22"/>
        </w:rPr>
        <w:t xml:space="preserve">ze </w:t>
      </w:r>
      <w:r w:rsidR="00646BAE" w:rsidRPr="00CC7F8D">
        <w:rPr>
          <w:rFonts w:cs="Arial"/>
          <w:sz w:val="22"/>
          <w:szCs w:val="22"/>
        </w:rPr>
        <w:t>zjišťovacích protokolů, které byly podkladem pro fakturaci.</w:t>
      </w:r>
    </w:p>
    <w:p w:rsidR="00AB4189" w:rsidRDefault="00AB4189" w:rsidP="00CC7F8D">
      <w:pPr>
        <w:jc w:val="both"/>
        <w:rPr>
          <w:rFonts w:cs="Arial"/>
          <w:sz w:val="22"/>
          <w:szCs w:val="22"/>
        </w:rPr>
      </w:pPr>
    </w:p>
    <w:p w:rsidR="00875BB6" w:rsidRPr="00CC7F8D" w:rsidRDefault="00875BB6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>V případě akce č. 571 372 0002</w:t>
      </w:r>
      <w:r w:rsidR="00B10A0B">
        <w:rPr>
          <w:rFonts w:cs="Arial"/>
          <w:sz w:val="22"/>
          <w:szCs w:val="22"/>
        </w:rPr>
        <w:t> –</w:t>
      </w:r>
      <w:r w:rsidRPr="00CC7F8D">
        <w:rPr>
          <w:rFonts w:cs="Arial"/>
          <w:sz w:val="22"/>
          <w:szCs w:val="22"/>
        </w:rPr>
        <w:t xml:space="preserve"> </w:t>
      </w:r>
      <w:r w:rsidRPr="00822A7D">
        <w:rPr>
          <w:rFonts w:cs="Arial"/>
          <w:i/>
          <w:sz w:val="22"/>
          <w:szCs w:val="22"/>
        </w:rPr>
        <w:t xml:space="preserve">Elektrizace trati Zábřeh </w:t>
      </w:r>
      <w:r w:rsidR="00AB4189" w:rsidRPr="00822A7D">
        <w:rPr>
          <w:rFonts w:cs="Arial"/>
          <w:i/>
          <w:sz w:val="22"/>
          <w:szCs w:val="22"/>
        </w:rPr>
        <w:t>–</w:t>
      </w:r>
      <w:r w:rsidRPr="00822A7D">
        <w:rPr>
          <w:rFonts w:cs="Arial"/>
          <w:i/>
          <w:sz w:val="22"/>
          <w:szCs w:val="22"/>
        </w:rPr>
        <w:t xml:space="preserve"> Šumperk</w:t>
      </w:r>
      <w:r w:rsidRPr="00CC7F8D">
        <w:rPr>
          <w:rFonts w:cs="Arial"/>
          <w:sz w:val="22"/>
          <w:szCs w:val="22"/>
        </w:rPr>
        <w:t xml:space="preserve"> takto byly na základě pokynů správce stavby bez uzavření dodatků ke smlouvě o dílo provedeny a </w:t>
      </w:r>
      <w:r w:rsidR="00630CB2" w:rsidRPr="00CC7F8D">
        <w:rPr>
          <w:rFonts w:cs="Arial"/>
          <w:sz w:val="22"/>
          <w:szCs w:val="22"/>
        </w:rPr>
        <w:t>zaplaceny práce za 15,7 mil. Kč.</w:t>
      </w:r>
    </w:p>
    <w:p w:rsidR="00AB4189" w:rsidRDefault="00AB4189" w:rsidP="00CC7F8D">
      <w:pPr>
        <w:jc w:val="both"/>
        <w:rPr>
          <w:rFonts w:cs="Arial"/>
          <w:sz w:val="22"/>
          <w:szCs w:val="22"/>
        </w:rPr>
      </w:pPr>
    </w:p>
    <w:p w:rsidR="00B8439C" w:rsidRDefault="007F6140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>V</w:t>
      </w:r>
      <w:r w:rsidR="000823F3" w:rsidRPr="00CC7F8D">
        <w:rPr>
          <w:rFonts w:cs="Arial"/>
          <w:sz w:val="22"/>
          <w:szCs w:val="22"/>
        </w:rPr>
        <w:t xml:space="preserve"> případě </w:t>
      </w:r>
      <w:r w:rsidR="00B8439C" w:rsidRPr="00CC7F8D">
        <w:rPr>
          <w:rFonts w:cs="Arial"/>
          <w:sz w:val="22"/>
          <w:szCs w:val="22"/>
        </w:rPr>
        <w:t>akce č. 562 372 0003</w:t>
      </w:r>
      <w:r w:rsidR="00B10A0B">
        <w:rPr>
          <w:rFonts w:cs="Arial"/>
          <w:sz w:val="22"/>
          <w:szCs w:val="22"/>
        </w:rPr>
        <w:t> –</w:t>
      </w:r>
      <w:r w:rsidR="00B8439C" w:rsidRPr="00CC7F8D">
        <w:rPr>
          <w:rFonts w:cs="Arial"/>
          <w:sz w:val="22"/>
          <w:szCs w:val="22"/>
        </w:rPr>
        <w:t xml:space="preserve"> </w:t>
      </w:r>
      <w:r w:rsidR="00B8439C" w:rsidRPr="00822A7D">
        <w:rPr>
          <w:rFonts w:cs="Arial"/>
          <w:i/>
          <w:sz w:val="22"/>
          <w:szCs w:val="22"/>
        </w:rPr>
        <w:t xml:space="preserve">Elektrizace traťového úseku vč. PEÚ Šatov </w:t>
      </w:r>
      <w:r w:rsidR="00AB4189" w:rsidRPr="00822A7D">
        <w:rPr>
          <w:rFonts w:cs="Arial"/>
          <w:i/>
          <w:sz w:val="22"/>
          <w:szCs w:val="22"/>
        </w:rPr>
        <w:t>–</w:t>
      </w:r>
      <w:r w:rsidR="00B8439C" w:rsidRPr="00822A7D">
        <w:rPr>
          <w:rFonts w:cs="Arial"/>
          <w:i/>
          <w:sz w:val="22"/>
          <w:szCs w:val="22"/>
        </w:rPr>
        <w:t xml:space="preserve"> Znojmo</w:t>
      </w:r>
      <w:r w:rsidR="00630CB2" w:rsidRPr="00CC7F8D">
        <w:rPr>
          <w:rFonts w:cs="Arial"/>
          <w:sz w:val="22"/>
          <w:szCs w:val="22"/>
        </w:rPr>
        <w:t xml:space="preserve"> u </w:t>
      </w:r>
      <w:r w:rsidR="00B8439C" w:rsidRPr="00CC7F8D">
        <w:rPr>
          <w:rFonts w:cs="Arial"/>
          <w:sz w:val="22"/>
          <w:szCs w:val="22"/>
        </w:rPr>
        <w:t xml:space="preserve">jednoho stavebního objektu činila </w:t>
      </w:r>
      <w:r w:rsidRPr="00CC7F8D">
        <w:rPr>
          <w:rFonts w:cs="Arial"/>
          <w:sz w:val="22"/>
          <w:szCs w:val="22"/>
        </w:rPr>
        <w:t xml:space="preserve">smluvní </w:t>
      </w:r>
      <w:r w:rsidR="00B8439C" w:rsidRPr="00CC7F8D">
        <w:rPr>
          <w:rFonts w:cs="Arial"/>
          <w:sz w:val="22"/>
          <w:szCs w:val="22"/>
        </w:rPr>
        <w:t xml:space="preserve">cena dle smlouvy o dílo 278,2 mil. Kč. </w:t>
      </w:r>
      <w:r w:rsidR="00280FE6" w:rsidRPr="00CC7F8D">
        <w:rPr>
          <w:rFonts w:cs="Arial"/>
          <w:sz w:val="22"/>
          <w:szCs w:val="22"/>
        </w:rPr>
        <w:t xml:space="preserve">Na základě změnových listů a dodatků </w:t>
      </w:r>
      <w:r w:rsidR="00B10A0B">
        <w:rPr>
          <w:rFonts w:cs="Arial"/>
          <w:sz w:val="22"/>
          <w:szCs w:val="22"/>
        </w:rPr>
        <w:t xml:space="preserve">ke </w:t>
      </w:r>
      <w:r w:rsidR="00280FE6" w:rsidRPr="00CC7F8D">
        <w:rPr>
          <w:rFonts w:cs="Arial"/>
          <w:sz w:val="22"/>
          <w:szCs w:val="22"/>
        </w:rPr>
        <w:t>smlouv</w:t>
      </w:r>
      <w:r w:rsidR="00B10A0B">
        <w:rPr>
          <w:rFonts w:cs="Arial"/>
          <w:sz w:val="22"/>
          <w:szCs w:val="22"/>
        </w:rPr>
        <w:t>ě</w:t>
      </w:r>
      <w:r w:rsidR="00280FE6" w:rsidRPr="00CC7F8D">
        <w:rPr>
          <w:rFonts w:cs="Arial"/>
          <w:sz w:val="22"/>
          <w:szCs w:val="22"/>
        </w:rPr>
        <w:t xml:space="preserve"> týkajících </w:t>
      </w:r>
      <w:r w:rsidR="00430902" w:rsidRPr="00CC7F8D">
        <w:rPr>
          <w:rFonts w:cs="Arial"/>
          <w:sz w:val="22"/>
          <w:szCs w:val="22"/>
        </w:rPr>
        <w:t xml:space="preserve">se </w:t>
      </w:r>
      <w:r w:rsidR="00280FE6" w:rsidRPr="00CC7F8D">
        <w:rPr>
          <w:rFonts w:cs="Arial"/>
          <w:sz w:val="22"/>
          <w:szCs w:val="22"/>
        </w:rPr>
        <w:t>prací provedených na tomto stavebním objektu byla smluvní cena navýšena o 3,3 mil. Kč. Kromě toho ale SŽDC zaplatila za práce na tomto stavebním objektu dalších 3,9 mil. Kč jen na základě pokynů správce stavby</w:t>
      </w:r>
      <w:r w:rsidRPr="00CC7F8D">
        <w:rPr>
          <w:rFonts w:cs="Arial"/>
          <w:sz w:val="22"/>
          <w:szCs w:val="22"/>
        </w:rPr>
        <w:t xml:space="preserve"> a zjišťovacích protokolů</w:t>
      </w:r>
      <w:r w:rsidR="00280FE6" w:rsidRPr="00CC7F8D">
        <w:rPr>
          <w:rFonts w:cs="Arial"/>
          <w:sz w:val="22"/>
          <w:szCs w:val="22"/>
        </w:rPr>
        <w:t>.</w:t>
      </w:r>
    </w:p>
    <w:p w:rsidR="00AB4189" w:rsidRPr="00CC7F8D" w:rsidRDefault="00AB4189" w:rsidP="00CC7F8D">
      <w:pPr>
        <w:jc w:val="both"/>
        <w:rPr>
          <w:rFonts w:cs="Arial"/>
          <w:sz w:val="22"/>
          <w:szCs w:val="22"/>
        </w:rPr>
      </w:pPr>
    </w:p>
    <w:p w:rsidR="00316C0A" w:rsidRDefault="00293B9F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b/>
          <w:sz w:val="22"/>
          <w:szCs w:val="22"/>
        </w:rPr>
        <w:t>SŽDC zadávala veřejné zakázky na dodatečn</w:t>
      </w:r>
      <w:r w:rsidR="008F77C5" w:rsidRPr="00CC7F8D">
        <w:rPr>
          <w:rFonts w:cs="Arial"/>
          <w:b/>
          <w:sz w:val="22"/>
          <w:szCs w:val="22"/>
        </w:rPr>
        <w:t>é</w:t>
      </w:r>
      <w:r w:rsidRPr="00CC7F8D">
        <w:rPr>
          <w:rFonts w:cs="Arial"/>
          <w:b/>
          <w:sz w:val="22"/>
          <w:szCs w:val="22"/>
        </w:rPr>
        <w:t xml:space="preserve"> stavební pr</w:t>
      </w:r>
      <w:r w:rsidR="008F77C5" w:rsidRPr="00CC7F8D">
        <w:rPr>
          <w:rFonts w:cs="Arial"/>
          <w:b/>
          <w:sz w:val="22"/>
          <w:szCs w:val="22"/>
        </w:rPr>
        <w:t>áce</w:t>
      </w:r>
      <w:r w:rsidRPr="00CC7F8D">
        <w:rPr>
          <w:rFonts w:cs="Arial"/>
          <w:b/>
          <w:sz w:val="22"/>
          <w:szCs w:val="22"/>
        </w:rPr>
        <w:t xml:space="preserve"> v jednacích řízeních bez uveřejnění (dále také „JŘBU“) většinou v době, kdy </w:t>
      </w:r>
      <w:r w:rsidR="008F77C5" w:rsidRPr="00CC7F8D">
        <w:rPr>
          <w:rFonts w:cs="Arial"/>
          <w:b/>
          <w:sz w:val="22"/>
          <w:szCs w:val="22"/>
        </w:rPr>
        <w:t xml:space="preserve">některé </w:t>
      </w:r>
      <w:r w:rsidRPr="00CC7F8D">
        <w:rPr>
          <w:rFonts w:cs="Arial"/>
          <w:b/>
          <w:sz w:val="22"/>
          <w:szCs w:val="22"/>
        </w:rPr>
        <w:t>tyto práce již byly provedeny.</w:t>
      </w:r>
      <w:r w:rsidRPr="00CC7F8D">
        <w:rPr>
          <w:rFonts w:cs="Arial"/>
          <w:sz w:val="22"/>
          <w:szCs w:val="22"/>
        </w:rPr>
        <w:t xml:space="preserve"> Například v případě akce č. 562 372 0003</w:t>
      </w:r>
      <w:r w:rsidR="00B10A0B">
        <w:rPr>
          <w:rFonts w:cs="Arial"/>
          <w:sz w:val="22"/>
          <w:szCs w:val="22"/>
        </w:rPr>
        <w:t> –</w:t>
      </w:r>
      <w:r w:rsidRPr="00CC7F8D">
        <w:rPr>
          <w:rFonts w:cs="Arial"/>
          <w:sz w:val="22"/>
          <w:szCs w:val="22"/>
        </w:rPr>
        <w:t xml:space="preserve"> </w:t>
      </w:r>
      <w:r w:rsidRPr="00822A7D">
        <w:rPr>
          <w:rFonts w:cs="Arial"/>
          <w:i/>
          <w:sz w:val="22"/>
          <w:szCs w:val="22"/>
        </w:rPr>
        <w:t xml:space="preserve">Elektrizace traťového úseku vč. PEÚ Šatov </w:t>
      </w:r>
      <w:r w:rsidR="00AB4189" w:rsidRPr="00822A7D">
        <w:rPr>
          <w:rFonts w:cs="Arial"/>
          <w:i/>
          <w:sz w:val="22"/>
          <w:szCs w:val="22"/>
        </w:rPr>
        <w:t>–</w:t>
      </w:r>
      <w:r w:rsidRPr="00822A7D">
        <w:rPr>
          <w:rFonts w:cs="Arial"/>
          <w:i/>
          <w:sz w:val="22"/>
          <w:szCs w:val="22"/>
        </w:rPr>
        <w:t xml:space="preserve"> Znojmo</w:t>
      </w:r>
      <w:r w:rsidRPr="00CC7F8D">
        <w:rPr>
          <w:rFonts w:cs="Arial"/>
          <w:sz w:val="22"/>
          <w:szCs w:val="22"/>
        </w:rPr>
        <w:t xml:space="preserve"> </w:t>
      </w:r>
      <w:r w:rsidR="00B10A0B" w:rsidRPr="00CC7F8D">
        <w:rPr>
          <w:rFonts w:cs="Arial"/>
          <w:sz w:val="22"/>
          <w:szCs w:val="22"/>
        </w:rPr>
        <w:t>zaslalo</w:t>
      </w:r>
      <w:r w:rsidR="00B10A0B" w:rsidRPr="00B10A0B">
        <w:rPr>
          <w:rFonts w:cs="Arial"/>
          <w:sz w:val="22"/>
          <w:szCs w:val="22"/>
        </w:rPr>
        <w:t xml:space="preserve"> </w:t>
      </w:r>
      <w:r w:rsidR="00B10A0B" w:rsidRPr="00CC7F8D">
        <w:rPr>
          <w:rFonts w:cs="Arial"/>
          <w:sz w:val="22"/>
          <w:szCs w:val="22"/>
        </w:rPr>
        <w:t xml:space="preserve">SŽDC </w:t>
      </w:r>
      <w:r w:rsidRPr="00CC7F8D">
        <w:rPr>
          <w:rFonts w:cs="Arial"/>
          <w:sz w:val="22"/>
          <w:szCs w:val="22"/>
        </w:rPr>
        <w:t xml:space="preserve">u dvou stavebních objektů </w:t>
      </w:r>
      <w:r w:rsidR="008F77C5" w:rsidRPr="00CC7F8D">
        <w:rPr>
          <w:rFonts w:cs="Arial"/>
          <w:sz w:val="22"/>
          <w:szCs w:val="22"/>
        </w:rPr>
        <w:t xml:space="preserve">dodavateli </w:t>
      </w:r>
      <w:r w:rsidRPr="00CC7F8D">
        <w:rPr>
          <w:rFonts w:cs="Arial"/>
          <w:sz w:val="22"/>
          <w:szCs w:val="22"/>
        </w:rPr>
        <w:t>písemnou výzvu k</w:t>
      </w:r>
      <w:r w:rsidR="00630CB2" w:rsidRPr="00CC7F8D">
        <w:rPr>
          <w:rFonts w:cs="Arial"/>
          <w:sz w:val="22"/>
          <w:szCs w:val="22"/>
        </w:rPr>
        <w:t> jednání v </w:t>
      </w:r>
      <w:r w:rsidRPr="00CC7F8D">
        <w:rPr>
          <w:rFonts w:cs="Arial"/>
          <w:sz w:val="22"/>
          <w:szCs w:val="22"/>
        </w:rPr>
        <w:t xml:space="preserve">JŘBU ve smyslu § </w:t>
      </w:r>
      <w:r w:rsidR="00836CA0" w:rsidRPr="00CC7F8D">
        <w:rPr>
          <w:rFonts w:cs="Arial"/>
          <w:sz w:val="22"/>
          <w:szCs w:val="22"/>
        </w:rPr>
        <w:t>34 odst. 1 zákona č. 137/2006 Sb.</w:t>
      </w:r>
      <w:r w:rsidR="00836CA0" w:rsidRPr="00CC7F8D">
        <w:rPr>
          <w:rStyle w:val="Znakapoznpodarou"/>
          <w:rFonts w:cs="Arial"/>
          <w:sz w:val="22"/>
          <w:szCs w:val="22"/>
        </w:rPr>
        <w:footnoteReference w:id="14"/>
      </w:r>
      <w:r w:rsidR="00836CA0" w:rsidRPr="00CC7F8D">
        <w:rPr>
          <w:rFonts w:cs="Arial"/>
          <w:sz w:val="22"/>
          <w:szCs w:val="22"/>
        </w:rPr>
        <w:t xml:space="preserve"> v listopadu 2008, přičemž práce, jichž se výzva týkala, byly podle stavebního deníku provedeny již v srpnu a září 2008.</w:t>
      </w:r>
    </w:p>
    <w:p w:rsidR="00AB4189" w:rsidRPr="00CC7F8D" w:rsidRDefault="00AB4189" w:rsidP="00CC7F8D">
      <w:pPr>
        <w:jc w:val="both"/>
        <w:rPr>
          <w:rFonts w:cs="Arial"/>
          <w:sz w:val="22"/>
          <w:szCs w:val="22"/>
        </w:rPr>
      </w:pPr>
    </w:p>
    <w:p w:rsidR="00316C0A" w:rsidRDefault="00316C0A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>Obdobně tomu bylo v případě akce č. 571 372 0002</w:t>
      </w:r>
      <w:r w:rsidR="00B10A0B">
        <w:rPr>
          <w:rFonts w:cs="Arial"/>
          <w:sz w:val="22"/>
          <w:szCs w:val="22"/>
        </w:rPr>
        <w:t> –</w:t>
      </w:r>
      <w:r w:rsidRPr="00CC7F8D">
        <w:rPr>
          <w:rFonts w:cs="Arial"/>
          <w:sz w:val="22"/>
          <w:szCs w:val="22"/>
        </w:rPr>
        <w:t xml:space="preserve"> </w:t>
      </w:r>
      <w:r w:rsidRPr="00822A7D">
        <w:rPr>
          <w:rFonts w:cs="Arial"/>
          <w:i/>
          <w:sz w:val="22"/>
          <w:szCs w:val="22"/>
        </w:rPr>
        <w:t xml:space="preserve">Elektrizace trati Zábřeh </w:t>
      </w:r>
      <w:r w:rsidR="00AB4189" w:rsidRPr="00822A7D">
        <w:rPr>
          <w:rFonts w:cs="Arial"/>
          <w:i/>
          <w:sz w:val="22"/>
          <w:szCs w:val="22"/>
        </w:rPr>
        <w:t>–</w:t>
      </w:r>
      <w:r w:rsidRPr="00822A7D">
        <w:rPr>
          <w:rFonts w:cs="Arial"/>
          <w:i/>
          <w:sz w:val="22"/>
          <w:szCs w:val="22"/>
        </w:rPr>
        <w:t xml:space="preserve"> Šumperk</w:t>
      </w:r>
      <w:r w:rsidRPr="00CC7F8D">
        <w:rPr>
          <w:rFonts w:cs="Arial"/>
          <w:sz w:val="22"/>
          <w:szCs w:val="22"/>
        </w:rPr>
        <w:t xml:space="preserve">, </w:t>
      </w:r>
      <w:r w:rsidR="00B10A0B">
        <w:rPr>
          <w:rFonts w:cs="Arial"/>
          <w:sz w:val="22"/>
          <w:szCs w:val="22"/>
        </w:rPr>
        <w:t>když</w:t>
      </w:r>
      <w:r w:rsidRPr="00CC7F8D">
        <w:rPr>
          <w:rFonts w:cs="Arial"/>
          <w:sz w:val="22"/>
          <w:szCs w:val="22"/>
        </w:rPr>
        <w:t xml:space="preserve"> SŽDC zaslalo dodavateli písemnou výzvu k jednání v JŘBU na veřejnou zakázku </w:t>
      </w:r>
      <w:r w:rsidR="006F46EC" w:rsidRPr="00CC7F8D">
        <w:rPr>
          <w:rFonts w:cs="Arial"/>
          <w:sz w:val="22"/>
          <w:szCs w:val="22"/>
        </w:rPr>
        <w:t xml:space="preserve">na </w:t>
      </w:r>
      <w:r w:rsidRPr="00CC7F8D">
        <w:rPr>
          <w:rFonts w:cs="Arial"/>
          <w:sz w:val="22"/>
          <w:szCs w:val="22"/>
        </w:rPr>
        <w:t>dodatečné stavební práce na jednom stavebním objektu v únoru 2009, přičemž práce, jichž se výzva týkala, byly podle stavebního deníku provedeny již v září 2008 a celý stavební objekt SŽDC od do</w:t>
      </w:r>
      <w:r w:rsidR="00630CB2" w:rsidRPr="00CC7F8D">
        <w:rPr>
          <w:rFonts w:cs="Arial"/>
          <w:sz w:val="22"/>
          <w:szCs w:val="22"/>
        </w:rPr>
        <w:t>davatele převzalo v říjnu 2008.</w:t>
      </w:r>
    </w:p>
    <w:p w:rsidR="00AB4189" w:rsidRPr="00CC7F8D" w:rsidRDefault="00AB4189" w:rsidP="00CC7F8D">
      <w:pPr>
        <w:jc w:val="both"/>
        <w:rPr>
          <w:rFonts w:cs="Arial"/>
          <w:sz w:val="22"/>
          <w:szCs w:val="22"/>
        </w:rPr>
      </w:pPr>
    </w:p>
    <w:p w:rsidR="008F77C5" w:rsidRPr="00CC7F8D" w:rsidRDefault="00836CA0" w:rsidP="00CC7F8D">
      <w:pPr>
        <w:jc w:val="both"/>
        <w:rPr>
          <w:rFonts w:cs="Arial"/>
          <w:b/>
          <w:sz w:val="22"/>
          <w:szCs w:val="22"/>
        </w:rPr>
      </w:pPr>
      <w:r w:rsidRPr="00CC7F8D">
        <w:rPr>
          <w:rFonts w:cs="Arial"/>
          <w:b/>
          <w:sz w:val="22"/>
          <w:szCs w:val="22"/>
        </w:rPr>
        <w:t>Ze stavebních deníků ani jiných</w:t>
      </w:r>
      <w:r w:rsidR="00AB4189">
        <w:rPr>
          <w:rFonts w:cs="Arial"/>
          <w:b/>
          <w:sz w:val="22"/>
          <w:szCs w:val="22"/>
        </w:rPr>
        <w:t xml:space="preserve"> </w:t>
      </w:r>
      <w:r w:rsidRPr="00CC7F8D">
        <w:rPr>
          <w:rFonts w:cs="Arial"/>
          <w:b/>
          <w:sz w:val="22"/>
          <w:szCs w:val="22"/>
        </w:rPr>
        <w:t xml:space="preserve">dokladů předložených ke kontrole nebylo možno ověřit, </w:t>
      </w:r>
      <w:r w:rsidR="00293B9F" w:rsidRPr="00CC7F8D">
        <w:rPr>
          <w:rFonts w:cs="Arial"/>
          <w:b/>
          <w:sz w:val="22"/>
          <w:szCs w:val="22"/>
        </w:rPr>
        <w:t xml:space="preserve">zda </w:t>
      </w:r>
      <w:r w:rsidRPr="00CC7F8D">
        <w:rPr>
          <w:rFonts w:cs="Arial"/>
          <w:b/>
          <w:sz w:val="22"/>
          <w:szCs w:val="22"/>
        </w:rPr>
        <w:t xml:space="preserve">byly </w:t>
      </w:r>
      <w:r w:rsidR="00B10A0B">
        <w:rPr>
          <w:rFonts w:cs="Arial"/>
          <w:b/>
          <w:sz w:val="22"/>
          <w:szCs w:val="22"/>
        </w:rPr>
        <w:t>u </w:t>
      </w:r>
      <w:r w:rsidR="006F46EC" w:rsidRPr="00CC7F8D">
        <w:rPr>
          <w:rFonts w:cs="Arial"/>
          <w:b/>
          <w:sz w:val="22"/>
          <w:szCs w:val="22"/>
        </w:rPr>
        <w:t>dodatečn</w:t>
      </w:r>
      <w:r w:rsidR="00B10A0B">
        <w:rPr>
          <w:rFonts w:cs="Arial"/>
          <w:b/>
          <w:sz w:val="22"/>
          <w:szCs w:val="22"/>
        </w:rPr>
        <w:t>ých</w:t>
      </w:r>
      <w:r w:rsidR="006F46EC" w:rsidRPr="00CC7F8D">
        <w:rPr>
          <w:rFonts w:cs="Arial"/>
          <w:b/>
          <w:sz w:val="22"/>
          <w:szCs w:val="22"/>
        </w:rPr>
        <w:t xml:space="preserve"> stavební</w:t>
      </w:r>
      <w:r w:rsidR="00B10A0B">
        <w:rPr>
          <w:rFonts w:cs="Arial"/>
          <w:b/>
          <w:sz w:val="22"/>
          <w:szCs w:val="22"/>
        </w:rPr>
        <w:t>ch</w:t>
      </w:r>
      <w:r w:rsidR="006F46EC" w:rsidRPr="00CC7F8D">
        <w:rPr>
          <w:rFonts w:cs="Arial"/>
          <w:b/>
          <w:sz w:val="22"/>
          <w:szCs w:val="22"/>
        </w:rPr>
        <w:t xml:space="preserve"> </w:t>
      </w:r>
      <w:r w:rsidRPr="00CC7F8D">
        <w:rPr>
          <w:rFonts w:cs="Arial"/>
          <w:b/>
          <w:sz w:val="22"/>
          <w:szCs w:val="22"/>
        </w:rPr>
        <w:t>pr</w:t>
      </w:r>
      <w:r w:rsidR="00B10A0B">
        <w:rPr>
          <w:rFonts w:cs="Arial"/>
          <w:b/>
          <w:sz w:val="22"/>
          <w:szCs w:val="22"/>
        </w:rPr>
        <w:t>ací</w:t>
      </w:r>
      <w:r w:rsidRPr="00CC7F8D">
        <w:rPr>
          <w:rFonts w:cs="Arial"/>
          <w:b/>
          <w:sz w:val="22"/>
          <w:szCs w:val="22"/>
        </w:rPr>
        <w:t xml:space="preserve"> </w:t>
      </w:r>
      <w:r w:rsidR="00B10A0B">
        <w:rPr>
          <w:rFonts w:cs="Arial"/>
          <w:b/>
          <w:sz w:val="22"/>
          <w:szCs w:val="22"/>
        </w:rPr>
        <w:t xml:space="preserve">ještě </w:t>
      </w:r>
      <w:r w:rsidRPr="00CC7F8D">
        <w:rPr>
          <w:rFonts w:cs="Arial"/>
          <w:b/>
          <w:sz w:val="22"/>
          <w:szCs w:val="22"/>
        </w:rPr>
        <w:t xml:space="preserve">před jejich provedením odsouhlaseny </w:t>
      </w:r>
      <w:r w:rsidR="00B10A0B">
        <w:rPr>
          <w:rFonts w:cs="Arial"/>
          <w:b/>
          <w:sz w:val="22"/>
          <w:szCs w:val="22"/>
        </w:rPr>
        <w:t>jejich</w:t>
      </w:r>
      <w:r w:rsidR="00293B9F" w:rsidRPr="00CC7F8D">
        <w:rPr>
          <w:rFonts w:cs="Arial"/>
          <w:b/>
          <w:sz w:val="22"/>
          <w:szCs w:val="22"/>
        </w:rPr>
        <w:t xml:space="preserve"> rozsah</w:t>
      </w:r>
      <w:r w:rsidR="00DF67C6" w:rsidRPr="00CC7F8D">
        <w:rPr>
          <w:rFonts w:cs="Arial"/>
          <w:b/>
          <w:sz w:val="22"/>
          <w:szCs w:val="22"/>
        </w:rPr>
        <w:t xml:space="preserve"> a ceny</w:t>
      </w:r>
      <w:r w:rsidRPr="00CC7F8D">
        <w:rPr>
          <w:rFonts w:cs="Arial"/>
          <w:b/>
          <w:sz w:val="22"/>
          <w:szCs w:val="22"/>
        </w:rPr>
        <w:t xml:space="preserve">. Tyto údaje byly </w:t>
      </w:r>
      <w:r w:rsidR="00DF67C6" w:rsidRPr="00CC7F8D">
        <w:rPr>
          <w:rFonts w:cs="Arial"/>
          <w:b/>
          <w:sz w:val="22"/>
          <w:szCs w:val="22"/>
        </w:rPr>
        <w:t>obsaž</w:t>
      </w:r>
      <w:r w:rsidRPr="00CC7F8D">
        <w:rPr>
          <w:rFonts w:cs="Arial"/>
          <w:b/>
          <w:sz w:val="22"/>
          <w:szCs w:val="22"/>
        </w:rPr>
        <w:t xml:space="preserve">eny až </w:t>
      </w:r>
      <w:r w:rsidR="00293B9F" w:rsidRPr="00CC7F8D">
        <w:rPr>
          <w:rFonts w:cs="Arial"/>
          <w:b/>
          <w:sz w:val="22"/>
          <w:szCs w:val="22"/>
        </w:rPr>
        <w:t xml:space="preserve">ve zjišťovacích protokolech, které </w:t>
      </w:r>
      <w:r w:rsidRPr="00CC7F8D">
        <w:rPr>
          <w:rFonts w:cs="Arial"/>
          <w:b/>
          <w:sz w:val="22"/>
          <w:szCs w:val="22"/>
        </w:rPr>
        <w:t xml:space="preserve">byly podkladem pro </w:t>
      </w:r>
      <w:r w:rsidR="00293B9F" w:rsidRPr="00CC7F8D">
        <w:rPr>
          <w:rFonts w:cs="Arial"/>
          <w:b/>
          <w:sz w:val="22"/>
          <w:szCs w:val="22"/>
        </w:rPr>
        <w:t>fakturaci.</w:t>
      </w:r>
    </w:p>
    <w:p w:rsidR="00AB4189" w:rsidRDefault="00AB4189" w:rsidP="00CC7F8D">
      <w:pPr>
        <w:jc w:val="both"/>
        <w:rPr>
          <w:rFonts w:cs="Arial"/>
          <w:sz w:val="22"/>
          <w:szCs w:val="22"/>
        </w:rPr>
      </w:pPr>
    </w:p>
    <w:p w:rsidR="00F50D56" w:rsidRDefault="008F77C5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>Zadáváním veřejných zakázek na dodatečné stavební práce v JŘBU v době, když již tyto práce byly provedeny, došlo ze strany SŽDC pouze</w:t>
      </w:r>
      <w:r w:rsidR="00430902" w:rsidRPr="00CC7F8D">
        <w:rPr>
          <w:rFonts w:cs="Arial"/>
          <w:sz w:val="22"/>
          <w:szCs w:val="22"/>
        </w:rPr>
        <w:t xml:space="preserve"> k</w:t>
      </w:r>
      <w:r w:rsidRPr="00CC7F8D">
        <w:rPr>
          <w:rFonts w:cs="Arial"/>
          <w:sz w:val="22"/>
          <w:szCs w:val="22"/>
        </w:rPr>
        <w:t xml:space="preserve"> formálnímu naplnění zákonem stanovených podmínek pro tento druh zadáv</w:t>
      </w:r>
      <w:r w:rsidR="004212E3" w:rsidRPr="00CC7F8D">
        <w:rPr>
          <w:rFonts w:cs="Arial"/>
          <w:sz w:val="22"/>
          <w:szCs w:val="22"/>
        </w:rPr>
        <w:t xml:space="preserve">acího řízení. </w:t>
      </w:r>
    </w:p>
    <w:p w:rsidR="00AB4189" w:rsidRPr="00CC7F8D" w:rsidRDefault="00AB4189" w:rsidP="00CC7F8D">
      <w:pPr>
        <w:jc w:val="both"/>
        <w:rPr>
          <w:rFonts w:cs="Arial"/>
          <w:sz w:val="22"/>
          <w:szCs w:val="22"/>
        </w:rPr>
      </w:pPr>
    </w:p>
    <w:p w:rsidR="00407BEE" w:rsidRPr="00CC7F8D" w:rsidRDefault="004212E3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>S účinností od 1. </w:t>
      </w:r>
      <w:r w:rsidR="005810AC" w:rsidRPr="00CC7F8D">
        <w:rPr>
          <w:rFonts w:cs="Arial"/>
          <w:sz w:val="22"/>
          <w:szCs w:val="22"/>
        </w:rPr>
        <w:t>dubna</w:t>
      </w:r>
      <w:r w:rsidRPr="00CC7F8D">
        <w:rPr>
          <w:rFonts w:cs="Arial"/>
          <w:sz w:val="22"/>
          <w:szCs w:val="22"/>
        </w:rPr>
        <w:t> </w:t>
      </w:r>
      <w:r w:rsidR="008F77C5" w:rsidRPr="00CC7F8D">
        <w:rPr>
          <w:rFonts w:cs="Arial"/>
          <w:sz w:val="22"/>
          <w:szCs w:val="22"/>
        </w:rPr>
        <w:t>2013 již písemná výzva k jednání v JŘBU není zákonem v případě veřejných zakázek na dodatečné stavební práce vyžadována.</w:t>
      </w:r>
      <w:r w:rsidR="00B57A54" w:rsidRPr="00CC7F8D">
        <w:rPr>
          <w:rFonts w:cs="Arial"/>
          <w:sz w:val="22"/>
          <w:szCs w:val="22"/>
        </w:rPr>
        <w:t xml:space="preserve"> </w:t>
      </w:r>
      <w:r w:rsidR="008F77C5" w:rsidRPr="00CC7F8D">
        <w:rPr>
          <w:rFonts w:cs="Arial"/>
          <w:sz w:val="22"/>
          <w:szCs w:val="22"/>
        </w:rPr>
        <w:t>Zadavatel je však</w:t>
      </w:r>
      <w:r w:rsidR="00B57A54" w:rsidRPr="00CC7F8D">
        <w:rPr>
          <w:rFonts w:cs="Arial"/>
          <w:sz w:val="22"/>
          <w:szCs w:val="22"/>
        </w:rPr>
        <w:t xml:space="preserve"> podle </w:t>
      </w:r>
      <w:r w:rsidR="008F77C5" w:rsidRPr="00CC7F8D">
        <w:rPr>
          <w:rFonts w:cs="Arial"/>
          <w:sz w:val="22"/>
          <w:szCs w:val="22"/>
        </w:rPr>
        <w:t xml:space="preserve">§ 34 </w:t>
      </w:r>
      <w:r w:rsidR="008F77C5" w:rsidRPr="00CC7F8D">
        <w:rPr>
          <w:rFonts w:cs="Arial"/>
          <w:sz w:val="22"/>
          <w:szCs w:val="22"/>
        </w:rPr>
        <w:lastRenderedPageBreak/>
        <w:t xml:space="preserve">odst. 5 zákona č. 137/2006 Sb. povinen pořídit písemný soupis a odůvodnění nezbytnosti takto zadaných stavebních prací včetně ceny. Z textu zákona však nevyplývá, že postup zadavatele při zadání dodatečných </w:t>
      </w:r>
      <w:r w:rsidR="00B57A54" w:rsidRPr="00CC7F8D">
        <w:rPr>
          <w:rFonts w:cs="Arial"/>
          <w:sz w:val="22"/>
          <w:szCs w:val="22"/>
        </w:rPr>
        <w:t xml:space="preserve">stavebních </w:t>
      </w:r>
      <w:r w:rsidR="008F77C5" w:rsidRPr="00CC7F8D">
        <w:rPr>
          <w:rFonts w:cs="Arial"/>
          <w:sz w:val="22"/>
          <w:szCs w:val="22"/>
        </w:rPr>
        <w:t>prací by měl být dokladován až zpětně po jejich provedení (zejména důvod, rozsah a ceny prací).</w:t>
      </w:r>
    </w:p>
    <w:p w:rsidR="001A0B9F" w:rsidRPr="00CC7F8D" w:rsidRDefault="001A0B9F" w:rsidP="00CC7F8D">
      <w:pPr>
        <w:jc w:val="both"/>
        <w:rPr>
          <w:rFonts w:cs="Arial"/>
          <w:sz w:val="22"/>
          <w:szCs w:val="22"/>
        </w:rPr>
      </w:pPr>
    </w:p>
    <w:p w:rsidR="00993ECE" w:rsidRPr="00CC7F8D" w:rsidRDefault="00407BEE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b/>
          <w:sz w:val="22"/>
          <w:szCs w:val="22"/>
        </w:rPr>
        <w:t xml:space="preserve">6. </w:t>
      </w:r>
      <w:r w:rsidR="00993ECE" w:rsidRPr="00CC7F8D">
        <w:rPr>
          <w:rFonts w:cs="Arial"/>
          <w:b/>
          <w:sz w:val="22"/>
          <w:szCs w:val="22"/>
        </w:rPr>
        <w:t xml:space="preserve">Problematika </w:t>
      </w:r>
      <w:r w:rsidR="00D9655A" w:rsidRPr="00CC7F8D">
        <w:rPr>
          <w:rFonts w:cs="Arial"/>
          <w:b/>
          <w:sz w:val="22"/>
          <w:szCs w:val="22"/>
        </w:rPr>
        <w:t>zpět získaného materiálu (</w:t>
      </w:r>
      <w:r w:rsidR="00993ECE" w:rsidRPr="00CC7F8D">
        <w:rPr>
          <w:rFonts w:cs="Arial"/>
          <w:b/>
          <w:sz w:val="22"/>
          <w:szCs w:val="22"/>
        </w:rPr>
        <w:t>výzisků</w:t>
      </w:r>
      <w:r w:rsidR="00D9655A" w:rsidRPr="00CC7F8D">
        <w:rPr>
          <w:rFonts w:cs="Arial"/>
          <w:b/>
          <w:sz w:val="22"/>
          <w:szCs w:val="22"/>
        </w:rPr>
        <w:t>)</w:t>
      </w:r>
      <w:r w:rsidR="00993ECE" w:rsidRPr="00CC7F8D">
        <w:rPr>
          <w:rFonts w:cs="Arial"/>
          <w:b/>
          <w:sz w:val="22"/>
          <w:szCs w:val="22"/>
        </w:rPr>
        <w:t xml:space="preserve"> při realiz</w:t>
      </w:r>
      <w:r w:rsidR="00A57030" w:rsidRPr="00CC7F8D">
        <w:rPr>
          <w:rFonts w:cs="Arial"/>
          <w:b/>
          <w:sz w:val="22"/>
          <w:szCs w:val="22"/>
        </w:rPr>
        <w:t>aci</w:t>
      </w:r>
      <w:r w:rsidR="00D9655A" w:rsidRPr="00CC7F8D">
        <w:rPr>
          <w:rFonts w:cs="Arial"/>
          <w:b/>
          <w:sz w:val="22"/>
          <w:szCs w:val="22"/>
        </w:rPr>
        <w:t xml:space="preserve"> a</w:t>
      </w:r>
      <w:r w:rsidR="00993ECE" w:rsidRPr="00CC7F8D">
        <w:rPr>
          <w:rFonts w:cs="Arial"/>
          <w:b/>
          <w:sz w:val="22"/>
          <w:szCs w:val="22"/>
        </w:rPr>
        <w:t xml:space="preserve"> financování akcí</w:t>
      </w:r>
    </w:p>
    <w:p w:rsidR="00CC7F8D" w:rsidRDefault="00CC7F8D" w:rsidP="00CC7F8D">
      <w:pPr>
        <w:jc w:val="both"/>
        <w:rPr>
          <w:rFonts w:cs="Arial"/>
          <w:sz w:val="22"/>
          <w:szCs w:val="22"/>
        </w:rPr>
      </w:pPr>
    </w:p>
    <w:p w:rsidR="00A01EB5" w:rsidRDefault="00E926F2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 xml:space="preserve">V roce 2012 </w:t>
      </w:r>
      <w:r w:rsidR="002F301C" w:rsidRPr="00CC7F8D">
        <w:rPr>
          <w:rFonts w:cs="Arial"/>
          <w:sz w:val="22"/>
          <w:szCs w:val="22"/>
        </w:rPr>
        <w:t xml:space="preserve">byly </w:t>
      </w:r>
      <w:r w:rsidRPr="00CC7F8D">
        <w:rPr>
          <w:rFonts w:cs="Arial"/>
          <w:color w:val="000000"/>
          <w:sz w:val="22"/>
          <w:szCs w:val="22"/>
        </w:rPr>
        <w:t>z</w:t>
      </w:r>
      <w:r w:rsidRPr="00CC7F8D">
        <w:rPr>
          <w:rFonts w:cs="Arial"/>
          <w:sz w:val="22"/>
          <w:szCs w:val="22"/>
        </w:rPr>
        <w:t> rozpočtu SFDI poskytnuty finanční pr</w:t>
      </w:r>
      <w:r w:rsidR="004212E3" w:rsidRPr="00CC7F8D">
        <w:rPr>
          <w:rFonts w:cs="Arial"/>
          <w:sz w:val="22"/>
          <w:szCs w:val="22"/>
        </w:rPr>
        <w:t>ostředky v celkovém objemu 61,3 </w:t>
      </w:r>
      <w:r w:rsidRPr="00CC7F8D">
        <w:rPr>
          <w:rFonts w:cs="Arial"/>
          <w:sz w:val="22"/>
          <w:szCs w:val="22"/>
        </w:rPr>
        <w:t xml:space="preserve">mil. Kč </w:t>
      </w:r>
      <w:r w:rsidR="002F301C" w:rsidRPr="00CC7F8D">
        <w:rPr>
          <w:rFonts w:cs="Arial"/>
          <w:sz w:val="22"/>
          <w:szCs w:val="22"/>
        </w:rPr>
        <w:t>na již ukončené jmenovité akce charakteru modernizace železniční sítě (tratě mimo síť TEN-T)</w:t>
      </w:r>
      <w:r w:rsidRPr="00CC7F8D">
        <w:rPr>
          <w:rFonts w:cs="Arial"/>
          <w:sz w:val="22"/>
          <w:szCs w:val="22"/>
        </w:rPr>
        <w:t>, a to</w:t>
      </w:r>
      <w:r w:rsidR="002F301C" w:rsidRPr="00CC7F8D">
        <w:rPr>
          <w:rFonts w:cs="Arial"/>
          <w:sz w:val="22"/>
          <w:szCs w:val="22"/>
        </w:rPr>
        <w:t xml:space="preserve"> na základě rozpočtových opatření se stejným obecným zdůvodněním: „</w:t>
      </w:r>
      <w:r w:rsidR="002F301C" w:rsidRPr="00CC7F8D">
        <w:rPr>
          <w:rFonts w:cs="Arial"/>
          <w:i/>
          <w:sz w:val="22"/>
          <w:szCs w:val="22"/>
        </w:rPr>
        <w:t>Dodatečnou úpravou jsou sníženy způsobilé náklady a stejným objemem zároveň navýšeny nezpůsobilé náklady o hodnotu vyzískaného materiálu generovaného na stavbě</w:t>
      </w:r>
      <w:r w:rsidR="004212E3" w:rsidRPr="00CC7F8D">
        <w:rPr>
          <w:rFonts w:cs="Arial"/>
          <w:i/>
          <w:sz w:val="22"/>
          <w:szCs w:val="22"/>
        </w:rPr>
        <w:t>.</w:t>
      </w:r>
      <w:r w:rsidR="002F301C" w:rsidRPr="00CC7F8D">
        <w:rPr>
          <w:rFonts w:cs="Arial"/>
          <w:sz w:val="22"/>
          <w:szCs w:val="22"/>
        </w:rPr>
        <w:t>“</w:t>
      </w:r>
    </w:p>
    <w:p w:rsidR="00CC7F8D" w:rsidRPr="00CC7F8D" w:rsidRDefault="00CC7F8D" w:rsidP="00CC7F8D">
      <w:pPr>
        <w:jc w:val="both"/>
        <w:rPr>
          <w:rFonts w:cs="Arial"/>
          <w:sz w:val="22"/>
          <w:szCs w:val="22"/>
        </w:rPr>
      </w:pPr>
    </w:p>
    <w:p w:rsidR="00A01EB5" w:rsidRDefault="00A01EB5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 xml:space="preserve">Tyto finanční prostředky byly z rozpočtu SFDI poskytnuty na dodatečné vypořádání finančního závazku SŽDC vůči OPD, když SŽDC v době realizace akcí </w:t>
      </w:r>
      <w:r w:rsidR="002F301C" w:rsidRPr="00CC7F8D">
        <w:rPr>
          <w:rFonts w:cs="Arial"/>
          <w:sz w:val="22"/>
          <w:szCs w:val="22"/>
        </w:rPr>
        <w:t xml:space="preserve">hodnotu </w:t>
      </w:r>
      <w:r w:rsidRPr="00CC7F8D">
        <w:rPr>
          <w:rFonts w:cs="Arial"/>
          <w:sz w:val="22"/>
          <w:szCs w:val="22"/>
        </w:rPr>
        <w:t>výzisk</w:t>
      </w:r>
      <w:r w:rsidR="002F301C" w:rsidRPr="00CC7F8D">
        <w:rPr>
          <w:rFonts w:cs="Arial"/>
          <w:sz w:val="22"/>
          <w:szCs w:val="22"/>
        </w:rPr>
        <w:t>ů</w:t>
      </w:r>
      <w:r w:rsidRPr="00CC7F8D">
        <w:rPr>
          <w:rFonts w:cs="Arial"/>
          <w:sz w:val="22"/>
          <w:szCs w:val="22"/>
        </w:rPr>
        <w:t xml:space="preserve"> neodečetla od investičních nákladů akcí a nezúčtovala je s OPD (část projektu spolufinancovaná z prostředků fondů EU), ani se SFDI (část projektu spolufinancovaná z národních zdrojů), neboť jí to v té době žádný</w:t>
      </w:r>
      <w:r w:rsidR="004212E3" w:rsidRPr="00CC7F8D">
        <w:rPr>
          <w:rFonts w:cs="Arial"/>
          <w:sz w:val="22"/>
          <w:szCs w:val="22"/>
        </w:rPr>
        <w:t xml:space="preserve"> pokyn ani metodika neukládaly.</w:t>
      </w:r>
    </w:p>
    <w:p w:rsidR="00CC7F8D" w:rsidRPr="00CC7F8D" w:rsidRDefault="00CC7F8D" w:rsidP="00CC7F8D">
      <w:pPr>
        <w:jc w:val="both"/>
        <w:rPr>
          <w:rFonts w:cs="Arial"/>
          <w:sz w:val="22"/>
          <w:szCs w:val="22"/>
        </w:rPr>
      </w:pPr>
    </w:p>
    <w:p w:rsidR="000E3408" w:rsidRPr="00CC7F8D" w:rsidRDefault="00B03A6C" w:rsidP="00CC7F8D">
      <w:pPr>
        <w:jc w:val="both"/>
        <w:rPr>
          <w:rFonts w:cs="Arial"/>
          <w:b/>
          <w:sz w:val="22"/>
          <w:szCs w:val="22"/>
        </w:rPr>
      </w:pPr>
      <w:r w:rsidRPr="00CC7F8D">
        <w:rPr>
          <w:rFonts w:cs="Arial"/>
          <w:sz w:val="22"/>
          <w:szCs w:val="22"/>
        </w:rPr>
        <w:t>N</w:t>
      </w:r>
      <w:r w:rsidR="002F301C" w:rsidRPr="00CC7F8D">
        <w:rPr>
          <w:rFonts w:cs="Arial"/>
          <w:sz w:val="22"/>
          <w:szCs w:val="22"/>
        </w:rPr>
        <w:t xml:space="preserve">akládání s výzisky </w:t>
      </w:r>
      <w:r w:rsidRPr="00CC7F8D">
        <w:rPr>
          <w:rFonts w:cs="Arial"/>
          <w:sz w:val="22"/>
          <w:szCs w:val="22"/>
        </w:rPr>
        <w:t>bylo do roku 2011 upraveno vnitřn</w:t>
      </w:r>
      <w:r w:rsidR="00B10A0B">
        <w:rPr>
          <w:rFonts w:cs="Arial"/>
          <w:sz w:val="22"/>
          <w:szCs w:val="22"/>
        </w:rPr>
        <w:t>ím předpisem jen v </w:t>
      </w:r>
      <w:r w:rsidR="004212E3" w:rsidRPr="00CC7F8D">
        <w:rPr>
          <w:rFonts w:cs="Arial"/>
          <w:sz w:val="22"/>
          <w:szCs w:val="22"/>
        </w:rPr>
        <w:t>rámci</w:t>
      </w:r>
      <w:r w:rsidR="00B10A0B">
        <w:rPr>
          <w:rFonts w:cs="Arial"/>
          <w:sz w:val="22"/>
          <w:szCs w:val="22"/>
        </w:rPr>
        <w:t xml:space="preserve"> </w:t>
      </w:r>
      <w:r w:rsidR="004212E3" w:rsidRPr="00CC7F8D">
        <w:rPr>
          <w:rFonts w:cs="Arial"/>
          <w:sz w:val="22"/>
          <w:szCs w:val="22"/>
        </w:rPr>
        <w:t xml:space="preserve">SŽDC. </w:t>
      </w:r>
      <w:r w:rsidRPr="00CC7F8D">
        <w:rPr>
          <w:rFonts w:cs="Arial"/>
          <w:sz w:val="22"/>
          <w:szCs w:val="22"/>
        </w:rPr>
        <w:t xml:space="preserve">V červnu 2011 MD vydalo metodické doporučení upravující postup při zúčtování a finančním vypořádání výzisků s OPD. V lednu 2012 MD vydalo pokyn, na jehož základě SŽDC prostřednictvím SFDI </w:t>
      </w:r>
      <w:r w:rsidR="00E92AA0" w:rsidRPr="00CC7F8D">
        <w:rPr>
          <w:rFonts w:cs="Arial"/>
          <w:sz w:val="22"/>
          <w:szCs w:val="22"/>
        </w:rPr>
        <w:t xml:space="preserve">zúčtovala a finančně vypořádala </w:t>
      </w:r>
      <w:r w:rsidRPr="00CC7F8D">
        <w:rPr>
          <w:rFonts w:cs="Arial"/>
          <w:sz w:val="22"/>
          <w:szCs w:val="22"/>
        </w:rPr>
        <w:t xml:space="preserve">výzisky s OPD. </w:t>
      </w:r>
      <w:r w:rsidR="00341A1B" w:rsidRPr="00CC7F8D">
        <w:rPr>
          <w:rFonts w:cs="Arial"/>
          <w:b/>
          <w:sz w:val="22"/>
          <w:szCs w:val="22"/>
        </w:rPr>
        <w:t xml:space="preserve">Postup pro vypořádání závazku, který </w:t>
      </w:r>
      <w:r w:rsidR="006F46EC" w:rsidRPr="00CC7F8D">
        <w:rPr>
          <w:rFonts w:cs="Arial"/>
          <w:b/>
          <w:sz w:val="22"/>
          <w:szCs w:val="22"/>
        </w:rPr>
        <w:t xml:space="preserve">v souvislosti se zúčtováním výzisků s OPD </w:t>
      </w:r>
      <w:r w:rsidR="00341A1B" w:rsidRPr="00CC7F8D">
        <w:rPr>
          <w:rFonts w:cs="Arial"/>
          <w:b/>
          <w:sz w:val="22"/>
          <w:szCs w:val="22"/>
        </w:rPr>
        <w:t xml:space="preserve">vznikl </w:t>
      </w:r>
      <w:r w:rsidR="006F46EC" w:rsidRPr="00CC7F8D">
        <w:rPr>
          <w:rFonts w:cs="Arial"/>
          <w:b/>
          <w:sz w:val="22"/>
          <w:szCs w:val="22"/>
        </w:rPr>
        <w:t xml:space="preserve">SŽDC </w:t>
      </w:r>
      <w:r w:rsidR="00341A1B" w:rsidRPr="00CC7F8D">
        <w:rPr>
          <w:rFonts w:cs="Arial"/>
          <w:b/>
          <w:sz w:val="22"/>
          <w:szCs w:val="22"/>
        </w:rPr>
        <w:t>vůči SFDI, není metodicky dořešen a je jen velmi</w:t>
      </w:r>
      <w:r w:rsidR="004212E3" w:rsidRPr="00CC7F8D">
        <w:rPr>
          <w:rFonts w:cs="Arial"/>
          <w:b/>
          <w:sz w:val="22"/>
          <w:szCs w:val="22"/>
        </w:rPr>
        <w:t xml:space="preserve"> obecně upraven Pravidly SFDI.</w:t>
      </w:r>
    </w:p>
    <w:p w:rsidR="00D70A0D" w:rsidRDefault="00D70A0D" w:rsidP="00CC7F8D">
      <w:pPr>
        <w:jc w:val="both"/>
        <w:rPr>
          <w:rFonts w:cs="Arial"/>
          <w:sz w:val="22"/>
          <w:szCs w:val="22"/>
        </w:rPr>
      </w:pPr>
    </w:p>
    <w:p w:rsidR="00CC7F8D" w:rsidRPr="00CC7F8D" w:rsidRDefault="00CC7F8D" w:rsidP="00CC7F8D">
      <w:pPr>
        <w:jc w:val="both"/>
        <w:rPr>
          <w:rFonts w:cs="Arial"/>
          <w:sz w:val="22"/>
          <w:szCs w:val="22"/>
        </w:rPr>
      </w:pPr>
    </w:p>
    <w:p w:rsidR="00212929" w:rsidRPr="00CC7F8D" w:rsidRDefault="00212929" w:rsidP="00CC7F8D">
      <w:pPr>
        <w:jc w:val="center"/>
        <w:rPr>
          <w:rFonts w:eastAsiaTheme="minorHAnsi" w:cs="Arial"/>
          <w:b/>
          <w:lang w:eastAsia="en-US"/>
        </w:rPr>
      </w:pPr>
      <w:r w:rsidRPr="00CC7F8D">
        <w:rPr>
          <w:rFonts w:eastAsiaTheme="minorHAnsi" w:cs="Arial"/>
          <w:b/>
          <w:lang w:eastAsia="en-US"/>
        </w:rPr>
        <w:t xml:space="preserve">III. </w:t>
      </w:r>
      <w:r w:rsidR="00EC3642" w:rsidRPr="00CC7F8D">
        <w:rPr>
          <w:rFonts w:eastAsiaTheme="minorHAnsi" w:cs="Arial"/>
          <w:b/>
          <w:lang w:eastAsia="en-US"/>
        </w:rPr>
        <w:t>Shrnutí</w:t>
      </w:r>
    </w:p>
    <w:p w:rsidR="005C37CF" w:rsidRPr="00CC7F8D" w:rsidRDefault="005C37CF" w:rsidP="00CC7F8D">
      <w:pPr>
        <w:jc w:val="both"/>
        <w:rPr>
          <w:rFonts w:eastAsiaTheme="minorHAnsi" w:cs="Arial"/>
          <w:sz w:val="22"/>
          <w:szCs w:val="22"/>
          <w:lang w:eastAsia="en-US"/>
        </w:rPr>
      </w:pPr>
    </w:p>
    <w:p w:rsidR="00DE5C92" w:rsidRDefault="00430902" w:rsidP="00CC7F8D">
      <w:pPr>
        <w:jc w:val="both"/>
        <w:rPr>
          <w:rFonts w:eastAsiaTheme="minorHAnsi" w:cs="Arial"/>
          <w:sz w:val="22"/>
          <w:szCs w:val="22"/>
          <w:lang w:eastAsia="en-US"/>
        </w:rPr>
      </w:pPr>
      <w:r w:rsidRPr="00CC7F8D">
        <w:rPr>
          <w:rFonts w:eastAsiaTheme="minorHAnsi" w:cs="Arial"/>
          <w:sz w:val="22"/>
          <w:szCs w:val="22"/>
          <w:lang w:eastAsia="en-US"/>
        </w:rPr>
        <w:t>NKÚ se v </w:t>
      </w:r>
      <w:r w:rsidR="006F46EC" w:rsidRPr="00CC7F8D">
        <w:rPr>
          <w:rFonts w:eastAsiaTheme="minorHAnsi" w:cs="Arial"/>
          <w:sz w:val="22"/>
          <w:szCs w:val="22"/>
          <w:lang w:eastAsia="en-US"/>
        </w:rPr>
        <w:t>kontrolní akci č. 13/14</w:t>
      </w:r>
      <w:r w:rsidRPr="00CC7F8D">
        <w:rPr>
          <w:rFonts w:eastAsiaTheme="minorHAnsi" w:cs="Arial"/>
          <w:sz w:val="22"/>
          <w:szCs w:val="22"/>
          <w:lang w:eastAsia="en-US"/>
        </w:rPr>
        <w:t xml:space="preserve"> zaměřil</w:t>
      </w:r>
      <w:r w:rsidR="00723732" w:rsidRPr="00CC7F8D">
        <w:rPr>
          <w:rFonts w:eastAsiaTheme="minorHAnsi" w:cs="Arial"/>
          <w:sz w:val="22"/>
          <w:szCs w:val="22"/>
          <w:lang w:eastAsia="en-US"/>
        </w:rPr>
        <w:t xml:space="preserve"> na postup </w:t>
      </w:r>
      <w:r w:rsidR="00DE5C92" w:rsidRPr="00CC7F8D">
        <w:rPr>
          <w:rFonts w:eastAsiaTheme="minorHAnsi" w:cs="Arial"/>
          <w:sz w:val="22"/>
          <w:szCs w:val="22"/>
          <w:lang w:eastAsia="en-US"/>
        </w:rPr>
        <w:t xml:space="preserve">modernizace, resp. </w:t>
      </w:r>
      <w:r w:rsidR="00723732" w:rsidRPr="00CC7F8D">
        <w:rPr>
          <w:rFonts w:eastAsiaTheme="minorHAnsi" w:cs="Arial"/>
          <w:sz w:val="22"/>
          <w:szCs w:val="22"/>
          <w:lang w:eastAsia="en-US"/>
        </w:rPr>
        <w:t xml:space="preserve">elektrizace železničních tratí mimo síť TEN-T. </w:t>
      </w:r>
    </w:p>
    <w:p w:rsidR="00CC7F8D" w:rsidRPr="00CC7F8D" w:rsidRDefault="00CC7F8D" w:rsidP="00CC7F8D">
      <w:pPr>
        <w:jc w:val="both"/>
        <w:rPr>
          <w:rFonts w:eastAsiaTheme="minorHAnsi" w:cs="Arial"/>
          <w:sz w:val="22"/>
          <w:szCs w:val="22"/>
          <w:lang w:eastAsia="en-US"/>
        </w:rPr>
      </w:pPr>
    </w:p>
    <w:p w:rsidR="00DE5C92" w:rsidRPr="00CC7F8D" w:rsidRDefault="00DE5C92" w:rsidP="00CC7F8D">
      <w:pPr>
        <w:jc w:val="both"/>
        <w:rPr>
          <w:rFonts w:eastAsiaTheme="minorHAnsi" w:cs="Arial"/>
          <w:sz w:val="22"/>
          <w:szCs w:val="22"/>
          <w:lang w:eastAsia="en-US"/>
        </w:rPr>
      </w:pPr>
      <w:r w:rsidRPr="00CC7F8D">
        <w:rPr>
          <w:rFonts w:eastAsiaTheme="minorHAnsi" w:cs="Arial"/>
          <w:sz w:val="22"/>
          <w:szCs w:val="22"/>
          <w:lang w:eastAsia="en-US"/>
        </w:rPr>
        <w:t>Kontrolou bylo zjištěno:</w:t>
      </w:r>
    </w:p>
    <w:p w:rsidR="00DE5C92" w:rsidRPr="00CC7F8D" w:rsidRDefault="00896139" w:rsidP="00CC7F8D">
      <w:pPr>
        <w:pStyle w:val="Odstavecseseznamem"/>
        <w:numPr>
          <w:ilvl w:val="0"/>
          <w:numId w:val="47"/>
        </w:numPr>
        <w:ind w:left="284" w:hanging="284"/>
        <w:jc w:val="both"/>
        <w:rPr>
          <w:rFonts w:eastAsiaTheme="minorHAnsi" w:cs="Arial"/>
          <w:sz w:val="22"/>
          <w:szCs w:val="22"/>
          <w:lang w:eastAsia="en-US"/>
        </w:rPr>
      </w:pPr>
      <w:r w:rsidRPr="00CC7F8D">
        <w:rPr>
          <w:rFonts w:eastAsiaTheme="minorHAnsi" w:cs="Arial"/>
          <w:sz w:val="22"/>
          <w:szCs w:val="22"/>
          <w:lang w:eastAsia="en-US"/>
        </w:rPr>
        <w:t xml:space="preserve">Schvalované rozpočty </w:t>
      </w:r>
      <w:r w:rsidR="00DE5C92" w:rsidRPr="00CC7F8D">
        <w:rPr>
          <w:rFonts w:eastAsiaTheme="minorHAnsi" w:cs="Arial"/>
          <w:sz w:val="22"/>
          <w:szCs w:val="22"/>
          <w:lang w:eastAsia="en-US"/>
        </w:rPr>
        <w:t xml:space="preserve">SFDI byly </w:t>
      </w:r>
      <w:r w:rsidR="00437030" w:rsidRPr="00CC7F8D">
        <w:rPr>
          <w:rFonts w:eastAsiaTheme="minorHAnsi" w:cs="Arial"/>
          <w:sz w:val="22"/>
          <w:szCs w:val="22"/>
          <w:lang w:eastAsia="en-US"/>
        </w:rPr>
        <w:t xml:space="preserve">vždy </w:t>
      </w:r>
      <w:r w:rsidRPr="00CC7F8D">
        <w:rPr>
          <w:rFonts w:eastAsiaTheme="minorHAnsi" w:cs="Arial"/>
          <w:sz w:val="22"/>
          <w:szCs w:val="22"/>
          <w:lang w:eastAsia="en-US"/>
        </w:rPr>
        <w:t xml:space="preserve">v průběhu daného roku </w:t>
      </w:r>
      <w:r w:rsidR="00437030" w:rsidRPr="00CC7F8D">
        <w:rPr>
          <w:rFonts w:eastAsiaTheme="minorHAnsi" w:cs="Arial"/>
          <w:sz w:val="22"/>
          <w:szCs w:val="22"/>
          <w:lang w:eastAsia="en-US"/>
        </w:rPr>
        <w:t xml:space="preserve">významně </w:t>
      </w:r>
      <w:r w:rsidR="00DE5C92" w:rsidRPr="00CC7F8D">
        <w:rPr>
          <w:rFonts w:eastAsiaTheme="minorHAnsi" w:cs="Arial"/>
          <w:sz w:val="22"/>
          <w:szCs w:val="22"/>
          <w:lang w:eastAsia="en-US"/>
        </w:rPr>
        <w:t xml:space="preserve">upravovány rozpočtovými opatřeními bez </w:t>
      </w:r>
      <w:r w:rsidR="006F46EC" w:rsidRPr="00CC7F8D">
        <w:rPr>
          <w:rFonts w:eastAsiaTheme="minorHAnsi" w:cs="Arial"/>
          <w:sz w:val="22"/>
          <w:szCs w:val="22"/>
          <w:lang w:eastAsia="en-US"/>
        </w:rPr>
        <w:t xml:space="preserve">odpovídajících </w:t>
      </w:r>
      <w:r w:rsidR="00DE5C92" w:rsidRPr="00CC7F8D">
        <w:rPr>
          <w:rFonts w:eastAsiaTheme="minorHAnsi" w:cs="Arial"/>
          <w:sz w:val="22"/>
          <w:szCs w:val="22"/>
          <w:lang w:eastAsia="en-US"/>
        </w:rPr>
        <w:t>zdůvodnění a vyhodnocení dopadů</w:t>
      </w:r>
      <w:r w:rsidR="00A362EC" w:rsidRPr="00CC7F8D">
        <w:rPr>
          <w:rFonts w:eastAsiaTheme="minorHAnsi" w:cs="Arial"/>
          <w:sz w:val="22"/>
          <w:szCs w:val="22"/>
          <w:lang w:eastAsia="en-US"/>
        </w:rPr>
        <w:t xml:space="preserve"> změn</w:t>
      </w:r>
      <w:r w:rsidR="00DE5C92" w:rsidRPr="00CC7F8D">
        <w:rPr>
          <w:rFonts w:eastAsiaTheme="minorHAnsi" w:cs="Arial"/>
          <w:sz w:val="22"/>
          <w:szCs w:val="22"/>
          <w:lang w:eastAsia="en-US"/>
        </w:rPr>
        <w:t>.</w:t>
      </w:r>
    </w:p>
    <w:p w:rsidR="00896139" w:rsidRPr="00CC7F8D" w:rsidRDefault="00896139" w:rsidP="00CC7F8D">
      <w:pPr>
        <w:pStyle w:val="Odstavecseseznamem"/>
        <w:numPr>
          <w:ilvl w:val="0"/>
          <w:numId w:val="47"/>
        </w:numPr>
        <w:ind w:left="284" w:hanging="284"/>
        <w:jc w:val="both"/>
        <w:rPr>
          <w:rFonts w:eastAsiaTheme="minorHAnsi" w:cs="Arial"/>
          <w:sz w:val="22"/>
          <w:szCs w:val="22"/>
          <w:lang w:eastAsia="en-US"/>
        </w:rPr>
      </w:pPr>
      <w:r w:rsidRPr="00CC7F8D">
        <w:rPr>
          <w:rFonts w:cs="Arial"/>
          <w:sz w:val="22"/>
          <w:szCs w:val="22"/>
        </w:rPr>
        <w:t>Podle</w:t>
      </w:r>
      <w:r w:rsidR="00CC7F8D">
        <w:rPr>
          <w:rFonts w:cs="Arial"/>
          <w:sz w:val="22"/>
          <w:szCs w:val="22"/>
        </w:rPr>
        <w:t xml:space="preserve"> </w:t>
      </w:r>
      <w:r w:rsidRPr="00CC7F8D">
        <w:rPr>
          <w:rFonts w:cs="Arial"/>
          <w:sz w:val="22"/>
          <w:szCs w:val="22"/>
        </w:rPr>
        <w:t>dosavadního průběhu čerpání podpory lze vyslovit důvodnou obavu, že plánovaná výše prostředků určených na podporu projektů rozvoje a modernizace železniční sítě mimo síť TEN-T v rámci prioritní osy 3 OPD nebude do konce programového období vyčerpána.</w:t>
      </w:r>
    </w:p>
    <w:p w:rsidR="00CC7F8D" w:rsidRDefault="00CC7F8D" w:rsidP="00CC7F8D">
      <w:pPr>
        <w:jc w:val="both"/>
        <w:rPr>
          <w:rFonts w:eastAsiaTheme="minorHAnsi" w:cs="Arial"/>
          <w:sz w:val="22"/>
          <w:szCs w:val="22"/>
          <w:lang w:eastAsia="en-US"/>
        </w:rPr>
      </w:pPr>
    </w:p>
    <w:p w:rsidR="00723732" w:rsidRPr="00CC7F8D" w:rsidRDefault="00723732" w:rsidP="00CC7F8D">
      <w:pPr>
        <w:jc w:val="both"/>
        <w:rPr>
          <w:rFonts w:eastAsiaTheme="minorHAnsi" w:cs="Arial"/>
          <w:sz w:val="22"/>
          <w:szCs w:val="22"/>
          <w:lang w:eastAsia="en-US"/>
        </w:rPr>
      </w:pPr>
      <w:r w:rsidRPr="00CC7F8D">
        <w:rPr>
          <w:rFonts w:eastAsiaTheme="minorHAnsi" w:cs="Arial"/>
          <w:sz w:val="22"/>
          <w:szCs w:val="22"/>
          <w:lang w:eastAsia="en-US"/>
        </w:rPr>
        <w:t>Zkontrol</w:t>
      </w:r>
      <w:r w:rsidR="00842888" w:rsidRPr="00CC7F8D">
        <w:rPr>
          <w:rFonts w:eastAsiaTheme="minorHAnsi" w:cs="Arial"/>
          <w:sz w:val="22"/>
          <w:szCs w:val="22"/>
          <w:lang w:eastAsia="en-US"/>
        </w:rPr>
        <w:t>o</w:t>
      </w:r>
      <w:r w:rsidRPr="00CC7F8D">
        <w:rPr>
          <w:rFonts w:eastAsiaTheme="minorHAnsi" w:cs="Arial"/>
          <w:sz w:val="22"/>
          <w:szCs w:val="22"/>
          <w:lang w:eastAsia="en-US"/>
        </w:rPr>
        <w:t xml:space="preserve">vány byly čtyři stavby </w:t>
      </w:r>
      <w:r w:rsidR="00842888" w:rsidRPr="00CC7F8D">
        <w:rPr>
          <w:rFonts w:eastAsiaTheme="minorHAnsi" w:cs="Arial"/>
          <w:sz w:val="22"/>
          <w:szCs w:val="22"/>
          <w:lang w:eastAsia="en-US"/>
        </w:rPr>
        <w:t>s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 xml:space="preserve"> celkovými investičními náklady ve výši </w:t>
      </w:r>
      <w:r w:rsidR="008144A9" w:rsidRPr="00CC7F8D">
        <w:rPr>
          <w:rFonts w:eastAsiaTheme="minorHAnsi" w:cs="Arial"/>
          <w:sz w:val="22"/>
          <w:szCs w:val="22"/>
          <w:lang w:eastAsia="en-US"/>
        </w:rPr>
        <w:t>6 911,4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 xml:space="preserve"> mil. </w:t>
      </w:r>
      <w:r w:rsidR="00516F25" w:rsidRPr="00CC7F8D">
        <w:rPr>
          <w:rFonts w:eastAsiaTheme="minorHAnsi" w:cs="Arial"/>
          <w:sz w:val="22"/>
          <w:szCs w:val="22"/>
          <w:lang w:eastAsia="en-US"/>
        </w:rPr>
        <w:t>Kč. D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 xml:space="preserve">alší </w:t>
      </w:r>
      <w:r w:rsidR="00516F25" w:rsidRPr="00CC7F8D">
        <w:rPr>
          <w:rFonts w:eastAsiaTheme="minorHAnsi" w:cs="Arial"/>
          <w:sz w:val="22"/>
          <w:szCs w:val="22"/>
          <w:lang w:eastAsia="en-US"/>
        </w:rPr>
        <w:t>čtyři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 xml:space="preserve"> projekty v různé fázi přípravy a realizace s celkovými investičními </w:t>
      </w:r>
      <w:r w:rsidR="009555E5" w:rsidRPr="00CC7F8D">
        <w:rPr>
          <w:rFonts w:eastAsiaTheme="minorHAnsi" w:cs="Arial"/>
          <w:sz w:val="22"/>
          <w:szCs w:val="22"/>
          <w:lang w:eastAsia="en-US"/>
        </w:rPr>
        <w:t xml:space="preserve">náklady 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>ve výši 4</w:t>
      </w:r>
      <w:r w:rsidR="008144A9" w:rsidRPr="00CC7F8D">
        <w:rPr>
          <w:rFonts w:eastAsiaTheme="minorHAnsi" w:cs="Arial"/>
          <w:sz w:val="22"/>
          <w:szCs w:val="22"/>
          <w:lang w:eastAsia="en-US"/>
        </w:rPr>
        <w:t> 768,9</w:t>
      </w:r>
      <w:r w:rsidR="00CB1AE4" w:rsidRPr="00CC7F8D">
        <w:rPr>
          <w:rFonts w:eastAsiaTheme="minorHAnsi" w:cs="Arial"/>
          <w:sz w:val="22"/>
          <w:szCs w:val="22"/>
          <w:lang w:eastAsia="en-US"/>
        </w:rPr>
        <w:t> 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>mil. Kč byly zkontrolovány na úrovni systému.</w:t>
      </w:r>
      <w:r w:rsidR="00842888" w:rsidRPr="00CC7F8D">
        <w:rPr>
          <w:rFonts w:eastAsiaTheme="minorHAnsi" w:cs="Arial"/>
          <w:sz w:val="22"/>
          <w:szCs w:val="22"/>
          <w:lang w:eastAsia="en-US"/>
        </w:rPr>
        <w:t xml:space="preserve"> </w:t>
      </w:r>
      <w:r w:rsidRPr="00CC7F8D">
        <w:rPr>
          <w:rFonts w:eastAsiaTheme="minorHAnsi" w:cs="Arial"/>
          <w:sz w:val="22"/>
          <w:szCs w:val="22"/>
          <w:lang w:eastAsia="en-US"/>
        </w:rPr>
        <w:t>NKÚ kontrolou uvedených staveb zjistil tyto skutečnosti:</w:t>
      </w:r>
    </w:p>
    <w:p w:rsidR="00212929" w:rsidRPr="00CC7F8D" w:rsidRDefault="00E676A9" w:rsidP="00CC7F8D">
      <w:pPr>
        <w:pStyle w:val="Odstavecseseznamem"/>
        <w:numPr>
          <w:ilvl w:val="0"/>
          <w:numId w:val="48"/>
        </w:numPr>
        <w:ind w:left="284" w:hanging="284"/>
        <w:jc w:val="both"/>
        <w:rPr>
          <w:rFonts w:eastAsiaTheme="minorHAnsi" w:cs="Arial"/>
          <w:sz w:val="22"/>
          <w:szCs w:val="22"/>
          <w:lang w:eastAsia="en-US"/>
        </w:rPr>
      </w:pPr>
      <w:r w:rsidRPr="00CC7F8D">
        <w:rPr>
          <w:rFonts w:eastAsiaTheme="minorHAnsi" w:cs="Arial"/>
          <w:sz w:val="22"/>
          <w:szCs w:val="22"/>
          <w:lang w:eastAsia="en-US"/>
        </w:rPr>
        <w:t xml:space="preserve">Použitý systém indikátorů a údajů ve </w:t>
      </w:r>
      <w:r w:rsidR="00E92AA0">
        <w:rPr>
          <w:rFonts w:eastAsiaTheme="minorHAnsi" w:cs="Arial"/>
          <w:sz w:val="22"/>
          <w:szCs w:val="22"/>
          <w:lang w:eastAsia="en-US"/>
        </w:rPr>
        <w:t>v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>ýroční zpráv</w:t>
      </w:r>
      <w:r w:rsidRPr="00CC7F8D">
        <w:rPr>
          <w:rFonts w:eastAsiaTheme="minorHAnsi" w:cs="Arial"/>
          <w:sz w:val="22"/>
          <w:szCs w:val="22"/>
          <w:lang w:eastAsia="en-US"/>
        </w:rPr>
        <w:t>ě</w:t>
      </w:r>
      <w:r w:rsidR="001A0B9F" w:rsidRPr="00CC7F8D">
        <w:rPr>
          <w:rFonts w:eastAsiaTheme="minorHAnsi" w:cs="Arial"/>
          <w:sz w:val="22"/>
          <w:szCs w:val="22"/>
          <w:lang w:eastAsia="en-US"/>
        </w:rPr>
        <w:t xml:space="preserve"> OPD </w:t>
      </w:r>
      <w:r w:rsidRPr="00CC7F8D">
        <w:rPr>
          <w:rFonts w:eastAsiaTheme="minorHAnsi" w:cs="Arial"/>
          <w:sz w:val="22"/>
          <w:szCs w:val="22"/>
          <w:lang w:eastAsia="en-US"/>
        </w:rPr>
        <w:t>není věrohodným podkladem pro objektivní vyhodnocení účelnosti a efektivnosti podpory poskytované z fondů EU.</w:t>
      </w:r>
      <w:r w:rsidR="00E62284" w:rsidRPr="00CC7F8D"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723732" w:rsidRPr="00CC7F8D" w:rsidRDefault="00842888" w:rsidP="00CC7F8D">
      <w:pPr>
        <w:pStyle w:val="Odstavecseseznamem"/>
        <w:numPr>
          <w:ilvl w:val="0"/>
          <w:numId w:val="48"/>
        </w:numPr>
        <w:ind w:left="284" w:hanging="284"/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 xml:space="preserve">Postup MD při rozhodování o průběhu </w:t>
      </w:r>
      <w:r w:rsidR="001A0B9F" w:rsidRPr="00CC7F8D">
        <w:rPr>
          <w:rFonts w:cs="Arial"/>
          <w:sz w:val="22"/>
          <w:szCs w:val="22"/>
        </w:rPr>
        <w:t xml:space="preserve">přípravy a </w:t>
      </w:r>
      <w:r w:rsidRPr="00CC7F8D">
        <w:rPr>
          <w:rFonts w:cs="Arial"/>
          <w:sz w:val="22"/>
          <w:szCs w:val="22"/>
        </w:rPr>
        <w:t>realizace projektů byl netransparentní.</w:t>
      </w:r>
    </w:p>
    <w:p w:rsidR="00842888" w:rsidRPr="00CC7F8D" w:rsidRDefault="00645FD5" w:rsidP="00CC7F8D">
      <w:pPr>
        <w:pStyle w:val="Odstavecseseznamem"/>
        <w:numPr>
          <w:ilvl w:val="0"/>
          <w:numId w:val="48"/>
        </w:numPr>
        <w:ind w:left="284" w:hanging="284"/>
        <w:jc w:val="both"/>
        <w:rPr>
          <w:rFonts w:cs="Arial"/>
          <w:sz w:val="22"/>
          <w:szCs w:val="22"/>
        </w:rPr>
      </w:pPr>
      <w:r w:rsidRPr="00CC7F8D">
        <w:rPr>
          <w:sz w:val="22"/>
          <w:szCs w:val="22"/>
        </w:rPr>
        <w:t xml:space="preserve">Celková cena stavby se skládá z ceny díla a z rezervní položky. </w:t>
      </w:r>
      <w:r w:rsidR="00FA2203" w:rsidRPr="00CC7F8D">
        <w:rPr>
          <w:rFonts w:cs="Arial"/>
          <w:sz w:val="22"/>
          <w:szCs w:val="22"/>
        </w:rPr>
        <w:t>Podle znění smluv o </w:t>
      </w:r>
      <w:r w:rsidR="008F0653" w:rsidRPr="00CC7F8D">
        <w:rPr>
          <w:rFonts w:cs="Arial"/>
          <w:sz w:val="22"/>
          <w:szCs w:val="22"/>
        </w:rPr>
        <w:t xml:space="preserve">dílo </w:t>
      </w:r>
      <w:r w:rsidR="00481511" w:rsidRPr="00CC7F8D">
        <w:rPr>
          <w:rFonts w:cs="Arial"/>
          <w:sz w:val="22"/>
          <w:szCs w:val="22"/>
        </w:rPr>
        <w:t xml:space="preserve">byly </w:t>
      </w:r>
      <w:r w:rsidR="008F0653" w:rsidRPr="00CC7F8D">
        <w:rPr>
          <w:rFonts w:cs="Arial"/>
          <w:sz w:val="22"/>
          <w:szCs w:val="22"/>
        </w:rPr>
        <w:t xml:space="preserve">rezervní </w:t>
      </w:r>
      <w:r w:rsidR="00481511" w:rsidRPr="00CC7F8D">
        <w:rPr>
          <w:rFonts w:cs="Arial"/>
          <w:sz w:val="22"/>
          <w:szCs w:val="22"/>
        </w:rPr>
        <w:t xml:space="preserve">položky chápány </w:t>
      </w:r>
      <w:r w:rsidR="008F0653" w:rsidRPr="00CC7F8D">
        <w:rPr>
          <w:rFonts w:cs="Arial"/>
          <w:sz w:val="22"/>
          <w:szCs w:val="22"/>
        </w:rPr>
        <w:t xml:space="preserve">jako součást </w:t>
      </w:r>
      <w:r w:rsidR="00481511" w:rsidRPr="00CC7F8D">
        <w:rPr>
          <w:rFonts w:cs="Arial"/>
          <w:sz w:val="22"/>
          <w:szCs w:val="22"/>
        </w:rPr>
        <w:t xml:space="preserve">celkových </w:t>
      </w:r>
      <w:r w:rsidR="008F0653" w:rsidRPr="00CC7F8D">
        <w:rPr>
          <w:rFonts w:cs="Arial"/>
          <w:sz w:val="22"/>
          <w:szCs w:val="22"/>
        </w:rPr>
        <w:t>smluvní</w:t>
      </w:r>
      <w:r w:rsidR="00481511" w:rsidRPr="00CC7F8D">
        <w:rPr>
          <w:rFonts w:cs="Arial"/>
          <w:sz w:val="22"/>
          <w:szCs w:val="22"/>
        </w:rPr>
        <w:t>ch</w:t>
      </w:r>
      <w:r w:rsidR="008F0653" w:rsidRPr="00CC7F8D">
        <w:rPr>
          <w:rFonts w:cs="Arial"/>
          <w:sz w:val="22"/>
          <w:szCs w:val="22"/>
        </w:rPr>
        <w:t xml:space="preserve"> cen díla</w:t>
      </w:r>
      <w:r w:rsidR="00481511" w:rsidRPr="00CC7F8D">
        <w:rPr>
          <w:rFonts w:cs="Arial"/>
          <w:sz w:val="22"/>
          <w:szCs w:val="22"/>
        </w:rPr>
        <w:t>, aniž by byl smlouvami specifikován způsob a podmínky jejich čerpání</w:t>
      </w:r>
      <w:r w:rsidR="008F0653" w:rsidRPr="00CC7F8D">
        <w:rPr>
          <w:rFonts w:cs="Arial"/>
          <w:sz w:val="22"/>
          <w:szCs w:val="22"/>
        </w:rPr>
        <w:t>.</w:t>
      </w:r>
    </w:p>
    <w:p w:rsidR="00CD0B9A" w:rsidRPr="00CC7F8D" w:rsidRDefault="001A0B9F" w:rsidP="00CC7F8D">
      <w:pPr>
        <w:pStyle w:val="Odstavecseseznamem"/>
        <w:numPr>
          <w:ilvl w:val="0"/>
          <w:numId w:val="48"/>
        </w:numPr>
        <w:ind w:left="284" w:hanging="284"/>
        <w:jc w:val="both"/>
        <w:rPr>
          <w:sz w:val="22"/>
          <w:szCs w:val="22"/>
        </w:rPr>
      </w:pPr>
      <w:r w:rsidRPr="00CC7F8D">
        <w:rPr>
          <w:sz w:val="22"/>
          <w:szCs w:val="22"/>
        </w:rPr>
        <w:t>Zadávání</w:t>
      </w:r>
      <w:r w:rsidR="00E676A9" w:rsidRPr="00CC7F8D">
        <w:rPr>
          <w:sz w:val="22"/>
          <w:szCs w:val="22"/>
        </w:rPr>
        <w:t>m</w:t>
      </w:r>
      <w:r w:rsidRPr="00CC7F8D">
        <w:rPr>
          <w:sz w:val="22"/>
          <w:szCs w:val="22"/>
        </w:rPr>
        <w:t xml:space="preserve"> dodatečných stavebních prací v JŘBU </w:t>
      </w:r>
      <w:r w:rsidR="00E676A9" w:rsidRPr="00CC7F8D">
        <w:rPr>
          <w:sz w:val="22"/>
          <w:szCs w:val="22"/>
        </w:rPr>
        <w:t>až po jejich provedení SŽDC pouze formálně naplnilo příslušné ustanovení zákona o veřejných zakázkách</w:t>
      </w:r>
      <w:r w:rsidR="00CD0B9A" w:rsidRPr="00CC7F8D">
        <w:rPr>
          <w:sz w:val="22"/>
          <w:szCs w:val="22"/>
        </w:rPr>
        <w:t>.</w:t>
      </w:r>
    </w:p>
    <w:p w:rsidR="00CD0B9A" w:rsidRPr="00CC7F8D" w:rsidRDefault="00CD0B9A" w:rsidP="00CC7F8D">
      <w:pPr>
        <w:pStyle w:val="Odstavecseseznamem"/>
        <w:numPr>
          <w:ilvl w:val="0"/>
          <w:numId w:val="48"/>
        </w:numPr>
        <w:ind w:left="284" w:hanging="284"/>
        <w:jc w:val="both"/>
        <w:rPr>
          <w:rFonts w:eastAsiaTheme="minorHAnsi" w:cs="Arial"/>
          <w:sz w:val="22"/>
          <w:szCs w:val="22"/>
          <w:lang w:eastAsia="en-US"/>
        </w:rPr>
      </w:pPr>
      <w:r w:rsidRPr="00CC7F8D">
        <w:rPr>
          <w:sz w:val="22"/>
          <w:szCs w:val="22"/>
        </w:rPr>
        <w:t>Problematika výzisků je upravena pouze obecně v Pravidlech SFDI a měla by bý</w:t>
      </w:r>
      <w:r w:rsidR="001A0B9F" w:rsidRPr="00CC7F8D">
        <w:rPr>
          <w:sz w:val="22"/>
          <w:szCs w:val="22"/>
        </w:rPr>
        <w:t>t komplexně metodicky dořešena.</w:t>
      </w:r>
    </w:p>
    <w:p w:rsidR="001A0B9F" w:rsidRDefault="001A0B9F" w:rsidP="00CC7F8D">
      <w:pPr>
        <w:jc w:val="both"/>
        <w:rPr>
          <w:rFonts w:cs="Arial"/>
          <w:sz w:val="22"/>
          <w:szCs w:val="22"/>
        </w:rPr>
      </w:pPr>
    </w:p>
    <w:p w:rsidR="00CC7F8D" w:rsidRPr="00CC7F8D" w:rsidRDefault="00CC7F8D" w:rsidP="00CC7F8D">
      <w:pPr>
        <w:jc w:val="both"/>
        <w:rPr>
          <w:rFonts w:cs="Arial"/>
          <w:sz w:val="22"/>
          <w:szCs w:val="22"/>
        </w:rPr>
      </w:pPr>
    </w:p>
    <w:p w:rsidR="00D3077A" w:rsidRPr="00CC7F8D" w:rsidRDefault="00183C89" w:rsidP="00CC7F8D">
      <w:pPr>
        <w:jc w:val="center"/>
        <w:rPr>
          <w:rFonts w:cs="Arial"/>
          <w:b/>
        </w:rPr>
      </w:pPr>
      <w:r w:rsidRPr="00CC7F8D">
        <w:rPr>
          <w:rFonts w:cs="Arial"/>
          <w:b/>
        </w:rPr>
        <w:t>IV. Vyhodnocení</w:t>
      </w:r>
    </w:p>
    <w:p w:rsidR="005C37CF" w:rsidRPr="00CC7F8D" w:rsidRDefault="005C37CF" w:rsidP="00CC7F8D">
      <w:pPr>
        <w:jc w:val="both"/>
        <w:rPr>
          <w:rFonts w:cs="Arial"/>
          <w:b/>
          <w:sz w:val="22"/>
          <w:szCs w:val="22"/>
        </w:rPr>
      </w:pPr>
    </w:p>
    <w:p w:rsidR="00D3077A" w:rsidRDefault="00037EA3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 xml:space="preserve">Cílem financování staveb je efektivní čerpání </w:t>
      </w:r>
      <w:r w:rsidR="00D70A0D" w:rsidRPr="00CC7F8D">
        <w:rPr>
          <w:rFonts w:cs="Arial"/>
          <w:sz w:val="22"/>
          <w:szCs w:val="22"/>
        </w:rPr>
        <w:t xml:space="preserve">přidělených </w:t>
      </w:r>
      <w:r w:rsidRPr="00CC7F8D">
        <w:rPr>
          <w:rFonts w:cs="Arial"/>
          <w:sz w:val="22"/>
          <w:szCs w:val="22"/>
        </w:rPr>
        <w:t xml:space="preserve">prostředků s co největším dopadem </w:t>
      </w:r>
      <w:r w:rsidR="00E92AA0">
        <w:rPr>
          <w:rFonts w:cs="Arial"/>
          <w:sz w:val="22"/>
          <w:szCs w:val="22"/>
        </w:rPr>
        <w:t>na</w:t>
      </w:r>
      <w:r w:rsidRPr="00CC7F8D">
        <w:rPr>
          <w:rFonts w:cs="Arial"/>
          <w:sz w:val="22"/>
          <w:szCs w:val="22"/>
        </w:rPr>
        <w:t xml:space="preserve"> zkvalitňování dopravní infrastruktury. </w:t>
      </w:r>
      <w:r w:rsidR="000A53C8" w:rsidRPr="00CC7F8D">
        <w:rPr>
          <w:rFonts w:cs="Arial"/>
          <w:sz w:val="22"/>
          <w:szCs w:val="22"/>
        </w:rPr>
        <w:t xml:space="preserve">NKÚ v této kontrolní akci </w:t>
      </w:r>
      <w:r w:rsidR="00E51430" w:rsidRPr="00CC7F8D">
        <w:rPr>
          <w:rFonts w:cs="Arial"/>
          <w:sz w:val="22"/>
          <w:szCs w:val="22"/>
        </w:rPr>
        <w:t xml:space="preserve">mj. </w:t>
      </w:r>
      <w:r w:rsidR="000A53C8" w:rsidRPr="00CC7F8D">
        <w:rPr>
          <w:rFonts w:cs="Arial"/>
          <w:sz w:val="22"/>
          <w:szCs w:val="22"/>
        </w:rPr>
        <w:t xml:space="preserve">upozornil na výrazné snižování skutečně čerpaných peněžních prostředků proti rozpočtům SFDI </w:t>
      </w:r>
      <w:r w:rsidR="00481511" w:rsidRPr="00CC7F8D">
        <w:rPr>
          <w:rFonts w:cs="Arial"/>
          <w:sz w:val="22"/>
          <w:szCs w:val="22"/>
        </w:rPr>
        <w:t xml:space="preserve">schváleným </w:t>
      </w:r>
      <w:r w:rsidR="000A53C8" w:rsidRPr="00CC7F8D">
        <w:rPr>
          <w:rFonts w:cs="Arial"/>
          <w:sz w:val="22"/>
          <w:szCs w:val="22"/>
        </w:rPr>
        <w:t xml:space="preserve">Poslaneckou sněmovnou </w:t>
      </w:r>
      <w:r w:rsidR="004B15A7" w:rsidRPr="00CC7F8D">
        <w:rPr>
          <w:rFonts w:cs="Arial"/>
          <w:sz w:val="22"/>
          <w:szCs w:val="22"/>
        </w:rPr>
        <w:t xml:space="preserve">Parlamentu ČR </w:t>
      </w:r>
      <w:r w:rsidR="000A53C8" w:rsidRPr="00CC7F8D">
        <w:rPr>
          <w:rFonts w:cs="Arial"/>
          <w:sz w:val="22"/>
          <w:szCs w:val="22"/>
        </w:rPr>
        <w:t>v posledních letech</w:t>
      </w:r>
      <w:r w:rsidR="00E51430" w:rsidRPr="00CC7F8D">
        <w:rPr>
          <w:rFonts w:cs="Arial"/>
          <w:sz w:val="22"/>
          <w:szCs w:val="22"/>
        </w:rPr>
        <w:t xml:space="preserve"> a na to, že</w:t>
      </w:r>
      <w:r w:rsidR="000A53C8" w:rsidRPr="00CC7F8D">
        <w:rPr>
          <w:rFonts w:cs="Arial"/>
          <w:sz w:val="22"/>
          <w:szCs w:val="22"/>
        </w:rPr>
        <w:t xml:space="preserve"> ekonomicko-společensk</w:t>
      </w:r>
      <w:r w:rsidR="00BB1413" w:rsidRPr="00CC7F8D">
        <w:rPr>
          <w:rFonts w:cs="Arial"/>
          <w:sz w:val="22"/>
          <w:szCs w:val="22"/>
        </w:rPr>
        <w:t>á</w:t>
      </w:r>
      <w:r w:rsidR="000A53C8" w:rsidRPr="00CC7F8D">
        <w:rPr>
          <w:rFonts w:cs="Arial"/>
          <w:sz w:val="22"/>
          <w:szCs w:val="22"/>
        </w:rPr>
        <w:t xml:space="preserve"> hodnocení již čerpaných prostředků</w:t>
      </w:r>
      <w:r w:rsidR="00091998" w:rsidRPr="00CC7F8D">
        <w:rPr>
          <w:rFonts w:cs="Arial"/>
          <w:sz w:val="22"/>
          <w:szCs w:val="22"/>
        </w:rPr>
        <w:t xml:space="preserve"> vykazuj</w:t>
      </w:r>
      <w:r w:rsidR="00BB1413" w:rsidRPr="00CC7F8D">
        <w:rPr>
          <w:rFonts w:cs="Arial"/>
          <w:sz w:val="22"/>
          <w:szCs w:val="22"/>
        </w:rPr>
        <w:t>í</w:t>
      </w:r>
      <w:r w:rsidR="00CC7F8D">
        <w:rPr>
          <w:rFonts w:cs="Arial"/>
          <w:sz w:val="22"/>
          <w:szCs w:val="22"/>
        </w:rPr>
        <w:t xml:space="preserve"> nedostatky.</w:t>
      </w:r>
    </w:p>
    <w:p w:rsidR="00CC7F8D" w:rsidRPr="00CC7F8D" w:rsidRDefault="00CC7F8D" w:rsidP="00CC7F8D">
      <w:pPr>
        <w:jc w:val="both"/>
        <w:rPr>
          <w:rFonts w:cs="Arial"/>
          <w:sz w:val="22"/>
          <w:szCs w:val="22"/>
        </w:rPr>
      </w:pPr>
    </w:p>
    <w:p w:rsidR="00091998" w:rsidRPr="00CC7F8D" w:rsidRDefault="00091998" w:rsidP="00CC7F8D">
      <w:pPr>
        <w:jc w:val="both"/>
        <w:rPr>
          <w:rFonts w:cs="Arial"/>
          <w:sz w:val="22"/>
          <w:szCs w:val="22"/>
        </w:rPr>
      </w:pPr>
      <w:r w:rsidRPr="00CC7F8D">
        <w:rPr>
          <w:rFonts w:cs="Arial"/>
          <w:sz w:val="22"/>
          <w:szCs w:val="22"/>
        </w:rPr>
        <w:t xml:space="preserve">Dále NKÚ konstatuje, že na kontrolovaných stavbách </w:t>
      </w:r>
      <w:r w:rsidR="00EB7FFA" w:rsidRPr="00CC7F8D">
        <w:rPr>
          <w:rFonts w:cs="Arial"/>
          <w:sz w:val="22"/>
          <w:szCs w:val="22"/>
        </w:rPr>
        <w:t xml:space="preserve">přetrvávaly </w:t>
      </w:r>
      <w:r w:rsidRPr="00CC7F8D">
        <w:rPr>
          <w:rFonts w:cs="Arial"/>
          <w:sz w:val="22"/>
          <w:szCs w:val="22"/>
        </w:rPr>
        <w:t>nedostatky typu nekoncepčního přístupu k financování investičních staveb, či nevyjasnění kompetencí MD, SFDI a příjemců při rozhodování o přípravě a realizaci staveb.</w:t>
      </w:r>
      <w:r w:rsidR="00EB7FFA" w:rsidRPr="00CC7F8D">
        <w:rPr>
          <w:rFonts w:cs="Arial"/>
          <w:sz w:val="22"/>
          <w:szCs w:val="22"/>
        </w:rPr>
        <w:t xml:space="preserve"> </w:t>
      </w:r>
    </w:p>
    <w:sectPr w:rsidR="00091998" w:rsidRPr="00CC7F8D" w:rsidSect="000768EE">
      <w:footerReference w:type="default" r:id="rId14"/>
      <w:pgSz w:w="11906" w:h="16838"/>
      <w:pgMar w:top="1418" w:right="1418" w:bottom="1418" w:left="141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EA" w:rsidRDefault="006552EA">
      <w:r>
        <w:separator/>
      </w:r>
    </w:p>
  </w:endnote>
  <w:endnote w:type="continuationSeparator" w:id="0">
    <w:p w:rsidR="006552EA" w:rsidRDefault="0065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OLUMDB+Helvetica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EA" w:rsidRPr="001C4863" w:rsidRDefault="006552EA">
    <w:pPr>
      <w:pStyle w:val="Zpat"/>
      <w:jc w:val="center"/>
      <w:rPr>
        <w:rFonts w:cs="Arial"/>
        <w:sz w:val="22"/>
        <w:szCs w:val="22"/>
      </w:rPr>
    </w:pPr>
    <w:r w:rsidRPr="001C4863">
      <w:rPr>
        <w:rFonts w:cs="Arial"/>
        <w:sz w:val="22"/>
        <w:szCs w:val="22"/>
      </w:rPr>
      <w:fldChar w:fldCharType="begin"/>
    </w:r>
    <w:r w:rsidRPr="001C4863">
      <w:rPr>
        <w:rFonts w:cs="Arial"/>
        <w:sz w:val="22"/>
        <w:szCs w:val="22"/>
      </w:rPr>
      <w:instrText xml:space="preserve"> PAGE   \* MERGEFORMAT </w:instrText>
    </w:r>
    <w:r w:rsidRPr="001C4863">
      <w:rPr>
        <w:rFonts w:cs="Arial"/>
        <w:sz w:val="22"/>
        <w:szCs w:val="22"/>
      </w:rPr>
      <w:fldChar w:fldCharType="separate"/>
    </w:r>
    <w:r w:rsidR="00E34448">
      <w:rPr>
        <w:rFonts w:cs="Arial"/>
        <w:noProof/>
        <w:sz w:val="22"/>
        <w:szCs w:val="22"/>
      </w:rPr>
      <w:t>3</w:t>
    </w:r>
    <w:r w:rsidRPr="001C4863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EA" w:rsidRDefault="006552EA">
      <w:r>
        <w:separator/>
      </w:r>
    </w:p>
  </w:footnote>
  <w:footnote w:type="continuationSeparator" w:id="0">
    <w:p w:rsidR="006552EA" w:rsidRDefault="006552EA">
      <w:r>
        <w:continuationSeparator/>
      </w:r>
    </w:p>
  </w:footnote>
  <w:footnote w:id="1">
    <w:p w:rsidR="006552EA" w:rsidRPr="00620AEA" w:rsidRDefault="006552EA" w:rsidP="00620AEA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rFonts w:cs="Arial"/>
          <w:sz w:val="18"/>
          <w:szCs w:val="18"/>
        </w:rPr>
        <w:t>TEN-T</w:t>
      </w:r>
      <w:r>
        <w:rPr>
          <w:rFonts w:cs="Arial"/>
          <w:sz w:val="18"/>
          <w:szCs w:val="18"/>
        </w:rPr>
        <w:t xml:space="preserve"> =</w:t>
      </w:r>
      <w:r w:rsidRPr="00620AEA">
        <w:rPr>
          <w:rFonts w:cs="Arial"/>
          <w:sz w:val="18"/>
          <w:szCs w:val="18"/>
        </w:rPr>
        <w:t xml:space="preserve"> </w:t>
      </w:r>
      <w:r w:rsidRPr="0026697D">
        <w:rPr>
          <w:rFonts w:cs="Arial"/>
          <w:i/>
          <w:sz w:val="18"/>
          <w:szCs w:val="18"/>
        </w:rPr>
        <w:t>Trans European Network – Transport</w:t>
      </w:r>
      <w:r w:rsidRPr="00620AEA">
        <w:rPr>
          <w:rFonts w:cs="Arial"/>
          <w:sz w:val="18"/>
          <w:szCs w:val="18"/>
        </w:rPr>
        <w:t>. Program TEN-T je určen pro rozvoj transevropské dopravní sítě</w:t>
      </w:r>
      <w:r>
        <w:rPr>
          <w:rFonts w:cs="Arial"/>
          <w:sz w:val="18"/>
          <w:szCs w:val="18"/>
        </w:rPr>
        <w:t>.</w:t>
      </w:r>
      <w:r w:rsidRPr="00620AEA">
        <w:rPr>
          <w:rFonts w:cs="Arial"/>
          <w:sz w:val="18"/>
          <w:szCs w:val="18"/>
        </w:rPr>
        <w:t xml:space="preserve"> (Rozhodnutí č. 1692/96/CE Evropského parlamentu a Rady z 23. července 1996 </w:t>
      </w:r>
      <w:r w:rsidRPr="00620AEA">
        <w:rPr>
          <w:rFonts w:cs="Arial"/>
          <w:i/>
          <w:sz w:val="18"/>
          <w:szCs w:val="18"/>
        </w:rPr>
        <w:t>o obecných postupech Společenství pro rozvoj transevropské dopravní sítě,</w:t>
      </w:r>
      <w:r w:rsidRPr="00620AEA">
        <w:rPr>
          <w:rFonts w:cs="Arial"/>
          <w:sz w:val="18"/>
          <w:szCs w:val="18"/>
        </w:rPr>
        <w:t xml:space="preserve"> ve znění po úpravě </w:t>
      </w:r>
      <w:r>
        <w:rPr>
          <w:rFonts w:cs="Arial"/>
          <w:sz w:val="18"/>
          <w:szCs w:val="18"/>
        </w:rPr>
        <w:t>r</w:t>
      </w:r>
      <w:r w:rsidRPr="00620AEA">
        <w:rPr>
          <w:rFonts w:cs="Arial"/>
          <w:sz w:val="18"/>
          <w:szCs w:val="18"/>
        </w:rPr>
        <w:t xml:space="preserve">ozhodnutím č. 884/2004 Evropského parlamentu a Rady z 29. dubna 2004 </w:t>
      </w:r>
      <w:r>
        <w:rPr>
          <w:rFonts w:cs="Arial"/>
          <w:sz w:val="18"/>
          <w:szCs w:val="18"/>
        </w:rPr>
        <w:t>[</w:t>
      </w:r>
      <w:r w:rsidRPr="00620AEA">
        <w:rPr>
          <w:rFonts w:cs="Arial"/>
          <w:sz w:val="18"/>
          <w:szCs w:val="18"/>
        </w:rPr>
        <w:t>OJ L 228 z 9. září 1996 a OJ L 201 ze 7. června 2004</w:t>
      </w:r>
      <w:r>
        <w:rPr>
          <w:rFonts w:cs="Arial"/>
          <w:sz w:val="18"/>
          <w:szCs w:val="18"/>
        </w:rPr>
        <w:t>]</w:t>
      </w:r>
      <w:r w:rsidRPr="00620AEA">
        <w:rPr>
          <w:rFonts w:cs="Arial"/>
          <w:sz w:val="18"/>
          <w:szCs w:val="18"/>
        </w:rPr>
        <w:t>).</w:t>
      </w:r>
    </w:p>
  </w:footnote>
  <w:footnote w:id="2">
    <w:p w:rsidR="006552EA" w:rsidRPr="00620AEA" w:rsidRDefault="006552EA" w:rsidP="00620AEA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620AEA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620AEA">
        <w:rPr>
          <w:rFonts w:cs="Arial"/>
          <w:sz w:val="18"/>
          <w:szCs w:val="18"/>
        </w:rPr>
        <w:t xml:space="preserve">§ 17 zákona č. 2/1969 Sb., </w:t>
      </w:r>
      <w:r w:rsidRPr="0026697D">
        <w:rPr>
          <w:rFonts w:cs="Arial"/>
          <w:sz w:val="18"/>
          <w:szCs w:val="18"/>
        </w:rPr>
        <w:t>o zřízení ministerstev a jiných ústředních orgánů státní správy České republiky</w:t>
      </w:r>
      <w:r w:rsidRPr="003E1D5D">
        <w:rPr>
          <w:rFonts w:cs="Arial"/>
          <w:sz w:val="18"/>
          <w:szCs w:val="18"/>
        </w:rPr>
        <w:t>.</w:t>
      </w:r>
    </w:p>
  </w:footnote>
  <w:footnote w:id="3">
    <w:p w:rsidR="006552EA" w:rsidRPr="00620AEA" w:rsidRDefault="006552EA" w:rsidP="00620AEA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620AEA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620AEA">
        <w:rPr>
          <w:rFonts w:cs="Arial"/>
          <w:sz w:val="18"/>
          <w:szCs w:val="18"/>
        </w:rPr>
        <w:t xml:space="preserve">Operační program </w:t>
      </w:r>
      <w:r w:rsidRPr="0026697D">
        <w:rPr>
          <w:rFonts w:cs="Arial"/>
          <w:i/>
          <w:sz w:val="18"/>
          <w:szCs w:val="18"/>
        </w:rPr>
        <w:t>Doprava</w:t>
      </w:r>
      <w:r w:rsidRPr="00620AEA">
        <w:rPr>
          <w:rFonts w:cs="Arial"/>
          <w:sz w:val="18"/>
          <w:szCs w:val="18"/>
        </w:rPr>
        <w:t xml:space="preserve"> byl schválen </w:t>
      </w:r>
      <w:r>
        <w:rPr>
          <w:rFonts w:cs="Arial"/>
          <w:sz w:val="18"/>
          <w:szCs w:val="18"/>
        </w:rPr>
        <w:t>r</w:t>
      </w:r>
      <w:r w:rsidRPr="00620AEA">
        <w:rPr>
          <w:rFonts w:cs="Arial"/>
          <w:sz w:val="18"/>
          <w:szCs w:val="18"/>
        </w:rPr>
        <w:t>ozhodnutím Evropské komise K(2007)6367 ze dne 10. </w:t>
      </w:r>
      <w:r>
        <w:rPr>
          <w:rFonts w:cs="Arial"/>
          <w:sz w:val="18"/>
          <w:szCs w:val="18"/>
        </w:rPr>
        <w:t>p</w:t>
      </w:r>
      <w:r w:rsidRPr="00620AEA">
        <w:rPr>
          <w:rFonts w:cs="Arial"/>
          <w:sz w:val="18"/>
          <w:szCs w:val="18"/>
        </w:rPr>
        <w:t>rosince</w:t>
      </w:r>
      <w:r>
        <w:rPr>
          <w:rFonts w:cs="Arial"/>
          <w:sz w:val="18"/>
          <w:szCs w:val="18"/>
        </w:rPr>
        <w:t> </w:t>
      </w:r>
      <w:r w:rsidRPr="00620AEA">
        <w:rPr>
          <w:rFonts w:cs="Arial"/>
          <w:sz w:val="18"/>
          <w:szCs w:val="18"/>
        </w:rPr>
        <w:t xml:space="preserve">2007 a revidován </w:t>
      </w:r>
      <w:r>
        <w:rPr>
          <w:rFonts w:cs="Arial"/>
          <w:sz w:val="18"/>
          <w:szCs w:val="18"/>
        </w:rPr>
        <w:t>r</w:t>
      </w:r>
      <w:r w:rsidRPr="00620AEA">
        <w:rPr>
          <w:rFonts w:cs="Arial"/>
          <w:sz w:val="18"/>
          <w:szCs w:val="18"/>
        </w:rPr>
        <w:t>ozhodnutím Evropské komise K(2009)1</w:t>
      </w:r>
      <w:r>
        <w:rPr>
          <w:rFonts w:cs="Arial"/>
          <w:sz w:val="18"/>
          <w:szCs w:val="18"/>
        </w:rPr>
        <w:t>0533 ze dne 18. prosince 2009 a r</w:t>
      </w:r>
      <w:r w:rsidRPr="00620AEA">
        <w:rPr>
          <w:rFonts w:cs="Arial"/>
          <w:sz w:val="18"/>
          <w:szCs w:val="18"/>
        </w:rPr>
        <w:t>ozhodnutím Evropské komise K(2011)9974 ze dne 22. prosince 2011.</w:t>
      </w:r>
    </w:p>
  </w:footnote>
  <w:footnote w:id="4">
    <w:p w:rsidR="006552EA" w:rsidRPr="00A86BC6" w:rsidRDefault="006552EA" w:rsidP="00620AEA">
      <w:pPr>
        <w:pStyle w:val="Textpoznpodarou"/>
        <w:ind w:left="284" w:hanging="284"/>
        <w:jc w:val="both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 xml:space="preserve">Zákon č. 104/2000 Sb., </w:t>
      </w:r>
      <w:r w:rsidRPr="00D958EF">
        <w:rPr>
          <w:sz w:val="18"/>
          <w:szCs w:val="18"/>
        </w:rPr>
        <w:t>o Státním fondu dopravní infrastruktury a o změně zákona č. 171/1991 Sb., o působnosti orgánů České republiky ve věcech převodů majetku státu na jiné osoby a o Fondu národního majetku České republiky, ve znění pozdějších předpisů</w:t>
      </w:r>
      <w:r w:rsidRPr="00A86BC6">
        <w:rPr>
          <w:sz w:val="18"/>
          <w:szCs w:val="18"/>
        </w:rPr>
        <w:t>.</w:t>
      </w:r>
    </w:p>
  </w:footnote>
  <w:footnote w:id="5">
    <w:p w:rsidR="006552EA" w:rsidRPr="00A86BC6" w:rsidRDefault="006552EA" w:rsidP="00620AEA">
      <w:pPr>
        <w:pStyle w:val="Textpoznpodarou"/>
        <w:ind w:left="284" w:hanging="284"/>
        <w:jc w:val="both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 xml:space="preserve">Zákon č. 77/2002 Sb., </w:t>
      </w:r>
      <w:r w:rsidRPr="00D958EF">
        <w:rPr>
          <w:sz w:val="18"/>
          <w:szCs w:val="18"/>
        </w:rPr>
        <w:t>o akciové společnosti České dráhy, státní organizaci Správa železniční dopravní cesty a o změně zákona č. 266/1994 Sb., o dráhách, ve znění pozdějších předpisů, a zákona č. 77/1997 Sb., o státním podniku, ve znění pozdějších předpisů</w:t>
      </w:r>
      <w:r w:rsidRPr="00A86BC6">
        <w:rPr>
          <w:sz w:val="18"/>
          <w:szCs w:val="18"/>
        </w:rPr>
        <w:t>.</w:t>
      </w:r>
    </w:p>
  </w:footnote>
  <w:footnote w:id="6">
    <w:p w:rsidR="006552EA" w:rsidRPr="00620AEA" w:rsidRDefault="006552EA" w:rsidP="00620AEA">
      <w:pPr>
        <w:pStyle w:val="Textpoznpodarou"/>
        <w:ind w:left="284" w:hanging="284"/>
        <w:jc w:val="both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>K</w:t>
      </w:r>
      <w:r w:rsidRPr="00620AEA">
        <w:rPr>
          <w:rFonts w:cs="Arial"/>
          <w:sz w:val="18"/>
          <w:szCs w:val="18"/>
        </w:rPr>
        <w:t xml:space="preserve">ontrolní závěr z kontrolní akce č. 12/11 byl zveřejněn </w:t>
      </w:r>
      <w:r w:rsidRPr="00620AEA">
        <w:rPr>
          <w:sz w:val="18"/>
          <w:szCs w:val="18"/>
        </w:rPr>
        <w:t xml:space="preserve">v částce č. 01/2013 </w:t>
      </w:r>
      <w:r w:rsidRPr="00D958EF">
        <w:rPr>
          <w:i/>
          <w:sz w:val="18"/>
          <w:szCs w:val="18"/>
        </w:rPr>
        <w:t>Věstníku NKÚ</w:t>
      </w:r>
      <w:r w:rsidRPr="00620AEA">
        <w:rPr>
          <w:sz w:val="18"/>
          <w:szCs w:val="18"/>
        </w:rPr>
        <w:t>.</w:t>
      </w:r>
    </w:p>
  </w:footnote>
  <w:footnote w:id="7">
    <w:p w:rsidR="006552EA" w:rsidRPr="00620AEA" w:rsidRDefault="006552EA" w:rsidP="00620AEA">
      <w:pPr>
        <w:pStyle w:val="Textpoznpodarou"/>
        <w:ind w:left="284" w:hanging="284"/>
        <w:jc w:val="both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>K</w:t>
      </w:r>
      <w:r w:rsidRPr="00620AEA">
        <w:rPr>
          <w:rFonts w:cs="Arial"/>
          <w:sz w:val="18"/>
          <w:szCs w:val="18"/>
        </w:rPr>
        <w:t xml:space="preserve">ontrolní závěr z kontrolní akce č. 09/19 byl zveřejněn </w:t>
      </w:r>
      <w:r w:rsidRPr="00620AEA">
        <w:rPr>
          <w:sz w:val="18"/>
          <w:szCs w:val="18"/>
        </w:rPr>
        <w:t xml:space="preserve">v částce č. 02/2010 </w:t>
      </w:r>
      <w:r w:rsidRPr="00D958EF">
        <w:rPr>
          <w:i/>
          <w:sz w:val="18"/>
          <w:szCs w:val="18"/>
        </w:rPr>
        <w:t>Věstníku NKÚ</w:t>
      </w:r>
      <w:r w:rsidRPr="00620AEA">
        <w:rPr>
          <w:sz w:val="18"/>
          <w:szCs w:val="18"/>
        </w:rPr>
        <w:t>.</w:t>
      </w:r>
    </w:p>
  </w:footnote>
  <w:footnote w:id="8">
    <w:p w:rsidR="006552EA" w:rsidRPr="00620AEA" w:rsidRDefault="006552EA" w:rsidP="00620AEA">
      <w:pPr>
        <w:pStyle w:val="Textpoznpodarou"/>
        <w:ind w:left="284" w:hanging="284"/>
        <w:jc w:val="both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>K</w:t>
      </w:r>
      <w:r w:rsidRPr="00620AEA">
        <w:rPr>
          <w:rFonts w:cs="Arial"/>
          <w:sz w:val="18"/>
          <w:szCs w:val="18"/>
        </w:rPr>
        <w:t xml:space="preserve">ontrolní závěr z kontrolní akce č. 09/27 byl zveřejněn </w:t>
      </w:r>
      <w:r w:rsidRPr="00620AEA">
        <w:rPr>
          <w:sz w:val="18"/>
          <w:szCs w:val="18"/>
        </w:rPr>
        <w:t xml:space="preserve">v částce č. 04/2010 </w:t>
      </w:r>
      <w:r w:rsidRPr="00D958EF">
        <w:rPr>
          <w:i/>
          <w:sz w:val="18"/>
          <w:szCs w:val="18"/>
        </w:rPr>
        <w:t>Věstníku NKÚ</w:t>
      </w:r>
      <w:r w:rsidRPr="00620AEA">
        <w:rPr>
          <w:sz w:val="18"/>
          <w:szCs w:val="18"/>
        </w:rPr>
        <w:t>.</w:t>
      </w:r>
    </w:p>
  </w:footnote>
  <w:footnote w:id="9">
    <w:p w:rsidR="006552EA" w:rsidRPr="00620AEA" w:rsidRDefault="006552EA" w:rsidP="00620AEA">
      <w:pPr>
        <w:pStyle w:val="Textpoznpodarou"/>
        <w:ind w:left="284" w:hanging="284"/>
        <w:jc w:val="both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>K</w:t>
      </w:r>
      <w:r w:rsidRPr="00620AEA">
        <w:rPr>
          <w:rFonts w:cs="Arial"/>
          <w:sz w:val="18"/>
          <w:szCs w:val="18"/>
        </w:rPr>
        <w:t xml:space="preserve">ontrolní závěr z kontrolní akce č. 12/18 byl zveřejněn </w:t>
      </w:r>
      <w:r w:rsidRPr="00620AEA">
        <w:rPr>
          <w:sz w:val="18"/>
          <w:szCs w:val="18"/>
        </w:rPr>
        <w:t xml:space="preserve">v částce č. 03/2013 </w:t>
      </w:r>
      <w:r w:rsidRPr="00D958EF">
        <w:rPr>
          <w:i/>
          <w:sz w:val="18"/>
          <w:szCs w:val="18"/>
        </w:rPr>
        <w:t>Věstníku NKÚ</w:t>
      </w:r>
      <w:r w:rsidRPr="00620AEA">
        <w:rPr>
          <w:sz w:val="18"/>
          <w:szCs w:val="18"/>
        </w:rPr>
        <w:t>.</w:t>
      </w:r>
    </w:p>
  </w:footnote>
  <w:footnote w:id="10">
    <w:p w:rsidR="006552EA" w:rsidRPr="00620AEA" w:rsidRDefault="006552EA" w:rsidP="00620AEA">
      <w:pPr>
        <w:pStyle w:val="Textpoznpodarou"/>
        <w:ind w:left="284" w:hanging="284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 xml:space="preserve">Usnesení vlády České republiky ze dne 13. července 2005 č. 882, </w:t>
      </w:r>
      <w:r w:rsidRPr="00620AEA">
        <w:rPr>
          <w:i/>
          <w:sz w:val="18"/>
          <w:szCs w:val="18"/>
        </w:rPr>
        <w:t>k Dopravní politice České republiky pro léta 2005–2013</w:t>
      </w:r>
      <w:r w:rsidRPr="00620AEA">
        <w:rPr>
          <w:sz w:val="18"/>
          <w:szCs w:val="18"/>
        </w:rPr>
        <w:t>.</w:t>
      </w:r>
    </w:p>
  </w:footnote>
  <w:footnote w:id="11">
    <w:p w:rsidR="006552EA" w:rsidRPr="00620AEA" w:rsidRDefault="006552EA" w:rsidP="00620AEA">
      <w:pPr>
        <w:pStyle w:val="Textpoznpodarou"/>
        <w:ind w:left="284" w:hanging="284"/>
        <w:rPr>
          <w:sz w:val="18"/>
          <w:szCs w:val="18"/>
        </w:rPr>
      </w:pPr>
      <w:r w:rsidRPr="00620AE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20AEA">
        <w:rPr>
          <w:sz w:val="18"/>
          <w:szCs w:val="18"/>
        </w:rPr>
        <w:t xml:space="preserve">Usnesení vlády České republiky ze dne 13. listopadu 2013 č. 850, </w:t>
      </w:r>
      <w:r w:rsidRPr="00620AEA">
        <w:rPr>
          <w:i/>
          <w:sz w:val="18"/>
          <w:szCs w:val="18"/>
        </w:rPr>
        <w:t>o Dopravních s</w:t>
      </w:r>
      <w:r>
        <w:rPr>
          <w:i/>
          <w:sz w:val="18"/>
          <w:szCs w:val="18"/>
        </w:rPr>
        <w:t>ektorových strategiích, 2. </w:t>
      </w:r>
      <w:r w:rsidRPr="00620AEA">
        <w:rPr>
          <w:i/>
          <w:sz w:val="18"/>
          <w:szCs w:val="18"/>
        </w:rPr>
        <w:t>fáze</w:t>
      </w:r>
      <w:r w:rsidRPr="00620AEA">
        <w:rPr>
          <w:sz w:val="18"/>
          <w:szCs w:val="18"/>
        </w:rPr>
        <w:t>.</w:t>
      </w:r>
    </w:p>
  </w:footnote>
  <w:footnote w:id="12">
    <w:p w:rsidR="006552EA" w:rsidRPr="00CC7F8D" w:rsidRDefault="006552EA" w:rsidP="00407BEE">
      <w:pPr>
        <w:pStyle w:val="Textpoznpodarou"/>
        <w:ind w:left="284" w:hanging="284"/>
        <w:rPr>
          <w:sz w:val="18"/>
          <w:szCs w:val="18"/>
        </w:rPr>
      </w:pPr>
      <w:r w:rsidRPr="00CC7F8D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CC7F8D">
        <w:rPr>
          <w:sz w:val="18"/>
          <w:szCs w:val="18"/>
        </w:rPr>
        <w:t>Interní předpis SFDI, jímž jsou mj. upraveny postupy při poskytování, čerpání a zúčtování prostředků z rozpočtu SFDI.</w:t>
      </w:r>
    </w:p>
  </w:footnote>
  <w:footnote w:id="13">
    <w:p w:rsidR="006552EA" w:rsidRPr="00CC7F8D" w:rsidRDefault="006552EA" w:rsidP="00437030">
      <w:pPr>
        <w:pStyle w:val="Textpoznpodarou"/>
        <w:ind w:left="284" w:hanging="284"/>
        <w:rPr>
          <w:sz w:val="18"/>
          <w:szCs w:val="18"/>
        </w:rPr>
      </w:pPr>
      <w:r w:rsidRPr="00CC7F8D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CC7F8D">
        <w:rPr>
          <w:sz w:val="18"/>
          <w:szCs w:val="18"/>
        </w:rPr>
        <w:t>PEÚ = předelektrizační úpravy.</w:t>
      </w:r>
    </w:p>
  </w:footnote>
  <w:footnote w:id="14">
    <w:p w:rsidR="006552EA" w:rsidRPr="00070682" w:rsidRDefault="006552EA" w:rsidP="00CC7F8D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CC7F8D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CC7F8D">
        <w:rPr>
          <w:rStyle w:val="cizojazycne"/>
          <w:rFonts w:cs="Arial"/>
          <w:iCs/>
          <w:sz w:val="18"/>
          <w:szCs w:val="18"/>
        </w:rPr>
        <w:t>Zákon č. 137/2006 Sb.</w:t>
      </w:r>
      <w:r w:rsidRPr="00A86BC6">
        <w:rPr>
          <w:rStyle w:val="cizojazycne"/>
          <w:rFonts w:cs="Arial"/>
          <w:iCs/>
          <w:sz w:val="18"/>
          <w:szCs w:val="18"/>
        </w:rPr>
        <w:t xml:space="preserve">, </w:t>
      </w:r>
      <w:r w:rsidRPr="00822A7D">
        <w:rPr>
          <w:rStyle w:val="cizojazycne"/>
          <w:rFonts w:cs="Arial"/>
          <w:iCs/>
          <w:sz w:val="18"/>
          <w:szCs w:val="18"/>
        </w:rPr>
        <w:t>o veřejných zakázkách</w:t>
      </w:r>
      <w:r w:rsidRPr="00A86BC6">
        <w:rPr>
          <w:rStyle w:val="cizojazycne"/>
          <w:rFonts w:cs="Arial"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C01B2C"/>
    <w:multiLevelType w:val="hybridMultilevel"/>
    <w:tmpl w:val="8444967C"/>
    <w:lvl w:ilvl="0" w:tplc="84FAD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D52D6"/>
    <w:multiLevelType w:val="hybridMultilevel"/>
    <w:tmpl w:val="4F2CB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22F5"/>
    <w:multiLevelType w:val="hybridMultilevel"/>
    <w:tmpl w:val="58E48E8C"/>
    <w:lvl w:ilvl="0" w:tplc="35A2007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CD0"/>
    <w:multiLevelType w:val="multilevel"/>
    <w:tmpl w:val="701C61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9FC43C5"/>
    <w:multiLevelType w:val="multilevel"/>
    <w:tmpl w:val="04050021"/>
    <w:numStyleLink w:val="Styl1"/>
  </w:abstractNum>
  <w:abstractNum w:abstractNumId="7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A9C0EB6"/>
    <w:multiLevelType w:val="hybridMultilevel"/>
    <w:tmpl w:val="2228B82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1D253E3E"/>
    <w:multiLevelType w:val="hybridMultilevel"/>
    <w:tmpl w:val="15AE2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F378E7"/>
    <w:multiLevelType w:val="hybridMultilevel"/>
    <w:tmpl w:val="A7CCADB2"/>
    <w:lvl w:ilvl="0" w:tplc="081088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B5C0C90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519F5"/>
    <w:multiLevelType w:val="hybridMultilevel"/>
    <w:tmpl w:val="EA5A084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12D3F01"/>
    <w:multiLevelType w:val="hybridMultilevel"/>
    <w:tmpl w:val="D5FCE1CC"/>
    <w:lvl w:ilvl="0" w:tplc="C602F1B8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C188C"/>
    <w:multiLevelType w:val="hybridMultilevel"/>
    <w:tmpl w:val="9F004B48"/>
    <w:lvl w:ilvl="0" w:tplc="67E41C3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603A2"/>
    <w:multiLevelType w:val="hybridMultilevel"/>
    <w:tmpl w:val="5F1AB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7CD8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F04FF"/>
    <w:multiLevelType w:val="hybridMultilevel"/>
    <w:tmpl w:val="A7F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04E6D"/>
    <w:multiLevelType w:val="multilevel"/>
    <w:tmpl w:val="DDC68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3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F332E"/>
    <w:multiLevelType w:val="hybridMultilevel"/>
    <w:tmpl w:val="283A7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D1190"/>
    <w:multiLevelType w:val="hybridMultilevel"/>
    <w:tmpl w:val="EDFA1384"/>
    <w:lvl w:ilvl="0" w:tplc="28F0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BD3608"/>
    <w:multiLevelType w:val="hybridMultilevel"/>
    <w:tmpl w:val="1ABA9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6FF6F91"/>
    <w:multiLevelType w:val="hybridMultilevel"/>
    <w:tmpl w:val="98F6886C"/>
    <w:lvl w:ilvl="0" w:tplc="8DFED6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31F9F"/>
    <w:multiLevelType w:val="hybridMultilevel"/>
    <w:tmpl w:val="93188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5">
    <w:nsid w:val="7B75165E"/>
    <w:multiLevelType w:val="hybridMultilevel"/>
    <w:tmpl w:val="CF28B0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43"/>
  </w:num>
  <w:num w:numId="4">
    <w:abstractNumId w:val="16"/>
  </w:num>
  <w:num w:numId="5">
    <w:abstractNumId w:val="14"/>
  </w:num>
  <w:num w:numId="6">
    <w:abstractNumId w:val="30"/>
  </w:num>
  <w:num w:numId="7">
    <w:abstractNumId w:val="28"/>
  </w:num>
  <w:num w:numId="8">
    <w:abstractNumId w:val="33"/>
  </w:num>
  <w:num w:numId="9">
    <w:abstractNumId w:val="36"/>
  </w:num>
  <w:num w:numId="10">
    <w:abstractNumId w:val="46"/>
  </w:num>
  <w:num w:numId="11">
    <w:abstractNumId w:val="23"/>
  </w:num>
  <w:num w:numId="12">
    <w:abstractNumId w:val="39"/>
  </w:num>
  <w:num w:numId="13">
    <w:abstractNumId w:val="47"/>
  </w:num>
  <w:num w:numId="14">
    <w:abstractNumId w:val="10"/>
  </w:num>
  <w:num w:numId="15">
    <w:abstractNumId w:val="20"/>
  </w:num>
  <w:num w:numId="16">
    <w:abstractNumId w:val="25"/>
  </w:num>
  <w:num w:numId="17">
    <w:abstractNumId w:val="31"/>
  </w:num>
  <w:num w:numId="18">
    <w:abstractNumId w:val="44"/>
  </w:num>
  <w:num w:numId="19">
    <w:abstractNumId w:val="37"/>
  </w:num>
  <w:num w:numId="20">
    <w:abstractNumId w:val="5"/>
  </w:num>
  <w:num w:numId="21">
    <w:abstractNumId w:val="40"/>
  </w:num>
  <w:num w:numId="22">
    <w:abstractNumId w:val="29"/>
  </w:num>
  <w:num w:numId="23">
    <w:abstractNumId w:val="7"/>
  </w:num>
  <w:num w:numId="24">
    <w:abstractNumId w:val="19"/>
  </w:num>
  <w:num w:numId="25">
    <w:abstractNumId w:val="11"/>
  </w:num>
  <w:num w:numId="26">
    <w:abstractNumId w:val="22"/>
  </w:num>
  <w:num w:numId="27">
    <w:abstractNumId w:val="0"/>
  </w:num>
  <w:num w:numId="28">
    <w:abstractNumId w:val="34"/>
  </w:num>
  <w:num w:numId="29">
    <w:abstractNumId w:val="26"/>
  </w:num>
  <w:num w:numId="30">
    <w:abstractNumId w:val="41"/>
  </w:num>
  <w:num w:numId="31">
    <w:abstractNumId w:val="45"/>
  </w:num>
  <w:num w:numId="32">
    <w:abstractNumId w:val="24"/>
  </w:num>
  <w:num w:numId="33">
    <w:abstractNumId w:val="18"/>
  </w:num>
  <w:num w:numId="34">
    <w:abstractNumId w:val="3"/>
  </w:num>
  <w:num w:numId="35">
    <w:abstractNumId w:val="4"/>
  </w:num>
  <w:num w:numId="36">
    <w:abstractNumId w:val="32"/>
  </w:num>
  <w:num w:numId="37">
    <w:abstractNumId w:val="6"/>
  </w:num>
  <w:num w:numId="38">
    <w:abstractNumId w:val="8"/>
  </w:num>
  <w:num w:numId="39">
    <w:abstractNumId w:val="2"/>
  </w:num>
  <w:num w:numId="40">
    <w:abstractNumId w:val="27"/>
  </w:num>
  <w:num w:numId="41">
    <w:abstractNumId w:val="15"/>
  </w:num>
  <w:num w:numId="42">
    <w:abstractNumId w:val="1"/>
  </w:num>
  <w:num w:numId="43">
    <w:abstractNumId w:val="12"/>
  </w:num>
  <w:num w:numId="44">
    <w:abstractNumId w:val="38"/>
  </w:num>
  <w:num w:numId="45">
    <w:abstractNumId w:val="17"/>
  </w:num>
  <w:num w:numId="46">
    <w:abstractNumId w:val="35"/>
  </w:num>
  <w:num w:numId="47">
    <w:abstractNumId w:val="4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573"/>
    <w:rsid w:val="00000932"/>
    <w:rsid w:val="00000F96"/>
    <w:rsid w:val="00001F62"/>
    <w:rsid w:val="00002073"/>
    <w:rsid w:val="00002626"/>
    <w:rsid w:val="0000330E"/>
    <w:rsid w:val="0000337D"/>
    <w:rsid w:val="000033DB"/>
    <w:rsid w:val="000038D1"/>
    <w:rsid w:val="00003D20"/>
    <w:rsid w:val="000044CF"/>
    <w:rsid w:val="00004DB0"/>
    <w:rsid w:val="00004ECD"/>
    <w:rsid w:val="00005220"/>
    <w:rsid w:val="0000580F"/>
    <w:rsid w:val="00005C47"/>
    <w:rsid w:val="00005C6C"/>
    <w:rsid w:val="000066B9"/>
    <w:rsid w:val="00006886"/>
    <w:rsid w:val="00006B02"/>
    <w:rsid w:val="00007773"/>
    <w:rsid w:val="000112F9"/>
    <w:rsid w:val="00011846"/>
    <w:rsid w:val="00011C9C"/>
    <w:rsid w:val="00012067"/>
    <w:rsid w:val="00013006"/>
    <w:rsid w:val="000131C6"/>
    <w:rsid w:val="0001390C"/>
    <w:rsid w:val="00013B1B"/>
    <w:rsid w:val="00014603"/>
    <w:rsid w:val="000152B0"/>
    <w:rsid w:val="0001567E"/>
    <w:rsid w:val="00015CCB"/>
    <w:rsid w:val="00015F28"/>
    <w:rsid w:val="000172AE"/>
    <w:rsid w:val="00020A05"/>
    <w:rsid w:val="00020EF3"/>
    <w:rsid w:val="00021026"/>
    <w:rsid w:val="000211D3"/>
    <w:rsid w:val="000225B8"/>
    <w:rsid w:val="00022B26"/>
    <w:rsid w:val="00022DF5"/>
    <w:rsid w:val="00023EA1"/>
    <w:rsid w:val="00023EFE"/>
    <w:rsid w:val="00024A45"/>
    <w:rsid w:val="00024CCF"/>
    <w:rsid w:val="00024E81"/>
    <w:rsid w:val="00026482"/>
    <w:rsid w:val="00026AFA"/>
    <w:rsid w:val="000307C5"/>
    <w:rsid w:val="0003087F"/>
    <w:rsid w:val="00030DD7"/>
    <w:rsid w:val="0003111A"/>
    <w:rsid w:val="000314CC"/>
    <w:rsid w:val="0003224D"/>
    <w:rsid w:val="00032482"/>
    <w:rsid w:val="000326DA"/>
    <w:rsid w:val="00033F04"/>
    <w:rsid w:val="000342ED"/>
    <w:rsid w:val="000342F8"/>
    <w:rsid w:val="000343CF"/>
    <w:rsid w:val="000343E1"/>
    <w:rsid w:val="00034844"/>
    <w:rsid w:val="00034852"/>
    <w:rsid w:val="000353C2"/>
    <w:rsid w:val="00036287"/>
    <w:rsid w:val="000365B2"/>
    <w:rsid w:val="00037363"/>
    <w:rsid w:val="00037EA3"/>
    <w:rsid w:val="000406B5"/>
    <w:rsid w:val="00040726"/>
    <w:rsid w:val="00041917"/>
    <w:rsid w:val="00041943"/>
    <w:rsid w:val="00041F40"/>
    <w:rsid w:val="00041F64"/>
    <w:rsid w:val="00042138"/>
    <w:rsid w:val="0004223E"/>
    <w:rsid w:val="000423CF"/>
    <w:rsid w:val="000437B0"/>
    <w:rsid w:val="00043B34"/>
    <w:rsid w:val="000448D4"/>
    <w:rsid w:val="00044D63"/>
    <w:rsid w:val="00045E0B"/>
    <w:rsid w:val="00051C1A"/>
    <w:rsid w:val="000530F1"/>
    <w:rsid w:val="0005350B"/>
    <w:rsid w:val="00054517"/>
    <w:rsid w:val="0005531F"/>
    <w:rsid w:val="000558EC"/>
    <w:rsid w:val="00055A17"/>
    <w:rsid w:val="000569A4"/>
    <w:rsid w:val="00057577"/>
    <w:rsid w:val="00057A70"/>
    <w:rsid w:val="000641DB"/>
    <w:rsid w:val="0006454E"/>
    <w:rsid w:val="00064771"/>
    <w:rsid w:val="00064DEF"/>
    <w:rsid w:val="00065ACF"/>
    <w:rsid w:val="00067C0E"/>
    <w:rsid w:val="00067D6A"/>
    <w:rsid w:val="0007064B"/>
    <w:rsid w:val="00070682"/>
    <w:rsid w:val="000706B4"/>
    <w:rsid w:val="00071622"/>
    <w:rsid w:val="00071B68"/>
    <w:rsid w:val="00071FA4"/>
    <w:rsid w:val="00072445"/>
    <w:rsid w:val="00074A01"/>
    <w:rsid w:val="000768EE"/>
    <w:rsid w:val="0008013B"/>
    <w:rsid w:val="00080987"/>
    <w:rsid w:val="00080C12"/>
    <w:rsid w:val="00081221"/>
    <w:rsid w:val="000817A7"/>
    <w:rsid w:val="00082210"/>
    <w:rsid w:val="000823F3"/>
    <w:rsid w:val="000828E4"/>
    <w:rsid w:val="00082FB7"/>
    <w:rsid w:val="000839E5"/>
    <w:rsid w:val="00083C93"/>
    <w:rsid w:val="000843F6"/>
    <w:rsid w:val="00084EF4"/>
    <w:rsid w:val="000875EC"/>
    <w:rsid w:val="00087655"/>
    <w:rsid w:val="00087884"/>
    <w:rsid w:val="00087A8A"/>
    <w:rsid w:val="000902DE"/>
    <w:rsid w:val="00091459"/>
    <w:rsid w:val="00091998"/>
    <w:rsid w:val="0009213A"/>
    <w:rsid w:val="000923D7"/>
    <w:rsid w:val="000927F6"/>
    <w:rsid w:val="0009286D"/>
    <w:rsid w:val="00093E2F"/>
    <w:rsid w:val="00095329"/>
    <w:rsid w:val="0009660E"/>
    <w:rsid w:val="00096B86"/>
    <w:rsid w:val="0009709F"/>
    <w:rsid w:val="000972AD"/>
    <w:rsid w:val="000A0A28"/>
    <w:rsid w:val="000A2538"/>
    <w:rsid w:val="000A315E"/>
    <w:rsid w:val="000A37C5"/>
    <w:rsid w:val="000A41A3"/>
    <w:rsid w:val="000A41A4"/>
    <w:rsid w:val="000A53C8"/>
    <w:rsid w:val="000A53CA"/>
    <w:rsid w:val="000A53CC"/>
    <w:rsid w:val="000A58F6"/>
    <w:rsid w:val="000A7392"/>
    <w:rsid w:val="000B04AA"/>
    <w:rsid w:val="000B0F45"/>
    <w:rsid w:val="000B1348"/>
    <w:rsid w:val="000B1C04"/>
    <w:rsid w:val="000B25C3"/>
    <w:rsid w:val="000B3145"/>
    <w:rsid w:val="000B3978"/>
    <w:rsid w:val="000B3FBA"/>
    <w:rsid w:val="000B5FE2"/>
    <w:rsid w:val="000B66C5"/>
    <w:rsid w:val="000B7411"/>
    <w:rsid w:val="000C08FF"/>
    <w:rsid w:val="000C1234"/>
    <w:rsid w:val="000C1A45"/>
    <w:rsid w:val="000C28BB"/>
    <w:rsid w:val="000C2BB7"/>
    <w:rsid w:val="000C3844"/>
    <w:rsid w:val="000C4C9A"/>
    <w:rsid w:val="000C6DA4"/>
    <w:rsid w:val="000C72FA"/>
    <w:rsid w:val="000D0135"/>
    <w:rsid w:val="000D05D4"/>
    <w:rsid w:val="000D0ED6"/>
    <w:rsid w:val="000D18F3"/>
    <w:rsid w:val="000D225C"/>
    <w:rsid w:val="000D225E"/>
    <w:rsid w:val="000D2D37"/>
    <w:rsid w:val="000D2E43"/>
    <w:rsid w:val="000D350B"/>
    <w:rsid w:val="000D365B"/>
    <w:rsid w:val="000D4DC9"/>
    <w:rsid w:val="000D6369"/>
    <w:rsid w:val="000D6EB0"/>
    <w:rsid w:val="000D7D68"/>
    <w:rsid w:val="000E1099"/>
    <w:rsid w:val="000E123D"/>
    <w:rsid w:val="000E196A"/>
    <w:rsid w:val="000E1E4B"/>
    <w:rsid w:val="000E23CC"/>
    <w:rsid w:val="000E23D6"/>
    <w:rsid w:val="000E28B4"/>
    <w:rsid w:val="000E3408"/>
    <w:rsid w:val="000E3606"/>
    <w:rsid w:val="000E4219"/>
    <w:rsid w:val="000E5022"/>
    <w:rsid w:val="000E53AF"/>
    <w:rsid w:val="000E5629"/>
    <w:rsid w:val="000E650F"/>
    <w:rsid w:val="000F1517"/>
    <w:rsid w:val="000F1FF6"/>
    <w:rsid w:val="000F272E"/>
    <w:rsid w:val="000F37A0"/>
    <w:rsid w:val="000F3957"/>
    <w:rsid w:val="000F43D4"/>
    <w:rsid w:val="000F46BE"/>
    <w:rsid w:val="000F4E31"/>
    <w:rsid w:val="000F57F0"/>
    <w:rsid w:val="000F5FE2"/>
    <w:rsid w:val="000F5FF1"/>
    <w:rsid w:val="0010159A"/>
    <w:rsid w:val="001019FC"/>
    <w:rsid w:val="001032BF"/>
    <w:rsid w:val="0010371F"/>
    <w:rsid w:val="00104BDC"/>
    <w:rsid w:val="00105AD0"/>
    <w:rsid w:val="00106174"/>
    <w:rsid w:val="00110594"/>
    <w:rsid w:val="00111EE4"/>
    <w:rsid w:val="001121A9"/>
    <w:rsid w:val="001129ED"/>
    <w:rsid w:val="001139E0"/>
    <w:rsid w:val="00113B93"/>
    <w:rsid w:val="0011637B"/>
    <w:rsid w:val="00116572"/>
    <w:rsid w:val="00116982"/>
    <w:rsid w:val="00116D33"/>
    <w:rsid w:val="0012116B"/>
    <w:rsid w:val="00121642"/>
    <w:rsid w:val="00121C7F"/>
    <w:rsid w:val="0012241D"/>
    <w:rsid w:val="00123518"/>
    <w:rsid w:val="00125413"/>
    <w:rsid w:val="00126303"/>
    <w:rsid w:val="001265E7"/>
    <w:rsid w:val="001278CB"/>
    <w:rsid w:val="00127E65"/>
    <w:rsid w:val="00131313"/>
    <w:rsid w:val="00131355"/>
    <w:rsid w:val="001316BB"/>
    <w:rsid w:val="00131861"/>
    <w:rsid w:val="00131A68"/>
    <w:rsid w:val="00132193"/>
    <w:rsid w:val="001325AD"/>
    <w:rsid w:val="0013397D"/>
    <w:rsid w:val="00134C4E"/>
    <w:rsid w:val="0013582B"/>
    <w:rsid w:val="0013587A"/>
    <w:rsid w:val="00135AA0"/>
    <w:rsid w:val="00135E06"/>
    <w:rsid w:val="001360A2"/>
    <w:rsid w:val="00136289"/>
    <w:rsid w:val="001368E7"/>
    <w:rsid w:val="00141355"/>
    <w:rsid w:val="001415FD"/>
    <w:rsid w:val="00141FDE"/>
    <w:rsid w:val="001425AD"/>
    <w:rsid w:val="00142B1D"/>
    <w:rsid w:val="00142EB4"/>
    <w:rsid w:val="00143C9D"/>
    <w:rsid w:val="0014414B"/>
    <w:rsid w:val="00144332"/>
    <w:rsid w:val="00144916"/>
    <w:rsid w:val="0014548A"/>
    <w:rsid w:val="00145854"/>
    <w:rsid w:val="001468BA"/>
    <w:rsid w:val="00146D05"/>
    <w:rsid w:val="00147599"/>
    <w:rsid w:val="001503FE"/>
    <w:rsid w:val="00152B55"/>
    <w:rsid w:val="001531E3"/>
    <w:rsid w:val="0015334F"/>
    <w:rsid w:val="001537A0"/>
    <w:rsid w:val="00153BF0"/>
    <w:rsid w:val="00154178"/>
    <w:rsid w:val="001550CC"/>
    <w:rsid w:val="0015511A"/>
    <w:rsid w:val="00155783"/>
    <w:rsid w:val="0015660B"/>
    <w:rsid w:val="00156C62"/>
    <w:rsid w:val="00157DAC"/>
    <w:rsid w:val="001602AF"/>
    <w:rsid w:val="00160429"/>
    <w:rsid w:val="00160D42"/>
    <w:rsid w:val="00160E9D"/>
    <w:rsid w:val="00161978"/>
    <w:rsid w:val="0016199E"/>
    <w:rsid w:val="001625D9"/>
    <w:rsid w:val="00162A88"/>
    <w:rsid w:val="00162B1D"/>
    <w:rsid w:val="00163406"/>
    <w:rsid w:val="00164335"/>
    <w:rsid w:val="001645EF"/>
    <w:rsid w:val="00166F92"/>
    <w:rsid w:val="001702DE"/>
    <w:rsid w:val="001704ED"/>
    <w:rsid w:val="00170F26"/>
    <w:rsid w:val="00171086"/>
    <w:rsid w:val="00171371"/>
    <w:rsid w:val="00171784"/>
    <w:rsid w:val="00171A28"/>
    <w:rsid w:val="001725CE"/>
    <w:rsid w:val="00172804"/>
    <w:rsid w:val="00173420"/>
    <w:rsid w:val="00173BFF"/>
    <w:rsid w:val="0017418E"/>
    <w:rsid w:val="00175F2C"/>
    <w:rsid w:val="00176033"/>
    <w:rsid w:val="00176BF3"/>
    <w:rsid w:val="001779D4"/>
    <w:rsid w:val="00177D39"/>
    <w:rsid w:val="00177E1E"/>
    <w:rsid w:val="001807B0"/>
    <w:rsid w:val="00180B46"/>
    <w:rsid w:val="00181EC1"/>
    <w:rsid w:val="001826FC"/>
    <w:rsid w:val="00182F04"/>
    <w:rsid w:val="001831E2"/>
    <w:rsid w:val="00183C89"/>
    <w:rsid w:val="0018767F"/>
    <w:rsid w:val="001922FC"/>
    <w:rsid w:val="00192BC2"/>
    <w:rsid w:val="00192BEA"/>
    <w:rsid w:val="00193533"/>
    <w:rsid w:val="0019357D"/>
    <w:rsid w:val="00194005"/>
    <w:rsid w:val="00194298"/>
    <w:rsid w:val="001951B2"/>
    <w:rsid w:val="0019536B"/>
    <w:rsid w:val="00195679"/>
    <w:rsid w:val="00195A5C"/>
    <w:rsid w:val="001962DF"/>
    <w:rsid w:val="0019670B"/>
    <w:rsid w:val="00196740"/>
    <w:rsid w:val="00196CCC"/>
    <w:rsid w:val="001A0B9F"/>
    <w:rsid w:val="001A0E1F"/>
    <w:rsid w:val="001A15D3"/>
    <w:rsid w:val="001A1CBF"/>
    <w:rsid w:val="001A3388"/>
    <w:rsid w:val="001A37F7"/>
    <w:rsid w:val="001A4061"/>
    <w:rsid w:val="001A48BA"/>
    <w:rsid w:val="001A50E5"/>
    <w:rsid w:val="001A5D01"/>
    <w:rsid w:val="001A6520"/>
    <w:rsid w:val="001B1A8D"/>
    <w:rsid w:val="001B2B19"/>
    <w:rsid w:val="001B4703"/>
    <w:rsid w:val="001B5134"/>
    <w:rsid w:val="001B525A"/>
    <w:rsid w:val="001B537D"/>
    <w:rsid w:val="001B57E8"/>
    <w:rsid w:val="001B686B"/>
    <w:rsid w:val="001B6DAD"/>
    <w:rsid w:val="001B7860"/>
    <w:rsid w:val="001C0754"/>
    <w:rsid w:val="001C1BE9"/>
    <w:rsid w:val="001C2E14"/>
    <w:rsid w:val="001C43C9"/>
    <w:rsid w:val="001C43FA"/>
    <w:rsid w:val="001C4863"/>
    <w:rsid w:val="001C5277"/>
    <w:rsid w:val="001C561C"/>
    <w:rsid w:val="001C6A88"/>
    <w:rsid w:val="001C7133"/>
    <w:rsid w:val="001D04AC"/>
    <w:rsid w:val="001D0E63"/>
    <w:rsid w:val="001D44EC"/>
    <w:rsid w:val="001D4F1A"/>
    <w:rsid w:val="001D5B72"/>
    <w:rsid w:val="001D61A3"/>
    <w:rsid w:val="001D7EA7"/>
    <w:rsid w:val="001E086F"/>
    <w:rsid w:val="001E1682"/>
    <w:rsid w:val="001E1BDA"/>
    <w:rsid w:val="001E3120"/>
    <w:rsid w:val="001E31FA"/>
    <w:rsid w:val="001E3B4C"/>
    <w:rsid w:val="001E3D56"/>
    <w:rsid w:val="001E5882"/>
    <w:rsid w:val="001E5B5E"/>
    <w:rsid w:val="001E71A6"/>
    <w:rsid w:val="001E7BB9"/>
    <w:rsid w:val="001F230F"/>
    <w:rsid w:val="001F4F43"/>
    <w:rsid w:val="001F57C1"/>
    <w:rsid w:val="001F633D"/>
    <w:rsid w:val="001F6CE7"/>
    <w:rsid w:val="00201E5D"/>
    <w:rsid w:val="00202300"/>
    <w:rsid w:val="002031A2"/>
    <w:rsid w:val="00203DCE"/>
    <w:rsid w:val="00203FDA"/>
    <w:rsid w:val="0020444C"/>
    <w:rsid w:val="00204E26"/>
    <w:rsid w:val="002055CF"/>
    <w:rsid w:val="00205C95"/>
    <w:rsid w:val="00205D19"/>
    <w:rsid w:val="00206604"/>
    <w:rsid w:val="002079D2"/>
    <w:rsid w:val="00207FA7"/>
    <w:rsid w:val="002100F1"/>
    <w:rsid w:val="00210221"/>
    <w:rsid w:val="00210672"/>
    <w:rsid w:val="002112BF"/>
    <w:rsid w:val="00211AB9"/>
    <w:rsid w:val="00211F27"/>
    <w:rsid w:val="002120C1"/>
    <w:rsid w:val="002125EB"/>
    <w:rsid w:val="00212868"/>
    <w:rsid w:val="00212929"/>
    <w:rsid w:val="00212FBB"/>
    <w:rsid w:val="00213A72"/>
    <w:rsid w:val="00213D6B"/>
    <w:rsid w:val="00213E25"/>
    <w:rsid w:val="00214748"/>
    <w:rsid w:val="00214946"/>
    <w:rsid w:val="00215E15"/>
    <w:rsid w:val="002178C3"/>
    <w:rsid w:val="00217F03"/>
    <w:rsid w:val="0022056F"/>
    <w:rsid w:val="0022067F"/>
    <w:rsid w:val="00220899"/>
    <w:rsid w:val="002215FE"/>
    <w:rsid w:val="002223C6"/>
    <w:rsid w:val="002231C0"/>
    <w:rsid w:val="00225AEE"/>
    <w:rsid w:val="00226524"/>
    <w:rsid w:val="002268E1"/>
    <w:rsid w:val="0022785B"/>
    <w:rsid w:val="002302F3"/>
    <w:rsid w:val="00231275"/>
    <w:rsid w:val="002313A4"/>
    <w:rsid w:val="00232009"/>
    <w:rsid w:val="00233994"/>
    <w:rsid w:val="00233B2D"/>
    <w:rsid w:val="00235659"/>
    <w:rsid w:val="00235A61"/>
    <w:rsid w:val="00235DB4"/>
    <w:rsid w:val="00236071"/>
    <w:rsid w:val="00236495"/>
    <w:rsid w:val="002364A9"/>
    <w:rsid w:val="0023655C"/>
    <w:rsid w:val="0023666E"/>
    <w:rsid w:val="00236DAD"/>
    <w:rsid w:val="00237234"/>
    <w:rsid w:val="00237FA1"/>
    <w:rsid w:val="002404C4"/>
    <w:rsid w:val="0024071F"/>
    <w:rsid w:val="00241158"/>
    <w:rsid w:val="0024175C"/>
    <w:rsid w:val="00242A4C"/>
    <w:rsid w:val="00242CE6"/>
    <w:rsid w:val="00243049"/>
    <w:rsid w:val="00243183"/>
    <w:rsid w:val="002433C3"/>
    <w:rsid w:val="00243CBF"/>
    <w:rsid w:val="002443E2"/>
    <w:rsid w:val="00244A9F"/>
    <w:rsid w:val="00244C66"/>
    <w:rsid w:val="00245B80"/>
    <w:rsid w:val="002460FB"/>
    <w:rsid w:val="00251041"/>
    <w:rsid w:val="002521DD"/>
    <w:rsid w:val="00252631"/>
    <w:rsid w:val="00252CFD"/>
    <w:rsid w:val="002530F5"/>
    <w:rsid w:val="002538C5"/>
    <w:rsid w:val="00254047"/>
    <w:rsid w:val="00254B04"/>
    <w:rsid w:val="00255151"/>
    <w:rsid w:val="00255EB1"/>
    <w:rsid w:val="00256572"/>
    <w:rsid w:val="00256EFA"/>
    <w:rsid w:val="00257504"/>
    <w:rsid w:val="0026034D"/>
    <w:rsid w:val="002610CC"/>
    <w:rsid w:val="002611AB"/>
    <w:rsid w:val="00261540"/>
    <w:rsid w:val="0026161E"/>
    <w:rsid w:val="0026274F"/>
    <w:rsid w:val="00262B21"/>
    <w:rsid w:val="00262DF8"/>
    <w:rsid w:val="00262E38"/>
    <w:rsid w:val="00263075"/>
    <w:rsid w:val="002634F2"/>
    <w:rsid w:val="00264AC9"/>
    <w:rsid w:val="00265970"/>
    <w:rsid w:val="00266517"/>
    <w:rsid w:val="0026697D"/>
    <w:rsid w:val="0026712E"/>
    <w:rsid w:val="00267306"/>
    <w:rsid w:val="00267D2B"/>
    <w:rsid w:val="002701B7"/>
    <w:rsid w:val="00270655"/>
    <w:rsid w:val="00270681"/>
    <w:rsid w:val="0027099B"/>
    <w:rsid w:val="00271D19"/>
    <w:rsid w:val="0027368D"/>
    <w:rsid w:val="002740E9"/>
    <w:rsid w:val="00274CA4"/>
    <w:rsid w:val="002752AF"/>
    <w:rsid w:val="0027596C"/>
    <w:rsid w:val="002759ED"/>
    <w:rsid w:val="00275C51"/>
    <w:rsid w:val="00276F6C"/>
    <w:rsid w:val="0028011C"/>
    <w:rsid w:val="00280565"/>
    <w:rsid w:val="00280FE6"/>
    <w:rsid w:val="00281932"/>
    <w:rsid w:val="00282169"/>
    <w:rsid w:val="0028216D"/>
    <w:rsid w:val="00285221"/>
    <w:rsid w:val="00285FA7"/>
    <w:rsid w:val="00286C01"/>
    <w:rsid w:val="00286C26"/>
    <w:rsid w:val="002873F7"/>
    <w:rsid w:val="00287824"/>
    <w:rsid w:val="00287D23"/>
    <w:rsid w:val="002900A8"/>
    <w:rsid w:val="002902FE"/>
    <w:rsid w:val="00291685"/>
    <w:rsid w:val="00292390"/>
    <w:rsid w:val="00292459"/>
    <w:rsid w:val="00292995"/>
    <w:rsid w:val="00292EE5"/>
    <w:rsid w:val="002937AF"/>
    <w:rsid w:val="00293B9F"/>
    <w:rsid w:val="00293C31"/>
    <w:rsid w:val="00295311"/>
    <w:rsid w:val="00295758"/>
    <w:rsid w:val="00296193"/>
    <w:rsid w:val="00297590"/>
    <w:rsid w:val="002979E6"/>
    <w:rsid w:val="002A08E4"/>
    <w:rsid w:val="002A1207"/>
    <w:rsid w:val="002A20C3"/>
    <w:rsid w:val="002A23C8"/>
    <w:rsid w:val="002A31B4"/>
    <w:rsid w:val="002A38AB"/>
    <w:rsid w:val="002A3CB3"/>
    <w:rsid w:val="002A4588"/>
    <w:rsid w:val="002A4B86"/>
    <w:rsid w:val="002A62ED"/>
    <w:rsid w:val="002A7DC1"/>
    <w:rsid w:val="002B2B95"/>
    <w:rsid w:val="002B34E3"/>
    <w:rsid w:val="002B449A"/>
    <w:rsid w:val="002B5B65"/>
    <w:rsid w:val="002B5F30"/>
    <w:rsid w:val="002B6023"/>
    <w:rsid w:val="002B64F0"/>
    <w:rsid w:val="002B706F"/>
    <w:rsid w:val="002B79A6"/>
    <w:rsid w:val="002B7D05"/>
    <w:rsid w:val="002C0670"/>
    <w:rsid w:val="002C069F"/>
    <w:rsid w:val="002C1910"/>
    <w:rsid w:val="002C1915"/>
    <w:rsid w:val="002C1E06"/>
    <w:rsid w:val="002C2D97"/>
    <w:rsid w:val="002C43D4"/>
    <w:rsid w:val="002C4CBB"/>
    <w:rsid w:val="002C4FB6"/>
    <w:rsid w:val="002C5128"/>
    <w:rsid w:val="002C5542"/>
    <w:rsid w:val="002C5723"/>
    <w:rsid w:val="002C60C3"/>
    <w:rsid w:val="002C6584"/>
    <w:rsid w:val="002C69F1"/>
    <w:rsid w:val="002C7AB8"/>
    <w:rsid w:val="002D0280"/>
    <w:rsid w:val="002D0929"/>
    <w:rsid w:val="002D0E06"/>
    <w:rsid w:val="002D15C9"/>
    <w:rsid w:val="002D2772"/>
    <w:rsid w:val="002D3474"/>
    <w:rsid w:val="002D3D5C"/>
    <w:rsid w:val="002D4626"/>
    <w:rsid w:val="002D47C8"/>
    <w:rsid w:val="002D5F4D"/>
    <w:rsid w:val="002D625C"/>
    <w:rsid w:val="002D7F4D"/>
    <w:rsid w:val="002E0186"/>
    <w:rsid w:val="002E15B2"/>
    <w:rsid w:val="002E2332"/>
    <w:rsid w:val="002E3346"/>
    <w:rsid w:val="002E3C7D"/>
    <w:rsid w:val="002E3D05"/>
    <w:rsid w:val="002E51CB"/>
    <w:rsid w:val="002E51F0"/>
    <w:rsid w:val="002E5898"/>
    <w:rsid w:val="002E5B89"/>
    <w:rsid w:val="002E7555"/>
    <w:rsid w:val="002E7D26"/>
    <w:rsid w:val="002E7D5C"/>
    <w:rsid w:val="002F0581"/>
    <w:rsid w:val="002F0F7A"/>
    <w:rsid w:val="002F2131"/>
    <w:rsid w:val="002F301C"/>
    <w:rsid w:val="002F3027"/>
    <w:rsid w:val="002F36D7"/>
    <w:rsid w:val="002F375C"/>
    <w:rsid w:val="002F3D42"/>
    <w:rsid w:val="002F5868"/>
    <w:rsid w:val="002F61D6"/>
    <w:rsid w:val="002F68DF"/>
    <w:rsid w:val="002F6A37"/>
    <w:rsid w:val="002F71ED"/>
    <w:rsid w:val="002F723B"/>
    <w:rsid w:val="003002FF"/>
    <w:rsid w:val="00300CE4"/>
    <w:rsid w:val="00301A10"/>
    <w:rsid w:val="00302053"/>
    <w:rsid w:val="00304520"/>
    <w:rsid w:val="00306F79"/>
    <w:rsid w:val="003073C5"/>
    <w:rsid w:val="003103F9"/>
    <w:rsid w:val="00310BDA"/>
    <w:rsid w:val="003110B8"/>
    <w:rsid w:val="0031110D"/>
    <w:rsid w:val="0031325B"/>
    <w:rsid w:val="003137B1"/>
    <w:rsid w:val="0031488A"/>
    <w:rsid w:val="00316A5B"/>
    <w:rsid w:val="00316C0A"/>
    <w:rsid w:val="00317254"/>
    <w:rsid w:val="00320241"/>
    <w:rsid w:val="00320B18"/>
    <w:rsid w:val="00320C8C"/>
    <w:rsid w:val="003214CE"/>
    <w:rsid w:val="0032152D"/>
    <w:rsid w:val="003217BE"/>
    <w:rsid w:val="0032182E"/>
    <w:rsid w:val="00321AF2"/>
    <w:rsid w:val="00321DCE"/>
    <w:rsid w:val="0032236E"/>
    <w:rsid w:val="003231B5"/>
    <w:rsid w:val="0032329B"/>
    <w:rsid w:val="00323F1A"/>
    <w:rsid w:val="003241F1"/>
    <w:rsid w:val="00325BC6"/>
    <w:rsid w:val="0032616D"/>
    <w:rsid w:val="003262A8"/>
    <w:rsid w:val="00330C08"/>
    <w:rsid w:val="00331225"/>
    <w:rsid w:val="00331F06"/>
    <w:rsid w:val="003325F1"/>
    <w:rsid w:val="003326B4"/>
    <w:rsid w:val="003329C3"/>
    <w:rsid w:val="003340F0"/>
    <w:rsid w:val="00334643"/>
    <w:rsid w:val="0033507C"/>
    <w:rsid w:val="003362D7"/>
    <w:rsid w:val="00337293"/>
    <w:rsid w:val="0033746C"/>
    <w:rsid w:val="00337C49"/>
    <w:rsid w:val="003405F5"/>
    <w:rsid w:val="003409EE"/>
    <w:rsid w:val="00340C5D"/>
    <w:rsid w:val="00341A1B"/>
    <w:rsid w:val="00341CA7"/>
    <w:rsid w:val="00342486"/>
    <w:rsid w:val="003425AB"/>
    <w:rsid w:val="00342701"/>
    <w:rsid w:val="003432FA"/>
    <w:rsid w:val="0034365F"/>
    <w:rsid w:val="00343F6F"/>
    <w:rsid w:val="0034446D"/>
    <w:rsid w:val="00344D8C"/>
    <w:rsid w:val="00345803"/>
    <w:rsid w:val="00345C6E"/>
    <w:rsid w:val="00346154"/>
    <w:rsid w:val="00346ED1"/>
    <w:rsid w:val="00347F22"/>
    <w:rsid w:val="00351090"/>
    <w:rsid w:val="003516A8"/>
    <w:rsid w:val="00351CCE"/>
    <w:rsid w:val="003530D9"/>
    <w:rsid w:val="00353B0A"/>
    <w:rsid w:val="00355E69"/>
    <w:rsid w:val="00356AAB"/>
    <w:rsid w:val="00357791"/>
    <w:rsid w:val="0036085E"/>
    <w:rsid w:val="00361986"/>
    <w:rsid w:val="0036238B"/>
    <w:rsid w:val="00362472"/>
    <w:rsid w:val="00362975"/>
    <w:rsid w:val="003632BC"/>
    <w:rsid w:val="00363327"/>
    <w:rsid w:val="0036343D"/>
    <w:rsid w:val="00363DD0"/>
    <w:rsid w:val="00365217"/>
    <w:rsid w:val="003654BF"/>
    <w:rsid w:val="00365989"/>
    <w:rsid w:val="00367ED2"/>
    <w:rsid w:val="00367EF5"/>
    <w:rsid w:val="00370EEE"/>
    <w:rsid w:val="00370F52"/>
    <w:rsid w:val="0037139B"/>
    <w:rsid w:val="00371957"/>
    <w:rsid w:val="00371A1A"/>
    <w:rsid w:val="00371B53"/>
    <w:rsid w:val="00371C32"/>
    <w:rsid w:val="00372011"/>
    <w:rsid w:val="00372429"/>
    <w:rsid w:val="00373A42"/>
    <w:rsid w:val="00374DED"/>
    <w:rsid w:val="00374E61"/>
    <w:rsid w:val="00375947"/>
    <w:rsid w:val="00375C61"/>
    <w:rsid w:val="00380C6A"/>
    <w:rsid w:val="00380E69"/>
    <w:rsid w:val="00380E77"/>
    <w:rsid w:val="00381031"/>
    <w:rsid w:val="00382324"/>
    <w:rsid w:val="00382C98"/>
    <w:rsid w:val="00382D65"/>
    <w:rsid w:val="00382FF4"/>
    <w:rsid w:val="00383DA1"/>
    <w:rsid w:val="003847F0"/>
    <w:rsid w:val="00384A5A"/>
    <w:rsid w:val="00384B02"/>
    <w:rsid w:val="00385156"/>
    <w:rsid w:val="00386336"/>
    <w:rsid w:val="0038635C"/>
    <w:rsid w:val="00386617"/>
    <w:rsid w:val="00387A5A"/>
    <w:rsid w:val="00387EF0"/>
    <w:rsid w:val="00390646"/>
    <w:rsid w:val="00390D42"/>
    <w:rsid w:val="00391858"/>
    <w:rsid w:val="00393B90"/>
    <w:rsid w:val="00394C80"/>
    <w:rsid w:val="003955D1"/>
    <w:rsid w:val="00396DA8"/>
    <w:rsid w:val="003978B3"/>
    <w:rsid w:val="0039799D"/>
    <w:rsid w:val="003A022D"/>
    <w:rsid w:val="003A0581"/>
    <w:rsid w:val="003A0F46"/>
    <w:rsid w:val="003A142D"/>
    <w:rsid w:val="003A174B"/>
    <w:rsid w:val="003A1A1E"/>
    <w:rsid w:val="003A1E09"/>
    <w:rsid w:val="003A3681"/>
    <w:rsid w:val="003A3EAE"/>
    <w:rsid w:val="003A4000"/>
    <w:rsid w:val="003A6F58"/>
    <w:rsid w:val="003A732C"/>
    <w:rsid w:val="003A7721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60D2"/>
    <w:rsid w:val="003B6B7F"/>
    <w:rsid w:val="003B6D0E"/>
    <w:rsid w:val="003B789C"/>
    <w:rsid w:val="003B7ED7"/>
    <w:rsid w:val="003C12E8"/>
    <w:rsid w:val="003C1C3D"/>
    <w:rsid w:val="003C2F6C"/>
    <w:rsid w:val="003C33D4"/>
    <w:rsid w:val="003C5C52"/>
    <w:rsid w:val="003C6486"/>
    <w:rsid w:val="003C75E1"/>
    <w:rsid w:val="003C7688"/>
    <w:rsid w:val="003C78D5"/>
    <w:rsid w:val="003D08F8"/>
    <w:rsid w:val="003D0CB6"/>
    <w:rsid w:val="003D1391"/>
    <w:rsid w:val="003D2A3F"/>
    <w:rsid w:val="003D3AB7"/>
    <w:rsid w:val="003D4507"/>
    <w:rsid w:val="003D6B1C"/>
    <w:rsid w:val="003D7FAA"/>
    <w:rsid w:val="003E0542"/>
    <w:rsid w:val="003E0F40"/>
    <w:rsid w:val="003E1CFD"/>
    <w:rsid w:val="003E1D5D"/>
    <w:rsid w:val="003E1EF4"/>
    <w:rsid w:val="003E2576"/>
    <w:rsid w:val="003E2F16"/>
    <w:rsid w:val="003E32D4"/>
    <w:rsid w:val="003E37A1"/>
    <w:rsid w:val="003E436A"/>
    <w:rsid w:val="003E4602"/>
    <w:rsid w:val="003E60A1"/>
    <w:rsid w:val="003E67F9"/>
    <w:rsid w:val="003E6F87"/>
    <w:rsid w:val="003F0277"/>
    <w:rsid w:val="003F046B"/>
    <w:rsid w:val="003F0D97"/>
    <w:rsid w:val="003F18CF"/>
    <w:rsid w:val="003F22E7"/>
    <w:rsid w:val="003F23B6"/>
    <w:rsid w:val="003F2593"/>
    <w:rsid w:val="003F3594"/>
    <w:rsid w:val="003F46E0"/>
    <w:rsid w:val="003F4E50"/>
    <w:rsid w:val="003F4E96"/>
    <w:rsid w:val="003F6AB1"/>
    <w:rsid w:val="003F6B72"/>
    <w:rsid w:val="003F6CB9"/>
    <w:rsid w:val="003F6D07"/>
    <w:rsid w:val="003F75C8"/>
    <w:rsid w:val="003F7B5D"/>
    <w:rsid w:val="003F7C6A"/>
    <w:rsid w:val="00400393"/>
    <w:rsid w:val="00401605"/>
    <w:rsid w:val="00402504"/>
    <w:rsid w:val="00402D91"/>
    <w:rsid w:val="0040374F"/>
    <w:rsid w:val="004047E4"/>
    <w:rsid w:val="004055B6"/>
    <w:rsid w:val="004064FE"/>
    <w:rsid w:val="004069E0"/>
    <w:rsid w:val="00407431"/>
    <w:rsid w:val="004074CD"/>
    <w:rsid w:val="00407BEE"/>
    <w:rsid w:val="00411403"/>
    <w:rsid w:val="00411CB8"/>
    <w:rsid w:val="00411DDC"/>
    <w:rsid w:val="00412A45"/>
    <w:rsid w:val="00412D07"/>
    <w:rsid w:val="0041457A"/>
    <w:rsid w:val="00414ABF"/>
    <w:rsid w:val="00414D3A"/>
    <w:rsid w:val="00415098"/>
    <w:rsid w:val="00415771"/>
    <w:rsid w:val="00415B7A"/>
    <w:rsid w:val="00416193"/>
    <w:rsid w:val="00416344"/>
    <w:rsid w:val="004212E3"/>
    <w:rsid w:val="00421E08"/>
    <w:rsid w:val="00423D11"/>
    <w:rsid w:val="00423FF0"/>
    <w:rsid w:val="00424682"/>
    <w:rsid w:val="00424C2D"/>
    <w:rsid w:val="004254AE"/>
    <w:rsid w:val="00425BAA"/>
    <w:rsid w:val="00430278"/>
    <w:rsid w:val="00430902"/>
    <w:rsid w:val="00430F1D"/>
    <w:rsid w:val="00431190"/>
    <w:rsid w:val="0043146E"/>
    <w:rsid w:val="0043270E"/>
    <w:rsid w:val="004327D3"/>
    <w:rsid w:val="00432AC9"/>
    <w:rsid w:val="00432BEE"/>
    <w:rsid w:val="004330BE"/>
    <w:rsid w:val="00434336"/>
    <w:rsid w:val="00434E46"/>
    <w:rsid w:val="0043626E"/>
    <w:rsid w:val="00436C29"/>
    <w:rsid w:val="00436FE4"/>
    <w:rsid w:val="00437030"/>
    <w:rsid w:val="00437689"/>
    <w:rsid w:val="004379AD"/>
    <w:rsid w:val="00437B92"/>
    <w:rsid w:val="00440A71"/>
    <w:rsid w:val="00440E58"/>
    <w:rsid w:val="00440F42"/>
    <w:rsid w:val="00440F95"/>
    <w:rsid w:val="0044156E"/>
    <w:rsid w:val="00441F9F"/>
    <w:rsid w:val="00443949"/>
    <w:rsid w:val="00443C05"/>
    <w:rsid w:val="00443CA9"/>
    <w:rsid w:val="00444832"/>
    <w:rsid w:val="00445229"/>
    <w:rsid w:val="00446FF8"/>
    <w:rsid w:val="004476A7"/>
    <w:rsid w:val="0044798F"/>
    <w:rsid w:val="004479C2"/>
    <w:rsid w:val="004502BA"/>
    <w:rsid w:val="004505F8"/>
    <w:rsid w:val="004510C6"/>
    <w:rsid w:val="004512AB"/>
    <w:rsid w:val="004523E3"/>
    <w:rsid w:val="00452559"/>
    <w:rsid w:val="00453835"/>
    <w:rsid w:val="00453897"/>
    <w:rsid w:val="00453B39"/>
    <w:rsid w:val="00455A18"/>
    <w:rsid w:val="00456000"/>
    <w:rsid w:val="0045639B"/>
    <w:rsid w:val="00457C80"/>
    <w:rsid w:val="00457E68"/>
    <w:rsid w:val="00460F33"/>
    <w:rsid w:val="004617F4"/>
    <w:rsid w:val="00461BC3"/>
    <w:rsid w:val="00461FD5"/>
    <w:rsid w:val="004621FE"/>
    <w:rsid w:val="0046306C"/>
    <w:rsid w:val="0046326E"/>
    <w:rsid w:val="00463836"/>
    <w:rsid w:val="0046403D"/>
    <w:rsid w:val="0046417E"/>
    <w:rsid w:val="00464E56"/>
    <w:rsid w:val="00467C75"/>
    <w:rsid w:val="0047020D"/>
    <w:rsid w:val="00470A1F"/>
    <w:rsid w:val="00470ADE"/>
    <w:rsid w:val="0047280B"/>
    <w:rsid w:val="00472B4B"/>
    <w:rsid w:val="0047546A"/>
    <w:rsid w:val="00475654"/>
    <w:rsid w:val="00477441"/>
    <w:rsid w:val="00477B72"/>
    <w:rsid w:val="00477FAA"/>
    <w:rsid w:val="0048021D"/>
    <w:rsid w:val="00480A9C"/>
    <w:rsid w:val="00481511"/>
    <w:rsid w:val="004826A3"/>
    <w:rsid w:val="004827C3"/>
    <w:rsid w:val="004837AA"/>
    <w:rsid w:val="00483E99"/>
    <w:rsid w:val="0048429E"/>
    <w:rsid w:val="00485CB1"/>
    <w:rsid w:val="00487375"/>
    <w:rsid w:val="004879C7"/>
    <w:rsid w:val="004879EE"/>
    <w:rsid w:val="00487CB6"/>
    <w:rsid w:val="00490D8F"/>
    <w:rsid w:val="00491482"/>
    <w:rsid w:val="00491C48"/>
    <w:rsid w:val="004920A5"/>
    <w:rsid w:val="0049273E"/>
    <w:rsid w:val="00492869"/>
    <w:rsid w:val="00492930"/>
    <w:rsid w:val="00492B9C"/>
    <w:rsid w:val="00493528"/>
    <w:rsid w:val="00494977"/>
    <w:rsid w:val="00494B16"/>
    <w:rsid w:val="00494CBB"/>
    <w:rsid w:val="00494FD7"/>
    <w:rsid w:val="00497D13"/>
    <w:rsid w:val="00497D33"/>
    <w:rsid w:val="004A0BE7"/>
    <w:rsid w:val="004A1078"/>
    <w:rsid w:val="004A1233"/>
    <w:rsid w:val="004A1725"/>
    <w:rsid w:val="004A1BA8"/>
    <w:rsid w:val="004A2CA9"/>
    <w:rsid w:val="004A2EBA"/>
    <w:rsid w:val="004A38B2"/>
    <w:rsid w:val="004A4673"/>
    <w:rsid w:val="004A4AF5"/>
    <w:rsid w:val="004A6B78"/>
    <w:rsid w:val="004A6E29"/>
    <w:rsid w:val="004A7482"/>
    <w:rsid w:val="004A7D52"/>
    <w:rsid w:val="004B0F26"/>
    <w:rsid w:val="004B15A7"/>
    <w:rsid w:val="004B1923"/>
    <w:rsid w:val="004B3500"/>
    <w:rsid w:val="004B39B6"/>
    <w:rsid w:val="004B3E6A"/>
    <w:rsid w:val="004B5FDA"/>
    <w:rsid w:val="004B61A5"/>
    <w:rsid w:val="004B6E5E"/>
    <w:rsid w:val="004C076A"/>
    <w:rsid w:val="004C08A0"/>
    <w:rsid w:val="004C09D0"/>
    <w:rsid w:val="004C0AB6"/>
    <w:rsid w:val="004C0D43"/>
    <w:rsid w:val="004C1221"/>
    <w:rsid w:val="004C146D"/>
    <w:rsid w:val="004C2A9C"/>
    <w:rsid w:val="004C2BA4"/>
    <w:rsid w:val="004C2DA2"/>
    <w:rsid w:val="004C300B"/>
    <w:rsid w:val="004C3573"/>
    <w:rsid w:val="004C3B8C"/>
    <w:rsid w:val="004C40C7"/>
    <w:rsid w:val="004C4C23"/>
    <w:rsid w:val="004C52C9"/>
    <w:rsid w:val="004C5379"/>
    <w:rsid w:val="004C557D"/>
    <w:rsid w:val="004C5EA3"/>
    <w:rsid w:val="004C6991"/>
    <w:rsid w:val="004C6B00"/>
    <w:rsid w:val="004C6BC7"/>
    <w:rsid w:val="004C7B1A"/>
    <w:rsid w:val="004C7C57"/>
    <w:rsid w:val="004D0421"/>
    <w:rsid w:val="004D0443"/>
    <w:rsid w:val="004D07E8"/>
    <w:rsid w:val="004D0B8D"/>
    <w:rsid w:val="004D2EB4"/>
    <w:rsid w:val="004D3193"/>
    <w:rsid w:val="004D7B4A"/>
    <w:rsid w:val="004E07C4"/>
    <w:rsid w:val="004E1577"/>
    <w:rsid w:val="004E1BEC"/>
    <w:rsid w:val="004E1DF2"/>
    <w:rsid w:val="004E2256"/>
    <w:rsid w:val="004E2588"/>
    <w:rsid w:val="004E3328"/>
    <w:rsid w:val="004E474A"/>
    <w:rsid w:val="004E59B2"/>
    <w:rsid w:val="004E5B5E"/>
    <w:rsid w:val="004E5B8C"/>
    <w:rsid w:val="004E613F"/>
    <w:rsid w:val="004E647E"/>
    <w:rsid w:val="004E7035"/>
    <w:rsid w:val="004E71C3"/>
    <w:rsid w:val="004E779A"/>
    <w:rsid w:val="004F088C"/>
    <w:rsid w:val="004F0D80"/>
    <w:rsid w:val="004F22E5"/>
    <w:rsid w:val="004F269E"/>
    <w:rsid w:val="004F54B3"/>
    <w:rsid w:val="004F562A"/>
    <w:rsid w:val="004F566B"/>
    <w:rsid w:val="004F5F98"/>
    <w:rsid w:val="004F784D"/>
    <w:rsid w:val="004F7855"/>
    <w:rsid w:val="004F7D98"/>
    <w:rsid w:val="00500C69"/>
    <w:rsid w:val="005014F5"/>
    <w:rsid w:val="0050184D"/>
    <w:rsid w:val="00502D63"/>
    <w:rsid w:val="00503447"/>
    <w:rsid w:val="00503941"/>
    <w:rsid w:val="00503D78"/>
    <w:rsid w:val="00504CBE"/>
    <w:rsid w:val="005056E4"/>
    <w:rsid w:val="00505B30"/>
    <w:rsid w:val="0050623D"/>
    <w:rsid w:val="0050734A"/>
    <w:rsid w:val="0050789C"/>
    <w:rsid w:val="00510DF5"/>
    <w:rsid w:val="005113AD"/>
    <w:rsid w:val="00511B45"/>
    <w:rsid w:val="00511F8E"/>
    <w:rsid w:val="00512231"/>
    <w:rsid w:val="0051386E"/>
    <w:rsid w:val="0051468D"/>
    <w:rsid w:val="0051494D"/>
    <w:rsid w:val="00514CC2"/>
    <w:rsid w:val="0051518E"/>
    <w:rsid w:val="00516F25"/>
    <w:rsid w:val="00517B13"/>
    <w:rsid w:val="005207E0"/>
    <w:rsid w:val="00521127"/>
    <w:rsid w:val="005211B2"/>
    <w:rsid w:val="005236ED"/>
    <w:rsid w:val="00525331"/>
    <w:rsid w:val="00525945"/>
    <w:rsid w:val="00525A4C"/>
    <w:rsid w:val="005262A9"/>
    <w:rsid w:val="005262E4"/>
    <w:rsid w:val="00527595"/>
    <w:rsid w:val="005276F9"/>
    <w:rsid w:val="0053112F"/>
    <w:rsid w:val="00531385"/>
    <w:rsid w:val="00531815"/>
    <w:rsid w:val="00531952"/>
    <w:rsid w:val="00532930"/>
    <w:rsid w:val="00532984"/>
    <w:rsid w:val="00534BFA"/>
    <w:rsid w:val="00534D2A"/>
    <w:rsid w:val="005356ED"/>
    <w:rsid w:val="00536AE4"/>
    <w:rsid w:val="0053761C"/>
    <w:rsid w:val="005378B0"/>
    <w:rsid w:val="00537EFC"/>
    <w:rsid w:val="005402D7"/>
    <w:rsid w:val="00540573"/>
    <w:rsid w:val="00540E91"/>
    <w:rsid w:val="00542554"/>
    <w:rsid w:val="00542591"/>
    <w:rsid w:val="00542D05"/>
    <w:rsid w:val="0054426A"/>
    <w:rsid w:val="005446DE"/>
    <w:rsid w:val="00544765"/>
    <w:rsid w:val="0054518A"/>
    <w:rsid w:val="0054597B"/>
    <w:rsid w:val="0054695B"/>
    <w:rsid w:val="00546F15"/>
    <w:rsid w:val="005476C6"/>
    <w:rsid w:val="00550320"/>
    <w:rsid w:val="005504A5"/>
    <w:rsid w:val="00551243"/>
    <w:rsid w:val="0055159E"/>
    <w:rsid w:val="005519B7"/>
    <w:rsid w:val="00551B1A"/>
    <w:rsid w:val="00551C9A"/>
    <w:rsid w:val="00552302"/>
    <w:rsid w:val="0055235B"/>
    <w:rsid w:val="00553974"/>
    <w:rsid w:val="00554650"/>
    <w:rsid w:val="0055560D"/>
    <w:rsid w:val="0055597A"/>
    <w:rsid w:val="005559E9"/>
    <w:rsid w:val="00555DFA"/>
    <w:rsid w:val="0055694C"/>
    <w:rsid w:val="00556D75"/>
    <w:rsid w:val="00557D62"/>
    <w:rsid w:val="005605DD"/>
    <w:rsid w:val="0056105B"/>
    <w:rsid w:val="00561D09"/>
    <w:rsid w:val="00562D96"/>
    <w:rsid w:val="005630ED"/>
    <w:rsid w:val="00563A4A"/>
    <w:rsid w:val="00563BDC"/>
    <w:rsid w:val="005642F4"/>
    <w:rsid w:val="00564978"/>
    <w:rsid w:val="00564A3B"/>
    <w:rsid w:val="00565D6A"/>
    <w:rsid w:val="005668C9"/>
    <w:rsid w:val="00566A8C"/>
    <w:rsid w:val="00566C7E"/>
    <w:rsid w:val="0056717F"/>
    <w:rsid w:val="00570B82"/>
    <w:rsid w:val="00570E53"/>
    <w:rsid w:val="005714F3"/>
    <w:rsid w:val="00571812"/>
    <w:rsid w:val="005720E6"/>
    <w:rsid w:val="005721B5"/>
    <w:rsid w:val="00572E82"/>
    <w:rsid w:val="00572F77"/>
    <w:rsid w:val="00574BB8"/>
    <w:rsid w:val="00574E80"/>
    <w:rsid w:val="005752E5"/>
    <w:rsid w:val="005753A1"/>
    <w:rsid w:val="005754E6"/>
    <w:rsid w:val="00575D7E"/>
    <w:rsid w:val="005760AF"/>
    <w:rsid w:val="00576DDA"/>
    <w:rsid w:val="005774CE"/>
    <w:rsid w:val="00577659"/>
    <w:rsid w:val="005779A8"/>
    <w:rsid w:val="00577A7B"/>
    <w:rsid w:val="005810AC"/>
    <w:rsid w:val="0058145C"/>
    <w:rsid w:val="00583329"/>
    <w:rsid w:val="005838B7"/>
    <w:rsid w:val="00583A41"/>
    <w:rsid w:val="00585028"/>
    <w:rsid w:val="00587679"/>
    <w:rsid w:val="0059015E"/>
    <w:rsid w:val="00590661"/>
    <w:rsid w:val="005911A5"/>
    <w:rsid w:val="005919CC"/>
    <w:rsid w:val="00591BD2"/>
    <w:rsid w:val="00591F37"/>
    <w:rsid w:val="005927B6"/>
    <w:rsid w:val="00592FDE"/>
    <w:rsid w:val="00592FE6"/>
    <w:rsid w:val="00593A13"/>
    <w:rsid w:val="00594977"/>
    <w:rsid w:val="00594A1C"/>
    <w:rsid w:val="00595AED"/>
    <w:rsid w:val="00596199"/>
    <w:rsid w:val="00596AD6"/>
    <w:rsid w:val="005972F4"/>
    <w:rsid w:val="005A0007"/>
    <w:rsid w:val="005A00A3"/>
    <w:rsid w:val="005A21F2"/>
    <w:rsid w:val="005A2D77"/>
    <w:rsid w:val="005A38A2"/>
    <w:rsid w:val="005A3D43"/>
    <w:rsid w:val="005A4963"/>
    <w:rsid w:val="005A564F"/>
    <w:rsid w:val="005A7722"/>
    <w:rsid w:val="005B1BC4"/>
    <w:rsid w:val="005B2F76"/>
    <w:rsid w:val="005B37CC"/>
    <w:rsid w:val="005B3E46"/>
    <w:rsid w:val="005B4E81"/>
    <w:rsid w:val="005B519B"/>
    <w:rsid w:val="005B56E2"/>
    <w:rsid w:val="005B7352"/>
    <w:rsid w:val="005C105E"/>
    <w:rsid w:val="005C1082"/>
    <w:rsid w:val="005C1BA2"/>
    <w:rsid w:val="005C2A50"/>
    <w:rsid w:val="005C37CF"/>
    <w:rsid w:val="005C3BDA"/>
    <w:rsid w:val="005C4738"/>
    <w:rsid w:val="005C4F27"/>
    <w:rsid w:val="005C560C"/>
    <w:rsid w:val="005C5697"/>
    <w:rsid w:val="005C600C"/>
    <w:rsid w:val="005C7158"/>
    <w:rsid w:val="005C75C9"/>
    <w:rsid w:val="005D013C"/>
    <w:rsid w:val="005D0527"/>
    <w:rsid w:val="005D09F2"/>
    <w:rsid w:val="005D0D84"/>
    <w:rsid w:val="005D1A73"/>
    <w:rsid w:val="005D35A5"/>
    <w:rsid w:val="005D6267"/>
    <w:rsid w:val="005D7091"/>
    <w:rsid w:val="005D7196"/>
    <w:rsid w:val="005E0230"/>
    <w:rsid w:val="005E05E5"/>
    <w:rsid w:val="005E0A06"/>
    <w:rsid w:val="005E199B"/>
    <w:rsid w:val="005E1EAB"/>
    <w:rsid w:val="005E273B"/>
    <w:rsid w:val="005E30C8"/>
    <w:rsid w:val="005E44FA"/>
    <w:rsid w:val="005E4AB5"/>
    <w:rsid w:val="005E4CE5"/>
    <w:rsid w:val="005E510B"/>
    <w:rsid w:val="005E57D4"/>
    <w:rsid w:val="005E5966"/>
    <w:rsid w:val="005E72DD"/>
    <w:rsid w:val="005E7C04"/>
    <w:rsid w:val="005F00F2"/>
    <w:rsid w:val="005F061D"/>
    <w:rsid w:val="005F0CDE"/>
    <w:rsid w:val="005F0FFB"/>
    <w:rsid w:val="005F1E80"/>
    <w:rsid w:val="005F2181"/>
    <w:rsid w:val="005F2A54"/>
    <w:rsid w:val="005F2BB1"/>
    <w:rsid w:val="005F3299"/>
    <w:rsid w:val="005F37A5"/>
    <w:rsid w:val="005F4C42"/>
    <w:rsid w:val="005F4CA5"/>
    <w:rsid w:val="005F5618"/>
    <w:rsid w:val="005F5DDC"/>
    <w:rsid w:val="005F5E17"/>
    <w:rsid w:val="005F63B8"/>
    <w:rsid w:val="005F6C7F"/>
    <w:rsid w:val="005F7203"/>
    <w:rsid w:val="00600463"/>
    <w:rsid w:val="00601E41"/>
    <w:rsid w:val="00602510"/>
    <w:rsid w:val="006038CA"/>
    <w:rsid w:val="006045F7"/>
    <w:rsid w:val="00604C13"/>
    <w:rsid w:val="0060510F"/>
    <w:rsid w:val="00605650"/>
    <w:rsid w:val="006063A9"/>
    <w:rsid w:val="00607473"/>
    <w:rsid w:val="006079D3"/>
    <w:rsid w:val="00607D7B"/>
    <w:rsid w:val="00611CF5"/>
    <w:rsid w:val="00612F76"/>
    <w:rsid w:val="0061444E"/>
    <w:rsid w:val="00614EF9"/>
    <w:rsid w:val="006151C6"/>
    <w:rsid w:val="006169A0"/>
    <w:rsid w:val="00617CCB"/>
    <w:rsid w:val="00617E48"/>
    <w:rsid w:val="00620AEA"/>
    <w:rsid w:val="0062143E"/>
    <w:rsid w:val="00621FE9"/>
    <w:rsid w:val="006229AA"/>
    <w:rsid w:val="00622ABD"/>
    <w:rsid w:val="00623A07"/>
    <w:rsid w:val="00624315"/>
    <w:rsid w:val="00624D07"/>
    <w:rsid w:val="006251D0"/>
    <w:rsid w:val="006259B5"/>
    <w:rsid w:val="00625B88"/>
    <w:rsid w:val="0062622A"/>
    <w:rsid w:val="00626988"/>
    <w:rsid w:val="0063021F"/>
    <w:rsid w:val="00630BDC"/>
    <w:rsid w:val="00630CB2"/>
    <w:rsid w:val="00630EAA"/>
    <w:rsid w:val="0063110C"/>
    <w:rsid w:val="006312D5"/>
    <w:rsid w:val="0063143B"/>
    <w:rsid w:val="00631481"/>
    <w:rsid w:val="0063224C"/>
    <w:rsid w:val="00632C84"/>
    <w:rsid w:val="00632F91"/>
    <w:rsid w:val="00633E0D"/>
    <w:rsid w:val="0063422C"/>
    <w:rsid w:val="0063452E"/>
    <w:rsid w:val="006348B6"/>
    <w:rsid w:val="00635241"/>
    <w:rsid w:val="006358AE"/>
    <w:rsid w:val="00635A2D"/>
    <w:rsid w:val="0063668C"/>
    <w:rsid w:val="006368F7"/>
    <w:rsid w:val="00636B55"/>
    <w:rsid w:val="00637967"/>
    <w:rsid w:val="00637E06"/>
    <w:rsid w:val="00642731"/>
    <w:rsid w:val="00642870"/>
    <w:rsid w:val="00643891"/>
    <w:rsid w:val="006439CA"/>
    <w:rsid w:val="00643A2A"/>
    <w:rsid w:val="006446A2"/>
    <w:rsid w:val="00645026"/>
    <w:rsid w:val="006459B8"/>
    <w:rsid w:val="00645FD5"/>
    <w:rsid w:val="00646BAE"/>
    <w:rsid w:val="00646BD6"/>
    <w:rsid w:val="00650EAA"/>
    <w:rsid w:val="00650FA8"/>
    <w:rsid w:val="006516FD"/>
    <w:rsid w:val="00651C20"/>
    <w:rsid w:val="00651DC0"/>
    <w:rsid w:val="006526E1"/>
    <w:rsid w:val="0065276A"/>
    <w:rsid w:val="00652998"/>
    <w:rsid w:val="00652AAF"/>
    <w:rsid w:val="006538CE"/>
    <w:rsid w:val="00654441"/>
    <w:rsid w:val="006552EA"/>
    <w:rsid w:val="00655A73"/>
    <w:rsid w:val="00655C7B"/>
    <w:rsid w:val="00655E6C"/>
    <w:rsid w:val="00655EA0"/>
    <w:rsid w:val="006569B3"/>
    <w:rsid w:val="0066146A"/>
    <w:rsid w:val="0066204A"/>
    <w:rsid w:val="0066205D"/>
    <w:rsid w:val="00663026"/>
    <w:rsid w:val="00663112"/>
    <w:rsid w:val="0066402C"/>
    <w:rsid w:val="00664453"/>
    <w:rsid w:val="006655F7"/>
    <w:rsid w:val="006656B4"/>
    <w:rsid w:val="00665C19"/>
    <w:rsid w:val="006660AE"/>
    <w:rsid w:val="0066620C"/>
    <w:rsid w:val="00666AF2"/>
    <w:rsid w:val="00666EC5"/>
    <w:rsid w:val="00666F3C"/>
    <w:rsid w:val="006673EA"/>
    <w:rsid w:val="00667772"/>
    <w:rsid w:val="00670CA2"/>
    <w:rsid w:val="00671655"/>
    <w:rsid w:val="006719F0"/>
    <w:rsid w:val="0067256F"/>
    <w:rsid w:val="006734B0"/>
    <w:rsid w:val="0067366E"/>
    <w:rsid w:val="0067564A"/>
    <w:rsid w:val="00675E97"/>
    <w:rsid w:val="00676869"/>
    <w:rsid w:val="0067766C"/>
    <w:rsid w:val="006776DC"/>
    <w:rsid w:val="00677F37"/>
    <w:rsid w:val="00680086"/>
    <w:rsid w:val="00680A9F"/>
    <w:rsid w:val="00681165"/>
    <w:rsid w:val="0068148F"/>
    <w:rsid w:val="0068158B"/>
    <w:rsid w:val="00681B0D"/>
    <w:rsid w:val="006823EA"/>
    <w:rsid w:val="006828F9"/>
    <w:rsid w:val="00682A8B"/>
    <w:rsid w:val="00682AAD"/>
    <w:rsid w:val="00682D13"/>
    <w:rsid w:val="006832E6"/>
    <w:rsid w:val="0068424C"/>
    <w:rsid w:val="00684D59"/>
    <w:rsid w:val="006854B8"/>
    <w:rsid w:val="006854E7"/>
    <w:rsid w:val="00686E48"/>
    <w:rsid w:val="00686E78"/>
    <w:rsid w:val="00687035"/>
    <w:rsid w:val="00687738"/>
    <w:rsid w:val="00687815"/>
    <w:rsid w:val="0069058A"/>
    <w:rsid w:val="00691301"/>
    <w:rsid w:val="00691AF7"/>
    <w:rsid w:val="00693917"/>
    <w:rsid w:val="00693C56"/>
    <w:rsid w:val="00694496"/>
    <w:rsid w:val="00694B7F"/>
    <w:rsid w:val="00695257"/>
    <w:rsid w:val="00695DC0"/>
    <w:rsid w:val="00697D2C"/>
    <w:rsid w:val="006A190C"/>
    <w:rsid w:val="006A1E4B"/>
    <w:rsid w:val="006A3862"/>
    <w:rsid w:val="006A3DA3"/>
    <w:rsid w:val="006A4050"/>
    <w:rsid w:val="006A4744"/>
    <w:rsid w:val="006A4F47"/>
    <w:rsid w:val="006A6CF0"/>
    <w:rsid w:val="006A7430"/>
    <w:rsid w:val="006B0092"/>
    <w:rsid w:val="006B1019"/>
    <w:rsid w:val="006B10A0"/>
    <w:rsid w:val="006B123D"/>
    <w:rsid w:val="006B1452"/>
    <w:rsid w:val="006B1757"/>
    <w:rsid w:val="006B1790"/>
    <w:rsid w:val="006B1791"/>
    <w:rsid w:val="006B1946"/>
    <w:rsid w:val="006B3648"/>
    <w:rsid w:val="006B3797"/>
    <w:rsid w:val="006B475E"/>
    <w:rsid w:val="006B4A0D"/>
    <w:rsid w:val="006B4BB0"/>
    <w:rsid w:val="006B5CC1"/>
    <w:rsid w:val="006B5DE6"/>
    <w:rsid w:val="006B6A3E"/>
    <w:rsid w:val="006B6E06"/>
    <w:rsid w:val="006B6F29"/>
    <w:rsid w:val="006B7388"/>
    <w:rsid w:val="006B787F"/>
    <w:rsid w:val="006C0A55"/>
    <w:rsid w:val="006C1436"/>
    <w:rsid w:val="006C155E"/>
    <w:rsid w:val="006C2094"/>
    <w:rsid w:val="006C2365"/>
    <w:rsid w:val="006C2486"/>
    <w:rsid w:val="006C2F3A"/>
    <w:rsid w:val="006C3398"/>
    <w:rsid w:val="006C4B12"/>
    <w:rsid w:val="006C51FE"/>
    <w:rsid w:val="006C5943"/>
    <w:rsid w:val="006C5B48"/>
    <w:rsid w:val="006C5F34"/>
    <w:rsid w:val="006C664B"/>
    <w:rsid w:val="006C6DF3"/>
    <w:rsid w:val="006C7E76"/>
    <w:rsid w:val="006D024A"/>
    <w:rsid w:val="006D07EA"/>
    <w:rsid w:val="006D0A26"/>
    <w:rsid w:val="006D0E1E"/>
    <w:rsid w:val="006D17D9"/>
    <w:rsid w:val="006D1DA2"/>
    <w:rsid w:val="006D265A"/>
    <w:rsid w:val="006D460E"/>
    <w:rsid w:val="006D47C3"/>
    <w:rsid w:val="006D673C"/>
    <w:rsid w:val="006D700C"/>
    <w:rsid w:val="006E0102"/>
    <w:rsid w:val="006E18E3"/>
    <w:rsid w:val="006E21E6"/>
    <w:rsid w:val="006E318F"/>
    <w:rsid w:val="006E3703"/>
    <w:rsid w:val="006E3D1E"/>
    <w:rsid w:val="006E512A"/>
    <w:rsid w:val="006E52AF"/>
    <w:rsid w:val="006E5D2E"/>
    <w:rsid w:val="006E6023"/>
    <w:rsid w:val="006E6B7E"/>
    <w:rsid w:val="006E6CE1"/>
    <w:rsid w:val="006E77F8"/>
    <w:rsid w:val="006F055A"/>
    <w:rsid w:val="006F0A85"/>
    <w:rsid w:val="006F1468"/>
    <w:rsid w:val="006F1605"/>
    <w:rsid w:val="006F2FFF"/>
    <w:rsid w:val="006F46EC"/>
    <w:rsid w:val="006F4786"/>
    <w:rsid w:val="006F4ACE"/>
    <w:rsid w:val="006F5F31"/>
    <w:rsid w:val="006F77E2"/>
    <w:rsid w:val="00700475"/>
    <w:rsid w:val="00700EC9"/>
    <w:rsid w:val="00701076"/>
    <w:rsid w:val="00701135"/>
    <w:rsid w:val="00701AF0"/>
    <w:rsid w:val="00703B76"/>
    <w:rsid w:val="00704509"/>
    <w:rsid w:val="00706B0D"/>
    <w:rsid w:val="00706EDD"/>
    <w:rsid w:val="0071110D"/>
    <w:rsid w:val="0071216B"/>
    <w:rsid w:val="00714812"/>
    <w:rsid w:val="00714EE0"/>
    <w:rsid w:val="00716166"/>
    <w:rsid w:val="007164A8"/>
    <w:rsid w:val="007164FB"/>
    <w:rsid w:val="00717B5E"/>
    <w:rsid w:val="00720389"/>
    <w:rsid w:val="00720C60"/>
    <w:rsid w:val="00720E75"/>
    <w:rsid w:val="00722439"/>
    <w:rsid w:val="00722DE9"/>
    <w:rsid w:val="00723732"/>
    <w:rsid w:val="00723983"/>
    <w:rsid w:val="007249AC"/>
    <w:rsid w:val="00725AB5"/>
    <w:rsid w:val="00726BAF"/>
    <w:rsid w:val="00727E4A"/>
    <w:rsid w:val="00730891"/>
    <w:rsid w:val="00730CF4"/>
    <w:rsid w:val="0073131D"/>
    <w:rsid w:val="0073196A"/>
    <w:rsid w:val="00731B0C"/>
    <w:rsid w:val="0073317A"/>
    <w:rsid w:val="00733B11"/>
    <w:rsid w:val="00734C2E"/>
    <w:rsid w:val="00736A41"/>
    <w:rsid w:val="0074053E"/>
    <w:rsid w:val="00740A31"/>
    <w:rsid w:val="007414A8"/>
    <w:rsid w:val="00741516"/>
    <w:rsid w:val="00741A23"/>
    <w:rsid w:val="00741DF1"/>
    <w:rsid w:val="007427F6"/>
    <w:rsid w:val="0074297F"/>
    <w:rsid w:val="00743007"/>
    <w:rsid w:val="00743A44"/>
    <w:rsid w:val="00743CCB"/>
    <w:rsid w:val="00744A21"/>
    <w:rsid w:val="00744F00"/>
    <w:rsid w:val="0074618B"/>
    <w:rsid w:val="00746908"/>
    <w:rsid w:val="00746DF4"/>
    <w:rsid w:val="007477ED"/>
    <w:rsid w:val="007506FC"/>
    <w:rsid w:val="007508EA"/>
    <w:rsid w:val="00750CE3"/>
    <w:rsid w:val="007527B9"/>
    <w:rsid w:val="007530C6"/>
    <w:rsid w:val="0075538F"/>
    <w:rsid w:val="007558B2"/>
    <w:rsid w:val="00756562"/>
    <w:rsid w:val="00757034"/>
    <w:rsid w:val="00762DF4"/>
    <w:rsid w:val="007633F2"/>
    <w:rsid w:val="007637EC"/>
    <w:rsid w:val="007640A4"/>
    <w:rsid w:val="007645C4"/>
    <w:rsid w:val="00764685"/>
    <w:rsid w:val="00764A74"/>
    <w:rsid w:val="00765C74"/>
    <w:rsid w:val="007668F3"/>
    <w:rsid w:val="00766C04"/>
    <w:rsid w:val="00767971"/>
    <w:rsid w:val="00771C0F"/>
    <w:rsid w:val="00771D81"/>
    <w:rsid w:val="0077397B"/>
    <w:rsid w:val="00775205"/>
    <w:rsid w:val="00775A4B"/>
    <w:rsid w:val="00776040"/>
    <w:rsid w:val="00776E5B"/>
    <w:rsid w:val="00777806"/>
    <w:rsid w:val="00777E3B"/>
    <w:rsid w:val="00780745"/>
    <w:rsid w:val="00781014"/>
    <w:rsid w:val="007816A1"/>
    <w:rsid w:val="0078175A"/>
    <w:rsid w:val="00781AD5"/>
    <w:rsid w:val="00783509"/>
    <w:rsid w:val="007847A7"/>
    <w:rsid w:val="007856E6"/>
    <w:rsid w:val="00785E9B"/>
    <w:rsid w:val="00787542"/>
    <w:rsid w:val="00790DA6"/>
    <w:rsid w:val="00790F3E"/>
    <w:rsid w:val="007910BF"/>
    <w:rsid w:val="0079312A"/>
    <w:rsid w:val="0079344E"/>
    <w:rsid w:val="007939F2"/>
    <w:rsid w:val="007947CD"/>
    <w:rsid w:val="007956E7"/>
    <w:rsid w:val="00795A3F"/>
    <w:rsid w:val="0079674C"/>
    <w:rsid w:val="00797103"/>
    <w:rsid w:val="007979E0"/>
    <w:rsid w:val="007A00CA"/>
    <w:rsid w:val="007A1650"/>
    <w:rsid w:val="007A2612"/>
    <w:rsid w:val="007A28B7"/>
    <w:rsid w:val="007A2E60"/>
    <w:rsid w:val="007A46B6"/>
    <w:rsid w:val="007A5108"/>
    <w:rsid w:val="007A5196"/>
    <w:rsid w:val="007A57ED"/>
    <w:rsid w:val="007A5CE0"/>
    <w:rsid w:val="007A6634"/>
    <w:rsid w:val="007A67F8"/>
    <w:rsid w:val="007A78F7"/>
    <w:rsid w:val="007A7F4A"/>
    <w:rsid w:val="007B05B5"/>
    <w:rsid w:val="007B14D0"/>
    <w:rsid w:val="007B1BA3"/>
    <w:rsid w:val="007B2294"/>
    <w:rsid w:val="007B2554"/>
    <w:rsid w:val="007B3D05"/>
    <w:rsid w:val="007B468E"/>
    <w:rsid w:val="007B498A"/>
    <w:rsid w:val="007B601D"/>
    <w:rsid w:val="007B678B"/>
    <w:rsid w:val="007B68CC"/>
    <w:rsid w:val="007B6CC8"/>
    <w:rsid w:val="007B7031"/>
    <w:rsid w:val="007B78BD"/>
    <w:rsid w:val="007C0203"/>
    <w:rsid w:val="007C23FF"/>
    <w:rsid w:val="007C2A01"/>
    <w:rsid w:val="007C3291"/>
    <w:rsid w:val="007C4325"/>
    <w:rsid w:val="007C57F5"/>
    <w:rsid w:val="007C5AF5"/>
    <w:rsid w:val="007D00E0"/>
    <w:rsid w:val="007D022E"/>
    <w:rsid w:val="007D10FE"/>
    <w:rsid w:val="007D24DA"/>
    <w:rsid w:val="007D309B"/>
    <w:rsid w:val="007D427E"/>
    <w:rsid w:val="007D6A4A"/>
    <w:rsid w:val="007D7508"/>
    <w:rsid w:val="007D7C50"/>
    <w:rsid w:val="007E01CF"/>
    <w:rsid w:val="007E0756"/>
    <w:rsid w:val="007E0FDA"/>
    <w:rsid w:val="007E1976"/>
    <w:rsid w:val="007E3210"/>
    <w:rsid w:val="007E4515"/>
    <w:rsid w:val="007E681F"/>
    <w:rsid w:val="007E7695"/>
    <w:rsid w:val="007F020E"/>
    <w:rsid w:val="007F0283"/>
    <w:rsid w:val="007F08E3"/>
    <w:rsid w:val="007F1ED9"/>
    <w:rsid w:val="007F28C0"/>
    <w:rsid w:val="007F4252"/>
    <w:rsid w:val="007F47F5"/>
    <w:rsid w:val="007F4EFE"/>
    <w:rsid w:val="007F6140"/>
    <w:rsid w:val="007F7A8C"/>
    <w:rsid w:val="007F7E38"/>
    <w:rsid w:val="00801781"/>
    <w:rsid w:val="0080248B"/>
    <w:rsid w:val="00803A70"/>
    <w:rsid w:val="00803C2E"/>
    <w:rsid w:val="0080487E"/>
    <w:rsid w:val="0080513F"/>
    <w:rsid w:val="00806E1B"/>
    <w:rsid w:val="008100EE"/>
    <w:rsid w:val="00810B35"/>
    <w:rsid w:val="00810B43"/>
    <w:rsid w:val="00810C83"/>
    <w:rsid w:val="008110F7"/>
    <w:rsid w:val="00811182"/>
    <w:rsid w:val="008117AB"/>
    <w:rsid w:val="00811833"/>
    <w:rsid w:val="0081188F"/>
    <w:rsid w:val="0081222A"/>
    <w:rsid w:val="00813330"/>
    <w:rsid w:val="00813F25"/>
    <w:rsid w:val="00813F6F"/>
    <w:rsid w:val="008144A9"/>
    <w:rsid w:val="0081614C"/>
    <w:rsid w:val="00816933"/>
    <w:rsid w:val="00817542"/>
    <w:rsid w:val="00817AE6"/>
    <w:rsid w:val="00820060"/>
    <w:rsid w:val="008207B5"/>
    <w:rsid w:val="00820F12"/>
    <w:rsid w:val="0082126D"/>
    <w:rsid w:val="00822A7D"/>
    <w:rsid w:val="00822A97"/>
    <w:rsid w:val="00822BB3"/>
    <w:rsid w:val="0082462A"/>
    <w:rsid w:val="00824C79"/>
    <w:rsid w:val="00824EE4"/>
    <w:rsid w:val="00825727"/>
    <w:rsid w:val="00825D60"/>
    <w:rsid w:val="00825F29"/>
    <w:rsid w:val="00825FFE"/>
    <w:rsid w:val="00827934"/>
    <w:rsid w:val="0083072F"/>
    <w:rsid w:val="00830CA0"/>
    <w:rsid w:val="008354D8"/>
    <w:rsid w:val="0083582D"/>
    <w:rsid w:val="00835F70"/>
    <w:rsid w:val="0083621A"/>
    <w:rsid w:val="00836CA0"/>
    <w:rsid w:val="00837499"/>
    <w:rsid w:val="0083753F"/>
    <w:rsid w:val="00837D4C"/>
    <w:rsid w:val="00840771"/>
    <w:rsid w:val="0084142C"/>
    <w:rsid w:val="008425D8"/>
    <w:rsid w:val="00842888"/>
    <w:rsid w:val="008437A8"/>
    <w:rsid w:val="00843ADC"/>
    <w:rsid w:val="008441E4"/>
    <w:rsid w:val="00844463"/>
    <w:rsid w:val="00844C99"/>
    <w:rsid w:val="00845EEE"/>
    <w:rsid w:val="008501F9"/>
    <w:rsid w:val="008508DD"/>
    <w:rsid w:val="00851217"/>
    <w:rsid w:val="00852643"/>
    <w:rsid w:val="00852A46"/>
    <w:rsid w:val="008534E4"/>
    <w:rsid w:val="0085415B"/>
    <w:rsid w:val="0085517C"/>
    <w:rsid w:val="008555B5"/>
    <w:rsid w:val="00856D75"/>
    <w:rsid w:val="008578CD"/>
    <w:rsid w:val="00862C17"/>
    <w:rsid w:val="00862EDE"/>
    <w:rsid w:val="00863711"/>
    <w:rsid w:val="008638C3"/>
    <w:rsid w:val="00863E91"/>
    <w:rsid w:val="008648DA"/>
    <w:rsid w:val="00864B39"/>
    <w:rsid w:val="00864DC3"/>
    <w:rsid w:val="008712C1"/>
    <w:rsid w:val="008720B2"/>
    <w:rsid w:val="00873301"/>
    <w:rsid w:val="00873A15"/>
    <w:rsid w:val="00873F6D"/>
    <w:rsid w:val="0087444C"/>
    <w:rsid w:val="00874C86"/>
    <w:rsid w:val="008753ED"/>
    <w:rsid w:val="00875432"/>
    <w:rsid w:val="00875BB6"/>
    <w:rsid w:val="00875F44"/>
    <w:rsid w:val="00876278"/>
    <w:rsid w:val="0087692D"/>
    <w:rsid w:val="00876B7B"/>
    <w:rsid w:val="0087783C"/>
    <w:rsid w:val="00877DA1"/>
    <w:rsid w:val="00881899"/>
    <w:rsid w:val="00881AF1"/>
    <w:rsid w:val="00881F1D"/>
    <w:rsid w:val="00882518"/>
    <w:rsid w:val="008836D9"/>
    <w:rsid w:val="0088403B"/>
    <w:rsid w:val="0088486D"/>
    <w:rsid w:val="00885045"/>
    <w:rsid w:val="00885946"/>
    <w:rsid w:val="00885E36"/>
    <w:rsid w:val="00886699"/>
    <w:rsid w:val="00886EE9"/>
    <w:rsid w:val="0088709D"/>
    <w:rsid w:val="00887962"/>
    <w:rsid w:val="00890076"/>
    <w:rsid w:val="008905E0"/>
    <w:rsid w:val="008911E4"/>
    <w:rsid w:val="008926EE"/>
    <w:rsid w:val="00892967"/>
    <w:rsid w:val="00893184"/>
    <w:rsid w:val="00893535"/>
    <w:rsid w:val="00894886"/>
    <w:rsid w:val="0089568E"/>
    <w:rsid w:val="00896139"/>
    <w:rsid w:val="0089650D"/>
    <w:rsid w:val="00897E99"/>
    <w:rsid w:val="008A0110"/>
    <w:rsid w:val="008A049C"/>
    <w:rsid w:val="008A0CC1"/>
    <w:rsid w:val="008A1059"/>
    <w:rsid w:val="008A1E94"/>
    <w:rsid w:val="008A2427"/>
    <w:rsid w:val="008A318B"/>
    <w:rsid w:val="008A4B99"/>
    <w:rsid w:val="008A51EE"/>
    <w:rsid w:val="008A5B8E"/>
    <w:rsid w:val="008A644E"/>
    <w:rsid w:val="008A6D36"/>
    <w:rsid w:val="008A702A"/>
    <w:rsid w:val="008B085A"/>
    <w:rsid w:val="008B25E0"/>
    <w:rsid w:val="008B2882"/>
    <w:rsid w:val="008B2BEB"/>
    <w:rsid w:val="008B2F36"/>
    <w:rsid w:val="008B3266"/>
    <w:rsid w:val="008B3350"/>
    <w:rsid w:val="008B35D4"/>
    <w:rsid w:val="008B38F0"/>
    <w:rsid w:val="008B391E"/>
    <w:rsid w:val="008B4684"/>
    <w:rsid w:val="008B5262"/>
    <w:rsid w:val="008B611E"/>
    <w:rsid w:val="008B72CB"/>
    <w:rsid w:val="008C0580"/>
    <w:rsid w:val="008C0685"/>
    <w:rsid w:val="008C1077"/>
    <w:rsid w:val="008C11F0"/>
    <w:rsid w:val="008C1D9F"/>
    <w:rsid w:val="008C2D52"/>
    <w:rsid w:val="008C38B5"/>
    <w:rsid w:val="008C3DB8"/>
    <w:rsid w:val="008C4E4E"/>
    <w:rsid w:val="008C4FA8"/>
    <w:rsid w:val="008C55E2"/>
    <w:rsid w:val="008C5B03"/>
    <w:rsid w:val="008C6332"/>
    <w:rsid w:val="008C71A2"/>
    <w:rsid w:val="008C76D1"/>
    <w:rsid w:val="008C7802"/>
    <w:rsid w:val="008D06D2"/>
    <w:rsid w:val="008D1889"/>
    <w:rsid w:val="008D2E31"/>
    <w:rsid w:val="008D2E5B"/>
    <w:rsid w:val="008D3C28"/>
    <w:rsid w:val="008D4731"/>
    <w:rsid w:val="008D4821"/>
    <w:rsid w:val="008D484B"/>
    <w:rsid w:val="008D505D"/>
    <w:rsid w:val="008D568F"/>
    <w:rsid w:val="008D5B84"/>
    <w:rsid w:val="008E02E9"/>
    <w:rsid w:val="008E1EE5"/>
    <w:rsid w:val="008E2949"/>
    <w:rsid w:val="008E2BC9"/>
    <w:rsid w:val="008E3268"/>
    <w:rsid w:val="008E4341"/>
    <w:rsid w:val="008E4541"/>
    <w:rsid w:val="008E5422"/>
    <w:rsid w:val="008E6536"/>
    <w:rsid w:val="008F0017"/>
    <w:rsid w:val="008F0653"/>
    <w:rsid w:val="008F2981"/>
    <w:rsid w:val="008F298B"/>
    <w:rsid w:val="008F2B10"/>
    <w:rsid w:val="008F2DEC"/>
    <w:rsid w:val="008F3212"/>
    <w:rsid w:val="008F3676"/>
    <w:rsid w:val="008F3757"/>
    <w:rsid w:val="008F3794"/>
    <w:rsid w:val="008F3D14"/>
    <w:rsid w:val="008F4A87"/>
    <w:rsid w:val="008F6B69"/>
    <w:rsid w:val="008F77C5"/>
    <w:rsid w:val="008F7DC4"/>
    <w:rsid w:val="009004DB"/>
    <w:rsid w:val="0090093C"/>
    <w:rsid w:val="00900FA8"/>
    <w:rsid w:val="00901164"/>
    <w:rsid w:val="009013C1"/>
    <w:rsid w:val="00902843"/>
    <w:rsid w:val="00903D12"/>
    <w:rsid w:val="00905B1E"/>
    <w:rsid w:val="00905D9C"/>
    <w:rsid w:val="00906E55"/>
    <w:rsid w:val="0090746C"/>
    <w:rsid w:val="00910205"/>
    <w:rsid w:val="00911B42"/>
    <w:rsid w:val="00911CA2"/>
    <w:rsid w:val="00913104"/>
    <w:rsid w:val="009136EF"/>
    <w:rsid w:val="00913DA4"/>
    <w:rsid w:val="00914A08"/>
    <w:rsid w:val="00914BF8"/>
    <w:rsid w:val="009151CF"/>
    <w:rsid w:val="00915B47"/>
    <w:rsid w:val="00915F86"/>
    <w:rsid w:val="0091678E"/>
    <w:rsid w:val="00916FA2"/>
    <w:rsid w:val="00917E99"/>
    <w:rsid w:val="00920574"/>
    <w:rsid w:val="0092090D"/>
    <w:rsid w:val="00920C5D"/>
    <w:rsid w:val="00920C9E"/>
    <w:rsid w:val="00922431"/>
    <w:rsid w:val="00922983"/>
    <w:rsid w:val="00923283"/>
    <w:rsid w:val="0092344D"/>
    <w:rsid w:val="00924A2A"/>
    <w:rsid w:val="00924C13"/>
    <w:rsid w:val="00924EAF"/>
    <w:rsid w:val="009267D1"/>
    <w:rsid w:val="00926FBE"/>
    <w:rsid w:val="00927403"/>
    <w:rsid w:val="00927DD9"/>
    <w:rsid w:val="00930613"/>
    <w:rsid w:val="0093095E"/>
    <w:rsid w:val="009319C5"/>
    <w:rsid w:val="00931D11"/>
    <w:rsid w:val="00932D51"/>
    <w:rsid w:val="00933520"/>
    <w:rsid w:val="0093472F"/>
    <w:rsid w:val="00934DE4"/>
    <w:rsid w:val="00934FB4"/>
    <w:rsid w:val="00935502"/>
    <w:rsid w:val="009355AD"/>
    <w:rsid w:val="00935952"/>
    <w:rsid w:val="009362B5"/>
    <w:rsid w:val="009367AD"/>
    <w:rsid w:val="00936A2C"/>
    <w:rsid w:val="00936E8A"/>
    <w:rsid w:val="009376FD"/>
    <w:rsid w:val="009416ED"/>
    <w:rsid w:val="00941895"/>
    <w:rsid w:val="00942077"/>
    <w:rsid w:val="0094307C"/>
    <w:rsid w:val="009432B8"/>
    <w:rsid w:val="00944ECF"/>
    <w:rsid w:val="00945311"/>
    <w:rsid w:val="00945AB1"/>
    <w:rsid w:val="00947143"/>
    <w:rsid w:val="0094716A"/>
    <w:rsid w:val="0095213B"/>
    <w:rsid w:val="009527A5"/>
    <w:rsid w:val="009535BF"/>
    <w:rsid w:val="00953AB0"/>
    <w:rsid w:val="00953D0A"/>
    <w:rsid w:val="00953E42"/>
    <w:rsid w:val="0095401D"/>
    <w:rsid w:val="009540B0"/>
    <w:rsid w:val="0095433F"/>
    <w:rsid w:val="00954DDD"/>
    <w:rsid w:val="009555E5"/>
    <w:rsid w:val="00955AC3"/>
    <w:rsid w:val="009569A7"/>
    <w:rsid w:val="0095777D"/>
    <w:rsid w:val="00960242"/>
    <w:rsid w:val="0096043E"/>
    <w:rsid w:val="00961E8D"/>
    <w:rsid w:val="00962057"/>
    <w:rsid w:val="009623B6"/>
    <w:rsid w:val="00962E60"/>
    <w:rsid w:val="009632C5"/>
    <w:rsid w:val="009633AA"/>
    <w:rsid w:val="00964512"/>
    <w:rsid w:val="0096484B"/>
    <w:rsid w:val="00964FA6"/>
    <w:rsid w:val="00965E3A"/>
    <w:rsid w:val="009670AB"/>
    <w:rsid w:val="00967548"/>
    <w:rsid w:val="00971964"/>
    <w:rsid w:val="00971AF8"/>
    <w:rsid w:val="00972E84"/>
    <w:rsid w:val="00973081"/>
    <w:rsid w:val="00974D0A"/>
    <w:rsid w:val="0097745E"/>
    <w:rsid w:val="00977E4E"/>
    <w:rsid w:val="00977EDB"/>
    <w:rsid w:val="00977EE4"/>
    <w:rsid w:val="00980615"/>
    <w:rsid w:val="009808CA"/>
    <w:rsid w:val="009832E5"/>
    <w:rsid w:val="009847DC"/>
    <w:rsid w:val="009849F5"/>
    <w:rsid w:val="00984AC1"/>
    <w:rsid w:val="00986728"/>
    <w:rsid w:val="0098792A"/>
    <w:rsid w:val="009910C0"/>
    <w:rsid w:val="009928A3"/>
    <w:rsid w:val="00992A4D"/>
    <w:rsid w:val="00993962"/>
    <w:rsid w:val="00993ECE"/>
    <w:rsid w:val="0099546D"/>
    <w:rsid w:val="009959D3"/>
    <w:rsid w:val="00995E6A"/>
    <w:rsid w:val="00995F6C"/>
    <w:rsid w:val="00996F13"/>
    <w:rsid w:val="00997866"/>
    <w:rsid w:val="009A00DD"/>
    <w:rsid w:val="009A06F7"/>
    <w:rsid w:val="009A11D0"/>
    <w:rsid w:val="009A3C1F"/>
    <w:rsid w:val="009A4A40"/>
    <w:rsid w:val="009A50A5"/>
    <w:rsid w:val="009A5106"/>
    <w:rsid w:val="009A54F1"/>
    <w:rsid w:val="009A557B"/>
    <w:rsid w:val="009B029C"/>
    <w:rsid w:val="009B2541"/>
    <w:rsid w:val="009B2A5D"/>
    <w:rsid w:val="009B39E4"/>
    <w:rsid w:val="009B5407"/>
    <w:rsid w:val="009B5FF7"/>
    <w:rsid w:val="009B64DC"/>
    <w:rsid w:val="009B69D1"/>
    <w:rsid w:val="009B6DF3"/>
    <w:rsid w:val="009C0062"/>
    <w:rsid w:val="009C02D8"/>
    <w:rsid w:val="009C0DAD"/>
    <w:rsid w:val="009C0FEE"/>
    <w:rsid w:val="009C1291"/>
    <w:rsid w:val="009C1D01"/>
    <w:rsid w:val="009C2BEC"/>
    <w:rsid w:val="009C368F"/>
    <w:rsid w:val="009C3A28"/>
    <w:rsid w:val="009C3E12"/>
    <w:rsid w:val="009C4D72"/>
    <w:rsid w:val="009C4EE5"/>
    <w:rsid w:val="009C5448"/>
    <w:rsid w:val="009C65D3"/>
    <w:rsid w:val="009C6725"/>
    <w:rsid w:val="009C680D"/>
    <w:rsid w:val="009C6FF3"/>
    <w:rsid w:val="009C7D11"/>
    <w:rsid w:val="009D0382"/>
    <w:rsid w:val="009D0503"/>
    <w:rsid w:val="009D0B05"/>
    <w:rsid w:val="009D0F4C"/>
    <w:rsid w:val="009D13E9"/>
    <w:rsid w:val="009D14BC"/>
    <w:rsid w:val="009D17D3"/>
    <w:rsid w:val="009D23CF"/>
    <w:rsid w:val="009D292A"/>
    <w:rsid w:val="009D3793"/>
    <w:rsid w:val="009D43AB"/>
    <w:rsid w:val="009D4E80"/>
    <w:rsid w:val="009D578A"/>
    <w:rsid w:val="009D57D5"/>
    <w:rsid w:val="009D63E2"/>
    <w:rsid w:val="009D68FB"/>
    <w:rsid w:val="009D732B"/>
    <w:rsid w:val="009D7411"/>
    <w:rsid w:val="009E1C69"/>
    <w:rsid w:val="009E1CB2"/>
    <w:rsid w:val="009E1F16"/>
    <w:rsid w:val="009E2096"/>
    <w:rsid w:val="009E2450"/>
    <w:rsid w:val="009E3186"/>
    <w:rsid w:val="009E3FE5"/>
    <w:rsid w:val="009E412D"/>
    <w:rsid w:val="009E61EE"/>
    <w:rsid w:val="009E71FE"/>
    <w:rsid w:val="009F04BC"/>
    <w:rsid w:val="009F0BE1"/>
    <w:rsid w:val="009F356F"/>
    <w:rsid w:val="009F36AD"/>
    <w:rsid w:val="009F3FFB"/>
    <w:rsid w:val="009F6942"/>
    <w:rsid w:val="009F7777"/>
    <w:rsid w:val="00A00905"/>
    <w:rsid w:val="00A010FB"/>
    <w:rsid w:val="00A01409"/>
    <w:rsid w:val="00A01CC1"/>
    <w:rsid w:val="00A01EB5"/>
    <w:rsid w:val="00A03C35"/>
    <w:rsid w:val="00A03D23"/>
    <w:rsid w:val="00A03DB5"/>
    <w:rsid w:val="00A04EA5"/>
    <w:rsid w:val="00A051A6"/>
    <w:rsid w:val="00A060C6"/>
    <w:rsid w:val="00A10C16"/>
    <w:rsid w:val="00A11731"/>
    <w:rsid w:val="00A11898"/>
    <w:rsid w:val="00A12602"/>
    <w:rsid w:val="00A13C71"/>
    <w:rsid w:val="00A142D1"/>
    <w:rsid w:val="00A148A0"/>
    <w:rsid w:val="00A14A48"/>
    <w:rsid w:val="00A14D9D"/>
    <w:rsid w:val="00A155BA"/>
    <w:rsid w:val="00A158CC"/>
    <w:rsid w:val="00A1592C"/>
    <w:rsid w:val="00A159C0"/>
    <w:rsid w:val="00A15A27"/>
    <w:rsid w:val="00A16242"/>
    <w:rsid w:val="00A1675E"/>
    <w:rsid w:val="00A16920"/>
    <w:rsid w:val="00A17F05"/>
    <w:rsid w:val="00A201CB"/>
    <w:rsid w:val="00A204D8"/>
    <w:rsid w:val="00A209CA"/>
    <w:rsid w:val="00A2223B"/>
    <w:rsid w:val="00A22242"/>
    <w:rsid w:val="00A22264"/>
    <w:rsid w:val="00A22E51"/>
    <w:rsid w:val="00A23F99"/>
    <w:rsid w:val="00A24C93"/>
    <w:rsid w:val="00A24D56"/>
    <w:rsid w:val="00A24DD4"/>
    <w:rsid w:val="00A25751"/>
    <w:rsid w:val="00A25E02"/>
    <w:rsid w:val="00A262EF"/>
    <w:rsid w:val="00A27E2E"/>
    <w:rsid w:val="00A3050D"/>
    <w:rsid w:val="00A30D12"/>
    <w:rsid w:val="00A30E44"/>
    <w:rsid w:val="00A32050"/>
    <w:rsid w:val="00A32209"/>
    <w:rsid w:val="00A3265F"/>
    <w:rsid w:val="00A33034"/>
    <w:rsid w:val="00A34E2C"/>
    <w:rsid w:val="00A34F96"/>
    <w:rsid w:val="00A3616A"/>
    <w:rsid w:val="00A362EC"/>
    <w:rsid w:val="00A3741A"/>
    <w:rsid w:val="00A37CAF"/>
    <w:rsid w:val="00A400CD"/>
    <w:rsid w:val="00A410FB"/>
    <w:rsid w:val="00A411FB"/>
    <w:rsid w:val="00A41A09"/>
    <w:rsid w:val="00A427F9"/>
    <w:rsid w:val="00A42EFA"/>
    <w:rsid w:val="00A4301B"/>
    <w:rsid w:val="00A43855"/>
    <w:rsid w:val="00A43D61"/>
    <w:rsid w:val="00A4573E"/>
    <w:rsid w:val="00A45F66"/>
    <w:rsid w:val="00A46921"/>
    <w:rsid w:val="00A47E15"/>
    <w:rsid w:val="00A47EBA"/>
    <w:rsid w:val="00A47F89"/>
    <w:rsid w:val="00A47FFA"/>
    <w:rsid w:val="00A5135A"/>
    <w:rsid w:val="00A513B5"/>
    <w:rsid w:val="00A51932"/>
    <w:rsid w:val="00A524C8"/>
    <w:rsid w:val="00A52CD2"/>
    <w:rsid w:val="00A53583"/>
    <w:rsid w:val="00A53BD6"/>
    <w:rsid w:val="00A53D94"/>
    <w:rsid w:val="00A551AC"/>
    <w:rsid w:val="00A552E4"/>
    <w:rsid w:val="00A55A29"/>
    <w:rsid w:val="00A561CE"/>
    <w:rsid w:val="00A5633F"/>
    <w:rsid w:val="00A5641B"/>
    <w:rsid w:val="00A56468"/>
    <w:rsid w:val="00A56775"/>
    <w:rsid w:val="00A56A18"/>
    <w:rsid w:val="00A57030"/>
    <w:rsid w:val="00A6023B"/>
    <w:rsid w:val="00A61A4F"/>
    <w:rsid w:val="00A61A50"/>
    <w:rsid w:val="00A63536"/>
    <w:rsid w:val="00A6388A"/>
    <w:rsid w:val="00A6456A"/>
    <w:rsid w:val="00A64DA5"/>
    <w:rsid w:val="00A65656"/>
    <w:rsid w:val="00A65689"/>
    <w:rsid w:val="00A66842"/>
    <w:rsid w:val="00A67910"/>
    <w:rsid w:val="00A67EAE"/>
    <w:rsid w:val="00A7024A"/>
    <w:rsid w:val="00A7204C"/>
    <w:rsid w:val="00A7209C"/>
    <w:rsid w:val="00A729AF"/>
    <w:rsid w:val="00A729F7"/>
    <w:rsid w:val="00A72F99"/>
    <w:rsid w:val="00A7403F"/>
    <w:rsid w:val="00A741F2"/>
    <w:rsid w:val="00A74B17"/>
    <w:rsid w:val="00A7607E"/>
    <w:rsid w:val="00A76189"/>
    <w:rsid w:val="00A76602"/>
    <w:rsid w:val="00A80ED8"/>
    <w:rsid w:val="00A81B3A"/>
    <w:rsid w:val="00A81D98"/>
    <w:rsid w:val="00A82174"/>
    <w:rsid w:val="00A829DC"/>
    <w:rsid w:val="00A82D0F"/>
    <w:rsid w:val="00A836DB"/>
    <w:rsid w:val="00A83B15"/>
    <w:rsid w:val="00A83DF8"/>
    <w:rsid w:val="00A842B7"/>
    <w:rsid w:val="00A84518"/>
    <w:rsid w:val="00A84E0F"/>
    <w:rsid w:val="00A85157"/>
    <w:rsid w:val="00A853AB"/>
    <w:rsid w:val="00A861EC"/>
    <w:rsid w:val="00A86BC6"/>
    <w:rsid w:val="00A86DF7"/>
    <w:rsid w:val="00A87AF6"/>
    <w:rsid w:val="00A9032C"/>
    <w:rsid w:val="00A90AA9"/>
    <w:rsid w:val="00A9126B"/>
    <w:rsid w:val="00A91550"/>
    <w:rsid w:val="00A91873"/>
    <w:rsid w:val="00A91BB7"/>
    <w:rsid w:val="00A92204"/>
    <w:rsid w:val="00A927F1"/>
    <w:rsid w:val="00A9375B"/>
    <w:rsid w:val="00A95018"/>
    <w:rsid w:val="00A9515E"/>
    <w:rsid w:val="00A95A75"/>
    <w:rsid w:val="00AA00CB"/>
    <w:rsid w:val="00AA023A"/>
    <w:rsid w:val="00AA0639"/>
    <w:rsid w:val="00AA0D62"/>
    <w:rsid w:val="00AA12FB"/>
    <w:rsid w:val="00AA24DF"/>
    <w:rsid w:val="00AA26D8"/>
    <w:rsid w:val="00AA367F"/>
    <w:rsid w:val="00AA3695"/>
    <w:rsid w:val="00AA3A1A"/>
    <w:rsid w:val="00AA3B5D"/>
    <w:rsid w:val="00AA3E2F"/>
    <w:rsid w:val="00AA4033"/>
    <w:rsid w:val="00AA4402"/>
    <w:rsid w:val="00AA5329"/>
    <w:rsid w:val="00AA5530"/>
    <w:rsid w:val="00AA5697"/>
    <w:rsid w:val="00AA5CC6"/>
    <w:rsid w:val="00AA7044"/>
    <w:rsid w:val="00AA7239"/>
    <w:rsid w:val="00AA7F82"/>
    <w:rsid w:val="00AB15C7"/>
    <w:rsid w:val="00AB1B88"/>
    <w:rsid w:val="00AB25D0"/>
    <w:rsid w:val="00AB379F"/>
    <w:rsid w:val="00AB3ECD"/>
    <w:rsid w:val="00AB4189"/>
    <w:rsid w:val="00AB4D59"/>
    <w:rsid w:val="00AB5257"/>
    <w:rsid w:val="00AB6614"/>
    <w:rsid w:val="00AB662B"/>
    <w:rsid w:val="00AB7D51"/>
    <w:rsid w:val="00AB7D98"/>
    <w:rsid w:val="00AC1136"/>
    <w:rsid w:val="00AC1281"/>
    <w:rsid w:val="00AC210A"/>
    <w:rsid w:val="00AC2BC3"/>
    <w:rsid w:val="00AC3133"/>
    <w:rsid w:val="00AC3338"/>
    <w:rsid w:val="00AC33D2"/>
    <w:rsid w:val="00AC3842"/>
    <w:rsid w:val="00AC47F7"/>
    <w:rsid w:val="00AC5C27"/>
    <w:rsid w:val="00AC602B"/>
    <w:rsid w:val="00AC7AE9"/>
    <w:rsid w:val="00AD0E3D"/>
    <w:rsid w:val="00AD20E0"/>
    <w:rsid w:val="00AD4391"/>
    <w:rsid w:val="00AD47DD"/>
    <w:rsid w:val="00AD4B4E"/>
    <w:rsid w:val="00AD4B83"/>
    <w:rsid w:val="00AD5C37"/>
    <w:rsid w:val="00AD6E24"/>
    <w:rsid w:val="00AD7D89"/>
    <w:rsid w:val="00AE1352"/>
    <w:rsid w:val="00AE19E9"/>
    <w:rsid w:val="00AE2095"/>
    <w:rsid w:val="00AE26A2"/>
    <w:rsid w:val="00AE28B1"/>
    <w:rsid w:val="00AE28EB"/>
    <w:rsid w:val="00AE2B16"/>
    <w:rsid w:val="00AE2F24"/>
    <w:rsid w:val="00AE31D1"/>
    <w:rsid w:val="00AE3C96"/>
    <w:rsid w:val="00AE4585"/>
    <w:rsid w:val="00AE6432"/>
    <w:rsid w:val="00AE6818"/>
    <w:rsid w:val="00AE69DE"/>
    <w:rsid w:val="00AE7192"/>
    <w:rsid w:val="00AE756A"/>
    <w:rsid w:val="00AE789A"/>
    <w:rsid w:val="00AF040E"/>
    <w:rsid w:val="00AF1325"/>
    <w:rsid w:val="00AF1B7F"/>
    <w:rsid w:val="00AF22E3"/>
    <w:rsid w:val="00AF258E"/>
    <w:rsid w:val="00AF3280"/>
    <w:rsid w:val="00AF3B03"/>
    <w:rsid w:val="00AF4B8B"/>
    <w:rsid w:val="00AF4E6F"/>
    <w:rsid w:val="00AF5D3E"/>
    <w:rsid w:val="00AF623D"/>
    <w:rsid w:val="00AF69C0"/>
    <w:rsid w:val="00AF6CB6"/>
    <w:rsid w:val="00AF6CF7"/>
    <w:rsid w:val="00AF7087"/>
    <w:rsid w:val="00B00891"/>
    <w:rsid w:val="00B00949"/>
    <w:rsid w:val="00B0169E"/>
    <w:rsid w:val="00B01889"/>
    <w:rsid w:val="00B02275"/>
    <w:rsid w:val="00B03A6C"/>
    <w:rsid w:val="00B03FD1"/>
    <w:rsid w:val="00B0484E"/>
    <w:rsid w:val="00B06538"/>
    <w:rsid w:val="00B07A42"/>
    <w:rsid w:val="00B104F1"/>
    <w:rsid w:val="00B10A0B"/>
    <w:rsid w:val="00B10E04"/>
    <w:rsid w:val="00B116F9"/>
    <w:rsid w:val="00B119DA"/>
    <w:rsid w:val="00B12444"/>
    <w:rsid w:val="00B13230"/>
    <w:rsid w:val="00B1356A"/>
    <w:rsid w:val="00B1476B"/>
    <w:rsid w:val="00B14E69"/>
    <w:rsid w:val="00B15542"/>
    <w:rsid w:val="00B15C49"/>
    <w:rsid w:val="00B160C9"/>
    <w:rsid w:val="00B166AE"/>
    <w:rsid w:val="00B1694C"/>
    <w:rsid w:val="00B16D15"/>
    <w:rsid w:val="00B1705E"/>
    <w:rsid w:val="00B17DD0"/>
    <w:rsid w:val="00B20265"/>
    <w:rsid w:val="00B202B0"/>
    <w:rsid w:val="00B20B8A"/>
    <w:rsid w:val="00B21368"/>
    <w:rsid w:val="00B21ED4"/>
    <w:rsid w:val="00B22532"/>
    <w:rsid w:val="00B24337"/>
    <w:rsid w:val="00B24BDD"/>
    <w:rsid w:val="00B25757"/>
    <w:rsid w:val="00B25853"/>
    <w:rsid w:val="00B260BF"/>
    <w:rsid w:val="00B26AC2"/>
    <w:rsid w:val="00B27432"/>
    <w:rsid w:val="00B27B29"/>
    <w:rsid w:val="00B27B2D"/>
    <w:rsid w:val="00B27E77"/>
    <w:rsid w:val="00B3011F"/>
    <w:rsid w:val="00B3037B"/>
    <w:rsid w:val="00B30CAC"/>
    <w:rsid w:val="00B315AF"/>
    <w:rsid w:val="00B332A6"/>
    <w:rsid w:val="00B34112"/>
    <w:rsid w:val="00B356C1"/>
    <w:rsid w:val="00B35884"/>
    <w:rsid w:val="00B3649D"/>
    <w:rsid w:val="00B36517"/>
    <w:rsid w:val="00B36868"/>
    <w:rsid w:val="00B36F71"/>
    <w:rsid w:val="00B372E5"/>
    <w:rsid w:val="00B374DF"/>
    <w:rsid w:val="00B3766B"/>
    <w:rsid w:val="00B402D2"/>
    <w:rsid w:val="00B404FF"/>
    <w:rsid w:val="00B40CBB"/>
    <w:rsid w:val="00B42083"/>
    <w:rsid w:val="00B42FFA"/>
    <w:rsid w:val="00B43C85"/>
    <w:rsid w:val="00B442FD"/>
    <w:rsid w:val="00B44791"/>
    <w:rsid w:val="00B44B4E"/>
    <w:rsid w:val="00B44C6B"/>
    <w:rsid w:val="00B44F8C"/>
    <w:rsid w:val="00B450C6"/>
    <w:rsid w:val="00B460AE"/>
    <w:rsid w:val="00B46D2B"/>
    <w:rsid w:val="00B50A3B"/>
    <w:rsid w:val="00B516B6"/>
    <w:rsid w:val="00B5222D"/>
    <w:rsid w:val="00B52C78"/>
    <w:rsid w:val="00B547E8"/>
    <w:rsid w:val="00B555D6"/>
    <w:rsid w:val="00B56798"/>
    <w:rsid w:val="00B56E90"/>
    <w:rsid w:val="00B57A54"/>
    <w:rsid w:val="00B57F3E"/>
    <w:rsid w:val="00B6033F"/>
    <w:rsid w:val="00B60B57"/>
    <w:rsid w:val="00B614E8"/>
    <w:rsid w:val="00B62253"/>
    <w:rsid w:val="00B6268E"/>
    <w:rsid w:val="00B62D4B"/>
    <w:rsid w:val="00B639E6"/>
    <w:rsid w:val="00B63C59"/>
    <w:rsid w:val="00B6413C"/>
    <w:rsid w:val="00B6517F"/>
    <w:rsid w:val="00B65500"/>
    <w:rsid w:val="00B666B6"/>
    <w:rsid w:val="00B667E8"/>
    <w:rsid w:val="00B71185"/>
    <w:rsid w:val="00B72D73"/>
    <w:rsid w:val="00B73132"/>
    <w:rsid w:val="00B740A4"/>
    <w:rsid w:val="00B74221"/>
    <w:rsid w:val="00B74D55"/>
    <w:rsid w:val="00B751FA"/>
    <w:rsid w:val="00B753F5"/>
    <w:rsid w:val="00B7569D"/>
    <w:rsid w:val="00B81DEB"/>
    <w:rsid w:val="00B82C95"/>
    <w:rsid w:val="00B83A62"/>
    <w:rsid w:val="00B8439C"/>
    <w:rsid w:val="00B85246"/>
    <w:rsid w:val="00B85321"/>
    <w:rsid w:val="00B85BEA"/>
    <w:rsid w:val="00B865E0"/>
    <w:rsid w:val="00B867F7"/>
    <w:rsid w:val="00B873D2"/>
    <w:rsid w:val="00B90DB2"/>
    <w:rsid w:val="00B940D2"/>
    <w:rsid w:val="00B94668"/>
    <w:rsid w:val="00B962AB"/>
    <w:rsid w:val="00B96307"/>
    <w:rsid w:val="00B965AE"/>
    <w:rsid w:val="00B96FC3"/>
    <w:rsid w:val="00B9714F"/>
    <w:rsid w:val="00B97828"/>
    <w:rsid w:val="00B97EC5"/>
    <w:rsid w:val="00BA1E84"/>
    <w:rsid w:val="00BA2038"/>
    <w:rsid w:val="00BA2CC3"/>
    <w:rsid w:val="00BA30CE"/>
    <w:rsid w:val="00BA4119"/>
    <w:rsid w:val="00BA709C"/>
    <w:rsid w:val="00BA7418"/>
    <w:rsid w:val="00BA762F"/>
    <w:rsid w:val="00BA7818"/>
    <w:rsid w:val="00BA7A53"/>
    <w:rsid w:val="00BA7A55"/>
    <w:rsid w:val="00BB006E"/>
    <w:rsid w:val="00BB0353"/>
    <w:rsid w:val="00BB054A"/>
    <w:rsid w:val="00BB0DB8"/>
    <w:rsid w:val="00BB1413"/>
    <w:rsid w:val="00BB16CF"/>
    <w:rsid w:val="00BB1E3C"/>
    <w:rsid w:val="00BB2811"/>
    <w:rsid w:val="00BB2E72"/>
    <w:rsid w:val="00BB3056"/>
    <w:rsid w:val="00BB423A"/>
    <w:rsid w:val="00BB44B9"/>
    <w:rsid w:val="00BB4FCB"/>
    <w:rsid w:val="00BB674A"/>
    <w:rsid w:val="00BB6CE9"/>
    <w:rsid w:val="00BB6DBE"/>
    <w:rsid w:val="00BB70ED"/>
    <w:rsid w:val="00BB72D2"/>
    <w:rsid w:val="00BB789F"/>
    <w:rsid w:val="00BC19AF"/>
    <w:rsid w:val="00BC1E7B"/>
    <w:rsid w:val="00BC296A"/>
    <w:rsid w:val="00BC3CD5"/>
    <w:rsid w:val="00BC3FB1"/>
    <w:rsid w:val="00BC49D1"/>
    <w:rsid w:val="00BC4D84"/>
    <w:rsid w:val="00BC585A"/>
    <w:rsid w:val="00BC5B22"/>
    <w:rsid w:val="00BC5BBB"/>
    <w:rsid w:val="00BC6E7B"/>
    <w:rsid w:val="00BC7805"/>
    <w:rsid w:val="00BD0DBD"/>
    <w:rsid w:val="00BD127B"/>
    <w:rsid w:val="00BD1315"/>
    <w:rsid w:val="00BD1470"/>
    <w:rsid w:val="00BD3289"/>
    <w:rsid w:val="00BD3C9A"/>
    <w:rsid w:val="00BD3F2E"/>
    <w:rsid w:val="00BD45CA"/>
    <w:rsid w:val="00BD4C23"/>
    <w:rsid w:val="00BD55CB"/>
    <w:rsid w:val="00BD5BDC"/>
    <w:rsid w:val="00BD5D56"/>
    <w:rsid w:val="00BD630D"/>
    <w:rsid w:val="00BD736B"/>
    <w:rsid w:val="00BD737D"/>
    <w:rsid w:val="00BD743C"/>
    <w:rsid w:val="00BE015B"/>
    <w:rsid w:val="00BE046B"/>
    <w:rsid w:val="00BE0E92"/>
    <w:rsid w:val="00BE0EF2"/>
    <w:rsid w:val="00BE217C"/>
    <w:rsid w:val="00BE23FF"/>
    <w:rsid w:val="00BE2612"/>
    <w:rsid w:val="00BE2AA4"/>
    <w:rsid w:val="00BE55C5"/>
    <w:rsid w:val="00BE67AB"/>
    <w:rsid w:val="00BE708C"/>
    <w:rsid w:val="00BE7C52"/>
    <w:rsid w:val="00BF031B"/>
    <w:rsid w:val="00BF05F3"/>
    <w:rsid w:val="00BF2130"/>
    <w:rsid w:val="00BF2FE2"/>
    <w:rsid w:val="00BF32F1"/>
    <w:rsid w:val="00BF3DB8"/>
    <w:rsid w:val="00BF4175"/>
    <w:rsid w:val="00BF42B7"/>
    <w:rsid w:val="00BF4808"/>
    <w:rsid w:val="00BF4996"/>
    <w:rsid w:val="00C00388"/>
    <w:rsid w:val="00C00405"/>
    <w:rsid w:val="00C01EA4"/>
    <w:rsid w:val="00C03BB8"/>
    <w:rsid w:val="00C03D84"/>
    <w:rsid w:val="00C0546A"/>
    <w:rsid w:val="00C066D8"/>
    <w:rsid w:val="00C10ECE"/>
    <w:rsid w:val="00C10F5D"/>
    <w:rsid w:val="00C11055"/>
    <w:rsid w:val="00C1134F"/>
    <w:rsid w:val="00C1294E"/>
    <w:rsid w:val="00C12CB7"/>
    <w:rsid w:val="00C1364F"/>
    <w:rsid w:val="00C13F75"/>
    <w:rsid w:val="00C14FAF"/>
    <w:rsid w:val="00C151B7"/>
    <w:rsid w:val="00C152B8"/>
    <w:rsid w:val="00C15895"/>
    <w:rsid w:val="00C21781"/>
    <w:rsid w:val="00C226BF"/>
    <w:rsid w:val="00C226D7"/>
    <w:rsid w:val="00C22AC8"/>
    <w:rsid w:val="00C22CD7"/>
    <w:rsid w:val="00C2362E"/>
    <w:rsid w:val="00C23E01"/>
    <w:rsid w:val="00C25482"/>
    <w:rsid w:val="00C25A52"/>
    <w:rsid w:val="00C26537"/>
    <w:rsid w:val="00C26F99"/>
    <w:rsid w:val="00C27078"/>
    <w:rsid w:val="00C270C6"/>
    <w:rsid w:val="00C2790C"/>
    <w:rsid w:val="00C302C6"/>
    <w:rsid w:val="00C30B75"/>
    <w:rsid w:val="00C31006"/>
    <w:rsid w:val="00C310F9"/>
    <w:rsid w:val="00C31283"/>
    <w:rsid w:val="00C34A52"/>
    <w:rsid w:val="00C3522D"/>
    <w:rsid w:val="00C35D93"/>
    <w:rsid w:val="00C36336"/>
    <w:rsid w:val="00C37AAF"/>
    <w:rsid w:val="00C37B67"/>
    <w:rsid w:val="00C40486"/>
    <w:rsid w:val="00C4095C"/>
    <w:rsid w:val="00C417AA"/>
    <w:rsid w:val="00C41D2F"/>
    <w:rsid w:val="00C420B7"/>
    <w:rsid w:val="00C4244C"/>
    <w:rsid w:val="00C42A5D"/>
    <w:rsid w:val="00C42C95"/>
    <w:rsid w:val="00C430C9"/>
    <w:rsid w:val="00C43D2B"/>
    <w:rsid w:val="00C44978"/>
    <w:rsid w:val="00C45C9F"/>
    <w:rsid w:val="00C465F9"/>
    <w:rsid w:val="00C466ED"/>
    <w:rsid w:val="00C47091"/>
    <w:rsid w:val="00C470F0"/>
    <w:rsid w:val="00C4774E"/>
    <w:rsid w:val="00C478A4"/>
    <w:rsid w:val="00C478D7"/>
    <w:rsid w:val="00C479A3"/>
    <w:rsid w:val="00C504D7"/>
    <w:rsid w:val="00C52231"/>
    <w:rsid w:val="00C52898"/>
    <w:rsid w:val="00C52F0D"/>
    <w:rsid w:val="00C54342"/>
    <w:rsid w:val="00C5505E"/>
    <w:rsid w:val="00C5575D"/>
    <w:rsid w:val="00C5592C"/>
    <w:rsid w:val="00C55E70"/>
    <w:rsid w:val="00C57425"/>
    <w:rsid w:val="00C57ECB"/>
    <w:rsid w:val="00C602FB"/>
    <w:rsid w:val="00C61166"/>
    <w:rsid w:val="00C62235"/>
    <w:rsid w:val="00C63352"/>
    <w:rsid w:val="00C63A97"/>
    <w:rsid w:val="00C63CA7"/>
    <w:rsid w:val="00C642E9"/>
    <w:rsid w:val="00C64CB6"/>
    <w:rsid w:val="00C6513C"/>
    <w:rsid w:val="00C654ED"/>
    <w:rsid w:val="00C66F1F"/>
    <w:rsid w:val="00C66F6B"/>
    <w:rsid w:val="00C67484"/>
    <w:rsid w:val="00C67A91"/>
    <w:rsid w:val="00C67BE1"/>
    <w:rsid w:val="00C67CFA"/>
    <w:rsid w:val="00C70A6A"/>
    <w:rsid w:val="00C70B3A"/>
    <w:rsid w:val="00C71265"/>
    <w:rsid w:val="00C71723"/>
    <w:rsid w:val="00C71CD7"/>
    <w:rsid w:val="00C7201B"/>
    <w:rsid w:val="00C730C6"/>
    <w:rsid w:val="00C73F00"/>
    <w:rsid w:val="00C740B1"/>
    <w:rsid w:val="00C75C46"/>
    <w:rsid w:val="00C76256"/>
    <w:rsid w:val="00C76537"/>
    <w:rsid w:val="00C7778D"/>
    <w:rsid w:val="00C77B0D"/>
    <w:rsid w:val="00C80F06"/>
    <w:rsid w:val="00C82621"/>
    <w:rsid w:val="00C831B6"/>
    <w:rsid w:val="00C83966"/>
    <w:rsid w:val="00C83F96"/>
    <w:rsid w:val="00C845F3"/>
    <w:rsid w:val="00C84E9A"/>
    <w:rsid w:val="00C85146"/>
    <w:rsid w:val="00C85617"/>
    <w:rsid w:val="00C85ABF"/>
    <w:rsid w:val="00C85FF3"/>
    <w:rsid w:val="00C8672F"/>
    <w:rsid w:val="00C8708B"/>
    <w:rsid w:val="00C91216"/>
    <w:rsid w:val="00C91705"/>
    <w:rsid w:val="00C93533"/>
    <w:rsid w:val="00C93CE7"/>
    <w:rsid w:val="00C9525E"/>
    <w:rsid w:val="00C96A43"/>
    <w:rsid w:val="00C96BDC"/>
    <w:rsid w:val="00C979D8"/>
    <w:rsid w:val="00C97A24"/>
    <w:rsid w:val="00CA124B"/>
    <w:rsid w:val="00CA131D"/>
    <w:rsid w:val="00CA18AC"/>
    <w:rsid w:val="00CA2D27"/>
    <w:rsid w:val="00CA30D6"/>
    <w:rsid w:val="00CA3746"/>
    <w:rsid w:val="00CA49E3"/>
    <w:rsid w:val="00CA5E93"/>
    <w:rsid w:val="00CA6518"/>
    <w:rsid w:val="00CA6DB2"/>
    <w:rsid w:val="00CA7451"/>
    <w:rsid w:val="00CA787B"/>
    <w:rsid w:val="00CA7FE9"/>
    <w:rsid w:val="00CB04B2"/>
    <w:rsid w:val="00CB061C"/>
    <w:rsid w:val="00CB1AE4"/>
    <w:rsid w:val="00CB1BA1"/>
    <w:rsid w:val="00CB1DFC"/>
    <w:rsid w:val="00CB25DF"/>
    <w:rsid w:val="00CB2D83"/>
    <w:rsid w:val="00CB38CF"/>
    <w:rsid w:val="00CB3FA4"/>
    <w:rsid w:val="00CB4450"/>
    <w:rsid w:val="00CB54EF"/>
    <w:rsid w:val="00CB5D42"/>
    <w:rsid w:val="00CB602C"/>
    <w:rsid w:val="00CB625C"/>
    <w:rsid w:val="00CB6902"/>
    <w:rsid w:val="00CB6F14"/>
    <w:rsid w:val="00CB70BB"/>
    <w:rsid w:val="00CC17AE"/>
    <w:rsid w:val="00CC1D97"/>
    <w:rsid w:val="00CC2562"/>
    <w:rsid w:val="00CC392D"/>
    <w:rsid w:val="00CC45FB"/>
    <w:rsid w:val="00CC4753"/>
    <w:rsid w:val="00CC4C61"/>
    <w:rsid w:val="00CC5678"/>
    <w:rsid w:val="00CC6969"/>
    <w:rsid w:val="00CC6C2B"/>
    <w:rsid w:val="00CC76A9"/>
    <w:rsid w:val="00CC7A76"/>
    <w:rsid w:val="00CC7EEA"/>
    <w:rsid w:val="00CC7F8D"/>
    <w:rsid w:val="00CD0075"/>
    <w:rsid w:val="00CD0B9A"/>
    <w:rsid w:val="00CD0FDF"/>
    <w:rsid w:val="00CD1357"/>
    <w:rsid w:val="00CD17F8"/>
    <w:rsid w:val="00CD2295"/>
    <w:rsid w:val="00CD330C"/>
    <w:rsid w:val="00CD33F6"/>
    <w:rsid w:val="00CD38D3"/>
    <w:rsid w:val="00CD3938"/>
    <w:rsid w:val="00CD4DB8"/>
    <w:rsid w:val="00CD4F2A"/>
    <w:rsid w:val="00CD5388"/>
    <w:rsid w:val="00CD6735"/>
    <w:rsid w:val="00CD787B"/>
    <w:rsid w:val="00CD7F4A"/>
    <w:rsid w:val="00CE1192"/>
    <w:rsid w:val="00CE129A"/>
    <w:rsid w:val="00CE2900"/>
    <w:rsid w:val="00CE3288"/>
    <w:rsid w:val="00CE3568"/>
    <w:rsid w:val="00CE4955"/>
    <w:rsid w:val="00CE6695"/>
    <w:rsid w:val="00CE764E"/>
    <w:rsid w:val="00CF0EE2"/>
    <w:rsid w:val="00CF1041"/>
    <w:rsid w:val="00CF1053"/>
    <w:rsid w:val="00CF1289"/>
    <w:rsid w:val="00CF1ACA"/>
    <w:rsid w:val="00CF1D57"/>
    <w:rsid w:val="00CF4560"/>
    <w:rsid w:val="00CF4930"/>
    <w:rsid w:val="00CF4DA2"/>
    <w:rsid w:val="00CF54EC"/>
    <w:rsid w:val="00CF78BD"/>
    <w:rsid w:val="00D00317"/>
    <w:rsid w:val="00D00D03"/>
    <w:rsid w:val="00D0132F"/>
    <w:rsid w:val="00D018CE"/>
    <w:rsid w:val="00D01FE3"/>
    <w:rsid w:val="00D039F9"/>
    <w:rsid w:val="00D0582E"/>
    <w:rsid w:val="00D079EB"/>
    <w:rsid w:val="00D07B9A"/>
    <w:rsid w:val="00D10AAD"/>
    <w:rsid w:val="00D10BDA"/>
    <w:rsid w:val="00D11351"/>
    <w:rsid w:val="00D1139F"/>
    <w:rsid w:val="00D115EB"/>
    <w:rsid w:val="00D124AF"/>
    <w:rsid w:val="00D12ECA"/>
    <w:rsid w:val="00D13D69"/>
    <w:rsid w:val="00D14196"/>
    <w:rsid w:val="00D14FB8"/>
    <w:rsid w:val="00D16452"/>
    <w:rsid w:val="00D16A5D"/>
    <w:rsid w:val="00D175FA"/>
    <w:rsid w:val="00D200A9"/>
    <w:rsid w:val="00D20CCC"/>
    <w:rsid w:val="00D23606"/>
    <w:rsid w:val="00D24480"/>
    <w:rsid w:val="00D24938"/>
    <w:rsid w:val="00D24CDC"/>
    <w:rsid w:val="00D25232"/>
    <w:rsid w:val="00D25968"/>
    <w:rsid w:val="00D2616A"/>
    <w:rsid w:val="00D2697F"/>
    <w:rsid w:val="00D26C0E"/>
    <w:rsid w:val="00D270EC"/>
    <w:rsid w:val="00D3077A"/>
    <w:rsid w:val="00D30A1A"/>
    <w:rsid w:val="00D3109E"/>
    <w:rsid w:val="00D31312"/>
    <w:rsid w:val="00D3152F"/>
    <w:rsid w:val="00D327E3"/>
    <w:rsid w:val="00D32817"/>
    <w:rsid w:val="00D32ECF"/>
    <w:rsid w:val="00D33115"/>
    <w:rsid w:val="00D332CC"/>
    <w:rsid w:val="00D33F7F"/>
    <w:rsid w:val="00D344B2"/>
    <w:rsid w:val="00D35484"/>
    <w:rsid w:val="00D35AF7"/>
    <w:rsid w:val="00D35F35"/>
    <w:rsid w:val="00D364C8"/>
    <w:rsid w:val="00D36547"/>
    <w:rsid w:val="00D37C79"/>
    <w:rsid w:val="00D418E1"/>
    <w:rsid w:val="00D41E85"/>
    <w:rsid w:val="00D422B0"/>
    <w:rsid w:val="00D425B9"/>
    <w:rsid w:val="00D42DDB"/>
    <w:rsid w:val="00D449FD"/>
    <w:rsid w:val="00D453C4"/>
    <w:rsid w:val="00D4548B"/>
    <w:rsid w:val="00D45997"/>
    <w:rsid w:val="00D465AA"/>
    <w:rsid w:val="00D50408"/>
    <w:rsid w:val="00D50902"/>
    <w:rsid w:val="00D51952"/>
    <w:rsid w:val="00D52251"/>
    <w:rsid w:val="00D52D18"/>
    <w:rsid w:val="00D52F55"/>
    <w:rsid w:val="00D52FA1"/>
    <w:rsid w:val="00D535DB"/>
    <w:rsid w:val="00D53A27"/>
    <w:rsid w:val="00D57E69"/>
    <w:rsid w:val="00D6046F"/>
    <w:rsid w:val="00D629EA"/>
    <w:rsid w:val="00D62B1F"/>
    <w:rsid w:val="00D6352C"/>
    <w:rsid w:val="00D635DD"/>
    <w:rsid w:val="00D64ECB"/>
    <w:rsid w:val="00D652CA"/>
    <w:rsid w:val="00D65EF1"/>
    <w:rsid w:val="00D660E8"/>
    <w:rsid w:val="00D66304"/>
    <w:rsid w:val="00D6655F"/>
    <w:rsid w:val="00D70A0D"/>
    <w:rsid w:val="00D711D8"/>
    <w:rsid w:val="00D7173B"/>
    <w:rsid w:val="00D71984"/>
    <w:rsid w:val="00D7204E"/>
    <w:rsid w:val="00D722A4"/>
    <w:rsid w:val="00D728B8"/>
    <w:rsid w:val="00D729D5"/>
    <w:rsid w:val="00D73F03"/>
    <w:rsid w:val="00D741C2"/>
    <w:rsid w:val="00D74288"/>
    <w:rsid w:val="00D74B4A"/>
    <w:rsid w:val="00D75022"/>
    <w:rsid w:val="00D761EE"/>
    <w:rsid w:val="00D76B4E"/>
    <w:rsid w:val="00D76CB2"/>
    <w:rsid w:val="00D77412"/>
    <w:rsid w:val="00D8095B"/>
    <w:rsid w:val="00D81EC8"/>
    <w:rsid w:val="00D84E21"/>
    <w:rsid w:val="00D86971"/>
    <w:rsid w:val="00D86C17"/>
    <w:rsid w:val="00D872D2"/>
    <w:rsid w:val="00D87B29"/>
    <w:rsid w:val="00D90608"/>
    <w:rsid w:val="00D90875"/>
    <w:rsid w:val="00D90A53"/>
    <w:rsid w:val="00D9248A"/>
    <w:rsid w:val="00D92A28"/>
    <w:rsid w:val="00D9375D"/>
    <w:rsid w:val="00D939F2"/>
    <w:rsid w:val="00D94131"/>
    <w:rsid w:val="00D958EF"/>
    <w:rsid w:val="00D95CF6"/>
    <w:rsid w:val="00D9629F"/>
    <w:rsid w:val="00D9655A"/>
    <w:rsid w:val="00D971C6"/>
    <w:rsid w:val="00D97542"/>
    <w:rsid w:val="00DA0443"/>
    <w:rsid w:val="00DA05B3"/>
    <w:rsid w:val="00DA0BC8"/>
    <w:rsid w:val="00DA1819"/>
    <w:rsid w:val="00DA23FC"/>
    <w:rsid w:val="00DA2589"/>
    <w:rsid w:val="00DA2BEF"/>
    <w:rsid w:val="00DA401C"/>
    <w:rsid w:val="00DA427E"/>
    <w:rsid w:val="00DA42A9"/>
    <w:rsid w:val="00DA51D8"/>
    <w:rsid w:val="00DA52EA"/>
    <w:rsid w:val="00DA5CDF"/>
    <w:rsid w:val="00DA5E7B"/>
    <w:rsid w:val="00DA6A05"/>
    <w:rsid w:val="00DA7998"/>
    <w:rsid w:val="00DA7AF8"/>
    <w:rsid w:val="00DA7B97"/>
    <w:rsid w:val="00DB0142"/>
    <w:rsid w:val="00DB01EC"/>
    <w:rsid w:val="00DB063F"/>
    <w:rsid w:val="00DB08B2"/>
    <w:rsid w:val="00DB0A89"/>
    <w:rsid w:val="00DB0BBB"/>
    <w:rsid w:val="00DB1D18"/>
    <w:rsid w:val="00DB1DB6"/>
    <w:rsid w:val="00DB23ED"/>
    <w:rsid w:val="00DB2515"/>
    <w:rsid w:val="00DB35FB"/>
    <w:rsid w:val="00DB3727"/>
    <w:rsid w:val="00DB3FB9"/>
    <w:rsid w:val="00DB44A6"/>
    <w:rsid w:val="00DB528D"/>
    <w:rsid w:val="00DB5B26"/>
    <w:rsid w:val="00DB67BB"/>
    <w:rsid w:val="00DC0769"/>
    <w:rsid w:val="00DC1775"/>
    <w:rsid w:val="00DC272B"/>
    <w:rsid w:val="00DC33A4"/>
    <w:rsid w:val="00DC3B4E"/>
    <w:rsid w:val="00DC47C7"/>
    <w:rsid w:val="00DC4F13"/>
    <w:rsid w:val="00DC53AC"/>
    <w:rsid w:val="00DC5D44"/>
    <w:rsid w:val="00DC7DF7"/>
    <w:rsid w:val="00DD18C9"/>
    <w:rsid w:val="00DD1F0E"/>
    <w:rsid w:val="00DD2BE6"/>
    <w:rsid w:val="00DD31A7"/>
    <w:rsid w:val="00DD4C0D"/>
    <w:rsid w:val="00DD4C9B"/>
    <w:rsid w:val="00DD4D18"/>
    <w:rsid w:val="00DD563E"/>
    <w:rsid w:val="00DD5C29"/>
    <w:rsid w:val="00DE1471"/>
    <w:rsid w:val="00DE1753"/>
    <w:rsid w:val="00DE189A"/>
    <w:rsid w:val="00DE2194"/>
    <w:rsid w:val="00DE2251"/>
    <w:rsid w:val="00DE2AB6"/>
    <w:rsid w:val="00DE44F7"/>
    <w:rsid w:val="00DE4962"/>
    <w:rsid w:val="00DE5B80"/>
    <w:rsid w:val="00DE5C92"/>
    <w:rsid w:val="00DE774A"/>
    <w:rsid w:val="00DF0E3D"/>
    <w:rsid w:val="00DF0F9F"/>
    <w:rsid w:val="00DF1A4B"/>
    <w:rsid w:val="00DF21A4"/>
    <w:rsid w:val="00DF2922"/>
    <w:rsid w:val="00DF2D06"/>
    <w:rsid w:val="00DF3B01"/>
    <w:rsid w:val="00DF3DC8"/>
    <w:rsid w:val="00DF458D"/>
    <w:rsid w:val="00DF4A4A"/>
    <w:rsid w:val="00DF519A"/>
    <w:rsid w:val="00DF5FBE"/>
    <w:rsid w:val="00DF61D0"/>
    <w:rsid w:val="00DF67C6"/>
    <w:rsid w:val="00DF6A97"/>
    <w:rsid w:val="00DF715D"/>
    <w:rsid w:val="00DF7DCC"/>
    <w:rsid w:val="00E0012D"/>
    <w:rsid w:val="00E00532"/>
    <w:rsid w:val="00E00B9C"/>
    <w:rsid w:val="00E014C0"/>
    <w:rsid w:val="00E0152A"/>
    <w:rsid w:val="00E0192D"/>
    <w:rsid w:val="00E03637"/>
    <w:rsid w:val="00E03FB5"/>
    <w:rsid w:val="00E0496B"/>
    <w:rsid w:val="00E05016"/>
    <w:rsid w:val="00E06505"/>
    <w:rsid w:val="00E0680E"/>
    <w:rsid w:val="00E06933"/>
    <w:rsid w:val="00E10EB5"/>
    <w:rsid w:val="00E11BE2"/>
    <w:rsid w:val="00E1223C"/>
    <w:rsid w:val="00E14B66"/>
    <w:rsid w:val="00E14C79"/>
    <w:rsid w:val="00E1563F"/>
    <w:rsid w:val="00E16312"/>
    <w:rsid w:val="00E16B59"/>
    <w:rsid w:val="00E16FEC"/>
    <w:rsid w:val="00E205DF"/>
    <w:rsid w:val="00E20656"/>
    <w:rsid w:val="00E20780"/>
    <w:rsid w:val="00E21A9E"/>
    <w:rsid w:val="00E21DBE"/>
    <w:rsid w:val="00E21FC3"/>
    <w:rsid w:val="00E232AE"/>
    <w:rsid w:val="00E23372"/>
    <w:rsid w:val="00E24014"/>
    <w:rsid w:val="00E24A16"/>
    <w:rsid w:val="00E252F0"/>
    <w:rsid w:val="00E2588C"/>
    <w:rsid w:val="00E2664B"/>
    <w:rsid w:val="00E3003E"/>
    <w:rsid w:val="00E3022B"/>
    <w:rsid w:val="00E306DA"/>
    <w:rsid w:val="00E316D9"/>
    <w:rsid w:val="00E32E67"/>
    <w:rsid w:val="00E330C5"/>
    <w:rsid w:val="00E33AC9"/>
    <w:rsid w:val="00E3413B"/>
    <w:rsid w:val="00E34448"/>
    <w:rsid w:val="00E353E9"/>
    <w:rsid w:val="00E35BEF"/>
    <w:rsid w:val="00E363E9"/>
    <w:rsid w:val="00E36EA9"/>
    <w:rsid w:val="00E373ED"/>
    <w:rsid w:val="00E37D2A"/>
    <w:rsid w:val="00E414E2"/>
    <w:rsid w:val="00E4168B"/>
    <w:rsid w:val="00E43879"/>
    <w:rsid w:val="00E44044"/>
    <w:rsid w:val="00E441BF"/>
    <w:rsid w:val="00E4592C"/>
    <w:rsid w:val="00E46222"/>
    <w:rsid w:val="00E46705"/>
    <w:rsid w:val="00E467DF"/>
    <w:rsid w:val="00E47864"/>
    <w:rsid w:val="00E47BD0"/>
    <w:rsid w:val="00E47DAC"/>
    <w:rsid w:val="00E501A6"/>
    <w:rsid w:val="00E501EB"/>
    <w:rsid w:val="00E503F5"/>
    <w:rsid w:val="00E5076A"/>
    <w:rsid w:val="00E50DBB"/>
    <w:rsid w:val="00E51430"/>
    <w:rsid w:val="00E5165A"/>
    <w:rsid w:val="00E51968"/>
    <w:rsid w:val="00E51E1E"/>
    <w:rsid w:val="00E52403"/>
    <w:rsid w:val="00E53CEB"/>
    <w:rsid w:val="00E53E39"/>
    <w:rsid w:val="00E55777"/>
    <w:rsid w:val="00E56196"/>
    <w:rsid w:val="00E565F0"/>
    <w:rsid w:val="00E56B33"/>
    <w:rsid w:val="00E56C37"/>
    <w:rsid w:val="00E60643"/>
    <w:rsid w:val="00E62284"/>
    <w:rsid w:val="00E625B9"/>
    <w:rsid w:val="00E626D9"/>
    <w:rsid w:val="00E636AB"/>
    <w:rsid w:val="00E64C3E"/>
    <w:rsid w:val="00E65652"/>
    <w:rsid w:val="00E6576C"/>
    <w:rsid w:val="00E65B69"/>
    <w:rsid w:val="00E676A9"/>
    <w:rsid w:val="00E70C20"/>
    <w:rsid w:val="00E70D73"/>
    <w:rsid w:val="00E711F0"/>
    <w:rsid w:val="00E72135"/>
    <w:rsid w:val="00E733C4"/>
    <w:rsid w:val="00E7374D"/>
    <w:rsid w:val="00E73D04"/>
    <w:rsid w:val="00E7461B"/>
    <w:rsid w:val="00E7484B"/>
    <w:rsid w:val="00E750A5"/>
    <w:rsid w:val="00E750AF"/>
    <w:rsid w:val="00E761A1"/>
    <w:rsid w:val="00E76BCC"/>
    <w:rsid w:val="00E7793F"/>
    <w:rsid w:val="00E80B14"/>
    <w:rsid w:val="00E80F39"/>
    <w:rsid w:val="00E822C5"/>
    <w:rsid w:val="00E826FF"/>
    <w:rsid w:val="00E82BD9"/>
    <w:rsid w:val="00E83F55"/>
    <w:rsid w:val="00E84760"/>
    <w:rsid w:val="00E8476C"/>
    <w:rsid w:val="00E856C5"/>
    <w:rsid w:val="00E85934"/>
    <w:rsid w:val="00E8613D"/>
    <w:rsid w:val="00E86509"/>
    <w:rsid w:val="00E86DD1"/>
    <w:rsid w:val="00E87AD4"/>
    <w:rsid w:val="00E91207"/>
    <w:rsid w:val="00E926F2"/>
    <w:rsid w:val="00E92AA0"/>
    <w:rsid w:val="00E939C7"/>
    <w:rsid w:val="00E943CA"/>
    <w:rsid w:val="00E95A51"/>
    <w:rsid w:val="00E96D01"/>
    <w:rsid w:val="00E973CA"/>
    <w:rsid w:val="00EA04E4"/>
    <w:rsid w:val="00EA0C40"/>
    <w:rsid w:val="00EA0FC6"/>
    <w:rsid w:val="00EA1C34"/>
    <w:rsid w:val="00EA2978"/>
    <w:rsid w:val="00EA2F88"/>
    <w:rsid w:val="00EA3450"/>
    <w:rsid w:val="00EA437D"/>
    <w:rsid w:val="00EA5879"/>
    <w:rsid w:val="00EA5C4C"/>
    <w:rsid w:val="00EA6ABD"/>
    <w:rsid w:val="00EA7A80"/>
    <w:rsid w:val="00EB06C3"/>
    <w:rsid w:val="00EB29FE"/>
    <w:rsid w:val="00EB2A29"/>
    <w:rsid w:val="00EB3012"/>
    <w:rsid w:val="00EB3E72"/>
    <w:rsid w:val="00EB4193"/>
    <w:rsid w:val="00EB54FC"/>
    <w:rsid w:val="00EB5BFB"/>
    <w:rsid w:val="00EB718C"/>
    <w:rsid w:val="00EB7472"/>
    <w:rsid w:val="00EB7667"/>
    <w:rsid w:val="00EB7FFA"/>
    <w:rsid w:val="00EC03AB"/>
    <w:rsid w:val="00EC0BF9"/>
    <w:rsid w:val="00EC0C20"/>
    <w:rsid w:val="00EC0C63"/>
    <w:rsid w:val="00EC21E4"/>
    <w:rsid w:val="00EC3531"/>
    <w:rsid w:val="00EC3642"/>
    <w:rsid w:val="00EC438F"/>
    <w:rsid w:val="00EC5A39"/>
    <w:rsid w:val="00EC60E0"/>
    <w:rsid w:val="00EC6B08"/>
    <w:rsid w:val="00EC6D5D"/>
    <w:rsid w:val="00EC71E5"/>
    <w:rsid w:val="00EC7ECE"/>
    <w:rsid w:val="00ED00EB"/>
    <w:rsid w:val="00ED0A9A"/>
    <w:rsid w:val="00ED13C7"/>
    <w:rsid w:val="00ED1A4B"/>
    <w:rsid w:val="00ED1C10"/>
    <w:rsid w:val="00ED1DAC"/>
    <w:rsid w:val="00ED2717"/>
    <w:rsid w:val="00ED2DAA"/>
    <w:rsid w:val="00ED32B8"/>
    <w:rsid w:val="00ED3581"/>
    <w:rsid w:val="00ED3718"/>
    <w:rsid w:val="00ED3A9B"/>
    <w:rsid w:val="00ED6065"/>
    <w:rsid w:val="00ED63EC"/>
    <w:rsid w:val="00ED701C"/>
    <w:rsid w:val="00ED740A"/>
    <w:rsid w:val="00ED7815"/>
    <w:rsid w:val="00ED7E10"/>
    <w:rsid w:val="00EE05C0"/>
    <w:rsid w:val="00EE0737"/>
    <w:rsid w:val="00EE0CAD"/>
    <w:rsid w:val="00EE206D"/>
    <w:rsid w:val="00EE28AB"/>
    <w:rsid w:val="00EE5923"/>
    <w:rsid w:val="00EE5EFB"/>
    <w:rsid w:val="00EE62E5"/>
    <w:rsid w:val="00EE7633"/>
    <w:rsid w:val="00EF0149"/>
    <w:rsid w:val="00EF0507"/>
    <w:rsid w:val="00EF0741"/>
    <w:rsid w:val="00EF1713"/>
    <w:rsid w:val="00EF22F0"/>
    <w:rsid w:val="00EF3064"/>
    <w:rsid w:val="00EF3356"/>
    <w:rsid w:val="00EF33BE"/>
    <w:rsid w:val="00EF34BD"/>
    <w:rsid w:val="00EF3790"/>
    <w:rsid w:val="00EF37FB"/>
    <w:rsid w:val="00EF3C4E"/>
    <w:rsid w:val="00EF3FDC"/>
    <w:rsid w:val="00EF40A5"/>
    <w:rsid w:val="00EF4214"/>
    <w:rsid w:val="00EF57CE"/>
    <w:rsid w:val="00EF5AB2"/>
    <w:rsid w:val="00EF658A"/>
    <w:rsid w:val="00EF73D4"/>
    <w:rsid w:val="00EF791F"/>
    <w:rsid w:val="00EF7998"/>
    <w:rsid w:val="00EF7A22"/>
    <w:rsid w:val="00EF7A6F"/>
    <w:rsid w:val="00EF7CC1"/>
    <w:rsid w:val="00F01E16"/>
    <w:rsid w:val="00F02377"/>
    <w:rsid w:val="00F0307C"/>
    <w:rsid w:val="00F037E7"/>
    <w:rsid w:val="00F03B1F"/>
    <w:rsid w:val="00F03BD3"/>
    <w:rsid w:val="00F03E4D"/>
    <w:rsid w:val="00F0404B"/>
    <w:rsid w:val="00F045AD"/>
    <w:rsid w:val="00F04602"/>
    <w:rsid w:val="00F05BAB"/>
    <w:rsid w:val="00F060B8"/>
    <w:rsid w:val="00F062AB"/>
    <w:rsid w:val="00F0674E"/>
    <w:rsid w:val="00F07528"/>
    <w:rsid w:val="00F07E79"/>
    <w:rsid w:val="00F107C8"/>
    <w:rsid w:val="00F108B2"/>
    <w:rsid w:val="00F10B18"/>
    <w:rsid w:val="00F10C36"/>
    <w:rsid w:val="00F11CB2"/>
    <w:rsid w:val="00F126A3"/>
    <w:rsid w:val="00F1397A"/>
    <w:rsid w:val="00F13B49"/>
    <w:rsid w:val="00F13EB3"/>
    <w:rsid w:val="00F14678"/>
    <w:rsid w:val="00F14CF1"/>
    <w:rsid w:val="00F14F12"/>
    <w:rsid w:val="00F1578B"/>
    <w:rsid w:val="00F16D44"/>
    <w:rsid w:val="00F1721B"/>
    <w:rsid w:val="00F17389"/>
    <w:rsid w:val="00F1755B"/>
    <w:rsid w:val="00F176B1"/>
    <w:rsid w:val="00F20144"/>
    <w:rsid w:val="00F20438"/>
    <w:rsid w:val="00F205AF"/>
    <w:rsid w:val="00F20FEC"/>
    <w:rsid w:val="00F22D35"/>
    <w:rsid w:val="00F2334B"/>
    <w:rsid w:val="00F23E85"/>
    <w:rsid w:val="00F251A9"/>
    <w:rsid w:val="00F2523C"/>
    <w:rsid w:val="00F26123"/>
    <w:rsid w:val="00F26336"/>
    <w:rsid w:val="00F26767"/>
    <w:rsid w:val="00F2698F"/>
    <w:rsid w:val="00F270F4"/>
    <w:rsid w:val="00F27730"/>
    <w:rsid w:val="00F31384"/>
    <w:rsid w:val="00F3147B"/>
    <w:rsid w:val="00F326E3"/>
    <w:rsid w:val="00F32CD9"/>
    <w:rsid w:val="00F32DA9"/>
    <w:rsid w:val="00F32FC5"/>
    <w:rsid w:val="00F33277"/>
    <w:rsid w:val="00F345CE"/>
    <w:rsid w:val="00F34C97"/>
    <w:rsid w:val="00F36260"/>
    <w:rsid w:val="00F365CD"/>
    <w:rsid w:val="00F36743"/>
    <w:rsid w:val="00F37CF5"/>
    <w:rsid w:val="00F4058F"/>
    <w:rsid w:val="00F4099A"/>
    <w:rsid w:val="00F41268"/>
    <w:rsid w:val="00F4133E"/>
    <w:rsid w:val="00F41923"/>
    <w:rsid w:val="00F41A88"/>
    <w:rsid w:val="00F43763"/>
    <w:rsid w:val="00F4399E"/>
    <w:rsid w:val="00F446FC"/>
    <w:rsid w:val="00F4481E"/>
    <w:rsid w:val="00F450F6"/>
    <w:rsid w:val="00F46B84"/>
    <w:rsid w:val="00F46B9A"/>
    <w:rsid w:val="00F47B42"/>
    <w:rsid w:val="00F47C42"/>
    <w:rsid w:val="00F50043"/>
    <w:rsid w:val="00F50573"/>
    <w:rsid w:val="00F50D56"/>
    <w:rsid w:val="00F52A59"/>
    <w:rsid w:val="00F52D8B"/>
    <w:rsid w:val="00F53749"/>
    <w:rsid w:val="00F549E4"/>
    <w:rsid w:val="00F54B05"/>
    <w:rsid w:val="00F557C3"/>
    <w:rsid w:val="00F559D1"/>
    <w:rsid w:val="00F5630D"/>
    <w:rsid w:val="00F56708"/>
    <w:rsid w:val="00F56712"/>
    <w:rsid w:val="00F56F50"/>
    <w:rsid w:val="00F6029F"/>
    <w:rsid w:val="00F609B8"/>
    <w:rsid w:val="00F61259"/>
    <w:rsid w:val="00F618C5"/>
    <w:rsid w:val="00F624AD"/>
    <w:rsid w:val="00F63232"/>
    <w:rsid w:val="00F641BE"/>
    <w:rsid w:val="00F64799"/>
    <w:rsid w:val="00F65031"/>
    <w:rsid w:val="00F65DA1"/>
    <w:rsid w:val="00F6615F"/>
    <w:rsid w:val="00F665A5"/>
    <w:rsid w:val="00F67157"/>
    <w:rsid w:val="00F673DA"/>
    <w:rsid w:val="00F67B77"/>
    <w:rsid w:val="00F71021"/>
    <w:rsid w:val="00F71757"/>
    <w:rsid w:val="00F72A16"/>
    <w:rsid w:val="00F72B96"/>
    <w:rsid w:val="00F72E25"/>
    <w:rsid w:val="00F734B3"/>
    <w:rsid w:val="00F737AD"/>
    <w:rsid w:val="00F738AA"/>
    <w:rsid w:val="00F74494"/>
    <w:rsid w:val="00F745B5"/>
    <w:rsid w:val="00F750CE"/>
    <w:rsid w:val="00F762FA"/>
    <w:rsid w:val="00F768AD"/>
    <w:rsid w:val="00F771D5"/>
    <w:rsid w:val="00F7725C"/>
    <w:rsid w:val="00F77D60"/>
    <w:rsid w:val="00F803C0"/>
    <w:rsid w:val="00F82C47"/>
    <w:rsid w:val="00F83456"/>
    <w:rsid w:val="00F83628"/>
    <w:rsid w:val="00F83875"/>
    <w:rsid w:val="00F83BDA"/>
    <w:rsid w:val="00F84251"/>
    <w:rsid w:val="00F847A5"/>
    <w:rsid w:val="00F84D77"/>
    <w:rsid w:val="00F866AD"/>
    <w:rsid w:val="00F87171"/>
    <w:rsid w:val="00F87621"/>
    <w:rsid w:val="00F87DAF"/>
    <w:rsid w:val="00F87E05"/>
    <w:rsid w:val="00F87EDB"/>
    <w:rsid w:val="00F92547"/>
    <w:rsid w:val="00F9384D"/>
    <w:rsid w:val="00F938D4"/>
    <w:rsid w:val="00F96874"/>
    <w:rsid w:val="00F9704E"/>
    <w:rsid w:val="00F975DA"/>
    <w:rsid w:val="00F97A9B"/>
    <w:rsid w:val="00F97CD4"/>
    <w:rsid w:val="00FA023A"/>
    <w:rsid w:val="00FA07F3"/>
    <w:rsid w:val="00FA0DE0"/>
    <w:rsid w:val="00FA15FD"/>
    <w:rsid w:val="00FA2203"/>
    <w:rsid w:val="00FA34D5"/>
    <w:rsid w:val="00FA3896"/>
    <w:rsid w:val="00FA4994"/>
    <w:rsid w:val="00FA5199"/>
    <w:rsid w:val="00FA6BB1"/>
    <w:rsid w:val="00FA71D3"/>
    <w:rsid w:val="00FA7508"/>
    <w:rsid w:val="00FB0075"/>
    <w:rsid w:val="00FB1D47"/>
    <w:rsid w:val="00FB3456"/>
    <w:rsid w:val="00FB50FD"/>
    <w:rsid w:val="00FB5316"/>
    <w:rsid w:val="00FB6B8B"/>
    <w:rsid w:val="00FB6C55"/>
    <w:rsid w:val="00FB706D"/>
    <w:rsid w:val="00FB70B5"/>
    <w:rsid w:val="00FB74D5"/>
    <w:rsid w:val="00FC250E"/>
    <w:rsid w:val="00FC3EDF"/>
    <w:rsid w:val="00FC4453"/>
    <w:rsid w:val="00FC590B"/>
    <w:rsid w:val="00FC68FF"/>
    <w:rsid w:val="00FC73C0"/>
    <w:rsid w:val="00FC79EF"/>
    <w:rsid w:val="00FC7FEB"/>
    <w:rsid w:val="00FD008B"/>
    <w:rsid w:val="00FD1110"/>
    <w:rsid w:val="00FD140C"/>
    <w:rsid w:val="00FD2B61"/>
    <w:rsid w:val="00FD3769"/>
    <w:rsid w:val="00FD39BE"/>
    <w:rsid w:val="00FD3D98"/>
    <w:rsid w:val="00FD50A4"/>
    <w:rsid w:val="00FD6D5F"/>
    <w:rsid w:val="00FD74A7"/>
    <w:rsid w:val="00FD7D58"/>
    <w:rsid w:val="00FE015D"/>
    <w:rsid w:val="00FE0E7A"/>
    <w:rsid w:val="00FE190B"/>
    <w:rsid w:val="00FE28C7"/>
    <w:rsid w:val="00FE2DDD"/>
    <w:rsid w:val="00FE3C3F"/>
    <w:rsid w:val="00FE4629"/>
    <w:rsid w:val="00FE490F"/>
    <w:rsid w:val="00FE60B7"/>
    <w:rsid w:val="00FE6A6E"/>
    <w:rsid w:val="00FE78F8"/>
    <w:rsid w:val="00FF0422"/>
    <w:rsid w:val="00FF0B51"/>
    <w:rsid w:val="00FF327F"/>
    <w:rsid w:val="00FF340F"/>
    <w:rsid w:val="00FF554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"/>
    <w:basedOn w:val="Normln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rsid w:val="00074A01"/>
  </w:style>
  <w:style w:type="character" w:styleId="Znakapoznpodarou">
    <w:name w:val="footnote reference"/>
    <w:aliases w:val="Footnote"/>
    <w:basedOn w:val="Standardnpsmoodstavce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semiHidden/>
    <w:rsid w:val="00175F2C"/>
    <w:pPr>
      <w:numPr>
        <w:numId w:val="27"/>
      </w:numPr>
      <w:spacing w:before="120" w:after="120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7856E6"/>
    <w:rPr>
      <w:b/>
      <w:bCs/>
    </w:rPr>
  </w:style>
  <w:style w:type="paragraph" w:customStyle="1" w:styleId="xl71">
    <w:name w:val="xl71"/>
    <w:basedOn w:val="Normln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rFonts w:cs="OLUMDB+HelveticaCE-Ligh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168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F673DA"/>
    <w:rPr>
      <w:i/>
      <w:iCs/>
    </w:rPr>
  </w:style>
  <w:style w:type="paragraph" w:customStyle="1" w:styleId="xl94">
    <w:name w:val="xl94"/>
    <w:basedOn w:val="Normln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numbering" w:customStyle="1" w:styleId="Styl1">
    <w:name w:val="Styl1"/>
    <w:uiPriority w:val="99"/>
    <w:rsid w:val="004A7482"/>
    <w:pPr>
      <w:numPr>
        <w:numId w:val="38"/>
      </w:numPr>
    </w:pPr>
  </w:style>
  <w:style w:type="paragraph" w:customStyle="1" w:styleId="Default">
    <w:name w:val="Default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zojazycne">
    <w:name w:val="cizojazycne"/>
    <w:basedOn w:val="Standardnpsmoodstavce"/>
    <w:rsid w:val="008B38F0"/>
  </w:style>
  <w:style w:type="paragraph" w:customStyle="1" w:styleId="Odstavecseseznamem3">
    <w:name w:val="Odstavec se seznamem3"/>
    <w:basedOn w:val="Normln"/>
    <w:rsid w:val="00911CA2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"/>
    <w:basedOn w:val="Normln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rsid w:val="00074A01"/>
  </w:style>
  <w:style w:type="character" w:styleId="Znakapoznpodarou">
    <w:name w:val="footnote reference"/>
    <w:aliases w:val="Footnote"/>
    <w:basedOn w:val="Standardnpsmoodstavce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semiHidden/>
    <w:rsid w:val="00175F2C"/>
    <w:pPr>
      <w:numPr>
        <w:numId w:val="27"/>
      </w:numPr>
      <w:spacing w:before="120" w:after="120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7856E6"/>
    <w:rPr>
      <w:b/>
      <w:bCs/>
    </w:rPr>
  </w:style>
  <w:style w:type="paragraph" w:customStyle="1" w:styleId="xl71">
    <w:name w:val="xl71"/>
    <w:basedOn w:val="Normln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rFonts w:cs="OLUMDB+HelveticaCE-Ligh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168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F673DA"/>
    <w:rPr>
      <w:i/>
      <w:iCs/>
    </w:rPr>
  </w:style>
  <w:style w:type="paragraph" w:customStyle="1" w:styleId="xl94">
    <w:name w:val="xl94"/>
    <w:basedOn w:val="Normln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numbering" w:customStyle="1" w:styleId="Styl1">
    <w:name w:val="Styl1"/>
    <w:uiPriority w:val="99"/>
    <w:rsid w:val="004A7482"/>
    <w:pPr>
      <w:numPr>
        <w:numId w:val="38"/>
      </w:numPr>
    </w:pPr>
  </w:style>
  <w:style w:type="paragraph" w:customStyle="1" w:styleId="Default">
    <w:name w:val="Default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zojazycne">
    <w:name w:val="cizojazycne"/>
    <w:basedOn w:val="Standardnpsmoodstavce"/>
    <w:rsid w:val="008B38F0"/>
  </w:style>
  <w:style w:type="paragraph" w:customStyle="1" w:styleId="Odstavecseseznamem3">
    <w:name w:val="Odstavec se seznamem3"/>
    <w:basedOn w:val="Normln"/>
    <w:rsid w:val="00911CA2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94F4-D047-4BF9-8F71-1355BA3178D8}"/>
</file>

<file path=customXml/itemProps2.xml><?xml version="1.0" encoding="utf-8"?>
<ds:datastoreItem xmlns:ds="http://schemas.openxmlformats.org/officeDocument/2006/customXml" ds:itemID="{F066F12C-9972-49E7-8866-13E42A6B1B62}"/>
</file>

<file path=customXml/itemProps3.xml><?xml version="1.0" encoding="utf-8"?>
<ds:datastoreItem xmlns:ds="http://schemas.openxmlformats.org/officeDocument/2006/customXml" ds:itemID="{CAD99D2D-EA94-4A28-AD56-F83324F44177}"/>
</file>

<file path=customXml/itemProps4.xml><?xml version="1.0" encoding="utf-8"?>
<ds:datastoreItem xmlns:ds="http://schemas.openxmlformats.org/officeDocument/2006/customXml" ds:itemID="{046A195A-31C1-4E3E-BC43-B5C2A714C220}"/>
</file>

<file path=customXml/itemProps5.xml><?xml version="1.0" encoding="utf-8"?>
<ds:datastoreItem xmlns:ds="http://schemas.openxmlformats.org/officeDocument/2006/customXml" ds:itemID="{60255AFE-D934-49EE-A432-BADDA5DE8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4055</Words>
  <Characters>23928</Characters>
  <Application>Microsoft Office Word</Application>
  <DocSecurity>4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13/14</dc:title>
  <dc:creator>HLUSICKOVA</dc:creator>
  <cp:lastModifiedBy>KOKRDA Daniel</cp:lastModifiedBy>
  <cp:revision>2</cp:revision>
  <cp:lastPrinted>2013-12-17T08:42:00Z</cp:lastPrinted>
  <dcterms:created xsi:type="dcterms:W3CDTF">2014-01-09T10:24:00Z</dcterms:created>
  <dcterms:modified xsi:type="dcterms:W3CDTF">2014-01-09T10:24:00Z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11/14-NKU30/170/12</vt:lpwstr>
  </property>
  <property fmtid="{D5CDD505-2E9C-101B-9397-08002B2CF9AE}" pid="3" name="SZ_Spis_Pisemnost">
    <vt:lpwstr>11/14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*B000149129*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12-2570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/>
  </property>
  <property fmtid="{D5CDD505-2E9C-101B-9397-08002B2CF9AE}" pid="18" name="Vec_Pisemnost">
    <vt:lpwstr>Usnesení č. 11/14/1, schvalující KZ 11/14, vč. KZ </vt:lpwstr>
  </property>
  <property fmtid="{D5CDD505-2E9C-101B-9397-08002B2CF9AE}" pid="19" name="DatumPoriz_Pisemnost">
    <vt:lpwstr>21.2.2012</vt:lpwstr>
  </property>
  <property fmtid="{D5CDD505-2E9C-101B-9397-08002B2CF9AE}" pid="20" name="Contact_PostaOdes_All">
    <vt:lpwstr/>
  </property>
</Properties>
</file>