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67891" w14:textId="77777777" w:rsidR="009E0D5F" w:rsidRPr="00491D9E" w:rsidRDefault="009E0D5F" w:rsidP="00B24DF9">
      <w:r w:rsidRPr="00491D9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D4679A9" wp14:editId="788D8ECD">
            <wp:simplePos x="0" y="0"/>
            <wp:positionH relativeFrom="column">
              <wp:posOffset>2490470</wp:posOffset>
            </wp:positionH>
            <wp:positionV relativeFrom="paragraph">
              <wp:posOffset>-280670</wp:posOffset>
            </wp:positionV>
            <wp:extent cx="790575" cy="552450"/>
            <wp:effectExtent l="0" t="0" r="9525" b="0"/>
            <wp:wrapTopAndBottom/>
            <wp:docPr id="1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67892" w14:textId="77777777" w:rsidR="009E0D5F" w:rsidRPr="00491D9E" w:rsidRDefault="009E0D5F" w:rsidP="00B24DF9"/>
    <w:p w14:paraId="1D467894" w14:textId="77777777" w:rsidR="009E0D5F" w:rsidRPr="00B664AE" w:rsidRDefault="009E0D5F" w:rsidP="00DB5C7B">
      <w:pPr>
        <w:jc w:val="center"/>
        <w:rPr>
          <w:rFonts w:eastAsia="Times New Roman"/>
          <w:b/>
          <w:sz w:val="28"/>
          <w:szCs w:val="28"/>
        </w:rPr>
      </w:pPr>
      <w:r w:rsidRPr="00B664AE">
        <w:rPr>
          <w:rFonts w:eastAsia="Times New Roman"/>
          <w:b/>
          <w:sz w:val="28"/>
          <w:szCs w:val="28"/>
        </w:rPr>
        <w:t>Kontrolní závěr z kontrolní akce</w:t>
      </w:r>
    </w:p>
    <w:p w14:paraId="1D467895" w14:textId="77777777" w:rsidR="009E0D5F" w:rsidRPr="00B664AE" w:rsidRDefault="009E0D5F" w:rsidP="00B24DF9">
      <w:pPr>
        <w:rPr>
          <w:sz w:val="28"/>
          <w:szCs w:val="28"/>
        </w:rPr>
      </w:pPr>
    </w:p>
    <w:p w14:paraId="1D467896" w14:textId="5CDE7E82" w:rsidR="009E0D5F" w:rsidRPr="00B664AE" w:rsidRDefault="00801CDF" w:rsidP="00DB5C7B">
      <w:pPr>
        <w:jc w:val="center"/>
        <w:rPr>
          <w:rFonts w:eastAsia="Times New Roman"/>
          <w:b/>
          <w:sz w:val="28"/>
          <w:szCs w:val="28"/>
        </w:rPr>
      </w:pPr>
      <w:r w:rsidRPr="00B664AE">
        <w:rPr>
          <w:rFonts w:eastAsia="Times New Roman"/>
          <w:b/>
          <w:sz w:val="28"/>
          <w:szCs w:val="28"/>
        </w:rPr>
        <w:t>13/40</w:t>
      </w:r>
    </w:p>
    <w:p w14:paraId="1D467897" w14:textId="77777777" w:rsidR="009E0D5F" w:rsidRPr="00B664AE" w:rsidRDefault="009E0D5F" w:rsidP="00DB5C7B">
      <w:pPr>
        <w:jc w:val="center"/>
        <w:rPr>
          <w:rFonts w:eastAsia="Times New Roman"/>
          <w:b/>
          <w:sz w:val="28"/>
          <w:szCs w:val="28"/>
        </w:rPr>
      </w:pPr>
    </w:p>
    <w:p w14:paraId="35A95A3F" w14:textId="638A5DED" w:rsidR="009C6422" w:rsidRPr="00B664AE" w:rsidRDefault="00801CDF" w:rsidP="00DB5C7B">
      <w:pPr>
        <w:jc w:val="center"/>
        <w:rPr>
          <w:rFonts w:eastAsia="Times New Roman"/>
          <w:b/>
          <w:sz w:val="28"/>
          <w:szCs w:val="28"/>
        </w:rPr>
      </w:pPr>
      <w:r w:rsidRPr="00B664AE">
        <w:rPr>
          <w:rFonts w:eastAsia="Times New Roman"/>
          <w:b/>
          <w:sz w:val="28"/>
          <w:szCs w:val="28"/>
        </w:rPr>
        <w:t xml:space="preserve">Hospodaření </w:t>
      </w:r>
      <w:r w:rsidR="00845FFA" w:rsidRPr="00B664AE">
        <w:rPr>
          <w:rFonts w:eastAsia="Times New Roman"/>
          <w:b/>
          <w:sz w:val="28"/>
          <w:szCs w:val="28"/>
        </w:rPr>
        <w:t>s </w:t>
      </w:r>
      <w:r w:rsidRPr="00B664AE">
        <w:rPr>
          <w:rFonts w:eastAsia="Times New Roman"/>
          <w:b/>
          <w:sz w:val="28"/>
          <w:szCs w:val="28"/>
        </w:rPr>
        <w:t xml:space="preserve">nemovitým majetkem a peněžními prostředky státu v souvislosti </w:t>
      </w:r>
      <w:r w:rsidR="00845FFA" w:rsidRPr="00B664AE">
        <w:rPr>
          <w:rFonts w:eastAsia="Times New Roman"/>
          <w:b/>
          <w:sz w:val="28"/>
          <w:szCs w:val="28"/>
        </w:rPr>
        <w:t>s </w:t>
      </w:r>
      <w:r w:rsidRPr="00B664AE">
        <w:rPr>
          <w:rFonts w:eastAsia="Times New Roman"/>
          <w:b/>
          <w:sz w:val="28"/>
          <w:szCs w:val="28"/>
        </w:rPr>
        <w:t xml:space="preserve">užíváním nemovitého majetku </w:t>
      </w:r>
    </w:p>
    <w:p w14:paraId="12504388" w14:textId="3CF7E499" w:rsidR="00801CDF" w:rsidRPr="00B664AE" w:rsidRDefault="00801CDF" w:rsidP="00DB5C7B">
      <w:pPr>
        <w:jc w:val="center"/>
        <w:rPr>
          <w:rFonts w:eastAsia="Times New Roman"/>
          <w:b/>
          <w:sz w:val="28"/>
          <w:szCs w:val="28"/>
        </w:rPr>
      </w:pPr>
      <w:r w:rsidRPr="00B664AE">
        <w:rPr>
          <w:rFonts w:eastAsia="Times New Roman"/>
          <w:b/>
          <w:sz w:val="28"/>
          <w:szCs w:val="28"/>
        </w:rPr>
        <w:t>vybranými organizačními složkami státu</w:t>
      </w:r>
    </w:p>
    <w:p w14:paraId="1D46789A" w14:textId="77777777" w:rsidR="009E0D5F" w:rsidRPr="006824CB" w:rsidRDefault="009E0D5F" w:rsidP="00DB5C7B">
      <w:pPr>
        <w:jc w:val="center"/>
        <w:rPr>
          <w:rFonts w:eastAsia="Times New Roman"/>
          <w:b/>
          <w:sz w:val="24"/>
          <w:szCs w:val="24"/>
        </w:rPr>
      </w:pPr>
    </w:p>
    <w:p w14:paraId="1D46789B" w14:textId="79015A31" w:rsidR="009E0D5F" w:rsidRPr="006824CB" w:rsidRDefault="009E0D5F" w:rsidP="00B24DF9">
      <w:pPr>
        <w:rPr>
          <w:sz w:val="24"/>
          <w:szCs w:val="24"/>
        </w:rPr>
      </w:pPr>
    </w:p>
    <w:p w14:paraId="1D46789C" w14:textId="7153EB6B" w:rsidR="009E0D5F" w:rsidRPr="009E0D5F" w:rsidRDefault="009E0D5F" w:rsidP="00B24DF9">
      <w:r w:rsidRPr="009E0D5F">
        <w:t>Kontrolní akce byla zařazena do plánu kontrolní činnosti Nejvyššího kontrolního úřadu (dále jen „N</w:t>
      </w:r>
      <w:r w:rsidR="00801CDF">
        <w:t>KÚ“) na rok 2013 pod číslem 13/40</w:t>
      </w:r>
      <w:r w:rsidRPr="009E0D5F">
        <w:t xml:space="preserve">. Kontrolní akci řídil a kontrolní </w:t>
      </w:r>
      <w:r w:rsidR="00B5428F">
        <w:t xml:space="preserve">závěr vypracoval člen NKÚ </w:t>
      </w:r>
      <w:r w:rsidR="00801CDF">
        <w:t>Ing. Zdeněk Brandt</w:t>
      </w:r>
      <w:r w:rsidRPr="009E0D5F">
        <w:t>.</w:t>
      </w:r>
    </w:p>
    <w:p w14:paraId="1D46789D" w14:textId="77777777" w:rsidR="009E0D5F" w:rsidRPr="009E0D5F" w:rsidRDefault="009E0D5F" w:rsidP="00B24DF9"/>
    <w:p w14:paraId="5B526383" w14:textId="69557575" w:rsidR="00801CDF" w:rsidRPr="00801CDF" w:rsidRDefault="009E0D5F" w:rsidP="00B24DF9">
      <w:r w:rsidRPr="009E0D5F">
        <w:t xml:space="preserve">Cílem kontroly bylo </w:t>
      </w:r>
      <w:r w:rsidR="00940968">
        <w:t>p</w:t>
      </w:r>
      <w:r w:rsidR="00801CDF" w:rsidRPr="00801CDF">
        <w:t xml:space="preserve">rověřit hospodaření </w:t>
      </w:r>
      <w:r w:rsidR="00845FFA">
        <w:t>s </w:t>
      </w:r>
      <w:r w:rsidR="00801CDF" w:rsidRPr="00801CDF">
        <w:t xml:space="preserve">nemovitým majetkem státu a peněžními prostředky vynaloženými </w:t>
      </w:r>
      <w:r w:rsidR="00845FFA">
        <w:t>v </w:t>
      </w:r>
      <w:r w:rsidR="00801CDF" w:rsidRPr="00801CDF">
        <w:t xml:space="preserve">souvislosti </w:t>
      </w:r>
      <w:r w:rsidR="00845FFA">
        <w:t>s </w:t>
      </w:r>
      <w:r w:rsidR="00801CDF" w:rsidRPr="00801CDF">
        <w:t>řešením dislokací u vybraných organizačních složek státu</w:t>
      </w:r>
      <w:r w:rsidR="00801CDF">
        <w:t>.</w:t>
      </w:r>
    </w:p>
    <w:p w14:paraId="1D46789F" w14:textId="77777777" w:rsidR="009E0D5F" w:rsidRPr="009E0D5F" w:rsidRDefault="009E0D5F" w:rsidP="00B24DF9"/>
    <w:p w14:paraId="1D4678A0" w14:textId="5EE0B145" w:rsidR="009E0D5F" w:rsidRPr="009E0D5F" w:rsidRDefault="00801CDF" w:rsidP="00B24DF9">
      <w:r>
        <w:t>Kontrolováno bylo období let 2011</w:t>
      </w:r>
      <w:r w:rsidR="009E0D5F" w:rsidRPr="009E0D5F">
        <w:t xml:space="preserve"> až 201</w:t>
      </w:r>
      <w:r>
        <w:t>3</w:t>
      </w:r>
      <w:r w:rsidR="009E0D5F" w:rsidRPr="009E0D5F">
        <w:t xml:space="preserve">, </w:t>
      </w:r>
      <w:r w:rsidR="00845FFA">
        <w:t>v </w:t>
      </w:r>
      <w:r w:rsidR="009E0D5F" w:rsidRPr="009E0D5F">
        <w:t>případě věcných souvislostí i období předcházející a</w:t>
      </w:r>
      <w:r w:rsidR="00440A03">
        <w:t xml:space="preserve"> </w:t>
      </w:r>
      <w:r w:rsidR="009E0D5F" w:rsidRPr="009E0D5F">
        <w:t xml:space="preserve">následující. Kontrola byla prováděna </w:t>
      </w:r>
      <w:r w:rsidR="00845FFA">
        <w:t>v </w:t>
      </w:r>
      <w:r w:rsidR="009E0D5F" w:rsidRPr="009E0D5F">
        <w:t xml:space="preserve">období od </w:t>
      </w:r>
      <w:r>
        <w:t>listopadu 2013</w:t>
      </w:r>
      <w:r w:rsidR="009E0D5F" w:rsidRPr="009E0D5F">
        <w:t xml:space="preserve"> do </w:t>
      </w:r>
      <w:r>
        <w:t>března</w:t>
      </w:r>
      <w:r w:rsidR="009E0D5F" w:rsidRPr="009E0D5F">
        <w:t xml:space="preserve"> 201</w:t>
      </w:r>
      <w:r>
        <w:t>4</w:t>
      </w:r>
      <w:r w:rsidR="009E0D5F" w:rsidRPr="009E0D5F">
        <w:t xml:space="preserve">. </w:t>
      </w:r>
    </w:p>
    <w:p w14:paraId="1D4678A1" w14:textId="77777777" w:rsidR="009E0D5F" w:rsidRPr="009E0D5F" w:rsidRDefault="009E0D5F" w:rsidP="00B24DF9"/>
    <w:p w14:paraId="1D4678A2" w14:textId="77777777" w:rsidR="009E0D5F" w:rsidRPr="00DB5C7B" w:rsidRDefault="009E0D5F" w:rsidP="00B24DF9">
      <w:pPr>
        <w:rPr>
          <w:b/>
        </w:rPr>
      </w:pPr>
      <w:r w:rsidRPr="00DB5C7B">
        <w:rPr>
          <w:b/>
        </w:rPr>
        <w:t>Kontrolované osoby:</w:t>
      </w:r>
    </w:p>
    <w:p w14:paraId="4998AB44" w14:textId="0CB3522B" w:rsidR="00801CDF" w:rsidRPr="00077BD8" w:rsidRDefault="00801CDF" w:rsidP="00B24DF9">
      <w:r w:rsidRPr="00077BD8">
        <w:t>Ministerstvo financí</w:t>
      </w:r>
      <w:r w:rsidR="00077BD8">
        <w:t xml:space="preserve"> (dále také „MF“)</w:t>
      </w:r>
      <w:r w:rsidR="003B7897">
        <w:t>,</w:t>
      </w:r>
    </w:p>
    <w:p w14:paraId="00EF2101" w14:textId="5664025A" w:rsidR="00801CDF" w:rsidRPr="00077BD8" w:rsidRDefault="00801CDF" w:rsidP="00B24DF9">
      <w:r w:rsidRPr="00077BD8">
        <w:t>Ministerstvo obrany</w:t>
      </w:r>
      <w:r w:rsidR="00077BD8">
        <w:t xml:space="preserve"> (dále také „MO“)</w:t>
      </w:r>
      <w:r w:rsidR="003B7897">
        <w:t>,</w:t>
      </w:r>
    </w:p>
    <w:p w14:paraId="70D1D9E9" w14:textId="55BB2284" w:rsidR="00801CDF" w:rsidRPr="00077BD8" w:rsidRDefault="00801CDF" w:rsidP="00B24DF9">
      <w:r w:rsidRPr="00077BD8">
        <w:t>Ministerstvo práce a sociálních věcí</w:t>
      </w:r>
      <w:r w:rsidR="00077BD8">
        <w:t xml:space="preserve"> (dále také „MPSV“)</w:t>
      </w:r>
      <w:r w:rsidR="003B7897">
        <w:t>,</w:t>
      </w:r>
    </w:p>
    <w:p w14:paraId="3DA1A27A" w14:textId="07280A68" w:rsidR="00801CDF" w:rsidRPr="00077BD8" w:rsidRDefault="00801CDF" w:rsidP="00B24DF9">
      <w:r w:rsidRPr="00077BD8">
        <w:t>Ministerstvo pro místní rozvoj</w:t>
      </w:r>
      <w:r w:rsidR="00077BD8">
        <w:t xml:space="preserve"> (dále také „MMR“)</w:t>
      </w:r>
      <w:r w:rsidR="003B7897">
        <w:t>,</w:t>
      </w:r>
    </w:p>
    <w:p w14:paraId="7CE2F7A9" w14:textId="2623F334" w:rsidR="00801CDF" w:rsidRPr="00077BD8" w:rsidRDefault="00801CDF" w:rsidP="00B24DF9">
      <w:r w:rsidRPr="00077BD8">
        <w:t>Ministerstvo školství, mládeže a tělovýchovy</w:t>
      </w:r>
      <w:r w:rsidR="00077BD8">
        <w:t xml:space="preserve"> (dále také „MŠMT“)</w:t>
      </w:r>
      <w:r w:rsidR="003B7897">
        <w:t>,</w:t>
      </w:r>
    </w:p>
    <w:p w14:paraId="2A440A54" w14:textId="4C35C6F0" w:rsidR="00801CDF" w:rsidRPr="00077BD8" w:rsidRDefault="00801CDF" w:rsidP="00B24DF9">
      <w:r w:rsidRPr="00077BD8">
        <w:t>Ministerstvo vnitra</w:t>
      </w:r>
      <w:r w:rsidR="00077BD8">
        <w:t xml:space="preserve"> (dále také „MV“)</w:t>
      </w:r>
      <w:r w:rsidR="003B7897">
        <w:t>,</w:t>
      </w:r>
    </w:p>
    <w:p w14:paraId="0F4CFCA1" w14:textId="461DD61B" w:rsidR="00801CDF" w:rsidRPr="00077BD8" w:rsidRDefault="00801CDF" w:rsidP="00B24DF9">
      <w:r w:rsidRPr="00077BD8">
        <w:t>Úřad pro zastupování státu ve věcech majetkových</w:t>
      </w:r>
      <w:r w:rsidR="00077BD8">
        <w:t xml:space="preserve"> (dále také „</w:t>
      </w:r>
      <w:proofErr w:type="spellStart"/>
      <w:r w:rsidR="00077BD8">
        <w:t>ÚZSVM</w:t>
      </w:r>
      <w:proofErr w:type="spellEnd"/>
      <w:r w:rsidR="00077BD8">
        <w:t>“)</w:t>
      </w:r>
      <w:r w:rsidR="003B7897">
        <w:t>.</w:t>
      </w:r>
    </w:p>
    <w:p w14:paraId="1D4678A6" w14:textId="77777777" w:rsidR="004056DF" w:rsidRDefault="004056DF" w:rsidP="00B24DF9"/>
    <w:p w14:paraId="1D4678A7" w14:textId="279DB84C" w:rsidR="009E0D5F" w:rsidRPr="009E0D5F" w:rsidRDefault="009E0D5F" w:rsidP="00B24DF9">
      <w:r w:rsidRPr="009E0D5F">
        <w:t>Námitky, které pr</w:t>
      </w:r>
      <w:r w:rsidR="00077BD8">
        <w:t>oti kontrolnímu protokolu podal</w:t>
      </w:r>
      <w:r w:rsidRPr="009E0D5F">
        <w:t xml:space="preserve"> </w:t>
      </w:r>
      <w:proofErr w:type="spellStart"/>
      <w:r w:rsidR="00077BD8">
        <w:t>ÚZSVM</w:t>
      </w:r>
      <w:proofErr w:type="spellEnd"/>
      <w:r w:rsidRPr="009E0D5F">
        <w:t xml:space="preserve">, byly vypořádány vedoucím skupiny kontrolujících rozhodnutím o námitkách. Odvolání </w:t>
      </w:r>
      <w:proofErr w:type="spellStart"/>
      <w:r w:rsidR="003B7897">
        <w:t>ÚZSVM</w:t>
      </w:r>
      <w:proofErr w:type="spellEnd"/>
      <w:r w:rsidR="003B7897">
        <w:t xml:space="preserve"> </w:t>
      </w:r>
      <w:r w:rsidRPr="009E0D5F">
        <w:t>proti rozhodnutí o námitkách bylo vypořádáno usnesením Kolegia NKÚ.</w:t>
      </w:r>
    </w:p>
    <w:p w14:paraId="1D4678A8" w14:textId="77777777" w:rsidR="009E0D5F" w:rsidRDefault="009E0D5F" w:rsidP="00B24DF9"/>
    <w:p w14:paraId="1D4678A9" w14:textId="77777777" w:rsidR="0089113B" w:rsidRPr="009E0D5F" w:rsidRDefault="0089113B" w:rsidP="00B24DF9"/>
    <w:p w14:paraId="1D4678AA" w14:textId="11F2278D" w:rsidR="009E0D5F" w:rsidRPr="009E0D5F" w:rsidRDefault="009E0D5F" w:rsidP="00B24DF9">
      <w:proofErr w:type="gramStart"/>
      <w:r w:rsidRPr="009E0D5F">
        <w:rPr>
          <w:b/>
          <w:bCs/>
          <w:i/>
          <w:iCs/>
        </w:rPr>
        <w:t>K o l e g i u m</w:t>
      </w:r>
      <w:r w:rsidRPr="009E0D5F">
        <w:rPr>
          <w:bCs/>
          <w:iCs/>
        </w:rPr>
        <w:t xml:space="preserve">   </w:t>
      </w:r>
      <w:r w:rsidRPr="009E0D5F">
        <w:rPr>
          <w:b/>
          <w:bCs/>
          <w:i/>
          <w:iCs/>
        </w:rPr>
        <w:t>N K Ú</w:t>
      </w:r>
      <w:r w:rsidRPr="009E0D5F">
        <w:rPr>
          <w:bCs/>
        </w:rPr>
        <w:t xml:space="preserve"> </w:t>
      </w:r>
      <w:r w:rsidRPr="009E0D5F">
        <w:t xml:space="preserve">  na</w:t>
      </w:r>
      <w:proofErr w:type="gramEnd"/>
      <w:r w:rsidRPr="009E0D5F">
        <w:t xml:space="preserve"> svém</w:t>
      </w:r>
      <w:r w:rsidR="00B32879">
        <w:t xml:space="preserve"> </w:t>
      </w:r>
      <w:r w:rsidR="00C32810">
        <w:t xml:space="preserve">XI. </w:t>
      </w:r>
      <w:r w:rsidRPr="009634F7">
        <w:t xml:space="preserve">zasedání, konaném dne </w:t>
      </w:r>
      <w:r w:rsidR="00C32810">
        <w:t xml:space="preserve">9. června </w:t>
      </w:r>
      <w:r w:rsidRPr="009634F7">
        <w:t>2014,</w:t>
      </w:r>
    </w:p>
    <w:p w14:paraId="1D4678AB" w14:textId="0F6DDDAD" w:rsidR="009E0D5F" w:rsidRPr="009E0D5F" w:rsidRDefault="009E0D5F" w:rsidP="00B24DF9">
      <w:proofErr w:type="gramStart"/>
      <w:r w:rsidRPr="00DB5C7B">
        <w:rPr>
          <w:b/>
          <w:i/>
        </w:rPr>
        <w:t>s c h v á l i l o</w:t>
      </w:r>
      <w:r w:rsidRPr="009E0D5F">
        <w:t xml:space="preserve">   </w:t>
      </w:r>
      <w:r w:rsidRPr="009634F7">
        <w:t>usnesením č.</w:t>
      </w:r>
      <w:proofErr w:type="gramEnd"/>
      <w:r w:rsidR="009634F7">
        <w:t xml:space="preserve"> </w:t>
      </w:r>
      <w:r w:rsidR="00C32810">
        <w:t>5/XI/</w:t>
      </w:r>
      <w:r w:rsidR="009634F7">
        <w:t>2014</w:t>
      </w:r>
      <w:r w:rsidRPr="009E0D5F">
        <w:t xml:space="preserve"> </w:t>
      </w:r>
    </w:p>
    <w:p w14:paraId="1D4678AC" w14:textId="77777777" w:rsidR="009E0D5F" w:rsidRPr="009E0D5F" w:rsidRDefault="009E0D5F" w:rsidP="00B24DF9">
      <w:proofErr w:type="gramStart"/>
      <w:r w:rsidRPr="00DB5C7B">
        <w:rPr>
          <w:b/>
          <w:i/>
        </w:rPr>
        <w:t>k o n t r o l n í   z á v ě r</w:t>
      </w:r>
      <w:r w:rsidRPr="009E0D5F">
        <w:t xml:space="preserve">   v tomto</w:t>
      </w:r>
      <w:proofErr w:type="gramEnd"/>
      <w:r w:rsidRPr="009E0D5F">
        <w:t xml:space="preserve"> znění:</w:t>
      </w:r>
    </w:p>
    <w:p w14:paraId="029DBC64" w14:textId="77777777" w:rsidR="006824CB" w:rsidRDefault="006824CB" w:rsidP="00B24DF9"/>
    <w:p w14:paraId="78510774" w14:textId="77777777" w:rsidR="006824CB" w:rsidRDefault="006824CB" w:rsidP="00B24DF9"/>
    <w:p w14:paraId="1CE9D7B0" w14:textId="0F35BA67" w:rsidR="00B32879" w:rsidRDefault="00F30B87" w:rsidP="00B664AE">
      <w:pPr>
        <w:pStyle w:val="Nadpis1"/>
        <w:numPr>
          <w:ilvl w:val="0"/>
          <w:numId w:val="0"/>
        </w:numPr>
      </w:pPr>
      <w:r>
        <w:t xml:space="preserve">I. </w:t>
      </w:r>
      <w:r w:rsidR="00B32879">
        <w:t>Úvod</w:t>
      </w:r>
    </w:p>
    <w:p w14:paraId="40329156" w14:textId="77777777" w:rsidR="006D2578" w:rsidRDefault="006D2578" w:rsidP="00B24DF9">
      <w:pPr>
        <w:pStyle w:val="Obsah1"/>
      </w:pPr>
    </w:p>
    <w:p w14:paraId="29369C43" w14:textId="60A8F9AE" w:rsidR="006D2578" w:rsidRDefault="006D2578" w:rsidP="00B24DF9">
      <w:pPr>
        <w:pStyle w:val="Obsah1"/>
      </w:pPr>
      <w:r>
        <w:rPr>
          <w:b/>
          <w:bCs/>
        </w:rPr>
        <w:t xml:space="preserve">Kontrolovaná ministerstva vykonávají svou působnost </w:t>
      </w:r>
      <w:r>
        <w:t>podle zákona č. </w:t>
      </w:r>
      <w:r w:rsidRPr="00E86B06">
        <w:t>2/</w:t>
      </w:r>
      <w:r w:rsidRPr="009672E2">
        <w:t>1969</w:t>
      </w:r>
      <w:r w:rsidRPr="00E86B06">
        <w:t xml:space="preserve"> Sb.</w:t>
      </w:r>
      <w:r>
        <w:rPr>
          <w:rStyle w:val="Znakapoznpodarou"/>
        </w:rPr>
        <w:footnoteReference w:id="1"/>
      </w:r>
      <w:r>
        <w:t xml:space="preserve">, jsou </w:t>
      </w:r>
      <w:r w:rsidRPr="003C12E3">
        <w:t>organizačními složkami státu</w:t>
      </w:r>
      <w:r w:rsidR="005F477A">
        <w:t xml:space="preserve"> (dále také „</w:t>
      </w:r>
      <w:proofErr w:type="spellStart"/>
      <w:r w:rsidR="005F477A">
        <w:t>OSS</w:t>
      </w:r>
      <w:proofErr w:type="spellEnd"/>
      <w:r w:rsidR="005F477A">
        <w:t>“)</w:t>
      </w:r>
      <w:r w:rsidRPr="003C12E3">
        <w:t xml:space="preserve"> dle zákona č. 219/2000 Sb.</w:t>
      </w:r>
      <w:r w:rsidRPr="003C12E3">
        <w:rPr>
          <w:rStyle w:val="Znakapoznpodarou"/>
        </w:rPr>
        <w:footnoteReference w:id="2"/>
      </w:r>
      <w:r w:rsidR="00AC6FDD">
        <w:t xml:space="preserve"> a účetními jednotkami dle </w:t>
      </w:r>
      <w:r w:rsidRPr="003C12E3">
        <w:t>zákona č. 563/1991 Sb.</w:t>
      </w:r>
      <w:r w:rsidRPr="003C12E3">
        <w:rPr>
          <w:rStyle w:val="Znakapoznpodarou"/>
        </w:rPr>
        <w:footnoteReference w:id="3"/>
      </w:r>
      <w:r w:rsidR="003B7897">
        <w:t>.</w:t>
      </w:r>
    </w:p>
    <w:p w14:paraId="49F196DB" w14:textId="77777777" w:rsidR="00AC6FDD" w:rsidRDefault="00AC6FDD" w:rsidP="00B24DF9">
      <w:pPr>
        <w:rPr>
          <w:b/>
        </w:rPr>
      </w:pPr>
    </w:p>
    <w:p w14:paraId="6693A0AF" w14:textId="71651F25" w:rsidR="006D2578" w:rsidRPr="006D2578" w:rsidRDefault="00E944D2" w:rsidP="00B24DF9">
      <w:proofErr w:type="spellStart"/>
      <w:r>
        <w:rPr>
          <w:b/>
        </w:rPr>
        <w:lastRenderedPageBreak/>
        <w:t>Ú</w:t>
      </w:r>
      <w:r w:rsidR="00FD3046" w:rsidRPr="00790D81">
        <w:rPr>
          <w:b/>
        </w:rPr>
        <w:t>ZSVM</w:t>
      </w:r>
      <w:proofErr w:type="spellEnd"/>
      <w:r w:rsidR="006D2578" w:rsidRPr="006D2578">
        <w:t xml:space="preserve"> byl zřízen zákonem č. 201/2002 Sb.</w:t>
      </w:r>
      <w:r w:rsidR="00790D81" w:rsidRPr="00790D81">
        <w:rPr>
          <w:rStyle w:val="Znakapoznpodarou"/>
          <w:rFonts w:eastAsia="Times New Roman"/>
        </w:rPr>
        <w:footnoteReference w:id="4"/>
      </w:r>
      <w:r w:rsidR="006D2578" w:rsidRPr="006D2578">
        <w:t xml:space="preserve"> </w:t>
      </w:r>
      <w:proofErr w:type="spellStart"/>
      <w:r w:rsidR="00790D81" w:rsidRPr="00790D81">
        <w:t>ÚZSVM</w:t>
      </w:r>
      <w:proofErr w:type="spellEnd"/>
      <w:r w:rsidR="00790D81" w:rsidRPr="00790D81">
        <w:t xml:space="preserve"> jedná v řízení</w:t>
      </w:r>
      <w:r w:rsidR="003B7897">
        <w:t>ch</w:t>
      </w:r>
      <w:r w:rsidR="00790D81" w:rsidRPr="00790D81">
        <w:t xml:space="preserve"> před soudy, rozhodci nebo stálými rozhodčími soudy, správními úřady a jinými orgány ve věcech týkajících se majetku státu, kdy vystupuje </w:t>
      </w:r>
      <w:r w:rsidR="00845FFA">
        <w:t>v </w:t>
      </w:r>
      <w:r w:rsidR="00790D81" w:rsidRPr="00790D81">
        <w:t xml:space="preserve">řízení za stát jako příslušná organizační složka </w:t>
      </w:r>
      <w:r w:rsidR="00845FFA">
        <w:t>s </w:t>
      </w:r>
      <w:r w:rsidR="00790D81" w:rsidRPr="00790D81">
        <w:t xml:space="preserve">příslušností hospodařit </w:t>
      </w:r>
      <w:r w:rsidR="00845FFA">
        <w:t>s </w:t>
      </w:r>
      <w:r w:rsidR="00790D81" w:rsidRPr="00790D81">
        <w:t xml:space="preserve">tímto majetkem nebo namísto organizačních složek, které jsou příslušné hospodařit </w:t>
      </w:r>
      <w:r w:rsidR="00845FFA">
        <w:t>s </w:t>
      </w:r>
      <w:r w:rsidR="00790D81" w:rsidRPr="00790D81">
        <w:t xml:space="preserve">předmětným majetkem státu, </w:t>
      </w:r>
      <w:r w:rsidR="003B7897">
        <w:t xml:space="preserve">a to </w:t>
      </w:r>
      <w:r w:rsidR="00790D81" w:rsidRPr="00790D81">
        <w:t xml:space="preserve">podle zákona č. 219/2000 Sb. Odborný dohled nad činností </w:t>
      </w:r>
      <w:proofErr w:type="spellStart"/>
      <w:r w:rsidR="00790D81">
        <w:t>ÚZSVM</w:t>
      </w:r>
      <w:proofErr w:type="spellEnd"/>
      <w:r w:rsidR="00790D81">
        <w:t xml:space="preserve"> </w:t>
      </w:r>
      <w:r w:rsidR="00790D81" w:rsidRPr="00790D81">
        <w:t>vykonává M</w:t>
      </w:r>
      <w:r w:rsidR="00790D81">
        <w:t>F</w:t>
      </w:r>
      <w:r w:rsidR="00790D81" w:rsidRPr="00790D81">
        <w:t xml:space="preserve">. </w:t>
      </w:r>
      <w:proofErr w:type="spellStart"/>
      <w:r w:rsidR="00790D81" w:rsidRPr="00790D81">
        <w:t>ÚZSVM</w:t>
      </w:r>
      <w:proofErr w:type="spellEnd"/>
      <w:r w:rsidR="00790D81" w:rsidRPr="00790D81">
        <w:t xml:space="preserve"> je </w:t>
      </w:r>
      <w:proofErr w:type="spellStart"/>
      <w:r w:rsidR="005F477A">
        <w:t>OSS</w:t>
      </w:r>
      <w:proofErr w:type="spellEnd"/>
      <w:r w:rsidR="00790D81" w:rsidRPr="00790D81">
        <w:t xml:space="preserve"> a samostatn</w:t>
      </w:r>
      <w:r w:rsidR="003B7897">
        <w:t>á</w:t>
      </w:r>
      <w:r w:rsidR="00790D81" w:rsidRPr="00790D81">
        <w:t xml:space="preserve"> účetní jednotk</w:t>
      </w:r>
      <w:r w:rsidR="003B7897">
        <w:t>a</w:t>
      </w:r>
      <w:r w:rsidR="00790D81">
        <w:t>.</w:t>
      </w:r>
    </w:p>
    <w:p w14:paraId="7C13541E" w14:textId="77777777" w:rsidR="00780CFD" w:rsidRPr="00B664AE" w:rsidRDefault="00780CFD" w:rsidP="00B24DF9"/>
    <w:p w14:paraId="527A88E1" w14:textId="190641D4" w:rsidR="00790D81" w:rsidRDefault="00790D81" w:rsidP="00B664AE">
      <w:pPr>
        <w:ind w:left="624" w:hanging="624"/>
        <w:rPr>
          <w:sz w:val="18"/>
          <w:szCs w:val="18"/>
        </w:rPr>
      </w:pPr>
      <w:r w:rsidRPr="006C2F0A">
        <w:rPr>
          <w:b/>
          <w:sz w:val="18"/>
          <w:szCs w:val="18"/>
        </w:rPr>
        <w:t>Pozn.:</w:t>
      </w:r>
      <w:r w:rsidRPr="006C2F0A">
        <w:rPr>
          <w:b/>
          <w:sz w:val="18"/>
          <w:szCs w:val="18"/>
        </w:rPr>
        <w:tab/>
      </w:r>
      <w:r w:rsidRPr="006C2F0A">
        <w:rPr>
          <w:sz w:val="18"/>
          <w:szCs w:val="18"/>
        </w:rPr>
        <w:t xml:space="preserve">Právní předpisy uváděné v tomto kontrolním závěru jsou </w:t>
      </w:r>
      <w:r w:rsidR="00AC6FDD" w:rsidRPr="006C2F0A">
        <w:rPr>
          <w:sz w:val="18"/>
          <w:szCs w:val="18"/>
        </w:rPr>
        <w:t>aplikovány ve znění účinném pro </w:t>
      </w:r>
      <w:r w:rsidRPr="006C2F0A">
        <w:rPr>
          <w:sz w:val="18"/>
          <w:szCs w:val="18"/>
        </w:rPr>
        <w:t>kontrolované období.</w:t>
      </w:r>
    </w:p>
    <w:p w14:paraId="20D0FB60" w14:textId="77777777" w:rsidR="006824CB" w:rsidRPr="006C2F0A" w:rsidRDefault="006824CB" w:rsidP="00AC6FDD">
      <w:pPr>
        <w:ind w:left="709" w:hanging="709"/>
        <w:rPr>
          <w:sz w:val="18"/>
          <w:szCs w:val="18"/>
        </w:rPr>
      </w:pPr>
    </w:p>
    <w:p w14:paraId="0C8F098C" w14:textId="77777777" w:rsidR="00780CFD" w:rsidRPr="00790D81" w:rsidRDefault="00780CFD" w:rsidP="00B24DF9"/>
    <w:p w14:paraId="26308F05" w14:textId="79BDA98C" w:rsidR="005E0DBD" w:rsidRDefault="00F30B87" w:rsidP="00B664AE">
      <w:pPr>
        <w:pStyle w:val="Nadpis1"/>
        <w:numPr>
          <w:ilvl w:val="0"/>
          <w:numId w:val="0"/>
        </w:numPr>
      </w:pPr>
      <w:r>
        <w:t xml:space="preserve">II. </w:t>
      </w:r>
      <w:r w:rsidR="005E0DBD">
        <w:t>Skutečnosti zjištěné při kontrole</w:t>
      </w:r>
    </w:p>
    <w:p w14:paraId="35879269" w14:textId="77777777" w:rsidR="009866B9" w:rsidRDefault="009866B9" w:rsidP="00B24DF9"/>
    <w:p w14:paraId="5C1A954A" w14:textId="1A9C4419" w:rsidR="00E04684" w:rsidRDefault="00E04684" w:rsidP="00E04684">
      <w:r>
        <w:t>NKÚ se zaměřil na využívání administrativních objektů na</w:t>
      </w:r>
      <w:r w:rsidR="003B7897">
        <w:t xml:space="preserve"> </w:t>
      </w:r>
      <w:r>
        <w:t>území hl. m. Prahy, se</w:t>
      </w:r>
      <w:r w:rsidR="00F57B37">
        <w:t xml:space="preserve"> </w:t>
      </w:r>
      <w:r>
        <w:t>kterými</w:t>
      </w:r>
      <w:r w:rsidR="00F57B37">
        <w:t xml:space="preserve"> </w:t>
      </w:r>
      <w:r>
        <w:t>jsou kontrolovaná ministerstva příslušná hospodařit, peněžní prostředky získané z pronájm</w:t>
      </w:r>
      <w:r w:rsidR="003B7897">
        <w:t>ů</w:t>
      </w:r>
      <w:r>
        <w:t xml:space="preserve"> a prostředky vynakládané na úhradu nájemného placeného za najaté prostory. </w:t>
      </w:r>
    </w:p>
    <w:p w14:paraId="02DE232F" w14:textId="77777777" w:rsidR="00E04684" w:rsidRDefault="00E04684" w:rsidP="00E04684"/>
    <w:p w14:paraId="1EF879C0" w14:textId="33EBAAE6" w:rsidR="00E04684" w:rsidRPr="00B73A7D" w:rsidRDefault="00B73A7D" w:rsidP="00B73A7D">
      <w:pPr>
        <w:rPr>
          <w:b/>
        </w:rPr>
      </w:pPr>
      <w:r>
        <w:rPr>
          <w:b/>
        </w:rPr>
        <w:t xml:space="preserve">Tabulka č. 1 – </w:t>
      </w:r>
      <w:r w:rsidR="00E04684" w:rsidRPr="00B73A7D">
        <w:rPr>
          <w:b/>
        </w:rPr>
        <w:t xml:space="preserve">Počty </w:t>
      </w:r>
      <w:proofErr w:type="spellStart"/>
      <w:r w:rsidR="00E04684" w:rsidRPr="00B73A7D">
        <w:rPr>
          <w:b/>
        </w:rPr>
        <w:t>admin</w:t>
      </w:r>
      <w:proofErr w:type="spellEnd"/>
      <w:r w:rsidR="00E04684" w:rsidRPr="00B73A7D">
        <w:rPr>
          <w:b/>
        </w:rPr>
        <w:t xml:space="preserve">. </w:t>
      </w:r>
      <w:proofErr w:type="gramStart"/>
      <w:r w:rsidR="00E04684" w:rsidRPr="00B73A7D">
        <w:rPr>
          <w:b/>
        </w:rPr>
        <w:t>budov</w:t>
      </w:r>
      <w:proofErr w:type="gramEnd"/>
      <w:r w:rsidR="00E04684" w:rsidRPr="00B73A7D">
        <w:rPr>
          <w:b/>
        </w:rPr>
        <w:t xml:space="preserve"> kontrolovaných ministerstev na území hl. m. Prahy</w:t>
      </w:r>
    </w:p>
    <w:tbl>
      <w:tblPr>
        <w:tblW w:w="5000" w:type="pct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2732"/>
      </w:tblGrid>
      <w:tr w:rsidR="00E04684" w:rsidRPr="00C44C60" w14:paraId="4838B301" w14:textId="77777777" w:rsidTr="00C429F7">
        <w:trPr>
          <w:trHeight w:hRule="exact" w:val="266"/>
        </w:trPr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636CA8" w14:textId="77777777" w:rsidR="00E04684" w:rsidRPr="00C44C60" w:rsidRDefault="00E04684" w:rsidP="00C429F7">
            <w:pPr>
              <w:pStyle w:val="tabulka"/>
              <w:jc w:val="center"/>
              <w:rPr>
                <w:b/>
              </w:rPr>
            </w:pPr>
            <w:r w:rsidRPr="00C44C60">
              <w:rPr>
                <w:b/>
              </w:rPr>
              <w:t>Kontrolovaná osoba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C3276" w14:textId="53D77D8D" w:rsidR="00E04684" w:rsidRPr="00C44C60" w:rsidRDefault="00E04684" w:rsidP="00FD570F">
            <w:pPr>
              <w:pStyle w:val="tabulka"/>
              <w:jc w:val="center"/>
              <w:rPr>
                <w:b/>
              </w:rPr>
            </w:pPr>
            <w:r w:rsidRPr="00C44C60">
              <w:rPr>
                <w:b/>
              </w:rPr>
              <w:t xml:space="preserve">Počet </w:t>
            </w:r>
            <w:r w:rsidR="00FD570F">
              <w:rPr>
                <w:b/>
              </w:rPr>
              <w:t>budov</w:t>
            </w:r>
          </w:p>
        </w:tc>
      </w:tr>
      <w:tr w:rsidR="00E04684" w:rsidRPr="00346B7A" w14:paraId="5F4661F2" w14:textId="77777777" w:rsidTr="00C429F7">
        <w:trPr>
          <w:trHeight w:hRule="exact" w:val="266"/>
        </w:trPr>
        <w:tc>
          <w:tcPr>
            <w:tcW w:w="3500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381AE9" w14:textId="77777777" w:rsidR="00E04684" w:rsidRPr="00346B7A" w:rsidRDefault="00E04684" w:rsidP="00C429F7">
            <w:pPr>
              <w:pStyle w:val="tabulka"/>
              <w:rPr>
                <w:rFonts w:eastAsia="Arial Unicode MS"/>
              </w:rPr>
            </w:pPr>
            <w:r w:rsidRPr="00346B7A">
              <w:rPr>
                <w:rFonts w:eastAsia="Arial Unicode MS"/>
              </w:rPr>
              <w:t>Ministerstvo financí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6D258C" w14:textId="77777777" w:rsidR="00E04684" w:rsidRPr="00346B7A" w:rsidRDefault="00E04684" w:rsidP="00B664AE">
            <w:pPr>
              <w:pStyle w:val="tabulka"/>
              <w:ind w:right="1292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</w:tr>
      <w:tr w:rsidR="00E04684" w:rsidRPr="00346B7A" w14:paraId="4AEB8C8A" w14:textId="77777777" w:rsidTr="00C429F7">
        <w:trPr>
          <w:trHeight w:hRule="exact" w:val="266"/>
        </w:trPr>
        <w:tc>
          <w:tcPr>
            <w:tcW w:w="35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864F2" w14:textId="77777777" w:rsidR="00E04684" w:rsidRPr="00346B7A" w:rsidRDefault="00E04684" w:rsidP="00C429F7">
            <w:pPr>
              <w:pStyle w:val="tabulka"/>
            </w:pPr>
            <w:r w:rsidRPr="00346B7A">
              <w:t>Ministerstvo obrany</w:t>
            </w:r>
          </w:p>
        </w:tc>
        <w:tc>
          <w:tcPr>
            <w:tcW w:w="15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B55E32" w14:textId="77777777" w:rsidR="00E04684" w:rsidRPr="00346B7A" w:rsidRDefault="00E04684" w:rsidP="00B664AE">
            <w:pPr>
              <w:pStyle w:val="tabulka"/>
              <w:ind w:right="1292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19</w:t>
            </w:r>
          </w:p>
        </w:tc>
      </w:tr>
      <w:tr w:rsidR="00E04684" w:rsidRPr="00346B7A" w14:paraId="2DDF40F5" w14:textId="77777777" w:rsidTr="00C429F7">
        <w:trPr>
          <w:trHeight w:hRule="exact" w:val="266"/>
        </w:trPr>
        <w:tc>
          <w:tcPr>
            <w:tcW w:w="35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7B64F2" w14:textId="77777777" w:rsidR="00E04684" w:rsidRPr="00346B7A" w:rsidRDefault="00E04684" w:rsidP="00C429F7">
            <w:pPr>
              <w:pStyle w:val="tabulka"/>
              <w:rPr>
                <w:rFonts w:eastAsia="Arial Unicode MS"/>
              </w:rPr>
            </w:pPr>
            <w:r w:rsidRPr="00346B7A">
              <w:rPr>
                <w:rFonts w:eastAsia="Arial Unicode MS"/>
              </w:rPr>
              <w:t>Ministerstvo práce a sociálních věcí</w:t>
            </w:r>
          </w:p>
        </w:tc>
        <w:tc>
          <w:tcPr>
            <w:tcW w:w="15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DC7773" w14:textId="77777777" w:rsidR="00E04684" w:rsidRPr="00346B7A" w:rsidRDefault="00E04684" w:rsidP="00B664AE">
            <w:pPr>
              <w:pStyle w:val="tabulka"/>
              <w:ind w:right="1292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E04684" w:rsidRPr="00346B7A" w14:paraId="5B71C44E" w14:textId="77777777" w:rsidTr="00C429F7">
        <w:trPr>
          <w:trHeight w:hRule="exact" w:val="266"/>
        </w:trPr>
        <w:tc>
          <w:tcPr>
            <w:tcW w:w="35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CBCA19" w14:textId="77777777" w:rsidR="00E04684" w:rsidRPr="00346B7A" w:rsidRDefault="00E04684" w:rsidP="00C429F7">
            <w:pPr>
              <w:pStyle w:val="tabulka"/>
              <w:rPr>
                <w:rFonts w:eastAsia="Arial Unicode MS"/>
              </w:rPr>
            </w:pPr>
            <w:r w:rsidRPr="00346B7A">
              <w:t>Ministerstvo pro místní rozvoj</w:t>
            </w:r>
          </w:p>
        </w:tc>
        <w:tc>
          <w:tcPr>
            <w:tcW w:w="15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150BC7" w14:textId="77777777" w:rsidR="00E04684" w:rsidRPr="00346B7A" w:rsidRDefault="00E04684" w:rsidP="00B664AE">
            <w:pPr>
              <w:pStyle w:val="tabulka"/>
              <w:ind w:right="1292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</w:tr>
      <w:tr w:rsidR="00E04684" w:rsidRPr="00346B7A" w14:paraId="548DD149" w14:textId="77777777" w:rsidTr="00C429F7">
        <w:trPr>
          <w:trHeight w:hRule="exact" w:val="266"/>
        </w:trPr>
        <w:tc>
          <w:tcPr>
            <w:tcW w:w="35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84DDA5" w14:textId="77777777" w:rsidR="00E04684" w:rsidRPr="00346B7A" w:rsidRDefault="00E04684" w:rsidP="00C429F7">
            <w:pPr>
              <w:pStyle w:val="tabulka"/>
              <w:rPr>
                <w:rFonts w:eastAsia="Arial Unicode MS"/>
              </w:rPr>
            </w:pPr>
            <w:r w:rsidRPr="00346B7A">
              <w:t>Ministerstvo školství, mládeže a tělovýchovy</w:t>
            </w:r>
          </w:p>
        </w:tc>
        <w:tc>
          <w:tcPr>
            <w:tcW w:w="1500" w:type="pc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37DFB4" w14:textId="77777777" w:rsidR="00E04684" w:rsidRPr="00346B7A" w:rsidRDefault="00E04684" w:rsidP="00B664AE">
            <w:pPr>
              <w:pStyle w:val="tabulka"/>
              <w:ind w:right="1292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</w:tr>
      <w:tr w:rsidR="00E04684" w:rsidRPr="00346B7A" w14:paraId="4944D55F" w14:textId="77777777" w:rsidTr="00C429F7">
        <w:trPr>
          <w:trHeight w:hRule="exact" w:val="266"/>
        </w:trPr>
        <w:tc>
          <w:tcPr>
            <w:tcW w:w="35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A2AFA4" w14:textId="77777777" w:rsidR="00E04684" w:rsidRPr="00346B7A" w:rsidRDefault="00E04684" w:rsidP="00C429F7">
            <w:pPr>
              <w:pStyle w:val="tabulka"/>
              <w:rPr>
                <w:rFonts w:eastAsia="Arial Unicode MS"/>
              </w:rPr>
            </w:pPr>
            <w:r w:rsidRPr="00346B7A">
              <w:t>Ministerstvo vnitra</w:t>
            </w:r>
          </w:p>
        </w:tc>
        <w:tc>
          <w:tcPr>
            <w:tcW w:w="1500" w:type="pc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390369" w14:textId="77777777" w:rsidR="00E04684" w:rsidRPr="00346B7A" w:rsidRDefault="00E04684" w:rsidP="00B664AE">
            <w:pPr>
              <w:pStyle w:val="tabulka"/>
              <w:ind w:right="1292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18</w:t>
            </w:r>
          </w:p>
        </w:tc>
      </w:tr>
    </w:tbl>
    <w:p w14:paraId="70BA6BA9" w14:textId="77ED3CF5" w:rsidR="00E04684" w:rsidRPr="00346B7A" w:rsidRDefault="00E04684" w:rsidP="000B40B0">
      <w:pPr>
        <w:pStyle w:val="Poznmka"/>
      </w:pPr>
      <w:r w:rsidRPr="0088364F">
        <w:rPr>
          <w:b/>
        </w:rPr>
        <w:t>Zdroj:</w:t>
      </w:r>
      <w:r w:rsidRPr="00346B7A">
        <w:t xml:space="preserve"> </w:t>
      </w:r>
      <w:r w:rsidR="003B7897">
        <w:tab/>
        <w:t>k</w:t>
      </w:r>
      <w:r w:rsidRPr="00346B7A">
        <w:t>atastr nemovitostí</w:t>
      </w:r>
      <w:r>
        <w:t>, informace kontrolovaných osob.</w:t>
      </w:r>
    </w:p>
    <w:p w14:paraId="3AC11D8B" w14:textId="634886F3" w:rsidR="00E04684" w:rsidRPr="00AD6DBF" w:rsidRDefault="00E04684">
      <w:pPr>
        <w:pStyle w:val="Poznmka"/>
      </w:pPr>
      <w:r w:rsidRPr="0088364F">
        <w:rPr>
          <w:b/>
        </w:rPr>
        <w:t>Pozn.:</w:t>
      </w:r>
      <w:r>
        <w:t xml:space="preserve"> </w:t>
      </w:r>
      <w:r w:rsidR="003B7897">
        <w:tab/>
      </w:r>
      <w:r w:rsidRPr="00195F12">
        <w:t xml:space="preserve">V případě MO a MV </w:t>
      </w:r>
      <w:r w:rsidR="003B7897">
        <w:t>uvádíme</w:t>
      </w:r>
      <w:r w:rsidRPr="00195F12">
        <w:t xml:space="preserve"> pouze budovy, v nichž neprobíhají činnosti</w:t>
      </w:r>
      <w:r>
        <w:t>,</w:t>
      </w:r>
      <w:r w:rsidRPr="00195F12">
        <w:t xml:space="preserve"> </w:t>
      </w:r>
      <w:r>
        <w:t xml:space="preserve">na něž se vztahuje zákon č. 412/2005 Sb., o ochraně utajovaných informací a </w:t>
      </w:r>
      <w:r w:rsidR="003B7897">
        <w:t xml:space="preserve">o </w:t>
      </w:r>
      <w:r>
        <w:t>bezpečnostní způsobilosti</w:t>
      </w:r>
      <w:r w:rsidRPr="00195F12">
        <w:t>.</w:t>
      </w:r>
    </w:p>
    <w:p w14:paraId="1D972DBF" w14:textId="77777777" w:rsidR="00E04684" w:rsidRDefault="00E04684" w:rsidP="00E04684"/>
    <w:p w14:paraId="6C443846" w14:textId="04CF7C77" w:rsidR="009866B9" w:rsidRDefault="009866B9" w:rsidP="00B24DF9">
      <w:r w:rsidRPr="009866B9">
        <w:t>Následující tabulk</w:t>
      </w:r>
      <w:r w:rsidR="00817A6C">
        <w:t>a</w:t>
      </w:r>
      <w:r w:rsidRPr="009866B9">
        <w:t xml:space="preserve"> obsahuj</w:t>
      </w:r>
      <w:r w:rsidR="00817A6C">
        <w:t>e</w:t>
      </w:r>
      <w:r w:rsidRPr="009866B9">
        <w:t xml:space="preserve"> informace o </w:t>
      </w:r>
      <w:r w:rsidR="001A3A10">
        <w:t xml:space="preserve">finančním vyjádření </w:t>
      </w:r>
      <w:r w:rsidR="00802151">
        <w:t>hodnot</w:t>
      </w:r>
      <w:r w:rsidR="001A3A10">
        <w:t>y</w:t>
      </w:r>
      <w:r w:rsidR="00817A6C">
        <w:t xml:space="preserve"> stav</w:t>
      </w:r>
      <w:r w:rsidR="00C61B33">
        <w:t>eb</w:t>
      </w:r>
      <w:r w:rsidR="00802151">
        <w:t>, s nimiž jsou</w:t>
      </w:r>
      <w:r w:rsidR="00C61B33">
        <w:t xml:space="preserve"> kontrolovan</w:t>
      </w:r>
      <w:r w:rsidR="00802151">
        <w:t>á</w:t>
      </w:r>
      <w:r w:rsidR="00C61B33">
        <w:t xml:space="preserve"> ministerstv</w:t>
      </w:r>
      <w:r w:rsidR="00802151">
        <w:t>a příslušná hospodařit,</w:t>
      </w:r>
      <w:r w:rsidR="00C61B33">
        <w:t xml:space="preserve"> </w:t>
      </w:r>
      <w:r w:rsidR="00C562E8">
        <w:t xml:space="preserve">vycházející </w:t>
      </w:r>
      <w:r w:rsidR="00845FFA">
        <w:t>z </w:t>
      </w:r>
      <w:r w:rsidRPr="009866B9">
        <w:t xml:space="preserve">položky </w:t>
      </w:r>
      <w:proofErr w:type="spellStart"/>
      <w:proofErr w:type="gramStart"/>
      <w:r w:rsidRPr="00B664AE">
        <w:rPr>
          <w:i/>
        </w:rPr>
        <w:t>A.II</w:t>
      </w:r>
      <w:proofErr w:type="gramEnd"/>
      <w:r w:rsidRPr="00B664AE">
        <w:rPr>
          <w:i/>
        </w:rPr>
        <w:t>.3</w:t>
      </w:r>
      <w:proofErr w:type="spellEnd"/>
      <w:r w:rsidRPr="00B664AE">
        <w:rPr>
          <w:i/>
        </w:rPr>
        <w:t xml:space="preserve"> Stavby</w:t>
      </w:r>
      <w:r w:rsidRPr="009866B9">
        <w:t xml:space="preserve"> </w:t>
      </w:r>
      <w:r w:rsidR="00940968">
        <w:t>rozvah sestavených k 31. 12.</w:t>
      </w:r>
      <w:r w:rsidRPr="009866B9">
        <w:t xml:space="preserve"> 2011 a </w:t>
      </w:r>
      <w:r w:rsidR="00940968">
        <w:t xml:space="preserve">31. 12. </w:t>
      </w:r>
      <w:r w:rsidRPr="009866B9">
        <w:t>2012.</w:t>
      </w:r>
    </w:p>
    <w:p w14:paraId="17702D75" w14:textId="77777777" w:rsidR="004D52A7" w:rsidRPr="009866B9" w:rsidRDefault="004D52A7" w:rsidP="00B24DF9"/>
    <w:p w14:paraId="34B114AB" w14:textId="5D394CAF" w:rsidR="006824CB" w:rsidRPr="00B73A7D" w:rsidRDefault="00B73A7D" w:rsidP="00B73A7D">
      <w:pPr>
        <w:jc w:val="left"/>
        <w:rPr>
          <w:b/>
        </w:rPr>
      </w:pPr>
      <w:r>
        <w:rPr>
          <w:b/>
        </w:rPr>
        <w:t xml:space="preserve">Tabulka č. 2 – </w:t>
      </w:r>
      <w:r w:rsidR="009866B9" w:rsidRPr="00B73A7D">
        <w:rPr>
          <w:b/>
        </w:rPr>
        <w:t xml:space="preserve">Stav položky rozvahy </w:t>
      </w:r>
      <w:proofErr w:type="spellStart"/>
      <w:proofErr w:type="gramStart"/>
      <w:r w:rsidR="009866B9" w:rsidRPr="00B664AE">
        <w:rPr>
          <w:b/>
          <w:i/>
        </w:rPr>
        <w:t>A.II</w:t>
      </w:r>
      <w:proofErr w:type="gramEnd"/>
      <w:r w:rsidR="009866B9" w:rsidRPr="00B664AE">
        <w:rPr>
          <w:b/>
          <w:i/>
        </w:rPr>
        <w:t>.3</w:t>
      </w:r>
      <w:proofErr w:type="spellEnd"/>
      <w:r w:rsidR="009866B9" w:rsidRPr="00B664AE">
        <w:rPr>
          <w:b/>
          <w:i/>
        </w:rPr>
        <w:t xml:space="preserve"> Stavby</w:t>
      </w:r>
      <w:r w:rsidR="009866B9" w:rsidRPr="00B73A7D">
        <w:rPr>
          <w:b/>
        </w:rPr>
        <w:t xml:space="preserve"> (netto) k 31. 12. příslušného roku</w:t>
      </w:r>
    </w:p>
    <w:p w14:paraId="102FD988" w14:textId="7A879981" w:rsidR="009866B9" w:rsidRPr="006824CB" w:rsidRDefault="007D4DC4" w:rsidP="006824CB">
      <w:pPr>
        <w:jc w:val="right"/>
        <w:rPr>
          <w:b/>
        </w:rPr>
      </w:pPr>
      <w:r w:rsidRPr="006824CB">
        <w:rPr>
          <w:b/>
        </w:rPr>
        <w:t>(</w:t>
      </w:r>
      <w:r w:rsidR="009866B9" w:rsidRPr="006824CB">
        <w:rPr>
          <w:b/>
        </w:rPr>
        <w:t>v Kč</w:t>
      </w:r>
      <w:r w:rsidRPr="006824CB">
        <w:rPr>
          <w:b/>
        </w:rPr>
        <w:t>)</w:t>
      </w:r>
    </w:p>
    <w:tbl>
      <w:tblPr>
        <w:tblW w:w="5000" w:type="pct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2"/>
        <w:gridCol w:w="2277"/>
        <w:gridCol w:w="2277"/>
      </w:tblGrid>
      <w:tr w:rsidR="009866B9" w:rsidRPr="00C44C60" w14:paraId="278DF559" w14:textId="77777777" w:rsidTr="009866B9">
        <w:trPr>
          <w:trHeight w:hRule="exact" w:val="266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B8F2E0" w14:textId="77777777" w:rsidR="009866B9" w:rsidRPr="00C44C60" w:rsidRDefault="009866B9" w:rsidP="00C44C60">
            <w:pPr>
              <w:pStyle w:val="tabulka"/>
              <w:jc w:val="center"/>
              <w:rPr>
                <w:b/>
              </w:rPr>
            </w:pPr>
            <w:r w:rsidRPr="00C44C60">
              <w:rPr>
                <w:b/>
              </w:rPr>
              <w:t>Kontrolovaná osoba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A4541" w14:textId="77777777" w:rsidR="009866B9" w:rsidRPr="00C44C60" w:rsidRDefault="009866B9" w:rsidP="00C44C60">
            <w:pPr>
              <w:pStyle w:val="tabulka"/>
              <w:jc w:val="center"/>
              <w:rPr>
                <w:b/>
              </w:rPr>
            </w:pPr>
            <w:r w:rsidRPr="00C44C60">
              <w:rPr>
                <w:b/>
              </w:rPr>
              <w:t>2011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4FAC33" w14:textId="77777777" w:rsidR="009866B9" w:rsidRPr="00C44C60" w:rsidRDefault="009866B9" w:rsidP="00C44C60">
            <w:pPr>
              <w:pStyle w:val="tabulka"/>
              <w:jc w:val="center"/>
              <w:rPr>
                <w:b/>
              </w:rPr>
            </w:pPr>
            <w:r w:rsidRPr="00C44C60">
              <w:rPr>
                <w:b/>
              </w:rPr>
              <w:t>2012</w:t>
            </w:r>
          </w:p>
        </w:tc>
      </w:tr>
      <w:tr w:rsidR="009866B9" w:rsidRPr="00346B7A" w14:paraId="19A129CB" w14:textId="77777777" w:rsidTr="009866B9">
        <w:trPr>
          <w:trHeight w:hRule="exact" w:val="266"/>
        </w:trPr>
        <w:tc>
          <w:tcPr>
            <w:tcW w:w="2500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0A227D" w14:textId="77777777" w:rsidR="009866B9" w:rsidRPr="00346B7A" w:rsidRDefault="009866B9" w:rsidP="00B24DF9">
            <w:pPr>
              <w:pStyle w:val="tabulka"/>
              <w:rPr>
                <w:rFonts w:eastAsia="Arial Unicode MS"/>
              </w:rPr>
            </w:pPr>
            <w:r w:rsidRPr="00346B7A">
              <w:rPr>
                <w:rFonts w:eastAsia="Arial Unicode MS"/>
              </w:rPr>
              <w:t>Ministerstvo financí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7BD9D000" w14:textId="706E1388" w:rsidR="009866B9" w:rsidRPr="00346B7A" w:rsidRDefault="009866B9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 w:rsidRPr="00346B7A">
              <w:rPr>
                <w:rFonts w:eastAsia="Arial Unicode MS"/>
              </w:rPr>
              <w:t>768 249 834,84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0D91D9" w14:textId="77777777" w:rsidR="009866B9" w:rsidRPr="00346B7A" w:rsidRDefault="009866B9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 w:rsidRPr="00346B7A">
              <w:rPr>
                <w:rFonts w:eastAsia="Arial Unicode MS"/>
              </w:rPr>
              <w:t>767 002 632,06</w:t>
            </w:r>
          </w:p>
        </w:tc>
      </w:tr>
      <w:tr w:rsidR="009866B9" w:rsidRPr="00346B7A" w14:paraId="2FDF8CA9" w14:textId="77777777" w:rsidTr="009866B9">
        <w:trPr>
          <w:trHeight w:hRule="exact" w:val="266"/>
        </w:trPr>
        <w:tc>
          <w:tcPr>
            <w:tcW w:w="25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CD233E" w14:textId="77777777" w:rsidR="009866B9" w:rsidRPr="00346B7A" w:rsidRDefault="009866B9" w:rsidP="00B24DF9">
            <w:pPr>
              <w:pStyle w:val="tabulka"/>
            </w:pPr>
            <w:r w:rsidRPr="00346B7A">
              <w:t>Ministerstvo obrany</w:t>
            </w:r>
          </w:p>
        </w:tc>
        <w:tc>
          <w:tcPr>
            <w:tcW w:w="1250" w:type="pct"/>
            <w:vAlign w:val="center"/>
          </w:tcPr>
          <w:p w14:paraId="16CDDAD7" w14:textId="77777777" w:rsidR="009866B9" w:rsidRPr="00346B7A" w:rsidRDefault="009866B9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 w:rsidRPr="00346B7A">
              <w:rPr>
                <w:rFonts w:eastAsia="Arial Unicode MS"/>
              </w:rPr>
              <w:t>28 270 252 740,87</w:t>
            </w:r>
          </w:p>
        </w:tc>
        <w:tc>
          <w:tcPr>
            <w:tcW w:w="125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51315C" w14:textId="77777777" w:rsidR="009866B9" w:rsidRPr="00346B7A" w:rsidRDefault="009866B9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 w:rsidRPr="00346B7A">
              <w:rPr>
                <w:rFonts w:eastAsia="Arial Unicode MS"/>
              </w:rPr>
              <w:t>27 739 385 906,58</w:t>
            </w:r>
          </w:p>
        </w:tc>
      </w:tr>
      <w:tr w:rsidR="009866B9" w:rsidRPr="00346B7A" w14:paraId="5DE8C33F" w14:textId="77777777" w:rsidTr="009866B9">
        <w:trPr>
          <w:trHeight w:hRule="exact" w:val="266"/>
        </w:trPr>
        <w:tc>
          <w:tcPr>
            <w:tcW w:w="25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23FB00" w14:textId="77777777" w:rsidR="009866B9" w:rsidRPr="00346B7A" w:rsidRDefault="009866B9" w:rsidP="00B24DF9">
            <w:pPr>
              <w:pStyle w:val="tabulka"/>
              <w:rPr>
                <w:rFonts w:eastAsia="Arial Unicode MS"/>
              </w:rPr>
            </w:pPr>
            <w:r w:rsidRPr="00346B7A">
              <w:rPr>
                <w:rFonts w:eastAsia="Arial Unicode MS"/>
              </w:rPr>
              <w:t>Ministerstvo práce a sociálních věcí</w:t>
            </w:r>
          </w:p>
        </w:tc>
        <w:tc>
          <w:tcPr>
            <w:tcW w:w="1250" w:type="pct"/>
            <w:vAlign w:val="center"/>
          </w:tcPr>
          <w:p w14:paraId="3560ED0B" w14:textId="77777777" w:rsidR="009866B9" w:rsidRPr="00346B7A" w:rsidRDefault="009866B9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290 891 482,83</w:t>
            </w:r>
          </w:p>
        </w:tc>
        <w:tc>
          <w:tcPr>
            <w:tcW w:w="125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7281C1" w14:textId="77777777" w:rsidR="009866B9" w:rsidRPr="00346B7A" w:rsidRDefault="009866B9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285 430 917,83</w:t>
            </w:r>
          </w:p>
        </w:tc>
      </w:tr>
      <w:tr w:rsidR="009866B9" w:rsidRPr="00676F4D" w14:paraId="461C1BF0" w14:textId="77777777" w:rsidTr="009866B9">
        <w:trPr>
          <w:trHeight w:hRule="exact" w:val="266"/>
        </w:trPr>
        <w:tc>
          <w:tcPr>
            <w:tcW w:w="25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972493" w14:textId="77777777" w:rsidR="009866B9" w:rsidRPr="00346B7A" w:rsidRDefault="009866B9" w:rsidP="00B24DF9">
            <w:pPr>
              <w:pStyle w:val="tabulka"/>
              <w:rPr>
                <w:rFonts w:eastAsia="Arial Unicode MS"/>
              </w:rPr>
            </w:pPr>
            <w:r w:rsidRPr="00346B7A">
              <w:t>Ministerstvo pro místní rozvoj</w:t>
            </w:r>
          </w:p>
        </w:tc>
        <w:tc>
          <w:tcPr>
            <w:tcW w:w="1250" w:type="pct"/>
            <w:vAlign w:val="center"/>
          </w:tcPr>
          <w:p w14:paraId="5262E954" w14:textId="77777777" w:rsidR="009866B9" w:rsidRPr="00676F4D" w:rsidRDefault="009866B9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 w:rsidRPr="00676F4D">
              <w:t>359 808 079,24</w:t>
            </w:r>
          </w:p>
        </w:tc>
        <w:tc>
          <w:tcPr>
            <w:tcW w:w="125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9E11C2" w14:textId="77777777" w:rsidR="009866B9" w:rsidRPr="00676F4D" w:rsidRDefault="009866B9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 w:rsidRPr="00676F4D">
              <w:t>372 234 272,33</w:t>
            </w:r>
          </w:p>
        </w:tc>
      </w:tr>
      <w:tr w:rsidR="009866B9" w:rsidRPr="00346B7A" w14:paraId="7E1202BD" w14:textId="77777777" w:rsidTr="009866B9">
        <w:trPr>
          <w:trHeight w:hRule="exact" w:val="266"/>
        </w:trPr>
        <w:tc>
          <w:tcPr>
            <w:tcW w:w="25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68A592" w14:textId="77777777" w:rsidR="009866B9" w:rsidRPr="00346B7A" w:rsidRDefault="009866B9" w:rsidP="00B24DF9">
            <w:pPr>
              <w:pStyle w:val="tabulka"/>
              <w:rPr>
                <w:rFonts w:eastAsia="Arial Unicode MS"/>
              </w:rPr>
            </w:pPr>
            <w:r w:rsidRPr="00346B7A">
              <w:t>Ministerstvo školství, mládeže a tělovýchovy</w:t>
            </w:r>
          </w:p>
        </w:tc>
        <w:tc>
          <w:tcPr>
            <w:tcW w:w="1250" w:type="pct"/>
            <w:vAlign w:val="center"/>
          </w:tcPr>
          <w:p w14:paraId="2CA4B4A5" w14:textId="77777777" w:rsidR="009866B9" w:rsidRPr="00346B7A" w:rsidRDefault="009866B9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 w:rsidRPr="00346B7A">
              <w:rPr>
                <w:rFonts w:eastAsia="Arial Unicode MS"/>
              </w:rPr>
              <w:t>126 298 552,61</w:t>
            </w:r>
          </w:p>
        </w:tc>
        <w:tc>
          <w:tcPr>
            <w:tcW w:w="1250" w:type="pc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B2F947" w14:textId="77777777" w:rsidR="009866B9" w:rsidRPr="00346B7A" w:rsidRDefault="009866B9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 w:rsidRPr="00346B7A">
              <w:rPr>
                <w:rFonts w:eastAsia="Arial Unicode MS"/>
              </w:rPr>
              <w:t>113 217 252,17</w:t>
            </w:r>
          </w:p>
        </w:tc>
      </w:tr>
      <w:tr w:rsidR="009866B9" w:rsidRPr="00346B7A" w14:paraId="1A35DD2F" w14:textId="77777777" w:rsidTr="009866B9">
        <w:trPr>
          <w:trHeight w:hRule="exact" w:val="266"/>
        </w:trPr>
        <w:tc>
          <w:tcPr>
            <w:tcW w:w="25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0006B9" w14:textId="77777777" w:rsidR="009866B9" w:rsidRPr="00346B7A" w:rsidRDefault="009866B9" w:rsidP="00B24DF9">
            <w:pPr>
              <w:pStyle w:val="tabulka"/>
              <w:rPr>
                <w:rFonts w:eastAsia="Arial Unicode MS"/>
              </w:rPr>
            </w:pPr>
            <w:r w:rsidRPr="00346B7A">
              <w:t>Ministerstvo vnitra</w:t>
            </w:r>
          </w:p>
        </w:tc>
        <w:tc>
          <w:tcPr>
            <w:tcW w:w="1250" w:type="pct"/>
            <w:vAlign w:val="center"/>
          </w:tcPr>
          <w:p w14:paraId="600E96A3" w14:textId="12AC3615" w:rsidR="009866B9" w:rsidRPr="00346B7A" w:rsidRDefault="00F606A3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2 866</w:t>
            </w:r>
            <w:r w:rsidR="009866B9" w:rsidRPr="00346B7A">
              <w:rPr>
                <w:rFonts w:eastAsia="Arial Unicode MS"/>
              </w:rPr>
              <w:t> 140 381,70</w:t>
            </w:r>
          </w:p>
        </w:tc>
        <w:tc>
          <w:tcPr>
            <w:tcW w:w="1250" w:type="pc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B5C43B" w14:textId="77777777" w:rsidR="009866B9" w:rsidRPr="00346B7A" w:rsidRDefault="009866B9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 w:rsidRPr="00346B7A">
              <w:rPr>
                <w:rFonts w:eastAsia="Arial Unicode MS"/>
              </w:rPr>
              <w:t>2 721 457 918,25</w:t>
            </w:r>
          </w:p>
        </w:tc>
      </w:tr>
    </w:tbl>
    <w:p w14:paraId="3EC05A4A" w14:textId="49F040E4" w:rsidR="009866B9" w:rsidRDefault="009866B9" w:rsidP="000B40B0">
      <w:pPr>
        <w:pStyle w:val="Poznmka"/>
        <w:rPr>
          <w:rFonts w:eastAsia="Calibri" w:cs="Arial"/>
        </w:rPr>
      </w:pPr>
      <w:r w:rsidRPr="0088364F">
        <w:rPr>
          <w:b/>
        </w:rPr>
        <w:t>Zdroj:</w:t>
      </w:r>
      <w:r w:rsidRPr="00346B7A">
        <w:t xml:space="preserve"> </w:t>
      </w:r>
      <w:r w:rsidR="00544304">
        <w:t>ú</w:t>
      </w:r>
      <w:r w:rsidRPr="00346B7A">
        <w:t>četní závěrky za roky 2011, 2012</w:t>
      </w:r>
      <w:r w:rsidR="0088364F">
        <w:t>.</w:t>
      </w:r>
    </w:p>
    <w:p w14:paraId="7454977B" w14:textId="77777777" w:rsidR="009866B9" w:rsidRDefault="009866B9" w:rsidP="00B24DF9"/>
    <w:p w14:paraId="1031E7A0" w14:textId="557841C3" w:rsidR="006B78A3" w:rsidRPr="006B78A3" w:rsidRDefault="006B78A3" w:rsidP="00B24DF9">
      <w:r>
        <w:t xml:space="preserve">V případě kontrolované osoby </w:t>
      </w:r>
      <w:proofErr w:type="spellStart"/>
      <w:r>
        <w:t>ÚZSVM</w:t>
      </w:r>
      <w:proofErr w:type="spellEnd"/>
      <w:r>
        <w:t xml:space="preserve"> byla kon</w:t>
      </w:r>
      <w:r w:rsidRPr="006B78A3">
        <w:t>trola zaměřena na nemovitý majetek</w:t>
      </w:r>
      <w:r>
        <w:t>, se</w:t>
      </w:r>
      <w:r w:rsidR="003B7897">
        <w:t xml:space="preserve"> </w:t>
      </w:r>
      <w:r w:rsidRPr="006B78A3">
        <w:t xml:space="preserve">kterým je </w:t>
      </w:r>
      <w:proofErr w:type="spellStart"/>
      <w:r w:rsidRPr="006B78A3">
        <w:t>ÚZSVM</w:t>
      </w:r>
      <w:proofErr w:type="spellEnd"/>
      <w:r w:rsidRPr="006B78A3">
        <w:t xml:space="preserve"> příslušný hospodařit podle</w:t>
      </w:r>
      <w:r>
        <w:t xml:space="preserve"> zákona č. 219/2000 Sb.</w:t>
      </w:r>
      <w:r w:rsidRPr="006B78A3">
        <w:t xml:space="preserve"> a který se nachází na území hl. m. Prahy. </w:t>
      </w:r>
      <w:proofErr w:type="spellStart"/>
      <w:r w:rsidRPr="006B78A3">
        <w:t>ÚZSVM</w:t>
      </w:r>
      <w:proofErr w:type="spellEnd"/>
      <w:r w:rsidRPr="006B78A3">
        <w:t xml:space="preserve"> vedl majetek </w:t>
      </w:r>
      <w:r w:rsidR="00845FFA">
        <w:t>v </w:t>
      </w:r>
      <w:r w:rsidRPr="006B78A3">
        <w:t>účetnictví ve smyslu ustanovení § 14 zákona č.</w:t>
      </w:r>
      <w:r w:rsidR="00F57B37">
        <w:t> </w:t>
      </w:r>
      <w:r w:rsidRPr="006B78A3">
        <w:t>219/2000 Sb. a v operativní evidenci ve smyslu ustanovení § 15 zákona č. 219/2000 Sb.</w:t>
      </w:r>
      <w:r w:rsidR="001C4659">
        <w:t xml:space="preserve"> </w:t>
      </w:r>
    </w:p>
    <w:p w14:paraId="411E80CC" w14:textId="77777777" w:rsidR="006B78A3" w:rsidRDefault="006B78A3" w:rsidP="00B24DF9"/>
    <w:p w14:paraId="712F69B8" w14:textId="017FB30E" w:rsidR="00D07D24" w:rsidRDefault="00D07D24" w:rsidP="00B24DF9">
      <w:r w:rsidRPr="00D07D24">
        <w:t xml:space="preserve">V období od 1. 1. 2011 do 30. 9. 2013 vyřadil </w:t>
      </w:r>
      <w:proofErr w:type="spellStart"/>
      <w:r w:rsidRPr="00D07D24">
        <w:t>ÚZSVM</w:t>
      </w:r>
      <w:proofErr w:type="spellEnd"/>
      <w:r w:rsidRPr="00D07D24">
        <w:t xml:space="preserve"> ze své evidence z důvodu převodu na</w:t>
      </w:r>
      <w:r w:rsidR="00F57B37">
        <w:t xml:space="preserve"> </w:t>
      </w:r>
      <w:r w:rsidRPr="00D07D24">
        <w:t>jiný subjekt nemovitý majetek nacházející se na území hl. m. Prahy v celkovém ocenění 934 689 236 Kč. Rozložení v jednotlivých letech kontrolovaného období včetně vyznačení, zda se jednalo o úplatný či bezúplatný převod, shrnuje následující tabulka.</w:t>
      </w:r>
    </w:p>
    <w:p w14:paraId="66CF10D1" w14:textId="77777777" w:rsidR="00B664AE" w:rsidRDefault="00B664AE" w:rsidP="00B664AE">
      <w:pPr>
        <w:pStyle w:val="Odstavecseseznamem"/>
        <w:tabs>
          <w:tab w:val="right" w:pos="9072"/>
        </w:tabs>
        <w:ind w:left="1503" w:hanging="1503"/>
        <w:jc w:val="left"/>
        <w:rPr>
          <w:b/>
        </w:rPr>
      </w:pPr>
    </w:p>
    <w:p w14:paraId="42F7AF0E" w14:textId="4F39D85D" w:rsidR="00D07D24" w:rsidRPr="00B73A7D" w:rsidRDefault="00B73A7D" w:rsidP="00B664AE">
      <w:pPr>
        <w:pStyle w:val="Odstavecseseznamem"/>
        <w:tabs>
          <w:tab w:val="right" w:pos="9072"/>
        </w:tabs>
        <w:ind w:left="1503" w:hanging="1503"/>
        <w:jc w:val="left"/>
        <w:rPr>
          <w:b/>
        </w:rPr>
      </w:pPr>
      <w:r>
        <w:rPr>
          <w:b/>
        </w:rPr>
        <w:t xml:space="preserve">Tabulka č. 3 – </w:t>
      </w:r>
      <w:r w:rsidR="00D07D24" w:rsidRPr="006824CB">
        <w:rPr>
          <w:b/>
        </w:rPr>
        <w:t xml:space="preserve">Nemovitý majetek na území hl. m. Prahy </w:t>
      </w:r>
      <w:r w:rsidR="000B40B0" w:rsidRPr="006824CB">
        <w:rPr>
          <w:b/>
        </w:rPr>
        <w:t xml:space="preserve">vyřazený </w:t>
      </w:r>
      <w:r w:rsidR="000B40B0">
        <w:rPr>
          <w:b/>
        </w:rPr>
        <w:t>z </w:t>
      </w:r>
      <w:r w:rsidR="000B40B0" w:rsidRPr="006824CB">
        <w:rPr>
          <w:b/>
        </w:rPr>
        <w:t>evidence v letech 2011</w:t>
      </w:r>
      <w:r w:rsidR="0093792F">
        <w:rPr>
          <w:b/>
        </w:rPr>
        <w:t xml:space="preserve"> až </w:t>
      </w:r>
      <w:r w:rsidR="000B40B0" w:rsidRPr="006824CB">
        <w:rPr>
          <w:b/>
        </w:rPr>
        <w:t>2013*</w:t>
      </w:r>
      <w:r w:rsidR="000B40B0">
        <w:rPr>
          <w:b/>
        </w:rPr>
        <w:t xml:space="preserve"> z důvodu </w:t>
      </w:r>
      <w:r w:rsidR="00D07D24" w:rsidRPr="006824CB">
        <w:rPr>
          <w:b/>
        </w:rPr>
        <w:t>bezúplatn</w:t>
      </w:r>
      <w:r w:rsidR="000B40B0">
        <w:rPr>
          <w:b/>
        </w:rPr>
        <w:t>ého</w:t>
      </w:r>
      <w:r w:rsidR="00D07D24" w:rsidRPr="006824CB">
        <w:rPr>
          <w:b/>
        </w:rPr>
        <w:t xml:space="preserve"> nebo úplatn</w:t>
      </w:r>
      <w:r w:rsidR="000B40B0">
        <w:rPr>
          <w:b/>
        </w:rPr>
        <w:t>ého</w:t>
      </w:r>
      <w:r w:rsidR="00D07D24" w:rsidRPr="006824CB">
        <w:rPr>
          <w:b/>
        </w:rPr>
        <w:t xml:space="preserve"> přev</w:t>
      </w:r>
      <w:r w:rsidR="000B40B0">
        <w:rPr>
          <w:b/>
        </w:rPr>
        <w:t>odu</w:t>
      </w:r>
      <w:r w:rsidR="00D07D24" w:rsidRPr="006824CB">
        <w:rPr>
          <w:b/>
        </w:rPr>
        <w:t xml:space="preserve"> na jin</w:t>
      </w:r>
      <w:r w:rsidR="000B40B0">
        <w:rPr>
          <w:b/>
        </w:rPr>
        <w:t>é</w:t>
      </w:r>
      <w:r w:rsidR="00D07D24" w:rsidRPr="006824CB">
        <w:rPr>
          <w:b/>
        </w:rPr>
        <w:t xml:space="preserve"> subjekt</w:t>
      </w:r>
      <w:r w:rsidR="000B40B0">
        <w:rPr>
          <w:b/>
        </w:rPr>
        <w:t>y</w:t>
      </w:r>
      <w:r w:rsidR="00F30B87">
        <w:rPr>
          <w:b/>
          <w:sz w:val="18"/>
          <w:szCs w:val="18"/>
        </w:rPr>
        <w:tab/>
      </w:r>
      <w:r w:rsidR="00583467" w:rsidRPr="00B73A7D">
        <w:rPr>
          <w:b/>
        </w:rPr>
        <w:t>(</w:t>
      </w:r>
      <w:r w:rsidR="00E04684" w:rsidRPr="00B73A7D">
        <w:rPr>
          <w:b/>
        </w:rPr>
        <w:t xml:space="preserve">účetní hodnota </w:t>
      </w:r>
      <w:r w:rsidR="00583467" w:rsidRPr="00B73A7D">
        <w:rPr>
          <w:b/>
        </w:rPr>
        <w:t>dle</w:t>
      </w:r>
      <w:r w:rsidR="00E77E30" w:rsidRPr="00B73A7D">
        <w:rPr>
          <w:b/>
        </w:rPr>
        <w:t xml:space="preserve"> ocenění </w:t>
      </w:r>
      <w:proofErr w:type="spellStart"/>
      <w:r w:rsidR="00E77E30" w:rsidRPr="00B73A7D">
        <w:rPr>
          <w:b/>
        </w:rPr>
        <w:t>ÚZSVM</w:t>
      </w:r>
      <w:proofErr w:type="spellEnd"/>
      <w:r w:rsidR="00E04684" w:rsidRPr="00B73A7D">
        <w:rPr>
          <w:b/>
        </w:rPr>
        <w:t xml:space="preserve"> v Kč</w:t>
      </w:r>
      <w:r w:rsidR="00E77E30" w:rsidRPr="00B73A7D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089"/>
        <w:gridCol w:w="2089"/>
        <w:gridCol w:w="2087"/>
      </w:tblGrid>
      <w:tr w:rsidR="00636520" w:rsidRPr="00C44C60" w14:paraId="16F444F9" w14:textId="77777777" w:rsidTr="00636520">
        <w:tc>
          <w:tcPr>
            <w:tcW w:w="1551" w:type="pct"/>
            <w:tcBorders>
              <w:left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B8B9E10" w14:textId="33EE7AA4" w:rsidR="00636520" w:rsidRPr="00C44C60" w:rsidRDefault="00636520" w:rsidP="00C44C60">
            <w:pPr>
              <w:pStyle w:val="tabulka"/>
              <w:jc w:val="center"/>
              <w:rPr>
                <w:b/>
              </w:rPr>
            </w:pPr>
            <w:r w:rsidRPr="00C44C60">
              <w:rPr>
                <w:b/>
              </w:rPr>
              <w:t>Forma převodu</w:t>
            </w:r>
          </w:p>
        </w:tc>
        <w:tc>
          <w:tcPr>
            <w:tcW w:w="115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63BB35E" w14:textId="77777777" w:rsidR="00636520" w:rsidRPr="00C44C60" w:rsidRDefault="00636520" w:rsidP="00C44C60">
            <w:pPr>
              <w:pStyle w:val="tabulka"/>
              <w:jc w:val="center"/>
              <w:rPr>
                <w:b/>
              </w:rPr>
            </w:pPr>
            <w:r w:rsidRPr="00C44C60">
              <w:rPr>
                <w:b/>
              </w:rPr>
              <w:t>2011</w:t>
            </w:r>
          </w:p>
        </w:tc>
        <w:tc>
          <w:tcPr>
            <w:tcW w:w="115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B5CD1AD" w14:textId="77777777" w:rsidR="00636520" w:rsidRPr="00C44C60" w:rsidRDefault="00636520" w:rsidP="00C44C60">
            <w:pPr>
              <w:pStyle w:val="tabulka"/>
              <w:jc w:val="center"/>
              <w:rPr>
                <w:b/>
              </w:rPr>
            </w:pPr>
            <w:r w:rsidRPr="00C44C60">
              <w:rPr>
                <w:b/>
              </w:rPr>
              <w:t>2012</w:t>
            </w:r>
          </w:p>
        </w:tc>
        <w:tc>
          <w:tcPr>
            <w:tcW w:w="1149" w:type="pct"/>
            <w:tcBorders>
              <w:left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02E499FE" w14:textId="77777777" w:rsidR="00636520" w:rsidRPr="00C44C60" w:rsidRDefault="00636520" w:rsidP="00C44C60">
            <w:pPr>
              <w:pStyle w:val="tabulka"/>
              <w:jc w:val="center"/>
              <w:rPr>
                <w:b/>
              </w:rPr>
            </w:pPr>
            <w:r w:rsidRPr="00C44C60">
              <w:rPr>
                <w:b/>
              </w:rPr>
              <w:t>2013*</w:t>
            </w:r>
          </w:p>
        </w:tc>
      </w:tr>
      <w:tr w:rsidR="00175F23" w:rsidRPr="007B2AC8" w14:paraId="2760F148" w14:textId="77777777" w:rsidTr="001A150A">
        <w:trPr>
          <w:trHeight w:val="283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E18E68B" w14:textId="64793AB9" w:rsidR="00175F23" w:rsidRPr="00E61459" w:rsidRDefault="00175F23" w:rsidP="001A150A">
            <w:pPr>
              <w:pStyle w:val="tabulka"/>
              <w:ind w:left="147"/>
              <w:jc w:val="left"/>
            </w:pPr>
            <w:r>
              <w:t xml:space="preserve">Bezúplatný </w:t>
            </w:r>
            <w:r w:rsidR="003B7897">
              <w:t>převod</w:t>
            </w:r>
          </w:p>
        </w:tc>
        <w:tc>
          <w:tcPr>
            <w:tcW w:w="11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C512DA6" w14:textId="51DF749D" w:rsidR="00175F23" w:rsidRPr="00E61459" w:rsidRDefault="00175F23" w:rsidP="00B664AE">
            <w:pPr>
              <w:pStyle w:val="tabulka"/>
              <w:ind w:right="113"/>
              <w:jc w:val="right"/>
            </w:pPr>
            <w:r>
              <w:t>297 833 784</w:t>
            </w:r>
          </w:p>
        </w:tc>
        <w:tc>
          <w:tcPr>
            <w:tcW w:w="11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511A44" w14:textId="0489913E" w:rsidR="00175F23" w:rsidRPr="00E61459" w:rsidRDefault="00175F23" w:rsidP="00B664AE">
            <w:pPr>
              <w:pStyle w:val="tabulka"/>
              <w:ind w:right="113"/>
              <w:jc w:val="right"/>
            </w:pPr>
            <w:r>
              <w:t>110 183 231</w:t>
            </w:r>
          </w:p>
        </w:tc>
        <w:tc>
          <w:tcPr>
            <w:tcW w:w="11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F6957FB" w14:textId="2C95A1B6" w:rsidR="00175F23" w:rsidRPr="00E61459" w:rsidRDefault="00175F23" w:rsidP="00B664AE">
            <w:pPr>
              <w:pStyle w:val="tabulka"/>
              <w:ind w:right="113"/>
              <w:jc w:val="right"/>
            </w:pPr>
            <w:r>
              <w:t>250 318 480</w:t>
            </w:r>
          </w:p>
        </w:tc>
      </w:tr>
      <w:tr w:rsidR="00E5571D" w:rsidRPr="007B2AC8" w14:paraId="0D47C4A5" w14:textId="77777777" w:rsidTr="001A150A">
        <w:trPr>
          <w:trHeight w:val="283"/>
        </w:trPr>
        <w:tc>
          <w:tcPr>
            <w:tcW w:w="155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1525DE" w14:textId="2281B4E0" w:rsidR="00E5571D" w:rsidRPr="00E61459" w:rsidRDefault="00E5571D" w:rsidP="001A150A">
            <w:pPr>
              <w:pStyle w:val="tabulka"/>
              <w:ind w:left="147"/>
              <w:jc w:val="left"/>
            </w:pPr>
            <w:r>
              <w:t>Úplatný</w:t>
            </w:r>
            <w:r w:rsidR="003B7897">
              <w:t xml:space="preserve"> převod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5A9B84" w14:textId="206B1039" w:rsidR="00E5571D" w:rsidRPr="00E61459" w:rsidRDefault="00E5571D" w:rsidP="00B664AE">
            <w:pPr>
              <w:pStyle w:val="tabulka"/>
              <w:ind w:right="113"/>
              <w:jc w:val="right"/>
            </w:pPr>
            <w:r>
              <w:t>97 676 611</w:t>
            </w:r>
          </w:p>
        </w:tc>
        <w:tc>
          <w:tcPr>
            <w:tcW w:w="115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20CDB4A" w14:textId="465A227D" w:rsidR="00E5571D" w:rsidRPr="00E61459" w:rsidRDefault="00E5571D" w:rsidP="00B664AE">
            <w:pPr>
              <w:pStyle w:val="tabulka"/>
              <w:ind w:right="113"/>
              <w:jc w:val="right"/>
            </w:pPr>
            <w:r>
              <w:t>134 212 672</w:t>
            </w:r>
          </w:p>
        </w:tc>
        <w:tc>
          <w:tcPr>
            <w:tcW w:w="11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45728A" w14:textId="0AE9EFB4" w:rsidR="00E5571D" w:rsidRPr="00E61459" w:rsidRDefault="00E5571D" w:rsidP="00B664AE">
            <w:pPr>
              <w:pStyle w:val="tabulka"/>
              <w:ind w:right="113"/>
              <w:jc w:val="right"/>
            </w:pPr>
            <w:r>
              <w:t>44 509 458</w:t>
            </w:r>
          </w:p>
        </w:tc>
      </w:tr>
      <w:tr w:rsidR="00636520" w:rsidRPr="007B2AC8" w14:paraId="153BB621" w14:textId="77777777" w:rsidTr="001A150A">
        <w:trPr>
          <w:trHeight w:val="283"/>
        </w:trPr>
        <w:tc>
          <w:tcPr>
            <w:tcW w:w="1551" w:type="pc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54F9D60" w14:textId="77777777" w:rsidR="00636520" w:rsidRPr="00B664AE" w:rsidRDefault="00636520" w:rsidP="001A150A">
            <w:pPr>
              <w:pStyle w:val="tabulka"/>
              <w:ind w:left="147"/>
              <w:jc w:val="left"/>
              <w:rPr>
                <w:b/>
              </w:rPr>
            </w:pPr>
            <w:r w:rsidRPr="00B664AE">
              <w:rPr>
                <w:b/>
              </w:rPr>
              <w:t>Celkem</w:t>
            </w:r>
          </w:p>
        </w:tc>
        <w:tc>
          <w:tcPr>
            <w:tcW w:w="115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A551E87" w14:textId="40F6F406" w:rsidR="00636520" w:rsidRPr="00B664AE" w:rsidRDefault="00636520" w:rsidP="00B664AE">
            <w:pPr>
              <w:pStyle w:val="tabulka"/>
              <w:ind w:right="113"/>
              <w:jc w:val="right"/>
              <w:rPr>
                <w:b/>
              </w:rPr>
            </w:pPr>
            <w:r w:rsidRPr="00B664AE">
              <w:rPr>
                <w:b/>
              </w:rPr>
              <w:t>395 510 395</w:t>
            </w:r>
          </w:p>
        </w:tc>
        <w:tc>
          <w:tcPr>
            <w:tcW w:w="115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E80F2CB" w14:textId="5CFC5063" w:rsidR="00636520" w:rsidRPr="00B664AE" w:rsidRDefault="00636520" w:rsidP="00B664AE">
            <w:pPr>
              <w:pStyle w:val="tabulka"/>
              <w:ind w:right="113"/>
              <w:jc w:val="right"/>
              <w:rPr>
                <w:b/>
              </w:rPr>
            </w:pPr>
            <w:r w:rsidRPr="00B664AE">
              <w:rPr>
                <w:b/>
              </w:rPr>
              <w:t>244 395 903</w:t>
            </w:r>
          </w:p>
        </w:tc>
        <w:tc>
          <w:tcPr>
            <w:tcW w:w="1149" w:type="pc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53EF0FBD" w14:textId="56A4C75F" w:rsidR="00636520" w:rsidRPr="00B664AE" w:rsidRDefault="00636520" w:rsidP="00B664AE">
            <w:pPr>
              <w:pStyle w:val="tabulka"/>
              <w:ind w:right="113"/>
              <w:jc w:val="right"/>
              <w:rPr>
                <w:b/>
              </w:rPr>
            </w:pPr>
            <w:r w:rsidRPr="00B664AE">
              <w:rPr>
                <w:b/>
              </w:rPr>
              <w:t>294 827 938</w:t>
            </w:r>
          </w:p>
        </w:tc>
      </w:tr>
    </w:tbl>
    <w:p w14:paraId="411F9B6E" w14:textId="0B795C83" w:rsidR="00D07D24" w:rsidRPr="00BE6F0A" w:rsidRDefault="00D07D24" w:rsidP="000B40B0">
      <w:pPr>
        <w:pStyle w:val="Poznmka"/>
      </w:pPr>
      <w:r w:rsidRPr="00B664AE">
        <w:rPr>
          <w:b/>
        </w:rPr>
        <w:t>Zdroj:</w:t>
      </w:r>
      <w:r w:rsidRPr="00BE6F0A">
        <w:t xml:space="preserve"> </w:t>
      </w:r>
      <w:r w:rsidR="003B7897">
        <w:t>i</w:t>
      </w:r>
      <w:r w:rsidR="00E5571D">
        <w:t xml:space="preserve">nformace </w:t>
      </w:r>
      <w:proofErr w:type="spellStart"/>
      <w:r w:rsidR="00E5571D">
        <w:t>ÚZSVM</w:t>
      </w:r>
      <w:proofErr w:type="spellEnd"/>
      <w:r w:rsidR="0088364F">
        <w:t>.</w:t>
      </w:r>
    </w:p>
    <w:p w14:paraId="749AA21A" w14:textId="3C3254E2" w:rsidR="00D07D24" w:rsidRPr="007B2AC8" w:rsidRDefault="00D07D24">
      <w:pPr>
        <w:pStyle w:val="Poznmka"/>
      </w:pPr>
      <w:r w:rsidRPr="007B2AC8">
        <w:t xml:space="preserve">* </w:t>
      </w:r>
      <w:r w:rsidR="000B40B0">
        <w:t xml:space="preserve">Období od 1. 1. 2013 </w:t>
      </w:r>
      <w:r w:rsidRPr="007B2AC8">
        <w:t>do 30. 9. 2013</w:t>
      </w:r>
      <w:r w:rsidR="00404F19">
        <w:t>.</w:t>
      </w:r>
    </w:p>
    <w:p w14:paraId="15D5641D" w14:textId="77777777" w:rsidR="00D07D24" w:rsidRDefault="00D07D24" w:rsidP="00B24DF9"/>
    <w:p w14:paraId="5DE7E04C" w14:textId="28359FA1" w:rsidR="00727B48" w:rsidRDefault="00727B48" w:rsidP="00727B48">
      <w:r w:rsidRPr="000B0219">
        <w:t xml:space="preserve">Bezúplatně </w:t>
      </w:r>
      <w:r w:rsidR="000B40B0">
        <w:t>může</w:t>
      </w:r>
      <w:r w:rsidRPr="000B0219">
        <w:t xml:space="preserve"> </w:t>
      </w:r>
      <w:proofErr w:type="spellStart"/>
      <w:r w:rsidRPr="000B0219">
        <w:t>ÚZSVM</w:t>
      </w:r>
      <w:proofErr w:type="spellEnd"/>
      <w:r w:rsidRPr="000B0219">
        <w:t xml:space="preserve"> </w:t>
      </w:r>
      <w:r w:rsidR="000B40B0" w:rsidRPr="000B0219">
        <w:t xml:space="preserve">převést </w:t>
      </w:r>
      <w:r w:rsidRPr="000B0219">
        <w:t xml:space="preserve">nemovitý majetek ve veřejném zájmu, </w:t>
      </w:r>
      <w:r w:rsidR="000B40B0">
        <w:t xml:space="preserve">případně </w:t>
      </w:r>
      <w:r w:rsidRPr="000B0219">
        <w:t xml:space="preserve">je-li bezúplatný převod hospodárnější než jiný způsob </w:t>
      </w:r>
      <w:r w:rsidR="000B40B0">
        <w:t>převodu</w:t>
      </w:r>
      <w:r w:rsidRPr="000B0219">
        <w:t xml:space="preserve"> nebo stanoví-li tak zvláštní právní předpis. Prodejem nemovitého majetku v ocenění cca 276 mil. Kč nacházejícího se na území hl. m. Prahy bylo v období od 1. 1. 2011 do 30. 9. 2013 získáno více než 330 mil. Kč.</w:t>
      </w:r>
    </w:p>
    <w:p w14:paraId="56F0B1F8" w14:textId="77777777" w:rsidR="00B8484A" w:rsidRDefault="00B8484A" w:rsidP="00B24DF9"/>
    <w:p w14:paraId="4E4A62A8" w14:textId="3CB141AB" w:rsidR="00CF5D65" w:rsidRDefault="009155D3" w:rsidP="00B664AE">
      <w:pPr>
        <w:pStyle w:val="Nadpis2"/>
        <w:numPr>
          <w:ilvl w:val="0"/>
          <w:numId w:val="0"/>
        </w:numPr>
      </w:pPr>
      <w:r>
        <w:t xml:space="preserve">1. </w:t>
      </w:r>
      <w:r w:rsidR="00CF5D65">
        <w:t>Využívání nemovitého majetku</w:t>
      </w:r>
    </w:p>
    <w:p w14:paraId="16B79C9A" w14:textId="77777777" w:rsidR="00CF5D65" w:rsidRDefault="00CF5D65" w:rsidP="00CF5D65"/>
    <w:p w14:paraId="26A0BFC1" w14:textId="7FE923C7" w:rsidR="00590041" w:rsidRDefault="00590041" w:rsidP="00590041">
      <w:pPr>
        <w:pStyle w:val="Nadpis3"/>
      </w:pPr>
      <w:r>
        <w:t>Ministerstva</w:t>
      </w:r>
    </w:p>
    <w:p w14:paraId="313DB049" w14:textId="77777777" w:rsidR="00590041" w:rsidRDefault="00590041" w:rsidP="00CF5D65"/>
    <w:p w14:paraId="0D40BC67" w14:textId="398C45F4" w:rsidR="00CF5D65" w:rsidRDefault="00CF5D65" w:rsidP="00CF5D65">
      <w:r>
        <w:t xml:space="preserve">Kontrolou bylo zjištěno, že </w:t>
      </w:r>
      <w:r w:rsidR="007B55AB">
        <w:t>kontrolovaná</w:t>
      </w:r>
      <w:r>
        <w:t xml:space="preserve"> ministerstva své kancelářské prostory částečně přenechávají do užívání jiným subjektům </w:t>
      </w:r>
      <w:r w:rsidR="000B40B0">
        <w:t>(</w:t>
      </w:r>
      <w:r>
        <w:t>ať už úplatně</w:t>
      </w:r>
      <w:r w:rsidR="000B40B0">
        <w:t>,</w:t>
      </w:r>
      <w:r>
        <w:t xml:space="preserve"> či bezúplatně</w:t>
      </w:r>
      <w:r w:rsidR="000B40B0">
        <w:t>)</w:t>
      </w:r>
      <w:r>
        <w:t xml:space="preserve"> v případech, kdy jim t</w:t>
      </w:r>
      <w:r w:rsidR="00D471D5">
        <w:t xml:space="preserve">akový postup </w:t>
      </w:r>
      <w:r>
        <w:t xml:space="preserve">umožňuje zákon. Na druhou stranu pak také užívají úplatně či bezúplatně administrativní prostory jiných subjektů. Následující tabulka obsahuje údaje o kancelářských plochách vybraných ministerstev v objektech na území hl. m. Prahy, se kterými jsou </w:t>
      </w:r>
      <w:r w:rsidR="000B40B0">
        <w:t xml:space="preserve">tato ministerstva </w:t>
      </w:r>
      <w:r>
        <w:t>příslušná hospodařit, a</w:t>
      </w:r>
      <w:r w:rsidR="000B40B0">
        <w:t xml:space="preserve"> údaje</w:t>
      </w:r>
      <w:r>
        <w:t xml:space="preserve"> o kancelá</w:t>
      </w:r>
      <w:r w:rsidR="009625EF">
        <w:t>řských plochách</w:t>
      </w:r>
      <w:r w:rsidR="00712355">
        <w:t>, které jsou vlastnictvím</w:t>
      </w:r>
      <w:r w:rsidR="009625EF">
        <w:t xml:space="preserve"> jiných subjektů</w:t>
      </w:r>
      <w:r>
        <w:t xml:space="preserve">, </w:t>
      </w:r>
      <w:r w:rsidR="00712355">
        <w:t>avšak</w:t>
      </w:r>
      <w:r>
        <w:t xml:space="preserve"> užívají</w:t>
      </w:r>
      <w:r w:rsidR="00712355">
        <w:t xml:space="preserve"> je kontrolovaná ministerstva</w:t>
      </w:r>
      <w:r>
        <w:t>.</w:t>
      </w:r>
    </w:p>
    <w:p w14:paraId="29EDB7CA" w14:textId="77777777" w:rsidR="00B73A7D" w:rsidRDefault="00B73A7D" w:rsidP="00CF5D65"/>
    <w:p w14:paraId="174CC1CA" w14:textId="70850577" w:rsidR="00CF5D65" w:rsidRPr="00B73A7D" w:rsidRDefault="00B73A7D" w:rsidP="00B73A7D">
      <w:pPr>
        <w:tabs>
          <w:tab w:val="right" w:pos="9072"/>
        </w:tabs>
        <w:ind w:left="1503" w:hanging="1503"/>
        <w:jc w:val="left"/>
        <w:rPr>
          <w:b/>
        </w:rPr>
      </w:pPr>
      <w:r>
        <w:rPr>
          <w:b/>
        </w:rPr>
        <w:t xml:space="preserve">Tabulka č. 4 – </w:t>
      </w:r>
      <w:r w:rsidR="00CF5D65" w:rsidRPr="00B73A7D">
        <w:rPr>
          <w:b/>
        </w:rPr>
        <w:t xml:space="preserve">Přehled kancelářských ploch užívaných kontrolovanými </w:t>
      </w:r>
      <w:r w:rsidR="007B55AB" w:rsidRPr="00B73A7D">
        <w:rPr>
          <w:b/>
        </w:rPr>
        <w:t>ministerstvy</w:t>
      </w:r>
      <w:r w:rsidR="0075427C" w:rsidRPr="00B73A7D">
        <w:rPr>
          <w:b/>
        </w:rPr>
        <w:t xml:space="preserve"> na území hl. m. Prahy</w:t>
      </w:r>
      <w:r w:rsidR="00256B65" w:rsidRPr="00B73A7D">
        <w:rPr>
          <w:b/>
        </w:rPr>
        <w:t xml:space="preserve"> za rok 2013</w:t>
      </w:r>
      <w:r w:rsidR="005F477A" w:rsidRPr="00B73A7D">
        <w:rPr>
          <w:b/>
        </w:rPr>
        <w:t xml:space="preserve"> </w:t>
      </w:r>
      <w:r w:rsidR="001A150A" w:rsidRPr="00B73A7D">
        <w:rPr>
          <w:b/>
        </w:rPr>
        <w:tab/>
      </w:r>
      <w:r w:rsidR="00CF5D65" w:rsidRPr="00B73A7D">
        <w:rPr>
          <w:b/>
        </w:rPr>
        <w:t xml:space="preserve">(v </w:t>
      </w:r>
      <w:proofErr w:type="spellStart"/>
      <w:r w:rsidR="00CF5D65" w:rsidRPr="00B73A7D">
        <w:rPr>
          <w:b/>
        </w:rPr>
        <w:t>m</w:t>
      </w:r>
      <w:r w:rsidR="00CF5D65" w:rsidRPr="00B73A7D">
        <w:rPr>
          <w:b/>
          <w:vertAlign w:val="superscript"/>
        </w:rPr>
        <w:t>2</w:t>
      </w:r>
      <w:proofErr w:type="spellEnd"/>
      <w:r w:rsidR="00706054" w:rsidRPr="00B73A7D">
        <w:rPr>
          <w:b/>
        </w:rPr>
        <w:t>)</w:t>
      </w:r>
    </w:p>
    <w:tbl>
      <w:tblPr>
        <w:tblW w:w="4983" w:type="pct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746"/>
        <w:gridCol w:w="749"/>
        <w:gridCol w:w="749"/>
        <w:gridCol w:w="747"/>
        <w:gridCol w:w="749"/>
        <w:gridCol w:w="749"/>
        <w:gridCol w:w="747"/>
      </w:tblGrid>
      <w:tr w:rsidR="00744C49" w:rsidRPr="007A6449" w14:paraId="685398AB" w14:textId="01BF3026" w:rsidTr="00B664AE">
        <w:trPr>
          <w:trHeight w:hRule="exact" w:val="266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B32537" w14:textId="77777777" w:rsidR="00936A66" w:rsidRPr="007A6449" w:rsidRDefault="00936A66" w:rsidP="00CF5D65">
            <w:pPr>
              <w:pStyle w:val="tabulka"/>
              <w:jc w:val="center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7B015" w14:textId="77777777" w:rsidR="00936A66" w:rsidRPr="007A6449" w:rsidRDefault="00936A66" w:rsidP="00CF5D65">
            <w:pPr>
              <w:pStyle w:val="tabulka"/>
              <w:jc w:val="center"/>
              <w:rPr>
                <w:b/>
              </w:rPr>
            </w:pPr>
            <w:r w:rsidRPr="007A6449">
              <w:rPr>
                <w:b/>
              </w:rPr>
              <w:t>MF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AEE45" w14:textId="77777777" w:rsidR="00936A66" w:rsidRPr="007A6449" w:rsidRDefault="00936A66" w:rsidP="00CF5D65">
            <w:pPr>
              <w:pStyle w:val="tabulka"/>
              <w:jc w:val="center"/>
              <w:rPr>
                <w:b/>
              </w:rPr>
            </w:pPr>
            <w:r w:rsidRPr="007A6449">
              <w:rPr>
                <w:b/>
              </w:rPr>
              <w:t>MO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3A257" w14:textId="77777777" w:rsidR="00936A66" w:rsidRPr="007A6449" w:rsidRDefault="00936A66" w:rsidP="00CF5D65">
            <w:pPr>
              <w:pStyle w:val="tabulka"/>
              <w:jc w:val="center"/>
              <w:rPr>
                <w:b/>
              </w:rPr>
            </w:pPr>
            <w:r w:rsidRPr="007A6449">
              <w:rPr>
                <w:b/>
              </w:rPr>
              <w:t>MPSV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78BD8" w14:textId="77777777" w:rsidR="00936A66" w:rsidRPr="007A6449" w:rsidRDefault="00936A66" w:rsidP="00CF5D65">
            <w:pPr>
              <w:pStyle w:val="tabulka"/>
              <w:jc w:val="center"/>
              <w:rPr>
                <w:b/>
              </w:rPr>
            </w:pPr>
            <w:r w:rsidRPr="007A6449">
              <w:rPr>
                <w:b/>
              </w:rPr>
              <w:t>MMR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CA5B2" w14:textId="77777777" w:rsidR="00936A66" w:rsidRPr="007A6449" w:rsidRDefault="00936A66" w:rsidP="00CF5D65">
            <w:pPr>
              <w:pStyle w:val="tabulka"/>
              <w:jc w:val="center"/>
              <w:rPr>
                <w:b/>
              </w:rPr>
            </w:pPr>
            <w:r w:rsidRPr="007A6449">
              <w:rPr>
                <w:b/>
              </w:rPr>
              <w:t>MŠMT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9DA1C4" w14:textId="77777777" w:rsidR="00936A66" w:rsidRPr="007A6449" w:rsidRDefault="00936A66" w:rsidP="00CF5D65">
            <w:pPr>
              <w:pStyle w:val="tabulka"/>
              <w:jc w:val="center"/>
              <w:rPr>
                <w:b/>
              </w:rPr>
            </w:pPr>
            <w:r w:rsidRPr="007A6449">
              <w:rPr>
                <w:b/>
              </w:rPr>
              <w:t>MV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6DD00" w14:textId="31B2EAD8" w:rsidR="00936A66" w:rsidRPr="007A6449" w:rsidRDefault="00936A66" w:rsidP="007A6449">
            <w:pPr>
              <w:pStyle w:val="tabulka"/>
              <w:jc w:val="center"/>
              <w:rPr>
                <w:b/>
              </w:rPr>
            </w:pPr>
            <w:r w:rsidRPr="007A6449">
              <w:rPr>
                <w:b/>
              </w:rPr>
              <w:t>Celkem</w:t>
            </w:r>
          </w:p>
        </w:tc>
      </w:tr>
      <w:tr w:rsidR="00744C49" w:rsidRPr="007A6449" w14:paraId="7CDCA897" w14:textId="02791B03" w:rsidTr="00B664AE">
        <w:trPr>
          <w:trHeight w:hRule="exact" w:val="454"/>
        </w:trPr>
        <w:tc>
          <w:tcPr>
            <w:tcW w:w="21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6FC027" w14:textId="77777777" w:rsidR="00744C49" w:rsidRDefault="00936A66" w:rsidP="00CF5D65">
            <w:pPr>
              <w:pStyle w:val="tabulka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 xml:space="preserve">Celková </w:t>
            </w:r>
            <w:proofErr w:type="spellStart"/>
            <w:r w:rsidRPr="007A6449">
              <w:rPr>
                <w:rFonts w:eastAsia="Arial Unicode MS"/>
              </w:rPr>
              <w:t>kanc</w:t>
            </w:r>
            <w:proofErr w:type="spellEnd"/>
            <w:r w:rsidRPr="007A6449">
              <w:rPr>
                <w:rFonts w:eastAsia="Arial Unicode MS"/>
              </w:rPr>
              <w:t xml:space="preserve">. plocha v objektech </w:t>
            </w:r>
          </w:p>
          <w:p w14:paraId="6A14C85D" w14:textId="222B8963" w:rsidR="00936A66" w:rsidRPr="007A6449" w:rsidRDefault="00936A66" w:rsidP="00CF5D65">
            <w:pPr>
              <w:pStyle w:val="tabulka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 xml:space="preserve">kontrolované osoby </w:t>
            </w:r>
          </w:p>
        </w:tc>
        <w:tc>
          <w:tcPr>
            <w:tcW w:w="4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57755F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19 034</w:t>
            </w:r>
          </w:p>
        </w:tc>
        <w:tc>
          <w:tcPr>
            <w:tcW w:w="41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3E9255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76 532</w:t>
            </w:r>
          </w:p>
        </w:tc>
        <w:tc>
          <w:tcPr>
            <w:tcW w:w="41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809209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11 304</w:t>
            </w:r>
          </w:p>
        </w:tc>
        <w:tc>
          <w:tcPr>
            <w:tcW w:w="4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6F1DDE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9 491</w:t>
            </w:r>
          </w:p>
        </w:tc>
        <w:tc>
          <w:tcPr>
            <w:tcW w:w="41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D982C6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6 116</w:t>
            </w:r>
          </w:p>
        </w:tc>
        <w:tc>
          <w:tcPr>
            <w:tcW w:w="413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7AB774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39 020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0DEA49" w14:textId="60863863" w:rsidR="00936A66" w:rsidRPr="00B664AE" w:rsidRDefault="00936A66" w:rsidP="00744C49">
            <w:pPr>
              <w:pStyle w:val="tabulka"/>
              <w:ind w:right="57"/>
              <w:jc w:val="right"/>
              <w:rPr>
                <w:rFonts w:eastAsia="Arial Unicode MS"/>
                <w:b/>
              </w:rPr>
            </w:pPr>
            <w:r w:rsidRPr="00B664AE">
              <w:rPr>
                <w:b/>
              </w:rPr>
              <w:t>161 497</w:t>
            </w:r>
          </w:p>
        </w:tc>
      </w:tr>
      <w:tr w:rsidR="00744C49" w:rsidRPr="007A6449" w14:paraId="61FDC767" w14:textId="5FE1F0D0" w:rsidTr="00B664AE">
        <w:trPr>
          <w:trHeight w:hRule="exact" w:val="227"/>
        </w:trPr>
        <w:tc>
          <w:tcPr>
            <w:tcW w:w="2112" w:type="pct"/>
            <w:tcBorders>
              <w:top w:val="dotted" w:sz="4" w:space="0" w:color="auto"/>
              <w:bottom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3CA5B0" w14:textId="5564746F" w:rsidR="00936A66" w:rsidRPr="007A6449" w:rsidRDefault="00744C49" w:rsidP="00CF5D65">
            <w:pPr>
              <w:pStyle w:val="tabulka"/>
            </w:pPr>
            <w:r>
              <w:t>z</w:t>
            </w:r>
            <w:r w:rsidR="00936A66" w:rsidRPr="007A6449">
              <w:t xml:space="preserve"> toho:</w:t>
            </w:r>
          </w:p>
        </w:tc>
        <w:tc>
          <w:tcPr>
            <w:tcW w:w="412" w:type="pct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9AD1C18" w14:textId="77777777" w:rsidR="00936A66" w:rsidRPr="007A6449" w:rsidRDefault="00936A66" w:rsidP="00744C49">
            <w:pPr>
              <w:pStyle w:val="tabulka"/>
              <w:ind w:right="57"/>
              <w:jc w:val="right"/>
            </w:pPr>
          </w:p>
        </w:tc>
        <w:tc>
          <w:tcPr>
            <w:tcW w:w="413" w:type="pct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511B7F50" w14:textId="77777777" w:rsidR="00936A66" w:rsidRPr="007A6449" w:rsidRDefault="00936A66" w:rsidP="00744C49">
            <w:pPr>
              <w:pStyle w:val="tabulka"/>
              <w:ind w:right="57"/>
              <w:jc w:val="right"/>
            </w:pPr>
          </w:p>
        </w:tc>
        <w:tc>
          <w:tcPr>
            <w:tcW w:w="413" w:type="pct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26EFFB8D" w14:textId="77777777" w:rsidR="00936A66" w:rsidRPr="007A6449" w:rsidRDefault="00936A66" w:rsidP="00744C49">
            <w:pPr>
              <w:pStyle w:val="tabulka"/>
              <w:ind w:right="57"/>
              <w:jc w:val="right"/>
            </w:pPr>
          </w:p>
        </w:tc>
        <w:tc>
          <w:tcPr>
            <w:tcW w:w="412" w:type="pct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5F9221BE" w14:textId="77777777" w:rsidR="00936A66" w:rsidRPr="007A6449" w:rsidRDefault="00936A66" w:rsidP="00744C49">
            <w:pPr>
              <w:pStyle w:val="tabulka"/>
              <w:ind w:right="57"/>
              <w:jc w:val="right"/>
            </w:pPr>
          </w:p>
        </w:tc>
        <w:tc>
          <w:tcPr>
            <w:tcW w:w="413" w:type="pct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42567D8" w14:textId="77777777" w:rsidR="00936A66" w:rsidRPr="007A6449" w:rsidRDefault="00936A66" w:rsidP="00744C49">
            <w:pPr>
              <w:pStyle w:val="tabulka"/>
              <w:ind w:right="57"/>
              <w:jc w:val="right"/>
            </w:pPr>
          </w:p>
        </w:tc>
        <w:tc>
          <w:tcPr>
            <w:tcW w:w="413" w:type="pct"/>
            <w:tcBorders>
              <w:top w:val="dotted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0D7993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413" w:type="pct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79E03F4A" w14:textId="77777777" w:rsidR="00936A66" w:rsidRPr="00B664AE" w:rsidRDefault="00936A66" w:rsidP="00744C49">
            <w:pPr>
              <w:pStyle w:val="tabulka"/>
              <w:ind w:right="57"/>
              <w:jc w:val="right"/>
              <w:rPr>
                <w:rFonts w:eastAsia="Arial Unicode MS"/>
                <w:b/>
              </w:rPr>
            </w:pPr>
          </w:p>
        </w:tc>
      </w:tr>
      <w:tr w:rsidR="00744C49" w:rsidRPr="007A6449" w14:paraId="71B51462" w14:textId="2AE8F105" w:rsidTr="00B664AE">
        <w:trPr>
          <w:trHeight w:hRule="exact" w:val="266"/>
        </w:trPr>
        <w:tc>
          <w:tcPr>
            <w:tcW w:w="2112" w:type="pct"/>
            <w:tcBorders>
              <w:top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D7B3CD" w14:textId="6DDF7B82" w:rsidR="00936A66" w:rsidRPr="007A6449" w:rsidRDefault="00936A66" w:rsidP="00744C49">
            <w:pPr>
              <w:pStyle w:val="tabulka"/>
            </w:pPr>
            <w:r w:rsidRPr="007A6449">
              <w:t xml:space="preserve"> </w:t>
            </w:r>
            <w:r w:rsidR="00744C49">
              <w:t xml:space="preserve">- </w:t>
            </w:r>
            <w:r w:rsidRPr="007A6449">
              <w:t>využíváno zaměstnanci kontrolované osoby</w:t>
            </w:r>
          </w:p>
        </w:tc>
        <w:tc>
          <w:tcPr>
            <w:tcW w:w="412" w:type="pct"/>
            <w:tcBorders>
              <w:top w:val="nil"/>
            </w:tcBorders>
            <w:shd w:val="clear" w:color="auto" w:fill="auto"/>
            <w:vAlign w:val="center"/>
          </w:tcPr>
          <w:p w14:paraId="7119A333" w14:textId="77777777" w:rsidR="00936A66" w:rsidRPr="007A6449" w:rsidRDefault="00936A66" w:rsidP="00744C49">
            <w:pPr>
              <w:pStyle w:val="tabulka"/>
              <w:ind w:right="57"/>
              <w:jc w:val="right"/>
            </w:pPr>
            <w:r w:rsidRPr="007A6449">
              <w:t>15 203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auto"/>
            <w:vAlign w:val="center"/>
          </w:tcPr>
          <w:p w14:paraId="7F96D2A9" w14:textId="77777777" w:rsidR="00936A66" w:rsidRPr="007A6449" w:rsidRDefault="00936A66" w:rsidP="00744C49">
            <w:pPr>
              <w:pStyle w:val="tabulka"/>
              <w:ind w:right="57"/>
              <w:jc w:val="right"/>
            </w:pPr>
            <w:r w:rsidRPr="007A6449">
              <w:rPr>
                <w:rFonts w:eastAsia="Arial Unicode MS"/>
              </w:rPr>
              <w:t>76 532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auto"/>
            <w:vAlign w:val="center"/>
          </w:tcPr>
          <w:p w14:paraId="581C9667" w14:textId="77777777" w:rsidR="00936A66" w:rsidRPr="007A6449" w:rsidRDefault="00936A66" w:rsidP="00744C49">
            <w:pPr>
              <w:pStyle w:val="tabulka"/>
              <w:ind w:right="57"/>
              <w:jc w:val="right"/>
            </w:pPr>
            <w:r w:rsidRPr="007A6449">
              <w:t>8 407</w:t>
            </w:r>
          </w:p>
        </w:tc>
        <w:tc>
          <w:tcPr>
            <w:tcW w:w="412" w:type="pct"/>
            <w:tcBorders>
              <w:top w:val="nil"/>
            </w:tcBorders>
            <w:shd w:val="clear" w:color="auto" w:fill="auto"/>
            <w:vAlign w:val="center"/>
          </w:tcPr>
          <w:p w14:paraId="5BC2D4BE" w14:textId="77777777" w:rsidR="00936A66" w:rsidRPr="007A6449" w:rsidRDefault="00936A66" w:rsidP="00744C49">
            <w:pPr>
              <w:pStyle w:val="tabulka"/>
              <w:ind w:right="57"/>
              <w:jc w:val="right"/>
            </w:pPr>
            <w:r w:rsidRPr="007A6449">
              <w:t>9 044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auto"/>
            <w:vAlign w:val="center"/>
          </w:tcPr>
          <w:p w14:paraId="5C68695E" w14:textId="77777777" w:rsidR="00936A66" w:rsidRPr="007A6449" w:rsidRDefault="00936A66" w:rsidP="00744C49">
            <w:pPr>
              <w:pStyle w:val="tabulka"/>
              <w:ind w:right="57"/>
              <w:jc w:val="right"/>
            </w:pPr>
            <w:r w:rsidRPr="007A6449">
              <w:t>5 725</w:t>
            </w:r>
          </w:p>
        </w:tc>
        <w:tc>
          <w:tcPr>
            <w:tcW w:w="413" w:type="pct"/>
            <w:tcBorders>
              <w:top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9F2E04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35 366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</w:tcBorders>
            <w:vAlign w:val="center"/>
          </w:tcPr>
          <w:p w14:paraId="45731F76" w14:textId="182E282D" w:rsidR="00936A66" w:rsidRPr="00B664AE" w:rsidRDefault="00936A66" w:rsidP="00744C49">
            <w:pPr>
              <w:pStyle w:val="tabulka"/>
              <w:ind w:right="57"/>
              <w:jc w:val="right"/>
              <w:rPr>
                <w:rFonts w:eastAsia="Arial Unicode MS"/>
                <w:b/>
              </w:rPr>
            </w:pPr>
            <w:r w:rsidRPr="00B664AE">
              <w:rPr>
                <w:b/>
              </w:rPr>
              <w:t>150 277</w:t>
            </w:r>
          </w:p>
        </w:tc>
      </w:tr>
      <w:tr w:rsidR="00744C49" w:rsidRPr="007A6449" w14:paraId="36FC01E4" w14:textId="6C8AD91E" w:rsidTr="00B664AE">
        <w:trPr>
          <w:trHeight w:hRule="exact" w:val="266"/>
        </w:trPr>
        <w:tc>
          <w:tcPr>
            <w:tcW w:w="2112" w:type="pc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DBF800" w14:textId="25482E6B" w:rsidR="00936A66" w:rsidRPr="007A6449" w:rsidRDefault="00936A66" w:rsidP="00744C49">
            <w:pPr>
              <w:pStyle w:val="tabulka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 xml:space="preserve"> </w:t>
            </w:r>
            <w:r w:rsidR="00744C49">
              <w:rPr>
                <w:rFonts w:eastAsia="Arial Unicode MS"/>
              </w:rPr>
              <w:t>-</w:t>
            </w:r>
            <w:r w:rsidRPr="007A6449">
              <w:rPr>
                <w:rFonts w:eastAsia="Arial Unicode MS"/>
              </w:rPr>
              <w:t xml:space="preserve"> přenecháno jinému subjektu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3C5F056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2 288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BA2195E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4B3E404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2 897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43F687C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447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F9840A0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391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F42353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3 654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14:paraId="25B83947" w14:textId="3DC803A4" w:rsidR="00936A66" w:rsidRPr="00B664AE" w:rsidRDefault="00936A66" w:rsidP="00744C49">
            <w:pPr>
              <w:pStyle w:val="tabulka"/>
              <w:ind w:right="57"/>
              <w:jc w:val="right"/>
              <w:rPr>
                <w:rFonts w:eastAsia="Arial Unicode MS"/>
                <w:b/>
              </w:rPr>
            </w:pPr>
            <w:r w:rsidRPr="00B664AE">
              <w:rPr>
                <w:b/>
              </w:rPr>
              <w:t>9 677</w:t>
            </w:r>
          </w:p>
        </w:tc>
      </w:tr>
      <w:tr w:rsidR="00744C49" w:rsidRPr="007A6449" w14:paraId="310D942B" w14:textId="277A297E" w:rsidTr="00B664AE">
        <w:trPr>
          <w:trHeight w:hRule="exact" w:val="266"/>
        </w:trPr>
        <w:tc>
          <w:tcPr>
            <w:tcW w:w="2112" w:type="pc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E16064" w14:textId="7C2F9E3B" w:rsidR="00936A66" w:rsidRPr="007A6449" w:rsidRDefault="00936A66" w:rsidP="00744C49">
            <w:pPr>
              <w:pStyle w:val="tabulka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 xml:space="preserve"> </w:t>
            </w:r>
            <w:r w:rsidR="00744C49">
              <w:rPr>
                <w:rFonts w:eastAsia="Arial Unicode MS"/>
              </w:rPr>
              <w:t>-</w:t>
            </w:r>
            <w:r w:rsidRPr="007A6449">
              <w:rPr>
                <w:rFonts w:eastAsia="Arial Unicode MS"/>
              </w:rPr>
              <w:t xml:space="preserve"> nevyužíváno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D3BD0FD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1 543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ACD7312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6C44871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31BD4CA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DBF3CFF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0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93E6E4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14:paraId="1496924E" w14:textId="3D407462" w:rsidR="00936A66" w:rsidRPr="00B664AE" w:rsidRDefault="00936A66" w:rsidP="00744C49">
            <w:pPr>
              <w:pStyle w:val="tabulka"/>
              <w:ind w:right="57"/>
              <w:jc w:val="right"/>
              <w:rPr>
                <w:rFonts w:eastAsia="Arial Unicode MS"/>
                <w:b/>
              </w:rPr>
            </w:pPr>
            <w:r w:rsidRPr="00B664AE">
              <w:rPr>
                <w:b/>
              </w:rPr>
              <w:t>1 543</w:t>
            </w:r>
          </w:p>
        </w:tc>
      </w:tr>
      <w:tr w:rsidR="00744C49" w:rsidRPr="007A6449" w14:paraId="1D754093" w14:textId="6F777168" w:rsidTr="00B664AE">
        <w:trPr>
          <w:trHeight w:hRule="exact" w:val="266"/>
        </w:trPr>
        <w:tc>
          <w:tcPr>
            <w:tcW w:w="2112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F9F934" w14:textId="77777777" w:rsidR="00936A66" w:rsidRPr="007A6449" w:rsidRDefault="00936A66" w:rsidP="00CF5D65">
            <w:pPr>
              <w:pStyle w:val="tabulka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Užívaná kancelářská plocha jiných subjektů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A39F3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4 200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F513" w14:textId="55329CDE" w:rsidR="00936A66" w:rsidRPr="007A6449" w:rsidRDefault="00865F0A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1 131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F8C8D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2 703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FF555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39E3D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3 943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AA546A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19 194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469007" w14:textId="7DF4B720" w:rsidR="00936A66" w:rsidRPr="00B664AE" w:rsidRDefault="00865F0A" w:rsidP="00744C49">
            <w:pPr>
              <w:pStyle w:val="tabulka"/>
              <w:ind w:right="57"/>
              <w:jc w:val="right"/>
              <w:rPr>
                <w:rFonts w:eastAsia="Arial Unicode MS"/>
                <w:b/>
              </w:rPr>
            </w:pPr>
            <w:r w:rsidRPr="00B664AE">
              <w:rPr>
                <w:b/>
              </w:rPr>
              <w:t>31 171</w:t>
            </w:r>
          </w:p>
        </w:tc>
      </w:tr>
      <w:tr w:rsidR="00744C49" w:rsidRPr="007A6449" w14:paraId="40644F8D" w14:textId="32103017" w:rsidTr="00B664AE">
        <w:trPr>
          <w:trHeight w:hRule="exact" w:val="454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42600C" w14:textId="09D3BB84" w:rsidR="00744C49" w:rsidRDefault="007A6449" w:rsidP="007A6449">
            <w:pPr>
              <w:pStyle w:val="tabulka"/>
              <w:rPr>
                <w:rFonts w:eastAsia="Arial Unicode MS"/>
              </w:rPr>
            </w:pPr>
            <w:r>
              <w:rPr>
                <w:rFonts w:eastAsia="Arial Unicode MS"/>
              </w:rPr>
              <w:t>Celk</w:t>
            </w:r>
            <w:r w:rsidR="000B40B0">
              <w:rPr>
                <w:rFonts w:eastAsia="Arial Unicode MS"/>
              </w:rPr>
              <w:t>ová</w:t>
            </w:r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kanc</w:t>
            </w:r>
            <w:proofErr w:type="spellEnd"/>
            <w:r>
              <w:rPr>
                <w:rFonts w:eastAsia="Arial Unicode MS"/>
              </w:rPr>
              <w:t>.</w:t>
            </w:r>
            <w:r w:rsidR="00936A66" w:rsidRPr="007A6449">
              <w:rPr>
                <w:rFonts w:eastAsia="Arial Unicode MS"/>
              </w:rPr>
              <w:t xml:space="preserve"> plocha užívaná </w:t>
            </w:r>
          </w:p>
          <w:p w14:paraId="363B079E" w14:textId="3C6B9855" w:rsidR="00936A66" w:rsidRPr="007A6449" w:rsidRDefault="00936A66" w:rsidP="007A6449">
            <w:pPr>
              <w:pStyle w:val="tabulka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kontrolovanou osobou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0056E" w14:textId="4428A083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19 403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CF5F2" w14:textId="7B761579" w:rsidR="00936A66" w:rsidRPr="007A6449" w:rsidRDefault="00865F0A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77 663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42C76" w14:textId="6D8B995D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11 110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AAC1E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9 044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9E17A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9 668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1BD26C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54 560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1AA23" w14:textId="2480C1F3" w:rsidR="00936A66" w:rsidRPr="00B664AE" w:rsidRDefault="00936A66" w:rsidP="00744C49">
            <w:pPr>
              <w:pStyle w:val="tabulka"/>
              <w:ind w:right="57"/>
              <w:jc w:val="right"/>
              <w:rPr>
                <w:rFonts w:eastAsia="Arial Unicode MS"/>
                <w:b/>
              </w:rPr>
            </w:pPr>
            <w:r w:rsidRPr="00B664AE">
              <w:rPr>
                <w:b/>
              </w:rPr>
              <w:t>18</w:t>
            </w:r>
            <w:r w:rsidR="006523B2" w:rsidRPr="00B664AE">
              <w:rPr>
                <w:b/>
              </w:rPr>
              <w:t>1</w:t>
            </w:r>
            <w:r w:rsidRPr="00B664AE">
              <w:rPr>
                <w:b/>
              </w:rPr>
              <w:t xml:space="preserve"> </w:t>
            </w:r>
            <w:r w:rsidR="00E86659" w:rsidRPr="00B664AE">
              <w:rPr>
                <w:b/>
              </w:rPr>
              <w:t>448</w:t>
            </w:r>
          </w:p>
        </w:tc>
      </w:tr>
      <w:tr w:rsidR="00744C49" w:rsidRPr="007A6449" w14:paraId="48C7DAE0" w14:textId="6AB8DB00" w:rsidTr="00B664AE">
        <w:trPr>
          <w:trHeight w:hRule="exact" w:val="266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4CB7A7" w14:textId="36B64367" w:rsidR="00936A66" w:rsidRPr="007A6449" w:rsidRDefault="00936A66" w:rsidP="00865F0A">
            <w:pPr>
              <w:pStyle w:val="tabulka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 xml:space="preserve">Počet </w:t>
            </w:r>
            <w:r w:rsidR="00865F0A">
              <w:rPr>
                <w:rFonts w:eastAsia="Arial Unicode MS"/>
              </w:rPr>
              <w:t>zaměstnanc</w:t>
            </w:r>
            <w:r w:rsidRPr="007A6449">
              <w:rPr>
                <w:rFonts w:eastAsia="Arial Unicode MS"/>
              </w:rPr>
              <w:t xml:space="preserve">ů v těchto </w:t>
            </w:r>
            <w:r w:rsidR="007A6449">
              <w:rPr>
                <w:rFonts w:eastAsia="Arial Unicode MS"/>
              </w:rPr>
              <w:t>prost</w:t>
            </w:r>
            <w:r w:rsidR="00F8416A">
              <w:rPr>
                <w:rFonts w:eastAsia="Arial Unicode MS"/>
              </w:rPr>
              <w:t>orách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E5CEF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1 371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FF971" w14:textId="58335CC1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5 9</w:t>
            </w:r>
            <w:r w:rsidR="00865F0A">
              <w:rPr>
                <w:rFonts w:eastAsia="Arial Unicode MS"/>
              </w:rPr>
              <w:t>55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13BDF" w14:textId="57E517AD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893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288FE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590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E4DD8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878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6D1B94" w14:textId="77777777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4 064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68A7B" w14:textId="2D716B49" w:rsidR="00936A66" w:rsidRPr="00B664AE" w:rsidRDefault="00936A66" w:rsidP="00744C49">
            <w:pPr>
              <w:pStyle w:val="tabulka"/>
              <w:ind w:right="57"/>
              <w:jc w:val="right"/>
              <w:rPr>
                <w:rFonts w:eastAsia="Arial Unicode MS"/>
                <w:b/>
              </w:rPr>
            </w:pPr>
            <w:r w:rsidRPr="00B664AE">
              <w:rPr>
                <w:b/>
              </w:rPr>
              <w:t xml:space="preserve">13 </w:t>
            </w:r>
            <w:r w:rsidR="00865F0A" w:rsidRPr="00B664AE">
              <w:rPr>
                <w:b/>
              </w:rPr>
              <w:t>751</w:t>
            </w:r>
          </w:p>
        </w:tc>
      </w:tr>
      <w:tr w:rsidR="00744C49" w:rsidRPr="007A6449" w14:paraId="4D516596" w14:textId="05EB77B7" w:rsidTr="00B664AE">
        <w:trPr>
          <w:trHeight w:hRule="exact" w:val="266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D1CCCD" w14:textId="24D6C2EA" w:rsidR="00936A66" w:rsidRPr="007A6449" w:rsidRDefault="00936A66" w:rsidP="00865F0A">
            <w:pPr>
              <w:pStyle w:val="tabulka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 xml:space="preserve">Počet </w:t>
            </w:r>
            <w:proofErr w:type="spellStart"/>
            <w:r w:rsidRPr="007A6449">
              <w:rPr>
                <w:rFonts w:eastAsia="Arial Unicode MS"/>
              </w:rPr>
              <w:t>m</w:t>
            </w:r>
            <w:r w:rsidRPr="007A6449">
              <w:rPr>
                <w:rFonts w:eastAsia="Arial Unicode MS"/>
                <w:vertAlign w:val="superscript"/>
              </w:rPr>
              <w:t>2</w:t>
            </w:r>
            <w:proofErr w:type="spellEnd"/>
            <w:r w:rsidRPr="007A6449">
              <w:rPr>
                <w:rFonts w:eastAsia="Arial Unicode MS"/>
              </w:rPr>
              <w:t xml:space="preserve"> plochy kanceláří na </w:t>
            </w:r>
            <w:r w:rsidR="00865F0A">
              <w:rPr>
                <w:rFonts w:eastAsia="Arial Unicode MS"/>
              </w:rPr>
              <w:t>zaměstnance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AAA45" w14:textId="5FF9BBDB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14,2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2CBB8" w14:textId="0AA8A770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13,0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E2398" w14:textId="7CC6E265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12,4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83836" w14:textId="52290DEF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15,3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16016" w14:textId="0C0872E1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11,0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2FF831" w14:textId="3B2BDF2E" w:rsidR="00936A66" w:rsidRPr="007A6449" w:rsidRDefault="00936A66" w:rsidP="00744C49">
            <w:pPr>
              <w:pStyle w:val="tabulka"/>
              <w:ind w:right="57"/>
              <w:jc w:val="right"/>
              <w:rPr>
                <w:rFonts w:eastAsia="Arial Unicode MS"/>
              </w:rPr>
            </w:pPr>
            <w:r w:rsidRPr="007A6449">
              <w:rPr>
                <w:rFonts w:eastAsia="Arial Unicode MS"/>
              </w:rPr>
              <w:t>13,4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C5197" w14:textId="1ACD6DBA" w:rsidR="00936A66" w:rsidRPr="00B664AE" w:rsidRDefault="000B40B0" w:rsidP="00B664AE">
            <w:pPr>
              <w:pStyle w:val="tabulka"/>
              <w:ind w:right="57"/>
              <w:jc w:val="right"/>
              <w:rPr>
                <w:rFonts w:eastAsia="Arial Unicode MS"/>
                <w:b/>
              </w:rPr>
            </w:pPr>
            <w:r w:rsidRPr="00B664AE">
              <w:rPr>
                <w:rFonts w:eastAsia="Arial Unicode MS"/>
                <w:b/>
              </w:rPr>
              <w:t>x</w:t>
            </w:r>
          </w:p>
        </w:tc>
      </w:tr>
    </w:tbl>
    <w:p w14:paraId="3624A29C" w14:textId="55F749F1" w:rsidR="00CF5D65" w:rsidRDefault="007A6449" w:rsidP="000B40B0">
      <w:pPr>
        <w:pStyle w:val="Poznmka"/>
      </w:pPr>
      <w:r w:rsidRPr="00404F19">
        <w:rPr>
          <w:b/>
        </w:rPr>
        <w:t>Z</w:t>
      </w:r>
      <w:r w:rsidR="00CF5D65" w:rsidRPr="00404F19">
        <w:rPr>
          <w:b/>
        </w:rPr>
        <w:t>droj:</w:t>
      </w:r>
      <w:r w:rsidR="00CF5D65">
        <w:t xml:space="preserve"> </w:t>
      </w:r>
      <w:r w:rsidR="000B40B0">
        <w:tab/>
        <w:t>i</w:t>
      </w:r>
      <w:r w:rsidR="00CF5D65">
        <w:t>nformace kontrolovaných osob</w:t>
      </w:r>
      <w:r w:rsidR="00706054">
        <w:t xml:space="preserve"> za rok 2013</w:t>
      </w:r>
      <w:r w:rsidR="00404F19">
        <w:t>.</w:t>
      </w:r>
    </w:p>
    <w:p w14:paraId="437C602F" w14:textId="491E08AC" w:rsidR="00CF5D65" w:rsidRDefault="00CF5D65">
      <w:pPr>
        <w:pStyle w:val="Poznmka"/>
      </w:pPr>
      <w:r w:rsidRPr="00404F19">
        <w:rPr>
          <w:b/>
        </w:rPr>
        <w:t>Pozn.:</w:t>
      </w:r>
      <w:r>
        <w:t xml:space="preserve"> </w:t>
      </w:r>
      <w:r w:rsidR="000B40B0">
        <w:tab/>
      </w:r>
      <w:r>
        <w:t xml:space="preserve">Hodnoty za MV a MO byly sestaveny pouze za objekty, ke kterým byla skupině kontrolujících NKÚ poskytnuta </w:t>
      </w:r>
      <w:r w:rsidR="008C7005">
        <w:t xml:space="preserve">odpovídající </w:t>
      </w:r>
      <w:r w:rsidR="002F0AA1">
        <w:t>vstupní data, mj. i z důvodu ochrany utajovaných informací.</w:t>
      </w:r>
    </w:p>
    <w:p w14:paraId="1582D447" w14:textId="77777777" w:rsidR="00CF5D65" w:rsidRPr="00B0255F" w:rsidRDefault="00CF5D65" w:rsidP="00CF5D65"/>
    <w:p w14:paraId="636F4C4B" w14:textId="5EF38A2E" w:rsidR="0036522F" w:rsidRDefault="0036522F" w:rsidP="00CF5D65">
      <w:r>
        <w:t>Významný vliv na hodnotu ukazatele</w:t>
      </w:r>
      <w:r w:rsidR="00712355">
        <w:t xml:space="preserve"> „</w:t>
      </w:r>
      <w:r w:rsidR="00712355" w:rsidRPr="00B664AE">
        <w:rPr>
          <w:i/>
        </w:rPr>
        <w:t xml:space="preserve">počet </w:t>
      </w:r>
      <w:proofErr w:type="spellStart"/>
      <w:r w:rsidR="00712355" w:rsidRPr="00B664AE">
        <w:rPr>
          <w:i/>
        </w:rPr>
        <w:t>m</w:t>
      </w:r>
      <w:r w:rsidR="00712355" w:rsidRPr="00B664AE">
        <w:rPr>
          <w:i/>
          <w:vertAlign w:val="superscript"/>
        </w:rPr>
        <w:t>2</w:t>
      </w:r>
      <w:proofErr w:type="spellEnd"/>
      <w:r w:rsidRPr="00B664AE">
        <w:rPr>
          <w:i/>
        </w:rPr>
        <w:t xml:space="preserve"> plochy kanceláří na </w:t>
      </w:r>
      <w:r w:rsidR="00C5655D" w:rsidRPr="00B664AE">
        <w:rPr>
          <w:i/>
        </w:rPr>
        <w:t>zaměstnance</w:t>
      </w:r>
      <w:r w:rsidR="00712355">
        <w:t>“</w:t>
      </w:r>
      <w:r w:rsidR="00A14DD3">
        <w:t xml:space="preserve"> má charakter objektu a </w:t>
      </w:r>
      <w:r>
        <w:t>případné aktuální řešení dislokací kontrolovaných osob.</w:t>
      </w:r>
    </w:p>
    <w:p w14:paraId="3FCED541" w14:textId="77777777" w:rsidR="0036522F" w:rsidRDefault="0036522F" w:rsidP="00CF5D65"/>
    <w:p w14:paraId="1EA32146" w14:textId="1D3D02B6" w:rsidR="00BB189F" w:rsidRDefault="00CF5D65" w:rsidP="00D43225">
      <w:pPr>
        <w:pStyle w:val="Odstavecseseznamem"/>
        <w:numPr>
          <w:ilvl w:val="0"/>
          <w:numId w:val="23"/>
        </w:numPr>
        <w:ind w:left="284" w:hanging="284"/>
      </w:pPr>
      <w:r>
        <w:t>MF bezúplatně užívá plochy v administrativních objekt</w:t>
      </w:r>
      <w:r w:rsidR="001B1301">
        <w:t>ech jiných státních institucí o </w:t>
      </w:r>
      <w:r>
        <w:t xml:space="preserve">celkové ploše přesahující 2,2 tis. </w:t>
      </w:r>
      <w:proofErr w:type="spellStart"/>
      <w:r>
        <w:t>m</w:t>
      </w:r>
      <w:r w:rsidRPr="00BB189F">
        <w:rPr>
          <w:vertAlign w:val="superscript"/>
        </w:rPr>
        <w:t>2</w:t>
      </w:r>
      <w:proofErr w:type="spellEnd"/>
      <w:r w:rsidR="00FC05FF">
        <w:t xml:space="preserve">, z čehož cca 1,9 tis. </w:t>
      </w:r>
      <w:proofErr w:type="spellStart"/>
      <w:r w:rsidR="00FC05FF">
        <w:t>m</w:t>
      </w:r>
      <w:r w:rsidR="00FC05FF" w:rsidRPr="00BB189F">
        <w:rPr>
          <w:vertAlign w:val="superscript"/>
        </w:rPr>
        <w:t>2</w:t>
      </w:r>
      <w:proofErr w:type="spellEnd"/>
      <w:r w:rsidR="00FC05FF">
        <w:t xml:space="preserve"> </w:t>
      </w:r>
      <w:r w:rsidR="00712355">
        <w:t xml:space="preserve">tvoří </w:t>
      </w:r>
      <w:r w:rsidR="00FC05FF">
        <w:t>ploch</w:t>
      </w:r>
      <w:r w:rsidR="00712355">
        <w:t>y</w:t>
      </w:r>
      <w:r w:rsidR="00FC05FF">
        <w:t xml:space="preserve"> kanceláří. Za</w:t>
      </w:r>
      <w:r w:rsidR="00712355">
        <w:t xml:space="preserve"> </w:t>
      </w:r>
      <w:r>
        <w:t>nájemné ve výši 1 722 Kč/</w:t>
      </w:r>
      <w:proofErr w:type="spellStart"/>
      <w:r>
        <w:t>m</w:t>
      </w:r>
      <w:r w:rsidRPr="00BB189F">
        <w:rPr>
          <w:vertAlign w:val="superscript"/>
        </w:rPr>
        <w:t>2</w:t>
      </w:r>
      <w:proofErr w:type="spellEnd"/>
      <w:r>
        <w:t xml:space="preserve">/rok si pak od konce roku 2012 najímá </w:t>
      </w:r>
      <w:r w:rsidR="00C572D0">
        <w:t>nebytové prostory o</w:t>
      </w:r>
      <w:r w:rsidR="009B3E1D">
        <w:t> </w:t>
      </w:r>
      <w:r w:rsidR="00C572D0">
        <w:t xml:space="preserve">výměře cca 4,2 tis. </w:t>
      </w:r>
      <w:proofErr w:type="spellStart"/>
      <w:r w:rsidR="00C572D0">
        <w:t>m</w:t>
      </w:r>
      <w:r w:rsidR="00C572D0" w:rsidRPr="00BB189F">
        <w:rPr>
          <w:vertAlign w:val="superscript"/>
        </w:rPr>
        <w:t>2</w:t>
      </w:r>
      <w:proofErr w:type="spellEnd"/>
      <w:r w:rsidR="00C572D0">
        <w:t xml:space="preserve"> </w:t>
      </w:r>
      <w:r>
        <w:t>v objektu v ulici Politických vězňů</w:t>
      </w:r>
      <w:r w:rsidR="00712355">
        <w:t xml:space="preserve"> na</w:t>
      </w:r>
      <w:r>
        <w:t xml:space="preserve"> Pra</w:t>
      </w:r>
      <w:r w:rsidR="00712355">
        <w:t>ze</w:t>
      </w:r>
      <w:r>
        <w:t xml:space="preserve"> 1</w:t>
      </w:r>
      <w:r w:rsidR="00FC05FF">
        <w:t xml:space="preserve">, </w:t>
      </w:r>
      <w:r w:rsidR="00C562E8">
        <w:t>v</w:t>
      </w:r>
      <w:r w:rsidR="00794BA4">
        <w:t>e</w:t>
      </w:r>
      <w:r w:rsidR="00C562E8">
        <w:t xml:space="preserve"> kterých</w:t>
      </w:r>
      <w:r w:rsidR="00BB189F">
        <w:t xml:space="preserve"> je cca </w:t>
      </w:r>
      <w:r w:rsidR="0050689A">
        <w:t>2,3 </w:t>
      </w:r>
      <w:r w:rsidR="00FC05FF">
        <w:t xml:space="preserve">tis. </w:t>
      </w:r>
      <w:proofErr w:type="spellStart"/>
      <w:r w:rsidR="00FC05FF">
        <w:t>m</w:t>
      </w:r>
      <w:r w:rsidR="00FC05FF" w:rsidRPr="00BB189F">
        <w:rPr>
          <w:vertAlign w:val="superscript"/>
        </w:rPr>
        <w:t>2</w:t>
      </w:r>
      <w:proofErr w:type="spellEnd"/>
      <w:r w:rsidR="00FC05FF">
        <w:t xml:space="preserve"> ploch kanceláří.</w:t>
      </w:r>
    </w:p>
    <w:p w14:paraId="362E3E58" w14:textId="77777777" w:rsidR="001A150A" w:rsidRDefault="001A150A" w:rsidP="00BB189F">
      <w:pPr>
        <w:pStyle w:val="Odstavecseseznamem"/>
        <w:ind w:left="284"/>
      </w:pPr>
    </w:p>
    <w:p w14:paraId="0D017399" w14:textId="61D5170F" w:rsidR="00CF5D65" w:rsidRDefault="003D2B33" w:rsidP="00BB189F">
      <w:pPr>
        <w:pStyle w:val="Odstavecseseznamem"/>
        <w:ind w:left="284"/>
      </w:pPr>
      <w:r>
        <w:lastRenderedPageBreak/>
        <w:t>Ke konci roku 2013</w:t>
      </w:r>
      <w:r w:rsidR="00BB189F">
        <w:t xml:space="preserve"> pak MF bezúplatně přenechávalo </w:t>
      </w:r>
      <w:r>
        <w:t>4</w:t>
      </w:r>
      <w:r w:rsidR="00B229AF">
        <w:t>,0</w:t>
      </w:r>
      <w:r>
        <w:t xml:space="preserve"> tis. </w:t>
      </w:r>
      <w:proofErr w:type="spellStart"/>
      <w:r>
        <w:t>m</w:t>
      </w:r>
      <w:r w:rsidRPr="00BB189F">
        <w:rPr>
          <w:vertAlign w:val="superscript"/>
        </w:rPr>
        <w:t>2</w:t>
      </w:r>
      <w:proofErr w:type="spellEnd"/>
      <w:r>
        <w:t xml:space="preserve"> ploch ve svých administrativních budovách</w:t>
      </w:r>
      <w:r w:rsidR="00BB189F">
        <w:t xml:space="preserve"> </w:t>
      </w:r>
      <w:r w:rsidR="00496D9D">
        <w:t>organizační složce státu a evropské agentuře</w:t>
      </w:r>
      <w:r w:rsidR="00A14DD3">
        <w:t>, z čehož je cca </w:t>
      </w:r>
      <w:r w:rsidR="00D43225">
        <w:t xml:space="preserve">2,3 tis. </w:t>
      </w:r>
      <w:proofErr w:type="spellStart"/>
      <w:r w:rsidR="00D43225">
        <w:t>m</w:t>
      </w:r>
      <w:r w:rsidR="00D43225" w:rsidRPr="00BB189F">
        <w:rPr>
          <w:vertAlign w:val="superscript"/>
        </w:rPr>
        <w:t>2</w:t>
      </w:r>
      <w:proofErr w:type="spellEnd"/>
      <w:r w:rsidR="00D43225">
        <w:t xml:space="preserve"> ploch kanceláří</w:t>
      </w:r>
      <w:r>
        <w:t>.</w:t>
      </w:r>
    </w:p>
    <w:p w14:paraId="0BBC788C" w14:textId="77777777" w:rsidR="00CF5D65" w:rsidRDefault="00CF5D65" w:rsidP="00F33C75">
      <w:pPr>
        <w:ind w:left="284" w:hanging="284"/>
      </w:pPr>
    </w:p>
    <w:p w14:paraId="58693CAB" w14:textId="11FB7936" w:rsidR="00CF5D65" w:rsidRDefault="00D43225" w:rsidP="00F33C75">
      <w:pPr>
        <w:pStyle w:val="Odstavecseseznamem"/>
        <w:numPr>
          <w:ilvl w:val="0"/>
          <w:numId w:val="23"/>
        </w:numPr>
        <w:ind w:left="284" w:hanging="284"/>
      </w:pPr>
      <w:r>
        <w:t>MO si v kontrolovaném období najímalo z</w:t>
      </w:r>
      <w:r w:rsidR="00CF5D65">
        <w:t>a cenu 1 350 Kč/</w:t>
      </w:r>
      <w:proofErr w:type="spellStart"/>
      <w:r w:rsidR="00CF5D65">
        <w:t>m</w:t>
      </w:r>
      <w:r w:rsidR="00CF5D65" w:rsidRPr="001B1301">
        <w:rPr>
          <w:vertAlign w:val="superscript"/>
        </w:rPr>
        <w:t>2</w:t>
      </w:r>
      <w:proofErr w:type="spellEnd"/>
      <w:r w:rsidR="00CF5D65">
        <w:t xml:space="preserve">/rok </w:t>
      </w:r>
      <w:r w:rsidR="004F13A3">
        <w:t>o</w:t>
      </w:r>
      <w:r w:rsidR="00CF5D65">
        <w:t xml:space="preserve">d územně samosprávného celku </w:t>
      </w:r>
      <w:r w:rsidR="007E790A">
        <w:t>nebytové prostory o výměře 1 857,7</w:t>
      </w:r>
      <w:r w:rsidR="00CF5D65">
        <w:t xml:space="preserve"> </w:t>
      </w:r>
      <w:proofErr w:type="spellStart"/>
      <w:r w:rsidR="00CF5D65">
        <w:t>m</w:t>
      </w:r>
      <w:r w:rsidR="00CF5D65" w:rsidRPr="003D2B33">
        <w:rPr>
          <w:vertAlign w:val="superscript"/>
        </w:rPr>
        <w:t>2</w:t>
      </w:r>
      <w:proofErr w:type="spellEnd"/>
      <w:r w:rsidR="00CF5D65">
        <w:t xml:space="preserve"> v ulici Vršovická</w:t>
      </w:r>
      <w:r w:rsidR="00712355">
        <w:t xml:space="preserve"> na</w:t>
      </w:r>
      <w:r w:rsidR="00CF5D65">
        <w:t xml:space="preserve"> Pra</w:t>
      </w:r>
      <w:r w:rsidR="00712355">
        <w:t>ze </w:t>
      </w:r>
      <w:r w:rsidR="00CF5D65">
        <w:t>10</w:t>
      </w:r>
      <w:r w:rsidR="00B068AD">
        <w:t xml:space="preserve">, </w:t>
      </w:r>
      <w:r w:rsidR="00B068AD" w:rsidRPr="00FB3466">
        <w:t xml:space="preserve">z čehož plocha kanceláří byla cca 1 131 </w:t>
      </w:r>
      <w:proofErr w:type="spellStart"/>
      <w:r w:rsidR="00B068AD" w:rsidRPr="00FB3466">
        <w:t>m</w:t>
      </w:r>
      <w:r w:rsidR="00B068AD" w:rsidRPr="00FB3466">
        <w:rPr>
          <w:vertAlign w:val="superscript"/>
        </w:rPr>
        <w:t>2</w:t>
      </w:r>
      <w:proofErr w:type="spellEnd"/>
      <w:r w:rsidR="00CF5D65" w:rsidRPr="00FB3466">
        <w:t>.</w:t>
      </w:r>
      <w:r>
        <w:t xml:space="preserve"> V roce 2013 nepřenechávalo do užívání jinému subjektu na území hl. m. Prahy žádné kancelářské prostory.</w:t>
      </w:r>
    </w:p>
    <w:p w14:paraId="1E44B3C2" w14:textId="51A8AC9A" w:rsidR="00BB189F" w:rsidRDefault="00CF5D65" w:rsidP="007E790A">
      <w:pPr>
        <w:pStyle w:val="Odstavecseseznamem"/>
        <w:numPr>
          <w:ilvl w:val="0"/>
          <w:numId w:val="23"/>
        </w:numPr>
        <w:ind w:left="284" w:hanging="284"/>
      </w:pPr>
      <w:r>
        <w:t xml:space="preserve">MPSV </w:t>
      </w:r>
      <w:r w:rsidR="00444612">
        <w:t xml:space="preserve">si </w:t>
      </w:r>
      <w:r>
        <w:t xml:space="preserve">v kontrolovaném období </w:t>
      </w:r>
      <w:r w:rsidR="0075427C">
        <w:t xml:space="preserve">od soukromého subjektu </w:t>
      </w:r>
      <w:r>
        <w:t>najím</w:t>
      </w:r>
      <w:r w:rsidR="008B6D99">
        <w:t>alo prostory</w:t>
      </w:r>
      <w:r w:rsidR="007E790A">
        <w:t xml:space="preserve"> </w:t>
      </w:r>
      <w:r w:rsidR="00712355">
        <w:t xml:space="preserve">o rozloze </w:t>
      </w:r>
      <w:r w:rsidR="007E790A">
        <w:t xml:space="preserve">cca </w:t>
      </w:r>
      <w:r w:rsidR="00C572D0">
        <w:t>2</w:t>
      </w:r>
      <w:r w:rsidR="007E790A">
        <w:t>,7</w:t>
      </w:r>
      <w:r w:rsidR="00094653">
        <w:t> </w:t>
      </w:r>
      <w:r w:rsidR="00C572D0">
        <w:t>tis.</w:t>
      </w:r>
      <w:r w:rsidR="00094653">
        <w:t> </w:t>
      </w:r>
      <w:proofErr w:type="spellStart"/>
      <w:r>
        <w:t>m</w:t>
      </w:r>
      <w:r w:rsidRPr="00BB189F">
        <w:rPr>
          <w:vertAlign w:val="superscript"/>
        </w:rPr>
        <w:t>2</w:t>
      </w:r>
      <w:proofErr w:type="spellEnd"/>
      <w:r w:rsidR="00F50DF2">
        <w:t xml:space="preserve"> za</w:t>
      </w:r>
      <w:r w:rsidR="00712355">
        <w:t xml:space="preserve"> </w:t>
      </w:r>
      <w:r w:rsidR="00F50DF2">
        <w:t xml:space="preserve">nájemné </w:t>
      </w:r>
      <w:r w:rsidR="001828B4">
        <w:t xml:space="preserve">ve </w:t>
      </w:r>
      <w:r w:rsidR="00243FB0">
        <w:t xml:space="preserve">výši </w:t>
      </w:r>
      <w:r>
        <w:t>3 000 Kč/</w:t>
      </w:r>
      <w:proofErr w:type="spellStart"/>
      <w:r>
        <w:t>m</w:t>
      </w:r>
      <w:r w:rsidRPr="00BB189F">
        <w:rPr>
          <w:vertAlign w:val="superscript"/>
        </w:rPr>
        <w:t>2</w:t>
      </w:r>
      <w:proofErr w:type="spellEnd"/>
      <w:r>
        <w:t>/r</w:t>
      </w:r>
      <w:r w:rsidR="00D43225">
        <w:t>ok</w:t>
      </w:r>
      <w:r w:rsidR="00B61D67">
        <w:t xml:space="preserve"> za kancelářské</w:t>
      </w:r>
      <w:r w:rsidR="008B6D99">
        <w:t xml:space="preserve"> ploch</w:t>
      </w:r>
      <w:r w:rsidR="00B61D67">
        <w:t>y</w:t>
      </w:r>
      <w:r w:rsidR="00D43225">
        <w:t xml:space="preserve"> v ulici Kartouzská</w:t>
      </w:r>
      <w:r w:rsidR="00712355">
        <w:t xml:space="preserve"> v</w:t>
      </w:r>
      <w:r w:rsidR="00D43225">
        <w:t xml:space="preserve"> Pra</w:t>
      </w:r>
      <w:r w:rsidR="00712355">
        <w:t>ze</w:t>
      </w:r>
      <w:r w:rsidR="00D43225">
        <w:t xml:space="preserve"> 5.</w:t>
      </w:r>
    </w:p>
    <w:p w14:paraId="1088551D" w14:textId="77777777" w:rsidR="001A150A" w:rsidRDefault="001A150A" w:rsidP="00BB189F">
      <w:pPr>
        <w:pStyle w:val="Odstavecseseznamem"/>
        <w:ind w:left="284"/>
      </w:pPr>
    </w:p>
    <w:p w14:paraId="1018E881" w14:textId="6B013C05" w:rsidR="00CF5D65" w:rsidRDefault="00CF5D65" w:rsidP="00BB189F">
      <w:pPr>
        <w:pStyle w:val="Odstavecseseznamem"/>
        <w:ind w:left="284"/>
      </w:pPr>
      <w:r>
        <w:t xml:space="preserve">Zároveň bezúplatně přenechávalo </w:t>
      </w:r>
      <w:r w:rsidR="007E790A">
        <w:t xml:space="preserve">administrativní </w:t>
      </w:r>
      <w:r>
        <w:t>prostory o výměře</w:t>
      </w:r>
      <w:r w:rsidR="007E790A">
        <w:t xml:space="preserve"> 2,6 tis. </w:t>
      </w:r>
      <w:proofErr w:type="spellStart"/>
      <w:r w:rsidR="007E790A">
        <w:t>m</w:t>
      </w:r>
      <w:r w:rsidR="007E790A" w:rsidRPr="00BB189F">
        <w:rPr>
          <w:vertAlign w:val="superscript"/>
        </w:rPr>
        <w:t>2</w:t>
      </w:r>
      <w:proofErr w:type="spellEnd"/>
      <w:r w:rsidR="00664FEA">
        <w:t xml:space="preserve">, </w:t>
      </w:r>
      <w:r w:rsidR="00664FEA" w:rsidRPr="00496D9D">
        <w:t>z</w:t>
      </w:r>
      <w:r w:rsidR="00712355">
        <w:t> </w:t>
      </w:r>
      <w:r w:rsidR="00664FEA" w:rsidRPr="00496D9D">
        <w:t>čehož</w:t>
      </w:r>
      <w:r w:rsidR="00712355">
        <w:t xml:space="preserve"> </w:t>
      </w:r>
      <w:r w:rsidR="00664FEA" w:rsidRPr="00496D9D">
        <w:t xml:space="preserve">bylo </w:t>
      </w:r>
      <w:r w:rsidR="00B229AF">
        <w:t>necelých</w:t>
      </w:r>
      <w:r w:rsidR="00664FEA" w:rsidRPr="00496D9D">
        <w:t xml:space="preserve"> 2,2 tis. </w:t>
      </w:r>
      <w:proofErr w:type="spellStart"/>
      <w:r w:rsidR="00664FEA" w:rsidRPr="00496D9D">
        <w:t>m</w:t>
      </w:r>
      <w:r w:rsidR="00664FEA" w:rsidRPr="00496D9D">
        <w:rPr>
          <w:vertAlign w:val="superscript"/>
        </w:rPr>
        <w:t>2</w:t>
      </w:r>
      <w:proofErr w:type="spellEnd"/>
      <w:r w:rsidR="00664FEA" w:rsidRPr="00496D9D">
        <w:t xml:space="preserve"> ploch kanceláří, </w:t>
      </w:r>
      <w:r w:rsidR="00B229AF">
        <w:t>územně samosprávnému celku pro</w:t>
      </w:r>
      <w:r w:rsidR="00712355">
        <w:t xml:space="preserve"> </w:t>
      </w:r>
      <w:r w:rsidRPr="00496D9D">
        <w:t>výkon</w:t>
      </w:r>
      <w:r>
        <w:t xml:space="preserve"> státn</w:t>
      </w:r>
      <w:r w:rsidR="00C562E8">
        <w:t xml:space="preserve">í správy </w:t>
      </w:r>
      <w:r w:rsidR="00845FFA">
        <w:t>v </w:t>
      </w:r>
      <w:r w:rsidR="00C562E8">
        <w:t>přenesené působnosti.</w:t>
      </w:r>
      <w:r w:rsidR="003725D0">
        <w:t xml:space="preserve"> </w:t>
      </w:r>
      <w:r w:rsidR="00C562E8">
        <w:t>D</w:t>
      </w:r>
      <w:r w:rsidR="003725D0">
        <w:t xml:space="preserve">alších cca 0,6 tis. </w:t>
      </w:r>
      <w:proofErr w:type="spellStart"/>
      <w:r w:rsidR="003725D0">
        <w:t>m</w:t>
      </w:r>
      <w:r w:rsidR="003725D0" w:rsidRPr="00BB189F">
        <w:rPr>
          <w:vertAlign w:val="superscript"/>
        </w:rPr>
        <w:t>2</w:t>
      </w:r>
      <w:proofErr w:type="spellEnd"/>
      <w:r w:rsidR="003725D0">
        <w:t xml:space="preserve"> ploch </w:t>
      </w:r>
      <w:r w:rsidR="00C562E8">
        <w:t xml:space="preserve">přenechávalo </w:t>
      </w:r>
      <w:r w:rsidR="007E790A">
        <w:t xml:space="preserve">také </w:t>
      </w:r>
      <w:r w:rsidR="00C562E8">
        <w:t xml:space="preserve">bezúplatně </w:t>
      </w:r>
      <w:r w:rsidR="00D960C1">
        <w:t>jinému státnímu subjektu.</w:t>
      </w:r>
    </w:p>
    <w:p w14:paraId="269C6120" w14:textId="3DCA2F60" w:rsidR="00CF5D65" w:rsidRDefault="00CF5D65" w:rsidP="00F33C75">
      <w:pPr>
        <w:ind w:left="284" w:hanging="284"/>
      </w:pPr>
    </w:p>
    <w:p w14:paraId="5846CE4F" w14:textId="3B17E030" w:rsidR="00CF5D65" w:rsidRDefault="005E1CBC" w:rsidP="00B664AE">
      <w:pPr>
        <w:pStyle w:val="Odstavecseseznamem"/>
        <w:numPr>
          <w:ilvl w:val="0"/>
          <w:numId w:val="23"/>
        </w:numPr>
        <w:ind w:left="284" w:hanging="284"/>
      </w:pPr>
      <w:r>
        <w:t xml:space="preserve">MMR si v kontrolovaném období nenajímalo </w:t>
      </w:r>
      <w:r w:rsidR="00BB189F">
        <w:t>žádné administrativní prostory.</w:t>
      </w:r>
      <w:r w:rsidR="002D5A85">
        <w:t xml:space="preserve"> </w:t>
      </w:r>
      <w:r>
        <w:t>B</w:t>
      </w:r>
      <w:r w:rsidR="0050126B">
        <w:t>ezúplatně</w:t>
      </w:r>
      <w:r>
        <w:t xml:space="preserve"> přenechávalo</w:t>
      </w:r>
      <w:r w:rsidR="0050126B">
        <w:t xml:space="preserve"> </w:t>
      </w:r>
      <w:r w:rsidR="00CF5D65">
        <w:t>část svých kancelářských prostor</w:t>
      </w:r>
      <w:r w:rsidR="0050126B">
        <w:t xml:space="preserve"> jiným</w:t>
      </w:r>
      <w:r w:rsidR="002F6241">
        <w:t xml:space="preserve"> státním institucím</w:t>
      </w:r>
      <w:r w:rsidR="003F0D25">
        <w:t>,</w:t>
      </w:r>
      <w:r w:rsidR="0050126B">
        <w:t xml:space="preserve"> a to </w:t>
      </w:r>
      <w:r w:rsidR="00493321">
        <w:t>cca</w:t>
      </w:r>
      <w:r w:rsidR="002D5A85">
        <w:t> </w:t>
      </w:r>
      <w:r w:rsidR="0050126B">
        <w:t>0,4</w:t>
      </w:r>
      <w:r w:rsidR="002D5A85">
        <w:t> </w:t>
      </w:r>
      <w:r w:rsidR="0050126B">
        <w:t>tis.</w:t>
      </w:r>
      <w:r w:rsidR="002D5A85">
        <w:t> </w:t>
      </w:r>
      <w:proofErr w:type="spellStart"/>
      <w:r w:rsidR="0050126B">
        <w:t>m</w:t>
      </w:r>
      <w:r w:rsidR="0050126B" w:rsidRPr="002D5A85">
        <w:rPr>
          <w:vertAlign w:val="superscript"/>
        </w:rPr>
        <w:t>2</w:t>
      </w:r>
      <w:proofErr w:type="spellEnd"/>
      <w:r w:rsidR="002F6241">
        <w:t>.</w:t>
      </w:r>
    </w:p>
    <w:p w14:paraId="3F1CDBE5" w14:textId="77777777" w:rsidR="00973F75" w:rsidRDefault="005E1CBC" w:rsidP="00F33C75">
      <w:pPr>
        <w:pStyle w:val="Odstavecseseznamem"/>
        <w:numPr>
          <w:ilvl w:val="0"/>
          <w:numId w:val="23"/>
        </w:numPr>
        <w:ind w:left="284" w:hanging="284"/>
      </w:pPr>
      <w:r>
        <w:t>MŠMT bezúplatně užívalo administrativní prostory jedné ze svých podřízenýc</w:t>
      </w:r>
      <w:r w:rsidR="008B6D99">
        <w:t>h organizací. Koncem roku 2013 se jednalo</w:t>
      </w:r>
      <w:r>
        <w:t xml:space="preserve"> o</w:t>
      </w:r>
      <w:r w:rsidR="00286FF5">
        <w:t xml:space="preserve"> 1,3 tis. </w:t>
      </w:r>
      <w:proofErr w:type="spellStart"/>
      <w:r w:rsidR="00286FF5">
        <w:t>m</w:t>
      </w:r>
      <w:r w:rsidR="00286FF5" w:rsidRPr="00286FF5">
        <w:rPr>
          <w:vertAlign w:val="superscript"/>
        </w:rPr>
        <w:t>2</w:t>
      </w:r>
      <w:proofErr w:type="spellEnd"/>
      <w:r w:rsidR="00286FF5">
        <w:t xml:space="preserve">, z čehož bylo 0,8 tis. </w:t>
      </w:r>
      <w:proofErr w:type="spellStart"/>
      <w:r w:rsidR="00286FF5">
        <w:t>m</w:t>
      </w:r>
      <w:r w:rsidR="00286FF5" w:rsidRPr="00286FF5">
        <w:rPr>
          <w:vertAlign w:val="superscript"/>
        </w:rPr>
        <w:t>2</w:t>
      </w:r>
      <w:proofErr w:type="spellEnd"/>
      <w:r w:rsidR="00286FF5">
        <w:t xml:space="preserve"> ploch kanceláří.</w:t>
      </w:r>
      <w:r>
        <w:t xml:space="preserve"> </w:t>
      </w:r>
    </w:p>
    <w:p w14:paraId="040C06B0" w14:textId="77777777" w:rsidR="001A150A" w:rsidRDefault="001A150A" w:rsidP="00973F75">
      <w:pPr>
        <w:pStyle w:val="Odstavecseseznamem"/>
        <w:ind w:left="284"/>
      </w:pPr>
    </w:p>
    <w:p w14:paraId="670D8980" w14:textId="5CF53245" w:rsidR="005E1CBC" w:rsidRDefault="005E1CBC" w:rsidP="00973F75">
      <w:pPr>
        <w:pStyle w:val="Odstavecseseznamem"/>
        <w:ind w:left="284"/>
      </w:pPr>
      <w:r>
        <w:t xml:space="preserve">Od soukromého subjektu </w:t>
      </w:r>
      <w:r w:rsidR="008B6D99">
        <w:t xml:space="preserve">si </w:t>
      </w:r>
      <w:r w:rsidR="00807D0D">
        <w:t>na základě smlouvy uzavř</w:t>
      </w:r>
      <w:r w:rsidR="00FB3466">
        <w:t>ené na dobu určitou osmi let od </w:t>
      </w:r>
      <w:r w:rsidR="00807D0D">
        <w:t xml:space="preserve">konce roku 2008 </w:t>
      </w:r>
      <w:r>
        <w:t>najímalo</w:t>
      </w:r>
      <w:r w:rsidR="00286FF5">
        <w:t xml:space="preserve"> </w:t>
      </w:r>
      <w:r w:rsidR="00807D0D">
        <w:t xml:space="preserve">administrativní prostory </w:t>
      </w:r>
      <w:r w:rsidR="00286FF5">
        <w:t>v budově v ulici Křižíkova</w:t>
      </w:r>
      <w:r w:rsidR="002D5A85">
        <w:t xml:space="preserve"> na</w:t>
      </w:r>
      <w:r w:rsidR="00286FF5">
        <w:t xml:space="preserve"> Pra</w:t>
      </w:r>
      <w:r w:rsidR="002D5A85">
        <w:t>ze</w:t>
      </w:r>
      <w:r w:rsidR="009B3E1D">
        <w:t> </w:t>
      </w:r>
      <w:r w:rsidR="00286FF5">
        <w:t>8</w:t>
      </w:r>
      <w:r w:rsidR="00807D0D">
        <w:t>. Od konce roku 2011 se jednalo o </w:t>
      </w:r>
      <w:r w:rsidR="00286FF5">
        <w:t>administrativní prostory o výměře</w:t>
      </w:r>
      <w:r w:rsidR="008B6D99">
        <w:t xml:space="preserve"> cca</w:t>
      </w:r>
      <w:r w:rsidR="009B3E1D">
        <w:t> </w:t>
      </w:r>
      <w:r w:rsidR="00286FF5">
        <w:t>5</w:t>
      </w:r>
      <w:r w:rsidR="008B6D99">
        <w:t>,</w:t>
      </w:r>
      <w:r w:rsidR="00286FF5">
        <w:t>5</w:t>
      </w:r>
      <w:r w:rsidR="009B3E1D">
        <w:t> </w:t>
      </w:r>
      <w:r w:rsidR="008B6D99">
        <w:t>tis.</w:t>
      </w:r>
      <w:r w:rsidR="009B3E1D">
        <w:t> </w:t>
      </w:r>
      <w:proofErr w:type="spellStart"/>
      <w:r w:rsidR="00286FF5">
        <w:t>m</w:t>
      </w:r>
      <w:r w:rsidR="00286FF5" w:rsidRPr="00286FF5">
        <w:rPr>
          <w:vertAlign w:val="superscript"/>
        </w:rPr>
        <w:t>2</w:t>
      </w:r>
      <w:proofErr w:type="spellEnd"/>
      <w:r w:rsidR="00C56CEB">
        <w:t>, z nichž </w:t>
      </w:r>
      <w:r w:rsidR="00B229AF">
        <w:t>plocha kanceláří byla</w:t>
      </w:r>
      <w:r w:rsidR="006E0911">
        <w:t xml:space="preserve"> cca </w:t>
      </w:r>
      <w:r w:rsidR="00286FF5">
        <w:t>3,1</w:t>
      </w:r>
      <w:r w:rsidR="006E0911">
        <w:t> tis. </w:t>
      </w:r>
      <w:proofErr w:type="spellStart"/>
      <w:r w:rsidR="00286FF5">
        <w:t>m</w:t>
      </w:r>
      <w:r w:rsidR="00286FF5" w:rsidRPr="00286FF5">
        <w:rPr>
          <w:vertAlign w:val="superscript"/>
        </w:rPr>
        <w:t>2</w:t>
      </w:r>
      <w:proofErr w:type="spellEnd"/>
      <w:r w:rsidR="00807D0D">
        <w:t xml:space="preserve">. Nájemné </w:t>
      </w:r>
      <w:r w:rsidR="00CC1F58">
        <w:t>za tyto</w:t>
      </w:r>
      <w:r w:rsidR="00CC6ED8">
        <w:t xml:space="preserve"> administrativní</w:t>
      </w:r>
      <w:r w:rsidR="00CC1F58">
        <w:t xml:space="preserve"> prostory </w:t>
      </w:r>
      <w:r w:rsidR="00807D0D">
        <w:t>bylo ve smlouvě sjednáno částečně v eurech a částečně v</w:t>
      </w:r>
      <w:r w:rsidR="002D5A85">
        <w:t xml:space="preserve"> českých </w:t>
      </w:r>
      <w:r w:rsidR="00807D0D">
        <w:t>korunách</w:t>
      </w:r>
      <w:r w:rsidR="00CC1F58">
        <w:t xml:space="preserve"> a skládá se ze dvou částí,</w:t>
      </w:r>
      <w:r w:rsidR="00FB3466">
        <w:t xml:space="preserve"> tzv. základní</w:t>
      </w:r>
      <w:r w:rsidR="00CC1F58">
        <w:t>ho</w:t>
      </w:r>
      <w:r w:rsidR="00FB3466">
        <w:t xml:space="preserve"> nájemné</w:t>
      </w:r>
      <w:r w:rsidR="00CC1F58">
        <w:t>ho</w:t>
      </w:r>
      <w:r w:rsidR="00FB3466">
        <w:t xml:space="preserve"> a </w:t>
      </w:r>
      <w:r w:rsidR="00807D0D">
        <w:t>zvýšené</w:t>
      </w:r>
      <w:r w:rsidR="00CC1F58">
        <w:t>ho</w:t>
      </w:r>
      <w:r w:rsidR="00807D0D">
        <w:t xml:space="preserve"> nájemné</w:t>
      </w:r>
      <w:r w:rsidR="00CC1F58">
        <w:t>ho</w:t>
      </w:r>
      <w:r w:rsidR="00807D0D">
        <w:t xml:space="preserve"> za</w:t>
      </w:r>
      <w:r w:rsidR="002D5A85">
        <w:t xml:space="preserve"> </w:t>
      </w:r>
      <w:r w:rsidR="00807D0D">
        <w:t>nezbytné dispoziční úpravy vzhledem k tomu, že jednotlivá patra jsou stavebně situována jako velkoplošné haly.</w:t>
      </w:r>
      <w:r w:rsidR="00E3207D">
        <w:t xml:space="preserve"> </w:t>
      </w:r>
      <w:r w:rsidR="00677DA7">
        <w:t xml:space="preserve">Toto nájemné je hrazeno po celou dobu trvání nájemní smlouvy. </w:t>
      </w:r>
      <w:r w:rsidR="003B25F5">
        <w:t xml:space="preserve">Jednotkové nájemné sjednané </w:t>
      </w:r>
      <w:r w:rsidR="00927DA0">
        <w:t>smlouvou ze dne 1. 10. 2011 se při</w:t>
      </w:r>
      <w:r w:rsidR="002D5A85">
        <w:t xml:space="preserve"> </w:t>
      </w:r>
      <w:r w:rsidR="00E63977">
        <w:t xml:space="preserve">použití průměrného kurzu </w:t>
      </w:r>
      <w:r w:rsidR="002D5A85">
        <w:t>(Kč/</w:t>
      </w:r>
      <w:r w:rsidR="00E12186">
        <w:t>€</w:t>
      </w:r>
      <w:r w:rsidR="002D5A85">
        <w:t xml:space="preserve">) </w:t>
      </w:r>
      <w:r w:rsidR="00E63977">
        <w:t>za</w:t>
      </w:r>
      <w:r w:rsidR="002D5A85">
        <w:t xml:space="preserve"> </w:t>
      </w:r>
      <w:r w:rsidR="003B25F5">
        <w:t xml:space="preserve">poslední čtvrtletí roku 2011 rovnalo </w:t>
      </w:r>
      <w:r w:rsidR="00493321">
        <w:t>6 587 </w:t>
      </w:r>
      <w:r w:rsidR="00927DA0">
        <w:t>Kč/</w:t>
      </w:r>
      <w:proofErr w:type="spellStart"/>
      <w:r w:rsidR="00927DA0">
        <w:t>m</w:t>
      </w:r>
      <w:r w:rsidR="00927DA0" w:rsidRPr="005E1CBC">
        <w:rPr>
          <w:vertAlign w:val="superscript"/>
        </w:rPr>
        <w:t>2</w:t>
      </w:r>
      <w:proofErr w:type="spellEnd"/>
      <w:r w:rsidR="00927DA0">
        <w:t>/rok.</w:t>
      </w:r>
    </w:p>
    <w:p w14:paraId="5C6950C6" w14:textId="77777777" w:rsidR="001A150A" w:rsidRDefault="001A150A" w:rsidP="00973F75">
      <w:pPr>
        <w:pStyle w:val="Odstavecseseznamem"/>
        <w:ind w:left="284"/>
      </w:pPr>
    </w:p>
    <w:p w14:paraId="6162F43C" w14:textId="4596562F" w:rsidR="00E63977" w:rsidRDefault="00E63977" w:rsidP="00973F75">
      <w:pPr>
        <w:pStyle w:val="Odstavecseseznamem"/>
        <w:ind w:left="284"/>
      </w:pPr>
      <w:r>
        <w:t>Současná cena nájemného je mj. ovlivněna skutečností, že nájemné je hrazeno částečně v eurech. Vlivem kurzových změn se jednotkové nájemné sjednané smlouvou z roku 2011 při použití průměrného kurzu za</w:t>
      </w:r>
      <w:r w:rsidR="006D3AED">
        <w:t xml:space="preserve"> </w:t>
      </w:r>
      <w:r>
        <w:t>první čtvrtletí roku 2014 rovná 7 065 Kč/</w:t>
      </w:r>
      <w:proofErr w:type="spellStart"/>
      <w:r>
        <w:t>m</w:t>
      </w:r>
      <w:r w:rsidRPr="005E1CBC">
        <w:rPr>
          <w:vertAlign w:val="superscript"/>
        </w:rPr>
        <w:t>2</w:t>
      </w:r>
      <w:proofErr w:type="spellEnd"/>
      <w:r>
        <w:t>/rok.</w:t>
      </w:r>
    </w:p>
    <w:p w14:paraId="4F4C96AB" w14:textId="77777777" w:rsidR="001A150A" w:rsidRDefault="001A150A" w:rsidP="00973F75">
      <w:pPr>
        <w:pStyle w:val="Odstavecseseznamem"/>
        <w:ind w:left="284"/>
      </w:pPr>
    </w:p>
    <w:p w14:paraId="599652D8" w14:textId="71CB1F2B" w:rsidR="0095484E" w:rsidRDefault="00493321" w:rsidP="007D70E2">
      <w:pPr>
        <w:pStyle w:val="Odstavecseseznamem"/>
        <w:ind w:left="284"/>
      </w:pPr>
      <w:r>
        <w:t xml:space="preserve">MŠMT </w:t>
      </w:r>
      <w:r w:rsidR="005C2F1F">
        <w:t>přenechávalo</w:t>
      </w:r>
      <w:r w:rsidR="00CF5D65">
        <w:t xml:space="preserve"> v kontrolovaném období </w:t>
      </w:r>
      <w:r w:rsidR="005C2F1F">
        <w:t xml:space="preserve">do užívání </w:t>
      </w:r>
      <w:r w:rsidR="00CF5D65">
        <w:t>kancelářské prostory v několika svých objektech. Jednalo se o úplatná i bezúplatná užívání. V případech pronájmů se sjednané nájemné výrazně lišilo. V objektu v ulici Karmelitská</w:t>
      </w:r>
      <w:r w:rsidR="00E12186">
        <w:t xml:space="preserve"> na</w:t>
      </w:r>
      <w:r w:rsidR="00CF5D65">
        <w:t xml:space="preserve"> Pra</w:t>
      </w:r>
      <w:r w:rsidR="00E12186">
        <w:t>ze</w:t>
      </w:r>
      <w:r w:rsidR="00CF5D65">
        <w:t xml:space="preserve"> 1 bylo v jednom případě přenecháváno 57 </w:t>
      </w:r>
      <w:proofErr w:type="spellStart"/>
      <w:r w:rsidR="00CF5D65">
        <w:t>m</w:t>
      </w:r>
      <w:r w:rsidR="00CF5D65" w:rsidRPr="005E1CBC">
        <w:rPr>
          <w:vertAlign w:val="superscript"/>
        </w:rPr>
        <w:t>2</w:t>
      </w:r>
      <w:proofErr w:type="spellEnd"/>
      <w:r w:rsidR="00CF5D65">
        <w:t xml:space="preserve"> neby</w:t>
      </w:r>
      <w:r w:rsidR="00CC6ED8">
        <w:t xml:space="preserve">tových prostor </w:t>
      </w:r>
      <w:r w:rsidR="009C6DF4" w:rsidRPr="00C32810">
        <w:t xml:space="preserve">po dobu několika let </w:t>
      </w:r>
      <w:r w:rsidR="00CC6ED8" w:rsidRPr="00C32810">
        <w:t>za cenu cca 276</w:t>
      </w:r>
      <w:r w:rsidR="00094653">
        <w:t> </w:t>
      </w:r>
      <w:r w:rsidR="00CF5D65" w:rsidRPr="00C32810">
        <w:t>Kč/</w:t>
      </w:r>
      <w:proofErr w:type="spellStart"/>
      <w:r w:rsidR="00CF5D65" w:rsidRPr="00C32810">
        <w:t>m</w:t>
      </w:r>
      <w:r w:rsidR="00CF5D65" w:rsidRPr="00C32810">
        <w:rPr>
          <w:vertAlign w:val="superscript"/>
        </w:rPr>
        <w:t>2</w:t>
      </w:r>
      <w:proofErr w:type="spellEnd"/>
      <w:r w:rsidR="003624B7" w:rsidRPr="00C32810">
        <w:t>/rok, ve </w:t>
      </w:r>
      <w:r w:rsidR="001B1301" w:rsidRPr="00C32810">
        <w:t xml:space="preserve">stejných prostorách </w:t>
      </w:r>
      <w:r w:rsidR="00CF5D65" w:rsidRPr="00C32810">
        <w:t>byl</w:t>
      </w:r>
      <w:r w:rsidR="001B1301" w:rsidRPr="00C32810">
        <w:t xml:space="preserve">o </w:t>
      </w:r>
      <w:r w:rsidR="009C6DF4" w:rsidRPr="00C32810">
        <w:t>následně</w:t>
      </w:r>
      <w:r w:rsidR="009C6DF4">
        <w:t xml:space="preserve"> </w:t>
      </w:r>
      <w:r w:rsidR="001B1301">
        <w:t xml:space="preserve">pronajato 55,4 </w:t>
      </w:r>
      <w:proofErr w:type="spellStart"/>
      <w:r w:rsidR="001B1301">
        <w:t>m</w:t>
      </w:r>
      <w:r w:rsidR="001B1301" w:rsidRPr="008B6D99">
        <w:rPr>
          <w:vertAlign w:val="superscript"/>
        </w:rPr>
        <w:t>2</w:t>
      </w:r>
      <w:proofErr w:type="spellEnd"/>
      <w:r w:rsidR="00CF5D65">
        <w:t xml:space="preserve"> za cenu 2</w:t>
      </w:r>
      <w:r w:rsidR="00094653">
        <w:t> </w:t>
      </w:r>
      <w:r w:rsidR="00CF5D65">
        <w:t>640</w:t>
      </w:r>
      <w:r w:rsidR="00094653">
        <w:t> </w:t>
      </w:r>
      <w:r w:rsidR="00CF5D65">
        <w:t>Kč/</w:t>
      </w:r>
      <w:proofErr w:type="spellStart"/>
      <w:r w:rsidR="00CF5D65">
        <w:t>m</w:t>
      </w:r>
      <w:r w:rsidR="00CF5D65" w:rsidRPr="005E1CBC">
        <w:rPr>
          <w:vertAlign w:val="superscript"/>
        </w:rPr>
        <w:t>2</w:t>
      </w:r>
      <w:proofErr w:type="spellEnd"/>
      <w:r w:rsidR="001B1301">
        <w:t>/rok, přičemž</w:t>
      </w:r>
      <w:r w:rsidR="00E12186">
        <w:t xml:space="preserve"> </w:t>
      </w:r>
      <w:r w:rsidR="00CF5D65">
        <w:t>tato cena byla stanovena na základě znaleckého posu</w:t>
      </w:r>
      <w:r w:rsidR="001B1301">
        <w:t>dku. V objektu v ulici U </w:t>
      </w:r>
      <w:r w:rsidR="00CF5D65">
        <w:t>Lužického semináře</w:t>
      </w:r>
      <w:r w:rsidR="00E12186">
        <w:t xml:space="preserve"> na</w:t>
      </w:r>
      <w:r w:rsidR="00CF5D65">
        <w:t xml:space="preserve"> Pra</w:t>
      </w:r>
      <w:r w:rsidR="00E12186">
        <w:t>ze</w:t>
      </w:r>
      <w:r w:rsidR="00CF5D65">
        <w:t xml:space="preserve"> 1 pak přenechávalo </w:t>
      </w:r>
      <w:r w:rsidR="00E12186">
        <w:t xml:space="preserve">MŠMT </w:t>
      </w:r>
      <w:r w:rsidR="00CF5D65">
        <w:t>o</w:t>
      </w:r>
      <w:r w:rsidR="001B1301">
        <w:t>d roku 2012 nebytové prostory o </w:t>
      </w:r>
      <w:r w:rsidR="00CF5D65">
        <w:t xml:space="preserve">výměře 267,5 </w:t>
      </w:r>
      <w:proofErr w:type="spellStart"/>
      <w:r w:rsidR="00CF5D65">
        <w:t>m</w:t>
      </w:r>
      <w:r w:rsidR="00CF5D65" w:rsidRPr="005E1CBC">
        <w:rPr>
          <w:vertAlign w:val="superscript"/>
        </w:rPr>
        <w:t>2</w:t>
      </w:r>
      <w:proofErr w:type="spellEnd"/>
      <w:r w:rsidR="00F50DF2">
        <w:t xml:space="preserve"> za nájemné 5 400 </w:t>
      </w:r>
      <w:r w:rsidR="00CF5D65">
        <w:t>Kč/</w:t>
      </w:r>
      <w:proofErr w:type="spellStart"/>
      <w:r w:rsidR="00CF5D65">
        <w:t>m</w:t>
      </w:r>
      <w:r w:rsidR="00CF5D65" w:rsidRPr="005E1CBC">
        <w:rPr>
          <w:vertAlign w:val="superscript"/>
        </w:rPr>
        <w:t>2</w:t>
      </w:r>
      <w:proofErr w:type="spellEnd"/>
      <w:r w:rsidR="00CF5D65">
        <w:t xml:space="preserve">/rok, přičemž byla ujednána možnost zvyšování </w:t>
      </w:r>
      <w:r w:rsidR="003B25F5">
        <w:t>nájemného na</w:t>
      </w:r>
      <w:r w:rsidR="00E12186">
        <w:t xml:space="preserve"> </w:t>
      </w:r>
      <w:r w:rsidR="00CF5D65">
        <w:t>základě inflace.</w:t>
      </w:r>
      <w:r w:rsidR="003D5D53">
        <w:t xml:space="preserve"> Bezúplatně byly prostory přenec</w:t>
      </w:r>
      <w:r w:rsidR="007C0711">
        <w:t>hávány příspěvkové organizaci a </w:t>
      </w:r>
      <w:r w:rsidR="003D5D53">
        <w:t>občanskému sdružení.</w:t>
      </w:r>
    </w:p>
    <w:p w14:paraId="483CF6B0" w14:textId="77777777" w:rsidR="001A150A" w:rsidRDefault="001A150A" w:rsidP="007D70E2">
      <w:pPr>
        <w:pStyle w:val="Odstavecseseznamem"/>
        <w:ind w:left="284"/>
      </w:pPr>
    </w:p>
    <w:p w14:paraId="5E4FD4F4" w14:textId="6E244787" w:rsidR="00CF5D65" w:rsidRDefault="00CF5D65" w:rsidP="00F33C75">
      <w:pPr>
        <w:pStyle w:val="Odstavecseseznamem"/>
        <w:ind w:left="284"/>
      </w:pPr>
      <w:r>
        <w:t>MŠMT pronajímalo soukromému subjektu v atraktivní lokalitě Prah</w:t>
      </w:r>
      <w:r w:rsidR="00E12186">
        <w:t>y</w:t>
      </w:r>
      <w:r>
        <w:t xml:space="preserve"> 1, ulice Karmelitská</w:t>
      </w:r>
      <w:r w:rsidR="00E12186">
        <w:t>,</w:t>
      </w:r>
      <w:r>
        <w:t xml:space="preserve"> nebytové prostory o celkové výměře 57 </w:t>
      </w:r>
      <w:proofErr w:type="spellStart"/>
      <w:r>
        <w:t>m</w:t>
      </w:r>
      <w:r w:rsidRPr="001B1301">
        <w:rPr>
          <w:vertAlign w:val="superscript"/>
        </w:rPr>
        <w:t>2</w:t>
      </w:r>
      <w:proofErr w:type="spellEnd"/>
      <w:r>
        <w:t xml:space="preserve"> za měsíční nájemné ve výši pouze 1 312</w:t>
      </w:r>
      <w:r w:rsidR="00BB0D07">
        <w:t> </w:t>
      </w:r>
      <w:r>
        <w:t xml:space="preserve">Kč </w:t>
      </w:r>
      <w:r w:rsidRPr="00F33C75">
        <w:t>(tj. cca 2</w:t>
      </w:r>
      <w:r w:rsidR="000E6A1E">
        <w:t>76</w:t>
      </w:r>
      <w:r w:rsidRPr="00F33C75">
        <w:t xml:space="preserve"> Kč/</w:t>
      </w:r>
      <w:proofErr w:type="spellStart"/>
      <w:r w:rsidRPr="00F33C75">
        <w:t>m</w:t>
      </w:r>
      <w:r w:rsidRPr="001A3A10">
        <w:rPr>
          <w:vertAlign w:val="superscript"/>
        </w:rPr>
        <w:t>2</w:t>
      </w:r>
      <w:proofErr w:type="spellEnd"/>
      <w:r w:rsidR="0093673C">
        <w:t>/rok</w:t>
      </w:r>
      <w:r w:rsidRPr="00F33C75">
        <w:t>)</w:t>
      </w:r>
      <w:r w:rsidR="001B1301">
        <w:t>. Tytéž</w:t>
      </w:r>
      <w:r>
        <w:t xml:space="preserve"> prostory později pronajímalo za</w:t>
      </w:r>
      <w:r w:rsidR="00E12186">
        <w:t xml:space="preserve"> </w:t>
      </w:r>
      <w:r>
        <w:t xml:space="preserve">cenu </w:t>
      </w:r>
      <w:r w:rsidRPr="00F33C75">
        <w:t>stanoven</w:t>
      </w:r>
      <w:r w:rsidR="00200DF4" w:rsidRPr="00F33C75">
        <w:t>ou</w:t>
      </w:r>
      <w:r w:rsidRPr="00F33C75">
        <w:t xml:space="preserve"> </w:t>
      </w:r>
      <w:r w:rsidR="001B1301">
        <w:t xml:space="preserve">již </w:t>
      </w:r>
      <w:r w:rsidR="007D70E2">
        <w:t>na</w:t>
      </w:r>
      <w:r w:rsidR="00E12186">
        <w:t xml:space="preserve"> </w:t>
      </w:r>
      <w:r w:rsidRPr="00F33C75">
        <w:t>základě znaleckého posudku</w:t>
      </w:r>
      <w:r w:rsidR="001B1301">
        <w:t>. Tato cena</w:t>
      </w:r>
      <w:r w:rsidR="00200DF4" w:rsidRPr="00F33C75">
        <w:t xml:space="preserve"> byla téměř desetinásobná</w:t>
      </w:r>
      <w:r w:rsidRPr="00F33C75">
        <w:t>. MŠMT t</w:t>
      </w:r>
      <w:r w:rsidR="004C112F">
        <w:t>edy</w:t>
      </w:r>
      <w:r w:rsidRPr="00F33C75">
        <w:t xml:space="preserve"> v prvním případě přenechávalo prostory </w:t>
      </w:r>
      <w:r w:rsidR="001B1301">
        <w:t>za částku, která</w:t>
      </w:r>
      <w:r w:rsidR="00E12186">
        <w:t xml:space="preserve"> </w:t>
      </w:r>
      <w:r w:rsidR="006B70B3" w:rsidRPr="00F33C75">
        <w:t>mohla být až o</w:t>
      </w:r>
      <w:r w:rsidR="00E12186">
        <w:t xml:space="preserve"> </w:t>
      </w:r>
      <w:r w:rsidRPr="00F33C75">
        <w:t>více než 130</w:t>
      </w:r>
      <w:r w:rsidR="00E12186">
        <w:t> </w:t>
      </w:r>
      <w:r w:rsidRPr="00F33C75">
        <w:t>tis.</w:t>
      </w:r>
      <w:r w:rsidR="00E12186">
        <w:t> </w:t>
      </w:r>
      <w:r w:rsidRPr="00F33C75">
        <w:t xml:space="preserve">Kč ročně </w:t>
      </w:r>
      <w:r w:rsidRPr="00F33C75">
        <w:lastRenderedPageBreak/>
        <w:t xml:space="preserve">vyšší. </w:t>
      </w:r>
      <w:r w:rsidRPr="00105984">
        <w:t>MŠMT</w:t>
      </w:r>
      <w:r w:rsidR="004E6B54">
        <w:t xml:space="preserve"> tak neplnilo povinnosti vyplývající z</w:t>
      </w:r>
      <w:r w:rsidRPr="00105984">
        <w:t> ust</w:t>
      </w:r>
      <w:r w:rsidR="00A14DD3">
        <w:t>anovení § 14 odst. 1 a odst. 4 </w:t>
      </w:r>
      <w:r w:rsidRPr="00105984">
        <w:t>zákona č. 219/2000 Sb.</w:t>
      </w:r>
    </w:p>
    <w:p w14:paraId="65D08C3C" w14:textId="77777777" w:rsidR="001A150A" w:rsidRDefault="001A150A" w:rsidP="00F33C75">
      <w:pPr>
        <w:pStyle w:val="Odstavecseseznamem"/>
        <w:ind w:left="284"/>
      </w:pPr>
    </w:p>
    <w:p w14:paraId="0733454F" w14:textId="235216E5" w:rsidR="00CF5D65" w:rsidRPr="00855503" w:rsidRDefault="00200DF4" w:rsidP="00F33C75">
      <w:pPr>
        <w:pStyle w:val="Odstavecseseznamem"/>
        <w:ind w:left="284"/>
      </w:pPr>
      <w:r>
        <w:t>K</w:t>
      </w:r>
      <w:r w:rsidR="006B70B3">
        <w:t>ontrolou smluvní dokumentace</w:t>
      </w:r>
      <w:r w:rsidR="00CF5D65">
        <w:t xml:space="preserve"> </w:t>
      </w:r>
      <w:r w:rsidR="00BE2715">
        <w:t xml:space="preserve">bylo </w:t>
      </w:r>
      <w:r w:rsidR="00CF5D65">
        <w:t xml:space="preserve">zjištěno, </w:t>
      </w:r>
      <w:r w:rsidR="00CF5D65" w:rsidRPr="00855503">
        <w:t xml:space="preserve">že </w:t>
      </w:r>
      <w:r w:rsidR="00CF5D65">
        <w:t xml:space="preserve">MŠMT </w:t>
      </w:r>
      <w:r w:rsidR="00CF5D65" w:rsidRPr="00855503">
        <w:t xml:space="preserve">v kontrolovaném období přenechalo soukromému subjektu do užívání nebytové prostory o výměře 55,4 </w:t>
      </w:r>
      <w:proofErr w:type="spellStart"/>
      <w:r w:rsidR="00CF5D65" w:rsidRPr="00855503">
        <w:t>m</w:t>
      </w:r>
      <w:r w:rsidR="00CF5D65" w:rsidRPr="001B1301">
        <w:rPr>
          <w:vertAlign w:val="superscript"/>
        </w:rPr>
        <w:t>2</w:t>
      </w:r>
      <w:proofErr w:type="spellEnd"/>
      <w:r w:rsidR="006B70B3">
        <w:t>, přičemž</w:t>
      </w:r>
      <w:r w:rsidR="00BB0D07">
        <w:t xml:space="preserve"> </w:t>
      </w:r>
      <w:r w:rsidR="00CF5D65">
        <w:t>po pr</w:t>
      </w:r>
      <w:r w:rsidR="00CF5D65" w:rsidRPr="00855503">
        <w:t xml:space="preserve">vní čtyři měsíce trvání užívacího vztahu </w:t>
      </w:r>
      <w:r w:rsidR="006B70B3">
        <w:t xml:space="preserve">nebyla uzavřena </w:t>
      </w:r>
      <w:r w:rsidR="006F3DE5">
        <w:t>písemná</w:t>
      </w:r>
      <w:r w:rsidR="006B70B3">
        <w:t xml:space="preserve"> smlouva</w:t>
      </w:r>
      <w:r>
        <w:t>.</w:t>
      </w:r>
      <w:r w:rsidR="00CF5D65" w:rsidRPr="00855503">
        <w:t xml:space="preserve"> </w:t>
      </w:r>
      <w:r w:rsidR="00FF5F69">
        <w:t>N</w:t>
      </w:r>
      <w:r w:rsidR="00CF5D65" w:rsidRPr="00855503">
        <w:t xml:space="preserve">epostupovalo </w:t>
      </w:r>
      <w:r w:rsidR="00FF5F69">
        <w:t xml:space="preserve">tedy </w:t>
      </w:r>
      <w:r w:rsidR="00CF5D65" w:rsidRPr="00855503">
        <w:t>v souladu s ustanoveními § 14 odst. 4 a § 17 zákona č.</w:t>
      </w:r>
      <w:r w:rsidR="00404F19">
        <w:t> </w:t>
      </w:r>
      <w:r w:rsidR="00CF5D65" w:rsidRPr="00855503">
        <w:t>219/</w:t>
      </w:r>
      <w:r w:rsidR="001B1301">
        <w:t>2000</w:t>
      </w:r>
      <w:r w:rsidR="00135FF9">
        <w:t> </w:t>
      </w:r>
      <w:r w:rsidR="001B1301">
        <w:t>Sb. a </w:t>
      </w:r>
      <w:r w:rsidR="00FF5F69">
        <w:t xml:space="preserve">současně nepostupovalo </w:t>
      </w:r>
      <w:r w:rsidR="003216F9">
        <w:t>dle § 43 zákona č. </w:t>
      </w:r>
      <w:r w:rsidR="00CF5D65" w:rsidRPr="00855503">
        <w:t>40/1964 Sb.</w:t>
      </w:r>
      <w:r w:rsidR="00CF5D65" w:rsidRPr="001B1301">
        <w:rPr>
          <w:vertAlign w:val="superscript"/>
        </w:rPr>
        <w:footnoteReference w:id="5"/>
      </w:r>
      <w:r w:rsidR="00FF5F69">
        <w:t>, který požaduje</w:t>
      </w:r>
      <w:r w:rsidR="00CF5D65" w:rsidRPr="00855503">
        <w:t>, aby bylo úpravou smluvního vztahu odstraněno vše, co by mohlo vést ke</w:t>
      </w:r>
      <w:r w:rsidR="00FF5F69">
        <w:t xml:space="preserve"> </w:t>
      </w:r>
      <w:r w:rsidR="00CF5D65" w:rsidRPr="00855503">
        <w:t xml:space="preserve">vzniku </w:t>
      </w:r>
      <w:r w:rsidR="006F3DE5">
        <w:t>rozporů</w:t>
      </w:r>
      <w:r w:rsidR="00CF5D65" w:rsidRPr="00855503">
        <w:t>.</w:t>
      </w:r>
      <w:r w:rsidR="00604FBB">
        <w:t xml:space="preserve"> Po</w:t>
      </w:r>
      <w:r w:rsidR="00FF5F69">
        <w:t xml:space="preserve"> </w:t>
      </w:r>
      <w:r w:rsidR="00CF5D65">
        <w:t xml:space="preserve">uzavření smlouvy byly nároky </w:t>
      </w:r>
      <w:r w:rsidR="00A66680">
        <w:t xml:space="preserve">MŠMT </w:t>
      </w:r>
      <w:r w:rsidR="00CF5D65">
        <w:t xml:space="preserve">vzniklé </w:t>
      </w:r>
      <w:r w:rsidR="00A66680" w:rsidRPr="00B664AE">
        <w:t>„</w:t>
      </w:r>
      <w:r w:rsidR="00CF5D65" w:rsidRPr="00B664AE">
        <w:t>z titulu bezdůvodného obohacení</w:t>
      </w:r>
      <w:r w:rsidR="00A66680" w:rsidRPr="00B664AE">
        <w:t>“</w:t>
      </w:r>
      <w:r w:rsidR="00CF5D65">
        <w:t xml:space="preserve"> v době neošetřené smlouvou</w:t>
      </w:r>
      <w:r w:rsidR="00286FF5">
        <w:t xml:space="preserve"> dodatečně</w:t>
      </w:r>
      <w:r w:rsidR="00CF5D65">
        <w:t xml:space="preserve"> uhrazeny.</w:t>
      </w:r>
    </w:p>
    <w:p w14:paraId="3BB65F08" w14:textId="6B17B2CD" w:rsidR="00CF5D65" w:rsidRDefault="00CF5D65" w:rsidP="00F33C75">
      <w:pPr>
        <w:ind w:left="284" w:hanging="284"/>
      </w:pPr>
    </w:p>
    <w:p w14:paraId="36763A18" w14:textId="7F510C50" w:rsidR="003847AE" w:rsidRDefault="00CF5D65" w:rsidP="00F33C75">
      <w:pPr>
        <w:pStyle w:val="Odstavecseseznamem"/>
        <w:numPr>
          <w:ilvl w:val="0"/>
          <w:numId w:val="23"/>
        </w:numPr>
        <w:ind w:left="284" w:hanging="284"/>
      </w:pPr>
      <w:r>
        <w:t>MV v kontrolovaném období</w:t>
      </w:r>
      <w:r w:rsidR="009612DB">
        <w:t xml:space="preserve"> bezúplatně</w:t>
      </w:r>
      <w:r w:rsidR="00264C3E">
        <w:t xml:space="preserve"> užívalo prostory</w:t>
      </w:r>
      <w:r w:rsidR="00BE2715">
        <w:t xml:space="preserve"> </w:t>
      </w:r>
      <w:r w:rsidR="009612DB">
        <w:t>své</w:t>
      </w:r>
      <w:r w:rsidR="00BE2715">
        <w:t xml:space="preserve"> příspěvkové organizace</w:t>
      </w:r>
      <w:r w:rsidR="009612DB">
        <w:t>. V</w:t>
      </w:r>
      <w:r w:rsidR="00BE2715">
        <w:t> pěti objektech</w:t>
      </w:r>
      <w:r w:rsidR="009612DB">
        <w:t xml:space="preserve"> zde užívá</w:t>
      </w:r>
      <w:r w:rsidR="00BE2715">
        <w:t xml:space="preserve"> </w:t>
      </w:r>
      <w:r w:rsidR="009612DB">
        <w:t>celkovou</w:t>
      </w:r>
      <w:r w:rsidR="00264C3E">
        <w:t xml:space="preserve"> plochu </w:t>
      </w:r>
      <w:r w:rsidR="00BE2715">
        <w:t xml:space="preserve">zhruba </w:t>
      </w:r>
      <w:r w:rsidR="00264C3E">
        <w:t xml:space="preserve">79 tis. </w:t>
      </w:r>
      <w:proofErr w:type="spellStart"/>
      <w:r w:rsidR="00264C3E">
        <w:t>m</w:t>
      </w:r>
      <w:r w:rsidR="00264C3E" w:rsidRPr="00BE2715">
        <w:rPr>
          <w:vertAlign w:val="superscript"/>
        </w:rPr>
        <w:t>2</w:t>
      </w:r>
      <w:proofErr w:type="spellEnd"/>
      <w:r w:rsidR="00264C3E">
        <w:t xml:space="preserve">, z toho </w:t>
      </w:r>
      <w:r w:rsidR="00BE2715">
        <w:t xml:space="preserve">19,2 tis. </w:t>
      </w:r>
      <w:proofErr w:type="spellStart"/>
      <w:r w:rsidR="00BE2715">
        <w:t>m</w:t>
      </w:r>
      <w:r w:rsidR="00BE2715" w:rsidRPr="00BE2715">
        <w:rPr>
          <w:vertAlign w:val="superscript"/>
        </w:rPr>
        <w:t>2</w:t>
      </w:r>
      <w:proofErr w:type="spellEnd"/>
      <w:r w:rsidR="00BE2715">
        <w:t xml:space="preserve"> </w:t>
      </w:r>
      <w:r w:rsidR="00AE54B1">
        <w:t xml:space="preserve">tvoří </w:t>
      </w:r>
      <w:r w:rsidR="00BE2715">
        <w:t>ploch</w:t>
      </w:r>
      <w:r w:rsidR="00AE54B1">
        <w:t>y</w:t>
      </w:r>
      <w:r w:rsidR="00BE2715">
        <w:t xml:space="preserve"> kanceláří. </w:t>
      </w:r>
      <w:r w:rsidR="0029257B">
        <w:t xml:space="preserve">Od dalších státních organizací </w:t>
      </w:r>
      <w:r w:rsidR="00554E12">
        <w:t xml:space="preserve">v roce 2013 </w:t>
      </w:r>
      <w:r w:rsidR="0029257B">
        <w:t>bezúplatně už</w:t>
      </w:r>
      <w:r w:rsidR="005D2345">
        <w:t xml:space="preserve">ívalo </w:t>
      </w:r>
      <w:r w:rsidR="00554E12">
        <w:t>prostory o </w:t>
      </w:r>
      <w:r w:rsidR="005D2345">
        <w:t>výměře cca 3,2 </w:t>
      </w:r>
      <w:r w:rsidR="0029257B">
        <w:t xml:space="preserve">tis. </w:t>
      </w:r>
      <w:proofErr w:type="spellStart"/>
      <w:r w:rsidR="0029257B">
        <w:t>m</w:t>
      </w:r>
      <w:r w:rsidR="0029257B" w:rsidRPr="0029257B">
        <w:rPr>
          <w:vertAlign w:val="superscript"/>
        </w:rPr>
        <w:t>2</w:t>
      </w:r>
      <w:proofErr w:type="spellEnd"/>
      <w:r w:rsidR="003847AE">
        <w:t>.</w:t>
      </w:r>
    </w:p>
    <w:p w14:paraId="344FBA57" w14:textId="77777777" w:rsidR="001A150A" w:rsidRDefault="001A150A" w:rsidP="003847AE">
      <w:pPr>
        <w:pStyle w:val="Odstavecseseznamem"/>
        <w:ind w:left="284"/>
      </w:pPr>
    </w:p>
    <w:p w14:paraId="72AEC496" w14:textId="0EE8379E" w:rsidR="00CF5D65" w:rsidRPr="008D09D1" w:rsidRDefault="00CF5D65" w:rsidP="003847AE">
      <w:pPr>
        <w:pStyle w:val="Odstavecseseznamem"/>
        <w:ind w:left="284"/>
      </w:pPr>
      <w:r>
        <w:t xml:space="preserve">Nájemné </w:t>
      </w:r>
      <w:r w:rsidR="003847AE">
        <w:t xml:space="preserve">pak </w:t>
      </w:r>
      <w:r>
        <w:t xml:space="preserve">hradilo </w:t>
      </w:r>
      <w:r w:rsidR="00056A3F">
        <w:t>státnímu po</w:t>
      </w:r>
      <w:r w:rsidR="009612DB">
        <w:t xml:space="preserve">dniku, </w:t>
      </w:r>
      <w:r w:rsidR="00056A3F">
        <w:t>územně samosprávnému celku</w:t>
      </w:r>
      <w:r w:rsidR="00613AA7">
        <w:t xml:space="preserve"> a příspěvkové organizaci</w:t>
      </w:r>
      <w:r>
        <w:t>. Státnímu pod</w:t>
      </w:r>
      <w:r w:rsidR="001B1301">
        <w:t>niku za prostory o </w:t>
      </w:r>
      <w:r w:rsidR="003216F9">
        <w:t>výměře 116,8 </w:t>
      </w:r>
      <w:proofErr w:type="spellStart"/>
      <w:r>
        <w:t>m</w:t>
      </w:r>
      <w:r w:rsidRPr="001B1301">
        <w:rPr>
          <w:vertAlign w:val="superscript"/>
        </w:rPr>
        <w:t>2</w:t>
      </w:r>
      <w:proofErr w:type="spellEnd"/>
      <w:r>
        <w:t xml:space="preserve"> v areálu civilního letiště v Praze 6 Ruzyn</w:t>
      </w:r>
      <w:r w:rsidR="00303CB5">
        <w:t>i</w:t>
      </w:r>
      <w:r>
        <w:t xml:space="preserve"> platilo nájemné ve výši 1 356 Kč/</w:t>
      </w:r>
      <w:proofErr w:type="spellStart"/>
      <w:r>
        <w:t>m</w:t>
      </w:r>
      <w:r w:rsidRPr="001B1301">
        <w:rPr>
          <w:vertAlign w:val="superscript"/>
        </w:rPr>
        <w:t>2</w:t>
      </w:r>
      <w:proofErr w:type="spellEnd"/>
      <w:r>
        <w:t>/rok, dále pak</w:t>
      </w:r>
      <w:r w:rsidR="00845FFA">
        <w:t xml:space="preserve"> </w:t>
      </w:r>
      <w:r>
        <w:t xml:space="preserve">územně samosprávnému celku za nebytové prostory o výměře 595 </w:t>
      </w:r>
      <w:proofErr w:type="spellStart"/>
      <w:r>
        <w:t>m</w:t>
      </w:r>
      <w:r w:rsidRPr="001B1301">
        <w:rPr>
          <w:vertAlign w:val="superscript"/>
        </w:rPr>
        <w:t>2</w:t>
      </w:r>
      <w:proofErr w:type="spellEnd"/>
      <w:r>
        <w:t xml:space="preserve"> v ulici Pelléova </w:t>
      </w:r>
      <w:r w:rsidR="00303CB5">
        <w:t>v </w:t>
      </w:r>
      <w:r>
        <w:t>Pra</w:t>
      </w:r>
      <w:r w:rsidR="00303CB5">
        <w:t>ze </w:t>
      </w:r>
      <w:r>
        <w:t>6 ve</w:t>
      </w:r>
      <w:r w:rsidR="00303CB5">
        <w:t xml:space="preserve"> </w:t>
      </w:r>
      <w:r>
        <w:t>výši 400 Kč/</w:t>
      </w:r>
      <w:proofErr w:type="spellStart"/>
      <w:r>
        <w:t>m</w:t>
      </w:r>
      <w:r w:rsidRPr="001B1301">
        <w:rPr>
          <w:vertAlign w:val="superscript"/>
        </w:rPr>
        <w:t>2</w:t>
      </w:r>
      <w:proofErr w:type="spellEnd"/>
      <w:r>
        <w:t>/rok</w:t>
      </w:r>
      <w:r w:rsidR="00613AA7">
        <w:t xml:space="preserve"> a za užívanou </w:t>
      </w:r>
      <w:r w:rsidR="00613AA7" w:rsidRPr="008D09D1">
        <w:t>plochu 3 </w:t>
      </w:r>
      <w:r w:rsidR="008D09D1" w:rsidRPr="008D09D1">
        <w:t>855</w:t>
      </w:r>
      <w:r w:rsidR="00613AA7" w:rsidRPr="008D09D1">
        <w:t xml:space="preserve"> </w:t>
      </w:r>
      <w:proofErr w:type="spellStart"/>
      <w:r w:rsidR="00613AA7" w:rsidRPr="008D09D1">
        <w:t>m</w:t>
      </w:r>
      <w:r w:rsidR="00613AA7" w:rsidRPr="008D09D1">
        <w:rPr>
          <w:vertAlign w:val="superscript"/>
        </w:rPr>
        <w:t>2</w:t>
      </w:r>
      <w:proofErr w:type="spellEnd"/>
      <w:r w:rsidR="00613AA7" w:rsidRPr="008D09D1">
        <w:t xml:space="preserve"> v objektu v ulici Jiřská</w:t>
      </w:r>
      <w:r w:rsidR="00303CB5">
        <w:t xml:space="preserve"> na</w:t>
      </w:r>
      <w:r w:rsidR="00613AA7" w:rsidRPr="008D09D1">
        <w:t xml:space="preserve"> Pra</w:t>
      </w:r>
      <w:r w:rsidR="00303CB5">
        <w:t>ze </w:t>
      </w:r>
      <w:r w:rsidR="00613AA7" w:rsidRPr="008D09D1">
        <w:t>1 hradilo v kontrolovaném období příspěvkové organizaci pouze symbolic</w:t>
      </w:r>
      <w:r w:rsidR="00554E12">
        <w:t>ké nájemné</w:t>
      </w:r>
      <w:r w:rsidR="00613AA7" w:rsidRPr="008D09D1">
        <w:t xml:space="preserve"> 1 Kč.</w:t>
      </w:r>
    </w:p>
    <w:p w14:paraId="1A4B9FDF" w14:textId="77777777" w:rsidR="00303CB5" w:rsidRDefault="00303CB5" w:rsidP="00F33C75">
      <w:pPr>
        <w:pStyle w:val="Odstavecseseznamem"/>
        <w:ind w:left="284"/>
      </w:pPr>
    </w:p>
    <w:p w14:paraId="4B558D88" w14:textId="3E1CE947" w:rsidR="00264C3E" w:rsidRPr="008D09D1" w:rsidRDefault="00264C3E" w:rsidP="00F33C75">
      <w:pPr>
        <w:pStyle w:val="Odstavecseseznamem"/>
        <w:ind w:left="284"/>
      </w:pPr>
      <w:r w:rsidRPr="008D09D1">
        <w:t>Administrativní prostory ve svých objektech přenechávalo</w:t>
      </w:r>
      <w:r w:rsidR="00B61D67" w:rsidRPr="008D09D1">
        <w:t xml:space="preserve"> pouze bezúplatně</w:t>
      </w:r>
      <w:r w:rsidR="00153236" w:rsidRPr="008D09D1">
        <w:t xml:space="preserve"> </w:t>
      </w:r>
      <w:proofErr w:type="spellStart"/>
      <w:r w:rsidR="005F477A" w:rsidRPr="008D09D1">
        <w:t>OSS</w:t>
      </w:r>
      <w:proofErr w:type="spellEnd"/>
      <w:r w:rsidR="005F477A" w:rsidRPr="008D09D1">
        <w:t>.</w:t>
      </w:r>
      <w:r w:rsidR="00B61D67" w:rsidRPr="008D09D1">
        <w:t xml:space="preserve"> Jednalo se o </w:t>
      </w:r>
      <w:r w:rsidRPr="008D09D1">
        <w:t xml:space="preserve">plochu kanceláří cca 3,7 tis. </w:t>
      </w:r>
      <w:proofErr w:type="spellStart"/>
      <w:r w:rsidRPr="008D09D1">
        <w:t>m</w:t>
      </w:r>
      <w:r w:rsidRPr="008D09D1">
        <w:rPr>
          <w:vertAlign w:val="superscript"/>
        </w:rPr>
        <w:t>2</w:t>
      </w:r>
      <w:proofErr w:type="spellEnd"/>
      <w:r w:rsidR="001F45A5" w:rsidRPr="008D09D1">
        <w:t>.</w:t>
      </w:r>
    </w:p>
    <w:p w14:paraId="71AC5CA4" w14:textId="77777777" w:rsidR="001A150A" w:rsidRDefault="001A150A" w:rsidP="00F33C75">
      <w:pPr>
        <w:pStyle w:val="Odstavecseseznamem"/>
        <w:ind w:left="284"/>
      </w:pPr>
    </w:p>
    <w:p w14:paraId="7CDBE128" w14:textId="21B816AF" w:rsidR="00CF5D65" w:rsidRPr="00F33C75" w:rsidRDefault="008463AA" w:rsidP="00F33C75">
      <w:pPr>
        <w:pStyle w:val="Odstavecseseznamem"/>
        <w:ind w:left="284"/>
      </w:pPr>
      <w:r w:rsidRPr="008D09D1">
        <w:t>K</w:t>
      </w:r>
      <w:r w:rsidR="00CF5D65" w:rsidRPr="008D09D1">
        <w:t>ontrolou</w:t>
      </w:r>
      <w:r w:rsidRPr="008D09D1">
        <w:t xml:space="preserve"> smluvní dokumentace bylo</w:t>
      </w:r>
      <w:r w:rsidR="00CF5D65" w:rsidRPr="008D09D1">
        <w:t xml:space="preserve"> zjištěno, že MV jako nájemce</w:t>
      </w:r>
      <w:r w:rsidR="00CF5D65" w:rsidRPr="00E83861">
        <w:t xml:space="preserve"> užívalo v období od</w:t>
      </w:r>
      <w:r w:rsidR="006940F4">
        <w:t> </w:t>
      </w:r>
      <w:r w:rsidR="00CF5D65">
        <w:t>15. 8. 2011 do 30. 8. </w:t>
      </w:r>
      <w:r w:rsidR="00CF5D65" w:rsidRPr="00E83861">
        <w:t xml:space="preserve">2012 nebytové prostory o celkové výměře 116,8 </w:t>
      </w:r>
      <w:proofErr w:type="spellStart"/>
      <w:r w:rsidR="00CF5D65" w:rsidRPr="00E83861">
        <w:t>m</w:t>
      </w:r>
      <w:r w:rsidR="00CF5D65" w:rsidRPr="00BF44CB">
        <w:rPr>
          <w:vertAlign w:val="superscript"/>
        </w:rPr>
        <w:t>2</w:t>
      </w:r>
      <w:proofErr w:type="spellEnd"/>
      <w:r w:rsidR="00BF44CB">
        <w:t xml:space="preserve"> bez</w:t>
      </w:r>
      <w:r w:rsidR="00BB0D07">
        <w:t xml:space="preserve"> </w:t>
      </w:r>
      <w:r w:rsidR="00CF5D65" w:rsidRPr="00E83861">
        <w:t xml:space="preserve">uzavřené nájemní smlouvy. Nepostupovalo tak v souladu s ustanovením § 14 odst. 4 </w:t>
      </w:r>
      <w:r w:rsidR="00CF5D65">
        <w:t>zákona č. </w:t>
      </w:r>
      <w:r w:rsidR="00CF5D65" w:rsidRPr="00E83861">
        <w:t xml:space="preserve">219/2000 Sb. a </w:t>
      </w:r>
      <w:r w:rsidR="00303CB5">
        <w:t xml:space="preserve">současně nepostupovalo </w:t>
      </w:r>
      <w:r w:rsidR="00CF5D65" w:rsidRPr="00E83861">
        <w:t>dle § 43 zákona č. 40/1964 Sb.</w:t>
      </w:r>
      <w:r w:rsidR="00303CB5">
        <w:t>, který ukládá</w:t>
      </w:r>
      <w:r w:rsidR="00CF5D65" w:rsidRPr="00E83861">
        <w:t>, aby bylo úpravou smluvního vztahu odstraněno vše, co by mohlo vést ke</w:t>
      </w:r>
      <w:r w:rsidR="00303CB5">
        <w:t xml:space="preserve"> </w:t>
      </w:r>
      <w:r w:rsidR="00CF5D65" w:rsidRPr="00E83861">
        <w:t xml:space="preserve">vzniku </w:t>
      </w:r>
      <w:r w:rsidR="007B1283">
        <w:t>roz</w:t>
      </w:r>
      <w:r w:rsidR="00CF5D65" w:rsidRPr="00E83861">
        <w:t>porů.</w:t>
      </w:r>
    </w:p>
    <w:p w14:paraId="10854194" w14:textId="77777777" w:rsidR="00CF5D65" w:rsidRDefault="00CF5D65" w:rsidP="00CF5D65"/>
    <w:p w14:paraId="0BC9E31A" w14:textId="3456449D" w:rsidR="001A2983" w:rsidRDefault="00876B97" w:rsidP="007020A5">
      <w:r>
        <w:t xml:space="preserve">Z výše uvedeného vyplývá, že </w:t>
      </w:r>
      <w:r w:rsidR="005D7E13">
        <w:t xml:space="preserve">se hrazené </w:t>
      </w:r>
      <w:r>
        <w:t xml:space="preserve">nájemné </w:t>
      </w:r>
      <w:r w:rsidR="009C6DF4" w:rsidRPr="00C32810">
        <w:t>značně</w:t>
      </w:r>
      <w:r w:rsidR="009C6DF4">
        <w:t xml:space="preserve"> </w:t>
      </w:r>
      <w:r>
        <w:t>liší</w:t>
      </w:r>
      <w:r w:rsidR="005D7E13">
        <w:t>.</w:t>
      </w:r>
      <w:r>
        <w:t xml:space="preserve"> </w:t>
      </w:r>
      <w:r w:rsidR="00CF5D65">
        <w:t xml:space="preserve">MF jako nájemce za prostory </w:t>
      </w:r>
      <w:r w:rsidR="00A43635">
        <w:t xml:space="preserve">na Novém Městě </w:t>
      </w:r>
      <w:r w:rsidR="00CF5D65">
        <w:t xml:space="preserve">v Praze 1 </w:t>
      </w:r>
      <w:r w:rsidR="00A43635">
        <w:t xml:space="preserve">platilo </w:t>
      </w:r>
      <w:r w:rsidR="00CF5D65">
        <w:t>v roce 2013 soukromému subjektu 1,7 tis. Kč/</w:t>
      </w:r>
      <w:proofErr w:type="spellStart"/>
      <w:r w:rsidR="00CF5D65">
        <w:t>m</w:t>
      </w:r>
      <w:r w:rsidR="00CF5D65" w:rsidRPr="007C3DDC">
        <w:rPr>
          <w:vertAlign w:val="superscript"/>
        </w:rPr>
        <w:t>2</w:t>
      </w:r>
      <w:proofErr w:type="spellEnd"/>
      <w:r w:rsidR="005D7E13">
        <w:t xml:space="preserve">/rok, </w:t>
      </w:r>
      <w:r w:rsidR="00CF5D65">
        <w:t>MPSV v lokalitě Prahy 5 Smíchov</w:t>
      </w:r>
      <w:r w:rsidR="00303CB5">
        <w:t>a</w:t>
      </w:r>
      <w:r w:rsidR="00CF5D65">
        <w:t xml:space="preserve"> za kancelářské plochy 3,0 tis. Kč/</w:t>
      </w:r>
      <w:proofErr w:type="spellStart"/>
      <w:r w:rsidR="00CF5D65">
        <w:t>m</w:t>
      </w:r>
      <w:r w:rsidR="00CF5D65" w:rsidRPr="007C3DDC">
        <w:rPr>
          <w:vertAlign w:val="superscript"/>
        </w:rPr>
        <w:t>2</w:t>
      </w:r>
      <w:proofErr w:type="spellEnd"/>
      <w:r w:rsidR="00CF5D65">
        <w:t>/rok</w:t>
      </w:r>
      <w:r w:rsidR="00870831">
        <w:t>.</w:t>
      </w:r>
      <w:r w:rsidR="00303CB5">
        <w:t xml:space="preserve"> </w:t>
      </w:r>
      <w:r w:rsidR="005D7E13">
        <w:t xml:space="preserve">Nejvyšší </w:t>
      </w:r>
      <w:r w:rsidR="005D7B76">
        <w:t xml:space="preserve">sjednané </w:t>
      </w:r>
      <w:r w:rsidR="005D7B76" w:rsidRPr="005D7B76">
        <w:t>nájemné</w:t>
      </w:r>
      <w:r w:rsidR="005D7E13" w:rsidRPr="005D7B76">
        <w:t xml:space="preserve"> cca </w:t>
      </w:r>
      <w:r w:rsidR="005D7B76" w:rsidRPr="005D7B76">
        <w:t>6,6</w:t>
      </w:r>
      <w:r w:rsidR="005D7E13" w:rsidRPr="005D7B76">
        <w:t> tis. Kč</w:t>
      </w:r>
      <w:r w:rsidR="005D7E13">
        <w:t>/</w:t>
      </w:r>
      <w:proofErr w:type="spellStart"/>
      <w:r w:rsidR="005D7E13">
        <w:t>m</w:t>
      </w:r>
      <w:r w:rsidR="005D7E13" w:rsidRPr="007C3DDC">
        <w:rPr>
          <w:vertAlign w:val="superscript"/>
        </w:rPr>
        <w:t>2</w:t>
      </w:r>
      <w:proofErr w:type="spellEnd"/>
      <w:r w:rsidR="005D7E13">
        <w:t>/rok mělo MŠMT</w:t>
      </w:r>
      <w:r w:rsidR="00303CB5">
        <w:t>,</w:t>
      </w:r>
      <w:r w:rsidR="005D7E13">
        <w:t xml:space="preserve"> a to</w:t>
      </w:r>
      <w:r w:rsidR="00CF5D65">
        <w:t xml:space="preserve"> za administrativní prostory </w:t>
      </w:r>
      <w:r w:rsidR="003216F9">
        <w:t>v Praze 8 Karlín</w:t>
      </w:r>
      <w:r w:rsidR="00303CB5">
        <w:t>ě</w:t>
      </w:r>
      <w:r w:rsidR="001A2983">
        <w:t>.</w:t>
      </w:r>
      <w:r w:rsidR="005D7E13">
        <w:t xml:space="preserve"> Na nájem prostor cca 5,5 tis. </w:t>
      </w:r>
      <w:proofErr w:type="spellStart"/>
      <w:r w:rsidR="005D7E13">
        <w:t>m</w:t>
      </w:r>
      <w:r w:rsidR="005D7E13" w:rsidRPr="007C3DDC">
        <w:rPr>
          <w:vertAlign w:val="superscript"/>
        </w:rPr>
        <w:t>2</w:t>
      </w:r>
      <w:proofErr w:type="spellEnd"/>
      <w:r w:rsidR="005D7E13" w:rsidRPr="005D7B76">
        <w:t xml:space="preserve"> </w:t>
      </w:r>
      <w:r w:rsidR="005D7E13">
        <w:t>m</w:t>
      </w:r>
      <w:r w:rsidR="002B12B9">
        <w:t>ělo v roce 2013 výdaje cca </w:t>
      </w:r>
      <w:r w:rsidR="005D7B76">
        <w:t>38,5 </w:t>
      </w:r>
      <w:r w:rsidR="005D7E13">
        <w:t>mil. Kč.</w:t>
      </w:r>
    </w:p>
    <w:p w14:paraId="7C6AF2E4" w14:textId="77777777" w:rsidR="001A150A" w:rsidRDefault="001A150A" w:rsidP="007020A5"/>
    <w:p w14:paraId="0BA6253B" w14:textId="4DEF6B2A" w:rsidR="00870831" w:rsidRDefault="00CF5D65" w:rsidP="007020A5">
      <w:r>
        <w:t xml:space="preserve">Jako pronajímatel MŠMT naopak přenechávalo kancelářské prostory v lokalitě </w:t>
      </w:r>
      <w:r w:rsidR="00A43635">
        <w:t xml:space="preserve">Malé Strany na </w:t>
      </w:r>
      <w:r>
        <w:t>Pra</w:t>
      </w:r>
      <w:r w:rsidR="00A43635">
        <w:t>ze </w:t>
      </w:r>
      <w:r>
        <w:t>1 za 5,4 tis. Kč/</w:t>
      </w:r>
      <w:proofErr w:type="spellStart"/>
      <w:r>
        <w:t>m</w:t>
      </w:r>
      <w:r w:rsidRPr="007C3DDC">
        <w:rPr>
          <w:vertAlign w:val="superscript"/>
        </w:rPr>
        <w:t>2</w:t>
      </w:r>
      <w:proofErr w:type="spellEnd"/>
      <w:r>
        <w:t>/rok, 2,6 tis. Kč/</w:t>
      </w:r>
      <w:proofErr w:type="spellStart"/>
      <w:r>
        <w:t>m</w:t>
      </w:r>
      <w:r w:rsidRPr="007C3DDC">
        <w:rPr>
          <w:vertAlign w:val="superscript"/>
        </w:rPr>
        <w:t>2</w:t>
      </w:r>
      <w:proofErr w:type="spellEnd"/>
      <w:r>
        <w:t xml:space="preserve">/rok či dokonce </w:t>
      </w:r>
      <w:r w:rsidR="00C41EDE">
        <w:t xml:space="preserve">za </w:t>
      </w:r>
      <w:r>
        <w:t>necelých 0,3</w:t>
      </w:r>
      <w:r w:rsidR="00A43635">
        <w:t> </w:t>
      </w:r>
      <w:r>
        <w:t>tis. Kč/</w:t>
      </w:r>
      <w:proofErr w:type="spellStart"/>
      <w:r>
        <w:t>m</w:t>
      </w:r>
      <w:r w:rsidRPr="007C3DDC">
        <w:rPr>
          <w:vertAlign w:val="superscript"/>
        </w:rPr>
        <w:t>2</w:t>
      </w:r>
      <w:proofErr w:type="spellEnd"/>
      <w:r>
        <w:t>/rok.</w:t>
      </w:r>
    </w:p>
    <w:p w14:paraId="29CA3F8E" w14:textId="77777777" w:rsidR="00CF5D65" w:rsidRDefault="00CF5D65" w:rsidP="00CF5D65"/>
    <w:p w14:paraId="726AF37C" w14:textId="406242C3" w:rsidR="00F50DF2" w:rsidRDefault="00F50DF2" w:rsidP="00F50DF2">
      <w:r>
        <w:t xml:space="preserve">Následující tabulka zobrazuje příjmy z nájemného a výdaje na nájemné jednotlivých ministerstev </w:t>
      </w:r>
      <w:r w:rsidR="00C41EDE">
        <w:t>v souvislosti s </w:t>
      </w:r>
      <w:r>
        <w:t>administrativní</w:t>
      </w:r>
      <w:r w:rsidR="00C41EDE">
        <w:t>mi</w:t>
      </w:r>
      <w:r>
        <w:t xml:space="preserve"> prostor</w:t>
      </w:r>
      <w:r w:rsidR="00C41EDE">
        <w:t>ami</w:t>
      </w:r>
      <w:r>
        <w:t xml:space="preserve"> na území hl. m. Prahy.</w:t>
      </w:r>
    </w:p>
    <w:p w14:paraId="0C0BCE9E" w14:textId="06E74914" w:rsidR="00B664AE" w:rsidRDefault="00B664AE">
      <w:pPr>
        <w:spacing w:after="200" w:line="276" w:lineRule="auto"/>
        <w:jc w:val="left"/>
      </w:pPr>
      <w:r>
        <w:br w:type="page"/>
      </w:r>
    </w:p>
    <w:p w14:paraId="3C022C89" w14:textId="183956AC" w:rsidR="00F50DF2" w:rsidRPr="006824CB" w:rsidRDefault="00B73A7D" w:rsidP="00B73A7D">
      <w:pPr>
        <w:pStyle w:val="Odstavecseseznamem"/>
        <w:tabs>
          <w:tab w:val="right" w:pos="9072"/>
        </w:tabs>
        <w:ind w:left="0"/>
        <w:rPr>
          <w:b/>
        </w:rPr>
      </w:pPr>
      <w:r>
        <w:rPr>
          <w:b/>
        </w:rPr>
        <w:lastRenderedPageBreak/>
        <w:t xml:space="preserve">Tabulka č. 5 – </w:t>
      </w:r>
      <w:r w:rsidR="00F50DF2" w:rsidRPr="006824CB">
        <w:rPr>
          <w:b/>
        </w:rPr>
        <w:t>Příjmy z nájemného, výdaje na nájemné</w:t>
      </w:r>
      <w:r w:rsidR="001A150A">
        <w:rPr>
          <w:b/>
        </w:rPr>
        <w:t xml:space="preserve"> </w:t>
      </w:r>
      <w:r w:rsidR="001A150A">
        <w:rPr>
          <w:b/>
        </w:rPr>
        <w:tab/>
      </w:r>
      <w:r w:rsidR="00F50DF2" w:rsidRPr="006824CB">
        <w:rPr>
          <w:b/>
        </w:rPr>
        <w:t>(v tis. Kč)</w:t>
      </w:r>
    </w:p>
    <w:tbl>
      <w:tblPr>
        <w:tblW w:w="5007" w:type="pct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6"/>
        <w:gridCol w:w="925"/>
        <w:gridCol w:w="925"/>
        <w:gridCol w:w="924"/>
        <w:gridCol w:w="924"/>
        <w:gridCol w:w="926"/>
        <w:gridCol w:w="917"/>
      </w:tblGrid>
      <w:tr w:rsidR="00F50DF2" w:rsidRPr="00C44C60" w14:paraId="30D5314B" w14:textId="77777777" w:rsidTr="00BB61E7">
        <w:trPr>
          <w:trHeight w:hRule="exact" w:val="266"/>
        </w:trPr>
        <w:tc>
          <w:tcPr>
            <w:tcW w:w="1023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7352E5" w14:textId="77777777" w:rsidR="00F50DF2" w:rsidRPr="00C44C60" w:rsidRDefault="00F50DF2" w:rsidP="00BB61E7">
            <w:pPr>
              <w:pStyle w:val="tabulka"/>
              <w:jc w:val="center"/>
              <w:rPr>
                <w:b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3FEDD6" w14:textId="77777777" w:rsidR="00F50DF2" w:rsidRPr="00C44C60" w:rsidRDefault="00F50DF2" w:rsidP="00BB61E7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9411FF" w14:textId="77777777" w:rsidR="00F50DF2" w:rsidRPr="00C44C60" w:rsidRDefault="00F50DF2" w:rsidP="00BB61E7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8322A7" w14:textId="77777777" w:rsidR="00F50DF2" w:rsidRPr="00C44C60" w:rsidRDefault="00F50DF2" w:rsidP="00BB61E7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50DF2" w:rsidRPr="00C44C60" w14:paraId="6E11D70C" w14:textId="77777777" w:rsidTr="00BB61E7">
        <w:trPr>
          <w:trHeight w:hRule="exact" w:val="266"/>
        </w:trPr>
        <w:tc>
          <w:tcPr>
            <w:tcW w:w="1023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0CECD" w14:textId="77777777" w:rsidR="00F50DF2" w:rsidRPr="00C44C60" w:rsidRDefault="00F50DF2" w:rsidP="00BB61E7">
            <w:pPr>
              <w:pStyle w:val="tabulka"/>
              <w:jc w:val="center"/>
              <w:rPr>
                <w:b/>
              </w:rPr>
            </w:pPr>
          </w:p>
        </w:tc>
        <w:tc>
          <w:tcPr>
            <w:tcW w:w="664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A9664" w14:textId="77777777" w:rsidR="00F50DF2" w:rsidRPr="00C44C60" w:rsidRDefault="00F50DF2" w:rsidP="00BB61E7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664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86734" w14:textId="77777777" w:rsidR="00F50DF2" w:rsidRPr="00C44C60" w:rsidRDefault="00F50DF2" w:rsidP="00BB61E7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663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BE671" w14:textId="77777777" w:rsidR="00F50DF2" w:rsidRPr="00C44C60" w:rsidRDefault="00F50DF2" w:rsidP="00BB61E7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663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471DE" w14:textId="77777777" w:rsidR="00F50DF2" w:rsidRPr="00C44C60" w:rsidRDefault="00F50DF2" w:rsidP="00BB61E7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664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10BF2" w14:textId="77777777" w:rsidR="00F50DF2" w:rsidRPr="00C44C60" w:rsidRDefault="00F50DF2" w:rsidP="00BB61E7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65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F40288" w14:textId="77777777" w:rsidR="00F50DF2" w:rsidRPr="00C44C60" w:rsidRDefault="00F50DF2" w:rsidP="00BB61E7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Výdaje</w:t>
            </w:r>
          </w:p>
        </w:tc>
      </w:tr>
      <w:tr w:rsidR="00F50DF2" w:rsidRPr="00346B7A" w14:paraId="530128AD" w14:textId="77777777" w:rsidTr="00BB61E7">
        <w:trPr>
          <w:trHeight w:val="227"/>
        </w:trPr>
        <w:tc>
          <w:tcPr>
            <w:tcW w:w="102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73D7AD" w14:textId="77777777" w:rsidR="00F50DF2" w:rsidRPr="00346B7A" w:rsidRDefault="00F50DF2" w:rsidP="00BB61E7">
            <w:pPr>
              <w:pStyle w:val="tabulka"/>
              <w:rPr>
                <w:rFonts w:eastAsia="Arial Unicode MS"/>
              </w:rPr>
            </w:pPr>
            <w:r w:rsidRPr="00346B7A">
              <w:rPr>
                <w:rFonts w:eastAsia="Arial Unicode MS"/>
              </w:rPr>
              <w:t>Ministerstvo financí</w:t>
            </w:r>
          </w:p>
        </w:tc>
        <w:tc>
          <w:tcPr>
            <w:tcW w:w="6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25EC7B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6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EDDBFC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66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1D4051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66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39413D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297,9</w:t>
            </w:r>
          </w:p>
        </w:tc>
        <w:tc>
          <w:tcPr>
            <w:tcW w:w="6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888485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65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50C778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7 150,0</w:t>
            </w:r>
          </w:p>
        </w:tc>
      </w:tr>
      <w:tr w:rsidR="00F50DF2" w:rsidRPr="00346B7A" w14:paraId="0D05D2E7" w14:textId="77777777" w:rsidTr="00BB61E7">
        <w:trPr>
          <w:trHeight w:val="227"/>
        </w:trPr>
        <w:tc>
          <w:tcPr>
            <w:tcW w:w="10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8245C5" w14:textId="77777777" w:rsidR="00F50DF2" w:rsidRPr="00B74399" w:rsidRDefault="00F50DF2" w:rsidP="00BB61E7">
            <w:pPr>
              <w:pStyle w:val="tabulka"/>
            </w:pPr>
            <w:r w:rsidRPr="00346B7A">
              <w:t>Ministerstvo obrany</w:t>
            </w:r>
          </w:p>
        </w:tc>
        <w:tc>
          <w:tcPr>
            <w:tcW w:w="6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B7701" w14:textId="77777777" w:rsidR="00F50DF2" w:rsidRPr="00346B7A" w:rsidRDefault="00F50DF2" w:rsidP="00B73A7D">
            <w:pPr>
              <w:pStyle w:val="tabulka"/>
              <w:ind w:right="113"/>
              <w:jc w:val="right"/>
            </w:pPr>
            <w:r>
              <w:t>18,8</w:t>
            </w:r>
          </w:p>
        </w:tc>
        <w:tc>
          <w:tcPr>
            <w:tcW w:w="6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D10C26" w14:textId="77777777" w:rsidR="00F50DF2" w:rsidRPr="00346B7A" w:rsidRDefault="00F50DF2" w:rsidP="00B73A7D">
            <w:pPr>
              <w:pStyle w:val="tabulka"/>
              <w:ind w:right="113"/>
              <w:jc w:val="right"/>
            </w:pPr>
            <w:r>
              <w:t>2 507,9</w:t>
            </w:r>
          </w:p>
        </w:tc>
        <w:tc>
          <w:tcPr>
            <w:tcW w:w="6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CBDCC7" w14:textId="77777777" w:rsidR="00F50DF2" w:rsidRPr="00346B7A" w:rsidRDefault="00F50DF2" w:rsidP="00B73A7D">
            <w:pPr>
              <w:pStyle w:val="tabulka"/>
              <w:ind w:right="113"/>
              <w:jc w:val="right"/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6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E1A95D" w14:textId="77777777" w:rsidR="00F50DF2" w:rsidRPr="00346B7A" w:rsidRDefault="00F50DF2" w:rsidP="00B73A7D">
            <w:pPr>
              <w:pStyle w:val="tabulka"/>
              <w:ind w:right="113"/>
              <w:jc w:val="right"/>
            </w:pPr>
            <w:r>
              <w:t>2 507,9</w:t>
            </w:r>
          </w:p>
        </w:tc>
        <w:tc>
          <w:tcPr>
            <w:tcW w:w="6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2B4447" w14:textId="77777777" w:rsidR="00F50DF2" w:rsidRPr="00346B7A" w:rsidRDefault="00F50DF2" w:rsidP="00B73A7D">
            <w:pPr>
              <w:pStyle w:val="tabulka"/>
              <w:ind w:right="113"/>
              <w:jc w:val="right"/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6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E73C6C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t>2 507,9</w:t>
            </w:r>
          </w:p>
        </w:tc>
      </w:tr>
      <w:tr w:rsidR="00F50DF2" w:rsidRPr="00346B7A" w14:paraId="2892C53D" w14:textId="77777777" w:rsidTr="00BB61E7">
        <w:trPr>
          <w:trHeight w:val="227"/>
        </w:trPr>
        <w:tc>
          <w:tcPr>
            <w:tcW w:w="102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78AF53" w14:textId="77777777" w:rsidR="00F50DF2" w:rsidRPr="00346B7A" w:rsidRDefault="00F50DF2" w:rsidP="00BB61E7">
            <w:pPr>
              <w:pStyle w:val="tabulka"/>
            </w:pPr>
            <w:r w:rsidRPr="00346B7A">
              <w:rPr>
                <w:rFonts w:eastAsia="Arial Unicode MS"/>
              </w:rPr>
              <w:t>Ministerstvo práce a sociálních věcí</w:t>
            </w:r>
          </w:p>
        </w:tc>
        <w:tc>
          <w:tcPr>
            <w:tcW w:w="6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EAE0F7" w14:textId="77777777" w:rsidR="00F50DF2" w:rsidRPr="00346B7A" w:rsidRDefault="00F50DF2" w:rsidP="00B73A7D">
            <w:pPr>
              <w:pStyle w:val="tabulka"/>
              <w:ind w:right="113"/>
              <w:jc w:val="right"/>
            </w:pPr>
            <w:r>
              <w:t>135,2</w:t>
            </w:r>
          </w:p>
        </w:tc>
        <w:tc>
          <w:tcPr>
            <w:tcW w:w="6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C52717" w14:textId="77777777" w:rsidR="00F50DF2" w:rsidRPr="00346B7A" w:rsidRDefault="00F50DF2" w:rsidP="00B73A7D">
            <w:pPr>
              <w:pStyle w:val="tabulka"/>
              <w:ind w:right="113"/>
              <w:jc w:val="right"/>
            </w:pPr>
            <w:r>
              <w:t>5 352,4</w:t>
            </w:r>
          </w:p>
        </w:tc>
        <w:tc>
          <w:tcPr>
            <w:tcW w:w="6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798282" w14:textId="77777777" w:rsidR="00F50DF2" w:rsidRPr="00346B7A" w:rsidRDefault="00F50DF2" w:rsidP="00B73A7D">
            <w:pPr>
              <w:pStyle w:val="tabulka"/>
              <w:ind w:right="113"/>
              <w:jc w:val="right"/>
            </w:pPr>
            <w:r>
              <w:t>98,2</w:t>
            </w:r>
          </w:p>
        </w:tc>
        <w:tc>
          <w:tcPr>
            <w:tcW w:w="6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90974F" w14:textId="77777777" w:rsidR="00F50DF2" w:rsidRPr="00346B7A" w:rsidRDefault="00F50DF2" w:rsidP="00B73A7D">
            <w:pPr>
              <w:pStyle w:val="tabulka"/>
              <w:ind w:right="113"/>
              <w:jc w:val="right"/>
            </w:pPr>
            <w:r>
              <w:t>5 352,4</w:t>
            </w:r>
          </w:p>
        </w:tc>
        <w:tc>
          <w:tcPr>
            <w:tcW w:w="6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0982A0" w14:textId="77777777" w:rsidR="00F50DF2" w:rsidRPr="00346B7A" w:rsidRDefault="00F50DF2" w:rsidP="00B73A7D">
            <w:pPr>
              <w:pStyle w:val="tabulka"/>
              <w:ind w:right="113"/>
              <w:jc w:val="right"/>
            </w:pPr>
            <w:r>
              <w:t>85,2</w:t>
            </w:r>
          </w:p>
        </w:tc>
        <w:tc>
          <w:tcPr>
            <w:tcW w:w="6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E4EE32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8 109,9</w:t>
            </w:r>
          </w:p>
        </w:tc>
      </w:tr>
      <w:tr w:rsidR="00F50DF2" w:rsidRPr="00346B7A" w14:paraId="6B1324C8" w14:textId="77777777" w:rsidTr="00BB61E7">
        <w:trPr>
          <w:trHeight w:val="227"/>
        </w:trPr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57D2B" w14:textId="77777777" w:rsidR="00F50DF2" w:rsidRPr="00346B7A" w:rsidRDefault="00F50DF2" w:rsidP="00BB61E7">
            <w:pPr>
              <w:pStyle w:val="tabulka"/>
              <w:rPr>
                <w:rFonts w:eastAsia="Arial Unicode MS"/>
              </w:rPr>
            </w:pPr>
            <w:r w:rsidRPr="00346B7A">
              <w:t>Ministerstvo pro místní rozvoj</w:t>
            </w:r>
          </w:p>
        </w:tc>
        <w:tc>
          <w:tcPr>
            <w:tcW w:w="66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BFA373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66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EE61E6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66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2E7658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55,0</w:t>
            </w:r>
          </w:p>
        </w:tc>
        <w:tc>
          <w:tcPr>
            <w:tcW w:w="66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7ED3E0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66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932445" w14:textId="0FC0D036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  <w:r w:rsidR="002A2608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,</w:t>
            </w:r>
            <w:r w:rsidR="002A2608">
              <w:rPr>
                <w:rFonts w:eastAsia="Arial Unicode MS"/>
              </w:rPr>
              <w:t>8</w:t>
            </w:r>
          </w:p>
        </w:tc>
        <w:tc>
          <w:tcPr>
            <w:tcW w:w="659" w:type="pct"/>
            <w:tcBorders>
              <w:top w:val="dotted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E35A7C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</w:tr>
      <w:tr w:rsidR="00F50DF2" w:rsidRPr="00346B7A" w14:paraId="479BA8AC" w14:textId="77777777" w:rsidTr="00BB61E7">
        <w:trPr>
          <w:trHeight w:val="227"/>
        </w:trPr>
        <w:tc>
          <w:tcPr>
            <w:tcW w:w="1023" w:type="pc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76EF69" w14:textId="77777777" w:rsidR="00F50DF2" w:rsidRPr="00346B7A" w:rsidRDefault="00F50DF2" w:rsidP="00BB61E7">
            <w:pPr>
              <w:pStyle w:val="tabulka"/>
              <w:rPr>
                <w:rFonts w:eastAsia="Arial Unicode MS"/>
              </w:rPr>
            </w:pPr>
            <w:r w:rsidRPr="00346B7A">
              <w:t>Ministerstvo školství, mládeže a tělovýchovy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5CB786B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15,5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9D78294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17 122,3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BB93C35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1 210,1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C47B24B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37 259,8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58FB672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1 570,7</w:t>
            </w:r>
          </w:p>
        </w:tc>
        <w:tc>
          <w:tcPr>
            <w:tcW w:w="659" w:type="pc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570D08" w14:textId="77777777" w:rsidR="00F50DF2" w:rsidRPr="00346B7A" w:rsidRDefault="00F50DF2" w:rsidP="00B73A7D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38 529,0</w:t>
            </w:r>
          </w:p>
        </w:tc>
      </w:tr>
      <w:tr w:rsidR="00F50DF2" w:rsidRPr="005C5148" w14:paraId="5975FFFD" w14:textId="77777777" w:rsidTr="00BB61E7">
        <w:trPr>
          <w:trHeight w:val="227"/>
        </w:trPr>
        <w:tc>
          <w:tcPr>
            <w:tcW w:w="1023" w:type="pc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A2B43D" w14:textId="77777777" w:rsidR="00F50DF2" w:rsidRPr="005C5148" w:rsidRDefault="00F50DF2" w:rsidP="00BB61E7">
            <w:pPr>
              <w:pStyle w:val="tabulka"/>
              <w:rPr>
                <w:rFonts w:eastAsia="Arial Unicode MS"/>
              </w:rPr>
            </w:pPr>
            <w:r w:rsidRPr="00346B7A">
              <w:t>Ministerstvo vnitra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E95543" w14:textId="77777777" w:rsidR="00F50DF2" w:rsidRPr="005C5148" w:rsidRDefault="00F50DF2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F78C1A8" w14:textId="77777777" w:rsidR="00F50DF2" w:rsidRPr="005C5148" w:rsidRDefault="00F50DF2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128,5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6AA2D76" w14:textId="77777777" w:rsidR="00F50DF2" w:rsidRPr="005C5148" w:rsidRDefault="00F50DF2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99EE321" w14:textId="77777777" w:rsidR="00F50DF2" w:rsidRPr="005C5148" w:rsidRDefault="00F50DF2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181,3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F7C4BF9" w14:textId="77777777" w:rsidR="00F50DF2" w:rsidRPr="005C5148" w:rsidRDefault="00F50DF2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659" w:type="pc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7B40E8" w14:textId="77777777" w:rsidR="00F50DF2" w:rsidRPr="005C5148" w:rsidRDefault="00F50DF2" w:rsidP="00B664AE">
            <w:pPr>
              <w:pStyle w:val="tabulka"/>
              <w:ind w:right="11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398,8</w:t>
            </w:r>
          </w:p>
        </w:tc>
      </w:tr>
    </w:tbl>
    <w:p w14:paraId="1EEA628E" w14:textId="0C6BB2DD" w:rsidR="00F50DF2" w:rsidRDefault="00F50DF2" w:rsidP="00B664AE">
      <w:pPr>
        <w:pStyle w:val="Poznmka"/>
      </w:pPr>
      <w:r w:rsidRPr="00166DB1">
        <w:rPr>
          <w:b/>
        </w:rPr>
        <w:t>Zdroj:</w:t>
      </w:r>
      <w:r>
        <w:t xml:space="preserve"> </w:t>
      </w:r>
      <w:r w:rsidR="00C41EDE">
        <w:tab/>
        <w:t>i</w:t>
      </w:r>
      <w:r>
        <w:t>nformace kontrolovaných osob</w:t>
      </w:r>
      <w:r w:rsidR="00166DB1">
        <w:t>.</w:t>
      </w:r>
    </w:p>
    <w:p w14:paraId="20D3ACAB" w14:textId="23AA2B2B" w:rsidR="00F50DF2" w:rsidRPr="00346B7A" w:rsidRDefault="00F50DF2" w:rsidP="00B664AE">
      <w:pPr>
        <w:pStyle w:val="Poznmka"/>
      </w:pPr>
      <w:r w:rsidRPr="00166DB1">
        <w:rPr>
          <w:b/>
        </w:rPr>
        <w:t>Pozn.:</w:t>
      </w:r>
      <w:r>
        <w:t xml:space="preserve"> </w:t>
      </w:r>
      <w:r w:rsidR="00C41EDE">
        <w:tab/>
      </w:r>
      <w:r>
        <w:t>Hodnoty za MV a MO byly sestaveny pouze za objekty, ke kterým byla skupině kontrolujících NKÚ poskytnuta vstupní data.</w:t>
      </w:r>
    </w:p>
    <w:p w14:paraId="6F5D915A" w14:textId="77777777" w:rsidR="009612DB" w:rsidRPr="00B664AE" w:rsidRDefault="009612DB" w:rsidP="00CF5D65"/>
    <w:p w14:paraId="4EF4E1BC" w14:textId="5B20055E" w:rsidR="00CF5D65" w:rsidRDefault="00CF5D65" w:rsidP="00CF5D65">
      <w:r>
        <w:t xml:space="preserve">MF nevyužívá jednu </w:t>
      </w:r>
      <w:r w:rsidR="00845FFA">
        <w:t>z </w:t>
      </w:r>
      <w:r>
        <w:t>budov, se kterými je příslušné hospodařit</w:t>
      </w:r>
      <w:r w:rsidR="00C41EDE">
        <w:t>;</w:t>
      </w:r>
      <w:r>
        <w:t xml:space="preserve"> </w:t>
      </w:r>
      <w:r w:rsidR="00C41EDE">
        <w:t>v</w:t>
      </w:r>
      <w:r w:rsidR="0076103D">
        <w:t xml:space="preserve"> této </w:t>
      </w:r>
      <w:r w:rsidR="00C41EDE">
        <w:t xml:space="preserve">budově </w:t>
      </w:r>
      <w:r>
        <w:t xml:space="preserve">je </w:t>
      </w:r>
      <w:r w:rsidR="00F50DF2">
        <w:t xml:space="preserve">v nebytových prostorách o výměře cca 3,8 tis. </w:t>
      </w:r>
      <w:proofErr w:type="spellStart"/>
      <w:r w:rsidR="00F50DF2">
        <w:t>m</w:t>
      </w:r>
      <w:r w:rsidR="00F50DF2" w:rsidRPr="00F50DF2">
        <w:rPr>
          <w:vertAlign w:val="superscript"/>
        </w:rPr>
        <w:t>2</w:t>
      </w:r>
      <w:proofErr w:type="spellEnd"/>
      <w:r w:rsidR="00F50DF2">
        <w:t xml:space="preserve"> </w:t>
      </w:r>
      <w:r>
        <w:t>k dispozici více než</w:t>
      </w:r>
      <w:r w:rsidR="0076103D">
        <w:t xml:space="preserve"> </w:t>
      </w:r>
      <w:r>
        <w:t xml:space="preserve">1,5 tis. </w:t>
      </w:r>
      <w:proofErr w:type="spellStart"/>
      <w:r>
        <w:t>m</w:t>
      </w:r>
      <w:r w:rsidRPr="00833072">
        <w:rPr>
          <w:vertAlign w:val="superscript"/>
        </w:rPr>
        <w:t>2</w:t>
      </w:r>
      <w:proofErr w:type="spellEnd"/>
      <w:r>
        <w:t xml:space="preserve"> </w:t>
      </w:r>
      <w:r w:rsidR="00F50DF2">
        <w:t>kancelářských ploch</w:t>
      </w:r>
      <w:r>
        <w:t xml:space="preserve">. Jedná se </w:t>
      </w:r>
      <w:r w:rsidR="00604FBB">
        <w:t xml:space="preserve">o </w:t>
      </w:r>
      <w:r>
        <w:t xml:space="preserve">objekt </w:t>
      </w:r>
      <w:r w:rsidR="00845FFA">
        <w:t>v </w:t>
      </w:r>
      <w:r>
        <w:t xml:space="preserve">ulici Hybernská č. p. 997, Praha 1, který je již několik let nevyužívaný. </w:t>
      </w:r>
      <w:r w:rsidR="00F572E6" w:rsidRPr="00F572E6">
        <w:t>Majetek přešel na MF z České konsolidační agentury</w:t>
      </w:r>
      <w:r>
        <w:t>. M</w:t>
      </w:r>
      <w:r w:rsidRPr="0098366B">
        <w:t>F bylo původně příslušné hospodařit</w:t>
      </w:r>
      <w:r>
        <w:t xml:space="preserve"> nejen </w:t>
      </w:r>
      <w:r w:rsidR="00845FFA">
        <w:t>s </w:t>
      </w:r>
      <w:r>
        <w:t>budovou č. p. 997, ale </w:t>
      </w:r>
      <w:r w:rsidRPr="0098366B">
        <w:t>i s</w:t>
      </w:r>
      <w:r>
        <w:t xml:space="preserve"> vedlejším </w:t>
      </w:r>
      <w:r w:rsidRPr="0098366B">
        <w:t>objektem</w:t>
      </w:r>
      <w:r>
        <w:t>.</w:t>
      </w:r>
      <w:r w:rsidRPr="0098366B">
        <w:t xml:space="preserve"> Jedná se o komplex vzájemně stavebně a technologicky propojených budov</w:t>
      </w:r>
      <w:r>
        <w:t>, ale rozhodnutím soudu bylo určeno</w:t>
      </w:r>
      <w:r w:rsidRPr="0098366B">
        <w:t xml:space="preserve">, že vlastníkem </w:t>
      </w:r>
      <w:r>
        <w:t xml:space="preserve">sousedního </w:t>
      </w:r>
      <w:r w:rsidRPr="0098366B">
        <w:t xml:space="preserve">objektu je </w:t>
      </w:r>
      <w:r w:rsidR="002207B6">
        <w:t>územně samosprávný celek</w:t>
      </w:r>
      <w:r w:rsidRPr="0098366B">
        <w:t>. MF v</w:t>
      </w:r>
      <w:r>
        <w:t> </w:t>
      </w:r>
      <w:r w:rsidRPr="0098366B">
        <w:t>objektu</w:t>
      </w:r>
      <w:r>
        <w:t xml:space="preserve"> investuje</w:t>
      </w:r>
      <w:r w:rsidRPr="0098366B">
        <w:t xml:space="preserve"> pouze do nezbytných oprav. </w:t>
      </w:r>
      <w:r>
        <w:t xml:space="preserve">Pro dlouhodobé užívání bude zapotřebí významných investic do oprav a rekonstrukcí. </w:t>
      </w:r>
      <w:r w:rsidRPr="0098366B">
        <w:t>MF objekt již několikrát nabíze</w:t>
      </w:r>
      <w:r>
        <w:t>lo</w:t>
      </w:r>
      <w:r w:rsidRPr="0098366B">
        <w:t xml:space="preserve"> pro dislokaci jiných </w:t>
      </w:r>
      <w:proofErr w:type="spellStart"/>
      <w:r w:rsidR="005F477A">
        <w:t>OSS</w:t>
      </w:r>
      <w:proofErr w:type="spellEnd"/>
      <w:r w:rsidR="005F477A">
        <w:t>.</w:t>
      </w:r>
      <w:r>
        <w:t xml:space="preserve"> </w:t>
      </w:r>
    </w:p>
    <w:p w14:paraId="198780B7" w14:textId="77777777" w:rsidR="00EC5146" w:rsidRDefault="00EC5146" w:rsidP="00CF5D65">
      <w:pPr>
        <w:pStyle w:val="Nadpis3"/>
      </w:pPr>
    </w:p>
    <w:p w14:paraId="5504CC14" w14:textId="6C631C33" w:rsidR="00CF5D65" w:rsidRPr="00866560" w:rsidRDefault="00590041" w:rsidP="00CF5D65">
      <w:pPr>
        <w:pStyle w:val="Nadpis3"/>
      </w:pPr>
      <w:proofErr w:type="spellStart"/>
      <w:r>
        <w:t>Ú</w:t>
      </w:r>
      <w:r w:rsidR="00CF5D65" w:rsidRPr="00866560">
        <w:t>ZSVM</w:t>
      </w:r>
      <w:proofErr w:type="spellEnd"/>
    </w:p>
    <w:p w14:paraId="341607B0" w14:textId="77777777" w:rsidR="00CF5D65" w:rsidRDefault="00CF5D65" w:rsidP="00CF5D65"/>
    <w:p w14:paraId="4C31BE68" w14:textId="5F55CF8E" w:rsidR="00CF5D65" w:rsidRPr="009C6DF4" w:rsidRDefault="00A455D8" w:rsidP="00CF5D65">
      <w:pPr>
        <w:rPr>
          <w:strike/>
        </w:rPr>
      </w:pPr>
      <w:r>
        <w:t>NKÚ prověřoval úplatné a bezúplatné převody celkem padesáti šesti položek nemovitého majetku nacházejícího se na území hl. m. Prahy a dvanácti položek přenechaných do</w:t>
      </w:r>
      <w:r w:rsidR="00BB0D07">
        <w:t xml:space="preserve"> </w:t>
      </w:r>
      <w:r>
        <w:t>užívání.</w:t>
      </w:r>
      <w:r w:rsidR="0076103D">
        <w:t xml:space="preserve"> </w:t>
      </w:r>
      <w:r w:rsidR="00CF5D65" w:rsidRPr="00F15256">
        <w:t xml:space="preserve">Kontrolou vybraného vzorku majetku státu, který z důvodu nepotřebnosti na základě výběrových řízení </w:t>
      </w:r>
      <w:proofErr w:type="spellStart"/>
      <w:r w:rsidR="00CF5D65" w:rsidRPr="00F15256">
        <w:t>ÚZSVM</w:t>
      </w:r>
      <w:proofErr w:type="spellEnd"/>
      <w:r w:rsidR="00CF5D65" w:rsidRPr="00F15256">
        <w:t xml:space="preserve"> v kontrolovaném období prodal, bylo ve dvou případech zjištěno, že </w:t>
      </w:r>
      <w:proofErr w:type="spellStart"/>
      <w:r w:rsidR="00CF5D65" w:rsidRPr="00F15256">
        <w:t>ÚZSVM</w:t>
      </w:r>
      <w:proofErr w:type="spellEnd"/>
      <w:r w:rsidR="00CF5D65" w:rsidRPr="00F15256">
        <w:t xml:space="preserve"> neodvedl prodejem získané prostředky ve výši </w:t>
      </w:r>
      <w:r w:rsidR="00CF5D65">
        <w:t xml:space="preserve">1 706 376 Kč </w:t>
      </w:r>
      <w:r w:rsidR="00CF5D65" w:rsidRPr="00F15256">
        <w:t>do deseti pracovních dnů do státního rozpočtu tak, jak mu ukládá us</w:t>
      </w:r>
      <w:r w:rsidR="00CF5D65">
        <w:t>tanovení § 45 odst. 9 zákona č. </w:t>
      </w:r>
      <w:r w:rsidR="00CF5D65" w:rsidRPr="00F15256">
        <w:t>218/2000 Sb. K odvodům došlo až s několikatýdenními pr</w:t>
      </w:r>
      <w:r w:rsidR="00CF5D65">
        <w:t>odleními. Ve smyslu ustanovení § 44 </w:t>
      </w:r>
      <w:r w:rsidR="00CF5D65" w:rsidRPr="00F15256">
        <w:t>odst. 1 písm. g) zákona č. 218/2000 Sb. se tak jednalo o porušení rozpočtové kázně</w:t>
      </w:r>
      <w:r w:rsidR="00CF5D65">
        <w:t xml:space="preserve">. </w:t>
      </w:r>
      <w:r w:rsidR="00AF6135">
        <w:t>Obdobná</w:t>
      </w:r>
      <w:r w:rsidR="00CF5D65">
        <w:t xml:space="preserve"> pochybení byla zjištěna již při předcházející kontrole</w:t>
      </w:r>
      <w:r w:rsidR="00EC5146">
        <w:rPr>
          <w:rStyle w:val="Znakapoznpodarou"/>
        </w:rPr>
        <w:footnoteReference w:id="6"/>
      </w:r>
      <w:r w:rsidR="00C32810">
        <w:t xml:space="preserve">. </w:t>
      </w:r>
    </w:p>
    <w:p w14:paraId="50364D90" w14:textId="77777777" w:rsidR="00CF5D65" w:rsidRDefault="00CF5D65" w:rsidP="00B24DF9"/>
    <w:p w14:paraId="06B75BB3" w14:textId="3DD8AEA8" w:rsidR="00B32879" w:rsidRPr="005E0DBD" w:rsidRDefault="009155D3" w:rsidP="00B664AE">
      <w:pPr>
        <w:pStyle w:val="Nadpis2"/>
        <w:numPr>
          <w:ilvl w:val="0"/>
          <w:numId w:val="0"/>
        </w:numPr>
      </w:pPr>
      <w:r>
        <w:t xml:space="preserve">2. </w:t>
      </w:r>
      <w:r w:rsidR="00B32879" w:rsidRPr="005E0DBD">
        <w:t>C</w:t>
      </w:r>
      <w:r w:rsidR="00FF7A46">
        <w:t>entrální registr administrativních budov</w:t>
      </w:r>
      <w:r w:rsidR="0076103D">
        <w:t xml:space="preserve"> (</w:t>
      </w:r>
      <w:proofErr w:type="spellStart"/>
      <w:r w:rsidR="0076103D">
        <w:t>CRAB</w:t>
      </w:r>
      <w:proofErr w:type="spellEnd"/>
      <w:r w:rsidR="0076103D">
        <w:t>)</w:t>
      </w:r>
    </w:p>
    <w:p w14:paraId="1C5710CA" w14:textId="77777777" w:rsidR="00CF5D65" w:rsidRDefault="00CF5D65" w:rsidP="00B24DF9"/>
    <w:p w14:paraId="1C00F539" w14:textId="173916B0" w:rsidR="00FC57AD" w:rsidRDefault="00FC57AD" w:rsidP="00B24DF9">
      <w:proofErr w:type="spellStart"/>
      <w:r w:rsidRPr="007F49DE">
        <w:t>CRAB</w:t>
      </w:r>
      <w:proofErr w:type="spellEnd"/>
      <w:r w:rsidRPr="007F49DE">
        <w:t xml:space="preserve"> je </w:t>
      </w:r>
      <w:r w:rsidR="00621838">
        <w:t xml:space="preserve">informační </w:t>
      </w:r>
      <w:r w:rsidRPr="007F49DE">
        <w:t xml:space="preserve">systém, </w:t>
      </w:r>
      <w:r w:rsidR="002B1B96">
        <w:t xml:space="preserve">jehož úkolem je evidovat </w:t>
      </w:r>
      <w:r w:rsidRPr="007F49DE">
        <w:t>administrativní budovy</w:t>
      </w:r>
      <w:r w:rsidR="002B1B96">
        <w:t xml:space="preserve"> státu</w:t>
      </w:r>
      <w:r w:rsidR="00E5103D">
        <w:t>,</w:t>
      </w:r>
      <w:r w:rsidRPr="007F49DE">
        <w:t xml:space="preserve"> a to na celostátní úrovni. Je určen zejména </w:t>
      </w:r>
      <w:r w:rsidRPr="00C32810">
        <w:t xml:space="preserve">pro </w:t>
      </w:r>
      <w:r w:rsidR="009C6DF4" w:rsidRPr="00C32810">
        <w:t xml:space="preserve">potřeby </w:t>
      </w:r>
      <w:r w:rsidRPr="00C32810">
        <w:t>státní</w:t>
      </w:r>
      <w:r w:rsidR="009C6DF4" w:rsidRPr="00C32810">
        <w:t>ch</w:t>
      </w:r>
      <w:r w:rsidRPr="00C32810">
        <w:t xml:space="preserve"> instituc</w:t>
      </w:r>
      <w:r w:rsidR="009C6DF4" w:rsidRPr="00C32810">
        <w:t>í</w:t>
      </w:r>
      <w:r w:rsidRPr="007F49DE">
        <w:t xml:space="preserve">, které by </w:t>
      </w:r>
      <w:r w:rsidR="0076103D">
        <w:t xml:space="preserve">z něj </w:t>
      </w:r>
      <w:r w:rsidR="001B0EDA">
        <w:t xml:space="preserve">měly získat </w:t>
      </w:r>
      <w:r w:rsidR="00C32810">
        <w:t xml:space="preserve">úplný </w:t>
      </w:r>
      <w:r w:rsidR="001B0EDA">
        <w:t>přehled o </w:t>
      </w:r>
      <w:r w:rsidRPr="007F49DE">
        <w:t>volných</w:t>
      </w:r>
      <w:r w:rsidR="0076103D">
        <w:t xml:space="preserve"> i</w:t>
      </w:r>
      <w:r w:rsidRPr="007F49DE">
        <w:t xml:space="preserve"> využitých administrativních plochách v majetku státu</w:t>
      </w:r>
      <w:r w:rsidR="00C32810">
        <w:t xml:space="preserve">. </w:t>
      </w:r>
    </w:p>
    <w:p w14:paraId="1EB07DCA" w14:textId="77777777" w:rsidR="00C32810" w:rsidRDefault="00C32810" w:rsidP="00B24DF9"/>
    <w:p w14:paraId="6374DB4E" w14:textId="264FA574" w:rsidR="0038025D" w:rsidRDefault="00FC57AD" w:rsidP="0038025D">
      <w:r>
        <w:t xml:space="preserve">Evidovány </w:t>
      </w:r>
      <w:r w:rsidR="002B1B96">
        <w:t xml:space="preserve">zde mají být </w:t>
      </w:r>
      <w:r w:rsidR="002B1B96" w:rsidRPr="002B1B96">
        <w:t>informace</w:t>
      </w:r>
      <w:r w:rsidRPr="002B1B96">
        <w:t xml:space="preserve"> o adminis</w:t>
      </w:r>
      <w:r w:rsidR="002B1B96" w:rsidRPr="002B1B96">
        <w:t xml:space="preserve">trativních budovách státu a </w:t>
      </w:r>
      <w:r w:rsidRPr="002B1B96">
        <w:t xml:space="preserve">dalších </w:t>
      </w:r>
      <w:r w:rsidR="00621838">
        <w:t>nemovitostech</w:t>
      </w:r>
      <w:r w:rsidRPr="002B1B96">
        <w:t>, které tvoří</w:t>
      </w:r>
      <w:r w:rsidR="001B0EDA">
        <w:t xml:space="preserve"> s </w:t>
      </w:r>
      <w:r w:rsidRPr="002B1B96">
        <w:t>budovou funkční celek. V systému mají být vedena z</w:t>
      </w:r>
      <w:r w:rsidR="002B1B96" w:rsidRPr="002B1B96">
        <w:t>ákladní</w:t>
      </w:r>
      <w:r w:rsidRPr="002B1B96">
        <w:t xml:space="preserve"> data o</w:t>
      </w:r>
      <w:r w:rsidR="002B1B96" w:rsidRPr="002B1B96">
        <w:t xml:space="preserve"> jednotlivých</w:t>
      </w:r>
      <w:r w:rsidRPr="002B1B96">
        <w:t xml:space="preserve"> objektech, </w:t>
      </w:r>
      <w:r w:rsidR="002B1B96" w:rsidRPr="002B1B96">
        <w:t>údaje</w:t>
      </w:r>
      <w:r w:rsidRPr="002B1B96">
        <w:t xml:space="preserve"> o</w:t>
      </w:r>
      <w:r w:rsidR="0076103D">
        <w:t xml:space="preserve"> </w:t>
      </w:r>
      <w:r w:rsidR="00E5103D">
        <w:t>výdají</w:t>
      </w:r>
      <w:r w:rsidRPr="002B1B96">
        <w:t>ch na</w:t>
      </w:r>
      <w:r w:rsidR="0076103D">
        <w:t xml:space="preserve"> </w:t>
      </w:r>
      <w:r w:rsidRPr="002B1B96">
        <w:t>provoz a údržbu užívaných nemovitostí, o míře jejich využití, o</w:t>
      </w:r>
      <w:r w:rsidR="0076103D">
        <w:t xml:space="preserve"> </w:t>
      </w:r>
      <w:r w:rsidRPr="002B1B96">
        <w:t>dislokacích státních institucí</w:t>
      </w:r>
      <w:r w:rsidR="002B1B96" w:rsidRPr="002B1B96">
        <w:t xml:space="preserve"> atd.</w:t>
      </w:r>
      <w:r w:rsidRPr="002B1B96">
        <w:t xml:space="preserve"> Systém by měl poskytn</w:t>
      </w:r>
      <w:r w:rsidR="00EA0C0B">
        <w:t>out podklady pro</w:t>
      </w:r>
      <w:r w:rsidR="0076103D">
        <w:t xml:space="preserve"> </w:t>
      </w:r>
      <w:r w:rsidRPr="002B1B96">
        <w:t>rozhodování o pronájmu dočasně nepotřebného nebo o</w:t>
      </w:r>
      <w:r w:rsidR="0076103D">
        <w:t xml:space="preserve"> </w:t>
      </w:r>
      <w:r w:rsidRPr="002B1B96">
        <w:t>prodeji trvale nepotřebného nemovitého majetku státu.</w:t>
      </w:r>
      <w:r w:rsidR="0038025D">
        <w:t xml:space="preserve"> </w:t>
      </w:r>
      <w:r w:rsidR="0038025D" w:rsidRPr="007F49DE">
        <w:t>Cílovými sku</w:t>
      </w:r>
      <w:r w:rsidR="0038025D">
        <w:t>pinami využívajícími systém by měly být</w:t>
      </w:r>
      <w:r w:rsidR="0038025D" w:rsidRPr="007F49DE">
        <w:t xml:space="preserve"> jak státní instituce, Vládní dislokační komise a </w:t>
      </w:r>
      <w:r w:rsidR="0076103D">
        <w:t>r</w:t>
      </w:r>
      <w:r w:rsidR="0038025D" w:rsidRPr="007F49DE">
        <w:t>egionální dislokační komise, tak i veřejnost.</w:t>
      </w:r>
    </w:p>
    <w:p w14:paraId="17C90EBC" w14:textId="77777777" w:rsidR="00FC57AD" w:rsidRDefault="00FC57AD" w:rsidP="00B24DF9"/>
    <w:p w14:paraId="30C50475" w14:textId="77777777" w:rsidR="00B664AE" w:rsidRDefault="00B664AE" w:rsidP="00B24DF9"/>
    <w:p w14:paraId="388F9EF4" w14:textId="69AEDFE0" w:rsidR="00FC57AD" w:rsidRPr="002B1B96" w:rsidRDefault="00FC57AD" w:rsidP="00B24DF9">
      <w:r w:rsidRPr="002B1B96">
        <w:lastRenderedPageBreak/>
        <w:t>Základními částmi systému jsou</w:t>
      </w:r>
      <w:r w:rsidR="00493321">
        <w:t xml:space="preserve"> především</w:t>
      </w:r>
      <w:r w:rsidRPr="002B1B96">
        <w:t xml:space="preserve"> evidenční část, portál, mapové podklady, pasportizace budov, reporting. Samotná da</w:t>
      </w:r>
      <w:r w:rsidR="009C2D1B">
        <w:t xml:space="preserve">ta jsou </w:t>
      </w:r>
      <w:r w:rsidR="00845FFA">
        <w:t>v </w:t>
      </w:r>
      <w:r w:rsidR="009C2D1B">
        <w:t>systému rozdělena do</w:t>
      </w:r>
      <w:r w:rsidR="001A150A">
        <w:t xml:space="preserve"> </w:t>
      </w:r>
      <w:r w:rsidR="009C2D1B">
        <w:t>sku</w:t>
      </w:r>
      <w:r w:rsidRPr="002B1B96">
        <w:t>pi</w:t>
      </w:r>
      <w:r w:rsidR="00FF1F9D">
        <w:t>n, kterými</w:t>
      </w:r>
      <w:r w:rsidR="001A150A">
        <w:t xml:space="preserve"> </w:t>
      </w:r>
      <w:r w:rsidRPr="002B1B96">
        <w:t>jsou:</w:t>
      </w:r>
    </w:p>
    <w:p w14:paraId="78D1CF47" w14:textId="74CF95C6" w:rsidR="00FC57AD" w:rsidRPr="008A16DB" w:rsidRDefault="00FC57AD" w:rsidP="00301901">
      <w:pPr>
        <w:pStyle w:val="Odstavecseseznamem"/>
        <w:numPr>
          <w:ilvl w:val="0"/>
          <w:numId w:val="1"/>
        </w:numPr>
        <w:ind w:left="284" w:hanging="284"/>
      </w:pPr>
      <w:r w:rsidRPr="008A16DB">
        <w:t xml:space="preserve">evidence majetku (základní data o nemovitém majetku, geografické a katastrální údaje </w:t>
      </w:r>
      <w:r w:rsidR="0076103D">
        <w:t>–</w:t>
      </w:r>
      <w:r w:rsidRPr="008A16DB">
        <w:t xml:space="preserve"> údaje evidované k jednotlivým entitám: areál, objekt, jednotka, pozemek, podlaží, prostor, prvky vybavení);</w:t>
      </w:r>
    </w:p>
    <w:p w14:paraId="2409D26D" w14:textId="70541753" w:rsidR="00FC57AD" w:rsidRPr="008A16DB" w:rsidRDefault="00FC57AD" w:rsidP="00301901">
      <w:pPr>
        <w:pStyle w:val="Odstavecseseznamem"/>
        <w:numPr>
          <w:ilvl w:val="0"/>
          <w:numId w:val="1"/>
        </w:numPr>
        <w:ind w:left="284" w:hanging="284"/>
      </w:pPr>
      <w:r w:rsidRPr="008A16DB">
        <w:t xml:space="preserve">evidence právních vztahů s vazbou na objekt (přehled fyzických osob, ekonomických subjektů a právních vztahů </w:t>
      </w:r>
      <w:r w:rsidR="0076103D">
        <w:t>majících souvislost</w:t>
      </w:r>
      <w:r w:rsidRPr="008A16DB">
        <w:t xml:space="preserve"> s konkrétní budovou, pozemkem atd.);</w:t>
      </w:r>
    </w:p>
    <w:p w14:paraId="27DA6E59" w14:textId="77777777" w:rsidR="00FC57AD" w:rsidRPr="008A16DB" w:rsidRDefault="00FC57AD" w:rsidP="00301901">
      <w:pPr>
        <w:pStyle w:val="Odstavecseseznamem"/>
        <w:numPr>
          <w:ilvl w:val="0"/>
          <w:numId w:val="1"/>
        </w:numPr>
        <w:ind w:left="284" w:hanging="284"/>
      </w:pPr>
      <w:r w:rsidRPr="008A16DB">
        <w:t>ekonomické údaje (evidence některých příjmů a výdajů spojených s objektem);</w:t>
      </w:r>
    </w:p>
    <w:p w14:paraId="01C82281" w14:textId="09A16087" w:rsidR="00FC57AD" w:rsidRPr="008A16DB" w:rsidRDefault="00FC57AD" w:rsidP="00301901">
      <w:pPr>
        <w:pStyle w:val="Odstavecseseznamem"/>
        <w:numPr>
          <w:ilvl w:val="0"/>
          <w:numId w:val="1"/>
        </w:numPr>
        <w:ind w:left="284" w:hanging="284"/>
      </w:pPr>
      <w:proofErr w:type="spellStart"/>
      <w:r w:rsidRPr="008A16DB">
        <w:t>URD</w:t>
      </w:r>
      <w:proofErr w:type="spellEnd"/>
      <w:r w:rsidRPr="00186284">
        <w:rPr>
          <w:vertAlign w:val="superscript"/>
        </w:rPr>
        <w:footnoteReference w:id="7"/>
      </w:r>
      <w:r w:rsidRPr="008A16DB">
        <w:t xml:space="preserve"> (evidence doporučení a rozhodnutí </w:t>
      </w:r>
      <w:r w:rsidR="0076103D">
        <w:t>r</w:t>
      </w:r>
      <w:r w:rsidR="00493321">
        <w:t>egionální</w:t>
      </w:r>
      <w:r w:rsidR="0076103D">
        <w:t>ch</w:t>
      </w:r>
      <w:r w:rsidR="00493321">
        <w:t xml:space="preserve"> dislokační</w:t>
      </w:r>
      <w:r w:rsidR="0076103D">
        <w:t>ch</w:t>
      </w:r>
      <w:r w:rsidR="00493321">
        <w:t xml:space="preserve"> komis</w:t>
      </w:r>
      <w:r w:rsidR="0076103D">
        <w:t>í</w:t>
      </w:r>
      <w:r w:rsidR="005C44CF">
        <w:t xml:space="preserve"> a V</w:t>
      </w:r>
      <w:r w:rsidR="00493321">
        <w:t>ládní dislokační komise</w:t>
      </w:r>
      <w:r w:rsidRPr="008A16DB">
        <w:t xml:space="preserve"> a evidence usnesení </w:t>
      </w:r>
      <w:r w:rsidR="005C44CF">
        <w:t>v</w:t>
      </w:r>
      <w:r w:rsidRPr="008A16DB">
        <w:t xml:space="preserve">lády </w:t>
      </w:r>
      <w:r w:rsidR="006A522E">
        <w:t xml:space="preserve">ČR </w:t>
      </w:r>
      <w:r w:rsidRPr="008A16DB">
        <w:t>v souvislosti s dislokacemi);</w:t>
      </w:r>
    </w:p>
    <w:p w14:paraId="75E05DFD" w14:textId="00EA4E39" w:rsidR="00FC57AD" w:rsidRPr="008A16DB" w:rsidRDefault="00FC57AD" w:rsidP="00301901">
      <w:pPr>
        <w:pStyle w:val="Odstavecseseznamem"/>
        <w:numPr>
          <w:ilvl w:val="0"/>
          <w:numId w:val="1"/>
        </w:numPr>
        <w:ind w:left="284" w:hanging="284"/>
      </w:pPr>
      <w:r w:rsidRPr="008A16DB">
        <w:t xml:space="preserve">požadavky na dislokaci (možné zakládání požadavků ze strany státních institucí na umístění zaměstnanců do objektů </w:t>
      </w:r>
      <w:r w:rsidR="00845FFA">
        <w:t>v </w:t>
      </w:r>
      <w:r w:rsidRPr="008A16DB">
        <w:t>majetku státu);</w:t>
      </w:r>
    </w:p>
    <w:p w14:paraId="3B82BCC8" w14:textId="77777777" w:rsidR="00FC57AD" w:rsidRPr="008A16DB" w:rsidRDefault="00FC57AD" w:rsidP="00301901">
      <w:pPr>
        <w:pStyle w:val="Odstavecseseznamem"/>
        <w:numPr>
          <w:ilvl w:val="0"/>
          <w:numId w:val="1"/>
        </w:numPr>
        <w:ind w:left="284" w:hanging="284"/>
      </w:pPr>
      <w:r w:rsidRPr="008A16DB">
        <w:t>reporty (výstupy z dat obsažených v systému).</w:t>
      </w:r>
    </w:p>
    <w:p w14:paraId="380AF796" w14:textId="77777777" w:rsidR="00FC57AD" w:rsidRPr="00186284" w:rsidRDefault="00FC57AD" w:rsidP="00B24DF9"/>
    <w:p w14:paraId="6689E0CC" w14:textId="662E2C76" w:rsidR="00186284" w:rsidRPr="00B24DF9" w:rsidRDefault="00186284" w:rsidP="00B24DF9">
      <w:proofErr w:type="spellStart"/>
      <w:r w:rsidRPr="00B24DF9">
        <w:t>ÚZSVM</w:t>
      </w:r>
      <w:proofErr w:type="spellEnd"/>
      <w:r w:rsidRPr="00B24DF9">
        <w:t xml:space="preserve"> plní roli správce a provozovatele </w:t>
      </w:r>
      <w:proofErr w:type="spellStart"/>
      <w:r w:rsidRPr="00B24DF9">
        <w:t>CRAB</w:t>
      </w:r>
      <w:proofErr w:type="spellEnd"/>
      <w:r w:rsidRPr="00B24DF9">
        <w:t>. Za doplňované údaje jsou dle příslušného usnesení vlády ČR zodpovědní jejich vkladatelé</w:t>
      </w:r>
      <w:r w:rsidR="00A66680">
        <w:t xml:space="preserve">, </w:t>
      </w:r>
      <w:r w:rsidR="0076103D">
        <w:t xml:space="preserve">tedy </w:t>
      </w:r>
      <w:r w:rsidR="005D6A39" w:rsidRPr="00C32810">
        <w:t xml:space="preserve">ministerstva </w:t>
      </w:r>
      <w:r w:rsidR="00A66680" w:rsidRPr="00C32810">
        <w:t xml:space="preserve">a ostatní </w:t>
      </w:r>
      <w:r w:rsidR="005D6A39" w:rsidRPr="00C32810">
        <w:t>ústřední</w:t>
      </w:r>
      <w:r w:rsidR="005D6A39">
        <w:t xml:space="preserve"> </w:t>
      </w:r>
      <w:r w:rsidR="00A66680">
        <w:t>orgány státní správy</w:t>
      </w:r>
      <w:r w:rsidRPr="00B24DF9">
        <w:t xml:space="preserve">, resp. členové vlády a vedoucí ostatních </w:t>
      </w:r>
      <w:r w:rsidR="00176F94">
        <w:t xml:space="preserve">ústředních </w:t>
      </w:r>
      <w:r w:rsidRPr="00B24DF9">
        <w:t>orgánů státní správy.</w:t>
      </w:r>
    </w:p>
    <w:p w14:paraId="5281DCE2" w14:textId="77777777" w:rsidR="00186284" w:rsidRDefault="00186284" w:rsidP="00B24DF9"/>
    <w:p w14:paraId="44F900BA" w14:textId="46E547A3" w:rsidR="006F1456" w:rsidRPr="008A51C5" w:rsidRDefault="00B24DF9" w:rsidP="008A51C5">
      <w:r w:rsidRPr="008A51C5">
        <w:t>Jaké objekty budou do systému vloženy, resp. označeny jako administrativní</w:t>
      </w:r>
      <w:r w:rsidR="00FE7255">
        <w:t>,</w:t>
      </w:r>
      <w:r w:rsidRPr="008A51C5">
        <w:t xml:space="preserve"> určují sam</w:t>
      </w:r>
      <w:r w:rsidR="0076103D">
        <w:t>i</w:t>
      </w:r>
      <w:r w:rsidRPr="008A51C5">
        <w:t xml:space="preserve"> vkladatelé</w:t>
      </w:r>
      <w:r w:rsidR="00FE7255">
        <w:t xml:space="preserve"> na základě</w:t>
      </w:r>
      <w:r w:rsidRPr="008A51C5">
        <w:t xml:space="preserve"> </w:t>
      </w:r>
      <w:r w:rsidR="00FE7255">
        <w:t>d</w:t>
      </w:r>
      <w:r w:rsidR="008A51C5" w:rsidRPr="00346B7A">
        <w:t>efinice administrativní</w:t>
      </w:r>
      <w:r w:rsidR="0076103D">
        <w:t>ch</w:t>
      </w:r>
      <w:r w:rsidR="008A51C5" w:rsidRPr="00346B7A">
        <w:t xml:space="preserve"> budov, která je pro z</w:t>
      </w:r>
      <w:r w:rsidR="008A51C5">
        <w:t>aevidování objektu klíčová</w:t>
      </w:r>
      <w:r w:rsidR="00FE7255">
        <w:t>.</w:t>
      </w:r>
      <w:r w:rsidR="008A51C5">
        <w:t xml:space="preserve"> </w:t>
      </w:r>
      <w:r w:rsidR="00FE7255">
        <w:t>P</w:t>
      </w:r>
      <w:r w:rsidR="00C32810">
        <w:t xml:space="preserve">ři této definici se </w:t>
      </w:r>
      <w:r w:rsidR="008A51C5" w:rsidRPr="00346B7A">
        <w:t>vychází z </w:t>
      </w:r>
      <w:r w:rsidR="008A51C5" w:rsidRPr="00346B7A">
        <w:rPr>
          <w:bCs/>
        </w:rPr>
        <w:t>vyhlášky č. 26/2007 Sb.</w:t>
      </w:r>
      <w:r w:rsidR="008A51C5">
        <w:rPr>
          <w:rStyle w:val="Znakapoznpodarou"/>
          <w:bCs/>
        </w:rPr>
        <w:footnoteReference w:id="8"/>
      </w:r>
      <w:r w:rsidR="00C32810">
        <w:rPr>
          <w:bCs/>
        </w:rPr>
        <w:t xml:space="preserve"> </w:t>
      </w:r>
      <w:r w:rsidR="008A51C5">
        <w:rPr>
          <w:iCs/>
        </w:rPr>
        <w:t>a</w:t>
      </w:r>
      <w:r w:rsidR="0076103D">
        <w:rPr>
          <w:iCs/>
        </w:rPr>
        <w:t xml:space="preserve"> </w:t>
      </w:r>
      <w:r w:rsidR="008A51C5">
        <w:rPr>
          <w:iCs/>
        </w:rPr>
        <w:t>ze</w:t>
      </w:r>
      <w:r w:rsidR="0076103D">
        <w:rPr>
          <w:iCs/>
        </w:rPr>
        <w:t xml:space="preserve"> </w:t>
      </w:r>
      <w:r w:rsidR="008A51C5" w:rsidRPr="00346B7A">
        <w:rPr>
          <w:bCs/>
        </w:rPr>
        <w:t>sdělení Č</w:t>
      </w:r>
      <w:r w:rsidR="008A51C5">
        <w:rPr>
          <w:bCs/>
        </w:rPr>
        <w:t xml:space="preserve">eského statistického úřadu č. 321/2003 Sb., </w:t>
      </w:r>
      <w:r w:rsidR="008A51C5" w:rsidRPr="0076103D">
        <w:rPr>
          <w:bCs/>
          <w:i/>
        </w:rPr>
        <w:t>o zavedení Klasifikace stavebních děl CZ-</w:t>
      </w:r>
      <w:proofErr w:type="spellStart"/>
      <w:r w:rsidR="008A51C5" w:rsidRPr="0076103D">
        <w:rPr>
          <w:bCs/>
          <w:i/>
        </w:rPr>
        <w:t>CC</w:t>
      </w:r>
      <w:proofErr w:type="spellEnd"/>
      <w:r w:rsidR="00C32810" w:rsidRPr="00B664AE">
        <w:rPr>
          <w:bCs/>
        </w:rPr>
        <w:t>.</w:t>
      </w:r>
      <w:r w:rsidR="00C32810">
        <w:rPr>
          <w:bCs/>
          <w:i/>
        </w:rPr>
        <w:t xml:space="preserve"> </w:t>
      </w:r>
      <w:r w:rsidR="008A51C5">
        <w:t xml:space="preserve">Rozhodující </w:t>
      </w:r>
      <w:r w:rsidR="008A51C5" w:rsidRPr="008A51C5">
        <w:t>je skutečný, resp. budoucí</w:t>
      </w:r>
      <w:r w:rsidR="0076103D">
        <w:t>,</w:t>
      </w:r>
      <w:r w:rsidR="008A51C5" w:rsidRPr="008A51C5">
        <w:t xml:space="preserve"> stav </w:t>
      </w:r>
      <w:r w:rsidR="008A51C5">
        <w:t>užívání budovy, nikoli účel, ke </w:t>
      </w:r>
      <w:r w:rsidR="008A51C5" w:rsidRPr="008A51C5">
        <w:t>kterému byla budova zkolaudována.</w:t>
      </w:r>
      <w:r w:rsidR="006F1456" w:rsidRPr="008A51C5">
        <w:t xml:space="preserve"> </w:t>
      </w:r>
    </w:p>
    <w:p w14:paraId="1D91007E" w14:textId="77777777" w:rsidR="006F1456" w:rsidRDefault="006F1456" w:rsidP="00B24DF9"/>
    <w:p w14:paraId="7ED8058E" w14:textId="34C42DAC" w:rsidR="00186284" w:rsidRDefault="00B24DF9" w:rsidP="00B24DF9">
      <w:r>
        <w:t>Výjimky z evidence tvoří</w:t>
      </w:r>
      <w:r w:rsidRPr="007D6A7C">
        <w:t xml:space="preserve"> případy, kdy vedoucí </w:t>
      </w:r>
      <w:proofErr w:type="spellStart"/>
      <w:r w:rsidR="005F477A">
        <w:t>OSS</w:t>
      </w:r>
      <w:proofErr w:type="spellEnd"/>
      <w:r w:rsidRPr="007D6A7C">
        <w:t>, která je s</w:t>
      </w:r>
      <w:r>
        <w:t> </w:t>
      </w:r>
      <w:r w:rsidRPr="007D6A7C">
        <w:t>těmito</w:t>
      </w:r>
      <w:r>
        <w:t xml:space="preserve"> </w:t>
      </w:r>
      <w:r w:rsidRPr="007D6A7C">
        <w:t xml:space="preserve">budovami příslušná </w:t>
      </w:r>
      <w:r w:rsidRPr="00B24DF9">
        <w:t xml:space="preserve">hospodařit nebo je užívá, rozhodne </w:t>
      </w:r>
      <w:r w:rsidR="00845FFA">
        <w:t>v </w:t>
      </w:r>
      <w:r w:rsidRPr="00B24DF9">
        <w:t>konkrétním případě z důvodu zajištění bezpečnosti nebo</w:t>
      </w:r>
      <w:r w:rsidRPr="007D6A7C">
        <w:t xml:space="preserve"> obrany státu o tom, že údaje o takto užívaných prostorech nebudou</w:t>
      </w:r>
      <w:r>
        <w:t xml:space="preserve"> </w:t>
      </w:r>
      <w:r w:rsidR="00845FFA">
        <w:t>v </w:t>
      </w:r>
      <w:proofErr w:type="spellStart"/>
      <w:r w:rsidRPr="007D6A7C">
        <w:t>CRAB</w:t>
      </w:r>
      <w:proofErr w:type="spellEnd"/>
      <w:r w:rsidRPr="007D6A7C">
        <w:t xml:space="preserve"> vedeny</w:t>
      </w:r>
      <w:r w:rsidR="008A51C5">
        <w:t>.</w:t>
      </w:r>
    </w:p>
    <w:p w14:paraId="368B2F3C" w14:textId="77777777" w:rsidR="00186284" w:rsidRDefault="00186284" w:rsidP="00B24DF9"/>
    <w:p w14:paraId="574BF403" w14:textId="77777777" w:rsidR="00A66680" w:rsidRDefault="00A66680" w:rsidP="00A66680">
      <w:pPr>
        <w:pStyle w:val="Nadpis3"/>
      </w:pPr>
      <w:r>
        <w:t xml:space="preserve">Fungování </w:t>
      </w:r>
      <w:proofErr w:type="spellStart"/>
      <w:r>
        <w:t>CRAB</w:t>
      </w:r>
      <w:proofErr w:type="spellEnd"/>
      <w:r>
        <w:t xml:space="preserve"> a naplňování jeho cílů</w:t>
      </w:r>
    </w:p>
    <w:p w14:paraId="17DCEFA8" w14:textId="77777777" w:rsidR="00A66680" w:rsidRDefault="00A66680" w:rsidP="00A66680"/>
    <w:p w14:paraId="11E2CE56" w14:textId="64FA1DE4" w:rsidR="00A66680" w:rsidRPr="00C32810" w:rsidRDefault="00A66680" w:rsidP="00A66680">
      <w:pPr>
        <w:autoSpaceDE w:val="0"/>
        <w:autoSpaceDN w:val="0"/>
        <w:adjustRightInd w:val="0"/>
      </w:pPr>
      <w:r>
        <w:t xml:space="preserve">Povinná evidence administrativních budov a </w:t>
      </w:r>
      <w:r w:rsidR="00845FFA">
        <w:t>s </w:t>
      </w:r>
      <w:r w:rsidRPr="00E03577">
        <w:t>nimi souv</w:t>
      </w:r>
      <w:r>
        <w:t>isejících nemovitostí v </w:t>
      </w:r>
      <w:proofErr w:type="spellStart"/>
      <w:r>
        <w:t>CRAB</w:t>
      </w:r>
      <w:proofErr w:type="spellEnd"/>
      <w:r>
        <w:t xml:space="preserve"> byla dána u</w:t>
      </w:r>
      <w:r w:rsidRPr="00E03577">
        <w:t>snesením</w:t>
      </w:r>
      <w:r>
        <w:t xml:space="preserve"> vlády ČR</w:t>
      </w:r>
      <w:r w:rsidRPr="00E03577">
        <w:t xml:space="preserve"> ze dne 20.</w:t>
      </w:r>
      <w:r w:rsidR="00B10C13">
        <w:t xml:space="preserve"> prosince</w:t>
      </w:r>
      <w:r w:rsidRPr="00E03577">
        <w:t xml:space="preserve"> 2012 č. 954</w:t>
      </w:r>
      <w:r>
        <w:t xml:space="preserve">. </w:t>
      </w:r>
      <w:r w:rsidRPr="007D6A7C">
        <w:t xml:space="preserve">Výjimku </w:t>
      </w:r>
      <w:r w:rsidR="00944FBE">
        <w:t xml:space="preserve">z evidence </w:t>
      </w:r>
      <w:r>
        <w:t>tvoří</w:t>
      </w:r>
      <w:r w:rsidRPr="007D6A7C">
        <w:t xml:space="preserve"> </w:t>
      </w:r>
      <w:r>
        <w:t xml:space="preserve">výše zmíněné </w:t>
      </w:r>
      <w:r w:rsidRPr="007D6A7C">
        <w:t>případy</w:t>
      </w:r>
      <w:r w:rsidR="00944FBE">
        <w:t>.</w:t>
      </w:r>
      <w:r>
        <w:t xml:space="preserve"> </w:t>
      </w:r>
      <w:r w:rsidRPr="00C32810">
        <w:t>Termín</w:t>
      </w:r>
      <w:r w:rsidR="00C32810">
        <w:t xml:space="preserve"> </w:t>
      </w:r>
      <w:r w:rsidRPr="00C32810">
        <w:t>pro vložení vstupních údajů byl 1. 7. 2013.</w:t>
      </w:r>
    </w:p>
    <w:p w14:paraId="4512659A" w14:textId="77777777" w:rsidR="00A66680" w:rsidRPr="00C32810" w:rsidRDefault="00A66680" w:rsidP="00A66680">
      <w:pPr>
        <w:autoSpaceDE w:val="0"/>
        <w:autoSpaceDN w:val="0"/>
        <w:adjustRightInd w:val="0"/>
      </w:pPr>
    </w:p>
    <w:p w14:paraId="6DD08CCD" w14:textId="6A59A052" w:rsidR="00A66680" w:rsidRPr="00C32810" w:rsidRDefault="00654B6A" w:rsidP="00A66680">
      <w:r>
        <w:t>Pro</w:t>
      </w:r>
      <w:r w:rsidR="00A66680" w:rsidRPr="00C32810">
        <w:t xml:space="preserve"> </w:t>
      </w:r>
      <w:proofErr w:type="spellStart"/>
      <w:r w:rsidR="00A66680" w:rsidRPr="00C32810">
        <w:t>CRAB</w:t>
      </w:r>
      <w:proofErr w:type="spellEnd"/>
      <w:r w:rsidR="00A66680" w:rsidRPr="00C32810">
        <w:t xml:space="preserve"> byly stanoveny následující</w:t>
      </w:r>
      <w:r>
        <w:t xml:space="preserve"> cíle</w:t>
      </w:r>
      <w:r w:rsidR="00A66680" w:rsidRPr="00C32810">
        <w:t>:</w:t>
      </w:r>
    </w:p>
    <w:p w14:paraId="74B675BA" w14:textId="0A9DECC8" w:rsidR="00A66680" w:rsidRPr="00C32810" w:rsidRDefault="00A66680" w:rsidP="00301901">
      <w:pPr>
        <w:pStyle w:val="Odstavecseseznamem"/>
        <w:numPr>
          <w:ilvl w:val="0"/>
          <w:numId w:val="1"/>
        </w:numPr>
        <w:ind w:left="284" w:hanging="284"/>
      </w:pPr>
      <w:r w:rsidRPr="00C32810">
        <w:t>zpřístupn</w:t>
      </w:r>
      <w:r w:rsidR="0062220A">
        <w:t>it</w:t>
      </w:r>
      <w:r w:rsidRPr="00C32810">
        <w:t xml:space="preserve"> </w:t>
      </w:r>
      <w:r w:rsidR="0093792F" w:rsidRPr="00C32810">
        <w:t>na jednom místě</w:t>
      </w:r>
      <w:r w:rsidR="0093792F" w:rsidRPr="00C32810">
        <w:t xml:space="preserve"> </w:t>
      </w:r>
      <w:r w:rsidRPr="00C32810">
        <w:t>komplexní informac</w:t>
      </w:r>
      <w:r w:rsidR="0062220A">
        <w:t>e</w:t>
      </w:r>
      <w:r w:rsidRPr="00C32810">
        <w:t xml:space="preserve"> o </w:t>
      </w:r>
      <w:r w:rsidR="0093792F">
        <w:t xml:space="preserve">vybraném </w:t>
      </w:r>
      <w:r w:rsidRPr="00C32810">
        <w:t>majetku,</w:t>
      </w:r>
    </w:p>
    <w:p w14:paraId="16CF5815" w14:textId="79017A98" w:rsidR="00A66680" w:rsidRPr="00C32810" w:rsidRDefault="0062220A" w:rsidP="00301901">
      <w:pPr>
        <w:pStyle w:val="Odstavecseseznamem"/>
        <w:numPr>
          <w:ilvl w:val="0"/>
          <w:numId w:val="1"/>
        </w:numPr>
        <w:ind w:left="284" w:hanging="284"/>
      </w:pPr>
      <w:r>
        <w:t xml:space="preserve">zajistit </w:t>
      </w:r>
      <w:r w:rsidR="00A66680" w:rsidRPr="00C32810">
        <w:t xml:space="preserve">vyhledávání a třídění </w:t>
      </w:r>
      <w:r w:rsidR="00845FFA">
        <w:t>v </w:t>
      </w:r>
      <w:r w:rsidR="00A66680" w:rsidRPr="00C32810">
        <w:t>evidenci podle zvolených kritérií včetně tisku reportů,</w:t>
      </w:r>
    </w:p>
    <w:p w14:paraId="2B72ECAE" w14:textId="5648F07F" w:rsidR="00A66680" w:rsidRPr="00C32810" w:rsidRDefault="00454E5F" w:rsidP="00301901">
      <w:pPr>
        <w:pStyle w:val="Odstavecseseznamem"/>
        <w:numPr>
          <w:ilvl w:val="0"/>
          <w:numId w:val="1"/>
        </w:numPr>
        <w:ind w:left="284" w:hanging="284"/>
      </w:pPr>
      <w:r>
        <w:t xml:space="preserve">vytvořit </w:t>
      </w:r>
      <w:r w:rsidR="00A66680" w:rsidRPr="00C32810">
        <w:t xml:space="preserve">jednotný prostor pro elektronickou nabídku nepotřebného majetku </w:t>
      </w:r>
      <w:proofErr w:type="spellStart"/>
      <w:r w:rsidR="007D678C" w:rsidRPr="00C32810">
        <w:t>OSS</w:t>
      </w:r>
      <w:proofErr w:type="spellEnd"/>
      <w:r w:rsidR="00A66680" w:rsidRPr="00C32810">
        <w:t>,</w:t>
      </w:r>
    </w:p>
    <w:p w14:paraId="72EE9AE3" w14:textId="3A7651C9" w:rsidR="00A66680" w:rsidRPr="00C32810" w:rsidRDefault="00454E5F" w:rsidP="00301901">
      <w:pPr>
        <w:pStyle w:val="Odstavecseseznamem"/>
        <w:numPr>
          <w:ilvl w:val="0"/>
          <w:numId w:val="1"/>
        </w:numPr>
        <w:ind w:left="284" w:hanging="284"/>
      </w:pPr>
      <w:r>
        <w:t xml:space="preserve">vytvořit </w:t>
      </w:r>
      <w:r w:rsidR="00A66680" w:rsidRPr="00C32810">
        <w:t xml:space="preserve">jednotný prostor pro transparentní nabídku majetku určeného </w:t>
      </w:r>
      <w:r w:rsidR="00845FFA">
        <w:t>k </w:t>
      </w:r>
      <w:r>
        <w:t>převodům</w:t>
      </w:r>
      <w:r w:rsidR="00FC718C" w:rsidRPr="00C32810">
        <w:rPr>
          <w:rStyle w:val="Znakapoznpodarou"/>
        </w:rPr>
        <w:footnoteReference w:id="9"/>
      </w:r>
      <w:r>
        <w:t xml:space="preserve"> a</w:t>
      </w:r>
      <w:r w:rsidR="00B664AE">
        <w:t> zpřístupnit tento p</w:t>
      </w:r>
      <w:r>
        <w:t>rostor</w:t>
      </w:r>
      <w:r w:rsidR="00A66680" w:rsidRPr="00C32810">
        <w:t xml:space="preserve"> široké veřejnosti,</w:t>
      </w:r>
    </w:p>
    <w:p w14:paraId="46B8E1D6" w14:textId="66B2B467" w:rsidR="00A66680" w:rsidRPr="00C32810" w:rsidRDefault="00454E5F" w:rsidP="00301901">
      <w:pPr>
        <w:pStyle w:val="Odstavecseseznamem"/>
        <w:numPr>
          <w:ilvl w:val="0"/>
          <w:numId w:val="1"/>
        </w:numPr>
        <w:ind w:left="284" w:hanging="284"/>
      </w:pPr>
      <w:r>
        <w:t xml:space="preserve">zajistit </w:t>
      </w:r>
      <w:r w:rsidR="00A66680" w:rsidRPr="00C32810">
        <w:t>geoprostorov</w:t>
      </w:r>
      <w:r>
        <w:t>ou</w:t>
      </w:r>
      <w:r w:rsidR="00A66680" w:rsidRPr="00C32810">
        <w:t xml:space="preserve"> lustrac</w:t>
      </w:r>
      <w:r>
        <w:t>i</w:t>
      </w:r>
      <w:r w:rsidR="00A66680" w:rsidRPr="00C32810">
        <w:t xml:space="preserve"> majetku a řešení kolizí </w:t>
      </w:r>
      <w:r w:rsidR="00845FFA">
        <w:t>v </w:t>
      </w:r>
      <w:r w:rsidR="00A66680" w:rsidRPr="00C32810">
        <w:t>území,</w:t>
      </w:r>
    </w:p>
    <w:p w14:paraId="3DBCB3D2" w14:textId="096B74D8" w:rsidR="00A66680" w:rsidRPr="00C32810" w:rsidRDefault="00A66680" w:rsidP="00301901">
      <w:pPr>
        <w:pStyle w:val="Odstavecseseznamem"/>
        <w:numPr>
          <w:ilvl w:val="0"/>
          <w:numId w:val="1"/>
        </w:numPr>
        <w:ind w:left="284" w:hanging="284"/>
      </w:pPr>
      <w:r w:rsidRPr="00C32810">
        <w:t>optimaliz</w:t>
      </w:r>
      <w:r w:rsidR="00454E5F">
        <w:t>ovat</w:t>
      </w:r>
      <w:r w:rsidRPr="00C32810">
        <w:t xml:space="preserve"> dislokace </w:t>
      </w:r>
      <w:proofErr w:type="spellStart"/>
      <w:r w:rsidRPr="00C32810">
        <w:t>OSS</w:t>
      </w:r>
      <w:proofErr w:type="spellEnd"/>
      <w:r w:rsidRPr="00C32810">
        <w:t xml:space="preserve"> a jejich pracovníků, vč. možnosti využití sdílení prostor,</w:t>
      </w:r>
    </w:p>
    <w:p w14:paraId="0B4B5A68" w14:textId="3A2C5F3F" w:rsidR="00A66680" w:rsidRPr="00C32810" w:rsidRDefault="00454E5F" w:rsidP="00301901">
      <w:pPr>
        <w:pStyle w:val="Odstavecseseznamem"/>
        <w:numPr>
          <w:ilvl w:val="0"/>
          <w:numId w:val="1"/>
        </w:numPr>
        <w:ind w:left="284" w:hanging="284"/>
      </w:pPr>
      <w:r>
        <w:t xml:space="preserve">vytvořit </w:t>
      </w:r>
      <w:r w:rsidR="00A66680" w:rsidRPr="00C32810">
        <w:t xml:space="preserve">integrovaný přístupový bod </w:t>
      </w:r>
      <w:r w:rsidR="0062220A">
        <w:t>k </w:t>
      </w:r>
      <w:r w:rsidR="00A66680" w:rsidRPr="00C32810">
        <w:t>připravovan</w:t>
      </w:r>
      <w:r w:rsidR="0062220A">
        <w:t>ým</w:t>
      </w:r>
      <w:r w:rsidR="00A66680" w:rsidRPr="00C32810">
        <w:t xml:space="preserve"> centrální</w:t>
      </w:r>
      <w:r w:rsidR="0062220A">
        <w:t>m</w:t>
      </w:r>
      <w:r w:rsidR="00A66680" w:rsidRPr="00C32810">
        <w:t xml:space="preserve"> registr</w:t>
      </w:r>
      <w:r w:rsidR="0062220A">
        <w:t>ům</w:t>
      </w:r>
      <w:r w:rsidR="00A66680" w:rsidRPr="00C32810">
        <w:t xml:space="preserve">, a to včetně řešení přístupu </w:t>
      </w:r>
      <w:r w:rsidR="0062220A">
        <w:t>ke</w:t>
      </w:r>
      <w:r w:rsidR="00A66680" w:rsidRPr="00C32810">
        <w:t xml:space="preserve"> stávající</w:t>
      </w:r>
      <w:r w:rsidR="0062220A">
        <w:t>m</w:t>
      </w:r>
      <w:r w:rsidR="00A66680" w:rsidRPr="00C32810">
        <w:t xml:space="preserve"> registr</w:t>
      </w:r>
      <w:r w:rsidR="0062220A">
        <w:t>ům</w:t>
      </w:r>
      <w:r w:rsidR="00A66680" w:rsidRPr="00C32810">
        <w:t xml:space="preserve">, jako </w:t>
      </w:r>
      <w:r w:rsidR="0062220A">
        <w:t xml:space="preserve">jsou </w:t>
      </w:r>
      <w:r w:rsidR="00A66680" w:rsidRPr="00C32810">
        <w:t>např. katastr nemovitostí, územně identifikační registr adres, administrativní registr ekonomických subjektů apod.,</w:t>
      </w:r>
    </w:p>
    <w:p w14:paraId="64D7F676" w14:textId="639DC74C" w:rsidR="00A66680" w:rsidRPr="00C32810" w:rsidRDefault="00A66680" w:rsidP="00301901">
      <w:pPr>
        <w:pStyle w:val="Odstavecseseznamem"/>
        <w:numPr>
          <w:ilvl w:val="0"/>
          <w:numId w:val="1"/>
        </w:numPr>
        <w:ind w:left="284" w:hanging="284"/>
      </w:pPr>
      <w:r w:rsidRPr="00C32810">
        <w:lastRenderedPageBreak/>
        <w:t>sjedno</w:t>
      </w:r>
      <w:r w:rsidR="0062220A">
        <w:t>tit</w:t>
      </w:r>
      <w:r w:rsidRPr="00C32810">
        <w:t xml:space="preserve"> metodik</w:t>
      </w:r>
      <w:r w:rsidR="0062220A">
        <w:t>u</w:t>
      </w:r>
      <w:r w:rsidRPr="00C32810">
        <w:t xml:space="preserve"> jednoznačné identifikace (kódování) majetku </w:t>
      </w:r>
      <w:r w:rsidR="00845FFA">
        <w:t>s </w:t>
      </w:r>
      <w:r w:rsidRPr="00C32810">
        <w:t xml:space="preserve">cílem zamezit duplicitám </w:t>
      </w:r>
      <w:r w:rsidR="0062220A">
        <w:t xml:space="preserve">vyplývajícím </w:t>
      </w:r>
      <w:r w:rsidR="00845FFA">
        <w:t>z </w:t>
      </w:r>
      <w:r w:rsidRPr="00C32810">
        <w:t>neprovázanost</w:t>
      </w:r>
      <w:r w:rsidR="0062220A">
        <w:t>i</w:t>
      </w:r>
      <w:r w:rsidRPr="00C32810">
        <w:t xml:space="preserve"> dílčích evidencí a </w:t>
      </w:r>
      <w:r w:rsidR="0062220A">
        <w:t>dosáhnout</w:t>
      </w:r>
      <w:r w:rsidRPr="00C32810">
        <w:t xml:space="preserve"> vzájemné porovnatelnosti údajů,</w:t>
      </w:r>
    </w:p>
    <w:p w14:paraId="4C16ECED" w14:textId="36F3AB97" w:rsidR="00A66680" w:rsidRDefault="00A66680" w:rsidP="00301901">
      <w:pPr>
        <w:pStyle w:val="Odstavecseseznamem"/>
        <w:numPr>
          <w:ilvl w:val="0"/>
          <w:numId w:val="1"/>
        </w:numPr>
        <w:ind w:left="284" w:hanging="284"/>
      </w:pPr>
      <w:r w:rsidRPr="00C32810">
        <w:t>umožn</w:t>
      </w:r>
      <w:r w:rsidR="0062220A">
        <w:t>it</w:t>
      </w:r>
      <w:r w:rsidR="00C32810">
        <w:t xml:space="preserve"> </w:t>
      </w:r>
      <w:r w:rsidRPr="00C32810">
        <w:t>snižování nákladů na správu a pronájem</w:t>
      </w:r>
      <w:r w:rsidRPr="0094454C">
        <w:t xml:space="preserve"> majetku.</w:t>
      </w:r>
    </w:p>
    <w:p w14:paraId="268C14B2" w14:textId="77777777" w:rsidR="00A66680" w:rsidRDefault="00A66680" w:rsidP="00A66680"/>
    <w:p w14:paraId="6702A6E9" w14:textId="6D3BD3EA" w:rsidR="00A66680" w:rsidRDefault="00A66680" w:rsidP="00A66680">
      <w:r>
        <w:t>Měla tak být zajištěna jednotná evidence administrativních budov státu, přehled o volných plochách pro zefektivnění dislokace státních institucí, minimalizace neúčelného vynakládání finančních prostředků při pořizování nových budov a zřízení jednotného místa pro nabí</w:t>
      </w:r>
      <w:r w:rsidR="000518ED">
        <w:t>zení</w:t>
      </w:r>
      <w:r>
        <w:t xml:space="preserve"> nepotřebného majetku jak </w:t>
      </w:r>
      <w:r w:rsidR="000518ED">
        <w:t>státním subjektům</w:t>
      </w:r>
      <w:r w:rsidR="00727B49">
        <w:t>,</w:t>
      </w:r>
      <w:r>
        <w:t xml:space="preserve"> tak veřejnosti.</w:t>
      </w:r>
    </w:p>
    <w:p w14:paraId="6BCA25F6" w14:textId="77777777" w:rsidR="00A66680" w:rsidRDefault="00A66680" w:rsidP="00A66680"/>
    <w:p w14:paraId="451F4F18" w14:textId="1BEDB7AB" w:rsidR="00A66680" w:rsidRDefault="00A66680" w:rsidP="00A66680">
      <w:r w:rsidRPr="00610F92">
        <w:t xml:space="preserve">Kontrolou bylo zjištěno, že </w:t>
      </w:r>
      <w:r w:rsidR="00845FFA">
        <w:t>k </w:t>
      </w:r>
      <w:r w:rsidRPr="00610F92">
        <w:t xml:space="preserve">stanovenému termínu 1. 7. 2013 nebyl systém </w:t>
      </w:r>
      <w:proofErr w:type="spellStart"/>
      <w:r w:rsidRPr="00610F92">
        <w:t>CRAB</w:t>
      </w:r>
      <w:proofErr w:type="spellEnd"/>
      <w:r w:rsidRPr="00610F92">
        <w:t xml:space="preserve"> </w:t>
      </w:r>
      <w:r>
        <w:t xml:space="preserve">naplněn všemi daty </w:t>
      </w:r>
      <w:r w:rsidRPr="00610F92">
        <w:t>tak</w:t>
      </w:r>
      <w:r>
        <w:t>,</w:t>
      </w:r>
      <w:r w:rsidRPr="00610F92">
        <w:t xml:space="preserve"> jak to ukládalo usnesení vlády ČR. Údaje byly </w:t>
      </w:r>
      <w:r>
        <w:t xml:space="preserve">a jsou </w:t>
      </w:r>
      <w:r w:rsidRPr="00610F92">
        <w:t>dále postupně doplňovány. K 31. 12. 2013</w:t>
      </w:r>
      <w:r w:rsidR="000F2FED">
        <w:t xml:space="preserve"> bylo</w:t>
      </w:r>
      <w:r w:rsidRPr="00610F92">
        <w:t xml:space="preserve"> v systému zaevidováno 1</w:t>
      </w:r>
      <w:r w:rsidR="00774B8A">
        <w:t xml:space="preserve"> </w:t>
      </w:r>
      <w:r w:rsidRPr="00610F92">
        <w:t>918 budov, z toho 1</w:t>
      </w:r>
      <w:r w:rsidR="00094653">
        <w:t> </w:t>
      </w:r>
      <w:r w:rsidRPr="00094653">
        <w:t>720</w:t>
      </w:r>
      <w:r w:rsidR="00094653">
        <w:t> </w:t>
      </w:r>
      <w:r w:rsidRPr="00094653">
        <w:t>v</w:t>
      </w:r>
      <w:r w:rsidRPr="00610F92">
        <w:t> kategorii administrativní budova.</w:t>
      </w:r>
      <w:r>
        <w:t xml:space="preserve"> Podle informací uvedených na portále </w:t>
      </w:r>
      <w:proofErr w:type="spellStart"/>
      <w:r>
        <w:t>CRAB</w:t>
      </w:r>
      <w:proofErr w:type="spellEnd"/>
      <w:r>
        <w:t xml:space="preserve"> </w:t>
      </w:r>
      <w:r w:rsidR="00654B6A">
        <w:t>(</w:t>
      </w:r>
      <w:r w:rsidR="00BB0D07" w:rsidRPr="00B664AE">
        <w:t>b</w:t>
      </w:r>
      <w:r w:rsidRPr="00BB0D07">
        <w:t xml:space="preserve">rožura </w:t>
      </w:r>
      <w:proofErr w:type="spellStart"/>
      <w:r w:rsidRPr="00BB0D07">
        <w:t>CRAB</w:t>
      </w:r>
      <w:proofErr w:type="spellEnd"/>
      <w:r w:rsidR="00654B6A">
        <w:t>)</w:t>
      </w:r>
      <w:r>
        <w:t xml:space="preserve"> bylo dle jednorázového dotazníkového šetření prov</w:t>
      </w:r>
      <w:r w:rsidR="000F2FED">
        <w:t>edeného v letech 2006 až 2007 u </w:t>
      </w:r>
      <w:r>
        <w:t>cca 60 % státních subjektů v ČR celkem 4 800 administrativních budov využívaných státními institucemi, z čehož bylo 71 % ve vlastnictví státu.</w:t>
      </w:r>
    </w:p>
    <w:p w14:paraId="5D2A27F4" w14:textId="77777777" w:rsidR="00A66680" w:rsidRDefault="00A66680" w:rsidP="00A66680"/>
    <w:p w14:paraId="354BAC7C" w14:textId="09ABE4C7" w:rsidR="00A66680" w:rsidRDefault="00A66680" w:rsidP="00A66680">
      <w:pPr>
        <w:rPr>
          <w:lang w:eastAsia="cs-CZ"/>
        </w:rPr>
      </w:pPr>
      <w:r>
        <w:t xml:space="preserve">Ekonomická data za rok 2013 měla být do systému vložena do konce února 2014. </w:t>
      </w:r>
      <w:proofErr w:type="spellStart"/>
      <w:r>
        <w:t>ÚZSVM</w:t>
      </w:r>
      <w:proofErr w:type="spellEnd"/>
      <w:r>
        <w:t xml:space="preserve"> se vyjádřil, že nelze hodnotit plnění stanovených cílů, dokud nejsou ekonomická data vložena tak</w:t>
      </w:r>
      <w:r w:rsidR="003A1999">
        <w:t>,</w:t>
      </w:r>
      <w:r>
        <w:t xml:space="preserve"> aby bylo možné v plné míře využít připravené reporty. </w:t>
      </w:r>
      <w:r w:rsidR="009113E3">
        <w:rPr>
          <w:lang w:eastAsia="cs-CZ"/>
        </w:rPr>
        <w:t>Do doby ukončení</w:t>
      </w:r>
      <w:r w:rsidR="00BB0D07">
        <w:rPr>
          <w:lang w:eastAsia="cs-CZ"/>
        </w:rPr>
        <w:t xml:space="preserve"> </w:t>
      </w:r>
      <w:r w:rsidRPr="00687127">
        <w:rPr>
          <w:lang w:eastAsia="cs-CZ"/>
        </w:rPr>
        <w:t>kontroly nebyla všechna ekonomická data ze strany doplňujících státních institucí předána.</w:t>
      </w:r>
    </w:p>
    <w:p w14:paraId="2A3308C0" w14:textId="77777777" w:rsidR="00094653" w:rsidRPr="00687127" w:rsidRDefault="00094653" w:rsidP="00A66680">
      <w:pPr>
        <w:rPr>
          <w:lang w:eastAsia="cs-CZ"/>
        </w:rPr>
      </w:pPr>
    </w:p>
    <w:p w14:paraId="27BEB5E2" w14:textId="01D93253" w:rsidR="00A66680" w:rsidRDefault="00A66680" w:rsidP="00A66680">
      <w:r>
        <w:t>Kontrolou bylo zjištěno</w:t>
      </w:r>
      <w:r w:rsidR="000F00A5">
        <w:t>, že</w:t>
      </w:r>
      <w:r>
        <w:t>:</w:t>
      </w:r>
    </w:p>
    <w:p w14:paraId="5D57E827" w14:textId="0447889C" w:rsidR="00A66680" w:rsidRDefault="00A66680" w:rsidP="00301901">
      <w:pPr>
        <w:pStyle w:val="Odstavecseseznamem"/>
        <w:numPr>
          <w:ilvl w:val="0"/>
          <w:numId w:val="1"/>
        </w:numPr>
        <w:ind w:left="284" w:hanging="284"/>
      </w:pPr>
      <w:r>
        <w:t xml:space="preserve">ke dni ukončení kontroly NKÚ systém </w:t>
      </w:r>
      <w:proofErr w:type="spellStart"/>
      <w:r>
        <w:t>CRAB</w:t>
      </w:r>
      <w:proofErr w:type="spellEnd"/>
      <w:r>
        <w:t xml:space="preserve"> neobsah</w:t>
      </w:r>
      <w:r w:rsidR="000518ED">
        <w:t>oval</w:t>
      </w:r>
      <w:r>
        <w:t xml:space="preserve"> veškeré komplexní informace, mj. i z důvod</w:t>
      </w:r>
      <w:r w:rsidR="000518ED">
        <w:t>u</w:t>
      </w:r>
      <w:r>
        <w:t xml:space="preserve"> ne</w:t>
      </w:r>
      <w:r w:rsidR="009332FF">
        <w:t>do</w:t>
      </w:r>
      <w:r>
        <w:t>plňování údajů ze strany dotčených státních institucí;</w:t>
      </w:r>
    </w:p>
    <w:p w14:paraId="514C968F" w14:textId="39C19254" w:rsidR="008B6D99" w:rsidRDefault="008B6D99" w:rsidP="008B6D99">
      <w:pPr>
        <w:pStyle w:val="Odstavecseseznamem"/>
        <w:numPr>
          <w:ilvl w:val="0"/>
          <w:numId w:val="1"/>
        </w:numPr>
        <w:ind w:left="284" w:hanging="284"/>
      </w:pPr>
      <w:proofErr w:type="spellStart"/>
      <w:r>
        <w:t>ÚZSVM</w:t>
      </w:r>
      <w:proofErr w:type="spellEnd"/>
      <w:r>
        <w:t xml:space="preserve"> sám konstatoval v únoru 2014, že teprve doch</w:t>
      </w:r>
      <w:r w:rsidR="00A14DD3">
        <w:t>ází k naplňování systému daty a </w:t>
      </w:r>
      <w:r>
        <w:t xml:space="preserve">vhledem k tomu nebylo možné vyhodnotit plnění </w:t>
      </w:r>
      <w:r w:rsidR="007B1283">
        <w:t>stanovených</w:t>
      </w:r>
      <w:r>
        <w:t xml:space="preserve"> cílů; </w:t>
      </w:r>
    </w:p>
    <w:p w14:paraId="107200C1" w14:textId="60533AC7" w:rsidR="00A66680" w:rsidRDefault="002843FE" w:rsidP="008B6D99">
      <w:pPr>
        <w:pStyle w:val="Odstavecseseznamem"/>
        <w:numPr>
          <w:ilvl w:val="0"/>
          <w:numId w:val="1"/>
        </w:numPr>
        <w:ind w:left="284" w:hanging="284"/>
      </w:pPr>
      <w:r>
        <w:t>ne vždy je</w:t>
      </w:r>
      <w:r w:rsidR="00915F0D">
        <w:t xml:space="preserve"> metodika </w:t>
      </w:r>
      <w:r w:rsidR="00A534BF">
        <w:t xml:space="preserve">zpracovaná </w:t>
      </w:r>
      <w:proofErr w:type="spellStart"/>
      <w:r w:rsidR="00A534BF">
        <w:t>ÚZSVM</w:t>
      </w:r>
      <w:proofErr w:type="spellEnd"/>
      <w:r w:rsidR="00A534BF">
        <w:t xml:space="preserve"> </w:t>
      </w:r>
      <w:r w:rsidR="00915F0D">
        <w:t>pro stanovení vkládaných hodnot jednotlivými vkladateli jednoznačná a je třeba ji</w:t>
      </w:r>
      <w:r w:rsidR="00A66680">
        <w:t xml:space="preserve"> zpřesnit; </w:t>
      </w:r>
    </w:p>
    <w:p w14:paraId="0093A4C3" w14:textId="785DF0F4" w:rsidR="00A66680" w:rsidRDefault="00A66680" w:rsidP="00301901">
      <w:pPr>
        <w:pStyle w:val="Odstavecseseznamem"/>
        <w:numPr>
          <w:ilvl w:val="0"/>
          <w:numId w:val="1"/>
        </w:numPr>
        <w:ind w:left="284" w:hanging="284"/>
      </w:pPr>
      <w:r>
        <w:t>očekáv</w:t>
      </w:r>
      <w:r w:rsidR="000518ED">
        <w:t>a</w:t>
      </w:r>
      <w:r>
        <w:t>né snižování nákladů na správu a pronájem majetku nebylo d</w:t>
      </w:r>
      <w:r w:rsidR="002B12B9">
        <w:t>osud prokázáno a </w:t>
      </w:r>
      <w:r w:rsidR="002843FE">
        <w:t>kvantifikováno;</w:t>
      </w:r>
      <w:r>
        <w:t xml:space="preserve"> </w:t>
      </w:r>
      <w:proofErr w:type="spellStart"/>
      <w:r>
        <w:t>ÚZSVM</w:t>
      </w:r>
      <w:proofErr w:type="spellEnd"/>
      <w:r>
        <w:t xml:space="preserve"> předpokládá </w:t>
      </w:r>
      <w:r w:rsidR="000518ED">
        <w:t xml:space="preserve">snížení těchto nákladů </w:t>
      </w:r>
      <w:r>
        <w:t>za podmínky využití veškerých možností systému;</w:t>
      </w:r>
    </w:p>
    <w:p w14:paraId="3B248C9B" w14:textId="50F021B9" w:rsidR="00A66680" w:rsidRDefault="00A66680" w:rsidP="00301901">
      <w:pPr>
        <w:pStyle w:val="Odstavecseseznamem"/>
        <w:numPr>
          <w:ilvl w:val="0"/>
          <w:numId w:val="1"/>
        </w:numPr>
        <w:ind w:left="284" w:hanging="284"/>
      </w:pPr>
      <w:proofErr w:type="spellStart"/>
      <w:r>
        <w:t>ÚZSVM</w:t>
      </w:r>
      <w:proofErr w:type="spellEnd"/>
      <w:r>
        <w:t xml:space="preserve"> nezná celkový počet budov, které by měly být v systému zaevidovány.</w:t>
      </w:r>
    </w:p>
    <w:p w14:paraId="0432DFE5" w14:textId="77777777" w:rsidR="00A66680" w:rsidRDefault="00A66680" w:rsidP="00A66680"/>
    <w:p w14:paraId="3166F15E" w14:textId="7F065EAC" w:rsidR="003247FD" w:rsidRPr="003247FD" w:rsidRDefault="003247FD" w:rsidP="003247FD">
      <w:proofErr w:type="spellStart"/>
      <w:r w:rsidRPr="003247FD">
        <w:t>CRAB</w:t>
      </w:r>
      <w:proofErr w:type="spellEnd"/>
      <w:r w:rsidRPr="003247FD">
        <w:t xml:space="preserve"> měl být určen především státním institucím a vládě, zejména pak Vládní dislokační komisi a </w:t>
      </w:r>
      <w:r w:rsidR="000518ED">
        <w:t>r</w:t>
      </w:r>
      <w:r w:rsidRPr="003247FD">
        <w:t>egionálním dislokačním komisím, jimž by měl přinášet přehled o volných a využitých administrativních plochách v majetku státu. Měl mj. fungovat jako nástroj pro</w:t>
      </w:r>
      <w:r w:rsidR="00BB0D07">
        <w:t xml:space="preserve"> </w:t>
      </w:r>
      <w:r w:rsidRPr="003247FD">
        <w:t xml:space="preserve">posuzovací činnost komisí. Měl tak přispět </w:t>
      </w:r>
      <w:r w:rsidR="00845FFA">
        <w:t>k </w:t>
      </w:r>
      <w:r w:rsidRPr="003247FD">
        <w:t>co nejefektivnější dislokaci státních institucí a</w:t>
      </w:r>
      <w:r w:rsidR="00BB0D07">
        <w:t> </w:t>
      </w:r>
      <w:r w:rsidRPr="003247FD">
        <w:t xml:space="preserve">jejich zaměstnanců. </w:t>
      </w:r>
    </w:p>
    <w:p w14:paraId="5546610A" w14:textId="77777777" w:rsidR="003247FD" w:rsidRPr="003247FD" w:rsidRDefault="003247FD" w:rsidP="003247FD"/>
    <w:p w14:paraId="080597D3" w14:textId="49B97CB0" w:rsidR="003247FD" w:rsidRPr="005D6A39" w:rsidRDefault="003247FD" w:rsidP="003247FD">
      <w:r w:rsidRPr="003247FD">
        <w:t xml:space="preserve">Hlavní cíle </w:t>
      </w:r>
      <w:proofErr w:type="spellStart"/>
      <w:r w:rsidRPr="003247FD">
        <w:t>CRAB</w:t>
      </w:r>
      <w:proofErr w:type="spellEnd"/>
      <w:r w:rsidRPr="003247FD">
        <w:t xml:space="preserve"> nebyly k datu ukončení kontroly NKÚ naplněny a fungování </w:t>
      </w:r>
      <w:r w:rsidR="000518ED">
        <w:t>tohoto registru</w:t>
      </w:r>
      <w:r w:rsidRPr="003247FD">
        <w:t xml:space="preserve"> nelze považovat za spolehlivé</w:t>
      </w:r>
      <w:r w:rsidR="00EC5146">
        <w:t xml:space="preserve">. </w:t>
      </w:r>
      <w:r w:rsidR="005D6A39" w:rsidRPr="00C32810">
        <w:t>Vynaložení finančních prostředků státu tak nelze považovat za hospodárné a efektivní</w:t>
      </w:r>
      <w:r w:rsidR="000518ED">
        <w:t>.</w:t>
      </w:r>
      <w:r w:rsidR="005D6A39" w:rsidRPr="005D6A39">
        <w:t xml:space="preserve"> </w:t>
      </w:r>
    </w:p>
    <w:p w14:paraId="599E2F4D" w14:textId="77777777" w:rsidR="003247FD" w:rsidRPr="005D6A39" w:rsidRDefault="003247FD" w:rsidP="003247FD"/>
    <w:p w14:paraId="202630F2" w14:textId="7F069D1E" w:rsidR="00A66680" w:rsidRPr="005036EC" w:rsidRDefault="00A66680" w:rsidP="00A66680">
      <w:r>
        <w:t xml:space="preserve">Kontrolou bylo dále zjištěno, že </w:t>
      </w:r>
      <w:proofErr w:type="spellStart"/>
      <w:r w:rsidRPr="000764D1">
        <w:t>ÚZSVM</w:t>
      </w:r>
      <w:proofErr w:type="spellEnd"/>
      <w:r w:rsidRPr="000764D1">
        <w:t xml:space="preserve"> nemá možnost zkontrolovat úplnost a správnost údajů</w:t>
      </w:r>
      <w:r w:rsidR="00E232E7">
        <w:t xml:space="preserve">, které do </w:t>
      </w:r>
      <w:proofErr w:type="spellStart"/>
      <w:r w:rsidR="00E232E7">
        <w:t>CRAB</w:t>
      </w:r>
      <w:proofErr w:type="spellEnd"/>
      <w:r w:rsidRPr="000764D1">
        <w:t xml:space="preserve"> státní instituce</w:t>
      </w:r>
      <w:r w:rsidR="00613086">
        <w:t xml:space="preserve"> vkládají</w:t>
      </w:r>
      <w:r w:rsidRPr="000764D1">
        <w:t>.</w:t>
      </w:r>
      <w:r w:rsidR="00226FEA">
        <w:t xml:space="preserve"> </w:t>
      </w:r>
      <w:r w:rsidR="00613086">
        <w:t xml:space="preserve">NKÚ </w:t>
      </w:r>
      <w:r w:rsidR="000518ED">
        <w:t xml:space="preserve">při kontrole </w:t>
      </w:r>
      <w:r w:rsidR="00613086">
        <w:t>vygeneroval ze</w:t>
      </w:r>
      <w:r w:rsidR="000518ED">
        <w:t xml:space="preserve"> </w:t>
      </w:r>
      <w:r w:rsidRPr="005036EC">
        <w:t xml:space="preserve">systému </w:t>
      </w:r>
      <w:proofErr w:type="spellStart"/>
      <w:r w:rsidRPr="005036EC">
        <w:t>CRAB</w:t>
      </w:r>
      <w:proofErr w:type="spellEnd"/>
      <w:r w:rsidRPr="005036EC">
        <w:t xml:space="preserve"> vybrané náhledy týkaj</w:t>
      </w:r>
      <w:r w:rsidR="00C01D56">
        <w:t xml:space="preserve">ící se </w:t>
      </w:r>
      <w:r w:rsidRPr="005036EC">
        <w:t>údajů</w:t>
      </w:r>
      <w:r w:rsidR="00C01D56">
        <w:t xml:space="preserve"> vložených</w:t>
      </w:r>
      <w:r w:rsidRPr="005036EC">
        <w:t xml:space="preserve"> ze strany státních institucí</w:t>
      </w:r>
      <w:r w:rsidR="000518ED">
        <w:t xml:space="preserve"> a zjistil tyto skutečnosti</w:t>
      </w:r>
      <w:r w:rsidRPr="005036EC">
        <w:t>:</w:t>
      </w:r>
    </w:p>
    <w:p w14:paraId="0256DDD8" w14:textId="567198FE" w:rsidR="00A66680" w:rsidRPr="005036EC" w:rsidRDefault="00A66680" w:rsidP="00301901">
      <w:pPr>
        <w:pStyle w:val="Odstavecseseznamem"/>
        <w:numPr>
          <w:ilvl w:val="0"/>
          <w:numId w:val="1"/>
        </w:numPr>
        <w:ind w:left="284" w:hanging="284"/>
      </w:pPr>
      <w:r w:rsidRPr="005036EC">
        <w:t>vkladatel</w:t>
      </w:r>
      <w:r w:rsidR="005D5CA8">
        <w:t>é</w:t>
      </w:r>
      <w:r w:rsidRPr="005036EC">
        <w:t xml:space="preserve"> při určování kapacity osob pro kancelářské plochy </w:t>
      </w:r>
      <w:r w:rsidR="005D5CA8">
        <w:t xml:space="preserve">používají </w:t>
      </w:r>
      <w:r w:rsidR="005D5CA8" w:rsidRPr="005036EC">
        <w:t>různ</w:t>
      </w:r>
      <w:r w:rsidR="005D5CA8">
        <w:t>é</w:t>
      </w:r>
      <w:r w:rsidR="005D5CA8" w:rsidRPr="005036EC">
        <w:t xml:space="preserve"> přístup</w:t>
      </w:r>
      <w:r w:rsidR="005D5CA8">
        <w:t>y</w:t>
      </w:r>
      <w:r w:rsidR="005D5CA8" w:rsidRPr="005036EC">
        <w:t xml:space="preserve"> </w:t>
      </w:r>
      <w:r w:rsidRPr="005036EC">
        <w:t>(</w:t>
      </w:r>
      <w:r w:rsidR="00845FFA">
        <w:t>v </w:t>
      </w:r>
      <w:r w:rsidRPr="005036EC">
        <w:t>některých případech striktně využ</w:t>
      </w:r>
      <w:r w:rsidR="005D5CA8">
        <w:t>ívají</w:t>
      </w:r>
      <w:r w:rsidRPr="005036EC">
        <w:t xml:space="preserve"> metodik</w:t>
      </w:r>
      <w:r w:rsidR="005D5CA8">
        <w:t>u</w:t>
      </w:r>
      <w:r w:rsidRPr="005036EC">
        <w:t xml:space="preserve"> </w:t>
      </w:r>
      <w:proofErr w:type="spellStart"/>
      <w:r w:rsidRPr="005036EC">
        <w:t>ÚZSVM</w:t>
      </w:r>
      <w:proofErr w:type="spellEnd"/>
      <w:r w:rsidRPr="005036EC">
        <w:t xml:space="preserve">, jinde </w:t>
      </w:r>
      <w:r w:rsidR="005D5CA8">
        <w:t>používají</w:t>
      </w:r>
      <w:r w:rsidRPr="005036EC">
        <w:t xml:space="preserve"> vlastní přepočítávací koeficienty apod.);</w:t>
      </w:r>
    </w:p>
    <w:p w14:paraId="59896B6D" w14:textId="5F072AE1" w:rsidR="00A66680" w:rsidRDefault="00A66680" w:rsidP="00301901">
      <w:pPr>
        <w:pStyle w:val="Odstavecseseznamem"/>
        <w:numPr>
          <w:ilvl w:val="0"/>
          <w:numId w:val="1"/>
        </w:numPr>
        <w:ind w:left="284" w:hanging="284"/>
      </w:pPr>
      <w:r>
        <w:t>n</w:t>
      </w:r>
      <w:r w:rsidRPr="005036EC">
        <w:t>ěkteré objekty, ve kterých byly v době kontroly NKÚ prokazatelně volné kancelářské prostory, byly</w:t>
      </w:r>
      <w:r>
        <w:t xml:space="preserve"> </w:t>
      </w:r>
      <w:r w:rsidR="00845FFA">
        <w:t>v </w:t>
      </w:r>
      <w:proofErr w:type="spellStart"/>
      <w:r>
        <w:t>CRAB</w:t>
      </w:r>
      <w:proofErr w:type="spellEnd"/>
      <w:r w:rsidRPr="005036EC">
        <w:t xml:space="preserve"> označeny jako plně využité</w:t>
      </w:r>
      <w:r w:rsidR="0058371B">
        <w:t>;</w:t>
      </w:r>
    </w:p>
    <w:p w14:paraId="26B4D1FE" w14:textId="7E303252" w:rsidR="0058371B" w:rsidRPr="00BE262C" w:rsidRDefault="0058371B" w:rsidP="0058371B">
      <w:pPr>
        <w:pStyle w:val="Odstavecseseznamem"/>
        <w:numPr>
          <w:ilvl w:val="0"/>
          <w:numId w:val="1"/>
        </w:numPr>
        <w:ind w:left="284" w:hanging="284"/>
      </w:pPr>
      <w:r w:rsidRPr="00BE262C">
        <w:lastRenderedPageBreak/>
        <w:t xml:space="preserve">systém </w:t>
      </w:r>
      <w:proofErr w:type="spellStart"/>
      <w:r w:rsidRPr="00BE262C">
        <w:t>CRAB</w:t>
      </w:r>
      <w:proofErr w:type="spellEnd"/>
      <w:r w:rsidRPr="00BE262C">
        <w:t xml:space="preserve"> </w:t>
      </w:r>
      <w:r w:rsidR="005D5CA8">
        <w:t xml:space="preserve">není schopen </w:t>
      </w:r>
      <w:r w:rsidRPr="00BE262C">
        <w:t>automaticky odhal</w:t>
      </w:r>
      <w:r w:rsidR="005D5CA8">
        <w:t>it</w:t>
      </w:r>
      <w:r w:rsidRPr="00BE262C">
        <w:t xml:space="preserve"> zák</w:t>
      </w:r>
      <w:r w:rsidR="00256699">
        <w:t xml:space="preserve">ladní nesrovnalosti v hodnotách </w:t>
      </w:r>
      <w:r w:rsidR="00945D44">
        <w:t>–</w:t>
      </w:r>
      <w:r w:rsidRPr="00BE262C">
        <w:t xml:space="preserve"> </w:t>
      </w:r>
      <w:r w:rsidR="00256699">
        <w:t>v některých případech</w:t>
      </w:r>
      <w:r w:rsidRPr="00BE262C">
        <w:t xml:space="preserve"> např. neodpovídaly součty kancelářs</w:t>
      </w:r>
      <w:r w:rsidR="00727B49">
        <w:t>ké plochy využité a nevyužité a </w:t>
      </w:r>
      <w:r w:rsidRPr="00BE262C">
        <w:t>kancelářské plochy celkem, dále pak v několika případech součet jednotlivých druhů ploch neodpovíd</w:t>
      </w:r>
      <w:r w:rsidR="000F00A5">
        <w:t>al</w:t>
      </w:r>
      <w:r w:rsidRPr="00BE262C">
        <w:t xml:space="preserve"> užitné ploše celkem atd.</w:t>
      </w:r>
    </w:p>
    <w:p w14:paraId="01686910" w14:textId="77777777" w:rsidR="001A150A" w:rsidRDefault="001A150A" w:rsidP="00A66680"/>
    <w:p w14:paraId="07EB2B24" w14:textId="77777777" w:rsidR="00A66680" w:rsidRDefault="00A66680" w:rsidP="00A66680">
      <w:r w:rsidRPr="005036EC">
        <w:t>Z obsahu vybraných náhledů vyplynuly rozdíly a nesrovnalosti v přístupu k vyplňování požadovaných údajů, což se následně projevuje v kvalitě a srovnatelnosti dat generovaných reportů. Do doby ukončení kontroly nebyly zjištěné nedostatky odstraněny.</w:t>
      </w:r>
    </w:p>
    <w:p w14:paraId="63E2B5D4" w14:textId="77777777" w:rsidR="00A66680" w:rsidRDefault="00A66680" w:rsidP="00A66680"/>
    <w:p w14:paraId="0B66773C" w14:textId="745713C2" w:rsidR="00A66680" w:rsidRDefault="00EA368F" w:rsidP="00A66680">
      <w:r>
        <w:t xml:space="preserve">Využitelnost a spolehlivost </w:t>
      </w:r>
      <w:proofErr w:type="spellStart"/>
      <w:r>
        <w:t>CRAB</w:t>
      </w:r>
      <w:proofErr w:type="spellEnd"/>
      <w:r>
        <w:t xml:space="preserve"> ovliv</w:t>
      </w:r>
      <w:r w:rsidR="005D5CA8">
        <w:t>ňují</w:t>
      </w:r>
      <w:r>
        <w:t xml:space="preserve"> </w:t>
      </w:r>
      <w:r w:rsidR="005D5CA8">
        <w:t xml:space="preserve">mj. </w:t>
      </w:r>
      <w:r>
        <w:t>i výše uveden</w:t>
      </w:r>
      <w:r w:rsidR="005D5CA8">
        <w:t>é</w:t>
      </w:r>
      <w:r w:rsidR="00A66680" w:rsidRPr="0089512F">
        <w:t xml:space="preserve"> skutečnost</w:t>
      </w:r>
      <w:r w:rsidR="005D5CA8">
        <w:t>i</w:t>
      </w:r>
      <w:r>
        <w:t xml:space="preserve"> týkající se</w:t>
      </w:r>
      <w:r w:rsidR="00A66680" w:rsidRPr="0089512F">
        <w:t xml:space="preserve"> úplnosti a správnosti dat vkládaných do </w:t>
      </w:r>
      <w:proofErr w:type="spellStart"/>
      <w:r w:rsidR="00A66680" w:rsidRPr="0089512F">
        <w:t>CRAB</w:t>
      </w:r>
      <w:proofErr w:type="spellEnd"/>
      <w:r w:rsidR="00A66680" w:rsidRPr="0089512F">
        <w:t>.</w:t>
      </w:r>
    </w:p>
    <w:p w14:paraId="75925458" w14:textId="77777777" w:rsidR="00A66680" w:rsidRDefault="00A66680" w:rsidP="00786E1E"/>
    <w:p w14:paraId="1C9172B9" w14:textId="77777777" w:rsidR="00973F75" w:rsidRPr="00DE1E51" w:rsidRDefault="00973F75" w:rsidP="00973F75">
      <w:pPr>
        <w:pStyle w:val="Nadpis3"/>
      </w:pPr>
      <w:r w:rsidRPr="00DE1E51">
        <w:t xml:space="preserve">Realizace </w:t>
      </w:r>
      <w:proofErr w:type="spellStart"/>
      <w:r w:rsidRPr="00DE1E51">
        <w:t>CRAB</w:t>
      </w:r>
      <w:proofErr w:type="spellEnd"/>
    </w:p>
    <w:p w14:paraId="12EAE213" w14:textId="77777777" w:rsidR="00973F75" w:rsidRDefault="00973F75" w:rsidP="00973F75"/>
    <w:p w14:paraId="57EFB596" w14:textId="4B9DF64F" w:rsidR="00973F75" w:rsidRDefault="00973F75" w:rsidP="00973F75">
      <w:r>
        <w:t xml:space="preserve">V roce 2008 navrhoval </w:t>
      </w:r>
      <w:proofErr w:type="spellStart"/>
      <w:r>
        <w:t>ÚZSVM</w:t>
      </w:r>
      <w:proofErr w:type="spellEnd"/>
      <w:r>
        <w:t xml:space="preserve"> zřízení registru veškerého nemovitého majetku státu. </w:t>
      </w:r>
      <w:r w:rsidR="005D5CA8">
        <w:t>Registr</w:t>
      </w:r>
      <w:r>
        <w:t xml:space="preserve"> měl být dle záměru </w:t>
      </w:r>
      <w:proofErr w:type="spellStart"/>
      <w:r>
        <w:t>ÚZSVM</w:t>
      </w:r>
      <w:proofErr w:type="spellEnd"/>
      <w:r>
        <w:t xml:space="preserve"> vybudován jako nadstavba </w:t>
      </w:r>
      <w:r w:rsidRPr="00B664AE">
        <w:rPr>
          <w:i/>
        </w:rPr>
        <w:t>Informačního systému majetku státu</w:t>
      </w:r>
      <w:r>
        <w:t xml:space="preserve"> (dále také „</w:t>
      </w:r>
      <w:proofErr w:type="spellStart"/>
      <w:r>
        <w:t>ISMS</w:t>
      </w:r>
      <w:proofErr w:type="spellEnd"/>
      <w:r>
        <w:t xml:space="preserve">“), jenž byl realizován již v roce 2004 a </w:t>
      </w:r>
      <w:proofErr w:type="spellStart"/>
      <w:r>
        <w:t>ÚZSVM</w:t>
      </w:r>
      <w:proofErr w:type="spellEnd"/>
      <w:r>
        <w:t xml:space="preserve"> slouží pro výkon jeho působnosti podle zákona č. 219/2000 Sb. Na </w:t>
      </w:r>
      <w:r w:rsidRPr="007F183F">
        <w:t xml:space="preserve">zřízení </w:t>
      </w:r>
      <w:r>
        <w:t>registru veškerého nemovitého majetku státu byly odhadovány potřebné prostředky ve výši 650 mil. Kč.</w:t>
      </w:r>
    </w:p>
    <w:p w14:paraId="22162EA9" w14:textId="77777777" w:rsidR="00973F75" w:rsidRDefault="00973F75" w:rsidP="00973F75"/>
    <w:p w14:paraId="4808C3D7" w14:textId="22A46F6A" w:rsidR="00973F75" w:rsidRDefault="00973F75" w:rsidP="00973F75">
      <w:r w:rsidRPr="005D1862">
        <w:t xml:space="preserve">Realizace projektu </w:t>
      </w:r>
      <w:proofErr w:type="spellStart"/>
      <w:r w:rsidRPr="005D1862">
        <w:t>CRAB</w:t>
      </w:r>
      <w:proofErr w:type="spellEnd"/>
      <w:r w:rsidRPr="005D1862">
        <w:t xml:space="preserve"> </w:t>
      </w:r>
      <w:r>
        <w:t xml:space="preserve">pak </w:t>
      </w:r>
      <w:r w:rsidRPr="005D1862">
        <w:t>vycház</w:t>
      </w:r>
      <w:r>
        <w:t>ela</w:t>
      </w:r>
      <w:r w:rsidRPr="005D1862">
        <w:t xml:space="preserve"> z usnesení vlá</w:t>
      </w:r>
      <w:r>
        <w:t>dy ČR ze dne 14. května 2008 č. </w:t>
      </w:r>
      <w:r w:rsidRPr="005D1862">
        <w:t xml:space="preserve">536, kterým bylo rozhodnuto o zařazení projektu </w:t>
      </w:r>
      <w:r w:rsidRPr="00E777C5">
        <w:t>246</w:t>
      </w:r>
      <w:r w:rsidRPr="00B664AE">
        <w:rPr>
          <w:i/>
        </w:rPr>
        <w:t xml:space="preserve"> – Úprava Informačního systému majetku státu jako zvláštní grafické vrstvy nad </w:t>
      </w:r>
      <w:proofErr w:type="spellStart"/>
      <w:r w:rsidRPr="00B664AE">
        <w:rPr>
          <w:i/>
        </w:rPr>
        <w:t>RÚIAN</w:t>
      </w:r>
      <w:proofErr w:type="spellEnd"/>
      <w:r w:rsidRPr="005D1862">
        <w:rPr>
          <w:vertAlign w:val="superscript"/>
        </w:rPr>
        <w:footnoteReference w:id="10"/>
      </w:r>
      <w:r w:rsidRPr="005D1862">
        <w:t xml:space="preserve"> </w:t>
      </w:r>
      <w:r w:rsidRPr="00B664AE">
        <w:rPr>
          <w:i/>
        </w:rPr>
        <w:t>v návaznosti na další základní registry veřejné správy</w:t>
      </w:r>
      <w:r>
        <w:t xml:space="preserve"> mezi strategické</w:t>
      </w:r>
      <w:r w:rsidRPr="005D1862">
        <w:t xml:space="preserve"> projekt</w:t>
      </w:r>
      <w:r>
        <w:t>y</w:t>
      </w:r>
      <w:r w:rsidRPr="005D1862">
        <w:t xml:space="preserve"> Smart </w:t>
      </w:r>
      <w:proofErr w:type="spellStart"/>
      <w:r w:rsidRPr="005D1862">
        <w:t>Administration</w:t>
      </w:r>
      <w:proofErr w:type="spellEnd"/>
      <w:r w:rsidRPr="005D1862">
        <w:t>.</w:t>
      </w:r>
    </w:p>
    <w:p w14:paraId="134DDCA9" w14:textId="77777777" w:rsidR="00973F75" w:rsidRDefault="00973F75" w:rsidP="00973F75"/>
    <w:p w14:paraId="2D16F2CC" w14:textId="1E3C4C26" w:rsidR="00973F75" w:rsidRPr="00346B7A" w:rsidRDefault="00973F75" w:rsidP="00973F75">
      <w:r>
        <w:t xml:space="preserve">Studie proveditelnosti zpracovaná pro třetí kolo výzvy pro předkládání žádostí o finanční podporu v rámci </w:t>
      </w:r>
      <w:r w:rsidRPr="00B664AE">
        <w:rPr>
          <w:i/>
        </w:rPr>
        <w:t>Integrovaného operačního programu</w:t>
      </w:r>
      <w:r>
        <w:t xml:space="preserve"> Evropské unie (dále také „EU“) již počítala se zúžením projektu pouze na administrativní budovy. Celkové způsobilé výdaje mohly činit podle schváleného finančního rámce celkem 269 765 tis. Kč, přičemž 85 % mělo být pokryto z dotace z EU a 15 % ze státního rozpočtu.</w:t>
      </w:r>
    </w:p>
    <w:p w14:paraId="0FB94DC2" w14:textId="77777777" w:rsidR="00E620C0" w:rsidRDefault="00E620C0" w:rsidP="00973F75"/>
    <w:p w14:paraId="52E8C6E5" w14:textId="53D79D3E" w:rsidR="00E620C0" w:rsidRDefault="00E620C0" w:rsidP="00E620C0">
      <w:proofErr w:type="spellStart"/>
      <w:r>
        <w:t>ÚZSVM</w:t>
      </w:r>
      <w:proofErr w:type="spellEnd"/>
      <w:r>
        <w:t xml:space="preserve"> od počátku přípravy registru </w:t>
      </w:r>
      <w:r w:rsidRPr="007F183F">
        <w:t xml:space="preserve">uvažoval o jeho zřízení pouze </w:t>
      </w:r>
      <w:r>
        <w:t xml:space="preserve">formou </w:t>
      </w:r>
      <w:r w:rsidRPr="007F183F">
        <w:t>nadstavb</w:t>
      </w:r>
      <w:r>
        <w:t>y</w:t>
      </w:r>
      <w:r w:rsidRPr="007F183F">
        <w:t xml:space="preserve"> již používaného </w:t>
      </w:r>
      <w:proofErr w:type="spellStart"/>
      <w:r w:rsidRPr="007F183F">
        <w:t>ISMS</w:t>
      </w:r>
      <w:proofErr w:type="spellEnd"/>
      <w:r w:rsidRPr="007F183F">
        <w:t>. Všechny posuzované varianty technického a</w:t>
      </w:r>
      <w:r w:rsidR="005D2FED">
        <w:t xml:space="preserve"> </w:t>
      </w:r>
      <w:r w:rsidRPr="007F183F">
        <w:t xml:space="preserve">technologického řešení vždy počítaly s vazbou na existující systém. Vzhledem ke smlouvě o dílo z roku 2004 vztahující se k tomuto softwaru </w:t>
      </w:r>
      <w:r w:rsidR="00642AA3">
        <w:t xml:space="preserve">si </w:t>
      </w:r>
      <w:proofErr w:type="spellStart"/>
      <w:r w:rsidR="00642AA3">
        <w:t>ÚZSVM</w:t>
      </w:r>
      <w:proofErr w:type="spellEnd"/>
      <w:r w:rsidR="00642AA3">
        <w:t xml:space="preserve"> musel být vědom skutečnosti</w:t>
      </w:r>
      <w:r w:rsidRPr="007F183F">
        <w:t>, že jakékoliv další funkcionality</w:t>
      </w:r>
      <w:r>
        <w:t xml:space="preserve"> a</w:t>
      </w:r>
      <w:r w:rsidR="005D2FED">
        <w:t xml:space="preserve"> </w:t>
      </w:r>
      <w:r>
        <w:t xml:space="preserve">rozšíření </w:t>
      </w:r>
      <w:r w:rsidR="00642AA3">
        <w:t xml:space="preserve">bude moci </w:t>
      </w:r>
      <w:r>
        <w:t xml:space="preserve">vzhledem k ochraně licenčních práv realizovat </w:t>
      </w:r>
      <w:r w:rsidR="005D2FED">
        <w:t xml:space="preserve">pouze </w:t>
      </w:r>
      <w:r>
        <w:t xml:space="preserve">dodavatel původního informačního systému </w:t>
      </w:r>
      <w:proofErr w:type="spellStart"/>
      <w:r>
        <w:t>ISMS</w:t>
      </w:r>
      <w:proofErr w:type="spellEnd"/>
      <w:r>
        <w:t xml:space="preserve">. </w:t>
      </w:r>
      <w:r w:rsidRPr="00C32810">
        <w:t>Neposuzování</w:t>
      </w:r>
      <w:r w:rsidR="005D6A39" w:rsidRPr="00C32810">
        <w:t>m</w:t>
      </w:r>
      <w:r w:rsidRPr="00C32810">
        <w:t xml:space="preserve"> jiných možných způsobů zřízení </w:t>
      </w:r>
      <w:proofErr w:type="spellStart"/>
      <w:r w:rsidRPr="00C32810">
        <w:t>CRAB</w:t>
      </w:r>
      <w:proofErr w:type="spellEnd"/>
      <w:r w:rsidRPr="00C32810">
        <w:t>, popř.</w:t>
      </w:r>
      <w:r w:rsidR="005D2FED">
        <w:t xml:space="preserve"> </w:t>
      </w:r>
      <w:r w:rsidRPr="00C32810">
        <w:t>původně navrhovaného centrálního registr</w:t>
      </w:r>
      <w:r w:rsidR="00A25319" w:rsidRPr="00C32810">
        <w:t>u nemovitého majetku státu, ale</w:t>
      </w:r>
      <w:r w:rsidR="005D2FED">
        <w:t xml:space="preserve"> </w:t>
      </w:r>
      <w:r w:rsidRPr="00C32810">
        <w:t xml:space="preserve">pouze varianty zřízení tohoto registru jako integrální součásti </w:t>
      </w:r>
      <w:proofErr w:type="spellStart"/>
      <w:r w:rsidRPr="00C32810">
        <w:t>ISMS</w:t>
      </w:r>
      <w:proofErr w:type="spellEnd"/>
      <w:r w:rsidRPr="00C32810">
        <w:t xml:space="preserve">, </w:t>
      </w:r>
      <w:r w:rsidR="005D2FED" w:rsidRPr="00C32810">
        <w:t xml:space="preserve">nevytvořil </w:t>
      </w:r>
      <w:proofErr w:type="spellStart"/>
      <w:r w:rsidRPr="00C32810">
        <w:t>ÚZSVM</w:t>
      </w:r>
      <w:proofErr w:type="spellEnd"/>
      <w:r w:rsidRPr="00C32810">
        <w:t xml:space="preserve"> </w:t>
      </w:r>
      <w:r w:rsidR="0097209B" w:rsidRPr="00C32810">
        <w:t xml:space="preserve">podmínky </w:t>
      </w:r>
      <w:r w:rsidR="00845FFA">
        <w:t>k </w:t>
      </w:r>
      <w:r w:rsidRPr="00C32810">
        <w:t xml:space="preserve">zajištění stanovených úkolů </w:t>
      </w:r>
      <w:r w:rsidR="00845FFA">
        <w:t>s </w:t>
      </w:r>
      <w:r w:rsidRPr="00C32810">
        <w:t xml:space="preserve">co nejnižším vynaložením </w:t>
      </w:r>
      <w:r w:rsidR="0097209B" w:rsidRPr="00C32810">
        <w:t xml:space="preserve">veřejných </w:t>
      </w:r>
      <w:r w:rsidRPr="00C32810">
        <w:t>prostředků.</w:t>
      </w:r>
      <w:r>
        <w:t xml:space="preserve"> </w:t>
      </w:r>
    </w:p>
    <w:p w14:paraId="47231A9B" w14:textId="77777777" w:rsidR="00E620C0" w:rsidRDefault="00E620C0" w:rsidP="00E620C0"/>
    <w:p w14:paraId="28C076DD" w14:textId="1D006D10" w:rsidR="00E620C0" w:rsidRDefault="00E620C0" w:rsidP="00E620C0">
      <w:r>
        <w:t>D</w:t>
      </w:r>
      <w:r w:rsidR="00715FE2">
        <w:t>louhodobá</w:t>
      </w:r>
      <w:r w:rsidRPr="007036F0">
        <w:t xml:space="preserve"> závislost na jednom dodavateli </w:t>
      </w:r>
      <w:r w:rsidR="00715FE2">
        <w:t xml:space="preserve">může mít </w:t>
      </w:r>
      <w:r w:rsidRPr="007036F0">
        <w:t xml:space="preserve">negativní dopad na hospodárnost použití peněžních prostředků </w:t>
      </w:r>
      <w:r>
        <w:t>při</w:t>
      </w:r>
      <w:r w:rsidRPr="007036F0">
        <w:t xml:space="preserve"> realizaci </w:t>
      </w:r>
      <w:r>
        <w:t>obdobných, popř. navazujících veřejných zakázek.</w:t>
      </w:r>
    </w:p>
    <w:p w14:paraId="60224E8C" w14:textId="77777777" w:rsidR="00973F75" w:rsidRDefault="00973F75" w:rsidP="00973F75"/>
    <w:p w14:paraId="1F2C2FDF" w14:textId="63466838" w:rsidR="00973F75" w:rsidRDefault="00973F75" w:rsidP="00973F75">
      <w:r w:rsidRPr="0028308F">
        <w:t xml:space="preserve">Tím, že </w:t>
      </w:r>
      <w:proofErr w:type="spellStart"/>
      <w:r w:rsidRPr="0028308F">
        <w:t>ÚZSVM</w:t>
      </w:r>
      <w:proofErr w:type="spellEnd"/>
      <w:r w:rsidRPr="0028308F">
        <w:t xml:space="preserve"> neposuzoval jiné způsoby zřízení </w:t>
      </w:r>
      <w:proofErr w:type="spellStart"/>
      <w:r w:rsidRPr="0028308F">
        <w:t>CRAB</w:t>
      </w:r>
      <w:proofErr w:type="spellEnd"/>
      <w:r w:rsidRPr="0028308F">
        <w:t>, popř. původně navrhovaného centrálního registru nemovitého majetku státu</w:t>
      </w:r>
      <w:r w:rsidR="003F7B11">
        <w:t xml:space="preserve"> (např. jako zcela nový systém)</w:t>
      </w:r>
      <w:r w:rsidRPr="0028308F">
        <w:t xml:space="preserve">, ale pouze </w:t>
      </w:r>
      <w:r w:rsidRPr="00C32810">
        <w:t xml:space="preserve">způsob zřízení tohoto registru jako integrální součásti </w:t>
      </w:r>
      <w:proofErr w:type="spellStart"/>
      <w:r w:rsidRPr="00C32810">
        <w:t>ISMS</w:t>
      </w:r>
      <w:proofErr w:type="spellEnd"/>
      <w:r w:rsidRPr="00C32810">
        <w:t>, neprověřil</w:t>
      </w:r>
      <w:r w:rsidR="0097209B" w:rsidRPr="00C32810">
        <w:t xml:space="preserve"> </w:t>
      </w:r>
      <w:r w:rsidR="00845FFA">
        <w:t>z </w:t>
      </w:r>
      <w:r w:rsidR="0097209B" w:rsidRPr="00C32810">
        <w:t>hlediska cílů finanční kontroly</w:t>
      </w:r>
      <w:r w:rsidR="00F30B87">
        <w:t>,</w:t>
      </w:r>
      <w:r w:rsidRPr="00C32810">
        <w:t xml:space="preserve"> zda navrhované řešení naplň</w:t>
      </w:r>
      <w:r w:rsidR="005D2FED">
        <w:t>uje</w:t>
      </w:r>
      <w:r w:rsidRPr="00C32810">
        <w:t xml:space="preserve"> hospodárný výkon státní správy, tedy zda </w:t>
      </w:r>
      <w:r w:rsidR="005D2FED">
        <w:t>je</w:t>
      </w:r>
      <w:r w:rsidRPr="00C32810">
        <w:t xml:space="preserve"> nejhospodárnější.</w:t>
      </w:r>
    </w:p>
    <w:p w14:paraId="7D353DC6" w14:textId="77777777" w:rsidR="00973F75" w:rsidRDefault="00973F75" w:rsidP="00973F75"/>
    <w:p w14:paraId="19CB3C5F" w14:textId="006185BF" w:rsidR="00973F75" w:rsidRDefault="00973F75" w:rsidP="00973F75">
      <w:r w:rsidRPr="00C32810">
        <w:lastRenderedPageBreak/>
        <w:t xml:space="preserve">Za </w:t>
      </w:r>
      <w:r w:rsidR="0097209B" w:rsidRPr="00C32810">
        <w:t xml:space="preserve">vytvoření </w:t>
      </w:r>
      <w:proofErr w:type="spellStart"/>
      <w:r w:rsidR="0097209B" w:rsidRPr="00C32810">
        <w:t>CRAB</w:t>
      </w:r>
      <w:proofErr w:type="spellEnd"/>
      <w:r w:rsidR="0097209B" w:rsidRPr="00C32810">
        <w:t xml:space="preserve"> (tj. </w:t>
      </w:r>
      <w:r w:rsidRPr="00C32810">
        <w:t xml:space="preserve">rozšíření </w:t>
      </w:r>
      <w:proofErr w:type="spellStart"/>
      <w:r w:rsidRPr="00C32810">
        <w:t>ISMS</w:t>
      </w:r>
      <w:proofErr w:type="spellEnd"/>
      <w:r w:rsidRPr="00C32810">
        <w:t xml:space="preserve"> o </w:t>
      </w:r>
      <w:proofErr w:type="spellStart"/>
      <w:r w:rsidRPr="00C32810">
        <w:t>CRAB</w:t>
      </w:r>
      <w:proofErr w:type="spellEnd"/>
      <w:r w:rsidR="0097209B" w:rsidRPr="00C32810">
        <w:t>)</w:t>
      </w:r>
      <w:r w:rsidRPr="00C32810">
        <w:t xml:space="preserve"> uhradil </w:t>
      </w:r>
      <w:proofErr w:type="spellStart"/>
      <w:r w:rsidRPr="00C32810">
        <w:t>ÚZSVM</w:t>
      </w:r>
      <w:proofErr w:type="spellEnd"/>
      <w:r w:rsidRPr="00C32810">
        <w:t xml:space="preserve"> dodavateli p</w:t>
      </w:r>
      <w:r w:rsidR="00C56CEB" w:rsidRPr="00C32810">
        <w:t xml:space="preserve">ůvodního </w:t>
      </w:r>
      <w:proofErr w:type="spellStart"/>
      <w:r w:rsidR="00C56CEB" w:rsidRPr="00C32810">
        <w:t>ISMS</w:t>
      </w:r>
      <w:proofErr w:type="spellEnd"/>
      <w:r w:rsidR="00C56CEB" w:rsidRPr="00C32810">
        <w:t xml:space="preserve"> částku 131 093 </w:t>
      </w:r>
      <w:r w:rsidRPr="00C32810">
        <w:t>tis. Kč. Celkem na základě tří veřejných zakázek zadan</w:t>
      </w:r>
      <w:r w:rsidR="00C56CEB" w:rsidRPr="00C32810">
        <w:t>ých v jednacím řízení bez</w:t>
      </w:r>
      <w:r w:rsidR="00845FFA">
        <w:t xml:space="preserve"> </w:t>
      </w:r>
      <w:r w:rsidRPr="00C32810">
        <w:t xml:space="preserve">uveřejnění bylo dle uzavřených smluv tomuto dodavateli v souvislosti s pořízením </w:t>
      </w:r>
      <w:proofErr w:type="spellStart"/>
      <w:r w:rsidRPr="00C32810">
        <w:t>CRAB</w:t>
      </w:r>
      <w:proofErr w:type="spellEnd"/>
      <w:r w:rsidRPr="00C32810">
        <w:t xml:space="preserve"> uhrazeno 180 884 tis. Kč.</w:t>
      </w:r>
    </w:p>
    <w:p w14:paraId="14F2BCEC" w14:textId="77777777" w:rsidR="001E41B2" w:rsidRDefault="001E41B2" w:rsidP="001E41B2"/>
    <w:p w14:paraId="141DACFF" w14:textId="58B719E9" w:rsidR="001E41B2" w:rsidRPr="00346B7A" w:rsidRDefault="009F219A" w:rsidP="001E41B2">
      <w:r>
        <w:t>P</w:t>
      </w:r>
      <w:r w:rsidR="001E41B2">
        <w:t xml:space="preserve">rojekt </w:t>
      </w:r>
      <w:proofErr w:type="spellStart"/>
      <w:r w:rsidR="001E41B2">
        <w:t>CRAB</w:t>
      </w:r>
      <w:proofErr w:type="spellEnd"/>
      <w:r w:rsidR="001E41B2">
        <w:t xml:space="preserve"> </w:t>
      </w:r>
      <w:r>
        <w:t xml:space="preserve">byl </w:t>
      </w:r>
      <w:r w:rsidR="001E41B2">
        <w:t>realizován</w:t>
      </w:r>
      <w:r>
        <w:t xml:space="preserve"> celkem</w:t>
      </w:r>
      <w:r w:rsidR="001E41B2">
        <w:t xml:space="preserve"> za 254 119 tis. Kč vč. DPH. Částka zahrnovala rozšíření </w:t>
      </w:r>
      <w:proofErr w:type="spellStart"/>
      <w:r w:rsidR="001E41B2">
        <w:t>ISMS</w:t>
      </w:r>
      <w:proofErr w:type="spellEnd"/>
      <w:r w:rsidR="001E41B2">
        <w:t xml:space="preserve"> o </w:t>
      </w:r>
      <w:proofErr w:type="spellStart"/>
      <w:r w:rsidR="001E41B2">
        <w:t>CRAB</w:t>
      </w:r>
      <w:proofErr w:type="spellEnd"/>
      <w:r w:rsidR="001E41B2">
        <w:t xml:space="preserve">, </w:t>
      </w:r>
      <w:r w:rsidR="001E41B2" w:rsidRPr="00346B7A">
        <w:t xml:space="preserve">pasportizaci vybraných státních budov, </w:t>
      </w:r>
      <w:r w:rsidR="00281344" w:rsidRPr="00346B7A">
        <w:t>atestaci</w:t>
      </w:r>
      <w:r w:rsidR="00281344">
        <w:t xml:space="preserve"> </w:t>
      </w:r>
      <w:proofErr w:type="spellStart"/>
      <w:r w:rsidR="001E41B2" w:rsidRPr="00346B7A">
        <w:t>ISVS</w:t>
      </w:r>
      <w:proofErr w:type="spellEnd"/>
      <w:r w:rsidR="001E41B2" w:rsidRPr="00346B7A">
        <w:rPr>
          <w:rStyle w:val="Znakapoznpodarou"/>
        </w:rPr>
        <w:footnoteReference w:id="11"/>
      </w:r>
      <w:r w:rsidR="001E41B2" w:rsidRPr="00346B7A">
        <w:t>, bezpečnostní oponenturu, mapovou vrstvu administrativních budov, distanční vzdělávání, hardwarové vybavení, technologie pro přístu</w:t>
      </w:r>
      <w:r w:rsidR="001E41B2">
        <w:t>p organizačních složek do</w:t>
      </w:r>
      <w:r w:rsidR="00ED1DD7">
        <w:t xml:space="preserve"> </w:t>
      </w:r>
      <w:r w:rsidR="00A25319">
        <w:t>registru a portálu, rozhraní na</w:t>
      </w:r>
      <w:r w:rsidR="002519CA">
        <w:t xml:space="preserve"> </w:t>
      </w:r>
      <w:r w:rsidR="001E41B2" w:rsidRPr="00346B7A">
        <w:t>základní registry státu, publicitu projektu</w:t>
      </w:r>
      <w:r w:rsidR="001E41B2">
        <w:t>, portál pro</w:t>
      </w:r>
      <w:r w:rsidR="002519CA">
        <w:t xml:space="preserve"> </w:t>
      </w:r>
      <w:r w:rsidR="001E41B2" w:rsidRPr="00346B7A">
        <w:t>zveřejňování nabídek nepotřebného majetku atd.</w:t>
      </w:r>
    </w:p>
    <w:p w14:paraId="3B2A3292" w14:textId="1101AE0D" w:rsidR="00F93633" w:rsidRDefault="00F93633" w:rsidP="00A80D3C"/>
    <w:p w14:paraId="61C6D7A4" w14:textId="08F17306" w:rsidR="00E97C8E" w:rsidRDefault="00C7468A" w:rsidP="00DE1E51">
      <w:pPr>
        <w:pStyle w:val="Nadpis3"/>
      </w:pPr>
      <w:r>
        <w:t>Správa</w:t>
      </w:r>
      <w:r w:rsidR="00713A6C">
        <w:t xml:space="preserve"> a provoz</w:t>
      </w:r>
      <w:r>
        <w:t xml:space="preserve"> </w:t>
      </w:r>
      <w:proofErr w:type="spellStart"/>
      <w:r>
        <w:t>CRAB</w:t>
      </w:r>
      <w:proofErr w:type="spellEnd"/>
    </w:p>
    <w:p w14:paraId="5FFC3812" w14:textId="77777777" w:rsidR="00B5328D" w:rsidRDefault="00B5328D" w:rsidP="00B5328D"/>
    <w:p w14:paraId="681DA2EF" w14:textId="67056316" w:rsidR="00AB1464" w:rsidRPr="005D6A39" w:rsidRDefault="005D6A39" w:rsidP="0074602F">
      <w:proofErr w:type="spellStart"/>
      <w:r w:rsidRPr="00C32810">
        <w:t>Ú</w:t>
      </w:r>
      <w:r w:rsidR="00AB1464" w:rsidRPr="00C32810">
        <w:t>ZSVM</w:t>
      </w:r>
      <w:proofErr w:type="spellEnd"/>
      <w:r w:rsidR="00AB1464" w:rsidRPr="00C32810">
        <w:t xml:space="preserve"> uzavřel se státním podnikem smlouvu o zajištění systémové integrace a aplikační podpory provozu </w:t>
      </w:r>
      <w:proofErr w:type="spellStart"/>
      <w:r w:rsidR="00AB1464" w:rsidRPr="00C32810">
        <w:t>ISMS</w:t>
      </w:r>
      <w:proofErr w:type="spellEnd"/>
      <w:r w:rsidR="00AB1464" w:rsidRPr="00C32810">
        <w:t xml:space="preserve"> modulu </w:t>
      </w:r>
      <w:proofErr w:type="spellStart"/>
      <w:r w:rsidR="00AB1464" w:rsidRPr="00C32810">
        <w:t>CRAB</w:t>
      </w:r>
      <w:proofErr w:type="spellEnd"/>
      <w:r w:rsidR="00AB1464" w:rsidRPr="00C32810">
        <w:t xml:space="preserve">, kam patří například zajišťování rozvoje a provozu </w:t>
      </w:r>
      <w:proofErr w:type="spellStart"/>
      <w:r w:rsidR="00AB1464" w:rsidRPr="00C32810">
        <w:t>ISMS</w:t>
      </w:r>
      <w:proofErr w:type="spellEnd"/>
      <w:r w:rsidR="00AB1464" w:rsidRPr="00C32810">
        <w:t xml:space="preserve"> modulu </w:t>
      </w:r>
      <w:proofErr w:type="spellStart"/>
      <w:r w:rsidR="00AB1464" w:rsidRPr="00C32810">
        <w:t>CRAB</w:t>
      </w:r>
      <w:proofErr w:type="spellEnd"/>
      <w:r w:rsidR="00AB1464" w:rsidRPr="00C32810">
        <w:t xml:space="preserve"> a zajištění přístupu koncových uživatelů. Z veřejně dostupných zdrojů vyplynulo, že státní podnik na zajištění těchto služeb uzavřel</w:t>
      </w:r>
      <w:r w:rsidRPr="00C32810">
        <w:t xml:space="preserve"> v jednacím řízení bez uveřejnění</w:t>
      </w:r>
      <w:r w:rsidR="00AB1464" w:rsidRPr="00C32810">
        <w:t xml:space="preserve"> smlouvu </w:t>
      </w:r>
      <w:r w:rsidR="00845FFA">
        <w:t>s </w:t>
      </w:r>
      <w:r w:rsidRPr="00C32810">
        <w:t>dodavatel</w:t>
      </w:r>
      <w:r w:rsidR="00C32810">
        <w:t>em</w:t>
      </w:r>
      <w:r w:rsidRPr="00C32810">
        <w:t xml:space="preserve"> systému </w:t>
      </w:r>
      <w:proofErr w:type="spellStart"/>
      <w:r w:rsidRPr="00C32810">
        <w:t>CRAB</w:t>
      </w:r>
      <w:proofErr w:type="spellEnd"/>
      <w:r w:rsidRPr="00C32810">
        <w:t>.</w:t>
      </w:r>
    </w:p>
    <w:p w14:paraId="1D932A49" w14:textId="77777777" w:rsidR="001A150A" w:rsidRDefault="001A150A" w:rsidP="00B24DF9"/>
    <w:p w14:paraId="0B231FA3" w14:textId="0F2DD732" w:rsidR="00B5328D" w:rsidRDefault="0074602F" w:rsidP="00B24DF9">
      <w:r>
        <w:t xml:space="preserve">Za rok 2013 uhradil </w:t>
      </w:r>
      <w:proofErr w:type="spellStart"/>
      <w:r>
        <w:t>ÚZSVM</w:t>
      </w:r>
      <w:proofErr w:type="spellEnd"/>
      <w:r>
        <w:t xml:space="preserve"> tomuto státnímu podniku za služby systémové integrace a</w:t>
      </w:r>
      <w:r w:rsidR="002519CA">
        <w:t> </w:t>
      </w:r>
      <w:r>
        <w:t xml:space="preserve">aplikační podpory provozu </w:t>
      </w:r>
      <w:proofErr w:type="spellStart"/>
      <w:r>
        <w:t>ISMS</w:t>
      </w:r>
      <w:proofErr w:type="spellEnd"/>
      <w:r>
        <w:t xml:space="preserve"> modulu </w:t>
      </w:r>
      <w:proofErr w:type="spellStart"/>
      <w:r>
        <w:t>CRAB</w:t>
      </w:r>
      <w:proofErr w:type="spellEnd"/>
      <w:r>
        <w:t xml:space="preserve"> celkem částku 62 450 588,89 Kč. </w:t>
      </w:r>
    </w:p>
    <w:p w14:paraId="503B542E" w14:textId="77777777" w:rsidR="00F15256" w:rsidRDefault="00F15256" w:rsidP="00B24DF9"/>
    <w:p w14:paraId="2591D6DD" w14:textId="7CAA2666" w:rsidR="00576FF5" w:rsidRDefault="00281344" w:rsidP="00B664AE">
      <w:pPr>
        <w:pStyle w:val="Nadpis2"/>
        <w:numPr>
          <w:ilvl w:val="0"/>
          <w:numId w:val="0"/>
        </w:numPr>
      </w:pPr>
      <w:r>
        <w:t xml:space="preserve">3. </w:t>
      </w:r>
      <w:r w:rsidR="00576FF5">
        <w:t>Novela zákona o majetku</w:t>
      </w:r>
    </w:p>
    <w:p w14:paraId="66ECA856" w14:textId="77777777" w:rsidR="00576FF5" w:rsidRDefault="00576FF5" w:rsidP="00576FF5"/>
    <w:p w14:paraId="049C24EC" w14:textId="6CA55567" w:rsidR="00576FF5" w:rsidRDefault="00576FF5" w:rsidP="00576FF5">
      <w:r w:rsidRPr="004B336C">
        <w:t>Do data ukončení kontrol</w:t>
      </w:r>
      <w:r w:rsidR="009155D3">
        <w:t>ní akce</w:t>
      </w:r>
      <w:r w:rsidRPr="004B336C">
        <w:t xml:space="preserve"> NKÚ</w:t>
      </w:r>
      <w:r>
        <w:t xml:space="preserve"> </w:t>
      </w:r>
      <w:r w:rsidRPr="004B336C">
        <w:t xml:space="preserve">nebyl přijat obecně závazný právní předpis, který </w:t>
      </w:r>
      <w:r>
        <w:t xml:space="preserve">by upravoval povinnost </w:t>
      </w:r>
      <w:r w:rsidRPr="004B336C">
        <w:t xml:space="preserve">státních institucí doplňovat údaje do </w:t>
      </w:r>
      <w:proofErr w:type="spellStart"/>
      <w:r w:rsidRPr="004B336C">
        <w:t>CRAB</w:t>
      </w:r>
      <w:proofErr w:type="spellEnd"/>
      <w:r w:rsidRPr="004B336C">
        <w:t xml:space="preserve"> a stejně tak </w:t>
      </w:r>
      <w:r>
        <w:t xml:space="preserve">působnost </w:t>
      </w:r>
      <w:proofErr w:type="spellStart"/>
      <w:r w:rsidRPr="004B336C">
        <w:t>ÚZSVM</w:t>
      </w:r>
      <w:proofErr w:type="spellEnd"/>
      <w:r w:rsidRPr="004B336C">
        <w:t xml:space="preserve"> jako správce systému pro evidenci administrativních budov </w:t>
      </w:r>
      <w:r w:rsidR="00845FFA">
        <w:t>v </w:t>
      </w:r>
      <w:r w:rsidRPr="004B336C">
        <w:t>majetku ČR.</w:t>
      </w:r>
    </w:p>
    <w:p w14:paraId="31C9F116" w14:textId="77777777" w:rsidR="001A150A" w:rsidRDefault="001A150A" w:rsidP="0097209B"/>
    <w:p w14:paraId="7F61DB95" w14:textId="5CCA3C86" w:rsidR="0097209B" w:rsidRPr="004B336C" w:rsidRDefault="00576FF5" w:rsidP="0097209B">
      <w:r w:rsidRPr="004B336C">
        <w:t xml:space="preserve">MF </w:t>
      </w:r>
      <w:r w:rsidR="0097209B" w:rsidRPr="00C32810">
        <w:t xml:space="preserve">připravilo </w:t>
      </w:r>
      <w:r w:rsidRPr="00C32810">
        <w:t>návrh novely zákona č. 219/2000 Sb., který</w:t>
      </w:r>
      <w:r w:rsidR="009155D3">
        <w:t xml:space="preserve"> </w:t>
      </w:r>
      <w:r w:rsidRPr="00C32810">
        <w:t>schválila vláda ČR dne 27.</w:t>
      </w:r>
      <w:r w:rsidR="00094653">
        <w:t> </w:t>
      </w:r>
      <w:r w:rsidRPr="00C32810">
        <w:t>2.</w:t>
      </w:r>
      <w:r w:rsidR="00094653">
        <w:t> </w:t>
      </w:r>
      <w:r w:rsidRPr="00C32810">
        <w:t xml:space="preserve">2013. Ten obsahoval kromě zákonného zřízení </w:t>
      </w:r>
      <w:proofErr w:type="spellStart"/>
      <w:r w:rsidRPr="00C32810">
        <w:t>CRAB</w:t>
      </w:r>
      <w:proofErr w:type="spellEnd"/>
      <w:r w:rsidRPr="00C32810">
        <w:t xml:space="preserve"> i zřízení centrálního registru majetku státu</w:t>
      </w:r>
      <w:r w:rsidR="00FF1EBC" w:rsidRPr="00C32810">
        <w:t>, který by zahrnoval veškerý nemovitý majetek státu</w:t>
      </w:r>
      <w:r w:rsidRPr="00C32810">
        <w:t xml:space="preserve"> </w:t>
      </w:r>
      <w:r w:rsidR="00EE774E">
        <w:t xml:space="preserve">a byl by </w:t>
      </w:r>
      <w:r w:rsidRPr="00C32810">
        <w:t>součást</w:t>
      </w:r>
      <w:r w:rsidR="00EE774E">
        <w:t>í</w:t>
      </w:r>
      <w:r w:rsidRPr="00C32810">
        <w:t xml:space="preserve"> stávajícího </w:t>
      </w:r>
      <w:r w:rsidR="00EE774E" w:rsidRPr="00B664AE">
        <w:rPr>
          <w:i/>
        </w:rPr>
        <w:t>I</w:t>
      </w:r>
      <w:r w:rsidRPr="00B664AE">
        <w:rPr>
          <w:i/>
        </w:rPr>
        <w:t xml:space="preserve">ntegrovaného informačního systému </w:t>
      </w:r>
      <w:r w:rsidR="00EE774E">
        <w:rPr>
          <w:i/>
        </w:rPr>
        <w:t>S</w:t>
      </w:r>
      <w:r w:rsidRPr="00B664AE">
        <w:rPr>
          <w:i/>
        </w:rPr>
        <w:t>tátní pokladny</w:t>
      </w:r>
      <w:r w:rsidRPr="00C32810">
        <w:t xml:space="preserve"> (dále také „</w:t>
      </w:r>
      <w:proofErr w:type="spellStart"/>
      <w:r w:rsidRPr="00C32810">
        <w:t>IISSP</w:t>
      </w:r>
      <w:proofErr w:type="spellEnd"/>
      <w:r w:rsidRPr="00C32810">
        <w:t>“).</w:t>
      </w:r>
      <w:r w:rsidR="0097209B" w:rsidRPr="00C32810">
        <w:t xml:space="preserve"> Tento návrh zákona nebyl P</w:t>
      </w:r>
      <w:r w:rsidR="00EE774E">
        <w:t>oslaneckou sněmovnou</w:t>
      </w:r>
      <w:r w:rsidR="0097209B" w:rsidRPr="00C32810">
        <w:t xml:space="preserve"> </w:t>
      </w:r>
      <w:r w:rsidR="00EE774E">
        <w:t>P</w:t>
      </w:r>
      <w:r w:rsidR="0097209B" w:rsidRPr="00C32810">
        <w:t>arlamentu ČR schválen.</w:t>
      </w:r>
    </w:p>
    <w:p w14:paraId="754112ED" w14:textId="0B92139B" w:rsidR="00576FF5" w:rsidRDefault="00576FF5" w:rsidP="00576FF5"/>
    <w:p w14:paraId="34A0B4F4" w14:textId="2EA468D4" w:rsidR="00576FF5" w:rsidRDefault="00576FF5" w:rsidP="00E552F2">
      <w:r w:rsidRPr="00356DF7">
        <w:t xml:space="preserve">V lednu </w:t>
      </w:r>
      <w:r w:rsidRPr="0094080C">
        <w:t>2014 r</w:t>
      </w:r>
      <w:r w:rsidRPr="00356DF7">
        <w:t>ozeslalo MF do vnějšího</w:t>
      </w:r>
      <w:r>
        <w:t xml:space="preserve"> připomínkového řízení materiál </w:t>
      </w:r>
      <w:r w:rsidRPr="00356DF7">
        <w:rPr>
          <w:i/>
        </w:rPr>
        <w:t xml:space="preserve">Koncepce hospodaření </w:t>
      </w:r>
      <w:r w:rsidR="00845FFA">
        <w:rPr>
          <w:i/>
        </w:rPr>
        <w:t>s </w:t>
      </w:r>
      <w:r w:rsidRPr="00356DF7">
        <w:rPr>
          <w:i/>
        </w:rPr>
        <w:t>nemovitým majetkem státu na období 2014</w:t>
      </w:r>
      <w:r w:rsidR="00D013BF">
        <w:rPr>
          <w:i/>
        </w:rPr>
        <w:t>–</w:t>
      </w:r>
      <w:r w:rsidRPr="00356DF7">
        <w:rPr>
          <w:i/>
        </w:rPr>
        <w:t>2020</w:t>
      </w:r>
      <w:r>
        <w:t xml:space="preserve">, </w:t>
      </w:r>
      <w:r w:rsidRPr="00356DF7">
        <w:rPr>
          <w:color w:val="000000"/>
        </w:rPr>
        <w:t>jeho</w:t>
      </w:r>
      <w:r>
        <w:rPr>
          <w:color w:val="000000"/>
        </w:rPr>
        <w:t>ž hlavním smyslem bylo</w:t>
      </w:r>
      <w:r w:rsidRPr="00356DF7">
        <w:rPr>
          <w:color w:val="000000"/>
        </w:rPr>
        <w:t xml:space="preserve"> vytvoření centralizovaného systému hospodaření s nemovitým majetkem státu v horizontu </w:t>
      </w:r>
      <w:r w:rsidR="00D013BF">
        <w:rPr>
          <w:color w:val="000000"/>
        </w:rPr>
        <w:t xml:space="preserve">let </w:t>
      </w:r>
      <w:r w:rsidRPr="00356DF7">
        <w:rPr>
          <w:color w:val="000000"/>
        </w:rPr>
        <w:t>2</w:t>
      </w:r>
      <w:r>
        <w:rPr>
          <w:color w:val="000000"/>
        </w:rPr>
        <w:t>014–2020 (mj. i s odkazem na</w:t>
      </w:r>
      <w:r w:rsidR="00D013BF">
        <w:rPr>
          <w:color w:val="000000"/>
        </w:rPr>
        <w:t xml:space="preserve"> </w:t>
      </w:r>
      <w:r>
        <w:rPr>
          <w:color w:val="000000"/>
        </w:rPr>
        <w:t>zahraniční zkušenosti)</w:t>
      </w:r>
      <w:r w:rsidRPr="00356DF7">
        <w:rPr>
          <w:color w:val="000000"/>
        </w:rPr>
        <w:t xml:space="preserve"> způsobem rozšíření kompetencí </w:t>
      </w:r>
      <w:proofErr w:type="spellStart"/>
      <w:r w:rsidRPr="00356DF7">
        <w:rPr>
          <w:color w:val="000000"/>
        </w:rPr>
        <w:t>ÚZSVM</w:t>
      </w:r>
      <w:proofErr w:type="spellEnd"/>
      <w:r w:rsidRPr="00356DF7">
        <w:rPr>
          <w:color w:val="000000"/>
        </w:rPr>
        <w:t>, který by měl plnit roli centrální instituce řízení a správy portfolia nemovitostí stá</w:t>
      </w:r>
      <w:r>
        <w:rPr>
          <w:color w:val="000000"/>
        </w:rPr>
        <w:t xml:space="preserve">tu. Návrh koncepce počítal mj. s úpravou informačních systémů </w:t>
      </w:r>
      <w:proofErr w:type="spellStart"/>
      <w:r w:rsidRPr="00356DF7">
        <w:rPr>
          <w:color w:val="000000"/>
        </w:rPr>
        <w:t>ÚZSVM</w:t>
      </w:r>
      <w:proofErr w:type="spellEnd"/>
      <w:r w:rsidRPr="00356DF7">
        <w:rPr>
          <w:color w:val="000000"/>
        </w:rPr>
        <w:t xml:space="preserve"> tak, aby </w:t>
      </w:r>
      <w:r w:rsidR="00845FFA">
        <w:rPr>
          <w:color w:val="000000"/>
        </w:rPr>
        <w:t>v </w:t>
      </w:r>
      <w:r w:rsidRPr="00356DF7">
        <w:rPr>
          <w:color w:val="000000"/>
        </w:rPr>
        <w:t>nich mohl být evidován veškerý nemovitý státní majetek</w:t>
      </w:r>
      <w:r>
        <w:t xml:space="preserve">. </w:t>
      </w:r>
      <w:r>
        <w:rPr>
          <w:color w:val="000000"/>
        </w:rPr>
        <w:t xml:space="preserve">Jeden </w:t>
      </w:r>
      <w:r w:rsidR="00845FFA">
        <w:rPr>
          <w:color w:val="000000"/>
        </w:rPr>
        <w:t>z </w:t>
      </w:r>
      <w:r>
        <w:rPr>
          <w:color w:val="000000"/>
        </w:rPr>
        <w:t>rozdílů mezi</w:t>
      </w:r>
      <w:r w:rsidR="00D013BF">
        <w:rPr>
          <w:color w:val="000000"/>
        </w:rPr>
        <w:t xml:space="preserve"> </w:t>
      </w:r>
      <w:r>
        <w:rPr>
          <w:color w:val="000000"/>
        </w:rPr>
        <w:t>návrhem novely zákona č. 219/2000 Sb. schváleným vládou dne 27. 2. </w:t>
      </w:r>
      <w:r w:rsidR="00FF1EBC">
        <w:rPr>
          <w:color w:val="000000"/>
        </w:rPr>
        <w:t>2013 a </w:t>
      </w:r>
      <w:r>
        <w:rPr>
          <w:color w:val="000000"/>
        </w:rPr>
        <w:t xml:space="preserve">materiálem </w:t>
      </w:r>
      <w:r w:rsidRPr="00356DF7">
        <w:rPr>
          <w:i/>
        </w:rPr>
        <w:t xml:space="preserve">Koncepce hospodaření </w:t>
      </w:r>
      <w:r w:rsidR="00845FFA">
        <w:rPr>
          <w:i/>
        </w:rPr>
        <w:t>s </w:t>
      </w:r>
      <w:r w:rsidRPr="00356DF7">
        <w:rPr>
          <w:i/>
        </w:rPr>
        <w:t>nemovitým majetkem státu na období 2014</w:t>
      </w:r>
      <w:r w:rsidR="00D013BF">
        <w:rPr>
          <w:i/>
        </w:rPr>
        <w:t>–</w:t>
      </w:r>
      <w:r w:rsidRPr="00356DF7">
        <w:rPr>
          <w:i/>
        </w:rPr>
        <w:t>2020</w:t>
      </w:r>
      <w:r>
        <w:t xml:space="preserve"> spočíval </w:t>
      </w:r>
      <w:r w:rsidR="00845FFA">
        <w:t>v</w:t>
      </w:r>
      <w:r w:rsidR="00D013BF">
        <w:t> </w:t>
      </w:r>
      <w:r w:rsidR="002519CA">
        <w:t>explicitním</w:t>
      </w:r>
      <w:r w:rsidR="00D013BF">
        <w:t xml:space="preserve"> </w:t>
      </w:r>
      <w:r>
        <w:t xml:space="preserve">určení, která státní instituce by měla být správcem a provozovatelem případného registru veškerého nemovitého majetku státu, zda tedy </w:t>
      </w:r>
      <w:proofErr w:type="spellStart"/>
      <w:r>
        <w:t>ÚZSVM</w:t>
      </w:r>
      <w:proofErr w:type="spellEnd"/>
      <w:r>
        <w:t xml:space="preserve"> (prostřednictvím </w:t>
      </w:r>
      <w:proofErr w:type="spellStart"/>
      <w:r>
        <w:t>ISMS</w:t>
      </w:r>
      <w:proofErr w:type="spellEnd"/>
      <w:r>
        <w:t xml:space="preserve"> </w:t>
      </w:r>
      <w:r w:rsidR="00D013BF">
        <w:t xml:space="preserve">a jeho modulu </w:t>
      </w:r>
      <w:proofErr w:type="spellStart"/>
      <w:r>
        <w:t>CRAB</w:t>
      </w:r>
      <w:proofErr w:type="spellEnd"/>
      <w:r>
        <w:t xml:space="preserve">) nebo MF (prostřednictvím </w:t>
      </w:r>
      <w:proofErr w:type="spellStart"/>
      <w:r>
        <w:t>IISSP</w:t>
      </w:r>
      <w:proofErr w:type="spellEnd"/>
      <w:r>
        <w:t>).</w:t>
      </w:r>
      <w:r w:rsidR="00E552F2">
        <w:t xml:space="preserve"> </w:t>
      </w:r>
    </w:p>
    <w:p w14:paraId="66B0BEBA" w14:textId="77777777" w:rsidR="00576FF5" w:rsidRDefault="00576FF5" w:rsidP="00B24DF9"/>
    <w:p w14:paraId="132BD494" w14:textId="77777777" w:rsidR="006824CB" w:rsidRDefault="006824CB" w:rsidP="00B24DF9"/>
    <w:p w14:paraId="1148D0E0" w14:textId="77777777" w:rsidR="00B664AE" w:rsidRDefault="00B664AE" w:rsidP="00B24DF9"/>
    <w:p w14:paraId="3181E915" w14:textId="77777777" w:rsidR="00B664AE" w:rsidRDefault="00B664AE" w:rsidP="00B24DF9"/>
    <w:p w14:paraId="5FD79DF3" w14:textId="77777777" w:rsidR="00B664AE" w:rsidRDefault="00B664AE" w:rsidP="00B24DF9"/>
    <w:p w14:paraId="6DD34C84" w14:textId="77777777" w:rsidR="00B664AE" w:rsidRDefault="00B664AE" w:rsidP="00B24DF9"/>
    <w:p w14:paraId="51D5E829" w14:textId="4ACF2623" w:rsidR="00B32879" w:rsidRDefault="00F30B87" w:rsidP="00B664AE">
      <w:pPr>
        <w:pStyle w:val="Nadpis1"/>
        <w:numPr>
          <w:ilvl w:val="0"/>
          <w:numId w:val="0"/>
        </w:numPr>
      </w:pPr>
      <w:r>
        <w:lastRenderedPageBreak/>
        <w:t xml:space="preserve">III. </w:t>
      </w:r>
      <w:r w:rsidR="00B32879" w:rsidRPr="00B51305">
        <w:t>Shrnutí</w:t>
      </w:r>
    </w:p>
    <w:p w14:paraId="5603E20D" w14:textId="77777777" w:rsidR="000765C4" w:rsidRDefault="000765C4" w:rsidP="00B24DF9"/>
    <w:p w14:paraId="03A8A4B4" w14:textId="764B073F" w:rsidR="00B82BD6" w:rsidRDefault="00845FFA" w:rsidP="00B82BD6">
      <w:pPr>
        <w:rPr>
          <w:b/>
        </w:rPr>
      </w:pPr>
      <w:r>
        <w:rPr>
          <w:b/>
        </w:rPr>
        <w:t>V </w:t>
      </w:r>
      <w:r w:rsidR="00B82BD6">
        <w:rPr>
          <w:b/>
        </w:rPr>
        <w:t xml:space="preserve">roce 2013 měla kontrolovaná ministerstva na území hl. m. Prahy v objektech, se kterými jsou příslušná hospodařit, více než 161,5 tis. </w:t>
      </w:r>
      <w:proofErr w:type="spellStart"/>
      <w:r w:rsidR="00B82BD6">
        <w:rPr>
          <w:b/>
        </w:rPr>
        <w:t>m</w:t>
      </w:r>
      <w:r w:rsidR="00B82BD6" w:rsidRPr="001E0C59">
        <w:rPr>
          <w:b/>
          <w:vertAlign w:val="superscript"/>
        </w:rPr>
        <w:t>2</w:t>
      </w:r>
      <w:proofErr w:type="spellEnd"/>
      <w:r w:rsidR="00B82BD6">
        <w:rPr>
          <w:b/>
        </w:rPr>
        <w:t xml:space="preserve"> kancelářských ploch</w:t>
      </w:r>
      <w:r w:rsidR="00B82BD6">
        <w:rPr>
          <w:rStyle w:val="Znakapoznpodarou"/>
          <w:b/>
        </w:rPr>
        <w:footnoteReference w:id="12"/>
      </w:r>
      <w:r w:rsidR="00B82BD6">
        <w:rPr>
          <w:b/>
        </w:rPr>
        <w:t xml:space="preserve">. Z toho 150,3 tis. </w:t>
      </w:r>
      <w:proofErr w:type="spellStart"/>
      <w:r w:rsidR="00B82BD6">
        <w:rPr>
          <w:b/>
        </w:rPr>
        <w:t>m</w:t>
      </w:r>
      <w:r w:rsidR="00B82BD6" w:rsidRPr="001E0C59">
        <w:rPr>
          <w:b/>
          <w:vertAlign w:val="superscript"/>
        </w:rPr>
        <w:t>2</w:t>
      </w:r>
      <w:proofErr w:type="spellEnd"/>
      <w:r w:rsidR="00B82BD6">
        <w:rPr>
          <w:b/>
        </w:rPr>
        <w:t xml:space="preserve"> sama využívala a 9,7 tis. </w:t>
      </w:r>
      <w:proofErr w:type="spellStart"/>
      <w:r w:rsidR="00B82BD6">
        <w:rPr>
          <w:b/>
        </w:rPr>
        <w:t>m</w:t>
      </w:r>
      <w:r w:rsidR="00B82BD6" w:rsidRPr="001E0C59">
        <w:rPr>
          <w:b/>
          <w:vertAlign w:val="superscript"/>
        </w:rPr>
        <w:t>2</w:t>
      </w:r>
      <w:proofErr w:type="spellEnd"/>
      <w:r w:rsidR="00B82BD6">
        <w:rPr>
          <w:b/>
          <w:vertAlign w:val="superscript"/>
        </w:rPr>
        <w:t xml:space="preserve"> </w:t>
      </w:r>
      <w:r w:rsidR="00B82BD6" w:rsidRPr="00444612">
        <w:rPr>
          <w:b/>
        </w:rPr>
        <w:t>přenechávala do užívání jiným subjektům.</w:t>
      </w:r>
      <w:r w:rsidR="00B82BD6">
        <w:rPr>
          <w:b/>
        </w:rPr>
        <w:t xml:space="preserve"> Zbývající plocha nebyla využita.</w:t>
      </w:r>
    </w:p>
    <w:p w14:paraId="77C33A0B" w14:textId="77777777" w:rsidR="00B82BD6" w:rsidRDefault="00B82BD6" w:rsidP="00B82BD6">
      <w:pPr>
        <w:rPr>
          <w:b/>
        </w:rPr>
      </w:pPr>
    </w:p>
    <w:p w14:paraId="1796C217" w14:textId="42451061" w:rsidR="00B82BD6" w:rsidRPr="0097209B" w:rsidRDefault="00B82BD6" w:rsidP="00B82BD6">
      <w:pPr>
        <w:rPr>
          <w:b/>
          <w:strike/>
        </w:rPr>
      </w:pPr>
      <w:r>
        <w:rPr>
          <w:b/>
        </w:rPr>
        <w:t xml:space="preserve">V majetku státu je </w:t>
      </w:r>
      <w:r w:rsidR="00845FFA">
        <w:rPr>
          <w:b/>
        </w:rPr>
        <w:t>v </w:t>
      </w:r>
      <w:r>
        <w:rPr>
          <w:b/>
        </w:rPr>
        <w:t>centru hl. m. Prahy volný objekt o výměře</w:t>
      </w:r>
      <w:r w:rsidR="005D67DD">
        <w:rPr>
          <w:rStyle w:val="Znakapoznpodarou"/>
          <w:b/>
        </w:rPr>
        <w:footnoteReference w:id="13"/>
      </w:r>
      <w:r>
        <w:rPr>
          <w:b/>
        </w:rPr>
        <w:t xml:space="preserve"> 3,8 tis. </w:t>
      </w:r>
      <w:proofErr w:type="spellStart"/>
      <w:r>
        <w:rPr>
          <w:b/>
        </w:rPr>
        <w:t>m</w:t>
      </w:r>
      <w:r w:rsidRPr="00697E41">
        <w:rPr>
          <w:b/>
          <w:vertAlign w:val="superscript"/>
        </w:rPr>
        <w:t>2</w:t>
      </w:r>
      <w:proofErr w:type="spellEnd"/>
      <w:r>
        <w:rPr>
          <w:b/>
        </w:rPr>
        <w:t xml:space="preserve">, který by mohl být po provedení oprav a rekonstrukcí využit pro administrativní účely. </w:t>
      </w:r>
    </w:p>
    <w:p w14:paraId="0DA0BD35" w14:textId="77777777" w:rsidR="00B82BD6" w:rsidRDefault="00B82BD6" w:rsidP="00B82BD6">
      <w:pPr>
        <w:rPr>
          <w:b/>
        </w:rPr>
      </w:pPr>
    </w:p>
    <w:p w14:paraId="7EBE2068" w14:textId="25E528E4" w:rsidR="003628AB" w:rsidRPr="00671FA4" w:rsidRDefault="00B82BD6" w:rsidP="003628AB">
      <w:r>
        <w:rPr>
          <w:b/>
        </w:rPr>
        <w:t>B</w:t>
      </w:r>
      <w:r w:rsidRPr="00671FA4">
        <w:rPr>
          <w:b/>
        </w:rPr>
        <w:t>yly zjištěny</w:t>
      </w:r>
      <w:r>
        <w:rPr>
          <w:b/>
        </w:rPr>
        <w:t xml:space="preserve"> v</w:t>
      </w:r>
      <w:r w:rsidRPr="00671FA4">
        <w:rPr>
          <w:b/>
        </w:rPr>
        <w:t>ýznamné rozdíly v oblasti nájemného za užívání cizích prostor. Jednotkové ceny nájemného dle smluv uzavřených se soukromými subjekty se pohyboval</w:t>
      </w:r>
      <w:r w:rsidR="00D013BF">
        <w:rPr>
          <w:b/>
        </w:rPr>
        <w:t>y</w:t>
      </w:r>
      <w:r w:rsidRPr="00671FA4">
        <w:rPr>
          <w:b/>
        </w:rPr>
        <w:t xml:space="preserve"> v rozpětí </w:t>
      </w:r>
      <w:r w:rsidR="00D013BF">
        <w:rPr>
          <w:b/>
        </w:rPr>
        <w:t>od</w:t>
      </w:r>
      <w:r w:rsidRPr="00671FA4">
        <w:rPr>
          <w:b/>
        </w:rPr>
        <w:t xml:space="preserve"> 1,7 tis. Kč/</w:t>
      </w:r>
      <w:proofErr w:type="spellStart"/>
      <w:r w:rsidRPr="00671FA4">
        <w:rPr>
          <w:b/>
        </w:rPr>
        <w:t>m</w:t>
      </w:r>
      <w:r w:rsidRPr="00671FA4">
        <w:rPr>
          <w:b/>
          <w:vertAlign w:val="superscript"/>
        </w:rPr>
        <w:t>2</w:t>
      </w:r>
      <w:proofErr w:type="spellEnd"/>
      <w:r w:rsidRPr="00671FA4">
        <w:rPr>
          <w:b/>
        </w:rPr>
        <w:t>/rok až po</w:t>
      </w:r>
      <w:r w:rsidR="00D013BF">
        <w:rPr>
          <w:b/>
        </w:rPr>
        <w:t xml:space="preserve"> </w:t>
      </w:r>
      <w:r w:rsidRPr="00671FA4">
        <w:rPr>
          <w:b/>
        </w:rPr>
        <w:t>6,6 tis. Kč/</w:t>
      </w:r>
      <w:proofErr w:type="spellStart"/>
      <w:r w:rsidRPr="00671FA4">
        <w:rPr>
          <w:b/>
        </w:rPr>
        <w:t>m</w:t>
      </w:r>
      <w:r w:rsidRPr="00671FA4">
        <w:rPr>
          <w:b/>
          <w:vertAlign w:val="superscript"/>
        </w:rPr>
        <w:t>2</w:t>
      </w:r>
      <w:proofErr w:type="spellEnd"/>
      <w:r w:rsidRPr="00671FA4">
        <w:rPr>
          <w:b/>
        </w:rPr>
        <w:t xml:space="preserve">/rok. Nejvyšší sjednané nájemné </w:t>
      </w:r>
      <w:r w:rsidR="00D013BF">
        <w:rPr>
          <w:b/>
        </w:rPr>
        <w:t>bylo zjištěno</w:t>
      </w:r>
      <w:r w:rsidRPr="00671FA4">
        <w:rPr>
          <w:b/>
        </w:rPr>
        <w:t xml:space="preserve"> </w:t>
      </w:r>
      <w:r w:rsidR="003D0919">
        <w:rPr>
          <w:b/>
        </w:rPr>
        <w:t>u </w:t>
      </w:r>
      <w:r w:rsidRPr="00671FA4">
        <w:rPr>
          <w:b/>
        </w:rPr>
        <w:t>MŠMT</w:t>
      </w:r>
      <w:r>
        <w:rPr>
          <w:b/>
        </w:rPr>
        <w:t>.</w:t>
      </w:r>
      <w:r w:rsidRPr="00671FA4">
        <w:rPr>
          <w:b/>
        </w:rPr>
        <w:t xml:space="preserve"> V roce 2013 uhradilo </w:t>
      </w:r>
      <w:r w:rsidR="003D0919">
        <w:rPr>
          <w:b/>
        </w:rPr>
        <w:t xml:space="preserve">MŠMT </w:t>
      </w:r>
      <w:r w:rsidRPr="00671FA4">
        <w:rPr>
          <w:b/>
        </w:rPr>
        <w:t xml:space="preserve">za plochy </w:t>
      </w:r>
      <w:r w:rsidR="00690DC9">
        <w:rPr>
          <w:b/>
        </w:rPr>
        <w:t>o </w:t>
      </w:r>
      <w:r w:rsidR="00385590">
        <w:rPr>
          <w:b/>
        </w:rPr>
        <w:t>výměře</w:t>
      </w:r>
      <w:r w:rsidR="00690DC9">
        <w:rPr>
          <w:b/>
        </w:rPr>
        <w:t xml:space="preserve"> </w:t>
      </w:r>
      <w:r w:rsidRPr="00671FA4">
        <w:rPr>
          <w:b/>
        </w:rPr>
        <w:t>cca</w:t>
      </w:r>
      <w:r w:rsidR="003D0919">
        <w:rPr>
          <w:b/>
        </w:rPr>
        <w:t> </w:t>
      </w:r>
      <w:r w:rsidRPr="00671FA4">
        <w:rPr>
          <w:b/>
        </w:rPr>
        <w:t>5,5</w:t>
      </w:r>
      <w:r w:rsidR="004F7300">
        <w:rPr>
          <w:b/>
        </w:rPr>
        <w:t> </w:t>
      </w:r>
      <w:r w:rsidRPr="00671FA4">
        <w:rPr>
          <w:b/>
        </w:rPr>
        <w:t>tis.</w:t>
      </w:r>
      <w:r w:rsidR="004F7300">
        <w:rPr>
          <w:b/>
        </w:rPr>
        <w:t> </w:t>
      </w:r>
      <w:proofErr w:type="spellStart"/>
      <w:r w:rsidRPr="00671FA4">
        <w:rPr>
          <w:b/>
        </w:rPr>
        <w:t>m</w:t>
      </w:r>
      <w:r w:rsidRPr="00671FA4">
        <w:rPr>
          <w:b/>
          <w:vertAlign w:val="superscript"/>
        </w:rPr>
        <w:t>2</w:t>
      </w:r>
      <w:proofErr w:type="spellEnd"/>
      <w:r w:rsidRPr="00671FA4">
        <w:rPr>
          <w:b/>
        </w:rPr>
        <w:t xml:space="preserve"> 38,5</w:t>
      </w:r>
      <w:r w:rsidR="004F7300">
        <w:rPr>
          <w:b/>
        </w:rPr>
        <w:t> </w:t>
      </w:r>
      <w:r w:rsidRPr="00671FA4">
        <w:rPr>
          <w:b/>
        </w:rPr>
        <w:t>mil.</w:t>
      </w:r>
      <w:r w:rsidR="004F7300">
        <w:rPr>
          <w:b/>
        </w:rPr>
        <w:t> </w:t>
      </w:r>
      <w:r w:rsidRPr="00671FA4">
        <w:rPr>
          <w:b/>
        </w:rPr>
        <w:t>Kč.</w:t>
      </w:r>
      <w:r w:rsidR="003628AB">
        <w:rPr>
          <w:b/>
        </w:rPr>
        <w:t xml:space="preserve"> Nájemní vztah je smlouvou ujednán do roku 2016.</w:t>
      </w:r>
    </w:p>
    <w:p w14:paraId="63AF7140" w14:textId="77777777" w:rsidR="00B82BD6" w:rsidRPr="00BB61E7" w:rsidRDefault="00B82BD6" w:rsidP="00B82BD6">
      <w:pPr>
        <w:rPr>
          <w:b/>
        </w:rPr>
      </w:pPr>
    </w:p>
    <w:p w14:paraId="5C98923E" w14:textId="39423C18" w:rsidR="00B82BD6" w:rsidRDefault="00B82BD6" w:rsidP="00B82BD6">
      <w:pPr>
        <w:rPr>
          <w:b/>
        </w:rPr>
      </w:pPr>
      <w:r w:rsidRPr="00444612">
        <w:rPr>
          <w:b/>
        </w:rPr>
        <w:t xml:space="preserve">Jednotkový ukazatel počtu </w:t>
      </w:r>
      <w:proofErr w:type="spellStart"/>
      <w:r w:rsidRPr="00444612">
        <w:rPr>
          <w:b/>
        </w:rPr>
        <w:t>m</w:t>
      </w:r>
      <w:r w:rsidRPr="00444612">
        <w:rPr>
          <w:b/>
          <w:vertAlign w:val="superscript"/>
        </w:rPr>
        <w:t>2</w:t>
      </w:r>
      <w:proofErr w:type="spellEnd"/>
      <w:r>
        <w:rPr>
          <w:b/>
        </w:rPr>
        <w:t xml:space="preserve"> ploch kanceláří na zaměstnance</w:t>
      </w:r>
      <w:r w:rsidR="00600D18">
        <w:rPr>
          <w:b/>
        </w:rPr>
        <w:t xml:space="preserve"> se mezi šesti </w:t>
      </w:r>
      <w:r w:rsidRPr="00444612">
        <w:rPr>
          <w:b/>
        </w:rPr>
        <w:t>kontrolovanými ministerstvy lišil. P</w:t>
      </w:r>
      <w:r>
        <w:rPr>
          <w:b/>
        </w:rPr>
        <w:t>ohyboval se v rozpětí od 11,0</w:t>
      </w:r>
      <w:r w:rsidR="004F7300">
        <w:rPr>
          <w:b/>
        </w:rPr>
        <w:t> </w:t>
      </w:r>
      <w:proofErr w:type="spellStart"/>
      <w:r w:rsidRPr="00444612">
        <w:rPr>
          <w:b/>
        </w:rPr>
        <w:t>m</w:t>
      </w:r>
      <w:r w:rsidRPr="00444612">
        <w:rPr>
          <w:b/>
          <w:vertAlign w:val="superscript"/>
        </w:rPr>
        <w:t>2</w:t>
      </w:r>
      <w:proofErr w:type="spellEnd"/>
      <w:r w:rsidRPr="00444612">
        <w:rPr>
          <w:b/>
        </w:rPr>
        <w:t xml:space="preserve"> do 15,3 </w:t>
      </w:r>
      <w:proofErr w:type="spellStart"/>
      <w:r w:rsidRPr="00444612">
        <w:rPr>
          <w:b/>
        </w:rPr>
        <w:t>m</w:t>
      </w:r>
      <w:r w:rsidRPr="00444612">
        <w:rPr>
          <w:b/>
          <w:vertAlign w:val="superscript"/>
        </w:rPr>
        <w:t>2</w:t>
      </w:r>
      <w:proofErr w:type="spellEnd"/>
      <w:r w:rsidRPr="00444612">
        <w:rPr>
          <w:b/>
        </w:rPr>
        <w:t xml:space="preserve">. Významný vliv na hodnotu ukazatele plochy kanceláří na </w:t>
      </w:r>
      <w:r>
        <w:rPr>
          <w:b/>
        </w:rPr>
        <w:t>zaměstnance</w:t>
      </w:r>
      <w:r w:rsidRPr="00444612">
        <w:rPr>
          <w:b/>
        </w:rPr>
        <w:t xml:space="preserve"> má charakter objektu a případné aktuální řešení dislokací kontrolovaných osob.</w:t>
      </w:r>
    </w:p>
    <w:p w14:paraId="642F473D" w14:textId="77777777" w:rsidR="00B82BD6" w:rsidRDefault="00B82BD6" w:rsidP="00B82BD6">
      <w:pPr>
        <w:rPr>
          <w:b/>
        </w:rPr>
      </w:pPr>
    </w:p>
    <w:p w14:paraId="1CEAAA61" w14:textId="1E64F9C8" w:rsidR="00352611" w:rsidRDefault="00B82BD6" w:rsidP="00B82BD6">
      <w:pPr>
        <w:rPr>
          <w:b/>
        </w:rPr>
      </w:pPr>
      <w:r w:rsidRPr="00D95CA6">
        <w:rPr>
          <w:b/>
        </w:rPr>
        <w:t xml:space="preserve">Pro zajištění jednotné evidence administrativních budov státu, přehledu o jejich využití a o volných plochách byla usnesením vlády ČR z prosince 2012 uložena </w:t>
      </w:r>
      <w:r w:rsidRPr="004F1A82">
        <w:rPr>
          <w:b/>
        </w:rPr>
        <w:t xml:space="preserve">členům vlády a vedoucím ostatních ústředních orgánů státní správy </w:t>
      </w:r>
      <w:r w:rsidRPr="00D95CA6">
        <w:rPr>
          <w:b/>
        </w:rPr>
        <w:t xml:space="preserve">povinnost </w:t>
      </w:r>
      <w:r>
        <w:rPr>
          <w:b/>
        </w:rPr>
        <w:t>zabezpečit evidenci</w:t>
      </w:r>
      <w:r w:rsidRPr="00D95CA6">
        <w:rPr>
          <w:b/>
        </w:rPr>
        <w:t xml:space="preserve"> administrativních budov a </w:t>
      </w:r>
      <w:r w:rsidR="00845FFA">
        <w:rPr>
          <w:b/>
        </w:rPr>
        <w:t>s </w:t>
      </w:r>
      <w:r w:rsidRPr="00D95CA6">
        <w:rPr>
          <w:b/>
        </w:rPr>
        <w:t>nimi so</w:t>
      </w:r>
      <w:r w:rsidR="00352611">
        <w:rPr>
          <w:b/>
        </w:rPr>
        <w:t>uvisejících nemovitostí v </w:t>
      </w:r>
      <w:proofErr w:type="spellStart"/>
      <w:r w:rsidR="00352611">
        <w:rPr>
          <w:b/>
        </w:rPr>
        <w:t>CRAB</w:t>
      </w:r>
      <w:proofErr w:type="spellEnd"/>
      <w:r w:rsidR="00352611">
        <w:rPr>
          <w:b/>
        </w:rPr>
        <w:t xml:space="preserve">. Tato povinnost nebyla dosud ošetřena zákonem, který by mj. </w:t>
      </w:r>
      <w:r w:rsidRPr="00D95CA6">
        <w:rPr>
          <w:b/>
        </w:rPr>
        <w:t xml:space="preserve">odstranil některé problémy, jež registr v současné době provázejí, </w:t>
      </w:r>
      <w:r w:rsidR="00352611">
        <w:rPr>
          <w:b/>
        </w:rPr>
        <w:t>a stanovil správce registru a</w:t>
      </w:r>
      <w:r w:rsidR="006824CB">
        <w:rPr>
          <w:b/>
        </w:rPr>
        <w:t> </w:t>
      </w:r>
      <w:r w:rsidR="00352611">
        <w:rPr>
          <w:b/>
        </w:rPr>
        <w:t>jeho působnost.</w:t>
      </w:r>
    </w:p>
    <w:p w14:paraId="3FCEF098" w14:textId="77777777" w:rsidR="00B82BD6" w:rsidRDefault="00B82BD6" w:rsidP="00B82BD6">
      <w:pPr>
        <w:rPr>
          <w:b/>
        </w:rPr>
      </w:pPr>
    </w:p>
    <w:p w14:paraId="00F0CEBD" w14:textId="7D246A59" w:rsidR="00B82BD6" w:rsidRPr="00671FA4" w:rsidRDefault="00C32810" w:rsidP="00B82BD6">
      <w:pPr>
        <w:rPr>
          <w:b/>
        </w:rPr>
      </w:pPr>
      <w:r>
        <w:rPr>
          <w:b/>
        </w:rPr>
        <w:t>D</w:t>
      </w:r>
      <w:r w:rsidRPr="00C32810">
        <w:rPr>
          <w:b/>
        </w:rPr>
        <w:t xml:space="preserve">ata do systému </w:t>
      </w:r>
      <w:proofErr w:type="spellStart"/>
      <w:r w:rsidRPr="00C32810">
        <w:rPr>
          <w:b/>
        </w:rPr>
        <w:t>CRAB</w:t>
      </w:r>
      <w:proofErr w:type="spellEnd"/>
      <w:r w:rsidRPr="00C32810">
        <w:rPr>
          <w:b/>
        </w:rPr>
        <w:t xml:space="preserve"> vkládají </w:t>
      </w:r>
      <w:r>
        <w:rPr>
          <w:b/>
        </w:rPr>
        <w:t>j</w:t>
      </w:r>
      <w:r w:rsidR="00B82BD6" w:rsidRPr="00C32810">
        <w:rPr>
          <w:b/>
        </w:rPr>
        <w:t>ednotlivé státní instituce.</w:t>
      </w:r>
      <w:r w:rsidR="00B82BD6" w:rsidRPr="00671FA4">
        <w:rPr>
          <w:b/>
        </w:rPr>
        <w:t xml:space="preserve"> </w:t>
      </w:r>
      <w:proofErr w:type="spellStart"/>
      <w:r w:rsidR="00B82BD6" w:rsidRPr="00671FA4">
        <w:rPr>
          <w:b/>
        </w:rPr>
        <w:t>ÚZSVM</w:t>
      </w:r>
      <w:proofErr w:type="spellEnd"/>
      <w:r w:rsidR="00B82BD6" w:rsidRPr="00671FA4">
        <w:rPr>
          <w:b/>
        </w:rPr>
        <w:t xml:space="preserve"> nemá možnost </w:t>
      </w:r>
      <w:r>
        <w:rPr>
          <w:b/>
        </w:rPr>
        <w:t xml:space="preserve">kontrolovat </w:t>
      </w:r>
      <w:r w:rsidR="00B82BD6" w:rsidRPr="00671FA4">
        <w:rPr>
          <w:b/>
        </w:rPr>
        <w:t>správnost a úplnost dat vložených do </w:t>
      </w:r>
      <w:proofErr w:type="spellStart"/>
      <w:r w:rsidR="00B82BD6" w:rsidRPr="00671FA4">
        <w:rPr>
          <w:b/>
        </w:rPr>
        <w:t>CRAB</w:t>
      </w:r>
      <w:proofErr w:type="spellEnd"/>
      <w:r w:rsidR="00B82BD6" w:rsidRPr="00671FA4">
        <w:rPr>
          <w:b/>
        </w:rPr>
        <w:t>. Kontrol</w:t>
      </w:r>
      <w:r w:rsidR="004F7300">
        <w:rPr>
          <w:b/>
        </w:rPr>
        <w:t>ní akcí</w:t>
      </w:r>
      <w:r w:rsidR="00B82BD6" w:rsidRPr="00671FA4">
        <w:rPr>
          <w:b/>
        </w:rPr>
        <w:t xml:space="preserve"> </w:t>
      </w:r>
      <w:r w:rsidR="00EC5146">
        <w:rPr>
          <w:b/>
        </w:rPr>
        <w:t xml:space="preserve">NKÚ </w:t>
      </w:r>
      <w:r w:rsidR="00B82BD6" w:rsidRPr="00671FA4">
        <w:rPr>
          <w:b/>
        </w:rPr>
        <w:t xml:space="preserve">byly zjištěny nesrovnalosti ve vložených datech. Některé objekty, ve kterých byly v době kontroly NKÚ prokazatelně volné kancelářské prostory, byly </w:t>
      </w:r>
      <w:r w:rsidR="00845FFA">
        <w:rPr>
          <w:b/>
        </w:rPr>
        <w:t>v </w:t>
      </w:r>
      <w:proofErr w:type="spellStart"/>
      <w:r w:rsidR="00B82BD6" w:rsidRPr="00671FA4">
        <w:rPr>
          <w:b/>
        </w:rPr>
        <w:t>CRAB</w:t>
      </w:r>
      <w:proofErr w:type="spellEnd"/>
      <w:r w:rsidR="00B82BD6" w:rsidRPr="00671FA4">
        <w:rPr>
          <w:b/>
        </w:rPr>
        <w:t xml:space="preserve"> označeny jako plně využité. </w:t>
      </w:r>
    </w:p>
    <w:p w14:paraId="3137E222" w14:textId="77777777" w:rsidR="00B82BD6" w:rsidRPr="00671FA4" w:rsidRDefault="00B82BD6" w:rsidP="00B82BD6">
      <w:pPr>
        <w:rPr>
          <w:b/>
        </w:rPr>
      </w:pPr>
    </w:p>
    <w:p w14:paraId="47EAF20B" w14:textId="136A32E3" w:rsidR="00B82BD6" w:rsidRPr="00671FA4" w:rsidRDefault="00B82BD6" w:rsidP="00B82BD6">
      <w:pPr>
        <w:rPr>
          <w:b/>
        </w:rPr>
      </w:pPr>
      <w:proofErr w:type="spellStart"/>
      <w:r w:rsidRPr="008719F5">
        <w:rPr>
          <w:b/>
        </w:rPr>
        <w:t>ÚZSVM</w:t>
      </w:r>
      <w:proofErr w:type="spellEnd"/>
      <w:r w:rsidRPr="008719F5">
        <w:rPr>
          <w:b/>
        </w:rPr>
        <w:t xml:space="preserve"> neposuzoval jiné způsoby zřízení </w:t>
      </w:r>
      <w:proofErr w:type="spellStart"/>
      <w:r w:rsidRPr="008719F5">
        <w:rPr>
          <w:b/>
        </w:rPr>
        <w:t>CRAB</w:t>
      </w:r>
      <w:proofErr w:type="spellEnd"/>
      <w:r w:rsidRPr="008719F5">
        <w:rPr>
          <w:b/>
        </w:rPr>
        <w:t>, popř. původně navrhovaného centrálního registru nemovitého majetku státu, než</w:t>
      </w:r>
      <w:r w:rsidR="004F7300">
        <w:rPr>
          <w:b/>
        </w:rPr>
        <w:t xml:space="preserve"> </w:t>
      </w:r>
      <w:r w:rsidRPr="008719F5">
        <w:rPr>
          <w:b/>
        </w:rPr>
        <w:t xml:space="preserve">zřízení tohoto registru jako integrální součásti </w:t>
      </w:r>
      <w:proofErr w:type="spellStart"/>
      <w:r w:rsidRPr="008719F5">
        <w:rPr>
          <w:b/>
        </w:rPr>
        <w:t>ISMS</w:t>
      </w:r>
      <w:proofErr w:type="spellEnd"/>
      <w:r w:rsidR="004F7300">
        <w:rPr>
          <w:b/>
        </w:rPr>
        <w:t xml:space="preserve"> </w:t>
      </w:r>
      <w:r w:rsidR="004F7300" w:rsidRPr="008719F5">
        <w:rPr>
          <w:b/>
        </w:rPr>
        <w:t>(</w:t>
      </w:r>
      <w:r w:rsidR="004F7300">
        <w:rPr>
          <w:b/>
        </w:rPr>
        <w:t xml:space="preserve">neposoudil </w:t>
      </w:r>
      <w:r w:rsidR="004F7300" w:rsidRPr="008719F5">
        <w:rPr>
          <w:b/>
        </w:rPr>
        <w:t xml:space="preserve">např. </w:t>
      </w:r>
      <w:r w:rsidR="004F7300">
        <w:rPr>
          <w:b/>
        </w:rPr>
        <w:t>možnost</w:t>
      </w:r>
      <w:r w:rsidR="004F7300" w:rsidRPr="008719F5">
        <w:rPr>
          <w:b/>
        </w:rPr>
        <w:t xml:space="preserve"> </w:t>
      </w:r>
      <w:r w:rsidR="004F7300">
        <w:rPr>
          <w:b/>
        </w:rPr>
        <w:t xml:space="preserve">vytvoření </w:t>
      </w:r>
      <w:r w:rsidR="004F7300" w:rsidRPr="008719F5">
        <w:rPr>
          <w:b/>
        </w:rPr>
        <w:t>zcela nov</w:t>
      </w:r>
      <w:r w:rsidR="004F7300">
        <w:rPr>
          <w:b/>
        </w:rPr>
        <w:t>ého</w:t>
      </w:r>
      <w:r w:rsidR="004F7300" w:rsidRPr="008719F5">
        <w:rPr>
          <w:b/>
        </w:rPr>
        <w:t xml:space="preserve"> systém</w:t>
      </w:r>
      <w:r w:rsidR="004F7300">
        <w:rPr>
          <w:b/>
        </w:rPr>
        <w:t>u</w:t>
      </w:r>
      <w:r w:rsidR="004F7300" w:rsidRPr="008719F5">
        <w:rPr>
          <w:b/>
        </w:rPr>
        <w:t>)</w:t>
      </w:r>
      <w:r w:rsidRPr="008719F5">
        <w:rPr>
          <w:b/>
        </w:rPr>
        <w:t xml:space="preserve">. </w:t>
      </w:r>
      <w:proofErr w:type="spellStart"/>
      <w:r w:rsidRPr="008719F5">
        <w:rPr>
          <w:b/>
        </w:rPr>
        <w:t>ÚZSVM</w:t>
      </w:r>
      <w:proofErr w:type="spellEnd"/>
      <w:r w:rsidRPr="008719F5">
        <w:rPr>
          <w:b/>
        </w:rPr>
        <w:t xml:space="preserve"> si musel být vědom skutečnosti, že s ohledem na vymezení autorských práv k </w:t>
      </w:r>
      <w:proofErr w:type="spellStart"/>
      <w:r w:rsidRPr="008719F5">
        <w:rPr>
          <w:b/>
        </w:rPr>
        <w:t>ISMS</w:t>
      </w:r>
      <w:proofErr w:type="spellEnd"/>
      <w:r w:rsidRPr="008719F5">
        <w:rPr>
          <w:b/>
        </w:rPr>
        <w:t xml:space="preserve"> </w:t>
      </w:r>
      <w:r>
        <w:rPr>
          <w:b/>
        </w:rPr>
        <w:t>má právo</w:t>
      </w:r>
      <w:r w:rsidRPr="008719F5">
        <w:rPr>
          <w:b/>
        </w:rPr>
        <w:t xml:space="preserve"> provést realizaci </w:t>
      </w:r>
      <w:proofErr w:type="spellStart"/>
      <w:r w:rsidRPr="008719F5">
        <w:rPr>
          <w:b/>
        </w:rPr>
        <w:t>CRAB</w:t>
      </w:r>
      <w:proofErr w:type="spellEnd"/>
      <w:r w:rsidRPr="008719F5">
        <w:rPr>
          <w:b/>
        </w:rPr>
        <w:t xml:space="preserve"> pouze původní dodavatel </w:t>
      </w:r>
      <w:proofErr w:type="spellStart"/>
      <w:r w:rsidRPr="008719F5">
        <w:rPr>
          <w:b/>
        </w:rPr>
        <w:t>ISMS</w:t>
      </w:r>
      <w:proofErr w:type="spellEnd"/>
      <w:r w:rsidRPr="008719F5">
        <w:rPr>
          <w:b/>
        </w:rPr>
        <w:t>.</w:t>
      </w:r>
      <w:r w:rsidRPr="00671FA4">
        <w:rPr>
          <w:b/>
        </w:rPr>
        <w:t xml:space="preserve"> </w:t>
      </w:r>
    </w:p>
    <w:p w14:paraId="1B545E1D" w14:textId="77777777" w:rsidR="00B82BD6" w:rsidRPr="00671FA4" w:rsidRDefault="00B82BD6" w:rsidP="00B82BD6">
      <w:pPr>
        <w:rPr>
          <w:b/>
        </w:rPr>
      </w:pPr>
    </w:p>
    <w:p w14:paraId="0EAB2CB2" w14:textId="5CF7F3B9" w:rsidR="00B82BD6" w:rsidRPr="00671FA4" w:rsidRDefault="00B82BD6" w:rsidP="00B82BD6">
      <w:pPr>
        <w:rPr>
          <w:b/>
        </w:rPr>
      </w:pPr>
      <w:proofErr w:type="spellStart"/>
      <w:r w:rsidRPr="00671FA4">
        <w:rPr>
          <w:b/>
        </w:rPr>
        <w:t>ÚZSVM</w:t>
      </w:r>
      <w:proofErr w:type="spellEnd"/>
      <w:r w:rsidRPr="00671FA4">
        <w:rPr>
          <w:b/>
        </w:rPr>
        <w:t xml:space="preserve"> neprověřil, zda</w:t>
      </w:r>
      <w:r w:rsidR="00845FFA">
        <w:rPr>
          <w:b/>
        </w:rPr>
        <w:t xml:space="preserve"> </w:t>
      </w:r>
      <w:r w:rsidRPr="00671FA4">
        <w:rPr>
          <w:b/>
        </w:rPr>
        <w:t xml:space="preserve">realizované řešení je </w:t>
      </w:r>
      <w:r w:rsidR="00845FFA">
        <w:rPr>
          <w:b/>
        </w:rPr>
        <w:t>z </w:t>
      </w:r>
      <w:r w:rsidRPr="00671FA4">
        <w:rPr>
          <w:b/>
        </w:rPr>
        <w:t>hlediska použití veřejných prostředků nejhospodárnější. Na</w:t>
      </w:r>
      <w:r w:rsidR="00845FFA">
        <w:rPr>
          <w:b/>
        </w:rPr>
        <w:t xml:space="preserve"> </w:t>
      </w:r>
      <w:r w:rsidRPr="00671FA4">
        <w:rPr>
          <w:b/>
        </w:rPr>
        <w:t>základě tří veřejných zakázek zadaných v jednacím řízení bez</w:t>
      </w:r>
      <w:r w:rsidR="00845FFA">
        <w:rPr>
          <w:b/>
        </w:rPr>
        <w:t xml:space="preserve"> </w:t>
      </w:r>
      <w:r w:rsidRPr="00671FA4">
        <w:rPr>
          <w:b/>
        </w:rPr>
        <w:t>uveřejnění bylo dle</w:t>
      </w:r>
      <w:r w:rsidR="00845FFA">
        <w:rPr>
          <w:b/>
        </w:rPr>
        <w:t xml:space="preserve"> </w:t>
      </w:r>
      <w:r w:rsidRPr="00671FA4">
        <w:rPr>
          <w:b/>
        </w:rPr>
        <w:t>uzavřených smluv dodavateli tohoto systému uhrazeno celkem 180 884</w:t>
      </w:r>
      <w:r w:rsidR="004F7300">
        <w:rPr>
          <w:b/>
        </w:rPr>
        <w:t> </w:t>
      </w:r>
      <w:r w:rsidRPr="00671FA4">
        <w:rPr>
          <w:b/>
        </w:rPr>
        <w:t>tis.</w:t>
      </w:r>
      <w:r w:rsidR="004F7300">
        <w:rPr>
          <w:b/>
        </w:rPr>
        <w:t> </w:t>
      </w:r>
      <w:r w:rsidRPr="00671FA4">
        <w:rPr>
          <w:b/>
        </w:rPr>
        <w:t>Kč.</w:t>
      </w:r>
    </w:p>
    <w:p w14:paraId="57DE57F1" w14:textId="77777777" w:rsidR="00B82BD6" w:rsidRPr="00671FA4" w:rsidRDefault="00B82BD6" w:rsidP="00B82BD6">
      <w:pPr>
        <w:rPr>
          <w:b/>
        </w:rPr>
      </w:pPr>
    </w:p>
    <w:p w14:paraId="07E0A9FF" w14:textId="2F4DE270" w:rsidR="00B82BD6" w:rsidRDefault="00B82BD6" w:rsidP="00B82BD6">
      <w:pPr>
        <w:rPr>
          <w:b/>
        </w:rPr>
      </w:pPr>
      <w:r w:rsidRPr="002F458E">
        <w:rPr>
          <w:b/>
        </w:rPr>
        <w:t>Celkem bylo za projekt jednotlivým dodavatelům uhrazeno více než 254,1 mil. Kč. Za</w:t>
      </w:r>
      <w:r w:rsidR="004F7300">
        <w:rPr>
          <w:b/>
        </w:rPr>
        <w:t xml:space="preserve"> </w:t>
      </w:r>
      <w:r w:rsidRPr="002F458E">
        <w:rPr>
          <w:b/>
        </w:rPr>
        <w:t xml:space="preserve">správu </w:t>
      </w:r>
      <w:proofErr w:type="spellStart"/>
      <w:r w:rsidRPr="002F458E">
        <w:rPr>
          <w:b/>
        </w:rPr>
        <w:t>CRAB</w:t>
      </w:r>
      <w:proofErr w:type="spellEnd"/>
      <w:r w:rsidRPr="002F458E">
        <w:rPr>
          <w:b/>
        </w:rPr>
        <w:t xml:space="preserve"> za rok 2013 </w:t>
      </w:r>
      <w:proofErr w:type="spellStart"/>
      <w:r w:rsidRPr="002F458E">
        <w:rPr>
          <w:b/>
        </w:rPr>
        <w:t>ÚZSVM</w:t>
      </w:r>
      <w:proofErr w:type="spellEnd"/>
      <w:r w:rsidRPr="002F458E">
        <w:rPr>
          <w:b/>
        </w:rPr>
        <w:t xml:space="preserve"> uhradil státnímu podniku, </w:t>
      </w:r>
      <w:r w:rsidR="00EF6E1E" w:rsidRPr="00C32810">
        <w:rPr>
          <w:b/>
        </w:rPr>
        <w:t xml:space="preserve">který zajišťuje systémovou integraci a aplikační podporu provozu </w:t>
      </w:r>
      <w:proofErr w:type="spellStart"/>
      <w:r w:rsidR="00EF6E1E" w:rsidRPr="00C32810">
        <w:rPr>
          <w:b/>
        </w:rPr>
        <w:t>ISMS</w:t>
      </w:r>
      <w:proofErr w:type="spellEnd"/>
      <w:r w:rsidR="00EF6E1E" w:rsidRPr="00C32810">
        <w:rPr>
          <w:b/>
        </w:rPr>
        <w:t xml:space="preserve"> modulu </w:t>
      </w:r>
      <w:proofErr w:type="spellStart"/>
      <w:r w:rsidR="00EF6E1E" w:rsidRPr="00C32810">
        <w:rPr>
          <w:b/>
        </w:rPr>
        <w:t>CRAB</w:t>
      </w:r>
      <w:proofErr w:type="spellEnd"/>
      <w:r w:rsidR="004F7300">
        <w:rPr>
          <w:b/>
        </w:rPr>
        <w:t>,</w:t>
      </w:r>
      <w:r w:rsidR="00C32810">
        <w:rPr>
          <w:b/>
        </w:rPr>
        <w:t xml:space="preserve"> </w:t>
      </w:r>
      <w:r w:rsidRPr="002F458E">
        <w:rPr>
          <w:b/>
        </w:rPr>
        <w:t>téměř 62,5</w:t>
      </w:r>
      <w:r w:rsidR="00094653">
        <w:rPr>
          <w:b/>
        </w:rPr>
        <w:t> </w:t>
      </w:r>
      <w:r w:rsidRPr="002F458E">
        <w:rPr>
          <w:b/>
        </w:rPr>
        <w:t>mil.</w:t>
      </w:r>
      <w:r w:rsidR="00094653">
        <w:rPr>
          <w:b/>
        </w:rPr>
        <w:t> </w:t>
      </w:r>
      <w:r w:rsidRPr="002F458E">
        <w:rPr>
          <w:b/>
        </w:rPr>
        <w:t xml:space="preserve">Kč. </w:t>
      </w:r>
    </w:p>
    <w:p w14:paraId="50E64F43" w14:textId="77777777" w:rsidR="00B82BD6" w:rsidRDefault="00B82BD6" w:rsidP="00B82BD6">
      <w:pPr>
        <w:rPr>
          <w:b/>
        </w:rPr>
      </w:pPr>
    </w:p>
    <w:p w14:paraId="2E7B9CF3" w14:textId="59F4C18C" w:rsidR="00B82BD6" w:rsidRDefault="00B82BD6" w:rsidP="00B82BD6">
      <w:pPr>
        <w:rPr>
          <w:b/>
        </w:rPr>
      </w:pPr>
      <w:r w:rsidRPr="00671FA4">
        <w:rPr>
          <w:b/>
        </w:rPr>
        <w:lastRenderedPageBreak/>
        <w:t xml:space="preserve">NKÚ upozorňuje, že uvedený postup může mít při dlouhodobé závislosti na jednom dodavateli negativní dopad na hospodárnost použití peněžních prostředků při realizaci obdobných </w:t>
      </w:r>
      <w:r w:rsidR="004F7300">
        <w:rPr>
          <w:b/>
        </w:rPr>
        <w:t xml:space="preserve">nebo </w:t>
      </w:r>
      <w:r w:rsidRPr="00671FA4">
        <w:rPr>
          <w:b/>
        </w:rPr>
        <w:t>navazujících veřejných zakázek.</w:t>
      </w:r>
    </w:p>
    <w:p w14:paraId="5740E76C" w14:textId="77777777" w:rsidR="00B82BD6" w:rsidRPr="00671FA4" w:rsidRDefault="00B82BD6" w:rsidP="00B82BD6">
      <w:pPr>
        <w:rPr>
          <w:b/>
        </w:rPr>
      </w:pPr>
    </w:p>
    <w:p w14:paraId="6FFB0F92" w14:textId="4E52F48B" w:rsidR="00B82BD6" w:rsidRPr="00671FA4" w:rsidRDefault="00845FFA" w:rsidP="00B82BD6">
      <w:pPr>
        <w:rPr>
          <w:b/>
        </w:rPr>
      </w:pPr>
      <w:r>
        <w:rPr>
          <w:b/>
        </w:rPr>
        <w:t>K </w:t>
      </w:r>
      <w:r w:rsidR="00B82BD6" w:rsidRPr="00671FA4">
        <w:rPr>
          <w:b/>
        </w:rPr>
        <w:t xml:space="preserve">stanovenému termínu 1. 7. 2013 nebyl systém </w:t>
      </w:r>
      <w:proofErr w:type="spellStart"/>
      <w:r w:rsidR="00B82BD6" w:rsidRPr="00671FA4">
        <w:rPr>
          <w:b/>
        </w:rPr>
        <w:t>CRAB</w:t>
      </w:r>
      <w:proofErr w:type="spellEnd"/>
      <w:r w:rsidR="00B82BD6" w:rsidRPr="00671FA4">
        <w:rPr>
          <w:b/>
        </w:rPr>
        <w:t xml:space="preserve"> naplněn všemi daty. Údaje byly a jsou dále postupně doplňovány. K 31. 12. 2013 </w:t>
      </w:r>
      <w:r w:rsidR="004F7300">
        <w:rPr>
          <w:b/>
        </w:rPr>
        <w:t xml:space="preserve">bylo </w:t>
      </w:r>
      <w:r w:rsidR="00B82BD6" w:rsidRPr="00671FA4">
        <w:rPr>
          <w:b/>
        </w:rPr>
        <w:t>v systému zaevidováno 1</w:t>
      </w:r>
      <w:r w:rsidR="00F57B37">
        <w:rPr>
          <w:b/>
        </w:rPr>
        <w:t> </w:t>
      </w:r>
      <w:r w:rsidR="00B82BD6" w:rsidRPr="00671FA4">
        <w:rPr>
          <w:b/>
        </w:rPr>
        <w:t>918</w:t>
      </w:r>
      <w:r w:rsidR="00F57B37">
        <w:rPr>
          <w:b/>
        </w:rPr>
        <w:t> </w:t>
      </w:r>
      <w:r w:rsidR="00B82BD6" w:rsidRPr="00671FA4">
        <w:rPr>
          <w:b/>
        </w:rPr>
        <w:t>budov, z toho 1 720 v kategorii administrativní budova.</w:t>
      </w:r>
    </w:p>
    <w:p w14:paraId="0D913F1D" w14:textId="77777777" w:rsidR="00B82BD6" w:rsidRDefault="00B82BD6" w:rsidP="00B82BD6">
      <w:pPr>
        <w:rPr>
          <w:b/>
        </w:rPr>
      </w:pPr>
    </w:p>
    <w:p w14:paraId="1A7664CE" w14:textId="5F7C5FD2" w:rsidR="00633DE4" w:rsidRDefault="00B82BD6" w:rsidP="00B82BD6">
      <w:pPr>
        <w:rPr>
          <w:b/>
        </w:rPr>
      </w:pPr>
      <w:r w:rsidRPr="006824CB">
        <w:rPr>
          <w:b/>
        </w:rPr>
        <w:t>Hlavní cíle</w:t>
      </w:r>
      <w:r w:rsidR="00C32810" w:rsidRPr="006824CB">
        <w:rPr>
          <w:b/>
        </w:rPr>
        <w:t xml:space="preserve"> </w:t>
      </w:r>
      <w:r w:rsidRPr="006824CB">
        <w:rPr>
          <w:b/>
        </w:rPr>
        <w:t xml:space="preserve">projektu </w:t>
      </w:r>
      <w:proofErr w:type="spellStart"/>
      <w:r w:rsidRPr="006824CB">
        <w:rPr>
          <w:b/>
        </w:rPr>
        <w:t>CRAB</w:t>
      </w:r>
      <w:proofErr w:type="spellEnd"/>
      <w:r w:rsidRPr="006824CB">
        <w:rPr>
          <w:b/>
        </w:rPr>
        <w:t xml:space="preserve"> nebyly k datu ukončení kontroly NKÚ naplněny a </w:t>
      </w:r>
      <w:r w:rsidR="006824CB" w:rsidRPr="006824CB">
        <w:rPr>
          <w:b/>
        </w:rPr>
        <w:t xml:space="preserve">jeho </w:t>
      </w:r>
      <w:r w:rsidRPr="006824CB">
        <w:rPr>
          <w:b/>
        </w:rPr>
        <w:t xml:space="preserve">fungování </w:t>
      </w:r>
      <w:r w:rsidR="00EF6E1E" w:rsidRPr="006824CB">
        <w:rPr>
          <w:b/>
        </w:rPr>
        <w:t xml:space="preserve">nelze </w:t>
      </w:r>
      <w:r w:rsidRPr="006824CB">
        <w:rPr>
          <w:b/>
        </w:rPr>
        <w:t>považovat za spolehlivé</w:t>
      </w:r>
      <w:r w:rsidR="006824CB">
        <w:rPr>
          <w:b/>
        </w:rPr>
        <w:t xml:space="preserve">, přestože </w:t>
      </w:r>
      <w:r w:rsidRPr="006824CB">
        <w:rPr>
          <w:b/>
        </w:rPr>
        <w:t>Vládní dislokační komise již v roce 2013 počítala s </w:t>
      </w:r>
      <w:r w:rsidR="006824CB">
        <w:rPr>
          <w:b/>
        </w:rPr>
        <w:t xml:space="preserve">jeho </w:t>
      </w:r>
      <w:r w:rsidRPr="006824CB">
        <w:rPr>
          <w:b/>
        </w:rPr>
        <w:t>využitím</w:t>
      </w:r>
      <w:r w:rsidR="006824CB">
        <w:rPr>
          <w:rStyle w:val="Znakapoznpodarou"/>
          <w:b/>
        </w:rPr>
        <w:footnoteReference w:id="14"/>
      </w:r>
      <w:r w:rsidR="004F7300">
        <w:rPr>
          <w:b/>
        </w:rPr>
        <w:t>.</w:t>
      </w:r>
      <w:r w:rsidR="006824CB">
        <w:rPr>
          <w:b/>
        </w:rPr>
        <w:t xml:space="preserve"> </w:t>
      </w:r>
    </w:p>
    <w:sectPr w:rsidR="00633DE4" w:rsidSect="0089113B">
      <w:foot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9A93A" w14:textId="77777777" w:rsidR="00B664AE" w:rsidRDefault="00B664AE" w:rsidP="00B24DF9">
      <w:r>
        <w:separator/>
      </w:r>
    </w:p>
  </w:endnote>
  <w:endnote w:type="continuationSeparator" w:id="0">
    <w:p w14:paraId="775D48BC" w14:textId="77777777" w:rsidR="00B664AE" w:rsidRDefault="00B664AE" w:rsidP="00B2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1078"/>
      <w:docPartObj>
        <w:docPartGallery w:val="Page Numbers (Bottom of Page)"/>
        <w:docPartUnique/>
      </w:docPartObj>
    </w:sdtPr>
    <w:sdtEndPr/>
    <w:sdtContent>
      <w:p w14:paraId="6B98B858" w14:textId="54EB2608" w:rsidR="00B664AE" w:rsidRDefault="00B664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92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AAD43" w14:textId="77777777" w:rsidR="00B664AE" w:rsidRDefault="00B664AE" w:rsidP="00B24DF9">
      <w:r>
        <w:separator/>
      </w:r>
    </w:p>
  </w:footnote>
  <w:footnote w:type="continuationSeparator" w:id="0">
    <w:p w14:paraId="7BF12DA9" w14:textId="77777777" w:rsidR="00B664AE" w:rsidRDefault="00B664AE" w:rsidP="00B24DF9">
      <w:r>
        <w:continuationSeparator/>
      </w:r>
    </w:p>
  </w:footnote>
  <w:footnote w:id="1">
    <w:p w14:paraId="7962F385" w14:textId="6B969641" w:rsidR="00B664AE" w:rsidRPr="00563342" w:rsidRDefault="00B664AE" w:rsidP="000E68D2">
      <w:pPr>
        <w:pStyle w:val="Textpoznpodarou"/>
        <w:ind w:left="284" w:hanging="284"/>
      </w:pPr>
      <w:r w:rsidRPr="00563342">
        <w:rPr>
          <w:rStyle w:val="Znakapoznpodarou"/>
          <w:szCs w:val="18"/>
        </w:rPr>
        <w:footnoteRef/>
      </w:r>
      <w:r w:rsidRPr="00563342">
        <w:t xml:space="preserve"> </w:t>
      </w:r>
      <w:r>
        <w:tab/>
      </w:r>
      <w:r w:rsidRPr="00563342">
        <w:t>Zákon č. 2/1969 Sb., o zřízení ministerstev a jiných ústředních orgán</w:t>
      </w:r>
      <w:r>
        <w:t>ů státní správy České republiky.</w:t>
      </w:r>
    </w:p>
  </w:footnote>
  <w:footnote w:id="2">
    <w:p w14:paraId="64251F90" w14:textId="0B0F3108" w:rsidR="00B664AE" w:rsidRPr="00C639B5" w:rsidRDefault="00B664AE" w:rsidP="000E68D2">
      <w:pPr>
        <w:pStyle w:val="Textpoznpodarou"/>
        <w:ind w:left="284" w:hanging="284"/>
      </w:pPr>
      <w:r w:rsidRPr="00C639B5">
        <w:rPr>
          <w:rStyle w:val="Znakapoznpodarou"/>
          <w:szCs w:val="18"/>
        </w:rPr>
        <w:footnoteRef/>
      </w:r>
      <w:r w:rsidRPr="00C639B5">
        <w:t xml:space="preserve"> </w:t>
      </w:r>
      <w:r>
        <w:tab/>
      </w:r>
      <w:r w:rsidRPr="00C639B5">
        <w:t xml:space="preserve">Zákon č. 219/2000 Sb., o majetku České republiky a jejím vystupování </w:t>
      </w:r>
      <w:r>
        <w:t>v právních vztazích.</w:t>
      </w:r>
    </w:p>
  </w:footnote>
  <w:footnote w:id="3">
    <w:p w14:paraId="7F38C6E1" w14:textId="60D8A54B" w:rsidR="00B664AE" w:rsidRPr="00C639B5" w:rsidRDefault="00B664AE" w:rsidP="000E68D2">
      <w:pPr>
        <w:pStyle w:val="Textpoznpodarou"/>
        <w:ind w:left="284" w:hanging="284"/>
      </w:pPr>
      <w:r w:rsidRPr="00C639B5">
        <w:rPr>
          <w:rStyle w:val="Znakapoznpodarou"/>
          <w:szCs w:val="18"/>
        </w:rPr>
        <w:footnoteRef/>
      </w:r>
      <w:r w:rsidRPr="00C639B5">
        <w:t xml:space="preserve"> </w:t>
      </w:r>
      <w:r>
        <w:tab/>
      </w:r>
      <w:r w:rsidRPr="00C639B5">
        <w:t>Záko</w:t>
      </w:r>
      <w:r>
        <w:t>n č. 563/1991 Sb., o účetnictví.</w:t>
      </w:r>
    </w:p>
  </w:footnote>
  <w:footnote w:id="4">
    <w:p w14:paraId="282B4606" w14:textId="724A2095" w:rsidR="00B664AE" w:rsidRDefault="00B664AE" w:rsidP="000E68D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90D81">
        <w:t>Zákon č. 201/2002 Sb., o Úřadu pro zastupování státu ve věcech majetkových</w:t>
      </w:r>
      <w:r>
        <w:t>.</w:t>
      </w:r>
    </w:p>
  </w:footnote>
  <w:footnote w:id="5">
    <w:p w14:paraId="54F68B4A" w14:textId="4174E7A3" w:rsidR="00B664AE" w:rsidRDefault="00B664AE" w:rsidP="006824C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40/1964 Sb., občanský zákoník.</w:t>
      </w:r>
    </w:p>
  </w:footnote>
  <w:footnote w:id="6">
    <w:p w14:paraId="6DC8A8AF" w14:textId="3CE724B8" w:rsidR="00B664AE" w:rsidRDefault="00B664AE" w:rsidP="00EC514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Kontrolní akce č. 09/21.</w:t>
      </w:r>
    </w:p>
  </w:footnote>
  <w:footnote w:id="7">
    <w:p w14:paraId="77AC692F" w14:textId="48CB8F54" w:rsidR="00B664AE" w:rsidRDefault="00B664AE" w:rsidP="006824C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proofErr w:type="spellStart"/>
      <w:r>
        <w:t>URD</w:t>
      </w:r>
      <w:proofErr w:type="spellEnd"/>
      <w:r>
        <w:t xml:space="preserve"> – </w:t>
      </w:r>
      <w:r w:rsidRPr="00D25B01">
        <w:t>usnesen</w:t>
      </w:r>
      <w:r>
        <w:t>í</w:t>
      </w:r>
      <w:r w:rsidRPr="00D25B01">
        <w:t>, rozhodnutí, dopor</w:t>
      </w:r>
      <w:bookmarkStart w:id="0" w:name="_GoBack"/>
      <w:bookmarkEnd w:id="0"/>
      <w:r w:rsidRPr="00D25B01">
        <w:t>učení</w:t>
      </w:r>
      <w:r>
        <w:t>.</w:t>
      </w:r>
    </w:p>
  </w:footnote>
  <w:footnote w:id="8">
    <w:p w14:paraId="17CF4C00" w14:textId="5B220E72" w:rsidR="00B664AE" w:rsidRDefault="00B664AE" w:rsidP="006824C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Vyhláška č. 26/2007 Sb., </w:t>
      </w:r>
      <w:r w:rsidRPr="00C579F5">
        <w:t xml:space="preserve">kterou se provádí zákon č. 265/1992 Sb., o zápisech vlastnických a jiných věcných práv </w:t>
      </w:r>
      <w:r>
        <w:t>k </w:t>
      </w:r>
      <w:r w:rsidRPr="00C579F5">
        <w:t xml:space="preserve">nemovitostem, </w:t>
      </w:r>
      <w:r>
        <w:t xml:space="preserve">ve znění pozdějších předpisů, </w:t>
      </w:r>
      <w:r w:rsidRPr="00C579F5">
        <w:t xml:space="preserve">a zákon č. 344/1992 Sb., o katastru nemovitostí České republiky (katastrální zákon), </w:t>
      </w:r>
      <w:r>
        <w:t xml:space="preserve">ve znění pozdějších předpisů, (katastrální </w:t>
      </w:r>
      <w:r w:rsidRPr="00C579F5">
        <w:t>vyhláška)</w:t>
      </w:r>
      <w:r>
        <w:t>. Vyhláška byla k datu 1. 1. 2014 zrušena.</w:t>
      </w:r>
    </w:p>
  </w:footnote>
  <w:footnote w:id="9">
    <w:p w14:paraId="5E2D2219" w14:textId="5CF3977B" w:rsidR="00B664AE" w:rsidRDefault="00B664AE" w:rsidP="006824CB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>Bezúplatné nebo úplatné převody.</w:t>
      </w:r>
    </w:p>
  </w:footnote>
  <w:footnote w:id="10">
    <w:p w14:paraId="24D7D936" w14:textId="4496397C" w:rsidR="00B664AE" w:rsidRDefault="00B664AE" w:rsidP="006824C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proofErr w:type="spellStart"/>
      <w:r>
        <w:t>RÚIAN</w:t>
      </w:r>
      <w:proofErr w:type="spellEnd"/>
      <w:r>
        <w:t xml:space="preserve"> – registr územní identifikace, adres a nemovitostí – je j</w:t>
      </w:r>
      <w:r w:rsidRPr="00AC7646">
        <w:t xml:space="preserve">edním ze </w:t>
      </w:r>
      <w:r>
        <w:t xml:space="preserve">čtyř základních registrů, které </w:t>
      </w:r>
      <w:r w:rsidRPr="00AC7646">
        <w:t xml:space="preserve">tvoří propojený komplex </w:t>
      </w:r>
      <w:r>
        <w:t>s </w:t>
      </w:r>
      <w:r w:rsidRPr="00AC7646">
        <w:t>dalšími klíčovými systémy e</w:t>
      </w:r>
      <w:r>
        <w:t>-</w:t>
      </w:r>
      <w:proofErr w:type="spellStart"/>
      <w:r>
        <w:t>g</w:t>
      </w:r>
      <w:r w:rsidRPr="00AC7646">
        <w:t>overnmentu</w:t>
      </w:r>
      <w:proofErr w:type="spellEnd"/>
      <w:r>
        <w:t xml:space="preserve">; </w:t>
      </w:r>
      <w:r w:rsidRPr="00AC7646">
        <w:t xml:space="preserve">provozovatelem a správcem </w:t>
      </w:r>
      <w:proofErr w:type="spellStart"/>
      <w:r>
        <w:t>RÚIAN</w:t>
      </w:r>
      <w:proofErr w:type="spellEnd"/>
      <w:r>
        <w:t xml:space="preserve"> </w:t>
      </w:r>
      <w:r w:rsidRPr="00AC7646">
        <w:t>je Český úřad zeměměřičský a katastrální.</w:t>
      </w:r>
    </w:p>
  </w:footnote>
  <w:footnote w:id="11">
    <w:p w14:paraId="518275EC" w14:textId="52282EE6" w:rsidR="00B664AE" w:rsidRDefault="00B664AE" w:rsidP="006824C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proofErr w:type="spellStart"/>
      <w:r>
        <w:t>ISVS</w:t>
      </w:r>
      <w:proofErr w:type="spellEnd"/>
      <w:r>
        <w:t xml:space="preserve"> – informační systémy veřejné správy.</w:t>
      </w:r>
    </w:p>
  </w:footnote>
  <w:footnote w:id="12">
    <w:p w14:paraId="5ED5B241" w14:textId="6A9C1A20" w:rsidR="00B664AE" w:rsidRDefault="00B664AE" w:rsidP="006824C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Informace kontrolovaných osob. Z důvodu utajení nejsou v tomto údaji zahrnuty některé objekty MO a MV.</w:t>
      </w:r>
    </w:p>
  </w:footnote>
  <w:footnote w:id="13">
    <w:p w14:paraId="13655A09" w14:textId="6F228ECC" w:rsidR="00B664AE" w:rsidRDefault="00B664AE" w:rsidP="006824C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Jedná se o celkovou výměru objektu, z níž je cca 1,5 tis. </w:t>
      </w:r>
      <w:proofErr w:type="spellStart"/>
      <w:r>
        <w:t>m</w:t>
      </w:r>
      <w:r w:rsidRPr="005D67DD">
        <w:rPr>
          <w:vertAlign w:val="superscript"/>
        </w:rPr>
        <w:t>2</w:t>
      </w:r>
      <w:proofErr w:type="spellEnd"/>
      <w:r>
        <w:t xml:space="preserve"> kancelářských ploch.</w:t>
      </w:r>
    </w:p>
  </w:footnote>
  <w:footnote w:id="14">
    <w:p w14:paraId="4478E4B1" w14:textId="6C153571" w:rsidR="00B664AE" w:rsidRDefault="00B664AE" w:rsidP="006824C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Výroční zpráva Vládní dislokační komise </w:t>
      </w:r>
      <w:r w:rsidRPr="0093792F">
        <w:t xml:space="preserve">za rok </w:t>
      </w:r>
      <w:r w:rsidR="0093792F" w:rsidRPr="0093792F">
        <w:t>2013</w:t>
      </w:r>
      <w:r w:rsidRPr="0093792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E3A"/>
    <w:multiLevelType w:val="hybridMultilevel"/>
    <w:tmpl w:val="D7DA5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767A"/>
    <w:multiLevelType w:val="hybridMultilevel"/>
    <w:tmpl w:val="80280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C6E07"/>
    <w:multiLevelType w:val="hybridMultilevel"/>
    <w:tmpl w:val="B5EA58A2"/>
    <w:lvl w:ilvl="0" w:tplc="0A2ED54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600D"/>
    <w:multiLevelType w:val="hybridMultilevel"/>
    <w:tmpl w:val="2B8C0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5C5"/>
    <w:multiLevelType w:val="hybridMultilevel"/>
    <w:tmpl w:val="3BDCD8B4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34FA"/>
    <w:multiLevelType w:val="hybridMultilevel"/>
    <w:tmpl w:val="42F62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532B9"/>
    <w:multiLevelType w:val="hybridMultilevel"/>
    <w:tmpl w:val="16AE8630"/>
    <w:lvl w:ilvl="0" w:tplc="8468EABA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87D67"/>
    <w:multiLevelType w:val="hybridMultilevel"/>
    <w:tmpl w:val="DD6E6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1483"/>
    <w:multiLevelType w:val="hybridMultilevel"/>
    <w:tmpl w:val="1890A11E"/>
    <w:lvl w:ilvl="0" w:tplc="35D4709C">
      <w:start w:val="1"/>
      <w:numFmt w:val="decimal"/>
      <w:lvlText w:val="Tabulka č. %1: X"/>
      <w:lvlJc w:val="left"/>
      <w:pPr>
        <w:ind w:left="720" w:hanging="360"/>
      </w:pPr>
      <w:rPr>
        <w:rFonts w:hint="default"/>
      </w:rPr>
    </w:lvl>
    <w:lvl w:ilvl="1" w:tplc="76FC396A">
      <w:start w:val="1"/>
      <w:numFmt w:val="decimal"/>
      <w:suff w:val="space"/>
      <w:lvlText w:val="Tabulka č. %2: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17EDE"/>
    <w:multiLevelType w:val="hybridMultilevel"/>
    <w:tmpl w:val="B0A42A3E"/>
    <w:lvl w:ilvl="0" w:tplc="497A371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B603E"/>
    <w:multiLevelType w:val="hybridMultilevel"/>
    <w:tmpl w:val="61626AFA"/>
    <w:lvl w:ilvl="0" w:tplc="14C29CF2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04797"/>
    <w:multiLevelType w:val="hybridMultilevel"/>
    <w:tmpl w:val="D08051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EE710A"/>
    <w:multiLevelType w:val="hybridMultilevel"/>
    <w:tmpl w:val="E5429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5363E"/>
    <w:multiLevelType w:val="hybridMultilevel"/>
    <w:tmpl w:val="85EE6CF8"/>
    <w:lvl w:ilvl="0" w:tplc="BE566C2A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3DB2"/>
    <w:multiLevelType w:val="multilevel"/>
    <w:tmpl w:val="8E944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CF7B9E"/>
    <w:multiLevelType w:val="hybridMultilevel"/>
    <w:tmpl w:val="2C6C9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A585E"/>
    <w:multiLevelType w:val="hybridMultilevel"/>
    <w:tmpl w:val="9488B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50996"/>
    <w:multiLevelType w:val="hybridMultilevel"/>
    <w:tmpl w:val="C5F01F20"/>
    <w:lvl w:ilvl="0" w:tplc="C3B81C7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0"/>
  </w:num>
  <w:num w:numId="12">
    <w:abstractNumId w:val="15"/>
  </w:num>
  <w:num w:numId="13">
    <w:abstractNumId w:val="3"/>
  </w:num>
  <w:num w:numId="14">
    <w:abstractNumId w:val="11"/>
  </w:num>
  <w:num w:numId="15">
    <w:abstractNumId w:val="13"/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4"/>
  </w:num>
  <w:num w:numId="23">
    <w:abstractNumId w:val="5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F"/>
    <w:rsid w:val="00010B7D"/>
    <w:rsid w:val="00011499"/>
    <w:rsid w:val="00013B71"/>
    <w:rsid w:val="00017E8C"/>
    <w:rsid w:val="000203D6"/>
    <w:rsid w:val="00033739"/>
    <w:rsid w:val="00035101"/>
    <w:rsid w:val="000518ED"/>
    <w:rsid w:val="00056A3F"/>
    <w:rsid w:val="00057B29"/>
    <w:rsid w:val="00062B4B"/>
    <w:rsid w:val="000672C6"/>
    <w:rsid w:val="00070555"/>
    <w:rsid w:val="00070994"/>
    <w:rsid w:val="00072A96"/>
    <w:rsid w:val="000764D1"/>
    <w:rsid w:val="000765C4"/>
    <w:rsid w:val="00077BD8"/>
    <w:rsid w:val="00094653"/>
    <w:rsid w:val="00096232"/>
    <w:rsid w:val="00096F88"/>
    <w:rsid w:val="000A057F"/>
    <w:rsid w:val="000A065C"/>
    <w:rsid w:val="000B0219"/>
    <w:rsid w:val="000B40B0"/>
    <w:rsid w:val="000B73B5"/>
    <w:rsid w:val="000C41CB"/>
    <w:rsid w:val="000C522D"/>
    <w:rsid w:val="000D3271"/>
    <w:rsid w:val="000D7071"/>
    <w:rsid w:val="000D771A"/>
    <w:rsid w:val="000D7FA3"/>
    <w:rsid w:val="000E2A02"/>
    <w:rsid w:val="000E68D2"/>
    <w:rsid w:val="000E6A1E"/>
    <w:rsid w:val="000E77A3"/>
    <w:rsid w:val="000F00A5"/>
    <w:rsid w:val="000F2FED"/>
    <w:rsid w:val="000F6FC1"/>
    <w:rsid w:val="00104CBD"/>
    <w:rsid w:val="00105984"/>
    <w:rsid w:val="001121DD"/>
    <w:rsid w:val="001152AE"/>
    <w:rsid w:val="001169BE"/>
    <w:rsid w:val="001221B1"/>
    <w:rsid w:val="00123B38"/>
    <w:rsid w:val="00125DD9"/>
    <w:rsid w:val="00133032"/>
    <w:rsid w:val="00135FF9"/>
    <w:rsid w:val="00140EA5"/>
    <w:rsid w:val="00144A01"/>
    <w:rsid w:val="001530A1"/>
    <w:rsid w:val="00153236"/>
    <w:rsid w:val="00161973"/>
    <w:rsid w:val="00164E7B"/>
    <w:rsid w:val="00166DB1"/>
    <w:rsid w:val="001707B2"/>
    <w:rsid w:val="00175F23"/>
    <w:rsid w:val="00176F94"/>
    <w:rsid w:val="001828B4"/>
    <w:rsid w:val="0018596F"/>
    <w:rsid w:val="00186284"/>
    <w:rsid w:val="00195F12"/>
    <w:rsid w:val="001A150A"/>
    <w:rsid w:val="001A2983"/>
    <w:rsid w:val="001A3963"/>
    <w:rsid w:val="001A3A10"/>
    <w:rsid w:val="001B0EDA"/>
    <w:rsid w:val="001B1301"/>
    <w:rsid w:val="001B421C"/>
    <w:rsid w:val="001C1FC1"/>
    <w:rsid w:val="001C4659"/>
    <w:rsid w:val="001C483A"/>
    <w:rsid w:val="001D409C"/>
    <w:rsid w:val="001E01DF"/>
    <w:rsid w:val="001E0C59"/>
    <w:rsid w:val="001E41B2"/>
    <w:rsid w:val="001F2BCD"/>
    <w:rsid w:val="001F45A5"/>
    <w:rsid w:val="002002A4"/>
    <w:rsid w:val="00200DF4"/>
    <w:rsid w:val="002052F2"/>
    <w:rsid w:val="002207B6"/>
    <w:rsid w:val="00226FEA"/>
    <w:rsid w:val="00243FB0"/>
    <w:rsid w:val="00246839"/>
    <w:rsid w:val="002519CA"/>
    <w:rsid w:val="00256699"/>
    <w:rsid w:val="00256B65"/>
    <w:rsid w:val="00264C3E"/>
    <w:rsid w:val="0027304F"/>
    <w:rsid w:val="0027397F"/>
    <w:rsid w:val="00281344"/>
    <w:rsid w:val="002821CE"/>
    <w:rsid w:val="0028308F"/>
    <w:rsid w:val="002843FE"/>
    <w:rsid w:val="00286FF5"/>
    <w:rsid w:val="00287375"/>
    <w:rsid w:val="0029257B"/>
    <w:rsid w:val="002A2608"/>
    <w:rsid w:val="002A7E93"/>
    <w:rsid w:val="002B12B9"/>
    <w:rsid w:val="002B1B96"/>
    <w:rsid w:val="002C6BC9"/>
    <w:rsid w:val="002D5A85"/>
    <w:rsid w:val="002E2479"/>
    <w:rsid w:val="002E41C0"/>
    <w:rsid w:val="002E7CD7"/>
    <w:rsid w:val="002F0AA1"/>
    <w:rsid w:val="002F3D8E"/>
    <w:rsid w:val="002F458E"/>
    <w:rsid w:val="002F6241"/>
    <w:rsid w:val="002F6B27"/>
    <w:rsid w:val="00301901"/>
    <w:rsid w:val="00303CB5"/>
    <w:rsid w:val="0031165D"/>
    <w:rsid w:val="0031536E"/>
    <w:rsid w:val="003216F9"/>
    <w:rsid w:val="00322419"/>
    <w:rsid w:val="003247FD"/>
    <w:rsid w:val="003270FC"/>
    <w:rsid w:val="00352611"/>
    <w:rsid w:val="003558B3"/>
    <w:rsid w:val="003624B7"/>
    <w:rsid w:val="003628AB"/>
    <w:rsid w:val="00364C04"/>
    <w:rsid w:val="0036522F"/>
    <w:rsid w:val="00365AB8"/>
    <w:rsid w:val="00367E9A"/>
    <w:rsid w:val="00372074"/>
    <w:rsid w:val="003725D0"/>
    <w:rsid w:val="00375151"/>
    <w:rsid w:val="0038025D"/>
    <w:rsid w:val="00381807"/>
    <w:rsid w:val="00382588"/>
    <w:rsid w:val="003847AE"/>
    <w:rsid w:val="00385590"/>
    <w:rsid w:val="00390035"/>
    <w:rsid w:val="00395B82"/>
    <w:rsid w:val="003A1999"/>
    <w:rsid w:val="003B25F5"/>
    <w:rsid w:val="003B43DB"/>
    <w:rsid w:val="003B7897"/>
    <w:rsid w:val="003D0919"/>
    <w:rsid w:val="003D0CB2"/>
    <w:rsid w:val="003D2B33"/>
    <w:rsid w:val="003D5D53"/>
    <w:rsid w:val="003E26EF"/>
    <w:rsid w:val="003E50C3"/>
    <w:rsid w:val="003E6F22"/>
    <w:rsid w:val="003F0614"/>
    <w:rsid w:val="003F09EB"/>
    <w:rsid w:val="003F0D25"/>
    <w:rsid w:val="003F690A"/>
    <w:rsid w:val="003F7B11"/>
    <w:rsid w:val="00404F19"/>
    <w:rsid w:val="004056DF"/>
    <w:rsid w:val="0040732A"/>
    <w:rsid w:val="0041221D"/>
    <w:rsid w:val="00414165"/>
    <w:rsid w:val="00415F69"/>
    <w:rsid w:val="00416135"/>
    <w:rsid w:val="004239F8"/>
    <w:rsid w:val="00424EDA"/>
    <w:rsid w:val="004318DF"/>
    <w:rsid w:val="004347C8"/>
    <w:rsid w:val="00435F91"/>
    <w:rsid w:val="00440A03"/>
    <w:rsid w:val="00442C3B"/>
    <w:rsid w:val="00444612"/>
    <w:rsid w:val="004450D1"/>
    <w:rsid w:val="004516C4"/>
    <w:rsid w:val="00454E5F"/>
    <w:rsid w:val="00456516"/>
    <w:rsid w:val="00465D53"/>
    <w:rsid w:val="00471BDB"/>
    <w:rsid w:val="00474F4E"/>
    <w:rsid w:val="0047747F"/>
    <w:rsid w:val="00482528"/>
    <w:rsid w:val="00490897"/>
    <w:rsid w:val="00491D9E"/>
    <w:rsid w:val="00493321"/>
    <w:rsid w:val="00493FE8"/>
    <w:rsid w:val="0049576C"/>
    <w:rsid w:val="00496D9D"/>
    <w:rsid w:val="004A4F17"/>
    <w:rsid w:val="004B336C"/>
    <w:rsid w:val="004C112F"/>
    <w:rsid w:val="004D0803"/>
    <w:rsid w:val="004D0BF0"/>
    <w:rsid w:val="004D527D"/>
    <w:rsid w:val="004D52A7"/>
    <w:rsid w:val="004E6B54"/>
    <w:rsid w:val="004F13A3"/>
    <w:rsid w:val="004F243D"/>
    <w:rsid w:val="004F7300"/>
    <w:rsid w:val="0050126B"/>
    <w:rsid w:val="00502F5D"/>
    <w:rsid w:val="00502F81"/>
    <w:rsid w:val="005036EC"/>
    <w:rsid w:val="00506401"/>
    <w:rsid w:val="0050689A"/>
    <w:rsid w:val="00523632"/>
    <w:rsid w:val="005239AA"/>
    <w:rsid w:val="00531BA4"/>
    <w:rsid w:val="00537DA8"/>
    <w:rsid w:val="00544304"/>
    <w:rsid w:val="00544BB1"/>
    <w:rsid w:val="00546E11"/>
    <w:rsid w:val="00552AAB"/>
    <w:rsid w:val="00554E12"/>
    <w:rsid w:val="00555021"/>
    <w:rsid w:val="0055622F"/>
    <w:rsid w:val="005618BA"/>
    <w:rsid w:val="0056200E"/>
    <w:rsid w:val="00564BF9"/>
    <w:rsid w:val="0057573A"/>
    <w:rsid w:val="00576FF5"/>
    <w:rsid w:val="00583467"/>
    <w:rsid w:val="0058371B"/>
    <w:rsid w:val="00590041"/>
    <w:rsid w:val="00595BC6"/>
    <w:rsid w:val="00597AE5"/>
    <w:rsid w:val="005A0D19"/>
    <w:rsid w:val="005B35BF"/>
    <w:rsid w:val="005B7E0E"/>
    <w:rsid w:val="005C0A15"/>
    <w:rsid w:val="005C173C"/>
    <w:rsid w:val="005C2F1F"/>
    <w:rsid w:val="005C2F40"/>
    <w:rsid w:val="005C44CF"/>
    <w:rsid w:val="005C5148"/>
    <w:rsid w:val="005D1862"/>
    <w:rsid w:val="005D2345"/>
    <w:rsid w:val="005D2FED"/>
    <w:rsid w:val="005D5CA8"/>
    <w:rsid w:val="005D67DD"/>
    <w:rsid w:val="005D6A39"/>
    <w:rsid w:val="005D7B76"/>
    <w:rsid w:val="005D7E13"/>
    <w:rsid w:val="005E0DBD"/>
    <w:rsid w:val="005E1CBC"/>
    <w:rsid w:val="005E1F01"/>
    <w:rsid w:val="005E691E"/>
    <w:rsid w:val="005F477A"/>
    <w:rsid w:val="00600D18"/>
    <w:rsid w:val="00601AB3"/>
    <w:rsid w:val="00604FBB"/>
    <w:rsid w:val="0060714C"/>
    <w:rsid w:val="00610348"/>
    <w:rsid w:val="00610F92"/>
    <w:rsid w:val="0061284D"/>
    <w:rsid w:val="00613086"/>
    <w:rsid w:val="00613AA7"/>
    <w:rsid w:val="00621838"/>
    <w:rsid w:val="0062220A"/>
    <w:rsid w:val="00623D83"/>
    <w:rsid w:val="006331CA"/>
    <w:rsid w:val="00633DE4"/>
    <w:rsid w:val="00635C56"/>
    <w:rsid w:val="00636520"/>
    <w:rsid w:val="00640A85"/>
    <w:rsid w:val="00642AA3"/>
    <w:rsid w:val="00643D13"/>
    <w:rsid w:val="00651502"/>
    <w:rsid w:val="006523B2"/>
    <w:rsid w:val="00654B6A"/>
    <w:rsid w:val="006618D2"/>
    <w:rsid w:val="00664FEA"/>
    <w:rsid w:val="006737D6"/>
    <w:rsid w:val="00677DA7"/>
    <w:rsid w:val="00681259"/>
    <w:rsid w:val="006824CB"/>
    <w:rsid w:val="00686974"/>
    <w:rsid w:val="00687C48"/>
    <w:rsid w:val="00690DC9"/>
    <w:rsid w:val="006940F4"/>
    <w:rsid w:val="00694C73"/>
    <w:rsid w:val="00697E41"/>
    <w:rsid w:val="006A522E"/>
    <w:rsid w:val="006B25F0"/>
    <w:rsid w:val="006B70B3"/>
    <w:rsid w:val="006B78A3"/>
    <w:rsid w:val="006C2F0A"/>
    <w:rsid w:val="006D2578"/>
    <w:rsid w:val="006D3AED"/>
    <w:rsid w:val="006E0911"/>
    <w:rsid w:val="006F1456"/>
    <w:rsid w:val="006F1CAE"/>
    <w:rsid w:val="006F3DE5"/>
    <w:rsid w:val="007020A5"/>
    <w:rsid w:val="007036F0"/>
    <w:rsid w:val="00706054"/>
    <w:rsid w:val="00712355"/>
    <w:rsid w:val="00712441"/>
    <w:rsid w:val="00713A6C"/>
    <w:rsid w:val="00715FE2"/>
    <w:rsid w:val="00716115"/>
    <w:rsid w:val="00716C33"/>
    <w:rsid w:val="0072113F"/>
    <w:rsid w:val="00725419"/>
    <w:rsid w:val="00727B48"/>
    <w:rsid w:val="00727B49"/>
    <w:rsid w:val="00730891"/>
    <w:rsid w:val="00744C49"/>
    <w:rsid w:val="0074602F"/>
    <w:rsid w:val="007474F2"/>
    <w:rsid w:val="00747610"/>
    <w:rsid w:val="00751FBF"/>
    <w:rsid w:val="0075427C"/>
    <w:rsid w:val="0076103D"/>
    <w:rsid w:val="007615D3"/>
    <w:rsid w:val="00766137"/>
    <w:rsid w:val="00771146"/>
    <w:rsid w:val="00774B8A"/>
    <w:rsid w:val="00780CFD"/>
    <w:rsid w:val="00782B64"/>
    <w:rsid w:val="00786E1E"/>
    <w:rsid w:val="00790BE8"/>
    <w:rsid w:val="00790D81"/>
    <w:rsid w:val="007920DF"/>
    <w:rsid w:val="00794BA4"/>
    <w:rsid w:val="00796957"/>
    <w:rsid w:val="007A19FD"/>
    <w:rsid w:val="007A28C1"/>
    <w:rsid w:val="007A4AF5"/>
    <w:rsid w:val="007A5F63"/>
    <w:rsid w:val="007A6449"/>
    <w:rsid w:val="007B1283"/>
    <w:rsid w:val="007B55AB"/>
    <w:rsid w:val="007C0711"/>
    <w:rsid w:val="007C3DDC"/>
    <w:rsid w:val="007C7195"/>
    <w:rsid w:val="007D4017"/>
    <w:rsid w:val="007D4697"/>
    <w:rsid w:val="007D4DC4"/>
    <w:rsid w:val="007D678C"/>
    <w:rsid w:val="007D6A3B"/>
    <w:rsid w:val="007D70E2"/>
    <w:rsid w:val="007D7358"/>
    <w:rsid w:val="007E31F8"/>
    <w:rsid w:val="007E4C3D"/>
    <w:rsid w:val="007E790A"/>
    <w:rsid w:val="007F49DE"/>
    <w:rsid w:val="00801CDF"/>
    <w:rsid w:val="00802151"/>
    <w:rsid w:val="00802F59"/>
    <w:rsid w:val="00807D0D"/>
    <w:rsid w:val="008106C1"/>
    <w:rsid w:val="00812B31"/>
    <w:rsid w:val="00814580"/>
    <w:rsid w:val="00817A6C"/>
    <w:rsid w:val="00821BB7"/>
    <w:rsid w:val="00822138"/>
    <w:rsid w:val="0082706F"/>
    <w:rsid w:val="00832CCD"/>
    <w:rsid w:val="00833072"/>
    <w:rsid w:val="008371B5"/>
    <w:rsid w:val="008379F1"/>
    <w:rsid w:val="00842980"/>
    <w:rsid w:val="0084457F"/>
    <w:rsid w:val="00845FFA"/>
    <w:rsid w:val="008463AA"/>
    <w:rsid w:val="00855503"/>
    <w:rsid w:val="00861784"/>
    <w:rsid w:val="00865F0A"/>
    <w:rsid w:val="00866560"/>
    <w:rsid w:val="00870831"/>
    <w:rsid w:val="00871813"/>
    <w:rsid w:val="008719F5"/>
    <w:rsid w:val="00876B97"/>
    <w:rsid w:val="0088364F"/>
    <w:rsid w:val="0089113B"/>
    <w:rsid w:val="008A16DB"/>
    <w:rsid w:val="008A51C5"/>
    <w:rsid w:val="008A5ACC"/>
    <w:rsid w:val="008B1535"/>
    <w:rsid w:val="008B17AA"/>
    <w:rsid w:val="008B2758"/>
    <w:rsid w:val="008B6D99"/>
    <w:rsid w:val="008C66AA"/>
    <w:rsid w:val="008C7005"/>
    <w:rsid w:val="008C77C2"/>
    <w:rsid w:val="008C7D8B"/>
    <w:rsid w:val="008D09D1"/>
    <w:rsid w:val="008D0DCC"/>
    <w:rsid w:val="008D56C7"/>
    <w:rsid w:val="008D7695"/>
    <w:rsid w:val="008E21B4"/>
    <w:rsid w:val="008E639A"/>
    <w:rsid w:val="008F6CCA"/>
    <w:rsid w:val="00900710"/>
    <w:rsid w:val="00905542"/>
    <w:rsid w:val="009113E3"/>
    <w:rsid w:val="009155D3"/>
    <w:rsid w:val="00915F0D"/>
    <w:rsid w:val="00921494"/>
    <w:rsid w:val="009232D0"/>
    <w:rsid w:val="00927DA0"/>
    <w:rsid w:val="009332FF"/>
    <w:rsid w:val="0093673C"/>
    <w:rsid w:val="00936A66"/>
    <w:rsid w:val="0093792F"/>
    <w:rsid w:val="009407C3"/>
    <w:rsid w:val="00940968"/>
    <w:rsid w:val="00944FBE"/>
    <w:rsid w:val="00945027"/>
    <w:rsid w:val="00945D44"/>
    <w:rsid w:val="00951519"/>
    <w:rsid w:val="009547C1"/>
    <w:rsid w:val="0095484E"/>
    <w:rsid w:val="00955DE8"/>
    <w:rsid w:val="00956DD5"/>
    <w:rsid w:val="009612DB"/>
    <w:rsid w:val="009625EF"/>
    <w:rsid w:val="009634D6"/>
    <w:rsid w:val="009634F7"/>
    <w:rsid w:val="009708B5"/>
    <w:rsid w:val="0097209B"/>
    <w:rsid w:val="00972656"/>
    <w:rsid w:val="00973F75"/>
    <w:rsid w:val="00983279"/>
    <w:rsid w:val="00984038"/>
    <w:rsid w:val="0098624B"/>
    <w:rsid w:val="009866B9"/>
    <w:rsid w:val="00990199"/>
    <w:rsid w:val="00992486"/>
    <w:rsid w:val="0099354F"/>
    <w:rsid w:val="009A1D0A"/>
    <w:rsid w:val="009B0066"/>
    <w:rsid w:val="009B3E1D"/>
    <w:rsid w:val="009C2D1B"/>
    <w:rsid w:val="009C6422"/>
    <w:rsid w:val="009C6DF4"/>
    <w:rsid w:val="009D2148"/>
    <w:rsid w:val="009E0D5F"/>
    <w:rsid w:val="009E21C1"/>
    <w:rsid w:val="009F1825"/>
    <w:rsid w:val="009F219A"/>
    <w:rsid w:val="00A017B9"/>
    <w:rsid w:val="00A02C7F"/>
    <w:rsid w:val="00A14DD3"/>
    <w:rsid w:val="00A252DC"/>
    <w:rsid w:val="00A25319"/>
    <w:rsid w:val="00A33806"/>
    <w:rsid w:val="00A351CE"/>
    <w:rsid w:val="00A4333F"/>
    <w:rsid w:val="00A43635"/>
    <w:rsid w:val="00A455D8"/>
    <w:rsid w:val="00A506C5"/>
    <w:rsid w:val="00A52BAA"/>
    <w:rsid w:val="00A534BF"/>
    <w:rsid w:val="00A556F8"/>
    <w:rsid w:val="00A65BED"/>
    <w:rsid w:val="00A66680"/>
    <w:rsid w:val="00A7068E"/>
    <w:rsid w:val="00A71761"/>
    <w:rsid w:val="00A80D3C"/>
    <w:rsid w:val="00A843BF"/>
    <w:rsid w:val="00A91C28"/>
    <w:rsid w:val="00A9576A"/>
    <w:rsid w:val="00AB1464"/>
    <w:rsid w:val="00AB2B0B"/>
    <w:rsid w:val="00AB4F30"/>
    <w:rsid w:val="00AB50C9"/>
    <w:rsid w:val="00AC12ED"/>
    <w:rsid w:val="00AC6FDD"/>
    <w:rsid w:val="00AD16A1"/>
    <w:rsid w:val="00AD5B20"/>
    <w:rsid w:val="00AD6DBF"/>
    <w:rsid w:val="00AE54B1"/>
    <w:rsid w:val="00AE6029"/>
    <w:rsid w:val="00AF4203"/>
    <w:rsid w:val="00AF587B"/>
    <w:rsid w:val="00AF6135"/>
    <w:rsid w:val="00B00AAB"/>
    <w:rsid w:val="00B0255F"/>
    <w:rsid w:val="00B068AD"/>
    <w:rsid w:val="00B071E4"/>
    <w:rsid w:val="00B10C13"/>
    <w:rsid w:val="00B13AF7"/>
    <w:rsid w:val="00B15890"/>
    <w:rsid w:val="00B229AF"/>
    <w:rsid w:val="00B24DF9"/>
    <w:rsid w:val="00B32879"/>
    <w:rsid w:val="00B36417"/>
    <w:rsid w:val="00B42FC3"/>
    <w:rsid w:val="00B44E81"/>
    <w:rsid w:val="00B46D0C"/>
    <w:rsid w:val="00B5328D"/>
    <w:rsid w:val="00B5428F"/>
    <w:rsid w:val="00B54530"/>
    <w:rsid w:val="00B5496E"/>
    <w:rsid w:val="00B54E73"/>
    <w:rsid w:val="00B61D67"/>
    <w:rsid w:val="00B6522E"/>
    <w:rsid w:val="00B664AE"/>
    <w:rsid w:val="00B70072"/>
    <w:rsid w:val="00B73A7D"/>
    <w:rsid w:val="00B74399"/>
    <w:rsid w:val="00B82BD6"/>
    <w:rsid w:val="00B831D9"/>
    <w:rsid w:val="00B8484A"/>
    <w:rsid w:val="00B9067F"/>
    <w:rsid w:val="00B9452A"/>
    <w:rsid w:val="00BA6044"/>
    <w:rsid w:val="00BB0D07"/>
    <w:rsid w:val="00BB10B8"/>
    <w:rsid w:val="00BB189F"/>
    <w:rsid w:val="00BB51B7"/>
    <w:rsid w:val="00BB61E7"/>
    <w:rsid w:val="00BC4B41"/>
    <w:rsid w:val="00BC606F"/>
    <w:rsid w:val="00BD4549"/>
    <w:rsid w:val="00BD4746"/>
    <w:rsid w:val="00BD559B"/>
    <w:rsid w:val="00BD5EEC"/>
    <w:rsid w:val="00BE262C"/>
    <w:rsid w:val="00BE2715"/>
    <w:rsid w:val="00BF44CB"/>
    <w:rsid w:val="00C01D56"/>
    <w:rsid w:val="00C020FC"/>
    <w:rsid w:val="00C030C1"/>
    <w:rsid w:val="00C07E59"/>
    <w:rsid w:val="00C17481"/>
    <w:rsid w:val="00C179E5"/>
    <w:rsid w:val="00C22A5F"/>
    <w:rsid w:val="00C32810"/>
    <w:rsid w:val="00C41EDE"/>
    <w:rsid w:val="00C4287B"/>
    <w:rsid w:val="00C429F7"/>
    <w:rsid w:val="00C44C60"/>
    <w:rsid w:val="00C47723"/>
    <w:rsid w:val="00C502D3"/>
    <w:rsid w:val="00C54E26"/>
    <w:rsid w:val="00C55F3D"/>
    <w:rsid w:val="00C562E8"/>
    <w:rsid w:val="00C5655D"/>
    <w:rsid w:val="00C56CEB"/>
    <w:rsid w:val="00C572D0"/>
    <w:rsid w:val="00C5792E"/>
    <w:rsid w:val="00C61B33"/>
    <w:rsid w:val="00C630EF"/>
    <w:rsid w:val="00C715E2"/>
    <w:rsid w:val="00C7468A"/>
    <w:rsid w:val="00C94DC8"/>
    <w:rsid w:val="00C956DA"/>
    <w:rsid w:val="00CA0C5E"/>
    <w:rsid w:val="00CA6B03"/>
    <w:rsid w:val="00CB57D5"/>
    <w:rsid w:val="00CC1F58"/>
    <w:rsid w:val="00CC5F2E"/>
    <w:rsid w:val="00CC6794"/>
    <w:rsid w:val="00CC6ED8"/>
    <w:rsid w:val="00CE014C"/>
    <w:rsid w:val="00CE54D7"/>
    <w:rsid w:val="00CE6D1B"/>
    <w:rsid w:val="00CF0B2B"/>
    <w:rsid w:val="00CF2388"/>
    <w:rsid w:val="00CF5A80"/>
    <w:rsid w:val="00CF5D65"/>
    <w:rsid w:val="00D013BF"/>
    <w:rsid w:val="00D05823"/>
    <w:rsid w:val="00D07D24"/>
    <w:rsid w:val="00D11451"/>
    <w:rsid w:val="00D126E8"/>
    <w:rsid w:val="00D21B04"/>
    <w:rsid w:val="00D41F90"/>
    <w:rsid w:val="00D43225"/>
    <w:rsid w:val="00D45929"/>
    <w:rsid w:val="00D46C32"/>
    <w:rsid w:val="00D471D5"/>
    <w:rsid w:val="00D566B7"/>
    <w:rsid w:val="00D62A8E"/>
    <w:rsid w:val="00D7024E"/>
    <w:rsid w:val="00D81D5B"/>
    <w:rsid w:val="00D84212"/>
    <w:rsid w:val="00D95CA6"/>
    <w:rsid w:val="00D960C1"/>
    <w:rsid w:val="00D962D8"/>
    <w:rsid w:val="00DA64EC"/>
    <w:rsid w:val="00DB1E9B"/>
    <w:rsid w:val="00DB2D51"/>
    <w:rsid w:val="00DB5C7B"/>
    <w:rsid w:val="00DE1E51"/>
    <w:rsid w:val="00DF0FEC"/>
    <w:rsid w:val="00E04684"/>
    <w:rsid w:val="00E12186"/>
    <w:rsid w:val="00E232E7"/>
    <w:rsid w:val="00E25539"/>
    <w:rsid w:val="00E3207D"/>
    <w:rsid w:val="00E35FC6"/>
    <w:rsid w:val="00E36BFF"/>
    <w:rsid w:val="00E454B5"/>
    <w:rsid w:val="00E5103D"/>
    <w:rsid w:val="00E54DCB"/>
    <w:rsid w:val="00E552F2"/>
    <w:rsid w:val="00E55463"/>
    <w:rsid w:val="00E5571D"/>
    <w:rsid w:val="00E57EA4"/>
    <w:rsid w:val="00E620C0"/>
    <w:rsid w:val="00E63977"/>
    <w:rsid w:val="00E678D8"/>
    <w:rsid w:val="00E71FC4"/>
    <w:rsid w:val="00E777C5"/>
    <w:rsid w:val="00E77E30"/>
    <w:rsid w:val="00E77F0F"/>
    <w:rsid w:val="00E81E2E"/>
    <w:rsid w:val="00E831CB"/>
    <w:rsid w:val="00E83861"/>
    <w:rsid w:val="00E849EF"/>
    <w:rsid w:val="00E85131"/>
    <w:rsid w:val="00E85C8D"/>
    <w:rsid w:val="00E86659"/>
    <w:rsid w:val="00E92CFB"/>
    <w:rsid w:val="00E944D2"/>
    <w:rsid w:val="00E9738E"/>
    <w:rsid w:val="00E97C8E"/>
    <w:rsid w:val="00EA0C0B"/>
    <w:rsid w:val="00EA368F"/>
    <w:rsid w:val="00EA6C95"/>
    <w:rsid w:val="00EA71C4"/>
    <w:rsid w:val="00EB44CB"/>
    <w:rsid w:val="00EB539C"/>
    <w:rsid w:val="00EB6D86"/>
    <w:rsid w:val="00EC5146"/>
    <w:rsid w:val="00EC72EE"/>
    <w:rsid w:val="00ED1DD7"/>
    <w:rsid w:val="00EE60B8"/>
    <w:rsid w:val="00EE774E"/>
    <w:rsid w:val="00EF3654"/>
    <w:rsid w:val="00EF6E1E"/>
    <w:rsid w:val="00F13D9D"/>
    <w:rsid w:val="00F15256"/>
    <w:rsid w:val="00F15478"/>
    <w:rsid w:val="00F30B87"/>
    <w:rsid w:val="00F312EC"/>
    <w:rsid w:val="00F33C75"/>
    <w:rsid w:val="00F40F54"/>
    <w:rsid w:val="00F425E9"/>
    <w:rsid w:val="00F505DF"/>
    <w:rsid w:val="00F50DF2"/>
    <w:rsid w:val="00F572E6"/>
    <w:rsid w:val="00F5761C"/>
    <w:rsid w:val="00F57B37"/>
    <w:rsid w:val="00F606A3"/>
    <w:rsid w:val="00F6435B"/>
    <w:rsid w:val="00F70259"/>
    <w:rsid w:val="00F80F30"/>
    <w:rsid w:val="00F8416A"/>
    <w:rsid w:val="00F9124A"/>
    <w:rsid w:val="00F93633"/>
    <w:rsid w:val="00FA253D"/>
    <w:rsid w:val="00FB10C3"/>
    <w:rsid w:val="00FB3466"/>
    <w:rsid w:val="00FB415E"/>
    <w:rsid w:val="00FB5E8B"/>
    <w:rsid w:val="00FC05FF"/>
    <w:rsid w:val="00FC1A16"/>
    <w:rsid w:val="00FC5501"/>
    <w:rsid w:val="00FC57AD"/>
    <w:rsid w:val="00FC718C"/>
    <w:rsid w:val="00FC7A6F"/>
    <w:rsid w:val="00FD2034"/>
    <w:rsid w:val="00FD3046"/>
    <w:rsid w:val="00FD570F"/>
    <w:rsid w:val="00FD7E64"/>
    <w:rsid w:val="00FE7255"/>
    <w:rsid w:val="00FF1EBC"/>
    <w:rsid w:val="00FF1F9D"/>
    <w:rsid w:val="00FF5F6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467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DF9"/>
    <w:pPr>
      <w:spacing w:after="0" w:line="240" w:lineRule="auto"/>
      <w:jc w:val="both"/>
    </w:pPr>
    <w:rPr>
      <w:rFonts w:ascii="Arial" w:eastAsia="Calibri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77BD8"/>
    <w:pPr>
      <w:numPr>
        <w:numId w:val="4"/>
      </w:numPr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1"/>
    <w:next w:val="Normln"/>
    <w:link w:val="Nadpis2Char"/>
    <w:qFormat/>
    <w:rsid w:val="00057B29"/>
    <w:pPr>
      <w:numPr>
        <w:numId w:val="16"/>
      </w:numPr>
      <w:jc w:val="both"/>
      <w:outlineLvl w:val="1"/>
    </w:pPr>
    <w:rPr>
      <w:bCs w:val="0"/>
      <w:color w:val="000000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522E"/>
    <w:pPr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C57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57B29"/>
    <w:rPr>
      <w:rFonts w:ascii="Arial" w:eastAsia="Calibri" w:hAnsi="Arial" w:cs="Arial"/>
      <w:b/>
      <w:color w:val="000000"/>
      <w:sz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31165D"/>
    <w:rPr>
      <w:sz w:val="18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rsid w:val="0031165D"/>
    <w:rPr>
      <w:rFonts w:ascii="Arial" w:eastAsia="Calibri" w:hAnsi="Arial" w:cs="Arial"/>
      <w:sz w:val="18"/>
      <w:szCs w:val="20"/>
    </w:rPr>
  </w:style>
  <w:style w:type="character" w:styleId="Znakapoznpodarou">
    <w:name w:val="footnote reference"/>
    <w:aliases w:val="PGI Fußnote Ziffer"/>
    <w:uiPriority w:val="99"/>
    <w:rsid w:val="009E0D5F"/>
    <w:rPr>
      <w:vertAlign w:val="superscript"/>
    </w:rPr>
  </w:style>
  <w:style w:type="paragraph" w:styleId="Zpat">
    <w:name w:val="footer"/>
    <w:basedOn w:val="Normln"/>
    <w:link w:val="ZpatChar"/>
    <w:uiPriority w:val="99"/>
    <w:rsid w:val="009E0D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0D5F"/>
    <w:rPr>
      <w:rFonts w:ascii="Arial" w:eastAsia="Calibri" w:hAnsi="Arial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077BD8"/>
    <w:rPr>
      <w:rFonts w:ascii="Arial" w:eastAsia="Calibri" w:hAnsi="Arial" w:cs="Arial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911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113B"/>
  </w:style>
  <w:style w:type="paragraph" w:styleId="Textbubliny">
    <w:name w:val="Balloon Text"/>
    <w:basedOn w:val="Normln"/>
    <w:link w:val="TextbublinyChar"/>
    <w:uiPriority w:val="99"/>
    <w:semiHidden/>
    <w:unhideWhenUsed/>
    <w:rsid w:val="008911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1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70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09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09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9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0994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257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257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unhideWhenUsed/>
    <w:rsid w:val="006D2578"/>
    <w:rPr>
      <w:rFonts w:eastAsia="Times New Roman"/>
    </w:rPr>
  </w:style>
  <w:style w:type="paragraph" w:customStyle="1" w:styleId="tabulka">
    <w:name w:val="tabulka"/>
    <w:basedOn w:val="Normln"/>
    <w:link w:val="tabulkaChar"/>
    <w:qFormat/>
    <w:rsid w:val="009866B9"/>
    <w:rPr>
      <w:rFonts w:eastAsia="Times New Roman"/>
      <w:sz w:val="18"/>
      <w:szCs w:val="18"/>
    </w:rPr>
  </w:style>
  <w:style w:type="character" w:customStyle="1" w:styleId="tabulkaChar">
    <w:name w:val="tabulka Char"/>
    <w:link w:val="tabulka"/>
    <w:rsid w:val="009866B9"/>
    <w:rPr>
      <w:rFonts w:ascii="Arial" w:eastAsia="Times New Roman" w:hAnsi="Arial" w:cs="Arial"/>
      <w:sz w:val="18"/>
      <w:szCs w:val="18"/>
    </w:rPr>
  </w:style>
  <w:style w:type="paragraph" w:customStyle="1" w:styleId="Poznmka">
    <w:name w:val="Poznámka"/>
    <w:basedOn w:val="Normln"/>
    <w:link w:val="PoznmkaChar"/>
    <w:autoRedefine/>
    <w:qFormat/>
    <w:rsid w:val="000B40B0"/>
    <w:pPr>
      <w:ind w:left="624" w:hanging="624"/>
    </w:pPr>
    <w:rPr>
      <w:rFonts w:eastAsia="Times New Roman" w:cs="Times New Roman"/>
      <w:sz w:val="18"/>
      <w:szCs w:val="18"/>
    </w:rPr>
  </w:style>
  <w:style w:type="character" w:customStyle="1" w:styleId="PoznmkaChar">
    <w:name w:val="Poznámka Char"/>
    <w:link w:val="Poznmka"/>
    <w:rsid w:val="000B40B0"/>
    <w:rPr>
      <w:rFonts w:ascii="Arial" w:eastAsia="Times New Roman" w:hAnsi="Arial" w:cs="Times New Roman"/>
      <w:sz w:val="18"/>
      <w:szCs w:val="18"/>
    </w:rPr>
  </w:style>
  <w:style w:type="paragraph" w:styleId="Odstavecseseznamem">
    <w:name w:val="List Paragraph"/>
    <w:aliases w:val="odrážky"/>
    <w:basedOn w:val="Normln"/>
    <w:uiPriority w:val="34"/>
    <w:qFormat/>
    <w:rsid w:val="00AD6DB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E1E51"/>
    <w:rPr>
      <w:rFonts w:ascii="Arial" w:eastAsia="Calibri" w:hAnsi="Arial" w:cs="Arial"/>
      <w:b/>
    </w:rPr>
  </w:style>
  <w:style w:type="character" w:customStyle="1" w:styleId="Nadpis4Char">
    <w:name w:val="Nadpis 4 Char"/>
    <w:basedOn w:val="Standardnpsmoodstavce"/>
    <w:link w:val="Nadpis4"/>
    <w:uiPriority w:val="9"/>
    <w:rsid w:val="00FC5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yleLatinArial">
    <w:name w:val="Style (Latin) Arial"/>
    <w:rsid w:val="00FC57AD"/>
    <w:rPr>
      <w:rFonts w:ascii="Arial" w:eastAsia="Calibri" w:hAnsi="Arial" w:cs="Arial"/>
      <w:sz w:val="20"/>
      <w:lang w:val="cs-CZ" w:eastAsia="en-US" w:bidi="ar-SA"/>
    </w:rPr>
  </w:style>
  <w:style w:type="character" w:styleId="Hypertextovodkaz">
    <w:name w:val="Hyperlink"/>
    <w:uiPriority w:val="99"/>
    <w:rsid w:val="00B5328D"/>
    <w:rPr>
      <w:color w:val="0000FF"/>
      <w:u w:val="single"/>
    </w:rPr>
  </w:style>
  <w:style w:type="character" w:styleId="Siln">
    <w:name w:val="Strong"/>
    <w:uiPriority w:val="22"/>
    <w:qFormat/>
    <w:rsid w:val="00315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DF9"/>
    <w:pPr>
      <w:spacing w:after="0" w:line="240" w:lineRule="auto"/>
      <w:jc w:val="both"/>
    </w:pPr>
    <w:rPr>
      <w:rFonts w:ascii="Arial" w:eastAsia="Calibri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77BD8"/>
    <w:pPr>
      <w:numPr>
        <w:numId w:val="4"/>
      </w:numPr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1"/>
    <w:next w:val="Normln"/>
    <w:link w:val="Nadpis2Char"/>
    <w:qFormat/>
    <w:rsid w:val="00057B29"/>
    <w:pPr>
      <w:numPr>
        <w:numId w:val="16"/>
      </w:numPr>
      <w:jc w:val="both"/>
      <w:outlineLvl w:val="1"/>
    </w:pPr>
    <w:rPr>
      <w:bCs w:val="0"/>
      <w:color w:val="000000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522E"/>
    <w:pPr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C57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57B29"/>
    <w:rPr>
      <w:rFonts w:ascii="Arial" w:eastAsia="Calibri" w:hAnsi="Arial" w:cs="Arial"/>
      <w:b/>
      <w:color w:val="000000"/>
      <w:sz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31165D"/>
    <w:rPr>
      <w:sz w:val="18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rsid w:val="0031165D"/>
    <w:rPr>
      <w:rFonts w:ascii="Arial" w:eastAsia="Calibri" w:hAnsi="Arial" w:cs="Arial"/>
      <w:sz w:val="18"/>
      <w:szCs w:val="20"/>
    </w:rPr>
  </w:style>
  <w:style w:type="character" w:styleId="Znakapoznpodarou">
    <w:name w:val="footnote reference"/>
    <w:aliases w:val="PGI Fußnote Ziffer"/>
    <w:uiPriority w:val="99"/>
    <w:rsid w:val="009E0D5F"/>
    <w:rPr>
      <w:vertAlign w:val="superscript"/>
    </w:rPr>
  </w:style>
  <w:style w:type="paragraph" w:styleId="Zpat">
    <w:name w:val="footer"/>
    <w:basedOn w:val="Normln"/>
    <w:link w:val="ZpatChar"/>
    <w:uiPriority w:val="99"/>
    <w:rsid w:val="009E0D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0D5F"/>
    <w:rPr>
      <w:rFonts w:ascii="Arial" w:eastAsia="Calibri" w:hAnsi="Arial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077BD8"/>
    <w:rPr>
      <w:rFonts w:ascii="Arial" w:eastAsia="Calibri" w:hAnsi="Arial" w:cs="Arial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911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113B"/>
  </w:style>
  <w:style w:type="paragraph" w:styleId="Textbubliny">
    <w:name w:val="Balloon Text"/>
    <w:basedOn w:val="Normln"/>
    <w:link w:val="TextbublinyChar"/>
    <w:uiPriority w:val="99"/>
    <w:semiHidden/>
    <w:unhideWhenUsed/>
    <w:rsid w:val="008911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1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70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09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09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9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0994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257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257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unhideWhenUsed/>
    <w:rsid w:val="006D2578"/>
    <w:rPr>
      <w:rFonts w:eastAsia="Times New Roman"/>
    </w:rPr>
  </w:style>
  <w:style w:type="paragraph" w:customStyle="1" w:styleId="tabulka">
    <w:name w:val="tabulka"/>
    <w:basedOn w:val="Normln"/>
    <w:link w:val="tabulkaChar"/>
    <w:qFormat/>
    <w:rsid w:val="009866B9"/>
    <w:rPr>
      <w:rFonts w:eastAsia="Times New Roman"/>
      <w:sz w:val="18"/>
      <w:szCs w:val="18"/>
    </w:rPr>
  </w:style>
  <w:style w:type="character" w:customStyle="1" w:styleId="tabulkaChar">
    <w:name w:val="tabulka Char"/>
    <w:link w:val="tabulka"/>
    <w:rsid w:val="009866B9"/>
    <w:rPr>
      <w:rFonts w:ascii="Arial" w:eastAsia="Times New Roman" w:hAnsi="Arial" w:cs="Arial"/>
      <w:sz w:val="18"/>
      <w:szCs w:val="18"/>
    </w:rPr>
  </w:style>
  <w:style w:type="paragraph" w:customStyle="1" w:styleId="Poznmka">
    <w:name w:val="Poznámka"/>
    <w:basedOn w:val="Normln"/>
    <w:link w:val="PoznmkaChar"/>
    <w:autoRedefine/>
    <w:qFormat/>
    <w:rsid w:val="000B40B0"/>
    <w:pPr>
      <w:ind w:left="624" w:hanging="624"/>
    </w:pPr>
    <w:rPr>
      <w:rFonts w:eastAsia="Times New Roman" w:cs="Times New Roman"/>
      <w:sz w:val="18"/>
      <w:szCs w:val="18"/>
    </w:rPr>
  </w:style>
  <w:style w:type="character" w:customStyle="1" w:styleId="PoznmkaChar">
    <w:name w:val="Poznámka Char"/>
    <w:link w:val="Poznmka"/>
    <w:rsid w:val="000B40B0"/>
    <w:rPr>
      <w:rFonts w:ascii="Arial" w:eastAsia="Times New Roman" w:hAnsi="Arial" w:cs="Times New Roman"/>
      <w:sz w:val="18"/>
      <w:szCs w:val="18"/>
    </w:rPr>
  </w:style>
  <w:style w:type="paragraph" w:styleId="Odstavecseseznamem">
    <w:name w:val="List Paragraph"/>
    <w:aliases w:val="odrážky"/>
    <w:basedOn w:val="Normln"/>
    <w:uiPriority w:val="34"/>
    <w:qFormat/>
    <w:rsid w:val="00AD6DB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E1E51"/>
    <w:rPr>
      <w:rFonts w:ascii="Arial" w:eastAsia="Calibri" w:hAnsi="Arial" w:cs="Arial"/>
      <w:b/>
    </w:rPr>
  </w:style>
  <w:style w:type="character" w:customStyle="1" w:styleId="Nadpis4Char">
    <w:name w:val="Nadpis 4 Char"/>
    <w:basedOn w:val="Standardnpsmoodstavce"/>
    <w:link w:val="Nadpis4"/>
    <w:uiPriority w:val="9"/>
    <w:rsid w:val="00FC5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yleLatinArial">
    <w:name w:val="Style (Latin) Arial"/>
    <w:rsid w:val="00FC57AD"/>
    <w:rPr>
      <w:rFonts w:ascii="Arial" w:eastAsia="Calibri" w:hAnsi="Arial" w:cs="Arial"/>
      <w:sz w:val="20"/>
      <w:lang w:val="cs-CZ" w:eastAsia="en-US" w:bidi="ar-SA"/>
    </w:rPr>
  </w:style>
  <w:style w:type="character" w:styleId="Hypertextovodkaz">
    <w:name w:val="Hyperlink"/>
    <w:uiPriority w:val="99"/>
    <w:rsid w:val="00B5328D"/>
    <w:rPr>
      <w:color w:val="0000FF"/>
      <w:u w:val="single"/>
    </w:rPr>
  </w:style>
  <w:style w:type="character" w:styleId="Siln">
    <w:name w:val="Strong"/>
    <w:uiPriority w:val="22"/>
    <w:qFormat/>
    <w:rsid w:val="00315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12969-6BE6-4388-9E65-207E4A912B8C}"/>
</file>

<file path=customXml/itemProps2.xml><?xml version="1.0" encoding="utf-8"?>
<ds:datastoreItem xmlns:ds="http://schemas.openxmlformats.org/officeDocument/2006/customXml" ds:itemID="{35A60FF8-4C3B-4FEF-9539-1ABDE4D37E59}"/>
</file>

<file path=customXml/itemProps3.xml><?xml version="1.0" encoding="utf-8"?>
<ds:datastoreItem xmlns:ds="http://schemas.openxmlformats.org/officeDocument/2006/customXml" ds:itemID="{E32655C2-7DFD-4B45-A095-E6495DCA8899}"/>
</file>

<file path=customXml/itemProps4.xml><?xml version="1.0" encoding="utf-8"?>
<ds:datastoreItem xmlns:ds="http://schemas.openxmlformats.org/officeDocument/2006/customXml" ds:itemID="{0B3A1E47-BD51-4CAA-A6EE-DD6CCC38F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4845</Words>
  <Characters>28589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13/13</vt:lpstr>
    </vt:vector>
  </TitlesOfParts>
  <Company>NKU</Company>
  <LinksUpToDate>false</LinksUpToDate>
  <CharactersWithSpaces>33368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13/40</dc:title>
  <dc:creator>BALCAROVÁ Hana</dc:creator>
  <cp:lastModifiedBy>GREŠOVÁ Romana</cp:lastModifiedBy>
  <cp:revision>4</cp:revision>
  <cp:lastPrinted>2014-06-13T13:06:00Z</cp:lastPrinted>
  <dcterms:created xsi:type="dcterms:W3CDTF">2014-06-19T08:40:00Z</dcterms:created>
  <dcterms:modified xsi:type="dcterms:W3CDTF">2014-06-20T07:12:00Z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