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9A8" w:rsidRPr="00391416" w:rsidRDefault="003109A8" w:rsidP="001B596B">
      <w:pPr>
        <w:jc w:val="center"/>
        <w:rPr>
          <w:rFonts w:asciiTheme="minorHAnsi" w:hAnsiTheme="minorHAnsi" w:cstheme="minorHAnsi"/>
          <w:b/>
        </w:rPr>
      </w:pPr>
      <w:r w:rsidRPr="00391416">
        <w:rPr>
          <w:rFonts w:asciiTheme="minorHAnsi" w:hAnsiTheme="minorHAnsi" w:cstheme="minorHAnsi"/>
          <w:noProof/>
          <w:lang w:eastAsia="cs-CZ"/>
        </w:rPr>
        <w:drawing>
          <wp:anchor distT="0" distB="0" distL="114935" distR="114935" simplePos="0" relativeHeight="251659264" behindDoc="0" locked="0" layoutInCell="1" allowOverlap="1" wp14:anchorId="0B25298E" wp14:editId="2BB7F4F8">
            <wp:simplePos x="0" y="0"/>
            <wp:positionH relativeFrom="column">
              <wp:posOffset>2471420</wp:posOffset>
            </wp:positionH>
            <wp:positionV relativeFrom="paragraph">
              <wp:posOffset>26035</wp:posOffset>
            </wp:positionV>
            <wp:extent cx="790575" cy="558800"/>
            <wp:effectExtent l="0" t="0" r="952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82721" w:rsidRDefault="00282721" w:rsidP="00E91032">
      <w:pPr>
        <w:jc w:val="center"/>
        <w:rPr>
          <w:rFonts w:asciiTheme="minorHAnsi" w:hAnsiTheme="minorHAnsi" w:cstheme="minorHAnsi"/>
          <w:b/>
          <w:highlight w:val="lightGray"/>
        </w:rPr>
      </w:pPr>
    </w:p>
    <w:p w:rsidR="00C01E14" w:rsidRPr="00391416" w:rsidRDefault="00C01E14" w:rsidP="00E91032">
      <w:pPr>
        <w:jc w:val="center"/>
        <w:rPr>
          <w:rFonts w:asciiTheme="minorHAnsi" w:hAnsiTheme="minorHAnsi" w:cstheme="minorHAnsi"/>
          <w:b/>
          <w:highlight w:val="lightGray"/>
        </w:rPr>
      </w:pPr>
    </w:p>
    <w:p w:rsidR="00282721" w:rsidRPr="00391416" w:rsidRDefault="00282721" w:rsidP="00E91032">
      <w:pPr>
        <w:jc w:val="center"/>
        <w:rPr>
          <w:rFonts w:asciiTheme="minorHAnsi" w:hAnsiTheme="minorHAnsi" w:cstheme="minorHAnsi"/>
          <w:b/>
          <w:sz w:val="28"/>
          <w:szCs w:val="28"/>
        </w:rPr>
      </w:pPr>
      <w:bookmarkStart w:id="0" w:name="_GoBack"/>
      <w:r w:rsidRPr="00391416">
        <w:rPr>
          <w:rFonts w:asciiTheme="minorHAnsi" w:hAnsiTheme="minorHAnsi" w:cstheme="minorHAnsi"/>
          <w:b/>
          <w:sz w:val="28"/>
          <w:szCs w:val="28"/>
        </w:rPr>
        <w:t>Kontrolní závěr z kontrolní akce</w:t>
      </w:r>
    </w:p>
    <w:p w:rsidR="00282721" w:rsidRPr="00C01E14" w:rsidRDefault="00282721" w:rsidP="00E91032">
      <w:pPr>
        <w:jc w:val="center"/>
        <w:rPr>
          <w:rFonts w:asciiTheme="minorHAnsi" w:hAnsiTheme="minorHAnsi" w:cstheme="minorHAnsi"/>
          <w:b/>
          <w:szCs w:val="28"/>
          <w:highlight w:val="lightGray"/>
        </w:rPr>
      </w:pPr>
    </w:p>
    <w:p w:rsidR="00282721" w:rsidRPr="00391416" w:rsidRDefault="00507F3F" w:rsidP="00E91032">
      <w:pPr>
        <w:jc w:val="center"/>
        <w:rPr>
          <w:rFonts w:asciiTheme="minorHAnsi" w:hAnsiTheme="minorHAnsi" w:cstheme="minorHAnsi"/>
          <w:b/>
          <w:sz w:val="28"/>
          <w:szCs w:val="28"/>
        </w:rPr>
      </w:pPr>
      <w:r w:rsidRPr="00391416">
        <w:rPr>
          <w:rFonts w:asciiTheme="minorHAnsi" w:hAnsiTheme="minorHAnsi" w:cstheme="minorHAnsi"/>
          <w:b/>
          <w:sz w:val="28"/>
          <w:szCs w:val="28"/>
        </w:rPr>
        <w:t>1</w:t>
      </w:r>
      <w:r w:rsidR="00603D7F" w:rsidRPr="00391416">
        <w:rPr>
          <w:rFonts w:asciiTheme="minorHAnsi" w:hAnsiTheme="minorHAnsi" w:cstheme="minorHAnsi"/>
          <w:b/>
          <w:sz w:val="28"/>
          <w:szCs w:val="28"/>
        </w:rPr>
        <w:t>5</w:t>
      </w:r>
      <w:r w:rsidRPr="00391416">
        <w:rPr>
          <w:rFonts w:asciiTheme="minorHAnsi" w:hAnsiTheme="minorHAnsi" w:cstheme="minorHAnsi"/>
          <w:b/>
          <w:sz w:val="28"/>
          <w:szCs w:val="28"/>
        </w:rPr>
        <w:t>/</w:t>
      </w:r>
      <w:r w:rsidR="00FD6424">
        <w:rPr>
          <w:rFonts w:asciiTheme="minorHAnsi" w:hAnsiTheme="minorHAnsi" w:cstheme="minorHAnsi"/>
          <w:b/>
          <w:sz w:val="28"/>
          <w:szCs w:val="28"/>
        </w:rPr>
        <w:t>19</w:t>
      </w:r>
    </w:p>
    <w:bookmarkEnd w:id="0"/>
    <w:p w:rsidR="00282721" w:rsidRPr="00C01E14" w:rsidRDefault="00282721" w:rsidP="00E91032">
      <w:pPr>
        <w:jc w:val="center"/>
        <w:rPr>
          <w:rFonts w:asciiTheme="minorHAnsi" w:hAnsiTheme="minorHAnsi" w:cstheme="minorHAnsi"/>
          <w:b/>
          <w:szCs w:val="28"/>
          <w:highlight w:val="green"/>
        </w:rPr>
      </w:pPr>
    </w:p>
    <w:p w:rsidR="00282721" w:rsidRPr="00391416" w:rsidRDefault="00603D7F" w:rsidP="00E91032">
      <w:pPr>
        <w:jc w:val="center"/>
        <w:rPr>
          <w:rFonts w:asciiTheme="minorHAnsi" w:hAnsiTheme="minorHAnsi" w:cstheme="minorHAnsi"/>
          <w:b/>
          <w:sz w:val="28"/>
          <w:szCs w:val="28"/>
        </w:rPr>
      </w:pPr>
      <w:r w:rsidRPr="00391416">
        <w:rPr>
          <w:rFonts w:asciiTheme="minorHAnsi" w:hAnsiTheme="minorHAnsi" w:cstheme="minorHAnsi"/>
          <w:b/>
          <w:sz w:val="28"/>
          <w:szCs w:val="28"/>
        </w:rPr>
        <w:t>Závěrečný účet kapitoly</w:t>
      </w:r>
      <w:r w:rsidR="00085B71" w:rsidRPr="00391416">
        <w:rPr>
          <w:rFonts w:asciiTheme="minorHAnsi" w:hAnsiTheme="minorHAnsi" w:cstheme="minorHAnsi"/>
          <w:b/>
          <w:sz w:val="28"/>
          <w:szCs w:val="28"/>
        </w:rPr>
        <w:t xml:space="preserve"> </w:t>
      </w:r>
      <w:r w:rsidRPr="00391416">
        <w:rPr>
          <w:rFonts w:asciiTheme="minorHAnsi" w:hAnsiTheme="minorHAnsi" w:cstheme="minorHAnsi"/>
          <w:b/>
          <w:sz w:val="28"/>
          <w:szCs w:val="28"/>
        </w:rPr>
        <w:t xml:space="preserve">státního rozpočtu </w:t>
      </w:r>
      <w:r w:rsidRPr="009B3814">
        <w:rPr>
          <w:rFonts w:asciiTheme="minorHAnsi" w:hAnsiTheme="minorHAnsi" w:cstheme="minorHAnsi"/>
          <w:b/>
          <w:i/>
          <w:sz w:val="28"/>
          <w:szCs w:val="28"/>
        </w:rPr>
        <w:t xml:space="preserve">Ministerstvo </w:t>
      </w:r>
      <w:r w:rsidR="00FD6424" w:rsidRPr="009B3814">
        <w:rPr>
          <w:rFonts w:asciiTheme="minorHAnsi" w:hAnsiTheme="minorHAnsi" w:cstheme="minorHAnsi"/>
          <w:b/>
          <w:i/>
          <w:sz w:val="28"/>
          <w:szCs w:val="28"/>
        </w:rPr>
        <w:t>kultury</w:t>
      </w:r>
      <w:r w:rsidRPr="00391416">
        <w:rPr>
          <w:rFonts w:asciiTheme="minorHAnsi" w:hAnsiTheme="minorHAnsi" w:cstheme="minorHAnsi"/>
          <w:b/>
          <w:sz w:val="28"/>
          <w:szCs w:val="28"/>
        </w:rPr>
        <w:t xml:space="preserve"> </w:t>
      </w:r>
      <w:r w:rsidR="00C01E14">
        <w:rPr>
          <w:rFonts w:asciiTheme="minorHAnsi" w:hAnsiTheme="minorHAnsi" w:cstheme="minorHAnsi"/>
          <w:b/>
          <w:sz w:val="28"/>
          <w:szCs w:val="28"/>
        </w:rPr>
        <w:br/>
      </w:r>
      <w:r w:rsidRPr="00391416">
        <w:rPr>
          <w:rFonts w:asciiTheme="minorHAnsi" w:hAnsiTheme="minorHAnsi" w:cstheme="minorHAnsi"/>
          <w:b/>
          <w:sz w:val="28"/>
          <w:szCs w:val="28"/>
        </w:rPr>
        <w:t xml:space="preserve">za rok 2014, účetní závěrka Ministerstva </w:t>
      </w:r>
      <w:r w:rsidR="00FD6424">
        <w:rPr>
          <w:rFonts w:asciiTheme="minorHAnsi" w:hAnsiTheme="minorHAnsi" w:cstheme="minorHAnsi"/>
          <w:b/>
          <w:sz w:val="28"/>
          <w:szCs w:val="28"/>
        </w:rPr>
        <w:t>kultury</w:t>
      </w:r>
      <w:r w:rsidRPr="00391416">
        <w:rPr>
          <w:rFonts w:asciiTheme="minorHAnsi" w:hAnsiTheme="minorHAnsi" w:cstheme="minorHAnsi"/>
          <w:b/>
          <w:sz w:val="28"/>
          <w:szCs w:val="28"/>
        </w:rPr>
        <w:t xml:space="preserve"> za rok 2014 </w:t>
      </w:r>
      <w:r w:rsidR="00C01E14">
        <w:rPr>
          <w:rFonts w:asciiTheme="minorHAnsi" w:hAnsiTheme="minorHAnsi" w:cstheme="minorHAnsi"/>
          <w:b/>
          <w:sz w:val="28"/>
          <w:szCs w:val="28"/>
        </w:rPr>
        <w:br/>
      </w:r>
      <w:r w:rsidRPr="00391416">
        <w:rPr>
          <w:rFonts w:asciiTheme="minorHAnsi" w:hAnsiTheme="minorHAnsi" w:cstheme="minorHAnsi"/>
          <w:b/>
          <w:sz w:val="28"/>
          <w:szCs w:val="28"/>
        </w:rPr>
        <w:t>a</w:t>
      </w:r>
      <w:r w:rsidR="00C01E14">
        <w:rPr>
          <w:rFonts w:asciiTheme="minorHAnsi" w:hAnsiTheme="minorHAnsi" w:cstheme="minorHAnsi"/>
          <w:b/>
          <w:sz w:val="28"/>
          <w:szCs w:val="28"/>
        </w:rPr>
        <w:t> </w:t>
      </w:r>
      <w:r w:rsidRPr="00391416">
        <w:rPr>
          <w:rFonts w:asciiTheme="minorHAnsi" w:hAnsiTheme="minorHAnsi" w:cstheme="minorHAnsi"/>
          <w:b/>
          <w:sz w:val="28"/>
          <w:szCs w:val="28"/>
        </w:rPr>
        <w:t xml:space="preserve">údaje předkládané Ministerstvem </w:t>
      </w:r>
      <w:r w:rsidR="00FD6424">
        <w:rPr>
          <w:rFonts w:asciiTheme="minorHAnsi" w:hAnsiTheme="minorHAnsi" w:cstheme="minorHAnsi"/>
          <w:b/>
          <w:sz w:val="28"/>
          <w:szCs w:val="28"/>
        </w:rPr>
        <w:t>kultury</w:t>
      </w:r>
      <w:r w:rsidRPr="00391416">
        <w:rPr>
          <w:rFonts w:asciiTheme="minorHAnsi" w:hAnsiTheme="minorHAnsi" w:cstheme="minorHAnsi"/>
          <w:b/>
          <w:sz w:val="28"/>
          <w:szCs w:val="28"/>
        </w:rPr>
        <w:t xml:space="preserve"> pro hodnocení plnění </w:t>
      </w:r>
      <w:r w:rsidR="00C01E14">
        <w:rPr>
          <w:rFonts w:asciiTheme="minorHAnsi" w:hAnsiTheme="minorHAnsi" w:cstheme="minorHAnsi"/>
          <w:b/>
          <w:sz w:val="28"/>
          <w:szCs w:val="28"/>
        </w:rPr>
        <w:br/>
      </w:r>
      <w:r w:rsidRPr="00391416">
        <w:rPr>
          <w:rFonts w:asciiTheme="minorHAnsi" w:hAnsiTheme="minorHAnsi" w:cstheme="minorHAnsi"/>
          <w:b/>
          <w:sz w:val="28"/>
          <w:szCs w:val="28"/>
        </w:rPr>
        <w:t>státního rozpočtu za rok 2014</w:t>
      </w:r>
    </w:p>
    <w:p w:rsidR="00282721" w:rsidRPr="00391416" w:rsidRDefault="00282721" w:rsidP="00741C30">
      <w:pPr>
        <w:jc w:val="both"/>
        <w:rPr>
          <w:rFonts w:asciiTheme="minorHAnsi" w:hAnsiTheme="minorHAnsi" w:cstheme="minorHAnsi"/>
          <w:highlight w:val="green"/>
        </w:rPr>
      </w:pPr>
    </w:p>
    <w:p w:rsidR="007A4E63" w:rsidRPr="00391416" w:rsidRDefault="007A4E63" w:rsidP="00741C30">
      <w:pPr>
        <w:jc w:val="both"/>
        <w:rPr>
          <w:rFonts w:asciiTheme="minorHAnsi" w:hAnsiTheme="minorHAnsi" w:cstheme="minorHAnsi"/>
          <w:highlight w:val="green"/>
        </w:rPr>
      </w:pPr>
    </w:p>
    <w:p w:rsidR="00282721" w:rsidRPr="00391416" w:rsidRDefault="00282721" w:rsidP="00741C30">
      <w:pPr>
        <w:jc w:val="both"/>
        <w:rPr>
          <w:rFonts w:asciiTheme="minorHAnsi" w:hAnsiTheme="minorHAnsi" w:cstheme="minorHAnsi"/>
        </w:rPr>
      </w:pPr>
      <w:r w:rsidRPr="00391416">
        <w:rPr>
          <w:rFonts w:asciiTheme="minorHAnsi" w:hAnsiTheme="minorHAnsi" w:cstheme="minorHAnsi"/>
        </w:rPr>
        <w:t>Kontrolní akce byla zařazena do plánu kontrolní činnosti Nejvyššího kontrolního úřadu (dále jen „NKÚ“) na rok 20</w:t>
      </w:r>
      <w:r w:rsidR="00507F3F" w:rsidRPr="00391416">
        <w:rPr>
          <w:rFonts w:asciiTheme="minorHAnsi" w:hAnsiTheme="minorHAnsi" w:cstheme="minorHAnsi"/>
        </w:rPr>
        <w:t>1</w:t>
      </w:r>
      <w:r w:rsidR="00603D7F" w:rsidRPr="00391416">
        <w:rPr>
          <w:rFonts w:asciiTheme="minorHAnsi" w:hAnsiTheme="minorHAnsi" w:cstheme="minorHAnsi"/>
        </w:rPr>
        <w:t>5</w:t>
      </w:r>
      <w:r w:rsidRPr="00391416">
        <w:rPr>
          <w:rFonts w:asciiTheme="minorHAnsi" w:hAnsiTheme="minorHAnsi" w:cstheme="minorHAnsi"/>
        </w:rPr>
        <w:t xml:space="preserve"> pod číslem </w:t>
      </w:r>
      <w:r w:rsidR="00507F3F" w:rsidRPr="00391416">
        <w:rPr>
          <w:rFonts w:asciiTheme="minorHAnsi" w:hAnsiTheme="minorHAnsi" w:cstheme="minorHAnsi"/>
        </w:rPr>
        <w:t>1</w:t>
      </w:r>
      <w:r w:rsidR="00603D7F" w:rsidRPr="00391416">
        <w:rPr>
          <w:rFonts w:asciiTheme="minorHAnsi" w:hAnsiTheme="minorHAnsi" w:cstheme="minorHAnsi"/>
        </w:rPr>
        <w:t>5</w:t>
      </w:r>
      <w:r w:rsidR="00507F3F" w:rsidRPr="00391416">
        <w:rPr>
          <w:rFonts w:asciiTheme="minorHAnsi" w:hAnsiTheme="minorHAnsi" w:cstheme="minorHAnsi"/>
        </w:rPr>
        <w:t>/</w:t>
      </w:r>
      <w:r w:rsidR="00DD2E03">
        <w:rPr>
          <w:rFonts w:asciiTheme="minorHAnsi" w:hAnsiTheme="minorHAnsi" w:cstheme="minorHAnsi"/>
        </w:rPr>
        <w:t>19</w:t>
      </w:r>
      <w:r w:rsidRPr="00391416">
        <w:rPr>
          <w:rFonts w:asciiTheme="minorHAnsi" w:hAnsiTheme="minorHAnsi" w:cstheme="minorHAnsi"/>
        </w:rPr>
        <w:t xml:space="preserve">. Kontrolní akci řídil a kontrolní závěr vypracoval člen NKÚ Ing. </w:t>
      </w:r>
      <w:r w:rsidR="00DD2E03">
        <w:rPr>
          <w:rFonts w:asciiTheme="minorHAnsi" w:hAnsiTheme="minorHAnsi" w:cstheme="minorHAnsi"/>
        </w:rPr>
        <w:t>Jan Vedral</w:t>
      </w:r>
      <w:r w:rsidRPr="00391416">
        <w:rPr>
          <w:rFonts w:asciiTheme="minorHAnsi" w:hAnsiTheme="minorHAnsi" w:cstheme="minorHAnsi"/>
        </w:rPr>
        <w:t>.</w:t>
      </w:r>
    </w:p>
    <w:p w:rsidR="00282721" w:rsidRPr="00391416" w:rsidRDefault="00282721" w:rsidP="00741C30">
      <w:pPr>
        <w:jc w:val="both"/>
        <w:rPr>
          <w:rFonts w:asciiTheme="minorHAnsi" w:hAnsiTheme="minorHAnsi" w:cstheme="minorHAnsi"/>
          <w:highlight w:val="yellow"/>
        </w:rPr>
      </w:pPr>
    </w:p>
    <w:p w:rsidR="00EB4A70" w:rsidRPr="00391416" w:rsidRDefault="00EB4A70" w:rsidP="00741C30">
      <w:pPr>
        <w:jc w:val="both"/>
        <w:rPr>
          <w:rFonts w:asciiTheme="minorHAnsi" w:hAnsiTheme="minorHAnsi" w:cstheme="minorHAnsi"/>
        </w:rPr>
      </w:pPr>
      <w:r w:rsidRPr="00391416">
        <w:rPr>
          <w:rFonts w:asciiTheme="minorHAnsi" w:hAnsiTheme="minorHAnsi" w:cstheme="minorHAnsi"/>
        </w:rPr>
        <w:t xml:space="preserve">Cílem kontroly bylo prověřit, </w:t>
      </w:r>
      <w:r w:rsidRPr="00391416">
        <w:rPr>
          <w:rFonts w:asciiTheme="minorHAnsi" w:hAnsiTheme="minorHAnsi" w:cstheme="minorHAnsi"/>
          <w:bCs/>
        </w:rPr>
        <w:t xml:space="preserve">zda </w:t>
      </w:r>
      <w:r w:rsidR="00603D7F" w:rsidRPr="00391416">
        <w:rPr>
          <w:rFonts w:asciiTheme="minorHAnsi" w:hAnsiTheme="minorHAnsi" w:cstheme="minorHAnsi"/>
          <w:bCs/>
        </w:rPr>
        <w:t xml:space="preserve">Ministerstvo </w:t>
      </w:r>
      <w:r w:rsidR="00DD2E03">
        <w:rPr>
          <w:rFonts w:asciiTheme="minorHAnsi" w:hAnsiTheme="minorHAnsi" w:cstheme="minorHAnsi"/>
          <w:bCs/>
        </w:rPr>
        <w:t>kultury</w:t>
      </w:r>
      <w:r w:rsidRPr="00391416">
        <w:rPr>
          <w:rFonts w:asciiTheme="minorHAnsi" w:hAnsiTheme="minorHAnsi" w:cstheme="minorHAnsi"/>
          <w:bCs/>
        </w:rPr>
        <w:t xml:space="preserve"> při</w:t>
      </w:r>
      <w:r w:rsidR="00603D7F" w:rsidRPr="00391416">
        <w:rPr>
          <w:rFonts w:asciiTheme="minorHAnsi" w:hAnsiTheme="minorHAnsi" w:cstheme="minorHAnsi"/>
          <w:bCs/>
        </w:rPr>
        <w:t xml:space="preserve"> sestavení závěrečného účtu a</w:t>
      </w:r>
      <w:r w:rsidR="009C77C9">
        <w:rPr>
          <w:rFonts w:asciiTheme="minorHAnsi" w:hAnsiTheme="minorHAnsi" w:cstheme="minorHAnsi"/>
          <w:bCs/>
        </w:rPr>
        <w:t xml:space="preserve"> </w:t>
      </w:r>
      <w:r w:rsidR="00603D7F" w:rsidRPr="00391416">
        <w:rPr>
          <w:rFonts w:asciiTheme="minorHAnsi" w:hAnsiTheme="minorHAnsi" w:cstheme="minorHAnsi"/>
          <w:bCs/>
        </w:rPr>
        <w:t>při</w:t>
      </w:r>
      <w:r w:rsidRPr="00391416">
        <w:rPr>
          <w:rFonts w:asciiTheme="minorHAnsi" w:hAnsiTheme="minorHAnsi" w:cstheme="minorHAnsi"/>
          <w:bCs/>
        </w:rPr>
        <w:t xml:space="preserve"> vedení účetnictví a sestavení účetní závěrky a </w:t>
      </w:r>
      <w:r w:rsidR="00603D7F" w:rsidRPr="00391416">
        <w:rPr>
          <w:rFonts w:asciiTheme="minorHAnsi" w:hAnsiTheme="minorHAnsi" w:cstheme="minorHAnsi"/>
          <w:bCs/>
        </w:rPr>
        <w:t>předkládání údajů pro hodnocení plnění státního rozpočtu</w:t>
      </w:r>
      <w:r w:rsidRPr="00391416">
        <w:rPr>
          <w:rFonts w:asciiTheme="minorHAnsi" w:hAnsiTheme="minorHAnsi" w:cstheme="minorHAnsi"/>
          <w:bCs/>
        </w:rPr>
        <w:t xml:space="preserve"> za rok 201</w:t>
      </w:r>
      <w:r w:rsidR="00603D7F" w:rsidRPr="00391416">
        <w:rPr>
          <w:rFonts w:asciiTheme="minorHAnsi" w:hAnsiTheme="minorHAnsi" w:cstheme="minorHAnsi"/>
          <w:bCs/>
        </w:rPr>
        <w:t>4</w:t>
      </w:r>
      <w:r w:rsidR="00401863" w:rsidRPr="00391416">
        <w:rPr>
          <w:rFonts w:asciiTheme="minorHAnsi" w:hAnsiTheme="minorHAnsi" w:cstheme="minorHAnsi"/>
          <w:bCs/>
        </w:rPr>
        <w:t xml:space="preserve"> postupoval</w:t>
      </w:r>
      <w:r w:rsidR="00603D7F" w:rsidRPr="00391416">
        <w:rPr>
          <w:rFonts w:asciiTheme="minorHAnsi" w:hAnsiTheme="minorHAnsi" w:cstheme="minorHAnsi"/>
          <w:bCs/>
        </w:rPr>
        <w:t>o</w:t>
      </w:r>
      <w:r w:rsidR="00401863" w:rsidRPr="00391416">
        <w:rPr>
          <w:rFonts w:asciiTheme="minorHAnsi" w:hAnsiTheme="minorHAnsi" w:cstheme="minorHAnsi"/>
          <w:bCs/>
        </w:rPr>
        <w:t xml:space="preserve"> v</w:t>
      </w:r>
      <w:r w:rsidR="000815BB" w:rsidRPr="00391416">
        <w:rPr>
          <w:rFonts w:asciiTheme="minorHAnsi" w:hAnsiTheme="minorHAnsi" w:cstheme="minorHAnsi"/>
          <w:bCs/>
        </w:rPr>
        <w:t xml:space="preserve"> </w:t>
      </w:r>
      <w:r w:rsidRPr="00391416">
        <w:rPr>
          <w:rFonts w:asciiTheme="minorHAnsi" w:hAnsiTheme="minorHAnsi" w:cstheme="minorHAnsi"/>
          <w:bCs/>
        </w:rPr>
        <w:t>souladu s příslušnými právními předpisy.</w:t>
      </w:r>
    </w:p>
    <w:p w:rsidR="00EB4A70" w:rsidRPr="00391416" w:rsidRDefault="00EB4A70" w:rsidP="00741C30">
      <w:pPr>
        <w:jc w:val="both"/>
        <w:rPr>
          <w:rFonts w:asciiTheme="minorHAnsi" w:hAnsiTheme="minorHAnsi" w:cstheme="minorHAnsi"/>
          <w:highlight w:val="yellow"/>
        </w:rPr>
      </w:pPr>
    </w:p>
    <w:p w:rsidR="009B3814" w:rsidRDefault="00282721" w:rsidP="00741C30">
      <w:pPr>
        <w:jc w:val="both"/>
        <w:rPr>
          <w:rFonts w:asciiTheme="minorHAnsi" w:hAnsiTheme="minorHAnsi" w:cstheme="minorHAnsi"/>
        </w:rPr>
      </w:pPr>
      <w:r w:rsidRPr="00391416">
        <w:rPr>
          <w:rFonts w:asciiTheme="minorHAnsi" w:hAnsiTheme="minorHAnsi" w:cstheme="minorHAnsi"/>
        </w:rPr>
        <w:t>Kontrolovan</w:t>
      </w:r>
      <w:r w:rsidR="009B3814">
        <w:rPr>
          <w:rFonts w:asciiTheme="minorHAnsi" w:hAnsiTheme="minorHAnsi" w:cstheme="minorHAnsi"/>
        </w:rPr>
        <w:t>á</w:t>
      </w:r>
      <w:r w:rsidRPr="00391416">
        <w:rPr>
          <w:rFonts w:asciiTheme="minorHAnsi" w:hAnsiTheme="minorHAnsi" w:cstheme="minorHAnsi"/>
        </w:rPr>
        <w:t xml:space="preserve"> osob</w:t>
      </w:r>
      <w:r w:rsidR="009B3814">
        <w:rPr>
          <w:rFonts w:asciiTheme="minorHAnsi" w:hAnsiTheme="minorHAnsi" w:cstheme="minorHAnsi"/>
        </w:rPr>
        <w:t>a:</w:t>
      </w:r>
    </w:p>
    <w:p w:rsidR="00282721" w:rsidRPr="00391416" w:rsidRDefault="00603D7F" w:rsidP="00741C30">
      <w:pPr>
        <w:jc w:val="both"/>
        <w:rPr>
          <w:rFonts w:asciiTheme="minorHAnsi" w:hAnsiTheme="minorHAnsi" w:cstheme="minorHAnsi"/>
        </w:rPr>
      </w:pPr>
      <w:r w:rsidRPr="00391416">
        <w:rPr>
          <w:rFonts w:asciiTheme="minorHAnsi" w:hAnsiTheme="minorHAnsi" w:cstheme="minorHAnsi"/>
        </w:rPr>
        <w:t xml:space="preserve">Ministerstvo </w:t>
      </w:r>
      <w:r w:rsidR="00DD2E03">
        <w:rPr>
          <w:rFonts w:asciiTheme="minorHAnsi" w:hAnsiTheme="minorHAnsi" w:cstheme="minorHAnsi"/>
        </w:rPr>
        <w:t xml:space="preserve">kultury </w:t>
      </w:r>
      <w:r w:rsidR="00282721" w:rsidRPr="00391416">
        <w:rPr>
          <w:rFonts w:asciiTheme="minorHAnsi" w:hAnsiTheme="minorHAnsi" w:cstheme="minorHAnsi"/>
        </w:rPr>
        <w:t xml:space="preserve">(dále </w:t>
      </w:r>
      <w:r w:rsidR="00DE1C97" w:rsidRPr="00391416">
        <w:rPr>
          <w:rFonts w:asciiTheme="minorHAnsi" w:hAnsiTheme="minorHAnsi" w:cstheme="minorHAnsi"/>
        </w:rPr>
        <w:t>také</w:t>
      </w:r>
      <w:r w:rsidR="00282721" w:rsidRPr="00391416">
        <w:rPr>
          <w:rFonts w:asciiTheme="minorHAnsi" w:hAnsiTheme="minorHAnsi" w:cstheme="minorHAnsi"/>
        </w:rPr>
        <w:t xml:space="preserve"> „</w:t>
      </w:r>
      <w:r w:rsidRPr="00391416">
        <w:rPr>
          <w:rFonts w:asciiTheme="minorHAnsi" w:hAnsiTheme="minorHAnsi" w:cstheme="minorHAnsi"/>
        </w:rPr>
        <w:t>M</w:t>
      </w:r>
      <w:r w:rsidR="00DD2E03">
        <w:rPr>
          <w:rFonts w:asciiTheme="minorHAnsi" w:hAnsiTheme="minorHAnsi" w:cstheme="minorHAnsi"/>
        </w:rPr>
        <w:t>K</w:t>
      </w:r>
      <w:r w:rsidR="00282721" w:rsidRPr="00391416">
        <w:rPr>
          <w:rFonts w:asciiTheme="minorHAnsi" w:hAnsiTheme="minorHAnsi" w:cstheme="minorHAnsi"/>
        </w:rPr>
        <w:t>“).</w:t>
      </w:r>
    </w:p>
    <w:p w:rsidR="00214027" w:rsidRPr="00391416" w:rsidRDefault="00214027" w:rsidP="00741C30">
      <w:pPr>
        <w:jc w:val="both"/>
        <w:rPr>
          <w:rFonts w:asciiTheme="minorHAnsi" w:hAnsiTheme="minorHAnsi" w:cstheme="minorHAnsi"/>
          <w:highlight w:val="yellow"/>
        </w:rPr>
      </w:pPr>
    </w:p>
    <w:p w:rsidR="00282721" w:rsidRPr="00391416" w:rsidRDefault="00282721" w:rsidP="00741C30">
      <w:pPr>
        <w:jc w:val="both"/>
        <w:rPr>
          <w:rFonts w:asciiTheme="minorHAnsi" w:hAnsiTheme="minorHAnsi" w:cstheme="minorHAnsi"/>
        </w:rPr>
      </w:pPr>
      <w:r w:rsidRPr="00391416">
        <w:rPr>
          <w:rFonts w:asciiTheme="minorHAnsi" w:hAnsiTheme="minorHAnsi" w:cstheme="minorHAnsi"/>
        </w:rPr>
        <w:t>Ko</w:t>
      </w:r>
      <w:r w:rsidR="0025640B" w:rsidRPr="00391416">
        <w:rPr>
          <w:rFonts w:asciiTheme="minorHAnsi" w:hAnsiTheme="minorHAnsi" w:cstheme="minorHAnsi"/>
        </w:rPr>
        <w:t>ntrolo</w:t>
      </w:r>
      <w:r w:rsidR="00C132EB" w:rsidRPr="00391416">
        <w:rPr>
          <w:rFonts w:asciiTheme="minorHAnsi" w:hAnsiTheme="minorHAnsi" w:cstheme="minorHAnsi"/>
        </w:rPr>
        <w:t>váno bylo</w:t>
      </w:r>
      <w:r w:rsidR="0025640B" w:rsidRPr="00391416">
        <w:rPr>
          <w:rFonts w:asciiTheme="minorHAnsi" w:hAnsiTheme="minorHAnsi" w:cstheme="minorHAnsi"/>
        </w:rPr>
        <w:t xml:space="preserve"> období rok</w:t>
      </w:r>
      <w:r w:rsidR="00C132EB" w:rsidRPr="00391416">
        <w:rPr>
          <w:rFonts w:asciiTheme="minorHAnsi" w:hAnsiTheme="minorHAnsi" w:cstheme="minorHAnsi"/>
        </w:rPr>
        <w:t>u</w:t>
      </w:r>
      <w:r w:rsidR="0025640B" w:rsidRPr="00391416">
        <w:rPr>
          <w:rFonts w:asciiTheme="minorHAnsi" w:hAnsiTheme="minorHAnsi" w:cstheme="minorHAnsi"/>
        </w:rPr>
        <w:t xml:space="preserve"> 20</w:t>
      </w:r>
      <w:r w:rsidR="00507F3F" w:rsidRPr="00391416">
        <w:rPr>
          <w:rFonts w:asciiTheme="minorHAnsi" w:hAnsiTheme="minorHAnsi" w:cstheme="minorHAnsi"/>
        </w:rPr>
        <w:t>1</w:t>
      </w:r>
      <w:r w:rsidR="00603D7F" w:rsidRPr="00391416">
        <w:rPr>
          <w:rFonts w:asciiTheme="minorHAnsi" w:hAnsiTheme="minorHAnsi" w:cstheme="minorHAnsi"/>
        </w:rPr>
        <w:t>4</w:t>
      </w:r>
      <w:r w:rsidRPr="00391416">
        <w:rPr>
          <w:rFonts w:asciiTheme="minorHAnsi" w:hAnsiTheme="minorHAnsi" w:cstheme="minorHAnsi"/>
        </w:rPr>
        <w:t xml:space="preserve"> včetně související</w:t>
      </w:r>
      <w:r w:rsidR="0025640B" w:rsidRPr="00391416">
        <w:rPr>
          <w:rFonts w:asciiTheme="minorHAnsi" w:hAnsiTheme="minorHAnsi" w:cstheme="minorHAnsi"/>
        </w:rPr>
        <w:t>c</w:t>
      </w:r>
      <w:r w:rsidRPr="00391416">
        <w:rPr>
          <w:rFonts w:asciiTheme="minorHAnsi" w:hAnsiTheme="minorHAnsi" w:cstheme="minorHAnsi"/>
        </w:rPr>
        <w:t xml:space="preserve">h </w:t>
      </w:r>
      <w:r w:rsidR="00BF1A59" w:rsidRPr="00391416">
        <w:rPr>
          <w:rFonts w:asciiTheme="minorHAnsi" w:hAnsiTheme="minorHAnsi" w:cstheme="minorHAnsi"/>
        </w:rPr>
        <w:t xml:space="preserve">skutečností </w:t>
      </w:r>
      <w:r w:rsidR="00BF1A59" w:rsidRPr="00391416">
        <w:rPr>
          <w:rFonts w:asciiTheme="minorHAnsi" w:hAnsiTheme="minorHAnsi" w:cstheme="minorHAnsi"/>
          <w:spacing w:val="-2"/>
        </w:rPr>
        <w:t>z let předchozích a</w:t>
      </w:r>
      <w:r w:rsidR="000815BB" w:rsidRPr="00391416">
        <w:rPr>
          <w:rFonts w:asciiTheme="minorHAnsi" w:hAnsiTheme="minorHAnsi" w:cstheme="minorHAnsi"/>
          <w:spacing w:val="-2"/>
        </w:rPr>
        <w:t xml:space="preserve"> </w:t>
      </w:r>
      <w:r w:rsidR="000D0181" w:rsidRPr="00391416">
        <w:rPr>
          <w:rFonts w:asciiTheme="minorHAnsi" w:hAnsiTheme="minorHAnsi" w:cstheme="minorHAnsi"/>
          <w:spacing w:val="-2"/>
        </w:rPr>
        <w:t>roku následujícího</w:t>
      </w:r>
      <w:r w:rsidRPr="00391416">
        <w:rPr>
          <w:rFonts w:asciiTheme="minorHAnsi" w:hAnsiTheme="minorHAnsi" w:cstheme="minorHAnsi"/>
        </w:rPr>
        <w:t>.</w:t>
      </w:r>
    </w:p>
    <w:p w:rsidR="00214027" w:rsidRPr="00391416" w:rsidRDefault="00214027" w:rsidP="00741C30">
      <w:pPr>
        <w:jc w:val="both"/>
        <w:rPr>
          <w:rFonts w:asciiTheme="minorHAnsi" w:hAnsiTheme="minorHAnsi" w:cstheme="minorHAnsi"/>
          <w:highlight w:val="yellow"/>
        </w:rPr>
      </w:pPr>
    </w:p>
    <w:p w:rsidR="00282721" w:rsidRPr="00391416" w:rsidRDefault="0068594D" w:rsidP="00741C30">
      <w:pPr>
        <w:jc w:val="both"/>
        <w:rPr>
          <w:rFonts w:asciiTheme="minorHAnsi" w:hAnsiTheme="minorHAnsi" w:cstheme="minorHAnsi"/>
        </w:rPr>
      </w:pPr>
      <w:r w:rsidRPr="00391416">
        <w:rPr>
          <w:rFonts w:asciiTheme="minorHAnsi" w:hAnsiTheme="minorHAnsi" w:cstheme="minorHAnsi"/>
        </w:rPr>
        <w:t>Kontrola byla prov</w:t>
      </w:r>
      <w:r w:rsidR="00E03ADC" w:rsidRPr="00391416">
        <w:rPr>
          <w:rFonts w:asciiTheme="minorHAnsi" w:hAnsiTheme="minorHAnsi" w:cstheme="minorHAnsi"/>
        </w:rPr>
        <w:t>ádě</w:t>
      </w:r>
      <w:r w:rsidRPr="00391416">
        <w:rPr>
          <w:rFonts w:asciiTheme="minorHAnsi" w:hAnsiTheme="minorHAnsi" w:cstheme="minorHAnsi"/>
        </w:rPr>
        <w:t xml:space="preserve">na </w:t>
      </w:r>
      <w:r w:rsidR="004951C8" w:rsidRPr="00391416">
        <w:rPr>
          <w:rFonts w:asciiTheme="minorHAnsi" w:hAnsiTheme="minorHAnsi" w:cstheme="minorHAnsi"/>
        </w:rPr>
        <w:t xml:space="preserve">u kontrolované osoby </w:t>
      </w:r>
      <w:r w:rsidRPr="00391416">
        <w:rPr>
          <w:rFonts w:asciiTheme="minorHAnsi" w:hAnsiTheme="minorHAnsi" w:cstheme="minorHAnsi"/>
        </w:rPr>
        <w:t xml:space="preserve">v době od </w:t>
      </w:r>
      <w:r w:rsidR="00582B00">
        <w:rPr>
          <w:rFonts w:asciiTheme="minorHAnsi" w:hAnsiTheme="minorHAnsi" w:cstheme="minorHAnsi"/>
        </w:rPr>
        <w:t>června</w:t>
      </w:r>
      <w:r w:rsidR="00507F3F" w:rsidRPr="00391416">
        <w:rPr>
          <w:rFonts w:asciiTheme="minorHAnsi" w:hAnsiTheme="minorHAnsi" w:cstheme="minorHAnsi"/>
        </w:rPr>
        <w:t xml:space="preserve"> </w:t>
      </w:r>
      <w:r w:rsidRPr="00391416">
        <w:rPr>
          <w:rFonts w:asciiTheme="minorHAnsi" w:hAnsiTheme="minorHAnsi" w:cstheme="minorHAnsi"/>
        </w:rPr>
        <w:t xml:space="preserve">do </w:t>
      </w:r>
      <w:r w:rsidR="00582B00">
        <w:rPr>
          <w:rFonts w:asciiTheme="minorHAnsi" w:hAnsiTheme="minorHAnsi" w:cstheme="minorHAnsi"/>
        </w:rPr>
        <w:t>listopadu</w:t>
      </w:r>
      <w:r w:rsidRPr="00391416">
        <w:rPr>
          <w:rFonts w:asciiTheme="minorHAnsi" w:hAnsiTheme="minorHAnsi" w:cstheme="minorHAnsi"/>
        </w:rPr>
        <w:t xml:space="preserve"> 20</w:t>
      </w:r>
      <w:r w:rsidR="00507F3F" w:rsidRPr="00391416">
        <w:rPr>
          <w:rFonts w:asciiTheme="minorHAnsi" w:hAnsiTheme="minorHAnsi" w:cstheme="minorHAnsi"/>
        </w:rPr>
        <w:t>1</w:t>
      </w:r>
      <w:r w:rsidR="00603D7F" w:rsidRPr="00391416">
        <w:rPr>
          <w:rFonts w:asciiTheme="minorHAnsi" w:hAnsiTheme="minorHAnsi" w:cstheme="minorHAnsi"/>
        </w:rPr>
        <w:t>5</w:t>
      </w:r>
      <w:r w:rsidRPr="00391416">
        <w:rPr>
          <w:rFonts w:asciiTheme="minorHAnsi" w:hAnsiTheme="minorHAnsi" w:cstheme="minorHAnsi"/>
        </w:rPr>
        <w:t>.</w:t>
      </w:r>
    </w:p>
    <w:p w:rsidR="00214027" w:rsidRPr="00391416" w:rsidRDefault="00214027" w:rsidP="00741C30">
      <w:pPr>
        <w:jc w:val="both"/>
        <w:rPr>
          <w:rFonts w:asciiTheme="minorHAnsi" w:hAnsiTheme="minorHAnsi" w:cstheme="minorHAnsi"/>
          <w:highlight w:val="yellow"/>
        </w:rPr>
      </w:pPr>
    </w:p>
    <w:p w:rsidR="00AC46DC" w:rsidRPr="00391416" w:rsidRDefault="007B76CB" w:rsidP="00741C30">
      <w:pPr>
        <w:jc w:val="both"/>
        <w:rPr>
          <w:rFonts w:asciiTheme="minorHAnsi" w:hAnsiTheme="minorHAnsi" w:cstheme="minorHAnsi"/>
        </w:rPr>
      </w:pPr>
      <w:r w:rsidRPr="00391416">
        <w:rPr>
          <w:rFonts w:asciiTheme="minorHAnsi" w:hAnsiTheme="minorHAnsi" w:cstheme="minorHAnsi"/>
        </w:rPr>
        <w:t>Námitky proti kontrolnímu protokolu</w:t>
      </w:r>
      <w:r w:rsidR="00582B00">
        <w:rPr>
          <w:rFonts w:asciiTheme="minorHAnsi" w:hAnsiTheme="minorHAnsi" w:cstheme="minorHAnsi"/>
        </w:rPr>
        <w:t>, které MK</w:t>
      </w:r>
      <w:r w:rsidR="00B460E9" w:rsidRPr="00391416">
        <w:rPr>
          <w:rFonts w:asciiTheme="minorHAnsi" w:hAnsiTheme="minorHAnsi" w:cstheme="minorHAnsi"/>
        </w:rPr>
        <w:t xml:space="preserve"> </w:t>
      </w:r>
      <w:r w:rsidR="00582B00">
        <w:rPr>
          <w:rFonts w:asciiTheme="minorHAnsi" w:hAnsiTheme="minorHAnsi" w:cstheme="minorHAnsi"/>
        </w:rPr>
        <w:t xml:space="preserve">podalo, </w:t>
      </w:r>
      <w:r w:rsidR="009B3814">
        <w:rPr>
          <w:rFonts w:asciiTheme="minorHAnsi" w:hAnsiTheme="minorHAnsi" w:cstheme="minorHAnsi"/>
        </w:rPr>
        <w:t>vypořádala</w:t>
      </w:r>
      <w:r w:rsidR="00582B00">
        <w:rPr>
          <w:rFonts w:asciiTheme="minorHAnsi" w:hAnsiTheme="minorHAnsi" w:cstheme="minorHAnsi"/>
        </w:rPr>
        <w:t xml:space="preserve"> vedoucí</w:t>
      </w:r>
      <w:r w:rsidR="00B460E9" w:rsidRPr="00391416">
        <w:rPr>
          <w:rFonts w:asciiTheme="minorHAnsi" w:hAnsiTheme="minorHAnsi" w:cstheme="minorHAnsi"/>
        </w:rPr>
        <w:t xml:space="preserve"> skupiny kontrolujících rozhodnutím o námitkách. </w:t>
      </w:r>
      <w:r w:rsidR="006316C1" w:rsidRPr="00B01D45">
        <w:rPr>
          <w:rFonts w:asciiTheme="minorHAnsi" w:hAnsiTheme="minorHAnsi" w:cstheme="minorHAnsi"/>
        </w:rPr>
        <w:t>Odvolání podáno nebylo.</w:t>
      </w:r>
    </w:p>
    <w:p w:rsidR="00AC46DC" w:rsidRPr="00391416" w:rsidRDefault="00AC46DC" w:rsidP="00741C30">
      <w:pPr>
        <w:jc w:val="both"/>
        <w:rPr>
          <w:rFonts w:asciiTheme="minorHAnsi" w:hAnsiTheme="minorHAnsi" w:cstheme="minorHAnsi"/>
        </w:rPr>
      </w:pPr>
    </w:p>
    <w:p w:rsidR="006316C1" w:rsidRPr="00391416" w:rsidRDefault="006316C1" w:rsidP="00741C30">
      <w:pPr>
        <w:jc w:val="both"/>
        <w:rPr>
          <w:rFonts w:asciiTheme="minorHAnsi" w:hAnsiTheme="minorHAnsi" w:cstheme="minorHAnsi"/>
        </w:rPr>
      </w:pPr>
    </w:p>
    <w:p w:rsidR="00282721" w:rsidRDefault="00282721" w:rsidP="00741C30">
      <w:pPr>
        <w:jc w:val="both"/>
        <w:rPr>
          <w:rFonts w:asciiTheme="minorHAnsi" w:hAnsiTheme="minorHAnsi" w:cstheme="minorHAnsi"/>
        </w:rPr>
      </w:pPr>
      <w:r w:rsidRPr="00391416">
        <w:rPr>
          <w:rFonts w:asciiTheme="minorHAnsi" w:hAnsiTheme="minorHAnsi" w:cstheme="minorHAnsi"/>
          <w:b/>
          <w:bCs/>
          <w:i/>
          <w:iCs/>
          <w:spacing w:val="60"/>
        </w:rPr>
        <w:t>Kolegium</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NKÚ</w:t>
      </w:r>
      <w:r w:rsidRPr="00391416">
        <w:rPr>
          <w:rFonts w:asciiTheme="minorHAnsi" w:hAnsiTheme="minorHAnsi" w:cstheme="minorHAnsi"/>
        </w:rPr>
        <w:t xml:space="preserve"> </w:t>
      </w:r>
      <w:r w:rsidR="00BE519D" w:rsidRPr="00391416">
        <w:rPr>
          <w:rFonts w:asciiTheme="minorHAnsi" w:hAnsiTheme="minorHAnsi" w:cstheme="minorHAnsi"/>
        </w:rPr>
        <w:t xml:space="preserve">  </w:t>
      </w:r>
      <w:r w:rsidRPr="00391416">
        <w:rPr>
          <w:rFonts w:asciiTheme="minorHAnsi" w:hAnsiTheme="minorHAnsi" w:cstheme="minorHAnsi"/>
        </w:rPr>
        <w:t xml:space="preserve">na svém </w:t>
      </w:r>
      <w:r w:rsidR="00C24C5C">
        <w:rPr>
          <w:rFonts w:asciiTheme="minorHAnsi" w:hAnsiTheme="minorHAnsi" w:cstheme="minorHAnsi"/>
        </w:rPr>
        <w:t xml:space="preserve">III. </w:t>
      </w:r>
      <w:r w:rsidR="00401863" w:rsidRPr="00391416">
        <w:rPr>
          <w:rFonts w:asciiTheme="minorHAnsi" w:hAnsiTheme="minorHAnsi" w:cstheme="minorHAnsi"/>
        </w:rPr>
        <w:t>jednání</w:t>
      </w:r>
      <w:r w:rsidRPr="00391416">
        <w:rPr>
          <w:rFonts w:asciiTheme="minorHAnsi" w:hAnsiTheme="minorHAnsi" w:cstheme="minorHAnsi"/>
        </w:rPr>
        <w:t xml:space="preserve">, </w:t>
      </w:r>
      <w:r w:rsidR="00401863" w:rsidRPr="00391416">
        <w:rPr>
          <w:rFonts w:asciiTheme="minorHAnsi" w:hAnsiTheme="minorHAnsi" w:cstheme="minorHAnsi"/>
        </w:rPr>
        <w:t xml:space="preserve">které se konalo </w:t>
      </w:r>
      <w:r w:rsidRPr="00391416">
        <w:rPr>
          <w:rFonts w:asciiTheme="minorHAnsi" w:hAnsiTheme="minorHAnsi" w:cstheme="minorHAnsi"/>
        </w:rPr>
        <w:t xml:space="preserve">dne </w:t>
      </w:r>
      <w:r w:rsidR="00C24C5C">
        <w:rPr>
          <w:rFonts w:asciiTheme="minorHAnsi" w:hAnsiTheme="minorHAnsi" w:cstheme="minorHAnsi"/>
        </w:rPr>
        <w:t>7. března 2016</w:t>
      </w:r>
      <w:r w:rsidRPr="00391416">
        <w:rPr>
          <w:rFonts w:asciiTheme="minorHAnsi" w:hAnsiTheme="minorHAnsi" w:cstheme="minorHAnsi"/>
        </w:rPr>
        <w:t>,</w:t>
      </w:r>
    </w:p>
    <w:p w:rsidR="0039592C" w:rsidRPr="00391416" w:rsidRDefault="00282721" w:rsidP="00741C30">
      <w:pPr>
        <w:jc w:val="both"/>
        <w:rPr>
          <w:rFonts w:asciiTheme="minorHAnsi" w:hAnsiTheme="minorHAnsi" w:cstheme="minorHAnsi"/>
        </w:rPr>
      </w:pPr>
      <w:r w:rsidRPr="00391416">
        <w:rPr>
          <w:rFonts w:asciiTheme="minorHAnsi" w:hAnsiTheme="minorHAnsi" w:cstheme="minorHAnsi"/>
          <w:b/>
          <w:bCs/>
          <w:i/>
          <w:iCs/>
          <w:spacing w:val="60"/>
        </w:rPr>
        <w:t>schválilo</w:t>
      </w:r>
      <w:r w:rsidRPr="00391416">
        <w:rPr>
          <w:rFonts w:asciiTheme="minorHAnsi" w:hAnsiTheme="minorHAnsi" w:cstheme="minorHAnsi"/>
        </w:rPr>
        <w:t xml:space="preserve">   usnesením</w:t>
      </w:r>
      <w:r w:rsidR="0001331E" w:rsidRPr="00391416">
        <w:rPr>
          <w:rFonts w:asciiTheme="minorHAnsi" w:hAnsiTheme="minorHAnsi" w:cstheme="minorHAnsi"/>
        </w:rPr>
        <w:t xml:space="preserve"> </w:t>
      </w:r>
      <w:r w:rsidRPr="00391416">
        <w:rPr>
          <w:rFonts w:asciiTheme="minorHAnsi" w:hAnsiTheme="minorHAnsi" w:cstheme="minorHAnsi"/>
        </w:rPr>
        <w:t xml:space="preserve">č. </w:t>
      </w:r>
      <w:r w:rsidR="00FA72C6">
        <w:rPr>
          <w:rFonts w:asciiTheme="minorHAnsi" w:hAnsiTheme="minorHAnsi" w:cstheme="minorHAnsi"/>
        </w:rPr>
        <w:t>10</w:t>
      </w:r>
      <w:r w:rsidR="00C24C5C">
        <w:rPr>
          <w:rFonts w:asciiTheme="minorHAnsi" w:hAnsiTheme="minorHAnsi" w:cstheme="minorHAnsi"/>
        </w:rPr>
        <w:t>/</w:t>
      </w:r>
      <w:r w:rsidR="00FA72C6">
        <w:rPr>
          <w:rFonts w:asciiTheme="minorHAnsi" w:hAnsiTheme="minorHAnsi" w:cstheme="minorHAnsi"/>
        </w:rPr>
        <w:t>III</w:t>
      </w:r>
      <w:r w:rsidR="00C24C5C">
        <w:rPr>
          <w:rFonts w:asciiTheme="minorHAnsi" w:hAnsiTheme="minorHAnsi" w:cstheme="minorHAnsi"/>
        </w:rPr>
        <w:t>/2016</w:t>
      </w:r>
    </w:p>
    <w:p w:rsidR="00282721" w:rsidRPr="00391416" w:rsidRDefault="00282721" w:rsidP="00741C30">
      <w:pPr>
        <w:jc w:val="both"/>
        <w:rPr>
          <w:rFonts w:asciiTheme="minorHAnsi" w:hAnsiTheme="minorHAnsi" w:cstheme="minorHAnsi"/>
        </w:rPr>
      </w:pPr>
      <w:r w:rsidRPr="00391416">
        <w:rPr>
          <w:rFonts w:asciiTheme="minorHAnsi" w:hAnsiTheme="minorHAnsi" w:cstheme="minorHAnsi"/>
          <w:b/>
          <w:bCs/>
          <w:i/>
          <w:iCs/>
          <w:spacing w:val="60"/>
        </w:rPr>
        <w:t>kontrolní</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závěr</w:t>
      </w:r>
      <w:r w:rsidRPr="00391416">
        <w:rPr>
          <w:rFonts w:asciiTheme="minorHAnsi" w:hAnsiTheme="minorHAnsi" w:cstheme="minorHAnsi"/>
        </w:rPr>
        <w:t xml:space="preserve">   v tomto znění:</w:t>
      </w:r>
    </w:p>
    <w:p w:rsidR="00214027" w:rsidRPr="00391416" w:rsidRDefault="00214027" w:rsidP="00741C30">
      <w:pPr>
        <w:jc w:val="both"/>
        <w:rPr>
          <w:rFonts w:asciiTheme="minorHAnsi" w:hAnsiTheme="minorHAnsi" w:cstheme="minorHAnsi"/>
          <w:highlight w:val="yellow"/>
        </w:rPr>
      </w:pPr>
    </w:p>
    <w:p w:rsidR="004D365F" w:rsidRDefault="004D365F">
      <w:pPr>
        <w:rPr>
          <w:rFonts w:asciiTheme="minorHAnsi" w:hAnsiTheme="minorHAnsi" w:cstheme="minorHAnsi"/>
          <w:highlight w:val="yellow"/>
        </w:rPr>
      </w:pPr>
      <w:r>
        <w:rPr>
          <w:rFonts w:asciiTheme="minorHAnsi" w:hAnsiTheme="minorHAnsi" w:cstheme="minorHAnsi"/>
          <w:highlight w:val="yellow"/>
        </w:rPr>
        <w:br w:type="page"/>
      </w:r>
    </w:p>
    <w:p w:rsidR="00282721" w:rsidRPr="00391416" w:rsidRDefault="00282721" w:rsidP="00E91032">
      <w:pPr>
        <w:jc w:val="center"/>
        <w:rPr>
          <w:rFonts w:asciiTheme="minorHAnsi" w:hAnsiTheme="minorHAnsi" w:cstheme="minorHAnsi"/>
          <w:b/>
          <w:sz w:val="28"/>
          <w:szCs w:val="28"/>
        </w:rPr>
      </w:pPr>
      <w:r w:rsidRPr="00391416">
        <w:rPr>
          <w:rFonts w:asciiTheme="minorHAnsi" w:hAnsiTheme="minorHAnsi" w:cstheme="minorHAnsi"/>
          <w:b/>
          <w:sz w:val="28"/>
          <w:szCs w:val="28"/>
        </w:rPr>
        <w:lastRenderedPageBreak/>
        <w:t>I. Úvod</w:t>
      </w:r>
    </w:p>
    <w:p w:rsidR="00282721" w:rsidRPr="00391416" w:rsidRDefault="00282721" w:rsidP="00741C30">
      <w:pPr>
        <w:jc w:val="both"/>
        <w:rPr>
          <w:rFonts w:asciiTheme="minorHAnsi" w:hAnsiTheme="minorHAnsi" w:cstheme="minorHAnsi"/>
          <w:highlight w:val="green"/>
        </w:rPr>
      </w:pPr>
    </w:p>
    <w:p w:rsidR="00634575" w:rsidRPr="00391416" w:rsidRDefault="00380619" w:rsidP="00741C30">
      <w:pPr>
        <w:jc w:val="both"/>
        <w:rPr>
          <w:rFonts w:asciiTheme="minorHAnsi" w:hAnsiTheme="minorHAnsi" w:cstheme="minorHAnsi"/>
        </w:rPr>
      </w:pPr>
      <w:r>
        <w:rPr>
          <w:rFonts w:asciiTheme="minorHAnsi" w:hAnsiTheme="minorHAnsi" w:cstheme="minorHAnsi"/>
        </w:rPr>
        <w:t>MK</w:t>
      </w:r>
      <w:r w:rsidR="00634575" w:rsidRPr="00391416">
        <w:rPr>
          <w:rFonts w:asciiTheme="minorHAnsi" w:hAnsiTheme="minorHAnsi" w:cstheme="minorHAnsi"/>
        </w:rPr>
        <w:t xml:space="preserve"> byl</w:t>
      </w:r>
      <w:r w:rsidR="00B460E9" w:rsidRPr="00391416">
        <w:rPr>
          <w:rFonts w:asciiTheme="minorHAnsi" w:hAnsiTheme="minorHAnsi" w:cstheme="minorHAnsi"/>
        </w:rPr>
        <w:t>o</w:t>
      </w:r>
      <w:r w:rsidR="00634575" w:rsidRPr="00391416">
        <w:rPr>
          <w:rFonts w:asciiTheme="minorHAnsi" w:hAnsiTheme="minorHAnsi" w:cstheme="minorHAnsi"/>
        </w:rPr>
        <w:t xml:space="preserve"> zřízen</w:t>
      </w:r>
      <w:r w:rsidR="00B460E9" w:rsidRPr="00391416">
        <w:rPr>
          <w:rFonts w:asciiTheme="minorHAnsi" w:hAnsiTheme="minorHAnsi" w:cstheme="minorHAnsi"/>
        </w:rPr>
        <w:t xml:space="preserve">o </w:t>
      </w:r>
      <w:r w:rsidR="00634575" w:rsidRPr="00391416">
        <w:rPr>
          <w:rFonts w:asciiTheme="minorHAnsi" w:hAnsiTheme="minorHAnsi" w:cstheme="minorHAnsi"/>
        </w:rPr>
        <w:t xml:space="preserve">zákonem č. </w:t>
      </w:r>
      <w:r w:rsidR="00B460E9" w:rsidRPr="00391416">
        <w:rPr>
          <w:rFonts w:asciiTheme="minorHAnsi" w:hAnsiTheme="minorHAnsi" w:cstheme="minorHAnsi"/>
        </w:rPr>
        <w:t>2/1969</w:t>
      </w:r>
      <w:r w:rsidR="00634575" w:rsidRPr="00391416">
        <w:rPr>
          <w:rFonts w:asciiTheme="minorHAnsi" w:hAnsiTheme="minorHAnsi" w:cstheme="minorHAnsi"/>
        </w:rPr>
        <w:t xml:space="preserve"> Sb., o </w:t>
      </w:r>
      <w:r w:rsidR="00B460E9" w:rsidRPr="00391416">
        <w:rPr>
          <w:rFonts w:asciiTheme="minorHAnsi" w:hAnsiTheme="minorHAnsi" w:cstheme="minorHAnsi"/>
        </w:rPr>
        <w:t xml:space="preserve">zřízení ministerstev a jiných ústředních orgánů státní správy České republiky, </w:t>
      </w:r>
      <w:r>
        <w:rPr>
          <w:rFonts w:asciiTheme="minorHAnsi" w:hAnsiTheme="minorHAnsi" w:cstheme="minorHAnsi"/>
        </w:rPr>
        <w:t>ve znění pozdějších předpisů. MK</w:t>
      </w:r>
      <w:r w:rsidR="00B460E9" w:rsidRPr="00391416">
        <w:rPr>
          <w:rFonts w:asciiTheme="minorHAnsi" w:hAnsiTheme="minorHAnsi" w:cstheme="minorHAnsi"/>
        </w:rPr>
        <w:t xml:space="preserve"> je ústředním orgánem státní správy, organizační složkou státu (dále </w:t>
      </w:r>
      <w:r w:rsidR="009B3814">
        <w:rPr>
          <w:rFonts w:asciiTheme="minorHAnsi" w:hAnsiTheme="minorHAnsi" w:cstheme="minorHAnsi"/>
        </w:rPr>
        <w:t>také</w:t>
      </w:r>
      <w:r w:rsidR="00322084" w:rsidRPr="00391416">
        <w:rPr>
          <w:rFonts w:asciiTheme="minorHAnsi" w:hAnsiTheme="minorHAnsi" w:cstheme="minorHAnsi"/>
        </w:rPr>
        <w:t xml:space="preserve"> </w:t>
      </w:r>
      <w:r w:rsidR="00B460E9" w:rsidRPr="00391416">
        <w:rPr>
          <w:rFonts w:asciiTheme="minorHAnsi" w:hAnsiTheme="minorHAnsi" w:cstheme="minorHAnsi"/>
        </w:rPr>
        <w:t>„OSS“),</w:t>
      </w:r>
      <w:r w:rsidR="008A074D" w:rsidRPr="00391416">
        <w:rPr>
          <w:rFonts w:asciiTheme="minorHAnsi" w:hAnsiTheme="minorHAnsi" w:cstheme="minorHAnsi"/>
        </w:rPr>
        <w:t xml:space="preserve"> samostatnou účetní jednotkou a</w:t>
      </w:r>
      <w:r w:rsidR="000815BB" w:rsidRPr="00391416">
        <w:rPr>
          <w:rFonts w:asciiTheme="minorHAnsi" w:hAnsiTheme="minorHAnsi" w:cstheme="minorHAnsi"/>
        </w:rPr>
        <w:t> </w:t>
      </w:r>
      <w:r w:rsidR="00B460E9" w:rsidRPr="00391416">
        <w:rPr>
          <w:rFonts w:asciiTheme="minorHAnsi" w:hAnsiTheme="minorHAnsi" w:cstheme="minorHAnsi"/>
        </w:rPr>
        <w:t xml:space="preserve">správcem rozpočtové kapitoly. </w:t>
      </w:r>
    </w:p>
    <w:p w:rsidR="00911E48" w:rsidRPr="00391416" w:rsidRDefault="00911E48" w:rsidP="00741C30">
      <w:pPr>
        <w:jc w:val="both"/>
        <w:rPr>
          <w:rFonts w:asciiTheme="minorHAnsi" w:hAnsiTheme="minorHAnsi" w:cstheme="minorHAnsi"/>
        </w:rPr>
      </w:pPr>
    </w:p>
    <w:p w:rsidR="00911E48" w:rsidRPr="00391416" w:rsidRDefault="00B460E9" w:rsidP="00741C30">
      <w:pPr>
        <w:jc w:val="both"/>
        <w:rPr>
          <w:rFonts w:asciiTheme="minorHAnsi" w:hAnsiTheme="minorHAnsi" w:cstheme="minorHAnsi"/>
        </w:rPr>
      </w:pPr>
      <w:r w:rsidRPr="00391416">
        <w:rPr>
          <w:rFonts w:asciiTheme="minorHAnsi" w:hAnsiTheme="minorHAnsi" w:cstheme="minorHAnsi"/>
        </w:rPr>
        <w:t>M</w:t>
      </w:r>
      <w:r w:rsidR="00501938">
        <w:rPr>
          <w:rFonts w:asciiTheme="minorHAnsi" w:hAnsiTheme="minorHAnsi" w:cstheme="minorHAnsi"/>
        </w:rPr>
        <w:t>K</w:t>
      </w:r>
      <w:r w:rsidRPr="00391416">
        <w:rPr>
          <w:rFonts w:asciiTheme="minorHAnsi" w:hAnsiTheme="minorHAnsi" w:cstheme="minorHAnsi"/>
        </w:rPr>
        <w:t xml:space="preserve"> bylo k</w:t>
      </w:r>
      <w:r w:rsidR="000815BB" w:rsidRPr="00391416">
        <w:rPr>
          <w:rFonts w:asciiTheme="minorHAnsi" w:hAnsiTheme="minorHAnsi" w:cstheme="minorHAnsi"/>
        </w:rPr>
        <w:t xml:space="preserve"> </w:t>
      </w:r>
      <w:r w:rsidRPr="00391416">
        <w:rPr>
          <w:rFonts w:asciiTheme="minorHAnsi" w:hAnsiTheme="minorHAnsi" w:cstheme="minorHAnsi"/>
        </w:rPr>
        <w:t xml:space="preserve">31. </w:t>
      </w:r>
      <w:r w:rsidR="00B6719C">
        <w:rPr>
          <w:rFonts w:asciiTheme="minorHAnsi" w:hAnsiTheme="minorHAnsi" w:cstheme="minorHAnsi"/>
        </w:rPr>
        <w:t xml:space="preserve">12. </w:t>
      </w:r>
      <w:r w:rsidRPr="00391416">
        <w:rPr>
          <w:rFonts w:asciiTheme="minorHAnsi" w:hAnsiTheme="minorHAnsi" w:cstheme="minorHAnsi"/>
        </w:rPr>
        <w:t xml:space="preserve">2014 zřizovatelem </w:t>
      </w:r>
      <w:r w:rsidR="00500C7F">
        <w:rPr>
          <w:rFonts w:asciiTheme="minorHAnsi" w:hAnsiTheme="minorHAnsi" w:cstheme="minorHAnsi"/>
        </w:rPr>
        <w:t>29</w:t>
      </w:r>
      <w:r w:rsidRPr="00391416">
        <w:rPr>
          <w:rFonts w:asciiTheme="minorHAnsi" w:hAnsiTheme="minorHAnsi" w:cstheme="minorHAnsi"/>
        </w:rPr>
        <w:t xml:space="preserve"> příspěvkových organizací. </w:t>
      </w:r>
    </w:p>
    <w:p w:rsidR="00911E48" w:rsidRPr="00391416" w:rsidRDefault="00911E48" w:rsidP="00741C30">
      <w:pPr>
        <w:jc w:val="both"/>
        <w:rPr>
          <w:rFonts w:asciiTheme="minorHAnsi" w:hAnsiTheme="minorHAnsi" w:cstheme="minorHAnsi"/>
        </w:rPr>
      </w:pPr>
    </w:p>
    <w:p w:rsidR="00911E48" w:rsidRPr="00391416" w:rsidRDefault="00911E48" w:rsidP="00741C30">
      <w:pPr>
        <w:jc w:val="both"/>
        <w:rPr>
          <w:rFonts w:asciiTheme="minorHAnsi" w:hAnsiTheme="minorHAnsi" w:cstheme="minorHAnsi"/>
        </w:rPr>
      </w:pPr>
      <w:r w:rsidRPr="00391416">
        <w:rPr>
          <w:rFonts w:asciiTheme="minorHAnsi" w:hAnsiTheme="minorHAnsi" w:cstheme="minorHAnsi"/>
        </w:rPr>
        <w:t>V</w:t>
      </w:r>
      <w:r w:rsidR="000815BB" w:rsidRPr="00391416">
        <w:rPr>
          <w:rFonts w:asciiTheme="minorHAnsi" w:hAnsiTheme="minorHAnsi" w:cstheme="minorHAnsi"/>
        </w:rPr>
        <w:t xml:space="preserve"> </w:t>
      </w:r>
      <w:r w:rsidR="00500C7F">
        <w:rPr>
          <w:rFonts w:asciiTheme="minorHAnsi" w:hAnsiTheme="minorHAnsi" w:cstheme="minorHAnsi"/>
        </w:rPr>
        <w:t>roce 2014 činil podíl příjmů MK</w:t>
      </w:r>
      <w:r w:rsidRPr="00391416">
        <w:rPr>
          <w:rFonts w:asciiTheme="minorHAnsi" w:hAnsiTheme="minorHAnsi" w:cstheme="minorHAnsi"/>
        </w:rPr>
        <w:t xml:space="preserve"> na cel</w:t>
      </w:r>
      <w:r w:rsidR="00500C7F">
        <w:rPr>
          <w:rFonts w:asciiTheme="minorHAnsi" w:hAnsiTheme="minorHAnsi" w:cstheme="minorHAnsi"/>
        </w:rPr>
        <w:t xml:space="preserve">kovém souhrnu příjmů kapitoly </w:t>
      </w:r>
      <w:r w:rsidR="00B371F5" w:rsidRPr="00B371F5">
        <w:rPr>
          <w:rFonts w:asciiTheme="minorHAnsi" w:hAnsiTheme="minorHAnsi" w:cstheme="minorHAnsi"/>
        </w:rPr>
        <w:t>státního rozpočtu 334</w:t>
      </w:r>
      <w:r w:rsidR="009801A4">
        <w:rPr>
          <w:rFonts w:asciiTheme="minorHAnsi" w:hAnsiTheme="minorHAnsi" w:cstheme="minorHAnsi"/>
        </w:rPr>
        <w:t> –</w:t>
      </w:r>
      <w:r w:rsidR="00B371F5" w:rsidRPr="00B371F5">
        <w:rPr>
          <w:rFonts w:asciiTheme="minorHAnsi" w:hAnsiTheme="minorHAnsi" w:cstheme="minorHAnsi"/>
        </w:rPr>
        <w:t xml:space="preserve"> </w:t>
      </w:r>
      <w:r w:rsidR="00B371F5" w:rsidRPr="009801A4">
        <w:rPr>
          <w:rFonts w:asciiTheme="minorHAnsi" w:hAnsiTheme="minorHAnsi" w:cstheme="minorHAnsi"/>
          <w:i/>
        </w:rPr>
        <w:t>Ministerstvo kultury</w:t>
      </w:r>
      <w:r w:rsidR="00B371F5" w:rsidRPr="00B371F5">
        <w:rPr>
          <w:rFonts w:asciiTheme="minorHAnsi" w:hAnsiTheme="minorHAnsi" w:cstheme="minorHAnsi"/>
        </w:rPr>
        <w:t xml:space="preserve"> (dále také „kapitola </w:t>
      </w:r>
      <w:r w:rsidR="00500C7F" w:rsidRPr="00B371F5">
        <w:rPr>
          <w:rFonts w:asciiTheme="minorHAnsi" w:hAnsiTheme="minorHAnsi" w:cstheme="minorHAnsi"/>
        </w:rPr>
        <w:t>MK</w:t>
      </w:r>
      <w:r w:rsidR="00B371F5" w:rsidRPr="00B371F5">
        <w:rPr>
          <w:rFonts w:asciiTheme="minorHAnsi" w:hAnsiTheme="minorHAnsi" w:cstheme="minorHAnsi"/>
        </w:rPr>
        <w:t>“)</w:t>
      </w:r>
      <w:r w:rsidRPr="00B371F5">
        <w:rPr>
          <w:rFonts w:asciiTheme="minorHAnsi" w:hAnsiTheme="minorHAnsi" w:cstheme="minorHAnsi"/>
        </w:rPr>
        <w:t xml:space="preserve"> </w:t>
      </w:r>
      <w:r w:rsidR="000F0454" w:rsidRPr="00B371F5">
        <w:rPr>
          <w:rFonts w:asciiTheme="minorHAnsi" w:hAnsiTheme="minorHAnsi" w:cstheme="minorHAnsi"/>
        </w:rPr>
        <w:t>100</w:t>
      </w:r>
      <w:r w:rsidRPr="00B371F5">
        <w:rPr>
          <w:rFonts w:asciiTheme="minorHAnsi" w:hAnsiTheme="minorHAnsi" w:cstheme="minorHAnsi"/>
        </w:rPr>
        <w:t xml:space="preserve"> %</w:t>
      </w:r>
      <w:r w:rsidR="00500C7F" w:rsidRPr="00B371F5">
        <w:rPr>
          <w:rFonts w:asciiTheme="minorHAnsi" w:hAnsiTheme="minorHAnsi" w:cstheme="minorHAnsi"/>
        </w:rPr>
        <w:t xml:space="preserve"> a podíl výdajů</w:t>
      </w:r>
      <w:r w:rsidR="00500C7F">
        <w:rPr>
          <w:rFonts w:asciiTheme="minorHAnsi" w:hAnsiTheme="minorHAnsi" w:cstheme="minorHAnsi"/>
        </w:rPr>
        <w:t xml:space="preserve"> MK</w:t>
      </w:r>
      <w:r w:rsidRPr="00391416">
        <w:rPr>
          <w:rFonts w:asciiTheme="minorHAnsi" w:hAnsiTheme="minorHAnsi" w:cstheme="minorHAnsi"/>
        </w:rPr>
        <w:t xml:space="preserve"> na celkovém sou</w:t>
      </w:r>
      <w:r w:rsidR="00500C7F">
        <w:rPr>
          <w:rFonts w:asciiTheme="minorHAnsi" w:hAnsiTheme="minorHAnsi" w:cstheme="minorHAnsi"/>
        </w:rPr>
        <w:t>hrnu výdajů kapitoly MK</w:t>
      </w:r>
      <w:r w:rsidRPr="00391416">
        <w:rPr>
          <w:rFonts w:asciiTheme="minorHAnsi" w:hAnsiTheme="minorHAnsi" w:cstheme="minorHAnsi"/>
        </w:rPr>
        <w:t xml:space="preserve"> byl </w:t>
      </w:r>
      <w:r w:rsidR="000F0454">
        <w:rPr>
          <w:rFonts w:asciiTheme="minorHAnsi" w:hAnsiTheme="minorHAnsi" w:cstheme="minorHAnsi"/>
        </w:rPr>
        <w:t xml:space="preserve">rovněž </w:t>
      </w:r>
      <w:r w:rsidR="000F0454" w:rsidRPr="000F0454">
        <w:rPr>
          <w:rFonts w:asciiTheme="minorHAnsi" w:hAnsiTheme="minorHAnsi" w:cstheme="minorHAnsi"/>
        </w:rPr>
        <w:t>100</w:t>
      </w:r>
      <w:r w:rsidRPr="000F0454">
        <w:rPr>
          <w:rFonts w:asciiTheme="minorHAnsi" w:hAnsiTheme="minorHAnsi" w:cstheme="minorHAnsi"/>
        </w:rPr>
        <w:t xml:space="preserve"> %</w:t>
      </w:r>
      <w:r w:rsidR="000F0454">
        <w:rPr>
          <w:rFonts w:asciiTheme="minorHAnsi" w:hAnsiTheme="minorHAnsi" w:cstheme="minorHAnsi"/>
        </w:rPr>
        <w:t xml:space="preserve"> (v kapitole MK není jiná organizační složka státu)</w:t>
      </w:r>
      <w:r w:rsidRPr="000F0454">
        <w:rPr>
          <w:rFonts w:asciiTheme="minorHAnsi" w:hAnsiTheme="minorHAnsi" w:cstheme="minorHAnsi"/>
        </w:rPr>
        <w:t>.</w:t>
      </w:r>
      <w:r w:rsidRPr="00391416">
        <w:rPr>
          <w:rFonts w:asciiTheme="minorHAnsi" w:hAnsiTheme="minorHAnsi" w:cstheme="minorHAnsi"/>
        </w:rPr>
        <w:t xml:space="preserve"> Podíl aktiv </w:t>
      </w:r>
      <w:r w:rsidR="00FA22F9" w:rsidRPr="00391416">
        <w:rPr>
          <w:rFonts w:asciiTheme="minorHAnsi" w:hAnsiTheme="minorHAnsi" w:cstheme="minorHAnsi"/>
        </w:rPr>
        <w:t xml:space="preserve">(netto) </w:t>
      </w:r>
      <w:r w:rsidR="00500C7F">
        <w:rPr>
          <w:rFonts w:asciiTheme="minorHAnsi" w:hAnsiTheme="minorHAnsi" w:cstheme="minorHAnsi"/>
        </w:rPr>
        <w:t>MK</w:t>
      </w:r>
      <w:r w:rsidRPr="00391416">
        <w:rPr>
          <w:rFonts w:asciiTheme="minorHAnsi" w:hAnsiTheme="minorHAnsi" w:cstheme="minorHAnsi"/>
        </w:rPr>
        <w:t xml:space="preserve"> na celkovém souhrnu aktiv</w:t>
      </w:r>
      <w:r w:rsidR="00FA22F9" w:rsidRPr="00391416">
        <w:rPr>
          <w:rFonts w:asciiTheme="minorHAnsi" w:hAnsiTheme="minorHAnsi" w:cstheme="minorHAnsi"/>
        </w:rPr>
        <w:t xml:space="preserve"> (netto)</w:t>
      </w:r>
      <w:r w:rsidR="00500C7F">
        <w:rPr>
          <w:rFonts w:asciiTheme="minorHAnsi" w:hAnsiTheme="minorHAnsi" w:cstheme="minorHAnsi"/>
        </w:rPr>
        <w:t xml:space="preserve"> kapitoly MK</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0F0454" w:rsidRPr="000F0454">
        <w:rPr>
          <w:rFonts w:asciiTheme="minorHAnsi" w:hAnsiTheme="minorHAnsi" w:cstheme="minorHAnsi"/>
        </w:rPr>
        <w:t>16,62</w:t>
      </w:r>
      <w:r w:rsidRPr="000F0454">
        <w:rPr>
          <w:rFonts w:asciiTheme="minorHAnsi" w:hAnsiTheme="minorHAnsi" w:cstheme="minorHAnsi"/>
        </w:rPr>
        <w:t xml:space="preserve"> %.</w:t>
      </w:r>
      <w:r w:rsidRPr="00391416">
        <w:rPr>
          <w:rFonts w:asciiTheme="minorHAnsi" w:hAnsiTheme="minorHAnsi" w:cstheme="minorHAnsi"/>
        </w:rPr>
        <w:t xml:space="preserve"> Podíl nákladů z</w:t>
      </w:r>
      <w:r w:rsidR="000815BB" w:rsidRPr="00391416">
        <w:rPr>
          <w:rFonts w:asciiTheme="minorHAnsi" w:hAnsiTheme="minorHAnsi" w:cstheme="minorHAnsi"/>
        </w:rPr>
        <w:t xml:space="preserve"> </w:t>
      </w:r>
      <w:r w:rsidR="00500C7F">
        <w:rPr>
          <w:rFonts w:asciiTheme="minorHAnsi" w:hAnsiTheme="minorHAnsi" w:cstheme="minorHAnsi"/>
        </w:rPr>
        <w:t>hlavní činnosti MK</w:t>
      </w:r>
      <w:r w:rsidRPr="00391416">
        <w:rPr>
          <w:rFonts w:asciiTheme="minorHAnsi" w:hAnsiTheme="minorHAnsi" w:cstheme="minorHAnsi"/>
        </w:rPr>
        <w:t xml:space="preserve"> na celkovém souhrnu nákladů z</w:t>
      </w:r>
      <w:r w:rsidR="000815BB" w:rsidRPr="00391416">
        <w:rPr>
          <w:rFonts w:asciiTheme="minorHAnsi" w:hAnsiTheme="minorHAnsi" w:cstheme="minorHAnsi"/>
        </w:rPr>
        <w:t xml:space="preserve"> </w:t>
      </w:r>
      <w:r w:rsidR="00500C7F">
        <w:rPr>
          <w:rFonts w:asciiTheme="minorHAnsi" w:hAnsiTheme="minorHAnsi" w:cstheme="minorHAnsi"/>
        </w:rPr>
        <w:t>hlavní činnosti kapitoly MK</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0F0454" w:rsidRPr="000F0454">
        <w:rPr>
          <w:rFonts w:asciiTheme="minorHAnsi" w:hAnsiTheme="minorHAnsi" w:cstheme="minorHAnsi"/>
        </w:rPr>
        <w:t>66,01</w:t>
      </w:r>
      <w:r w:rsidR="009C77C9">
        <w:rPr>
          <w:rFonts w:asciiTheme="minorHAnsi" w:hAnsiTheme="minorHAnsi" w:cstheme="minorHAnsi"/>
        </w:rPr>
        <w:t xml:space="preserve"> </w:t>
      </w:r>
      <w:r w:rsidRPr="000F0454">
        <w:rPr>
          <w:rFonts w:asciiTheme="minorHAnsi" w:hAnsiTheme="minorHAnsi" w:cstheme="minorHAnsi"/>
        </w:rPr>
        <w:t>%</w:t>
      </w:r>
      <w:r w:rsidRPr="00391416">
        <w:rPr>
          <w:rFonts w:asciiTheme="minorHAnsi" w:hAnsiTheme="minorHAnsi" w:cstheme="minorHAnsi"/>
        </w:rPr>
        <w:t xml:space="preserve"> a podíl výnosů z</w:t>
      </w:r>
      <w:r w:rsidR="000815BB" w:rsidRPr="00391416">
        <w:rPr>
          <w:rFonts w:asciiTheme="minorHAnsi" w:hAnsiTheme="minorHAnsi" w:cstheme="minorHAnsi"/>
        </w:rPr>
        <w:t xml:space="preserve"> </w:t>
      </w:r>
      <w:r w:rsidR="00500C7F">
        <w:rPr>
          <w:rFonts w:asciiTheme="minorHAnsi" w:hAnsiTheme="minorHAnsi" w:cstheme="minorHAnsi"/>
        </w:rPr>
        <w:t>hlavní činnosti MK</w:t>
      </w:r>
      <w:r w:rsidRPr="00391416">
        <w:rPr>
          <w:rFonts w:asciiTheme="minorHAnsi" w:hAnsiTheme="minorHAnsi" w:cstheme="minorHAnsi"/>
        </w:rPr>
        <w:t xml:space="preserve"> na celkovém souhrnu výnosů z</w:t>
      </w:r>
      <w:r w:rsidR="000815BB" w:rsidRPr="00391416">
        <w:rPr>
          <w:rFonts w:asciiTheme="minorHAnsi" w:hAnsiTheme="minorHAnsi" w:cstheme="minorHAnsi"/>
        </w:rPr>
        <w:t xml:space="preserve"> </w:t>
      </w:r>
      <w:r w:rsidRPr="00391416">
        <w:rPr>
          <w:rFonts w:asciiTheme="minorHAnsi" w:hAnsiTheme="minorHAnsi" w:cstheme="minorHAnsi"/>
        </w:rPr>
        <w:t>hlavní činnosti kapitoly</w:t>
      </w:r>
      <w:r w:rsidR="002D52B4" w:rsidRPr="00391416">
        <w:rPr>
          <w:rFonts w:asciiTheme="minorHAnsi" w:hAnsiTheme="minorHAnsi" w:cstheme="minorHAnsi"/>
        </w:rPr>
        <w:t xml:space="preserve"> </w:t>
      </w:r>
      <w:r w:rsidR="00500C7F">
        <w:rPr>
          <w:rFonts w:asciiTheme="minorHAnsi" w:hAnsiTheme="minorHAnsi" w:cstheme="minorHAnsi"/>
        </w:rPr>
        <w:t>MK</w:t>
      </w:r>
      <w:r w:rsidRPr="00391416">
        <w:rPr>
          <w:rFonts w:asciiTheme="minorHAnsi" w:hAnsiTheme="minorHAnsi" w:cstheme="minorHAnsi"/>
        </w:rPr>
        <w:t xml:space="preserve"> v</w:t>
      </w:r>
      <w:r w:rsidR="000815BB" w:rsidRPr="00391416">
        <w:rPr>
          <w:rFonts w:asciiTheme="minorHAnsi" w:hAnsiTheme="minorHAnsi" w:cstheme="minorHAnsi"/>
        </w:rPr>
        <w:t xml:space="preserve"> </w:t>
      </w:r>
      <w:r w:rsidRPr="00391416">
        <w:rPr>
          <w:rFonts w:asciiTheme="minorHAnsi" w:hAnsiTheme="minorHAnsi" w:cstheme="minorHAnsi"/>
        </w:rPr>
        <w:t xml:space="preserve">roce 2014 byl </w:t>
      </w:r>
      <w:r w:rsidR="000F0454" w:rsidRPr="000F0454">
        <w:rPr>
          <w:rFonts w:asciiTheme="minorHAnsi" w:hAnsiTheme="minorHAnsi" w:cstheme="minorHAnsi"/>
        </w:rPr>
        <w:t>2,04</w:t>
      </w:r>
      <w:r w:rsidR="009C77C9">
        <w:rPr>
          <w:rFonts w:asciiTheme="minorHAnsi" w:hAnsiTheme="minorHAnsi" w:cstheme="minorHAnsi"/>
        </w:rPr>
        <w:t xml:space="preserve"> </w:t>
      </w:r>
      <w:r w:rsidRPr="000F0454">
        <w:rPr>
          <w:rFonts w:asciiTheme="minorHAnsi" w:hAnsiTheme="minorHAnsi" w:cstheme="minorHAnsi"/>
        </w:rPr>
        <w:t>%.</w:t>
      </w:r>
      <w:r w:rsidR="006A308C">
        <w:rPr>
          <w:rFonts w:asciiTheme="minorHAnsi" w:hAnsiTheme="minorHAnsi" w:cstheme="minorHAnsi"/>
        </w:rPr>
        <w:t xml:space="preserve"> Aktiva, náklady a</w:t>
      </w:r>
      <w:r w:rsidR="004D365F">
        <w:rPr>
          <w:rFonts w:asciiTheme="minorHAnsi" w:hAnsiTheme="minorHAnsi" w:cstheme="minorHAnsi"/>
        </w:rPr>
        <w:t> </w:t>
      </w:r>
      <w:r w:rsidR="006A308C">
        <w:rPr>
          <w:rFonts w:asciiTheme="minorHAnsi" w:hAnsiTheme="minorHAnsi" w:cstheme="minorHAnsi"/>
        </w:rPr>
        <w:t>výnosy jsou podílem na celé kapitole MK včetně příspěvkových organizací. Příjmy a výdaje se sledují pouze u organizačních složek státu.</w:t>
      </w:r>
    </w:p>
    <w:p w:rsidR="00911E48" w:rsidRPr="00391416" w:rsidRDefault="00911E48" w:rsidP="00741C30">
      <w:pPr>
        <w:jc w:val="both"/>
        <w:rPr>
          <w:rFonts w:asciiTheme="minorHAnsi" w:hAnsiTheme="minorHAnsi" w:cstheme="minorHAnsi"/>
        </w:rPr>
      </w:pPr>
    </w:p>
    <w:p w:rsidR="00911E48" w:rsidRDefault="00911E48" w:rsidP="00741C30">
      <w:pPr>
        <w:jc w:val="both"/>
        <w:rPr>
          <w:rFonts w:asciiTheme="minorHAnsi" w:hAnsiTheme="minorHAnsi" w:cstheme="minorHAnsi"/>
        </w:rPr>
      </w:pPr>
      <w:r w:rsidRPr="00391416">
        <w:rPr>
          <w:rFonts w:asciiTheme="minorHAnsi" w:hAnsiTheme="minorHAnsi" w:cstheme="minorHAnsi"/>
        </w:rPr>
        <w:t>Kontrolovány byly činnosti a skutečnosti, kt</w:t>
      </w:r>
      <w:r w:rsidR="003959EC">
        <w:rPr>
          <w:rFonts w:asciiTheme="minorHAnsi" w:hAnsiTheme="minorHAnsi" w:cstheme="minorHAnsi"/>
        </w:rPr>
        <w:t>eré byly předmětem účetnictví MK</w:t>
      </w:r>
      <w:r w:rsidRPr="00391416">
        <w:rPr>
          <w:rFonts w:asciiTheme="minorHAnsi" w:hAnsiTheme="minorHAnsi" w:cstheme="minorHAnsi"/>
        </w:rPr>
        <w:t xml:space="preserve"> a měly vliv na hodnoty kontrolovaných významných konečných zůstatků</w:t>
      </w:r>
      <w:r w:rsidR="008A074D" w:rsidRPr="00391416">
        <w:rPr>
          <w:rFonts w:asciiTheme="minorHAnsi" w:hAnsiTheme="minorHAnsi" w:cstheme="minorHAnsi"/>
        </w:rPr>
        <w:t xml:space="preserve"> účtů v</w:t>
      </w:r>
      <w:r w:rsidR="000815BB" w:rsidRPr="00391416">
        <w:rPr>
          <w:rFonts w:asciiTheme="minorHAnsi" w:hAnsiTheme="minorHAnsi" w:cstheme="minorHAnsi"/>
        </w:rPr>
        <w:t xml:space="preserve"> </w:t>
      </w:r>
      <w:r w:rsidR="003959EC">
        <w:rPr>
          <w:rFonts w:asciiTheme="minorHAnsi" w:hAnsiTheme="minorHAnsi" w:cstheme="minorHAnsi"/>
        </w:rPr>
        <w:t>účetní závěrce MK</w:t>
      </w:r>
      <w:r w:rsidR="008A074D" w:rsidRPr="00391416">
        <w:rPr>
          <w:rFonts w:asciiTheme="minorHAnsi" w:hAnsiTheme="minorHAnsi" w:cstheme="minorHAnsi"/>
        </w:rPr>
        <w:t xml:space="preserve"> k</w:t>
      </w:r>
      <w:r w:rsidR="007E47BC" w:rsidRPr="00391416">
        <w:rPr>
          <w:rFonts w:asciiTheme="minorHAnsi" w:hAnsiTheme="minorHAnsi" w:cstheme="minorHAnsi"/>
        </w:rPr>
        <w:t> </w:t>
      </w:r>
      <w:r w:rsidR="008A074D" w:rsidRPr="00391416">
        <w:rPr>
          <w:rFonts w:asciiTheme="minorHAnsi" w:hAnsiTheme="minorHAnsi" w:cstheme="minorHAnsi"/>
        </w:rPr>
        <w:t>31.</w:t>
      </w:r>
      <w:r w:rsidR="007E47BC" w:rsidRPr="00391416">
        <w:rPr>
          <w:rFonts w:asciiTheme="minorHAnsi" w:hAnsiTheme="minorHAnsi" w:cstheme="minorHAnsi"/>
        </w:rPr>
        <w:t> </w:t>
      </w:r>
      <w:r w:rsidR="00B6719C">
        <w:rPr>
          <w:rFonts w:asciiTheme="minorHAnsi" w:hAnsiTheme="minorHAnsi" w:cstheme="minorHAnsi"/>
        </w:rPr>
        <w:t>12. </w:t>
      </w:r>
      <w:r w:rsidRPr="00391416">
        <w:rPr>
          <w:rFonts w:asciiTheme="minorHAnsi" w:hAnsiTheme="minorHAnsi" w:cstheme="minorHAnsi"/>
        </w:rPr>
        <w:t>2014 (dále také „ÚZ“)</w:t>
      </w:r>
      <w:r w:rsidR="008E03E3" w:rsidRPr="00391416">
        <w:rPr>
          <w:rFonts w:asciiTheme="minorHAnsi" w:hAnsiTheme="minorHAnsi" w:cstheme="minorHAnsi"/>
        </w:rPr>
        <w:t xml:space="preserve">, na hodnotu významných údajů </w:t>
      </w:r>
      <w:r w:rsidR="00621854" w:rsidRPr="00391416">
        <w:rPr>
          <w:rFonts w:asciiTheme="minorHAnsi" w:hAnsiTheme="minorHAnsi" w:cstheme="minorHAnsi"/>
        </w:rPr>
        <w:t xml:space="preserve">předkládaných Ministerstvem </w:t>
      </w:r>
      <w:r w:rsidR="003959EC">
        <w:rPr>
          <w:rFonts w:asciiTheme="minorHAnsi" w:hAnsiTheme="minorHAnsi" w:cstheme="minorHAnsi"/>
        </w:rPr>
        <w:t>kultury</w:t>
      </w:r>
      <w:r w:rsidR="00621854" w:rsidRPr="00391416">
        <w:rPr>
          <w:rFonts w:asciiTheme="minorHAnsi" w:hAnsiTheme="minorHAnsi" w:cstheme="minorHAnsi"/>
        </w:rPr>
        <w:t xml:space="preserve"> </w:t>
      </w:r>
      <w:r w:rsidR="009B3814">
        <w:rPr>
          <w:rFonts w:asciiTheme="minorHAnsi" w:hAnsiTheme="minorHAnsi" w:cstheme="minorHAnsi"/>
        </w:rPr>
        <w:t xml:space="preserve">ve výkazu </w:t>
      </w:r>
      <w:r w:rsidR="00621854" w:rsidRPr="00391416">
        <w:rPr>
          <w:rFonts w:asciiTheme="minorHAnsi" w:hAnsiTheme="minorHAnsi" w:cstheme="minorHAnsi"/>
        </w:rPr>
        <w:t>pro hodnocení plnění státního rozpočtu za rok 2014 (dále „</w:t>
      </w:r>
      <w:r w:rsidR="009801A4">
        <w:rPr>
          <w:rFonts w:asciiTheme="minorHAnsi" w:hAnsiTheme="minorHAnsi" w:cstheme="minorHAnsi"/>
        </w:rPr>
        <w:t>v</w:t>
      </w:r>
      <w:r w:rsidR="00621854" w:rsidRPr="00391416">
        <w:rPr>
          <w:rFonts w:asciiTheme="minorHAnsi" w:hAnsiTheme="minorHAnsi" w:cstheme="minorHAnsi"/>
        </w:rPr>
        <w:t>ýkaz pro hodnocení plnění rozpočtu</w:t>
      </w:r>
      <w:r w:rsidR="006316C1" w:rsidRPr="00391416">
        <w:rPr>
          <w:rFonts w:asciiTheme="minorHAnsi" w:hAnsiTheme="minorHAnsi" w:cstheme="minorHAnsi"/>
        </w:rPr>
        <w:t>“</w:t>
      </w:r>
      <w:r w:rsidR="00621854" w:rsidRPr="00391416">
        <w:rPr>
          <w:rFonts w:asciiTheme="minorHAnsi" w:hAnsiTheme="minorHAnsi" w:cstheme="minorHAnsi"/>
        </w:rPr>
        <w:t>)</w:t>
      </w:r>
      <w:r w:rsidR="008E03E3" w:rsidRPr="00391416">
        <w:rPr>
          <w:rFonts w:asciiTheme="minorHAnsi" w:hAnsiTheme="minorHAnsi" w:cstheme="minorHAnsi"/>
        </w:rPr>
        <w:t xml:space="preserve"> a</w:t>
      </w:r>
      <w:r w:rsidR="009C77C9">
        <w:rPr>
          <w:rFonts w:asciiTheme="minorHAnsi" w:hAnsiTheme="minorHAnsi" w:cstheme="minorHAnsi"/>
        </w:rPr>
        <w:t xml:space="preserve"> </w:t>
      </w:r>
      <w:r w:rsidR="003959EC">
        <w:rPr>
          <w:rFonts w:asciiTheme="minorHAnsi" w:hAnsiTheme="minorHAnsi" w:cstheme="minorHAnsi"/>
        </w:rPr>
        <w:t>na závěrečný účet kapitoly MK</w:t>
      </w:r>
      <w:r w:rsidR="008E03E3" w:rsidRPr="00391416">
        <w:rPr>
          <w:rFonts w:asciiTheme="minorHAnsi" w:hAnsiTheme="minorHAnsi" w:cstheme="minorHAnsi"/>
        </w:rPr>
        <w:t xml:space="preserve"> za rok 2014.</w:t>
      </w:r>
    </w:p>
    <w:p w:rsidR="00D10DEA" w:rsidRDefault="00D10DEA" w:rsidP="00741C30">
      <w:pPr>
        <w:jc w:val="both"/>
        <w:rPr>
          <w:rFonts w:asciiTheme="minorHAnsi" w:hAnsiTheme="minorHAnsi" w:cstheme="minorHAnsi"/>
        </w:rPr>
      </w:pPr>
    </w:p>
    <w:p w:rsidR="00D10DEA" w:rsidRDefault="009B3814" w:rsidP="00741C30">
      <w:pPr>
        <w:jc w:val="both"/>
        <w:rPr>
          <w:rFonts w:asciiTheme="minorHAnsi" w:hAnsiTheme="minorHAnsi" w:cstheme="minorHAnsi"/>
        </w:rPr>
      </w:pPr>
      <w:r>
        <w:rPr>
          <w:rFonts w:asciiTheme="minorHAnsi" w:hAnsiTheme="minorHAnsi" w:cstheme="minorHAnsi"/>
        </w:rPr>
        <w:t xml:space="preserve">Kontrola </w:t>
      </w:r>
      <w:r w:rsidR="00D10DEA" w:rsidRPr="00D10DEA">
        <w:rPr>
          <w:rFonts w:asciiTheme="minorHAnsi" w:hAnsiTheme="minorHAnsi" w:cstheme="minorHAnsi"/>
        </w:rPr>
        <w:t>byla</w:t>
      </w:r>
      <w:r>
        <w:rPr>
          <w:rFonts w:asciiTheme="minorHAnsi" w:hAnsiTheme="minorHAnsi" w:cstheme="minorHAnsi"/>
        </w:rPr>
        <w:t xml:space="preserve"> zaměřena</w:t>
      </w:r>
      <w:r w:rsidR="00D10DEA" w:rsidRPr="00D10DEA">
        <w:rPr>
          <w:rFonts w:asciiTheme="minorHAnsi" w:hAnsiTheme="minorHAnsi" w:cstheme="minorHAnsi"/>
        </w:rPr>
        <w:t xml:space="preserve"> také</w:t>
      </w:r>
      <w:r>
        <w:rPr>
          <w:rFonts w:asciiTheme="minorHAnsi" w:hAnsiTheme="minorHAnsi" w:cstheme="minorHAnsi"/>
        </w:rPr>
        <w:t xml:space="preserve"> na</w:t>
      </w:r>
      <w:r w:rsidR="00D10DEA" w:rsidRPr="00D10DEA">
        <w:rPr>
          <w:rFonts w:asciiTheme="minorHAnsi" w:hAnsiTheme="minorHAnsi" w:cstheme="minorHAnsi"/>
        </w:rPr>
        <w:t xml:space="preserve"> správnost používaných účetních metod a</w:t>
      </w:r>
      <w:r>
        <w:rPr>
          <w:rFonts w:asciiTheme="minorHAnsi" w:hAnsiTheme="minorHAnsi" w:cstheme="minorHAnsi"/>
        </w:rPr>
        <w:t> na</w:t>
      </w:r>
      <w:r w:rsidR="00D10DEA" w:rsidRPr="00D10DEA">
        <w:rPr>
          <w:rFonts w:asciiTheme="minorHAnsi" w:hAnsiTheme="minorHAnsi" w:cstheme="minorHAnsi"/>
        </w:rPr>
        <w:t xml:space="preserve"> ostatní podmín</w:t>
      </w:r>
      <w:r>
        <w:rPr>
          <w:rFonts w:asciiTheme="minorHAnsi" w:hAnsiTheme="minorHAnsi" w:cstheme="minorHAnsi"/>
        </w:rPr>
        <w:t>ky</w:t>
      </w:r>
      <w:r w:rsidR="00D10DEA" w:rsidRPr="00D10DEA">
        <w:rPr>
          <w:rFonts w:asciiTheme="minorHAnsi" w:hAnsiTheme="minorHAnsi" w:cstheme="minorHAnsi"/>
        </w:rPr>
        <w:t xml:space="preserve"> vedení účetnictví stanoven</w:t>
      </w:r>
      <w:r>
        <w:rPr>
          <w:rFonts w:asciiTheme="minorHAnsi" w:hAnsiTheme="minorHAnsi" w:cstheme="minorHAnsi"/>
        </w:rPr>
        <w:t>é</w:t>
      </w:r>
      <w:r w:rsidR="00D10DEA" w:rsidRPr="00D10DEA">
        <w:rPr>
          <w:rFonts w:asciiTheme="minorHAnsi" w:hAnsiTheme="minorHAnsi" w:cstheme="minorHAnsi"/>
        </w:rPr>
        <w:t xml:space="preserve"> účetními p</w:t>
      </w:r>
      <w:r w:rsidR="00E0185F">
        <w:rPr>
          <w:rFonts w:asciiTheme="minorHAnsi" w:hAnsiTheme="minorHAnsi" w:cstheme="minorHAnsi"/>
        </w:rPr>
        <w:t>ředpisy s účinností pro rok 2014</w:t>
      </w:r>
      <w:r w:rsidR="00D10DEA" w:rsidRPr="00D10DEA">
        <w:rPr>
          <w:rFonts w:asciiTheme="minorHAnsi" w:hAnsiTheme="minorHAnsi" w:cstheme="minorHAnsi"/>
        </w:rPr>
        <w:t xml:space="preserve">. </w:t>
      </w:r>
      <w:r>
        <w:rPr>
          <w:rFonts w:asciiTheme="minorHAnsi" w:hAnsiTheme="minorHAnsi" w:cstheme="minorHAnsi"/>
        </w:rPr>
        <w:t>Ú</w:t>
      </w:r>
      <w:r w:rsidR="00D10DEA" w:rsidRPr="00D10DEA">
        <w:rPr>
          <w:rFonts w:asciiTheme="minorHAnsi" w:hAnsiTheme="minorHAnsi" w:cstheme="minorHAnsi"/>
        </w:rPr>
        <w:t xml:space="preserve">četní zápisy byly </w:t>
      </w:r>
      <w:r>
        <w:rPr>
          <w:rFonts w:asciiTheme="minorHAnsi" w:hAnsiTheme="minorHAnsi" w:cstheme="minorHAnsi"/>
        </w:rPr>
        <w:t xml:space="preserve">ke kontrole </w:t>
      </w:r>
      <w:r w:rsidR="00D10DEA" w:rsidRPr="00D10DEA">
        <w:rPr>
          <w:rFonts w:asciiTheme="minorHAnsi" w:hAnsiTheme="minorHAnsi" w:cstheme="minorHAnsi"/>
        </w:rPr>
        <w:t xml:space="preserve">vybrány </w:t>
      </w:r>
      <w:r>
        <w:rPr>
          <w:rFonts w:asciiTheme="minorHAnsi" w:hAnsiTheme="minorHAnsi" w:cstheme="minorHAnsi"/>
        </w:rPr>
        <w:t>s ohledem</w:t>
      </w:r>
      <w:r w:rsidR="00D10DEA" w:rsidRPr="00D10DEA">
        <w:rPr>
          <w:rFonts w:asciiTheme="minorHAnsi" w:hAnsiTheme="minorHAnsi" w:cstheme="minorHAnsi"/>
        </w:rPr>
        <w:t xml:space="preserve"> na významnost jednot</w:t>
      </w:r>
      <w:r w:rsidR="00E0185F">
        <w:rPr>
          <w:rFonts w:asciiTheme="minorHAnsi" w:hAnsiTheme="minorHAnsi" w:cstheme="minorHAnsi"/>
        </w:rPr>
        <w:t>livých položek účetní závěrky MK sestavené k 31. 12. 2014</w:t>
      </w:r>
      <w:r w:rsidR="00D10DEA" w:rsidRPr="00D10DEA">
        <w:rPr>
          <w:rFonts w:asciiTheme="minorHAnsi" w:hAnsiTheme="minorHAnsi" w:cstheme="minorHAnsi"/>
        </w:rPr>
        <w:t xml:space="preserve"> a </w:t>
      </w:r>
      <w:r w:rsidR="00B01D45">
        <w:rPr>
          <w:rFonts w:asciiTheme="minorHAnsi" w:hAnsiTheme="minorHAnsi" w:cstheme="minorHAnsi"/>
        </w:rPr>
        <w:t xml:space="preserve">na </w:t>
      </w:r>
      <w:r w:rsidR="00D10DEA" w:rsidRPr="00D10DEA">
        <w:rPr>
          <w:rFonts w:asciiTheme="minorHAnsi" w:hAnsiTheme="minorHAnsi" w:cstheme="minorHAnsi"/>
        </w:rPr>
        <w:t xml:space="preserve">vyhodnocená rizika nesprávného účtování. </w:t>
      </w:r>
    </w:p>
    <w:p w:rsidR="00E0185F" w:rsidRDefault="00E0185F" w:rsidP="00741C30">
      <w:pPr>
        <w:jc w:val="both"/>
        <w:rPr>
          <w:rFonts w:asciiTheme="minorHAnsi" w:hAnsiTheme="minorHAnsi" w:cstheme="minorHAnsi"/>
        </w:rPr>
      </w:pPr>
    </w:p>
    <w:p w:rsidR="00E0185F" w:rsidRDefault="00E0185F" w:rsidP="00741C30">
      <w:pPr>
        <w:jc w:val="both"/>
        <w:rPr>
          <w:rFonts w:asciiTheme="minorHAnsi" w:hAnsiTheme="minorHAnsi" w:cstheme="minorHAnsi"/>
        </w:rPr>
      </w:pPr>
      <w:r w:rsidRPr="00E0185F">
        <w:rPr>
          <w:rFonts w:asciiTheme="minorHAnsi" w:hAnsiTheme="minorHAnsi" w:cstheme="minorHAnsi"/>
        </w:rPr>
        <w:t xml:space="preserve">Na základě </w:t>
      </w:r>
      <w:r w:rsidR="009B3814">
        <w:rPr>
          <w:rFonts w:asciiTheme="minorHAnsi" w:hAnsiTheme="minorHAnsi" w:cstheme="minorHAnsi"/>
        </w:rPr>
        <w:t xml:space="preserve">svého </w:t>
      </w:r>
      <w:r>
        <w:rPr>
          <w:rFonts w:asciiTheme="minorHAnsi" w:hAnsiTheme="minorHAnsi" w:cstheme="minorHAnsi"/>
        </w:rPr>
        <w:t>účetnictví sestavilo</w:t>
      </w:r>
      <w:r w:rsidR="009B3814" w:rsidRPr="009B3814">
        <w:rPr>
          <w:rFonts w:asciiTheme="minorHAnsi" w:hAnsiTheme="minorHAnsi" w:cstheme="minorHAnsi"/>
        </w:rPr>
        <w:t xml:space="preserve"> </w:t>
      </w:r>
      <w:r w:rsidR="009B3814">
        <w:rPr>
          <w:rFonts w:asciiTheme="minorHAnsi" w:hAnsiTheme="minorHAnsi" w:cstheme="minorHAnsi"/>
        </w:rPr>
        <w:t>MK</w:t>
      </w:r>
      <w:r>
        <w:rPr>
          <w:rFonts w:asciiTheme="minorHAnsi" w:hAnsiTheme="minorHAnsi" w:cstheme="minorHAnsi"/>
        </w:rPr>
        <w:t xml:space="preserve"> účetní závěrku k 31. 12. 2014</w:t>
      </w:r>
      <w:r w:rsidR="009B3814">
        <w:rPr>
          <w:rFonts w:asciiTheme="minorHAnsi" w:hAnsiTheme="minorHAnsi" w:cstheme="minorHAnsi"/>
        </w:rPr>
        <w:t xml:space="preserve"> v </w:t>
      </w:r>
      <w:r w:rsidRPr="00E0185F">
        <w:rPr>
          <w:rFonts w:asciiTheme="minorHAnsi" w:hAnsiTheme="minorHAnsi" w:cstheme="minorHAnsi"/>
        </w:rPr>
        <w:t>rozsahu dle §</w:t>
      </w:r>
      <w:r w:rsidR="007F26D5">
        <w:rPr>
          <w:rFonts w:asciiTheme="minorHAnsi" w:hAnsiTheme="minorHAnsi" w:cstheme="minorHAnsi"/>
        </w:rPr>
        <w:t> </w:t>
      </w:r>
      <w:r w:rsidRPr="00E0185F">
        <w:rPr>
          <w:rFonts w:asciiTheme="minorHAnsi" w:hAnsiTheme="minorHAnsi" w:cstheme="minorHAnsi"/>
        </w:rPr>
        <w:t xml:space="preserve">18 odst. 1 zákona </w:t>
      </w:r>
      <w:r>
        <w:rPr>
          <w:rFonts w:asciiTheme="minorHAnsi" w:hAnsiTheme="minorHAnsi" w:cstheme="minorHAnsi"/>
        </w:rPr>
        <w:t xml:space="preserve">č. 563/1991 Sb., </w:t>
      </w:r>
      <w:r w:rsidRPr="00E0185F">
        <w:rPr>
          <w:rFonts w:asciiTheme="minorHAnsi" w:hAnsiTheme="minorHAnsi" w:cstheme="minorHAnsi"/>
        </w:rPr>
        <w:t xml:space="preserve">o účetnictví, tj. sestavilo rozvahu, výkaz zisku a ztráty, přílohu, přehled o peněžních tocích a přehled o změnách vlastního kapitálu. </w:t>
      </w:r>
      <w:r w:rsidR="009B3814">
        <w:rPr>
          <w:rFonts w:asciiTheme="minorHAnsi" w:hAnsiTheme="minorHAnsi" w:cstheme="minorHAnsi"/>
        </w:rPr>
        <w:t>V</w:t>
      </w:r>
      <w:r w:rsidR="009C77C9">
        <w:rPr>
          <w:rFonts w:asciiTheme="minorHAnsi" w:hAnsiTheme="minorHAnsi" w:cstheme="minorHAnsi"/>
        </w:rPr>
        <w:t xml:space="preserve"> </w:t>
      </w:r>
      <w:r w:rsidR="007A7B70">
        <w:rPr>
          <w:rFonts w:asciiTheme="minorHAnsi" w:hAnsiTheme="minorHAnsi" w:cstheme="minorHAnsi"/>
        </w:rPr>
        <w:t xml:space="preserve">rozporu s </w:t>
      </w:r>
      <w:r w:rsidR="00B243C2">
        <w:rPr>
          <w:rFonts w:asciiTheme="minorHAnsi" w:hAnsiTheme="minorHAnsi" w:cstheme="minorHAnsi"/>
        </w:rPr>
        <w:t xml:space="preserve">§ 18 odst. 2 zákona č. 563/1991 Sb. </w:t>
      </w:r>
      <w:r w:rsidR="009B3814">
        <w:rPr>
          <w:rFonts w:asciiTheme="minorHAnsi" w:hAnsiTheme="minorHAnsi" w:cstheme="minorHAnsi"/>
        </w:rPr>
        <w:t xml:space="preserve">nebyla tato ÚZ </w:t>
      </w:r>
      <w:r w:rsidR="00B243C2">
        <w:rPr>
          <w:rFonts w:asciiTheme="minorHAnsi" w:hAnsiTheme="minorHAnsi" w:cstheme="minorHAnsi"/>
        </w:rPr>
        <w:t>podepsána vedoucím organizační složky státu, tedy ministrem kultury.</w:t>
      </w:r>
    </w:p>
    <w:p w:rsidR="00D10DEA" w:rsidRDefault="00D10DEA" w:rsidP="00741C30">
      <w:pPr>
        <w:jc w:val="both"/>
        <w:rPr>
          <w:rFonts w:asciiTheme="minorHAnsi" w:hAnsiTheme="minorHAnsi" w:cstheme="minorHAnsi"/>
        </w:rPr>
      </w:pPr>
    </w:p>
    <w:p w:rsidR="00264159" w:rsidRPr="00391416" w:rsidRDefault="00264159" w:rsidP="00213CFB">
      <w:pPr>
        <w:pStyle w:val="Titulek"/>
        <w:tabs>
          <w:tab w:val="right" w:pos="9072"/>
        </w:tabs>
        <w:spacing w:before="0" w:after="40"/>
        <w:rPr>
          <w:rFonts w:asciiTheme="minorHAnsi" w:hAnsiTheme="minorHAnsi" w:cstheme="minorHAnsi"/>
          <w:b w:val="0"/>
          <w:sz w:val="24"/>
          <w:szCs w:val="24"/>
        </w:rPr>
      </w:pPr>
      <w:r w:rsidRPr="00391416">
        <w:rPr>
          <w:rFonts w:asciiTheme="minorHAnsi" w:hAnsiTheme="minorHAnsi" w:cstheme="minorHAnsi"/>
          <w:bCs w:val="0"/>
          <w:sz w:val="24"/>
          <w:szCs w:val="24"/>
        </w:rPr>
        <w:t xml:space="preserve">Tabulka č. </w:t>
      </w:r>
      <w:r w:rsidR="00893FCD" w:rsidRPr="00391416">
        <w:rPr>
          <w:rFonts w:asciiTheme="minorHAnsi" w:hAnsiTheme="minorHAnsi" w:cstheme="minorHAnsi"/>
          <w:bCs w:val="0"/>
          <w:sz w:val="24"/>
          <w:szCs w:val="24"/>
        </w:rPr>
        <w:t>1</w:t>
      </w:r>
      <w:r w:rsidRPr="00391416">
        <w:rPr>
          <w:rFonts w:asciiTheme="minorHAnsi" w:hAnsiTheme="minorHAnsi" w:cstheme="minorHAnsi"/>
          <w:b w:val="0"/>
          <w:bCs w:val="0"/>
          <w:sz w:val="24"/>
          <w:szCs w:val="24"/>
        </w:rPr>
        <w:t xml:space="preserve"> </w:t>
      </w:r>
      <w:r w:rsidRPr="00391416">
        <w:rPr>
          <w:rFonts w:asciiTheme="minorHAnsi" w:hAnsiTheme="minorHAnsi" w:cstheme="minorHAnsi"/>
          <w:bCs w:val="0"/>
          <w:sz w:val="24"/>
          <w:szCs w:val="24"/>
        </w:rPr>
        <w:t>–</w:t>
      </w:r>
      <w:r w:rsidRPr="00391416">
        <w:rPr>
          <w:rFonts w:asciiTheme="minorHAnsi" w:hAnsiTheme="minorHAnsi" w:cstheme="minorHAnsi"/>
          <w:b w:val="0"/>
          <w:bCs w:val="0"/>
          <w:sz w:val="24"/>
          <w:szCs w:val="24"/>
        </w:rPr>
        <w:t xml:space="preserve"> </w:t>
      </w:r>
      <w:r w:rsidRPr="00391416">
        <w:rPr>
          <w:rFonts w:asciiTheme="minorHAnsi" w:hAnsiTheme="minorHAnsi" w:cstheme="minorHAnsi"/>
          <w:sz w:val="24"/>
          <w:szCs w:val="24"/>
        </w:rPr>
        <w:t>Údaje za běžné</w:t>
      </w:r>
      <w:r w:rsidR="004029FE" w:rsidRPr="00391416">
        <w:rPr>
          <w:rFonts w:asciiTheme="minorHAnsi" w:hAnsiTheme="minorHAnsi" w:cstheme="minorHAnsi"/>
          <w:sz w:val="24"/>
          <w:szCs w:val="24"/>
        </w:rPr>
        <w:t xml:space="preserve"> účetní</w:t>
      </w:r>
      <w:r w:rsidRPr="00391416">
        <w:rPr>
          <w:rFonts w:asciiTheme="minorHAnsi" w:hAnsiTheme="minorHAnsi" w:cstheme="minorHAnsi"/>
          <w:sz w:val="24"/>
          <w:szCs w:val="24"/>
        </w:rPr>
        <w:t xml:space="preserve"> období z </w:t>
      </w:r>
      <w:r w:rsidR="00646D32" w:rsidRPr="00391416">
        <w:rPr>
          <w:rFonts w:asciiTheme="minorHAnsi" w:hAnsiTheme="minorHAnsi" w:cstheme="minorHAnsi"/>
          <w:iCs/>
          <w:sz w:val="24"/>
          <w:szCs w:val="24"/>
        </w:rPr>
        <w:t>r</w:t>
      </w:r>
      <w:r w:rsidR="00EB62BA" w:rsidRPr="00391416">
        <w:rPr>
          <w:rFonts w:asciiTheme="minorHAnsi" w:hAnsiTheme="minorHAnsi" w:cstheme="minorHAnsi"/>
          <w:iCs/>
          <w:sz w:val="24"/>
          <w:szCs w:val="24"/>
        </w:rPr>
        <w:t>ozvahy</w:t>
      </w:r>
      <w:r w:rsidRPr="00391416">
        <w:rPr>
          <w:rFonts w:asciiTheme="minorHAnsi" w:hAnsiTheme="minorHAnsi" w:cstheme="minorHAnsi"/>
          <w:i/>
          <w:iCs/>
          <w:sz w:val="24"/>
          <w:szCs w:val="24"/>
        </w:rPr>
        <w:t xml:space="preserve"> </w:t>
      </w:r>
      <w:r w:rsidR="00F52CE0" w:rsidRPr="00391416">
        <w:rPr>
          <w:rFonts w:asciiTheme="minorHAnsi" w:hAnsiTheme="minorHAnsi" w:cstheme="minorHAnsi"/>
          <w:sz w:val="24"/>
          <w:szCs w:val="24"/>
        </w:rPr>
        <w:t xml:space="preserve">k 31. </w:t>
      </w:r>
      <w:r w:rsidR="00D92F73">
        <w:rPr>
          <w:rFonts w:asciiTheme="minorHAnsi" w:hAnsiTheme="minorHAnsi" w:cstheme="minorHAnsi"/>
          <w:sz w:val="24"/>
          <w:szCs w:val="24"/>
        </w:rPr>
        <w:t xml:space="preserve">12. </w:t>
      </w:r>
      <w:r w:rsidR="00F52CE0" w:rsidRPr="00391416">
        <w:rPr>
          <w:rFonts w:asciiTheme="minorHAnsi" w:hAnsiTheme="minorHAnsi" w:cstheme="minorHAnsi"/>
          <w:sz w:val="24"/>
          <w:szCs w:val="24"/>
        </w:rPr>
        <w:t>201</w:t>
      </w:r>
      <w:r w:rsidR="00F22972" w:rsidRPr="00391416">
        <w:rPr>
          <w:rFonts w:asciiTheme="minorHAnsi" w:hAnsiTheme="minorHAnsi" w:cstheme="minorHAnsi"/>
          <w:sz w:val="24"/>
          <w:szCs w:val="24"/>
        </w:rPr>
        <w:t>4</w:t>
      </w:r>
      <w:r w:rsidR="00213CFB" w:rsidRPr="00391416">
        <w:rPr>
          <w:rFonts w:asciiTheme="minorHAnsi" w:hAnsiTheme="minorHAnsi" w:cstheme="minorHAnsi"/>
          <w:sz w:val="24"/>
          <w:szCs w:val="24"/>
        </w:rPr>
        <w:t xml:space="preserve"> </w:t>
      </w:r>
      <w:r w:rsidR="00213CFB" w:rsidRPr="00391416">
        <w:rPr>
          <w:rFonts w:asciiTheme="minorHAnsi" w:hAnsiTheme="minorHAnsi" w:cstheme="minorHAnsi"/>
          <w:sz w:val="24"/>
          <w:szCs w:val="24"/>
        </w:rPr>
        <w:tab/>
      </w:r>
      <w:r w:rsidRPr="00391416">
        <w:rPr>
          <w:rFonts w:asciiTheme="minorHAnsi" w:hAnsiTheme="minorHAnsi" w:cstheme="minorHAnsi"/>
          <w:sz w:val="24"/>
          <w:szCs w:val="24"/>
        </w:rPr>
        <w:t>(v Kč)</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1"/>
        <w:gridCol w:w="1494"/>
        <w:gridCol w:w="1482"/>
        <w:gridCol w:w="1762"/>
        <w:gridCol w:w="1559"/>
        <w:gridCol w:w="1504"/>
      </w:tblGrid>
      <w:tr w:rsidR="00264159" w:rsidRPr="00391416" w:rsidTr="009801A4">
        <w:trPr>
          <w:trHeight w:val="227"/>
          <w:jc w:val="center"/>
        </w:trPr>
        <w:tc>
          <w:tcPr>
            <w:tcW w:w="428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Aktiva (v netto hodnotě)</w:t>
            </w:r>
          </w:p>
        </w:tc>
        <w:tc>
          <w:tcPr>
            <w:tcW w:w="48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 xml:space="preserve">Pasiva </w:t>
            </w:r>
          </w:p>
        </w:tc>
      </w:tr>
      <w:tr w:rsidR="00264159" w:rsidRPr="00391416" w:rsidTr="009801A4">
        <w:trPr>
          <w:trHeight w:val="227"/>
          <w:jc w:val="center"/>
        </w:trPr>
        <w:tc>
          <w:tcPr>
            <w:tcW w:w="1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S</w:t>
            </w:r>
            <w:r w:rsidR="00264159" w:rsidRPr="00391416">
              <w:rPr>
                <w:rFonts w:asciiTheme="minorHAnsi" w:hAnsiTheme="minorHAnsi" w:cstheme="minorHAnsi"/>
                <w:b/>
                <w:bCs/>
                <w:sz w:val="18"/>
                <w:szCs w:val="18"/>
              </w:rPr>
              <w:t>tálá aktiva</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O</w:t>
            </w:r>
            <w:r w:rsidR="00264159" w:rsidRPr="00391416">
              <w:rPr>
                <w:rFonts w:asciiTheme="minorHAnsi" w:hAnsiTheme="minorHAnsi" w:cstheme="minorHAnsi"/>
                <w:b/>
                <w:bCs/>
                <w:sz w:val="18"/>
                <w:szCs w:val="18"/>
              </w:rPr>
              <w:t>běžná aktiva</w:t>
            </w:r>
          </w:p>
        </w:tc>
        <w:tc>
          <w:tcPr>
            <w:tcW w:w="1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A</w:t>
            </w:r>
            <w:r w:rsidR="00264159" w:rsidRPr="00391416">
              <w:rPr>
                <w:rFonts w:asciiTheme="minorHAnsi" w:hAnsiTheme="minorHAnsi" w:cstheme="minorHAnsi"/>
                <w:b/>
                <w:bCs/>
                <w:sz w:val="18"/>
                <w:szCs w:val="18"/>
              </w:rPr>
              <w:t>ktiva celkem</w:t>
            </w:r>
          </w:p>
        </w:tc>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V</w:t>
            </w:r>
            <w:r w:rsidR="00264159" w:rsidRPr="00391416">
              <w:rPr>
                <w:rFonts w:asciiTheme="minorHAnsi" w:hAnsiTheme="minorHAnsi" w:cstheme="minorHAnsi"/>
                <w:b/>
                <w:bCs/>
                <w:sz w:val="18"/>
                <w:szCs w:val="18"/>
              </w:rPr>
              <w:t>lastní kapitál</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C</w:t>
            </w:r>
            <w:r w:rsidR="00264159" w:rsidRPr="00391416">
              <w:rPr>
                <w:rFonts w:asciiTheme="minorHAnsi" w:hAnsiTheme="minorHAnsi" w:cstheme="minorHAnsi"/>
                <w:b/>
                <w:bCs/>
                <w:sz w:val="18"/>
                <w:szCs w:val="18"/>
              </w:rPr>
              <w:t>izí zdroje</w:t>
            </w:r>
          </w:p>
        </w:tc>
        <w:tc>
          <w:tcPr>
            <w:tcW w:w="1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992D6C" w:rsidP="00213CFB">
            <w:pPr>
              <w:spacing w:before="20" w:after="20"/>
              <w:jc w:val="center"/>
              <w:rPr>
                <w:rFonts w:asciiTheme="minorHAnsi" w:hAnsiTheme="minorHAnsi" w:cstheme="minorHAnsi"/>
                <w:b/>
                <w:bCs/>
                <w:sz w:val="18"/>
                <w:szCs w:val="18"/>
              </w:rPr>
            </w:pPr>
            <w:r w:rsidRPr="00391416">
              <w:rPr>
                <w:rFonts w:asciiTheme="minorHAnsi" w:hAnsiTheme="minorHAnsi" w:cstheme="minorHAnsi"/>
                <w:b/>
                <w:bCs/>
                <w:sz w:val="18"/>
                <w:szCs w:val="18"/>
              </w:rPr>
              <w:t>P</w:t>
            </w:r>
            <w:r w:rsidR="00264159" w:rsidRPr="00391416">
              <w:rPr>
                <w:rFonts w:asciiTheme="minorHAnsi" w:hAnsiTheme="minorHAnsi" w:cstheme="minorHAnsi"/>
                <w:b/>
                <w:bCs/>
                <w:sz w:val="18"/>
                <w:szCs w:val="18"/>
              </w:rPr>
              <w:t>asiva celkem</w:t>
            </w:r>
          </w:p>
        </w:tc>
      </w:tr>
      <w:tr w:rsidR="00264159" w:rsidRPr="00391416" w:rsidTr="009801A4">
        <w:trPr>
          <w:trHeight w:val="227"/>
          <w:jc w:val="center"/>
        </w:trPr>
        <w:tc>
          <w:tcPr>
            <w:tcW w:w="1311" w:type="dxa"/>
            <w:tcBorders>
              <w:top w:val="single" w:sz="4" w:space="0" w:color="auto"/>
              <w:left w:val="single" w:sz="4" w:space="0" w:color="auto"/>
              <w:bottom w:val="single" w:sz="4" w:space="0" w:color="auto"/>
              <w:right w:val="single" w:sz="4" w:space="0" w:color="auto"/>
            </w:tcBorders>
            <w:vAlign w:val="center"/>
          </w:tcPr>
          <w:p w:rsidR="00264159" w:rsidRPr="00391416" w:rsidRDefault="00B243C2"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559</w:t>
            </w:r>
            <w:r w:rsidR="009C77C9">
              <w:rPr>
                <w:rFonts w:asciiTheme="minorHAnsi" w:hAnsiTheme="minorHAnsi" w:cstheme="minorHAnsi"/>
                <w:sz w:val="18"/>
                <w:szCs w:val="18"/>
              </w:rPr>
              <w:t xml:space="preserve"> </w:t>
            </w:r>
            <w:r>
              <w:rPr>
                <w:rFonts w:asciiTheme="minorHAnsi" w:hAnsiTheme="minorHAnsi" w:cstheme="minorHAnsi"/>
                <w:sz w:val="18"/>
                <w:szCs w:val="18"/>
              </w:rPr>
              <w:t>428</w:t>
            </w:r>
            <w:r w:rsidR="009C77C9">
              <w:rPr>
                <w:rFonts w:asciiTheme="minorHAnsi" w:hAnsiTheme="minorHAnsi" w:cstheme="minorHAnsi"/>
                <w:sz w:val="18"/>
                <w:szCs w:val="18"/>
              </w:rPr>
              <w:t xml:space="preserve"> </w:t>
            </w:r>
            <w:r>
              <w:rPr>
                <w:rFonts w:asciiTheme="minorHAnsi" w:hAnsiTheme="minorHAnsi" w:cstheme="minorHAnsi"/>
                <w:sz w:val="18"/>
                <w:szCs w:val="18"/>
              </w:rPr>
              <w:t>804,89</w:t>
            </w:r>
          </w:p>
        </w:tc>
        <w:tc>
          <w:tcPr>
            <w:tcW w:w="1494" w:type="dxa"/>
            <w:tcBorders>
              <w:top w:val="single" w:sz="4" w:space="0" w:color="auto"/>
              <w:left w:val="single" w:sz="4" w:space="0" w:color="auto"/>
              <w:bottom w:val="single" w:sz="4" w:space="0" w:color="auto"/>
              <w:right w:val="single" w:sz="4" w:space="0" w:color="auto"/>
            </w:tcBorders>
            <w:vAlign w:val="center"/>
          </w:tcPr>
          <w:p w:rsidR="00264159" w:rsidRPr="00391416" w:rsidRDefault="00B243C2"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2</w:t>
            </w:r>
            <w:r w:rsidR="009C77C9">
              <w:rPr>
                <w:rFonts w:asciiTheme="minorHAnsi" w:hAnsiTheme="minorHAnsi" w:cstheme="minorHAnsi"/>
                <w:sz w:val="18"/>
                <w:szCs w:val="18"/>
              </w:rPr>
              <w:t xml:space="preserve"> </w:t>
            </w:r>
            <w:r>
              <w:rPr>
                <w:rFonts w:asciiTheme="minorHAnsi" w:hAnsiTheme="minorHAnsi" w:cstheme="minorHAnsi"/>
                <w:sz w:val="18"/>
                <w:szCs w:val="18"/>
              </w:rPr>
              <w:t>993</w:t>
            </w:r>
            <w:r w:rsidR="009C77C9">
              <w:rPr>
                <w:rFonts w:asciiTheme="minorHAnsi" w:hAnsiTheme="minorHAnsi" w:cstheme="minorHAnsi"/>
                <w:sz w:val="18"/>
                <w:szCs w:val="18"/>
              </w:rPr>
              <w:t xml:space="preserve"> </w:t>
            </w:r>
            <w:r>
              <w:rPr>
                <w:rFonts w:asciiTheme="minorHAnsi" w:hAnsiTheme="minorHAnsi" w:cstheme="minorHAnsi"/>
                <w:sz w:val="18"/>
                <w:szCs w:val="18"/>
              </w:rPr>
              <w:t>870</w:t>
            </w:r>
            <w:r w:rsidR="009C77C9">
              <w:rPr>
                <w:rFonts w:asciiTheme="minorHAnsi" w:hAnsiTheme="minorHAnsi" w:cstheme="minorHAnsi"/>
                <w:sz w:val="18"/>
                <w:szCs w:val="18"/>
              </w:rPr>
              <w:t xml:space="preserve"> </w:t>
            </w:r>
            <w:r>
              <w:rPr>
                <w:rFonts w:asciiTheme="minorHAnsi" w:hAnsiTheme="minorHAnsi" w:cstheme="minorHAnsi"/>
                <w:sz w:val="18"/>
                <w:szCs w:val="18"/>
              </w:rPr>
              <w:t>159,72</w:t>
            </w:r>
          </w:p>
        </w:tc>
        <w:tc>
          <w:tcPr>
            <w:tcW w:w="1482" w:type="dxa"/>
            <w:tcBorders>
              <w:top w:val="single" w:sz="4" w:space="0" w:color="auto"/>
              <w:left w:val="single" w:sz="4" w:space="0" w:color="auto"/>
              <w:bottom w:val="single" w:sz="4" w:space="0" w:color="auto"/>
              <w:right w:val="single" w:sz="4" w:space="0" w:color="auto"/>
            </w:tcBorders>
            <w:vAlign w:val="center"/>
          </w:tcPr>
          <w:p w:rsidR="00264159" w:rsidRPr="00391416" w:rsidRDefault="00B243C2"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3</w:t>
            </w:r>
            <w:r w:rsidR="009C77C9">
              <w:rPr>
                <w:rFonts w:asciiTheme="minorHAnsi" w:hAnsiTheme="minorHAnsi" w:cstheme="minorHAnsi"/>
                <w:sz w:val="18"/>
                <w:szCs w:val="18"/>
              </w:rPr>
              <w:t xml:space="preserve"> </w:t>
            </w:r>
            <w:r>
              <w:rPr>
                <w:rFonts w:asciiTheme="minorHAnsi" w:hAnsiTheme="minorHAnsi" w:cstheme="minorHAnsi"/>
                <w:sz w:val="18"/>
                <w:szCs w:val="18"/>
              </w:rPr>
              <w:t>553</w:t>
            </w:r>
            <w:r w:rsidR="009C77C9">
              <w:rPr>
                <w:rFonts w:asciiTheme="minorHAnsi" w:hAnsiTheme="minorHAnsi" w:cstheme="minorHAnsi"/>
                <w:sz w:val="18"/>
                <w:szCs w:val="18"/>
              </w:rPr>
              <w:t xml:space="preserve"> </w:t>
            </w:r>
            <w:r>
              <w:rPr>
                <w:rFonts w:asciiTheme="minorHAnsi" w:hAnsiTheme="minorHAnsi" w:cstheme="minorHAnsi"/>
                <w:sz w:val="18"/>
                <w:szCs w:val="18"/>
              </w:rPr>
              <w:t>298</w:t>
            </w:r>
            <w:r w:rsidR="009C77C9">
              <w:rPr>
                <w:rFonts w:asciiTheme="minorHAnsi" w:hAnsiTheme="minorHAnsi" w:cstheme="minorHAnsi"/>
                <w:sz w:val="18"/>
                <w:szCs w:val="18"/>
              </w:rPr>
              <w:t xml:space="preserve"> </w:t>
            </w:r>
            <w:r>
              <w:rPr>
                <w:rFonts w:asciiTheme="minorHAnsi" w:hAnsiTheme="minorHAnsi" w:cstheme="minorHAnsi"/>
                <w:sz w:val="18"/>
                <w:szCs w:val="18"/>
              </w:rPr>
              <w:t>964,61</w:t>
            </w:r>
          </w:p>
        </w:tc>
        <w:tc>
          <w:tcPr>
            <w:tcW w:w="1762" w:type="dxa"/>
            <w:tcBorders>
              <w:top w:val="single" w:sz="4" w:space="0" w:color="auto"/>
              <w:left w:val="single" w:sz="4" w:space="0" w:color="auto"/>
              <w:bottom w:val="single" w:sz="4" w:space="0" w:color="auto"/>
              <w:right w:val="single" w:sz="4" w:space="0" w:color="auto"/>
            </w:tcBorders>
            <w:vAlign w:val="center"/>
          </w:tcPr>
          <w:p w:rsidR="00264159" w:rsidRPr="00391416" w:rsidRDefault="009801A4"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w:t>
            </w:r>
            <w:r w:rsidR="00B243C2">
              <w:rPr>
                <w:rFonts w:asciiTheme="minorHAnsi" w:hAnsiTheme="minorHAnsi" w:cstheme="minorHAnsi"/>
                <w:sz w:val="18"/>
                <w:szCs w:val="18"/>
              </w:rPr>
              <w:t>56</w:t>
            </w:r>
            <w:r w:rsidR="009C77C9">
              <w:rPr>
                <w:rFonts w:asciiTheme="minorHAnsi" w:hAnsiTheme="minorHAnsi" w:cstheme="minorHAnsi"/>
                <w:sz w:val="18"/>
                <w:szCs w:val="18"/>
              </w:rPr>
              <w:t xml:space="preserve"> </w:t>
            </w:r>
            <w:r w:rsidR="00B243C2">
              <w:rPr>
                <w:rFonts w:asciiTheme="minorHAnsi" w:hAnsiTheme="minorHAnsi" w:cstheme="minorHAnsi"/>
                <w:sz w:val="18"/>
                <w:szCs w:val="18"/>
              </w:rPr>
              <w:t>113</w:t>
            </w:r>
            <w:r w:rsidR="009C77C9">
              <w:rPr>
                <w:rFonts w:asciiTheme="minorHAnsi" w:hAnsiTheme="minorHAnsi" w:cstheme="minorHAnsi"/>
                <w:sz w:val="18"/>
                <w:szCs w:val="18"/>
              </w:rPr>
              <w:t xml:space="preserve"> </w:t>
            </w:r>
            <w:r w:rsidR="00B243C2">
              <w:rPr>
                <w:rFonts w:asciiTheme="minorHAnsi" w:hAnsiTheme="minorHAnsi" w:cstheme="minorHAnsi"/>
                <w:sz w:val="18"/>
                <w:szCs w:val="18"/>
              </w:rPr>
              <w:t>575</w:t>
            </w:r>
            <w:r w:rsidR="009C77C9">
              <w:rPr>
                <w:rFonts w:asciiTheme="minorHAnsi" w:hAnsiTheme="minorHAnsi" w:cstheme="minorHAnsi"/>
                <w:sz w:val="18"/>
                <w:szCs w:val="18"/>
              </w:rPr>
              <w:t xml:space="preserve"> </w:t>
            </w:r>
            <w:r w:rsidR="00B243C2">
              <w:rPr>
                <w:rFonts w:asciiTheme="minorHAnsi" w:hAnsiTheme="minorHAnsi" w:cstheme="minorHAnsi"/>
                <w:sz w:val="18"/>
                <w:szCs w:val="18"/>
              </w:rPr>
              <w:t>474,25</w:t>
            </w:r>
          </w:p>
        </w:tc>
        <w:tc>
          <w:tcPr>
            <w:tcW w:w="1559" w:type="dxa"/>
            <w:tcBorders>
              <w:top w:val="single" w:sz="4" w:space="0" w:color="auto"/>
              <w:left w:val="single" w:sz="4" w:space="0" w:color="auto"/>
              <w:bottom w:val="single" w:sz="4" w:space="0" w:color="auto"/>
              <w:right w:val="single" w:sz="4" w:space="0" w:color="auto"/>
            </w:tcBorders>
            <w:vAlign w:val="center"/>
          </w:tcPr>
          <w:p w:rsidR="00264159" w:rsidRPr="00391416" w:rsidRDefault="00B243C2"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59</w:t>
            </w:r>
            <w:r w:rsidR="009C77C9">
              <w:rPr>
                <w:rFonts w:asciiTheme="minorHAnsi" w:hAnsiTheme="minorHAnsi" w:cstheme="minorHAnsi"/>
                <w:sz w:val="18"/>
                <w:szCs w:val="18"/>
              </w:rPr>
              <w:t xml:space="preserve"> </w:t>
            </w:r>
            <w:r>
              <w:rPr>
                <w:rFonts w:asciiTheme="minorHAnsi" w:hAnsiTheme="minorHAnsi" w:cstheme="minorHAnsi"/>
                <w:sz w:val="18"/>
                <w:szCs w:val="18"/>
              </w:rPr>
              <w:t>666</w:t>
            </w:r>
            <w:r w:rsidR="009C77C9">
              <w:rPr>
                <w:rFonts w:asciiTheme="minorHAnsi" w:hAnsiTheme="minorHAnsi" w:cstheme="minorHAnsi"/>
                <w:sz w:val="18"/>
                <w:szCs w:val="18"/>
              </w:rPr>
              <w:t xml:space="preserve"> </w:t>
            </w:r>
            <w:r>
              <w:rPr>
                <w:rFonts w:asciiTheme="minorHAnsi" w:hAnsiTheme="minorHAnsi" w:cstheme="minorHAnsi"/>
                <w:sz w:val="18"/>
                <w:szCs w:val="18"/>
              </w:rPr>
              <w:t>874</w:t>
            </w:r>
            <w:r w:rsidR="009C77C9">
              <w:rPr>
                <w:rFonts w:asciiTheme="minorHAnsi" w:hAnsiTheme="minorHAnsi" w:cstheme="minorHAnsi"/>
                <w:sz w:val="18"/>
                <w:szCs w:val="18"/>
              </w:rPr>
              <w:t xml:space="preserve"> </w:t>
            </w:r>
            <w:r>
              <w:rPr>
                <w:rFonts w:asciiTheme="minorHAnsi" w:hAnsiTheme="minorHAnsi" w:cstheme="minorHAnsi"/>
                <w:sz w:val="18"/>
                <w:szCs w:val="18"/>
              </w:rPr>
              <w:t>438,86</w:t>
            </w:r>
          </w:p>
        </w:tc>
        <w:tc>
          <w:tcPr>
            <w:tcW w:w="1504" w:type="dxa"/>
            <w:tcBorders>
              <w:top w:val="single" w:sz="4" w:space="0" w:color="auto"/>
              <w:left w:val="single" w:sz="4" w:space="0" w:color="auto"/>
              <w:bottom w:val="single" w:sz="4" w:space="0" w:color="auto"/>
              <w:right w:val="single" w:sz="4" w:space="0" w:color="auto"/>
            </w:tcBorders>
            <w:vAlign w:val="center"/>
          </w:tcPr>
          <w:p w:rsidR="00264159" w:rsidRPr="00391416" w:rsidRDefault="00B243C2" w:rsidP="00213CFB">
            <w:pPr>
              <w:spacing w:before="20" w:after="20"/>
              <w:jc w:val="right"/>
              <w:rPr>
                <w:rFonts w:asciiTheme="minorHAnsi" w:hAnsiTheme="minorHAnsi" w:cstheme="minorHAnsi"/>
                <w:sz w:val="18"/>
                <w:szCs w:val="18"/>
              </w:rPr>
            </w:pPr>
            <w:r>
              <w:rPr>
                <w:rFonts w:asciiTheme="minorHAnsi" w:hAnsiTheme="minorHAnsi" w:cstheme="minorHAnsi"/>
                <w:sz w:val="18"/>
                <w:szCs w:val="18"/>
              </w:rPr>
              <w:t>3</w:t>
            </w:r>
            <w:r w:rsidR="009C77C9">
              <w:rPr>
                <w:rFonts w:asciiTheme="minorHAnsi" w:hAnsiTheme="minorHAnsi" w:cstheme="minorHAnsi"/>
                <w:sz w:val="18"/>
                <w:szCs w:val="18"/>
              </w:rPr>
              <w:t xml:space="preserve"> </w:t>
            </w:r>
            <w:r>
              <w:rPr>
                <w:rFonts w:asciiTheme="minorHAnsi" w:hAnsiTheme="minorHAnsi" w:cstheme="minorHAnsi"/>
                <w:sz w:val="18"/>
                <w:szCs w:val="18"/>
              </w:rPr>
              <w:t>553</w:t>
            </w:r>
            <w:r w:rsidR="009C77C9">
              <w:rPr>
                <w:rFonts w:asciiTheme="minorHAnsi" w:hAnsiTheme="minorHAnsi" w:cstheme="minorHAnsi"/>
                <w:sz w:val="18"/>
                <w:szCs w:val="18"/>
              </w:rPr>
              <w:t xml:space="preserve"> </w:t>
            </w:r>
            <w:r>
              <w:rPr>
                <w:rFonts w:asciiTheme="minorHAnsi" w:hAnsiTheme="minorHAnsi" w:cstheme="minorHAnsi"/>
                <w:sz w:val="18"/>
                <w:szCs w:val="18"/>
              </w:rPr>
              <w:t>298</w:t>
            </w:r>
            <w:r w:rsidR="009C77C9">
              <w:rPr>
                <w:rFonts w:asciiTheme="minorHAnsi" w:hAnsiTheme="minorHAnsi" w:cstheme="minorHAnsi"/>
                <w:sz w:val="18"/>
                <w:szCs w:val="18"/>
              </w:rPr>
              <w:t xml:space="preserve"> </w:t>
            </w:r>
            <w:r>
              <w:rPr>
                <w:rFonts w:asciiTheme="minorHAnsi" w:hAnsiTheme="minorHAnsi" w:cstheme="minorHAnsi"/>
                <w:sz w:val="18"/>
                <w:szCs w:val="18"/>
              </w:rPr>
              <w:t>964,61</w:t>
            </w:r>
          </w:p>
        </w:tc>
      </w:tr>
    </w:tbl>
    <w:p w:rsidR="00646D32" w:rsidRPr="00391416" w:rsidRDefault="00264159" w:rsidP="007A35E3">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9801A4">
        <w:rPr>
          <w:rFonts w:asciiTheme="minorHAnsi" w:hAnsiTheme="minorHAnsi" w:cstheme="minorHAnsi"/>
          <w:sz w:val="20"/>
          <w:szCs w:val="20"/>
          <w:lang w:eastAsia="cs-CZ"/>
        </w:rPr>
        <w:t>ú</w:t>
      </w:r>
      <w:r w:rsidRPr="00391416">
        <w:rPr>
          <w:rFonts w:asciiTheme="minorHAnsi" w:hAnsiTheme="minorHAnsi" w:cstheme="minorHAnsi"/>
          <w:sz w:val="20"/>
          <w:szCs w:val="20"/>
          <w:lang w:eastAsia="cs-CZ"/>
        </w:rPr>
        <w:t xml:space="preserve">četní závěrka </w:t>
      </w:r>
      <w:r w:rsidR="00F22972" w:rsidRPr="00391416">
        <w:rPr>
          <w:rFonts w:asciiTheme="minorHAnsi" w:hAnsiTheme="minorHAnsi" w:cstheme="minorHAnsi"/>
          <w:sz w:val="20"/>
          <w:szCs w:val="20"/>
          <w:lang w:eastAsia="cs-CZ"/>
        </w:rPr>
        <w:t>M</w:t>
      </w:r>
      <w:r w:rsidR="00B243C2">
        <w:rPr>
          <w:rFonts w:asciiTheme="minorHAnsi" w:hAnsiTheme="minorHAnsi" w:cstheme="minorHAnsi"/>
          <w:sz w:val="20"/>
          <w:szCs w:val="20"/>
          <w:lang w:eastAsia="cs-CZ"/>
        </w:rPr>
        <w:t>K</w:t>
      </w:r>
      <w:r w:rsidRPr="00391416">
        <w:rPr>
          <w:rFonts w:asciiTheme="minorHAnsi" w:hAnsiTheme="minorHAnsi" w:cstheme="minorHAnsi"/>
          <w:sz w:val="20"/>
          <w:szCs w:val="20"/>
          <w:lang w:eastAsia="cs-CZ"/>
        </w:rPr>
        <w:t xml:space="preserve"> k 31. </w:t>
      </w:r>
      <w:r w:rsidR="00D92F73">
        <w:rPr>
          <w:rFonts w:asciiTheme="minorHAnsi" w:hAnsiTheme="minorHAnsi" w:cstheme="minorHAnsi"/>
          <w:sz w:val="20"/>
          <w:szCs w:val="20"/>
          <w:lang w:eastAsia="cs-CZ"/>
        </w:rPr>
        <w:t xml:space="preserve">12. </w:t>
      </w:r>
      <w:r w:rsidRPr="00391416">
        <w:rPr>
          <w:rFonts w:asciiTheme="minorHAnsi" w:hAnsiTheme="minorHAnsi" w:cstheme="minorHAnsi"/>
          <w:sz w:val="20"/>
          <w:szCs w:val="20"/>
          <w:lang w:eastAsia="cs-CZ"/>
        </w:rPr>
        <w:t>201</w:t>
      </w:r>
      <w:r w:rsidR="00F22972" w:rsidRPr="00391416">
        <w:rPr>
          <w:rFonts w:asciiTheme="minorHAnsi" w:hAnsiTheme="minorHAnsi" w:cstheme="minorHAnsi"/>
          <w:sz w:val="20"/>
          <w:szCs w:val="20"/>
          <w:lang w:eastAsia="cs-CZ"/>
        </w:rPr>
        <w:t>4</w:t>
      </w:r>
      <w:r w:rsidR="004D365F">
        <w:rPr>
          <w:rFonts w:asciiTheme="minorHAnsi" w:hAnsiTheme="minorHAnsi" w:cstheme="minorHAnsi"/>
          <w:sz w:val="20"/>
          <w:szCs w:val="20"/>
          <w:lang w:eastAsia="cs-CZ"/>
        </w:rPr>
        <w:t>.</w:t>
      </w:r>
    </w:p>
    <w:p w:rsidR="00B562E6" w:rsidRDefault="00B562E6" w:rsidP="00213CFB">
      <w:pPr>
        <w:rPr>
          <w:rFonts w:asciiTheme="minorHAnsi" w:hAnsiTheme="minorHAnsi" w:cstheme="minorHAnsi"/>
          <w:highlight w:val="yellow"/>
          <w:lang w:eastAsia="cs-CZ"/>
        </w:rPr>
      </w:pPr>
    </w:p>
    <w:p w:rsidR="00264159" w:rsidRPr="00391416" w:rsidRDefault="00264159" w:rsidP="00061078">
      <w:pPr>
        <w:tabs>
          <w:tab w:val="right" w:pos="9072"/>
        </w:tabs>
        <w:spacing w:after="40"/>
        <w:jc w:val="both"/>
        <w:rPr>
          <w:rFonts w:asciiTheme="minorHAnsi" w:hAnsiTheme="minorHAnsi" w:cstheme="minorHAnsi"/>
          <w:b/>
        </w:rPr>
      </w:pPr>
      <w:r w:rsidRPr="00391416">
        <w:rPr>
          <w:rFonts w:asciiTheme="minorHAnsi" w:hAnsiTheme="minorHAnsi" w:cstheme="minorHAnsi"/>
          <w:b/>
        </w:rPr>
        <w:t xml:space="preserve">Tabulka č. </w:t>
      </w:r>
      <w:r w:rsidR="00893FCD" w:rsidRPr="00391416">
        <w:rPr>
          <w:rFonts w:asciiTheme="minorHAnsi" w:hAnsiTheme="minorHAnsi" w:cstheme="minorHAnsi"/>
          <w:b/>
        </w:rPr>
        <w:t>2</w:t>
      </w:r>
      <w:r w:rsidRPr="00391416">
        <w:rPr>
          <w:rFonts w:asciiTheme="minorHAnsi" w:hAnsiTheme="minorHAnsi" w:cstheme="minorHAnsi"/>
          <w:b/>
        </w:rPr>
        <w:t xml:space="preserve"> – Údaje za běžné </w:t>
      </w:r>
      <w:r w:rsidR="004029FE" w:rsidRPr="00391416">
        <w:rPr>
          <w:rFonts w:asciiTheme="minorHAnsi" w:hAnsiTheme="minorHAnsi" w:cstheme="minorHAnsi"/>
          <w:b/>
        </w:rPr>
        <w:t xml:space="preserve">účetní </w:t>
      </w:r>
      <w:r w:rsidRPr="00391416">
        <w:rPr>
          <w:rFonts w:asciiTheme="minorHAnsi" w:hAnsiTheme="minorHAnsi" w:cstheme="minorHAnsi"/>
          <w:b/>
        </w:rPr>
        <w:t xml:space="preserve">období z </w:t>
      </w:r>
      <w:r w:rsidR="00470704" w:rsidRPr="00391416">
        <w:rPr>
          <w:rFonts w:asciiTheme="minorHAnsi" w:hAnsiTheme="minorHAnsi" w:cstheme="minorHAnsi"/>
          <w:b/>
        </w:rPr>
        <w:t>v</w:t>
      </w:r>
      <w:r w:rsidRPr="00391416">
        <w:rPr>
          <w:rFonts w:asciiTheme="minorHAnsi" w:hAnsiTheme="minorHAnsi" w:cstheme="minorHAnsi"/>
          <w:b/>
        </w:rPr>
        <w:t>ýkazu zisku a z</w:t>
      </w:r>
      <w:r w:rsidR="00C953C5" w:rsidRPr="00391416">
        <w:rPr>
          <w:rFonts w:asciiTheme="minorHAnsi" w:hAnsiTheme="minorHAnsi" w:cstheme="minorHAnsi"/>
          <w:b/>
        </w:rPr>
        <w:t xml:space="preserve">tráty k 31. </w:t>
      </w:r>
      <w:r w:rsidR="00D92F73">
        <w:rPr>
          <w:rFonts w:asciiTheme="minorHAnsi" w:hAnsiTheme="minorHAnsi" w:cstheme="minorHAnsi"/>
          <w:b/>
        </w:rPr>
        <w:t xml:space="preserve">12. </w:t>
      </w:r>
      <w:r w:rsidR="00C953C5" w:rsidRPr="00391416">
        <w:rPr>
          <w:rFonts w:asciiTheme="minorHAnsi" w:hAnsiTheme="minorHAnsi" w:cstheme="minorHAnsi"/>
          <w:b/>
        </w:rPr>
        <w:t>201</w:t>
      </w:r>
      <w:r w:rsidR="00F22972" w:rsidRPr="00391416">
        <w:rPr>
          <w:rFonts w:asciiTheme="minorHAnsi" w:hAnsiTheme="minorHAnsi" w:cstheme="minorHAnsi"/>
          <w:b/>
        </w:rPr>
        <w:t>4</w:t>
      </w:r>
      <w:r w:rsidR="00470704" w:rsidRPr="00391416">
        <w:rPr>
          <w:rFonts w:asciiTheme="minorHAnsi" w:hAnsiTheme="minorHAnsi" w:cstheme="minorHAnsi"/>
          <w:b/>
        </w:rPr>
        <w:t xml:space="preserve"> </w:t>
      </w:r>
      <w:r w:rsidR="00C953C5" w:rsidRPr="00391416">
        <w:rPr>
          <w:rFonts w:asciiTheme="minorHAnsi" w:hAnsiTheme="minorHAnsi" w:cstheme="minorHAnsi"/>
          <w:b/>
        </w:rPr>
        <w:tab/>
      </w:r>
      <w:r w:rsidRPr="00391416">
        <w:rPr>
          <w:rFonts w:asciiTheme="minorHAnsi" w:hAnsiTheme="minorHAnsi" w:cstheme="minorHAnsi"/>
          <w:b/>
          <w:bCs/>
        </w:rPr>
        <w:t>(v Kč)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gridCol w:w="2438"/>
        <w:gridCol w:w="4219"/>
      </w:tblGrid>
      <w:tr w:rsidR="00264159" w:rsidRPr="00391416" w:rsidTr="00213CFB">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Náklady</w:t>
            </w:r>
          </w:p>
        </w:tc>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Výnosy</w:t>
            </w:r>
          </w:p>
        </w:tc>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20"/>
                <w:szCs w:val="20"/>
                <w:highlight w:val="green"/>
              </w:rPr>
            </w:pPr>
            <w:r w:rsidRPr="00391416">
              <w:rPr>
                <w:rFonts w:asciiTheme="minorHAnsi" w:hAnsiTheme="minorHAnsi" w:cstheme="minorHAnsi"/>
                <w:b/>
                <w:bCs/>
                <w:sz w:val="20"/>
                <w:szCs w:val="20"/>
              </w:rPr>
              <w:t xml:space="preserve">Výsledek hospodaření </w:t>
            </w:r>
            <w:r w:rsidR="00470704" w:rsidRPr="00391416">
              <w:rPr>
                <w:rFonts w:asciiTheme="minorHAnsi" w:hAnsiTheme="minorHAnsi" w:cstheme="minorHAnsi"/>
                <w:b/>
                <w:bCs/>
                <w:sz w:val="20"/>
                <w:szCs w:val="20"/>
              </w:rPr>
              <w:t>běžného účetního období</w:t>
            </w:r>
          </w:p>
        </w:tc>
      </w:tr>
      <w:tr w:rsidR="00264159" w:rsidRPr="00391416" w:rsidTr="00213CFB">
        <w:trPr>
          <w:trHeight w:val="227"/>
          <w:jc w:val="center"/>
        </w:trPr>
        <w:tc>
          <w:tcPr>
            <w:tcW w:w="2438" w:type="dxa"/>
            <w:tcBorders>
              <w:top w:val="single" w:sz="4" w:space="0" w:color="auto"/>
              <w:left w:val="single" w:sz="4" w:space="0" w:color="auto"/>
              <w:bottom w:val="single" w:sz="4" w:space="0" w:color="auto"/>
              <w:right w:val="single" w:sz="4" w:space="0" w:color="auto"/>
            </w:tcBorders>
            <w:tcMar>
              <w:right w:w="57" w:type="dxa"/>
            </w:tcMar>
            <w:vAlign w:val="center"/>
          </w:tcPr>
          <w:p w:rsidR="00264159" w:rsidRPr="00391416" w:rsidRDefault="00B243C2" w:rsidP="0072606B">
            <w:pPr>
              <w:spacing w:before="20" w:after="20"/>
              <w:jc w:val="right"/>
              <w:rPr>
                <w:rFonts w:asciiTheme="minorHAnsi" w:hAnsiTheme="minorHAnsi" w:cstheme="minorHAnsi"/>
                <w:sz w:val="20"/>
                <w:szCs w:val="20"/>
                <w:highlight w:val="green"/>
              </w:rPr>
            </w:pPr>
            <w:r>
              <w:rPr>
                <w:rFonts w:asciiTheme="minorHAnsi" w:hAnsiTheme="minorHAnsi" w:cstheme="minorHAnsi"/>
                <w:sz w:val="20"/>
                <w:szCs w:val="20"/>
              </w:rPr>
              <w:t>10</w:t>
            </w:r>
            <w:r w:rsidR="009C77C9">
              <w:rPr>
                <w:rFonts w:asciiTheme="minorHAnsi" w:hAnsiTheme="minorHAnsi" w:cstheme="minorHAnsi"/>
                <w:sz w:val="20"/>
                <w:szCs w:val="20"/>
              </w:rPr>
              <w:t xml:space="preserve"> </w:t>
            </w:r>
            <w:r>
              <w:rPr>
                <w:rFonts w:asciiTheme="minorHAnsi" w:hAnsiTheme="minorHAnsi" w:cstheme="minorHAnsi"/>
                <w:sz w:val="20"/>
                <w:szCs w:val="20"/>
              </w:rPr>
              <w:t>424</w:t>
            </w:r>
            <w:r w:rsidR="009C77C9">
              <w:rPr>
                <w:rFonts w:asciiTheme="minorHAnsi" w:hAnsiTheme="minorHAnsi" w:cstheme="minorHAnsi"/>
                <w:sz w:val="20"/>
                <w:szCs w:val="20"/>
              </w:rPr>
              <w:t xml:space="preserve"> </w:t>
            </w:r>
            <w:r>
              <w:rPr>
                <w:rFonts w:asciiTheme="minorHAnsi" w:hAnsiTheme="minorHAnsi" w:cstheme="minorHAnsi"/>
                <w:sz w:val="20"/>
                <w:szCs w:val="20"/>
              </w:rPr>
              <w:t>496</w:t>
            </w:r>
            <w:r w:rsidR="009C77C9">
              <w:rPr>
                <w:rFonts w:asciiTheme="minorHAnsi" w:hAnsiTheme="minorHAnsi" w:cstheme="minorHAnsi"/>
                <w:sz w:val="20"/>
                <w:szCs w:val="20"/>
              </w:rPr>
              <w:t xml:space="preserve"> </w:t>
            </w:r>
            <w:r>
              <w:rPr>
                <w:rFonts w:asciiTheme="minorHAnsi" w:hAnsiTheme="minorHAnsi" w:cstheme="minorHAnsi"/>
                <w:sz w:val="20"/>
                <w:szCs w:val="20"/>
              </w:rPr>
              <w:t>271,64</w:t>
            </w:r>
          </w:p>
        </w:tc>
        <w:tc>
          <w:tcPr>
            <w:tcW w:w="2438" w:type="dxa"/>
            <w:tcBorders>
              <w:top w:val="single" w:sz="4" w:space="0" w:color="auto"/>
              <w:left w:val="single" w:sz="4" w:space="0" w:color="auto"/>
              <w:bottom w:val="single" w:sz="4" w:space="0" w:color="auto"/>
              <w:right w:val="single" w:sz="4" w:space="0" w:color="auto"/>
            </w:tcBorders>
            <w:tcMar>
              <w:right w:w="57" w:type="dxa"/>
            </w:tcMar>
            <w:vAlign w:val="center"/>
          </w:tcPr>
          <w:p w:rsidR="00264159" w:rsidRPr="00391416" w:rsidRDefault="002C113C" w:rsidP="0072606B">
            <w:pPr>
              <w:spacing w:before="20" w:after="20"/>
              <w:jc w:val="right"/>
              <w:rPr>
                <w:rFonts w:asciiTheme="minorHAnsi" w:hAnsiTheme="minorHAnsi" w:cstheme="minorHAnsi"/>
                <w:sz w:val="20"/>
                <w:szCs w:val="20"/>
              </w:rPr>
            </w:pPr>
            <w:r>
              <w:rPr>
                <w:rFonts w:asciiTheme="minorHAnsi" w:hAnsiTheme="minorHAnsi" w:cstheme="minorHAnsi"/>
                <w:sz w:val="20"/>
                <w:szCs w:val="20"/>
              </w:rPr>
              <w:t>111</w:t>
            </w:r>
            <w:r w:rsidR="009C77C9">
              <w:rPr>
                <w:rFonts w:asciiTheme="minorHAnsi" w:hAnsiTheme="minorHAnsi" w:cstheme="minorHAnsi"/>
                <w:sz w:val="20"/>
                <w:szCs w:val="20"/>
              </w:rPr>
              <w:t xml:space="preserve"> </w:t>
            </w:r>
            <w:r>
              <w:rPr>
                <w:rFonts w:asciiTheme="minorHAnsi" w:hAnsiTheme="minorHAnsi" w:cstheme="minorHAnsi"/>
                <w:sz w:val="20"/>
                <w:szCs w:val="20"/>
              </w:rPr>
              <w:t>822</w:t>
            </w:r>
            <w:r w:rsidR="009C77C9">
              <w:rPr>
                <w:rFonts w:asciiTheme="minorHAnsi" w:hAnsiTheme="minorHAnsi" w:cstheme="minorHAnsi"/>
                <w:sz w:val="20"/>
                <w:szCs w:val="20"/>
              </w:rPr>
              <w:t xml:space="preserve"> </w:t>
            </w:r>
            <w:r>
              <w:rPr>
                <w:rFonts w:asciiTheme="minorHAnsi" w:hAnsiTheme="minorHAnsi" w:cstheme="minorHAnsi"/>
                <w:sz w:val="20"/>
                <w:szCs w:val="20"/>
              </w:rPr>
              <w:t>703,74</w:t>
            </w:r>
          </w:p>
        </w:tc>
        <w:tc>
          <w:tcPr>
            <w:tcW w:w="4219" w:type="dxa"/>
            <w:tcBorders>
              <w:top w:val="single" w:sz="4" w:space="0" w:color="auto"/>
              <w:left w:val="single" w:sz="4" w:space="0" w:color="auto"/>
              <w:bottom w:val="single" w:sz="4" w:space="0" w:color="auto"/>
              <w:right w:val="single" w:sz="4" w:space="0" w:color="auto"/>
            </w:tcBorders>
            <w:tcMar>
              <w:right w:w="57" w:type="dxa"/>
            </w:tcMar>
            <w:vAlign w:val="center"/>
          </w:tcPr>
          <w:p w:rsidR="00264159" w:rsidRPr="00391416" w:rsidRDefault="009801A4" w:rsidP="0072606B">
            <w:pPr>
              <w:spacing w:before="20" w:after="20"/>
              <w:jc w:val="right"/>
              <w:rPr>
                <w:rFonts w:asciiTheme="minorHAnsi" w:hAnsiTheme="minorHAnsi" w:cstheme="minorHAnsi"/>
                <w:sz w:val="20"/>
                <w:szCs w:val="20"/>
              </w:rPr>
            </w:pPr>
            <w:r>
              <w:rPr>
                <w:rFonts w:asciiTheme="minorHAnsi" w:hAnsiTheme="minorHAnsi" w:cstheme="minorHAnsi"/>
                <w:sz w:val="20"/>
                <w:szCs w:val="20"/>
              </w:rPr>
              <w:t>‒</w:t>
            </w:r>
            <w:r w:rsidR="002C113C">
              <w:rPr>
                <w:rFonts w:asciiTheme="minorHAnsi" w:hAnsiTheme="minorHAnsi" w:cstheme="minorHAnsi"/>
                <w:sz w:val="20"/>
                <w:szCs w:val="20"/>
              </w:rPr>
              <w:t>10</w:t>
            </w:r>
            <w:r w:rsidR="009C77C9">
              <w:rPr>
                <w:rFonts w:asciiTheme="minorHAnsi" w:hAnsiTheme="minorHAnsi" w:cstheme="minorHAnsi"/>
                <w:sz w:val="20"/>
                <w:szCs w:val="20"/>
              </w:rPr>
              <w:t xml:space="preserve"> </w:t>
            </w:r>
            <w:r w:rsidR="002C113C">
              <w:rPr>
                <w:rFonts w:asciiTheme="minorHAnsi" w:hAnsiTheme="minorHAnsi" w:cstheme="minorHAnsi"/>
                <w:sz w:val="20"/>
                <w:szCs w:val="20"/>
              </w:rPr>
              <w:t>312</w:t>
            </w:r>
            <w:r w:rsidR="009C77C9">
              <w:rPr>
                <w:rFonts w:asciiTheme="minorHAnsi" w:hAnsiTheme="minorHAnsi" w:cstheme="minorHAnsi"/>
                <w:sz w:val="20"/>
                <w:szCs w:val="20"/>
              </w:rPr>
              <w:t xml:space="preserve"> </w:t>
            </w:r>
            <w:r w:rsidR="002C113C">
              <w:rPr>
                <w:rFonts w:asciiTheme="minorHAnsi" w:hAnsiTheme="minorHAnsi" w:cstheme="minorHAnsi"/>
                <w:sz w:val="20"/>
                <w:szCs w:val="20"/>
              </w:rPr>
              <w:t>673</w:t>
            </w:r>
            <w:r w:rsidR="009C77C9">
              <w:rPr>
                <w:rFonts w:asciiTheme="minorHAnsi" w:hAnsiTheme="minorHAnsi" w:cstheme="minorHAnsi"/>
                <w:sz w:val="20"/>
                <w:szCs w:val="20"/>
              </w:rPr>
              <w:t xml:space="preserve"> </w:t>
            </w:r>
            <w:r w:rsidR="002C113C">
              <w:rPr>
                <w:rFonts w:asciiTheme="minorHAnsi" w:hAnsiTheme="minorHAnsi" w:cstheme="minorHAnsi"/>
                <w:sz w:val="20"/>
                <w:szCs w:val="20"/>
              </w:rPr>
              <w:t>567,90</w:t>
            </w:r>
          </w:p>
        </w:tc>
      </w:tr>
    </w:tbl>
    <w:p w:rsidR="00753F12" w:rsidRPr="00391416" w:rsidRDefault="00264159" w:rsidP="00C953C5">
      <w:pPr>
        <w:spacing w:before="40"/>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Pr="00391416">
        <w:rPr>
          <w:rFonts w:asciiTheme="minorHAnsi" w:hAnsiTheme="minorHAnsi" w:cstheme="minorHAnsi"/>
          <w:sz w:val="20"/>
          <w:szCs w:val="20"/>
          <w:lang w:eastAsia="cs-CZ"/>
        </w:rPr>
        <w:t xml:space="preserve"> </w:t>
      </w:r>
      <w:r w:rsidR="009801A4">
        <w:rPr>
          <w:rFonts w:asciiTheme="minorHAnsi" w:hAnsiTheme="minorHAnsi" w:cstheme="minorHAnsi"/>
          <w:sz w:val="20"/>
          <w:szCs w:val="20"/>
          <w:lang w:eastAsia="cs-CZ"/>
        </w:rPr>
        <w:t>ú</w:t>
      </w:r>
      <w:r w:rsidRPr="00391416">
        <w:rPr>
          <w:rFonts w:asciiTheme="minorHAnsi" w:hAnsiTheme="minorHAnsi" w:cstheme="minorHAnsi"/>
          <w:sz w:val="20"/>
          <w:szCs w:val="20"/>
          <w:lang w:eastAsia="cs-CZ"/>
        </w:rPr>
        <w:t xml:space="preserve">četní </w:t>
      </w:r>
      <w:r w:rsidR="00470704" w:rsidRPr="00391416">
        <w:rPr>
          <w:rFonts w:asciiTheme="minorHAnsi" w:hAnsiTheme="minorHAnsi" w:cstheme="minorHAnsi"/>
          <w:sz w:val="20"/>
          <w:szCs w:val="20"/>
          <w:lang w:eastAsia="cs-CZ"/>
        </w:rPr>
        <w:t xml:space="preserve">závěrka </w:t>
      </w:r>
      <w:r w:rsidR="002C113C">
        <w:rPr>
          <w:rFonts w:asciiTheme="minorHAnsi" w:hAnsiTheme="minorHAnsi" w:cstheme="minorHAnsi"/>
          <w:sz w:val="20"/>
          <w:szCs w:val="20"/>
          <w:lang w:eastAsia="cs-CZ"/>
        </w:rPr>
        <w:t>MK</w:t>
      </w:r>
      <w:r w:rsidR="00470704" w:rsidRPr="00391416">
        <w:rPr>
          <w:rFonts w:asciiTheme="minorHAnsi" w:hAnsiTheme="minorHAnsi" w:cstheme="minorHAnsi"/>
          <w:sz w:val="20"/>
          <w:szCs w:val="20"/>
          <w:lang w:eastAsia="cs-CZ"/>
        </w:rPr>
        <w:t xml:space="preserve"> k 31. </w:t>
      </w:r>
      <w:r w:rsidR="00D92F73">
        <w:rPr>
          <w:rFonts w:asciiTheme="minorHAnsi" w:hAnsiTheme="minorHAnsi" w:cstheme="minorHAnsi"/>
          <w:sz w:val="20"/>
          <w:szCs w:val="20"/>
          <w:lang w:eastAsia="cs-CZ"/>
        </w:rPr>
        <w:t xml:space="preserve">12. </w:t>
      </w:r>
      <w:r w:rsidR="00470704" w:rsidRPr="00391416">
        <w:rPr>
          <w:rFonts w:asciiTheme="minorHAnsi" w:hAnsiTheme="minorHAnsi" w:cstheme="minorHAnsi"/>
          <w:sz w:val="20"/>
          <w:szCs w:val="20"/>
          <w:lang w:eastAsia="cs-CZ"/>
        </w:rPr>
        <w:t>201</w:t>
      </w:r>
      <w:r w:rsidR="00F22972" w:rsidRPr="00391416">
        <w:rPr>
          <w:rFonts w:asciiTheme="minorHAnsi" w:hAnsiTheme="minorHAnsi" w:cstheme="minorHAnsi"/>
          <w:sz w:val="20"/>
          <w:szCs w:val="20"/>
          <w:lang w:eastAsia="cs-CZ"/>
        </w:rPr>
        <w:t>4</w:t>
      </w:r>
      <w:r w:rsidR="009B3814">
        <w:rPr>
          <w:rFonts w:asciiTheme="minorHAnsi" w:hAnsiTheme="minorHAnsi" w:cstheme="minorHAnsi"/>
          <w:sz w:val="20"/>
          <w:szCs w:val="20"/>
          <w:lang w:eastAsia="cs-CZ"/>
        </w:rPr>
        <w:t>.</w:t>
      </w:r>
    </w:p>
    <w:p w:rsidR="00C01E14" w:rsidRDefault="00C01E14" w:rsidP="00C01E14">
      <w:pPr>
        <w:rPr>
          <w:rFonts w:asciiTheme="minorHAnsi" w:hAnsiTheme="minorHAnsi" w:cstheme="minorHAnsi"/>
          <w:highlight w:val="yellow"/>
          <w:lang w:eastAsia="cs-CZ"/>
        </w:rPr>
      </w:pPr>
    </w:p>
    <w:p w:rsidR="00264159" w:rsidRPr="00391416" w:rsidRDefault="00264159" w:rsidP="001628B2">
      <w:pPr>
        <w:tabs>
          <w:tab w:val="right" w:pos="9072"/>
        </w:tabs>
        <w:spacing w:after="40"/>
        <w:jc w:val="both"/>
        <w:rPr>
          <w:rFonts w:asciiTheme="minorHAnsi" w:hAnsiTheme="minorHAnsi" w:cstheme="minorHAnsi"/>
          <w:b/>
        </w:rPr>
      </w:pPr>
      <w:r w:rsidRPr="00391416">
        <w:rPr>
          <w:rFonts w:asciiTheme="minorHAnsi" w:hAnsiTheme="minorHAnsi" w:cstheme="minorHAnsi"/>
          <w:b/>
        </w:rPr>
        <w:lastRenderedPageBreak/>
        <w:t xml:space="preserve">Tabulka č. </w:t>
      </w:r>
      <w:r w:rsidR="00893FCD" w:rsidRPr="00391416">
        <w:rPr>
          <w:rFonts w:asciiTheme="minorHAnsi" w:hAnsiTheme="minorHAnsi" w:cstheme="minorHAnsi"/>
          <w:b/>
        </w:rPr>
        <w:t>3</w:t>
      </w:r>
      <w:r w:rsidR="00A56B82" w:rsidRPr="00391416">
        <w:rPr>
          <w:rFonts w:asciiTheme="minorHAnsi" w:hAnsiTheme="minorHAnsi" w:cstheme="minorHAnsi"/>
          <w:b/>
        </w:rPr>
        <w:t xml:space="preserve"> </w:t>
      </w:r>
      <w:r w:rsidRPr="00391416">
        <w:rPr>
          <w:rFonts w:asciiTheme="minorHAnsi" w:hAnsiTheme="minorHAnsi" w:cstheme="minorHAnsi"/>
          <w:b/>
        </w:rPr>
        <w:t xml:space="preserve">– Údaje za běžné </w:t>
      </w:r>
      <w:r w:rsidR="004029FE" w:rsidRPr="00391416">
        <w:rPr>
          <w:rFonts w:asciiTheme="minorHAnsi" w:hAnsiTheme="minorHAnsi" w:cstheme="minorHAnsi"/>
          <w:b/>
        </w:rPr>
        <w:t xml:space="preserve">účetní </w:t>
      </w:r>
      <w:r w:rsidRPr="00391416">
        <w:rPr>
          <w:rFonts w:asciiTheme="minorHAnsi" w:hAnsiTheme="minorHAnsi" w:cstheme="minorHAnsi"/>
          <w:b/>
        </w:rPr>
        <w:t xml:space="preserve">období z </w:t>
      </w:r>
      <w:r w:rsidR="00646D32" w:rsidRPr="00391416">
        <w:rPr>
          <w:rFonts w:asciiTheme="minorHAnsi" w:hAnsiTheme="minorHAnsi" w:cstheme="minorHAnsi"/>
          <w:b/>
        </w:rPr>
        <w:t>p</w:t>
      </w:r>
      <w:r w:rsidRPr="00391416">
        <w:rPr>
          <w:rFonts w:asciiTheme="minorHAnsi" w:hAnsiTheme="minorHAnsi" w:cstheme="minorHAnsi"/>
          <w:b/>
        </w:rPr>
        <w:t xml:space="preserve">řílohy ÚZ k 31. </w:t>
      </w:r>
      <w:r w:rsidR="00D92F73">
        <w:rPr>
          <w:rFonts w:asciiTheme="minorHAnsi" w:hAnsiTheme="minorHAnsi" w:cstheme="minorHAnsi"/>
          <w:b/>
        </w:rPr>
        <w:t xml:space="preserve">12. </w:t>
      </w:r>
      <w:r w:rsidRPr="00391416">
        <w:rPr>
          <w:rFonts w:asciiTheme="minorHAnsi" w:hAnsiTheme="minorHAnsi" w:cstheme="minorHAnsi"/>
          <w:b/>
        </w:rPr>
        <w:t>201</w:t>
      </w:r>
      <w:r w:rsidR="00F22972" w:rsidRPr="00391416">
        <w:rPr>
          <w:rFonts w:asciiTheme="minorHAnsi" w:hAnsiTheme="minorHAnsi" w:cstheme="minorHAnsi"/>
          <w:b/>
        </w:rPr>
        <w:t>4</w:t>
      </w:r>
      <w:r w:rsidR="00F45174" w:rsidRPr="00391416">
        <w:rPr>
          <w:rFonts w:asciiTheme="minorHAnsi" w:hAnsiTheme="minorHAnsi" w:cstheme="minorHAnsi"/>
          <w:b/>
        </w:rPr>
        <w:t>, část</w:t>
      </w:r>
      <w:r w:rsidRPr="00391416">
        <w:rPr>
          <w:rFonts w:asciiTheme="minorHAnsi" w:hAnsiTheme="minorHAnsi" w:cstheme="minorHAnsi"/>
          <w:b/>
        </w:rPr>
        <w:t xml:space="preserve"> A.4</w:t>
      </w:r>
      <w:r w:rsidR="00CB3701" w:rsidRPr="00391416">
        <w:rPr>
          <w:rFonts w:asciiTheme="minorHAnsi" w:hAnsiTheme="minorHAnsi" w:cstheme="minorHAnsi"/>
          <w:b/>
        </w:rPr>
        <w:tab/>
      </w:r>
      <w:r w:rsidRPr="00391416">
        <w:rPr>
          <w:rFonts w:asciiTheme="minorHAnsi" w:hAnsiTheme="minorHAnsi" w:cstheme="minorHAnsi"/>
          <w:b/>
          <w:bCs/>
        </w:rPr>
        <w:t>(v Kč)</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835"/>
      </w:tblGrid>
      <w:tr w:rsidR="00264159" w:rsidRPr="00391416" w:rsidTr="003109A8">
        <w:trPr>
          <w:trHeight w:val="227"/>
          <w:tblHeader/>
        </w:trPr>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6C771A">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 xml:space="preserve">Podrozvahové </w:t>
            </w:r>
            <w:r w:rsidR="000B0307" w:rsidRPr="00391416">
              <w:rPr>
                <w:rFonts w:asciiTheme="minorHAnsi" w:hAnsiTheme="minorHAnsi" w:cstheme="minorHAnsi"/>
                <w:b/>
                <w:bCs/>
                <w:sz w:val="20"/>
                <w:szCs w:val="20"/>
              </w:rPr>
              <w:t>položky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391416" w:rsidRDefault="00264159" w:rsidP="00213CFB">
            <w:pPr>
              <w:spacing w:before="20" w:after="20"/>
              <w:jc w:val="center"/>
              <w:rPr>
                <w:rFonts w:asciiTheme="minorHAnsi" w:hAnsiTheme="minorHAnsi" w:cstheme="minorHAnsi"/>
                <w:b/>
                <w:bCs/>
                <w:sz w:val="20"/>
                <w:szCs w:val="20"/>
              </w:rPr>
            </w:pPr>
            <w:r w:rsidRPr="00391416">
              <w:rPr>
                <w:rFonts w:asciiTheme="minorHAnsi" w:hAnsiTheme="minorHAnsi" w:cstheme="minorHAnsi"/>
                <w:b/>
                <w:bCs/>
                <w:sz w:val="20"/>
                <w:szCs w:val="20"/>
              </w:rPr>
              <w:t>Účetní hodnota</w:t>
            </w:r>
          </w:p>
        </w:tc>
      </w:tr>
      <w:tr w:rsidR="00264159" w:rsidRPr="00391416"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rsidR="00264159" w:rsidRPr="00391416" w:rsidRDefault="00264159"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P.I. Majetek</w:t>
            </w:r>
            <w:r w:rsidR="004130EA">
              <w:rPr>
                <w:rFonts w:asciiTheme="minorHAnsi" w:hAnsiTheme="minorHAnsi" w:cstheme="minorHAnsi"/>
                <w:sz w:val="20"/>
                <w:szCs w:val="20"/>
              </w:rPr>
              <w:t xml:space="preserve"> </w:t>
            </w:r>
            <w:r w:rsidRPr="00391416">
              <w:rPr>
                <w:rFonts w:asciiTheme="minorHAnsi" w:hAnsiTheme="minorHAnsi" w:cstheme="minorHAnsi"/>
                <w:sz w:val="20"/>
                <w:szCs w:val="20"/>
              </w:rPr>
              <w:t>účetní jednotky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391416" w:rsidRDefault="00FC08F5" w:rsidP="0072606B">
            <w:pPr>
              <w:spacing w:before="20" w:after="20"/>
              <w:jc w:val="right"/>
              <w:rPr>
                <w:rFonts w:asciiTheme="minorHAnsi" w:hAnsiTheme="minorHAnsi" w:cstheme="minorHAnsi"/>
                <w:sz w:val="20"/>
                <w:szCs w:val="20"/>
              </w:rPr>
            </w:pPr>
            <w:r>
              <w:rPr>
                <w:rFonts w:asciiTheme="minorHAnsi" w:hAnsiTheme="minorHAnsi" w:cstheme="minorHAnsi"/>
                <w:sz w:val="20"/>
                <w:szCs w:val="20"/>
              </w:rPr>
              <w:t>905 100,45</w:t>
            </w:r>
          </w:p>
        </w:tc>
      </w:tr>
      <w:tr w:rsidR="00264159" w:rsidRPr="00391416"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rsidR="00264159" w:rsidRPr="00391416" w:rsidRDefault="0015654B"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P.II. Vyřazené</w:t>
            </w:r>
            <w:r w:rsidR="00264159" w:rsidRPr="00391416">
              <w:rPr>
                <w:rFonts w:asciiTheme="minorHAnsi" w:hAnsiTheme="minorHAnsi" w:cstheme="minorHAnsi"/>
                <w:sz w:val="20"/>
                <w:szCs w:val="20"/>
              </w:rPr>
              <w:t xml:space="preserve"> pohledávky a závazky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391416" w:rsidRDefault="00FC08F5" w:rsidP="0072606B">
            <w:pPr>
              <w:spacing w:before="20" w:after="20"/>
              <w:jc w:val="right"/>
              <w:rPr>
                <w:rFonts w:asciiTheme="minorHAnsi" w:hAnsiTheme="minorHAnsi" w:cstheme="minorHAnsi"/>
                <w:sz w:val="20"/>
                <w:szCs w:val="20"/>
              </w:rPr>
            </w:pPr>
            <w:r>
              <w:rPr>
                <w:rFonts w:asciiTheme="minorHAnsi" w:hAnsiTheme="minorHAnsi" w:cstheme="minorHAnsi"/>
                <w:sz w:val="20"/>
                <w:szCs w:val="20"/>
              </w:rPr>
              <w:t>394 336,64</w:t>
            </w:r>
          </w:p>
        </w:tc>
      </w:tr>
      <w:tr w:rsidR="00EE7E0D" w:rsidRPr="00391416"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rsidR="00EE7E0D" w:rsidRPr="00391416" w:rsidRDefault="00EE7E0D" w:rsidP="00213CFB">
            <w:pPr>
              <w:spacing w:before="20" w:after="20"/>
              <w:rPr>
                <w:rFonts w:asciiTheme="minorHAnsi" w:hAnsiTheme="minorHAnsi" w:cstheme="minorHAnsi"/>
                <w:sz w:val="20"/>
                <w:szCs w:val="20"/>
              </w:rPr>
            </w:pPr>
            <w:r>
              <w:rPr>
                <w:rFonts w:asciiTheme="minorHAnsi" w:hAnsiTheme="minorHAnsi" w:cstheme="minorHAnsi"/>
                <w:sz w:val="20"/>
                <w:szCs w:val="20"/>
              </w:rPr>
              <w:t>P.IV. Další podmíněné pohledávky</w:t>
            </w:r>
          </w:p>
        </w:tc>
        <w:tc>
          <w:tcPr>
            <w:tcW w:w="2835" w:type="dxa"/>
            <w:tcBorders>
              <w:top w:val="single" w:sz="4" w:space="0" w:color="auto"/>
              <w:left w:val="single" w:sz="4" w:space="0" w:color="auto"/>
              <w:bottom w:val="single" w:sz="4" w:space="0" w:color="auto"/>
              <w:right w:val="single" w:sz="4" w:space="0" w:color="auto"/>
            </w:tcBorders>
            <w:vAlign w:val="center"/>
          </w:tcPr>
          <w:p w:rsidR="00EE7E0D" w:rsidRPr="00391416" w:rsidRDefault="00FC08F5" w:rsidP="0072606B">
            <w:pPr>
              <w:spacing w:before="20" w:after="20"/>
              <w:jc w:val="right"/>
              <w:rPr>
                <w:rFonts w:asciiTheme="minorHAnsi" w:hAnsiTheme="minorHAnsi" w:cstheme="minorHAnsi"/>
                <w:sz w:val="20"/>
                <w:szCs w:val="20"/>
              </w:rPr>
            </w:pPr>
            <w:r w:rsidRPr="001E7BBC">
              <w:rPr>
                <w:rFonts w:asciiTheme="minorHAnsi" w:hAnsiTheme="minorHAnsi" w:cs="Calibri"/>
                <w:sz w:val="20"/>
                <w:szCs w:val="20"/>
              </w:rPr>
              <w:t>257 276 371,12</w:t>
            </w:r>
          </w:p>
        </w:tc>
      </w:tr>
      <w:tr w:rsidR="00EE7E0D" w:rsidRPr="00391416"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rsidR="00EE7E0D" w:rsidRDefault="00EE7E0D" w:rsidP="00EE7E0D">
            <w:pPr>
              <w:spacing w:before="20" w:after="20"/>
              <w:rPr>
                <w:rFonts w:asciiTheme="minorHAnsi" w:hAnsiTheme="minorHAnsi" w:cstheme="minorHAnsi"/>
                <w:sz w:val="20"/>
                <w:szCs w:val="20"/>
              </w:rPr>
            </w:pPr>
            <w:r>
              <w:rPr>
                <w:rFonts w:asciiTheme="minorHAnsi" w:hAnsiTheme="minorHAnsi" w:cstheme="minorHAnsi"/>
                <w:sz w:val="20"/>
                <w:szCs w:val="20"/>
              </w:rPr>
              <w:t>P.V. Podmíněné závazky z</w:t>
            </w:r>
            <w:r w:rsidR="009C77C9">
              <w:rPr>
                <w:rFonts w:asciiTheme="minorHAnsi" w:hAnsiTheme="minorHAnsi" w:cstheme="minorHAnsi"/>
                <w:sz w:val="20"/>
                <w:szCs w:val="20"/>
              </w:rPr>
              <w:t xml:space="preserve"> </w:t>
            </w:r>
            <w:r>
              <w:rPr>
                <w:rFonts w:asciiTheme="minorHAnsi" w:hAnsiTheme="minorHAnsi" w:cstheme="minorHAnsi"/>
                <w:sz w:val="20"/>
                <w:szCs w:val="20"/>
              </w:rPr>
              <w:t>důvodu užívání cizího majetku</w:t>
            </w:r>
          </w:p>
        </w:tc>
        <w:tc>
          <w:tcPr>
            <w:tcW w:w="2835" w:type="dxa"/>
            <w:tcBorders>
              <w:top w:val="single" w:sz="4" w:space="0" w:color="auto"/>
              <w:left w:val="single" w:sz="4" w:space="0" w:color="auto"/>
              <w:bottom w:val="single" w:sz="4" w:space="0" w:color="auto"/>
              <w:right w:val="single" w:sz="4" w:space="0" w:color="auto"/>
            </w:tcBorders>
            <w:vAlign w:val="center"/>
          </w:tcPr>
          <w:p w:rsidR="00EE7E0D" w:rsidRPr="00391416" w:rsidRDefault="00FC08F5" w:rsidP="0072606B">
            <w:pPr>
              <w:spacing w:before="20" w:after="20"/>
              <w:jc w:val="right"/>
              <w:rPr>
                <w:rFonts w:asciiTheme="minorHAnsi" w:hAnsiTheme="minorHAnsi" w:cstheme="minorHAnsi"/>
                <w:sz w:val="20"/>
                <w:szCs w:val="20"/>
              </w:rPr>
            </w:pPr>
            <w:r w:rsidRPr="001E7BBC">
              <w:rPr>
                <w:rFonts w:asciiTheme="minorHAnsi" w:hAnsiTheme="minorHAnsi" w:cs="Calibri"/>
                <w:sz w:val="20"/>
                <w:szCs w:val="20"/>
              </w:rPr>
              <w:t>66 700 012,00</w:t>
            </w:r>
          </w:p>
        </w:tc>
      </w:tr>
      <w:tr w:rsidR="00264159" w:rsidRPr="00391416" w:rsidTr="003109A8">
        <w:trPr>
          <w:trHeight w:val="227"/>
        </w:trPr>
        <w:tc>
          <w:tcPr>
            <w:tcW w:w="6237" w:type="dxa"/>
            <w:tcBorders>
              <w:top w:val="single" w:sz="4" w:space="0" w:color="auto"/>
              <w:left w:val="single" w:sz="4" w:space="0" w:color="auto"/>
              <w:bottom w:val="single" w:sz="4" w:space="0" w:color="auto"/>
              <w:right w:val="single" w:sz="4" w:space="0" w:color="auto"/>
            </w:tcBorders>
            <w:vAlign w:val="center"/>
          </w:tcPr>
          <w:p w:rsidR="00264159" w:rsidRPr="00391416" w:rsidRDefault="000B0307" w:rsidP="00213CFB">
            <w:pPr>
              <w:spacing w:before="20" w:after="20"/>
              <w:rPr>
                <w:rFonts w:asciiTheme="minorHAnsi" w:hAnsiTheme="minorHAnsi" w:cstheme="minorHAnsi"/>
                <w:sz w:val="20"/>
                <w:szCs w:val="20"/>
                <w:highlight w:val="green"/>
              </w:rPr>
            </w:pPr>
            <w:r w:rsidRPr="00391416">
              <w:rPr>
                <w:rFonts w:asciiTheme="minorHAnsi" w:hAnsiTheme="minorHAnsi" w:cstheme="minorHAnsi"/>
                <w:sz w:val="20"/>
                <w:szCs w:val="20"/>
              </w:rPr>
              <w:t>P.V</w:t>
            </w:r>
            <w:r w:rsidR="00264159" w:rsidRPr="00391416">
              <w:rPr>
                <w:rFonts w:asciiTheme="minorHAnsi" w:hAnsiTheme="minorHAnsi" w:cstheme="minorHAnsi"/>
                <w:sz w:val="20"/>
                <w:szCs w:val="20"/>
              </w:rPr>
              <w:t xml:space="preserve">I. </w:t>
            </w:r>
            <w:r w:rsidR="00562F5F" w:rsidRPr="00391416">
              <w:rPr>
                <w:rFonts w:asciiTheme="minorHAnsi" w:hAnsiTheme="minorHAnsi" w:cstheme="minorHAnsi"/>
                <w:sz w:val="20"/>
                <w:szCs w:val="20"/>
              </w:rPr>
              <w:t>Další podmíněné závazky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391416" w:rsidRDefault="00FC08F5" w:rsidP="0072606B">
            <w:pPr>
              <w:spacing w:before="20" w:after="20"/>
              <w:jc w:val="right"/>
              <w:rPr>
                <w:rFonts w:asciiTheme="minorHAnsi" w:hAnsiTheme="minorHAnsi" w:cstheme="minorHAnsi"/>
                <w:sz w:val="20"/>
                <w:szCs w:val="20"/>
              </w:rPr>
            </w:pPr>
            <w:r w:rsidRPr="001E7BBC">
              <w:rPr>
                <w:rFonts w:asciiTheme="minorHAnsi" w:hAnsiTheme="minorHAnsi" w:cs="Calibri"/>
                <w:sz w:val="20"/>
                <w:szCs w:val="20"/>
              </w:rPr>
              <w:t>497 782 901,60</w:t>
            </w:r>
          </w:p>
        </w:tc>
      </w:tr>
    </w:tbl>
    <w:p w:rsidR="00264159" w:rsidRDefault="00264159" w:rsidP="009801A4">
      <w:pPr>
        <w:spacing w:before="40"/>
        <w:ind w:left="567" w:hanging="567"/>
        <w:rPr>
          <w:rFonts w:asciiTheme="minorHAnsi" w:hAnsiTheme="minorHAnsi" w:cstheme="minorHAnsi"/>
          <w:sz w:val="20"/>
          <w:szCs w:val="20"/>
          <w:lang w:eastAsia="cs-CZ"/>
        </w:rPr>
      </w:pPr>
      <w:r w:rsidRPr="00391416">
        <w:rPr>
          <w:rFonts w:asciiTheme="minorHAnsi" w:hAnsiTheme="minorHAnsi" w:cstheme="minorHAnsi"/>
          <w:b/>
          <w:sz w:val="20"/>
          <w:szCs w:val="20"/>
          <w:lang w:eastAsia="cs-CZ"/>
        </w:rPr>
        <w:t>Zdroj:</w:t>
      </w:r>
      <w:r w:rsidR="009801A4">
        <w:rPr>
          <w:rFonts w:asciiTheme="minorHAnsi" w:hAnsiTheme="minorHAnsi" w:cstheme="minorHAnsi"/>
          <w:sz w:val="20"/>
          <w:szCs w:val="20"/>
          <w:lang w:eastAsia="cs-CZ"/>
        </w:rPr>
        <w:tab/>
        <w:t>ú</w:t>
      </w:r>
      <w:r w:rsidRPr="00391416">
        <w:rPr>
          <w:rFonts w:asciiTheme="minorHAnsi" w:hAnsiTheme="minorHAnsi" w:cstheme="minorHAnsi"/>
          <w:sz w:val="20"/>
          <w:szCs w:val="20"/>
          <w:lang w:eastAsia="cs-CZ"/>
        </w:rPr>
        <w:t xml:space="preserve">četní závěrka </w:t>
      </w:r>
      <w:r w:rsidR="00EE7E0D">
        <w:rPr>
          <w:rFonts w:asciiTheme="minorHAnsi" w:hAnsiTheme="minorHAnsi" w:cstheme="minorHAnsi"/>
          <w:sz w:val="20"/>
          <w:szCs w:val="20"/>
          <w:lang w:eastAsia="cs-CZ"/>
        </w:rPr>
        <w:t>MK</w:t>
      </w:r>
      <w:r w:rsidRPr="00391416">
        <w:rPr>
          <w:rFonts w:asciiTheme="minorHAnsi" w:hAnsiTheme="minorHAnsi" w:cstheme="minorHAnsi"/>
          <w:sz w:val="20"/>
          <w:szCs w:val="20"/>
          <w:lang w:eastAsia="cs-CZ"/>
        </w:rPr>
        <w:t xml:space="preserve"> k 31. </w:t>
      </w:r>
      <w:r w:rsidR="00D92F73">
        <w:rPr>
          <w:rFonts w:asciiTheme="minorHAnsi" w:hAnsiTheme="minorHAnsi" w:cstheme="minorHAnsi"/>
          <w:sz w:val="20"/>
          <w:szCs w:val="20"/>
          <w:lang w:eastAsia="cs-CZ"/>
        </w:rPr>
        <w:t xml:space="preserve">12. </w:t>
      </w:r>
      <w:r w:rsidRPr="00391416">
        <w:rPr>
          <w:rFonts w:asciiTheme="minorHAnsi" w:hAnsiTheme="minorHAnsi" w:cstheme="minorHAnsi"/>
          <w:sz w:val="20"/>
          <w:szCs w:val="20"/>
          <w:lang w:eastAsia="cs-CZ"/>
        </w:rPr>
        <w:t>201</w:t>
      </w:r>
      <w:r w:rsidR="00F22972" w:rsidRPr="00391416">
        <w:rPr>
          <w:rFonts w:asciiTheme="minorHAnsi" w:hAnsiTheme="minorHAnsi" w:cstheme="minorHAnsi"/>
          <w:sz w:val="20"/>
          <w:szCs w:val="20"/>
          <w:lang w:eastAsia="cs-CZ"/>
        </w:rPr>
        <w:t>4</w:t>
      </w:r>
      <w:r w:rsidR="004D365F">
        <w:rPr>
          <w:rFonts w:asciiTheme="minorHAnsi" w:hAnsiTheme="minorHAnsi" w:cstheme="minorHAnsi"/>
          <w:sz w:val="20"/>
          <w:szCs w:val="20"/>
          <w:lang w:eastAsia="cs-CZ"/>
        </w:rPr>
        <w:t>.</w:t>
      </w:r>
    </w:p>
    <w:p w:rsidR="00A36FCC" w:rsidRDefault="009801A4" w:rsidP="009801A4">
      <w:pPr>
        <w:spacing w:before="40"/>
        <w:ind w:left="567" w:hanging="567"/>
        <w:rPr>
          <w:rFonts w:asciiTheme="minorHAnsi" w:hAnsiTheme="minorHAnsi" w:cstheme="minorHAnsi"/>
          <w:sz w:val="20"/>
          <w:szCs w:val="20"/>
          <w:lang w:eastAsia="cs-CZ"/>
        </w:rPr>
      </w:pPr>
      <w:r w:rsidRPr="009801A4">
        <w:rPr>
          <w:rFonts w:asciiTheme="minorHAnsi" w:hAnsiTheme="minorHAnsi" w:cstheme="minorHAnsi"/>
          <w:b/>
          <w:sz w:val="20"/>
          <w:szCs w:val="20"/>
          <w:lang w:eastAsia="cs-CZ"/>
        </w:rPr>
        <w:t>Pozn.:</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sidR="00A36FCC">
        <w:rPr>
          <w:rFonts w:asciiTheme="minorHAnsi" w:hAnsiTheme="minorHAnsi" w:cstheme="minorHAnsi"/>
          <w:sz w:val="20"/>
          <w:szCs w:val="20"/>
          <w:lang w:eastAsia="cs-CZ"/>
        </w:rPr>
        <w:t>Položka P.V je v</w:t>
      </w:r>
      <w:r w:rsidR="009C77C9">
        <w:rPr>
          <w:rFonts w:asciiTheme="minorHAnsi" w:hAnsiTheme="minorHAnsi" w:cstheme="minorHAnsi"/>
          <w:sz w:val="20"/>
          <w:szCs w:val="20"/>
          <w:lang w:eastAsia="cs-CZ"/>
        </w:rPr>
        <w:t xml:space="preserve"> </w:t>
      </w:r>
      <w:r w:rsidR="009B3814">
        <w:rPr>
          <w:rFonts w:asciiTheme="minorHAnsi" w:hAnsiTheme="minorHAnsi" w:cstheme="minorHAnsi"/>
          <w:sz w:val="20"/>
          <w:szCs w:val="20"/>
          <w:lang w:eastAsia="cs-CZ"/>
        </w:rPr>
        <w:t>m</w:t>
      </w:r>
      <w:r w:rsidR="00A36FCC">
        <w:rPr>
          <w:rFonts w:asciiTheme="minorHAnsi" w:hAnsiTheme="minorHAnsi" w:cstheme="minorHAnsi"/>
          <w:sz w:val="20"/>
          <w:szCs w:val="20"/>
          <w:lang w:eastAsia="cs-CZ"/>
        </w:rPr>
        <w:t>onitoru státní pokladny</w:t>
      </w:r>
      <w:r w:rsidR="004130EA">
        <w:rPr>
          <w:rStyle w:val="Znakapoznpodarou"/>
          <w:rFonts w:asciiTheme="minorHAnsi" w:hAnsiTheme="minorHAnsi" w:cstheme="minorHAnsi"/>
          <w:sz w:val="20"/>
          <w:szCs w:val="20"/>
          <w:lang w:eastAsia="cs-CZ"/>
        </w:rPr>
        <w:footnoteReference w:id="1"/>
      </w:r>
      <w:r w:rsidR="00A36FCC">
        <w:rPr>
          <w:rFonts w:asciiTheme="minorHAnsi" w:hAnsiTheme="minorHAnsi" w:cstheme="minorHAnsi"/>
          <w:sz w:val="20"/>
          <w:szCs w:val="20"/>
          <w:lang w:eastAsia="cs-CZ"/>
        </w:rPr>
        <w:t xml:space="preserve"> zveřejněna jako položka P.VI a položka P.VI jako položka P.VII.</w:t>
      </w:r>
    </w:p>
    <w:p w:rsidR="00C01E14" w:rsidRDefault="00C01E14" w:rsidP="00C01E14">
      <w:pPr>
        <w:rPr>
          <w:rFonts w:asciiTheme="minorHAnsi" w:hAnsiTheme="minorHAnsi" w:cstheme="minorHAnsi"/>
          <w:highlight w:val="yellow"/>
          <w:lang w:eastAsia="cs-CZ"/>
        </w:rPr>
      </w:pPr>
    </w:p>
    <w:p w:rsidR="00B243C2" w:rsidRPr="00391416" w:rsidRDefault="00B243C2" w:rsidP="00B243C2">
      <w:pPr>
        <w:ind w:left="567" w:hanging="567"/>
        <w:jc w:val="both"/>
        <w:rPr>
          <w:rFonts w:asciiTheme="minorHAnsi" w:hAnsiTheme="minorHAnsi" w:cstheme="minorHAnsi"/>
          <w:iCs/>
          <w:sz w:val="20"/>
          <w:szCs w:val="20"/>
        </w:rPr>
      </w:pPr>
      <w:r w:rsidRPr="00391416">
        <w:rPr>
          <w:rFonts w:asciiTheme="minorHAnsi" w:hAnsiTheme="minorHAnsi" w:cstheme="minorHAnsi"/>
          <w:b/>
          <w:iCs/>
          <w:sz w:val="20"/>
          <w:szCs w:val="20"/>
        </w:rPr>
        <w:t>Pozn.:</w:t>
      </w:r>
      <w:r w:rsidR="004D365F">
        <w:rPr>
          <w:rFonts w:asciiTheme="minorHAnsi" w:hAnsiTheme="minorHAnsi" w:cstheme="minorHAnsi"/>
          <w:b/>
          <w:iCs/>
          <w:sz w:val="20"/>
          <w:szCs w:val="20"/>
        </w:rPr>
        <w:tab/>
      </w:r>
      <w:r w:rsidRPr="00391416">
        <w:rPr>
          <w:rFonts w:asciiTheme="minorHAnsi" w:hAnsiTheme="minorHAnsi" w:cstheme="minorHAnsi"/>
          <w:iCs/>
          <w:sz w:val="20"/>
          <w:szCs w:val="20"/>
        </w:rPr>
        <w:t>Všechny právní předpisy uvedené v tomto kontrolním závěru jsou aplikovány ve znění účinném pro kontrolované období.</w:t>
      </w:r>
    </w:p>
    <w:p w:rsidR="00C01E14" w:rsidRDefault="00C01E14" w:rsidP="00C01E14">
      <w:pPr>
        <w:rPr>
          <w:rFonts w:asciiTheme="minorHAnsi" w:hAnsiTheme="minorHAnsi" w:cstheme="minorHAnsi"/>
          <w:highlight w:val="yellow"/>
          <w:lang w:eastAsia="cs-CZ"/>
        </w:rPr>
      </w:pPr>
    </w:p>
    <w:p w:rsidR="00C01E14" w:rsidRDefault="00C01E14" w:rsidP="00C01E14">
      <w:pPr>
        <w:rPr>
          <w:rFonts w:asciiTheme="minorHAnsi" w:hAnsiTheme="minorHAnsi" w:cstheme="minorHAnsi"/>
          <w:highlight w:val="yellow"/>
          <w:lang w:eastAsia="cs-CZ"/>
        </w:rPr>
      </w:pPr>
    </w:p>
    <w:p w:rsidR="007E7A21" w:rsidRDefault="007E7A21" w:rsidP="007E7A21">
      <w:pPr>
        <w:jc w:val="center"/>
        <w:rPr>
          <w:rFonts w:asciiTheme="minorHAnsi" w:hAnsiTheme="minorHAnsi" w:cstheme="minorHAnsi"/>
          <w:b/>
          <w:sz w:val="28"/>
          <w:szCs w:val="28"/>
        </w:rPr>
      </w:pPr>
      <w:r>
        <w:rPr>
          <w:rFonts w:asciiTheme="minorHAnsi" w:hAnsiTheme="minorHAnsi" w:cstheme="minorHAnsi"/>
          <w:b/>
          <w:sz w:val="28"/>
          <w:szCs w:val="28"/>
        </w:rPr>
        <w:t>I</w:t>
      </w:r>
      <w:r w:rsidRPr="00391416">
        <w:rPr>
          <w:rFonts w:asciiTheme="minorHAnsi" w:hAnsiTheme="minorHAnsi" w:cstheme="minorHAnsi"/>
          <w:b/>
          <w:sz w:val="28"/>
          <w:szCs w:val="28"/>
        </w:rPr>
        <w:t xml:space="preserve">I. </w:t>
      </w:r>
      <w:r>
        <w:rPr>
          <w:rFonts w:asciiTheme="minorHAnsi" w:hAnsiTheme="minorHAnsi" w:cstheme="minorHAnsi"/>
          <w:b/>
          <w:sz w:val="28"/>
          <w:szCs w:val="28"/>
        </w:rPr>
        <w:t>Shrnutí a vyhodnocení skutečností zjištěných při kontrole</w:t>
      </w:r>
    </w:p>
    <w:p w:rsidR="00C01E14" w:rsidRDefault="00C01E14" w:rsidP="00C01E14">
      <w:pPr>
        <w:rPr>
          <w:rFonts w:asciiTheme="minorHAnsi" w:hAnsiTheme="minorHAnsi" w:cstheme="minorHAnsi"/>
          <w:highlight w:val="yellow"/>
          <w:lang w:eastAsia="cs-CZ"/>
        </w:rPr>
      </w:pPr>
    </w:p>
    <w:p w:rsidR="007E7A21" w:rsidRPr="007E7A21" w:rsidRDefault="007E7A21" w:rsidP="007E7A21">
      <w:pPr>
        <w:jc w:val="both"/>
        <w:rPr>
          <w:rFonts w:asciiTheme="minorHAnsi" w:hAnsiTheme="minorHAnsi" w:cstheme="minorHAnsi"/>
        </w:rPr>
      </w:pPr>
      <w:r w:rsidRPr="00391416">
        <w:rPr>
          <w:rFonts w:asciiTheme="minorHAnsi" w:hAnsiTheme="minorHAnsi" w:cstheme="minorHAnsi"/>
        </w:rPr>
        <w:t xml:space="preserve">Cílem kontroly bylo prověřit, </w:t>
      </w:r>
      <w:r w:rsidRPr="00391416">
        <w:rPr>
          <w:rFonts w:asciiTheme="minorHAnsi" w:hAnsiTheme="minorHAnsi" w:cstheme="minorHAnsi"/>
          <w:bCs/>
        </w:rPr>
        <w:t xml:space="preserve">zda Ministerstvo </w:t>
      </w:r>
      <w:r>
        <w:rPr>
          <w:rFonts w:asciiTheme="minorHAnsi" w:hAnsiTheme="minorHAnsi" w:cstheme="minorHAnsi"/>
          <w:bCs/>
        </w:rPr>
        <w:t>kultury</w:t>
      </w:r>
      <w:r w:rsidRPr="00391416">
        <w:rPr>
          <w:rFonts w:asciiTheme="minorHAnsi" w:hAnsiTheme="minorHAnsi" w:cstheme="minorHAnsi"/>
          <w:bCs/>
        </w:rPr>
        <w:t xml:space="preserve"> při sestavení závěrečného účtu a</w:t>
      </w:r>
      <w:r w:rsidR="009C77C9">
        <w:rPr>
          <w:rFonts w:asciiTheme="minorHAnsi" w:hAnsiTheme="minorHAnsi" w:cstheme="minorHAnsi"/>
          <w:bCs/>
        </w:rPr>
        <w:t xml:space="preserve"> </w:t>
      </w:r>
      <w:r w:rsidRPr="00391416">
        <w:rPr>
          <w:rFonts w:asciiTheme="minorHAnsi" w:hAnsiTheme="minorHAnsi" w:cstheme="minorHAnsi"/>
          <w:bCs/>
        </w:rPr>
        <w:t>při vedení účetnictví a sestavení účetní závěrky a předkládání údajů pro hodnocení plnění státního rozpočtu za rok 2014 postupovalo v souladu s příslušnými právními předpisy</w:t>
      </w:r>
      <w:r w:rsidR="00B81458">
        <w:rPr>
          <w:rFonts w:asciiTheme="minorHAnsi" w:hAnsiTheme="minorHAnsi" w:cstheme="minorHAnsi"/>
          <w:bCs/>
        </w:rPr>
        <w:t>,</w:t>
      </w:r>
      <w:r>
        <w:rPr>
          <w:rFonts w:asciiTheme="minorHAnsi" w:hAnsiTheme="minorHAnsi" w:cstheme="minorHAnsi"/>
          <w:bCs/>
        </w:rPr>
        <w:t xml:space="preserve"> </w:t>
      </w:r>
      <w:r w:rsidRPr="00391416">
        <w:rPr>
          <w:rFonts w:asciiTheme="minorHAnsi" w:hAnsiTheme="minorHAnsi" w:cstheme="minorHAnsi"/>
        </w:rPr>
        <w:t xml:space="preserve">a tím prověřit mimo jiné </w:t>
      </w:r>
      <w:r w:rsidRPr="007E7A21">
        <w:rPr>
          <w:rFonts w:asciiTheme="minorHAnsi" w:hAnsiTheme="minorHAnsi" w:cstheme="minorHAnsi"/>
        </w:rPr>
        <w:t>i plnění jedné ze základních povinností OSS při hospodaření s majetkem státu</w:t>
      </w:r>
      <w:r w:rsidRPr="007E7A21">
        <w:rPr>
          <w:rStyle w:val="Znakapoznpodarou"/>
          <w:rFonts w:asciiTheme="minorHAnsi" w:hAnsiTheme="minorHAnsi" w:cstheme="minorHAnsi"/>
        </w:rPr>
        <w:footnoteReference w:id="2"/>
      </w:r>
      <w:r w:rsidRPr="007E7A21">
        <w:rPr>
          <w:rFonts w:asciiTheme="minorHAnsi" w:hAnsiTheme="minorHAnsi" w:cstheme="minorHAnsi"/>
        </w:rPr>
        <w:t xml:space="preserve">. Současně </w:t>
      </w:r>
      <w:r w:rsidR="00D90F73">
        <w:rPr>
          <w:rFonts w:asciiTheme="minorHAnsi" w:hAnsiTheme="minorHAnsi" w:cstheme="minorHAnsi"/>
        </w:rPr>
        <w:t>bylo cílem</w:t>
      </w:r>
      <w:r w:rsidRPr="007E7A21">
        <w:rPr>
          <w:rFonts w:asciiTheme="minorHAnsi" w:hAnsiTheme="minorHAnsi" w:cstheme="minorHAnsi"/>
        </w:rPr>
        <w:t xml:space="preserve"> prověřit úplnost, průkaznost a správnost údajů </w:t>
      </w:r>
      <w:r w:rsidR="00D90F73">
        <w:rPr>
          <w:rFonts w:asciiTheme="minorHAnsi" w:hAnsiTheme="minorHAnsi" w:cstheme="minorHAnsi"/>
        </w:rPr>
        <w:t>MK</w:t>
      </w:r>
      <w:r w:rsidR="00D97621">
        <w:rPr>
          <w:rFonts w:asciiTheme="minorHAnsi" w:hAnsiTheme="minorHAnsi" w:cstheme="minorHAnsi"/>
        </w:rPr>
        <w:t>, neboť</w:t>
      </w:r>
      <w:r w:rsidRPr="007E7A21">
        <w:rPr>
          <w:rFonts w:asciiTheme="minorHAnsi" w:hAnsiTheme="minorHAnsi" w:cstheme="minorHAnsi"/>
        </w:rPr>
        <w:t xml:space="preserve"> údaje z účetnictví budou poprvé za rok 2015 použity pro sestavení účetních výkazů za Českou republiku</w:t>
      </w:r>
      <w:r w:rsidRPr="007E7A21">
        <w:rPr>
          <w:rStyle w:val="Znakapoznpodarou"/>
          <w:rFonts w:asciiTheme="minorHAnsi" w:hAnsiTheme="minorHAnsi" w:cstheme="minorHAnsi"/>
        </w:rPr>
        <w:footnoteReference w:id="3"/>
      </w:r>
      <w:r w:rsidRPr="007E7A21">
        <w:rPr>
          <w:rFonts w:asciiTheme="minorHAnsi" w:hAnsiTheme="minorHAnsi" w:cstheme="minorHAnsi"/>
        </w:rPr>
        <w:t xml:space="preserve">. V této souvislosti </w:t>
      </w:r>
      <w:r w:rsidR="00D90F73">
        <w:rPr>
          <w:rFonts w:asciiTheme="minorHAnsi" w:hAnsiTheme="minorHAnsi" w:cstheme="minorHAnsi"/>
        </w:rPr>
        <w:t xml:space="preserve">bylo cílem </w:t>
      </w:r>
      <w:r w:rsidRPr="007E7A21">
        <w:rPr>
          <w:rFonts w:asciiTheme="minorHAnsi" w:hAnsiTheme="minorHAnsi" w:cstheme="minorHAnsi"/>
        </w:rPr>
        <w:t>identifikovat i případná systémová rizika (např. nesrovnatelnost</w:t>
      </w:r>
      <w:r w:rsidR="00DD228B">
        <w:rPr>
          <w:rFonts w:asciiTheme="minorHAnsi" w:hAnsiTheme="minorHAnsi" w:cstheme="minorHAnsi"/>
        </w:rPr>
        <w:t>i</w:t>
      </w:r>
      <w:r w:rsidRPr="007E7A21">
        <w:rPr>
          <w:rFonts w:asciiTheme="minorHAnsi" w:hAnsiTheme="minorHAnsi" w:cstheme="minorHAnsi"/>
        </w:rPr>
        <w:t xml:space="preserve"> vykazovaných údajů), která by </w:t>
      </w:r>
      <w:r w:rsidR="00D97621">
        <w:rPr>
          <w:rFonts w:asciiTheme="minorHAnsi" w:hAnsiTheme="minorHAnsi" w:cstheme="minorHAnsi"/>
        </w:rPr>
        <w:t>v případě neřešení</w:t>
      </w:r>
      <w:r w:rsidRPr="007E7A21">
        <w:rPr>
          <w:rFonts w:asciiTheme="minorHAnsi" w:hAnsiTheme="minorHAnsi" w:cstheme="minorHAnsi"/>
        </w:rPr>
        <w:t xml:space="preserve"> mohla </w:t>
      </w:r>
      <w:r w:rsidR="00B23DDE">
        <w:rPr>
          <w:rFonts w:asciiTheme="minorHAnsi" w:hAnsiTheme="minorHAnsi" w:cstheme="minorHAnsi"/>
        </w:rPr>
        <w:t>ovlivnit</w:t>
      </w:r>
      <w:r w:rsidRPr="007E7A21">
        <w:rPr>
          <w:rFonts w:asciiTheme="minorHAnsi" w:hAnsiTheme="minorHAnsi" w:cstheme="minorHAnsi"/>
        </w:rPr>
        <w:t xml:space="preserve"> účetní výkazy za Českou republiku.</w:t>
      </w:r>
    </w:p>
    <w:p w:rsidR="007E7A21" w:rsidRPr="007E7A21" w:rsidRDefault="007E7A21" w:rsidP="007E7A21">
      <w:pPr>
        <w:jc w:val="both"/>
        <w:rPr>
          <w:rFonts w:asciiTheme="minorHAnsi" w:hAnsiTheme="minorHAnsi" w:cstheme="minorHAnsi"/>
        </w:rPr>
      </w:pPr>
    </w:p>
    <w:p w:rsidR="00D90F73" w:rsidRPr="00391416" w:rsidRDefault="009801A4" w:rsidP="00D90F73">
      <w:pPr>
        <w:jc w:val="both"/>
        <w:rPr>
          <w:rFonts w:asciiTheme="minorHAnsi" w:hAnsiTheme="minorHAnsi" w:cstheme="minorHAnsi"/>
          <w:b/>
        </w:rPr>
      </w:pPr>
      <w:r>
        <w:rPr>
          <w:rFonts w:asciiTheme="minorHAnsi" w:hAnsiTheme="minorHAnsi" w:cstheme="minorHAnsi"/>
          <w:b/>
        </w:rPr>
        <w:t xml:space="preserve">1. </w:t>
      </w:r>
      <w:r w:rsidR="00D90F73" w:rsidRPr="00391416">
        <w:rPr>
          <w:rFonts w:asciiTheme="minorHAnsi" w:hAnsiTheme="minorHAnsi" w:cstheme="minorHAnsi"/>
          <w:b/>
        </w:rPr>
        <w:t>Účetní závěrka</w:t>
      </w:r>
    </w:p>
    <w:p w:rsidR="00D90F73" w:rsidRPr="00391416" w:rsidRDefault="00D90F73" w:rsidP="00D90F73">
      <w:pPr>
        <w:jc w:val="both"/>
        <w:rPr>
          <w:rFonts w:asciiTheme="minorHAnsi" w:hAnsiTheme="minorHAnsi" w:cstheme="minorHAnsi"/>
          <w:b/>
        </w:rPr>
      </w:pPr>
    </w:p>
    <w:p w:rsidR="00A168CB" w:rsidRDefault="00D90F73" w:rsidP="00D90F73">
      <w:pPr>
        <w:jc w:val="both"/>
        <w:rPr>
          <w:rFonts w:asciiTheme="minorHAnsi" w:hAnsiTheme="minorHAnsi" w:cstheme="minorHAnsi"/>
        </w:rPr>
      </w:pPr>
      <w:r w:rsidRPr="00391416">
        <w:rPr>
          <w:rFonts w:asciiTheme="minorHAnsi" w:hAnsiTheme="minorHAnsi" w:cstheme="minorHAnsi"/>
          <w:b/>
        </w:rPr>
        <w:t xml:space="preserve">V </w:t>
      </w:r>
      <w:r>
        <w:rPr>
          <w:rFonts w:asciiTheme="minorHAnsi" w:hAnsiTheme="minorHAnsi" w:cstheme="minorHAnsi"/>
          <w:b/>
        </w:rPr>
        <w:t>účetní závěrce MK</w:t>
      </w:r>
      <w:r w:rsidRPr="00391416">
        <w:rPr>
          <w:rFonts w:asciiTheme="minorHAnsi" w:hAnsiTheme="minorHAnsi" w:cstheme="minorHAnsi"/>
          <w:b/>
        </w:rPr>
        <w:t xml:space="preserve"> k 31. prosinci 2014 byla kontrolou zjištěna celková nesprávnost v</w:t>
      </w:r>
      <w:r w:rsidR="009C77C9">
        <w:rPr>
          <w:rFonts w:asciiTheme="minorHAnsi" w:hAnsiTheme="minorHAnsi" w:cstheme="minorHAnsi"/>
          <w:b/>
        </w:rPr>
        <w:t> </w:t>
      </w:r>
      <w:r w:rsidRPr="00391416">
        <w:rPr>
          <w:rFonts w:asciiTheme="minorHAnsi" w:hAnsiTheme="minorHAnsi" w:cstheme="minorHAnsi"/>
          <w:b/>
        </w:rPr>
        <w:t xml:space="preserve">údajích za běžné účetní období ve výši </w:t>
      </w:r>
      <w:r>
        <w:rPr>
          <w:rFonts w:asciiTheme="minorHAnsi" w:hAnsiTheme="minorHAnsi" w:cstheme="minorHAnsi"/>
          <w:b/>
        </w:rPr>
        <w:t>1,6</w:t>
      </w:r>
      <w:r w:rsidRPr="00391416">
        <w:rPr>
          <w:rFonts w:asciiTheme="minorHAnsi" w:hAnsiTheme="minorHAnsi" w:cstheme="minorHAnsi"/>
          <w:b/>
        </w:rPr>
        <w:t xml:space="preserve"> mld. Kč</w:t>
      </w:r>
      <w:r w:rsidRPr="00B81458">
        <w:rPr>
          <w:rStyle w:val="Znakapoznpodarou"/>
          <w:rFonts w:asciiTheme="minorHAnsi" w:hAnsiTheme="minorHAnsi" w:cstheme="minorHAnsi"/>
          <w:b/>
        </w:rPr>
        <w:footnoteReference w:id="4"/>
      </w:r>
      <w:r w:rsidRPr="00B81458">
        <w:rPr>
          <w:rFonts w:asciiTheme="minorHAnsi" w:hAnsiTheme="minorHAnsi" w:cstheme="minorHAnsi"/>
          <w:b/>
        </w:rPr>
        <w:t xml:space="preserve">. </w:t>
      </w:r>
    </w:p>
    <w:p w:rsidR="009454E5" w:rsidRDefault="009454E5" w:rsidP="00D90F73">
      <w:pPr>
        <w:jc w:val="both"/>
        <w:rPr>
          <w:rFonts w:asciiTheme="minorHAnsi" w:hAnsiTheme="minorHAnsi" w:cstheme="minorHAnsi"/>
        </w:rPr>
      </w:pPr>
    </w:p>
    <w:p w:rsidR="009454E5" w:rsidRDefault="009454E5" w:rsidP="00D97621">
      <w:pPr>
        <w:jc w:val="both"/>
        <w:rPr>
          <w:rFonts w:asciiTheme="minorHAnsi" w:hAnsiTheme="minorHAnsi" w:cstheme="minorHAnsi"/>
        </w:rPr>
      </w:pPr>
      <w:r>
        <w:rPr>
          <w:rFonts w:asciiTheme="minorHAnsi" w:hAnsiTheme="minorHAnsi" w:cstheme="minorHAnsi"/>
        </w:rPr>
        <w:t>Na výši zjištěné celkové nesprávnosti se podílelo zejména:</w:t>
      </w:r>
    </w:p>
    <w:p w:rsidR="009454E5" w:rsidRPr="003241AE" w:rsidRDefault="009454E5" w:rsidP="00D97621">
      <w:pPr>
        <w:numPr>
          <w:ilvl w:val="0"/>
          <w:numId w:val="46"/>
        </w:numPr>
        <w:jc w:val="both"/>
        <w:rPr>
          <w:rFonts w:ascii="Calibri" w:hAnsi="Calibri" w:cs="Calibri"/>
        </w:rPr>
      </w:pPr>
      <w:r w:rsidRPr="003241AE">
        <w:rPr>
          <w:rFonts w:ascii="Calibri" w:hAnsi="Calibri" w:cs="Calibri"/>
        </w:rPr>
        <w:t xml:space="preserve">nesprávné účtování a vykazování přijatých refundací spolufinancovaných transferů na účtu </w:t>
      </w:r>
      <w:r w:rsidRPr="00B81458">
        <w:rPr>
          <w:rFonts w:ascii="Calibri" w:hAnsi="Calibri" w:cs="Calibri"/>
        </w:rPr>
        <w:t xml:space="preserve">408 – </w:t>
      </w:r>
      <w:r w:rsidRPr="003241AE">
        <w:rPr>
          <w:rFonts w:ascii="Calibri" w:hAnsi="Calibri" w:cs="Calibri"/>
          <w:i/>
        </w:rPr>
        <w:t>Opravy minulých období</w:t>
      </w:r>
      <w:r w:rsidRPr="003241AE">
        <w:rPr>
          <w:rFonts w:ascii="Calibri" w:hAnsi="Calibri" w:cs="Calibri"/>
        </w:rPr>
        <w:t xml:space="preserve"> ve výši 1</w:t>
      </w:r>
      <w:r w:rsidR="009C77C9">
        <w:rPr>
          <w:rFonts w:ascii="Calibri" w:hAnsi="Calibri" w:cs="Calibri"/>
        </w:rPr>
        <w:t xml:space="preserve"> </w:t>
      </w:r>
      <w:r w:rsidRPr="003241AE">
        <w:rPr>
          <w:rFonts w:ascii="Calibri" w:hAnsi="Calibri" w:cs="Calibri"/>
        </w:rPr>
        <w:t>164</w:t>
      </w:r>
      <w:r w:rsidR="009C77C9">
        <w:rPr>
          <w:rFonts w:ascii="Calibri" w:hAnsi="Calibri" w:cs="Calibri"/>
        </w:rPr>
        <w:t xml:space="preserve"> </w:t>
      </w:r>
      <w:r w:rsidRPr="003241AE">
        <w:rPr>
          <w:rFonts w:ascii="Calibri" w:hAnsi="Calibri" w:cs="Calibri"/>
        </w:rPr>
        <w:t>648</w:t>
      </w:r>
      <w:r w:rsidR="009C77C9">
        <w:rPr>
          <w:rFonts w:ascii="Calibri" w:hAnsi="Calibri" w:cs="Calibri"/>
        </w:rPr>
        <w:t xml:space="preserve"> </w:t>
      </w:r>
      <w:r w:rsidRPr="003241AE">
        <w:rPr>
          <w:rFonts w:ascii="Calibri" w:hAnsi="Calibri" w:cs="Calibri"/>
        </w:rPr>
        <w:t xml:space="preserve">209,39 Kč, které MK obdrželo z Národního fondu (blíže viz část </w:t>
      </w:r>
      <w:r w:rsidR="007A7B70">
        <w:rPr>
          <w:rFonts w:ascii="Calibri" w:hAnsi="Calibri" w:cs="Calibri"/>
        </w:rPr>
        <w:t>III.</w:t>
      </w:r>
      <w:r w:rsidR="007F22D9" w:rsidRPr="003241AE">
        <w:rPr>
          <w:rFonts w:ascii="Calibri" w:hAnsi="Calibri" w:cs="Calibri"/>
        </w:rPr>
        <w:t>2.1</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r w:rsidR="00D97621">
        <w:rPr>
          <w:rFonts w:ascii="Calibri" w:hAnsi="Calibri" w:cs="Calibri"/>
        </w:rPr>
        <w:t>;</w:t>
      </w:r>
    </w:p>
    <w:p w:rsidR="009454E5" w:rsidRPr="003241AE" w:rsidRDefault="009454E5" w:rsidP="00D97621">
      <w:pPr>
        <w:numPr>
          <w:ilvl w:val="0"/>
          <w:numId w:val="46"/>
        </w:numPr>
        <w:jc w:val="both"/>
        <w:rPr>
          <w:rFonts w:ascii="Calibri" w:hAnsi="Calibri" w:cs="Calibri"/>
        </w:rPr>
      </w:pPr>
      <w:r w:rsidRPr="003241AE">
        <w:rPr>
          <w:rFonts w:ascii="Calibri" w:hAnsi="Calibri" w:cs="Calibri"/>
        </w:rPr>
        <w:t>vykázání částky 227</w:t>
      </w:r>
      <w:r w:rsidR="009C77C9">
        <w:rPr>
          <w:rFonts w:ascii="Calibri" w:hAnsi="Calibri" w:cs="Calibri"/>
        </w:rPr>
        <w:t xml:space="preserve"> </w:t>
      </w:r>
      <w:r w:rsidRPr="003241AE">
        <w:rPr>
          <w:rFonts w:ascii="Calibri" w:hAnsi="Calibri" w:cs="Calibri"/>
        </w:rPr>
        <w:t>862</w:t>
      </w:r>
      <w:r w:rsidR="009C77C9">
        <w:rPr>
          <w:rFonts w:ascii="Calibri" w:hAnsi="Calibri" w:cs="Calibri"/>
        </w:rPr>
        <w:t xml:space="preserve"> </w:t>
      </w:r>
      <w:r w:rsidRPr="003241AE">
        <w:rPr>
          <w:rFonts w:ascii="Calibri" w:hAnsi="Calibri" w:cs="Calibri"/>
        </w:rPr>
        <w:t>069 Kč v</w:t>
      </w:r>
      <w:r w:rsidR="009C77C9">
        <w:rPr>
          <w:rFonts w:ascii="Calibri" w:hAnsi="Calibri" w:cs="Calibri"/>
        </w:rPr>
        <w:t xml:space="preserve"> </w:t>
      </w:r>
      <w:r w:rsidR="00B81458">
        <w:rPr>
          <w:rFonts w:ascii="Calibri" w:hAnsi="Calibri" w:cs="Calibri"/>
        </w:rPr>
        <w:t>p</w:t>
      </w:r>
      <w:r w:rsidRPr="003241AE">
        <w:rPr>
          <w:rFonts w:ascii="Calibri" w:hAnsi="Calibri" w:cs="Calibri"/>
        </w:rPr>
        <w:t>řehledu o změnách vlastního kapitálu, která se týkala snížení závazku v</w:t>
      </w:r>
      <w:r w:rsidR="009C77C9">
        <w:rPr>
          <w:rFonts w:ascii="Calibri" w:hAnsi="Calibri" w:cs="Calibri"/>
        </w:rPr>
        <w:t xml:space="preserve"> </w:t>
      </w:r>
      <w:r w:rsidRPr="003241AE">
        <w:rPr>
          <w:rFonts w:ascii="Calibri" w:hAnsi="Calibri" w:cs="Calibri"/>
        </w:rPr>
        <w:t>rámci finančních náhrad dle § 15 zákona č. 428/2012 Sb., o majetkovém vyrovnání s círk</w:t>
      </w:r>
      <w:r w:rsidR="007D6BB6">
        <w:rPr>
          <w:rFonts w:ascii="Calibri" w:hAnsi="Calibri" w:cs="Calibri"/>
        </w:rPr>
        <w:t>vemi</w:t>
      </w:r>
      <w:r w:rsidRPr="003241AE">
        <w:rPr>
          <w:rFonts w:ascii="Calibri" w:hAnsi="Calibri" w:cs="Calibri"/>
        </w:rPr>
        <w:t xml:space="preserve"> a náboženskými společnost</w:t>
      </w:r>
      <w:r w:rsidR="00B23DDE">
        <w:rPr>
          <w:rFonts w:ascii="Calibri" w:hAnsi="Calibri" w:cs="Calibri"/>
        </w:rPr>
        <w:t>m</w:t>
      </w:r>
      <w:r w:rsidRPr="003241AE">
        <w:rPr>
          <w:rFonts w:ascii="Calibri" w:hAnsi="Calibri" w:cs="Calibri"/>
        </w:rPr>
        <w:t>i a o změně některých zákonů (zákon o</w:t>
      </w:r>
      <w:r w:rsidR="0022228F">
        <w:rPr>
          <w:rFonts w:ascii="Calibri" w:hAnsi="Calibri" w:cs="Calibri"/>
        </w:rPr>
        <w:t> </w:t>
      </w:r>
      <w:r w:rsidRPr="003241AE">
        <w:rPr>
          <w:rFonts w:ascii="Calibri" w:hAnsi="Calibri" w:cs="Calibri"/>
        </w:rPr>
        <w:t>majetkovém vyrovnání s církvemi a náboženskými společnostmi)</w:t>
      </w:r>
      <w:r w:rsidR="00D97621">
        <w:rPr>
          <w:rFonts w:ascii="Calibri" w:hAnsi="Calibri" w:cs="Calibri"/>
        </w:rPr>
        <w:t>,</w:t>
      </w:r>
      <w:r w:rsidRPr="003241AE">
        <w:rPr>
          <w:rFonts w:ascii="Calibri" w:hAnsi="Calibri" w:cs="Calibri"/>
        </w:rPr>
        <w:t xml:space="preserve"> na položce </w:t>
      </w:r>
      <w:r w:rsidRPr="003241AE">
        <w:rPr>
          <w:rFonts w:ascii="Calibri" w:hAnsi="Calibri" w:cs="Calibri"/>
          <w:i/>
        </w:rPr>
        <w:t>A.VII.2. Opravy předchozích účetních období</w:t>
      </w:r>
      <w:r w:rsidRPr="003241AE">
        <w:rPr>
          <w:rFonts w:ascii="Calibri" w:hAnsi="Calibri" w:cs="Calibri"/>
        </w:rPr>
        <w:t xml:space="preserve"> ve sloupci „</w:t>
      </w:r>
      <w:r w:rsidR="00D04EA8">
        <w:rPr>
          <w:rFonts w:ascii="Calibri" w:hAnsi="Calibri" w:cs="Calibri"/>
          <w:i/>
        </w:rPr>
        <w:t>z</w:t>
      </w:r>
      <w:r w:rsidRPr="00B81458">
        <w:rPr>
          <w:rFonts w:ascii="Calibri" w:hAnsi="Calibri" w:cs="Calibri"/>
          <w:i/>
        </w:rPr>
        <w:t>výšení stavu</w:t>
      </w:r>
      <w:r w:rsidRPr="003241AE">
        <w:rPr>
          <w:rFonts w:ascii="Calibri" w:hAnsi="Calibri" w:cs="Calibri"/>
        </w:rPr>
        <w:t xml:space="preserve">“ místo na položce </w:t>
      </w:r>
      <w:r w:rsidRPr="003241AE">
        <w:rPr>
          <w:rFonts w:ascii="Calibri" w:hAnsi="Calibri" w:cs="Calibri"/>
          <w:i/>
        </w:rPr>
        <w:t>A.VII.1</w:t>
      </w:r>
      <w:r w:rsidR="00917DE0">
        <w:rPr>
          <w:rFonts w:ascii="Calibri" w:hAnsi="Calibri" w:cs="Calibri"/>
          <w:i/>
        </w:rPr>
        <w:t>.</w:t>
      </w:r>
      <w:r w:rsidRPr="003241AE">
        <w:rPr>
          <w:rFonts w:ascii="Calibri" w:hAnsi="Calibri" w:cs="Calibri"/>
          <w:i/>
        </w:rPr>
        <w:t xml:space="preserve"> </w:t>
      </w:r>
      <w:r w:rsidRPr="003241AE">
        <w:rPr>
          <w:rFonts w:ascii="Calibri" w:hAnsi="Calibri" w:cs="Calibri"/>
          <w:i/>
        </w:rPr>
        <w:lastRenderedPageBreak/>
        <w:t xml:space="preserve">Opravy minulého účetního období </w:t>
      </w:r>
      <w:r w:rsidRPr="003241AE">
        <w:rPr>
          <w:rFonts w:ascii="Calibri" w:hAnsi="Calibri" w:cs="Calibri"/>
        </w:rPr>
        <w:t>ve sloupci „</w:t>
      </w:r>
      <w:r w:rsidR="00D04EA8">
        <w:rPr>
          <w:rFonts w:ascii="Calibri" w:hAnsi="Calibri" w:cs="Calibri"/>
          <w:i/>
        </w:rPr>
        <w:t>z</w:t>
      </w:r>
      <w:r w:rsidRPr="00B81458">
        <w:rPr>
          <w:rFonts w:ascii="Calibri" w:hAnsi="Calibri" w:cs="Calibri"/>
          <w:i/>
        </w:rPr>
        <w:t>výšení stavu</w:t>
      </w:r>
      <w:r w:rsidRPr="003241AE">
        <w:rPr>
          <w:rFonts w:ascii="Calibri" w:hAnsi="Calibri" w:cs="Calibri"/>
        </w:rPr>
        <w:t xml:space="preserve">“ (blíže viz </w:t>
      </w:r>
      <w:r w:rsidR="009F544B" w:rsidRPr="003241AE">
        <w:rPr>
          <w:rFonts w:ascii="Calibri" w:hAnsi="Calibri" w:cs="Calibri"/>
        </w:rPr>
        <w:t>část</w:t>
      </w:r>
      <w:r w:rsidRPr="003241AE">
        <w:rPr>
          <w:rFonts w:ascii="Calibri" w:hAnsi="Calibri" w:cs="Calibri"/>
        </w:rPr>
        <w:t xml:space="preserve"> </w:t>
      </w:r>
      <w:r w:rsidR="007A7B70">
        <w:rPr>
          <w:rFonts w:ascii="Calibri" w:hAnsi="Calibri" w:cs="Calibri"/>
        </w:rPr>
        <w:t>III.</w:t>
      </w:r>
      <w:r w:rsidR="00997CBE" w:rsidRPr="003241AE">
        <w:rPr>
          <w:rFonts w:ascii="Calibri" w:hAnsi="Calibri" w:cs="Calibri"/>
        </w:rPr>
        <w:t>2.2</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 xml:space="preserve">kontrolního </w:t>
      </w:r>
      <w:r w:rsidR="009F544B" w:rsidRPr="003241AE">
        <w:rPr>
          <w:rFonts w:ascii="Calibri" w:hAnsi="Calibri" w:cs="Calibri"/>
        </w:rPr>
        <w:t>závěru</w:t>
      </w:r>
      <w:r w:rsidRPr="003241AE">
        <w:rPr>
          <w:rFonts w:ascii="Calibri" w:hAnsi="Calibri" w:cs="Calibri"/>
        </w:rPr>
        <w:t>)</w:t>
      </w:r>
      <w:r w:rsidR="00D97621">
        <w:rPr>
          <w:rFonts w:ascii="Calibri" w:hAnsi="Calibri" w:cs="Calibri"/>
        </w:rPr>
        <w:t>.</w:t>
      </w:r>
    </w:p>
    <w:p w:rsidR="00A168CB" w:rsidRPr="003241AE" w:rsidRDefault="00A168CB" w:rsidP="00D97621">
      <w:pPr>
        <w:jc w:val="both"/>
        <w:rPr>
          <w:rFonts w:asciiTheme="minorHAnsi" w:hAnsiTheme="minorHAnsi" w:cstheme="minorHAnsi"/>
        </w:rPr>
      </w:pPr>
    </w:p>
    <w:p w:rsidR="009F544B" w:rsidRPr="005A7B38" w:rsidRDefault="009F544B" w:rsidP="00D97621">
      <w:pPr>
        <w:jc w:val="both"/>
        <w:rPr>
          <w:rFonts w:asciiTheme="minorHAnsi" w:hAnsiTheme="minorHAnsi" w:cstheme="minorHAnsi"/>
        </w:rPr>
      </w:pPr>
      <w:r w:rsidRPr="003241AE">
        <w:rPr>
          <w:rFonts w:asciiTheme="minorHAnsi" w:hAnsiTheme="minorHAnsi" w:cstheme="minorHAnsi"/>
          <w:b/>
        </w:rPr>
        <w:t>Spolehlivost údajů účetní závěrky jako celku je nutné posuzovat z hlediska významnosti</w:t>
      </w:r>
      <w:r w:rsidRPr="00465A06">
        <w:rPr>
          <w:rStyle w:val="Znakapoznpodarou"/>
          <w:rFonts w:asciiTheme="minorHAnsi" w:hAnsiTheme="minorHAnsi" w:cstheme="minorHAnsi"/>
          <w:b/>
        </w:rPr>
        <w:footnoteReference w:id="5"/>
      </w:r>
      <w:r w:rsidRPr="003241AE">
        <w:rPr>
          <w:rFonts w:asciiTheme="minorHAnsi" w:hAnsiTheme="minorHAnsi" w:cstheme="minorHAnsi"/>
          <w:b/>
        </w:rPr>
        <w:t>. Možnost vyjádřit se ke spolehlivosti údajů ÚZ však byla ve významném rozsahu omezena</w:t>
      </w:r>
      <w:r w:rsidRPr="00B81458">
        <w:rPr>
          <w:rFonts w:asciiTheme="minorHAnsi" w:hAnsiTheme="minorHAnsi" w:cstheme="minorHAnsi"/>
          <w:b/>
        </w:rPr>
        <w:t>,</w:t>
      </w:r>
      <w:r w:rsidRPr="003241AE">
        <w:rPr>
          <w:rFonts w:asciiTheme="minorHAnsi" w:hAnsiTheme="minorHAnsi" w:cstheme="minorHAnsi"/>
        </w:rPr>
        <w:t xml:space="preserve"> a</w:t>
      </w:r>
      <w:r w:rsidR="00FC6C58">
        <w:rPr>
          <w:rFonts w:asciiTheme="minorHAnsi" w:hAnsiTheme="minorHAnsi" w:cstheme="minorHAnsi"/>
        </w:rPr>
        <w:t> </w:t>
      </w:r>
      <w:r w:rsidRPr="003241AE">
        <w:rPr>
          <w:rFonts w:asciiTheme="minorHAnsi" w:hAnsiTheme="minorHAnsi" w:cstheme="minorHAnsi"/>
        </w:rPr>
        <w:t>to v důsledku nejednoznačnosti a nejasnosti předpisů upravujících vedení účetnictví</w:t>
      </w:r>
      <w:r w:rsidRPr="003241AE">
        <w:rPr>
          <w:rStyle w:val="Znakapoznpodarou"/>
          <w:rFonts w:asciiTheme="minorHAnsi" w:hAnsiTheme="minorHAnsi" w:cstheme="minorHAnsi"/>
        </w:rPr>
        <w:footnoteReference w:id="6"/>
      </w:r>
      <w:r w:rsidRPr="003241AE">
        <w:rPr>
          <w:rFonts w:asciiTheme="minorHAnsi" w:hAnsiTheme="minorHAnsi" w:cstheme="minorHAnsi"/>
        </w:rPr>
        <w:t xml:space="preserve"> </w:t>
      </w:r>
      <w:r w:rsidR="00465A06">
        <w:rPr>
          <w:rFonts w:asciiTheme="minorHAnsi" w:hAnsiTheme="minorHAnsi" w:cstheme="minorHAnsi"/>
        </w:rPr>
        <w:t>v </w:t>
      </w:r>
      <w:r w:rsidRPr="003241AE">
        <w:rPr>
          <w:rFonts w:asciiTheme="minorHAnsi" w:hAnsiTheme="minorHAnsi" w:cstheme="minorHAnsi"/>
        </w:rPr>
        <w:t>oblast</w:t>
      </w:r>
      <w:r w:rsidR="00465A06">
        <w:rPr>
          <w:rFonts w:asciiTheme="minorHAnsi" w:hAnsiTheme="minorHAnsi" w:cstheme="minorHAnsi"/>
        </w:rPr>
        <w:t>i</w:t>
      </w:r>
      <w:r w:rsidRPr="003241AE">
        <w:rPr>
          <w:rFonts w:asciiTheme="minorHAnsi" w:hAnsiTheme="minorHAnsi" w:cstheme="minorHAnsi"/>
        </w:rPr>
        <w:t xml:space="preserve"> transferů spolufinancovaných z rozpočtu </w:t>
      </w:r>
      <w:r w:rsidR="005050DA" w:rsidRPr="003241AE">
        <w:rPr>
          <w:rFonts w:asciiTheme="minorHAnsi" w:hAnsiTheme="minorHAnsi" w:cs="Calibri"/>
        </w:rPr>
        <w:t>Evropské unie (</w:t>
      </w:r>
      <w:r w:rsidR="00465A06">
        <w:rPr>
          <w:rFonts w:asciiTheme="minorHAnsi" w:hAnsiTheme="minorHAnsi" w:cs="Calibri"/>
        </w:rPr>
        <w:t>dále jen</w:t>
      </w:r>
      <w:r w:rsidR="005050DA" w:rsidRPr="003241AE">
        <w:rPr>
          <w:rFonts w:asciiTheme="minorHAnsi" w:hAnsiTheme="minorHAnsi" w:cs="Calibri"/>
        </w:rPr>
        <w:t xml:space="preserve"> „EU“) a</w:t>
      </w:r>
      <w:r w:rsidR="004D365F">
        <w:rPr>
          <w:rFonts w:asciiTheme="minorHAnsi" w:hAnsiTheme="minorHAnsi" w:cs="Calibri"/>
        </w:rPr>
        <w:t> </w:t>
      </w:r>
      <w:r w:rsidR="005050DA" w:rsidRPr="003241AE">
        <w:rPr>
          <w:rFonts w:asciiTheme="minorHAnsi" w:hAnsiTheme="minorHAnsi" w:cs="Calibri"/>
        </w:rPr>
        <w:t>z </w:t>
      </w:r>
      <w:r w:rsidR="00465A06">
        <w:rPr>
          <w:rFonts w:asciiTheme="minorHAnsi" w:hAnsiTheme="minorHAnsi" w:cs="Calibri"/>
        </w:rPr>
        <w:t>f</w:t>
      </w:r>
      <w:r w:rsidR="005050DA" w:rsidRPr="003241AE">
        <w:rPr>
          <w:rFonts w:asciiTheme="minorHAnsi" w:hAnsiTheme="minorHAnsi" w:cs="Calibri"/>
        </w:rPr>
        <w:t>inančních mechanismů Evropského hospodářského p</w:t>
      </w:r>
      <w:r w:rsidR="00B81458">
        <w:rPr>
          <w:rFonts w:asciiTheme="minorHAnsi" w:hAnsiTheme="minorHAnsi" w:cs="Calibri"/>
        </w:rPr>
        <w:t xml:space="preserve">rostoru a Norska (dále </w:t>
      </w:r>
      <w:r w:rsidR="00465A06">
        <w:rPr>
          <w:rFonts w:asciiTheme="minorHAnsi" w:hAnsiTheme="minorHAnsi" w:cs="Calibri"/>
        </w:rPr>
        <w:t>jen</w:t>
      </w:r>
      <w:r w:rsidR="00B81458">
        <w:rPr>
          <w:rFonts w:asciiTheme="minorHAnsi" w:hAnsiTheme="minorHAnsi" w:cs="Calibri"/>
        </w:rPr>
        <w:t xml:space="preserve"> „FM </w:t>
      </w:r>
      <w:r w:rsidR="005050DA" w:rsidRPr="003241AE">
        <w:rPr>
          <w:rFonts w:asciiTheme="minorHAnsi" w:hAnsiTheme="minorHAnsi" w:cs="Calibri"/>
        </w:rPr>
        <w:t xml:space="preserve">EHP“) </w:t>
      </w:r>
      <w:r w:rsidRPr="003241AE">
        <w:rPr>
          <w:rFonts w:asciiTheme="minorHAnsi" w:hAnsiTheme="minorHAnsi" w:cstheme="minorHAnsi"/>
        </w:rPr>
        <w:t xml:space="preserve">a poskytovaných konečným příjemcům formou předfinancování ze státního rozpočtu. </w:t>
      </w:r>
      <w:r w:rsidRPr="003241AE">
        <w:rPr>
          <w:rFonts w:asciiTheme="minorHAnsi" w:hAnsiTheme="minorHAnsi" w:cstheme="minorHAnsi"/>
          <w:b/>
        </w:rPr>
        <w:t>NKÚ se proto ke spolehlivosti údajů ÚZ nevyjadřuje</w:t>
      </w:r>
      <w:r w:rsidRPr="005A7B38">
        <w:rPr>
          <w:rFonts w:asciiTheme="minorHAnsi" w:hAnsiTheme="minorHAnsi" w:cstheme="minorHAnsi"/>
          <w:b/>
        </w:rPr>
        <w:t>.</w:t>
      </w:r>
      <w:r w:rsidR="001F611F" w:rsidRPr="005A7B38">
        <w:rPr>
          <w:rFonts w:asciiTheme="minorHAnsi" w:hAnsiTheme="minorHAnsi" w:cstheme="minorHAnsi"/>
          <w:b/>
        </w:rPr>
        <w:t xml:space="preserve"> </w:t>
      </w:r>
      <w:r w:rsidR="001F611F" w:rsidRPr="005A7B38">
        <w:rPr>
          <w:rFonts w:asciiTheme="minorHAnsi" w:hAnsiTheme="minorHAnsi" w:cstheme="minorHAnsi"/>
        </w:rPr>
        <w:t xml:space="preserve">Nicméně </w:t>
      </w:r>
      <w:r w:rsidR="00465A06">
        <w:rPr>
          <w:rFonts w:asciiTheme="minorHAnsi" w:hAnsiTheme="minorHAnsi" w:cstheme="minorHAnsi"/>
        </w:rPr>
        <w:t>i </w:t>
      </w:r>
      <w:r w:rsidR="00B81458">
        <w:rPr>
          <w:rFonts w:asciiTheme="minorHAnsi" w:hAnsiTheme="minorHAnsi" w:cstheme="minorHAnsi"/>
        </w:rPr>
        <w:t>informace o </w:t>
      </w:r>
      <w:r w:rsidR="005A7B38" w:rsidRPr="005A7B38">
        <w:rPr>
          <w:rFonts w:asciiTheme="minorHAnsi" w:hAnsiTheme="minorHAnsi" w:cstheme="minorHAnsi"/>
        </w:rPr>
        <w:t xml:space="preserve">nevyjádření se k oblasti transferů či </w:t>
      </w:r>
      <w:r w:rsidR="00465A06">
        <w:rPr>
          <w:rFonts w:asciiTheme="minorHAnsi" w:hAnsiTheme="minorHAnsi" w:cstheme="minorHAnsi"/>
        </w:rPr>
        <w:t>údaje o jiných chybách</w:t>
      </w:r>
      <w:r w:rsidR="005A7B38" w:rsidRPr="005A7B38">
        <w:rPr>
          <w:rFonts w:asciiTheme="minorHAnsi" w:hAnsiTheme="minorHAnsi" w:cstheme="minorHAnsi"/>
        </w:rPr>
        <w:t xml:space="preserve"> v</w:t>
      </w:r>
      <w:r w:rsidR="00465A06">
        <w:rPr>
          <w:rFonts w:asciiTheme="minorHAnsi" w:hAnsiTheme="minorHAnsi" w:cstheme="minorHAnsi"/>
        </w:rPr>
        <w:t> </w:t>
      </w:r>
      <w:r w:rsidR="005A7B38" w:rsidRPr="005A7B38">
        <w:rPr>
          <w:rFonts w:asciiTheme="minorHAnsi" w:hAnsiTheme="minorHAnsi" w:cstheme="minorHAnsi"/>
        </w:rPr>
        <w:t>účetnictví MK k</w:t>
      </w:r>
      <w:r w:rsidR="009C77C9">
        <w:rPr>
          <w:rFonts w:asciiTheme="minorHAnsi" w:hAnsiTheme="minorHAnsi" w:cstheme="minorHAnsi"/>
        </w:rPr>
        <w:t xml:space="preserve"> </w:t>
      </w:r>
      <w:r w:rsidR="00C24C5C" w:rsidRPr="005A7B38">
        <w:rPr>
          <w:rFonts w:asciiTheme="minorHAnsi" w:hAnsiTheme="minorHAnsi" w:cstheme="minorHAnsi"/>
        </w:rPr>
        <w:t>31. 12. 2014</w:t>
      </w:r>
      <w:r w:rsidR="005A7B38" w:rsidRPr="005A7B38">
        <w:rPr>
          <w:rFonts w:asciiTheme="minorHAnsi" w:hAnsiTheme="minorHAnsi" w:cstheme="minorHAnsi"/>
        </w:rPr>
        <w:t xml:space="preserve"> j</w:t>
      </w:r>
      <w:r w:rsidR="00424E95">
        <w:rPr>
          <w:rFonts w:asciiTheme="minorHAnsi" w:hAnsiTheme="minorHAnsi" w:cstheme="minorHAnsi"/>
        </w:rPr>
        <w:t>sou</w:t>
      </w:r>
      <w:r w:rsidR="005A7B38" w:rsidRPr="005A7B38">
        <w:rPr>
          <w:rFonts w:asciiTheme="minorHAnsi" w:hAnsiTheme="minorHAnsi" w:cstheme="minorHAnsi"/>
        </w:rPr>
        <w:t xml:space="preserve"> důležité, protože se současně jedná o vyjádření k</w:t>
      </w:r>
      <w:r w:rsidR="00465A06">
        <w:rPr>
          <w:rFonts w:asciiTheme="minorHAnsi" w:hAnsiTheme="minorHAnsi" w:cstheme="minorHAnsi"/>
        </w:rPr>
        <w:t> </w:t>
      </w:r>
      <w:r w:rsidR="005A7B38" w:rsidRPr="005A7B38">
        <w:rPr>
          <w:rFonts w:asciiTheme="minorHAnsi" w:hAnsiTheme="minorHAnsi" w:cstheme="minorHAnsi"/>
        </w:rPr>
        <w:t>počátečním stavům roku 2015</w:t>
      </w:r>
      <w:r w:rsidR="00B81458">
        <w:rPr>
          <w:rFonts w:asciiTheme="minorHAnsi" w:hAnsiTheme="minorHAnsi" w:cstheme="minorHAnsi"/>
        </w:rPr>
        <w:t>,</w:t>
      </w:r>
      <w:r w:rsidR="005A7B38" w:rsidRPr="005A7B38">
        <w:rPr>
          <w:rFonts w:asciiTheme="minorHAnsi" w:hAnsiTheme="minorHAnsi" w:cstheme="minorHAnsi"/>
        </w:rPr>
        <w:t xml:space="preserve"> a tudíž je zřejmé, že účetní výkazy za ČR, které budou za rok 2015 sestavovány, budou těmito počátečními stavy ovlivněny.</w:t>
      </w:r>
    </w:p>
    <w:p w:rsidR="009F544B" w:rsidRDefault="009F544B" w:rsidP="00D90F73">
      <w:pPr>
        <w:jc w:val="both"/>
        <w:rPr>
          <w:rFonts w:asciiTheme="minorHAnsi" w:hAnsiTheme="minorHAnsi" w:cstheme="minorHAnsi"/>
          <w:b/>
        </w:rPr>
      </w:pPr>
    </w:p>
    <w:p w:rsidR="00607306" w:rsidRPr="00391416" w:rsidRDefault="00607306" w:rsidP="00607306">
      <w:pPr>
        <w:jc w:val="both"/>
        <w:rPr>
          <w:rFonts w:asciiTheme="minorHAnsi" w:hAnsiTheme="minorHAnsi" w:cstheme="minorHAnsi"/>
        </w:rPr>
      </w:pPr>
      <w:r w:rsidRPr="00391416">
        <w:rPr>
          <w:rFonts w:asciiTheme="minorHAnsi" w:hAnsiTheme="minorHAnsi" w:cstheme="minorHAnsi"/>
        </w:rPr>
        <w:t>Nejednoznačnosti a nejasnosti ustanovení účetních předpisů, které nelze dávat k tíži účetní jednotce, způsobují odlišný výklad</w:t>
      </w:r>
      <w:r w:rsidR="00465A06">
        <w:rPr>
          <w:rFonts w:asciiTheme="minorHAnsi" w:hAnsiTheme="minorHAnsi" w:cstheme="minorHAnsi"/>
        </w:rPr>
        <w:t xml:space="preserve"> těchto předpisů, vykazování odlišných údajů v </w:t>
      </w:r>
      <w:r w:rsidRPr="00391416">
        <w:rPr>
          <w:rFonts w:asciiTheme="minorHAnsi" w:hAnsiTheme="minorHAnsi" w:cstheme="minorHAnsi"/>
        </w:rPr>
        <w:t>účetních závěrkách a nesrovnatelnost</w:t>
      </w:r>
      <w:r w:rsidR="00465A06">
        <w:rPr>
          <w:rFonts w:asciiTheme="minorHAnsi" w:hAnsiTheme="minorHAnsi" w:cstheme="minorHAnsi"/>
        </w:rPr>
        <w:t xml:space="preserve"> těchto údajů</w:t>
      </w:r>
      <w:r w:rsidRPr="00391416">
        <w:rPr>
          <w:rFonts w:asciiTheme="minorHAnsi" w:hAnsiTheme="minorHAnsi" w:cstheme="minorHAnsi"/>
        </w:rPr>
        <w:t xml:space="preserve"> mezi vybranými účetními jednotkami i v časové řadě.</w:t>
      </w:r>
      <w:r w:rsidR="002968BE" w:rsidRPr="00391416" w:rsidDel="002968BE">
        <w:rPr>
          <w:rStyle w:val="Znakapoznpodarou"/>
          <w:rFonts w:asciiTheme="minorHAnsi" w:hAnsiTheme="minorHAnsi" w:cstheme="minorHAnsi"/>
        </w:rPr>
        <w:t xml:space="preserve"> </w:t>
      </w:r>
      <w:r w:rsidR="00424E95">
        <w:rPr>
          <w:rFonts w:asciiTheme="minorHAnsi" w:hAnsiTheme="minorHAnsi" w:cstheme="minorHAnsi"/>
        </w:rPr>
        <w:t xml:space="preserve">S účinností od 1. </w:t>
      </w:r>
      <w:r w:rsidR="00D92F73">
        <w:rPr>
          <w:rFonts w:asciiTheme="minorHAnsi" w:hAnsiTheme="minorHAnsi" w:cstheme="minorHAnsi"/>
        </w:rPr>
        <w:t xml:space="preserve">1. </w:t>
      </w:r>
      <w:r w:rsidR="00424E95">
        <w:rPr>
          <w:rFonts w:asciiTheme="minorHAnsi" w:hAnsiTheme="minorHAnsi" w:cstheme="minorHAnsi"/>
        </w:rPr>
        <w:t>201</w:t>
      </w:r>
      <w:r w:rsidR="00465A06">
        <w:rPr>
          <w:rFonts w:asciiTheme="minorHAnsi" w:hAnsiTheme="minorHAnsi" w:cstheme="minorHAnsi"/>
        </w:rPr>
        <w:t>5 byla novelizována vyhláška č. </w:t>
      </w:r>
      <w:r w:rsidR="00424E95">
        <w:rPr>
          <w:rFonts w:asciiTheme="minorHAnsi" w:hAnsiTheme="minorHAnsi" w:cstheme="minorHAnsi"/>
        </w:rPr>
        <w:t>410/2009</w:t>
      </w:r>
      <w:r w:rsidR="00B81458">
        <w:rPr>
          <w:rFonts w:asciiTheme="minorHAnsi" w:hAnsiTheme="minorHAnsi" w:cstheme="minorHAnsi"/>
        </w:rPr>
        <w:t> Sb.</w:t>
      </w:r>
      <w:r w:rsidR="00424E95">
        <w:rPr>
          <w:rFonts w:asciiTheme="minorHAnsi" w:hAnsiTheme="minorHAnsi" w:cstheme="minorHAnsi"/>
        </w:rPr>
        <w:t xml:space="preserve"> a </w:t>
      </w:r>
      <w:r w:rsidR="00465A06">
        <w:rPr>
          <w:rFonts w:asciiTheme="minorHAnsi" w:hAnsiTheme="minorHAnsi" w:cstheme="minorHAnsi"/>
        </w:rPr>
        <w:t>český účetní standard (dále jen „</w:t>
      </w:r>
      <w:r w:rsidR="00424E95">
        <w:rPr>
          <w:rFonts w:asciiTheme="minorHAnsi" w:hAnsiTheme="minorHAnsi" w:cstheme="minorHAnsi"/>
        </w:rPr>
        <w:t>ČÚS</w:t>
      </w:r>
      <w:r w:rsidR="00465A06">
        <w:rPr>
          <w:rFonts w:asciiTheme="minorHAnsi" w:hAnsiTheme="minorHAnsi" w:cstheme="minorHAnsi"/>
        </w:rPr>
        <w:t>“)</w:t>
      </w:r>
      <w:r w:rsidR="00424E95">
        <w:rPr>
          <w:rFonts w:asciiTheme="minorHAnsi" w:hAnsiTheme="minorHAnsi" w:cstheme="minorHAnsi"/>
        </w:rPr>
        <w:t xml:space="preserve"> č. 703 – </w:t>
      </w:r>
      <w:r w:rsidR="00424E95" w:rsidRPr="00424E95">
        <w:rPr>
          <w:rFonts w:asciiTheme="minorHAnsi" w:hAnsiTheme="minorHAnsi" w:cstheme="minorHAnsi"/>
          <w:i/>
        </w:rPr>
        <w:t>Transfery</w:t>
      </w:r>
      <w:r w:rsidR="00424E95">
        <w:rPr>
          <w:rFonts w:asciiTheme="minorHAnsi" w:hAnsiTheme="minorHAnsi" w:cstheme="minorHAnsi"/>
        </w:rPr>
        <w:t xml:space="preserve"> a byla odstraněna základní nejednoznačnost ohledně role OSS při předfinancování prostředků z rozpočtu E</w:t>
      </w:r>
      <w:r w:rsidR="00465A06">
        <w:rPr>
          <w:rFonts w:asciiTheme="minorHAnsi" w:hAnsiTheme="minorHAnsi" w:cstheme="minorHAnsi"/>
        </w:rPr>
        <w:t>U</w:t>
      </w:r>
      <w:r w:rsidR="00424E95">
        <w:rPr>
          <w:rFonts w:asciiTheme="minorHAnsi" w:hAnsiTheme="minorHAnsi" w:cstheme="minorHAnsi"/>
        </w:rPr>
        <w:t xml:space="preserve"> ze státního rozpočtu. OSS tak poskytují tyto prostředky ve </w:t>
      </w:r>
      <w:r w:rsidR="00C24C5C">
        <w:rPr>
          <w:rFonts w:asciiTheme="minorHAnsi" w:hAnsiTheme="minorHAnsi" w:cstheme="minorHAnsi"/>
        </w:rPr>
        <w:t>smyslu</w:t>
      </w:r>
      <w:r w:rsidR="00424E95">
        <w:rPr>
          <w:rFonts w:asciiTheme="minorHAnsi" w:hAnsiTheme="minorHAnsi" w:cstheme="minorHAnsi"/>
        </w:rPr>
        <w:t xml:space="preserve"> novelizovaného ČÚS</w:t>
      </w:r>
      <w:r w:rsidR="002968BE">
        <w:rPr>
          <w:rFonts w:asciiTheme="minorHAnsi" w:hAnsiTheme="minorHAnsi" w:cstheme="minorHAnsi"/>
        </w:rPr>
        <w:t xml:space="preserve"> </w:t>
      </w:r>
      <w:r w:rsidR="00465A06">
        <w:rPr>
          <w:rFonts w:asciiTheme="minorHAnsi" w:hAnsiTheme="minorHAnsi" w:cstheme="minorHAnsi"/>
        </w:rPr>
        <w:t>č. </w:t>
      </w:r>
      <w:r w:rsidR="002968BE">
        <w:rPr>
          <w:rFonts w:asciiTheme="minorHAnsi" w:hAnsiTheme="minorHAnsi" w:cstheme="minorHAnsi"/>
        </w:rPr>
        <w:t xml:space="preserve">703 </w:t>
      </w:r>
      <w:r w:rsidR="00424E95">
        <w:rPr>
          <w:rFonts w:asciiTheme="minorHAnsi" w:hAnsiTheme="minorHAnsi" w:cstheme="minorHAnsi"/>
        </w:rPr>
        <w:t>v</w:t>
      </w:r>
      <w:r w:rsidR="00D92F73">
        <w:rPr>
          <w:rFonts w:asciiTheme="minorHAnsi" w:hAnsiTheme="minorHAnsi" w:cstheme="minorHAnsi"/>
        </w:rPr>
        <w:t> </w:t>
      </w:r>
      <w:r w:rsidR="00424E95">
        <w:rPr>
          <w:rFonts w:asciiTheme="minorHAnsi" w:hAnsiTheme="minorHAnsi" w:cstheme="minorHAnsi"/>
        </w:rPr>
        <w:t>roli poskytovatele.</w:t>
      </w:r>
      <w:r w:rsidRPr="00391416">
        <w:rPr>
          <w:rFonts w:asciiTheme="minorHAnsi" w:hAnsiTheme="minorHAnsi" w:cstheme="minorHAnsi"/>
        </w:rPr>
        <w:t xml:space="preserve"> </w:t>
      </w:r>
    </w:p>
    <w:p w:rsidR="00607306" w:rsidRPr="00391416" w:rsidRDefault="00607306" w:rsidP="00607306">
      <w:pPr>
        <w:jc w:val="both"/>
        <w:rPr>
          <w:rFonts w:asciiTheme="minorHAnsi" w:hAnsiTheme="minorHAnsi" w:cstheme="minorHAnsi"/>
        </w:rPr>
      </w:pPr>
    </w:p>
    <w:p w:rsidR="00607306" w:rsidRDefault="00607306" w:rsidP="00607306">
      <w:pPr>
        <w:jc w:val="both"/>
        <w:rPr>
          <w:rFonts w:asciiTheme="minorHAnsi" w:hAnsiTheme="minorHAnsi" w:cstheme="minorHAnsi"/>
        </w:rPr>
      </w:pPr>
      <w:r w:rsidRPr="00391416">
        <w:rPr>
          <w:rFonts w:asciiTheme="minorHAnsi" w:hAnsiTheme="minorHAnsi" w:cstheme="minorHAnsi"/>
        </w:rPr>
        <w:t xml:space="preserve">Současně je </w:t>
      </w:r>
      <w:r w:rsidR="00465A06">
        <w:rPr>
          <w:rFonts w:asciiTheme="minorHAnsi" w:hAnsiTheme="minorHAnsi" w:cstheme="minorHAnsi"/>
        </w:rPr>
        <w:t>nutné</w:t>
      </w:r>
      <w:r w:rsidRPr="00391416">
        <w:rPr>
          <w:rFonts w:asciiTheme="minorHAnsi" w:hAnsiTheme="minorHAnsi" w:cstheme="minorHAnsi"/>
        </w:rPr>
        <w:t xml:space="preserve"> uvést, že </w:t>
      </w:r>
      <w:r w:rsidRPr="005A7B38">
        <w:rPr>
          <w:rFonts w:asciiTheme="minorHAnsi" w:hAnsiTheme="minorHAnsi" w:cstheme="minorHAnsi"/>
        </w:rPr>
        <w:t xml:space="preserve">nesprávnosti </w:t>
      </w:r>
      <w:r w:rsidR="00E024E0" w:rsidRPr="005A7B38">
        <w:rPr>
          <w:rFonts w:asciiTheme="minorHAnsi" w:hAnsiTheme="minorHAnsi" w:cstheme="minorHAnsi"/>
        </w:rPr>
        <w:t xml:space="preserve">zjištěné </w:t>
      </w:r>
      <w:r w:rsidRPr="005A7B38">
        <w:rPr>
          <w:rFonts w:asciiTheme="minorHAnsi" w:hAnsiTheme="minorHAnsi" w:cstheme="minorHAnsi"/>
        </w:rPr>
        <w:t>v</w:t>
      </w:r>
      <w:r w:rsidR="009C77C9">
        <w:rPr>
          <w:rFonts w:asciiTheme="minorHAnsi" w:hAnsiTheme="minorHAnsi" w:cstheme="minorHAnsi"/>
        </w:rPr>
        <w:t xml:space="preserve"> </w:t>
      </w:r>
      <w:r w:rsidRPr="005A7B38">
        <w:rPr>
          <w:rFonts w:asciiTheme="minorHAnsi" w:hAnsiTheme="minorHAnsi" w:cstheme="minorHAnsi"/>
        </w:rPr>
        <w:t>ÚZ</w:t>
      </w:r>
      <w:r w:rsidR="00E024E0" w:rsidRPr="005A7B38">
        <w:rPr>
          <w:rFonts w:asciiTheme="minorHAnsi" w:hAnsiTheme="minorHAnsi" w:cstheme="minorHAnsi"/>
        </w:rPr>
        <w:t xml:space="preserve"> a</w:t>
      </w:r>
      <w:r w:rsidR="00465A06">
        <w:rPr>
          <w:rFonts w:asciiTheme="minorHAnsi" w:hAnsiTheme="minorHAnsi" w:cstheme="minorHAnsi"/>
        </w:rPr>
        <w:t xml:space="preserve"> v</w:t>
      </w:r>
      <w:r w:rsidR="00E024E0" w:rsidRPr="005A7B38">
        <w:rPr>
          <w:rFonts w:asciiTheme="minorHAnsi" w:hAnsiTheme="minorHAnsi" w:cstheme="minorHAnsi"/>
        </w:rPr>
        <w:t xml:space="preserve"> účetnictví MK</w:t>
      </w:r>
      <w:r w:rsidRPr="005A7B38">
        <w:rPr>
          <w:rFonts w:asciiTheme="minorHAnsi" w:hAnsiTheme="minorHAnsi" w:cstheme="minorHAnsi"/>
        </w:rPr>
        <w:t xml:space="preserve"> v oblastech </w:t>
      </w:r>
      <w:r w:rsidR="00465A06">
        <w:rPr>
          <w:rFonts w:asciiTheme="minorHAnsi" w:hAnsiTheme="minorHAnsi" w:cstheme="minorHAnsi"/>
        </w:rPr>
        <w:t>nezatížených nejednoznačností a </w:t>
      </w:r>
      <w:r w:rsidRPr="005A7B38">
        <w:rPr>
          <w:rFonts w:asciiTheme="minorHAnsi" w:hAnsiTheme="minorHAnsi" w:cstheme="minorHAnsi"/>
        </w:rPr>
        <w:t>nejasností právních předpisů měly významný dopad na údaje ÚZ</w:t>
      </w:r>
      <w:r w:rsidR="00465A06">
        <w:rPr>
          <w:rFonts w:asciiTheme="minorHAnsi" w:hAnsiTheme="minorHAnsi" w:cstheme="minorHAnsi"/>
        </w:rPr>
        <w:t xml:space="preserve"> </w:t>
      </w:r>
      <w:r w:rsidR="00465A06" w:rsidRPr="005A7B38">
        <w:rPr>
          <w:rFonts w:asciiTheme="minorHAnsi" w:hAnsiTheme="minorHAnsi" w:cstheme="minorHAnsi"/>
        </w:rPr>
        <w:t>(viz dále v</w:t>
      </w:r>
      <w:r w:rsidR="00465A06">
        <w:rPr>
          <w:rFonts w:asciiTheme="minorHAnsi" w:hAnsiTheme="minorHAnsi" w:cstheme="minorHAnsi"/>
        </w:rPr>
        <w:t> kontrolním závěru</w:t>
      </w:r>
      <w:r w:rsidR="00465A06" w:rsidRPr="005A7B38">
        <w:rPr>
          <w:rFonts w:asciiTheme="minorHAnsi" w:hAnsiTheme="minorHAnsi" w:cstheme="minorHAnsi"/>
        </w:rPr>
        <w:t>)</w:t>
      </w:r>
      <w:r w:rsidRPr="005A7B38">
        <w:rPr>
          <w:rFonts w:asciiTheme="minorHAnsi" w:hAnsiTheme="minorHAnsi" w:cstheme="minorHAnsi"/>
        </w:rPr>
        <w:t xml:space="preserve">. </w:t>
      </w:r>
    </w:p>
    <w:p w:rsidR="00B81458" w:rsidRPr="005A7B38" w:rsidRDefault="00B81458" w:rsidP="00607306">
      <w:pPr>
        <w:jc w:val="both"/>
        <w:rPr>
          <w:rFonts w:asciiTheme="minorHAnsi" w:hAnsiTheme="minorHAnsi" w:cstheme="minorHAnsi"/>
        </w:rPr>
      </w:pPr>
    </w:p>
    <w:p w:rsidR="00607306" w:rsidRPr="005A7B38" w:rsidRDefault="00607306" w:rsidP="00607306">
      <w:pPr>
        <w:jc w:val="both"/>
        <w:rPr>
          <w:rFonts w:asciiTheme="minorHAnsi" w:hAnsiTheme="minorHAnsi" w:cstheme="minorHAnsi"/>
        </w:rPr>
      </w:pPr>
      <w:r w:rsidRPr="005A7B38">
        <w:rPr>
          <w:rFonts w:asciiTheme="minorHAnsi" w:hAnsiTheme="minorHAnsi" w:cstheme="minorHAnsi"/>
        </w:rPr>
        <w:t>V případě nepřijetí</w:t>
      </w:r>
      <w:r w:rsidR="00E024E0" w:rsidRPr="005A7B38">
        <w:rPr>
          <w:rFonts w:asciiTheme="minorHAnsi" w:hAnsiTheme="minorHAnsi" w:cstheme="minorHAnsi"/>
        </w:rPr>
        <w:t xml:space="preserve"> opatření k nápravě ze strany MK</w:t>
      </w:r>
      <w:r w:rsidRPr="005A7B38">
        <w:rPr>
          <w:rFonts w:asciiTheme="minorHAnsi" w:hAnsiTheme="minorHAnsi" w:cstheme="minorHAnsi"/>
        </w:rPr>
        <w:t xml:space="preserve"> </w:t>
      </w:r>
      <w:r w:rsidR="00465A06" w:rsidRPr="005A7B38">
        <w:rPr>
          <w:rFonts w:asciiTheme="minorHAnsi" w:hAnsiTheme="minorHAnsi" w:cstheme="minorHAnsi"/>
        </w:rPr>
        <w:t xml:space="preserve">ovlivní </w:t>
      </w:r>
      <w:r w:rsidRPr="005A7B38">
        <w:rPr>
          <w:rFonts w:asciiTheme="minorHAnsi" w:hAnsiTheme="minorHAnsi" w:cstheme="minorHAnsi"/>
        </w:rPr>
        <w:t xml:space="preserve">nesprávnosti účetní výkazy </w:t>
      </w:r>
      <w:r w:rsidR="00E024E0" w:rsidRPr="005A7B38">
        <w:rPr>
          <w:rFonts w:asciiTheme="minorHAnsi" w:hAnsiTheme="minorHAnsi" w:cstheme="minorHAnsi"/>
        </w:rPr>
        <w:t>za následující účetní období a následně v</w:t>
      </w:r>
      <w:r w:rsidR="009C77C9">
        <w:rPr>
          <w:rFonts w:asciiTheme="minorHAnsi" w:hAnsiTheme="minorHAnsi" w:cstheme="minorHAnsi"/>
        </w:rPr>
        <w:t xml:space="preserve"> </w:t>
      </w:r>
      <w:r w:rsidR="00E024E0" w:rsidRPr="005A7B38">
        <w:rPr>
          <w:rFonts w:asciiTheme="minorHAnsi" w:hAnsiTheme="minorHAnsi" w:cstheme="minorHAnsi"/>
        </w:rPr>
        <w:t xml:space="preserve">rámci konsolidačního celku státu </w:t>
      </w:r>
      <w:r w:rsidR="00465A06">
        <w:rPr>
          <w:rFonts w:asciiTheme="minorHAnsi" w:hAnsiTheme="minorHAnsi" w:cstheme="minorHAnsi"/>
        </w:rPr>
        <w:t>i </w:t>
      </w:r>
      <w:r w:rsidR="00E024E0" w:rsidRPr="005A7B38">
        <w:rPr>
          <w:rFonts w:asciiTheme="minorHAnsi" w:hAnsiTheme="minorHAnsi" w:cstheme="minorHAnsi"/>
        </w:rPr>
        <w:t xml:space="preserve">výkazy </w:t>
      </w:r>
      <w:r w:rsidRPr="005A7B38">
        <w:rPr>
          <w:rFonts w:asciiTheme="minorHAnsi" w:hAnsiTheme="minorHAnsi" w:cstheme="minorHAnsi"/>
        </w:rPr>
        <w:t>za Českou republiku.</w:t>
      </w:r>
    </w:p>
    <w:p w:rsidR="00607306" w:rsidRPr="005A7B38" w:rsidRDefault="00607306" w:rsidP="00D90F73">
      <w:pPr>
        <w:jc w:val="both"/>
        <w:rPr>
          <w:rFonts w:asciiTheme="minorHAnsi" w:hAnsiTheme="minorHAnsi" w:cstheme="minorHAnsi"/>
        </w:rPr>
      </w:pPr>
    </w:p>
    <w:p w:rsidR="009F544B" w:rsidRPr="003241AE" w:rsidRDefault="009801A4" w:rsidP="00F35DF5">
      <w:pPr>
        <w:jc w:val="both"/>
        <w:rPr>
          <w:rFonts w:asciiTheme="minorHAnsi" w:hAnsiTheme="minorHAnsi" w:cstheme="minorHAnsi"/>
          <w:b/>
        </w:rPr>
      </w:pPr>
      <w:r>
        <w:rPr>
          <w:rFonts w:asciiTheme="minorHAnsi" w:hAnsiTheme="minorHAnsi" w:cstheme="minorHAnsi"/>
          <w:b/>
        </w:rPr>
        <w:t xml:space="preserve">2. </w:t>
      </w:r>
      <w:r w:rsidR="009F544B" w:rsidRPr="003241AE">
        <w:rPr>
          <w:rFonts w:asciiTheme="minorHAnsi" w:hAnsiTheme="minorHAnsi" w:cstheme="minorHAnsi"/>
          <w:b/>
        </w:rPr>
        <w:t>Vyhodnocení vedení účetnictví</w:t>
      </w:r>
    </w:p>
    <w:p w:rsidR="009F544B" w:rsidRPr="003241AE" w:rsidRDefault="009F544B" w:rsidP="00F35DF5">
      <w:pPr>
        <w:jc w:val="both"/>
        <w:rPr>
          <w:rFonts w:asciiTheme="minorHAnsi" w:hAnsiTheme="minorHAnsi" w:cstheme="minorHAnsi"/>
          <w:b/>
        </w:rPr>
      </w:pPr>
    </w:p>
    <w:p w:rsidR="009F544B" w:rsidRPr="003241AE" w:rsidRDefault="009F544B" w:rsidP="00F35DF5">
      <w:pPr>
        <w:jc w:val="both"/>
        <w:rPr>
          <w:rFonts w:asciiTheme="minorHAnsi" w:hAnsiTheme="minorHAnsi" w:cstheme="minorHAnsi"/>
        </w:rPr>
      </w:pPr>
      <w:r w:rsidRPr="003241AE">
        <w:rPr>
          <w:rFonts w:asciiTheme="minorHAnsi" w:hAnsiTheme="minorHAnsi" w:cstheme="minorHAnsi"/>
        </w:rPr>
        <w:t xml:space="preserve">V souladu se stanoveným cílem kontroly </w:t>
      </w:r>
      <w:r w:rsidR="00625267" w:rsidRPr="003241AE">
        <w:rPr>
          <w:rFonts w:asciiTheme="minorHAnsi" w:hAnsiTheme="minorHAnsi" w:cstheme="minorHAnsi"/>
        </w:rPr>
        <w:t>bylo prověřeno</w:t>
      </w:r>
      <w:r w:rsidRPr="003241AE">
        <w:rPr>
          <w:rFonts w:asciiTheme="minorHAnsi" w:hAnsiTheme="minorHAnsi" w:cstheme="minorHAnsi"/>
        </w:rPr>
        <w:t xml:space="preserve">, zda </w:t>
      </w:r>
      <w:r w:rsidR="00625267" w:rsidRPr="003241AE">
        <w:rPr>
          <w:rFonts w:asciiTheme="minorHAnsi" w:hAnsiTheme="minorHAnsi" w:cstheme="minorHAnsi"/>
        </w:rPr>
        <w:t>MK</w:t>
      </w:r>
      <w:r w:rsidRPr="003241AE">
        <w:rPr>
          <w:rFonts w:asciiTheme="minorHAnsi" w:hAnsiTheme="minorHAnsi" w:cstheme="minorHAnsi"/>
        </w:rPr>
        <w:t xml:space="preserve"> v roce 2014 při vedení účetnictví postupovalo v souladu s příslušnými právními předpisy. Byly zjištěny např. následující </w:t>
      </w:r>
      <w:r w:rsidR="00EC3B9C">
        <w:rPr>
          <w:rFonts w:asciiTheme="minorHAnsi" w:hAnsiTheme="minorHAnsi" w:cstheme="minorHAnsi"/>
        </w:rPr>
        <w:t>nedostatky</w:t>
      </w:r>
      <w:r w:rsidRPr="003241AE">
        <w:rPr>
          <w:rFonts w:asciiTheme="minorHAnsi" w:hAnsiTheme="minorHAnsi" w:cstheme="minorHAnsi"/>
        </w:rPr>
        <w:t>:</w:t>
      </w:r>
    </w:p>
    <w:p w:rsidR="009F544B" w:rsidRPr="003241AE" w:rsidRDefault="009F544B" w:rsidP="00A168CB">
      <w:pPr>
        <w:pStyle w:val="Odstavecseseznamem"/>
        <w:numPr>
          <w:ilvl w:val="0"/>
          <w:numId w:val="45"/>
        </w:numPr>
        <w:jc w:val="both"/>
        <w:rPr>
          <w:rFonts w:asciiTheme="minorHAnsi" w:hAnsiTheme="minorHAnsi" w:cstheme="minorHAnsi"/>
        </w:rPr>
      </w:pPr>
      <w:r w:rsidRPr="003241AE">
        <w:rPr>
          <w:rFonts w:asciiTheme="minorHAnsi" w:hAnsiTheme="minorHAnsi" w:cstheme="minorHAnsi"/>
        </w:rPr>
        <w:t>MK nesprávně účtovalo dotace poskytnuté zřízeným příspěvkovým organizacím na</w:t>
      </w:r>
      <w:r w:rsidR="009C77C9">
        <w:rPr>
          <w:rFonts w:asciiTheme="minorHAnsi" w:hAnsiTheme="minorHAnsi" w:cstheme="minorHAnsi"/>
        </w:rPr>
        <w:t xml:space="preserve"> </w:t>
      </w:r>
      <w:r w:rsidRPr="003241AE">
        <w:rPr>
          <w:rFonts w:asciiTheme="minorHAnsi" w:hAnsiTheme="minorHAnsi" w:cstheme="minorHAnsi"/>
        </w:rPr>
        <w:t xml:space="preserve">pořízení majetku jako poskytnuté transfery, ačkoli se o transfery nejedná (viz část </w:t>
      </w:r>
      <w:r w:rsidR="007A7B70">
        <w:rPr>
          <w:rFonts w:asciiTheme="minorHAnsi" w:hAnsiTheme="minorHAnsi" w:cstheme="minorHAnsi"/>
        </w:rPr>
        <w:t>III.</w:t>
      </w:r>
      <w:r w:rsidR="00092D06" w:rsidRPr="003241AE">
        <w:rPr>
          <w:rFonts w:asciiTheme="minorHAnsi" w:hAnsiTheme="minorHAnsi" w:cstheme="minorHAnsi"/>
        </w:rPr>
        <w:t>2.3</w:t>
      </w:r>
      <w:r w:rsidRPr="003241AE">
        <w:rPr>
          <w:rFonts w:asciiTheme="minorHAnsi" w:hAnsiTheme="minorHAnsi" w:cstheme="minorHAnsi"/>
        </w:rPr>
        <w:t xml:space="preserve"> </w:t>
      </w:r>
      <w:r w:rsidR="00B81458">
        <w:rPr>
          <w:rFonts w:asciiTheme="minorHAnsi" w:hAnsiTheme="minorHAnsi" w:cstheme="minorHAnsi"/>
        </w:rPr>
        <w:t xml:space="preserve">tohoto </w:t>
      </w:r>
      <w:r w:rsidRPr="003241AE">
        <w:rPr>
          <w:rFonts w:asciiTheme="minorHAnsi" w:hAnsiTheme="minorHAnsi" w:cstheme="minorHAnsi"/>
        </w:rPr>
        <w:t>kontrolního závěru)</w:t>
      </w:r>
      <w:r w:rsidR="00465A06">
        <w:rPr>
          <w:rFonts w:asciiTheme="minorHAnsi" w:hAnsiTheme="minorHAnsi" w:cstheme="minorHAnsi"/>
        </w:rPr>
        <w:t>.</w:t>
      </w:r>
    </w:p>
    <w:p w:rsidR="009F544B" w:rsidRPr="003241AE" w:rsidRDefault="009F544B" w:rsidP="00A168CB">
      <w:pPr>
        <w:pStyle w:val="Odstavecseseznamem"/>
        <w:numPr>
          <w:ilvl w:val="0"/>
          <w:numId w:val="45"/>
        </w:numPr>
        <w:jc w:val="both"/>
        <w:rPr>
          <w:rFonts w:asciiTheme="minorHAnsi" w:hAnsiTheme="minorHAnsi" w:cstheme="minorHAnsi"/>
        </w:rPr>
      </w:pPr>
      <w:r w:rsidRPr="003241AE">
        <w:rPr>
          <w:rFonts w:ascii="Calibri" w:hAnsi="Calibri" w:cs="Calibri"/>
        </w:rPr>
        <w:t>MK nesprávně rozlišovalo mezi krátkodobými a dlouhodobými poskytnutými zálohami na</w:t>
      </w:r>
      <w:r w:rsidR="009C77C9">
        <w:rPr>
          <w:rFonts w:ascii="Calibri" w:hAnsi="Calibri" w:cs="Calibri"/>
        </w:rPr>
        <w:t xml:space="preserve"> </w:t>
      </w:r>
      <w:r w:rsidRPr="003241AE">
        <w:rPr>
          <w:rFonts w:ascii="Calibri" w:hAnsi="Calibri" w:cs="Calibri"/>
        </w:rPr>
        <w:t xml:space="preserve">transfery (viz část </w:t>
      </w:r>
      <w:r w:rsidR="007A7B70">
        <w:rPr>
          <w:rFonts w:ascii="Calibri" w:hAnsi="Calibri" w:cs="Calibri"/>
        </w:rPr>
        <w:t>III.</w:t>
      </w:r>
      <w:r w:rsidR="004C2B27" w:rsidRPr="003241AE">
        <w:rPr>
          <w:rFonts w:ascii="Calibri" w:hAnsi="Calibri" w:cs="Calibri"/>
        </w:rPr>
        <w:t>2.4</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r w:rsidR="00625267" w:rsidRPr="003241AE">
        <w:rPr>
          <w:rFonts w:ascii="Calibri" w:hAnsi="Calibri" w:cs="Calibri"/>
        </w:rPr>
        <w:t>)</w:t>
      </w:r>
      <w:r w:rsidR="00465A06">
        <w:rPr>
          <w:rFonts w:ascii="Calibri" w:hAnsi="Calibri" w:cs="Calibri"/>
        </w:rPr>
        <w:t>.</w:t>
      </w:r>
    </w:p>
    <w:p w:rsidR="009F544B" w:rsidRPr="003241AE" w:rsidRDefault="009F544B" w:rsidP="009F544B">
      <w:pPr>
        <w:pStyle w:val="Odstavecseseznamem"/>
        <w:numPr>
          <w:ilvl w:val="0"/>
          <w:numId w:val="45"/>
        </w:numPr>
        <w:jc w:val="both"/>
        <w:rPr>
          <w:rFonts w:asciiTheme="minorHAnsi" w:hAnsiTheme="minorHAnsi" w:cstheme="minorHAnsi"/>
        </w:rPr>
      </w:pPr>
      <w:r w:rsidRPr="003241AE">
        <w:rPr>
          <w:rFonts w:asciiTheme="minorHAnsi" w:hAnsiTheme="minorHAnsi" w:cstheme="minorHAnsi"/>
        </w:rPr>
        <w:t xml:space="preserve">MK nesprávně účtovalo o bezúplatných převodech majetku mezi vybranými účetními jednotkami prostřednictvím nákladů (viz část </w:t>
      </w:r>
      <w:r w:rsidR="007A7B70">
        <w:rPr>
          <w:rFonts w:asciiTheme="minorHAnsi" w:hAnsiTheme="minorHAnsi" w:cstheme="minorHAnsi"/>
        </w:rPr>
        <w:t>III.</w:t>
      </w:r>
      <w:r w:rsidR="004C2B27" w:rsidRPr="003241AE">
        <w:rPr>
          <w:rFonts w:asciiTheme="minorHAnsi" w:hAnsiTheme="minorHAnsi" w:cstheme="minorHAnsi"/>
        </w:rPr>
        <w:t>2.5</w:t>
      </w:r>
      <w:r w:rsidRPr="003241AE">
        <w:rPr>
          <w:rFonts w:asciiTheme="minorHAnsi" w:hAnsiTheme="minorHAnsi" w:cstheme="minorHAnsi"/>
        </w:rPr>
        <w:t xml:space="preserve"> </w:t>
      </w:r>
      <w:r w:rsidR="00B81458">
        <w:rPr>
          <w:rFonts w:asciiTheme="minorHAnsi" w:hAnsiTheme="minorHAnsi" w:cstheme="minorHAnsi"/>
        </w:rPr>
        <w:t xml:space="preserve">tohoto </w:t>
      </w:r>
      <w:r w:rsidRPr="003241AE">
        <w:rPr>
          <w:rFonts w:asciiTheme="minorHAnsi" w:hAnsiTheme="minorHAnsi" w:cstheme="minorHAnsi"/>
        </w:rPr>
        <w:t>kontrolního závěru)</w:t>
      </w:r>
      <w:r w:rsidR="00465A06">
        <w:rPr>
          <w:rFonts w:asciiTheme="minorHAnsi" w:hAnsiTheme="minorHAnsi" w:cstheme="minorHAnsi"/>
        </w:rPr>
        <w:t>.</w:t>
      </w:r>
    </w:p>
    <w:p w:rsidR="009F544B" w:rsidRPr="003241AE" w:rsidRDefault="009F544B" w:rsidP="009F544B">
      <w:pPr>
        <w:pStyle w:val="Odstavecseseznamem"/>
        <w:numPr>
          <w:ilvl w:val="0"/>
          <w:numId w:val="45"/>
        </w:numPr>
        <w:jc w:val="both"/>
        <w:rPr>
          <w:rFonts w:asciiTheme="minorHAnsi" w:hAnsiTheme="minorHAnsi" w:cstheme="minorHAnsi"/>
        </w:rPr>
      </w:pPr>
      <w:r w:rsidRPr="003241AE">
        <w:rPr>
          <w:rFonts w:asciiTheme="minorHAnsi" w:hAnsiTheme="minorHAnsi" w:cstheme="minorHAnsi"/>
        </w:rPr>
        <w:t xml:space="preserve">MK o některých transferových výnosech účtovalo na nesprávném výnosovém účtu (viz část </w:t>
      </w:r>
      <w:r w:rsidR="007A7B70">
        <w:rPr>
          <w:rFonts w:asciiTheme="minorHAnsi" w:hAnsiTheme="minorHAnsi" w:cstheme="minorHAnsi"/>
        </w:rPr>
        <w:t>III.</w:t>
      </w:r>
      <w:r w:rsidR="00212282" w:rsidRPr="003241AE">
        <w:rPr>
          <w:rFonts w:asciiTheme="minorHAnsi" w:hAnsiTheme="minorHAnsi" w:cstheme="minorHAnsi"/>
        </w:rPr>
        <w:t>2.6</w:t>
      </w:r>
      <w:r w:rsidRPr="003241AE">
        <w:rPr>
          <w:rFonts w:asciiTheme="minorHAnsi" w:hAnsiTheme="minorHAnsi" w:cstheme="minorHAnsi"/>
        </w:rPr>
        <w:t xml:space="preserve"> </w:t>
      </w:r>
      <w:r w:rsidR="00B81458">
        <w:rPr>
          <w:rFonts w:asciiTheme="minorHAnsi" w:hAnsiTheme="minorHAnsi" w:cstheme="minorHAnsi"/>
        </w:rPr>
        <w:t xml:space="preserve">tohoto </w:t>
      </w:r>
      <w:r w:rsidRPr="003241AE">
        <w:rPr>
          <w:rFonts w:asciiTheme="minorHAnsi" w:hAnsiTheme="minorHAnsi" w:cstheme="minorHAnsi"/>
        </w:rPr>
        <w:t>kontrolního závěru)</w:t>
      </w:r>
      <w:r w:rsidR="00465A06">
        <w:rPr>
          <w:rFonts w:asciiTheme="minorHAnsi" w:hAnsiTheme="minorHAnsi" w:cstheme="minorHAnsi"/>
        </w:rPr>
        <w:t>.</w:t>
      </w:r>
    </w:p>
    <w:p w:rsidR="009F544B" w:rsidRPr="003241AE" w:rsidRDefault="007746EA" w:rsidP="00A168CB">
      <w:pPr>
        <w:pStyle w:val="Odstavecseseznamem"/>
        <w:numPr>
          <w:ilvl w:val="0"/>
          <w:numId w:val="45"/>
        </w:numPr>
        <w:jc w:val="both"/>
        <w:rPr>
          <w:rFonts w:asciiTheme="minorHAnsi" w:hAnsiTheme="minorHAnsi" w:cstheme="minorHAnsi"/>
        </w:rPr>
      </w:pPr>
      <w:r w:rsidRPr="003241AE">
        <w:rPr>
          <w:rFonts w:asciiTheme="minorHAnsi" w:hAnsiTheme="minorHAnsi" w:cstheme="minorHAnsi"/>
        </w:rPr>
        <w:lastRenderedPageBreak/>
        <w:t xml:space="preserve">MK nesprávně vypočetlo odpisy dlouhodobého majetku vykazované na účtu </w:t>
      </w:r>
      <w:r w:rsidR="008C3B96" w:rsidRPr="00B81458">
        <w:rPr>
          <w:rFonts w:asciiTheme="minorHAnsi" w:hAnsiTheme="minorHAnsi" w:cstheme="minorHAnsi"/>
        </w:rPr>
        <w:t>551 </w:t>
      </w:r>
      <w:r w:rsidRPr="00B81458">
        <w:rPr>
          <w:rFonts w:asciiTheme="minorHAnsi" w:hAnsiTheme="minorHAnsi" w:cstheme="minorHAnsi"/>
        </w:rPr>
        <w:t>–</w:t>
      </w:r>
      <w:r w:rsidR="00B81458">
        <w:rPr>
          <w:rFonts w:asciiTheme="minorHAnsi" w:hAnsiTheme="minorHAnsi" w:cstheme="minorHAnsi"/>
        </w:rPr>
        <w:t xml:space="preserve"> </w:t>
      </w:r>
      <w:r w:rsidRPr="00FC6C58">
        <w:rPr>
          <w:rFonts w:asciiTheme="minorHAnsi" w:hAnsiTheme="minorHAnsi" w:cstheme="minorHAnsi"/>
          <w:i/>
        </w:rPr>
        <w:t>Odpisy dlouhodobého majetku</w:t>
      </w:r>
      <w:r w:rsidRPr="003241AE">
        <w:rPr>
          <w:rFonts w:asciiTheme="minorHAnsi" w:hAnsiTheme="minorHAnsi" w:cstheme="minorHAnsi"/>
        </w:rPr>
        <w:t xml:space="preserve"> (viz část </w:t>
      </w:r>
      <w:r w:rsidR="007A7B70">
        <w:rPr>
          <w:rFonts w:asciiTheme="minorHAnsi" w:hAnsiTheme="minorHAnsi" w:cstheme="minorHAnsi"/>
        </w:rPr>
        <w:t>III.</w:t>
      </w:r>
      <w:r w:rsidR="00F074E5" w:rsidRPr="003241AE">
        <w:rPr>
          <w:rFonts w:asciiTheme="minorHAnsi" w:hAnsiTheme="minorHAnsi" w:cstheme="minorHAnsi"/>
        </w:rPr>
        <w:t>2.7</w:t>
      </w:r>
      <w:r w:rsidRPr="003241AE">
        <w:rPr>
          <w:rFonts w:asciiTheme="minorHAnsi" w:hAnsiTheme="minorHAnsi" w:cstheme="minorHAnsi"/>
        </w:rPr>
        <w:t xml:space="preserve"> </w:t>
      </w:r>
      <w:r w:rsidR="00B81458">
        <w:rPr>
          <w:rFonts w:asciiTheme="minorHAnsi" w:hAnsiTheme="minorHAnsi" w:cstheme="minorHAnsi"/>
        </w:rPr>
        <w:t xml:space="preserve">tohoto </w:t>
      </w:r>
      <w:r w:rsidRPr="003241AE">
        <w:rPr>
          <w:rFonts w:asciiTheme="minorHAnsi" w:hAnsiTheme="minorHAnsi" w:cstheme="minorHAnsi"/>
        </w:rPr>
        <w:t>kontrolního závěru)</w:t>
      </w:r>
      <w:r w:rsidR="00465A06">
        <w:rPr>
          <w:rFonts w:asciiTheme="minorHAnsi" w:hAnsiTheme="minorHAnsi" w:cstheme="minorHAnsi"/>
        </w:rPr>
        <w:t>.</w:t>
      </w:r>
    </w:p>
    <w:p w:rsidR="007746EA" w:rsidRPr="003241AE" w:rsidRDefault="007746EA" w:rsidP="00A168CB">
      <w:pPr>
        <w:pStyle w:val="Odstavecseseznamem"/>
        <w:numPr>
          <w:ilvl w:val="0"/>
          <w:numId w:val="45"/>
        </w:numPr>
        <w:jc w:val="both"/>
        <w:rPr>
          <w:rFonts w:asciiTheme="minorHAnsi" w:hAnsiTheme="minorHAnsi" w:cstheme="minorHAnsi"/>
        </w:rPr>
      </w:pPr>
      <w:r w:rsidRPr="003241AE">
        <w:rPr>
          <w:rFonts w:ascii="Calibri" w:hAnsi="Calibri" w:cs="Calibri"/>
        </w:rPr>
        <w:t>MK v</w:t>
      </w:r>
      <w:r w:rsidR="009C77C9">
        <w:rPr>
          <w:rFonts w:ascii="Calibri" w:hAnsi="Calibri" w:cs="Calibri"/>
        </w:rPr>
        <w:t xml:space="preserve"> </w:t>
      </w:r>
      <w:r w:rsidRPr="003241AE">
        <w:rPr>
          <w:rFonts w:ascii="Calibri" w:hAnsi="Calibri" w:cs="Calibri"/>
        </w:rPr>
        <w:t xml:space="preserve">některých případech </w:t>
      </w:r>
      <w:r w:rsidR="00643023" w:rsidRPr="003241AE">
        <w:rPr>
          <w:rFonts w:ascii="Calibri" w:hAnsi="Calibri" w:cs="Calibri"/>
        </w:rPr>
        <w:t xml:space="preserve">neúčtovalo </w:t>
      </w:r>
      <w:r w:rsidRPr="003241AE">
        <w:rPr>
          <w:rFonts w:ascii="Calibri" w:hAnsi="Calibri" w:cs="Calibri"/>
        </w:rPr>
        <w:t>na podrozva</w:t>
      </w:r>
      <w:r w:rsidR="00643023">
        <w:rPr>
          <w:rFonts w:ascii="Calibri" w:hAnsi="Calibri" w:cs="Calibri"/>
        </w:rPr>
        <w:t>hových účtech</w:t>
      </w:r>
      <w:r w:rsidRPr="003241AE">
        <w:rPr>
          <w:rFonts w:ascii="Calibri" w:hAnsi="Calibri" w:cs="Calibri"/>
        </w:rPr>
        <w:t xml:space="preserve"> </w:t>
      </w:r>
      <w:r w:rsidR="00643023">
        <w:rPr>
          <w:rFonts w:ascii="Calibri" w:hAnsi="Calibri" w:cs="Calibri"/>
        </w:rPr>
        <w:t>o </w:t>
      </w:r>
      <w:r w:rsidRPr="003241AE">
        <w:rPr>
          <w:rFonts w:ascii="Calibri" w:hAnsi="Calibri" w:cs="Calibri"/>
        </w:rPr>
        <w:t xml:space="preserve">krátkodobých či dlouhodobých podmíněných závazcích (viz část </w:t>
      </w:r>
      <w:r w:rsidR="007A7B70">
        <w:rPr>
          <w:rFonts w:ascii="Calibri" w:hAnsi="Calibri" w:cs="Calibri"/>
        </w:rPr>
        <w:t>III.</w:t>
      </w:r>
      <w:r w:rsidR="00EE6493" w:rsidRPr="003241AE">
        <w:rPr>
          <w:rFonts w:ascii="Calibri" w:hAnsi="Calibri" w:cs="Calibri"/>
        </w:rPr>
        <w:t>2.8</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r w:rsidR="00465A06">
        <w:rPr>
          <w:rFonts w:ascii="Calibri" w:hAnsi="Calibri" w:cs="Calibri"/>
        </w:rPr>
        <w:t>.</w:t>
      </w:r>
    </w:p>
    <w:p w:rsidR="007746EA" w:rsidRPr="003241AE" w:rsidRDefault="007746EA" w:rsidP="00A168CB">
      <w:pPr>
        <w:pStyle w:val="Odstavecseseznamem"/>
        <w:numPr>
          <w:ilvl w:val="0"/>
          <w:numId w:val="45"/>
        </w:numPr>
        <w:jc w:val="both"/>
        <w:rPr>
          <w:rFonts w:asciiTheme="minorHAnsi" w:hAnsiTheme="minorHAnsi" w:cstheme="minorHAnsi"/>
        </w:rPr>
      </w:pPr>
      <w:r w:rsidRPr="003241AE">
        <w:rPr>
          <w:rFonts w:asciiTheme="minorHAnsi" w:hAnsiTheme="minorHAnsi" w:cstheme="minorHAnsi"/>
        </w:rPr>
        <w:t>MK n</w:t>
      </w:r>
      <w:r w:rsidR="004851BF" w:rsidRPr="003241AE">
        <w:rPr>
          <w:rFonts w:asciiTheme="minorHAnsi" w:hAnsiTheme="minorHAnsi" w:cstheme="minorHAnsi"/>
        </w:rPr>
        <w:t>ezaúčtovalo veškerý dlouhodobý</w:t>
      </w:r>
      <w:r w:rsidRPr="003241AE">
        <w:rPr>
          <w:rFonts w:asciiTheme="minorHAnsi" w:hAnsiTheme="minorHAnsi" w:cstheme="minorHAnsi"/>
        </w:rPr>
        <w:t xml:space="preserve"> hmotn</w:t>
      </w:r>
      <w:r w:rsidR="004851BF" w:rsidRPr="003241AE">
        <w:rPr>
          <w:rFonts w:asciiTheme="minorHAnsi" w:hAnsiTheme="minorHAnsi" w:cstheme="minorHAnsi"/>
        </w:rPr>
        <w:t>ý</w:t>
      </w:r>
      <w:r w:rsidRPr="003241AE">
        <w:rPr>
          <w:rFonts w:asciiTheme="minorHAnsi" w:hAnsiTheme="minorHAnsi" w:cstheme="minorHAnsi"/>
        </w:rPr>
        <w:t xml:space="preserve"> majet</w:t>
      </w:r>
      <w:r w:rsidR="004851BF" w:rsidRPr="003241AE">
        <w:rPr>
          <w:rFonts w:asciiTheme="minorHAnsi" w:hAnsiTheme="minorHAnsi" w:cstheme="minorHAnsi"/>
        </w:rPr>
        <w:t>e</w:t>
      </w:r>
      <w:r w:rsidRPr="003241AE">
        <w:rPr>
          <w:rFonts w:asciiTheme="minorHAnsi" w:hAnsiTheme="minorHAnsi" w:cstheme="minorHAnsi"/>
        </w:rPr>
        <w:t xml:space="preserve">k, který nesplňuje podmínku dolní hranice pro vykázání ve výkazu </w:t>
      </w:r>
      <w:r w:rsidR="00B81458">
        <w:rPr>
          <w:rFonts w:asciiTheme="minorHAnsi" w:hAnsiTheme="minorHAnsi" w:cstheme="minorHAnsi"/>
        </w:rPr>
        <w:t>r</w:t>
      </w:r>
      <w:r w:rsidRPr="003241AE">
        <w:rPr>
          <w:rFonts w:asciiTheme="minorHAnsi" w:hAnsiTheme="minorHAnsi" w:cstheme="minorHAnsi"/>
        </w:rPr>
        <w:t xml:space="preserve">ozvaha, na podrozvahový účet </w:t>
      </w:r>
      <w:r w:rsidRPr="00B81458">
        <w:rPr>
          <w:rFonts w:asciiTheme="minorHAnsi" w:hAnsiTheme="minorHAnsi" w:cstheme="minorHAnsi"/>
        </w:rPr>
        <w:t>902 –</w:t>
      </w:r>
      <w:r w:rsidRPr="00FC6C58">
        <w:rPr>
          <w:rFonts w:asciiTheme="minorHAnsi" w:hAnsiTheme="minorHAnsi" w:cstheme="minorHAnsi"/>
          <w:i/>
        </w:rPr>
        <w:t xml:space="preserve"> Jiný drobný dlouhodobý hmotný majetek</w:t>
      </w:r>
      <w:r w:rsidRPr="003241AE">
        <w:rPr>
          <w:rFonts w:asciiTheme="minorHAnsi" w:hAnsiTheme="minorHAnsi" w:cstheme="minorHAnsi"/>
        </w:rPr>
        <w:t xml:space="preserve"> (viz část </w:t>
      </w:r>
      <w:r w:rsidR="007A7B70">
        <w:rPr>
          <w:rFonts w:asciiTheme="minorHAnsi" w:hAnsiTheme="minorHAnsi" w:cstheme="minorHAnsi"/>
        </w:rPr>
        <w:t>III.</w:t>
      </w:r>
      <w:r w:rsidR="00BF21A0" w:rsidRPr="003241AE">
        <w:rPr>
          <w:rFonts w:asciiTheme="minorHAnsi" w:hAnsiTheme="minorHAnsi" w:cstheme="minorHAnsi"/>
        </w:rPr>
        <w:t>2.9</w:t>
      </w:r>
      <w:r w:rsidRPr="003241AE">
        <w:rPr>
          <w:rFonts w:asciiTheme="minorHAnsi" w:hAnsiTheme="minorHAnsi" w:cstheme="minorHAnsi"/>
        </w:rPr>
        <w:t xml:space="preserve"> </w:t>
      </w:r>
      <w:r w:rsidR="00B81458">
        <w:rPr>
          <w:rFonts w:asciiTheme="minorHAnsi" w:hAnsiTheme="minorHAnsi" w:cstheme="minorHAnsi"/>
        </w:rPr>
        <w:t xml:space="preserve">tohoto </w:t>
      </w:r>
      <w:r w:rsidRPr="003241AE">
        <w:rPr>
          <w:rFonts w:asciiTheme="minorHAnsi" w:hAnsiTheme="minorHAnsi" w:cstheme="minorHAnsi"/>
        </w:rPr>
        <w:t>kontrolního závěru)</w:t>
      </w:r>
      <w:r w:rsidR="00465A06">
        <w:rPr>
          <w:rFonts w:asciiTheme="minorHAnsi" w:hAnsiTheme="minorHAnsi" w:cstheme="minorHAnsi"/>
        </w:rPr>
        <w:t>.</w:t>
      </w:r>
    </w:p>
    <w:p w:rsidR="00062721" w:rsidRPr="003241AE" w:rsidRDefault="00062721" w:rsidP="00A168CB">
      <w:pPr>
        <w:pStyle w:val="Odstavecseseznamem"/>
        <w:numPr>
          <w:ilvl w:val="0"/>
          <w:numId w:val="45"/>
        </w:numPr>
        <w:jc w:val="both"/>
        <w:rPr>
          <w:rFonts w:asciiTheme="minorHAnsi" w:hAnsiTheme="minorHAnsi" w:cstheme="minorHAnsi"/>
        </w:rPr>
      </w:pPr>
      <w:r w:rsidRPr="003241AE">
        <w:rPr>
          <w:rFonts w:ascii="Calibri" w:hAnsi="Calibri" w:cs="Calibri"/>
        </w:rPr>
        <w:t xml:space="preserve">MK o závazcích a souvisejících nákladech </w:t>
      </w:r>
      <w:r w:rsidR="00643023">
        <w:rPr>
          <w:rFonts w:ascii="Calibri" w:hAnsi="Calibri" w:cs="Calibri"/>
        </w:rPr>
        <w:t>v některých případech</w:t>
      </w:r>
      <w:r w:rsidRPr="003241AE">
        <w:rPr>
          <w:rFonts w:ascii="Calibri" w:hAnsi="Calibri" w:cs="Calibri"/>
        </w:rPr>
        <w:t xml:space="preserve"> </w:t>
      </w:r>
      <w:r w:rsidR="00643023">
        <w:rPr>
          <w:rFonts w:ascii="Calibri" w:hAnsi="Calibri" w:cs="Calibri"/>
        </w:rPr>
        <w:t>ne</w:t>
      </w:r>
      <w:r w:rsidRPr="003241AE">
        <w:rPr>
          <w:rFonts w:ascii="Calibri" w:hAnsi="Calibri" w:cs="Calibri"/>
        </w:rPr>
        <w:t>účtovalo do období, s</w:t>
      </w:r>
      <w:r w:rsidR="0022228F">
        <w:rPr>
          <w:rFonts w:ascii="Calibri" w:hAnsi="Calibri" w:cs="Calibri"/>
        </w:rPr>
        <w:t> </w:t>
      </w:r>
      <w:r w:rsidRPr="003241AE">
        <w:rPr>
          <w:rFonts w:ascii="Calibri" w:hAnsi="Calibri" w:cs="Calibri"/>
        </w:rPr>
        <w:t>nímž věcně a</w:t>
      </w:r>
      <w:r w:rsidR="004D365F">
        <w:rPr>
          <w:rFonts w:ascii="Calibri" w:hAnsi="Calibri" w:cs="Calibri"/>
        </w:rPr>
        <w:t> </w:t>
      </w:r>
      <w:r w:rsidRPr="003241AE">
        <w:rPr>
          <w:rFonts w:ascii="Calibri" w:hAnsi="Calibri" w:cs="Calibri"/>
        </w:rPr>
        <w:t>časově souvisely</w:t>
      </w:r>
      <w:r w:rsidR="00643023">
        <w:rPr>
          <w:rFonts w:ascii="Calibri" w:hAnsi="Calibri" w:cs="Calibri"/>
        </w:rPr>
        <w:t>.</w:t>
      </w:r>
      <w:r w:rsidRPr="003241AE">
        <w:rPr>
          <w:rFonts w:ascii="Calibri" w:hAnsi="Calibri" w:cs="Calibri"/>
        </w:rPr>
        <w:t xml:space="preserve"> </w:t>
      </w:r>
      <w:r w:rsidR="00643023">
        <w:rPr>
          <w:rFonts w:ascii="Calibri" w:hAnsi="Calibri" w:cs="Calibri"/>
        </w:rPr>
        <w:t>N</w:t>
      </w:r>
      <w:r w:rsidRPr="003241AE">
        <w:rPr>
          <w:rFonts w:ascii="Calibri" w:hAnsi="Calibri" w:cs="Calibri"/>
        </w:rPr>
        <w:t xml:space="preserve">a konci účetního období ve výkazu </w:t>
      </w:r>
      <w:r w:rsidR="00B81458">
        <w:rPr>
          <w:rFonts w:ascii="Calibri" w:hAnsi="Calibri" w:cs="Calibri"/>
        </w:rPr>
        <w:t>r</w:t>
      </w:r>
      <w:r w:rsidRPr="003241AE">
        <w:rPr>
          <w:rFonts w:ascii="Calibri" w:hAnsi="Calibri" w:cs="Calibri"/>
        </w:rPr>
        <w:t xml:space="preserve">ozvaha na účtu </w:t>
      </w:r>
      <w:r w:rsidRPr="00B81458">
        <w:rPr>
          <w:rFonts w:ascii="Calibri" w:hAnsi="Calibri" w:cs="Calibri"/>
        </w:rPr>
        <w:t>321</w:t>
      </w:r>
      <w:r w:rsidR="008C3B96" w:rsidRPr="00B81458">
        <w:rPr>
          <w:rFonts w:ascii="Calibri" w:hAnsi="Calibri" w:cs="Calibri"/>
        </w:rPr>
        <w:t> </w:t>
      </w:r>
      <w:r w:rsidRPr="00B81458">
        <w:rPr>
          <w:rFonts w:ascii="Calibri" w:hAnsi="Calibri" w:cs="Calibri"/>
        </w:rPr>
        <w:t>–</w:t>
      </w:r>
      <w:r w:rsidRPr="00507ED4">
        <w:rPr>
          <w:rFonts w:ascii="Calibri" w:hAnsi="Calibri" w:cs="Calibri"/>
          <w:i/>
        </w:rPr>
        <w:t xml:space="preserve"> Dodavatelé</w:t>
      </w:r>
      <w:r w:rsidRPr="003241AE">
        <w:rPr>
          <w:rFonts w:ascii="Calibri" w:hAnsi="Calibri" w:cs="Calibri"/>
        </w:rPr>
        <w:t xml:space="preserve"> vykázalo pouze staré závazky, které lze považovat za promlčené</w:t>
      </w:r>
      <w:r w:rsidR="00643023">
        <w:rPr>
          <w:rFonts w:ascii="Calibri" w:hAnsi="Calibri" w:cs="Calibri"/>
        </w:rPr>
        <w:t>.</w:t>
      </w:r>
      <w:r w:rsidRPr="003241AE">
        <w:rPr>
          <w:rFonts w:ascii="Calibri" w:hAnsi="Calibri" w:cs="Calibri"/>
        </w:rPr>
        <w:t xml:space="preserve"> MK na</w:t>
      </w:r>
      <w:r w:rsidR="004851BF" w:rsidRPr="003241AE">
        <w:rPr>
          <w:rFonts w:ascii="Calibri" w:hAnsi="Calibri" w:cs="Calibri"/>
        </w:rPr>
        <w:t xml:space="preserve"> konci účetního období </w:t>
      </w:r>
      <w:r w:rsidR="00643023">
        <w:rPr>
          <w:rFonts w:ascii="Calibri" w:hAnsi="Calibri" w:cs="Calibri"/>
        </w:rPr>
        <w:t>nevykázalo</w:t>
      </w:r>
      <w:r w:rsidRPr="003241AE">
        <w:rPr>
          <w:rFonts w:ascii="Calibri" w:hAnsi="Calibri" w:cs="Calibri"/>
        </w:rPr>
        <w:t xml:space="preserve"> žádné závazky z</w:t>
      </w:r>
      <w:r w:rsidR="00643023">
        <w:rPr>
          <w:rFonts w:ascii="Calibri" w:hAnsi="Calibri" w:cs="Calibri"/>
        </w:rPr>
        <w:t> </w:t>
      </w:r>
      <w:r w:rsidRPr="003241AE">
        <w:rPr>
          <w:rFonts w:ascii="Calibri" w:hAnsi="Calibri" w:cs="Calibri"/>
        </w:rPr>
        <w:t xml:space="preserve">běžného účetního období (viz část </w:t>
      </w:r>
      <w:r w:rsidR="007A7B70">
        <w:rPr>
          <w:rFonts w:ascii="Calibri" w:hAnsi="Calibri" w:cs="Calibri"/>
        </w:rPr>
        <w:t>III.</w:t>
      </w:r>
      <w:r w:rsidR="00AC13B9" w:rsidRPr="003241AE">
        <w:rPr>
          <w:rFonts w:ascii="Calibri" w:hAnsi="Calibri" w:cs="Calibri"/>
        </w:rPr>
        <w:t>2.10</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r w:rsidR="00465A06">
        <w:rPr>
          <w:rFonts w:ascii="Calibri" w:hAnsi="Calibri" w:cs="Calibri"/>
        </w:rPr>
        <w:t>.</w:t>
      </w:r>
    </w:p>
    <w:p w:rsidR="009F544B" w:rsidRPr="003241AE" w:rsidRDefault="00062721" w:rsidP="009F544B">
      <w:pPr>
        <w:pStyle w:val="Odstavecseseznamem"/>
        <w:numPr>
          <w:ilvl w:val="0"/>
          <w:numId w:val="45"/>
        </w:numPr>
        <w:jc w:val="both"/>
        <w:rPr>
          <w:rFonts w:asciiTheme="minorHAnsi" w:hAnsiTheme="minorHAnsi" w:cstheme="minorHAnsi"/>
        </w:rPr>
      </w:pPr>
      <w:r w:rsidRPr="003241AE">
        <w:rPr>
          <w:rFonts w:ascii="Calibri" w:hAnsi="Calibri" w:cs="Calibri"/>
        </w:rPr>
        <w:t xml:space="preserve">MK neprovedlo inventarizaci u všech účtů a inventarizací nezjistilo rozdíly mezi účetnictvím a příslušnými evidencemi (viz část </w:t>
      </w:r>
      <w:r w:rsidR="007A7B70">
        <w:rPr>
          <w:rFonts w:ascii="Calibri" w:hAnsi="Calibri" w:cs="Calibri"/>
        </w:rPr>
        <w:t>III.</w:t>
      </w:r>
      <w:r w:rsidR="00D42C73" w:rsidRPr="003241AE">
        <w:rPr>
          <w:rFonts w:ascii="Calibri" w:hAnsi="Calibri" w:cs="Calibri"/>
        </w:rPr>
        <w:t>2.11</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r w:rsidR="00465A06">
        <w:rPr>
          <w:rFonts w:ascii="Calibri" w:hAnsi="Calibri" w:cs="Calibri"/>
        </w:rPr>
        <w:t>.</w:t>
      </w:r>
    </w:p>
    <w:p w:rsidR="00062721" w:rsidRPr="003241AE" w:rsidRDefault="00F35DF5" w:rsidP="009F544B">
      <w:pPr>
        <w:pStyle w:val="Odstavecseseznamem"/>
        <w:numPr>
          <w:ilvl w:val="0"/>
          <w:numId w:val="45"/>
        </w:numPr>
        <w:jc w:val="both"/>
        <w:rPr>
          <w:rFonts w:asciiTheme="minorHAnsi" w:hAnsiTheme="minorHAnsi" w:cstheme="minorHAnsi"/>
        </w:rPr>
      </w:pPr>
      <w:r w:rsidRPr="003241AE">
        <w:rPr>
          <w:rFonts w:ascii="Calibri" w:eastAsia="Calibri" w:hAnsi="Calibri" w:cs="Calibri"/>
          <w:color w:val="000000"/>
        </w:rPr>
        <w:t>MK v</w:t>
      </w:r>
      <w:r w:rsidR="006C3F9D">
        <w:rPr>
          <w:rFonts w:ascii="Calibri" w:eastAsia="Calibri" w:hAnsi="Calibri" w:cs="Calibri"/>
          <w:color w:val="000000"/>
        </w:rPr>
        <w:t> příloze účetní závěrky</w:t>
      </w:r>
      <w:r w:rsidR="009C77C9">
        <w:rPr>
          <w:rFonts w:ascii="Calibri" w:eastAsia="Calibri" w:hAnsi="Calibri" w:cs="Calibri"/>
          <w:color w:val="000000"/>
        </w:rPr>
        <w:t xml:space="preserve"> </w:t>
      </w:r>
      <w:r w:rsidR="006C3F9D">
        <w:rPr>
          <w:rFonts w:ascii="Calibri" w:eastAsia="Calibri" w:hAnsi="Calibri" w:cs="Calibri"/>
          <w:color w:val="000000"/>
        </w:rPr>
        <w:t>v </w:t>
      </w:r>
      <w:r w:rsidRPr="003241AE">
        <w:rPr>
          <w:rFonts w:ascii="Calibri" w:eastAsia="Calibri" w:hAnsi="Calibri" w:cs="Calibri"/>
          <w:color w:val="000000"/>
        </w:rPr>
        <w:t xml:space="preserve">části </w:t>
      </w:r>
      <w:r w:rsidRPr="00DD228B">
        <w:rPr>
          <w:rFonts w:ascii="Calibri" w:eastAsia="Calibri" w:hAnsi="Calibri" w:cs="Calibri"/>
          <w:color w:val="000000"/>
        </w:rPr>
        <w:t>E.1.</w:t>
      </w:r>
      <w:r w:rsidR="00B81458" w:rsidRPr="00B81458">
        <w:rPr>
          <w:rFonts w:ascii="Calibri" w:eastAsia="Calibri" w:hAnsi="Calibri" w:cs="Calibri"/>
          <w:i/>
          <w:color w:val="000000"/>
        </w:rPr>
        <w:t xml:space="preserve"> Doplňující informace k položkám rozvahy</w:t>
      </w:r>
      <w:r w:rsidRPr="003241AE">
        <w:rPr>
          <w:rFonts w:ascii="Calibri" w:eastAsia="Calibri" w:hAnsi="Calibri" w:cs="Calibri"/>
          <w:color w:val="000000"/>
        </w:rPr>
        <w:t xml:space="preserve"> uvedlo nesprávný komentář k</w:t>
      </w:r>
      <w:r w:rsidR="009C77C9">
        <w:rPr>
          <w:rFonts w:ascii="Calibri" w:eastAsia="Calibri" w:hAnsi="Calibri" w:cs="Calibri"/>
          <w:color w:val="000000"/>
        </w:rPr>
        <w:t xml:space="preserve"> </w:t>
      </w:r>
      <w:r w:rsidRPr="003241AE">
        <w:rPr>
          <w:rFonts w:ascii="Calibri" w:eastAsia="Calibri" w:hAnsi="Calibri" w:cs="Calibri"/>
          <w:color w:val="000000"/>
        </w:rPr>
        <w:t>položce C.1.7, tj. k</w:t>
      </w:r>
      <w:r w:rsidR="009C77C9">
        <w:rPr>
          <w:rFonts w:ascii="Calibri" w:eastAsia="Calibri" w:hAnsi="Calibri" w:cs="Calibri"/>
          <w:color w:val="000000"/>
        </w:rPr>
        <w:t xml:space="preserve"> </w:t>
      </w:r>
      <w:r w:rsidRPr="003241AE">
        <w:rPr>
          <w:rFonts w:ascii="Calibri" w:eastAsia="Calibri" w:hAnsi="Calibri" w:cs="Calibri"/>
          <w:color w:val="000000"/>
        </w:rPr>
        <w:t xml:space="preserve">účtu </w:t>
      </w:r>
      <w:r w:rsidRPr="00B81458">
        <w:rPr>
          <w:rFonts w:ascii="Calibri" w:eastAsia="Calibri" w:hAnsi="Calibri" w:cs="Calibri"/>
          <w:color w:val="000000"/>
        </w:rPr>
        <w:t>408 –</w:t>
      </w:r>
      <w:r w:rsidRPr="003241AE">
        <w:rPr>
          <w:rFonts w:ascii="Calibri" w:eastAsia="Calibri" w:hAnsi="Calibri" w:cs="Calibri"/>
          <w:i/>
          <w:color w:val="000000"/>
        </w:rPr>
        <w:t xml:space="preserve"> Opravy minulých období</w:t>
      </w:r>
      <w:r w:rsidR="00015FA2" w:rsidRPr="003241AE">
        <w:rPr>
          <w:rFonts w:ascii="Calibri" w:eastAsia="Calibri" w:hAnsi="Calibri" w:cs="Calibri"/>
          <w:color w:val="000000"/>
        </w:rPr>
        <w:t xml:space="preserve">, </w:t>
      </w:r>
      <w:r w:rsidR="006C3F9D">
        <w:rPr>
          <w:rFonts w:ascii="Calibri" w:eastAsia="Calibri" w:hAnsi="Calibri" w:cs="Calibri"/>
          <w:color w:val="000000"/>
        </w:rPr>
        <w:t>neboť</w:t>
      </w:r>
      <w:r w:rsidRPr="003241AE">
        <w:rPr>
          <w:rFonts w:ascii="Calibri" w:eastAsia="Calibri" w:hAnsi="Calibri" w:cs="Calibri"/>
          <w:color w:val="000000"/>
        </w:rPr>
        <w:t xml:space="preserve"> uvedlo, že na této položce je vykázán</w:t>
      </w:r>
      <w:r w:rsidR="006C3F9D">
        <w:rPr>
          <w:rFonts w:ascii="Calibri" w:eastAsia="Calibri" w:hAnsi="Calibri" w:cs="Calibri"/>
          <w:color w:val="000000"/>
        </w:rPr>
        <w:t>a částka</w:t>
      </w:r>
      <w:r w:rsidRPr="003241AE">
        <w:rPr>
          <w:rFonts w:ascii="Calibri" w:eastAsia="Calibri" w:hAnsi="Calibri" w:cs="Calibri"/>
          <w:color w:val="000000"/>
        </w:rPr>
        <w:t xml:space="preserve"> 1</w:t>
      </w:r>
      <w:r w:rsidR="009C77C9">
        <w:rPr>
          <w:rFonts w:ascii="Calibri" w:eastAsia="Calibri" w:hAnsi="Calibri" w:cs="Calibri"/>
          <w:color w:val="000000"/>
        </w:rPr>
        <w:t xml:space="preserve"> </w:t>
      </w:r>
      <w:r w:rsidRPr="003241AE">
        <w:rPr>
          <w:rFonts w:ascii="Calibri" w:eastAsia="Calibri" w:hAnsi="Calibri" w:cs="Calibri"/>
          <w:color w:val="000000"/>
        </w:rPr>
        <w:t>889</w:t>
      </w:r>
      <w:r w:rsidR="009C77C9">
        <w:rPr>
          <w:rFonts w:ascii="Calibri" w:eastAsia="Calibri" w:hAnsi="Calibri" w:cs="Calibri"/>
          <w:color w:val="000000"/>
        </w:rPr>
        <w:t xml:space="preserve"> </w:t>
      </w:r>
      <w:r w:rsidRPr="003241AE">
        <w:rPr>
          <w:rFonts w:ascii="Calibri" w:eastAsia="Calibri" w:hAnsi="Calibri" w:cs="Calibri"/>
          <w:color w:val="000000"/>
        </w:rPr>
        <w:t>251</w:t>
      </w:r>
      <w:r w:rsidR="009C77C9">
        <w:rPr>
          <w:rFonts w:ascii="Calibri" w:eastAsia="Calibri" w:hAnsi="Calibri" w:cs="Calibri"/>
          <w:color w:val="000000"/>
        </w:rPr>
        <w:t xml:space="preserve"> </w:t>
      </w:r>
      <w:r w:rsidRPr="003241AE">
        <w:rPr>
          <w:rFonts w:ascii="Calibri" w:eastAsia="Calibri" w:hAnsi="Calibri" w:cs="Calibri"/>
          <w:color w:val="000000"/>
        </w:rPr>
        <w:t>713,30 Kč týkající se předfinancovaných transferů v minulých le</w:t>
      </w:r>
      <w:r w:rsidR="00B81458">
        <w:rPr>
          <w:rFonts w:ascii="Calibri" w:eastAsia="Calibri" w:hAnsi="Calibri" w:cs="Calibri"/>
          <w:color w:val="000000"/>
        </w:rPr>
        <w:t>tech. Správná částka měla být o </w:t>
      </w:r>
      <w:r w:rsidRPr="003241AE">
        <w:rPr>
          <w:rFonts w:ascii="Calibri" w:eastAsia="Calibri" w:hAnsi="Calibri" w:cs="Calibri"/>
          <w:color w:val="000000"/>
        </w:rPr>
        <w:t>420</w:t>
      </w:r>
      <w:r w:rsidR="009C77C9">
        <w:rPr>
          <w:rFonts w:ascii="Calibri" w:eastAsia="Calibri" w:hAnsi="Calibri" w:cs="Calibri"/>
          <w:color w:val="000000"/>
        </w:rPr>
        <w:t> </w:t>
      </w:r>
      <w:r w:rsidRPr="003241AE">
        <w:rPr>
          <w:rFonts w:ascii="Calibri" w:eastAsia="Calibri" w:hAnsi="Calibri" w:cs="Calibri"/>
          <w:color w:val="000000"/>
        </w:rPr>
        <w:t>944 817,27 Kč nižší, tj.</w:t>
      </w:r>
      <w:r w:rsidR="00C01E14">
        <w:rPr>
          <w:rFonts w:ascii="Calibri" w:eastAsia="Calibri" w:hAnsi="Calibri" w:cs="Calibri"/>
          <w:color w:val="000000"/>
        </w:rPr>
        <w:t> </w:t>
      </w:r>
      <w:r w:rsidRPr="003241AE">
        <w:rPr>
          <w:rFonts w:ascii="Calibri" w:eastAsia="Calibri" w:hAnsi="Calibri" w:cs="Calibri"/>
          <w:color w:val="000000"/>
        </w:rPr>
        <w:t xml:space="preserve">1 468 306 896,03 Kč (viz část </w:t>
      </w:r>
      <w:r w:rsidR="007A7B70">
        <w:rPr>
          <w:rFonts w:ascii="Calibri" w:eastAsia="Calibri" w:hAnsi="Calibri" w:cs="Calibri"/>
          <w:color w:val="000000"/>
        </w:rPr>
        <w:t>III.</w:t>
      </w:r>
      <w:r w:rsidR="00507ED4">
        <w:rPr>
          <w:rFonts w:ascii="Calibri" w:eastAsia="Calibri" w:hAnsi="Calibri" w:cs="Calibri"/>
          <w:color w:val="000000"/>
        </w:rPr>
        <w:t>2.1</w:t>
      </w:r>
      <w:r w:rsidRPr="003241AE">
        <w:rPr>
          <w:rFonts w:ascii="Calibri" w:eastAsia="Calibri" w:hAnsi="Calibri" w:cs="Calibri"/>
          <w:color w:val="000000"/>
        </w:rPr>
        <w:t xml:space="preserve"> </w:t>
      </w:r>
      <w:r w:rsidR="00B81458">
        <w:rPr>
          <w:rFonts w:ascii="Calibri" w:eastAsia="Calibri" w:hAnsi="Calibri" w:cs="Calibri"/>
          <w:color w:val="000000"/>
        </w:rPr>
        <w:t xml:space="preserve">tohoto </w:t>
      </w:r>
      <w:r w:rsidRPr="003241AE">
        <w:rPr>
          <w:rFonts w:ascii="Calibri" w:eastAsia="Calibri" w:hAnsi="Calibri" w:cs="Calibri"/>
          <w:color w:val="000000"/>
        </w:rPr>
        <w:t>kontrolního závěru)</w:t>
      </w:r>
      <w:r w:rsidR="00465A06">
        <w:rPr>
          <w:rFonts w:ascii="Calibri" w:eastAsia="Calibri" w:hAnsi="Calibri" w:cs="Calibri"/>
          <w:color w:val="000000"/>
        </w:rPr>
        <w:t>.</w:t>
      </w:r>
    </w:p>
    <w:p w:rsidR="00A645C6" w:rsidRPr="003241AE" w:rsidRDefault="00F35DF5" w:rsidP="00A168CB">
      <w:pPr>
        <w:pStyle w:val="Odstavecseseznamem"/>
        <w:numPr>
          <w:ilvl w:val="0"/>
          <w:numId w:val="45"/>
        </w:numPr>
        <w:jc w:val="both"/>
        <w:rPr>
          <w:rFonts w:asciiTheme="minorHAnsi" w:hAnsiTheme="minorHAnsi" w:cstheme="minorHAnsi"/>
        </w:rPr>
      </w:pPr>
      <w:r w:rsidRPr="003241AE">
        <w:rPr>
          <w:rFonts w:asciiTheme="minorHAnsi" w:hAnsiTheme="minorHAnsi" w:cstheme="minorHAnsi"/>
        </w:rPr>
        <w:t xml:space="preserve">MK o </w:t>
      </w:r>
      <w:r w:rsidR="00D42C73" w:rsidRPr="003241AE">
        <w:rPr>
          <w:rFonts w:asciiTheme="minorHAnsi" w:hAnsiTheme="minorHAnsi" w:cstheme="minorHAnsi"/>
        </w:rPr>
        <w:t>poskytnutém</w:t>
      </w:r>
      <w:r w:rsidRPr="003241AE">
        <w:rPr>
          <w:rFonts w:asciiTheme="minorHAnsi" w:hAnsiTheme="minorHAnsi" w:cstheme="minorHAnsi"/>
        </w:rPr>
        <w:t xml:space="preserve"> </w:t>
      </w:r>
      <w:r w:rsidR="001463EE" w:rsidRPr="003241AE">
        <w:rPr>
          <w:rFonts w:asciiTheme="minorHAnsi" w:hAnsiTheme="minorHAnsi" w:cstheme="minorHAnsi"/>
        </w:rPr>
        <w:t xml:space="preserve">peněžním daru </w:t>
      </w:r>
      <w:r w:rsidRPr="003241AE">
        <w:rPr>
          <w:rFonts w:asciiTheme="minorHAnsi" w:hAnsiTheme="minorHAnsi" w:cstheme="minorHAnsi"/>
        </w:rPr>
        <w:t xml:space="preserve">neúčtovalo </w:t>
      </w:r>
      <w:r w:rsidR="001463EE" w:rsidRPr="003241AE">
        <w:rPr>
          <w:rFonts w:asciiTheme="minorHAnsi" w:hAnsiTheme="minorHAnsi" w:cstheme="minorHAnsi"/>
        </w:rPr>
        <w:t xml:space="preserve">jako o transferu (viz část </w:t>
      </w:r>
      <w:r w:rsidR="007A7B70">
        <w:rPr>
          <w:rFonts w:asciiTheme="minorHAnsi" w:hAnsiTheme="minorHAnsi" w:cstheme="minorHAnsi"/>
        </w:rPr>
        <w:t>III.</w:t>
      </w:r>
      <w:r w:rsidR="00D42C73" w:rsidRPr="003241AE">
        <w:rPr>
          <w:rFonts w:asciiTheme="minorHAnsi" w:hAnsiTheme="minorHAnsi" w:cstheme="minorHAnsi"/>
        </w:rPr>
        <w:t>2.12</w:t>
      </w:r>
      <w:r w:rsidR="001463EE" w:rsidRPr="003241AE">
        <w:rPr>
          <w:rFonts w:asciiTheme="minorHAnsi" w:hAnsiTheme="minorHAnsi" w:cstheme="minorHAnsi"/>
        </w:rPr>
        <w:t xml:space="preserve"> </w:t>
      </w:r>
      <w:r w:rsidR="00B81458">
        <w:rPr>
          <w:rFonts w:asciiTheme="minorHAnsi" w:hAnsiTheme="minorHAnsi" w:cstheme="minorHAnsi"/>
        </w:rPr>
        <w:t xml:space="preserve">tohoto </w:t>
      </w:r>
      <w:r w:rsidR="001463EE" w:rsidRPr="003241AE">
        <w:rPr>
          <w:rFonts w:asciiTheme="minorHAnsi" w:hAnsiTheme="minorHAnsi" w:cstheme="minorHAnsi"/>
        </w:rPr>
        <w:t>kontrolního závěru)</w:t>
      </w:r>
      <w:r w:rsidR="00465A06">
        <w:rPr>
          <w:rFonts w:asciiTheme="minorHAnsi" w:hAnsiTheme="minorHAnsi" w:cstheme="minorHAnsi"/>
        </w:rPr>
        <w:t>.</w:t>
      </w:r>
    </w:p>
    <w:p w:rsidR="00B52A7A" w:rsidRPr="003241AE" w:rsidRDefault="00F35DF5" w:rsidP="00527D22">
      <w:pPr>
        <w:pStyle w:val="Odstavecseseznamem"/>
        <w:numPr>
          <w:ilvl w:val="0"/>
          <w:numId w:val="45"/>
        </w:numPr>
        <w:jc w:val="both"/>
        <w:rPr>
          <w:rFonts w:asciiTheme="minorHAnsi" w:hAnsiTheme="minorHAnsi" w:cstheme="minorHAnsi"/>
        </w:rPr>
      </w:pPr>
      <w:r w:rsidRPr="003241AE">
        <w:rPr>
          <w:rFonts w:ascii="Calibri" w:hAnsi="Calibri" w:cs="Calibri"/>
        </w:rPr>
        <w:t>MK si při předfinancování prostředků spolufinancovaných ze zahraničí nestanovilo</w:t>
      </w:r>
      <w:r w:rsidR="006C3F9D">
        <w:rPr>
          <w:rFonts w:ascii="Calibri" w:hAnsi="Calibri" w:cs="Calibri"/>
        </w:rPr>
        <w:t xml:space="preserve"> jednoznačným způsobem</w:t>
      </w:r>
      <w:r w:rsidRPr="003241AE">
        <w:rPr>
          <w:rFonts w:ascii="Calibri" w:hAnsi="Calibri" w:cs="Calibri"/>
        </w:rPr>
        <w:t xml:space="preserve"> roli v</w:t>
      </w:r>
      <w:r w:rsidR="009C77C9">
        <w:rPr>
          <w:rFonts w:ascii="Calibri" w:hAnsi="Calibri" w:cs="Calibri"/>
        </w:rPr>
        <w:t xml:space="preserve"> </w:t>
      </w:r>
      <w:r w:rsidRPr="003241AE">
        <w:rPr>
          <w:rFonts w:ascii="Calibri" w:hAnsi="Calibri" w:cs="Calibri"/>
        </w:rPr>
        <w:t>souladu s</w:t>
      </w:r>
      <w:r w:rsidR="009C77C9">
        <w:rPr>
          <w:rFonts w:ascii="Calibri" w:hAnsi="Calibri" w:cs="Calibri"/>
        </w:rPr>
        <w:t xml:space="preserve"> </w:t>
      </w:r>
      <w:r w:rsidR="00B81458">
        <w:rPr>
          <w:rFonts w:ascii="Calibri" w:hAnsi="Calibri" w:cs="Calibri"/>
        </w:rPr>
        <w:t>č</w:t>
      </w:r>
      <w:r w:rsidR="004130EA">
        <w:rPr>
          <w:rFonts w:ascii="Calibri" w:hAnsi="Calibri" w:cs="Calibri"/>
        </w:rPr>
        <w:t>eským účetním standardem</w:t>
      </w:r>
      <w:r w:rsidRPr="003241AE">
        <w:rPr>
          <w:rFonts w:ascii="Calibri" w:hAnsi="Calibri" w:cs="Calibri"/>
        </w:rPr>
        <w:t xml:space="preserve"> č. 703</w:t>
      </w:r>
      <w:r w:rsidR="00C01E14">
        <w:rPr>
          <w:rFonts w:ascii="Calibri" w:hAnsi="Calibri" w:cs="Calibri"/>
        </w:rPr>
        <w:t> </w:t>
      </w:r>
      <w:r w:rsidR="004D365F">
        <w:rPr>
          <w:rFonts w:ascii="Calibri" w:hAnsi="Calibri" w:cs="Calibri"/>
        </w:rPr>
        <w:t>–</w:t>
      </w:r>
      <w:r w:rsidR="004130EA">
        <w:rPr>
          <w:rFonts w:ascii="Calibri" w:hAnsi="Calibri" w:cs="Calibri"/>
        </w:rPr>
        <w:t xml:space="preserve"> </w:t>
      </w:r>
      <w:r w:rsidR="004130EA" w:rsidRPr="004130EA">
        <w:rPr>
          <w:rFonts w:ascii="Calibri" w:hAnsi="Calibri" w:cs="Calibri"/>
          <w:i/>
        </w:rPr>
        <w:t>Transfery</w:t>
      </w:r>
      <w:r w:rsidRPr="003241AE">
        <w:rPr>
          <w:rFonts w:ascii="Calibri" w:hAnsi="Calibri" w:cs="Calibri"/>
        </w:rPr>
        <w:t>, tj. neidentifikovalo</w:t>
      </w:r>
      <w:r w:rsidR="006C3F9D">
        <w:rPr>
          <w:rFonts w:ascii="Calibri" w:hAnsi="Calibri" w:cs="Calibri"/>
        </w:rPr>
        <w:t xml:space="preserve"> se jednoznačně</w:t>
      </w:r>
      <w:r w:rsidRPr="003241AE">
        <w:rPr>
          <w:rFonts w:ascii="Calibri" w:hAnsi="Calibri" w:cs="Calibri"/>
        </w:rPr>
        <w:t xml:space="preserve"> </w:t>
      </w:r>
      <w:r w:rsidR="006C3F9D">
        <w:rPr>
          <w:rFonts w:ascii="Calibri" w:hAnsi="Calibri" w:cs="Calibri"/>
        </w:rPr>
        <w:t xml:space="preserve">s rolí </w:t>
      </w:r>
      <w:r w:rsidRPr="003241AE">
        <w:rPr>
          <w:rFonts w:ascii="Calibri" w:hAnsi="Calibri" w:cs="Calibri"/>
        </w:rPr>
        <w:t>poskytovatel</w:t>
      </w:r>
      <w:r w:rsidR="006C3F9D">
        <w:rPr>
          <w:rFonts w:ascii="Calibri" w:hAnsi="Calibri" w:cs="Calibri"/>
        </w:rPr>
        <w:t>e</w:t>
      </w:r>
      <w:r w:rsidRPr="003241AE">
        <w:rPr>
          <w:rFonts w:ascii="Calibri" w:hAnsi="Calibri" w:cs="Calibri"/>
        </w:rPr>
        <w:t xml:space="preserve"> nebo zprostředkovatel</w:t>
      </w:r>
      <w:r w:rsidR="006C3F9D">
        <w:rPr>
          <w:rFonts w:ascii="Calibri" w:hAnsi="Calibri" w:cs="Calibri"/>
        </w:rPr>
        <w:t>e</w:t>
      </w:r>
      <w:r w:rsidRPr="003241AE">
        <w:rPr>
          <w:rFonts w:ascii="Calibri" w:hAnsi="Calibri" w:cs="Calibri"/>
        </w:rPr>
        <w:t xml:space="preserve"> uvedených prostředků (viz </w:t>
      </w:r>
      <w:r w:rsidRPr="00EA475C">
        <w:rPr>
          <w:rFonts w:ascii="Calibri" w:hAnsi="Calibri" w:cs="Calibri"/>
        </w:rPr>
        <w:t xml:space="preserve">část </w:t>
      </w:r>
      <w:r w:rsidR="00EA475C">
        <w:rPr>
          <w:rFonts w:ascii="Calibri" w:hAnsi="Calibri" w:cs="Calibri"/>
        </w:rPr>
        <w:t>III.</w:t>
      </w:r>
      <w:r w:rsidR="007F22D9" w:rsidRPr="003241AE">
        <w:rPr>
          <w:rFonts w:ascii="Calibri" w:hAnsi="Calibri" w:cs="Calibri"/>
        </w:rPr>
        <w:t>2.1</w:t>
      </w:r>
      <w:r w:rsidRPr="003241AE">
        <w:rPr>
          <w:rFonts w:ascii="Calibri" w:hAnsi="Calibri" w:cs="Calibri"/>
        </w:rPr>
        <w:t xml:space="preserve"> </w:t>
      </w:r>
      <w:r w:rsidR="00B81458">
        <w:rPr>
          <w:rFonts w:ascii="Calibri" w:hAnsi="Calibri" w:cs="Calibri"/>
        </w:rPr>
        <w:t xml:space="preserve">tohoto </w:t>
      </w:r>
      <w:r w:rsidRPr="003241AE">
        <w:rPr>
          <w:rFonts w:ascii="Calibri" w:hAnsi="Calibri" w:cs="Calibri"/>
        </w:rPr>
        <w:t>kontrolního závěru).</w:t>
      </w:r>
    </w:p>
    <w:p w:rsidR="00F35DF5" w:rsidRDefault="00F35DF5" w:rsidP="00F35DF5">
      <w:pPr>
        <w:jc w:val="both"/>
        <w:rPr>
          <w:rFonts w:asciiTheme="minorHAnsi" w:hAnsiTheme="minorHAnsi" w:cstheme="minorHAnsi"/>
        </w:rPr>
      </w:pPr>
    </w:p>
    <w:p w:rsidR="00F35DF5" w:rsidRPr="00F35DF5" w:rsidRDefault="00F35DF5" w:rsidP="00F35DF5">
      <w:pPr>
        <w:jc w:val="both"/>
        <w:rPr>
          <w:rFonts w:asciiTheme="minorHAnsi" w:hAnsiTheme="minorHAnsi" w:cstheme="minorHAnsi"/>
        </w:rPr>
      </w:pPr>
      <w:r w:rsidRPr="00F35DF5">
        <w:rPr>
          <w:rFonts w:asciiTheme="minorHAnsi" w:hAnsiTheme="minorHAnsi" w:cstheme="minorHAnsi"/>
          <w:b/>
        </w:rPr>
        <w:t>Vzhledem k</w:t>
      </w:r>
      <w:r w:rsidR="009C77C9">
        <w:rPr>
          <w:rFonts w:asciiTheme="minorHAnsi" w:hAnsiTheme="minorHAnsi" w:cstheme="minorHAnsi"/>
          <w:b/>
        </w:rPr>
        <w:t xml:space="preserve"> </w:t>
      </w:r>
      <w:r w:rsidRPr="00F35DF5">
        <w:rPr>
          <w:rFonts w:asciiTheme="minorHAnsi" w:hAnsiTheme="minorHAnsi" w:cstheme="minorHAnsi"/>
          <w:b/>
        </w:rPr>
        <w:t xml:space="preserve">významnému rozsahu nesprávností </w:t>
      </w:r>
      <w:r w:rsidR="006C3F9D">
        <w:rPr>
          <w:rFonts w:asciiTheme="minorHAnsi" w:hAnsiTheme="minorHAnsi" w:cstheme="minorHAnsi"/>
          <w:b/>
        </w:rPr>
        <w:t xml:space="preserve">je zřejmé, že </w:t>
      </w:r>
      <w:r w:rsidRPr="00F35DF5">
        <w:rPr>
          <w:rFonts w:asciiTheme="minorHAnsi" w:hAnsiTheme="minorHAnsi" w:cstheme="minorHAnsi"/>
          <w:b/>
        </w:rPr>
        <w:t>MK nevedlo v</w:t>
      </w:r>
      <w:r w:rsidR="009C77C9">
        <w:rPr>
          <w:rFonts w:asciiTheme="minorHAnsi" w:hAnsiTheme="minorHAnsi" w:cstheme="minorHAnsi"/>
          <w:b/>
        </w:rPr>
        <w:t xml:space="preserve"> </w:t>
      </w:r>
      <w:r w:rsidRPr="00F35DF5">
        <w:rPr>
          <w:rFonts w:asciiTheme="minorHAnsi" w:hAnsiTheme="minorHAnsi" w:cstheme="minorHAnsi"/>
          <w:b/>
        </w:rPr>
        <w:t xml:space="preserve">roce 2014 správné a úplné účetnictví </w:t>
      </w:r>
      <w:r w:rsidR="006C3F9D">
        <w:rPr>
          <w:rFonts w:asciiTheme="minorHAnsi" w:hAnsiTheme="minorHAnsi" w:cstheme="minorHAnsi"/>
          <w:b/>
        </w:rPr>
        <w:t>ve smyslu</w:t>
      </w:r>
      <w:r w:rsidRPr="00F35DF5">
        <w:rPr>
          <w:rFonts w:asciiTheme="minorHAnsi" w:hAnsiTheme="minorHAnsi" w:cstheme="minorHAnsi"/>
          <w:b/>
        </w:rPr>
        <w:t xml:space="preserve"> § 8 odst. 1, 2 a 3 zákona č. 563/1991 Sb.</w:t>
      </w:r>
    </w:p>
    <w:p w:rsidR="0018205A" w:rsidRDefault="0018205A" w:rsidP="004C231C">
      <w:pPr>
        <w:spacing w:before="40"/>
        <w:jc w:val="both"/>
        <w:rPr>
          <w:rFonts w:asciiTheme="minorHAnsi" w:hAnsiTheme="minorHAnsi" w:cstheme="minorHAnsi"/>
          <w:b/>
        </w:rPr>
      </w:pPr>
    </w:p>
    <w:p w:rsidR="0018205A" w:rsidRPr="00391416" w:rsidRDefault="009801A4" w:rsidP="0018205A">
      <w:pPr>
        <w:jc w:val="both"/>
        <w:rPr>
          <w:rFonts w:asciiTheme="minorHAnsi" w:hAnsiTheme="minorHAnsi" w:cstheme="minorHAnsi"/>
          <w:b/>
        </w:rPr>
      </w:pPr>
      <w:r>
        <w:rPr>
          <w:rFonts w:asciiTheme="minorHAnsi" w:hAnsiTheme="minorHAnsi" w:cstheme="minorHAnsi"/>
          <w:b/>
        </w:rPr>
        <w:t xml:space="preserve">3. </w:t>
      </w:r>
      <w:r w:rsidR="0018205A" w:rsidRPr="00391416">
        <w:rPr>
          <w:rFonts w:asciiTheme="minorHAnsi" w:hAnsiTheme="minorHAnsi" w:cstheme="minorHAnsi"/>
          <w:b/>
        </w:rPr>
        <w:t>Výkaz pro hodnocení plnění rozpočtu za rok 2014</w:t>
      </w:r>
    </w:p>
    <w:p w:rsidR="0018205A" w:rsidRPr="00391416" w:rsidRDefault="0018205A" w:rsidP="0018205A">
      <w:pPr>
        <w:jc w:val="both"/>
        <w:rPr>
          <w:rFonts w:asciiTheme="minorHAnsi" w:hAnsiTheme="minorHAnsi" w:cstheme="minorHAnsi"/>
          <w:b/>
        </w:rPr>
      </w:pPr>
    </w:p>
    <w:p w:rsidR="0018205A" w:rsidRDefault="0018205A" w:rsidP="0018205A">
      <w:pPr>
        <w:jc w:val="both"/>
        <w:rPr>
          <w:rFonts w:asciiTheme="minorHAnsi" w:hAnsiTheme="minorHAnsi" w:cstheme="minorHAnsi"/>
        </w:rPr>
      </w:pPr>
      <w:r w:rsidRPr="00391416">
        <w:rPr>
          <w:rFonts w:asciiTheme="minorHAnsi" w:hAnsiTheme="minorHAnsi" w:cstheme="minorHAnsi"/>
          <w:b/>
        </w:rPr>
        <w:t xml:space="preserve">Ve výkazu pro hodnocení plnění rozpočtu za rok 2014 byla zjištěna celková nesprávnost ve výši </w:t>
      </w:r>
      <w:r>
        <w:rPr>
          <w:rFonts w:asciiTheme="minorHAnsi" w:hAnsiTheme="minorHAnsi" w:cstheme="minorHAnsi"/>
          <w:b/>
        </w:rPr>
        <w:t>22</w:t>
      </w:r>
      <w:r w:rsidRPr="00391416">
        <w:rPr>
          <w:rFonts w:asciiTheme="minorHAnsi" w:hAnsiTheme="minorHAnsi" w:cstheme="minorHAnsi"/>
          <w:b/>
        </w:rPr>
        <w:t xml:space="preserve"> mil. Kč</w:t>
      </w:r>
      <w:r w:rsidRPr="00B4109F">
        <w:rPr>
          <w:rFonts w:asciiTheme="minorHAnsi" w:hAnsiTheme="minorHAnsi" w:cstheme="minorHAnsi"/>
          <w:b/>
        </w:rPr>
        <w:t>,</w:t>
      </w:r>
      <w:r w:rsidRPr="00391416">
        <w:rPr>
          <w:rFonts w:asciiTheme="minorHAnsi" w:hAnsiTheme="minorHAnsi" w:cstheme="minorHAnsi"/>
        </w:rPr>
        <w:t xml:space="preserve"> z toho </w:t>
      </w:r>
      <w:r>
        <w:rPr>
          <w:rFonts w:asciiTheme="minorHAnsi" w:hAnsiTheme="minorHAnsi" w:cstheme="minorHAnsi"/>
        </w:rPr>
        <w:t>21,9</w:t>
      </w:r>
      <w:r w:rsidRPr="00391416">
        <w:rPr>
          <w:rFonts w:asciiTheme="minorHAnsi" w:hAnsiTheme="minorHAnsi" w:cstheme="minorHAnsi"/>
        </w:rPr>
        <w:t xml:space="preserve"> mil. Kč byly nesprávnosti identifikované u výdajových rozpočtových položek, kdy </w:t>
      </w:r>
      <w:r>
        <w:rPr>
          <w:rFonts w:asciiTheme="minorHAnsi" w:hAnsiTheme="minorHAnsi" w:cstheme="minorHAnsi"/>
        </w:rPr>
        <w:t>MK</w:t>
      </w:r>
      <w:r w:rsidRPr="00391416">
        <w:rPr>
          <w:rFonts w:asciiTheme="minorHAnsi" w:hAnsiTheme="minorHAnsi" w:cstheme="minorHAnsi"/>
        </w:rPr>
        <w:t xml:space="preserve"> výdaje vynaložené na účelovou podporu </w:t>
      </w:r>
      <w:r w:rsidR="007F0BE3">
        <w:rPr>
          <w:rFonts w:asciiTheme="minorHAnsi" w:hAnsiTheme="minorHAnsi" w:cstheme="minorHAnsi"/>
        </w:rPr>
        <w:t>knihoven</w:t>
      </w:r>
      <w:r w:rsidRPr="00391416">
        <w:rPr>
          <w:rFonts w:asciiTheme="minorHAnsi" w:hAnsiTheme="minorHAnsi" w:cstheme="minorHAnsi"/>
        </w:rPr>
        <w:t xml:space="preserve"> nevykazovalo jako transfery zřízeným příspěvkovým organizacím, ale zatřídilo je na nesprávnou položku rozpočtové skladby jako výdaje na příspěvek poskytnut</w:t>
      </w:r>
      <w:r w:rsidR="00B4109F">
        <w:rPr>
          <w:rFonts w:asciiTheme="minorHAnsi" w:hAnsiTheme="minorHAnsi" w:cstheme="minorHAnsi"/>
        </w:rPr>
        <w:t>é</w:t>
      </w:r>
      <w:r w:rsidRPr="00391416">
        <w:rPr>
          <w:rFonts w:asciiTheme="minorHAnsi" w:hAnsiTheme="minorHAnsi" w:cstheme="minorHAnsi"/>
        </w:rPr>
        <w:t xml:space="preserve"> zřízeným příspěvkovým organizacím.</w:t>
      </w:r>
    </w:p>
    <w:p w:rsidR="00220C67" w:rsidRDefault="00220C67" w:rsidP="0018205A">
      <w:pPr>
        <w:jc w:val="both"/>
        <w:rPr>
          <w:rFonts w:asciiTheme="minorHAnsi" w:hAnsiTheme="minorHAnsi" w:cstheme="minorHAnsi"/>
        </w:rPr>
      </w:pPr>
    </w:p>
    <w:p w:rsidR="00220C67" w:rsidRDefault="009801A4" w:rsidP="0018205A">
      <w:pPr>
        <w:jc w:val="both"/>
        <w:rPr>
          <w:rFonts w:asciiTheme="minorHAnsi" w:hAnsiTheme="minorHAnsi" w:cstheme="minorHAnsi"/>
          <w:b/>
        </w:rPr>
      </w:pPr>
      <w:r>
        <w:rPr>
          <w:rFonts w:asciiTheme="minorHAnsi" w:hAnsiTheme="minorHAnsi" w:cstheme="minorHAnsi"/>
          <w:b/>
        </w:rPr>
        <w:t xml:space="preserve">4. </w:t>
      </w:r>
      <w:r w:rsidR="00220C67" w:rsidRPr="00220C67">
        <w:rPr>
          <w:rFonts w:asciiTheme="minorHAnsi" w:hAnsiTheme="minorHAnsi" w:cstheme="minorHAnsi"/>
          <w:b/>
        </w:rPr>
        <w:t>Církevní restituce</w:t>
      </w:r>
    </w:p>
    <w:p w:rsidR="009108D5" w:rsidRPr="00C01E14" w:rsidRDefault="009108D5" w:rsidP="0018205A">
      <w:pPr>
        <w:jc w:val="both"/>
        <w:rPr>
          <w:rFonts w:asciiTheme="minorHAnsi" w:hAnsiTheme="minorHAnsi" w:cstheme="minorHAnsi"/>
        </w:rPr>
      </w:pPr>
    </w:p>
    <w:p w:rsidR="009B6E3B" w:rsidRDefault="008C66BE" w:rsidP="0018205A">
      <w:pPr>
        <w:jc w:val="both"/>
        <w:rPr>
          <w:rFonts w:asciiTheme="minorHAnsi" w:hAnsiTheme="minorHAnsi" w:cstheme="minorHAnsi"/>
        </w:rPr>
      </w:pPr>
      <w:r w:rsidRPr="009B6E3B">
        <w:rPr>
          <w:rFonts w:asciiTheme="minorHAnsi" w:hAnsiTheme="minorHAnsi" w:cstheme="minorHAnsi"/>
        </w:rPr>
        <w:t xml:space="preserve">Kontrolou bylo ověřeno, že MK ve svém účetnictví vykazuje </w:t>
      </w:r>
      <w:r w:rsidR="00220C67" w:rsidRPr="009B6E3B">
        <w:rPr>
          <w:rFonts w:asciiTheme="minorHAnsi" w:hAnsiTheme="minorHAnsi" w:cstheme="minorHAnsi"/>
        </w:rPr>
        <w:t xml:space="preserve">závazek </w:t>
      </w:r>
      <w:r w:rsidRPr="009B6E3B">
        <w:rPr>
          <w:rFonts w:asciiTheme="minorHAnsi" w:hAnsiTheme="minorHAnsi" w:cstheme="minorHAnsi"/>
        </w:rPr>
        <w:t>vůči církevním a</w:t>
      </w:r>
      <w:r w:rsidR="009C77C9">
        <w:rPr>
          <w:rFonts w:asciiTheme="minorHAnsi" w:hAnsiTheme="minorHAnsi" w:cstheme="minorHAnsi"/>
        </w:rPr>
        <w:t> </w:t>
      </w:r>
      <w:r w:rsidRPr="009B6E3B">
        <w:rPr>
          <w:rFonts w:asciiTheme="minorHAnsi" w:hAnsiTheme="minorHAnsi" w:cstheme="minorHAnsi"/>
        </w:rPr>
        <w:t>náboženským společnostem</w:t>
      </w:r>
      <w:r w:rsidR="006C3F9D">
        <w:rPr>
          <w:rFonts w:asciiTheme="minorHAnsi" w:hAnsiTheme="minorHAnsi" w:cstheme="minorHAnsi"/>
        </w:rPr>
        <w:t xml:space="preserve"> (dále také „CNS“)</w:t>
      </w:r>
      <w:r w:rsidRPr="009B6E3B">
        <w:rPr>
          <w:rFonts w:asciiTheme="minorHAnsi" w:hAnsiTheme="minorHAnsi" w:cstheme="minorHAnsi"/>
        </w:rPr>
        <w:t xml:space="preserve"> ve výši </w:t>
      </w:r>
      <w:r w:rsidR="004609F4">
        <w:rPr>
          <w:rFonts w:asciiTheme="minorHAnsi" w:hAnsiTheme="minorHAnsi" w:cstheme="minorHAnsi"/>
        </w:rPr>
        <w:t>56,6 mld. Kč, kter</w:t>
      </w:r>
      <w:r w:rsidR="006C3F9D">
        <w:rPr>
          <w:rFonts w:asciiTheme="minorHAnsi" w:hAnsiTheme="minorHAnsi" w:cstheme="minorHAnsi"/>
        </w:rPr>
        <w:t>á</w:t>
      </w:r>
      <w:r w:rsidR="004609F4">
        <w:rPr>
          <w:rFonts w:asciiTheme="minorHAnsi" w:hAnsiTheme="minorHAnsi" w:cstheme="minorHAnsi"/>
        </w:rPr>
        <w:t xml:space="preserve"> odpovídá</w:t>
      </w:r>
      <w:r w:rsidR="00B4109F" w:rsidRPr="00B4109F">
        <w:rPr>
          <w:rFonts w:asciiTheme="minorHAnsi" w:hAnsiTheme="minorHAnsi" w:cstheme="minorHAnsi"/>
        </w:rPr>
        <w:t xml:space="preserve"> </w:t>
      </w:r>
      <w:r w:rsidR="00B4109F">
        <w:rPr>
          <w:rFonts w:asciiTheme="minorHAnsi" w:hAnsiTheme="minorHAnsi" w:cstheme="minorHAnsi"/>
        </w:rPr>
        <w:t>výši</w:t>
      </w:r>
      <w:r w:rsidR="00B4109F" w:rsidRPr="00B4109F">
        <w:rPr>
          <w:rFonts w:asciiTheme="minorHAnsi" w:hAnsiTheme="minorHAnsi" w:cstheme="minorHAnsi"/>
        </w:rPr>
        <w:t xml:space="preserve"> </w:t>
      </w:r>
      <w:r w:rsidR="00B4109F">
        <w:rPr>
          <w:rFonts w:asciiTheme="minorHAnsi" w:hAnsiTheme="minorHAnsi" w:cstheme="minorHAnsi"/>
        </w:rPr>
        <w:t>stanovené</w:t>
      </w:r>
      <w:r w:rsidR="00220C67" w:rsidRPr="009B6E3B">
        <w:rPr>
          <w:rFonts w:asciiTheme="minorHAnsi" w:hAnsiTheme="minorHAnsi" w:cstheme="minorHAnsi"/>
        </w:rPr>
        <w:t xml:space="preserve"> </w:t>
      </w:r>
      <w:r w:rsidRPr="009B6E3B">
        <w:rPr>
          <w:rFonts w:asciiTheme="minorHAnsi" w:hAnsiTheme="minorHAnsi" w:cstheme="minorHAnsi"/>
        </w:rPr>
        <w:t>zákon</w:t>
      </w:r>
      <w:r w:rsidR="004609F4">
        <w:rPr>
          <w:rFonts w:asciiTheme="minorHAnsi" w:hAnsiTheme="minorHAnsi" w:cstheme="minorHAnsi"/>
        </w:rPr>
        <w:t>em</w:t>
      </w:r>
      <w:r w:rsidRPr="009B6E3B">
        <w:rPr>
          <w:rFonts w:asciiTheme="minorHAnsi" w:hAnsiTheme="minorHAnsi" w:cstheme="minorHAnsi"/>
        </w:rPr>
        <w:t xml:space="preserve"> č.</w:t>
      </w:r>
      <w:r w:rsidR="009C77C9">
        <w:rPr>
          <w:rFonts w:asciiTheme="minorHAnsi" w:hAnsiTheme="minorHAnsi" w:cstheme="minorHAnsi"/>
        </w:rPr>
        <w:t xml:space="preserve"> </w:t>
      </w:r>
      <w:r w:rsidR="00220C67" w:rsidRPr="009B6E3B">
        <w:rPr>
          <w:rFonts w:asciiTheme="minorHAnsi" w:hAnsiTheme="minorHAnsi" w:cstheme="minorHAnsi"/>
        </w:rPr>
        <w:t>428/2012</w:t>
      </w:r>
      <w:r w:rsidRPr="009B6E3B">
        <w:rPr>
          <w:rFonts w:asciiTheme="minorHAnsi" w:hAnsiTheme="minorHAnsi" w:cstheme="minorHAnsi"/>
        </w:rPr>
        <w:t xml:space="preserve"> Sb</w:t>
      </w:r>
      <w:r w:rsidR="004609F4">
        <w:rPr>
          <w:rFonts w:asciiTheme="minorHAnsi" w:hAnsiTheme="minorHAnsi" w:cstheme="minorHAnsi"/>
        </w:rPr>
        <w:t>.</w:t>
      </w:r>
      <w:r w:rsidRPr="009B6E3B">
        <w:rPr>
          <w:rFonts w:asciiTheme="minorHAnsi" w:hAnsiTheme="minorHAnsi" w:cstheme="minorHAnsi"/>
        </w:rPr>
        <w:t xml:space="preserve"> Závazek je v</w:t>
      </w:r>
      <w:r w:rsidR="009C77C9">
        <w:rPr>
          <w:rFonts w:asciiTheme="minorHAnsi" w:hAnsiTheme="minorHAnsi" w:cstheme="minorHAnsi"/>
        </w:rPr>
        <w:t xml:space="preserve"> </w:t>
      </w:r>
      <w:r w:rsidRPr="009B6E3B">
        <w:rPr>
          <w:rFonts w:asciiTheme="minorHAnsi" w:hAnsiTheme="minorHAnsi" w:cstheme="minorHAnsi"/>
        </w:rPr>
        <w:t>souladu s</w:t>
      </w:r>
      <w:r w:rsidR="009C77C9">
        <w:rPr>
          <w:rFonts w:asciiTheme="minorHAnsi" w:hAnsiTheme="minorHAnsi" w:cstheme="minorHAnsi"/>
        </w:rPr>
        <w:t xml:space="preserve"> </w:t>
      </w:r>
      <w:r w:rsidR="004609F4">
        <w:rPr>
          <w:rFonts w:asciiTheme="minorHAnsi" w:hAnsiTheme="minorHAnsi" w:cstheme="minorHAnsi"/>
        </w:rPr>
        <w:t>tím</w:t>
      </w:r>
      <w:r w:rsidR="00B4109F">
        <w:rPr>
          <w:rFonts w:asciiTheme="minorHAnsi" w:hAnsiTheme="minorHAnsi" w:cstheme="minorHAnsi"/>
        </w:rPr>
        <w:t>to zákonem ročně navyšován o </w:t>
      </w:r>
      <w:r w:rsidRPr="009B6E3B">
        <w:rPr>
          <w:rFonts w:asciiTheme="minorHAnsi" w:hAnsiTheme="minorHAnsi" w:cstheme="minorHAnsi"/>
        </w:rPr>
        <w:t xml:space="preserve">inflaci </w:t>
      </w:r>
      <w:r w:rsidR="006C3F9D">
        <w:rPr>
          <w:rFonts w:asciiTheme="minorHAnsi" w:hAnsiTheme="minorHAnsi" w:cstheme="minorHAnsi"/>
        </w:rPr>
        <w:t>zveřejňovanou</w:t>
      </w:r>
      <w:r w:rsidR="009B6E3B" w:rsidRPr="009B6E3B">
        <w:rPr>
          <w:rFonts w:asciiTheme="minorHAnsi" w:hAnsiTheme="minorHAnsi" w:cstheme="minorHAnsi"/>
        </w:rPr>
        <w:t xml:space="preserve"> Českým statistickým úřadem.</w:t>
      </w:r>
      <w:r w:rsidR="009B6E3B">
        <w:rPr>
          <w:rFonts w:asciiTheme="minorHAnsi" w:hAnsiTheme="minorHAnsi" w:cstheme="minorHAnsi"/>
        </w:rPr>
        <w:t xml:space="preserve"> Současně bylo ověřeno účtování příspěvků</w:t>
      </w:r>
      <w:r w:rsidR="004609F4">
        <w:rPr>
          <w:rFonts w:asciiTheme="minorHAnsi" w:hAnsiTheme="minorHAnsi" w:cstheme="minorHAnsi"/>
        </w:rPr>
        <w:t xml:space="preserve"> na podporu činnosti CNS, </w:t>
      </w:r>
      <w:r w:rsidR="006C3F9D">
        <w:rPr>
          <w:rFonts w:asciiTheme="minorHAnsi" w:hAnsiTheme="minorHAnsi" w:cstheme="minorHAnsi"/>
        </w:rPr>
        <w:t>tyto příspěvky</w:t>
      </w:r>
      <w:r w:rsidR="004609F4">
        <w:rPr>
          <w:rFonts w:asciiTheme="minorHAnsi" w:hAnsiTheme="minorHAnsi" w:cstheme="minorHAnsi"/>
        </w:rPr>
        <w:t xml:space="preserve"> v</w:t>
      </w:r>
      <w:r w:rsidR="00D97621">
        <w:rPr>
          <w:rFonts w:asciiTheme="minorHAnsi" w:hAnsiTheme="minorHAnsi" w:cstheme="minorHAnsi"/>
        </w:rPr>
        <w:t> </w:t>
      </w:r>
      <w:r w:rsidR="004609F4">
        <w:rPr>
          <w:rFonts w:asciiTheme="minorHAnsi" w:hAnsiTheme="minorHAnsi" w:cstheme="minorHAnsi"/>
        </w:rPr>
        <w:t>roce 2014 činily 1,445 mld. Kč.</w:t>
      </w:r>
    </w:p>
    <w:p w:rsidR="00B4109F" w:rsidRPr="009B6E3B" w:rsidRDefault="00B4109F" w:rsidP="0018205A">
      <w:pPr>
        <w:jc w:val="both"/>
        <w:rPr>
          <w:rFonts w:asciiTheme="minorHAnsi" w:hAnsiTheme="minorHAnsi" w:cstheme="minorHAnsi"/>
        </w:rPr>
      </w:pPr>
    </w:p>
    <w:p w:rsidR="0018205A" w:rsidRPr="00391416" w:rsidRDefault="009801A4" w:rsidP="0018205A">
      <w:pPr>
        <w:jc w:val="both"/>
        <w:rPr>
          <w:rFonts w:asciiTheme="minorHAnsi" w:hAnsiTheme="minorHAnsi" w:cstheme="minorHAnsi"/>
          <w:b/>
        </w:rPr>
      </w:pPr>
      <w:r>
        <w:rPr>
          <w:rFonts w:asciiTheme="minorHAnsi" w:hAnsiTheme="minorHAnsi" w:cstheme="minorHAnsi"/>
          <w:b/>
        </w:rPr>
        <w:lastRenderedPageBreak/>
        <w:t xml:space="preserve">5. </w:t>
      </w:r>
      <w:r w:rsidR="0018205A" w:rsidRPr="00391416">
        <w:rPr>
          <w:rFonts w:asciiTheme="minorHAnsi" w:hAnsiTheme="minorHAnsi" w:cstheme="minorHAnsi"/>
          <w:b/>
        </w:rPr>
        <w:t>Závěrečný účet</w:t>
      </w:r>
    </w:p>
    <w:p w:rsidR="0018205A" w:rsidRPr="00C01E14" w:rsidRDefault="0018205A" w:rsidP="0018205A">
      <w:pPr>
        <w:jc w:val="both"/>
        <w:rPr>
          <w:rFonts w:asciiTheme="minorHAnsi" w:hAnsiTheme="minorHAnsi" w:cstheme="minorHAnsi"/>
        </w:rPr>
      </w:pPr>
    </w:p>
    <w:p w:rsidR="007F0BE3" w:rsidRPr="00C01E14" w:rsidRDefault="0018205A" w:rsidP="007F0BE3">
      <w:pPr>
        <w:jc w:val="both"/>
        <w:rPr>
          <w:rFonts w:asciiTheme="minorHAnsi" w:hAnsiTheme="minorHAnsi" w:cstheme="minorHAnsi"/>
          <w:highlight w:val="cyan"/>
        </w:rPr>
      </w:pPr>
      <w:r w:rsidRPr="00391416">
        <w:rPr>
          <w:rFonts w:asciiTheme="minorHAnsi" w:hAnsiTheme="minorHAnsi" w:cstheme="minorHAnsi"/>
        </w:rPr>
        <w:t xml:space="preserve">Při hodnocení souladu </w:t>
      </w:r>
      <w:r w:rsidR="00EC3B9C">
        <w:rPr>
          <w:rFonts w:asciiTheme="minorHAnsi" w:hAnsiTheme="minorHAnsi" w:cstheme="minorHAnsi"/>
        </w:rPr>
        <w:t xml:space="preserve">sestavení </w:t>
      </w:r>
      <w:r w:rsidR="00B23DDE">
        <w:rPr>
          <w:rFonts w:asciiTheme="minorHAnsi" w:hAnsiTheme="minorHAnsi" w:cstheme="minorHAnsi"/>
        </w:rPr>
        <w:t xml:space="preserve">návrhu </w:t>
      </w:r>
      <w:r w:rsidRPr="00391416">
        <w:rPr>
          <w:rFonts w:asciiTheme="minorHAnsi" w:hAnsiTheme="minorHAnsi" w:cstheme="minorHAnsi"/>
        </w:rPr>
        <w:t>z</w:t>
      </w:r>
      <w:r w:rsidR="007F0BE3">
        <w:rPr>
          <w:rFonts w:asciiTheme="minorHAnsi" w:hAnsiTheme="minorHAnsi" w:cstheme="minorHAnsi"/>
        </w:rPr>
        <w:t>ávěrečného účtu kapitoly MK</w:t>
      </w:r>
      <w:r w:rsidRPr="00391416">
        <w:rPr>
          <w:rFonts w:asciiTheme="minorHAnsi" w:hAnsiTheme="minorHAnsi" w:cstheme="minorHAnsi"/>
        </w:rPr>
        <w:t xml:space="preserve"> za rok 2014 s</w:t>
      </w:r>
      <w:r w:rsidR="004D365F">
        <w:rPr>
          <w:rFonts w:asciiTheme="minorHAnsi" w:hAnsiTheme="minorHAnsi" w:cstheme="minorHAnsi"/>
        </w:rPr>
        <w:t> </w:t>
      </w:r>
      <w:r w:rsidRPr="00391416">
        <w:rPr>
          <w:rFonts w:asciiTheme="minorHAnsi" w:hAnsiTheme="minorHAnsi" w:cstheme="minorHAnsi"/>
        </w:rPr>
        <w:t>vyhláškou č.</w:t>
      </w:r>
      <w:r w:rsidR="009C77C9">
        <w:rPr>
          <w:rFonts w:asciiTheme="minorHAnsi" w:hAnsiTheme="minorHAnsi" w:cstheme="minorHAnsi"/>
        </w:rPr>
        <w:t xml:space="preserve"> </w:t>
      </w:r>
      <w:r w:rsidRPr="00391416">
        <w:rPr>
          <w:rFonts w:asciiTheme="minorHAnsi" w:hAnsiTheme="minorHAnsi" w:cstheme="minorHAnsi"/>
        </w:rPr>
        <w:t>419/2001</w:t>
      </w:r>
      <w:r w:rsidR="009C77C9">
        <w:rPr>
          <w:rFonts w:asciiTheme="minorHAnsi" w:hAnsiTheme="minorHAnsi" w:cstheme="minorHAnsi"/>
        </w:rPr>
        <w:t xml:space="preserve"> </w:t>
      </w:r>
      <w:r w:rsidRPr="00391416">
        <w:rPr>
          <w:rFonts w:asciiTheme="minorHAnsi" w:hAnsiTheme="minorHAnsi" w:cstheme="minorHAnsi"/>
        </w:rPr>
        <w:t>Sb.</w:t>
      </w:r>
      <w:r w:rsidR="007F0BE3">
        <w:rPr>
          <w:rFonts w:asciiTheme="minorHAnsi" w:hAnsiTheme="minorHAnsi" w:cstheme="minorHAnsi"/>
        </w:rPr>
        <w:t>, o rozsahu, struktuře a termínech údajů předkládaných pro vypracování návrhu státního závěrečného účtu a o rozsahu a termínech sestavení návrhů závěrečných účtů kapitol státního rozpočtu,</w:t>
      </w:r>
      <w:r w:rsidRPr="00391416">
        <w:rPr>
          <w:rFonts w:asciiTheme="minorHAnsi" w:hAnsiTheme="minorHAnsi" w:cstheme="minorHAnsi"/>
        </w:rPr>
        <w:t xml:space="preserve"> a při prověřování vybraných oblastí, kterými byly transfery, návratné finanční výpomoci, bezúplatné převody</w:t>
      </w:r>
      <w:r w:rsidR="007F0BE3">
        <w:rPr>
          <w:rFonts w:asciiTheme="minorHAnsi" w:hAnsiTheme="minorHAnsi" w:cstheme="minorHAnsi"/>
        </w:rPr>
        <w:t xml:space="preserve"> a zálohy</w:t>
      </w:r>
      <w:r w:rsidRPr="00391416">
        <w:rPr>
          <w:rFonts w:asciiTheme="minorHAnsi" w:hAnsiTheme="minorHAnsi" w:cstheme="minorHAnsi"/>
        </w:rPr>
        <w:t xml:space="preserve">, </w:t>
      </w:r>
      <w:r w:rsidRPr="007A7B70">
        <w:rPr>
          <w:rFonts w:asciiTheme="minorHAnsi" w:hAnsiTheme="minorHAnsi" w:cstheme="minorHAnsi"/>
          <w:b/>
        </w:rPr>
        <w:t>nebyly zjištěny významné nedostatky.</w:t>
      </w:r>
      <w:r w:rsidRPr="00391416">
        <w:rPr>
          <w:rFonts w:asciiTheme="minorHAnsi" w:hAnsiTheme="minorHAnsi" w:cstheme="minorHAnsi"/>
        </w:rPr>
        <w:t xml:space="preserve"> </w:t>
      </w:r>
      <w:r w:rsidRPr="007F0BE3">
        <w:rPr>
          <w:rFonts w:asciiTheme="minorHAnsi" w:hAnsiTheme="minorHAnsi" w:cstheme="minorHAnsi"/>
        </w:rPr>
        <w:t>Dílčí nedostatky byly identifikovány v průvodní zprávě k</w:t>
      </w:r>
      <w:r w:rsidR="009C77C9">
        <w:rPr>
          <w:rFonts w:asciiTheme="minorHAnsi" w:hAnsiTheme="minorHAnsi" w:cstheme="minorHAnsi"/>
        </w:rPr>
        <w:t xml:space="preserve"> </w:t>
      </w:r>
      <w:r w:rsidRPr="007F0BE3">
        <w:rPr>
          <w:rFonts w:asciiTheme="minorHAnsi" w:hAnsiTheme="minorHAnsi" w:cstheme="minorHAnsi"/>
        </w:rPr>
        <w:t>závěrečnému účtu.</w:t>
      </w:r>
    </w:p>
    <w:p w:rsidR="007F0BE3" w:rsidRPr="00C01E14" w:rsidRDefault="007F0BE3" w:rsidP="007F0BE3">
      <w:pPr>
        <w:jc w:val="both"/>
        <w:rPr>
          <w:rFonts w:asciiTheme="minorHAnsi" w:hAnsiTheme="minorHAnsi" w:cstheme="minorHAnsi"/>
          <w:highlight w:val="cyan"/>
        </w:rPr>
      </w:pPr>
    </w:p>
    <w:p w:rsidR="00B10F0A" w:rsidRPr="00C01E14" w:rsidRDefault="00B10F0A" w:rsidP="00B10F0A">
      <w:pPr>
        <w:jc w:val="both"/>
        <w:rPr>
          <w:rFonts w:asciiTheme="minorHAnsi" w:hAnsiTheme="minorHAnsi" w:cstheme="minorHAnsi"/>
        </w:rPr>
      </w:pPr>
    </w:p>
    <w:p w:rsidR="00B10F0A" w:rsidRPr="00B10F0A" w:rsidRDefault="00B10F0A" w:rsidP="00B10F0A">
      <w:pPr>
        <w:jc w:val="center"/>
        <w:rPr>
          <w:rFonts w:asciiTheme="minorHAnsi" w:hAnsiTheme="minorHAnsi" w:cstheme="minorHAnsi"/>
          <w:b/>
          <w:sz w:val="28"/>
          <w:szCs w:val="28"/>
          <w:lang w:eastAsia="cs-CZ"/>
        </w:rPr>
      </w:pPr>
      <w:r w:rsidRPr="00B10F0A">
        <w:rPr>
          <w:rFonts w:asciiTheme="minorHAnsi" w:hAnsiTheme="minorHAnsi" w:cstheme="minorHAnsi"/>
          <w:b/>
          <w:sz w:val="28"/>
          <w:szCs w:val="28"/>
          <w:lang w:eastAsia="cs-CZ"/>
        </w:rPr>
        <w:t>III. Podrobné informace ke zjištěným skutečnostem</w:t>
      </w:r>
    </w:p>
    <w:p w:rsidR="007F0BE3" w:rsidRPr="00C01E14" w:rsidRDefault="007F0BE3" w:rsidP="00E379CA">
      <w:pPr>
        <w:spacing w:before="40"/>
        <w:rPr>
          <w:rFonts w:asciiTheme="minorHAnsi" w:hAnsiTheme="minorHAnsi" w:cstheme="minorHAnsi"/>
          <w:sz w:val="22"/>
          <w:szCs w:val="20"/>
          <w:lang w:eastAsia="cs-CZ"/>
        </w:rPr>
      </w:pPr>
    </w:p>
    <w:p w:rsidR="00B43C41" w:rsidRPr="00391416" w:rsidRDefault="00B43C41" w:rsidP="00B43C41">
      <w:pPr>
        <w:jc w:val="both"/>
        <w:rPr>
          <w:rFonts w:asciiTheme="minorHAnsi" w:hAnsiTheme="minorHAnsi" w:cstheme="minorHAnsi"/>
          <w:b/>
        </w:rPr>
      </w:pPr>
      <w:r w:rsidRPr="00391416">
        <w:rPr>
          <w:rFonts w:asciiTheme="minorHAnsi" w:hAnsiTheme="minorHAnsi" w:cstheme="minorHAnsi"/>
          <w:b/>
        </w:rPr>
        <w:t xml:space="preserve">1. Části účetní závěrky, </w:t>
      </w:r>
      <w:r w:rsidR="00C85DC7" w:rsidRPr="00391416">
        <w:rPr>
          <w:rFonts w:asciiTheme="minorHAnsi" w:hAnsiTheme="minorHAnsi" w:cstheme="minorHAnsi"/>
          <w:b/>
        </w:rPr>
        <w:t>ke kterým se NKÚ nevyjadřuje</w:t>
      </w:r>
    </w:p>
    <w:p w:rsidR="00B43C41" w:rsidRPr="00391416" w:rsidRDefault="00B43C41" w:rsidP="00886F01">
      <w:pPr>
        <w:pStyle w:val="NormlnKZ"/>
        <w:spacing w:after="0"/>
        <w:ind w:firstLine="0"/>
        <w:rPr>
          <w:rFonts w:asciiTheme="minorHAnsi" w:hAnsiTheme="minorHAnsi" w:cstheme="minorHAnsi"/>
          <w:sz w:val="24"/>
        </w:rPr>
      </w:pPr>
    </w:p>
    <w:p w:rsidR="00B43C41" w:rsidRPr="00391416" w:rsidRDefault="00B43C41" w:rsidP="00886F01">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Novely právních předpisů a </w:t>
      </w:r>
      <w:r w:rsidR="00197B15" w:rsidRPr="00391416">
        <w:rPr>
          <w:rFonts w:asciiTheme="minorHAnsi" w:hAnsiTheme="minorHAnsi" w:cstheme="minorHAnsi"/>
          <w:sz w:val="24"/>
        </w:rPr>
        <w:t>český</w:t>
      </w:r>
      <w:r w:rsidR="0099356C" w:rsidRPr="00391416">
        <w:rPr>
          <w:rFonts w:asciiTheme="minorHAnsi" w:hAnsiTheme="minorHAnsi" w:cstheme="minorHAnsi"/>
          <w:sz w:val="24"/>
        </w:rPr>
        <w:t>ch</w:t>
      </w:r>
      <w:r w:rsidR="00197B15" w:rsidRPr="00391416">
        <w:rPr>
          <w:rFonts w:asciiTheme="minorHAnsi" w:hAnsiTheme="minorHAnsi" w:cstheme="minorHAnsi"/>
          <w:sz w:val="24"/>
        </w:rPr>
        <w:t xml:space="preserve"> účetních standardů </w:t>
      </w:r>
      <w:r w:rsidR="00010565" w:rsidRPr="00391416">
        <w:rPr>
          <w:rFonts w:asciiTheme="minorHAnsi" w:hAnsiTheme="minorHAnsi" w:cstheme="minorHAnsi"/>
          <w:sz w:val="24"/>
        </w:rPr>
        <w:t xml:space="preserve">ani pro účetní období 2014 </w:t>
      </w:r>
      <w:r w:rsidRPr="00391416">
        <w:rPr>
          <w:rFonts w:asciiTheme="minorHAnsi" w:hAnsiTheme="minorHAnsi" w:cstheme="minorHAnsi"/>
          <w:sz w:val="24"/>
        </w:rPr>
        <w:t>neodstranily nejednoznačnosti a nejasnosti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oblastech, </w:t>
      </w:r>
      <w:r w:rsidR="00C27EF5" w:rsidRPr="00391416">
        <w:rPr>
          <w:rFonts w:asciiTheme="minorHAnsi" w:hAnsiTheme="minorHAnsi" w:cstheme="minorHAnsi"/>
          <w:sz w:val="24"/>
        </w:rPr>
        <w:t>na které NKÚ dlouhodobě upozorňuje</w:t>
      </w:r>
      <w:r w:rsidRPr="00391416">
        <w:rPr>
          <w:rFonts w:asciiTheme="minorHAnsi" w:hAnsiTheme="minorHAnsi" w:cstheme="minorHAnsi"/>
          <w:sz w:val="24"/>
        </w:rPr>
        <w:t>. Některé informace vykázané v</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ÚZ tak nebyly vyhodnoceny </w:t>
      </w:r>
      <w:r w:rsidR="0080590C">
        <w:rPr>
          <w:rFonts w:asciiTheme="minorHAnsi" w:hAnsiTheme="minorHAnsi" w:cstheme="minorHAnsi"/>
          <w:sz w:val="24"/>
        </w:rPr>
        <w:t>z hlediska souladu</w:t>
      </w:r>
      <w:r w:rsidRPr="00391416">
        <w:rPr>
          <w:rFonts w:asciiTheme="minorHAnsi" w:hAnsiTheme="minorHAnsi" w:cstheme="minorHAnsi"/>
          <w:sz w:val="24"/>
        </w:rPr>
        <w:t xml:space="preserve"> s</w:t>
      </w:r>
      <w:r w:rsidR="004D365F">
        <w:rPr>
          <w:rFonts w:asciiTheme="minorHAnsi" w:hAnsiTheme="minorHAnsi" w:cstheme="minorHAnsi"/>
          <w:sz w:val="24"/>
        </w:rPr>
        <w:t> </w:t>
      </w:r>
      <w:r w:rsidRPr="00391416">
        <w:rPr>
          <w:rFonts w:asciiTheme="minorHAnsi" w:hAnsiTheme="minorHAnsi" w:cstheme="minorHAnsi"/>
          <w:sz w:val="24"/>
        </w:rPr>
        <w:t xml:space="preserve">ustanoveními </w:t>
      </w:r>
      <w:r w:rsidR="00724AA1" w:rsidRPr="00391416">
        <w:rPr>
          <w:rFonts w:asciiTheme="minorHAnsi" w:hAnsiTheme="minorHAnsi" w:cstheme="minorHAnsi"/>
          <w:sz w:val="24"/>
        </w:rPr>
        <w:t xml:space="preserve">právních předpisů </w:t>
      </w:r>
      <w:r w:rsidR="00B44E3D" w:rsidRPr="00391416">
        <w:rPr>
          <w:rFonts w:asciiTheme="minorHAnsi" w:hAnsiTheme="minorHAnsi" w:cstheme="minorHAnsi"/>
          <w:sz w:val="24"/>
        </w:rPr>
        <w:t xml:space="preserve">a ČÚS </w:t>
      </w:r>
      <w:r w:rsidR="00724AA1" w:rsidRPr="00391416">
        <w:rPr>
          <w:rFonts w:asciiTheme="minorHAnsi" w:hAnsiTheme="minorHAnsi" w:cstheme="minorHAnsi"/>
          <w:sz w:val="24"/>
        </w:rPr>
        <w:t>regulujících</w:t>
      </w:r>
      <w:r w:rsidRPr="00391416">
        <w:rPr>
          <w:rFonts w:asciiTheme="minorHAnsi" w:hAnsiTheme="minorHAnsi" w:cstheme="minorHAnsi"/>
          <w:sz w:val="24"/>
        </w:rPr>
        <w:t xml:space="preserve"> účetnictví </w:t>
      </w:r>
      <w:r w:rsidR="00C427C6" w:rsidRPr="00391416">
        <w:rPr>
          <w:rFonts w:asciiTheme="minorHAnsi" w:hAnsiTheme="minorHAnsi" w:cstheme="minorHAnsi"/>
          <w:sz w:val="24"/>
        </w:rPr>
        <w:t>OSS</w:t>
      </w:r>
      <w:r w:rsidRPr="00391416">
        <w:rPr>
          <w:rFonts w:asciiTheme="minorHAnsi" w:hAnsiTheme="minorHAnsi" w:cstheme="minorHAnsi"/>
          <w:sz w:val="24"/>
        </w:rPr>
        <w:t>, neboť v</w:t>
      </w:r>
      <w:r w:rsidR="0080590C">
        <w:rPr>
          <w:rFonts w:asciiTheme="minorHAnsi" w:hAnsiTheme="minorHAnsi" w:cstheme="minorHAnsi"/>
          <w:sz w:val="24"/>
        </w:rPr>
        <w:t> </w:t>
      </w:r>
      <w:r w:rsidRPr="00391416">
        <w:rPr>
          <w:rFonts w:asciiTheme="minorHAnsi" w:hAnsiTheme="minorHAnsi" w:cstheme="minorHAnsi"/>
          <w:sz w:val="24"/>
        </w:rPr>
        <w:t xml:space="preserve">některých případech </w:t>
      </w:r>
      <w:r w:rsidR="005713A4" w:rsidRPr="00391416">
        <w:rPr>
          <w:rFonts w:asciiTheme="minorHAnsi" w:hAnsiTheme="minorHAnsi" w:cstheme="minorHAnsi"/>
          <w:sz w:val="24"/>
        </w:rPr>
        <w:t xml:space="preserve">nelze </w:t>
      </w:r>
      <w:r w:rsidRPr="00391416">
        <w:rPr>
          <w:rFonts w:asciiTheme="minorHAnsi" w:hAnsiTheme="minorHAnsi" w:cstheme="minorHAnsi"/>
          <w:sz w:val="24"/>
        </w:rPr>
        <w:t xml:space="preserve">jednoznačně vyhodnotit skutečnost </w:t>
      </w:r>
      <w:r w:rsidR="0080590C">
        <w:rPr>
          <w:rFonts w:asciiTheme="minorHAnsi" w:hAnsiTheme="minorHAnsi" w:cstheme="minorHAnsi"/>
          <w:sz w:val="24"/>
        </w:rPr>
        <w:t>ve vztahu k</w:t>
      </w:r>
      <w:r w:rsidRPr="00391416">
        <w:rPr>
          <w:rFonts w:asciiTheme="minorHAnsi" w:hAnsiTheme="minorHAnsi" w:cstheme="minorHAnsi"/>
          <w:sz w:val="24"/>
        </w:rPr>
        <w:t xml:space="preserve"> ustanovení</w:t>
      </w:r>
      <w:r w:rsidR="0080590C">
        <w:rPr>
          <w:rFonts w:asciiTheme="minorHAnsi" w:hAnsiTheme="minorHAnsi" w:cstheme="minorHAnsi"/>
          <w:sz w:val="24"/>
        </w:rPr>
        <w:t>m</w:t>
      </w:r>
      <w:r w:rsidRPr="00391416">
        <w:rPr>
          <w:rFonts w:asciiTheme="minorHAnsi" w:hAnsiTheme="minorHAnsi" w:cstheme="minorHAnsi"/>
          <w:sz w:val="24"/>
        </w:rPr>
        <w:t xml:space="preserve"> těchto právních předp</w:t>
      </w:r>
      <w:r w:rsidR="00C427C6" w:rsidRPr="00391416">
        <w:rPr>
          <w:rFonts w:asciiTheme="minorHAnsi" w:hAnsiTheme="minorHAnsi" w:cstheme="minorHAnsi"/>
          <w:sz w:val="24"/>
        </w:rPr>
        <w:t>isů a</w:t>
      </w:r>
      <w:r w:rsidR="004D365F">
        <w:rPr>
          <w:rFonts w:asciiTheme="minorHAnsi" w:hAnsiTheme="minorHAnsi" w:cstheme="minorHAnsi"/>
          <w:sz w:val="24"/>
        </w:rPr>
        <w:t> </w:t>
      </w:r>
      <w:r w:rsidR="00C427C6" w:rsidRPr="00391416">
        <w:rPr>
          <w:rFonts w:asciiTheme="minorHAnsi" w:hAnsiTheme="minorHAnsi" w:cstheme="minorHAnsi"/>
          <w:sz w:val="24"/>
        </w:rPr>
        <w:t>ČÚS</w:t>
      </w:r>
      <w:r w:rsidRPr="00391416">
        <w:rPr>
          <w:rFonts w:asciiTheme="minorHAnsi" w:hAnsiTheme="minorHAnsi" w:cstheme="minorHAnsi"/>
          <w:sz w:val="24"/>
        </w:rPr>
        <w:t xml:space="preserve">. </w:t>
      </w:r>
      <w:r w:rsidR="00010565" w:rsidRPr="00391416">
        <w:rPr>
          <w:rFonts w:asciiTheme="minorHAnsi" w:hAnsiTheme="minorHAnsi" w:cstheme="minorHAnsi"/>
          <w:sz w:val="24"/>
        </w:rPr>
        <w:t>Z</w:t>
      </w:r>
      <w:r w:rsidR="000815BB" w:rsidRPr="00391416">
        <w:rPr>
          <w:rFonts w:asciiTheme="minorHAnsi" w:hAnsiTheme="minorHAnsi" w:cstheme="minorHAnsi"/>
          <w:sz w:val="24"/>
        </w:rPr>
        <w:t xml:space="preserve"> </w:t>
      </w:r>
      <w:r w:rsidR="00010565" w:rsidRPr="00391416">
        <w:rPr>
          <w:rFonts w:asciiTheme="minorHAnsi" w:hAnsiTheme="minorHAnsi" w:cstheme="minorHAnsi"/>
          <w:sz w:val="24"/>
        </w:rPr>
        <w:t>tohoto důvodu se NKÚ k</w:t>
      </w:r>
      <w:r w:rsidR="000815BB" w:rsidRPr="00391416">
        <w:rPr>
          <w:rFonts w:asciiTheme="minorHAnsi" w:hAnsiTheme="minorHAnsi" w:cstheme="minorHAnsi"/>
          <w:sz w:val="24"/>
        </w:rPr>
        <w:t xml:space="preserve"> </w:t>
      </w:r>
      <w:r w:rsidR="00010565" w:rsidRPr="00391416">
        <w:rPr>
          <w:rFonts w:asciiTheme="minorHAnsi" w:hAnsiTheme="minorHAnsi" w:cstheme="minorHAnsi"/>
          <w:sz w:val="24"/>
        </w:rPr>
        <w:t xml:space="preserve">uvedeným částem účetní závěrky nevyjadřuje. </w:t>
      </w:r>
      <w:r w:rsidRPr="00391416">
        <w:rPr>
          <w:rFonts w:asciiTheme="minorHAnsi" w:hAnsiTheme="minorHAnsi" w:cstheme="minorHAnsi"/>
          <w:sz w:val="24"/>
        </w:rPr>
        <w:t>Jedná se o</w:t>
      </w:r>
      <w:r w:rsidR="004D365F">
        <w:rPr>
          <w:rFonts w:asciiTheme="minorHAnsi" w:hAnsiTheme="minorHAnsi" w:cstheme="minorHAnsi"/>
          <w:sz w:val="24"/>
        </w:rPr>
        <w:t> </w:t>
      </w:r>
      <w:r w:rsidRPr="00391416">
        <w:rPr>
          <w:rFonts w:asciiTheme="minorHAnsi" w:hAnsiTheme="minorHAnsi" w:cstheme="minorHAnsi"/>
          <w:sz w:val="24"/>
        </w:rPr>
        <w:t>následující případy:</w:t>
      </w:r>
    </w:p>
    <w:p w:rsidR="00753F12" w:rsidRPr="00391416" w:rsidRDefault="00753F12" w:rsidP="00886F01">
      <w:pPr>
        <w:pStyle w:val="NormlnKZ"/>
        <w:spacing w:after="0"/>
        <w:ind w:firstLine="0"/>
        <w:rPr>
          <w:rFonts w:asciiTheme="minorHAnsi" w:hAnsiTheme="minorHAnsi" w:cstheme="minorHAnsi"/>
          <w:sz w:val="24"/>
        </w:rPr>
      </w:pPr>
    </w:p>
    <w:p w:rsidR="00B43C41" w:rsidRPr="005E121C" w:rsidRDefault="009801A4" w:rsidP="005E121C">
      <w:pPr>
        <w:pStyle w:val="NormlnKZ"/>
        <w:spacing w:after="0"/>
        <w:ind w:firstLine="0"/>
        <w:rPr>
          <w:rFonts w:asciiTheme="minorHAnsi" w:hAnsiTheme="minorHAnsi" w:cstheme="minorHAnsi"/>
          <w:b/>
          <w:sz w:val="24"/>
        </w:rPr>
      </w:pPr>
      <w:r>
        <w:rPr>
          <w:rFonts w:asciiTheme="minorHAnsi" w:hAnsiTheme="minorHAnsi" w:cstheme="minorHAnsi"/>
          <w:b/>
          <w:sz w:val="24"/>
        </w:rPr>
        <w:t xml:space="preserve">1.1 </w:t>
      </w:r>
      <w:r w:rsidR="007C2AE9" w:rsidRPr="005E121C">
        <w:rPr>
          <w:rFonts w:asciiTheme="minorHAnsi" w:hAnsiTheme="minorHAnsi" w:cstheme="minorHAnsi"/>
          <w:b/>
          <w:sz w:val="24"/>
        </w:rPr>
        <w:t>Transfery spolufinancované</w:t>
      </w:r>
      <w:r w:rsidR="00B43C41" w:rsidRPr="005E121C">
        <w:rPr>
          <w:rFonts w:asciiTheme="minorHAnsi" w:hAnsiTheme="minorHAnsi" w:cstheme="minorHAnsi"/>
          <w:b/>
          <w:sz w:val="24"/>
        </w:rPr>
        <w:t xml:space="preserve"> ze zahraničí</w:t>
      </w:r>
    </w:p>
    <w:p w:rsidR="00B43C41" w:rsidRPr="00391416" w:rsidRDefault="00B43C41" w:rsidP="00886F01">
      <w:pPr>
        <w:pStyle w:val="NormlnKZ"/>
        <w:spacing w:after="0"/>
        <w:ind w:firstLine="0"/>
        <w:rPr>
          <w:rFonts w:asciiTheme="minorHAnsi" w:hAnsiTheme="minorHAnsi" w:cstheme="minorHAnsi"/>
          <w:sz w:val="24"/>
        </w:rPr>
      </w:pPr>
    </w:p>
    <w:p w:rsidR="00FA61B9" w:rsidRPr="00391416" w:rsidRDefault="00FD43CC" w:rsidP="00886F01">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Při </w:t>
      </w:r>
      <w:r w:rsidR="005713A4">
        <w:rPr>
          <w:rFonts w:asciiTheme="minorHAnsi" w:hAnsiTheme="minorHAnsi" w:cstheme="minorHAnsi"/>
          <w:sz w:val="24"/>
        </w:rPr>
        <w:t>posuzování</w:t>
      </w:r>
      <w:r w:rsidRPr="00391416">
        <w:rPr>
          <w:rFonts w:asciiTheme="minorHAnsi" w:hAnsiTheme="minorHAnsi" w:cstheme="minorHAnsi"/>
          <w:sz w:val="24"/>
        </w:rPr>
        <w:t xml:space="preserve"> postupu účtování M</w:t>
      </w:r>
      <w:r w:rsidR="005E121C">
        <w:rPr>
          <w:rFonts w:asciiTheme="minorHAnsi" w:hAnsiTheme="minorHAnsi" w:cstheme="minorHAnsi"/>
          <w:sz w:val="24"/>
        </w:rPr>
        <w:t>K</w:t>
      </w:r>
      <w:r w:rsidRPr="00391416">
        <w:rPr>
          <w:rFonts w:asciiTheme="minorHAnsi" w:hAnsiTheme="minorHAnsi" w:cstheme="minorHAnsi"/>
          <w:sz w:val="24"/>
        </w:rPr>
        <w:t xml:space="preserve"> o transferech spolufinancovaných ze zahraničí je nutné určit, jakou roli</w:t>
      </w:r>
      <w:r w:rsidR="00FA61B9" w:rsidRPr="00391416">
        <w:rPr>
          <w:rFonts w:asciiTheme="minorHAnsi" w:hAnsiTheme="minorHAnsi" w:cstheme="minorHAnsi"/>
          <w:sz w:val="24"/>
        </w:rPr>
        <w:t xml:space="preserve"> (poskytovatele a příjemce</w:t>
      </w:r>
      <w:r w:rsidR="005713A4">
        <w:rPr>
          <w:rFonts w:asciiTheme="minorHAnsi" w:hAnsiTheme="minorHAnsi" w:cstheme="minorHAnsi"/>
          <w:sz w:val="24"/>
        </w:rPr>
        <w:t>,</w:t>
      </w:r>
      <w:r w:rsidR="00FA61B9" w:rsidRPr="00391416">
        <w:rPr>
          <w:rFonts w:asciiTheme="minorHAnsi" w:hAnsiTheme="minorHAnsi" w:cstheme="minorHAnsi"/>
          <w:sz w:val="24"/>
        </w:rPr>
        <w:t xml:space="preserve"> nebo zprostředkovatele transferu)</w:t>
      </w:r>
      <w:r w:rsidR="00C01E14">
        <w:rPr>
          <w:rFonts w:asciiTheme="minorHAnsi" w:hAnsiTheme="minorHAnsi" w:cstheme="minorHAnsi"/>
          <w:sz w:val="24"/>
        </w:rPr>
        <w:t xml:space="preserve"> dle ČÚS č.</w:t>
      </w:r>
      <w:r w:rsidR="0022228F">
        <w:rPr>
          <w:rFonts w:asciiTheme="minorHAnsi" w:hAnsiTheme="minorHAnsi" w:cstheme="minorHAnsi"/>
          <w:sz w:val="24"/>
        </w:rPr>
        <w:t> </w:t>
      </w:r>
      <w:r w:rsidR="00C01E14">
        <w:rPr>
          <w:rFonts w:asciiTheme="minorHAnsi" w:hAnsiTheme="minorHAnsi" w:cstheme="minorHAnsi"/>
          <w:sz w:val="24"/>
        </w:rPr>
        <w:t>703 </w:t>
      </w:r>
      <w:r w:rsidR="008A074D" w:rsidRPr="00391416">
        <w:rPr>
          <w:rFonts w:asciiTheme="minorHAnsi" w:hAnsiTheme="minorHAnsi" w:cstheme="minorHAnsi"/>
          <w:sz w:val="24"/>
        </w:rPr>
        <w:t>–</w:t>
      </w:r>
      <w:r w:rsidRPr="00391416">
        <w:rPr>
          <w:rFonts w:asciiTheme="minorHAnsi" w:hAnsiTheme="minorHAnsi" w:cstheme="minorHAnsi"/>
          <w:sz w:val="24"/>
        </w:rPr>
        <w:t xml:space="preserve"> </w:t>
      </w:r>
      <w:r w:rsidRPr="00391416">
        <w:rPr>
          <w:rFonts w:asciiTheme="minorHAnsi" w:hAnsiTheme="minorHAnsi" w:cstheme="minorHAnsi"/>
          <w:i/>
          <w:sz w:val="24"/>
        </w:rPr>
        <w:t>Transfery</w:t>
      </w:r>
      <w:r w:rsidR="005E121C">
        <w:rPr>
          <w:rFonts w:asciiTheme="minorHAnsi" w:hAnsiTheme="minorHAnsi" w:cstheme="minorHAnsi"/>
          <w:sz w:val="24"/>
        </w:rPr>
        <w:t xml:space="preserve"> M</w:t>
      </w:r>
      <w:r w:rsidR="005713A4">
        <w:rPr>
          <w:rFonts w:asciiTheme="minorHAnsi" w:hAnsiTheme="minorHAnsi" w:cstheme="minorHAnsi"/>
          <w:sz w:val="24"/>
        </w:rPr>
        <w:t>inisterstvo kultury</w:t>
      </w:r>
      <w:r w:rsidRPr="00391416">
        <w:rPr>
          <w:rFonts w:asciiTheme="minorHAnsi" w:hAnsiTheme="minorHAnsi" w:cstheme="minorHAnsi"/>
          <w:sz w:val="24"/>
        </w:rPr>
        <w:t xml:space="preserve"> ve vztahu k</w:t>
      </w:r>
      <w:r w:rsidR="000815BB" w:rsidRPr="00391416">
        <w:rPr>
          <w:rFonts w:asciiTheme="minorHAnsi" w:hAnsiTheme="minorHAnsi" w:cstheme="minorHAnsi"/>
          <w:sz w:val="24"/>
        </w:rPr>
        <w:t xml:space="preserve"> </w:t>
      </w:r>
      <w:r w:rsidR="005713A4">
        <w:rPr>
          <w:rFonts w:asciiTheme="minorHAnsi" w:hAnsiTheme="minorHAnsi" w:cstheme="minorHAnsi"/>
          <w:sz w:val="24"/>
        </w:rPr>
        <w:t>přijatému a </w:t>
      </w:r>
      <w:r w:rsidRPr="00391416">
        <w:rPr>
          <w:rFonts w:asciiTheme="minorHAnsi" w:hAnsiTheme="minorHAnsi" w:cstheme="minorHAnsi"/>
          <w:sz w:val="24"/>
        </w:rPr>
        <w:t xml:space="preserve">poskytnutému transferu </w:t>
      </w:r>
      <w:r w:rsidR="00FA61B9" w:rsidRPr="00391416">
        <w:rPr>
          <w:rFonts w:asciiTheme="minorHAnsi" w:hAnsiTheme="minorHAnsi" w:cstheme="minorHAnsi"/>
          <w:sz w:val="24"/>
        </w:rPr>
        <w:t>zaujímalo. Postupy účtování stanovené v</w:t>
      </w:r>
      <w:r w:rsidR="000815BB" w:rsidRPr="00391416">
        <w:rPr>
          <w:rFonts w:asciiTheme="minorHAnsi" w:hAnsiTheme="minorHAnsi" w:cstheme="minorHAnsi"/>
          <w:sz w:val="24"/>
        </w:rPr>
        <w:t xml:space="preserve"> </w:t>
      </w:r>
      <w:r w:rsidR="00FA61B9" w:rsidRPr="00391416">
        <w:rPr>
          <w:rFonts w:asciiTheme="minorHAnsi" w:hAnsiTheme="minorHAnsi" w:cstheme="minorHAnsi"/>
          <w:sz w:val="24"/>
        </w:rPr>
        <w:t xml:space="preserve">ČÚS č. 703 </w:t>
      </w:r>
      <w:r w:rsidR="008A074D" w:rsidRPr="00391416">
        <w:rPr>
          <w:rFonts w:asciiTheme="minorHAnsi" w:hAnsiTheme="minorHAnsi" w:cstheme="minorHAnsi"/>
          <w:sz w:val="24"/>
        </w:rPr>
        <w:t>–</w:t>
      </w:r>
      <w:r w:rsidR="00FA61B9" w:rsidRPr="00391416">
        <w:rPr>
          <w:rFonts w:asciiTheme="minorHAnsi" w:hAnsiTheme="minorHAnsi" w:cstheme="minorHAnsi"/>
          <w:sz w:val="24"/>
        </w:rPr>
        <w:t xml:space="preserve"> </w:t>
      </w:r>
      <w:r w:rsidR="00FA61B9" w:rsidRPr="00391416">
        <w:rPr>
          <w:rFonts w:asciiTheme="minorHAnsi" w:hAnsiTheme="minorHAnsi" w:cstheme="minorHAnsi"/>
          <w:i/>
          <w:sz w:val="24"/>
        </w:rPr>
        <w:t>Transfery</w:t>
      </w:r>
      <w:r w:rsidR="00FA61B9" w:rsidRPr="00391416">
        <w:rPr>
          <w:rFonts w:asciiTheme="minorHAnsi" w:hAnsiTheme="minorHAnsi" w:cstheme="minorHAnsi"/>
          <w:sz w:val="24"/>
        </w:rPr>
        <w:t xml:space="preserve"> vymezují, kdy vybraná účetní jednotka</w:t>
      </w:r>
      <w:r w:rsidR="00D27AC5" w:rsidRPr="00391416">
        <w:rPr>
          <w:rStyle w:val="Znakapoznpodarou"/>
          <w:rFonts w:asciiTheme="minorHAnsi" w:hAnsiTheme="minorHAnsi" w:cstheme="minorHAnsi"/>
          <w:sz w:val="24"/>
        </w:rPr>
        <w:footnoteReference w:id="7"/>
      </w:r>
      <w:r w:rsidR="00FA61B9" w:rsidRPr="00391416">
        <w:rPr>
          <w:rFonts w:asciiTheme="minorHAnsi" w:hAnsiTheme="minorHAnsi" w:cstheme="minorHAnsi"/>
          <w:sz w:val="24"/>
        </w:rPr>
        <w:t xml:space="preserve"> o transferech účtuje v</w:t>
      </w:r>
      <w:r w:rsidR="000815BB" w:rsidRPr="00391416">
        <w:rPr>
          <w:rFonts w:asciiTheme="minorHAnsi" w:hAnsiTheme="minorHAnsi" w:cstheme="minorHAnsi"/>
          <w:sz w:val="24"/>
        </w:rPr>
        <w:t xml:space="preserve"> </w:t>
      </w:r>
      <w:r w:rsidR="00FA61B9" w:rsidRPr="00391416">
        <w:rPr>
          <w:rFonts w:asciiTheme="minorHAnsi" w:hAnsiTheme="minorHAnsi" w:cstheme="minorHAnsi"/>
          <w:sz w:val="24"/>
        </w:rPr>
        <w:t>roli:</w:t>
      </w:r>
    </w:p>
    <w:p w:rsidR="00FD43CC" w:rsidRPr="00391416" w:rsidRDefault="00FA61B9" w:rsidP="005E121C">
      <w:pPr>
        <w:pStyle w:val="NormlnKZ"/>
        <w:numPr>
          <w:ilvl w:val="0"/>
          <w:numId w:val="43"/>
        </w:numPr>
        <w:spacing w:after="0"/>
        <w:ind w:left="357" w:hanging="357"/>
        <w:rPr>
          <w:rFonts w:asciiTheme="minorHAnsi" w:hAnsiTheme="minorHAnsi" w:cstheme="minorHAnsi"/>
          <w:sz w:val="24"/>
        </w:rPr>
      </w:pPr>
      <w:r w:rsidRPr="00391416">
        <w:rPr>
          <w:rFonts w:asciiTheme="minorHAnsi" w:hAnsiTheme="minorHAnsi" w:cstheme="minorHAnsi"/>
          <w:sz w:val="24"/>
        </w:rPr>
        <w:t>poskytovatele a příjemce prostřednictvím nákladů a výnosů, tzn. s</w:t>
      </w:r>
      <w:r w:rsidR="000815BB" w:rsidRPr="00391416">
        <w:rPr>
          <w:rFonts w:asciiTheme="minorHAnsi" w:hAnsiTheme="minorHAnsi" w:cstheme="minorHAnsi"/>
          <w:sz w:val="24"/>
        </w:rPr>
        <w:t xml:space="preserve"> </w:t>
      </w:r>
      <w:r w:rsidRPr="00391416">
        <w:rPr>
          <w:rFonts w:asciiTheme="minorHAnsi" w:hAnsiTheme="minorHAnsi" w:cstheme="minorHAnsi"/>
          <w:sz w:val="24"/>
        </w:rPr>
        <w:t>vlivem na výsledek hospodaření, nebo</w:t>
      </w:r>
    </w:p>
    <w:p w:rsidR="00FA61B9" w:rsidRPr="00391416" w:rsidRDefault="00FA61B9" w:rsidP="005E121C">
      <w:pPr>
        <w:pStyle w:val="NormlnKZ"/>
        <w:numPr>
          <w:ilvl w:val="0"/>
          <w:numId w:val="43"/>
        </w:numPr>
        <w:spacing w:after="0"/>
        <w:ind w:left="357" w:hanging="357"/>
        <w:rPr>
          <w:rFonts w:asciiTheme="minorHAnsi" w:hAnsiTheme="minorHAnsi" w:cstheme="minorHAnsi"/>
          <w:sz w:val="24"/>
        </w:rPr>
      </w:pPr>
      <w:r w:rsidRPr="00391416">
        <w:rPr>
          <w:rFonts w:asciiTheme="minorHAnsi" w:hAnsiTheme="minorHAnsi" w:cstheme="minorHAnsi"/>
          <w:sz w:val="24"/>
        </w:rPr>
        <w:t>zprostředkovatele prostřednictvím zúčtovacích vztahů (pohledávek a závazků), tzn. bez vlivu na výsledek hospodaření.</w:t>
      </w:r>
    </w:p>
    <w:p w:rsidR="00FA61B9" w:rsidRPr="00391416" w:rsidRDefault="00FA61B9" w:rsidP="00FA61B9">
      <w:pPr>
        <w:pStyle w:val="NormlnKZ"/>
        <w:spacing w:after="0"/>
        <w:ind w:firstLine="0"/>
        <w:rPr>
          <w:rFonts w:asciiTheme="minorHAnsi" w:hAnsiTheme="minorHAnsi" w:cstheme="minorHAnsi"/>
          <w:sz w:val="24"/>
        </w:rPr>
      </w:pPr>
    </w:p>
    <w:p w:rsidR="006A1AB0" w:rsidRPr="00391416" w:rsidRDefault="006A1AB0" w:rsidP="00FA61B9">
      <w:pPr>
        <w:pStyle w:val="NormlnKZ"/>
        <w:spacing w:after="0"/>
        <w:ind w:firstLine="0"/>
        <w:rPr>
          <w:rFonts w:asciiTheme="minorHAnsi" w:hAnsiTheme="minorHAnsi" w:cstheme="minorHAnsi"/>
          <w:sz w:val="24"/>
        </w:rPr>
      </w:pPr>
      <w:r w:rsidRPr="00391416">
        <w:rPr>
          <w:rFonts w:asciiTheme="minorHAnsi" w:hAnsiTheme="minorHAnsi" w:cstheme="minorHAnsi"/>
          <w:sz w:val="24"/>
        </w:rPr>
        <w:t xml:space="preserve">ČÚS č. 703 – </w:t>
      </w:r>
      <w:r w:rsidRPr="00391416">
        <w:rPr>
          <w:rFonts w:asciiTheme="minorHAnsi" w:hAnsiTheme="minorHAnsi" w:cstheme="minorHAnsi"/>
          <w:i/>
          <w:sz w:val="24"/>
        </w:rPr>
        <w:t>Transfery</w:t>
      </w:r>
      <w:r w:rsidRPr="00391416">
        <w:rPr>
          <w:rFonts w:asciiTheme="minorHAnsi" w:hAnsiTheme="minorHAnsi" w:cstheme="minorHAnsi"/>
          <w:sz w:val="24"/>
        </w:rPr>
        <w:t xml:space="preserve"> </w:t>
      </w:r>
      <w:r w:rsidR="00116CAE" w:rsidRPr="00391416">
        <w:rPr>
          <w:rFonts w:asciiTheme="minorHAnsi" w:hAnsiTheme="minorHAnsi" w:cstheme="minorHAnsi"/>
          <w:sz w:val="24"/>
        </w:rPr>
        <w:t xml:space="preserve">ale </w:t>
      </w:r>
      <w:r w:rsidRPr="00391416">
        <w:rPr>
          <w:rFonts w:asciiTheme="minorHAnsi" w:hAnsiTheme="minorHAnsi" w:cstheme="minorHAnsi"/>
          <w:sz w:val="24"/>
        </w:rPr>
        <w:t>pro účetní období 2014 nevymezil uvedené role</w:t>
      </w:r>
      <w:r w:rsidR="005713A4" w:rsidRPr="005713A4">
        <w:rPr>
          <w:rFonts w:asciiTheme="minorHAnsi" w:hAnsiTheme="minorHAnsi" w:cstheme="minorHAnsi"/>
          <w:sz w:val="24"/>
        </w:rPr>
        <w:t xml:space="preserve"> </w:t>
      </w:r>
      <w:r w:rsidR="005713A4" w:rsidRPr="00391416">
        <w:rPr>
          <w:rFonts w:asciiTheme="minorHAnsi" w:hAnsiTheme="minorHAnsi" w:cstheme="minorHAnsi"/>
          <w:sz w:val="24"/>
        </w:rPr>
        <w:t>jednoznačně</w:t>
      </w:r>
      <w:r w:rsidR="0080590C">
        <w:rPr>
          <w:rFonts w:asciiTheme="minorHAnsi" w:hAnsiTheme="minorHAnsi" w:cstheme="minorHAnsi"/>
          <w:sz w:val="24"/>
        </w:rPr>
        <w:t>,</w:t>
      </w:r>
      <w:r w:rsidRPr="00391416">
        <w:rPr>
          <w:rFonts w:asciiTheme="minorHAnsi" w:hAnsiTheme="minorHAnsi" w:cstheme="minorHAnsi"/>
          <w:sz w:val="24"/>
        </w:rPr>
        <w:t xml:space="preserve"> a</w:t>
      </w:r>
      <w:r w:rsidR="007E47BC" w:rsidRPr="00391416">
        <w:rPr>
          <w:rFonts w:asciiTheme="minorHAnsi" w:hAnsiTheme="minorHAnsi" w:cstheme="minorHAnsi"/>
          <w:sz w:val="24"/>
        </w:rPr>
        <w:t> </w:t>
      </w:r>
      <w:r w:rsidRPr="00391416">
        <w:rPr>
          <w:rFonts w:asciiTheme="minorHAnsi" w:hAnsiTheme="minorHAnsi" w:cstheme="minorHAnsi"/>
          <w:sz w:val="24"/>
        </w:rPr>
        <w:t>umožnil tak různé výklady, jak účtovat o předfinancování prostředků poskytnutých České republice z</w:t>
      </w:r>
      <w:r w:rsidR="000815BB" w:rsidRPr="00391416">
        <w:rPr>
          <w:rFonts w:asciiTheme="minorHAnsi" w:hAnsiTheme="minorHAnsi" w:cstheme="minorHAnsi"/>
          <w:sz w:val="24"/>
        </w:rPr>
        <w:t xml:space="preserve"> </w:t>
      </w:r>
      <w:r w:rsidRPr="00391416">
        <w:rPr>
          <w:rFonts w:asciiTheme="minorHAnsi" w:hAnsiTheme="minorHAnsi" w:cstheme="minorHAnsi"/>
          <w:sz w:val="24"/>
        </w:rPr>
        <w:t xml:space="preserve">rozpočtu </w:t>
      </w:r>
      <w:r w:rsidR="005E121C">
        <w:rPr>
          <w:rFonts w:asciiTheme="minorHAnsi" w:hAnsiTheme="minorHAnsi" w:cstheme="minorHAnsi"/>
          <w:sz w:val="24"/>
        </w:rPr>
        <w:t>EU či FM EHP,</w:t>
      </w:r>
      <w:r w:rsidRPr="00391416">
        <w:rPr>
          <w:rFonts w:asciiTheme="minorHAnsi" w:hAnsiTheme="minorHAnsi" w:cstheme="minorHAnsi"/>
          <w:sz w:val="24"/>
        </w:rPr>
        <w:t xml:space="preserve"> přičemž tyto výklady měly významný a různý dopad na vykázané údaje včetně výsledku hospodaření. Vybrané účetní jednotky mohly k</w:t>
      </w:r>
      <w:r w:rsidR="009C77C9">
        <w:rPr>
          <w:rFonts w:asciiTheme="minorHAnsi" w:hAnsiTheme="minorHAnsi" w:cstheme="minorHAnsi"/>
          <w:sz w:val="24"/>
        </w:rPr>
        <w:t> </w:t>
      </w:r>
      <w:r w:rsidRPr="00391416">
        <w:rPr>
          <w:rFonts w:asciiTheme="minorHAnsi" w:hAnsiTheme="minorHAnsi" w:cstheme="minorHAnsi"/>
          <w:sz w:val="24"/>
        </w:rPr>
        <w:t xml:space="preserve">problematice </w:t>
      </w:r>
      <w:r w:rsidRPr="00391416">
        <w:rPr>
          <w:rFonts w:asciiTheme="minorHAnsi" w:hAnsiTheme="minorHAnsi" w:cstheme="minorHAnsi"/>
          <w:sz w:val="24"/>
        </w:rPr>
        <w:lastRenderedPageBreak/>
        <w:t>předfinancování přistupovat odlišně</w:t>
      </w:r>
      <w:r w:rsidR="008C70C0">
        <w:rPr>
          <w:rFonts w:asciiTheme="minorHAnsi" w:hAnsiTheme="minorHAnsi" w:cstheme="minorHAnsi"/>
          <w:sz w:val="24"/>
        </w:rPr>
        <w:t>,</w:t>
      </w:r>
      <w:r w:rsidRPr="00391416">
        <w:rPr>
          <w:rFonts w:asciiTheme="minorHAnsi" w:hAnsiTheme="minorHAnsi" w:cstheme="minorHAnsi"/>
          <w:sz w:val="24"/>
        </w:rPr>
        <w:t xml:space="preserve"> </w:t>
      </w:r>
      <w:r w:rsidR="005713A4">
        <w:rPr>
          <w:rFonts w:asciiTheme="minorHAnsi" w:hAnsiTheme="minorHAnsi" w:cstheme="minorHAnsi"/>
          <w:sz w:val="24"/>
        </w:rPr>
        <w:t>takže</w:t>
      </w:r>
      <w:r w:rsidRPr="00391416">
        <w:rPr>
          <w:rFonts w:asciiTheme="minorHAnsi" w:hAnsiTheme="minorHAnsi" w:cstheme="minorHAnsi"/>
          <w:sz w:val="24"/>
        </w:rPr>
        <w:t xml:space="preserve"> údaje vykázané v</w:t>
      </w:r>
      <w:r w:rsidR="000815BB" w:rsidRPr="00391416">
        <w:rPr>
          <w:rFonts w:asciiTheme="minorHAnsi" w:hAnsiTheme="minorHAnsi" w:cstheme="minorHAnsi"/>
          <w:sz w:val="24"/>
        </w:rPr>
        <w:t xml:space="preserve"> </w:t>
      </w:r>
      <w:r w:rsidRPr="00391416">
        <w:rPr>
          <w:rFonts w:asciiTheme="minorHAnsi" w:hAnsiTheme="minorHAnsi" w:cstheme="minorHAnsi"/>
          <w:sz w:val="24"/>
        </w:rPr>
        <w:t>účetních závěrkách za vybrané účetní jednotky mohly být v</w:t>
      </w:r>
      <w:r w:rsidR="000815BB" w:rsidRPr="00391416">
        <w:rPr>
          <w:rFonts w:asciiTheme="minorHAnsi" w:hAnsiTheme="minorHAnsi" w:cstheme="minorHAnsi"/>
          <w:sz w:val="24"/>
        </w:rPr>
        <w:t xml:space="preserve"> </w:t>
      </w:r>
      <w:r w:rsidRPr="00391416">
        <w:rPr>
          <w:rFonts w:asciiTheme="minorHAnsi" w:hAnsiTheme="minorHAnsi" w:cstheme="minorHAnsi"/>
          <w:sz w:val="24"/>
        </w:rPr>
        <w:t>důsledku odlišného vykazování nesrovnatelné</w:t>
      </w:r>
      <w:r w:rsidR="009B2285" w:rsidRPr="00391416">
        <w:rPr>
          <w:rFonts w:asciiTheme="minorHAnsi" w:hAnsiTheme="minorHAnsi" w:cstheme="minorHAnsi"/>
          <w:sz w:val="24"/>
        </w:rPr>
        <w:t>.</w:t>
      </w:r>
    </w:p>
    <w:p w:rsidR="006A1AB0" w:rsidRPr="00391416" w:rsidRDefault="006A1AB0" w:rsidP="00FA61B9">
      <w:pPr>
        <w:pStyle w:val="NormlnKZ"/>
        <w:spacing w:after="0"/>
        <w:ind w:firstLine="0"/>
        <w:rPr>
          <w:rFonts w:asciiTheme="minorHAnsi" w:hAnsiTheme="minorHAnsi" w:cstheme="minorHAnsi"/>
          <w:sz w:val="24"/>
        </w:rPr>
      </w:pPr>
    </w:p>
    <w:p w:rsidR="00DB6C90" w:rsidRDefault="005713A4" w:rsidP="005E121C">
      <w:pPr>
        <w:jc w:val="both"/>
        <w:rPr>
          <w:rFonts w:asciiTheme="minorHAnsi" w:hAnsiTheme="minorHAnsi" w:cstheme="minorHAnsi"/>
          <w:bCs/>
          <w:iCs/>
        </w:rPr>
      </w:pPr>
      <w:r>
        <w:rPr>
          <w:rFonts w:asciiTheme="minorHAnsi" w:hAnsiTheme="minorHAnsi" w:cstheme="minorHAnsi"/>
          <w:bCs/>
          <w:iCs/>
        </w:rPr>
        <w:t>Z uvedených důvodů se NKÚ nemůže</w:t>
      </w:r>
      <w:r w:rsidR="005E121C">
        <w:rPr>
          <w:rFonts w:asciiTheme="minorHAnsi" w:hAnsiTheme="minorHAnsi" w:cstheme="minorHAnsi"/>
          <w:bCs/>
          <w:iCs/>
        </w:rPr>
        <w:t xml:space="preserve"> vyjádřit ke správnosti účtování a vykazování některých položek ÚZ, a to k</w:t>
      </w:r>
      <w:r w:rsidR="009C77C9">
        <w:rPr>
          <w:rFonts w:asciiTheme="minorHAnsi" w:hAnsiTheme="minorHAnsi" w:cstheme="minorHAnsi"/>
          <w:bCs/>
          <w:iCs/>
        </w:rPr>
        <w:t xml:space="preserve"> </w:t>
      </w:r>
      <w:r w:rsidR="005E121C">
        <w:rPr>
          <w:rFonts w:asciiTheme="minorHAnsi" w:hAnsiTheme="minorHAnsi" w:cstheme="minorHAnsi"/>
          <w:bCs/>
          <w:iCs/>
        </w:rPr>
        <w:t>částce ve výši 2</w:t>
      </w:r>
      <w:r w:rsidR="009C77C9">
        <w:rPr>
          <w:rFonts w:asciiTheme="minorHAnsi" w:hAnsiTheme="minorHAnsi" w:cstheme="minorHAnsi"/>
          <w:bCs/>
          <w:iCs/>
        </w:rPr>
        <w:t xml:space="preserve"> </w:t>
      </w:r>
      <w:r w:rsidR="005E121C">
        <w:rPr>
          <w:rFonts w:asciiTheme="minorHAnsi" w:hAnsiTheme="minorHAnsi" w:cstheme="minorHAnsi"/>
          <w:bCs/>
          <w:iCs/>
        </w:rPr>
        <w:t>146</w:t>
      </w:r>
      <w:r w:rsidR="009C77C9">
        <w:rPr>
          <w:rFonts w:asciiTheme="minorHAnsi" w:hAnsiTheme="minorHAnsi" w:cstheme="minorHAnsi"/>
          <w:bCs/>
          <w:iCs/>
        </w:rPr>
        <w:t xml:space="preserve"> </w:t>
      </w:r>
      <w:r w:rsidR="005E121C">
        <w:rPr>
          <w:rFonts w:asciiTheme="minorHAnsi" w:hAnsiTheme="minorHAnsi" w:cstheme="minorHAnsi"/>
          <w:bCs/>
          <w:iCs/>
        </w:rPr>
        <w:t>057</w:t>
      </w:r>
      <w:r w:rsidR="009C77C9">
        <w:rPr>
          <w:rFonts w:asciiTheme="minorHAnsi" w:hAnsiTheme="minorHAnsi" w:cstheme="minorHAnsi"/>
          <w:bCs/>
          <w:iCs/>
        </w:rPr>
        <w:t xml:space="preserve"> </w:t>
      </w:r>
      <w:r w:rsidR="005E121C">
        <w:rPr>
          <w:rFonts w:asciiTheme="minorHAnsi" w:hAnsiTheme="minorHAnsi" w:cstheme="minorHAnsi"/>
          <w:bCs/>
          <w:iCs/>
        </w:rPr>
        <w:t>181,88 Kč stanovené z</w:t>
      </w:r>
      <w:r>
        <w:rPr>
          <w:rFonts w:asciiTheme="minorHAnsi" w:hAnsiTheme="minorHAnsi" w:cstheme="minorHAnsi"/>
          <w:bCs/>
          <w:iCs/>
        </w:rPr>
        <w:t> </w:t>
      </w:r>
      <w:r w:rsidR="0022228F">
        <w:rPr>
          <w:rFonts w:asciiTheme="minorHAnsi" w:hAnsiTheme="minorHAnsi" w:cstheme="minorHAnsi"/>
          <w:bCs/>
          <w:iCs/>
        </w:rPr>
        <w:t>výkazu FIN 2-04 </w:t>
      </w:r>
      <w:r w:rsidR="005E121C">
        <w:rPr>
          <w:rFonts w:asciiTheme="minorHAnsi" w:hAnsiTheme="minorHAnsi" w:cstheme="minorHAnsi"/>
          <w:bCs/>
          <w:iCs/>
        </w:rPr>
        <w:t>U k</w:t>
      </w:r>
      <w:r w:rsidR="0022228F">
        <w:rPr>
          <w:rFonts w:asciiTheme="minorHAnsi" w:hAnsiTheme="minorHAnsi" w:cstheme="minorHAnsi"/>
          <w:bCs/>
          <w:iCs/>
        </w:rPr>
        <w:t> </w:t>
      </w:r>
      <w:r w:rsidR="005E121C">
        <w:rPr>
          <w:rFonts w:asciiTheme="minorHAnsi" w:hAnsiTheme="minorHAnsi" w:cstheme="minorHAnsi"/>
          <w:bCs/>
          <w:iCs/>
        </w:rPr>
        <w:t>31.</w:t>
      </w:r>
      <w:r w:rsidR="0022228F">
        <w:rPr>
          <w:rFonts w:asciiTheme="minorHAnsi" w:hAnsiTheme="minorHAnsi" w:cstheme="minorHAnsi"/>
          <w:bCs/>
          <w:iCs/>
        </w:rPr>
        <w:t> </w:t>
      </w:r>
      <w:r w:rsidR="005E121C">
        <w:rPr>
          <w:rFonts w:asciiTheme="minorHAnsi" w:hAnsiTheme="minorHAnsi" w:cstheme="minorHAnsi"/>
          <w:bCs/>
          <w:iCs/>
        </w:rPr>
        <w:t>12.</w:t>
      </w:r>
      <w:r w:rsidR="0022228F">
        <w:rPr>
          <w:rFonts w:asciiTheme="minorHAnsi" w:hAnsiTheme="minorHAnsi" w:cstheme="minorHAnsi"/>
          <w:bCs/>
          <w:iCs/>
        </w:rPr>
        <w:t> </w:t>
      </w:r>
      <w:r w:rsidR="005E121C">
        <w:rPr>
          <w:rFonts w:asciiTheme="minorHAnsi" w:hAnsiTheme="minorHAnsi" w:cstheme="minorHAnsi"/>
          <w:bCs/>
          <w:iCs/>
        </w:rPr>
        <w:t>2014, která zahrnuje příjmy a výdaje týkající se transferů</w:t>
      </w:r>
      <w:r w:rsidR="00F17446">
        <w:rPr>
          <w:rFonts w:asciiTheme="minorHAnsi" w:hAnsiTheme="minorHAnsi" w:cstheme="minorHAnsi"/>
          <w:bCs/>
          <w:iCs/>
        </w:rPr>
        <w:t xml:space="preserve"> spolufinancovaných ze zahraničí</w:t>
      </w:r>
      <w:r w:rsidR="005E121C">
        <w:rPr>
          <w:rFonts w:asciiTheme="minorHAnsi" w:hAnsiTheme="minorHAnsi" w:cstheme="minorHAnsi"/>
          <w:bCs/>
          <w:iCs/>
        </w:rPr>
        <w:t xml:space="preserve">. Účtováním </w:t>
      </w:r>
      <w:r w:rsidR="00B71A47">
        <w:rPr>
          <w:rFonts w:asciiTheme="minorHAnsi" w:hAnsiTheme="minorHAnsi" w:cstheme="minorHAnsi"/>
          <w:bCs/>
          <w:iCs/>
        </w:rPr>
        <w:t xml:space="preserve">transferů </w:t>
      </w:r>
      <w:r w:rsidR="00EA475C">
        <w:rPr>
          <w:rFonts w:asciiTheme="minorHAnsi" w:hAnsiTheme="minorHAnsi" w:cstheme="minorHAnsi"/>
          <w:bCs/>
          <w:iCs/>
        </w:rPr>
        <w:t xml:space="preserve">spolufinancovaných ze zahraničí </w:t>
      </w:r>
      <w:r w:rsidR="005E121C">
        <w:rPr>
          <w:rFonts w:asciiTheme="minorHAnsi" w:hAnsiTheme="minorHAnsi" w:cstheme="minorHAnsi"/>
          <w:bCs/>
          <w:iCs/>
        </w:rPr>
        <w:t>mohly být ovlivněny zůstatky následujících účtů:</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372 – </w:t>
      </w:r>
      <w:r w:rsidRPr="008C70C0">
        <w:rPr>
          <w:rFonts w:asciiTheme="minorHAnsi" w:hAnsiTheme="minorHAnsi" w:cstheme="minorHAnsi"/>
          <w:bCs/>
          <w:i/>
          <w:iCs/>
        </w:rPr>
        <w:t>Krátkodobé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373 – </w:t>
      </w:r>
      <w:r w:rsidRPr="008C70C0">
        <w:rPr>
          <w:rFonts w:asciiTheme="minorHAnsi" w:hAnsiTheme="minorHAnsi" w:cstheme="minorHAnsi"/>
          <w:bCs/>
          <w:i/>
          <w:iCs/>
        </w:rPr>
        <w:t>Krátkodobé poskytnuté zálohy na transfery</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389 – </w:t>
      </w:r>
      <w:r w:rsidRPr="008C70C0">
        <w:rPr>
          <w:rFonts w:asciiTheme="minorHAnsi" w:hAnsiTheme="minorHAnsi" w:cstheme="minorHAnsi"/>
          <w:bCs/>
          <w:i/>
          <w:iCs/>
        </w:rPr>
        <w:t>Dohadné účty pasivní</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458 – </w:t>
      </w:r>
      <w:r w:rsidRPr="008C70C0">
        <w:rPr>
          <w:rFonts w:asciiTheme="minorHAnsi" w:hAnsiTheme="minorHAnsi" w:cstheme="minorHAnsi"/>
          <w:bCs/>
          <w:i/>
          <w:iCs/>
        </w:rPr>
        <w:t>Dlouhodobé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471 – </w:t>
      </w:r>
      <w:r w:rsidRPr="008C70C0">
        <w:rPr>
          <w:rFonts w:asciiTheme="minorHAnsi" w:hAnsiTheme="minorHAnsi" w:cstheme="minorHAnsi"/>
          <w:bCs/>
          <w:i/>
          <w:iCs/>
        </w:rPr>
        <w:t>Dlouhodobé poskytnuté zálohy na transfery</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571 – </w:t>
      </w:r>
      <w:r w:rsidRPr="008C70C0">
        <w:rPr>
          <w:rFonts w:asciiTheme="minorHAnsi" w:hAnsiTheme="minorHAnsi" w:cstheme="minorHAnsi"/>
          <w:bCs/>
          <w:i/>
          <w:iCs/>
        </w:rPr>
        <w:t>Náklady vybraných ústředních vládních institucí na transfery</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671 – </w:t>
      </w:r>
      <w:r w:rsidRPr="008C70C0">
        <w:rPr>
          <w:rFonts w:asciiTheme="minorHAnsi" w:hAnsiTheme="minorHAnsi" w:cstheme="minorHAnsi"/>
          <w:bCs/>
          <w:i/>
          <w:iCs/>
        </w:rPr>
        <w:t>Výnosy vybraných ústředních vládních institucí z</w:t>
      </w:r>
      <w:r w:rsidR="009C77C9" w:rsidRPr="008C70C0">
        <w:rPr>
          <w:rFonts w:asciiTheme="minorHAnsi" w:hAnsiTheme="minorHAnsi" w:cstheme="minorHAnsi"/>
          <w:bCs/>
          <w:i/>
          <w:iCs/>
        </w:rPr>
        <w:t xml:space="preserve"> </w:t>
      </w:r>
      <w:r w:rsidRPr="008C70C0">
        <w:rPr>
          <w:rFonts w:asciiTheme="minorHAnsi" w:hAnsiTheme="minorHAnsi" w:cstheme="minorHAnsi"/>
          <w:bCs/>
          <w:i/>
          <w:iCs/>
        </w:rPr>
        <w:t>transferů</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939 – </w:t>
      </w:r>
      <w:r w:rsidRPr="008C70C0">
        <w:rPr>
          <w:rFonts w:asciiTheme="minorHAnsi" w:hAnsiTheme="minorHAnsi" w:cstheme="minorHAnsi"/>
          <w:bCs/>
          <w:i/>
          <w:iCs/>
        </w:rPr>
        <w:t>Krátkodobé podmíněné pohledávky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sidR="004D365F">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941 – </w:t>
      </w:r>
      <w:r w:rsidRPr="008C70C0">
        <w:rPr>
          <w:rFonts w:asciiTheme="minorHAnsi" w:hAnsiTheme="minorHAnsi" w:cstheme="minorHAnsi"/>
          <w:bCs/>
          <w:i/>
          <w:iCs/>
        </w:rPr>
        <w:t>Dlouhodobé podmíněné pohledávky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sidR="004D365F">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973 – </w:t>
      </w:r>
      <w:r w:rsidRPr="008C70C0">
        <w:rPr>
          <w:rFonts w:asciiTheme="minorHAnsi" w:hAnsiTheme="minorHAnsi" w:cstheme="minorHAnsi"/>
          <w:bCs/>
          <w:i/>
          <w:iCs/>
        </w:rPr>
        <w:t>Krátkodobé podmíněné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jiných smluv</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974 – </w:t>
      </w:r>
      <w:r w:rsidRPr="008C70C0">
        <w:rPr>
          <w:rFonts w:asciiTheme="minorHAnsi" w:hAnsiTheme="minorHAnsi" w:cstheme="minorHAnsi"/>
          <w:bCs/>
          <w:i/>
          <w:iCs/>
        </w:rPr>
        <w:t>Dlouhodobé podmíněné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jiných smluv</w:t>
      </w:r>
      <w:r w:rsidRPr="005E121C">
        <w:rPr>
          <w:rFonts w:asciiTheme="minorHAnsi" w:hAnsiTheme="minorHAnsi" w:cstheme="minorHAnsi"/>
          <w:bCs/>
          <w:iCs/>
        </w:rPr>
        <w:t>,</w:t>
      </w:r>
    </w:p>
    <w:p w:rsidR="005E121C" w:rsidRPr="005E121C" w:rsidRDefault="005E121C" w:rsidP="00C01E14">
      <w:pPr>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975 – </w:t>
      </w:r>
      <w:r w:rsidRPr="008C70C0">
        <w:rPr>
          <w:rFonts w:asciiTheme="minorHAnsi" w:hAnsiTheme="minorHAnsi" w:cstheme="minorHAnsi"/>
          <w:bCs/>
          <w:i/>
          <w:iCs/>
        </w:rPr>
        <w:t>Krátkodobé podmíněné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sidRPr="005E121C">
        <w:rPr>
          <w:rFonts w:asciiTheme="minorHAnsi" w:hAnsiTheme="minorHAnsi" w:cstheme="minorHAnsi"/>
          <w:bCs/>
          <w:iCs/>
        </w:rPr>
        <w:t>,</w:t>
      </w:r>
    </w:p>
    <w:p w:rsidR="005E121C" w:rsidRPr="005E121C" w:rsidRDefault="005E121C" w:rsidP="00C01E14">
      <w:pPr>
        <w:pStyle w:val="Odstavecseseznamem"/>
        <w:numPr>
          <w:ilvl w:val="0"/>
          <w:numId w:val="43"/>
        </w:numPr>
        <w:ind w:left="284" w:hanging="284"/>
        <w:jc w:val="both"/>
        <w:rPr>
          <w:rFonts w:asciiTheme="minorHAnsi" w:hAnsiTheme="minorHAnsi" w:cstheme="minorHAnsi"/>
          <w:bCs/>
          <w:iCs/>
        </w:rPr>
      </w:pPr>
      <w:r w:rsidRPr="005E121C">
        <w:rPr>
          <w:rFonts w:asciiTheme="minorHAnsi" w:hAnsiTheme="minorHAnsi" w:cstheme="minorHAnsi"/>
          <w:bCs/>
          <w:iCs/>
        </w:rPr>
        <w:t xml:space="preserve">976 – </w:t>
      </w:r>
      <w:r w:rsidRPr="008C70C0">
        <w:rPr>
          <w:rFonts w:asciiTheme="minorHAnsi" w:hAnsiTheme="minorHAnsi" w:cstheme="minorHAnsi"/>
          <w:bCs/>
          <w:i/>
          <w:iCs/>
        </w:rPr>
        <w:t>Dlouhodobé podmíněné závazky z</w:t>
      </w:r>
      <w:r w:rsidR="009C77C9" w:rsidRPr="008C70C0">
        <w:rPr>
          <w:rFonts w:asciiTheme="minorHAnsi" w:hAnsiTheme="minorHAnsi" w:cstheme="minorHAnsi"/>
          <w:bCs/>
          <w:i/>
          <w:iCs/>
        </w:rPr>
        <w:t xml:space="preserve"> </w:t>
      </w:r>
      <w:r w:rsidRPr="008C70C0">
        <w:rPr>
          <w:rFonts w:asciiTheme="minorHAnsi" w:hAnsiTheme="minorHAnsi" w:cstheme="minorHAnsi"/>
          <w:bCs/>
          <w:i/>
          <w:iCs/>
        </w:rPr>
        <w:t>nástrojů spolufinancovaných ze zahraničí</w:t>
      </w:r>
      <w:r>
        <w:rPr>
          <w:rFonts w:asciiTheme="minorHAnsi" w:hAnsiTheme="minorHAnsi" w:cstheme="minorHAnsi"/>
          <w:bCs/>
          <w:iCs/>
        </w:rPr>
        <w:t>.</w:t>
      </w:r>
    </w:p>
    <w:p w:rsidR="00357D89" w:rsidRPr="00C01E14" w:rsidRDefault="00357D89" w:rsidP="00886F01">
      <w:pPr>
        <w:pStyle w:val="NormlnKZ"/>
        <w:spacing w:after="0"/>
        <w:ind w:firstLine="0"/>
        <w:rPr>
          <w:rFonts w:asciiTheme="minorHAnsi" w:hAnsiTheme="minorHAnsi" w:cstheme="minorHAnsi"/>
          <w:sz w:val="24"/>
        </w:rPr>
      </w:pPr>
    </w:p>
    <w:p w:rsidR="006B6DE5" w:rsidRDefault="006B6DE5" w:rsidP="00886F01">
      <w:pPr>
        <w:pStyle w:val="NormlnKZ"/>
        <w:spacing w:after="0"/>
        <w:ind w:firstLine="0"/>
        <w:rPr>
          <w:rFonts w:asciiTheme="minorHAnsi" w:hAnsiTheme="minorHAnsi" w:cs="Calibri"/>
          <w:sz w:val="24"/>
        </w:rPr>
      </w:pPr>
      <w:r w:rsidRPr="006B6DE5">
        <w:rPr>
          <w:rFonts w:asciiTheme="minorHAnsi" w:hAnsiTheme="minorHAnsi" w:cs="Calibri"/>
          <w:sz w:val="24"/>
        </w:rPr>
        <w:t xml:space="preserve">Účtování o transferech, které účetní jednotky nejprve </w:t>
      </w:r>
      <w:r w:rsidR="005713A4">
        <w:rPr>
          <w:rFonts w:asciiTheme="minorHAnsi" w:hAnsiTheme="minorHAnsi" w:cs="Calibri"/>
          <w:sz w:val="24"/>
        </w:rPr>
        <w:t>poskytnou</w:t>
      </w:r>
      <w:r w:rsidRPr="006B6DE5">
        <w:rPr>
          <w:rFonts w:asciiTheme="minorHAnsi" w:hAnsiTheme="minorHAnsi" w:cs="Calibri"/>
          <w:sz w:val="24"/>
        </w:rPr>
        <w:t xml:space="preserve"> příjemci formou předfinancování podílu EU a následně tyto předfinancované prostředky </w:t>
      </w:r>
      <w:r w:rsidR="005713A4">
        <w:rPr>
          <w:rFonts w:asciiTheme="minorHAnsi" w:hAnsiTheme="minorHAnsi" w:cs="Calibri"/>
          <w:sz w:val="24"/>
        </w:rPr>
        <w:t>nárokují</w:t>
      </w:r>
      <w:r w:rsidRPr="006B6DE5">
        <w:rPr>
          <w:rFonts w:asciiTheme="minorHAnsi" w:hAnsiTheme="minorHAnsi" w:cs="Calibri"/>
          <w:sz w:val="24"/>
        </w:rPr>
        <w:t xml:space="preserve"> k</w:t>
      </w:r>
      <w:r w:rsidR="00507ED4">
        <w:rPr>
          <w:rFonts w:asciiTheme="minorHAnsi" w:hAnsiTheme="minorHAnsi" w:cs="Calibri"/>
          <w:sz w:val="24"/>
        </w:rPr>
        <w:t> </w:t>
      </w:r>
      <w:r w:rsidRPr="006B6DE5">
        <w:rPr>
          <w:rFonts w:asciiTheme="minorHAnsi" w:hAnsiTheme="minorHAnsi" w:cs="Calibri"/>
          <w:sz w:val="24"/>
        </w:rPr>
        <w:t xml:space="preserve">refundaci u Národního fondu, je s účinností od 1. 1. 2015 </w:t>
      </w:r>
      <w:r w:rsidR="00B23DDE">
        <w:rPr>
          <w:rFonts w:asciiTheme="minorHAnsi" w:hAnsiTheme="minorHAnsi" w:cs="Calibri"/>
          <w:sz w:val="24"/>
        </w:rPr>
        <w:t>upraveno novelou</w:t>
      </w:r>
      <w:r w:rsidR="00B23DDE">
        <w:rPr>
          <w:rStyle w:val="Znakapoznpodarou"/>
          <w:rFonts w:asciiTheme="minorHAnsi" w:hAnsiTheme="minorHAnsi" w:cs="Calibri"/>
          <w:sz w:val="24"/>
        </w:rPr>
        <w:footnoteReference w:id="8"/>
      </w:r>
      <w:r w:rsidRPr="006B6DE5">
        <w:rPr>
          <w:rFonts w:asciiTheme="minorHAnsi" w:hAnsiTheme="minorHAnsi" w:cs="Calibri"/>
          <w:sz w:val="24"/>
        </w:rPr>
        <w:t xml:space="preserve"> </w:t>
      </w:r>
      <w:r w:rsidR="005713A4" w:rsidRPr="006B6DE5">
        <w:rPr>
          <w:rFonts w:asciiTheme="minorHAnsi" w:hAnsiTheme="minorHAnsi" w:cs="Calibri"/>
          <w:sz w:val="24"/>
        </w:rPr>
        <w:t>vyhlášk</w:t>
      </w:r>
      <w:r w:rsidR="005713A4">
        <w:rPr>
          <w:rFonts w:asciiTheme="minorHAnsi" w:hAnsiTheme="minorHAnsi" w:cs="Calibri"/>
          <w:sz w:val="24"/>
        </w:rPr>
        <w:t>y</w:t>
      </w:r>
      <w:r w:rsidR="005713A4" w:rsidRPr="006B6DE5">
        <w:rPr>
          <w:rFonts w:asciiTheme="minorHAnsi" w:hAnsiTheme="minorHAnsi" w:cs="Calibri"/>
          <w:sz w:val="24"/>
        </w:rPr>
        <w:t xml:space="preserve"> č.</w:t>
      </w:r>
      <w:r w:rsidR="005713A4">
        <w:rPr>
          <w:rFonts w:asciiTheme="minorHAnsi" w:hAnsiTheme="minorHAnsi" w:cs="Calibri"/>
          <w:sz w:val="24"/>
        </w:rPr>
        <w:t> </w:t>
      </w:r>
      <w:r w:rsidR="005713A4" w:rsidRPr="006B6DE5">
        <w:rPr>
          <w:rFonts w:asciiTheme="minorHAnsi" w:hAnsiTheme="minorHAnsi" w:cs="Calibri"/>
          <w:sz w:val="24"/>
        </w:rPr>
        <w:t>410/2009 Sb</w:t>
      </w:r>
      <w:r w:rsidR="005713A4">
        <w:rPr>
          <w:rFonts w:asciiTheme="minorHAnsi" w:hAnsiTheme="minorHAnsi" w:cs="Calibri"/>
          <w:sz w:val="24"/>
        </w:rPr>
        <w:t>.</w:t>
      </w:r>
      <w:r w:rsidR="005713A4" w:rsidRPr="006B6DE5">
        <w:rPr>
          <w:rFonts w:asciiTheme="minorHAnsi" w:hAnsiTheme="minorHAnsi" w:cs="Calibri"/>
          <w:sz w:val="24"/>
        </w:rPr>
        <w:t xml:space="preserve"> </w:t>
      </w:r>
      <w:r w:rsidRPr="006B6DE5">
        <w:rPr>
          <w:rFonts w:asciiTheme="minorHAnsi" w:hAnsiTheme="minorHAnsi" w:cs="Calibri"/>
          <w:sz w:val="24"/>
        </w:rPr>
        <w:t>a dále ČÚS č. 703</w:t>
      </w:r>
      <w:r w:rsidR="00507ED4">
        <w:rPr>
          <w:rFonts w:asciiTheme="minorHAnsi" w:hAnsiTheme="minorHAnsi" w:cs="Calibri"/>
          <w:sz w:val="24"/>
        </w:rPr>
        <w:t xml:space="preserve"> </w:t>
      </w:r>
      <w:r w:rsidR="00507ED4" w:rsidRPr="00507ED4">
        <w:rPr>
          <w:rFonts w:asciiTheme="minorHAnsi" w:hAnsiTheme="minorHAnsi" w:cs="Calibri"/>
          <w:i/>
          <w:sz w:val="24"/>
        </w:rPr>
        <w:t>– Transfery</w:t>
      </w:r>
      <w:r w:rsidRPr="006B6DE5">
        <w:rPr>
          <w:rFonts w:asciiTheme="minorHAnsi" w:hAnsiTheme="minorHAnsi" w:cs="Calibri"/>
          <w:sz w:val="24"/>
        </w:rPr>
        <w:t xml:space="preserve"> ve znění účinném pro rok 2015. V těchto účetních předpisech účinných pro rok 2015 je role účetní jednotky uskutečňující předfinancování transferů již jednoznačně stanovena.</w:t>
      </w:r>
    </w:p>
    <w:p w:rsidR="00C01E14" w:rsidRPr="00C01E14" w:rsidRDefault="00C01E14" w:rsidP="00C01E14">
      <w:pPr>
        <w:pStyle w:val="NormlnKZ"/>
        <w:spacing w:after="0"/>
        <w:ind w:firstLine="0"/>
        <w:rPr>
          <w:rFonts w:asciiTheme="minorHAnsi" w:hAnsiTheme="minorHAnsi" w:cstheme="minorHAnsi"/>
          <w:sz w:val="24"/>
        </w:rPr>
      </w:pPr>
    </w:p>
    <w:p w:rsidR="00B43C41" w:rsidRPr="005E121C" w:rsidRDefault="009801A4" w:rsidP="005E121C">
      <w:pPr>
        <w:pStyle w:val="NormlnKZ"/>
        <w:spacing w:after="0"/>
        <w:ind w:firstLine="0"/>
        <w:rPr>
          <w:rFonts w:asciiTheme="minorHAnsi" w:hAnsiTheme="minorHAnsi" w:cstheme="minorHAnsi"/>
          <w:b/>
          <w:sz w:val="24"/>
        </w:rPr>
      </w:pPr>
      <w:r>
        <w:rPr>
          <w:rFonts w:asciiTheme="minorHAnsi" w:hAnsiTheme="minorHAnsi" w:cstheme="minorHAnsi"/>
          <w:b/>
          <w:sz w:val="24"/>
        </w:rPr>
        <w:t xml:space="preserve">1.2 </w:t>
      </w:r>
      <w:r w:rsidR="007C2AE9" w:rsidRPr="005E121C">
        <w:rPr>
          <w:rFonts w:asciiTheme="minorHAnsi" w:hAnsiTheme="minorHAnsi" w:cstheme="minorHAnsi"/>
          <w:b/>
          <w:sz w:val="24"/>
        </w:rPr>
        <w:t>Přehled</w:t>
      </w:r>
      <w:r w:rsidR="00B43C41" w:rsidRPr="005E121C">
        <w:rPr>
          <w:rFonts w:asciiTheme="minorHAnsi" w:hAnsiTheme="minorHAnsi" w:cstheme="minorHAnsi"/>
          <w:b/>
          <w:sz w:val="24"/>
        </w:rPr>
        <w:t xml:space="preserve"> o změnách vlastního kapitálu</w:t>
      </w:r>
    </w:p>
    <w:p w:rsidR="00C01E14" w:rsidRPr="00C01E14" w:rsidRDefault="00C01E14" w:rsidP="00C01E14">
      <w:pPr>
        <w:pStyle w:val="NormlnKZ"/>
        <w:spacing w:after="0"/>
        <w:ind w:firstLine="0"/>
        <w:rPr>
          <w:rFonts w:asciiTheme="minorHAnsi" w:hAnsiTheme="minorHAnsi" w:cstheme="minorHAnsi"/>
          <w:sz w:val="24"/>
        </w:rPr>
      </w:pPr>
    </w:p>
    <w:p w:rsidR="00352453" w:rsidRPr="00391416" w:rsidRDefault="00352453" w:rsidP="00352453">
      <w:pPr>
        <w:jc w:val="both"/>
        <w:rPr>
          <w:rFonts w:asciiTheme="minorHAnsi" w:hAnsiTheme="minorHAnsi" w:cstheme="minorHAnsi"/>
        </w:rPr>
      </w:pPr>
      <w:r w:rsidRPr="00391416">
        <w:rPr>
          <w:rFonts w:asciiTheme="minorHAnsi" w:hAnsiTheme="minorHAnsi" w:cstheme="minorHAnsi"/>
        </w:rPr>
        <w:t>Z</w:t>
      </w:r>
      <w:r w:rsidR="000815BB" w:rsidRPr="00391416">
        <w:rPr>
          <w:rFonts w:asciiTheme="minorHAnsi" w:hAnsiTheme="minorHAnsi" w:cstheme="minorHAnsi"/>
        </w:rPr>
        <w:t xml:space="preserve"> </w:t>
      </w:r>
      <w:r w:rsidRPr="00391416">
        <w:rPr>
          <w:rFonts w:asciiTheme="minorHAnsi" w:hAnsiTheme="minorHAnsi" w:cstheme="minorHAnsi"/>
        </w:rPr>
        <w:t>vyhlášky č. 410/2009 Sb.</w:t>
      </w:r>
      <w:r w:rsidR="00321C0C" w:rsidRPr="00391416">
        <w:rPr>
          <w:rFonts w:asciiTheme="minorHAnsi" w:hAnsiTheme="minorHAnsi" w:cstheme="minorHAnsi"/>
        </w:rPr>
        <w:t xml:space="preserve"> </w:t>
      </w:r>
      <w:r w:rsidRPr="00391416">
        <w:rPr>
          <w:rFonts w:asciiTheme="minorHAnsi" w:hAnsiTheme="minorHAnsi" w:cstheme="minorHAnsi"/>
        </w:rPr>
        <w:t xml:space="preserve">nelze jednoznačně vyvodit, jakým konkrétním způsobem má </w:t>
      </w:r>
      <w:r w:rsidR="00EE2D37" w:rsidRPr="00391416">
        <w:rPr>
          <w:rFonts w:asciiTheme="minorHAnsi" w:hAnsiTheme="minorHAnsi" w:cstheme="minorHAnsi"/>
        </w:rPr>
        <w:t xml:space="preserve">vybraná </w:t>
      </w:r>
      <w:r w:rsidRPr="00391416">
        <w:rPr>
          <w:rFonts w:asciiTheme="minorHAnsi" w:hAnsiTheme="minorHAnsi" w:cstheme="minorHAnsi"/>
        </w:rPr>
        <w:t xml:space="preserve">účetní jednotka postupovat </w:t>
      </w:r>
      <w:r w:rsidR="005713A4">
        <w:rPr>
          <w:rFonts w:asciiTheme="minorHAnsi" w:hAnsiTheme="minorHAnsi" w:cstheme="minorHAnsi"/>
        </w:rPr>
        <w:t xml:space="preserve">v přehledu o změnách vlastního kapitálu </w:t>
      </w:r>
      <w:r w:rsidRPr="00391416">
        <w:rPr>
          <w:rFonts w:asciiTheme="minorHAnsi" w:hAnsiTheme="minorHAnsi" w:cstheme="minorHAnsi"/>
        </w:rPr>
        <w:t xml:space="preserve">při naplňování položek B. </w:t>
      </w:r>
      <w:r w:rsidRPr="00391416">
        <w:rPr>
          <w:rFonts w:asciiTheme="minorHAnsi" w:hAnsiTheme="minorHAnsi" w:cstheme="minorHAnsi"/>
          <w:i/>
        </w:rPr>
        <w:t>Fondy účetní jednotky</w:t>
      </w:r>
      <w:r w:rsidRPr="00391416">
        <w:rPr>
          <w:rFonts w:asciiTheme="minorHAnsi" w:hAnsiTheme="minorHAnsi" w:cstheme="minorHAnsi"/>
        </w:rPr>
        <w:t xml:space="preserve">, C. </w:t>
      </w:r>
      <w:r w:rsidRPr="00391416">
        <w:rPr>
          <w:rFonts w:asciiTheme="minorHAnsi" w:hAnsiTheme="minorHAnsi" w:cstheme="minorHAnsi"/>
          <w:i/>
        </w:rPr>
        <w:t>Výsledek hospodaření</w:t>
      </w:r>
      <w:r w:rsidRPr="00391416">
        <w:rPr>
          <w:rFonts w:asciiTheme="minorHAnsi" w:hAnsiTheme="minorHAnsi" w:cstheme="minorHAnsi"/>
        </w:rPr>
        <w:t xml:space="preserve"> a D. </w:t>
      </w:r>
      <w:r w:rsidRPr="00391416">
        <w:rPr>
          <w:rFonts w:asciiTheme="minorHAnsi" w:hAnsiTheme="minorHAnsi" w:cstheme="minorHAnsi"/>
          <w:i/>
        </w:rPr>
        <w:t>Příjmový a výdajový účet rozpočtového hospodaření</w:t>
      </w:r>
      <w:r w:rsidR="005713A4">
        <w:rPr>
          <w:rFonts w:asciiTheme="minorHAnsi" w:hAnsiTheme="minorHAnsi" w:cstheme="minorHAnsi"/>
        </w:rPr>
        <w:t>,</w:t>
      </w:r>
      <w:r w:rsidRPr="00391416">
        <w:rPr>
          <w:rFonts w:asciiTheme="minorHAnsi" w:hAnsiTheme="minorHAnsi" w:cstheme="minorHAnsi"/>
        </w:rPr>
        <w:t xml:space="preserve"> </w:t>
      </w:r>
      <w:r w:rsidR="005713A4">
        <w:rPr>
          <w:rFonts w:asciiTheme="minorHAnsi" w:hAnsiTheme="minorHAnsi" w:cstheme="minorHAnsi"/>
        </w:rPr>
        <w:t>pokud účtuje</w:t>
      </w:r>
      <w:r w:rsidRPr="00391416">
        <w:rPr>
          <w:rFonts w:asciiTheme="minorHAnsi" w:hAnsiTheme="minorHAnsi" w:cstheme="minorHAnsi"/>
        </w:rPr>
        <w:t xml:space="preserve"> </w:t>
      </w:r>
      <w:r w:rsidR="0006410C" w:rsidRPr="00391416">
        <w:rPr>
          <w:rFonts w:asciiTheme="minorHAnsi" w:hAnsiTheme="minorHAnsi" w:cstheme="minorHAnsi"/>
        </w:rPr>
        <w:t xml:space="preserve">o </w:t>
      </w:r>
      <w:r w:rsidR="008C70C0">
        <w:rPr>
          <w:rFonts w:asciiTheme="minorHAnsi" w:hAnsiTheme="minorHAnsi" w:cstheme="minorHAnsi"/>
        </w:rPr>
        <w:t>s</w:t>
      </w:r>
      <w:r w:rsidR="0006410C" w:rsidRPr="00391416">
        <w:rPr>
          <w:rFonts w:asciiTheme="minorHAnsi" w:hAnsiTheme="minorHAnsi" w:cstheme="minorHAnsi"/>
        </w:rPr>
        <w:t xml:space="preserve">nížení stavu </w:t>
      </w:r>
      <w:r w:rsidR="005713A4">
        <w:rPr>
          <w:rFonts w:asciiTheme="minorHAnsi" w:hAnsiTheme="minorHAnsi" w:cstheme="minorHAnsi"/>
        </w:rPr>
        <w:t>nebo</w:t>
      </w:r>
      <w:r w:rsidR="000815BB" w:rsidRPr="00391416">
        <w:rPr>
          <w:rFonts w:asciiTheme="minorHAnsi" w:hAnsiTheme="minorHAnsi" w:cstheme="minorHAnsi"/>
        </w:rPr>
        <w:t xml:space="preserve"> </w:t>
      </w:r>
      <w:r w:rsidR="008C70C0">
        <w:rPr>
          <w:rFonts w:asciiTheme="minorHAnsi" w:hAnsiTheme="minorHAnsi" w:cstheme="minorHAnsi"/>
        </w:rPr>
        <w:t>z</w:t>
      </w:r>
      <w:r w:rsidRPr="00391416">
        <w:rPr>
          <w:rFonts w:asciiTheme="minorHAnsi" w:hAnsiTheme="minorHAnsi" w:cstheme="minorHAnsi"/>
        </w:rPr>
        <w:t>výšení stavu uvedených položek. Z</w:t>
      </w:r>
      <w:r w:rsidR="000815BB" w:rsidRPr="00391416">
        <w:rPr>
          <w:rFonts w:asciiTheme="minorHAnsi" w:hAnsiTheme="minorHAnsi" w:cstheme="minorHAnsi"/>
        </w:rPr>
        <w:t xml:space="preserve"> </w:t>
      </w:r>
      <w:r w:rsidRPr="00391416">
        <w:rPr>
          <w:rFonts w:asciiTheme="minorHAnsi" w:hAnsiTheme="minorHAnsi" w:cstheme="minorHAnsi"/>
        </w:rPr>
        <w:t>vyhlášky nevyplývá, zda mají být u uvedených položek naplněny oba sloupce, tj. jak „</w:t>
      </w:r>
      <w:r w:rsidR="008C70C0" w:rsidRPr="008C70C0">
        <w:rPr>
          <w:rFonts w:asciiTheme="minorHAnsi" w:hAnsiTheme="minorHAnsi" w:cstheme="minorHAnsi"/>
          <w:i/>
        </w:rPr>
        <w:t>z</w:t>
      </w:r>
      <w:r w:rsidRPr="008C70C0">
        <w:rPr>
          <w:rFonts w:asciiTheme="minorHAnsi" w:hAnsiTheme="minorHAnsi" w:cstheme="minorHAnsi"/>
          <w:i/>
        </w:rPr>
        <w:t>výšení stavu</w:t>
      </w:r>
      <w:r w:rsidRPr="00391416">
        <w:rPr>
          <w:rFonts w:asciiTheme="minorHAnsi" w:hAnsiTheme="minorHAnsi" w:cstheme="minorHAnsi"/>
        </w:rPr>
        <w:t>“, tak „</w:t>
      </w:r>
      <w:r w:rsidR="008C70C0" w:rsidRPr="008C70C0">
        <w:rPr>
          <w:rFonts w:asciiTheme="minorHAnsi" w:hAnsiTheme="minorHAnsi" w:cstheme="minorHAnsi"/>
          <w:i/>
        </w:rPr>
        <w:t>s</w:t>
      </w:r>
      <w:r w:rsidRPr="008C70C0">
        <w:rPr>
          <w:rFonts w:asciiTheme="minorHAnsi" w:hAnsiTheme="minorHAnsi" w:cstheme="minorHAnsi"/>
          <w:i/>
        </w:rPr>
        <w:t>nížení stavu</w:t>
      </w:r>
      <w:r w:rsidRPr="00391416">
        <w:rPr>
          <w:rFonts w:asciiTheme="minorHAnsi" w:hAnsiTheme="minorHAnsi" w:cstheme="minorHAnsi"/>
        </w:rPr>
        <w:t>“, či zda má být uveden jen rozdíl mezi těmito sloupci</w:t>
      </w:r>
      <w:r w:rsidR="00FF58F8" w:rsidRPr="00391416">
        <w:rPr>
          <w:rStyle w:val="Znakapoznpodarou"/>
          <w:rFonts w:asciiTheme="minorHAnsi" w:hAnsiTheme="minorHAnsi" w:cstheme="minorHAnsi"/>
        </w:rPr>
        <w:footnoteReference w:id="9"/>
      </w:r>
      <w:r w:rsidR="00EE638A">
        <w:rPr>
          <w:rFonts w:asciiTheme="minorHAnsi" w:hAnsiTheme="minorHAnsi" w:cstheme="minorHAnsi"/>
        </w:rPr>
        <w:t xml:space="preserve">, </w:t>
      </w:r>
      <w:r w:rsidR="00EE638A" w:rsidRPr="00EE638A">
        <w:rPr>
          <w:rFonts w:ascii="Calibri" w:hAnsi="Calibri" w:cs="Calibri"/>
        </w:rPr>
        <w:t>tj. jeden údaj (celkové snížení či celkové zvýšení stavu)</w:t>
      </w:r>
      <w:r w:rsidRPr="00391416">
        <w:rPr>
          <w:rFonts w:asciiTheme="minorHAnsi" w:hAnsiTheme="minorHAnsi" w:cstheme="minorHAnsi"/>
        </w:rPr>
        <w:t xml:space="preserve">. </w:t>
      </w:r>
    </w:p>
    <w:p w:rsidR="00352453" w:rsidRPr="00391416" w:rsidRDefault="00352453" w:rsidP="00352453">
      <w:pPr>
        <w:jc w:val="both"/>
        <w:rPr>
          <w:rFonts w:asciiTheme="minorHAnsi" w:hAnsiTheme="minorHAnsi" w:cstheme="minorHAnsi"/>
        </w:rPr>
      </w:pPr>
    </w:p>
    <w:p w:rsidR="00352453" w:rsidRPr="00391416" w:rsidRDefault="00EE638A" w:rsidP="00352453">
      <w:pPr>
        <w:jc w:val="both"/>
        <w:rPr>
          <w:rFonts w:asciiTheme="minorHAnsi" w:hAnsiTheme="minorHAnsi" w:cstheme="minorHAnsi"/>
        </w:rPr>
      </w:pPr>
      <w:r>
        <w:rPr>
          <w:rFonts w:asciiTheme="minorHAnsi" w:hAnsiTheme="minorHAnsi" w:cstheme="minorHAnsi"/>
        </w:rPr>
        <w:lastRenderedPageBreak/>
        <w:t>MK</w:t>
      </w:r>
      <w:r w:rsidR="00352453" w:rsidRPr="00391416">
        <w:rPr>
          <w:rFonts w:asciiTheme="minorHAnsi" w:hAnsiTheme="minorHAnsi" w:cstheme="minorHAnsi"/>
        </w:rPr>
        <w:t xml:space="preserve"> naplnilo v</w:t>
      </w:r>
      <w:r w:rsidR="000815BB" w:rsidRPr="00391416">
        <w:rPr>
          <w:rFonts w:asciiTheme="minorHAnsi" w:hAnsiTheme="minorHAnsi" w:cstheme="minorHAnsi"/>
        </w:rPr>
        <w:t xml:space="preserve"> </w:t>
      </w:r>
      <w:r w:rsidR="00352453" w:rsidRPr="00391416">
        <w:rPr>
          <w:rFonts w:asciiTheme="minorHAnsi" w:hAnsiTheme="minorHAnsi" w:cstheme="minorHAnsi"/>
        </w:rPr>
        <w:t xml:space="preserve">přehledu o změnách vlastního kapitálu předmětné položky </w:t>
      </w:r>
      <w:r w:rsidR="00EE2D37" w:rsidRPr="00391416">
        <w:rPr>
          <w:rFonts w:asciiTheme="minorHAnsi" w:hAnsiTheme="minorHAnsi" w:cstheme="minorHAnsi"/>
        </w:rPr>
        <w:t>jak ve sloupci „</w:t>
      </w:r>
      <w:r w:rsidR="008C70C0" w:rsidRPr="008C70C0">
        <w:rPr>
          <w:rFonts w:asciiTheme="minorHAnsi" w:hAnsiTheme="minorHAnsi" w:cstheme="minorHAnsi"/>
          <w:i/>
        </w:rPr>
        <w:t>z</w:t>
      </w:r>
      <w:r w:rsidR="00EE2D37" w:rsidRPr="008C70C0">
        <w:rPr>
          <w:rFonts w:asciiTheme="minorHAnsi" w:hAnsiTheme="minorHAnsi" w:cstheme="minorHAnsi"/>
          <w:i/>
        </w:rPr>
        <w:t>výšení stavu</w:t>
      </w:r>
      <w:r w:rsidR="00EE2D37" w:rsidRPr="00391416">
        <w:rPr>
          <w:rFonts w:asciiTheme="minorHAnsi" w:hAnsiTheme="minorHAnsi" w:cstheme="minorHAnsi"/>
        </w:rPr>
        <w:t>“, tak ve sloupci „</w:t>
      </w:r>
      <w:r w:rsidR="008C70C0" w:rsidRPr="008C70C0">
        <w:rPr>
          <w:rFonts w:asciiTheme="minorHAnsi" w:hAnsiTheme="minorHAnsi" w:cstheme="minorHAnsi"/>
          <w:i/>
        </w:rPr>
        <w:t>s</w:t>
      </w:r>
      <w:r w:rsidR="00EE2D37" w:rsidRPr="008C70C0">
        <w:rPr>
          <w:rFonts w:asciiTheme="minorHAnsi" w:hAnsiTheme="minorHAnsi" w:cstheme="minorHAnsi"/>
          <w:i/>
        </w:rPr>
        <w:t>nížení stavu</w:t>
      </w:r>
      <w:r w:rsidR="00EE2D37" w:rsidRPr="00391416">
        <w:rPr>
          <w:rFonts w:asciiTheme="minorHAnsi" w:hAnsiTheme="minorHAnsi" w:cstheme="minorHAnsi"/>
        </w:rPr>
        <w:t xml:space="preserve">“. Nejasnost při aplikaci způsobu naplňování položek B. </w:t>
      </w:r>
      <w:r w:rsidR="00EE2D37" w:rsidRPr="00391416">
        <w:rPr>
          <w:rFonts w:asciiTheme="minorHAnsi" w:hAnsiTheme="minorHAnsi" w:cstheme="minorHAnsi"/>
          <w:i/>
        </w:rPr>
        <w:t>Fondy účetní jednotky</w:t>
      </w:r>
      <w:r w:rsidR="00EE2D37" w:rsidRPr="00391416">
        <w:rPr>
          <w:rFonts w:asciiTheme="minorHAnsi" w:hAnsiTheme="minorHAnsi" w:cstheme="minorHAnsi"/>
        </w:rPr>
        <w:t xml:space="preserve">, C. </w:t>
      </w:r>
      <w:r w:rsidR="00EE2D37" w:rsidRPr="00391416">
        <w:rPr>
          <w:rFonts w:asciiTheme="minorHAnsi" w:hAnsiTheme="minorHAnsi" w:cstheme="minorHAnsi"/>
          <w:i/>
        </w:rPr>
        <w:t>Výsledek hospodaření</w:t>
      </w:r>
      <w:r w:rsidR="00EE2D37" w:rsidRPr="00391416">
        <w:rPr>
          <w:rFonts w:asciiTheme="minorHAnsi" w:hAnsiTheme="minorHAnsi" w:cstheme="minorHAnsi"/>
        </w:rPr>
        <w:t xml:space="preserve"> a D. </w:t>
      </w:r>
      <w:r w:rsidR="00EE2D37" w:rsidRPr="00391416">
        <w:rPr>
          <w:rFonts w:asciiTheme="minorHAnsi" w:hAnsiTheme="minorHAnsi" w:cstheme="minorHAnsi"/>
          <w:i/>
        </w:rPr>
        <w:t>Příjmový a výdajový účet rozpočtového hospodaření</w:t>
      </w:r>
      <w:r w:rsidR="00EE2D37" w:rsidRPr="00391416">
        <w:rPr>
          <w:rFonts w:asciiTheme="minorHAnsi" w:hAnsiTheme="minorHAnsi" w:cstheme="minorHAnsi"/>
        </w:rPr>
        <w:t xml:space="preserve"> přehledu o změnách vlastního kapitálu vede k</w:t>
      </w:r>
      <w:r w:rsidR="000815BB" w:rsidRPr="00391416">
        <w:rPr>
          <w:rFonts w:asciiTheme="minorHAnsi" w:hAnsiTheme="minorHAnsi" w:cstheme="minorHAnsi"/>
        </w:rPr>
        <w:t xml:space="preserve"> </w:t>
      </w:r>
      <w:r>
        <w:rPr>
          <w:rFonts w:asciiTheme="minorHAnsi" w:hAnsiTheme="minorHAnsi" w:cstheme="minorHAnsi"/>
        </w:rPr>
        <w:t>závěru, že postup zvolený MK</w:t>
      </w:r>
      <w:r w:rsidR="00EE2D37" w:rsidRPr="00391416">
        <w:rPr>
          <w:rFonts w:asciiTheme="minorHAnsi" w:hAnsiTheme="minorHAnsi" w:cstheme="minorHAnsi"/>
        </w:rPr>
        <w:t xml:space="preserve"> nelze považovat za nesprávný, zároveň však </w:t>
      </w:r>
      <w:r w:rsidR="0043375C" w:rsidRPr="00391416">
        <w:rPr>
          <w:rFonts w:asciiTheme="minorHAnsi" w:hAnsiTheme="minorHAnsi" w:cstheme="minorHAnsi"/>
        </w:rPr>
        <w:t xml:space="preserve">tato nejasnost </w:t>
      </w:r>
      <w:r w:rsidR="00EE2D37" w:rsidRPr="00391416">
        <w:rPr>
          <w:rFonts w:asciiTheme="minorHAnsi" w:hAnsiTheme="minorHAnsi" w:cstheme="minorHAnsi"/>
        </w:rPr>
        <w:t>způsobuje riziko nesrovnatelnosti údajů v</w:t>
      </w:r>
      <w:r w:rsidR="000815BB" w:rsidRPr="00391416">
        <w:rPr>
          <w:rFonts w:asciiTheme="minorHAnsi" w:hAnsiTheme="minorHAnsi" w:cstheme="minorHAnsi"/>
        </w:rPr>
        <w:t xml:space="preserve"> </w:t>
      </w:r>
      <w:r w:rsidR="00EE2D37" w:rsidRPr="00391416">
        <w:rPr>
          <w:rFonts w:asciiTheme="minorHAnsi" w:hAnsiTheme="minorHAnsi" w:cstheme="minorHAnsi"/>
        </w:rPr>
        <w:t>rámci vybraných účetních jednotek.</w:t>
      </w:r>
    </w:p>
    <w:p w:rsidR="00B43C41" w:rsidRPr="00391416" w:rsidRDefault="00B43C41" w:rsidP="004E6AB9">
      <w:pPr>
        <w:pStyle w:val="NormlnKZ"/>
        <w:spacing w:after="0"/>
        <w:ind w:firstLine="0"/>
        <w:rPr>
          <w:rFonts w:asciiTheme="minorHAnsi" w:hAnsiTheme="minorHAnsi" w:cstheme="minorHAnsi"/>
          <w:sz w:val="24"/>
        </w:rPr>
      </w:pPr>
    </w:p>
    <w:p w:rsidR="0013459C" w:rsidRPr="00391416" w:rsidRDefault="00EA03FF" w:rsidP="00886F01">
      <w:pPr>
        <w:pStyle w:val="NormlnKZ"/>
        <w:spacing w:after="0"/>
        <w:ind w:firstLine="0"/>
        <w:rPr>
          <w:rFonts w:asciiTheme="minorHAnsi" w:hAnsiTheme="minorHAnsi" w:cstheme="minorHAnsi"/>
          <w:b/>
          <w:sz w:val="24"/>
        </w:rPr>
      </w:pPr>
      <w:r w:rsidRPr="00391416">
        <w:rPr>
          <w:rFonts w:asciiTheme="minorHAnsi" w:hAnsiTheme="minorHAnsi" w:cstheme="minorHAnsi"/>
          <w:b/>
          <w:sz w:val="24"/>
        </w:rPr>
        <w:t>2</w:t>
      </w:r>
      <w:r w:rsidR="00015FA2">
        <w:rPr>
          <w:rFonts w:asciiTheme="minorHAnsi" w:hAnsiTheme="minorHAnsi" w:cstheme="minorHAnsi"/>
          <w:b/>
          <w:sz w:val="24"/>
        </w:rPr>
        <w:t>.</w:t>
      </w:r>
      <w:r w:rsidRPr="00391416">
        <w:rPr>
          <w:rFonts w:asciiTheme="minorHAnsi" w:hAnsiTheme="minorHAnsi" w:cstheme="minorHAnsi"/>
          <w:b/>
          <w:sz w:val="24"/>
        </w:rPr>
        <w:t xml:space="preserve"> </w:t>
      </w:r>
      <w:r w:rsidR="0013459C" w:rsidRPr="00391416">
        <w:rPr>
          <w:rFonts w:asciiTheme="minorHAnsi" w:hAnsiTheme="minorHAnsi" w:cstheme="minorHAnsi"/>
          <w:b/>
          <w:sz w:val="24"/>
        </w:rPr>
        <w:t>Nesprávnosti v</w:t>
      </w:r>
      <w:r w:rsidR="000815BB" w:rsidRPr="00391416">
        <w:rPr>
          <w:rFonts w:asciiTheme="minorHAnsi" w:hAnsiTheme="minorHAnsi" w:cstheme="minorHAnsi"/>
          <w:b/>
          <w:sz w:val="24"/>
        </w:rPr>
        <w:t xml:space="preserve"> </w:t>
      </w:r>
      <w:r w:rsidR="0013459C" w:rsidRPr="00391416">
        <w:rPr>
          <w:rFonts w:asciiTheme="minorHAnsi" w:hAnsiTheme="minorHAnsi" w:cstheme="minorHAnsi"/>
          <w:b/>
          <w:sz w:val="24"/>
        </w:rPr>
        <w:t>účetní závěrce</w:t>
      </w:r>
      <w:r w:rsidR="00625267">
        <w:rPr>
          <w:rFonts w:asciiTheme="minorHAnsi" w:hAnsiTheme="minorHAnsi" w:cstheme="minorHAnsi"/>
          <w:b/>
          <w:sz w:val="24"/>
        </w:rPr>
        <w:t>, při vedení účetnictví</w:t>
      </w:r>
      <w:r w:rsidR="00B805DC" w:rsidRPr="00391416">
        <w:rPr>
          <w:rFonts w:asciiTheme="minorHAnsi" w:hAnsiTheme="minorHAnsi" w:cstheme="minorHAnsi"/>
          <w:b/>
          <w:sz w:val="24"/>
        </w:rPr>
        <w:t xml:space="preserve"> a hlavní příčiny těchto nesprávností</w:t>
      </w:r>
    </w:p>
    <w:p w:rsidR="00507ED4" w:rsidRDefault="00507ED4" w:rsidP="0013459C">
      <w:pPr>
        <w:pStyle w:val="NormlnKZ"/>
        <w:spacing w:after="0"/>
        <w:ind w:firstLine="0"/>
        <w:rPr>
          <w:rFonts w:asciiTheme="minorHAnsi" w:hAnsiTheme="minorHAnsi" w:cstheme="minorHAnsi"/>
          <w:spacing w:val="-2"/>
          <w:sz w:val="24"/>
        </w:rPr>
      </w:pPr>
    </w:p>
    <w:p w:rsidR="0013459C" w:rsidRPr="00391416" w:rsidRDefault="00625267" w:rsidP="0013459C">
      <w:pPr>
        <w:pStyle w:val="NormlnKZ"/>
        <w:spacing w:after="0"/>
        <w:ind w:firstLine="0"/>
        <w:rPr>
          <w:rFonts w:asciiTheme="minorHAnsi" w:hAnsiTheme="minorHAnsi" w:cstheme="minorHAnsi"/>
          <w:sz w:val="24"/>
        </w:rPr>
      </w:pPr>
      <w:r>
        <w:rPr>
          <w:rFonts w:asciiTheme="minorHAnsi" w:hAnsiTheme="minorHAnsi" w:cstheme="minorHAnsi"/>
          <w:spacing w:val="-2"/>
          <w:sz w:val="24"/>
        </w:rPr>
        <w:t>MK v roce 2014 v</w:t>
      </w:r>
      <w:r w:rsidR="009C77C9">
        <w:rPr>
          <w:rFonts w:asciiTheme="minorHAnsi" w:hAnsiTheme="minorHAnsi" w:cstheme="minorHAnsi"/>
          <w:spacing w:val="-2"/>
          <w:sz w:val="24"/>
        </w:rPr>
        <w:t xml:space="preserve"> </w:t>
      </w:r>
      <w:r>
        <w:rPr>
          <w:rFonts w:asciiTheme="minorHAnsi" w:hAnsiTheme="minorHAnsi" w:cstheme="minorHAnsi"/>
          <w:spacing w:val="-2"/>
          <w:sz w:val="24"/>
        </w:rPr>
        <w:t>některých případech nesprávně aplikovalo účetní metody a nedodrželo obsahov</w:t>
      </w:r>
      <w:r w:rsidR="0050477F">
        <w:rPr>
          <w:rFonts w:asciiTheme="minorHAnsi" w:hAnsiTheme="minorHAnsi" w:cstheme="minorHAnsi"/>
          <w:spacing w:val="-2"/>
          <w:sz w:val="24"/>
        </w:rPr>
        <w:t>á</w:t>
      </w:r>
      <w:r>
        <w:rPr>
          <w:rFonts w:asciiTheme="minorHAnsi" w:hAnsiTheme="minorHAnsi" w:cstheme="minorHAnsi"/>
          <w:spacing w:val="-2"/>
          <w:sz w:val="24"/>
        </w:rPr>
        <w:t xml:space="preserve"> vymezení </w:t>
      </w:r>
      <w:r w:rsidR="0013459C" w:rsidRPr="00391416">
        <w:rPr>
          <w:rFonts w:asciiTheme="minorHAnsi" w:hAnsiTheme="minorHAnsi" w:cstheme="minorHAnsi"/>
          <w:spacing w:val="-2"/>
          <w:sz w:val="24"/>
        </w:rPr>
        <w:t xml:space="preserve">položek ÚZ </w:t>
      </w:r>
      <w:r>
        <w:rPr>
          <w:rFonts w:asciiTheme="minorHAnsi" w:hAnsiTheme="minorHAnsi" w:cstheme="minorHAnsi"/>
          <w:spacing w:val="-2"/>
          <w:sz w:val="24"/>
        </w:rPr>
        <w:t>stanoven</w:t>
      </w:r>
      <w:r w:rsidR="0050477F">
        <w:rPr>
          <w:rFonts w:asciiTheme="minorHAnsi" w:hAnsiTheme="minorHAnsi" w:cstheme="minorHAnsi"/>
          <w:spacing w:val="-2"/>
          <w:sz w:val="24"/>
        </w:rPr>
        <w:t>á</w:t>
      </w:r>
      <w:r>
        <w:rPr>
          <w:rFonts w:asciiTheme="minorHAnsi" w:hAnsiTheme="minorHAnsi" w:cstheme="minorHAnsi"/>
          <w:spacing w:val="-2"/>
          <w:sz w:val="24"/>
        </w:rPr>
        <w:t xml:space="preserve"> vyhláškou </w:t>
      </w:r>
      <w:r w:rsidR="003109A8" w:rsidRPr="00391416">
        <w:rPr>
          <w:rFonts w:asciiTheme="minorHAnsi" w:hAnsiTheme="minorHAnsi" w:cstheme="minorHAnsi"/>
          <w:sz w:val="24"/>
        </w:rPr>
        <w:t>č.</w:t>
      </w:r>
      <w:r w:rsidR="000815BB" w:rsidRPr="00391416">
        <w:rPr>
          <w:rFonts w:asciiTheme="minorHAnsi" w:hAnsiTheme="minorHAnsi" w:cstheme="minorHAnsi"/>
          <w:sz w:val="24"/>
        </w:rPr>
        <w:t xml:space="preserve"> </w:t>
      </w:r>
      <w:r w:rsidR="003109A8" w:rsidRPr="00391416">
        <w:rPr>
          <w:rFonts w:asciiTheme="minorHAnsi" w:hAnsiTheme="minorHAnsi" w:cstheme="minorHAnsi"/>
          <w:sz w:val="24"/>
        </w:rPr>
        <w:t>410/2009</w:t>
      </w:r>
      <w:r w:rsidR="000815BB" w:rsidRPr="00391416">
        <w:rPr>
          <w:rFonts w:asciiTheme="minorHAnsi" w:hAnsiTheme="minorHAnsi" w:cstheme="minorHAnsi"/>
          <w:sz w:val="24"/>
        </w:rPr>
        <w:t xml:space="preserve"> </w:t>
      </w:r>
      <w:r w:rsidR="00C657D7" w:rsidRPr="00391416">
        <w:rPr>
          <w:rFonts w:asciiTheme="minorHAnsi" w:hAnsiTheme="minorHAnsi" w:cstheme="minorHAnsi"/>
          <w:sz w:val="24"/>
        </w:rPr>
        <w:t>Sb</w:t>
      </w:r>
      <w:r w:rsidR="00BE4552" w:rsidRPr="00391416">
        <w:rPr>
          <w:rFonts w:asciiTheme="minorHAnsi" w:hAnsiTheme="minorHAnsi" w:cstheme="minorHAnsi"/>
          <w:sz w:val="24"/>
        </w:rPr>
        <w:t>.</w:t>
      </w:r>
      <w:r w:rsidR="00B1330D" w:rsidRPr="00391416">
        <w:rPr>
          <w:rFonts w:asciiTheme="minorHAnsi" w:hAnsiTheme="minorHAnsi" w:cstheme="minorHAnsi"/>
          <w:sz w:val="24"/>
        </w:rPr>
        <w:t xml:space="preserve"> </w:t>
      </w:r>
      <w:r w:rsidR="006B6DE5">
        <w:rPr>
          <w:rFonts w:asciiTheme="minorHAnsi" w:hAnsiTheme="minorHAnsi" w:cstheme="minorHAnsi"/>
          <w:sz w:val="24"/>
        </w:rPr>
        <w:t xml:space="preserve">MK účetní metody neupravilo vnitřními předpisy. </w:t>
      </w:r>
      <w:r>
        <w:rPr>
          <w:rFonts w:asciiTheme="minorHAnsi" w:hAnsiTheme="minorHAnsi" w:cstheme="minorHAnsi"/>
          <w:sz w:val="24"/>
        </w:rPr>
        <w:t>Nedostatky byly zjištěny zejména v</w:t>
      </w:r>
      <w:r w:rsidR="009C77C9">
        <w:rPr>
          <w:rFonts w:asciiTheme="minorHAnsi" w:hAnsiTheme="minorHAnsi" w:cstheme="minorHAnsi"/>
          <w:sz w:val="24"/>
        </w:rPr>
        <w:t xml:space="preserve"> </w:t>
      </w:r>
      <w:r>
        <w:rPr>
          <w:rFonts w:asciiTheme="minorHAnsi" w:hAnsiTheme="minorHAnsi" w:cstheme="minorHAnsi"/>
          <w:sz w:val="24"/>
        </w:rPr>
        <w:t>níže uvedených případech:</w:t>
      </w:r>
    </w:p>
    <w:p w:rsidR="003F7603" w:rsidRPr="00391416" w:rsidRDefault="003F7603" w:rsidP="003F7603">
      <w:pPr>
        <w:rPr>
          <w:rFonts w:asciiTheme="minorHAnsi" w:hAnsiTheme="minorHAnsi" w:cstheme="minorHAnsi"/>
          <w:highlight w:val="cyan"/>
        </w:rPr>
      </w:pPr>
    </w:p>
    <w:p w:rsidR="00A00F4D" w:rsidRDefault="00A82ED8" w:rsidP="00A82ED8">
      <w:pPr>
        <w:pStyle w:val="NormlnKZ"/>
        <w:spacing w:after="0"/>
        <w:ind w:firstLine="0"/>
        <w:rPr>
          <w:rFonts w:asciiTheme="minorHAnsi" w:hAnsiTheme="minorHAnsi" w:cstheme="minorHAnsi"/>
          <w:b/>
          <w:sz w:val="24"/>
        </w:rPr>
      </w:pPr>
      <w:r>
        <w:rPr>
          <w:rFonts w:asciiTheme="minorHAnsi" w:hAnsiTheme="minorHAnsi" w:cstheme="minorHAnsi"/>
          <w:b/>
          <w:sz w:val="24"/>
        </w:rPr>
        <w:t>2.1 Refundace spolufinancovaných transferů ze zahraničí</w:t>
      </w:r>
    </w:p>
    <w:p w:rsidR="008C3B96" w:rsidRDefault="008C3B96" w:rsidP="00A82ED8">
      <w:pPr>
        <w:pStyle w:val="NormlnKZ"/>
        <w:spacing w:after="0"/>
        <w:ind w:firstLine="0"/>
        <w:rPr>
          <w:rFonts w:asciiTheme="minorHAnsi" w:hAnsiTheme="minorHAnsi" w:cstheme="minorHAnsi"/>
          <w:sz w:val="24"/>
        </w:rPr>
      </w:pPr>
    </w:p>
    <w:p w:rsidR="00D67503" w:rsidRDefault="00543487" w:rsidP="00A82ED8">
      <w:pPr>
        <w:pStyle w:val="NormlnKZ"/>
        <w:spacing w:after="0"/>
        <w:ind w:firstLine="0"/>
        <w:rPr>
          <w:rFonts w:asciiTheme="minorHAnsi" w:hAnsiTheme="minorHAnsi" w:cstheme="minorHAnsi"/>
          <w:sz w:val="24"/>
        </w:rPr>
      </w:pPr>
      <w:r>
        <w:rPr>
          <w:rFonts w:asciiTheme="minorHAnsi" w:hAnsiTheme="minorHAnsi" w:cstheme="minorHAnsi"/>
          <w:sz w:val="24"/>
        </w:rPr>
        <w:t>Jak bylo uvedeno výše, p</w:t>
      </w:r>
      <w:r w:rsidR="00CD4BD1" w:rsidRPr="00543487">
        <w:rPr>
          <w:rFonts w:asciiTheme="minorHAnsi" w:hAnsiTheme="minorHAnsi" w:cstheme="minorHAnsi"/>
          <w:sz w:val="24"/>
        </w:rPr>
        <w:t>ro posouzení postupů účtování MK o transferech spolufinancovaných ze zahraničí je nutné určit, zda MK ve smyslu ČÚS</w:t>
      </w:r>
      <w:r w:rsidR="00D67503" w:rsidRPr="00543487">
        <w:rPr>
          <w:rFonts w:asciiTheme="minorHAnsi" w:hAnsiTheme="minorHAnsi" w:cstheme="minorHAnsi"/>
          <w:sz w:val="24"/>
        </w:rPr>
        <w:t xml:space="preserve"> č. 703 </w:t>
      </w:r>
      <w:r w:rsidR="00B23DDE" w:rsidRPr="00B23DDE">
        <w:rPr>
          <w:rFonts w:asciiTheme="minorHAnsi" w:hAnsiTheme="minorHAnsi" w:cstheme="minorHAnsi"/>
          <w:i/>
          <w:sz w:val="24"/>
        </w:rPr>
        <w:t>– Transfery</w:t>
      </w:r>
      <w:r w:rsidR="00B23DDE">
        <w:rPr>
          <w:rFonts w:asciiTheme="minorHAnsi" w:hAnsiTheme="minorHAnsi" w:cstheme="minorHAnsi"/>
          <w:sz w:val="24"/>
        </w:rPr>
        <w:t xml:space="preserve"> </w:t>
      </w:r>
      <w:r w:rsidR="00D67503" w:rsidRPr="00543487">
        <w:rPr>
          <w:rFonts w:asciiTheme="minorHAnsi" w:hAnsiTheme="minorHAnsi" w:cstheme="minorHAnsi"/>
          <w:sz w:val="24"/>
        </w:rPr>
        <w:t>v závislosti na uskutečněných finančních tocích zaujímalo v</w:t>
      </w:r>
      <w:r w:rsidR="009C77C9">
        <w:rPr>
          <w:rFonts w:asciiTheme="minorHAnsi" w:hAnsiTheme="minorHAnsi" w:cstheme="minorHAnsi"/>
          <w:sz w:val="24"/>
        </w:rPr>
        <w:t xml:space="preserve"> </w:t>
      </w:r>
      <w:r w:rsidR="00D67503" w:rsidRPr="00543487">
        <w:rPr>
          <w:rFonts w:asciiTheme="minorHAnsi" w:hAnsiTheme="minorHAnsi" w:cstheme="minorHAnsi"/>
          <w:sz w:val="24"/>
        </w:rPr>
        <w:t>roce 2014 ve vztahu k</w:t>
      </w:r>
      <w:r w:rsidR="009C77C9">
        <w:rPr>
          <w:rFonts w:asciiTheme="minorHAnsi" w:hAnsiTheme="minorHAnsi" w:cstheme="minorHAnsi"/>
          <w:sz w:val="24"/>
        </w:rPr>
        <w:t xml:space="preserve"> </w:t>
      </w:r>
      <w:r w:rsidR="00D67503" w:rsidRPr="00543487">
        <w:rPr>
          <w:rFonts w:asciiTheme="minorHAnsi" w:hAnsiTheme="minorHAnsi" w:cstheme="minorHAnsi"/>
          <w:sz w:val="24"/>
        </w:rPr>
        <w:t>přijatému a</w:t>
      </w:r>
      <w:r w:rsidR="004D365F">
        <w:rPr>
          <w:rFonts w:asciiTheme="minorHAnsi" w:hAnsiTheme="minorHAnsi" w:cstheme="minorHAnsi"/>
          <w:sz w:val="24"/>
        </w:rPr>
        <w:t> </w:t>
      </w:r>
      <w:r w:rsidR="00D67503" w:rsidRPr="00543487">
        <w:rPr>
          <w:rFonts w:asciiTheme="minorHAnsi" w:hAnsiTheme="minorHAnsi" w:cstheme="minorHAnsi"/>
          <w:sz w:val="24"/>
        </w:rPr>
        <w:t>poskytnutém</w:t>
      </w:r>
      <w:r w:rsidR="007A7B70">
        <w:rPr>
          <w:rFonts w:asciiTheme="minorHAnsi" w:hAnsiTheme="minorHAnsi" w:cstheme="minorHAnsi"/>
          <w:sz w:val="24"/>
        </w:rPr>
        <w:t>u transferu roli poskytovatele/</w:t>
      </w:r>
      <w:r w:rsidR="00D67503" w:rsidRPr="00543487">
        <w:rPr>
          <w:rFonts w:asciiTheme="minorHAnsi" w:hAnsiTheme="minorHAnsi" w:cstheme="minorHAnsi"/>
          <w:sz w:val="24"/>
        </w:rPr>
        <w:t>příjemce</w:t>
      </w:r>
      <w:r w:rsidR="00FF6D1C">
        <w:rPr>
          <w:rFonts w:asciiTheme="minorHAnsi" w:hAnsiTheme="minorHAnsi" w:cstheme="minorHAnsi"/>
          <w:sz w:val="24"/>
        </w:rPr>
        <w:t>,</w:t>
      </w:r>
      <w:r w:rsidR="00D67503" w:rsidRPr="00543487">
        <w:rPr>
          <w:rFonts w:asciiTheme="minorHAnsi" w:hAnsiTheme="minorHAnsi" w:cstheme="minorHAnsi"/>
          <w:sz w:val="24"/>
        </w:rPr>
        <w:t xml:space="preserve"> nebo zprostředkovatele. MK si svou roli dle ČÚS č. 703 </w:t>
      </w:r>
      <w:r w:rsidR="00B23DDE" w:rsidRPr="00B23DDE">
        <w:rPr>
          <w:rFonts w:asciiTheme="minorHAnsi" w:hAnsiTheme="minorHAnsi" w:cstheme="minorHAnsi"/>
          <w:i/>
          <w:sz w:val="24"/>
        </w:rPr>
        <w:t>– Transfery</w:t>
      </w:r>
      <w:r w:rsidR="00B23DDE">
        <w:rPr>
          <w:rFonts w:asciiTheme="minorHAnsi" w:hAnsiTheme="minorHAnsi" w:cstheme="minorHAnsi"/>
          <w:sz w:val="24"/>
        </w:rPr>
        <w:t xml:space="preserve"> </w:t>
      </w:r>
      <w:r w:rsidR="00D67503" w:rsidRPr="00543487">
        <w:rPr>
          <w:rFonts w:asciiTheme="minorHAnsi" w:hAnsiTheme="minorHAnsi" w:cstheme="minorHAnsi"/>
          <w:sz w:val="24"/>
        </w:rPr>
        <w:t>nestanovilo</w:t>
      </w:r>
      <w:r w:rsidR="00FF6D1C" w:rsidRPr="00FF6D1C">
        <w:rPr>
          <w:rFonts w:asciiTheme="minorHAnsi" w:hAnsiTheme="minorHAnsi" w:cstheme="minorHAnsi"/>
          <w:sz w:val="24"/>
        </w:rPr>
        <w:t xml:space="preserve"> </w:t>
      </w:r>
      <w:r w:rsidR="00FF6D1C" w:rsidRPr="00543487">
        <w:rPr>
          <w:rFonts w:asciiTheme="minorHAnsi" w:hAnsiTheme="minorHAnsi" w:cstheme="minorHAnsi"/>
          <w:sz w:val="24"/>
        </w:rPr>
        <w:t>jednoznačně</w:t>
      </w:r>
      <w:r w:rsidR="00D67503" w:rsidRPr="00543487">
        <w:rPr>
          <w:rFonts w:asciiTheme="minorHAnsi" w:hAnsiTheme="minorHAnsi" w:cstheme="minorHAnsi"/>
          <w:sz w:val="24"/>
        </w:rPr>
        <w:t xml:space="preserve"> a postupy účtování neupravilo v žádném vnitřním předpisu. </w:t>
      </w:r>
    </w:p>
    <w:p w:rsidR="003241AE" w:rsidRDefault="003241AE" w:rsidP="00A82ED8">
      <w:pPr>
        <w:pStyle w:val="NormlnKZ"/>
        <w:spacing w:after="0"/>
        <w:ind w:firstLine="0"/>
        <w:rPr>
          <w:rFonts w:asciiTheme="minorHAnsi" w:hAnsiTheme="minorHAnsi" w:cstheme="minorHAnsi"/>
          <w:sz w:val="24"/>
        </w:rPr>
      </w:pPr>
    </w:p>
    <w:p w:rsidR="00543487" w:rsidRDefault="00543487" w:rsidP="00543487">
      <w:pPr>
        <w:pStyle w:val="NormlnKZ"/>
        <w:spacing w:after="0"/>
        <w:ind w:firstLine="0"/>
        <w:rPr>
          <w:rFonts w:asciiTheme="minorHAnsi" w:hAnsiTheme="minorHAnsi" w:cs="Calibri"/>
          <w:sz w:val="24"/>
        </w:rPr>
      </w:pPr>
      <w:r w:rsidRPr="00D67503">
        <w:rPr>
          <w:rFonts w:asciiTheme="minorHAnsi" w:hAnsiTheme="minorHAnsi" w:cs="Calibri"/>
          <w:sz w:val="24"/>
        </w:rPr>
        <w:t xml:space="preserve">MK v případě </w:t>
      </w:r>
      <w:r>
        <w:rPr>
          <w:rFonts w:asciiTheme="minorHAnsi" w:hAnsiTheme="minorHAnsi" w:cs="Calibri"/>
          <w:sz w:val="24"/>
        </w:rPr>
        <w:t>předfinancování transferů poskytovaných z</w:t>
      </w:r>
      <w:r w:rsidR="009C77C9">
        <w:rPr>
          <w:rFonts w:asciiTheme="minorHAnsi" w:hAnsiTheme="minorHAnsi" w:cs="Calibri"/>
          <w:sz w:val="24"/>
        </w:rPr>
        <w:t xml:space="preserve"> </w:t>
      </w:r>
      <w:r>
        <w:rPr>
          <w:rFonts w:asciiTheme="minorHAnsi" w:hAnsiTheme="minorHAnsi" w:cs="Calibri"/>
          <w:sz w:val="24"/>
        </w:rPr>
        <w:t xml:space="preserve">rozpočtu EU či </w:t>
      </w:r>
      <w:r w:rsidRPr="00D67503">
        <w:rPr>
          <w:rFonts w:asciiTheme="minorHAnsi" w:hAnsiTheme="minorHAnsi" w:cs="Calibri"/>
          <w:sz w:val="24"/>
        </w:rPr>
        <w:t>FM EHP</w:t>
      </w:r>
      <w:r>
        <w:rPr>
          <w:rFonts w:asciiTheme="minorHAnsi" w:hAnsiTheme="minorHAnsi" w:cs="Calibri"/>
          <w:sz w:val="24"/>
        </w:rPr>
        <w:t xml:space="preserve"> z</w:t>
      </w:r>
      <w:r w:rsidR="009C77C9">
        <w:rPr>
          <w:rFonts w:asciiTheme="minorHAnsi" w:hAnsiTheme="minorHAnsi" w:cs="Calibri"/>
          <w:sz w:val="24"/>
        </w:rPr>
        <w:t xml:space="preserve"> </w:t>
      </w:r>
      <w:r>
        <w:rPr>
          <w:rFonts w:asciiTheme="minorHAnsi" w:hAnsiTheme="minorHAnsi" w:cs="Calibri"/>
          <w:sz w:val="24"/>
        </w:rPr>
        <w:t xml:space="preserve">kapitoly MK </w:t>
      </w:r>
      <w:r w:rsidRPr="00D67503">
        <w:rPr>
          <w:rFonts w:asciiTheme="minorHAnsi" w:hAnsiTheme="minorHAnsi" w:cs="Calibri"/>
          <w:sz w:val="24"/>
        </w:rPr>
        <w:t>účtovalo jako poskytovatel transferů s p</w:t>
      </w:r>
      <w:r>
        <w:rPr>
          <w:rFonts w:asciiTheme="minorHAnsi" w:hAnsiTheme="minorHAnsi" w:cs="Calibri"/>
          <w:sz w:val="24"/>
        </w:rPr>
        <w:t xml:space="preserve">ovinností finančního vypořádání prostřednictvím účtu </w:t>
      </w:r>
      <w:r w:rsidRPr="000007E5">
        <w:rPr>
          <w:rFonts w:asciiTheme="minorHAnsi" w:hAnsiTheme="minorHAnsi" w:cs="Calibri"/>
          <w:sz w:val="24"/>
        </w:rPr>
        <w:t>373 –</w:t>
      </w:r>
      <w:r w:rsidRPr="00507ED4">
        <w:rPr>
          <w:rFonts w:asciiTheme="minorHAnsi" w:hAnsiTheme="minorHAnsi" w:cs="Calibri"/>
          <w:i/>
          <w:sz w:val="24"/>
        </w:rPr>
        <w:t xml:space="preserve"> Krátkodobé poskytnuté zálohy na transfery</w:t>
      </w:r>
      <w:r w:rsidRPr="00D67503">
        <w:rPr>
          <w:rFonts w:asciiTheme="minorHAnsi" w:hAnsiTheme="minorHAnsi" w:cs="Calibri"/>
          <w:sz w:val="24"/>
        </w:rPr>
        <w:t xml:space="preserve">. Pokud před koncem účetního období obdrželo prostředky z Národního fondu (dále také „NF“) </w:t>
      </w:r>
      <w:r w:rsidR="00E45CBA">
        <w:rPr>
          <w:rFonts w:asciiTheme="minorHAnsi" w:hAnsiTheme="minorHAnsi" w:cs="Calibri"/>
          <w:sz w:val="24"/>
        </w:rPr>
        <w:t>jako refundaci</w:t>
      </w:r>
      <w:r w:rsidRPr="00D67503">
        <w:rPr>
          <w:rFonts w:asciiTheme="minorHAnsi" w:hAnsiTheme="minorHAnsi" w:cs="Calibri"/>
          <w:sz w:val="24"/>
        </w:rPr>
        <w:t xml:space="preserve"> uskutečněn</w:t>
      </w:r>
      <w:r w:rsidR="00E45CBA">
        <w:rPr>
          <w:rFonts w:asciiTheme="minorHAnsi" w:hAnsiTheme="minorHAnsi" w:cs="Calibri"/>
          <w:sz w:val="24"/>
        </w:rPr>
        <w:t>ých</w:t>
      </w:r>
      <w:r w:rsidRPr="00D67503">
        <w:rPr>
          <w:rFonts w:asciiTheme="minorHAnsi" w:hAnsiTheme="minorHAnsi" w:cs="Calibri"/>
          <w:sz w:val="24"/>
        </w:rPr>
        <w:t xml:space="preserve"> transferov</w:t>
      </w:r>
      <w:r w:rsidR="00E45CBA">
        <w:rPr>
          <w:rFonts w:asciiTheme="minorHAnsi" w:hAnsiTheme="minorHAnsi" w:cs="Calibri"/>
          <w:sz w:val="24"/>
        </w:rPr>
        <w:t>ých</w:t>
      </w:r>
      <w:r w:rsidRPr="00D67503">
        <w:rPr>
          <w:rFonts w:asciiTheme="minorHAnsi" w:hAnsiTheme="minorHAnsi" w:cs="Calibri"/>
          <w:sz w:val="24"/>
        </w:rPr>
        <w:t xml:space="preserve"> výdaj</w:t>
      </w:r>
      <w:r w:rsidR="00E45CBA">
        <w:rPr>
          <w:rFonts w:asciiTheme="minorHAnsi" w:hAnsiTheme="minorHAnsi" w:cs="Calibri"/>
          <w:sz w:val="24"/>
        </w:rPr>
        <w:t>ů</w:t>
      </w:r>
      <w:r w:rsidRPr="00D67503">
        <w:rPr>
          <w:rFonts w:asciiTheme="minorHAnsi" w:hAnsiTheme="minorHAnsi" w:cs="Calibri"/>
          <w:sz w:val="24"/>
        </w:rPr>
        <w:t>, změnilo</w:t>
      </w:r>
      <w:r w:rsidR="00E45CBA" w:rsidRPr="00E45CBA">
        <w:rPr>
          <w:rFonts w:asciiTheme="minorHAnsi" w:hAnsiTheme="minorHAnsi" w:cs="Calibri"/>
          <w:sz w:val="24"/>
        </w:rPr>
        <w:t xml:space="preserve"> </w:t>
      </w:r>
      <w:r w:rsidR="00E45CBA" w:rsidRPr="00D67503">
        <w:rPr>
          <w:rFonts w:asciiTheme="minorHAnsi" w:hAnsiTheme="minorHAnsi" w:cs="Calibri"/>
          <w:sz w:val="24"/>
        </w:rPr>
        <w:t>MK</w:t>
      </w:r>
      <w:r w:rsidRPr="00D67503">
        <w:rPr>
          <w:rFonts w:asciiTheme="minorHAnsi" w:hAnsiTheme="minorHAnsi" w:cs="Calibri"/>
          <w:sz w:val="24"/>
        </w:rPr>
        <w:t xml:space="preserve"> svoji roli ve smyslu ČÚS č. 703 </w:t>
      </w:r>
      <w:r w:rsidR="00507ED4">
        <w:rPr>
          <w:rFonts w:asciiTheme="minorHAnsi" w:hAnsiTheme="minorHAnsi" w:cs="Calibri"/>
          <w:sz w:val="24"/>
        </w:rPr>
        <w:t xml:space="preserve">– </w:t>
      </w:r>
      <w:r w:rsidR="00507ED4" w:rsidRPr="00507ED4">
        <w:rPr>
          <w:rFonts w:asciiTheme="minorHAnsi" w:hAnsiTheme="minorHAnsi" w:cs="Calibri"/>
          <w:i/>
          <w:sz w:val="24"/>
        </w:rPr>
        <w:t xml:space="preserve">Transfery </w:t>
      </w:r>
      <w:r w:rsidRPr="00D67503">
        <w:rPr>
          <w:rFonts w:asciiTheme="minorHAnsi" w:hAnsiTheme="minorHAnsi" w:cs="Calibri"/>
          <w:sz w:val="24"/>
        </w:rPr>
        <w:t>a v souvislosti s</w:t>
      </w:r>
      <w:r w:rsidR="00507ED4">
        <w:rPr>
          <w:rFonts w:asciiTheme="minorHAnsi" w:hAnsiTheme="minorHAnsi" w:cs="Calibri"/>
          <w:sz w:val="24"/>
        </w:rPr>
        <w:t> </w:t>
      </w:r>
      <w:r w:rsidRPr="00D67503">
        <w:rPr>
          <w:rFonts w:asciiTheme="minorHAnsi" w:hAnsiTheme="minorHAnsi" w:cs="Calibri"/>
          <w:sz w:val="24"/>
        </w:rPr>
        <w:t xml:space="preserve">přijetím transferu na příjmový účet účtovalo jako zprostředkovatel transferu prostřednictvím účtu </w:t>
      </w:r>
      <w:r w:rsidRPr="000007E5">
        <w:rPr>
          <w:rFonts w:asciiTheme="minorHAnsi" w:hAnsiTheme="minorHAnsi" w:cs="Calibri"/>
          <w:sz w:val="24"/>
        </w:rPr>
        <w:t>372 –</w:t>
      </w:r>
      <w:r w:rsidRPr="00507ED4">
        <w:rPr>
          <w:rFonts w:asciiTheme="minorHAnsi" w:hAnsiTheme="minorHAnsi" w:cs="Calibri"/>
          <w:i/>
          <w:sz w:val="24"/>
        </w:rPr>
        <w:t xml:space="preserve"> Krátkodobé závazky z nástrojů spolufinancovaných ze zahraničí</w:t>
      </w:r>
      <w:r>
        <w:rPr>
          <w:rFonts w:asciiTheme="minorHAnsi" w:hAnsiTheme="minorHAnsi" w:cs="Calibri"/>
          <w:sz w:val="24"/>
        </w:rPr>
        <w:t xml:space="preserve">. </w:t>
      </w:r>
      <w:r w:rsidR="00F17446">
        <w:rPr>
          <w:rFonts w:asciiTheme="minorHAnsi" w:hAnsiTheme="minorHAnsi" w:cs="Calibri"/>
          <w:sz w:val="24"/>
        </w:rPr>
        <w:t>Ú</w:t>
      </w:r>
      <w:r>
        <w:rPr>
          <w:rFonts w:asciiTheme="minorHAnsi" w:hAnsiTheme="minorHAnsi" w:cs="Calibri"/>
          <w:sz w:val="24"/>
        </w:rPr>
        <w:t>daje</w:t>
      </w:r>
      <w:r w:rsidR="00F17446">
        <w:rPr>
          <w:rFonts w:asciiTheme="minorHAnsi" w:hAnsiTheme="minorHAnsi" w:cs="Calibri"/>
          <w:sz w:val="24"/>
        </w:rPr>
        <w:t xml:space="preserve"> za zprostředkovatele</w:t>
      </w:r>
      <w:r>
        <w:rPr>
          <w:rFonts w:asciiTheme="minorHAnsi" w:hAnsiTheme="minorHAnsi" w:cs="Calibri"/>
          <w:sz w:val="24"/>
        </w:rPr>
        <w:t xml:space="preserve"> byly tedy </w:t>
      </w:r>
      <w:r w:rsidR="00F17446">
        <w:rPr>
          <w:rFonts w:asciiTheme="minorHAnsi" w:hAnsiTheme="minorHAnsi" w:cs="Calibri"/>
          <w:sz w:val="24"/>
        </w:rPr>
        <w:t>v</w:t>
      </w:r>
      <w:r w:rsidR="009C77C9">
        <w:rPr>
          <w:rFonts w:asciiTheme="minorHAnsi" w:hAnsiTheme="minorHAnsi" w:cs="Calibri"/>
          <w:sz w:val="24"/>
        </w:rPr>
        <w:t xml:space="preserve"> </w:t>
      </w:r>
      <w:r w:rsidR="00F17446">
        <w:rPr>
          <w:rFonts w:asciiTheme="minorHAnsi" w:hAnsiTheme="minorHAnsi" w:cs="Calibri"/>
          <w:sz w:val="24"/>
        </w:rPr>
        <w:t xml:space="preserve">ÚZ </w:t>
      </w:r>
      <w:r>
        <w:rPr>
          <w:rFonts w:asciiTheme="minorHAnsi" w:hAnsiTheme="minorHAnsi" w:cs="Calibri"/>
          <w:sz w:val="24"/>
        </w:rPr>
        <w:t>vykázány pouze rozvahově.</w:t>
      </w:r>
      <w:r w:rsidRPr="00D67503">
        <w:rPr>
          <w:rFonts w:asciiTheme="minorHAnsi" w:hAnsiTheme="minorHAnsi" w:cs="Calibri"/>
          <w:sz w:val="24"/>
        </w:rPr>
        <w:t xml:space="preserve"> Pokud však k</w:t>
      </w:r>
      <w:r w:rsidR="00507ED4">
        <w:rPr>
          <w:rFonts w:asciiTheme="minorHAnsi" w:hAnsiTheme="minorHAnsi" w:cs="Calibri"/>
          <w:sz w:val="24"/>
        </w:rPr>
        <w:t> </w:t>
      </w:r>
      <w:r w:rsidRPr="00D67503">
        <w:rPr>
          <w:rFonts w:asciiTheme="minorHAnsi" w:hAnsiTheme="minorHAnsi" w:cs="Calibri"/>
          <w:sz w:val="24"/>
        </w:rPr>
        <w:t>refundaci peněžních prostředků do konce účetního období nedošlo, zůstalo</w:t>
      </w:r>
      <w:r w:rsidR="00E45CBA" w:rsidRPr="00E45CBA">
        <w:rPr>
          <w:rFonts w:asciiTheme="minorHAnsi" w:hAnsiTheme="minorHAnsi" w:cs="Calibri"/>
          <w:sz w:val="24"/>
        </w:rPr>
        <w:t xml:space="preserve"> </w:t>
      </w:r>
      <w:r w:rsidR="00E45CBA" w:rsidRPr="00D67503">
        <w:rPr>
          <w:rFonts w:asciiTheme="minorHAnsi" w:hAnsiTheme="minorHAnsi" w:cs="Calibri"/>
          <w:sz w:val="24"/>
        </w:rPr>
        <w:t>MK</w:t>
      </w:r>
      <w:r w:rsidRPr="00D67503">
        <w:rPr>
          <w:rFonts w:asciiTheme="minorHAnsi" w:hAnsiTheme="minorHAnsi" w:cs="Calibri"/>
          <w:sz w:val="24"/>
        </w:rPr>
        <w:t xml:space="preserve"> v roli poskytovatele a účtovalo </w:t>
      </w:r>
      <w:r>
        <w:rPr>
          <w:rFonts w:asciiTheme="minorHAnsi" w:hAnsiTheme="minorHAnsi" w:cs="Calibri"/>
          <w:sz w:val="24"/>
        </w:rPr>
        <w:t xml:space="preserve">prostřednictvím účtu </w:t>
      </w:r>
      <w:r w:rsidRPr="000007E5">
        <w:rPr>
          <w:rFonts w:asciiTheme="minorHAnsi" w:hAnsiTheme="minorHAnsi" w:cs="Calibri"/>
          <w:sz w:val="24"/>
        </w:rPr>
        <w:t>571 –</w:t>
      </w:r>
      <w:r w:rsidRPr="00507ED4">
        <w:rPr>
          <w:rFonts w:asciiTheme="minorHAnsi" w:hAnsiTheme="minorHAnsi" w:cs="Calibri"/>
          <w:i/>
          <w:sz w:val="24"/>
        </w:rPr>
        <w:t xml:space="preserve"> Náklady vybraných ústředních vládních institucí na transfery</w:t>
      </w:r>
      <w:r>
        <w:rPr>
          <w:rFonts w:asciiTheme="minorHAnsi" w:hAnsiTheme="minorHAnsi" w:cs="Calibri"/>
          <w:sz w:val="24"/>
        </w:rPr>
        <w:t xml:space="preserve">. </w:t>
      </w:r>
      <w:r w:rsidR="00F17446">
        <w:rPr>
          <w:rFonts w:asciiTheme="minorHAnsi" w:hAnsiTheme="minorHAnsi" w:cs="Calibri"/>
          <w:sz w:val="24"/>
        </w:rPr>
        <w:t>Ú</w:t>
      </w:r>
      <w:r>
        <w:rPr>
          <w:rFonts w:asciiTheme="minorHAnsi" w:hAnsiTheme="minorHAnsi" w:cs="Calibri"/>
          <w:sz w:val="24"/>
        </w:rPr>
        <w:t xml:space="preserve">daje </w:t>
      </w:r>
      <w:r w:rsidR="00F17446">
        <w:rPr>
          <w:rFonts w:asciiTheme="minorHAnsi" w:hAnsiTheme="minorHAnsi" w:cs="Calibri"/>
          <w:sz w:val="24"/>
        </w:rPr>
        <w:t xml:space="preserve">za poskytovatele </w:t>
      </w:r>
      <w:r>
        <w:rPr>
          <w:rFonts w:asciiTheme="minorHAnsi" w:hAnsiTheme="minorHAnsi" w:cs="Calibri"/>
          <w:sz w:val="24"/>
        </w:rPr>
        <w:t xml:space="preserve">tedy byly </w:t>
      </w:r>
      <w:r w:rsidR="00F17446">
        <w:rPr>
          <w:rFonts w:asciiTheme="minorHAnsi" w:hAnsiTheme="minorHAnsi" w:cs="Calibri"/>
          <w:sz w:val="24"/>
        </w:rPr>
        <w:t>v</w:t>
      </w:r>
      <w:r w:rsidR="009C77C9">
        <w:rPr>
          <w:rFonts w:asciiTheme="minorHAnsi" w:hAnsiTheme="minorHAnsi" w:cs="Calibri"/>
          <w:sz w:val="24"/>
        </w:rPr>
        <w:t xml:space="preserve"> </w:t>
      </w:r>
      <w:r w:rsidR="00F17446">
        <w:rPr>
          <w:rFonts w:asciiTheme="minorHAnsi" w:hAnsiTheme="minorHAnsi" w:cs="Calibri"/>
          <w:sz w:val="24"/>
        </w:rPr>
        <w:t xml:space="preserve">ÚZ </w:t>
      </w:r>
      <w:r>
        <w:rPr>
          <w:rFonts w:asciiTheme="minorHAnsi" w:hAnsiTheme="minorHAnsi" w:cs="Calibri"/>
          <w:sz w:val="24"/>
        </w:rPr>
        <w:t>vykázány i výsledkově, tj.</w:t>
      </w:r>
      <w:r w:rsidR="008C3B96">
        <w:rPr>
          <w:rFonts w:asciiTheme="minorHAnsi" w:hAnsiTheme="minorHAnsi" w:cs="Calibri"/>
          <w:sz w:val="24"/>
        </w:rPr>
        <w:t> </w:t>
      </w:r>
      <w:r>
        <w:rPr>
          <w:rFonts w:asciiTheme="minorHAnsi" w:hAnsiTheme="minorHAnsi" w:cs="Calibri"/>
          <w:sz w:val="24"/>
        </w:rPr>
        <w:t>s vlivem na výsledek hospodaření.</w:t>
      </w:r>
      <w:r w:rsidRPr="00D67503">
        <w:rPr>
          <w:rFonts w:asciiTheme="minorHAnsi" w:hAnsiTheme="minorHAnsi" w:cs="Calibri"/>
          <w:sz w:val="24"/>
        </w:rPr>
        <w:t xml:space="preserve"> O přijetí peněžních prostředků v následujícím účetním období pak </w:t>
      </w:r>
      <w:r>
        <w:rPr>
          <w:rFonts w:asciiTheme="minorHAnsi" w:hAnsiTheme="minorHAnsi" w:cs="Calibri"/>
          <w:sz w:val="24"/>
        </w:rPr>
        <w:t xml:space="preserve">MK </w:t>
      </w:r>
      <w:r w:rsidRPr="00D67503">
        <w:rPr>
          <w:rFonts w:asciiTheme="minorHAnsi" w:hAnsiTheme="minorHAnsi" w:cs="Calibri"/>
          <w:sz w:val="24"/>
        </w:rPr>
        <w:t xml:space="preserve">účtovalo </w:t>
      </w:r>
      <w:r w:rsidR="0058675C">
        <w:rPr>
          <w:rFonts w:asciiTheme="minorHAnsi" w:hAnsiTheme="minorHAnsi" w:cs="Calibri"/>
          <w:sz w:val="24"/>
        </w:rPr>
        <w:t>prostřednictvím účtu</w:t>
      </w:r>
      <w:r w:rsidRPr="00D67503">
        <w:rPr>
          <w:rFonts w:asciiTheme="minorHAnsi" w:hAnsiTheme="minorHAnsi" w:cs="Calibri"/>
          <w:sz w:val="24"/>
        </w:rPr>
        <w:t xml:space="preserve"> </w:t>
      </w:r>
      <w:r w:rsidRPr="000007E5">
        <w:rPr>
          <w:rFonts w:asciiTheme="minorHAnsi" w:hAnsiTheme="minorHAnsi" w:cs="Calibri"/>
          <w:sz w:val="24"/>
        </w:rPr>
        <w:t>408 –</w:t>
      </w:r>
      <w:r w:rsidRPr="00507ED4">
        <w:rPr>
          <w:rFonts w:asciiTheme="minorHAnsi" w:hAnsiTheme="minorHAnsi" w:cs="Calibri"/>
          <w:i/>
          <w:sz w:val="24"/>
        </w:rPr>
        <w:t xml:space="preserve"> Opravy minulých období</w:t>
      </w:r>
      <w:r w:rsidRPr="00D67503">
        <w:rPr>
          <w:rFonts w:asciiTheme="minorHAnsi" w:hAnsiTheme="minorHAnsi" w:cs="Calibri"/>
          <w:sz w:val="24"/>
        </w:rPr>
        <w:t>.</w:t>
      </w:r>
      <w:r>
        <w:rPr>
          <w:rFonts w:asciiTheme="minorHAnsi" w:hAnsiTheme="minorHAnsi" w:cs="Calibri"/>
          <w:sz w:val="24"/>
        </w:rPr>
        <w:t xml:space="preserve"> </w:t>
      </w:r>
      <w:r w:rsidRPr="0058675C">
        <w:rPr>
          <w:rFonts w:asciiTheme="minorHAnsi" w:hAnsiTheme="minorHAnsi" w:cs="Calibri"/>
          <w:sz w:val="24"/>
        </w:rPr>
        <w:t>V</w:t>
      </w:r>
      <w:r w:rsidR="009C77C9">
        <w:rPr>
          <w:rFonts w:asciiTheme="minorHAnsi" w:hAnsiTheme="minorHAnsi" w:cs="Calibri"/>
          <w:sz w:val="24"/>
        </w:rPr>
        <w:t xml:space="preserve"> </w:t>
      </w:r>
      <w:r w:rsidRPr="0058675C">
        <w:rPr>
          <w:rFonts w:asciiTheme="minorHAnsi" w:hAnsiTheme="minorHAnsi" w:cs="Calibri"/>
          <w:sz w:val="24"/>
        </w:rPr>
        <w:t xml:space="preserve">roce 2014 MK </w:t>
      </w:r>
      <w:r w:rsidR="0058675C">
        <w:rPr>
          <w:rFonts w:asciiTheme="minorHAnsi" w:hAnsiTheme="minorHAnsi" w:cs="Calibri"/>
          <w:sz w:val="24"/>
        </w:rPr>
        <w:t>v</w:t>
      </w:r>
      <w:r w:rsidR="009C77C9">
        <w:rPr>
          <w:rFonts w:asciiTheme="minorHAnsi" w:hAnsiTheme="minorHAnsi" w:cs="Calibri"/>
          <w:sz w:val="24"/>
        </w:rPr>
        <w:t xml:space="preserve"> </w:t>
      </w:r>
      <w:r w:rsidR="0058675C">
        <w:rPr>
          <w:rFonts w:asciiTheme="minorHAnsi" w:hAnsiTheme="minorHAnsi" w:cs="Calibri"/>
          <w:sz w:val="24"/>
        </w:rPr>
        <w:t>souvislosti s</w:t>
      </w:r>
      <w:r w:rsidR="009C77C9">
        <w:rPr>
          <w:rFonts w:asciiTheme="minorHAnsi" w:hAnsiTheme="minorHAnsi" w:cs="Calibri"/>
          <w:sz w:val="24"/>
        </w:rPr>
        <w:t xml:space="preserve"> </w:t>
      </w:r>
      <w:r w:rsidR="0058675C">
        <w:rPr>
          <w:rFonts w:asciiTheme="minorHAnsi" w:hAnsiTheme="minorHAnsi" w:cs="Calibri"/>
          <w:sz w:val="24"/>
        </w:rPr>
        <w:t xml:space="preserve">refundacemi předfinancovaných transferů </w:t>
      </w:r>
      <w:r w:rsidRPr="0058675C">
        <w:rPr>
          <w:rFonts w:asciiTheme="minorHAnsi" w:hAnsiTheme="minorHAnsi" w:cs="Calibri"/>
          <w:sz w:val="24"/>
        </w:rPr>
        <w:t xml:space="preserve">zaúčtovalo </w:t>
      </w:r>
      <w:r w:rsidR="0058675C">
        <w:rPr>
          <w:rFonts w:asciiTheme="minorHAnsi" w:hAnsiTheme="minorHAnsi" w:cs="Calibri"/>
          <w:sz w:val="24"/>
        </w:rPr>
        <w:t>na</w:t>
      </w:r>
      <w:r w:rsidRPr="0058675C">
        <w:rPr>
          <w:rFonts w:asciiTheme="minorHAnsi" w:hAnsiTheme="minorHAnsi" w:cs="Calibri"/>
          <w:sz w:val="24"/>
        </w:rPr>
        <w:t xml:space="preserve"> úč</w:t>
      </w:r>
      <w:r w:rsidR="0058675C">
        <w:rPr>
          <w:rFonts w:asciiTheme="minorHAnsi" w:hAnsiTheme="minorHAnsi" w:cs="Calibri"/>
          <w:sz w:val="24"/>
        </w:rPr>
        <w:t>e</w:t>
      </w:r>
      <w:r w:rsidRPr="0058675C">
        <w:rPr>
          <w:rFonts w:asciiTheme="minorHAnsi" w:hAnsiTheme="minorHAnsi" w:cs="Calibri"/>
          <w:sz w:val="24"/>
        </w:rPr>
        <w:t>t 408</w:t>
      </w:r>
      <w:r w:rsidR="0058675C">
        <w:rPr>
          <w:rFonts w:asciiTheme="minorHAnsi" w:hAnsiTheme="minorHAnsi" w:cs="Calibri"/>
          <w:sz w:val="24"/>
        </w:rPr>
        <w:t xml:space="preserve"> č</w:t>
      </w:r>
      <w:r w:rsidRPr="0058675C">
        <w:rPr>
          <w:rFonts w:asciiTheme="minorHAnsi" w:hAnsiTheme="minorHAnsi" w:cs="Calibri"/>
          <w:sz w:val="24"/>
        </w:rPr>
        <w:t xml:space="preserve">ástku ve výši </w:t>
      </w:r>
      <w:r w:rsidRPr="0058675C">
        <w:rPr>
          <w:rFonts w:ascii="Calibri" w:hAnsi="Calibri" w:cs="Calibri"/>
          <w:color w:val="000000"/>
          <w:sz w:val="24"/>
        </w:rPr>
        <w:t>1</w:t>
      </w:r>
      <w:r w:rsidR="009C77C9">
        <w:rPr>
          <w:rFonts w:ascii="Calibri" w:hAnsi="Calibri" w:cs="Calibri"/>
          <w:color w:val="000000"/>
          <w:sz w:val="24"/>
        </w:rPr>
        <w:t xml:space="preserve"> </w:t>
      </w:r>
      <w:r w:rsidRPr="0058675C">
        <w:rPr>
          <w:rFonts w:ascii="Calibri" w:hAnsi="Calibri" w:cs="Calibri"/>
          <w:color w:val="000000"/>
          <w:sz w:val="24"/>
        </w:rPr>
        <w:t>164</w:t>
      </w:r>
      <w:r w:rsidR="009C77C9">
        <w:rPr>
          <w:rFonts w:ascii="Calibri" w:hAnsi="Calibri" w:cs="Calibri"/>
          <w:color w:val="000000"/>
          <w:sz w:val="24"/>
        </w:rPr>
        <w:t xml:space="preserve"> </w:t>
      </w:r>
      <w:r w:rsidRPr="0058675C">
        <w:rPr>
          <w:rFonts w:ascii="Calibri" w:hAnsi="Calibri" w:cs="Calibri"/>
          <w:color w:val="000000"/>
          <w:sz w:val="24"/>
        </w:rPr>
        <w:t>648</w:t>
      </w:r>
      <w:r w:rsidR="009C77C9">
        <w:rPr>
          <w:rFonts w:ascii="Calibri" w:hAnsi="Calibri" w:cs="Calibri"/>
          <w:color w:val="000000"/>
          <w:sz w:val="24"/>
        </w:rPr>
        <w:t xml:space="preserve"> </w:t>
      </w:r>
      <w:r w:rsidRPr="0058675C">
        <w:rPr>
          <w:rFonts w:ascii="Calibri" w:hAnsi="Calibri" w:cs="Calibri"/>
          <w:color w:val="000000"/>
          <w:sz w:val="24"/>
        </w:rPr>
        <w:t>209,39 Kč.</w:t>
      </w:r>
    </w:p>
    <w:p w:rsidR="00FC0A70" w:rsidRPr="00543487" w:rsidRDefault="00FC0A70" w:rsidP="00A82ED8">
      <w:pPr>
        <w:pStyle w:val="NormlnKZ"/>
        <w:spacing w:after="0"/>
        <w:ind w:firstLine="0"/>
        <w:rPr>
          <w:rFonts w:asciiTheme="minorHAnsi" w:hAnsiTheme="minorHAnsi" w:cstheme="minorHAnsi"/>
          <w:sz w:val="24"/>
        </w:rPr>
      </w:pPr>
    </w:p>
    <w:p w:rsidR="00FC0A70" w:rsidRDefault="00FC0A70" w:rsidP="00A82ED8">
      <w:pPr>
        <w:pStyle w:val="NormlnKZ"/>
        <w:spacing w:after="0"/>
        <w:ind w:firstLine="0"/>
        <w:rPr>
          <w:rFonts w:asciiTheme="minorHAnsi" w:hAnsiTheme="minorHAnsi" w:cstheme="minorHAnsi"/>
          <w:sz w:val="24"/>
        </w:rPr>
      </w:pPr>
      <w:r w:rsidRPr="00FC0A70">
        <w:rPr>
          <w:rFonts w:asciiTheme="minorHAnsi" w:hAnsiTheme="minorHAnsi" w:cstheme="minorHAnsi"/>
          <w:sz w:val="24"/>
        </w:rPr>
        <w:t xml:space="preserve">Z výše uvedeného vyplývá, že MK při účtování spolufinancovaných transferů nesprávně kombinovalo účetní </w:t>
      </w:r>
      <w:r w:rsidR="00EC3B9C">
        <w:rPr>
          <w:rFonts w:asciiTheme="minorHAnsi" w:hAnsiTheme="minorHAnsi" w:cstheme="minorHAnsi"/>
          <w:sz w:val="24"/>
        </w:rPr>
        <w:t>postupy</w:t>
      </w:r>
      <w:r w:rsidRPr="00FC0A70">
        <w:rPr>
          <w:rFonts w:asciiTheme="minorHAnsi" w:hAnsiTheme="minorHAnsi" w:cstheme="minorHAnsi"/>
          <w:sz w:val="24"/>
        </w:rPr>
        <w:t xml:space="preserve"> stanovené ČÚS č. 703 </w:t>
      </w:r>
      <w:r w:rsidR="00507ED4">
        <w:rPr>
          <w:rFonts w:asciiTheme="minorHAnsi" w:hAnsiTheme="minorHAnsi" w:cstheme="minorHAnsi"/>
          <w:sz w:val="24"/>
        </w:rPr>
        <w:t xml:space="preserve">– </w:t>
      </w:r>
      <w:r w:rsidR="00507ED4" w:rsidRPr="00507ED4">
        <w:rPr>
          <w:rFonts w:asciiTheme="minorHAnsi" w:hAnsiTheme="minorHAnsi" w:cstheme="minorHAnsi"/>
          <w:i/>
          <w:sz w:val="24"/>
        </w:rPr>
        <w:t xml:space="preserve">Transfery </w:t>
      </w:r>
      <w:r w:rsidRPr="00FC0A70">
        <w:rPr>
          <w:rFonts w:asciiTheme="minorHAnsi" w:hAnsiTheme="minorHAnsi" w:cstheme="minorHAnsi"/>
          <w:sz w:val="24"/>
        </w:rPr>
        <w:t xml:space="preserve">pro zprostředkovatele a pro poskytovatele/příjemce transferu, přičemž </w:t>
      </w:r>
      <w:r w:rsidR="00472D68">
        <w:rPr>
          <w:rFonts w:asciiTheme="minorHAnsi" w:hAnsiTheme="minorHAnsi" w:cstheme="minorHAnsi"/>
          <w:sz w:val="24"/>
        </w:rPr>
        <w:t>kombinování</w:t>
      </w:r>
      <w:r w:rsidRPr="00FC0A70">
        <w:rPr>
          <w:rFonts w:asciiTheme="minorHAnsi" w:hAnsiTheme="minorHAnsi" w:cstheme="minorHAnsi"/>
          <w:sz w:val="24"/>
        </w:rPr>
        <w:t xml:space="preserve"> použitých </w:t>
      </w:r>
      <w:r w:rsidR="00EC3B9C">
        <w:rPr>
          <w:rFonts w:asciiTheme="minorHAnsi" w:hAnsiTheme="minorHAnsi" w:cstheme="minorHAnsi"/>
          <w:sz w:val="24"/>
        </w:rPr>
        <w:t>postupů</w:t>
      </w:r>
      <w:r w:rsidRPr="00FC0A70">
        <w:rPr>
          <w:rFonts w:asciiTheme="minorHAnsi" w:hAnsiTheme="minorHAnsi" w:cstheme="minorHAnsi"/>
          <w:sz w:val="24"/>
        </w:rPr>
        <w:t xml:space="preserve"> vedl</w:t>
      </w:r>
      <w:r w:rsidR="00472D68">
        <w:rPr>
          <w:rFonts w:asciiTheme="minorHAnsi" w:hAnsiTheme="minorHAnsi" w:cstheme="minorHAnsi"/>
          <w:sz w:val="24"/>
        </w:rPr>
        <w:t>o</w:t>
      </w:r>
      <w:r w:rsidRPr="00FC0A70">
        <w:rPr>
          <w:rFonts w:asciiTheme="minorHAnsi" w:hAnsiTheme="minorHAnsi" w:cstheme="minorHAnsi"/>
          <w:sz w:val="24"/>
        </w:rPr>
        <w:t xml:space="preserve"> k odlišným hodnotám vykázaného hospodářského výsledku za rok 2014 a ovlivnil</w:t>
      </w:r>
      <w:r w:rsidR="00472D68">
        <w:rPr>
          <w:rFonts w:asciiTheme="minorHAnsi" w:hAnsiTheme="minorHAnsi" w:cstheme="minorHAnsi"/>
          <w:sz w:val="24"/>
        </w:rPr>
        <w:t>o</w:t>
      </w:r>
      <w:r w:rsidRPr="00FC0A70">
        <w:rPr>
          <w:rFonts w:asciiTheme="minorHAnsi" w:hAnsiTheme="minorHAnsi" w:cstheme="minorHAnsi"/>
          <w:sz w:val="24"/>
        </w:rPr>
        <w:t xml:space="preserve"> zůstatky </w:t>
      </w:r>
      <w:r w:rsidR="00472D68">
        <w:rPr>
          <w:rFonts w:asciiTheme="minorHAnsi" w:hAnsiTheme="minorHAnsi" w:cstheme="minorHAnsi"/>
          <w:sz w:val="24"/>
        </w:rPr>
        <w:t>mnoha</w:t>
      </w:r>
      <w:r w:rsidRPr="00FC0A70">
        <w:rPr>
          <w:rFonts w:asciiTheme="minorHAnsi" w:hAnsiTheme="minorHAnsi" w:cstheme="minorHAnsi"/>
          <w:sz w:val="24"/>
        </w:rPr>
        <w:t xml:space="preserve"> účtů vykázané k 31. 12. 2014 (viz </w:t>
      </w:r>
      <w:r>
        <w:rPr>
          <w:rFonts w:asciiTheme="minorHAnsi" w:hAnsiTheme="minorHAnsi" w:cstheme="minorHAnsi"/>
          <w:sz w:val="24"/>
        </w:rPr>
        <w:t xml:space="preserve">část III.1 </w:t>
      </w:r>
      <w:r w:rsidR="000007E5">
        <w:rPr>
          <w:rFonts w:asciiTheme="minorHAnsi" w:hAnsiTheme="minorHAnsi" w:cstheme="minorHAnsi"/>
          <w:sz w:val="24"/>
        </w:rPr>
        <w:t xml:space="preserve">tohoto </w:t>
      </w:r>
      <w:r>
        <w:rPr>
          <w:rFonts w:asciiTheme="minorHAnsi" w:hAnsiTheme="minorHAnsi" w:cstheme="minorHAnsi"/>
          <w:sz w:val="24"/>
        </w:rPr>
        <w:t>kontrolního závěru</w:t>
      </w:r>
      <w:r w:rsidRPr="00FC0A70">
        <w:rPr>
          <w:rFonts w:asciiTheme="minorHAnsi" w:hAnsiTheme="minorHAnsi" w:cstheme="minorHAnsi"/>
          <w:sz w:val="24"/>
        </w:rPr>
        <w:t>).</w:t>
      </w:r>
    </w:p>
    <w:p w:rsidR="00FC0A70" w:rsidRDefault="00FC0A70" w:rsidP="00A82ED8">
      <w:pPr>
        <w:pStyle w:val="NormlnKZ"/>
        <w:spacing w:after="0"/>
        <w:ind w:firstLine="0"/>
        <w:rPr>
          <w:rFonts w:asciiTheme="minorHAnsi" w:hAnsiTheme="minorHAnsi" w:cstheme="minorHAnsi"/>
          <w:sz w:val="24"/>
        </w:rPr>
      </w:pPr>
    </w:p>
    <w:p w:rsidR="00FC0A70" w:rsidRDefault="00FC0A70" w:rsidP="00A82ED8">
      <w:pPr>
        <w:pStyle w:val="NormlnKZ"/>
        <w:spacing w:after="0"/>
        <w:ind w:firstLine="0"/>
        <w:rPr>
          <w:rFonts w:asciiTheme="minorHAnsi" w:hAnsiTheme="minorHAnsi" w:cstheme="minorHAnsi"/>
          <w:sz w:val="24"/>
        </w:rPr>
      </w:pPr>
      <w:r w:rsidRPr="00FC0A70">
        <w:rPr>
          <w:rFonts w:asciiTheme="minorHAnsi" w:hAnsiTheme="minorHAnsi" w:cstheme="minorHAnsi"/>
          <w:sz w:val="24"/>
        </w:rPr>
        <w:t xml:space="preserve">Přestože lze z ČÚS č. 703 </w:t>
      </w:r>
      <w:r w:rsidR="00507ED4">
        <w:rPr>
          <w:rFonts w:asciiTheme="minorHAnsi" w:hAnsiTheme="minorHAnsi" w:cstheme="minorHAnsi"/>
          <w:sz w:val="24"/>
        </w:rPr>
        <w:t xml:space="preserve">– </w:t>
      </w:r>
      <w:r w:rsidR="00507ED4" w:rsidRPr="00507ED4">
        <w:rPr>
          <w:rFonts w:asciiTheme="minorHAnsi" w:hAnsiTheme="minorHAnsi" w:cstheme="minorHAnsi"/>
          <w:i/>
          <w:sz w:val="24"/>
        </w:rPr>
        <w:t>Transfery</w:t>
      </w:r>
      <w:r w:rsidR="00507ED4">
        <w:rPr>
          <w:rFonts w:asciiTheme="minorHAnsi" w:hAnsiTheme="minorHAnsi" w:cstheme="minorHAnsi"/>
          <w:sz w:val="24"/>
        </w:rPr>
        <w:t xml:space="preserve"> </w:t>
      </w:r>
      <w:r w:rsidR="00472D68">
        <w:rPr>
          <w:rFonts w:asciiTheme="minorHAnsi" w:hAnsiTheme="minorHAnsi" w:cstheme="minorHAnsi"/>
          <w:sz w:val="24"/>
        </w:rPr>
        <w:t xml:space="preserve">ve znění účinném </w:t>
      </w:r>
      <w:r w:rsidRPr="00FC0A70">
        <w:rPr>
          <w:rFonts w:asciiTheme="minorHAnsi" w:hAnsiTheme="minorHAnsi" w:cstheme="minorHAnsi"/>
          <w:sz w:val="24"/>
        </w:rPr>
        <w:t xml:space="preserve">pro rok 2014 vyvozovat různé výklady účtování o předfinancování prostředků EU a FM EHP, ani jeden z uvedených postupů nestanovuje účtování na účtu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sidRPr="00FC0A70">
        <w:rPr>
          <w:rFonts w:asciiTheme="minorHAnsi" w:hAnsiTheme="minorHAnsi" w:cstheme="minorHAnsi"/>
          <w:sz w:val="24"/>
        </w:rPr>
        <w:t xml:space="preserve">. MK tím, že prostředky přijaté </w:t>
      </w:r>
      <w:r w:rsidRPr="00FC0A70">
        <w:rPr>
          <w:rFonts w:asciiTheme="minorHAnsi" w:hAnsiTheme="minorHAnsi" w:cstheme="minorHAnsi"/>
          <w:sz w:val="24"/>
        </w:rPr>
        <w:lastRenderedPageBreak/>
        <w:t>jako refundaci předfinancov</w:t>
      </w:r>
      <w:r w:rsidR="00472D68">
        <w:rPr>
          <w:rFonts w:asciiTheme="minorHAnsi" w:hAnsiTheme="minorHAnsi" w:cstheme="minorHAnsi"/>
          <w:sz w:val="24"/>
        </w:rPr>
        <w:t>ání</w:t>
      </w:r>
      <w:r w:rsidRPr="00FC0A70">
        <w:rPr>
          <w:rFonts w:asciiTheme="minorHAnsi" w:hAnsiTheme="minorHAnsi" w:cstheme="minorHAnsi"/>
          <w:sz w:val="24"/>
        </w:rPr>
        <w:t xml:space="preserve"> prostředků </w:t>
      </w:r>
      <w:r w:rsidR="00472D68">
        <w:rPr>
          <w:rFonts w:asciiTheme="minorHAnsi" w:hAnsiTheme="minorHAnsi" w:cstheme="minorHAnsi"/>
          <w:sz w:val="24"/>
        </w:rPr>
        <w:t xml:space="preserve">spolufinancovaných </w:t>
      </w:r>
      <w:r w:rsidRPr="00FC0A70">
        <w:rPr>
          <w:rFonts w:asciiTheme="minorHAnsi" w:hAnsiTheme="minorHAnsi" w:cstheme="minorHAnsi"/>
          <w:sz w:val="24"/>
        </w:rPr>
        <w:t xml:space="preserve">z EU a FM EHP zaúčtovalo prostřednictvím účtu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sidRPr="00FC0A70">
        <w:rPr>
          <w:rFonts w:asciiTheme="minorHAnsi" w:hAnsiTheme="minorHAnsi" w:cstheme="minorHAnsi"/>
          <w:sz w:val="24"/>
        </w:rPr>
        <w:t>, nevedlo správné účetnictví</w:t>
      </w:r>
      <w:r>
        <w:rPr>
          <w:rFonts w:asciiTheme="minorHAnsi" w:hAnsiTheme="minorHAnsi" w:cstheme="minorHAnsi"/>
          <w:sz w:val="24"/>
        </w:rPr>
        <w:t>.</w:t>
      </w:r>
    </w:p>
    <w:p w:rsidR="00FC0A70" w:rsidRDefault="00FC0A70" w:rsidP="00A82ED8">
      <w:pPr>
        <w:pStyle w:val="NormlnKZ"/>
        <w:spacing w:after="0"/>
        <w:ind w:firstLine="0"/>
        <w:rPr>
          <w:rFonts w:asciiTheme="minorHAnsi" w:hAnsiTheme="minorHAnsi" w:cstheme="minorHAnsi"/>
          <w:sz w:val="24"/>
        </w:rPr>
      </w:pPr>
    </w:p>
    <w:p w:rsidR="00FC0A70" w:rsidRDefault="00FC0A70" w:rsidP="00A82ED8">
      <w:pPr>
        <w:pStyle w:val="NormlnKZ"/>
        <w:spacing w:after="0"/>
        <w:ind w:firstLine="0"/>
        <w:rPr>
          <w:rFonts w:asciiTheme="minorHAnsi" w:hAnsiTheme="minorHAnsi" w:cstheme="minorHAnsi"/>
          <w:sz w:val="24"/>
        </w:rPr>
      </w:pPr>
      <w:r w:rsidRPr="00FC0A70">
        <w:rPr>
          <w:rFonts w:asciiTheme="minorHAnsi" w:hAnsiTheme="minorHAnsi" w:cstheme="minorHAnsi"/>
          <w:sz w:val="24"/>
        </w:rPr>
        <w:t xml:space="preserve">Popsané účetní postupy v oblasti předfinancování transferů, </w:t>
      </w:r>
      <w:r w:rsidR="000A3ABC">
        <w:rPr>
          <w:rFonts w:asciiTheme="minorHAnsi" w:hAnsiTheme="minorHAnsi" w:cstheme="minorHAnsi"/>
          <w:sz w:val="24"/>
        </w:rPr>
        <w:t>kdy</w:t>
      </w:r>
      <w:r w:rsidRPr="00FC0A70">
        <w:rPr>
          <w:rFonts w:asciiTheme="minorHAnsi" w:hAnsiTheme="minorHAnsi" w:cstheme="minorHAnsi"/>
          <w:sz w:val="24"/>
        </w:rPr>
        <w:t xml:space="preserve"> v následujícím období </w:t>
      </w:r>
      <w:r w:rsidR="000A3ABC">
        <w:rPr>
          <w:rFonts w:asciiTheme="minorHAnsi" w:hAnsiTheme="minorHAnsi" w:cstheme="minorHAnsi"/>
          <w:sz w:val="24"/>
        </w:rPr>
        <w:t xml:space="preserve">docházelo k opravám </w:t>
      </w:r>
      <w:r w:rsidRPr="00FC0A70">
        <w:rPr>
          <w:rFonts w:asciiTheme="minorHAnsi" w:hAnsiTheme="minorHAnsi" w:cstheme="minorHAnsi"/>
          <w:sz w:val="24"/>
        </w:rPr>
        <w:t xml:space="preserve">přes účet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sidRPr="00FC0A70">
        <w:rPr>
          <w:rFonts w:asciiTheme="minorHAnsi" w:hAnsiTheme="minorHAnsi" w:cstheme="minorHAnsi"/>
          <w:sz w:val="24"/>
        </w:rPr>
        <w:t>, mělo MK nastavené</w:t>
      </w:r>
      <w:r w:rsidR="000A3ABC">
        <w:rPr>
          <w:rFonts w:asciiTheme="minorHAnsi" w:hAnsiTheme="minorHAnsi" w:cstheme="minorHAnsi"/>
          <w:sz w:val="24"/>
        </w:rPr>
        <w:t xml:space="preserve"> od roku 2011,</w:t>
      </w:r>
      <w:r w:rsidRPr="00FC0A70">
        <w:rPr>
          <w:rFonts w:asciiTheme="minorHAnsi" w:hAnsiTheme="minorHAnsi" w:cstheme="minorHAnsi"/>
          <w:sz w:val="24"/>
        </w:rPr>
        <w:t xml:space="preserve"> </w:t>
      </w:r>
      <w:r w:rsidR="000A3ABC">
        <w:rPr>
          <w:rFonts w:asciiTheme="minorHAnsi" w:hAnsiTheme="minorHAnsi" w:cstheme="minorHAnsi"/>
          <w:sz w:val="24"/>
        </w:rPr>
        <w:t xml:space="preserve">jak lze odvodit </w:t>
      </w:r>
      <w:r w:rsidRPr="00FC0A70">
        <w:rPr>
          <w:rFonts w:asciiTheme="minorHAnsi" w:hAnsiTheme="minorHAnsi" w:cstheme="minorHAnsi"/>
          <w:sz w:val="24"/>
        </w:rPr>
        <w:t xml:space="preserve">dle údajů uvedených v přílohách ÚZ zveřejněných v jednotlivých letech </w:t>
      </w:r>
      <w:r w:rsidR="000A3ABC">
        <w:rPr>
          <w:rFonts w:asciiTheme="minorHAnsi" w:hAnsiTheme="minorHAnsi" w:cstheme="minorHAnsi"/>
          <w:sz w:val="24"/>
        </w:rPr>
        <w:t>v informačním systému</w:t>
      </w:r>
      <w:r w:rsidRPr="00FC0A70">
        <w:rPr>
          <w:rFonts w:asciiTheme="minorHAnsi" w:hAnsiTheme="minorHAnsi" w:cstheme="minorHAnsi"/>
          <w:sz w:val="24"/>
        </w:rPr>
        <w:t xml:space="preserve"> státní pokladny</w:t>
      </w:r>
      <w:r w:rsidR="000A3ABC">
        <w:rPr>
          <w:rFonts w:asciiTheme="minorHAnsi" w:hAnsiTheme="minorHAnsi" w:cstheme="minorHAnsi"/>
          <w:sz w:val="24"/>
        </w:rPr>
        <w:t xml:space="preserve"> MONITOR</w:t>
      </w:r>
      <w:r w:rsidRPr="00FC0A70">
        <w:rPr>
          <w:rFonts w:asciiTheme="minorHAnsi" w:hAnsiTheme="minorHAnsi" w:cstheme="minorHAnsi"/>
          <w:sz w:val="24"/>
        </w:rPr>
        <w:t xml:space="preserve">. Od roku 2012 MK v přílohách </w:t>
      </w:r>
      <w:r w:rsidR="000A3ABC">
        <w:rPr>
          <w:rFonts w:asciiTheme="minorHAnsi" w:hAnsiTheme="minorHAnsi" w:cstheme="minorHAnsi"/>
          <w:sz w:val="24"/>
        </w:rPr>
        <w:t>účetních závěrek</w:t>
      </w:r>
      <w:r w:rsidRPr="00FC0A70">
        <w:rPr>
          <w:rFonts w:asciiTheme="minorHAnsi" w:hAnsiTheme="minorHAnsi" w:cstheme="minorHAnsi"/>
          <w:sz w:val="24"/>
        </w:rPr>
        <w:t xml:space="preserve"> v části E.1 u</w:t>
      </w:r>
      <w:r w:rsidR="004E028A">
        <w:rPr>
          <w:rFonts w:asciiTheme="minorHAnsi" w:hAnsiTheme="minorHAnsi" w:cstheme="minorHAnsi"/>
          <w:sz w:val="24"/>
        </w:rPr>
        <w:t> </w:t>
      </w:r>
      <w:r w:rsidRPr="00FC0A70">
        <w:rPr>
          <w:rFonts w:asciiTheme="minorHAnsi" w:hAnsiTheme="minorHAnsi" w:cstheme="minorHAnsi"/>
          <w:sz w:val="24"/>
        </w:rPr>
        <w:t>položky C.</w:t>
      </w:r>
      <w:r w:rsidR="004130EA">
        <w:rPr>
          <w:rFonts w:asciiTheme="minorHAnsi" w:hAnsiTheme="minorHAnsi" w:cstheme="minorHAnsi"/>
          <w:sz w:val="24"/>
        </w:rPr>
        <w:t>I</w:t>
      </w:r>
      <w:r w:rsidRPr="00FC0A70">
        <w:rPr>
          <w:rFonts w:asciiTheme="minorHAnsi" w:hAnsiTheme="minorHAnsi" w:cstheme="minorHAnsi"/>
          <w:sz w:val="24"/>
        </w:rPr>
        <w:t xml:space="preserve">.7 komentuje, že na účet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sidRPr="00FC0A70">
        <w:rPr>
          <w:rFonts w:asciiTheme="minorHAnsi" w:hAnsiTheme="minorHAnsi" w:cstheme="minorHAnsi"/>
          <w:sz w:val="24"/>
        </w:rPr>
        <w:t xml:space="preserve"> účtuje „</w:t>
      </w:r>
      <w:r w:rsidRPr="000A3ABC">
        <w:rPr>
          <w:rFonts w:asciiTheme="minorHAnsi" w:hAnsiTheme="minorHAnsi" w:cstheme="minorHAnsi"/>
          <w:i/>
          <w:sz w:val="24"/>
        </w:rPr>
        <w:t>přijaté náhrady na průtokové transfery, které byly zafinancovány v minulých letech</w:t>
      </w:r>
      <w:r w:rsidRPr="00FC0A70">
        <w:rPr>
          <w:rFonts w:asciiTheme="minorHAnsi" w:hAnsiTheme="minorHAnsi" w:cstheme="minorHAnsi"/>
          <w:sz w:val="24"/>
        </w:rPr>
        <w:t xml:space="preserve">“. Obdobné systematicky používané účtování předfinancovaných transferů </w:t>
      </w:r>
      <w:r>
        <w:rPr>
          <w:rFonts w:asciiTheme="minorHAnsi" w:hAnsiTheme="minorHAnsi" w:cstheme="minorHAnsi"/>
          <w:sz w:val="24"/>
        </w:rPr>
        <w:t xml:space="preserve">prostřednictvím účtu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Pr>
          <w:rFonts w:asciiTheme="minorHAnsi" w:hAnsiTheme="minorHAnsi" w:cstheme="minorHAnsi"/>
          <w:sz w:val="24"/>
        </w:rPr>
        <w:t xml:space="preserve"> </w:t>
      </w:r>
      <w:r w:rsidRPr="00FC0A70">
        <w:rPr>
          <w:rFonts w:asciiTheme="minorHAnsi" w:hAnsiTheme="minorHAnsi" w:cstheme="minorHAnsi"/>
          <w:sz w:val="24"/>
        </w:rPr>
        <w:t xml:space="preserve">však žádný předpis upravující účetnictví vybraných účetních jednotek nepředpokládá. Navíc komentář v </w:t>
      </w:r>
      <w:r w:rsidR="000007E5">
        <w:rPr>
          <w:rFonts w:asciiTheme="minorHAnsi" w:hAnsiTheme="minorHAnsi" w:cstheme="minorHAnsi"/>
          <w:sz w:val="24"/>
        </w:rPr>
        <w:t>p</w:t>
      </w:r>
      <w:r w:rsidR="004E028A">
        <w:rPr>
          <w:rFonts w:asciiTheme="minorHAnsi" w:hAnsiTheme="minorHAnsi" w:cstheme="minorHAnsi"/>
          <w:sz w:val="24"/>
        </w:rPr>
        <w:t>říloze ÚZ sestavené k</w:t>
      </w:r>
      <w:r w:rsidR="00585E57">
        <w:rPr>
          <w:rFonts w:asciiTheme="minorHAnsi" w:hAnsiTheme="minorHAnsi" w:cstheme="minorHAnsi"/>
          <w:sz w:val="24"/>
        </w:rPr>
        <w:t> </w:t>
      </w:r>
      <w:r w:rsidR="004E028A">
        <w:rPr>
          <w:rFonts w:asciiTheme="minorHAnsi" w:hAnsiTheme="minorHAnsi" w:cstheme="minorHAnsi"/>
          <w:sz w:val="24"/>
        </w:rPr>
        <w:t>31. </w:t>
      </w:r>
      <w:r w:rsidRPr="00FC0A70">
        <w:rPr>
          <w:rFonts w:asciiTheme="minorHAnsi" w:hAnsiTheme="minorHAnsi" w:cstheme="minorHAnsi"/>
          <w:sz w:val="24"/>
        </w:rPr>
        <w:t>12.</w:t>
      </w:r>
      <w:r w:rsidR="004E028A">
        <w:rPr>
          <w:rFonts w:asciiTheme="minorHAnsi" w:hAnsiTheme="minorHAnsi" w:cstheme="minorHAnsi"/>
          <w:sz w:val="24"/>
        </w:rPr>
        <w:t> </w:t>
      </w:r>
      <w:r w:rsidRPr="00FC0A70">
        <w:rPr>
          <w:rFonts w:asciiTheme="minorHAnsi" w:hAnsiTheme="minorHAnsi" w:cstheme="minorHAnsi"/>
          <w:sz w:val="24"/>
        </w:rPr>
        <w:t>2014 v části E.1 u položky C.</w:t>
      </w:r>
      <w:r w:rsidR="004130EA">
        <w:rPr>
          <w:rFonts w:asciiTheme="minorHAnsi" w:hAnsiTheme="minorHAnsi" w:cstheme="minorHAnsi"/>
          <w:sz w:val="24"/>
        </w:rPr>
        <w:t>I</w:t>
      </w:r>
      <w:r w:rsidRPr="00FC0A70">
        <w:rPr>
          <w:rFonts w:asciiTheme="minorHAnsi" w:hAnsiTheme="minorHAnsi" w:cstheme="minorHAnsi"/>
          <w:sz w:val="24"/>
        </w:rPr>
        <w:t>.7 nebyl správný</w:t>
      </w:r>
      <w:r>
        <w:rPr>
          <w:rFonts w:asciiTheme="minorHAnsi" w:hAnsiTheme="minorHAnsi" w:cstheme="minorHAnsi"/>
          <w:sz w:val="24"/>
        </w:rPr>
        <w:t>. MK uvedlo, že na položce C.</w:t>
      </w:r>
      <w:r w:rsidR="004130EA">
        <w:rPr>
          <w:rFonts w:asciiTheme="minorHAnsi" w:hAnsiTheme="minorHAnsi" w:cstheme="minorHAnsi"/>
          <w:sz w:val="24"/>
        </w:rPr>
        <w:t>I</w:t>
      </w:r>
      <w:r>
        <w:rPr>
          <w:rFonts w:asciiTheme="minorHAnsi" w:hAnsiTheme="minorHAnsi" w:cstheme="minorHAnsi"/>
          <w:sz w:val="24"/>
        </w:rPr>
        <w:t>.7 je vykázána částka 1</w:t>
      </w:r>
      <w:r w:rsidR="009C77C9">
        <w:rPr>
          <w:rFonts w:asciiTheme="minorHAnsi" w:hAnsiTheme="minorHAnsi" w:cstheme="minorHAnsi"/>
          <w:sz w:val="24"/>
        </w:rPr>
        <w:t> </w:t>
      </w:r>
      <w:r>
        <w:rPr>
          <w:rFonts w:asciiTheme="minorHAnsi" w:hAnsiTheme="minorHAnsi" w:cstheme="minorHAnsi"/>
          <w:sz w:val="24"/>
        </w:rPr>
        <w:t>889 251 713,30 Kč týkající se předfinancovaných transferů v</w:t>
      </w:r>
      <w:r w:rsidR="009C77C9">
        <w:rPr>
          <w:rFonts w:asciiTheme="minorHAnsi" w:hAnsiTheme="minorHAnsi" w:cstheme="minorHAnsi"/>
          <w:sz w:val="24"/>
        </w:rPr>
        <w:t xml:space="preserve"> </w:t>
      </w:r>
      <w:r>
        <w:rPr>
          <w:rFonts w:asciiTheme="minorHAnsi" w:hAnsiTheme="minorHAnsi" w:cstheme="minorHAnsi"/>
          <w:sz w:val="24"/>
        </w:rPr>
        <w:t xml:space="preserve">minulých letech. </w:t>
      </w:r>
      <w:r w:rsidR="00543487" w:rsidRPr="00543487">
        <w:rPr>
          <w:rFonts w:asciiTheme="minorHAnsi" w:hAnsiTheme="minorHAnsi" w:cstheme="minorHAnsi"/>
          <w:sz w:val="24"/>
        </w:rPr>
        <w:t>Analýzou účetních dat od roku 2011 bylo zjištěno</w:t>
      </w:r>
      <w:r w:rsidR="00543487">
        <w:rPr>
          <w:rFonts w:asciiTheme="minorHAnsi" w:hAnsiTheme="minorHAnsi" w:cstheme="minorHAnsi"/>
          <w:sz w:val="24"/>
        </w:rPr>
        <w:t>, že částka týkající se</w:t>
      </w:r>
      <w:r w:rsidR="00EC3B9C">
        <w:rPr>
          <w:rFonts w:asciiTheme="minorHAnsi" w:hAnsiTheme="minorHAnsi" w:cstheme="minorHAnsi"/>
          <w:sz w:val="24"/>
        </w:rPr>
        <w:t xml:space="preserve"> spolufinancovaných transferů by měla být</w:t>
      </w:r>
      <w:r w:rsidR="00543487">
        <w:rPr>
          <w:rFonts w:asciiTheme="minorHAnsi" w:hAnsiTheme="minorHAnsi" w:cstheme="minorHAnsi"/>
          <w:sz w:val="24"/>
        </w:rPr>
        <w:t xml:space="preserve"> o</w:t>
      </w:r>
      <w:r w:rsidR="004E028A">
        <w:rPr>
          <w:rFonts w:asciiTheme="minorHAnsi" w:hAnsiTheme="minorHAnsi" w:cstheme="minorHAnsi"/>
          <w:sz w:val="24"/>
        </w:rPr>
        <w:t> </w:t>
      </w:r>
      <w:r w:rsidR="00543487">
        <w:rPr>
          <w:rFonts w:asciiTheme="minorHAnsi" w:hAnsiTheme="minorHAnsi" w:cstheme="minorHAnsi"/>
          <w:sz w:val="24"/>
        </w:rPr>
        <w:t>420</w:t>
      </w:r>
      <w:r w:rsidR="004E028A">
        <w:rPr>
          <w:rFonts w:asciiTheme="minorHAnsi" w:hAnsiTheme="minorHAnsi" w:cstheme="minorHAnsi"/>
          <w:sz w:val="24"/>
        </w:rPr>
        <w:t> </w:t>
      </w:r>
      <w:r w:rsidR="00543487">
        <w:rPr>
          <w:rFonts w:asciiTheme="minorHAnsi" w:hAnsiTheme="minorHAnsi" w:cstheme="minorHAnsi"/>
          <w:sz w:val="24"/>
        </w:rPr>
        <w:t>944</w:t>
      </w:r>
      <w:r w:rsidR="004E028A">
        <w:rPr>
          <w:rFonts w:asciiTheme="minorHAnsi" w:hAnsiTheme="minorHAnsi" w:cstheme="minorHAnsi"/>
          <w:sz w:val="24"/>
        </w:rPr>
        <w:t> </w:t>
      </w:r>
      <w:r w:rsidR="00543487">
        <w:rPr>
          <w:rFonts w:asciiTheme="minorHAnsi" w:hAnsiTheme="minorHAnsi" w:cstheme="minorHAnsi"/>
          <w:sz w:val="24"/>
        </w:rPr>
        <w:t>817,27 Kč nižší, tj.</w:t>
      </w:r>
      <w:r w:rsidR="009C77C9">
        <w:rPr>
          <w:rFonts w:asciiTheme="minorHAnsi" w:hAnsiTheme="minorHAnsi" w:cstheme="minorHAnsi"/>
          <w:sz w:val="24"/>
        </w:rPr>
        <w:t xml:space="preserve"> </w:t>
      </w:r>
      <w:r w:rsidR="00543487">
        <w:rPr>
          <w:rFonts w:asciiTheme="minorHAnsi" w:hAnsiTheme="minorHAnsi" w:cstheme="minorHAnsi"/>
          <w:sz w:val="24"/>
        </w:rPr>
        <w:t>1</w:t>
      </w:r>
      <w:r w:rsidR="009C77C9">
        <w:rPr>
          <w:rFonts w:asciiTheme="minorHAnsi" w:hAnsiTheme="minorHAnsi" w:cstheme="minorHAnsi"/>
          <w:sz w:val="24"/>
        </w:rPr>
        <w:t xml:space="preserve"> </w:t>
      </w:r>
      <w:r w:rsidR="00543487">
        <w:rPr>
          <w:rFonts w:asciiTheme="minorHAnsi" w:hAnsiTheme="minorHAnsi" w:cstheme="minorHAnsi"/>
          <w:sz w:val="24"/>
        </w:rPr>
        <w:t>468</w:t>
      </w:r>
      <w:r w:rsidR="009C77C9">
        <w:rPr>
          <w:rFonts w:asciiTheme="minorHAnsi" w:hAnsiTheme="minorHAnsi" w:cstheme="minorHAnsi"/>
          <w:sz w:val="24"/>
        </w:rPr>
        <w:t xml:space="preserve"> </w:t>
      </w:r>
      <w:r w:rsidR="00543487">
        <w:rPr>
          <w:rFonts w:asciiTheme="minorHAnsi" w:hAnsiTheme="minorHAnsi" w:cstheme="minorHAnsi"/>
          <w:sz w:val="24"/>
        </w:rPr>
        <w:t>306</w:t>
      </w:r>
      <w:r w:rsidR="009C77C9">
        <w:rPr>
          <w:rFonts w:asciiTheme="minorHAnsi" w:hAnsiTheme="minorHAnsi" w:cstheme="minorHAnsi"/>
          <w:sz w:val="24"/>
        </w:rPr>
        <w:t xml:space="preserve"> </w:t>
      </w:r>
      <w:r w:rsidR="00543487">
        <w:rPr>
          <w:rFonts w:asciiTheme="minorHAnsi" w:hAnsiTheme="minorHAnsi" w:cstheme="minorHAnsi"/>
          <w:sz w:val="24"/>
        </w:rPr>
        <w:t>896,03 Kč.</w:t>
      </w:r>
    </w:p>
    <w:p w:rsidR="0058675C" w:rsidRDefault="0058675C" w:rsidP="00A82ED8">
      <w:pPr>
        <w:pStyle w:val="NormlnKZ"/>
        <w:spacing w:after="0"/>
        <w:ind w:firstLine="0"/>
        <w:rPr>
          <w:rFonts w:asciiTheme="minorHAnsi" w:hAnsiTheme="minorHAnsi" w:cstheme="minorHAnsi"/>
          <w:sz w:val="24"/>
        </w:rPr>
      </w:pPr>
    </w:p>
    <w:p w:rsidR="0058675C" w:rsidRDefault="0058675C" w:rsidP="00A82ED8">
      <w:pPr>
        <w:pStyle w:val="NormlnKZ"/>
        <w:spacing w:after="0"/>
        <w:ind w:firstLine="0"/>
        <w:rPr>
          <w:rFonts w:asciiTheme="minorHAnsi" w:hAnsiTheme="minorHAnsi" w:cstheme="minorHAnsi"/>
          <w:sz w:val="24"/>
        </w:rPr>
      </w:pPr>
      <w:r w:rsidRPr="0058675C">
        <w:rPr>
          <w:rFonts w:asciiTheme="minorHAnsi" w:hAnsiTheme="minorHAnsi" w:cstheme="minorHAnsi"/>
          <w:sz w:val="24"/>
        </w:rPr>
        <w:t xml:space="preserve">MK </w:t>
      </w:r>
      <w:r w:rsidR="000A3ABC" w:rsidRPr="0058675C">
        <w:rPr>
          <w:rFonts w:asciiTheme="minorHAnsi" w:hAnsiTheme="minorHAnsi" w:cstheme="minorHAnsi"/>
          <w:sz w:val="24"/>
        </w:rPr>
        <w:t xml:space="preserve">účtovalo </w:t>
      </w:r>
      <w:r w:rsidRPr="0058675C">
        <w:rPr>
          <w:rFonts w:asciiTheme="minorHAnsi" w:hAnsiTheme="minorHAnsi" w:cstheme="minorHAnsi"/>
          <w:sz w:val="24"/>
        </w:rPr>
        <w:t xml:space="preserve">nesprávně </w:t>
      </w:r>
      <w:r w:rsidR="000A3ABC" w:rsidRPr="0058675C">
        <w:rPr>
          <w:rFonts w:asciiTheme="minorHAnsi" w:hAnsiTheme="minorHAnsi" w:cstheme="minorHAnsi"/>
          <w:sz w:val="24"/>
        </w:rPr>
        <w:t xml:space="preserve">rovněž </w:t>
      </w:r>
      <w:r w:rsidRPr="0058675C">
        <w:rPr>
          <w:rFonts w:asciiTheme="minorHAnsi" w:hAnsiTheme="minorHAnsi" w:cstheme="minorHAnsi"/>
          <w:sz w:val="24"/>
        </w:rPr>
        <w:t xml:space="preserve">v případech, kdy bylo konečným příjemcem transferu spolufinancovaného ze zahraničí, např. </w:t>
      </w:r>
      <w:r>
        <w:rPr>
          <w:rFonts w:asciiTheme="minorHAnsi" w:hAnsiTheme="minorHAnsi" w:cstheme="minorHAnsi"/>
          <w:sz w:val="24"/>
        </w:rPr>
        <w:t>z</w:t>
      </w:r>
      <w:r w:rsidRPr="0058675C">
        <w:rPr>
          <w:rFonts w:asciiTheme="minorHAnsi" w:hAnsiTheme="minorHAnsi" w:cstheme="minorHAnsi"/>
          <w:sz w:val="24"/>
        </w:rPr>
        <w:t xml:space="preserve"> </w:t>
      </w:r>
      <w:r w:rsidRPr="000007E5">
        <w:rPr>
          <w:rFonts w:asciiTheme="minorHAnsi" w:hAnsiTheme="minorHAnsi" w:cstheme="minorHAnsi"/>
          <w:i/>
          <w:sz w:val="24"/>
        </w:rPr>
        <w:t>Integrovaného operačního programu</w:t>
      </w:r>
      <w:r w:rsidRPr="0058675C">
        <w:rPr>
          <w:rFonts w:asciiTheme="minorHAnsi" w:hAnsiTheme="minorHAnsi" w:cstheme="minorHAnsi"/>
          <w:sz w:val="24"/>
        </w:rPr>
        <w:t xml:space="preserve">, </w:t>
      </w:r>
      <w:r w:rsidR="000007E5">
        <w:rPr>
          <w:rFonts w:asciiTheme="minorHAnsi" w:hAnsiTheme="minorHAnsi" w:cstheme="minorHAnsi"/>
          <w:sz w:val="24"/>
        </w:rPr>
        <w:t>o</w:t>
      </w:r>
      <w:r w:rsidRPr="0058675C">
        <w:rPr>
          <w:rFonts w:asciiTheme="minorHAnsi" w:hAnsiTheme="minorHAnsi" w:cstheme="minorHAnsi"/>
          <w:sz w:val="24"/>
        </w:rPr>
        <w:t xml:space="preserve">peračního programu </w:t>
      </w:r>
      <w:r w:rsidRPr="000007E5">
        <w:rPr>
          <w:rFonts w:asciiTheme="minorHAnsi" w:hAnsiTheme="minorHAnsi" w:cstheme="minorHAnsi"/>
          <w:i/>
          <w:sz w:val="24"/>
        </w:rPr>
        <w:t>Lidské zdroje a zaměstnanost</w:t>
      </w:r>
      <w:r w:rsidRPr="0058675C">
        <w:rPr>
          <w:rFonts w:asciiTheme="minorHAnsi" w:hAnsiTheme="minorHAnsi" w:cstheme="minorHAnsi"/>
          <w:sz w:val="24"/>
        </w:rPr>
        <w:t xml:space="preserve"> či z FM EHP. Konečný příjemce transferu dle ČÚS</w:t>
      </w:r>
      <w:r w:rsidR="008C3B96">
        <w:rPr>
          <w:rFonts w:asciiTheme="minorHAnsi" w:hAnsiTheme="minorHAnsi" w:cstheme="minorHAnsi"/>
          <w:sz w:val="24"/>
        </w:rPr>
        <w:t> </w:t>
      </w:r>
      <w:r w:rsidRPr="0058675C">
        <w:rPr>
          <w:rFonts w:asciiTheme="minorHAnsi" w:hAnsiTheme="minorHAnsi" w:cstheme="minorHAnsi"/>
          <w:sz w:val="24"/>
        </w:rPr>
        <w:t>č.</w:t>
      </w:r>
      <w:r w:rsidR="00507ED4">
        <w:rPr>
          <w:rFonts w:asciiTheme="minorHAnsi" w:hAnsiTheme="minorHAnsi" w:cstheme="minorHAnsi"/>
          <w:sz w:val="24"/>
        </w:rPr>
        <w:t> </w:t>
      </w:r>
      <w:r w:rsidRPr="0058675C">
        <w:rPr>
          <w:rFonts w:asciiTheme="minorHAnsi" w:hAnsiTheme="minorHAnsi" w:cstheme="minorHAnsi"/>
          <w:sz w:val="24"/>
        </w:rPr>
        <w:t>703</w:t>
      </w:r>
      <w:r w:rsidR="00507ED4">
        <w:rPr>
          <w:rFonts w:asciiTheme="minorHAnsi" w:hAnsiTheme="minorHAnsi" w:cstheme="minorHAnsi"/>
          <w:sz w:val="24"/>
        </w:rPr>
        <w:t xml:space="preserve"> – </w:t>
      </w:r>
      <w:r w:rsidR="00507ED4" w:rsidRPr="00507ED4">
        <w:rPr>
          <w:rFonts w:asciiTheme="minorHAnsi" w:hAnsiTheme="minorHAnsi" w:cstheme="minorHAnsi"/>
          <w:i/>
          <w:sz w:val="24"/>
        </w:rPr>
        <w:t>Transfery</w:t>
      </w:r>
      <w:r w:rsidR="00507ED4">
        <w:rPr>
          <w:rFonts w:asciiTheme="minorHAnsi" w:hAnsiTheme="minorHAnsi" w:cstheme="minorHAnsi"/>
          <w:sz w:val="24"/>
        </w:rPr>
        <w:t xml:space="preserve"> </w:t>
      </w:r>
      <w:r w:rsidRPr="0058675C">
        <w:rPr>
          <w:rFonts w:asciiTheme="minorHAnsi" w:hAnsiTheme="minorHAnsi" w:cstheme="minorHAnsi"/>
          <w:sz w:val="24"/>
        </w:rPr>
        <w:t xml:space="preserve">účtuje o přijetí peněžních prostředků v případě neinvestičních transferů prostřednictvím účtu </w:t>
      </w:r>
      <w:r w:rsidRPr="000007E5">
        <w:rPr>
          <w:rFonts w:asciiTheme="minorHAnsi" w:hAnsiTheme="minorHAnsi" w:cstheme="minorHAnsi"/>
          <w:sz w:val="24"/>
        </w:rPr>
        <w:t>671 –</w:t>
      </w:r>
      <w:r w:rsidRPr="00507ED4">
        <w:rPr>
          <w:rFonts w:asciiTheme="minorHAnsi" w:hAnsiTheme="minorHAnsi" w:cstheme="minorHAnsi"/>
          <w:i/>
          <w:sz w:val="24"/>
        </w:rPr>
        <w:t xml:space="preserve"> Výnosy vybraných </w:t>
      </w:r>
      <w:r w:rsidR="008C3B96">
        <w:rPr>
          <w:rFonts w:asciiTheme="minorHAnsi" w:hAnsiTheme="minorHAnsi" w:cstheme="minorHAnsi"/>
          <w:i/>
          <w:sz w:val="24"/>
        </w:rPr>
        <w:t>ústředních vládních institucí z </w:t>
      </w:r>
      <w:r w:rsidRPr="00507ED4">
        <w:rPr>
          <w:rFonts w:asciiTheme="minorHAnsi" w:hAnsiTheme="minorHAnsi" w:cstheme="minorHAnsi"/>
          <w:i/>
          <w:sz w:val="24"/>
        </w:rPr>
        <w:t>transferů</w:t>
      </w:r>
      <w:r w:rsidRPr="0058675C">
        <w:rPr>
          <w:rFonts w:asciiTheme="minorHAnsi" w:hAnsiTheme="minorHAnsi" w:cstheme="minorHAnsi"/>
          <w:sz w:val="24"/>
        </w:rPr>
        <w:t xml:space="preserve"> a</w:t>
      </w:r>
      <w:r w:rsidR="00507ED4">
        <w:rPr>
          <w:rFonts w:asciiTheme="minorHAnsi" w:hAnsiTheme="minorHAnsi" w:cstheme="minorHAnsi"/>
          <w:sz w:val="24"/>
        </w:rPr>
        <w:t> </w:t>
      </w:r>
      <w:r w:rsidRPr="0058675C">
        <w:rPr>
          <w:rFonts w:asciiTheme="minorHAnsi" w:hAnsiTheme="minorHAnsi" w:cstheme="minorHAnsi"/>
          <w:sz w:val="24"/>
        </w:rPr>
        <w:t>v</w:t>
      </w:r>
      <w:r w:rsidR="00507ED4">
        <w:rPr>
          <w:rFonts w:asciiTheme="minorHAnsi" w:hAnsiTheme="minorHAnsi" w:cstheme="minorHAnsi"/>
          <w:sz w:val="24"/>
        </w:rPr>
        <w:t> </w:t>
      </w:r>
      <w:r w:rsidRPr="0058675C">
        <w:rPr>
          <w:rFonts w:asciiTheme="minorHAnsi" w:hAnsiTheme="minorHAnsi" w:cstheme="minorHAnsi"/>
          <w:sz w:val="24"/>
        </w:rPr>
        <w:t xml:space="preserve">případě investičních transferů prostřednictvím účtu </w:t>
      </w:r>
      <w:r w:rsidRPr="000007E5">
        <w:rPr>
          <w:rFonts w:asciiTheme="minorHAnsi" w:hAnsiTheme="minorHAnsi" w:cstheme="minorHAnsi"/>
          <w:sz w:val="24"/>
        </w:rPr>
        <w:t>401 –</w:t>
      </w:r>
      <w:r w:rsidRPr="00507ED4">
        <w:rPr>
          <w:rFonts w:asciiTheme="minorHAnsi" w:hAnsiTheme="minorHAnsi" w:cstheme="minorHAnsi"/>
          <w:i/>
          <w:sz w:val="24"/>
        </w:rPr>
        <w:t xml:space="preserve"> Jmění účetní jednotky</w:t>
      </w:r>
      <w:r w:rsidRPr="0058675C">
        <w:rPr>
          <w:rFonts w:asciiTheme="minorHAnsi" w:hAnsiTheme="minorHAnsi" w:cstheme="minorHAnsi"/>
          <w:sz w:val="24"/>
        </w:rPr>
        <w:t>. MK však o přijetí peněžních prostředků v případech, kdy bylo konečným příjemcem transferu, účtovalo prostřednictvím účt</w:t>
      </w:r>
      <w:r w:rsidR="000A3ABC">
        <w:rPr>
          <w:rFonts w:asciiTheme="minorHAnsi" w:hAnsiTheme="minorHAnsi" w:cstheme="minorHAnsi"/>
          <w:sz w:val="24"/>
        </w:rPr>
        <w:t>u</w:t>
      </w:r>
      <w:r w:rsidRPr="0058675C">
        <w:rPr>
          <w:rFonts w:asciiTheme="minorHAnsi" w:hAnsiTheme="minorHAnsi" w:cstheme="minorHAnsi"/>
          <w:sz w:val="24"/>
        </w:rPr>
        <w:t xml:space="preserve"> </w:t>
      </w:r>
      <w:r w:rsidRPr="000007E5">
        <w:rPr>
          <w:rFonts w:asciiTheme="minorHAnsi" w:hAnsiTheme="minorHAnsi" w:cstheme="minorHAnsi"/>
          <w:sz w:val="24"/>
        </w:rPr>
        <w:t>649 –</w:t>
      </w:r>
      <w:r w:rsidRPr="00507ED4">
        <w:rPr>
          <w:rFonts w:asciiTheme="minorHAnsi" w:hAnsiTheme="minorHAnsi" w:cstheme="minorHAnsi"/>
          <w:i/>
          <w:sz w:val="24"/>
        </w:rPr>
        <w:t xml:space="preserve"> Ostatní výnosy z činnosti</w:t>
      </w:r>
      <w:r w:rsidRPr="0058675C">
        <w:rPr>
          <w:rFonts w:asciiTheme="minorHAnsi" w:hAnsiTheme="minorHAnsi" w:cstheme="minorHAnsi"/>
          <w:sz w:val="24"/>
        </w:rPr>
        <w:t xml:space="preserve"> </w:t>
      </w:r>
      <w:r w:rsidR="003241AE">
        <w:rPr>
          <w:rFonts w:asciiTheme="minorHAnsi" w:hAnsiTheme="minorHAnsi" w:cstheme="minorHAnsi"/>
          <w:sz w:val="24"/>
        </w:rPr>
        <w:t xml:space="preserve">(viz také část III.2.6 </w:t>
      </w:r>
      <w:r w:rsidR="000007E5">
        <w:rPr>
          <w:rFonts w:asciiTheme="minorHAnsi" w:hAnsiTheme="minorHAnsi" w:cstheme="minorHAnsi"/>
          <w:sz w:val="24"/>
        </w:rPr>
        <w:t xml:space="preserve">tohoto </w:t>
      </w:r>
      <w:r w:rsidR="003241AE">
        <w:rPr>
          <w:rFonts w:asciiTheme="minorHAnsi" w:hAnsiTheme="minorHAnsi" w:cstheme="minorHAnsi"/>
          <w:sz w:val="24"/>
        </w:rPr>
        <w:t xml:space="preserve">kontrolního závěru) </w:t>
      </w:r>
      <w:r w:rsidRPr="0058675C">
        <w:rPr>
          <w:rFonts w:asciiTheme="minorHAnsi" w:hAnsiTheme="minorHAnsi" w:cstheme="minorHAnsi"/>
          <w:sz w:val="24"/>
        </w:rPr>
        <w:t xml:space="preserve">či prostřednictvím účtu </w:t>
      </w:r>
      <w:r w:rsidRPr="000007E5">
        <w:rPr>
          <w:rFonts w:asciiTheme="minorHAnsi" w:hAnsiTheme="minorHAnsi" w:cstheme="minorHAnsi"/>
          <w:sz w:val="24"/>
        </w:rPr>
        <w:t>408 –</w:t>
      </w:r>
      <w:r w:rsidRPr="00507ED4">
        <w:rPr>
          <w:rFonts w:asciiTheme="minorHAnsi" w:hAnsiTheme="minorHAnsi" w:cstheme="minorHAnsi"/>
          <w:i/>
          <w:sz w:val="24"/>
        </w:rPr>
        <w:t xml:space="preserve"> Opravy </w:t>
      </w:r>
      <w:r w:rsidR="00507ED4" w:rsidRPr="00507ED4">
        <w:rPr>
          <w:rFonts w:asciiTheme="minorHAnsi" w:hAnsiTheme="minorHAnsi" w:cstheme="minorHAnsi"/>
          <w:i/>
          <w:sz w:val="24"/>
        </w:rPr>
        <w:t>minulých období</w:t>
      </w:r>
      <w:r w:rsidRPr="0058675C">
        <w:rPr>
          <w:rFonts w:asciiTheme="minorHAnsi" w:hAnsiTheme="minorHAnsi" w:cstheme="minorHAnsi"/>
          <w:sz w:val="24"/>
        </w:rPr>
        <w:t>.</w:t>
      </w:r>
    </w:p>
    <w:p w:rsidR="00FC0A70" w:rsidRPr="00C01E14" w:rsidRDefault="00FC0A70" w:rsidP="00A82ED8">
      <w:pPr>
        <w:pStyle w:val="NormlnKZ"/>
        <w:spacing w:after="0"/>
        <w:ind w:firstLine="0"/>
        <w:rPr>
          <w:rFonts w:asciiTheme="minorHAnsi" w:hAnsiTheme="minorHAnsi" w:cstheme="minorHAnsi"/>
          <w:sz w:val="24"/>
        </w:rPr>
      </w:pPr>
    </w:p>
    <w:p w:rsidR="00A82ED8" w:rsidRDefault="00A82ED8" w:rsidP="00A82ED8">
      <w:pPr>
        <w:pStyle w:val="NormlnKZ"/>
        <w:spacing w:after="0"/>
        <w:ind w:firstLine="0"/>
        <w:rPr>
          <w:rFonts w:asciiTheme="minorHAnsi" w:hAnsiTheme="minorHAnsi" w:cstheme="minorHAnsi"/>
          <w:b/>
          <w:sz w:val="24"/>
        </w:rPr>
      </w:pPr>
      <w:r>
        <w:rPr>
          <w:rFonts w:asciiTheme="minorHAnsi" w:hAnsiTheme="minorHAnsi" w:cstheme="minorHAnsi"/>
          <w:b/>
          <w:sz w:val="24"/>
        </w:rPr>
        <w:t xml:space="preserve">2.2 </w:t>
      </w:r>
      <w:r w:rsidR="00EB1790">
        <w:rPr>
          <w:rFonts w:asciiTheme="minorHAnsi" w:hAnsiTheme="minorHAnsi" w:cstheme="minorHAnsi"/>
          <w:b/>
          <w:sz w:val="24"/>
        </w:rPr>
        <w:t>Finanční náhrady CNS v</w:t>
      </w:r>
      <w:r w:rsidR="009C77C9">
        <w:rPr>
          <w:rFonts w:asciiTheme="minorHAnsi" w:hAnsiTheme="minorHAnsi" w:cstheme="minorHAnsi"/>
          <w:b/>
          <w:sz w:val="24"/>
        </w:rPr>
        <w:t xml:space="preserve"> </w:t>
      </w:r>
      <w:r w:rsidR="000007E5">
        <w:rPr>
          <w:rFonts w:asciiTheme="minorHAnsi" w:hAnsiTheme="minorHAnsi" w:cstheme="minorHAnsi"/>
          <w:b/>
          <w:sz w:val="24"/>
        </w:rPr>
        <w:t>p</w:t>
      </w:r>
      <w:r w:rsidR="00EB1790">
        <w:rPr>
          <w:rFonts w:asciiTheme="minorHAnsi" w:hAnsiTheme="minorHAnsi" w:cstheme="minorHAnsi"/>
          <w:b/>
          <w:sz w:val="24"/>
        </w:rPr>
        <w:t>řehledu o změnách vlastního kapitálu</w:t>
      </w:r>
    </w:p>
    <w:p w:rsidR="00C01E14" w:rsidRDefault="00C01E14" w:rsidP="00A82ED8">
      <w:pPr>
        <w:pStyle w:val="NormlnKZ"/>
        <w:spacing w:after="0"/>
        <w:ind w:firstLine="0"/>
        <w:rPr>
          <w:rFonts w:asciiTheme="minorHAnsi" w:hAnsiTheme="minorHAnsi" w:cstheme="minorHAnsi"/>
          <w:sz w:val="24"/>
        </w:rPr>
      </w:pPr>
    </w:p>
    <w:p w:rsidR="00997CBE" w:rsidRDefault="00997CBE" w:rsidP="00A82ED8">
      <w:pPr>
        <w:pStyle w:val="NormlnKZ"/>
        <w:spacing w:after="0"/>
        <w:ind w:firstLine="0"/>
        <w:rPr>
          <w:rFonts w:asciiTheme="minorHAnsi" w:hAnsiTheme="minorHAnsi" w:cstheme="minorHAnsi"/>
          <w:sz w:val="24"/>
        </w:rPr>
      </w:pPr>
      <w:r w:rsidRPr="00997CBE">
        <w:rPr>
          <w:rFonts w:asciiTheme="minorHAnsi" w:hAnsiTheme="minorHAnsi" w:cstheme="minorHAnsi"/>
          <w:sz w:val="24"/>
        </w:rPr>
        <w:t>MK</w:t>
      </w:r>
      <w:r w:rsidR="000A3ABC">
        <w:rPr>
          <w:rFonts w:asciiTheme="minorHAnsi" w:hAnsiTheme="minorHAnsi" w:cstheme="minorHAnsi"/>
          <w:sz w:val="24"/>
        </w:rPr>
        <w:t xml:space="preserve"> v přehledu o změnách vlastního kapitálu</w:t>
      </w:r>
      <w:r w:rsidRPr="00997CBE">
        <w:rPr>
          <w:rFonts w:asciiTheme="minorHAnsi" w:hAnsiTheme="minorHAnsi" w:cstheme="minorHAnsi"/>
          <w:sz w:val="24"/>
        </w:rPr>
        <w:t xml:space="preserve"> na položce A.VII.2. </w:t>
      </w:r>
      <w:r w:rsidRPr="00507ED4">
        <w:rPr>
          <w:rFonts w:asciiTheme="minorHAnsi" w:hAnsiTheme="minorHAnsi" w:cstheme="minorHAnsi"/>
          <w:i/>
          <w:sz w:val="24"/>
        </w:rPr>
        <w:t>Opravy předchozích účetních období</w:t>
      </w:r>
      <w:r w:rsidRPr="00997CBE">
        <w:rPr>
          <w:rFonts w:asciiTheme="minorHAnsi" w:hAnsiTheme="minorHAnsi" w:cstheme="minorHAnsi"/>
          <w:sz w:val="24"/>
        </w:rPr>
        <w:t xml:space="preserve"> ve sloupci „</w:t>
      </w:r>
      <w:r w:rsidR="00D04EA8" w:rsidRPr="00D04EA8">
        <w:rPr>
          <w:rFonts w:asciiTheme="minorHAnsi" w:hAnsiTheme="minorHAnsi" w:cstheme="minorHAnsi"/>
          <w:i/>
          <w:sz w:val="24"/>
        </w:rPr>
        <w:t>z</w:t>
      </w:r>
      <w:r w:rsidRPr="00D04EA8">
        <w:rPr>
          <w:rFonts w:asciiTheme="minorHAnsi" w:hAnsiTheme="minorHAnsi" w:cstheme="minorHAnsi"/>
          <w:i/>
          <w:sz w:val="24"/>
        </w:rPr>
        <w:t>výšení stavu</w:t>
      </w:r>
      <w:r w:rsidR="000A3ABC">
        <w:rPr>
          <w:rFonts w:asciiTheme="minorHAnsi" w:hAnsiTheme="minorHAnsi" w:cstheme="minorHAnsi"/>
          <w:sz w:val="24"/>
        </w:rPr>
        <w:t>“ vykázalo částku 1 </w:t>
      </w:r>
      <w:r w:rsidRPr="00997CBE">
        <w:rPr>
          <w:rFonts w:asciiTheme="minorHAnsi" w:hAnsiTheme="minorHAnsi" w:cstheme="minorHAnsi"/>
          <w:sz w:val="24"/>
        </w:rPr>
        <w:t>392</w:t>
      </w:r>
      <w:r w:rsidR="000A3ABC">
        <w:rPr>
          <w:rFonts w:asciiTheme="minorHAnsi" w:hAnsiTheme="minorHAnsi" w:cstheme="minorHAnsi"/>
          <w:sz w:val="24"/>
        </w:rPr>
        <w:t> </w:t>
      </w:r>
      <w:r w:rsidRPr="00997CBE">
        <w:rPr>
          <w:rFonts w:asciiTheme="minorHAnsi" w:hAnsiTheme="minorHAnsi" w:cstheme="minorHAnsi"/>
          <w:sz w:val="24"/>
        </w:rPr>
        <w:t>510</w:t>
      </w:r>
      <w:r w:rsidR="000A3ABC">
        <w:rPr>
          <w:rFonts w:asciiTheme="minorHAnsi" w:hAnsiTheme="minorHAnsi" w:cstheme="minorHAnsi"/>
          <w:sz w:val="24"/>
        </w:rPr>
        <w:t> 278,39 </w:t>
      </w:r>
      <w:r w:rsidRPr="00997CBE">
        <w:rPr>
          <w:rFonts w:asciiTheme="minorHAnsi" w:hAnsiTheme="minorHAnsi" w:cstheme="minorHAnsi"/>
          <w:sz w:val="24"/>
        </w:rPr>
        <w:t>Kč. Uvedená částka odpovídá součtu obratů zaúčtovaný</w:t>
      </w:r>
      <w:r w:rsidR="000A3ABC">
        <w:rPr>
          <w:rFonts w:asciiTheme="minorHAnsi" w:hAnsiTheme="minorHAnsi" w:cstheme="minorHAnsi"/>
          <w:sz w:val="24"/>
        </w:rPr>
        <w:t>ch</w:t>
      </w:r>
      <w:r w:rsidRPr="00997CBE">
        <w:rPr>
          <w:rFonts w:asciiTheme="minorHAnsi" w:hAnsiTheme="minorHAnsi" w:cstheme="minorHAnsi"/>
          <w:sz w:val="24"/>
        </w:rPr>
        <w:t xml:space="preserve"> na straně </w:t>
      </w:r>
      <w:r w:rsidR="000007E5">
        <w:rPr>
          <w:rFonts w:asciiTheme="minorHAnsi" w:hAnsiTheme="minorHAnsi" w:cstheme="minorHAnsi"/>
          <w:sz w:val="24"/>
        </w:rPr>
        <w:t>„</w:t>
      </w:r>
      <w:r w:rsidR="000007E5" w:rsidRPr="000007E5">
        <w:rPr>
          <w:rFonts w:asciiTheme="minorHAnsi" w:hAnsiTheme="minorHAnsi" w:cstheme="minorHAnsi"/>
          <w:i/>
          <w:sz w:val="24"/>
        </w:rPr>
        <w:t>d</w:t>
      </w:r>
      <w:r w:rsidRPr="000007E5">
        <w:rPr>
          <w:rFonts w:asciiTheme="minorHAnsi" w:hAnsiTheme="minorHAnsi" w:cstheme="minorHAnsi"/>
          <w:i/>
          <w:sz w:val="24"/>
        </w:rPr>
        <w:t>al</w:t>
      </w:r>
      <w:r w:rsidR="000007E5">
        <w:rPr>
          <w:rFonts w:asciiTheme="minorHAnsi" w:hAnsiTheme="minorHAnsi" w:cstheme="minorHAnsi"/>
          <w:sz w:val="24"/>
        </w:rPr>
        <w:t>“</w:t>
      </w:r>
      <w:r w:rsidRPr="00997CBE">
        <w:rPr>
          <w:rFonts w:asciiTheme="minorHAnsi" w:hAnsiTheme="minorHAnsi" w:cstheme="minorHAnsi"/>
          <w:sz w:val="24"/>
        </w:rPr>
        <w:t xml:space="preserve"> účtu </w:t>
      </w:r>
      <w:r w:rsidRPr="000007E5">
        <w:rPr>
          <w:rFonts w:asciiTheme="minorHAnsi" w:hAnsiTheme="minorHAnsi" w:cstheme="minorHAnsi"/>
          <w:sz w:val="24"/>
        </w:rPr>
        <w:t>408 –</w:t>
      </w:r>
      <w:r w:rsidRPr="00507ED4">
        <w:rPr>
          <w:rFonts w:asciiTheme="minorHAnsi" w:hAnsiTheme="minorHAnsi" w:cstheme="minorHAnsi"/>
          <w:i/>
          <w:sz w:val="24"/>
        </w:rPr>
        <w:t xml:space="preserve"> Opravy minulých období</w:t>
      </w:r>
      <w:r w:rsidRPr="00997CBE">
        <w:rPr>
          <w:rFonts w:asciiTheme="minorHAnsi" w:hAnsiTheme="minorHAnsi" w:cstheme="minorHAnsi"/>
          <w:sz w:val="24"/>
        </w:rPr>
        <w:t>. V</w:t>
      </w:r>
      <w:r w:rsidR="00507ED4">
        <w:rPr>
          <w:rFonts w:asciiTheme="minorHAnsi" w:hAnsiTheme="minorHAnsi" w:cstheme="minorHAnsi"/>
          <w:sz w:val="24"/>
        </w:rPr>
        <w:t> </w:t>
      </w:r>
      <w:r w:rsidRPr="00997CBE">
        <w:rPr>
          <w:rFonts w:asciiTheme="minorHAnsi" w:hAnsiTheme="minorHAnsi" w:cstheme="minorHAnsi"/>
          <w:sz w:val="24"/>
        </w:rPr>
        <w:t>této částce je zahrnuta i částka ve výši 227</w:t>
      </w:r>
      <w:r w:rsidR="000A3ABC">
        <w:rPr>
          <w:rFonts w:asciiTheme="minorHAnsi" w:hAnsiTheme="minorHAnsi" w:cstheme="minorHAnsi"/>
          <w:sz w:val="24"/>
        </w:rPr>
        <w:t> </w:t>
      </w:r>
      <w:r w:rsidRPr="00997CBE">
        <w:rPr>
          <w:rFonts w:asciiTheme="minorHAnsi" w:hAnsiTheme="minorHAnsi" w:cstheme="minorHAnsi"/>
          <w:sz w:val="24"/>
        </w:rPr>
        <w:t>862</w:t>
      </w:r>
      <w:r w:rsidR="000A3ABC">
        <w:rPr>
          <w:rFonts w:asciiTheme="minorHAnsi" w:hAnsiTheme="minorHAnsi" w:cstheme="minorHAnsi"/>
          <w:sz w:val="24"/>
        </w:rPr>
        <w:t> </w:t>
      </w:r>
      <w:r w:rsidRPr="00997CBE">
        <w:rPr>
          <w:rFonts w:asciiTheme="minorHAnsi" w:hAnsiTheme="minorHAnsi" w:cstheme="minorHAnsi"/>
          <w:sz w:val="24"/>
        </w:rPr>
        <w:t>069</w:t>
      </w:r>
      <w:r w:rsidR="000A3ABC">
        <w:rPr>
          <w:rFonts w:asciiTheme="minorHAnsi" w:hAnsiTheme="minorHAnsi" w:cstheme="minorHAnsi"/>
          <w:sz w:val="24"/>
        </w:rPr>
        <w:t> </w:t>
      </w:r>
      <w:r w:rsidRPr="00997CBE">
        <w:rPr>
          <w:rFonts w:asciiTheme="minorHAnsi" w:hAnsiTheme="minorHAnsi" w:cstheme="minorHAnsi"/>
          <w:sz w:val="24"/>
        </w:rPr>
        <w:t>Kč, která představuje snížení závazku státu o finanční náhradu dle § 15 zákona č.</w:t>
      </w:r>
      <w:r w:rsidR="000A3ABC">
        <w:rPr>
          <w:rFonts w:asciiTheme="minorHAnsi" w:hAnsiTheme="minorHAnsi" w:cstheme="minorHAnsi"/>
          <w:sz w:val="24"/>
        </w:rPr>
        <w:t> </w:t>
      </w:r>
      <w:r w:rsidRPr="00997CBE">
        <w:rPr>
          <w:rFonts w:asciiTheme="minorHAnsi" w:hAnsiTheme="minorHAnsi" w:cstheme="minorHAnsi"/>
          <w:sz w:val="24"/>
        </w:rPr>
        <w:t>428/2012 Sb.</w:t>
      </w:r>
      <w:r>
        <w:rPr>
          <w:rFonts w:asciiTheme="minorHAnsi" w:hAnsiTheme="minorHAnsi" w:cstheme="minorHAnsi"/>
          <w:sz w:val="24"/>
        </w:rPr>
        <w:t xml:space="preserve"> pro Bratrskou jednotu baptistů, </w:t>
      </w:r>
      <w:r w:rsidRPr="00997CBE">
        <w:rPr>
          <w:rFonts w:asciiTheme="minorHAnsi" w:hAnsiTheme="minorHAnsi" w:cstheme="minorHAnsi"/>
          <w:sz w:val="24"/>
        </w:rPr>
        <w:t>která v</w:t>
      </w:r>
      <w:r w:rsidR="009C77C9">
        <w:rPr>
          <w:rFonts w:asciiTheme="minorHAnsi" w:hAnsiTheme="minorHAnsi" w:cstheme="minorHAnsi"/>
          <w:sz w:val="24"/>
        </w:rPr>
        <w:t xml:space="preserve"> </w:t>
      </w:r>
      <w:r w:rsidRPr="00997CBE">
        <w:rPr>
          <w:rFonts w:asciiTheme="minorHAnsi" w:hAnsiTheme="minorHAnsi" w:cstheme="minorHAnsi"/>
          <w:sz w:val="24"/>
        </w:rPr>
        <w:t xml:space="preserve">zákonem </w:t>
      </w:r>
      <w:r w:rsidR="000A3ABC">
        <w:rPr>
          <w:rFonts w:asciiTheme="minorHAnsi" w:hAnsiTheme="minorHAnsi" w:cstheme="minorHAnsi"/>
          <w:sz w:val="24"/>
        </w:rPr>
        <w:t>stanovené lhůtě do 30. </w:t>
      </w:r>
      <w:r w:rsidRPr="00997CBE">
        <w:rPr>
          <w:rFonts w:asciiTheme="minorHAnsi" w:hAnsiTheme="minorHAnsi" w:cstheme="minorHAnsi"/>
          <w:sz w:val="24"/>
        </w:rPr>
        <w:t>9.</w:t>
      </w:r>
      <w:r w:rsidR="000A3ABC">
        <w:rPr>
          <w:rFonts w:asciiTheme="minorHAnsi" w:hAnsiTheme="minorHAnsi" w:cstheme="minorHAnsi"/>
          <w:sz w:val="24"/>
        </w:rPr>
        <w:t> </w:t>
      </w:r>
      <w:r w:rsidRPr="00997CBE">
        <w:rPr>
          <w:rFonts w:asciiTheme="minorHAnsi" w:hAnsiTheme="minorHAnsi" w:cstheme="minorHAnsi"/>
          <w:sz w:val="24"/>
        </w:rPr>
        <w:t xml:space="preserve">2013 nepodepsala </w:t>
      </w:r>
      <w:r w:rsidR="000007E5">
        <w:rPr>
          <w:rFonts w:asciiTheme="minorHAnsi" w:hAnsiTheme="minorHAnsi" w:cstheme="minorHAnsi"/>
          <w:sz w:val="24"/>
        </w:rPr>
        <w:t>s</w:t>
      </w:r>
      <w:r w:rsidRPr="00997CBE">
        <w:rPr>
          <w:rFonts w:asciiTheme="minorHAnsi" w:hAnsiTheme="minorHAnsi" w:cstheme="minorHAnsi"/>
          <w:sz w:val="24"/>
        </w:rPr>
        <w:t>mlouvu o vypořádání</w:t>
      </w:r>
      <w:r>
        <w:rPr>
          <w:rFonts w:asciiTheme="minorHAnsi" w:hAnsiTheme="minorHAnsi" w:cstheme="minorHAnsi"/>
          <w:sz w:val="24"/>
        </w:rPr>
        <w:t>.</w:t>
      </w:r>
      <w:r w:rsidRPr="00997CBE">
        <w:rPr>
          <w:rFonts w:asciiTheme="minorHAnsi" w:hAnsiTheme="minorHAnsi" w:cstheme="minorHAnsi"/>
          <w:sz w:val="24"/>
        </w:rPr>
        <w:t xml:space="preserve"> </w:t>
      </w:r>
      <w:r>
        <w:rPr>
          <w:rFonts w:asciiTheme="minorHAnsi" w:hAnsiTheme="minorHAnsi" w:cstheme="minorHAnsi"/>
          <w:sz w:val="24"/>
        </w:rPr>
        <w:t>Uvedenou částku</w:t>
      </w:r>
      <w:r w:rsidRPr="00997CBE">
        <w:rPr>
          <w:rFonts w:asciiTheme="minorHAnsi" w:hAnsiTheme="minorHAnsi" w:cstheme="minorHAnsi"/>
          <w:sz w:val="24"/>
        </w:rPr>
        <w:t xml:space="preserve"> mělo</w:t>
      </w:r>
      <w:r w:rsidR="000A3ABC" w:rsidRPr="000A3ABC">
        <w:rPr>
          <w:rFonts w:asciiTheme="minorHAnsi" w:hAnsiTheme="minorHAnsi" w:cstheme="minorHAnsi"/>
          <w:sz w:val="24"/>
        </w:rPr>
        <w:t xml:space="preserve"> </w:t>
      </w:r>
      <w:r w:rsidR="000A3ABC" w:rsidRPr="00997CBE">
        <w:rPr>
          <w:rFonts w:asciiTheme="minorHAnsi" w:hAnsiTheme="minorHAnsi" w:cstheme="minorHAnsi"/>
          <w:sz w:val="24"/>
        </w:rPr>
        <w:t>MK</w:t>
      </w:r>
      <w:r w:rsidRPr="00997CBE">
        <w:rPr>
          <w:rFonts w:asciiTheme="minorHAnsi" w:hAnsiTheme="minorHAnsi" w:cstheme="minorHAnsi"/>
          <w:sz w:val="24"/>
        </w:rPr>
        <w:t xml:space="preserve"> správně vykázat na položce A.VII.1. </w:t>
      </w:r>
      <w:r w:rsidRPr="002D4B71">
        <w:rPr>
          <w:rFonts w:asciiTheme="minorHAnsi" w:hAnsiTheme="minorHAnsi" w:cstheme="minorHAnsi"/>
          <w:i/>
          <w:sz w:val="24"/>
        </w:rPr>
        <w:t>Opravy minulého účetního období</w:t>
      </w:r>
      <w:r>
        <w:rPr>
          <w:rFonts w:asciiTheme="minorHAnsi" w:hAnsiTheme="minorHAnsi" w:cstheme="minorHAnsi"/>
          <w:sz w:val="24"/>
        </w:rPr>
        <w:t>, jelikož se vztahovala k</w:t>
      </w:r>
      <w:r w:rsidR="000A3ABC">
        <w:rPr>
          <w:rFonts w:asciiTheme="minorHAnsi" w:hAnsiTheme="minorHAnsi" w:cstheme="minorHAnsi"/>
          <w:sz w:val="24"/>
        </w:rPr>
        <w:t> </w:t>
      </w:r>
      <w:r>
        <w:rPr>
          <w:rFonts w:asciiTheme="minorHAnsi" w:hAnsiTheme="minorHAnsi" w:cstheme="minorHAnsi"/>
          <w:sz w:val="24"/>
        </w:rPr>
        <w:t xml:space="preserve">bezprostředně předcházejícímu účetnímu období, </w:t>
      </w:r>
      <w:r w:rsidRPr="00997CBE">
        <w:rPr>
          <w:rFonts w:asciiTheme="minorHAnsi" w:hAnsiTheme="minorHAnsi" w:cstheme="minorHAnsi"/>
          <w:sz w:val="24"/>
        </w:rPr>
        <w:t xml:space="preserve">a nikoliv na položce A.VII.2. </w:t>
      </w:r>
      <w:r w:rsidRPr="002D4B71">
        <w:rPr>
          <w:rFonts w:asciiTheme="minorHAnsi" w:hAnsiTheme="minorHAnsi" w:cstheme="minorHAnsi"/>
          <w:i/>
          <w:sz w:val="24"/>
        </w:rPr>
        <w:t>Opravy předchozích účetních období</w:t>
      </w:r>
      <w:r w:rsidRPr="00997CBE">
        <w:rPr>
          <w:rFonts w:asciiTheme="minorHAnsi" w:hAnsiTheme="minorHAnsi" w:cstheme="minorHAnsi"/>
          <w:sz w:val="24"/>
        </w:rPr>
        <w:t>.</w:t>
      </w:r>
    </w:p>
    <w:p w:rsidR="00BF21A0" w:rsidRPr="00C01E14" w:rsidRDefault="00BF21A0"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t>2.3 Dotace na pořízení majetku poskytnuté příspěvkovým organizacím</w:t>
      </w:r>
      <w:r w:rsidR="000A3ABC">
        <w:rPr>
          <w:rFonts w:asciiTheme="minorHAnsi" w:hAnsiTheme="minorHAnsi" w:cstheme="minorHAnsi"/>
          <w:b/>
          <w:sz w:val="24"/>
        </w:rPr>
        <w:t xml:space="preserve"> MK</w:t>
      </w:r>
    </w:p>
    <w:p w:rsidR="00C01E14" w:rsidRDefault="00C01E14" w:rsidP="00A82ED8">
      <w:pPr>
        <w:pStyle w:val="NormlnKZ"/>
        <w:spacing w:after="0"/>
        <w:ind w:firstLine="0"/>
        <w:rPr>
          <w:rFonts w:asciiTheme="minorHAnsi" w:hAnsiTheme="minorHAnsi" w:cstheme="minorHAnsi"/>
          <w:sz w:val="24"/>
        </w:rPr>
      </w:pPr>
    </w:p>
    <w:p w:rsidR="00092D06" w:rsidRDefault="006217C0" w:rsidP="00A82ED8">
      <w:pPr>
        <w:pStyle w:val="NormlnKZ"/>
        <w:spacing w:after="0"/>
        <w:ind w:firstLine="0"/>
        <w:rPr>
          <w:rFonts w:asciiTheme="minorHAnsi" w:hAnsiTheme="minorHAnsi" w:cstheme="minorHAnsi"/>
          <w:sz w:val="24"/>
        </w:rPr>
      </w:pPr>
      <w:r>
        <w:rPr>
          <w:rFonts w:asciiTheme="minorHAnsi" w:hAnsiTheme="minorHAnsi" w:cstheme="minorHAnsi"/>
          <w:sz w:val="24"/>
        </w:rPr>
        <w:t xml:space="preserve">Dotace na pořízení dlouhodobého majetku poskytnuté </w:t>
      </w:r>
      <w:r w:rsidR="000A3ABC">
        <w:rPr>
          <w:rFonts w:asciiTheme="minorHAnsi" w:hAnsiTheme="minorHAnsi" w:cstheme="minorHAnsi"/>
          <w:sz w:val="24"/>
        </w:rPr>
        <w:t>zřizovatelem jeho</w:t>
      </w:r>
      <w:r>
        <w:rPr>
          <w:rFonts w:asciiTheme="minorHAnsi" w:hAnsiTheme="minorHAnsi" w:cstheme="minorHAnsi"/>
          <w:sz w:val="24"/>
        </w:rPr>
        <w:t xml:space="preserve"> příspěvkovým organizacím</w:t>
      </w:r>
      <w:r w:rsidR="00EF131A">
        <w:rPr>
          <w:rFonts w:asciiTheme="minorHAnsi" w:hAnsiTheme="minorHAnsi" w:cstheme="minorHAnsi"/>
          <w:sz w:val="24"/>
        </w:rPr>
        <w:t xml:space="preserve"> nejsou dle ČÚS č. </w:t>
      </w:r>
      <w:r w:rsidR="003E1DAB">
        <w:rPr>
          <w:rFonts w:asciiTheme="minorHAnsi" w:hAnsiTheme="minorHAnsi" w:cstheme="minorHAnsi"/>
          <w:sz w:val="24"/>
        </w:rPr>
        <w:t>703</w:t>
      </w:r>
      <w:r w:rsidR="002D4B71">
        <w:rPr>
          <w:rFonts w:asciiTheme="minorHAnsi" w:hAnsiTheme="minorHAnsi" w:cstheme="minorHAnsi"/>
          <w:sz w:val="24"/>
        </w:rPr>
        <w:t xml:space="preserve"> </w:t>
      </w:r>
      <w:r w:rsidR="002D4B71" w:rsidRPr="002D4B71">
        <w:rPr>
          <w:rFonts w:asciiTheme="minorHAnsi" w:hAnsiTheme="minorHAnsi" w:cstheme="minorHAnsi"/>
          <w:i/>
          <w:sz w:val="24"/>
        </w:rPr>
        <w:t>–</w:t>
      </w:r>
      <w:r w:rsidR="003E1DAB" w:rsidRPr="002D4B71">
        <w:rPr>
          <w:rFonts w:asciiTheme="minorHAnsi" w:hAnsiTheme="minorHAnsi" w:cstheme="minorHAnsi"/>
          <w:i/>
          <w:sz w:val="24"/>
        </w:rPr>
        <w:t xml:space="preserve"> Transfery</w:t>
      </w:r>
      <w:r w:rsidR="003E1DAB">
        <w:rPr>
          <w:rFonts w:asciiTheme="minorHAnsi" w:hAnsiTheme="minorHAnsi" w:cstheme="minorHAnsi"/>
          <w:sz w:val="24"/>
        </w:rPr>
        <w:t xml:space="preserve"> považovány za transfer a</w:t>
      </w:r>
      <w:r w:rsidR="00852FD1">
        <w:rPr>
          <w:rFonts w:asciiTheme="minorHAnsi" w:hAnsiTheme="minorHAnsi" w:cstheme="minorHAnsi"/>
          <w:sz w:val="24"/>
        </w:rPr>
        <w:t> </w:t>
      </w:r>
      <w:r w:rsidR="003E1DAB">
        <w:rPr>
          <w:rFonts w:asciiTheme="minorHAnsi" w:hAnsiTheme="minorHAnsi" w:cstheme="minorHAnsi"/>
          <w:sz w:val="24"/>
        </w:rPr>
        <w:t>v souladu s</w:t>
      </w:r>
      <w:r w:rsidR="009C77C9">
        <w:rPr>
          <w:rFonts w:asciiTheme="minorHAnsi" w:hAnsiTheme="minorHAnsi" w:cstheme="minorHAnsi"/>
          <w:sz w:val="24"/>
        </w:rPr>
        <w:t xml:space="preserve"> </w:t>
      </w:r>
      <w:r w:rsidR="00733D93">
        <w:rPr>
          <w:rFonts w:asciiTheme="minorHAnsi" w:hAnsiTheme="minorHAnsi" w:cstheme="minorHAnsi"/>
          <w:sz w:val="24"/>
        </w:rPr>
        <w:t>ČÚS č. </w:t>
      </w:r>
      <w:r w:rsidR="003E1DAB">
        <w:rPr>
          <w:rFonts w:asciiTheme="minorHAnsi" w:hAnsiTheme="minorHAnsi" w:cstheme="minorHAnsi"/>
          <w:sz w:val="24"/>
        </w:rPr>
        <w:t>709</w:t>
      </w:r>
      <w:r>
        <w:rPr>
          <w:rFonts w:asciiTheme="minorHAnsi" w:hAnsiTheme="minorHAnsi" w:cstheme="minorHAnsi"/>
          <w:sz w:val="24"/>
        </w:rPr>
        <w:t xml:space="preserve"> </w:t>
      </w:r>
      <w:r w:rsidR="002D4B71" w:rsidRPr="002D4B71">
        <w:rPr>
          <w:rFonts w:asciiTheme="minorHAnsi" w:hAnsiTheme="minorHAnsi" w:cstheme="minorHAnsi"/>
          <w:i/>
          <w:sz w:val="24"/>
        </w:rPr>
        <w:t xml:space="preserve">– </w:t>
      </w:r>
      <w:r w:rsidR="003E1DAB" w:rsidRPr="002D4B71">
        <w:rPr>
          <w:rFonts w:asciiTheme="minorHAnsi" w:hAnsiTheme="minorHAnsi" w:cstheme="minorHAnsi"/>
          <w:i/>
          <w:sz w:val="24"/>
        </w:rPr>
        <w:t>Vlastní</w:t>
      </w:r>
      <w:r w:rsidR="002D4B71" w:rsidRPr="002D4B71">
        <w:rPr>
          <w:rFonts w:asciiTheme="minorHAnsi" w:hAnsiTheme="minorHAnsi" w:cstheme="minorHAnsi"/>
          <w:i/>
          <w:sz w:val="24"/>
        </w:rPr>
        <w:t xml:space="preserve"> </w:t>
      </w:r>
      <w:r w:rsidR="003E1DAB" w:rsidRPr="002D4B71">
        <w:rPr>
          <w:rFonts w:asciiTheme="minorHAnsi" w:hAnsiTheme="minorHAnsi" w:cstheme="minorHAnsi"/>
          <w:i/>
          <w:sz w:val="24"/>
        </w:rPr>
        <w:t>zdroje</w:t>
      </w:r>
      <w:r w:rsidR="00092D06">
        <w:rPr>
          <w:rFonts w:asciiTheme="minorHAnsi" w:hAnsiTheme="minorHAnsi" w:cstheme="minorHAnsi"/>
          <w:sz w:val="24"/>
        </w:rPr>
        <w:t xml:space="preserve"> o nich má být účtováno jako o snížení vlastního kapitálu prostřednictvím účtu </w:t>
      </w:r>
      <w:r w:rsidR="00092D06" w:rsidRPr="000007E5">
        <w:rPr>
          <w:rFonts w:asciiTheme="minorHAnsi" w:hAnsiTheme="minorHAnsi" w:cstheme="minorHAnsi"/>
          <w:sz w:val="24"/>
        </w:rPr>
        <w:t>401 –</w:t>
      </w:r>
      <w:r w:rsidR="00092D06" w:rsidRPr="002D4B71">
        <w:rPr>
          <w:rFonts w:asciiTheme="minorHAnsi" w:hAnsiTheme="minorHAnsi" w:cstheme="minorHAnsi"/>
          <w:i/>
          <w:sz w:val="24"/>
        </w:rPr>
        <w:t xml:space="preserve"> Jmění účetní jednotky</w:t>
      </w:r>
      <w:r w:rsidR="00092D06">
        <w:rPr>
          <w:rFonts w:asciiTheme="minorHAnsi" w:hAnsiTheme="minorHAnsi" w:cstheme="minorHAnsi"/>
          <w:sz w:val="24"/>
        </w:rPr>
        <w:t>. Na vybraném vzorku dotací</w:t>
      </w:r>
      <w:r w:rsidR="000957D9">
        <w:rPr>
          <w:rFonts w:asciiTheme="minorHAnsi" w:hAnsiTheme="minorHAnsi" w:cstheme="minorHAnsi"/>
          <w:sz w:val="24"/>
        </w:rPr>
        <w:t xml:space="preserve"> ve výši 132</w:t>
      </w:r>
      <w:r w:rsidR="00B6719C">
        <w:rPr>
          <w:rFonts w:asciiTheme="minorHAnsi" w:hAnsiTheme="minorHAnsi" w:cstheme="minorHAnsi"/>
          <w:sz w:val="24"/>
        </w:rPr>
        <w:t> </w:t>
      </w:r>
      <w:r w:rsidR="00EF131A">
        <w:rPr>
          <w:rFonts w:asciiTheme="minorHAnsi" w:hAnsiTheme="minorHAnsi" w:cstheme="minorHAnsi"/>
          <w:sz w:val="24"/>
        </w:rPr>
        <w:t>mil. </w:t>
      </w:r>
      <w:r w:rsidR="000957D9">
        <w:rPr>
          <w:rFonts w:asciiTheme="minorHAnsi" w:hAnsiTheme="minorHAnsi" w:cstheme="minorHAnsi"/>
          <w:sz w:val="24"/>
        </w:rPr>
        <w:t>Kč</w:t>
      </w:r>
      <w:r w:rsidR="00092D06">
        <w:rPr>
          <w:rFonts w:asciiTheme="minorHAnsi" w:hAnsiTheme="minorHAnsi" w:cstheme="minorHAnsi"/>
          <w:sz w:val="24"/>
        </w:rPr>
        <w:t xml:space="preserve"> </w:t>
      </w:r>
      <w:r w:rsidR="000A3ABC">
        <w:rPr>
          <w:rFonts w:asciiTheme="minorHAnsi" w:hAnsiTheme="minorHAnsi" w:cstheme="minorHAnsi"/>
          <w:sz w:val="24"/>
        </w:rPr>
        <w:t>poskytnutých</w:t>
      </w:r>
      <w:r w:rsidR="00092D06">
        <w:rPr>
          <w:rFonts w:asciiTheme="minorHAnsi" w:hAnsiTheme="minorHAnsi" w:cstheme="minorHAnsi"/>
          <w:sz w:val="24"/>
        </w:rPr>
        <w:t xml:space="preserve"> zřízeným příspěvkovým organizacím na pořízení dlouhodobého majetku byla zjištěn</w:t>
      </w:r>
      <w:r w:rsidR="000A3ABC">
        <w:rPr>
          <w:rFonts w:asciiTheme="minorHAnsi" w:hAnsiTheme="minorHAnsi" w:cstheme="minorHAnsi"/>
          <w:sz w:val="24"/>
        </w:rPr>
        <w:t>a nesprávnost ve výši 67,8 mil. </w:t>
      </w:r>
      <w:r w:rsidR="00092D06">
        <w:rPr>
          <w:rFonts w:asciiTheme="minorHAnsi" w:hAnsiTheme="minorHAnsi" w:cstheme="minorHAnsi"/>
          <w:sz w:val="24"/>
        </w:rPr>
        <w:t>Kč.</w:t>
      </w: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lastRenderedPageBreak/>
        <w:t>2.4 Zálohy na transfery</w:t>
      </w:r>
    </w:p>
    <w:p w:rsidR="00C01E14" w:rsidRDefault="00C01E14" w:rsidP="00A82ED8">
      <w:pPr>
        <w:pStyle w:val="NormlnKZ"/>
        <w:spacing w:after="0"/>
        <w:ind w:firstLine="0"/>
        <w:rPr>
          <w:rFonts w:asciiTheme="minorHAnsi" w:hAnsiTheme="minorHAnsi" w:cstheme="minorHAnsi"/>
          <w:sz w:val="24"/>
        </w:rPr>
      </w:pPr>
    </w:p>
    <w:p w:rsidR="004C2B27" w:rsidRDefault="00E66BA0" w:rsidP="00A82ED8">
      <w:pPr>
        <w:pStyle w:val="NormlnKZ"/>
        <w:spacing w:after="0"/>
        <w:ind w:firstLine="0"/>
        <w:rPr>
          <w:rFonts w:asciiTheme="minorHAnsi" w:hAnsiTheme="minorHAnsi" w:cstheme="minorHAnsi"/>
          <w:sz w:val="24"/>
        </w:rPr>
      </w:pPr>
      <w:r w:rsidRPr="00E66BA0">
        <w:rPr>
          <w:rFonts w:asciiTheme="minorHAnsi" w:hAnsiTheme="minorHAnsi" w:cstheme="minorHAnsi"/>
          <w:sz w:val="24"/>
        </w:rPr>
        <w:t xml:space="preserve">MK </w:t>
      </w:r>
      <w:r>
        <w:rPr>
          <w:rFonts w:asciiTheme="minorHAnsi" w:hAnsiTheme="minorHAnsi" w:cstheme="minorHAnsi"/>
          <w:sz w:val="24"/>
        </w:rPr>
        <w:t>v</w:t>
      </w:r>
      <w:r w:rsidR="009C77C9">
        <w:rPr>
          <w:rFonts w:asciiTheme="minorHAnsi" w:hAnsiTheme="minorHAnsi" w:cstheme="minorHAnsi"/>
          <w:sz w:val="24"/>
        </w:rPr>
        <w:t xml:space="preserve"> </w:t>
      </w:r>
      <w:r>
        <w:rPr>
          <w:rFonts w:asciiTheme="minorHAnsi" w:hAnsiTheme="minorHAnsi" w:cstheme="minorHAnsi"/>
          <w:sz w:val="24"/>
        </w:rPr>
        <w:t xml:space="preserve">roce 2014 poskytlo ze státního rozpočtu neinvestiční dotaci ve výši 40 mil. Kč </w:t>
      </w:r>
      <w:r w:rsidRPr="00E66BA0">
        <w:rPr>
          <w:rFonts w:asciiTheme="minorHAnsi" w:hAnsiTheme="minorHAnsi" w:cstheme="minorHAnsi"/>
          <w:sz w:val="24"/>
        </w:rPr>
        <w:t xml:space="preserve">na akci </w:t>
      </w:r>
      <w:r w:rsidRPr="00287E33">
        <w:rPr>
          <w:rFonts w:asciiTheme="minorHAnsi" w:hAnsiTheme="minorHAnsi" w:cstheme="minorHAnsi"/>
          <w:i/>
          <w:sz w:val="24"/>
        </w:rPr>
        <w:t>Praha, Pinkasův palác, č.</w:t>
      </w:r>
      <w:r w:rsidR="00A77E61">
        <w:rPr>
          <w:rFonts w:asciiTheme="minorHAnsi" w:hAnsiTheme="minorHAnsi" w:cstheme="minorHAnsi"/>
          <w:i/>
          <w:sz w:val="24"/>
        </w:rPr>
        <w:t> </w:t>
      </w:r>
      <w:r w:rsidRPr="00287E33">
        <w:rPr>
          <w:rFonts w:asciiTheme="minorHAnsi" w:hAnsiTheme="minorHAnsi" w:cstheme="minorHAnsi"/>
          <w:i/>
          <w:sz w:val="24"/>
        </w:rPr>
        <w:t>p. 515/8 – odstranění následků povodně 2013</w:t>
      </w:r>
      <w:r>
        <w:rPr>
          <w:rFonts w:asciiTheme="minorHAnsi" w:hAnsiTheme="minorHAnsi" w:cstheme="minorHAnsi"/>
          <w:sz w:val="24"/>
        </w:rPr>
        <w:t>. Předložení dokumentace k</w:t>
      </w:r>
      <w:r w:rsidR="009C77C9">
        <w:rPr>
          <w:rFonts w:asciiTheme="minorHAnsi" w:hAnsiTheme="minorHAnsi" w:cstheme="minorHAnsi"/>
          <w:sz w:val="24"/>
        </w:rPr>
        <w:t xml:space="preserve"> </w:t>
      </w:r>
      <w:r>
        <w:rPr>
          <w:rFonts w:asciiTheme="minorHAnsi" w:hAnsiTheme="minorHAnsi" w:cstheme="minorHAnsi"/>
          <w:sz w:val="24"/>
        </w:rPr>
        <w:t>závěrečnému vyhodnocení akce byl</w:t>
      </w:r>
      <w:r w:rsidR="00F17446">
        <w:rPr>
          <w:rFonts w:asciiTheme="minorHAnsi" w:hAnsiTheme="minorHAnsi" w:cstheme="minorHAnsi"/>
          <w:sz w:val="24"/>
        </w:rPr>
        <w:t>o</w:t>
      </w:r>
      <w:r>
        <w:rPr>
          <w:rFonts w:asciiTheme="minorHAnsi" w:hAnsiTheme="minorHAnsi" w:cstheme="minorHAnsi"/>
          <w:sz w:val="24"/>
        </w:rPr>
        <w:t xml:space="preserve"> stanoven</w:t>
      </w:r>
      <w:r w:rsidR="00F17446">
        <w:rPr>
          <w:rFonts w:asciiTheme="minorHAnsi" w:hAnsiTheme="minorHAnsi" w:cstheme="minorHAnsi"/>
          <w:sz w:val="24"/>
        </w:rPr>
        <w:t>o</w:t>
      </w:r>
      <w:r>
        <w:rPr>
          <w:rFonts w:asciiTheme="minorHAnsi" w:hAnsiTheme="minorHAnsi" w:cstheme="minorHAnsi"/>
          <w:sz w:val="24"/>
        </w:rPr>
        <w:t xml:space="preserve"> na 31. 3. 2016. MK</w:t>
      </w:r>
      <w:r w:rsidR="009C77C9">
        <w:rPr>
          <w:rFonts w:asciiTheme="minorHAnsi" w:hAnsiTheme="minorHAnsi" w:cstheme="minorHAnsi"/>
          <w:sz w:val="24"/>
        </w:rPr>
        <w:t xml:space="preserve"> </w:t>
      </w:r>
      <w:r>
        <w:rPr>
          <w:rFonts w:asciiTheme="minorHAnsi" w:hAnsiTheme="minorHAnsi" w:cstheme="minorHAnsi"/>
          <w:sz w:val="24"/>
        </w:rPr>
        <w:t>k 31.</w:t>
      </w:r>
      <w:r w:rsidR="002D4B71">
        <w:rPr>
          <w:rFonts w:asciiTheme="minorHAnsi" w:hAnsiTheme="minorHAnsi" w:cstheme="minorHAnsi"/>
          <w:sz w:val="24"/>
        </w:rPr>
        <w:t> </w:t>
      </w:r>
      <w:r>
        <w:rPr>
          <w:rFonts w:asciiTheme="minorHAnsi" w:hAnsiTheme="minorHAnsi" w:cstheme="minorHAnsi"/>
          <w:sz w:val="24"/>
        </w:rPr>
        <w:t>12.</w:t>
      </w:r>
      <w:r w:rsidR="002D4B71">
        <w:rPr>
          <w:rFonts w:asciiTheme="minorHAnsi" w:hAnsiTheme="minorHAnsi" w:cstheme="minorHAnsi"/>
          <w:sz w:val="24"/>
        </w:rPr>
        <w:t> </w:t>
      </w:r>
      <w:r>
        <w:rPr>
          <w:rFonts w:asciiTheme="minorHAnsi" w:hAnsiTheme="minorHAnsi" w:cstheme="minorHAnsi"/>
          <w:sz w:val="24"/>
        </w:rPr>
        <w:t xml:space="preserve">2014 poskytnuté peněžní prostředky vykázalo </w:t>
      </w:r>
      <w:r w:rsidR="006B6DE5">
        <w:rPr>
          <w:rFonts w:asciiTheme="minorHAnsi" w:hAnsiTheme="minorHAnsi" w:cstheme="minorHAnsi"/>
          <w:sz w:val="24"/>
        </w:rPr>
        <w:t>jako</w:t>
      </w:r>
      <w:r>
        <w:rPr>
          <w:rFonts w:asciiTheme="minorHAnsi" w:hAnsiTheme="minorHAnsi" w:cstheme="minorHAnsi"/>
          <w:sz w:val="24"/>
        </w:rPr>
        <w:t xml:space="preserve"> krátkodobou </w:t>
      </w:r>
      <w:r w:rsidR="004C2B27">
        <w:rPr>
          <w:rFonts w:asciiTheme="minorHAnsi" w:hAnsiTheme="minorHAnsi" w:cstheme="minorHAnsi"/>
          <w:sz w:val="24"/>
        </w:rPr>
        <w:t xml:space="preserve">zálohu na účtu </w:t>
      </w:r>
      <w:r w:rsidR="004C2B27" w:rsidRPr="00287E33">
        <w:rPr>
          <w:rFonts w:asciiTheme="minorHAnsi" w:hAnsiTheme="minorHAnsi" w:cstheme="minorHAnsi"/>
          <w:sz w:val="24"/>
        </w:rPr>
        <w:t>373</w:t>
      </w:r>
      <w:r w:rsidR="00C01E14" w:rsidRPr="00287E33">
        <w:rPr>
          <w:rFonts w:asciiTheme="minorHAnsi" w:hAnsiTheme="minorHAnsi" w:cstheme="minorHAnsi"/>
          <w:sz w:val="24"/>
        </w:rPr>
        <w:t> </w:t>
      </w:r>
      <w:r w:rsidR="004C2B27" w:rsidRPr="00287E33">
        <w:rPr>
          <w:rFonts w:asciiTheme="minorHAnsi" w:hAnsiTheme="minorHAnsi" w:cstheme="minorHAnsi"/>
          <w:sz w:val="24"/>
        </w:rPr>
        <w:t>–</w:t>
      </w:r>
      <w:r w:rsidR="004C2B27" w:rsidRPr="002D4B71">
        <w:rPr>
          <w:rFonts w:asciiTheme="minorHAnsi" w:hAnsiTheme="minorHAnsi" w:cstheme="minorHAnsi"/>
          <w:i/>
          <w:sz w:val="24"/>
        </w:rPr>
        <w:t xml:space="preserve"> Krátkodobé poskytnuté zálohy na transfery</w:t>
      </w:r>
      <w:r w:rsidR="004C2B27">
        <w:rPr>
          <w:rFonts w:asciiTheme="minorHAnsi" w:hAnsiTheme="minorHAnsi" w:cstheme="minorHAnsi"/>
          <w:sz w:val="24"/>
        </w:rPr>
        <w:t>, ačkoli se</w:t>
      </w:r>
      <w:r>
        <w:rPr>
          <w:rFonts w:asciiTheme="minorHAnsi" w:hAnsiTheme="minorHAnsi" w:cstheme="minorHAnsi"/>
          <w:sz w:val="24"/>
        </w:rPr>
        <w:t xml:space="preserve"> jednalo</w:t>
      </w:r>
      <w:r w:rsidRPr="00E66BA0">
        <w:rPr>
          <w:rFonts w:asciiTheme="minorHAnsi" w:hAnsiTheme="minorHAnsi" w:cstheme="minorHAnsi"/>
          <w:sz w:val="24"/>
        </w:rPr>
        <w:t xml:space="preserve"> o transfer s povinností finančního vypořádání za období delší než jeden rok</w:t>
      </w:r>
      <w:r w:rsidR="004C2B27">
        <w:rPr>
          <w:rFonts w:asciiTheme="minorHAnsi" w:hAnsiTheme="minorHAnsi" w:cstheme="minorHAnsi"/>
          <w:sz w:val="24"/>
        </w:rPr>
        <w:t xml:space="preserve"> a záloha měla být vykázána jako dlouhodobá na účtu</w:t>
      </w:r>
      <w:r w:rsidRPr="00E66BA0">
        <w:rPr>
          <w:rFonts w:asciiTheme="minorHAnsi" w:hAnsiTheme="minorHAnsi" w:cstheme="minorHAnsi"/>
          <w:sz w:val="24"/>
        </w:rPr>
        <w:t xml:space="preserve"> </w:t>
      </w:r>
      <w:r w:rsidRPr="00287E33">
        <w:rPr>
          <w:rFonts w:asciiTheme="minorHAnsi" w:hAnsiTheme="minorHAnsi" w:cstheme="minorHAnsi"/>
          <w:sz w:val="24"/>
        </w:rPr>
        <w:t>471 –</w:t>
      </w:r>
      <w:r w:rsidRPr="002D4B71">
        <w:rPr>
          <w:rFonts w:asciiTheme="minorHAnsi" w:hAnsiTheme="minorHAnsi" w:cstheme="minorHAnsi"/>
          <w:i/>
          <w:sz w:val="24"/>
        </w:rPr>
        <w:t xml:space="preserve"> Dlouhodobé poskytnuté zálohy na transfery</w:t>
      </w:r>
      <w:r w:rsidRPr="00E66BA0">
        <w:rPr>
          <w:rFonts w:asciiTheme="minorHAnsi" w:hAnsiTheme="minorHAnsi" w:cstheme="minorHAnsi"/>
          <w:sz w:val="24"/>
        </w:rPr>
        <w:t xml:space="preserve">. </w:t>
      </w:r>
    </w:p>
    <w:p w:rsidR="00F17446" w:rsidRDefault="00F17446" w:rsidP="00A82ED8">
      <w:pPr>
        <w:pStyle w:val="NormlnKZ"/>
        <w:spacing w:after="0"/>
        <w:ind w:firstLine="0"/>
        <w:rPr>
          <w:rFonts w:asciiTheme="minorHAnsi" w:hAnsiTheme="minorHAnsi" w:cstheme="minorHAnsi"/>
          <w:sz w:val="24"/>
        </w:rPr>
      </w:pPr>
    </w:p>
    <w:p w:rsidR="004C2B27" w:rsidRDefault="004C2B27" w:rsidP="00A82ED8">
      <w:pPr>
        <w:pStyle w:val="NormlnKZ"/>
        <w:spacing w:after="0"/>
        <w:ind w:firstLine="0"/>
        <w:rPr>
          <w:rFonts w:asciiTheme="minorHAnsi" w:hAnsiTheme="minorHAnsi" w:cstheme="minorHAnsi"/>
          <w:sz w:val="24"/>
        </w:rPr>
      </w:pPr>
      <w:r>
        <w:rPr>
          <w:rFonts w:asciiTheme="minorHAnsi" w:hAnsiTheme="minorHAnsi" w:cstheme="minorHAnsi"/>
          <w:sz w:val="24"/>
        </w:rPr>
        <w:t>MK následně 28. 2. 2015 zúčtovalo poskytnuté zálohy</w:t>
      </w:r>
      <w:r w:rsidR="006B6DE5">
        <w:rPr>
          <w:rFonts w:asciiTheme="minorHAnsi" w:hAnsiTheme="minorHAnsi" w:cstheme="minorHAnsi"/>
          <w:sz w:val="24"/>
        </w:rPr>
        <w:t xml:space="preserve"> </w:t>
      </w:r>
      <w:r w:rsidR="006B6DE5" w:rsidRPr="006B6DE5">
        <w:rPr>
          <w:rFonts w:asciiTheme="minorHAnsi" w:hAnsiTheme="minorHAnsi" w:cstheme="minorHAnsi"/>
          <w:sz w:val="24"/>
        </w:rPr>
        <w:t>postupy stanovenými k okamžiku vypořádání transferu</w:t>
      </w:r>
      <w:r>
        <w:rPr>
          <w:rFonts w:asciiTheme="minorHAnsi" w:hAnsiTheme="minorHAnsi" w:cstheme="minorHAnsi"/>
          <w:sz w:val="24"/>
        </w:rPr>
        <w:t>, přestože vypořádání dotace nebylo ještě předloženo. MK tak účtovalo o skutečnostech, které nenastaly a nebyly předmětem účetnictví.</w:t>
      </w:r>
    </w:p>
    <w:p w:rsidR="00E66BA0" w:rsidRPr="00E66BA0" w:rsidRDefault="00E66BA0"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t>2.5 Bezúplatné převody majetku</w:t>
      </w:r>
    </w:p>
    <w:p w:rsidR="00C01E14" w:rsidRDefault="00C01E14" w:rsidP="00A82ED8">
      <w:pPr>
        <w:pStyle w:val="NormlnKZ"/>
        <w:spacing w:after="0"/>
        <w:ind w:firstLine="0"/>
        <w:rPr>
          <w:rFonts w:asciiTheme="minorHAnsi" w:hAnsiTheme="minorHAnsi" w:cstheme="minorHAnsi"/>
          <w:sz w:val="24"/>
        </w:rPr>
      </w:pPr>
    </w:p>
    <w:p w:rsidR="004C2B27" w:rsidRPr="00333978" w:rsidRDefault="00333978" w:rsidP="00A82ED8">
      <w:pPr>
        <w:pStyle w:val="NormlnKZ"/>
        <w:spacing w:after="0"/>
        <w:ind w:firstLine="0"/>
        <w:rPr>
          <w:rFonts w:asciiTheme="minorHAnsi" w:hAnsiTheme="minorHAnsi" w:cstheme="minorHAnsi"/>
          <w:sz w:val="24"/>
        </w:rPr>
      </w:pPr>
      <w:r w:rsidRPr="00333978">
        <w:rPr>
          <w:rFonts w:asciiTheme="minorHAnsi" w:hAnsiTheme="minorHAnsi" w:cstheme="minorHAnsi"/>
          <w:sz w:val="24"/>
        </w:rPr>
        <w:t xml:space="preserve">Bezúplatné </w:t>
      </w:r>
      <w:r>
        <w:rPr>
          <w:rFonts w:asciiTheme="minorHAnsi" w:hAnsiTheme="minorHAnsi" w:cstheme="minorHAnsi"/>
          <w:sz w:val="24"/>
        </w:rPr>
        <w:t xml:space="preserve">převody nebo přechody majetku mezi vybranými účetními jednotkami se dle ČÚS č. 709 </w:t>
      </w:r>
      <w:r w:rsidR="002D4B71">
        <w:rPr>
          <w:rFonts w:asciiTheme="minorHAnsi" w:hAnsiTheme="minorHAnsi" w:cstheme="minorHAnsi"/>
          <w:sz w:val="24"/>
        </w:rPr>
        <w:t xml:space="preserve">– </w:t>
      </w:r>
      <w:r w:rsidRPr="002D4B71">
        <w:rPr>
          <w:rFonts w:asciiTheme="minorHAnsi" w:hAnsiTheme="minorHAnsi" w:cstheme="minorHAnsi"/>
          <w:i/>
          <w:sz w:val="24"/>
        </w:rPr>
        <w:t>Vlastní</w:t>
      </w:r>
      <w:r w:rsidR="002D4B71" w:rsidRPr="002D4B71">
        <w:rPr>
          <w:rFonts w:asciiTheme="minorHAnsi" w:hAnsiTheme="minorHAnsi" w:cstheme="minorHAnsi"/>
          <w:i/>
          <w:sz w:val="24"/>
        </w:rPr>
        <w:t xml:space="preserve"> </w:t>
      </w:r>
      <w:r w:rsidRPr="002D4B71">
        <w:rPr>
          <w:rFonts w:asciiTheme="minorHAnsi" w:hAnsiTheme="minorHAnsi" w:cstheme="minorHAnsi"/>
          <w:i/>
          <w:sz w:val="24"/>
        </w:rPr>
        <w:t>zdroje</w:t>
      </w:r>
      <w:r>
        <w:rPr>
          <w:rFonts w:asciiTheme="minorHAnsi" w:hAnsiTheme="minorHAnsi" w:cstheme="minorHAnsi"/>
          <w:sz w:val="24"/>
        </w:rPr>
        <w:t xml:space="preserve"> účtují jako změny vlastního kapitálu prostřednictvím účtu </w:t>
      </w:r>
      <w:r w:rsidRPr="00287E33">
        <w:rPr>
          <w:rFonts w:asciiTheme="minorHAnsi" w:hAnsiTheme="minorHAnsi" w:cstheme="minorHAnsi"/>
          <w:sz w:val="24"/>
        </w:rPr>
        <w:t>401 –</w:t>
      </w:r>
      <w:r w:rsidRPr="002D4B71">
        <w:rPr>
          <w:rFonts w:asciiTheme="minorHAnsi" w:hAnsiTheme="minorHAnsi" w:cstheme="minorHAnsi"/>
          <w:i/>
          <w:sz w:val="24"/>
        </w:rPr>
        <w:t xml:space="preserve"> Jmění účetní jednotky</w:t>
      </w:r>
      <w:r w:rsidR="00212282">
        <w:rPr>
          <w:rFonts w:asciiTheme="minorHAnsi" w:hAnsiTheme="minorHAnsi" w:cstheme="minorHAnsi"/>
          <w:sz w:val="24"/>
        </w:rPr>
        <w:t>, a to v</w:t>
      </w:r>
      <w:r w:rsidR="009C77C9">
        <w:rPr>
          <w:rFonts w:asciiTheme="minorHAnsi" w:hAnsiTheme="minorHAnsi" w:cstheme="minorHAnsi"/>
          <w:sz w:val="24"/>
        </w:rPr>
        <w:t xml:space="preserve"> </w:t>
      </w:r>
      <w:r w:rsidR="00212282">
        <w:rPr>
          <w:rFonts w:asciiTheme="minorHAnsi" w:hAnsiTheme="minorHAnsi" w:cstheme="minorHAnsi"/>
          <w:sz w:val="24"/>
        </w:rPr>
        <w:t>zůstatkové ceně majetku</w:t>
      </w:r>
      <w:r>
        <w:rPr>
          <w:rFonts w:asciiTheme="minorHAnsi" w:hAnsiTheme="minorHAnsi" w:cstheme="minorHAnsi"/>
          <w:sz w:val="24"/>
        </w:rPr>
        <w:t>. Kontrolou bylo zjištěno, že MK bezúplatně na jinou vybranou účetní jednotku v</w:t>
      </w:r>
      <w:r w:rsidR="009C77C9">
        <w:rPr>
          <w:rFonts w:asciiTheme="minorHAnsi" w:hAnsiTheme="minorHAnsi" w:cstheme="minorHAnsi"/>
          <w:sz w:val="24"/>
        </w:rPr>
        <w:t xml:space="preserve"> </w:t>
      </w:r>
      <w:r>
        <w:rPr>
          <w:rFonts w:asciiTheme="minorHAnsi" w:hAnsiTheme="minorHAnsi" w:cstheme="minorHAnsi"/>
          <w:sz w:val="24"/>
        </w:rPr>
        <w:t>roce 2014 převádělo osobní automobily</w:t>
      </w:r>
      <w:r w:rsidR="00212282">
        <w:rPr>
          <w:rFonts w:asciiTheme="minorHAnsi" w:hAnsiTheme="minorHAnsi" w:cstheme="minorHAnsi"/>
          <w:sz w:val="24"/>
        </w:rPr>
        <w:t xml:space="preserve"> či spoluvlastnický podíl na </w:t>
      </w:r>
      <w:r w:rsidR="000A3ABC">
        <w:rPr>
          <w:rFonts w:asciiTheme="minorHAnsi" w:hAnsiTheme="minorHAnsi" w:cstheme="minorHAnsi"/>
          <w:sz w:val="24"/>
        </w:rPr>
        <w:t>p</w:t>
      </w:r>
      <w:r w:rsidR="00212282">
        <w:rPr>
          <w:rFonts w:asciiTheme="minorHAnsi" w:hAnsiTheme="minorHAnsi" w:cstheme="minorHAnsi"/>
          <w:sz w:val="24"/>
        </w:rPr>
        <w:t xml:space="preserve">avilonu </w:t>
      </w:r>
      <w:r w:rsidR="000A3ABC" w:rsidRPr="000A3ABC">
        <w:rPr>
          <w:rFonts w:asciiTheme="minorHAnsi" w:hAnsiTheme="minorHAnsi" w:cstheme="minorHAnsi"/>
          <w:sz w:val="24"/>
        </w:rPr>
        <w:t xml:space="preserve">na bienále </w:t>
      </w:r>
      <w:r w:rsidR="000A3ABC">
        <w:rPr>
          <w:rFonts w:asciiTheme="minorHAnsi" w:hAnsiTheme="minorHAnsi" w:cstheme="minorHAnsi"/>
          <w:sz w:val="24"/>
        </w:rPr>
        <w:t xml:space="preserve">umění </w:t>
      </w:r>
      <w:r w:rsidR="00212282">
        <w:rPr>
          <w:rFonts w:asciiTheme="minorHAnsi" w:hAnsiTheme="minorHAnsi" w:cstheme="minorHAnsi"/>
          <w:sz w:val="24"/>
        </w:rPr>
        <w:t>v</w:t>
      </w:r>
      <w:r w:rsidR="000A3ABC">
        <w:rPr>
          <w:rFonts w:asciiTheme="minorHAnsi" w:hAnsiTheme="minorHAnsi" w:cstheme="minorHAnsi"/>
          <w:sz w:val="24"/>
        </w:rPr>
        <w:t> italských</w:t>
      </w:r>
      <w:r w:rsidR="009C77C9">
        <w:rPr>
          <w:rFonts w:asciiTheme="minorHAnsi" w:hAnsiTheme="minorHAnsi" w:cstheme="minorHAnsi"/>
          <w:sz w:val="24"/>
        </w:rPr>
        <w:t xml:space="preserve"> </w:t>
      </w:r>
      <w:r w:rsidR="00212282">
        <w:rPr>
          <w:rFonts w:asciiTheme="minorHAnsi" w:hAnsiTheme="minorHAnsi" w:cstheme="minorHAnsi"/>
          <w:sz w:val="24"/>
        </w:rPr>
        <w:t>Benátkách. Zůstatková cena uvedeného majetku činila 2,9</w:t>
      </w:r>
      <w:r w:rsidR="004E63C0">
        <w:rPr>
          <w:rFonts w:asciiTheme="minorHAnsi" w:hAnsiTheme="minorHAnsi" w:cstheme="minorHAnsi"/>
          <w:sz w:val="24"/>
        </w:rPr>
        <w:t> </w:t>
      </w:r>
      <w:r w:rsidR="00212282">
        <w:rPr>
          <w:rFonts w:asciiTheme="minorHAnsi" w:hAnsiTheme="minorHAnsi" w:cstheme="minorHAnsi"/>
          <w:sz w:val="24"/>
        </w:rPr>
        <w:t xml:space="preserve">mil. Kč. Tuto zůstatkovou cenu MK účtovalo do nákladů na účet </w:t>
      </w:r>
      <w:r w:rsidR="00212282" w:rsidRPr="00287E33">
        <w:rPr>
          <w:rFonts w:asciiTheme="minorHAnsi" w:hAnsiTheme="minorHAnsi" w:cstheme="minorHAnsi"/>
          <w:sz w:val="24"/>
        </w:rPr>
        <w:t>551 –</w:t>
      </w:r>
      <w:r w:rsidR="00212282" w:rsidRPr="002D4B71">
        <w:rPr>
          <w:rFonts w:asciiTheme="minorHAnsi" w:hAnsiTheme="minorHAnsi" w:cstheme="minorHAnsi"/>
          <w:i/>
          <w:sz w:val="24"/>
        </w:rPr>
        <w:t xml:space="preserve"> Odpisy dlouhodobého majetku</w:t>
      </w:r>
      <w:r w:rsidR="00212282">
        <w:rPr>
          <w:rFonts w:asciiTheme="minorHAnsi" w:hAnsiTheme="minorHAnsi" w:cstheme="minorHAnsi"/>
          <w:sz w:val="24"/>
        </w:rPr>
        <w:t>, čímž ovlivnilo výsledek hospodaření vykázaný za rok 2014.</w:t>
      </w:r>
    </w:p>
    <w:p w:rsidR="00EB1790" w:rsidRPr="00C01E14" w:rsidRDefault="00EB1790"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t>2.6 Výnosy z</w:t>
      </w:r>
      <w:r w:rsidR="009C77C9">
        <w:rPr>
          <w:rFonts w:asciiTheme="minorHAnsi" w:hAnsiTheme="minorHAnsi" w:cstheme="minorHAnsi"/>
          <w:b/>
          <w:sz w:val="24"/>
        </w:rPr>
        <w:t xml:space="preserve"> </w:t>
      </w:r>
      <w:r>
        <w:rPr>
          <w:rFonts w:asciiTheme="minorHAnsi" w:hAnsiTheme="minorHAnsi" w:cstheme="minorHAnsi"/>
          <w:b/>
          <w:sz w:val="24"/>
        </w:rPr>
        <w:t>transferů</w:t>
      </w:r>
    </w:p>
    <w:p w:rsidR="00C01E14" w:rsidRDefault="00C01E14" w:rsidP="00A82ED8">
      <w:pPr>
        <w:pStyle w:val="NormlnKZ"/>
        <w:spacing w:after="0"/>
        <w:ind w:firstLine="0"/>
        <w:rPr>
          <w:rFonts w:asciiTheme="minorHAnsi" w:hAnsiTheme="minorHAnsi" w:cstheme="minorHAnsi"/>
          <w:sz w:val="24"/>
        </w:rPr>
      </w:pPr>
    </w:p>
    <w:p w:rsidR="00EB1790" w:rsidRDefault="00CF1885" w:rsidP="00A82ED8">
      <w:pPr>
        <w:pStyle w:val="NormlnKZ"/>
        <w:spacing w:after="0"/>
        <w:ind w:firstLine="0"/>
        <w:rPr>
          <w:rFonts w:asciiTheme="minorHAnsi" w:hAnsiTheme="minorHAnsi" w:cstheme="minorHAnsi"/>
          <w:sz w:val="24"/>
        </w:rPr>
      </w:pPr>
      <w:r>
        <w:rPr>
          <w:rFonts w:asciiTheme="minorHAnsi" w:hAnsiTheme="minorHAnsi" w:cstheme="minorHAnsi"/>
          <w:sz w:val="24"/>
        </w:rPr>
        <w:t xml:space="preserve">Pro </w:t>
      </w:r>
      <w:r w:rsidR="000A3ABC">
        <w:rPr>
          <w:rFonts w:asciiTheme="minorHAnsi" w:hAnsiTheme="minorHAnsi" w:cstheme="minorHAnsi"/>
          <w:sz w:val="24"/>
        </w:rPr>
        <w:t>účtování výnosů</w:t>
      </w:r>
      <w:r>
        <w:rPr>
          <w:rFonts w:asciiTheme="minorHAnsi" w:hAnsiTheme="minorHAnsi" w:cstheme="minorHAnsi"/>
          <w:sz w:val="24"/>
        </w:rPr>
        <w:t xml:space="preserve"> z</w:t>
      </w:r>
      <w:r w:rsidR="009C77C9">
        <w:rPr>
          <w:rFonts w:asciiTheme="minorHAnsi" w:hAnsiTheme="minorHAnsi" w:cstheme="minorHAnsi"/>
          <w:sz w:val="24"/>
        </w:rPr>
        <w:t xml:space="preserve"> </w:t>
      </w:r>
      <w:r>
        <w:rPr>
          <w:rFonts w:asciiTheme="minorHAnsi" w:hAnsiTheme="minorHAnsi" w:cstheme="minorHAnsi"/>
          <w:sz w:val="24"/>
        </w:rPr>
        <w:t xml:space="preserve">transferů </w:t>
      </w:r>
      <w:r w:rsidR="000A3ABC">
        <w:rPr>
          <w:rFonts w:asciiTheme="minorHAnsi" w:hAnsiTheme="minorHAnsi" w:cstheme="minorHAnsi"/>
          <w:sz w:val="24"/>
        </w:rPr>
        <w:t xml:space="preserve">stanoví </w:t>
      </w:r>
      <w:r w:rsidR="00EC3B9C">
        <w:rPr>
          <w:rFonts w:asciiTheme="minorHAnsi" w:hAnsiTheme="minorHAnsi" w:cstheme="minorHAnsi"/>
          <w:sz w:val="24"/>
        </w:rPr>
        <w:t>vyhláška č. 410/2009 Sb.</w:t>
      </w:r>
      <w:r>
        <w:rPr>
          <w:rFonts w:asciiTheme="minorHAnsi" w:hAnsiTheme="minorHAnsi" w:cstheme="minorHAnsi"/>
          <w:sz w:val="24"/>
        </w:rPr>
        <w:t xml:space="preserve"> účet </w:t>
      </w:r>
      <w:r w:rsidRPr="00287E33">
        <w:rPr>
          <w:rFonts w:asciiTheme="minorHAnsi" w:hAnsiTheme="minorHAnsi" w:cstheme="minorHAnsi"/>
          <w:sz w:val="24"/>
        </w:rPr>
        <w:t>671 –</w:t>
      </w:r>
      <w:r w:rsidRPr="002D4B71">
        <w:rPr>
          <w:rFonts w:asciiTheme="minorHAnsi" w:hAnsiTheme="minorHAnsi" w:cstheme="minorHAnsi"/>
          <w:i/>
          <w:sz w:val="24"/>
        </w:rPr>
        <w:t xml:space="preserve"> Výnosy vybraných ústředních vládních institucí z</w:t>
      </w:r>
      <w:r w:rsidR="009C77C9">
        <w:rPr>
          <w:rFonts w:asciiTheme="minorHAnsi" w:hAnsiTheme="minorHAnsi" w:cstheme="minorHAnsi"/>
          <w:i/>
          <w:sz w:val="24"/>
        </w:rPr>
        <w:t xml:space="preserve"> </w:t>
      </w:r>
      <w:r w:rsidRPr="002D4B71">
        <w:rPr>
          <w:rFonts w:asciiTheme="minorHAnsi" w:hAnsiTheme="minorHAnsi" w:cstheme="minorHAnsi"/>
          <w:i/>
          <w:sz w:val="24"/>
        </w:rPr>
        <w:t>transferů</w:t>
      </w:r>
      <w:r>
        <w:rPr>
          <w:rFonts w:asciiTheme="minorHAnsi" w:hAnsiTheme="minorHAnsi" w:cstheme="minorHAnsi"/>
          <w:sz w:val="24"/>
        </w:rPr>
        <w:t>. Kontrolou bylo zjištěno, že MK v</w:t>
      </w:r>
      <w:r w:rsidR="000A3ABC">
        <w:rPr>
          <w:rFonts w:asciiTheme="minorHAnsi" w:hAnsiTheme="minorHAnsi" w:cstheme="minorHAnsi"/>
          <w:sz w:val="24"/>
        </w:rPr>
        <w:t> </w:t>
      </w:r>
      <w:r>
        <w:rPr>
          <w:rFonts w:asciiTheme="minorHAnsi" w:hAnsiTheme="minorHAnsi" w:cstheme="minorHAnsi"/>
          <w:sz w:val="24"/>
        </w:rPr>
        <w:t xml:space="preserve">některých případech pro účtování </w:t>
      </w:r>
      <w:r w:rsidR="000A3ABC">
        <w:rPr>
          <w:rFonts w:asciiTheme="minorHAnsi" w:hAnsiTheme="minorHAnsi" w:cstheme="minorHAnsi"/>
          <w:sz w:val="24"/>
        </w:rPr>
        <w:t>výnosů z </w:t>
      </w:r>
      <w:r>
        <w:rPr>
          <w:rFonts w:asciiTheme="minorHAnsi" w:hAnsiTheme="minorHAnsi" w:cstheme="minorHAnsi"/>
          <w:sz w:val="24"/>
        </w:rPr>
        <w:t xml:space="preserve">transferů </w:t>
      </w:r>
      <w:r w:rsidR="000A3ABC">
        <w:rPr>
          <w:rFonts w:asciiTheme="minorHAnsi" w:hAnsiTheme="minorHAnsi" w:cstheme="minorHAnsi"/>
          <w:sz w:val="24"/>
        </w:rPr>
        <w:t xml:space="preserve">nepoužívalo </w:t>
      </w:r>
      <w:r>
        <w:rPr>
          <w:rFonts w:asciiTheme="minorHAnsi" w:hAnsiTheme="minorHAnsi" w:cstheme="minorHAnsi"/>
          <w:sz w:val="24"/>
        </w:rPr>
        <w:t>v</w:t>
      </w:r>
      <w:r w:rsidR="009C77C9">
        <w:rPr>
          <w:rFonts w:asciiTheme="minorHAnsi" w:hAnsiTheme="minorHAnsi" w:cstheme="minorHAnsi"/>
          <w:sz w:val="24"/>
        </w:rPr>
        <w:t xml:space="preserve"> </w:t>
      </w:r>
      <w:r>
        <w:rPr>
          <w:rFonts w:asciiTheme="minorHAnsi" w:hAnsiTheme="minorHAnsi" w:cstheme="minorHAnsi"/>
          <w:sz w:val="24"/>
        </w:rPr>
        <w:t xml:space="preserve">roce 2014 účet 671, ale účtovalo prostřednictvím netransferového účtu </w:t>
      </w:r>
      <w:r w:rsidRPr="00287E33">
        <w:rPr>
          <w:rFonts w:asciiTheme="minorHAnsi" w:hAnsiTheme="minorHAnsi" w:cstheme="minorHAnsi"/>
          <w:sz w:val="24"/>
        </w:rPr>
        <w:t>649 –</w:t>
      </w:r>
      <w:r w:rsidRPr="002D4B71">
        <w:rPr>
          <w:rFonts w:asciiTheme="minorHAnsi" w:hAnsiTheme="minorHAnsi" w:cstheme="minorHAnsi"/>
          <w:i/>
          <w:sz w:val="24"/>
        </w:rPr>
        <w:t xml:space="preserve"> Ostatní výnosy z</w:t>
      </w:r>
      <w:r w:rsidR="009C77C9">
        <w:rPr>
          <w:rFonts w:asciiTheme="minorHAnsi" w:hAnsiTheme="minorHAnsi" w:cstheme="minorHAnsi"/>
          <w:i/>
          <w:sz w:val="24"/>
        </w:rPr>
        <w:t xml:space="preserve"> </w:t>
      </w:r>
      <w:r w:rsidRPr="002D4B71">
        <w:rPr>
          <w:rFonts w:asciiTheme="minorHAnsi" w:hAnsiTheme="minorHAnsi" w:cstheme="minorHAnsi"/>
          <w:i/>
          <w:sz w:val="24"/>
        </w:rPr>
        <w:t>činnosti</w:t>
      </w:r>
      <w:r>
        <w:rPr>
          <w:rFonts w:asciiTheme="minorHAnsi" w:hAnsiTheme="minorHAnsi" w:cstheme="minorHAnsi"/>
          <w:sz w:val="24"/>
        </w:rPr>
        <w:t>. Celková takto identifikovaná nesprávnost byla ve výši 1,1 mil. Kč.</w:t>
      </w:r>
    </w:p>
    <w:p w:rsidR="00B23DDE" w:rsidRDefault="00B23DDE"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t>2.7 Odpisy dlouhodobého majetku</w:t>
      </w:r>
    </w:p>
    <w:p w:rsidR="00C01E14" w:rsidRDefault="00C01E14" w:rsidP="00A82ED8">
      <w:pPr>
        <w:pStyle w:val="NormlnKZ"/>
        <w:spacing w:after="0"/>
        <w:ind w:firstLine="0"/>
        <w:rPr>
          <w:rFonts w:asciiTheme="minorHAnsi" w:hAnsiTheme="minorHAnsi" w:cstheme="minorHAnsi"/>
          <w:sz w:val="24"/>
        </w:rPr>
      </w:pPr>
    </w:p>
    <w:p w:rsidR="00F074E5" w:rsidRDefault="00540A9B" w:rsidP="00A82ED8">
      <w:pPr>
        <w:pStyle w:val="NormlnKZ"/>
        <w:spacing w:after="0"/>
        <w:ind w:firstLine="0"/>
        <w:rPr>
          <w:rFonts w:asciiTheme="minorHAnsi" w:hAnsiTheme="minorHAnsi" w:cs="Calibri"/>
          <w:sz w:val="24"/>
        </w:rPr>
      </w:pPr>
      <w:r>
        <w:rPr>
          <w:rFonts w:asciiTheme="minorHAnsi" w:hAnsiTheme="minorHAnsi" w:cstheme="minorHAnsi"/>
          <w:sz w:val="24"/>
        </w:rPr>
        <w:t>MK o odpi</w:t>
      </w:r>
      <w:r w:rsidR="00F17446">
        <w:rPr>
          <w:rFonts w:asciiTheme="minorHAnsi" w:hAnsiTheme="minorHAnsi" w:cstheme="minorHAnsi"/>
          <w:sz w:val="24"/>
        </w:rPr>
        <w:t>sech dlouhodobého majetku účtovalo</w:t>
      </w:r>
      <w:r>
        <w:rPr>
          <w:rFonts w:asciiTheme="minorHAnsi" w:hAnsiTheme="minorHAnsi" w:cstheme="minorHAnsi"/>
          <w:sz w:val="24"/>
        </w:rPr>
        <w:t xml:space="preserve"> jedenkrát ročně. </w:t>
      </w:r>
      <w:r w:rsidRPr="00B61D32">
        <w:rPr>
          <w:rFonts w:asciiTheme="minorHAnsi" w:hAnsiTheme="minorHAnsi" w:cs="Calibri"/>
          <w:sz w:val="24"/>
        </w:rPr>
        <w:t>Kontrolou bylo zjištěno</w:t>
      </w:r>
      <w:r>
        <w:rPr>
          <w:rFonts w:asciiTheme="minorHAnsi" w:hAnsiTheme="minorHAnsi" w:cs="Calibri"/>
          <w:sz w:val="24"/>
        </w:rPr>
        <w:t xml:space="preserve">, že MK </w:t>
      </w:r>
      <w:r w:rsidR="000B1BD9">
        <w:rPr>
          <w:rFonts w:asciiTheme="minorHAnsi" w:hAnsiTheme="minorHAnsi" w:cs="Calibri"/>
          <w:sz w:val="24"/>
        </w:rPr>
        <w:t>při odpisování majetku vychází</w:t>
      </w:r>
      <w:r>
        <w:rPr>
          <w:rFonts w:asciiTheme="minorHAnsi" w:hAnsiTheme="minorHAnsi" w:cs="Calibri"/>
          <w:sz w:val="24"/>
        </w:rPr>
        <w:t xml:space="preserve"> z</w:t>
      </w:r>
      <w:r w:rsidR="009C77C9">
        <w:rPr>
          <w:rFonts w:asciiTheme="minorHAnsi" w:hAnsiTheme="minorHAnsi" w:cs="Calibri"/>
          <w:sz w:val="24"/>
        </w:rPr>
        <w:t xml:space="preserve"> </w:t>
      </w:r>
      <w:r w:rsidR="000B1BD9">
        <w:rPr>
          <w:rFonts w:asciiTheme="minorHAnsi" w:hAnsiTheme="minorHAnsi" w:cs="Calibri"/>
          <w:sz w:val="24"/>
        </w:rPr>
        <w:t>pořizovací hodnoty nesnížené o </w:t>
      </w:r>
      <w:r>
        <w:rPr>
          <w:rFonts w:asciiTheme="minorHAnsi" w:hAnsiTheme="minorHAnsi" w:cs="Calibri"/>
          <w:sz w:val="24"/>
        </w:rPr>
        <w:t xml:space="preserve">zůstatkovou cenu při vyřazení majetku, resp. zbytkovou hodnotu. </w:t>
      </w:r>
      <w:r w:rsidRPr="00540A9B">
        <w:rPr>
          <w:rFonts w:asciiTheme="minorHAnsi" w:hAnsiTheme="minorHAnsi" w:cs="Calibri"/>
          <w:sz w:val="24"/>
        </w:rPr>
        <w:t xml:space="preserve">MK v průběhu roku 2014 odpisovalo </w:t>
      </w:r>
      <w:r w:rsidR="006072A8">
        <w:rPr>
          <w:rFonts w:asciiTheme="minorHAnsi" w:hAnsiTheme="minorHAnsi" w:cs="Calibri"/>
          <w:sz w:val="24"/>
        </w:rPr>
        <w:t>majetek v </w:t>
      </w:r>
      <w:r w:rsidRPr="00540A9B">
        <w:rPr>
          <w:rFonts w:asciiTheme="minorHAnsi" w:hAnsiTheme="minorHAnsi" w:cs="Calibri"/>
          <w:sz w:val="24"/>
        </w:rPr>
        <w:t>rozporu s</w:t>
      </w:r>
      <w:r w:rsidR="002D4B71">
        <w:rPr>
          <w:rFonts w:asciiTheme="minorHAnsi" w:hAnsiTheme="minorHAnsi" w:cs="Calibri"/>
          <w:sz w:val="24"/>
        </w:rPr>
        <w:t> </w:t>
      </w:r>
      <w:r w:rsidRPr="00540A9B">
        <w:rPr>
          <w:rFonts w:asciiTheme="minorHAnsi" w:hAnsiTheme="minorHAnsi" w:cs="Calibri"/>
          <w:sz w:val="24"/>
        </w:rPr>
        <w:t>§ 66 odst. 1 vyhlášky č. 410/2009 Sb., protože zvoleným postupem odpisování neodpisovalo majetek po celou dobu jeho používání. Doba odpisování majetku byla kratší než doba stanovená odpisovým plánem.</w:t>
      </w:r>
      <w:r>
        <w:rPr>
          <w:rFonts w:asciiTheme="minorHAnsi" w:hAnsiTheme="minorHAnsi" w:cs="Calibri"/>
          <w:sz w:val="24"/>
        </w:rPr>
        <w:t xml:space="preserve"> </w:t>
      </w:r>
      <w:r w:rsidR="00F074E5" w:rsidRPr="00F074E5">
        <w:rPr>
          <w:rFonts w:asciiTheme="minorHAnsi" w:hAnsiTheme="minorHAnsi" w:cs="Calibri"/>
          <w:sz w:val="24"/>
        </w:rPr>
        <w:t xml:space="preserve">MK tím, že od pořizovací ceny </w:t>
      </w:r>
      <w:r w:rsidR="00F074E5">
        <w:rPr>
          <w:rFonts w:asciiTheme="minorHAnsi" w:hAnsiTheme="minorHAnsi" w:cs="Calibri"/>
          <w:sz w:val="24"/>
        </w:rPr>
        <w:t xml:space="preserve">kontrolovaného vzorku </w:t>
      </w:r>
      <w:r w:rsidR="00F074E5" w:rsidRPr="00F074E5">
        <w:rPr>
          <w:rFonts w:asciiTheme="minorHAnsi" w:hAnsiTheme="minorHAnsi" w:cs="Calibri"/>
          <w:sz w:val="24"/>
        </w:rPr>
        <w:t>majetku nejprve neodečetlo zvolenou zůstatkovou cenu pro účely vyřazení majetku ve výši 5 % a teprve z této hodnoty nestanovilo roční odpisy</w:t>
      </w:r>
      <w:r w:rsidR="00F074E5">
        <w:rPr>
          <w:rFonts w:asciiTheme="minorHAnsi" w:hAnsiTheme="minorHAnsi" w:cs="Calibri"/>
          <w:sz w:val="24"/>
        </w:rPr>
        <w:t xml:space="preserve">, </w:t>
      </w:r>
      <w:r w:rsidR="000B1BD9">
        <w:rPr>
          <w:rFonts w:asciiTheme="minorHAnsi" w:hAnsiTheme="minorHAnsi" w:cs="Calibri"/>
          <w:sz w:val="24"/>
        </w:rPr>
        <w:t xml:space="preserve">vykázalo </w:t>
      </w:r>
      <w:r w:rsidR="00F074E5">
        <w:rPr>
          <w:rFonts w:asciiTheme="minorHAnsi" w:hAnsiTheme="minorHAnsi" w:cs="Calibri"/>
          <w:sz w:val="24"/>
        </w:rPr>
        <w:t>v</w:t>
      </w:r>
      <w:r w:rsidR="006072A8">
        <w:rPr>
          <w:rFonts w:asciiTheme="minorHAnsi" w:hAnsiTheme="minorHAnsi" w:cs="Calibri"/>
          <w:sz w:val="24"/>
        </w:rPr>
        <w:t> </w:t>
      </w:r>
      <w:r w:rsidR="00F074E5">
        <w:rPr>
          <w:rFonts w:asciiTheme="minorHAnsi" w:hAnsiTheme="minorHAnsi" w:cs="Calibri"/>
          <w:sz w:val="24"/>
        </w:rPr>
        <w:t xml:space="preserve">nákladech </w:t>
      </w:r>
      <w:r w:rsidR="00C571FA">
        <w:rPr>
          <w:rFonts w:asciiTheme="minorHAnsi" w:hAnsiTheme="minorHAnsi" w:cs="Calibri"/>
          <w:sz w:val="24"/>
        </w:rPr>
        <w:t xml:space="preserve">navíc </w:t>
      </w:r>
      <w:r w:rsidR="00F074E5">
        <w:rPr>
          <w:rFonts w:asciiTheme="minorHAnsi" w:hAnsiTheme="minorHAnsi" w:cs="Calibri"/>
          <w:sz w:val="24"/>
        </w:rPr>
        <w:t>880</w:t>
      </w:r>
      <w:r w:rsidR="002D4B71">
        <w:rPr>
          <w:rFonts w:asciiTheme="minorHAnsi" w:hAnsiTheme="minorHAnsi" w:cs="Calibri"/>
          <w:sz w:val="24"/>
        </w:rPr>
        <w:t> </w:t>
      </w:r>
      <w:r w:rsidR="00F074E5">
        <w:rPr>
          <w:rFonts w:asciiTheme="minorHAnsi" w:hAnsiTheme="minorHAnsi" w:cs="Calibri"/>
          <w:sz w:val="24"/>
        </w:rPr>
        <w:t>tis.</w:t>
      </w:r>
      <w:r w:rsidR="002D4B71">
        <w:rPr>
          <w:rFonts w:asciiTheme="minorHAnsi" w:hAnsiTheme="minorHAnsi" w:cs="Calibri"/>
          <w:sz w:val="24"/>
        </w:rPr>
        <w:t> </w:t>
      </w:r>
      <w:r w:rsidR="00F074E5">
        <w:rPr>
          <w:rFonts w:asciiTheme="minorHAnsi" w:hAnsiTheme="minorHAnsi" w:cs="Calibri"/>
          <w:sz w:val="24"/>
        </w:rPr>
        <w:t>Kč.</w:t>
      </w:r>
    </w:p>
    <w:p w:rsidR="00540A9B" w:rsidRDefault="00540A9B" w:rsidP="00A82ED8">
      <w:pPr>
        <w:pStyle w:val="NormlnKZ"/>
        <w:spacing w:after="0"/>
        <w:ind w:firstLine="0"/>
        <w:rPr>
          <w:rFonts w:asciiTheme="minorHAnsi" w:hAnsiTheme="minorHAnsi" w:cstheme="minorHAnsi"/>
          <w:sz w:val="24"/>
        </w:rPr>
      </w:pPr>
    </w:p>
    <w:p w:rsidR="00585E57" w:rsidRDefault="00585E57" w:rsidP="00A82ED8">
      <w:pPr>
        <w:pStyle w:val="NormlnKZ"/>
        <w:spacing w:after="0"/>
        <w:ind w:firstLine="0"/>
        <w:rPr>
          <w:rFonts w:asciiTheme="minorHAnsi" w:hAnsiTheme="minorHAnsi" w:cstheme="minorHAnsi"/>
          <w:sz w:val="24"/>
        </w:rPr>
      </w:pPr>
    </w:p>
    <w:p w:rsidR="00585E57" w:rsidRPr="00540A9B" w:rsidRDefault="00585E57"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lastRenderedPageBreak/>
        <w:t>2.8 Neúčtování o podmíněných závazcích</w:t>
      </w:r>
    </w:p>
    <w:p w:rsidR="00C01E14" w:rsidRDefault="00C01E14" w:rsidP="00A82ED8">
      <w:pPr>
        <w:pStyle w:val="NormlnKZ"/>
        <w:spacing w:after="0"/>
        <w:ind w:firstLine="0"/>
        <w:rPr>
          <w:rFonts w:asciiTheme="minorHAnsi" w:hAnsiTheme="minorHAnsi" w:cstheme="minorHAnsi"/>
          <w:sz w:val="24"/>
        </w:rPr>
      </w:pPr>
    </w:p>
    <w:p w:rsidR="00EB1790" w:rsidRDefault="00EE6493" w:rsidP="00A82ED8">
      <w:pPr>
        <w:pStyle w:val="NormlnKZ"/>
        <w:spacing w:after="0"/>
        <w:ind w:firstLine="0"/>
        <w:rPr>
          <w:rFonts w:asciiTheme="minorHAnsi" w:hAnsiTheme="minorHAnsi" w:cstheme="minorHAnsi"/>
          <w:sz w:val="24"/>
        </w:rPr>
      </w:pPr>
      <w:r>
        <w:rPr>
          <w:rFonts w:asciiTheme="minorHAnsi" w:hAnsiTheme="minorHAnsi" w:cstheme="minorHAnsi"/>
          <w:sz w:val="24"/>
        </w:rPr>
        <w:t>Kontrolou bylo zjištěno, že MK na podrozvahových účtech neúčtovalo o všech krátkodobých či dlouhodobých podmíněných závazcích. Jednalo se např. o následující případy:</w:t>
      </w:r>
    </w:p>
    <w:p w:rsidR="00684740" w:rsidRPr="008C3B96" w:rsidRDefault="00EE6493" w:rsidP="008C3B96">
      <w:pPr>
        <w:pStyle w:val="NormlnKZ"/>
        <w:numPr>
          <w:ilvl w:val="0"/>
          <w:numId w:val="47"/>
        </w:numPr>
        <w:spacing w:after="0"/>
        <w:ind w:left="340" w:hanging="340"/>
        <w:rPr>
          <w:rFonts w:asciiTheme="minorHAnsi" w:hAnsiTheme="minorHAnsi" w:cstheme="minorHAnsi"/>
          <w:sz w:val="24"/>
        </w:rPr>
      </w:pPr>
      <w:r w:rsidRPr="008C3B96">
        <w:rPr>
          <w:rFonts w:asciiTheme="minorHAnsi" w:hAnsiTheme="minorHAnsi" w:cstheme="minorHAnsi"/>
          <w:sz w:val="24"/>
        </w:rPr>
        <w:t>MK v</w:t>
      </w:r>
      <w:r w:rsidR="009C77C9" w:rsidRPr="008C3B96">
        <w:rPr>
          <w:rFonts w:asciiTheme="minorHAnsi" w:hAnsiTheme="minorHAnsi" w:cstheme="minorHAnsi"/>
          <w:sz w:val="24"/>
        </w:rPr>
        <w:t xml:space="preserve"> </w:t>
      </w:r>
      <w:r w:rsidRPr="008C3B96">
        <w:rPr>
          <w:rFonts w:asciiTheme="minorHAnsi" w:hAnsiTheme="minorHAnsi" w:cstheme="minorHAnsi"/>
          <w:sz w:val="24"/>
        </w:rPr>
        <w:t xml:space="preserve">roce 2012 uzavřelo </w:t>
      </w:r>
      <w:r w:rsidR="00287E33">
        <w:rPr>
          <w:rFonts w:asciiTheme="minorHAnsi" w:hAnsiTheme="minorHAnsi" w:cstheme="minorHAnsi"/>
          <w:sz w:val="24"/>
        </w:rPr>
        <w:t>s</w:t>
      </w:r>
      <w:r w:rsidRPr="008C3B96">
        <w:rPr>
          <w:rFonts w:asciiTheme="minorHAnsi" w:hAnsiTheme="minorHAnsi" w:cstheme="minorHAnsi"/>
          <w:sz w:val="24"/>
        </w:rPr>
        <w:t xml:space="preserve">mlouvu o poskytnutí účelové podpory </w:t>
      </w:r>
      <w:r w:rsidR="00684740" w:rsidRPr="008C3B96">
        <w:rPr>
          <w:rFonts w:asciiTheme="minorHAnsi" w:hAnsiTheme="minorHAnsi" w:cstheme="minorHAnsi"/>
          <w:sz w:val="24"/>
        </w:rPr>
        <w:t>z</w:t>
      </w:r>
      <w:r w:rsidR="009C77C9" w:rsidRPr="008C3B96">
        <w:rPr>
          <w:rFonts w:asciiTheme="minorHAnsi" w:hAnsiTheme="minorHAnsi" w:cstheme="minorHAnsi"/>
          <w:sz w:val="24"/>
        </w:rPr>
        <w:t xml:space="preserve"> </w:t>
      </w:r>
      <w:r w:rsidR="00684740" w:rsidRPr="00287E33">
        <w:rPr>
          <w:rFonts w:asciiTheme="minorHAnsi" w:hAnsiTheme="minorHAnsi" w:cstheme="minorHAnsi"/>
          <w:i/>
          <w:sz w:val="24"/>
        </w:rPr>
        <w:t>Programu aplikovaného výzkumu a vývoje národní kulturní identity</w:t>
      </w:r>
      <w:r w:rsidR="00684740" w:rsidRPr="008C3B96">
        <w:rPr>
          <w:rFonts w:asciiTheme="minorHAnsi" w:hAnsiTheme="minorHAnsi" w:cstheme="minorHAnsi"/>
          <w:sz w:val="24"/>
        </w:rPr>
        <w:t xml:space="preserve"> v</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celkové výši 19</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735</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000 Kč. K</w:t>
      </w:r>
      <w:r w:rsidR="00287E33">
        <w:rPr>
          <w:rFonts w:asciiTheme="minorHAnsi" w:hAnsiTheme="minorHAnsi" w:cstheme="minorHAnsi"/>
          <w:sz w:val="24"/>
        </w:rPr>
        <w:t> </w:t>
      </w:r>
      <w:r w:rsidR="00684740" w:rsidRPr="008C3B96">
        <w:rPr>
          <w:rFonts w:asciiTheme="minorHAnsi" w:hAnsiTheme="minorHAnsi" w:cstheme="minorHAnsi"/>
          <w:sz w:val="24"/>
        </w:rPr>
        <w:t>31. 12. 2014 zbývalo dle smlouvy pro rok 2015 k</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vyplacení 5</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143</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000 Kč. Tuto částku MK k</w:t>
      </w:r>
      <w:r w:rsidR="009C77C9" w:rsidRPr="008C3B96">
        <w:rPr>
          <w:rFonts w:asciiTheme="minorHAnsi" w:hAnsiTheme="minorHAnsi" w:cstheme="minorHAnsi"/>
          <w:sz w:val="24"/>
        </w:rPr>
        <w:t xml:space="preserve"> </w:t>
      </w:r>
      <w:r w:rsidR="00684740" w:rsidRPr="008C3B96">
        <w:rPr>
          <w:rFonts w:asciiTheme="minorHAnsi" w:hAnsiTheme="minorHAnsi" w:cstheme="minorHAnsi"/>
          <w:sz w:val="24"/>
        </w:rPr>
        <w:t xml:space="preserve">31. 12. 2014 nevykázalo na podrozvahovém účtu </w:t>
      </w:r>
      <w:r w:rsidR="00684740" w:rsidRPr="000B1BD9">
        <w:rPr>
          <w:rFonts w:asciiTheme="minorHAnsi" w:hAnsiTheme="minorHAnsi" w:cstheme="minorHAnsi"/>
          <w:sz w:val="24"/>
        </w:rPr>
        <w:t>973 –</w:t>
      </w:r>
      <w:r w:rsidR="00684740" w:rsidRPr="008C3B96">
        <w:rPr>
          <w:rFonts w:asciiTheme="minorHAnsi" w:hAnsiTheme="minorHAnsi" w:cstheme="minorHAnsi"/>
          <w:i/>
          <w:sz w:val="24"/>
        </w:rPr>
        <w:t xml:space="preserve"> Krátkodobé podmíněné závazky z</w:t>
      </w:r>
      <w:r w:rsidR="009C77C9" w:rsidRPr="008C3B96">
        <w:rPr>
          <w:rFonts w:asciiTheme="minorHAnsi" w:hAnsiTheme="minorHAnsi" w:cstheme="minorHAnsi"/>
          <w:i/>
          <w:sz w:val="24"/>
        </w:rPr>
        <w:t xml:space="preserve"> </w:t>
      </w:r>
      <w:r w:rsidR="00684740" w:rsidRPr="008C3B96">
        <w:rPr>
          <w:rFonts w:asciiTheme="minorHAnsi" w:hAnsiTheme="minorHAnsi" w:cstheme="minorHAnsi"/>
          <w:i/>
          <w:sz w:val="24"/>
        </w:rPr>
        <w:t>jiných smluv.</w:t>
      </w:r>
    </w:p>
    <w:p w:rsidR="00684740" w:rsidRPr="008C3B96" w:rsidRDefault="00684740" w:rsidP="008C3B96">
      <w:pPr>
        <w:pStyle w:val="NormlnKZ"/>
        <w:numPr>
          <w:ilvl w:val="0"/>
          <w:numId w:val="47"/>
        </w:numPr>
        <w:spacing w:after="0"/>
        <w:ind w:left="340" w:hanging="340"/>
        <w:rPr>
          <w:rFonts w:asciiTheme="minorHAnsi" w:hAnsiTheme="minorHAnsi" w:cstheme="minorHAnsi"/>
          <w:sz w:val="24"/>
        </w:rPr>
      </w:pPr>
      <w:r w:rsidRPr="008C3B96">
        <w:rPr>
          <w:rFonts w:asciiTheme="minorHAnsi" w:hAnsiTheme="minorHAnsi" w:cstheme="minorHAnsi"/>
          <w:sz w:val="24"/>
        </w:rPr>
        <w:t>V</w:t>
      </w:r>
      <w:r w:rsidR="009C77C9" w:rsidRPr="008C3B96">
        <w:rPr>
          <w:rFonts w:asciiTheme="minorHAnsi" w:hAnsiTheme="minorHAnsi" w:cstheme="minorHAnsi"/>
          <w:sz w:val="24"/>
        </w:rPr>
        <w:t xml:space="preserve"> </w:t>
      </w:r>
      <w:r w:rsidRPr="008C3B96">
        <w:rPr>
          <w:rFonts w:asciiTheme="minorHAnsi" w:hAnsiTheme="minorHAnsi" w:cstheme="minorHAnsi"/>
          <w:sz w:val="24"/>
        </w:rPr>
        <w:t xml:space="preserve">roce 2014 MK uzavřelo </w:t>
      </w:r>
      <w:r w:rsidR="00287E33">
        <w:rPr>
          <w:rFonts w:asciiTheme="minorHAnsi" w:hAnsiTheme="minorHAnsi" w:cstheme="minorHAnsi"/>
          <w:sz w:val="24"/>
        </w:rPr>
        <w:t>s</w:t>
      </w:r>
      <w:r w:rsidRPr="008C3B96">
        <w:rPr>
          <w:rFonts w:asciiTheme="minorHAnsi" w:hAnsiTheme="minorHAnsi" w:cstheme="minorHAnsi"/>
          <w:sz w:val="24"/>
        </w:rPr>
        <w:t xml:space="preserve">mlouvu o dlouhodobé spolupráci na realizaci projektu </w:t>
      </w:r>
      <w:r w:rsidRPr="00287E33">
        <w:rPr>
          <w:rFonts w:asciiTheme="minorHAnsi" w:hAnsiTheme="minorHAnsi" w:cstheme="minorHAnsi"/>
          <w:i/>
          <w:sz w:val="24"/>
        </w:rPr>
        <w:t>Poskytování nadačních příspěvků v</w:t>
      </w:r>
      <w:r w:rsidR="009C77C9" w:rsidRPr="00287E33">
        <w:rPr>
          <w:rFonts w:asciiTheme="minorHAnsi" w:hAnsiTheme="minorHAnsi" w:cstheme="minorHAnsi"/>
          <w:i/>
          <w:sz w:val="24"/>
        </w:rPr>
        <w:t xml:space="preserve"> </w:t>
      </w:r>
      <w:r w:rsidRPr="00287E33">
        <w:rPr>
          <w:rFonts w:asciiTheme="minorHAnsi" w:hAnsiTheme="minorHAnsi" w:cstheme="minorHAnsi"/>
          <w:i/>
          <w:sz w:val="24"/>
        </w:rPr>
        <w:t>programech Obnova, Připomínka a budoucnost</w:t>
      </w:r>
      <w:r w:rsidRPr="008C3B96">
        <w:rPr>
          <w:rFonts w:asciiTheme="minorHAnsi" w:hAnsiTheme="minorHAnsi" w:cstheme="minorHAnsi"/>
          <w:sz w:val="24"/>
        </w:rPr>
        <w:t>. Smlouva byla uzavřena na dobu</w:t>
      </w:r>
      <w:r w:rsidR="00D16704" w:rsidRPr="008C3B96">
        <w:rPr>
          <w:rFonts w:asciiTheme="minorHAnsi" w:hAnsiTheme="minorHAnsi" w:cstheme="minorHAnsi"/>
          <w:sz w:val="24"/>
        </w:rPr>
        <w:t xml:space="preserve"> 5 let s</w:t>
      </w:r>
      <w:r w:rsidR="009C77C9" w:rsidRPr="008C3B96">
        <w:rPr>
          <w:rFonts w:asciiTheme="minorHAnsi" w:hAnsiTheme="minorHAnsi" w:cstheme="minorHAnsi"/>
          <w:sz w:val="24"/>
        </w:rPr>
        <w:t xml:space="preserve"> </w:t>
      </w:r>
      <w:r w:rsidR="00D16704" w:rsidRPr="008C3B96">
        <w:rPr>
          <w:rFonts w:asciiTheme="minorHAnsi" w:hAnsiTheme="minorHAnsi" w:cstheme="minorHAnsi"/>
          <w:sz w:val="24"/>
        </w:rPr>
        <w:t>tím, že ročně bude v</w:t>
      </w:r>
      <w:r w:rsidR="009C77C9" w:rsidRPr="008C3B96">
        <w:rPr>
          <w:rFonts w:asciiTheme="minorHAnsi" w:hAnsiTheme="minorHAnsi" w:cstheme="minorHAnsi"/>
          <w:sz w:val="24"/>
        </w:rPr>
        <w:t xml:space="preserve"> </w:t>
      </w:r>
      <w:r w:rsidR="00D16704" w:rsidRPr="008C3B96">
        <w:rPr>
          <w:rFonts w:asciiTheme="minorHAnsi" w:hAnsiTheme="minorHAnsi" w:cstheme="minorHAnsi"/>
          <w:sz w:val="24"/>
        </w:rPr>
        <w:t>letech 2015–2019 dle předběžného rozpočtu vyplácen</w:t>
      </w:r>
      <w:r w:rsidR="006B01AD" w:rsidRPr="008C3B96">
        <w:rPr>
          <w:rFonts w:asciiTheme="minorHAnsi" w:hAnsiTheme="minorHAnsi" w:cstheme="minorHAnsi"/>
          <w:sz w:val="24"/>
        </w:rPr>
        <w:t>a dotace ve výši</w:t>
      </w:r>
      <w:r w:rsidR="00D16704" w:rsidRPr="008C3B96">
        <w:rPr>
          <w:rFonts w:asciiTheme="minorHAnsi" w:hAnsiTheme="minorHAnsi" w:cstheme="minorHAnsi"/>
          <w:sz w:val="24"/>
        </w:rPr>
        <w:t xml:space="preserve"> 20 mil</w:t>
      </w:r>
      <w:r w:rsidR="003251ED">
        <w:rPr>
          <w:rFonts w:asciiTheme="minorHAnsi" w:hAnsiTheme="minorHAnsi" w:cstheme="minorHAnsi"/>
          <w:sz w:val="24"/>
        </w:rPr>
        <w:t>. Kč až do vyčerpání částky 100 </w:t>
      </w:r>
      <w:r w:rsidR="00D16704" w:rsidRPr="008C3B96">
        <w:rPr>
          <w:rFonts w:asciiTheme="minorHAnsi" w:hAnsiTheme="minorHAnsi" w:cstheme="minorHAnsi"/>
          <w:sz w:val="24"/>
        </w:rPr>
        <w:t>mil.</w:t>
      </w:r>
      <w:r w:rsidR="003251ED">
        <w:rPr>
          <w:rFonts w:asciiTheme="minorHAnsi" w:hAnsiTheme="minorHAnsi" w:cstheme="minorHAnsi"/>
          <w:sz w:val="24"/>
        </w:rPr>
        <w:t> </w:t>
      </w:r>
      <w:r w:rsidR="00D16704" w:rsidRPr="008C3B96">
        <w:rPr>
          <w:rFonts w:asciiTheme="minorHAnsi" w:hAnsiTheme="minorHAnsi" w:cstheme="minorHAnsi"/>
          <w:sz w:val="24"/>
        </w:rPr>
        <w:t>Kč. K 31.</w:t>
      </w:r>
      <w:r w:rsidR="002D4B71" w:rsidRPr="008C3B96">
        <w:rPr>
          <w:rFonts w:asciiTheme="minorHAnsi" w:hAnsiTheme="minorHAnsi" w:cstheme="minorHAnsi"/>
          <w:sz w:val="24"/>
        </w:rPr>
        <w:t> </w:t>
      </w:r>
      <w:r w:rsidR="00D16704" w:rsidRPr="008C3B96">
        <w:rPr>
          <w:rFonts w:asciiTheme="minorHAnsi" w:hAnsiTheme="minorHAnsi" w:cstheme="minorHAnsi"/>
          <w:sz w:val="24"/>
        </w:rPr>
        <w:t>12.</w:t>
      </w:r>
      <w:r w:rsidR="002D4B71" w:rsidRPr="008C3B96">
        <w:rPr>
          <w:rFonts w:asciiTheme="minorHAnsi" w:hAnsiTheme="minorHAnsi" w:cstheme="minorHAnsi"/>
          <w:sz w:val="24"/>
        </w:rPr>
        <w:t> </w:t>
      </w:r>
      <w:r w:rsidR="00D16704" w:rsidRPr="008C3B96">
        <w:rPr>
          <w:rFonts w:asciiTheme="minorHAnsi" w:hAnsiTheme="minorHAnsi" w:cstheme="minorHAnsi"/>
          <w:sz w:val="24"/>
        </w:rPr>
        <w:t>2014 tak MK mělo na podrozvahových účtech vykázat krátkodobé a</w:t>
      </w:r>
      <w:r w:rsidR="003251ED">
        <w:rPr>
          <w:rFonts w:asciiTheme="minorHAnsi" w:hAnsiTheme="minorHAnsi" w:cstheme="minorHAnsi"/>
          <w:sz w:val="24"/>
        </w:rPr>
        <w:t> </w:t>
      </w:r>
      <w:r w:rsidR="00D16704" w:rsidRPr="008C3B96">
        <w:rPr>
          <w:rFonts w:asciiTheme="minorHAnsi" w:hAnsiTheme="minorHAnsi" w:cstheme="minorHAnsi"/>
          <w:sz w:val="24"/>
        </w:rPr>
        <w:t>dlouhodobé podmíněné závazky z</w:t>
      </w:r>
      <w:r w:rsidR="009C77C9" w:rsidRPr="008C3B96">
        <w:rPr>
          <w:rFonts w:asciiTheme="minorHAnsi" w:hAnsiTheme="minorHAnsi" w:cstheme="minorHAnsi"/>
          <w:sz w:val="24"/>
        </w:rPr>
        <w:t xml:space="preserve"> </w:t>
      </w:r>
      <w:r w:rsidR="00D16704" w:rsidRPr="008C3B96">
        <w:rPr>
          <w:rFonts w:asciiTheme="minorHAnsi" w:hAnsiTheme="minorHAnsi" w:cstheme="minorHAnsi"/>
          <w:sz w:val="24"/>
        </w:rPr>
        <w:t>jiných smluv v</w:t>
      </w:r>
      <w:r w:rsidR="009C77C9" w:rsidRPr="008C3B96">
        <w:rPr>
          <w:rFonts w:asciiTheme="minorHAnsi" w:hAnsiTheme="minorHAnsi" w:cstheme="minorHAnsi"/>
          <w:sz w:val="24"/>
        </w:rPr>
        <w:t xml:space="preserve"> </w:t>
      </w:r>
      <w:r w:rsidR="00D16704" w:rsidRPr="008C3B96">
        <w:rPr>
          <w:rFonts w:asciiTheme="minorHAnsi" w:hAnsiTheme="minorHAnsi" w:cstheme="minorHAnsi"/>
          <w:sz w:val="24"/>
        </w:rPr>
        <w:t>ocenění stanoveném minimálně za tři následující účetní období, tj. v</w:t>
      </w:r>
      <w:r w:rsidR="009C77C9" w:rsidRPr="008C3B96">
        <w:rPr>
          <w:rFonts w:asciiTheme="minorHAnsi" w:hAnsiTheme="minorHAnsi" w:cstheme="minorHAnsi"/>
          <w:sz w:val="24"/>
        </w:rPr>
        <w:t xml:space="preserve"> </w:t>
      </w:r>
      <w:r w:rsidR="00287E33">
        <w:rPr>
          <w:rFonts w:asciiTheme="minorHAnsi" w:hAnsiTheme="minorHAnsi" w:cstheme="minorHAnsi"/>
          <w:sz w:val="24"/>
        </w:rPr>
        <w:t>minimální hodnotě 60 mil. </w:t>
      </w:r>
      <w:r w:rsidR="00D16704" w:rsidRPr="008C3B96">
        <w:rPr>
          <w:rFonts w:asciiTheme="minorHAnsi" w:hAnsiTheme="minorHAnsi" w:cstheme="minorHAnsi"/>
          <w:sz w:val="24"/>
        </w:rPr>
        <w:t>Kč. Způsob rozlišení krátkodobosti a dlouhodobosti podmíněných závazků mělo</w:t>
      </w:r>
      <w:r w:rsidR="000B1BD9" w:rsidRPr="000B1BD9">
        <w:rPr>
          <w:rFonts w:asciiTheme="minorHAnsi" w:hAnsiTheme="minorHAnsi" w:cstheme="minorHAnsi"/>
          <w:sz w:val="24"/>
        </w:rPr>
        <w:t xml:space="preserve"> </w:t>
      </w:r>
      <w:r w:rsidR="000B1BD9" w:rsidRPr="008C3B96">
        <w:rPr>
          <w:rFonts w:asciiTheme="minorHAnsi" w:hAnsiTheme="minorHAnsi" w:cstheme="minorHAnsi"/>
          <w:sz w:val="24"/>
        </w:rPr>
        <w:t>MK</w:t>
      </w:r>
      <w:r w:rsidR="00D16704" w:rsidRPr="008C3B96">
        <w:rPr>
          <w:rFonts w:asciiTheme="minorHAnsi" w:hAnsiTheme="minorHAnsi" w:cstheme="minorHAnsi"/>
          <w:sz w:val="24"/>
        </w:rPr>
        <w:t xml:space="preserve"> upravit vnitřním předpisem.</w:t>
      </w:r>
    </w:p>
    <w:p w:rsidR="00D16704" w:rsidRPr="008C3B96" w:rsidRDefault="00D16704" w:rsidP="008C3B96">
      <w:pPr>
        <w:pStyle w:val="NormlnKZ"/>
        <w:numPr>
          <w:ilvl w:val="0"/>
          <w:numId w:val="47"/>
        </w:numPr>
        <w:spacing w:after="0"/>
        <w:ind w:left="340" w:hanging="340"/>
        <w:rPr>
          <w:rFonts w:asciiTheme="minorHAnsi" w:hAnsiTheme="minorHAnsi" w:cstheme="minorHAnsi"/>
          <w:sz w:val="24"/>
        </w:rPr>
      </w:pPr>
      <w:r w:rsidRPr="008C3B96">
        <w:rPr>
          <w:rFonts w:asciiTheme="minorHAnsi" w:hAnsiTheme="minorHAnsi" w:cstheme="minorHAnsi"/>
          <w:sz w:val="24"/>
        </w:rPr>
        <w:t>MK v</w:t>
      </w:r>
      <w:r w:rsidR="009C77C9" w:rsidRPr="008C3B96">
        <w:rPr>
          <w:rFonts w:asciiTheme="minorHAnsi" w:hAnsiTheme="minorHAnsi" w:cstheme="minorHAnsi"/>
          <w:sz w:val="24"/>
        </w:rPr>
        <w:t xml:space="preserve"> </w:t>
      </w:r>
      <w:r w:rsidRPr="008C3B96">
        <w:rPr>
          <w:rFonts w:asciiTheme="minorHAnsi" w:hAnsiTheme="minorHAnsi" w:cstheme="minorHAnsi"/>
          <w:sz w:val="24"/>
        </w:rPr>
        <w:t xml:space="preserve">roce 2014 uzavřelo </w:t>
      </w:r>
      <w:r w:rsidR="00287E33">
        <w:rPr>
          <w:rFonts w:asciiTheme="minorHAnsi" w:hAnsiTheme="minorHAnsi" w:cstheme="minorHAnsi"/>
          <w:sz w:val="24"/>
        </w:rPr>
        <w:t>d</w:t>
      </w:r>
      <w:r w:rsidRPr="008C3B96">
        <w:rPr>
          <w:rFonts w:asciiTheme="minorHAnsi" w:hAnsiTheme="minorHAnsi" w:cstheme="minorHAnsi"/>
          <w:sz w:val="24"/>
        </w:rPr>
        <w:t xml:space="preserve">ohodu o poskytnutí finančních prostředků ze státního rozpočtu České republiky na realizaci projektu </w:t>
      </w:r>
      <w:r w:rsidRPr="00287E33">
        <w:rPr>
          <w:rFonts w:asciiTheme="minorHAnsi" w:hAnsiTheme="minorHAnsi" w:cstheme="minorHAnsi"/>
          <w:i/>
          <w:sz w:val="24"/>
        </w:rPr>
        <w:t>Digitální restaurování českého filmového dědictví</w:t>
      </w:r>
      <w:r w:rsidRPr="008C3B96">
        <w:rPr>
          <w:rFonts w:asciiTheme="minorHAnsi" w:hAnsiTheme="minorHAnsi" w:cstheme="minorHAnsi"/>
          <w:sz w:val="24"/>
        </w:rPr>
        <w:t>.</w:t>
      </w:r>
      <w:r w:rsidR="00D906F8" w:rsidRPr="008C3B96">
        <w:rPr>
          <w:rFonts w:asciiTheme="minorHAnsi" w:hAnsiTheme="minorHAnsi" w:cstheme="minorHAnsi"/>
          <w:sz w:val="24"/>
        </w:rPr>
        <w:t xml:space="preserve"> Na základě této dohody mělo být do 30. 4. 2016 vyplaceno 26,5 mil. Kč. Tuto částku mělo MK k 31. 12. 2014 vykázat na </w:t>
      </w:r>
      <w:r w:rsidR="000B1BD9">
        <w:rPr>
          <w:rFonts w:asciiTheme="minorHAnsi" w:hAnsiTheme="minorHAnsi" w:cstheme="minorHAnsi"/>
          <w:sz w:val="24"/>
        </w:rPr>
        <w:t xml:space="preserve">účtech </w:t>
      </w:r>
      <w:r w:rsidR="00D906F8" w:rsidRPr="008C3B96">
        <w:rPr>
          <w:rFonts w:asciiTheme="minorHAnsi" w:hAnsiTheme="minorHAnsi" w:cstheme="minorHAnsi"/>
          <w:sz w:val="24"/>
        </w:rPr>
        <w:t>krátkodobých a dlouhodobých podmíněných závaz</w:t>
      </w:r>
      <w:r w:rsidR="000B1BD9">
        <w:rPr>
          <w:rFonts w:asciiTheme="minorHAnsi" w:hAnsiTheme="minorHAnsi" w:cstheme="minorHAnsi"/>
          <w:sz w:val="24"/>
        </w:rPr>
        <w:t>ků</w:t>
      </w:r>
      <w:r w:rsidR="00D906F8" w:rsidRPr="008C3B96">
        <w:rPr>
          <w:rFonts w:asciiTheme="minorHAnsi" w:hAnsiTheme="minorHAnsi" w:cstheme="minorHAnsi"/>
          <w:sz w:val="24"/>
        </w:rPr>
        <w:t>.</w:t>
      </w:r>
    </w:p>
    <w:p w:rsidR="00D906F8" w:rsidRPr="008C3B96" w:rsidRDefault="00D906F8" w:rsidP="008C3B96">
      <w:pPr>
        <w:pStyle w:val="NormlnKZ"/>
        <w:numPr>
          <w:ilvl w:val="0"/>
          <w:numId w:val="47"/>
        </w:numPr>
        <w:spacing w:after="0"/>
        <w:ind w:left="340" w:hanging="340"/>
        <w:rPr>
          <w:rFonts w:asciiTheme="minorHAnsi" w:hAnsiTheme="minorHAnsi" w:cstheme="minorHAnsi"/>
          <w:sz w:val="24"/>
        </w:rPr>
      </w:pPr>
      <w:r w:rsidRPr="008C3B96">
        <w:rPr>
          <w:rFonts w:asciiTheme="minorHAnsi" w:hAnsiTheme="minorHAnsi" w:cstheme="minorHAnsi"/>
          <w:sz w:val="24"/>
        </w:rPr>
        <w:t>MK v</w:t>
      </w:r>
      <w:r w:rsidR="009C77C9" w:rsidRPr="008C3B96">
        <w:rPr>
          <w:rFonts w:asciiTheme="minorHAnsi" w:hAnsiTheme="minorHAnsi" w:cstheme="minorHAnsi"/>
          <w:sz w:val="24"/>
        </w:rPr>
        <w:t xml:space="preserve"> </w:t>
      </w:r>
      <w:r w:rsidRPr="008C3B96">
        <w:rPr>
          <w:rFonts w:asciiTheme="minorHAnsi" w:hAnsiTheme="minorHAnsi" w:cstheme="minorHAnsi"/>
          <w:sz w:val="24"/>
        </w:rPr>
        <w:t xml:space="preserve">roce 2014 uzavřelo </w:t>
      </w:r>
      <w:r w:rsidR="00287E33">
        <w:rPr>
          <w:rFonts w:asciiTheme="minorHAnsi" w:hAnsiTheme="minorHAnsi" w:cstheme="minorHAnsi"/>
          <w:sz w:val="24"/>
        </w:rPr>
        <w:t>d</w:t>
      </w:r>
      <w:r w:rsidRPr="008C3B96">
        <w:rPr>
          <w:rFonts w:asciiTheme="minorHAnsi" w:hAnsiTheme="minorHAnsi" w:cstheme="minorHAnsi"/>
          <w:sz w:val="24"/>
        </w:rPr>
        <w:t xml:space="preserve">ohodu o poskytnutí finančních prostředků ze státního rozpočtu České republiky na realizaci projektu </w:t>
      </w:r>
      <w:r w:rsidRPr="00287E33">
        <w:rPr>
          <w:rFonts w:asciiTheme="minorHAnsi" w:hAnsiTheme="minorHAnsi" w:cstheme="minorHAnsi"/>
          <w:i/>
          <w:sz w:val="24"/>
        </w:rPr>
        <w:t>Průmyslové dědictví</w:t>
      </w:r>
      <w:r w:rsidRPr="008C3B96">
        <w:rPr>
          <w:rFonts w:asciiTheme="minorHAnsi" w:hAnsiTheme="minorHAnsi" w:cstheme="minorHAnsi"/>
          <w:sz w:val="24"/>
        </w:rPr>
        <w:t>. Na základě této dohody mělo být do 30. 4. 2016 vyplacen</w:t>
      </w:r>
      <w:r w:rsidR="00BC453D">
        <w:rPr>
          <w:rFonts w:asciiTheme="minorHAnsi" w:hAnsiTheme="minorHAnsi" w:cstheme="minorHAnsi"/>
          <w:sz w:val="24"/>
        </w:rPr>
        <w:t>a částka</w:t>
      </w:r>
      <w:r w:rsidRPr="008C3B96">
        <w:rPr>
          <w:rFonts w:asciiTheme="minorHAnsi" w:hAnsiTheme="minorHAnsi" w:cstheme="minorHAnsi"/>
          <w:sz w:val="24"/>
        </w:rPr>
        <w:t xml:space="preserve"> 3</w:t>
      </w:r>
      <w:r w:rsidR="004E63C0" w:rsidRPr="008C3B96">
        <w:rPr>
          <w:rFonts w:asciiTheme="minorHAnsi" w:hAnsiTheme="minorHAnsi" w:cstheme="minorHAnsi"/>
          <w:sz w:val="24"/>
        </w:rPr>
        <w:t> </w:t>
      </w:r>
      <w:r w:rsidRPr="008C3B96">
        <w:rPr>
          <w:rFonts w:asciiTheme="minorHAnsi" w:hAnsiTheme="minorHAnsi" w:cstheme="minorHAnsi"/>
          <w:sz w:val="24"/>
        </w:rPr>
        <w:t>852</w:t>
      </w:r>
      <w:r w:rsidR="004E63C0" w:rsidRPr="008C3B96">
        <w:rPr>
          <w:rFonts w:asciiTheme="minorHAnsi" w:hAnsiTheme="minorHAnsi" w:cstheme="minorHAnsi"/>
          <w:sz w:val="24"/>
        </w:rPr>
        <w:t> </w:t>
      </w:r>
      <w:r w:rsidRPr="008C3B96">
        <w:rPr>
          <w:rFonts w:asciiTheme="minorHAnsi" w:hAnsiTheme="minorHAnsi" w:cstheme="minorHAnsi"/>
          <w:sz w:val="24"/>
        </w:rPr>
        <w:t>225 Kč. K</w:t>
      </w:r>
      <w:r w:rsidR="009C77C9" w:rsidRPr="008C3B96">
        <w:rPr>
          <w:rFonts w:asciiTheme="minorHAnsi" w:hAnsiTheme="minorHAnsi" w:cstheme="minorHAnsi"/>
          <w:sz w:val="24"/>
        </w:rPr>
        <w:t xml:space="preserve"> </w:t>
      </w:r>
      <w:r w:rsidRPr="008C3B96">
        <w:rPr>
          <w:rFonts w:asciiTheme="minorHAnsi" w:hAnsiTheme="minorHAnsi" w:cstheme="minorHAnsi"/>
          <w:sz w:val="24"/>
        </w:rPr>
        <w:t>31. 12. 2014 MK poskytlo plnění ve výši 196 480,85</w:t>
      </w:r>
      <w:r w:rsidR="002D4B71" w:rsidRPr="008C3B96">
        <w:rPr>
          <w:rFonts w:asciiTheme="minorHAnsi" w:hAnsiTheme="minorHAnsi" w:cstheme="minorHAnsi"/>
          <w:sz w:val="24"/>
        </w:rPr>
        <w:t> </w:t>
      </w:r>
      <w:r w:rsidRPr="008C3B96">
        <w:rPr>
          <w:rFonts w:asciiTheme="minorHAnsi" w:hAnsiTheme="minorHAnsi" w:cstheme="minorHAnsi"/>
          <w:sz w:val="24"/>
        </w:rPr>
        <w:t>Kč. Zbývající částka ve výši 3</w:t>
      </w:r>
      <w:r w:rsidR="009C77C9" w:rsidRPr="008C3B96">
        <w:rPr>
          <w:rFonts w:asciiTheme="minorHAnsi" w:hAnsiTheme="minorHAnsi" w:cstheme="minorHAnsi"/>
          <w:sz w:val="24"/>
        </w:rPr>
        <w:t xml:space="preserve"> </w:t>
      </w:r>
      <w:r w:rsidRPr="008C3B96">
        <w:rPr>
          <w:rFonts w:asciiTheme="minorHAnsi" w:hAnsiTheme="minorHAnsi" w:cstheme="minorHAnsi"/>
          <w:sz w:val="24"/>
        </w:rPr>
        <w:t>655</w:t>
      </w:r>
      <w:r w:rsidR="009C77C9" w:rsidRPr="008C3B96">
        <w:rPr>
          <w:rFonts w:asciiTheme="minorHAnsi" w:hAnsiTheme="minorHAnsi" w:cstheme="minorHAnsi"/>
          <w:sz w:val="24"/>
        </w:rPr>
        <w:t xml:space="preserve"> </w:t>
      </w:r>
      <w:r w:rsidRPr="008C3B96">
        <w:rPr>
          <w:rFonts w:asciiTheme="minorHAnsi" w:hAnsiTheme="minorHAnsi" w:cstheme="minorHAnsi"/>
          <w:sz w:val="24"/>
        </w:rPr>
        <w:t>744,15 Kč měla být k</w:t>
      </w:r>
      <w:r w:rsidR="00287E33">
        <w:rPr>
          <w:rFonts w:asciiTheme="minorHAnsi" w:hAnsiTheme="minorHAnsi" w:cstheme="minorHAnsi"/>
          <w:sz w:val="24"/>
        </w:rPr>
        <w:t> </w:t>
      </w:r>
      <w:r w:rsidRPr="008C3B96">
        <w:rPr>
          <w:rFonts w:asciiTheme="minorHAnsi" w:hAnsiTheme="minorHAnsi" w:cstheme="minorHAnsi"/>
          <w:sz w:val="24"/>
        </w:rPr>
        <w:t>31.</w:t>
      </w:r>
      <w:r w:rsidR="00287E33">
        <w:rPr>
          <w:rFonts w:asciiTheme="minorHAnsi" w:hAnsiTheme="minorHAnsi" w:cstheme="minorHAnsi"/>
          <w:sz w:val="24"/>
        </w:rPr>
        <w:t> 12. </w:t>
      </w:r>
      <w:r w:rsidRPr="008C3B96">
        <w:rPr>
          <w:rFonts w:asciiTheme="minorHAnsi" w:hAnsiTheme="minorHAnsi" w:cstheme="minorHAnsi"/>
          <w:sz w:val="24"/>
        </w:rPr>
        <w:t>2014 vykázána na</w:t>
      </w:r>
      <w:r w:rsidR="00BC453D">
        <w:rPr>
          <w:rFonts w:asciiTheme="minorHAnsi" w:hAnsiTheme="minorHAnsi" w:cstheme="minorHAnsi"/>
          <w:sz w:val="24"/>
        </w:rPr>
        <w:t xml:space="preserve"> účtech</w:t>
      </w:r>
      <w:r w:rsidRPr="008C3B96">
        <w:rPr>
          <w:rFonts w:asciiTheme="minorHAnsi" w:hAnsiTheme="minorHAnsi" w:cstheme="minorHAnsi"/>
          <w:sz w:val="24"/>
        </w:rPr>
        <w:t xml:space="preserve"> krátkodobých a dlouhodobých podmíněných závaz</w:t>
      </w:r>
      <w:r w:rsidR="00BC453D">
        <w:rPr>
          <w:rFonts w:asciiTheme="minorHAnsi" w:hAnsiTheme="minorHAnsi" w:cstheme="minorHAnsi"/>
          <w:sz w:val="24"/>
        </w:rPr>
        <w:t>ků</w:t>
      </w:r>
      <w:r w:rsidRPr="008C3B96">
        <w:rPr>
          <w:rFonts w:asciiTheme="minorHAnsi" w:hAnsiTheme="minorHAnsi" w:cstheme="minorHAnsi"/>
          <w:sz w:val="24"/>
        </w:rPr>
        <w:t>.</w:t>
      </w:r>
    </w:p>
    <w:p w:rsidR="00BF21A0" w:rsidRPr="008C3B96" w:rsidRDefault="00BF21A0" w:rsidP="008C3B96">
      <w:pPr>
        <w:pStyle w:val="NormlnKZ"/>
        <w:numPr>
          <w:ilvl w:val="0"/>
          <w:numId w:val="47"/>
        </w:numPr>
        <w:spacing w:after="0"/>
        <w:ind w:left="340" w:hanging="340"/>
        <w:rPr>
          <w:rFonts w:asciiTheme="minorHAnsi" w:hAnsiTheme="minorHAnsi" w:cstheme="minorHAnsi"/>
          <w:sz w:val="24"/>
        </w:rPr>
      </w:pPr>
      <w:r w:rsidRPr="008C3B96">
        <w:rPr>
          <w:rFonts w:asciiTheme="minorHAnsi" w:hAnsiTheme="minorHAnsi" w:cstheme="minorHAnsi"/>
          <w:sz w:val="24"/>
        </w:rPr>
        <w:t>MK v</w:t>
      </w:r>
      <w:r w:rsidR="009C77C9" w:rsidRPr="008C3B96">
        <w:rPr>
          <w:rFonts w:asciiTheme="minorHAnsi" w:hAnsiTheme="minorHAnsi" w:cstheme="minorHAnsi"/>
          <w:sz w:val="24"/>
        </w:rPr>
        <w:t xml:space="preserve"> </w:t>
      </w:r>
      <w:r w:rsidRPr="008C3B96">
        <w:rPr>
          <w:rFonts w:asciiTheme="minorHAnsi" w:hAnsiTheme="minorHAnsi" w:cstheme="minorHAnsi"/>
          <w:sz w:val="24"/>
        </w:rPr>
        <w:t xml:space="preserve">roce 2014 obdrželo od Finančního úřadu pro hlavní město Prahu platební výměr na odvod za porušení rozpočtové kázně ve výši 33,8 mil. Kč. Proti </w:t>
      </w:r>
      <w:r w:rsidR="00BC453D">
        <w:rPr>
          <w:rFonts w:asciiTheme="minorHAnsi" w:hAnsiTheme="minorHAnsi" w:cstheme="minorHAnsi"/>
          <w:sz w:val="24"/>
        </w:rPr>
        <w:t>tomuto</w:t>
      </w:r>
      <w:r w:rsidRPr="008C3B96">
        <w:rPr>
          <w:rFonts w:asciiTheme="minorHAnsi" w:hAnsiTheme="minorHAnsi" w:cstheme="minorHAnsi"/>
          <w:sz w:val="24"/>
        </w:rPr>
        <w:t xml:space="preserve"> platebnímu výměru podalo</w:t>
      </w:r>
      <w:r w:rsidR="00BC453D" w:rsidRPr="00BC453D">
        <w:rPr>
          <w:rFonts w:asciiTheme="minorHAnsi" w:hAnsiTheme="minorHAnsi" w:cstheme="minorHAnsi"/>
          <w:sz w:val="24"/>
        </w:rPr>
        <w:t xml:space="preserve"> </w:t>
      </w:r>
      <w:r w:rsidR="00BC453D" w:rsidRPr="008C3B96">
        <w:rPr>
          <w:rFonts w:asciiTheme="minorHAnsi" w:hAnsiTheme="minorHAnsi" w:cstheme="minorHAnsi"/>
          <w:sz w:val="24"/>
        </w:rPr>
        <w:t>MK</w:t>
      </w:r>
      <w:r w:rsidRPr="008C3B96">
        <w:rPr>
          <w:rFonts w:asciiTheme="minorHAnsi" w:hAnsiTheme="minorHAnsi" w:cstheme="minorHAnsi"/>
          <w:sz w:val="24"/>
        </w:rPr>
        <w:t xml:space="preserve"> odvolání. </w:t>
      </w:r>
      <w:r w:rsidR="004F1D5C" w:rsidRPr="008C3B96">
        <w:rPr>
          <w:rFonts w:asciiTheme="minorHAnsi" w:hAnsiTheme="minorHAnsi" w:cstheme="minorHAnsi"/>
          <w:sz w:val="24"/>
        </w:rPr>
        <w:t>Z</w:t>
      </w:r>
      <w:r w:rsidRPr="008C3B96">
        <w:rPr>
          <w:rFonts w:asciiTheme="minorHAnsi" w:hAnsiTheme="minorHAnsi" w:cstheme="minorHAnsi"/>
          <w:sz w:val="24"/>
        </w:rPr>
        <w:t>ávazek na základě vydaného platebního výměru mělo</w:t>
      </w:r>
      <w:r w:rsidR="00BC453D" w:rsidRPr="00BC453D">
        <w:rPr>
          <w:rFonts w:asciiTheme="minorHAnsi" w:hAnsiTheme="minorHAnsi" w:cstheme="minorHAnsi"/>
          <w:sz w:val="24"/>
        </w:rPr>
        <w:t xml:space="preserve"> </w:t>
      </w:r>
      <w:r w:rsidR="00BC453D" w:rsidRPr="008C3B96">
        <w:rPr>
          <w:rFonts w:asciiTheme="minorHAnsi" w:hAnsiTheme="minorHAnsi" w:cstheme="minorHAnsi"/>
          <w:sz w:val="24"/>
        </w:rPr>
        <w:t>MK</w:t>
      </w:r>
      <w:r w:rsidRPr="008C3B96">
        <w:rPr>
          <w:rFonts w:asciiTheme="minorHAnsi" w:hAnsiTheme="minorHAnsi" w:cstheme="minorHAnsi"/>
          <w:sz w:val="24"/>
        </w:rPr>
        <w:t xml:space="preserve"> vykázat na podrozvahovém účtu </w:t>
      </w:r>
      <w:r w:rsidRPr="00287E33">
        <w:rPr>
          <w:rFonts w:asciiTheme="minorHAnsi" w:hAnsiTheme="minorHAnsi" w:cstheme="minorHAnsi"/>
          <w:sz w:val="24"/>
        </w:rPr>
        <w:t>985 –</w:t>
      </w:r>
      <w:r w:rsidRPr="008C3B96">
        <w:rPr>
          <w:rFonts w:asciiTheme="minorHAnsi" w:hAnsiTheme="minorHAnsi" w:cstheme="minorHAnsi"/>
          <w:i/>
          <w:sz w:val="24"/>
        </w:rPr>
        <w:t xml:space="preserve"> Krátkodobé podmíněné závazky ze soudních sporů, správních řízení a jiných řízení</w:t>
      </w:r>
      <w:r w:rsidRPr="008C3B96">
        <w:rPr>
          <w:rFonts w:asciiTheme="minorHAnsi" w:hAnsiTheme="minorHAnsi" w:cstheme="minorHAnsi"/>
          <w:sz w:val="24"/>
        </w:rPr>
        <w:t>.</w:t>
      </w:r>
    </w:p>
    <w:p w:rsidR="003241AE" w:rsidRDefault="003241AE" w:rsidP="00A82ED8">
      <w:pPr>
        <w:pStyle w:val="NormlnKZ"/>
        <w:spacing w:after="0"/>
        <w:ind w:firstLine="0"/>
        <w:rPr>
          <w:rFonts w:asciiTheme="minorHAnsi" w:hAnsiTheme="minorHAnsi" w:cstheme="minorHAnsi"/>
          <w:sz w:val="24"/>
        </w:rPr>
      </w:pPr>
    </w:p>
    <w:p w:rsidR="00EB1790" w:rsidRDefault="00EB1790" w:rsidP="00A82ED8">
      <w:pPr>
        <w:pStyle w:val="NormlnKZ"/>
        <w:spacing w:after="0"/>
        <w:ind w:firstLine="0"/>
        <w:rPr>
          <w:rFonts w:asciiTheme="minorHAnsi" w:hAnsiTheme="minorHAnsi" w:cstheme="minorHAnsi"/>
          <w:b/>
          <w:sz w:val="24"/>
        </w:rPr>
      </w:pPr>
      <w:r>
        <w:rPr>
          <w:rFonts w:asciiTheme="minorHAnsi" w:hAnsiTheme="minorHAnsi" w:cstheme="minorHAnsi"/>
          <w:b/>
          <w:sz w:val="24"/>
        </w:rPr>
        <w:t>2.9 Jiný drobný dlouhodobý majetek</w:t>
      </w:r>
    </w:p>
    <w:p w:rsidR="00C01E14" w:rsidRDefault="00C01E14" w:rsidP="00A82ED8">
      <w:pPr>
        <w:pStyle w:val="NormlnKZ"/>
        <w:spacing w:after="0"/>
        <w:ind w:firstLine="0"/>
        <w:rPr>
          <w:rFonts w:asciiTheme="minorHAnsi" w:hAnsiTheme="minorHAnsi" w:cstheme="minorHAnsi"/>
          <w:sz w:val="24"/>
        </w:rPr>
      </w:pPr>
    </w:p>
    <w:p w:rsidR="00EB1790" w:rsidRDefault="00BF21A0" w:rsidP="00A82ED8">
      <w:pPr>
        <w:pStyle w:val="NormlnKZ"/>
        <w:spacing w:after="0"/>
        <w:ind w:firstLine="0"/>
        <w:rPr>
          <w:rFonts w:asciiTheme="minorHAnsi" w:hAnsiTheme="minorHAnsi" w:cstheme="minorHAnsi"/>
          <w:sz w:val="24"/>
        </w:rPr>
      </w:pPr>
      <w:r>
        <w:rPr>
          <w:rFonts w:asciiTheme="minorHAnsi" w:hAnsiTheme="minorHAnsi" w:cstheme="minorHAnsi"/>
          <w:sz w:val="24"/>
        </w:rPr>
        <w:t>V majetkové evidenci MK bylo k</w:t>
      </w:r>
      <w:r w:rsidR="009C77C9">
        <w:rPr>
          <w:rFonts w:asciiTheme="minorHAnsi" w:hAnsiTheme="minorHAnsi" w:cstheme="minorHAnsi"/>
          <w:sz w:val="24"/>
        </w:rPr>
        <w:t xml:space="preserve"> </w:t>
      </w:r>
      <w:r>
        <w:rPr>
          <w:rFonts w:asciiTheme="minorHAnsi" w:hAnsiTheme="minorHAnsi" w:cstheme="minorHAnsi"/>
          <w:sz w:val="24"/>
        </w:rPr>
        <w:t>31. 12. 2014 vedeno 574 položek označených „</w:t>
      </w:r>
      <w:r w:rsidRPr="003251ED">
        <w:rPr>
          <w:rFonts w:asciiTheme="minorHAnsi" w:hAnsiTheme="minorHAnsi" w:cstheme="minorHAnsi"/>
          <w:sz w:val="24"/>
        </w:rPr>
        <w:t>X NEEV.</w:t>
      </w:r>
      <w:r>
        <w:rPr>
          <w:rFonts w:asciiTheme="minorHAnsi" w:hAnsiTheme="minorHAnsi" w:cstheme="minorHAnsi"/>
          <w:sz w:val="24"/>
        </w:rPr>
        <w:t>“ v celkovém ocenění 198</w:t>
      </w:r>
      <w:r w:rsidR="009C77C9">
        <w:rPr>
          <w:rFonts w:asciiTheme="minorHAnsi" w:hAnsiTheme="minorHAnsi" w:cstheme="minorHAnsi"/>
          <w:sz w:val="24"/>
        </w:rPr>
        <w:t xml:space="preserve"> </w:t>
      </w:r>
      <w:r>
        <w:rPr>
          <w:rFonts w:asciiTheme="minorHAnsi" w:hAnsiTheme="minorHAnsi" w:cstheme="minorHAnsi"/>
          <w:sz w:val="24"/>
        </w:rPr>
        <w:t xml:space="preserve">258,08 Kč. Jedná se </w:t>
      </w:r>
      <w:r w:rsidR="00BC453D">
        <w:rPr>
          <w:rFonts w:asciiTheme="minorHAnsi" w:hAnsiTheme="minorHAnsi" w:cstheme="minorHAnsi"/>
          <w:sz w:val="24"/>
        </w:rPr>
        <w:t>o </w:t>
      </w:r>
      <w:r>
        <w:rPr>
          <w:rFonts w:asciiTheme="minorHAnsi" w:hAnsiTheme="minorHAnsi" w:cstheme="minorHAnsi"/>
          <w:sz w:val="24"/>
        </w:rPr>
        <w:t>majetek pořízený v</w:t>
      </w:r>
      <w:r w:rsidR="009C77C9">
        <w:rPr>
          <w:rFonts w:asciiTheme="minorHAnsi" w:hAnsiTheme="minorHAnsi" w:cstheme="minorHAnsi"/>
          <w:sz w:val="24"/>
        </w:rPr>
        <w:t xml:space="preserve"> </w:t>
      </w:r>
      <w:r>
        <w:rPr>
          <w:rFonts w:asciiTheme="minorHAnsi" w:hAnsiTheme="minorHAnsi" w:cstheme="minorHAnsi"/>
          <w:sz w:val="24"/>
        </w:rPr>
        <w:t>letech 1998–2009 s pořizovací cenou do 2</w:t>
      </w:r>
      <w:r w:rsidR="009C77C9">
        <w:rPr>
          <w:rFonts w:asciiTheme="minorHAnsi" w:hAnsiTheme="minorHAnsi" w:cstheme="minorHAnsi"/>
          <w:sz w:val="24"/>
        </w:rPr>
        <w:t xml:space="preserve"> </w:t>
      </w:r>
      <w:r>
        <w:rPr>
          <w:rFonts w:asciiTheme="minorHAnsi" w:hAnsiTheme="minorHAnsi" w:cstheme="minorHAnsi"/>
          <w:sz w:val="24"/>
        </w:rPr>
        <w:t xml:space="preserve">999 Kč. Tento majetek měl být zaúčtován a vykázán na účtu </w:t>
      </w:r>
      <w:r w:rsidR="00C01E14" w:rsidRPr="00287E33">
        <w:rPr>
          <w:rFonts w:asciiTheme="minorHAnsi" w:hAnsiTheme="minorHAnsi" w:cstheme="minorHAnsi"/>
          <w:sz w:val="24"/>
        </w:rPr>
        <w:t>902 </w:t>
      </w:r>
      <w:r w:rsidRPr="00287E33">
        <w:rPr>
          <w:rFonts w:asciiTheme="minorHAnsi" w:hAnsiTheme="minorHAnsi" w:cstheme="minorHAnsi"/>
          <w:sz w:val="24"/>
        </w:rPr>
        <w:t>–</w:t>
      </w:r>
      <w:r w:rsidRPr="002D4B71">
        <w:rPr>
          <w:rFonts w:asciiTheme="minorHAnsi" w:hAnsiTheme="minorHAnsi" w:cstheme="minorHAnsi"/>
          <w:i/>
          <w:sz w:val="24"/>
        </w:rPr>
        <w:t xml:space="preserve"> Jiný drobný dlouhodobý hmotný majetek</w:t>
      </w:r>
      <w:r>
        <w:rPr>
          <w:rFonts w:asciiTheme="minorHAnsi" w:hAnsiTheme="minorHAnsi" w:cstheme="minorHAnsi"/>
          <w:sz w:val="24"/>
        </w:rPr>
        <w:t>, kde jej</w:t>
      </w:r>
      <w:r w:rsidR="00AC13B9">
        <w:rPr>
          <w:rFonts w:asciiTheme="minorHAnsi" w:hAnsiTheme="minorHAnsi" w:cstheme="minorHAnsi"/>
          <w:sz w:val="24"/>
        </w:rPr>
        <w:t xml:space="preserve"> však MK nevykázalo</w:t>
      </w:r>
      <w:r w:rsidR="00287E33">
        <w:rPr>
          <w:rFonts w:asciiTheme="minorHAnsi" w:hAnsiTheme="minorHAnsi" w:cstheme="minorHAnsi"/>
          <w:sz w:val="24"/>
        </w:rPr>
        <w:t>,</w:t>
      </w:r>
      <w:r w:rsidR="00AC13B9">
        <w:rPr>
          <w:rFonts w:asciiTheme="minorHAnsi" w:hAnsiTheme="minorHAnsi" w:cstheme="minorHAnsi"/>
          <w:sz w:val="24"/>
        </w:rPr>
        <w:t xml:space="preserve"> a tím </w:t>
      </w:r>
      <w:r w:rsidR="00BC453D">
        <w:rPr>
          <w:rFonts w:asciiTheme="minorHAnsi" w:hAnsiTheme="minorHAnsi" w:cstheme="minorHAnsi"/>
          <w:sz w:val="24"/>
        </w:rPr>
        <w:t xml:space="preserve">podhodnotilo </w:t>
      </w:r>
      <w:r w:rsidR="00AC13B9">
        <w:rPr>
          <w:rFonts w:asciiTheme="minorHAnsi" w:hAnsiTheme="minorHAnsi" w:cstheme="minorHAnsi"/>
          <w:sz w:val="24"/>
        </w:rPr>
        <w:t>zůstatek tohoto účtu o částku 198</w:t>
      </w:r>
      <w:r w:rsidR="009C77C9">
        <w:rPr>
          <w:rFonts w:asciiTheme="minorHAnsi" w:hAnsiTheme="minorHAnsi" w:cstheme="minorHAnsi"/>
          <w:sz w:val="24"/>
        </w:rPr>
        <w:t xml:space="preserve"> </w:t>
      </w:r>
      <w:r w:rsidR="00AC13B9">
        <w:rPr>
          <w:rFonts w:asciiTheme="minorHAnsi" w:hAnsiTheme="minorHAnsi" w:cstheme="minorHAnsi"/>
          <w:sz w:val="24"/>
        </w:rPr>
        <w:t>258,08 Kč.</w:t>
      </w:r>
    </w:p>
    <w:p w:rsidR="00AC13B9" w:rsidRPr="00BF21A0" w:rsidRDefault="00AC13B9" w:rsidP="00A82ED8">
      <w:pPr>
        <w:pStyle w:val="NormlnKZ"/>
        <w:spacing w:after="0"/>
        <w:ind w:firstLine="0"/>
        <w:rPr>
          <w:rFonts w:asciiTheme="minorHAnsi" w:hAnsiTheme="minorHAnsi" w:cstheme="minorHAnsi"/>
          <w:sz w:val="24"/>
        </w:rPr>
      </w:pPr>
    </w:p>
    <w:p w:rsidR="00EB1790" w:rsidRDefault="00015FA2" w:rsidP="00A82ED8">
      <w:pPr>
        <w:pStyle w:val="NormlnKZ"/>
        <w:spacing w:after="0"/>
        <w:ind w:firstLine="0"/>
        <w:rPr>
          <w:rFonts w:asciiTheme="minorHAnsi" w:hAnsiTheme="minorHAnsi" w:cstheme="minorHAnsi"/>
          <w:b/>
          <w:sz w:val="24"/>
        </w:rPr>
      </w:pPr>
      <w:r>
        <w:rPr>
          <w:rFonts w:asciiTheme="minorHAnsi" w:hAnsiTheme="minorHAnsi" w:cstheme="minorHAnsi"/>
          <w:b/>
          <w:sz w:val="24"/>
        </w:rPr>
        <w:t>2.1</w:t>
      </w:r>
      <w:r w:rsidR="00AC13B9">
        <w:rPr>
          <w:rFonts w:asciiTheme="minorHAnsi" w:hAnsiTheme="minorHAnsi" w:cstheme="minorHAnsi"/>
          <w:b/>
          <w:sz w:val="24"/>
        </w:rPr>
        <w:t>0</w:t>
      </w:r>
      <w:r w:rsidR="00EB1790">
        <w:rPr>
          <w:rFonts w:asciiTheme="minorHAnsi" w:hAnsiTheme="minorHAnsi" w:cstheme="minorHAnsi"/>
          <w:b/>
          <w:sz w:val="24"/>
        </w:rPr>
        <w:t xml:space="preserve"> Promlčené závazky</w:t>
      </w:r>
    </w:p>
    <w:p w:rsidR="00C01E14" w:rsidRDefault="00C01E14" w:rsidP="00A82ED8">
      <w:pPr>
        <w:pStyle w:val="NormlnKZ"/>
        <w:spacing w:after="0"/>
        <w:ind w:firstLine="0"/>
        <w:rPr>
          <w:rFonts w:asciiTheme="minorHAnsi" w:hAnsiTheme="minorHAnsi" w:cstheme="minorHAnsi"/>
          <w:sz w:val="24"/>
        </w:rPr>
      </w:pPr>
    </w:p>
    <w:p w:rsidR="00784864" w:rsidRDefault="00784864" w:rsidP="00A82ED8">
      <w:pPr>
        <w:pStyle w:val="NormlnKZ"/>
        <w:spacing w:after="0"/>
        <w:ind w:firstLine="0"/>
        <w:rPr>
          <w:rFonts w:asciiTheme="minorHAnsi" w:hAnsiTheme="minorHAnsi" w:cstheme="minorHAnsi"/>
          <w:sz w:val="24"/>
        </w:rPr>
      </w:pPr>
      <w:r w:rsidRPr="00784864">
        <w:rPr>
          <w:rFonts w:asciiTheme="minorHAnsi" w:hAnsiTheme="minorHAnsi" w:cstheme="minorHAnsi"/>
          <w:sz w:val="24"/>
        </w:rPr>
        <w:t xml:space="preserve">MK na účtu </w:t>
      </w:r>
      <w:r w:rsidRPr="00287E33">
        <w:rPr>
          <w:rFonts w:asciiTheme="minorHAnsi" w:hAnsiTheme="minorHAnsi" w:cstheme="minorHAnsi"/>
          <w:sz w:val="24"/>
        </w:rPr>
        <w:t>321 –</w:t>
      </w:r>
      <w:r w:rsidRPr="002D4B71">
        <w:rPr>
          <w:rFonts w:asciiTheme="minorHAnsi" w:hAnsiTheme="minorHAnsi" w:cstheme="minorHAnsi"/>
          <w:i/>
          <w:sz w:val="24"/>
        </w:rPr>
        <w:t xml:space="preserve"> Dodavatelé</w:t>
      </w:r>
      <w:r w:rsidRPr="00784864">
        <w:rPr>
          <w:rFonts w:asciiTheme="minorHAnsi" w:hAnsiTheme="minorHAnsi" w:cstheme="minorHAnsi"/>
          <w:sz w:val="24"/>
        </w:rPr>
        <w:t xml:space="preserve"> k 31. 12. 2014 vykázalo zůstatek ve výši 3 729 561,25 Kč. Uvedený zůstatek se skládal z částky 3 710 755 Kč a z částky 18 806,25 Kč</w:t>
      </w:r>
      <w:r>
        <w:rPr>
          <w:rFonts w:asciiTheme="minorHAnsi" w:hAnsiTheme="minorHAnsi" w:cstheme="minorHAnsi"/>
          <w:sz w:val="24"/>
        </w:rPr>
        <w:t>.</w:t>
      </w:r>
      <w:r w:rsidRPr="00784864">
        <w:rPr>
          <w:rFonts w:asciiTheme="minorHAnsi" w:hAnsiTheme="minorHAnsi" w:cstheme="minorHAnsi"/>
          <w:sz w:val="24"/>
        </w:rPr>
        <w:t xml:space="preserve"> </w:t>
      </w:r>
    </w:p>
    <w:p w:rsidR="00784864" w:rsidRDefault="00784864" w:rsidP="00A82ED8">
      <w:pPr>
        <w:pStyle w:val="NormlnKZ"/>
        <w:spacing w:after="0"/>
        <w:ind w:firstLine="0"/>
        <w:rPr>
          <w:rFonts w:asciiTheme="minorHAnsi" w:hAnsiTheme="minorHAnsi" w:cstheme="minorHAnsi"/>
          <w:sz w:val="24"/>
        </w:rPr>
      </w:pPr>
    </w:p>
    <w:p w:rsidR="00784864" w:rsidRDefault="000B5E82" w:rsidP="00A82ED8">
      <w:pPr>
        <w:pStyle w:val="NormlnKZ"/>
        <w:spacing w:after="0"/>
        <w:ind w:firstLine="0"/>
        <w:rPr>
          <w:rFonts w:asciiTheme="minorHAnsi" w:hAnsiTheme="minorHAnsi" w:cstheme="minorHAnsi"/>
          <w:sz w:val="24"/>
        </w:rPr>
      </w:pPr>
      <w:r>
        <w:rPr>
          <w:rFonts w:asciiTheme="minorHAnsi" w:hAnsiTheme="minorHAnsi" w:cstheme="minorHAnsi"/>
          <w:sz w:val="24"/>
        </w:rPr>
        <w:lastRenderedPageBreak/>
        <w:t>Z</w:t>
      </w:r>
      <w:r w:rsidR="000C5BB1">
        <w:rPr>
          <w:rFonts w:asciiTheme="minorHAnsi" w:hAnsiTheme="minorHAnsi" w:cstheme="minorHAnsi"/>
          <w:sz w:val="24"/>
        </w:rPr>
        <w:t xml:space="preserve"> předložených podkladů</w:t>
      </w:r>
      <w:r>
        <w:rPr>
          <w:rFonts w:asciiTheme="minorHAnsi" w:hAnsiTheme="minorHAnsi" w:cstheme="minorHAnsi"/>
          <w:sz w:val="24"/>
        </w:rPr>
        <w:t xml:space="preserve"> vyplývá, </w:t>
      </w:r>
      <w:r w:rsidR="00386E75">
        <w:rPr>
          <w:rFonts w:asciiTheme="minorHAnsi" w:hAnsiTheme="minorHAnsi" w:cstheme="minorHAnsi"/>
          <w:sz w:val="24"/>
        </w:rPr>
        <w:t xml:space="preserve">že </w:t>
      </w:r>
      <w:r w:rsidR="00784864">
        <w:rPr>
          <w:rFonts w:asciiTheme="minorHAnsi" w:hAnsiTheme="minorHAnsi" w:cstheme="minorHAnsi"/>
          <w:sz w:val="24"/>
        </w:rPr>
        <w:t>závazky ve výši 3</w:t>
      </w:r>
      <w:r w:rsidR="009C77C9">
        <w:rPr>
          <w:rFonts w:asciiTheme="minorHAnsi" w:hAnsiTheme="minorHAnsi" w:cstheme="minorHAnsi"/>
          <w:sz w:val="24"/>
        </w:rPr>
        <w:t xml:space="preserve"> </w:t>
      </w:r>
      <w:r w:rsidR="00784864">
        <w:rPr>
          <w:rFonts w:asciiTheme="minorHAnsi" w:hAnsiTheme="minorHAnsi" w:cstheme="minorHAnsi"/>
          <w:sz w:val="24"/>
        </w:rPr>
        <w:t>710</w:t>
      </w:r>
      <w:r w:rsidR="009C77C9">
        <w:rPr>
          <w:rFonts w:asciiTheme="minorHAnsi" w:hAnsiTheme="minorHAnsi" w:cstheme="minorHAnsi"/>
          <w:sz w:val="24"/>
        </w:rPr>
        <w:t xml:space="preserve"> </w:t>
      </w:r>
      <w:r w:rsidR="00784864">
        <w:rPr>
          <w:rFonts w:asciiTheme="minorHAnsi" w:hAnsiTheme="minorHAnsi" w:cstheme="minorHAnsi"/>
          <w:sz w:val="24"/>
        </w:rPr>
        <w:t xml:space="preserve">755 Kč </w:t>
      </w:r>
      <w:r w:rsidR="006568F8">
        <w:rPr>
          <w:rFonts w:asciiTheme="minorHAnsi" w:hAnsiTheme="minorHAnsi" w:cstheme="minorHAnsi"/>
          <w:sz w:val="24"/>
        </w:rPr>
        <w:t>MK zaúčtovalo na základě nálezu NKÚ z</w:t>
      </w:r>
      <w:r w:rsidR="00287E33">
        <w:rPr>
          <w:rFonts w:asciiTheme="minorHAnsi" w:hAnsiTheme="minorHAnsi" w:cstheme="minorHAnsi"/>
          <w:sz w:val="24"/>
        </w:rPr>
        <w:t> kontrolní akce</w:t>
      </w:r>
      <w:r w:rsidR="006568F8">
        <w:rPr>
          <w:rFonts w:asciiTheme="minorHAnsi" w:hAnsiTheme="minorHAnsi" w:cstheme="minorHAnsi"/>
          <w:sz w:val="24"/>
        </w:rPr>
        <w:t xml:space="preserve"> č. 95/30</w:t>
      </w:r>
      <w:r w:rsidR="006568F8">
        <w:rPr>
          <w:rStyle w:val="Znakapoznpodarou"/>
          <w:rFonts w:asciiTheme="minorHAnsi" w:hAnsiTheme="minorHAnsi" w:cstheme="minorHAnsi"/>
          <w:sz w:val="24"/>
        </w:rPr>
        <w:footnoteReference w:id="10"/>
      </w:r>
      <w:r w:rsidR="00386E75">
        <w:rPr>
          <w:rFonts w:asciiTheme="minorHAnsi" w:hAnsiTheme="minorHAnsi" w:cstheme="minorHAnsi"/>
          <w:sz w:val="24"/>
        </w:rPr>
        <w:t xml:space="preserve"> jako závazky vůči státnímu rozpočtu z</w:t>
      </w:r>
      <w:r w:rsidR="009C77C9">
        <w:rPr>
          <w:rFonts w:asciiTheme="minorHAnsi" w:hAnsiTheme="minorHAnsi" w:cstheme="minorHAnsi"/>
          <w:sz w:val="24"/>
        </w:rPr>
        <w:t xml:space="preserve"> </w:t>
      </w:r>
      <w:r w:rsidR="00386E75">
        <w:rPr>
          <w:rFonts w:asciiTheme="minorHAnsi" w:hAnsiTheme="minorHAnsi" w:cstheme="minorHAnsi"/>
          <w:sz w:val="24"/>
        </w:rPr>
        <w:t>titulu neoprávněně zadržených a použitých prostředků</w:t>
      </w:r>
      <w:r w:rsidR="008A008E">
        <w:rPr>
          <w:rFonts w:asciiTheme="minorHAnsi" w:hAnsiTheme="minorHAnsi" w:cstheme="minorHAnsi"/>
          <w:sz w:val="24"/>
        </w:rPr>
        <w:t xml:space="preserve">. </w:t>
      </w:r>
      <w:r w:rsidR="00401662">
        <w:rPr>
          <w:rFonts w:asciiTheme="minorHAnsi" w:hAnsiTheme="minorHAnsi" w:cstheme="minorHAnsi"/>
          <w:sz w:val="24"/>
        </w:rPr>
        <w:t>Z</w:t>
      </w:r>
      <w:r w:rsidR="009C77C9">
        <w:rPr>
          <w:rFonts w:asciiTheme="minorHAnsi" w:hAnsiTheme="minorHAnsi" w:cstheme="minorHAnsi"/>
          <w:sz w:val="24"/>
        </w:rPr>
        <w:t xml:space="preserve"> </w:t>
      </w:r>
      <w:r w:rsidR="00401662">
        <w:rPr>
          <w:rFonts w:asciiTheme="minorHAnsi" w:hAnsiTheme="minorHAnsi" w:cstheme="minorHAnsi"/>
          <w:sz w:val="24"/>
        </w:rPr>
        <w:t xml:space="preserve">účetnictví vyplývá, že se jedná o </w:t>
      </w:r>
      <w:r w:rsidR="00F17446">
        <w:rPr>
          <w:rFonts w:asciiTheme="minorHAnsi" w:hAnsiTheme="minorHAnsi" w:cstheme="minorHAnsi"/>
          <w:sz w:val="24"/>
        </w:rPr>
        <w:t xml:space="preserve">na účtu </w:t>
      </w:r>
      <w:r w:rsidR="00C01E14" w:rsidRPr="00287E33">
        <w:rPr>
          <w:rFonts w:asciiTheme="minorHAnsi" w:hAnsiTheme="minorHAnsi" w:cstheme="minorHAnsi"/>
          <w:sz w:val="24"/>
        </w:rPr>
        <w:t>321 </w:t>
      </w:r>
      <w:r w:rsidR="00F17446" w:rsidRPr="00287E33">
        <w:rPr>
          <w:rFonts w:asciiTheme="minorHAnsi" w:hAnsiTheme="minorHAnsi" w:cstheme="minorHAnsi"/>
          <w:sz w:val="24"/>
        </w:rPr>
        <w:t>–</w:t>
      </w:r>
      <w:r w:rsidR="00F17446" w:rsidRPr="002D4B71">
        <w:rPr>
          <w:rFonts w:asciiTheme="minorHAnsi" w:hAnsiTheme="minorHAnsi" w:cstheme="minorHAnsi"/>
          <w:i/>
          <w:sz w:val="24"/>
        </w:rPr>
        <w:t xml:space="preserve"> Dodavatelé</w:t>
      </w:r>
      <w:r w:rsidR="00F17446">
        <w:rPr>
          <w:rFonts w:asciiTheme="minorHAnsi" w:hAnsiTheme="minorHAnsi" w:cstheme="minorHAnsi"/>
          <w:sz w:val="24"/>
        </w:rPr>
        <w:t xml:space="preserve"> </w:t>
      </w:r>
      <w:r w:rsidR="00401662">
        <w:rPr>
          <w:rFonts w:asciiTheme="minorHAnsi" w:hAnsiTheme="minorHAnsi" w:cstheme="minorHAnsi"/>
          <w:sz w:val="24"/>
        </w:rPr>
        <w:t xml:space="preserve">zaúčtovanou částku ve výši </w:t>
      </w:r>
      <w:r w:rsidR="00401662" w:rsidRPr="00401662">
        <w:rPr>
          <w:rFonts w:asciiTheme="minorHAnsi" w:hAnsiTheme="minorHAnsi" w:cstheme="minorHAnsi"/>
          <w:sz w:val="24"/>
        </w:rPr>
        <w:t>78</w:t>
      </w:r>
      <w:r w:rsidR="009C77C9">
        <w:rPr>
          <w:rFonts w:asciiTheme="minorHAnsi" w:hAnsiTheme="minorHAnsi" w:cstheme="minorHAnsi"/>
          <w:sz w:val="24"/>
        </w:rPr>
        <w:t xml:space="preserve"> </w:t>
      </w:r>
      <w:r w:rsidR="00401662" w:rsidRPr="00401662">
        <w:rPr>
          <w:rFonts w:asciiTheme="minorHAnsi" w:hAnsiTheme="minorHAnsi" w:cstheme="minorHAnsi"/>
          <w:sz w:val="24"/>
        </w:rPr>
        <w:t>154</w:t>
      </w:r>
      <w:r w:rsidR="009C77C9">
        <w:rPr>
          <w:rFonts w:asciiTheme="minorHAnsi" w:hAnsiTheme="minorHAnsi" w:cstheme="minorHAnsi"/>
          <w:sz w:val="24"/>
        </w:rPr>
        <w:t xml:space="preserve"> </w:t>
      </w:r>
      <w:r w:rsidR="00401662" w:rsidRPr="00401662">
        <w:rPr>
          <w:rFonts w:asciiTheme="minorHAnsi" w:hAnsiTheme="minorHAnsi" w:cstheme="minorHAnsi"/>
          <w:sz w:val="24"/>
        </w:rPr>
        <w:t xml:space="preserve">838,65 </w:t>
      </w:r>
      <w:r w:rsidR="00401662">
        <w:rPr>
          <w:rFonts w:asciiTheme="minorHAnsi" w:hAnsiTheme="minorHAnsi" w:cstheme="minorHAnsi"/>
          <w:sz w:val="24"/>
        </w:rPr>
        <w:t>Kč (závazek ve výši příjmů z likvidov</w:t>
      </w:r>
      <w:r w:rsidR="007A7B70">
        <w:rPr>
          <w:rFonts w:asciiTheme="minorHAnsi" w:hAnsiTheme="minorHAnsi" w:cstheme="minorHAnsi"/>
          <w:sz w:val="24"/>
        </w:rPr>
        <w:t>aných státních podniků)</w:t>
      </w:r>
      <w:r w:rsidR="00401662">
        <w:rPr>
          <w:rFonts w:asciiTheme="minorHAnsi" w:hAnsiTheme="minorHAnsi" w:cstheme="minorHAnsi"/>
          <w:sz w:val="24"/>
        </w:rPr>
        <w:t xml:space="preserve"> sníženou o částku </w:t>
      </w:r>
      <w:r w:rsidR="00401662" w:rsidRPr="00401662">
        <w:rPr>
          <w:rFonts w:asciiTheme="minorHAnsi" w:hAnsiTheme="minorHAnsi" w:cstheme="minorHAnsi"/>
          <w:sz w:val="24"/>
        </w:rPr>
        <w:t>74</w:t>
      </w:r>
      <w:r w:rsidR="009C77C9">
        <w:rPr>
          <w:rFonts w:asciiTheme="minorHAnsi" w:hAnsiTheme="minorHAnsi" w:cstheme="minorHAnsi"/>
          <w:sz w:val="24"/>
        </w:rPr>
        <w:t xml:space="preserve"> </w:t>
      </w:r>
      <w:r w:rsidR="00401662" w:rsidRPr="00401662">
        <w:rPr>
          <w:rFonts w:asciiTheme="minorHAnsi" w:hAnsiTheme="minorHAnsi" w:cstheme="minorHAnsi"/>
          <w:sz w:val="24"/>
        </w:rPr>
        <w:t>444</w:t>
      </w:r>
      <w:r w:rsidR="009C77C9">
        <w:rPr>
          <w:rFonts w:asciiTheme="minorHAnsi" w:hAnsiTheme="minorHAnsi" w:cstheme="minorHAnsi"/>
          <w:sz w:val="24"/>
        </w:rPr>
        <w:t xml:space="preserve"> </w:t>
      </w:r>
      <w:r w:rsidR="00401662" w:rsidRPr="00401662">
        <w:rPr>
          <w:rFonts w:asciiTheme="minorHAnsi" w:hAnsiTheme="minorHAnsi" w:cstheme="minorHAnsi"/>
          <w:sz w:val="24"/>
        </w:rPr>
        <w:t xml:space="preserve">083,65 </w:t>
      </w:r>
      <w:r w:rsidR="00401662">
        <w:rPr>
          <w:rFonts w:asciiTheme="minorHAnsi" w:hAnsiTheme="minorHAnsi" w:cstheme="minorHAnsi"/>
          <w:sz w:val="24"/>
        </w:rPr>
        <w:t xml:space="preserve">Kč (vyplacené nenávratné příspěvky a převody </w:t>
      </w:r>
      <w:r w:rsidR="00287E33">
        <w:rPr>
          <w:rFonts w:asciiTheme="minorHAnsi" w:hAnsiTheme="minorHAnsi" w:cstheme="minorHAnsi"/>
          <w:sz w:val="24"/>
        </w:rPr>
        <w:t xml:space="preserve">– </w:t>
      </w:r>
      <w:r w:rsidR="00401662">
        <w:rPr>
          <w:rFonts w:asciiTheme="minorHAnsi" w:hAnsiTheme="minorHAnsi" w:cstheme="minorHAnsi"/>
          <w:sz w:val="24"/>
        </w:rPr>
        <w:t>„pohledávky“</w:t>
      </w:r>
      <w:r w:rsidR="00287E33">
        <w:rPr>
          <w:rFonts w:asciiTheme="minorHAnsi" w:hAnsiTheme="minorHAnsi" w:cstheme="minorHAnsi"/>
          <w:sz w:val="24"/>
        </w:rPr>
        <w:t xml:space="preserve"> –</w:t>
      </w:r>
      <w:r w:rsidR="00401662">
        <w:rPr>
          <w:rFonts w:asciiTheme="minorHAnsi" w:hAnsiTheme="minorHAnsi" w:cstheme="minorHAnsi"/>
          <w:sz w:val="24"/>
        </w:rPr>
        <w:t xml:space="preserve"> na obnovu nemovitých kulturních památek). </w:t>
      </w:r>
      <w:r w:rsidR="004F1D5C">
        <w:rPr>
          <w:rFonts w:asciiTheme="minorHAnsi" w:hAnsiTheme="minorHAnsi" w:cstheme="minorHAnsi"/>
          <w:sz w:val="24"/>
        </w:rPr>
        <w:t>Vzhledem k tomu, že se jedná o</w:t>
      </w:r>
      <w:r w:rsidR="00401662">
        <w:rPr>
          <w:rFonts w:asciiTheme="minorHAnsi" w:hAnsiTheme="minorHAnsi" w:cstheme="minorHAnsi"/>
          <w:sz w:val="24"/>
        </w:rPr>
        <w:t xml:space="preserve"> události týkající se více než 20 let starých závazků</w:t>
      </w:r>
      <w:r w:rsidR="004F1D5C">
        <w:rPr>
          <w:rFonts w:asciiTheme="minorHAnsi" w:hAnsiTheme="minorHAnsi" w:cstheme="minorHAnsi"/>
          <w:sz w:val="24"/>
        </w:rPr>
        <w:t>, které</w:t>
      </w:r>
      <w:r w:rsidR="008A008E">
        <w:rPr>
          <w:rFonts w:asciiTheme="minorHAnsi" w:hAnsiTheme="minorHAnsi" w:cstheme="minorHAnsi"/>
          <w:sz w:val="24"/>
        </w:rPr>
        <w:t xml:space="preserve"> lze považovat za promlčené</w:t>
      </w:r>
      <w:r w:rsidR="004F1D5C">
        <w:rPr>
          <w:rFonts w:asciiTheme="minorHAnsi" w:hAnsiTheme="minorHAnsi" w:cstheme="minorHAnsi"/>
          <w:sz w:val="24"/>
        </w:rPr>
        <w:t xml:space="preserve">, nemělo by je </w:t>
      </w:r>
      <w:r w:rsidR="008A008E">
        <w:rPr>
          <w:rFonts w:asciiTheme="minorHAnsi" w:hAnsiTheme="minorHAnsi" w:cstheme="minorHAnsi"/>
          <w:sz w:val="24"/>
        </w:rPr>
        <w:t>MK nadále na účtu 321</w:t>
      </w:r>
      <w:r w:rsidR="009C77C9">
        <w:rPr>
          <w:rFonts w:asciiTheme="minorHAnsi" w:hAnsiTheme="minorHAnsi" w:cstheme="minorHAnsi"/>
          <w:sz w:val="24"/>
        </w:rPr>
        <w:t xml:space="preserve"> </w:t>
      </w:r>
      <w:r w:rsidR="008A008E">
        <w:rPr>
          <w:rFonts w:asciiTheme="minorHAnsi" w:hAnsiTheme="minorHAnsi" w:cstheme="minorHAnsi"/>
          <w:sz w:val="24"/>
        </w:rPr>
        <w:t xml:space="preserve">– </w:t>
      </w:r>
      <w:r w:rsidR="008A008E" w:rsidRPr="00287E33">
        <w:rPr>
          <w:rFonts w:asciiTheme="minorHAnsi" w:hAnsiTheme="minorHAnsi" w:cstheme="minorHAnsi"/>
          <w:i/>
          <w:sz w:val="24"/>
        </w:rPr>
        <w:t>Dodavatelé</w:t>
      </w:r>
      <w:r w:rsidR="008A008E">
        <w:rPr>
          <w:rFonts w:asciiTheme="minorHAnsi" w:hAnsiTheme="minorHAnsi" w:cstheme="minorHAnsi"/>
          <w:sz w:val="24"/>
        </w:rPr>
        <w:t xml:space="preserve"> vykazovat.</w:t>
      </w:r>
    </w:p>
    <w:p w:rsidR="00401662" w:rsidRDefault="00401662" w:rsidP="00A82ED8">
      <w:pPr>
        <w:pStyle w:val="NormlnKZ"/>
        <w:spacing w:after="0"/>
        <w:ind w:firstLine="0"/>
        <w:rPr>
          <w:rFonts w:asciiTheme="minorHAnsi" w:hAnsiTheme="minorHAnsi" w:cstheme="minorHAnsi"/>
          <w:sz w:val="24"/>
        </w:rPr>
      </w:pPr>
    </w:p>
    <w:p w:rsidR="00784864" w:rsidRDefault="00784864" w:rsidP="00A82ED8">
      <w:pPr>
        <w:pStyle w:val="NormlnKZ"/>
        <w:spacing w:after="0"/>
        <w:ind w:firstLine="0"/>
        <w:rPr>
          <w:rFonts w:asciiTheme="minorHAnsi" w:hAnsiTheme="minorHAnsi" w:cstheme="minorHAnsi"/>
          <w:sz w:val="24"/>
        </w:rPr>
      </w:pPr>
      <w:r>
        <w:rPr>
          <w:rFonts w:asciiTheme="minorHAnsi" w:hAnsiTheme="minorHAnsi" w:cstheme="minorHAnsi"/>
          <w:sz w:val="24"/>
        </w:rPr>
        <w:t>K</w:t>
      </w:r>
      <w:r w:rsidR="009C77C9">
        <w:rPr>
          <w:rFonts w:asciiTheme="minorHAnsi" w:hAnsiTheme="minorHAnsi" w:cstheme="minorHAnsi"/>
          <w:sz w:val="24"/>
        </w:rPr>
        <w:t xml:space="preserve"> </w:t>
      </w:r>
      <w:r>
        <w:rPr>
          <w:rFonts w:asciiTheme="minorHAnsi" w:hAnsiTheme="minorHAnsi" w:cstheme="minorHAnsi"/>
          <w:sz w:val="24"/>
        </w:rPr>
        <w:t>částce 18</w:t>
      </w:r>
      <w:r w:rsidR="009C77C9">
        <w:rPr>
          <w:rFonts w:asciiTheme="minorHAnsi" w:hAnsiTheme="minorHAnsi" w:cstheme="minorHAnsi"/>
          <w:sz w:val="24"/>
        </w:rPr>
        <w:t xml:space="preserve"> </w:t>
      </w:r>
      <w:r>
        <w:rPr>
          <w:rFonts w:asciiTheme="minorHAnsi" w:hAnsiTheme="minorHAnsi" w:cstheme="minorHAnsi"/>
          <w:sz w:val="24"/>
        </w:rPr>
        <w:t xml:space="preserve">806,25 Kč, </w:t>
      </w:r>
      <w:r w:rsidRPr="00784864">
        <w:rPr>
          <w:rFonts w:asciiTheme="minorHAnsi" w:hAnsiTheme="minorHAnsi" w:cstheme="minorHAnsi"/>
          <w:sz w:val="24"/>
        </w:rPr>
        <w:t>která se týk</w:t>
      </w:r>
      <w:r>
        <w:rPr>
          <w:rFonts w:asciiTheme="minorHAnsi" w:hAnsiTheme="minorHAnsi" w:cstheme="minorHAnsi"/>
          <w:sz w:val="24"/>
        </w:rPr>
        <w:t>ala</w:t>
      </w:r>
      <w:r w:rsidRPr="00784864">
        <w:rPr>
          <w:rFonts w:asciiTheme="minorHAnsi" w:hAnsiTheme="minorHAnsi" w:cstheme="minorHAnsi"/>
          <w:sz w:val="24"/>
        </w:rPr>
        <w:t xml:space="preserve"> nevyplacených autorských honorářů z let 2002 a 1</w:t>
      </w:r>
      <w:r>
        <w:rPr>
          <w:rFonts w:asciiTheme="minorHAnsi" w:hAnsiTheme="minorHAnsi" w:cstheme="minorHAnsi"/>
          <w:sz w:val="24"/>
        </w:rPr>
        <w:t>998</w:t>
      </w:r>
      <w:r w:rsidR="00B6719C">
        <w:rPr>
          <w:rFonts w:asciiTheme="minorHAnsi" w:hAnsiTheme="minorHAnsi" w:cstheme="minorHAnsi"/>
          <w:sz w:val="24"/>
        </w:rPr>
        <w:t>,</w:t>
      </w:r>
      <w:r>
        <w:rPr>
          <w:rFonts w:asciiTheme="minorHAnsi" w:hAnsiTheme="minorHAnsi" w:cstheme="minorHAnsi"/>
          <w:sz w:val="24"/>
        </w:rPr>
        <w:t xml:space="preserve"> </w:t>
      </w:r>
      <w:r w:rsidRPr="00784864">
        <w:rPr>
          <w:rFonts w:asciiTheme="minorHAnsi" w:hAnsiTheme="minorHAnsi" w:cstheme="minorHAnsi"/>
          <w:sz w:val="24"/>
        </w:rPr>
        <w:t>MK do konce kontroly nepředložilo žádné informace.</w:t>
      </w:r>
    </w:p>
    <w:p w:rsidR="00784864" w:rsidRDefault="00784864" w:rsidP="00A82ED8">
      <w:pPr>
        <w:pStyle w:val="NormlnKZ"/>
        <w:spacing w:after="0"/>
        <w:ind w:firstLine="0"/>
        <w:rPr>
          <w:rFonts w:asciiTheme="minorHAnsi" w:hAnsiTheme="minorHAnsi" w:cstheme="minorHAnsi"/>
          <w:sz w:val="24"/>
        </w:rPr>
      </w:pPr>
    </w:p>
    <w:p w:rsidR="00784864" w:rsidRDefault="00784864" w:rsidP="00A82ED8">
      <w:pPr>
        <w:pStyle w:val="NormlnKZ"/>
        <w:spacing w:after="0"/>
        <w:ind w:firstLine="0"/>
        <w:rPr>
          <w:rFonts w:asciiTheme="minorHAnsi" w:hAnsiTheme="minorHAnsi" w:cstheme="minorHAnsi"/>
          <w:sz w:val="24"/>
        </w:rPr>
      </w:pPr>
      <w:r w:rsidRPr="00784864">
        <w:rPr>
          <w:rFonts w:asciiTheme="minorHAnsi" w:hAnsiTheme="minorHAnsi" w:cstheme="minorHAnsi"/>
          <w:sz w:val="24"/>
        </w:rPr>
        <w:t xml:space="preserve">Z uvedeného vyplývá, že MK </w:t>
      </w:r>
      <w:r w:rsidR="00BC453D">
        <w:rPr>
          <w:rFonts w:asciiTheme="minorHAnsi" w:hAnsiTheme="minorHAnsi" w:cstheme="minorHAnsi"/>
          <w:sz w:val="24"/>
        </w:rPr>
        <w:t>k 31. 12. 2014 nevykázalo</w:t>
      </w:r>
      <w:r w:rsidRPr="00784864">
        <w:rPr>
          <w:rFonts w:asciiTheme="minorHAnsi" w:hAnsiTheme="minorHAnsi" w:cstheme="minorHAnsi"/>
          <w:sz w:val="24"/>
        </w:rPr>
        <w:t xml:space="preserve"> žádné závazky běžného účetního období.</w:t>
      </w:r>
      <w:r>
        <w:rPr>
          <w:rFonts w:asciiTheme="minorHAnsi" w:hAnsiTheme="minorHAnsi" w:cstheme="minorHAnsi"/>
          <w:sz w:val="24"/>
        </w:rPr>
        <w:t xml:space="preserve"> Kontrolou bylo zjištěno, že </w:t>
      </w:r>
      <w:r w:rsidRPr="00784864">
        <w:rPr>
          <w:rFonts w:asciiTheme="minorHAnsi" w:hAnsiTheme="minorHAnsi" w:cstheme="minorHAnsi"/>
          <w:sz w:val="24"/>
        </w:rPr>
        <w:t>MK o</w:t>
      </w:r>
      <w:r w:rsidR="00BC453D">
        <w:rPr>
          <w:rFonts w:asciiTheme="minorHAnsi" w:hAnsiTheme="minorHAnsi" w:cstheme="minorHAnsi"/>
          <w:sz w:val="24"/>
        </w:rPr>
        <w:t> </w:t>
      </w:r>
      <w:r w:rsidRPr="00784864">
        <w:rPr>
          <w:rFonts w:asciiTheme="minorHAnsi" w:hAnsiTheme="minorHAnsi" w:cstheme="minorHAnsi"/>
          <w:sz w:val="24"/>
        </w:rPr>
        <w:t xml:space="preserve">závazcích a souvisejících nákladech </w:t>
      </w:r>
      <w:r w:rsidR="00BC453D">
        <w:rPr>
          <w:rFonts w:asciiTheme="minorHAnsi" w:hAnsiTheme="minorHAnsi" w:cstheme="minorHAnsi"/>
          <w:sz w:val="24"/>
        </w:rPr>
        <w:t xml:space="preserve">v některých případech </w:t>
      </w:r>
      <w:r w:rsidRPr="00784864">
        <w:rPr>
          <w:rFonts w:asciiTheme="minorHAnsi" w:hAnsiTheme="minorHAnsi" w:cstheme="minorHAnsi"/>
          <w:sz w:val="24"/>
        </w:rPr>
        <w:t>neúčtovalo do obdob</w:t>
      </w:r>
      <w:r w:rsidR="00BC453D">
        <w:rPr>
          <w:rFonts w:asciiTheme="minorHAnsi" w:hAnsiTheme="minorHAnsi" w:cstheme="minorHAnsi"/>
          <w:sz w:val="24"/>
        </w:rPr>
        <w:t>í, s </w:t>
      </w:r>
      <w:r>
        <w:rPr>
          <w:rFonts w:asciiTheme="minorHAnsi" w:hAnsiTheme="minorHAnsi" w:cstheme="minorHAnsi"/>
          <w:sz w:val="24"/>
        </w:rPr>
        <w:t>nímž věcně a časově souvisely</w:t>
      </w:r>
      <w:r w:rsidRPr="00784864">
        <w:rPr>
          <w:rFonts w:asciiTheme="minorHAnsi" w:hAnsiTheme="minorHAnsi" w:cstheme="minorHAnsi"/>
          <w:sz w:val="24"/>
        </w:rPr>
        <w:t>.</w:t>
      </w:r>
    </w:p>
    <w:p w:rsidR="008A008E" w:rsidRPr="00AC13B9" w:rsidRDefault="008A008E" w:rsidP="00A82ED8">
      <w:pPr>
        <w:pStyle w:val="NormlnKZ"/>
        <w:spacing w:after="0"/>
        <w:ind w:firstLine="0"/>
        <w:rPr>
          <w:rFonts w:asciiTheme="minorHAnsi" w:hAnsiTheme="minorHAnsi" w:cstheme="minorHAnsi"/>
          <w:sz w:val="24"/>
        </w:rPr>
      </w:pPr>
    </w:p>
    <w:p w:rsidR="00EB1790" w:rsidRDefault="00015FA2" w:rsidP="00A82ED8">
      <w:pPr>
        <w:pStyle w:val="NormlnKZ"/>
        <w:spacing w:after="0"/>
        <w:ind w:firstLine="0"/>
        <w:rPr>
          <w:rFonts w:asciiTheme="minorHAnsi" w:hAnsiTheme="minorHAnsi" w:cstheme="minorHAnsi"/>
          <w:b/>
          <w:sz w:val="24"/>
        </w:rPr>
      </w:pPr>
      <w:r>
        <w:rPr>
          <w:rFonts w:asciiTheme="minorHAnsi" w:hAnsiTheme="minorHAnsi" w:cstheme="minorHAnsi"/>
          <w:b/>
          <w:sz w:val="24"/>
        </w:rPr>
        <w:t>2.1</w:t>
      </w:r>
      <w:r w:rsidR="00AC13B9">
        <w:rPr>
          <w:rFonts w:asciiTheme="minorHAnsi" w:hAnsiTheme="minorHAnsi" w:cstheme="minorHAnsi"/>
          <w:b/>
          <w:sz w:val="24"/>
        </w:rPr>
        <w:t>1</w:t>
      </w:r>
      <w:r w:rsidR="0085509B">
        <w:rPr>
          <w:rFonts w:asciiTheme="minorHAnsi" w:hAnsiTheme="minorHAnsi" w:cstheme="minorHAnsi"/>
          <w:b/>
          <w:sz w:val="24"/>
        </w:rPr>
        <w:t xml:space="preserve"> Inventarizace majetku a závazků</w:t>
      </w:r>
    </w:p>
    <w:p w:rsidR="00C01E14" w:rsidRDefault="00C01E14" w:rsidP="00A82ED8">
      <w:pPr>
        <w:pStyle w:val="NormlnKZ"/>
        <w:spacing w:after="0"/>
        <w:ind w:firstLine="0"/>
        <w:rPr>
          <w:rFonts w:asciiTheme="minorHAnsi" w:hAnsiTheme="minorHAnsi" w:cstheme="minorHAnsi"/>
          <w:sz w:val="24"/>
        </w:rPr>
      </w:pPr>
    </w:p>
    <w:p w:rsidR="0085509B" w:rsidRDefault="00D42C73" w:rsidP="00A82ED8">
      <w:pPr>
        <w:pStyle w:val="NormlnKZ"/>
        <w:spacing w:after="0"/>
        <w:ind w:firstLine="0"/>
        <w:rPr>
          <w:rFonts w:asciiTheme="minorHAnsi" w:hAnsiTheme="minorHAnsi" w:cstheme="minorHAnsi"/>
          <w:sz w:val="24"/>
        </w:rPr>
      </w:pPr>
      <w:r w:rsidRPr="00D42C73">
        <w:rPr>
          <w:rFonts w:asciiTheme="minorHAnsi" w:hAnsiTheme="minorHAnsi" w:cstheme="minorHAnsi"/>
          <w:sz w:val="24"/>
        </w:rPr>
        <w:t>MK nesprávně v inventurním soupisu uvedlo rozsah provedení inventury pohledávek a</w:t>
      </w:r>
      <w:r w:rsidR="00B6719C">
        <w:rPr>
          <w:rFonts w:asciiTheme="minorHAnsi" w:hAnsiTheme="minorHAnsi" w:cstheme="minorHAnsi"/>
          <w:sz w:val="24"/>
        </w:rPr>
        <w:t> </w:t>
      </w:r>
      <w:r w:rsidRPr="00D42C73">
        <w:rPr>
          <w:rFonts w:asciiTheme="minorHAnsi" w:hAnsiTheme="minorHAnsi" w:cstheme="minorHAnsi"/>
          <w:sz w:val="24"/>
        </w:rPr>
        <w:t>závazků, když požadovalo provedení inventarizace účtů, které byly právními předpisy upravujícími oblast účetnictví pro rok 2014 zrušeny, a</w:t>
      </w:r>
      <w:r>
        <w:rPr>
          <w:rFonts w:asciiTheme="minorHAnsi" w:hAnsiTheme="minorHAnsi" w:cstheme="minorHAnsi"/>
          <w:sz w:val="24"/>
        </w:rPr>
        <w:t xml:space="preserve"> naopak</w:t>
      </w:r>
      <w:r w:rsidRPr="00D42C73">
        <w:rPr>
          <w:rFonts w:asciiTheme="minorHAnsi" w:hAnsiTheme="minorHAnsi" w:cstheme="minorHAnsi"/>
          <w:sz w:val="24"/>
        </w:rPr>
        <w:t xml:space="preserve"> nestanovilo požadavek na inventarizaci účtů 372 – </w:t>
      </w:r>
      <w:r w:rsidRPr="00287E33">
        <w:rPr>
          <w:rFonts w:asciiTheme="minorHAnsi" w:hAnsiTheme="minorHAnsi" w:cstheme="minorHAnsi"/>
          <w:i/>
          <w:sz w:val="24"/>
        </w:rPr>
        <w:t>Krátkodobé závazky z nástrojů spolufinancovaných ze zahraničí</w:t>
      </w:r>
      <w:r w:rsidRPr="00D42C73">
        <w:rPr>
          <w:rFonts w:asciiTheme="minorHAnsi" w:hAnsiTheme="minorHAnsi" w:cstheme="minorHAnsi"/>
          <w:sz w:val="24"/>
        </w:rPr>
        <w:t xml:space="preserve">, </w:t>
      </w:r>
      <w:r w:rsidRPr="00287E33">
        <w:rPr>
          <w:rFonts w:asciiTheme="minorHAnsi" w:hAnsiTheme="minorHAnsi" w:cstheme="minorHAnsi"/>
          <w:sz w:val="24"/>
        </w:rPr>
        <w:t>973</w:t>
      </w:r>
      <w:r w:rsidR="002D4B71" w:rsidRPr="00287E33">
        <w:rPr>
          <w:rFonts w:asciiTheme="minorHAnsi" w:hAnsiTheme="minorHAnsi" w:cstheme="minorHAnsi"/>
          <w:sz w:val="24"/>
        </w:rPr>
        <w:t> </w:t>
      </w:r>
      <w:r w:rsidRPr="00287E33">
        <w:rPr>
          <w:rFonts w:asciiTheme="minorHAnsi" w:hAnsiTheme="minorHAnsi" w:cstheme="minorHAnsi"/>
          <w:sz w:val="24"/>
        </w:rPr>
        <w:t>–</w:t>
      </w:r>
      <w:r w:rsidRPr="002D4B71">
        <w:rPr>
          <w:rFonts w:asciiTheme="minorHAnsi" w:hAnsiTheme="minorHAnsi" w:cstheme="minorHAnsi"/>
          <w:i/>
          <w:sz w:val="24"/>
        </w:rPr>
        <w:t xml:space="preserve"> Krátkodobé podmíněné závazky z jiných smluv</w:t>
      </w:r>
      <w:r w:rsidRPr="00D42C73">
        <w:rPr>
          <w:rFonts w:asciiTheme="minorHAnsi" w:hAnsiTheme="minorHAnsi" w:cstheme="minorHAnsi"/>
          <w:sz w:val="24"/>
        </w:rPr>
        <w:t xml:space="preserve"> a </w:t>
      </w:r>
      <w:r w:rsidRPr="00287E33">
        <w:rPr>
          <w:rFonts w:asciiTheme="minorHAnsi" w:hAnsiTheme="minorHAnsi" w:cstheme="minorHAnsi"/>
          <w:sz w:val="24"/>
        </w:rPr>
        <w:t>974 –</w:t>
      </w:r>
      <w:r w:rsidRPr="002D4B71">
        <w:rPr>
          <w:rFonts w:asciiTheme="minorHAnsi" w:hAnsiTheme="minorHAnsi" w:cstheme="minorHAnsi"/>
          <w:i/>
          <w:sz w:val="24"/>
        </w:rPr>
        <w:t xml:space="preserve"> Dlouhodobé podmíněné závazky z jiných smluv</w:t>
      </w:r>
      <w:r w:rsidRPr="00D42C73">
        <w:rPr>
          <w:rFonts w:asciiTheme="minorHAnsi" w:hAnsiTheme="minorHAnsi" w:cstheme="minorHAnsi"/>
          <w:sz w:val="24"/>
        </w:rPr>
        <w:t>, na něž MK v roce 2014 účtovalo.</w:t>
      </w:r>
    </w:p>
    <w:p w:rsidR="00D42C73" w:rsidRDefault="00D42C73" w:rsidP="00A82ED8">
      <w:pPr>
        <w:pStyle w:val="NormlnKZ"/>
        <w:spacing w:after="0"/>
        <w:ind w:firstLine="0"/>
        <w:rPr>
          <w:rFonts w:asciiTheme="minorHAnsi" w:hAnsiTheme="minorHAnsi" w:cstheme="minorHAnsi"/>
          <w:sz w:val="24"/>
        </w:rPr>
      </w:pPr>
    </w:p>
    <w:p w:rsidR="00D42C73" w:rsidRDefault="00D42C73" w:rsidP="00A82ED8">
      <w:pPr>
        <w:pStyle w:val="NormlnKZ"/>
        <w:spacing w:after="0"/>
        <w:ind w:firstLine="0"/>
        <w:rPr>
          <w:rFonts w:asciiTheme="minorHAnsi" w:hAnsiTheme="minorHAnsi" w:cstheme="minorHAnsi"/>
          <w:sz w:val="24"/>
        </w:rPr>
      </w:pPr>
      <w:r>
        <w:rPr>
          <w:rFonts w:asciiTheme="minorHAnsi" w:hAnsiTheme="minorHAnsi" w:cstheme="minorHAnsi"/>
          <w:sz w:val="24"/>
        </w:rPr>
        <w:t xml:space="preserve">MK při inventarizaci nezjistilo drobné rozdíly na účtech </w:t>
      </w:r>
      <w:r w:rsidRPr="00287E33">
        <w:rPr>
          <w:rFonts w:asciiTheme="minorHAnsi" w:hAnsiTheme="minorHAnsi" w:cstheme="minorHAnsi"/>
          <w:sz w:val="24"/>
        </w:rPr>
        <w:t xml:space="preserve">347 – </w:t>
      </w:r>
      <w:r w:rsidRPr="002D4B71">
        <w:rPr>
          <w:rFonts w:asciiTheme="minorHAnsi" w:hAnsiTheme="minorHAnsi" w:cstheme="minorHAnsi"/>
          <w:i/>
          <w:sz w:val="24"/>
        </w:rPr>
        <w:t>Závazky k</w:t>
      </w:r>
      <w:r w:rsidR="009C77C9">
        <w:rPr>
          <w:rFonts w:asciiTheme="minorHAnsi" w:hAnsiTheme="minorHAnsi" w:cstheme="minorHAnsi"/>
          <w:i/>
          <w:sz w:val="24"/>
        </w:rPr>
        <w:t xml:space="preserve"> </w:t>
      </w:r>
      <w:r w:rsidRPr="002D4B71">
        <w:rPr>
          <w:rFonts w:asciiTheme="minorHAnsi" w:hAnsiTheme="minorHAnsi" w:cstheme="minorHAnsi"/>
          <w:i/>
          <w:sz w:val="24"/>
        </w:rPr>
        <w:t>vybraným ústředním vládním institucím</w:t>
      </w:r>
      <w:r>
        <w:rPr>
          <w:rFonts w:asciiTheme="minorHAnsi" w:hAnsiTheme="minorHAnsi" w:cstheme="minorHAnsi"/>
          <w:sz w:val="24"/>
        </w:rPr>
        <w:t xml:space="preserve"> (MK inventarizovalo jen část účtu), </w:t>
      </w:r>
      <w:r w:rsidRPr="00287E33">
        <w:rPr>
          <w:rFonts w:asciiTheme="minorHAnsi" w:hAnsiTheme="minorHAnsi" w:cstheme="minorHAnsi"/>
          <w:sz w:val="24"/>
        </w:rPr>
        <w:t>401 –</w:t>
      </w:r>
      <w:r w:rsidRPr="002D4B71">
        <w:rPr>
          <w:rFonts w:asciiTheme="minorHAnsi" w:hAnsiTheme="minorHAnsi" w:cstheme="minorHAnsi"/>
          <w:i/>
          <w:sz w:val="24"/>
        </w:rPr>
        <w:t xml:space="preserve"> Jmění účetní jednotky</w:t>
      </w:r>
      <w:r>
        <w:rPr>
          <w:rFonts w:asciiTheme="minorHAnsi" w:hAnsiTheme="minorHAnsi" w:cstheme="minorHAnsi"/>
          <w:sz w:val="24"/>
        </w:rPr>
        <w:t xml:space="preserve">, </w:t>
      </w:r>
      <w:r w:rsidR="00C01E14" w:rsidRPr="00287E33">
        <w:rPr>
          <w:rFonts w:asciiTheme="minorHAnsi" w:hAnsiTheme="minorHAnsi" w:cstheme="minorHAnsi"/>
          <w:sz w:val="24"/>
        </w:rPr>
        <w:t>406 </w:t>
      </w:r>
      <w:r w:rsidRPr="00287E33">
        <w:rPr>
          <w:rFonts w:asciiTheme="minorHAnsi" w:hAnsiTheme="minorHAnsi" w:cstheme="minorHAnsi"/>
          <w:sz w:val="24"/>
        </w:rPr>
        <w:t>–</w:t>
      </w:r>
      <w:r w:rsidRPr="002D4B71">
        <w:rPr>
          <w:rFonts w:asciiTheme="minorHAnsi" w:hAnsiTheme="minorHAnsi" w:cstheme="minorHAnsi"/>
          <w:i/>
          <w:sz w:val="24"/>
        </w:rPr>
        <w:t xml:space="preserve"> Oceňovací rozdíly při prvotním použití metody</w:t>
      </w:r>
      <w:r>
        <w:rPr>
          <w:rFonts w:asciiTheme="minorHAnsi" w:hAnsiTheme="minorHAnsi" w:cstheme="minorHAnsi"/>
          <w:sz w:val="24"/>
        </w:rPr>
        <w:t xml:space="preserve"> či </w:t>
      </w:r>
      <w:r w:rsidRPr="00287E33">
        <w:rPr>
          <w:rFonts w:asciiTheme="minorHAnsi" w:hAnsiTheme="minorHAnsi" w:cstheme="minorHAnsi"/>
          <w:sz w:val="24"/>
        </w:rPr>
        <w:t>112 –</w:t>
      </w:r>
      <w:r w:rsidRPr="002D4B71">
        <w:rPr>
          <w:rFonts w:asciiTheme="minorHAnsi" w:hAnsiTheme="minorHAnsi" w:cstheme="minorHAnsi"/>
          <w:i/>
          <w:sz w:val="24"/>
        </w:rPr>
        <w:t xml:space="preserve"> Materiál na skladě</w:t>
      </w:r>
      <w:r>
        <w:rPr>
          <w:rFonts w:asciiTheme="minorHAnsi" w:hAnsiTheme="minorHAnsi" w:cstheme="minorHAnsi"/>
          <w:sz w:val="24"/>
        </w:rPr>
        <w:t xml:space="preserve"> (jiné ocenění ve skladové evidenci a v</w:t>
      </w:r>
      <w:r w:rsidR="009C77C9">
        <w:rPr>
          <w:rFonts w:asciiTheme="minorHAnsi" w:hAnsiTheme="minorHAnsi" w:cstheme="minorHAnsi"/>
          <w:sz w:val="24"/>
        </w:rPr>
        <w:t xml:space="preserve"> </w:t>
      </w:r>
      <w:r>
        <w:rPr>
          <w:rFonts w:asciiTheme="minorHAnsi" w:hAnsiTheme="minorHAnsi" w:cstheme="minorHAnsi"/>
          <w:sz w:val="24"/>
        </w:rPr>
        <w:t>účetnictví).</w:t>
      </w:r>
    </w:p>
    <w:p w:rsidR="00B371F5" w:rsidRDefault="00B371F5" w:rsidP="00A82ED8">
      <w:pPr>
        <w:pStyle w:val="NormlnKZ"/>
        <w:spacing w:after="0"/>
        <w:ind w:firstLine="0"/>
        <w:rPr>
          <w:rFonts w:asciiTheme="minorHAnsi" w:hAnsiTheme="minorHAnsi" w:cstheme="minorHAnsi"/>
          <w:sz w:val="24"/>
        </w:rPr>
      </w:pPr>
    </w:p>
    <w:p w:rsidR="0085509B" w:rsidRDefault="00015FA2" w:rsidP="00A82ED8">
      <w:pPr>
        <w:pStyle w:val="NormlnKZ"/>
        <w:spacing w:after="0"/>
        <w:ind w:firstLine="0"/>
        <w:rPr>
          <w:rFonts w:asciiTheme="minorHAnsi" w:hAnsiTheme="minorHAnsi" w:cstheme="minorHAnsi"/>
          <w:b/>
          <w:sz w:val="24"/>
        </w:rPr>
      </w:pPr>
      <w:r>
        <w:rPr>
          <w:rFonts w:asciiTheme="minorHAnsi" w:hAnsiTheme="minorHAnsi" w:cstheme="minorHAnsi"/>
          <w:b/>
          <w:sz w:val="24"/>
        </w:rPr>
        <w:t>2.1</w:t>
      </w:r>
      <w:r w:rsidR="00AC13B9">
        <w:rPr>
          <w:rFonts w:asciiTheme="minorHAnsi" w:hAnsiTheme="minorHAnsi" w:cstheme="minorHAnsi"/>
          <w:b/>
          <w:sz w:val="24"/>
        </w:rPr>
        <w:t>2</w:t>
      </w:r>
      <w:r w:rsidR="0085509B">
        <w:rPr>
          <w:rFonts w:asciiTheme="minorHAnsi" w:hAnsiTheme="minorHAnsi" w:cstheme="minorHAnsi"/>
          <w:b/>
          <w:sz w:val="24"/>
        </w:rPr>
        <w:t xml:space="preserve"> </w:t>
      </w:r>
      <w:r w:rsidR="00220C67">
        <w:rPr>
          <w:rFonts w:asciiTheme="minorHAnsi" w:hAnsiTheme="minorHAnsi" w:cstheme="minorHAnsi"/>
          <w:b/>
          <w:sz w:val="24"/>
        </w:rPr>
        <w:t>Poskytnutý peněžní dar</w:t>
      </w:r>
    </w:p>
    <w:p w:rsidR="00C01E14" w:rsidRDefault="00C01E14" w:rsidP="00A82ED8">
      <w:pPr>
        <w:pStyle w:val="NormlnKZ"/>
        <w:spacing w:after="0"/>
        <w:ind w:firstLine="0"/>
        <w:rPr>
          <w:rFonts w:asciiTheme="minorHAnsi" w:hAnsiTheme="minorHAnsi" w:cstheme="minorHAnsi"/>
          <w:sz w:val="24"/>
        </w:rPr>
      </w:pPr>
    </w:p>
    <w:p w:rsidR="00294DAE" w:rsidRDefault="00D42C73" w:rsidP="00A82ED8">
      <w:pPr>
        <w:pStyle w:val="NormlnKZ"/>
        <w:spacing w:after="0"/>
        <w:ind w:firstLine="0"/>
        <w:rPr>
          <w:rFonts w:asciiTheme="minorHAnsi" w:hAnsiTheme="minorHAnsi" w:cstheme="minorHAnsi"/>
          <w:sz w:val="24"/>
        </w:rPr>
      </w:pPr>
      <w:r>
        <w:rPr>
          <w:rFonts w:asciiTheme="minorHAnsi" w:hAnsiTheme="minorHAnsi" w:cstheme="minorHAnsi"/>
          <w:sz w:val="24"/>
        </w:rPr>
        <w:t>MK v</w:t>
      </w:r>
      <w:r w:rsidR="009C77C9">
        <w:rPr>
          <w:rFonts w:asciiTheme="minorHAnsi" w:hAnsiTheme="minorHAnsi" w:cstheme="minorHAnsi"/>
          <w:sz w:val="24"/>
        </w:rPr>
        <w:t xml:space="preserve"> </w:t>
      </w:r>
      <w:r>
        <w:rPr>
          <w:rFonts w:asciiTheme="minorHAnsi" w:hAnsiTheme="minorHAnsi" w:cstheme="minorHAnsi"/>
          <w:sz w:val="24"/>
        </w:rPr>
        <w:t xml:space="preserve">roce 2014 poskytlo </w:t>
      </w:r>
      <w:r w:rsidR="00294DAE">
        <w:rPr>
          <w:rFonts w:asciiTheme="minorHAnsi" w:hAnsiTheme="minorHAnsi" w:cstheme="minorHAnsi"/>
          <w:sz w:val="24"/>
        </w:rPr>
        <w:t xml:space="preserve">společnosti European Union Youth Orchestra </w:t>
      </w:r>
      <w:r>
        <w:rPr>
          <w:rFonts w:asciiTheme="minorHAnsi" w:hAnsiTheme="minorHAnsi" w:cstheme="minorHAnsi"/>
          <w:sz w:val="24"/>
        </w:rPr>
        <w:t>na základě usnesení vlády ze dne 29. 10. 2003</w:t>
      </w:r>
      <w:r w:rsidR="00BC453D" w:rsidRPr="00BC453D">
        <w:rPr>
          <w:rFonts w:asciiTheme="minorHAnsi" w:hAnsiTheme="minorHAnsi" w:cstheme="minorHAnsi"/>
          <w:sz w:val="24"/>
        </w:rPr>
        <w:t xml:space="preserve"> </w:t>
      </w:r>
      <w:r w:rsidR="00BC453D">
        <w:rPr>
          <w:rFonts w:asciiTheme="minorHAnsi" w:hAnsiTheme="minorHAnsi" w:cstheme="minorHAnsi"/>
          <w:sz w:val="24"/>
        </w:rPr>
        <w:t>č. 1066</w:t>
      </w:r>
      <w:r>
        <w:rPr>
          <w:rFonts w:asciiTheme="minorHAnsi" w:hAnsiTheme="minorHAnsi" w:cstheme="minorHAnsi"/>
          <w:sz w:val="24"/>
        </w:rPr>
        <w:t xml:space="preserve"> </w:t>
      </w:r>
      <w:r w:rsidR="00EC3B9C">
        <w:rPr>
          <w:rFonts w:asciiTheme="minorHAnsi" w:hAnsiTheme="minorHAnsi" w:cstheme="minorHAnsi"/>
          <w:sz w:val="24"/>
        </w:rPr>
        <w:t xml:space="preserve">peněžní dar </w:t>
      </w:r>
      <w:r>
        <w:rPr>
          <w:rFonts w:asciiTheme="minorHAnsi" w:hAnsiTheme="minorHAnsi" w:cstheme="minorHAnsi"/>
          <w:sz w:val="24"/>
        </w:rPr>
        <w:t>ve výši</w:t>
      </w:r>
      <w:r w:rsidR="00294DAE">
        <w:rPr>
          <w:rFonts w:asciiTheme="minorHAnsi" w:hAnsiTheme="minorHAnsi" w:cstheme="minorHAnsi"/>
          <w:sz w:val="24"/>
        </w:rPr>
        <w:t xml:space="preserve"> 15</w:t>
      </w:r>
      <w:r w:rsidR="009C77C9">
        <w:rPr>
          <w:rFonts w:asciiTheme="minorHAnsi" w:hAnsiTheme="minorHAnsi" w:cstheme="minorHAnsi"/>
          <w:sz w:val="24"/>
        </w:rPr>
        <w:t xml:space="preserve"> </w:t>
      </w:r>
      <w:r w:rsidR="00294DAE">
        <w:rPr>
          <w:rFonts w:asciiTheme="minorHAnsi" w:hAnsiTheme="minorHAnsi" w:cstheme="minorHAnsi"/>
          <w:sz w:val="24"/>
        </w:rPr>
        <w:t xml:space="preserve">000 </w:t>
      </w:r>
      <w:r w:rsidR="00287E33">
        <w:rPr>
          <w:rFonts w:asciiTheme="minorHAnsi" w:hAnsiTheme="minorHAnsi" w:cstheme="minorHAnsi"/>
          <w:sz w:val="24"/>
        </w:rPr>
        <w:t>€</w:t>
      </w:r>
      <w:r w:rsidR="00294DAE">
        <w:rPr>
          <w:rFonts w:asciiTheme="minorHAnsi" w:hAnsiTheme="minorHAnsi" w:cstheme="minorHAnsi"/>
          <w:sz w:val="24"/>
        </w:rPr>
        <w:t xml:space="preserve"> (413</w:t>
      </w:r>
      <w:r w:rsidR="009C77C9">
        <w:rPr>
          <w:rFonts w:asciiTheme="minorHAnsi" w:hAnsiTheme="minorHAnsi" w:cstheme="minorHAnsi"/>
          <w:sz w:val="24"/>
        </w:rPr>
        <w:t xml:space="preserve"> </w:t>
      </w:r>
      <w:r w:rsidR="00294DAE">
        <w:rPr>
          <w:rFonts w:asciiTheme="minorHAnsi" w:hAnsiTheme="minorHAnsi" w:cstheme="minorHAnsi"/>
          <w:sz w:val="24"/>
        </w:rPr>
        <w:t xml:space="preserve">955 Kč), který zaúčtovalo a vykázalo na účtu </w:t>
      </w:r>
      <w:r w:rsidR="00294DAE" w:rsidRPr="00287E33">
        <w:rPr>
          <w:rFonts w:asciiTheme="minorHAnsi" w:hAnsiTheme="minorHAnsi" w:cstheme="minorHAnsi"/>
          <w:sz w:val="24"/>
        </w:rPr>
        <w:t>543 –</w:t>
      </w:r>
      <w:r w:rsidR="00294DAE" w:rsidRPr="00EC3B9C">
        <w:rPr>
          <w:rFonts w:asciiTheme="minorHAnsi" w:hAnsiTheme="minorHAnsi" w:cstheme="minorHAnsi"/>
          <w:i/>
          <w:sz w:val="24"/>
        </w:rPr>
        <w:t xml:space="preserve"> Dary</w:t>
      </w:r>
      <w:r w:rsidR="00294DAE">
        <w:rPr>
          <w:rFonts w:asciiTheme="minorHAnsi" w:hAnsiTheme="minorHAnsi" w:cstheme="minorHAnsi"/>
          <w:sz w:val="24"/>
        </w:rPr>
        <w:t>, kam však dle obsahové náplně stanovené vyhláškou č.</w:t>
      </w:r>
      <w:r w:rsidR="003B26ED">
        <w:rPr>
          <w:rFonts w:asciiTheme="minorHAnsi" w:hAnsiTheme="minorHAnsi" w:cstheme="minorHAnsi"/>
          <w:sz w:val="24"/>
        </w:rPr>
        <w:t> </w:t>
      </w:r>
      <w:r w:rsidR="00294DAE">
        <w:rPr>
          <w:rFonts w:asciiTheme="minorHAnsi" w:hAnsiTheme="minorHAnsi" w:cstheme="minorHAnsi"/>
          <w:sz w:val="24"/>
        </w:rPr>
        <w:t>410/2009 Sb. nepatří. Peněžní dar je považován za transfer</w:t>
      </w:r>
      <w:r w:rsidR="00BC453D">
        <w:rPr>
          <w:rFonts w:asciiTheme="minorHAnsi" w:hAnsiTheme="minorHAnsi" w:cstheme="minorHAnsi"/>
          <w:sz w:val="24"/>
        </w:rPr>
        <w:t>, takže</w:t>
      </w:r>
      <w:r w:rsidR="00294DAE">
        <w:rPr>
          <w:rFonts w:asciiTheme="minorHAnsi" w:hAnsiTheme="minorHAnsi" w:cstheme="minorHAnsi"/>
          <w:sz w:val="24"/>
        </w:rPr>
        <w:t xml:space="preserve"> měl být vykázán na účtu </w:t>
      </w:r>
      <w:r w:rsidR="00294DAE" w:rsidRPr="00287E33">
        <w:rPr>
          <w:rFonts w:asciiTheme="minorHAnsi" w:hAnsiTheme="minorHAnsi" w:cstheme="minorHAnsi"/>
          <w:sz w:val="24"/>
        </w:rPr>
        <w:t>571</w:t>
      </w:r>
      <w:r w:rsidR="009C77C9" w:rsidRPr="00287E33">
        <w:rPr>
          <w:rFonts w:asciiTheme="minorHAnsi" w:hAnsiTheme="minorHAnsi" w:cstheme="minorHAnsi"/>
          <w:sz w:val="24"/>
        </w:rPr>
        <w:t xml:space="preserve"> </w:t>
      </w:r>
      <w:r w:rsidR="00294DAE" w:rsidRPr="00287E33">
        <w:rPr>
          <w:rFonts w:asciiTheme="minorHAnsi" w:hAnsiTheme="minorHAnsi" w:cstheme="minorHAnsi"/>
          <w:sz w:val="24"/>
        </w:rPr>
        <w:t>–</w:t>
      </w:r>
      <w:r w:rsidR="00294DAE" w:rsidRPr="002D4B71">
        <w:rPr>
          <w:rFonts w:asciiTheme="minorHAnsi" w:hAnsiTheme="minorHAnsi" w:cstheme="minorHAnsi"/>
          <w:i/>
          <w:sz w:val="24"/>
        </w:rPr>
        <w:t xml:space="preserve"> Náklady vybraných ústředních vládních institucí na transfery</w:t>
      </w:r>
      <w:r w:rsidR="00294DAE">
        <w:rPr>
          <w:rFonts w:asciiTheme="minorHAnsi" w:hAnsiTheme="minorHAnsi" w:cstheme="minorHAnsi"/>
          <w:sz w:val="24"/>
        </w:rPr>
        <w:t>.</w:t>
      </w:r>
    </w:p>
    <w:p w:rsidR="00220C67" w:rsidRPr="00D42C73" w:rsidRDefault="00220C67" w:rsidP="00A82ED8">
      <w:pPr>
        <w:pStyle w:val="NormlnKZ"/>
        <w:spacing w:after="0"/>
        <w:ind w:firstLine="0"/>
        <w:rPr>
          <w:rFonts w:asciiTheme="minorHAnsi" w:hAnsiTheme="minorHAnsi" w:cstheme="minorHAnsi"/>
          <w:sz w:val="24"/>
        </w:rPr>
      </w:pPr>
    </w:p>
    <w:p w:rsidR="00220C67" w:rsidRDefault="00220C67" w:rsidP="00A82ED8">
      <w:pPr>
        <w:pStyle w:val="NormlnKZ"/>
        <w:spacing w:after="0"/>
        <w:ind w:firstLine="0"/>
        <w:rPr>
          <w:rFonts w:asciiTheme="minorHAnsi" w:hAnsiTheme="minorHAnsi" w:cstheme="minorHAnsi"/>
          <w:b/>
          <w:sz w:val="24"/>
        </w:rPr>
      </w:pPr>
      <w:r>
        <w:rPr>
          <w:rFonts w:asciiTheme="minorHAnsi" w:hAnsiTheme="minorHAnsi" w:cstheme="minorHAnsi"/>
          <w:b/>
          <w:sz w:val="24"/>
        </w:rPr>
        <w:t>3. Výkaz pro hodnocení plnění rozpočtu za rok 2014</w:t>
      </w:r>
    </w:p>
    <w:p w:rsidR="00C01E14" w:rsidRDefault="00C01E14" w:rsidP="00A82ED8">
      <w:pPr>
        <w:pStyle w:val="NormlnKZ"/>
        <w:spacing w:after="0"/>
        <w:ind w:firstLine="0"/>
        <w:rPr>
          <w:rFonts w:asciiTheme="minorHAnsi" w:hAnsiTheme="minorHAnsi" w:cstheme="minorHAnsi"/>
          <w:sz w:val="24"/>
        </w:rPr>
      </w:pPr>
    </w:p>
    <w:p w:rsidR="00220C67" w:rsidRDefault="00034349" w:rsidP="00A82ED8">
      <w:pPr>
        <w:pStyle w:val="NormlnKZ"/>
        <w:spacing w:after="0"/>
        <w:ind w:firstLine="0"/>
        <w:rPr>
          <w:rFonts w:asciiTheme="minorHAnsi" w:hAnsiTheme="minorHAnsi" w:cstheme="minorHAnsi"/>
          <w:sz w:val="24"/>
        </w:rPr>
      </w:pPr>
      <w:r w:rsidRPr="00034349">
        <w:rPr>
          <w:rFonts w:asciiTheme="minorHAnsi" w:hAnsiTheme="minorHAnsi" w:cstheme="minorHAnsi"/>
          <w:sz w:val="24"/>
        </w:rPr>
        <w:t xml:space="preserve">Ve výkazu pro hodnocení plnění rozpočtu za rok 2014 byla zjištěna celková nesprávnost ve výši </w:t>
      </w:r>
      <w:r w:rsidR="0026084E">
        <w:rPr>
          <w:rFonts w:asciiTheme="minorHAnsi" w:hAnsiTheme="minorHAnsi" w:cstheme="minorHAnsi"/>
          <w:sz w:val="24"/>
        </w:rPr>
        <w:t>22</w:t>
      </w:r>
      <w:r w:rsidRPr="00034349">
        <w:rPr>
          <w:rFonts w:asciiTheme="minorHAnsi" w:hAnsiTheme="minorHAnsi" w:cstheme="minorHAnsi"/>
          <w:sz w:val="24"/>
        </w:rPr>
        <w:t xml:space="preserve"> mil. Kč, z toho 21,9 mil. Kč byly nesprávnosti identifikované u výdajových rozpočtových položek, kdy MK výdaje vynaložené na účelovou podporu knihoven nevykazovalo jako transfery zřízeným příspěvkovým organizacím</w:t>
      </w:r>
      <w:r w:rsidR="001C7E6D">
        <w:rPr>
          <w:rFonts w:asciiTheme="minorHAnsi" w:hAnsiTheme="minorHAnsi" w:cstheme="minorHAnsi"/>
          <w:sz w:val="24"/>
        </w:rPr>
        <w:t xml:space="preserve"> na rozpočtové položce </w:t>
      </w:r>
      <w:r w:rsidR="001C7E6D" w:rsidRPr="00287E33">
        <w:rPr>
          <w:rFonts w:asciiTheme="minorHAnsi" w:hAnsiTheme="minorHAnsi" w:cstheme="minorHAnsi"/>
          <w:sz w:val="24"/>
        </w:rPr>
        <w:t>5336 –</w:t>
      </w:r>
      <w:r w:rsidR="001C7E6D" w:rsidRPr="002D4B71">
        <w:rPr>
          <w:rFonts w:asciiTheme="minorHAnsi" w:hAnsiTheme="minorHAnsi" w:cstheme="minorHAnsi"/>
          <w:i/>
          <w:sz w:val="24"/>
        </w:rPr>
        <w:t xml:space="preserve"> Neinvestiční transfery zřízeným příspěvkovým organizacím</w:t>
      </w:r>
      <w:r w:rsidRPr="00034349">
        <w:rPr>
          <w:rFonts w:asciiTheme="minorHAnsi" w:hAnsiTheme="minorHAnsi" w:cstheme="minorHAnsi"/>
          <w:sz w:val="24"/>
        </w:rPr>
        <w:t xml:space="preserve">, ale zatřídilo je </w:t>
      </w:r>
      <w:r w:rsidR="001C7E6D">
        <w:rPr>
          <w:rFonts w:asciiTheme="minorHAnsi" w:hAnsiTheme="minorHAnsi" w:cstheme="minorHAnsi"/>
          <w:sz w:val="24"/>
        </w:rPr>
        <w:t xml:space="preserve">na </w:t>
      </w:r>
      <w:r w:rsidR="001C7E6D">
        <w:rPr>
          <w:rFonts w:asciiTheme="minorHAnsi" w:hAnsiTheme="minorHAnsi" w:cstheme="minorHAnsi"/>
          <w:sz w:val="24"/>
        </w:rPr>
        <w:lastRenderedPageBreak/>
        <w:t xml:space="preserve">rozpočtovou položku </w:t>
      </w:r>
      <w:r w:rsidR="001C7E6D" w:rsidRPr="00287E33">
        <w:rPr>
          <w:rFonts w:asciiTheme="minorHAnsi" w:hAnsiTheme="minorHAnsi" w:cstheme="minorHAnsi"/>
          <w:sz w:val="24"/>
        </w:rPr>
        <w:t>5331 –</w:t>
      </w:r>
      <w:r w:rsidR="001C7E6D" w:rsidRPr="002D4B71">
        <w:rPr>
          <w:rFonts w:asciiTheme="minorHAnsi" w:hAnsiTheme="minorHAnsi" w:cstheme="minorHAnsi"/>
          <w:i/>
          <w:sz w:val="24"/>
        </w:rPr>
        <w:t xml:space="preserve"> Neinvestiční příspěvky zřízeným příspěvkovým organizacím</w:t>
      </w:r>
      <w:r w:rsidR="001C7E6D">
        <w:rPr>
          <w:rFonts w:asciiTheme="minorHAnsi" w:hAnsiTheme="minorHAnsi" w:cstheme="minorHAnsi"/>
          <w:sz w:val="24"/>
        </w:rPr>
        <w:t xml:space="preserve">, kam se zatřiďují příspěvky na provoz. </w:t>
      </w:r>
    </w:p>
    <w:p w:rsidR="001C7E6D" w:rsidRDefault="001C7E6D" w:rsidP="00A82ED8">
      <w:pPr>
        <w:pStyle w:val="NormlnKZ"/>
        <w:spacing w:after="0"/>
        <w:ind w:firstLine="0"/>
        <w:rPr>
          <w:rFonts w:asciiTheme="minorHAnsi" w:hAnsiTheme="minorHAnsi" w:cstheme="minorHAnsi"/>
          <w:sz w:val="24"/>
        </w:rPr>
      </w:pPr>
    </w:p>
    <w:p w:rsidR="0026084E" w:rsidRDefault="0026084E" w:rsidP="00A82ED8">
      <w:pPr>
        <w:pStyle w:val="NormlnKZ"/>
        <w:spacing w:after="0"/>
        <w:ind w:firstLine="0"/>
        <w:rPr>
          <w:rFonts w:asciiTheme="minorHAnsi" w:hAnsiTheme="minorHAnsi" w:cstheme="minorHAnsi"/>
          <w:sz w:val="24"/>
        </w:rPr>
      </w:pPr>
      <w:r>
        <w:rPr>
          <w:rFonts w:asciiTheme="minorHAnsi" w:hAnsiTheme="minorHAnsi" w:cstheme="minorHAnsi"/>
          <w:sz w:val="24"/>
        </w:rPr>
        <w:t>Na straně příjmů byla identifikována nesprávnost ve výši 58 tis.</w:t>
      </w:r>
      <w:r w:rsidR="009D4094">
        <w:rPr>
          <w:rFonts w:asciiTheme="minorHAnsi" w:hAnsiTheme="minorHAnsi" w:cstheme="minorHAnsi"/>
          <w:sz w:val="24"/>
        </w:rPr>
        <w:t xml:space="preserve"> Kč, kdy MK nesprávně klasifikovalo příjmy z</w:t>
      </w:r>
      <w:r w:rsidR="009C77C9">
        <w:rPr>
          <w:rFonts w:asciiTheme="minorHAnsi" w:hAnsiTheme="minorHAnsi" w:cstheme="minorHAnsi"/>
          <w:sz w:val="24"/>
        </w:rPr>
        <w:t xml:space="preserve"> </w:t>
      </w:r>
      <w:r w:rsidR="00550419">
        <w:rPr>
          <w:rFonts w:asciiTheme="minorHAnsi" w:hAnsiTheme="minorHAnsi" w:cstheme="minorHAnsi"/>
          <w:sz w:val="24"/>
        </w:rPr>
        <w:t>pro</w:t>
      </w:r>
      <w:r w:rsidR="009D4094">
        <w:rPr>
          <w:rFonts w:asciiTheme="minorHAnsi" w:hAnsiTheme="minorHAnsi" w:cstheme="minorHAnsi"/>
          <w:sz w:val="24"/>
        </w:rPr>
        <w:t xml:space="preserve">nájmu movitého majetku rozpočtovou položkou </w:t>
      </w:r>
      <w:r w:rsidR="009D4094" w:rsidRPr="003B0BF8">
        <w:rPr>
          <w:rFonts w:asciiTheme="minorHAnsi" w:hAnsiTheme="minorHAnsi" w:cstheme="minorHAnsi"/>
          <w:sz w:val="24"/>
        </w:rPr>
        <w:t>2132 –</w:t>
      </w:r>
      <w:r w:rsidR="009D4094" w:rsidRPr="002D4B71">
        <w:rPr>
          <w:rFonts w:asciiTheme="minorHAnsi" w:hAnsiTheme="minorHAnsi" w:cstheme="minorHAnsi"/>
          <w:i/>
          <w:sz w:val="24"/>
        </w:rPr>
        <w:t xml:space="preserve"> Příjmy z pronájmu ostatních nemovitostí a jejich částí</w:t>
      </w:r>
      <w:r w:rsidR="003B0BF8">
        <w:rPr>
          <w:rFonts w:asciiTheme="minorHAnsi" w:hAnsiTheme="minorHAnsi" w:cstheme="minorHAnsi"/>
          <w:sz w:val="24"/>
        </w:rPr>
        <w:t>,</w:t>
      </w:r>
      <w:r w:rsidR="009D4094">
        <w:rPr>
          <w:rFonts w:asciiTheme="minorHAnsi" w:hAnsiTheme="minorHAnsi" w:cstheme="minorHAnsi"/>
          <w:sz w:val="24"/>
        </w:rPr>
        <w:t xml:space="preserve"> místo aby je zatřídilo na rozpočtovou položku </w:t>
      </w:r>
      <w:r w:rsidR="009D4094" w:rsidRPr="003B0BF8">
        <w:rPr>
          <w:rFonts w:asciiTheme="minorHAnsi" w:hAnsiTheme="minorHAnsi" w:cstheme="minorHAnsi"/>
          <w:sz w:val="24"/>
        </w:rPr>
        <w:t>2133 –</w:t>
      </w:r>
      <w:r w:rsidR="009D4094" w:rsidRPr="002D4B71">
        <w:rPr>
          <w:rFonts w:asciiTheme="minorHAnsi" w:hAnsiTheme="minorHAnsi" w:cstheme="minorHAnsi"/>
          <w:i/>
          <w:sz w:val="24"/>
        </w:rPr>
        <w:t xml:space="preserve"> Příjmy z</w:t>
      </w:r>
      <w:r w:rsidR="009C77C9">
        <w:rPr>
          <w:rFonts w:asciiTheme="minorHAnsi" w:hAnsiTheme="minorHAnsi" w:cstheme="minorHAnsi"/>
          <w:i/>
          <w:sz w:val="24"/>
        </w:rPr>
        <w:t xml:space="preserve"> </w:t>
      </w:r>
      <w:r w:rsidR="009D4094" w:rsidRPr="002D4B71">
        <w:rPr>
          <w:rFonts w:asciiTheme="minorHAnsi" w:hAnsiTheme="minorHAnsi" w:cstheme="minorHAnsi"/>
          <w:i/>
          <w:sz w:val="24"/>
        </w:rPr>
        <w:t>pronájmu movitých věcí</w:t>
      </w:r>
      <w:r w:rsidR="009D4094">
        <w:rPr>
          <w:rFonts w:asciiTheme="minorHAnsi" w:hAnsiTheme="minorHAnsi" w:cstheme="minorHAnsi"/>
          <w:sz w:val="24"/>
        </w:rPr>
        <w:t>.</w:t>
      </w:r>
    </w:p>
    <w:p w:rsidR="00C01E14" w:rsidRDefault="00C01E14" w:rsidP="00A82ED8">
      <w:pPr>
        <w:pStyle w:val="NormlnKZ"/>
        <w:spacing w:after="0"/>
        <w:ind w:firstLine="0"/>
        <w:rPr>
          <w:rFonts w:asciiTheme="minorHAnsi" w:hAnsiTheme="minorHAnsi" w:cstheme="minorHAnsi"/>
          <w:sz w:val="24"/>
        </w:rPr>
      </w:pPr>
    </w:p>
    <w:p w:rsidR="00220C67" w:rsidRDefault="00220C67" w:rsidP="00A82ED8">
      <w:pPr>
        <w:pStyle w:val="NormlnKZ"/>
        <w:spacing w:after="0"/>
        <w:ind w:firstLine="0"/>
        <w:rPr>
          <w:rFonts w:asciiTheme="minorHAnsi" w:hAnsiTheme="minorHAnsi" w:cstheme="minorHAnsi"/>
          <w:b/>
          <w:sz w:val="24"/>
        </w:rPr>
      </w:pPr>
      <w:r>
        <w:rPr>
          <w:rFonts w:asciiTheme="minorHAnsi" w:hAnsiTheme="minorHAnsi" w:cstheme="minorHAnsi"/>
          <w:b/>
          <w:sz w:val="24"/>
        </w:rPr>
        <w:t>4. Církevní restituce</w:t>
      </w:r>
    </w:p>
    <w:p w:rsidR="00C01E14" w:rsidRDefault="00C01E14" w:rsidP="00577D2D">
      <w:pPr>
        <w:jc w:val="both"/>
        <w:rPr>
          <w:rFonts w:asciiTheme="minorHAnsi" w:hAnsiTheme="minorHAnsi" w:cstheme="minorHAnsi"/>
        </w:rPr>
      </w:pPr>
    </w:p>
    <w:p w:rsidR="00577D2D" w:rsidRDefault="00577D2D" w:rsidP="00577D2D">
      <w:pPr>
        <w:jc w:val="both"/>
        <w:rPr>
          <w:rFonts w:asciiTheme="minorHAnsi" w:hAnsiTheme="minorHAnsi" w:cstheme="minorHAnsi"/>
        </w:rPr>
      </w:pPr>
      <w:r w:rsidRPr="00577D2D">
        <w:rPr>
          <w:rFonts w:asciiTheme="minorHAnsi" w:hAnsiTheme="minorHAnsi" w:cstheme="minorHAnsi"/>
        </w:rPr>
        <w:t>Církevní restituce jsou u</w:t>
      </w:r>
      <w:r w:rsidR="0098731F">
        <w:rPr>
          <w:rFonts w:asciiTheme="minorHAnsi" w:hAnsiTheme="minorHAnsi" w:cstheme="minorHAnsi"/>
        </w:rPr>
        <w:t>praveny zákonem č. 428/2012 Sb</w:t>
      </w:r>
      <w:r w:rsidR="00636ECA">
        <w:rPr>
          <w:rFonts w:asciiTheme="minorHAnsi" w:hAnsiTheme="minorHAnsi" w:cstheme="minorHAnsi"/>
        </w:rPr>
        <w:t>. Zákon nabyl účinnosti dne 1. </w:t>
      </w:r>
      <w:r w:rsidRPr="00577D2D">
        <w:rPr>
          <w:rFonts w:asciiTheme="minorHAnsi" w:hAnsiTheme="minorHAnsi" w:cstheme="minorHAnsi"/>
        </w:rPr>
        <w:t>1.</w:t>
      </w:r>
      <w:r w:rsidR="00636ECA">
        <w:rPr>
          <w:rFonts w:asciiTheme="minorHAnsi" w:hAnsiTheme="minorHAnsi" w:cstheme="minorHAnsi"/>
        </w:rPr>
        <w:t> </w:t>
      </w:r>
      <w:r w:rsidRPr="00577D2D">
        <w:rPr>
          <w:rFonts w:asciiTheme="minorHAnsi" w:hAnsiTheme="minorHAnsi" w:cstheme="minorHAnsi"/>
        </w:rPr>
        <w:t>2013 a jeho cílem je upravit zmírnění některých majetkových křivd, které byly spáchány církvím a náboženským společnostem v období od 25. 2. 1948 do 1. 1. 1990</w:t>
      </w:r>
      <w:r w:rsidR="003B0BF8">
        <w:rPr>
          <w:rFonts w:asciiTheme="minorHAnsi" w:hAnsiTheme="minorHAnsi" w:cstheme="minorHAnsi"/>
        </w:rPr>
        <w:t>,</w:t>
      </w:r>
      <w:r w:rsidRPr="00577D2D">
        <w:rPr>
          <w:rFonts w:asciiTheme="minorHAnsi" w:hAnsiTheme="minorHAnsi" w:cstheme="minorHAnsi"/>
        </w:rPr>
        <w:t xml:space="preserve"> a dále upravuje vypořádání majetkových vztahů mezi státem a registrovanými </w:t>
      </w:r>
      <w:r w:rsidR="004F1D5C">
        <w:rPr>
          <w:rFonts w:asciiTheme="minorHAnsi" w:hAnsiTheme="minorHAnsi" w:cstheme="minorHAnsi"/>
        </w:rPr>
        <w:t>CNS</w:t>
      </w:r>
      <w:r w:rsidRPr="00577D2D">
        <w:rPr>
          <w:rFonts w:asciiTheme="minorHAnsi" w:hAnsiTheme="minorHAnsi" w:cstheme="minorHAnsi"/>
        </w:rPr>
        <w:t>.</w:t>
      </w:r>
      <w:r>
        <w:rPr>
          <w:rFonts w:asciiTheme="minorHAnsi" w:hAnsiTheme="minorHAnsi" w:cstheme="minorHAnsi"/>
        </w:rPr>
        <w:t xml:space="preserve"> </w:t>
      </w:r>
      <w:r w:rsidRPr="00577D2D">
        <w:rPr>
          <w:rFonts w:asciiTheme="minorHAnsi" w:hAnsiTheme="minorHAnsi" w:cstheme="minorHAnsi"/>
        </w:rPr>
        <w:t>Zákon stanoví formy majetkového vyrovnání, a to formou naturálního plnění – vydávání majetku (nemovitého i</w:t>
      </w:r>
      <w:r w:rsidR="00B6719C">
        <w:rPr>
          <w:rFonts w:asciiTheme="minorHAnsi" w:hAnsiTheme="minorHAnsi" w:cstheme="minorHAnsi"/>
        </w:rPr>
        <w:t> </w:t>
      </w:r>
      <w:r w:rsidRPr="00577D2D">
        <w:rPr>
          <w:rFonts w:asciiTheme="minorHAnsi" w:hAnsiTheme="minorHAnsi" w:cstheme="minorHAnsi"/>
        </w:rPr>
        <w:t>movitého)</w:t>
      </w:r>
      <w:r w:rsidR="003B0BF8">
        <w:rPr>
          <w:rFonts w:asciiTheme="minorHAnsi" w:hAnsiTheme="minorHAnsi" w:cstheme="minorHAnsi"/>
        </w:rPr>
        <w:t xml:space="preserve"> –</w:t>
      </w:r>
      <w:r w:rsidRPr="00577D2D">
        <w:rPr>
          <w:rFonts w:asciiTheme="minorHAnsi" w:hAnsiTheme="minorHAnsi" w:cstheme="minorHAnsi"/>
        </w:rPr>
        <w:t xml:space="preserve"> </w:t>
      </w:r>
      <w:r w:rsidR="00550419">
        <w:rPr>
          <w:rFonts w:asciiTheme="minorHAnsi" w:hAnsiTheme="minorHAnsi" w:cstheme="minorHAnsi"/>
        </w:rPr>
        <w:t>anebo</w:t>
      </w:r>
      <w:r w:rsidRPr="00577D2D">
        <w:rPr>
          <w:rFonts w:asciiTheme="minorHAnsi" w:hAnsiTheme="minorHAnsi" w:cstheme="minorHAnsi"/>
        </w:rPr>
        <w:t xml:space="preserve"> formou finančního vypořádání za majete</w:t>
      </w:r>
      <w:r w:rsidR="003B0BF8">
        <w:rPr>
          <w:rFonts w:asciiTheme="minorHAnsi" w:hAnsiTheme="minorHAnsi" w:cstheme="minorHAnsi"/>
        </w:rPr>
        <w:t>k, který nelze vydat fyzicky, a </w:t>
      </w:r>
      <w:r w:rsidRPr="00577D2D">
        <w:rPr>
          <w:rFonts w:asciiTheme="minorHAnsi" w:hAnsiTheme="minorHAnsi" w:cstheme="minorHAnsi"/>
        </w:rPr>
        <w:t xml:space="preserve">dále stanoví podmínky dalšího financování </w:t>
      </w:r>
      <w:r w:rsidR="004F1D5C">
        <w:rPr>
          <w:rFonts w:asciiTheme="minorHAnsi" w:hAnsiTheme="minorHAnsi" w:cstheme="minorHAnsi"/>
        </w:rPr>
        <w:t>CNS</w:t>
      </w:r>
      <w:r w:rsidRPr="00577D2D">
        <w:rPr>
          <w:rFonts w:asciiTheme="minorHAnsi" w:hAnsiTheme="minorHAnsi" w:cstheme="minorHAnsi"/>
        </w:rPr>
        <w:t>.</w:t>
      </w:r>
    </w:p>
    <w:p w:rsidR="00577D2D" w:rsidRDefault="00577D2D" w:rsidP="00577D2D">
      <w:pPr>
        <w:jc w:val="both"/>
        <w:rPr>
          <w:rFonts w:asciiTheme="minorHAnsi" w:hAnsiTheme="minorHAnsi" w:cstheme="minorHAnsi"/>
        </w:rPr>
      </w:pPr>
    </w:p>
    <w:p w:rsidR="00135E47" w:rsidRDefault="00135E47" w:rsidP="00577D2D">
      <w:pPr>
        <w:jc w:val="both"/>
        <w:rPr>
          <w:rFonts w:asciiTheme="minorHAnsi" w:hAnsiTheme="minorHAnsi" w:cstheme="minorHAnsi"/>
        </w:rPr>
      </w:pPr>
      <w:r>
        <w:rPr>
          <w:rFonts w:asciiTheme="minorHAnsi" w:hAnsiTheme="minorHAnsi" w:cstheme="minorHAnsi"/>
        </w:rPr>
        <w:t>V oblasti naturálního plnění bylo MK jako povinná osoba vyzváno k</w:t>
      </w:r>
      <w:r w:rsidR="009C77C9">
        <w:rPr>
          <w:rFonts w:asciiTheme="minorHAnsi" w:hAnsiTheme="minorHAnsi" w:cstheme="minorHAnsi"/>
        </w:rPr>
        <w:t xml:space="preserve"> </w:t>
      </w:r>
      <w:r>
        <w:rPr>
          <w:rFonts w:asciiTheme="minorHAnsi" w:hAnsiTheme="minorHAnsi" w:cstheme="minorHAnsi"/>
        </w:rPr>
        <w:t>vydání majetku ve dvou případech. Z</w:t>
      </w:r>
      <w:r w:rsidR="009C77C9">
        <w:rPr>
          <w:rFonts w:asciiTheme="minorHAnsi" w:hAnsiTheme="minorHAnsi" w:cstheme="minorHAnsi"/>
        </w:rPr>
        <w:t xml:space="preserve"> </w:t>
      </w:r>
      <w:r>
        <w:rPr>
          <w:rFonts w:asciiTheme="minorHAnsi" w:hAnsiTheme="minorHAnsi" w:cstheme="minorHAnsi"/>
        </w:rPr>
        <w:t>informací získaných v</w:t>
      </w:r>
      <w:r w:rsidR="009C77C9">
        <w:rPr>
          <w:rFonts w:asciiTheme="minorHAnsi" w:hAnsiTheme="minorHAnsi" w:cstheme="minorHAnsi"/>
        </w:rPr>
        <w:t xml:space="preserve"> </w:t>
      </w:r>
      <w:r>
        <w:rPr>
          <w:rFonts w:asciiTheme="minorHAnsi" w:hAnsiTheme="minorHAnsi" w:cstheme="minorHAnsi"/>
        </w:rPr>
        <w:t>průběhu kontroly nevyplynulo žádné významné potenciální riziko, které by mělo být zobrazeno v</w:t>
      </w:r>
      <w:r w:rsidR="009C77C9">
        <w:rPr>
          <w:rFonts w:asciiTheme="minorHAnsi" w:hAnsiTheme="minorHAnsi" w:cstheme="minorHAnsi"/>
        </w:rPr>
        <w:t xml:space="preserve"> </w:t>
      </w:r>
      <w:r>
        <w:rPr>
          <w:rFonts w:asciiTheme="minorHAnsi" w:hAnsiTheme="minorHAnsi" w:cstheme="minorHAnsi"/>
        </w:rPr>
        <w:t>účetnictví MK.</w:t>
      </w:r>
    </w:p>
    <w:p w:rsidR="00135E47" w:rsidRDefault="00135E47" w:rsidP="00577D2D">
      <w:pPr>
        <w:jc w:val="both"/>
        <w:rPr>
          <w:rFonts w:asciiTheme="minorHAnsi" w:hAnsiTheme="minorHAnsi" w:cstheme="minorHAnsi"/>
        </w:rPr>
      </w:pPr>
    </w:p>
    <w:p w:rsidR="00135E47" w:rsidRDefault="00135E47" w:rsidP="00577D2D">
      <w:pPr>
        <w:jc w:val="both"/>
        <w:rPr>
          <w:rFonts w:asciiTheme="minorHAnsi" w:hAnsiTheme="minorHAnsi" w:cstheme="minorHAnsi"/>
        </w:rPr>
      </w:pPr>
      <w:r>
        <w:rPr>
          <w:rFonts w:asciiTheme="minorHAnsi" w:hAnsiTheme="minorHAnsi" w:cstheme="minorHAnsi"/>
        </w:rPr>
        <w:t>Registrovan</w:t>
      </w:r>
      <w:r w:rsidR="00550419">
        <w:rPr>
          <w:rFonts w:asciiTheme="minorHAnsi" w:hAnsiTheme="minorHAnsi" w:cstheme="minorHAnsi"/>
        </w:rPr>
        <w:t>é</w:t>
      </w:r>
      <w:r>
        <w:rPr>
          <w:rFonts w:asciiTheme="minorHAnsi" w:hAnsiTheme="minorHAnsi" w:cstheme="minorHAnsi"/>
        </w:rPr>
        <w:t xml:space="preserve"> </w:t>
      </w:r>
      <w:r w:rsidR="004F1D5C">
        <w:rPr>
          <w:rFonts w:asciiTheme="minorHAnsi" w:hAnsiTheme="minorHAnsi" w:cstheme="minorHAnsi"/>
        </w:rPr>
        <w:t>CNS</w:t>
      </w:r>
      <w:r>
        <w:rPr>
          <w:rFonts w:asciiTheme="minorHAnsi" w:hAnsiTheme="minorHAnsi" w:cstheme="minorHAnsi"/>
        </w:rPr>
        <w:t>, kter</w:t>
      </w:r>
      <w:r w:rsidR="00550419">
        <w:rPr>
          <w:rFonts w:asciiTheme="minorHAnsi" w:hAnsiTheme="minorHAnsi" w:cstheme="minorHAnsi"/>
        </w:rPr>
        <w:t>é</w:t>
      </w:r>
      <w:r>
        <w:rPr>
          <w:rFonts w:asciiTheme="minorHAnsi" w:hAnsiTheme="minorHAnsi" w:cstheme="minorHAnsi"/>
        </w:rPr>
        <w:t xml:space="preserve"> se státem uzavřel</w:t>
      </w:r>
      <w:r w:rsidR="00550419">
        <w:rPr>
          <w:rFonts w:asciiTheme="minorHAnsi" w:hAnsiTheme="minorHAnsi" w:cstheme="minorHAnsi"/>
        </w:rPr>
        <w:t>y</w:t>
      </w:r>
      <w:r>
        <w:rPr>
          <w:rFonts w:asciiTheme="minorHAnsi" w:hAnsiTheme="minorHAnsi" w:cstheme="minorHAnsi"/>
        </w:rPr>
        <w:t xml:space="preserve"> smlouvu o</w:t>
      </w:r>
      <w:r w:rsidR="009C77C9">
        <w:rPr>
          <w:rFonts w:asciiTheme="minorHAnsi" w:hAnsiTheme="minorHAnsi" w:cstheme="minorHAnsi"/>
        </w:rPr>
        <w:t xml:space="preserve"> </w:t>
      </w:r>
      <w:r>
        <w:rPr>
          <w:rFonts w:asciiTheme="minorHAnsi" w:hAnsiTheme="minorHAnsi" w:cstheme="minorHAnsi"/>
        </w:rPr>
        <w:t>vypořádání, obdrží dle zákona č.</w:t>
      </w:r>
      <w:r w:rsidR="00852FD1">
        <w:rPr>
          <w:rFonts w:asciiTheme="minorHAnsi" w:hAnsiTheme="minorHAnsi" w:cstheme="minorHAnsi"/>
        </w:rPr>
        <w:t> </w:t>
      </w:r>
      <w:r>
        <w:rPr>
          <w:rFonts w:asciiTheme="minorHAnsi" w:hAnsiTheme="minorHAnsi" w:cstheme="minorHAnsi"/>
        </w:rPr>
        <w:t xml:space="preserve">428/2012 Sb. zákonem stanovenou finanční náhradu, která bude vyplacena ve třiceti bezprostředně po sobě následujících ročních splátkách, </w:t>
      </w:r>
      <w:r w:rsidR="00550419">
        <w:rPr>
          <w:rFonts w:asciiTheme="minorHAnsi" w:hAnsiTheme="minorHAnsi" w:cstheme="minorHAnsi"/>
        </w:rPr>
        <w:t>její vyplácení začíná</w:t>
      </w:r>
      <w:r>
        <w:rPr>
          <w:rFonts w:asciiTheme="minorHAnsi" w:hAnsiTheme="minorHAnsi" w:cstheme="minorHAnsi"/>
        </w:rPr>
        <w:t xml:space="preserve"> rokem 2013. Celková zákonem stanovená výše finančních náhrad činí 59 mld. Kč. </w:t>
      </w:r>
      <w:r w:rsidR="00577D2D" w:rsidRPr="009B6E3B">
        <w:rPr>
          <w:rFonts w:asciiTheme="minorHAnsi" w:hAnsiTheme="minorHAnsi" w:cstheme="minorHAnsi"/>
        </w:rPr>
        <w:t xml:space="preserve">Kontrolou bylo ověřeno, že MK </w:t>
      </w:r>
      <w:r>
        <w:rPr>
          <w:rFonts w:asciiTheme="minorHAnsi" w:hAnsiTheme="minorHAnsi" w:cstheme="minorHAnsi"/>
        </w:rPr>
        <w:t>po vyplacení splátky v</w:t>
      </w:r>
      <w:r w:rsidR="009C77C9">
        <w:rPr>
          <w:rFonts w:asciiTheme="minorHAnsi" w:hAnsiTheme="minorHAnsi" w:cstheme="minorHAnsi"/>
        </w:rPr>
        <w:t xml:space="preserve"> </w:t>
      </w:r>
      <w:r>
        <w:rPr>
          <w:rFonts w:asciiTheme="minorHAnsi" w:hAnsiTheme="minorHAnsi" w:cstheme="minorHAnsi"/>
        </w:rPr>
        <w:t xml:space="preserve">roce 2013 a 2014 a po snížení závazku </w:t>
      </w:r>
      <w:r w:rsidR="00550419">
        <w:rPr>
          <w:rFonts w:asciiTheme="minorHAnsi" w:hAnsiTheme="minorHAnsi" w:cstheme="minorHAnsi"/>
        </w:rPr>
        <w:t>o náhradu pro</w:t>
      </w:r>
      <w:r>
        <w:rPr>
          <w:rFonts w:asciiTheme="minorHAnsi" w:hAnsiTheme="minorHAnsi" w:cstheme="minorHAnsi"/>
        </w:rPr>
        <w:t xml:space="preserve"> Bratrsk</w:t>
      </w:r>
      <w:r w:rsidR="00550419">
        <w:rPr>
          <w:rFonts w:asciiTheme="minorHAnsi" w:hAnsiTheme="minorHAnsi" w:cstheme="minorHAnsi"/>
        </w:rPr>
        <w:t>ou</w:t>
      </w:r>
      <w:r>
        <w:rPr>
          <w:rFonts w:asciiTheme="minorHAnsi" w:hAnsiTheme="minorHAnsi" w:cstheme="minorHAnsi"/>
        </w:rPr>
        <w:t xml:space="preserve"> jednot</w:t>
      </w:r>
      <w:r w:rsidR="00550419">
        <w:rPr>
          <w:rFonts w:asciiTheme="minorHAnsi" w:hAnsiTheme="minorHAnsi" w:cstheme="minorHAnsi"/>
        </w:rPr>
        <w:t>u</w:t>
      </w:r>
      <w:r>
        <w:rPr>
          <w:rFonts w:asciiTheme="minorHAnsi" w:hAnsiTheme="minorHAnsi" w:cstheme="minorHAnsi"/>
        </w:rPr>
        <w:t xml:space="preserve"> baptistů, která </w:t>
      </w:r>
      <w:r w:rsidR="00577D2D" w:rsidRPr="009B6E3B">
        <w:rPr>
          <w:rFonts w:asciiTheme="minorHAnsi" w:hAnsiTheme="minorHAnsi" w:cstheme="minorHAnsi"/>
        </w:rPr>
        <w:t xml:space="preserve">ve </w:t>
      </w:r>
      <w:r>
        <w:rPr>
          <w:rFonts w:asciiTheme="minorHAnsi" w:hAnsiTheme="minorHAnsi" w:cstheme="minorHAnsi"/>
        </w:rPr>
        <w:t xml:space="preserve">stanovené lhůtě nepodepsala </w:t>
      </w:r>
      <w:r w:rsidR="003B0BF8">
        <w:rPr>
          <w:rFonts w:asciiTheme="minorHAnsi" w:hAnsiTheme="minorHAnsi" w:cstheme="minorHAnsi"/>
        </w:rPr>
        <w:t>s</w:t>
      </w:r>
      <w:r w:rsidR="00550419">
        <w:rPr>
          <w:rFonts w:asciiTheme="minorHAnsi" w:hAnsiTheme="minorHAnsi" w:cstheme="minorHAnsi"/>
        </w:rPr>
        <w:t>mlouvu o </w:t>
      </w:r>
      <w:r>
        <w:rPr>
          <w:rFonts w:asciiTheme="minorHAnsi" w:hAnsiTheme="minorHAnsi" w:cstheme="minorHAnsi"/>
        </w:rPr>
        <w:t xml:space="preserve">vypořádání, </w:t>
      </w:r>
      <w:r w:rsidR="00550419" w:rsidRPr="009B6E3B">
        <w:rPr>
          <w:rFonts w:asciiTheme="minorHAnsi" w:hAnsiTheme="minorHAnsi" w:cstheme="minorHAnsi"/>
        </w:rPr>
        <w:t xml:space="preserve">vykazuje </w:t>
      </w:r>
      <w:r>
        <w:rPr>
          <w:rFonts w:asciiTheme="minorHAnsi" w:hAnsiTheme="minorHAnsi" w:cstheme="minorHAnsi"/>
        </w:rPr>
        <w:t xml:space="preserve">ve </w:t>
      </w:r>
      <w:r w:rsidR="00577D2D" w:rsidRPr="009B6E3B">
        <w:rPr>
          <w:rFonts w:asciiTheme="minorHAnsi" w:hAnsiTheme="minorHAnsi" w:cstheme="minorHAnsi"/>
        </w:rPr>
        <w:t xml:space="preserve">svém účetnictví závazek vůči </w:t>
      </w:r>
      <w:r w:rsidR="00550419">
        <w:rPr>
          <w:rFonts w:asciiTheme="minorHAnsi" w:hAnsiTheme="minorHAnsi" w:cstheme="minorHAnsi"/>
        </w:rPr>
        <w:t>církvím a </w:t>
      </w:r>
      <w:r w:rsidR="00577D2D" w:rsidRPr="009B6E3B">
        <w:rPr>
          <w:rFonts w:asciiTheme="minorHAnsi" w:hAnsiTheme="minorHAnsi" w:cstheme="minorHAnsi"/>
        </w:rPr>
        <w:t xml:space="preserve">náboženským společnostem ve výši </w:t>
      </w:r>
      <w:r w:rsidR="00577D2D">
        <w:rPr>
          <w:rFonts w:asciiTheme="minorHAnsi" w:hAnsiTheme="minorHAnsi" w:cstheme="minorHAnsi"/>
        </w:rPr>
        <w:t xml:space="preserve">56,6 mld. Kč, </w:t>
      </w:r>
      <w:r>
        <w:rPr>
          <w:rFonts w:asciiTheme="minorHAnsi" w:hAnsiTheme="minorHAnsi" w:cstheme="minorHAnsi"/>
        </w:rPr>
        <w:t>což</w:t>
      </w:r>
      <w:r w:rsidR="00577D2D">
        <w:rPr>
          <w:rFonts w:asciiTheme="minorHAnsi" w:hAnsiTheme="minorHAnsi" w:cstheme="minorHAnsi"/>
        </w:rPr>
        <w:t xml:space="preserve"> odpovídá</w:t>
      </w:r>
      <w:r w:rsidR="00577D2D" w:rsidRPr="009B6E3B">
        <w:rPr>
          <w:rFonts w:asciiTheme="minorHAnsi" w:hAnsiTheme="minorHAnsi" w:cstheme="minorHAnsi"/>
        </w:rPr>
        <w:t xml:space="preserve"> </w:t>
      </w:r>
      <w:r w:rsidR="00550419">
        <w:rPr>
          <w:rFonts w:asciiTheme="minorHAnsi" w:hAnsiTheme="minorHAnsi" w:cstheme="minorHAnsi"/>
        </w:rPr>
        <w:t xml:space="preserve">výši stanovené </w:t>
      </w:r>
      <w:r w:rsidR="00577D2D" w:rsidRPr="009B6E3B">
        <w:rPr>
          <w:rFonts w:asciiTheme="minorHAnsi" w:hAnsiTheme="minorHAnsi" w:cstheme="minorHAnsi"/>
        </w:rPr>
        <w:t>zákon</w:t>
      </w:r>
      <w:r w:rsidR="00577D2D">
        <w:rPr>
          <w:rFonts w:asciiTheme="minorHAnsi" w:hAnsiTheme="minorHAnsi" w:cstheme="minorHAnsi"/>
        </w:rPr>
        <w:t>em</w:t>
      </w:r>
      <w:r w:rsidR="00577D2D" w:rsidRPr="009B6E3B">
        <w:rPr>
          <w:rFonts w:asciiTheme="minorHAnsi" w:hAnsiTheme="minorHAnsi" w:cstheme="minorHAnsi"/>
        </w:rPr>
        <w:t xml:space="preserve"> č.</w:t>
      </w:r>
      <w:r w:rsidR="00550419">
        <w:rPr>
          <w:rFonts w:asciiTheme="minorHAnsi" w:hAnsiTheme="minorHAnsi" w:cstheme="minorHAnsi"/>
        </w:rPr>
        <w:t> </w:t>
      </w:r>
      <w:r w:rsidR="00577D2D" w:rsidRPr="009B6E3B">
        <w:rPr>
          <w:rFonts w:asciiTheme="minorHAnsi" w:hAnsiTheme="minorHAnsi" w:cstheme="minorHAnsi"/>
        </w:rPr>
        <w:t>428/2012 Sb</w:t>
      </w:r>
      <w:r w:rsidR="00577D2D">
        <w:rPr>
          <w:rFonts w:asciiTheme="minorHAnsi" w:hAnsiTheme="minorHAnsi" w:cstheme="minorHAnsi"/>
        </w:rPr>
        <w:t>.</w:t>
      </w:r>
      <w:r w:rsidR="00577D2D" w:rsidRPr="009B6E3B">
        <w:rPr>
          <w:rFonts w:asciiTheme="minorHAnsi" w:hAnsiTheme="minorHAnsi" w:cstheme="minorHAnsi"/>
        </w:rPr>
        <w:t xml:space="preserve"> Závazek je v</w:t>
      </w:r>
      <w:r w:rsidR="009C77C9">
        <w:rPr>
          <w:rFonts w:asciiTheme="minorHAnsi" w:hAnsiTheme="minorHAnsi" w:cstheme="minorHAnsi"/>
        </w:rPr>
        <w:t xml:space="preserve"> </w:t>
      </w:r>
      <w:r w:rsidR="00577D2D" w:rsidRPr="009B6E3B">
        <w:rPr>
          <w:rFonts w:asciiTheme="minorHAnsi" w:hAnsiTheme="minorHAnsi" w:cstheme="minorHAnsi"/>
        </w:rPr>
        <w:t>souladu s</w:t>
      </w:r>
      <w:r w:rsidR="009C77C9">
        <w:rPr>
          <w:rFonts w:asciiTheme="minorHAnsi" w:hAnsiTheme="minorHAnsi" w:cstheme="minorHAnsi"/>
        </w:rPr>
        <w:t xml:space="preserve"> </w:t>
      </w:r>
      <w:r w:rsidR="00577D2D">
        <w:rPr>
          <w:rFonts w:asciiTheme="minorHAnsi" w:hAnsiTheme="minorHAnsi" w:cstheme="minorHAnsi"/>
        </w:rPr>
        <w:t>tím</w:t>
      </w:r>
      <w:r w:rsidR="00550419">
        <w:rPr>
          <w:rFonts w:asciiTheme="minorHAnsi" w:hAnsiTheme="minorHAnsi" w:cstheme="minorHAnsi"/>
        </w:rPr>
        <w:t>to zákonem ročně navyšován o </w:t>
      </w:r>
      <w:r w:rsidR="00577D2D" w:rsidRPr="009B6E3B">
        <w:rPr>
          <w:rFonts w:asciiTheme="minorHAnsi" w:hAnsiTheme="minorHAnsi" w:cstheme="minorHAnsi"/>
        </w:rPr>
        <w:t xml:space="preserve">inflaci </w:t>
      </w:r>
      <w:r w:rsidR="00550419">
        <w:rPr>
          <w:rFonts w:asciiTheme="minorHAnsi" w:hAnsiTheme="minorHAnsi" w:cstheme="minorHAnsi"/>
        </w:rPr>
        <w:t>zveřejňovanou</w:t>
      </w:r>
      <w:r w:rsidR="00577D2D" w:rsidRPr="009B6E3B">
        <w:rPr>
          <w:rFonts w:asciiTheme="minorHAnsi" w:hAnsiTheme="minorHAnsi" w:cstheme="minorHAnsi"/>
        </w:rPr>
        <w:t xml:space="preserve"> Českým statistickým úřadem.</w:t>
      </w:r>
      <w:r w:rsidR="00577D2D">
        <w:rPr>
          <w:rFonts w:asciiTheme="minorHAnsi" w:hAnsiTheme="minorHAnsi" w:cstheme="minorHAnsi"/>
        </w:rPr>
        <w:t xml:space="preserve"> </w:t>
      </w:r>
    </w:p>
    <w:p w:rsidR="00135E47" w:rsidRDefault="00135E47" w:rsidP="00577D2D">
      <w:pPr>
        <w:jc w:val="both"/>
        <w:rPr>
          <w:rFonts w:asciiTheme="minorHAnsi" w:hAnsiTheme="minorHAnsi" w:cstheme="minorHAnsi"/>
        </w:rPr>
      </w:pPr>
    </w:p>
    <w:p w:rsidR="00577D2D" w:rsidRPr="009B6E3B" w:rsidRDefault="00B91E68" w:rsidP="00577D2D">
      <w:pPr>
        <w:jc w:val="both"/>
        <w:rPr>
          <w:rFonts w:asciiTheme="minorHAnsi" w:hAnsiTheme="minorHAnsi" w:cstheme="minorHAnsi"/>
        </w:rPr>
      </w:pPr>
      <w:r>
        <w:rPr>
          <w:rFonts w:asciiTheme="minorHAnsi" w:hAnsiTheme="minorHAnsi" w:cstheme="minorHAnsi"/>
        </w:rPr>
        <w:t>Kromě uvedené finanční náhrady bude po přechodné období sedmnácti let ode dne nabytí účinnosti zákona č. 428/2012 Sb. jednotlivým CNS vyplácen příspěvek na podporu jejich činnosti. Celková výše plateb za dobu sedmnácti let dosáhne 16,976 mld. Kč. Příspěvek je vyplácen do konce ledna kalendářního roku, na který je určen. Účto</w:t>
      </w:r>
      <w:r w:rsidR="00577D2D">
        <w:rPr>
          <w:rFonts w:asciiTheme="minorHAnsi" w:hAnsiTheme="minorHAnsi" w:cstheme="minorHAnsi"/>
        </w:rPr>
        <w:t>vání příspěvků na podporu činnosti CNS, které v</w:t>
      </w:r>
      <w:r w:rsidR="009C77C9">
        <w:rPr>
          <w:rFonts w:asciiTheme="minorHAnsi" w:hAnsiTheme="minorHAnsi" w:cstheme="minorHAnsi"/>
        </w:rPr>
        <w:t xml:space="preserve"> </w:t>
      </w:r>
      <w:r w:rsidR="00577D2D">
        <w:rPr>
          <w:rFonts w:asciiTheme="minorHAnsi" w:hAnsiTheme="minorHAnsi" w:cstheme="minorHAnsi"/>
        </w:rPr>
        <w:t xml:space="preserve">roce 2014 činily 1,445 </w:t>
      </w:r>
      <w:r>
        <w:rPr>
          <w:rFonts w:asciiTheme="minorHAnsi" w:hAnsiTheme="minorHAnsi" w:cstheme="minorHAnsi"/>
        </w:rPr>
        <w:t>mld. Kč, bylo kontrolou ověřeno a</w:t>
      </w:r>
      <w:r w:rsidR="00852FD1">
        <w:rPr>
          <w:rFonts w:asciiTheme="minorHAnsi" w:hAnsiTheme="minorHAnsi" w:cstheme="minorHAnsi"/>
        </w:rPr>
        <w:t> </w:t>
      </w:r>
      <w:r>
        <w:rPr>
          <w:rFonts w:asciiTheme="minorHAnsi" w:hAnsiTheme="minorHAnsi" w:cstheme="minorHAnsi"/>
        </w:rPr>
        <w:t>nebyly zjištěny nesprávnosti s</w:t>
      </w:r>
      <w:r w:rsidR="009C77C9">
        <w:rPr>
          <w:rFonts w:asciiTheme="minorHAnsi" w:hAnsiTheme="minorHAnsi" w:cstheme="minorHAnsi"/>
        </w:rPr>
        <w:t xml:space="preserve"> </w:t>
      </w:r>
      <w:r>
        <w:rPr>
          <w:rFonts w:asciiTheme="minorHAnsi" w:hAnsiTheme="minorHAnsi" w:cstheme="minorHAnsi"/>
        </w:rPr>
        <w:t>vlivem na ÚZ sestavenou k</w:t>
      </w:r>
      <w:r w:rsidR="009C77C9">
        <w:rPr>
          <w:rFonts w:asciiTheme="minorHAnsi" w:hAnsiTheme="minorHAnsi" w:cstheme="minorHAnsi"/>
        </w:rPr>
        <w:t xml:space="preserve"> </w:t>
      </w:r>
      <w:r>
        <w:rPr>
          <w:rFonts w:asciiTheme="minorHAnsi" w:hAnsiTheme="minorHAnsi" w:cstheme="minorHAnsi"/>
        </w:rPr>
        <w:t>31. 12. 2014.</w:t>
      </w:r>
    </w:p>
    <w:p w:rsidR="00220C67" w:rsidRPr="00C01E14" w:rsidRDefault="00220C67" w:rsidP="00A82ED8">
      <w:pPr>
        <w:pStyle w:val="NormlnKZ"/>
        <w:spacing w:after="0"/>
        <w:ind w:firstLine="0"/>
        <w:rPr>
          <w:rFonts w:asciiTheme="minorHAnsi" w:hAnsiTheme="minorHAnsi" w:cstheme="minorHAnsi"/>
          <w:sz w:val="24"/>
        </w:rPr>
      </w:pPr>
    </w:p>
    <w:p w:rsidR="00220C67" w:rsidRDefault="00220C67" w:rsidP="00A82ED8">
      <w:pPr>
        <w:pStyle w:val="NormlnKZ"/>
        <w:spacing w:after="0"/>
        <w:ind w:firstLine="0"/>
        <w:rPr>
          <w:rFonts w:asciiTheme="minorHAnsi" w:hAnsiTheme="minorHAnsi" w:cstheme="minorHAnsi"/>
          <w:b/>
          <w:sz w:val="24"/>
        </w:rPr>
      </w:pPr>
      <w:r>
        <w:rPr>
          <w:rFonts w:asciiTheme="minorHAnsi" w:hAnsiTheme="minorHAnsi" w:cstheme="minorHAnsi"/>
          <w:b/>
          <w:sz w:val="24"/>
        </w:rPr>
        <w:t>5. Závěrečný účet</w:t>
      </w:r>
    </w:p>
    <w:p w:rsidR="00C01E14" w:rsidRDefault="00C01E14" w:rsidP="00A82ED8">
      <w:pPr>
        <w:pStyle w:val="NormlnKZ"/>
        <w:spacing w:after="0"/>
        <w:ind w:firstLine="0"/>
        <w:rPr>
          <w:rFonts w:asciiTheme="minorHAnsi" w:hAnsiTheme="minorHAnsi" w:cstheme="minorHAnsi"/>
          <w:sz w:val="24"/>
        </w:rPr>
      </w:pPr>
    </w:p>
    <w:p w:rsidR="008B5835" w:rsidRPr="00C01E14" w:rsidRDefault="00190F92" w:rsidP="00A82ED8">
      <w:pPr>
        <w:pStyle w:val="NormlnKZ"/>
        <w:spacing w:after="0"/>
        <w:ind w:firstLine="0"/>
        <w:rPr>
          <w:rFonts w:asciiTheme="minorHAnsi" w:hAnsiTheme="minorHAnsi" w:cstheme="minorHAnsi"/>
          <w:spacing w:val="-2"/>
          <w:sz w:val="24"/>
        </w:rPr>
      </w:pPr>
      <w:r w:rsidRPr="00391416">
        <w:rPr>
          <w:rFonts w:asciiTheme="minorHAnsi" w:hAnsiTheme="minorHAnsi" w:cstheme="minorHAnsi"/>
          <w:sz w:val="24"/>
        </w:rPr>
        <w:t>Při kontrole z</w:t>
      </w:r>
      <w:r w:rsidR="00C338D9">
        <w:rPr>
          <w:rFonts w:asciiTheme="minorHAnsi" w:hAnsiTheme="minorHAnsi" w:cstheme="minorHAnsi"/>
          <w:sz w:val="24"/>
        </w:rPr>
        <w:t>ávěrečného účtu kapitoly MK</w:t>
      </w:r>
      <w:r w:rsidRPr="00391416">
        <w:rPr>
          <w:rFonts w:asciiTheme="minorHAnsi" w:hAnsiTheme="minorHAnsi" w:cstheme="minorHAnsi"/>
          <w:sz w:val="24"/>
        </w:rPr>
        <w:t xml:space="preserve"> za rok 2014 byly </w:t>
      </w:r>
      <w:r w:rsidR="004C5795">
        <w:rPr>
          <w:rFonts w:asciiTheme="minorHAnsi" w:hAnsiTheme="minorHAnsi" w:cstheme="minorHAnsi"/>
          <w:sz w:val="24"/>
        </w:rPr>
        <w:t>prověřeny</w:t>
      </w:r>
      <w:r w:rsidRPr="00391416">
        <w:rPr>
          <w:rFonts w:asciiTheme="minorHAnsi" w:hAnsiTheme="minorHAnsi" w:cstheme="minorHAnsi"/>
          <w:sz w:val="24"/>
        </w:rPr>
        <w:t xml:space="preserve"> transf</w:t>
      </w:r>
      <w:r w:rsidR="00C338D9">
        <w:rPr>
          <w:rFonts w:asciiTheme="minorHAnsi" w:hAnsiTheme="minorHAnsi" w:cstheme="minorHAnsi"/>
          <w:sz w:val="24"/>
        </w:rPr>
        <w:t>ery, návratné finanční výpomoci,</w:t>
      </w:r>
      <w:r w:rsidR="009C77C9">
        <w:rPr>
          <w:rFonts w:asciiTheme="minorHAnsi" w:hAnsiTheme="minorHAnsi" w:cstheme="minorHAnsi"/>
          <w:sz w:val="24"/>
        </w:rPr>
        <w:t xml:space="preserve"> </w:t>
      </w:r>
      <w:r w:rsidRPr="00391416">
        <w:rPr>
          <w:rFonts w:asciiTheme="minorHAnsi" w:hAnsiTheme="minorHAnsi" w:cstheme="minorHAnsi"/>
          <w:sz w:val="24"/>
        </w:rPr>
        <w:t>bezúplatné převody</w:t>
      </w:r>
      <w:r w:rsidR="00C338D9">
        <w:rPr>
          <w:rFonts w:asciiTheme="minorHAnsi" w:hAnsiTheme="minorHAnsi" w:cstheme="minorHAnsi"/>
          <w:sz w:val="24"/>
        </w:rPr>
        <w:t xml:space="preserve"> a zálohy</w:t>
      </w:r>
      <w:r w:rsidRPr="00391416">
        <w:rPr>
          <w:rFonts w:asciiTheme="minorHAnsi" w:hAnsiTheme="minorHAnsi" w:cstheme="minorHAnsi"/>
          <w:sz w:val="24"/>
        </w:rPr>
        <w:t xml:space="preserve">. </w:t>
      </w:r>
      <w:r w:rsidR="00282CB8">
        <w:rPr>
          <w:rFonts w:asciiTheme="minorHAnsi" w:hAnsiTheme="minorHAnsi" w:cstheme="minorHAnsi"/>
          <w:sz w:val="24"/>
        </w:rPr>
        <w:t>Kontrolou</w:t>
      </w:r>
      <w:r w:rsidRPr="00391416">
        <w:rPr>
          <w:rFonts w:asciiTheme="minorHAnsi" w:hAnsiTheme="minorHAnsi" w:cstheme="minorHAnsi"/>
          <w:sz w:val="24"/>
        </w:rPr>
        <w:t xml:space="preserve"> nebyly zjištěny významné nesprávnosti. </w:t>
      </w:r>
      <w:r w:rsidR="00C338D9">
        <w:rPr>
          <w:rFonts w:asciiTheme="minorHAnsi" w:hAnsiTheme="minorHAnsi" w:cstheme="minorHAnsi"/>
          <w:sz w:val="24"/>
        </w:rPr>
        <w:t>Závěrečný účet kapitoly MK</w:t>
      </w:r>
      <w:r w:rsidRPr="00391416">
        <w:rPr>
          <w:rFonts w:asciiTheme="minorHAnsi" w:hAnsiTheme="minorHAnsi" w:cstheme="minorHAnsi"/>
          <w:sz w:val="24"/>
        </w:rPr>
        <w:t xml:space="preserve"> za rok 2014 byl zpracován v rozsahu stanoveném vyhláškou č.</w:t>
      </w:r>
      <w:r w:rsidR="009C77C9">
        <w:rPr>
          <w:rFonts w:asciiTheme="minorHAnsi" w:hAnsiTheme="minorHAnsi" w:cstheme="minorHAnsi"/>
          <w:sz w:val="24"/>
        </w:rPr>
        <w:t xml:space="preserve"> </w:t>
      </w:r>
      <w:r w:rsidRPr="00391416">
        <w:rPr>
          <w:rFonts w:asciiTheme="minorHAnsi" w:hAnsiTheme="minorHAnsi" w:cstheme="minorHAnsi"/>
          <w:sz w:val="24"/>
        </w:rPr>
        <w:t>419/2001 Sb., tj.</w:t>
      </w:r>
      <w:r w:rsidR="009C77C9">
        <w:rPr>
          <w:rFonts w:asciiTheme="minorHAnsi" w:hAnsiTheme="minorHAnsi" w:cstheme="minorHAnsi"/>
          <w:sz w:val="24"/>
        </w:rPr>
        <w:t xml:space="preserve"> </w:t>
      </w:r>
      <w:r w:rsidRPr="00391416">
        <w:rPr>
          <w:rFonts w:asciiTheme="minorHAnsi" w:hAnsiTheme="minorHAnsi" w:cstheme="minorHAnsi"/>
          <w:sz w:val="24"/>
        </w:rPr>
        <w:t>obsahoval průvodní zprávu, povinné číselné sestavy a</w:t>
      </w:r>
      <w:r w:rsidR="003251ED">
        <w:rPr>
          <w:rFonts w:asciiTheme="minorHAnsi" w:hAnsiTheme="minorHAnsi" w:cstheme="minorHAnsi"/>
          <w:sz w:val="24"/>
        </w:rPr>
        <w:t> </w:t>
      </w:r>
      <w:r w:rsidRPr="00391416">
        <w:rPr>
          <w:rFonts w:asciiTheme="minorHAnsi" w:hAnsiTheme="minorHAnsi" w:cstheme="minorHAnsi"/>
          <w:sz w:val="24"/>
        </w:rPr>
        <w:t xml:space="preserve">tabulkové přílohy. V průvodní zprávě </w:t>
      </w:r>
      <w:r w:rsidR="00C338D9">
        <w:rPr>
          <w:rFonts w:asciiTheme="minorHAnsi" w:hAnsiTheme="minorHAnsi" w:cstheme="minorHAnsi"/>
          <w:sz w:val="24"/>
        </w:rPr>
        <w:t>MK neuvedlo</w:t>
      </w:r>
      <w:r w:rsidRPr="00391416">
        <w:rPr>
          <w:rFonts w:asciiTheme="minorHAnsi" w:hAnsiTheme="minorHAnsi" w:cstheme="minorHAnsi"/>
          <w:sz w:val="24"/>
        </w:rPr>
        <w:t xml:space="preserve"> informace o</w:t>
      </w:r>
      <w:r w:rsidR="00852FD1">
        <w:rPr>
          <w:rFonts w:asciiTheme="minorHAnsi" w:hAnsiTheme="minorHAnsi" w:cstheme="minorHAnsi"/>
          <w:sz w:val="24"/>
        </w:rPr>
        <w:t> </w:t>
      </w:r>
      <w:r w:rsidR="00C338D9">
        <w:rPr>
          <w:rFonts w:asciiTheme="minorHAnsi" w:hAnsiTheme="minorHAnsi" w:cstheme="minorHAnsi"/>
          <w:sz w:val="24"/>
        </w:rPr>
        <w:t>opatření</w:t>
      </w:r>
      <w:r w:rsidR="00EC3B9C">
        <w:rPr>
          <w:rFonts w:asciiTheme="minorHAnsi" w:hAnsiTheme="minorHAnsi" w:cstheme="minorHAnsi"/>
          <w:sz w:val="24"/>
        </w:rPr>
        <w:t>ch</w:t>
      </w:r>
      <w:r w:rsidR="00C338D9">
        <w:rPr>
          <w:rFonts w:asciiTheme="minorHAnsi" w:hAnsiTheme="minorHAnsi" w:cstheme="minorHAnsi"/>
          <w:sz w:val="24"/>
        </w:rPr>
        <w:t xml:space="preserve"> přijatých k</w:t>
      </w:r>
      <w:r w:rsidR="003251ED">
        <w:rPr>
          <w:rFonts w:asciiTheme="minorHAnsi" w:hAnsiTheme="minorHAnsi" w:cstheme="minorHAnsi"/>
          <w:sz w:val="24"/>
        </w:rPr>
        <w:t> </w:t>
      </w:r>
      <w:r w:rsidR="00C338D9">
        <w:rPr>
          <w:rFonts w:asciiTheme="minorHAnsi" w:hAnsiTheme="minorHAnsi" w:cstheme="minorHAnsi"/>
          <w:sz w:val="24"/>
        </w:rPr>
        <w:t>odstranění všech závad</w:t>
      </w:r>
      <w:r w:rsidR="003B0BF8" w:rsidRPr="003B0BF8">
        <w:rPr>
          <w:rFonts w:asciiTheme="minorHAnsi" w:hAnsiTheme="minorHAnsi" w:cstheme="minorHAnsi"/>
          <w:sz w:val="24"/>
        </w:rPr>
        <w:t xml:space="preserve"> </w:t>
      </w:r>
      <w:r w:rsidR="003B0BF8">
        <w:rPr>
          <w:rFonts w:asciiTheme="minorHAnsi" w:hAnsiTheme="minorHAnsi" w:cstheme="minorHAnsi"/>
          <w:sz w:val="24"/>
        </w:rPr>
        <w:t>zjištěných</w:t>
      </w:r>
      <w:r w:rsidR="00C338D9">
        <w:rPr>
          <w:rFonts w:asciiTheme="minorHAnsi" w:hAnsiTheme="minorHAnsi" w:cstheme="minorHAnsi"/>
          <w:sz w:val="24"/>
        </w:rPr>
        <w:t xml:space="preserve"> na základě výsledků vnitřních a vnějších kontrol </w:t>
      </w:r>
      <w:r w:rsidR="00C338D9">
        <w:rPr>
          <w:rFonts w:asciiTheme="minorHAnsi" w:hAnsiTheme="minorHAnsi" w:cstheme="minorHAnsi"/>
          <w:sz w:val="24"/>
        </w:rPr>
        <w:lastRenderedPageBreak/>
        <w:t>týkajících se hospodaření s</w:t>
      </w:r>
      <w:r w:rsidR="009C77C9">
        <w:rPr>
          <w:rFonts w:asciiTheme="minorHAnsi" w:hAnsiTheme="minorHAnsi" w:cstheme="minorHAnsi"/>
          <w:sz w:val="24"/>
        </w:rPr>
        <w:t xml:space="preserve"> </w:t>
      </w:r>
      <w:r w:rsidR="00C338D9">
        <w:rPr>
          <w:rFonts w:asciiTheme="minorHAnsi" w:hAnsiTheme="minorHAnsi" w:cstheme="minorHAnsi"/>
          <w:sz w:val="24"/>
        </w:rPr>
        <w:t>prostředky státního rozpočtu, přehled zálohových plateb provedených</w:t>
      </w:r>
      <w:r w:rsidR="00282CB8">
        <w:rPr>
          <w:rFonts w:asciiTheme="minorHAnsi" w:hAnsiTheme="minorHAnsi" w:cstheme="minorHAnsi"/>
          <w:sz w:val="24"/>
        </w:rPr>
        <w:t xml:space="preserve"> správcem kapitoly na dodávky a </w:t>
      </w:r>
      <w:r w:rsidR="00C338D9">
        <w:rPr>
          <w:rFonts w:asciiTheme="minorHAnsi" w:hAnsiTheme="minorHAnsi" w:cstheme="minorHAnsi"/>
          <w:sz w:val="24"/>
        </w:rPr>
        <w:t>práce investičního a</w:t>
      </w:r>
      <w:r w:rsidR="00852FD1">
        <w:rPr>
          <w:rFonts w:asciiTheme="minorHAnsi" w:hAnsiTheme="minorHAnsi" w:cstheme="minorHAnsi"/>
          <w:sz w:val="24"/>
        </w:rPr>
        <w:t> </w:t>
      </w:r>
      <w:r w:rsidR="00C338D9">
        <w:rPr>
          <w:rFonts w:asciiTheme="minorHAnsi" w:hAnsiTheme="minorHAnsi" w:cstheme="minorHAnsi"/>
          <w:sz w:val="24"/>
        </w:rPr>
        <w:t xml:space="preserve">neinvestičního charakteru </w:t>
      </w:r>
      <w:r w:rsidR="008B5835">
        <w:rPr>
          <w:rFonts w:asciiTheme="minorHAnsi" w:hAnsiTheme="minorHAnsi" w:cstheme="minorHAnsi"/>
          <w:sz w:val="24"/>
        </w:rPr>
        <w:t xml:space="preserve">(uvedeny </w:t>
      </w:r>
      <w:r w:rsidR="00282CB8">
        <w:rPr>
          <w:rFonts w:asciiTheme="minorHAnsi" w:hAnsiTheme="minorHAnsi" w:cstheme="minorHAnsi"/>
          <w:sz w:val="24"/>
        </w:rPr>
        <w:t xml:space="preserve">byly </w:t>
      </w:r>
      <w:r w:rsidR="008B5835">
        <w:rPr>
          <w:rFonts w:asciiTheme="minorHAnsi" w:hAnsiTheme="minorHAnsi" w:cstheme="minorHAnsi"/>
          <w:sz w:val="24"/>
        </w:rPr>
        <w:t xml:space="preserve">pouze zálohy poskytnuté zřízenými příspěvkovými organizacemi) </w:t>
      </w:r>
      <w:r w:rsidR="00C338D9">
        <w:rPr>
          <w:rFonts w:asciiTheme="minorHAnsi" w:hAnsiTheme="minorHAnsi" w:cstheme="minorHAnsi"/>
          <w:sz w:val="24"/>
        </w:rPr>
        <w:t>a</w:t>
      </w:r>
      <w:r w:rsidR="00282CB8">
        <w:rPr>
          <w:rFonts w:asciiTheme="minorHAnsi" w:hAnsiTheme="minorHAnsi" w:cstheme="minorHAnsi"/>
          <w:sz w:val="24"/>
        </w:rPr>
        <w:t>ni</w:t>
      </w:r>
      <w:r w:rsidR="00C338D9">
        <w:rPr>
          <w:rFonts w:asciiTheme="minorHAnsi" w:hAnsiTheme="minorHAnsi" w:cstheme="minorHAnsi"/>
          <w:sz w:val="24"/>
        </w:rPr>
        <w:t xml:space="preserve"> organizační schéma kapitoly s</w:t>
      </w:r>
      <w:r w:rsidR="009C77C9">
        <w:rPr>
          <w:rFonts w:asciiTheme="minorHAnsi" w:hAnsiTheme="minorHAnsi" w:cstheme="minorHAnsi"/>
          <w:sz w:val="24"/>
        </w:rPr>
        <w:t xml:space="preserve"> </w:t>
      </w:r>
      <w:r w:rsidR="00C338D9">
        <w:rPr>
          <w:rFonts w:asciiTheme="minorHAnsi" w:hAnsiTheme="minorHAnsi" w:cstheme="minorHAnsi"/>
          <w:sz w:val="24"/>
        </w:rPr>
        <w:t>kompetenčním uspořádáním mezi správcem kapitoly a jeho podřízenými organizacemi (součástí je pouze stručný organigram MK).</w:t>
      </w:r>
    </w:p>
    <w:sectPr w:rsidR="008B5835" w:rsidRPr="00C01E14" w:rsidSect="00FF6027">
      <w:footerReference w:type="even" r:id="rId12"/>
      <w:footerReference w:type="defaul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BC" w:rsidRDefault="000A3ABC">
      <w:r>
        <w:separator/>
      </w:r>
    </w:p>
  </w:endnote>
  <w:endnote w:type="continuationSeparator" w:id="0">
    <w:p w:rsidR="000A3ABC" w:rsidRDefault="000A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BC" w:rsidRDefault="000A3A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0A3ABC" w:rsidRDefault="000A3AB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15792"/>
      <w:docPartObj>
        <w:docPartGallery w:val="Page Numbers (Bottom of Page)"/>
        <w:docPartUnique/>
      </w:docPartObj>
    </w:sdtPr>
    <w:sdtEndPr>
      <w:rPr>
        <w:rFonts w:asciiTheme="minorHAnsi" w:hAnsiTheme="minorHAnsi" w:cstheme="minorHAnsi"/>
        <w:sz w:val="22"/>
        <w:szCs w:val="22"/>
      </w:rPr>
    </w:sdtEndPr>
    <w:sdtContent>
      <w:p w:rsidR="000A3ABC" w:rsidRPr="00391416" w:rsidRDefault="000A3ABC" w:rsidP="00C953C5">
        <w:pPr>
          <w:pStyle w:val="Zpat"/>
          <w:tabs>
            <w:tab w:val="clear" w:pos="4536"/>
          </w:tabs>
          <w:jc w:val="center"/>
          <w:rPr>
            <w:rFonts w:asciiTheme="minorHAnsi" w:hAnsiTheme="minorHAnsi" w:cstheme="minorHAnsi"/>
            <w:sz w:val="22"/>
            <w:szCs w:val="22"/>
          </w:rPr>
        </w:pPr>
        <w:r w:rsidRPr="00391416">
          <w:rPr>
            <w:rFonts w:asciiTheme="minorHAnsi" w:hAnsiTheme="minorHAnsi" w:cstheme="minorHAnsi"/>
          </w:rPr>
          <w:fldChar w:fldCharType="begin"/>
        </w:r>
        <w:r w:rsidRPr="00391416">
          <w:rPr>
            <w:rFonts w:asciiTheme="minorHAnsi" w:hAnsiTheme="minorHAnsi" w:cstheme="minorHAnsi"/>
          </w:rPr>
          <w:instrText>PAGE   \* MERGEFORMAT</w:instrText>
        </w:r>
        <w:r w:rsidRPr="00391416">
          <w:rPr>
            <w:rFonts w:asciiTheme="minorHAnsi" w:hAnsiTheme="minorHAnsi" w:cstheme="minorHAnsi"/>
          </w:rPr>
          <w:fldChar w:fldCharType="separate"/>
        </w:r>
        <w:r w:rsidR="002E4414">
          <w:rPr>
            <w:rFonts w:asciiTheme="minorHAnsi" w:hAnsiTheme="minorHAnsi" w:cstheme="minorHAnsi"/>
            <w:noProof/>
          </w:rPr>
          <w:t>2</w:t>
        </w:r>
        <w:r w:rsidRPr="00391416">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BC" w:rsidRDefault="000A3ABC">
      <w:r>
        <w:separator/>
      </w:r>
    </w:p>
  </w:footnote>
  <w:footnote w:type="continuationSeparator" w:id="0">
    <w:p w:rsidR="000A3ABC" w:rsidRDefault="000A3ABC">
      <w:r>
        <w:continuationSeparator/>
      </w:r>
    </w:p>
  </w:footnote>
  <w:footnote w:id="1">
    <w:p w:rsidR="000A3ABC" w:rsidRPr="00C01E14" w:rsidRDefault="000A3ABC" w:rsidP="00C01E14">
      <w:pPr>
        <w:pStyle w:val="Textpoznpodarou"/>
        <w:ind w:left="284" w:hanging="284"/>
        <w:rPr>
          <w:rFonts w:ascii="Calibri" w:hAnsi="Calibri" w:cs="Calibri"/>
        </w:rPr>
      </w:pPr>
      <w:r w:rsidRPr="00C01E14">
        <w:rPr>
          <w:rStyle w:val="Znakapoznpodarou"/>
          <w:rFonts w:ascii="Calibri" w:hAnsi="Calibri" w:cs="Calibri"/>
        </w:rPr>
        <w:footnoteRef/>
      </w:r>
      <w:r>
        <w:rPr>
          <w:rFonts w:ascii="Calibri" w:hAnsi="Calibri" w:cs="Calibri"/>
        </w:rPr>
        <w:tab/>
        <w:t xml:space="preserve">Viz </w:t>
      </w:r>
      <w:hyperlink r:id="rId1" w:history="1">
        <w:r w:rsidRPr="00B81458">
          <w:rPr>
            <w:rStyle w:val="Hypertextovodkaz"/>
            <w:rFonts w:ascii="Calibri" w:hAnsi="Calibri" w:cs="Calibri"/>
            <w:u w:val="none"/>
          </w:rPr>
          <w:t>http://monitor.statnipokladna.cz</w:t>
        </w:r>
      </w:hyperlink>
      <w:r w:rsidRPr="00C01E14">
        <w:rPr>
          <w:rFonts w:ascii="Calibri" w:hAnsi="Calibri" w:cs="Calibri"/>
        </w:rPr>
        <w:t>.</w:t>
      </w:r>
    </w:p>
  </w:footnote>
  <w:footnote w:id="2">
    <w:p w:rsidR="000A3ABC" w:rsidRPr="00C01E14" w:rsidRDefault="000A3ABC" w:rsidP="00C01E14">
      <w:pPr>
        <w:ind w:left="284" w:hanging="284"/>
        <w:jc w:val="both"/>
        <w:rPr>
          <w:rFonts w:ascii="Calibri" w:hAnsi="Calibri" w:cs="Calibri"/>
          <w:sz w:val="20"/>
          <w:szCs w:val="20"/>
        </w:rPr>
      </w:pPr>
      <w:r w:rsidRPr="00C01E14">
        <w:rPr>
          <w:rStyle w:val="Znakapoznpodarou"/>
          <w:rFonts w:ascii="Calibri" w:hAnsi="Calibri" w:cs="Calibri"/>
          <w:sz w:val="20"/>
          <w:szCs w:val="20"/>
        </w:rPr>
        <w:footnoteRef/>
      </w:r>
      <w:r w:rsidRPr="00C01E14">
        <w:rPr>
          <w:rFonts w:ascii="Calibri" w:hAnsi="Calibri" w:cs="Calibri"/>
          <w:sz w:val="20"/>
          <w:szCs w:val="20"/>
        </w:rPr>
        <w:tab/>
        <w:t>Viz ustanovení § 14 odst. 2 zákona č. 219/2000 Sb., o majetku České republiky a jejím vystupování v právních vztazích.</w:t>
      </w:r>
    </w:p>
  </w:footnote>
  <w:footnote w:id="3">
    <w:p w:rsidR="000A3ABC" w:rsidRPr="00C01E14" w:rsidRDefault="000A3ABC" w:rsidP="00C01E14">
      <w:pPr>
        <w:pStyle w:val="Textpoznpodarou"/>
        <w:ind w:left="284" w:hanging="284"/>
        <w:jc w:val="both"/>
        <w:rPr>
          <w:rFonts w:ascii="Calibri" w:hAnsi="Calibri" w:cs="Calibri"/>
        </w:rPr>
      </w:pPr>
      <w:r w:rsidRPr="00C01E14">
        <w:rPr>
          <w:rStyle w:val="Znakapoznpodarou"/>
          <w:rFonts w:ascii="Calibri" w:hAnsi="Calibri" w:cs="Calibri"/>
        </w:rPr>
        <w:footnoteRef/>
      </w:r>
      <w:r w:rsidRPr="00C01E14">
        <w:rPr>
          <w:rFonts w:ascii="Calibri" w:hAnsi="Calibri" w:cs="Calibri"/>
        </w:rPr>
        <w:tab/>
        <w:t>Viz ustanovení § 23b zákona č. 563/1991 Sb. a vyhláška č. 312/2014 Sb., o podmínkách sestavení účetních výkazů za Českou republiku (konsolidační vyhláška státu)</w:t>
      </w:r>
      <w:r>
        <w:rPr>
          <w:rFonts w:ascii="Calibri" w:hAnsi="Calibri" w:cs="Calibri"/>
        </w:rPr>
        <w:t>.</w:t>
      </w:r>
    </w:p>
  </w:footnote>
  <w:footnote w:id="4">
    <w:p w:rsidR="000A3ABC" w:rsidRPr="00C01E14" w:rsidRDefault="000A3ABC" w:rsidP="00C01E14">
      <w:pPr>
        <w:pStyle w:val="Textpoznpodarou"/>
        <w:ind w:left="284" w:hanging="284"/>
        <w:jc w:val="both"/>
        <w:rPr>
          <w:rFonts w:ascii="Calibri" w:hAnsi="Calibri" w:cs="Calibri"/>
        </w:rPr>
      </w:pPr>
      <w:r w:rsidRPr="00C01E14">
        <w:rPr>
          <w:rStyle w:val="Znakapoznpodarou"/>
          <w:rFonts w:ascii="Calibri" w:hAnsi="Calibri" w:cs="Calibri"/>
        </w:rPr>
        <w:footnoteRef/>
      </w:r>
      <w:r w:rsidRPr="00C01E14">
        <w:rPr>
          <w:rFonts w:ascii="Calibri" w:hAnsi="Calibri" w:cs="Calibri"/>
        </w:rPr>
        <w:tab/>
        <w:t>V jednotlivých výkazech ÚZ byly zjištěny nesprávnosti: ve výkazu rozvaha ve výši 1,3 mld. Kč, ve výkazu zisku a ztráty ve výši 7 mil. Kč, v příloze ÚZ 99 mil. Kč, v přehledu o peněžních tocích 88 tis. Kč a v přehledu o změnách vlastního kapitálu 228 mil. Kč.</w:t>
      </w:r>
    </w:p>
  </w:footnote>
  <w:footnote w:id="5">
    <w:p w:rsidR="000A3ABC" w:rsidRPr="00EA486A" w:rsidRDefault="000A3ABC" w:rsidP="009F544B">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Pr>
          <w:rFonts w:asciiTheme="minorHAnsi" w:hAnsiTheme="minorHAnsi" w:cstheme="minorHAnsi"/>
        </w:rPr>
        <w:tab/>
        <w:t>V</w:t>
      </w:r>
      <w:r w:rsidRPr="00EA486A">
        <w:rPr>
          <w:rFonts w:asciiTheme="minorHAnsi" w:hAnsiTheme="minorHAnsi" w:cstheme="minorHAnsi"/>
        </w:rPr>
        <w:t xml:space="preserve">ýznamnost na úrovni účetní závěrky </w:t>
      </w:r>
      <w:r>
        <w:rPr>
          <w:rFonts w:asciiTheme="minorHAnsi" w:hAnsiTheme="minorHAnsi" w:cstheme="minorHAnsi"/>
        </w:rPr>
        <w:t xml:space="preserve">byla </w:t>
      </w:r>
      <w:r w:rsidRPr="00EA486A">
        <w:rPr>
          <w:rFonts w:asciiTheme="minorHAnsi" w:hAnsiTheme="minorHAnsi" w:cstheme="minorHAnsi"/>
        </w:rPr>
        <w:t xml:space="preserve">stanovena ve výši </w:t>
      </w:r>
      <w:r>
        <w:rPr>
          <w:rFonts w:asciiTheme="minorHAnsi" w:hAnsiTheme="minorHAnsi" w:cstheme="minorHAnsi"/>
        </w:rPr>
        <w:t>210</w:t>
      </w:r>
      <w:r w:rsidRPr="00EA486A">
        <w:rPr>
          <w:rFonts w:asciiTheme="minorHAnsi" w:hAnsiTheme="minorHAnsi" w:cstheme="minorHAnsi"/>
        </w:rPr>
        <w:t xml:space="preserve"> mil. Kč.</w:t>
      </w:r>
    </w:p>
  </w:footnote>
  <w:footnote w:id="6">
    <w:p w:rsidR="000A3ABC" w:rsidRPr="00EA486A" w:rsidRDefault="000A3ABC" w:rsidP="009F544B">
      <w:pPr>
        <w:pStyle w:val="Textpoznpodarou"/>
        <w:ind w:left="284" w:hanging="284"/>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ab/>
        <w:t xml:space="preserve">Viz část </w:t>
      </w:r>
      <w:r>
        <w:rPr>
          <w:rFonts w:asciiTheme="minorHAnsi" w:hAnsiTheme="minorHAnsi" w:cstheme="minorHAnsi"/>
        </w:rPr>
        <w:t>III.1 tohoto</w:t>
      </w:r>
      <w:r w:rsidRPr="00EA486A">
        <w:rPr>
          <w:rFonts w:asciiTheme="minorHAnsi" w:hAnsiTheme="minorHAnsi" w:cstheme="minorHAnsi"/>
        </w:rPr>
        <w:t xml:space="preserve"> kontrolního závěru.</w:t>
      </w:r>
    </w:p>
  </w:footnote>
  <w:footnote w:id="7">
    <w:p w:rsidR="000A3ABC" w:rsidRPr="00EA486A" w:rsidRDefault="000A3ABC" w:rsidP="00EA486A">
      <w:pPr>
        <w:pStyle w:val="Textpoznpodarou"/>
        <w:ind w:left="284" w:hanging="284"/>
        <w:jc w:val="both"/>
        <w:rPr>
          <w:rFonts w:asciiTheme="minorHAnsi" w:hAnsiTheme="minorHAnsi" w:cstheme="minorHAnsi"/>
        </w:rPr>
      </w:pPr>
      <w:r w:rsidRPr="00EA486A">
        <w:rPr>
          <w:rStyle w:val="Znakapoznpodarou"/>
          <w:rFonts w:asciiTheme="minorHAnsi" w:hAnsiTheme="minorHAnsi" w:cstheme="minorHAnsi"/>
        </w:rPr>
        <w:footnoteRef/>
      </w:r>
      <w:r w:rsidRPr="00EA486A">
        <w:rPr>
          <w:rFonts w:asciiTheme="minorHAnsi" w:hAnsiTheme="minorHAnsi" w:cstheme="minorHAnsi"/>
        </w:rPr>
        <w:t xml:space="preserve"> </w:t>
      </w:r>
      <w:r w:rsidRPr="00EA486A">
        <w:rPr>
          <w:rFonts w:asciiTheme="minorHAnsi" w:hAnsiTheme="minorHAnsi" w:cstheme="minorHAnsi"/>
        </w:rPr>
        <w:tab/>
        <w:t xml:space="preserve">Vybranými účetními jednotkami jsou podle ustanovení § 1 odst. 3 zákona </w:t>
      </w:r>
      <w:r>
        <w:rPr>
          <w:rFonts w:asciiTheme="minorHAnsi" w:hAnsiTheme="minorHAnsi" w:cstheme="minorHAnsi"/>
        </w:rPr>
        <w:t>č. 563/1991 Sb.</w:t>
      </w:r>
      <w:r w:rsidRPr="00EA486A">
        <w:rPr>
          <w:rFonts w:asciiTheme="minorHAnsi" w:hAnsiTheme="minorHAnsi" w:cstheme="minorHAnsi"/>
        </w:rPr>
        <w:t>: OSS, státní fondy podle rozpočtových pravidel, územní samosprávné celky, dobrovolné svazky obcí, regionální rady regionů soudržnosti, příspěvkové organizace a zdravotní pojišťovny. České účetní standardy č.</w:t>
      </w:r>
      <w:r>
        <w:rPr>
          <w:rFonts w:asciiTheme="minorHAnsi" w:hAnsiTheme="minorHAnsi" w:cstheme="minorHAnsi"/>
        </w:rPr>
        <w:t xml:space="preserve"> </w:t>
      </w:r>
      <w:r w:rsidRPr="00EA486A">
        <w:rPr>
          <w:rFonts w:asciiTheme="minorHAnsi" w:hAnsiTheme="minorHAnsi" w:cstheme="minorHAnsi"/>
        </w:rPr>
        <w:t>701 až 710 jsou platné pro některé vybrané účetní jednotky. Vyhláška č. 410/2009 Sb., kterou se provádějí některá ustanovení zákona č. 563/1991 Sb., o účetnictví, ve znění pozdějších předpisů, pro některé vybrané účetní jednotky, v § 2 uvádí výčet vybraných účetních jednotek, na které se tato vyhláška vztahuje, jedná se o</w:t>
      </w:r>
      <w:r>
        <w:rPr>
          <w:rFonts w:asciiTheme="minorHAnsi" w:hAnsiTheme="minorHAnsi" w:cstheme="minorHAnsi"/>
        </w:rPr>
        <w:t> </w:t>
      </w:r>
      <w:r w:rsidRPr="00EA486A">
        <w:rPr>
          <w:rFonts w:asciiTheme="minorHAnsi" w:hAnsiTheme="minorHAnsi" w:cstheme="minorHAnsi"/>
        </w:rPr>
        <w:t>vybrané účetní jednotky kromě zdravotních pojišťoven. České účetní standardy č. 701 až 710 se tak vztahují na vybrané účetní jednotky kromě zdravotních pojišťoven.</w:t>
      </w:r>
    </w:p>
  </w:footnote>
  <w:footnote w:id="8">
    <w:p w:rsidR="000A3ABC" w:rsidRPr="00C01E14" w:rsidRDefault="000A3ABC" w:rsidP="00E658BC">
      <w:pPr>
        <w:pStyle w:val="Textpoznpodarou"/>
        <w:ind w:left="284" w:hanging="284"/>
        <w:jc w:val="both"/>
        <w:rPr>
          <w:rFonts w:ascii="Calibri" w:hAnsi="Calibri" w:cs="Calibri"/>
        </w:rPr>
      </w:pPr>
      <w:r w:rsidRPr="00C01E14">
        <w:rPr>
          <w:rStyle w:val="Znakapoznpodarou"/>
          <w:rFonts w:ascii="Calibri" w:hAnsi="Calibri" w:cs="Calibri"/>
        </w:rPr>
        <w:footnoteRef/>
      </w:r>
      <w:r w:rsidRPr="00C01E14">
        <w:rPr>
          <w:rFonts w:ascii="Calibri" w:hAnsi="Calibri" w:cs="Calibri"/>
        </w:rPr>
        <w:tab/>
      </w:r>
      <w:r>
        <w:rPr>
          <w:rFonts w:ascii="Calibri" w:hAnsi="Calibri" w:cs="Calibri"/>
        </w:rPr>
        <w:t>V</w:t>
      </w:r>
      <w:r w:rsidRPr="00C01E14">
        <w:rPr>
          <w:rFonts w:ascii="Calibri" w:hAnsi="Calibri" w:cs="Calibri"/>
        </w:rPr>
        <w:t>yhláška č. 473/2013</w:t>
      </w:r>
      <w:r>
        <w:rPr>
          <w:rFonts w:ascii="Calibri" w:hAnsi="Calibri" w:cs="Calibri"/>
        </w:rPr>
        <w:t> Sb.</w:t>
      </w:r>
      <w:r w:rsidRPr="00C01E14">
        <w:rPr>
          <w:rFonts w:ascii="Calibri" w:hAnsi="Calibri" w:cs="Calibri"/>
        </w:rPr>
        <w:t>, kterou se mění vyhláška č. 410/2009 Sb., kterou se provádějí některá ustanovení zákona č. 563/1991 Sb., o účetnictví, ve znění pozdějších předpisů, pro některé vybrané účetní jednotky, ve znění pozdějších předpisů.</w:t>
      </w:r>
    </w:p>
  </w:footnote>
  <w:footnote w:id="9">
    <w:p w:rsidR="000A3ABC" w:rsidRPr="00C01E14" w:rsidRDefault="000A3ABC" w:rsidP="008C70C0">
      <w:pPr>
        <w:pStyle w:val="Textpoznpodarou"/>
        <w:ind w:left="284" w:hanging="284"/>
        <w:jc w:val="both"/>
        <w:rPr>
          <w:rFonts w:ascii="Calibri" w:hAnsi="Calibri" w:cs="Calibri"/>
        </w:rPr>
      </w:pPr>
      <w:r w:rsidRPr="00C01E14">
        <w:rPr>
          <w:rStyle w:val="Znakapoznpodarou"/>
          <w:rFonts w:ascii="Calibri" w:hAnsi="Calibri" w:cs="Calibri"/>
        </w:rPr>
        <w:footnoteRef/>
      </w:r>
      <w:r w:rsidRPr="00C01E14">
        <w:rPr>
          <w:rFonts w:ascii="Calibri" w:hAnsi="Calibri" w:cs="Calibri"/>
        </w:rPr>
        <w:tab/>
        <w:t>NKÚ na problematiku nejednoznačnosti předpisů pro účetnictví pro tuto oblast upozorňuje od roku 2012, viz např. kontrolní závěry z kontrolních akcí č.</w:t>
      </w:r>
      <w:r>
        <w:rPr>
          <w:rFonts w:ascii="Calibri" w:hAnsi="Calibri" w:cs="Calibri"/>
        </w:rPr>
        <w:t xml:space="preserve"> </w:t>
      </w:r>
      <w:r w:rsidRPr="00C01E14">
        <w:rPr>
          <w:rFonts w:ascii="Calibri" w:hAnsi="Calibri" w:cs="Calibri"/>
        </w:rPr>
        <w:t xml:space="preserve">11/26 </w:t>
      </w:r>
      <w:r>
        <w:rPr>
          <w:rFonts w:ascii="Calibri" w:hAnsi="Calibri" w:cs="Calibri"/>
        </w:rPr>
        <w:t>(</w:t>
      </w:r>
      <w:r w:rsidRPr="00C01E14">
        <w:rPr>
          <w:rFonts w:ascii="Calibri" w:hAnsi="Calibri" w:cs="Calibri"/>
        </w:rPr>
        <w:t xml:space="preserve">kontrolní závěr byl zveřejněn v částce 3/2012 </w:t>
      </w:r>
      <w:r w:rsidRPr="00C01E14">
        <w:rPr>
          <w:rFonts w:ascii="Calibri" w:hAnsi="Calibri" w:cs="Calibri"/>
          <w:i/>
        </w:rPr>
        <w:t>Věstníku NKÚ</w:t>
      </w:r>
      <w:r>
        <w:rPr>
          <w:rFonts w:ascii="Calibri" w:hAnsi="Calibri" w:cs="Calibri"/>
        </w:rPr>
        <w:t>)</w:t>
      </w:r>
      <w:r w:rsidRPr="00C01E14">
        <w:rPr>
          <w:rFonts w:ascii="Calibri" w:hAnsi="Calibri" w:cs="Calibri"/>
        </w:rPr>
        <w:t>,</w:t>
      </w:r>
      <w:r>
        <w:rPr>
          <w:rFonts w:ascii="Calibri" w:hAnsi="Calibri" w:cs="Calibri"/>
        </w:rPr>
        <w:t xml:space="preserve"> č. </w:t>
      </w:r>
      <w:r w:rsidRPr="00C01E14">
        <w:rPr>
          <w:rFonts w:ascii="Calibri" w:hAnsi="Calibri" w:cs="Calibri"/>
        </w:rPr>
        <w:t xml:space="preserve">13/38 </w:t>
      </w:r>
      <w:r>
        <w:rPr>
          <w:rFonts w:ascii="Calibri" w:hAnsi="Calibri" w:cs="Calibri"/>
        </w:rPr>
        <w:t>(</w:t>
      </w:r>
      <w:r w:rsidRPr="00C01E14">
        <w:rPr>
          <w:rFonts w:ascii="Calibri" w:hAnsi="Calibri" w:cs="Calibri"/>
        </w:rPr>
        <w:t xml:space="preserve">kontrolní závěr byl zveřejněn v částce 3/2014 </w:t>
      </w:r>
      <w:r w:rsidRPr="00C01E14">
        <w:rPr>
          <w:rFonts w:ascii="Calibri" w:hAnsi="Calibri" w:cs="Calibri"/>
          <w:i/>
        </w:rPr>
        <w:t>Věstníku NKÚ</w:t>
      </w:r>
      <w:r>
        <w:rPr>
          <w:rFonts w:ascii="Calibri" w:hAnsi="Calibri" w:cs="Calibri"/>
        </w:rPr>
        <w:t>) a č. </w:t>
      </w:r>
      <w:r w:rsidRPr="00C01E14">
        <w:rPr>
          <w:rFonts w:ascii="Calibri" w:hAnsi="Calibri" w:cs="Calibri"/>
        </w:rPr>
        <w:t xml:space="preserve">14/19 </w:t>
      </w:r>
      <w:r>
        <w:rPr>
          <w:rFonts w:ascii="Calibri" w:hAnsi="Calibri" w:cs="Calibri"/>
        </w:rPr>
        <w:t>(</w:t>
      </w:r>
      <w:r w:rsidRPr="00C01E14">
        <w:rPr>
          <w:rFonts w:ascii="Calibri" w:hAnsi="Calibri" w:cs="Calibri"/>
        </w:rPr>
        <w:t xml:space="preserve">kontrolní závěr byl zveřejněn v částce 2/2015 </w:t>
      </w:r>
      <w:r w:rsidRPr="00C01E14">
        <w:rPr>
          <w:rFonts w:ascii="Calibri" w:hAnsi="Calibri" w:cs="Calibri"/>
          <w:i/>
        </w:rPr>
        <w:t>Věstníku NKÚ</w:t>
      </w:r>
      <w:r>
        <w:rPr>
          <w:rFonts w:ascii="Calibri" w:hAnsi="Calibri" w:cs="Calibri"/>
        </w:rPr>
        <w:t>)</w:t>
      </w:r>
      <w:r w:rsidRPr="00C01E14">
        <w:rPr>
          <w:rFonts w:ascii="Calibri" w:hAnsi="Calibri" w:cs="Calibri"/>
        </w:rPr>
        <w:t>.</w:t>
      </w:r>
    </w:p>
  </w:footnote>
  <w:footnote w:id="10">
    <w:p w:rsidR="000A3ABC" w:rsidRPr="00B07AF6" w:rsidRDefault="000A3ABC" w:rsidP="00852FD1">
      <w:pPr>
        <w:pStyle w:val="Textpoznpodarou"/>
        <w:ind w:left="284" w:hanging="284"/>
        <w:rPr>
          <w:rFonts w:asciiTheme="minorHAnsi" w:hAnsiTheme="minorHAnsi" w:cstheme="minorHAnsi"/>
        </w:rPr>
      </w:pPr>
      <w:r w:rsidRPr="00B07AF6">
        <w:rPr>
          <w:rStyle w:val="Znakapoznpodarou"/>
          <w:rFonts w:asciiTheme="minorHAnsi" w:hAnsiTheme="minorHAnsi" w:cstheme="minorHAnsi"/>
        </w:rPr>
        <w:footnoteRef/>
      </w:r>
      <w:r>
        <w:rPr>
          <w:rFonts w:asciiTheme="minorHAnsi" w:hAnsiTheme="minorHAnsi" w:cstheme="minorHAnsi"/>
        </w:rPr>
        <w:tab/>
      </w:r>
      <w:r w:rsidRPr="00B07AF6">
        <w:rPr>
          <w:rFonts w:asciiTheme="minorHAnsi" w:hAnsiTheme="minorHAnsi" w:cstheme="minorHAnsi"/>
        </w:rPr>
        <w:t>Kontrolní závěr z </w:t>
      </w:r>
      <w:r>
        <w:rPr>
          <w:rFonts w:asciiTheme="minorHAnsi" w:hAnsiTheme="minorHAnsi" w:cstheme="minorHAnsi"/>
        </w:rPr>
        <w:t>kontrolní akce</w:t>
      </w:r>
      <w:r w:rsidRPr="00B07AF6">
        <w:rPr>
          <w:rFonts w:asciiTheme="minorHAnsi" w:hAnsiTheme="minorHAnsi" w:cstheme="minorHAnsi"/>
        </w:rPr>
        <w:t xml:space="preserve"> č. 95/30 byl schválen Kolegiem NKÚ na X. zasedání dne 29. května 1996</w:t>
      </w:r>
      <w:r>
        <w:rPr>
          <w:rFonts w:asciiTheme="minorHAnsi" w:hAnsiTheme="minorHAnsi" w:cs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upperLetter"/>
      <w:lvlText w:val="%1)"/>
      <w:lvlJc w:val="left"/>
      <w:pPr>
        <w:tabs>
          <w:tab w:val="num" w:pos="0"/>
        </w:tabs>
        <w:ind w:left="720" w:hanging="360"/>
      </w:pPr>
    </w:lvl>
  </w:abstractNum>
  <w:abstractNum w:abstractNumId="1">
    <w:nsid w:val="00000003"/>
    <w:multiLevelType w:val="singleLevel"/>
    <w:tmpl w:val="00000003"/>
    <w:name w:val="WW8Num2"/>
    <w:lvl w:ilvl="0">
      <w:start w:val="1"/>
      <w:numFmt w:val="lowerLetter"/>
      <w:lvlText w:val="%1)"/>
      <w:lvlJc w:val="left"/>
      <w:pPr>
        <w:tabs>
          <w:tab w:val="num" w:pos="0"/>
        </w:tabs>
        <w:ind w:left="1065" w:hanging="360"/>
      </w:pPr>
      <w:rPr>
        <w:b/>
      </w:rPr>
    </w:lvl>
  </w:abstractNum>
  <w:abstractNum w:abstractNumId="2">
    <w:nsid w:val="00000004"/>
    <w:multiLevelType w:val="multilevel"/>
    <w:tmpl w:val="00000004"/>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singleLevel"/>
    <w:tmpl w:val="00000006"/>
    <w:name w:val="WW8Num5"/>
    <w:lvl w:ilvl="0">
      <w:start w:val="1"/>
      <w:numFmt w:val="lowerLetter"/>
      <w:lvlText w:val="%1)"/>
      <w:lvlJc w:val="left"/>
      <w:pPr>
        <w:tabs>
          <w:tab w:val="num" w:pos="0"/>
        </w:tabs>
        <w:ind w:left="1065" w:hanging="360"/>
      </w:pPr>
      <w:rPr>
        <w:b/>
      </w:rPr>
    </w:lvl>
  </w:abstractNum>
  <w:abstractNum w:abstractNumId="4">
    <w:nsid w:val="02675040"/>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5">
    <w:nsid w:val="03D82421"/>
    <w:multiLevelType w:val="hybridMultilevel"/>
    <w:tmpl w:val="A08C89D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6">
    <w:nsid w:val="08927799"/>
    <w:multiLevelType w:val="hybridMultilevel"/>
    <w:tmpl w:val="0A34B41A"/>
    <w:lvl w:ilvl="0" w:tplc="04050001">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064ABF"/>
    <w:multiLevelType w:val="hybridMultilevel"/>
    <w:tmpl w:val="A4746158"/>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28939A6"/>
    <w:multiLevelType w:val="hybridMultilevel"/>
    <w:tmpl w:val="2C08A068"/>
    <w:lvl w:ilvl="0" w:tplc="7A64A994">
      <w:start w:val="51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2BF6235"/>
    <w:multiLevelType w:val="hybridMultilevel"/>
    <w:tmpl w:val="9E90A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B14AA4"/>
    <w:multiLevelType w:val="hybridMultilevel"/>
    <w:tmpl w:val="17381F2E"/>
    <w:lvl w:ilvl="0" w:tplc="69EC1214">
      <w:start w:val="1"/>
      <w:numFmt w:val="bullet"/>
      <w:pStyle w:val="Fousteka"/>
      <w:lvlText w:val=""/>
      <w:lvlJc w:val="left"/>
      <w:pPr>
        <w:tabs>
          <w:tab w:val="num" w:pos="721"/>
        </w:tabs>
        <w:ind w:left="721" w:hanging="381"/>
      </w:pPr>
      <w:rPr>
        <w:rFonts w:ascii="Symbol" w:hAnsi="Symbol" w:hint="default"/>
        <w:sz w:val="16"/>
      </w:rPr>
    </w:lvl>
    <w:lvl w:ilvl="1" w:tplc="5490A942">
      <w:numFmt w:val="bullet"/>
      <w:lvlText w:val="–"/>
      <w:lvlJc w:val="left"/>
      <w:pPr>
        <w:tabs>
          <w:tab w:val="num" w:pos="1441"/>
        </w:tabs>
        <w:ind w:left="1441" w:hanging="360"/>
      </w:pPr>
      <w:rPr>
        <w:rFonts w:ascii="Times New Roman" w:eastAsia="Times New Roman" w:hAnsi="Times New Roman" w:cs="Times New Roman"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1">
    <w:nsid w:val="1FF0605D"/>
    <w:multiLevelType w:val="hybridMultilevel"/>
    <w:tmpl w:val="A990A4FA"/>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0545B7E"/>
    <w:multiLevelType w:val="hybridMultilevel"/>
    <w:tmpl w:val="F03A8E0E"/>
    <w:lvl w:ilvl="0" w:tplc="E1CE5622">
      <w:start w:val="1"/>
      <w:numFmt w:val="bullet"/>
      <w:lvlText w:val="-"/>
      <w:lvlJc w:val="left"/>
      <w:pPr>
        <w:ind w:left="390" w:hanging="360"/>
      </w:pPr>
      <w:rPr>
        <w:rFonts w:ascii="Courier New" w:hAnsi="Courier New" w:hint="default"/>
      </w:rPr>
    </w:lvl>
    <w:lvl w:ilvl="1" w:tplc="04050001">
      <w:start w:val="1"/>
      <w:numFmt w:val="bullet"/>
      <w:lvlText w:val=""/>
      <w:lvlJc w:val="left"/>
      <w:pPr>
        <w:ind w:left="1110" w:hanging="360"/>
      </w:pPr>
      <w:rPr>
        <w:rFonts w:ascii="Symbol" w:hAnsi="Symbol" w:hint="default"/>
      </w:rPr>
    </w:lvl>
    <w:lvl w:ilvl="2" w:tplc="04050005">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3">
    <w:nsid w:val="21671BFA"/>
    <w:multiLevelType w:val="hybridMultilevel"/>
    <w:tmpl w:val="DA7A278C"/>
    <w:lvl w:ilvl="0" w:tplc="E8C8DA22">
      <w:start w:val="91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794540"/>
    <w:multiLevelType w:val="hybridMultilevel"/>
    <w:tmpl w:val="CF2A0F24"/>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44B04"/>
    <w:multiLevelType w:val="hybridMultilevel"/>
    <w:tmpl w:val="A30EDF82"/>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C306A13"/>
    <w:multiLevelType w:val="hybridMultilevel"/>
    <w:tmpl w:val="29E6E7E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F103DA6"/>
    <w:multiLevelType w:val="hybridMultilevel"/>
    <w:tmpl w:val="B1DA7872"/>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FA459C7"/>
    <w:multiLevelType w:val="hybridMultilevel"/>
    <w:tmpl w:val="D908822A"/>
    <w:lvl w:ilvl="0" w:tplc="821CE9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AA0ED7"/>
    <w:multiLevelType w:val="hybridMultilevel"/>
    <w:tmpl w:val="BCF69AF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2E0399"/>
    <w:multiLevelType w:val="hybridMultilevel"/>
    <w:tmpl w:val="5478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B74DE7"/>
    <w:multiLevelType w:val="hybridMultilevel"/>
    <w:tmpl w:val="9B3A6D82"/>
    <w:lvl w:ilvl="0" w:tplc="5490A9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E67BF4"/>
    <w:multiLevelType w:val="hybridMultilevel"/>
    <w:tmpl w:val="A2B0B9A8"/>
    <w:lvl w:ilvl="0" w:tplc="008087FA">
      <w:start w:val="1"/>
      <w:numFmt w:val="bullet"/>
      <w:pStyle w:val="Fousnadpis"/>
      <w:lvlText w:val=""/>
      <w:lvlJc w:val="left"/>
      <w:pPr>
        <w:tabs>
          <w:tab w:val="num" w:pos="720"/>
        </w:tabs>
        <w:ind w:left="720" w:hanging="380"/>
      </w:pPr>
      <w:rPr>
        <w:rFonts w:ascii="Symbol" w:hAnsi="Symbol" w:hint="default"/>
      </w:rPr>
    </w:lvl>
    <w:lvl w:ilvl="1" w:tplc="5490A94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B020E43"/>
    <w:multiLevelType w:val="hybridMultilevel"/>
    <w:tmpl w:val="9AE4AA3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7D6292"/>
    <w:multiLevelType w:val="hybridMultilevel"/>
    <w:tmpl w:val="E8DCE254"/>
    <w:lvl w:ilvl="0" w:tplc="5490A942">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3F3931DA"/>
    <w:multiLevelType w:val="hybridMultilevel"/>
    <w:tmpl w:val="BE7E5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9F5FC9"/>
    <w:multiLevelType w:val="hybridMultilevel"/>
    <w:tmpl w:val="A8F08086"/>
    <w:lvl w:ilvl="0" w:tplc="25F0C2E6">
      <w:start w:val="1"/>
      <w:numFmt w:val="upperLetter"/>
      <w:pStyle w:val="Nadpis1"/>
      <w:lvlText w:val="%1."/>
      <w:lvlJc w:val="left"/>
      <w:pPr>
        <w:tabs>
          <w:tab w:val="num" w:pos="720"/>
        </w:tabs>
        <w:ind w:left="720" w:hanging="360"/>
      </w:pPr>
      <w:rPr>
        <w:rFonts w:hint="default"/>
      </w:rPr>
    </w:lvl>
    <w:lvl w:ilvl="1" w:tplc="8F24BD06">
      <w:start w:val="1"/>
      <w:numFmt w:val="decimal"/>
      <w:lvlText w:val="%2)"/>
      <w:lvlJc w:val="left"/>
      <w:pPr>
        <w:tabs>
          <w:tab w:val="num" w:pos="1440"/>
        </w:tabs>
        <w:ind w:left="1440" w:hanging="360"/>
      </w:pPr>
      <w:rPr>
        <w:rFonts w:hint="default"/>
      </w:rPr>
    </w:lvl>
    <w:lvl w:ilvl="2" w:tplc="D93699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5E6664"/>
    <w:multiLevelType w:val="hybridMultilevel"/>
    <w:tmpl w:val="972E5D0A"/>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46613E11"/>
    <w:multiLevelType w:val="multilevel"/>
    <w:tmpl w:val="6FD81BF2"/>
    <w:lvl w:ilvl="0">
      <w:start w:val="2"/>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9">
    <w:nsid w:val="46BB3E42"/>
    <w:multiLevelType w:val="hybridMultilevel"/>
    <w:tmpl w:val="309C3C78"/>
    <w:lvl w:ilvl="0" w:tplc="5AB073C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1F2159"/>
    <w:multiLevelType w:val="multilevel"/>
    <w:tmpl w:val="2F589E66"/>
    <w:lvl w:ilvl="0">
      <w:start w:val="1"/>
      <w:numFmt w:val="decimal"/>
      <w:pStyle w:val="lenn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BBA6DE2"/>
    <w:multiLevelType w:val="hybridMultilevel"/>
    <w:tmpl w:val="BB8A3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E902844"/>
    <w:multiLevelType w:val="hybridMultilevel"/>
    <w:tmpl w:val="C4DCD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07F6FA3"/>
    <w:multiLevelType w:val="hybridMultilevel"/>
    <w:tmpl w:val="53240FA6"/>
    <w:lvl w:ilvl="0" w:tplc="5490A9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16F59D4"/>
    <w:multiLevelType w:val="hybridMultilevel"/>
    <w:tmpl w:val="E772ABB6"/>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53AE13A7"/>
    <w:multiLevelType w:val="hybridMultilevel"/>
    <w:tmpl w:val="7EC02BD4"/>
    <w:lvl w:ilvl="0" w:tplc="E1CE5622">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55C7BBC"/>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37">
    <w:nsid w:val="56BF2913"/>
    <w:multiLevelType w:val="hybridMultilevel"/>
    <w:tmpl w:val="B51A4BC2"/>
    <w:lvl w:ilvl="0" w:tplc="45E60D26">
      <w:start w:val="1"/>
      <w:numFmt w:val="decimal"/>
      <w:pStyle w:val="KZ-nadpis"/>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594411"/>
    <w:multiLevelType w:val="hybridMultilevel"/>
    <w:tmpl w:val="8D9C0494"/>
    <w:lvl w:ilvl="0" w:tplc="67AED8E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94D1805"/>
    <w:multiLevelType w:val="hybridMultilevel"/>
    <w:tmpl w:val="5290EF6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ABC1A5E"/>
    <w:multiLevelType w:val="hybridMultilevel"/>
    <w:tmpl w:val="682CE73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C57399E"/>
    <w:multiLevelType w:val="hybridMultilevel"/>
    <w:tmpl w:val="FA926B96"/>
    <w:lvl w:ilvl="0" w:tplc="E01C13B6">
      <w:start w:val="1"/>
      <w:numFmt w:val="lowerLetter"/>
      <w:lvlText w:val="%1)"/>
      <w:lvlJc w:val="left"/>
      <w:pPr>
        <w:tabs>
          <w:tab w:val="num" w:pos="1104"/>
        </w:tabs>
        <w:ind w:left="1104" w:hanging="684"/>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D0423B5"/>
    <w:multiLevelType w:val="hybridMultilevel"/>
    <w:tmpl w:val="FC04C18C"/>
    <w:lvl w:ilvl="0" w:tplc="E1CE562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6293727C"/>
    <w:multiLevelType w:val="hybridMultilevel"/>
    <w:tmpl w:val="BE7E584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63F626B3"/>
    <w:multiLevelType w:val="hybridMultilevel"/>
    <w:tmpl w:val="E1343F18"/>
    <w:lvl w:ilvl="0" w:tplc="5490A94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661E5469"/>
    <w:multiLevelType w:val="hybridMultilevel"/>
    <w:tmpl w:val="2C8C52F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nsid w:val="691B774F"/>
    <w:multiLevelType w:val="hybridMultilevel"/>
    <w:tmpl w:val="64963762"/>
    <w:lvl w:ilvl="0" w:tplc="04050017">
      <w:start w:val="1"/>
      <w:numFmt w:val="bullet"/>
      <w:pStyle w:val="Fous"/>
      <w:lvlText w:val=""/>
      <w:lvlJc w:val="left"/>
      <w:pPr>
        <w:tabs>
          <w:tab w:val="num" w:pos="722"/>
        </w:tabs>
        <w:ind w:left="722" w:hanging="382"/>
      </w:pPr>
      <w:rPr>
        <w:rFonts w:ascii="Symbol" w:hAnsi="Symbol" w:hint="default"/>
      </w:rPr>
    </w:lvl>
    <w:lvl w:ilvl="1" w:tplc="04050019" w:tentative="1">
      <w:start w:val="1"/>
      <w:numFmt w:val="bullet"/>
      <w:lvlText w:val="o"/>
      <w:lvlJc w:val="left"/>
      <w:pPr>
        <w:tabs>
          <w:tab w:val="num" w:pos="1442"/>
        </w:tabs>
        <w:ind w:left="1442" w:hanging="360"/>
      </w:pPr>
      <w:rPr>
        <w:rFonts w:ascii="Courier New" w:hAnsi="Courier New" w:hint="default"/>
      </w:rPr>
    </w:lvl>
    <w:lvl w:ilvl="2" w:tplc="0405001B" w:tentative="1">
      <w:start w:val="1"/>
      <w:numFmt w:val="bullet"/>
      <w:lvlText w:val=""/>
      <w:lvlJc w:val="left"/>
      <w:pPr>
        <w:tabs>
          <w:tab w:val="num" w:pos="2162"/>
        </w:tabs>
        <w:ind w:left="2162" w:hanging="360"/>
      </w:pPr>
      <w:rPr>
        <w:rFonts w:ascii="Wingdings" w:hAnsi="Wingdings" w:hint="default"/>
      </w:rPr>
    </w:lvl>
    <w:lvl w:ilvl="3" w:tplc="0405000F" w:tentative="1">
      <w:start w:val="1"/>
      <w:numFmt w:val="bullet"/>
      <w:lvlText w:val=""/>
      <w:lvlJc w:val="left"/>
      <w:pPr>
        <w:tabs>
          <w:tab w:val="num" w:pos="2882"/>
        </w:tabs>
        <w:ind w:left="2882" w:hanging="360"/>
      </w:pPr>
      <w:rPr>
        <w:rFonts w:ascii="Symbol" w:hAnsi="Symbol" w:hint="default"/>
      </w:rPr>
    </w:lvl>
    <w:lvl w:ilvl="4" w:tplc="04050019" w:tentative="1">
      <w:start w:val="1"/>
      <w:numFmt w:val="bullet"/>
      <w:lvlText w:val="o"/>
      <w:lvlJc w:val="left"/>
      <w:pPr>
        <w:tabs>
          <w:tab w:val="num" w:pos="3602"/>
        </w:tabs>
        <w:ind w:left="3602" w:hanging="360"/>
      </w:pPr>
      <w:rPr>
        <w:rFonts w:ascii="Courier New" w:hAnsi="Courier New" w:hint="default"/>
      </w:rPr>
    </w:lvl>
    <w:lvl w:ilvl="5" w:tplc="0405001B" w:tentative="1">
      <w:start w:val="1"/>
      <w:numFmt w:val="bullet"/>
      <w:lvlText w:val=""/>
      <w:lvlJc w:val="left"/>
      <w:pPr>
        <w:tabs>
          <w:tab w:val="num" w:pos="4322"/>
        </w:tabs>
        <w:ind w:left="4322" w:hanging="360"/>
      </w:pPr>
      <w:rPr>
        <w:rFonts w:ascii="Wingdings" w:hAnsi="Wingdings" w:hint="default"/>
      </w:rPr>
    </w:lvl>
    <w:lvl w:ilvl="6" w:tplc="0405000F" w:tentative="1">
      <w:start w:val="1"/>
      <w:numFmt w:val="bullet"/>
      <w:lvlText w:val=""/>
      <w:lvlJc w:val="left"/>
      <w:pPr>
        <w:tabs>
          <w:tab w:val="num" w:pos="5042"/>
        </w:tabs>
        <w:ind w:left="5042" w:hanging="360"/>
      </w:pPr>
      <w:rPr>
        <w:rFonts w:ascii="Symbol" w:hAnsi="Symbol" w:hint="default"/>
      </w:rPr>
    </w:lvl>
    <w:lvl w:ilvl="7" w:tplc="04050019" w:tentative="1">
      <w:start w:val="1"/>
      <w:numFmt w:val="bullet"/>
      <w:lvlText w:val="o"/>
      <w:lvlJc w:val="left"/>
      <w:pPr>
        <w:tabs>
          <w:tab w:val="num" w:pos="5762"/>
        </w:tabs>
        <w:ind w:left="5762" w:hanging="360"/>
      </w:pPr>
      <w:rPr>
        <w:rFonts w:ascii="Courier New" w:hAnsi="Courier New" w:hint="default"/>
      </w:rPr>
    </w:lvl>
    <w:lvl w:ilvl="8" w:tplc="0405001B" w:tentative="1">
      <w:start w:val="1"/>
      <w:numFmt w:val="bullet"/>
      <w:lvlText w:val=""/>
      <w:lvlJc w:val="left"/>
      <w:pPr>
        <w:tabs>
          <w:tab w:val="num" w:pos="6482"/>
        </w:tabs>
        <w:ind w:left="6482" w:hanging="360"/>
      </w:pPr>
      <w:rPr>
        <w:rFonts w:ascii="Wingdings" w:hAnsi="Wingdings" w:hint="default"/>
      </w:rPr>
    </w:lvl>
  </w:abstractNum>
  <w:abstractNum w:abstractNumId="47">
    <w:nsid w:val="6D2A22E2"/>
    <w:multiLevelType w:val="hybridMultilevel"/>
    <w:tmpl w:val="EE46A4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740A02FC"/>
    <w:multiLevelType w:val="hybridMultilevel"/>
    <w:tmpl w:val="ADF8B232"/>
    <w:lvl w:ilvl="0" w:tplc="685E6B7C">
      <w:start w:val="1"/>
      <w:numFmt w:val="upperRoman"/>
      <w:pStyle w:val="Nadpis5"/>
      <w:lvlText w:val="%1."/>
      <w:lvlJc w:val="right"/>
      <w:pPr>
        <w:tabs>
          <w:tab w:val="num" w:pos="540"/>
        </w:tabs>
        <w:ind w:left="540" w:hanging="180"/>
      </w:p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nsid w:val="7457789B"/>
    <w:multiLevelType w:val="multilevel"/>
    <w:tmpl w:val="D76843BC"/>
    <w:lvl w:ilvl="0">
      <w:start w:val="1"/>
      <w:numFmt w:val="decimal"/>
      <w:lvlText w:val="%1."/>
      <w:lvlJc w:val="left"/>
      <w:pPr>
        <w:ind w:left="502" w:hanging="360"/>
      </w:pPr>
      <w:rPr>
        <w:rFonts w:hint="default"/>
      </w:rPr>
    </w:lvl>
    <w:lvl w:ilvl="1">
      <w:start w:val="4"/>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50">
    <w:nsid w:val="7A2B25BD"/>
    <w:multiLevelType w:val="hybridMultilevel"/>
    <w:tmpl w:val="8ACE6AAC"/>
    <w:lvl w:ilvl="0" w:tplc="AE8C9F9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37"/>
  </w:num>
  <w:num w:numId="4">
    <w:abstractNumId w:val="10"/>
  </w:num>
  <w:num w:numId="5">
    <w:abstractNumId w:val="22"/>
  </w:num>
  <w:num w:numId="6">
    <w:abstractNumId w:val="46"/>
  </w:num>
  <w:num w:numId="7">
    <w:abstractNumId w:val="30"/>
  </w:num>
  <w:num w:numId="8">
    <w:abstractNumId w:val="49"/>
  </w:num>
  <w:num w:numId="9">
    <w:abstractNumId w:val="19"/>
  </w:num>
  <w:num w:numId="10">
    <w:abstractNumId w:val="39"/>
  </w:num>
  <w:num w:numId="11">
    <w:abstractNumId w:val="25"/>
  </w:num>
  <w:num w:numId="12">
    <w:abstractNumId w:val="40"/>
  </w:num>
  <w:num w:numId="13">
    <w:abstractNumId w:val="38"/>
  </w:num>
  <w:num w:numId="14">
    <w:abstractNumId w:val="35"/>
  </w:num>
  <w:num w:numId="15">
    <w:abstractNumId w:val="36"/>
  </w:num>
  <w:num w:numId="16">
    <w:abstractNumId w:val="4"/>
  </w:num>
  <w:num w:numId="17">
    <w:abstractNumId w:val="28"/>
  </w:num>
  <w:num w:numId="18">
    <w:abstractNumId w:val="23"/>
  </w:num>
  <w:num w:numId="19">
    <w:abstractNumId w:val="20"/>
  </w:num>
  <w:num w:numId="20">
    <w:abstractNumId w:val="14"/>
  </w:num>
  <w:num w:numId="21">
    <w:abstractNumId w:val="5"/>
  </w:num>
  <w:num w:numId="22">
    <w:abstractNumId w:val="41"/>
  </w:num>
  <w:num w:numId="23">
    <w:abstractNumId w:val="45"/>
  </w:num>
  <w:num w:numId="24">
    <w:abstractNumId w:val="32"/>
  </w:num>
  <w:num w:numId="25">
    <w:abstractNumId w:val="24"/>
  </w:num>
  <w:num w:numId="26">
    <w:abstractNumId w:val="43"/>
  </w:num>
  <w:num w:numId="27">
    <w:abstractNumId w:val="44"/>
  </w:num>
  <w:num w:numId="28">
    <w:abstractNumId w:val="17"/>
  </w:num>
  <w:num w:numId="29">
    <w:abstractNumId w:val="15"/>
  </w:num>
  <w:num w:numId="30">
    <w:abstractNumId w:val="12"/>
  </w:num>
  <w:num w:numId="31">
    <w:abstractNumId w:val="11"/>
  </w:num>
  <w:num w:numId="32">
    <w:abstractNumId w:val="27"/>
  </w:num>
  <w:num w:numId="33">
    <w:abstractNumId w:val="42"/>
  </w:num>
  <w:num w:numId="34">
    <w:abstractNumId w:val="13"/>
  </w:num>
  <w:num w:numId="35">
    <w:abstractNumId w:val="21"/>
  </w:num>
  <w:num w:numId="36">
    <w:abstractNumId w:val="29"/>
  </w:num>
  <w:num w:numId="37">
    <w:abstractNumId w:val="34"/>
  </w:num>
  <w:num w:numId="38">
    <w:abstractNumId w:val="50"/>
  </w:num>
  <w:num w:numId="39">
    <w:abstractNumId w:val="7"/>
  </w:num>
  <w:num w:numId="40">
    <w:abstractNumId w:val="33"/>
  </w:num>
  <w:num w:numId="41">
    <w:abstractNumId w:val="6"/>
  </w:num>
  <w:num w:numId="42">
    <w:abstractNumId w:val="9"/>
  </w:num>
  <w:num w:numId="43">
    <w:abstractNumId w:val="31"/>
  </w:num>
  <w:num w:numId="44">
    <w:abstractNumId w:val="8"/>
  </w:num>
  <w:num w:numId="45">
    <w:abstractNumId w:val="47"/>
  </w:num>
  <w:num w:numId="46">
    <w:abstractNumId w:val="16"/>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TrackFormatting/>
  <w:defaultTabStop w:val="720"/>
  <w:hyphenationZone w:val="425"/>
  <w:doNotShadeFormData/>
  <w:noPunctuationKerning/>
  <w:characterSpacingControl w:val="doNotCompress"/>
  <w:hdrShapeDefaults>
    <o:shapedefaults v:ext="edit" spidmax="32769">
      <o:colormru v:ext="edit" colors="#00459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14"/>
    <w:rsid w:val="000007E5"/>
    <w:rsid w:val="00000D5B"/>
    <w:rsid w:val="0000206C"/>
    <w:rsid w:val="00002231"/>
    <w:rsid w:val="00002803"/>
    <w:rsid w:val="00002D0F"/>
    <w:rsid w:val="00003298"/>
    <w:rsid w:val="000032DA"/>
    <w:rsid w:val="00003742"/>
    <w:rsid w:val="0000479E"/>
    <w:rsid w:val="00005CA3"/>
    <w:rsid w:val="00010565"/>
    <w:rsid w:val="000110CA"/>
    <w:rsid w:val="000121A1"/>
    <w:rsid w:val="00012362"/>
    <w:rsid w:val="000125B2"/>
    <w:rsid w:val="0001331E"/>
    <w:rsid w:val="00013827"/>
    <w:rsid w:val="00013AEC"/>
    <w:rsid w:val="000143D9"/>
    <w:rsid w:val="00015A66"/>
    <w:rsid w:val="00015FA2"/>
    <w:rsid w:val="000170D5"/>
    <w:rsid w:val="000179F4"/>
    <w:rsid w:val="00020402"/>
    <w:rsid w:val="00020B08"/>
    <w:rsid w:val="00021A9A"/>
    <w:rsid w:val="000222E9"/>
    <w:rsid w:val="00025D2C"/>
    <w:rsid w:val="0002606C"/>
    <w:rsid w:val="00026DBE"/>
    <w:rsid w:val="00027366"/>
    <w:rsid w:val="00027FB6"/>
    <w:rsid w:val="00030A55"/>
    <w:rsid w:val="000313A4"/>
    <w:rsid w:val="00031D54"/>
    <w:rsid w:val="000321C4"/>
    <w:rsid w:val="00034349"/>
    <w:rsid w:val="00037A8C"/>
    <w:rsid w:val="00037D9D"/>
    <w:rsid w:val="00040840"/>
    <w:rsid w:val="0004247B"/>
    <w:rsid w:val="000433B4"/>
    <w:rsid w:val="00043D74"/>
    <w:rsid w:val="00044756"/>
    <w:rsid w:val="00046480"/>
    <w:rsid w:val="00046B1A"/>
    <w:rsid w:val="00046C51"/>
    <w:rsid w:val="00047816"/>
    <w:rsid w:val="00047FCF"/>
    <w:rsid w:val="00050600"/>
    <w:rsid w:val="000511C4"/>
    <w:rsid w:val="00051A94"/>
    <w:rsid w:val="00051E71"/>
    <w:rsid w:val="000520BB"/>
    <w:rsid w:val="0005210A"/>
    <w:rsid w:val="0005313C"/>
    <w:rsid w:val="00053186"/>
    <w:rsid w:val="000553D0"/>
    <w:rsid w:val="000559B9"/>
    <w:rsid w:val="00055C4C"/>
    <w:rsid w:val="00056A60"/>
    <w:rsid w:val="0006030D"/>
    <w:rsid w:val="000608AB"/>
    <w:rsid w:val="00060ADA"/>
    <w:rsid w:val="00061078"/>
    <w:rsid w:val="000623CC"/>
    <w:rsid w:val="00062721"/>
    <w:rsid w:val="0006410C"/>
    <w:rsid w:val="000653A0"/>
    <w:rsid w:val="00067C50"/>
    <w:rsid w:val="00067CD6"/>
    <w:rsid w:val="00070174"/>
    <w:rsid w:val="00071290"/>
    <w:rsid w:val="00072966"/>
    <w:rsid w:val="0007325B"/>
    <w:rsid w:val="000744DA"/>
    <w:rsid w:val="00075B50"/>
    <w:rsid w:val="00076A8F"/>
    <w:rsid w:val="00080061"/>
    <w:rsid w:val="000815BB"/>
    <w:rsid w:val="000816BE"/>
    <w:rsid w:val="000824FB"/>
    <w:rsid w:val="00082E84"/>
    <w:rsid w:val="0008514A"/>
    <w:rsid w:val="0008591C"/>
    <w:rsid w:val="00085B71"/>
    <w:rsid w:val="00086718"/>
    <w:rsid w:val="0009084B"/>
    <w:rsid w:val="00090871"/>
    <w:rsid w:val="00091B6E"/>
    <w:rsid w:val="00092B35"/>
    <w:rsid w:val="00092B3A"/>
    <w:rsid w:val="00092D06"/>
    <w:rsid w:val="000931CC"/>
    <w:rsid w:val="000935FD"/>
    <w:rsid w:val="00093BD6"/>
    <w:rsid w:val="000943CA"/>
    <w:rsid w:val="00094565"/>
    <w:rsid w:val="00094C65"/>
    <w:rsid w:val="000957D9"/>
    <w:rsid w:val="00096467"/>
    <w:rsid w:val="000966F3"/>
    <w:rsid w:val="000967FA"/>
    <w:rsid w:val="00096989"/>
    <w:rsid w:val="00096AD8"/>
    <w:rsid w:val="00096F68"/>
    <w:rsid w:val="000971E7"/>
    <w:rsid w:val="000974F5"/>
    <w:rsid w:val="00097EF7"/>
    <w:rsid w:val="000A030D"/>
    <w:rsid w:val="000A2E34"/>
    <w:rsid w:val="000A3ABC"/>
    <w:rsid w:val="000A4BAA"/>
    <w:rsid w:val="000A6120"/>
    <w:rsid w:val="000A668A"/>
    <w:rsid w:val="000A6FCA"/>
    <w:rsid w:val="000A74A1"/>
    <w:rsid w:val="000B00B0"/>
    <w:rsid w:val="000B0307"/>
    <w:rsid w:val="000B0490"/>
    <w:rsid w:val="000B1BD9"/>
    <w:rsid w:val="000B3A62"/>
    <w:rsid w:val="000B3E51"/>
    <w:rsid w:val="000B4171"/>
    <w:rsid w:val="000B5129"/>
    <w:rsid w:val="000B5390"/>
    <w:rsid w:val="000B5E82"/>
    <w:rsid w:val="000C0120"/>
    <w:rsid w:val="000C01E4"/>
    <w:rsid w:val="000C0410"/>
    <w:rsid w:val="000C0AEB"/>
    <w:rsid w:val="000C0BA8"/>
    <w:rsid w:val="000C16CA"/>
    <w:rsid w:val="000C1E61"/>
    <w:rsid w:val="000C21CF"/>
    <w:rsid w:val="000C2F60"/>
    <w:rsid w:val="000C31DE"/>
    <w:rsid w:val="000C3A0C"/>
    <w:rsid w:val="000C3FFE"/>
    <w:rsid w:val="000C48A5"/>
    <w:rsid w:val="000C4936"/>
    <w:rsid w:val="000C5679"/>
    <w:rsid w:val="000C5BB1"/>
    <w:rsid w:val="000C6348"/>
    <w:rsid w:val="000C6832"/>
    <w:rsid w:val="000C7FB5"/>
    <w:rsid w:val="000D0181"/>
    <w:rsid w:val="000D1B14"/>
    <w:rsid w:val="000D1FAD"/>
    <w:rsid w:val="000D240F"/>
    <w:rsid w:val="000D44B7"/>
    <w:rsid w:val="000D5024"/>
    <w:rsid w:val="000D57B1"/>
    <w:rsid w:val="000D5D48"/>
    <w:rsid w:val="000D66A2"/>
    <w:rsid w:val="000D7981"/>
    <w:rsid w:val="000E0ABD"/>
    <w:rsid w:val="000E0FF2"/>
    <w:rsid w:val="000E31F4"/>
    <w:rsid w:val="000E391B"/>
    <w:rsid w:val="000E3FB7"/>
    <w:rsid w:val="000E4447"/>
    <w:rsid w:val="000E4B7B"/>
    <w:rsid w:val="000E4F4E"/>
    <w:rsid w:val="000E5543"/>
    <w:rsid w:val="000E5D91"/>
    <w:rsid w:val="000E6241"/>
    <w:rsid w:val="000E6484"/>
    <w:rsid w:val="000E7119"/>
    <w:rsid w:val="000F00DA"/>
    <w:rsid w:val="000F0135"/>
    <w:rsid w:val="000F0454"/>
    <w:rsid w:val="000F0589"/>
    <w:rsid w:val="000F05FB"/>
    <w:rsid w:val="000F2CBE"/>
    <w:rsid w:val="000F3478"/>
    <w:rsid w:val="000F4335"/>
    <w:rsid w:val="000F445A"/>
    <w:rsid w:val="000F49EE"/>
    <w:rsid w:val="000F4A48"/>
    <w:rsid w:val="000F5389"/>
    <w:rsid w:val="001012B4"/>
    <w:rsid w:val="0010188B"/>
    <w:rsid w:val="00102EB7"/>
    <w:rsid w:val="00103819"/>
    <w:rsid w:val="0010387C"/>
    <w:rsid w:val="00103A87"/>
    <w:rsid w:val="001040C4"/>
    <w:rsid w:val="001050D5"/>
    <w:rsid w:val="00106F84"/>
    <w:rsid w:val="001070CE"/>
    <w:rsid w:val="00107364"/>
    <w:rsid w:val="00111898"/>
    <w:rsid w:val="00112195"/>
    <w:rsid w:val="00112A3F"/>
    <w:rsid w:val="0011357C"/>
    <w:rsid w:val="00113872"/>
    <w:rsid w:val="00113FAE"/>
    <w:rsid w:val="001143A3"/>
    <w:rsid w:val="0011461E"/>
    <w:rsid w:val="00114801"/>
    <w:rsid w:val="00115C2B"/>
    <w:rsid w:val="00116CAE"/>
    <w:rsid w:val="00116DA4"/>
    <w:rsid w:val="00117305"/>
    <w:rsid w:val="00117776"/>
    <w:rsid w:val="00117BF5"/>
    <w:rsid w:val="00120A5E"/>
    <w:rsid w:val="00121517"/>
    <w:rsid w:val="00121869"/>
    <w:rsid w:val="001218A7"/>
    <w:rsid w:val="00122630"/>
    <w:rsid w:val="00122EDC"/>
    <w:rsid w:val="0012304F"/>
    <w:rsid w:val="001233B8"/>
    <w:rsid w:val="00124F24"/>
    <w:rsid w:val="00124F4D"/>
    <w:rsid w:val="00125563"/>
    <w:rsid w:val="00126DED"/>
    <w:rsid w:val="00126FAC"/>
    <w:rsid w:val="00127250"/>
    <w:rsid w:val="00127DF4"/>
    <w:rsid w:val="00131367"/>
    <w:rsid w:val="001313CA"/>
    <w:rsid w:val="0013170D"/>
    <w:rsid w:val="001319CE"/>
    <w:rsid w:val="00131CA3"/>
    <w:rsid w:val="00132672"/>
    <w:rsid w:val="001328D8"/>
    <w:rsid w:val="00133F7E"/>
    <w:rsid w:val="0013459C"/>
    <w:rsid w:val="00134AFF"/>
    <w:rsid w:val="00135034"/>
    <w:rsid w:val="0013548C"/>
    <w:rsid w:val="00135976"/>
    <w:rsid w:val="00135E47"/>
    <w:rsid w:val="00136711"/>
    <w:rsid w:val="00136A34"/>
    <w:rsid w:val="00142106"/>
    <w:rsid w:val="00142AFA"/>
    <w:rsid w:val="0014387A"/>
    <w:rsid w:val="00143CA7"/>
    <w:rsid w:val="00144FAA"/>
    <w:rsid w:val="001463EE"/>
    <w:rsid w:val="001473C9"/>
    <w:rsid w:val="00147818"/>
    <w:rsid w:val="001479A2"/>
    <w:rsid w:val="001501D4"/>
    <w:rsid w:val="0015047E"/>
    <w:rsid w:val="001515A7"/>
    <w:rsid w:val="001523CD"/>
    <w:rsid w:val="001525BA"/>
    <w:rsid w:val="0015276B"/>
    <w:rsid w:val="00152CE4"/>
    <w:rsid w:val="00155ED0"/>
    <w:rsid w:val="0015654B"/>
    <w:rsid w:val="00156677"/>
    <w:rsid w:val="00157385"/>
    <w:rsid w:val="00157554"/>
    <w:rsid w:val="00157EC7"/>
    <w:rsid w:val="00161D19"/>
    <w:rsid w:val="00162537"/>
    <w:rsid w:val="001628B2"/>
    <w:rsid w:val="0016476F"/>
    <w:rsid w:val="00164B77"/>
    <w:rsid w:val="0016524D"/>
    <w:rsid w:val="0016743C"/>
    <w:rsid w:val="00167A59"/>
    <w:rsid w:val="00170002"/>
    <w:rsid w:val="00171808"/>
    <w:rsid w:val="00172300"/>
    <w:rsid w:val="00172664"/>
    <w:rsid w:val="00173499"/>
    <w:rsid w:val="0017393F"/>
    <w:rsid w:val="00173A45"/>
    <w:rsid w:val="0017516B"/>
    <w:rsid w:val="00177818"/>
    <w:rsid w:val="001800C8"/>
    <w:rsid w:val="00180738"/>
    <w:rsid w:val="00180C31"/>
    <w:rsid w:val="00180FE1"/>
    <w:rsid w:val="00181F08"/>
    <w:rsid w:val="0018205A"/>
    <w:rsid w:val="00182A10"/>
    <w:rsid w:val="00182AA2"/>
    <w:rsid w:val="00183F42"/>
    <w:rsid w:val="0018434B"/>
    <w:rsid w:val="001844CA"/>
    <w:rsid w:val="001846C6"/>
    <w:rsid w:val="00185A46"/>
    <w:rsid w:val="00185C21"/>
    <w:rsid w:val="0018603C"/>
    <w:rsid w:val="00186E5A"/>
    <w:rsid w:val="00187F5B"/>
    <w:rsid w:val="0019010E"/>
    <w:rsid w:val="00190F2B"/>
    <w:rsid w:val="00190F92"/>
    <w:rsid w:val="0019255C"/>
    <w:rsid w:val="001928F8"/>
    <w:rsid w:val="00192C89"/>
    <w:rsid w:val="00193B1A"/>
    <w:rsid w:val="0019449A"/>
    <w:rsid w:val="00194F5F"/>
    <w:rsid w:val="00195237"/>
    <w:rsid w:val="00196A8A"/>
    <w:rsid w:val="00197604"/>
    <w:rsid w:val="00197B15"/>
    <w:rsid w:val="00197C4B"/>
    <w:rsid w:val="00197DB8"/>
    <w:rsid w:val="001A28EF"/>
    <w:rsid w:val="001A3F48"/>
    <w:rsid w:val="001A42D3"/>
    <w:rsid w:val="001A5C19"/>
    <w:rsid w:val="001A60AA"/>
    <w:rsid w:val="001A7162"/>
    <w:rsid w:val="001A7D88"/>
    <w:rsid w:val="001B0779"/>
    <w:rsid w:val="001B1AD9"/>
    <w:rsid w:val="001B298A"/>
    <w:rsid w:val="001B3A28"/>
    <w:rsid w:val="001B596B"/>
    <w:rsid w:val="001B602A"/>
    <w:rsid w:val="001B7BA0"/>
    <w:rsid w:val="001C2226"/>
    <w:rsid w:val="001C27DF"/>
    <w:rsid w:val="001C5B41"/>
    <w:rsid w:val="001C630E"/>
    <w:rsid w:val="001C6710"/>
    <w:rsid w:val="001C6D17"/>
    <w:rsid w:val="001C6F78"/>
    <w:rsid w:val="001C7E6D"/>
    <w:rsid w:val="001D076C"/>
    <w:rsid w:val="001D3501"/>
    <w:rsid w:val="001D3B45"/>
    <w:rsid w:val="001D3E37"/>
    <w:rsid w:val="001D62A8"/>
    <w:rsid w:val="001D6B75"/>
    <w:rsid w:val="001D6FAC"/>
    <w:rsid w:val="001E000C"/>
    <w:rsid w:val="001E059B"/>
    <w:rsid w:val="001E073B"/>
    <w:rsid w:val="001E0BF2"/>
    <w:rsid w:val="001E0DF8"/>
    <w:rsid w:val="001E127E"/>
    <w:rsid w:val="001E1BDE"/>
    <w:rsid w:val="001E284B"/>
    <w:rsid w:val="001E40D0"/>
    <w:rsid w:val="001E4547"/>
    <w:rsid w:val="001E491D"/>
    <w:rsid w:val="001E5A54"/>
    <w:rsid w:val="001E61EB"/>
    <w:rsid w:val="001E6DA0"/>
    <w:rsid w:val="001E7302"/>
    <w:rsid w:val="001E74F2"/>
    <w:rsid w:val="001E750E"/>
    <w:rsid w:val="001E7ACE"/>
    <w:rsid w:val="001E7DFA"/>
    <w:rsid w:val="001F02EC"/>
    <w:rsid w:val="001F07AB"/>
    <w:rsid w:val="001F18A9"/>
    <w:rsid w:val="001F1E9B"/>
    <w:rsid w:val="001F1FDA"/>
    <w:rsid w:val="001F55AB"/>
    <w:rsid w:val="001F611F"/>
    <w:rsid w:val="001F6444"/>
    <w:rsid w:val="001F677B"/>
    <w:rsid w:val="002001A8"/>
    <w:rsid w:val="002006A7"/>
    <w:rsid w:val="00200C4C"/>
    <w:rsid w:val="002013AB"/>
    <w:rsid w:val="00201B72"/>
    <w:rsid w:val="00203A07"/>
    <w:rsid w:val="00203B48"/>
    <w:rsid w:val="00205A42"/>
    <w:rsid w:val="00206D92"/>
    <w:rsid w:val="00206EAF"/>
    <w:rsid w:val="00206F9B"/>
    <w:rsid w:val="0020739A"/>
    <w:rsid w:val="0020767C"/>
    <w:rsid w:val="00207724"/>
    <w:rsid w:val="002102FB"/>
    <w:rsid w:val="00210600"/>
    <w:rsid w:val="00211078"/>
    <w:rsid w:val="00211790"/>
    <w:rsid w:val="0021195C"/>
    <w:rsid w:val="00211976"/>
    <w:rsid w:val="00212282"/>
    <w:rsid w:val="00212410"/>
    <w:rsid w:val="0021293E"/>
    <w:rsid w:val="002138F3"/>
    <w:rsid w:val="00213CFB"/>
    <w:rsid w:val="00214027"/>
    <w:rsid w:val="00216694"/>
    <w:rsid w:val="00217328"/>
    <w:rsid w:val="00217DA5"/>
    <w:rsid w:val="00220799"/>
    <w:rsid w:val="00220C67"/>
    <w:rsid w:val="00220CD4"/>
    <w:rsid w:val="002210EF"/>
    <w:rsid w:val="0022228F"/>
    <w:rsid w:val="002233A4"/>
    <w:rsid w:val="002257AD"/>
    <w:rsid w:val="00225B89"/>
    <w:rsid w:val="00225DCF"/>
    <w:rsid w:val="002260EA"/>
    <w:rsid w:val="0022657E"/>
    <w:rsid w:val="00226728"/>
    <w:rsid w:val="00227104"/>
    <w:rsid w:val="0022713F"/>
    <w:rsid w:val="002307F0"/>
    <w:rsid w:val="0023196C"/>
    <w:rsid w:val="002320A9"/>
    <w:rsid w:val="00232174"/>
    <w:rsid w:val="00232389"/>
    <w:rsid w:val="0023298C"/>
    <w:rsid w:val="00233476"/>
    <w:rsid w:val="00235382"/>
    <w:rsid w:val="00236A6E"/>
    <w:rsid w:val="00241482"/>
    <w:rsid w:val="00242169"/>
    <w:rsid w:val="0024238D"/>
    <w:rsid w:val="002427EB"/>
    <w:rsid w:val="0024283B"/>
    <w:rsid w:val="00242FD0"/>
    <w:rsid w:val="002449FA"/>
    <w:rsid w:val="002453FB"/>
    <w:rsid w:val="00245E3B"/>
    <w:rsid w:val="00246CD7"/>
    <w:rsid w:val="00247AB4"/>
    <w:rsid w:val="0025084B"/>
    <w:rsid w:val="00251524"/>
    <w:rsid w:val="00251755"/>
    <w:rsid w:val="00251994"/>
    <w:rsid w:val="00251A9F"/>
    <w:rsid w:val="0025200F"/>
    <w:rsid w:val="0025369F"/>
    <w:rsid w:val="00253B88"/>
    <w:rsid w:val="00253FA9"/>
    <w:rsid w:val="0025640B"/>
    <w:rsid w:val="002566DC"/>
    <w:rsid w:val="002569B5"/>
    <w:rsid w:val="00256CAE"/>
    <w:rsid w:val="00256D96"/>
    <w:rsid w:val="00257002"/>
    <w:rsid w:val="00257908"/>
    <w:rsid w:val="0026084E"/>
    <w:rsid w:val="00261AE5"/>
    <w:rsid w:val="00262C85"/>
    <w:rsid w:val="00264159"/>
    <w:rsid w:val="00264271"/>
    <w:rsid w:val="00264534"/>
    <w:rsid w:val="00265B73"/>
    <w:rsid w:val="00265E80"/>
    <w:rsid w:val="002676FC"/>
    <w:rsid w:val="002679C9"/>
    <w:rsid w:val="00270DCD"/>
    <w:rsid w:val="00270EA1"/>
    <w:rsid w:val="0027141F"/>
    <w:rsid w:val="00273027"/>
    <w:rsid w:val="0027372C"/>
    <w:rsid w:val="00274567"/>
    <w:rsid w:val="00274AEF"/>
    <w:rsid w:val="00275145"/>
    <w:rsid w:val="0027526B"/>
    <w:rsid w:val="0027597A"/>
    <w:rsid w:val="0027733A"/>
    <w:rsid w:val="00280671"/>
    <w:rsid w:val="00280D6F"/>
    <w:rsid w:val="002814B8"/>
    <w:rsid w:val="002820FC"/>
    <w:rsid w:val="002823EF"/>
    <w:rsid w:val="00282721"/>
    <w:rsid w:val="00282BEB"/>
    <w:rsid w:val="00282CB8"/>
    <w:rsid w:val="00283C5E"/>
    <w:rsid w:val="00283CAF"/>
    <w:rsid w:val="002859BA"/>
    <w:rsid w:val="00287E33"/>
    <w:rsid w:val="00290839"/>
    <w:rsid w:val="002917C6"/>
    <w:rsid w:val="0029227D"/>
    <w:rsid w:val="00293425"/>
    <w:rsid w:val="00293765"/>
    <w:rsid w:val="00293AE4"/>
    <w:rsid w:val="00294410"/>
    <w:rsid w:val="00294DAE"/>
    <w:rsid w:val="00295F3C"/>
    <w:rsid w:val="002968BE"/>
    <w:rsid w:val="00296BF4"/>
    <w:rsid w:val="002971BA"/>
    <w:rsid w:val="002A1264"/>
    <w:rsid w:val="002A176A"/>
    <w:rsid w:val="002A2543"/>
    <w:rsid w:val="002A3869"/>
    <w:rsid w:val="002A5AE1"/>
    <w:rsid w:val="002A73C6"/>
    <w:rsid w:val="002A76BA"/>
    <w:rsid w:val="002A7824"/>
    <w:rsid w:val="002B0719"/>
    <w:rsid w:val="002B0987"/>
    <w:rsid w:val="002B10CC"/>
    <w:rsid w:val="002B291B"/>
    <w:rsid w:val="002B3C99"/>
    <w:rsid w:val="002B3FF6"/>
    <w:rsid w:val="002B428D"/>
    <w:rsid w:val="002B43E7"/>
    <w:rsid w:val="002B4409"/>
    <w:rsid w:val="002B7B2E"/>
    <w:rsid w:val="002C007D"/>
    <w:rsid w:val="002C02D1"/>
    <w:rsid w:val="002C0F75"/>
    <w:rsid w:val="002C113C"/>
    <w:rsid w:val="002C1200"/>
    <w:rsid w:val="002C1A6C"/>
    <w:rsid w:val="002C2A12"/>
    <w:rsid w:val="002C2A74"/>
    <w:rsid w:val="002C4130"/>
    <w:rsid w:val="002C42FB"/>
    <w:rsid w:val="002C4BA1"/>
    <w:rsid w:val="002C4E48"/>
    <w:rsid w:val="002C520E"/>
    <w:rsid w:val="002C54AF"/>
    <w:rsid w:val="002C59B5"/>
    <w:rsid w:val="002C5C4F"/>
    <w:rsid w:val="002C5ECF"/>
    <w:rsid w:val="002C62E7"/>
    <w:rsid w:val="002C6FD1"/>
    <w:rsid w:val="002C7468"/>
    <w:rsid w:val="002C795C"/>
    <w:rsid w:val="002C7EE0"/>
    <w:rsid w:val="002D0095"/>
    <w:rsid w:val="002D0C60"/>
    <w:rsid w:val="002D0CDF"/>
    <w:rsid w:val="002D0FD3"/>
    <w:rsid w:val="002D122C"/>
    <w:rsid w:val="002D1345"/>
    <w:rsid w:val="002D16E5"/>
    <w:rsid w:val="002D17F2"/>
    <w:rsid w:val="002D1C31"/>
    <w:rsid w:val="002D2B83"/>
    <w:rsid w:val="002D2E76"/>
    <w:rsid w:val="002D37E5"/>
    <w:rsid w:val="002D3B24"/>
    <w:rsid w:val="002D3D03"/>
    <w:rsid w:val="002D4866"/>
    <w:rsid w:val="002D4B71"/>
    <w:rsid w:val="002D52B4"/>
    <w:rsid w:val="002D57D3"/>
    <w:rsid w:val="002D5E92"/>
    <w:rsid w:val="002D6B57"/>
    <w:rsid w:val="002D6FC0"/>
    <w:rsid w:val="002D7002"/>
    <w:rsid w:val="002D7090"/>
    <w:rsid w:val="002D715A"/>
    <w:rsid w:val="002E053F"/>
    <w:rsid w:val="002E1C5E"/>
    <w:rsid w:val="002E2CCE"/>
    <w:rsid w:val="002E4414"/>
    <w:rsid w:val="002E469C"/>
    <w:rsid w:val="002E6566"/>
    <w:rsid w:val="002E6C92"/>
    <w:rsid w:val="002F026E"/>
    <w:rsid w:val="002F101E"/>
    <w:rsid w:val="002F1308"/>
    <w:rsid w:val="002F1CB8"/>
    <w:rsid w:val="002F219D"/>
    <w:rsid w:val="002F2B34"/>
    <w:rsid w:val="002F37FA"/>
    <w:rsid w:val="002F3BE2"/>
    <w:rsid w:val="002F49A5"/>
    <w:rsid w:val="002F5111"/>
    <w:rsid w:val="002F6FC6"/>
    <w:rsid w:val="002F7A33"/>
    <w:rsid w:val="002F7C89"/>
    <w:rsid w:val="00300971"/>
    <w:rsid w:val="00301440"/>
    <w:rsid w:val="00301B29"/>
    <w:rsid w:val="00301FFA"/>
    <w:rsid w:val="00302B4C"/>
    <w:rsid w:val="00302C54"/>
    <w:rsid w:val="0030319A"/>
    <w:rsid w:val="00303468"/>
    <w:rsid w:val="00303EFF"/>
    <w:rsid w:val="003046AA"/>
    <w:rsid w:val="00305E40"/>
    <w:rsid w:val="00306E77"/>
    <w:rsid w:val="00307409"/>
    <w:rsid w:val="00307A42"/>
    <w:rsid w:val="00307B42"/>
    <w:rsid w:val="00310125"/>
    <w:rsid w:val="00310768"/>
    <w:rsid w:val="003109A8"/>
    <w:rsid w:val="00311334"/>
    <w:rsid w:val="00311DB4"/>
    <w:rsid w:val="00313835"/>
    <w:rsid w:val="0031521B"/>
    <w:rsid w:val="003161D2"/>
    <w:rsid w:val="0031723E"/>
    <w:rsid w:val="003214BA"/>
    <w:rsid w:val="003216A1"/>
    <w:rsid w:val="00321C0C"/>
    <w:rsid w:val="00322084"/>
    <w:rsid w:val="00322459"/>
    <w:rsid w:val="00322542"/>
    <w:rsid w:val="00323985"/>
    <w:rsid w:val="00323CBC"/>
    <w:rsid w:val="00323FAF"/>
    <w:rsid w:val="003241AE"/>
    <w:rsid w:val="003251ED"/>
    <w:rsid w:val="003252CA"/>
    <w:rsid w:val="00330C14"/>
    <w:rsid w:val="0033133D"/>
    <w:rsid w:val="00332217"/>
    <w:rsid w:val="00332442"/>
    <w:rsid w:val="00333052"/>
    <w:rsid w:val="00333950"/>
    <w:rsid w:val="00333978"/>
    <w:rsid w:val="00333D43"/>
    <w:rsid w:val="00334720"/>
    <w:rsid w:val="003347E4"/>
    <w:rsid w:val="00334AEA"/>
    <w:rsid w:val="00334B40"/>
    <w:rsid w:val="003357A0"/>
    <w:rsid w:val="00335970"/>
    <w:rsid w:val="00336C70"/>
    <w:rsid w:val="00340C7D"/>
    <w:rsid w:val="0034131F"/>
    <w:rsid w:val="0034170D"/>
    <w:rsid w:val="00342E98"/>
    <w:rsid w:val="00343720"/>
    <w:rsid w:val="00344B3B"/>
    <w:rsid w:val="00344BE1"/>
    <w:rsid w:val="00344D42"/>
    <w:rsid w:val="003465AA"/>
    <w:rsid w:val="00350FB7"/>
    <w:rsid w:val="003514C5"/>
    <w:rsid w:val="00352453"/>
    <w:rsid w:val="00352735"/>
    <w:rsid w:val="00352C91"/>
    <w:rsid w:val="0035326B"/>
    <w:rsid w:val="0035355B"/>
    <w:rsid w:val="00353A4D"/>
    <w:rsid w:val="0035409A"/>
    <w:rsid w:val="003549FD"/>
    <w:rsid w:val="00354DFF"/>
    <w:rsid w:val="00354FCD"/>
    <w:rsid w:val="003553B8"/>
    <w:rsid w:val="00355906"/>
    <w:rsid w:val="00355EDD"/>
    <w:rsid w:val="003562C2"/>
    <w:rsid w:val="00357D89"/>
    <w:rsid w:val="00357EE1"/>
    <w:rsid w:val="003606CA"/>
    <w:rsid w:val="003626EE"/>
    <w:rsid w:val="00363116"/>
    <w:rsid w:val="00363616"/>
    <w:rsid w:val="00364D58"/>
    <w:rsid w:val="00366491"/>
    <w:rsid w:val="003671D1"/>
    <w:rsid w:val="00367377"/>
    <w:rsid w:val="00367F1D"/>
    <w:rsid w:val="00370A03"/>
    <w:rsid w:val="00370A93"/>
    <w:rsid w:val="00370D04"/>
    <w:rsid w:val="003729AB"/>
    <w:rsid w:val="00373830"/>
    <w:rsid w:val="00373A2D"/>
    <w:rsid w:val="00374133"/>
    <w:rsid w:val="00374A8D"/>
    <w:rsid w:val="00375710"/>
    <w:rsid w:val="003764EC"/>
    <w:rsid w:val="00376523"/>
    <w:rsid w:val="00377256"/>
    <w:rsid w:val="003779ED"/>
    <w:rsid w:val="00377CFF"/>
    <w:rsid w:val="00380619"/>
    <w:rsid w:val="00382C58"/>
    <w:rsid w:val="00383436"/>
    <w:rsid w:val="00383667"/>
    <w:rsid w:val="0038485C"/>
    <w:rsid w:val="0038498F"/>
    <w:rsid w:val="00385C32"/>
    <w:rsid w:val="00385EA6"/>
    <w:rsid w:val="003860F0"/>
    <w:rsid w:val="00386E75"/>
    <w:rsid w:val="00386F20"/>
    <w:rsid w:val="003875FA"/>
    <w:rsid w:val="003902A4"/>
    <w:rsid w:val="00391416"/>
    <w:rsid w:val="00392AC2"/>
    <w:rsid w:val="0039592C"/>
    <w:rsid w:val="003959EC"/>
    <w:rsid w:val="00396ADF"/>
    <w:rsid w:val="003974D2"/>
    <w:rsid w:val="003975FF"/>
    <w:rsid w:val="00397EE4"/>
    <w:rsid w:val="003A0779"/>
    <w:rsid w:val="003A0AF2"/>
    <w:rsid w:val="003A10F3"/>
    <w:rsid w:val="003A2252"/>
    <w:rsid w:val="003A234F"/>
    <w:rsid w:val="003A23D9"/>
    <w:rsid w:val="003A3476"/>
    <w:rsid w:val="003A4A92"/>
    <w:rsid w:val="003A4DCC"/>
    <w:rsid w:val="003A530A"/>
    <w:rsid w:val="003A583C"/>
    <w:rsid w:val="003A71C4"/>
    <w:rsid w:val="003A7CB3"/>
    <w:rsid w:val="003A7FBE"/>
    <w:rsid w:val="003B01D4"/>
    <w:rsid w:val="003B09D1"/>
    <w:rsid w:val="003B0BF8"/>
    <w:rsid w:val="003B1150"/>
    <w:rsid w:val="003B182C"/>
    <w:rsid w:val="003B26ED"/>
    <w:rsid w:val="003B2E5D"/>
    <w:rsid w:val="003B3DFA"/>
    <w:rsid w:val="003B42AD"/>
    <w:rsid w:val="003B43D9"/>
    <w:rsid w:val="003B4547"/>
    <w:rsid w:val="003B590F"/>
    <w:rsid w:val="003C037E"/>
    <w:rsid w:val="003C03EA"/>
    <w:rsid w:val="003C135F"/>
    <w:rsid w:val="003C2C77"/>
    <w:rsid w:val="003C3BCB"/>
    <w:rsid w:val="003C484F"/>
    <w:rsid w:val="003C5A43"/>
    <w:rsid w:val="003C5C4B"/>
    <w:rsid w:val="003C68B7"/>
    <w:rsid w:val="003D092B"/>
    <w:rsid w:val="003D1B34"/>
    <w:rsid w:val="003D24BA"/>
    <w:rsid w:val="003D25AE"/>
    <w:rsid w:val="003D268E"/>
    <w:rsid w:val="003D379D"/>
    <w:rsid w:val="003D519C"/>
    <w:rsid w:val="003E0456"/>
    <w:rsid w:val="003E15A1"/>
    <w:rsid w:val="003E1DAB"/>
    <w:rsid w:val="003E2197"/>
    <w:rsid w:val="003E48DC"/>
    <w:rsid w:val="003E4EB0"/>
    <w:rsid w:val="003E519B"/>
    <w:rsid w:val="003E55AE"/>
    <w:rsid w:val="003E5939"/>
    <w:rsid w:val="003E6F1E"/>
    <w:rsid w:val="003E7430"/>
    <w:rsid w:val="003E7505"/>
    <w:rsid w:val="003E77C2"/>
    <w:rsid w:val="003E7942"/>
    <w:rsid w:val="003E7E91"/>
    <w:rsid w:val="003E7FD8"/>
    <w:rsid w:val="003E7FF7"/>
    <w:rsid w:val="003F0F13"/>
    <w:rsid w:val="003F1749"/>
    <w:rsid w:val="003F1B3A"/>
    <w:rsid w:val="003F3DEE"/>
    <w:rsid w:val="003F4F28"/>
    <w:rsid w:val="003F59CE"/>
    <w:rsid w:val="003F5FEA"/>
    <w:rsid w:val="003F6E2D"/>
    <w:rsid w:val="003F7603"/>
    <w:rsid w:val="003F7BC1"/>
    <w:rsid w:val="004008EF"/>
    <w:rsid w:val="00401135"/>
    <w:rsid w:val="00401662"/>
    <w:rsid w:val="00401863"/>
    <w:rsid w:val="00402135"/>
    <w:rsid w:val="00402309"/>
    <w:rsid w:val="004029FE"/>
    <w:rsid w:val="00402A8B"/>
    <w:rsid w:val="004039B3"/>
    <w:rsid w:val="00404E8B"/>
    <w:rsid w:val="0040506D"/>
    <w:rsid w:val="004050F6"/>
    <w:rsid w:val="00405E75"/>
    <w:rsid w:val="00406005"/>
    <w:rsid w:val="00407514"/>
    <w:rsid w:val="004075F5"/>
    <w:rsid w:val="00407D75"/>
    <w:rsid w:val="004101B2"/>
    <w:rsid w:val="0041149E"/>
    <w:rsid w:val="00412048"/>
    <w:rsid w:val="004123AF"/>
    <w:rsid w:val="004130EA"/>
    <w:rsid w:val="004147A2"/>
    <w:rsid w:val="004148DE"/>
    <w:rsid w:val="00416877"/>
    <w:rsid w:val="00416BF6"/>
    <w:rsid w:val="00417D64"/>
    <w:rsid w:val="00420001"/>
    <w:rsid w:val="004200D2"/>
    <w:rsid w:val="00420525"/>
    <w:rsid w:val="004207B4"/>
    <w:rsid w:val="004210CE"/>
    <w:rsid w:val="00422264"/>
    <w:rsid w:val="00422E15"/>
    <w:rsid w:val="00424201"/>
    <w:rsid w:val="00424811"/>
    <w:rsid w:val="00424E95"/>
    <w:rsid w:val="004256D5"/>
    <w:rsid w:val="00425EB2"/>
    <w:rsid w:val="0042664F"/>
    <w:rsid w:val="00426955"/>
    <w:rsid w:val="00426EF4"/>
    <w:rsid w:val="004301BA"/>
    <w:rsid w:val="0043183E"/>
    <w:rsid w:val="00432ECA"/>
    <w:rsid w:val="0043343B"/>
    <w:rsid w:val="004335AA"/>
    <w:rsid w:val="0043375C"/>
    <w:rsid w:val="004357B4"/>
    <w:rsid w:val="004358CC"/>
    <w:rsid w:val="004363AF"/>
    <w:rsid w:val="00436AF9"/>
    <w:rsid w:val="00437A26"/>
    <w:rsid w:val="00442078"/>
    <w:rsid w:val="00442999"/>
    <w:rsid w:val="00442A94"/>
    <w:rsid w:val="00444068"/>
    <w:rsid w:val="0044460C"/>
    <w:rsid w:val="00445C9D"/>
    <w:rsid w:val="004464F0"/>
    <w:rsid w:val="00446F2D"/>
    <w:rsid w:val="00447995"/>
    <w:rsid w:val="00451E67"/>
    <w:rsid w:val="0045201A"/>
    <w:rsid w:val="00452226"/>
    <w:rsid w:val="004535CE"/>
    <w:rsid w:val="00455002"/>
    <w:rsid w:val="004552EB"/>
    <w:rsid w:val="00455C6A"/>
    <w:rsid w:val="00455CC7"/>
    <w:rsid w:val="00455FD5"/>
    <w:rsid w:val="004564C5"/>
    <w:rsid w:val="00457781"/>
    <w:rsid w:val="00457AD4"/>
    <w:rsid w:val="00457C7C"/>
    <w:rsid w:val="004606BF"/>
    <w:rsid w:val="00460832"/>
    <w:rsid w:val="004609F4"/>
    <w:rsid w:val="00460D55"/>
    <w:rsid w:val="0046121B"/>
    <w:rsid w:val="00461394"/>
    <w:rsid w:val="004614E6"/>
    <w:rsid w:val="0046150B"/>
    <w:rsid w:val="00461A1D"/>
    <w:rsid w:val="0046335E"/>
    <w:rsid w:val="004638EF"/>
    <w:rsid w:val="00463F34"/>
    <w:rsid w:val="00464024"/>
    <w:rsid w:val="004644E9"/>
    <w:rsid w:val="00465A06"/>
    <w:rsid w:val="00465E60"/>
    <w:rsid w:val="004673E2"/>
    <w:rsid w:val="00470704"/>
    <w:rsid w:val="00470A3A"/>
    <w:rsid w:val="00470C32"/>
    <w:rsid w:val="00470C79"/>
    <w:rsid w:val="00472509"/>
    <w:rsid w:val="00472D68"/>
    <w:rsid w:val="0047375C"/>
    <w:rsid w:val="00475986"/>
    <w:rsid w:val="00475A3F"/>
    <w:rsid w:val="004773D8"/>
    <w:rsid w:val="0047748A"/>
    <w:rsid w:val="00477BA8"/>
    <w:rsid w:val="00477C8C"/>
    <w:rsid w:val="004801D9"/>
    <w:rsid w:val="0048034B"/>
    <w:rsid w:val="00481697"/>
    <w:rsid w:val="0048171F"/>
    <w:rsid w:val="00481B93"/>
    <w:rsid w:val="00481C56"/>
    <w:rsid w:val="00482425"/>
    <w:rsid w:val="00482E9C"/>
    <w:rsid w:val="004830A1"/>
    <w:rsid w:val="0048353C"/>
    <w:rsid w:val="00483C42"/>
    <w:rsid w:val="004851B2"/>
    <w:rsid w:val="004851BF"/>
    <w:rsid w:val="004851FB"/>
    <w:rsid w:val="00485B5E"/>
    <w:rsid w:val="00485DFC"/>
    <w:rsid w:val="0048757E"/>
    <w:rsid w:val="00487C99"/>
    <w:rsid w:val="00490C41"/>
    <w:rsid w:val="00490DBD"/>
    <w:rsid w:val="00492B83"/>
    <w:rsid w:val="00492E93"/>
    <w:rsid w:val="00492F21"/>
    <w:rsid w:val="0049386C"/>
    <w:rsid w:val="00494EF0"/>
    <w:rsid w:val="004951C8"/>
    <w:rsid w:val="00495F63"/>
    <w:rsid w:val="00496026"/>
    <w:rsid w:val="00496D8E"/>
    <w:rsid w:val="00497188"/>
    <w:rsid w:val="00497FAE"/>
    <w:rsid w:val="004A136E"/>
    <w:rsid w:val="004A237D"/>
    <w:rsid w:val="004A3059"/>
    <w:rsid w:val="004A34EA"/>
    <w:rsid w:val="004A3837"/>
    <w:rsid w:val="004A3C37"/>
    <w:rsid w:val="004A4CC2"/>
    <w:rsid w:val="004A65B5"/>
    <w:rsid w:val="004A741C"/>
    <w:rsid w:val="004A75A2"/>
    <w:rsid w:val="004B15B9"/>
    <w:rsid w:val="004B27B3"/>
    <w:rsid w:val="004B4205"/>
    <w:rsid w:val="004B4947"/>
    <w:rsid w:val="004B5EA4"/>
    <w:rsid w:val="004B6ADE"/>
    <w:rsid w:val="004C0AFB"/>
    <w:rsid w:val="004C1642"/>
    <w:rsid w:val="004C1A71"/>
    <w:rsid w:val="004C231C"/>
    <w:rsid w:val="004C2B27"/>
    <w:rsid w:val="004C30DF"/>
    <w:rsid w:val="004C35C0"/>
    <w:rsid w:val="004C36BA"/>
    <w:rsid w:val="004C3D41"/>
    <w:rsid w:val="004C3E1D"/>
    <w:rsid w:val="004C4C57"/>
    <w:rsid w:val="004C4C88"/>
    <w:rsid w:val="004C5795"/>
    <w:rsid w:val="004C63FA"/>
    <w:rsid w:val="004C6AF6"/>
    <w:rsid w:val="004C6CB8"/>
    <w:rsid w:val="004C6FA2"/>
    <w:rsid w:val="004D02FB"/>
    <w:rsid w:val="004D06D6"/>
    <w:rsid w:val="004D0757"/>
    <w:rsid w:val="004D18E5"/>
    <w:rsid w:val="004D1E11"/>
    <w:rsid w:val="004D216E"/>
    <w:rsid w:val="004D2FA0"/>
    <w:rsid w:val="004D365F"/>
    <w:rsid w:val="004D3F3A"/>
    <w:rsid w:val="004D491B"/>
    <w:rsid w:val="004D4AF3"/>
    <w:rsid w:val="004D53BB"/>
    <w:rsid w:val="004D56F2"/>
    <w:rsid w:val="004D59D0"/>
    <w:rsid w:val="004E028A"/>
    <w:rsid w:val="004E0AC8"/>
    <w:rsid w:val="004E0B90"/>
    <w:rsid w:val="004E2094"/>
    <w:rsid w:val="004E25B0"/>
    <w:rsid w:val="004E3C27"/>
    <w:rsid w:val="004E3FE5"/>
    <w:rsid w:val="004E42BF"/>
    <w:rsid w:val="004E43E7"/>
    <w:rsid w:val="004E44AD"/>
    <w:rsid w:val="004E61E5"/>
    <w:rsid w:val="004E63C0"/>
    <w:rsid w:val="004E6AB9"/>
    <w:rsid w:val="004E7C60"/>
    <w:rsid w:val="004F0D0E"/>
    <w:rsid w:val="004F1501"/>
    <w:rsid w:val="004F1D5C"/>
    <w:rsid w:val="004F25ED"/>
    <w:rsid w:val="004F3131"/>
    <w:rsid w:val="004F5E57"/>
    <w:rsid w:val="004F7707"/>
    <w:rsid w:val="005003C6"/>
    <w:rsid w:val="00500570"/>
    <w:rsid w:val="00500C7F"/>
    <w:rsid w:val="00501494"/>
    <w:rsid w:val="00501938"/>
    <w:rsid w:val="00501E1D"/>
    <w:rsid w:val="0050288F"/>
    <w:rsid w:val="0050464A"/>
    <w:rsid w:val="0050477F"/>
    <w:rsid w:val="005050DA"/>
    <w:rsid w:val="00506C4F"/>
    <w:rsid w:val="00506F97"/>
    <w:rsid w:val="00507041"/>
    <w:rsid w:val="00507065"/>
    <w:rsid w:val="00507ED4"/>
    <w:rsid w:val="00507F3F"/>
    <w:rsid w:val="00510C89"/>
    <w:rsid w:val="005114A1"/>
    <w:rsid w:val="00511640"/>
    <w:rsid w:val="00511C2B"/>
    <w:rsid w:val="00512F45"/>
    <w:rsid w:val="00514B0D"/>
    <w:rsid w:val="00516263"/>
    <w:rsid w:val="00516D66"/>
    <w:rsid w:val="00517403"/>
    <w:rsid w:val="00517B3C"/>
    <w:rsid w:val="00517EF2"/>
    <w:rsid w:val="00523229"/>
    <w:rsid w:val="00524FE9"/>
    <w:rsid w:val="005257D9"/>
    <w:rsid w:val="00525E2A"/>
    <w:rsid w:val="005275D4"/>
    <w:rsid w:val="00527D22"/>
    <w:rsid w:val="00527DDB"/>
    <w:rsid w:val="00530136"/>
    <w:rsid w:val="005309C1"/>
    <w:rsid w:val="00530D27"/>
    <w:rsid w:val="0053181F"/>
    <w:rsid w:val="00531D02"/>
    <w:rsid w:val="00532194"/>
    <w:rsid w:val="00532C36"/>
    <w:rsid w:val="00534C6B"/>
    <w:rsid w:val="00534D88"/>
    <w:rsid w:val="00534F08"/>
    <w:rsid w:val="005400D3"/>
    <w:rsid w:val="00540A4E"/>
    <w:rsid w:val="00540A9B"/>
    <w:rsid w:val="00540BF4"/>
    <w:rsid w:val="00540CDB"/>
    <w:rsid w:val="00540E37"/>
    <w:rsid w:val="005419CB"/>
    <w:rsid w:val="00542B9D"/>
    <w:rsid w:val="005430FD"/>
    <w:rsid w:val="00543487"/>
    <w:rsid w:val="00543A44"/>
    <w:rsid w:val="00545474"/>
    <w:rsid w:val="00545992"/>
    <w:rsid w:val="005469D1"/>
    <w:rsid w:val="00550419"/>
    <w:rsid w:val="00550B62"/>
    <w:rsid w:val="0055312A"/>
    <w:rsid w:val="005534B1"/>
    <w:rsid w:val="0055384C"/>
    <w:rsid w:val="0055491D"/>
    <w:rsid w:val="00554A69"/>
    <w:rsid w:val="00554E48"/>
    <w:rsid w:val="00555AA7"/>
    <w:rsid w:val="00556A79"/>
    <w:rsid w:val="00556EEA"/>
    <w:rsid w:val="005579A6"/>
    <w:rsid w:val="00560BEC"/>
    <w:rsid w:val="00561477"/>
    <w:rsid w:val="00562F5F"/>
    <w:rsid w:val="0056327E"/>
    <w:rsid w:val="00563CAA"/>
    <w:rsid w:val="00567AFF"/>
    <w:rsid w:val="00570445"/>
    <w:rsid w:val="00570A42"/>
    <w:rsid w:val="005713A4"/>
    <w:rsid w:val="00571E2D"/>
    <w:rsid w:val="00573D81"/>
    <w:rsid w:val="00574C93"/>
    <w:rsid w:val="005760AE"/>
    <w:rsid w:val="0057738F"/>
    <w:rsid w:val="00577AE7"/>
    <w:rsid w:val="00577D2D"/>
    <w:rsid w:val="005802B0"/>
    <w:rsid w:val="0058194E"/>
    <w:rsid w:val="00582178"/>
    <w:rsid w:val="00582B00"/>
    <w:rsid w:val="00582B26"/>
    <w:rsid w:val="005834D9"/>
    <w:rsid w:val="00583528"/>
    <w:rsid w:val="00583660"/>
    <w:rsid w:val="00585279"/>
    <w:rsid w:val="00585755"/>
    <w:rsid w:val="00585CBB"/>
    <w:rsid w:val="00585E57"/>
    <w:rsid w:val="0058675C"/>
    <w:rsid w:val="00586B11"/>
    <w:rsid w:val="005874A1"/>
    <w:rsid w:val="00590908"/>
    <w:rsid w:val="00591D41"/>
    <w:rsid w:val="00594461"/>
    <w:rsid w:val="0059450E"/>
    <w:rsid w:val="00595EB8"/>
    <w:rsid w:val="00596239"/>
    <w:rsid w:val="00597067"/>
    <w:rsid w:val="0059708F"/>
    <w:rsid w:val="00597691"/>
    <w:rsid w:val="00597AE7"/>
    <w:rsid w:val="005A07C5"/>
    <w:rsid w:val="005A12B1"/>
    <w:rsid w:val="005A1B64"/>
    <w:rsid w:val="005A1FD7"/>
    <w:rsid w:val="005A2319"/>
    <w:rsid w:val="005A2BB6"/>
    <w:rsid w:val="005A5C3E"/>
    <w:rsid w:val="005A698F"/>
    <w:rsid w:val="005A7B38"/>
    <w:rsid w:val="005A7B4F"/>
    <w:rsid w:val="005B0A0C"/>
    <w:rsid w:val="005B0AB3"/>
    <w:rsid w:val="005B245B"/>
    <w:rsid w:val="005B2DFB"/>
    <w:rsid w:val="005B3183"/>
    <w:rsid w:val="005B34B0"/>
    <w:rsid w:val="005B4764"/>
    <w:rsid w:val="005B5133"/>
    <w:rsid w:val="005B6233"/>
    <w:rsid w:val="005B6765"/>
    <w:rsid w:val="005B74DD"/>
    <w:rsid w:val="005C086A"/>
    <w:rsid w:val="005C0F0A"/>
    <w:rsid w:val="005C0FDD"/>
    <w:rsid w:val="005C1209"/>
    <w:rsid w:val="005C15AD"/>
    <w:rsid w:val="005C166D"/>
    <w:rsid w:val="005C1D97"/>
    <w:rsid w:val="005C1D98"/>
    <w:rsid w:val="005C1DBD"/>
    <w:rsid w:val="005C211A"/>
    <w:rsid w:val="005C2D67"/>
    <w:rsid w:val="005C5447"/>
    <w:rsid w:val="005C55C8"/>
    <w:rsid w:val="005C6122"/>
    <w:rsid w:val="005C6491"/>
    <w:rsid w:val="005C7662"/>
    <w:rsid w:val="005C79C2"/>
    <w:rsid w:val="005D0100"/>
    <w:rsid w:val="005D0CF9"/>
    <w:rsid w:val="005D1C5E"/>
    <w:rsid w:val="005D2134"/>
    <w:rsid w:val="005D2205"/>
    <w:rsid w:val="005D2D87"/>
    <w:rsid w:val="005D39E5"/>
    <w:rsid w:val="005D3DC6"/>
    <w:rsid w:val="005D409E"/>
    <w:rsid w:val="005D4626"/>
    <w:rsid w:val="005D4E1F"/>
    <w:rsid w:val="005D5C14"/>
    <w:rsid w:val="005D6821"/>
    <w:rsid w:val="005D727B"/>
    <w:rsid w:val="005E0215"/>
    <w:rsid w:val="005E057F"/>
    <w:rsid w:val="005E0BE9"/>
    <w:rsid w:val="005E121C"/>
    <w:rsid w:val="005E1878"/>
    <w:rsid w:val="005E3491"/>
    <w:rsid w:val="005E3E9C"/>
    <w:rsid w:val="005E44B2"/>
    <w:rsid w:val="005E4852"/>
    <w:rsid w:val="005E4BC1"/>
    <w:rsid w:val="005E537C"/>
    <w:rsid w:val="005E64C7"/>
    <w:rsid w:val="005E701A"/>
    <w:rsid w:val="005F0200"/>
    <w:rsid w:val="005F2013"/>
    <w:rsid w:val="005F2526"/>
    <w:rsid w:val="005F354C"/>
    <w:rsid w:val="005F3ABB"/>
    <w:rsid w:val="005F3B6A"/>
    <w:rsid w:val="005F4C97"/>
    <w:rsid w:val="005F5523"/>
    <w:rsid w:val="005F64EE"/>
    <w:rsid w:val="005F6971"/>
    <w:rsid w:val="005F6F36"/>
    <w:rsid w:val="005F743C"/>
    <w:rsid w:val="005F763E"/>
    <w:rsid w:val="00601745"/>
    <w:rsid w:val="00601BA5"/>
    <w:rsid w:val="00603634"/>
    <w:rsid w:val="00603D7F"/>
    <w:rsid w:val="00603E6E"/>
    <w:rsid w:val="00604D38"/>
    <w:rsid w:val="00604F60"/>
    <w:rsid w:val="006057DE"/>
    <w:rsid w:val="00605E13"/>
    <w:rsid w:val="006066A1"/>
    <w:rsid w:val="006072A8"/>
    <w:rsid w:val="00607306"/>
    <w:rsid w:val="00607E2C"/>
    <w:rsid w:val="006111B3"/>
    <w:rsid w:val="00611AAF"/>
    <w:rsid w:val="00611C6F"/>
    <w:rsid w:val="00612B10"/>
    <w:rsid w:val="00612D1A"/>
    <w:rsid w:val="00613330"/>
    <w:rsid w:val="00613A01"/>
    <w:rsid w:val="00613D40"/>
    <w:rsid w:val="00613FCF"/>
    <w:rsid w:val="00614A8F"/>
    <w:rsid w:val="00614CFD"/>
    <w:rsid w:val="00616173"/>
    <w:rsid w:val="00616B87"/>
    <w:rsid w:val="00617C67"/>
    <w:rsid w:val="00617E7E"/>
    <w:rsid w:val="00617EB2"/>
    <w:rsid w:val="00620745"/>
    <w:rsid w:val="006217C0"/>
    <w:rsid w:val="00621854"/>
    <w:rsid w:val="0062230D"/>
    <w:rsid w:val="00625267"/>
    <w:rsid w:val="0062540F"/>
    <w:rsid w:val="006262EC"/>
    <w:rsid w:val="0062695E"/>
    <w:rsid w:val="00626D5A"/>
    <w:rsid w:val="00627805"/>
    <w:rsid w:val="00627E07"/>
    <w:rsid w:val="00631014"/>
    <w:rsid w:val="006316C1"/>
    <w:rsid w:val="00632435"/>
    <w:rsid w:val="00633203"/>
    <w:rsid w:val="00633F6A"/>
    <w:rsid w:val="006344AC"/>
    <w:rsid w:val="00634575"/>
    <w:rsid w:val="0063509D"/>
    <w:rsid w:val="00636301"/>
    <w:rsid w:val="00636ECA"/>
    <w:rsid w:val="00636F4F"/>
    <w:rsid w:val="0063710E"/>
    <w:rsid w:val="006374ED"/>
    <w:rsid w:val="00637E99"/>
    <w:rsid w:val="006407A3"/>
    <w:rsid w:val="00640B6B"/>
    <w:rsid w:val="006418DE"/>
    <w:rsid w:val="00642404"/>
    <w:rsid w:val="006429C4"/>
    <w:rsid w:val="00643023"/>
    <w:rsid w:val="0064341B"/>
    <w:rsid w:val="006440C0"/>
    <w:rsid w:val="00644ADF"/>
    <w:rsid w:val="00645FFB"/>
    <w:rsid w:val="0064638E"/>
    <w:rsid w:val="00646D32"/>
    <w:rsid w:val="006472E7"/>
    <w:rsid w:val="006477C5"/>
    <w:rsid w:val="006512CE"/>
    <w:rsid w:val="00652F5D"/>
    <w:rsid w:val="006553FA"/>
    <w:rsid w:val="006568F8"/>
    <w:rsid w:val="0065763E"/>
    <w:rsid w:val="00660B22"/>
    <w:rsid w:val="00661BD4"/>
    <w:rsid w:val="00661F41"/>
    <w:rsid w:val="0066257C"/>
    <w:rsid w:val="00662FCC"/>
    <w:rsid w:val="006634E3"/>
    <w:rsid w:val="0066374A"/>
    <w:rsid w:val="00663EE2"/>
    <w:rsid w:val="006645E2"/>
    <w:rsid w:val="006650D0"/>
    <w:rsid w:val="00665527"/>
    <w:rsid w:val="00665956"/>
    <w:rsid w:val="00665C36"/>
    <w:rsid w:val="00666100"/>
    <w:rsid w:val="00671A47"/>
    <w:rsid w:val="006729B5"/>
    <w:rsid w:val="00672BA0"/>
    <w:rsid w:val="00673248"/>
    <w:rsid w:val="00673D25"/>
    <w:rsid w:val="00673D97"/>
    <w:rsid w:val="00674F2E"/>
    <w:rsid w:val="0067621F"/>
    <w:rsid w:val="00677E27"/>
    <w:rsid w:val="006805B5"/>
    <w:rsid w:val="0068106E"/>
    <w:rsid w:val="00681D7F"/>
    <w:rsid w:val="00683D6E"/>
    <w:rsid w:val="00684740"/>
    <w:rsid w:val="0068594D"/>
    <w:rsid w:val="00685A7C"/>
    <w:rsid w:val="0068693F"/>
    <w:rsid w:val="00686EF6"/>
    <w:rsid w:val="006905DF"/>
    <w:rsid w:val="00691501"/>
    <w:rsid w:val="00691A67"/>
    <w:rsid w:val="00693F37"/>
    <w:rsid w:val="0069429B"/>
    <w:rsid w:val="006942F2"/>
    <w:rsid w:val="00696C04"/>
    <w:rsid w:val="006972DC"/>
    <w:rsid w:val="00697C5A"/>
    <w:rsid w:val="006A09A2"/>
    <w:rsid w:val="006A0F84"/>
    <w:rsid w:val="006A1AB0"/>
    <w:rsid w:val="006A2D0B"/>
    <w:rsid w:val="006A2D7C"/>
    <w:rsid w:val="006A308C"/>
    <w:rsid w:val="006A3256"/>
    <w:rsid w:val="006A4770"/>
    <w:rsid w:val="006A5614"/>
    <w:rsid w:val="006A6159"/>
    <w:rsid w:val="006B01AD"/>
    <w:rsid w:val="006B08DC"/>
    <w:rsid w:val="006B0F69"/>
    <w:rsid w:val="006B18E3"/>
    <w:rsid w:val="006B1BEC"/>
    <w:rsid w:val="006B1D6D"/>
    <w:rsid w:val="006B2F92"/>
    <w:rsid w:val="006B3B5A"/>
    <w:rsid w:val="006B4B29"/>
    <w:rsid w:val="006B63AB"/>
    <w:rsid w:val="006B6999"/>
    <w:rsid w:val="006B6CE0"/>
    <w:rsid w:val="006B6DE5"/>
    <w:rsid w:val="006B6E54"/>
    <w:rsid w:val="006B72E0"/>
    <w:rsid w:val="006C0F29"/>
    <w:rsid w:val="006C1326"/>
    <w:rsid w:val="006C1562"/>
    <w:rsid w:val="006C3F9D"/>
    <w:rsid w:val="006C4429"/>
    <w:rsid w:val="006C4BB3"/>
    <w:rsid w:val="006C4D66"/>
    <w:rsid w:val="006C4F18"/>
    <w:rsid w:val="006C5D79"/>
    <w:rsid w:val="006C66E8"/>
    <w:rsid w:val="006C7566"/>
    <w:rsid w:val="006C771A"/>
    <w:rsid w:val="006D0D2D"/>
    <w:rsid w:val="006D1496"/>
    <w:rsid w:val="006D1818"/>
    <w:rsid w:val="006D1D84"/>
    <w:rsid w:val="006D2029"/>
    <w:rsid w:val="006D32F9"/>
    <w:rsid w:val="006D4108"/>
    <w:rsid w:val="006D51B2"/>
    <w:rsid w:val="006D5CAC"/>
    <w:rsid w:val="006D61D8"/>
    <w:rsid w:val="006D62D8"/>
    <w:rsid w:val="006D69D0"/>
    <w:rsid w:val="006E06E0"/>
    <w:rsid w:val="006E0D02"/>
    <w:rsid w:val="006E1458"/>
    <w:rsid w:val="006E17D9"/>
    <w:rsid w:val="006E2AD1"/>
    <w:rsid w:val="006E3519"/>
    <w:rsid w:val="006E35A0"/>
    <w:rsid w:val="006E3D71"/>
    <w:rsid w:val="006E516F"/>
    <w:rsid w:val="006E51D8"/>
    <w:rsid w:val="006E5A23"/>
    <w:rsid w:val="006E5F01"/>
    <w:rsid w:val="006E6488"/>
    <w:rsid w:val="006E66CA"/>
    <w:rsid w:val="006E78FF"/>
    <w:rsid w:val="006E7CCA"/>
    <w:rsid w:val="006E7E9B"/>
    <w:rsid w:val="006F0F03"/>
    <w:rsid w:val="006F17E4"/>
    <w:rsid w:val="006F20E5"/>
    <w:rsid w:val="006F211E"/>
    <w:rsid w:val="006F2814"/>
    <w:rsid w:val="006F2FB2"/>
    <w:rsid w:val="006F311B"/>
    <w:rsid w:val="006F31A6"/>
    <w:rsid w:val="006F3A2C"/>
    <w:rsid w:val="006F44BA"/>
    <w:rsid w:val="006F47A8"/>
    <w:rsid w:val="006F48D0"/>
    <w:rsid w:val="006F50FF"/>
    <w:rsid w:val="006F5739"/>
    <w:rsid w:val="006F5A28"/>
    <w:rsid w:val="006F6D1C"/>
    <w:rsid w:val="006F6E3C"/>
    <w:rsid w:val="006F70C7"/>
    <w:rsid w:val="006F7741"/>
    <w:rsid w:val="006F7D85"/>
    <w:rsid w:val="00700A14"/>
    <w:rsid w:val="00700ED1"/>
    <w:rsid w:val="007019B0"/>
    <w:rsid w:val="00703659"/>
    <w:rsid w:val="00703840"/>
    <w:rsid w:val="00703A01"/>
    <w:rsid w:val="00704067"/>
    <w:rsid w:val="00710487"/>
    <w:rsid w:val="00712178"/>
    <w:rsid w:val="0071284B"/>
    <w:rsid w:val="00712920"/>
    <w:rsid w:val="00712982"/>
    <w:rsid w:val="007141D6"/>
    <w:rsid w:val="00715ECC"/>
    <w:rsid w:val="00715F0B"/>
    <w:rsid w:val="007167AA"/>
    <w:rsid w:val="00716C85"/>
    <w:rsid w:val="0071726C"/>
    <w:rsid w:val="007203B7"/>
    <w:rsid w:val="00720F43"/>
    <w:rsid w:val="00721A96"/>
    <w:rsid w:val="0072216B"/>
    <w:rsid w:val="00722C11"/>
    <w:rsid w:val="00722C28"/>
    <w:rsid w:val="00722C3A"/>
    <w:rsid w:val="00722E82"/>
    <w:rsid w:val="00723508"/>
    <w:rsid w:val="007240D4"/>
    <w:rsid w:val="00724AA1"/>
    <w:rsid w:val="00724E98"/>
    <w:rsid w:val="00724F1A"/>
    <w:rsid w:val="0072606B"/>
    <w:rsid w:val="007264BC"/>
    <w:rsid w:val="0072788B"/>
    <w:rsid w:val="007318E8"/>
    <w:rsid w:val="00732020"/>
    <w:rsid w:val="00732DFD"/>
    <w:rsid w:val="00732E84"/>
    <w:rsid w:val="00732EE7"/>
    <w:rsid w:val="00732FD4"/>
    <w:rsid w:val="00733887"/>
    <w:rsid w:val="00733D93"/>
    <w:rsid w:val="00734192"/>
    <w:rsid w:val="007345E9"/>
    <w:rsid w:val="00734F91"/>
    <w:rsid w:val="00735930"/>
    <w:rsid w:val="0073645D"/>
    <w:rsid w:val="0073656A"/>
    <w:rsid w:val="0073707E"/>
    <w:rsid w:val="0074151D"/>
    <w:rsid w:val="00741C30"/>
    <w:rsid w:val="007421C6"/>
    <w:rsid w:val="00742BA7"/>
    <w:rsid w:val="00743437"/>
    <w:rsid w:val="00743655"/>
    <w:rsid w:val="00743B19"/>
    <w:rsid w:val="00743C1B"/>
    <w:rsid w:val="00744450"/>
    <w:rsid w:val="00744D5C"/>
    <w:rsid w:val="0074544A"/>
    <w:rsid w:val="00745779"/>
    <w:rsid w:val="00745C99"/>
    <w:rsid w:val="00745CDA"/>
    <w:rsid w:val="00746974"/>
    <w:rsid w:val="00746C0E"/>
    <w:rsid w:val="00750B43"/>
    <w:rsid w:val="00750CAE"/>
    <w:rsid w:val="00750CDC"/>
    <w:rsid w:val="00751D23"/>
    <w:rsid w:val="007538AA"/>
    <w:rsid w:val="007539F2"/>
    <w:rsid w:val="00753DE4"/>
    <w:rsid w:val="00753F12"/>
    <w:rsid w:val="00754B84"/>
    <w:rsid w:val="00755C7E"/>
    <w:rsid w:val="00756A3D"/>
    <w:rsid w:val="00756C0C"/>
    <w:rsid w:val="007579B9"/>
    <w:rsid w:val="007602EB"/>
    <w:rsid w:val="0076052D"/>
    <w:rsid w:val="00761672"/>
    <w:rsid w:val="00761720"/>
    <w:rsid w:val="0076257E"/>
    <w:rsid w:val="00762CA8"/>
    <w:rsid w:val="00762DD7"/>
    <w:rsid w:val="00762F27"/>
    <w:rsid w:val="00763584"/>
    <w:rsid w:val="0076478F"/>
    <w:rsid w:val="00766250"/>
    <w:rsid w:val="00767241"/>
    <w:rsid w:val="00770AC6"/>
    <w:rsid w:val="007714B4"/>
    <w:rsid w:val="00771779"/>
    <w:rsid w:val="0077215B"/>
    <w:rsid w:val="0077287D"/>
    <w:rsid w:val="00772DCC"/>
    <w:rsid w:val="00773DEB"/>
    <w:rsid w:val="007746EA"/>
    <w:rsid w:val="0077541A"/>
    <w:rsid w:val="00775489"/>
    <w:rsid w:val="00777C45"/>
    <w:rsid w:val="007811B1"/>
    <w:rsid w:val="0078123F"/>
    <w:rsid w:val="007827C8"/>
    <w:rsid w:val="007831EB"/>
    <w:rsid w:val="00783773"/>
    <w:rsid w:val="00783BAA"/>
    <w:rsid w:val="00784041"/>
    <w:rsid w:val="0078464B"/>
    <w:rsid w:val="00784864"/>
    <w:rsid w:val="00784942"/>
    <w:rsid w:val="00784955"/>
    <w:rsid w:val="00785359"/>
    <w:rsid w:val="0078598D"/>
    <w:rsid w:val="00785A33"/>
    <w:rsid w:val="0078757B"/>
    <w:rsid w:val="0079152F"/>
    <w:rsid w:val="007919EF"/>
    <w:rsid w:val="00793EA1"/>
    <w:rsid w:val="00794A6E"/>
    <w:rsid w:val="00794B89"/>
    <w:rsid w:val="007952DD"/>
    <w:rsid w:val="007959D5"/>
    <w:rsid w:val="00796339"/>
    <w:rsid w:val="007A35E3"/>
    <w:rsid w:val="007A43DD"/>
    <w:rsid w:val="007A440B"/>
    <w:rsid w:val="007A4E63"/>
    <w:rsid w:val="007A58A8"/>
    <w:rsid w:val="007A64E6"/>
    <w:rsid w:val="007A735A"/>
    <w:rsid w:val="007A7B70"/>
    <w:rsid w:val="007A7C59"/>
    <w:rsid w:val="007B0B41"/>
    <w:rsid w:val="007B1277"/>
    <w:rsid w:val="007B1BEB"/>
    <w:rsid w:val="007B3228"/>
    <w:rsid w:val="007B33C5"/>
    <w:rsid w:val="007B45D0"/>
    <w:rsid w:val="007B55E4"/>
    <w:rsid w:val="007B58D4"/>
    <w:rsid w:val="007B5A8C"/>
    <w:rsid w:val="007B637E"/>
    <w:rsid w:val="007B680C"/>
    <w:rsid w:val="007B689E"/>
    <w:rsid w:val="007B76CB"/>
    <w:rsid w:val="007B781C"/>
    <w:rsid w:val="007C08B9"/>
    <w:rsid w:val="007C0F57"/>
    <w:rsid w:val="007C296A"/>
    <w:rsid w:val="007C2A9C"/>
    <w:rsid w:val="007C2AE9"/>
    <w:rsid w:val="007C3755"/>
    <w:rsid w:val="007C3967"/>
    <w:rsid w:val="007C4D44"/>
    <w:rsid w:val="007C5A39"/>
    <w:rsid w:val="007C5F8C"/>
    <w:rsid w:val="007C6591"/>
    <w:rsid w:val="007C660D"/>
    <w:rsid w:val="007C6D82"/>
    <w:rsid w:val="007D0B34"/>
    <w:rsid w:val="007D21D7"/>
    <w:rsid w:val="007D22DB"/>
    <w:rsid w:val="007D25E2"/>
    <w:rsid w:val="007D296F"/>
    <w:rsid w:val="007D2D94"/>
    <w:rsid w:val="007D435A"/>
    <w:rsid w:val="007D4863"/>
    <w:rsid w:val="007D4E09"/>
    <w:rsid w:val="007D5316"/>
    <w:rsid w:val="007D5C47"/>
    <w:rsid w:val="007D5C5D"/>
    <w:rsid w:val="007D6479"/>
    <w:rsid w:val="007D6BB6"/>
    <w:rsid w:val="007D7286"/>
    <w:rsid w:val="007D7647"/>
    <w:rsid w:val="007E04A0"/>
    <w:rsid w:val="007E0F01"/>
    <w:rsid w:val="007E2782"/>
    <w:rsid w:val="007E3149"/>
    <w:rsid w:val="007E46D3"/>
    <w:rsid w:val="007E47BC"/>
    <w:rsid w:val="007E48D5"/>
    <w:rsid w:val="007E51FC"/>
    <w:rsid w:val="007E574F"/>
    <w:rsid w:val="007E5A43"/>
    <w:rsid w:val="007E5B32"/>
    <w:rsid w:val="007E6262"/>
    <w:rsid w:val="007E69AB"/>
    <w:rsid w:val="007E6E65"/>
    <w:rsid w:val="007E6F79"/>
    <w:rsid w:val="007E7640"/>
    <w:rsid w:val="007E7A21"/>
    <w:rsid w:val="007F0BE3"/>
    <w:rsid w:val="007F0D7C"/>
    <w:rsid w:val="007F22D9"/>
    <w:rsid w:val="007F26D5"/>
    <w:rsid w:val="007F2C0B"/>
    <w:rsid w:val="007F3B32"/>
    <w:rsid w:val="007F3E7A"/>
    <w:rsid w:val="007F4177"/>
    <w:rsid w:val="007F66BB"/>
    <w:rsid w:val="007F6748"/>
    <w:rsid w:val="007F6E6C"/>
    <w:rsid w:val="007F707C"/>
    <w:rsid w:val="007F7215"/>
    <w:rsid w:val="007F76D7"/>
    <w:rsid w:val="007F7AD1"/>
    <w:rsid w:val="0080103E"/>
    <w:rsid w:val="00801788"/>
    <w:rsid w:val="00801802"/>
    <w:rsid w:val="00801CA7"/>
    <w:rsid w:val="0080248E"/>
    <w:rsid w:val="00803F57"/>
    <w:rsid w:val="00804E7C"/>
    <w:rsid w:val="0080562A"/>
    <w:rsid w:val="0080590C"/>
    <w:rsid w:val="0080604A"/>
    <w:rsid w:val="008066E6"/>
    <w:rsid w:val="00806921"/>
    <w:rsid w:val="008069C0"/>
    <w:rsid w:val="0080703B"/>
    <w:rsid w:val="008076DB"/>
    <w:rsid w:val="0081025E"/>
    <w:rsid w:val="00810578"/>
    <w:rsid w:val="00810812"/>
    <w:rsid w:val="00811383"/>
    <w:rsid w:val="00811DB6"/>
    <w:rsid w:val="00812180"/>
    <w:rsid w:val="0081302D"/>
    <w:rsid w:val="00813516"/>
    <w:rsid w:val="00813AE1"/>
    <w:rsid w:val="0081692D"/>
    <w:rsid w:val="00816CBF"/>
    <w:rsid w:val="00817B74"/>
    <w:rsid w:val="00817C8D"/>
    <w:rsid w:val="00817D52"/>
    <w:rsid w:val="0082042C"/>
    <w:rsid w:val="0082080B"/>
    <w:rsid w:val="0082266E"/>
    <w:rsid w:val="00823EE8"/>
    <w:rsid w:val="0082595C"/>
    <w:rsid w:val="00825A94"/>
    <w:rsid w:val="00825F1A"/>
    <w:rsid w:val="00826270"/>
    <w:rsid w:val="00826842"/>
    <w:rsid w:val="00826D3E"/>
    <w:rsid w:val="0082715F"/>
    <w:rsid w:val="00827197"/>
    <w:rsid w:val="008275F7"/>
    <w:rsid w:val="008306E3"/>
    <w:rsid w:val="0083115D"/>
    <w:rsid w:val="008311D3"/>
    <w:rsid w:val="00835B05"/>
    <w:rsid w:val="00836248"/>
    <w:rsid w:val="0083669A"/>
    <w:rsid w:val="008368D8"/>
    <w:rsid w:val="00836F27"/>
    <w:rsid w:val="00837B4F"/>
    <w:rsid w:val="00840C20"/>
    <w:rsid w:val="008419C5"/>
    <w:rsid w:val="00841F61"/>
    <w:rsid w:val="00842615"/>
    <w:rsid w:val="008445E6"/>
    <w:rsid w:val="00844A0D"/>
    <w:rsid w:val="00844CD7"/>
    <w:rsid w:val="00847872"/>
    <w:rsid w:val="0084790D"/>
    <w:rsid w:val="00852FD1"/>
    <w:rsid w:val="0085509B"/>
    <w:rsid w:val="008552E5"/>
    <w:rsid w:val="00855953"/>
    <w:rsid w:val="00855FFE"/>
    <w:rsid w:val="00856FA7"/>
    <w:rsid w:val="008608B3"/>
    <w:rsid w:val="00861D6E"/>
    <w:rsid w:val="00861DAB"/>
    <w:rsid w:val="00862121"/>
    <w:rsid w:val="00862E46"/>
    <w:rsid w:val="008632E5"/>
    <w:rsid w:val="00865618"/>
    <w:rsid w:val="0086654E"/>
    <w:rsid w:val="008665B3"/>
    <w:rsid w:val="008675A0"/>
    <w:rsid w:val="00867C07"/>
    <w:rsid w:val="008701CA"/>
    <w:rsid w:val="00870491"/>
    <w:rsid w:val="00872185"/>
    <w:rsid w:val="00872303"/>
    <w:rsid w:val="00873DEE"/>
    <w:rsid w:val="008763C1"/>
    <w:rsid w:val="0087660C"/>
    <w:rsid w:val="008802AF"/>
    <w:rsid w:val="00880D4E"/>
    <w:rsid w:val="00880E60"/>
    <w:rsid w:val="00881A13"/>
    <w:rsid w:val="00882512"/>
    <w:rsid w:val="0088434D"/>
    <w:rsid w:val="008849C8"/>
    <w:rsid w:val="00884E9E"/>
    <w:rsid w:val="00885656"/>
    <w:rsid w:val="00885D5E"/>
    <w:rsid w:val="00886753"/>
    <w:rsid w:val="00886854"/>
    <w:rsid w:val="00886F01"/>
    <w:rsid w:val="00886F1D"/>
    <w:rsid w:val="00890C3D"/>
    <w:rsid w:val="00891E8E"/>
    <w:rsid w:val="00891EC9"/>
    <w:rsid w:val="0089217E"/>
    <w:rsid w:val="00892F7B"/>
    <w:rsid w:val="00893378"/>
    <w:rsid w:val="00893FCD"/>
    <w:rsid w:val="008948E2"/>
    <w:rsid w:val="00894BDB"/>
    <w:rsid w:val="00894FEB"/>
    <w:rsid w:val="008A008E"/>
    <w:rsid w:val="008A074D"/>
    <w:rsid w:val="008A1470"/>
    <w:rsid w:val="008A1644"/>
    <w:rsid w:val="008A22D0"/>
    <w:rsid w:val="008A2F6E"/>
    <w:rsid w:val="008A313B"/>
    <w:rsid w:val="008A3369"/>
    <w:rsid w:val="008A3D7B"/>
    <w:rsid w:val="008A4BBE"/>
    <w:rsid w:val="008A5685"/>
    <w:rsid w:val="008A5E31"/>
    <w:rsid w:val="008A66B3"/>
    <w:rsid w:val="008A7691"/>
    <w:rsid w:val="008B1EB8"/>
    <w:rsid w:val="008B3284"/>
    <w:rsid w:val="008B3AB9"/>
    <w:rsid w:val="008B3E1D"/>
    <w:rsid w:val="008B3E9E"/>
    <w:rsid w:val="008B4B32"/>
    <w:rsid w:val="008B5835"/>
    <w:rsid w:val="008C118D"/>
    <w:rsid w:val="008C14F4"/>
    <w:rsid w:val="008C1E08"/>
    <w:rsid w:val="008C2D6B"/>
    <w:rsid w:val="008C3B96"/>
    <w:rsid w:val="008C3C7C"/>
    <w:rsid w:val="008C5388"/>
    <w:rsid w:val="008C55B3"/>
    <w:rsid w:val="008C6131"/>
    <w:rsid w:val="008C629A"/>
    <w:rsid w:val="008C6358"/>
    <w:rsid w:val="008C66BE"/>
    <w:rsid w:val="008C70C0"/>
    <w:rsid w:val="008C75D3"/>
    <w:rsid w:val="008D0759"/>
    <w:rsid w:val="008D0892"/>
    <w:rsid w:val="008D1CE0"/>
    <w:rsid w:val="008D1F65"/>
    <w:rsid w:val="008D35AA"/>
    <w:rsid w:val="008D47E8"/>
    <w:rsid w:val="008D5114"/>
    <w:rsid w:val="008D513E"/>
    <w:rsid w:val="008D567F"/>
    <w:rsid w:val="008D58B2"/>
    <w:rsid w:val="008D6283"/>
    <w:rsid w:val="008D6299"/>
    <w:rsid w:val="008D67B5"/>
    <w:rsid w:val="008D755A"/>
    <w:rsid w:val="008D7F26"/>
    <w:rsid w:val="008E03E3"/>
    <w:rsid w:val="008E0961"/>
    <w:rsid w:val="008E2581"/>
    <w:rsid w:val="008E3070"/>
    <w:rsid w:val="008E31B1"/>
    <w:rsid w:val="008E3A32"/>
    <w:rsid w:val="008E4C3B"/>
    <w:rsid w:val="008E5ACF"/>
    <w:rsid w:val="008E6735"/>
    <w:rsid w:val="008E7396"/>
    <w:rsid w:val="008F08EB"/>
    <w:rsid w:val="008F0EBF"/>
    <w:rsid w:val="008F1A6A"/>
    <w:rsid w:val="008F2E8A"/>
    <w:rsid w:val="008F3218"/>
    <w:rsid w:val="008F4132"/>
    <w:rsid w:val="0090032B"/>
    <w:rsid w:val="00900518"/>
    <w:rsid w:val="0090085B"/>
    <w:rsid w:val="00900894"/>
    <w:rsid w:val="00900C90"/>
    <w:rsid w:val="009014AD"/>
    <w:rsid w:val="009018BF"/>
    <w:rsid w:val="00903B54"/>
    <w:rsid w:val="00904BE8"/>
    <w:rsid w:val="00905AF9"/>
    <w:rsid w:val="0090751B"/>
    <w:rsid w:val="00910289"/>
    <w:rsid w:val="009108D5"/>
    <w:rsid w:val="009109DD"/>
    <w:rsid w:val="00911276"/>
    <w:rsid w:val="0091180F"/>
    <w:rsid w:val="00911E48"/>
    <w:rsid w:val="00912238"/>
    <w:rsid w:val="009122A3"/>
    <w:rsid w:val="009127BC"/>
    <w:rsid w:val="00912C98"/>
    <w:rsid w:val="009135F6"/>
    <w:rsid w:val="0091377B"/>
    <w:rsid w:val="0091411C"/>
    <w:rsid w:val="0091501C"/>
    <w:rsid w:val="009150AB"/>
    <w:rsid w:val="009157F6"/>
    <w:rsid w:val="00915FE7"/>
    <w:rsid w:val="009166D6"/>
    <w:rsid w:val="00916DFA"/>
    <w:rsid w:val="00917DE0"/>
    <w:rsid w:val="009208BF"/>
    <w:rsid w:val="00921D52"/>
    <w:rsid w:val="00923A03"/>
    <w:rsid w:val="00923CC7"/>
    <w:rsid w:val="00925590"/>
    <w:rsid w:val="009255FB"/>
    <w:rsid w:val="00925B0E"/>
    <w:rsid w:val="00926F36"/>
    <w:rsid w:val="00930DB3"/>
    <w:rsid w:val="00931CAB"/>
    <w:rsid w:val="00932B9C"/>
    <w:rsid w:val="00932D92"/>
    <w:rsid w:val="00932DE3"/>
    <w:rsid w:val="009347F1"/>
    <w:rsid w:val="00934BD0"/>
    <w:rsid w:val="00934E97"/>
    <w:rsid w:val="0093579E"/>
    <w:rsid w:val="00935862"/>
    <w:rsid w:val="00935B99"/>
    <w:rsid w:val="009363EB"/>
    <w:rsid w:val="0093659B"/>
    <w:rsid w:val="009429F9"/>
    <w:rsid w:val="0094363A"/>
    <w:rsid w:val="00943952"/>
    <w:rsid w:val="0094479C"/>
    <w:rsid w:val="009454E5"/>
    <w:rsid w:val="0094582C"/>
    <w:rsid w:val="0094606B"/>
    <w:rsid w:val="00946521"/>
    <w:rsid w:val="00947F1E"/>
    <w:rsid w:val="00950C8F"/>
    <w:rsid w:val="00950FDB"/>
    <w:rsid w:val="00951263"/>
    <w:rsid w:val="0095150E"/>
    <w:rsid w:val="009529D4"/>
    <w:rsid w:val="00953412"/>
    <w:rsid w:val="00954B08"/>
    <w:rsid w:val="00954B8A"/>
    <w:rsid w:val="009556F3"/>
    <w:rsid w:val="00955E96"/>
    <w:rsid w:val="009567AC"/>
    <w:rsid w:val="00956AC7"/>
    <w:rsid w:val="00956FAE"/>
    <w:rsid w:val="00957734"/>
    <w:rsid w:val="00960A8C"/>
    <w:rsid w:val="0096148C"/>
    <w:rsid w:val="0096179F"/>
    <w:rsid w:val="00961C29"/>
    <w:rsid w:val="00964F55"/>
    <w:rsid w:val="009652E9"/>
    <w:rsid w:val="009658C2"/>
    <w:rsid w:val="00965E93"/>
    <w:rsid w:val="009660CE"/>
    <w:rsid w:val="009660E8"/>
    <w:rsid w:val="00966A1E"/>
    <w:rsid w:val="00967332"/>
    <w:rsid w:val="00970AEF"/>
    <w:rsid w:val="00972373"/>
    <w:rsid w:val="0097255E"/>
    <w:rsid w:val="00972FC3"/>
    <w:rsid w:val="00974D43"/>
    <w:rsid w:val="00974EC4"/>
    <w:rsid w:val="00976317"/>
    <w:rsid w:val="009767A5"/>
    <w:rsid w:val="00976D4B"/>
    <w:rsid w:val="00977C7A"/>
    <w:rsid w:val="009801A4"/>
    <w:rsid w:val="00980338"/>
    <w:rsid w:val="009806F2"/>
    <w:rsid w:val="0098192E"/>
    <w:rsid w:val="00982E0F"/>
    <w:rsid w:val="00983A9A"/>
    <w:rsid w:val="00984810"/>
    <w:rsid w:val="00984E99"/>
    <w:rsid w:val="00984E9F"/>
    <w:rsid w:val="0098611F"/>
    <w:rsid w:val="009872B8"/>
    <w:rsid w:val="0098731F"/>
    <w:rsid w:val="00987471"/>
    <w:rsid w:val="00987833"/>
    <w:rsid w:val="00987BF2"/>
    <w:rsid w:val="00990A9D"/>
    <w:rsid w:val="0099118D"/>
    <w:rsid w:val="009914B9"/>
    <w:rsid w:val="00991718"/>
    <w:rsid w:val="009924EC"/>
    <w:rsid w:val="00992D6C"/>
    <w:rsid w:val="0099356C"/>
    <w:rsid w:val="0099439A"/>
    <w:rsid w:val="0099458D"/>
    <w:rsid w:val="00994A7F"/>
    <w:rsid w:val="00995721"/>
    <w:rsid w:val="009959CD"/>
    <w:rsid w:val="00996C48"/>
    <w:rsid w:val="00997CBE"/>
    <w:rsid w:val="009A07A0"/>
    <w:rsid w:val="009A12EB"/>
    <w:rsid w:val="009A1817"/>
    <w:rsid w:val="009A1919"/>
    <w:rsid w:val="009A2FCA"/>
    <w:rsid w:val="009A33B5"/>
    <w:rsid w:val="009A35F2"/>
    <w:rsid w:val="009A367A"/>
    <w:rsid w:val="009A3D74"/>
    <w:rsid w:val="009A4C54"/>
    <w:rsid w:val="009A4CA4"/>
    <w:rsid w:val="009A4EF2"/>
    <w:rsid w:val="009A604F"/>
    <w:rsid w:val="009A65BF"/>
    <w:rsid w:val="009A6C5B"/>
    <w:rsid w:val="009A6E17"/>
    <w:rsid w:val="009A7424"/>
    <w:rsid w:val="009B051E"/>
    <w:rsid w:val="009B1893"/>
    <w:rsid w:val="009B2285"/>
    <w:rsid w:val="009B27BE"/>
    <w:rsid w:val="009B2A00"/>
    <w:rsid w:val="009B2C11"/>
    <w:rsid w:val="009B31D8"/>
    <w:rsid w:val="009B3814"/>
    <w:rsid w:val="009B3D1B"/>
    <w:rsid w:val="009B4004"/>
    <w:rsid w:val="009B6199"/>
    <w:rsid w:val="009B6E3B"/>
    <w:rsid w:val="009B7DD5"/>
    <w:rsid w:val="009C25B3"/>
    <w:rsid w:val="009C26B9"/>
    <w:rsid w:val="009C28F6"/>
    <w:rsid w:val="009C291D"/>
    <w:rsid w:val="009C2A52"/>
    <w:rsid w:val="009C2D1E"/>
    <w:rsid w:val="009C3547"/>
    <w:rsid w:val="009C356B"/>
    <w:rsid w:val="009C37AD"/>
    <w:rsid w:val="009C46FD"/>
    <w:rsid w:val="009C4851"/>
    <w:rsid w:val="009C5847"/>
    <w:rsid w:val="009C5957"/>
    <w:rsid w:val="009C5BD8"/>
    <w:rsid w:val="009C67DB"/>
    <w:rsid w:val="009C77C9"/>
    <w:rsid w:val="009D0B45"/>
    <w:rsid w:val="009D0D54"/>
    <w:rsid w:val="009D12CB"/>
    <w:rsid w:val="009D18CA"/>
    <w:rsid w:val="009D20E2"/>
    <w:rsid w:val="009D28F4"/>
    <w:rsid w:val="009D3A3D"/>
    <w:rsid w:val="009D4094"/>
    <w:rsid w:val="009D4230"/>
    <w:rsid w:val="009D4261"/>
    <w:rsid w:val="009D42DA"/>
    <w:rsid w:val="009D570A"/>
    <w:rsid w:val="009D674E"/>
    <w:rsid w:val="009D687C"/>
    <w:rsid w:val="009D73F6"/>
    <w:rsid w:val="009D7B6C"/>
    <w:rsid w:val="009E0430"/>
    <w:rsid w:val="009E0A51"/>
    <w:rsid w:val="009E173E"/>
    <w:rsid w:val="009E1BE5"/>
    <w:rsid w:val="009E342D"/>
    <w:rsid w:val="009E4075"/>
    <w:rsid w:val="009E41C8"/>
    <w:rsid w:val="009E58CC"/>
    <w:rsid w:val="009E5A02"/>
    <w:rsid w:val="009E5E80"/>
    <w:rsid w:val="009E6FA4"/>
    <w:rsid w:val="009E7E56"/>
    <w:rsid w:val="009F07A6"/>
    <w:rsid w:val="009F0E5C"/>
    <w:rsid w:val="009F2380"/>
    <w:rsid w:val="009F3728"/>
    <w:rsid w:val="009F3EE0"/>
    <w:rsid w:val="009F544B"/>
    <w:rsid w:val="009F559E"/>
    <w:rsid w:val="009F5C85"/>
    <w:rsid w:val="009F5DC4"/>
    <w:rsid w:val="009F6175"/>
    <w:rsid w:val="009F798F"/>
    <w:rsid w:val="00A00F4D"/>
    <w:rsid w:val="00A01811"/>
    <w:rsid w:val="00A01A9E"/>
    <w:rsid w:val="00A0211A"/>
    <w:rsid w:val="00A023C0"/>
    <w:rsid w:val="00A0240F"/>
    <w:rsid w:val="00A049FC"/>
    <w:rsid w:val="00A04E5F"/>
    <w:rsid w:val="00A05321"/>
    <w:rsid w:val="00A05CE0"/>
    <w:rsid w:val="00A069D6"/>
    <w:rsid w:val="00A078E7"/>
    <w:rsid w:val="00A07E7C"/>
    <w:rsid w:val="00A10227"/>
    <w:rsid w:val="00A105F5"/>
    <w:rsid w:val="00A12677"/>
    <w:rsid w:val="00A1270B"/>
    <w:rsid w:val="00A14476"/>
    <w:rsid w:val="00A14A32"/>
    <w:rsid w:val="00A15B8B"/>
    <w:rsid w:val="00A168CB"/>
    <w:rsid w:val="00A17A4A"/>
    <w:rsid w:val="00A17CA4"/>
    <w:rsid w:val="00A2099D"/>
    <w:rsid w:val="00A20A83"/>
    <w:rsid w:val="00A22504"/>
    <w:rsid w:val="00A22E27"/>
    <w:rsid w:val="00A232C3"/>
    <w:rsid w:val="00A23A7B"/>
    <w:rsid w:val="00A23CE4"/>
    <w:rsid w:val="00A242C7"/>
    <w:rsid w:val="00A24323"/>
    <w:rsid w:val="00A2494A"/>
    <w:rsid w:val="00A24EFC"/>
    <w:rsid w:val="00A27E54"/>
    <w:rsid w:val="00A31183"/>
    <w:rsid w:val="00A31F6F"/>
    <w:rsid w:val="00A32206"/>
    <w:rsid w:val="00A350C0"/>
    <w:rsid w:val="00A354DC"/>
    <w:rsid w:val="00A36FCC"/>
    <w:rsid w:val="00A372EB"/>
    <w:rsid w:val="00A40607"/>
    <w:rsid w:val="00A40A97"/>
    <w:rsid w:val="00A4115B"/>
    <w:rsid w:val="00A44068"/>
    <w:rsid w:val="00A4417B"/>
    <w:rsid w:val="00A464EB"/>
    <w:rsid w:val="00A46AC1"/>
    <w:rsid w:val="00A476B1"/>
    <w:rsid w:val="00A4784D"/>
    <w:rsid w:val="00A51497"/>
    <w:rsid w:val="00A52519"/>
    <w:rsid w:val="00A52575"/>
    <w:rsid w:val="00A529C6"/>
    <w:rsid w:val="00A53377"/>
    <w:rsid w:val="00A5383F"/>
    <w:rsid w:val="00A53AC7"/>
    <w:rsid w:val="00A53E91"/>
    <w:rsid w:val="00A54270"/>
    <w:rsid w:val="00A55F7F"/>
    <w:rsid w:val="00A56302"/>
    <w:rsid w:val="00A56A99"/>
    <w:rsid w:val="00A56B82"/>
    <w:rsid w:val="00A571C9"/>
    <w:rsid w:val="00A5730F"/>
    <w:rsid w:val="00A57DE8"/>
    <w:rsid w:val="00A60C1B"/>
    <w:rsid w:val="00A62490"/>
    <w:rsid w:val="00A628EB"/>
    <w:rsid w:val="00A628FD"/>
    <w:rsid w:val="00A63A3A"/>
    <w:rsid w:val="00A645C6"/>
    <w:rsid w:val="00A66530"/>
    <w:rsid w:val="00A66867"/>
    <w:rsid w:val="00A66EFB"/>
    <w:rsid w:val="00A670BA"/>
    <w:rsid w:val="00A70089"/>
    <w:rsid w:val="00A70305"/>
    <w:rsid w:val="00A71AFE"/>
    <w:rsid w:val="00A721B9"/>
    <w:rsid w:val="00A7261A"/>
    <w:rsid w:val="00A72CA9"/>
    <w:rsid w:val="00A72E78"/>
    <w:rsid w:val="00A74675"/>
    <w:rsid w:val="00A7493A"/>
    <w:rsid w:val="00A7493C"/>
    <w:rsid w:val="00A74C4E"/>
    <w:rsid w:val="00A74EA0"/>
    <w:rsid w:val="00A77990"/>
    <w:rsid w:val="00A77E61"/>
    <w:rsid w:val="00A80DB7"/>
    <w:rsid w:val="00A81B8A"/>
    <w:rsid w:val="00A81D0A"/>
    <w:rsid w:val="00A82D9E"/>
    <w:rsid w:val="00A82ED8"/>
    <w:rsid w:val="00A837EE"/>
    <w:rsid w:val="00A8521D"/>
    <w:rsid w:val="00A8656C"/>
    <w:rsid w:val="00A87968"/>
    <w:rsid w:val="00A87FB4"/>
    <w:rsid w:val="00A90954"/>
    <w:rsid w:val="00A90BAF"/>
    <w:rsid w:val="00A9132B"/>
    <w:rsid w:val="00A9190B"/>
    <w:rsid w:val="00A9296E"/>
    <w:rsid w:val="00A931E2"/>
    <w:rsid w:val="00A932AA"/>
    <w:rsid w:val="00A938B6"/>
    <w:rsid w:val="00A93E8E"/>
    <w:rsid w:val="00A9447B"/>
    <w:rsid w:val="00A94DF9"/>
    <w:rsid w:val="00A95B54"/>
    <w:rsid w:val="00A95EDC"/>
    <w:rsid w:val="00A970B8"/>
    <w:rsid w:val="00A97B69"/>
    <w:rsid w:val="00A97BB8"/>
    <w:rsid w:val="00AA0E87"/>
    <w:rsid w:val="00AA235F"/>
    <w:rsid w:val="00AA26BA"/>
    <w:rsid w:val="00AA5B0C"/>
    <w:rsid w:val="00AA6037"/>
    <w:rsid w:val="00AA631B"/>
    <w:rsid w:val="00AA6387"/>
    <w:rsid w:val="00AA695C"/>
    <w:rsid w:val="00AA6DEC"/>
    <w:rsid w:val="00AA72DB"/>
    <w:rsid w:val="00AB05AA"/>
    <w:rsid w:val="00AB24E3"/>
    <w:rsid w:val="00AB3187"/>
    <w:rsid w:val="00AB4835"/>
    <w:rsid w:val="00AB4A4E"/>
    <w:rsid w:val="00AB4CB3"/>
    <w:rsid w:val="00AB55C5"/>
    <w:rsid w:val="00AB5998"/>
    <w:rsid w:val="00AB5D2F"/>
    <w:rsid w:val="00AC0288"/>
    <w:rsid w:val="00AC08CB"/>
    <w:rsid w:val="00AC13B9"/>
    <w:rsid w:val="00AC1B14"/>
    <w:rsid w:val="00AC2140"/>
    <w:rsid w:val="00AC2936"/>
    <w:rsid w:val="00AC298D"/>
    <w:rsid w:val="00AC2D4F"/>
    <w:rsid w:val="00AC462C"/>
    <w:rsid w:val="00AC46DC"/>
    <w:rsid w:val="00AC500B"/>
    <w:rsid w:val="00AC65FE"/>
    <w:rsid w:val="00AC6703"/>
    <w:rsid w:val="00AC6F05"/>
    <w:rsid w:val="00AD1279"/>
    <w:rsid w:val="00AD1A15"/>
    <w:rsid w:val="00AD3148"/>
    <w:rsid w:val="00AD35BA"/>
    <w:rsid w:val="00AD3607"/>
    <w:rsid w:val="00AD36BE"/>
    <w:rsid w:val="00AD4113"/>
    <w:rsid w:val="00AD472D"/>
    <w:rsid w:val="00AD559F"/>
    <w:rsid w:val="00AD63EE"/>
    <w:rsid w:val="00AD710A"/>
    <w:rsid w:val="00AD78FA"/>
    <w:rsid w:val="00AE1ACC"/>
    <w:rsid w:val="00AE27D7"/>
    <w:rsid w:val="00AE290E"/>
    <w:rsid w:val="00AE556C"/>
    <w:rsid w:val="00AE61BF"/>
    <w:rsid w:val="00AE6877"/>
    <w:rsid w:val="00AF06EC"/>
    <w:rsid w:val="00AF104A"/>
    <w:rsid w:val="00AF1D54"/>
    <w:rsid w:val="00AF26B5"/>
    <w:rsid w:val="00AF2825"/>
    <w:rsid w:val="00AF3050"/>
    <w:rsid w:val="00AF465A"/>
    <w:rsid w:val="00AF46D4"/>
    <w:rsid w:val="00AF4B49"/>
    <w:rsid w:val="00AF510A"/>
    <w:rsid w:val="00AF517B"/>
    <w:rsid w:val="00AF6E0A"/>
    <w:rsid w:val="00AF7FEB"/>
    <w:rsid w:val="00B007C4"/>
    <w:rsid w:val="00B00EDE"/>
    <w:rsid w:val="00B0133E"/>
    <w:rsid w:val="00B01524"/>
    <w:rsid w:val="00B01877"/>
    <w:rsid w:val="00B01956"/>
    <w:rsid w:val="00B01D45"/>
    <w:rsid w:val="00B02579"/>
    <w:rsid w:val="00B02AE8"/>
    <w:rsid w:val="00B0369D"/>
    <w:rsid w:val="00B04A89"/>
    <w:rsid w:val="00B04B01"/>
    <w:rsid w:val="00B04F1C"/>
    <w:rsid w:val="00B05674"/>
    <w:rsid w:val="00B0624A"/>
    <w:rsid w:val="00B0689E"/>
    <w:rsid w:val="00B07AF6"/>
    <w:rsid w:val="00B07D51"/>
    <w:rsid w:val="00B07EDB"/>
    <w:rsid w:val="00B1014C"/>
    <w:rsid w:val="00B1060E"/>
    <w:rsid w:val="00B10F0A"/>
    <w:rsid w:val="00B12056"/>
    <w:rsid w:val="00B12186"/>
    <w:rsid w:val="00B1311D"/>
    <w:rsid w:val="00B1330D"/>
    <w:rsid w:val="00B164EB"/>
    <w:rsid w:val="00B1712F"/>
    <w:rsid w:val="00B20B85"/>
    <w:rsid w:val="00B21080"/>
    <w:rsid w:val="00B210BB"/>
    <w:rsid w:val="00B21603"/>
    <w:rsid w:val="00B21E8B"/>
    <w:rsid w:val="00B22117"/>
    <w:rsid w:val="00B22399"/>
    <w:rsid w:val="00B22F3B"/>
    <w:rsid w:val="00B235AF"/>
    <w:rsid w:val="00B23C5E"/>
    <w:rsid w:val="00B23DDE"/>
    <w:rsid w:val="00B243C2"/>
    <w:rsid w:val="00B248D1"/>
    <w:rsid w:val="00B24DA8"/>
    <w:rsid w:val="00B3031D"/>
    <w:rsid w:val="00B3051E"/>
    <w:rsid w:val="00B31CE9"/>
    <w:rsid w:val="00B31F35"/>
    <w:rsid w:val="00B32442"/>
    <w:rsid w:val="00B3352C"/>
    <w:rsid w:val="00B342B4"/>
    <w:rsid w:val="00B347AE"/>
    <w:rsid w:val="00B348E4"/>
    <w:rsid w:val="00B3687A"/>
    <w:rsid w:val="00B36C25"/>
    <w:rsid w:val="00B36CEE"/>
    <w:rsid w:val="00B371F5"/>
    <w:rsid w:val="00B404C9"/>
    <w:rsid w:val="00B4109F"/>
    <w:rsid w:val="00B414E2"/>
    <w:rsid w:val="00B42BAA"/>
    <w:rsid w:val="00B42BBD"/>
    <w:rsid w:val="00B43A01"/>
    <w:rsid w:val="00B43C41"/>
    <w:rsid w:val="00B4447C"/>
    <w:rsid w:val="00B44E3D"/>
    <w:rsid w:val="00B45078"/>
    <w:rsid w:val="00B4521A"/>
    <w:rsid w:val="00B460E9"/>
    <w:rsid w:val="00B47157"/>
    <w:rsid w:val="00B476FD"/>
    <w:rsid w:val="00B505EB"/>
    <w:rsid w:val="00B51795"/>
    <w:rsid w:val="00B5225E"/>
    <w:rsid w:val="00B52A7A"/>
    <w:rsid w:val="00B52C04"/>
    <w:rsid w:val="00B52DFC"/>
    <w:rsid w:val="00B53F91"/>
    <w:rsid w:val="00B550E4"/>
    <w:rsid w:val="00B5546C"/>
    <w:rsid w:val="00B5597F"/>
    <w:rsid w:val="00B562E6"/>
    <w:rsid w:val="00B5799F"/>
    <w:rsid w:val="00B60608"/>
    <w:rsid w:val="00B60BD8"/>
    <w:rsid w:val="00B60D3B"/>
    <w:rsid w:val="00B61438"/>
    <w:rsid w:val="00B620D7"/>
    <w:rsid w:val="00B62FB4"/>
    <w:rsid w:val="00B633E5"/>
    <w:rsid w:val="00B63EB4"/>
    <w:rsid w:val="00B64FB4"/>
    <w:rsid w:val="00B6589B"/>
    <w:rsid w:val="00B65B01"/>
    <w:rsid w:val="00B65C72"/>
    <w:rsid w:val="00B665CE"/>
    <w:rsid w:val="00B6719C"/>
    <w:rsid w:val="00B679A8"/>
    <w:rsid w:val="00B7045C"/>
    <w:rsid w:val="00B70A16"/>
    <w:rsid w:val="00B70B9D"/>
    <w:rsid w:val="00B71A47"/>
    <w:rsid w:val="00B72A54"/>
    <w:rsid w:val="00B73526"/>
    <w:rsid w:val="00B7373C"/>
    <w:rsid w:val="00B73786"/>
    <w:rsid w:val="00B73B38"/>
    <w:rsid w:val="00B73BBB"/>
    <w:rsid w:val="00B73D46"/>
    <w:rsid w:val="00B74221"/>
    <w:rsid w:val="00B7471D"/>
    <w:rsid w:val="00B765B8"/>
    <w:rsid w:val="00B76BC9"/>
    <w:rsid w:val="00B77413"/>
    <w:rsid w:val="00B77B35"/>
    <w:rsid w:val="00B77B56"/>
    <w:rsid w:val="00B805DC"/>
    <w:rsid w:val="00B80C04"/>
    <w:rsid w:val="00B80E8B"/>
    <w:rsid w:val="00B81458"/>
    <w:rsid w:val="00B83435"/>
    <w:rsid w:val="00B839A4"/>
    <w:rsid w:val="00B8424E"/>
    <w:rsid w:val="00B84D25"/>
    <w:rsid w:val="00B8538B"/>
    <w:rsid w:val="00B87563"/>
    <w:rsid w:val="00B90111"/>
    <w:rsid w:val="00B90182"/>
    <w:rsid w:val="00B9039E"/>
    <w:rsid w:val="00B90A73"/>
    <w:rsid w:val="00B90D67"/>
    <w:rsid w:val="00B90E07"/>
    <w:rsid w:val="00B91779"/>
    <w:rsid w:val="00B91E68"/>
    <w:rsid w:val="00B92BA5"/>
    <w:rsid w:val="00B92C62"/>
    <w:rsid w:val="00B93D39"/>
    <w:rsid w:val="00B94384"/>
    <w:rsid w:val="00B97067"/>
    <w:rsid w:val="00B970A7"/>
    <w:rsid w:val="00BA0EFF"/>
    <w:rsid w:val="00BA3021"/>
    <w:rsid w:val="00BA3E0D"/>
    <w:rsid w:val="00BA4124"/>
    <w:rsid w:val="00BA623A"/>
    <w:rsid w:val="00BA65CE"/>
    <w:rsid w:val="00BA6BB5"/>
    <w:rsid w:val="00BA7729"/>
    <w:rsid w:val="00BB0812"/>
    <w:rsid w:val="00BB0F3B"/>
    <w:rsid w:val="00BB0F67"/>
    <w:rsid w:val="00BB1597"/>
    <w:rsid w:val="00BB175F"/>
    <w:rsid w:val="00BB2FC0"/>
    <w:rsid w:val="00BB3CF7"/>
    <w:rsid w:val="00BB3E28"/>
    <w:rsid w:val="00BB3E44"/>
    <w:rsid w:val="00BB4AAC"/>
    <w:rsid w:val="00BB4F39"/>
    <w:rsid w:val="00BB4F3A"/>
    <w:rsid w:val="00BB6AC7"/>
    <w:rsid w:val="00BB74FB"/>
    <w:rsid w:val="00BB7626"/>
    <w:rsid w:val="00BB78C5"/>
    <w:rsid w:val="00BB78CD"/>
    <w:rsid w:val="00BB7C58"/>
    <w:rsid w:val="00BC0595"/>
    <w:rsid w:val="00BC0832"/>
    <w:rsid w:val="00BC0842"/>
    <w:rsid w:val="00BC1184"/>
    <w:rsid w:val="00BC1503"/>
    <w:rsid w:val="00BC160A"/>
    <w:rsid w:val="00BC20C1"/>
    <w:rsid w:val="00BC3592"/>
    <w:rsid w:val="00BC3AA6"/>
    <w:rsid w:val="00BC453D"/>
    <w:rsid w:val="00BC486E"/>
    <w:rsid w:val="00BC5001"/>
    <w:rsid w:val="00BC635B"/>
    <w:rsid w:val="00BC6770"/>
    <w:rsid w:val="00BD1709"/>
    <w:rsid w:val="00BD2F79"/>
    <w:rsid w:val="00BD3851"/>
    <w:rsid w:val="00BD42D8"/>
    <w:rsid w:val="00BD43E0"/>
    <w:rsid w:val="00BD4F0D"/>
    <w:rsid w:val="00BD520A"/>
    <w:rsid w:val="00BD52E7"/>
    <w:rsid w:val="00BD5833"/>
    <w:rsid w:val="00BD5BA2"/>
    <w:rsid w:val="00BD61C6"/>
    <w:rsid w:val="00BD6C22"/>
    <w:rsid w:val="00BD7137"/>
    <w:rsid w:val="00BE02E2"/>
    <w:rsid w:val="00BE036B"/>
    <w:rsid w:val="00BE04DC"/>
    <w:rsid w:val="00BE2349"/>
    <w:rsid w:val="00BE2AEC"/>
    <w:rsid w:val="00BE3AC6"/>
    <w:rsid w:val="00BE3F6A"/>
    <w:rsid w:val="00BE4552"/>
    <w:rsid w:val="00BE50DA"/>
    <w:rsid w:val="00BE519D"/>
    <w:rsid w:val="00BE5A34"/>
    <w:rsid w:val="00BE6AE6"/>
    <w:rsid w:val="00BE7AFC"/>
    <w:rsid w:val="00BE7B6E"/>
    <w:rsid w:val="00BE7FD3"/>
    <w:rsid w:val="00BF0306"/>
    <w:rsid w:val="00BF1A59"/>
    <w:rsid w:val="00BF21A0"/>
    <w:rsid w:val="00BF3075"/>
    <w:rsid w:val="00BF3704"/>
    <w:rsid w:val="00BF3A69"/>
    <w:rsid w:val="00BF4BB9"/>
    <w:rsid w:val="00BF50A1"/>
    <w:rsid w:val="00BF576E"/>
    <w:rsid w:val="00BF5ADE"/>
    <w:rsid w:val="00BF6107"/>
    <w:rsid w:val="00BF7A99"/>
    <w:rsid w:val="00C00743"/>
    <w:rsid w:val="00C0082C"/>
    <w:rsid w:val="00C0125E"/>
    <w:rsid w:val="00C01E14"/>
    <w:rsid w:val="00C029CA"/>
    <w:rsid w:val="00C02CED"/>
    <w:rsid w:val="00C02E23"/>
    <w:rsid w:val="00C0331A"/>
    <w:rsid w:val="00C0385B"/>
    <w:rsid w:val="00C03BBA"/>
    <w:rsid w:val="00C03DE1"/>
    <w:rsid w:val="00C04877"/>
    <w:rsid w:val="00C04BB3"/>
    <w:rsid w:val="00C05F89"/>
    <w:rsid w:val="00C0725B"/>
    <w:rsid w:val="00C07BE9"/>
    <w:rsid w:val="00C07C9D"/>
    <w:rsid w:val="00C10DC4"/>
    <w:rsid w:val="00C12159"/>
    <w:rsid w:val="00C12AA4"/>
    <w:rsid w:val="00C132EB"/>
    <w:rsid w:val="00C1366C"/>
    <w:rsid w:val="00C14348"/>
    <w:rsid w:val="00C15194"/>
    <w:rsid w:val="00C1754E"/>
    <w:rsid w:val="00C20AA1"/>
    <w:rsid w:val="00C21DF5"/>
    <w:rsid w:val="00C2252A"/>
    <w:rsid w:val="00C22C02"/>
    <w:rsid w:val="00C22E90"/>
    <w:rsid w:val="00C2489F"/>
    <w:rsid w:val="00C24C5C"/>
    <w:rsid w:val="00C2516C"/>
    <w:rsid w:val="00C2518D"/>
    <w:rsid w:val="00C25260"/>
    <w:rsid w:val="00C25322"/>
    <w:rsid w:val="00C256C1"/>
    <w:rsid w:val="00C27D95"/>
    <w:rsid w:val="00C27EF5"/>
    <w:rsid w:val="00C300D4"/>
    <w:rsid w:val="00C315FF"/>
    <w:rsid w:val="00C31AD3"/>
    <w:rsid w:val="00C31BAB"/>
    <w:rsid w:val="00C31D11"/>
    <w:rsid w:val="00C32230"/>
    <w:rsid w:val="00C330D3"/>
    <w:rsid w:val="00C33111"/>
    <w:rsid w:val="00C338D9"/>
    <w:rsid w:val="00C356A5"/>
    <w:rsid w:val="00C369C1"/>
    <w:rsid w:val="00C36E72"/>
    <w:rsid w:val="00C4008F"/>
    <w:rsid w:val="00C408B8"/>
    <w:rsid w:val="00C40FA3"/>
    <w:rsid w:val="00C427C6"/>
    <w:rsid w:val="00C42A95"/>
    <w:rsid w:val="00C43664"/>
    <w:rsid w:val="00C442EF"/>
    <w:rsid w:val="00C44AD1"/>
    <w:rsid w:val="00C45B08"/>
    <w:rsid w:val="00C46660"/>
    <w:rsid w:val="00C47DEC"/>
    <w:rsid w:val="00C51110"/>
    <w:rsid w:val="00C5142C"/>
    <w:rsid w:val="00C527DF"/>
    <w:rsid w:val="00C52FB8"/>
    <w:rsid w:val="00C5351B"/>
    <w:rsid w:val="00C53747"/>
    <w:rsid w:val="00C54387"/>
    <w:rsid w:val="00C545C3"/>
    <w:rsid w:val="00C5495D"/>
    <w:rsid w:val="00C54D51"/>
    <w:rsid w:val="00C57104"/>
    <w:rsid w:val="00C571FA"/>
    <w:rsid w:val="00C57C77"/>
    <w:rsid w:val="00C60A2F"/>
    <w:rsid w:val="00C60ADA"/>
    <w:rsid w:val="00C612A2"/>
    <w:rsid w:val="00C6236D"/>
    <w:rsid w:val="00C6246C"/>
    <w:rsid w:val="00C6278C"/>
    <w:rsid w:val="00C62A42"/>
    <w:rsid w:val="00C63181"/>
    <w:rsid w:val="00C6361C"/>
    <w:rsid w:val="00C6375B"/>
    <w:rsid w:val="00C64AFC"/>
    <w:rsid w:val="00C655B0"/>
    <w:rsid w:val="00C657D7"/>
    <w:rsid w:val="00C65A6F"/>
    <w:rsid w:val="00C66961"/>
    <w:rsid w:val="00C66B0F"/>
    <w:rsid w:val="00C66B6D"/>
    <w:rsid w:val="00C66BB1"/>
    <w:rsid w:val="00C67C56"/>
    <w:rsid w:val="00C7070D"/>
    <w:rsid w:val="00C71001"/>
    <w:rsid w:val="00C71250"/>
    <w:rsid w:val="00C7155E"/>
    <w:rsid w:val="00C72219"/>
    <w:rsid w:val="00C72E29"/>
    <w:rsid w:val="00C74239"/>
    <w:rsid w:val="00C74658"/>
    <w:rsid w:val="00C75224"/>
    <w:rsid w:val="00C754FA"/>
    <w:rsid w:val="00C75C94"/>
    <w:rsid w:val="00C75DF2"/>
    <w:rsid w:val="00C76D0A"/>
    <w:rsid w:val="00C7783E"/>
    <w:rsid w:val="00C813D5"/>
    <w:rsid w:val="00C81B8E"/>
    <w:rsid w:val="00C82AB8"/>
    <w:rsid w:val="00C8324B"/>
    <w:rsid w:val="00C84636"/>
    <w:rsid w:val="00C847E2"/>
    <w:rsid w:val="00C85DC7"/>
    <w:rsid w:val="00C87D6B"/>
    <w:rsid w:val="00C908F1"/>
    <w:rsid w:val="00C909A9"/>
    <w:rsid w:val="00C91317"/>
    <w:rsid w:val="00C92AC9"/>
    <w:rsid w:val="00C92EED"/>
    <w:rsid w:val="00C93B9E"/>
    <w:rsid w:val="00C94403"/>
    <w:rsid w:val="00C94E9D"/>
    <w:rsid w:val="00C953C5"/>
    <w:rsid w:val="00C95931"/>
    <w:rsid w:val="00C97965"/>
    <w:rsid w:val="00CA04E5"/>
    <w:rsid w:val="00CA085A"/>
    <w:rsid w:val="00CA090C"/>
    <w:rsid w:val="00CA17F9"/>
    <w:rsid w:val="00CA1CA6"/>
    <w:rsid w:val="00CA21D2"/>
    <w:rsid w:val="00CA3148"/>
    <w:rsid w:val="00CA3970"/>
    <w:rsid w:val="00CA4032"/>
    <w:rsid w:val="00CA4830"/>
    <w:rsid w:val="00CA4D3C"/>
    <w:rsid w:val="00CA626F"/>
    <w:rsid w:val="00CB128F"/>
    <w:rsid w:val="00CB3701"/>
    <w:rsid w:val="00CB38C1"/>
    <w:rsid w:val="00CB4DBC"/>
    <w:rsid w:val="00CB4F78"/>
    <w:rsid w:val="00CB5181"/>
    <w:rsid w:val="00CB7545"/>
    <w:rsid w:val="00CB78EE"/>
    <w:rsid w:val="00CB7EE0"/>
    <w:rsid w:val="00CC09EE"/>
    <w:rsid w:val="00CC2C96"/>
    <w:rsid w:val="00CC2FBE"/>
    <w:rsid w:val="00CC3DAC"/>
    <w:rsid w:val="00CC400F"/>
    <w:rsid w:val="00CC4201"/>
    <w:rsid w:val="00CC5087"/>
    <w:rsid w:val="00CC51C5"/>
    <w:rsid w:val="00CC59EF"/>
    <w:rsid w:val="00CD0F0B"/>
    <w:rsid w:val="00CD10C6"/>
    <w:rsid w:val="00CD11BC"/>
    <w:rsid w:val="00CD1B2F"/>
    <w:rsid w:val="00CD4101"/>
    <w:rsid w:val="00CD49C8"/>
    <w:rsid w:val="00CD4A1C"/>
    <w:rsid w:val="00CD4BD1"/>
    <w:rsid w:val="00CD6482"/>
    <w:rsid w:val="00CE042E"/>
    <w:rsid w:val="00CE0597"/>
    <w:rsid w:val="00CE14E8"/>
    <w:rsid w:val="00CE185F"/>
    <w:rsid w:val="00CE2375"/>
    <w:rsid w:val="00CE3B60"/>
    <w:rsid w:val="00CE466B"/>
    <w:rsid w:val="00CE4B05"/>
    <w:rsid w:val="00CE520D"/>
    <w:rsid w:val="00CE5A6C"/>
    <w:rsid w:val="00CE5CDB"/>
    <w:rsid w:val="00CE6A09"/>
    <w:rsid w:val="00CE6AF1"/>
    <w:rsid w:val="00CE6B6F"/>
    <w:rsid w:val="00CE71EE"/>
    <w:rsid w:val="00CE7BA7"/>
    <w:rsid w:val="00CF07C6"/>
    <w:rsid w:val="00CF0C9D"/>
    <w:rsid w:val="00CF11B4"/>
    <w:rsid w:val="00CF16A5"/>
    <w:rsid w:val="00CF1885"/>
    <w:rsid w:val="00CF255C"/>
    <w:rsid w:val="00CF2B0D"/>
    <w:rsid w:val="00CF2D74"/>
    <w:rsid w:val="00CF3817"/>
    <w:rsid w:val="00CF384D"/>
    <w:rsid w:val="00CF4602"/>
    <w:rsid w:val="00CF643B"/>
    <w:rsid w:val="00CF655D"/>
    <w:rsid w:val="00CF6F5A"/>
    <w:rsid w:val="00D002C9"/>
    <w:rsid w:val="00D0057D"/>
    <w:rsid w:val="00D007B1"/>
    <w:rsid w:val="00D00E74"/>
    <w:rsid w:val="00D01336"/>
    <w:rsid w:val="00D01424"/>
    <w:rsid w:val="00D02BDB"/>
    <w:rsid w:val="00D04010"/>
    <w:rsid w:val="00D04A68"/>
    <w:rsid w:val="00D04EA8"/>
    <w:rsid w:val="00D05628"/>
    <w:rsid w:val="00D05A62"/>
    <w:rsid w:val="00D064BC"/>
    <w:rsid w:val="00D07A65"/>
    <w:rsid w:val="00D103E3"/>
    <w:rsid w:val="00D1043F"/>
    <w:rsid w:val="00D108CC"/>
    <w:rsid w:val="00D10DEA"/>
    <w:rsid w:val="00D12774"/>
    <w:rsid w:val="00D12801"/>
    <w:rsid w:val="00D12815"/>
    <w:rsid w:val="00D151AF"/>
    <w:rsid w:val="00D1589D"/>
    <w:rsid w:val="00D16430"/>
    <w:rsid w:val="00D16704"/>
    <w:rsid w:val="00D168F5"/>
    <w:rsid w:val="00D171C7"/>
    <w:rsid w:val="00D174E6"/>
    <w:rsid w:val="00D2019E"/>
    <w:rsid w:val="00D2052F"/>
    <w:rsid w:val="00D205BE"/>
    <w:rsid w:val="00D209EE"/>
    <w:rsid w:val="00D21CF9"/>
    <w:rsid w:val="00D229C8"/>
    <w:rsid w:val="00D24E99"/>
    <w:rsid w:val="00D25EF1"/>
    <w:rsid w:val="00D26AE6"/>
    <w:rsid w:val="00D27046"/>
    <w:rsid w:val="00D272F1"/>
    <w:rsid w:val="00D27AC5"/>
    <w:rsid w:val="00D27FDA"/>
    <w:rsid w:val="00D32EF1"/>
    <w:rsid w:val="00D337C5"/>
    <w:rsid w:val="00D33B8D"/>
    <w:rsid w:val="00D34D39"/>
    <w:rsid w:val="00D35538"/>
    <w:rsid w:val="00D373B1"/>
    <w:rsid w:val="00D37C47"/>
    <w:rsid w:val="00D4072D"/>
    <w:rsid w:val="00D408F0"/>
    <w:rsid w:val="00D4174E"/>
    <w:rsid w:val="00D41E9D"/>
    <w:rsid w:val="00D42C73"/>
    <w:rsid w:val="00D42FF2"/>
    <w:rsid w:val="00D43560"/>
    <w:rsid w:val="00D43A16"/>
    <w:rsid w:val="00D44125"/>
    <w:rsid w:val="00D44BE7"/>
    <w:rsid w:val="00D50378"/>
    <w:rsid w:val="00D50BA7"/>
    <w:rsid w:val="00D517F8"/>
    <w:rsid w:val="00D52056"/>
    <w:rsid w:val="00D5239D"/>
    <w:rsid w:val="00D52ACB"/>
    <w:rsid w:val="00D52BDB"/>
    <w:rsid w:val="00D5308C"/>
    <w:rsid w:val="00D53674"/>
    <w:rsid w:val="00D55DDF"/>
    <w:rsid w:val="00D565EC"/>
    <w:rsid w:val="00D56CE1"/>
    <w:rsid w:val="00D5767E"/>
    <w:rsid w:val="00D57E7C"/>
    <w:rsid w:val="00D61F74"/>
    <w:rsid w:val="00D626E3"/>
    <w:rsid w:val="00D63F5F"/>
    <w:rsid w:val="00D64415"/>
    <w:rsid w:val="00D652D5"/>
    <w:rsid w:val="00D6696D"/>
    <w:rsid w:val="00D67503"/>
    <w:rsid w:val="00D6753C"/>
    <w:rsid w:val="00D676A3"/>
    <w:rsid w:val="00D71A6A"/>
    <w:rsid w:val="00D71D12"/>
    <w:rsid w:val="00D73EE0"/>
    <w:rsid w:val="00D74484"/>
    <w:rsid w:val="00D74746"/>
    <w:rsid w:val="00D74AD1"/>
    <w:rsid w:val="00D76E16"/>
    <w:rsid w:val="00D804A9"/>
    <w:rsid w:val="00D81AB2"/>
    <w:rsid w:val="00D84071"/>
    <w:rsid w:val="00D847FE"/>
    <w:rsid w:val="00D851D8"/>
    <w:rsid w:val="00D85272"/>
    <w:rsid w:val="00D858E9"/>
    <w:rsid w:val="00D85CE9"/>
    <w:rsid w:val="00D86273"/>
    <w:rsid w:val="00D86E5B"/>
    <w:rsid w:val="00D906F8"/>
    <w:rsid w:val="00D90EC9"/>
    <w:rsid w:val="00D90F73"/>
    <w:rsid w:val="00D92793"/>
    <w:rsid w:val="00D92A51"/>
    <w:rsid w:val="00D92F73"/>
    <w:rsid w:val="00D92F85"/>
    <w:rsid w:val="00D93369"/>
    <w:rsid w:val="00D93950"/>
    <w:rsid w:val="00D944B6"/>
    <w:rsid w:val="00D97621"/>
    <w:rsid w:val="00D97E1A"/>
    <w:rsid w:val="00D97F10"/>
    <w:rsid w:val="00DA01F8"/>
    <w:rsid w:val="00DA1139"/>
    <w:rsid w:val="00DA1ABB"/>
    <w:rsid w:val="00DA2AE2"/>
    <w:rsid w:val="00DA3700"/>
    <w:rsid w:val="00DA6439"/>
    <w:rsid w:val="00DA6646"/>
    <w:rsid w:val="00DA6E43"/>
    <w:rsid w:val="00DA79BE"/>
    <w:rsid w:val="00DB02D7"/>
    <w:rsid w:val="00DB0CFA"/>
    <w:rsid w:val="00DB366E"/>
    <w:rsid w:val="00DB369A"/>
    <w:rsid w:val="00DB4412"/>
    <w:rsid w:val="00DB5727"/>
    <w:rsid w:val="00DB621A"/>
    <w:rsid w:val="00DB6C77"/>
    <w:rsid w:val="00DB6C90"/>
    <w:rsid w:val="00DB7AE1"/>
    <w:rsid w:val="00DC08F5"/>
    <w:rsid w:val="00DC0EE4"/>
    <w:rsid w:val="00DC1886"/>
    <w:rsid w:val="00DC244D"/>
    <w:rsid w:val="00DC25FB"/>
    <w:rsid w:val="00DC30B3"/>
    <w:rsid w:val="00DC3FEC"/>
    <w:rsid w:val="00DC64E7"/>
    <w:rsid w:val="00DC6A38"/>
    <w:rsid w:val="00DC6ABF"/>
    <w:rsid w:val="00DC7116"/>
    <w:rsid w:val="00DC7154"/>
    <w:rsid w:val="00DC7273"/>
    <w:rsid w:val="00DD1257"/>
    <w:rsid w:val="00DD12A1"/>
    <w:rsid w:val="00DD228B"/>
    <w:rsid w:val="00DD2E03"/>
    <w:rsid w:val="00DD3C77"/>
    <w:rsid w:val="00DD59C2"/>
    <w:rsid w:val="00DD700B"/>
    <w:rsid w:val="00DE12DA"/>
    <w:rsid w:val="00DE1C97"/>
    <w:rsid w:val="00DE2599"/>
    <w:rsid w:val="00DE280D"/>
    <w:rsid w:val="00DE2DA8"/>
    <w:rsid w:val="00DE338E"/>
    <w:rsid w:val="00DE35B1"/>
    <w:rsid w:val="00DE450F"/>
    <w:rsid w:val="00DE465E"/>
    <w:rsid w:val="00DE4721"/>
    <w:rsid w:val="00DE47A9"/>
    <w:rsid w:val="00DE485A"/>
    <w:rsid w:val="00DE4C6F"/>
    <w:rsid w:val="00DE4DC0"/>
    <w:rsid w:val="00DF27A0"/>
    <w:rsid w:val="00DF2CE8"/>
    <w:rsid w:val="00DF39A5"/>
    <w:rsid w:val="00DF53A3"/>
    <w:rsid w:val="00DF5D46"/>
    <w:rsid w:val="00DF6E3B"/>
    <w:rsid w:val="00DF7CA1"/>
    <w:rsid w:val="00E0185F"/>
    <w:rsid w:val="00E01E8B"/>
    <w:rsid w:val="00E024E0"/>
    <w:rsid w:val="00E03A28"/>
    <w:rsid w:val="00E03ADC"/>
    <w:rsid w:val="00E044B5"/>
    <w:rsid w:val="00E048FB"/>
    <w:rsid w:val="00E04DB4"/>
    <w:rsid w:val="00E0504D"/>
    <w:rsid w:val="00E050BD"/>
    <w:rsid w:val="00E0571D"/>
    <w:rsid w:val="00E0575D"/>
    <w:rsid w:val="00E05A82"/>
    <w:rsid w:val="00E05E03"/>
    <w:rsid w:val="00E071D2"/>
    <w:rsid w:val="00E07885"/>
    <w:rsid w:val="00E10762"/>
    <w:rsid w:val="00E114AD"/>
    <w:rsid w:val="00E1168C"/>
    <w:rsid w:val="00E121F7"/>
    <w:rsid w:val="00E12A98"/>
    <w:rsid w:val="00E12C58"/>
    <w:rsid w:val="00E12CA9"/>
    <w:rsid w:val="00E13DF1"/>
    <w:rsid w:val="00E15ECE"/>
    <w:rsid w:val="00E16513"/>
    <w:rsid w:val="00E1693C"/>
    <w:rsid w:val="00E16A14"/>
    <w:rsid w:val="00E1774F"/>
    <w:rsid w:val="00E17D87"/>
    <w:rsid w:val="00E206C2"/>
    <w:rsid w:val="00E20E6C"/>
    <w:rsid w:val="00E212E1"/>
    <w:rsid w:val="00E228BE"/>
    <w:rsid w:val="00E25E2A"/>
    <w:rsid w:val="00E264AA"/>
    <w:rsid w:val="00E2654E"/>
    <w:rsid w:val="00E267D8"/>
    <w:rsid w:val="00E3091A"/>
    <w:rsid w:val="00E30A6E"/>
    <w:rsid w:val="00E30B87"/>
    <w:rsid w:val="00E337B6"/>
    <w:rsid w:val="00E3673E"/>
    <w:rsid w:val="00E3730F"/>
    <w:rsid w:val="00E379CA"/>
    <w:rsid w:val="00E37D57"/>
    <w:rsid w:val="00E37E27"/>
    <w:rsid w:val="00E409BC"/>
    <w:rsid w:val="00E41134"/>
    <w:rsid w:val="00E41BF1"/>
    <w:rsid w:val="00E41C4F"/>
    <w:rsid w:val="00E42D4A"/>
    <w:rsid w:val="00E43D6A"/>
    <w:rsid w:val="00E43E5D"/>
    <w:rsid w:val="00E457EF"/>
    <w:rsid w:val="00E45A09"/>
    <w:rsid w:val="00E45A88"/>
    <w:rsid w:val="00E45B79"/>
    <w:rsid w:val="00E45CBA"/>
    <w:rsid w:val="00E46E4D"/>
    <w:rsid w:val="00E47340"/>
    <w:rsid w:val="00E47585"/>
    <w:rsid w:val="00E475BB"/>
    <w:rsid w:val="00E478A0"/>
    <w:rsid w:val="00E5116B"/>
    <w:rsid w:val="00E520C9"/>
    <w:rsid w:val="00E52D87"/>
    <w:rsid w:val="00E555B8"/>
    <w:rsid w:val="00E55EDE"/>
    <w:rsid w:val="00E55FD5"/>
    <w:rsid w:val="00E5673E"/>
    <w:rsid w:val="00E60BF5"/>
    <w:rsid w:val="00E61A1D"/>
    <w:rsid w:val="00E63898"/>
    <w:rsid w:val="00E63A4D"/>
    <w:rsid w:val="00E64FF9"/>
    <w:rsid w:val="00E658BC"/>
    <w:rsid w:val="00E661EA"/>
    <w:rsid w:val="00E66871"/>
    <w:rsid w:val="00E66BA0"/>
    <w:rsid w:val="00E670FA"/>
    <w:rsid w:val="00E67658"/>
    <w:rsid w:val="00E676E8"/>
    <w:rsid w:val="00E67CA9"/>
    <w:rsid w:val="00E70888"/>
    <w:rsid w:val="00E725C2"/>
    <w:rsid w:val="00E72660"/>
    <w:rsid w:val="00E726A0"/>
    <w:rsid w:val="00E72DB6"/>
    <w:rsid w:val="00E72F31"/>
    <w:rsid w:val="00E756A0"/>
    <w:rsid w:val="00E8053D"/>
    <w:rsid w:val="00E825F4"/>
    <w:rsid w:val="00E826C3"/>
    <w:rsid w:val="00E82E65"/>
    <w:rsid w:val="00E83651"/>
    <w:rsid w:val="00E84AD9"/>
    <w:rsid w:val="00E85442"/>
    <w:rsid w:val="00E86D08"/>
    <w:rsid w:val="00E90253"/>
    <w:rsid w:val="00E9086D"/>
    <w:rsid w:val="00E91032"/>
    <w:rsid w:val="00E9116F"/>
    <w:rsid w:val="00E91A6A"/>
    <w:rsid w:val="00E91B5E"/>
    <w:rsid w:val="00E92017"/>
    <w:rsid w:val="00E9228F"/>
    <w:rsid w:val="00E929C4"/>
    <w:rsid w:val="00E93087"/>
    <w:rsid w:val="00E94004"/>
    <w:rsid w:val="00E94D8C"/>
    <w:rsid w:val="00E956F9"/>
    <w:rsid w:val="00E95A4F"/>
    <w:rsid w:val="00E970DC"/>
    <w:rsid w:val="00E97223"/>
    <w:rsid w:val="00E97350"/>
    <w:rsid w:val="00E97369"/>
    <w:rsid w:val="00EA03FF"/>
    <w:rsid w:val="00EA257A"/>
    <w:rsid w:val="00EA3367"/>
    <w:rsid w:val="00EA40CD"/>
    <w:rsid w:val="00EA459C"/>
    <w:rsid w:val="00EA475C"/>
    <w:rsid w:val="00EA486A"/>
    <w:rsid w:val="00EA4975"/>
    <w:rsid w:val="00EA52EB"/>
    <w:rsid w:val="00EA5FB1"/>
    <w:rsid w:val="00EA6551"/>
    <w:rsid w:val="00EA6D8E"/>
    <w:rsid w:val="00EB1790"/>
    <w:rsid w:val="00EB31EF"/>
    <w:rsid w:val="00EB3DE1"/>
    <w:rsid w:val="00EB4050"/>
    <w:rsid w:val="00EB4A70"/>
    <w:rsid w:val="00EB4B73"/>
    <w:rsid w:val="00EB526C"/>
    <w:rsid w:val="00EB5931"/>
    <w:rsid w:val="00EB5ECE"/>
    <w:rsid w:val="00EB62BA"/>
    <w:rsid w:val="00EB66B3"/>
    <w:rsid w:val="00EB6A74"/>
    <w:rsid w:val="00EC176B"/>
    <w:rsid w:val="00EC1BAE"/>
    <w:rsid w:val="00EC1EF2"/>
    <w:rsid w:val="00EC2CCA"/>
    <w:rsid w:val="00EC30F1"/>
    <w:rsid w:val="00EC350F"/>
    <w:rsid w:val="00EC3B9C"/>
    <w:rsid w:val="00EC43E5"/>
    <w:rsid w:val="00EC5908"/>
    <w:rsid w:val="00EC5BC4"/>
    <w:rsid w:val="00EC64F9"/>
    <w:rsid w:val="00ED001B"/>
    <w:rsid w:val="00ED03FD"/>
    <w:rsid w:val="00ED07D4"/>
    <w:rsid w:val="00ED1F63"/>
    <w:rsid w:val="00ED4359"/>
    <w:rsid w:val="00ED44A9"/>
    <w:rsid w:val="00ED5397"/>
    <w:rsid w:val="00ED706D"/>
    <w:rsid w:val="00ED70FA"/>
    <w:rsid w:val="00ED747D"/>
    <w:rsid w:val="00EE0021"/>
    <w:rsid w:val="00EE06E5"/>
    <w:rsid w:val="00EE159D"/>
    <w:rsid w:val="00EE1977"/>
    <w:rsid w:val="00EE1DE7"/>
    <w:rsid w:val="00EE2124"/>
    <w:rsid w:val="00EE25BA"/>
    <w:rsid w:val="00EE293B"/>
    <w:rsid w:val="00EE2D37"/>
    <w:rsid w:val="00EE453C"/>
    <w:rsid w:val="00EE4847"/>
    <w:rsid w:val="00EE4910"/>
    <w:rsid w:val="00EE5072"/>
    <w:rsid w:val="00EE5C66"/>
    <w:rsid w:val="00EE62B9"/>
    <w:rsid w:val="00EE638A"/>
    <w:rsid w:val="00EE6493"/>
    <w:rsid w:val="00EE7E0D"/>
    <w:rsid w:val="00EF131A"/>
    <w:rsid w:val="00EF14D6"/>
    <w:rsid w:val="00EF17C5"/>
    <w:rsid w:val="00EF3E16"/>
    <w:rsid w:val="00EF3FF4"/>
    <w:rsid w:val="00EF491C"/>
    <w:rsid w:val="00EF4C7B"/>
    <w:rsid w:val="00EF4E73"/>
    <w:rsid w:val="00EF51D3"/>
    <w:rsid w:val="00EF5C15"/>
    <w:rsid w:val="00EF669A"/>
    <w:rsid w:val="00EF6C55"/>
    <w:rsid w:val="00EF78B6"/>
    <w:rsid w:val="00F01570"/>
    <w:rsid w:val="00F0159C"/>
    <w:rsid w:val="00F01D65"/>
    <w:rsid w:val="00F02A0F"/>
    <w:rsid w:val="00F042BF"/>
    <w:rsid w:val="00F0483F"/>
    <w:rsid w:val="00F06145"/>
    <w:rsid w:val="00F066A2"/>
    <w:rsid w:val="00F06FCE"/>
    <w:rsid w:val="00F071AB"/>
    <w:rsid w:val="00F074E5"/>
    <w:rsid w:val="00F077EE"/>
    <w:rsid w:val="00F1054D"/>
    <w:rsid w:val="00F10628"/>
    <w:rsid w:val="00F10782"/>
    <w:rsid w:val="00F12D39"/>
    <w:rsid w:val="00F13E3E"/>
    <w:rsid w:val="00F143FC"/>
    <w:rsid w:val="00F17446"/>
    <w:rsid w:val="00F1748F"/>
    <w:rsid w:val="00F17E52"/>
    <w:rsid w:val="00F203AB"/>
    <w:rsid w:val="00F205E1"/>
    <w:rsid w:val="00F209E9"/>
    <w:rsid w:val="00F214B9"/>
    <w:rsid w:val="00F217CA"/>
    <w:rsid w:val="00F21A03"/>
    <w:rsid w:val="00F22972"/>
    <w:rsid w:val="00F22C7D"/>
    <w:rsid w:val="00F22C7F"/>
    <w:rsid w:val="00F230AB"/>
    <w:rsid w:val="00F235AD"/>
    <w:rsid w:val="00F23A66"/>
    <w:rsid w:val="00F24AE3"/>
    <w:rsid w:val="00F2504D"/>
    <w:rsid w:val="00F25DA0"/>
    <w:rsid w:val="00F2652D"/>
    <w:rsid w:val="00F26E12"/>
    <w:rsid w:val="00F26FC8"/>
    <w:rsid w:val="00F300FF"/>
    <w:rsid w:val="00F30845"/>
    <w:rsid w:val="00F320BC"/>
    <w:rsid w:val="00F321B0"/>
    <w:rsid w:val="00F32CA9"/>
    <w:rsid w:val="00F336D3"/>
    <w:rsid w:val="00F33C0E"/>
    <w:rsid w:val="00F33E13"/>
    <w:rsid w:val="00F34478"/>
    <w:rsid w:val="00F35A76"/>
    <w:rsid w:val="00F35DF5"/>
    <w:rsid w:val="00F36374"/>
    <w:rsid w:val="00F364D7"/>
    <w:rsid w:val="00F42BFB"/>
    <w:rsid w:val="00F4332B"/>
    <w:rsid w:val="00F437DD"/>
    <w:rsid w:val="00F44370"/>
    <w:rsid w:val="00F45174"/>
    <w:rsid w:val="00F4546E"/>
    <w:rsid w:val="00F45EAA"/>
    <w:rsid w:val="00F46FD8"/>
    <w:rsid w:val="00F478DB"/>
    <w:rsid w:val="00F47D49"/>
    <w:rsid w:val="00F5001E"/>
    <w:rsid w:val="00F50C64"/>
    <w:rsid w:val="00F51299"/>
    <w:rsid w:val="00F521DC"/>
    <w:rsid w:val="00F52CE0"/>
    <w:rsid w:val="00F52E2E"/>
    <w:rsid w:val="00F5314D"/>
    <w:rsid w:val="00F53DF1"/>
    <w:rsid w:val="00F53FFE"/>
    <w:rsid w:val="00F54651"/>
    <w:rsid w:val="00F566C9"/>
    <w:rsid w:val="00F56F3D"/>
    <w:rsid w:val="00F57BEF"/>
    <w:rsid w:val="00F57C55"/>
    <w:rsid w:val="00F57F1C"/>
    <w:rsid w:val="00F60C5C"/>
    <w:rsid w:val="00F60EA7"/>
    <w:rsid w:val="00F61A63"/>
    <w:rsid w:val="00F61EF6"/>
    <w:rsid w:val="00F633A0"/>
    <w:rsid w:val="00F63F19"/>
    <w:rsid w:val="00F64CDC"/>
    <w:rsid w:val="00F65039"/>
    <w:rsid w:val="00F67461"/>
    <w:rsid w:val="00F6798F"/>
    <w:rsid w:val="00F70FAE"/>
    <w:rsid w:val="00F71170"/>
    <w:rsid w:val="00F71326"/>
    <w:rsid w:val="00F7188B"/>
    <w:rsid w:val="00F71EF1"/>
    <w:rsid w:val="00F72428"/>
    <w:rsid w:val="00F72E84"/>
    <w:rsid w:val="00F73D2F"/>
    <w:rsid w:val="00F747B8"/>
    <w:rsid w:val="00F74913"/>
    <w:rsid w:val="00F74BC0"/>
    <w:rsid w:val="00F74BFA"/>
    <w:rsid w:val="00F750AA"/>
    <w:rsid w:val="00F762D9"/>
    <w:rsid w:val="00F768B6"/>
    <w:rsid w:val="00F76B4F"/>
    <w:rsid w:val="00F77200"/>
    <w:rsid w:val="00F77951"/>
    <w:rsid w:val="00F81521"/>
    <w:rsid w:val="00F81A6C"/>
    <w:rsid w:val="00F839D9"/>
    <w:rsid w:val="00F84367"/>
    <w:rsid w:val="00F8445B"/>
    <w:rsid w:val="00F84461"/>
    <w:rsid w:val="00F855E7"/>
    <w:rsid w:val="00F90C9A"/>
    <w:rsid w:val="00F910CC"/>
    <w:rsid w:val="00F91523"/>
    <w:rsid w:val="00F94610"/>
    <w:rsid w:val="00F9469C"/>
    <w:rsid w:val="00F946B6"/>
    <w:rsid w:val="00F94990"/>
    <w:rsid w:val="00F9535D"/>
    <w:rsid w:val="00F96193"/>
    <w:rsid w:val="00F977DE"/>
    <w:rsid w:val="00FA0A9B"/>
    <w:rsid w:val="00FA1C7F"/>
    <w:rsid w:val="00FA21AA"/>
    <w:rsid w:val="00FA22F9"/>
    <w:rsid w:val="00FA3B56"/>
    <w:rsid w:val="00FA5C80"/>
    <w:rsid w:val="00FA5D2F"/>
    <w:rsid w:val="00FA5E43"/>
    <w:rsid w:val="00FA61B9"/>
    <w:rsid w:val="00FA6431"/>
    <w:rsid w:val="00FA72C6"/>
    <w:rsid w:val="00FA783D"/>
    <w:rsid w:val="00FB004E"/>
    <w:rsid w:val="00FB0467"/>
    <w:rsid w:val="00FB1014"/>
    <w:rsid w:val="00FB179C"/>
    <w:rsid w:val="00FB19CE"/>
    <w:rsid w:val="00FB21D5"/>
    <w:rsid w:val="00FB23C9"/>
    <w:rsid w:val="00FB270E"/>
    <w:rsid w:val="00FB2787"/>
    <w:rsid w:val="00FB391E"/>
    <w:rsid w:val="00FB3A39"/>
    <w:rsid w:val="00FB42AD"/>
    <w:rsid w:val="00FB4970"/>
    <w:rsid w:val="00FB4B94"/>
    <w:rsid w:val="00FB5B11"/>
    <w:rsid w:val="00FB6659"/>
    <w:rsid w:val="00FB6B89"/>
    <w:rsid w:val="00FB71CB"/>
    <w:rsid w:val="00FB7245"/>
    <w:rsid w:val="00FB7C19"/>
    <w:rsid w:val="00FB7FE6"/>
    <w:rsid w:val="00FC08F5"/>
    <w:rsid w:val="00FC0A70"/>
    <w:rsid w:val="00FC0D1C"/>
    <w:rsid w:val="00FC1113"/>
    <w:rsid w:val="00FC1896"/>
    <w:rsid w:val="00FC2CF6"/>
    <w:rsid w:val="00FC2E37"/>
    <w:rsid w:val="00FC3ABC"/>
    <w:rsid w:val="00FC44BA"/>
    <w:rsid w:val="00FC4924"/>
    <w:rsid w:val="00FC617C"/>
    <w:rsid w:val="00FC6C58"/>
    <w:rsid w:val="00FC7EB7"/>
    <w:rsid w:val="00FD11B4"/>
    <w:rsid w:val="00FD2D9F"/>
    <w:rsid w:val="00FD43CC"/>
    <w:rsid w:val="00FD44B6"/>
    <w:rsid w:val="00FD4A1A"/>
    <w:rsid w:val="00FD5B85"/>
    <w:rsid w:val="00FD6424"/>
    <w:rsid w:val="00FD6989"/>
    <w:rsid w:val="00FE06A7"/>
    <w:rsid w:val="00FE0BEF"/>
    <w:rsid w:val="00FE1000"/>
    <w:rsid w:val="00FE1479"/>
    <w:rsid w:val="00FE1B19"/>
    <w:rsid w:val="00FE1F01"/>
    <w:rsid w:val="00FE2783"/>
    <w:rsid w:val="00FE371A"/>
    <w:rsid w:val="00FE4363"/>
    <w:rsid w:val="00FE4658"/>
    <w:rsid w:val="00FE4BB5"/>
    <w:rsid w:val="00FE4FCC"/>
    <w:rsid w:val="00FE6313"/>
    <w:rsid w:val="00FE671F"/>
    <w:rsid w:val="00FE676D"/>
    <w:rsid w:val="00FE7306"/>
    <w:rsid w:val="00FE7BFC"/>
    <w:rsid w:val="00FF0395"/>
    <w:rsid w:val="00FF16CD"/>
    <w:rsid w:val="00FF2F5D"/>
    <w:rsid w:val="00FF42FC"/>
    <w:rsid w:val="00FF48B5"/>
    <w:rsid w:val="00FF4914"/>
    <w:rsid w:val="00FF5021"/>
    <w:rsid w:val="00FF5558"/>
    <w:rsid w:val="00FF58F8"/>
    <w:rsid w:val="00FF5C59"/>
    <w:rsid w:val="00FF5D08"/>
    <w:rsid w:val="00FF6027"/>
    <w:rsid w:val="00FF6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004595"/>
    </o:shapedefaults>
    <o:shapelayout v:ext="edit">
      <o:idmap v:ext="edit" data="1"/>
    </o:shapelayout>
  </w:shapeDefaults>
  <w:decimalSymbol w:val=","/>
  <w:listSeparator w:val=";"/>
  <w15:docId w15:val="{B991063C-5452-4320-A3CF-2755C2E4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EFF"/>
    <w:rPr>
      <w:sz w:val="24"/>
      <w:szCs w:val="24"/>
      <w:lang w:eastAsia="en-US"/>
    </w:rPr>
  </w:style>
  <w:style w:type="paragraph" w:styleId="Nadpis1">
    <w:name w:val="heading 1"/>
    <w:basedOn w:val="Normln"/>
    <w:next w:val="Normln"/>
    <w:uiPriority w:val="9"/>
    <w:qFormat/>
    <w:rsid w:val="00BA0EFF"/>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uiPriority w:val="9"/>
    <w:qFormat/>
    <w:rsid w:val="00BA0EFF"/>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83115D"/>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uiPriority w:val="9"/>
    <w:qFormat/>
    <w:rsid w:val="00BA0EFF"/>
    <w:pPr>
      <w:keepNext/>
      <w:outlineLvl w:val="3"/>
    </w:pPr>
    <w:rPr>
      <w:sz w:val="28"/>
      <w:lang w:eastAsia="cs-CZ"/>
    </w:rPr>
  </w:style>
  <w:style w:type="paragraph" w:styleId="Nadpis5">
    <w:name w:val="heading 5"/>
    <w:basedOn w:val="Normln"/>
    <w:next w:val="Normln"/>
    <w:uiPriority w:val="9"/>
    <w:qFormat/>
    <w:rsid w:val="00BA0EFF"/>
    <w:pPr>
      <w:numPr>
        <w:numId w:val="2"/>
      </w:numPr>
      <w:spacing w:before="240" w:after="60"/>
      <w:outlineLvl w:val="4"/>
    </w:pPr>
    <w:rPr>
      <w:b/>
      <w:bCs/>
      <w:i/>
      <w:iCs/>
      <w:sz w:val="26"/>
      <w:szCs w:val="26"/>
    </w:rPr>
  </w:style>
  <w:style w:type="paragraph" w:styleId="Nadpis6">
    <w:name w:val="heading 6"/>
    <w:basedOn w:val="Normln"/>
    <w:next w:val="Normln"/>
    <w:qFormat/>
    <w:rsid w:val="00BA0EFF"/>
    <w:pPr>
      <w:keepNext/>
      <w:outlineLvl w:val="5"/>
    </w:pPr>
    <w:rPr>
      <w:b/>
      <w:bCs/>
      <w:sz w:val="32"/>
      <w:lang w:eastAsia="cs-CZ"/>
    </w:rPr>
  </w:style>
  <w:style w:type="paragraph" w:styleId="Nadpis7">
    <w:name w:val="heading 7"/>
    <w:basedOn w:val="Normln"/>
    <w:next w:val="Normln"/>
    <w:qFormat/>
    <w:rsid w:val="00BA0EFF"/>
    <w:pPr>
      <w:spacing w:before="240" w:after="60"/>
      <w:outlineLvl w:val="6"/>
    </w:pPr>
    <w:rPr>
      <w:lang w:eastAsia="cs-CZ"/>
    </w:rPr>
  </w:style>
  <w:style w:type="paragraph" w:styleId="Nadpis8">
    <w:name w:val="heading 8"/>
    <w:basedOn w:val="Normln"/>
    <w:next w:val="Normln"/>
    <w:qFormat/>
    <w:rsid w:val="00BA0EFF"/>
    <w:pPr>
      <w:spacing w:before="240" w:after="60"/>
      <w:outlineLvl w:val="7"/>
    </w:pPr>
    <w:rPr>
      <w:i/>
      <w:iCs/>
      <w:lang w:eastAsia="cs-CZ"/>
    </w:rPr>
  </w:style>
  <w:style w:type="paragraph" w:styleId="Nadpis9">
    <w:name w:val="heading 9"/>
    <w:basedOn w:val="Normln"/>
    <w:next w:val="Normln"/>
    <w:qFormat/>
    <w:rsid w:val="00BA0EFF"/>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ravodaj1">
    <w:name w:val="Zpravodaj 1"/>
    <w:basedOn w:val="Zkladntext2"/>
    <w:next w:val="Zkladntext2"/>
    <w:rsid w:val="00BA0EFF"/>
    <w:pPr>
      <w:spacing w:after="0" w:line="240" w:lineRule="auto"/>
    </w:pPr>
    <w:rPr>
      <w:rFonts w:ascii="Palatino Linotype" w:hAnsi="Palatino Linotype" w:cs="Arial"/>
      <w:b/>
      <w:bCs/>
      <w:color w:val="000080"/>
      <w:sz w:val="40"/>
    </w:rPr>
  </w:style>
  <w:style w:type="paragraph" w:styleId="Zkladntext2">
    <w:name w:val="Body Text 2"/>
    <w:basedOn w:val="Normln"/>
    <w:semiHidden/>
    <w:rsid w:val="00BA0EFF"/>
    <w:pPr>
      <w:spacing w:after="120" w:line="480" w:lineRule="auto"/>
    </w:pPr>
  </w:style>
  <w:style w:type="paragraph" w:customStyle="1" w:styleId="Zpravodaj2">
    <w:name w:val="Zpravodaj2"/>
    <w:basedOn w:val="Nadpis1"/>
    <w:next w:val="Zkladntext"/>
    <w:rsid w:val="00BA0EFF"/>
    <w:pPr>
      <w:spacing w:before="0" w:after="0"/>
      <w:jc w:val="both"/>
    </w:pPr>
    <w:rPr>
      <w:rFonts w:ascii="Palatino Linotype" w:hAnsi="Palatino Linotype" w:cs="Times New Roman"/>
      <w:kern w:val="0"/>
      <w:sz w:val="28"/>
      <w:szCs w:val="24"/>
    </w:rPr>
  </w:style>
  <w:style w:type="paragraph" w:styleId="Zkladntext">
    <w:name w:val="Body Text"/>
    <w:basedOn w:val="Normln"/>
    <w:semiHidden/>
    <w:rsid w:val="00BA0EFF"/>
    <w:pPr>
      <w:spacing w:after="120"/>
    </w:pPr>
  </w:style>
  <w:style w:type="paragraph" w:customStyle="1" w:styleId="Zpravodaj3">
    <w:name w:val="Zpravodaj3"/>
    <w:basedOn w:val="Nadpis5"/>
    <w:next w:val="Zkladntext"/>
    <w:rsid w:val="00BA0EFF"/>
    <w:pPr>
      <w:keepNext/>
      <w:spacing w:before="0" w:after="0"/>
    </w:pPr>
    <w:rPr>
      <w:rFonts w:ascii="Palatino Linotype" w:hAnsi="Palatino Linotype"/>
      <w:sz w:val="28"/>
      <w:szCs w:val="24"/>
      <w:u w:val="single"/>
    </w:rPr>
  </w:style>
  <w:style w:type="paragraph" w:customStyle="1" w:styleId="KZ-nadpis">
    <w:name w:val="KZ-nadpis"/>
    <w:basedOn w:val="Normln"/>
    <w:next w:val="Normln"/>
    <w:rsid w:val="00BA0EFF"/>
    <w:pPr>
      <w:numPr>
        <w:numId w:val="3"/>
      </w:numPr>
      <w:spacing w:after="120"/>
    </w:pPr>
    <w:rPr>
      <w:b/>
      <w:bCs/>
      <w:sz w:val="28"/>
    </w:rPr>
  </w:style>
  <w:style w:type="paragraph" w:customStyle="1" w:styleId="Pressrelease">
    <w:name w:val="Press release"/>
    <w:basedOn w:val="Normlnweb"/>
    <w:rsid w:val="00BA0EFF"/>
    <w:pPr>
      <w:spacing w:after="120"/>
      <w:ind w:firstLine="720"/>
    </w:pPr>
    <w:rPr>
      <w:b/>
      <w:bCs/>
      <w:i/>
      <w:iCs/>
      <w:lang w:val="en-US"/>
    </w:rPr>
  </w:style>
  <w:style w:type="paragraph" w:styleId="Normlnweb">
    <w:name w:val="Normal (Web)"/>
    <w:basedOn w:val="Normln"/>
    <w:uiPriority w:val="99"/>
    <w:rsid w:val="00BA0EFF"/>
  </w:style>
  <w:style w:type="paragraph" w:styleId="Zhlav">
    <w:name w:val="header"/>
    <w:basedOn w:val="Normln"/>
    <w:semiHidden/>
    <w:rsid w:val="00BA0EFF"/>
    <w:pPr>
      <w:tabs>
        <w:tab w:val="center" w:pos="4536"/>
        <w:tab w:val="right" w:pos="9072"/>
      </w:tabs>
    </w:pPr>
  </w:style>
  <w:style w:type="paragraph" w:styleId="Zpat">
    <w:name w:val="footer"/>
    <w:basedOn w:val="Normln"/>
    <w:link w:val="ZpatChar"/>
    <w:uiPriority w:val="99"/>
    <w:rsid w:val="00BA0EFF"/>
    <w:pPr>
      <w:tabs>
        <w:tab w:val="center" w:pos="4536"/>
        <w:tab w:val="right" w:pos="9072"/>
      </w:tabs>
    </w:pPr>
  </w:style>
  <w:style w:type="character" w:styleId="Hypertextovodkaz">
    <w:name w:val="Hyperlink"/>
    <w:basedOn w:val="Standardnpsmoodstavce"/>
    <w:uiPriority w:val="99"/>
    <w:rsid w:val="00BA0EFF"/>
    <w:rPr>
      <w:color w:val="0000FF"/>
      <w:u w:val="single"/>
    </w:rPr>
  </w:style>
  <w:style w:type="character" w:styleId="slostrnky">
    <w:name w:val="page number"/>
    <w:basedOn w:val="Standardnpsmoodstavce"/>
    <w:semiHidden/>
    <w:rsid w:val="00BA0EFF"/>
  </w:style>
  <w:style w:type="paragraph" w:customStyle="1" w:styleId="Fousteka">
    <w:name w:val="Fous tečka"/>
    <w:basedOn w:val="Normln"/>
    <w:rsid w:val="00BA0EFF"/>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BA0EFF"/>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BA0EFF"/>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BA0EFF"/>
    <w:pPr>
      <w:numPr>
        <w:numId w:val="7"/>
      </w:numPr>
    </w:pPr>
    <w:rPr>
      <w:b/>
      <w:lang w:eastAsia="cs-CZ"/>
    </w:rPr>
  </w:style>
  <w:style w:type="paragraph" w:customStyle="1" w:styleId="NadpisKZ">
    <w:name w:val="Nadpis KZ"/>
    <w:basedOn w:val="Zkladntext2"/>
    <w:rsid w:val="00BA0EFF"/>
    <w:pPr>
      <w:spacing w:before="120" w:after="360" w:line="240" w:lineRule="auto"/>
    </w:pPr>
    <w:rPr>
      <w:b/>
      <w:bCs/>
      <w:sz w:val="32"/>
      <w:lang w:eastAsia="cs-CZ"/>
    </w:rPr>
  </w:style>
  <w:style w:type="paragraph" w:customStyle="1" w:styleId="NormlnKZ">
    <w:name w:val="Normální KZ"/>
    <w:basedOn w:val="Normln"/>
    <w:rsid w:val="00BA0EFF"/>
    <w:pPr>
      <w:spacing w:after="120"/>
      <w:ind w:firstLine="425"/>
      <w:jc w:val="both"/>
    </w:pPr>
    <w:rPr>
      <w:sz w:val="22"/>
      <w:lang w:eastAsia="cs-CZ"/>
    </w:rPr>
  </w:style>
  <w:style w:type="paragraph" w:customStyle="1" w:styleId="vod">
    <w:name w:val="Úvod"/>
    <w:basedOn w:val="Nadpisvod"/>
    <w:rsid w:val="00BA0EFF"/>
    <w:pPr>
      <w:tabs>
        <w:tab w:val="clear" w:pos="360"/>
      </w:tabs>
      <w:ind w:left="0" w:firstLine="0"/>
    </w:pPr>
  </w:style>
  <w:style w:type="paragraph" w:customStyle="1" w:styleId="Nadpisvod">
    <w:name w:val="Nadpis úvod"/>
    <w:basedOn w:val="Nadpis1"/>
    <w:rsid w:val="00BA0EFF"/>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BA0EFF"/>
    <w:rPr>
      <w:vertAlign w:val="superscript"/>
    </w:rPr>
  </w:style>
  <w:style w:type="paragraph" w:styleId="Titulek">
    <w:name w:val="caption"/>
    <w:basedOn w:val="Normln"/>
    <w:next w:val="Normln"/>
    <w:uiPriority w:val="35"/>
    <w:qFormat/>
    <w:rsid w:val="00BA0EFF"/>
    <w:pPr>
      <w:spacing w:before="120" w:after="120"/>
    </w:pPr>
    <w:rPr>
      <w:b/>
      <w:bCs/>
      <w:sz w:val="20"/>
      <w:szCs w:val="20"/>
      <w:lang w:eastAsia="cs-CZ"/>
    </w:rPr>
  </w:style>
  <w:style w:type="paragraph" w:styleId="Zkladntext3">
    <w:name w:val="Body Text 3"/>
    <w:basedOn w:val="Normln"/>
    <w:link w:val="Zkladntext3Char"/>
    <w:semiHidden/>
    <w:rsid w:val="00BA0EFF"/>
    <w:pPr>
      <w:jc w:val="center"/>
    </w:pPr>
    <w:rPr>
      <w:szCs w:val="20"/>
    </w:rPr>
  </w:style>
  <w:style w:type="paragraph" w:styleId="Textpoznpodarou">
    <w:name w:val="footnote text"/>
    <w:basedOn w:val="Normln"/>
    <w:link w:val="TextpoznpodarouChar"/>
    <w:uiPriority w:val="99"/>
    <w:rsid w:val="00BA0EFF"/>
    <w:rPr>
      <w:sz w:val="20"/>
      <w:szCs w:val="20"/>
      <w:lang w:eastAsia="cs-CZ"/>
    </w:rPr>
  </w:style>
  <w:style w:type="paragraph" w:customStyle="1" w:styleId="Normln0">
    <w:name w:val="Norm‡ln’"/>
    <w:rsid w:val="00BA0EFF"/>
    <w:pPr>
      <w:overflowPunct w:val="0"/>
      <w:autoSpaceDE w:val="0"/>
      <w:autoSpaceDN w:val="0"/>
      <w:adjustRightInd w:val="0"/>
      <w:textAlignment w:val="baseline"/>
    </w:pPr>
    <w:rPr>
      <w:sz w:val="24"/>
    </w:rPr>
  </w:style>
  <w:style w:type="character" w:styleId="Sledovanodkaz">
    <w:name w:val="FollowedHyperlink"/>
    <w:basedOn w:val="Standardnpsmoodstavce"/>
    <w:semiHidden/>
    <w:rsid w:val="00BA0EFF"/>
    <w:rPr>
      <w:color w:val="800080"/>
      <w:u w:val="single"/>
    </w:rPr>
  </w:style>
  <w:style w:type="paragraph" w:styleId="Odstavecseseznamem">
    <w:name w:val="List Paragraph"/>
    <w:aliases w:val="Nadpis pro KZ"/>
    <w:basedOn w:val="Normln"/>
    <w:link w:val="OdstavecseseznamemChar"/>
    <w:uiPriority w:val="34"/>
    <w:qFormat/>
    <w:rsid w:val="00BA0EFF"/>
    <w:pPr>
      <w:ind w:left="720"/>
      <w:contextualSpacing/>
    </w:pPr>
  </w:style>
  <w:style w:type="character" w:customStyle="1" w:styleId="ZkladntextChar">
    <w:name w:val="Základní text Char"/>
    <w:basedOn w:val="Standardnpsmoodstavce"/>
    <w:rsid w:val="00BA0EFF"/>
    <w:rPr>
      <w:sz w:val="24"/>
      <w:szCs w:val="24"/>
      <w:lang w:eastAsia="en-US"/>
    </w:rPr>
  </w:style>
  <w:style w:type="paragraph" w:styleId="Textbubliny">
    <w:name w:val="Balloon Text"/>
    <w:basedOn w:val="Normln"/>
    <w:semiHidden/>
    <w:unhideWhenUsed/>
    <w:rsid w:val="00BA0EFF"/>
    <w:rPr>
      <w:rFonts w:ascii="Tahoma" w:hAnsi="Tahoma" w:cs="Tahoma"/>
      <w:sz w:val="16"/>
      <w:szCs w:val="16"/>
    </w:rPr>
  </w:style>
  <w:style w:type="character" w:customStyle="1" w:styleId="TextbublinyChar">
    <w:name w:val="Text bubliny Char"/>
    <w:basedOn w:val="Standardnpsmoodstavce"/>
    <w:semiHidden/>
    <w:rsid w:val="00BA0EFF"/>
    <w:rPr>
      <w:rFonts w:ascii="Tahoma" w:hAnsi="Tahoma" w:cs="Tahoma"/>
      <w:sz w:val="16"/>
      <w:szCs w:val="16"/>
      <w:lang w:eastAsia="en-US"/>
    </w:rPr>
  </w:style>
  <w:style w:type="paragraph" w:styleId="Textvysvtlivek">
    <w:name w:val="endnote text"/>
    <w:basedOn w:val="Normln"/>
    <w:semiHidden/>
    <w:unhideWhenUsed/>
    <w:rsid w:val="00BA0EFF"/>
    <w:rPr>
      <w:sz w:val="20"/>
      <w:szCs w:val="20"/>
    </w:rPr>
  </w:style>
  <w:style w:type="character" w:customStyle="1" w:styleId="TextvysvtlivekChar">
    <w:name w:val="Text vysvětlivek Char"/>
    <w:basedOn w:val="Standardnpsmoodstavce"/>
    <w:semiHidden/>
    <w:rsid w:val="00BA0EFF"/>
    <w:rPr>
      <w:lang w:eastAsia="en-US"/>
    </w:rPr>
  </w:style>
  <w:style w:type="character" w:styleId="Odkaznavysvtlivky">
    <w:name w:val="endnote reference"/>
    <w:basedOn w:val="Standardnpsmoodstavce"/>
    <w:semiHidden/>
    <w:unhideWhenUsed/>
    <w:rsid w:val="00BA0EFF"/>
    <w:rPr>
      <w:vertAlign w:val="superscript"/>
    </w:rPr>
  </w:style>
  <w:style w:type="character" w:styleId="Odkaznakoment">
    <w:name w:val="annotation reference"/>
    <w:basedOn w:val="Standardnpsmoodstavce"/>
    <w:uiPriority w:val="99"/>
    <w:semiHidden/>
    <w:unhideWhenUsed/>
    <w:rsid w:val="00BA0EFF"/>
    <w:rPr>
      <w:sz w:val="16"/>
      <w:szCs w:val="16"/>
    </w:rPr>
  </w:style>
  <w:style w:type="paragraph" w:styleId="Textkomente">
    <w:name w:val="annotation text"/>
    <w:basedOn w:val="Normln"/>
    <w:semiHidden/>
    <w:unhideWhenUsed/>
    <w:rsid w:val="00BA0EFF"/>
    <w:rPr>
      <w:sz w:val="20"/>
      <w:szCs w:val="20"/>
    </w:rPr>
  </w:style>
  <w:style w:type="character" w:customStyle="1" w:styleId="TextkomenteChar">
    <w:name w:val="Text komentáře Char"/>
    <w:basedOn w:val="Standardnpsmoodstavce"/>
    <w:semiHidden/>
    <w:rsid w:val="00BA0EFF"/>
    <w:rPr>
      <w:lang w:eastAsia="en-US"/>
    </w:rPr>
  </w:style>
  <w:style w:type="paragraph" w:styleId="Pedmtkomente">
    <w:name w:val="annotation subject"/>
    <w:basedOn w:val="Textkomente"/>
    <w:next w:val="Textkomente"/>
    <w:semiHidden/>
    <w:unhideWhenUsed/>
    <w:rsid w:val="00BA0EFF"/>
    <w:rPr>
      <w:b/>
      <w:bCs/>
    </w:rPr>
  </w:style>
  <w:style w:type="character" w:customStyle="1" w:styleId="PedmtkomenteChar">
    <w:name w:val="Předmět komentáře Char"/>
    <w:basedOn w:val="TextkomenteChar"/>
    <w:semiHidden/>
    <w:rsid w:val="00BA0EFF"/>
    <w:rPr>
      <w:b/>
      <w:bCs/>
      <w:lang w:eastAsia="en-US"/>
    </w:rPr>
  </w:style>
  <w:style w:type="paragraph" w:styleId="Revize">
    <w:name w:val="Revision"/>
    <w:hidden/>
    <w:semiHidden/>
    <w:rsid w:val="00BA0EFF"/>
    <w:rPr>
      <w:sz w:val="24"/>
      <w:szCs w:val="24"/>
      <w:lang w:eastAsia="en-US"/>
    </w:rPr>
  </w:style>
  <w:style w:type="character" w:customStyle="1" w:styleId="Zkladntext3Char">
    <w:name w:val="Základní text 3 Char"/>
    <w:basedOn w:val="Standardnpsmoodstavce"/>
    <w:link w:val="Zkladntext3"/>
    <w:semiHidden/>
    <w:rsid w:val="00CD0F0B"/>
    <w:rPr>
      <w:sz w:val="24"/>
      <w:lang w:eastAsia="en-US"/>
    </w:rPr>
  </w:style>
  <w:style w:type="paragraph" w:customStyle="1" w:styleId="Nadpisrovn3">
    <w:name w:val="Nadpis úrovně 3"/>
    <w:basedOn w:val="NormlnKZ"/>
    <w:next w:val="NormlnKZ"/>
    <w:rsid w:val="007E0F01"/>
    <w:pPr>
      <w:keepNext/>
      <w:spacing w:before="240"/>
      <w:ind w:firstLine="0"/>
      <w:jc w:val="left"/>
    </w:pPr>
    <w:rPr>
      <w:b/>
      <w:sz w:val="26"/>
    </w:rPr>
  </w:style>
  <w:style w:type="character" w:customStyle="1" w:styleId="Nadpis3Char">
    <w:name w:val="Nadpis 3 Char"/>
    <w:basedOn w:val="Standardnpsmoodstavce"/>
    <w:link w:val="Nadpis3"/>
    <w:uiPriority w:val="9"/>
    <w:rsid w:val="0083115D"/>
    <w:rPr>
      <w:rFonts w:ascii="Arial" w:hAnsi="Arial" w:cs="Arial"/>
      <w:b/>
      <w:bCs/>
      <w:iCs/>
      <w:sz w:val="26"/>
      <w:szCs w:val="26"/>
      <w:lang w:eastAsia="en-US"/>
    </w:rPr>
  </w:style>
  <w:style w:type="paragraph" w:styleId="Bezmezer">
    <w:name w:val="No Spacing"/>
    <w:basedOn w:val="Normln"/>
    <w:uiPriority w:val="1"/>
    <w:qFormat/>
    <w:rsid w:val="00157385"/>
    <w:pPr>
      <w:spacing w:after="120"/>
      <w:ind w:firstLine="567"/>
      <w:jc w:val="both"/>
    </w:pPr>
    <w:rPr>
      <w:rFonts w:ascii="Arial" w:hAnsi="Arial" w:cs="Arial"/>
      <w:sz w:val="22"/>
      <w:szCs w:val="22"/>
    </w:rPr>
  </w:style>
  <w:style w:type="character" w:customStyle="1" w:styleId="TextpoznpodarouChar">
    <w:name w:val="Text pozn. pod čarou Char"/>
    <w:basedOn w:val="Standardnpsmoodstavce"/>
    <w:link w:val="Textpoznpodarou"/>
    <w:uiPriority w:val="99"/>
    <w:rsid w:val="00131367"/>
  </w:style>
  <w:style w:type="character" w:customStyle="1" w:styleId="ZpatChar">
    <w:name w:val="Zápatí Char"/>
    <w:basedOn w:val="Standardnpsmoodstavce"/>
    <w:link w:val="Zpat"/>
    <w:uiPriority w:val="99"/>
    <w:rsid w:val="00C953C5"/>
    <w:rPr>
      <w:sz w:val="24"/>
      <w:szCs w:val="24"/>
      <w:lang w:eastAsia="en-US"/>
    </w:rPr>
  </w:style>
  <w:style w:type="character" w:customStyle="1" w:styleId="OdstavecseseznamemChar">
    <w:name w:val="Odstavec se seznamem Char"/>
    <w:aliases w:val="Nadpis pro KZ Char"/>
    <w:link w:val="Odstavecseseznamem"/>
    <w:uiPriority w:val="34"/>
    <w:locked/>
    <w:rsid w:val="001326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9702">
      <w:bodyDiv w:val="1"/>
      <w:marLeft w:val="0"/>
      <w:marRight w:val="0"/>
      <w:marTop w:val="0"/>
      <w:marBottom w:val="0"/>
      <w:divBdr>
        <w:top w:val="none" w:sz="0" w:space="0" w:color="auto"/>
        <w:left w:val="none" w:sz="0" w:space="0" w:color="auto"/>
        <w:bottom w:val="none" w:sz="0" w:space="0" w:color="auto"/>
        <w:right w:val="none" w:sz="0" w:space="0" w:color="auto"/>
      </w:divBdr>
    </w:div>
    <w:div w:id="1420368012">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onitor.statnipoklad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06411-AB8B-467F-BC19-6A803C511037}"/>
</file>

<file path=customXml/itemProps2.xml><?xml version="1.0" encoding="utf-8"?>
<ds:datastoreItem xmlns:ds="http://schemas.openxmlformats.org/officeDocument/2006/customXml" ds:itemID="{D6A65570-E5FE-4421-A6AE-1299BA349238}"/>
</file>

<file path=customXml/itemProps3.xml><?xml version="1.0" encoding="utf-8"?>
<ds:datastoreItem xmlns:ds="http://schemas.openxmlformats.org/officeDocument/2006/customXml" ds:itemID="{2F778051-A4F1-49D1-845A-BEE418E7E1F0}"/>
</file>

<file path=customXml/itemProps4.xml><?xml version="1.0" encoding="utf-8"?>
<ds:datastoreItem xmlns:ds="http://schemas.openxmlformats.org/officeDocument/2006/customXml" ds:itemID="{AA1F61CE-7310-4D41-BDD9-FECA7FFA8581}"/>
</file>

<file path=docProps/app.xml><?xml version="1.0" encoding="utf-8"?>
<Properties xmlns="http://schemas.openxmlformats.org/officeDocument/2006/extended-properties" xmlns:vt="http://schemas.openxmlformats.org/officeDocument/2006/docPropsVTypes">
  <Template>775707A3.dotm</Template>
  <TotalTime>0</TotalTime>
  <Pages>14</Pages>
  <Words>5174</Words>
  <Characters>30530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Kontrolní závěr z kontrolní akce NKÚ č. 15/19 - Závěrečný účet kapitoly státního rozpočtu Ministerstvo kultury za rok 2014, účetní závěrka Ministerstva kultury za rok 2014 a údaje předkládané Ministerstvem kultury pro hodnocení plnění státního rozpočtu za</vt:lpstr>
    </vt:vector>
  </TitlesOfParts>
  <Company>NKU</Company>
  <LinksUpToDate>false</LinksUpToDate>
  <CharactersWithSpaces>35633</CharactersWithSpaces>
  <SharedDoc>false</SharedDoc>
  <HLinks>
    <vt:vector size="6" baseType="variant">
      <vt:variant>
        <vt:i4>4390930</vt:i4>
      </vt:variant>
      <vt:variant>
        <vt:i4>0</vt:i4>
      </vt:variant>
      <vt:variant>
        <vt:i4>0</vt:i4>
      </vt:variant>
      <vt:variant>
        <vt:i4>5</vt:i4>
      </vt:variant>
      <vt:variant>
        <vt:lpwstr>http://wwwinfo.mfcr.cz/ufis/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15/19 - Závěrečný účet kapitoly státního rozpočtu Ministerstvo kultury za rok 2014, účetní závěrka Ministerstva kultury za rok 2014 a údaje předkládané Ministerstvem kultury pro hodnocení plnění státního rozpočtu za</dc:title>
  <dc:creator>Nejvyšší kontrolní úřad</dc:creator>
  <dc:description/>
  <cp:lastModifiedBy>KOKRDA Daniel</cp:lastModifiedBy>
  <cp:revision>2</cp:revision>
  <cp:lastPrinted>2016-03-23T13:44:00Z</cp:lastPrinted>
  <dcterms:created xsi:type="dcterms:W3CDTF">2016-03-30T08:46:00Z</dcterms:created>
  <dcterms:modified xsi:type="dcterms:W3CDTF">2016-03-30T08:46:00Z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14/18-NKU30/5/15</vt:lpwstr>
  </property>
  <property fmtid="{D5CDD505-2E9C-101B-9397-08002B2CF9AE}" pid="3" name="SZ_Spis_Pisemnost">
    <vt:lpwstr>14/18</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*B000225290*</vt:lpwstr>
  </property>
  <property fmtid="{D5CDD505-2E9C-101B-9397-08002B2CF9AE}" pid="7" name="DisplayName_CisloObalky_PostaOdes">
    <vt:lpwstr>{DisplayName_CisloObalky_PostaOdes}</vt:lpwstr>
  </property>
  <property fmtid="{D5CDD505-2E9C-101B-9397-08002B2CF9AE}" pid="8" name="EC_Pisemnost">
    <vt:lpwstr>15-118/NKÚ</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1/0</vt:lpwstr>
  </property>
  <property fmtid="{D5CDD505-2E9C-101B-9397-08002B2CF9AE}" pid="18" name="Vec_Pisemnost">
    <vt:lpwstr>Návrh kontrolního závěru 14/18 do připomínek</vt:lpwstr>
  </property>
  <property fmtid="{D5CDD505-2E9C-101B-9397-08002B2CF9AE}" pid="19" name="DatumPoriz_Pisemnost">
    <vt:lpwstr>6.1.2015</vt:lpwstr>
  </property>
  <property fmtid="{D5CDD505-2E9C-101B-9397-08002B2CF9AE}" pid="20" name="Contact_PostaOdes_All">
    <vt:lpwstr>ROZDĚLOVNÍK...</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y fmtid="{D5CDD505-2E9C-101B-9397-08002B2CF9AE}" pid="27" name="SmlouvaCislo">
    <vt:lpwstr>ČÍSLO SMLOUVY</vt:lpwstr>
  </property>
</Properties>
</file>