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C37A6" w14:textId="77777777" w:rsidR="00E47DAC" w:rsidRPr="00734C2E" w:rsidRDefault="00220BE9">
      <w:pPr>
        <w:pStyle w:val="Nadpis9"/>
        <w:spacing w:before="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8F854ED" wp14:editId="29DEEC0E">
            <wp:extent cx="786765" cy="56070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7DAC" w:rsidRPr="00734C2E">
        <w:rPr>
          <w:rFonts w:ascii="Arial" w:hAnsi="Arial" w:cs="Arial"/>
          <w:b/>
        </w:rPr>
        <w:t xml:space="preserve"> </w:t>
      </w:r>
    </w:p>
    <w:p w14:paraId="085FBAEB" w14:textId="77777777" w:rsidR="00E05B24" w:rsidRPr="00FB1303" w:rsidRDefault="00E05B24" w:rsidP="00E05B24">
      <w:pPr>
        <w:rPr>
          <w:rFonts w:asciiTheme="minorHAnsi" w:hAnsiTheme="minorHAnsi" w:cstheme="minorHAnsi"/>
        </w:rPr>
      </w:pPr>
    </w:p>
    <w:p w14:paraId="5B927427" w14:textId="77777777" w:rsidR="008A11A2" w:rsidRPr="00FB1303" w:rsidRDefault="008A11A2" w:rsidP="00E05B24">
      <w:pPr>
        <w:rPr>
          <w:rFonts w:asciiTheme="minorHAnsi" w:hAnsiTheme="minorHAnsi" w:cstheme="minorHAnsi"/>
        </w:rPr>
      </w:pPr>
    </w:p>
    <w:p w14:paraId="1C7EF182" w14:textId="77777777" w:rsidR="00320176" w:rsidRPr="00FB1303" w:rsidRDefault="00320176" w:rsidP="00E05B24">
      <w:pPr>
        <w:rPr>
          <w:rFonts w:asciiTheme="minorHAnsi" w:hAnsiTheme="minorHAnsi" w:cstheme="minorHAnsi"/>
        </w:rPr>
      </w:pPr>
    </w:p>
    <w:p w14:paraId="4D03CCEF" w14:textId="77777777" w:rsidR="00E47DAC" w:rsidRDefault="00E47DAC">
      <w:pPr>
        <w:pStyle w:val="Nadpis9"/>
        <w:spacing w:before="0" w:after="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2E505E">
        <w:rPr>
          <w:rFonts w:asciiTheme="minorHAnsi" w:hAnsiTheme="minorHAnsi" w:cstheme="minorHAnsi"/>
          <w:b/>
          <w:sz w:val="28"/>
          <w:szCs w:val="28"/>
        </w:rPr>
        <w:t xml:space="preserve">Kontrolní závěr </w:t>
      </w:r>
      <w:r w:rsidR="00923452">
        <w:rPr>
          <w:rFonts w:asciiTheme="minorHAnsi" w:hAnsiTheme="minorHAnsi" w:cstheme="minorHAnsi"/>
          <w:b/>
          <w:sz w:val="28"/>
          <w:szCs w:val="28"/>
        </w:rPr>
        <w:t>z </w:t>
      </w:r>
      <w:r w:rsidRPr="002E505E">
        <w:rPr>
          <w:rFonts w:asciiTheme="minorHAnsi" w:hAnsiTheme="minorHAnsi" w:cstheme="minorHAnsi"/>
          <w:b/>
          <w:sz w:val="28"/>
          <w:szCs w:val="28"/>
        </w:rPr>
        <w:t>kontrolní akce</w:t>
      </w:r>
    </w:p>
    <w:p w14:paraId="25D9DC52" w14:textId="77777777" w:rsidR="00DA0304" w:rsidRPr="00E05B24" w:rsidRDefault="00DA0304" w:rsidP="00DA0304">
      <w:pPr>
        <w:rPr>
          <w:rFonts w:asciiTheme="minorHAnsi" w:hAnsiTheme="minorHAnsi" w:cstheme="minorHAnsi"/>
          <w:sz w:val="22"/>
          <w:szCs w:val="22"/>
        </w:rPr>
      </w:pPr>
    </w:p>
    <w:p w14:paraId="31E5F40E" w14:textId="77777777" w:rsidR="00E47DAC" w:rsidRDefault="004379AD">
      <w:pPr>
        <w:ind w:right="6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505E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C544A5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553974" w:rsidRPr="002E505E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2E1FF6">
        <w:rPr>
          <w:rFonts w:asciiTheme="minorHAnsi" w:hAnsiTheme="minorHAnsi" w:cstheme="minorHAnsi"/>
          <w:b/>
          <w:bCs/>
          <w:sz w:val="28"/>
          <w:szCs w:val="28"/>
        </w:rPr>
        <w:t>22</w:t>
      </w:r>
    </w:p>
    <w:p w14:paraId="5DD094C0" w14:textId="77777777" w:rsidR="00DA0304" w:rsidRPr="00E05B24" w:rsidRDefault="00DA0304">
      <w:pPr>
        <w:ind w:right="6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E77786" w14:textId="77777777" w:rsidR="00D57680" w:rsidRDefault="00FA6294" w:rsidP="002E1FF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</w:t>
      </w:r>
      <w:r w:rsidR="00115E22">
        <w:rPr>
          <w:rFonts w:asciiTheme="minorHAnsi" w:hAnsiTheme="minorHAnsi" w:cstheme="minorHAnsi"/>
          <w:b/>
          <w:sz w:val="28"/>
          <w:szCs w:val="28"/>
        </w:rPr>
        <w:t>eněžní prostředky</w:t>
      </w:r>
      <w:r w:rsidR="00400AB0">
        <w:rPr>
          <w:rFonts w:asciiTheme="minorHAnsi" w:hAnsiTheme="minorHAnsi" w:cstheme="minorHAnsi"/>
          <w:b/>
          <w:sz w:val="28"/>
          <w:szCs w:val="28"/>
        </w:rPr>
        <w:t xml:space="preserve"> státního rozpočtu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E1FF6">
        <w:rPr>
          <w:rFonts w:asciiTheme="minorHAnsi" w:hAnsiTheme="minorHAnsi" w:cstheme="minorHAnsi"/>
          <w:b/>
          <w:sz w:val="28"/>
          <w:szCs w:val="28"/>
        </w:rPr>
        <w:t xml:space="preserve">poskytované </w:t>
      </w:r>
    </w:p>
    <w:p w14:paraId="3BE10721" w14:textId="77777777" w:rsidR="002E1FF6" w:rsidRPr="002E505E" w:rsidRDefault="002E1FF6" w:rsidP="002E1FF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>na veřejnou službu</w:t>
      </w:r>
      <w:r w:rsidR="00D57680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v drážní osobní dopravě</w:t>
      </w:r>
    </w:p>
    <w:bookmarkEnd w:id="0"/>
    <w:p w14:paraId="42DB4059" w14:textId="77777777" w:rsidR="00115E22" w:rsidRPr="002E505E" w:rsidRDefault="00115E22" w:rsidP="00115E22">
      <w:pPr>
        <w:jc w:val="center"/>
        <w:rPr>
          <w:rFonts w:asciiTheme="minorHAnsi" w:hAnsiTheme="minorHAnsi" w:cstheme="minorHAnsi"/>
          <w:b/>
        </w:rPr>
      </w:pPr>
    </w:p>
    <w:p w14:paraId="70407B7C" w14:textId="77777777" w:rsidR="00E47DAC" w:rsidRPr="002E505E" w:rsidRDefault="00E47DAC">
      <w:pPr>
        <w:rPr>
          <w:rFonts w:asciiTheme="minorHAnsi" w:hAnsiTheme="minorHAnsi" w:cstheme="minorHAnsi"/>
        </w:rPr>
      </w:pPr>
    </w:p>
    <w:p w14:paraId="74CE2620" w14:textId="77777777" w:rsidR="00E47DAC" w:rsidRPr="002E505E" w:rsidRDefault="00E47DAC">
      <w:pPr>
        <w:pStyle w:val="Zkladn"/>
        <w:spacing w:before="0"/>
        <w:rPr>
          <w:rFonts w:asciiTheme="minorHAnsi" w:hAnsiTheme="minorHAnsi" w:cstheme="minorHAnsi"/>
        </w:rPr>
      </w:pPr>
      <w:r w:rsidRPr="002E505E">
        <w:rPr>
          <w:rFonts w:asciiTheme="minorHAnsi" w:hAnsiTheme="minorHAnsi" w:cstheme="minorHAnsi"/>
        </w:rPr>
        <w:t>Kontrolní akce byla zařazena do plánu kontrolní činnosti Nejvyšší</w:t>
      </w:r>
      <w:r w:rsidR="005E1DE6">
        <w:rPr>
          <w:rFonts w:asciiTheme="minorHAnsi" w:hAnsiTheme="minorHAnsi" w:cstheme="minorHAnsi"/>
        </w:rPr>
        <w:t>ho kontrolního úřadu (dále NKÚ</w:t>
      </w:r>
      <w:r w:rsidRPr="002E505E">
        <w:rPr>
          <w:rFonts w:asciiTheme="minorHAnsi" w:hAnsiTheme="minorHAnsi" w:cstheme="minorHAnsi"/>
        </w:rPr>
        <w:t>) na rok 20</w:t>
      </w:r>
      <w:r w:rsidR="004379AD" w:rsidRPr="002E505E">
        <w:rPr>
          <w:rFonts w:asciiTheme="minorHAnsi" w:hAnsiTheme="minorHAnsi" w:cstheme="minorHAnsi"/>
        </w:rPr>
        <w:t>1</w:t>
      </w:r>
      <w:r w:rsidR="00C16C7D">
        <w:rPr>
          <w:rFonts w:asciiTheme="minorHAnsi" w:hAnsiTheme="minorHAnsi" w:cstheme="minorHAnsi"/>
        </w:rPr>
        <w:t>5</w:t>
      </w:r>
      <w:r w:rsidRPr="002E505E">
        <w:rPr>
          <w:rFonts w:asciiTheme="minorHAnsi" w:hAnsiTheme="minorHAnsi" w:cstheme="minorHAnsi"/>
        </w:rPr>
        <w:t xml:space="preserve"> pod číslem </w:t>
      </w:r>
      <w:r w:rsidR="004379AD" w:rsidRPr="002E505E">
        <w:rPr>
          <w:rFonts w:asciiTheme="minorHAnsi" w:hAnsiTheme="minorHAnsi" w:cstheme="minorHAnsi"/>
        </w:rPr>
        <w:t>1</w:t>
      </w:r>
      <w:r w:rsidR="00FA6294">
        <w:rPr>
          <w:rFonts w:asciiTheme="minorHAnsi" w:hAnsiTheme="minorHAnsi" w:cstheme="minorHAnsi"/>
        </w:rPr>
        <w:t>5</w:t>
      </w:r>
      <w:r w:rsidRPr="002E505E">
        <w:rPr>
          <w:rFonts w:asciiTheme="minorHAnsi" w:hAnsiTheme="minorHAnsi" w:cstheme="minorHAnsi"/>
        </w:rPr>
        <w:t>/</w:t>
      </w:r>
      <w:r w:rsidR="002E1FF6">
        <w:rPr>
          <w:rFonts w:asciiTheme="minorHAnsi" w:hAnsiTheme="minorHAnsi" w:cstheme="minorHAnsi"/>
        </w:rPr>
        <w:t>22</w:t>
      </w:r>
      <w:r w:rsidRPr="002E505E">
        <w:rPr>
          <w:rFonts w:asciiTheme="minorHAnsi" w:hAnsiTheme="minorHAnsi" w:cstheme="minorHAnsi"/>
        </w:rPr>
        <w:t xml:space="preserve">. Kontrolní akci řídil a kontrolní závěr vypracoval člen NKÚ Ing. Jiří </w:t>
      </w:r>
      <w:r w:rsidR="00DD1F0E" w:rsidRPr="002E505E">
        <w:rPr>
          <w:rFonts w:asciiTheme="minorHAnsi" w:hAnsiTheme="minorHAnsi" w:cstheme="minorHAnsi"/>
        </w:rPr>
        <w:t>Adámek</w:t>
      </w:r>
      <w:r w:rsidRPr="002E505E">
        <w:rPr>
          <w:rFonts w:asciiTheme="minorHAnsi" w:hAnsiTheme="minorHAnsi" w:cstheme="minorHAnsi"/>
        </w:rPr>
        <w:t xml:space="preserve">. </w:t>
      </w:r>
    </w:p>
    <w:p w14:paraId="239990FD" w14:textId="77777777" w:rsidR="00D86778" w:rsidRDefault="00D86778" w:rsidP="0014414B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</w:p>
    <w:p w14:paraId="555BFB06" w14:textId="77777777" w:rsidR="00106613" w:rsidRDefault="005B57A3" w:rsidP="00106613">
      <w:pPr>
        <w:pStyle w:val="Zkladntextodsazen"/>
        <w:ind w:left="0"/>
        <w:contextualSpacing/>
        <w:jc w:val="both"/>
        <w:rPr>
          <w:rFonts w:asciiTheme="minorHAnsi" w:hAnsiTheme="minorHAnsi" w:cstheme="minorHAnsi"/>
        </w:rPr>
      </w:pPr>
      <w:r w:rsidRPr="002E505E">
        <w:rPr>
          <w:rFonts w:asciiTheme="minorHAnsi" w:hAnsiTheme="minorHAnsi" w:cstheme="minorHAnsi"/>
        </w:rPr>
        <w:t>Cílem kontroly bylo prověřit</w:t>
      </w:r>
      <w:r w:rsidR="002E1FF6">
        <w:rPr>
          <w:rFonts w:asciiTheme="minorHAnsi" w:hAnsiTheme="minorHAnsi" w:cstheme="minorHAnsi"/>
        </w:rPr>
        <w:t xml:space="preserve"> systém</w:t>
      </w:r>
      <w:r w:rsidR="00FA6294">
        <w:rPr>
          <w:rFonts w:asciiTheme="minorHAnsi" w:hAnsiTheme="minorHAnsi" w:cstheme="minorHAnsi"/>
        </w:rPr>
        <w:t xml:space="preserve"> poskytování, čerpání a použití peněžních prostředků </w:t>
      </w:r>
      <w:r w:rsidR="002E1FF6">
        <w:rPr>
          <w:rFonts w:asciiTheme="minorHAnsi" w:hAnsiTheme="minorHAnsi" w:cstheme="minorHAnsi"/>
        </w:rPr>
        <w:t>státního rozpočtu na veřejnou službu v drážní osobní dopravě</w:t>
      </w:r>
      <w:r w:rsidR="00A14E55">
        <w:rPr>
          <w:rFonts w:asciiTheme="minorHAnsi" w:hAnsiTheme="minorHAnsi" w:cstheme="minorHAnsi"/>
        </w:rPr>
        <w:t>.</w:t>
      </w:r>
    </w:p>
    <w:p w14:paraId="44B9E919" w14:textId="77777777" w:rsidR="00106613" w:rsidRDefault="00106613" w:rsidP="00106613">
      <w:pPr>
        <w:pStyle w:val="Zkladntextodsazen"/>
        <w:ind w:left="0"/>
        <w:contextualSpacing/>
        <w:jc w:val="both"/>
        <w:rPr>
          <w:rFonts w:asciiTheme="minorHAnsi" w:hAnsiTheme="minorHAnsi" w:cstheme="minorHAnsi"/>
        </w:rPr>
      </w:pPr>
    </w:p>
    <w:p w14:paraId="2B304EB5" w14:textId="77777777" w:rsidR="00106613" w:rsidRDefault="008409FA" w:rsidP="00106613">
      <w:pPr>
        <w:pStyle w:val="Zkladntextodsazen"/>
        <w:ind w:left="0"/>
        <w:contextualSpacing/>
        <w:jc w:val="both"/>
        <w:rPr>
          <w:rFonts w:asciiTheme="minorHAnsi" w:hAnsiTheme="minorHAnsi" w:cstheme="minorHAnsi"/>
        </w:rPr>
      </w:pPr>
      <w:r w:rsidRPr="002E505E">
        <w:rPr>
          <w:rFonts w:asciiTheme="minorHAnsi" w:hAnsiTheme="minorHAnsi" w:cstheme="minorHAnsi"/>
        </w:rPr>
        <w:t>Kontrolováno bylo</w:t>
      </w:r>
      <w:r w:rsidR="00637B66" w:rsidRPr="002E505E">
        <w:rPr>
          <w:rFonts w:asciiTheme="minorHAnsi" w:hAnsiTheme="minorHAnsi" w:cstheme="minorHAnsi"/>
        </w:rPr>
        <w:t xml:space="preserve"> </w:t>
      </w:r>
      <w:r w:rsidR="00E47DAC" w:rsidRPr="002E505E">
        <w:rPr>
          <w:rFonts w:asciiTheme="minorHAnsi" w:hAnsiTheme="minorHAnsi" w:cstheme="minorHAnsi"/>
        </w:rPr>
        <w:t>období</w:t>
      </w:r>
      <w:r w:rsidR="00115E22">
        <w:rPr>
          <w:rFonts w:asciiTheme="minorHAnsi" w:hAnsiTheme="minorHAnsi" w:cstheme="minorHAnsi"/>
        </w:rPr>
        <w:t xml:space="preserve"> </w:t>
      </w:r>
      <w:r w:rsidR="00A14E55">
        <w:rPr>
          <w:rFonts w:asciiTheme="minorHAnsi" w:hAnsiTheme="minorHAnsi" w:cstheme="minorHAnsi"/>
        </w:rPr>
        <w:t>od roku</w:t>
      </w:r>
      <w:r w:rsidRPr="002E505E">
        <w:rPr>
          <w:rFonts w:asciiTheme="minorHAnsi" w:hAnsiTheme="minorHAnsi" w:cstheme="minorHAnsi"/>
        </w:rPr>
        <w:t xml:space="preserve"> 20</w:t>
      </w:r>
      <w:r w:rsidR="005A3889">
        <w:rPr>
          <w:rFonts w:asciiTheme="minorHAnsi" w:hAnsiTheme="minorHAnsi" w:cstheme="minorHAnsi"/>
        </w:rPr>
        <w:t>1</w:t>
      </w:r>
      <w:r w:rsidR="002E1FF6">
        <w:rPr>
          <w:rFonts w:asciiTheme="minorHAnsi" w:hAnsiTheme="minorHAnsi" w:cstheme="minorHAnsi"/>
        </w:rPr>
        <w:t>3</w:t>
      </w:r>
      <w:r w:rsidRPr="002E505E">
        <w:rPr>
          <w:rFonts w:asciiTheme="minorHAnsi" w:hAnsiTheme="minorHAnsi" w:cstheme="minorHAnsi"/>
        </w:rPr>
        <w:t xml:space="preserve"> </w:t>
      </w:r>
      <w:r w:rsidR="00A14E55">
        <w:rPr>
          <w:rFonts w:asciiTheme="minorHAnsi" w:hAnsiTheme="minorHAnsi" w:cstheme="minorHAnsi"/>
        </w:rPr>
        <w:t>do června</w:t>
      </w:r>
      <w:r w:rsidRPr="002E505E">
        <w:rPr>
          <w:rFonts w:asciiTheme="minorHAnsi" w:hAnsiTheme="minorHAnsi" w:cstheme="minorHAnsi"/>
        </w:rPr>
        <w:t xml:space="preserve"> 201</w:t>
      </w:r>
      <w:r w:rsidR="00A14E55">
        <w:rPr>
          <w:rFonts w:asciiTheme="minorHAnsi" w:hAnsiTheme="minorHAnsi" w:cstheme="minorHAnsi"/>
        </w:rPr>
        <w:t>5</w:t>
      </w:r>
      <w:r w:rsidR="00491C48" w:rsidRPr="002E505E">
        <w:rPr>
          <w:rFonts w:asciiTheme="minorHAnsi" w:hAnsiTheme="minorHAnsi" w:cstheme="minorHAnsi"/>
        </w:rPr>
        <w:t>,</w:t>
      </w:r>
      <w:r w:rsidR="00E47DAC" w:rsidRPr="002E505E">
        <w:rPr>
          <w:rFonts w:asciiTheme="minorHAnsi" w:hAnsiTheme="minorHAnsi" w:cstheme="minorHAnsi"/>
        </w:rPr>
        <w:t xml:space="preserve"> </w:t>
      </w:r>
      <w:r w:rsidR="00150511" w:rsidRPr="002E505E">
        <w:rPr>
          <w:rFonts w:asciiTheme="minorHAnsi" w:hAnsiTheme="minorHAnsi" w:cstheme="minorHAnsi"/>
        </w:rPr>
        <w:t>v </w:t>
      </w:r>
      <w:r w:rsidR="00DD1F0E" w:rsidRPr="002E505E">
        <w:rPr>
          <w:rFonts w:asciiTheme="minorHAnsi" w:hAnsiTheme="minorHAnsi" w:cstheme="minorHAnsi"/>
        </w:rPr>
        <w:t>případě věcných souvislostí i</w:t>
      </w:r>
      <w:r w:rsidRPr="002E505E">
        <w:rPr>
          <w:rFonts w:asciiTheme="minorHAnsi" w:hAnsiTheme="minorHAnsi" w:cstheme="minorHAnsi"/>
        </w:rPr>
        <w:t> </w:t>
      </w:r>
      <w:r w:rsidR="00DD1F0E" w:rsidRPr="002E505E">
        <w:rPr>
          <w:rFonts w:asciiTheme="minorHAnsi" w:hAnsiTheme="minorHAnsi" w:cstheme="minorHAnsi"/>
        </w:rPr>
        <w:t>období</w:t>
      </w:r>
      <w:r w:rsidR="003F046B" w:rsidRPr="002E505E">
        <w:rPr>
          <w:rFonts w:asciiTheme="minorHAnsi" w:hAnsiTheme="minorHAnsi" w:cstheme="minorHAnsi"/>
        </w:rPr>
        <w:t xml:space="preserve"> předcházející</w:t>
      </w:r>
      <w:r w:rsidR="00DD1F0E" w:rsidRPr="002E505E">
        <w:rPr>
          <w:rFonts w:asciiTheme="minorHAnsi" w:hAnsiTheme="minorHAnsi" w:cstheme="minorHAnsi"/>
        </w:rPr>
        <w:t xml:space="preserve">. </w:t>
      </w:r>
      <w:r w:rsidR="00E47DAC" w:rsidRPr="002E505E">
        <w:rPr>
          <w:rFonts w:asciiTheme="minorHAnsi" w:hAnsiTheme="minorHAnsi" w:cstheme="minorHAnsi"/>
        </w:rPr>
        <w:t xml:space="preserve">Kontrola </w:t>
      </w:r>
      <w:r w:rsidR="00E77761">
        <w:rPr>
          <w:rFonts w:asciiTheme="minorHAnsi" w:hAnsiTheme="minorHAnsi" w:cstheme="minorHAnsi"/>
        </w:rPr>
        <w:t>u kontrolovaných osob</w:t>
      </w:r>
      <w:r w:rsidR="00E47DAC" w:rsidRPr="002E505E">
        <w:rPr>
          <w:rFonts w:asciiTheme="minorHAnsi" w:hAnsiTheme="minorHAnsi" w:cstheme="minorHAnsi"/>
        </w:rPr>
        <w:t xml:space="preserve"> </w:t>
      </w:r>
      <w:r w:rsidR="00FB5200" w:rsidRPr="002E505E">
        <w:rPr>
          <w:rFonts w:asciiTheme="minorHAnsi" w:hAnsiTheme="minorHAnsi" w:cstheme="minorHAnsi"/>
        </w:rPr>
        <w:t xml:space="preserve">byla </w:t>
      </w:r>
      <w:r w:rsidR="00E47DAC" w:rsidRPr="002E505E">
        <w:rPr>
          <w:rFonts w:asciiTheme="minorHAnsi" w:hAnsiTheme="minorHAnsi" w:cstheme="minorHAnsi"/>
        </w:rPr>
        <w:t>prov</w:t>
      </w:r>
      <w:r w:rsidR="005C2A50" w:rsidRPr="002E505E">
        <w:rPr>
          <w:rFonts w:asciiTheme="minorHAnsi" w:hAnsiTheme="minorHAnsi" w:cstheme="minorHAnsi"/>
        </w:rPr>
        <w:t>á</w:t>
      </w:r>
      <w:r w:rsidR="00E47DAC" w:rsidRPr="002E505E">
        <w:rPr>
          <w:rFonts w:asciiTheme="minorHAnsi" w:hAnsiTheme="minorHAnsi" w:cstheme="minorHAnsi"/>
        </w:rPr>
        <w:t>d</w:t>
      </w:r>
      <w:r w:rsidR="005C2A50" w:rsidRPr="002E505E">
        <w:rPr>
          <w:rFonts w:asciiTheme="minorHAnsi" w:hAnsiTheme="minorHAnsi" w:cstheme="minorHAnsi"/>
        </w:rPr>
        <w:t>ě</w:t>
      </w:r>
      <w:r w:rsidR="00E47DAC" w:rsidRPr="002E505E">
        <w:rPr>
          <w:rFonts w:asciiTheme="minorHAnsi" w:hAnsiTheme="minorHAnsi" w:cstheme="minorHAnsi"/>
        </w:rPr>
        <w:t xml:space="preserve">na od </w:t>
      </w:r>
      <w:r w:rsidR="00400AB0">
        <w:rPr>
          <w:rFonts w:asciiTheme="minorHAnsi" w:hAnsiTheme="minorHAnsi" w:cstheme="minorHAnsi"/>
        </w:rPr>
        <w:t>června</w:t>
      </w:r>
      <w:r w:rsidR="002E1FF6">
        <w:rPr>
          <w:rFonts w:asciiTheme="minorHAnsi" w:hAnsiTheme="minorHAnsi" w:cstheme="minorHAnsi"/>
        </w:rPr>
        <w:t xml:space="preserve"> 2015</w:t>
      </w:r>
      <w:r w:rsidR="00115E22">
        <w:rPr>
          <w:rFonts w:asciiTheme="minorHAnsi" w:hAnsiTheme="minorHAnsi" w:cstheme="minorHAnsi"/>
        </w:rPr>
        <w:t xml:space="preserve"> </w:t>
      </w:r>
      <w:r w:rsidR="00E47DAC" w:rsidRPr="002E505E">
        <w:rPr>
          <w:rFonts w:asciiTheme="minorHAnsi" w:hAnsiTheme="minorHAnsi" w:cstheme="minorHAnsi"/>
        </w:rPr>
        <w:t xml:space="preserve">do </w:t>
      </w:r>
      <w:r w:rsidR="002E1FF6">
        <w:rPr>
          <w:rFonts w:asciiTheme="minorHAnsi" w:hAnsiTheme="minorHAnsi" w:cstheme="minorHAnsi"/>
        </w:rPr>
        <w:t>ledna</w:t>
      </w:r>
      <w:r w:rsidR="00E47DAC" w:rsidRPr="002E505E">
        <w:rPr>
          <w:rFonts w:asciiTheme="minorHAnsi" w:hAnsiTheme="minorHAnsi" w:cstheme="minorHAnsi"/>
        </w:rPr>
        <w:t xml:space="preserve"> 20</w:t>
      </w:r>
      <w:r w:rsidR="00B27B29" w:rsidRPr="002E505E">
        <w:rPr>
          <w:rFonts w:asciiTheme="minorHAnsi" w:hAnsiTheme="minorHAnsi" w:cstheme="minorHAnsi"/>
        </w:rPr>
        <w:t>1</w:t>
      </w:r>
      <w:r w:rsidR="002E1FF6">
        <w:rPr>
          <w:rFonts w:asciiTheme="minorHAnsi" w:hAnsiTheme="minorHAnsi" w:cstheme="minorHAnsi"/>
        </w:rPr>
        <w:t>6</w:t>
      </w:r>
      <w:r w:rsidR="00DD1F0E" w:rsidRPr="002E505E">
        <w:rPr>
          <w:rFonts w:asciiTheme="minorHAnsi" w:hAnsiTheme="minorHAnsi" w:cstheme="minorHAnsi"/>
        </w:rPr>
        <w:t>.</w:t>
      </w:r>
    </w:p>
    <w:p w14:paraId="77483B6F" w14:textId="77777777" w:rsidR="00106613" w:rsidRDefault="00106613" w:rsidP="00106613">
      <w:pPr>
        <w:pStyle w:val="Zkladntextodsazen"/>
        <w:ind w:left="0"/>
        <w:contextualSpacing/>
        <w:jc w:val="both"/>
        <w:rPr>
          <w:rFonts w:asciiTheme="minorHAnsi" w:hAnsiTheme="minorHAnsi" w:cstheme="minorHAnsi"/>
        </w:rPr>
      </w:pPr>
    </w:p>
    <w:p w14:paraId="291D0EAE" w14:textId="77777777" w:rsidR="00106613" w:rsidRPr="00DB3BE6" w:rsidRDefault="00A14E55" w:rsidP="00106613">
      <w:pPr>
        <w:pStyle w:val="Zkladntextodsazen"/>
        <w:ind w:left="0"/>
        <w:contextualSpacing/>
        <w:jc w:val="both"/>
        <w:rPr>
          <w:rFonts w:asciiTheme="minorHAnsi" w:hAnsiTheme="minorHAnsi" w:cstheme="minorHAnsi"/>
          <w:b/>
        </w:rPr>
      </w:pPr>
      <w:r w:rsidRPr="00DB3BE6">
        <w:rPr>
          <w:rFonts w:asciiTheme="minorHAnsi" w:hAnsiTheme="minorHAnsi" w:cstheme="minorHAnsi"/>
          <w:b/>
        </w:rPr>
        <w:t>Kontrolované osoby</w:t>
      </w:r>
      <w:r w:rsidR="00DD1F0E" w:rsidRPr="00DB3BE6">
        <w:rPr>
          <w:rFonts w:asciiTheme="minorHAnsi" w:hAnsiTheme="minorHAnsi" w:cstheme="minorHAnsi"/>
          <w:b/>
        </w:rPr>
        <w:t>:</w:t>
      </w:r>
    </w:p>
    <w:p w14:paraId="5AC8FEB4" w14:textId="77777777" w:rsidR="00106613" w:rsidRDefault="005A3889" w:rsidP="00106613">
      <w:pPr>
        <w:pStyle w:val="Zkladntextodsazen"/>
        <w:ind w:lef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Ministerstvo dopravy</w:t>
      </w:r>
      <w:r w:rsidR="005E1DE6">
        <w:rPr>
          <w:rFonts w:asciiTheme="minorHAnsi" w:hAnsiTheme="minorHAnsi" w:cstheme="minorHAnsi"/>
        </w:rPr>
        <w:t xml:space="preserve"> (dále </w:t>
      </w:r>
      <w:r w:rsidR="0002593C">
        <w:rPr>
          <w:rFonts w:asciiTheme="minorHAnsi" w:hAnsiTheme="minorHAnsi" w:cstheme="minorHAnsi"/>
        </w:rPr>
        <w:t>MD)</w:t>
      </w:r>
      <w:r>
        <w:rPr>
          <w:rFonts w:asciiTheme="minorHAnsi" w:hAnsiTheme="minorHAnsi" w:cstheme="minorHAnsi"/>
        </w:rPr>
        <w:t xml:space="preserve"> a </w:t>
      </w:r>
      <w:r w:rsidR="002E1FF6">
        <w:rPr>
          <w:rFonts w:asciiTheme="minorHAnsi" w:hAnsiTheme="minorHAnsi" w:cstheme="minorHAnsi"/>
        </w:rPr>
        <w:t>České dráhy, a.s.</w:t>
      </w:r>
      <w:r w:rsidR="00BC4B4D">
        <w:rPr>
          <w:rFonts w:asciiTheme="minorHAnsi" w:hAnsiTheme="minorHAnsi" w:cstheme="minorHAnsi"/>
        </w:rPr>
        <w:t>, Praha</w:t>
      </w:r>
      <w:r w:rsidR="005E1DE6">
        <w:rPr>
          <w:rFonts w:asciiTheme="minorHAnsi" w:hAnsiTheme="minorHAnsi" w:cstheme="minorHAnsi"/>
        </w:rPr>
        <w:t xml:space="preserve"> (dále </w:t>
      </w:r>
      <w:r w:rsidR="002E1FF6">
        <w:rPr>
          <w:rFonts w:asciiTheme="minorHAnsi" w:hAnsiTheme="minorHAnsi" w:cstheme="minorHAnsi"/>
        </w:rPr>
        <w:t>ČD</w:t>
      </w:r>
      <w:r w:rsidR="0002593C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  <w:r w:rsidR="00106613">
        <w:rPr>
          <w:rFonts w:asciiTheme="minorHAnsi" w:hAnsiTheme="minorHAnsi" w:cstheme="minorHAnsi"/>
        </w:rPr>
        <w:t xml:space="preserve"> </w:t>
      </w:r>
    </w:p>
    <w:p w14:paraId="6BE022E5" w14:textId="77777777" w:rsidR="00106613" w:rsidRDefault="00106613" w:rsidP="00106613">
      <w:pPr>
        <w:pStyle w:val="Zkladntextodsazen"/>
        <w:ind w:left="0"/>
        <w:contextualSpacing/>
        <w:jc w:val="both"/>
        <w:rPr>
          <w:rFonts w:asciiTheme="minorHAnsi" w:hAnsiTheme="minorHAnsi" w:cstheme="minorHAnsi"/>
        </w:rPr>
      </w:pPr>
    </w:p>
    <w:p w14:paraId="10A78D6D" w14:textId="77777777" w:rsidR="00106613" w:rsidRDefault="00E47DAC" w:rsidP="00106613">
      <w:pPr>
        <w:pStyle w:val="Zkladntextodsazen"/>
        <w:ind w:left="0"/>
        <w:contextualSpacing/>
        <w:jc w:val="both"/>
        <w:rPr>
          <w:rFonts w:asciiTheme="minorHAnsi" w:hAnsiTheme="minorHAnsi" w:cstheme="minorHAnsi"/>
        </w:rPr>
      </w:pPr>
      <w:r w:rsidRPr="00673FFD">
        <w:rPr>
          <w:rFonts w:asciiTheme="minorHAnsi" w:hAnsiTheme="minorHAnsi" w:cstheme="minorHAnsi"/>
        </w:rPr>
        <w:t>Námitky proti kontroln</w:t>
      </w:r>
      <w:r w:rsidR="00115E22" w:rsidRPr="00673FFD">
        <w:rPr>
          <w:rFonts w:asciiTheme="minorHAnsi" w:hAnsiTheme="minorHAnsi" w:cstheme="minorHAnsi"/>
        </w:rPr>
        <w:t>ímu protokolu, které podal</w:t>
      </w:r>
      <w:r w:rsidR="00323E46">
        <w:rPr>
          <w:rFonts w:asciiTheme="minorHAnsi" w:hAnsiTheme="minorHAnsi" w:cstheme="minorHAnsi"/>
        </w:rPr>
        <w:t>o</w:t>
      </w:r>
      <w:r w:rsidR="00F53C39">
        <w:rPr>
          <w:rFonts w:asciiTheme="minorHAnsi" w:hAnsiTheme="minorHAnsi" w:cstheme="minorHAnsi"/>
        </w:rPr>
        <w:t xml:space="preserve"> MD</w:t>
      </w:r>
      <w:r w:rsidR="00506378">
        <w:rPr>
          <w:rFonts w:asciiTheme="minorHAnsi" w:hAnsiTheme="minorHAnsi" w:cstheme="minorHAnsi"/>
        </w:rPr>
        <w:t>,</w:t>
      </w:r>
      <w:r w:rsidR="00F53C39">
        <w:rPr>
          <w:rFonts w:asciiTheme="minorHAnsi" w:hAnsiTheme="minorHAnsi" w:cstheme="minorHAnsi"/>
        </w:rPr>
        <w:t xml:space="preserve"> </w:t>
      </w:r>
      <w:r w:rsidR="00897FA3">
        <w:rPr>
          <w:rFonts w:asciiTheme="minorHAnsi" w:hAnsiTheme="minorHAnsi" w:cstheme="minorHAnsi"/>
        </w:rPr>
        <w:t>vypořádal vedoucí</w:t>
      </w:r>
      <w:r w:rsidR="00C151B7" w:rsidRPr="00673FFD">
        <w:rPr>
          <w:rFonts w:asciiTheme="minorHAnsi" w:hAnsiTheme="minorHAnsi" w:cstheme="minorHAnsi"/>
        </w:rPr>
        <w:t xml:space="preserve"> skupi</w:t>
      </w:r>
      <w:r w:rsidR="000706B4" w:rsidRPr="00673FFD">
        <w:rPr>
          <w:rFonts w:asciiTheme="minorHAnsi" w:hAnsiTheme="minorHAnsi" w:cstheme="minorHAnsi"/>
        </w:rPr>
        <w:t>n</w:t>
      </w:r>
      <w:r w:rsidR="00115E22" w:rsidRPr="00673FFD">
        <w:rPr>
          <w:rFonts w:asciiTheme="minorHAnsi" w:hAnsiTheme="minorHAnsi" w:cstheme="minorHAnsi"/>
        </w:rPr>
        <w:t>y</w:t>
      </w:r>
      <w:r w:rsidR="000706B4" w:rsidRPr="00673FFD">
        <w:rPr>
          <w:rFonts w:asciiTheme="minorHAnsi" w:hAnsiTheme="minorHAnsi" w:cstheme="minorHAnsi"/>
        </w:rPr>
        <w:t xml:space="preserve"> kontrolujících </w:t>
      </w:r>
      <w:r w:rsidR="00115E22" w:rsidRPr="00673FFD">
        <w:rPr>
          <w:rFonts w:asciiTheme="minorHAnsi" w:hAnsiTheme="minorHAnsi" w:cstheme="minorHAnsi"/>
        </w:rPr>
        <w:t>rozhodnutím</w:t>
      </w:r>
      <w:r w:rsidR="000706B4" w:rsidRPr="00673FFD">
        <w:rPr>
          <w:rFonts w:asciiTheme="minorHAnsi" w:hAnsiTheme="minorHAnsi" w:cstheme="minorHAnsi"/>
        </w:rPr>
        <w:t xml:space="preserve"> o</w:t>
      </w:r>
      <w:r w:rsidR="009B5435" w:rsidRPr="00673FFD">
        <w:rPr>
          <w:rFonts w:asciiTheme="minorHAnsi" w:hAnsiTheme="minorHAnsi" w:cstheme="minorHAnsi"/>
        </w:rPr>
        <w:t> </w:t>
      </w:r>
      <w:r w:rsidR="00C151B7" w:rsidRPr="00673FFD">
        <w:rPr>
          <w:rFonts w:asciiTheme="minorHAnsi" w:hAnsiTheme="minorHAnsi" w:cstheme="minorHAnsi"/>
        </w:rPr>
        <w:t>námitkách.</w:t>
      </w:r>
      <w:r w:rsidR="00512816">
        <w:rPr>
          <w:rFonts w:asciiTheme="minorHAnsi" w:hAnsiTheme="minorHAnsi" w:cstheme="minorHAnsi"/>
        </w:rPr>
        <w:t xml:space="preserve"> </w:t>
      </w:r>
    </w:p>
    <w:p w14:paraId="06E9472C" w14:textId="77777777" w:rsidR="00512816" w:rsidRDefault="00512816" w:rsidP="00106613">
      <w:pPr>
        <w:pStyle w:val="Zkladntextodsazen"/>
        <w:ind w:left="0"/>
        <w:contextualSpacing/>
        <w:jc w:val="both"/>
        <w:rPr>
          <w:rFonts w:asciiTheme="minorHAnsi" w:hAnsiTheme="minorHAnsi" w:cstheme="minorHAnsi"/>
        </w:rPr>
      </w:pPr>
    </w:p>
    <w:p w14:paraId="3E5C1BC8" w14:textId="77777777" w:rsidR="00933888" w:rsidRDefault="00933888" w:rsidP="00106613">
      <w:pPr>
        <w:pStyle w:val="Zkladntextodsazen"/>
        <w:ind w:left="0"/>
        <w:contextualSpacing/>
        <w:jc w:val="both"/>
        <w:rPr>
          <w:rFonts w:asciiTheme="minorHAnsi" w:hAnsiTheme="minorHAnsi" w:cstheme="minorHAnsi"/>
        </w:rPr>
      </w:pPr>
    </w:p>
    <w:p w14:paraId="6EA2955B" w14:textId="77777777" w:rsidR="00106613" w:rsidRDefault="00E47DAC" w:rsidP="00040B5C">
      <w:pPr>
        <w:pStyle w:val="Zkladntextodsazen"/>
        <w:spacing w:line="360" w:lineRule="auto"/>
        <w:ind w:left="0"/>
        <w:contextualSpacing/>
        <w:jc w:val="both"/>
        <w:rPr>
          <w:rFonts w:asciiTheme="minorHAnsi" w:hAnsiTheme="minorHAnsi" w:cstheme="minorHAnsi"/>
        </w:rPr>
      </w:pPr>
      <w:r w:rsidRPr="002E505E">
        <w:rPr>
          <w:rFonts w:asciiTheme="minorHAnsi" w:hAnsiTheme="minorHAnsi" w:cstheme="minorHAnsi"/>
          <w:b/>
          <w:bCs/>
          <w:i/>
          <w:iCs/>
        </w:rPr>
        <w:t>K o l e g i u m</w:t>
      </w:r>
      <w:r w:rsidRPr="002E505E">
        <w:rPr>
          <w:rFonts w:asciiTheme="minorHAnsi" w:hAnsiTheme="minorHAnsi" w:cstheme="minorHAnsi"/>
        </w:rPr>
        <w:t xml:space="preserve">   </w:t>
      </w:r>
      <w:r w:rsidRPr="002E505E">
        <w:rPr>
          <w:rFonts w:asciiTheme="minorHAnsi" w:hAnsiTheme="minorHAnsi" w:cstheme="minorHAnsi"/>
          <w:b/>
          <w:bCs/>
          <w:i/>
          <w:iCs/>
        </w:rPr>
        <w:t>N</w:t>
      </w:r>
      <w:r w:rsidR="008D64F9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K</w:t>
      </w:r>
      <w:r w:rsidR="005E2660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Ú</w:t>
      </w:r>
      <w:r w:rsidR="002313A4" w:rsidRPr="002E505E">
        <w:rPr>
          <w:rFonts w:asciiTheme="minorHAnsi" w:hAnsiTheme="minorHAnsi" w:cstheme="minorHAnsi"/>
          <w:b/>
          <w:bCs/>
          <w:i/>
          <w:iCs/>
        </w:rPr>
        <w:t xml:space="preserve">  </w:t>
      </w:r>
      <w:r w:rsidR="00F738AA" w:rsidRPr="002E505E">
        <w:rPr>
          <w:rFonts w:asciiTheme="minorHAnsi" w:hAnsiTheme="minorHAnsi" w:cstheme="minorHAnsi"/>
          <w:b/>
          <w:bCs/>
          <w:iCs/>
        </w:rPr>
        <w:t xml:space="preserve"> </w:t>
      </w:r>
      <w:r w:rsidRPr="002E505E">
        <w:rPr>
          <w:rFonts w:asciiTheme="minorHAnsi" w:hAnsiTheme="minorHAnsi" w:cstheme="minorHAnsi"/>
        </w:rPr>
        <w:t>na</w:t>
      </w:r>
      <w:r w:rsidR="00F57CC9" w:rsidRPr="002E505E">
        <w:rPr>
          <w:rFonts w:asciiTheme="minorHAnsi" w:hAnsiTheme="minorHAnsi" w:cstheme="minorHAnsi"/>
        </w:rPr>
        <w:t xml:space="preserve"> </w:t>
      </w:r>
      <w:r w:rsidR="00F34AD3" w:rsidRPr="002E505E">
        <w:rPr>
          <w:rFonts w:asciiTheme="minorHAnsi" w:hAnsiTheme="minorHAnsi" w:cstheme="minorHAnsi"/>
        </w:rPr>
        <w:t>svém</w:t>
      </w:r>
      <w:r w:rsidR="00794A4A" w:rsidRPr="002E505E">
        <w:rPr>
          <w:rFonts w:asciiTheme="minorHAnsi" w:hAnsiTheme="minorHAnsi" w:cstheme="minorHAnsi"/>
        </w:rPr>
        <w:t xml:space="preserve"> </w:t>
      </w:r>
      <w:r w:rsidR="00D57680">
        <w:rPr>
          <w:rFonts w:asciiTheme="minorHAnsi" w:hAnsiTheme="minorHAnsi" w:cstheme="minorHAnsi"/>
        </w:rPr>
        <w:t xml:space="preserve">III. </w:t>
      </w:r>
      <w:r w:rsidR="00AB5217">
        <w:rPr>
          <w:rFonts w:asciiTheme="minorHAnsi" w:hAnsiTheme="minorHAnsi" w:cstheme="minorHAnsi"/>
        </w:rPr>
        <w:t>jednání</w:t>
      </w:r>
      <w:r w:rsidRPr="002E505E">
        <w:rPr>
          <w:rFonts w:asciiTheme="minorHAnsi" w:hAnsiTheme="minorHAnsi" w:cstheme="minorHAnsi"/>
        </w:rPr>
        <w:t>, k</w:t>
      </w:r>
      <w:r w:rsidR="00EC24A6">
        <w:rPr>
          <w:rFonts w:asciiTheme="minorHAnsi" w:hAnsiTheme="minorHAnsi" w:cstheme="minorHAnsi"/>
        </w:rPr>
        <w:t xml:space="preserve">teré se konalo </w:t>
      </w:r>
      <w:r w:rsidRPr="002E505E">
        <w:rPr>
          <w:rFonts w:asciiTheme="minorHAnsi" w:hAnsiTheme="minorHAnsi" w:cstheme="minorHAnsi"/>
        </w:rPr>
        <w:t>dne</w:t>
      </w:r>
      <w:r w:rsidR="009A12AE" w:rsidRPr="002E505E">
        <w:rPr>
          <w:rFonts w:asciiTheme="minorHAnsi" w:hAnsiTheme="minorHAnsi" w:cstheme="minorHAnsi"/>
        </w:rPr>
        <w:t xml:space="preserve"> </w:t>
      </w:r>
      <w:r w:rsidR="00D57680">
        <w:rPr>
          <w:rFonts w:asciiTheme="minorHAnsi" w:hAnsiTheme="minorHAnsi" w:cstheme="minorHAnsi"/>
        </w:rPr>
        <w:t xml:space="preserve">7. </w:t>
      </w:r>
      <w:r w:rsidR="002E1FF6">
        <w:rPr>
          <w:rFonts w:asciiTheme="minorHAnsi" w:hAnsiTheme="minorHAnsi" w:cstheme="minorHAnsi"/>
        </w:rPr>
        <w:t>března</w:t>
      </w:r>
      <w:r w:rsidR="00451E4A">
        <w:rPr>
          <w:rFonts w:asciiTheme="minorHAnsi" w:hAnsiTheme="minorHAnsi" w:cstheme="minorHAnsi"/>
        </w:rPr>
        <w:t xml:space="preserve"> </w:t>
      </w:r>
      <w:r w:rsidR="004305D4" w:rsidRPr="002E505E">
        <w:rPr>
          <w:rFonts w:asciiTheme="minorHAnsi" w:hAnsiTheme="minorHAnsi" w:cstheme="minorHAnsi"/>
        </w:rPr>
        <w:t>2</w:t>
      </w:r>
      <w:r w:rsidRPr="002E505E">
        <w:rPr>
          <w:rFonts w:asciiTheme="minorHAnsi" w:hAnsiTheme="minorHAnsi" w:cstheme="minorHAnsi"/>
        </w:rPr>
        <w:t>0</w:t>
      </w:r>
      <w:r w:rsidR="00B27B29" w:rsidRPr="002E505E">
        <w:rPr>
          <w:rFonts w:asciiTheme="minorHAnsi" w:hAnsiTheme="minorHAnsi" w:cstheme="minorHAnsi"/>
        </w:rPr>
        <w:t>1</w:t>
      </w:r>
      <w:r w:rsidR="00933888">
        <w:rPr>
          <w:rFonts w:asciiTheme="minorHAnsi" w:hAnsiTheme="minorHAnsi" w:cstheme="minorHAnsi"/>
        </w:rPr>
        <w:t>6</w:t>
      </w:r>
      <w:r w:rsidRPr="002E505E">
        <w:rPr>
          <w:rFonts w:asciiTheme="minorHAnsi" w:hAnsiTheme="minorHAnsi" w:cstheme="minorHAnsi"/>
        </w:rPr>
        <w:t xml:space="preserve">, </w:t>
      </w:r>
    </w:p>
    <w:p w14:paraId="6E48ABC2" w14:textId="77777777" w:rsidR="00106613" w:rsidRDefault="00A427F9" w:rsidP="00040B5C">
      <w:pPr>
        <w:pStyle w:val="Zkladntextodsazen"/>
        <w:spacing w:line="360" w:lineRule="auto"/>
        <w:ind w:left="0"/>
        <w:contextualSpacing/>
        <w:jc w:val="both"/>
        <w:rPr>
          <w:rFonts w:asciiTheme="minorHAnsi" w:hAnsiTheme="minorHAnsi" w:cstheme="minorHAnsi"/>
        </w:rPr>
      </w:pPr>
      <w:r w:rsidRPr="002E505E">
        <w:rPr>
          <w:rFonts w:asciiTheme="minorHAnsi" w:hAnsiTheme="minorHAnsi" w:cstheme="minorHAnsi"/>
          <w:b/>
          <w:bCs/>
          <w:i/>
          <w:iCs/>
        </w:rPr>
        <w:t>s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c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h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150511" w:rsidRPr="002E505E">
        <w:rPr>
          <w:rFonts w:asciiTheme="minorHAnsi" w:hAnsiTheme="minorHAnsi" w:cstheme="minorHAnsi"/>
          <w:b/>
          <w:bCs/>
          <w:i/>
          <w:iCs/>
        </w:rPr>
        <w:t xml:space="preserve">v </w:t>
      </w:r>
      <w:r w:rsidRPr="002E505E">
        <w:rPr>
          <w:rFonts w:asciiTheme="minorHAnsi" w:hAnsiTheme="minorHAnsi" w:cstheme="minorHAnsi"/>
          <w:b/>
          <w:bCs/>
          <w:i/>
          <w:iCs/>
        </w:rPr>
        <w:t>á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l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i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l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o</w:t>
      </w:r>
      <w:r w:rsidR="00E47DAC" w:rsidRPr="002E505E">
        <w:rPr>
          <w:rFonts w:asciiTheme="minorHAnsi" w:hAnsiTheme="minorHAnsi" w:cstheme="minorHAnsi"/>
        </w:rPr>
        <w:t xml:space="preserve"> </w:t>
      </w:r>
      <w:r w:rsidR="002313A4" w:rsidRPr="002E505E">
        <w:rPr>
          <w:rFonts w:asciiTheme="minorHAnsi" w:hAnsiTheme="minorHAnsi" w:cstheme="minorHAnsi"/>
        </w:rPr>
        <w:t xml:space="preserve">  </w:t>
      </w:r>
      <w:r w:rsidR="00E47DAC" w:rsidRPr="002E505E">
        <w:rPr>
          <w:rFonts w:asciiTheme="minorHAnsi" w:hAnsiTheme="minorHAnsi" w:cstheme="minorHAnsi"/>
        </w:rPr>
        <w:t>usnesením č.</w:t>
      </w:r>
      <w:r w:rsidR="009A12AE" w:rsidRPr="002E505E">
        <w:rPr>
          <w:rFonts w:asciiTheme="minorHAnsi" w:hAnsiTheme="minorHAnsi" w:cstheme="minorHAnsi"/>
        </w:rPr>
        <w:t xml:space="preserve"> </w:t>
      </w:r>
      <w:r w:rsidR="00D57680">
        <w:rPr>
          <w:rFonts w:asciiTheme="minorHAnsi" w:hAnsiTheme="minorHAnsi" w:cstheme="minorHAnsi"/>
        </w:rPr>
        <w:t>12</w:t>
      </w:r>
      <w:r w:rsidR="00BD2316" w:rsidRPr="002E505E">
        <w:rPr>
          <w:rFonts w:asciiTheme="minorHAnsi" w:hAnsiTheme="minorHAnsi" w:cstheme="minorHAnsi"/>
        </w:rPr>
        <w:t>/</w:t>
      </w:r>
      <w:r w:rsidR="00D57680">
        <w:rPr>
          <w:rFonts w:asciiTheme="minorHAnsi" w:hAnsiTheme="minorHAnsi" w:cstheme="minorHAnsi"/>
        </w:rPr>
        <w:t>III</w:t>
      </w:r>
      <w:r w:rsidR="00451E4A">
        <w:rPr>
          <w:rFonts w:asciiTheme="minorHAnsi" w:hAnsiTheme="minorHAnsi" w:cstheme="minorHAnsi"/>
        </w:rPr>
        <w:t>/</w:t>
      </w:r>
      <w:r w:rsidR="004305D4" w:rsidRPr="002E505E">
        <w:rPr>
          <w:rFonts w:asciiTheme="minorHAnsi" w:hAnsiTheme="minorHAnsi" w:cstheme="minorHAnsi"/>
        </w:rPr>
        <w:t>201</w:t>
      </w:r>
      <w:r w:rsidR="00933888">
        <w:rPr>
          <w:rFonts w:asciiTheme="minorHAnsi" w:hAnsiTheme="minorHAnsi" w:cstheme="minorHAnsi"/>
        </w:rPr>
        <w:t>6</w:t>
      </w:r>
    </w:p>
    <w:p w14:paraId="74F21A4C" w14:textId="77777777" w:rsidR="00E47DAC" w:rsidRPr="002E505E" w:rsidRDefault="00A427F9" w:rsidP="00040B5C">
      <w:pPr>
        <w:pStyle w:val="Zkladntextodsazen"/>
        <w:spacing w:line="360" w:lineRule="auto"/>
        <w:ind w:left="0"/>
        <w:contextualSpacing/>
        <w:jc w:val="both"/>
        <w:rPr>
          <w:rFonts w:asciiTheme="minorHAnsi" w:hAnsiTheme="minorHAnsi" w:cstheme="minorHAnsi"/>
        </w:rPr>
      </w:pPr>
      <w:r w:rsidRPr="002E505E">
        <w:rPr>
          <w:rFonts w:asciiTheme="minorHAnsi" w:hAnsiTheme="minorHAnsi" w:cstheme="minorHAnsi"/>
          <w:b/>
          <w:bCs/>
          <w:i/>
          <w:iCs/>
        </w:rPr>
        <w:t>k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o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n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t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r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o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l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n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 xml:space="preserve">í 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 </w:t>
      </w:r>
      <w:r w:rsidRPr="002E505E">
        <w:rPr>
          <w:rFonts w:asciiTheme="minorHAnsi" w:hAnsiTheme="minorHAnsi" w:cstheme="minorHAnsi"/>
          <w:b/>
          <w:bCs/>
          <w:i/>
          <w:iCs/>
        </w:rPr>
        <w:t>z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á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150511" w:rsidRPr="002E505E">
        <w:rPr>
          <w:rFonts w:asciiTheme="minorHAnsi" w:hAnsiTheme="minorHAnsi" w:cstheme="minorHAnsi"/>
          <w:b/>
          <w:bCs/>
          <w:i/>
          <w:iCs/>
        </w:rPr>
        <w:t xml:space="preserve">v </w:t>
      </w:r>
      <w:r w:rsidRPr="002E505E">
        <w:rPr>
          <w:rFonts w:asciiTheme="minorHAnsi" w:hAnsiTheme="minorHAnsi" w:cstheme="minorHAnsi"/>
          <w:b/>
          <w:bCs/>
          <w:i/>
          <w:iCs/>
        </w:rPr>
        <w:t>ě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r</w:t>
      </w:r>
      <w:r w:rsidR="00E47DAC" w:rsidRPr="002E505E">
        <w:rPr>
          <w:rFonts w:asciiTheme="minorHAnsi" w:hAnsiTheme="minorHAnsi" w:cstheme="minorHAnsi"/>
        </w:rPr>
        <w:t xml:space="preserve"> </w:t>
      </w:r>
      <w:r w:rsidR="002313A4" w:rsidRPr="002E505E">
        <w:rPr>
          <w:rFonts w:asciiTheme="minorHAnsi" w:hAnsiTheme="minorHAnsi" w:cstheme="minorHAnsi"/>
        </w:rPr>
        <w:t xml:space="preserve">  </w:t>
      </w:r>
      <w:r w:rsidR="00150511" w:rsidRPr="002E505E">
        <w:rPr>
          <w:rFonts w:asciiTheme="minorHAnsi" w:hAnsiTheme="minorHAnsi" w:cstheme="minorHAnsi"/>
        </w:rPr>
        <w:t>v </w:t>
      </w:r>
      <w:r w:rsidR="00E47DAC" w:rsidRPr="002E505E">
        <w:rPr>
          <w:rFonts w:asciiTheme="minorHAnsi" w:hAnsiTheme="minorHAnsi" w:cstheme="minorHAnsi"/>
        </w:rPr>
        <w:t>tomto znění:</w:t>
      </w:r>
    </w:p>
    <w:p w14:paraId="06E7DA50" w14:textId="77777777" w:rsidR="00CA5692" w:rsidRDefault="0096753B" w:rsidP="0096753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07AED68E" w14:textId="77777777" w:rsidR="000928BB" w:rsidRPr="00A72382" w:rsidRDefault="000928BB" w:rsidP="000928B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72382">
        <w:rPr>
          <w:rFonts w:asciiTheme="minorHAnsi" w:hAnsiTheme="minorHAnsi" w:cstheme="minorHAnsi"/>
          <w:b/>
          <w:sz w:val="28"/>
          <w:szCs w:val="28"/>
        </w:rPr>
        <w:lastRenderedPageBreak/>
        <w:t xml:space="preserve">I. </w:t>
      </w:r>
      <w:r w:rsidR="00953508">
        <w:rPr>
          <w:rFonts w:asciiTheme="minorHAnsi" w:hAnsiTheme="minorHAnsi" w:cstheme="minorHAnsi"/>
          <w:b/>
          <w:sz w:val="28"/>
          <w:szCs w:val="28"/>
        </w:rPr>
        <w:t>Úvodní i</w:t>
      </w:r>
      <w:r w:rsidRPr="00A72382">
        <w:rPr>
          <w:rFonts w:asciiTheme="minorHAnsi" w:hAnsiTheme="minorHAnsi" w:cstheme="minorHAnsi"/>
          <w:b/>
          <w:sz w:val="28"/>
          <w:szCs w:val="28"/>
        </w:rPr>
        <w:t xml:space="preserve">nformace </w:t>
      </w:r>
      <w:r w:rsidR="000F39A5" w:rsidRPr="00A72382">
        <w:rPr>
          <w:rFonts w:asciiTheme="minorHAnsi" w:hAnsiTheme="minorHAnsi" w:cstheme="minorHAnsi"/>
          <w:b/>
          <w:sz w:val="28"/>
          <w:szCs w:val="28"/>
        </w:rPr>
        <w:t>k </w:t>
      </w:r>
      <w:r w:rsidRPr="00A72382">
        <w:rPr>
          <w:rFonts w:asciiTheme="minorHAnsi" w:hAnsiTheme="minorHAnsi" w:cstheme="minorHAnsi"/>
          <w:b/>
          <w:sz w:val="28"/>
          <w:szCs w:val="28"/>
        </w:rPr>
        <w:t>předmětu kontroly</w:t>
      </w:r>
    </w:p>
    <w:p w14:paraId="5969AE7F" w14:textId="77777777" w:rsidR="000928BB" w:rsidRDefault="000928BB" w:rsidP="002E505E">
      <w:pPr>
        <w:jc w:val="both"/>
        <w:rPr>
          <w:rFonts w:asciiTheme="minorHAnsi" w:hAnsiTheme="minorHAnsi" w:cstheme="minorHAnsi"/>
        </w:rPr>
      </w:pPr>
    </w:p>
    <w:p w14:paraId="46581EB8" w14:textId="77777777" w:rsidR="00DD0852" w:rsidRDefault="007E48A8" w:rsidP="002765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Postup při zajišťování dopravní obslužnosti veřejnou službou v přepravě cestujících drážní osobní dopravou, včetně</w:t>
      </w:r>
      <w:r w:rsidR="004E5A4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kompenzace dopravcům z poskytování této služby, </w:t>
      </w:r>
      <w:r w:rsidR="00042632">
        <w:rPr>
          <w:rFonts w:asciiTheme="minorHAnsi" w:hAnsiTheme="minorHAnsi" w:cstheme="minorHAnsi"/>
        </w:rPr>
        <w:t>upravoval zákon</w:t>
      </w:r>
      <w:r w:rsidR="007368EE">
        <w:rPr>
          <w:rFonts w:asciiTheme="minorHAnsi" w:hAnsiTheme="minorHAnsi" w:cstheme="minorHAnsi"/>
        </w:rPr>
        <w:t xml:space="preserve"> č. 194/2010 Sb.</w:t>
      </w:r>
      <w:r w:rsidR="007368EE">
        <w:rPr>
          <w:rStyle w:val="Znakapoznpodarou"/>
          <w:rFonts w:asciiTheme="minorHAnsi" w:hAnsiTheme="minorHAnsi" w:cstheme="minorHAnsi"/>
        </w:rPr>
        <w:footnoteReference w:id="1"/>
      </w:r>
      <w:r w:rsidR="00B31B0A">
        <w:rPr>
          <w:rFonts w:asciiTheme="minorHAnsi" w:hAnsiTheme="minorHAnsi" w:cstheme="minorHAnsi"/>
        </w:rPr>
        <w:t xml:space="preserve"> (účinný od července 2010)</w:t>
      </w:r>
      <w:r>
        <w:rPr>
          <w:rFonts w:asciiTheme="minorHAnsi" w:hAnsiTheme="minorHAnsi" w:cstheme="minorHAnsi"/>
        </w:rPr>
        <w:t>. MD podle něj mělo:</w:t>
      </w:r>
    </w:p>
    <w:p w14:paraId="3D9F57DA" w14:textId="77777777" w:rsidR="007E48A8" w:rsidRDefault="007E48A8" w:rsidP="007E48A8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>provádět dopravní plánování s cílem vytvářet podmínky pro hospodárné, efektivní a účelné zajišťování dopravní obslužnosti</w:t>
      </w:r>
      <w:r w:rsidR="00260F82">
        <w:rPr>
          <w:rFonts w:asciiTheme="minorHAnsi" w:hAnsiTheme="minorHAnsi" w:cstheme="minorHAnsi"/>
        </w:rPr>
        <w:t xml:space="preserve"> a</w:t>
      </w:r>
      <w:r w:rsidR="000D58DE">
        <w:rPr>
          <w:rFonts w:asciiTheme="minorHAnsi" w:hAnsiTheme="minorHAnsi" w:cstheme="minorHAnsi"/>
        </w:rPr>
        <w:t xml:space="preserve"> pro</w:t>
      </w:r>
      <w:r w:rsidR="00260F82">
        <w:rPr>
          <w:rFonts w:asciiTheme="minorHAnsi" w:hAnsiTheme="minorHAnsi" w:cstheme="minorHAnsi"/>
        </w:rPr>
        <w:t xml:space="preserve"> spolupráci státu, krajů a obcí při této činnosti</w:t>
      </w:r>
      <w:r>
        <w:rPr>
          <w:rFonts w:asciiTheme="minorHAnsi" w:hAnsiTheme="minorHAnsi" w:cstheme="minorHAnsi"/>
        </w:rPr>
        <w:t>;</w:t>
      </w:r>
    </w:p>
    <w:p w14:paraId="24FA2C53" w14:textId="77777777" w:rsidR="00042632" w:rsidRDefault="007368EE" w:rsidP="007368EE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>zajiš</w:t>
      </w:r>
      <w:r w:rsidR="007E48A8">
        <w:rPr>
          <w:rFonts w:asciiTheme="minorHAnsi" w:hAnsiTheme="minorHAnsi" w:cstheme="minorHAnsi"/>
        </w:rPr>
        <w:t>ťovat</w:t>
      </w:r>
      <w:r>
        <w:rPr>
          <w:rFonts w:asciiTheme="minorHAnsi" w:hAnsiTheme="minorHAnsi" w:cstheme="minorHAnsi"/>
        </w:rPr>
        <w:t xml:space="preserve"> dopravní </w:t>
      </w:r>
      <w:r w:rsidR="0094337D">
        <w:rPr>
          <w:rFonts w:asciiTheme="minorHAnsi" w:hAnsiTheme="minorHAnsi" w:cstheme="minorHAnsi"/>
        </w:rPr>
        <w:t xml:space="preserve">obslužnost </w:t>
      </w:r>
      <w:r w:rsidR="003F6567">
        <w:rPr>
          <w:rFonts w:asciiTheme="minorHAnsi" w:hAnsiTheme="minorHAnsi" w:cstheme="minorHAnsi"/>
        </w:rPr>
        <w:t>státu</w:t>
      </w:r>
      <w:r>
        <w:rPr>
          <w:rFonts w:asciiTheme="minorHAnsi" w:hAnsiTheme="minorHAnsi" w:cstheme="minorHAnsi"/>
        </w:rPr>
        <w:t xml:space="preserve"> vlaky celostátní dopravy</w:t>
      </w:r>
      <w:r w:rsidR="001268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nadregionální</w:t>
      </w:r>
      <w:r w:rsidR="00126824">
        <w:rPr>
          <w:rFonts w:asciiTheme="minorHAnsi" w:hAnsiTheme="minorHAnsi" w:cstheme="minorHAnsi"/>
        </w:rPr>
        <w:t>ho</w:t>
      </w:r>
      <w:r>
        <w:rPr>
          <w:rFonts w:asciiTheme="minorHAnsi" w:hAnsiTheme="minorHAnsi" w:cstheme="minorHAnsi"/>
        </w:rPr>
        <w:t xml:space="preserve"> nebo mezinárodní</w:t>
      </w:r>
      <w:r w:rsidR="00126824">
        <w:rPr>
          <w:rFonts w:asciiTheme="minorHAnsi" w:hAnsiTheme="minorHAnsi" w:cstheme="minorHAnsi"/>
        </w:rPr>
        <w:t>ho</w:t>
      </w:r>
      <w:r>
        <w:rPr>
          <w:rFonts w:asciiTheme="minorHAnsi" w:hAnsiTheme="minorHAnsi" w:cstheme="minorHAnsi"/>
        </w:rPr>
        <w:t xml:space="preserve"> charakter</w:t>
      </w:r>
      <w:r w:rsidR="00126824">
        <w:rPr>
          <w:rFonts w:asciiTheme="minorHAnsi" w:hAnsiTheme="minorHAnsi" w:cstheme="minorHAnsi"/>
        </w:rPr>
        <w:t>u</w:t>
      </w:r>
      <w:r w:rsidR="00C877DC">
        <w:rPr>
          <w:rFonts w:asciiTheme="minorHAnsi" w:hAnsiTheme="minorHAnsi" w:cstheme="minorHAnsi"/>
        </w:rPr>
        <w:t>;</w:t>
      </w:r>
      <w:r w:rsidR="00C8151E">
        <w:rPr>
          <w:rFonts w:asciiTheme="minorHAnsi" w:hAnsiTheme="minorHAnsi" w:cstheme="minorHAnsi"/>
        </w:rPr>
        <w:t xml:space="preserve"> </w:t>
      </w:r>
    </w:p>
    <w:p w14:paraId="2C8335BC" w14:textId="77777777" w:rsidR="00C8151E" w:rsidRDefault="00C8151E" w:rsidP="007368EE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7E48A8">
        <w:rPr>
          <w:rFonts w:asciiTheme="minorHAnsi" w:hAnsiTheme="minorHAnsi" w:cstheme="minorHAnsi"/>
        </w:rPr>
        <w:t>uzavírat</w:t>
      </w:r>
      <w:r w:rsidR="00C877DC">
        <w:rPr>
          <w:rFonts w:asciiTheme="minorHAnsi" w:hAnsiTheme="minorHAnsi" w:cstheme="minorHAnsi"/>
        </w:rPr>
        <w:t xml:space="preserve"> pro zajištění dopravní</w:t>
      </w:r>
      <w:r w:rsidR="004C0A58">
        <w:rPr>
          <w:rFonts w:asciiTheme="minorHAnsi" w:hAnsiTheme="minorHAnsi" w:cstheme="minorHAnsi"/>
        </w:rPr>
        <w:t xml:space="preserve"> obslužnosti</w:t>
      </w:r>
      <w:r w:rsidR="0094337D">
        <w:rPr>
          <w:rFonts w:asciiTheme="minorHAnsi" w:hAnsiTheme="minorHAnsi" w:cstheme="minorHAnsi"/>
        </w:rPr>
        <w:t xml:space="preserve"> státu</w:t>
      </w:r>
      <w:r w:rsidR="00C877DC">
        <w:rPr>
          <w:rFonts w:asciiTheme="minorHAnsi" w:hAnsiTheme="minorHAnsi" w:cstheme="minorHAnsi"/>
        </w:rPr>
        <w:t xml:space="preserve"> smlouvy o veřejných službách</w:t>
      </w:r>
      <w:r w:rsidR="007E48A8">
        <w:rPr>
          <w:rFonts w:asciiTheme="minorHAnsi" w:hAnsiTheme="minorHAnsi" w:cstheme="minorHAnsi"/>
        </w:rPr>
        <w:t xml:space="preserve"> (</w:t>
      </w:r>
      <w:r w:rsidR="00C877DC">
        <w:rPr>
          <w:rFonts w:asciiTheme="minorHAnsi" w:hAnsiTheme="minorHAnsi" w:cstheme="minorHAnsi"/>
        </w:rPr>
        <w:t>smlouvy mohlo při splnění</w:t>
      </w:r>
      <w:r w:rsidR="00126824">
        <w:rPr>
          <w:rFonts w:asciiTheme="minorHAnsi" w:hAnsiTheme="minorHAnsi" w:cstheme="minorHAnsi"/>
        </w:rPr>
        <w:t xml:space="preserve"> daných</w:t>
      </w:r>
      <w:r w:rsidR="00C877DC">
        <w:rPr>
          <w:rFonts w:asciiTheme="minorHAnsi" w:hAnsiTheme="minorHAnsi" w:cstheme="minorHAnsi"/>
        </w:rPr>
        <w:t xml:space="preserve"> podmínek</w:t>
      </w:r>
      <w:r w:rsidR="00126824">
        <w:rPr>
          <w:rStyle w:val="Znakapoznpodarou"/>
          <w:rFonts w:asciiTheme="minorHAnsi" w:hAnsiTheme="minorHAnsi" w:cstheme="minorHAnsi"/>
        </w:rPr>
        <w:footnoteReference w:id="2"/>
      </w:r>
      <w:r w:rsidR="00C877DC">
        <w:rPr>
          <w:rFonts w:asciiTheme="minorHAnsi" w:hAnsiTheme="minorHAnsi" w:cstheme="minorHAnsi"/>
        </w:rPr>
        <w:t xml:space="preserve"> </w:t>
      </w:r>
      <w:r w:rsidR="00126824">
        <w:rPr>
          <w:rFonts w:asciiTheme="minorHAnsi" w:hAnsiTheme="minorHAnsi" w:cstheme="minorHAnsi"/>
        </w:rPr>
        <w:t xml:space="preserve">uzavírat </w:t>
      </w:r>
      <w:r w:rsidR="00C877DC">
        <w:rPr>
          <w:rFonts w:asciiTheme="minorHAnsi" w:hAnsiTheme="minorHAnsi" w:cstheme="minorHAnsi"/>
        </w:rPr>
        <w:t>přímo bez nabídkového řízení</w:t>
      </w:r>
      <w:r w:rsidR="007E48A8">
        <w:rPr>
          <w:rFonts w:asciiTheme="minorHAnsi" w:hAnsiTheme="minorHAnsi" w:cstheme="minorHAnsi"/>
        </w:rPr>
        <w:t>)</w:t>
      </w:r>
      <w:r w:rsidR="00C877DC">
        <w:rPr>
          <w:rFonts w:asciiTheme="minorHAnsi" w:hAnsiTheme="minorHAnsi" w:cstheme="minorHAnsi"/>
        </w:rPr>
        <w:t xml:space="preserve">; </w:t>
      </w:r>
    </w:p>
    <w:p w14:paraId="40B12F02" w14:textId="77777777" w:rsidR="001246E1" w:rsidRDefault="007E48A8" w:rsidP="007368EE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>poskytovat</w:t>
      </w:r>
      <w:r w:rsidR="008B460A">
        <w:rPr>
          <w:rFonts w:asciiTheme="minorHAnsi" w:hAnsiTheme="minorHAnsi" w:cstheme="minorHAnsi"/>
        </w:rPr>
        <w:t xml:space="preserve"> v rozsahu stanoveném ve</w:t>
      </w:r>
      <w:r w:rsidR="001246E1">
        <w:rPr>
          <w:rFonts w:asciiTheme="minorHAnsi" w:hAnsiTheme="minorHAnsi" w:cstheme="minorHAnsi"/>
        </w:rPr>
        <w:t xml:space="preserve"> sml</w:t>
      </w:r>
      <w:r w:rsidR="008B460A">
        <w:rPr>
          <w:rFonts w:asciiTheme="minorHAnsi" w:hAnsiTheme="minorHAnsi" w:cstheme="minorHAnsi"/>
        </w:rPr>
        <w:t>o</w:t>
      </w:r>
      <w:r w:rsidR="001246E1">
        <w:rPr>
          <w:rFonts w:asciiTheme="minorHAnsi" w:hAnsiTheme="minorHAnsi" w:cstheme="minorHAnsi"/>
        </w:rPr>
        <w:t>uv</w:t>
      </w:r>
      <w:r w:rsidR="008B460A">
        <w:rPr>
          <w:rFonts w:asciiTheme="minorHAnsi" w:hAnsiTheme="minorHAnsi" w:cstheme="minorHAnsi"/>
        </w:rPr>
        <w:t>ě</w:t>
      </w:r>
      <w:r w:rsidR="001246E1">
        <w:rPr>
          <w:rFonts w:asciiTheme="minorHAnsi" w:hAnsiTheme="minorHAnsi" w:cstheme="minorHAnsi"/>
        </w:rPr>
        <w:t xml:space="preserve"> o veřejné službě finanční</w:t>
      </w:r>
      <w:r w:rsidR="00042632">
        <w:rPr>
          <w:rFonts w:asciiTheme="minorHAnsi" w:hAnsiTheme="minorHAnsi" w:cstheme="minorHAnsi"/>
        </w:rPr>
        <w:t xml:space="preserve"> kompenzace</w:t>
      </w:r>
      <w:r w:rsidR="001246E1">
        <w:rPr>
          <w:rFonts w:asciiTheme="minorHAnsi" w:hAnsiTheme="minorHAnsi" w:cstheme="minorHAnsi"/>
        </w:rPr>
        <w:t xml:space="preserve">. </w:t>
      </w:r>
    </w:p>
    <w:p w14:paraId="68654507" w14:textId="77777777" w:rsidR="001246E1" w:rsidRDefault="001246E1" w:rsidP="007368EE">
      <w:pPr>
        <w:ind w:left="142" w:hanging="142"/>
        <w:jc w:val="both"/>
        <w:rPr>
          <w:rFonts w:asciiTheme="minorHAnsi" w:hAnsiTheme="minorHAnsi" w:cstheme="minorHAnsi"/>
        </w:rPr>
      </w:pPr>
    </w:p>
    <w:p w14:paraId="10160D90" w14:textId="1142787A" w:rsidR="00F53AF2" w:rsidRDefault="00AC45CF" w:rsidP="00AC45C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MD</w:t>
      </w:r>
      <w:r w:rsidR="00BA46DC">
        <w:rPr>
          <w:rFonts w:asciiTheme="minorHAnsi" w:hAnsiTheme="minorHAnsi" w:cstheme="minorHAnsi"/>
        </w:rPr>
        <w:t xml:space="preserve"> zajišťovalo v kontrolovaném období dopravní obslužnost státu jen prostřednictvím ČD. Na tento účel jim poskytovalo prostředky státního rozpočtu v roční výši kolem 4 080 mil. Kč. </w:t>
      </w:r>
      <w:r>
        <w:rPr>
          <w:rFonts w:asciiTheme="minorHAnsi" w:hAnsiTheme="minorHAnsi" w:cstheme="minorHAnsi"/>
        </w:rPr>
        <w:t xml:space="preserve">Z této částky </w:t>
      </w:r>
      <w:r w:rsidR="000F33B8">
        <w:rPr>
          <w:rFonts w:asciiTheme="minorHAnsi" w:hAnsiTheme="minorHAnsi" w:cstheme="minorHAnsi"/>
        </w:rPr>
        <w:t>poskytovalo 98 %</w:t>
      </w:r>
      <w:r w:rsidR="00B31B0A">
        <w:rPr>
          <w:rFonts w:asciiTheme="minorHAnsi" w:hAnsiTheme="minorHAnsi" w:cstheme="minorHAnsi"/>
        </w:rPr>
        <w:t xml:space="preserve"> na základě smlouvy o závazku veřejné služby, kterou s ČD uzavřelo v prosinci 2009 s platností na deset let. Povinnosti a</w:t>
      </w:r>
      <w:r w:rsidR="00AD2EA5">
        <w:rPr>
          <w:rFonts w:asciiTheme="minorHAnsi" w:hAnsiTheme="minorHAnsi" w:cstheme="minorHAnsi"/>
        </w:rPr>
        <w:t xml:space="preserve"> </w:t>
      </w:r>
      <w:r w:rsidR="00B31B0A">
        <w:rPr>
          <w:rFonts w:asciiTheme="minorHAnsi" w:hAnsiTheme="minorHAnsi" w:cstheme="minorHAnsi"/>
        </w:rPr>
        <w:t>závazky vyplývající z této smlouvy se tak řídily zákonem č. 266/1994 Sb.</w:t>
      </w:r>
      <w:r w:rsidR="00B31B0A">
        <w:rPr>
          <w:rStyle w:val="Znakapoznpodarou"/>
          <w:rFonts w:asciiTheme="minorHAnsi" w:hAnsiTheme="minorHAnsi" w:cstheme="minorHAnsi"/>
        </w:rPr>
        <w:footnoteReference w:id="3"/>
      </w:r>
      <w:r w:rsidR="00B31B0A">
        <w:rPr>
          <w:rFonts w:asciiTheme="minorHAnsi" w:hAnsiTheme="minorHAnsi" w:cstheme="minorHAnsi"/>
        </w:rPr>
        <w:t xml:space="preserve"> </w:t>
      </w:r>
      <w:r w:rsidR="0083069E">
        <w:rPr>
          <w:rFonts w:asciiTheme="minorHAnsi" w:hAnsiTheme="minorHAnsi" w:cstheme="minorHAnsi"/>
        </w:rPr>
        <w:t>Zb</w:t>
      </w:r>
      <w:r w:rsidR="00A675C9">
        <w:rPr>
          <w:rFonts w:asciiTheme="minorHAnsi" w:hAnsiTheme="minorHAnsi" w:cstheme="minorHAnsi"/>
        </w:rPr>
        <w:t>ylou část</w:t>
      </w:r>
      <w:r w:rsidR="005366E4">
        <w:rPr>
          <w:rFonts w:asciiTheme="minorHAnsi" w:hAnsiTheme="minorHAnsi" w:cstheme="minorHAnsi"/>
        </w:rPr>
        <w:t xml:space="preserve"> poskyt</w:t>
      </w:r>
      <w:r w:rsidR="00A675C9">
        <w:rPr>
          <w:rFonts w:asciiTheme="minorHAnsi" w:hAnsiTheme="minorHAnsi" w:cstheme="minorHAnsi"/>
        </w:rPr>
        <w:t>ova</w:t>
      </w:r>
      <w:r w:rsidR="0083069E">
        <w:rPr>
          <w:rFonts w:asciiTheme="minorHAnsi" w:hAnsiTheme="minorHAnsi" w:cstheme="minorHAnsi"/>
        </w:rPr>
        <w:t>lo n</w:t>
      </w:r>
      <w:r w:rsidR="00D85B46">
        <w:rPr>
          <w:rFonts w:asciiTheme="minorHAnsi" w:hAnsiTheme="minorHAnsi" w:cstheme="minorHAnsi"/>
        </w:rPr>
        <w:t>a základě smluv uzavíraných</w:t>
      </w:r>
      <w:r w:rsidR="00041555">
        <w:rPr>
          <w:rFonts w:asciiTheme="minorHAnsi" w:hAnsiTheme="minorHAnsi" w:cstheme="minorHAnsi"/>
        </w:rPr>
        <w:t xml:space="preserve"> s ČD</w:t>
      </w:r>
      <w:r w:rsidR="00D85B46">
        <w:rPr>
          <w:rFonts w:asciiTheme="minorHAnsi" w:hAnsiTheme="minorHAnsi" w:cstheme="minorHAnsi"/>
        </w:rPr>
        <w:t xml:space="preserve"> </w:t>
      </w:r>
      <w:r w:rsidR="00BA46DC">
        <w:rPr>
          <w:rFonts w:asciiTheme="minorHAnsi" w:hAnsiTheme="minorHAnsi" w:cstheme="minorHAnsi"/>
        </w:rPr>
        <w:t xml:space="preserve">každoročně </w:t>
      </w:r>
      <w:r w:rsidR="00F53AF2">
        <w:rPr>
          <w:rFonts w:asciiTheme="minorHAnsi" w:hAnsiTheme="minorHAnsi" w:cstheme="minorHAnsi"/>
        </w:rPr>
        <w:t xml:space="preserve">pro </w:t>
      </w:r>
      <w:r w:rsidR="000F33B8">
        <w:rPr>
          <w:rFonts w:asciiTheme="minorHAnsi" w:hAnsiTheme="minorHAnsi" w:cstheme="minorHAnsi"/>
        </w:rPr>
        <w:t>linky</w:t>
      </w:r>
      <w:r w:rsidR="00F53AF2">
        <w:rPr>
          <w:rFonts w:asciiTheme="minorHAnsi" w:hAnsiTheme="minorHAnsi" w:cstheme="minorHAnsi"/>
        </w:rPr>
        <w:t xml:space="preserve"> Pardubice – Liberec </w:t>
      </w:r>
      <w:r w:rsidR="00042632">
        <w:rPr>
          <w:rFonts w:asciiTheme="minorHAnsi" w:hAnsiTheme="minorHAnsi" w:cstheme="minorHAnsi"/>
        </w:rPr>
        <w:t>a </w:t>
      </w:r>
      <w:r w:rsidR="00F53AF2">
        <w:rPr>
          <w:rFonts w:asciiTheme="minorHAnsi" w:hAnsiTheme="minorHAnsi" w:cstheme="minorHAnsi"/>
        </w:rPr>
        <w:t>Plzeň – Most.</w:t>
      </w:r>
      <w:r w:rsidR="00BA46DC">
        <w:rPr>
          <w:rFonts w:asciiTheme="minorHAnsi" w:hAnsiTheme="minorHAnsi" w:cstheme="minorHAnsi"/>
        </w:rPr>
        <w:t xml:space="preserve"> </w:t>
      </w:r>
      <w:r w:rsidR="00F53AF2">
        <w:rPr>
          <w:rFonts w:asciiTheme="minorHAnsi" w:hAnsiTheme="minorHAnsi" w:cstheme="minorHAnsi"/>
        </w:rPr>
        <w:t xml:space="preserve"> </w:t>
      </w:r>
      <w:r w:rsidR="009B69E3">
        <w:rPr>
          <w:rFonts w:asciiTheme="minorHAnsi" w:hAnsiTheme="minorHAnsi" w:cstheme="minorHAnsi"/>
        </w:rPr>
        <w:t xml:space="preserve"> </w:t>
      </w:r>
    </w:p>
    <w:p w14:paraId="391315FE" w14:textId="77777777" w:rsidR="00F53AF2" w:rsidRDefault="00F53AF2" w:rsidP="00AC45CF">
      <w:pPr>
        <w:jc w:val="both"/>
        <w:rPr>
          <w:rFonts w:asciiTheme="minorHAnsi" w:hAnsiTheme="minorHAnsi" w:cstheme="minorHAnsi"/>
        </w:rPr>
      </w:pPr>
    </w:p>
    <w:p w14:paraId="2C3F9275" w14:textId="385C94ED" w:rsidR="00126824" w:rsidRDefault="00F53AF2" w:rsidP="00AC45C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MD </w:t>
      </w:r>
      <w:r w:rsidR="00041555">
        <w:rPr>
          <w:rFonts w:asciiTheme="minorHAnsi" w:hAnsiTheme="minorHAnsi" w:cstheme="minorHAnsi"/>
        </w:rPr>
        <w:t>kromě toho</w:t>
      </w:r>
      <w:r>
        <w:rPr>
          <w:rFonts w:asciiTheme="minorHAnsi" w:hAnsiTheme="minorHAnsi" w:cstheme="minorHAnsi"/>
        </w:rPr>
        <w:t xml:space="preserve"> poskytovalo</w:t>
      </w:r>
      <w:r w:rsidR="00042632">
        <w:rPr>
          <w:rFonts w:asciiTheme="minorHAnsi" w:hAnsiTheme="minorHAnsi" w:cstheme="minorHAnsi"/>
        </w:rPr>
        <w:t xml:space="preserve"> </w:t>
      </w:r>
      <w:r w:rsidR="00126824">
        <w:rPr>
          <w:rFonts w:asciiTheme="minorHAnsi" w:hAnsiTheme="minorHAnsi" w:cstheme="minorHAnsi"/>
        </w:rPr>
        <w:t>prostředky státního rozpočtu</w:t>
      </w:r>
      <w:r w:rsidR="00A675C9">
        <w:rPr>
          <w:rFonts w:asciiTheme="minorHAnsi" w:hAnsiTheme="minorHAnsi" w:cstheme="minorHAnsi"/>
        </w:rPr>
        <w:t xml:space="preserve"> </w:t>
      </w:r>
      <w:r w:rsidR="00893291">
        <w:rPr>
          <w:rFonts w:asciiTheme="minorHAnsi" w:hAnsiTheme="minorHAnsi" w:cstheme="minorHAnsi"/>
        </w:rPr>
        <w:t>v </w:t>
      </w:r>
      <w:r w:rsidR="00A675C9">
        <w:rPr>
          <w:rFonts w:asciiTheme="minorHAnsi" w:hAnsiTheme="minorHAnsi" w:cstheme="minorHAnsi"/>
        </w:rPr>
        <w:t xml:space="preserve">roční výši kolem 2 660 mil. Kč </w:t>
      </w:r>
      <w:r w:rsidR="00126824">
        <w:rPr>
          <w:rFonts w:asciiTheme="minorHAnsi" w:hAnsiTheme="minorHAnsi" w:cstheme="minorHAnsi"/>
        </w:rPr>
        <w:t>krajům na dopravní o</w:t>
      </w:r>
      <w:r w:rsidR="00A675C9">
        <w:rPr>
          <w:rFonts w:asciiTheme="minorHAnsi" w:hAnsiTheme="minorHAnsi" w:cstheme="minorHAnsi"/>
        </w:rPr>
        <w:t xml:space="preserve">bslužnost v jejich působnosti </w:t>
      </w:r>
      <w:r w:rsidR="00042632">
        <w:rPr>
          <w:rFonts w:asciiTheme="minorHAnsi" w:hAnsiTheme="minorHAnsi" w:cstheme="minorHAnsi"/>
        </w:rPr>
        <w:t>a</w:t>
      </w:r>
      <w:r w:rsidR="00A675C9">
        <w:rPr>
          <w:rFonts w:asciiTheme="minorHAnsi" w:hAnsiTheme="minorHAnsi" w:cstheme="minorHAnsi"/>
        </w:rPr>
        <w:t xml:space="preserve"> v</w:t>
      </w:r>
      <w:r w:rsidR="00041555">
        <w:rPr>
          <w:rFonts w:asciiTheme="minorHAnsi" w:hAnsiTheme="minorHAnsi" w:cstheme="minorHAnsi"/>
        </w:rPr>
        <w:t> </w:t>
      </w:r>
      <w:r w:rsidR="00A675C9">
        <w:rPr>
          <w:rFonts w:asciiTheme="minorHAnsi" w:hAnsiTheme="minorHAnsi" w:cstheme="minorHAnsi"/>
        </w:rPr>
        <w:t xml:space="preserve">roční výši kolem 88 mil. Kč dopravcům </w:t>
      </w:r>
      <w:r w:rsidR="00126824">
        <w:rPr>
          <w:rFonts w:asciiTheme="minorHAnsi" w:hAnsiTheme="minorHAnsi" w:cstheme="minorHAnsi"/>
        </w:rPr>
        <w:t>na kompenzaci</w:t>
      </w:r>
      <w:r w:rsidR="007368A7">
        <w:rPr>
          <w:rFonts w:asciiTheme="minorHAnsi" w:hAnsiTheme="minorHAnsi" w:cstheme="minorHAnsi"/>
        </w:rPr>
        <w:t xml:space="preserve"> </w:t>
      </w:r>
      <w:r w:rsidR="00126824">
        <w:rPr>
          <w:rFonts w:asciiTheme="minorHAnsi" w:hAnsiTheme="minorHAnsi" w:cstheme="minorHAnsi"/>
        </w:rPr>
        <w:t>slev jízdného v drážní osobní dopravě</w:t>
      </w:r>
      <w:r w:rsidR="007368A7">
        <w:rPr>
          <w:rFonts w:asciiTheme="minorHAnsi" w:hAnsiTheme="minorHAnsi" w:cstheme="minorHAnsi"/>
        </w:rPr>
        <w:t xml:space="preserve"> pro vymezené skupiny cestujících</w:t>
      </w:r>
      <w:r w:rsidR="007368A7">
        <w:rPr>
          <w:rStyle w:val="Znakapoznpodarou"/>
          <w:rFonts w:asciiTheme="minorHAnsi" w:hAnsiTheme="minorHAnsi" w:cstheme="minorHAnsi"/>
        </w:rPr>
        <w:footnoteReference w:id="4"/>
      </w:r>
      <w:r w:rsidR="00126824">
        <w:rPr>
          <w:rFonts w:asciiTheme="minorHAnsi" w:hAnsiTheme="minorHAnsi" w:cstheme="minorHAnsi"/>
        </w:rPr>
        <w:t xml:space="preserve">. </w:t>
      </w:r>
    </w:p>
    <w:p w14:paraId="1DE25C89" w14:textId="52CA1B91" w:rsidR="00042632" w:rsidRDefault="00042632" w:rsidP="00AC45CF">
      <w:pPr>
        <w:jc w:val="both"/>
        <w:rPr>
          <w:rFonts w:asciiTheme="minorHAnsi" w:hAnsiTheme="minorHAnsi" w:cstheme="minorHAnsi"/>
        </w:rPr>
      </w:pPr>
    </w:p>
    <w:p w14:paraId="1004B8EE" w14:textId="2E9070DA" w:rsidR="00B7182D" w:rsidRDefault="00503D82" w:rsidP="00AC45C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MD bylo především kontrolováno vymezení rozsahu </w:t>
      </w:r>
      <w:r w:rsidR="000D71FE">
        <w:rPr>
          <w:rFonts w:asciiTheme="minorHAnsi" w:hAnsiTheme="minorHAnsi" w:cstheme="minorHAnsi"/>
        </w:rPr>
        <w:t>dopravní obslužnosti</w:t>
      </w:r>
      <w:r w:rsidR="00F50C88">
        <w:rPr>
          <w:rFonts w:asciiTheme="minorHAnsi" w:hAnsiTheme="minorHAnsi" w:cstheme="minorHAnsi"/>
        </w:rPr>
        <w:t xml:space="preserve"> státu, stav v oblasti smluv o </w:t>
      </w:r>
      <w:r w:rsidR="00B7182D">
        <w:rPr>
          <w:rFonts w:asciiTheme="minorHAnsi" w:hAnsiTheme="minorHAnsi" w:cstheme="minorHAnsi"/>
        </w:rPr>
        <w:t xml:space="preserve">veřejných službách, včetně </w:t>
      </w:r>
      <w:r w:rsidR="00F50C88">
        <w:rPr>
          <w:rFonts w:asciiTheme="minorHAnsi" w:hAnsiTheme="minorHAnsi" w:cstheme="minorHAnsi"/>
        </w:rPr>
        <w:t>otevírání trhu veřejných služeb v přepravě cestujících, správnost poskyt</w:t>
      </w:r>
      <w:r w:rsidR="00042632">
        <w:rPr>
          <w:rFonts w:asciiTheme="minorHAnsi" w:hAnsiTheme="minorHAnsi" w:cstheme="minorHAnsi"/>
        </w:rPr>
        <w:t>ovaných kompenzací, resp. úhrad</w:t>
      </w:r>
      <w:r w:rsidR="00F50C88">
        <w:rPr>
          <w:rFonts w:asciiTheme="minorHAnsi" w:hAnsiTheme="minorHAnsi" w:cstheme="minorHAnsi"/>
        </w:rPr>
        <w:t xml:space="preserve"> prokazatelné ztráty, účast státu na zajišťování dopravní obslužnosti kraji a kontrolní činnost v oblasti financování dopravní obslužnosti. Na </w:t>
      </w:r>
      <w:r w:rsidR="00B7182D">
        <w:rPr>
          <w:rFonts w:asciiTheme="minorHAnsi" w:hAnsiTheme="minorHAnsi" w:cstheme="minorHAnsi"/>
        </w:rPr>
        <w:t>ČD byla</w:t>
      </w:r>
      <w:r w:rsidR="00F50C88">
        <w:rPr>
          <w:rFonts w:asciiTheme="minorHAnsi" w:hAnsiTheme="minorHAnsi" w:cstheme="minorHAnsi"/>
        </w:rPr>
        <w:t xml:space="preserve"> především kontrolována správnost </w:t>
      </w:r>
      <w:r w:rsidR="00B7182D">
        <w:rPr>
          <w:rFonts w:asciiTheme="minorHAnsi" w:hAnsiTheme="minorHAnsi" w:cstheme="minorHAnsi"/>
        </w:rPr>
        <w:t>požadované kompenzace</w:t>
      </w:r>
      <w:r w:rsidR="00F50C88">
        <w:rPr>
          <w:rFonts w:asciiTheme="minorHAnsi" w:hAnsiTheme="minorHAnsi" w:cstheme="minorHAnsi"/>
        </w:rPr>
        <w:t>, resp.</w:t>
      </w:r>
      <w:r w:rsidR="00B7182D">
        <w:rPr>
          <w:rFonts w:asciiTheme="minorHAnsi" w:hAnsiTheme="minorHAnsi" w:cstheme="minorHAnsi"/>
        </w:rPr>
        <w:t xml:space="preserve"> prokazatelné ztráty, k úhradě ze státního rozpočtu a plnění dalších podmínek vyplývajících ze smluv o veřejných službách.  </w:t>
      </w:r>
    </w:p>
    <w:p w14:paraId="20374F0A" w14:textId="77777777" w:rsidR="00041555" w:rsidRDefault="00041555" w:rsidP="00AC45CF">
      <w:pPr>
        <w:jc w:val="both"/>
        <w:rPr>
          <w:rFonts w:asciiTheme="minorHAnsi" w:hAnsiTheme="minorHAnsi" w:cstheme="minorHAnsi"/>
        </w:rPr>
      </w:pPr>
    </w:p>
    <w:p w14:paraId="04DFFE8A" w14:textId="77777777" w:rsidR="00F76CD3" w:rsidRDefault="00B7182D" w:rsidP="00AC45C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Kontrola navázala na kontrolní akci č. 09/23</w:t>
      </w:r>
      <w:r>
        <w:rPr>
          <w:rStyle w:val="Znakapoznpodarou"/>
          <w:rFonts w:asciiTheme="minorHAnsi" w:hAnsiTheme="minorHAnsi" w:cstheme="minorHAnsi"/>
        </w:rPr>
        <w:footnoteReference w:id="5"/>
      </w:r>
      <w:r>
        <w:rPr>
          <w:rFonts w:asciiTheme="minorHAnsi" w:hAnsiTheme="minorHAnsi" w:cstheme="minorHAnsi"/>
        </w:rPr>
        <w:t xml:space="preserve">, kterou </w:t>
      </w:r>
      <w:r w:rsidR="007368A7">
        <w:rPr>
          <w:rFonts w:asciiTheme="minorHAnsi" w:hAnsiTheme="minorHAnsi" w:cstheme="minorHAnsi"/>
        </w:rPr>
        <w:t>NKÚ prověřil</w:t>
      </w:r>
      <w:r>
        <w:rPr>
          <w:rFonts w:asciiTheme="minorHAnsi" w:hAnsiTheme="minorHAnsi" w:cstheme="minorHAnsi"/>
        </w:rPr>
        <w:t xml:space="preserve"> poskytování prostředků státního rozpočtu na drážní osobní dopravu v letech 2007 až 2009.</w:t>
      </w:r>
      <w:r w:rsidR="007368A7">
        <w:rPr>
          <w:rFonts w:asciiTheme="minorHAnsi" w:hAnsiTheme="minorHAnsi" w:cstheme="minorHAnsi"/>
        </w:rPr>
        <w:t xml:space="preserve"> Předchozí kontrolní akcí bylo</w:t>
      </w:r>
      <w:r w:rsidR="00F76CD3">
        <w:rPr>
          <w:rFonts w:asciiTheme="minorHAnsi" w:hAnsiTheme="minorHAnsi" w:cstheme="minorHAnsi"/>
        </w:rPr>
        <w:t xml:space="preserve"> </w:t>
      </w:r>
      <w:r w:rsidR="000A247E">
        <w:rPr>
          <w:rFonts w:asciiTheme="minorHAnsi" w:hAnsiTheme="minorHAnsi" w:cstheme="minorHAnsi"/>
        </w:rPr>
        <w:t>především</w:t>
      </w:r>
      <w:r w:rsidR="007368A7">
        <w:rPr>
          <w:rFonts w:asciiTheme="minorHAnsi" w:hAnsiTheme="minorHAnsi" w:cstheme="minorHAnsi"/>
        </w:rPr>
        <w:t xml:space="preserve"> zjištěno</w:t>
      </w:r>
      <w:r w:rsidR="000A247E">
        <w:rPr>
          <w:rFonts w:asciiTheme="minorHAnsi" w:hAnsiTheme="minorHAnsi" w:cstheme="minorHAnsi"/>
        </w:rPr>
        <w:t>,</w:t>
      </w:r>
      <w:r w:rsidR="007368A7">
        <w:rPr>
          <w:rFonts w:asciiTheme="minorHAnsi" w:hAnsiTheme="minorHAnsi" w:cstheme="minorHAnsi"/>
        </w:rPr>
        <w:t xml:space="preserve"> že</w:t>
      </w:r>
      <w:r w:rsidR="00F76CD3">
        <w:rPr>
          <w:rFonts w:asciiTheme="minorHAnsi" w:hAnsiTheme="minorHAnsi" w:cstheme="minorHAnsi"/>
        </w:rPr>
        <w:t xml:space="preserve"> MD:</w:t>
      </w:r>
    </w:p>
    <w:p w14:paraId="2034A7B0" w14:textId="17AA3578" w:rsidR="00F76CD3" w:rsidRDefault="00505A94" w:rsidP="00F76CD3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>objednávalo každoročně vyšší dopravní</w:t>
      </w:r>
      <w:r w:rsidR="00F76CD3">
        <w:rPr>
          <w:rFonts w:asciiTheme="minorHAnsi" w:hAnsiTheme="minorHAnsi" w:cstheme="minorHAnsi"/>
        </w:rPr>
        <w:t xml:space="preserve"> výkony, které nebyly doprovázeny růstem počtu přepravených cestujících a tržeb z jízdného;</w:t>
      </w:r>
    </w:p>
    <w:p w14:paraId="1F11BD37" w14:textId="77777777" w:rsidR="000A247E" w:rsidRDefault="000A247E" w:rsidP="00F76CD3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>nepodniklo účinné kroky vůči ČD ke snižování prokazatelné ztráty;</w:t>
      </w:r>
    </w:p>
    <w:p w14:paraId="0694BC41" w14:textId="77777777" w:rsidR="00F76CD3" w:rsidRDefault="00F76CD3" w:rsidP="00F76CD3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-</w:t>
      </w:r>
      <w:r>
        <w:rPr>
          <w:rFonts w:asciiTheme="minorHAnsi" w:hAnsiTheme="minorHAnsi" w:cstheme="minorHAnsi"/>
        </w:rPr>
        <w:tab/>
        <w:t>neotevřelo trh</w:t>
      </w:r>
      <w:r w:rsidR="00400AB0">
        <w:rPr>
          <w:rFonts w:asciiTheme="minorHAnsi" w:hAnsiTheme="minorHAnsi" w:cstheme="minorHAnsi"/>
        </w:rPr>
        <w:t xml:space="preserve"> veřejných služeb v přepravě cestujících</w:t>
      </w:r>
      <w:r>
        <w:rPr>
          <w:rFonts w:asciiTheme="minorHAnsi" w:hAnsiTheme="minorHAnsi" w:cstheme="minorHAnsi"/>
        </w:rPr>
        <w:t>;</w:t>
      </w:r>
    </w:p>
    <w:p w14:paraId="1306B1DA" w14:textId="77777777" w:rsidR="00F76CD3" w:rsidRDefault="00F76CD3" w:rsidP="00F76CD3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 xml:space="preserve">neprovedlo žádnou kontrolu správnosti vykazování ztráty z plnění smluv na zajištění dopravní obslužnosti.  </w:t>
      </w:r>
    </w:p>
    <w:p w14:paraId="02E1C06E" w14:textId="77777777" w:rsidR="00106613" w:rsidRDefault="00106613" w:rsidP="009F3502">
      <w:pPr>
        <w:jc w:val="both"/>
        <w:rPr>
          <w:rFonts w:asciiTheme="minorHAnsi" w:hAnsiTheme="minorHAnsi" w:cstheme="minorHAnsi"/>
        </w:rPr>
      </w:pPr>
    </w:p>
    <w:p w14:paraId="299FF356" w14:textId="77777777" w:rsidR="008A6C63" w:rsidRDefault="002E505E" w:rsidP="002E505E">
      <w:pPr>
        <w:ind w:left="624" w:hanging="624"/>
        <w:jc w:val="both"/>
        <w:rPr>
          <w:rFonts w:asciiTheme="minorHAnsi" w:hAnsiTheme="minorHAnsi" w:cstheme="minorHAnsi"/>
          <w:sz w:val="20"/>
          <w:szCs w:val="20"/>
        </w:rPr>
      </w:pPr>
      <w:r w:rsidRPr="002E505E">
        <w:rPr>
          <w:rFonts w:asciiTheme="minorHAnsi" w:hAnsiTheme="minorHAnsi" w:cstheme="minorHAnsi"/>
          <w:b/>
          <w:sz w:val="20"/>
          <w:szCs w:val="20"/>
        </w:rPr>
        <w:t>Pozn.:</w:t>
      </w:r>
      <w:r w:rsidRPr="002E505E">
        <w:rPr>
          <w:rFonts w:asciiTheme="minorHAnsi" w:hAnsiTheme="minorHAnsi" w:cstheme="minorHAnsi"/>
          <w:sz w:val="20"/>
          <w:szCs w:val="20"/>
        </w:rPr>
        <w:tab/>
        <w:t>Právní předpisy uvedené v tomto kontrolním závěru jsou aplikovány ve znění účinném pro kontrolované období.</w:t>
      </w:r>
    </w:p>
    <w:p w14:paraId="7846E6A2" w14:textId="77777777" w:rsidR="003F7A7F" w:rsidRDefault="003F7A7F" w:rsidP="00905C58">
      <w:pPr>
        <w:ind w:left="624" w:hanging="624"/>
        <w:jc w:val="center"/>
        <w:rPr>
          <w:rFonts w:asciiTheme="minorHAnsi" w:hAnsiTheme="minorHAnsi" w:cstheme="minorHAnsi"/>
          <w:b/>
        </w:rPr>
      </w:pPr>
    </w:p>
    <w:p w14:paraId="530AD521" w14:textId="77777777" w:rsidR="006018D6" w:rsidRDefault="006018D6" w:rsidP="00905C58">
      <w:pPr>
        <w:ind w:left="624" w:hanging="624"/>
        <w:jc w:val="center"/>
        <w:rPr>
          <w:rFonts w:asciiTheme="minorHAnsi" w:hAnsiTheme="minorHAnsi" w:cstheme="minorHAnsi"/>
          <w:b/>
        </w:rPr>
      </w:pPr>
    </w:p>
    <w:p w14:paraId="619F2BA0" w14:textId="77777777" w:rsidR="00320176" w:rsidRPr="00727BA3" w:rsidRDefault="00320176" w:rsidP="00320176">
      <w:pPr>
        <w:ind w:left="624" w:hanging="62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27BA3">
        <w:rPr>
          <w:rFonts w:asciiTheme="minorHAnsi" w:hAnsiTheme="minorHAnsi" w:cstheme="minorHAnsi"/>
          <w:b/>
          <w:sz w:val="28"/>
          <w:szCs w:val="28"/>
        </w:rPr>
        <w:t>II. Shrnutí a vyhodnocení</w:t>
      </w:r>
      <w:r w:rsidR="007520E4">
        <w:rPr>
          <w:rFonts w:asciiTheme="minorHAnsi" w:hAnsiTheme="minorHAnsi" w:cstheme="minorHAnsi"/>
          <w:b/>
          <w:sz w:val="28"/>
          <w:szCs w:val="28"/>
        </w:rPr>
        <w:t xml:space="preserve"> vybraných</w:t>
      </w:r>
      <w:r w:rsidR="009920E1">
        <w:rPr>
          <w:rFonts w:asciiTheme="minorHAnsi" w:hAnsiTheme="minorHAnsi" w:cstheme="minorHAnsi"/>
          <w:b/>
          <w:sz w:val="28"/>
          <w:szCs w:val="28"/>
        </w:rPr>
        <w:t xml:space="preserve"> zjištěných skutečností</w:t>
      </w:r>
    </w:p>
    <w:p w14:paraId="325994C2" w14:textId="77777777" w:rsidR="00320176" w:rsidRDefault="00320176" w:rsidP="00905C58">
      <w:pPr>
        <w:ind w:left="624" w:hanging="624"/>
        <w:jc w:val="center"/>
        <w:rPr>
          <w:rFonts w:asciiTheme="minorHAnsi" w:hAnsiTheme="minorHAnsi" w:cstheme="minorHAnsi"/>
        </w:rPr>
      </w:pPr>
    </w:p>
    <w:p w14:paraId="31ACA514" w14:textId="77777777" w:rsidR="00344748" w:rsidRDefault="00BA46DC" w:rsidP="00344748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MD </w:t>
      </w:r>
      <w:r w:rsidR="000734E6">
        <w:rPr>
          <w:rFonts w:asciiTheme="minorHAnsi" w:hAnsiTheme="minorHAnsi" w:cstheme="minorHAnsi"/>
          <w:b/>
        </w:rPr>
        <w:t xml:space="preserve">poskytováním prostředků státního rozpočtu v roční výši kolem 6 740 mil. Kč zabezpečilo dopravní obslužnost vlaky osobní dopravy. Nevytvořilo však </w:t>
      </w:r>
      <w:r w:rsidR="00494D52">
        <w:rPr>
          <w:rFonts w:asciiTheme="minorHAnsi" w:hAnsiTheme="minorHAnsi" w:cstheme="minorHAnsi"/>
          <w:b/>
        </w:rPr>
        <w:t>především</w:t>
      </w:r>
      <w:r w:rsidR="00344748">
        <w:rPr>
          <w:rFonts w:asciiTheme="minorHAnsi" w:hAnsiTheme="minorHAnsi" w:cstheme="minorHAnsi"/>
          <w:b/>
        </w:rPr>
        <w:t xml:space="preserve"> v rámci dopravního plánování, kontrolní činnosti a otevírání trhu veřejných služeb v přepravě cestujících dostate</w:t>
      </w:r>
      <w:r w:rsidR="0036312F">
        <w:rPr>
          <w:rFonts w:asciiTheme="minorHAnsi" w:hAnsiTheme="minorHAnsi" w:cstheme="minorHAnsi"/>
          <w:b/>
        </w:rPr>
        <w:t>čné předpoklady pro</w:t>
      </w:r>
      <w:r w:rsidR="000734E6">
        <w:rPr>
          <w:rFonts w:asciiTheme="minorHAnsi" w:hAnsiTheme="minorHAnsi" w:cstheme="minorHAnsi"/>
          <w:b/>
        </w:rPr>
        <w:t xml:space="preserve"> jejich</w:t>
      </w:r>
      <w:r w:rsidR="0036312F">
        <w:rPr>
          <w:rFonts w:asciiTheme="minorHAnsi" w:hAnsiTheme="minorHAnsi" w:cstheme="minorHAnsi"/>
          <w:b/>
        </w:rPr>
        <w:t xml:space="preserve"> hospodárné a </w:t>
      </w:r>
      <w:r w:rsidR="00344748">
        <w:rPr>
          <w:rFonts w:asciiTheme="minorHAnsi" w:hAnsiTheme="minorHAnsi" w:cstheme="minorHAnsi"/>
          <w:b/>
        </w:rPr>
        <w:t xml:space="preserve">efektivní </w:t>
      </w:r>
      <w:r w:rsidR="000734E6">
        <w:rPr>
          <w:rFonts w:asciiTheme="minorHAnsi" w:hAnsiTheme="minorHAnsi" w:cstheme="minorHAnsi"/>
          <w:b/>
        </w:rPr>
        <w:t>použití</w:t>
      </w:r>
      <w:r w:rsidR="00344748">
        <w:rPr>
          <w:rFonts w:asciiTheme="minorHAnsi" w:hAnsiTheme="minorHAnsi" w:cstheme="minorHAnsi"/>
          <w:b/>
        </w:rPr>
        <w:t xml:space="preserve">. </w:t>
      </w:r>
      <w:r w:rsidR="000734E6">
        <w:rPr>
          <w:rFonts w:asciiTheme="minorHAnsi" w:hAnsiTheme="minorHAnsi" w:cstheme="minorHAnsi"/>
          <w:b/>
        </w:rPr>
        <w:t xml:space="preserve"> </w:t>
      </w:r>
    </w:p>
    <w:p w14:paraId="4745B87F" w14:textId="77777777" w:rsidR="00344748" w:rsidRDefault="00344748" w:rsidP="00344748">
      <w:pPr>
        <w:jc w:val="both"/>
        <w:rPr>
          <w:rFonts w:asciiTheme="minorHAnsi" w:hAnsiTheme="minorHAnsi" w:cstheme="minorHAnsi"/>
        </w:rPr>
      </w:pPr>
    </w:p>
    <w:p w14:paraId="58C3BDDF" w14:textId="77777777" w:rsidR="003703CF" w:rsidRPr="00DB3BE6" w:rsidRDefault="00F16C76" w:rsidP="00BE57A8">
      <w:p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1. </w:t>
      </w:r>
      <w:r w:rsidR="00BE57A8">
        <w:rPr>
          <w:rFonts w:asciiTheme="minorHAnsi" w:hAnsiTheme="minorHAnsi" w:cstheme="minorHAnsi"/>
          <w:b/>
        </w:rPr>
        <w:tab/>
      </w:r>
      <w:r w:rsidR="00E46D65">
        <w:rPr>
          <w:rFonts w:asciiTheme="minorHAnsi" w:hAnsiTheme="minorHAnsi" w:cstheme="minorHAnsi"/>
          <w:i/>
        </w:rPr>
        <w:t>Plán dopravní obsluhy území vlaky celostátní dopravy – zásady objednávky dálkové dopravy pro období 2012 – 2016</w:t>
      </w:r>
      <w:r w:rsidR="00391BCA">
        <w:rPr>
          <w:rFonts w:asciiTheme="minorHAnsi" w:hAnsiTheme="minorHAnsi" w:cstheme="minorHAnsi"/>
        </w:rPr>
        <w:t>, jehož</w:t>
      </w:r>
      <w:r>
        <w:rPr>
          <w:rFonts w:asciiTheme="minorHAnsi" w:hAnsiTheme="minorHAnsi" w:cstheme="minorHAnsi"/>
        </w:rPr>
        <w:t xml:space="preserve"> prostřednictvím</w:t>
      </w:r>
      <w:r w:rsidR="000A247E">
        <w:rPr>
          <w:rFonts w:asciiTheme="minorHAnsi" w:hAnsiTheme="minorHAnsi" w:cstheme="minorHAnsi"/>
        </w:rPr>
        <w:t xml:space="preserve"> MD</w:t>
      </w:r>
      <w:r>
        <w:rPr>
          <w:rFonts w:asciiTheme="minorHAnsi" w:hAnsiTheme="minorHAnsi" w:cstheme="minorHAnsi"/>
        </w:rPr>
        <w:t xml:space="preserve"> </w:t>
      </w:r>
      <w:r w:rsidR="0094337D" w:rsidRPr="00F16C76">
        <w:rPr>
          <w:rFonts w:asciiTheme="minorHAnsi" w:hAnsiTheme="minorHAnsi" w:cstheme="minorHAnsi"/>
        </w:rPr>
        <w:t>zajišťova</w:t>
      </w:r>
      <w:r w:rsidR="0094337D">
        <w:rPr>
          <w:rFonts w:asciiTheme="minorHAnsi" w:hAnsiTheme="minorHAnsi" w:cstheme="minorHAnsi"/>
        </w:rPr>
        <w:t xml:space="preserve">lo </w:t>
      </w:r>
      <w:r>
        <w:rPr>
          <w:rFonts w:asciiTheme="minorHAnsi" w:hAnsiTheme="minorHAnsi" w:cstheme="minorHAnsi"/>
        </w:rPr>
        <w:t>dopravní plánování,</w:t>
      </w:r>
      <w:r w:rsidR="003703CF">
        <w:rPr>
          <w:rFonts w:asciiTheme="minorHAnsi" w:hAnsiTheme="minorHAnsi" w:cstheme="minorHAnsi"/>
        </w:rPr>
        <w:t xml:space="preserve"> nebyl zcela objektivním</w:t>
      </w:r>
      <w:r w:rsidR="0033634C">
        <w:rPr>
          <w:rFonts w:asciiTheme="minorHAnsi" w:hAnsiTheme="minorHAnsi" w:cstheme="minorHAnsi"/>
        </w:rPr>
        <w:t xml:space="preserve"> a transparentním</w:t>
      </w:r>
      <w:r w:rsidR="003703CF">
        <w:rPr>
          <w:rFonts w:asciiTheme="minorHAnsi" w:hAnsiTheme="minorHAnsi" w:cstheme="minorHAnsi"/>
        </w:rPr>
        <w:t xml:space="preserve"> </w:t>
      </w:r>
      <w:r w:rsidR="0033634C">
        <w:rPr>
          <w:rFonts w:asciiTheme="minorHAnsi" w:hAnsiTheme="minorHAnsi" w:cstheme="minorHAnsi"/>
        </w:rPr>
        <w:t>podkladem</w:t>
      </w:r>
      <w:r w:rsidR="003703CF">
        <w:rPr>
          <w:rFonts w:asciiTheme="minorHAnsi" w:hAnsiTheme="minorHAnsi" w:cstheme="minorHAnsi"/>
        </w:rPr>
        <w:t xml:space="preserve"> pro stanovení prostředků</w:t>
      </w:r>
      <w:r w:rsidR="00BB548F">
        <w:rPr>
          <w:rFonts w:asciiTheme="minorHAnsi" w:hAnsiTheme="minorHAnsi" w:cstheme="minorHAnsi"/>
        </w:rPr>
        <w:t xml:space="preserve"> státního rozpočtu </w:t>
      </w:r>
      <w:r w:rsidR="000D71FE">
        <w:rPr>
          <w:rFonts w:asciiTheme="minorHAnsi" w:hAnsiTheme="minorHAnsi" w:cstheme="minorHAnsi"/>
        </w:rPr>
        <w:t>na zajištění dopravní obslužnosti</w:t>
      </w:r>
      <w:r w:rsidR="00BB548F">
        <w:rPr>
          <w:rFonts w:asciiTheme="minorHAnsi" w:hAnsiTheme="minorHAnsi" w:cstheme="minorHAnsi"/>
        </w:rPr>
        <w:t xml:space="preserve"> státu</w:t>
      </w:r>
      <w:r w:rsidR="003703CF">
        <w:rPr>
          <w:rFonts w:asciiTheme="minorHAnsi" w:hAnsiTheme="minorHAnsi" w:cstheme="minorHAnsi"/>
        </w:rPr>
        <w:t>.</w:t>
      </w:r>
      <w:r w:rsidR="00E46D65">
        <w:rPr>
          <w:rFonts w:asciiTheme="minorHAnsi" w:hAnsiTheme="minorHAnsi" w:cstheme="minorHAnsi"/>
        </w:rPr>
        <w:t xml:space="preserve"> Neobsahoval </w:t>
      </w:r>
      <w:r w:rsidR="00BB548F">
        <w:rPr>
          <w:rFonts w:asciiTheme="minorHAnsi" w:hAnsiTheme="minorHAnsi" w:cstheme="minorHAnsi"/>
        </w:rPr>
        <w:t>zejména</w:t>
      </w:r>
      <w:r w:rsidR="008C6E7B">
        <w:rPr>
          <w:rFonts w:asciiTheme="minorHAnsi" w:hAnsiTheme="minorHAnsi" w:cstheme="minorHAnsi"/>
        </w:rPr>
        <w:t xml:space="preserve"> </w:t>
      </w:r>
      <w:r w:rsidR="00884937">
        <w:rPr>
          <w:rFonts w:asciiTheme="minorHAnsi" w:hAnsiTheme="minorHAnsi" w:cstheme="minorHAnsi"/>
        </w:rPr>
        <w:t xml:space="preserve">vymezení předpokládaného rozsahu kompenzace z provozování linek dálkové dopravy ve vazbě na </w:t>
      </w:r>
      <w:r w:rsidR="00F6567D">
        <w:rPr>
          <w:rFonts w:asciiTheme="minorHAnsi" w:hAnsiTheme="minorHAnsi" w:cstheme="minorHAnsi"/>
        </w:rPr>
        <w:t>konkrétně stanovené</w:t>
      </w:r>
      <w:r w:rsidR="008C6E7B">
        <w:rPr>
          <w:rFonts w:asciiTheme="minorHAnsi" w:hAnsiTheme="minorHAnsi" w:cstheme="minorHAnsi"/>
        </w:rPr>
        <w:t xml:space="preserve"> dopravní výkony</w:t>
      </w:r>
      <w:r w:rsidR="00E46D65">
        <w:rPr>
          <w:rFonts w:asciiTheme="minorHAnsi" w:hAnsiTheme="minorHAnsi" w:cstheme="minorHAnsi"/>
        </w:rPr>
        <w:t xml:space="preserve"> těchto linek</w:t>
      </w:r>
      <w:r w:rsidR="008C6E7B">
        <w:rPr>
          <w:rFonts w:asciiTheme="minorHAnsi" w:hAnsiTheme="minorHAnsi" w:cstheme="minorHAnsi"/>
        </w:rPr>
        <w:t>.</w:t>
      </w:r>
      <w:r w:rsidR="00E46D65">
        <w:rPr>
          <w:rFonts w:asciiTheme="minorHAnsi" w:hAnsiTheme="minorHAnsi" w:cstheme="minorHAnsi"/>
        </w:rPr>
        <w:t xml:space="preserve"> </w:t>
      </w:r>
    </w:p>
    <w:p w14:paraId="6857F6C4" w14:textId="7646399A" w:rsidR="00BE57A8" w:rsidRDefault="00BE57A8" w:rsidP="00344748">
      <w:pPr>
        <w:jc w:val="both"/>
        <w:rPr>
          <w:rFonts w:asciiTheme="minorHAnsi" w:hAnsiTheme="minorHAnsi" w:cstheme="minorHAnsi"/>
        </w:rPr>
      </w:pPr>
    </w:p>
    <w:p w14:paraId="11A2A67B" w14:textId="5B517731" w:rsidR="00FC68EF" w:rsidRDefault="00BE57A8" w:rsidP="00EB73BA">
      <w:p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2.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Dopra</w:t>
      </w:r>
      <w:r w:rsidR="000D71FE">
        <w:rPr>
          <w:rFonts w:asciiTheme="minorHAnsi" w:hAnsiTheme="minorHAnsi" w:cstheme="minorHAnsi"/>
        </w:rPr>
        <w:t>vní výkon k zajištění dopravní</w:t>
      </w:r>
      <w:r>
        <w:rPr>
          <w:rFonts w:asciiTheme="minorHAnsi" w:hAnsiTheme="minorHAnsi" w:cstheme="minorHAnsi"/>
        </w:rPr>
        <w:t xml:space="preserve"> </w:t>
      </w:r>
      <w:r w:rsidR="000D71FE">
        <w:rPr>
          <w:rFonts w:asciiTheme="minorHAnsi" w:hAnsiTheme="minorHAnsi" w:cstheme="minorHAnsi"/>
        </w:rPr>
        <w:t>obslužnosti</w:t>
      </w:r>
      <w:r>
        <w:rPr>
          <w:rFonts w:asciiTheme="minorHAnsi" w:hAnsiTheme="minorHAnsi" w:cstheme="minorHAnsi"/>
        </w:rPr>
        <w:t xml:space="preserve"> </w:t>
      </w:r>
      <w:r w:rsidR="005F282D">
        <w:rPr>
          <w:rFonts w:asciiTheme="minorHAnsi" w:hAnsiTheme="minorHAnsi" w:cstheme="minorHAnsi"/>
        </w:rPr>
        <w:t>státu, kterou</w:t>
      </w:r>
      <w:r>
        <w:rPr>
          <w:rFonts w:asciiTheme="minorHAnsi" w:hAnsiTheme="minorHAnsi" w:cstheme="minorHAnsi"/>
        </w:rPr>
        <w:t xml:space="preserve"> MD zabezpečovalo pouze vlaky ČD,</w:t>
      </w:r>
      <w:r w:rsidR="00242BAD">
        <w:rPr>
          <w:rFonts w:asciiTheme="minorHAnsi" w:hAnsiTheme="minorHAnsi" w:cstheme="minorHAnsi"/>
        </w:rPr>
        <w:t xml:space="preserve"> </w:t>
      </w:r>
      <w:r w:rsidR="00EB73BA">
        <w:rPr>
          <w:rFonts w:asciiTheme="minorHAnsi" w:hAnsiTheme="minorHAnsi" w:cstheme="minorHAnsi"/>
        </w:rPr>
        <w:t xml:space="preserve">od roku 2010 </w:t>
      </w:r>
      <w:r w:rsidR="00CB18AA">
        <w:rPr>
          <w:rFonts w:asciiTheme="minorHAnsi" w:hAnsiTheme="minorHAnsi" w:cstheme="minorHAnsi"/>
        </w:rPr>
        <w:t xml:space="preserve">na rozdíl od předchozích období </w:t>
      </w:r>
      <w:r w:rsidR="00C85A08">
        <w:rPr>
          <w:rFonts w:asciiTheme="minorHAnsi" w:hAnsiTheme="minorHAnsi" w:cstheme="minorHAnsi"/>
        </w:rPr>
        <w:t>klesal</w:t>
      </w:r>
      <w:r w:rsidR="00EB73BA">
        <w:rPr>
          <w:rFonts w:asciiTheme="minorHAnsi" w:hAnsiTheme="minorHAnsi" w:cstheme="minorHAnsi"/>
        </w:rPr>
        <w:t>.</w:t>
      </w:r>
      <w:r w:rsidR="00CB18AA">
        <w:rPr>
          <w:rFonts w:asciiTheme="minorHAnsi" w:hAnsiTheme="minorHAnsi" w:cstheme="minorHAnsi"/>
        </w:rPr>
        <w:t xml:space="preserve"> </w:t>
      </w:r>
      <w:r w:rsidR="00EB73BA">
        <w:rPr>
          <w:rFonts w:asciiTheme="minorHAnsi" w:hAnsiTheme="minorHAnsi" w:cstheme="minorHAnsi"/>
        </w:rPr>
        <w:t>V roce 201</w:t>
      </w:r>
      <w:r w:rsidR="00CB18AA">
        <w:rPr>
          <w:rFonts w:asciiTheme="minorHAnsi" w:hAnsiTheme="minorHAnsi" w:cstheme="minorHAnsi"/>
        </w:rPr>
        <w:t>4</w:t>
      </w:r>
      <w:r w:rsidR="00EB73BA">
        <w:rPr>
          <w:rFonts w:asciiTheme="minorHAnsi" w:hAnsiTheme="minorHAnsi" w:cstheme="minorHAnsi"/>
        </w:rPr>
        <w:t xml:space="preserve"> </w:t>
      </w:r>
      <w:r w:rsidR="00CB18AA">
        <w:rPr>
          <w:rFonts w:asciiTheme="minorHAnsi" w:hAnsiTheme="minorHAnsi" w:cstheme="minorHAnsi"/>
        </w:rPr>
        <w:t>byla jeho výše 33,7 mil. vlkm</w:t>
      </w:r>
      <w:r w:rsidR="00CB18AA">
        <w:rPr>
          <w:rStyle w:val="Znakapoznpodarou"/>
          <w:rFonts w:asciiTheme="minorHAnsi" w:hAnsiTheme="minorHAnsi" w:cstheme="minorHAnsi"/>
        </w:rPr>
        <w:footnoteReference w:id="6"/>
      </w:r>
      <w:r w:rsidR="00CB18AA">
        <w:rPr>
          <w:rFonts w:asciiTheme="minorHAnsi" w:hAnsiTheme="minorHAnsi" w:cstheme="minorHAnsi"/>
        </w:rPr>
        <w:t xml:space="preserve">, což bylo </w:t>
      </w:r>
      <w:r w:rsidR="00EB73BA">
        <w:rPr>
          <w:rFonts w:asciiTheme="minorHAnsi" w:hAnsiTheme="minorHAnsi" w:cstheme="minorHAnsi"/>
        </w:rPr>
        <w:t>o 12</w:t>
      </w:r>
      <w:r w:rsidR="00CB18AA">
        <w:rPr>
          <w:rFonts w:asciiTheme="minorHAnsi" w:hAnsiTheme="minorHAnsi" w:cstheme="minorHAnsi"/>
        </w:rPr>
        <w:t>,5</w:t>
      </w:r>
      <w:r w:rsidR="00EB73BA">
        <w:rPr>
          <w:rFonts w:asciiTheme="minorHAnsi" w:hAnsiTheme="minorHAnsi" w:cstheme="minorHAnsi"/>
        </w:rPr>
        <w:t xml:space="preserve"> % </w:t>
      </w:r>
      <w:r w:rsidR="00CB18AA">
        <w:rPr>
          <w:rFonts w:asciiTheme="minorHAnsi" w:hAnsiTheme="minorHAnsi" w:cstheme="minorHAnsi"/>
        </w:rPr>
        <w:t xml:space="preserve">méně než v roce </w:t>
      </w:r>
      <w:r w:rsidR="00EB73BA">
        <w:rPr>
          <w:rFonts w:asciiTheme="minorHAnsi" w:hAnsiTheme="minorHAnsi" w:cstheme="minorHAnsi"/>
        </w:rPr>
        <w:t xml:space="preserve">2010. </w:t>
      </w:r>
      <w:r>
        <w:rPr>
          <w:rFonts w:asciiTheme="minorHAnsi" w:hAnsiTheme="minorHAnsi" w:cstheme="minorHAnsi"/>
        </w:rPr>
        <w:t xml:space="preserve">Ztráta na jeden vlakový kilometr vykazovaná ČD </w:t>
      </w:r>
      <w:r w:rsidR="00242BAD">
        <w:rPr>
          <w:rFonts w:asciiTheme="minorHAnsi" w:hAnsiTheme="minorHAnsi" w:cstheme="minorHAnsi"/>
        </w:rPr>
        <w:t xml:space="preserve">však </w:t>
      </w:r>
      <w:r w:rsidR="0094337D">
        <w:rPr>
          <w:rFonts w:asciiTheme="minorHAnsi" w:hAnsiTheme="minorHAnsi" w:cstheme="minorHAnsi"/>
        </w:rPr>
        <w:t>v období let 2010 až 2014</w:t>
      </w:r>
      <w:r w:rsidR="00FC68EF">
        <w:rPr>
          <w:rFonts w:asciiTheme="minorHAnsi" w:hAnsiTheme="minorHAnsi" w:cstheme="minorHAnsi"/>
        </w:rPr>
        <w:t xml:space="preserve"> vzrostla z</w:t>
      </w:r>
      <w:r w:rsidR="00AD2EA5">
        <w:rPr>
          <w:rFonts w:asciiTheme="minorHAnsi" w:hAnsiTheme="minorHAnsi" w:cstheme="minorHAnsi"/>
        </w:rPr>
        <w:t xml:space="preserve">e </w:t>
      </w:r>
      <w:r w:rsidR="00FC68EF">
        <w:rPr>
          <w:rFonts w:asciiTheme="minorHAnsi" w:hAnsiTheme="minorHAnsi" w:cstheme="minorHAnsi"/>
        </w:rPr>
        <w:t>109,8 Kč na 123,7 Kč, tj.</w:t>
      </w:r>
      <w:r w:rsidR="00EA059F">
        <w:rPr>
          <w:rFonts w:asciiTheme="minorHAnsi" w:hAnsiTheme="minorHAnsi" w:cstheme="minorHAnsi"/>
        </w:rPr>
        <w:t> </w:t>
      </w:r>
      <w:r w:rsidR="00FC68EF">
        <w:rPr>
          <w:rFonts w:asciiTheme="minorHAnsi" w:hAnsiTheme="minorHAnsi" w:cstheme="minorHAnsi"/>
        </w:rPr>
        <w:t>o</w:t>
      </w:r>
      <w:r w:rsidR="00EA059F">
        <w:rPr>
          <w:rFonts w:asciiTheme="minorHAnsi" w:hAnsiTheme="minorHAnsi" w:cstheme="minorHAnsi"/>
        </w:rPr>
        <w:t> </w:t>
      </w:r>
      <w:r w:rsidR="00FC68EF">
        <w:rPr>
          <w:rFonts w:asciiTheme="minorHAnsi" w:hAnsiTheme="minorHAnsi" w:cstheme="minorHAnsi"/>
        </w:rPr>
        <w:t>12,7</w:t>
      </w:r>
      <w:r w:rsidR="00EA059F">
        <w:rPr>
          <w:rFonts w:asciiTheme="minorHAnsi" w:hAnsiTheme="minorHAnsi" w:cstheme="minorHAnsi"/>
        </w:rPr>
        <w:t> </w:t>
      </w:r>
      <w:r w:rsidR="00FC68EF">
        <w:rPr>
          <w:rFonts w:asciiTheme="minorHAnsi" w:hAnsiTheme="minorHAnsi" w:cstheme="minorHAnsi"/>
        </w:rPr>
        <w:t>%.</w:t>
      </w:r>
      <w:r w:rsidR="00CB18AA">
        <w:rPr>
          <w:rFonts w:asciiTheme="minorHAnsi" w:hAnsiTheme="minorHAnsi" w:cstheme="minorHAnsi"/>
        </w:rPr>
        <w:t xml:space="preserve"> </w:t>
      </w:r>
    </w:p>
    <w:p w14:paraId="27D97807" w14:textId="77777777" w:rsidR="00BE57A8" w:rsidRDefault="00BE57A8" w:rsidP="00BE57A8">
      <w:pPr>
        <w:ind w:left="284" w:hanging="284"/>
        <w:jc w:val="both"/>
        <w:rPr>
          <w:rFonts w:asciiTheme="minorHAnsi" w:hAnsiTheme="minorHAnsi" w:cstheme="minorHAnsi"/>
        </w:rPr>
      </w:pPr>
    </w:p>
    <w:p w14:paraId="5CDE78FC" w14:textId="77777777" w:rsidR="00F6567D" w:rsidRDefault="00BE57A8" w:rsidP="00BE57A8">
      <w:p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MD neprovedlo </w:t>
      </w:r>
      <w:r w:rsidR="00912718">
        <w:rPr>
          <w:rFonts w:asciiTheme="minorHAnsi" w:hAnsiTheme="minorHAnsi" w:cstheme="minorHAnsi"/>
        </w:rPr>
        <w:t xml:space="preserve">u ČD </w:t>
      </w:r>
      <w:r>
        <w:rPr>
          <w:rFonts w:asciiTheme="minorHAnsi" w:hAnsiTheme="minorHAnsi" w:cstheme="minorHAnsi"/>
        </w:rPr>
        <w:t>v letech 2010 až 2015 žádnou kontrolu správnosti</w:t>
      </w:r>
      <w:r w:rsidR="00912718">
        <w:rPr>
          <w:rFonts w:asciiTheme="minorHAnsi" w:hAnsiTheme="minorHAnsi" w:cstheme="minorHAnsi"/>
        </w:rPr>
        <w:t xml:space="preserve"> vykazované</w:t>
      </w:r>
      <w:r>
        <w:rPr>
          <w:rFonts w:asciiTheme="minorHAnsi" w:hAnsiTheme="minorHAnsi" w:cstheme="minorHAnsi"/>
        </w:rPr>
        <w:t xml:space="preserve"> ztráty z</w:t>
      </w:r>
      <w:r w:rsidR="007368A7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provozování</w:t>
      </w:r>
      <w:r w:rsidR="007368A7">
        <w:rPr>
          <w:rFonts w:asciiTheme="minorHAnsi" w:hAnsiTheme="minorHAnsi" w:cstheme="minorHAnsi"/>
        </w:rPr>
        <w:t xml:space="preserve"> objednaných </w:t>
      </w:r>
      <w:r>
        <w:rPr>
          <w:rFonts w:asciiTheme="minorHAnsi" w:hAnsiTheme="minorHAnsi" w:cstheme="minorHAnsi"/>
        </w:rPr>
        <w:t>vlaků.</w:t>
      </w:r>
      <w:r w:rsidR="00242BAD">
        <w:rPr>
          <w:rFonts w:asciiTheme="minorHAnsi" w:hAnsiTheme="minorHAnsi" w:cstheme="minorHAnsi"/>
        </w:rPr>
        <w:t xml:space="preserve"> V září 2014 sice takovou kontrolu zahájilo, ale do doby ukončení</w:t>
      </w:r>
      <w:r w:rsidR="00912718">
        <w:rPr>
          <w:rFonts w:asciiTheme="minorHAnsi" w:hAnsiTheme="minorHAnsi" w:cstheme="minorHAnsi"/>
        </w:rPr>
        <w:t xml:space="preserve"> kontroly</w:t>
      </w:r>
      <w:r w:rsidR="00030111">
        <w:rPr>
          <w:rFonts w:asciiTheme="minorHAnsi" w:hAnsiTheme="minorHAnsi" w:cstheme="minorHAnsi"/>
        </w:rPr>
        <w:t xml:space="preserve"> NKÚ</w:t>
      </w:r>
      <w:r w:rsidR="00242BAD">
        <w:rPr>
          <w:rFonts w:asciiTheme="minorHAnsi" w:hAnsiTheme="minorHAnsi" w:cstheme="minorHAnsi"/>
        </w:rPr>
        <w:t xml:space="preserve"> ji</w:t>
      </w:r>
      <w:r w:rsidR="00030111">
        <w:rPr>
          <w:rFonts w:asciiTheme="minorHAnsi" w:hAnsiTheme="minorHAnsi" w:cstheme="minorHAnsi"/>
        </w:rPr>
        <w:t xml:space="preserve"> ještě</w:t>
      </w:r>
      <w:r w:rsidR="00242BAD">
        <w:rPr>
          <w:rFonts w:asciiTheme="minorHAnsi" w:hAnsiTheme="minorHAnsi" w:cstheme="minorHAnsi"/>
        </w:rPr>
        <w:t xml:space="preserve"> </w:t>
      </w:r>
      <w:r w:rsidR="00912718">
        <w:rPr>
          <w:rFonts w:asciiTheme="minorHAnsi" w:hAnsiTheme="minorHAnsi" w:cstheme="minorHAnsi"/>
        </w:rPr>
        <w:t>ned</w:t>
      </w:r>
      <w:r w:rsidR="00030111">
        <w:rPr>
          <w:rFonts w:asciiTheme="minorHAnsi" w:hAnsiTheme="minorHAnsi" w:cstheme="minorHAnsi"/>
        </w:rPr>
        <w:t xml:space="preserve">okončilo. </w:t>
      </w:r>
    </w:p>
    <w:p w14:paraId="5DD45095" w14:textId="77777777" w:rsidR="005F282D" w:rsidRDefault="005F282D" w:rsidP="00BE57A8">
      <w:pPr>
        <w:ind w:left="284" w:hanging="284"/>
        <w:jc w:val="both"/>
        <w:rPr>
          <w:rFonts w:asciiTheme="minorHAnsi" w:hAnsiTheme="minorHAnsi" w:cstheme="minorHAnsi"/>
          <w:b/>
        </w:rPr>
      </w:pPr>
    </w:p>
    <w:p w14:paraId="352459B1" w14:textId="5F567CAC" w:rsidR="00912718" w:rsidRDefault="00912718" w:rsidP="00BE57A8">
      <w:p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4.</w:t>
      </w:r>
      <w:r w:rsidR="00CC6F0A">
        <w:rPr>
          <w:rFonts w:asciiTheme="minorHAnsi" w:hAnsiTheme="minorHAnsi" w:cstheme="minorHAnsi"/>
        </w:rPr>
        <w:tab/>
        <w:t>MD neotevřelo trh veřejných</w:t>
      </w:r>
      <w:r>
        <w:rPr>
          <w:rFonts w:asciiTheme="minorHAnsi" w:hAnsiTheme="minorHAnsi" w:cstheme="minorHAnsi"/>
        </w:rPr>
        <w:t xml:space="preserve"> služ</w:t>
      </w:r>
      <w:r w:rsidR="00CC6F0A">
        <w:rPr>
          <w:rFonts w:asciiTheme="minorHAnsi" w:hAnsiTheme="minorHAnsi" w:cstheme="minorHAnsi"/>
        </w:rPr>
        <w:t>eb</w:t>
      </w:r>
      <w:r>
        <w:rPr>
          <w:rFonts w:asciiTheme="minorHAnsi" w:hAnsiTheme="minorHAnsi" w:cstheme="minorHAnsi"/>
        </w:rPr>
        <w:t xml:space="preserve"> v přepravě cestujících. Nenaplnilo</w:t>
      </w:r>
      <w:r w:rsidR="00A03E8B">
        <w:rPr>
          <w:rFonts w:asciiTheme="minorHAnsi" w:hAnsiTheme="minorHAnsi" w:cstheme="minorHAnsi"/>
        </w:rPr>
        <w:t xml:space="preserve"> tak</w:t>
      </w:r>
      <w:r w:rsidR="00FE5A39">
        <w:rPr>
          <w:rFonts w:asciiTheme="minorHAnsi" w:hAnsiTheme="minorHAnsi" w:cstheme="minorHAnsi"/>
        </w:rPr>
        <w:t xml:space="preserve"> vládou schválený</w:t>
      </w:r>
      <w:r>
        <w:rPr>
          <w:rFonts w:asciiTheme="minorHAnsi" w:hAnsiTheme="minorHAnsi" w:cstheme="minorHAnsi"/>
        </w:rPr>
        <w:t xml:space="preserve"> plán z roku 2011</w:t>
      </w:r>
      <w:r w:rsidR="002D2162">
        <w:rPr>
          <w:rFonts w:asciiTheme="minorHAnsi" w:hAnsiTheme="minorHAnsi" w:cstheme="minorHAnsi"/>
        </w:rPr>
        <w:t>, podle kterého mělo do prosince 2015 zadat v </w:t>
      </w:r>
      <w:r w:rsidR="00A03E8B">
        <w:rPr>
          <w:rFonts w:asciiTheme="minorHAnsi" w:hAnsiTheme="minorHAnsi" w:cstheme="minorHAnsi"/>
        </w:rPr>
        <w:t>nabídkových</w:t>
      </w:r>
      <w:r w:rsidR="002D2162">
        <w:rPr>
          <w:rFonts w:asciiTheme="minorHAnsi" w:hAnsiTheme="minorHAnsi" w:cstheme="minorHAnsi"/>
        </w:rPr>
        <w:t xml:space="preserve"> řízení</w:t>
      </w:r>
      <w:r w:rsidR="00A03E8B">
        <w:rPr>
          <w:rFonts w:asciiTheme="minorHAnsi" w:hAnsiTheme="minorHAnsi" w:cstheme="minorHAnsi"/>
        </w:rPr>
        <w:t>ch</w:t>
      </w:r>
      <w:r w:rsidR="002D2162">
        <w:rPr>
          <w:rFonts w:asciiTheme="minorHAnsi" w:hAnsiTheme="minorHAnsi" w:cstheme="minorHAnsi"/>
        </w:rPr>
        <w:t xml:space="preserve"> čtvrtinu linek</w:t>
      </w:r>
      <w:r>
        <w:rPr>
          <w:rFonts w:asciiTheme="minorHAnsi" w:hAnsiTheme="minorHAnsi" w:cstheme="minorHAnsi"/>
        </w:rPr>
        <w:t xml:space="preserve">. Důvodem </w:t>
      </w:r>
      <w:r w:rsidR="00C86F1B">
        <w:rPr>
          <w:rFonts w:asciiTheme="minorHAnsi" w:hAnsiTheme="minorHAnsi" w:cstheme="minorHAnsi"/>
        </w:rPr>
        <w:t xml:space="preserve">bylo </w:t>
      </w:r>
      <w:r>
        <w:rPr>
          <w:rFonts w:asciiTheme="minorHAnsi" w:hAnsiTheme="minorHAnsi" w:cstheme="minorHAnsi"/>
        </w:rPr>
        <w:t>zejména</w:t>
      </w:r>
      <w:r w:rsidR="00C86F1B">
        <w:rPr>
          <w:rFonts w:asciiTheme="minorHAnsi" w:hAnsiTheme="minorHAnsi" w:cstheme="minorHAnsi"/>
        </w:rPr>
        <w:t xml:space="preserve"> to</w:t>
      </w:r>
      <w:r>
        <w:rPr>
          <w:rFonts w:asciiTheme="minorHAnsi" w:hAnsiTheme="minorHAnsi" w:cstheme="minorHAnsi"/>
        </w:rPr>
        <w:t xml:space="preserve">, že minimálně od roku 2011 nedokázalo vyřešit opakující se problémy mezi objednatelem (MD), </w:t>
      </w:r>
      <w:r w:rsidR="007C6AB0">
        <w:rPr>
          <w:rFonts w:asciiTheme="minorHAnsi" w:hAnsiTheme="minorHAnsi" w:cstheme="minorHAnsi"/>
        </w:rPr>
        <w:t>ČD a potenci</w:t>
      </w:r>
      <w:r w:rsidR="00DD6886">
        <w:rPr>
          <w:rFonts w:asciiTheme="minorHAnsi" w:hAnsiTheme="minorHAnsi" w:cstheme="minorHAnsi"/>
        </w:rPr>
        <w:t>álními uchazeči o </w:t>
      </w:r>
      <w:r>
        <w:rPr>
          <w:rFonts w:asciiTheme="minorHAnsi" w:hAnsiTheme="minorHAnsi" w:cstheme="minorHAnsi"/>
        </w:rPr>
        <w:t>uzavření smlouvy o závazku veřejné služby v nabídkových řízeních.</w:t>
      </w:r>
      <w:r w:rsidR="000A0513" w:rsidRPr="000A0513">
        <w:rPr>
          <w:rFonts w:asciiTheme="minorHAnsi" w:hAnsiTheme="minorHAnsi" w:cstheme="minorHAnsi"/>
        </w:rPr>
        <w:t xml:space="preserve"> </w:t>
      </w:r>
      <w:r w:rsidR="000A0513">
        <w:rPr>
          <w:rFonts w:asciiTheme="minorHAnsi" w:hAnsiTheme="minorHAnsi" w:cstheme="minorHAnsi"/>
        </w:rPr>
        <w:t xml:space="preserve">Otevření trhu veřejných služeb považuje NKÚ za efektivní nástroj k optimalizaci dopravci požadované kompenzace z provozování vlaků v rámci veřejné služby v přepravě cestujících. </w:t>
      </w:r>
      <w:r>
        <w:rPr>
          <w:rFonts w:asciiTheme="minorHAnsi" w:hAnsiTheme="minorHAnsi" w:cstheme="minorHAnsi"/>
        </w:rPr>
        <w:t xml:space="preserve">  </w:t>
      </w:r>
      <w:r w:rsidR="002D2162">
        <w:rPr>
          <w:rFonts w:asciiTheme="minorHAnsi" w:hAnsiTheme="minorHAnsi" w:cstheme="minorHAnsi"/>
        </w:rPr>
        <w:t xml:space="preserve"> </w:t>
      </w:r>
    </w:p>
    <w:p w14:paraId="4E91B4EA" w14:textId="77777777" w:rsidR="00912718" w:rsidRDefault="00912718" w:rsidP="00BE57A8">
      <w:pPr>
        <w:ind w:left="284" w:hanging="284"/>
        <w:jc w:val="both"/>
        <w:rPr>
          <w:rFonts w:asciiTheme="minorHAnsi" w:hAnsiTheme="minorHAnsi" w:cstheme="minorHAnsi"/>
        </w:rPr>
      </w:pPr>
    </w:p>
    <w:p w14:paraId="46D65823" w14:textId="1920A68E" w:rsidR="00201645" w:rsidRPr="00DB3BE6" w:rsidRDefault="00912718" w:rsidP="00BE57A8">
      <w:p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5</w:t>
      </w:r>
      <w:r w:rsidR="00201645">
        <w:rPr>
          <w:rFonts w:asciiTheme="minorHAnsi" w:hAnsiTheme="minorHAnsi" w:cstheme="minorHAnsi"/>
          <w:b/>
        </w:rPr>
        <w:t>.</w:t>
      </w:r>
      <w:r w:rsidR="00201645">
        <w:rPr>
          <w:rFonts w:asciiTheme="minorHAnsi" w:hAnsiTheme="minorHAnsi" w:cstheme="minorHAnsi"/>
          <w:b/>
        </w:rPr>
        <w:tab/>
      </w:r>
      <w:r w:rsidR="00F46850">
        <w:rPr>
          <w:rFonts w:asciiTheme="minorHAnsi" w:hAnsiTheme="minorHAnsi" w:cstheme="minorHAnsi"/>
        </w:rPr>
        <w:t xml:space="preserve">MD poskytovalo prostředky státního </w:t>
      </w:r>
      <w:r w:rsidR="007520E4">
        <w:rPr>
          <w:rFonts w:asciiTheme="minorHAnsi" w:hAnsiTheme="minorHAnsi" w:cstheme="minorHAnsi"/>
        </w:rPr>
        <w:t xml:space="preserve">rozpočtu </w:t>
      </w:r>
      <w:r w:rsidR="00893291">
        <w:rPr>
          <w:rFonts w:asciiTheme="minorHAnsi" w:hAnsiTheme="minorHAnsi" w:cstheme="minorHAnsi"/>
        </w:rPr>
        <w:t>v </w:t>
      </w:r>
      <w:r w:rsidR="007520E4">
        <w:rPr>
          <w:rFonts w:asciiTheme="minorHAnsi" w:hAnsiTheme="minorHAnsi" w:cstheme="minorHAnsi"/>
        </w:rPr>
        <w:t xml:space="preserve">roční výši kolem 2 660 mil. Kč </w:t>
      </w:r>
      <w:r w:rsidR="00F46850">
        <w:rPr>
          <w:rFonts w:asciiTheme="minorHAnsi" w:hAnsiTheme="minorHAnsi" w:cstheme="minorHAnsi"/>
        </w:rPr>
        <w:t>krajům na úhradu části ztráty z provozován</w:t>
      </w:r>
      <w:r w:rsidR="00201645">
        <w:rPr>
          <w:rFonts w:asciiTheme="minorHAnsi" w:hAnsiTheme="minorHAnsi" w:cstheme="minorHAnsi"/>
        </w:rPr>
        <w:t>í regionální železniční dopravy.</w:t>
      </w:r>
      <w:r w:rsidR="00F46850">
        <w:rPr>
          <w:rFonts w:asciiTheme="minorHAnsi" w:hAnsiTheme="minorHAnsi" w:cstheme="minorHAnsi"/>
        </w:rPr>
        <w:t xml:space="preserve"> </w:t>
      </w:r>
      <w:r w:rsidR="00C85A08">
        <w:rPr>
          <w:rFonts w:asciiTheme="minorHAnsi" w:hAnsiTheme="minorHAnsi" w:cstheme="minorHAnsi"/>
        </w:rPr>
        <w:t>P</w:t>
      </w:r>
      <w:r w:rsidR="00201645">
        <w:rPr>
          <w:rFonts w:asciiTheme="minorHAnsi" w:hAnsiTheme="minorHAnsi" w:cstheme="minorHAnsi"/>
        </w:rPr>
        <w:t>oskytování</w:t>
      </w:r>
      <w:r w:rsidR="00C85A08">
        <w:rPr>
          <w:rFonts w:asciiTheme="minorHAnsi" w:hAnsiTheme="minorHAnsi" w:cstheme="minorHAnsi"/>
        </w:rPr>
        <w:t xml:space="preserve"> těchto prostředků</w:t>
      </w:r>
      <w:r w:rsidR="00201645">
        <w:rPr>
          <w:rFonts w:asciiTheme="minorHAnsi" w:hAnsiTheme="minorHAnsi" w:cstheme="minorHAnsi"/>
        </w:rPr>
        <w:t xml:space="preserve"> prostřednictvím MD je p</w:t>
      </w:r>
      <w:r w:rsidR="00F46850">
        <w:rPr>
          <w:rFonts w:asciiTheme="minorHAnsi" w:hAnsiTheme="minorHAnsi" w:cstheme="minorHAnsi"/>
        </w:rPr>
        <w:t>odle NKÚ nesystémové,</w:t>
      </w:r>
      <w:r w:rsidR="00201645">
        <w:rPr>
          <w:rFonts w:asciiTheme="minorHAnsi" w:hAnsiTheme="minorHAnsi" w:cstheme="minorHAnsi"/>
        </w:rPr>
        <w:t xml:space="preserve"> neboť </w:t>
      </w:r>
      <w:r w:rsidR="006C632D">
        <w:rPr>
          <w:rFonts w:asciiTheme="minorHAnsi" w:hAnsiTheme="minorHAnsi" w:cstheme="minorHAnsi"/>
        </w:rPr>
        <w:t xml:space="preserve">stanovení rozsahu </w:t>
      </w:r>
      <w:r w:rsidR="00201645">
        <w:rPr>
          <w:rFonts w:asciiTheme="minorHAnsi" w:hAnsiTheme="minorHAnsi" w:cstheme="minorHAnsi"/>
        </w:rPr>
        <w:t>regionální železniční d</w:t>
      </w:r>
      <w:r w:rsidR="006C632D">
        <w:rPr>
          <w:rFonts w:asciiTheme="minorHAnsi" w:hAnsiTheme="minorHAnsi" w:cstheme="minorHAnsi"/>
        </w:rPr>
        <w:t>opravy</w:t>
      </w:r>
      <w:r w:rsidR="00201645">
        <w:rPr>
          <w:rFonts w:asciiTheme="minorHAnsi" w:hAnsiTheme="minorHAnsi" w:cstheme="minorHAnsi"/>
        </w:rPr>
        <w:t xml:space="preserve"> </w:t>
      </w:r>
      <w:r w:rsidR="006C632D">
        <w:rPr>
          <w:rFonts w:asciiTheme="minorHAnsi" w:hAnsiTheme="minorHAnsi" w:cstheme="minorHAnsi"/>
        </w:rPr>
        <w:t>a její</w:t>
      </w:r>
      <w:r w:rsidR="00C86F1B">
        <w:rPr>
          <w:rFonts w:asciiTheme="minorHAnsi" w:hAnsiTheme="minorHAnsi" w:cstheme="minorHAnsi"/>
        </w:rPr>
        <w:t xml:space="preserve"> </w:t>
      </w:r>
      <w:r w:rsidR="006C632D">
        <w:rPr>
          <w:rFonts w:asciiTheme="minorHAnsi" w:hAnsiTheme="minorHAnsi" w:cstheme="minorHAnsi"/>
        </w:rPr>
        <w:t xml:space="preserve">zajišťování </w:t>
      </w:r>
      <w:r w:rsidR="00C86F1B">
        <w:rPr>
          <w:rFonts w:asciiTheme="minorHAnsi" w:hAnsiTheme="minorHAnsi" w:cstheme="minorHAnsi"/>
        </w:rPr>
        <w:t>nespadá do</w:t>
      </w:r>
      <w:r w:rsidR="00F6567D">
        <w:rPr>
          <w:rFonts w:asciiTheme="minorHAnsi" w:hAnsiTheme="minorHAnsi" w:cstheme="minorHAnsi"/>
        </w:rPr>
        <w:t xml:space="preserve"> kompetenc</w:t>
      </w:r>
      <w:r w:rsidR="00C86F1B">
        <w:rPr>
          <w:rFonts w:asciiTheme="minorHAnsi" w:hAnsiTheme="minorHAnsi" w:cstheme="minorHAnsi"/>
        </w:rPr>
        <w:t>í</w:t>
      </w:r>
      <w:r w:rsidR="00C85A08">
        <w:rPr>
          <w:rFonts w:asciiTheme="minorHAnsi" w:hAnsiTheme="minorHAnsi" w:cstheme="minorHAnsi"/>
        </w:rPr>
        <w:t xml:space="preserve"> </w:t>
      </w:r>
      <w:r w:rsidR="00C86F1B">
        <w:rPr>
          <w:rFonts w:asciiTheme="minorHAnsi" w:hAnsiTheme="minorHAnsi" w:cstheme="minorHAnsi"/>
        </w:rPr>
        <w:t xml:space="preserve">MD </w:t>
      </w:r>
      <w:r w:rsidR="00C85A08">
        <w:rPr>
          <w:rFonts w:asciiTheme="minorHAnsi" w:hAnsiTheme="minorHAnsi" w:cstheme="minorHAnsi"/>
        </w:rPr>
        <w:t>(potřebnost</w:t>
      </w:r>
      <w:r w:rsidR="00494D52">
        <w:rPr>
          <w:rFonts w:asciiTheme="minorHAnsi" w:hAnsiTheme="minorHAnsi" w:cstheme="minorHAnsi"/>
        </w:rPr>
        <w:t xml:space="preserve"> prostředků</w:t>
      </w:r>
      <w:r w:rsidR="006C632D">
        <w:rPr>
          <w:rFonts w:asciiTheme="minorHAnsi" w:hAnsiTheme="minorHAnsi" w:cstheme="minorHAnsi"/>
        </w:rPr>
        <w:t xml:space="preserve"> </w:t>
      </w:r>
      <w:r w:rsidR="00C85A08">
        <w:rPr>
          <w:rFonts w:asciiTheme="minorHAnsi" w:hAnsiTheme="minorHAnsi" w:cstheme="minorHAnsi"/>
        </w:rPr>
        <w:t>však NKÚ nezpochybňuje)</w:t>
      </w:r>
      <w:r w:rsidR="00F6567D">
        <w:rPr>
          <w:rFonts w:asciiTheme="minorHAnsi" w:hAnsiTheme="minorHAnsi" w:cstheme="minorHAnsi"/>
        </w:rPr>
        <w:t>.</w:t>
      </w:r>
      <w:r w:rsidR="003E1214">
        <w:rPr>
          <w:rFonts w:asciiTheme="minorHAnsi" w:hAnsiTheme="minorHAnsi" w:cstheme="minorHAnsi"/>
        </w:rPr>
        <w:t xml:space="preserve"> </w:t>
      </w:r>
      <w:r w:rsidR="006C632D">
        <w:rPr>
          <w:rFonts w:asciiTheme="minorHAnsi" w:hAnsiTheme="minorHAnsi" w:cstheme="minorHAnsi"/>
        </w:rPr>
        <w:t xml:space="preserve"> </w:t>
      </w:r>
    </w:p>
    <w:p w14:paraId="28001C78" w14:textId="14A25919" w:rsidR="007520E4" w:rsidRDefault="007520E4" w:rsidP="00DD6886">
      <w:pPr>
        <w:ind w:left="284" w:hanging="284"/>
        <w:jc w:val="both"/>
        <w:rPr>
          <w:rFonts w:asciiTheme="minorHAnsi" w:hAnsiTheme="minorHAnsi" w:cstheme="minorHAnsi"/>
        </w:rPr>
      </w:pPr>
    </w:p>
    <w:p w14:paraId="2750F4B2" w14:textId="23B1CBDD" w:rsidR="00A942A8" w:rsidRPr="00BE57A8" w:rsidRDefault="00C86F1B" w:rsidP="00F468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Ve srovnání s </w:t>
      </w:r>
      <w:r w:rsidR="00F46850">
        <w:rPr>
          <w:rFonts w:asciiTheme="minorHAnsi" w:hAnsiTheme="minorHAnsi" w:cstheme="minorHAnsi"/>
        </w:rPr>
        <w:t>obdobně zaměřen</w:t>
      </w:r>
      <w:r>
        <w:rPr>
          <w:rFonts w:asciiTheme="minorHAnsi" w:hAnsiTheme="minorHAnsi" w:cstheme="minorHAnsi"/>
        </w:rPr>
        <w:t>ou</w:t>
      </w:r>
      <w:r w:rsidR="00F46850">
        <w:rPr>
          <w:rFonts w:asciiTheme="minorHAnsi" w:hAnsiTheme="minorHAnsi" w:cstheme="minorHAnsi"/>
        </w:rPr>
        <w:t xml:space="preserve"> kontrol</w:t>
      </w:r>
      <w:r>
        <w:rPr>
          <w:rFonts w:asciiTheme="minorHAnsi" w:hAnsiTheme="minorHAnsi" w:cstheme="minorHAnsi"/>
        </w:rPr>
        <w:t>ou</w:t>
      </w:r>
      <w:r w:rsidR="00F46850">
        <w:rPr>
          <w:rFonts w:asciiTheme="minorHAnsi" w:hAnsiTheme="minorHAnsi" w:cstheme="minorHAnsi"/>
        </w:rPr>
        <w:t xml:space="preserve">, kterou NKÚ </w:t>
      </w:r>
      <w:r w:rsidR="000A1AEB">
        <w:rPr>
          <w:rFonts w:asciiTheme="minorHAnsi" w:hAnsiTheme="minorHAnsi" w:cstheme="minorHAnsi"/>
        </w:rPr>
        <w:t xml:space="preserve">ukončil </w:t>
      </w:r>
      <w:r w:rsidR="00893291">
        <w:rPr>
          <w:rFonts w:asciiTheme="minorHAnsi" w:hAnsiTheme="minorHAnsi" w:cstheme="minorHAnsi"/>
        </w:rPr>
        <w:t>v </w:t>
      </w:r>
      <w:r w:rsidR="000A1AEB">
        <w:rPr>
          <w:rFonts w:asciiTheme="minorHAnsi" w:hAnsiTheme="minorHAnsi" w:cstheme="minorHAnsi"/>
        </w:rPr>
        <w:t>roce</w:t>
      </w:r>
      <w:r w:rsidR="00F46850">
        <w:rPr>
          <w:rFonts w:asciiTheme="minorHAnsi" w:hAnsiTheme="minorHAnsi" w:cstheme="minorHAnsi"/>
        </w:rPr>
        <w:t xml:space="preserve"> 2010,</w:t>
      </w:r>
      <w:r w:rsidR="00884937">
        <w:rPr>
          <w:rFonts w:asciiTheme="minorHAnsi" w:hAnsiTheme="minorHAnsi" w:cstheme="minorHAnsi"/>
        </w:rPr>
        <w:t xml:space="preserve"> se</w:t>
      </w:r>
      <w:r w:rsidR="00F46850">
        <w:rPr>
          <w:rFonts w:asciiTheme="minorHAnsi" w:hAnsiTheme="minorHAnsi" w:cstheme="minorHAnsi"/>
        </w:rPr>
        <w:t xml:space="preserve"> stav nezměnil v oblastech otevírání trhu veřejných služeb v přepravě cestujících a v provádění kontrol správnosti vykazované ztráty z</w:t>
      </w:r>
      <w:r w:rsidR="003703CF">
        <w:rPr>
          <w:rFonts w:asciiTheme="minorHAnsi" w:hAnsiTheme="minorHAnsi" w:cstheme="minorHAnsi"/>
        </w:rPr>
        <w:t> </w:t>
      </w:r>
      <w:r w:rsidR="00F46850">
        <w:rPr>
          <w:rFonts w:asciiTheme="minorHAnsi" w:hAnsiTheme="minorHAnsi" w:cstheme="minorHAnsi"/>
        </w:rPr>
        <w:t>provozo</w:t>
      </w:r>
      <w:r w:rsidR="003703CF">
        <w:rPr>
          <w:rFonts w:asciiTheme="minorHAnsi" w:hAnsiTheme="minorHAnsi" w:cstheme="minorHAnsi"/>
        </w:rPr>
        <w:t>v</w:t>
      </w:r>
      <w:r w:rsidR="000D71FE">
        <w:rPr>
          <w:rFonts w:asciiTheme="minorHAnsi" w:hAnsiTheme="minorHAnsi" w:cstheme="minorHAnsi"/>
        </w:rPr>
        <w:t>ání vlaků k zajištění dopravní</w:t>
      </w:r>
      <w:r w:rsidR="003703CF">
        <w:rPr>
          <w:rFonts w:asciiTheme="minorHAnsi" w:hAnsiTheme="minorHAnsi" w:cstheme="minorHAnsi"/>
        </w:rPr>
        <w:t xml:space="preserve"> </w:t>
      </w:r>
      <w:r w:rsidR="000D71FE">
        <w:rPr>
          <w:rFonts w:asciiTheme="minorHAnsi" w:hAnsiTheme="minorHAnsi" w:cstheme="minorHAnsi"/>
        </w:rPr>
        <w:t>obslužnosti</w:t>
      </w:r>
      <w:r w:rsidR="003703CF">
        <w:rPr>
          <w:rFonts w:asciiTheme="minorHAnsi" w:hAnsiTheme="minorHAnsi" w:cstheme="minorHAnsi"/>
        </w:rPr>
        <w:t xml:space="preserve"> státu ze strany MD. Pozitivem bylo </w:t>
      </w:r>
      <w:r w:rsidR="00A942A8">
        <w:rPr>
          <w:rFonts w:asciiTheme="minorHAnsi" w:hAnsiTheme="minorHAnsi" w:cstheme="minorHAnsi"/>
        </w:rPr>
        <w:t>stanovení</w:t>
      </w:r>
      <w:r w:rsidR="00260F82">
        <w:rPr>
          <w:rFonts w:asciiTheme="minorHAnsi" w:hAnsiTheme="minorHAnsi" w:cstheme="minorHAnsi"/>
        </w:rPr>
        <w:t xml:space="preserve"> postup</w:t>
      </w:r>
      <w:r w:rsidR="00A942A8">
        <w:rPr>
          <w:rFonts w:asciiTheme="minorHAnsi" w:hAnsiTheme="minorHAnsi" w:cstheme="minorHAnsi"/>
        </w:rPr>
        <w:t>u</w:t>
      </w:r>
      <w:r w:rsidR="00260F82">
        <w:rPr>
          <w:rFonts w:asciiTheme="minorHAnsi" w:hAnsiTheme="minorHAnsi" w:cstheme="minorHAnsi"/>
        </w:rPr>
        <w:t xml:space="preserve"> státu, krajů a obcí při zajišťování dopravní obslužnosti veřejnými službami v</w:t>
      </w:r>
      <w:r w:rsidR="00F6567D">
        <w:rPr>
          <w:rFonts w:asciiTheme="minorHAnsi" w:hAnsiTheme="minorHAnsi" w:cstheme="minorHAnsi"/>
        </w:rPr>
        <w:t> přepravě cestujících</w:t>
      </w:r>
      <w:r w:rsidR="00A942A8">
        <w:rPr>
          <w:rFonts w:asciiTheme="minorHAnsi" w:hAnsiTheme="minorHAnsi" w:cstheme="minorHAnsi"/>
        </w:rPr>
        <w:t xml:space="preserve"> přijetím zákona č.</w:t>
      </w:r>
      <w:r w:rsidR="00283288">
        <w:rPr>
          <w:rFonts w:asciiTheme="minorHAnsi" w:hAnsiTheme="minorHAnsi" w:cstheme="minorHAnsi"/>
        </w:rPr>
        <w:t> </w:t>
      </w:r>
      <w:r w:rsidR="00A942A8">
        <w:rPr>
          <w:rFonts w:asciiTheme="minorHAnsi" w:hAnsiTheme="minorHAnsi" w:cstheme="minorHAnsi"/>
        </w:rPr>
        <w:t>194/2010</w:t>
      </w:r>
      <w:r w:rsidR="00947E8F">
        <w:rPr>
          <w:rFonts w:asciiTheme="minorHAnsi" w:hAnsiTheme="minorHAnsi" w:cstheme="minorHAnsi"/>
        </w:rPr>
        <w:t> </w:t>
      </w:r>
      <w:r w:rsidR="00A942A8">
        <w:rPr>
          <w:rFonts w:asciiTheme="minorHAnsi" w:hAnsiTheme="minorHAnsi" w:cstheme="minorHAnsi"/>
        </w:rPr>
        <w:t>Sb.</w:t>
      </w:r>
    </w:p>
    <w:p w14:paraId="67C826FB" w14:textId="77777777" w:rsidR="00606E5D" w:rsidRDefault="00606E5D" w:rsidP="00344748">
      <w:pPr>
        <w:jc w:val="both"/>
        <w:rPr>
          <w:rFonts w:asciiTheme="minorHAnsi" w:hAnsiTheme="minorHAnsi" w:cstheme="minorHAnsi"/>
        </w:rPr>
      </w:pPr>
    </w:p>
    <w:p w14:paraId="048C4E9E" w14:textId="09F8503A" w:rsidR="00484F9A" w:rsidRDefault="009911A4" w:rsidP="0034474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MD nevypracovalo</w:t>
      </w:r>
      <w:r w:rsidR="00606E5D">
        <w:rPr>
          <w:rFonts w:asciiTheme="minorHAnsi" w:hAnsiTheme="minorHAnsi" w:cstheme="minorHAnsi"/>
        </w:rPr>
        <w:t xml:space="preserve"> bližší</w:t>
      </w:r>
      <w:r>
        <w:rPr>
          <w:rFonts w:asciiTheme="minorHAnsi" w:hAnsiTheme="minorHAnsi" w:cstheme="minorHAnsi"/>
        </w:rPr>
        <w:t xml:space="preserve"> metodická pravidla</w:t>
      </w:r>
      <w:r w:rsidR="00606E5D">
        <w:rPr>
          <w:rFonts w:asciiTheme="minorHAnsi" w:hAnsiTheme="minorHAnsi" w:cstheme="minorHAnsi"/>
        </w:rPr>
        <w:t xml:space="preserve"> pro vykazování </w:t>
      </w:r>
      <w:r w:rsidR="00A942A8">
        <w:rPr>
          <w:rFonts w:asciiTheme="minorHAnsi" w:hAnsiTheme="minorHAnsi" w:cstheme="minorHAnsi"/>
        </w:rPr>
        <w:t>nákladů, výnosů a provozních</w:t>
      </w:r>
      <w:r w:rsidR="00476CFB">
        <w:rPr>
          <w:rFonts w:asciiTheme="minorHAnsi" w:hAnsiTheme="minorHAnsi" w:cstheme="minorHAnsi"/>
        </w:rPr>
        <w:t xml:space="preserve"> </w:t>
      </w:r>
      <w:r w:rsidR="00E94982">
        <w:rPr>
          <w:rFonts w:asciiTheme="minorHAnsi" w:hAnsiTheme="minorHAnsi" w:cstheme="minorHAnsi"/>
        </w:rPr>
        <w:t>aktiv vymezených</w:t>
      </w:r>
      <w:r w:rsidR="00476CFB">
        <w:rPr>
          <w:rFonts w:asciiTheme="minorHAnsi" w:hAnsiTheme="minorHAnsi" w:cstheme="minorHAnsi"/>
        </w:rPr>
        <w:t xml:space="preserve"> ve vyhlášce č. 296/2010 Sb.</w:t>
      </w:r>
      <w:r w:rsidR="0064353B">
        <w:rPr>
          <w:rStyle w:val="Znakapoznpodarou"/>
          <w:rFonts w:asciiTheme="minorHAnsi" w:hAnsiTheme="minorHAnsi" w:cstheme="minorHAnsi"/>
        </w:rPr>
        <w:footnoteReference w:id="7"/>
      </w:r>
      <w:r w:rsidR="00E94982">
        <w:rPr>
          <w:rFonts w:asciiTheme="minorHAnsi" w:hAnsiTheme="minorHAnsi" w:cstheme="minorHAnsi"/>
        </w:rPr>
        <w:t xml:space="preserve"> (nahradila vyhlášku</w:t>
      </w:r>
      <w:r w:rsidR="00CA5692">
        <w:rPr>
          <w:rFonts w:asciiTheme="minorHAnsi" w:hAnsiTheme="minorHAnsi" w:cstheme="minorHAnsi"/>
        </w:rPr>
        <w:t xml:space="preserve"> č. 241/</w:t>
      </w:r>
      <w:r w:rsidR="00476CFB">
        <w:rPr>
          <w:rFonts w:asciiTheme="minorHAnsi" w:hAnsiTheme="minorHAnsi" w:cstheme="minorHAnsi"/>
        </w:rPr>
        <w:t>2005 Sb.</w:t>
      </w:r>
      <w:r w:rsidR="0064353B">
        <w:rPr>
          <w:rStyle w:val="Znakapoznpodarou"/>
          <w:rFonts w:asciiTheme="minorHAnsi" w:hAnsiTheme="minorHAnsi" w:cstheme="minorHAnsi"/>
        </w:rPr>
        <w:footnoteReference w:id="8"/>
      </w:r>
      <w:r w:rsidR="00E94982">
        <w:rPr>
          <w:rFonts w:asciiTheme="minorHAnsi" w:hAnsiTheme="minorHAnsi" w:cstheme="minorHAnsi"/>
        </w:rPr>
        <w:t>)</w:t>
      </w:r>
      <w:r w:rsidR="00606E5D">
        <w:rPr>
          <w:rFonts w:asciiTheme="minorHAnsi" w:hAnsiTheme="minorHAnsi" w:cstheme="minorHAnsi"/>
        </w:rPr>
        <w:t xml:space="preserve">, které mají sloužit </w:t>
      </w:r>
      <w:r w:rsidR="00E94982">
        <w:rPr>
          <w:rFonts w:asciiTheme="minorHAnsi" w:hAnsiTheme="minorHAnsi" w:cstheme="minorHAnsi"/>
        </w:rPr>
        <w:t>pro účely stanovení kompenzace dopravcům z provozování vlaků na základě smluv o veřejných službách v přepravě cestujících.</w:t>
      </w:r>
      <w:r w:rsidR="00606E5D">
        <w:rPr>
          <w:rFonts w:asciiTheme="minorHAnsi" w:hAnsiTheme="minorHAnsi" w:cstheme="minorHAnsi"/>
        </w:rPr>
        <w:t xml:space="preserve"> </w:t>
      </w:r>
      <w:r w:rsidR="00E94982">
        <w:rPr>
          <w:rFonts w:asciiTheme="minorHAnsi" w:hAnsiTheme="minorHAnsi" w:cstheme="minorHAnsi"/>
        </w:rPr>
        <w:t xml:space="preserve">ČD </w:t>
      </w:r>
      <w:r w:rsidR="00D6138B">
        <w:rPr>
          <w:rFonts w:asciiTheme="minorHAnsi" w:hAnsiTheme="minorHAnsi" w:cstheme="minorHAnsi"/>
        </w:rPr>
        <w:t>si tak vytvoři</w:t>
      </w:r>
      <w:r w:rsidR="009E206E">
        <w:rPr>
          <w:rFonts w:asciiTheme="minorHAnsi" w:hAnsiTheme="minorHAnsi" w:cstheme="minorHAnsi"/>
        </w:rPr>
        <w:t>ly vlastní metodiku</w:t>
      </w:r>
      <w:r w:rsidR="00484F9A">
        <w:rPr>
          <w:rFonts w:asciiTheme="minorHAnsi" w:hAnsiTheme="minorHAnsi" w:cstheme="minorHAnsi"/>
        </w:rPr>
        <w:t>, podle které rozdělovaly náklady a výnosy osobní dopravy na vlaky objednávané MD a na ostatní</w:t>
      </w:r>
      <w:r w:rsidR="009E206E">
        <w:rPr>
          <w:rFonts w:asciiTheme="minorHAnsi" w:hAnsiTheme="minorHAnsi" w:cstheme="minorHAnsi"/>
        </w:rPr>
        <w:t>.</w:t>
      </w:r>
      <w:r w:rsidR="00484F9A">
        <w:rPr>
          <w:rFonts w:asciiTheme="minorHAnsi" w:hAnsiTheme="minorHAnsi" w:cstheme="minorHAnsi"/>
        </w:rPr>
        <w:t xml:space="preserve"> Kontrolu vykázaných údajů </w:t>
      </w:r>
      <w:r w:rsidR="00D57680">
        <w:rPr>
          <w:rFonts w:asciiTheme="minorHAnsi" w:hAnsiTheme="minorHAnsi" w:cstheme="minorHAnsi"/>
        </w:rPr>
        <w:t xml:space="preserve">vnějšími orgány </w:t>
      </w:r>
      <w:r w:rsidR="00484F9A">
        <w:rPr>
          <w:rFonts w:asciiTheme="minorHAnsi" w:hAnsiTheme="minorHAnsi" w:cstheme="minorHAnsi"/>
        </w:rPr>
        <w:t>omezoval značný rozsah vstupních dat a</w:t>
      </w:r>
      <w:r w:rsidR="00D57680">
        <w:rPr>
          <w:rFonts w:asciiTheme="minorHAnsi" w:hAnsiTheme="minorHAnsi" w:cstheme="minorHAnsi"/>
        </w:rPr>
        <w:t> </w:t>
      </w:r>
      <w:r w:rsidR="00484F9A">
        <w:rPr>
          <w:rFonts w:asciiTheme="minorHAnsi" w:hAnsiTheme="minorHAnsi" w:cstheme="minorHAnsi"/>
        </w:rPr>
        <w:t xml:space="preserve">nemožnost rozboru jednotlivých operací zahrnutých do výpočtu </w:t>
      </w:r>
      <w:r w:rsidR="00C86F1B">
        <w:rPr>
          <w:rFonts w:asciiTheme="minorHAnsi" w:hAnsiTheme="minorHAnsi" w:cstheme="minorHAnsi"/>
        </w:rPr>
        <w:t xml:space="preserve">ztráty </w:t>
      </w:r>
      <w:r w:rsidR="00484F9A">
        <w:rPr>
          <w:rFonts w:asciiTheme="minorHAnsi" w:hAnsiTheme="minorHAnsi" w:cstheme="minorHAnsi"/>
        </w:rPr>
        <w:t xml:space="preserve">jiným programovým vybavením než používaným ČD.  </w:t>
      </w:r>
    </w:p>
    <w:p w14:paraId="15B0B84D" w14:textId="77777777" w:rsidR="00606E5D" w:rsidRDefault="00606E5D" w:rsidP="00344748">
      <w:pPr>
        <w:jc w:val="both"/>
        <w:rPr>
          <w:rFonts w:asciiTheme="minorHAnsi" w:hAnsiTheme="minorHAnsi" w:cstheme="minorHAnsi"/>
        </w:rPr>
      </w:pPr>
    </w:p>
    <w:p w14:paraId="379B1E97" w14:textId="77777777" w:rsidR="0034501C" w:rsidRPr="00476CFB" w:rsidRDefault="009E206E" w:rsidP="0034474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Skutečnosti</w:t>
      </w:r>
      <w:r w:rsidR="00D6138B">
        <w:rPr>
          <w:rFonts w:asciiTheme="minorHAnsi" w:hAnsiTheme="minorHAnsi" w:cstheme="minorHAnsi"/>
        </w:rPr>
        <w:t xml:space="preserve"> zjištěné NKÚ</w:t>
      </w:r>
      <w:r w:rsidR="008967C2">
        <w:rPr>
          <w:rFonts w:asciiTheme="minorHAnsi" w:hAnsiTheme="minorHAnsi" w:cstheme="minorHAnsi"/>
        </w:rPr>
        <w:t xml:space="preserve"> při kontrole</w:t>
      </w:r>
      <w:r w:rsidR="00D6138B">
        <w:rPr>
          <w:rFonts w:asciiTheme="minorHAnsi" w:hAnsiTheme="minorHAnsi" w:cstheme="minorHAnsi"/>
        </w:rPr>
        <w:t xml:space="preserve"> </w:t>
      </w:r>
      <w:r w:rsidR="008967C2">
        <w:rPr>
          <w:rFonts w:asciiTheme="minorHAnsi" w:hAnsiTheme="minorHAnsi" w:cstheme="minorHAnsi"/>
        </w:rPr>
        <w:t>ukazují na potřebu nastavení jednotných</w:t>
      </w:r>
      <w:r w:rsidR="00484F9A">
        <w:rPr>
          <w:rFonts w:asciiTheme="minorHAnsi" w:hAnsiTheme="minorHAnsi" w:cstheme="minorHAnsi"/>
        </w:rPr>
        <w:t xml:space="preserve"> metodických</w:t>
      </w:r>
      <w:r w:rsidR="008967C2">
        <w:rPr>
          <w:rFonts w:asciiTheme="minorHAnsi" w:hAnsiTheme="minorHAnsi" w:cstheme="minorHAnsi"/>
        </w:rPr>
        <w:t xml:space="preserve"> pravidel pro</w:t>
      </w:r>
      <w:r w:rsidR="00484F9A">
        <w:rPr>
          <w:rFonts w:asciiTheme="minorHAnsi" w:hAnsiTheme="minorHAnsi" w:cstheme="minorHAnsi"/>
        </w:rPr>
        <w:t xml:space="preserve"> vykazování uvedených údajů, která by platila pro </w:t>
      </w:r>
      <w:r w:rsidR="008967C2">
        <w:rPr>
          <w:rFonts w:asciiTheme="minorHAnsi" w:hAnsiTheme="minorHAnsi" w:cstheme="minorHAnsi"/>
        </w:rPr>
        <w:t>všechny potenci</w:t>
      </w:r>
      <w:r w:rsidR="00D6138B">
        <w:rPr>
          <w:rFonts w:asciiTheme="minorHAnsi" w:hAnsiTheme="minorHAnsi" w:cstheme="minorHAnsi"/>
        </w:rPr>
        <w:t>ální dopravce</w:t>
      </w:r>
      <w:r w:rsidR="00C86F1B">
        <w:rPr>
          <w:rFonts w:asciiTheme="minorHAnsi" w:hAnsiTheme="minorHAnsi" w:cstheme="minorHAnsi"/>
        </w:rPr>
        <w:t>,</w:t>
      </w:r>
      <w:r w:rsidR="00D6138B">
        <w:rPr>
          <w:rFonts w:asciiTheme="minorHAnsi" w:hAnsiTheme="minorHAnsi" w:cstheme="minorHAnsi"/>
        </w:rPr>
        <w:t xml:space="preserve"> a to i v případě regionální dopravy</w:t>
      </w:r>
      <w:r w:rsidR="008967C2">
        <w:rPr>
          <w:rFonts w:asciiTheme="minorHAnsi" w:hAnsiTheme="minorHAnsi" w:cstheme="minorHAnsi"/>
        </w:rPr>
        <w:t xml:space="preserve"> objednávan</w:t>
      </w:r>
      <w:r w:rsidR="00D6138B">
        <w:rPr>
          <w:rFonts w:asciiTheme="minorHAnsi" w:hAnsiTheme="minorHAnsi" w:cstheme="minorHAnsi"/>
        </w:rPr>
        <w:t>é</w:t>
      </w:r>
      <w:r w:rsidR="008967C2">
        <w:rPr>
          <w:rFonts w:asciiTheme="minorHAnsi" w:hAnsiTheme="minorHAnsi" w:cstheme="minorHAnsi"/>
        </w:rPr>
        <w:t xml:space="preserve"> kraji. Tato potřeba je zvlášť významná </w:t>
      </w:r>
      <w:r w:rsidR="004B3D5C">
        <w:rPr>
          <w:rFonts w:asciiTheme="minorHAnsi" w:hAnsiTheme="minorHAnsi" w:cstheme="minorHAnsi"/>
        </w:rPr>
        <w:t>v </w:t>
      </w:r>
      <w:r w:rsidR="0072160B">
        <w:rPr>
          <w:rFonts w:asciiTheme="minorHAnsi" w:hAnsiTheme="minorHAnsi" w:cstheme="minorHAnsi"/>
        </w:rPr>
        <w:t xml:space="preserve">zájmu zabezpečení odpovídající transparentnosti dopravci vykazovaných údajů </w:t>
      </w:r>
      <w:r w:rsidR="008967C2">
        <w:rPr>
          <w:rFonts w:asciiTheme="minorHAnsi" w:hAnsiTheme="minorHAnsi" w:cstheme="minorHAnsi"/>
        </w:rPr>
        <w:t>v souvislosti s</w:t>
      </w:r>
      <w:r w:rsidR="0072160B">
        <w:rPr>
          <w:rFonts w:asciiTheme="minorHAnsi" w:hAnsiTheme="minorHAnsi" w:cstheme="minorHAnsi"/>
        </w:rPr>
        <w:t> </w:t>
      </w:r>
      <w:r w:rsidR="00D6138B">
        <w:rPr>
          <w:rFonts w:asciiTheme="minorHAnsi" w:hAnsiTheme="minorHAnsi" w:cstheme="minorHAnsi"/>
        </w:rPr>
        <w:t>p</w:t>
      </w:r>
      <w:r w:rsidR="008967C2">
        <w:rPr>
          <w:rFonts w:asciiTheme="minorHAnsi" w:hAnsiTheme="minorHAnsi" w:cstheme="minorHAnsi"/>
        </w:rPr>
        <w:t>rocesem otevírání trhu veřejných služeb v přepravě cestujících.</w:t>
      </w:r>
    </w:p>
    <w:p w14:paraId="54F15EAC" w14:textId="77777777" w:rsidR="002765A8" w:rsidRDefault="002765A8">
      <w:pPr>
        <w:rPr>
          <w:rFonts w:asciiTheme="minorHAnsi" w:hAnsiTheme="minorHAnsi" w:cstheme="minorHAnsi"/>
        </w:rPr>
      </w:pPr>
    </w:p>
    <w:p w14:paraId="4AC9C1D4" w14:textId="77777777" w:rsidR="00375D37" w:rsidRPr="00FB0C1B" w:rsidRDefault="00375D37">
      <w:pPr>
        <w:rPr>
          <w:rFonts w:asciiTheme="minorHAnsi" w:hAnsiTheme="minorHAnsi" w:cstheme="minorHAnsi"/>
        </w:rPr>
      </w:pPr>
    </w:p>
    <w:p w14:paraId="391DB796" w14:textId="77777777" w:rsidR="00FA363F" w:rsidRDefault="00320176" w:rsidP="00905C58">
      <w:pPr>
        <w:ind w:left="624" w:hanging="62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27BA3">
        <w:rPr>
          <w:rFonts w:asciiTheme="minorHAnsi" w:hAnsiTheme="minorHAnsi" w:cstheme="minorHAnsi"/>
          <w:b/>
          <w:sz w:val="28"/>
          <w:szCs w:val="28"/>
        </w:rPr>
        <w:t xml:space="preserve">III. </w:t>
      </w:r>
      <w:r w:rsidR="00DF08DC">
        <w:rPr>
          <w:rFonts w:asciiTheme="minorHAnsi" w:hAnsiTheme="minorHAnsi" w:cstheme="minorHAnsi"/>
          <w:b/>
          <w:sz w:val="28"/>
          <w:szCs w:val="28"/>
        </w:rPr>
        <w:t>Podrobnější</w:t>
      </w:r>
      <w:r w:rsidR="009920E1">
        <w:rPr>
          <w:rFonts w:asciiTheme="minorHAnsi" w:hAnsiTheme="minorHAnsi" w:cstheme="minorHAnsi"/>
          <w:b/>
          <w:sz w:val="28"/>
          <w:szCs w:val="28"/>
        </w:rPr>
        <w:t xml:space="preserve"> informace ke zjištěným skutečnostem</w:t>
      </w:r>
    </w:p>
    <w:p w14:paraId="4418B99A" w14:textId="77777777" w:rsidR="00BE6A8C" w:rsidRDefault="00BE6A8C" w:rsidP="00BE6A8C">
      <w:pPr>
        <w:ind w:left="624" w:hanging="624"/>
        <w:rPr>
          <w:rFonts w:asciiTheme="minorHAnsi" w:hAnsiTheme="minorHAnsi" w:cstheme="minorHAnsi"/>
          <w:b/>
        </w:rPr>
      </w:pPr>
    </w:p>
    <w:p w14:paraId="0395270F" w14:textId="77777777" w:rsidR="00C34807" w:rsidRDefault="000D71FE" w:rsidP="00DF08DC">
      <w:pPr>
        <w:ind w:right="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1. Vymezení rozsahu dopravní</w:t>
      </w:r>
      <w:r w:rsidR="00D5768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obslužnosti</w:t>
      </w:r>
      <w:r w:rsidR="00D5768E">
        <w:rPr>
          <w:rFonts w:asciiTheme="minorHAnsi" w:hAnsiTheme="minorHAnsi" w:cstheme="minorHAnsi"/>
          <w:b/>
        </w:rPr>
        <w:t xml:space="preserve"> státu vlaky celostátní dopravy</w:t>
      </w:r>
    </w:p>
    <w:p w14:paraId="0C082353" w14:textId="77777777" w:rsidR="00D5768E" w:rsidRDefault="00D5768E" w:rsidP="00DF08DC">
      <w:pPr>
        <w:ind w:right="1"/>
        <w:jc w:val="both"/>
        <w:rPr>
          <w:rFonts w:asciiTheme="minorHAnsi" w:hAnsiTheme="minorHAnsi" w:cstheme="minorHAnsi"/>
          <w:b/>
        </w:rPr>
      </w:pPr>
    </w:p>
    <w:p w14:paraId="2F3FD576" w14:textId="77777777" w:rsidR="0033634C" w:rsidRDefault="000D39AF" w:rsidP="00DF08DC">
      <w:pPr>
        <w:ind w:right="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MD</w:t>
      </w:r>
      <w:r w:rsidR="0072160B">
        <w:rPr>
          <w:rFonts w:asciiTheme="minorHAnsi" w:hAnsiTheme="minorHAnsi" w:cstheme="minorHAnsi"/>
          <w:b/>
        </w:rPr>
        <w:t xml:space="preserve"> </w:t>
      </w:r>
      <w:r w:rsidR="00DC4C51">
        <w:rPr>
          <w:rFonts w:asciiTheme="minorHAnsi" w:hAnsiTheme="minorHAnsi" w:cstheme="minorHAnsi"/>
          <w:b/>
        </w:rPr>
        <w:t xml:space="preserve">nevytvořilo </w:t>
      </w:r>
      <w:r w:rsidR="0033634C">
        <w:rPr>
          <w:rFonts w:asciiTheme="minorHAnsi" w:hAnsiTheme="minorHAnsi" w:cstheme="minorHAnsi"/>
          <w:b/>
        </w:rPr>
        <w:t>v rámci dopravního plánování obj</w:t>
      </w:r>
      <w:r w:rsidR="00F6567D">
        <w:rPr>
          <w:rFonts w:asciiTheme="minorHAnsi" w:hAnsiTheme="minorHAnsi" w:cstheme="minorHAnsi"/>
          <w:b/>
        </w:rPr>
        <w:t>ektivní a transparentní podklad</w:t>
      </w:r>
      <w:r w:rsidR="0033634C">
        <w:rPr>
          <w:rFonts w:asciiTheme="minorHAnsi" w:hAnsiTheme="minorHAnsi" w:cstheme="minorHAnsi"/>
          <w:b/>
        </w:rPr>
        <w:t xml:space="preserve"> </w:t>
      </w:r>
      <w:r w:rsidR="0033634C" w:rsidRPr="0072160B">
        <w:rPr>
          <w:rFonts w:asciiTheme="minorHAnsi" w:hAnsiTheme="minorHAnsi" w:cstheme="minorHAnsi"/>
          <w:b/>
        </w:rPr>
        <w:t>pro stanovení prostředků státního rozpočtu</w:t>
      </w:r>
      <w:r w:rsidR="001E0A87">
        <w:rPr>
          <w:rFonts w:asciiTheme="minorHAnsi" w:hAnsiTheme="minorHAnsi" w:cstheme="minorHAnsi"/>
          <w:b/>
        </w:rPr>
        <w:t xml:space="preserve"> </w:t>
      </w:r>
      <w:r w:rsidR="0033634C" w:rsidRPr="0072160B">
        <w:rPr>
          <w:rFonts w:asciiTheme="minorHAnsi" w:hAnsiTheme="minorHAnsi" w:cstheme="minorHAnsi"/>
          <w:b/>
        </w:rPr>
        <w:t xml:space="preserve">na </w:t>
      </w:r>
      <w:r w:rsidR="0033634C">
        <w:rPr>
          <w:rFonts w:asciiTheme="minorHAnsi" w:hAnsiTheme="minorHAnsi" w:cstheme="minorHAnsi"/>
          <w:b/>
        </w:rPr>
        <w:t>dopravní obslužnost vlaky celostátní dopravy</w:t>
      </w:r>
      <w:r w:rsidR="001E0A87">
        <w:rPr>
          <w:rFonts w:asciiTheme="minorHAnsi" w:hAnsiTheme="minorHAnsi" w:cstheme="minorHAnsi"/>
          <w:b/>
        </w:rPr>
        <w:t>.</w:t>
      </w:r>
      <w:r w:rsidR="00DC4C51">
        <w:rPr>
          <w:rFonts w:asciiTheme="minorHAnsi" w:hAnsiTheme="minorHAnsi" w:cstheme="minorHAnsi"/>
          <w:b/>
        </w:rPr>
        <w:t xml:space="preserve"> </w:t>
      </w:r>
      <w:r w:rsidR="001E0A87">
        <w:rPr>
          <w:rFonts w:asciiTheme="minorHAnsi" w:hAnsiTheme="minorHAnsi" w:cstheme="minorHAnsi"/>
          <w:b/>
        </w:rPr>
        <w:t xml:space="preserve"> </w:t>
      </w:r>
    </w:p>
    <w:p w14:paraId="3EECCD16" w14:textId="77777777" w:rsidR="0072160B" w:rsidRDefault="0072160B" w:rsidP="00DF08DC">
      <w:pPr>
        <w:ind w:right="1"/>
        <w:jc w:val="both"/>
        <w:rPr>
          <w:rFonts w:asciiTheme="minorHAnsi" w:hAnsiTheme="minorHAnsi" w:cstheme="minorHAnsi"/>
        </w:rPr>
      </w:pPr>
    </w:p>
    <w:p w14:paraId="1D8487D5" w14:textId="75B8C90D" w:rsidR="00EA1F1C" w:rsidRDefault="009B12E1" w:rsidP="00DF08DC">
      <w:pPr>
        <w:ind w:right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1.1 </w:t>
      </w:r>
      <w:r w:rsidR="00605893">
        <w:rPr>
          <w:rFonts w:asciiTheme="minorHAnsi" w:hAnsiTheme="minorHAnsi" w:cstheme="minorHAnsi"/>
        </w:rPr>
        <w:t>D</w:t>
      </w:r>
      <w:r w:rsidR="000E05F7">
        <w:rPr>
          <w:rFonts w:asciiTheme="minorHAnsi" w:hAnsiTheme="minorHAnsi" w:cstheme="minorHAnsi"/>
        </w:rPr>
        <w:t>opravní</w:t>
      </w:r>
      <w:r w:rsidR="000B33AD">
        <w:rPr>
          <w:rFonts w:asciiTheme="minorHAnsi" w:hAnsiTheme="minorHAnsi" w:cstheme="minorHAnsi"/>
        </w:rPr>
        <w:t xml:space="preserve"> plánování mělo</w:t>
      </w:r>
      <w:r w:rsidR="00605893">
        <w:rPr>
          <w:rFonts w:asciiTheme="minorHAnsi" w:hAnsiTheme="minorHAnsi" w:cstheme="minorHAnsi"/>
        </w:rPr>
        <w:t xml:space="preserve"> </w:t>
      </w:r>
      <w:r w:rsidR="000B33AD">
        <w:rPr>
          <w:rFonts w:asciiTheme="minorHAnsi" w:hAnsiTheme="minorHAnsi" w:cstheme="minorHAnsi"/>
        </w:rPr>
        <w:t xml:space="preserve">podle </w:t>
      </w:r>
      <w:r w:rsidR="008772B4">
        <w:rPr>
          <w:rFonts w:asciiTheme="minorHAnsi" w:hAnsiTheme="minorHAnsi" w:cstheme="minorHAnsi"/>
        </w:rPr>
        <w:t xml:space="preserve">ustanovení </w:t>
      </w:r>
      <w:r w:rsidR="000B33AD">
        <w:rPr>
          <w:rFonts w:asciiTheme="minorHAnsi" w:hAnsiTheme="minorHAnsi" w:cstheme="minorHAnsi"/>
        </w:rPr>
        <w:t>§ 5 zákona č. 194/2010 Sb</w:t>
      </w:r>
      <w:r w:rsidR="00605893">
        <w:rPr>
          <w:rFonts w:asciiTheme="minorHAnsi" w:hAnsiTheme="minorHAnsi" w:cstheme="minorHAnsi"/>
        </w:rPr>
        <w:t>.</w:t>
      </w:r>
      <w:r w:rsidR="00605893" w:rsidRPr="00605893">
        <w:rPr>
          <w:rFonts w:asciiTheme="minorHAnsi" w:hAnsiTheme="minorHAnsi" w:cstheme="minorHAnsi"/>
        </w:rPr>
        <w:t xml:space="preserve"> </w:t>
      </w:r>
      <w:r w:rsidR="00605893">
        <w:rPr>
          <w:rFonts w:asciiTheme="minorHAnsi" w:hAnsiTheme="minorHAnsi" w:cstheme="minorHAnsi"/>
        </w:rPr>
        <w:t>vycházet z páteřních spojů drážní osobní dopravy a MD jej mělo zajišťovat prostřednictvím plánu dopravní obslužnosti území. Jeho cílem bylo</w:t>
      </w:r>
      <w:r w:rsidR="000B33AD">
        <w:rPr>
          <w:rFonts w:asciiTheme="minorHAnsi" w:hAnsiTheme="minorHAnsi" w:cstheme="minorHAnsi"/>
        </w:rPr>
        <w:t xml:space="preserve"> vytváření podmínek pro hospodárné, efektivní a účelné zajišťování dopravní obslužnosti a pro vzájemnou spolupráci státu, krajů a obcí při této činnosti.</w:t>
      </w:r>
      <w:r w:rsidR="00EA1F1C">
        <w:rPr>
          <w:rFonts w:asciiTheme="minorHAnsi" w:hAnsiTheme="minorHAnsi" w:cstheme="minorHAnsi"/>
        </w:rPr>
        <w:t xml:space="preserve"> MD </w:t>
      </w:r>
      <w:r w:rsidR="005D1E12">
        <w:rPr>
          <w:rFonts w:asciiTheme="minorHAnsi" w:hAnsiTheme="minorHAnsi" w:cstheme="minorHAnsi"/>
        </w:rPr>
        <w:t xml:space="preserve">předpokládalo </w:t>
      </w:r>
      <w:r w:rsidR="00EA1F1C">
        <w:rPr>
          <w:rFonts w:asciiTheme="minorHAnsi" w:hAnsiTheme="minorHAnsi" w:cstheme="minorHAnsi"/>
        </w:rPr>
        <w:t>v </w:t>
      </w:r>
      <w:r w:rsidR="00605893" w:rsidRPr="00EA1F1C">
        <w:rPr>
          <w:rFonts w:asciiTheme="minorHAnsi" w:hAnsiTheme="minorHAnsi" w:cstheme="minorHAnsi"/>
          <w:i/>
        </w:rPr>
        <w:t>Dopravní</w:t>
      </w:r>
      <w:r w:rsidR="00CF7AA5">
        <w:rPr>
          <w:rFonts w:asciiTheme="minorHAnsi" w:hAnsiTheme="minorHAnsi" w:cstheme="minorHAnsi"/>
          <w:i/>
        </w:rPr>
        <w:t xml:space="preserve"> polit</w:t>
      </w:r>
      <w:r w:rsidR="00EA1F1C">
        <w:rPr>
          <w:rFonts w:asciiTheme="minorHAnsi" w:hAnsiTheme="minorHAnsi" w:cstheme="minorHAnsi"/>
          <w:i/>
        </w:rPr>
        <w:t>ice</w:t>
      </w:r>
      <w:r w:rsidR="00CF7AA5">
        <w:rPr>
          <w:rFonts w:asciiTheme="minorHAnsi" w:hAnsiTheme="minorHAnsi" w:cstheme="minorHAnsi"/>
          <w:i/>
        </w:rPr>
        <w:t xml:space="preserve"> České republiky pro období let 2014 až 2020 s výhledem do roku 2050</w:t>
      </w:r>
      <w:r w:rsidR="00CF7AA5" w:rsidRPr="00DB3BE6">
        <w:rPr>
          <w:rStyle w:val="Znakapoznpodarou"/>
          <w:rFonts w:asciiTheme="minorHAnsi" w:hAnsiTheme="minorHAnsi" w:cstheme="minorHAnsi"/>
        </w:rPr>
        <w:footnoteReference w:id="9"/>
      </w:r>
      <w:r w:rsidR="00EA1F1C">
        <w:rPr>
          <w:rFonts w:asciiTheme="minorHAnsi" w:hAnsiTheme="minorHAnsi" w:cstheme="minorHAnsi"/>
        </w:rPr>
        <w:t xml:space="preserve"> </w:t>
      </w:r>
      <w:r w:rsidR="005D1E12">
        <w:rPr>
          <w:rFonts w:asciiTheme="minorHAnsi" w:hAnsiTheme="minorHAnsi" w:cstheme="minorHAnsi"/>
        </w:rPr>
        <w:t xml:space="preserve">prostřednictvím objednatelů veřejných služeb (MD a kraje) a plánů dopravní obslužnosti území na páteřních linkách zajištění </w:t>
      </w:r>
      <w:r w:rsidR="00EA1F1C">
        <w:rPr>
          <w:rFonts w:asciiTheme="minorHAnsi" w:hAnsiTheme="minorHAnsi" w:cstheme="minorHAnsi"/>
        </w:rPr>
        <w:t>odpovídajícího celodenního</w:t>
      </w:r>
      <w:r w:rsidR="005D1E12">
        <w:rPr>
          <w:rFonts w:asciiTheme="minorHAnsi" w:hAnsiTheme="minorHAnsi" w:cstheme="minorHAnsi"/>
        </w:rPr>
        <w:t xml:space="preserve"> a </w:t>
      </w:r>
      <w:r w:rsidR="00EA1F1C">
        <w:rPr>
          <w:rFonts w:asciiTheme="minorHAnsi" w:hAnsiTheme="minorHAnsi" w:cstheme="minorHAnsi"/>
        </w:rPr>
        <w:t>celotýdenního intervalu</w:t>
      </w:r>
      <w:r w:rsidR="005D1E12" w:rsidRPr="005D1E12">
        <w:rPr>
          <w:rFonts w:asciiTheme="minorHAnsi" w:hAnsiTheme="minorHAnsi" w:cstheme="minorHAnsi"/>
        </w:rPr>
        <w:t xml:space="preserve"> </w:t>
      </w:r>
      <w:r w:rsidR="005D1E12">
        <w:rPr>
          <w:rFonts w:asciiTheme="minorHAnsi" w:hAnsiTheme="minorHAnsi" w:cstheme="minorHAnsi"/>
        </w:rPr>
        <w:t>do roku 2020</w:t>
      </w:r>
      <w:r w:rsidR="00EA1F1C">
        <w:rPr>
          <w:rFonts w:asciiTheme="minorHAnsi" w:hAnsiTheme="minorHAnsi" w:cstheme="minorHAnsi"/>
        </w:rPr>
        <w:t>.</w:t>
      </w:r>
      <w:r w:rsidR="005D1E12">
        <w:rPr>
          <w:rFonts w:asciiTheme="minorHAnsi" w:hAnsiTheme="minorHAnsi" w:cstheme="minorHAnsi"/>
        </w:rPr>
        <w:t xml:space="preserve"> </w:t>
      </w:r>
    </w:p>
    <w:p w14:paraId="005BAAC2" w14:textId="77777777" w:rsidR="002E197A" w:rsidRDefault="002E197A" w:rsidP="00DF08DC">
      <w:pPr>
        <w:ind w:right="1"/>
        <w:jc w:val="both"/>
        <w:rPr>
          <w:rFonts w:asciiTheme="minorHAnsi" w:hAnsiTheme="minorHAnsi" w:cstheme="minorHAnsi"/>
        </w:rPr>
      </w:pPr>
    </w:p>
    <w:p w14:paraId="57B286AD" w14:textId="77777777" w:rsidR="00395732" w:rsidRDefault="002E197A" w:rsidP="00827A44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MD</w:t>
      </w:r>
      <w:r w:rsidR="00494D52">
        <w:rPr>
          <w:rFonts w:asciiTheme="minorHAnsi" w:hAnsiTheme="minorHAnsi" w:cstheme="minorHAnsi"/>
        </w:rPr>
        <w:t xml:space="preserve"> vypracovalo v rámci dopravního plánování </w:t>
      </w:r>
      <w:r>
        <w:rPr>
          <w:rFonts w:asciiTheme="minorHAnsi" w:hAnsiTheme="minorHAnsi" w:cstheme="minorHAnsi"/>
          <w:i/>
        </w:rPr>
        <w:t xml:space="preserve">Plán dopravní obsluhy území vlaky celostátní dopravy – zásady objednávky dálkové dopravy </w:t>
      </w:r>
      <w:r w:rsidR="00CA6768">
        <w:rPr>
          <w:rFonts w:asciiTheme="minorHAnsi" w:hAnsiTheme="minorHAnsi" w:cstheme="minorHAnsi"/>
          <w:i/>
        </w:rPr>
        <w:t>pro období 2012–</w:t>
      </w:r>
      <w:r w:rsidR="0063690C">
        <w:rPr>
          <w:rFonts w:asciiTheme="minorHAnsi" w:hAnsiTheme="minorHAnsi" w:cstheme="minorHAnsi"/>
          <w:i/>
        </w:rPr>
        <w:t>2016</w:t>
      </w:r>
      <w:r w:rsidR="00494D52">
        <w:rPr>
          <w:rFonts w:asciiTheme="minorHAnsi" w:hAnsiTheme="minorHAnsi" w:cstheme="minorHAnsi"/>
        </w:rPr>
        <w:t>, ve kterém</w:t>
      </w:r>
      <w:r w:rsidR="0063690C">
        <w:rPr>
          <w:rFonts w:asciiTheme="minorHAnsi" w:hAnsiTheme="minorHAnsi" w:cstheme="minorHAnsi"/>
        </w:rPr>
        <w:t xml:space="preserve"> </w:t>
      </w:r>
      <w:r w:rsidR="00C746B9">
        <w:rPr>
          <w:rFonts w:asciiTheme="minorHAnsi" w:hAnsiTheme="minorHAnsi" w:cstheme="minorHAnsi"/>
        </w:rPr>
        <w:t xml:space="preserve">uvedlo </w:t>
      </w:r>
      <w:r w:rsidR="0063690C">
        <w:rPr>
          <w:rFonts w:asciiTheme="minorHAnsi" w:hAnsiTheme="minorHAnsi" w:cstheme="minorHAnsi"/>
        </w:rPr>
        <w:t>2</w:t>
      </w:r>
      <w:r w:rsidR="005129BD">
        <w:rPr>
          <w:rFonts w:asciiTheme="minorHAnsi" w:hAnsiTheme="minorHAnsi" w:cstheme="minorHAnsi"/>
        </w:rPr>
        <w:t>9</w:t>
      </w:r>
      <w:r w:rsidR="002868A7">
        <w:rPr>
          <w:rFonts w:asciiTheme="minorHAnsi" w:hAnsiTheme="minorHAnsi" w:cstheme="minorHAnsi"/>
        </w:rPr>
        <w:t> </w:t>
      </w:r>
      <w:r w:rsidR="0063690C">
        <w:rPr>
          <w:rFonts w:asciiTheme="minorHAnsi" w:hAnsiTheme="minorHAnsi" w:cstheme="minorHAnsi"/>
        </w:rPr>
        <w:t>linek dálkové dopravy</w:t>
      </w:r>
      <w:r w:rsidR="005129BD">
        <w:rPr>
          <w:rFonts w:asciiTheme="minorHAnsi" w:hAnsiTheme="minorHAnsi" w:cstheme="minorHAnsi"/>
        </w:rPr>
        <w:t xml:space="preserve"> (příloha)</w:t>
      </w:r>
      <w:r w:rsidR="0063690C">
        <w:rPr>
          <w:rFonts w:asciiTheme="minorHAnsi" w:hAnsiTheme="minorHAnsi" w:cstheme="minorHAnsi"/>
        </w:rPr>
        <w:t>. Linky však</w:t>
      </w:r>
      <w:r w:rsidR="00C103C9">
        <w:rPr>
          <w:rFonts w:asciiTheme="minorHAnsi" w:hAnsiTheme="minorHAnsi" w:cstheme="minorHAnsi"/>
        </w:rPr>
        <w:t xml:space="preserve"> jednoznačně</w:t>
      </w:r>
      <w:r w:rsidR="0063690C">
        <w:rPr>
          <w:rFonts w:asciiTheme="minorHAnsi" w:hAnsiTheme="minorHAnsi" w:cstheme="minorHAnsi"/>
        </w:rPr>
        <w:t xml:space="preserve"> nevymezilo </w:t>
      </w:r>
      <w:r w:rsidR="003C588C">
        <w:rPr>
          <w:rFonts w:asciiTheme="minorHAnsi" w:hAnsiTheme="minorHAnsi" w:cstheme="minorHAnsi"/>
        </w:rPr>
        <w:t>dopravními výkony ve vlakových kilometrech</w:t>
      </w:r>
      <w:r w:rsidR="00C103C9">
        <w:rPr>
          <w:rFonts w:asciiTheme="minorHAnsi" w:hAnsiTheme="minorHAnsi" w:cstheme="minorHAnsi"/>
        </w:rPr>
        <w:t xml:space="preserve">, které jsou </w:t>
      </w:r>
      <w:r w:rsidR="001E0A87">
        <w:rPr>
          <w:rFonts w:asciiTheme="minorHAnsi" w:hAnsiTheme="minorHAnsi" w:cstheme="minorHAnsi"/>
        </w:rPr>
        <w:t>významné</w:t>
      </w:r>
      <w:r w:rsidR="00C103C9">
        <w:rPr>
          <w:rFonts w:asciiTheme="minorHAnsi" w:hAnsiTheme="minorHAnsi" w:cstheme="minorHAnsi"/>
        </w:rPr>
        <w:t xml:space="preserve"> pro stanovení potřeby prostředků státního rozpočtu na</w:t>
      </w:r>
      <w:r w:rsidR="000D71FE">
        <w:rPr>
          <w:rFonts w:asciiTheme="minorHAnsi" w:hAnsiTheme="minorHAnsi" w:cstheme="minorHAnsi"/>
        </w:rPr>
        <w:t xml:space="preserve"> zabezpečení dopravní</w:t>
      </w:r>
      <w:r w:rsidR="004A6A68">
        <w:rPr>
          <w:rFonts w:asciiTheme="minorHAnsi" w:hAnsiTheme="minorHAnsi" w:cstheme="minorHAnsi"/>
        </w:rPr>
        <w:t xml:space="preserve"> </w:t>
      </w:r>
      <w:r w:rsidR="000D71FE">
        <w:rPr>
          <w:rFonts w:asciiTheme="minorHAnsi" w:hAnsiTheme="minorHAnsi" w:cstheme="minorHAnsi"/>
        </w:rPr>
        <w:t>obslužnosti</w:t>
      </w:r>
      <w:r w:rsidR="004A6A68">
        <w:rPr>
          <w:rFonts w:asciiTheme="minorHAnsi" w:hAnsiTheme="minorHAnsi" w:cstheme="minorHAnsi"/>
        </w:rPr>
        <w:t xml:space="preserve"> státu vlaky celostátní dopravy</w:t>
      </w:r>
      <w:r w:rsidR="00C103C9">
        <w:rPr>
          <w:rFonts w:asciiTheme="minorHAnsi" w:hAnsiTheme="minorHAnsi" w:cstheme="minorHAnsi"/>
        </w:rPr>
        <w:t>.</w:t>
      </w:r>
    </w:p>
    <w:p w14:paraId="76E58F82" w14:textId="3708E74B" w:rsidR="008159DC" w:rsidRPr="008159DC" w:rsidRDefault="008159DC" w:rsidP="00827A44">
      <w:pPr>
        <w:contextualSpacing/>
        <w:jc w:val="both"/>
        <w:rPr>
          <w:rFonts w:asciiTheme="minorHAnsi" w:hAnsiTheme="minorHAnsi" w:cstheme="minorHAnsi"/>
        </w:rPr>
      </w:pPr>
    </w:p>
    <w:p w14:paraId="5FBF75B2" w14:textId="24C07A53" w:rsidR="00041D51" w:rsidRPr="00DB3BE6" w:rsidRDefault="00827A44" w:rsidP="00827A44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Plán dopravní obslužnosti </w:t>
      </w:r>
      <w:r w:rsidR="00FB0C1B">
        <w:rPr>
          <w:rFonts w:asciiTheme="minorHAnsi" w:hAnsiTheme="minorHAnsi" w:cstheme="minorHAnsi"/>
        </w:rPr>
        <w:t xml:space="preserve">má podle </w:t>
      </w:r>
      <w:r w:rsidR="006C2925">
        <w:rPr>
          <w:rFonts w:asciiTheme="minorHAnsi" w:hAnsiTheme="minorHAnsi" w:cstheme="minorHAnsi"/>
        </w:rPr>
        <w:t xml:space="preserve">ustanovení </w:t>
      </w:r>
      <w:r w:rsidR="00FB0C1B">
        <w:rPr>
          <w:rFonts w:asciiTheme="minorHAnsi" w:hAnsiTheme="minorHAnsi" w:cstheme="minorHAnsi"/>
        </w:rPr>
        <w:t>§ 5 zákona č. 194/201</w:t>
      </w:r>
      <w:r>
        <w:rPr>
          <w:rFonts w:asciiTheme="minorHAnsi" w:hAnsiTheme="minorHAnsi" w:cstheme="minorHAnsi"/>
        </w:rPr>
        <w:t>0 Sb. obsahovat předpokládaný rozsah poskytované kompenzace.</w:t>
      </w:r>
      <w:r w:rsidR="00041D51">
        <w:rPr>
          <w:rFonts w:asciiTheme="minorHAnsi" w:hAnsiTheme="minorHAnsi" w:cstheme="minorHAnsi"/>
        </w:rPr>
        <w:t xml:space="preserve"> MD k němu v plánu v zásadě jen uvedlo, že finanční rámec na roky 2010 až 2019 byl stanoven usnesením vlády ze dne 31. srpna 2009 č. 1132</w:t>
      </w:r>
      <w:r w:rsidR="00041D51">
        <w:rPr>
          <w:rStyle w:val="Znakapoznpodarou"/>
          <w:rFonts w:asciiTheme="minorHAnsi" w:hAnsiTheme="minorHAnsi" w:cstheme="minorHAnsi"/>
        </w:rPr>
        <w:footnoteReference w:id="10"/>
      </w:r>
      <w:r w:rsidR="00041D51">
        <w:rPr>
          <w:rFonts w:asciiTheme="minorHAnsi" w:hAnsiTheme="minorHAnsi" w:cstheme="minorHAnsi"/>
        </w:rPr>
        <w:t xml:space="preserve"> tak, že částka 4 077,2 mil. Kč vyčleněná v roce 2010 měla být v letech 2011 až 2019 navyšována o průměrný roční index spotřebitelských cen. </w:t>
      </w:r>
      <w:r w:rsidR="00395732">
        <w:rPr>
          <w:rFonts w:asciiTheme="minorHAnsi" w:hAnsiTheme="minorHAnsi" w:cstheme="minorHAnsi"/>
        </w:rPr>
        <w:t>V plánu dopravní obslužnosti</w:t>
      </w:r>
      <w:r w:rsidR="004A6A68">
        <w:rPr>
          <w:rFonts w:asciiTheme="minorHAnsi" w:hAnsiTheme="minorHAnsi" w:cstheme="minorHAnsi"/>
        </w:rPr>
        <w:t xml:space="preserve"> tak</w:t>
      </w:r>
      <w:r w:rsidR="00395732">
        <w:rPr>
          <w:rFonts w:asciiTheme="minorHAnsi" w:hAnsiTheme="minorHAnsi" w:cstheme="minorHAnsi"/>
        </w:rPr>
        <w:t xml:space="preserve"> c</w:t>
      </w:r>
      <w:r w:rsidR="00041D51">
        <w:rPr>
          <w:rFonts w:asciiTheme="minorHAnsi" w:hAnsiTheme="minorHAnsi" w:cstheme="minorHAnsi"/>
        </w:rPr>
        <w:t>hyběla především vazba předpokládaného rozsahu kompenzace na</w:t>
      </w:r>
      <w:r w:rsidR="00395732">
        <w:rPr>
          <w:rFonts w:asciiTheme="minorHAnsi" w:hAnsiTheme="minorHAnsi" w:cstheme="minorHAnsi"/>
        </w:rPr>
        <w:t xml:space="preserve"> </w:t>
      </w:r>
      <w:r w:rsidR="00041D51">
        <w:rPr>
          <w:rFonts w:asciiTheme="minorHAnsi" w:hAnsiTheme="minorHAnsi" w:cstheme="minorHAnsi"/>
        </w:rPr>
        <w:t>linky dálkové dopravy</w:t>
      </w:r>
      <w:r w:rsidR="006873EA">
        <w:rPr>
          <w:rFonts w:asciiTheme="minorHAnsi" w:hAnsiTheme="minorHAnsi" w:cstheme="minorHAnsi"/>
        </w:rPr>
        <w:t xml:space="preserve"> </w:t>
      </w:r>
      <w:r w:rsidR="0005412E">
        <w:rPr>
          <w:rFonts w:asciiTheme="minorHAnsi" w:hAnsiTheme="minorHAnsi" w:cstheme="minorHAnsi"/>
        </w:rPr>
        <w:t>i</w:t>
      </w:r>
      <w:r w:rsidR="00A30244">
        <w:rPr>
          <w:rFonts w:asciiTheme="minorHAnsi" w:hAnsiTheme="minorHAnsi" w:cstheme="minorHAnsi"/>
        </w:rPr>
        <w:t> </w:t>
      </w:r>
      <w:r w:rsidR="006873EA">
        <w:rPr>
          <w:rFonts w:asciiTheme="minorHAnsi" w:hAnsiTheme="minorHAnsi" w:cstheme="minorHAnsi"/>
        </w:rPr>
        <w:t xml:space="preserve">vazba na vývoj jejich dopravního výkonu, jak je uveden v následujícím bodě 2. </w:t>
      </w:r>
    </w:p>
    <w:p w14:paraId="4F131716" w14:textId="77777777" w:rsidR="00103CB3" w:rsidRDefault="00103CB3" w:rsidP="00827A44">
      <w:pPr>
        <w:contextualSpacing/>
        <w:jc w:val="both"/>
        <w:rPr>
          <w:rFonts w:asciiTheme="minorHAnsi" w:hAnsiTheme="minorHAnsi" w:cstheme="minorHAnsi"/>
        </w:rPr>
      </w:pPr>
    </w:p>
    <w:p w14:paraId="2A6996A3" w14:textId="0721939A" w:rsidR="00395732" w:rsidRDefault="00CD5B0C" w:rsidP="00827A44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Rozsah zajišťov</w:t>
      </w:r>
      <w:r w:rsidR="00F06AAB">
        <w:rPr>
          <w:rFonts w:asciiTheme="minorHAnsi" w:hAnsiTheme="minorHAnsi" w:cstheme="minorHAnsi"/>
        </w:rPr>
        <w:t>á</w:t>
      </w:r>
      <w:r>
        <w:rPr>
          <w:rFonts w:asciiTheme="minorHAnsi" w:hAnsiTheme="minorHAnsi" w:cstheme="minorHAnsi"/>
        </w:rPr>
        <w:t xml:space="preserve">ní dopravní obslužnosti </w:t>
      </w:r>
      <w:r w:rsidR="00893291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>p</w:t>
      </w:r>
      <w:r w:rsidR="00395732">
        <w:rPr>
          <w:rFonts w:asciiTheme="minorHAnsi" w:hAnsiTheme="minorHAnsi" w:cstheme="minorHAnsi"/>
        </w:rPr>
        <w:t>lán</w:t>
      </w:r>
      <w:r>
        <w:rPr>
          <w:rFonts w:asciiTheme="minorHAnsi" w:hAnsiTheme="minorHAnsi" w:cstheme="minorHAnsi"/>
        </w:rPr>
        <w:t>u</w:t>
      </w:r>
      <w:r w:rsidR="00395732">
        <w:rPr>
          <w:rFonts w:asciiTheme="minorHAnsi" w:hAnsiTheme="minorHAnsi" w:cstheme="minorHAnsi"/>
        </w:rPr>
        <w:t xml:space="preserve"> dopravní obslužnosti</w:t>
      </w:r>
      <w:r>
        <w:rPr>
          <w:rFonts w:asciiTheme="minorHAnsi" w:hAnsiTheme="minorHAnsi" w:cstheme="minorHAnsi"/>
        </w:rPr>
        <w:t xml:space="preserve"> </w:t>
      </w:r>
      <w:r w:rsidR="00395732">
        <w:rPr>
          <w:rFonts w:asciiTheme="minorHAnsi" w:hAnsiTheme="minorHAnsi" w:cstheme="minorHAnsi"/>
        </w:rPr>
        <w:t xml:space="preserve">má být podle </w:t>
      </w:r>
      <w:r w:rsidR="00835E10">
        <w:rPr>
          <w:rFonts w:asciiTheme="minorHAnsi" w:hAnsiTheme="minorHAnsi" w:cstheme="minorHAnsi"/>
        </w:rPr>
        <w:t xml:space="preserve">ustanovení </w:t>
      </w:r>
      <w:r w:rsidR="00395732">
        <w:rPr>
          <w:rFonts w:asciiTheme="minorHAnsi" w:hAnsiTheme="minorHAnsi" w:cstheme="minorHAnsi"/>
        </w:rPr>
        <w:t>§ 4 zákona č. 194/2010 Sb. v souladu s dohod</w:t>
      </w:r>
      <w:r w:rsidR="00904123">
        <w:rPr>
          <w:rFonts w:asciiTheme="minorHAnsi" w:hAnsiTheme="minorHAnsi" w:cstheme="minorHAnsi"/>
        </w:rPr>
        <w:t>ou MD s Ministerstvem financí o </w:t>
      </w:r>
      <w:r w:rsidR="00395732">
        <w:rPr>
          <w:rFonts w:asciiTheme="minorHAnsi" w:hAnsiTheme="minorHAnsi" w:cstheme="minorHAnsi"/>
        </w:rPr>
        <w:t>maximální výši kompenzace a způsobem jejího určení na dobu účinnosti smluv o veřejných službách v přepravě cestujících (pokud se tato ministerstva nedohodnou, určí maximální výši kompenzace vláda). Výše uvedený způsob vymezení linek dálkové vlakové dopravy a předpokládaného rozsahu kompenzace v plánu dopravní obslužnosti neumožnil tento soulad ověřit.</w:t>
      </w:r>
      <w:r w:rsidR="003E1214">
        <w:rPr>
          <w:rFonts w:asciiTheme="minorHAnsi" w:hAnsiTheme="minorHAnsi" w:cstheme="minorHAnsi"/>
        </w:rPr>
        <w:t xml:space="preserve"> </w:t>
      </w:r>
    </w:p>
    <w:p w14:paraId="2FC4B76B" w14:textId="77777777" w:rsidR="00395732" w:rsidRDefault="00395732" w:rsidP="00827A44">
      <w:pPr>
        <w:contextualSpacing/>
        <w:jc w:val="both"/>
        <w:rPr>
          <w:rFonts w:asciiTheme="minorHAnsi" w:hAnsiTheme="minorHAnsi" w:cstheme="minorHAnsi"/>
        </w:rPr>
      </w:pPr>
    </w:p>
    <w:p w14:paraId="28BD534C" w14:textId="60E9A1BC" w:rsidR="00F158D2" w:rsidRDefault="008715F9" w:rsidP="00827A44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1.2 </w:t>
      </w:r>
      <w:r w:rsidR="00F06AAB" w:rsidRPr="00DB3BE6">
        <w:rPr>
          <w:rFonts w:asciiTheme="minorHAnsi" w:hAnsiTheme="minorHAnsi" w:cstheme="minorHAnsi"/>
        </w:rPr>
        <w:t xml:space="preserve">Při sestavování </w:t>
      </w:r>
      <w:r w:rsidR="00F06AAB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ávrh</w:t>
      </w:r>
      <w:r w:rsidR="00F06AAB">
        <w:rPr>
          <w:rFonts w:asciiTheme="minorHAnsi" w:hAnsiTheme="minorHAnsi" w:cstheme="minorHAnsi"/>
        </w:rPr>
        <w:t>ů</w:t>
      </w:r>
      <w:r>
        <w:rPr>
          <w:rFonts w:asciiTheme="minorHAnsi" w:hAnsiTheme="minorHAnsi" w:cstheme="minorHAnsi"/>
        </w:rPr>
        <w:t xml:space="preserve"> peněžních prostředků na zajišťování dopravní obslužnosti vlaky celostátní dopravy </w:t>
      </w:r>
      <w:r w:rsidR="00F06AAB">
        <w:rPr>
          <w:rFonts w:asciiTheme="minorHAnsi" w:hAnsiTheme="minorHAnsi" w:cstheme="minorHAnsi"/>
        </w:rPr>
        <w:t xml:space="preserve">vycházelo </w:t>
      </w:r>
      <w:r>
        <w:rPr>
          <w:rFonts w:asciiTheme="minorHAnsi" w:hAnsiTheme="minorHAnsi" w:cstheme="minorHAnsi"/>
        </w:rPr>
        <w:t>MD</w:t>
      </w:r>
      <w:r w:rsidR="00041D51">
        <w:rPr>
          <w:rFonts w:asciiTheme="minorHAnsi" w:hAnsiTheme="minorHAnsi" w:cstheme="minorHAnsi"/>
        </w:rPr>
        <w:t xml:space="preserve"> v letech 2013 až 2015</w:t>
      </w:r>
      <w:r>
        <w:rPr>
          <w:rFonts w:asciiTheme="minorHAnsi" w:hAnsiTheme="minorHAnsi" w:cstheme="minorHAnsi"/>
        </w:rPr>
        <w:t xml:space="preserve"> ze smluv o závazku veřejné služby, nikoliv </w:t>
      </w:r>
      <w:r w:rsidR="00041D51">
        <w:rPr>
          <w:rFonts w:asciiTheme="minorHAnsi" w:hAnsiTheme="minorHAnsi" w:cstheme="minorHAnsi"/>
        </w:rPr>
        <w:t>z </w:t>
      </w:r>
      <w:r w:rsidR="00747A80">
        <w:rPr>
          <w:rFonts w:asciiTheme="minorHAnsi" w:hAnsiTheme="minorHAnsi" w:cstheme="minorHAnsi"/>
        </w:rPr>
        <w:t>plánu</w:t>
      </w:r>
      <w:r>
        <w:rPr>
          <w:rFonts w:asciiTheme="minorHAnsi" w:hAnsiTheme="minorHAnsi" w:cstheme="minorHAnsi"/>
        </w:rPr>
        <w:t xml:space="preserve"> dopravní obsluhy na období let 2012 až 2016. </w:t>
      </w:r>
      <w:r w:rsidR="00747A80">
        <w:rPr>
          <w:rFonts w:asciiTheme="minorHAnsi" w:hAnsiTheme="minorHAnsi" w:cstheme="minorHAnsi"/>
        </w:rPr>
        <w:t>P</w:t>
      </w:r>
      <w:r w:rsidR="00F158D2">
        <w:rPr>
          <w:rFonts w:asciiTheme="minorHAnsi" w:hAnsiTheme="minorHAnsi" w:cstheme="minorHAnsi"/>
        </w:rPr>
        <w:t>rostředky státního rozpočtu na zajišťování dopravní obslužnosti vlaky celostátní</w:t>
      </w:r>
      <w:r w:rsidR="00904123">
        <w:rPr>
          <w:rFonts w:asciiTheme="minorHAnsi" w:hAnsiTheme="minorHAnsi" w:cstheme="minorHAnsi"/>
        </w:rPr>
        <w:t xml:space="preserve"> dopravy za roky 2010 až 2014 a </w:t>
      </w:r>
      <w:r w:rsidR="00F158D2">
        <w:rPr>
          <w:rFonts w:asciiTheme="minorHAnsi" w:hAnsiTheme="minorHAnsi" w:cstheme="minorHAnsi"/>
        </w:rPr>
        <w:t xml:space="preserve">předpoklad na rok 2015 jsou uvedeny v tabulce č. 1. </w:t>
      </w:r>
    </w:p>
    <w:p w14:paraId="023152C5" w14:textId="77777777" w:rsidR="00F158D2" w:rsidRDefault="00F158D2" w:rsidP="00827A44">
      <w:pPr>
        <w:contextualSpacing/>
        <w:jc w:val="both"/>
        <w:rPr>
          <w:rFonts w:asciiTheme="minorHAnsi" w:hAnsiTheme="minorHAnsi" w:cstheme="minorHAnsi"/>
        </w:rPr>
      </w:pPr>
    </w:p>
    <w:p w14:paraId="3940FFF9" w14:textId="77777777" w:rsidR="00F158D2" w:rsidRPr="00DB3BE6" w:rsidRDefault="00FC5AA2" w:rsidP="00423290">
      <w:pPr>
        <w:tabs>
          <w:tab w:val="right" w:pos="8931"/>
        </w:tabs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Tabulka č. 1 – Peněžní prostředky na dopravní obslužnost státu</w:t>
      </w:r>
      <w:r>
        <w:rPr>
          <w:rFonts w:asciiTheme="minorHAnsi" w:hAnsiTheme="minorHAnsi" w:cstheme="minorHAnsi"/>
        </w:rPr>
        <w:t xml:space="preserve"> </w:t>
      </w:r>
      <w:r w:rsidR="00423290">
        <w:rPr>
          <w:rFonts w:asciiTheme="minorHAnsi" w:hAnsiTheme="minorHAnsi" w:cstheme="minorHAnsi"/>
        </w:rPr>
        <w:tab/>
      </w:r>
      <w:r w:rsidRPr="00DB3BE6">
        <w:rPr>
          <w:rFonts w:asciiTheme="minorHAnsi" w:hAnsiTheme="minorHAnsi" w:cstheme="minorHAnsi"/>
          <w:b/>
        </w:rPr>
        <w:t>(v mil. Kč)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1086"/>
        <w:gridCol w:w="1086"/>
        <w:gridCol w:w="1086"/>
        <w:gridCol w:w="1087"/>
        <w:gridCol w:w="1086"/>
        <w:gridCol w:w="1086"/>
      </w:tblGrid>
      <w:tr w:rsidR="00F8615F" w14:paraId="6153980C" w14:textId="77777777" w:rsidTr="00DB3BE6">
        <w:tc>
          <w:tcPr>
            <w:tcW w:w="25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8B3FA" w14:textId="77777777" w:rsidR="00F158D2" w:rsidRDefault="00F158D2" w:rsidP="00827A44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0D3100" w14:textId="77777777" w:rsidR="00F158D2" w:rsidRPr="00F158D2" w:rsidRDefault="00F158D2" w:rsidP="00F158D2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2010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12" w:space="0" w:color="auto"/>
            </w:tcBorders>
          </w:tcPr>
          <w:p w14:paraId="411D82CC" w14:textId="77777777" w:rsidR="00F158D2" w:rsidRPr="00F158D2" w:rsidRDefault="00F158D2" w:rsidP="00F158D2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2011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12" w:space="0" w:color="auto"/>
            </w:tcBorders>
          </w:tcPr>
          <w:p w14:paraId="242FB5FC" w14:textId="77777777" w:rsidR="00F158D2" w:rsidRPr="00F158D2" w:rsidRDefault="00F158D2" w:rsidP="00F158D2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2012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12" w:space="0" w:color="auto"/>
            </w:tcBorders>
          </w:tcPr>
          <w:p w14:paraId="55655146" w14:textId="77777777" w:rsidR="00F158D2" w:rsidRPr="00F158D2" w:rsidRDefault="00F158D2" w:rsidP="00F158D2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2013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12" w:space="0" w:color="auto"/>
            </w:tcBorders>
          </w:tcPr>
          <w:p w14:paraId="2AEBC445" w14:textId="77777777" w:rsidR="00F158D2" w:rsidRPr="00F158D2" w:rsidRDefault="00F158D2" w:rsidP="00F158D2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2014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12" w:space="0" w:color="auto"/>
            </w:tcBorders>
          </w:tcPr>
          <w:p w14:paraId="31D55CBD" w14:textId="77777777" w:rsidR="00F158D2" w:rsidRPr="00FC5AA2" w:rsidRDefault="00F158D2" w:rsidP="00F158D2">
            <w:pPr>
              <w:contextualSpacing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>
              <w:rPr>
                <w:rFonts w:asciiTheme="minorHAnsi" w:hAnsiTheme="minorHAnsi" w:cstheme="minorHAnsi"/>
                <w:b/>
              </w:rPr>
              <w:t>2015</w:t>
            </w:r>
          </w:p>
        </w:tc>
      </w:tr>
      <w:tr w:rsidR="00F8615F" w14:paraId="1E9C4A4A" w14:textId="77777777" w:rsidTr="00DB3BE6">
        <w:tc>
          <w:tcPr>
            <w:tcW w:w="2547" w:type="dxa"/>
            <w:tcBorders>
              <w:top w:val="single" w:sz="12" w:space="0" w:color="auto"/>
              <w:right w:val="single" w:sz="12" w:space="0" w:color="auto"/>
            </w:tcBorders>
          </w:tcPr>
          <w:p w14:paraId="5EFCF8F2" w14:textId="77777777" w:rsidR="00F158D2" w:rsidRDefault="00FC5AA2" w:rsidP="00827A44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Návrh rozpočtu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</w:tcBorders>
          </w:tcPr>
          <w:p w14:paraId="29E74E08" w14:textId="77777777" w:rsidR="00F158D2" w:rsidRDefault="00F8615F" w:rsidP="00F8615F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4 426,2</w:t>
            </w:r>
          </w:p>
        </w:tc>
        <w:tc>
          <w:tcPr>
            <w:tcW w:w="1086" w:type="dxa"/>
            <w:tcBorders>
              <w:top w:val="single" w:sz="12" w:space="0" w:color="auto"/>
            </w:tcBorders>
          </w:tcPr>
          <w:p w14:paraId="29A954E3" w14:textId="77777777" w:rsidR="00F158D2" w:rsidRDefault="00F8615F" w:rsidP="00F8615F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4 077,2</w:t>
            </w:r>
          </w:p>
        </w:tc>
        <w:tc>
          <w:tcPr>
            <w:tcW w:w="1086" w:type="dxa"/>
            <w:tcBorders>
              <w:top w:val="single" w:sz="12" w:space="0" w:color="auto"/>
            </w:tcBorders>
          </w:tcPr>
          <w:p w14:paraId="602A42FB" w14:textId="77777777" w:rsidR="00F158D2" w:rsidRDefault="00FC5AA2" w:rsidP="00F8615F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F8615F">
              <w:rPr>
                <w:rFonts w:asciiTheme="minorHAnsi" w:hAnsiTheme="minorHAnsi" w:cstheme="minorHAnsi"/>
              </w:rPr>
              <w:t> 023,3</w:t>
            </w:r>
          </w:p>
        </w:tc>
        <w:tc>
          <w:tcPr>
            <w:tcW w:w="1087" w:type="dxa"/>
            <w:tcBorders>
              <w:top w:val="single" w:sz="12" w:space="0" w:color="auto"/>
            </w:tcBorders>
          </w:tcPr>
          <w:p w14:paraId="50589211" w14:textId="77777777" w:rsidR="00F158D2" w:rsidRDefault="00F8615F" w:rsidP="00F8615F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4 023,3</w:t>
            </w:r>
          </w:p>
        </w:tc>
        <w:tc>
          <w:tcPr>
            <w:tcW w:w="1086" w:type="dxa"/>
            <w:tcBorders>
              <w:top w:val="single" w:sz="12" w:space="0" w:color="auto"/>
            </w:tcBorders>
          </w:tcPr>
          <w:p w14:paraId="70E86BD1" w14:textId="77777777" w:rsidR="00F158D2" w:rsidRDefault="00F8615F" w:rsidP="00F8615F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4 304,3</w:t>
            </w:r>
          </w:p>
        </w:tc>
        <w:tc>
          <w:tcPr>
            <w:tcW w:w="1086" w:type="dxa"/>
            <w:tcBorders>
              <w:top w:val="single" w:sz="12" w:space="0" w:color="auto"/>
            </w:tcBorders>
          </w:tcPr>
          <w:p w14:paraId="1F7D225F" w14:textId="77777777" w:rsidR="00F158D2" w:rsidRDefault="00F8615F" w:rsidP="00F8615F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4 364,6</w:t>
            </w:r>
          </w:p>
        </w:tc>
      </w:tr>
      <w:tr w:rsidR="00F8615F" w14:paraId="12919EA3" w14:textId="77777777" w:rsidTr="00DB3BE6">
        <w:tc>
          <w:tcPr>
            <w:tcW w:w="2547" w:type="dxa"/>
            <w:tcBorders>
              <w:right w:val="single" w:sz="12" w:space="0" w:color="auto"/>
            </w:tcBorders>
          </w:tcPr>
          <w:p w14:paraId="6CDAC010" w14:textId="77777777" w:rsidR="00F158D2" w:rsidRDefault="00FC5AA2" w:rsidP="00827A44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Upravený rozpočet</w:t>
            </w:r>
          </w:p>
        </w:tc>
        <w:tc>
          <w:tcPr>
            <w:tcW w:w="1086" w:type="dxa"/>
            <w:tcBorders>
              <w:left w:val="single" w:sz="12" w:space="0" w:color="auto"/>
            </w:tcBorders>
          </w:tcPr>
          <w:p w14:paraId="1F071515" w14:textId="77777777" w:rsidR="00F158D2" w:rsidRDefault="00F8615F" w:rsidP="00F8615F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4 077,2</w:t>
            </w:r>
          </w:p>
        </w:tc>
        <w:tc>
          <w:tcPr>
            <w:tcW w:w="1086" w:type="dxa"/>
          </w:tcPr>
          <w:p w14:paraId="6DC0966D" w14:textId="77777777" w:rsidR="00F158D2" w:rsidRDefault="00F8615F" w:rsidP="00F8615F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4 077,2</w:t>
            </w:r>
          </w:p>
        </w:tc>
        <w:tc>
          <w:tcPr>
            <w:tcW w:w="1086" w:type="dxa"/>
          </w:tcPr>
          <w:p w14:paraId="1057BE99" w14:textId="77777777" w:rsidR="00F158D2" w:rsidRDefault="00F8615F" w:rsidP="00F8615F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4 026,6</w:t>
            </w:r>
          </w:p>
        </w:tc>
        <w:tc>
          <w:tcPr>
            <w:tcW w:w="1087" w:type="dxa"/>
          </w:tcPr>
          <w:p w14:paraId="1137B5BF" w14:textId="77777777" w:rsidR="00F158D2" w:rsidRDefault="00F8615F" w:rsidP="00F8615F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4 033,4</w:t>
            </w:r>
          </w:p>
        </w:tc>
        <w:tc>
          <w:tcPr>
            <w:tcW w:w="1086" w:type="dxa"/>
          </w:tcPr>
          <w:p w14:paraId="214422C6" w14:textId="77777777" w:rsidR="00F158D2" w:rsidRDefault="00F8615F" w:rsidP="00F8615F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4 304,3</w:t>
            </w:r>
          </w:p>
        </w:tc>
        <w:tc>
          <w:tcPr>
            <w:tcW w:w="1086" w:type="dxa"/>
          </w:tcPr>
          <w:p w14:paraId="4DF6DD38" w14:textId="77777777" w:rsidR="00F158D2" w:rsidRDefault="00EF315B" w:rsidP="00F8615F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F8615F" w14:paraId="76F9C4E2" w14:textId="77777777" w:rsidTr="00DB3BE6">
        <w:tc>
          <w:tcPr>
            <w:tcW w:w="2547" w:type="dxa"/>
            <w:tcBorders>
              <w:bottom w:val="single" w:sz="12" w:space="0" w:color="auto"/>
              <w:right w:val="single" w:sz="12" w:space="0" w:color="auto"/>
            </w:tcBorders>
          </w:tcPr>
          <w:p w14:paraId="777F9F44" w14:textId="77777777" w:rsidR="00F158D2" w:rsidRPr="00FC5AA2" w:rsidRDefault="00FC5AA2" w:rsidP="00827A44">
            <w:pPr>
              <w:contextualSpacing/>
              <w:jc w:val="both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Skutečné čerpání</w:t>
            </w:r>
          </w:p>
        </w:tc>
        <w:tc>
          <w:tcPr>
            <w:tcW w:w="1086" w:type="dxa"/>
            <w:tcBorders>
              <w:left w:val="single" w:sz="12" w:space="0" w:color="auto"/>
            </w:tcBorders>
          </w:tcPr>
          <w:p w14:paraId="760DDB8D" w14:textId="77777777" w:rsidR="00F158D2" w:rsidRDefault="00400AB0" w:rsidP="00F8615F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4 069,6</w:t>
            </w:r>
          </w:p>
        </w:tc>
        <w:tc>
          <w:tcPr>
            <w:tcW w:w="1086" w:type="dxa"/>
          </w:tcPr>
          <w:p w14:paraId="0CACA723" w14:textId="77777777" w:rsidR="00F158D2" w:rsidRDefault="00400AB0" w:rsidP="00F8615F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4 072,3</w:t>
            </w:r>
          </w:p>
        </w:tc>
        <w:tc>
          <w:tcPr>
            <w:tcW w:w="1086" w:type="dxa"/>
          </w:tcPr>
          <w:p w14:paraId="5694A761" w14:textId="77777777" w:rsidR="00F158D2" w:rsidRDefault="00400AB0" w:rsidP="00EF315B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4 0</w:t>
            </w:r>
            <w:r w:rsidR="00EF315B">
              <w:rPr>
                <w:rFonts w:asciiTheme="minorHAnsi" w:hAnsiTheme="minorHAnsi" w:cstheme="minorHAnsi"/>
              </w:rPr>
              <w:t>08,8</w:t>
            </w:r>
          </w:p>
        </w:tc>
        <w:tc>
          <w:tcPr>
            <w:tcW w:w="1087" w:type="dxa"/>
          </w:tcPr>
          <w:p w14:paraId="1FE620E3" w14:textId="7DEEA1A1" w:rsidR="00F158D2" w:rsidRPr="00F8615F" w:rsidRDefault="00F8615F" w:rsidP="00F06AAB">
            <w:pPr>
              <w:contextualSpacing/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4 04</w:t>
            </w:r>
            <w:r w:rsidR="00400AB0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,</w:t>
            </w:r>
            <w:r w:rsidR="00400AB0">
              <w:rPr>
                <w:rFonts w:asciiTheme="minorHAnsi" w:hAnsiTheme="minorHAnsi" w:cstheme="minorHAnsi"/>
              </w:rPr>
              <w:t>2</w:t>
            </w:r>
            <w:r w:rsidR="00400AB0" w:rsidRPr="00DB3BE6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086" w:type="dxa"/>
          </w:tcPr>
          <w:p w14:paraId="5A88667A" w14:textId="77777777" w:rsidR="00F158D2" w:rsidRDefault="00F8615F" w:rsidP="00400AB0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4 2</w:t>
            </w:r>
            <w:r w:rsidR="00400AB0">
              <w:rPr>
                <w:rFonts w:asciiTheme="minorHAnsi" w:hAnsiTheme="minorHAnsi" w:cstheme="minorHAnsi"/>
              </w:rPr>
              <w:t>25</w:t>
            </w:r>
            <w:r>
              <w:rPr>
                <w:rFonts w:asciiTheme="minorHAnsi" w:hAnsiTheme="minorHAnsi" w:cstheme="minorHAnsi"/>
              </w:rPr>
              <w:t>,</w:t>
            </w:r>
            <w:r w:rsidR="00400AB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86" w:type="dxa"/>
          </w:tcPr>
          <w:p w14:paraId="3DD03122" w14:textId="77777777" w:rsidR="00F158D2" w:rsidRDefault="00F8615F" w:rsidP="00F8615F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</w:tbl>
    <w:p w14:paraId="670302A4" w14:textId="46BB92C0" w:rsidR="00F158D2" w:rsidRDefault="00FC5AA2" w:rsidP="0042089E">
      <w:pPr>
        <w:ind w:left="567" w:hanging="567"/>
        <w:contextualSpacing/>
        <w:jc w:val="both"/>
        <w:rPr>
          <w:rFonts w:asciiTheme="minorHAnsi" w:hAnsiTheme="minorHAnsi" w:cstheme="minorHAnsi"/>
        </w:rPr>
      </w:pPr>
      <w:r w:rsidRPr="00370242">
        <w:rPr>
          <w:rFonts w:asciiTheme="minorHAnsi" w:hAnsiTheme="minorHAnsi" w:cstheme="minorHAnsi"/>
          <w:b/>
          <w:sz w:val="20"/>
          <w:szCs w:val="20"/>
        </w:rPr>
        <w:t>Zdroj: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2089E">
        <w:rPr>
          <w:rFonts w:asciiTheme="minorHAnsi" w:hAnsiTheme="minorHAnsi" w:cstheme="minorHAnsi"/>
          <w:sz w:val="20"/>
          <w:szCs w:val="20"/>
        </w:rPr>
        <w:tab/>
      </w:r>
      <w:r w:rsidR="00F06AAB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>ávrhy státního rozpočtu</w:t>
      </w:r>
      <w:r w:rsidR="0042089E">
        <w:rPr>
          <w:rFonts w:asciiTheme="minorHAnsi" w:hAnsiTheme="minorHAnsi" w:cstheme="minorHAnsi"/>
          <w:sz w:val="20"/>
          <w:szCs w:val="20"/>
        </w:rPr>
        <w:t xml:space="preserve"> na roky 2010 až 2015</w:t>
      </w:r>
      <w:r>
        <w:rPr>
          <w:rFonts w:asciiTheme="minorHAnsi" w:hAnsiTheme="minorHAnsi" w:cstheme="minorHAnsi"/>
          <w:sz w:val="20"/>
          <w:szCs w:val="20"/>
        </w:rPr>
        <w:t xml:space="preserve"> a </w:t>
      </w:r>
      <w:r w:rsidR="0042089E">
        <w:rPr>
          <w:rFonts w:asciiTheme="minorHAnsi" w:hAnsiTheme="minorHAnsi" w:cstheme="minorHAnsi"/>
          <w:sz w:val="20"/>
          <w:szCs w:val="20"/>
        </w:rPr>
        <w:t>zúčtování finančních vztahů ČD ke státnímu rozpočtu za roky 2010 až 2014</w:t>
      </w:r>
      <w:r>
        <w:rPr>
          <w:rFonts w:asciiTheme="minorHAnsi" w:hAnsiTheme="minorHAnsi" w:cstheme="minorHAnsi"/>
          <w:sz w:val="20"/>
          <w:szCs w:val="20"/>
        </w:rPr>
        <w:t>.</w:t>
      </w:r>
      <w:r w:rsidR="00F158D2">
        <w:rPr>
          <w:rFonts w:asciiTheme="minorHAnsi" w:hAnsiTheme="minorHAnsi" w:cstheme="minorHAnsi"/>
        </w:rPr>
        <w:t xml:space="preserve"> </w:t>
      </w:r>
    </w:p>
    <w:p w14:paraId="7989472F" w14:textId="3E23BF88" w:rsidR="00FC5AA2" w:rsidRDefault="00400AB0" w:rsidP="00C24727">
      <w:pPr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="00F06AAB">
        <w:rPr>
          <w:rFonts w:asciiTheme="minorHAnsi" w:hAnsiTheme="minorHAnsi" w:cstheme="minorHAnsi"/>
          <w:sz w:val="20"/>
          <w:szCs w:val="20"/>
        </w:rPr>
        <w:tab/>
      </w:r>
      <w:r w:rsidR="00F8615F">
        <w:rPr>
          <w:rFonts w:asciiTheme="minorHAnsi" w:hAnsiTheme="minorHAnsi" w:cstheme="minorHAnsi"/>
          <w:sz w:val="20"/>
          <w:szCs w:val="20"/>
        </w:rPr>
        <w:t xml:space="preserve">Do čerpání byly zapojeny tzv. </w:t>
      </w:r>
      <w:r w:rsidR="00F06AAB">
        <w:rPr>
          <w:rFonts w:asciiTheme="minorHAnsi" w:hAnsiTheme="minorHAnsi" w:cstheme="minorHAnsi"/>
          <w:sz w:val="20"/>
          <w:szCs w:val="20"/>
        </w:rPr>
        <w:t xml:space="preserve">nároky z </w:t>
      </w:r>
      <w:r w:rsidR="00F8615F">
        <w:rPr>
          <w:rFonts w:asciiTheme="minorHAnsi" w:hAnsiTheme="minorHAnsi" w:cstheme="minorHAnsi"/>
          <w:sz w:val="20"/>
          <w:szCs w:val="20"/>
        </w:rPr>
        <w:t>nespotřebovan</w:t>
      </w:r>
      <w:r w:rsidR="00F06AAB">
        <w:rPr>
          <w:rFonts w:asciiTheme="minorHAnsi" w:hAnsiTheme="minorHAnsi" w:cstheme="minorHAnsi"/>
          <w:sz w:val="20"/>
          <w:szCs w:val="20"/>
        </w:rPr>
        <w:t>ých</w:t>
      </w:r>
      <w:r w:rsidR="00F8615F">
        <w:rPr>
          <w:rFonts w:asciiTheme="minorHAnsi" w:hAnsiTheme="minorHAnsi" w:cstheme="minorHAnsi"/>
          <w:sz w:val="20"/>
          <w:szCs w:val="20"/>
        </w:rPr>
        <w:t xml:space="preserve"> </w:t>
      </w:r>
      <w:r w:rsidR="00F06AAB">
        <w:rPr>
          <w:rFonts w:asciiTheme="minorHAnsi" w:hAnsiTheme="minorHAnsi" w:cstheme="minorHAnsi"/>
          <w:sz w:val="20"/>
          <w:szCs w:val="20"/>
        </w:rPr>
        <w:t xml:space="preserve">výdajů </w:t>
      </w:r>
      <w:r w:rsidR="00F8615F">
        <w:rPr>
          <w:rFonts w:asciiTheme="minorHAnsi" w:hAnsiTheme="minorHAnsi" w:cstheme="minorHAnsi"/>
          <w:sz w:val="20"/>
          <w:szCs w:val="20"/>
        </w:rPr>
        <w:t xml:space="preserve">minulých let. </w:t>
      </w:r>
    </w:p>
    <w:p w14:paraId="227CCEB6" w14:textId="7C779CE5" w:rsidR="00FC5AA2" w:rsidRPr="00FC5AA2" w:rsidRDefault="00FC5AA2" w:rsidP="00827A44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2912E0AE" w14:textId="77777777" w:rsidR="00970EE4" w:rsidRDefault="00F85EE0" w:rsidP="00DF08DC">
      <w:pPr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2. </w:t>
      </w:r>
      <w:r w:rsidR="002337E5">
        <w:rPr>
          <w:rFonts w:asciiTheme="minorHAnsi" w:hAnsiTheme="minorHAnsi" w:cstheme="minorHAnsi"/>
          <w:b/>
        </w:rPr>
        <w:t>Zajištění</w:t>
      </w:r>
      <w:r w:rsidR="000D71FE">
        <w:rPr>
          <w:rFonts w:asciiTheme="minorHAnsi" w:hAnsiTheme="minorHAnsi" w:cstheme="minorHAnsi"/>
          <w:b/>
        </w:rPr>
        <w:t xml:space="preserve"> dopravní</w:t>
      </w:r>
      <w:r w:rsidR="003F6567">
        <w:rPr>
          <w:rFonts w:asciiTheme="minorHAnsi" w:hAnsiTheme="minorHAnsi" w:cstheme="minorHAnsi"/>
          <w:b/>
        </w:rPr>
        <w:t xml:space="preserve"> </w:t>
      </w:r>
      <w:r w:rsidR="000D71FE">
        <w:rPr>
          <w:rFonts w:asciiTheme="minorHAnsi" w:hAnsiTheme="minorHAnsi" w:cstheme="minorHAnsi"/>
          <w:b/>
        </w:rPr>
        <w:t>obslužnosti</w:t>
      </w:r>
      <w:r w:rsidR="003F6567">
        <w:rPr>
          <w:rFonts w:asciiTheme="minorHAnsi" w:hAnsiTheme="minorHAnsi" w:cstheme="minorHAnsi"/>
          <w:b/>
        </w:rPr>
        <w:t xml:space="preserve"> státu vlaky celostátní dopravy</w:t>
      </w:r>
      <w:r w:rsidR="002337E5">
        <w:rPr>
          <w:rFonts w:asciiTheme="minorHAnsi" w:hAnsiTheme="minorHAnsi" w:cstheme="minorHAnsi"/>
          <w:b/>
        </w:rPr>
        <w:t xml:space="preserve"> a její úhrady</w:t>
      </w:r>
    </w:p>
    <w:p w14:paraId="54422E67" w14:textId="77777777" w:rsidR="00DF08DC" w:rsidRDefault="00DF08DC">
      <w:pPr>
        <w:jc w:val="both"/>
        <w:rPr>
          <w:rFonts w:asciiTheme="minorHAnsi" w:hAnsiTheme="minorHAnsi" w:cstheme="minorHAnsi"/>
          <w:b/>
        </w:rPr>
      </w:pPr>
    </w:p>
    <w:p w14:paraId="09FB124B" w14:textId="6AA1DD4E" w:rsidR="00A25B1B" w:rsidRDefault="002337E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2.1 </w:t>
      </w:r>
      <w:r w:rsidR="00041D51">
        <w:rPr>
          <w:rFonts w:asciiTheme="minorHAnsi" w:hAnsiTheme="minorHAnsi" w:cstheme="minorHAnsi"/>
          <w:b/>
        </w:rPr>
        <w:t>MD uzavře</w:t>
      </w:r>
      <w:r w:rsidR="000A3C3B">
        <w:rPr>
          <w:rFonts w:asciiTheme="minorHAnsi" w:hAnsiTheme="minorHAnsi" w:cstheme="minorHAnsi"/>
          <w:b/>
        </w:rPr>
        <w:t>lo smlouvy o závazcích veřej</w:t>
      </w:r>
      <w:r w:rsidR="000D71FE">
        <w:rPr>
          <w:rFonts w:asciiTheme="minorHAnsi" w:hAnsiTheme="minorHAnsi" w:cstheme="minorHAnsi"/>
          <w:b/>
        </w:rPr>
        <w:t>né služby k zajištění dopravní</w:t>
      </w:r>
      <w:r w:rsidR="000A3C3B">
        <w:rPr>
          <w:rFonts w:asciiTheme="minorHAnsi" w:hAnsiTheme="minorHAnsi" w:cstheme="minorHAnsi"/>
          <w:b/>
        </w:rPr>
        <w:t xml:space="preserve"> </w:t>
      </w:r>
      <w:r w:rsidR="000D71FE">
        <w:rPr>
          <w:rFonts w:asciiTheme="minorHAnsi" w:hAnsiTheme="minorHAnsi" w:cstheme="minorHAnsi"/>
          <w:b/>
        </w:rPr>
        <w:t>obslužnosti</w:t>
      </w:r>
      <w:r w:rsidR="000A3C3B">
        <w:rPr>
          <w:rFonts w:asciiTheme="minorHAnsi" w:hAnsiTheme="minorHAnsi" w:cstheme="minorHAnsi"/>
          <w:b/>
        </w:rPr>
        <w:t xml:space="preserve"> státu</w:t>
      </w:r>
      <w:r w:rsidR="00EF315B">
        <w:rPr>
          <w:rFonts w:asciiTheme="minorHAnsi" w:hAnsiTheme="minorHAnsi" w:cstheme="minorHAnsi"/>
          <w:b/>
        </w:rPr>
        <w:t xml:space="preserve"> </w:t>
      </w:r>
      <w:r w:rsidR="00603808">
        <w:rPr>
          <w:rFonts w:asciiTheme="minorHAnsi" w:hAnsiTheme="minorHAnsi" w:cstheme="minorHAnsi"/>
          <w:b/>
        </w:rPr>
        <w:t>jen</w:t>
      </w:r>
      <w:r w:rsidR="000A3C3B">
        <w:rPr>
          <w:rFonts w:asciiTheme="minorHAnsi" w:hAnsiTheme="minorHAnsi" w:cstheme="minorHAnsi"/>
          <w:b/>
        </w:rPr>
        <w:t xml:space="preserve"> s ČD.</w:t>
      </w:r>
      <w:r w:rsidR="00603808">
        <w:rPr>
          <w:rFonts w:asciiTheme="minorHAnsi" w:hAnsiTheme="minorHAnsi" w:cstheme="minorHAnsi"/>
          <w:b/>
        </w:rPr>
        <w:t xml:space="preserve"> V roce 2012 klesl </w:t>
      </w:r>
      <w:r w:rsidR="00F06AAB">
        <w:rPr>
          <w:rFonts w:asciiTheme="minorHAnsi" w:hAnsiTheme="minorHAnsi" w:cstheme="minorHAnsi"/>
          <w:b/>
        </w:rPr>
        <w:t>o</w:t>
      </w:r>
      <w:r w:rsidR="00603808">
        <w:rPr>
          <w:rFonts w:asciiTheme="minorHAnsi" w:hAnsiTheme="minorHAnsi" w:cstheme="minorHAnsi"/>
          <w:b/>
        </w:rPr>
        <w:t>proti roku 2010 dopravní výkon</w:t>
      </w:r>
      <w:r w:rsidR="00B516C5">
        <w:rPr>
          <w:rFonts w:asciiTheme="minorHAnsi" w:hAnsiTheme="minorHAnsi" w:cstheme="minorHAnsi"/>
          <w:b/>
        </w:rPr>
        <w:t xml:space="preserve"> (ve vlakových kilometrech)</w:t>
      </w:r>
      <w:r w:rsidR="00603808">
        <w:rPr>
          <w:rFonts w:asciiTheme="minorHAnsi" w:hAnsiTheme="minorHAnsi" w:cstheme="minorHAnsi"/>
          <w:b/>
        </w:rPr>
        <w:t xml:space="preserve"> k</w:t>
      </w:r>
      <w:r w:rsidR="00CD5B0C">
        <w:rPr>
          <w:rFonts w:asciiTheme="minorHAnsi" w:hAnsiTheme="minorHAnsi" w:cstheme="minorHAnsi"/>
          <w:b/>
        </w:rPr>
        <w:t> </w:t>
      </w:r>
      <w:r w:rsidR="00603808">
        <w:rPr>
          <w:rFonts w:asciiTheme="minorHAnsi" w:hAnsiTheme="minorHAnsi" w:cstheme="minorHAnsi"/>
          <w:b/>
        </w:rPr>
        <w:t>zajištění</w:t>
      </w:r>
      <w:r w:rsidR="000D71FE">
        <w:rPr>
          <w:rFonts w:asciiTheme="minorHAnsi" w:hAnsiTheme="minorHAnsi" w:cstheme="minorHAnsi"/>
          <w:b/>
        </w:rPr>
        <w:t xml:space="preserve"> této obslužnosti</w:t>
      </w:r>
      <w:r w:rsidR="00603808">
        <w:rPr>
          <w:rFonts w:asciiTheme="minorHAnsi" w:hAnsiTheme="minorHAnsi" w:cstheme="minorHAnsi"/>
          <w:b/>
        </w:rPr>
        <w:t xml:space="preserve"> o 11</w:t>
      </w:r>
      <w:r w:rsidR="00B516C5">
        <w:rPr>
          <w:rFonts w:asciiTheme="minorHAnsi" w:hAnsiTheme="minorHAnsi" w:cstheme="minorHAnsi"/>
          <w:b/>
        </w:rPr>
        <w:t>,2</w:t>
      </w:r>
      <w:r w:rsidR="00603808">
        <w:rPr>
          <w:rFonts w:asciiTheme="minorHAnsi" w:hAnsiTheme="minorHAnsi" w:cstheme="minorHAnsi"/>
          <w:b/>
        </w:rPr>
        <w:t xml:space="preserve"> %. </w:t>
      </w:r>
      <w:r w:rsidR="00A008EC">
        <w:rPr>
          <w:rFonts w:asciiTheme="minorHAnsi" w:hAnsiTheme="minorHAnsi" w:cstheme="minorHAnsi"/>
          <w:b/>
        </w:rPr>
        <w:t xml:space="preserve">V následujících </w:t>
      </w:r>
      <w:r w:rsidR="00E42C9C">
        <w:rPr>
          <w:rFonts w:asciiTheme="minorHAnsi" w:hAnsiTheme="minorHAnsi" w:cstheme="minorHAnsi"/>
          <w:b/>
        </w:rPr>
        <w:t>letech byl přibližně stejný.</w:t>
      </w:r>
      <w:r w:rsidR="00603808">
        <w:rPr>
          <w:rFonts w:asciiTheme="minorHAnsi" w:hAnsiTheme="minorHAnsi" w:cstheme="minorHAnsi"/>
          <w:b/>
        </w:rPr>
        <w:t xml:space="preserve"> Naproti tomu</w:t>
      </w:r>
      <w:r w:rsidR="00A25B1B">
        <w:rPr>
          <w:rFonts w:asciiTheme="minorHAnsi" w:hAnsiTheme="minorHAnsi" w:cstheme="minorHAnsi"/>
          <w:b/>
        </w:rPr>
        <w:t xml:space="preserve"> ČD vykazovaná</w:t>
      </w:r>
      <w:r w:rsidR="00603808">
        <w:rPr>
          <w:rFonts w:asciiTheme="minorHAnsi" w:hAnsiTheme="minorHAnsi" w:cstheme="minorHAnsi"/>
          <w:b/>
        </w:rPr>
        <w:t xml:space="preserve"> </w:t>
      </w:r>
      <w:r w:rsidR="00A25B1B">
        <w:rPr>
          <w:rFonts w:asciiTheme="minorHAnsi" w:hAnsiTheme="minorHAnsi" w:cstheme="minorHAnsi"/>
          <w:b/>
        </w:rPr>
        <w:t>ztráta</w:t>
      </w:r>
      <w:r w:rsidR="00603808">
        <w:rPr>
          <w:rFonts w:asciiTheme="minorHAnsi" w:hAnsiTheme="minorHAnsi" w:cstheme="minorHAnsi"/>
          <w:b/>
        </w:rPr>
        <w:t xml:space="preserve"> z provozov</w:t>
      </w:r>
      <w:r w:rsidR="000D71FE">
        <w:rPr>
          <w:rFonts w:asciiTheme="minorHAnsi" w:hAnsiTheme="minorHAnsi" w:cstheme="minorHAnsi"/>
          <w:b/>
        </w:rPr>
        <w:t>ání linek k zajištění dopravní obslužnosti</w:t>
      </w:r>
      <w:r w:rsidR="00603808">
        <w:rPr>
          <w:rFonts w:asciiTheme="minorHAnsi" w:hAnsiTheme="minorHAnsi" w:cstheme="minorHAnsi"/>
          <w:b/>
        </w:rPr>
        <w:t xml:space="preserve"> státu na jeden vlakový kilometr</w:t>
      </w:r>
      <w:r w:rsidR="00A25B1B">
        <w:rPr>
          <w:rFonts w:asciiTheme="minorHAnsi" w:hAnsiTheme="minorHAnsi" w:cstheme="minorHAnsi"/>
          <w:b/>
        </w:rPr>
        <w:t xml:space="preserve"> rostla. V roce 2015 by měla být podle předpoklád</w:t>
      </w:r>
      <w:r w:rsidR="00B516C5">
        <w:rPr>
          <w:rFonts w:asciiTheme="minorHAnsi" w:hAnsiTheme="minorHAnsi" w:cstheme="minorHAnsi"/>
          <w:b/>
        </w:rPr>
        <w:t>ané výše uvedené ve smlouvách o </w:t>
      </w:r>
      <w:r w:rsidR="00A25B1B">
        <w:rPr>
          <w:rFonts w:asciiTheme="minorHAnsi" w:hAnsiTheme="minorHAnsi" w:cstheme="minorHAnsi"/>
          <w:b/>
        </w:rPr>
        <w:t>18</w:t>
      </w:r>
      <w:r w:rsidR="00B516C5">
        <w:rPr>
          <w:rFonts w:asciiTheme="minorHAnsi" w:hAnsiTheme="minorHAnsi" w:cstheme="minorHAnsi"/>
          <w:b/>
        </w:rPr>
        <w:t>,1 </w:t>
      </w:r>
      <w:r w:rsidR="00A25B1B">
        <w:rPr>
          <w:rFonts w:asciiTheme="minorHAnsi" w:hAnsiTheme="minorHAnsi" w:cstheme="minorHAnsi"/>
          <w:b/>
        </w:rPr>
        <w:t xml:space="preserve">% vyšší </w:t>
      </w:r>
      <w:r w:rsidR="00F06AAB">
        <w:rPr>
          <w:rFonts w:asciiTheme="minorHAnsi" w:hAnsiTheme="minorHAnsi" w:cstheme="minorHAnsi"/>
          <w:b/>
        </w:rPr>
        <w:t>o</w:t>
      </w:r>
      <w:r w:rsidR="00A25B1B">
        <w:rPr>
          <w:rFonts w:asciiTheme="minorHAnsi" w:hAnsiTheme="minorHAnsi" w:cstheme="minorHAnsi"/>
          <w:b/>
        </w:rPr>
        <w:t xml:space="preserve">proti roku 2010. </w:t>
      </w:r>
    </w:p>
    <w:p w14:paraId="7FF977CC" w14:textId="77777777" w:rsidR="00853B57" w:rsidRDefault="00853B57">
      <w:pPr>
        <w:jc w:val="both"/>
        <w:rPr>
          <w:rFonts w:asciiTheme="minorHAnsi" w:hAnsiTheme="minorHAnsi" w:cstheme="minorHAnsi"/>
          <w:b/>
        </w:rPr>
      </w:pPr>
    </w:p>
    <w:p w14:paraId="2075C1ED" w14:textId="77777777" w:rsidR="00267DEA" w:rsidRDefault="00267D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A25B1B">
        <w:rPr>
          <w:rFonts w:asciiTheme="minorHAnsi" w:hAnsiTheme="minorHAnsi" w:cstheme="minorHAnsi"/>
        </w:rPr>
        <w:t xml:space="preserve"> letech 2010 až 2015 </w:t>
      </w:r>
      <w:r>
        <w:rPr>
          <w:rFonts w:asciiTheme="minorHAnsi" w:hAnsiTheme="minorHAnsi" w:cstheme="minorHAnsi"/>
        </w:rPr>
        <w:t>byly</w:t>
      </w:r>
      <w:r w:rsidR="0073444C">
        <w:rPr>
          <w:rFonts w:asciiTheme="minorHAnsi" w:hAnsiTheme="minorHAnsi" w:cstheme="minorHAnsi"/>
        </w:rPr>
        <w:t xml:space="preserve"> každoročně</w:t>
      </w:r>
      <w:r>
        <w:rPr>
          <w:rFonts w:asciiTheme="minorHAnsi" w:hAnsiTheme="minorHAnsi" w:cstheme="minorHAnsi"/>
        </w:rPr>
        <w:t xml:space="preserve"> v</w:t>
      </w:r>
      <w:r w:rsidR="00A25B1B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platnosti</w:t>
      </w:r>
      <w:r w:rsidR="00A25B1B">
        <w:rPr>
          <w:rFonts w:asciiTheme="minorHAnsi" w:hAnsiTheme="minorHAnsi" w:cstheme="minorHAnsi"/>
        </w:rPr>
        <w:t xml:space="preserve"> tyto</w:t>
      </w:r>
      <w:r>
        <w:rPr>
          <w:rFonts w:asciiTheme="minorHAnsi" w:hAnsiTheme="minorHAnsi" w:cstheme="minorHAnsi"/>
        </w:rPr>
        <w:t xml:space="preserve"> </w:t>
      </w:r>
      <w:r w:rsidR="0073444C">
        <w:rPr>
          <w:rFonts w:asciiTheme="minorHAnsi" w:hAnsiTheme="minorHAnsi" w:cstheme="minorHAnsi"/>
        </w:rPr>
        <w:t>tři</w:t>
      </w:r>
      <w:r>
        <w:rPr>
          <w:rFonts w:asciiTheme="minorHAnsi" w:hAnsiTheme="minorHAnsi" w:cstheme="minorHAnsi"/>
        </w:rPr>
        <w:t xml:space="preserve"> </w:t>
      </w:r>
      <w:r w:rsidRPr="00DB3BE6">
        <w:rPr>
          <w:rFonts w:asciiTheme="minorHAnsi" w:hAnsiTheme="minorHAnsi" w:cstheme="minorHAnsi"/>
          <w:i/>
        </w:rPr>
        <w:t>smlouvy o závazku veřejné služby</w:t>
      </w:r>
      <w:r w:rsidR="00A25B1B">
        <w:rPr>
          <w:rFonts w:asciiTheme="minorHAnsi" w:hAnsiTheme="minorHAnsi" w:cstheme="minorHAnsi"/>
        </w:rPr>
        <w:t>, které uzavřelo MD s</w:t>
      </w:r>
      <w:r>
        <w:rPr>
          <w:rFonts w:asciiTheme="minorHAnsi" w:hAnsiTheme="minorHAnsi" w:cstheme="minorHAnsi"/>
        </w:rPr>
        <w:t> ČD:</w:t>
      </w:r>
      <w:r w:rsidR="00A25B1B">
        <w:rPr>
          <w:rFonts w:asciiTheme="minorHAnsi" w:hAnsiTheme="minorHAnsi" w:cstheme="minorHAnsi"/>
        </w:rPr>
        <w:t xml:space="preserve"> </w:t>
      </w:r>
    </w:p>
    <w:p w14:paraId="609D5B77" w14:textId="253466A5" w:rsidR="0073444C" w:rsidRDefault="00267DEA" w:rsidP="00267DEA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i/>
        </w:rPr>
        <w:t>Smlouva o závazku veřejn</w:t>
      </w:r>
      <w:r w:rsidR="0073444C">
        <w:rPr>
          <w:rFonts w:asciiTheme="minorHAnsi" w:hAnsiTheme="minorHAnsi" w:cstheme="minorHAnsi"/>
          <w:i/>
        </w:rPr>
        <w:t>é služby na rok 2010 na období o</w:t>
      </w:r>
      <w:r>
        <w:rPr>
          <w:rFonts w:asciiTheme="minorHAnsi" w:hAnsiTheme="minorHAnsi" w:cstheme="minorHAnsi"/>
          <w:i/>
        </w:rPr>
        <w:t>d 1. 1. 2010 do konce platnosti jízdního řádu pro období 2018/19</w:t>
      </w:r>
      <w:r w:rsidR="006A136B" w:rsidRPr="006A136B">
        <w:rPr>
          <w:rFonts w:asciiTheme="minorHAnsi" w:hAnsiTheme="minorHAnsi" w:cstheme="minorHAnsi"/>
        </w:rPr>
        <w:t>,</w:t>
      </w:r>
      <w:r w:rsidRPr="006A136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uzavřen</w:t>
      </w:r>
      <w:r w:rsidR="006A136B">
        <w:rPr>
          <w:rFonts w:asciiTheme="minorHAnsi" w:hAnsiTheme="minorHAnsi" w:cstheme="minorHAnsi"/>
        </w:rPr>
        <w:t>á</w:t>
      </w:r>
      <w:r>
        <w:rPr>
          <w:rFonts w:asciiTheme="minorHAnsi" w:hAnsiTheme="minorHAnsi" w:cstheme="minorHAnsi"/>
        </w:rPr>
        <w:t xml:space="preserve"> v prosinci 2009. Na smlouvu se tak nevztahoval zákon č. 194/2010 Sb., ale zákon č. 266/1994 Sb. Podle této smlouvy k ní </w:t>
      </w:r>
      <w:r w:rsidR="0073444C">
        <w:rPr>
          <w:rFonts w:asciiTheme="minorHAnsi" w:hAnsiTheme="minorHAnsi" w:cstheme="minorHAnsi"/>
        </w:rPr>
        <w:t xml:space="preserve">byly každoročně </w:t>
      </w:r>
      <w:r w:rsidR="00307CD6">
        <w:rPr>
          <w:rFonts w:asciiTheme="minorHAnsi" w:hAnsiTheme="minorHAnsi" w:cstheme="minorHAnsi"/>
        </w:rPr>
        <w:t>uzavírány</w:t>
      </w:r>
      <w:r w:rsidR="0073444C">
        <w:rPr>
          <w:rFonts w:asciiTheme="minorHAnsi" w:hAnsiTheme="minorHAnsi" w:cstheme="minorHAnsi"/>
        </w:rPr>
        <w:t xml:space="preserve"> dodatky, kterými</w:t>
      </w:r>
      <w:r w:rsidR="002863D0">
        <w:rPr>
          <w:rFonts w:asciiTheme="minorHAnsi" w:hAnsiTheme="minorHAnsi" w:cstheme="minorHAnsi"/>
        </w:rPr>
        <w:t xml:space="preserve"> MD vymez</w:t>
      </w:r>
      <w:r w:rsidR="0035152B">
        <w:rPr>
          <w:rFonts w:asciiTheme="minorHAnsi" w:hAnsiTheme="minorHAnsi" w:cstheme="minorHAnsi"/>
        </w:rPr>
        <w:t>ova</w:t>
      </w:r>
      <w:r w:rsidR="002863D0">
        <w:rPr>
          <w:rFonts w:asciiTheme="minorHAnsi" w:hAnsiTheme="minorHAnsi" w:cstheme="minorHAnsi"/>
        </w:rPr>
        <w:t>lo</w:t>
      </w:r>
      <w:r w:rsidR="0073444C">
        <w:rPr>
          <w:rFonts w:asciiTheme="minorHAnsi" w:hAnsiTheme="minorHAnsi" w:cstheme="minorHAnsi"/>
        </w:rPr>
        <w:t xml:space="preserve"> závazky veřejné služby pro příslušná období platnosti jízdního řádu</w:t>
      </w:r>
      <w:r w:rsidR="00135E7C">
        <w:rPr>
          <w:rStyle w:val="Znakapoznpodarou"/>
          <w:rFonts w:asciiTheme="minorHAnsi" w:hAnsiTheme="minorHAnsi" w:cstheme="minorHAnsi"/>
        </w:rPr>
        <w:footnoteReference w:id="11"/>
      </w:r>
      <w:r w:rsidR="0073444C">
        <w:rPr>
          <w:rFonts w:asciiTheme="minorHAnsi" w:hAnsiTheme="minorHAnsi" w:cstheme="minorHAnsi"/>
        </w:rPr>
        <w:t xml:space="preserve">. </w:t>
      </w:r>
    </w:p>
    <w:p w14:paraId="0FCAD12E" w14:textId="31B4BD91" w:rsidR="0073444C" w:rsidRDefault="003D3418" w:rsidP="00267DEA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>S</w:t>
      </w:r>
      <w:r w:rsidR="0073444C">
        <w:rPr>
          <w:rFonts w:asciiTheme="minorHAnsi" w:hAnsiTheme="minorHAnsi" w:cstheme="minorHAnsi"/>
        </w:rPr>
        <w:t xml:space="preserve">mlouvy o závazku veřejné služby </w:t>
      </w:r>
      <w:r w:rsidR="000F33B8">
        <w:rPr>
          <w:rFonts w:asciiTheme="minorHAnsi" w:hAnsiTheme="minorHAnsi" w:cstheme="minorHAnsi"/>
        </w:rPr>
        <w:t>na linky</w:t>
      </w:r>
      <w:r>
        <w:rPr>
          <w:rFonts w:asciiTheme="minorHAnsi" w:hAnsiTheme="minorHAnsi" w:cstheme="minorHAnsi"/>
        </w:rPr>
        <w:t xml:space="preserve"> R14 </w:t>
      </w:r>
      <w:r w:rsidRPr="00DB3BE6">
        <w:rPr>
          <w:rFonts w:asciiTheme="minorHAnsi" w:hAnsiTheme="minorHAnsi" w:cstheme="minorHAnsi"/>
        </w:rPr>
        <w:t>Pardubice – Liberec</w:t>
      </w:r>
      <w:r w:rsidRPr="0035152B">
        <w:rPr>
          <w:rFonts w:asciiTheme="minorHAnsi" w:hAnsiTheme="minorHAnsi" w:cstheme="minorHAnsi"/>
        </w:rPr>
        <w:t xml:space="preserve"> a R16 </w:t>
      </w:r>
      <w:r w:rsidR="0073444C" w:rsidRPr="00DB3BE6">
        <w:rPr>
          <w:rFonts w:asciiTheme="minorHAnsi" w:hAnsiTheme="minorHAnsi" w:cstheme="minorHAnsi"/>
        </w:rPr>
        <w:t>Plzeň – Most</w:t>
      </w:r>
      <w:r w:rsidR="0073444C" w:rsidRPr="0035152B">
        <w:rPr>
          <w:rFonts w:asciiTheme="minorHAnsi" w:hAnsiTheme="minorHAnsi" w:cstheme="minorHAnsi"/>
        </w:rPr>
        <w:t>.</w:t>
      </w:r>
      <w:r w:rsidR="0073444C">
        <w:rPr>
          <w:rFonts w:asciiTheme="minorHAnsi" w:hAnsiTheme="minorHAnsi" w:cstheme="minorHAnsi"/>
        </w:rPr>
        <w:t xml:space="preserve"> Smlouvy </w:t>
      </w:r>
      <w:r>
        <w:rPr>
          <w:rFonts w:asciiTheme="minorHAnsi" w:hAnsiTheme="minorHAnsi" w:cstheme="minorHAnsi"/>
        </w:rPr>
        <w:t>uzavíralo</w:t>
      </w:r>
      <w:r w:rsidR="007344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MD vždy</w:t>
      </w:r>
      <w:r w:rsidR="0073444C">
        <w:rPr>
          <w:rFonts w:asciiTheme="minorHAnsi" w:hAnsiTheme="minorHAnsi" w:cstheme="minorHAnsi"/>
        </w:rPr>
        <w:t xml:space="preserve"> </w:t>
      </w:r>
      <w:r w:rsidR="0035152B">
        <w:rPr>
          <w:rFonts w:asciiTheme="minorHAnsi" w:hAnsiTheme="minorHAnsi" w:cstheme="minorHAnsi"/>
        </w:rPr>
        <w:t>na</w:t>
      </w:r>
      <w:r w:rsidR="0073444C">
        <w:rPr>
          <w:rFonts w:asciiTheme="minorHAnsi" w:hAnsiTheme="minorHAnsi" w:cstheme="minorHAnsi"/>
        </w:rPr>
        <w:t xml:space="preserve"> období platnosti jízdního řádu. </w:t>
      </w:r>
      <w:r w:rsidR="00870D9F">
        <w:rPr>
          <w:rFonts w:asciiTheme="minorHAnsi" w:hAnsiTheme="minorHAnsi" w:cstheme="minorHAnsi"/>
        </w:rPr>
        <w:t>Až do platnosti jízdního řádu 2013/14</w:t>
      </w:r>
      <w:r w:rsidR="002863D0">
        <w:rPr>
          <w:rFonts w:asciiTheme="minorHAnsi" w:hAnsiTheme="minorHAnsi" w:cstheme="minorHAnsi"/>
        </w:rPr>
        <w:t xml:space="preserve"> je uzavíralo</w:t>
      </w:r>
      <w:r w:rsidR="00870D9F">
        <w:rPr>
          <w:rFonts w:asciiTheme="minorHAnsi" w:hAnsiTheme="minorHAnsi" w:cstheme="minorHAnsi"/>
        </w:rPr>
        <w:t xml:space="preserve"> na základě uplatnění opce ke smlouvě </w:t>
      </w:r>
      <w:r w:rsidR="00D01AEB">
        <w:rPr>
          <w:rFonts w:asciiTheme="minorHAnsi" w:hAnsiTheme="minorHAnsi" w:cstheme="minorHAnsi"/>
        </w:rPr>
        <w:t>pro období platnosti jízdního řádu 2006/07</w:t>
      </w:r>
      <w:r w:rsidR="0035152B">
        <w:rPr>
          <w:rFonts w:asciiTheme="minorHAnsi" w:hAnsiTheme="minorHAnsi" w:cstheme="minorHAnsi"/>
        </w:rPr>
        <w:t>,</w:t>
      </w:r>
      <w:r w:rsidR="00D01AEB">
        <w:rPr>
          <w:rFonts w:asciiTheme="minorHAnsi" w:hAnsiTheme="minorHAnsi" w:cstheme="minorHAnsi"/>
        </w:rPr>
        <w:t xml:space="preserve"> </w:t>
      </w:r>
      <w:r w:rsidR="00870D9F">
        <w:rPr>
          <w:rFonts w:asciiTheme="minorHAnsi" w:hAnsiTheme="minorHAnsi" w:cstheme="minorHAnsi"/>
        </w:rPr>
        <w:t xml:space="preserve">uzavřené </w:t>
      </w:r>
      <w:r w:rsidR="00D01AEB">
        <w:rPr>
          <w:rFonts w:asciiTheme="minorHAnsi" w:hAnsiTheme="minorHAnsi" w:cstheme="minorHAnsi"/>
        </w:rPr>
        <w:t>na základě zadávacího řízení z roku 2005</w:t>
      </w:r>
      <w:r w:rsidR="00870D9F">
        <w:rPr>
          <w:rFonts w:asciiTheme="minorHAnsi" w:hAnsiTheme="minorHAnsi" w:cstheme="minorHAnsi"/>
        </w:rPr>
        <w:t>. Pro období platnosti jízdního řádu 2014/15</w:t>
      </w:r>
      <w:r w:rsidR="00D01AEB">
        <w:rPr>
          <w:rFonts w:asciiTheme="minorHAnsi" w:hAnsiTheme="minorHAnsi" w:cstheme="minorHAnsi"/>
        </w:rPr>
        <w:t xml:space="preserve"> již MD opci nemohlo uplatnit a </w:t>
      </w:r>
      <w:r w:rsidR="00870D9F">
        <w:rPr>
          <w:rFonts w:asciiTheme="minorHAnsi" w:hAnsiTheme="minorHAnsi" w:cstheme="minorHAnsi"/>
        </w:rPr>
        <w:t>uzav</w:t>
      </w:r>
      <w:r w:rsidR="00446221">
        <w:rPr>
          <w:rFonts w:asciiTheme="minorHAnsi" w:hAnsiTheme="minorHAnsi" w:cstheme="minorHAnsi"/>
        </w:rPr>
        <w:t>řelo smlouvy přímo s využitím § </w:t>
      </w:r>
      <w:r w:rsidR="00870D9F">
        <w:rPr>
          <w:rFonts w:asciiTheme="minorHAnsi" w:hAnsiTheme="minorHAnsi" w:cstheme="minorHAnsi"/>
        </w:rPr>
        <w:t>18 zákona č. 194/2010 Sb.</w:t>
      </w:r>
    </w:p>
    <w:p w14:paraId="72C7893B" w14:textId="77777777" w:rsidR="0073444C" w:rsidRDefault="0073444C" w:rsidP="00267DEA">
      <w:pPr>
        <w:ind w:left="142" w:hanging="142"/>
        <w:jc w:val="both"/>
        <w:rPr>
          <w:rFonts w:asciiTheme="minorHAnsi" w:hAnsiTheme="minorHAnsi" w:cstheme="minorHAnsi"/>
        </w:rPr>
      </w:pPr>
    </w:p>
    <w:p w14:paraId="6BE88D20" w14:textId="4E022C17" w:rsidR="00135E7C" w:rsidRDefault="00135E7C" w:rsidP="00135E7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Dopravní výkon ve vlakových kilometrech</w:t>
      </w:r>
      <w:r w:rsidR="003D3418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>výše ztráty</w:t>
      </w:r>
      <w:r w:rsidR="003D3418">
        <w:rPr>
          <w:rFonts w:asciiTheme="minorHAnsi" w:hAnsiTheme="minorHAnsi" w:cstheme="minorHAnsi"/>
        </w:rPr>
        <w:t xml:space="preserve"> z provozová</w:t>
      </w:r>
      <w:r w:rsidR="000D71FE">
        <w:rPr>
          <w:rFonts w:asciiTheme="minorHAnsi" w:hAnsiTheme="minorHAnsi" w:cstheme="minorHAnsi"/>
        </w:rPr>
        <w:t>ní vlaků na zajištění dopravní</w:t>
      </w:r>
      <w:r w:rsidR="003D3418">
        <w:rPr>
          <w:rFonts w:asciiTheme="minorHAnsi" w:hAnsiTheme="minorHAnsi" w:cstheme="minorHAnsi"/>
        </w:rPr>
        <w:t xml:space="preserve"> </w:t>
      </w:r>
      <w:r w:rsidR="000D71FE">
        <w:rPr>
          <w:rFonts w:asciiTheme="minorHAnsi" w:hAnsiTheme="minorHAnsi" w:cstheme="minorHAnsi"/>
        </w:rPr>
        <w:t>obslužnosti</w:t>
      </w:r>
      <w:r w:rsidR="003D3418">
        <w:rPr>
          <w:rFonts w:asciiTheme="minorHAnsi" w:hAnsiTheme="minorHAnsi" w:cstheme="minorHAnsi"/>
        </w:rPr>
        <w:t xml:space="preserve"> státu </w:t>
      </w:r>
      <w:r w:rsidR="002863D0">
        <w:rPr>
          <w:rFonts w:asciiTheme="minorHAnsi" w:hAnsiTheme="minorHAnsi" w:cstheme="minorHAnsi"/>
        </w:rPr>
        <w:t>za roky 2010 až 2015 jsou</w:t>
      </w:r>
      <w:r>
        <w:rPr>
          <w:rFonts w:asciiTheme="minorHAnsi" w:hAnsiTheme="minorHAnsi" w:cstheme="minorHAnsi"/>
        </w:rPr>
        <w:t xml:space="preserve"> uveden</w:t>
      </w:r>
      <w:r w:rsidR="002863D0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v tabulce č. 2.</w:t>
      </w:r>
      <w:r w:rsidR="003D3418">
        <w:rPr>
          <w:rFonts w:asciiTheme="minorHAnsi" w:hAnsiTheme="minorHAnsi" w:cstheme="minorHAnsi"/>
        </w:rPr>
        <w:t xml:space="preserve"> </w:t>
      </w:r>
    </w:p>
    <w:p w14:paraId="537AE5A8" w14:textId="77777777" w:rsidR="003B1468" w:rsidRDefault="003B1468" w:rsidP="00135E7C">
      <w:pPr>
        <w:contextualSpacing/>
        <w:jc w:val="both"/>
        <w:rPr>
          <w:rFonts w:asciiTheme="minorHAnsi" w:hAnsiTheme="minorHAnsi" w:cstheme="minorHAnsi"/>
          <w:b/>
        </w:rPr>
      </w:pPr>
    </w:p>
    <w:p w14:paraId="2CC94090" w14:textId="77777777" w:rsidR="00135E7C" w:rsidRPr="00FC5AA2" w:rsidRDefault="00135E7C" w:rsidP="00135E7C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Tabulka č. 2 – Dopravní výkon a ztráta</w:t>
      </w:r>
      <w:r w:rsidR="005B39D4">
        <w:rPr>
          <w:rFonts w:asciiTheme="minorHAnsi" w:hAnsiTheme="minorHAnsi" w:cstheme="minorHAnsi"/>
          <w:b/>
        </w:rPr>
        <w:t xml:space="preserve"> za vlaky objednávané MD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39"/>
        <w:gridCol w:w="1084"/>
        <w:gridCol w:w="1084"/>
        <w:gridCol w:w="1084"/>
        <w:gridCol w:w="1084"/>
        <w:gridCol w:w="1084"/>
        <w:gridCol w:w="1084"/>
      </w:tblGrid>
      <w:tr w:rsidR="00135E7C" w14:paraId="33E9E3DF" w14:textId="77777777" w:rsidTr="00DB3BE6">
        <w:tc>
          <w:tcPr>
            <w:tcW w:w="25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EA8AF" w14:textId="77777777" w:rsidR="00135E7C" w:rsidRDefault="00135E7C" w:rsidP="007D4664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5A0949" w14:textId="77777777" w:rsidR="00135E7C" w:rsidRPr="00F158D2" w:rsidRDefault="00135E7C" w:rsidP="007D4664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2010</w:t>
            </w:r>
          </w:p>
        </w:tc>
        <w:tc>
          <w:tcPr>
            <w:tcW w:w="1084" w:type="dxa"/>
            <w:tcBorders>
              <w:top w:val="single" w:sz="12" w:space="0" w:color="auto"/>
              <w:bottom w:val="single" w:sz="12" w:space="0" w:color="auto"/>
            </w:tcBorders>
          </w:tcPr>
          <w:p w14:paraId="6922E279" w14:textId="77777777" w:rsidR="00135E7C" w:rsidRPr="00F158D2" w:rsidRDefault="00135E7C" w:rsidP="007D4664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2011</w:t>
            </w:r>
          </w:p>
        </w:tc>
        <w:tc>
          <w:tcPr>
            <w:tcW w:w="1084" w:type="dxa"/>
            <w:tcBorders>
              <w:top w:val="single" w:sz="12" w:space="0" w:color="auto"/>
              <w:bottom w:val="single" w:sz="12" w:space="0" w:color="auto"/>
            </w:tcBorders>
          </w:tcPr>
          <w:p w14:paraId="7A573B8F" w14:textId="77777777" w:rsidR="00135E7C" w:rsidRPr="00F158D2" w:rsidRDefault="00135E7C" w:rsidP="007D4664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2012</w:t>
            </w:r>
          </w:p>
        </w:tc>
        <w:tc>
          <w:tcPr>
            <w:tcW w:w="1084" w:type="dxa"/>
            <w:tcBorders>
              <w:top w:val="single" w:sz="12" w:space="0" w:color="auto"/>
              <w:bottom w:val="single" w:sz="12" w:space="0" w:color="auto"/>
            </w:tcBorders>
          </w:tcPr>
          <w:p w14:paraId="7F94C399" w14:textId="77777777" w:rsidR="00135E7C" w:rsidRPr="00F158D2" w:rsidRDefault="00135E7C" w:rsidP="007D4664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2013</w:t>
            </w:r>
          </w:p>
        </w:tc>
        <w:tc>
          <w:tcPr>
            <w:tcW w:w="1084" w:type="dxa"/>
            <w:tcBorders>
              <w:top w:val="single" w:sz="12" w:space="0" w:color="auto"/>
              <w:bottom w:val="single" w:sz="12" w:space="0" w:color="auto"/>
            </w:tcBorders>
          </w:tcPr>
          <w:p w14:paraId="0920BF18" w14:textId="77777777" w:rsidR="00135E7C" w:rsidRPr="00F158D2" w:rsidRDefault="00135E7C" w:rsidP="007D4664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2014</w:t>
            </w:r>
          </w:p>
        </w:tc>
        <w:tc>
          <w:tcPr>
            <w:tcW w:w="1084" w:type="dxa"/>
            <w:tcBorders>
              <w:top w:val="single" w:sz="12" w:space="0" w:color="auto"/>
              <w:bottom w:val="single" w:sz="12" w:space="0" w:color="auto"/>
            </w:tcBorders>
          </w:tcPr>
          <w:p w14:paraId="484FAE98" w14:textId="77777777" w:rsidR="00135E7C" w:rsidRPr="00FC5AA2" w:rsidRDefault="00135E7C" w:rsidP="007D4664">
            <w:pPr>
              <w:contextualSpacing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>
              <w:rPr>
                <w:rFonts w:asciiTheme="minorHAnsi" w:hAnsiTheme="minorHAnsi" w:cstheme="minorHAnsi"/>
                <w:b/>
              </w:rPr>
              <w:t>2015</w:t>
            </w:r>
          </w:p>
        </w:tc>
      </w:tr>
      <w:tr w:rsidR="00135E7C" w14:paraId="68B13BE3" w14:textId="77777777" w:rsidTr="00DB3BE6">
        <w:tc>
          <w:tcPr>
            <w:tcW w:w="2539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2ED7B602" w14:textId="77777777" w:rsidR="00135E7C" w:rsidRDefault="00FB59F8" w:rsidP="00FB59F8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Dopr. výkon v </w:t>
            </w:r>
            <w:r w:rsidR="006C6585">
              <w:rPr>
                <w:rFonts w:asciiTheme="minorHAnsi" w:hAnsiTheme="minorHAnsi" w:cstheme="minorHAnsi"/>
              </w:rPr>
              <w:t>mil</w:t>
            </w:r>
            <w:r>
              <w:rPr>
                <w:rFonts w:asciiTheme="minorHAnsi" w:hAnsiTheme="minorHAnsi" w:cstheme="minorHAnsi"/>
              </w:rPr>
              <w:t>. vlkm</w:t>
            </w:r>
          </w:p>
          <w:p w14:paraId="246E35F5" w14:textId="77777777" w:rsidR="00FB59F8" w:rsidRDefault="00FB59F8" w:rsidP="00423290">
            <w:pPr>
              <w:ind w:left="284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předpokládaný</w:t>
            </w:r>
          </w:p>
          <w:p w14:paraId="3318B991" w14:textId="77777777" w:rsidR="00FB59F8" w:rsidRDefault="00FB59F8" w:rsidP="00423290">
            <w:pPr>
              <w:ind w:left="284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skutečný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</w:tcBorders>
          </w:tcPr>
          <w:p w14:paraId="5693C70B" w14:textId="77777777" w:rsidR="00135E7C" w:rsidRDefault="00135E7C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</w:p>
          <w:p w14:paraId="7E47C2E4" w14:textId="77777777" w:rsidR="00FB59F8" w:rsidRDefault="00FB59F8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  <w:r w:rsidR="006C658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6</w:t>
            </w:r>
          </w:p>
          <w:p w14:paraId="220C9320" w14:textId="77777777" w:rsidR="00FB59F8" w:rsidRDefault="00FB59F8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  <w:r w:rsidR="006C658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84" w:type="dxa"/>
            <w:tcBorders>
              <w:top w:val="single" w:sz="12" w:space="0" w:color="auto"/>
            </w:tcBorders>
          </w:tcPr>
          <w:p w14:paraId="5774F47C" w14:textId="77777777" w:rsidR="00135E7C" w:rsidRDefault="00135E7C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</w:p>
          <w:p w14:paraId="3CD42C49" w14:textId="77777777" w:rsidR="00FB59F8" w:rsidRDefault="00FB59F8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  <w:r w:rsidR="006C658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7</w:t>
            </w:r>
          </w:p>
          <w:p w14:paraId="32B3D44C" w14:textId="77777777" w:rsidR="00FB59F8" w:rsidRDefault="00FB59F8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  <w:r w:rsidR="006C6585">
              <w:rPr>
                <w:rFonts w:asciiTheme="minorHAnsi" w:hAnsiTheme="minorHAnsi" w:cstheme="minorHAnsi"/>
              </w:rPr>
              <w:t>,6</w:t>
            </w:r>
          </w:p>
        </w:tc>
        <w:tc>
          <w:tcPr>
            <w:tcW w:w="1084" w:type="dxa"/>
            <w:tcBorders>
              <w:top w:val="single" w:sz="12" w:space="0" w:color="auto"/>
            </w:tcBorders>
          </w:tcPr>
          <w:p w14:paraId="37E4310A" w14:textId="77777777" w:rsidR="00135E7C" w:rsidRDefault="00135E7C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</w:p>
          <w:p w14:paraId="483A26C5" w14:textId="77777777" w:rsidR="006C6585" w:rsidRDefault="00FB59F8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  <w:r w:rsidR="006C6585">
              <w:rPr>
                <w:rFonts w:asciiTheme="minorHAnsi" w:hAnsiTheme="minorHAnsi" w:cstheme="minorHAnsi"/>
              </w:rPr>
              <w:t>,3</w:t>
            </w:r>
          </w:p>
          <w:p w14:paraId="79EE411C" w14:textId="77777777" w:rsidR="00FB59F8" w:rsidRDefault="00FB59F8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  <w:r w:rsidR="0056176F">
              <w:rPr>
                <w:rFonts w:asciiTheme="minorHAnsi" w:hAnsiTheme="minorHAnsi" w:cstheme="minorHAnsi"/>
              </w:rPr>
              <w:t>,2</w:t>
            </w:r>
          </w:p>
        </w:tc>
        <w:tc>
          <w:tcPr>
            <w:tcW w:w="1084" w:type="dxa"/>
            <w:tcBorders>
              <w:top w:val="single" w:sz="12" w:space="0" w:color="auto"/>
            </w:tcBorders>
          </w:tcPr>
          <w:p w14:paraId="4444BE71" w14:textId="77777777" w:rsidR="00135E7C" w:rsidRDefault="00135E7C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</w:p>
          <w:p w14:paraId="1C4AC4DA" w14:textId="77777777" w:rsidR="00FB59F8" w:rsidRDefault="00FB59F8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  <w:r w:rsidR="006C658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9</w:t>
            </w:r>
          </w:p>
          <w:p w14:paraId="7B6EA3D4" w14:textId="77777777" w:rsidR="00FB59F8" w:rsidRDefault="00FB59F8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  <w:r w:rsidR="006C6585">
              <w:rPr>
                <w:rFonts w:asciiTheme="minorHAnsi" w:hAnsiTheme="minorHAnsi" w:cstheme="minorHAnsi"/>
              </w:rPr>
              <w:t>,</w:t>
            </w:r>
            <w:r w:rsidR="0056176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084" w:type="dxa"/>
            <w:tcBorders>
              <w:top w:val="single" w:sz="12" w:space="0" w:color="auto"/>
            </w:tcBorders>
          </w:tcPr>
          <w:p w14:paraId="5E8FE48A" w14:textId="77777777" w:rsidR="00135E7C" w:rsidRDefault="00135E7C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</w:p>
          <w:p w14:paraId="513F6AF5" w14:textId="77777777" w:rsidR="00EB07A5" w:rsidRDefault="00EB07A5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  <w:r w:rsidR="006C658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8</w:t>
            </w:r>
          </w:p>
          <w:p w14:paraId="08F71744" w14:textId="77777777" w:rsidR="00EB07A5" w:rsidRDefault="00EB07A5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  <w:r w:rsidR="006C658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084" w:type="dxa"/>
            <w:tcBorders>
              <w:top w:val="single" w:sz="12" w:space="0" w:color="auto"/>
            </w:tcBorders>
          </w:tcPr>
          <w:p w14:paraId="0A445284" w14:textId="77777777" w:rsidR="00135E7C" w:rsidRDefault="00135E7C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</w:p>
          <w:p w14:paraId="7A1E3803" w14:textId="77777777" w:rsidR="00EB07A5" w:rsidRDefault="00EB07A5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  <w:r w:rsidR="006C658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9</w:t>
            </w:r>
          </w:p>
          <w:p w14:paraId="7457D5C7" w14:textId="77777777" w:rsidR="00EB07A5" w:rsidRDefault="00EB07A5" w:rsidP="00DB3BE6">
            <w:pPr>
              <w:ind w:left="-271" w:right="180"/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641AEE" w14:paraId="20F6FEC8" w14:textId="77777777" w:rsidTr="00DB3BE6">
        <w:tc>
          <w:tcPr>
            <w:tcW w:w="2539" w:type="dxa"/>
            <w:tcBorders>
              <w:top w:val="single" w:sz="4" w:space="0" w:color="000000" w:themeColor="text1"/>
              <w:bottom w:val="single" w:sz="8" w:space="0" w:color="auto"/>
              <w:right w:val="single" w:sz="12" w:space="0" w:color="auto"/>
            </w:tcBorders>
          </w:tcPr>
          <w:p w14:paraId="72535265" w14:textId="77777777" w:rsidR="00641AEE" w:rsidRDefault="00641AEE" w:rsidP="00641AEE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Ztráta v mil. Kč</w:t>
            </w:r>
          </w:p>
          <w:p w14:paraId="018CF238" w14:textId="77777777" w:rsidR="00641AEE" w:rsidRDefault="00641AEE" w:rsidP="00423290">
            <w:pPr>
              <w:ind w:left="284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předpokládaná</w:t>
            </w:r>
          </w:p>
          <w:p w14:paraId="1734F5D5" w14:textId="77777777" w:rsidR="00641AEE" w:rsidRPr="00FB59F8" w:rsidRDefault="00641AEE" w:rsidP="00423290">
            <w:pPr>
              <w:ind w:left="284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vykázaná</w:t>
            </w:r>
          </w:p>
        </w:tc>
        <w:tc>
          <w:tcPr>
            <w:tcW w:w="1084" w:type="dxa"/>
            <w:tcBorders>
              <w:left w:val="single" w:sz="12" w:space="0" w:color="auto"/>
            </w:tcBorders>
          </w:tcPr>
          <w:p w14:paraId="65C7BBA7" w14:textId="77777777" w:rsidR="00641AEE" w:rsidRDefault="00641AEE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</w:p>
          <w:p w14:paraId="3A76E1C1" w14:textId="77777777" w:rsidR="00641AEE" w:rsidRDefault="0094417B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4 068</w:t>
            </w:r>
            <w:r w:rsidR="00641AEE">
              <w:rPr>
                <w:rFonts w:asciiTheme="minorHAnsi" w:hAnsiTheme="minorHAnsi" w:cstheme="minorHAnsi"/>
              </w:rPr>
              <w:t>,1</w:t>
            </w:r>
          </w:p>
          <w:p w14:paraId="7DBF7071" w14:textId="77777777" w:rsidR="00641AEE" w:rsidRDefault="00641AEE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4 225,7</w:t>
            </w:r>
          </w:p>
        </w:tc>
        <w:tc>
          <w:tcPr>
            <w:tcW w:w="1084" w:type="dxa"/>
          </w:tcPr>
          <w:p w14:paraId="34499C42" w14:textId="77777777" w:rsidR="00641AEE" w:rsidRDefault="00641AEE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</w:p>
          <w:p w14:paraId="06FC5789" w14:textId="77777777" w:rsidR="00641AEE" w:rsidRDefault="00641AEE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4 071,2</w:t>
            </w:r>
          </w:p>
          <w:p w14:paraId="19B6E828" w14:textId="77777777" w:rsidR="00641AEE" w:rsidRDefault="003C730B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4 067,6</w:t>
            </w:r>
          </w:p>
        </w:tc>
        <w:tc>
          <w:tcPr>
            <w:tcW w:w="1084" w:type="dxa"/>
          </w:tcPr>
          <w:p w14:paraId="18F501A7" w14:textId="77777777" w:rsidR="00641AEE" w:rsidRDefault="00641AEE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</w:p>
          <w:p w14:paraId="0A4D2336" w14:textId="77777777" w:rsidR="00641AEE" w:rsidRDefault="0056176F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3 997</w:t>
            </w:r>
            <w:r w:rsidR="00641AEE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6</w:t>
            </w:r>
          </w:p>
          <w:p w14:paraId="4C4C834B" w14:textId="77777777" w:rsidR="00641AEE" w:rsidRDefault="00641AEE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4 038,6</w:t>
            </w:r>
          </w:p>
        </w:tc>
        <w:tc>
          <w:tcPr>
            <w:tcW w:w="1084" w:type="dxa"/>
          </w:tcPr>
          <w:p w14:paraId="2E55A253" w14:textId="77777777" w:rsidR="00641AEE" w:rsidRDefault="00641AEE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  <w:vertAlign w:val="superscript"/>
              </w:rPr>
            </w:pPr>
          </w:p>
          <w:p w14:paraId="264107F8" w14:textId="77777777" w:rsidR="00641AEE" w:rsidRDefault="00641AEE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4 035,5</w:t>
            </w:r>
          </w:p>
          <w:p w14:paraId="27DB8951" w14:textId="77777777" w:rsidR="00641AEE" w:rsidRPr="006C6585" w:rsidRDefault="00641AEE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3 984,6</w:t>
            </w:r>
          </w:p>
        </w:tc>
        <w:tc>
          <w:tcPr>
            <w:tcW w:w="1084" w:type="dxa"/>
          </w:tcPr>
          <w:p w14:paraId="2C2FA232" w14:textId="77777777" w:rsidR="00641AEE" w:rsidRDefault="00641AEE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</w:p>
          <w:p w14:paraId="3A6E33BA" w14:textId="77777777" w:rsidR="00641AEE" w:rsidRDefault="00641AEE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4 221,1</w:t>
            </w:r>
          </w:p>
          <w:p w14:paraId="30C33F10" w14:textId="77777777" w:rsidR="00641AEE" w:rsidRDefault="00641AEE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4 169,6</w:t>
            </w:r>
          </w:p>
        </w:tc>
        <w:tc>
          <w:tcPr>
            <w:tcW w:w="1084" w:type="dxa"/>
          </w:tcPr>
          <w:p w14:paraId="4D571025" w14:textId="77777777" w:rsidR="00641AEE" w:rsidRDefault="00641AEE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</w:p>
          <w:p w14:paraId="20133249" w14:textId="77777777" w:rsidR="00641AEE" w:rsidRDefault="00641AEE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4 397,9</w:t>
            </w:r>
          </w:p>
          <w:p w14:paraId="1B7CE201" w14:textId="77777777" w:rsidR="00641AEE" w:rsidRDefault="00641AEE" w:rsidP="00DB3BE6">
            <w:pPr>
              <w:ind w:left="-271" w:right="180"/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641AEE" w14:paraId="53D22499" w14:textId="77777777" w:rsidTr="00DB3BE6">
        <w:tc>
          <w:tcPr>
            <w:tcW w:w="253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E98FDE5" w14:textId="77777777" w:rsidR="00641AEE" w:rsidRDefault="00641AEE" w:rsidP="00641AEE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Ztráta na vlkm v Kč</w:t>
            </w:r>
          </w:p>
          <w:p w14:paraId="0E511FB9" w14:textId="77777777" w:rsidR="00641AEE" w:rsidRDefault="00641AEE" w:rsidP="00423290">
            <w:pPr>
              <w:ind w:left="284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předpokládaná</w:t>
            </w:r>
          </w:p>
          <w:p w14:paraId="593AB467" w14:textId="77777777" w:rsidR="00641AEE" w:rsidRPr="00FB59F8" w:rsidRDefault="00641AEE" w:rsidP="00423290">
            <w:pPr>
              <w:ind w:left="284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vykázaná</w:t>
            </w:r>
          </w:p>
        </w:tc>
        <w:tc>
          <w:tcPr>
            <w:tcW w:w="1084" w:type="dxa"/>
            <w:tcBorders>
              <w:left w:val="single" w:sz="12" w:space="0" w:color="auto"/>
            </w:tcBorders>
          </w:tcPr>
          <w:p w14:paraId="3C27B619" w14:textId="77777777" w:rsidR="00641AEE" w:rsidRDefault="00641AEE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</w:p>
          <w:p w14:paraId="5A81BF63" w14:textId="77777777" w:rsidR="00641AEE" w:rsidRDefault="0056176F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105,4</w:t>
            </w:r>
          </w:p>
          <w:p w14:paraId="3E981ECB" w14:textId="77777777" w:rsidR="00641AEE" w:rsidRDefault="00641AEE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109,8</w:t>
            </w:r>
          </w:p>
        </w:tc>
        <w:tc>
          <w:tcPr>
            <w:tcW w:w="1084" w:type="dxa"/>
          </w:tcPr>
          <w:p w14:paraId="6CE225D0" w14:textId="77777777" w:rsidR="00641AEE" w:rsidRDefault="00641AEE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</w:p>
          <w:p w14:paraId="3AD1951F" w14:textId="77777777" w:rsidR="00641AEE" w:rsidRDefault="00641AEE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110,9</w:t>
            </w:r>
          </w:p>
          <w:p w14:paraId="1552AA25" w14:textId="77777777" w:rsidR="00641AEE" w:rsidRDefault="0056176F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111,1</w:t>
            </w:r>
          </w:p>
        </w:tc>
        <w:tc>
          <w:tcPr>
            <w:tcW w:w="1084" w:type="dxa"/>
          </w:tcPr>
          <w:p w14:paraId="1F5605CA" w14:textId="77777777" w:rsidR="00641AEE" w:rsidRDefault="00641AEE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</w:p>
          <w:p w14:paraId="4228E0A3" w14:textId="77777777" w:rsidR="00641AEE" w:rsidRDefault="00641AEE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117,8</w:t>
            </w:r>
          </w:p>
          <w:p w14:paraId="353EA748" w14:textId="77777777" w:rsidR="00641AEE" w:rsidRDefault="00641AEE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117,7</w:t>
            </w:r>
          </w:p>
        </w:tc>
        <w:tc>
          <w:tcPr>
            <w:tcW w:w="1084" w:type="dxa"/>
          </w:tcPr>
          <w:p w14:paraId="3FA4355F" w14:textId="77777777" w:rsidR="00641AEE" w:rsidRDefault="00641AEE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</w:p>
          <w:p w14:paraId="19A04A8A" w14:textId="77777777" w:rsidR="00641AEE" w:rsidRDefault="00641AEE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119,0</w:t>
            </w:r>
          </w:p>
          <w:p w14:paraId="35585F7C" w14:textId="77777777" w:rsidR="00641AEE" w:rsidRPr="006C6585" w:rsidRDefault="00954411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117,5</w:t>
            </w:r>
          </w:p>
        </w:tc>
        <w:tc>
          <w:tcPr>
            <w:tcW w:w="1084" w:type="dxa"/>
          </w:tcPr>
          <w:p w14:paraId="1A53D93D" w14:textId="77777777" w:rsidR="00641AEE" w:rsidRDefault="00641AEE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</w:p>
          <w:p w14:paraId="1DC1ADB0" w14:textId="77777777" w:rsidR="00641AEE" w:rsidRDefault="00641AEE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124,9</w:t>
            </w:r>
          </w:p>
          <w:p w14:paraId="2A30F914" w14:textId="77777777" w:rsidR="00641AEE" w:rsidRDefault="00641AEE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123,7</w:t>
            </w:r>
          </w:p>
        </w:tc>
        <w:tc>
          <w:tcPr>
            <w:tcW w:w="1084" w:type="dxa"/>
          </w:tcPr>
          <w:p w14:paraId="33D03A53" w14:textId="77777777" w:rsidR="00641AEE" w:rsidRDefault="00641AEE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</w:p>
          <w:p w14:paraId="565A559F" w14:textId="77777777" w:rsidR="00641AEE" w:rsidRDefault="00641AEE" w:rsidP="00DB3BE6">
            <w:pPr>
              <w:ind w:left="-271" w:right="5"/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129,7</w:t>
            </w:r>
          </w:p>
          <w:p w14:paraId="62939BF0" w14:textId="77777777" w:rsidR="00641AEE" w:rsidRDefault="00641AEE" w:rsidP="00DB3BE6">
            <w:pPr>
              <w:ind w:left="-271" w:right="180"/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</w:tbl>
    <w:p w14:paraId="3FD2D654" w14:textId="7DD937D1" w:rsidR="00135E7C" w:rsidRDefault="00135E7C" w:rsidP="00FB59F8">
      <w:pPr>
        <w:ind w:left="567" w:hanging="567"/>
        <w:jc w:val="both"/>
        <w:rPr>
          <w:rFonts w:asciiTheme="minorHAnsi" w:hAnsiTheme="minorHAnsi" w:cstheme="minorHAnsi"/>
        </w:rPr>
      </w:pPr>
      <w:r w:rsidRPr="00370242">
        <w:rPr>
          <w:rFonts w:asciiTheme="minorHAnsi" w:hAnsiTheme="minorHAnsi" w:cstheme="minorHAnsi"/>
          <w:b/>
          <w:sz w:val="20"/>
          <w:szCs w:val="20"/>
        </w:rPr>
        <w:t>Zdroj: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B59F8">
        <w:rPr>
          <w:rFonts w:asciiTheme="minorHAnsi" w:hAnsiTheme="minorHAnsi" w:cstheme="minorHAnsi"/>
          <w:sz w:val="20"/>
          <w:szCs w:val="20"/>
        </w:rPr>
        <w:tab/>
      </w:r>
      <w:r w:rsidR="0035152B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 xml:space="preserve">mlouvy o závazku veřejné služby a </w:t>
      </w:r>
      <w:r w:rsidR="00FB59F8">
        <w:rPr>
          <w:rFonts w:asciiTheme="minorHAnsi" w:hAnsiTheme="minorHAnsi" w:cstheme="minorHAnsi"/>
          <w:sz w:val="20"/>
          <w:szCs w:val="20"/>
        </w:rPr>
        <w:t>výkazy skutečných nákladů a výnosů z přepravní činnosti ve veřejné drážní dopravě</w:t>
      </w:r>
      <w:r w:rsidR="002863D0">
        <w:rPr>
          <w:rFonts w:asciiTheme="minorHAnsi" w:hAnsiTheme="minorHAnsi" w:cstheme="minorHAnsi"/>
          <w:sz w:val="20"/>
          <w:szCs w:val="20"/>
        </w:rPr>
        <w:t xml:space="preserve"> (zpracované ČD)</w:t>
      </w:r>
      <w:r w:rsidR="00FB59F8">
        <w:rPr>
          <w:rFonts w:asciiTheme="minorHAnsi" w:hAnsiTheme="minorHAnsi" w:cstheme="minorHAnsi"/>
          <w:sz w:val="20"/>
          <w:szCs w:val="20"/>
        </w:rPr>
        <w:t xml:space="preserve"> za příslušné roky. </w:t>
      </w:r>
    </w:p>
    <w:p w14:paraId="167518B4" w14:textId="77777777" w:rsidR="0073444C" w:rsidRDefault="0073444C" w:rsidP="00267DEA">
      <w:pPr>
        <w:ind w:left="142" w:hanging="142"/>
        <w:jc w:val="both"/>
        <w:rPr>
          <w:rFonts w:asciiTheme="minorHAnsi" w:hAnsiTheme="minorHAnsi" w:cstheme="minorHAnsi"/>
        </w:rPr>
      </w:pPr>
    </w:p>
    <w:p w14:paraId="2541701C" w14:textId="6CA47F82" w:rsidR="008E0B5A" w:rsidRDefault="003D3418" w:rsidP="00641AE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Ztráta </w:t>
      </w:r>
      <w:r w:rsidR="00641AEE">
        <w:rPr>
          <w:rFonts w:asciiTheme="minorHAnsi" w:hAnsiTheme="minorHAnsi" w:cstheme="minorHAnsi"/>
        </w:rPr>
        <w:t>na jeden vlakový kilometr</w:t>
      </w:r>
      <w:r w:rsidR="008E0B5A">
        <w:rPr>
          <w:rFonts w:asciiTheme="minorHAnsi" w:hAnsiTheme="minorHAnsi" w:cstheme="minorHAnsi"/>
        </w:rPr>
        <w:t xml:space="preserve"> vykazovaná ČD</w:t>
      </w:r>
      <w:r w:rsidR="000D71FE">
        <w:rPr>
          <w:rFonts w:asciiTheme="minorHAnsi" w:hAnsiTheme="minorHAnsi" w:cstheme="minorHAnsi"/>
        </w:rPr>
        <w:t xml:space="preserve"> za vlaky k zajištění dopravní</w:t>
      </w:r>
      <w:r w:rsidR="008E0B5A">
        <w:rPr>
          <w:rFonts w:asciiTheme="minorHAnsi" w:hAnsiTheme="minorHAnsi" w:cstheme="minorHAnsi"/>
        </w:rPr>
        <w:t xml:space="preserve"> </w:t>
      </w:r>
      <w:r w:rsidR="000D71FE">
        <w:rPr>
          <w:rFonts w:asciiTheme="minorHAnsi" w:hAnsiTheme="minorHAnsi" w:cstheme="minorHAnsi"/>
        </w:rPr>
        <w:t>obslužnosti</w:t>
      </w:r>
      <w:r w:rsidR="008E0B5A">
        <w:rPr>
          <w:rFonts w:asciiTheme="minorHAnsi" w:hAnsiTheme="minorHAnsi" w:cstheme="minorHAnsi"/>
        </w:rPr>
        <w:t xml:space="preserve"> státu</w:t>
      </w:r>
      <w:r w:rsidRPr="003D3418">
        <w:rPr>
          <w:rFonts w:asciiTheme="minorHAnsi" w:hAnsiTheme="minorHAnsi" w:cstheme="minorHAnsi"/>
        </w:rPr>
        <w:t xml:space="preserve"> </w:t>
      </w:r>
      <w:r w:rsidR="008E0B5A">
        <w:rPr>
          <w:rFonts w:asciiTheme="minorHAnsi" w:hAnsiTheme="minorHAnsi" w:cstheme="minorHAnsi"/>
        </w:rPr>
        <w:t>rostla</w:t>
      </w:r>
      <w:r w:rsidR="00641AEE">
        <w:rPr>
          <w:rFonts w:asciiTheme="minorHAnsi" w:hAnsiTheme="minorHAnsi" w:cstheme="minorHAnsi"/>
        </w:rPr>
        <w:t>. V roce 201</w:t>
      </w:r>
      <w:r w:rsidR="00F55992">
        <w:rPr>
          <w:rFonts w:asciiTheme="minorHAnsi" w:hAnsiTheme="minorHAnsi" w:cstheme="minorHAnsi"/>
        </w:rPr>
        <w:t>4</w:t>
      </w:r>
      <w:r w:rsidR="00641AEE">
        <w:rPr>
          <w:rFonts w:asciiTheme="minorHAnsi" w:hAnsiTheme="minorHAnsi" w:cstheme="minorHAnsi"/>
        </w:rPr>
        <w:t xml:space="preserve"> </w:t>
      </w:r>
      <w:r w:rsidR="008E0B5A">
        <w:rPr>
          <w:rFonts w:asciiTheme="minorHAnsi" w:hAnsiTheme="minorHAnsi" w:cstheme="minorHAnsi"/>
        </w:rPr>
        <w:t>byla</w:t>
      </w:r>
      <w:r w:rsidR="00641AEE">
        <w:rPr>
          <w:rFonts w:asciiTheme="minorHAnsi" w:hAnsiTheme="minorHAnsi" w:cstheme="minorHAnsi"/>
        </w:rPr>
        <w:t xml:space="preserve"> </w:t>
      </w:r>
      <w:r w:rsidR="00F55992">
        <w:rPr>
          <w:rFonts w:asciiTheme="minorHAnsi" w:hAnsiTheme="minorHAnsi" w:cstheme="minorHAnsi"/>
        </w:rPr>
        <w:t xml:space="preserve">proti roku 2013 </w:t>
      </w:r>
      <w:r w:rsidR="00641AEE">
        <w:rPr>
          <w:rFonts w:asciiTheme="minorHAnsi" w:hAnsiTheme="minorHAnsi" w:cstheme="minorHAnsi"/>
        </w:rPr>
        <w:t xml:space="preserve">o </w:t>
      </w:r>
      <w:r w:rsidR="00BE77F1">
        <w:rPr>
          <w:rFonts w:asciiTheme="minorHAnsi" w:hAnsiTheme="minorHAnsi" w:cstheme="minorHAnsi"/>
        </w:rPr>
        <w:t>5</w:t>
      </w:r>
      <w:r w:rsidR="00307CD6">
        <w:rPr>
          <w:rFonts w:asciiTheme="minorHAnsi" w:hAnsiTheme="minorHAnsi" w:cstheme="minorHAnsi"/>
        </w:rPr>
        <w:t>,3</w:t>
      </w:r>
      <w:r w:rsidR="0011539D">
        <w:rPr>
          <w:rFonts w:asciiTheme="minorHAnsi" w:hAnsiTheme="minorHAnsi" w:cstheme="minorHAnsi"/>
        </w:rPr>
        <w:t xml:space="preserve"> %</w:t>
      </w:r>
      <w:r w:rsidR="008E0B5A">
        <w:rPr>
          <w:rFonts w:asciiTheme="minorHAnsi" w:hAnsiTheme="minorHAnsi" w:cstheme="minorHAnsi"/>
        </w:rPr>
        <w:t xml:space="preserve"> vyšší. V roce 2015 by měla podle výší dohodnutých ve smlouvách vzrůst o </w:t>
      </w:r>
      <w:r w:rsidR="00307CD6">
        <w:rPr>
          <w:rFonts w:asciiTheme="minorHAnsi" w:hAnsiTheme="minorHAnsi" w:cstheme="minorHAnsi"/>
        </w:rPr>
        <w:t>4,9</w:t>
      </w:r>
      <w:r w:rsidR="008E0B5A">
        <w:rPr>
          <w:rFonts w:asciiTheme="minorHAnsi" w:hAnsiTheme="minorHAnsi" w:cstheme="minorHAnsi"/>
        </w:rPr>
        <w:t xml:space="preserve"> % a měla by být o 18</w:t>
      </w:r>
      <w:r w:rsidR="00307CD6">
        <w:rPr>
          <w:rFonts w:asciiTheme="minorHAnsi" w:hAnsiTheme="minorHAnsi" w:cstheme="minorHAnsi"/>
        </w:rPr>
        <w:t>,1</w:t>
      </w:r>
      <w:r w:rsidR="008E0B5A">
        <w:rPr>
          <w:rFonts w:asciiTheme="minorHAnsi" w:hAnsiTheme="minorHAnsi" w:cstheme="minorHAnsi"/>
        </w:rPr>
        <w:t xml:space="preserve"> % vyšší než v roce 2010. </w:t>
      </w:r>
    </w:p>
    <w:p w14:paraId="5A7696EC" w14:textId="77777777" w:rsidR="00141A20" w:rsidRPr="00C24727" w:rsidRDefault="00141A20" w:rsidP="00641AEE">
      <w:pPr>
        <w:jc w:val="both"/>
        <w:rPr>
          <w:rFonts w:asciiTheme="minorHAnsi" w:hAnsiTheme="minorHAnsi" w:cstheme="minorHAnsi"/>
        </w:rPr>
      </w:pPr>
    </w:p>
    <w:p w14:paraId="1288B0C8" w14:textId="77777777" w:rsidR="001210CC" w:rsidRDefault="00141A20" w:rsidP="00641AE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předpokládaném nárůstu ztráty na jeden vlakový kilometr v roce 2015</w:t>
      </w:r>
      <w:r w:rsidR="0074514D">
        <w:rPr>
          <w:rFonts w:asciiTheme="minorHAnsi" w:hAnsiTheme="minorHAnsi" w:cstheme="minorHAnsi"/>
        </w:rPr>
        <w:t xml:space="preserve"> proti </w:t>
      </w:r>
      <w:r w:rsidR="00AE53D9">
        <w:rPr>
          <w:rFonts w:asciiTheme="minorHAnsi" w:hAnsiTheme="minorHAnsi" w:cstheme="minorHAnsi"/>
        </w:rPr>
        <w:t>roku</w:t>
      </w:r>
      <w:r w:rsidR="008E0B5A">
        <w:rPr>
          <w:rFonts w:asciiTheme="minorHAnsi" w:hAnsiTheme="minorHAnsi" w:cstheme="minorHAnsi"/>
        </w:rPr>
        <w:t xml:space="preserve"> 2014</w:t>
      </w:r>
      <w:r w:rsidR="00D01AEB">
        <w:rPr>
          <w:rFonts w:asciiTheme="minorHAnsi" w:hAnsiTheme="minorHAnsi" w:cstheme="minorHAnsi"/>
        </w:rPr>
        <w:t xml:space="preserve"> se významně podílel nárůst ztráty o 142 % u</w:t>
      </w:r>
      <w:r w:rsidR="0074514D">
        <w:rPr>
          <w:rFonts w:asciiTheme="minorHAnsi" w:hAnsiTheme="minorHAnsi" w:cstheme="minorHAnsi"/>
        </w:rPr>
        <w:t> </w:t>
      </w:r>
      <w:r w:rsidR="00D01AEB">
        <w:rPr>
          <w:rFonts w:asciiTheme="minorHAnsi" w:hAnsiTheme="minorHAnsi" w:cstheme="minorHAnsi"/>
        </w:rPr>
        <w:t xml:space="preserve">linek R14 </w:t>
      </w:r>
      <w:r w:rsidR="00D01AEB" w:rsidRPr="00DB3BE6">
        <w:rPr>
          <w:rFonts w:asciiTheme="minorHAnsi" w:hAnsiTheme="minorHAnsi" w:cstheme="minorHAnsi"/>
        </w:rPr>
        <w:t>Pardubice – Liberec</w:t>
      </w:r>
      <w:r w:rsidR="00D01AEB" w:rsidRPr="00456D72">
        <w:rPr>
          <w:rFonts w:asciiTheme="minorHAnsi" w:hAnsiTheme="minorHAnsi" w:cstheme="minorHAnsi"/>
        </w:rPr>
        <w:t xml:space="preserve"> a R16</w:t>
      </w:r>
      <w:r w:rsidRPr="00D35DCF">
        <w:rPr>
          <w:rFonts w:asciiTheme="minorHAnsi" w:hAnsiTheme="minorHAnsi" w:cstheme="minorHAnsi"/>
        </w:rPr>
        <w:t xml:space="preserve"> </w:t>
      </w:r>
      <w:r w:rsidRPr="00DB3BE6">
        <w:rPr>
          <w:rFonts w:asciiTheme="minorHAnsi" w:hAnsiTheme="minorHAnsi" w:cstheme="minorHAnsi"/>
        </w:rPr>
        <w:t>Plzeň – Most</w:t>
      </w:r>
      <w:r w:rsidR="00D01AEB">
        <w:rPr>
          <w:rFonts w:asciiTheme="minorHAnsi" w:hAnsiTheme="minorHAnsi" w:cstheme="minorHAnsi"/>
        </w:rPr>
        <w:t xml:space="preserve"> </w:t>
      </w:r>
      <w:r w:rsidR="00456C16">
        <w:rPr>
          <w:rFonts w:asciiTheme="minorHAnsi" w:hAnsiTheme="minorHAnsi" w:cstheme="minorHAnsi"/>
        </w:rPr>
        <w:t>(</w:t>
      </w:r>
      <w:r w:rsidR="000F33B8">
        <w:rPr>
          <w:rFonts w:asciiTheme="minorHAnsi" w:hAnsiTheme="minorHAnsi" w:cstheme="minorHAnsi"/>
        </w:rPr>
        <w:t xml:space="preserve">jejich </w:t>
      </w:r>
      <w:r w:rsidR="00456C16">
        <w:rPr>
          <w:rFonts w:asciiTheme="minorHAnsi" w:hAnsiTheme="minorHAnsi" w:cstheme="minorHAnsi"/>
        </w:rPr>
        <w:t>podíl</w:t>
      </w:r>
      <w:r w:rsidR="000F33B8">
        <w:rPr>
          <w:rFonts w:asciiTheme="minorHAnsi" w:hAnsiTheme="minorHAnsi" w:cstheme="minorHAnsi"/>
        </w:rPr>
        <w:t xml:space="preserve"> </w:t>
      </w:r>
      <w:r w:rsidR="00456C16">
        <w:rPr>
          <w:rFonts w:asciiTheme="minorHAnsi" w:hAnsiTheme="minorHAnsi" w:cstheme="minorHAnsi"/>
        </w:rPr>
        <w:t>na</w:t>
      </w:r>
      <w:r w:rsidR="0074514D">
        <w:rPr>
          <w:rFonts w:asciiTheme="minorHAnsi" w:hAnsiTheme="minorHAnsi" w:cstheme="minorHAnsi"/>
        </w:rPr>
        <w:t xml:space="preserve"> celkovém dopravním výkonu</w:t>
      </w:r>
      <w:r w:rsidR="00F11FEC">
        <w:rPr>
          <w:rFonts w:asciiTheme="minorHAnsi" w:hAnsiTheme="minorHAnsi" w:cstheme="minorHAnsi"/>
        </w:rPr>
        <w:t xml:space="preserve"> </w:t>
      </w:r>
      <w:r w:rsidR="0074514D">
        <w:rPr>
          <w:rFonts w:asciiTheme="minorHAnsi" w:hAnsiTheme="minorHAnsi" w:cstheme="minorHAnsi"/>
        </w:rPr>
        <w:t>byl jen</w:t>
      </w:r>
      <w:r w:rsidR="00AE53D9">
        <w:rPr>
          <w:rFonts w:asciiTheme="minorHAnsi" w:hAnsiTheme="minorHAnsi" w:cstheme="minorHAnsi"/>
        </w:rPr>
        <w:t xml:space="preserve"> cca</w:t>
      </w:r>
      <w:r w:rsidR="0074514D">
        <w:rPr>
          <w:rFonts w:asciiTheme="minorHAnsi" w:hAnsiTheme="minorHAnsi" w:cstheme="minorHAnsi"/>
        </w:rPr>
        <w:t xml:space="preserve"> 4 </w:t>
      </w:r>
      <w:r w:rsidR="00456C16">
        <w:rPr>
          <w:rFonts w:asciiTheme="minorHAnsi" w:hAnsiTheme="minorHAnsi" w:cstheme="minorHAnsi"/>
        </w:rPr>
        <w:t>%)</w:t>
      </w:r>
      <w:r>
        <w:rPr>
          <w:rFonts w:asciiTheme="minorHAnsi" w:hAnsiTheme="minorHAnsi" w:cstheme="minorHAnsi"/>
        </w:rPr>
        <w:t>.</w:t>
      </w:r>
      <w:r w:rsidR="00D01AEB">
        <w:rPr>
          <w:rFonts w:asciiTheme="minorHAnsi" w:hAnsiTheme="minorHAnsi" w:cstheme="minorHAnsi"/>
        </w:rPr>
        <w:t xml:space="preserve"> U těchto linek vzrostla </w:t>
      </w:r>
      <w:r w:rsidR="00E76ED0">
        <w:rPr>
          <w:rFonts w:asciiTheme="minorHAnsi" w:hAnsiTheme="minorHAnsi" w:cstheme="minorHAnsi"/>
        </w:rPr>
        <w:t xml:space="preserve">předpokládaná ztráta </w:t>
      </w:r>
      <w:r w:rsidR="00D01AEB">
        <w:rPr>
          <w:rFonts w:asciiTheme="minorHAnsi" w:hAnsiTheme="minorHAnsi" w:cstheme="minorHAnsi"/>
        </w:rPr>
        <w:t xml:space="preserve">skokově, neboť </w:t>
      </w:r>
      <w:r w:rsidR="00E76ED0">
        <w:rPr>
          <w:rFonts w:asciiTheme="minorHAnsi" w:hAnsiTheme="minorHAnsi" w:cstheme="minorHAnsi"/>
        </w:rPr>
        <w:t>v prosinci 2014 skončila možnost uplatnění opce</w:t>
      </w:r>
      <w:r w:rsidR="00D01AEB">
        <w:rPr>
          <w:rFonts w:asciiTheme="minorHAnsi" w:hAnsiTheme="minorHAnsi" w:cstheme="minorHAnsi"/>
        </w:rPr>
        <w:t xml:space="preserve"> podle nabídky ČD ze zadávacího řízení z roku 2005</w:t>
      </w:r>
      <w:r w:rsidR="00E76ED0">
        <w:rPr>
          <w:rFonts w:asciiTheme="minorHAnsi" w:hAnsiTheme="minorHAnsi" w:cstheme="minorHAnsi"/>
        </w:rPr>
        <w:t xml:space="preserve"> (viz výše)</w:t>
      </w:r>
      <w:r w:rsidR="00D01AEB">
        <w:rPr>
          <w:rFonts w:asciiTheme="minorHAnsi" w:hAnsiTheme="minorHAnsi" w:cstheme="minorHAnsi"/>
        </w:rPr>
        <w:t>.</w:t>
      </w:r>
      <w:r w:rsidR="00E76ED0">
        <w:rPr>
          <w:rFonts w:asciiTheme="minorHAnsi" w:hAnsiTheme="minorHAnsi" w:cstheme="minorHAnsi"/>
        </w:rPr>
        <w:t xml:space="preserve"> </w:t>
      </w:r>
      <w:r w:rsidR="001210CC">
        <w:rPr>
          <w:rFonts w:asciiTheme="minorHAnsi" w:hAnsiTheme="minorHAnsi" w:cstheme="minorHAnsi"/>
        </w:rPr>
        <w:t xml:space="preserve">Problematika, proč MD na tyto </w:t>
      </w:r>
      <w:r w:rsidR="000F33B8">
        <w:rPr>
          <w:rFonts w:asciiTheme="minorHAnsi" w:hAnsiTheme="minorHAnsi" w:cstheme="minorHAnsi"/>
        </w:rPr>
        <w:t>linky</w:t>
      </w:r>
      <w:r w:rsidR="00E76ED0">
        <w:rPr>
          <w:rFonts w:asciiTheme="minorHAnsi" w:hAnsiTheme="minorHAnsi" w:cstheme="minorHAnsi"/>
        </w:rPr>
        <w:t xml:space="preserve"> nevyhlásilo včas nabídkové řízení</w:t>
      </w:r>
      <w:r w:rsidR="001210CC">
        <w:rPr>
          <w:rFonts w:asciiTheme="minorHAnsi" w:hAnsiTheme="minorHAnsi" w:cstheme="minorHAnsi"/>
        </w:rPr>
        <w:t>, je rozvedena v</w:t>
      </w:r>
      <w:r w:rsidR="00AE53D9">
        <w:rPr>
          <w:rFonts w:asciiTheme="minorHAnsi" w:hAnsiTheme="minorHAnsi" w:cstheme="minorHAnsi"/>
        </w:rPr>
        <w:t> bodu</w:t>
      </w:r>
      <w:r w:rsidR="001210CC">
        <w:rPr>
          <w:rFonts w:asciiTheme="minorHAnsi" w:hAnsiTheme="minorHAnsi" w:cstheme="minorHAnsi"/>
        </w:rPr>
        <w:t xml:space="preserve"> 4</w:t>
      </w:r>
      <w:r w:rsidR="00AE53D9">
        <w:rPr>
          <w:rFonts w:asciiTheme="minorHAnsi" w:hAnsiTheme="minorHAnsi" w:cstheme="minorHAnsi"/>
        </w:rPr>
        <w:t xml:space="preserve"> této části</w:t>
      </w:r>
      <w:r w:rsidR="001210CC">
        <w:rPr>
          <w:rFonts w:asciiTheme="minorHAnsi" w:hAnsiTheme="minorHAnsi" w:cstheme="minorHAnsi"/>
        </w:rPr>
        <w:t xml:space="preserve"> kontrolního závěru.</w:t>
      </w:r>
      <w:r w:rsidR="0042089E">
        <w:rPr>
          <w:rFonts w:asciiTheme="minorHAnsi" w:hAnsiTheme="minorHAnsi" w:cstheme="minorHAnsi"/>
        </w:rPr>
        <w:t xml:space="preserve"> </w:t>
      </w:r>
      <w:r w:rsidR="001210CC">
        <w:rPr>
          <w:rFonts w:asciiTheme="minorHAnsi" w:hAnsiTheme="minorHAnsi" w:cstheme="minorHAnsi"/>
        </w:rPr>
        <w:t xml:space="preserve">  </w:t>
      </w:r>
    </w:p>
    <w:p w14:paraId="20F2A25A" w14:textId="77777777" w:rsidR="00636D06" w:rsidRDefault="00636D06" w:rsidP="00641AEE">
      <w:pPr>
        <w:jc w:val="both"/>
        <w:rPr>
          <w:rFonts w:asciiTheme="minorHAnsi" w:hAnsiTheme="minorHAnsi" w:cstheme="minorHAnsi"/>
          <w:b/>
        </w:rPr>
      </w:pPr>
    </w:p>
    <w:p w14:paraId="174B2B4B" w14:textId="77777777" w:rsidR="00446221" w:rsidRDefault="00446221" w:rsidP="00641AEE">
      <w:pPr>
        <w:jc w:val="both"/>
        <w:rPr>
          <w:rFonts w:asciiTheme="minorHAnsi" w:hAnsiTheme="minorHAnsi" w:cstheme="minorHAnsi"/>
          <w:b/>
        </w:rPr>
      </w:pPr>
    </w:p>
    <w:p w14:paraId="39C8927F" w14:textId="08AB4323" w:rsidR="002A2C78" w:rsidRDefault="00D72211" w:rsidP="00641AE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2.2 </w:t>
      </w:r>
      <w:r w:rsidR="00797EC8">
        <w:rPr>
          <w:rFonts w:asciiTheme="minorHAnsi" w:hAnsiTheme="minorHAnsi" w:cstheme="minorHAnsi"/>
          <w:b/>
        </w:rPr>
        <w:t xml:space="preserve">V letech 2010 až 2014 </w:t>
      </w:r>
      <w:r w:rsidR="00A40108">
        <w:rPr>
          <w:rFonts w:asciiTheme="minorHAnsi" w:hAnsiTheme="minorHAnsi" w:cstheme="minorHAnsi"/>
          <w:b/>
        </w:rPr>
        <w:t>obdržely</w:t>
      </w:r>
      <w:r w:rsidR="00797EC8">
        <w:rPr>
          <w:rFonts w:asciiTheme="minorHAnsi" w:hAnsiTheme="minorHAnsi" w:cstheme="minorHAnsi"/>
          <w:b/>
        </w:rPr>
        <w:t xml:space="preserve"> ČD na zajišťování osobní dopravy dotace v průměrné roční výši 12 762,1 mil. Kč, z toho dotace</w:t>
      </w:r>
      <w:r w:rsidR="002A2C78">
        <w:rPr>
          <w:rFonts w:asciiTheme="minorHAnsi" w:hAnsiTheme="minorHAnsi" w:cstheme="minorHAnsi"/>
          <w:b/>
        </w:rPr>
        <w:t xml:space="preserve"> ze státního rozpočtu</w:t>
      </w:r>
      <w:r w:rsidR="00874F43">
        <w:rPr>
          <w:rFonts w:asciiTheme="minorHAnsi" w:hAnsiTheme="minorHAnsi" w:cstheme="minorHAnsi"/>
          <w:b/>
        </w:rPr>
        <w:t xml:space="preserve"> n</w:t>
      </w:r>
      <w:r w:rsidR="00797EC8">
        <w:rPr>
          <w:rFonts w:asciiTheme="minorHAnsi" w:hAnsiTheme="minorHAnsi" w:cstheme="minorHAnsi"/>
          <w:b/>
        </w:rPr>
        <w:t xml:space="preserve">a vlaky objednávané MD byla 4 084,3 mil. Kč. ČD </w:t>
      </w:r>
      <w:r w:rsidR="00307CD6">
        <w:rPr>
          <w:rFonts w:asciiTheme="minorHAnsi" w:hAnsiTheme="minorHAnsi" w:cstheme="minorHAnsi"/>
          <w:b/>
        </w:rPr>
        <w:t>i tak</w:t>
      </w:r>
      <w:r w:rsidR="00811CD0">
        <w:rPr>
          <w:rFonts w:asciiTheme="minorHAnsi" w:hAnsiTheme="minorHAnsi" w:cstheme="minorHAnsi"/>
          <w:b/>
        </w:rPr>
        <w:t xml:space="preserve"> vykázaly v letech 2010 až 201</w:t>
      </w:r>
      <w:r w:rsidR="005725D5">
        <w:rPr>
          <w:rFonts w:asciiTheme="minorHAnsi" w:hAnsiTheme="minorHAnsi" w:cstheme="minorHAnsi"/>
          <w:b/>
        </w:rPr>
        <w:t>3</w:t>
      </w:r>
      <w:r w:rsidR="00811CD0">
        <w:rPr>
          <w:rFonts w:asciiTheme="minorHAnsi" w:hAnsiTheme="minorHAnsi" w:cstheme="minorHAnsi"/>
          <w:b/>
        </w:rPr>
        <w:t xml:space="preserve"> </w:t>
      </w:r>
      <w:r w:rsidR="00797EC8">
        <w:rPr>
          <w:rFonts w:asciiTheme="minorHAnsi" w:hAnsiTheme="minorHAnsi" w:cstheme="minorHAnsi"/>
          <w:b/>
        </w:rPr>
        <w:t>z provozování osobní dopravy ztrátu</w:t>
      </w:r>
      <w:r w:rsidR="00811CD0">
        <w:rPr>
          <w:rFonts w:asciiTheme="minorHAnsi" w:hAnsiTheme="minorHAnsi" w:cstheme="minorHAnsi"/>
          <w:b/>
        </w:rPr>
        <w:t xml:space="preserve"> v průměrné roční výši 1 040,6 mil. Kč a v</w:t>
      </w:r>
      <w:r w:rsidR="00C33340">
        <w:rPr>
          <w:rFonts w:asciiTheme="minorHAnsi" w:hAnsiTheme="minorHAnsi" w:cstheme="minorHAnsi"/>
          <w:b/>
        </w:rPr>
        <w:t> </w:t>
      </w:r>
      <w:r w:rsidR="00811CD0">
        <w:rPr>
          <w:rFonts w:asciiTheme="minorHAnsi" w:hAnsiTheme="minorHAnsi" w:cstheme="minorHAnsi"/>
          <w:b/>
        </w:rPr>
        <w:t>roce</w:t>
      </w:r>
      <w:r w:rsidR="00C33340">
        <w:rPr>
          <w:rFonts w:asciiTheme="minorHAnsi" w:hAnsiTheme="minorHAnsi" w:cstheme="minorHAnsi"/>
          <w:b/>
        </w:rPr>
        <w:t xml:space="preserve"> 2014 ve výši 495,9 mil. Kč. </w:t>
      </w:r>
      <w:r w:rsidR="002A2C78">
        <w:rPr>
          <w:rFonts w:asciiTheme="minorHAnsi" w:hAnsiTheme="minorHAnsi" w:cstheme="minorHAnsi"/>
          <w:b/>
        </w:rPr>
        <w:t>Za vlaky objednávané MD vykázaly v</w:t>
      </w:r>
      <w:r w:rsidR="00C33340">
        <w:rPr>
          <w:rFonts w:asciiTheme="minorHAnsi" w:hAnsiTheme="minorHAnsi" w:cstheme="minorHAnsi"/>
          <w:b/>
        </w:rPr>
        <w:t> </w:t>
      </w:r>
      <w:r w:rsidR="002A2C78">
        <w:rPr>
          <w:rFonts w:asciiTheme="minorHAnsi" w:hAnsiTheme="minorHAnsi" w:cstheme="minorHAnsi"/>
          <w:b/>
        </w:rPr>
        <w:t>letech</w:t>
      </w:r>
      <w:r w:rsidR="00C33340">
        <w:rPr>
          <w:rFonts w:asciiTheme="minorHAnsi" w:hAnsiTheme="minorHAnsi" w:cstheme="minorHAnsi"/>
          <w:b/>
        </w:rPr>
        <w:t xml:space="preserve"> 2011, 2013 a 2014 mírný zisk</w:t>
      </w:r>
      <w:r w:rsidR="0088618C">
        <w:rPr>
          <w:rFonts w:asciiTheme="minorHAnsi" w:hAnsiTheme="minorHAnsi" w:cstheme="minorHAnsi"/>
          <w:b/>
        </w:rPr>
        <w:t xml:space="preserve"> v rozsahu od 4,7 mil. Kč do</w:t>
      </w:r>
      <w:r w:rsidR="006A136B">
        <w:rPr>
          <w:rFonts w:asciiTheme="minorHAnsi" w:hAnsiTheme="minorHAnsi" w:cstheme="minorHAnsi"/>
          <w:b/>
        </w:rPr>
        <w:t> </w:t>
      </w:r>
      <w:r w:rsidR="0088618C">
        <w:rPr>
          <w:rFonts w:asciiTheme="minorHAnsi" w:hAnsiTheme="minorHAnsi" w:cstheme="minorHAnsi"/>
          <w:b/>
        </w:rPr>
        <w:t>60,6 mil. Kč</w:t>
      </w:r>
      <w:r w:rsidR="00C33340">
        <w:rPr>
          <w:rFonts w:asciiTheme="minorHAnsi" w:hAnsiTheme="minorHAnsi" w:cstheme="minorHAnsi"/>
          <w:b/>
        </w:rPr>
        <w:t xml:space="preserve"> a v letech 2010 a 2012 ztrátu </w:t>
      </w:r>
      <w:r w:rsidR="002A2C78">
        <w:rPr>
          <w:rFonts w:asciiTheme="minorHAnsi" w:hAnsiTheme="minorHAnsi" w:cstheme="minorHAnsi"/>
          <w:b/>
        </w:rPr>
        <w:t>v</w:t>
      </w:r>
      <w:r w:rsidR="0088618C">
        <w:rPr>
          <w:rFonts w:asciiTheme="minorHAnsi" w:hAnsiTheme="minorHAnsi" w:cstheme="minorHAnsi"/>
          <w:b/>
        </w:rPr>
        <w:t>e</w:t>
      </w:r>
      <w:r w:rsidR="002A2C78">
        <w:rPr>
          <w:rFonts w:asciiTheme="minorHAnsi" w:hAnsiTheme="minorHAnsi" w:cstheme="minorHAnsi"/>
          <w:b/>
        </w:rPr>
        <w:t xml:space="preserve"> výši </w:t>
      </w:r>
      <w:r w:rsidR="0088618C">
        <w:rPr>
          <w:rFonts w:asciiTheme="minorHAnsi" w:hAnsiTheme="minorHAnsi" w:cstheme="minorHAnsi"/>
          <w:b/>
        </w:rPr>
        <w:t>156,1</w:t>
      </w:r>
      <w:r w:rsidR="002A2C78">
        <w:rPr>
          <w:rFonts w:asciiTheme="minorHAnsi" w:hAnsiTheme="minorHAnsi" w:cstheme="minorHAnsi"/>
          <w:b/>
        </w:rPr>
        <w:t xml:space="preserve"> mil. Kč</w:t>
      </w:r>
      <w:r w:rsidR="0088618C">
        <w:rPr>
          <w:rFonts w:asciiTheme="minorHAnsi" w:hAnsiTheme="minorHAnsi" w:cstheme="minorHAnsi"/>
          <w:b/>
        </w:rPr>
        <w:t xml:space="preserve"> a 29,8 mil. Kč</w:t>
      </w:r>
      <w:r w:rsidR="00874F43">
        <w:rPr>
          <w:rFonts w:asciiTheme="minorHAnsi" w:hAnsiTheme="minorHAnsi" w:cstheme="minorHAnsi"/>
          <w:b/>
        </w:rPr>
        <w:t>.</w:t>
      </w:r>
    </w:p>
    <w:p w14:paraId="5EA8D918" w14:textId="77777777" w:rsidR="006A7130" w:rsidRDefault="006A7130" w:rsidP="00641AEE">
      <w:pPr>
        <w:jc w:val="both"/>
        <w:rPr>
          <w:rFonts w:asciiTheme="minorHAnsi" w:hAnsiTheme="minorHAnsi" w:cstheme="minorHAnsi"/>
          <w:b/>
        </w:rPr>
      </w:pPr>
    </w:p>
    <w:p w14:paraId="0E9D4816" w14:textId="442F8B6A" w:rsidR="00491E06" w:rsidRDefault="00874F43" w:rsidP="00641AE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Výsledk</w:t>
      </w:r>
      <w:r w:rsidR="00C24727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hospodaření ČD za celou osobní dopravu a</w:t>
      </w:r>
      <w:r w:rsidR="00C2472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 vlaky celostátní dopravy objednávané MD za roky 2010 až 2014 j</w:t>
      </w:r>
      <w:r w:rsidR="00C24727">
        <w:rPr>
          <w:rFonts w:asciiTheme="minorHAnsi" w:hAnsiTheme="minorHAnsi" w:cstheme="minorHAnsi"/>
        </w:rPr>
        <w:t>sou</w:t>
      </w:r>
      <w:r>
        <w:rPr>
          <w:rFonts w:asciiTheme="minorHAnsi" w:hAnsiTheme="minorHAnsi" w:cstheme="minorHAnsi"/>
        </w:rPr>
        <w:t xml:space="preserve"> uveden</w:t>
      </w:r>
      <w:r w:rsidR="00C24727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v</w:t>
      </w:r>
      <w:r w:rsidR="0042089E">
        <w:rPr>
          <w:rFonts w:asciiTheme="minorHAnsi" w:hAnsiTheme="minorHAnsi" w:cstheme="minorHAnsi"/>
        </w:rPr>
        <w:t> tabulkách</w:t>
      </w:r>
      <w:r w:rsidR="00D72211">
        <w:rPr>
          <w:rFonts w:asciiTheme="minorHAnsi" w:hAnsiTheme="minorHAnsi" w:cstheme="minorHAnsi"/>
        </w:rPr>
        <w:t xml:space="preserve"> č. 3</w:t>
      </w:r>
      <w:r w:rsidR="0042089E">
        <w:rPr>
          <w:rFonts w:asciiTheme="minorHAnsi" w:hAnsiTheme="minorHAnsi" w:cstheme="minorHAnsi"/>
        </w:rPr>
        <w:t xml:space="preserve"> a 4</w:t>
      </w:r>
      <w:r w:rsidR="00491E06">
        <w:rPr>
          <w:rFonts w:asciiTheme="minorHAnsi" w:hAnsiTheme="minorHAnsi" w:cstheme="minorHAnsi"/>
        </w:rPr>
        <w:t xml:space="preserve">. </w:t>
      </w:r>
    </w:p>
    <w:p w14:paraId="42E329B7" w14:textId="77777777" w:rsidR="0011539D" w:rsidRDefault="0011539D" w:rsidP="00641AEE">
      <w:pPr>
        <w:jc w:val="both"/>
        <w:rPr>
          <w:rFonts w:asciiTheme="minorHAnsi" w:hAnsiTheme="minorHAnsi" w:cstheme="minorHAnsi"/>
        </w:rPr>
      </w:pPr>
    </w:p>
    <w:p w14:paraId="1FC43463" w14:textId="77777777" w:rsidR="00491E06" w:rsidRPr="00491E06" w:rsidRDefault="00491E06" w:rsidP="00423290">
      <w:pPr>
        <w:tabs>
          <w:tab w:val="right" w:pos="9072"/>
        </w:tabs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Tabulka č. 3 – Výsledek hospodaření osobní dopravy ČD</w:t>
      </w:r>
      <w:r w:rsidR="0042329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 w:rsidRPr="00DB3BE6">
        <w:rPr>
          <w:rFonts w:asciiTheme="minorHAnsi" w:hAnsiTheme="minorHAnsi" w:cstheme="minorHAnsi"/>
          <w:b/>
        </w:rPr>
        <w:t>(</w:t>
      </w:r>
      <w:r w:rsidR="00893291" w:rsidRPr="00DB3BE6">
        <w:rPr>
          <w:rFonts w:asciiTheme="minorHAnsi" w:hAnsiTheme="minorHAnsi" w:cstheme="minorHAnsi"/>
          <w:b/>
        </w:rPr>
        <w:t>v </w:t>
      </w:r>
      <w:r w:rsidRPr="00DB3BE6">
        <w:rPr>
          <w:rFonts w:asciiTheme="minorHAnsi" w:hAnsiTheme="minorHAnsi" w:cstheme="minorHAnsi"/>
          <w:b/>
        </w:rPr>
        <w:t>mil. Kč)</w:t>
      </w:r>
    </w:p>
    <w:tbl>
      <w:tblPr>
        <w:tblStyle w:val="Mkatabulky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21"/>
        <w:gridCol w:w="1130"/>
        <w:gridCol w:w="1130"/>
        <w:gridCol w:w="1130"/>
        <w:gridCol w:w="1130"/>
        <w:gridCol w:w="1131"/>
      </w:tblGrid>
      <w:tr w:rsidR="00491E06" w14:paraId="43CEC4D4" w14:textId="77777777" w:rsidTr="005725D5"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A8AD0" w14:textId="77777777" w:rsidR="00491E06" w:rsidRDefault="00491E06" w:rsidP="00491E06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4C2707" w14:textId="77777777" w:rsidR="00491E06" w:rsidRPr="00F158D2" w:rsidRDefault="00491E06" w:rsidP="00491E06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2010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</w:tcPr>
          <w:p w14:paraId="52820CBC" w14:textId="77777777" w:rsidR="00491E06" w:rsidRPr="00F158D2" w:rsidRDefault="00491E06" w:rsidP="00491E06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2011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</w:tcPr>
          <w:p w14:paraId="622F764A" w14:textId="77777777" w:rsidR="00491E06" w:rsidRPr="00F158D2" w:rsidRDefault="00491E06" w:rsidP="00491E06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2012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</w:tcPr>
          <w:p w14:paraId="51D9E799" w14:textId="77777777" w:rsidR="00491E06" w:rsidRPr="00F158D2" w:rsidRDefault="00491E06" w:rsidP="00491E06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2013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6B5F2" w14:textId="77777777" w:rsidR="00491E06" w:rsidRPr="00F158D2" w:rsidRDefault="00491E06" w:rsidP="00491E06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2014</w:t>
            </w:r>
          </w:p>
        </w:tc>
      </w:tr>
      <w:tr w:rsidR="00491E06" w14:paraId="7A23F5FE" w14:textId="77777777" w:rsidTr="005725D5"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61D088" w14:textId="77777777" w:rsidR="00491E06" w:rsidRDefault="00491E06" w:rsidP="00491E06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Náklady celkem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89D13E" w14:textId="77777777" w:rsidR="0058366E" w:rsidRDefault="0058366E" w:rsidP="00423290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19 935,1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</w:tcPr>
          <w:p w14:paraId="772CF749" w14:textId="77777777" w:rsidR="00A56E84" w:rsidRDefault="00A56E84" w:rsidP="00423290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20 103,9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</w:tcPr>
          <w:p w14:paraId="13179B77" w14:textId="77777777" w:rsidR="00562CE3" w:rsidRDefault="0042089E" w:rsidP="00423290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20 469,7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</w:tcPr>
          <w:p w14:paraId="0BB3E619" w14:textId="77777777" w:rsidR="00562CE3" w:rsidRDefault="00562CE3" w:rsidP="00423290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21 269,8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EF399" w14:textId="77777777" w:rsidR="00562CE3" w:rsidRDefault="00562CE3" w:rsidP="00423290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21 269,6</w:t>
            </w:r>
          </w:p>
        </w:tc>
      </w:tr>
      <w:tr w:rsidR="00491E06" w14:paraId="604B64DD" w14:textId="77777777" w:rsidTr="005725D5"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A10111" w14:textId="77777777" w:rsidR="008269DC" w:rsidRDefault="008269DC" w:rsidP="0042089E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Výnosy celkem</w:t>
            </w:r>
          </w:p>
          <w:p w14:paraId="4BB2C350" w14:textId="77777777" w:rsidR="008269DC" w:rsidRPr="008269DC" w:rsidRDefault="008269DC" w:rsidP="008269DC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69DC">
              <w:rPr>
                <w:rFonts w:asciiTheme="minorHAnsi" w:hAnsiTheme="minorHAnsi" w:cstheme="minorHAnsi"/>
                <w:sz w:val="22"/>
                <w:szCs w:val="22"/>
              </w:rPr>
              <w:t>z toho: t</w:t>
            </w:r>
            <w:r w:rsidR="001965B5" w:rsidRPr="008269DC">
              <w:rPr>
                <w:rFonts w:asciiTheme="minorHAnsi" w:hAnsiTheme="minorHAnsi" w:cstheme="minorHAnsi"/>
                <w:sz w:val="22"/>
                <w:szCs w:val="22"/>
              </w:rPr>
              <w:t>ržby</w:t>
            </w:r>
          </w:p>
          <w:p w14:paraId="23FBC19C" w14:textId="77777777" w:rsidR="00491E06" w:rsidRPr="00FB59F8" w:rsidRDefault="008269DC" w:rsidP="00423290">
            <w:pPr>
              <w:ind w:left="680"/>
              <w:contextualSpacing/>
              <w:jc w:val="both"/>
              <w:rPr>
                <w:rFonts w:asciiTheme="minorHAnsi" w:hAnsiTheme="minorHAnsi" w:cstheme="minorHAnsi"/>
              </w:rPr>
            </w:pPr>
            <w:r w:rsidRPr="008269DC">
              <w:rPr>
                <w:rFonts w:asciiTheme="minorHAnsi" w:hAnsiTheme="minorHAnsi" w:cstheme="minorHAnsi"/>
                <w:sz w:val="22"/>
                <w:szCs w:val="22"/>
              </w:rPr>
              <w:t>dotace</w:t>
            </w:r>
            <w:r w:rsidR="00491E0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</w:tcBorders>
          </w:tcPr>
          <w:p w14:paraId="0C3F4695" w14:textId="77777777" w:rsidR="008269DC" w:rsidRDefault="008269DC" w:rsidP="00423290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18 910,5</w:t>
            </w:r>
          </w:p>
          <w:p w14:paraId="72836B7D" w14:textId="77777777" w:rsidR="001965B5" w:rsidRPr="008269DC" w:rsidRDefault="001965B5" w:rsidP="00423290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269DC">
              <w:rPr>
                <w:rFonts w:asciiTheme="minorHAnsi" w:hAnsiTheme="minorHAnsi" w:cstheme="minorHAnsi"/>
                <w:sz w:val="22"/>
                <w:szCs w:val="22"/>
              </w:rPr>
              <w:t>6 525,8</w:t>
            </w:r>
          </w:p>
          <w:p w14:paraId="36BF7E71" w14:textId="77777777" w:rsidR="008269DC" w:rsidRDefault="008269DC" w:rsidP="00423290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8269DC">
              <w:rPr>
                <w:rFonts w:asciiTheme="minorHAnsi" w:hAnsiTheme="minorHAnsi" w:cstheme="minorHAnsi"/>
                <w:sz w:val="22"/>
                <w:szCs w:val="22"/>
              </w:rPr>
              <w:t>12 384,7</w:t>
            </w:r>
          </w:p>
        </w:tc>
        <w:tc>
          <w:tcPr>
            <w:tcW w:w="1130" w:type="dxa"/>
            <w:tcBorders>
              <w:top w:val="single" w:sz="12" w:space="0" w:color="auto"/>
            </w:tcBorders>
          </w:tcPr>
          <w:p w14:paraId="6B627B68" w14:textId="77777777" w:rsidR="008269DC" w:rsidRDefault="00954411" w:rsidP="00423290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19 172,5</w:t>
            </w:r>
          </w:p>
          <w:p w14:paraId="3C253420" w14:textId="77777777" w:rsidR="004C0392" w:rsidRPr="008269DC" w:rsidRDefault="004C0392" w:rsidP="00423290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269DC">
              <w:rPr>
                <w:rFonts w:asciiTheme="minorHAnsi" w:hAnsiTheme="minorHAnsi" w:cstheme="minorHAnsi"/>
                <w:sz w:val="22"/>
                <w:szCs w:val="22"/>
              </w:rPr>
              <w:t>6 726,1</w:t>
            </w:r>
          </w:p>
          <w:p w14:paraId="7A4D8677" w14:textId="77777777" w:rsidR="008269DC" w:rsidRDefault="008269DC" w:rsidP="00423290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8269DC">
              <w:rPr>
                <w:rFonts w:asciiTheme="minorHAnsi" w:hAnsiTheme="minorHAnsi" w:cstheme="minorHAnsi"/>
                <w:sz w:val="22"/>
                <w:szCs w:val="22"/>
              </w:rPr>
              <w:t>12 446,4</w:t>
            </w:r>
          </w:p>
        </w:tc>
        <w:tc>
          <w:tcPr>
            <w:tcW w:w="1130" w:type="dxa"/>
            <w:tcBorders>
              <w:top w:val="single" w:sz="12" w:space="0" w:color="auto"/>
            </w:tcBorders>
          </w:tcPr>
          <w:p w14:paraId="0B2C7114" w14:textId="77777777" w:rsidR="008269DC" w:rsidRDefault="008269DC" w:rsidP="00423290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19 565,4</w:t>
            </w:r>
          </w:p>
          <w:p w14:paraId="42FACAD5" w14:textId="77777777" w:rsidR="004C0392" w:rsidRPr="008269DC" w:rsidRDefault="004C0392" w:rsidP="00423290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269DC">
              <w:rPr>
                <w:rFonts w:asciiTheme="minorHAnsi" w:hAnsiTheme="minorHAnsi" w:cstheme="minorHAnsi"/>
                <w:sz w:val="22"/>
                <w:szCs w:val="22"/>
              </w:rPr>
              <w:t>6 998,2</w:t>
            </w:r>
          </w:p>
          <w:p w14:paraId="2A441A8F" w14:textId="77777777" w:rsidR="008269DC" w:rsidRPr="006C6585" w:rsidRDefault="008269DC" w:rsidP="00423290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8269DC">
              <w:rPr>
                <w:rFonts w:asciiTheme="minorHAnsi" w:hAnsiTheme="minorHAnsi" w:cstheme="minorHAnsi"/>
                <w:sz w:val="22"/>
                <w:szCs w:val="22"/>
              </w:rPr>
              <w:t>12 567,2</w:t>
            </w:r>
          </w:p>
        </w:tc>
        <w:tc>
          <w:tcPr>
            <w:tcW w:w="1130" w:type="dxa"/>
            <w:tcBorders>
              <w:top w:val="single" w:sz="12" w:space="0" w:color="auto"/>
            </w:tcBorders>
          </w:tcPr>
          <w:p w14:paraId="11BB96E0" w14:textId="77777777" w:rsidR="008269DC" w:rsidRDefault="008269DC" w:rsidP="00423290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19 967,7</w:t>
            </w:r>
          </w:p>
          <w:p w14:paraId="6497C852" w14:textId="77777777" w:rsidR="00845797" w:rsidRPr="008269DC" w:rsidRDefault="00845797" w:rsidP="00423290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269DC">
              <w:rPr>
                <w:rFonts w:asciiTheme="minorHAnsi" w:hAnsiTheme="minorHAnsi" w:cstheme="minorHAnsi"/>
                <w:sz w:val="22"/>
                <w:szCs w:val="22"/>
              </w:rPr>
              <w:t>6 990,6</w:t>
            </w:r>
          </w:p>
          <w:p w14:paraId="2DECCD6E" w14:textId="77777777" w:rsidR="008269DC" w:rsidRDefault="008269DC" w:rsidP="00423290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8269DC">
              <w:rPr>
                <w:rFonts w:asciiTheme="minorHAnsi" w:hAnsiTheme="minorHAnsi" w:cstheme="minorHAnsi"/>
                <w:sz w:val="22"/>
                <w:szCs w:val="22"/>
              </w:rPr>
              <w:t>12 977,1</w:t>
            </w:r>
          </w:p>
        </w:tc>
        <w:tc>
          <w:tcPr>
            <w:tcW w:w="1131" w:type="dxa"/>
            <w:tcBorders>
              <w:top w:val="single" w:sz="12" w:space="0" w:color="auto"/>
              <w:right w:val="single" w:sz="12" w:space="0" w:color="auto"/>
            </w:tcBorders>
          </w:tcPr>
          <w:p w14:paraId="7091AE0E" w14:textId="77777777" w:rsidR="008269DC" w:rsidRDefault="008269DC" w:rsidP="00423290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20 773,7</w:t>
            </w:r>
          </w:p>
          <w:p w14:paraId="1FCF38AA" w14:textId="77777777" w:rsidR="00845797" w:rsidRPr="008269DC" w:rsidRDefault="00845797" w:rsidP="00423290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269DC">
              <w:rPr>
                <w:rFonts w:asciiTheme="minorHAnsi" w:hAnsiTheme="minorHAnsi" w:cstheme="minorHAnsi"/>
                <w:sz w:val="22"/>
                <w:szCs w:val="22"/>
              </w:rPr>
              <w:t>7 338,8</w:t>
            </w:r>
          </w:p>
          <w:p w14:paraId="6BBD82AF" w14:textId="77777777" w:rsidR="008269DC" w:rsidRDefault="008269DC" w:rsidP="00423290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8269DC">
              <w:rPr>
                <w:rFonts w:asciiTheme="minorHAnsi" w:hAnsiTheme="minorHAnsi" w:cstheme="minorHAnsi"/>
                <w:sz w:val="22"/>
                <w:szCs w:val="22"/>
              </w:rPr>
              <w:t>13 434,9</w:t>
            </w:r>
          </w:p>
        </w:tc>
      </w:tr>
      <w:tr w:rsidR="00491E06" w14:paraId="722E89E7" w14:textId="77777777" w:rsidTr="00DB3BE6"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964B3" w14:textId="77777777" w:rsidR="00491E06" w:rsidRPr="00FB59F8" w:rsidRDefault="0042089E" w:rsidP="00491E06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Výsledek hospodaření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490EE1" w14:textId="6F044B61" w:rsidR="0058366E" w:rsidRDefault="00684A66" w:rsidP="00DB3BE6">
            <w:pPr>
              <w:ind w:left="-170"/>
              <w:contextualSpacing/>
              <w:jc w:val="right"/>
              <w:rPr>
                <w:rFonts w:asciiTheme="minorHAnsi" w:hAnsiTheme="minorHAnsi" w:cstheme="minorHAnsi"/>
              </w:rPr>
            </w:pPr>
            <w:r w:rsidRPr="003E6525">
              <w:rPr>
                <w:rFonts w:ascii="Calibri" w:hAnsi="Calibri" w:cs="Calibri"/>
              </w:rPr>
              <w:t>−</w:t>
            </w:r>
            <w:r w:rsidR="0058366E">
              <w:rPr>
                <w:rFonts w:asciiTheme="minorHAnsi" w:hAnsiTheme="minorHAnsi" w:cstheme="minorHAnsi"/>
              </w:rPr>
              <w:t>1 024,6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CC9E23" w14:textId="12CCBB55" w:rsidR="00562CE3" w:rsidRDefault="00684A66" w:rsidP="00DB3BE6">
            <w:pPr>
              <w:ind w:left="-170"/>
              <w:contextualSpacing/>
              <w:jc w:val="right"/>
              <w:rPr>
                <w:rFonts w:asciiTheme="minorHAnsi" w:hAnsiTheme="minorHAnsi" w:cstheme="minorHAnsi"/>
              </w:rPr>
            </w:pPr>
            <w:r w:rsidRPr="003E6525">
              <w:rPr>
                <w:rFonts w:ascii="Calibri" w:hAnsi="Calibri" w:cs="Calibri"/>
              </w:rPr>
              <w:t>−</w:t>
            </w:r>
            <w:r w:rsidR="00845797">
              <w:rPr>
                <w:rFonts w:asciiTheme="minorHAnsi" w:hAnsiTheme="minorHAnsi" w:cstheme="minorHAnsi"/>
              </w:rPr>
              <w:t>931,4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DB7ABB" w14:textId="533B5F5B" w:rsidR="00562CE3" w:rsidRPr="006C6585" w:rsidRDefault="00684A66" w:rsidP="00DB3BE6">
            <w:pPr>
              <w:ind w:left="-170"/>
              <w:contextualSpacing/>
              <w:jc w:val="right"/>
              <w:rPr>
                <w:rFonts w:asciiTheme="minorHAnsi" w:hAnsiTheme="minorHAnsi" w:cstheme="minorHAnsi"/>
              </w:rPr>
            </w:pPr>
            <w:r w:rsidRPr="003E6525">
              <w:rPr>
                <w:rFonts w:ascii="Calibri" w:hAnsi="Calibri" w:cs="Calibri"/>
              </w:rPr>
              <w:t>−</w:t>
            </w:r>
            <w:r w:rsidR="00845797">
              <w:rPr>
                <w:rFonts w:asciiTheme="minorHAnsi" w:hAnsiTheme="minorHAnsi" w:cstheme="minorHAnsi"/>
              </w:rPr>
              <w:t>904,3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0045DA" w14:textId="27C5F7BB" w:rsidR="00562CE3" w:rsidRDefault="00684A66" w:rsidP="00DB3BE6">
            <w:pPr>
              <w:ind w:left="-170"/>
              <w:contextualSpacing/>
              <w:jc w:val="right"/>
              <w:rPr>
                <w:rFonts w:asciiTheme="minorHAnsi" w:hAnsiTheme="minorHAnsi" w:cstheme="minorHAnsi"/>
              </w:rPr>
            </w:pPr>
            <w:r w:rsidRPr="003E6525">
              <w:rPr>
                <w:rFonts w:ascii="Calibri" w:hAnsi="Calibri" w:cs="Calibri"/>
              </w:rPr>
              <w:t>−</w:t>
            </w:r>
            <w:r w:rsidR="00562CE3">
              <w:rPr>
                <w:rFonts w:asciiTheme="minorHAnsi" w:hAnsiTheme="minorHAnsi" w:cstheme="minorHAnsi"/>
              </w:rPr>
              <w:t>1 302,</w:t>
            </w:r>
            <w:r w:rsidR="008457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4A804" w14:textId="70BD9A52" w:rsidR="00562CE3" w:rsidRDefault="00684A66" w:rsidP="00DB3BE6">
            <w:pPr>
              <w:ind w:left="-170"/>
              <w:contextualSpacing/>
              <w:jc w:val="right"/>
              <w:rPr>
                <w:rFonts w:asciiTheme="minorHAnsi" w:hAnsiTheme="minorHAnsi" w:cstheme="minorHAnsi"/>
              </w:rPr>
            </w:pPr>
            <w:r w:rsidRPr="003E6525">
              <w:rPr>
                <w:rFonts w:ascii="Calibri" w:hAnsi="Calibri" w:cs="Calibri"/>
              </w:rPr>
              <w:t>−</w:t>
            </w:r>
            <w:r w:rsidR="00845797">
              <w:rPr>
                <w:rFonts w:asciiTheme="minorHAnsi" w:hAnsiTheme="minorHAnsi" w:cstheme="minorHAnsi"/>
              </w:rPr>
              <w:t>495,9</w:t>
            </w:r>
          </w:p>
        </w:tc>
      </w:tr>
    </w:tbl>
    <w:p w14:paraId="7E6D44D9" w14:textId="34D63061" w:rsidR="00491E06" w:rsidRDefault="00491E06" w:rsidP="0058366E">
      <w:p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F4C7E">
        <w:rPr>
          <w:rFonts w:asciiTheme="minorHAnsi" w:hAnsiTheme="minorHAnsi" w:cstheme="minorHAnsi"/>
          <w:b/>
          <w:sz w:val="20"/>
          <w:szCs w:val="20"/>
        </w:rPr>
        <w:t>Zdroj: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8366E">
        <w:rPr>
          <w:rFonts w:asciiTheme="minorHAnsi" w:hAnsiTheme="minorHAnsi" w:cstheme="minorHAnsi"/>
          <w:sz w:val="20"/>
          <w:szCs w:val="20"/>
        </w:rPr>
        <w:tab/>
      </w:r>
      <w:r w:rsidR="00C24727">
        <w:rPr>
          <w:rFonts w:asciiTheme="minorHAnsi" w:hAnsiTheme="minorHAnsi" w:cstheme="minorHAnsi"/>
          <w:sz w:val="20"/>
          <w:szCs w:val="20"/>
        </w:rPr>
        <w:t>ú</w:t>
      </w:r>
      <w:r w:rsidR="0058366E">
        <w:rPr>
          <w:rFonts w:asciiTheme="minorHAnsi" w:hAnsiTheme="minorHAnsi" w:cstheme="minorHAnsi"/>
          <w:sz w:val="20"/>
          <w:szCs w:val="20"/>
        </w:rPr>
        <w:t>četní závěrky samostatných účetních okruhů</w:t>
      </w:r>
      <w:r w:rsidR="00A56E84">
        <w:rPr>
          <w:rFonts w:asciiTheme="minorHAnsi" w:hAnsiTheme="minorHAnsi" w:cstheme="minorHAnsi"/>
          <w:sz w:val="20"/>
          <w:szCs w:val="20"/>
        </w:rPr>
        <w:t xml:space="preserve"> a </w:t>
      </w:r>
      <w:r w:rsidR="004C0392">
        <w:rPr>
          <w:rFonts w:asciiTheme="minorHAnsi" w:hAnsiTheme="minorHAnsi" w:cstheme="minorHAnsi"/>
          <w:sz w:val="20"/>
          <w:szCs w:val="20"/>
        </w:rPr>
        <w:t>zúčtování finančních vztahů ČD ke státnímu rozpočtu za roky 2010 až 2014</w:t>
      </w:r>
      <w:r w:rsidR="0058366E">
        <w:rPr>
          <w:rFonts w:asciiTheme="minorHAnsi" w:hAnsiTheme="minorHAnsi" w:cstheme="minorHAnsi"/>
          <w:sz w:val="20"/>
          <w:szCs w:val="20"/>
        </w:rPr>
        <w:t>.</w:t>
      </w:r>
    </w:p>
    <w:p w14:paraId="40F72242" w14:textId="77777777" w:rsidR="003B1468" w:rsidRDefault="003B1468" w:rsidP="0042089E">
      <w:pPr>
        <w:contextualSpacing/>
        <w:jc w:val="both"/>
        <w:rPr>
          <w:rFonts w:asciiTheme="minorHAnsi" w:hAnsiTheme="minorHAnsi" w:cstheme="minorHAnsi"/>
          <w:b/>
        </w:rPr>
      </w:pPr>
    </w:p>
    <w:p w14:paraId="63EA0754" w14:textId="77777777" w:rsidR="0042089E" w:rsidRPr="00491E06" w:rsidRDefault="008269DC" w:rsidP="00340A34">
      <w:pPr>
        <w:tabs>
          <w:tab w:val="right" w:pos="9072"/>
        </w:tabs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Tabulka č. 4</w:t>
      </w:r>
      <w:r w:rsidR="0042089E">
        <w:rPr>
          <w:rFonts w:asciiTheme="minorHAnsi" w:hAnsiTheme="minorHAnsi" w:cstheme="minorHAnsi"/>
          <w:b/>
        </w:rPr>
        <w:t xml:space="preserve"> – Výsledek </w:t>
      </w:r>
      <w:r w:rsidR="005B39D4">
        <w:rPr>
          <w:rFonts w:asciiTheme="minorHAnsi" w:hAnsiTheme="minorHAnsi" w:cstheme="minorHAnsi"/>
          <w:b/>
        </w:rPr>
        <w:t>hospodaření za vlaky</w:t>
      </w:r>
      <w:r w:rsidR="0042089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objednávané MD</w:t>
      </w:r>
      <w:r w:rsidR="005B39D4">
        <w:rPr>
          <w:rFonts w:asciiTheme="minorHAnsi" w:hAnsiTheme="minorHAnsi" w:cstheme="minorHAnsi"/>
          <w:b/>
        </w:rPr>
        <w:t xml:space="preserve"> </w:t>
      </w:r>
      <w:r w:rsidR="005B39D4">
        <w:rPr>
          <w:rFonts w:asciiTheme="minorHAnsi" w:hAnsiTheme="minorHAnsi" w:cstheme="minorHAnsi"/>
          <w:b/>
        </w:rPr>
        <w:tab/>
      </w:r>
      <w:r w:rsidR="0042089E" w:rsidRPr="00DB3BE6">
        <w:rPr>
          <w:rFonts w:asciiTheme="minorHAnsi" w:hAnsiTheme="minorHAnsi" w:cstheme="minorHAnsi"/>
          <w:b/>
        </w:rPr>
        <w:t>(</w:t>
      </w:r>
      <w:r w:rsidR="00893291" w:rsidRPr="00DB3BE6">
        <w:rPr>
          <w:rFonts w:asciiTheme="minorHAnsi" w:hAnsiTheme="minorHAnsi" w:cstheme="minorHAnsi"/>
          <w:b/>
        </w:rPr>
        <w:t>v </w:t>
      </w:r>
      <w:r w:rsidR="0042089E" w:rsidRPr="00DB3BE6">
        <w:rPr>
          <w:rFonts w:asciiTheme="minorHAnsi" w:hAnsiTheme="minorHAnsi" w:cstheme="minorHAnsi"/>
          <w:b/>
        </w:rPr>
        <w:t>mil. Kč)</w:t>
      </w:r>
    </w:p>
    <w:tbl>
      <w:tblPr>
        <w:tblStyle w:val="Mkatabulky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21"/>
        <w:gridCol w:w="1130"/>
        <w:gridCol w:w="1130"/>
        <w:gridCol w:w="1130"/>
        <w:gridCol w:w="1130"/>
        <w:gridCol w:w="1131"/>
      </w:tblGrid>
      <w:tr w:rsidR="0042089E" w14:paraId="29850578" w14:textId="77777777" w:rsidTr="00EF2ED5"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81B0D" w14:textId="77777777" w:rsidR="0042089E" w:rsidRDefault="0042089E" w:rsidP="007D4664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A28D07" w14:textId="77777777" w:rsidR="0042089E" w:rsidRPr="00F158D2" w:rsidRDefault="0042089E" w:rsidP="007D4664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2010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</w:tcPr>
          <w:p w14:paraId="44090E13" w14:textId="77777777" w:rsidR="0042089E" w:rsidRPr="00F158D2" w:rsidRDefault="0042089E" w:rsidP="007D4664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2011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</w:tcPr>
          <w:p w14:paraId="2A6DC226" w14:textId="77777777" w:rsidR="0042089E" w:rsidRPr="00F158D2" w:rsidRDefault="0042089E" w:rsidP="007D4664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2012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</w:tcPr>
          <w:p w14:paraId="4FBDFE13" w14:textId="77777777" w:rsidR="0042089E" w:rsidRPr="00F158D2" w:rsidRDefault="0042089E" w:rsidP="007D4664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2013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909AD" w14:textId="77777777" w:rsidR="0042089E" w:rsidRPr="00F158D2" w:rsidRDefault="0042089E" w:rsidP="007D4664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2014</w:t>
            </w:r>
          </w:p>
        </w:tc>
      </w:tr>
      <w:tr w:rsidR="0042089E" w14:paraId="0FA210F8" w14:textId="77777777" w:rsidTr="00EF2ED5"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F9B57" w14:textId="77777777" w:rsidR="0042089E" w:rsidRDefault="0042089E" w:rsidP="007D4664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Náklady celkem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675524" w14:textId="77777777" w:rsidR="0042089E" w:rsidRDefault="0042089E" w:rsidP="00340A34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8 147,7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</w:tcPr>
          <w:p w14:paraId="6739F55B" w14:textId="77777777" w:rsidR="0042089E" w:rsidRDefault="0042089E" w:rsidP="00340A34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7 962,1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</w:tcPr>
          <w:p w14:paraId="35869580" w14:textId="77777777" w:rsidR="0042089E" w:rsidRDefault="00F34B34" w:rsidP="00340A34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42089E">
              <w:rPr>
                <w:rFonts w:asciiTheme="minorHAnsi" w:hAnsiTheme="minorHAnsi" w:cstheme="minorHAnsi"/>
              </w:rPr>
              <w:t xml:space="preserve"> 853,2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</w:tcPr>
          <w:p w14:paraId="0722297E" w14:textId="77777777" w:rsidR="0042089E" w:rsidRDefault="0042089E" w:rsidP="00340A34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7 912,6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9E8005" w14:textId="77777777" w:rsidR="0042089E" w:rsidRDefault="0042089E" w:rsidP="00340A34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7 782,2</w:t>
            </w:r>
          </w:p>
        </w:tc>
      </w:tr>
      <w:tr w:rsidR="0042089E" w14:paraId="69D2599B" w14:textId="77777777" w:rsidTr="00EF2ED5"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771A2B4" w14:textId="77777777" w:rsidR="00F34B34" w:rsidRDefault="00F34B34" w:rsidP="007D4664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Výnosy celkem</w:t>
            </w:r>
          </w:p>
          <w:p w14:paraId="3D7BBE77" w14:textId="77777777" w:rsidR="0042089E" w:rsidRDefault="00F34B34" w:rsidP="007D4664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 toho: tržby</w:t>
            </w:r>
          </w:p>
          <w:p w14:paraId="4F46A45C" w14:textId="180AC4FE" w:rsidR="00F34B34" w:rsidRPr="007D71F1" w:rsidRDefault="00F34B34" w:rsidP="00C24727">
            <w:pPr>
              <w:ind w:left="68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dotace</w:t>
            </w:r>
            <w:r w:rsidR="007D71F1" w:rsidRPr="00DB3BE6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</w:tcBorders>
          </w:tcPr>
          <w:p w14:paraId="641C420C" w14:textId="77777777" w:rsidR="0042089E" w:rsidRDefault="00F34B34" w:rsidP="00340A34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7 991,6</w:t>
            </w:r>
          </w:p>
          <w:p w14:paraId="2B1EC464" w14:textId="77777777" w:rsidR="0042089E" w:rsidRDefault="0042089E" w:rsidP="00340A34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34B34">
              <w:rPr>
                <w:rFonts w:asciiTheme="minorHAnsi" w:hAnsiTheme="minorHAnsi" w:cstheme="minorHAnsi"/>
                <w:sz w:val="22"/>
                <w:szCs w:val="22"/>
              </w:rPr>
              <w:t>3 922,0</w:t>
            </w:r>
          </w:p>
          <w:p w14:paraId="5660F7BC" w14:textId="77777777" w:rsidR="00F34B34" w:rsidRPr="00F34B34" w:rsidRDefault="00F34B34" w:rsidP="00340A34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4 069,6</w:t>
            </w:r>
          </w:p>
        </w:tc>
        <w:tc>
          <w:tcPr>
            <w:tcW w:w="1130" w:type="dxa"/>
            <w:tcBorders>
              <w:top w:val="single" w:sz="12" w:space="0" w:color="auto"/>
            </w:tcBorders>
          </w:tcPr>
          <w:p w14:paraId="610CC51B" w14:textId="77777777" w:rsidR="0042089E" w:rsidRDefault="00F34B34" w:rsidP="00340A34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7 966,8</w:t>
            </w:r>
          </w:p>
          <w:p w14:paraId="41F28688" w14:textId="77777777" w:rsidR="0042089E" w:rsidRDefault="0042089E" w:rsidP="00340A34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34B34">
              <w:rPr>
                <w:rFonts w:asciiTheme="minorHAnsi" w:hAnsiTheme="minorHAnsi" w:cstheme="minorHAnsi"/>
                <w:sz w:val="22"/>
                <w:szCs w:val="22"/>
              </w:rPr>
              <w:t>3 894,5</w:t>
            </w:r>
          </w:p>
          <w:p w14:paraId="101FF490" w14:textId="77777777" w:rsidR="00F34B34" w:rsidRPr="00F34B34" w:rsidRDefault="00F34B34" w:rsidP="00340A34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4 072,3</w:t>
            </w:r>
          </w:p>
        </w:tc>
        <w:tc>
          <w:tcPr>
            <w:tcW w:w="1130" w:type="dxa"/>
            <w:tcBorders>
              <w:top w:val="single" w:sz="12" w:space="0" w:color="auto"/>
            </w:tcBorders>
          </w:tcPr>
          <w:p w14:paraId="34F5F408" w14:textId="77777777" w:rsidR="0042089E" w:rsidRDefault="00954411" w:rsidP="00340A34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7 823,4</w:t>
            </w:r>
          </w:p>
          <w:p w14:paraId="5A9FA7D4" w14:textId="77777777" w:rsidR="0042089E" w:rsidRDefault="0042089E" w:rsidP="00340A34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34B34">
              <w:rPr>
                <w:rFonts w:asciiTheme="minorHAnsi" w:hAnsiTheme="minorHAnsi" w:cstheme="minorHAnsi"/>
                <w:sz w:val="22"/>
                <w:szCs w:val="22"/>
              </w:rPr>
              <w:t>3 814,6</w:t>
            </w:r>
          </w:p>
          <w:p w14:paraId="39F65073" w14:textId="77777777" w:rsidR="00F34B34" w:rsidRPr="00F34B34" w:rsidRDefault="00F34B34" w:rsidP="00340A34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4 0</w:t>
            </w:r>
            <w:r w:rsidR="00954411">
              <w:rPr>
                <w:rFonts w:asciiTheme="minorHAnsi" w:hAnsiTheme="minorHAnsi" w:cstheme="minorHAnsi"/>
                <w:sz w:val="22"/>
                <w:szCs w:val="22"/>
              </w:rPr>
              <w:t>08,8</w:t>
            </w:r>
          </w:p>
        </w:tc>
        <w:tc>
          <w:tcPr>
            <w:tcW w:w="1130" w:type="dxa"/>
            <w:tcBorders>
              <w:top w:val="single" w:sz="12" w:space="0" w:color="auto"/>
            </w:tcBorders>
          </w:tcPr>
          <w:p w14:paraId="39791CDA" w14:textId="77777777" w:rsidR="0042089E" w:rsidRDefault="00F34B34" w:rsidP="00340A34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7 973,2</w:t>
            </w:r>
          </w:p>
          <w:p w14:paraId="76549F33" w14:textId="77777777" w:rsidR="0042089E" w:rsidRDefault="0042089E" w:rsidP="00340A34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34B34">
              <w:rPr>
                <w:rFonts w:asciiTheme="minorHAnsi" w:hAnsiTheme="minorHAnsi" w:cstheme="minorHAnsi"/>
                <w:sz w:val="22"/>
                <w:szCs w:val="22"/>
              </w:rPr>
              <w:t>3 928,0</w:t>
            </w:r>
          </w:p>
          <w:p w14:paraId="276C56B9" w14:textId="77777777" w:rsidR="00F34B34" w:rsidRPr="00F34B34" w:rsidRDefault="00F34B34" w:rsidP="00340A34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4 045,2</w:t>
            </w:r>
          </w:p>
        </w:tc>
        <w:tc>
          <w:tcPr>
            <w:tcW w:w="1131" w:type="dxa"/>
            <w:tcBorders>
              <w:top w:val="single" w:sz="12" w:space="0" w:color="auto"/>
              <w:right w:val="single" w:sz="12" w:space="0" w:color="auto"/>
            </w:tcBorders>
          </w:tcPr>
          <w:p w14:paraId="0247BFF7" w14:textId="77777777" w:rsidR="0042089E" w:rsidRDefault="00F34B34" w:rsidP="00340A34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7 838,4</w:t>
            </w:r>
          </w:p>
          <w:p w14:paraId="159C2885" w14:textId="77777777" w:rsidR="0042089E" w:rsidRDefault="0042089E" w:rsidP="00340A34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34B34">
              <w:rPr>
                <w:rFonts w:asciiTheme="minorHAnsi" w:hAnsiTheme="minorHAnsi" w:cstheme="minorHAnsi"/>
                <w:sz w:val="22"/>
                <w:szCs w:val="22"/>
              </w:rPr>
              <w:t>3 612,6</w:t>
            </w:r>
          </w:p>
          <w:p w14:paraId="22CB3C3B" w14:textId="77777777" w:rsidR="00F34B34" w:rsidRPr="00F34B34" w:rsidRDefault="00F34B34" w:rsidP="00340A34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4 225,8</w:t>
            </w:r>
          </w:p>
        </w:tc>
      </w:tr>
      <w:tr w:rsidR="0042089E" w14:paraId="44B786C0" w14:textId="77777777" w:rsidTr="00EF2ED5"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475A9" w14:textId="77777777" w:rsidR="0042089E" w:rsidRPr="00FB59F8" w:rsidRDefault="00F34B34" w:rsidP="00F34B34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Výsledek hospodaření 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E2B2E2" w14:textId="70341040" w:rsidR="0042089E" w:rsidRDefault="00684A66" w:rsidP="00340A34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DB3BE6">
              <w:rPr>
                <w:rFonts w:ascii="Calibri" w:hAnsi="Calibri" w:cs="Calibri"/>
              </w:rPr>
              <w:t>−</w:t>
            </w:r>
            <w:r w:rsidR="0042089E">
              <w:rPr>
                <w:rFonts w:asciiTheme="minorHAnsi" w:hAnsiTheme="minorHAnsi" w:cstheme="minorHAnsi"/>
              </w:rPr>
              <w:t>156,1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</w:tcPr>
          <w:p w14:paraId="3FF53D73" w14:textId="77777777" w:rsidR="0042089E" w:rsidRDefault="0042089E" w:rsidP="00340A34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4,7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</w:tcPr>
          <w:p w14:paraId="3E434B34" w14:textId="18604823" w:rsidR="0042089E" w:rsidRPr="006C6585" w:rsidRDefault="00684A66" w:rsidP="00340A34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 w:rsidRPr="003E6525">
              <w:rPr>
                <w:rFonts w:ascii="Calibri" w:hAnsi="Calibri" w:cs="Calibri"/>
              </w:rPr>
              <w:t>−</w:t>
            </w:r>
            <w:r w:rsidR="00954411">
              <w:rPr>
                <w:rFonts w:asciiTheme="minorHAnsi" w:hAnsiTheme="minorHAnsi" w:cstheme="minorHAnsi"/>
              </w:rPr>
              <w:t>29,8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</w:tcPr>
          <w:p w14:paraId="36A8EF58" w14:textId="77777777" w:rsidR="0042089E" w:rsidRDefault="0042089E" w:rsidP="00340A34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60,6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F2DA90" w14:textId="77777777" w:rsidR="0042089E" w:rsidRDefault="0042089E" w:rsidP="00340A34">
            <w:pPr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56,2</w:t>
            </w:r>
          </w:p>
        </w:tc>
      </w:tr>
    </w:tbl>
    <w:p w14:paraId="4FB955AE" w14:textId="40BC14F2" w:rsidR="0042089E" w:rsidRDefault="0042089E" w:rsidP="0042089E">
      <w:p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F4C7E">
        <w:rPr>
          <w:rFonts w:asciiTheme="minorHAnsi" w:hAnsiTheme="minorHAnsi" w:cstheme="minorHAnsi"/>
          <w:b/>
          <w:sz w:val="20"/>
          <w:szCs w:val="20"/>
        </w:rPr>
        <w:t>Zdroj: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="00C24727">
        <w:rPr>
          <w:rFonts w:asciiTheme="minorHAnsi" w:hAnsiTheme="minorHAnsi" w:cstheme="minorHAnsi"/>
          <w:sz w:val="20"/>
          <w:szCs w:val="20"/>
        </w:rPr>
        <w:t>v</w:t>
      </w:r>
      <w:r>
        <w:rPr>
          <w:rFonts w:asciiTheme="minorHAnsi" w:hAnsiTheme="minorHAnsi" w:cstheme="minorHAnsi"/>
          <w:sz w:val="20"/>
          <w:szCs w:val="20"/>
        </w:rPr>
        <w:t>ýkazy nákladů a výnosů z přepravní činnosti a zúčtování finančních vztahů ČD ke státnímu rozpočtu za roky 2010 až 2014.</w:t>
      </w:r>
    </w:p>
    <w:p w14:paraId="1418DD90" w14:textId="61295600" w:rsidR="007D71F1" w:rsidRDefault="007D71F1" w:rsidP="00C24727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>
        <w:rPr>
          <w:rFonts w:asciiTheme="minorHAnsi" w:hAnsiTheme="minorHAnsi" w:cstheme="minorHAnsi"/>
          <w:sz w:val="20"/>
          <w:szCs w:val="20"/>
        </w:rPr>
        <w:tab/>
        <w:t>Dotace poskytované na úhradu vykázané prokazatelné ztráty, resp. kompenzace, zohledňovaly</w:t>
      </w:r>
      <w:r w:rsidR="00C3467F">
        <w:rPr>
          <w:rFonts w:asciiTheme="minorHAnsi" w:hAnsiTheme="minorHAnsi" w:cstheme="minorHAnsi"/>
          <w:sz w:val="20"/>
          <w:szCs w:val="20"/>
        </w:rPr>
        <w:t xml:space="preserve"> přiměřený zisk, resp.</w:t>
      </w:r>
      <w:r>
        <w:rPr>
          <w:rFonts w:asciiTheme="minorHAnsi" w:hAnsiTheme="minorHAnsi" w:cstheme="minorHAnsi"/>
          <w:sz w:val="20"/>
          <w:szCs w:val="20"/>
        </w:rPr>
        <w:t xml:space="preserve"> maximální dovolenou míru výnosu na kapitál</w:t>
      </w:r>
      <w:r w:rsidR="00C3467F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C3467F">
        <w:rPr>
          <w:rFonts w:asciiTheme="minorHAnsi" w:hAnsiTheme="minorHAnsi" w:cstheme="minorHAnsi"/>
          <w:sz w:val="20"/>
          <w:szCs w:val="20"/>
        </w:rPr>
        <w:t xml:space="preserve">bonusy a pokuty podle smluv o závazku veřejné služby.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8F89FA0" w14:textId="77777777" w:rsidR="0042089E" w:rsidRDefault="0042089E" w:rsidP="00641AEE">
      <w:pPr>
        <w:jc w:val="both"/>
        <w:rPr>
          <w:rFonts w:asciiTheme="minorHAnsi" w:hAnsiTheme="minorHAnsi" w:cstheme="minorHAnsi"/>
          <w:b/>
        </w:rPr>
      </w:pPr>
    </w:p>
    <w:p w14:paraId="15108D73" w14:textId="09D5185E" w:rsidR="00D92796" w:rsidRPr="006912FA" w:rsidRDefault="00D92796" w:rsidP="00D9279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Dotace za vlaky objednávané MD vzrostly </w:t>
      </w:r>
      <w:r w:rsidR="00893291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 xml:space="preserve">roce 2014 </w:t>
      </w:r>
      <w:r w:rsidR="001C4484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proti roku 2010 o </w:t>
      </w:r>
      <w:r w:rsidR="00874F43">
        <w:rPr>
          <w:rFonts w:asciiTheme="minorHAnsi" w:hAnsiTheme="minorHAnsi" w:cstheme="minorHAnsi"/>
        </w:rPr>
        <w:t>3,8</w:t>
      </w:r>
      <w:r>
        <w:rPr>
          <w:rFonts w:asciiTheme="minorHAnsi" w:hAnsiTheme="minorHAnsi" w:cstheme="minorHAnsi"/>
        </w:rPr>
        <w:t xml:space="preserve"> % při poklesu dopravního výkonu o 12</w:t>
      </w:r>
      <w:r w:rsidR="00B516C5">
        <w:rPr>
          <w:rFonts w:asciiTheme="minorHAnsi" w:hAnsiTheme="minorHAnsi" w:cstheme="minorHAnsi"/>
        </w:rPr>
        <w:t>,5</w:t>
      </w:r>
      <w:r>
        <w:rPr>
          <w:rFonts w:asciiTheme="minorHAnsi" w:hAnsiTheme="minorHAnsi" w:cstheme="minorHAnsi"/>
        </w:rPr>
        <w:t xml:space="preserve"> %</w:t>
      </w:r>
      <w:r w:rsidR="00B516C5">
        <w:rPr>
          <w:rFonts w:asciiTheme="minorHAnsi" w:hAnsiTheme="minorHAnsi" w:cstheme="minorHAnsi"/>
        </w:rPr>
        <w:t>. N</w:t>
      </w:r>
      <w:r>
        <w:rPr>
          <w:rFonts w:asciiTheme="minorHAnsi" w:hAnsiTheme="minorHAnsi" w:cstheme="minorHAnsi"/>
        </w:rPr>
        <w:t>a jeden vlakový kilometr tak dotace vzrostly</w:t>
      </w:r>
      <w:r w:rsidR="00B516C5">
        <w:rPr>
          <w:rFonts w:asciiTheme="minorHAnsi" w:hAnsiTheme="minorHAnsi" w:cstheme="minorHAnsi"/>
        </w:rPr>
        <w:t xml:space="preserve"> </w:t>
      </w:r>
      <w:r w:rsidR="00893291">
        <w:rPr>
          <w:rFonts w:asciiTheme="minorHAnsi" w:hAnsiTheme="minorHAnsi" w:cstheme="minorHAnsi"/>
        </w:rPr>
        <w:t>z</w:t>
      </w:r>
      <w:r w:rsidR="001C4484">
        <w:rPr>
          <w:rFonts w:asciiTheme="minorHAnsi" w:hAnsiTheme="minorHAnsi" w:cstheme="minorHAnsi"/>
        </w:rPr>
        <w:t xml:space="preserve">e </w:t>
      </w:r>
      <w:r w:rsidR="00B516C5">
        <w:rPr>
          <w:rFonts w:asciiTheme="minorHAnsi" w:hAnsiTheme="minorHAnsi" w:cstheme="minorHAnsi"/>
        </w:rPr>
        <w:t xml:space="preserve">105,7 Kč na 125,4 Kč, tj. o 18,6 %. </w:t>
      </w:r>
      <w:r>
        <w:rPr>
          <w:rFonts w:asciiTheme="minorHAnsi" w:hAnsiTheme="minorHAnsi" w:cstheme="minorHAnsi"/>
        </w:rPr>
        <w:t>Tržby za uvedené vlaky</w:t>
      </w:r>
      <w:r w:rsidR="00BE77F1">
        <w:rPr>
          <w:rFonts w:asciiTheme="minorHAnsi" w:hAnsiTheme="minorHAnsi" w:cstheme="minorHAnsi"/>
        </w:rPr>
        <w:t xml:space="preserve"> a období</w:t>
      </w:r>
      <w:r>
        <w:rPr>
          <w:rFonts w:asciiTheme="minorHAnsi" w:hAnsiTheme="minorHAnsi" w:cstheme="minorHAnsi"/>
        </w:rPr>
        <w:t xml:space="preserve"> vykázaly ČD o </w:t>
      </w:r>
      <w:r w:rsidR="00B516C5">
        <w:rPr>
          <w:rFonts w:asciiTheme="minorHAnsi" w:hAnsiTheme="minorHAnsi" w:cstheme="minorHAnsi"/>
        </w:rPr>
        <w:t>7,9</w:t>
      </w:r>
      <w:r w:rsidR="006E1AFD">
        <w:rPr>
          <w:rFonts w:asciiTheme="minorHAnsi" w:hAnsiTheme="minorHAnsi" w:cstheme="minorHAnsi"/>
        </w:rPr>
        <w:t xml:space="preserve"> % nižší a náklady o </w:t>
      </w:r>
      <w:r w:rsidR="00B516C5">
        <w:rPr>
          <w:rFonts w:asciiTheme="minorHAnsi" w:hAnsiTheme="minorHAnsi" w:cstheme="minorHAnsi"/>
        </w:rPr>
        <w:t>4,</w:t>
      </w:r>
      <w:r>
        <w:rPr>
          <w:rFonts w:asciiTheme="minorHAnsi" w:hAnsiTheme="minorHAnsi" w:cstheme="minorHAnsi"/>
        </w:rPr>
        <w:t xml:space="preserve">5 % nižší. </w:t>
      </w:r>
      <w:r w:rsidR="00BE77F1">
        <w:rPr>
          <w:rFonts w:asciiTheme="minorHAnsi" w:hAnsiTheme="minorHAnsi" w:cstheme="minorHAnsi"/>
        </w:rPr>
        <w:t xml:space="preserve">Počet přepravených osob </w:t>
      </w:r>
      <w:r>
        <w:rPr>
          <w:rFonts w:asciiTheme="minorHAnsi" w:hAnsiTheme="minorHAnsi" w:cstheme="minorHAnsi"/>
        </w:rPr>
        <w:t xml:space="preserve">se zvýšil ze 41,0 mil. osob na 43,8 mil. osob, tj. o 7 %.  </w:t>
      </w:r>
    </w:p>
    <w:p w14:paraId="370F43D4" w14:textId="77777777" w:rsidR="00D92796" w:rsidRDefault="00D92796" w:rsidP="00641AEE">
      <w:pPr>
        <w:jc w:val="both"/>
        <w:rPr>
          <w:rFonts w:asciiTheme="minorHAnsi" w:hAnsiTheme="minorHAnsi" w:cstheme="minorHAnsi"/>
        </w:rPr>
      </w:pPr>
    </w:p>
    <w:p w14:paraId="5FA9E7B1" w14:textId="52B43581" w:rsidR="00950AD5" w:rsidRDefault="006912FA" w:rsidP="00641AE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D92796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tabulky</w:t>
      </w:r>
      <w:r w:rsidR="00D92796">
        <w:rPr>
          <w:rFonts w:asciiTheme="minorHAnsi" w:hAnsiTheme="minorHAnsi" w:cstheme="minorHAnsi"/>
        </w:rPr>
        <w:t xml:space="preserve"> č. 4 </w:t>
      </w:r>
      <w:r w:rsidR="00307CD6">
        <w:rPr>
          <w:rFonts w:asciiTheme="minorHAnsi" w:hAnsiTheme="minorHAnsi" w:cstheme="minorHAnsi"/>
        </w:rPr>
        <w:t>také</w:t>
      </w:r>
      <w:r w:rsidR="00A2714F">
        <w:rPr>
          <w:rFonts w:asciiTheme="minorHAnsi" w:hAnsiTheme="minorHAnsi" w:cstheme="minorHAnsi"/>
        </w:rPr>
        <w:t xml:space="preserve"> vyplývá, že </w:t>
      </w:r>
      <w:r w:rsidR="00D92796">
        <w:rPr>
          <w:rFonts w:asciiTheme="minorHAnsi" w:hAnsiTheme="minorHAnsi" w:cstheme="minorHAnsi"/>
        </w:rPr>
        <w:t xml:space="preserve">ČD dosahují </w:t>
      </w:r>
      <w:r w:rsidR="00A2714F">
        <w:rPr>
          <w:rFonts w:asciiTheme="minorHAnsi" w:hAnsiTheme="minorHAnsi" w:cstheme="minorHAnsi"/>
        </w:rPr>
        <w:t>od roku 2013 za vlaky objednávané MD mírný zisk.</w:t>
      </w:r>
      <w:r w:rsidR="00950AD5">
        <w:rPr>
          <w:rFonts w:asciiTheme="minorHAnsi" w:hAnsiTheme="minorHAnsi" w:cstheme="minorHAnsi"/>
        </w:rPr>
        <w:t xml:space="preserve"> V roce 2013 se na tom podílel rychlejší </w:t>
      </w:r>
      <w:r w:rsidR="001C4484">
        <w:rPr>
          <w:rFonts w:asciiTheme="minorHAnsi" w:hAnsiTheme="minorHAnsi" w:cstheme="minorHAnsi"/>
        </w:rPr>
        <w:t xml:space="preserve">meziroční </w:t>
      </w:r>
      <w:r w:rsidR="00950AD5">
        <w:rPr>
          <w:rFonts w:asciiTheme="minorHAnsi" w:hAnsiTheme="minorHAnsi" w:cstheme="minorHAnsi"/>
        </w:rPr>
        <w:t xml:space="preserve">růst výnosů (vzrostly </w:t>
      </w:r>
      <w:r w:rsidR="001C4484">
        <w:rPr>
          <w:rFonts w:asciiTheme="minorHAnsi" w:hAnsiTheme="minorHAnsi" w:cstheme="minorHAnsi"/>
        </w:rPr>
        <w:t xml:space="preserve">oproti roku 2012 </w:t>
      </w:r>
      <w:r w:rsidR="00950AD5">
        <w:rPr>
          <w:rFonts w:asciiTheme="minorHAnsi" w:hAnsiTheme="minorHAnsi" w:cstheme="minorHAnsi"/>
        </w:rPr>
        <w:t>o</w:t>
      </w:r>
      <w:r w:rsidR="004A3AF9">
        <w:rPr>
          <w:rFonts w:asciiTheme="minorHAnsi" w:hAnsiTheme="minorHAnsi" w:cstheme="minorHAnsi"/>
        </w:rPr>
        <w:t> </w:t>
      </w:r>
      <w:r w:rsidR="00950AD5">
        <w:rPr>
          <w:rFonts w:asciiTheme="minorHAnsi" w:hAnsiTheme="minorHAnsi" w:cstheme="minorHAnsi"/>
        </w:rPr>
        <w:t>1,9</w:t>
      </w:r>
      <w:r w:rsidR="004A3AF9">
        <w:rPr>
          <w:rFonts w:asciiTheme="minorHAnsi" w:hAnsiTheme="minorHAnsi" w:cstheme="minorHAnsi"/>
        </w:rPr>
        <w:t> </w:t>
      </w:r>
      <w:r w:rsidR="00950AD5">
        <w:rPr>
          <w:rFonts w:asciiTheme="minorHAnsi" w:hAnsiTheme="minorHAnsi" w:cstheme="minorHAnsi"/>
        </w:rPr>
        <w:t xml:space="preserve">%, z toho </w:t>
      </w:r>
      <w:r w:rsidR="00D92796">
        <w:rPr>
          <w:rFonts w:asciiTheme="minorHAnsi" w:hAnsiTheme="minorHAnsi" w:cstheme="minorHAnsi"/>
        </w:rPr>
        <w:t>tržby o </w:t>
      </w:r>
      <w:r w:rsidR="00950AD5">
        <w:rPr>
          <w:rFonts w:asciiTheme="minorHAnsi" w:hAnsiTheme="minorHAnsi" w:cstheme="minorHAnsi"/>
        </w:rPr>
        <w:t>3,0 % a dotace o 0,9 %)</w:t>
      </w:r>
      <w:r w:rsidR="005B2672">
        <w:rPr>
          <w:rFonts w:asciiTheme="minorHAnsi" w:hAnsiTheme="minorHAnsi" w:cstheme="minorHAnsi"/>
        </w:rPr>
        <w:t xml:space="preserve"> než nákladů (</w:t>
      </w:r>
      <w:r w:rsidR="009F6CFB">
        <w:rPr>
          <w:rFonts w:asciiTheme="minorHAnsi" w:hAnsiTheme="minorHAnsi" w:cstheme="minorHAnsi"/>
        </w:rPr>
        <w:t>vzrostly o 0,8</w:t>
      </w:r>
      <w:r w:rsidR="00950AD5">
        <w:rPr>
          <w:rFonts w:asciiTheme="minorHAnsi" w:hAnsiTheme="minorHAnsi" w:cstheme="minorHAnsi"/>
        </w:rPr>
        <w:t xml:space="preserve"> %).</w:t>
      </w:r>
      <w:r w:rsidR="00D92796">
        <w:rPr>
          <w:rFonts w:asciiTheme="minorHAnsi" w:hAnsiTheme="minorHAnsi" w:cstheme="minorHAnsi"/>
        </w:rPr>
        <w:t xml:space="preserve"> V roce 2014 se na tom podílel zejména růst dotací o 4,5 % (tržby klesly o 8,0 % a náklady o 1,6 %). </w:t>
      </w:r>
    </w:p>
    <w:p w14:paraId="142A5CAD" w14:textId="77777777" w:rsidR="00D92796" w:rsidRDefault="00D92796">
      <w:pPr>
        <w:jc w:val="both"/>
        <w:rPr>
          <w:rFonts w:asciiTheme="minorHAnsi" w:hAnsiTheme="minorHAnsi" w:cstheme="minorHAnsi"/>
        </w:rPr>
      </w:pPr>
    </w:p>
    <w:p w14:paraId="3832177D" w14:textId="77777777" w:rsidR="00446221" w:rsidRDefault="00446221">
      <w:pPr>
        <w:jc w:val="both"/>
        <w:rPr>
          <w:rFonts w:asciiTheme="minorHAnsi" w:hAnsiTheme="minorHAnsi" w:cstheme="minorHAnsi"/>
          <w:b/>
        </w:rPr>
      </w:pPr>
    </w:p>
    <w:p w14:paraId="74BBEA8D" w14:textId="77777777" w:rsidR="00446221" w:rsidRDefault="00446221">
      <w:pPr>
        <w:jc w:val="both"/>
        <w:rPr>
          <w:rFonts w:asciiTheme="minorHAnsi" w:hAnsiTheme="minorHAnsi" w:cstheme="minorHAnsi"/>
          <w:b/>
        </w:rPr>
      </w:pPr>
    </w:p>
    <w:p w14:paraId="682222C0" w14:textId="77777777" w:rsidR="00446221" w:rsidRDefault="00446221">
      <w:pPr>
        <w:jc w:val="both"/>
        <w:rPr>
          <w:rFonts w:asciiTheme="minorHAnsi" w:hAnsiTheme="minorHAnsi" w:cstheme="minorHAnsi"/>
          <w:b/>
        </w:rPr>
      </w:pPr>
    </w:p>
    <w:p w14:paraId="009BFF96" w14:textId="77777777" w:rsidR="00446221" w:rsidRDefault="00446221">
      <w:pPr>
        <w:jc w:val="both"/>
        <w:rPr>
          <w:rFonts w:asciiTheme="minorHAnsi" w:hAnsiTheme="minorHAnsi" w:cstheme="minorHAnsi"/>
          <w:b/>
        </w:rPr>
      </w:pPr>
    </w:p>
    <w:p w14:paraId="7BA8DD2E" w14:textId="77777777" w:rsidR="00446221" w:rsidRDefault="00446221">
      <w:pPr>
        <w:jc w:val="both"/>
        <w:rPr>
          <w:rFonts w:asciiTheme="minorHAnsi" w:hAnsiTheme="minorHAnsi" w:cstheme="minorHAnsi"/>
          <w:b/>
        </w:rPr>
      </w:pPr>
    </w:p>
    <w:p w14:paraId="183A16B0" w14:textId="77777777" w:rsidR="003F6567" w:rsidRPr="003F6567" w:rsidRDefault="003F656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3. Průkaznost</w:t>
      </w:r>
      <w:r w:rsidR="00652C65">
        <w:rPr>
          <w:rFonts w:asciiTheme="minorHAnsi" w:hAnsiTheme="minorHAnsi" w:cstheme="minorHAnsi"/>
          <w:b/>
        </w:rPr>
        <w:t xml:space="preserve"> vykazované z</w:t>
      </w:r>
      <w:r>
        <w:rPr>
          <w:rFonts w:asciiTheme="minorHAnsi" w:hAnsiTheme="minorHAnsi" w:cstheme="minorHAnsi"/>
          <w:b/>
        </w:rPr>
        <w:t>tráty</w:t>
      </w:r>
    </w:p>
    <w:p w14:paraId="07852F63" w14:textId="77777777" w:rsidR="003F6567" w:rsidRDefault="003F6567">
      <w:pPr>
        <w:jc w:val="both"/>
        <w:rPr>
          <w:rFonts w:asciiTheme="minorHAnsi" w:hAnsiTheme="minorHAnsi" w:cstheme="minorHAnsi"/>
        </w:rPr>
      </w:pPr>
    </w:p>
    <w:p w14:paraId="1B77AD74" w14:textId="42D237FC" w:rsidR="00576FA1" w:rsidRPr="00576FA1" w:rsidRDefault="00576FA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MD </w:t>
      </w:r>
      <w:r w:rsidR="00286116">
        <w:rPr>
          <w:rFonts w:asciiTheme="minorHAnsi" w:hAnsiTheme="minorHAnsi" w:cstheme="minorHAnsi"/>
          <w:b/>
        </w:rPr>
        <w:t>nevytvořilo</w:t>
      </w:r>
      <w:r>
        <w:rPr>
          <w:rFonts w:asciiTheme="minorHAnsi" w:hAnsiTheme="minorHAnsi" w:cstheme="minorHAnsi"/>
          <w:b/>
        </w:rPr>
        <w:t xml:space="preserve"> dostatečné podmínky </w:t>
      </w:r>
      <w:r w:rsidR="00307CD6">
        <w:rPr>
          <w:rFonts w:asciiTheme="minorHAnsi" w:hAnsiTheme="minorHAnsi" w:cstheme="minorHAnsi"/>
          <w:b/>
        </w:rPr>
        <w:t>pro kontrolu správnosti vykazované</w:t>
      </w:r>
      <w:r>
        <w:rPr>
          <w:rFonts w:asciiTheme="minorHAnsi" w:hAnsiTheme="minorHAnsi" w:cstheme="minorHAnsi"/>
          <w:b/>
        </w:rPr>
        <w:t xml:space="preserve"> ztráty z provozování vlaků </w:t>
      </w:r>
      <w:r w:rsidR="00693EC7">
        <w:rPr>
          <w:rFonts w:asciiTheme="minorHAnsi" w:hAnsiTheme="minorHAnsi" w:cstheme="minorHAnsi"/>
          <w:b/>
        </w:rPr>
        <w:t xml:space="preserve">ČD </w:t>
      </w:r>
      <w:r w:rsidR="000D71FE">
        <w:rPr>
          <w:rFonts w:asciiTheme="minorHAnsi" w:hAnsiTheme="minorHAnsi" w:cstheme="minorHAnsi"/>
          <w:b/>
        </w:rPr>
        <w:t>k zajištění dopravní</w:t>
      </w:r>
      <w:r>
        <w:rPr>
          <w:rFonts w:asciiTheme="minorHAnsi" w:hAnsiTheme="minorHAnsi" w:cstheme="minorHAnsi"/>
          <w:b/>
        </w:rPr>
        <w:t xml:space="preserve"> </w:t>
      </w:r>
      <w:r w:rsidR="000D71FE">
        <w:rPr>
          <w:rFonts w:asciiTheme="minorHAnsi" w:hAnsiTheme="minorHAnsi" w:cstheme="minorHAnsi"/>
          <w:b/>
        </w:rPr>
        <w:t>obslužnosti</w:t>
      </w:r>
      <w:r>
        <w:rPr>
          <w:rFonts w:asciiTheme="minorHAnsi" w:hAnsiTheme="minorHAnsi" w:cstheme="minorHAnsi"/>
          <w:b/>
        </w:rPr>
        <w:t xml:space="preserve"> státu.</w:t>
      </w:r>
      <w:r w:rsidR="005B2672">
        <w:rPr>
          <w:rFonts w:asciiTheme="minorHAnsi" w:hAnsiTheme="minorHAnsi" w:cstheme="minorHAnsi"/>
          <w:b/>
        </w:rPr>
        <w:t xml:space="preserve"> Její ověřitelnost však byla pro externí kontrolní subjekty omezená. V letech 2010 až 2015 </w:t>
      </w:r>
      <w:r w:rsidR="00A40108">
        <w:rPr>
          <w:rFonts w:asciiTheme="minorHAnsi" w:hAnsiTheme="minorHAnsi" w:cstheme="minorHAnsi"/>
          <w:b/>
        </w:rPr>
        <w:t xml:space="preserve">nedokončilo </w:t>
      </w:r>
      <w:r w:rsidR="005B2672">
        <w:rPr>
          <w:rFonts w:asciiTheme="minorHAnsi" w:hAnsiTheme="minorHAnsi" w:cstheme="minorHAnsi"/>
          <w:b/>
        </w:rPr>
        <w:t xml:space="preserve">MD </w:t>
      </w:r>
      <w:r>
        <w:rPr>
          <w:rFonts w:asciiTheme="minorHAnsi" w:hAnsiTheme="minorHAnsi" w:cstheme="minorHAnsi"/>
          <w:b/>
        </w:rPr>
        <w:t>žádnou kontrolu</w:t>
      </w:r>
      <w:r w:rsidR="005A3592">
        <w:rPr>
          <w:rFonts w:asciiTheme="minorHAnsi" w:hAnsiTheme="minorHAnsi" w:cstheme="minorHAnsi"/>
          <w:b/>
        </w:rPr>
        <w:t xml:space="preserve"> správnosti </w:t>
      </w:r>
      <w:r w:rsidR="005B2672">
        <w:rPr>
          <w:rFonts w:asciiTheme="minorHAnsi" w:hAnsiTheme="minorHAnsi" w:cstheme="minorHAnsi"/>
          <w:b/>
        </w:rPr>
        <w:t>vykázané</w:t>
      </w:r>
      <w:r w:rsidR="005A3592">
        <w:rPr>
          <w:rFonts w:asciiTheme="minorHAnsi" w:hAnsiTheme="minorHAnsi" w:cstheme="minorHAnsi"/>
          <w:b/>
        </w:rPr>
        <w:t xml:space="preserve"> ztráty</w:t>
      </w:r>
      <w:r>
        <w:rPr>
          <w:rFonts w:asciiTheme="minorHAnsi" w:hAnsiTheme="minorHAnsi" w:cstheme="minorHAnsi"/>
          <w:b/>
        </w:rPr>
        <w:t xml:space="preserve"> u ČD</w:t>
      </w:r>
      <w:r w:rsidR="005A3592">
        <w:rPr>
          <w:rFonts w:asciiTheme="minorHAnsi" w:hAnsiTheme="minorHAnsi" w:cstheme="minorHAnsi"/>
          <w:b/>
        </w:rPr>
        <w:t>.</w:t>
      </w:r>
      <w:r w:rsidR="00A40108">
        <w:rPr>
          <w:rFonts w:asciiTheme="minorHAnsi" w:hAnsiTheme="minorHAnsi" w:cstheme="minorHAnsi"/>
          <w:b/>
        </w:rPr>
        <w:t xml:space="preserve"> </w:t>
      </w:r>
    </w:p>
    <w:p w14:paraId="5945EF5D" w14:textId="77777777" w:rsidR="00576FA1" w:rsidRDefault="00576FA1">
      <w:pPr>
        <w:jc w:val="both"/>
        <w:rPr>
          <w:rFonts w:asciiTheme="minorHAnsi" w:hAnsiTheme="minorHAnsi" w:cstheme="minorHAnsi"/>
        </w:rPr>
      </w:pPr>
    </w:p>
    <w:p w14:paraId="6AFCB3C6" w14:textId="23A886B7" w:rsidR="000656FD" w:rsidRDefault="00754EE0" w:rsidP="000656F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ČD vykazovaly výsled</w:t>
      </w:r>
      <w:r w:rsidR="002B6058">
        <w:rPr>
          <w:rFonts w:asciiTheme="minorHAnsi" w:hAnsiTheme="minorHAnsi" w:cstheme="minorHAnsi"/>
        </w:rPr>
        <w:t>ky</w:t>
      </w:r>
      <w:r>
        <w:rPr>
          <w:rFonts w:asciiTheme="minorHAnsi" w:hAnsiTheme="minorHAnsi" w:cstheme="minorHAnsi"/>
        </w:rPr>
        <w:t xml:space="preserve"> hospodaření z provozov</w:t>
      </w:r>
      <w:r w:rsidR="000D71FE">
        <w:rPr>
          <w:rFonts w:asciiTheme="minorHAnsi" w:hAnsiTheme="minorHAnsi" w:cstheme="minorHAnsi"/>
        </w:rPr>
        <w:t>ání vlaků k zajištění dopravní</w:t>
      </w:r>
      <w:r>
        <w:rPr>
          <w:rFonts w:asciiTheme="minorHAnsi" w:hAnsiTheme="minorHAnsi" w:cstheme="minorHAnsi"/>
        </w:rPr>
        <w:t xml:space="preserve"> </w:t>
      </w:r>
      <w:r w:rsidR="000D71FE">
        <w:rPr>
          <w:rFonts w:asciiTheme="minorHAnsi" w:hAnsiTheme="minorHAnsi" w:cstheme="minorHAnsi"/>
        </w:rPr>
        <w:t>obslužnosti</w:t>
      </w:r>
      <w:r>
        <w:rPr>
          <w:rFonts w:asciiTheme="minorHAnsi" w:hAnsiTheme="minorHAnsi" w:cstheme="minorHAnsi"/>
        </w:rPr>
        <w:t xml:space="preserve"> státu</w:t>
      </w:r>
      <w:r w:rsidR="005A3592">
        <w:rPr>
          <w:rFonts w:asciiTheme="minorHAnsi" w:hAnsiTheme="minorHAnsi" w:cstheme="minorHAnsi"/>
        </w:rPr>
        <w:t xml:space="preserve"> </w:t>
      </w:r>
      <w:r w:rsidR="009E206E">
        <w:rPr>
          <w:rFonts w:asciiTheme="minorHAnsi" w:hAnsiTheme="minorHAnsi" w:cstheme="minorHAnsi"/>
        </w:rPr>
        <w:t>v</w:t>
      </w:r>
      <w:r w:rsidR="002B6058">
        <w:rPr>
          <w:rFonts w:asciiTheme="minorHAnsi" w:hAnsiTheme="minorHAnsi" w:cstheme="minorHAnsi"/>
        </w:rPr>
        <w:t> </w:t>
      </w:r>
      <w:r w:rsidR="00880BD0">
        <w:rPr>
          <w:rFonts w:asciiTheme="minorHAnsi" w:hAnsiTheme="minorHAnsi" w:cstheme="minorHAnsi"/>
        </w:rPr>
        <w:t>ročních</w:t>
      </w:r>
      <w:r w:rsidR="002B6058">
        <w:rPr>
          <w:rFonts w:asciiTheme="minorHAnsi" w:hAnsiTheme="minorHAnsi" w:cstheme="minorHAnsi"/>
        </w:rPr>
        <w:t xml:space="preserve"> </w:t>
      </w:r>
      <w:r w:rsidR="009E206E">
        <w:rPr>
          <w:rFonts w:asciiTheme="minorHAnsi" w:hAnsiTheme="minorHAnsi" w:cstheme="minorHAnsi"/>
        </w:rPr>
        <w:t>souhrnných výkazech nákladů a výnosů vyhotovených</w:t>
      </w:r>
      <w:r w:rsidR="009539C6">
        <w:rPr>
          <w:rFonts w:asciiTheme="minorHAnsi" w:hAnsiTheme="minorHAnsi" w:cstheme="minorHAnsi"/>
        </w:rPr>
        <w:t xml:space="preserve"> </w:t>
      </w:r>
      <w:r w:rsidR="009E206E">
        <w:rPr>
          <w:rFonts w:asciiTheme="minorHAnsi" w:hAnsiTheme="minorHAnsi" w:cstheme="minorHAnsi"/>
        </w:rPr>
        <w:t>podle jednotlivých smluv</w:t>
      </w:r>
      <w:r w:rsidR="006E1AFD">
        <w:rPr>
          <w:rFonts w:asciiTheme="minorHAnsi" w:hAnsiTheme="minorHAnsi" w:cstheme="minorHAnsi"/>
        </w:rPr>
        <w:t xml:space="preserve"> a </w:t>
      </w:r>
      <w:r w:rsidR="009539C6">
        <w:rPr>
          <w:rFonts w:asciiTheme="minorHAnsi" w:hAnsiTheme="minorHAnsi" w:cstheme="minorHAnsi"/>
        </w:rPr>
        <w:t xml:space="preserve">ve struktuře </w:t>
      </w:r>
      <w:r w:rsidR="00D706FD" w:rsidRPr="00D706FD">
        <w:rPr>
          <w:rFonts w:asciiTheme="minorHAnsi" w:hAnsiTheme="minorHAnsi" w:cstheme="minorHAnsi"/>
        </w:rPr>
        <w:t>podle vyhlášky č. 241/2005 Sb.</w:t>
      </w:r>
      <w:r w:rsidR="009E206E">
        <w:rPr>
          <w:rFonts w:asciiTheme="minorHAnsi" w:hAnsiTheme="minorHAnsi" w:cstheme="minorHAnsi"/>
        </w:rPr>
        <w:t xml:space="preserve"> (týkal</w:t>
      </w:r>
      <w:r w:rsidR="00F35FD8">
        <w:rPr>
          <w:rFonts w:asciiTheme="minorHAnsi" w:hAnsiTheme="minorHAnsi" w:cstheme="minorHAnsi"/>
        </w:rPr>
        <w:t>a se smlouvy na období od 1. 1. </w:t>
      </w:r>
      <w:r w:rsidR="009E206E">
        <w:rPr>
          <w:rFonts w:asciiTheme="minorHAnsi" w:hAnsiTheme="minorHAnsi" w:cstheme="minorHAnsi"/>
        </w:rPr>
        <w:t>2010 do konce platnosti jízdního řádu 2018/19)</w:t>
      </w:r>
      <w:r w:rsidR="00D706FD">
        <w:rPr>
          <w:rFonts w:asciiTheme="minorHAnsi" w:hAnsiTheme="minorHAnsi" w:cstheme="minorHAnsi"/>
        </w:rPr>
        <w:t>, resp. vyhlášky č. 296/2010 Sb.</w:t>
      </w:r>
      <w:r w:rsidR="009E206E">
        <w:rPr>
          <w:rFonts w:asciiTheme="minorHAnsi" w:hAnsiTheme="minorHAnsi" w:cstheme="minorHAnsi"/>
        </w:rPr>
        <w:t xml:space="preserve"> (týkala se smluv na linky R14 </w:t>
      </w:r>
      <w:r w:rsidR="009E206E" w:rsidRPr="00DB3BE6">
        <w:rPr>
          <w:rFonts w:asciiTheme="minorHAnsi" w:hAnsiTheme="minorHAnsi" w:cstheme="minorHAnsi"/>
        </w:rPr>
        <w:t>Pardubice – Liberec</w:t>
      </w:r>
      <w:r w:rsidR="009E206E" w:rsidRPr="002B6058">
        <w:rPr>
          <w:rFonts w:asciiTheme="minorHAnsi" w:hAnsiTheme="minorHAnsi" w:cstheme="minorHAnsi"/>
        </w:rPr>
        <w:t xml:space="preserve"> a R16 </w:t>
      </w:r>
      <w:r w:rsidR="009E206E" w:rsidRPr="00DB3BE6">
        <w:rPr>
          <w:rFonts w:asciiTheme="minorHAnsi" w:hAnsiTheme="minorHAnsi" w:cstheme="minorHAnsi"/>
        </w:rPr>
        <w:t>Plzeň – Most</w:t>
      </w:r>
      <w:r w:rsidR="009E206E">
        <w:rPr>
          <w:rFonts w:asciiTheme="minorHAnsi" w:hAnsiTheme="minorHAnsi" w:cstheme="minorHAnsi"/>
        </w:rPr>
        <w:t>)</w:t>
      </w:r>
      <w:r w:rsidR="009539C6">
        <w:rPr>
          <w:rFonts w:asciiTheme="minorHAnsi" w:hAnsiTheme="minorHAnsi" w:cstheme="minorHAnsi"/>
        </w:rPr>
        <w:t>.</w:t>
      </w:r>
      <w:r w:rsidR="00D706FD">
        <w:rPr>
          <w:rFonts w:asciiTheme="minorHAnsi" w:hAnsiTheme="minorHAnsi" w:cstheme="minorHAnsi"/>
        </w:rPr>
        <w:t xml:space="preserve"> </w:t>
      </w:r>
      <w:r w:rsidR="00880BD0">
        <w:rPr>
          <w:rFonts w:asciiTheme="minorHAnsi" w:hAnsiTheme="minorHAnsi" w:cstheme="minorHAnsi"/>
        </w:rPr>
        <w:t>ČD</w:t>
      </w:r>
      <w:r w:rsidR="00D706FD">
        <w:rPr>
          <w:rFonts w:asciiTheme="minorHAnsi" w:hAnsiTheme="minorHAnsi" w:cstheme="minorHAnsi"/>
        </w:rPr>
        <w:t xml:space="preserve"> měly</w:t>
      </w:r>
      <w:r w:rsidR="00BA5D55">
        <w:rPr>
          <w:rFonts w:asciiTheme="minorHAnsi" w:hAnsiTheme="minorHAnsi" w:cstheme="minorHAnsi"/>
        </w:rPr>
        <w:t xml:space="preserve"> </w:t>
      </w:r>
      <w:r w:rsidR="009E206E">
        <w:rPr>
          <w:rFonts w:asciiTheme="minorHAnsi" w:hAnsiTheme="minorHAnsi" w:cstheme="minorHAnsi"/>
        </w:rPr>
        <w:t>podle smlouvy o </w:t>
      </w:r>
      <w:r>
        <w:rPr>
          <w:rFonts w:asciiTheme="minorHAnsi" w:hAnsiTheme="minorHAnsi" w:cstheme="minorHAnsi"/>
        </w:rPr>
        <w:t>závazku veřejné služby uzavřené na období</w:t>
      </w:r>
      <w:r w:rsidRPr="00854AAB">
        <w:rPr>
          <w:rFonts w:asciiTheme="minorHAnsi" w:hAnsiTheme="minorHAnsi" w:cstheme="minorHAnsi"/>
        </w:rPr>
        <w:t xml:space="preserve"> od 1. 1. 2010 do konce platnosti jízdního řádu 2018/19</w:t>
      </w:r>
      <w:r>
        <w:rPr>
          <w:rFonts w:asciiTheme="minorHAnsi" w:hAnsiTheme="minorHAnsi" w:cstheme="minorHAnsi"/>
        </w:rPr>
        <w:t xml:space="preserve"> </w:t>
      </w:r>
      <w:r w:rsidR="00BA5D55">
        <w:rPr>
          <w:rFonts w:asciiTheme="minorHAnsi" w:hAnsiTheme="minorHAnsi" w:cstheme="minorHAnsi"/>
        </w:rPr>
        <w:t>předkládat</w:t>
      </w:r>
      <w:r w:rsidR="00D706FD">
        <w:rPr>
          <w:rFonts w:asciiTheme="minorHAnsi" w:hAnsiTheme="minorHAnsi" w:cstheme="minorHAnsi"/>
        </w:rPr>
        <w:t xml:space="preserve"> </w:t>
      </w:r>
      <w:r w:rsidR="00BA5D55">
        <w:rPr>
          <w:rFonts w:asciiTheme="minorHAnsi" w:hAnsiTheme="minorHAnsi" w:cstheme="minorHAnsi"/>
        </w:rPr>
        <w:t xml:space="preserve">uvedený výkaz </w:t>
      </w:r>
      <w:r w:rsidR="00880BD0">
        <w:rPr>
          <w:rFonts w:asciiTheme="minorHAnsi" w:hAnsiTheme="minorHAnsi" w:cstheme="minorHAnsi"/>
        </w:rPr>
        <w:t>i</w:t>
      </w:r>
      <w:r w:rsidR="00BA5D55">
        <w:rPr>
          <w:rFonts w:asciiTheme="minorHAnsi" w:hAnsiTheme="minorHAnsi" w:cstheme="minorHAnsi"/>
        </w:rPr>
        <w:t xml:space="preserve"> </w:t>
      </w:r>
      <w:r w:rsidR="00BC1A09">
        <w:rPr>
          <w:rFonts w:asciiTheme="minorHAnsi" w:hAnsiTheme="minorHAnsi" w:cstheme="minorHAnsi"/>
        </w:rPr>
        <w:t>z</w:t>
      </w:r>
      <w:r w:rsidR="00BA5D55">
        <w:rPr>
          <w:rFonts w:asciiTheme="minorHAnsi" w:hAnsiTheme="minorHAnsi" w:cstheme="minorHAnsi"/>
        </w:rPr>
        <w:t xml:space="preserve">a jednotlivé linky </w:t>
      </w:r>
      <w:r w:rsidR="00074C39">
        <w:rPr>
          <w:rFonts w:asciiTheme="minorHAnsi" w:hAnsiTheme="minorHAnsi" w:cstheme="minorHAnsi"/>
        </w:rPr>
        <w:t>specifikované</w:t>
      </w:r>
      <w:r w:rsidR="00BA5D55">
        <w:rPr>
          <w:rFonts w:asciiTheme="minorHAnsi" w:hAnsiTheme="minorHAnsi" w:cstheme="minorHAnsi"/>
        </w:rPr>
        <w:t xml:space="preserve"> ve smlouvě (šlo o</w:t>
      </w:r>
      <w:r w:rsidR="007A2B03">
        <w:rPr>
          <w:rFonts w:asciiTheme="minorHAnsi" w:hAnsiTheme="minorHAnsi" w:cstheme="minorHAnsi"/>
        </w:rPr>
        <w:t> </w:t>
      </w:r>
      <w:r w:rsidR="00BA5D55">
        <w:rPr>
          <w:rFonts w:asciiTheme="minorHAnsi" w:hAnsiTheme="minorHAnsi" w:cstheme="minorHAnsi"/>
        </w:rPr>
        <w:t>26</w:t>
      </w:r>
      <w:r w:rsidR="007A2B03">
        <w:rPr>
          <w:rFonts w:asciiTheme="minorHAnsi" w:hAnsiTheme="minorHAnsi" w:cstheme="minorHAnsi"/>
        </w:rPr>
        <w:t> </w:t>
      </w:r>
      <w:r w:rsidR="00BA5D55">
        <w:rPr>
          <w:rFonts w:asciiTheme="minorHAnsi" w:hAnsiTheme="minorHAnsi" w:cstheme="minorHAnsi"/>
        </w:rPr>
        <w:t>linek)</w:t>
      </w:r>
      <w:r w:rsidR="00601769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MD tuto povinnost změnilo o</w:t>
      </w:r>
      <w:r w:rsidR="00601769">
        <w:rPr>
          <w:rFonts w:asciiTheme="minorHAnsi" w:hAnsiTheme="minorHAnsi" w:cstheme="minorHAnsi"/>
        </w:rPr>
        <w:t xml:space="preserve">d roku 2012 </w:t>
      </w:r>
      <w:r w:rsidR="005B2672">
        <w:rPr>
          <w:rFonts w:asciiTheme="minorHAnsi" w:hAnsiTheme="minorHAnsi" w:cstheme="minorHAnsi"/>
        </w:rPr>
        <w:t>dodatkem ke smlouvě tak, že ČD měly předkládat jen</w:t>
      </w:r>
      <w:r w:rsidR="00F00E75">
        <w:rPr>
          <w:rFonts w:asciiTheme="minorHAnsi" w:hAnsiTheme="minorHAnsi" w:cstheme="minorHAnsi"/>
        </w:rPr>
        <w:t xml:space="preserve"> hodnoty ztráty </w:t>
      </w:r>
      <w:r w:rsidR="005B2672">
        <w:rPr>
          <w:rFonts w:asciiTheme="minorHAnsi" w:hAnsiTheme="minorHAnsi" w:cstheme="minorHAnsi"/>
        </w:rPr>
        <w:t>jednotlivých linek a v</w:t>
      </w:r>
      <w:r w:rsidR="00F00E75">
        <w:rPr>
          <w:rFonts w:asciiTheme="minorHAnsi" w:hAnsiTheme="minorHAnsi" w:cstheme="minorHAnsi"/>
        </w:rPr>
        <w:t>ýkaz</w:t>
      </w:r>
      <w:r w:rsidR="00BC1A09">
        <w:rPr>
          <w:rFonts w:asciiTheme="minorHAnsi" w:hAnsiTheme="minorHAnsi" w:cstheme="minorHAnsi"/>
        </w:rPr>
        <w:t>y</w:t>
      </w:r>
      <w:r w:rsidR="00F00E75">
        <w:rPr>
          <w:rFonts w:asciiTheme="minorHAnsi" w:hAnsiTheme="minorHAnsi" w:cstheme="minorHAnsi"/>
        </w:rPr>
        <w:t xml:space="preserve"> nákladů a výnosů </w:t>
      </w:r>
      <w:r w:rsidR="00BC1A09">
        <w:rPr>
          <w:rFonts w:asciiTheme="minorHAnsi" w:hAnsiTheme="minorHAnsi" w:cstheme="minorHAnsi"/>
        </w:rPr>
        <w:t>z</w:t>
      </w:r>
      <w:r w:rsidR="00F00E75">
        <w:rPr>
          <w:rFonts w:asciiTheme="minorHAnsi" w:hAnsiTheme="minorHAnsi" w:cstheme="minorHAnsi"/>
        </w:rPr>
        <w:t>a jednotlivé linky měl</w:t>
      </w:r>
      <w:r>
        <w:rPr>
          <w:rFonts w:asciiTheme="minorHAnsi" w:hAnsiTheme="minorHAnsi" w:cstheme="minorHAnsi"/>
        </w:rPr>
        <w:t>y doložit</w:t>
      </w:r>
      <w:r w:rsidR="00F00E75">
        <w:rPr>
          <w:rFonts w:asciiTheme="minorHAnsi" w:hAnsiTheme="minorHAnsi" w:cstheme="minorHAnsi"/>
        </w:rPr>
        <w:t xml:space="preserve"> na vyžádání.</w:t>
      </w:r>
      <w:r w:rsidR="000656FD">
        <w:rPr>
          <w:rFonts w:asciiTheme="minorHAnsi" w:hAnsiTheme="minorHAnsi" w:cstheme="minorHAnsi"/>
        </w:rPr>
        <w:t xml:space="preserve"> ČD tak od roku 2012 předkládal</w:t>
      </w:r>
      <w:r w:rsidR="00BC1A09">
        <w:rPr>
          <w:rFonts w:asciiTheme="minorHAnsi" w:hAnsiTheme="minorHAnsi" w:cstheme="minorHAnsi"/>
        </w:rPr>
        <w:t>y</w:t>
      </w:r>
      <w:r w:rsidR="000656FD">
        <w:rPr>
          <w:rFonts w:asciiTheme="minorHAnsi" w:hAnsiTheme="minorHAnsi" w:cstheme="minorHAnsi"/>
        </w:rPr>
        <w:t xml:space="preserve"> MD výkazy nákladů a výnosů </w:t>
      </w:r>
      <w:r w:rsidR="00BC1A09">
        <w:rPr>
          <w:rFonts w:asciiTheme="minorHAnsi" w:hAnsiTheme="minorHAnsi" w:cstheme="minorHAnsi"/>
        </w:rPr>
        <w:t>z</w:t>
      </w:r>
      <w:r w:rsidR="000656FD">
        <w:rPr>
          <w:rFonts w:asciiTheme="minorHAnsi" w:hAnsiTheme="minorHAnsi" w:cstheme="minorHAnsi"/>
        </w:rPr>
        <w:t xml:space="preserve">a jednotlivé linky jen k nahlédnutí. </w:t>
      </w:r>
      <w:r w:rsidR="004B2ABF">
        <w:rPr>
          <w:rFonts w:asciiTheme="minorHAnsi" w:hAnsiTheme="minorHAnsi" w:cstheme="minorHAnsi"/>
        </w:rPr>
        <w:t xml:space="preserve">Důvodem </w:t>
      </w:r>
      <w:r w:rsidR="000656FD">
        <w:rPr>
          <w:rFonts w:asciiTheme="minorHAnsi" w:hAnsiTheme="minorHAnsi" w:cstheme="minorHAnsi"/>
        </w:rPr>
        <w:t xml:space="preserve">byl spor mezi MD a ČD ohledně zveřejnění výkazů nákladů a výnosů </w:t>
      </w:r>
      <w:r w:rsidR="00BC1A09">
        <w:rPr>
          <w:rFonts w:asciiTheme="minorHAnsi" w:hAnsiTheme="minorHAnsi" w:cstheme="minorHAnsi"/>
        </w:rPr>
        <w:t>z</w:t>
      </w:r>
      <w:r w:rsidR="000656FD">
        <w:rPr>
          <w:rFonts w:asciiTheme="minorHAnsi" w:hAnsiTheme="minorHAnsi" w:cstheme="minorHAnsi"/>
        </w:rPr>
        <w:t>a jednotlivé linky ze strany MD. Opětovné předkládání výkazů dohodlo MD s ČD v dodatku ke smlouvě o závazku veřejné služby od období p</w:t>
      </w:r>
      <w:r w:rsidR="00B75BC2">
        <w:rPr>
          <w:rFonts w:asciiTheme="minorHAnsi" w:hAnsiTheme="minorHAnsi" w:cstheme="minorHAnsi"/>
        </w:rPr>
        <w:t>latnosti jízdního řádu 2015/16.</w:t>
      </w:r>
    </w:p>
    <w:p w14:paraId="7B89AFD5" w14:textId="77777777" w:rsidR="000656FD" w:rsidRDefault="000656FD">
      <w:pPr>
        <w:jc w:val="both"/>
        <w:rPr>
          <w:rFonts w:asciiTheme="minorHAnsi" w:hAnsiTheme="minorHAnsi" w:cstheme="minorHAnsi"/>
        </w:rPr>
      </w:pPr>
    </w:p>
    <w:p w14:paraId="6C2B76C9" w14:textId="2410390E" w:rsidR="0056556D" w:rsidRDefault="000656FD" w:rsidP="0056556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Dopravci, kteří poskytují přepra</w:t>
      </w:r>
      <w:r w:rsidR="0056556D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ní služby nebo jiné činnosti mimo poskytování přepravy cestujících v rámci veřejných služeb, mají podle zákona č. 194/2010 Sb. povinnost vést evidenci o nákladech a výnosech podle jednotlivých smluv o veřejných službách</w:t>
      </w:r>
      <w:r w:rsidR="0056556D">
        <w:rPr>
          <w:rFonts w:asciiTheme="minorHAnsi" w:hAnsiTheme="minorHAnsi" w:cstheme="minorHAnsi"/>
        </w:rPr>
        <w:t xml:space="preserve"> (obdobná povinnost byla i v zákoně č. 266/1994 Sb.). </w:t>
      </w:r>
      <w:r>
        <w:rPr>
          <w:rFonts w:asciiTheme="minorHAnsi" w:hAnsiTheme="minorHAnsi" w:cstheme="minorHAnsi"/>
        </w:rPr>
        <w:t>MD p</w:t>
      </w:r>
      <w:r w:rsidR="00754EE0">
        <w:rPr>
          <w:rFonts w:asciiTheme="minorHAnsi" w:hAnsiTheme="minorHAnsi" w:cstheme="minorHAnsi"/>
        </w:rPr>
        <w:t xml:space="preserve">ro rozdělování nákladů a výnosů z provozu vlaků na základě smluv o veřejných službách </w:t>
      </w:r>
      <w:r w:rsidR="0056556D">
        <w:rPr>
          <w:rFonts w:asciiTheme="minorHAnsi" w:hAnsiTheme="minorHAnsi" w:cstheme="minorHAnsi"/>
        </w:rPr>
        <w:t xml:space="preserve">nevypracovalo </w:t>
      </w:r>
      <w:r w:rsidR="00286116">
        <w:rPr>
          <w:rFonts w:asciiTheme="minorHAnsi" w:hAnsiTheme="minorHAnsi" w:cstheme="minorHAnsi"/>
        </w:rPr>
        <w:t>žádná upřesňující metodická pravidla.</w:t>
      </w:r>
      <w:r w:rsidR="0056556D">
        <w:rPr>
          <w:rFonts w:asciiTheme="minorHAnsi" w:hAnsiTheme="minorHAnsi" w:cstheme="minorHAnsi"/>
        </w:rPr>
        <w:t xml:space="preserve"> </w:t>
      </w:r>
      <w:r w:rsidR="004B2ABF">
        <w:rPr>
          <w:rFonts w:asciiTheme="minorHAnsi" w:hAnsiTheme="minorHAnsi" w:cstheme="minorHAnsi"/>
        </w:rPr>
        <w:t>ČD</w:t>
      </w:r>
      <w:r w:rsidR="0056556D">
        <w:rPr>
          <w:rFonts w:asciiTheme="minorHAnsi" w:hAnsiTheme="minorHAnsi" w:cstheme="minorHAnsi"/>
        </w:rPr>
        <w:t xml:space="preserve"> tak</w:t>
      </w:r>
      <w:r w:rsidR="004B2ABF">
        <w:rPr>
          <w:rFonts w:asciiTheme="minorHAnsi" w:hAnsiTheme="minorHAnsi" w:cstheme="minorHAnsi"/>
        </w:rPr>
        <w:t xml:space="preserve"> rozdělovaly</w:t>
      </w:r>
      <w:r w:rsidR="00BD2531">
        <w:rPr>
          <w:rFonts w:asciiTheme="minorHAnsi" w:hAnsiTheme="minorHAnsi" w:cstheme="minorHAnsi"/>
        </w:rPr>
        <w:t xml:space="preserve"> </w:t>
      </w:r>
      <w:r w:rsidR="004B2ABF">
        <w:rPr>
          <w:rFonts w:asciiTheme="minorHAnsi" w:hAnsiTheme="minorHAnsi" w:cstheme="minorHAnsi"/>
        </w:rPr>
        <w:t>náklady, výnosy a další údaje vztahující se</w:t>
      </w:r>
      <w:r w:rsidR="00BD2531">
        <w:rPr>
          <w:rFonts w:asciiTheme="minorHAnsi" w:hAnsiTheme="minorHAnsi" w:cstheme="minorHAnsi"/>
        </w:rPr>
        <w:t xml:space="preserve"> k jednotlivým smlouvám</w:t>
      </w:r>
      <w:r w:rsidR="00D84F98">
        <w:rPr>
          <w:rFonts w:asciiTheme="minorHAnsi" w:hAnsiTheme="minorHAnsi" w:cstheme="minorHAnsi"/>
        </w:rPr>
        <w:t xml:space="preserve"> </w:t>
      </w:r>
      <w:r w:rsidR="004B2ABF">
        <w:rPr>
          <w:rFonts w:asciiTheme="minorHAnsi" w:hAnsiTheme="minorHAnsi" w:cstheme="minorHAnsi"/>
        </w:rPr>
        <w:t>podle</w:t>
      </w:r>
      <w:r w:rsidR="00BD2531">
        <w:rPr>
          <w:rFonts w:asciiTheme="minorHAnsi" w:hAnsiTheme="minorHAnsi" w:cstheme="minorHAnsi"/>
        </w:rPr>
        <w:t xml:space="preserve"> vlastní</w:t>
      </w:r>
      <w:r w:rsidR="004B2ABF">
        <w:rPr>
          <w:rFonts w:asciiTheme="minorHAnsi" w:hAnsiTheme="minorHAnsi" w:cstheme="minorHAnsi"/>
        </w:rPr>
        <w:t>ch metodických pravidel</w:t>
      </w:r>
      <w:r w:rsidR="00BD2531">
        <w:rPr>
          <w:rFonts w:asciiTheme="minorHAnsi" w:hAnsiTheme="minorHAnsi" w:cstheme="minorHAnsi"/>
        </w:rPr>
        <w:t>. Podle nich tak například</w:t>
      </w:r>
      <w:r w:rsidR="00B75BC2">
        <w:rPr>
          <w:rFonts w:asciiTheme="minorHAnsi" w:hAnsiTheme="minorHAnsi" w:cstheme="minorHAnsi"/>
        </w:rPr>
        <w:t xml:space="preserve"> byly</w:t>
      </w:r>
      <w:r w:rsidR="00BD2531">
        <w:rPr>
          <w:rFonts w:asciiTheme="minorHAnsi" w:hAnsiTheme="minorHAnsi" w:cstheme="minorHAnsi"/>
        </w:rPr>
        <w:t xml:space="preserve"> náklady přiřazovány na každý vlak podle jízdního řádu a </w:t>
      </w:r>
      <w:r w:rsidR="00B75BC2">
        <w:rPr>
          <w:rFonts w:asciiTheme="minorHAnsi" w:hAnsiTheme="minorHAnsi" w:cstheme="minorHAnsi"/>
        </w:rPr>
        <w:t>byly</w:t>
      </w:r>
      <w:r w:rsidR="00BD2531">
        <w:rPr>
          <w:rFonts w:asciiTheme="minorHAnsi" w:hAnsiTheme="minorHAnsi" w:cstheme="minorHAnsi"/>
        </w:rPr>
        <w:t xml:space="preserve"> rozděleny na ty, které je možn</w:t>
      </w:r>
      <w:r w:rsidR="00B073CF">
        <w:rPr>
          <w:rFonts w:asciiTheme="minorHAnsi" w:hAnsiTheme="minorHAnsi" w:cstheme="minorHAnsi"/>
        </w:rPr>
        <w:t>é</w:t>
      </w:r>
      <w:r w:rsidR="00BD2531">
        <w:rPr>
          <w:rFonts w:asciiTheme="minorHAnsi" w:hAnsiTheme="minorHAnsi" w:cstheme="minorHAnsi"/>
        </w:rPr>
        <w:t xml:space="preserve"> přiřadit přímo ke konkrétní smlouvě (cca 70 % nákladů)</w:t>
      </w:r>
      <w:r w:rsidR="00B073CF">
        <w:rPr>
          <w:rFonts w:asciiTheme="minorHAnsi" w:hAnsiTheme="minorHAnsi" w:cstheme="minorHAnsi"/>
        </w:rPr>
        <w:t>,</w:t>
      </w:r>
      <w:r w:rsidR="00BD2531">
        <w:rPr>
          <w:rFonts w:asciiTheme="minorHAnsi" w:hAnsiTheme="minorHAnsi" w:cstheme="minorHAnsi"/>
        </w:rPr>
        <w:t xml:space="preserve"> a na ty, které je nutn</w:t>
      </w:r>
      <w:r w:rsidR="00B073CF">
        <w:rPr>
          <w:rFonts w:asciiTheme="minorHAnsi" w:hAnsiTheme="minorHAnsi" w:cstheme="minorHAnsi"/>
        </w:rPr>
        <w:t>é</w:t>
      </w:r>
      <w:r w:rsidR="00BD2531">
        <w:rPr>
          <w:rFonts w:asciiTheme="minorHAnsi" w:hAnsiTheme="minorHAnsi" w:cstheme="minorHAnsi"/>
        </w:rPr>
        <w:t xml:space="preserve"> v závislosti na druhu nákladu alokovat podle řady výkonových ukazatelů (cca 30 % nákladů).</w:t>
      </w:r>
      <w:r w:rsidR="00D84F98">
        <w:rPr>
          <w:rFonts w:asciiTheme="minorHAnsi" w:hAnsiTheme="minorHAnsi" w:cstheme="minorHAnsi"/>
        </w:rPr>
        <w:t xml:space="preserve"> </w:t>
      </w:r>
    </w:p>
    <w:p w14:paraId="5A78F953" w14:textId="77777777" w:rsidR="00754EE0" w:rsidRDefault="00754EE0">
      <w:pPr>
        <w:jc w:val="both"/>
        <w:rPr>
          <w:rFonts w:asciiTheme="minorHAnsi" w:hAnsiTheme="minorHAnsi" w:cstheme="minorHAnsi"/>
        </w:rPr>
      </w:pPr>
    </w:p>
    <w:p w14:paraId="6E01CC2D" w14:textId="2124DE63" w:rsidR="004B2ABF" w:rsidRDefault="00D84F98" w:rsidP="00BD2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Kontrolou NKÚ byla ověřována správnost přiřazování nákladů za tři vybrané položky z výkazů</w:t>
      </w:r>
      <w:r w:rsidR="00BD2531">
        <w:rPr>
          <w:rFonts w:asciiTheme="minorHAnsi" w:hAnsiTheme="minorHAnsi" w:cstheme="minorHAnsi"/>
        </w:rPr>
        <w:t xml:space="preserve"> nákladů a výnosů za rok 2013 týkající se tří smluv o závazku veřejné služby uzavřených mezi MD a ČD.</w:t>
      </w:r>
      <w:r w:rsidR="004B2ABF">
        <w:rPr>
          <w:rFonts w:asciiTheme="minorHAnsi" w:hAnsiTheme="minorHAnsi" w:cstheme="minorHAnsi"/>
        </w:rPr>
        <w:t xml:space="preserve"> Vyplynulo z ní, že kontrolu správnosti vykazované ztráty </w:t>
      </w:r>
      <w:r w:rsidR="00D57680">
        <w:rPr>
          <w:rFonts w:asciiTheme="minorHAnsi" w:hAnsiTheme="minorHAnsi" w:cstheme="minorHAnsi"/>
        </w:rPr>
        <w:t xml:space="preserve">vnějšími orgány omezoval </w:t>
      </w:r>
      <w:r w:rsidR="004B2ABF">
        <w:rPr>
          <w:rFonts w:asciiTheme="minorHAnsi" w:hAnsiTheme="minorHAnsi" w:cstheme="minorHAnsi"/>
        </w:rPr>
        <w:t xml:space="preserve">značný rozsah vstupních dat (tisíce položek pro každý automaticky sestavovaný výkaz za jeden den) a nemožnost rozboru </w:t>
      </w:r>
      <w:r>
        <w:rPr>
          <w:rFonts w:asciiTheme="minorHAnsi" w:hAnsiTheme="minorHAnsi" w:cstheme="minorHAnsi"/>
        </w:rPr>
        <w:t>jednotlivých</w:t>
      </w:r>
      <w:r w:rsidR="004B2ABF">
        <w:rPr>
          <w:rFonts w:asciiTheme="minorHAnsi" w:hAnsiTheme="minorHAnsi" w:cstheme="minorHAnsi"/>
        </w:rPr>
        <w:t xml:space="preserve"> operací zahrnutých do výpočtu ztráty prostřednictvím jiného programového vybavení než </w:t>
      </w:r>
      <w:r w:rsidR="002546EF">
        <w:rPr>
          <w:rFonts w:asciiTheme="minorHAnsi" w:hAnsiTheme="minorHAnsi" w:cstheme="minorHAnsi"/>
        </w:rPr>
        <w:t>používan</w:t>
      </w:r>
      <w:r w:rsidR="003C109A">
        <w:rPr>
          <w:rFonts w:asciiTheme="minorHAnsi" w:hAnsiTheme="minorHAnsi" w:cstheme="minorHAnsi"/>
        </w:rPr>
        <w:t>ého</w:t>
      </w:r>
      <w:r w:rsidR="004B2ABF">
        <w:rPr>
          <w:rFonts w:asciiTheme="minorHAnsi" w:hAnsiTheme="minorHAnsi" w:cstheme="minorHAnsi"/>
        </w:rPr>
        <w:t xml:space="preserve"> ČD.</w:t>
      </w:r>
    </w:p>
    <w:p w14:paraId="5602D12F" w14:textId="77777777" w:rsidR="000656FD" w:rsidRDefault="000656FD">
      <w:pPr>
        <w:jc w:val="both"/>
        <w:rPr>
          <w:rFonts w:asciiTheme="minorHAnsi" w:hAnsiTheme="minorHAnsi" w:cstheme="minorHAnsi"/>
        </w:rPr>
      </w:pPr>
    </w:p>
    <w:p w14:paraId="451FD536" w14:textId="2D3B4C6A" w:rsidR="00C95403" w:rsidRPr="00DB3BE6" w:rsidRDefault="0096002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MD bylo podle smluv o závazku veřejné služby </w:t>
      </w:r>
      <w:r w:rsidR="00C95403">
        <w:rPr>
          <w:rFonts w:asciiTheme="minorHAnsi" w:hAnsiTheme="minorHAnsi" w:cstheme="minorHAnsi"/>
        </w:rPr>
        <w:t>pro ověření správnost</w:t>
      </w:r>
      <w:r w:rsidR="006A136B">
        <w:rPr>
          <w:rFonts w:asciiTheme="minorHAnsi" w:hAnsiTheme="minorHAnsi" w:cstheme="minorHAnsi"/>
        </w:rPr>
        <w:t>i</w:t>
      </w:r>
      <w:r w:rsidR="00C95403">
        <w:rPr>
          <w:rFonts w:asciiTheme="minorHAnsi" w:hAnsiTheme="minorHAnsi" w:cstheme="minorHAnsi"/>
        </w:rPr>
        <w:t xml:space="preserve"> vykazované výše ztráty </w:t>
      </w:r>
      <w:r w:rsidR="00B75BC2">
        <w:rPr>
          <w:rFonts w:asciiTheme="minorHAnsi" w:hAnsiTheme="minorHAnsi" w:cstheme="minorHAnsi"/>
        </w:rPr>
        <w:t xml:space="preserve">oprávněno </w:t>
      </w:r>
      <w:r>
        <w:rPr>
          <w:rFonts w:asciiTheme="minorHAnsi" w:hAnsiTheme="minorHAnsi" w:cstheme="minorHAnsi"/>
        </w:rPr>
        <w:t xml:space="preserve">k provedení kontroly </w:t>
      </w:r>
      <w:r w:rsidR="00C95403">
        <w:rPr>
          <w:rFonts w:asciiTheme="minorHAnsi" w:hAnsiTheme="minorHAnsi" w:cstheme="minorHAnsi"/>
        </w:rPr>
        <w:t xml:space="preserve">dokladů </w:t>
      </w:r>
      <w:r>
        <w:rPr>
          <w:rFonts w:asciiTheme="minorHAnsi" w:hAnsiTheme="minorHAnsi" w:cstheme="minorHAnsi"/>
        </w:rPr>
        <w:t>v ní vyjmenovaných.</w:t>
      </w:r>
      <w:r w:rsidR="00C95403">
        <w:rPr>
          <w:rFonts w:asciiTheme="minorHAnsi" w:hAnsiTheme="minorHAnsi" w:cstheme="minorHAnsi"/>
        </w:rPr>
        <w:t xml:space="preserve"> MD však v letech 2010 až 2013 a 2015 žádnou takovou kontrolu neprovedlo. V září 2014 sice zahájilo</w:t>
      </w:r>
      <w:r w:rsidR="00074C39">
        <w:rPr>
          <w:rFonts w:asciiTheme="minorHAnsi" w:hAnsiTheme="minorHAnsi" w:cstheme="minorHAnsi"/>
        </w:rPr>
        <w:t xml:space="preserve"> </w:t>
      </w:r>
      <w:r w:rsidR="00EF2ED5">
        <w:rPr>
          <w:rFonts w:asciiTheme="minorHAnsi" w:hAnsiTheme="minorHAnsi" w:cstheme="minorHAnsi"/>
        </w:rPr>
        <w:t xml:space="preserve">u ČD </w:t>
      </w:r>
      <w:r w:rsidR="00074C39">
        <w:rPr>
          <w:rFonts w:asciiTheme="minorHAnsi" w:hAnsiTheme="minorHAnsi" w:cstheme="minorHAnsi"/>
        </w:rPr>
        <w:t>na základě externího podnětu</w:t>
      </w:r>
      <w:r w:rsidR="00C95403">
        <w:rPr>
          <w:rFonts w:asciiTheme="minorHAnsi" w:hAnsiTheme="minorHAnsi" w:cstheme="minorHAnsi"/>
        </w:rPr>
        <w:t xml:space="preserve"> kontrolu zaměřenou na oprávněnost vybraných položek vykázaných v rámci stanovení ztráty z provozov</w:t>
      </w:r>
      <w:r w:rsidR="000D71FE">
        <w:rPr>
          <w:rFonts w:asciiTheme="minorHAnsi" w:hAnsiTheme="minorHAnsi" w:cstheme="minorHAnsi"/>
        </w:rPr>
        <w:t>ání vlaků k zajištění dopravní</w:t>
      </w:r>
      <w:r w:rsidR="00C95403">
        <w:rPr>
          <w:rFonts w:asciiTheme="minorHAnsi" w:hAnsiTheme="minorHAnsi" w:cstheme="minorHAnsi"/>
        </w:rPr>
        <w:t xml:space="preserve"> </w:t>
      </w:r>
      <w:r w:rsidR="000D71FE">
        <w:rPr>
          <w:rFonts w:asciiTheme="minorHAnsi" w:hAnsiTheme="minorHAnsi" w:cstheme="minorHAnsi"/>
        </w:rPr>
        <w:t>obslužnosti</w:t>
      </w:r>
      <w:r w:rsidR="00C95403">
        <w:rPr>
          <w:rFonts w:asciiTheme="minorHAnsi" w:hAnsiTheme="minorHAnsi" w:cstheme="minorHAnsi"/>
        </w:rPr>
        <w:t xml:space="preserve"> státu, ale</w:t>
      </w:r>
      <w:r w:rsidR="005A75D8">
        <w:rPr>
          <w:rFonts w:asciiTheme="minorHAnsi" w:hAnsiTheme="minorHAnsi" w:cstheme="minorHAnsi"/>
        </w:rPr>
        <w:t xml:space="preserve"> ke dni ukončení </w:t>
      </w:r>
      <w:r w:rsidR="00C95403">
        <w:rPr>
          <w:rFonts w:asciiTheme="minorHAnsi" w:hAnsiTheme="minorHAnsi" w:cstheme="minorHAnsi"/>
        </w:rPr>
        <w:t xml:space="preserve">kontroly </w:t>
      </w:r>
      <w:r w:rsidR="008A17C8">
        <w:rPr>
          <w:rFonts w:asciiTheme="minorHAnsi" w:hAnsiTheme="minorHAnsi" w:cstheme="minorHAnsi"/>
        </w:rPr>
        <w:t xml:space="preserve">NKÚ </w:t>
      </w:r>
      <w:r w:rsidR="00C95403">
        <w:rPr>
          <w:rFonts w:asciiTheme="minorHAnsi" w:hAnsiTheme="minorHAnsi" w:cstheme="minorHAnsi"/>
        </w:rPr>
        <w:t>ji ještě nedokončilo. Ter</w:t>
      </w:r>
      <w:r w:rsidR="00B75BC2">
        <w:rPr>
          <w:rFonts w:asciiTheme="minorHAnsi" w:hAnsiTheme="minorHAnsi" w:cstheme="minorHAnsi"/>
        </w:rPr>
        <w:t>mín jejího dokončení nesdělilo.</w:t>
      </w:r>
      <w:r w:rsidR="003E1214">
        <w:rPr>
          <w:rFonts w:asciiTheme="minorHAnsi" w:hAnsiTheme="minorHAnsi" w:cstheme="minorHAnsi"/>
        </w:rPr>
        <w:t xml:space="preserve"> </w:t>
      </w:r>
      <w:r w:rsidR="00EF2ED5">
        <w:rPr>
          <w:rFonts w:asciiTheme="minorHAnsi" w:hAnsiTheme="minorHAnsi" w:cstheme="minorHAnsi"/>
        </w:rPr>
        <w:t xml:space="preserve"> </w:t>
      </w:r>
    </w:p>
    <w:p w14:paraId="714349FD" w14:textId="77777777" w:rsidR="006E1AFD" w:rsidRDefault="006E1AFD">
      <w:pPr>
        <w:jc w:val="both"/>
        <w:rPr>
          <w:rFonts w:asciiTheme="minorHAnsi" w:hAnsiTheme="minorHAnsi" w:cstheme="minorHAnsi"/>
          <w:b/>
        </w:rPr>
      </w:pPr>
    </w:p>
    <w:p w14:paraId="3D7A52CA" w14:textId="77777777" w:rsidR="003F6567" w:rsidRDefault="00B3345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4</w:t>
      </w:r>
      <w:r w:rsidR="003F6567">
        <w:rPr>
          <w:rFonts w:asciiTheme="minorHAnsi" w:hAnsiTheme="minorHAnsi" w:cstheme="minorHAnsi"/>
          <w:b/>
        </w:rPr>
        <w:t>. Otevírání trhu</w:t>
      </w:r>
      <w:r w:rsidR="00652C65">
        <w:rPr>
          <w:rFonts w:asciiTheme="minorHAnsi" w:hAnsiTheme="minorHAnsi" w:cstheme="minorHAnsi"/>
          <w:b/>
        </w:rPr>
        <w:t xml:space="preserve"> veřejných služeb v přepravě cestujících</w:t>
      </w:r>
    </w:p>
    <w:p w14:paraId="18C6EE2B" w14:textId="77777777" w:rsidR="00652C65" w:rsidRDefault="00652C65" w:rsidP="00E76C93">
      <w:pPr>
        <w:jc w:val="both"/>
        <w:rPr>
          <w:rFonts w:asciiTheme="minorHAnsi" w:hAnsiTheme="minorHAnsi" w:cstheme="minorHAnsi"/>
        </w:rPr>
      </w:pPr>
    </w:p>
    <w:p w14:paraId="22ABB8D8" w14:textId="0435D2AE" w:rsidR="00652C65" w:rsidRPr="00652C65" w:rsidRDefault="00652C65" w:rsidP="00E76C93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MD úspěšně nedokončilo, kromě</w:t>
      </w:r>
      <w:r w:rsidR="00F00D4A">
        <w:rPr>
          <w:rFonts w:asciiTheme="minorHAnsi" w:hAnsiTheme="minorHAnsi" w:cstheme="minorHAnsi"/>
          <w:b/>
        </w:rPr>
        <w:t xml:space="preserve"> v bodu 2.1 </w:t>
      </w:r>
      <w:r w:rsidR="004221B6">
        <w:rPr>
          <w:rFonts w:asciiTheme="minorHAnsi" w:hAnsiTheme="minorHAnsi" w:cstheme="minorHAnsi"/>
          <w:b/>
        </w:rPr>
        <w:t>zmíněného</w:t>
      </w:r>
      <w:r>
        <w:rPr>
          <w:rFonts w:asciiTheme="minorHAnsi" w:hAnsiTheme="minorHAnsi" w:cstheme="minorHAnsi"/>
          <w:b/>
        </w:rPr>
        <w:t xml:space="preserve"> </w:t>
      </w:r>
      <w:r w:rsidR="00F00D4A">
        <w:rPr>
          <w:rFonts w:asciiTheme="minorHAnsi" w:hAnsiTheme="minorHAnsi" w:cstheme="minorHAnsi"/>
          <w:b/>
        </w:rPr>
        <w:t xml:space="preserve">zadávacího řízení </w:t>
      </w:r>
      <w:r w:rsidR="0056556D">
        <w:rPr>
          <w:rFonts w:asciiTheme="minorHAnsi" w:hAnsiTheme="minorHAnsi" w:cstheme="minorHAnsi"/>
          <w:b/>
        </w:rPr>
        <w:t xml:space="preserve">z roku 2005 </w:t>
      </w:r>
      <w:r w:rsidR="00F00D4A">
        <w:rPr>
          <w:rFonts w:asciiTheme="minorHAnsi" w:hAnsiTheme="minorHAnsi" w:cstheme="minorHAnsi"/>
          <w:b/>
        </w:rPr>
        <w:t xml:space="preserve">na </w:t>
      </w:r>
      <w:r w:rsidR="000F33B8">
        <w:rPr>
          <w:rFonts w:asciiTheme="minorHAnsi" w:hAnsiTheme="minorHAnsi" w:cstheme="minorHAnsi"/>
          <w:b/>
        </w:rPr>
        <w:t>linky</w:t>
      </w:r>
      <w:r w:rsidR="0056556D">
        <w:rPr>
          <w:rFonts w:asciiTheme="minorHAnsi" w:hAnsiTheme="minorHAnsi" w:cstheme="minorHAnsi"/>
          <w:b/>
        </w:rPr>
        <w:t xml:space="preserve"> </w:t>
      </w:r>
      <w:r w:rsidR="0056556D" w:rsidRPr="000B51BE">
        <w:rPr>
          <w:rFonts w:asciiTheme="minorHAnsi" w:hAnsiTheme="minorHAnsi" w:cstheme="minorHAnsi"/>
          <w:b/>
        </w:rPr>
        <w:t>R14</w:t>
      </w:r>
      <w:r w:rsidR="00F00D4A" w:rsidRPr="000B51BE">
        <w:rPr>
          <w:rFonts w:asciiTheme="minorHAnsi" w:hAnsiTheme="minorHAnsi" w:cstheme="minorHAnsi"/>
          <w:b/>
        </w:rPr>
        <w:t xml:space="preserve"> </w:t>
      </w:r>
      <w:r w:rsidR="0056556D" w:rsidRPr="00DB3BE6">
        <w:rPr>
          <w:rFonts w:asciiTheme="minorHAnsi" w:hAnsiTheme="minorHAnsi" w:cstheme="minorHAnsi"/>
          <w:b/>
        </w:rPr>
        <w:t>Pardubice – Liberec</w:t>
      </w:r>
      <w:r w:rsidR="0056556D" w:rsidRPr="000B51BE">
        <w:rPr>
          <w:rFonts w:asciiTheme="minorHAnsi" w:hAnsiTheme="minorHAnsi" w:cstheme="minorHAnsi"/>
          <w:b/>
        </w:rPr>
        <w:t xml:space="preserve"> a R16 </w:t>
      </w:r>
      <w:r w:rsidR="00F00D4A" w:rsidRPr="00DB3BE6">
        <w:rPr>
          <w:rFonts w:asciiTheme="minorHAnsi" w:hAnsiTheme="minorHAnsi" w:cstheme="minorHAnsi"/>
          <w:b/>
        </w:rPr>
        <w:t>Plzeň</w:t>
      </w:r>
      <w:r w:rsidR="007963C6">
        <w:rPr>
          <w:rFonts w:asciiTheme="minorHAnsi" w:hAnsiTheme="minorHAnsi" w:cstheme="minorHAnsi"/>
          <w:b/>
        </w:rPr>
        <w:t xml:space="preserve"> </w:t>
      </w:r>
      <w:r w:rsidR="00F00D4A" w:rsidRPr="00DB3BE6">
        <w:rPr>
          <w:rFonts w:asciiTheme="minorHAnsi" w:hAnsiTheme="minorHAnsi" w:cstheme="minorHAnsi"/>
          <w:b/>
        </w:rPr>
        <w:t>–</w:t>
      </w:r>
      <w:r w:rsidR="007963C6">
        <w:rPr>
          <w:rFonts w:asciiTheme="minorHAnsi" w:hAnsiTheme="minorHAnsi" w:cstheme="minorHAnsi"/>
          <w:b/>
        </w:rPr>
        <w:t xml:space="preserve"> </w:t>
      </w:r>
      <w:r w:rsidR="00F00D4A" w:rsidRPr="00DB3BE6">
        <w:rPr>
          <w:rFonts w:asciiTheme="minorHAnsi" w:hAnsiTheme="minorHAnsi" w:cstheme="minorHAnsi"/>
          <w:b/>
        </w:rPr>
        <w:t>Most</w:t>
      </w:r>
      <w:r w:rsidR="002657F9">
        <w:rPr>
          <w:rFonts w:asciiTheme="minorHAnsi" w:hAnsiTheme="minorHAnsi" w:cstheme="minorHAnsi"/>
          <w:b/>
        </w:rPr>
        <w:t>,</w:t>
      </w:r>
      <w:r w:rsidR="00F00D4A">
        <w:rPr>
          <w:rFonts w:asciiTheme="minorHAnsi" w:hAnsiTheme="minorHAnsi" w:cstheme="minorHAnsi"/>
          <w:b/>
        </w:rPr>
        <w:t xml:space="preserve"> žádné nabídkové řízení v oblasti veřejných služeb v přepravě cestujících vlaky osobní dopravy.</w:t>
      </w:r>
      <w:r w:rsidR="0056556D">
        <w:rPr>
          <w:rFonts w:asciiTheme="minorHAnsi" w:hAnsiTheme="minorHAnsi" w:cstheme="minorHAnsi"/>
          <w:b/>
        </w:rPr>
        <w:t xml:space="preserve"> </w:t>
      </w:r>
    </w:p>
    <w:p w14:paraId="30DF0C6A" w14:textId="77777777" w:rsidR="00652C65" w:rsidRDefault="00652C65" w:rsidP="00E76C93">
      <w:pPr>
        <w:jc w:val="both"/>
        <w:rPr>
          <w:rFonts w:asciiTheme="minorHAnsi" w:hAnsiTheme="minorHAnsi" w:cstheme="minorHAnsi"/>
        </w:rPr>
      </w:pPr>
    </w:p>
    <w:p w14:paraId="77EBFF18" w14:textId="7E777ED4" w:rsidR="007D4664" w:rsidRDefault="0056556D" w:rsidP="00E76C9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MD </w:t>
      </w:r>
      <w:r w:rsidR="00893291">
        <w:rPr>
          <w:rFonts w:asciiTheme="minorHAnsi" w:hAnsiTheme="minorHAnsi" w:cstheme="minorHAnsi"/>
        </w:rPr>
        <w:t>v </w:t>
      </w:r>
      <w:r w:rsidR="0058792F">
        <w:rPr>
          <w:rFonts w:asciiTheme="minorHAnsi" w:hAnsiTheme="minorHAnsi" w:cstheme="minorHAnsi"/>
        </w:rPr>
        <w:t>dopravní politice pro období let 2005 až 2013 stanovilo, že do roku 2013 dosáhne 10 % podílu v osobní železniční dopravě výkony jiných dopravců než ČD. Tento záměr nesplnilo. V</w:t>
      </w:r>
      <w:r>
        <w:rPr>
          <w:rFonts w:asciiTheme="minorHAnsi" w:hAnsiTheme="minorHAnsi" w:cstheme="minorHAnsi"/>
        </w:rPr>
        <w:t> navazující</w:t>
      </w:r>
      <w:r w:rsidR="0058792F">
        <w:rPr>
          <w:rFonts w:asciiTheme="minorHAnsi" w:hAnsiTheme="minorHAnsi" w:cstheme="minorHAnsi"/>
        </w:rPr>
        <w:t> dopravní politice pro období let 2014 až 2020 záměr upravilo tak, že do roku 2017 má dosáhnout 10</w:t>
      </w:r>
      <w:r w:rsidR="007963C6">
        <w:rPr>
          <w:rFonts w:asciiTheme="minorHAnsi" w:hAnsiTheme="minorHAnsi" w:cstheme="minorHAnsi"/>
        </w:rPr>
        <w:t> </w:t>
      </w:r>
      <w:r w:rsidR="0058792F">
        <w:rPr>
          <w:rFonts w:asciiTheme="minorHAnsi" w:hAnsiTheme="minorHAnsi" w:cstheme="minorHAnsi"/>
        </w:rPr>
        <w:t>% podílu výkonů osobní železniční dopravy na základě nabídkového řízení nebo v režimu otevřeného trhu.</w:t>
      </w:r>
      <w:r>
        <w:rPr>
          <w:rFonts w:asciiTheme="minorHAnsi" w:hAnsiTheme="minorHAnsi" w:cstheme="minorHAnsi"/>
        </w:rPr>
        <w:t xml:space="preserve"> Podle zjištěného stavu ani tento záměr nebude </w:t>
      </w:r>
      <w:r w:rsidR="00F43171">
        <w:rPr>
          <w:rFonts w:asciiTheme="minorHAnsi" w:hAnsiTheme="minorHAnsi" w:cstheme="minorHAnsi"/>
        </w:rPr>
        <w:t>naplněn</w:t>
      </w:r>
      <w:r>
        <w:rPr>
          <w:rFonts w:asciiTheme="minorHAnsi" w:hAnsiTheme="minorHAnsi" w:cstheme="minorHAnsi"/>
        </w:rPr>
        <w:t>.</w:t>
      </w:r>
      <w:r w:rsidR="005879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</w:p>
    <w:p w14:paraId="33A62B96" w14:textId="77777777" w:rsidR="007D4664" w:rsidRDefault="007D4664" w:rsidP="00E76C93">
      <w:pPr>
        <w:jc w:val="both"/>
        <w:rPr>
          <w:rFonts w:asciiTheme="minorHAnsi" w:hAnsiTheme="minorHAnsi" w:cstheme="minorHAnsi"/>
        </w:rPr>
      </w:pPr>
    </w:p>
    <w:p w14:paraId="08E2FAAE" w14:textId="23B6E8F4" w:rsidR="008D2C1A" w:rsidRDefault="00F43171" w:rsidP="00E76C9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Možnost zadat až 75 % dopravních výkonů objednaných v této smlouvě dopravcům vybraným v nabídkovém řízení</w:t>
      </w:r>
      <w:r w:rsidR="004221B6">
        <w:rPr>
          <w:rFonts w:asciiTheme="minorHAnsi" w:hAnsiTheme="minorHAnsi" w:cstheme="minorHAnsi"/>
        </w:rPr>
        <w:t xml:space="preserve"> přitom</w:t>
      </w:r>
      <w:r>
        <w:rPr>
          <w:rFonts w:asciiTheme="minorHAnsi" w:hAnsiTheme="minorHAnsi" w:cstheme="minorHAnsi"/>
        </w:rPr>
        <w:t xml:space="preserve"> MD </w:t>
      </w:r>
      <w:r w:rsidR="004221B6">
        <w:rPr>
          <w:rFonts w:asciiTheme="minorHAnsi" w:hAnsiTheme="minorHAnsi" w:cstheme="minorHAnsi"/>
        </w:rPr>
        <w:t xml:space="preserve">dohodlo </w:t>
      </w:r>
      <w:r w:rsidR="00893291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>dominantní</w:t>
      </w:r>
      <w:r w:rsidR="007D4664">
        <w:rPr>
          <w:rFonts w:asciiTheme="minorHAnsi" w:hAnsiTheme="minorHAnsi" w:cstheme="minorHAnsi"/>
        </w:rPr>
        <w:t xml:space="preserve"> </w:t>
      </w:r>
      <w:r w:rsidR="007D4664" w:rsidRPr="00DB3BE6">
        <w:rPr>
          <w:rFonts w:asciiTheme="minorHAnsi" w:hAnsiTheme="minorHAnsi" w:cstheme="minorHAnsi"/>
          <w:i/>
        </w:rPr>
        <w:t>smlouvě o závazku veřejné služby</w:t>
      </w:r>
      <w:r w:rsidR="007D4664">
        <w:rPr>
          <w:rFonts w:asciiTheme="minorHAnsi" w:hAnsiTheme="minorHAnsi" w:cstheme="minorHAnsi"/>
        </w:rPr>
        <w:t>, kterou uzavřelo s ČD na období od 1. 1. 2010 do konce</w:t>
      </w:r>
      <w:r w:rsidR="00B75BC2">
        <w:rPr>
          <w:rFonts w:asciiTheme="minorHAnsi" w:hAnsiTheme="minorHAnsi" w:cstheme="minorHAnsi"/>
        </w:rPr>
        <w:t xml:space="preserve"> platnosti jízdního řádu 2018/</w:t>
      </w:r>
      <w:r w:rsidR="007D4664">
        <w:rPr>
          <w:rFonts w:asciiTheme="minorHAnsi" w:hAnsiTheme="minorHAnsi" w:cstheme="minorHAnsi"/>
        </w:rPr>
        <w:t>19</w:t>
      </w:r>
      <w:r>
        <w:rPr>
          <w:rFonts w:asciiTheme="minorHAnsi" w:hAnsiTheme="minorHAnsi" w:cstheme="minorHAnsi"/>
        </w:rPr>
        <w:t>.</w:t>
      </w:r>
      <w:r w:rsidR="004221B6">
        <w:rPr>
          <w:rFonts w:asciiTheme="minorHAnsi" w:hAnsiTheme="minorHAnsi" w:cstheme="minorHAnsi"/>
        </w:rPr>
        <w:t xml:space="preserve"> </w:t>
      </w:r>
    </w:p>
    <w:p w14:paraId="06B788E1" w14:textId="77777777" w:rsidR="008C6E7B" w:rsidRDefault="008C6E7B" w:rsidP="00E76C93">
      <w:pPr>
        <w:jc w:val="both"/>
        <w:rPr>
          <w:rFonts w:asciiTheme="minorHAnsi" w:hAnsiTheme="minorHAnsi" w:cstheme="minorHAnsi"/>
        </w:rPr>
      </w:pPr>
    </w:p>
    <w:p w14:paraId="4A0AE4E6" w14:textId="62C240C5" w:rsidR="009C3A2A" w:rsidRDefault="008D2C1A" w:rsidP="00E76C9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Časový plán otevírání trhu veřejných služeb v přepravě cestujících schválila</w:t>
      </w:r>
      <w:r w:rsidR="00F43171">
        <w:rPr>
          <w:rFonts w:asciiTheme="minorHAnsi" w:hAnsiTheme="minorHAnsi" w:cstheme="minorHAnsi"/>
        </w:rPr>
        <w:t xml:space="preserve"> podle návrhu MD</w:t>
      </w:r>
      <w:r>
        <w:rPr>
          <w:rFonts w:asciiTheme="minorHAnsi" w:hAnsiTheme="minorHAnsi" w:cstheme="minorHAnsi"/>
        </w:rPr>
        <w:t xml:space="preserve"> vláda usnesením ze dne 8. června</w:t>
      </w:r>
      <w:r w:rsidR="00A61447">
        <w:rPr>
          <w:rFonts w:asciiTheme="minorHAnsi" w:hAnsiTheme="minorHAnsi" w:cstheme="minorHAnsi"/>
        </w:rPr>
        <w:t xml:space="preserve"> 2011</w:t>
      </w:r>
      <w:r>
        <w:rPr>
          <w:rFonts w:asciiTheme="minorHAnsi" w:hAnsiTheme="minorHAnsi" w:cstheme="minorHAnsi"/>
        </w:rPr>
        <w:t xml:space="preserve"> č. 423</w:t>
      </w:r>
      <w:r>
        <w:rPr>
          <w:rStyle w:val="Znakapoznpodarou"/>
          <w:rFonts w:asciiTheme="minorHAnsi" w:hAnsiTheme="minorHAnsi" w:cstheme="minorHAnsi"/>
        </w:rPr>
        <w:footnoteReference w:id="12"/>
      </w:r>
      <w:r>
        <w:rPr>
          <w:rFonts w:asciiTheme="minorHAnsi" w:hAnsiTheme="minorHAnsi" w:cstheme="minorHAnsi"/>
        </w:rPr>
        <w:t xml:space="preserve">. </w:t>
      </w:r>
      <w:r w:rsidR="00F43171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 období od</w:t>
      </w:r>
      <w:r w:rsidR="00F43171">
        <w:rPr>
          <w:rFonts w:asciiTheme="minorHAnsi" w:hAnsiTheme="minorHAnsi" w:cstheme="minorHAnsi"/>
        </w:rPr>
        <w:t xml:space="preserve"> platnosti jízdního řádu 2013/</w:t>
      </w:r>
      <w:r>
        <w:rPr>
          <w:rFonts w:asciiTheme="minorHAnsi" w:hAnsiTheme="minorHAnsi" w:cstheme="minorHAnsi"/>
        </w:rPr>
        <w:t>14 do</w:t>
      </w:r>
      <w:r w:rsidR="00F43171">
        <w:rPr>
          <w:rFonts w:asciiTheme="minorHAnsi" w:hAnsiTheme="minorHAnsi" w:cstheme="minorHAnsi"/>
        </w:rPr>
        <w:t xml:space="preserve"> platnosti jízdního řádu 2018/</w:t>
      </w:r>
      <w:r>
        <w:rPr>
          <w:rFonts w:asciiTheme="minorHAnsi" w:hAnsiTheme="minorHAnsi" w:cstheme="minorHAnsi"/>
        </w:rPr>
        <w:t>19</w:t>
      </w:r>
      <w:r w:rsidR="00F43171">
        <w:rPr>
          <w:rFonts w:asciiTheme="minorHAnsi" w:hAnsiTheme="minorHAnsi" w:cstheme="minorHAnsi"/>
        </w:rPr>
        <w:t xml:space="preserve"> tak mělo být</w:t>
      </w:r>
      <w:r>
        <w:rPr>
          <w:rFonts w:asciiTheme="minorHAnsi" w:hAnsiTheme="minorHAnsi" w:cstheme="minorHAnsi"/>
        </w:rPr>
        <w:t xml:space="preserve"> zadáno</w:t>
      </w:r>
      <w:r w:rsidR="000D71FE">
        <w:rPr>
          <w:rFonts w:asciiTheme="minorHAnsi" w:hAnsiTheme="minorHAnsi" w:cstheme="minorHAnsi"/>
        </w:rPr>
        <w:t xml:space="preserve"> k zajištění dopravní</w:t>
      </w:r>
      <w:r w:rsidR="009C3A2A">
        <w:rPr>
          <w:rFonts w:asciiTheme="minorHAnsi" w:hAnsiTheme="minorHAnsi" w:cstheme="minorHAnsi"/>
        </w:rPr>
        <w:t xml:space="preserve"> </w:t>
      </w:r>
      <w:r w:rsidR="000D71FE">
        <w:rPr>
          <w:rFonts w:asciiTheme="minorHAnsi" w:hAnsiTheme="minorHAnsi" w:cstheme="minorHAnsi"/>
        </w:rPr>
        <w:t>obslužnosti</w:t>
      </w:r>
      <w:r w:rsidR="009C3A2A">
        <w:rPr>
          <w:rFonts w:asciiTheme="minorHAnsi" w:hAnsiTheme="minorHAnsi" w:cstheme="minorHAnsi"/>
        </w:rPr>
        <w:t xml:space="preserve"> státu</w:t>
      </w:r>
      <w:r>
        <w:rPr>
          <w:rFonts w:asciiTheme="minorHAnsi" w:hAnsiTheme="minorHAnsi" w:cstheme="minorHAnsi"/>
        </w:rPr>
        <w:t xml:space="preserve"> v nabídkových řízeních 13 linek</w:t>
      </w:r>
      <w:r w:rsidR="009C3A2A">
        <w:rPr>
          <w:rFonts w:asciiTheme="minorHAnsi" w:hAnsiTheme="minorHAnsi" w:cstheme="minorHAnsi"/>
        </w:rPr>
        <w:t xml:space="preserve"> osobní železniční dopravy</w:t>
      </w:r>
      <w:r w:rsidR="00F43171">
        <w:rPr>
          <w:rFonts w:asciiTheme="minorHAnsi" w:hAnsiTheme="minorHAnsi" w:cstheme="minorHAnsi"/>
        </w:rPr>
        <w:t xml:space="preserve">, </w:t>
      </w:r>
      <w:r w:rsidR="009C3A2A">
        <w:rPr>
          <w:rFonts w:asciiTheme="minorHAnsi" w:hAnsiTheme="minorHAnsi" w:cstheme="minorHAnsi"/>
        </w:rPr>
        <w:t>tj.</w:t>
      </w:r>
      <w:r w:rsidR="00F43171">
        <w:rPr>
          <w:rFonts w:asciiTheme="minorHAnsi" w:hAnsiTheme="minorHAnsi" w:cstheme="minorHAnsi"/>
        </w:rPr>
        <w:t xml:space="preserve"> cca 45</w:t>
      </w:r>
      <w:r w:rsidR="009C3A2A">
        <w:rPr>
          <w:rFonts w:asciiTheme="minorHAnsi" w:hAnsiTheme="minorHAnsi" w:cstheme="minorHAnsi"/>
        </w:rPr>
        <w:t xml:space="preserve"> %. Z </w:t>
      </w:r>
      <w:r w:rsidR="00F43171">
        <w:rPr>
          <w:rFonts w:asciiTheme="minorHAnsi" w:hAnsiTheme="minorHAnsi" w:cstheme="minorHAnsi"/>
        </w:rPr>
        <w:t>nich</w:t>
      </w:r>
      <w:r w:rsidR="009C3A2A">
        <w:rPr>
          <w:rFonts w:asciiTheme="minorHAnsi" w:hAnsiTheme="minorHAnsi" w:cstheme="minorHAnsi"/>
        </w:rPr>
        <w:t xml:space="preserve"> mělo být </w:t>
      </w:r>
      <w:r w:rsidR="0003083B">
        <w:rPr>
          <w:rFonts w:asciiTheme="minorHAnsi" w:hAnsiTheme="minorHAnsi" w:cstheme="minorHAnsi"/>
        </w:rPr>
        <w:t>sedm</w:t>
      </w:r>
      <w:r w:rsidR="009C3A2A">
        <w:rPr>
          <w:rFonts w:asciiTheme="minorHAnsi" w:hAnsiTheme="minorHAnsi" w:cstheme="minorHAnsi"/>
        </w:rPr>
        <w:t xml:space="preserve"> zadáno do období</w:t>
      </w:r>
      <w:r w:rsidR="00F43171">
        <w:rPr>
          <w:rFonts w:asciiTheme="minorHAnsi" w:hAnsiTheme="minorHAnsi" w:cstheme="minorHAnsi"/>
        </w:rPr>
        <w:t xml:space="preserve"> platnosti jízdního řádu 2015/</w:t>
      </w:r>
      <w:r w:rsidR="009C3A2A">
        <w:rPr>
          <w:rFonts w:asciiTheme="minorHAnsi" w:hAnsiTheme="minorHAnsi" w:cstheme="minorHAnsi"/>
        </w:rPr>
        <w:t>1</w:t>
      </w:r>
      <w:r w:rsidR="00F43171">
        <w:rPr>
          <w:rFonts w:asciiTheme="minorHAnsi" w:hAnsiTheme="minorHAnsi" w:cstheme="minorHAnsi"/>
        </w:rPr>
        <w:t>6. Tento záměr MD nerealizovalo a v</w:t>
      </w:r>
      <w:r w:rsidR="009C3A2A">
        <w:rPr>
          <w:rFonts w:asciiTheme="minorHAnsi" w:hAnsiTheme="minorHAnsi" w:cstheme="minorHAnsi"/>
        </w:rPr>
        <w:t> době kontroly byl stav následující:</w:t>
      </w:r>
    </w:p>
    <w:p w14:paraId="48369C41" w14:textId="3CBA0813" w:rsidR="005611F7" w:rsidRDefault="009C3A2A" w:rsidP="00053254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3243E9">
        <w:rPr>
          <w:rFonts w:asciiTheme="minorHAnsi" w:hAnsiTheme="minorHAnsi" w:cstheme="minorHAnsi"/>
        </w:rPr>
        <w:t xml:space="preserve">MD </w:t>
      </w:r>
      <w:r w:rsidR="00C318A2">
        <w:rPr>
          <w:rFonts w:asciiTheme="minorHAnsi" w:hAnsiTheme="minorHAnsi" w:cstheme="minorHAnsi"/>
        </w:rPr>
        <w:t xml:space="preserve">oznámilo </w:t>
      </w:r>
      <w:r w:rsidR="00EB3BD8">
        <w:rPr>
          <w:rFonts w:asciiTheme="minorHAnsi" w:hAnsiTheme="minorHAnsi" w:cstheme="minorHAnsi"/>
        </w:rPr>
        <w:t>v říjnu 2010</w:t>
      </w:r>
      <w:r w:rsidR="00761E9A">
        <w:rPr>
          <w:rFonts w:asciiTheme="minorHAnsi" w:hAnsiTheme="minorHAnsi" w:cstheme="minorHAnsi"/>
        </w:rPr>
        <w:t xml:space="preserve"> v </w:t>
      </w:r>
      <w:r w:rsidR="00761E9A" w:rsidRPr="00DB3BE6">
        <w:rPr>
          <w:rFonts w:asciiTheme="minorHAnsi" w:hAnsiTheme="minorHAnsi" w:cstheme="minorHAnsi"/>
          <w:i/>
        </w:rPr>
        <w:t>Úředním věstníku Evropské unie</w:t>
      </w:r>
      <w:r w:rsidR="00F43171">
        <w:rPr>
          <w:rFonts w:asciiTheme="minorHAnsi" w:hAnsiTheme="minorHAnsi" w:cstheme="minorHAnsi"/>
        </w:rPr>
        <w:t xml:space="preserve"> tzv. předběžné</w:t>
      </w:r>
      <w:r w:rsidR="00761E9A">
        <w:rPr>
          <w:rFonts w:asciiTheme="minorHAnsi" w:hAnsiTheme="minorHAnsi" w:cstheme="minorHAnsi"/>
        </w:rPr>
        <w:t xml:space="preserve"> rozhodnutí uzavřít v nabídkovém řízení smlouvu o veřejných službách v přepravě cestujících</w:t>
      </w:r>
      <w:r w:rsidR="00761E9A">
        <w:rPr>
          <w:rStyle w:val="Znakapoznpodarou"/>
          <w:rFonts w:asciiTheme="minorHAnsi" w:hAnsiTheme="minorHAnsi" w:cstheme="minorHAnsi"/>
        </w:rPr>
        <w:footnoteReference w:id="13"/>
      </w:r>
      <w:r w:rsidR="00761E9A">
        <w:rPr>
          <w:rFonts w:asciiTheme="minorHAnsi" w:hAnsiTheme="minorHAnsi" w:cstheme="minorHAnsi"/>
        </w:rPr>
        <w:t xml:space="preserve"> pro </w:t>
      </w:r>
      <w:r w:rsidR="00B92718">
        <w:rPr>
          <w:rFonts w:asciiTheme="minorHAnsi" w:hAnsiTheme="minorHAnsi" w:cstheme="minorHAnsi"/>
        </w:rPr>
        <w:t>linku</w:t>
      </w:r>
      <w:r w:rsidR="003243E9">
        <w:rPr>
          <w:rFonts w:asciiTheme="minorHAnsi" w:hAnsiTheme="minorHAnsi" w:cstheme="minorHAnsi"/>
        </w:rPr>
        <w:t xml:space="preserve"> </w:t>
      </w:r>
      <w:r w:rsidR="003243E9" w:rsidRPr="007963C6">
        <w:rPr>
          <w:rFonts w:asciiTheme="minorHAnsi" w:hAnsiTheme="minorHAnsi" w:cstheme="minorHAnsi"/>
        </w:rPr>
        <w:t xml:space="preserve">R27 </w:t>
      </w:r>
      <w:r w:rsidR="003243E9" w:rsidRPr="00DB3BE6">
        <w:rPr>
          <w:rFonts w:asciiTheme="minorHAnsi" w:hAnsiTheme="minorHAnsi" w:cstheme="minorHAnsi"/>
        </w:rPr>
        <w:t>Ostrava – Opava – Krnov – Olomouc/Jeseník</w:t>
      </w:r>
      <w:r w:rsidR="003243E9">
        <w:rPr>
          <w:rFonts w:asciiTheme="minorHAnsi" w:hAnsiTheme="minorHAnsi" w:cstheme="minorHAnsi"/>
        </w:rPr>
        <w:t xml:space="preserve"> s předpokládaným zahájením provozu od období</w:t>
      </w:r>
      <w:r w:rsidR="00F43171">
        <w:rPr>
          <w:rFonts w:asciiTheme="minorHAnsi" w:hAnsiTheme="minorHAnsi" w:cstheme="minorHAnsi"/>
        </w:rPr>
        <w:t xml:space="preserve"> platnosti jízdního řádu 2013/</w:t>
      </w:r>
      <w:r w:rsidR="003243E9">
        <w:rPr>
          <w:rFonts w:asciiTheme="minorHAnsi" w:hAnsiTheme="minorHAnsi" w:cstheme="minorHAnsi"/>
        </w:rPr>
        <w:t>14.</w:t>
      </w:r>
      <w:r w:rsidR="00C14741">
        <w:rPr>
          <w:rFonts w:asciiTheme="minorHAnsi" w:hAnsiTheme="minorHAnsi" w:cstheme="minorHAnsi"/>
        </w:rPr>
        <w:t xml:space="preserve"> V té době</w:t>
      </w:r>
      <w:r w:rsidR="003243E9">
        <w:rPr>
          <w:rFonts w:asciiTheme="minorHAnsi" w:hAnsiTheme="minorHAnsi" w:cstheme="minorHAnsi"/>
        </w:rPr>
        <w:t xml:space="preserve"> však</w:t>
      </w:r>
      <w:r w:rsidR="00E83049">
        <w:rPr>
          <w:rFonts w:asciiTheme="minorHAnsi" w:hAnsiTheme="minorHAnsi" w:cstheme="minorHAnsi"/>
        </w:rPr>
        <w:t xml:space="preserve"> MD</w:t>
      </w:r>
      <w:r w:rsidR="00C14741">
        <w:rPr>
          <w:rFonts w:asciiTheme="minorHAnsi" w:hAnsiTheme="minorHAnsi" w:cstheme="minorHAnsi"/>
        </w:rPr>
        <w:t xml:space="preserve"> nemělo</w:t>
      </w:r>
      <w:r w:rsidR="003243E9">
        <w:rPr>
          <w:rFonts w:asciiTheme="minorHAnsi" w:hAnsiTheme="minorHAnsi" w:cstheme="minorHAnsi"/>
        </w:rPr>
        <w:t xml:space="preserve"> vyřešenu řadu problematik, </w:t>
      </w:r>
      <w:r w:rsidR="00C14741">
        <w:rPr>
          <w:rFonts w:asciiTheme="minorHAnsi" w:hAnsiTheme="minorHAnsi" w:cstheme="minorHAnsi"/>
        </w:rPr>
        <w:t>které bránily dopravcům zúčastnit se nabídkového řízení, například šlo o </w:t>
      </w:r>
      <w:r w:rsidR="003243E9">
        <w:rPr>
          <w:rFonts w:asciiTheme="minorHAnsi" w:hAnsiTheme="minorHAnsi" w:cstheme="minorHAnsi"/>
        </w:rPr>
        <w:t>využívání veřejných prostor v budovách železničních stani</w:t>
      </w:r>
      <w:r w:rsidR="00C14741">
        <w:rPr>
          <w:rFonts w:asciiTheme="minorHAnsi" w:hAnsiTheme="minorHAnsi" w:cstheme="minorHAnsi"/>
        </w:rPr>
        <w:t xml:space="preserve">c a tarifní spolupráci dopravců. Z důvodu jednání s dopravci </w:t>
      </w:r>
      <w:r w:rsidR="00893291">
        <w:rPr>
          <w:rFonts w:asciiTheme="minorHAnsi" w:hAnsiTheme="minorHAnsi" w:cstheme="minorHAnsi"/>
        </w:rPr>
        <w:t>k </w:t>
      </w:r>
      <w:r w:rsidR="00C14741">
        <w:rPr>
          <w:rFonts w:asciiTheme="minorHAnsi" w:hAnsiTheme="minorHAnsi" w:cstheme="minorHAnsi"/>
        </w:rPr>
        <w:t xml:space="preserve">jejich řešení posunulo MD termín zahájení plnění o jeden rok. </w:t>
      </w:r>
      <w:r w:rsidR="00200E0A">
        <w:rPr>
          <w:rFonts w:asciiTheme="minorHAnsi" w:hAnsiTheme="minorHAnsi" w:cstheme="minorHAnsi"/>
        </w:rPr>
        <w:t>N</w:t>
      </w:r>
      <w:r w:rsidR="00C14741">
        <w:rPr>
          <w:rFonts w:asciiTheme="minorHAnsi" w:hAnsiTheme="minorHAnsi" w:cstheme="minorHAnsi"/>
        </w:rPr>
        <w:t xml:space="preserve">abídkové řízení </w:t>
      </w:r>
      <w:r w:rsidR="00200E0A">
        <w:rPr>
          <w:rFonts w:asciiTheme="minorHAnsi" w:hAnsiTheme="minorHAnsi" w:cstheme="minorHAnsi"/>
        </w:rPr>
        <w:t>tak z</w:t>
      </w:r>
      <w:r w:rsidR="00C14741">
        <w:rPr>
          <w:rFonts w:asciiTheme="minorHAnsi" w:hAnsiTheme="minorHAnsi" w:cstheme="minorHAnsi"/>
        </w:rPr>
        <w:t>ahájilo</w:t>
      </w:r>
      <w:r w:rsidR="00200E0A">
        <w:rPr>
          <w:rFonts w:asciiTheme="minorHAnsi" w:hAnsiTheme="minorHAnsi" w:cstheme="minorHAnsi"/>
        </w:rPr>
        <w:t xml:space="preserve"> až </w:t>
      </w:r>
      <w:r w:rsidR="00C14741">
        <w:rPr>
          <w:rFonts w:asciiTheme="minorHAnsi" w:hAnsiTheme="minorHAnsi" w:cstheme="minorHAnsi"/>
        </w:rPr>
        <w:t>v březnu 2012</w:t>
      </w:r>
      <w:r w:rsidR="00200E0A">
        <w:rPr>
          <w:rFonts w:asciiTheme="minorHAnsi" w:hAnsiTheme="minorHAnsi" w:cstheme="minorHAnsi"/>
        </w:rPr>
        <w:t xml:space="preserve">. </w:t>
      </w:r>
      <w:r w:rsidR="009A700E">
        <w:rPr>
          <w:rFonts w:asciiTheme="minorHAnsi" w:hAnsiTheme="minorHAnsi" w:cstheme="minorHAnsi"/>
        </w:rPr>
        <w:t>Nabídku</w:t>
      </w:r>
      <w:r w:rsidR="00200E0A">
        <w:rPr>
          <w:rFonts w:asciiTheme="minorHAnsi" w:hAnsiTheme="minorHAnsi" w:cstheme="minorHAnsi"/>
        </w:rPr>
        <w:t xml:space="preserve"> </w:t>
      </w:r>
      <w:r w:rsidR="00893291">
        <w:rPr>
          <w:rFonts w:asciiTheme="minorHAnsi" w:hAnsiTheme="minorHAnsi" w:cstheme="minorHAnsi"/>
        </w:rPr>
        <w:t>v </w:t>
      </w:r>
      <w:r w:rsidR="00200E0A">
        <w:rPr>
          <w:rFonts w:asciiTheme="minorHAnsi" w:hAnsiTheme="minorHAnsi" w:cstheme="minorHAnsi"/>
        </w:rPr>
        <w:t xml:space="preserve">termínu pro podání nabídek do října 2012 </w:t>
      </w:r>
      <w:r w:rsidR="009A700E">
        <w:rPr>
          <w:rFonts w:asciiTheme="minorHAnsi" w:hAnsiTheme="minorHAnsi" w:cstheme="minorHAnsi"/>
        </w:rPr>
        <w:t xml:space="preserve">podali dva uchazeči, z nichž jeden byl vyloučen </w:t>
      </w:r>
      <w:r w:rsidR="00893291">
        <w:rPr>
          <w:rFonts w:asciiTheme="minorHAnsi" w:hAnsiTheme="minorHAnsi" w:cstheme="minorHAnsi"/>
        </w:rPr>
        <w:t>z </w:t>
      </w:r>
      <w:r w:rsidR="009A700E">
        <w:rPr>
          <w:rFonts w:asciiTheme="minorHAnsi" w:hAnsiTheme="minorHAnsi" w:cstheme="minorHAnsi"/>
        </w:rPr>
        <w:t>důvodu nesplnění kvalifikačních požadavků. V průběhu zadávací lhůty podaly ČD (nabídku</w:t>
      </w:r>
      <w:r w:rsidR="00E83049">
        <w:rPr>
          <w:rFonts w:asciiTheme="minorHAnsi" w:hAnsiTheme="minorHAnsi" w:cstheme="minorHAnsi"/>
        </w:rPr>
        <w:t xml:space="preserve"> však</w:t>
      </w:r>
      <w:r w:rsidR="009A700E">
        <w:rPr>
          <w:rFonts w:asciiTheme="minorHAnsi" w:hAnsiTheme="minorHAnsi" w:cstheme="minorHAnsi"/>
        </w:rPr>
        <w:t xml:space="preserve"> nepodaly) námitky proti zadávacím podmínkám a domáhaly se zrušení nabídkového řízení. MD jim nevyhovělo. Rozhodnutím z ledna 2013 jim nevyhověl ani Úřad pro ochranu hospodářské soutěže</w:t>
      </w:r>
      <w:r w:rsidR="00CC6F0A">
        <w:rPr>
          <w:rFonts w:asciiTheme="minorHAnsi" w:hAnsiTheme="minorHAnsi" w:cstheme="minorHAnsi"/>
        </w:rPr>
        <w:t>,</w:t>
      </w:r>
      <w:r w:rsidR="00EB3BD8">
        <w:rPr>
          <w:rFonts w:asciiTheme="minorHAnsi" w:hAnsiTheme="minorHAnsi" w:cstheme="minorHAnsi"/>
        </w:rPr>
        <w:t xml:space="preserve"> ke</w:t>
      </w:r>
      <w:r w:rsidR="00CC6F0A">
        <w:rPr>
          <w:rFonts w:asciiTheme="minorHAnsi" w:hAnsiTheme="minorHAnsi" w:cstheme="minorHAnsi"/>
        </w:rPr>
        <w:t xml:space="preserve"> kterému </w:t>
      </w:r>
      <w:r w:rsidR="00E83049">
        <w:rPr>
          <w:rFonts w:asciiTheme="minorHAnsi" w:hAnsiTheme="minorHAnsi" w:cstheme="minorHAnsi"/>
        </w:rPr>
        <w:t xml:space="preserve">ČD </w:t>
      </w:r>
      <w:r w:rsidR="00CC6F0A">
        <w:rPr>
          <w:rFonts w:asciiTheme="minorHAnsi" w:hAnsiTheme="minorHAnsi" w:cstheme="minorHAnsi"/>
        </w:rPr>
        <w:t xml:space="preserve">podaly návrh </w:t>
      </w:r>
      <w:r w:rsidR="00EB3BD8">
        <w:rPr>
          <w:rFonts w:asciiTheme="minorHAnsi" w:hAnsiTheme="minorHAnsi" w:cstheme="minorHAnsi"/>
        </w:rPr>
        <w:t>na zahájení řízení o přezkoumání úkon</w:t>
      </w:r>
      <w:r w:rsidR="007963C6">
        <w:rPr>
          <w:rFonts w:asciiTheme="minorHAnsi" w:hAnsiTheme="minorHAnsi" w:cstheme="minorHAnsi"/>
        </w:rPr>
        <w:t>ů</w:t>
      </w:r>
      <w:r w:rsidR="00EB3BD8">
        <w:rPr>
          <w:rFonts w:asciiTheme="minorHAnsi" w:hAnsiTheme="minorHAnsi" w:cstheme="minorHAnsi"/>
        </w:rPr>
        <w:t xml:space="preserve"> zadavatele</w:t>
      </w:r>
      <w:r w:rsidR="009A700E">
        <w:rPr>
          <w:rFonts w:asciiTheme="minorHAnsi" w:hAnsiTheme="minorHAnsi" w:cstheme="minorHAnsi"/>
        </w:rPr>
        <w:t xml:space="preserve">. </w:t>
      </w:r>
      <w:r w:rsidR="005611F7">
        <w:rPr>
          <w:rFonts w:asciiTheme="minorHAnsi" w:hAnsiTheme="minorHAnsi" w:cstheme="minorHAnsi"/>
        </w:rPr>
        <w:t>MD</w:t>
      </w:r>
      <w:r w:rsidR="004221B6">
        <w:rPr>
          <w:rFonts w:asciiTheme="minorHAnsi" w:hAnsiTheme="minorHAnsi" w:cstheme="minorHAnsi"/>
        </w:rPr>
        <w:t xml:space="preserve"> následně</w:t>
      </w:r>
      <w:r w:rsidR="005611F7">
        <w:rPr>
          <w:rFonts w:asciiTheme="minorHAnsi" w:hAnsiTheme="minorHAnsi" w:cstheme="minorHAnsi"/>
        </w:rPr>
        <w:t xml:space="preserve"> nabídkové řízení v dubnu 2013 zrušilo v souladu se zákonem č.</w:t>
      </w:r>
      <w:r w:rsidR="007963C6">
        <w:rPr>
          <w:rFonts w:asciiTheme="minorHAnsi" w:hAnsiTheme="minorHAnsi" w:cstheme="minorHAnsi"/>
        </w:rPr>
        <w:t> </w:t>
      </w:r>
      <w:r w:rsidR="005611F7">
        <w:rPr>
          <w:rFonts w:asciiTheme="minorHAnsi" w:hAnsiTheme="minorHAnsi" w:cstheme="minorHAnsi"/>
        </w:rPr>
        <w:t>137/2006</w:t>
      </w:r>
      <w:r w:rsidR="007963C6">
        <w:rPr>
          <w:rFonts w:asciiTheme="minorHAnsi" w:hAnsiTheme="minorHAnsi" w:cstheme="minorHAnsi"/>
        </w:rPr>
        <w:t> </w:t>
      </w:r>
      <w:r w:rsidR="005611F7">
        <w:rPr>
          <w:rFonts w:asciiTheme="minorHAnsi" w:hAnsiTheme="minorHAnsi" w:cstheme="minorHAnsi"/>
        </w:rPr>
        <w:t>Sb.</w:t>
      </w:r>
      <w:r w:rsidR="005611F7">
        <w:rPr>
          <w:rStyle w:val="Znakapoznpodarou"/>
          <w:rFonts w:asciiTheme="minorHAnsi" w:hAnsiTheme="minorHAnsi" w:cstheme="minorHAnsi"/>
        </w:rPr>
        <w:footnoteReference w:id="14"/>
      </w:r>
      <w:r w:rsidR="005611F7">
        <w:rPr>
          <w:rFonts w:asciiTheme="minorHAnsi" w:hAnsiTheme="minorHAnsi" w:cstheme="minorHAnsi"/>
        </w:rPr>
        <w:t xml:space="preserve"> z důvodu, že by byla hodnocena pouze jedna nabídka. </w:t>
      </w:r>
      <w:r w:rsidR="004221B6">
        <w:rPr>
          <w:rFonts w:asciiTheme="minorHAnsi" w:hAnsiTheme="minorHAnsi" w:cstheme="minorHAnsi"/>
        </w:rPr>
        <w:t xml:space="preserve">MD sdělilo, že uzavření smlouvy pak </w:t>
      </w:r>
      <w:r w:rsidR="005611F7">
        <w:rPr>
          <w:rFonts w:asciiTheme="minorHAnsi" w:hAnsiTheme="minorHAnsi" w:cstheme="minorHAnsi"/>
        </w:rPr>
        <w:t xml:space="preserve">ústní formou </w:t>
      </w:r>
      <w:r w:rsidR="004221B6">
        <w:rPr>
          <w:rFonts w:asciiTheme="minorHAnsi" w:hAnsiTheme="minorHAnsi" w:cstheme="minorHAnsi"/>
        </w:rPr>
        <w:t xml:space="preserve">nabídlo </w:t>
      </w:r>
      <w:r w:rsidR="005611F7">
        <w:rPr>
          <w:rFonts w:asciiTheme="minorHAnsi" w:hAnsiTheme="minorHAnsi" w:cstheme="minorHAnsi"/>
        </w:rPr>
        <w:t>zbylému uchazeči, který</w:t>
      </w:r>
      <w:r w:rsidR="004221B6">
        <w:rPr>
          <w:rFonts w:asciiTheme="minorHAnsi" w:hAnsiTheme="minorHAnsi" w:cstheme="minorHAnsi"/>
        </w:rPr>
        <w:t xml:space="preserve"> její</w:t>
      </w:r>
      <w:r w:rsidR="005611F7">
        <w:rPr>
          <w:rFonts w:asciiTheme="minorHAnsi" w:hAnsiTheme="minorHAnsi" w:cstheme="minorHAnsi"/>
        </w:rPr>
        <w:t xml:space="preserve"> uzavření odmítl.</w:t>
      </w:r>
      <w:r w:rsidR="00F53C39">
        <w:rPr>
          <w:rFonts w:asciiTheme="minorHAnsi" w:hAnsiTheme="minorHAnsi" w:cstheme="minorHAnsi"/>
        </w:rPr>
        <w:t xml:space="preserve"> </w:t>
      </w:r>
    </w:p>
    <w:p w14:paraId="0C7E9533" w14:textId="77777777" w:rsidR="004B46CA" w:rsidRDefault="005611F7" w:rsidP="004B46CA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>MD odeslalo</w:t>
      </w:r>
      <w:r w:rsidR="00200E0A">
        <w:rPr>
          <w:rFonts w:asciiTheme="minorHAnsi" w:hAnsiTheme="minorHAnsi" w:cstheme="minorHAnsi"/>
        </w:rPr>
        <w:t xml:space="preserve"> </w:t>
      </w:r>
      <w:r w:rsidR="007963C6">
        <w:rPr>
          <w:rFonts w:asciiTheme="minorHAnsi" w:hAnsiTheme="minorHAnsi" w:cstheme="minorHAnsi"/>
        </w:rPr>
        <w:t>k uveřejnění v</w:t>
      </w:r>
      <w:r w:rsidR="00200E0A">
        <w:rPr>
          <w:rFonts w:asciiTheme="minorHAnsi" w:hAnsiTheme="minorHAnsi" w:cstheme="minorHAnsi"/>
        </w:rPr>
        <w:t xml:space="preserve"> </w:t>
      </w:r>
      <w:r w:rsidR="00200E0A" w:rsidRPr="00DB3BE6">
        <w:rPr>
          <w:rFonts w:asciiTheme="minorHAnsi" w:hAnsiTheme="minorHAnsi" w:cstheme="minorHAnsi"/>
          <w:i/>
        </w:rPr>
        <w:t>Úřední</w:t>
      </w:r>
      <w:r w:rsidR="007963C6" w:rsidRPr="00DB3BE6">
        <w:rPr>
          <w:rFonts w:asciiTheme="minorHAnsi" w:hAnsiTheme="minorHAnsi" w:cstheme="minorHAnsi"/>
          <w:i/>
        </w:rPr>
        <w:t>m</w:t>
      </w:r>
      <w:r w:rsidR="00200E0A" w:rsidRPr="00DB3BE6">
        <w:rPr>
          <w:rFonts w:asciiTheme="minorHAnsi" w:hAnsiTheme="minorHAnsi" w:cstheme="minorHAnsi"/>
          <w:i/>
        </w:rPr>
        <w:t xml:space="preserve"> věstníku Evropské unie</w:t>
      </w:r>
      <w:r>
        <w:rPr>
          <w:rFonts w:asciiTheme="minorHAnsi" w:hAnsiTheme="minorHAnsi" w:cstheme="minorHAnsi"/>
        </w:rPr>
        <w:t xml:space="preserve"> v říjnu </w:t>
      </w:r>
      <w:r w:rsidR="0003083B">
        <w:rPr>
          <w:rFonts w:asciiTheme="minorHAnsi" w:hAnsiTheme="minorHAnsi" w:cstheme="minorHAnsi"/>
        </w:rPr>
        <w:t>2010</w:t>
      </w:r>
      <w:r w:rsidR="00EB3BD8">
        <w:rPr>
          <w:rFonts w:asciiTheme="minorHAnsi" w:hAnsiTheme="minorHAnsi" w:cstheme="minorHAnsi"/>
        </w:rPr>
        <w:t xml:space="preserve"> i</w:t>
      </w:r>
      <w:r w:rsidR="00053254">
        <w:rPr>
          <w:rFonts w:asciiTheme="minorHAnsi" w:hAnsiTheme="minorHAnsi" w:cstheme="minorHAnsi"/>
        </w:rPr>
        <w:t xml:space="preserve"> </w:t>
      </w:r>
      <w:r w:rsidR="0003083B">
        <w:rPr>
          <w:rFonts w:asciiTheme="minorHAnsi" w:hAnsiTheme="minorHAnsi" w:cstheme="minorHAnsi"/>
        </w:rPr>
        <w:t>oznámení</w:t>
      </w:r>
      <w:r w:rsidR="00053254">
        <w:rPr>
          <w:rFonts w:asciiTheme="minorHAnsi" w:hAnsiTheme="minorHAnsi" w:cstheme="minorHAnsi"/>
        </w:rPr>
        <w:t xml:space="preserve"> </w:t>
      </w:r>
      <w:r w:rsidR="0003083B">
        <w:rPr>
          <w:rFonts w:asciiTheme="minorHAnsi" w:hAnsiTheme="minorHAnsi" w:cstheme="minorHAnsi"/>
        </w:rPr>
        <w:t>o</w:t>
      </w:r>
      <w:r w:rsidR="00053254">
        <w:rPr>
          <w:rFonts w:asciiTheme="minorHAnsi" w:hAnsiTheme="minorHAnsi" w:cstheme="minorHAnsi"/>
        </w:rPr>
        <w:t> </w:t>
      </w:r>
      <w:r w:rsidR="00200E0A">
        <w:rPr>
          <w:rFonts w:asciiTheme="minorHAnsi" w:hAnsiTheme="minorHAnsi" w:cstheme="minorHAnsi"/>
        </w:rPr>
        <w:t xml:space="preserve">rozhodnutí pro </w:t>
      </w:r>
      <w:r w:rsidR="0003083B">
        <w:rPr>
          <w:rFonts w:asciiTheme="minorHAnsi" w:hAnsiTheme="minorHAnsi" w:cstheme="minorHAnsi"/>
        </w:rPr>
        <w:t xml:space="preserve">linky R5 </w:t>
      </w:r>
      <w:r w:rsidR="0003083B" w:rsidRPr="00DB3BE6">
        <w:rPr>
          <w:rFonts w:asciiTheme="minorHAnsi" w:hAnsiTheme="minorHAnsi" w:cstheme="minorHAnsi"/>
        </w:rPr>
        <w:t>Praha – Ústí nad Labem – Karlovy Vary – Cheb</w:t>
      </w:r>
      <w:r w:rsidR="0003083B">
        <w:rPr>
          <w:rFonts w:asciiTheme="minorHAnsi" w:hAnsiTheme="minorHAnsi" w:cstheme="minorHAnsi"/>
          <w:i/>
        </w:rPr>
        <w:t xml:space="preserve"> </w:t>
      </w:r>
      <w:r w:rsidR="0003083B">
        <w:rPr>
          <w:rFonts w:asciiTheme="minorHAnsi" w:hAnsiTheme="minorHAnsi" w:cstheme="minorHAnsi"/>
        </w:rPr>
        <w:t xml:space="preserve">a R20 </w:t>
      </w:r>
      <w:r w:rsidR="00053254">
        <w:rPr>
          <w:rFonts w:asciiTheme="minorHAnsi" w:hAnsiTheme="minorHAnsi" w:cstheme="minorHAnsi"/>
        </w:rPr>
        <w:br/>
      </w:r>
      <w:r w:rsidR="0003083B" w:rsidRPr="00DB3BE6">
        <w:rPr>
          <w:rFonts w:asciiTheme="minorHAnsi" w:hAnsiTheme="minorHAnsi" w:cstheme="minorHAnsi"/>
        </w:rPr>
        <w:lastRenderedPageBreak/>
        <w:t>Praha – Roudnice nad Labem – Ústí nad Labem – Děčín</w:t>
      </w:r>
      <w:r w:rsidR="0003083B">
        <w:rPr>
          <w:rFonts w:asciiTheme="minorHAnsi" w:hAnsiTheme="minorHAnsi" w:cstheme="minorHAnsi"/>
        </w:rPr>
        <w:t xml:space="preserve"> s předpokládaným zahájením provozu od platnosti jí</w:t>
      </w:r>
      <w:r w:rsidR="00E83049">
        <w:rPr>
          <w:rFonts w:asciiTheme="minorHAnsi" w:hAnsiTheme="minorHAnsi" w:cstheme="minorHAnsi"/>
        </w:rPr>
        <w:t>zdního řádu 2014/</w:t>
      </w:r>
      <w:r w:rsidR="00EB3BD8">
        <w:rPr>
          <w:rFonts w:asciiTheme="minorHAnsi" w:hAnsiTheme="minorHAnsi" w:cstheme="minorHAnsi"/>
        </w:rPr>
        <w:t>15. Nabídková</w:t>
      </w:r>
      <w:r w:rsidR="0003083B">
        <w:rPr>
          <w:rFonts w:asciiTheme="minorHAnsi" w:hAnsiTheme="minorHAnsi" w:cstheme="minorHAnsi"/>
        </w:rPr>
        <w:t xml:space="preserve"> řízení však</w:t>
      </w:r>
      <w:r w:rsidR="00EB3BD8">
        <w:rPr>
          <w:rFonts w:asciiTheme="minorHAnsi" w:hAnsiTheme="minorHAnsi" w:cstheme="minorHAnsi"/>
        </w:rPr>
        <w:t xml:space="preserve"> nezahájilo. Nabídková</w:t>
      </w:r>
      <w:r w:rsidR="0003083B">
        <w:rPr>
          <w:rFonts w:asciiTheme="minorHAnsi" w:hAnsiTheme="minorHAnsi" w:cstheme="minorHAnsi"/>
        </w:rPr>
        <w:t xml:space="preserve"> řízení nezahájilo ani na zbylé čtyři linky, u nichž podle časového plánu předpokládalo zahájení provozu do období</w:t>
      </w:r>
      <w:r w:rsidR="00E83049">
        <w:rPr>
          <w:rFonts w:asciiTheme="minorHAnsi" w:hAnsiTheme="minorHAnsi" w:cstheme="minorHAnsi"/>
        </w:rPr>
        <w:t xml:space="preserve"> platnosti jízdního řádu 2015/</w:t>
      </w:r>
      <w:r w:rsidR="0003083B">
        <w:rPr>
          <w:rFonts w:asciiTheme="minorHAnsi" w:hAnsiTheme="minorHAnsi" w:cstheme="minorHAnsi"/>
        </w:rPr>
        <w:t>16.</w:t>
      </w:r>
      <w:r w:rsidR="00EB3BD8">
        <w:rPr>
          <w:rFonts w:asciiTheme="minorHAnsi" w:hAnsiTheme="minorHAnsi" w:cstheme="minorHAnsi"/>
        </w:rPr>
        <w:t xml:space="preserve"> MD to odůvodnilo posunem nabídkového řízení na linku R</w:t>
      </w:r>
      <w:r w:rsidR="00686BAF">
        <w:rPr>
          <w:rFonts w:asciiTheme="minorHAnsi" w:hAnsiTheme="minorHAnsi" w:cstheme="minorHAnsi"/>
        </w:rPr>
        <w:t>27, které považovalo za pilotn</w:t>
      </w:r>
      <w:r w:rsidR="00B75BC2">
        <w:rPr>
          <w:rFonts w:asciiTheme="minorHAnsi" w:hAnsiTheme="minorHAnsi" w:cstheme="minorHAnsi"/>
        </w:rPr>
        <w:t>í, a neuzavřením smlouvy na ni.</w:t>
      </w:r>
      <w:r w:rsidR="00E83049" w:rsidRPr="00DB3BE6">
        <w:rPr>
          <w:rFonts w:asciiTheme="minorHAnsi" w:hAnsiTheme="minorHAnsi" w:cstheme="minorHAnsi"/>
        </w:rPr>
        <w:t xml:space="preserve"> </w:t>
      </w:r>
    </w:p>
    <w:p w14:paraId="34CC6AAF" w14:textId="0040A1C2" w:rsidR="009C3A2A" w:rsidRPr="003243E9" w:rsidRDefault="004B46CA" w:rsidP="004B46CA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E83049">
        <w:rPr>
          <w:rFonts w:asciiTheme="minorHAnsi" w:hAnsiTheme="minorHAnsi" w:cstheme="minorHAnsi"/>
        </w:rPr>
        <w:t>Druhé</w:t>
      </w:r>
      <w:r w:rsidR="00686BAF">
        <w:rPr>
          <w:rFonts w:asciiTheme="minorHAnsi" w:hAnsiTheme="minorHAnsi" w:cstheme="minorHAnsi"/>
        </w:rPr>
        <w:t xml:space="preserve"> nabídkové řízení zahájilo </w:t>
      </w:r>
      <w:r w:rsidR="0003083B">
        <w:rPr>
          <w:rFonts w:asciiTheme="minorHAnsi" w:hAnsiTheme="minorHAnsi" w:cstheme="minorHAnsi"/>
        </w:rPr>
        <w:t>MD</w:t>
      </w:r>
      <w:r w:rsidR="00B92718">
        <w:rPr>
          <w:rFonts w:asciiTheme="minorHAnsi" w:hAnsiTheme="minorHAnsi" w:cstheme="minorHAnsi"/>
        </w:rPr>
        <w:t xml:space="preserve"> </w:t>
      </w:r>
      <w:r w:rsidR="00686BAF">
        <w:rPr>
          <w:rFonts w:asciiTheme="minorHAnsi" w:hAnsiTheme="minorHAnsi" w:cstheme="minorHAnsi"/>
        </w:rPr>
        <w:t>až</w:t>
      </w:r>
      <w:r w:rsidR="00E83049">
        <w:rPr>
          <w:rFonts w:asciiTheme="minorHAnsi" w:hAnsiTheme="minorHAnsi" w:cstheme="minorHAnsi"/>
        </w:rPr>
        <w:t xml:space="preserve"> po třech letech</w:t>
      </w:r>
      <w:r w:rsidR="0003083B">
        <w:rPr>
          <w:rFonts w:asciiTheme="minorHAnsi" w:hAnsiTheme="minorHAnsi" w:cstheme="minorHAnsi"/>
        </w:rPr>
        <w:t xml:space="preserve"> v únoru 2015</w:t>
      </w:r>
      <w:r w:rsidR="00B92718">
        <w:rPr>
          <w:rFonts w:asciiTheme="minorHAnsi" w:hAnsiTheme="minorHAnsi" w:cstheme="minorHAnsi"/>
        </w:rPr>
        <w:t xml:space="preserve"> pro linku</w:t>
      </w:r>
      <w:r w:rsidR="00DB58BA">
        <w:rPr>
          <w:rFonts w:asciiTheme="minorHAnsi" w:hAnsiTheme="minorHAnsi" w:cstheme="minorHAnsi"/>
        </w:rPr>
        <w:t xml:space="preserve"> </w:t>
      </w:r>
      <w:r w:rsidR="005C0ABE">
        <w:rPr>
          <w:rFonts w:asciiTheme="minorHAnsi" w:hAnsiTheme="minorHAnsi" w:cstheme="minorHAnsi"/>
        </w:rPr>
        <w:br/>
      </w:r>
      <w:r w:rsidR="00B92718">
        <w:rPr>
          <w:rFonts w:asciiTheme="minorHAnsi" w:hAnsiTheme="minorHAnsi" w:cstheme="minorHAnsi"/>
        </w:rPr>
        <w:t xml:space="preserve">R16 </w:t>
      </w:r>
      <w:r w:rsidR="00B92718" w:rsidRPr="00DB3BE6">
        <w:rPr>
          <w:rFonts w:asciiTheme="minorHAnsi" w:hAnsiTheme="minorHAnsi" w:cstheme="minorHAnsi"/>
        </w:rPr>
        <w:t xml:space="preserve">Plzeň – Most </w:t>
      </w:r>
      <w:r w:rsidR="00686BAF" w:rsidRPr="00053254">
        <w:rPr>
          <w:rFonts w:asciiTheme="minorHAnsi" w:hAnsiTheme="minorHAnsi" w:cstheme="minorHAnsi"/>
        </w:rPr>
        <w:t>s</w:t>
      </w:r>
      <w:r w:rsidR="00686BAF">
        <w:rPr>
          <w:rFonts w:asciiTheme="minorHAnsi" w:hAnsiTheme="minorHAnsi" w:cstheme="minorHAnsi"/>
        </w:rPr>
        <w:t> </w:t>
      </w:r>
      <w:r w:rsidR="00B92718">
        <w:rPr>
          <w:rFonts w:asciiTheme="minorHAnsi" w:hAnsiTheme="minorHAnsi" w:cstheme="minorHAnsi"/>
        </w:rPr>
        <w:t>předpokládaným zahájením provozu od období</w:t>
      </w:r>
      <w:r w:rsidR="00E83049">
        <w:rPr>
          <w:rFonts w:asciiTheme="minorHAnsi" w:hAnsiTheme="minorHAnsi" w:cstheme="minorHAnsi"/>
        </w:rPr>
        <w:t xml:space="preserve"> platnosti jízdního řádu 2016/</w:t>
      </w:r>
      <w:r w:rsidR="00B92718">
        <w:rPr>
          <w:rFonts w:asciiTheme="minorHAnsi" w:hAnsiTheme="minorHAnsi" w:cstheme="minorHAnsi"/>
        </w:rPr>
        <w:t>17. Nabídku podalo pět uchazečů, z nichž jeden byl vyloučen. V průběhu zadávací lhůty podaly ČD (nabídku</w:t>
      </w:r>
      <w:r w:rsidR="00E83049">
        <w:rPr>
          <w:rFonts w:asciiTheme="minorHAnsi" w:hAnsiTheme="minorHAnsi" w:cstheme="minorHAnsi"/>
        </w:rPr>
        <w:t xml:space="preserve"> v tomto případě</w:t>
      </w:r>
      <w:r w:rsidR="00B92718">
        <w:rPr>
          <w:rFonts w:asciiTheme="minorHAnsi" w:hAnsiTheme="minorHAnsi" w:cstheme="minorHAnsi"/>
        </w:rPr>
        <w:t xml:space="preserve"> podaly) </w:t>
      </w:r>
      <w:r w:rsidR="00E83049">
        <w:rPr>
          <w:rFonts w:asciiTheme="minorHAnsi" w:hAnsiTheme="minorHAnsi" w:cstheme="minorHAnsi"/>
        </w:rPr>
        <w:t>obdobné</w:t>
      </w:r>
      <w:r w:rsidR="00B92718">
        <w:rPr>
          <w:rFonts w:asciiTheme="minorHAnsi" w:hAnsiTheme="minorHAnsi" w:cstheme="minorHAnsi"/>
        </w:rPr>
        <w:t xml:space="preserve"> námitky jako v</w:t>
      </w:r>
      <w:r w:rsidR="00DB58BA">
        <w:rPr>
          <w:rFonts w:asciiTheme="minorHAnsi" w:hAnsiTheme="minorHAnsi" w:cstheme="minorHAnsi"/>
        </w:rPr>
        <w:t xml:space="preserve"> případě </w:t>
      </w:r>
      <w:r w:rsidR="00B92718">
        <w:rPr>
          <w:rFonts w:asciiTheme="minorHAnsi" w:hAnsiTheme="minorHAnsi" w:cstheme="minorHAnsi"/>
        </w:rPr>
        <w:t>nabídkové</w:t>
      </w:r>
      <w:r w:rsidR="00DB58BA">
        <w:rPr>
          <w:rFonts w:asciiTheme="minorHAnsi" w:hAnsiTheme="minorHAnsi" w:cstheme="minorHAnsi"/>
        </w:rPr>
        <w:t>ho</w:t>
      </w:r>
      <w:r w:rsidR="00B92718">
        <w:rPr>
          <w:rFonts w:asciiTheme="minorHAnsi" w:hAnsiTheme="minorHAnsi" w:cstheme="minorHAnsi"/>
        </w:rPr>
        <w:t xml:space="preserve"> řízení na linku R27</w:t>
      </w:r>
      <w:r w:rsidR="00E83049">
        <w:rPr>
          <w:rFonts w:asciiTheme="minorHAnsi" w:hAnsiTheme="minorHAnsi" w:cstheme="minorHAnsi"/>
        </w:rPr>
        <w:t xml:space="preserve">. </w:t>
      </w:r>
      <w:r w:rsidR="00B92718">
        <w:rPr>
          <w:rFonts w:asciiTheme="minorHAnsi" w:hAnsiTheme="minorHAnsi" w:cstheme="minorHAnsi"/>
        </w:rPr>
        <w:t>MD</w:t>
      </w:r>
      <w:r w:rsidR="00E83049">
        <w:rPr>
          <w:rFonts w:asciiTheme="minorHAnsi" w:hAnsiTheme="minorHAnsi" w:cstheme="minorHAnsi"/>
        </w:rPr>
        <w:t xml:space="preserve"> námitky v srpnu 2015 zamítlo. ČD proto podaly </w:t>
      </w:r>
      <w:r w:rsidR="006F360D">
        <w:rPr>
          <w:rFonts w:asciiTheme="minorHAnsi" w:hAnsiTheme="minorHAnsi" w:cstheme="minorHAnsi"/>
        </w:rPr>
        <w:t>k </w:t>
      </w:r>
      <w:r w:rsidR="00E83049">
        <w:rPr>
          <w:rFonts w:asciiTheme="minorHAnsi" w:hAnsiTheme="minorHAnsi" w:cstheme="minorHAnsi"/>
        </w:rPr>
        <w:t>Úřadu pro ochranu hospodářské soutěže návrh na přezkoumání úkon</w:t>
      </w:r>
      <w:r w:rsidR="006F360D">
        <w:rPr>
          <w:rFonts w:asciiTheme="minorHAnsi" w:hAnsiTheme="minorHAnsi" w:cstheme="minorHAnsi"/>
        </w:rPr>
        <w:t>ů</w:t>
      </w:r>
      <w:r w:rsidR="00E83049">
        <w:rPr>
          <w:rFonts w:asciiTheme="minorHAnsi" w:hAnsiTheme="minorHAnsi" w:cstheme="minorHAnsi"/>
        </w:rPr>
        <w:t xml:space="preserve"> zada</w:t>
      </w:r>
      <w:r w:rsidR="005C0ABE">
        <w:rPr>
          <w:rFonts w:asciiTheme="minorHAnsi" w:hAnsiTheme="minorHAnsi" w:cstheme="minorHAnsi"/>
        </w:rPr>
        <w:t>vatele, který jim rozhodnutím z </w:t>
      </w:r>
      <w:r w:rsidR="00B92718">
        <w:rPr>
          <w:rFonts w:asciiTheme="minorHAnsi" w:hAnsiTheme="minorHAnsi" w:cstheme="minorHAnsi"/>
        </w:rPr>
        <w:t>listopadu 2015 vyhověl</w:t>
      </w:r>
      <w:r w:rsidR="00E83049">
        <w:rPr>
          <w:rFonts w:asciiTheme="minorHAnsi" w:hAnsiTheme="minorHAnsi" w:cstheme="minorHAnsi"/>
        </w:rPr>
        <w:t xml:space="preserve">. Proti tomuto rozhodnutí podalo </w:t>
      </w:r>
      <w:r w:rsidR="00F77ED8">
        <w:rPr>
          <w:rFonts w:asciiTheme="minorHAnsi" w:hAnsiTheme="minorHAnsi" w:cstheme="minorHAnsi"/>
        </w:rPr>
        <w:t>MD ještě v listopadu 2015 rozklad, o kterém nebylo v době kontroly rozhodnuto.</w:t>
      </w:r>
    </w:p>
    <w:p w14:paraId="212590EB" w14:textId="77777777" w:rsidR="00C3467F" w:rsidRDefault="00C3467F" w:rsidP="00E76C93">
      <w:pPr>
        <w:jc w:val="both"/>
        <w:rPr>
          <w:rFonts w:asciiTheme="minorHAnsi" w:hAnsiTheme="minorHAnsi" w:cstheme="minorHAnsi"/>
        </w:rPr>
      </w:pPr>
    </w:p>
    <w:p w14:paraId="39355CF1" w14:textId="77777777" w:rsidR="00686BAF" w:rsidRDefault="00A70085" w:rsidP="00E76C9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základě zpráv MD </w:t>
      </w:r>
      <w:r w:rsidR="00686BAF">
        <w:rPr>
          <w:rFonts w:asciiTheme="minorHAnsi" w:hAnsiTheme="minorHAnsi" w:cstheme="minorHAnsi"/>
        </w:rPr>
        <w:t xml:space="preserve">upravila </w:t>
      </w:r>
      <w:r>
        <w:rPr>
          <w:rFonts w:asciiTheme="minorHAnsi" w:hAnsiTheme="minorHAnsi" w:cstheme="minorHAnsi"/>
        </w:rPr>
        <w:t xml:space="preserve">vláda </w:t>
      </w:r>
      <w:r w:rsidR="00E25210">
        <w:rPr>
          <w:rFonts w:asciiTheme="minorHAnsi" w:hAnsiTheme="minorHAnsi" w:cstheme="minorHAnsi"/>
        </w:rPr>
        <w:t>v letech 2013</w:t>
      </w:r>
      <w:r w:rsidR="00E25210">
        <w:rPr>
          <w:rStyle w:val="Znakapoznpodarou"/>
          <w:rFonts w:asciiTheme="minorHAnsi" w:hAnsiTheme="minorHAnsi" w:cstheme="minorHAnsi"/>
        </w:rPr>
        <w:footnoteReference w:id="15"/>
      </w:r>
      <w:r w:rsidR="00E25210">
        <w:rPr>
          <w:rFonts w:asciiTheme="minorHAnsi" w:hAnsiTheme="minorHAnsi" w:cstheme="minorHAnsi"/>
        </w:rPr>
        <w:t xml:space="preserve"> a 2014</w:t>
      </w:r>
      <w:r w:rsidR="00532291">
        <w:rPr>
          <w:rStyle w:val="Znakapoznpodarou"/>
          <w:rFonts w:asciiTheme="minorHAnsi" w:hAnsiTheme="minorHAnsi" w:cstheme="minorHAnsi"/>
        </w:rPr>
        <w:footnoteReference w:id="16"/>
      </w:r>
      <w:r w:rsidR="00E25210">
        <w:rPr>
          <w:rFonts w:asciiTheme="minorHAnsi" w:hAnsiTheme="minorHAnsi" w:cstheme="minorHAnsi"/>
        </w:rPr>
        <w:t xml:space="preserve"> časový plán otevírání trhu.</w:t>
      </w:r>
      <w:r w:rsidR="00532291">
        <w:rPr>
          <w:rFonts w:asciiTheme="minorHAnsi" w:hAnsiTheme="minorHAnsi" w:cstheme="minorHAnsi"/>
        </w:rPr>
        <w:t xml:space="preserve"> Podle</w:t>
      </w:r>
      <w:r>
        <w:rPr>
          <w:rFonts w:asciiTheme="minorHAnsi" w:hAnsiTheme="minorHAnsi" w:cstheme="minorHAnsi"/>
        </w:rPr>
        <w:t xml:space="preserve"> časového</w:t>
      </w:r>
      <w:r w:rsidR="00532291">
        <w:rPr>
          <w:rFonts w:asciiTheme="minorHAnsi" w:hAnsiTheme="minorHAnsi" w:cstheme="minorHAnsi"/>
        </w:rPr>
        <w:t xml:space="preserve"> plánu platného v době kontroly mělo</w:t>
      </w:r>
      <w:r w:rsidR="000D71FE">
        <w:rPr>
          <w:rFonts w:asciiTheme="minorHAnsi" w:hAnsiTheme="minorHAnsi" w:cstheme="minorHAnsi"/>
        </w:rPr>
        <w:t xml:space="preserve"> MD zadat k zajištění dopravní</w:t>
      </w:r>
      <w:r w:rsidR="00532291">
        <w:rPr>
          <w:rFonts w:asciiTheme="minorHAnsi" w:hAnsiTheme="minorHAnsi" w:cstheme="minorHAnsi"/>
        </w:rPr>
        <w:t xml:space="preserve"> </w:t>
      </w:r>
      <w:r w:rsidR="000D71FE">
        <w:rPr>
          <w:rFonts w:asciiTheme="minorHAnsi" w:hAnsiTheme="minorHAnsi" w:cstheme="minorHAnsi"/>
        </w:rPr>
        <w:t>obslužnosti</w:t>
      </w:r>
      <w:r w:rsidR="00532291">
        <w:rPr>
          <w:rFonts w:asciiTheme="minorHAnsi" w:hAnsiTheme="minorHAnsi" w:cstheme="minorHAnsi"/>
        </w:rPr>
        <w:t xml:space="preserve"> státu v nabídkových řízeních v období od</w:t>
      </w:r>
      <w:r>
        <w:rPr>
          <w:rFonts w:asciiTheme="minorHAnsi" w:hAnsiTheme="minorHAnsi" w:cstheme="minorHAnsi"/>
        </w:rPr>
        <w:t xml:space="preserve"> platnosti jízdního řádu 2016/</w:t>
      </w:r>
      <w:r w:rsidR="00532291">
        <w:rPr>
          <w:rFonts w:asciiTheme="minorHAnsi" w:hAnsiTheme="minorHAnsi" w:cstheme="minorHAnsi"/>
        </w:rPr>
        <w:t>17 do</w:t>
      </w:r>
      <w:r>
        <w:rPr>
          <w:rFonts w:asciiTheme="minorHAnsi" w:hAnsiTheme="minorHAnsi" w:cstheme="minorHAnsi"/>
        </w:rPr>
        <w:t xml:space="preserve"> platnosti jízdního řadu 2019/</w:t>
      </w:r>
      <w:r w:rsidR="00532291">
        <w:rPr>
          <w:rFonts w:asciiTheme="minorHAnsi" w:hAnsiTheme="minorHAnsi" w:cstheme="minorHAnsi"/>
        </w:rPr>
        <w:t>20 jen šest linek, tj. o sedm méně než podle původního plánu</w:t>
      </w:r>
      <w:r w:rsidR="00686BAF">
        <w:rPr>
          <w:rFonts w:asciiTheme="minorHAnsi" w:hAnsiTheme="minorHAnsi" w:cstheme="minorHAnsi"/>
        </w:rPr>
        <w:t xml:space="preserve"> z roku 2011</w:t>
      </w:r>
      <w:r w:rsidR="0053229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Změnilo se i </w:t>
      </w:r>
      <w:r w:rsidR="00686BAF">
        <w:rPr>
          <w:rFonts w:asciiTheme="minorHAnsi" w:hAnsiTheme="minorHAnsi" w:cstheme="minorHAnsi"/>
        </w:rPr>
        <w:t xml:space="preserve">období, ve kterém mají </w:t>
      </w:r>
      <w:r w:rsidR="002C1D96">
        <w:rPr>
          <w:rFonts w:asciiTheme="minorHAnsi" w:hAnsiTheme="minorHAnsi" w:cstheme="minorHAnsi"/>
        </w:rPr>
        <w:t xml:space="preserve">být </w:t>
      </w:r>
      <w:r w:rsidR="00686BAF">
        <w:rPr>
          <w:rFonts w:asciiTheme="minorHAnsi" w:hAnsiTheme="minorHAnsi" w:cstheme="minorHAnsi"/>
        </w:rPr>
        <w:t xml:space="preserve">nabídková řízení </w:t>
      </w:r>
      <w:r>
        <w:rPr>
          <w:rFonts w:asciiTheme="minorHAnsi" w:hAnsiTheme="minorHAnsi" w:cstheme="minorHAnsi"/>
        </w:rPr>
        <w:t>provedena</w:t>
      </w:r>
      <w:r w:rsidR="00686BAF">
        <w:rPr>
          <w:rFonts w:asciiTheme="minorHAnsi" w:hAnsiTheme="minorHAnsi" w:cstheme="minorHAnsi"/>
        </w:rPr>
        <w:t xml:space="preserve"> (z</w:t>
      </w:r>
      <w:r>
        <w:rPr>
          <w:rFonts w:asciiTheme="minorHAnsi" w:hAnsiTheme="minorHAnsi" w:cstheme="minorHAnsi"/>
        </w:rPr>
        <w:t>ačátek období byl posunut o tři roky a </w:t>
      </w:r>
      <w:r w:rsidR="00686BAF">
        <w:rPr>
          <w:rFonts w:asciiTheme="minorHAnsi" w:hAnsiTheme="minorHAnsi" w:cstheme="minorHAnsi"/>
        </w:rPr>
        <w:t xml:space="preserve">konec o jeden rok). </w:t>
      </w:r>
      <w:r w:rsidR="00532291">
        <w:rPr>
          <w:rFonts w:asciiTheme="minorHAnsi" w:hAnsiTheme="minorHAnsi" w:cstheme="minorHAnsi"/>
        </w:rPr>
        <w:t xml:space="preserve"> </w:t>
      </w:r>
    </w:p>
    <w:p w14:paraId="4F3B4DA9" w14:textId="77777777" w:rsidR="00193436" w:rsidRDefault="00193436" w:rsidP="00E76C93">
      <w:pPr>
        <w:jc w:val="both"/>
        <w:rPr>
          <w:rFonts w:asciiTheme="minorHAnsi" w:hAnsiTheme="minorHAnsi" w:cstheme="minorHAnsi"/>
        </w:rPr>
      </w:pPr>
    </w:p>
    <w:p w14:paraId="311F2A81" w14:textId="77777777" w:rsidR="00193436" w:rsidRPr="00DB3BE6" w:rsidRDefault="00193436" w:rsidP="00E76C9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MD minimálně od roku 2011 nevyřešilo opakující se problémy mezi objednatelem (MD), </w:t>
      </w:r>
      <w:r w:rsidR="006C632D">
        <w:rPr>
          <w:rFonts w:asciiTheme="minorHAnsi" w:hAnsiTheme="minorHAnsi" w:cstheme="minorHAnsi"/>
        </w:rPr>
        <w:t>ČD</w:t>
      </w:r>
      <w:r w:rsidR="005A75D8">
        <w:rPr>
          <w:rFonts w:asciiTheme="minorHAnsi" w:hAnsiTheme="minorHAnsi" w:cstheme="minorHAnsi"/>
        </w:rPr>
        <w:t xml:space="preserve"> a </w:t>
      </w:r>
      <w:r w:rsidR="006C632D">
        <w:rPr>
          <w:rFonts w:asciiTheme="minorHAnsi" w:hAnsiTheme="minorHAnsi" w:cstheme="minorHAnsi"/>
        </w:rPr>
        <w:t>dalšími potenci</w:t>
      </w:r>
      <w:r>
        <w:rPr>
          <w:rFonts w:asciiTheme="minorHAnsi" w:hAnsiTheme="minorHAnsi" w:cstheme="minorHAnsi"/>
        </w:rPr>
        <w:t xml:space="preserve">álními </w:t>
      </w:r>
      <w:r w:rsidR="000A1AEB">
        <w:rPr>
          <w:rFonts w:asciiTheme="minorHAnsi" w:hAnsiTheme="minorHAnsi" w:cstheme="minorHAnsi"/>
        </w:rPr>
        <w:t>uchazeči</w:t>
      </w:r>
      <w:r>
        <w:rPr>
          <w:rFonts w:asciiTheme="minorHAnsi" w:hAnsiTheme="minorHAnsi" w:cstheme="minorHAnsi"/>
        </w:rPr>
        <w:t xml:space="preserve"> o uzavření smlouvy v příslušných nabídkových řízeních. Šlo především o problém</w:t>
      </w:r>
      <w:r w:rsidR="006717D6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>:</w:t>
      </w:r>
      <w:r w:rsidR="003E1214">
        <w:rPr>
          <w:rFonts w:asciiTheme="minorHAnsi" w:hAnsiTheme="minorHAnsi" w:cstheme="minorHAnsi"/>
        </w:rPr>
        <w:t xml:space="preserve"> </w:t>
      </w:r>
    </w:p>
    <w:p w14:paraId="13AE761A" w14:textId="77777777" w:rsidR="00A97FA4" w:rsidRDefault="00A97FA4" w:rsidP="00193436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 xml:space="preserve">tarifní </w:t>
      </w:r>
      <w:r w:rsidR="00661FEB">
        <w:rPr>
          <w:rFonts w:asciiTheme="minorHAnsi" w:hAnsiTheme="minorHAnsi" w:cstheme="minorHAnsi"/>
        </w:rPr>
        <w:t>integrace (sjednocení uznávání</w:t>
      </w:r>
      <w:r>
        <w:rPr>
          <w:rFonts w:asciiTheme="minorHAnsi" w:hAnsiTheme="minorHAnsi" w:cstheme="minorHAnsi"/>
        </w:rPr>
        <w:t xml:space="preserve"> jízdních dokladů a pravidla tarifní spolupráce),</w:t>
      </w:r>
    </w:p>
    <w:p w14:paraId="26F571C1" w14:textId="419374CE" w:rsidR="00A97FA4" w:rsidRDefault="00A97FA4" w:rsidP="00193436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>převod</w:t>
      </w:r>
      <w:r w:rsidR="00DB58BA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majetku ČD souvisejícího s odbavením cestujících na Správu železniční dopravní cesty (</w:t>
      </w:r>
      <w:r w:rsidR="00893291">
        <w:rPr>
          <w:rFonts w:asciiTheme="minorHAnsi" w:hAnsiTheme="minorHAnsi" w:cstheme="minorHAnsi"/>
        </w:rPr>
        <w:t>z </w:t>
      </w:r>
      <w:r>
        <w:rPr>
          <w:rFonts w:asciiTheme="minorHAnsi" w:hAnsiTheme="minorHAnsi" w:cstheme="minorHAnsi"/>
        </w:rPr>
        <w:t>důvodu odstranění nerovných podmínek mezi účastníky nabídkových řízení).</w:t>
      </w:r>
    </w:p>
    <w:p w14:paraId="3119B655" w14:textId="77777777" w:rsidR="00A97FA4" w:rsidRDefault="00A97FA4" w:rsidP="00A97FA4">
      <w:pPr>
        <w:jc w:val="both"/>
        <w:rPr>
          <w:rFonts w:asciiTheme="minorHAnsi" w:hAnsiTheme="minorHAnsi" w:cstheme="minorHAnsi"/>
        </w:rPr>
      </w:pPr>
    </w:p>
    <w:p w14:paraId="42749DB7" w14:textId="1FE00899" w:rsidR="00A70085" w:rsidRPr="00DB3BE6" w:rsidRDefault="00A70085" w:rsidP="00A7008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Důsledkem nevyřešení problémů bylo, že MD v období let 2011 až 2015 zahájilo jen dvě nabídková řízení a žádné z nich nedokončilo</w:t>
      </w:r>
      <w:r w:rsidR="00DB58BA">
        <w:rPr>
          <w:rFonts w:asciiTheme="minorHAnsi" w:hAnsiTheme="minorHAnsi" w:cstheme="minorHAnsi"/>
        </w:rPr>
        <w:t xml:space="preserve"> úspěšně</w:t>
      </w:r>
      <w:r>
        <w:rPr>
          <w:rFonts w:asciiTheme="minorHAnsi" w:hAnsiTheme="minorHAnsi" w:cstheme="minorHAnsi"/>
        </w:rPr>
        <w:t xml:space="preserve">. V roce 2015 tak byly všechny vlaky </w:t>
      </w:r>
      <w:r w:rsidR="000D71FE">
        <w:rPr>
          <w:rFonts w:asciiTheme="minorHAnsi" w:hAnsiTheme="minorHAnsi" w:cstheme="minorHAnsi"/>
        </w:rPr>
        <w:t>k zajištění dopravní</w:t>
      </w:r>
      <w:r>
        <w:rPr>
          <w:rFonts w:asciiTheme="minorHAnsi" w:hAnsiTheme="minorHAnsi" w:cstheme="minorHAnsi"/>
        </w:rPr>
        <w:t xml:space="preserve"> </w:t>
      </w:r>
      <w:r w:rsidR="000D71FE">
        <w:rPr>
          <w:rFonts w:asciiTheme="minorHAnsi" w:hAnsiTheme="minorHAnsi" w:cstheme="minorHAnsi"/>
        </w:rPr>
        <w:t>obslužnosti</w:t>
      </w:r>
      <w:r>
        <w:rPr>
          <w:rFonts w:asciiTheme="minorHAnsi" w:hAnsiTheme="minorHAnsi" w:cstheme="minorHAnsi"/>
        </w:rPr>
        <w:t xml:space="preserve"> státu provozovány na základě </w:t>
      </w:r>
      <w:r w:rsidRPr="00DB3BE6">
        <w:rPr>
          <w:rFonts w:asciiTheme="minorHAnsi" w:hAnsiTheme="minorHAnsi" w:cstheme="minorHAnsi"/>
          <w:i/>
        </w:rPr>
        <w:t>smluv o veřejných slu</w:t>
      </w:r>
      <w:r w:rsidR="00661FEB" w:rsidRPr="00DB3BE6">
        <w:rPr>
          <w:rFonts w:asciiTheme="minorHAnsi" w:hAnsiTheme="minorHAnsi" w:cstheme="minorHAnsi"/>
          <w:i/>
        </w:rPr>
        <w:t>žbách</w:t>
      </w:r>
      <w:r w:rsidR="00661FEB">
        <w:rPr>
          <w:rFonts w:asciiTheme="minorHAnsi" w:hAnsiTheme="minorHAnsi" w:cstheme="minorHAnsi"/>
        </w:rPr>
        <w:t xml:space="preserve"> uzavřených MD přímo s ČD.</w:t>
      </w:r>
      <w:r>
        <w:rPr>
          <w:rFonts w:asciiTheme="minorHAnsi" w:hAnsiTheme="minorHAnsi" w:cstheme="minorHAnsi"/>
        </w:rPr>
        <w:t xml:space="preserve"> </w:t>
      </w:r>
    </w:p>
    <w:p w14:paraId="0ED35039" w14:textId="77777777" w:rsidR="00A70085" w:rsidRDefault="00A70085" w:rsidP="00A97FA4">
      <w:pPr>
        <w:jc w:val="both"/>
        <w:rPr>
          <w:rFonts w:asciiTheme="minorHAnsi" w:hAnsiTheme="minorHAnsi" w:cstheme="minorHAnsi"/>
        </w:rPr>
      </w:pPr>
    </w:p>
    <w:p w14:paraId="5BB94CE8" w14:textId="77777777" w:rsidR="00193436" w:rsidRDefault="00912718" w:rsidP="00A97FA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5</w:t>
      </w:r>
      <w:r w:rsidR="00A97FA4">
        <w:rPr>
          <w:rFonts w:asciiTheme="minorHAnsi" w:hAnsiTheme="minorHAnsi" w:cstheme="minorHAnsi"/>
          <w:b/>
        </w:rPr>
        <w:t xml:space="preserve">. Další prostředky státního rozpočtu související </w:t>
      </w:r>
      <w:r w:rsidR="00893291">
        <w:rPr>
          <w:rFonts w:asciiTheme="minorHAnsi" w:hAnsiTheme="minorHAnsi" w:cstheme="minorHAnsi"/>
          <w:b/>
        </w:rPr>
        <w:t>s </w:t>
      </w:r>
      <w:r w:rsidR="00441191">
        <w:rPr>
          <w:rFonts w:asciiTheme="minorHAnsi" w:hAnsiTheme="minorHAnsi" w:cstheme="minorHAnsi"/>
          <w:b/>
        </w:rPr>
        <w:t>dopravní obslužností</w:t>
      </w:r>
    </w:p>
    <w:p w14:paraId="6EC854F1" w14:textId="77777777" w:rsidR="00441191" w:rsidRDefault="00441191" w:rsidP="00E76C93">
      <w:pPr>
        <w:jc w:val="both"/>
        <w:rPr>
          <w:rFonts w:asciiTheme="minorHAnsi" w:hAnsiTheme="minorHAnsi" w:cstheme="minorHAnsi"/>
        </w:rPr>
      </w:pPr>
    </w:p>
    <w:p w14:paraId="166F9AA3" w14:textId="67ECDEFA" w:rsidR="00E25210" w:rsidRDefault="00441191" w:rsidP="00E76C9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MD pos</w:t>
      </w:r>
      <w:r w:rsidR="00162715">
        <w:rPr>
          <w:rFonts w:asciiTheme="minorHAnsi" w:hAnsiTheme="minorHAnsi" w:cstheme="minorHAnsi"/>
          <w:b/>
        </w:rPr>
        <w:t>kytovalo prostředky státního rozpočtu krajům na úhradu části ztráty z provozu regionální železniční osobní dopravy, kterou neobjednávalo. Dále poskytovalo dopravcům prostředky</w:t>
      </w:r>
      <w:r w:rsidR="00915EDD">
        <w:rPr>
          <w:rFonts w:asciiTheme="minorHAnsi" w:hAnsiTheme="minorHAnsi" w:cstheme="minorHAnsi"/>
          <w:b/>
        </w:rPr>
        <w:t xml:space="preserve"> státního rozpočtu</w:t>
      </w:r>
      <w:r w:rsidR="00162715">
        <w:rPr>
          <w:rFonts w:asciiTheme="minorHAnsi" w:hAnsiTheme="minorHAnsi" w:cstheme="minorHAnsi"/>
          <w:b/>
        </w:rPr>
        <w:t xml:space="preserve"> na kompenzaci nařízených slev jízdného pro vymezené skupiny cestujících.</w:t>
      </w:r>
    </w:p>
    <w:p w14:paraId="528C2712" w14:textId="77777777" w:rsidR="00E76C93" w:rsidRDefault="00E76C93">
      <w:pPr>
        <w:jc w:val="both"/>
        <w:rPr>
          <w:rFonts w:asciiTheme="minorHAnsi" w:hAnsiTheme="minorHAnsi" w:cstheme="minorHAnsi"/>
        </w:rPr>
      </w:pPr>
    </w:p>
    <w:p w14:paraId="65C3BECB" w14:textId="77777777" w:rsidR="00D37797" w:rsidRDefault="0016271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 xml:space="preserve">a) </w:t>
      </w:r>
      <w:r w:rsidR="00D37797">
        <w:rPr>
          <w:rFonts w:asciiTheme="minorHAnsi" w:hAnsiTheme="minorHAnsi" w:cstheme="minorHAnsi"/>
        </w:rPr>
        <w:t>Vláda schválila usnesením ze dne 28. října 2009 č. 1350</w:t>
      </w:r>
      <w:r w:rsidR="00D37797">
        <w:rPr>
          <w:rStyle w:val="Znakapoznpodarou"/>
          <w:rFonts w:asciiTheme="minorHAnsi" w:hAnsiTheme="minorHAnsi" w:cstheme="minorHAnsi"/>
        </w:rPr>
        <w:footnoteReference w:id="17"/>
      </w:r>
      <w:r w:rsidR="00D37797">
        <w:rPr>
          <w:rFonts w:asciiTheme="minorHAnsi" w:hAnsiTheme="minorHAnsi" w:cstheme="minorHAnsi"/>
        </w:rPr>
        <w:t xml:space="preserve"> </w:t>
      </w:r>
      <w:r w:rsidR="00D37797">
        <w:rPr>
          <w:rFonts w:asciiTheme="minorHAnsi" w:hAnsiTheme="minorHAnsi" w:cstheme="minorHAnsi"/>
          <w:i/>
        </w:rPr>
        <w:t>Memorandum o zajištění stabilního</w:t>
      </w:r>
      <w:r w:rsidR="00D37797" w:rsidRPr="00D37797">
        <w:rPr>
          <w:rFonts w:asciiTheme="minorHAnsi" w:hAnsiTheme="minorHAnsi" w:cstheme="minorHAnsi"/>
          <w:i/>
        </w:rPr>
        <w:t xml:space="preserve"> financování dopravní obslužnosti veřejnou regionální železniční osobní dopravou</w:t>
      </w:r>
      <w:r w:rsidR="00D37797">
        <w:rPr>
          <w:rFonts w:asciiTheme="minorHAnsi" w:hAnsiTheme="minorHAnsi" w:cstheme="minorHAnsi"/>
        </w:rPr>
        <w:t>, které bylo následně uzavřeno s </w:t>
      </w:r>
      <w:r w:rsidR="00391BCA">
        <w:rPr>
          <w:rFonts w:asciiTheme="minorHAnsi" w:hAnsiTheme="minorHAnsi" w:cstheme="minorHAnsi"/>
        </w:rPr>
        <w:t>kraji</w:t>
      </w:r>
      <w:r w:rsidR="0043519B">
        <w:rPr>
          <w:rStyle w:val="Znakapoznpodarou"/>
          <w:rFonts w:asciiTheme="minorHAnsi" w:hAnsiTheme="minorHAnsi" w:cstheme="minorHAnsi"/>
        </w:rPr>
        <w:footnoteReference w:id="18"/>
      </w:r>
      <w:r w:rsidR="00D37797">
        <w:rPr>
          <w:rFonts w:asciiTheme="minorHAnsi" w:hAnsiTheme="minorHAnsi" w:cstheme="minorHAnsi"/>
        </w:rPr>
        <w:t xml:space="preserve">. </w:t>
      </w:r>
      <w:r w:rsidR="005F2C28">
        <w:rPr>
          <w:rFonts w:asciiTheme="minorHAnsi" w:hAnsiTheme="minorHAnsi" w:cstheme="minorHAnsi"/>
        </w:rPr>
        <w:t xml:space="preserve">Podle memoranda měly být v letech 2010 až 2019 poskytovány krajům dotace ze státního rozpočtu na zajištění dopravní obslužnosti regionální železniční osobní dopravou v roční výši 2,6 mld. Kč s postupným navyšováním ve vazbě na růst indexu spotřebitelských cen. </w:t>
      </w:r>
    </w:p>
    <w:p w14:paraId="217B691C" w14:textId="77777777" w:rsidR="0055236D" w:rsidRDefault="0055236D">
      <w:pPr>
        <w:jc w:val="both"/>
        <w:rPr>
          <w:rFonts w:asciiTheme="minorHAnsi" w:hAnsiTheme="minorHAnsi" w:cstheme="minorHAnsi"/>
        </w:rPr>
      </w:pPr>
    </w:p>
    <w:p w14:paraId="167C1836" w14:textId="12695DD3" w:rsidR="00750999" w:rsidRDefault="002C1D9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MD poskytovalo</w:t>
      </w:r>
      <w:r w:rsidR="0055236D">
        <w:rPr>
          <w:rFonts w:asciiTheme="minorHAnsi" w:hAnsiTheme="minorHAnsi" w:cstheme="minorHAnsi"/>
        </w:rPr>
        <w:t xml:space="preserve"> krajům na uvedený účel v letech 2010 až 2014 prostředky státního rozpočtu v průměrné roční výši 2,7 mld. Kč. </w:t>
      </w:r>
      <w:r w:rsidR="003F7389">
        <w:rPr>
          <w:rFonts w:asciiTheme="minorHAnsi" w:hAnsiTheme="minorHAnsi" w:cstheme="minorHAnsi"/>
        </w:rPr>
        <w:t xml:space="preserve">Tyto prostředky představovaly přibližně 32 % prostředků poskytovaných kraji na regionální železniční dopravu. </w:t>
      </w:r>
      <w:r w:rsidR="00201B0B">
        <w:rPr>
          <w:rFonts w:asciiTheme="minorHAnsi" w:hAnsiTheme="minorHAnsi" w:cstheme="minorHAnsi"/>
        </w:rPr>
        <w:t xml:space="preserve">Poskytování těchto prostředků bylo podle NKÚ </w:t>
      </w:r>
      <w:r w:rsidR="003F7389">
        <w:rPr>
          <w:rFonts w:asciiTheme="minorHAnsi" w:hAnsiTheme="minorHAnsi" w:cstheme="minorHAnsi"/>
        </w:rPr>
        <w:t xml:space="preserve">nesystémové, neboť podle zákona č. 194/2010 </w:t>
      </w:r>
      <w:r w:rsidR="00201B0B">
        <w:rPr>
          <w:rFonts w:asciiTheme="minorHAnsi" w:hAnsiTheme="minorHAnsi" w:cstheme="minorHAnsi"/>
        </w:rPr>
        <w:t>Sb. (před</w:t>
      </w:r>
      <w:r w:rsidR="00496026">
        <w:rPr>
          <w:rFonts w:asciiTheme="minorHAnsi" w:hAnsiTheme="minorHAnsi" w:cstheme="minorHAnsi"/>
        </w:rPr>
        <w:t>tím</w:t>
      </w:r>
      <w:r w:rsidR="00201B0B">
        <w:rPr>
          <w:rFonts w:asciiTheme="minorHAnsi" w:hAnsiTheme="minorHAnsi" w:cstheme="minorHAnsi"/>
        </w:rPr>
        <w:t xml:space="preserve"> i po</w:t>
      </w:r>
      <w:r w:rsidR="001512D3">
        <w:rPr>
          <w:rFonts w:asciiTheme="minorHAnsi" w:hAnsiTheme="minorHAnsi" w:cstheme="minorHAnsi"/>
        </w:rPr>
        <w:t>dle zákona č. 266/1994 Sb.)</w:t>
      </w:r>
      <w:r w:rsidR="00FC68EF">
        <w:rPr>
          <w:rFonts w:asciiTheme="minorHAnsi" w:hAnsiTheme="minorHAnsi" w:cstheme="minorHAnsi"/>
        </w:rPr>
        <w:t xml:space="preserve"> a v souladu se zákonem č. 129/2000 Sb.</w:t>
      </w:r>
      <w:r w:rsidR="00FC68EF">
        <w:rPr>
          <w:rStyle w:val="Znakapoznpodarou"/>
          <w:rFonts w:asciiTheme="minorHAnsi" w:hAnsiTheme="minorHAnsi" w:cstheme="minorHAnsi"/>
        </w:rPr>
        <w:footnoteReference w:id="19"/>
      </w:r>
      <w:r w:rsidR="001512D3">
        <w:rPr>
          <w:rFonts w:asciiTheme="minorHAnsi" w:hAnsiTheme="minorHAnsi" w:cstheme="minorHAnsi"/>
        </w:rPr>
        <w:t xml:space="preserve"> bylo stanovení rozsahu regionální železniční osobní dopravy a její zajišťování </w:t>
      </w:r>
      <w:r w:rsidR="003F7389">
        <w:rPr>
          <w:rFonts w:asciiTheme="minorHAnsi" w:hAnsiTheme="minorHAnsi" w:cstheme="minorHAnsi"/>
        </w:rPr>
        <w:t xml:space="preserve">v kompetenci krajů. </w:t>
      </w:r>
      <w:r w:rsidR="00750999">
        <w:rPr>
          <w:rFonts w:asciiTheme="minorHAnsi" w:hAnsiTheme="minorHAnsi" w:cstheme="minorHAnsi"/>
        </w:rPr>
        <w:t xml:space="preserve">Memorandum sice stanovilo určitý postup pro rozdělení dotace mezi kraje a postup jejího vyúčtování, </w:t>
      </w:r>
      <w:r w:rsidR="00496026">
        <w:rPr>
          <w:rFonts w:asciiTheme="minorHAnsi" w:hAnsiTheme="minorHAnsi" w:cstheme="minorHAnsi"/>
        </w:rPr>
        <w:t xml:space="preserve">avšak </w:t>
      </w:r>
      <w:r w:rsidR="00191756">
        <w:rPr>
          <w:rFonts w:asciiTheme="minorHAnsi" w:hAnsiTheme="minorHAnsi" w:cstheme="minorHAnsi"/>
        </w:rPr>
        <w:t>MD nemohlo nijak ovlivnit požadavky jednotlivých krajů na úhrady ztráty z nasmlouvaného rozsahu regionální železniční dopravy, pokud jejich celková výše nepřekročila vyčleněné prostředky státního rozpočtu. Bylo tak do jisté m</w:t>
      </w:r>
      <w:r w:rsidR="001512D3">
        <w:rPr>
          <w:rFonts w:asciiTheme="minorHAnsi" w:hAnsiTheme="minorHAnsi" w:cstheme="minorHAnsi"/>
        </w:rPr>
        <w:t>íry v </w:t>
      </w:r>
      <w:r w:rsidR="00191756">
        <w:rPr>
          <w:rFonts w:asciiTheme="minorHAnsi" w:hAnsiTheme="minorHAnsi" w:cstheme="minorHAnsi"/>
        </w:rPr>
        <w:t>pasivní roli a n</w:t>
      </w:r>
      <w:r w:rsidR="006D3A1F">
        <w:rPr>
          <w:rFonts w:asciiTheme="minorHAnsi" w:hAnsiTheme="minorHAnsi" w:cstheme="minorHAnsi"/>
        </w:rPr>
        <w:t>emělo</w:t>
      </w:r>
      <w:r w:rsidR="00191756">
        <w:rPr>
          <w:rFonts w:asciiTheme="minorHAnsi" w:hAnsiTheme="minorHAnsi" w:cstheme="minorHAnsi"/>
        </w:rPr>
        <w:t xml:space="preserve"> vliv na uzavírání smluv o </w:t>
      </w:r>
      <w:r w:rsidR="006D3A1F">
        <w:rPr>
          <w:rFonts w:asciiTheme="minorHAnsi" w:hAnsiTheme="minorHAnsi" w:cstheme="minorHAnsi"/>
        </w:rPr>
        <w:t>veřejné službě na</w:t>
      </w:r>
      <w:r w:rsidR="00201B0B">
        <w:rPr>
          <w:rFonts w:asciiTheme="minorHAnsi" w:hAnsiTheme="minorHAnsi" w:cstheme="minorHAnsi"/>
        </w:rPr>
        <w:t xml:space="preserve"> její</w:t>
      </w:r>
      <w:r w:rsidR="006D3A1F">
        <w:rPr>
          <w:rFonts w:asciiTheme="minorHAnsi" w:hAnsiTheme="minorHAnsi" w:cstheme="minorHAnsi"/>
        </w:rPr>
        <w:t xml:space="preserve"> zajištění.</w:t>
      </w:r>
      <w:r w:rsidR="003E1214">
        <w:rPr>
          <w:rFonts w:asciiTheme="minorHAnsi" w:hAnsiTheme="minorHAnsi" w:cstheme="minorHAnsi"/>
        </w:rPr>
        <w:t xml:space="preserve"> </w:t>
      </w:r>
    </w:p>
    <w:p w14:paraId="31B99C92" w14:textId="77777777" w:rsidR="001512D3" w:rsidRDefault="001512D3">
      <w:pPr>
        <w:jc w:val="both"/>
        <w:rPr>
          <w:rFonts w:asciiTheme="minorHAnsi" w:hAnsiTheme="minorHAnsi" w:cstheme="minorHAnsi"/>
        </w:rPr>
      </w:pPr>
    </w:p>
    <w:p w14:paraId="38B8556C" w14:textId="3AB20C43" w:rsidR="001728E3" w:rsidRDefault="0019175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b) </w:t>
      </w:r>
      <w:r w:rsidR="001728E3">
        <w:rPr>
          <w:rFonts w:asciiTheme="minorHAnsi" w:hAnsiTheme="minorHAnsi" w:cstheme="minorHAnsi"/>
        </w:rPr>
        <w:t>Povinnost p</w:t>
      </w:r>
      <w:r>
        <w:rPr>
          <w:rFonts w:asciiTheme="minorHAnsi" w:hAnsiTheme="minorHAnsi" w:cstheme="minorHAnsi"/>
        </w:rPr>
        <w:t>oskytování slev</w:t>
      </w:r>
      <w:r w:rsidR="00CC6F0A">
        <w:rPr>
          <w:rFonts w:asciiTheme="minorHAnsi" w:hAnsiTheme="minorHAnsi" w:cstheme="minorHAnsi"/>
        </w:rPr>
        <w:t xml:space="preserve"> </w:t>
      </w:r>
      <w:r w:rsidR="00893291">
        <w:rPr>
          <w:rFonts w:asciiTheme="minorHAnsi" w:hAnsiTheme="minorHAnsi" w:cstheme="minorHAnsi"/>
        </w:rPr>
        <w:t>z </w:t>
      </w:r>
      <w:r w:rsidR="00CC6F0A">
        <w:rPr>
          <w:rFonts w:asciiTheme="minorHAnsi" w:hAnsiTheme="minorHAnsi" w:cstheme="minorHAnsi"/>
        </w:rPr>
        <w:t>jízdného</w:t>
      </w:r>
      <w:r>
        <w:rPr>
          <w:rFonts w:asciiTheme="minorHAnsi" w:hAnsiTheme="minorHAnsi" w:cstheme="minorHAnsi"/>
        </w:rPr>
        <w:t xml:space="preserve"> </w:t>
      </w:r>
      <w:r w:rsidR="001728E3">
        <w:rPr>
          <w:rFonts w:asciiTheme="minorHAnsi" w:hAnsiTheme="minorHAnsi" w:cstheme="minorHAnsi"/>
        </w:rPr>
        <w:t>pro vyme</w:t>
      </w:r>
      <w:r w:rsidR="00201B0B">
        <w:rPr>
          <w:rFonts w:asciiTheme="minorHAnsi" w:hAnsiTheme="minorHAnsi" w:cstheme="minorHAnsi"/>
        </w:rPr>
        <w:t>zené skupiny cestujících vyplývala</w:t>
      </w:r>
      <w:r w:rsidR="001728E3">
        <w:rPr>
          <w:rFonts w:asciiTheme="minorHAnsi" w:hAnsiTheme="minorHAnsi" w:cstheme="minorHAnsi"/>
        </w:rPr>
        <w:t xml:space="preserve"> dopravcům z příslušného výměru Ministerstva financí, kterým se vydává seznam zboží s regulovanými cenami. Dopravci mají nárok na kompenzaci ztráty vzniklé z poskytování těchto slev z prostředků státního rozpočtu. Kompenzaci jim poskytovalo MD měsíčně na základě smluv uzavřených na kalendářní rok. </w:t>
      </w:r>
    </w:p>
    <w:p w14:paraId="12B1D58C" w14:textId="77777777" w:rsidR="001728E3" w:rsidRDefault="001728E3">
      <w:pPr>
        <w:jc w:val="both"/>
        <w:rPr>
          <w:rFonts w:asciiTheme="minorHAnsi" w:hAnsiTheme="minorHAnsi" w:cstheme="minorHAnsi"/>
        </w:rPr>
      </w:pPr>
    </w:p>
    <w:p w14:paraId="4B5A1002" w14:textId="56BFF7F1" w:rsidR="00191756" w:rsidRPr="001F475F" w:rsidRDefault="001728E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MD uzavřelo v letech 2013 až 2015 </w:t>
      </w:r>
      <w:r w:rsidR="00FC10C0">
        <w:rPr>
          <w:rFonts w:asciiTheme="minorHAnsi" w:hAnsiTheme="minorHAnsi" w:cstheme="minorHAnsi"/>
        </w:rPr>
        <w:t xml:space="preserve">smlouvy o kompenzaci slev </w:t>
      </w:r>
      <w:r w:rsidR="00893291">
        <w:rPr>
          <w:rFonts w:asciiTheme="minorHAnsi" w:hAnsiTheme="minorHAnsi" w:cstheme="minorHAnsi"/>
        </w:rPr>
        <w:t>z </w:t>
      </w:r>
      <w:r w:rsidR="00FC10C0">
        <w:rPr>
          <w:rFonts w:asciiTheme="minorHAnsi" w:hAnsiTheme="minorHAnsi" w:cstheme="minorHAnsi"/>
        </w:rPr>
        <w:t>jízdného se třemi dopravci.</w:t>
      </w:r>
      <w:r w:rsidR="00201B0B">
        <w:rPr>
          <w:rFonts w:asciiTheme="minorHAnsi" w:hAnsiTheme="minorHAnsi" w:cstheme="minorHAnsi"/>
        </w:rPr>
        <w:t xml:space="preserve"> Na jejich základě jim </w:t>
      </w:r>
      <w:r w:rsidR="002C1D96">
        <w:rPr>
          <w:rFonts w:asciiTheme="minorHAnsi" w:hAnsiTheme="minorHAnsi" w:cstheme="minorHAnsi"/>
        </w:rPr>
        <w:t xml:space="preserve">poskytlo </w:t>
      </w:r>
      <w:r w:rsidR="007035DE">
        <w:rPr>
          <w:rFonts w:asciiTheme="minorHAnsi" w:hAnsiTheme="minorHAnsi" w:cstheme="minorHAnsi"/>
        </w:rPr>
        <w:t xml:space="preserve">z prostředků státního rozpočtu kompenzace </w:t>
      </w:r>
      <w:r w:rsidR="002C1D96">
        <w:rPr>
          <w:rFonts w:asciiTheme="minorHAnsi" w:hAnsiTheme="minorHAnsi" w:cstheme="minorHAnsi"/>
        </w:rPr>
        <w:t xml:space="preserve">v roce 2013 </w:t>
      </w:r>
      <w:r w:rsidR="00201B0B">
        <w:rPr>
          <w:rFonts w:asciiTheme="minorHAnsi" w:hAnsiTheme="minorHAnsi" w:cstheme="minorHAnsi"/>
        </w:rPr>
        <w:t>ve výši</w:t>
      </w:r>
      <w:r w:rsidR="002C1D96">
        <w:rPr>
          <w:rFonts w:asciiTheme="minorHAnsi" w:hAnsiTheme="minorHAnsi" w:cstheme="minorHAnsi"/>
        </w:rPr>
        <w:t xml:space="preserve"> </w:t>
      </w:r>
      <w:r w:rsidR="001F475F">
        <w:rPr>
          <w:rFonts w:asciiTheme="minorHAnsi" w:hAnsiTheme="minorHAnsi" w:cstheme="minorHAnsi"/>
        </w:rPr>
        <w:t>87,9 mil. Kč, v roce 2014</w:t>
      </w:r>
      <w:r w:rsidR="002C1D96">
        <w:rPr>
          <w:rFonts w:asciiTheme="minorHAnsi" w:hAnsiTheme="minorHAnsi" w:cstheme="minorHAnsi"/>
        </w:rPr>
        <w:t xml:space="preserve"> </w:t>
      </w:r>
      <w:r w:rsidR="00201B0B">
        <w:rPr>
          <w:rFonts w:asciiTheme="minorHAnsi" w:hAnsiTheme="minorHAnsi" w:cstheme="minorHAnsi"/>
        </w:rPr>
        <w:t>ve výši</w:t>
      </w:r>
      <w:r w:rsidR="002C1D96">
        <w:rPr>
          <w:rFonts w:asciiTheme="minorHAnsi" w:hAnsiTheme="minorHAnsi" w:cstheme="minorHAnsi"/>
        </w:rPr>
        <w:t xml:space="preserve"> 88,8 m</w:t>
      </w:r>
      <w:r w:rsidR="00201B0B">
        <w:rPr>
          <w:rFonts w:asciiTheme="minorHAnsi" w:hAnsiTheme="minorHAnsi" w:cstheme="minorHAnsi"/>
        </w:rPr>
        <w:t>il. Kč a za 1. </w:t>
      </w:r>
      <w:r w:rsidR="002C1D96">
        <w:rPr>
          <w:rFonts w:asciiTheme="minorHAnsi" w:hAnsiTheme="minorHAnsi" w:cstheme="minorHAnsi"/>
        </w:rPr>
        <w:t xml:space="preserve">pololetí 2015 </w:t>
      </w:r>
      <w:r w:rsidR="00201B0B">
        <w:rPr>
          <w:rFonts w:asciiTheme="minorHAnsi" w:hAnsiTheme="minorHAnsi" w:cstheme="minorHAnsi"/>
        </w:rPr>
        <w:t>ve výši</w:t>
      </w:r>
      <w:r w:rsidR="002C1D96">
        <w:rPr>
          <w:rFonts w:asciiTheme="minorHAnsi" w:hAnsiTheme="minorHAnsi" w:cstheme="minorHAnsi"/>
        </w:rPr>
        <w:t xml:space="preserve"> 41,3 mil. Kč. </w:t>
      </w:r>
    </w:p>
    <w:p w14:paraId="592506C0" w14:textId="77777777" w:rsidR="00880BD0" w:rsidRPr="00C50D36" w:rsidRDefault="00C50D36" w:rsidP="000B3B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C80CE69" w14:textId="77777777" w:rsidR="00661FEB" w:rsidRDefault="00661FEB" w:rsidP="004925A1">
      <w:pPr>
        <w:jc w:val="right"/>
        <w:rPr>
          <w:rFonts w:asciiTheme="minorHAnsi" w:hAnsiTheme="minorHAnsi" w:cstheme="minorHAnsi"/>
          <w:b/>
        </w:rPr>
      </w:pPr>
    </w:p>
    <w:p w14:paraId="747B8A1A" w14:textId="77777777" w:rsidR="004925A1" w:rsidRDefault="004925A1" w:rsidP="004925A1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Příloha</w:t>
      </w:r>
    </w:p>
    <w:p w14:paraId="426E004E" w14:textId="77777777" w:rsidR="004925A1" w:rsidRDefault="004925A1" w:rsidP="004925A1">
      <w:pPr>
        <w:jc w:val="center"/>
        <w:rPr>
          <w:rFonts w:asciiTheme="minorHAnsi" w:hAnsiTheme="minorHAnsi" w:cstheme="minorHAnsi"/>
          <w:b/>
        </w:rPr>
      </w:pPr>
    </w:p>
    <w:p w14:paraId="110E89BB" w14:textId="77777777" w:rsidR="00201B0B" w:rsidRDefault="00201B0B" w:rsidP="004925A1">
      <w:pPr>
        <w:jc w:val="center"/>
        <w:rPr>
          <w:rFonts w:asciiTheme="minorHAnsi" w:hAnsiTheme="minorHAnsi" w:cstheme="minorHAnsi"/>
          <w:b/>
        </w:rPr>
      </w:pPr>
    </w:p>
    <w:p w14:paraId="75C672CB" w14:textId="77777777" w:rsidR="004925A1" w:rsidRDefault="004925A1" w:rsidP="004925A1">
      <w:pPr>
        <w:jc w:val="center"/>
        <w:rPr>
          <w:rFonts w:asciiTheme="minorHAnsi" w:hAnsiTheme="minorHAnsi" w:cstheme="minorHAnsi"/>
          <w:b/>
        </w:rPr>
      </w:pPr>
    </w:p>
    <w:p w14:paraId="592EC7DC" w14:textId="77777777" w:rsidR="00D17F63" w:rsidRPr="00201B0B" w:rsidRDefault="004925A1" w:rsidP="00D17F6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1B0B">
        <w:rPr>
          <w:rFonts w:asciiTheme="minorHAnsi" w:hAnsiTheme="minorHAnsi" w:cstheme="minorHAnsi"/>
          <w:b/>
          <w:sz w:val="28"/>
          <w:szCs w:val="28"/>
        </w:rPr>
        <w:t>Linky dálkov</w:t>
      </w:r>
      <w:r w:rsidR="000D71FE">
        <w:rPr>
          <w:rFonts w:asciiTheme="minorHAnsi" w:hAnsiTheme="minorHAnsi" w:cstheme="minorHAnsi"/>
          <w:b/>
          <w:sz w:val="28"/>
          <w:szCs w:val="28"/>
        </w:rPr>
        <w:t>é dopravy k zajištění dopravní</w:t>
      </w:r>
      <w:r w:rsidRPr="00201B0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D71FE">
        <w:rPr>
          <w:rFonts w:asciiTheme="minorHAnsi" w:hAnsiTheme="minorHAnsi" w:cstheme="minorHAnsi"/>
          <w:b/>
          <w:sz w:val="28"/>
          <w:szCs w:val="28"/>
        </w:rPr>
        <w:t>obslužnosti</w:t>
      </w:r>
      <w:r w:rsidRPr="00201B0B">
        <w:rPr>
          <w:rFonts w:asciiTheme="minorHAnsi" w:hAnsiTheme="minorHAnsi" w:cstheme="minorHAnsi"/>
          <w:b/>
          <w:sz w:val="28"/>
          <w:szCs w:val="28"/>
        </w:rPr>
        <w:t xml:space="preserve"> státu</w:t>
      </w:r>
    </w:p>
    <w:p w14:paraId="72B63556" w14:textId="77777777" w:rsidR="00D17F63" w:rsidRPr="00201B0B" w:rsidRDefault="00D17F63" w:rsidP="00D17F6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1B0B">
        <w:rPr>
          <w:rFonts w:asciiTheme="minorHAnsi" w:hAnsiTheme="minorHAnsi" w:cstheme="minorHAnsi"/>
          <w:b/>
          <w:sz w:val="28"/>
          <w:szCs w:val="28"/>
        </w:rPr>
        <w:t>uvedené MD v plánu dopravní obslužnosti</w:t>
      </w:r>
    </w:p>
    <w:p w14:paraId="53290C18" w14:textId="77777777" w:rsidR="004925A1" w:rsidRDefault="004925A1" w:rsidP="004925A1">
      <w:pPr>
        <w:jc w:val="center"/>
        <w:rPr>
          <w:rFonts w:asciiTheme="minorHAnsi" w:hAnsiTheme="minorHAnsi" w:cstheme="minorHAnsi"/>
        </w:rPr>
      </w:pPr>
    </w:p>
    <w:p w14:paraId="68C1C544" w14:textId="77777777" w:rsidR="00201B0B" w:rsidRDefault="00201B0B" w:rsidP="004925A1">
      <w:pPr>
        <w:jc w:val="center"/>
        <w:rPr>
          <w:rFonts w:asciiTheme="minorHAnsi" w:hAnsiTheme="minorHAnsi" w:cstheme="minorHAnsi"/>
        </w:rPr>
      </w:pPr>
    </w:p>
    <w:p w14:paraId="6CB9A5A8" w14:textId="77777777" w:rsidR="004925A1" w:rsidRPr="000F2C82" w:rsidRDefault="006F23FD" w:rsidP="006F23FD">
      <w:pPr>
        <w:ind w:left="567" w:hanging="567"/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</w:rPr>
        <w:t xml:space="preserve">Ex1 </w:t>
      </w:r>
      <w:r>
        <w:rPr>
          <w:rFonts w:asciiTheme="minorHAnsi" w:hAnsiTheme="minorHAnsi" w:cstheme="minorHAnsi"/>
        </w:rPr>
        <w:tab/>
      </w:r>
      <w:r w:rsidR="004925A1">
        <w:rPr>
          <w:rFonts w:asciiTheme="minorHAnsi" w:hAnsiTheme="minorHAnsi" w:cstheme="minorHAnsi"/>
        </w:rPr>
        <w:t>Praha – Pardubice – Olomouc – Ostrava – Polsko/Slovensko</w:t>
      </w:r>
      <w:r w:rsidR="000F2C82">
        <w:rPr>
          <w:rFonts w:asciiTheme="minorHAnsi" w:hAnsiTheme="minorHAnsi" w:cstheme="minorHAnsi"/>
          <w:vertAlign w:val="superscript"/>
        </w:rPr>
        <w:t>1)</w:t>
      </w:r>
    </w:p>
    <w:p w14:paraId="291503B6" w14:textId="77777777" w:rsidR="00D17F63" w:rsidRDefault="00D17F63" w:rsidP="006F23FD">
      <w:p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Ex2 </w:t>
      </w:r>
      <w:r w:rsidR="006F23FD">
        <w:rPr>
          <w:rFonts w:asciiTheme="minorHAnsi" w:hAnsiTheme="minorHAnsi" w:cstheme="minorHAnsi"/>
        </w:rPr>
        <w:t xml:space="preserve"> </w:t>
      </w:r>
      <w:r w:rsidR="006F23F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Praha – Pardubice – Olomouc – Luhačovice/Zlín/Slovensko </w:t>
      </w:r>
    </w:p>
    <w:p w14:paraId="263C2354" w14:textId="77777777" w:rsidR="00D17F63" w:rsidRDefault="00D17F63" w:rsidP="006F23FD">
      <w:p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Ex3</w:t>
      </w:r>
      <w:r w:rsidR="006F23FD">
        <w:rPr>
          <w:rFonts w:asciiTheme="minorHAnsi" w:hAnsiTheme="minorHAnsi" w:cstheme="minorHAnsi"/>
        </w:rPr>
        <w:t xml:space="preserve">  </w:t>
      </w:r>
      <w:r w:rsidR="006F23F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Německo – Ústí nad Labem – Praha – Pardubice – Brno – Rakousko/Slovensko</w:t>
      </w:r>
    </w:p>
    <w:p w14:paraId="6C24088F" w14:textId="77777777" w:rsidR="00D17F63" w:rsidRDefault="00D17F63" w:rsidP="006F23FD">
      <w:p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Ex4</w:t>
      </w:r>
      <w:r w:rsidR="006F23FD">
        <w:rPr>
          <w:rFonts w:asciiTheme="minorHAnsi" w:hAnsiTheme="minorHAnsi" w:cstheme="minorHAnsi"/>
        </w:rPr>
        <w:t xml:space="preserve">  </w:t>
      </w:r>
      <w:r w:rsidR="006F23F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Rakousko/Slovensko – Břeclav – Otrokovice – Ostrava – Polsko</w:t>
      </w:r>
    </w:p>
    <w:p w14:paraId="3D6934E2" w14:textId="77777777" w:rsidR="00D17F63" w:rsidRDefault="00D17F63" w:rsidP="006F23FD">
      <w:p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R5</w:t>
      </w:r>
      <w:r w:rsidR="006F23FD">
        <w:rPr>
          <w:rFonts w:asciiTheme="minorHAnsi" w:hAnsiTheme="minorHAnsi" w:cstheme="minorHAnsi"/>
        </w:rPr>
        <w:t xml:space="preserve">    </w:t>
      </w:r>
      <w:r w:rsidR="006F23F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Praha – Ústí nad Labem – Karlovy Vary – Cheb</w:t>
      </w:r>
    </w:p>
    <w:p w14:paraId="081EA157" w14:textId="77777777" w:rsidR="00D17F63" w:rsidRDefault="00D17F63" w:rsidP="006F23FD">
      <w:p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R6</w:t>
      </w:r>
      <w:r>
        <w:rPr>
          <w:rFonts w:asciiTheme="minorHAnsi" w:hAnsiTheme="minorHAnsi" w:cstheme="minorHAnsi"/>
        </w:rPr>
        <w:tab/>
        <w:t>Praha – Plzeň – Cheb/Německo/Klatovy</w:t>
      </w:r>
    </w:p>
    <w:p w14:paraId="1A2034EA" w14:textId="77777777" w:rsidR="00D17F63" w:rsidRDefault="00D17F63" w:rsidP="006F23FD">
      <w:p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R7</w:t>
      </w:r>
      <w:r>
        <w:rPr>
          <w:rFonts w:asciiTheme="minorHAnsi" w:hAnsiTheme="minorHAnsi" w:cstheme="minorHAnsi"/>
        </w:rPr>
        <w:tab/>
        <w:t>Praha – České Budějovice/Rakousko</w:t>
      </w:r>
    </w:p>
    <w:p w14:paraId="609AB239" w14:textId="77777777" w:rsidR="00CB0222" w:rsidRDefault="00D17F63" w:rsidP="006F23FD">
      <w:p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R8</w:t>
      </w:r>
      <w:r>
        <w:rPr>
          <w:rFonts w:asciiTheme="minorHAnsi" w:hAnsiTheme="minorHAnsi" w:cstheme="minorHAnsi"/>
        </w:rPr>
        <w:tab/>
        <w:t>Brno – Ostrava – Bohumín</w:t>
      </w:r>
    </w:p>
    <w:p w14:paraId="29B41DE8" w14:textId="77777777" w:rsidR="00CB0222" w:rsidRDefault="00CB0222" w:rsidP="006F23FD">
      <w:p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R9</w:t>
      </w:r>
      <w:r>
        <w:rPr>
          <w:rFonts w:asciiTheme="minorHAnsi" w:hAnsiTheme="minorHAnsi" w:cstheme="minorHAnsi"/>
        </w:rPr>
        <w:tab/>
        <w:t>Praha – Havlíčkův Brod – Brno/Jihlava</w:t>
      </w:r>
    </w:p>
    <w:p w14:paraId="7DEC2804" w14:textId="77777777" w:rsidR="00CB0222" w:rsidRDefault="00CB0222" w:rsidP="006F23FD">
      <w:p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R10</w:t>
      </w:r>
      <w:r>
        <w:rPr>
          <w:rFonts w:asciiTheme="minorHAnsi" w:hAnsiTheme="minorHAnsi" w:cstheme="minorHAnsi"/>
        </w:rPr>
        <w:tab/>
        <w:t>Praha – Hradec Králové – Turnov</w:t>
      </w:r>
    </w:p>
    <w:p w14:paraId="67C82061" w14:textId="77777777" w:rsidR="00CB0222" w:rsidRDefault="00CB0222" w:rsidP="006F23FD">
      <w:p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R11</w:t>
      </w:r>
      <w:r>
        <w:rPr>
          <w:rFonts w:asciiTheme="minorHAnsi" w:hAnsiTheme="minorHAnsi" w:cstheme="minorHAnsi"/>
        </w:rPr>
        <w:tab/>
        <w:t>Brno – Jihlava – České Budějovice – Plzeň</w:t>
      </w:r>
    </w:p>
    <w:p w14:paraId="038F1E0E" w14:textId="77777777" w:rsidR="00CB0222" w:rsidRDefault="00CB0222" w:rsidP="006F23FD">
      <w:p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R12</w:t>
      </w:r>
      <w:r>
        <w:rPr>
          <w:rFonts w:asciiTheme="minorHAnsi" w:hAnsiTheme="minorHAnsi" w:cstheme="minorHAnsi"/>
        </w:rPr>
        <w:tab/>
        <w:t>Brno – Olomouc – Jeseník/Šumperk</w:t>
      </w:r>
    </w:p>
    <w:p w14:paraId="2480B962" w14:textId="77777777" w:rsidR="00CB0222" w:rsidRDefault="00CB0222" w:rsidP="006F23FD">
      <w:p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R13</w:t>
      </w:r>
      <w:r>
        <w:rPr>
          <w:rFonts w:asciiTheme="minorHAnsi" w:hAnsiTheme="minorHAnsi" w:cstheme="minorHAnsi"/>
        </w:rPr>
        <w:tab/>
        <w:t>Brno – Břeclav – Otrokovice – Olomouc</w:t>
      </w:r>
    </w:p>
    <w:p w14:paraId="7954A436" w14:textId="77777777" w:rsidR="00CB0222" w:rsidRDefault="00CB0222" w:rsidP="006F23FD">
      <w:p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R14</w:t>
      </w:r>
      <w:r>
        <w:rPr>
          <w:rFonts w:asciiTheme="minorHAnsi" w:hAnsiTheme="minorHAnsi" w:cstheme="minorHAnsi"/>
        </w:rPr>
        <w:tab/>
        <w:t>Pardubice – Liberec</w:t>
      </w:r>
    </w:p>
    <w:p w14:paraId="3F2CB3FD" w14:textId="77777777" w:rsidR="00CB0222" w:rsidRDefault="00CB0222" w:rsidP="006F23FD">
      <w:p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R15</w:t>
      </w:r>
      <w:r>
        <w:rPr>
          <w:rFonts w:asciiTheme="minorHAnsi" w:hAnsiTheme="minorHAnsi" w:cstheme="minorHAnsi"/>
        </w:rPr>
        <w:tab/>
        <w:t>Ústí nad Labem – Liberec</w:t>
      </w:r>
    </w:p>
    <w:p w14:paraId="3101BADE" w14:textId="77777777" w:rsidR="00CB0222" w:rsidRDefault="00CB0222" w:rsidP="006F23FD">
      <w:p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R16</w:t>
      </w:r>
      <w:r>
        <w:rPr>
          <w:rFonts w:asciiTheme="minorHAnsi" w:hAnsiTheme="minorHAnsi" w:cstheme="minorHAnsi"/>
        </w:rPr>
        <w:tab/>
        <w:t>Plzeň – Žatec – Chomutov – Most</w:t>
      </w:r>
    </w:p>
    <w:p w14:paraId="2A6A94D7" w14:textId="77777777" w:rsidR="006F23FD" w:rsidRPr="000F2C82" w:rsidRDefault="006F23FD" w:rsidP="006F23FD">
      <w:pPr>
        <w:ind w:left="567" w:hanging="567"/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</w:rPr>
        <w:t>R17</w:t>
      </w:r>
      <w:r>
        <w:rPr>
          <w:rFonts w:asciiTheme="minorHAnsi" w:hAnsiTheme="minorHAnsi" w:cstheme="minorHAnsi"/>
        </w:rPr>
        <w:tab/>
        <w:t>Pardubice – Jihlava</w:t>
      </w:r>
      <w:r w:rsidR="000F2C82">
        <w:rPr>
          <w:rFonts w:asciiTheme="minorHAnsi" w:hAnsiTheme="minorHAnsi" w:cstheme="minorHAnsi"/>
          <w:vertAlign w:val="superscript"/>
        </w:rPr>
        <w:t>2)</w:t>
      </w:r>
    </w:p>
    <w:p w14:paraId="55DCCCCD" w14:textId="77777777" w:rsidR="006F23FD" w:rsidRDefault="006F23FD" w:rsidP="006F23FD">
      <w:p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R18</w:t>
      </w:r>
      <w:r>
        <w:rPr>
          <w:rFonts w:asciiTheme="minorHAnsi" w:hAnsiTheme="minorHAnsi" w:cstheme="minorHAnsi"/>
        </w:rPr>
        <w:tab/>
        <w:t>Praha – Pardubice – Česká Třebová – Olomouc – Vsetín/Luhačovice/Veselí n. M.</w:t>
      </w:r>
    </w:p>
    <w:p w14:paraId="12A9C65E" w14:textId="77777777" w:rsidR="006F23FD" w:rsidRDefault="006F23FD" w:rsidP="006F23FD">
      <w:p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R19</w:t>
      </w:r>
      <w:r>
        <w:rPr>
          <w:rFonts w:asciiTheme="minorHAnsi" w:hAnsiTheme="minorHAnsi" w:cstheme="minorHAnsi"/>
        </w:rPr>
        <w:tab/>
        <w:t>Praha – Pardubice – Česká Třebová – Brno</w:t>
      </w:r>
    </w:p>
    <w:p w14:paraId="162BBB39" w14:textId="77777777" w:rsidR="006F23FD" w:rsidRDefault="006F23FD" w:rsidP="006F23FD">
      <w:p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R20</w:t>
      </w:r>
      <w:r>
        <w:rPr>
          <w:rFonts w:asciiTheme="minorHAnsi" w:hAnsiTheme="minorHAnsi" w:cstheme="minorHAnsi"/>
        </w:rPr>
        <w:tab/>
        <w:t>Praha – Roudnice nad Labem – Ústí nad Labem – Děčín</w:t>
      </w:r>
    </w:p>
    <w:p w14:paraId="26BA4097" w14:textId="77777777" w:rsidR="006F23FD" w:rsidRDefault="006F23FD" w:rsidP="006F23FD">
      <w:p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R21</w:t>
      </w:r>
      <w:r>
        <w:rPr>
          <w:rFonts w:asciiTheme="minorHAnsi" w:hAnsiTheme="minorHAnsi" w:cstheme="minorHAnsi"/>
        </w:rPr>
        <w:tab/>
        <w:t>Praha – Mladá Boleslav – Turnov – Tanvald</w:t>
      </w:r>
    </w:p>
    <w:p w14:paraId="524CB440" w14:textId="77777777" w:rsidR="006F23FD" w:rsidRDefault="006F23FD" w:rsidP="006F23FD">
      <w:p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R22</w:t>
      </w:r>
      <w:r>
        <w:rPr>
          <w:rFonts w:asciiTheme="minorHAnsi" w:hAnsiTheme="minorHAnsi" w:cstheme="minorHAnsi"/>
        </w:rPr>
        <w:tab/>
        <w:t>Praha – Mladá Boleslav – Česká Lípa – Rumburk</w:t>
      </w:r>
    </w:p>
    <w:p w14:paraId="63ABDB75" w14:textId="77777777" w:rsidR="006F23FD" w:rsidRDefault="006F23FD" w:rsidP="006F23FD">
      <w:p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R23</w:t>
      </w:r>
      <w:r>
        <w:rPr>
          <w:rFonts w:asciiTheme="minorHAnsi" w:hAnsiTheme="minorHAnsi" w:cstheme="minorHAnsi"/>
        </w:rPr>
        <w:tab/>
        <w:t>Kolín – Ústí nad Labem</w:t>
      </w:r>
    </w:p>
    <w:p w14:paraId="530EFA09" w14:textId="77777777" w:rsidR="006F23FD" w:rsidRDefault="006F23FD" w:rsidP="006F23FD">
      <w:p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R24</w:t>
      </w:r>
      <w:r>
        <w:rPr>
          <w:rFonts w:asciiTheme="minorHAnsi" w:hAnsiTheme="minorHAnsi" w:cstheme="minorHAnsi"/>
        </w:rPr>
        <w:tab/>
        <w:t>Praha – Rakovník</w:t>
      </w:r>
    </w:p>
    <w:p w14:paraId="009AFFA5" w14:textId="77777777" w:rsidR="006F23FD" w:rsidRPr="000F2C82" w:rsidRDefault="006F23FD" w:rsidP="006F23FD">
      <w:pPr>
        <w:ind w:left="567" w:hanging="567"/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</w:rPr>
        <w:t>R25</w:t>
      </w:r>
      <w:r>
        <w:rPr>
          <w:rFonts w:asciiTheme="minorHAnsi" w:hAnsiTheme="minorHAnsi" w:cstheme="minorHAnsi"/>
        </w:rPr>
        <w:tab/>
        <w:t>Rakovník/Lužná u Rakovníka – Chomutov – Jirkov</w:t>
      </w:r>
      <w:r w:rsidR="000F2C82">
        <w:rPr>
          <w:rFonts w:asciiTheme="minorHAnsi" w:hAnsiTheme="minorHAnsi" w:cstheme="minorHAnsi"/>
          <w:vertAlign w:val="superscript"/>
        </w:rPr>
        <w:t>2)</w:t>
      </w:r>
    </w:p>
    <w:p w14:paraId="554DFE49" w14:textId="77777777" w:rsidR="006F23FD" w:rsidRDefault="006F23FD" w:rsidP="006F23FD">
      <w:p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R26</w:t>
      </w:r>
      <w:r>
        <w:rPr>
          <w:rFonts w:asciiTheme="minorHAnsi" w:hAnsiTheme="minorHAnsi" w:cstheme="minorHAnsi"/>
        </w:rPr>
        <w:tab/>
        <w:t>Praha – Beroun – Příbram – Písek – České Budějovice</w:t>
      </w:r>
    </w:p>
    <w:p w14:paraId="2C2109D8" w14:textId="77777777" w:rsidR="006F23FD" w:rsidRDefault="006F23FD" w:rsidP="006F23FD">
      <w:p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R27</w:t>
      </w:r>
      <w:r>
        <w:rPr>
          <w:rFonts w:asciiTheme="minorHAnsi" w:hAnsiTheme="minorHAnsi" w:cstheme="minorHAnsi"/>
        </w:rPr>
        <w:tab/>
        <w:t>Ostrava – Opava – Krnov – Olomouc/Jeseník</w:t>
      </w:r>
    </w:p>
    <w:p w14:paraId="0A8361D0" w14:textId="77777777" w:rsidR="000F2C82" w:rsidRDefault="006F23FD" w:rsidP="006F23FD">
      <w:p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N28</w:t>
      </w:r>
      <w:r>
        <w:rPr>
          <w:rFonts w:asciiTheme="minorHAnsi" w:hAnsiTheme="minorHAnsi" w:cstheme="minorHAnsi"/>
        </w:rPr>
        <w:tab/>
        <w:t>Vybrané vlaky noční dopravy</w:t>
      </w:r>
      <w:r w:rsidR="000F2C82">
        <w:rPr>
          <w:rFonts w:asciiTheme="minorHAnsi" w:hAnsiTheme="minorHAnsi" w:cstheme="minorHAnsi"/>
          <w:vertAlign w:val="superscript"/>
        </w:rPr>
        <w:t>3)</w:t>
      </w:r>
      <w:r>
        <w:rPr>
          <w:rFonts w:asciiTheme="minorHAnsi" w:hAnsiTheme="minorHAnsi" w:cstheme="minorHAnsi"/>
        </w:rPr>
        <w:t xml:space="preserve"> </w:t>
      </w:r>
    </w:p>
    <w:p w14:paraId="6D4C20D5" w14:textId="1D97B085" w:rsidR="006F23FD" w:rsidRDefault="000F2C82" w:rsidP="006F23FD">
      <w:p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R29</w:t>
      </w:r>
      <w:r>
        <w:rPr>
          <w:rFonts w:asciiTheme="minorHAnsi" w:hAnsiTheme="minorHAnsi" w:cstheme="minorHAnsi"/>
        </w:rPr>
        <w:tab/>
      </w:r>
      <w:r w:rsidR="008A1A56">
        <w:rPr>
          <w:rFonts w:asciiTheme="minorHAnsi" w:hAnsiTheme="minorHAnsi" w:cstheme="minorHAnsi"/>
        </w:rPr>
        <w:t>Cheb – Německo</w:t>
      </w:r>
      <w:r w:rsidR="008A1A56">
        <w:rPr>
          <w:rFonts w:asciiTheme="minorHAnsi" w:hAnsiTheme="minorHAnsi" w:cstheme="minorHAnsi"/>
          <w:vertAlign w:val="superscript"/>
        </w:rPr>
        <w:t>4)</w:t>
      </w:r>
      <w:r w:rsidR="006F23FD">
        <w:rPr>
          <w:rFonts w:asciiTheme="minorHAnsi" w:hAnsiTheme="minorHAnsi" w:cstheme="minorHAnsi"/>
        </w:rPr>
        <w:t xml:space="preserve"> </w:t>
      </w:r>
    </w:p>
    <w:p w14:paraId="1C947508" w14:textId="5F5B9B3B" w:rsidR="000F2C82" w:rsidRDefault="000F2C82" w:rsidP="004925A1">
      <w:pPr>
        <w:jc w:val="both"/>
        <w:rPr>
          <w:rFonts w:asciiTheme="minorHAnsi" w:hAnsiTheme="minorHAnsi" w:cstheme="minorHAnsi"/>
        </w:rPr>
      </w:pPr>
    </w:p>
    <w:p w14:paraId="065A6BE2" w14:textId="77777777" w:rsidR="000F2C82" w:rsidRDefault="000F2C82" w:rsidP="004925A1">
      <w:pPr>
        <w:jc w:val="both"/>
        <w:rPr>
          <w:rFonts w:asciiTheme="minorHAnsi" w:hAnsiTheme="minorHAnsi" w:cstheme="minorHAnsi"/>
        </w:rPr>
      </w:pPr>
    </w:p>
    <w:p w14:paraId="55E96483" w14:textId="77777777" w:rsidR="00201B0B" w:rsidRDefault="00201B0B" w:rsidP="004925A1">
      <w:pPr>
        <w:jc w:val="both"/>
        <w:rPr>
          <w:rFonts w:asciiTheme="minorHAnsi" w:hAnsiTheme="minorHAnsi" w:cstheme="minorHAnsi"/>
        </w:rPr>
      </w:pPr>
    </w:p>
    <w:p w14:paraId="75C1E442" w14:textId="77777777" w:rsidR="00201B0B" w:rsidRPr="00201B0B" w:rsidRDefault="00201B0B" w:rsidP="004925A1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01B0B">
        <w:rPr>
          <w:rFonts w:asciiTheme="minorHAnsi" w:hAnsiTheme="minorHAnsi" w:cstheme="minorHAnsi"/>
          <w:sz w:val="20"/>
          <w:szCs w:val="20"/>
        </w:rPr>
        <w:t>Poznámky:</w:t>
      </w:r>
    </w:p>
    <w:p w14:paraId="2A5E9CAF" w14:textId="77777777" w:rsidR="000F2C82" w:rsidRDefault="000F2C82" w:rsidP="000F2C82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</w:t>
      </w:r>
      <w:r>
        <w:rPr>
          <w:rFonts w:asciiTheme="minorHAnsi" w:hAnsiTheme="minorHAnsi" w:cstheme="minorHAnsi"/>
          <w:sz w:val="20"/>
          <w:szCs w:val="20"/>
        </w:rPr>
        <w:tab/>
      </w:r>
      <w:r w:rsidR="008A1A56">
        <w:rPr>
          <w:rFonts w:asciiTheme="minorHAnsi" w:hAnsiTheme="minorHAnsi" w:cstheme="minorHAnsi"/>
          <w:sz w:val="20"/>
          <w:szCs w:val="20"/>
        </w:rPr>
        <w:t>Na lince byly o</w:t>
      </w:r>
      <w:r>
        <w:rPr>
          <w:rFonts w:asciiTheme="minorHAnsi" w:hAnsiTheme="minorHAnsi" w:cstheme="minorHAnsi"/>
          <w:sz w:val="20"/>
          <w:szCs w:val="20"/>
        </w:rPr>
        <w:t>d roku 2012 objednávány</w:t>
      </w:r>
      <w:r w:rsidR="008A1A56">
        <w:rPr>
          <w:rFonts w:asciiTheme="minorHAnsi" w:hAnsiTheme="minorHAnsi" w:cstheme="minorHAnsi"/>
          <w:sz w:val="20"/>
          <w:szCs w:val="20"/>
        </w:rPr>
        <w:t xml:space="preserve"> jen</w:t>
      </w:r>
      <w:r>
        <w:rPr>
          <w:rFonts w:asciiTheme="minorHAnsi" w:hAnsiTheme="minorHAnsi" w:cstheme="minorHAnsi"/>
          <w:sz w:val="20"/>
          <w:szCs w:val="20"/>
        </w:rPr>
        <w:t xml:space="preserve"> vlaky v úseku Ostrava – Čadca.</w:t>
      </w:r>
    </w:p>
    <w:p w14:paraId="0AAD9DD9" w14:textId="585F1A1F" w:rsidR="000F2C82" w:rsidRDefault="000F2C82" w:rsidP="000F2C82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</w:t>
      </w:r>
      <w:r>
        <w:rPr>
          <w:rFonts w:asciiTheme="minorHAnsi" w:hAnsiTheme="minorHAnsi" w:cstheme="minorHAnsi"/>
          <w:sz w:val="20"/>
          <w:szCs w:val="20"/>
        </w:rPr>
        <w:tab/>
      </w:r>
      <w:r w:rsidR="008A1A56">
        <w:rPr>
          <w:rFonts w:asciiTheme="minorHAnsi" w:hAnsiTheme="minorHAnsi" w:cstheme="minorHAnsi"/>
          <w:sz w:val="20"/>
          <w:szCs w:val="20"/>
        </w:rPr>
        <w:t>Linka nebyla o</w:t>
      </w:r>
      <w:r>
        <w:rPr>
          <w:rFonts w:asciiTheme="minorHAnsi" w:hAnsiTheme="minorHAnsi" w:cstheme="minorHAnsi"/>
          <w:sz w:val="20"/>
          <w:szCs w:val="20"/>
        </w:rPr>
        <w:t>d roku 2012 objednáv</w:t>
      </w:r>
      <w:r w:rsidR="00164805">
        <w:rPr>
          <w:rFonts w:asciiTheme="minorHAnsi" w:hAnsiTheme="minorHAnsi" w:cstheme="minorHAnsi"/>
          <w:sz w:val="20"/>
          <w:szCs w:val="20"/>
        </w:rPr>
        <w:t>ána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18D511E" w14:textId="77777777" w:rsidR="000F2C82" w:rsidRDefault="000F2C82" w:rsidP="000F2C82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</w:t>
      </w:r>
      <w:r>
        <w:rPr>
          <w:rFonts w:asciiTheme="minorHAnsi" w:hAnsiTheme="minorHAnsi" w:cstheme="minorHAnsi"/>
          <w:sz w:val="20"/>
          <w:szCs w:val="20"/>
        </w:rPr>
        <w:tab/>
        <w:t xml:space="preserve">Vlaky v relacích </w:t>
      </w:r>
      <w:r w:rsidRPr="000F2C82">
        <w:rPr>
          <w:rFonts w:asciiTheme="minorHAnsi" w:hAnsiTheme="minorHAnsi" w:cstheme="minorHAnsi"/>
          <w:sz w:val="20"/>
          <w:szCs w:val="20"/>
        </w:rPr>
        <w:t>Cheb – Praha –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F2C82">
        <w:rPr>
          <w:rFonts w:asciiTheme="minorHAnsi" w:hAnsiTheme="minorHAnsi" w:cstheme="minorHAnsi"/>
          <w:sz w:val="20"/>
          <w:szCs w:val="20"/>
        </w:rPr>
        <w:t>Ostrava – Košice/Varšava a Berlín – Praha – Brno – Bratislava – Budapešť.</w:t>
      </w:r>
    </w:p>
    <w:p w14:paraId="656DCA15" w14:textId="537A027C" w:rsidR="008A1A56" w:rsidRDefault="008A1A56" w:rsidP="000F2C82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</w:t>
      </w:r>
      <w:r>
        <w:rPr>
          <w:rFonts w:asciiTheme="minorHAnsi" w:hAnsiTheme="minorHAnsi" w:cstheme="minorHAnsi"/>
          <w:sz w:val="20"/>
          <w:szCs w:val="20"/>
        </w:rPr>
        <w:tab/>
        <w:t xml:space="preserve">Linka byla objednávána od roku 2012. Je vedena do </w:t>
      </w:r>
      <w:r w:rsidR="00CC064A">
        <w:rPr>
          <w:rFonts w:asciiTheme="minorHAnsi" w:hAnsiTheme="minorHAnsi" w:cstheme="minorHAnsi"/>
          <w:sz w:val="20"/>
          <w:szCs w:val="20"/>
        </w:rPr>
        <w:t>Norimberku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FEE6DD5" w14:textId="77777777" w:rsidR="004925A1" w:rsidRPr="004925A1" w:rsidRDefault="004925A1" w:rsidP="000B3B70">
      <w:pPr>
        <w:jc w:val="both"/>
        <w:rPr>
          <w:rFonts w:asciiTheme="minorHAnsi" w:hAnsiTheme="minorHAnsi" w:cstheme="minorHAnsi"/>
        </w:rPr>
      </w:pPr>
    </w:p>
    <w:sectPr w:rsidR="004925A1" w:rsidRPr="004925A1" w:rsidSect="00E7609A">
      <w:footerReference w:type="default" r:id="rId8"/>
      <w:pgSz w:w="11907" w:h="16839" w:code="9"/>
      <w:pgMar w:top="1417" w:right="1417" w:bottom="1417" w:left="141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ED0A7" w14:textId="77777777" w:rsidR="00053254" w:rsidRDefault="00053254">
      <w:r>
        <w:separator/>
      </w:r>
    </w:p>
  </w:endnote>
  <w:endnote w:type="continuationSeparator" w:id="0">
    <w:p w14:paraId="56617873" w14:textId="77777777" w:rsidR="00053254" w:rsidRDefault="0005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-1168179767"/>
      <w:docPartObj>
        <w:docPartGallery w:val="Page Numbers (Bottom of Page)"/>
        <w:docPartUnique/>
      </w:docPartObj>
    </w:sdtPr>
    <w:sdtEndPr/>
    <w:sdtContent>
      <w:p w14:paraId="3C077B4E" w14:textId="77777777" w:rsidR="00053254" w:rsidRPr="00850EAC" w:rsidRDefault="00053254">
        <w:pPr>
          <w:pStyle w:val="Zpat"/>
          <w:jc w:val="center"/>
          <w:rPr>
            <w:rFonts w:asciiTheme="minorHAnsi" w:hAnsiTheme="minorHAnsi" w:cstheme="minorHAnsi"/>
          </w:rPr>
        </w:pPr>
        <w:r w:rsidRPr="00850EAC">
          <w:rPr>
            <w:rFonts w:asciiTheme="minorHAnsi" w:hAnsiTheme="minorHAnsi" w:cstheme="minorHAnsi"/>
          </w:rPr>
          <w:fldChar w:fldCharType="begin"/>
        </w:r>
        <w:r w:rsidRPr="00850EAC">
          <w:rPr>
            <w:rFonts w:asciiTheme="minorHAnsi" w:hAnsiTheme="minorHAnsi" w:cstheme="minorHAnsi"/>
          </w:rPr>
          <w:instrText>PAGE   \* MERGEFORMAT</w:instrText>
        </w:r>
        <w:r w:rsidRPr="00850EAC">
          <w:rPr>
            <w:rFonts w:asciiTheme="minorHAnsi" w:hAnsiTheme="minorHAnsi" w:cstheme="minorHAnsi"/>
          </w:rPr>
          <w:fldChar w:fldCharType="separate"/>
        </w:r>
        <w:r w:rsidR="00DA4D46">
          <w:rPr>
            <w:rFonts w:asciiTheme="minorHAnsi" w:hAnsiTheme="minorHAnsi" w:cstheme="minorHAnsi"/>
            <w:noProof/>
          </w:rPr>
          <w:t>2</w:t>
        </w:r>
        <w:r w:rsidRPr="00850EAC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A1BEA" w14:textId="77777777" w:rsidR="00053254" w:rsidRDefault="00053254">
      <w:r>
        <w:separator/>
      </w:r>
    </w:p>
  </w:footnote>
  <w:footnote w:type="continuationSeparator" w:id="0">
    <w:p w14:paraId="146F855B" w14:textId="77777777" w:rsidR="00053254" w:rsidRDefault="00053254">
      <w:r>
        <w:continuationSeparator/>
      </w:r>
    </w:p>
  </w:footnote>
  <w:footnote w:id="1">
    <w:p w14:paraId="1644005C" w14:textId="77777777" w:rsidR="00053254" w:rsidRPr="00DB3BE6" w:rsidRDefault="00053254" w:rsidP="007368EE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7368EE">
        <w:rPr>
          <w:rStyle w:val="Znakapoznpodarou"/>
          <w:rFonts w:asciiTheme="minorHAnsi" w:hAnsiTheme="minorHAnsi" w:cstheme="minorHAnsi"/>
        </w:rPr>
        <w:footnoteRef/>
      </w:r>
      <w:r w:rsidRPr="007368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AD2EA5">
        <w:rPr>
          <w:rFonts w:asciiTheme="minorHAnsi" w:hAnsiTheme="minorHAnsi" w:cstheme="minorHAnsi"/>
        </w:rPr>
        <w:t xml:space="preserve">Zákon č. 194/2010 Sb., </w:t>
      </w:r>
      <w:r w:rsidRPr="00DB3BE6">
        <w:rPr>
          <w:rFonts w:asciiTheme="minorHAnsi" w:hAnsiTheme="minorHAnsi" w:cstheme="minorHAnsi"/>
        </w:rPr>
        <w:t>o veřejných službách v přepravě cestujících a o změně dalších zákonů.</w:t>
      </w:r>
      <w:r w:rsidRPr="00AD2EA5">
        <w:rPr>
          <w:rFonts w:asciiTheme="minorHAnsi" w:hAnsiTheme="minorHAnsi" w:cstheme="minorHAnsi"/>
        </w:rPr>
        <w:t xml:space="preserve"> Zákon byl přijat v návaznosti na nařízení Evropského parlamentu a Rady (ES) č. 1370/2007</w:t>
      </w:r>
      <w:r>
        <w:rPr>
          <w:rFonts w:asciiTheme="minorHAnsi" w:hAnsiTheme="minorHAnsi" w:cstheme="minorHAnsi"/>
        </w:rPr>
        <w:t>,</w:t>
      </w:r>
      <w:r w:rsidRPr="00AD2EA5">
        <w:rPr>
          <w:rFonts w:asciiTheme="minorHAnsi" w:hAnsiTheme="minorHAnsi" w:cstheme="minorHAnsi"/>
        </w:rPr>
        <w:t xml:space="preserve"> </w:t>
      </w:r>
      <w:r w:rsidRPr="00DB3BE6">
        <w:rPr>
          <w:rFonts w:asciiTheme="minorHAnsi" w:hAnsiTheme="minorHAnsi" w:cstheme="minorHAnsi"/>
        </w:rPr>
        <w:t>o veřejných službách v přepravě cestujících po železnici a silnici a o zrušení nařízení Rady (EHS) č. 1191/69 a č. 1107/70</w:t>
      </w:r>
      <w:r w:rsidRPr="00AD2EA5">
        <w:rPr>
          <w:rFonts w:asciiTheme="minorHAnsi" w:hAnsiTheme="minorHAnsi" w:cstheme="minorHAnsi"/>
        </w:rPr>
        <w:t>.</w:t>
      </w:r>
      <w:r w:rsidRPr="00DB3BE6">
        <w:rPr>
          <w:rFonts w:asciiTheme="minorHAnsi" w:hAnsiTheme="minorHAnsi" w:cstheme="minorHAnsi"/>
        </w:rPr>
        <w:t xml:space="preserve"> </w:t>
      </w:r>
    </w:p>
  </w:footnote>
  <w:footnote w:id="2">
    <w:p w14:paraId="49CE7FD2" w14:textId="77777777" w:rsidR="00053254" w:rsidRPr="00C8228E" w:rsidRDefault="00053254" w:rsidP="0012682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C877DC">
        <w:rPr>
          <w:rStyle w:val="Znakapoznpodarou"/>
          <w:rFonts w:asciiTheme="minorHAnsi" w:hAnsiTheme="minorHAnsi" w:cstheme="minorHAnsi"/>
        </w:rPr>
        <w:footnoteRef/>
      </w:r>
      <w:r w:rsidRPr="00C877D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Šlo o podmínky vymezené v čl. 5 odst. 2 a 4 až 6 nařízení Evropského parlamentu a Rady (ES) č. 1370/2007. </w:t>
      </w:r>
    </w:p>
  </w:footnote>
  <w:footnote w:id="3">
    <w:p w14:paraId="120A8730" w14:textId="77777777" w:rsidR="00053254" w:rsidRPr="0083069E" w:rsidRDefault="00053254" w:rsidP="00B31B0A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B31B0A">
        <w:rPr>
          <w:rStyle w:val="Znakapoznpodarou"/>
          <w:rFonts w:asciiTheme="minorHAnsi" w:hAnsiTheme="minorHAnsi" w:cstheme="minorHAnsi"/>
        </w:rPr>
        <w:footnoteRef/>
      </w:r>
      <w:r w:rsidRPr="00B31B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Zákon č. 266/1994 Sb</w:t>
      </w:r>
      <w:r w:rsidRPr="00AD2EA5">
        <w:rPr>
          <w:rFonts w:asciiTheme="minorHAnsi" w:hAnsiTheme="minorHAnsi" w:cstheme="minorHAnsi"/>
        </w:rPr>
        <w:t xml:space="preserve">., </w:t>
      </w:r>
      <w:r w:rsidRPr="00DB3BE6">
        <w:rPr>
          <w:rFonts w:asciiTheme="minorHAnsi" w:hAnsiTheme="minorHAnsi" w:cstheme="minorHAnsi"/>
        </w:rPr>
        <w:t>o dráhách</w:t>
      </w:r>
      <w:r w:rsidRPr="00AD2EA5">
        <w:rPr>
          <w:rFonts w:asciiTheme="minorHAnsi" w:hAnsiTheme="minorHAnsi" w:cstheme="minorHAnsi"/>
        </w:rPr>
        <w:t>, především</w:t>
      </w:r>
      <w:r>
        <w:rPr>
          <w:rFonts w:asciiTheme="minorHAnsi" w:hAnsiTheme="minorHAnsi" w:cstheme="minorHAnsi"/>
        </w:rPr>
        <w:t xml:space="preserve"> § 39 a § 39a.</w:t>
      </w:r>
    </w:p>
  </w:footnote>
  <w:footnote w:id="4">
    <w:p w14:paraId="38F1057E" w14:textId="77777777" w:rsidR="00053254" w:rsidRPr="00AD2EA5" w:rsidRDefault="00053254" w:rsidP="007368A7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503D82">
        <w:rPr>
          <w:rStyle w:val="Znakapoznpodarou"/>
          <w:rFonts w:asciiTheme="minorHAnsi" w:hAnsiTheme="minorHAnsi" w:cstheme="minorHAnsi"/>
        </w:rPr>
        <w:footnoteRef/>
      </w:r>
      <w:r w:rsidRPr="00503D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Poskytování této kompenzace vyplynulo z úkolu usnesení vlády ze dne 7. června 2010 č. 452</w:t>
      </w:r>
      <w:r w:rsidRPr="00AD2EA5">
        <w:rPr>
          <w:rFonts w:asciiTheme="minorHAnsi" w:hAnsiTheme="minorHAnsi" w:cstheme="minorHAnsi"/>
        </w:rPr>
        <w:t>,</w:t>
      </w:r>
      <w:r w:rsidRPr="00DB3BE6">
        <w:rPr>
          <w:rFonts w:asciiTheme="minorHAnsi" w:hAnsiTheme="minorHAnsi" w:cstheme="minorHAnsi"/>
        </w:rPr>
        <w:t xml:space="preserve"> </w:t>
      </w:r>
      <w:r w:rsidRPr="006A136B">
        <w:rPr>
          <w:rFonts w:asciiTheme="minorHAnsi" w:hAnsiTheme="minorHAnsi" w:cstheme="minorHAnsi"/>
          <w:i/>
        </w:rPr>
        <w:t>k řešení problematiky kompenzace slev jízdného ve veřejné osobní dopravě ve vazbě na Nařízení Evropského parlamentu a Rady (ES) č. 1370/2007</w:t>
      </w:r>
      <w:r w:rsidRPr="00AD2EA5">
        <w:rPr>
          <w:rFonts w:asciiTheme="minorHAnsi" w:hAnsiTheme="minorHAnsi" w:cstheme="minorHAnsi"/>
        </w:rPr>
        <w:t xml:space="preserve">. </w:t>
      </w:r>
    </w:p>
  </w:footnote>
  <w:footnote w:id="5">
    <w:p w14:paraId="116C9070" w14:textId="77777777" w:rsidR="00053254" w:rsidRPr="00DB3BE6" w:rsidRDefault="00053254" w:rsidP="00B7182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B7182D">
        <w:rPr>
          <w:rStyle w:val="Znakapoznpodarou"/>
          <w:rFonts w:asciiTheme="minorHAnsi" w:hAnsiTheme="minorHAnsi" w:cstheme="minorHAnsi"/>
        </w:rPr>
        <w:footnoteRef/>
      </w:r>
      <w:r w:rsidRPr="00B718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Kontrolní akce č. 09/23 – </w:t>
      </w:r>
      <w:r>
        <w:rPr>
          <w:rFonts w:asciiTheme="minorHAnsi" w:hAnsiTheme="minorHAnsi" w:cstheme="minorHAnsi"/>
          <w:i/>
        </w:rPr>
        <w:t>Prostředky státního rozpočtu poskytované na úhradu ztráty ze závazku veřejné služby ve veřejné drážní osobní dopravě</w:t>
      </w:r>
      <w:r>
        <w:rPr>
          <w:rFonts w:asciiTheme="minorHAnsi" w:hAnsiTheme="minorHAnsi" w:cstheme="minorHAnsi"/>
        </w:rPr>
        <w:t xml:space="preserve"> (kontrolní závěr byl zveřejněn v částce 3/2010 </w:t>
      </w:r>
      <w:r>
        <w:rPr>
          <w:rFonts w:asciiTheme="minorHAnsi" w:hAnsiTheme="minorHAnsi" w:cstheme="minorHAnsi"/>
          <w:i/>
        </w:rPr>
        <w:t>Věstníku NKÚ</w:t>
      </w:r>
      <w:r>
        <w:rPr>
          <w:rFonts w:asciiTheme="minorHAnsi" w:hAnsiTheme="minorHAnsi" w:cstheme="minorHAnsi"/>
        </w:rPr>
        <w:t xml:space="preserve">). </w:t>
      </w:r>
      <w:r>
        <w:rPr>
          <w:rFonts w:asciiTheme="minorHAnsi" w:hAnsiTheme="minorHAnsi" w:cstheme="minorHAnsi"/>
          <w:i/>
        </w:rPr>
        <w:t xml:space="preserve"> </w:t>
      </w:r>
    </w:p>
  </w:footnote>
  <w:footnote w:id="6">
    <w:p w14:paraId="0CEDCE1D" w14:textId="77777777" w:rsidR="00053254" w:rsidRPr="003C588C" w:rsidRDefault="00053254" w:rsidP="00CB18AA">
      <w:pPr>
        <w:pStyle w:val="Textpoznpodarou"/>
        <w:ind w:left="284" w:hanging="284"/>
        <w:rPr>
          <w:rFonts w:asciiTheme="minorHAnsi" w:hAnsiTheme="minorHAnsi" w:cstheme="minorHAnsi"/>
        </w:rPr>
      </w:pPr>
      <w:r w:rsidRPr="003C588C">
        <w:rPr>
          <w:rStyle w:val="Znakapoznpodarou"/>
          <w:rFonts w:asciiTheme="minorHAnsi" w:hAnsiTheme="minorHAnsi" w:cstheme="minorHAnsi"/>
        </w:rPr>
        <w:footnoteRef/>
      </w:r>
      <w:r w:rsidRPr="003C58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vlkm = vlakový kilometr (vyjadřuje kilometry ujeté vlaky).  </w:t>
      </w:r>
    </w:p>
  </w:footnote>
  <w:footnote w:id="7">
    <w:p w14:paraId="1A08F592" w14:textId="77777777" w:rsidR="00053254" w:rsidRPr="00450192" w:rsidRDefault="00053254" w:rsidP="0064353B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6D5136">
        <w:rPr>
          <w:rStyle w:val="Znakapoznpodarou"/>
          <w:rFonts w:asciiTheme="minorHAnsi" w:hAnsiTheme="minorHAnsi" w:cstheme="minorHAnsi"/>
        </w:rPr>
        <w:footnoteRef/>
      </w:r>
      <w:r w:rsidRPr="006D51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Vyhláška č. 296/2010 Sb</w:t>
      </w:r>
      <w:r w:rsidRPr="00450192">
        <w:rPr>
          <w:rFonts w:asciiTheme="minorHAnsi" w:hAnsiTheme="minorHAnsi" w:cstheme="minorHAnsi"/>
        </w:rPr>
        <w:t xml:space="preserve">., </w:t>
      </w:r>
      <w:r w:rsidRPr="00DB3BE6">
        <w:rPr>
          <w:rFonts w:asciiTheme="minorHAnsi" w:hAnsiTheme="minorHAnsi" w:cstheme="minorHAnsi"/>
        </w:rPr>
        <w:t>o postupech pro sestavení finančního modelu a určení maximální výše kompenzace</w:t>
      </w:r>
      <w:r w:rsidRPr="00450192">
        <w:rPr>
          <w:rFonts w:asciiTheme="minorHAnsi" w:hAnsiTheme="minorHAnsi" w:cstheme="minorHAnsi"/>
        </w:rPr>
        <w:t>.</w:t>
      </w:r>
    </w:p>
  </w:footnote>
  <w:footnote w:id="8">
    <w:p w14:paraId="64C19D01" w14:textId="77777777" w:rsidR="00053254" w:rsidRPr="009E206E" w:rsidRDefault="00053254" w:rsidP="0064353B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64353B">
        <w:rPr>
          <w:rStyle w:val="Znakapoznpodarou"/>
          <w:rFonts w:asciiTheme="minorHAnsi" w:hAnsiTheme="minorHAnsi" w:cstheme="minorHAnsi"/>
        </w:rPr>
        <w:footnoteRef/>
      </w:r>
      <w:r w:rsidRPr="0064353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Vyhláška č. 241/2005 Sb., </w:t>
      </w:r>
      <w:r w:rsidRPr="00DB3BE6">
        <w:rPr>
          <w:rFonts w:asciiTheme="minorHAnsi" w:hAnsiTheme="minorHAnsi" w:cstheme="minorHAnsi"/>
        </w:rPr>
        <w:t>o prokazatelné ztrátě ve veřejné drážní osobní dopravě a o vymezení souběžné veřejné osobní dopravy</w:t>
      </w:r>
      <w:r w:rsidRPr="00450192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Tato vyhláška se již týkala jen smlouvy s ČD na období od 1. 1. 2010 do konce platnosti jízdního řádu 2018/19.</w:t>
      </w:r>
      <w:r>
        <w:rPr>
          <w:rFonts w:asciiTheme="minorHAnsi" w:hAnsiTheme="minorHAnsi" w:cstheme="minorHAnsi"/>
          <w:i/>
        </w:rPr>
        <w:t xml:space="preserve"> </w:t>
      </w:r>
    </w:p>
  </w:footnote>
  <w:footnote w:id="9">
    <w:p w14:paraId="72B12DB1" w14:textId="3BC902EC" w:rsidR="00053254" w:rsidRPr="00F55482" w:rsidRDefault="00053254" w:rsidP="00CF7AA5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F55482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Dopravní politiku pro období let 2014 až 2020 schválila vláda usnesením ze dne 12. června 2013 č. 449, </w:t>
      </w:r>
      <w:r>
        <w:rPr>
          <w:rFonts w:asciiTheme="minorHAnsi" w:hAnsiTheme="minorHAnsi" w:cstheme="minorHAnsi"/>
          <w:i/>
        </w:rPr>
        <w:t>k Dopravní politice</w:t>
      </w:r>
      <w:r w:rsidRPr="00F55482">
        <w:rPr>
          <w:rFonts w:asciiTheme="minorHAnsi" w:hAnsiTheme="minorHAnsi" w:cstheme="minorHAnsi"/>
          <w:i/>
        </w:rPr>
        <w:t xml:space="preserve"> České republiky pro období let 2014 až 2020 </w:t>
      </w:r>
      <w:r>
        <w:rPr>
          <w:rFonts w:asciiTheme="minorHAnsi" w:hAnsiTheme="minorHAnsi" w:cstheme="minorHAnsi"/>
          <w:i/>
        </w:rPr>
        <w:t>s </w:t>
      </w:r>
      <w:r w:rsidRPr="00F55482">
        <w:rPr>
          <w:rFonts w:asciiTheme="minorHAnsi" w:hAnsiTheme="minorHAnsi" w:cstheme="minorHAnsi"/>
          <w:i/>
        </w:rPr>
        <w:t>výhledem do roku 2050</w:t>
      </w:r>
      <w:r>
        <w:rPr>
          <w:rFonts w:asciiTheme="minorHAnsi" w:hAnsiTheme="minorHAnsi" w:cstheme="minorHAnsi"/>
        </w:rPr>
        <w:t xml:space="preserve">, jako výchozí strategický dokument resortu dopravy. Pro oblast veřejné služby v přepravě cestujících na ni měly navazovat celostátní a krajské plány dopravní obslužnosti. </w:t>
      </w:r>
    </w:p>
  </w:footnote>
  <w:footnote w:id="10">
    <w:p w14:paraId="1232C295" w14:textId="33CA241B" w:rsidR="00053254" w:rsidRPr="009D188A" w:rsidRDefault="00053254" w:rsidP="00041D51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9D188A">
        <w:rPr>
          <w:rStyle w:val="Znakapoznpodarou"/>
          <w:rFonts w:asciiTheme="minorHAnsi" w:hAnsiTheme="minorHAnsi" w:cstheme="minorHAnsi"/>
        </w:rPr>
        <w:footnoteRef/>
      </w:r>
      <w:r w:rsidRPr="009D18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Usnesení vlády ze dne 31. srpna 2009 č. 1132, </w:t>
      </w:r>
      <w:r>
        <w:rPr>
          <w:rFonts w:asciiTheme="minorHAnsi" w:hAnsiTheme="minorHAnsi" w:cstheme="minorHAnsi"/>
          <w:i/>
        </w:rPr>
        <w:t>k finanční účasti státu na zajištění dopravní obslužnosti veřejnou železniční osobní dopravou</w:t>
      </w:r>
      <w:r>
        <w:rPr>
          <w:rFonts w:asciiTheme="minorHAnsi" w:hAnsiTheme="minorHAnsi" w:cstheme="minorHAnsi"/>
        </w:rPr>
        <w:t xml:space="preserve">. </w:t>
      </w:r>
    </w:p>
  </w:footnote>
  <w:footnote w:id="11">
    <w:p w14:paraId="405F9B88" w14:textId="78E6C887" w:rsidR="00053254" w:rsidRPr="00135E7C" w:rsidRDefault="00053254" w:rsidP="00135E7C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35E7C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Období platnosti jízdního řádu bylo zhruba od poloviny prosince předchozího roku do poloviny prosince běžného roku. </w:t>
      </w:r>
    </w:p>
  </w:footnote>
  <w:footnote w:id="12">
    <w:p w14:paraId="2EDE7C3C" w14:textId="78B53B0F" w:rsidR="00053254" w:rsidRPr="008D2C1A" w:rsidRDefault="00053254" w:rsidP="008D2C1A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2C1A">
        <w:rPr>
          <w:rStyle w:val="Znakapoznpodarou"/>
          <w:rFonts w:asciiTheme="minorHAnsi" w:hAnsiTheme="minorHAnsi" w:cstheme="minorHAnsi"/>
        </w:rPr>
        <w:footnoteRef/>
      </w:r>
      <w:r w:rsidRPr="008D2C1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Usnesení vlády ze dne 8. června 2011 č. 423, </w:t>
      </w:r>
      <w:r>
        <w:rPr>
          <w:rFonts w:asciiTheme="minorHAnsi" w:hAnsiTheme="minorHAnsi" w:cstheme="minorHAnsi"/>
          <w:i/>
        </w:rPr>
        <w:t>k Harmonogramu otevírání trhu veřejných služeb v přepravě cestujících v oblasti dálkové a nadregionální železniční osobní dopravy</w:t>
      </w:r>
      <w:r>
        <w:rPr>
          <w:rFonts w:asciiTheme="minorHAnsi" w:hAnsiTheme="minorHAnsi" w:cstheme="minorHAnsi"/>
        </w:rPr>
        <w:t xml:space="preserve">. </w:t>
      </w:r>
    </w:p>
  </w:footnote>
  <w:footnote w:id="13">
    <w:p w14:paraId="2850DCBF" w14:textId="77777777" w:rsidR="00053254" w:rsidRPr="00761E9A" w:rsidRDefault="00053254" w:rsidP="00761E9A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761E9A">
        <w:rPr>
          <w:rStyle w:val="Znakapoznpodarou"/>
          <w:rFonts w:asciiTheme="minorHAnsi" w:hAnsiTheme="minorHAnsi" w:cstheme="minorHAnsi"/>
        </w:rPr>
        <w:footnoteRef/>
      </w:r>
      <w:r w:rsidRPr="00761E9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Podle ustanovení § 19 zákona č. 194/2010 Sb. má objednatel nejpozději rok před zahájením nabídkového řízení uveřejnit rozhodnutí uzavřít smlouvu o veřejných službách v </w:t>
      </w:r>
      <w:r w:rsidRPr="00DB3BE6">
        <w:rPr>
          <w:rFonts w:asciiTheme="minorHAnsi" w:hAnsiTheme="minorHAnsi" w:cstheme="minorHAnsi"/>
          <w:i/>
        </w:rPr>
        <w:t>Úředním věstníku Evropské unie</w:t>
      </w:r>
      <w:r>
        <w:rPr>
          <w:rFonts w:asciiTheme="minorHAnsi" w:hAnsiTheme="minorHAnsi" w:cstheme="minorHAnsi"/>
        </w:rPr>
        <w:t xml:space="preserve">.  </w:t>
      </w:r>
    </w:p>
  </w:footnote>
  <w:footnote w:id="14">
    <w:p w14:paraId="413141C9" w14:textId="6BF0D7C4" w:rsidR="00053254" w:rsidRPr="005611F7" w:rsidRDefault="00053254" w:rsidP="005611F7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5611F7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Zákon č. 137/2006 Sb., </w:t>
      </w:r>
      <w:r w:rsidRPr="00DB3BE6">
        <w:rPr>
          <w:rFonts w:asciiTheme="minorHAnsi" w:hAnsiTheme="minorHAnsi" w:cstheme="minorHAnsi"/>
        </w:rPr>
        <w:t>o veřejných zakázkách</w:t>
      </w:r>
      <w:r w:rsidRPr="007963C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</w:footnote>
  <w:footnote w:id="15">
    <w:p w14:paraId="19B590EA" w14:textId="1A5C5FD3" w:rsidR="00053254" w:rsidRPr="00E25210" w:rsidRDefault="00053254" w:rsidP="00E25210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E2521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Usnesení vlády ze dne 18. září 2013 č. 708, </w:t>
      </w:r>
      <w:r>
        <w:rPr>
          <w:rFonts w:asciiTheme="minorHAnsi" w:hAnsiTheme="minorHAnsi" w:cstheme="minorHAnsi"/>
          <w:i/>
        </w:rPr>
        <w:t>ke Zprávě o postupu při otevírání trhu veřejných služeb v přepravě cestujících v oblasti dálkové a nadregionální železniční osobní dopravy</w:t>
      </w:r>
      <w:r>
        <w:rPr>
          <w:rFonts w:asciiTheme="minorHAnsi" w:hAnsiTheme="minorHAnsi" w:cstheme="minorHAnsi"/>
        </w:rPr>
        <w:t xml:space="preserve">. </w:t>
      </w:r>
      <w:r w:rsidRPr="00E25210">
        <w:rPr>
          <w:rFonts w:asciiTheme="minorHAnsi" w:hAnsiTheme="minorHAnsi" w:cstheme="minorHAnsi"/>
        </w:rPr>
        <w:t xml:space="preserve"> </w:t>
      </w:r>
    </w:p>
  </w:footnote>
  <w:footnote w:id="16">
    <w:p w14:paraId="65853321" w14:textId="11927071" w:rsidR="00053254" w:rsidRPr="00532291" w:rsidRDefault="00053254" w:rsidP="00CC6F0A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532291">
        <w:rPr>
          <w:rStyle w:val="Znakapoznpodarou"/>
          <w:rFonts w:asciiTheme="minorHAnsi" w:hAnsiTheme="minorHAnsi" w:cstheme="minorHAnsi"/>
        </w:rPr>
        <w:footnoteRef/>
      </w:r>
      <w:r w:rsidRPr="0053229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Usnesení vlády ze dne 15. září 2014 č. 758, </w:t>
      </w:r>
      <w:r>
        <w:rPr>
          <w:rFonts w:asciiTheme="minorHAnsi" w:hAnsiTheme="minorHAnsi" w:cstheme="minorHAnsi"/>
          <w:i/>
        </w:rPr>
        <w:t>ke Zprávě o postupu otevírání trhu veřejných služeb v přepravě cestujících v oblasti dálkové a nadregionální železniční osobní dopravy</w:t>
      </w:r>
      <w:r>
        <w:rPr>
          <w:rFonts w:asciiTheme="minorHAnsi" w:hAnsiTheme="minorHAnsi" w:cstheme="minorHAnsi"/>
        </w:rPr>
        <w:t xml:space="preserve">. </w:t>
      </w:r>
      <w:r w:rsidRPr="00E25210">
        <w:rPr>
          <w:rFonts w:asciiTheme="minorHAnsi" w:hAnsiTheme="minorHAnsi" w:cstheme="minorHAnsi"/>
        </w:rPr>
        <w:t xml:space="preserve"> </w:t>
      </w:r>
    </w:p>
  </w:footnote>
  <w:footnote w:id="17">
    <w:p w14:paraId="420755D3" w14:textId="39F06ACE" w:rsidR="00053254" w:rsidRPr="00D37797" w:rsidRDefault="00053254" w:rsidP="00CC6F0A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D37797">
        <w:rPr>
          <w:rStyle w:val="Znakapoznpodarou"/>
          <w:rFonts w:asciiTheme="minorHAnsi" w:hAnsiTheme="minorHAnsi" w:cstheme="minorHAnsi"/>
        </w:rPr>
        <w:footnoteRef/>
      </w:r>
      <w:r w:rsidRPr="00D377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Usnesení vlády ze dne 28. října 2009 č. 1350</w:t>
      </w:r>
      <w:r>
        <w:rPr>
          <w:rFonts w:asciiTheme="minorHAnsi" w:hAnsiTheme="minorHAnsi" w:cstheme="minorHAnsi"/>
          <w:i/>
        </w:rPr>
        <w:t>, k Memorandu o zajištění stabilního financování dopravní obslužnosti veřejnou regionální železniční osobní dopravou</w:t>
      </w:r>
      <w:r>
        <w:rPr>
          <w:rFonts w:asciiTheme="minorHAnsi" w:hAnsiTheme="minorHAnsi" w:cstheme="minorHAnsi"/>
        </w:rPr>
        <w:t>.</w:t>
      </w:r>
    </w:p>
  </w:footnote>
  <w:footnote w:id="18">
    <w:p w14:paraId="2E745B84" w14:textId="573E2CD0" w:rsidR="00053254" w:rsidRPr="0043519B" w:rsidRDefault="00053254" w:rsidP="0043519B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43519B">
        <w:rPr>
          <w:rStyle w:val="Znakapoznpodarou"/>
          <w:rFonts w:asciiTheme="minorHAnsi" w:hAnsiTheme="minorHAnsi" w:cstheme="minorHAnsi"/>
        </w:rPr>
        <w:footnoteRef/>
      </w:r>
      <w:r w:rsidRPr="0043519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Memorandum za stát podepsali předseda vlády a ministři financí a dopravy. Za kraje </w:t>
      </w:r>
      <w:r w:rsidR="00D263A5">
        <w:rPr>
          <w:rFonts w:asciiTheme="minorHAnsi" w:hAnsiTheme="minorHAnsi" w:cstheme="minorHAnsi"/>
        </w:rPr>
        <w:t xml:space="preserve">ho </w:t>
      </w:r>
      <w:r>
        <w:rPr>
          <w:rFonts w:asciiTheme="minorHAnsi" w:hAnsiTheme="minorHAnsi" w:cstheme="minorHAnsi"/>
        </w:rPr>
        <w:t xml:space="preserve">podepsali hejtmani, resp. primátor hl. města Prahy, za účasti Asociace krajů České republiky zastoupené předsedou. </w:t>
      </w:r>
    </w:p>
  </w:footnote>
  <w:footnote w:id="19">
    <w:p w14:paraId="40E7A4F4" w14:textId="77777777" w:rsidR="00053254" w:rsidRPr="00D263A5" w:rsidRDefault="00053254" w:rsidP="00FC68EF">
      <w:pPr>
        <w:pStyle w:val="Textpoznpodarou"/>
        <w:ind w:left="284" w:hanging="284"/>
        <w:rPr>
          <w:rFonts w:asciiTheme="minorHAnsi" w:hAnsiTheme="minorHAnsi" w:cstheme="minorHAnsi"/>
        </w:rPr>
      </w:pPr>
      <w:r w:rsidRPr="00FC68EF">
        <w:rPr>
          <w:rStyle w:val="Znakapoznpodarou"/>
          <w:rFonts w:asciiTheme="minorHAnsi" w:hAnsiTheme="minorHAnsi" w:cstheme="minorHAnsi"/>
        </w:rPr>
        <w:footnoteRef/>
      </w:r>
      <w:r w:rsidRPr="00FC68E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Zákon č. 129/2000 Sb</w:t>
      </w:r>
      <w:r w:rsidRPr="00D263A5">
        <w:rPr>
          <w:rFonts w:asciiTheme="minorHAnsi" w:hAnsiTheme="minorHAnsi" w:cstheme="minorHAnsi"/>
        </w:rPr>
        <w:t xml:space="preserve">., </w:t>
      </w:r>
      <w:r w:rsidRPr="00DB3BE6">
        <w:rPr>
          <w:rFonts w:asciiTheme="minorHAnsi" w:hAnsiTheme="minorHAnsi" w:cstheme="minorHAnsi"/>
        </w:rPr>
        <w:t>o krajích (krajské zřízení)</w:t>
      </w:r>
      <w:r w:rsidRPr="00D263A5">
        <w:rPr>
          <w:rFonts w:asciiTheme="minorHAnsi" w:hAnsiTheme="minorHAnsi" w:cstheme="minorHAnsi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51"/>
  <w:hyphenationZone w:val="425"/>
  <w:drawingGridHorizontalSpacing w:val="120"/>
  <w:displayHorizontalDrawingGridEvery w:val="2"/>
  <w:characterSpacingControl w:val="doNotCompress"/>
  <w:hdrShapeDefaults>
    <o:shapedefaults v:ext="edit" spidmax="1015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0B"/>
    <w:rsid w:val="00000881"/>
    <w:rsid w:val="00000932"/>
    <w:rsid w:val="00000F96"/>
    <w:rsid w:val="00001108"/>
    <w:rsid w:val="00001780"/>
    <w:rsid w:val="00001B91"/>
    <w:rsid w:val="00002073"/>
    <w:rsid w:val="0000236D"/>
    <w:rsid w:val="00002D18"/>
    <w:rsid w:val="0000330E"/>
    <w:rsid w:val="000033DB"/>
    <w:rsid w:val="00003D20"/>
    <w:rsid w:val="00003FF9"/>
    <w:rsid w:val="000044CF"/>
    <w:rsid w:val="00004DB0"/>
    <w:rsid w:val="00004E73"/>
    <w:rsid w:val="00005220"/>
    <w:rsid w:val="0000580F"/>
    <w:rsid w:val="00005C3E"/>
    <w:rsid w:val="00005C47"/>
    <w:rsid w:val="00005C6C"/>
    <w:rsid w:val="000066B9"/>
    <w:rsid w:val="000067C5"/>
    <w:rsid w:val="00006886"/>
    <w:rsid w:val="00006A7E"/>
    <w:rsid w:val="00006B02"/>
    <w:rsid w:val="00007773"/>
    <w:rsid w:val="000104BD"/>
    <w:rsid w:val="0001113E"/>
    <w:rsid w:val="000112F9"/>
    <w:rsid w:val="000119C8"/>
    <w:rsid w:val="00011EF7"/>
    <w:rsid w:val="00012566"/>
    <w:rsid w:val="00013006"/>
    <w:rsid w:val="000131C6"/>
    <w:rsid w:val="00013507"/>
    <w:rsid w:val="000138FD"/>
    <w:rsid w:val="00013A3C"/>
    <w:rsid w:val="00014603"/>
    <w:rsid w:val="000152B0"/>
    <w:rsid w:val="0001567E"/>
    <w:rsid w:val="00015CCB"/>
    <w:rsid w:val="00015D30"/>
    <w:rsid w:val="00015F28"/>
    <w:rsid w:val="000163B7"/>
    <w:rsid w:val="00016E3F"/>
    <w:rsid w:val="000172AE"/>
    <w:rsid w:val="000173E0"/>
    <w:rsid w:val="00017EC7"/>
    <w:rsid w:val="00017F46"/>
    <w:rsid w:val="00020834"/>
    <w:rsid w:val="00020A05"/>
    <w:rsid w:val="00020DE5"/>
    <w:rsid w:val="00021026"/>
    <w:rsid w:val="000218CA"/>
    <w:rsid w:val="000225B8"/>
    <w:rsid w:val="00022D5C"/>
    <w:rsid w:val="00023D6D"/>
    <w:rsid w:val="00023EA1"/>
    <w:rsid w:val="000247AF"/>
    <w:rsid w:val="00024A45"/>
    <w:rsid w:val="00024E81"/>
    <w:rsid w:val="000254CB"/>
    <w:rsid w:val="0002593C"/>
    <w:rsid w:val="00025A70"/>
    <w:rsid w:val="00025AEC"/>
    <w:rsid w:val="00025E01"/>
    <w:rsid w:val="00025F80"/>
    <w:rsid w:val="00026AFA"/>
    <w:rsid w:val="00026D1F"/>
    <w:rsid w:val="00027D3C"/>
    <w:rsid w:val="00030111"/>
    <w:rsid w:val="00030772"/>
    <w:rsid w:val="000307C5"/>
    <w:rsid w:val="0003083B"/>
    <w:rsid w:val="0003087F"/>
    <w:rsid w:val="000308A8"/>
    <w:rsid w:val="00030DD7"/>
    <w:rsid w:val="0003111A"/>
    <w:rsid w:val="00031148"/>
    <w:rsid w:val="00031292"/>
    <w:rsid w:val="000314CC"/>
    <w:rsid w:val="00031A57"/>
    <w:rsid w:val="00031C8A"/>
    <w:rsid w:val="00031D26"/>
    <w:rsid w:val="00032482"/>
    <w:rsid w:val="000326DA"/>
    <w:rsid w:val="000328E1"/>
    <w:rsid w:val="00033741"/>
    <w:rsid w:val="000342ED"/>
    <w:rsid w:val="00034393"/>
    <w:rsid w:val="000343CF"/>
    <w:rsid w:val="000343E1"/>
    <w:rsid w:val="00034844"/>
    <w:rsid w:val="000352B0"/>
    <w:rsid w:val="00035370"/>
    <w:rsid w:val="000357D3"/>
    <w:rsid w:val="00037363"/>
    <w:rsid w:val="000406B5"/>
    <w:rsid w:val="000407CE"/>
    <w:rsid w:val="00040B5C"/>
    <w:rsid w:val="00040D6D"/>
    <w:rsid w:val="00041076"/>
    <w:rsid w:val="00041555"/>
    <w:rsid w:val="0004170C"/>
    <w:rsid w:val="00041909"/>
    <w:rsid w:val="00041943"/>
    <w:rsid w:val="000419A7"/>
    <w:rsid w:val="00041D51"/>
    <w:rsid w:val="00041F40"/>
    <w:rsid w:val="00041F64"/>
    <w:rsid w:val="0004210A"/>
    <w:rsid w:val="0004223E"/>
    <w:rsid w:val="000423CF"/>
    <w:rsid w:val="00042522"/>
    <w:rsid w:val="00042632"/>
    <w:rsid w:val="00042916"/>
    <w:rsid w:val="00042D81"/>
    <w:rsid w:val="00042F15"/>
    <w:rsid w:val="00043439"/>
    <w:rsid w:val="000437B0"/>
    <w:rsid w:val="00043891"/>
    <w:rsid w:val="00043A4A"/>
    <w:rsid w:val="00043B34"/>
    <w:rsid w:val="00043B6B"/>
    <w:rsid w:val="0004461C"/>
    <w:rsid w:val="00044938"/>
    <w:rsid w:val="000459C2"/>
    <w:rsid w:val="00045E0B"/>
    <w:rsid w:val="000465B1"/>
    <w:rsid w:val="00046CD6"/>
    <w:rsid w:val="00050AC7"/>
    <w:rsid w:val="00050E1F"/>
    <w:rsid w:val="000512EB"/>
    <w:rsid w:val="00051606"/>
    <w:rsid w:val="00051EBF"/>
    <w:rsid w:val="00052837"/>
    <w:rsid w:val="00052F4A"/>
    <w:rsid w:val="000530F1"/>
    <w:rsid w:val="00053254"/>
    <w:rsid w:val="000532AB"/>
    <w:rsid w:val="0005412E"/>
    <w:rsid w:val="00054517"/>
    <w:rsid w:val="00054696"/>
    <w:rsid w:val="0005491B"/>
    <w:rsid w:val="000549C6"/>
    <w:rsid w:val="00054BBC"/>
    <w:rsid w:val="000550B4"/>
    <w:rsid w:val="000558EC"/>
    <w:rsid w:val="000559BB"/>
    <w:rsid w:val="00055A17"/>
    <w:rsid w:val="000569A4"/>
    <w:rsid w:val="00056F50"/>
    <w:rsid w:val="00056F78"/>
    <w:rsid w:val="00057193"/>
    <w:rsid w:val="00057577"/>
    <w:rsid w:val="00057A70"/>
    <w:rsid w:val="00057CBE"/>
    <w:rsid w:val="00057F2F"/>
    <w:rsid w:val="00060C32"/>
    <w:rsid w:val="000613C2"/>
    <w:rsid w:val="00061429"/>
    <w:rsid w:val="0006260B"/>
    <w:rsid w:val="00064144"/>
    <w:rsid w:val="000641DB"/>
    <w:rsid w:val="000642CE"/>
    <w:rsid w:val="00064524"/>
    <w:rsid w:val="0006454E"/>
    <w:rsid w:val="000647BD"/>
    <w:rsid w:val="00064DEF"/>
    <w:rsid w:val="00064F00"/>
    <w:rsid w:val="0006560A"/>
    <w:rsid w:val="000656FD"/>
    <w:rsid w:val="000665F6"/>
    <w:rsid w:val="00066699"/>
    <w:rsid w:val="0006671D"/>
    <w:rsid w:val="00066725"/>
    <w:rsid w:val="000667CD"/>
    <w:rsid w:val="00066D9F"/>
    <w:rsid w:val="00067667"/>
    <w:rsid w:val="00070000"/>
    <w:rsid w:val="00070408"/>
    <w:rsid w:val="000705F6"/>
    <w:rsid w:val="0007064B"/>
    <w:rsid w:val="000706B4"/>
    <w:rsid w:val="000710D5"/>
    <w:rsid w:val="00071186"/>
    <w:rsid w:val="0007125D"/>
    <w:rsid w:val="00071622"/>
    <w:rsid w:val="00071B68"/>
    <w:rsid w:val="00071FA4"/>
    <w:rsid w:val="00072445"/>
    <w:rsid w:val="0007282F"/>
    <w:rsid w:val="00072D5A"/>
    <w:rsid w:val="00072D6C"/>
    <w:rsid w:val="000732F3"/>
    <w:rsid w:val="000734E6"/>
    <w:rsid w:val="000739A3"/>
    <w:rsid w:val="00073A77"/>
    <w:rsid w:val="00074954"/>
    <w:rsid w:val="00074A01"/>
    <w:rsid w:val="00074C39"/>
    <w:rsid w:val="00075BBD"/>
    <w:rsid w:val="00075C06"/>
    <w:rsid w:val="0007639E"/>
    <w:rsid w:val="00076806"/>
    <w:rsid w:val="00077153"/>
    <w:rsid w:val="00077196"/>
    <w:rsid w:val="00077727"/>
    <w:rsid w:val="0008002A"/>
    <w:rsid w:val="000801DB"/>
    <w:rsid w:val="00080987"/>
    <w:rsid w:val="00080C12"/>
    <w:rsid w:val="00080C1A"/>
    <w:rsid w:val="00080C67"/>
    <w:rsid w:val="00081221"/>
    <w:rsid w:val="00081248"/>
    <w:rsid w:val="000813FB"/>
    <w:rsid w:val="00081F8E"/>
    <w:rsid w:val="00082640"/>
    <w:rsid w:val="0008264D"/>
    <w:rsid w:val="000828E4"/>
    <w:rsid w:val="00082FB7"/>
    <w:rsid w:val="000834F1"/>
    <w:rsid w:val="000839E5"/>
    <w:rsid w:val="000843F6"/>
    <w:rsid w:val="00084DFA"/>
    <w:rsid w:val="00084EF4"/>
    <w:rsid w:val="00084F19"/>
    <w:rsid w:val="000855DB"/>
    <w:rsid w:val="00086696"/>
    <w:rsid w:val="00086D3E"/>
    <w:rsid w:val="00087183"/>
    <w:rsid w:val="00087884"/>
    <w:rsid w:val="00087A8A"/>
    <w:rsid w:val="00087ABD"/>
    <w:rsid w:val="000903FF"/>
    <w:rsid w:val="0009092D"/>
    <w:rsid w:val="00090E53"/>
    <w:rsid w:val="00091261"/>
    <w:rsid w:val="000913CB"/>
    <w:rsid w:val="00091459"/>
    <w:rsid w:val="000919E2"/>
    <w:rsid w:val="000927F6"/>
    <w:rsid w:val="0009286D"/>
    <w:rsid w:val="000928BB"/>
    <w:rsid w:val="000928EE"/>
    <w:rsid w:val="000932A7"/>
    <w:rsid w:val="0009336C"/>
    <w:rsid w:val="0009387E"/>
    <w:rsid w:val="00093D06"/>
    <w:rsid w:val="00093E2F"/>
    <w:rsid w:val="00094A2D"/>
    <w:rsid w:val="00095329"/>
    <w:rsid w:val="00095721"/>
    <w:rsid w:val="00095904"/>
    <w:rsid w:val="0009635C"/>
    <w:rsid w:val="00096E1C"/>
    <w:rsid w:val="00096F81"/>
    <w:rsid w:val="0009709F"/>
    <w:rsid w:val="000979E8"/>
    <w:rsid w:val="000A0513"/>
    <w:rsid w:val="000A0A28"/>
    <w:rsid w:val="000A0E63"/>
    <w:rsid w:val="000A152F"/>
    <w:rsid w:val="000A15CA"/>
    <w:rsid w:val="000A18C0"/>
    <w:rsid w:val="000A1AEB"/>
    <w:rsid w:val="000A247E"/>
    <w:rsid w:val="000A2538"/>
    <w:rsid w:val="000A3C3B"/>
    <w:rsid w:val="000A41A3"/>
    <w:rsid w:val="000A4464"/>
    <w:rsid w:val="000A446F"/>
    <w:rsid w:val="000A46D3"/>
    <w:rsid w:val="000A4816"/>
    <w:rsid w:val="000A49EC"/>
    <w:rsid w:val="000A4D03"/>
    <w:rsid w:val="000A50ED"/>
    <w:rsid w:val="000A53CC"/>
    <w:rsid w:val="000A58F6"/>
    <w:rsid w:val="000A6B16"/>
    <w:rsid w:val="000A7392"/>
    <w:rsid w:val="000B02A7"/>
    <w:rsid w:val="000B04BE"/>
    <w:rsid w:val="000B114F"/>
    <w:rsid w:val="000B12F1"/>
    <w:rsid w:val="000B1348"/>
    <w:rsid w:val="000B1C04"/>
    <w:rsid w:val="000B1D78"/>
    <w:rsid w:val="000B2585"/>
    <w:rsid w:val="000B25C3"/>
    <w:rsid w:val="000B2734"/>
    <w:rsid w:val="000B3105"/>
    <w:rsid w:val="000B3145"/>
    <w:rsid w:val="000B33AD"/>
    <w:rsid w:val="000B3978"/>
    <w:rsid w:val="000B3B08"/>
    <w:rsid w:val="000B3B70"/>
    <w:rsid w:val="000B3B74"/>
    <w:rsid w:val="000B51BE"/>
    <w:rsid w:val="000B5955"/>
    <w:rsid w:val="000B5FE2"/>
    <w:rsid w:val="000B710A"/>
    <w:rsid w:val="000B7411"/>
    <w:rsid w:val="000B75F0"/>
    <w:rsid w:val="000C1234"/>
    <w:rsid w:val="000C1C55"/>
    <w:rsid w:val="000C1DFD"/>
    <w:rsid w:val="000C2190"/>
    <w:rsid w:val="000C2674"/>
    <w:rsid w:val="000C28BB"/>
    <w:rsid w:val="000C3130"/>
    <w:rsid w:val="000C320D"/>
    <w:rsid w:val="000C40E9"/>
    <w:rsid w:val="000C4C9A"/>
    <w:rsid w:val="000C5338"/>
    <w:rsid w:val="000C64AC"/>
    <w:rsid w:val="000C6DA4"/>
    <w:rsid w:val="000C6F9D"/>
    <w:rsid w:val="000C7515"/>
    <w:rsid w:val="000C754C"/>
    <w:rsid w:val="000C7BDF"/>
    <w:rsid w:val="000D0088"/>
    <w:rsid w:val="000D0108"/>
    <w:rsid w:val="000D0135"/>
    <w:rsid w:val="000D01D6"/>
    <w:rsid w:val="000D05D2"/>
    <w:rsid w:val="000D05D4"/>
    <w:rsid w:val="000D0ED6"/>
    <w:rsid w:val="000D1685"/>
    <w:rsid w:val="000D17BB"/>
    <w:rsid w:val="000D18A3"/>
    <w:rsid w:val="000D18F3"/>
    <w:rsid w:val="000D1CB4"/>
    <w:rsid w:val="000D1CE6"/>
    <w:rsid w:val="000D202F"/>
    <w:rsid w:val="000D2204"/>
    <w:rsid w:val="000D225C"/>
    <w:rsid w:val="000D225E"/>
    <w:rsid w:val="000D350B"/>
    <w:rsid w:val="000D39AF"/>
    <w:rsid w:val="000D456D"/>
    <w:rsid w:val="000D4BA8"/>
    <w:rsid w:val="000D4F7E"/>
    <w:rsid w:val="000D58DE"/>
    <w:rsid w:val="000D62D0"/>
    <w:rsid w:val="000D6416"/>
    <w:rsid w:val="000D6A32"/>
    <w:rsid w:val="000D6EB0"/>
    <w:rsid w:val="000D6EB6"/>
    <w:rsid w:val="000D702C"/>
    <w:rsid w:val="000D71FE"/>
    <w:rsid w:val="000D7D68"/>
    <w:rsid w:val="000E05EA"/>
    <w:rsid w:val="000E05F7"/>
    <w:rsid w:val="000E090E"/>
    <w:rsid w:val="000E0AE6"/>
    <w:rsid w:val="000E101D"/>
    <w:rsid w:val="000E1099"/>
    <w:rsid w:val="000E123D"/>
    <w:rsid w:val="000E196A"/>
    <w:rsid w:val="000E1CA1"/>
    <w:rsid w:val="000E1E4B"/>
    <w:rsid w:val="000E23CC"/>
    <w:rsid w:val="000E2E38"/>
    <w:rsid w:val="000E398D"/>
    <w:rsid w:val="000E399D"/>
    <w:rsid w:val="000E4219"/>
    <w:rsid w:val="000E4863"/>
    <w:rsid w:val="000E5022"/>
    <w:rsid w:val="000E5071"/>
    <w:rsid w:val="000E52BD"/>
    <w:rsid w:val="000E53AF"/>
    <w:rsid w:val="000E5476"/>
    <w:rsid w:val="000E5629"/>
    <w:rsid w:val="000E5967"/>
    <w:rsid w:val="000E62B1"/>
    <w:rsid w:val="000E650F"/>
    <w:rsid w:val="000E661B"/>
    <w:rsid w:val="000F0258"/>
    <w:rsid w:val="000F0864"/>
    <w:rsid w:val="000F1FF6"/>
    <w:rsid w:val="000F272E"/>
    <w:rsid w:val="000F2C82"/>
    <w:rsid w:val="000F31D0"/>
    <w:rsid w:val="000F33B8"/>
    <w:rsid w:val="000F3776"/>
    <w:rsid w:val="000F37A0"/>
    <w:rsid w:val="000F3957"/>
    <w:rsid w:val="000F39A5"/>
    <w:rsid w:val="000F4618"/>
    <w:rsid w:val="000F4B8C"/>
    <w:rsid w:val="000F4E31"/>
    <w:rsid w:val="000F5A04"/>
    <w:rsid w:val="000F5FE2"/>
    <w:rsid w:val="000F5FF1"/>
    <w:rsid w:val="000F6159"/>
    <w:rsid w:val="000F659A"/>
    <w:rsid w:val="000F6E30"/>
    <w:rsid w:val="000F6F2F"/>
    <w:rsid w:val="000F729A"/>
    <w:rsid w:val="000F7CC7"/>
    <w:rsid w:val="001002B8"/>
    <w:rsid w:val="0010034C"/>
    <w:rsid w:val="0010159A"/>
    <w:rsid w:val="001019FC"/>
    <w:rsid w:val="00102082"/>
    <w:rsid w:val="001021F7"/>
    <w:rsid w:val="0010231F"/>
    <w:rsid w:val="00102634"/>
    <w:rsid w:val="001028E3"/>
    <w:rsid w:val="0010304D"/>
    <w:rsid w:val="0010376B"/>
    <w:rsid w:val="001037C9"/>
    <w:rsid w:val="00103A3A"/>
    <w:rsid w:val="00103CB3"/>
    <w:rsid w:val="00104BDC"/>
    <w:rsid w:val="00105450"/>
    <w:rsid w:val="00105AD0"/>
    <w:rsid w:val="00105D9A"/>
    <w:rsid w:val="00106174"/>
    <w:rsid w:val="00106532"/>
    <w:rsid w:val="00106613"/>
    <w:rsid w:val="00106833"/>
    <w:rsid w:val="0010688E"/>
    <w:rsid w:val="00106D02"/>
    <w:rsid w:val="00107A50"/>
    <w:rsid w:val="00107FBB"/>
    <w:rsid w:val="00110013"/>
    <w:rsid w:val="00110594"/>
    <w:rsid w:val="00110FFD"/>
    <w:rsid w:val="0011171A"/>
    <w:rsid w:val="00111936"/>
    <w:rsid w:val="00111B77"/>
    <w:rsid w:val="00111E71"/>
    <w:rsid w:val="001129ED"/>
    <w:rsid w:val="00112B51"/>
    <w:rsid w:val="0011317A"/>
    <w:rsid w:val="001135CA"/>
    <w:rsid w:val="0011376D"/>
    <w:rsid w:val="00113B93"/>
    <w:rsid w:val="001140CF"/>
    <w:rsid w:val="001140E8"/>
    <w:rsid w:val="00114696"/>
    <w:rsid w:val="0011539D"/>
    <w:rsid w:val="00115CEF"/>
    <w:rsid w:val="00115E22"/>
    <w:rsid w:val="00115E25"/>
    <w:rsid w:val="00115F90"/>
    <w:rsid w:val="0011637B"/>
    <w:rsid w:val="00116982"/>
    <w:rsid w:val="00117DC9"/>
    <w:rsid w:val="00120774"/>
    <w:rsid w:val="001208DD"/>
    <w:rsid w:val="00120AA3"/>
    <w:rsid w:val="00120DB1"/>
    <w:rsid w:val="001210CC"/>
    <w:rsid w:val="0012129B"/>
    <w:rsid w:val="00121642"/>
    <w:rsid w:val="00121B6F"/>
    <w:rsid w:val="00122D95"/>
    <w:rsid w:val="00122F13"/>
    <w:rsid w:val="0012376C"/>
    <w:rsid w:val="00123DD6"/>
    <w:rsid w:val="00124136"/>
    <w:rsid w:val="001246E1"/>
    <w:rsid w:val="00124B20"/>
    <w:rsid w:val="00124ED8"/>
    <w:rsid w:val="00124FF6"/>
    <w:rsid w:val="0012511E"/>
    <w:rsid w:val="00125B7B"/>
    <w:rsid w:val="00126302"/>
    <w:rsid w:val="00126303"/>
    <w:rsid w:val="0012649A"/>
    <w:rsid w:val="001265E7"/>
    <w:rsid w:val="00126713"/>
    <w:rsid w:val="00126824"/>
    <w:rsid w:val="00126AA0"/>
    <w:rsid w:val="00127E65"/>
    <w:rsid w:val="001302F2"/>
    <w:rsid w:val="001305B4"/>
    <w:rsid w:val="0013088F"/>
    <w:rsid w:val="001325AD"/>
    <w:rsid w:val="00132A7F"/>
    <w:rsid w:val="00133019"/>
    <w:rsid w:val="001332BC"/>
    <w:rsid w:val="0013397D"/>
    <w:rsid w:val="00134ACC"/>
    <w:rsid w:val="00134C4E"/>
    <w:rsid w:val="00134FDD"/>
    <w:rsid w:val="0013587A"/>
    <w:rsid w:val="00135D90"/>
    <w:rsid w:val="00135E06"/>
    <w:rsid w:val="00135E7C"/>
    <w:rsid w:val="001360A2"/>
    <w:rsid w:val="001360BF"/>
    <w:rsid w:val="001368E7"/>
    <w:rsid w:val="00137178"/>
    <w:rsid w:val="00137D95"/>
    <w:rsid w:val="001406F1"/>
    <w:rsid w:val="00140B7F"/>
    <w:rsid w:val="00140D10"/>
    <w:rsid w:val="0014105F"/>
    <w:rsid w:val="0014132F"/>
    <w:rsid w:val="00141355"/>
    <w:rsid w:val="00141494"/>
    <w:rsid w:val="001415FD"/>
    <w:rsid w:val="0014163E"/>
    <w:rsid w:val="001418C0"/>
    <w:rsid w:val="00141A20"/>
    <w:rsid w:val="00141C97"/>
    <w:rsid w:val="00141FA2"/>
    <w:rsid w:val="00141FDE"/>
    <w:rsid w:val="00142073"/>
    <w:rsid w:val="001422A6"/>
    <w:rsid w:val="001425AD"/>
    <w:rsid w:val="00142A6C"/>
    <w:rsid w:val="00142B1D"/>
    <w:rsid w:val="00143392"/>
    <w:rsid w:val="00143779"/>
    <w:rsid w:val="00143C9D"/>
    <w:rsid w:val="0014414B"/>
    <w:rsid w:val="001442C8"/>
    <w:rsid w:val="001442ED"/>
    <w:rsid w:val="00144332"/>
    <w:rsid w:val="00144916"/>
    <w:rsid w:val="0014534E"/>
    <w:rsid w:val="0014548A"/>
    <w:rsid w:val="001456CE"/>
    <w:rsid w:val="00145861"/>
    <w:rsid w:val="00145E33"/>
    <w:rsid w:val="001462AD"/>
    <w:rsid w:val="001468BA"/>
    <w:rsid w:val="00147050"/>
    <w:rsid w:val="00147599"/>
    <w:rsid w:val="00147A69"/>
    <w:rsid w:val="00147AE0"/>
    <w:rsid w:val="00147EAF"/>
    <w:rsid w:val="00150511"/>
    <w:rsid w:val="001509F4"/>
    <w:rsid w:val="00151252"/>
    <w:rsid w:val="001512D3"/>
    <w:rsid w:val="00151B47"/>
    <w:rsid w:val="00151D94"/>
    <w:rsid w:val="001523C1"/>
    <w:rsid w:val="00152479"/>
    <w:rsid w:val="00152B55"/>
    <w:rsid w:val="001531E3"/>
    <w:rsid w:val="0015334F"/>
    <w:rsid w:val="00153700"/>
    <w:rsid w:val="00153985"/>
    <w:rsid w:val="00153BF0"/>
    <w:rsid w:val="00154178"/>
    <w:rsid w:val="00154386"/>
    <w:rsid w:val="00154C1C"/>
    <w:rsid w:val="00154C42"/>
    <w:rsid w:val="001550CC"/>
    <w:rsid w:val="0015511A"/>
    <w:rsid w:val="00155CDC"/>
    <w:rsid w:val="00155DE6"/>
    <w:rsid w:val="0015631E"/>
    <w:rsid w:val="001564AB"/>
    <w:rsid w:val="00156B08"/>
    <w:rsid w:val="00156C62"/>
    <w:rsid w:val="001570D0"/>
    <w:rsid w:val="0016027D"/>
    <w:rsid w:val="00160429"/>
    <w:rsid w:val="00160905"/>
    <w:rsid w:val="00160D42"/>
    <w:rsid w:val="00160E9D"/>
    <w:rsid w:val="00160F69"/>
    <w:rsid w:val="001616E0"/>
    <w:rsid w:val="00161978"/>
    <w:rsid w:val="0016199E"/>
    <w:rsid w:val="00161C93"/>
    <w:rsid w:val="001625D9"/>
    <w:rsid w:val="00162715"/>
    <w:rsid w:val="00162A88"/>
    <w:rsid w:val="00162B1D"/>
    <w:rsid w:val="00162C1D"/>
    <w:rsid w:val="00163354"/>
    <w:rsid w:val="00163CA4"/>
    <w:rsid w:val="001645EF"/>
    <w:rsid w:val="00164775"/>
    <w:rsid w:val="00164805"/>
    <w:rsid w:val="00164813"/>
    <w:rsid w:val="00164D4C"/>
    <w:rsid w:val="00165D07"/>
    <w:rsid w:val="001660AF"/>
    <w:rsid w:val="001666E4"/>
    <w:rsid w:val="00166804"/>
    <w:rsid w:val="00167039"/>
    <w:rsid w:val="001671F8"/>
    <w:rsid w:val="00167879"/>
    <w:rsid w:val="001679FB"/>
    <w:rsid w:val="00167B7E"/>
    <w:rsid w:val="001702DE"/>
    <w:rsid w:val="00170BEB"/>
    <w:rsid w:val="00171086"/>
    <w:rsid w:val="0017127A"/>
    <w:rsid w:val="00171371"/>
    <w:rsid w:val="001715AC"/>
    <w:rsid w:val="0017164C"/>
    <w:rsid w:val="001718B7"/>
    <w:rsid w:val="00171A28"/>
    <w:rsid w:val="00171A41"/>
    <w:rsid w:val="00171DE2"/>
    <w:rsid w:val="0017240B"/>
    <w:rsid w:val="001725CE"/>
    <w:rsid w:val="00172804"/>
    <w:rsid w:val="001728E3"/>
    <w:rsid w:val="00172F41"/>
    <w:rsid w:val="00173420"/>
    <w:rsid w:val="0017377A"/>
    <w:rsid w:val="00173A48"/>
    <w:rsid w:val="00173BFF"/>
    <w:rsid w:val="00173EA1"/>
    <w:rsid w:val="0017418E"/>
    <w:rsid w:val="001742A7"/>
    <w:rsid w:val="00174783"/>
    <w:rsid w:val="00174F59"/>
    <w:rsid w:val="00175157"/>
    <w:rsid w:val="0017558B"/>
    <w:rsid w:val="00176033"/>
    <w:rsid w:val="001766BF"/>
    <w:rsid w:val="00176AE7"/>
    <w:rsid w:val="00177C63"/>
    <w:rsid w:val="00177D39"/>
    <w:rsid w:val="00177E1E"/>
    <w:rsid w:val="00180090"/>
    <w:rsid w:val="00180600"/>
    <w:rsid w:val="0018067B"/>
    <w:rsid w:val="001806F7"/>
    <w:rsid w:val="00180B46"/>
    <w:rsid w:val="00180F3B"/>
    <w:rsid w:val="001826FC"/>
    <w:rsid w:val="00182F04"/>
    <w:rsid w:val="00183B34"/>
    <w:rsid w:val="00184724"/>
    <w:rsid w:val="00185710"/>
    <w:rsid w:val="00185E76"/>
    <w:rsid w:val="001861C4"/>
    <w:rsid w:val="001862F0"/>
    <w:rsid w:val="0018767F"/>
    <w:rsid w:val="0019012B"/>
    <w:rsid w:val="00190D5F"/>
    <w:rsid w:val="00190F83"/>
    <w:rsid w:val="00191756"/>
    <w:rsid w:val="001922FC"/>
    <w:rsid w:val="00192304"/>
    <w:rsid w:val="00192BC2"/>
    <w:rsid w:val="00192FAC"/>
    <w:rsid w:val="00193436"/>
    <w:rsid w:val="00193533"/>
    <w:rsid w:val="0019357D"/>
    <w:rsid w:val="001938C6"/>
    <w:rsid w:val="00193C73"/>
    <w:rsid w:val="00194005"/>
    <w:rsid w:val="00194298"/>
    <w:rsid w:val="0019441C"/>
    <w:rsid w:val="00194F87"/>
    <w:rsid w:val="0019536B"/>
    <w:rsid w:val="0019572A"/>
    <w:rsid w:val="00195A5C"/>
    <w:rsid w:val="00195B7C"/>
    <w:rsid w:val="00196469"/>
    <w:rsid w:val="001965B5"/>
    <w:rsid w:val="0019670B"/>
    <w:rsid w:val="00196F2C"/>
    <w:rsid w:val="0019784E"/>
    <w:rsid w:val="001A03F3"/>
    <w:rsid w:val="001A0410"/>
    <w:rsid w:val="001A08A9"/>
    <w:rsid w:val="001A094E"/>
    <w:rsid w:val="001A0E1F"/>
    <w:rsid w:val="001A0FC2"/>
    <w:rsid w:val="001A11D8"/>
    <w:rsid w:val="001A1518"/>
    <w:rsid w:val="001A15D3"/>
    <w:rsid w:val="001A1AAC"/>
    <w:rsid w:val="001A1CBF"/>
    <w:rsid w:val="001A1EC5"/>
    <w:rsid w:val="001A1F1B"/>
    <w:rsid w:val="001A2C49"/>
    <w:rsid w:val="001A2DD8"/>
    <w:rsid w:val="001A3388"/>
    <w:rsid w:val="001A37F7"/>
    <w:rsid w:val="001A3DE3"/>
    <w:rsid w:val="001A3FD4"/>
    <w:rsid w:val="001A4061"/>
    <w:rsid w:val="001A41E7"/>
    <w:rsid w:val="001A4FFF"/>
    <w:rsid w:val="001A50E5"/>
    <w:rsid w:val="001A5493"/>
    <w:rsid w:val="001A5628"/>
    <w:rsid w:val="001A5856"/>
    <w:rsid w:val="001A5D01"/>
    <w:rsid w:val="001A5D8A"/>
    <w:rsid w:val="001A71B5"/>
    <w:rsid w:val="001B0CBD"/>
    <w:rsid w:val="001B0CFC"/>
    <w:rsid w:val="001B12AA"/>
    <w:rsid w:val="001B1A8D"/>
    <w:rsid w:val="001B1AB6"/>
    <w:rsid w:val="001B2131"/>
    <w:rsid w:val="001B2565"/>
    <w:rsid w:val="001B296C"/>
    <w:rsid w:val="001B2A38"/>
    <w:rsid w:val="001B2B19"/>
    <w:rsid w:val="001B2B2B"/>
    <w:rsid w:val="001B2F10"/>
    <w:rsid w:val="001B3CF0"/>
    <w:rsid w:val="001B3EE5"/>
    <w:rsid w:val="001B477A"/>
    <w:rsid w:val="001B5134"/>
    <w:rsid w:val="001B537D"/>
    <w:rsid w:val="001B54CD"/>
    <w:rsid w:val="001B57E8"/>
    <w:rsid w:val="001B69B3"/>
    <w:rsid w:val="001B6DAD"/>
    <w:rsid w:val="001B70D6"/>
    <w:rsid w:val="001C14A0"/>
    <w:rsid w:val="001C196B"/>
    <w:rsid w:val="001C1BE9"/>
    <w:rsid w:val="001C2FBC"/>
    <w:rsid w:val="001C422A"/>
    <w:rsid w:val="001C42DE"/>
    <w:rsid w:val="001C43C9"/>
    <w:rsid w:val="001C43FA"/>
    <w:rsid w:val="001C4484"/>
    <w:rsid w:val="001C561C"/>
    <w:rsid w:val="001C59F7"/>
    <w:rsid w:val="001C5D2A"/>
    <w:rsid w:val="001C662F"/>
    <w:rsid w:val="001C6A88"/>
    <w:rsid w:val="001C7187"/>
    <w:rsid w:val="001C78EE"/>
    <w:rsid w:val="001C7DEA"/>
    <w:rsid w:val="001D03FD"/>
    <w:rsid w:val="001D05FB"/>
    <w:rsid w:val="001D0FC2"/>
    <w:rsid w:val="001D0FEF"/>
    <w:rsid w:val="001D16B5"/>
    <w:rsid w:val="001D2473"/>
    <w:rsid w:val="001D2E18"/>
    <w:rsid w:val="001D370A"/>
    <w:rsid w:val="001D37E1"/>
    <w:rsid w:val="001D4863"/>
    <w:rsid w:val="001D61A3"/>
    <w:rsid w:val="001D6315"/>
    <w:rsid w:val="001D727C"/>
    <w:rsid w:val="001D780D"/>
    <w:rsid w:val="001D7AE7"/>
    <w:rsid w:val="001E0A87"/>
    <w:rsid w:val="001E1BDA"/>
    <w:rsid w:val="001E2159"/>
    <w:rsid w:val="001E237D"/>
    <w:rsid w:val="001E2767"/>
    <w:rsid w:val="001E2E53"/>
    <w:rsid w:val="001E31FA"/>
    <w:rsid w:val="001E41B1"/>
    <w:rsid w:val="001E5ADF"/>
    <w:rsid w:val="001E5B89"/>
    <w:rsid w:val="001E71A6"/>
    <w:rsid w:val="001E71E7"/>
    <w:rsid w:val="001E7CB7"/>
    <w:rsid w:val="001F0078"/>
    <w:rsid w:val="001F028E"/>
    <w:rsid w:val="001F04A5"/>
    <w:rsid w:val="001F053C"/>
    <w:rsid w:val="001F0576"/>
    <w:rsid w:val="001F071B"/>
    <w:rsid w:val="001F0D00"/>
    <w:rsid w:val="001F14EB"/>
    <w:rsid w:val="001F1CA5"/>
    <w:rsid w:val="001F28F7"/>
    <w:rsid w:val="001F32ED"/>
    <w:rsid w:val="001F4723"/>
    <w:rsid w:val="001F475F"/>
    <w:rsid w:val="001F47D9"/>
    <w:rsid w:val="001F4AA4"/>
    <w:rsid w:val="001F5098"/>
    <w:rsid w:val="001F5280"/>
    <w:rsid w:val="001F5500"/>
    <w:rsid w:val="001F57C1"/>
    <w:rsid w:val="001F60FB"/>
    <w:rsid w:val="001F6193"/>
    <w:rsid w:val="001F633D"/>
    <w:rsid w:val="001F6CE7"/>
    <w:rsid w:val="001F7456"/>
    <w:rsid w:val="0020023D"/>
    <w:rsid w:val="00200625"/>
    <w:rsid w:val="00200E0A"/>
    <w:rsid w:val="00201645"/>
    <w:rsid w:val="00201B0B"/>
    <w:rsid w:val="00201C5B"/>
    <w:rsid w:val="00201E5D"/>
    <w:rsid w:val="00202300"/>
    <w:rsid w:val="0020242E"/>
    <w:rsid w:val="002026C0"/>
    <w:rsid w:val="00203696"/>
    <w:rsid w:val="00203DCE"/>
    <w:rsid w:val="00203FDA"/>
    <w:rsid w:val="002041DA"/>
    <w:rsid w:val="0020444C"/>
    <w:rsid w:val="00204A5E"/>
    <w:rsid w:val="00204CEA"/>
    <w:rsid w:val="0020536C"/>
    <w:rsid w:val="002053B9"/>
    <w:rsid w:val="002055CF"/>
    <w:rsid w:val="00205A49"/>
    <w:rsid w:val="00206604"/>
    <w:rsid w:val="002067AB"/>
    <w:rsid w:val="00210221"/>
    <w:rsid w:val="00210672"/>
    <w:rsid w:val="00210DAC"/>
    <w:rsid w:val="00210E5F"/>
    <w:rsid w:val="00210E6A"/>
    <w:rsid w:val="002112BF"/>
    <w:rsid w:val="00211AB9"/>
    <w:rsid w:val="002120C1"/>
    <w:rsid w:val="002125EB"/>
    <w:rsid w:val="00212868"/>
    <w:rsid w:val="00212AC4"/>
    <w:rsid w:val="00212FBB"/>
    <w:rsid w:val="00213252"/>
    <w:rsid w:val="00213853"/>
    <w:rsid w:val="002138E6"/>
    <w:rsid w:val="0021620D"/>
    <w:rsid w:val="00216406"/>
    <w:rsid w:val="0021736D"/>
    <w:rsid w:val="00217494"/>
    <w:rsid w:val="002178C3"/>
    <w:rsid w:val="0021791F"/>
    <w:rsid w:val="002207F9"/>
    <w:rsid w:val="00220899"/>
    <w:rsid w:val="00220BE9"/>
    <w:rsid w:val="0022140D"/>
    <w:rsid w:val="00221626"/>
    <w:rsid w:val="00222072"/>
    <w:rsid w:val="00222C58"/>
    <w:rsid w:val="002231C0"/>
    <w:rsid w:val="0022321D"/>
    <w:rsid w:val="002242AD"/>
    <w:rsid w:val="00224385"/>
    <w:rsid w:val="00225082"/>
    <w:rsid w:val="00225295"/>
    <w:rsid w:val="0022560C"/>
    <w:rsid w:val="00225A49"/>
    <w:rsid w:val="00225AD3"/>
    <w:rsid w:val="00225AEE"/>
    <w:rsid w:val="00226524"/>
    <w:rsid w:val="002268E1"/>
    <w:rsid w:val="00226C3E"/>
    <w:rsid w:val="002305C9"/>
    <w:rsid w:val="00230AF7"/>
    <w:rsid w:val="00230D6C"/>
    <w:rsid w:val="002313A4"/>
    <w:rsid w:val="00231891"/>
    <w:rsid w:val="00231DBD"/>
    <w:rsid w:val="00233586"/>
    <w:rsid w:val="002337E5"/>
    <w:rsid w:val="00233807"/>
    <w:rsid w:val="00233994"/>
    <w:rsid w:val="00233B2D"/>
    <w:rsid w:val="00235288"/>
    <w:rsid w:val="00235671"/>
    <w:rsid w:val="00235DB4"/>
    <w:rsid w:val="00236071"/>
    <w:rsid w:val="00236495"/>
    <w:rsid w:val="002364A9"/>
    <w:rsid w:val="0023655C"/>
    <w:rsid w:val="0023666E"/>
    <w:rsid w:val="00236DAD"/>
    <w:rsid w:val="002404C4"/>
    <w:rsid w:val="0024071F"/>
    <w:rsid w:val="00241158"/>
    <w:rsid w:val="0024159C"/>
    <w:rsid w:val="0024175C"/>
    <w:rsid w:val="00241A9E"/>
    <w:rsid w:val="00242A4C"/>
    <w:rsid w:val="00242BAD"/>
    <w:rsid w:val="00242D58"/>
    <w:rsid w:val="002432EE"/>
    <w:rsid w:val="002433C3"/>
    <w:rsid w:val="00243D37"/>
    <w:rsid w:val="00244A9F"/>
    <w:rsid w:val="00244C66"/>
    <w:rsid w:val="00245685"/>
    <w:rsid w:val="00245B80"/>
    <w:rsid w:val="002460FB"/>
    <w:rsid w:val="002462AA"/>
    <w:rsid w:val="0024744F"/>
    <w:rsid w:val="0025028A"/>
    <w:rsid w:val="002503D4"/>
    <w:rsid w:val="00250426"/>
    <w:rsid w:val="002506B7"/>
    <w:rsid w:val="00251810"/>
    <w:rsid w:val="00251995"/>
    <w:rsid w:val="00251B25"/>
    <w:rsid w:val="002521DD"/>
    <w:rsid w:val="00252631"/>
    <w:rsid w:val="00252CFD"/>
    <w:rsid w:val="002538C5"/>
    <w:rsid w:val="00254047"/>
    <w:rsid w:val="002546C1"/>
    <w:rsid w:val="002546EF"/>
    <w:rsid w:val="00254CFA"/>
    <w:rsid w:val="00255EB1"/>
    <w:rsid w:val="00256320"/>
    <w:rsid w:val="00256572"/>
    <w:rsid w:val="00256C08"/>
    <w:rsid w:val="00256D3F"/>
    <w:rsid w:val="00256EFA"/>
    <w:rsid w:val="00257267"/>
    <w:rsid w:val="00257504"/>
    <w:rsid w:val="002602FB"/>
    <w:rsid w:val="00260848"/>
    <w:rsid w:val="002609EA"/>
    <w:rsid w:val="00260F82"/>
    <w:rsid w:val="002611AB"/>
    <w:rsid w:val="0026148B"/>
    <w:rsid w:val="00261540"/>
    <w:rsid w:val="00261C74"/>
    <w:rsid w:val="002626D3"/>
    <w:rsid w:val="0026274F"/>
    <w:rsid w:val="00262AD6"/>
    <w:rsid w:val="00262B21"/>
    <w:rsid w:val="00262DF8"/>
    <w:rsid w:val="00262E38"/>
    <w:rsid w:val="00262F54"/>
    <w:rsid w:val="0026315E"/>
    <w:rsid w:val="002634F2"/>
    <w:rsid w:val="00263D39"/>
    <w:rsid w:val="00263EAF"/>
    <w:rsid w:val="00263EDA"/>
    <w:rsid w:val="00264E84"/>
    <w:rsid w:val="00265587"/>
    <w:rsid w:val="002657F9"/>
    <w:rsid w:val="00265970"/>
    <w:rsid w:val="00265BFF"/>
    <w:rsid w:val="00266517"/>
    <w:rsid w:val="00266632"/>
    <w:rsid w:val="00266664"/>
    <w:rsid w:val="0026712E"/>
    <w:rsid w:val="00267306"/>
    <w:rsid w:val="002675B4"/>
    <w:rsid w:val="00267B5B"/>
    <w:rsid w:val="00267DEA"/>
    <w:rsid w:val="002701B7"/>
    <w:rsid w:val="002706B5"/>
    <w:rsid w:val="00271D19"/>
    <w:rsid w:val="00272ED5"/>
    <w:rsid w:val="0027368D"/>
    <w:rsid w:val="002736CD"/>
    <w:rsid w:val="002740E9"/>
    <w:rsid w:val="0027414F"/>
    <w:rsid w:val="00274CA4"/>
    <w:rsid w:val="002752AF"/>
    <w:rsid w:val="00275A7A"/>
    <w:rsid w:val="00275C51"/>
    <w:rsid w:val="0027609D"/>
    <w:rsid w:val="002765A8"/>
    <w:rsid w:val="00276F6C"/>
    <w:rsid w:val="0027715A"/>
    <w:rsid w:val="0027732A"/>
    <w:rsid w:val="00277434"/>
    <w:rsid w:val="0028011C"/>
    <w:rsid w:val="00280D14"/>
    <w:rsid w:val="002813A9"/>
    <w:rsid w:val="00281932"/>
    <w:rsid w:val="00281EE4"/>
    <w:rsid w:val="0028216D"/>
    <w:rsid w:val="00282BB5"/>
    <w:rsid w:val="00283109"/>
    <w:rsid w:val="00283288"/>
    <w:rsid w:val="00283969"/>
    <w:rsid w:val="00283BE4"/>
    <w:rsid w:val="00284AAA"/>
    <w:rsid w:val="00285FA7"/>
    <w:rsid w:val="00285FBA"/>
    <w:rsid w:val="00286116"/>
    <w:rsid w:val="00286199"/>
    <w:rsid w:val="002863D0"/>
    <w:rsid w:val="002867B7"/>
    <w:rsid w:val="00286839"/>
    <w:rsid w:val="002868A7"/>
    <w:rsid w:val="00286C01"/>
    <w:rsid w:val="00286C26"/>
    <w:rsid w:val="00287824"/>
    <w:rsid w:val="00287A57"/>
    <w:rsid w:val="00287D23"/>
    <w:rsid w:val="00290499"/>
    <w:rsid w:val="002906F9"/>
    <w:rsid w:val="00291500"/>
    <w:rsid w:val="002919A6"/>
    <w:rsid w:val="00291E7B"/>
    <w:rsid w:val="00292390"/>
    <w:rsid w:val="00292459"/>
    <w:rsid w:val="002928DA"/>
    <w:rsid w:val="00293017"/>
    <w:rsid w:val="002932D8"/>
    <w:rsid w:val="002935A5"/>
    <w:rsid w:val="002938F8"/>
    <w:rsid w:val="00293C31"/>
    <w:rsid w:val="00293D6C"/>
    <w:rsid w:val="0029441E"/>
    <w:rsid w:val="0029453E"/>
    <w:rsid w:val="00295758"/>
    <w:rsid w:val="00295FE9"/>
    <w:rsid w:val="00296193"/>
    <w:rsid w:val="002961A0"/>
    <w:rsid w:val="00296F08"/>
    <w:rsid w:val="002970F8"/>
    <w:rsid w:val="00297590"/>
    <w:rsid w:val="002975F0"/>
    <w:rsid w:val="002976D5"/>
    <w:rsid w:val="002977CA"/>
    <w:rsid w:val="002979E6"/>
    <w:rsid w:val="00297B31"/>
    <w:rsid w:val="002A028B"/>
    <w:rsid w:val="002A08E4"/>
    <w:rsid w:val="002A094F"/>
    <w:rsid w:val="002A097F"/>
    <w:rsid w:val="002A0F56"/>
    <w:rsid w:val="002A16B8"/>
    <w:rsid w:val="002A1F47"/>
    <w:rsid w:val="002A21F9"/>
    <w:rsid w:val="002A23C8"/>
    <w:rsid w:val="002A2C78"/>
    <w:rsid w:val="002A3097"/>
    <w:rsid w:val="002A31B4"/>
    <w:rsid w:val="002A320C"/>
    <w:rsid w:val="002A3666"/>
    <w:rsid w:val="002A38AB"/>
    <w:rsid w:val="002A3B7E"/>
    <w:rsid w:val="002A3E94"/>
    <w:rsid w:val="002A4B86"/>
    <w:rsid w:val="002A546C"/>
    <w:rsid w:val="002A5E06"/>
    <w:rsid w:val="002A60F6"/>
    <w:rsid w:val="002A62ED"/>
    <w:rsid w:val="002A65F7"/>
    <w:rsid w:val="002A7038"/>
    <w:rsid w:val="002A7103"/>
    <w:rsid w:val="002A730B"/>
    <w:rsid w:val="002A7DC1"/>
    <w:rsid w:val="002B023D"/>
    <w:rsid w:val="002B0259"/>
    <w:rsid w:val="002B1B19"/>
    <w:rsid w:val="002B2032"/>
    <w:rsid w:val="002B2874"/>
    <w:rsid w:val="002B317B"/>
    <w:rsid w:val="002B3C54"/>
    <w:rsid w:val="002B40EE"/>
    <w:rsid w:val="002B449A"/>
    <w:rsid w:val="002B452A"/>
    <w:rsid w:val="002B49C3"/>
    <w:rsid w:val="002B4B0F"/>
    <w:rsid w:val="002B5360"/>
    <w:rsid w:val="002B5587"/>
    <w:rsid w:val="002B5A5E"/>
    <w:rsid w:val="002B5B65"/>
    <w:rsid w:val="002B5BAE"/>
    <w:rsid w:val="002B6023"/>
    <w:rsid w:val="002B6058"/>
    <w:rsid w:val="002B6285"/>
    <w:rsid w:val="002B64F0"/>
    <w:rsid w:val="002B667A"/>
    <w:rsid w:val="002B6C70"/>
    <w:rsid w:val="002B6CC1"/>
    <w:rsid w:val="002B706F"/>
    <w:rsid w:val="002B71FA"/>
    <w:rsid w:val="002B77AD"/>
    <w:rsid w:val="002B7D05"/>
    <w:rsid w:val="002B7E9E"/>
    <w:rsid w:val="002C00B5"/>
    <w:rsid w:val="002C052C"/>
    <w:rsid w:val="002C1910"/>
    <w:rsid w:val="002C1D96"/>
    <w:rsid w:val="002C1E06"/>
    <w:rsid w:val="002C2CFF"/>
    <w:rsid w:val="002C2D4B"/>
    <w:rsid w:val="002C321C"/>
    <w:rsid w:val="002C3A25"/>
    <w:rsid w:val="002C3E09"/>
    <w:rsid w:val="002C43D4"/>
    <w:rsid w:val="002C4CBB"/>
    <w:rsid w:val="002C5128"/>
    <w:rsid w:val="002C5723"/>
    <w:rsid w:val="002C5767"/>
    <w:rsid w:val="002C60C3"/>
    <w:rsid w:val="002C62BA"/>
    <w:rsid w:val="002C6584"/>
    <w:rsid w:val="002C69F1"/>
    <w:rsid w:val="002C6AF1"/>
    <w:rsid w:val="002C7530"/>
    <w:rsid w:val="002C7563"/>
    <w:rsid w:val="002C7AB8"/>
    <w:rsid w:val="002C7C29"/>
    <w:rsid w:val="002D0280"/>
    <w:rsid w:val="002D0602"/>
    <w:rsid w:val="002D07DD"/>
    <w:rsid w:val="002D08EF"/>
    <w:rsid w:val="002D0E06"/>
    <w:rsid w:val="002D0E0E"/>
    <w:rsid w:val="002D15C9"/>
    <w:rsid w:val="002D1BC7"/>
    <w:rsid w:val="002D2162"/>
    <w:rsid w:val="002D2772"/>
    <w:rsid w:val="002D36AB"/>
    <w:rsid w:val="002D36B0"/>
    <w:rsid w:val="002D3D19"/>
    <w:rsid w:val="002D3D44"/>
    <w:rsid w:val="002D5E03"/>
    <w:rsid w:val="002D6137"/>
    <w:rsid w:val="002D7863"/>
    <w:rsid w:val="002E0186"/>
    <w:rsid w:val="002E0869"/>
    <w:rsid w:val="002E0973"/>
    <w:rsid w:val="002E0A3E"/>
    <w:rsid w:val="002E106B"/>
    <w:rsid w:val="002E15B2"/>
    <w:rsid w:val="002E197A"/>
    <w:rsid w:val="002E1C5F"/>
    <w:rsid w:val="002E1FF6"/>
    <w:rsid w:val="002E2E1C"/>
    <w:rsid w:val="002E3346"/>
    <w:rsid w:val="002E35D3"/>
    <w:rsid w:val="002E3C7D"/>
    <w:rsid w:val="002E3D05"/>
    <w:rsid w:val="002E4384"/>
    <w:rsid w:val="002E4766"/>
    <w:rsid w:val="002E505E"/>
    <w:rsid w:val="002E51F0"/>
    <w:rsid w:val="002E5898"/>
    <w:rsid w:val="002E5B89"/>
    <w:rsid w:val="002E64D3"/>
    <w:rsid w:val="002E7555"/>
    <w:rsid w:val="002E7D5C"/>
    <w:rsid w:val="002F014A"/>
    <w:rsid w:val="002F0581"/>
    <w:rsid w:val="002F070D"/>
    <w:rsid w:val="002F0EB5"/>
    <w:rsid w:val="002F0F7A"/>
    <w:rsid w:val="002F1F14"/>
    <w:rsid w:val="002F1F30"/>
    <w:rsid w:val="002F2131"/>
    <w:rsid w:val="002F2767"/>
    <w:rsid w:val="002F3317"/>
    <w:rsid w:val="002F342B"/>
    <w:rsid w:val="002F375C"/>
    <w:rsid w:val="002F39A5"/>
    <w:rsid w:val="002F3D42"/>
    <w:rsid w:val="002F564D"/>
    <w:rsid w:val="002F5868"/>
    <w:rsid w:val="002F61D6"/>
    <w:rsid w:val="002F68DF"/>
    <w:rsid w:val="002F6A21"/>
    <w:rsid w:val="002F6B67"/>
    <w:rsid w:val="002F7049"/>
    <w:rsid w:val="002F71ED"/>
    <w:rsid w:val="002F723B"/>
    <w:rsid w:val="002F745A"/>
    <w:rsid w:val="002F75BA"/>
    <w:rsid w:val="002F774F"/>
    <w:rsid w:val="00300043"/>
    <w:rsid w:val="0030017D"/>
    <w:rsid w:val="003002FF"/>
    <w:rsid w:val="003007B2"/>
    <w:rsid w:val="003012CE"/>
    <w:rsid w:val="00301A10"/>
    <w:rsid w:val="00301A37"/>
    <w:rsid w:val="00302053"/>
    <w:rsid w:val="00302146"/>
    <w:rsid w:val="00302194"/>
    <w:rsid w:val="003037C0"/>
    <w:rsid w:val="00304308"/>
    <w:rsid w:val="00304520"/>
    <w:rsid w:val="003059F1"/>
    <w:rsid w:val="0030653B"/>
    <w:rsid w:val="0030698E"/>
    <w:rsid w:val="00306E05"/>
    <w:rsid w:val="00306F79"/>
    <w:rsid w:val="003073C5"/>
    <w:rsid w:val="0030741C"/>
    <w:rsid w:val="00307716"/>
    <w:rsid w:val="00307855"/>
    <w:rsid w:val="00307CD6"/>
    <w:rsid w:val="00310BDA"/>
    <w:rsid w:val="003110B8"/>
    <w:rsid w:val="0031110D"/>
    <w:rsid w:val="00311871"/>
    <w:rsid w:val="00311959"/>
    <w:rsid w:val="00311DC6"/>
    <w:rsid w:val="0031269D"/>
    <w:rsid w:val="0031325B"/>
    <w:rsid w:val="003137B1"/>
    <w:rsid w:val="00313915"/>
    <w:rsid w:val="0031405F"/>
    <w:rsid w:val="00314BCF"/>
    <w:rsid w:val="00315100"/>
    <w:rsid w:val="00315708"/>
    <w:rsid w:val="00315B4B"/>
    <w:rsid w:val="00315C2F"/>
    <w:rsid w:val="003160BA"/>
    <w:rsid w:val="00316275"/>
    <w:rsid w:val="003166A9"/>
    <w:rsid w:val="0031679F"/>
    <w:rsid w:val="00316C1C"/>
    <w:rsid w:val="00316E13"/>
    <w:rsid w:val="00317254"/>
    <w:rsid w:val="003176D5"/>
    <w:rsid w:val="00317A1A"/>
    <w:rsid w:val="003200A8"/>
    <w:rsid w:val="00320176"/>
    <w:rsid w:val="00320241"/>
    <w:rsid w:val="00320B18"/>
    <w:rsid w:val="00320C8C"/>
    <w:rsid w:val="003214CE"/>
    <w:rsid w:val="003217BE"/>
    <w:rsid w:val="0032182E"/>
    <w:rsid w:val="00321AF2"/>
    <w:rsid w:val="0032236E"/>
    <w:rsid w:val="0032250E"/>
    <w:rsid w:val="003231D6"/>
    <w:rsid w:val="0032329B"/>
    <w:rsid w:val="00323725"/>
    <w:rsid w:val="0032389D"/>
    <w:rsid w:val="0032398D"/>
    <w:rsid w:val="00323CC7"/>
    <w:rsid w:val="00323E46"/>
    <w:rsid w:val="00323E94"/>
    <w:rsid w:val="00323F1A"/>
    <w:rsid w:val="003241F1"/>
    <w:rsid w:val="003243E9"/>
    <w:rsid w:val="003245B8"/>
    <w:rsid w:val="00324960"/>
    <w:rsid w:val="00324B7C"/>
    <w:rsid w:val="0032616D"/>
    <w:rsid w:val="003262A8"/>
    <w:rsid w:val="00327081"/>
    <w:rsid w:val="00327AD6"/>
    <w:rsid w:val="0033001F"/>
    <w:rsid w:val="00330169"/>
    <w:rsid w:val="00330ED9"/>
    <w:rsid w:val="00331616"/>
    <w:rsid w:val="003317CA"/>
    <w:rsid w:val="00331F06"/>
    <w:rsid w:val="0033217F"/>
    <w:rsid w:val="003322D0"/>
    <w:rsid w:val="003325F1"/>
    <w:rsid w:val="0033285C"/>
    <w:rsid w:val="003328CC"/>
    <w:rsid w:val="003329C3"/>
    <w:rsid w:val="00332DC7"/>
    <w:rsid w:val="00332FAF"/>
    <w:rsid w:val="00333B6C"/>
    <w:rsid w:val="0033422D"/>
    <w:rsid w:val="003342E1"/>
    <w:rsid w:val="00334643"/>
    <w:rsid w:val="00335030"/>
    <w:rsid w:val="00336063"/>
    <w:rsid w:val="00336171"/>
    <w:rsid w:val="0033634C"/>
    <w:rsid w:val="00337293"/>
    <w:rsid w:val="003379D9"/>
    <w:rsid w:val="00337FB9"/>
    <w:rsid w:val="00340233"/>
    <w:rsid w:val="003405F5"/>
    <w:rsid w:val="003409EE"/>
    <w:rsid w:val="00340A34"/>
    <w:rsid w:val="003413A8"/>
    <w:rsid w:val="00342486"/>
    <w:rsid w:val="003430CD"/>
    <w:rsid w:val="003432FA"/>
    <w:rsid w:val="003435F6"/>
    <w:rsid w:val="0034365F"/>
    <w:rsid w:val="003437C0"/>
    <w:rsid w:val="00343F6F"/>
    <w:rsid w:val="0034446D"/>
    <w:rsid w:val="00344748"/>
    <w:rsid w:val="00344D8C"/>
    <w:rsid w:val="0034501C"/>
    <w:rsid w:val="003459A8"/>
    <w:rsid w:val="00345B02"/>
    <w:rsid w:val="00345C6E"/>
    <w:rsid w:val="00346154"/>
    <w:rsid w:val="003464D2"/>
    <w:rsid w:val="00346ED1"/>
    <w:rsid w:val="00347495"/>
    <w:rsid w:val="00347513"/>
    <w:rsid w:val="00347BA3"/>
    <w:rsid w:val="00347E78"/>
    <w:rsid w:val="00347F22"/>
    <w:rsid w:val="003501FD"/>
    <w:rsid w:val="00350744"/>
    <w:rsid w:val="00351186"/>
    <w:rsid w:val="0035142F"/>
    <w:rsid w:val="0035152B"/>
    <w:rsid w:val="003516A8"/>
    <w:rsid w:val="00351CCE"/>
    <w:rsid w:val="00352769"/>
    <w:rsid w:val="003527E5"/>
    <w:rsid w:val="0035294B"/>
    <w:rsid w:val="00352FDD"/>
    <w:rsid w:val="003530D9"/>
    <w:rsid w:val="003532A3"/>
    <w:rsid w:val="00353B0A"/>
    <w:rsid w:val="0035498B"/>
    <w:rsid w:val="003554C0"/>
    <w:rsid w:val="00355A60"/>
    <w:rsid w:val="003567A3"/>
    <w:rsid w:val="00357D1F"/>
    <w:rsid w:val="00357E3F"/>
    <w:rsid w:val="0036057B"/>
    <w:rsid w:val="003609B2"/>
    <w:rsid w:val="00360A28"/>
    <w:rsid w:val="00360E13"/>
    <w:rsid w:val="00361034"/>
    <w:rsid w:val="0036118E"/>
    <w:rsid w:val="00361469"/>
    <w:rsid w:val="00361986"/>
    <w:rsid w:val="00361D3F"/>
    <w:rsid w:val="00361FBE"/>
    <w:rsid w:val="0036238B"/>
    <w:rsid w:val="00362719"/>
    <w:rsid w:val="0036312F"/>
    <w:rsid w:val="003632BC"/>
    <w:rsid w:val="0036343D"/>
    <w:rsid w:val="00363DB3"/>
    <w:rsid w:val="00363DD0"/>
    <w:rsid w:val="0036400F"/>
    <w:rsid w:val="003654BF"/>
    <w:rsid w:val="00366506"/>
    <w:rsid w:val="00366780"/>
    <w:rsid w:val="00366DB4"/>
    <w:rsid w:val="00367296"/>
    <w:rsid w:val="00367A0B"/>
    <w:rsid w:val="00367ED2"/>
    <w:rsid w:val="00367EF5"/>
    <w:rsid w:val="00370161"/>
    <w:rsid w:val="00370242"/>
    <w:rsid w:val="003703CF"/>
    <w:rsid w:val="0037094E"/>
    <w:rsid w:val="00370D8B"/>
    <w:rsid w:val="00370EEE"/>
    <w:rsid w:val="00370F52"/>
    <w:rsid w:val="003710CA"/>
    <w:rsid w:val="00371287"/>
    <w:rsid w:val="0037139B"/>
    <w:rsid w:val="00371A1A"/>
    <w:rsid w:val="00371B53"/>
    <w:rsid w:val="00372011"/>
    <w:rsid w:val="00372364"/>
    <w:rsid w:val="00372463"/>
    <w:rsid w:val="003734EE"/>
    <w:rsid w:val="00374B2E"/>
    <w:rsid w:val="00374DED"/>
    <w:rsid w:val="00374E61"/>
    <w:rsid w:val="00375005"/>
    <w:rsid w:val="00375947"/>
    <w:rsid w:val="00375D37"/>
    <w:rsid w:val="003760CA"/>
    <w:rsid w:val="00376323"/>
    <w:rsid w:val="00376388"/>
    <w:rsid w:val="003770A6"/>
    <w:rsid w:val="003773C8"/>
    <w:rsid w:val="00377735"/>
    <w:rsid w:val="00380A3C"/>
    <w:rsid w:val="00380E69"/>
    <w:rsid w:val="00380E77"/>
    <w:rsid w:val="00381031"/>
    <w:rsid w:val="003810AF"/>
    <w:rsid w:val="00381493"/>
    <w:rsid w:val="00381611"/>
    <w:rsid w:val="0038175A"/>
    <w:rsid w:val="003817CB"/>
    <w:rsid w:val="003828D3"/>
    <w:rsid w:val="00382961"/>
    <w:rsid w:val="00382C5D"/>
    <w:rsid w:val="00382C98"/>
    <w:rsid w:val="00382D65"/>
    <w:rsid w:val="00382FF4"/>
    <w:rsid w:val="00383912"/>
    <w:rsid w:val="00383DA1"/>
    <w:rsid w:val="0038550A"/>
    <w:rsid w:val="00386336"/>
    <w:rsid w:val="0038635C"/>
    <w:rsid w:val="00386617"/>
    <w:rsid w:val="00387A5A"/>
    <w:rsid w:val="00390123"/>
    <w:rsid w:val="00390646"/>
    <w:rsid w:val="00390C9B"/>
    <w:rsid w:val="00390D42"/>
    <w:rsid w:val="003913FF"/>
    <w:rsid w:val="00391BCA"/>
    <w:rsid w:val="003928D5"/>
    <w:rsid w:val="003935E8"/>
    <w:rsid w:val="003936B9"/>
    <w:rsid w:val="003938BB"/>
    <w:rsid w:val="00393B90"/>
    <w:rsid w:val="003949E8"/>
    <w:rsid w:val="00395732"/>
    <w:rsid w:val="00396DA8"/>
    <w:rsid w:val="00396FA1"/>
    <w:rsid w:val="003970E5"/>
    <w:rsid w:val="00397121"/>
    <w:rsid w:val="00397981"/>
    <w:rsid w:val="0039799D"/>
    <w:rsid w:val="00397D2C"/>
    <w:rsid w:val="003A022D"/>
    <w:rsid w:val="003A0581"/>
    <w:rsid w:val="003A0932"/>
    <w:rsid w:val="003A0EBC"/>
    <w:rsid w:val="003A142D"/>
    <w:rsid w:val="003A19E6"/>
    <w:rsid w:val="003A1A1E"/>
    <w:rsid w:val="003A1F3A"/>
    <w:rsid w:val="003A27F3"/>
    <w:rsid w:val="003A2BA0"/>
    <w:rsid w:val="003A2E8D"/>
    <w:rsid w:val="003A3681"/>
    <w:rsid w:val="003A3AD5"/>
    <w:rsid w:val="003A4000"/>
    <w:rsid w:val="003A40C3"/>
    <w:rsid w:val="003A4481"/>
    <w:rsid w:val="003A4B8E"/>
    <w:rsid w:val="003A5668"/>
    <w:rsid w:val="003A6650"/>
    <w:rsid w:val="003A6F58"/>
    <w:rsid w:val="003A72E8"/>
    <w:rsid w:val="003A732C"/>
    <w:rsid w:val="003A7746"/>
    <w:rsid w:val="003B0D01"/>
    <w:rsid w:val="003B0D1D"/>
    <w:rsid w:val="003B0FC5"/>
    <w:rsid w:val="003B1208"/>
    <w:rsid w:val="003B1468"/>
    <w:rsid w:val="003B1653"/>
    <w:rsid w:val="003B1CF2"/>
    <w:rsid w:val="003B1F73"/>
    <w:rsid w:val="003B247C"/>
    <w:rsid w:val="003B287C"/>
    <w:rsid w:val="003B29E1"/>
    <w:rsid w:val="003B3007"/>
    <w:rsid w:val="003B4908"/>
    <w:rsid w:val="003B490B"/>
    <w:rsid w:val="003B509B"/>
    <w:rsid w:val="003B541F"/>
    <w:rsid w:val="003B6AEE"/>
    <w:rsid w:val="003B6D0E"/>
    <w:rsid w:val="003B7745"/>
    <w:rsid w:val="003B789C"/>
    <w:rsid w:val="003B7ED7"/>
    <w:rsid w:val="003C0086"/>
    <w:rsid w:val="003C01C4"/>
    <w:rsid w:val="003C074F"/>
    <w:rsid w:val="003C0EB0"/>
    <w:rsid w:val="003C109A"/>
    <w:rsid w:val="003C12E8"/>
    <w:rsid w:val="003C1C3D"/>
    <w:rsid w:val="003C33D4"/>
    <w:rsid w:val="003C3CE6"/>
    <w:rsid w:val="003C4D47"/>
    <w:rsid w:val="003C5547"/>
    <w:rsid w:val="003C56C7"/>
    <w:rsid w:val="003C588C"/>
    <w:rsid w:val="003C5903"/>
    <w:rsid w:val="003C5C52"/>
    <w:rsid w:val="003C6486"/>
    <w:rsid w:val="003C6D0E"/>
    <w:rsid w:val="003C730B"/>
    <w:rsid w:val="003C7688"/>
    <w:rsid w:val="003D1391"/>
    <w:rsid w:val="003D2161"/>
    <w:rsid w:val="003D27CF"/>
    <w:rsid w:val="003D3418"/>
    <w:rsid w:val="003D4507"/>
    <w:rsid w:val="003D45B9"/>
    <w:rsid w:val="003D5B07"/>
    <w:rsid w:val="003D683E"/>
    <w:rsid w:val="003D79D3"/>
    <w:rsid w:val="003E0013"/>
    <w:rsid w:val="003E0542"/>
    <w:rsid w:val="003E0B9F"/>
    <w:rsid w:val="003E0C7C"/>
    <w:rsid w:val="003E0E8D"/>
    <w:rsid w:val="003E11C3"/>
    <w:rsid w:val="003E1214"/>
    <w:rsid w:val="003E1EF4"/>
    <w:rsid w:val="003E2019"/>
    <w:rsid w:val="003E22FF"/>
    <w:rsid w:val="003E2576"/>
    <w:rsid w:val="003E2F16"/>
    <w:rsid w:val="003E32D4"/>
    <w:rsid w:val="003E3528"/>
    <w:rsid w:val="003E36B0"/>
    <w:rsid w:val="003E37A1"/>
    <w:rsid w:val="003E3EED"/>
    <w:rsid w:val="003E436A"/>
    <w:rsid w:val="003E4602"/>
    <w:rsid w:val="003E476A"/>
    <w:rsid w:val="003E5F0E"/>
    <w:rsid w:val="003E60A1"/>
    <w:rsid w:val="003E61C3"/>
    <w:rsid w:val="003E64F1"/>
    <w:rsid w:val="003E67F9"/>
    <w:rsid w:val="003E6877"/>
    <w:rsid w:val="003E75C1"/>
    <w:rsid w:val="003F0277"/>
    <w:rsid w:val="003F046B"/>
    <w:rsid w:val="003F070E"/>
    <w:rsid w:val="003F18CF"/>
    <w:rsid w:val="003F1BC4"/>
    <w:rsid w:val="003F1FD6"/>
    <w:rsid w:val="003F22E7"/>
    <w:rsid w:val="003F2DE2"/>
    <w:rsid w:val="003F3594"/>
    <w:rsid w:val="003F38E8"/>
    <w:rsid w:val="003F481F"/>
    <w:rsid w:val="003F4DE4"/>
    <w:rsid w:val="003F4E24"/>
    <w:rsid w:val="003F4E3D"/>
    <w:rsid w:val="003F4E96"/>
    <w:rsid w:val="003F51DE"/>
    <w:rsid w:val="003F5FE1"/>
    <w:rsid w:val="003F6567"/>
    <w:rsid w:val="003F6CB9"/>
    <w:rsid w:val="003F6D77"/>
    <w:rsid w:val="003F72E0"/>
    <w:rsid w:val="003F72F2"/>
    <w:rsid w:val="003F7389"/>
    <w:rsid w:val="003F75C8"/>
    <w:rsid w:val="003F77BE"/>
    <w:rsid w:val="003F7A7F"/>
    <w:rsid w:val="003F7B5D"/>
    <w:rsid w:val="003F7C6A"/>
    <w:rsid w:val="00400393"/>
    <w:rsid w:val="00400436"/>
    <w:rsid w:val="00400A4B"/>
    <w:rsid w:val="00400AB0"/>
    <w:rsid w:val="00401605"/>
    <w:rsid w:val="00402464"/>
    <w:rsid w:val="004029B1"/>
    <w:rsid w:val="00402BE6"/>
    <w:rsid w:val="00402D68"/>
    <w:rsid w:val="00402D91"/>
    <w:rsid w:val="004030D0"/>
    <w:rsid w:val="0040374F"/>
    <w:rsid w:val="00403A61"/>
    <w:rsid w:val="00403F96"/>
    <w:rsid w:val="004042DB"/>
    <w:rsid w:val="00404632"/>
    <w:rsid w:val="00404CE7"/>
    <w:rsid w:val="00405BE6"/>
    <w:rsid w:val="004064FE"/>
    <w:rsid w:val="004066D6"/>
    <w:rsid w:val="00407431"/>
    <w:rsid w:val="00410710"/>
    <w:rsid w:val="0041094C"/>
    <w:rsid w:val="00411CB8"/>
    <w:rsid w:val="00411DDC"/>
    <w:rsid w:val="00412A45"/>
    <w:rsid w:val="00412BD9"/>
    <w:rsid w:val="00412D07"/>
    <w:rsid w:val="00412F8F"/>
    <w:rsid w:val="004131AD"/>
    <w:rsid w:val="004136A1"/>
    <w:rsid w:val="00413C47"/>
    <w:rsid w:val="00414243"/>
    <w:rsid w:val="00414A15"/>
    <w:rsid w:val="00414ABF"/>
    <w:rsid w:val="00414B15"/>
    <w:rsid w:val="00414D3A"/>
    <w:rsid w:val="0041505E"/>
    <w:rsid w:val="00415098"/>
    <w:rsid w:val="00415771"/>
    <w:rsid w:val="00416193"/>
    <w:rsid w:val="0041632B"/>
    <w:rsid w:val="00416397"/>
    <w:rsid w:val="004175CD"/>
    <w:rsid w:val="00417B66"/>
    <w:rsid w:val="00417C8E"/>
    <w:rsid w:val="00420043"/>
    <w:rsid w:val="00420445"/>
    <w:rsid w:val="004205B3"/>
    <w:rsid w:val="0042089E"/>
    <w:rsid w:val="00421448"/>
    <w:rsid w:val="0042175C"/>
    <w:rsid w:val="004218CB"/>
    <w:rsid w:val="00421AE5"/>
    <w:rsid w:val="00421E08"/>
    <w:rsid w:val="004221B6"/>
    <w:rsid w:val="00422D06"/>
    <w:rsid w:val="00423290"/>
    <w:rsid w:val="004233B3"/>
    <w:rsid w:val="0042347F"/>
    <w:rsid w:val="004238F0"/>
    <w:rsid w:val="00423D11"/>
    <w:rsid w:val="00423FF0"/>
    <w:rsid w:val="00424C2D"/>
    <w:rsid w:val="00425014"/>
    <w:rsid w:val="004254AE"/>
    <w:rsid w:val="00425BAA"/>
    <w:rsid w:val="00426D3E"/>
    <w:rsid w:val="00430278"/>
    <w:rsid w:val="004305D4"/>
    <w:rsid w:val="00430F1D"/>
    <w:rsid w:val="00431190"/>
    <w:rsid w:val="004317F9"/>
    <w:rsid w:val="0043270E"/>
    <w:rsid w:val="0043299A"/>
    <w:rsid w:val="00432BEE"/>
    <w:rsid w:val="004334D9"/>
    <w:rsid w:val="00433729"/>
    <w:rsid w:val="00434336"/>
    <w:rsid w:val="0043472C"/>
    <w:rsid w:val="0043519B"/>
    <w:rsid w:val="004357F7"/>
    <w:rsid w:val="00436C29"/>
    <w:rsid w:val="00436FE4"/>
    <w:rsid w:val="00437689"/>
    <w:rsid w:val="00437902"/>
    <w:rsid w:val="004379AD"/>
    <w:rsid w:val="00437A2E"/>
    <w:rsid w:val="00437D19"/>
    <w:rsid w:val="0044076A"/>
    <w:rsid w:val="00440A71"/>
    <w:rsid w:val="00440E58"/>
    <w:rsid w:val="00440F95"/>
    <w:rsid w:val="00441191"/>
    <w:rsid w:val="004413E4"/>
    <w:rsid w:val="0044156E"/>
    <w:rsid w:val="00441848"/>
    <w:rsid w:val="004420AF"/>
    <w:rsid w:val="0044225D"/>
    <w:rsid w:val="004423DF"/>
    <w:rsid w:val="00443032"/>
    <w:rsid w:val="00443443"/>
    <w:rsid w:val="0044382A"/>
    <w:rsid w:val="00443949"/>
    <w:rsid w:val="00443C05"/>
    <w:rsid w:val="00444832"/>
    <w:rsid w:val="00444854"/>
    <w:rsid w:val="00444909"/>
    <w:rsid w:val="00445783"/>
    <w:rsid w:val="00446221"/>
    <w:rsid w:val="00446C80"/>
    <w:rsid w:val="00446FF8"/>
    <w:rsid w:val="004476A7"/>
    <w:rsid w:val="0044798F"/>
    <w:rsid w:val="00447B00"/>
    <w:rsid w:val="00450192"/>
    <w:rsid w:val="004502BA"/>
    <w:rsid w:val="004505F8"/>
    <w:rsid w:val="00450BE2"/>
    <w:rsid w:val="00450F0B"/>
    <w:rsid w:val="00451378"/>
    <w:rsid w:val="00451D5B"/>
    <w:rsid w:val="00451E4A"/>
    <w:rsid w:val="0045218B"/>
    <w:rsid w:val="00452318"/>
    <w:rsid w:val="004523A4"/>
    <w:rsid w:val="00452559"/>
    <w:rsid w:val="004528D2"/>
    <w:rsid w:val="00452BDA"/>
    <w:rsid w:val="0045313B"/>
    <w:rsid w:val="0045324D"/>
    <w:rsid w:val="00453835"/>
    <w:rsid w:val="00453B39"/>
    <w:rsid w:val="00453D50"/>
    <w:rsid w:val="004541FF"/>
    <w:rsid w:val="004555E5"/>
    <w:rsid w:val="00455704"/>
    <w:rsid w:val="00455A18"/>
    <w:rsid w:val="00455C05"/>
    <w:rsid w:val="004563AF"/>
    <w:rsid w:val="00456B6C"/>
    <w:rsid w:val="00456C16"/>
    <w:rsid w:val="00456D72"/>
    <w:rsid w:val="00457503"/>
    <w:rsid w:val="00457C80"/>
    <w:rsid w:val="00457E68"/>
    <w:rsid w:val="0046006F"/>
    <w:rsid w:val="0046040B"/>
    <w:rsid w:val="00460687"/>
    <w:rsid w:val="00461010"/>
    <w:rsid w:val="00461467"/>
    <w:rsid w:val="004617F4"/>
    <w:rsid w:val="00461BC3"/>
    <w:rsid w:val="00461BDC"/>
    <w:rsid w:val="004621FE"/>
    <w:rsid w:val="00462C92"/>
    <w:rsid w:val="0046306C"/>
    <w:rsid w:val="0046326E"/>
    <w:rsid w:val="00463B09"/>
    <w:rsid w:val="00463E5E"/>
    <w:rsid w:val="0046403D"/>
    <w:rsid w:val="0046417E"/>
    <w:rsid w:val="00464D6C"/>
    <w:rsid w:val="00464DC0"/>
    <w:rsid w:val="00464E56"/>
    <w:rsid w:val="004656AD"/>
    <w:rsid w:val="00465DFE"/>
    <w:rsid w:val="004660EA"/>
    <w:rsid w:val="004666F5"/>
    <w:rsid w:val="00466B44"/>
    <w:rsid w:val="00466FA7"/>
    <w:rsid w:val="00467297"/>
    <w:rsid w:val="00467834"/>
    <w:rsid w:val="00467C75"/>
    <w:rsid w:val="0047020D"/>
    <w:rsid w:val="00470A1F"/>
    <w:rsid w:val="00470ADE"/>
    <w:rsid w:val="00470C66"/>
    <w:rsid w:val="00470DD0"/>
    <w:rsid w:val="00470E5C"/>
    <w:rsid w:val="00472692"/>
    <w:rsid w:val="0047280B"/>
    <w:rsid w:val="0047371F"/>
    <w:rsid w:val="00473FD7"/>
    <w:rsid w:val="0047425E"/>
    <w:rsid w:val="00474C1C"/>
    <w:rsid w:val="00475654"/>
    <w:rsid w:val="00475FA1"/>
    <w:rsid w:val="00476250"/>
    <w:rsid w:val="00476CFB"/>
    <w:rsid w:val="00477441"/>
    <w:rsid w:val="004779D9"/>
    <w:rsid w:val="00477B72"/>
    <w:rsid w:val="0048021D"/>
    <w:rsid w:val="00480434"/>
    <w:rsid w:val="00480A9C"/>
    <w:rsid w:val="00481299"/>
    <w:rsid w:val="00481696"/>
    <w:rsid w:val="00482604"/>
    <w:rsid w:val="004826A3"/>
    <w:rsid w:val="004827C3"/>
    <w:rsid w:val="00482A3B"/>
    <w:rsid w:val="004837AA"/>
    <w:rsid w:val="004838C3"/>
    <w:rsid w:val="00483E99"/>
    <w:rsid w:val="00484F9A"/>
    <w:rsid w:val="0048522C"/>
    <w:rsid w:val="0048548D"/>
    <w:rsid w:val="00485900"/>
    <w:rsid w:val="00485B34"/>
    <w:rsid w:val="00485CB1"/>
    <w:rsid w:val="004867B9"/>
    <w:rsid w:val="00486AA2"/>
    <w:rsid w:val="00486F60"/>
    <w:rsid w:val="00487375"/>
    <w:rsid w:val="004879EE"/>
    <w:rsid w:val="004904BD"/>
    <w:rsid w:val="00490D8F"/>
    <w:rsid w:val="00491482"/>
    <w:rsid w:val="00491C48"/>
    <w:rsid w:val="00491E06"/>
    <w:rsid w:val="0049213C"/>
    <w:rsid w:val="004925A1"/>
    <w:rsid w:val="004927A0"/>
    <w:rsid w:val="00492930"/>
    <w:rsid w:val="00492B9C"/>
    <w:rsid w:val="00492E74"/>
    <w:rsid w:val="00493528"/>
    <w:rsid w:val="004935C0"/>
    <w:rsid w:val="00493F1C"/>
    <w:rsid w:val="00494608"/>
    <w:rsid w:val="00494B16"/>
    <w:rsid w:val="00494D52"/>
    <w:rsid w:val="00494FD7"/>
    <w:rsid w:val="004953B6"/>
    <w:rsid w:val="00496026"/>
    <w:rsid w:val="004961EC"/>
    <w:rsid w:val="00496AB7"/>
    <w:rsid w:val="00496AC1"/>
    <w:rsid w:val="00496B77"/>
    <w:rsid w:val="004974AD"/>
    <w:rsid w:val="00497667"/>
    <w:rsid w:val="00497D13"/>
    <w:rsid w:val="00497D33"/>
    <w:rsid w:val="004A0235"/>
    <w:rsid w:val="004A0ADD"/>
    <w:rsid w:val="004A0C76"/>
    <w:rsid w:val="004A0DB3"/>
    <w:rsid w:val="004A1078"/>
    <w:rsid w:val="004A1233"/>
    <w:rsid w:val="004A1725"/>
    <w:rsid w:val="004A1BA8"/>
    <w:rsid w:val="004A21F4"/>
    <w:rsid w:val="004A2CA9"/>
    <w:rsid w:val="004A31E9"/>
    <w:rsid w:val="004A3AF9"/>
    <w:rsid w:val="004A41CB"/>
    <w:rsid w:val="004A4673"/>
    <w:rsid w:val="004A4AF5"/>
    <w:rsid w:val="004A5560"/>
    <w:rsid w:val="004A5689"/>
    <w:rsid w:val="004A6A68"/>
    <w:rsid w:val="004A6B78"/>
    <w:rsid w:val="004A6E29"/>
    <w:rsid w:val="004A76A1"/>
    <w:rsid w:val="004A7D52"/>
    <w:rsid w:val="004B07DF"/>
    <w:rsid w:val="004B0AD8"/>
    <w:rsid w:val="004B0F26"/>
    <w:rsid w:val="004B25D9"/>
    <w:rsid w:val="004B2742"/>
    <w:rsid w:val="004B2ABF"/>
    <w:rsid w:val="004B2E60"/>
    <w:rsid w:val="004B3500"/>
    <w:rsid w:val="004B3D5C"/>
    <w:rsid w:val="004B4092"/>
    <w:rsid w:val="004B40D7"/>
    <w:rsid w:val="004B4192"/>
    <w:rsid w:val="004B46CA"/>
    <w:rsid w:val="004B48CE"/>
    <w:rsid w:val="004B5553"/>
    <w:rsid w:val="004B5FDA"/>
    <w:rsid w:val="004B61A5"/>
    <w:rsid w:val="004B6E5E"/>
    <w:rsid w:val="004B7281"/>
    <w:rsid w:val="004C0392"/>
    <w:rsid w:val="004C0469"/>
    <w:rsid w:val="004C0483"/>
    <w:rsid w:val="004C076A"/>
    <w:rsid w:val="004C08A0"/>
    <w:rsid w:val="004C09D0"/>
    <w:rsid w:val="004C0A58"/>
    <w:rsid w:val="004C0AB6"/>
    <w:rsid w:val="004C0C18"/>
    <w:rsid w:val="004C1221"/>
    <w:rsid w:val="004C146D"/>
    <w:rsid w:val="004C2156"/>
    <w:rsid w:val="004C2AC9"/>
    <w:rsid w:val="004C2BA4"/>
    <w:rsid w:val="004C2DA2"/>
    <w:rsid w:val="004C3573"/>
    <w:rsid w:val="004C3661"/>
    <w:rsid w:val="004C36E1"/>
    <w:rsid w:val="004C3B8C"/>
    <w:rsid w:val="004C3EDE"/>
    <w:rsid w:val="004C40C7"/>
    <w:rsid w:val="004C4189"/>
    <w:rsid w:val="004C4959"/>
    <w:rsid w:val="004C4C0C"/>
    <w:rsid w:val="004C4C23"/>
    <w:rsid w:val="004C4E36"/>
    <w:rsid w:val="004C5379"/>
    <w:rsid w:val="004C5EA3"/>
    <w:rsid w:val="004C6991"/>
    <w:rsid w:val="004C6B00"/>
    <w:rsid w:val="004C6B23"/>
    <w:rsid w:val="004C6BC7"/>
    <w:rsid w:val="004C7718"/>
    <w:rsid w:val="004C7B1A"/>
    <w:rsid w:val="004C7EB2"/>
    <w:rsid w:val="004D0241"/>
    <w:rsid w:val="004D0421"/>
    <w:rsid w:val="004D0A8E"/>
    <w:rsid w:val="004D0B8D"/>
    <w:rsid w:val="004D1154"/>
    <w:rsid w:val="004D26FF"/>
    <w:rsid w:val="004D2EB4"/>
    <w:rsid w:val="004D3193"/>
    <w:rsid w:val="004D3406"/>
    <w:rsid w:val="004D3796"/>
    <w:rsid w:val="004D38E1"/>
    <w:rsid w:val="004D3D5C"/>
    <w:rsid w:val="004D4EF7"/>
    <w:rsid w:val="004D4FE8"/>
    <w:rsid w:val="004D58CE"/>
    <w:rsid w:val="004D5955"/>
    <w:rsid w:val="004D6411"/>
    <w:rsid w:val="004D6A41"/>
    <w:rsid w:val="004D7280"/>
    <w:rsid w:val="004D72A8"/>
    <w:rsid w:val="004D7484"/>
    <w:rsid w:val="004E07C1"/>
    <w:rsid w:val="004E07C4"/>
    <w:rsid w:val="004E1577"/>
    <w:rsid w:val="004E1BEC"/>
    <w:rsid w:val="004E1DF2"/>
    <w:rsid w:val="004E1EC0"/>
    <w:rsid w:val="004E2588"/>
    <w:rsid w:val="004E2685"/>
    <w:rsid w:val="004E32F8"/>
    <w:rsid w:val="004E408D"/>
    <w:rsid w:val="004E42B9"/>
    <w:rsid w:val="004E4693"/>
    <w:rsid w:val="004E474A"/>
    <w:rsid w:val="004E4964"/>
    <w:rsid w:val="004E5A47"/>
    <w:rsid w:val="004E5B5E"/>
    <w:rsid w:val="004E5B8C"/>
    <w:rsid w:val="004E647E"/>
    <w:rsid w:val="004E7035"/>
    <w:rsid w:val="004E7150"/>
    <w:rsid w:val="004E71C3"/>
    <w:rsid w:val="004E725A"/>
    <w:rsid w:val="004E779A"/>
    <w:rsid w:val="004E7A68"/>
    <w:rsid w:val="004E7B81"/>
    <w:rsid w:val="004E7C4E"/>
    <w:rsid w:val="004F06A4"/>
    <w:rsid w:val="004F088C"/>
    <w:rsid w:val="004F0C9A"/>
    <w:rsid w:val="004F0D80"/>
    <w:rsid w:val="004F187D"/>
    <w:rsid w:val="004F1CE3"/>
    <w:rsid w:val="004F2686"/>
    <w:rsid w:val="004F3124"/>
    <w:rsid w:val="004F4EFD"/>
    <w:rsid w:val="004F54B3"/>
    <w:rsid w:val="004F566B"/>
    <w:rsid w:val="004F5D1D"/>
    <w:rsid w:val="004F5F98"/>
    <w:rsid w:val="004F6F8B"/>
    <w:rsid w:val="004F7254"/>
    <w:rsid w:val="004F7D98"/>
    <w:rsid w:val="00500C69"/>
    <w:rsid w:val="0050124D"/>
    <w:rsid w:val="005012C0"/>
    <w:rsid w:val="005014F5"/>
    <w:rsid w:val="0050184D"/>
    <w:rsid w:val="00502D63"/>
    <w:rsid w:val="00502D8D"/>
    <w:rsid w:val="00503447"/>
    <w:rsid w:val="00503750"/>
    <w:rsid w:val="00503941"/>
    <w:rsid w:val="00503952"/>
    <w:rsid w:val="00503C3B"/>
    <w:rsid w:val="00503D82"/>
    <w:rsid w:val="0050428D"/>
    <w:rsid w:val="00504691"/>
    <w:rsid w:val="005056D7"/>
    <w:rsid w:val="00505A53"/>
    <w:rsid w:val="00505A94"/>
    <w:rsid w:val="00505B30"/>
    <w:rsid w:val="00505EF8"/>
    <w:rsid w:val="0050623D"/>
    <w:rsid w:val="00506378"/>
    <w:rsid w:val="0050734A"/>
    <w:rsid w:val="00510023"/>
    <w:rsid w:val="00510863"/>
    <w:rsid w:val="00510E6B"/>
    <w:rsid w:val="005113AD"/>
    <w:rsid w:val="00512231"/>
    <w:rsid w:val="00512413"/>
    <w:rsid w:val="00512816"/>
    <w:rsid w:val="005129BD"/>
    <w:rsid w:val="00512C66"/>
    <w:rsid w:val="00512CF1"/>
    <w:rsid w:val="0051323B"/>
    <w:rsid w:val="0051333D"/>
    <w:rsid w:val="0051386E"/>
    <w:rsid w:val="005138EB"/>
    <w:rsid w:val="00513B71"/>
    <w:rsid w:val="0051468D"/>
    <w:rsid w:val="00514801"/>
    <w:rsid w:val="0051494D"/>
    <w:rsid w:val="00514C6C"/>
    <w:rsid w:val="00514F96"/>
    <w:rsid w:val="0051518E"/>
    <w:rsid w:val="005152BC"/>
    <w:rsid w:val="0051542A"/>
    <w:rsid w:val="00516FD6"/>
    <w:rsid w:val="00517A19"/>
    <w:rsid w:val="00517CE5"/>
    <w:rsid w:val="005207E0"/>
    <w:rsid w:val="00521127"/>
    <w:rsid w:val="005211B2"/>
    <w:rsid w:val="005227A3"/>
    <w:rsid w:val="00522C42"/>
    <w:rsid w:val="00522D42"/>
    <w:rsid w:val="00522F55"/>
    <w:rsid w:val="00523154"/>
    <w:rsid w:val="00523275"/>
    <w:rsid w:val="00523A52"/>
    <w:rsid w:val="00524F8D"/>
    <w:rsid w:val="00525331"/>
    <w:rsid w:val="00525945"/>
    <w:rsid w:val="00525B84"/>
    <w:rsid w:val="005260F5"/>
    <w:rsid w:val="00526192"/>
    <w:rsid w:val="005262A9"/>
    <w:rsid w:val="005262E4"/>
    <w:rsid w:val="005264BD"/>
    <w:rsid w:val="00526E20"/>
    <w:rsid w:val="00527595"/>
    <w:rsid w:val="005276F9"/>
    <w:rsid w:val="0052771A"/>
    <w:rsid w:val="00530B59"/>
    <w:rsid w:val="00530E88"/>
    <w:rsid w:val="0053112F"/>
    <w:rsid w:val="00531385"/>
    <w:rsid w:val="00531952"/>
    <w:rsid w:val="00531B8F"/>
    <w:rsid w:val="00532291"/>
    <w:rsid w:val="00532930"/>
    <w:rsid w:val="00532984"/>
    <w:rsid w:val="00533040"/>
    <w:rsid w:val="00533E8B"/>
    <w:rsid w:val="00534559"/>
    <w:rsid w:val="00534BFA"/>
    <w:rsid w:val="005356ED"/>
    <w:rsid w:val="005359B5"/>
    <w:rsid w:val="005366E4"/>
    <w:rsid w:val="00536AE4"/>
    <w:rsid w:val="00536F52"/>
    <w:rsid w:val="0053761C"/>
    <w:rsid w:val="005378B0"/>
    <w:rsid w:val="00537EB3"/>
    <w:rsid w:val="00537EFC"/>
    <w:rsid w:val="005402D7"/>
    <w:rsid w:val="0054056E"/>
    <w:rsid w:val="00540573"/>
    <w:rsid w:val="00540E91"/>
    <w:rsid w:val="00541BA8"/>
    <w:rsid w:val="00541CE2"/>
    <w:rsid w:val="00541D5C"/>
    <w:rsid w:val="005422D6"/>
    <w:rsid w:val="00542554"/>
    <w:rsid w:val="00542591"/>
    <w:rsid w:val="00542D05"/>
    <w:rsid w:val="00543AD9"/>
    <w:rsid w:val="00543CEA"/>
    <w:rsid w:val="0054437F"/>
    <w:rsid w:val="005446DE"/>
    <w:rsid w:val="00544718"/>
    <w:rsid w:val="00544765"/>
    <w:rsid w:val="00544956"/>
    <w:rsid w:val="00544FA1"/>
    <w:rsid w:val="005460EA"/>
    <w:rsid w:val="005467F0"/>
    <w:rsid w:val="0054695B"/>
    <w:rsid w:val="00546F15"/>
    <w:rsid w:val="005477A2"/>
    <w:rsid w:val="00547E02"/>
    <w:rsid w:val="00550320"/>
    <w:rsid w:val="005504A5"/>
    <w:rsid w:val="00550A50"/>
    <w:rsid w:val="00550E46"/>
    <w:rsid w:val="00551243"/>
    <w:rsid w:val="00551769"/>
    <w:rsid w:val="0055195E"/>
    <w:rsid w:val="005519B7"/>
    <w:rsid w:val="00551C9A"/>
    <w:rsid w:val="0055235B"/>
    <w:rsid w:val="0055236D"/>
    <w:rsid w:val="0055262E"/>
    <w:rsid w:val="005538F6"/>
    <w:rsid w:val="00553974"/>
    <w:rsid w:val="00554650"/>
    <w:rsid w:val="00554842"/>
    <w:rsid w:val="00554FF2"/>
    <w:rsid w:val="0055560D"/>
    <w:rsid w:val="005559E9"/>
    <w:rsid w:val="00555A4F"/>
    <w:rsid w:val="005567F5"/>
    <w:rsid w:val="005570BE"/>
    <w:rsid w:val="0055766C"/>
    <w:rsid w:val="0055791A"/>
    <w:rsid w:val="00557940"/>
    <w:rsid w:val="00557D62"/>
    <w:rsid w:val="00557EF0"/>
    <w:rsid w:val="005607B9"/>
    <w:rsid w:val="00560B85"/>
    <w:rsid w:val="005611F7"/>
    <w:rsid w:val="00561407"/>
    <w:rsid w:val="0056176F"/>
    <w:rsid w:val="0056233B"/>
    <w:rsid w:val="00562A51"/>
    <w:rsid w:val="00562B73"/>
    <w:rsid w:val="00562CE3"/>
    <w:rsid w:val="00562D96"/>
    <w:rsid w:val="00563B57"/>
    <w:rsid w:val="005642F4"/>
    <w:rsid w:val="00564313"/>
    <w:rsid w:val="00564978"/>
    <w:rsid w:val="00564CC4"/>
    <w:rsid w:val="00564EBB"/>
    <w:rsid w:val="0056556D"/>
    <w:rsid w:val="00565D6A"/>
    <w:rsid w:val="00566A8C"/>
    <w:rsid w:val="00566C7E"/>
    <w:rsid w:val="00566CEF"/>
    <w:rsid w:val="0056717F"/>
    <w:rsid w:val="00567B17"/>
    <w:rsid w:val="00567F19"/>
    <w:rsid w:val="00570093"/>
    <w:rsid w:val="00570B82"/>
    <w:rsid w:val="00570E53"/>
    <w:rsid w:val="00570FDB"/>
    <w:rsid w:val="005718A0"/>
    <w:rsid w:val="005720E6"/>
    <w:rsid w:val="005724C3"/>
    <w:rsid w:val="005725D5"/>
    <w:rsid w:val="005729C7"/>
    <w:rsid w:val="00572E82"/>
    <w:rsid w:val="00572F77"/>
    <w:rsid w:val="00572FA9"/>
    <w:rsid w:val="0057357B"/>
    <w:rsid w:val="00573718"/>
    <w:rsid w:val="00574EA9"/>
    <w:rsid w:val="00575289"/>
    <w:rsid w:val="005753A1"/>
    <w:rsid w:val="005760AF"/>
    <w:rsid w:val="005766A2"/>
    <w:rsid w:val="00576987"/>
    <w:rsid w:val="00576FA1"/>
    <w:rsid w:val="005774CE"/>
    <w:rsid w:val="00577A7B"/>
    <w:rsid w:val="00577ACD"/>
    <w:rsid w:val="00577FA4"/>
    <w:rsid w:val="00580127"/>
    <w:rsid w:val="00580972"/>
    <w:rsid w:val="00580B39"/>
    <w:rsid w:val="00580F6C"/>
    <w:rsid w:val="005812A5"/>
    <w:rsid w:val="00581DBF"/>
    <w:rsid w:val="00582527"/>
    <w:rsid w:val="0058326E"/>
    <w:rsid w:val="00583329"/>
    <w:rsid w:val="005834B1"/>
    <w:rsid w:val="005834D3"/>
    <w:rsid w:val="0058352B"/>
    <w:rsid w:val="0058366E"/>
    <w:rsid w:val="005838B7"/>
    <w:rsid w:val="00583A24"/>
    <w:rsid w:val="00583A41"/>
    <w:rsid w:val="00583E59"/>
    <w:rsid w:val="00584737"/>
    <w:rsid w:val="00585028"/>
    <w:rsid w:val="005852F8"/>
    <w:rsid w:val="00585DF1"/>
    <w:rsid w:val="00586B32"/>
    <w:rsid w:val="00587679"/>
    <w:rsid w:val="0058792F"/>
    <w:rsid w:val="0059015E"/>
    <w:rsid w:val="00590661"/>
    <w:rsid w:val="005911B8"/>
    <w:rsid w:val="00591212"/>
    <w:rsid w:val="00591271"/>
    <w:rsid w:val="005912A9"/>
    <w:rsid w:val="005912B4"/>
    <w:rsid w:val="005919CC"/>
    <w:rsid w:val="00591F58"/>
    <w:rsid w:val="005923E7"/>
    <w:rsid w:val="00592611"/>
    <w:rsid w:val="005926FF"/>
    <w:rsid w:val="005927B6"/>
    <w:rsid w:val="00592C80"/>
    <w:rsid w:val="00592ED9"/>
    <w:rsid w:val="00592FDE"/>
    <w:rsid w:val="00592FE6"/>
    <w:rsid w:val="005931E4"/>
    <w:rsid w:val="00593A13"/>
    <w:rsid w:val="005954D3"/>
    <w:rsid w:val="00595AF1"/>
    <w:rsid w:val="00596199"/>
    <w:rsid w:val="005972F4"/>
    <w:rsid w:val="005A00B2"/>
    <w:rsid w:val="005A0BC1"/>
    <w:rsid w:val="005A0D2C"/>
    <w:rsid w:val="005A2069"/>
    <w:rsid w:val="005A2749"/>
    <w:rsid w:val="005A2B90"/>
    <w:rsid w:val="005A2D77"/>
    <w:rsid w:val="005A2E40"/>
    <w:rsid w:val="005A3592"/>
    <w:rsid w:val="005A3889"/>
    <w:rsid w:val="005A38A2"/>
    <w:rsid w:val="005A39D0"/>
    <w:rsid w:val="005A3D43"/>
    <w:rsid w:val="005A4010"/>
    <w:rsid w:val="005A4CC6"/>
    <w:rsid w:val="005A4E73"/>
    <w:rsid w:val="005A564F"/>
    <w:rsid w:val="005A59DA"/>
    <w:rsid w:val="005A5E5B"/>
    <w:rsid w:val="005A75D8"/>
    <w:rsid w:val="005A7634"/>
    <w:rsid w:val="005A7722"/>
    <w:rsid w:val="005B009E"/>
    <w:rsid w:val="005B0659"/>
    <w:rsid w:val="005B0933"/>
    <w:rsid w:val="005B0A49"/>
    <w:rsid w:val="005B0F48"/>
    <w:rsid w:val="005B144C"/>
    <w:rsid w:val="005B1BC4"/>
    <w:rsid w:val="005B1D52"/>
    <w:rsid w:val="005B2672"/>
    <w:rsid w:val="005B2922"/>
    <w:rsid w:val="005B2F76"/>
    <w:rsid w:val="005B3624"/>
    <w:rsid w:val="005B37BD"/>
    <w:rsid w:val="005B3903"/>
    <w:rsid w:val="005B39D4"/>
    <w:rsid w:val="005B3F14"/>
    <w:rsid w:val="005B4015"/>
    <w:rsid w:val="005B4B4D"/>
    <w:rsid w:val="005B4E81"/>
    <w:rsid w:val="005B56E2"/>
    <w:rsid w:val="005B57A3"/>
    <w:rsid w:val="005B5A51"/>
    <w:rsid w:val="005B5EE5"/>
    <w:rsid w:val="005B665B"/>
    <w:rsid w:val="005B69B1"/>
    <w:rsid w:val="005B6B89"/>
    <w:rsid w:val="005B6F8E"/>
    <w:rsid w:val="005B7EC4"/>
    <w:rsid w:val="005C02EC"/>
    <w:rsid w:val="005C0398"/>
    <w:rsid w:val="005C0588"/>
    <w:rsid w:val="005C0ABE"/>
    <w:rsid w:val="005C0D9C"/>
    <w:rsid w:val="005C105E"/>
    <w:rsid w:val="005C1082"/>
    <w:rsid w:val="005C1434"/>
    <w:rsid w:val="005C20F3"/>
    <w:rsid w:val="005C2219"/>
    <w:rsid w:val="005C2A50"/>
    <w:rsid w:val="005C316E"/>
    <w:rsid w:val="005C3502"/>
    <w:rsid w:val="005C4F27"/>
    <w:rsid w:val="005C5203"/>
    <w:rsid w:val="005C560C"/>
    <w:rsid w:val="005C5697"/>
    <w:rsid w:val="005C7158"/>
    <w:rsid w:val="005C73A5"/>
    <w:rsid w:val="005C75C9"/>
    <w:rsid w:val="005D0527"/>
    <w:rsid w:val="005D08B8"/>
    <w:rsid w:val="005D0D84"/>
    <w:rsid w:val="005D1278"/>
    <w:rsid w:val="005D1A73"/>
    <w:rsid w:val="005D1D64"/>
    <w:rsid w:val="005D1E12"/>
    <w:rsid w:val="005D3FB1"/>
    <w:rsid w:val="005D4151"/>
    <w:rsid w:val="005D4436"/>
    <w:rsid w:val="005D44ED"/>
    <w:rsid w:val="005D5494"/>
    <w:rsid w:val="005D6267"/>
    <w:rsid w:val="005D6B54"/>
    <w:rsid w:val="005D6FF9"/>
    <w:rsid w:val="005D77BD"/>
    <w:rsid w:val="005E0230"/>
    <w:rsid w:val="005E04B5"/>
    <w:rsid w:val="005E05E5"/>
    <w:rsid w:val="005E0A06"/>
    <w:rsid w:val="005E0AB8"/>
    <w:rsid w:val="005E163F"/>
    <w:rsid w:val="005E199B"/>
    <w:rsid w:val="005E1DE6"/>
    <w:rsid w:val="005E1E7B"/>
    <w:rsid w:val="005E2246"/>
    <w:rsid w:val="005E2660"/>
    <w:rsid w:val="005E273B"/>
    <w:rsid w:val="005E30C8"/>
    <w:rsid w:val="005E44FA"/>
    <w:rsid w:val="005E553C"/>
    <w:rsid w:val="005E687F"/>
    <w:rsid w:val="005E76E5"/>
    <w:rsid w:val="005E7720"/>
    <w:rsid w:val="005E7C04"/>
    <w:rsid w:val="005F061D"/>
    <w:rsid w:val="005F0C85"/>
    <w:rsid w:val="005F0CDE"/>
    <w:rsid w:val="005F0E66"/>
    <w:rsid w:val="005F0FFB"/>
    <w:rsid w:val="005F1E84"/>
    <w:rsid w:val="005F20B1"/>
    <w:rsid w:val="005F2181"/>
    <w:rsid w:val="005F282D"/>
    <w:rsid w:val="005F2A54"/>
    <w:rsid w:val="005F2C28"/>
    <w:rsid w:val="005F3755"/>
    <w:rsid w:val="005F37A5"/>
    <w:rsid w:val="005F3A3D"/>
    <w:rsid w:val="005F3C9F"/>
    <w:rsid w:val="005F4C42"/>
    <w:rsid w:val="005F4CA5"/>
    <w:rsid w:val="005F4D3E"/>
    <w:rsid w:val="005F5119"/>
    <w:rsid w:val="005F543F"/>
    <w:rsid w:val="005F5D8A"/>
    <w:rsid w:val="005F5D8E"/>
    <w:rsid w:val="005F5E17"/>
    <w:rsid w:val="005F5E1D"/>
    <w:rsid w:val="005F63B8"/>
    <w:rsid w:val="005F63C4"/>
    <w:rsid w:val="005F6C7F"/>
    <w:rsid w:val="005F7203"/>
    <w:rsid w:val="005F7485"/>
    <w:rsid w:val="005F7753"/>
    <w:rsid w:val="00600A55"/>
    <w:rsid w:val="00600DDB"/>
    <w:rsid w:val="00600F1B"/>
    <w:rsid w:val="0060117A"/>
    <w:rsid w:val="00601769"/>
    <w:rsid w:val="006018D6"/>
    <w:rsid w:val="00601D92"/>
    <w:rsid w:val="00601E41"/>
    <w:rsid w:val="00601FBE"/>
    <w:rsid w:val="00602593"/>
    <w:rsid w:val="00602760"/>
    <w:rsid w:val="0060284B"/>
    <w:rsid w:val="006037AB"/>
    <w:rsid w:val="00603808"/>
    <w:rsid w:val="00603E57"/>
    <w:rsid w:val="0060510F"/>
    <w:rsid w:val="00605650"/>
    <w:rsid w:val="00605893"/>
    <w:rsid w:val="006061D6"/>
    <w:rsid w:val="00606E5D"/>
    <w:rsid w:val="00607113"/>
    <w:rsid w:val="0060739B"/>
    <w:rsid w:val="00607473"/>
    <w:rsid w:val="00607693"/>
    <w:rsid w:val="00607D7B"/>
    <w:rsid w:val="006101EC"/>
    <w:rsid w:val="00610D3B"/>
    <w:rsid w:val="006110B9"/>
    <w:rsid w:val="00612F76"/>
    <w:rsid w:val="006134F1"/>
    <w:rsid w:val="006136B6"/>
    <w:rsid w:val="006138C2"/>
    <w:rsid w:val="0061444E"/>
    <w:rsid w:val="0061463F"/>
    <w:rsid w:val="00614EF9"/>
    <w:rsid w:val="006165E7"/>
    <w:rsid w:val="0061681B"/>
    <w:rsid w:val="00616AF2"/>
    <w:rsid w:val="00616F79"/>
    <w:rsid w:val="006177A1"/>
    <w:rsid w:val="00617A2C"/>
    <w:rsid w:val="0062001B"/>
    <w:rsid w:val="00620E19"/>
    <w:rsid w:val="0062143E"/>
    <w:rsid w:val="00621EC9"/>
    <w:rsid w:val="0062268C"/>
    <w:rsid w:val="006229AA"/>
    <w:rsid w:val="00622F5C"/>
    <w:rsid w:val="006235C4"/>
    <w:rsid w:val="006235D8"/>
    <w:rsid w:val="0062383D"/>
    <w:rsid w:val="00623A07"/>
    <w:rsid w:val="00624315"/>
    <w:rsid w:val="006245D7"/>
    <w:rsid w:val="00624D07"/>
    <w:rsid w:val="00625527"/>
    <w:rsid w:val="00625684"/>
    <w:rsid w:val="00625B88"/>
    <w:rsid w:val="00625CFB"/>
    <w:rsid w:val="00625E35"/>
    <w:rsid w:val="00626E5C"/>
    <w:rsid w:val="0062715B"/>
    <w:rsid w:val="00627DAF"/>
    <w:rsid w:val="00630BAC"/>
    <w:rsid w:val="00630BDC"/>
    <w:rsid w:val="0063110C"/>
    <w:rsid w:val="006311CE"/>
    <w:rsid w:val="006312D5"/>
    <w:rsid w:val="00631481"/>
    <w:rsid w:val="00631FF2"/>
    <w:rsid w:val="0063224C"/>
    <w:rsid w:val="00632EAC"/>
    <w:rsid w:val="00632F91"/>
    <w:rsid w:val="00633063"/>
    <w:rsid w:val="0063346C"/>
    <w:rsid w:val="00633E0D"/>
    <w:rsid w:val="0063422C"/>
    <w:rsid w:val="006344F8"/>
    <w:rsid w:val="0063489F"/>
    <w:rsid w:val="006348B6"/>
    <w:rsid w:val="006348B8"/>
    <w:rsid w:val="00634A5D"/>
    <w:rsid w:val="00635682"/>
    <w:rsid w:val="006358AE"/>
    <w:rsid w:val="00635A2D"/>
    <w:rsid w:val="0063668C"/>
    <w:rsid w:val="006368F7"/>
    <w:rsid w:val="0063690C"/>
    <w:rsid w:val="00636944"/>
    <w:rsid w:val="00636B55"/>
    <w:rsid w:val="00636C61"/>
    <w:rsid w:val="00636D06"/>
    <w:rsid w:val="006373ED"/>
    <w:rsid w:val="00637493"/>
    <w:rsid w:val="00637967"/>
    <w:rsid w:val="00637B66"/>
    <w:rsid w:val="00637E06"/>
    <w:rsid w:val="00640589"/>
    <w:rsid w:val="006417AE"/>
    <w:rsid w:val="00641AEE"/>
    <w:rsid w:val="00641F85"/>
    <w:rsid w:val="006422FD"/>
    <w:rsid w:val="00642731"/>
    <w:rsid w:val="00642870"/>
    <w:rsid w:val="00642DCD"/>
    <w:rsid w:val="00642EEE"/>
    <w:rsid w:val="0064353B"/>
    <w:rsid w:val="0064383B"/>
    <w:rsid w:val="00643891"/>
    <w:rsid w:val="00643A2A"/>
    <w:rsid w:val="00644499"/>
    <w:rsid w:val="0064482E"/>
    <w:rsid w:val="0064489E"/>
    <w:rsid w:val="0064535F"/>
    <w:rsid w:val="00645876"/>
    <w:rsid w:val="00645B8A"/>
    <w:rsid w:val="006460AD"/>
    <w:rsid w:val="006461CE"/>
    <w:rsid w:val="006462DB"/>
    <w:rsid w:val="006468BB"/>
    <w:rsid w:val="0064760B"/>
    <w:rsid w:val="00647767"/>
    <w:rsid w:val="006501C2"/>
    <w:rsid w:val="00650EAA"/>
    <w:rsid w:val="00651C20"/>
    <w:rsid w:val="0065276A"/>
    <w:rsid w:val="00652998"/>
    <w:rsid w:val="00652B7E"/>
    <w:rsid w:val="00652C65"/>
    <w:rsid w:val="00652FC8"/>
    <w:rsid w:val="006535F0"/>
    <w:rsid w:val="00653C04"/>
    <w:rsid w:val="00653C60"/>
    <w:rsid w:val="00654441"/>
    <w:rsid w:val="00655A73"/>
    <w:rsid w:val="00655C7B"/>
    <w:rsid w:val="00655EA0"/>
    <w:rsid w:val="00656CDB"/>
    <w:rsid w:val="00656DD1"/>
    <w:rsid w:val="0065746D"/>
    <w:rsid w:val="00657DF3"/>
    <w:rsid w:val="006601FE"/>
    <w:rsid w:val="00660347"/>
    <w:rsid w:val="00661D41"/>
    <w:rsid w:val="00661FEB"/>
    <w:rsid w:val="0066205D"/>
    <w:rsid w:val="00663026"/>
    <w:rsid w:val="00663112"/>
    <w:rsid w:val="00663CAD"/>
    <w:rsid w:val="00664453"/>
    <w:rsid w:val="00664ADF"/>
    <w:rsid w:val="006655F7"/>
    <w:rsid w:val="006656B4"/>
    <w:rsid w:val="00665C19"/>
    <w:rsid w:val="00665E03"/>
    <w:rsid w:val="006660AE"/>
    <w:rsid w:val="00666223"/>
    <w:rsid w:val="00666533"/>
    <w:rsid w:val="00666B65"/>
    <w:rsid w:val="00666C65"/>
    <w:rsid w:val="00666EC5"/>
    <w:rsid w:val="00666F3C"/>
    <w:rsid w:val="00667772"/>
    <w:rsid w:val="0066790E"/>
    <w:rsid w:val="00667BEF"/>
    <w:rsid w:val="006702D2"/>
    <w:rsid w:val="00670891"/>
    <w:rsid w:val="00670F52"/>
    <w:rsid w:val="006717D6"/>
    <w:rsid w:val="00671F70"/>
    <w:rsid w:val="00672956"/>
    <w:rsid w:val="006734B0"/>
    <w:rsid w:val="0067366E"/>
    <w:rsid w:val="0067381A"/>
    <w:rsid w:val="00673FFD"/>
    <w:rsid w:val="00674444"/>
    <w:rsid w:val="00674788"/>
    <w:rsid w:val="006753D6"/>
    <w:rsid w:val="0067564A"/>
    <w:rsid w:val="00675842"/>
    <w:rsid w:val="00675E5A"/>
    <w:rsid w:val="00675E97"/>
    <w:rsid w:val="00675EE3"/>
    <w:rsid w:val="00675FD2"/>
    <w:rsid w:val="00676869"/>
    <w:rsid w:val="00676E77"/>
    <w:rsid w:val="00677307"/>
    <w:rsid w:val="00677DFC"/>
    <w:rsid w:val="00677F37"/>
    <w:rsid w:val="0068064E"/>
    <w:rsid w:val="00680A9F"/>
    <w:rsid w:val="00680DEA"/>
    <w:rsid w:val="006811F6"/>
    <w:rsid w:val="0068148F"/>
    <w:rsid w:val="0068158B"/>
    <w:rsid w:val="00681B0D"/>
    <w:rsid w:val="00681C95"/>
    <w:rsid w:val="006823EA"/>
    <w:rsid w:val="00682A8B"/>
    <w:rsid w:val="00682AAD"/>
    <w:rsid w:val="00682D13"/>
    <w:rsid w:val="006832E6"/>
    <w:rsid w:val="0068424C"/>
    <w:rsid w:val="0068429C"/>
    <w:rsid w:val="00684A34"/>
    <w:rsid w:val="00684A66"/>
    <w:rsid w:val="00684E7E"/>
    <w:rsid w:val="006854E7"/>
    <w:rsid w:val="006854F4"/>
    <w:rsid w:val="00686280"/>
    <w:rsid w:val="00686BAF"/>
    <w:rsid w:val="00686C5D"/>
    <w:rsid w:val="00686E78"/>
    <w:rsid w:val="00687035"/>
    <w:rsid w:val="00687072"/>
    <w:rsid w:val="006873EA"/>
    <w:rsid w:val="00687651"/>
    <w:rsid w:val="00687738"/>
    <w:rsid w:val="00687815"/>
    <w:rsid w:val="006879AF"/>
    <w:rsid w:val="00687BE2"/>
    <w:rsid w:val="00687F8E"/>
    <w:rsid w:val="0069058A"/>
    <w:rsid w:val="00691238"/>
    <w:rsid w:val="006912FA"/>
    <w:rsid w:val="00691AF7"/>
    <w:rsid w:val="00692D9C"/>
    <w:rsid w:val="00693110"/>
    <w:rsid w:val="00693626"/>
    <w:rsid w:val="00693C56"/>
    <w:rsid w:val="00693EC7"/>
    <w:rsid w:val="00694496"/>
    <w:rsid w:val="00694B7F"/>
    <w:rsid w:val="00695257"/>
    <w:rsid w:val="00695D02"/>
    <w:rsid w:val="00695DC0"/>
    <w:rsid w:val="0069657D"/>
    <w:rsid w:val="00696759"/>
    <w:rsid w:val="00696A2A"/>
    <w:rsid w:val="0069771F"/>
    <w:rsid w:val="006A0491"/>
    <w:rsid w:val="006A0578"/>
    <w:rsid w:val="006A136B"/>
    <w:rsid w:val="006A154D"/>
    <w:rsid w:val="006A1850"/>
    <w:rsid w:val="006A190C"/>
    <w:rsid w:val="006A24D4"/>
    <w:rsid w:val="006A3864"/>
    <w:rsid w:val="006A4674"/>
    <w:rsid w:val="006A4744"/>
    <w:rsid w:val="006A4F47"/>
    <w:rsid w:val="006A6CF0"/>
    <w:rsid w:val="006A7130"/>
    <w:rsid w:val="006A716E"/>
    <w:rsid w:val="006A7430"/>
    <w:rsid w:val="006A7B8E"/>
    <w:rsid w:val="006B0092"/>
    <w:rsid w:val="006B123D"/>
    <w:rsid w:val="006B1452"/>
    <w:rsid w:val="006B1790"/>
    <w:rsid w:val="006B1946"/>
    <w:rsid w:val="006B1DAC"/>
    <w:rsid w:val="006B1DC1"/>
    <w:rsid w:val="006B285F"/>
    <w:rsid w:val="006B2898"/>
    <w:rsid w:val="006B34BF"/>
    <w:rsid w:val="006B3797"/>
    <w:rsid w:val="006B3A09"/>
    <w:rsid w:val="006B475E"/>
    <w:rsid w:val="006B4CBD"/>
    <w:rsid w:val="006B5CC1"/>
    <w:rsid w:val="006B5DE6"/>
    <w:rsid w:val="006B5E01"/>
    <w:rsid w:val="006B609B"/>
    <w:rsid w:val="006B6130"/>
    <w:rsid w:val="006B696C"/>
    <w:rsid w:val="006B6E06"/>
    <w:rsid w:val="006B6F29"/>
    <w:rsid w:val="006B787F"/>
    <w:rsid w:val="006B79FC"/>
    <w:rsid w:val="006B7C1E"/>
    <w:rsid w:val="006C155E"/>
    <w:rsid w:val="006C2094"/>
    <w:rsid w:val="006C21CD"/>
    <w:rsid w:val="006C2237"/>
    <w:rsid w:val="006C2365"/>
    <w:rsid w:val="006C2486"/>
    <w:rsid w:val="006C25E5"/>
    <w:rsid w:val="006C2925"/>
    <w:rsid w:val="006C2F3A"/>
    <w:rsid w:val="006C3AEA"/>
    <w:rsid w:val="006C3DC4"/>
    <w:rsid w:val="006C4B12"/>
    <w:rsid w:val="006C52BD"/>
    <w:rsid w:val="006C53E6"/>
    <w:rsid w:val="006C5591"/>
    <w:rsid w:val="006C56D2"/>
    <w:rsid w:val="006C5943"/>
    <w:rsid w:val="006C5B48"/>
    <w:rsid w:val="006C632D"/>
    <w:rsid w:val="006C6585"/>
    <w:rsid w:val="006C664B"/>
    <w:rsid w:val="006C664D"/>
    <w:rsid w:val="006C6EEA"/>
    <w:rsid w:val="006C711A"/>
    <w:rsid w:val="006C7215"/>
    <w:rsid w:val="006C73B3"/>
    <w:rsid w:val="006C75E1"/>
    <w:rsid w:val="006C7992"/>
    <w:rsid w:val="006C7CE8"/>
    <w:rsid w:val="006C7D39"/>
    <w:rsid w:val="006C7E01"/>
    <w:rsid w:val="006C7E76"/>
    <w:rsid w:val="006D024A"/>
    <w:rsid w:val="006D0746"/>
    <w:rsid w:val="006D07EA"/>
    <w:rsid w:val="006D0A26"/>
    <w:rsid w:val="006D0AFA"/>
    <w:rsid w:val="006D0E1E"/>
    <w:rsid w:val="006D11E2"/>
    <w:rsid w:val="006D1761"/>
    <w:rsid w:val="006D17D9"/>
    <w:rsid w:val="006D1CC1"/>
    <w:rsid w:val="006D2DDC"/>
    <w:rsid w:val="006D3077"/>
    <w:rsid w:val="006D3446"/>
    <w:rsid w:val="006D3A1F"/>
    <w:rsid w:val="006D4195"/>
    <w:rsid w:val="006D432B"/>
    <w:rsid w:val="006D460E"/>
    <w:rsid w:val="006D47C3"/>
    <w:rsid w:val="006D5136"/>
    <w:rsid w:val="006D568B"/>
    <w:rsid w:val="006D5E9E"/>
    <w:rsid w:val="006D5F7B"/>
    <w:rsid w:val="006D5FB1"/>
    <w:rsid w:val="006D6507"/>
    <w:rsid w:val="006D669D"/>
    <w:rsid w:val="006D700C"/>
    <w:rsid w:val="006D7B49"/>
    <w:rsid w:val="006E0102"/>
    <w:rsid w:val="006E0E9F"/>
    <w:rsid w:val="006E1172"/>
    <w:rsid w:val="006E18E3"/>
    <w:rsid w:val="006E1AFD"/>
    <w:rsid w:val="006E21E6"/>
    <w:rsid w:val="006E2276"/>
    <w:rsid w:val="006E2678"/>
    <w:rsid w:val="006E318F"/>
    <w:rsid w:val="006E31DE"/>
    <w:rsid w:val="006E3703"/>
    <w:rsid w:val="006E3CD7"/>
    <w:rsid w:val="006E4676"/>
    <w:rsid w:val="006E4B7F"/>
    <w:rsid w:val="006E52AF"/>
    <w:rsid w:val="006E5D2E"/>
    <w:rsid w:val="006E61F3"/>
    <w:rsid w:val="006E6B7E"/>
    <w:rsid w:val="006E74AD"/>
    <w:rsid w:val="006E7ACD"/>
    <w:rsid w:val="006E7E9C"/>
    <w:rsid w:val="006F055A"/>
    <w:rsid w:val="006F0733"/>
    <w:rsid w:val="006F0A85"/>
    <w:rsid w:val="006F0D72"/>
    <w:rsid w:val="006F1468"/>
    <w:rsid w:val="006F1605"/>
    <w:rsid w:val="006F23FD"/>
    <w:rsid w:val="006F2FFF"/>
    <w:rsid w:val="006F3550"/>
    <w:rsid w:val="006F360D"/>
    <w:rsid w:val="006F3A71"/>
    <w:rsid w:val="006F3F3F"/>
    <w:rsid w:val="006F4053"/>
    <w:rsid w:val="006F4260"/>
    <w:rsid w:val="006F4714"/>
    <w:rsid w:val="006F4786"/>
    <w:rsid w:val="006F47BA"/>
    <w:rsid w:val="006F4834"/>
    <w:rsid w:val="006F5BD1"/>
    <w:rsid w:val="006F5CA0"/>
    <w:rsid w:val="006F5F53"/>
    <w:rsid w:val="006F69D6"/>
    <w:rsid w:val="006F6BA9"/>
    <w:rsid w:val="006F7716"/>
    <w:rsid w:val="006F77E2"/>
    <w:rsid w:val="007000AC"/>
    <w:rsid w:val="00700542"/>
    <w:rsid w:val="00701076"/>
    <w:rsid w:val="00701276"/>
    <w:rsid w:val="007015EA"/>
    <w:rsid w:val="007016F7"/>
    <w:rsid w:val="0070196F"/>
    <w:rsid w:val="00701AF0"/>
    <w:rsid w:val="0070310D"/>
    <w:rsid w:val="007035DE"/>
    <w:rsid w:val="00703E8A"/>
    <w:rsid w:val="00704509"/>
    <w:rsid w:val="007062DB"/>
    <w:rsid w:val="007068CA"/>
    <w:rsid w:val="0070699C"/>
    <w:rsid w:val="00706B0D"/>
    <w:rsid w:val="00706EDD"/>
    <w:rsid w:val="00706F79"/>
    <w:rsid w:val="0070777B"/>
    <w:rsid w:val="007077E9"/>
    <w:rsid w:val="00707B8B"/>
    <w:rsid w:val="0071012B"/>
    <w:rsid w:val="0071098D"/>
    <w:rsid w:val="00710ED3"/>
    <w:rsid w:val="0071110D"/>
    <w:rsid w:val="007116CA"/>
    <w:rsid w:val="00711917"/>
    <w:rsid w:val="00711B6C"/>
    <w:rsid w:val="00711CD0"/>
    <w:rsid w:val="00712711"/>
    <w:rsid w:val="00713181"/>
    <w:rsid w:val="007134FE"/>
    <w:rsid w:val="00714162"/>
    <w:rsid w:val="00714812"/>
    <w:rsid w:val="00714EE0"/>
    <w:rsid w:val="007154F8"/>
    <w:rsid w:val="007161D7"/>
    <w:rsid w:val="007164A8"/>
    <w:rsid w:val="007164FB"/>
    <w:rsid w:val="00717757"/>
    <w:rsid w:val="00717B5E"/>
    <w:rsid w:val="00720389"/>
    <w:rsid w:val="007203DF"/>
    <w:rsid w:val="0072052E"/>
    <w:rsid w:val="00720C60"/>
    <w:rsid w:val="00720E75"/>
    <w:rsid w:val="0072160B"/>
    <w:rsid w:val="00722439"/>
    <w:rsid w:val="007227A3"/>
    <w:rsid w:val="00722A94"/>
    <w:rsid w:val="00722DE9"/>
    <w:rsid w:val="00723614"/>
    <w:rsid w:val="00723710"/>
    <w:rsid w:val="00723950"/>
    <w:rsid w:val="00723983"/>
    <w:rsid w:val="007249AC"/>
    <w:rsid w:val="0072524F"/>
    <w:rsid w:val="00725458"/>
    <w:rsid w:val="00726123"/>
    <w:rsid w:val="007261F2"/>
    <w:rsid w:val="007271DE"/>
    <w:rsid w:val="00727917"/>
    <w:rsid w:val="00727BA3"/>
    <w:rsid w:val="00730837"/>
    <w:rsid w:val="0073131D"/>
    <w:rsid w:val="0073196A"/>
    <w:rsid w:val="00731B0C"/>
    <w:rsid w:val="00731D56"/>
    <w:rsid w:val="00732A3D"/>
    <w:rsid w:val="0073317A"/>
    <w:rsid w:val="0073329F"/>
    <w:rsid w:val="00733A39"/>
    <w:rsid w:val="00733B11"/>
    <w:rsid w:val="0073444C"/>
    <w:rsid w:val="00734578"/>
    <w:rsid w:val="00734C2E"/>
    <w:rsid w:val="0073599E"/>
    <w:rsid w:val="00735E7A"/>
    <w:rsid w:val="007362A7"/>
    <w:rsid w:val="007368A7"/>
    <w:rsid w:val="007368EE"/>
    <w:rsid w:val="007371DC"/>
    <w:rsid w:val="00737705"/>
    <w:rsid w:val="0074053E"/>
    <w:rsid w:val="0074076E"/>
    <w:rsid w:val="00740A31"/>
    <w:rsid w:val="00740DA7"/>
    <w:rsid w:val="007414A8"/>
    <w:rsid w:val="00741516"/>
    <w:rsid w:val="0074195A"/>
    <w:rsid w:val="00743007"/>
    <w:rsid w:val="007438F4"/>
    <w:rsid w:val="00743912"/>
    <w:rsid w:val="00743A44"/>
    <w:rsid w:val="00744CBA"/>
    <w:rsid w:val="0074514D"/>
    <w:rsid w:val="00745FAC"/>
    <w:rsid w:val="0074618B"/>
    <w:rsid w:val="0074631A"/>
    <w:rsid w:val="00746609"/>
    <w:rsid w:val="00746908"/>
    <w:rsid w:val="00746DF4"/>
    <w:rsid w:val="00746F79"/>
    <w:rsid w:val="007477ED"/>
    <w:rsid w:val="00747A80"/>
    <w:rsid w:val="007506FC"/>
    <w:rsid w:val="007508EA"/>
    <w:rsid w:val="00750999"/>
    <w:rsid w:val="00750CE3"/>
    <w:rsid w:val="0075155A"/>
    <w:rsid w:val="00752012"/>
    <w:rsid w:val="007520E4"/>
    <w:rsid w:val="007526A9"/>
    <w:rsid w:val="007527B9"/>
    <w:rsid w:val="007530C6"/>
    <w:rsid w:val="00753552"/>
    <w:rsid w:val="00754418"/>
    <w:rsid w:val="0075460F"/>
    <w:rsid w:val="0075463A"/>
    <w:rsid w:val="00754963"/>
    <w:rsid w:val="00754EE0"/>
    <w:rsid w:val="007552A7"/>
    <w:rsid w:val="0075538F"/>
    <w:rsid w:val="0075560F"/>
    <w:rsid w:val="007558B2"/>
    <w:rsid w:val="007561CC"/>
    <w:rsid w:val="00756312"/>
    <w:rsid w:val="00756562"/>
    <w:rsid w:val="00757034"/>
    <w:rsid w:val="007575C6"/>
    <w:rsid w:val="00757897"/>
    <w:rsid w:val="00757E09"/>
    <w:rsid w:val="00760141"/>
    <w:rsid w:val="007608B5"/>
    <w:rsid w:val="00761000"/>
    <w:rsid w:val="007615AC"/>
    <w:rsid w:val="00761E9A"/>
    <w:rsid w:val="00762030"/>
    <w:rsid w:val="00762A2A"/>
    <w:rsid w:val="00762DF4"/>
    <w:rsid w:val="007633F2"/>
    <w:rsid w:val="007637EC"/>
    <w:rsid w:val="007640A4"/>
    <w:rsid w:val="00764685"/>
    <w:rsid w:val="00764A74"/>
    <w:rsid w:val="00765046"/>
    <w:rsid w:val="007656AA"/>
    <w:rsid w:val="00766644"/>
    <w:rsid w:val="007668F3"/>
    <w:rsid w:val="00766C04"/>
    <w:rsid w:val="00766F2F"/>
    <w:rsid w:val="00766FAF"/>
    <w:rsid w:val="007670A5"/>
    <w:rsid w:val="00767706"/>
    <w:rsid w:val="007677F9"/>
    <w:rsid w:val="00767971"/>
    <w:rsid w:val="00767C06"/>
    <w:rsid w:val="00770913"/>
    <w:rsid w:val="00770F6C"/>
    <w:rsid w:val="0077108F"/>
    <w:rsid w:val="00772362"/>
    <w:rsid w:val="00772671"/>
    <w:rsid w:val="007731C0"/>
    <w:rsid w:val="0077388F"/>
    <w:rsid w:val="00773E73"/>
    <w:rsid w:val="0077427E"/>
    <w:rsid w:val="00774735"/>
    <w:rsid w:val="00774FD1"/>
    <w:rsid w:val="0077539F"/>
    <w:rsid w:val="007757D2"/>
    <w:rsid w:val="00775A4B"/>
    <w:rsid w:val="00776040"/>
    <w:rsid w:val="00776523"/>
    <w:rsid w:val="0078026A"/>
    <w:rsid w:val="00780358"/>
    <w:rsid w:val="00780745"/>
    <w:rsid w:val="00781014"/>
    <w:rsid w:val="007815D2"/>
    <w:rsid w:val="007816A1"/>
    <w:rsid w:val="0078175A"/>
    <w:rsid w:val="00781AD5"/>
    <w:rsid w:val="0078265F"/>
    <w:rsid w:val="0078333E"/>
    <w:rsid w:val="0078374C"/>
    <w:rsid w:val="00783BBB"/>
    <w:rsid w:val="00784232"/>
    <w:rsid w:val="007847A7"/>
    <w:rsid w:val="00784C38"/>
    <w:rsid w:val="00785BCB"/>
    <w:rsid w:val="00785E9B"/>
    <w:rsid w:val="00785F22"/>
    <w:rsid w:val="00785F83"/>
    <w:rsid w:val="00786472"/>
    <w:rsid w:val="00786645"/>
    <w:rsid w:val="00787839"/>
    <w:rsid w:val="007905C9"/>
    <w:rsid w:val="00790DA6"/>
    <w:rsid w:val="007914A8"/>
    <w:rsid w:val="007916E6"/>
    <w:rsid w:val="007918D3"/>
    <w:rsid w:val="00791A7B"/>
    <w:rsid w:val="00791B50"/>
    <w:rsid w:val="00792AEC"/>
    <w:rsid w:val="00792CED"/>
    <w:rsid w:val="0079312A"/>
    <w:rsid w:val="0079344E"/>
    <w:rsid w:val="007935FC"/>
    <w:rsid w:val="0079360E"/>
    <w:rsid w:val="007939F2"/>
    <w:rsid w:val="007948FA"/>
    <w:rsid w:val="007949D6"/>
    <w:rsid w:val="00794A4A"/>
    <w:rsid w:val="00794EDC"/>
    <w:rsid w:val="007956E7"/>
    <w:rsid w:val="007963C6"/>
    <w:rsid w:val="00796C4C"/>
    <w:rsid w:val="00797103"/>
    <w:rsid w:val="00797B24"/>
    <w:rsid w:val="00797EC8"/>
    <w:rsid w:val="00797F91"/>
    <w:rsid w:val="007A0B63"/>
    <w:rsid w:val="007A0D4D"/>
    <w:rsid w:val="007A1A26"/>
    <w:rsid w:val="007A1BC0"/>
    <w:rsid w:val="007A20EE"/>
    <w:rsid w:val="007A253E"/>
    <w:rsid w:val="007A2AFD"/>
    <w:rsid w:val="007A2B03"/>
    <w:rsid w:val="007A35C4"/>
    <w:rsid w:val="007A387D"/>
    <w:rsid w:val="007A39A0"/>
    <w:rsid w:val="007A3B72"/>
    <w:rsid w:val="007A42A2"/>
    <w:rsid w:val="007A4423"/>
    <w:rsid w:val="007A455C"/>
    <w:rsid w:val="007A516F"/>
    <w:rsid w:val="007A5196"/>
    <w:rsid w:val="007A57ED"/>
    <w:rsid w:val="007A5CE0"/>
    <w:rsid w:val="007A6634"/>
    <w:rsid w:val="007A67F8"/>
    <w:rsid w:val="007A6C55"/>
    <w:rsid w:val="007A7F4A"/>
    <w:rsid w:val="007B0508"/>
    <w:rsid w:val="007B05B5"/>
    <w:rsid w:val="007B0943"/>
    <w:rsid w:val="007B1295"/>
    <w:rsid w:val="007B14D0"/>
    <w:rsid w:val="007B1883"/>
    <w:rsid w:val="007B1BA3"/>
    <w:rsid w:val="007B1C3D"/>
    <w:rsid w:val="007B2294"/>
    <w:rsid w:val="007B2554"/>
    <w:rsid w:val="007B30EE"/>
    <w:rsid w:val="007B3D05"/>
    <w:rsid w:val="007B40AA"/>
    <w:rsid w:val="007B40BB"/>
    <w:rsid w:val="007B42E5"/>
    <w:rsid w:val="007B498A"/>
    <w:rsid w:val="007B49FE"/>
    <w:rsid w:val="007B5259"/>
    <w:rsid w:val="007B5B29"/>
    <w:rsid w:val="007B601D"/>
    <w:rsid w:val="007B68CC"/>
    <w:rsid w:val="007B6909"/>
    <w:rsid w:val="007B6CC8"/>
    <w:rsid w:val="007B6D79"/>
    <w:rsid w:val="007B78BD"/>
    <w:rsid w:val="007B7A9C"/>
    <w:rsid w:val="007C0203"/>
    <w:rsid w:val="007C0476"/>
    <w:rsid w:val="007C0573"/>
    <w:rsid w:val="007C13EB"/>
    <w:rsid w:val="007C23FF"/>
    <w:rsid w:val="007C2A01"/>
    <w:rsid w:val="007C3291"/>
    <w:rsid w:val="007C3BFD"/>
    <w:rsid w:val="007C4325"/>
    <w:rsid w:val="007C45EB"/>
    <w:rsid w:val="007C5222"/>
    <w:rsid w:val="007C5432"/>
    <w:rsid w:val="007C5AF5"/>
    <w:rsid w:val="007C5D42"/>
    <w:rsid w:val="007C6AB0"/>
    <w:rsid w:val="007C6D49"/>
    <w:rsid w:val="007C753B"/>
    <w:rsid w:val="007C7647"/>
    <w:rsid w:val="007C7F32"/>
    <w:rsid w:val="007D006F"/>
    <w:rsid w:val="007D00E0"/>
    <w:rsid w:val="007D0FD1"/>
    <w:rsid w:val="007D10FE"/>
    <w:rsid w:val="007D1AAC"/>
    <w:rsid w:val="007D24BB"/>
    <w:rsid w:val="007D24DA"/>
    <w:rsid w:val="007D25C0"/>
    <w:rsid w:val="007D3BDE"/>
    <w:rsid w:val="007D4072"/>
    <w:rsid w:val="007D427E"/>
    <w:rsid w:val="007D4664"/>
    <w:rsid w:val="007D4F79"/>
    <w:rsid w:val="007D50D9"/>
    <w:rsid w:val="007D69A5"/>
    <w:rsid w:val="007D6A4A"/>
    <w:rsid w:val="007D6DC4"/>
    <w:rsid w:val="007D71F1"/>
    <w:rsid w:val="007D7508"/>
    <w:rsid w:val="007D763F"/>
    <w:rsid w:val="007D7C50"/>
    <w:rsid w:val="007D7CEC"/>
    <w:rsid w:val="007E0756"/>
    <w:rsid w:val="007E12BE"/>
    <w:rsid w:val="007E1976"/>
    <w:rsid w:val="007E1980"/>
    <w:rsid w:val="007E256E"/>
    <w:rsid w:val="007E3210"/>
    <w:rsid w:val="007E336E"/>
    <w:rsid w:val="007E33E4"/>
    <w:rsid w:val="007E382B"/>
    <w:rsid w:val="007E44BD"/>
    <w:rsid w:val="007E4515"/>
    <w:rsid w:val="007E48A8"/>
    <w:rsid w:val="007E4E7C"/>
    <w:rsid w:val="007E54FA"/>
    <w:rsid w:val="007E591B"/>
    <w:rsid w:val="007E6337"/>
    <w:rsid w:val="007E681F"/>
    <w:rsid w:val="007E685B"/>
    <w:rsid w:val="007E6ACA"/>
    <w:rsid w:val="007E6D7C"/>
    <w:rsid w:val="007E7695"/>
    <w:rsid w:val="007F0283"/>
    <w:rsid w:val="007F08E3"/>
    <w:rsid w:val="007F13F9"/>
    <w:rsid w:val="007F1ED9"/>
    <w:rsid w:val="007F31DA"/>
    <w:rsid w:val="007F3BC0"/>
    <w:rsid w:val="007F3FE2"/>
    <w:rsid w:val="007F47F5"/>
    <w:rsid w:val="007F4E33"/>
    <w:rsid w:val="007F58E4"/>
    <w:rsid w:val="007F6376"/>
    <w:rsid w:val="007F7058"/>
    <w:rsid w:val="007F718D"/>
    <w:rsid w:val="007F7E38"/>
    <w:rsid w:val="008003D0"/>
    <w:rsid w:val="00801731"/>
    <w:rsid w:val="0080248B"/>
    <w:rsid w:val="00802614"/>
    <w:rsid w:val="00802E92"/>
    <w:rsid w:val="00803A70"/>
    <w:rsid w:val="00804518"/>
    <w:rsid w:val="0080487E"/>
    <w:rsid w:val="00804FD6"/>
    <w:rsid w:val="0080513F"/>
    <w:rsid w:val="0080593D"/>
    <w:rsid w:val="00806D82"/>
    <w:rsid w:val="00806E1B"/>
    <w:rsid w:val="00810B35"/>
    <w:rsid w:val="00810C83"/>
    <w:rsid w:val="008110EB"/>
    <w:rsid w:val="008110F7"/>
    <w:rsid w:val="00811182"/>
    <w:rsid w:val="008116E2"/>
    <w:rsid w:val="008117B2"/>
    <w:rsid w:val="00811833"/>
    <w:rsid w:val="0081188F"/>
    <w:rsid w:val="00811CD0"/>
    <w:rsid w:val="008121BE"/>
    <w:rsid w:val="008125BF"/>
    <w:rsid w:val="0081264C"/>
    <w:rsid w:val="008129D3"/>
    <w:rsid w:val="00813008"/>
    <w:rsid w:val="00813F25"/>
    <w:rsid w:val="00814D33"/>
    <w:rsid w:val="00814EDD"/>
    <w:rsid w:val="008159DC"/>
    <w:rsid w:val="00815A4D"/>
    <w:rsid w:val="00816029"/>
    <w:rsid w:val="0081614C"/>
    <w:rsid w:val="008163FA"/>
    <w:rsid w:val="00816894"/>
    <w:rsid w:val="00816933"/>
    <w:rsid w:val="00817137"/>
    <w:rsid w:val="00817AC6"/>
    <w:rsid w:val="00817AE6"/>
    <w:rsid w:val="00817DB2"/>
    <w:rsid w:val="00817F11"/>
    <w:rsid w:val="00820060"/>
    <w:rsid w:val="0082049B"/>
    <w:rsid w:val="00820575"/>
    <w:rsid w:val="0082071B"/>
    <w:rsid w:val="008207B5"/>
    <w:rsid w:val="0082092A"/>
    <w:rsid w:val="00820957"/>
    <w:rsid w:val="00820B56"/>
    <w:rsid w:val="00820E5E"/>
    <w:rsid w:val="00820F12"/>
    <w:rsid w:val="0082126D"/>
    <w:rsid w:val="00821493"/>
    <w:rsid w:val="008216FE"/>
    <w:rsid w:val="00821D98"/>
    <w:rsid w:val="00822415"/>
    <w:rsid w:val="00822BB3"/>
    <w:rsid w:val="00823B2D"/>
    <w:rsid w:val="00823DEC"/>
    <w:rsid w:val="00824593"/>
    <w:rsid w:val="00824EE4"/>
    <w:rsid w:val="0082539E"/>
    <w:rsid w:val="00825727"/>
    <w:rsid w:val="008258B5"/>
    <w:rsid w:val="00825903"/>
    <w:rsid w:val="0082594F"/>
    <w:rsid w:val="00825D60"/>
    <w:rsid w:val="00825F29"/>
    <w:rsid w:val="00825FFE"/>
    <w:rsid w:val="008269DC"/>
    <w:rsid w:val="00826EEB"/>
    <w:rsid w:val="00826F64"/>
    <w:rsid w:val="0082730E"/>
    <w:rsid w:val="00827934"/>
    <w:rsid w:val="00827A44"/>
    <w:rsid w:val="0083069E"/>
    <w:rsid w:val="00830BDF"/>
    <w:rsid w:val="00830CA0"/>
    <w:rsid w:val="00831503"/>
    <w:rsid w:val="00832192"/>
    <w:rsid w:val="008324C9"/>
    <w:rsid w:val="00832586"/>
    <w:rsid w:val="00833ED1"/>
    <w:rsid w:val="00834625"/>
    <w:rsid w:val="0083582D"/>
    <w:rsid w:val="00835D2F"/>
    <w:rsid w:val="00835E10"/>
    <w:rsid w:val="00835F6A"/>
    <w:rsid w:val="00836B00"/>
    <w:rsid w:val="00837170"/>
    <w:rsid w:val="0083745F"/>
    <w:rsid w:val="00837499"/>
    <w:rsid w:val="00837B31"/>
    <w:rsid w:val="00837D4C"/>
    <w:rsid w:val="00837F48"/>
    <w:rsid w:val="00840771"/>
    <w:rsid w:val="008409FA"/>
    <w:rsid w:val="00840DED"/>
    <w:rsid w:val="0084142C"/>
    <w:rsid w:val="00841790"/>
    <w:rsid w:val="008418A7"/>
    <w:rsid w:val="00841B8D"/>
    <w:rsid w:val="00841BA1"/>
    <w:rsid w:val="0084222A"/>
    <w:rsid w:val="00842297"/>
    <w:rsid w:val="008425D8"/>
    <w:rsid w:val="00842C0B"/>
    <w:rsid w:val="00843056"/>
    <w:rsid w:val="008434EF"/>
    <w:rsid w:val="008437A8"/>
    <w:rsid w:val="00843ADC"/>
    <w:rsid w:val="008443EF"/>
    <w:rsid w:val="00844463"/>
    <w:rsid w:val="0084483E"/>
    <w:rsid w:val="00844C99"/>
    <w:rsid w:val="00844F10"/>
    <w:rsid w:val="008453ED"/>
    <w:rsid w:val="00845797"/>
    <w:rsid w:val="00845EEE"/>
    <w:rsid w:val="008465DA"/>
    <w:rsid w:val="008470B8"/>
    <w:rsid w:val="008473E5"/>
    <w:rsid w:val="008500C4"/>
    <w:rsid w:val="008501D2"/>
    <w:rsid w:val="008501F9"/>
    <w:rsid w:val="00850EAC"/>
    <w:rsid w:val="00851217"/>
    <w:rsid w:val="00851239"/>
    <w:rsid w:val="008516EF"/>
    <w:rsid w:val="00852643"/>
    <w:rsid w:val="00852C77"/>
    <w:rsid w:val="008534E4"/>
    <w:rsid w:val="00853B57"/>
    <w:rsid w:val="0085415B"/>
    <w:rsid w:val="00854741"/>
    <w:rsid w:val="00854AAB"/>
    <w:rsid w:val="00854D09"/>
    <w:rsid w:val="00854D3B"/>
    <w:rsid w:val="00855DFC"/>
    <w:rsid w:val="00855E50"/>
    <w:rsid w:val="00856AE5"/>
    <w:rsid w:val="00856D75"/>
    <w:rsid w:val="00857067"/>
    <w:rsid w:val="0085708B"/>
    <w:rsid w:val="0085774C"/>
    <w:rsid w:val="008578C7"/>
    <w:rsid w:val="008578CD"/>
    <w:rsid w:val="00857B15"/>
    <w:rsid w:val="0086032F"/>
    <w:rsid w:val="00860DC3"/>
    <w:rsid w:val="00861BD6"/>
    <w:rsid w:val="00861C9F"/>
    <w:rsid w:val="00861CF6"/>
    <w:rsid w:val="00862402"/>
    <w:rsid w:val="00862F45"/>
    <w:rsid w:val="00862FA2"/>
    <w:rsid w:val="008632A6"/>
    <w:rsid w:val="0086390D"/>
    <w:rsid w:val="00863B25"/>
    <w:rsid w:val="00864DC3"/>
    <w:rsid w:val="00864ECB"/>
    <w:rsid w:val="008666C6"/>
    <w:rsid w:val="00866C21"/>
    <w:rsid w:val="00867B06"/>
    <w:rsid w:val="008706FC"/>
    <w:rsid w:val="00870D9F"/>
    <w:rsid w:val="0087121D"/>
    <w:rsid w:val="008712C1"/>
    <w:rsid w:val="00871332"/>
    <w:rsid w:val="008715F9"/>
    <w:rsid w:val="008720EF"/>
    <w:rsid w:val="0087328F"/>
    <w:rsid w:val="0087339D"/>
    <w:rsid w:val="00873436"/>
    <w:rsid w:val="00873456"/>
    <w:rsid w:val="0087444C"/>
    <w:rsid w:val="00874C3E"/>
    <w:rsid w:val="00874C86"/>
    <w:rsid w:val="00874EA8"/>
    <w:rsid w:val="00874F43"/>
    <w:rsid w:val="00874F7B"/>
    <w:rsid w:val="00875253"/>
    <w:rsid w:val="008753ED"/>
    <w:rsid w:val="00875432"/>
    <w:rsid w:val="00875E66"/>
    <w:rsid w:val="00876278"/>
    <w:rsid w:val="008765DE"/>
    <w:rsid w:val="0087692D"/>
    <w:rsid w:val="008770CD"/>
    <w:rsid w:val="008772B4"/>
    <w:rsid w:val="00877352"/>
    <w:rsid w:val="0087748D"/>
    <w:rsid w:val="008777F8"/>
    <w:rsid w:val="0087783C"/>
    <w:rsid w:val="00880736"/>
    <w:rsid w:val="008807FD"/>
    <w:rsid w:val="008809F3"/>
    <w:rsid w:val="008809FB"/>
    <w:rsid w:val="00880BD0"/>
    <w:rsid w:val="00880E67"/>
    <w:rsid w:val="0088108C"/>
    <w:rsid w:val="0088151A"/>
    <w:rsid w:val="00881899"/>
    <w:rsid w:val="00882518"/>
    <w:rsid w:val="00882D52"/>
    <w:rsid w:val="0088314C"/>
    <w:rsid w:val="00883E17"/>
    <w:rsid w:val="00883F9B"/>
    <w:rsid w:val="00884637"/>
    <w:rsid w:val="0088486D"/>
    <w:rsid w:val="00884937"/>
    <w:rsid w:val="00885045"/>
    <w:rsid w:val="00885097"/>
    <w:rsid w:val="00885946"/>
    <w:rsid w:val="00885A29"/>
    <w:rsid w:val="0088618C"/>
    <w:rsid w:val="00886699"/>
    <w:rsid w:val="00886EE9"/>
    <w:rsid w:val="0088709D"/>
    <w:rsid w:val="00887706"/>
    <w:rsid w:val="00890076"/>
    <w:rsid w:val="008901DB"/>
    <w:rsid w:val="008905E0"/>
    <w:rsid w:val="008911E4"/>
    <w:rsid w:val="0089149D"/>
    <w:rsid w:val="0089158D"/>
    <w:rsid w:val="008916D4"/>
    <w:rsid w:val="008920BF"/>
    <w:rsid w:val="00892557"/>
    <w:rsid w:val="00892F39"/>
    <w:rsid w:val="00893184"/>
    <w:rsid w:val="008931C9"/>
    <w:rsid w:val="00893291"/>
    <w:rsid w:val="00893379"/>
    <w:rsid w:val="00893535"/>
    <w:rsid w:val="00894660"/>
    <w:rsid w:val="00894886"/>
    <w:rsid w:val="008949A8"/>
    <w:rsid w:val="0089568E"/>
    <w:rsid w:val="0089573A"/>
    <w:rsid w:val="008958C0"/>
    <w:rsid w:val="008967C2"/>
    <w:rsid w:val="00897B69"/>
    <w:rsid w:val="00897FA3"/>
    <w:rsid w:val="008A0110"/>
    <w:rsid w:val="008A0134"/>
    <w:rsid w:val="008A049C"/>
    <w:rsid w:val="008A066D"/>
    <w:rsid w:val="008A0CC1"/>
    <w:rsid w:val="008A0FDD"/>
    <w:rsid w:val="008A1059"/>
    <w:rsid w:val="008A11A2"/>
    <w:rsid w:val="008A1264"/>
    <w:rsid w:val="008A17C8"/>
    <w:rsid w:val="008A1A56"/>
    <w:rsid w:val="008A1C6F"/>
    <w:rsid w:val="008A2093"/>
    <w:rsid w:val="008A2261"/>
    <w:rsid w:val="008A2427"/>
    <w:rsid w:val="008A242C"/>
    <w:rsid w:val="008A2813"/>
    <w:rsid w:val="008A2BD5"/>
    <w:rsid w:val="008A2D8B"/>
    <w:rsid w:val="008A318B"/>
    <w:rsid w:val="008A3518"/>
    <w:rsid w:val="008A44AD"/>
    <w:rsid w:val="008A5146"/>
    <w:rsid w:val="008A5649"/>
    <w:rsid w:val="008A5AE1"/>
    <w:rsid w:val="008A5EEC"/>
    <w:rsid w:val="008A6084"/>
    <w:rsid w:val="008A680E"/>
    <w:rsid w:val="008A6C63"/>
    <w:rsid w:val="008A6D36"/>
    <w:rsid w:val="008A702A"/>
    <w:rsid w:val="008A7203"/>
    <w:rsid w:val="008A72B1"/>
    <w:rsid w:val="008B074B"/>
    <w:rsid w:val="008B085A"/>
    <w:rsid w:val="008B11CC"/>
    <w:rsid w:val="008B297F"/>
    <w:rsid w:val="008B29FC"/>
    <w:rsid w:val="008B2EB8"/>
    <w:rsid w:val="008B30CD"/>
    <w:rsid w:val="008B3266"/>
    <w:rsid w:val="008B35D4"/>
    <w:rsid w:val="008B42AD"/>
    <w:rsid w:val="008B460A"/>
    <w:rsid w:val="008B4684"/>
    <w:rsid w:val="008B503C"/>
    <w:rsid w:val="008B5262"/>
    <w:rsid w:val="008B54A0"/>
    <w:rsid w:val="008B55D7"/>
    <w:rsid w:val="008B611E"/>
    <w:rsid w:val="008B646A"/>
    <w:rsid w:val="008B6B64"/>
    <w:rsid w:val="008B72CB"/>
    <w:rsid w:val="008B7405"/>
    <w:rsid w:val="008B759D"/>
    <w:rsid w:val="008B769F"/>
    <w:rsid w:val="008B7FD9"/>
    <w:rsid w:val="008C0580"/>
    <w:rsid w:val="008C0685"/>
    <w:rsid w:val="008C090E"/>
    <w:rsid w:val="008C0CFD"/>
    <w:rsid w:val="008C1077"/>
    <w:rsid w:val="008C11F0"/>
    <w:rsid w:val="008C1D5E"/>
    <w:rsid w:val="008C1D9F"/>
    <w:rsid w:val="008C1E37"/>
    <w:rsid w:val="008C25D4"/>
    <w:rsid w:val="008C2A97"/>
    <w:rsid w:val="008C2DDC"/>
    <w:rsid w:val="008C38B5"/>
    <w:rsid w:val="008C3BF1"/>
    <w:rsid w:val="008C409E"/>
    <w:rsid w:val="008C4CDB"/>
    <w:rsid w:val="008C4D6A"/>
    <w:rsid w:val="008C4E4E"/>
    <w:rsid w:val="008C4FA8"/>
    <w:rsid w:val="008C5128"/>
    <w:rsid w:val="008C521F"/>
    <w:rsid w:val="008C55E2"/>
    <w:rsid w:val="008C5669"/>
    <w:rsid w:val="008C62D2"/>
    <w:rsid w:val="008C6332"/>
    <w:rsid w:val="008C65F7"/>
    <w:rsid w:val="008C665E"/>
    <w:rsid w:val="008C694E"/>
    <w:rsid w:val="008C6C25"/>
    <w:rsid w:val="008C6E7B"/>
    <w:rsid w:val="008C71A2"/>
    <w:rsid w:val="008C72EC"/>
    <w:rsid w:val="008C7B12"/>
    <w:rsid w:val="008C7F06"/>
    <w:rsid w:val="008D01C5"/>
    <w:rsid w:val="008D06D2"/>
    <w:rsid w:val="008D0868"/>
    <w:rsid w:val="008D2033"/>
    <w:rsid w:val="008D2496"/>
    <w:rsid w:val="008D2C1A"/>
    <w:rsid w:val="008D2E5B"/>
    <w:rsid w:val="008D3A22"/>
    <w:rsid w:val="008D3C28"/>
    <w:rsid w:val="008D3F97"/>
    <w:rsid w:val="008D40EA"/>
    <w:rsid w:val="008D42F9"/>
    <w:rsid w:val="008D464C"/>
    <w:rsid w:val="008D4821"/>
    <w:rsid w:val="008D496B"/>
    <w:rsid w:val="008D4AAA"/>
    <w:rsid w:val="008D505D"/>
    <w:rsid w:val="008D568F"/>
    <w:rsid w:val="008D628C"/>
    <w:rsid w:val="008D64F4"/>
    <w:rsid w:val="008D64F9"/>
    <w:rsid w:val="008D7CC0"/>
    <w:rsid w:val="008D7D87"/>
    <w:rsid w:val="008D7EDD"/>
    <w:rsid w:val="008E0901"/>
    <w:rsid w:val="008E0B5A"/>
    <w:rsid w:val="008E173B"/>
    <w:rsid w:val="008E1B8F"/>
    <w:rsid w:val="008E1EE5"/>
    <w:rsid w:val="008E2949"/>
    <w:rsid w:val="008E2AF0"/>
    <w:rsid w:val="008E2BC9"/>
    <w:rsid w:val="008E2E99"/>
    <w:rsid w:val="008E3858"/>
    <w:rsid w:val="008E4476"/>
    <w:rsid w:val="008E45DB"/>
    <w:rsid w:val="008E4B95"/>
    <w:rsid w:val="008E5422"/>
    <w:rsid w:val="008E6536"/>
    <w:rsid w:val="008E711B"/>
    <w:rsid w:val="008E71B4"/>
    <w:rsid w:val="008E7491"/>
    <w:rsid w:val="008F0017"/>
    <w:rsid w:val="008F0BBA"/>
    <w:rsid w:val="008F0CA0"/>
    <w:rsid w:val="008F0DDE"/>
    <w:rsid w:val="008F119B"/>
    <w:rsid w:val="008F1361"/>
    <w:rsid w:val="008F1C0F"/>
    <w:rsid w:val="008F245A"/>
    <w:rsid w:val="008F25C8"/>
    <w:rsid w:val="008F29A0"/>
    <w:rsid w:val="008F2B10"/>
    <w:rsid w:val="008F2DEC"/>
    <w:rsid w:val="008F3676"/>
    <w:rsid w:val="008F3757"/>
    <w:rsid w:val="008F3794"/>
    <w:rsid w:val="008F3F86"/>
    <w:rsid w:val="008F4290"/>
    <w:rsid w:val="008F4458"/>
    <w:rsid w:val="008F5167"/>
    <w:rsid w:val="008F519B"/>
    <w:rsid w:val="008F5B10"/>
    <w:rsid w:val="008F5EF4"/>
    <w:rsid w:val="008F6808"/>
    <w:rsid w:val="008F6B69"/>
    <w:rsid w:val="008F73BB"/>
    <w:rsid w:val="009004DB"/>
    <w:rsid w:val="009005A8"/>
    <w:rsid w:val="0090060E"/>
    <w:rsid w:val="00900FA8"/>
    <w:rsid w:val="00901164"/>
    <w:rsid w:val="009013C1"/>
    <w:rsid w:val="00901646"/>
    <w:rsid w:val="00901F09"/>
    <w:rsid w:val="00902843"/>
    <w:rsid w:val="00902BF5"/>
    <w:rsid w:val="0090325B"/>
    <w:rsid w:val="00903288"/>
    <w:rsid w:val="00903D12"/>
    <w:rsid w:val="00904123"/>
    <w:rsid w:val="00905154"/>
    <w:rsid w:val="0090533A"/>
    <w:rsid w:val="00905B1E"/>
    <w:rsid w:val="00905C0B"/>
    <w:rsid w:val="00905C58"/>
    <w:rsid w:val="009069CC"/>
    <w:rsid w:val="00906D40"/>
    <w:rsid w:val="00906E55"/>
    <w:rsid w:val="00906F8E"/>
    <w:rsid w:val="0090746C"/>
    <w:rsid w:val="009078EF"/>
    <w:rsid w:val="0091051D"/>
    <w:rsid w:val="00910D55"/>
    <w:rsid w:val="00911078"/>
    <w:rsid w:val="009111DA"/>
    <w:rsid w:val="00911A58"/>
    <w:rsid w:val="00911B42"/>
    <w:rsid w:val="00911D05"/>
    <w:rsid w:val="00912129"/>
    <w:rsid w:val="00912718"/>
    <w:rsid w:val="00912D0D"/>
    <w:rsid w:val="00913104"/>
    <w:rsid w:val="009136EF"/>
    <w:rsid w:val="00913984"/>
    <w:rsid w:val="00913C49"/>
    <w:rsid w:val="00913DA4"/>
    <w:rsid w:val="009146CD"/>
    <w:rsid w:val="00914BF8"/>
    <w:rsid w:val="0091524B"/>
    <w:rsid w:val="00915EDD"/>
    <w:rsid w:val="00915F86"/>
    <w:rsid w:val="0091678E"/>
    <w:rsid w:val="00916948"/>
    <w:rsid w:val="00916BAB"/>
    <w:rsid w:val="00917B99"/>
    <w:rsid w:val="00917C21"/>
    <w:rsid w:val="00917E99"/>
    <w:rsid w:val="00920574"/>
    <w:rsid w:val="0092090D"/>
    <w:rsid w:val="00920B74"/>
    <w:rsid w:val="00920BF2"/>
    <w:rsid w:val="00920C5D"/>
    <w:rsid w:val="00920F7E"/>
    <w:rsid w:val="0092161B"/>
    <w:rsid w:val="00922431"/>
    <w:rsid w:val="00922983"/>
    <w:rsid w:val="00922C87"/>
    <w:rsid w:val="00923283"/>
    <w:rsid w:val="0092344D"/>
    <w:rsid w:val="00923452"/>
    <w:rsid w:val="00923DDF"/>
    <w:rsid w:val="009240B4"/>
    <w:rsid w:val="00924C13"/>
    <w:rsid w:val="00924EAF"/>
    <w:rsid w:val="00924ECB"/>
    <w:rsid w:val="00925069"/>
    <w:rsid w:val="009258D6"/>
    <w:rsid w:val="00925EFE"/>
    <w:rsid w:val="00926207"/>
    <w:rsid w:val="009267D1"/>
    <w:rsid w:val="00926E74"/>
    <w:rsid w:val="00927207"/>
    <w:rsid w:val="00927571"/>
    <w:rsid w:val="00927C3D"/>
    <w:rsid w:val="00927D99"/>
    <w:rsid w:val="00927DD9"/>
    <w:rsid w:val="00927DEA"/>
    <w:rsid w:val="0093035C"/>
    <w:rsid w:val="00930613"/>
    <w:rsid w:val="009319C5"/>
    <w:rsid w:val="00931BD8"/>
    <w:rsid w:val="00932B12"/>
    <w:rsid w:val="00933300"/>
    <w:rsid w:val="00933888"/>
    <w:rsid w:val="00933DC9"/>
    <w:rsid w:val="0093472F"/>
    <w:rsid w:val="00934EAA"/>
    <w:rsid w:val="00934FB4"/>
    <w:rsid w:val="0093509F"/>
    <w:rsid w:val="00935502"/>
    <w:rsid w:val="009355AD"/>
    <w:rsid w:val="00936ABA"/>
    <w:rsid w:val="00936F7E"/>
    <w:rsid w:val="00937E0E"/>
    <w:rsid w:val="0094111C"/>
    <w:rsid w:val="009411EB"/>
    <w:rsid w:val="009413DF"/>
    <w:rsid w:val="00941849"/>
    <w:rsid w:val="00941EA2"/>
    <w:rsid w:val="00942077"/>
    <w:rsid w:val="00942F7D"/>
    <w:rsid w:val="0094307C"/>
    <w:rsid w:val="0094337D"/>
    <w:rsid w:val="0094417B"/>
    <w:rsid w:val="00944526"/>
    <w:rsid w:val="00944C34"/>
    <w:rsid w:val="00944ECF"/>
    <w:rsid w:val="00944F12"/>
    <w:rsid w:val="00945357"/>
    <w:rsid w:val="00945808"/>
    <w:rsid w:val="00945AB1"/>
    <w:rsid w:val="00945E11"/>
    <w:rsid w:val="00946BE2"/>
    <w:rsid w:val="0094704F"/>
    <w:rsid w:val="00947143"/>
    <w:rsid w:val="009472A2"/>
    <w:rsid w:val="00947368"/>
    <w:rsid w:val="009476B5"/>
    <w:rsid w:val="00947A5E"/>
    <w:rsid w:val="00947E8F"/>
    <w:rsid w:val="00947F83"/>
    <w:rsid w:val="00950AD5"/>
    <w:rsid w:val="00950B5D"/>
    <w:rsid w:val="0095123B"/>
    <w:rsid w:val="00951DFE"/>
    <w:rsid w:val="00951EAE"/>
    <w:rsid w:val="0095209D"/>
    <w:rsid w:val="0095213B"/>
    <w:rsid w:val="00952224"/>
    <w:rsid w:val="00952490"/>
    <w:rsid w:val="009527A5"/>
    <w:rsid w:val="00952882"/>
    <w:rsid w:val="00953508"/>
    <w:rsid w:val="009539C6"/>
    <w:rsid w:val="00953D0A"/>
    <w:rsid w:val="0095401D"/>
    <w:rsid w:val="009540B0"/>
    <w:rsid w:val="00954411"/>
    <w:rsid w:val="00954DF7"/>
    <w:rsid w:val="009569A7"/>
    <w:rsid w:val="00956B22"/>
    <w:rsid w:val="00956DB5"/>
    <w:rsid w:val="0095777D"/>
    <w:rsid w:val="00960017"/>
    <w:rsid w:val="0096002C"/>
    <w:rsid w:val="00960242"/>
    <w:rsid w:val="00960FDA"/>
    <w:rsid w:val="009612DD"/>
    <w:rsid w:val="009619F0"/>
    <w:rsid w:val="009619FE"/>
    <w:rsid w:val="009623B6"/>
    <w:rsid w:val="00962500"/>
    <w:rsid w:val="00963178"/>
    <w:rsid w:val="009633AA"/>
    <w:rsid w:val="009638D4"/>
    <w:rsid w:val="0096409A"/>
    <w:rsid w:val="009643EC"/>
    <w:rsid w:val="0096484B"/>
    <w:rsid w:val="00964BBA"/>
    <w:rsid w:val="00964FA6"/>
    <w:rsid w:val="00966738"/>
    <w:rsid w:val="00967071"/>
    <w:rsid w:val="0096718D"/>
    <w:rsid w:val="00967261"/>
    <w:rsid w:val="009672DC"/>
    <w:rsid w:val="0096741E"/>
    <w:rsid w:val="0096753B"/>
    <w:rsid w:val="009676A0"/>
    <w:rsid w:val="00967F1F"/>
    <w:rsid w:val="00970EE4"/>
    <w:rsid w:val="00971964"/>
    <w:rsid w:val="00971AF8"/>
    <w:rsid w:val="00971C25"/>
    <w:rsid w:val="0097250A"/>
    <w:rsid w:val="00972B03"/>
    <w:rsid w:val="00972E21"/>
    <w:rsid w:val="00972E84"/>
    <w:rsid w:val="00973081"/>
    <w:rsid w:val="00974B25"/>
    <w:rsid w:val="00974C3E"/>
    <w:rsid w:val="00975D4F"/>
    <w:rsid w:val="00976ADB"/>
    <w:rsid w:val="009777CF"/>
    <w:rsid w:val="00977EDB"/>
    <w:rsid w:val="00977EE4"/>
    <w:rsid w:val="00977FBC"/>
    <w:rsid w:val="009801C9"/>
    <w:rsid w:val="0098064E"/>
    <w:rsid w:val="0098066D"/>
    <w:rsid w:val="009808CA"/>
    <w:rsid w:val="00982184"/>
    <w:rsid w:val="009828BA"/>
    <w:rsid w:val="00982AF5"/>
    <w:rsid w:val="009832E5"/>
    <w:rsid w:val="00983584"/>
    <w:rsid w:val="00983786"/>
    <w:rsid w:val="009842C3"/>
    <w:rsid w:val="009844AF"/>
    <w:rsid w:val="009847DC"/>
    <w:rsid w:val="00984AC1"/>
    <w:rsid w:val="00986619"/>
    <w:rsid w:val="00986728"/>
    <w:rsid w:val="009868A7"/>
    <w:rsid w:val="0098792A"/>
    <w:rsid w:val="009900A2"/>
    <w:rsid w:val="009903D7"/>
    <w:rsid w:val="00990CA5"/>
    <w:rsid w:val="00990D6E"/>
    <w:rsid w:val="009910C0"/>
    <w:rsid w:val="009911A4"/>
    <w:rsid w:val="00991331"/>
    <w:rsid w:val="009920E1"/>
    <w:rsid w:val="009928A3"/>
    <w:rsid w:val="0099292A"/>
    <w:rsid w:val="00992EA9"/>
    <w:rsid w:val="00993704"/>
    <w:rsid w:val="009942AE"/>
    <w:rsid w:val="0099546D"/>
    <w:rsid w:val="009959D3"/>
    <w:rsid w:val="009959E4"/>
    <w:rsid w:val="00995C8D"/>
    <w:rsid w:val="00995E6A"/>
    <w:rsid w:val="00995F6C"/>
    <w:rsid w:val="0099607B"/>
    <w:rsid w:val="009966D0"/>
    <w:rsid w:val="00996C56"/>
    <w:rsid w:val="00997638"/>
    <w:rsid w:val="00997866"/>
    <w:rsid w:val="009A00DD"/>
    <w:rsid w:val="009A06F7"/>
    <w:rsid w:val="009A1173"/>
    <w:rsid w:val="009A119C"/>
    <w:rsid w:val="009A11D0"/>
    <w:rsid w:val="009A1212"/>
    <w:rsid w:val="009A12AE"/>
    <w:rsid w:val="009A1749"/>
    <w:rsid w:val="009A1A0E"/>
    <w:rsid w:val="009A1A75"/>
    <w:rsid w:val="009A31A1"/>
    <w:rsid w:val="009A33DA"/>
    <w:rsid w:val="009A3E58"/>
    <w:rsid w:val="009A3FC2"/>
    <w:rsid w:val="009A4A40"/>
    <w:rsid w:val="009A4F6D"/>
    <w:rsid w:val="009A54F1"/>
    <w:rsid w:val="009A557B"/>
    <w:rsid w:val="009A5821"/>
    <w:rsid w:val="009A5AA7"/>
    <w:rsid w:val="009A5E38"/>
    <w:rsid w:val="009A670E"/>
    <w:rsid w:val="009A700E"/>
    <w:rsid w:val="009A776B"/>
    <w:rsid w:val="009B029C"/>
    <w:rsid w:val="009B12E1"/>
    <w:rsid w:val="009B1811"/>
    <w:rsid w:val="009B1A55"/>
    <w:rsid w:val="009B1FC5"/>
    <w:rsid w:val="009B2541"/>
    <w:rsid w:val="009B2809"/>
    <w:rsid w:val="009B2A5D"/>
    <w:rsid w:val="009B400E"/>
    <w:rsid w:val="009B42B1"/>
    <w:rsid w:val="009B48B3"/>
    <w:rsid w:val="009B4BE6"/>
    <w:rsid w:val="009B5407"/>
    <w:rsid w:val="009B5435"/>
    <w:rsid w:val="009B575C"/>
    <w:rsid w:val="009B5B69"/>
    <w:rsid w:val="009B5E97"/>
    <w:rsid w:val="009B69D1"/>
    <w:rsid w:val="009B69E3"/>
    <w:rsid w:val="009B6DB2"/>
    <w:rsid w:val="009B6DF3"/>
    <w:rsid w:val="009B7709"/>
    <w:rsid w:val="009B7846"/>
    <w:rsid w:val="009B792B"/>
    <w:rsid w:val="009B7D5C"/>
    <w:rsid w:val="009B7E21"/>
    <w:rsid w:val="009C0062"/>
    <w:rsid w:val="009C0272"/>
    <w:rsid w:val="009C02A3"/>
    <w:rsid w:val="009C02D8"/>
    <w:rsid w:val="009C066B"/>
    <w:rsid w:val="009C0D71"/>
    <w:rsid w:val="009C0DAD"/>
    <w:rsid w:val="009C1291"/>
    <w:rsid w:val="009C17CA"/>
    <w:rsid w:val="009C1D01"/>
    <w:rsid w:val="009C1D40"/>
    <w:rsid w:val="009C20CC"/>
    <w:rsid w:val="009C2BEC"/>
    <w:rsid w:val="009C368F"/>
    <w:rsid w:val="009C3A2A"/>
    <w:rsid w:val="009C4C95"/>
    <w:rsid w:val="009C4D1E"/>
    <w:rsid w:val="009C4EE5"/>
    <w:rsid w:val="009C5448"/>
    <w:rsid w:val="009C55A5"/>
    <w:rsid w:val="009C5C1F"/>
    <w:rsid w:val="009C6515"/>
    <w:rsid w:val="009C6725"/>
    <w:rsid w:val="009C680D"/>
    <w:rsid w:val="009C6DDD"/>
    <w:rsid w:val="009C7691"/>
    <w:rsid w:val="009C7D11"/>
    <w:rsid w:val="009C7F1C"/>
    <w:rsid w:val="009D0503"/>
    <w:rsid w:val="009D0692"/>
    <w:rsid w:val="009D0B05"/>
    <w:rsid w:val="009D0F4C"/>
    <w:rsid w:val="009D102F"/>
    <w:rsid w:val="009D13E9"/>
    <w:rsid w:val="009D14BC"/>
    <w:rsid w:val="009D17D3"/>
    <w:rsid w:val="009D188A"/>
    <w:rsid w:val="009D203E"/>
    <w:rsid w:val="009D22A1"/>
    <w:rsid w:val="009D292A"/>
    <w:rsid w:val="009D3140"/>
    <w:rsid w:val="009D364B"/>
    <w:rsid w:val="009D3793"/>
    <w:rsid w:val="009D3E26"/>
    <w:rsid w:val="009D42AC"/>
    <w:rsid w:val="009D452F"/>
    <w:rsid w:val="009D4E80"/>
    <w:rsid w:val="009D52A0"/>
    <w:rsid w:val="009D5642"/>
    <w:rsid w:val="009D57D5"/>
    <w:rsid w:val="009D63E2"/>
    <w:rsid w:val="009D68FB"/>
    <w:rsid w:val="009D732B"/>
    <w:rsid w:val="009E1CB2"/>
    <w:rsid w:val="009E1F16"/>
    <w:rsid w:val="009E206E"/>
    <w:rsid w:val="009E2450"/>
    <w:rsid w:val="009E24A5"/>
    <w:rsid w:val="009E31AA"/>
    <w:rsid w:val="009E31AD"/>
    <w:rsid w:val="009E412D"/>
    <w:rsid w:val="009E4181"/>
    <w:rsid w:val="009E444E"/>
    <w:rsid w:val="009E4E37"/>
    <w:rsid w:val="009E545B"/>
    <w:rsid w:val="009E5A79"/>
    <w:rsid w:val="009E61EE"/>
    <w:rsid w:val="009E65E3"/>
    <w:rsid w:val="009E660A"/>
    <w:rsid w:val="009E6C65"/>
    <w:rsid w:val="009E71FE"/>
    <w:rsid w:val="009F0167"/>
    <w:rsid w:val="009F04BC"/>
    <w:rsid w:val="009F0BE1"/>
    <w:rsid w:val="009F103A"/>
    <w:rsid w:val="009F14D0"/>
    <w:rsid w:val="009F1684"/>
    <w:rsid w:val="009F3502"/>
    <w:rsid w:val="009F356F"/>
    <w:rsid w:val="009F36AD"/>
    <w:rsid w:val="009F3A73"/>
    <w:rsid w:val="009F3E4F"/>
    <w:rsid w:val="009F3FFB"/>
    <w:rsid w:val="009F439A"/>
    <w:rsid w:val="009F4BBA"/>
    <w:rsid w:val="009F4D8D"/>
    <w:rsid w:val="009F51B0"/>
    <w:rsid w:val="009F53BD"/>
    <w:rsid w:val="009F550C"/>
    <w:rsid w:val="009F57C8"/>
    <w:rsid w:val="009F63B2"/>
    <w:rsid w:val="009F6942"/>
    <w:rsid w:val="009F6B03"/>
    <w:rsid w:val="009F6CFB"/>
    <w:rsid w:val="009F776B"/>
    <w:rsid w:val="00A00714"/>
    <w:rsid w:val="00A008E8"/>
    <w:rsid w:val="00A008EC"/>
    <w:rsid w:val="00A00905"/>
    <w:rsid w:val="00A00A03"/>
    <w:rsid w:val="00A01162"/>
    <w:rsid w:val="00A01409"/>
    <w:rsid w:val="00A01CC1"/>
    <w:rsid w:val="00A03548"/>
    <w:rsid w:val="00A03D23"/>
    <w:rsid w:val="00A03E8B"/>
    <w:rsid w:val="00A03F1D"/>
    <w:rsid w:val="00A04ABD"/>
    <w:rsid w:val="00A04EA5"/>
    <w:rsid w:val="00A051A6"/>
    <w:rsid w:val="00A05690"/>
    <w:rsid w:val="00A05DD3"/>
    <w:rsid w:val="00A05FE9"/>
    <w:rsid w:val="00A06675"/>
    <w:rsid w:val="00A072A8"/>
    <w:rsid w:val="00A10C16"/>
    <w:rsid w:val="00A10FA6"/>
    <w:rsid w:val="00A11898"/>
    <w:rsid w:val="00A120FB"/>
    <w:rsid w:val="00A13512"/>
    <w:rsid w:val="00A13C71"/>
    <w:rsid w:val="00A142D1"/>
    <w:rsid w:val="00A143AC"/>
    <w:rsid w:val="00A148A0"/>
    <w:rsid w:val="00A14D9D"/>
    <w:rsid w:val="00A14DDD"/>
    <w:rsid w:val="00A14E55"/>
    <w:rsid w:val="00A155BA"/>
    <w:rsid w:val="00A158CC"/>
    <w:rsid w:val="00A1592C"/>
    <w:rsid w:val="00A15A27"/>
    <w:rsid w:val="00A1675E"/>
    <w:rsid w:val="00A16920"/>
    <w:rsid w:val="00A16E48"/>
    <w:rsid w:val="00A16F0E"/>
    <w:rsid w:val="00A17091"/>
    <w:rsid w:val="00A171B6"/>
    <w:rsid w:val="00A174B3"/>
    <w:rsid w:val="00A17F05"/>
    <w:rsid w:val="00A201CB"/>
    <w:rsid w:val="00A204D8"/>
    <w:rsid w:val="00A207D5"/>
    <w:rsid w:val="00A20AA9"/>
    <w:rsid w:val="00A21096"/>
    <w:rsid w:val="00A21567"/>
    <w:rsid w:val="00A21F76"/>
    <w:rsid w:val="00A22242"/>
    <w:rsid w:val="00A22264"/>
    <w:rsid w:val="00A22570"/>
    <w:rsid w:val="00A22E51"/>
    <w:rsid w:val="00A23A00"/>
    <w:rsid w:val="00A23B5A"/>
    <w:rsid w:val="00A23F99"/>
    <w:rsid w:val="00A24140"/>
    <w:rsid w:val="00A24C93"/>
    <w:rsid w:val="00A24DD4"/>
    <w:rsid w:val="00A2552E"/>
    <w:rsid w:val="00A25751"/>
    <w:rsid w:val="00A25B1B"/>
    <w:rsid w:val="00A25E02"/>
    <w:rsid w:val="00A25FC5"/>
    <w:rsid w:val="00A2714F"/>
    <w:rsid w:val="00A2715D"/>
    <w:rsid w:val="00A27672"/>
    <w:rsid w:val="00A2788C"/>
    <w:rsid w:val="00A301F6"/>
    <w:rsid w:val="00A30244"/>
    <w:rsid w:val="00A30584"/>
    <w:rsid w:val="00A30887"/>
    <w:rsid w:val="00A30E44"/>
    <w:rsid w:val="00A313B1"/>
    <w:rsid w:val="00A314B2"/>
    <w:rsid w:val="00A3180D"/>
    <w:rsid w:val="00A32050"/>
    <w:rsid w:val="00A32209"/>
    <w:rsid w:val="00A3265F"/>
    <w:rsid w:val="00A32ADA"/>
    <w:rsid w:val="00A32AE1"/>
    <w:rsid w:val="00A339D3"/>
    <w:rsid w:val="00A342F9"/>
    <w:rsid w:val="00A34A8E"/>
    <w:rsid w:val="00A34E2C"/>
    <w:rsid w:val="00A34E66"/>
    <w:rsid w:val="00A34F96"/>
    <w:rsid w:val="00A3547A"/>
    <w:rsid w:val="00A35608"/>
    <w:rsid w:val="00A356E1"/>
    <w:rsid w:val="00A35D62"/>
    <w:rsid w:val="00A3616A"/>
    <w:rsid w:val="00A36535"/>
    <w:rsid w:val="00A3653C"/>
    <w:rsid w:val="00A36950"/>
    <w:rsid w:val="00A37278"/>
    <w:rsid w:val="00A372CF"/>
    <w:rsid w:val="00A372E0"/>
    <w:rsid w:val="00A3741A"/>
    <w:rsid w:val="00A40108"/>
    <w:rsid w:val="00A4100C"/>
    <w:rsid w:val="00A410FB"/>
    <w:rsid w:val="00A41A09"/>
    <w:rsid w:val="00A427F9"/>
    <w:rsid w:val="00A428D5"/>
    <w:rsid w:val="00A42B46"/>
    <w:rsid w:val="00A42EFA"/>
    <w:rsid w:val="00A4301B"/>
    <w:rsid w:val="00A43273"/>
    <w:rsid w:val="00A43D61"/>
    <w:rsid w:val="00A44A33"/>
    <w:rsid w:val="00A45167"/>
    <w:rsid w:val="00A45FB6"/>
    <w:rsid w:val="00A46081"/>
    <w:rsid w:val="00A46253"/>
    <w:rsid w:val="00A467BB"/>
    <w:rsid w:val="00A4691B"/>
    <w:rsid w:val="00A469B2"/>
    <w:rsid w:val="00A46F51"/>
    <w:rsid w:val="00A47D2F"/>
    <w:rsid w:val="00A47E60"/>
    <w:rsid w:val="00A47EBA"/>
    <w:rsid w:val="00A47FFA"/>
    <w:rsid w:val="00A51932"/>
    <w:rsid w:val="00A51F22"/>
    <w:rsid w:val="00A52229"/>
    <w:rsid w:val="00A524C8"/>
    <w:rsid w:val="00A52BEB"/>
    <w:rsid w:val="00A52D20"/>
    <w:rsid w:val="00A537CF"/>
    <w:rsid w:val="00A53BD6"/>
    <w:rsid w:val="00A53D94"/>
    <w:rsid w:val="00A54595"/>
    <w:rsid w:val="00A547E3"/>
    <w:rsid w:val="00A55000"/>
    <w:rsid w:val="00A551AC"/>
    <w:rsid w:val="00A552E4"/>
    <w:rsid w:val="00A5596A"/>
    <w:rsid w:val="00A55A29"/>
    <w:rsid w:val="00A561CE"/>
    <w:rsid w:val="00A5633F"/>
    <w:rsid w:val="00A5641B"/>
    <w:rsid w:val="00A56658"/>
    <w:rsid w:val="00A56775"/>
    <w:rsid w:val="00A56A18"/>
    <w:rsid w:val="00A56E84"/>
    <w:rsid w:val="00A57811"/>
    <w:rsid w:val="00A6023B"/>
    <w:rsid w:val="00A61447"/>
    <w:rsid w:val="00A617D8"/>
    <w:rsid w:val="00A61A50"/>
    <w:rsid w:val="00A621C0"/>
    <w:rsid w:val="00A6239B"/>
    <w:rsid w:val="00A62540"/>
    <w:rsid w:val="00A62A36"/>
    <w:rsid w:val="00A63108"/>
    <w:rsid w:val="00A6388A"/>
    <w:rsid w:val="00A63AD2"/>
    <w:rsid w:val="00A63CDA"/>
    <w:rsid w:val="00A63EB5"/>
    <w:rsid w:val="00A6456A"/>
    <w:rsid w:val="00A64DA5"/>
    <w:rsid w:val="00A674DD"/>
    <w:rsid w:val="00A675C9"/>
    <w:rsid w:val="00A67910"/>
    <w:rsid w:val="00A67A2B"/>
    <w:rsid w:val="00A67AAC"/>
    <w:rsid w:val="00A67EAE"/>
    <w:rsid w:val="00A70085"/>
    <w:rsid w:val="00A7009F"/>
    <w:rsid w:val="00A7024A"/>
    <w:rsid w:val="00A70277"/>
    <w:rsid w:val="00A70768"/>
    <w:rsid w:val="00A709BF"/>
    <w:rsid w:val="00A70D2A"/>
    <w:rsid w:val="00A71BB2"/>
    <w:rsid w:val="00A71DE0"/>
    <w:rsid w:val="00A7209C"/>
    <w:rsid w:val="00A72382"/>
    <w:rsid w:val="00A725BF"/>
    <w:rsid w:val="00A729AF"/>
    <w:rsid w:val="00A729F7"/>
    <w:rsid w:val="00A72C20"/>
    <w:rsid w:val="00A72F32"/>
    <w:rsid w:val="00A73374"/>
    <w:rsid w:val="00A73DC9"/>
    <w:rsid w:val="00A7403F"/>
    <w:rsid w:val="00A741F2"/>
    <w:rsid w:val="00A74319"/>
    <w:rsid w:val="00A74B17"/>
    <w:rsid w:val="00A74DFE"/>
    <w:rsid w:val="00A75249"/>
    <w:rsid w:val="00A7525E"/>
    <w:rsid w:val="00A75399"/>
    <w:rsid w:val="00A75455"/>
    <w:rsid w:val="00A75E31"/>
    <w:rsid w:val="00A7607E"/>
    <w:rsid w:val="00A762C5"/>
    <w:rsid w:val="00A77F83"/>
    <w:rsid w:val="00A8060B"/>
    <w:rsid w:val="00A80680"/>
    <w:rsid w:val="00A80ED8"/>
    <w:rsid w:val="00A81017"/>
    <w:rsid w:val="00A8129E"/>
    <w:rsid w:val="00A81B3A"/>
    <w:rsid w:val="00A81C21"/>
    <w:rsid w:val="00A81D98"/>
    <w:rsid w:val="00A82174"/>
    <w:rsid w:val="00A82B93"/>
    <w:rsid w:val="00A82D0F"/>
    <w:rsid w:val="00A82FD2"/>
    <w:rsid w:val="00A8351D"/>
    <w:rsid w:val="00A836DB"/>
    <w:rsid w:val="00A83EC2"/>
    <w:rsid w:val="00A842B7"/>
    <w:rsid w:val="00A84CB8"/>
    <w:rsid w:val="00A853AB"/>
    <w:rsid w:val="00A854ED"/>
    <w:rsid w:val="00A85939"/>
    <w:rsid w:val="00A86DF7"/>
    <w:rsid w:val="00A870E9"/>
    <w:rsid w:val="00A87AF6"/>
    <w:rsid w:val="00A87B32"/>
    <w:rsid w:val="00A87DBB"/>
    <w:rsid w:val="00A9032C"/>
    <w:rsid w:val="00A90AA9"/>
    <w:rsid w:val="00A90E4B"/>
    <w:rsid w:val="00A91256"/>
    <w:rsid w:val="00A9126B"/>
    <w:rsid w:val="00A91550"/>
    <w:rsid w:val="00A91777"/>
    <w:rsid w:val="00A91BB7"/>
    <w:rsid w:val="00A92204"/>
    <w:rsid w:val="00A922D1"/>
    <w:rsid w:val="00A927F1"/>
    <w:rsid w:val="00A92F07"/>
    <w:rsid w:val="00A93399"/>
    <w:rsid w:val="00A942A8"/>
    <w:rsid w:val="00A95018"/>
    <w:rsid w:val="00A950F4"/>
    <w:rsid w:val="00A9515E"/>
    <w:rsid w:val="00A95818"/>
    <w:rsid w:val="00A96B23"/>
    <w:rsid w:val="00A97FA4"/>
    <w:rsid w:val="00AA023A"/>
    <w:rsid w:val="00AA0639"/>
    <w:rsid w:val="00AA0D62"/>
    <w:rsid w:val="00AA11D8"/>
    <w:rsid w:val="00AA12FB"/>
    <w:rsid w:val="00AA1A37"/>
    <w:rsid w:val="00AA220D"/>
    <w:rsid w:val="00AA26D8"/>
    <w:rsid w:val="00AA2D89"/>
    <w:rsid w:val="00AA367F"/>
    <w:rsid w:val="00AA3695"/>
    <w:rsid w:val="00AA3A1A"/>
    <w:rsid w:val="00AA3B5D"/>
    <w:rsid w:val="00AA4033"/>
    <w:rsid w:val="00AA4402"/>
    <w:rsid w:val="00AA48ED"/>
    <w:rsid w:val="00AA4C69"/>
    <w:rsid w:val="00AA5329"/>
    <w:rsid w:val="00AA5530"/>
    <w:rsid w:val="00AA5697"/>
    <w:rsid w:val="00AA5CC6"/>
    <w:rsid w:val="00AA6068"/>
    <w:rsid w:val="00AA7044"/>
    <w:rsid w:val="00AA7239"/>
    <w:rsid w:val="00AA7D06"/>
    <w:rsid w:val="00AA7D36"/>
    <w:rsid w:val="00AA7E93"/>
    <w:rsid w:val="00AA7F82"/>
    <w:rsid w:val="00AB00D6"/>
    <w:rsid w:val="00AB21D1"/>
    <w:rsid w:val="00AB2264"/>
    <w:rsid w:val="00AB25D0"/>
    <w:rsid w:val="00AB295E"/>
    <w:rsid w:val="00AB3529"/>
    <w:rsid w:val="00AB4355"/>
    <w:rsid w:val="00AB4D59"/>
    <w:rsid w:val="00AB5217"/>
    <w:rsid w:val="00AB55F9"/>
    <w:rsid w:val="00AB6614"/>
    <w:rsid w:val="00AB662B"/>
    <w:rsid w:val="00AB6A9C"/>
    <w:rsid w:val="00AB6C39"/>
    <w:rsid w:val="00AB7D51"/>
    <w:rsid w:val="00AB7D98"/>
    <w:rsid w:val="00AC0A12"/>
    <w:rsid w:val="00AC0F4F"/>
    <w:rsid w:val="00AC0F8A"/>
    <w:rsid w:val="00AC1113"/>
    <w:rsid w:val="00AC1136"/>
    <w:rsid w:val="00AC161B"/>
    <w:rsid w:val="00AC16A4"/>
    <w:rsid w:val="00AC18A4"/>
    <w:rsid w:val="00AC19AB"/>
    <w:rsid w:val="00AC1A02"/>
    <w:rsid w:val="00AC1F6C"/>
    <w:rsid w:val="00AC2755"/>
    <w:rsid w:val="00AC2BC3"/>
    <w:rsid w:val="00AC3133"/>
    <w:rsid w:val="00AC32E7"/>
    <w:rsid w:val="00AC3338"/>
    <w:rsid w:val="00AC33A5"/>
    <w:rsid w:val="00AC33D2"/>
    <w:rsid w:val="00AC3842"/>
    <w:rsid w:val="00AC3C5E"/>
    <w:rsid w:val="00AC4496"/>
    <w:rsid w:val="00AC45CF"/>
    <w:rsid w:val="00AC45DF"/>
    <w:rsid w:val="00AC47F7"/>
    <w:rsid w:val="00AC616D"/>
    <w:rsid w:val="00AC6184"/>
    <w:rsid w:val="00AC6612"/>
    <w:rsid w:val="00AC7AE9"/>
    <w:rsid w:val="00AC7E07"/>
    <w:rsid w:val="00AD17CC"/>
    <w:rsid w:val="00AD25B0"/>
    <w:rsid w:val="00AD2E20"/>
    <w:rsid w:val="00AD2EA5"/>
    <w:rsid w:val="00AD3995"/>
    <w:rsid w:val="00AD39A2"/>
    <w:rsid w:val="00AD46B7"/>
    <w:rsid w:val="00AD47DD"/>
    <w:rsid w:val="00AD4B4E"/>
    <w:rsid w:val="00AD4B83"/>
    <w:rsid w:val="00AD6150"/>
    <w:rsid w:val="00AD62A2"/>
    <w:rsid w:val="00AD6E24"/>
    <w:rsid w:val="00AE1799"/>
    <w:rsid w:val="00AE19E9"/>
    <w:rsid w:val="00AE2095"/>
    <w:rsid w:val="00AE26A2"/>
    <w:rsid w:val="00AE26C3"/>
    <w:rsid w:val="00AE28B1"/>
    <w:rsid w:val="00AE28EB"/>
    <w:rsid w:val="00AE2CDB"/>
    <w:rsid w:val="00AE2F24"/>
    <w:rsid w:val="00AE3A56"/>
    <w:rsid w:val="00AE3C96"/>
    <w:rsid w:val="00AE3FEA"/>
    <w:rsid w:val="00AE4D65"/>
    <w:rsid w:val="00AE5206"/>
    <w:rsid w:val="00AE521E"/>
    <w:rsid w:val="00AE5248"/>
    <w:rsid w:val="00AE53D9"/>
    <w:rsid w:val="00AE5D74"/>
    <w:rsid w:val="00AE6432"/>
    <w:rsid w:val="00AE6818"/>
    <w:rsid w:val="00AE69DE"/>
    <w:rsid w:val="00AE6AE6"/>
    <w:rsid w:val="00AE6C6A"/>
    <w:rsid w:val="00AE6EC9"/>
    <w:rsid w:val="00AE7192"/>
    <w:rsid w:val="00AF040E"/>
    <w:rsid w:val="00AF042F"/>
    <w:rsid w:val="00AF05D4"/>
    <w:rsid w:val="00AF0A3D"/>
    <w:rsid w:val="00AF0C9C"/>
    <w:rsid w:val="00AF0D54"/>
    <w:rsid w:val="00AF1325"/>
    <w:rsid w:val="00AF1340"/>
    <w:rsid w:val="00AF1459"/>
    <w:rsid w:val="00AF1887"/>
    <w:rsid w:val="00AF1B7F"/>
    <w:rsid w:val="00AF22E3"/>
    <w:rsid w:val="00AF258E"/>
    <w:rsid w:val="00AF2790"/>
    <w:rsid w:val="00AF3197"/>
    <w:rsid w:val="00AF3280"/>
    <w:rsid w:val="00AF375C"/>
    <w:rsid w:val="00AF3838"/>
    <w:rsid w:val="00AF3B03"/>
    <w:rsid w:val="00AF43FC"/>
    <w:rsid w:val="00AF4892"/>
    <w:rsid w:val="00AF4C7E"/>
    <w:rsid w:val="00AF4C84"/>
    <w:rsid w:val="00AF4C9B"/>
    <w:rsid w:val="00AF4DE8"/>
    <w:rsid w:val="00AF5033"/>
    <w:rsid w:val="00AF5169"/>
    <w:rsid w:val="00AF5183"/>
    <w:rsid w:val="00AF5CC7"/>
    <w:rsid w:val="00AF5D3E"/>
    <w:rsid w:val="00AF61BE"/>
    <w:rsid w:val="00AF6595"/>
    <w:rsid w:val="00AF6858"/>
    <w:rsid w:val="00AF6CB6"/>
    <w:rsid w:val="00AF6CF7"/>
    <w:rsid w:val="00AF6FC7"/>
    <w:rsid w:val="00AF749B"/>
    <w:rsid w:val="00AF7774"/>
    <w:rsid w:val="00AF7B5D"/>
    <w:rsid w:val="00B00307"/>
    <w:rsid w:val="00B00891"/>
    <w:rsid w:val="00B00949"/>
    <w:rsid w:val="00B01014"/>
    <w:rsid w:val="00B01341"/>
    <w:rsid w:val="00B0169E"/>
    <w:rsid w:val="00B01889"/>
    <w:rsid w:val="00B02275"/>
    <w:rsid w:val="00B02657"/>
    <w:rsid w:val="00B03363"/>
    <w:rsid w:val="00B03FD1"/>
    <w:rsid w:val="00B0406B"/>
    <w:rsid w:val="00B06137"/>
    <w:rsid w:val="00B06538"/>
    <w:rsid w:val="00B06988"/>
    <w:rsid w:val="00B06D1D"/>
    <w:rsid w:val="00B073CF"/>
    <w:rsid w:val="00B07B16"/>
    <w:rsid w:val="00B07C9D"/>
    <w:rsid w:val="00B104F1"/>
    <w:rsid w:val="00B1070F"/>
    <w:rsid w:val="00B10E04"/>
    <w:rsid w:val="00B116F9"/>
    <w:rsid w:val="00B119DA"/>
    <w:rsid w:val="00B11C91"/>
    <w:rsid w:val="00B12444"/>
    <w:rsid w:val="00B1294A"/>
    <w:rsid w:val="00B129E8"/>
    <w:rsid w:val="00B13230"/>
    <w:rsid w:val="00B13AFE"/>
    <w:rsid w:val="00B13C7F"/>
    <w:rsid w:val="00B13DA4"/>
    <w:rsid w:val="00B14069"/>
    <w:rsid w:val="00B143B3"/>
    <w:rsid w:val="00B143E3"/>
    <w:rsid w:val="00B145FC"/>
    <w:rsid w:val="00B1476B"/>
    <w:rsid w:val="00B15C49"/>
    <w:rsid w:val="00B15E5A"/>
    <w:rsid w:val="00B1620A"/>
    <w:rsid w:val="00B1694C"/>
    <w:rsid w:val="00B1705E"/>
    <w:rsid w:val="00B17DD0"/>
    <w:rsid w:val="00B20265"/>
    <w:rsid w:val="00B2072D"/>
    <w:rsid w:val="00B20B8A"/>
    <w:rsid w:val="00B210F2"/>
    <w:rsid w:val="00B21368"/>
    <w:rsid w:val="00B21405"/>
    <w:rsid w:val="00B21520"/>
    <w:rsid w:val="00B21ED4"/>
    <w:rsid w:val="00B21F67"/>
    <w:rsid w:val="00B223FF"/>
    <w:rsid w:val="00B22532"/>
    <w:rsid w:val="00B22B40"/>
    <w:rsid w:val="00B22D99"/>
    <w:rsid w:val="00B2389A"/>
    <w:rsid w:val="00B24039"/>
    <w:rsid w:val="00B24319"/>
    <w:rsid w:val="00B24337"/>
    <w:rsid w:val="00B24BDD"/>
    <w:rsid w:val="00B24BF0"/>
    <w:rsid w:val="00B24D46"/>
    <w:rsid w:val="00B25853"/>
    <w:rsid w:val="00B25D0B"/>
    <w:rsid w:val="00B26F97"/>
    <w:rsid w:val="00B27432"/>
    <w:rsid w:val="00B27B29"/>
    <w:rsid w:val="00B27B2D"/>
    <w:rsid w:val="00B3011F"/>
    <w:rsid w:val="00B3031C"/>
    <w:rsid w:val="00B3037B"/>
    <w:rsid w:val="00B30CAC"/>
    <w:rsid w:val="00B31491"/>
    <w:rsid w:val="00B315AF"/>
    <w:rsid w:val="00B31B0A"/>
    <w:rsid w:val="00B31E6C"/>
    <w:rsid w:val="00B324BD"/>
    <w:rsid w:val="00B33240"/>
    <w:rsid w:val="00B332A6"/>
    <w:rsid w:val="00B332AE"/>
    <w:rsid w:val="00B33386"/>
    <w:rsid w:val="00B3345A"/>
    <w:rsid w:val="00B3415C"/>
    <w:rsid w:val="00B34207"/>
    <w:rsid w:val="00B34FED"/>
    <w:rsid w:val="00B356C1"/>
    <w:rsid w:val="00B35882"/>
    <w:rsid w:val="00B35884"/>
    <w:rsid w:val="00B35D33"/>
    <w:rsid w:val="00B36023"/>
    <w:rsid w:val="00B3604B"/>
    <w:rsid w:val="00B36129"/>
    <w:rsid w:val="00B36517"/>
    <w:rsid w:val="00B36868"/>
    <w:rsid w:val="00B36F71"/>
    <w:rsid w:val="00B3729A"/>
    <w:rsid w:val="00B374DF"/>
    <w:rsid w:val="00B3766B"/>
    <w:rsid w:val="00B37A03"/>
    <w:rsid w:val="00B37E03"/>
    <w:rsid w:val="00B404E6"/>
    <w:rsid w:val="00B404FF"/>
    <w:rsid w:val="00B4097F"/>
    <w:rsid w:val="00B40CBB"/>
    <w:rsid w:val="00B41527"/>
    <w:rsid w:val="00B416F4"/>
    <w:rsid w:val="00B41EED"/>
    <w:rsid w:val="00B423ED"/>
    <w:rsid w:val="00B43003"/>
    <w:rsid w:val="00B43009"/>
    <w:rsid w:val="00B43B56"/>
    <w:rsid w:val="00B43C85"/>
    <w:rsid w:val="00B43DF6"/>
    <w:rsid w:val="00B43F83"/>
    <w:rsid w:val="00B442FD"/>
    <w:rsid w:val="00B4478A"/>
    <w:rsid w:val="00B44791"/>
    <w:rsid w:val="00B44B4E"/>
    <w:rsid w:val="00B44B71"/>
    <w:rsid w:val="00B44C6B"/>
    <w:rsid w:val="00B44F8C"/>
    <w:rsid w:val="00B450C6"/>
    <w:rsid w:val="00B4517B"/>
    <w:rsid w:val="00B467AF"/>
    <w:rsid w:val="00B46D2B"/>
    <w:rsid w:val="00B46F9C"/>
    <w:rsid w:val="00B4766E"/>
    <w:rsid w:val="00B50546"/>
    <w:rsid w:val="00B5063A"/>
    <w:rsid w:val="00B50D31"/>
    <w:rsid w:val="00B50D62"/>
    <w:rsid w:val="00B516C5"/>
    <w:rsid w:val="00B51775"/>
    <w:rsid w:val="00B51B3E"/>
    <w:rsid w:val="00B52527"/>
    <w:rsid w:val="00B52AB2"/>
    <w:rsid w:val="00B532DB"/>
    <w:rsid w:val="00B53C28"/>
    <w:rsid w:val="00B53E50"/>
    <w:rsid w:val="00B5464E"/>
    <w:rsid w:val="00B547E8"/>
    <w:rsid w:val="00B547F8"/>
    <w:rsid w:val="00B54E8B"/>
    <w:rsid w:val="00B555D6"/>
    <w:rsid w:val="00B57F3E"/>
    <w:rsid w:val="00B60196"/>
    <w:rsid w:val="00B6033F"/>
    <w:rsid w:val="00B60B57"/>
    <w:rsid w:val="00B60CEB"/>
    <w:rsid w:val="00B614E8"/>
    <w:rsid w:val="00B61D4E"/>
    <w:rsid w:val="00B621A5"/>
    <w:rsid w:val="00B6268E"/>
    <w:rsid w:val="00B62A0D"/>
    <w:rsid w:val="00B62D4B"/>
    <w:rsid w:val="00B63117"/>
    <w:rsid w:val="00B63141"/>
    <w:rsid w:val="00B63162"/>
    <w:rsid w:val="00B637DD"/>
    <w:rsid w:val="00B638D6"/>
    <w:rsid w:val="00B639E6"/>
    <w:rsid w:val="00B63B13"/>
    <w:rsid w:val="00B63C59"/>
    <w:rsid w:val="00B63C61"/>
    <w:rsid w:val="00B6413C"/>
    <w:rsid w:val="00B64853"/>
    <w:rsid w:val="00B64C79"/>
    <w:rsid w:val="00B6517F"/>
    <w:rsid w:val="00B65500"/>
    <w:rsid w:val="00B659FB"/>
    <w:rsid w:val="00B664DA"/>
    <w:rsid w:val="00B6658E"/>
    <w:rsid w:val="00B666B6"/>
    <w:rsid w:val="00B667E8"/>
    <w:rsid w:val="00B70838"/>
    <w:rsid w:val="00B71185"/>
    <w:rsid w:val="00B71532"/>
    <w:rsid w:val="00B71711"/>
    <w:rsid w:val="00B7182D"/>
    <w:rsid w:val="00B72579"/>
    <w:rsid w:val="00B734E8"/>
    <w:rsid w:val="00B7371D"/>
    <w:rsid w:val="00B73897"/>
    <w:rsid w:val="00B73E87"/>
    <w:rsid w:val="00B740A4"/>
    <w:rsid w:val="00B74221"/>
    <w:rsid w:val="00B746A9"/>
    <w:rsid w:val="00B74A64"/>
    <w:rsid w:val="00B74D55"/>
    <w:rsid w:val="00B7511A"/>
    <w:rsid w:val="00B75268"/>
    <w:rsid w:val="00B7569D"/>
    <w:rsid w:val="00B75BC2"/>
    <w:rsid w:val="00B75F16"/>
    <w:rsid w:val="00B7602F"/>
    <w:rsid w:val="00B7698A"/>
    <w:rsid w:val="00B773A1"/>
    <w:rsid w:val="00B77C64"/>
    <w:rsid w:val="00B8026C"/>
    <w:rsid w:val="00B809F8"/>
    <w:rsid w:val="00B81D46"/>
    <w:rsid w:val="00B81DEB"/>
    <w:rsid w:val="00B822A4"/>
    <w:rsid w:val="00B82C95"/>
    <w:rsid w:val="00B830A1"/>
    <w:rsid w:val="00B831A1"/>
    <w:rsid w:val="00B83771"/>
    <w:rsid w:val="00B83A62"/>
    <w:rsid w:val="00B83AA9"/>
    <w:rsid w:val="00B83DE6"/>
    <w:rsid w:val="00B84034"/>
    <w:rsid w:val="00B847EB"/>
    <w:rsid w:val="00B8504F"/>
    <w:rsid w:val="00B8667B"/>
    <w:rsid w:val="00B867F7"/>
    <w:rsid w:val="00B869DE"/>
    <w:rsid w:val="00B86F5C"/>
    <w:rsid w:val="00B874EA"/>
    <w:rsid w:val="00B87A7D"/>
    <w:rsid w:val="00B87D63"/>
    <w:rsid w:val="00B90DB2"/>
    <w:rsid w:val="00B919F3"/>
    <w:rsid w:val="00B91A8A"/>
    <w:rsid w:val="00B91EB8"/>
    <w:rsid w:val="00B91F05"/>
    <w:rsid w:val="00B92718"/>
    <w:rsid w:val="00B93B6B"/>
    <w:rsid w:val="00B942C2"/>
    <w:rsid w:val="00B94668"/>
    <w:rsid w:val="00B94B65"/>
    <w:rsid w:val="00B95C47"/>
    <w:rsid w:val="00B96307"/>
    <w:rsid w:val="00B965AE"/>
    <w:rsid w:val="00B96B55"/>
    <w:rsid w:val="00B96CCB"/>
    <w:rsid w:val="00B97390"/>
    <w:rsid w:val="00B9755F"/>
    <w:rsid w:val="00B977CF"/>
    <w:rsid w:val="00B97828"/>
    <w:rsid w:val="00B979B0"/>
    <w:rsid w:val="00B97EC5"/>
    <w:rsid w:val="00BA0115"/>
    <w:rsid w:val="00BA088E"/>
    <w:rsid w:val="00BA0E42"/>
    <w:rsid w:val="00BA169F"/>
    <w:rsid w:val="00BA18B1"/>
    <w:rsid w:val="00BA1CEF"/>
    <w:rsid w:val="00BA1E84"/>
    <w:rsid w:val="00BA1FCB"/>
    <w:rsid w:val="00BA2038"/>
    <w:rsid w:val="00BA25A7"/>
    <w:rsid w:val="00BA2696"/>
    <w:rsid w:val="00BA2948"/>
    <w:rsid w:val="00BA2C93"/>
    <w:rsid w:val="00BA2CC3"/>
    <w:rsid w:val="00BA2D5E"/>
    <w:rsid w:val="00BA3051"/>
    <w:rsid w:val="00BA30CE"/>
    <w:rsid w:val="00BA33A6"/>
    <w:rsid w:val="00BA39EA"/>
    <w:rsid w:val="00BA4119"/>
    <w:rsid w:val="00BA449C"/>
    <w:rsid w:val="00BA46DC"/>
    <w:rsid w:val="00BA5D55"/>
    <w:rsid w:val="00BA6477"/>
    <w:rsid w:val="00BA6D57"/>
    <w:rsid w:val="00BA709C"/>
    <w:rsid w:val="00BA73E5"/>
    <w:rsid w:val="00BA79E1"/>
    <w:rsid w:val="00BA7A53"/>
    <w:rsid w:val="00BA7A55"/>
    <w:rsid w:val="00BA7A92"/>
    <w:rsid w:val="00BB006E"/>
    <w:rsid w:val="00BB0196"/>
    <w:rsid w:val="00BB0226"/>
    <w:rsid w:val="00BB0305"/>
    <w:rsid w:val="00BB054A"/>
    <w:rsid w:val="00BB0DB8"/>
    <w:rsid w:val="00BB16CF"/>
    <w:rsid w:val="00BB1E0D"/>
    <w:rsid w:val="00BB2409"/>
    <w:rsid w:val="00BB27AA"/>
    <w:rsid w:val="00BB2AC3"/>
    <w:rsid w:val="00BB2CF6"/>
    <w:rsid w:val="00BB2E22"/>
    <w:rsid w:val="00BB3056"/>
    <w:rsid w:val="00BB396F"/>
    <w:rsid w:val="00BB423A"/>
    <w:rsid w:val="00BB548F"/>
    <w:rsid w:val="00BB55F7"/>
    <w:rsid w:val="00BB5EA1"/>
    <w:rsid w:val="00BB65B7"/>
    <w:rsid w:val="00BB674A"/>
    <w:rsid w:val="00BB6DBE"/>
    <w:rsid w:val="00BB72D2"/>
    <w:rsid w:val="00BB789F"/>
    <w:rsid w:val="00BC0A0C"/>
    <w:rsid w:val="00BC0A3F"/>
    <w:rsid w:val="00BC0D13"/>
    <w:rsid w:val="00BC0EF8"/>
    <w:rsid w:val="00BC1A09"/>
    <w:rsid w:val="00BC2277"/>
    <w:rsid w:val="00BC24EC"/>
    <w:rsid w:val="00BC296A"/>
    <w:rsid w:val="00BC2D2A"/>
    <w:rsid w:val="00BC3CD5"/>
    <w:rsid w:val="00BC3F4A"/>
    <w:rsid w:val="00BC407B"/>
    <w:rsid w:val="00BC4673"/>
    <w:rsid w:val="00BC49D1"/>
    <w:rsid w:val="00BC4B4D"/>
    <w:rsid w:val="00BC4F19"/>
    <w:rsid w:val="00BC523C"/>
    <w:rsid w:val="00BC585A"/>
    <w:rsid w:val="00BC5B22"/>
    <w:rsid w:val="00BC5BBB"/>
    <w:rsid w:val="00BC5BD1"/>
    <w:rsid w:val="00BC6A61"/>
    <w:rsid w:val="00BC6E7B"/>
    <w:rsid w:val="00BC75EC"/>
    <w:rsid w:val="00BC7805"/>
    <w:rsid w:val="00BC7A24"/>
    <w:rsid w:val="00BD031F"/>
    <w:rsid w:val="00BD1315"/>
    <w:rsid w:val="00BD1470"/>
    <w:rsid w:val="00BD2316"/>
    <w:rsid w:val="00BD2531"/>
    <w:rsid w:val="00BD3289"/>
    <w:rsid w:val="00BD377C"/>
    <w:rsid w:val="00BD3AE0"/>
    <w:rsid w:val="00BD3C9A"/>
    <w:rsid w:val="00BD413F"/>
    <w:rsid w:val="00BD45CA"/>
    <w:rsid w:val="00BD4C23"/>
    <w:rsid w:val="00BD4E34"/>
    <w:rsid w:val="00BD4F65"/>
    <w:rsid w:val="00BD55CB"/>
    <w:rsid w:val="00BD57B0"/>
    <w:rsid w:val="00BD57C1"/>
    <w:rsid w:val="00BD5BDC"/>
    <w:rsid w:val="00BD5C08"/>
    <w:rsid w:val="00BD5D56"/>
    <w:rsid w:val="00BD61AE"/>
    <w:rsid w:val="00BD630D"/>
    <w:rsid w:val="00BD64EC"/>
    <w:rsid w:val="00BD66A1"/>
    <w:rsid w:val="00BD6D1F"/>
    <w:rsid w:val="00BD6FDB"/>
    <w:rsid w:val="00BD7124"/>
    <w:rsid w:val="00BD736B"/>
    <w:rsid w:val="00BD737D"/>
    <w:rsid w:val="00BD742C"/>
    <w:rsid w:val="00BD743C"/>
    <w:rsid w:val="00BD7FAA"/>
    <w:rsid w:val="00BE015B"/>
    <w:rsid w:val="00BE046B"/>
    <w:rsid w:val="00BE0E92"/>
    <w:rsid w:val="00BE1780"/>
    <w:rsid w:val="00BE1A0A"/>
    <w:rsid w:val="00BE1CD3"/>
    <w:rsid w:val="00BE217C"/>
    <w:rsid w:val="00BE2407"/>
    <w:rsid w:val="00BE25B9"/>
    <w:rsid w:val="00BE2612"/>
    <w:rsid w:val="00BE2954"/>
    <w:rsid w:val="00BE2AA4"/>
    <w:rsid w:val="00BE3174"/>
    <w:rsid w:val="00BE376A"/>
    <w:rsid w:val="00BE3799"/>
    <w:rsid w:val="00BE3B71"/>
    <w:rsid w:val="00BE46B5"/>
    <w:rsid w:val="00BE4E7E"/>
    <w:rsid w:val="00BE55C5"/>
    <w:rsid w:val="00BE57A8"/>
    <w:rsid w:val="00BE617B"/>
    <w:rsid w:val="00BE6403"/>
    <w:rsid w:val="00BE656D"/>
    <w:rsid w:val="00BE676D"/>
    <w:rsid w:val="00BE67AB"/>
    <w:rsid w:val="00BE6998"/>
    <w:rsid w:val="00BE6A8C"/>
    <w:rsid w:val="00BE77F1"/>
    <w:rsid w:val="00BE7BEA"/>
    <w:rsid w:val="00BE7C52"/>
    <w:rsid w:val="00BF031B"/>
    <w:rsid w:val="00BF05F3"/>
    <w:rsid w:val="00BF0EBF"/>
    <w:rsid w:val="00BF154E"/>
    <w:rsid w:val="00BF197E"/>
    <w:rsid w:val="00BF1ACB"/>
    <w:rsid w:val="00BF1CA4"/>
    <w:rsid w:val="00BF248C"/>
    <w:rsid w:val="00BF271E"/>
    <w:rsid w:val="00BF2D4C"/>
    <w:rsid w:val="00BF2FE2"/>
    <w:rsid w:val="00BF395F"/>
    <w:rsid w:val="00BF3DB8"/>
    <w:rsid w:val="00BF3F4E"/>
    <w:rsid w:val="00BF4153"/>
    <w:rsid w:val="00BF4996"/>
    <w:rsid w:val="00BF6099"/>
    <w:rsid w:val="00BF6129"/>
    <w:rsid w:val="00BF6589"/>
    <w:rsid w:val="00BF6C0E"/>
    <w:rsid w:val="00BF7E75"/>
    <w:rsid w:val="00C00405"/>
    <w:rsid w:val="00C00F87"/>
    <w:rsid w:val="00C00FD4"/>
    <w:rsid w:val="00C011F6"/>
    <w:rsid w:val="00C01487"/>
    <w:rsid w:val="00C01917"/>
    <w:rsid w:val="00C02BA0"/>
    <w:rsid w:val="00C0362B"/>
    <w:rsid w:val="00C042E8"/>
    <w:rsid w:val="00C04CDB"/>
    <w:rsid w:val="00C04EC8"/>
    <w:rsid w:val="00C0509C"/>
    <w:rsid w:val="00C0546A"/>
    <w:rsid w:val="00C05BCF"/>
    <w:rsid w:val="00C05F41"/>
    <w:rsid w:val="00C066D8"/>
    <w:rsid w:val="00C103C9"/>
    <w:rsid w:val="00C10ECE"/>
    <w:rsid w:val="00C11055"/>
    <w:rsid w:val="00C11227"/>
    <w:rsid w:val="00C11296"/>
    <w:rsid w:val="00C1134F"/>
    <w:rsid w:val="00C117A9"/>
    <w:rsid w:val="00C12CB7"/>
    <w:rsid w:val="00C12F37"/>
    <w:rsid w:val="00C14741"/>
    <w:rsid w:val="00C14FAF"/>
    <w:rsid w:val="00C151B7"/>
    <w:rsid w:val="00C152B8"/>
    <w:rsid w:val="00C1544A"/>
    <w:rsid w:val="00C1579C"/>
    <w:rsid w:val="00C16278"/>
    <w:rsid w:val="00C1636A"/>
    <w:rsid w:val="00C16C7D"/>
    <w:rsid w:val="00C16FF4"/>
    <w:rsid w:val="00C174A4"/>
    <w:rsid w:val="00C20BB3"/>
    <w:rsid w:val="00C20EA1"/>
    <w:rsid w:val="00C21601"/>
    <w:rsid w:val="00C21610"/>
    <w:rsid w:val="00C2163B"/>
    <w:rsid w:val="00C21781"/>
    <w:rsid w:val="00C224F9"/>
    <w:rsid w:val="00C226D7"/>
    <w:rsid w:val="00C22AC8"/>
    <w:rsid w:val="00C22BF9"/>
    <w:rsid w:val="00C22FB9"/>
    <w:rsid w:val="00C23B4D"/>
    <w:rsid w:val="00C23CB0"/>
    <w:rsid w:val="00C23E01"/>
    <w:rsid w:val="00C24727"/>
    <w:rsid w:val="00C24D9B"/>
    <w:rsid w:val="00C25167"/>
    <w:rsid w:val="00C25482"/>
    <w:rsid w:val="00C25556"/>
    <w:rsid w:val="00C26094"/>
    <w:rsid w:val="00C26F99"/>
    <w:rsid w:val="00C27078"/>
    <w:rsid w:val="00C270C6"/>
    <w:rsid w:val="00C2790C"/>
    <w:rsid w:val="00C27EA4"/>
    <w:rsid w:val="00C302C6"/>
    <w:rsid w:val="00C30B75"/>
    <w:rsid w:val="00C30FD5"/>
    <w:rsid w:val="00C310F9"/>
    <w:rsid w:val="00C3123F"/>
    <w:rsid w:val="00C313CF"/>
    <w:rsid w:val="00C318A2"/>
    <w:rsid w:val="00C318E5"/>
    <w:rsid w:val="00C319C5"/>
    <w:rsid w:val="00C31BBF"/>
    <w:rsid w:val="00C31D2E"/>
    <w:rsid w:val="00C31DF0"/>
    <w:rsid w:val="00C31E90"/>
    <w:rsid w:val="00C32026"/>
    <w:rsid w:val="00C328D5"/>
    <w:rsid w:val="00C32C9F"/>
    <w:rsid w:val="00C332E7"/>
    <w:rsid w:val="00C33340"/>
    <w:rsid w:val="00C33C54"/>
    <w:rsid w:val="00C33C67"/>
    <w:rsid w:val="00C345E4"/>
    <w:rsid w:val="00C3467F"/>
    <w:rsid w:val="00C34807"/>
    <w:rsid w:val="00C34A52"/>
    <w:rsid w:val="00C3522D"/>
    <w:rsid w:val="00C3528D"/>
    <w:rsid w:val="00C359F0"/>
    <w:rsid w:val="00C35C10"/>
    <w:rsid w:val="00C35C26"/>
    <w:rsid w:val="00C35D93"/>
    <w:rsid w:val="00C36336"/>
    <w:rsid w:val="00C36464"/>
    <w:rsid w:val="00C36F35"/>
    <w:rsid w:val="00C37159"/>
    <w:rsid w:val="00C3762B"/>
    <w:rsid w:val="00C37699"/>
    <w:rsid w:val="00C37B67"/>
    <w:rsid w:val="00C400E9"/>
    <w:rsid w:val="00C41263"/>
    <w:rsid w:val="00C417AA"/>
    <w:rsid w:val="00C417AE"/>
    <w:rsid w:val="00C41D2F"/>
    <w:rsid w:val="00C420B7"/>
    <w:rsid w:val="00C4244C"/>
    <w:rsid w:val="00C42497"/>
    <w:rsid w:val="00C428C4"/>
    <w:rsid w:val="00C42A5D"/>
    <w:rsid w:val="00C42C95"/>
    <w:rsid w:val="00C430C9"/>
    <w:rsid w:val="00C43F54"/>
    <w:rsid w:val="00C444C3"/>
    <w:rsid w:val="00C44681"/>
    <w:rsid w:val="00C44978"/>
    <w:rsid w:val="00C455BF"/>
    <w:rsid w:val="00C45925"/>
    <w:rsid w:val="00C45FF2"/>
    <w:rsid w:val="00C461FB"/>
    <w:rsid w:val="00C4643F"/>
    <w:rsid w:val="00C465F9"/>
    <w:rsid w:val="00C466ED"/>
    <w:rsid w:val="00C47091"/>
    <w:rsid w:val="00C470F0"/>
    <w:rsid w:val="00C47254"/>
    <w:rsid w:val="00C4774E"/>
    <w:rsid w:val="00C478A4"/>
    <w:rsid w:val="00C4794F"/>
    <w:rsid w:val="00C479A3"/>
    <w:rsid w:val="00C47A8C"/>
    <w:rsid w:val="00C50544"/>
    <w:rsid w:val="00C50670"/>
    <w:rsid w:val="00C50C26"/>
    <w:rsid w:val="00C50C30"/>
    <w:rsid w:val="00C50D36"/>
    <w:rsid w:val="00C50F7F"/>
    <w:rsid w:val="00C51D3E"/>
    <w:rsid w:val="00C51E52"/>
    <w:rsid w:val="00C52231"/>
    <w:rsid w:val="00C52569"/>
    <w:rsid w:val="00C52898"/>
    <w:rsid w:val="00C52F0D"/>
    <w:rsid w:val="00C537E0"/>
    <w:rsid w:val="00C5410C"/>
    <w:rsid w:val="00C54324"/>
    <w:rsid w:val="00C544A5"/>
    <w:rsid w:val="00C5500D"/>
    <w:rsid w:val="00C5505E"/>
    <w:rsid w:val="00C5592C"/>
    <w:rsid w:val="00C55A92"/>
    <w:rsid w:val="00C55E70"/>
    <w:rsid w:val="00C56F36"/>
    <w:rsid w:val="00C57425"/>
    <w:rsid w:val="00C5765B"/>
    <w:rsid w:val="00C577FA"/>
    <w:rsid w:val="00C602FB"/>
    <w:rsid w:val="00C60443"/>
    <w:rsid w:val="00C6055A"/>
    <w:rsid w:val="00C608F6"/>
    <w:rsid w:val="00C61166"/>
    <w:rsid w:val="00C61376"/>
    <w:rsid w:val="00C6168C"/>
    <w:rsid w:val="00C62235"/>
    <w:rsid w:val="00C624EC"/>
    <w:rsid w:val="00C6328E"/>
    <w:rsid w:val="00C63352"/>
    <w:rsid w:val="00C63CA7"/>
    <w:rsid w:val="00C63F45"/>
    <w:rsid w:val="00C6469C"/>
    <w:rsid w:val="00C64C3A"/>
    <w:rsid w:val="00C64CB6"/>
    <w:rsid w:val="00C6513C"/>
    <w:rsid w:val="00C654ED"/>
    <w:rsid w:val="00C66028"/>
    <w:rsid w:val="00C66B7F"/>
    <w:rsid w:val="00C66F1F"/>
    <w:rsid w:val="00C66F6B"/>
    <w:rsid w:val="00C675C3"/>
    <w:rsid w:val="00C67A91"/>
    <w:rsid w:val="00C67BE1"/>
    <w:rsid w:val="00C67DC4"/>
    <w:rsid w:val="00C705D6"/>
    <w:rsid w:val="00C70B3A"/>
    <w:rsid w:val="00C71265"/>
    <w:rsid w:val="00C719DA"/>
    <w:rsid w:val="00C71CD7"/>
    <w:rsid w:val="00C71CF5"/>
    <w:rsid w:val="00C7201B"/>
    <w:rsid w:val="00C73F00"/>
    <w:rsid w:val="00C740B1"/>
    <w:rsid w:val="00C746B9"/>
    <w:rsid w:val="00C74C83"/>
    <w:rsid w:val="00C75074"/>
    <w:rsid w:val="00C75713"/>
    <w:rsid w:val="00C75C46"/>
    <w:rsid w:val="00C75CAE"/>
    <w:rsid w:val="00C75FC0"/>
    <w:rsid w:val="00C7617C"/>
    <w:rsid w:val="00C76256"/>
    <w:rsid w:val="00C76320"/>
    <w:rsid w:val="00C76537"/>
    <w:rsid w:val="00C76F9D"/>
    <w:rsid w:val="00C77661"/>
    <w:rsid w:val="00C7778D"/>
    <w:rsid w:val="00C77A99"/>
    <w:rsid w:val="00C77AF3"/>
    <w:rsid w:val="00C77B0D"/>
    <w:rsid w:val="00C80387"/>
    <w:rsid w:val="00C80642"/>
    <w:rsid w:val="00C80F06"/>
    <w:rsid w:val="00C8151E"/>
    <w:rsid w:val="00C8158D"/>
    <w:rsid w:val="00C8228E"/>
    <w:rsid w:val="00C82495"/>
    <w:rsid w:val="00C82621"/>
    <w:rsid w:val="00C82F60"/>
    <w:rsid w:val="00C831B6"/>
    <w:rsid w:val="00C8381C"/>
    <w:rsid w:val="00C83966"/>
    <w:rsid w:val="00C83F96"/>
    <w:rsid w:val="00C84161"/>
    <w:rsid w:val="00C85617"/>
    <w:rsid w:val="00C85A08"/>
    <w:rsid w:val="00C85ABF"/>
    <w:rsid w:val="00C85D9A"/>
    <w:rsid w:val="00C85FF3"/>
    <w:rsid w:val="00C860B5"/>
    <w:rsid w:val="00C865F9"/>
    <w:rsid w:val="00C8672F"/>
    <w:rsid w:val="00C86DEA"/>
    <w:rsid w:val="00C86EC5"/>
    <w:rsid w:val="00C86F1B"/>
    <w:rsid w:val="00C877DC"/>
    <w:rsid w:val="00C87F76"/>
    <w:rsid w:val="00C90227"/>
    <w:rsid w:val="00C90C3D"/>
    <w:rsid w:val="00C91081"/>
    <w:rsid w:val="00C91216"/>
    <w:rsid w:val="00C9126E"/>
    <w:rsid w:val="00C91B49"/>
    <w:rsid w:val="00C9217E"/>
    <w:rsid w:val="00C93533"/>
    <w:rsid w:val="00C93940"/>
    <w:rsid w:val="00C93CE7"/>
    <w:rsid w:val="00C95403"/>
    <w:rsid w:val="00C95D21"/>
    <w:rsid w:val="00C9676D"/>
    <w:rsid w:val="00C967D1"/>
    <w:rsid w:val="00C967EB"/>
    <w:rsid w:val="00C96A43"/>
    <w:rsid w:val="00C96BD1"/>
    <w:rsid w:val="00C9703D"/>
    <w:rsid w:val="00C97212"/>
    <w:rsid w:val="00C979D8"/>
    <w:rsid w:val="00C97D8C"/>
    <w:rsid w:val="00CA00F8"/>
    <w:rsid w:val="00CA016D"/>
    <w:rsid w:val="00CA0C1D"/>
    <w:rsid w:val="00CA131D"/>
    <w:rsid w:val="00CA1619"/>
    <w:rsid w:val="00CA1667"/>
    <w:rsid w:val="00CA18AC"/>
    <w:rsid w:val="00CA2837"/>
    <w:rsid w:val="00CA2D27"/>
    <w:rsid w:val="00CA301C"/>
    <w:rsid w:val="00CA30D6"/>
    <w:rsid w:val="00CA374A"/>
    <w:rsid w:val="00CA3A21"/>
    <w:rsid w:val="00CA4CC3"/>
    <w:rsid w:val="00CA5692"/>
    <w:rsid w:val="00CA5C8F"/>
    <w:rsid w:val="00CA5CFD"/>
    <w:rsid w:val="00CA5E93"/>
    <w:rsid w:val="00CA5FD8"/>
    <w:rsid w:val="00CA60A2"/>
    <w:rsid w:val="00CA6518"/>
    <w:rsid w:val="00CA6768"/>
    <w:rsid w:val="00CA67FD"/>
    <w:rsid w:val="00CA69D2"/>
    <w:rsid w:val="00CA6DB2"/>
    <w:rsid w:val="00CA7226"/>
    <w:rsid w:val="00CA73A4"/>
    <w:rsid w:val="00CA784E"/>
    <w:rsid w:val="00CA787B"/>
    <w:rsid w:val="00CB0222"/>
    <w:rsid w:val="00CB04B2"/>
    <w:rsid w:val="00CB061C"/>
    <w:rsid w:val="00CB0AEF"/>
    <w:rsid w:val="00CB0FA3"/>
    <w:rsid w:val="00CB18AA"/>
    <w:rsid w:val="00CB24A4"/>
    <w:rsid w:val="00CB2B98"/>
    <w:rsid w:val="00CB2D83"/>
    <w:rsid w:val="00CB31B2"/>
    <w:rsid w:val="00CB38CF"/>
    <w:rsid w:val="00CB4450"/>
    <w:rsid w:val="00CB456D"/>
    <w:rsid w:val="00CB4EE1"/>
    <w:rsid w:val="00CB514A"/>
    <w:rsid w:val="00CB5258"/>
    <w:rsid w:val="00CB55AF"/>
    <w:rsid w:val="00CB5BFA"/>
    <w:rsid w:val="00CB5E8A"/>
    <w:rsid w:val="00CB6902"/>
    <w:rsid w:val="00CB6EC0"/>
    <w:rsid w:val="00CB6F14"/>
    <w:rsid w:val="00CC064A"/>
    <w:rsid w:val="00CC165F"/>
    <w:rsid w:val="00CC17AE"/>
    <w:rsid w:val="00CC1D97"/>
    <w:rsid w:val="00CC2526"/>
    <w:rsid w:val="00CC2532"/>
    <w:rsid w:val="00CC29AA"/>
    <w:rsid w:val="00CC43D3"/>
    <w:rsid w:val="00CC4753"/>
    <w:rsid w:val="00CC479A"/>
    <w:rsid w:val="00CC4E1C"/>
    <w:rsid w:val="00CC547C"/>
    <w:rsid w:val="00CC5520"/>
    <w:rsid w:val="00CC59FB"/>
    <w:rsid w:val="00CC5F10"/>
    <w:rsid w:val="00CC6193"/>
    <w:rsid w:val="00CC6BC7"/>
    <w:rsid w:val="00CC6BCF"/>
    <w:rsid w:val="00CC6C16"/>
    <w:rsid w:val="00CC6C2B"/>
    <w:rsid w:val="00CC6F0A"/>
    <w:rsid w:val="00CC6F58"/>
    <w:rsid w:val="00CC76A9"/>
    <w:rsid w:val="00CC7709"/>
    <w:rsid w:val="00CC7A76"/>
    <w:rsid w:val="00CC7A77"/>
    <w:rsid w:val="00CC7D8F"/>
    <w:rsid w:val="00CD0075"/>
    <w:rsid w:val="00CD0FDF"/>
    <w:rsid w:val="00CD0FF3"/>
    <w:rsid w:val="00CD1357"/>
    <w:rsid w:val="00CD163E"/>
    <w:rsid w:val="00CD17F8"/>
    <w:rsid w:val="00CD1D0A"/>
    <w:rsid w:val="00CD2295"/>
    <w:rsid w:val="00CD295B"/>
    <w:rsid w:val="00CD2B56"/>
    <w:rsid w:val="00CD33C4"/>
    <w:rsid w:val="00CD38D3"/>
    <w:rsid w:val="00CD3938"/>
    <w:rsid w:val="00CD3B88"/>
    <w:rsid w:val="00CD4DB8"/>
    <w:rsid w:val="00CD4FE1"/>
    <w:rsid w:val="00CD5388"/>
    <w:rsid w:val="00CD5816"/>
    <w:rsid w:val="00CD5B0C"/>
    <w:rsid w:val="00CD5C6C"/>
    <w:rsid w:val="00CD5DD3"/>
    <w:rsid w:val="00CD60C0"/>
    <w:rsid w:val="00CD6666"/>
    <w:rsid w:val="00CD6700"/>
    <w:rsid w:val="00CD70A7"/>
    <w:rsid w:val="00CD787B"/>
    <w:rsid w:val="00CD7AE6"/>
    <w:rsid w:val="00CD7F04"/>
    <w:rsid w:val="00CD7F4A"/>
    <w:rsid w:val="00CE0257"/>
    <w:rsid w:val="00CE0261"/>
    <w:rsid w:val="00CE06F0"/>
    <w:rsid w:val="00CE0BD1"/>
    <w:rsid w:val="00CE0C80"/>
    <w:rsid w:val="00CE1045"/>
    <w:rsid w:val="00CE1192"/>
    <w:rsid w:val="00CE1CB7"/>
    <w:rsid w:val="00CE291F"/>
    <w:rsid w:val="00CE315F"/>
    <w:rsid w:val="00CE3288"/>
    <w:rsid w:val="00CE3568"/>
    <w:rsid w:val="00CE3F00"/>
    <w:rsid w:val="00CE4083"/>
    <w:rsid w:val="00CE409D"/>
    <w:rsid w:val="00CE4955"/>
    <w:rsid w:val="00CE4F4A"/>
    <w:rsid w:val="00CE51C2"/>
    <w:rsid w:val="00CE615B"/>
    <w:rsid w:val="00CE6538"/>
    <w:rsid w:val="00CE6695"/>
    <w:rsid w:val="00CE6B77"/>
    <w:rsid w:val="00CE764E"/>
    <w:rsid w:val="00CE7FCF"/>
    <w:rsid w:val="00CF0E60"/>
    <w:rsid w:val="00CF0E64"/>
    <w:rsid w:val="00CF0EE2"/>
    <w:rsid w:val="00CF105F"/>
    <w:rsid w:val="00CF11CF"/>
    <w:rsid w:val="00CF1289"/>
    <w:rsid w:val="00CF16CB"/>
    <w:rsid w:val="00CF1800"/>
    <w:rsid w:val="00CF1ACA"/>
    <w:rsid w:val="00CF2951"/>
    <w:rsid w:val="00CF2A72"/>
    <w:rsid w:val="00CF400B"/>
    <w:rsid w:val="00CF43CA"/>
    <w:rsid w:val="00CF44B3"/>
    <w:rsid w:val="00CF4560"/>
    <w:rsid w:val="00CF47E3"/>
    <w:rsid w:val="00CF4930"/>
    <w:rsid w:val="00CF54EC"/>
    <w:rsid w:val="00CF5839"/>
    <w:rsid w:val="00CF58F6"/>
    <w:rsid w:val="00CF5E40"/>
    <w:rsid w:val="00CF62CF"/>
    <w:rsid w:val="00CF6561"/>
    <w:rsid w:val="00CF6FB0"/>
    <w:rsid w:val="00CF72AE"/>
    <w:rsid w:val="00CF7AA5"/>
    <w:rsid w:val="00CF7BAF"/>
    <w:rsid w:val="00CF7D7A"/>
    <w:rsid w:val="00CF7EAF"/>
    <w:rsid w:val="00D00670"/>
    <w:rsid w:val="00D007FF"/>
    <w:rsid w:val="00D00AE5"/>
    <w:rsid w:val="00D0132F"/>
    <w:rsid w:val="00D01AEB"/>
    <w:rsid w:val="00D01C2E"/>
    <w:rsid w:val="00D01FE3"/>
    <w:rsid w:val="00D0256E"/>
    <w:rsid w:val="00D026BA"/>
    <w:rsid w:val="00D03804"/>
    <w:rsid w:val="00D039F9"/>
    <w:rsid w:val="00D04971"/>
    <w:rsid w:val="00D0582E"/>
    <w:rsid w:val="00D05ADB"/>
    <w:rsid w:val="00D06A47"/>
    <w:rsid w:val="00D100C2"/>
    <w:rsid w:val="00D10776"/>
    <w:rsid w:val="00D10919"/>
    <w:rsid w:val="00D10AAD"/>
    <w:rsid w:val="00D10BDA"/>
    <w:rsid w:val="00D1108E"/>
    <w:rsid w:val="00D11351"/>
    <w:rsid w:val="00D1139F"/>
    <w:rsid w:val="00D113B1"/>
    <w:rsid w:val="00D115EB"/>
    <w:rsid w:val="00D1162E"/>
    <w:rsid w:val="00D117F9"/>
    <w:rsid w:val="00D124AF"/>
    <w:rsid w:val="00D127B4"/>
    <w:rsid w:val="00D12EAE"/>
    <w:rsid w:val="00D12ECA"/>
    <w:rsid w:val="00D13C51"/>
    <w:rsid w:val="00D14196"/>
    <w:rsid w:val="00D14707"/>
    <w:rsid w:val="00D14FB8"/>
    <w:rsid w:val="00D15759"/>
    <w:rsid w:val="00D15835"/>
    <w:rsid w:val="00D15A2F"/>
    <w:rsid w:val="00D16452"/>
    <w:rsid w:val="00D16A5D"/>
    <w:rsid w:val="00D16C09"/>
    <w:rsid w:val="00D175FA"/>
    <w:rsid w:val="00D17893"/>
    <w:rsid w:val="00D179A8"/>
    <w:rsid w:val="00D17B20"/>
    <w:rsid w:val="00D17B52"/>
    <w:rsid w:val="00D17F63"/>
    <w:rsid w:val="00D200A9"/>
    <w:rsid w:val="00D20A68"/>
    <w:rsid w:val="00D20F99"/>
    <w:rsid w:val="00D22039"/>
    <w:rsid w:val="00D221E3"/>
    <w:rsid w:val="00D2279E"/>
    <w:rsid w:val="00D22F9B"/>
    <w:rsid w:val="00D23606"/>
    <w:rsid w:val="00D23B8B"/>
    <w:rsid w:val="00D240B9"/>
    <w:rsid w:val="00D24139"/>
    <w:rsid w:val="00D242A2"/>
    <w:rsid w:val="00D24480"/>
    <w:rsid w:val="00D24938"/>
    <w:rsid w:val="00D24AC0"/>
    <w:rsid w:val="00D24B96"/>
    <w:rsid w:val="00D24CDC"/>
    <w:rsid w:val="00D250D0"/>
    <w:rsid w:val="00D256C2"/>
    <w:rsid w:val="00D25968"/>
    <w:rsid w:val="00D259C8"/>
    <w:rsid w:val="00D2608A"/>
    <w:rsid w:val="00D263A5"/>
    <w:rsid w:val="00D2651A"/>
    <w:rsid w:val="00D2697F"/>
    <w:rsid w:val="00D270EC"/>
    <w:rsid w:val="00D27B09"/>
    <w:rsid w:val="00D302FC"/>
    <w:rsid w:val="00D30A1A"/>
    <w:rsid w:val="00D3109E"/>
    <w:rsid w:val="00D31312"/>
    <w:rsid w:val="00D3141F"/>
    <w:rsid w:val="00D31FD7"/>
    <w:rsid w:val="00D327E3"/>
    <w:rsid w:val="00D32976"/>
    <w:rsid w:val="00D32ECF"/>
    <w:rsid w:val="00D33B6D"/>
    <w:rsid w:val="00D33F7F"/>
    <w:rsid w:val="00D344B2"/>
    <w:rsid w:val="00D34CFC"/>
    <w:rsid w:val="00D35484"/>
    <w:rsid w:val="00D355D2"/>
    <w:rsid w:val="00D35AF7"/>
    <w:rsid w:val="00D35DCF"/>
    <w:rsid w:val="00D35FA1"/>
    <w:rsid w:val="00D361DA"/>
    <w:rsid w:val="00D36366"/>
    <w:rsid w:val="00D36547"/>
    <w:rsid w:val="00D36EEC"/>
    <w:rsid w:val="00D36F5B"/>
    <w:rsid w:val="00D37797"/>
    <w:rsid w:val="00D37ADD"/>
    <w:rsid w:val="00D37B0A"/>
    <w:rsid w:val="00D37C79"/>
    <w:rsid w:val="00D37E89"/>
    <w:rsid w:val="00D40B46"/>
    <w:rsid w:val="00D40E6B"/>
    <w:rsid w:val="00D41E85"/>
    <w:rsid w:val="00D422B0"/>
    <w:rsid w:val="00D425B9"/>
    <w:rsid w:val="00D42DDB"/>
    <w:rsid w:val="00D43F19"/>
    <w:rsid w:val="00D4467A"/>
    <w:rsid w:val="00D449FD"/>
    <w:rsid w:val="00D44A77"/>
    <w:rsid w:val="00D4548B"/>
    <w:rsid w:val="00D45997"/>
    <w:rsid w:val="00D45B7F"/>
    <w:rsid w:val="00D46525"/>
    <w:rsid w:val="00D469C0"/>
    <w:rsid w:val="00D47645"/>
    <w:rsid w:val="00D50408"/>
    <w:rsid w:val="00D50902"/>
    <w:rsid w:val="00D50A04"/>
    <w:rsid w:val="00D50BDC"/>
    <w:rsid w:val="00D52061"/>
    <w:rsid w:val="00D520E2"/>
    <w:rsid w:val="00D52243"/>
    <w:rsid w:val="00D52251"/>
    <w:rsid w:val="00D5262C"/>
    <w:rsid w:val="00D52757"/>
    <w:rsid w:val="00D52F55"/>
    <w:rsid w:val="00D52F58"/>
    <w:rsid w:val="00D52F66"/>
    <w:rsid w:val="00D52FA1"/>
    <w:rsid w:val="00D5332E"/>
    <w:rsid w:val="00D535DB"/>
    <w:rsid w:val="00D5380A"/>
    <w:rsid w:val="00D53A27"/>
    <w:rsid w:val="00D53CED"/>
    <w:rsid w:val="00D54236"/>
    <w:rsid w:val="00D56265"/>
    <w:rsid w:val="00D56F89"/>
    <w:rsid w:val="00D57680"/>
    <w:rsid w:val="00D5768E"/>
    <w:rsid w:val="00D57836"/>
    <w:rsid w:val="00D57D86"/>
    <w:rsid w:val="00D57D9E"/>
    <w:rsid w:val="00D6067B"/>
    <w:rsid w:val="00D6070B"/>
    <w:rsid w:val="00D60C23"/>
    <w:rsid w:val="00D6138B"/>
    <w:rsid w:val="00D62779"/>
    <w:rsid w:val="00D629EA"/>
    <w:rsid w:val="00D62B4B"/>
    <w:rsid w:val="00D631E3"/>
    <w:rsid w:val="00D63352"/>
    <w:rsid w:val="00D63DBA"/>
    <w:rsid w:val="00D641EB"/>
    <w:rsid w:val="00D64ECB"/>
    <w:rsid w:val="00D65093"/>
    <w:rsid w:val="00D6544A"/>
    <w:rsid w:val="00D6567D"/>
    <w:rsid w:val="00D659A1"/>
    <w:rsid w:val="00D65EF1"/>
    <w:rsid w:val="00D66B1F"/>
    <w:rsid w:val="00D66E4E"/>
    <w:rsid w:val="00D6731A"/>
    <w:rsid w:val="00D67E02"/>
    <w:rsid w:val="00D70451"/>
    <w:rsid w:val="00D706FD"/>
    <w:rsid w:val="00D711D8"/>
    <w:rsid w:val="00D7173B"/>
    <w:rsid w:val="00D7204E"/>
    <w:rsid w:val="00D72211"/>
    <w:rsid w:val="00D72257"/>
    <w:rsid w:val="00D728B8"/>
    <w:rsid w:val="00D729D5"/>
    <w:rsid w:val="00D73199"/>
    <w:rsid w:val="00D73F03"/>
    <w:rsid w:val="00D741C2"/>
    <w:rsid w:val="00D742C4"/>
    <w:rsid w:val="00D759F1"/>
    <w:rsid w:val="00D761EE"/>
    <w:rsid w:val="00D76B4E"/>
    <w:rsid w:val="00D76C4F"/>
    <w:rsid w:val="00D76D80"/>
    <w:rsid w:val="00D76EA0"/>
    <w:rsid w:val="00D77226"/>
    <w:rsid w:val="00D772A4"/>
    <w:rsid w:val="00D8170D"/>
    <w:rsid w:val="00D81C0A"/>
    <w:rsid w:val="00D81EC8"/>
    <w:rsid w:val="00D82026"/>
    <w:rsid w:val="00D83B90"/>
    <w:rsid w:val="00D84514"/>
    <w:rsid w:val="00D847D0"/>
    <w:rsid w:val="00D84BFD"/>
    <w:rsid w:val="00D84E21"/>
    <w:rsid w:val="00D84F98"/>
    <w:rsid w:val="00D85915"/>
    <w:rsid w:val="00D85B46"/>
    <w:rsid w:val="00D861CD"/>
    <w:rsid w:val="00D86778"/>
    <w:rsid w:val="00D86C17"/>
    <w:rsid w:val="00D86FAF"/>
    <w:rsid w:val="00D872D2"/>
    <w:rsid w:val="00D87357"/>
    <w:rsid w:val="00D90608"/>
    <w:rsid w:val="00D90A53"/>
    <w:rsid w:val="00D920FB"/>
    <w:rsid w:val="00D922F1"/>
    <w:rsid w:val="00D9248A"/>
    <w:rsid w:val="00D92796"/>
    <w:rsid w:val="00D9346A"/>
    <w:rsid w:val="00D93503"/>
    <w:rsid w:val="00D9353A"/>
    <w:rsid w:val="00D9375D"/>
    <w:rsid w:val="00D93A38"/>
    <w:rsid w:val="00D94131"/>
    <w:rsid w:val="00D949B4"/>
    <w:rsid w:val="00D94E44"/>
    <w:rsid w:val="00D95CF6"/>
    <w:rsid w:val="00D95D04"/>
    <w:rsid w:val="00D9622C"/>
    <w:rsid w:val="00D9629F"/>
    <w:rsid w:val="00D97542"/>
    <w:rsid w:val="00DA0304"/>
    <w:rsid w:val="00DA0328"/>
    <w:rsid w:val="00DA0443"/>
    <w:rsid w:val="00DA0556"/>
    <w:rsid w:val="00DA05B3"/>
    <w:rsid w:val="00DA0F09"/>
    <w:rsid w:val="00DA1975"/>
    <w:rsid w:val="00DA23FC"/>
    <w:rsid w:val="00DA2589"/>
    <w:rsid w:val="00DA2782"/>
    <w:rsid w:val="00DA2BEF"/>
    <w:rsid w:val="00DA2F78"/>
    <w:rsid w:val="00DA401C"/>
    <w:rsid w:val="00DA427E"/>
    <w:rsid w:val="00DA42A9"/>
    <w:rsid w:val="00DA4541"/>
    <w:rsid w:val="00DA4D46"/>
    <w:rsid w:val="00DA4E73"/>
    <w:rsid w:val="00DA51D8"/>
    <w:rsid w:val="00DA5232"/>
    <w:rsid w:val="00DA54D2"/>
    <w:rsid w:val="00DA7482"/>
    <w:rsid w:val="00DA75DB"/>
    <w:rsid w:val="00DA780C"/>
    <w:rsid w:val="00DA7998"/>
    <w:rsid w:val="00DA7AF8"/>
    <w:rsid w:val="00DA7B97"/>
    <w:rsid w:val="00DB0142"/>
    <w:rsid w:val="00DB01EC"/>
    <w:rsid w:val="00DB0BBB"/>
    <w:rsid w:val="00DB0EA1"/>
    <w:rsid w:val="00DB1189"/>
    <w:rsid w:val="00DB1DB6"/>
    <w:rsid w:val="00DB23ED"/>
    <w:rsid w:val="00DB2515"/>
    <w:rsid w:val="00DB2BE3"/>
    <w:rsid w:val="00DB2CB1"/>
    <w:rsid w:val="00DB3727"/>
    <w:rsid w:val="00DB3BE6"/>
    <w:rsid w:val="00DB3FA9"/>
    <w:rsid w:val="00DB44A6"/>
    <w:rsid w:val="00DB528D"/>
    <w:rsid w:val="00DB58BA"/>
    <w:rsid w:val="00DB5B26"/>
    <w:rsid w:val="00DB5E62"/>
    <w:rsid w:val="00DB6045"/>
    <w:rsid w:val="00DB6644"/>
    <w:rsid w:val="00DB66DB"/>
    <w:rsid w:val="00DB672D"/>
    <w:rsid w:val="00DB7327"/>
    <w:rsid w:val="00DB7D32"/>
    <w:rsid w:val="00DB7F76"/>
    <w:rsid w:val="00DC0769"/>
    <w:rsid w:val="00DC0D8A"/>
    <w:rsid w:val="00DC0E52"/>
    <w:rsid w:val="00DC115F"/>
    <w:rsid w:val="00DC1775"/>
    <w:rsid w:val="00DC1DC8"/>
    <w:rsid w:val="00DC272B"/>
    <w:rsid w:val="00DC284A"/>
    <w:rsid w:val="00DC3343"/>
    <w:rsid w:val="00DC33A4"/>
    <w:rsid w:val="00DC3581"/>
    <w:rsid w:val="00DC3B4E"/>
    <w:rsid w:val="00DC4247"/>
    <w:rsid w:val="00DC461C"/>
    <w:rsid w:val="00DC475F"/>
    <w:rsid w:val="00DC47C7"/>
    <w:rsid w:val="00DC4C51"/>
    <w:rsid w:val="00DC53AC"/>
    <w:rsid w:val="00DC53BA"/>
    <w:rsid w:val="00DC5D44"/>
    <w:rsid w:val="00DC6D51"/>
    <w:rsid w:val="00DC7C7A"/>
    <w:rsid w:val="00DC7DF7"/>
    <w:rsid w:val="00DC7F1D"/>
    <w:rsid w:val="00DD0129"/>
    <w:rsid w:val="00DD0852"/>
    <w:rsid w:val="00DD0992"/>
    <w:rsid w:val="00DD0EE2"/>
    <w:rsid w:val="00DD18C9"/>
    <w:rsid w:val="00DD1F0E"/>
    <w:rsid w:val="00DD2BE6"/>
    <w:rsid w:val="00DD31A7"/>
    <w:rsid w:val="00DD4C0D"/>
    <w:rsid w:val="00DD4C9B"/>
    <w:rsid w:val="00DD4D18"/>
    <w:rsid w:val="00DD563E"/>
    <w:rsid w:val="00DD5816"/>
    <w:rsid w:val="00DD5C29"/>
    <w:rsid w:val="00DD5CAC"/>
    <w:rsid w:val="00DD672F"/>
    <w:rsid w:val="00DD6886"/>
    <w:rsid w:val="00DD68F8"/>
    <w:rsid w:val="00DD719A"/>
    <w:rsid w:val="00DD784D"/>
    <w:rsid w:val="00DE1471"/>
    <w:rsid w:val="00DE189A"/>
    <w:rsid w:val="00DE1BB2"/>
    <w:rsid w:val="00DE2194"/>
    <w:rsid w:val="00DE25CB"/>
    <w:rsid w:val="00DE2AB6"/>
    <w:rsid w:val="00DE3D75"/>
    <w:rsid w:val="00DE400F"/>
    <w:rsid w:val="00DE44F7"/>
    <w:rsid w:val="00DE4722"/>
    <w:rsid w:val="00DE47CE"/>
    <w:rsid w:val="00DE4962"/>
    <w:rsid w:val="00DE4C61"/>
    <w:rsid w:val="00DE5B80"/>
    <w:rsid w:val="00DE6583"/>
    <w:rsid w:val="00DE709F"/>
    <w:rsid w:val="00DE7313"/>
    <w:rsid w:val="00DE774A"/>
    <w:rsid w:val="00DF08DC"/>
    <w:rsid w:val="00DF0D66"/>
    <w:rsid w:val="00DF0E3D"/>
    <w:rsid w:val="00DF1A4B"/>
    <w:rsid w:val="00DF1B40"/>
    <w:rsid w:val="00DF21A4"/>
    <w:rsid w:val="00DF23F1"/>
    <w:rsid w:val="00DF27D9"/>
    <w:rsid w:val="00DF2922"/>
    <w:rsid w:val="00DF2EE8"/>
    <w:rsid w:val="00DF3B01"/>
    <w:rsid w:val="00DF458D"/>
    <w:rsid w:val="00DF4A4A"/>
    <w:rsid w:val="00DF519A"/>
    <w:rsid w:val="00DF5A27"/>
    <w:rsid w:val="00DF5FBE"/>
    <w:rsid w:val="00DF61D0"/>
    <w:rsid w:val="00DF6C8A"/>
    <w:rsid w:val="00DF6CAA"/>
    <w:rsid w:val="00DF715D"/>
    <w:rsid w:val="00DF76D1"/>
    <w:rsid w:val="00DF79A2"/>
    <w:rsid w:val="00DF7A18"/>
    <w:rsid w:val="00DF7DCC"/>
    <w:rsid w:val="00E0012D"/>
    <w:rsid w:val="00E001DA"/>
    <w:rsid w:val="00E00326"/>
    <w:rsid w:val="00E00B9C"/>
    <w:rsid w:val="00E014C0"/>
    <w:rsid w:val="00E0152A"/>
    <w:rsid w:val="00E0192D"/>
    <w:rsid w:val="00E01938"/>
    <w:rsid w:val="00E01E47"/>
    <w:rsid w:val="00E02AED"/>
    <w:rsid w:val="00E033B5"/>
    <w:rsid w:val="00E038D0"/>
    <w:rsid w:val="00E03FB5"/>
    <w:rsid w:val="00E04088"/>
    <w:rsid w:val="00E04842"/>
    <w:rsid w:val="00E0496B"/>
    <w:rsid w:val="00E05A55"/>
    <w:rsid w:val="00E05B24"/>
    <w:rsid w:val="00E0637B"/>
    <w:rsid w:val="00E06505"/>
    <w:rsid w:val="00E0680E"/>
    <w:rsid w:val="00E06933"/>
    <w:rsid w:val="00E06938"/>
    <w:rsid w:val="00E06BC9"/>
    <w:rsid w:val="00E101AC"/>
    <w:rsid w:val="00E10EB5"/>
    <w:rsid w:val="00E10FDD"/>
    <w:rsid w:val="00E1223C"/>
    <w:rsid w:val="00E13518"/>
    <w:rsid w:val="00E14167"/>
    <w:rsid w:val="00E15335"/>
    <w:rsid w:val="00E1611B"/>
    <w:rsid w:val="00E16312"/>
    <w:rsid w:val="00E16B59"/>
    <w:rsid w:val="00E16FEC"/>
    <w:rsid w:val="00E17D38"/>
    <w:rsid w:val="00E204C5"/>
    <w:rsid w:val="00E20656"/>
    <w:rsid w:val="00E20780"/>
    <w:rsid w:val="00E20A0C"/>
    <w:rsid w:val="00E20D63"/>
    <w:rsid w:val="00E218BA"/>
    <w:rsid w:val="00E21A9E"/>
    <w:rsid w:val="00E21DBE"/>
    <w:rsid w:val="00E22683"/>
    <w:rsid w:val="00E230F8"/>
    <w:rsid w:val="00E232AE"/>
    <w:rsid w:val="00E23372"/>
    <w:rsid w:val="00E238E5"/>
    <w:rsid w:val="00E238EC"/>
    <w:rsid w:val="00E245D2"/>
    <w:rsid w:val="00E248CF"/>
    <w:rsid w:val="00E24A16"/>
    <w:rsid w:val="00E24DEA"/>
    <w:rsid w:val="00E24EE7"/>
    <w:rsid w:val="00E25210"/>
    <w:rsid w:val="00E252F0"/>
    <w:rsid w:val="00E25F2A"/>
    <w:rsid w:val="00E26535"/>
    <w:rsid w:val="00E3003E"/>
    <w:rsid w:val="00E3022B"/>
    <w:rsid w:val="00E303BE"/>
    <w:rsid w:val="00E306DA"/>
    <w:rsid w:val="00E30968"/>
    <w:rsid w:val="00E3124F"/>
    <w:rsid w:val="00E316D9"/>
    <w:rsid w:val="00E31FB7"/>
    <w:rsid w:val="00E32E67"/>
    <w:rsid w:val="00E330C5"/>
    <w:rsid w:val="00E33560"/>
    <w:rsid w:val="00E34119"/>
    <w:rsid w:val="00E3413B"/>
    <w:rsid w:val="00E347E7"/>
    <w:rsid w:val="00E353E9"/>
    <w:rsid w:val="00E35776"/>
    <w:rsid w:val="00E3589F"/>
    <w:rsid w:val="00E35A41"/>
    <w:rsid w:val="00E35F3B"/>
    <w:rsid w:val="00E36EA9"/>
    <w:rsid w:val="00E370F0"/>
    <w:rsid w:val="00E3740A"/>
    <w:rsid w:val="00E401CF"/>
    <w:rsid w:val="00E40299"/>
    <w:rsid w:val="00E40F41"/>
    <w:rsid w:val="00E41393"/>
    <w:rsid w:val="00E41E97"/>
    <w:rsid w:val="00E42372"/>
    <w:rsid w:val="00E42C9C"/>
    <w:rsid w:val="00E43879"/>
    <w:rsid w:val="00E44044"/>
    <w:rsid w:val="00E441BF"/>
    <w:rsid w:val="00E443AA"/>
    <w:rsid w:val="00E44414"/>
    <w:rsid w:val="00E449B5"/>
    <w:rsid w:val="00E45190"/>
    <w:rsid w:val="00E4592C"/>
    <w:rsid w:val="00E45BB7"/>
    <w:rsid w:val="00E46482"/>
    <w:rsid w:val="00E46D65"/>
    <w:rsid w:val="00E47864"/>
    <w:rsid w:val="00E47BD0"/>
    <w:rsid w:val="00E47DAC"/>
    <w:rsid w:val="00E501A6"/>
    <w:rsid w:val="00E501EB"/>
    <w:rsid w:val="00E5076A"/>
    <w:rsid w:val="00E50DBB"/>
    <w:rsid w:val="00E50E83"/>
    <w:rsid w:val="00E5106B"/>
    <w:rsid w:val="00E52403"/>
    <w:rsid w:val="00E52BDE"/>
    <w:rsid w:val="00E532A8"/>
    <w:rsid w:val="00E534AA"/>
    <w:rsid w:val="00E53D05"/>
    <w:rsid w:val="00E55777"/>
    <w:rsid w:val="00E565C2"/>
    <w:rsid w:val="00E56B33"/>
    <w:rsid w:val="00E56C37"/>
    <w:rsid w:val="00E60643"/>
    <w:rsid w:val="00E60CD7"/>
    <w:rsid w:val="00E61322"/>
    <w:rsid w:val="00E61BEC"/>
    <w:rsid w:val="00E61E34"/>
    <w:rsid w:val="00E61F75"/>
    <w:rsid w:val="00E636AB"/>
    <w:rsid w:val="00E63EF4"/>
    <w:rsid w:val="00E643C2"/>
    <w:rsid w:val="00E64C3E"/>
    <w:rsid w:val="00E64E56"/>
    <w:rsid w:val="00E6576C"/>
    <w:rsid w:val="00E65973"/>
    <w:rsid w:val="00E65F03"/>
    <w:rsid w:val="00E65F0D"/>
    <w:rsid w:val="00E666D7"/>
    <w:rsid w:val="00E67322"/>
    <w:rsid w:val="00E679D3"/>
    <w:rsid w:val="00E702E4"/>
    <w:rsid w:val="00E70AE1"/>
    <w:rsid w:val="00E70C20"/>
    <w:rsid w:val="00E70D73"/>
    <w:rsid w:val="00E71169"/>
    <w:rsid w:val="00E711F0"/>
    <w:rsid w:val="00E71D09"/>
    <w:rsid w:val="00E71F45"/>
    <w:rsid w:val="00E7374D"/>
    <w:rsid w:val="00E73C20"/>
    <w:rsid w:val="00E73D04"/>
    <w:rsid w:val="00E74165"/>
    <w:rsid w:val="00E745B4"/>
    <w:rsid w:val="00E7461B"/>
    <w:rsid w:val="00E7484B"/>
    <w:rsid w:val="00E750A5"/>
    <w:rsid w:val="00E753FC"/>
    <w:rsid w:val="00E7609A"/>
    <w:rsid w:val="00E761A1"/>
    <w:rsid w:val="00E766D7"/>
    <w:rsid w:val="00E76BCC"/>
    <w:rsid w:val="00E76C93"/>
    <w:rsid w:val="00E76ED0"/>
    <w:rsid w:val="00E77761"/>
    <w:rsid w:val="00E7793F"/>
    <w:rsid w:val="00E77F8B"/>
    <w:rsid w:val="00E80EAC"/>
    <w:rsid w:val="00E811CA"/>
    <w:rsid w:val="00E812D7"/>
    <w:rsid w:val="00E8174E"/>
    <w:rsid w:val="00E81FD0"/>
    <w:rsid w:val="00E8211D"/>
    <w:rsid w:val="00E823CA"/>
    <w:rsid w:val="00E826FF"/>
    <w:rsid w:val="00E8284D"/>
    <w:rsid w:val="00E82BD9"/>
    <w:rsid w:val="00E83049"/>
    <w:rsid w:val="00E83082"/>
    <w:rsid w:val="00E83AAE"/>
    <w:rsid w:val="00E83EFF"/>
    <w:rsid w:val="00E83F2D"/>
    <w:rsid w:val="00E83F55"/>
    <w:rsid w:val="00E8408A"/>
    <w:rsid w:val="00E841DA"/>
    <w:rsid w:val="00E846ED"/>
    <w:rsid w:val="00E84760"/>
    <w:rsid w:val="00E8476C"/>
    <w:rsid w:val="00E856C5"/>
    <w:rsid w:val="00E86030"/>
    <w:rsid w:val="00E8618A"/>
    <w:rsid w:val="00E86DD1"/>
    <w:rsid w:val="00E876E4"/>
    <w:rsid w:val="00E90810"/>
    <w:rsid w:val="00E90DE0"/>
    <w:rsid w:val="00E92318"/>
    <w:rsid w:val="00E928DA"/>
    <w:rsid w:val="00E93B7F"/>
    <w:rsid w:val="00E94894"/>
    <w:rsid w:val="00E94982"/>
    <w:rsid w:val="00E94BC5"/>
    <w:rsid w:val="00E94C7C"/>
    <w:rsid w:val="00E94D57"/>
    <w:rsid w:val="00E950BB"/>
    <w:rsid w:val="00E95263"/>
    <w:rsid w:val="00E95429"/>
    <w:rsid w:val="00E95A51"/>
    <w:rsid w:val="00E9689D"/>
    <w:rsid w:val="00E96D01"/>
    <w:rsid w:val="00E96F1C"/>
    <w:rsid w:val="00E973CA"/>
    <w:rsid w:val="00E97504"/>
    <w:rsid w:val="00EA04E4"/>
    <w:rsid w:val="00EA059F"/>
    <w:rsid w:val="00EA0A7C"/>
    <w:rsid w:val="00EA0C40"/>
    <w:rsid w:val="00EA1C34"/>
    <w:rsid w:val="00EA1F1C"/>
    <w:rsid w:val="00EA2666"/>
    <w:rsid w:val="00EA2978"/>
    <w:rsid w:val="00EA2F88"/>
    <w:rsid w:val="00EA3450"/>
    <w:rsid w:val="00EA3B71"/>
    <w:rsid w:val="00EA437D"/>
    <w:rsid w:val="00EA449F"/>
    <w:rsid w:val="00EA4EE5"/>
    <w:rsid w:val="00EA57AA"/>
    <w:rsid w:val="00EA5879"/>
    <w:rsid w:val="00EA5895"/>
    <w:rsid w:val="00EA5C4C"/>
    <w:rsid w:val="00EA6ABD"/>
    <w:rsid w:val="00EA6E50"/>
    <w:rsid w:val="00EA7311"/>
    <w:rsid w:val="00EA7784"/>
    <w:rsid w:val="00EA7A80"/>
    <w:rsid w:val="00EB06C3"/>
    <w:rsid w:val="00EB06C5"/>
    <w:rsid w:val="00EB07A5"/>
    <w:rsid w:val="00EB0B3A"/>
    <w:rsid w:val="00EB102E"/>
    <w:rsid w:val="00EB1C7D"/>
    <w:rsid w:val="00EB29FE"/>
    <w:rsid w:val="00EB2F66"/>
    <w:rsid w:val="00EB3012"/>
    <w:rsid w:val="00EB39F1"/>
    <w:rsid w:val="00EB3BD8"/>
    <w:rsid w:val="00EB3E72"/>
    <w:rsid w:val="00EB4738"/>
    <w:rsid w:val="00EB4AAE"/>
    <w:rsid w:val="00EB4C90"/>
    <w:rsid w:val="00EB54FC"/>
    <w:rsid w:val="00EB569E"/>
    <w:rsid w:val="00EB5C09"/>
    <w:rsid w:val="00EB643C"/>
    <w:rsid w:val="00EB68F7"/>
    <w:rsid w:val="00EB6948"/>
    <w:rsid w:val="00EB6C92"/>
    <w:rsid w:val="00EB6E9A"/>
    <w:rsid w:val="00EB718C"/>
    <w:rsid w:val="00EB73BA"/>
    <w:rsid w:val="00EB7472"/>
    <w:rsid w:val="00EB757A"/>
    <w:rsid w:val="00EB760D"/>
    <w:rsid w:val="00EB7667"/>
    <w:rsid w:val="00EC0014"/>
    <w:rsid w:val="00EC0250"/>
    <w:rsid w:val="00EC03AB"/>
    <w:rsid w:val="00EC06C6"/>
    <w:rsid w:val="00EC06CA"/>
    <w:rsid w:val="00EC0BF9"/>
    <w:rsid w:val="00EC12B7"/>
    <w:rsid w:val="00EC1A2B"/>
    <w:rsid w:val="00EC24A6"/>
    <w:rsid w:val="00EC321D"/>
    <w:rsid w:val="00EC3531"/>
    <w:rsid w:val="00EC3917"/>
    <w:rsid w:val="00EC3FF3"/>
    <w:rsid w:val="00EC438F"/>
    <w:rsid w:val="00EC48D1"/>
    <w:rsid w:val="00EC5A39"/>
    <w:rsid w:val="00EC5E74"/>
    <w:rsid w:val="00EC6532"/>
    <w:rsid w:val="00EC6D5D"/>
    <w:rsid w:val="00EC7046"/>
    <w:rsid w:val="00EC71CC"/>
    <w:rsid w:val="00EC71E5"/>
    <w:rsid w:val="00EC7404"/>
    <w:rsid w:val="00EC7ECE"/>
    <w:rsid w:val="00ED0A9A"/>
    <w:rsid w:val="00ED0AA6"/>
    <w:rsid w:val="00ED13C7"/>
    <w:rsid w:val="00ED1871"/>
    <w:rsid w:val="00ED1A4B"/>
    <w:rsid w:val="00ED1C10"/>
    <w:rsid w:val="00ED1DAC"/>
    <w:rsid w:val="00ED2023"/>
    <w:rsid w:val="00ED2717"/>
    <w:rsid w:val="00ED28CE"/>
    <w:rsid w:val="00ED2DAA"/>
    <w:rsid w:val="00ED3218"/>
    <w:rsid w:val="00ED32B8"/>
    <w:rsid w:val="00ED3581"/>
    <w:rsid w:val="00ED39F1"/>
    <w:rsid w:val="00ED3A9B"/>
    <w:rsid w:val="00ED3E2D"/>
    <w:rsid w:val="00ED44B0"/>
    <w:rsid w:val="00ED4951"/>
    <w:rsid w:val="00ED4965"/>
    <w:rsid w:val="00ED5396"/>
    <w:rsid w:val="00ED59E7"/>
    <w:rsid w:val="00ED5CB0"/>
    <w:rsid w:val="00ED6065"/>
    <w:rsid w:val="00ED63EC"/>
    <w:rsid w:val="00ED6577"/>
    <w:rsid w:val="00ED6A52"/>
    <w:rsid w:val="00ED701C"/>
    <w:rsid w:val="00ED70E2"/>
    <w:rsid w:val="00ED7815"/>
    <w:rsid w:val="00EE05C0"/>
    <w:rsid w:val="00EE0737"/>
    <w:rsid w:val="00EE0C96"/>
    <w:rsid w:val="00EE0CAD"/>
    <w:rsid w:val="00EE0EFE"/>
    <w:rsid w:val="00EE140B"/>
    <w:rsid w:val="00EE15AA"/>
    <w:rsid w:val="00EE206D"/>
    <w:rsid w:val="00EE28AB"/>
    <w:rsid w:val="00EE2FA7"/>
    <w:rsid w:val="00EE300F"/>
    <w:rsid w:val="00EE3194"/>
    <w:rsid w:val="00EE3AAE"/>
    <w:rsid w:val="00EE3C69"/>
    <w:rsid w:val="00EE4E0D"/>
    <w:rsid w:val="00EE5052"/>
    <w:rsid w:val="00EE590D"/>
    <w:rsid w:val="00EE5923"/>
    <w:rsid w:val="00EE5EFB"/>
    <w:rsid w:val="00EE62E5"/>
    <w:rsid w:val="00EE7084"/>
    <w:rsid w:val="00EE7633"/>
    <w:rsid w:val="00EF0149"/>
    <w:rsid w:val="00EF08AD"/>
    <w:rsid w:val="00EF139E"/>
    <w:rsid w:val="00EF224E"/>
    <w:rsid w:val="00EF23B6"/>
    <w:rsid w:val="00EF2A24"/>
    <w:rsid w:val="00EF2C66"/>
    <w:rsid w:val="00EF2ED5"/>
    <w:rsid w:val="00EF315B"/>
    <w:rsid w:val="00EF3356"/>
    <w:rsid w:val="00EF33BE"/>
    <w:rsid w:val="00EF35F5"/>
    <w:rsid w:val="00EF37FB"/>
    <w:rsid w:val="00EF3FDC"/>
    <w:rsid w:val="00EF40A5"/>
    <w:rsid w:val="00EF4214"/>
    <w:rsid w:val="00EF4EE1"/>
    <w:rsid w:val="00EF57CE"/>
    <w:rsid w:val="00EF5AB2"/>
    <w:rsid w:val="00EF5CFA"/>
    <w:rsid w:val="00EF658A"/>
    <w:rsid w:val="00EF68F6"/>
    <w:rsid w:val="00EF690E"/>
    <w:rsid w:val="00EF6967"/>
    <w:rsid w:val="00EF6FC7"/>
    <w:rsid w:val="00EF7170"/>
    <w:rsid w:val="00EF73D4"/>
    <w:rsid w:val="00EF791F"/>
    <w:rsid w:val="00EF7998"/>
    <w:rsid w:val="00EF7A22"/>
    <w:rsid w:val="00EF7CC1"/>
    <w:rsid w:val="00EF7DF6"/>
    <w:rsid w:val="00F00869"/>
    <w:rsid w:val="00F0086F"/>
    <w:rsid w:val="00F00A2F"/>
    <w:rsid w:val="00F00B74"/>
    <w:rsid w:val="00F00D4A"/>
    <w:rsid w:val="00F00E75"/>
    <w:rsid w:val="00F0183A"/>
    <w:rsid w:val="00F01E16"/>
    <w:rsid w:val="00F0239A"/>
    <w:rsid w:val="00F02DD4"/>
    <w:rsid w:val="00F02DFD"/>
    <w:rsid w:val="00F02F78"/>
    <w:rsid w:val="00F03025"/>
    <w:rsid w:val="00F0307C"/>
    <w:rsid w:val="00F03225"/>
    <w:rsid w:val="00F037E7"/>
    <w:rsid w:val="00F03A20"/>
    <w:rsid w:val="00F03BD3"/>
    <w:rsid w:val="00F0404B"/>
    <w:rsid w:val="00F044C9"/>
    <w:rsid w:val="00F045AD"/>
    <w:rsid w:val="00F04602"/>
    <w:rsid w:val="00F05BAB"/>
    <w:rsid w:val="00F060B8"/>
    <w:rsid w:val="00F062AB"/>
    <w:rsid w:val="00F0674E"/>
    <w:rsid w:val="00F06AAB"/>
    <w:rsid w:val="00F07CBF"/>
    <w:rsid w:val="00F07E79"/>
    <w:rsid w:val="00F1023E"/>
    <w:rsid w:val="00F107C8"/>
    <w:rsid w:val="00F10B18"/>
    <w:rsid w:val="00F10C2E"/>
    <w:rsid w:val="00F10C36"/>
    <w:rsid w:val="00F11C9F"/>
    <w:rsid w:val="00F11FEC"/>
    <w:rsid w:val="00F1226D"/>
    <w:rsid w:val="00F126A3"/>
    <w:rsid w:val="00F12763"/>
    <w:rsid w:val="00F13491"/>
    <w:rsid w:val="00F13AFC"/>
    <w:rsid w:val="00F13EB3"/>
    <w:rsid w:val="00F13F08"/>
    <w:rsid w:val="00F14678"/>
    <w:rsid w:val="00F148D0"/>
    <w:rsid w:val="00F14CF1"/>
    <w:rsid w:val="00F14F12"/>
    <w:rsid w:val="00F1578B"/>
    <w:rsid w:val="00F15822"/>
    <w:rsid w:val="00F158D2"/>
    <w:rsid w:val="00F15C64"/>
    <w:rsid w:val="00F15CBB"/>
    <w:rsid w:val="00F1677F"/>
    <w:rsid w:val="00F16C76"/>
    <w:rsid w:val="00F1755B"/>
    <w:rsid w:val="00F17E7E"/>
    <w:rsid w:val="00F20438"/>
    <w:rsid w:val="00F20713"/>
    <w:rsid w:val="00F20FEC"/>
    <w:rsid w:val="00F2130F"/>
    <w:rsid w:val="00F216C6"/>
    <w:rsid w:val="00F22487"/>
    <w:rsid w:val="00F229AB"/>
    <w:rsid w:val="00F22DD8"/>
    <w:rsid w:val="00F2334B"/>
    <w:rsid w:val="00F242C4"/>
    <w:rsid w:val="00F2491C"/>
    <w:rsid w:val="00F24B4D"/>
    <w:rsid w:val="00F24CF8"/>
    <w:rsid w:val="00F24E37"/>
    <w:rsid w:val="00F251A9"/>
    <w:rsid w:val="00F2523C"/>
    <w:rsid w:val="00F25282"/>
    <w:rsid w:val="00F2548A"/>
    <w:rsid w:val="00F25C6D"/>
    <w:rsid w:val="00F26123"/>
    <w:rsid w:val="00F26336"/>
    <w:rsid w:val="00F26767"/>
    <w:rsid w:val="00F2698F"/>
    <w:rsid w:val="00F26D89"/>
    <w:rsid w:val="00F270F4"/>
    <w:rsid w:val="00F27730"/>
    <w:rsid w:val="00F279EB"/>
    <w:rsid w:val="00F31384"/>
    <w:rsid w:val="00F316EA"/>
    <w:rsid w:val="00F326E3"/>
    <w:rsid w:val="00F32855"/>
    <w:rsid w:val="00F32DA9"/>
    <w:rsid w:val="00F33658"/>
    <w:rsid w:val="00F33718"/>
    <w:rsid w:val="00F34AD3"/>
    <w:rsid w:val="00F34B34"/>
    <w:rsid w:val="00F34DF7"/>
    <w:rsid w:val="00F3577A"/>
    <w:rsid w:val="00F358E6"/>
    <w:rsid w:val="00F35FD8"/>
    <w:rsid w:val="00F36260"/>
    <w:rsid w:val="00F365CD"/>
    <w:rsid w:val="00F36743"/>
    <w:rsid w:val="00F371E6"/>
    <w:rsid w:val="00F37CF5"/>
    <w:rsid w:val="00F4058F"/>
    <w:rsid w:val="00F40725"/>
    <w:rsid w:val="00F4099A"/>
    <w:rsid w:val="00F410E1"/>
    <w:rsid w:val="00F414A9"/>
    <w:rsid w:val="00F41554"/>
    <w:rsid w:val="00F41805"/>
    <w:rsid w:val="00F41923"/>
    <w:rsid w:val="00F41A88"/>
    <w:rsid w:val="00F4234B"/>
    <w:rsid w:val="00F43171"/>
    <w:rsid w:val="00F43763"/>
    <w:rsid w:val="00F441B7"/>
    <w:rsid w:val="00F44A6E"/>
    <w:rsid w:val="00F45495"/>
    <w:rsid w:val="00F4591D"/>
    <w:rsid w:val="00F45930"/>
    <w:rsid w:val="00F45ADC"/>
    <w:rsid w:val="00F46850"/>
    <w:rsid w:val="00F46FA3"/>
    <w:rsid w:val="00F47719"/>
    <w:rsid w:val="00F477AF"/>
    <w:rsid w:val="00F478D6"/>
    <w:rsid w:val="00F47B42"/>
    <w:rsid w:val="00F47F8D"/>
    <w:rsid w:val="00F50043"/>
    <w:rsid w:val="00F50C88"/>
    <w:rsid w:val="00F514F9"/>
    <w:rsid w:val="00F515EC"/>
    <w:rsid w:val="00F51B18"/>
    <w:rsid w:val="00F52A59"/>
    <w:rsid w:val="00F52B30"/>
    <w:rsid w:val="00F52D8B"/>
    <w:rsid w:val="00F53749"/>
    <w:rsid w:val="00F53AF2"/>
    <w:rsid w:val="00F53C39"/>
    <w:rsid w:val="00F53D62"/>
    <w:rsid w:val="00F545E6"/>
    <w:rsid w:val="00F546A1"/>
    <w:rsid w:val="00F54B05"/>
    <w:rsid w:val="00F54F7B"/>
    <w:rsid w:val="00F5530D"/>
    <w:rsid w:val="00F55482"/>
    <w:rsid w:val="00F555FD"/>
    <w:rsid w:val="00F557C3"/>
    <w:rsid w:val="00F558DD"/>
    <w:rsid w:val="00F55992"/>
    <w:rsid w:val="00F559D1"/>
    <w:rsid w:val="00F55CA3"/>
    <w:rsid w:val="00F5630D"/>
    <w:rsid w:val="00F56708"/>
    <w:rsid w:val="00F56712"/>
    <w:rsid w:val="00F56EA2"/>
    <w:rsid w:val="00F56F50"/>
    <w:rsid w:val="00F577BE"/>
    <w:rsid w:val="00F57828"/>
    <w:rsid w:val="00F57AFD"/>
    <w:rsid w:val="00F57CC9"/>
    <w:rsid w:val="00F57EC4"/>
    <w:rsid w:val="00F60047"/>
    <w:rsid w:val="00F6029F"/>
    <w:rsid w:val="00F618C5"/>
    <w:rsid w:val="00F6295B"/>
    <w:rsid w:val="00F63232"/>
    <w:rsid w:val="00F6342A"/>
    <w:rsid w:val="00F63A57"/>
    <w:rsid w:val="00F63C24"/>
    <w:rsid w:val="00F63DFE"/>
    <w:rsid w:val="00F641BE"/>
    <w:rsid w:val="00F649FE"/>
    <w:rsid w:val="00F64A0A"/>
    <w:rsid w:val="00F65334"/>
    <w:rsid w:val="00F6567D"/>
    <w:rsid w:val="00F65B68"/>
    <w:rsid w:val="00F65BAD"/>
    <w:rsid w:val="00F66068"/>
    <w:rsid w:val="00F6615F"/>
    <w:rsid w:val="00F667D6"/>
    <w:rsid w:val="00F670F5"/>
    <w:rsid w:val="00F67157"/>
    <w:rsid w:val="00F6780B"/>
    <w:rsid w:val="00F67A7F"/>
    <w:rsid w:val="00F67B77"/>
    <w:rsid w:val="00F705EB"/>
    <w:rsid w:val="00F710A0"/>
    <w:rsid w:val="00F71216"/>
    <w:rsid w:val="00F71757"/>
    <w:rsid w:val="00F71ABB"/>
    <w:rsid w:val="00F72B96"/>
    <w:rsid w:val="00F72BB7"/>
    <w:rsid w:val="00F72CD5"/>
    <w:rsid w:val="00F72CD7"/>
    <w:rsid w:val="00F72E25"/>
    <w:rsid w:val="00F72F45"/>
    <w:rsid w:val="00F734B3"/>
    <w:rsid w:val="00F7368E"/>
    <w:rsid w:val="00F737AD"/>
    <w:rsid w:val="00F738AA"/>
    <w:rsid w:val="00F73C18"/>
    <w:rsid w:val="00F73C38"/>
    <w:rsid w:val="00F7448B"/>
    <w:rsid w:val="00F745B5"/>
    <w:rsid w:val="00F7481E"/>
    <w:rsid w:val="00F748D8"/>
    <w:rsid w:val="00F7508B"/>
    <w:rsid w:val="00F750CE"/>
    <w:rsid w:val="00F75143"/>
    <w:rsid w:val="00F7586D"/>
    <w:rsid w:val="00F762FA"/>
    <w:rsid w:val="00F76BC7"/>
    <w:rsid w:val="00F76CD3"/>
    <w:rsid w:val="00F76FF4"/>
    <w:rsid w:val="00F771D5"/>
    <w:rsid w:val="00F7725C"/>
    <w:rsid w:val="00F77D60"/>
    <w:rsid w:val="00F77ED8"/>
    <w:rsid w:val="00F803C0"/>
    <w:rsid w:val="00F80489"/>
    <w:rsid w:val="00F80A31"/>
    <w:rsid w:val="00F817A0"/>
    <w:rsid w:val="00F82108"/>
    <w:rsid w:val="00F82639"/>
    <w:rsid w:val="00F82A8E"/>
    <w:rsid w:val="00F82E95"/>
    <w:rsid w:val="00F83456"/>
    <w:rsid w:val="00F83628"/>
    <w:rsid w:val="00F83875"/>
    <w:rsid w:val="00F83878"/>
    <w:rsid w:val="00F83D7F"/>
    <w:rsid w:val="00F842EE"/>
    <w:rsid w:val="00F843D3"/>
    <w:rsid w:val="00F847A5"/>
    <w:rsid w:val="00F84B06"/>
    <w:rsid w:val="00F84D77"/>
    <w:rsid w:val="00F84DAF"/>
    <w:rsid w:val="00F85EE0"/>
    <w:rsid w:val="00F85F2B"/>
    <w:rsid w:val="00F8615F"/>
    <w:rsid w:val="00F866AD"/>
    <w:rsid w:val="00F86860"/>
    <w:rsid w:val="00F87171"/>
    <w:rsid w:val="00F876C7"/>
    <w:rsid w:val="00F87DAF"/>
    <w:rsid w:val="00F87E05"/>
    <w:rsid w:val="00F909F6"/>
    <w:rsid w:val="00F91064"/>
    <w:rsid w:val="00F91080"/>
    <w:rsid w:val="00F929C3"/>
    <w:rsid w:val="00F92D19"/>
    <w:rsid w:val="00F930B6"/>
    <w:rsid w:val="00F9384D"/>
    <w:rsid w:val="00F94A2A"/>
    <w:rsid w:val="00F956E6"/>
    <w:rsid w:val="00F95DEB"/>
    <w:rsid w:val="00F96407"/>
    <w:rsid w:val="00F966DF"/>
    <w:rsid w:val="00F96874"/>
    <w:rsid w:val="00F9704E"/>
    <w:rsid w:val="00F9720A"/>
    <w:rsid w:val="00F97721"/>
    <w:rsid w:val="00F97CD4"/>
    <w:rsid w:val="00FA023A"/>
    <w:rsid w:val="00FA0504"/>
    <w:rsid w:val="00FA0B9C"/>
    <w:rsid w:val="00FA0DE0"/>
    <w:rsid w:val="00FA15FD"/>
    <w:rsid w:val="00FA31A1"/>
    <w:rsid w:val="00FA34D5"/>
    <w:rsid w:val="00FA363F"/>
    <w:rsid w:val="00FA3896"/>
    <w:rsid w:val="00FA4994"/>
    <w:rsid w:val="00FA5199"/>
    <w:rsid w:val="00FA59F5"/>
    <w:rsid w:val="00FA5A27"/>
    <w:rsid w:val="00FA5E8A"/>
    <w:rsid w:val="00FA6294"/>
    <w:rsid w:val="00FA63EE"/>
    <w:rsid w:val="00FA6BB1"/>
    <w:rsid w:val="00FA6FD7"/>
    <w:rsid w:val="00FA7217"/>
    <w:rsid w:val="00FA7508"/>
    <w:rsid w:val="00FA77D7"/>
    <w:rsid w:val="00FA7DEA"/>
    <w:rsid w:val="00FA7EDB"/>
    <w:rsid w:val="00FB0C1B"/>
    <w:rsid w:val="00FB0E34"/>
    <w:rsid w:val="00FB0EAF"/>
    <w:rsid w:val="00FB1303"/>
    <w:rsid w:val="00FB1468"/>
    <w:rsid w:val="00FB21B5"/>
    <w:rsid w:val="00FB260D"/>
    <w:rsid w:val="00FB2DE2"/>
    <w:rsid w:val="00FB3045"/>
    <w:rsid w:val="00FB323A"/>
    <w:rsid w:val="00FB4249"/>
    <w:rsid w:val="00FB4389"/>
    <w:rsid w:val="00FB46D1"/>
    <w:rsid w:val="00FB50FD"/>
    <w:rsid w:val="00FB5200"/>
    <w:rsid w:val="00FB524C"/>
    <w:rsid w:val="00FB5316"/>
    <w:rsid w:val="00FB59EA"/>
    <w:rsid w:val="00FB59F8"/>
    <w:rsid w:val="00FB633A"/>
    <w:rsid w:val="00FB6B8B"/>
    <w:rsid w:val="00FB6C55"/>
    <w:rsid w:val="00FB706D"/>
    <w:rsid w:val="00FB70B5"/>
    <w:rsid w:val="00FB74D5"/>
    <w:rsid w:val="00FB7993"/>
    <w:rsid w:val="00FC0F42"/>
    <w:rsid w:val="00FC10C0"/>
    <w:rsid w:val="00FC1D0C"/>
    <w:rsid w:val="00FC235A"/>
    <w:rsid w:val="00FC3394"/>
    <w:rsid w:val="00FC36FA"/>
    <w:rsid w:val="00FC3EDF"/>
    <w:rsid w:val="00FC3EF0"/>
    <w:rsid w:val="00FC4453"/>
    <w:rsid w:val="00FC4981"/>
    <w:rsid w:val="00FC5AA2"/>
    <w:rsid w:val="00FC64E1"/>
    <w:rsid w:val="00FC6653"/>
    <w:rsid w:val="00FC68EF"/>
    <w:rsid w:val="00FC6BA7"/>
    <w:rsid w:val="00FC7121"/>
    <w:rsid w:val="00FD008B"/>
    <w:rsid w:val="00FD0200"/>
    <w:rsid w:val="00FD0A8C"/>
    <w:rsid w:val="00FD0C3C"/>
    <w:rsid w:val="00FD0CCF"/>
    <w:rsid w:val="00FD0E12"/>
    <w:rsid w:val="00FD140C"/>
    <w:rsid w:val="00FD145C"/>
    <w:rsid w:val="00FD1762"/>
    <w:rsid w:val="00FD1A51"/>
    <w:rsid w:val="00FD215A"/>
    <w:rsid w:val="00FD2665"/>
    <w:rsid w:val="00FD34D1"/>
    <w:rsid w:val="00FD3773"/>
    <w:rsid w:val="00FD39BE"/>
    <w:rsid w:val="00FD3D98"/>
    <w:rsid w:val="00FD40D8"/>
    <w:rsid w:val="00FD447D"/>
    <w:rsid w:val="00FD461F"/>
    <w:rsid w:val="00FD50A4"/>
    <w:rsid w:val="00FD520B"/>
    <w:rsid w:val="00FD5B60"/>
    <w:rsid w:val="00FD5F3A"/>
    <w:rsid w:val="00FD6D5F"/>
    <w:rsid w:val="00FD7064"/>
    <w:rsid w:val="00FD7198"/>
    <w:rsid w:val="00FD74A7"/>
    <w:rsid w:val="00FD7A1C"/>
    <w:rsid w:val="00FE015D"/>
    <w:rsid w:val="00FE0416"/>
    <w:rsid w:val="00FE0E7A"/>
    <w:rsid w:val="00FE12A2"/>
    <w:rsid w:val="00FE190B"/>
    <w:rsid w:val="00FE218F"/>
    <w:rsid w:val="00FE2396"/>
    <w:rsid w:val="00FE2DDD"/>
    <w:rsid w:val="00FE3640"/>
    <w:rsid w:val="00FE3C3F"/>
    <w:rsid w:val="00FE3D8E"/>
    <w:rsid w:val="00FE3F3A"/>
    <w:rsid w:val="00FE3FE9"/>
    <w:rsid w:val="00FE4629"/>
    <w:rsid w:val="00FE490F"/>
    <w:rsid w:val="00FE53AB"/>
    <w:rsid w:val="00FE584F"/>
    <w:rsid w:val="00FE585E"/>
    <w:rsid w:val="00FE5A39"/>
    <w:rsid w:val="00FE5C1A"/>
    <w:rsid w:val="00FE5F1E"/>
    <w:rsid w:val="00FE62BA"/>
    <w:rsid w:val="00FE6427"/>
    <w:rsid w:val="00FE6954"/>
    <w:rsid w:val="00FE6A6E"/>
    <w:rsid w:val="00FE6B87"/>
    <w:rsid w:val="00FE7066"/>
    <w:rsid w:val="00FE707F"/>
    <w:rsid w:val="00FF0634"/>
    <w:rsid w:val="00FF1244"/>
    <w:rsid w:val="00FF2154"/>
    <w:rsid w:val="00FF2716"/>
    <w:rsid w:val="00FF32F9"/>
    <w:rsid w:val="00FF340F"/>
    <w:rsid w:val="00FF344D"/>
    <w:rsid w:val="00FF3712"/>
    <w:rsid w:val="00FF38FB"/>
    <w:rsid w:val="00FF554B"/>
    <w:rsid w:val="00FF5DE6"/>
    <w:rsid w:val="00FF5FF2"/>
    <w:rsid w:val="00FF691D"/>
    <w:rsid w:val="00FF6B92"/>
    <w:rsid w:val="00FF6CD5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5809"/>
    <o:shapelayout v:ext="edit">
      <o:idmap v:ext="edit" data="1"/>
    </o:shapelayout>
  </w:shapeDefaults>
  <w:decimalSymbol w:val=","/>
  <w:listSeparator w:val=";"/>
  <w14:docId w14:val="4F09C787"/>
  <w15:docId w15:val="{0A94383C-BACB-472C-8F1E-1D49E9AE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semiHidden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basedOn w:val="Normln"/>
    <w:uiPriority w:val="99"/>
    <w:semiHidden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sid w:val="00074A01"/>
  </w:style>
  <w:style w:type="character" w:styleId="Znakapoznpodarou">
    <w:name w:val="footnote reference"/>
    <w:aliases w:val="Footnote,Footnote call"/>
    <w:basedOn w:val="Standardnpsmoodstavce"/>
    <w:uiPriority w:val="99"/>
    <w:semiHidden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3A70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Char">
    <w:name w:val="Char4 Char Char Char Char Char Char Char Char Char Char"/>
    <w:basedOn w:val="Normln"/>
    <w:rsid w:val="000F37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925EFE"/>
    <w:rPr>
      <w:color w:val="0000FF" w:themeColor="hyperlink"/>
      <w:u w:val="single"/>
    </w:rPr>
  </w:style>
  <w:style w:type="table" w:customStyle="1" w:styleId="Mkatabulky10">
    <w:name w:val="Mřížka tabulky10"/>
    <w:basedOn w:val="Normlntabulka"/>
    <w:next w:val="Mkatabulky"/>
    <w:uiPriority w:val="59"/>
    <w:rsid w:val="003A2E8D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7A253E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A53875-62B2-4F9A-9373-88EDF69B4FF2}"/>
</file>

<file path=customXml/itemProps2.xml><?xml version="1.0" encoding="utf-8"?>
<ds:datastoreItem xmlns:ds="http://schemas.openxmlformats.org/officeDocument/2006/customXml" ds:itemID="{5A7491DE-2D31-4532-8252-F46B780C93C2}"/>
</file>

<file path=customXml/itemProps3.xml><?xml version="1.0" encoding="utf-8"?>
<ds:datastoreItem xmlns:ds="http://schemas.openxmlformats.org/officeDocument/2006/customXml" ds:itemID="{0A27BCC5-627F-411F-8843-798E8C74B9A2}"/>
</file>

<file path=customXml/itemProps4.xml><?xml version="1.0" encoding="utf-8"?>
<ds:datastoreItem xmlns:ds="http://schemas.openxmlformats.org/officeDocument/2006/customXml" ds:itemID="{67457C00-BB85-4225-9CAB-DF1DF7E98077}"/>
</file>

<file path=docProps/app.xml><?xml version="1.0" encoding="utf-8"?>
<Properties xmlns="http://schemas.openxmlformats.org/officeDocument/2006/extended-properties" xmlns:vt="http://schemas.openxmlformats.org/officeDocument/2006/docPropsVTypes">
  <Template>CC26EC05.dotm</Template>
  <TotalTime>0</TotalTime>
  <Pages>12</Pages>
  <Words>4344</Words>
  <Characters>25635</Characters>
  <Application>Microsoft Office Word</Application>
  <DocSecurity>4</DocSecurity>
  <Lines>213</Lines>
  <Paragraphs>59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Nejvyšší kontrolní úřad</Company>
  <LinksUpToDate>false</LinksUpToDate>
  <CharactersWithSpaces>29920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15/22 - Peněžní prostředky státního rozpočtu poskytované na veřejnou službu v drážní osobní dopravě</dc:title>
  <dc:creator>Nejvyšší kontrolní úřad</dc:creator>
  <cp:keywords>kontrolní závěr, veřejná služba, drážní osobní doprava</cp:keywords>
  <dc:description/>
  <cp:lastModifiedBy>KOKRDA Daniel</cp:lastModifiedBy>
  <cp:revision>2</cp:revision>
  <cp:lastPrinted>2016-03-22T07:53:00Z</cp:lastPrinted>
  <dcterms:created xsi:type="dcterms:W3CDTF">2016-04-26T05:02:00Z</dcterms:created>
  <dcterms:modified xsi:type="dcterms:W3CDTF">2016-04-26T05:02:00Z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15/22-NKU30/167/16</vt:lpwstr>
  </property>
  <property fmtid="{D5CDD505-2E9C-101B-9397-08002B2CF9AE}" pid="3" name="SZ_Spis_Pisemnost">
    <vt:lpwstr>15/22</vt:lpwstr>
  </property>
  <property fmtid="{D5CDD505-2E9C-101B-9397-08002B2CF9AE}" pid="4" name="DisplayName_SpisovyUzel_PoziceZodpo_Pisemnost">
    <vt:lpwstr>30</vt:lpwstr>
  </property>
  <property fmtid="{D5CDD505-2E9C-101B-9397-08002B2CF9AE}" pid="5" name="Zkratka_SpisovyUzel_PoziceZodpo_Pisemnost">
    <vt:lpwstr>30</vt:lpwstr>
  </property>
  <property fmtid="{D5CDD505-2E9C-101B-9397-08002B2CF9AE}" pid="6" name="Key_BarCode_Pisemnost">
    <vt:lpwstr>*B000258903*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16-2280/NKU</vt:lpwstr>
  </property>
  <property fmtid="{D5CDD505-2E9C-101B-9397-08002B2CF9AE}" pid="9" name="Odkaz">
    <vt:lpwstr>ODKAZ</vt:lpwstr>
  </property>
  <property fmtid="{D5CDD505-2E9C-101B-9397-08002B2CF9AE}" pid="10" name="SkartacniZnakLhuta_PisemnostZnak">
    <vt:lpwstr>?/?</vt:lpwstr>
  </property>
  <property fmtid="{D5CDD505-2E9C-101B-9397-08002B2CF9AE}" pid="11" name="CJ_Spis_Pisemnost">
    <vt:lpwstr>CJ/SPIS/ROK</vt:lpwstr>
  </property>
  <property fmtid="{D5CDD505-2E9C-101B-9397-08002B2CF9AE}" pid="12" name="Contact_PostaOdes_All">
    <vt:lpwstr>ROZDĚLOVNÍK...</vt:lpwstr>
  </property>
  <property fmtid="{D5CDD505-2E9C-101B-9397-08002B2CF9AE}" pid="13" name="UserName_PisemnostTypZpristupneniInformaciZOSZ_Pisemnost">
    <vt:lpwstr>ZOSZ_UserName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DatumPlatnosti_PisemnostTypZpristupneniInformaciZOSZ_Pisemnost">
    <vt:lpwstr>ZOSZ_DatumPlatnosti</vt:lpwstr>
  </property>
  <property fmtid="{D5CDD505-2E9C-101B-9397-08002B2CF9AE}" pid="16" name="TEST">
    <vt:lpwstr>testovací pole</vt:lpwstr>
  </property>
  <property fmtid="{D5CDD505-2E9C-101B-9397-08002B2CF9AE}" pid="17" name="PocetListu_Pisemnost">
    <vt:lpwstr>1</vt:lpwstr>
  </property>
  <property fmtid="{D5CDD505-2E9C-101B-9397-08002B2CF9AE}" pid="18" name="Vec_Pisemnost">
    <vt:lpwstr>Návrh kontrolního závěru 15/22 do připomínek</vt:lpwstr>
  </property>
  <property fmtid="{D5CDD505-2E9C-101B-9397-08002B2CF9AE}" pid="19" name="DatumPoriz_Pisemnost">
    <vt:lpwstr>11.2.2016</vt:lpwstr>
  </property>
  <property fmtid="{D5CDD505-2E9C-101B-9397-08002B2CF9AE}" pid="20" name="KRukam">
    <vt:lpwstr>{KRukam}</vt:lpwstr>
  </property>
  <property fmtid="{D5CDD505-2E9C-101B-9397-08002B2CF9AE}" pid="21" name="PocetListuDokumentu_Pisemnost">
    <vt:lpwstr>1</vt:lpwstr>
  </property>
  <property fmtid="{D5CDD505-2E9C-101B-9397-08002B2CF9AE}" pid="22" name="PocetPriloh_Pisemnost">
    <vt:lpwstr>0</vt:lpwstr>
  </property>
  <property fmtid="{D5CDD505-2E9C-101B-9397-08002B2CF9AE}" pid="23" name="TypPrilohy_Pisemnost">
    <vt:lpwstr>TYP PŘÍLOHY</vt:lpwstr>
  </property>
  <property fmtid="{D5CDD505-2E9C-101B-9397-08002B2CF9AE}" pid="24" name="DisplayName_UserPoriz_Pisemnost">
    <vt:lpwstr>Bc. Jana Pokorná</vt:lpwstr>
  </property>
  <property fmtid="{D5CDD505-2E9C-101B-9397-08002B2CF9AE}" pid="25" name="Podpis">
    <vt:lpwstr/>
  </property>
  <property fmtid="{D5CDD505-2E9C-101B-9397-08002B2CF9AE}" pid="26" name="SmlouvaCislo">
    <vt:lpwstr>ČÍSLO SMLOUVY</vt:lpwstr>
  </property>
  <property fmtid="{D5CDD505-2E9C-101B-9397-08002B2CF9AE}" pid="27" name="ContentTypeId">
    <vt:lpwstr>0x0101002F7A625AE9F5AB4A939F92BCAA7FEC02</vt:lpwstr>
  </property>
</Properties>
</file>