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45B02" w14:textId="3CF8213D" w:rsidR="0077328C" w:rsidRDefault="0077328C" w:rsidP="00014A22">
      <w:pPr>
        <w:spacing w:after="0" w:line="240" w:lineRule="auto"/>
        <w:jc w:val="center"/>
        <w:rPr>
          <w:rFonts w:cstheme="minorHAnsi"/>
          <w:b/>
          <w:szCs w:val="24"/>
        </w:rPr>
      </w:pPr>
      <w:r w:rsidRPr="00014A22">
        <w:rPr>
          <w:rFonts w:cstheme="minorHAnsi"/>
          <w:b/>
          <w:noProof/>
          <w:szCs w:val="24"/>
          <w:lang w:eastAsia="cs-CZ"/>
        </w:rPr>
        <w:drawing>
          <wp:anchor distT="0" distB="0" distL="114300" distR="114300" simplePos="0" relativeHeight="251657216" behindDoc="0" locked="0" layoutInCell="1" allowOverlap="1" wp14:anchorId="6D126D21" wp14:editId="1E63D395">
            <wp:simplePos x="0" y="0"/>
            <wp:positionH relativeFrom="column">
              <wp:posOffset>2500630</wp:posOffset>
            </wp:positionH>
            <wp:positionV relativeFrom="paragraph">
              <wp:posOffset>-4445</wp:posOffset>
            </wp:positionV>
            <wp:extent cx="792480" cy="560705"/>
            <wp:effectExtent l="0" t="0" r="762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480" cy="560705"/>
                    </a:xfrm>
                    <a:prstGeom prst="rect">
                      <a:avLst/>
                    </a:prstGeom>
                    <a:noFill/>
                  </pic:spPr>
                </pic:pic>
              </a:graphicData>
            </a:graphic>
            <wp14:sizeRelH relativeFrom="page">
              <wp14:pctWidth>0</wp14:pctWidth>
            </wp14:sizeRelH>
            <wp14:sizeRelV relativeFrom="page">
              <wp14:pctHeight>0</wp14:pctHeight>
            </wp14:sizeRelV>
          </wp:anchor>
        </w:drawing>
      </w:r>
    </w:p>
    <w:p w14:paraId="515456C3" w14:textId="77777777" w:rsidR="00320C9F" w:rsidRPr="00014A22" w:rsidRDefault="00320C9F" w:rsidP="00014A22">
      <w:pPr>
        <w:spacing w:after="0" w:line="240" w:lineRule="auto"/>
        <w:jc w:val="center"/>
        <w:rPr>
          <w:rFonts w:cstheme="minorHAnsi"/>
          <w:b/>
          <w:szCs w:val="24"/>
        </w:rPr>
      </w:pPr>
    </w:p>
    <w:p w14:paraId="2B914B23" w14:textId="77777777" w:rsidR="0077328C" w:rsidRPr="00014A22" w:rsidRDefault="0077328C" w:rsidP="00014A22">
      <w:pPr>
        <w:spacing w:after="0" w:line="240" w:lineRule="auto"/>
        <w:jc w:val="center"/>
        <w:rPr>
          <w:rFonts w:cstheme="minorHAnsi"/>
          <w:b/>
          <w:szCs w:val="24"/>
        </w:rPr>
      </w:pPr>
    </w:p>
    <w:p w14:paraId="7FFC3E73" w14:textId="77777777" w:rsidR="00665555" w:rsidRPr="00FF6029" w:rsidRDefault="00665555" w:rsidP="00B51587">
      <w:pPr>
        <w:spacing w:after="0" w:line="240" w:lineRule="auto"/>
        <w:jc w:val="center"/>
        <w:rPr>
          <w:rFonts w:cstheme="minorHAnsi"/>
          <w:b/>
          <w:sz w:val="28"/>
          <w:szCs w:val="28"/>
        </w:rPr>
      </w:pPr>
      <w:bookmarkStart w:id="0" w:name="_GoBack"/>
      <w:r w:rsidRPr="00FF6029">
        <w:rPr>
          <w:rFonts w:cstheme="minorHAnsi"/>
          <w:b/>
          <w:sz w:val="28"/>
          <w:szCs w:val="28"/>
        </w:rPr>
        <w:t>Kontrolní závěr z kontrolní akce</w:t>
      </w:r>
    </w:p>
    <w:p w14:paraId="1672DECE" w14:textId="77777777" w:rsidR="00B51587" w:rsidRDefault="00B51587" w:rsidP="00B51587">
      <w:pPr>
        <w:spacing w:after="0" w:line="240" w:lineRule="auto"/>
        <w:ind w:right="68"/>
        <w:jc w:val="center"/>
        <w:rPr>
          <w:rFonts w:cstheme="minorHAnsi"/>
          <w:b/>
          <w:bCs/>
          <w:sz w:val="28"/>
          <w:szCs w:val="28"/>
        </w:rPr>
      </w:pPr>
    </w:p>
    <w:p w14:paraId="0AF4BF96" w14:textId="27B95C23" w:rsidR="00665555" w:rsidRDefault="00665555" w:rsidP="00B51587">
      <w:pPr>
        <w:spacing w:after="0" w:line="240" w:lineRule="auto"/>
        <w:ind w:right="68"/>
        <w:jc w:val="center"/>
        <w:rPr>
          <w:rFonts w:cstheme="minorHAnsi"/>
          <w:b/>
          <w:bCs/>
          <w:sz w:val="28"/>
          <w:szCs w:val="28"/>
        </w:rPr>
      </w:pPr>
      <w:r w:rsidRPr="00014A22">
        <w:rPr>
          <w:rFonts w:cstheme="minorHAnsi"/>
          <w:b/>
          <w:bCs/>
          <w:sz w:val="28"/>
          <w:szCs w:val="28"/>
        </w:rPr>
        <w:t>1</w:t>
      </w:r>
      <w:r w:rsidR="00AA4A83">
        <w:rPr>
          <w:rFonts w:cstheme="minorHAnsi"/>
          <w:b/>
          <w:bCs/>
          <w:sz w:val="28"/>
          <w:szCs w:val="28"/>
        </w:rPr>
        <w:t>6/26</w:t>
      </w:r>
    </w:p>
    <w:p w14:paraId="0D106DC7" w14:textId="77777777" w:rsidR="00B51587" w:rsidRPr="00014A22" w:rsidRDefault="00B51587" w:rsidP="00B51587">
      <w:pPr>
        <w:spacing w:after="0" w:line="240" w:lineRule="auto"/>
        <w:ind w:right="68"/>
        <w:jc w:val="center"/>
        <w:rPr>
          <w:rFonts w:cstheme="minorHAnsi"/>
          <w:b/>
          <w:bCs/>
          <w:sz w:val="28"/>
          <w:szCs w:val="28"/>
        </w:rPr>
      </w:pPr>
    </w:p>
    <w:p w14:paraId="6A669011" w14:textId="2B58B83A" w:rsidR="00F51A04" w:rsidRPr="003C561E" w:rsidRDefault="00AA4A83" w:rsidP="00B51587">
      <w:pPr>
        <w:autoSpaceDE w:val="0"/>
        <w:autoSpaceDN w:val="0"/>
        <w:adjustRightInd w:val="0"/>
        <w:spacing w:after="0" w:line="240" w:lineRule="auto"/>
        <w:jc w:val="center"/>
        <w:rPr>
          <w:rFonts w:cs="Times New Roman"/>
          <w:b/>
          <w:sz w:val="28"/>
          <w:szCs w:val="24"/>
        </w:rPr>
      </w:pPr>
      <w:r w:rsidRPr="00AA4A83">
        <w:rPr>
          <w:rFonts w:cs="Times New Roman"/>
          <w:b/>
          <w:sz w:val="28"/>
          <w:szCs w:val="24"/>
        </w:rPr>
        <w:t>Výdaje na provoz a využití nemovitého majetku včetně výdajů na zajištění informační podpory související se správou, provozem a údržbou nemovitého majetku</w:t>
      </w:r>
    </w:p>
    <w:bookmarkEnd w:id="0"/>
    <w:p w14:paraId="7BB1CD50" w14:textId="77777777" w:rsidR="003C561E" w:rsidRPr="002324A0" w:rsidRDefault="003C561E" w:rsidP="002324A0">
      <w:pPr>
        <w:autoSpaceDE w:val="0"/>
        <w:autoSpaceDN w:val="0"/>
        <w:adjustRightInd w:val="0"/>
        <w:spacing w:after="0"/>
        <w:rPr>
          <w:rFonts w:cs="Times New Roman"/>
          <w:szCs w:val="24"/>
        </w:rPr>
      </w:pPr>
    </w:p>
    <w:p w14:paraId="00440E17" w14:textId="77777777" w:rsidR="00014A22" w:rsidRPr="002324A0" w:rsidRDefault="00014A22" w:rsidP="002324A0">
      <w:pPr>
        <w:pStyle w:val="Zkladn"/>
        <w:spacing w:before="0" w:line="259" w:lineRule="auto"/>
        <w:rPr>
          <w:rFonts w:asciiTheme="minorHAnsi" w:hAnsiTheme="minorHAnsi" w:cstheme="minorHAnsi"/>
          <w:sz w:val="22"/>
        </w:rPr>
      </w:pPr>
    </w:p>
    <w:p w14:paraId="4DDD38AF" w14:textId="653BA0C1" w:rsidR="00665555" w:rsidRPr="00014A22" w:rsidRDefault="00665555" w:rsidP="009C78F4">
      <w:pPr>
        <w:pStyle w:val="Zkladn"/>
        <w:spacing w:before="0" w:line="259" w:lineRule="auto"/>
        <w:rPr>
          <w:rFonts w:asciiTheme="minorHAnsi" w:hAnsiTheme="minorHAnsi" w:cstheme="minorHAnsi"/>
        </w:rPr>
      </w:pPr>
      <w:r w:rsidRPr="00014A22">
        <w:rPr>
          <w:rFonts w:asciiTheme="minorHAnsi" w:hAnsiTheme="minorHAnsi" w:cstheme="minorHAnsi"/>
        </w:rPr>
        <w:t xml:space="preserve">Kontrolní akce byla zařazena do plánu kontrolní činnosti Nejvyššího kontrolního </w:t>
      </w:r>
      <w:r w:rsidRPr="003C736E">
        <w:rPr>
          <w:rFonts w:asciiTheme="minorHAnsi" w:hAnsiTheme="minorHAnsi" w:cstheme="minorHAnsi"/>
        </w:rPr>
        <w:t xml:space="preserve">úřadu (dále </w:t>
      </w:r>
      <w:r w:rsidR="00F51A04" w:rsidRPr="003C736E">
        <w:rPr>
          <w:rFonts w:asciiTheme="minorHAnsi" w:hAnsiTheme="minorHAnsi" w:cstheme="minorHAnsi"/>
        </w:rPr>
        <w:t>také</w:t>
      </w:r>
      <w:r w:rsidRPr="003C736E">
        <w:rPr>
          <w:rFonts w:asciiTheme="minorHAnsi" w:hAnsiTheme="minorHAnsi" w:cstheme="minorHAnsi"/>
        </w:rPr>
        <w:t xml:space="preserve"> „NKÚ“) na rok 201</w:t>
      </w:r>
      <w:r w:rsidR="003C561E" w:rsidRPr="003C736E">
        <w:rPr>
          <w:rFonts w:asciiTheme="minorHAnsi" w:hAnsiTheme="minorHAnsi" w:cstheme="minorHAnsi"/>
        </w:rPr>
        <w:t>6</w:t>
      </w:r>
      <w:r w:rsidRPr="003C736E">
        <w:rPr>
          <w:rFonts w:asciiTheme="minorHAnsi" w:hAnsiTheme="minorHAnsi" w:cstheme="minorHAnsi"/>
        </w:rPr>
        <w:t xml:space="preserve"> pod číslem 1</w:t>
      </w:r>
      <w:r w:rsidR="003C561E" w:rsidRPr="003C736E">
        <w:rPr>
          <w:rFonts w:asciiTheme="minorHAnsi" w:hAnsiTheme="minorHAnsi" w:cstheme="minorHAnsi"/>
        </w:rPr>
        <w:t>6</w:t>
      </w:r>
      <w:r w:rsidRPr="003C736E">
        <w:rPr>
          <w:rFonts w:asciiTheme="minorHAnsi" w:hAnsiTheme="minorHAnsi" w:cstheme="minorHAnsi"/>
        </w:rPr>
        <w:t>/</w:t>
      </w:r>
      <w:r w:rsidR="00AA4A83">
        <w:rPr>
          <w:rFonts w:asciiTheme="minorHAnsi" w:hAnsiTheme="minorHAnsi" w:cstheme="minorHAnsi"/>
        </w:rPr>
        <w:t>26</w:t>
      </w:r>
      <w:r w:rsidRPr="003C736E">
        <w:rPr>
          <w:rFonts w:asciiTheme="minorHAnsi" w:hAnsiTheme="minorHAnsi" w:cstheme="minorHAnsi"/>
        </w:rPr>
        <w:t>. Kontrolní akci</w:t>
      </w:r>
      <w:r w:rsidR="005D26C0" w:rsidRPr="003C736E">
        <w:rPr>
          <w:rFonts w:asciiTheme="minorHAnsi" w:hAnsiTheme="minorHAnsi" w:cstheme="minorHAnsi"/>
        </w:rPr>
        <w:t xml:space="preserve"> (dále také „KA“)</w:t>
      </w:r>
      <w:r w:rsidRPr="003C736E">
        <w:rPr>
          <w:rFonts w:asciiTheme="minorHAnsi" w:hAnsiTheme="minorHAnsi" w:cstheme="minorHAnsi"/>
        </w:rPr>
        <w:t xml:space="preserve"> řídil a kon</w:t>
      </w:r>
      <w:r w:rsidRPr="00014A22">
        <w:rPr>
          <w:rFonts w:asciiTheme="minorHAnsi" w:hAnsiTheme="minorHAnsi" w:cstheme="minorHAnsi"/>
        </w:rPr>
        <w:t>trolní závěr vypracoval člen NKÚ Ing. </w:t>
      </w:r>
      <w:r w:rsidR="00AA4A83">
        <w:rPr>
          <w:rFonts w:asciiTheme="minorHAnsi" w:hAnsiTheme="minorHAnsi" w:cstheme="minorHAnsi"/>
        </w:rPr>
        <w:t>Josef</w:t>
      </w:r>
      <w:r w:rsidR="00F51A04">
        <w:rPr>
          <w:rFonts w:asciiTheme="minorHAnsi" w:hAnsiTheme="minorHAnsi" w:cstheme="minorHAnsi"/>
        </w:rPr>
        <w:t xml:space="preserve"> </w:t>
      </w:r>
      <w:r w:rsidR="00AA4A83">
        <w:rPr>
          <w:rFonts w:asciiTheme="minorHAnsi" w:hAnsiTheme="minorHAnsi" w:cstheme="minorHAnsi"/>
        </w:rPr>
        <w:t>Kubíček</w:t>
      </w:r>
      <w:r w:rsidR="0077328C" w:rsidRPr="00014A22">
        <w:rPr>
          <w:rFonts w:asciiTheme="minorHAnsi" w:hAnsiTheme="minorHAnsi" w:cstheme="minorHAnsi"/>
        </w:rPr>
        <w:t>.</w:t>
      </w:r>
    </w:p>
    <w:p w14:paraId="3AD4717C" w14:textId="77777777" w:rsidR="00F51A04" w:rsidRPr="00014A22" w:rsidRDefault="00F51A04" w:rsidP="009C78F4">
      <w:pPr>
        <w:pStyle w:val="Zkladn"/>
        <w:spacing w:before="0" w:line="259" w:lineRule="auto"/>
        <w:rPr>
          <w:rFonts w:asciiTheme="minorHAnsi" w:hAnsiTheme="minorHAnsi" w:cstheme="minorHAnsi"/>
        </w:rPr>
      </w:pPr>
    </w:p>
    <w:p w14:paraId="03127718" w14:textId="7A874A31" w:rsidR="00F51A04" w:rsidRDefault="00665555" w:rsidP="009C78F4">
      <w:pPr>
        <w:spacing w:after="0"/>
        <w:rPr>
          <w:rFonts w:cstheme="minorHAnsi"/>
          <w:noProof/>
          <w:color w:val="000000"/>
        </w:rPr>
      </w:pPr>
      <w:r w:rsidRPr="00F51A04">
        <w:rPr>
          <w:rFonts w:cstheme="minorHAnsi"/>
          <w:b/>
          <w:szCs w:val="24"/>
        </w:rPr>
        <w:t>Cílem kontroly</w:t>
      </w:r>
      <w:r w:rsidRPr="003C561E">
        <w:rPr>
          <w:rFonts w:cstheme="minorHAnsi"/>
          <w:szCs w:val="24"/>
        </w:rPr>
        <w:t xml:space="preserve"> </w:t>
      </w:r>
      <w:r w:rsidR="00AA4A83">
        <w:t>bylo p</w:t>
      </w:r>
      <w:r w:rsidR="00AA4A83" w:rsidRPr="006C4B50">
        <w:t>rověřit efektivnost a účelnost provozu a využití nemovitého majetku v</w:t>
      </w:r>
      <w:r w:rsidR="00AA4A83">
        <w:t> </w:t>
      </w:r>
      <w:r w:rsidR="00AA4A83" w:rsidRPr="006C4B50">
        <w:t>resortu Ministerstva vnitra a zajištění informační podpory pro sběr dat, analýzy a</w:t>
      </w:r>
      <w:r w:rsidR="00AA4A83">
        <w:t> </w:t>
      </w:r>
      <w:r w:rsidR="00AA4A83" w:rsidRPr="006C4B50">
        <w:t>rozhodování vedoucí k</w:t>
      </w:r>
      <w:r w:rsidR="00AA4A83">
        <w:t> </w:t>
      </w:r>
      <w:r w:rsidR="00AA4A83" w:rsidRPr="006C4B50">
        <w:t>optimalizaci majetkové nákladovosti</w:t>
      </w:r>
      <w:r w:rsidR="00AA4A83">
        <w:t>.</w:t>
      </w:r>
    </w:p>
    <w:p w14:paraId="766F8D69" w14:textId="77777777" w:rsidR="003C561E" w:rsidRPr="003C561E" w:rsidRDefault="003C561E" w:rsidP="005C30C9">
      <w:pPr>
        <w:spacing w:after="0"/>
        <w:rPr>
          <w:rFonts w:cs="Times New Roman"/>
          <w:szCs w:val="24"/>
        </w:rPr>
      </w:pPr>
    </w:p>
    <w:p w14:paraId="3090F01B" w14:textId="77777777" w:rsidR="00665555" w:rsidRPr="00F51A04" w:rsidRDefault="00F51A04" w:rsidP="009C78F4">
      <w:pPr>
        <w:pStyle w:val="Zkladn"/>
        <w:spacing w:before="0" w:line="259" w:lineRule="auto"/>
        <w:rPr>
          <w:rFonts w:asciiTheme="minorHAnsi" w:hAnsiTheme="minorHAnsi" w:cstheme="minorHAnsi"/>
          <w:b/>
        </w:rPr>
      </w:pPr>
      <w:r w:rsidRPr="00F51A04">
        <w:rPr>
          <w:rFonts w:asciiTheme="minorHAnsi" w:hAnsiTheme="minorHAnsi" w:cstheme="minorHAnsi"/>
          <w:b/>
        </w:rPr>
        <w:t>Kontrolované osoby:</w:t>
      </w:r>
    </w:p>
    <w:p w14:paraId="236068B5" w14:textId="552DD912" w:rsidR="00F51A04" w:rsidRDefault="00AA4A83">
      <w:pPr>
        <w:contextualSpacing/>
        <w:rPr>
          <w:rFonts w:cstheme="minorHAnsi"/>
        </w:rPr>
      </w:pPr>
      <w:r>
        <w:t>Ministerstvo vnitra</w:t>
      </w:r>
      <w:r>
        <w:rPr>
          <w:rFonts w:cstheme="minorHAnsi"/>
        </w:rPr>
        <w:t xml:space="preserve"> (dále také „M</w:t>
      </w:r>
      <w:r w:rsidR="00F51A04">
        <w:rPr>
          <w:rFonts w:cstheme="minorHAnsi"/>
        </w:rPr>
        <w:t xml:space="preserve">V“), </w:t>
      </w:r>
    </w:p>
    <w:p w14:paraId="0FED715F" w14:textId="35822534" w:rsidR="00112816" w:rsidRDefault="00AA4A83">
      <w:pPr>
        <w:contextualSpacing/>
        <w:rPr>
          <w:rFonts w:cstheme="minorHAnsi"/>
        </w:rPr>
      </w:pPr>
      <w:r w:rsidRPr="000C5112">
        <w:t>Zařízení služeb pro Ministerstvo vnitra</w:t>
      </w:r>
      <w:r>
        <w:rPr>
          <w:rFonts w:cstheme="minorHAnsi"/>
        </w:rPr>
        <w:t xml:space="preserve"> (dále také „ZSMV</w:t>
      </w:r>
      <w:r w:rsidR="00F51A04">
        <w:rPr>
          <w:rFonts w:cstheme="minorHAnsi"/>
        </w:rPr>
        <w:t>“)</w:t>
      </w:r>
      <w:r w:rsidR="00112816">
        <w:rPr>
          <w:rFonts w:cstheme="minorHAnsi"/>
        </w:rPr>
        <w:t>,</w:t>
      </w:r>
    </w:p>
    <w:p w14:paraId="449D9C94" w14:textId="780050C8" w:rsidR="00F51A04" w:rsidRDefault="00112816">
      <w:pPr>
        <w:contextualSpacing/>
        <w:rPr>
          <w:rFonts w:cstheme="minorHAnsi"/>
        </w:rPr>
      </w:pPr>
      <w:r w:rsidRPr="0037244D">
        <w:t>Úřad pro zastupová</w:t>
      </w:r>
      <w:r>
        <w:t>ní státu ve věcech majetkových</w:t>
      </w:r>
      <w:r>
        <w:rPr>
          <w:rFonts w:cstheme="minorHAnsi"/>
        </w:rPr>
        <w:t xml:space="preserve"> (dále také „ÚZSVM“)</w:t>
      </w:r>
      <w:r w:rsidR="00F51A04">
        <w:rPr>
          <w:rFonts w:cstheme="minorHAnsi"/>
        </w:rPr>
        <w:t>.</w:t>
      </w:r>
    </w:p>
    <w:p w14:paraId="6D8CB5C6" w14:textId="564CECD1" w:rsidR="00687FC2" w:rsidRPr="00014A22" w:rsidRDefault="00687FC2">
      <w:pPr>
        <w:contextualSpacing/>
        <w:rPr>
          <w:rFonts w:cstheme="minorHAnsi"/>
        </w:rPr>
      </w:pPr>
    </w:p>
    <w:p w14:paraId="4A266F3B" w14:textId="7093066E" w:rsidR="00665555" w:rsidRPr="00014A22" w:rsidRDefault="00665555" w:rsidP="009C78F4">
      <w:pPr>
        <w:spacing w:after="0"/>
        <w:rPr>
          <w:rFonts w:cstheme="minorHAnsi"/>
          <w:szCs w:val="24"/>
        </w:rPr>
      </w:pPr>
      <w:r w:rsidRPr="00014A22">
        <w:rPr>
          <w:rFonts w:eastAsia="Calibri" w:cstheme="minorHAnsi"/>
          <w:szCs w:val="24"/>
        </w:rPr>
        <w:t>K</w:t>
      </w:r>
      <w:r w:rsidRPr="00014A22">
        <w:rPr>
          <w:rFonts w:cstheme="minorHAnsi"/>
          <w:szCs w:val="24"/>
        </w:rPr>
        <w:t>ontrola byla prováděna u kontrolovaných osob v </w:t>
      </w:r>
      <w:r w:rsidRPr="00F51A04">
        <w:rPr>
          <w:rFonts w:cstheme="minorHAnsi"/>
          <w:szCs w:val="24"/>
        </w:rPr>
        <w:t xml:space="preserve">období od </w:t>
      </w:r>
      <w:r w:rsidR="00AA4A83">
        <w:rPr>
          <w:rFonts w:cstheme="minorHAnsi"/>
          <w:szCs w:val="24"/>
        </w:rPr>
        <w:t>září 2016</w:t>
      </w:r>
      <w:r w:rsidR="0077328C" w:rsidRPr="00F51A04">
        <w:rPr>
          <w:rFonts w:cstheme="minorHAnsi"/>
          <w:szCs w:val="24"/>
        </w:rPr>
        <w:t xml:space="preserve"> do </w:t>
      </w:r>
      <w:r w:rsidR="00AA4A83">
        <w:rPr>
          <w:rFonts w:cstheme="minorHAnsi"/>
          <w:szCs w:val="24"/>
        </w:rPr>
        <w:t>dubna 2017</w:t>
      </w:r>
      <w:r w:rsidRPr="00F51A04">
        <w:rPr>
          <w:rFonts w:cstheme="minorHAnsi"/>
          <w:szCs w:val="24"/>
        </w:rPr>
        <w:t>.</w:t>
      </w:r>
    </w:p>
    <w:p w14:paraId="3F85FF7A" w14:textId="77777777" w:rsidR="00665555" w:rsidRPr="00014A22" w:rsidRDefault="00665555" w:rsidP="002324A0">
      <w:pPr>
        <w:pStyle w:val="Zkladntextodsazen"/>
        <w:spacing w:after="0" w:line="259" w:lineRule="auto"/>
        <w:ind w:left="0"/>
        <w:rPr>
          <w:rFonts w:asciiTheme="minorHAnsi" w:hAnsiTheme="minorHAnsi" w:cstheme="minorHAnsi"/>
        </w:rPr>
      </w:pPr>
    </w:p>
    <w:p w14:paraId="12A6CB62" w14:textId="3358A20A" w:rsidR="00665555" w:rsidRPr="00014A22" w:rsidRDefault="00F51A04" w:rsidP="002324A0">
      <w:pPr>
        <w:pStyle w:val="Zkladntextodsazen"/>
        <w:spacing w:after="0" w:line="259" w:lineRule="auto"/>
        <w:ind w:left="0"/>
        <w:rPr>
          <w:rFonts w:asciiTheme="minorHAnsi" w:hAnsiTheme="minorHAnsi" w:cstheme="minorHAnsi"/>
        </w:rPr>
      </w:pPr>
      <w:r w:rsidRPr="00F51A04">
        <w:rPr>
          <w:rFonts w:asciiTheme="minorHAnsi" w:hAnsiTheme="minorHAnsi" w:cstheme="minorHAnsi"/>
          <w:b/>
        </w:rPr>
        <w:t>Kontrolováno bylo období</w:t>
      </w:r>
      <w:r w:rsidR="00C30D5D">
        <w:rPr>
          <w:rFonts w:asciiTheme="minorHAnsi" w:hAnsiTheme="minorHAnsi" w:cstheme="minorHAnsi"/>
        </w:rPr>
        <w:t xml:space="preserve"> od </w:t>
      </w:r>
      <w:r w:rsidR="00AA4A83">
        <w:rPr>
          <w:rFonts w:asciiTheme="minorHAnsi" w:hAnsiTheme="minorHAnsi" w:cstheme="minorHAnsi"/>
        </w:rPr>
        <w:t>roku 2014</w:t>
      </w:r>
      <w:r>
        <w:rPr>
          <w:rFonts w:asciiTheme="minorHAnsi" w:hAnsiTheme="minorHAnsi" w:cstheme="minorHAnsi"/>
        </w:rPr>
        <w:t xml:space="preserve"> do </w:t>
      </w:r>
      <w:r w:rsidR="00AA4A83">
        <w:rPr>
          <w:rFonts w:asciiTheme="minorHAnsi" w:hAnsiTheme="minorHAnsi" w:cstheme="minorHAnsi"/>
        </w:rPr>
        <w:t>roku 2015</w:t>
      </w:r>
      <w:r>
        <w:rPr>
          <w:rFonts w:asciiTheme="minorHAnsi" w:hAnsiTheme="minorHAnsi" w:cstheme="minorHAnsi"/>
        </w:rPr>
        <w:t>, v případě</w:t>
      </w:r>
      <w:r w:rsidR="00665555" w:rsidRPr="00014A22">
        <w:rPr>
          <w:rFonts w:asciiTheme="minorHAnsi" w:hAnsiTheme="minorHAnsi" w:cstheme="minorHAnsi"/>
        </w:rPr>
        <w:t xml:space="preserve"> věcných souv</w:t>
      </w:r>
      <w:r>
        <w:rPr>
          <w:rFonts w:asciiTheme="minorHAnsi" w:hAnsiTheme="minorHAnsi" w:cstheme="minorHAnsi"/>
        </w:rPr>
        <w:t>islostí i</w:t>
      </w:r>
      <w:r w:rsidR="00EB18E5">
        <w:rPr>
          <w:rFonts w:asciiTheme="minorHAnsi" w:hAnsiTheme="minorHAnsi" w:cstheme="minorHAnsi"/>
        </w:rPr>
        <w:t> </w:t>
      </w:r>
      <w:r>
        <w:rPr>
          <w:rFonts w:asciiTheme="minorHAnsi" w:hAnsiTheme="minorHAnsi" w:cstheme="minorHAnsi"/>
        </w:rPr>
        <w:t>období předcházející</w:t>
      </w:r>
      <w:r w:rsidR="00AA4A83">
        <w:rPr>
          <w:rFonts w:asciiTheme="minorHAnsi" w:hAnsiTheme="minorHAnsi" w:cstheme="minorHAnsi"/>
        </w:rPr>
        <w:t xml:space="preserve"> a následující</w:t>
      </w:r>
      <w:r w:rsidR="00665555" w:rsidRPr="00014A22">
        <w:rPr>
          <w:rFonts w:asciiTheme="minorHAnsi" w:hAnsiTheme="minorHAnsi" w:cstheme="minorHAnsi"/>
        </w:rPr>
        <w:t>.</w:t>
      </w:r>
    </w:p>
    <w:p w14:paraId="23D51CD6" w14:textId="77777777" w:rsidR="00665555" w:rsidRPr="00014A22" w:rsidRDefault="00665555" w:rsidP="002324A0">
      <w:pPr>
        <w:pStyle w:val="Zkladn"/>
        <w:spacing w:before="0" w:line="259" w:lineRule="auto"/>
        <w:rPr>
          <w:rFonts w:asciiTheme="minorHAnsi" w:hAnsiTheme="minorHAnsi" w:cstheme="minorHAnsi"/>
        </w:rPr>
      </w:pPr>
    </w:p>
    <w:p w14:paraId="41BFF3FE" w14:textId="197937B5" w:rsidR="001761BC" w:rsidRPr="001761BC" w:rsidRDefault="001761BC" w:rsidP="002324A0">
      <w:pPr>
        <w:spacing w:after="0"/>
        <w:rPr>
          <w:rFonts w:cs="Calibri"/>
        </w:rPr>
      </w:pPr>
      <w:r w:rsidRPr="00D34150">
        <w:rPr>
          <w:rFonts w:cs="Calibri"/>
          <w:szCs w:val="24"/>
        </w:rPr>
        <w:t xml:space="preserve">Námitky, které proti kontrolnímu protokolu </w:t>
      </w:r>
      <w:r w:rsidRPr="001B1917">
        <w:rPr>
          <w:rFonts w:cs="Calibri"/>
          <w:szCs w:val="24"/>
        </w:rPr>
        <w:t>pod</w:t>
      </w:r>
      <w:r w:rsidR="00CA58F6" w:rsidRPr="001B1917">
        <w:rPr>
          <w:rFonts w:cs="Calibri"/>
          <w:szCs w:val="24"/>
        </w:rPr>
        <w:t>al</w:t>
      </w:r>
      <w:r w:rsidR="00B55A62" w:rsidRPr="001B1917">
        <w:rPr>
          <w:rFonts w:cs="Calibri"/>
          <w:szCs w:val="24"/>
        </w:rPr>
        <w:t>y</w:t>
      </w:r>
      <w:r w:rsidRPr="001B1917">
        <w:rPr>
          <w:rFonts w:cs="Calibri"/>
          <w:szCs w:val="24"/>
        </w:rPr>
        <w:t xml:space="preserve"> </w:t>
      </w:r>
      <w:r w:rsidR="00F51A04" w:rsidRPr="001B1917">
        <w:rPr>
          <w:rFonts w:cs="Calibri"/>
          <w:szCs w:val="24"/>
        </w:rPr>
        <w:t>M</w:t>
      </w:r>
      <w:r w:rsidR="00AA4A83" w:rsidRPr="001B1917">
        <w:rPr>
          <w:rFonts w:cs="Calibri"/>
          <w:szCs w:val="24"/>
        </w:rPr>
        <w:t>V</w:t>
      </w:r>
      <w:r w:rsidR="003C2A0E">
        <w:rPr>
          <w:rFonts w:cs="Calibri"/>
          <w:szCs w:val="24"/>
        </w:rPr>
        <w:t xml:space="preserve"> a</w:t>
      </w:r>
      <w:r w:rsidR="00F51A04" w:rsidRPr="001B1917">
        <w:rPr>
          <w:rFonts w:cs="Calibri"/>
          <w:szCs w:val="24"/>
        </w:rPr>
        <w:t xml:space="preserve"> </w:t>
      </w:r>
      <w:r w:rsidR="00AA4A83" w:rsidRPr="008C4128">
        <w:rPr>
          <w:rFonts w:cs="Calibri"/>
          <w:szCs w:val="24"/>
        </w:rPr>
        <w:t>ÚZSVM</w:t>
      </w:r>
      <w:r w:rsidR="009013F5" w:rsidRPr="001B1917">
        <w:rPr>
          <w:rFonts w:cs="Calibri"/>
          <w:szCs w:val="24"/>
        </w:rPr>
        <w:t>,</w:t>
      </w:r>
      <w:r w:rsidRPr="001B1917">
        <w:rPr>
          <w:rFonts w:cs="Calibri"/>
          <w:szCs w:val="24"/>
        </w:rPr>
        <w:t xml:space="preserve"> byly vypořádány vedoucími skupin</w:t>
      </w:r>
      <w:r w:rsidRPr="001B1917">
        <w:rPr>
          <w:rFonts w:cs="Calibri"/>
        </w:rPr>
        <w:t xml:space="preserve"> kontrolujících rozhodnutími o námitkách. Odvolání, která proti rozhodnutím o</w:t>
      </w:r>
      <w:r w:rsidR="00AA4A83" w:rsidRPr="001B1917">
        <w:rPr>
          <w:rFonts w:cs="Calibri"/>
        </w:rPr>
        <w:t> </w:t>
      </w:r>
      <w:r w:rsidRPr="001B1917">
        <w:rPr>
          <w:rFonts w:cs="Calibri"/>
        </w:rPr>
        <w:t>námitkách podal</w:t>
      </w:r>
      <w:r w:rsidR="007345D9" w:rsidRPr="001B1917">
        <w:rPr>
          <w:rFonts w:cs="Calibri"/>
        </w:rPr>
        <w:t xml:space="preserve"> </w:t>
      </w:r>
      <w:r w:rsidR="00AA4A83" w:rsidRPr="008C4128">
        <w:rPr>
          <w:rFonts w:cs="Calibri"/>
        </w:rPr>
        <w:t>ÚZSVM</w:t>
      </w:r>
      <w:r w:rsidR="007345D9" w:rsidRPr="001B1917">
        <w:rPr>
          <w:rFonts w:cs="Calibri"/>
        </w:rPr>
        <w:t>,</w:t>
      </w:r>
      <w:r w:rsidR="00F51A04" w:rsidRPr="001B1917">
        <w:rPr>
          <w:rFonts w:cs="Calibri"/>
        </w:rPr>
        <w:t xml:space="preserve"> </w:t>
      </w:r>
      <w:r w:rsidR="00CC7203" w:rsidRPr="001B1917">
        <w:rPr>
          <w:rFonts w:cs="Calibri"/>
        </w:rPr>
        <w:t>byl</w:t>
      </w:r>
      <w:r w:rsidR="003C2A0E">
        <w:rPr>
          <w:rFonts w:cs="Calibri"/>
        </w:rPr>
        <w:t>a</w:t>
      </w:r>
      <w:r w:rsidR="00CC7203" w:rsidRPr="001B1917">
        <w:rPr>
          <w:rFonts w:cs="Calibri"/>
        </w:rPr>
        <w:t xml:space="preserve"> vypořádán</w:t>
      </w:r>
      <w:r w:rsidR="003C2A0E">
        <w:rPr>
          <w:rFonts w:cs="Calibri"/>
        </w:rPr>
        <w:t>a</w:t>
      </w:r>
      <w:r w:rsidR="00CC7203" w:rsidRPr="001B1917">
        <w:rPr>
          <w:rFonts w:cs="Calibri"/>
        </w:rPr>
        <w:t xml:space="preserve"> usnesením</w:t>
      </w:r>
      <w:r w:rsidRPr="001B1917">
        <w:rPr>
          <w:rFonts w:cs="Calibri"/>
        </w:rPr>
        <w:t xml:space="preserve"> Kolegia NKÚ.</w:t>
      </w:r>
    </w:p>
    <w:p w14:paraId="7C001E3A" w14:textId="77777777" w:rsidR="00EA41A6" w:rsidRDefault="00EA41A6" w:rsidP="002324A0">
      <w:pPr>
        <w:spacing w:after="0"/>
        <w:rPr>
          <w:rFonts w:cstheme="minorHAnsi"/>
          <w:szCs w:val="24"/>
        </w:rPr>
      </w:pPr>
    </w:p>
    <w:p w14:paraId="2B9497CC" w14:textId="77777777" w:rsidR="00320C9F" w:rsidRPr="00014A22" w:rsidRDefault="00320C9F" w:rsidP="004A0AA3">
      <w:pPr>
        <w:spacing w:after="0" w:line="240" w:lineRule="auto"/>
        <w:rPr>
          <w:rFonts w:cstheme="minorHAnsi"/>
          <w:szCs w:val="24"/>
        </w:rPr>
      </w:pPr>
    </w:p>
    <w:p w14:paraId="7E904958" w14:textId="7272FECB" w:rsidR="00665555" w:rsidRPr="005749EC" w:rsidRDefault="00665555" w:rsidP="004A0AA3">
      <w:pPr>
        <w:spacing w:after="0" w:line="240" w:lineRule="auto"/>
        <w:ind w:right="70"/>
        <w:rPr>
          <w:rFonts w:cstheme="minorHAnsi"/>
          <w:szCs w:val="24"/>
        </w:rPr>
      </w:pPr>
      <w:r w:rsidRPr="00014A22">
        <w:rPr>
          <w:rFonts w:cstheme="minorHAnsi"/>
          <w:b/>
          <w:bCs/>
          <w:i/>
          <w:iCs/>
          <w:szCs w:val="24"/>
        </w:rPr>
        <w:t xml:space="preserve">K o l e g i u m   </w:t>
      </w:r>
      <w:r w:rsidRPr="005749EC">
        <w:rPr>
          <w:rFonts w:cstheme="minorHAnsi"/>
          <w:b/>
          <w:bCs/>
          <w:i/>
          <w:iCs/>
          <w:szCs w:val="24"/>
        </w:rPr>
        <w:t>N K Ú</w:t>
      </w:r>
      <w:r w:rsidRPr="005749EC">
        <w:rPr>
          <w:rFonts w:cstheme="minorHAnsi"/>
          <w:b/>
          <w:bCs/>
          <w:iCs/>
          <w:szCs w:val="24"/>
        </w:rPr>
        <w:t xml:space="preserve">   </w:t>
      </w:r>
      <w:r w:rsidRPr="005749EC">
        <w:rPr>
          <w:rFonts w:cstheme="minorHAnsi"/>
          <w:szCs w:val="24"/>
        </w:rPr>
        <w:t xml:space="preserve">na svém </w:t>
      </w:r>
      <w:r w:rsidR="002B6F84">
        <w:rPr>
          <w:rFonts w:cstheme="minorHAnsi"/>
          <w:szCs w:val="24"/>
        </w:rPr>
        <w:t xml:space="preserve">XV. </w:t>
      </w:r>
      <w:r w:rsidRPr="005749EC">
        <w:rPr>
          <w:rFonts w:cstheme="minorHAnsi"/>
          <w:szCs w:val="24"/>
        </w:rPr>
        <w:t xml:space="preserve">jednání, které se konalo dne </w:t>
      </w:r>
      <w:r w:rsidR="002B6F84">
        <w:rPr>
          <w:rFonts w:cstheme="minorHAnsi"/>
          <w:szCs w:val="24"/>
        </w:rPr>
        <w:t xml:space="preserve">23. října </w:t>
      </w:r>
      <w:r w:rsidRPr="005749EC">
        <w:rPr>
          <w:rFonts w:cstheme="minorHAnsi"/>
          <w:szCs w:val="24"/>
        </w:rPr>
        <w:t>201</w:t>
      </w:r>
      <w:r w:rsidR="00F51A04" w:rsidRPr="005749EC">
        <w:rPr>
          <w:rFonts w:cstheme="minorHAnsi"/>
          <w:szCs w:val="24"/>
        </w:rPr>
        <w:t>7</w:t>
      </w:r>
      <w:r w:rsidRPr="005749EC">
        <w:rPr>
          <w:rFonts w:cstheme="minorHAnsi"/>
          <w:szCs w:val="24"/>
        </w:rPr>
        <w:t>,</w:t>
      </w:r>
    </w:p>
    <w:p w14:paraId="005AA5D1" w14:textId="75FEA017" w:rsidR="00665555" w:rsidRPr="005749EC" w:rsidRDefault="00665555" w:rsidP="004A0AA3">
      <w:pPr>
        <w:spacing w:after="0" w:line="240" w:lineRule="auto"/>
        <w:ind w:right="68"/>
        <w:rPr>
          <w:rFonts w:cstheme="minorHAnsi"/>
          <w:szCs w:val="24"/>
        </w:rPr>
      </w:pPr>
      <w:r w:rsidRPr="005749EC">
        <w:rPr>
          <w:rFonts w:cstheme="minorHAnsi"/>
          <w:b/>
          <w:bCs/>
          <w:i/>
          <w:iCs/>
          <w:szCs w:val="24"/>
        </w:rPr>
        <w:t>s c h v á l i l o</w:t>
      </w:r>
      <w:r w:rsidRPr="005749EC">
        <w:rPr>
          <w:rFonts w:cstheme="minorHAnsi"/>
          <w:b/>
          <w:bCs/>
          <w:iCs/>
          <w:szCs w:val="24"/>
        </w:rPr>
        <w:t xml:space="preserve">   </w:t>
      </w:r>
      <w:r w:rsidR="00F51A04" w:rsidRPr="005749EC">
        <w:rPr>
          <w:rFonts w:cstheme="minorHAnsi"/>
          <w:szCs w:val="24"/>
        </w:rPr>
        <w:t xml:space="preserve">usnesením č. </w:t>
      </w:r>
      <w:r w:rsidR="002E64EE">
        <w:rPr>
          <w:rFonts w:cstheme="minorHAnsi"/>
          <w:szCs w:val="24"/>
        </w:rPr>
        <w:t>9</w:t>
      </w:r>
      <w:r w:rsidR="00F51A04" w:rsidRPr="005749EC">
        <w:rPr>
          <w:rFonts w:cstheme="minorHAnsi"/>
          <w:szCs w:val="24"/>
        </w:rPr>
        <w:t>/</w:t>
      </w:r>
      <w:r w:rsidR="002E64EE">
        <w:rPr>
          <w:rFonts w:cstheme="minorHAnsi"/>
          <w:szCs w:val="24"/>
        </w:rPr>
        <w:t>XV</w:t>
      </w:r>
      <w:r w:rsidR="00F51A04" w:rsidRPr="005749EC">
        <w:rPr>
          <w:rFonts w:cstheme="minorHAnsi"/>
          <w:szCs w:val="24"/>
        </w:rPr>
        <w:t>/2017</w:t>
      </w:r>
    </w:p>
    <w:p w14:paraId="3097E552" w14:textId="0CACE893" w:rsidR="00F51A04" w:rsidRDefault="00665555" w:rsidP="004A0AA3">
      <w:pPr>
        <w:spacing w:after="0" w:line="240" w:lineRule="auto"/>
        <w:ind w:right="70"/>
        <w:rPr>
          <w:rFonts w:cstheme="minorHAnsi"/>
          <w:szCs w:val="24"/>
        </w:rPr>
      </w:pPr>
      <w:r w:rsidRPr="005749EC">
        <w:rPr>
          <w:rFonts w:cstheme="minorHAnsi"/>
          <w:b/>
          <w:bCs/>
          <w:i/>
          <w:iCs/>
          <w:szCs w:val="24"/>
        </w:rPr>
        <w:t>k o n t r o l n í   z á v ě r</w:t>
      </w:r>
      <w:r w:rsidRPr="005749EC">
        <w:rPr>
          <w:rFonts w:cstheme="minorHAnsi"/>
          <w:b/>
          <w:szCs w:val="24"/>
        </w:rPr>
        <w:t xml:space="preserve">   </w:t>
      </w:r>
      <w:r w:rsidRPr="005749EC">
        <w:rPr>
          <w:rFonts w:cstheme="minorHAnsi"/>
          <w:szCs w:val="24"/>
        </w:rPr>
        <w:t>v tomto znění:</w:t>
      </w:r>
    </w:p>
    <w:p w14:paraId="4C75981B" w14:textId="19C43BA9" w:rsidR="00577ADC" w:rsidRPr="00A51B8F" w:rsidRDefault="00577ADC" w:rsidP="00A51B8F">
      <w:pPr>
        <w:rPr>
          <w:rFonts w:cstheme="minorHAnsi"/>
          <w:szCs w:val="24"/>
        </w:rPr>
      </w:pPr>
      <w:r>
        <w:rPr>
          <w:lang w:eastAsia="cs-CZ"/>
        </w:rPr>
        <w:br w:type="page"/>
      </w:r>
    </w:p>
    <w:p w14:paraId="18F341D8" w14:textId="5A9DEBB2" w:rsidR="00D65666" w:rsidRDefault="002324A0" w:rsidP="002324A0">
      <w:pPr>
        <w:pStyle w:val="Nadpis1"/>
        <w:numPr>
          <w:ilvl w:val="0"/>
          <w:numId w:val="0"/>
        </w:numPr>
        <w:spacing w:line="240" w:lineRule="auto"/>
      </w:pPr>
      <w:r>
        <w:lastRenderedPageBreak/>
        <w:t xml:space="preserve">I. </w:t>
      </w:r>
      <w:r w:rsidR="0090099A">
        <w:t>S</w:t>
      </w:r>
      <w:r w:rsidR="00D65666" w:rsidRPr="00FA4EDC">
        <w:t xml:space="preserve">hrnutí </w:t>
      </w:r>
      <w:r w:rsidR="0090099A">
        <w:t>a vyhodnocení</w:t>
      </w:r>
    </w:p>
    <w:p w14:paraId="391E7403" w14:textId="06CA3E7C" w:rsidR="007C4828" w:rsidRDefault="000D37A7" w:rsidP="00E404DB">
      <w:r>
        <w:rPr>
          <w:rFonts w:cs="Calibri"/>
          <w:color w:val="000000" w:themeColor="text1"/>
        </w:rPr>
        <w:t>Správci kapitol</w:t>
      </w:r>
      <w:r w:rsidR="00853E1F">
        <w:rPr>
          <w:rFonts w:cs="Calibri"/>
          <w:color w:val="000000" w:themeColor="text1"/>
        </w:rPr>
        <w:t xml:space="preserve"> </w:t>
      </w:r>
      <w:r w:rsidR="00121656">
        <w:rPr>
          <w:rFonts w:cs="Calibri"/>
          <w:color w:val="000000" w:themeColor="text1"/>
        </w:rPr>
        <w:t xml:space="preserve">státního rozpočtu </w:t>
      </w:r>
      <w:r w:rsidR="001C7E32">
        <w:rPr>
          <w:rFonts w:cs="Calibri"/>
          <w:color w:val="000000" w:themeColor="text1"/>
        </w:rPr>
        <w:t xml:space="preserve">mají </w:t>
      </w:r>
      <w:r w:rsidR="00853E1F">
        <w:rPr>
          <w:rFonts w:cs="Calibri"/>
          <w:color w:val="000000" w:themeColor="text1"/>
        </w:rPr>
        <w:t>dle zákona</w:t>
      </w:r>
      <w:r w:rsidR="00853E1F">
        <w:rPr>
          <w:rStyle w:val="Znakapoznpodarou"/>
          <w:rFonts w:cs="Calibri"/>
          <w:color w:val="000000" w:themeColor="text1"/>
        </w:rPr>
        <w:footnoteReference w:id="2"/>
      </w:r>
      <w:r w:rsidR="00853E1F">
        <w:rPr>
          <w:rFonts w:cs="Calibri"/>
          <w:color w:val="000000" w:themeColor="text1"/>
        </w:rPr>
        <w:t xml:space="preserve"> povinnost soustavně sledovat </w:t>
      </w:r>
      <w:r w:rsidR="000F3E6A">
        <w:rPr>
          <w:rFonts w:cs="Calibri"/>
          <w:color w:val="000000" w:themeColor="text1"/>
        </w:rPr>
        <w:t>a </w:t>
      </w:r>
      <w:r w:rsidR="00853E1F">
        <w:rPr>
          <w:rFonts w:cs="Calibri"/>
          <w:color w:val="000000" w:themeColor="text1"/>
        </w:rPr>
        <w:t xml:space="preserve">vyhodnocovat hospodárnost, efektivnost a účelnost vynakládání výdajů ve své kapitole </w:t>
      </w:r>
      <w:r w:rsidR="000F3E6A">
        <w:rPr>
          <w:rFonts w:cs="Calibri"/>
          <w:color w:val="000000" w:themeColor="text1"/>
        </w:rPr>
        <w:t>a </w:t>
      </w:r>
      <w:r w:rsidR="003144C4">
        <w:rPr>
          <w:rFonts w:cs="Calibri"/>
          <w:color w:val="000000" w:themeColor="text1"/>
        </w:rPr>
        <w:t>působit</w:t>
      </w:r>
      <w:r w:rsidR="00853E1F">
        <w:rPr>
          <w:rFonts w:cs="Calibri"/>
          <w:color w:val="000000" w:themeColor="text1"/>
        </w:rPr>
        <w:t xml:space="preserve">, aby vynakládání výdajů u zřízených institucí bylo co nejhospodárnější, nejefektivnější a nejúčelnější. </w:t>
      </w:r>
      <w:r w:rsidR="001C7E32">
        <w:t>Tato povinnost samozřejmě</w:t>
      </w:r>
      <w:r w:rsidR="001401B4" w:rsidRPr="001401B4">
        <w:t xml:space="preserve"> </w:t>
      </w:r>
      <w:r w:rsidR="001401B4">
        <w:t>zahrnuje</w:t>
      </w:r>
      <w:r w:rsidR="001C7E32">
        <w:t xml:space="preserve"> i oblast </w:t>
      </w:r>
      <w:r w:rsidR="003144C4" w:rsidRPr="00060B34">
        <w:rPr>
          <w:rFonts w:ascii="Calibri" w:hAnsi="Calibri" w:cs="Calibri"/>
          <w:szCs w:val="24"/>
        </w:rPr>
        <w:t>výdajů na</w:t>
      </w:r>
      <w:r w:rsidR="00A5326B">
        <w:rPr>
          <w:rFonts w:ascii="Calibri" w:hAnsi="Calibri" w:cs="Calibri"/>
          <w:szCs w:val="24"/>
        </w:rPr>
        <w:t xml:space="preserve"> </w:t>
      </w:r>
      <w:r w:rsidR="003144C4" w:rsidRPr="00060B34">
        <w:rPr>
          <w:rFonts w:ascii="Calibri" w:hAnsi="Calibri" w:cs="Calibri"/>
          <w:szCs w:val="24"/>
        </w:rPr>
        <w:t>správu</w:t>
      </w:r>
      <w:r w:rsidR="003144C4" w:rsidRPr="00593B16">
        <w:rPr>
          <w:rFonts w:ascii="Calibri" w:hAnsi="Calibri" w:cs="Calibri"/>
          <w:i/>
          <w:szCs w:val="24"/>
        </w:rPr>
        <w:t xml:space="preserve"> </w:t>
      </w:r>
      <w:r w:rsidR="00A96645">
        <w:t>nemovitého majetku</w:t>
      </w:r>
      <w:r w:rsidR="00A96645">
        <w:rPr>
          <w:rStyle w:val="Znakapoznpodarou"/>
        </w:rPr>
        <w:footnoteReference w:id="3"/>
      </w:r>
      <w:r w:rsidR="00F82456">
        <w:t xml:space="preserve"> a jeho využití</w:t>
      </w:r>
      <w:r w:rsidR="001C7E32">
        <w:t>. Vzhledem k</w:t>
      </w:r>
      <w:r w:rsidR="00A96645">
        <w:t>e</w:t>
      </w:r>
      <w:r w:rsidR="001C7E32">
        <w:t xml:space="preserve"> značnému rozsahu </w:t>
      </w:r>
      <w:r w:rsidR="00A96645">
        <w:t xml:space="preserve">majetku </w:t>
      </w:r>
      <w:r w:rsidR="001C7E32">
        <w:t>jsou státními institucemi</w:t>
      </w:r>
      <w:r w:rsidR="001C7E32">
        <w:rPr>
          <w:rStyle w:val="Znakapoznpodarou"/>
          <w:rFonts w:cs="Times New Roman"/>
          <w:szCs w:val="24"/>
        </w:rPr>
        <w:footnoteReference w:id="4"/>
      </w:r>
      <w:r w:rsidR="001C7E32">
        <w:t xml:space="preserve"> zaváděny a</w:t>
      </w:r>
      <w:r w:rsidR="00A96645">
        <w:t> </w:t>
      </w:r>
      <w:r w:rsidR="001C7E32">
        <w:t xml:space="preserve">využívány specifické informační systémy. </w:t>
      </w:r>
      <w:r w:rsidR="004433B3">
        <w:t>V roce 1992 byla zřízena</w:t>
      </w:r>
      <w:r w:rsidR="00E404DB">
        <w:t xml:space="preserve"> v ČR vládní dislokační komise </w:t>
      </w:r>
      <w:r w:rsidR="00155474">
        <w:rPr>
          <w:rFonts w:ascii="Calibri" w:eastAsia="Times New Roman" w:hAnsi="Calibri" w:cs="Times New Roman"/>
          <w:szCs w:val="24"/>
        </w:rPr>
        <w:t xml:space="preserve">(dále také „VDK“) </w:t>
      </w:r>
      <w:r w:rsidR="00E404DB">
        <w:t xml:space="preserve">a </w:t>
      </w:r>
      <w:r w:rsidR="004433B3">
        <w:t>v roce</w:t>
      </w:r>
      <w:r w:rsidR="00E404DB">
        <w:t xml:space="preserve"> 2006 regionální dislokační komise</w:t>
      </w:r>
      <w:r w:rsidR="00155474">
        <w:t xml:space="preserve"> </w:t>
      </w:r>
      <w:r w:rsidR="00155474">
        <w:rPr>
          <w:rFonts w:ascii="Calibri" w:eastAsia="Times New Roman" w:hAnsi="Calibri" w:cs="Times New Roman"/>
          <w:szCs w:val="24"/>
        </w:rPr>
        <w:t>(dále také „RDK“)</w:t>
      </w:r>
      <w:r w:rsidR="00155474">
        <w:rPr>
          <w:rStyle w:val="Znakapoznpodarou"/>
          <w:rFonts w:ascii="Calibri" w:eastAsia="Times New Roman" w:hAnsi="Calibri" w:cs="Times New Roman"/>
          <w:szCs w:val="24"/>
        </w:rPr>
        <w:footnoteReference w:id="5"/>
      </w:r>
      <w:r w:rsidR="00E404DB">
        <w:t xml:space="preserve">. Tyto komise mimo jiné koordinují využívání administrativních objektů, soustřeďují dislokační požadavky státních institucí a navrhují jejich řešení. </w:t>
      </w:r>
      <w:r w:rsidR="007C2547">
        <w:t xml:space="preserve">Vláda ČR na začátku roku 2014 </w:t>
      </w:r>
      <w:r w:rsidR="00F25125">
        <w:t xml:space="preserve">definovala prioritu </w:t>
      </w:r>
      <w:r w:rsidR="00F25125" w:rsidRPr="000F3E6A">
        <w:t xml:space="preserve">postupné </w:t>
      </w:r>
      <w:r w:rsidR="00F25125" w:rsidRPr="00F8635D">
        <w:t>centralizac</w:t>
      </w:r>
      <w:r w:rsidR="00D05F38">
        <w:t>e</w:t>
      </w:r>
      <w:r w:rsidR="008C32D0">
        <w:t xml:space="preserve"> </w:t>
      </w:r>
      <w:r w:rsidR="00F25125" w:rsidRPr="00D2455F">
        <w:t>evidence</w:t>
      </w:r>
      <w:r w:rsidR="00F25125">
        <w:t xml:space="preserve"> </w:t>
      </w:r>
      <w:r w:rsidR="007516A1">
        <w:t>a </w:t>
      </w:r>
      <w:r w:rsidR="007C2547">
        <w:t>správy</w:t>
      </w:r>
      <w:r w:rsidR="0025120C" w:rsidRPr="000F3E6A">
        <w:rPr>
          <w:rStyle w:val="Znakapoznpodarou"/>
        </w:rPr>
        <w:footnoteReference w:id="6"/>
      </w:r>
      <w:r w:rsidR="0025120C" w:rsidRPr="000F3E6A">
        <w:t xml:space="preserve"> </w:t>
      </w:r>
      <w:r w:rsidR="007C2547">
        <w:t>státem užívaného nemovitého majetku</w:t>
      </w:r>
      <w:r w:rsidR="00F25125">
        <w:t>, která má přispět k</w:t>
      </w:r>
      <w:r w:rsidR="001401B4">
        <w:t> </w:t>
      </w:r>
      <w:r w:rsidR="00F25125">
        <w:t>racionalizaci portfolia nemovitého maje</w:t>
      </w:r>
      <w:r w:rsidR="000D12B9">
        <w:t>tku a optimalizaci jeho využití</w:t>
      </w:r>
      <w:r w:rsidR="007C2547">
        <w:t>.</w:t>
      </w:r>
      <w:r w:rsidR="00E404DB">
        <w:t xml:space="preserve"> </w:t>
      </w:r>
    </w:p>
    <w:p w14:paraId="026E702D" w14:textId="7823C4FB" w:rsidR="00013E47" w:rsidRDefault="008C1703" w:rsidP="00024BB3">
      <w:r>
        <w:t xml:space="preserve">Centrálním </w:t>
      </w:r>
      <w:r w:rsidR="001C7E32">
        <w:t xml:space="preserve">informačním </w:t>
      </w:r>
      <w:r w:rsidR="00024BB3">
        <w:t xml:space="preserve">systémem pro </w:t>
      </w:r>
      <w:r>
        <w:t xml:space="preserve">evidenci </w:t>
      </w:r>
      <w:r w:rsidR="00024BB3">
        <w:t xml:space="preserve">nemovitého majetku </w:t>
      </w:r>
      <w:r w:rsidR="002E64EE">
        <w:t xml:space="preserve">využívaného státními institucemi </w:t>
      </w:r>
      <w:r w:rsidR="001C7E32">
        <w:t xml:space="preserve">se </w:t>
      </w:r>
      <w:r w:rsidR="00024BB3">
        <w:t xml:space="preserve">v ČR </w:t>
      </w:r>
      <w:r w:rsidR="001C7E32">
        <w:t>stal</w:t>
      </w:r>
      <w:r w:rsidR="00024BB3">
        <w:t xml:space="preserve"> </w:t>
      </w:r>
      <w:r w:rsidR="00B47DF0" w:rsidRPr="00702837">
        <w:rPr>
          <w:i/>
        </w:rPr>
        <w:t>C</w:t>
      </w:r>
      <w:r w:rsidR="00024BB3" w:rsidRPr="00702837">
        <w:rPr>
          <w:i/>
        </w:rPr>
        <w:t>entrální registr administrativních budov</w:t>
      </w:r>
      <w:r w:rsidR="00024BB3">
        <w:t xml:space="preserve"> (dále také „CRAB“), který </w:t>
      </w:r>
      <w:r w:rsidR="007C2547">
        <w:t xml:space="preserve">má </w:t>
      </w:r>
      <w:r w:rsidR="00024BB3">
        <w:t>dle zákona</w:t>
      </w:r>
      <w:r w:rsidR="00024BB3">
        <w:rPr>
          <w:rStyle w:val="Znakapoznpodarou"/>
        </w:rPr>
        <w:footnoteReference w:id="7"/>
      </w:r>
      <w:r w:rsidR="00024BB3">
        <w:t xml:space="preserve"> </w:t>
      </w:r>
      <w:r w:rsidR="00024BB3" w:rsidRPr="00B6766F">
        <w:t>slouž</w:t>
      </w:r>
      <w:r w:rsidR="00A51B8F">
        <w:t>it</w:t>
      </w:r>
      <w:r w:rsidR="00024BB3" w:rsidRPr="00B6766F">
        <w:t xml:space="preserve"> </w:t>
      </w:r>
      <w:r w:rsidR="00024BB3">
        <w:t>státním institucím</w:t>
      </w:r>
      <w:r w:rsidR="00024BB3" w:rsidRPr="00B6766F">
        <w:t xml:space="preserve"> k</w:t>
      </w:r>
      <w:r w:rsidR="00024BB3">
        <w:t> </w:t>
      </w:r>
      <w:r w:rsidR="00024BB3" w:rsidRPr="00B6766F">
        <w:t>účelnému a</w:t>
      </w:r>
      <w:r w:rsidR="00024BB3">
        <w:t> </w:t>
      </w:r>
      <w:r w:rsidR="00024BB3" w:rsidRPr="00B6766F">
        <w:t>hospodárnému využívání</w:t>
      </w:r>
      <w:r w:rsidR="00024BB3">
        <w:t xml:space="preserve"> budov</w:t>
      </w:r>
      <w:r w:rsidR="001D2102">
        <w:t>. CRAB byl vytvořen v roce 2012</w:t>
      </w:r>
      <w:r w:rsidR="00024BB3">
        <w:t xml:space="preserve"> s cílem zpřístupnit komplexní informace</w:t>
      </w:r>
      <w:r w:rsidR="00024BB3" w:rsidRPr="004B198A">
        <w:t xml:space="preserve"> o</w:t>
      </w:r>
      <w:r w:rsidR="00A805BF">
        <w:t> </w:t>
      </w:r>
      <w:r w:rsidR="00024BB3" w:rsidRPr="004B198A">
        <w:t>majetku na</w:t>
      </w:r>
      <w:r w:rsidR="00F50D2C">
        <w:t xml:space="preserve"> </w:t>
      </w:r>
      <w:r w:rsidR="00024BB3" w:rsidRPr="004B198A">
        <w:t>jednom místě</w:t>
      </w:r>
      <w:r w:rsidR="00024BB3">
        <w:t>, optimalizovat</w:t>
      </w:r>
      <w:r w:rsidR="00024BB3" w:rsidRPr="0036464C">
        <w:t xml:space="preserve"> dislokace </w:t>
      </w:r>
      <w:r w:rsidR="00024BB3">
        <w:t>státních institucí</w:t>
      </w:r>
      <w:r w:rsidR="00024BB3" w:rsidRPr="0036464C">
        <w:t xml:space="preserve"> a</w:t>
      </w:r>
      <w:r w:rsidR="00024BB3">
        <w:t> </w:t>
      </w:r>
      <w:r w:rsidR="00024BB3" w:rsidRPr="0036464C">
        <w:t>jejich pracovníků</w:t>
      </w:r>
      <w:r w:rsidR="00F50D2C">
        <w:t>,</w:t>
      </w:r>
      <w:r w:rsidR="00142633">
        <w:t xml:space="preserve"> včetně</w:t>
      </w:r>
      <w:r w:rsidR="00024BB3" w:rsidRPr="0036464C">
        <w:t xml:space="preserve"> možnosti využití sdílení prostor</w:t>
      </w:r>
      <w:r w:rsidR="00F50D2C">
        <w:t>,</w:t>
      </w:r>
      <w:r w:rsidR="00024BB3">
        <w:t xml:space="preserve"> a </w:t>
      </w:r>
      <w:r w:rsidR="00024BB3" w:rsidRPr="0036464C">
        <w:t>umožnit snižování nákladů na</w:t>
      </w:r>
      <w:r w:rsidR="002C3981">
        <w:t xml:space="preserve"> </w:t>
      </w:r>
      <w:r w:rsidR="00024BB3" w:rsidRPr="0036464C">
        <w:t>správu a</w:t>
      </w:r>
      <w:r w:rsidR="00A51B8F">
        <w:t> </w:t>
      </w:r>
      <w:r w:rsidR="00024BB3" w:rsidRPr="0036464C">
        <w:t>pronájem majetku</w:t>
      </w:r>
      <w:r w:rsidR="00024BB3">
        <w:t xml:space="preserve">. </w:t>
      </w:r>
      <w:r w:rsidR="00013E47">
        <w:t>ÚZSVM</w:t>
      </w:r>
      <w:r w:rsidR="00013E47">
        <w:rPr>
          <w:rStyle w:val="Znakapoznpodarou"/>
        </w:rPr>
        <w:footnoteReference w:id="8"/>
      </w:r>
      <w:r w:rsidR="00013E47">
        <w:t xml:space="preserve"> </w:t>
      </w:r>
      <w:r w:rsidR="00580235">
        <w:t xml:space="preserve">je </w:t>
      </w:r>
      <w:r w:rsidR="00F50D2C">
        <w:t>z</w:t>
      </w:r>
      <w:r w:rsidR="00580235">
        <w:t>odpovědný za</w:t>
      </w:r>
      <w:r w:rsidR="0094570E">
        <w:t xml:space="preserve"> </w:t>
      </w:r>
      <w:r w:rsidR="00580235">
        <w:t>metodickou podporu CRAB</w:t>
      </w:r>
      <w:r w:rsidR="00580235">
        <w:rPr>
          <w:rStyle w:val="Znakapoznpodarou"/>
        </w:rPr>
        <w:footnoteReference w:id="9"/>
      </w:r>
      <w:r w:rsidR="00580235">
        <w:t xml:space="preserve">. </w:t>
      </w:r>
      <w:r w:rsidR="001C7E32">
        <w:t xml:space="preserve">Od spuštění </w:t>
      </w:r>
      <w:r w:rsidR="00F06C53">
        <w:t xml:space="preserve">systému </w:t>
      </w:r>
      <w:r w:rsidR="00312EA6">
        <w:t xml:space="preserve">CRAB </w:t>
      </w:r>
      <w:r w:rsidR="001C7E32">
        <w:t>prováz</w:t>
      </w:r>
      <w:r w:rsidR="00142633">
        <w:t>e</w:t>
      </w:r>
      <w:r w:rsidR="001C7E32">
        <w:t xml:space="preserve">ly </w:t>
      </w:r>
      <w:r w:rsidR="00312EA6">
        <w:t>nedostatky</w:t>
      </w:r>
      <w:r w:rsidR="001D2102">
        <w:t>, na které</w:t>
      </w:r>
      <w:r w:rsidR="001C7E32">
        <w:t xml:space="preserve"> upozornil NKÚ </w:t>
      </w:r>
      <w:r w:rsidR="007516A1">
        <w:t>ve</w:t>
      </w:r>
      <w:r w:rsidR="0094570E">
        <w:t xml:space="preserve"> </w:t>
      </w:r>
      <w:r w:rsidR="001C7E32">
        <w:t>svém kontrolním záv</w:t>
      </w:r>
      <w:r w:rsidR="007C2547">
        <w:t>ěru z kontrolní akce č. 13/40</w:t>
      </w:r>
      <w:r w:rsidR="001C7E32">
        <w:rPr>
          <w:rStyle w:val="Znakapoznpodarou"/>
        </w:rPr>
        <w:footnoteReference w:id="10"/>
      </w:r>
      <w:r w:rsidR="007C2547">
        <w:t xml:space="preserve">. </w:t>
      </w:r>
      <w:r w:rsidR="00024BB3">
        <w:lastRenderedPageBreak/>
        <w:t>Evidence</w:t>
      </w:r>
      <w:r w:rsidR="00024BB3" w:rsidRPr="0036464C">
        <w:t xml:space="preserve"> vybraného nemovitého majetku v</w:t>
      </w:r>
      <w:r w:rsidR="00024BB3" w:rsidDel="003330D3">
        <w:t> </w:t>
      </w:r>
      <w:r w:rsidR="00024BB3" w:rsidRPr="0036464C">
        <w:t>CRAB</w:t>
      </w:r>
      <w:r w:rsidR="00024BB3" w:rsidRPr="00ED6490">
        <w:t xml:space="preserve"> </w:t>
      </w:r>
      <w:r w:rsidR="00024BB3">
        <w:t>je pro státní instituce</w:t>
      </w:r>
      <w:r w:rsidR="00711B89" w:rsidRPr="00330BDC">
        <w:rPr>
          <w:vertAlign w:val="superscript"/>
        </w:rPr>
        <w:t>3</w:t>
      </w:r>
      <w:r w:rsidR="00024BB3">
        <w:t xml:space="preserve"> povinná</w:t>
      </w:r>
      <w:r w:rsidR="00415773">
        <w:rPr>
          <w:rStyle w:val="Znakapoznpodarou"/>
        </w:rPr>
        <w:footnoteReference w:id="11"/>
      </w:r>
      <w:r w:rsidR="000A27B6">
        <w:t>.</w:t>
      </w:r>
      <w:r w:rsidR="002269E5">
        <w:t xml:space="preserve"> </w:t>
      </w:r>
      <w:r w:rsidR="002B6A29">
        <w:t xml:space="preserve">Dle údajů evidovaných v CRAB </w:t>
      </w:r>
      <w:r w:rsidR="00DE25C6">
        <w:t xml:space="preserve">za rok 2015 </w:t>
      </w:r>
      <w:r w:rsidR="002B6A29">
        <w:t>činily výdaje</w:t>
      </w:r>
      <w:r w:rsidR="00013E47">
        <w:t xml:space="preserve"> státních institucí</w:t>
      </w:r>
      <w:r w:rsidR="00013E47" w:rsidRPr="00330BDC">
        <w:rPr>
          <w:vertAlign w:val="superscript"/>
        </w:rPr>
        <w:t>3</w:t>
      </w:r>
      <w:r w:rsidR="002B6A29">
        <w:t xml:space="preserve"> na </w:t>
      </w:r>
      <w:r w:rsidR="004C3446">
        <w:t>správu</w:t>
      </w:r>
      <w:r w:rsidR="002B6A29">
        <w:t xml:space="preserve"> </w:t>
      </w:r>
      <w:r w:rsidR="00DE25C6">
        <w:t xml:space="preserve">více než tří tisíc </w:t>
      </w:r>
      <w:r w:rsidR="002B6A29">
        <w:t>administrativních budov</w:t>
      </w:r>
      <w:r w:rsidR="00DE25C6">
        <w:t xml:space="preserve"> </w:t>
      </w:r>
      <w:r w:rsidR="002B6A29">
        <w:t>3</w:t>
      </w:r>
      <w:r w:rsidR="00DE25C6">
        <w:t>,4 </w:t>
      </w:r>
      <w:r w:rsidR="002B6A29">
        <w:t>mld. Kč</w:t>
      </w:r>
      <w:r w:rsidR="008A2B00">
        <w:rPr>
          <w:rStyle w:val="Znakapoznpodarou"/>
          <w:b/>
        </w:rPr>
        <w:footnoteReference w:id="12"/>
      </w:r>
      <w:r w:rsidR="002B6A29">
        <w:t>.</w:t>
      </w:r>
      <w:r w:rsidR="00013E47">
        <w:t xml:space="preserve"> </w:t>
      </w:r>
      <w:r w:rsidR="00DB391A">
        <w:t xml:space="preserve">Největší </w:t>
      </w:r>
      <w:r w:rsidR="00013E47">
        <w:t xml:space="preserve">podíl z objektů </w:t>
      </w:r>
      <w:r w:rsidR="00DB391A">
        <w:t>v CRAB v letech 2014 a</w:t>
      </w:r>
      <w:r w:rsidR="005220B0">
        <w:t> </w:t>
      </w:r>
      <w:r w:rsidR="00DB391A">
        <w:t xml:space="preserve">2015 </w:t>
      </w:r>
      <w:r w:rsidR="00DE25C6">
        <w:t xml:space="preserve">tvořily </w:t>
      </w:r>
      <w:r w:rsidR="00013E47">
        <w:t xml:space="preserve">objekty </w:t>
      </w:r>
      <w:r w:rsidR="00DE25C6">
        <w:t>evidované MV</w:t>
      </w:r>
      <w:r w:rsidR="005C4CC2">
        <w:rPr>
          <w:rStyle w:val="Znakapoznpodarou"/>
        </w:rPr>
        <w:footnoteReference w:id="13"/>
      </w:r>
      <w:r w:rsidR="00DE25C6">
        <w:t>, a</w:t>
      </w:r>
      <w:r w:rsidR="007516A1">
        <w:t> </w:t>
      </w:r>
      <w:r w:rsidR="00DE25C6">
        <w:t xml:space="preserve">to zhruba třetinu objektů. </w:t>
      </w:r>
    </w:p>
    <w:p w14:paraId="4DF427D4" w14:textId="0F48CC5E" w:rsidR="0099690C" w:rsidRDefault="00E41B2D" w:rsidP="00E41B2D">
      <w:r>
        <w:t xml:space="preserve">NKÚ zvolil MV jako příklad pro posouzení účelnosti a efektivnosti peněžních prostředků vynakládaných na správu nemovitého majetku. Pro tento účel NKÚ využil data </w:t>
      </w:r>
      <w:r w:rsidR="005F1479">
        <w:t xml:space="preserve">o správě nemovitého majetku z </w:t>
      </w:r>
      <w:r>
        <w:t>informačních systémů</w:t>
      </w:r>
      <w:r w:rsidR="005F1479">
        <w:t xml:space="preserve"> (systémy MV a CRAB)</w:t>
      </w:r>
      <w:r>
        <w:t xml:space="preserve">. </w:t>
      </w:r>
      <w:r w:rsidR="00591725" w:rsidRPr="00FD578E">
        <w:t xml:space="preserve">MV </w:t>
      </w:r>
      <w:r w:rsidR="00591725" w:rsidRPr="00F03654">
        <w:t>pro zajištění evidence a</w:t>
      </w:r>
      <w:r w:rsidR="00A51B8F">
        <w:t> </w:t>
      </w:r>
      <w:r w:rsidR="00591725" w:rsidRPr="00F03654">
        <w:t>účtování o jednotlivých objektech</w:t>
      </w:r>
      <w:r w:rsidR="00591725" w:rsidRPr="00FD578E">
        <w:t xml:space="preserve"> </w:t>
      </w:r>
      <w:r w:rsidR="000A1DE4">
        <w:t xml:space="preserve">ve svém </w:t>
      </w:r>
      <w:r w:rsidR="00591725">
        <w:t xml:space="preserve">resortu </w:t>
      </w:r>
      <w:r w:rsidR="00591725" w:rsidRPr="00FD578E">
        <w:t xml:space="preserve">pořídilo </w:t>
      </w:r>
      <w:r w:rsidR="002269E5" w:rsidRPr="00F03654">
        <w:rPr>
          <w:rFonts w:cs="Arial"/>
          <w:bCs/>
        </w:rPr>
        <w:t xml:space="preserve">informační systém </w:t>
      </w:r>
      <w:r w:rsidR="002269E5" w:rsidRPr="00702837">
        <w:rPr>
          <w:rFonts w:cs="Arial"/>
          <w:bCs/>
          <w:i/>
        </w:rPr>
        <w:t>Správa nemovitostí</w:t>
      </w:r>
      <w:r w:rsidR="002269E5" w:rsidRPr="00F03654">
        <w:rPr>
          <w:rFonts w:cs="Arial"/>
          <w:bCs/>
        </w:rPr>
        <w:t xml:space="preserve"> (dále také „REM“) </w:t>
      </w:r>
      <w:r w:rsidR="002269E5" w:rsidRPr="00F03654">
        <w:t xml:space="preserve">jako součást </w:t>
      </w:r>
      <w:r w:rsidR="005220B0">
        <w:t>e</w:t>
      </w:r>
      <w:r w:rsidR="002269E5" w:rsidRPr="00F03654">
        <w:t>konomického informačního systému MV (dále také „EKIS“).</w:t>
      </w:r>
      <w:r w:rsidR="005C30C9">
        <w:t xml:space="preserve"> </w:t>
      </w:r>
      <w:r w:rsidR="001C7E32">
        <w:rPr>
          <w:szCs w:val="24"/>
        </w:rPr>
        <w:t>S</w:t>
      </w:r>
      <w:r w:rsidR="007C4828">
        <w:t>právu</w:t>
      </w:r>
      <w:r w:rsidR="007C4828" w:rsidRPr="007C4828">
        <w:t xml:space="preserve"> </w:t>
      </w:r>
      <w:r w:rsidR="007C4828">
        <w:t xml:space="preserve">vybraných objektů </w:t>
      </w:r>
      <w:r w:rsidR="007C4828">
        <w:rPr>
          <w:szCs w:val="24"/>
        </w:rPr>
        <w:t>resortu MV</w:t>
      </w:r>
      <w:r w:rsidR="001C7E32">
        <w:rPr>
          <w:szCs w:val="24"/>
        </w:rPr>
        <w:t xml:space="preserve"> zajišťuje </w:t>
      </w:r>
      <w:r w:rsidR="00465E7F">
        <w:rPr>
          <w:szCs w:val="24"/>
        </w:rPr>
        <w:t xml:space="preserve">jím zřízená příspěvková organizace </w:t>
      </w:r>
      <w:r w:rsidR="001C7E32">
        <w:rPr>
          <w:szCs w:val="24"/>
        </w:rPr>
        <w:t>ZSMV</w:t>
      </w:r>
      <w:r w:rsidR="003741F5">
        <w:rPr>
          <w:rStyle w:val="Znakapoznpodarou"/>
          <w:szCs w:val="24"/>
        </w:rPr>
        <w:footnoteReference w:id="14"/>
      </w:r>
      <w:r w:rsidR="001C7E32">
        <w:rPr>
          <w:szCs w:val="24"/>
        </w:rPr>
        <w:t>. Jedná se například o</w:t>
      </w:r>
      <w:r w:rsidR="00EC41D5">
        <w:rPr>
          <w:szCs w:val="24"/>
        </w:rPr>
        <w:t> </w:t>
      </w:r>
      <w:r w:rsidR="007C4828">
        <w:t>úklidové práce, ostrahu, běžné opravy a údržbu objektů</w:t>
      </w:r>
      <w:r w:rsidR="001C7E32">
        <w:t xml:space="preserve"> či nákupy dalších služeb včetně </w:t>
      </w:r>
      <w:r w:rsidR="00892C84">
        <w:t>dodávek energií</w:t>
      </w:r>
      <w:r w:rsidR="00F06C53">
        <w:t>.</w:t>
      </w:r>
    </w:p>
    <w:p w14:paraId="3498D18A" w14:textId="4AB0CF00" w:rsidR="00A86F00" w:rsidRDefault="00A86F00" w:rsidP="00330BDC">
      <w:pPr>
        <w:spacing w:after="0"/>
        <w:rPr>
          <w:lang w:eastAsia="cs-CZ"/>
        </w:rPr>
      </w:pPr>
      <w:r>
        <w:t xml:space="preserve">NKÚ </w:t>
      </w:r>
      <w:r w:rsidR="00013E47">
        <w:t xml:space="preserve">prověřil </w:t>
      </w:r>
      <w:r w:rsidR="00E9779A">
        <w:t>účelnost</w:t>
      </w:r>
      <w:r w:rsidR="00356672">
        <w:t xml:space="preserve"> a efektivnost</w:t>
      </w:r>
      <w:r>
        <w:t xml:space="preserve"> vynakládání peněžních prostředků na správu </w:t>
      </w:r>
      <w:r w:rsidR="00B13D06">
        <w:t xml:space="preserve">státem využívaného </w:t>
      </w:r>
      <w:r>
        <w:t>nemovitého majetku</w:t>
      </w:r>
      <w:r w:rsidR="00013E47">
        <w:rPr>
          <w:rStyle w:val="Znakapoznpodarou"/>
        </w:rPr>
        <w:footnoteReference w:id="15"/>
      </w:r>
      <w:r w:rsidR="00356672">
        <w:t xml:space="preserve"> na základě údajů evidovaných v informačních systémech</w:t>
      </w:r>
      <w:r w:rsidR="00375DE3">
        <w:t xml:space="preserve"> a </w:t>
      </w:r>
      <w:r w:rsidR="00013E47">
        <w:t xml:space="preserve">dále prověřil </w:t>
      </w:r>
      <w:r w:rsidR="00375DE3">
        <w:t>účelnost a efektivnost zajištění informační podpory</w:t>
      </w:r>
      <w:r w:rsidR="008354E5">
        <w:t xml:space="preserve">. NKÚ se zaměřil zejména </w:t>
      </w:r>
      <w:r>
        <w:t>na</w:t>
      </w:r>
      <w:r w:rsidR="00F06C53">
        <w:t xml:space="preserve"> tyto oblasti</w:t>
      </w:r>
      <w:r>
        <w:t>:</w:t>
      </w:r>
      <w:r w:rsidRPr="00A86F00">
        <w:rPr>
          <w:lang w:eastAsia="cs-CZ"/>
        </w:rPr>
        <w:t xml:space="preserve"> </w:t>
      </w:r>
    </w:p>
    <w:p w14:paraId="2B6B12DD" w14:textId="45686880" w:rsidR="00A805BF" w:rsidRDefault="00A805BF" w:rsidP="005220B0">
      <w:pPr>
        <w:pStyle w:val="Odstavecseseznamem"/>
        <w:numPr>
          <w:ilvl w:val="0"/>
          <w:numId w:val="46"/>
        </w:numPr>
        <w:ind w:left="284" w:hanging="284"/>
      </w:pPr>
      <w:r>
        <w:t>strategické a koncepční materiály v oblasti správy nemovitého majetku,</w:t>
      </w:r>
    </w:p>
    <w:p w14:paraId="5BF94460" w14:textId="76D4FD4C" w:rsidR="00A805BF" w:rsidRDefault="00A86F00" w:rsidP="005220B0">
      <w:pPr>
        <w:pStyle w:val="Odstavecseseznamem"/>
        <w:numPr>
          <w:ilvl w:val="0"/>
          <w:numId w:val="46"/>
        </w:numPr>
        <w:ind w:left="284" w:hanging="284"/>
      </w:pPr>
      <w:r>
        <w:rPr>
          <w:lang w:eastAsia="cs-CZ"/>
        </w:rPr>
        <w:t>stanovené povinnosti, kompetence a odpovědnosti orgánů podílejících se na</w:t>
      </w:r>
      <w:r w:rsidR="005220B0">
        <w:rPr>
          <w:lang w:eastAsia="cs-CZ"/>
        </w:rPr>
        <w:t xml:space="preserve"> </w:t>
      </w:r>
      <w:r>
        <w:rPr>
          <w:lang w:eastAsia="cs-CZ"/>
        </w:rPr>
        <w:t>správě nemovitého majetku</w:t>
      </w:r>
      <w:r w:rsidR="00A805BF">
        <w:rPr>
          <w:lang w:eastAsia="cs-CZ"/>
        </w:rPr>
        <w:t>,</w:t>
      </w:r>
    </w:p>
    <w:p w14:paraId="4D3758EB" w14:textId="1E06DB4C" w:rsidR="00A805BF" w:rsidRDefault="00A805BF" w:rsidP="005220B0">
      <w:pPr>
        <w:pStyle w:val="Odstavecseseznamem"/>
        <w:numPr>
          <w:ilvl w:val="0"/>
          <w:numId w:val="46"/>
        </w:numPr>
        <w:ind w:left="284" w:hanging="284"/>
      </w:pPr>
      <w:r>
        <w:rPr>
          <w:lang w:eastAsia="cs-CZ"/>
        </w:rPr>
        <w:t>činnosti ÚZSVM, MV a ZSMV v oblasti správy nemovitého majetku,</w:t>
      </w:r>
    </w:p>
    <w:p w14:paraId="4E42E676" w14:textId="2A8426CF" w:rsidR="00A86F00" w:rsidRPr="00FD578E" w:rsidRDefault="00A805BF" w:rsidP="005220B0">
      <w:pPr>
        <w:pStyle w:val="Odstavecseseznamem"/>
        <w:numPr>
          <w:ilvl w:val="0"/>
          <w:numId w:val="46"/>
        </w:numPr>
        <w:ind w:left="284" w:hanging="284"/>
      </w:pPr>
      <w:r>
        <w:rPr>
          <w:lang w:eastAsia="cs-CZ"/>
        </w:rPr>
        <w:t xml:space="preserve">využitelnost </w:t>
      </w:r>
      <w:r w:rsidR="00A86F00" w:rsidRPr="005C30C9">
        <w:rPr>
          <w:lang w:eastAsia="cs-CZ"/>
        </w:rPr>
        <w:t>informační</w:t>
      </w:r>
      <w:r>
        <w:rPr>
          <w:lang w:eastAsia="cs-CZ"/>
        </w:rPr>
        <w:t>ch systémů pro</w:t>
      </w:r>
      <w:r w:rsidR="00A86F00" w:rsidRPr="005C30C9">
        <w:rPr>
          <w:lang w:eastAsia="cs-CZ"/>
        </w:rPr>
        <w:t xml:space="preserve"> rozhodování vedoucí k optimalizaci </w:t>
      </w:r>
      <w:r>
        <w:rPr>
          <w:lang w:eastAsia="cs-CZ"/>
        </w:rPr>
        <w:t>správy nemovitého majetku.</w:t>
      </w:r>
    </w:p>
    <w:p w14:paraId="2B533458" w14:textId="5B9DD2B5" w:rsidR="001C7193" w:rsidRPr="00A51B8F" w:rsidRDefault="007A1C31" w:rsidP="00A51B8F">
      <w:pPr>
        <w:pStyle w:val="KPnormln"/>
        <w:rPr>
          <w:lang w:eastAsia="cs-CZ"/>
        </w:rPr>
      </w:pPr>
      <w:r w:rsidRPr="00FD578E">
        <w:rPr>
          <w:b/>
        </w:rPr>
        <w:t xml:space="preserve">NKÚ </w:t>
      </w:r>
      <w:r w:rsidR="00F06C53">
        <w:rPr>
          <w:b/>
        </w:rPr>
        <w:t>po</w:t>
      </w:r>
      <w:r w:rsidR="005220B0">
        <w:rPr>
          <w:b/>
        </w:rPr>
        <w:t xml:space="preserve"> </w:t>
      </w:r>
      <w:r w:rsidR="00F06C53">
        <w:rPr>
          <w:b/>
        </w:rPr>
        <w:t xml:space="preserve">kontrole výše uvedených oblastí </w:t>
      </w:r>
      <w:r w:rsidRPr="00FD578E">
        <w:rPr>
          <w:b/>
        </w:rPr>
        <w:t>konstatuje</w:t>
      </w:r>
      <w:r w:rsidR="001D2102">
        <w:rPr>
          <w:b/>
        </w:rPr>
        <w:t>, že nejsou na</w:t>
      </w:r>
      <w:r w:rsidRPr="00FD578E">
        <w:rPr>
          <w:b/>
        </w:rPr>
        <w:t xml:space="preserve">plněny </w:t>
      </w:r>
      <w:r w:rsidRPr="00BE59C5">
        <w:rPr>
          <w:b/>
        </w:rPr>
        <w:t>předpoklady</w:t>
      </w:r>
      <w:r w:rsidRPr="00FD578E">
        <w:rPr>
          <w:b/>
        </w:rPr>
        <w:t xml:space="preserve"> pro účelné a efektivní vynakládání peněžních prostředků na správu </w:t>
      </w:r>
      <w:r w:rsidR="00B13D06" w:rsidRPr="0099542F">
        <w:rPr>
          <w:b/>
        </w:rPr>
        <w:t>státem</w:t>
      </w:r>
      <w:r w:rsidR="00B13D06" w:rsidRPr="00B16441">
        <w:rPr>
          <w:b/>
        </w:rPr>
        <w:t xml:space="preserve"> </w:t>
      </w:r>
      <w:r w:rsidR="00B13D06" w:rsidRPr="009F2B2F">
        <w:rPr>
          <w:b/>
        </w:rPr>
        <w:t>využívaného</w:t>
      </w:r>
      <w:r w:rsidR="00B13D06" w:rsidRPr="00B16441">
        <w:rPr>
          <w:b/>
        </w:rPr>
        <w:t xml:space="preserve"> </w:t>
      </w:r>
      <w:r w:rsidRPr="00FD578E">
        <w:rPr>
          <w:b/>
        </w:rPr>
        <w:t>nemovitého majetku</w:t>
      </w:r>
      <w:r w:rsidR="00204C00" w:rsidRPr="00FD578E">
        <w:rPr>
          <w:b/>
        </w:rPr>
        <w:t>.</w:t>
      </w:r>
      <w:r w:rsidR="00F029CD">
        <w:rPr>
          <w:b/>
        </w:rPr>
        <w:t xml:space="preserve"> </w:t>
      </w:r>
      <w:r w:rsidR="0090099A">
        <w:rPr>
          <w:b/>
        </w:rPr>
        <w:t xml:space="preserve">Příčiny tohoto </w:t>
      </w:r>
      <w:r w:rsidR="008A2B00">
        <w:rPr>
          <w:b/>
        </w:rPr>
        <w:t>stavu</w:t>
      </w:r>
      <w:r w:rsidR="0090099A">
        <w:rPr>
          <w:b/>
        </w:rPr>
        <w:t xml:space="preserve"> NKÚ shledává v</w:t>
      </w:r>
      <w:r w:rsidR="008A2B00">
        <w:rPr>
          <w:b/>
        </w:rPr>
        <w:t> nedostatcích spojených s</w:t>
      </w:r>
      <w:r w:rsidR="002E64EE">
        <w:rPr>
          <w:b/>
        </w:rPr>
        <w:t> </w:t>
      </w:r>
      <w:r w:rsidR="008A2B00">
        <w:rPr>
          <w:b/>
        </w:rPr>
        <w:t>nastavením</w:t>
      </w:r>
      <w:r w:rsidR="00B67BDD">
        <w:rPr>
          <w:b/>
        </w:rPr>
        <w:t xml:space="preserve"> </w:t>
      </w:r>
      <w:r w:rsidR="0090099A">
        <w:rPr>
          <w:b/>
        </w:rPr>
        <w:t xml:space="preserve">řízení přechodu </w:t>
      </w:r>
      <w:r w:rsidR="007516A1">
        <w:rPr>
          <w:b/>
        </w:rPr>
        <w:t>na</w:t>
      </w:r>
      <w:r w:rsidR="005220B0">
        <w:rPr>
          <w:b/>
        </w:rPr>
        <w:t xml:space="preserve"> </w:t>
      </w:r>
      <w:r w:rsidR="0090099A">
        <w:rPr>
          <w:b/>
        </w:rPr>
        <w:t>centralizovanou správu</w:t>
      </w:r>
      <w:r w:rsidR="00B67BDD">
        <w:rPr>
          <w:b/>
        </w:rPr>
        <w:t xml:space="preserve"> a</w:t>
      </w:r>
      <w:r w:rsidR="00892C84">
        <w:rPr>
          <w:b/>
        </w:rPr>
        <w:t> </w:t>
      </w:r>
      <w:r w:rsidR="00B67BDD">
        <w:rPr>
          <w:b/>
        </w:rPr>
        <w:t>koordinac</w:t>
      </w:r>
      <w:r w:rsidR="00B5457D">
        <w:rPr>
          <w:b/>
        </w:rPr>
        <w:t>í</w:t>
      </w:r>
      <w:r w:rsidR="00B67BDD">
        <w:rPr>
          <w:b/>
        </w:rPr>
        <w:t xml:space="preserve"> samotné správy nemovitého majetku na resortní </w:t>
      </w:r>
      <w:r w:rsidR="004C3446">
        <w:rPr>
          <w:b/>
        </w:rPr>
        <w:t xml:space="preserve">(MV) </w:t>
      </w:r>
      <w:r w:rsidR="00B67BDD">
        <w:rPr>
          <w:b/>
        </w:rPr>
        <w:t>i nadresortní úrovni</w:t>
      </w:r>
      <w:r w:rsidR="008A2B00">
        <w:rPr>
          <w:b/>
        </w:rPr>
        <w:t>, kde bylo zjištěno</w:t>
      </w:r>
      <w:r w:rsidR="00ED13AF" w:rsidRPr="00555312">
        <w:rPr>
          <w:b/>
        </w:rPr>
        <w:t xml:space="preserve"> oddělení kompetencí a odpovědností při správě nemovitého majetku.</w:t>
      </w:r>
      <w:r w:rsidR="00B67BDD">
        <w:rPr>
          <w:b/>
        </w:rPr>
        <w:t xml:space="preserve"> </w:t>
      </w:r>
      <w:r w:rsidR="00EB3A13">
        <w:rPr>
          <w:b/>
        </w:rPr>
        <w:t xml:space="preserve">Další příčinou je také </w:t>
      </w:r>
      <w:r w:rsidR="00ED13AF">
        <w:rPr>
          <w:b/>
        </w:rPr>
        <w:t xml:space="preserve">nedostatečná </w:t>
      </w:r>
      <w:r w:rsidR="0090099A">
        <w:rPr>
          <w:b/>
        </w:rPr>
        <w:t>kvalit</w:t>
      </w:r>
      <w:r w:rsidR="00ED13AF">
        <w:rPr>
          <w:b/>
        </w:rPr>
        <w:t>a</w:t>
      </w:r>
      <w:r w:rsidR="00F06C53">
        <w:rPr>
          <w:b/>
        </w:rPr>
        <w:t xml:space="preserve"> dat</w:t>
      </w:r>
      <w:r w:rsidR="0090099A">
        <w:rPr>
          <w:b/>
        </w:rPr>
        <w:t xml:space="preserve"> </w:t>
      </w:r>
      <w:r w:rsidR="00ED13AF">
        <w:rPr>
          <w:b/>
        </w:rPr>
        <w:t xml:space="preserve">a nastavení </w:t>
      </w:r>
      <w:r w:rsidR="0090099A">
        <w:rPr>
          <w:b/>
        </w:rPr>
        <w:t>informační podpory</w:t>
      </w:r>
      <w:r w:rsidR="00892C84">
        <w:rPr>
          <w:rStyle w:val="Znakapoznpodarou"/>
          <w:b/>
        </w:rPr>
        <w:footnoteReference w:id="16"/>
      </w:r>
      <w:r w:rsidR="00B662EE">
        <w:rPr>
          <w:b/>
        </w:rPr>
        <w:t xml:space="preserve">. </w:t>
      </w:r>
      <w:r w:rsidR="003369F1">
        <w:rPr>
          <w:b/>
        </w:rPr>
        <w:t>Přestože na CRAB a REM bylo v letech 2010–2016 vynaloženo</w:t>
      </w:r>
      <w:r w:rsidR="0090099A">
        <w:rPr>
          <w:b/>
        </w:rPr>
        <w:t xml:space="preserve"> </w:t>
      </w:r>
      <w:r w:rsidR="00A225DC">
        <w:rPr>
          <w:b/>
        </w:rPr>
        <w:t xml:space="preserve">více než </w:t>
      </w:r>
      <w:r w:rsidR="008548B9">
        <w:rPr>
          <w:b/>
        </w:rPr>
        <w:t>5</w:t>
      </w:r>
      <w:r w:rsidR="00001FC1">
        <w:rPr>
          <w:b/>
        </w:rPr>
        <w:t>00 mil. Kč</w:t>
      </w:r>
      <w:r w:rsidR="00415773">
        <w:rPr>
          <w:b/>
        </w:rPr>
        <w:t>,</w:t>
      </w:r>
      <w:r w:rsidR="00B662EE">
        <w:rPr>
          <w:b/>
        </w:rPr>
        <w:t xml:space="preserve"> </w:t>
      </w:r>
      <w:r w:rsidR="003369F1">
        <w:rPr>
          <w:b/>
        </w:rPr>
        <w:t xml:space="preserve">neumožňují tyto </w:t>
      </w:r>
      <w:r w:rsidR="00B662EE">
        <w:rPr>
          <w:b/>
        </w:rPr>
        <w:t>informační systém</w:t>
      </w:r>
      <w:r w:rsidR="004C3446">
        <w:rPr>
          <w:b/>
        </w:rPr>
        <w:t>y</w:t>
      </w:r>
      <w:r w:rsidR="00704653">
        <w:rPr>
          <w:b/>
        </w:rPr>
        <w:t xml:space="preserve"> </w:t>
      </w:r>
      <w:r w:rsidR="007966AD">
        <w:rPr>
          <w:b/>
        </w:rPr>
        <w:t>v plném rozsahu</w:t>
      </w:r>
      <w:r w:rsidR="00163B12">
        <w:rPr>
          <w:b/>
        </w:rPr>
        <w:t xml:space="preserve"> </w:t>
      </w:r>
      <w:r w:rsidR="006D581B">
        <w:rPr>
          <w:b/>
        </w:rPr>
        <w:t>vy</w:t>
      </w:r>
      <w:r w:rsidR="00B662EE">
        <w:rPr>
          <w:b/>
        </w:rPr>
        <w:t>hodnotit efektivnost a</w:t>
      </w:r>
      <w:r w:rsidR="00DA7B32">
        <w:rPr>
          <w:b/>
        </w:rPr>
        <w:t xml:space="preserve"> </w:t>
      </w:r>
      <w:r w:rsidR="00B662EE">
        <w:rPr>
          <w:b/>
        </w:rPr>
        <w:t xml:space="preserve">účelnost </w:t>
      </w:r>
      <w:r w:rsidR="004C3446">
        <w:rPr>
          <w:b/>
        </w:rPr>
        <w:t xml:space="preserve">správy </w:t>
      </w:r>
      <w:r w:rsidR="00B662EE">
        <w:rPr>
          <w:b/>
        </w:rPr>
        <w:t>a využití svěřených objektů</w:t>
      </w:r>
      <w:r w:rsidR="00DB391A">
        <w:rPr>
          <w:b/>
        </w:rPr>
        <w:t>.</w:t>
      </w:r>
      <w:r w:rsidR="00B662EE">
        <w:rPr>
          <w:b/>
        </w:rPr>
        <w:t xml:space="preserve"> </w:t>
      </w:r>
      <w:r w:rsidR="00DB391A">
        <w:rPr>
          <w:b/>
        </w:rPr>
        <w:lastRenderedPageBreak/>
        <w:t>CRAB navíc</w:t>
      </w:r>
      <w:r w:rsidR="006C1BC4">
        <w:rPr>
          <w:b/>
        </w:rPr>
        <w:t xml:space="preserve"> </w:t>
      </w:r>
      <w:r w:rsidR="0090099A">
        <w:rPr>
          <w:b/>
        </w:rPr>
        <w:t>neposkytuj</w:t>
      </w:r>
      <w:r w:rsidR="00704653">
        <w:rPr>
          <w:b/>
        </w:rPr>
        <w:t>e</w:t>
      </w:r>
      <w:r w:rsidR="0090099A">
        <w:rPr>
          <w:b/>
        </w:rPr>
        <w:t xml:space="preserve"> spolehlivé informace</w:t>
      </w:r>
      <w:r w:rsidR="00BB3CB6">
        <w:rPr>
          <w:b/>
        </w:rPr>
        <w:t xml:space="preserve"> pro</w:t>
      </w:r>
      <w:r w:rsidR="0090099A">
        <w:rPr>
          <w:b/>
        </w:rPr>
        <w:t xml:space="preserve"> </w:t>
      </w:r>
      <w:r w:rsidR="00BB3CB6">
        <w:rPr>
          <w:b/>
        </w:rPr>
        <w:t>rozhod</w:t>
      </w:r>
      <w:r w:rsidR="00112816">
        <w:rPr>
          <w:b/>
        </w:rPr>
        <w:t>ování</w:t>
      </w:r>
      <w:r w:rsidR="0090099A">
        <w:rPr>
          <w:b/>
        </w:rPr>
        <w:t xml:space="preserve"> </w:t>
      </w:r>
      <w:r w:rsidR="008A2B00">
        <w:rPr>
          <w:b/>
        </w:rPr>
        <w:t xml:space="preserve">o optimalizaci </w:t>
      </w:r>
      <w:r w:rsidR="0090099A">
        <w:rPr>
          <w:b/>
        </w:rPr>
        <w:t xml:space="preserve">v oblasti správy nemovitého majetku státu. </w:t>
      </w:r>
      <w:r w:rsidR="00112816">
        <w:rPr>
          <w:b/>
        </w:rPr>
        <w:t>Současný způsob</w:t>
      </w:r>
      <w:r w:rsidR="0090099A">
        <w:rPr>
          <w:b/>
        </w:rPr>
        <w:t xml:space="preserve"> využ</w:t>
      </w:r>
      <w:r w:rsidR="00415773">
        <w:rPr>
          <w:b/>
        </w:rPr>
        <w:t>ívání</w:t>
      </w:r>
      <w:r w:rsidR="0090099A">
        <w:rPr>
          <w:b/>
        </w:rPr>
        <w:t xml:space="preserve"> informačních systémů </w:t>
      </w:r>
      <w:r w:rsidR="008A2B00">
        <w:rPr>
          <w:b/>
        </w:rPr>
        <w:t>CRAB ani REM</w:t>
      </w:r>
      <w:r w:rsidR="00C52865">
        <w:rPr>
          <w:b/>
        </w:rPr>
        <w:t xml:space="preserve"> </w:t>
      </w:r>
      <w:r w:rsidR="00BB3CB6">
        <w:rPr>
          <w:b/>
        </w:rPr>
        <w:t xml:space="preserve">nevedl podle </w:t>
      </w:r>
      <w:r w:rsidR="0090099A">
        <w:rPr>
          <w:b/>
        </w:rPr>
        <w:t xml:space="preserve">NKÚ </w:t>
      </w:r>
      <w:r w:rsidR="00BB3CB6">
        <w:rPr>
          <w:b/>
        </w:rPr>
        <w:t xml:space="preserve">k dosažení </w:t>
      </w:r>
      <w:r w:rsidR="00191C70">
        <w:rPr>
          <w:b/>
        </w:rPr>
        <w:t xml:space="preserve">všech </w:t>
      </w:r>
      <w:r w:rsidR="00BB3CB6">
        <w:rPr>
          <w:b/>
        </w:rPr>
        <w:t>očekávaných cílů a</w:t>
      </w:r>
      <w:r w:rsidR="00B662EE">
        <w:rPr>
          <w:b/>
        </w:rPr>
        <w:t> </w:t>
      </w:r>
      <w:r w:rsidR="00BB3CB6">
        <w:rPr>
          <w:b/>
        </w:rPr>
        <w:t>přínosů</w:t>
      </w:r>
      <w:r w:rsidR="00B67BDD">
        <w:rPr>
          <w:b/>
        </w:rPr>
        <w:t>.</w:t>
      </w:r>
      <w:r w:rsidR="0090099A" w:rsidRPr="00173031">
        <w:rPr>
          <w:b/>
        </w:rPr>
        <w:t xml:space="preserve"> </w:t>
      </w:r>
      <w:r w:rsidR="00173031" w:rsidRPr="00F8635D">
        <w:rPr>
          <w:rFonts w:ascii="Calibri" w:hAnsi="Calibri" w:cs="Calibri"/>
          <w:b/>
          <w:lang w:eastAsia="cs-CZ"/>
        </w:rPr>
        <w:t>Z důvod</w:t>
      </w:r>
      <w:r w:rsidR="006C1BC4">
        <w:rPr>
          <w:rFonts w:ascii="Calibri" w:hAnsi="Calibri" w:cs="Calibri"/>
          <w:b/>
          <w:lang w:eastAsia="cs-CZ"/>
        </w:rPr>
        <w:t>u</w:t>
      </w:r>
      <w:r w:rsidR="00173031" w:rsidRPr="00F8635D">
        <w:rPr>
          <w:rFonts w:ascii="Calibri" w:hAnsi="Calibri" w:cs="Calibri"/>
          <w:b/>
          <w:lang w:eastAsia="cs-CZ"/>
        </w:rPr>
        <w:t xml:space="preserve"> </w:t>
      </w:r>
      <w:r w:rsidR="008A2B00">
        <w:rPr>
          <w:rFonts w:ascii="Calibri" w:hAnsi="Calibri" w:cs="Calibri"/>
          <w:b/>
          <w:lang w:eastAsia="cs-CZ"/>
        </w:rPr>
        <w:t xml:space="preserve">neúplných a nesprávných údajů </w:t>
      </w:r>
      <w:r w:rsidR="00DA7B32">
        <w:rPr>
          <w:rFonts w:ascii="Calibri" w:hAnsi="Calibri" w:cs="Calibri"/>
          <w:b/>
          <w:lang w:eastAsia="cs-CZ"/>
        </w:rPr>
        <w:t>a </w:t>
      </w:r>
      <w:r w:rsidR="008A2B00">
        <w:rPr>
          <w:rFonts w:ascii="Calibri" w:hAnsi="Calibri" w:cs="Calibri"/>
          <w:b/>
          <w:lang w:eastAsia="cs-CZ"/>
        </w:rPr>
        <w:t>jejich vzájemné nesrovnatelnosti</w:t>
      </w:r>
      <w:r w:rsidR="0060196E">
        <w:rPr>
          <w:rFonts w:ascii="Calibri" w:hAnsi="Calibri" w:cs="Calibri"/>
          <w:b/>
          <w:lang w:eastAsia="cs-CZ"/>
        </w:rPr>
        <w:t xml:space="preserve"> </w:t>
      </w:r>
      <w:r w:rsidR="00191C70">
        <w:rPr>
          <w:rFonts w:ascii="Calibri" w:hAnsi="Calibri" w:cs="Calibri"/>
          <w:b/>
          <w:lang w:eastAsia="cs-CZ"/>
        </w:rPr>
        <w:t>nelze</w:t>
      </w:r>
      <w:r w:rsidR="00173031" w:rsidRPr="00F8635D">
        <w:rPr>
          <w:rFonts w:ascii="Calibri" w:hAnsi="Calibri" w:cs="Calibri"/>
          <w:b/>
          <w:lang w:eastAsia="cs-CZ"/>
        </w:rPr>
        <w:t xml:space="preserve"> </w:t>
      </w:r>
      <w:r w:rsidR="00375DE3">
        <w:rPr>
          <w:rFonts w:ascii="Calibri" w:hAnsi="Calibri" w:cs="Calibri"/>
          <w:b/>
          <w:lang w:eastAsia="cs-CZ"/>
        </w:rPr>
        <w:t xml:space="preserve">u MV </w:t>
      </w:r>
      <w:r w:rsidR="00BF6D05">
        <w:rPr>
          <w:rFonts w:ascii="Calibri" w:hAnsi="Calibri" w:cs="Calibri"/>
          <w:b/>
          <w:lang w:eastAsia="cs-CZ"/>
        </w:rPr>
        <w:t>a</w:t>
      </w:r>
      <w:r w:rsidR="00F06C53">
        <w:rPr>
          <w:rFonts w:ascii="Calibri" w:hAnsi="Calibri" w:cs="Calibri"/>
          <w:b/>
          <w:lang w:eastAsia="cs-CZ"/>
        </w:rPr>
        <w:t> </w:t>
      </w:r>
      <w:r w:rsidR="00BF6D05">
        <w:rPr>
          <w:rFonts w:ascii="Calibri" w:hAnsi="Calibri" w:cs="Calibri"/>
          <w:b/>
          <w:lang w:eastAsia="cs-CZ"/>
        </w:rPr>
        <w:t>ani u</w:t>
      </w:r>
      <w:r w:rsidR="002E64EE">
        <w:rPr>
          <w:rFonts w:ascii="Calibri" w:hAnsi="Calibri" w:cs="Calibri"/>
          <w:b/>
          <w:lang w:eastAsia="cs-CZ"/>
        </w:rPr>
        <w:t> </w:t>
      </w:r>
      <w:r w:rsidR="00BF6D05">
        <w:rPr>
          <w:rFonts w:ascii="Calibri" w:hAnsi="Calibri" w:cs="Calibri"/>
          <w:b/>
          <w:lang w:eastAsia="cs-CZ"/>
        </w:rPr>
        <w:t xml:space="preserve">ÚZSMV pro </w:t>
      </w:r>
      <w:r w:rsidR="008354E5">
        <w:rPr>
          <w:rFonts w:ascii="Calibri" w:hAnsi="Calibri" w:cs="Calibri"/>
          <w:b/>
          <w:lang w:eastAsia="cs-CZ"/>
        </w:rPr>
        <w:t>všechny státní instituce</w:t>
      </w:r>
      <w:r w:rsidR="008354E5" w:rsidRPr="00BE59C5">
        <w:rPr>
          <w:rFonts w:ascii="Calibri" w:hAnsi="Calibri" w:cs="Calibri"/>
          <w:b/>
          <w:vertAlign w:val="superscript"/>
          <w:lang w:eastAsia="cs-CZ"/>
        </w:rPr>
        <w:t>3</w:t>
      </w:r>
      <w:r w:rsidR="004D3343" w:rsidRPr="00702837">
        <w:rPr>
          <w:rFonts w:ascii="Calibri" w:hAnsi="Calibri" w:cs="Calibri"/>
          <w:b/>
          <w:lang w:eastAsia="cs-CZ"/>
        </w:rPr>
        <w:t xml:space="preserve"> </w:t>
      </w:r>
      <w:r w:rsidR="00173031" w:rsidRPr="00F8635D">
        <w:rPr>
          <w:rFonts w:ascii="Calibri" w:hAnsi="Calibri" w:cs="Calibri"/>
          <w:b/>
          <w:lang w:eastAsia="cs-CZ"/>
        </w:rPr>
        <w:t xml:space="preserve">stanovit hodnoty ukazatelů, které by byly využitelné pro hodnocení efektivnosti </w:t>
      </w:r>
      <w:r w:rsidR="00DA7B32" w:rsidRPr="00F8635D">
        <w:rPr>
          <w:rFonts w:ascii="Calibri" w:hAnsi="Calibri" w:cs="Calibri"/>
          <w:b/>
          <w:lang w:eastAsia="cs-CZ"/>
        </w:rPr>
        <w:t>a</w:t>
      </w:r>
      <w:r w:rsidR="00DA7B32">
        <w:rPr>
          <w:rFonts w:ascii="Calibri" w:hAnsi="Calibri" w:cs="Calibri"/>
          <w:b/>
          <w:lang w:eastAsia="cs-CZ"/>
        </w:rPr>
        <w:t> </w:t>
      </w:r>
      <w:r w:rsidR="00173031" w:rsidRPr="00F8635D">
        <w:rPr>
          <w:rFonts w:ascii="Calibri" w:hAnsi="Calibri" w:cs="Calibri"/>
          <w:b/>
          <w:lang w:eastAsia="cs-CZ"/>
        </w:rPr>
        <w:t>stanovení optimálního cílového stavu správy nemovitého majetku a jeho využití.</w:t>
      </w:r>
      <w:r w:rsidR="00304259">
        <w:rPr>
          <w:rFonts w:ascii="Calibri" w:hAnsi="Calibri" w:cs="Calibri"/>
          <w:b/>
          <w:lang w:eastAsia="cs-CZ"/>
        </w:rPr>
        <w:t xml:space="preserve"> </w:t>
      </w:r>
      <w:r w:rsidR="0090099A" w:rsidRPr="00A51B8F">
        <w:rPr>
          <w:b/>
        </w:rPr>
        <w:t xml:space="preserve">NKÚ shledává </w:t>
      </w:r>
      <w:r w:rsidR="00001FC1" w:rsidRPr="00A51B8F">
        <w:rPr>
          <w:b/>
        </w:rPr>
        <w:t>níže uvedené</w:t>
      </w:r>
      <w:r w:rsidR="0090099A" w:rsidRPr="00A51B8F">
        <w:rPr>
          <w:b/>
        </w:rPr>
        <w:t xml:space="preserve"> </w:t>
      </w:r>
      <w:r w:rsidR="00B662EE" w:rsidRPr="00A51B8F">
        <w:rPr>
          <w:b/>
        </w:rPr>
        <w:t>nedostatky</w:t>
      </w:r>
      <w:r w:rsidR="0090099A" w:rsidRPr="00A51B8F">
        <w:rPr>
          <w:b/>
        </w:rPr>
        <w:t xml:space="preserve"> jako zásadní</w:t>
      </w:r>
      <w:r w:rsidR="00FC76BB">
        <w:rPr>
          <w:b/>
        </w:rPr>
        <w:t>. B</w:t>
      </w:r>
      <w:r w:rsidR="0090099A" w:rsidRPr="00A51B8F">
        <w:rPr>
          <w:b/>
        </w:rPr>
        <w:t>ez jejich vyřešení nelze uvažovat o</w:t>
      </w:r>
      <w:r w:rsidR="00B662EE" w:rsidRPr="00A51B8F">
        <w:rPr>
          <w:b/>
        </w:rPr>
        <w:t> </w:t>
      </w:r>
      <w:r w:rsidR="0090099A" w:rsidRPr="00A51B8F">
        <w:rPr>
          <w:b/>
        </w:rPr>
        <w:t xml:space="preserve">efektivní </w:t>
      </w:r>
      <w:r w:rsidR="00BB3CB6" w:rsidRPr="00A51B8F">
        <w:rPr>
          <w:b/>
        </w:rPr>
        <w:t xml:space="preserve">a účelné </w:t>
      </w:r>
      <w:r w:rsidR="0090099A" w:rsidRPr="00A51B8F">
        <w:rPr>
          <w:b/>
        </w:rPr>
        <w:t>správě</w:t>
      </w:r>
      <w:r w:rsidR="00BF6D05">
        <w:rPr>
          <w:b/>
        </w:rPr>
        <w:t xml:space="preserve"> a využití</w:t>
      </w:r>
      <w:r w:rsidR="0090099A" w:rsidRPr="00A51B8F">
        <w:rPr>
          <w:b/>
        </w:rPr>
        <w:t xml:space="preserve"> nemovitého majetku</w:t>
      </w:r>
      <w:r w:rsidR="00001FC1" w:rsidRPr="00A51B8F">
        <w:rPr>
          <w:b/>
        </w:rPr>
        <w:t xml:space="preserve">. </w:t>
      </w:r>
    </w:p>
    <w:p w14:paraId="5A47A66E" w14:textId="7F8BC766" w:rsidR="00204C00" w:rsidRPr="005C30C9" w:rsidRDefault="00204C00" w:rsidP="002324A0">
      <w:pPr>
        <w:pStyle w:val="Nadpis3"/>
        <w:tabs>
          <w:tab w:val="clear" w:pos="425"/>
          <w:tab w:val="clear" w:pos="567"/>
          <w:tab w:val="left" w:pos="284"/>
        </w:tabs>
        <w:ind w:left="284" w:hanging="284"/>
        <w:jc w:val="left"/>
      </w:pPr>
      <w:r w:rsidRPr="005C30C9">
        <w:t xml:space="preserve">ČR </w:t>
      </w:r>
      <w:r w:rsidR="0070294C">
        <w:t xml:space="preserve">nemá </w:t>
      </w:r>
      <w:r w:rsidRPr="005C30C9">
        <w:t>strategi</w:t>
      </w:r>
      <w:r w:rsidR="0070294C">
        <w:t>i</w:t>
      </w:r>
      <w:r w:rsidRPr="005C30C9">
        <w:t xml:space="preserve"> pro správu nemovitého majetku </w:t>
      </w:r>
      <w:r w:rsidR="0070294C">
        <w:t xml:space="preserve">státu </w:t>
      </w:r>
      <w:r w:rsidR="00BF6D05">
        <w:t xml:space="preserve">a </w:t>
      </w:r>
      <w:r w:rsidR="008354E5">
        <w:t>platná právní úprava vykazuje systémové nedostatky</w:t>
      </w:r>
    </w:p>
    <w:p w14:paraId="650DCF32" w14:textId="74695D0B" w:rsidR="0052516F" w:rsidRDefault="0052516F" w:rsidP="0099690C">
      <w:r w:rsidRPr="00414BAA">
        <w:rPr>
          <w:rFonts w:ascii="Calibri" w:eastAsia="Times New Roman" w:hAnsi="Calibri" w:cs="Times New Roman"/>
          <w:szCs w:val="24"/>
        </w:rPr>
        <w:t xml:space="preserve">ČR </w:t>
      </w:r>
      <w:r w:rsidR="00DB391A">
        <w:rPr>
          <w:rFonts w:ascii="Calibri" w:eastAsia="Times New Roman" w:hAnsi="Calibri" w:cs="Times New Roman"/>
          <w:szCs w:val="24"/>
        </w:rPr>
        <w:t>nemá přijatou</w:t>
      </w:r>
      <w:r w:rsidRPr="00414BAA">
        <w:rPr>
          <w:rFonts w:ascii="Calibri" w:eastAsia="Times New Roman" w:hAnsi="Calibri" w:cs="Times New Roman"/>
          <w:szCs w:val="24"/>
        </w:rPr>
        <w:t xml:space="preserve"> </w:t>
      </w:r>
      <w:r>
        <w:rPr>
          <w:rFonts w:ascii="Calibri" w:eastAsia="Times New Roman" w:hAnsi="Calibri" w:cs="Times New Roman"/>
          <w:szCs w:val="24"/>
        </w:rPr>
        <w:t xml:space="preserve">strategii </w:t>
      </w:r>
      <w:r w:rsidR="00A67622">
        <w:rPr>
          <w:rFonts w:ascii="Calibri" w:eastAsia="Times New Roman" w:hAnsi="Calibri" w:cs="Times New Roman"/>
          <w:szCs w:val="24"/>
        </w:rPr>
        <w:t>či</w:t>
      </w:r>
      <w:r>
        <w:rPr>
          <w:rFonts w:ascii="Calibri" w:eastAsia="Times New Roman" w:hAnsi="Calibri" w:cs="Times New Roman"/>
          <w:szCs w:val="24"/>
        </w:rPr>
        <w:t xml:space="preserve"> koncepci</w:t>
      </w:r>
      <w:r w:rsidRPr="00414BAA">
        <w:rPr>
          <w:rFonts w:ascii="Calibri" w:eastAsia="Times New Roman" w:hAnsi="Calibri" w:cs="Times New Roman"/>
          <w:szCs w:val="24"/>
        </w:rPr>
        <w:t>, kte</w:t>
      </w:r>
      <w:r>
        <w:rPr>
          <w:rFonts w:ascii="Calibri" w:eastAsia="Times New Roman" w:hAnsi="Calibri" w:cs="Times New Roman"/>
          <w:szCs w:val="24"/>
        </w:rPr>
        <w:t>rá</w:t>
      </w:r>
      <w:r w:rsidRPr="00414BAA">
        <w:rPr>
          <w:rFonts w:ascii="Calibri" w:eastAsia="Times New Roman" w:hAnsi="Calibri" w:cs="Times New Roman"/>
          <w:szCs w:val="24"/>
        </w:rPr>
        <w:t xml:space="preserve"> by stanovil</w:t>
      </w:r>
      <w:r>
        <w:rPr>
          <w:rFonts w:ascii="Calibri" w:eastAsia="Times New Roman" w:hAnsi="Calibri" w:cs="Times New Roman"/>
          <w:szCs w:val="24"/>
        </w:rPr>
        <w:t>a</w:t>
      </w:r>
      <w:r w:rsidRPr="00414BAA">
        <w:rPr>
          <w:rFonts w:ascii="Calibri" w:eastAsia="Times New Roman" w:hAnsi="Calibri" w:cs="Times New Roman"/>
          <w:szCs w:val="24"/>
        </w:rPr>
        <w:t xml:space="preserve"> potřeby a měřitelné cíle v oblasti správy nemovitého majetku státu</w:t>
      </w:r>
      <w:r w:rsidR="00C123D5">
        <w:rPr>
          <w:rFonts w:ascii="Calibri" w:eastAsia="Times New Roman" w:hAnsi="Calibri" w:cs="Times New Roman"/>
          <w:szCs w:val="24"/>
        </w:rPr>
        <w:t xml:space="preserve"> a jeho využití</w:t>
      </w:r>
      <w:r w:rsidR="00151B38">
        <w:rPr>
          <w:rFonts w:ascii="Calibri" w:eastAsia="Times New Roman" w:hAnsi="Calibri" w:cs="Times New Roman"/>
          <w:szCs w:val="24"/>
        </w:rPr>
        <w:t>. Orgány podílejí</w:t>
      </w:r>
      <w:r w:rsidR="00151B38" w:rsidRPr="00D2455F">
        <w:rPr>
          <w:rFonts w:ascii="Calibri" w:eastAsia="Times New Roman" w:hAnsi="Calibri" w:cs="Times New Roman"/>
          <w:szCs w:val="24"/>
        </w:rPr>
        <w:t xml:space="preserve">cí se na správě nemovitého majetku tak </w:t>
      </w:r>
      <w:r w:rsidR="001E0996">
        <w:rPr>
          <w:rFonts w:ascii="Calibri" w:eastAsia="Times New Roman" w:hAnsi="Calibri" w:cs="Times New Roman"/>
          <w:szCs w:val="24"/>
        </w:rPr>
        <w:t>nemohou</w:t>
      </w:r>
      <w:r w:rsidR="00151B38" w:rsidRPr="00D2455F">
        <w:rPr>
          <w:rFonts w:ascii="Calibri" w:eastAsia="Times New Roman" w:hAnsi="Calibri" w:cs="Times New Roman"/>
          <w:szCs w:val="24"/>
        </w:rPr>
        <w:t xml:space="preserve"> </w:t>
      </w:r>
      <w:r w:rsidR="001E0996" w:rsidRPr="00D2455F">
        <w:rPr>
          <w:rFonts w:ascii="Calibri" w:eastAsia="Times New Roman" w:hAnsi="Calibri" w:cs="Times New Roman"/>
          <w:szCs w:val="24"/>
        </w:rPr>
        <w:t xml:space="preserve">o jeho </w:t>
      </w:r>
      <w:r w:rsidR="001E0996" w:rsidRPr="00F624C0">
        <w:rPr>
          <w:rFonts w:ascii="Calibri" w:eastAsia="Times New Roman" w:hAnsi="Calibri" w:cs="Times New Roman"/>
          <w:szCs w:val="24"/>
        </w:rPr>
        <w:t>rozvoji a správě</w:t>
      </w:r>
      <w:r w:rsidR="001E0996">
        <w:rPr>
          <w:rFonts w:ascii="Calibri" w:eastAsia="Times New Roman" w:hAnsi="Calibri" w:cs="Times New Roman"/>
          <w:szCs w:val="24"/>
        </w:rPr>
        <w:t xml:space="preserve"> </w:t>
      </w:r>
      <w:r w:rsidR="00BF6D05" w:rsidRPr="00D2455F">
        <w:rPr>
          <w:rFonts w:ascii="Calibri" w:eastAsia="Times New Roman" w:hAnsi="Calibri" w:cs="Times New Roman"/>
          <w:szCs w:val="24"/>
        </w:rPr>
        <w:t>rozhodov</w:t>
      </w:r>
      <w:r w:rsidR="00BF6D05">
        <w:rPr>
          <w:rFonts w:ascii="Calibri" w:eastAsia="Times New Roman" w:hAnsi="Calibri" w:cs="Times New Roman"/>
          <w:szCs w:val="24"/>
        </w:rPr>
        <w:t xml:space="preserve">at </w:t>
      </w:r>
      <w:r w:rsidR="001E0996">
        <w:rPr>
          <w:rFonts w:ascii="Calibri" w:eastAsia="Times New Roman" w:hAnsi="Calibri" w:cs="Times New Roman"/>
          <w:szCs w:val="24"/>
        </w:rPr>
        <w:t xml:space="preserve">koncepčně </w:t>
      </w:r>
      <w:r w:rsidR="00BF6D05" w:rsidRPr="00354CD6">
        <w:rPr>
          <w:rFonts w:ascii="Calibri" w:eastAsia="Times New Roman" w:hAnsi="Calibri" w:cs="Times New Roman"/>
          <w:szCs w:val="24"/>
        </w:rPr>
        <w:t>na základě cílů definovaných vládní strategií</w:t>
      </w:r>
      <w:r w:rsidRPr="00F624C0">
        <w:rPr>
          <w:rFonts w:ascii="Calibri" w:eastAsia="Times New Roman" w:hAnsi="Calibri" w:cs="Times New Roman"/>
          <w:szCs w:val="24"/>
        </w:rPr>
        <w:t xml:space="preserve">. </w:t>
      </w:r>
      <w:r w:rsidR="00480985" w:rsidRPr="00330BDC">
        <w:t xml:space="preserve">Dle </w:t>
      </w:r>
      <w:r w:rsidR="00480985">
        <w:t xml:space="preserve">údajů evidovaných v </w:t>
      </w:r>
      <w:r w:rsidR="00480985" w:rsidRPr="00330BDC">
        <w:t xml:space="preserve">CRAB </w:t>
      </w:r>
      <w:r w:rsidR="00480985">
        <w:rPr>
          <w:rFonts w:ascii="Calibri" w:eastAsia="Times New Roman" w:hAnsi="Calibri" w:cs="Times New Roman"/>
          <w:szCs w:val="24"/>
        </w:rPr>
        <w:t>se p</w:t>
      </w:r>
      <w:r w:rsidR="00480985" w:rsidRPr="003D0ED3">
        <w:rPr>
          <w:rFonts w:ascii="Calibri" w:eastAsia="Times New Roman" w:hAnsi="Calibri" w:cs="Times New Roman"/>
          <w:szCs w:val="24"/>
        </w:rPr>
        <w:t>růměrná</w:t>
      </w:r>
      <w:r w:rsidR="00480985">
        <w:rPr>
          <w:rFonts w:ascii="Calibri" w:eastAsia="Times New Roman" w:hAnsi="Calibri" w:cs="Times New Roman"/>
          <w:szCs w:val="24"/>
        </w:rPr>
        <w:t xml:space="preserve"> plocha </w:t>
      </w:r>
      <w:r w:rsidR="00480985" w:rsidRPr="00AE58EA">
        <w:rPr>
          <w:rFonts w:ascii="Calibri" w:eastAsia="Times New Roman" w:hAnsi="Calibri" w:cs="Times New Roman"/>
          <w:szCs w:val="24"/>
        </w:rPr>
        <w:t>na</w:t>
      </w:r>
      <w:r w:rsidR="00A62CB9">
        <w:rPr>
          <w:rFonts w:ascii="Calibri" w:eastAsia="Times New Roman" w:hAnsi="Calibri" w:cs="Times New Roman"/>
          <w:szCs w:val="24"/>
        </w:rPr>
        <w:t xml:space="preserve"> </w:t>
      </w:r>
      <w:r w:rsidR="00644567">
        <w:rPr>
          <w:rFonts w:ascii="Calibri" w:eastAsia="Times New Roman" w:hAnsi="Calibri" w:cs="Times New Roman"/>
          <w:szCs w:val="24"/>
        </w:rPr>
        <w:t xml:space="preserve">státní </w:t>
      </w:r>
      <w:r w:rsidR="00480985" w:rsidRPr="00AE58EA">
        <w:rPr>
          <w:rFonts w:ascii="Calibri" w:eastAsia="Times New Roman" w:hAnsi="Calibri" w:cs="Times New Roman"/>
          <w:szCs w:val="24"/>
        </w:rPr>
        <w:t xml:space="preserve">zaměstnance v období let 2012–2016 ani provozní výdaje na </w:t>
      </w:r>
      <w:r w:rsidR="00A62CB9">
        <w:rPr>
          <w:rFonts w:ascii="Calibri" w:eastAsia="Times New Roman" w:hAnsi="Calibri" w:cs="Times New Roman"/>
          <w:szCs w:val="24"/>
        </w:rPr>
        <w:t>1 </w:t>
      </w:r>
      <w:r w:rsidR="00480985" w:rsidRPr="00AE58EA">
        <w:rPr>
          <w:rFonts w:ascii="Calibri" w:eastAsia="Times New Roman" w:hAnsi="Calibri" w:cs="Times New Roman"/>
          <w:szCs w:val="24"/>
        </w:rPr>
        <w:t>m</w:t>
      </w:r>
      <w:r w:rsidR="00480985" w:rsidRPr="00AE58EA">
        <w:rPr>
          <w:rFonts w:ascii="Calibri" w:eastAsia="Times New Roman" w:hAnsi="Calibri" w:cs="Times New Roman"/>
          <w:szCs w:val="24"/>
          <w:vertAlign w:val="superscript"/>
        </w:rPr>
        <w:t>2</w:t>
      </w:r>
      <w:r w:rsidR="00480985" w:rsidRPr="00324F72">
        <w:rPr>
          <w:rFonts w:ascii="Calibri" w:eastAsia="Times New Roman" w:hAnsi="Calibri" w:cs="Times New Roman"/>
          <w:szCs w:val="24"/>
        </w:rPr>
        <w:t xml:space="preserve"> celkové plochy nesnížily</w:t>
      </w:r>
      <w:r w:rsidR="00480985">
        <w:rPr>
          <w:rFonts w:ascii="Calibri" w:eastAsia="Times New Roman" w:hAnsi="Calibri" w:cs="Times New Roman"/>
          <w:szCs w:val="24"/>
        </w:rPr>
        <w:t xml:space="preserve"> </w:t>
      </w:r>
      <w:r w:rsidR="004D3343">
        <w:rPr>
          <w:rFonts w:ascii="Calibri" w:eastAsia="Times New Roman" w:hAnsi="Calibri" w:cs="Times New Roman"/>
          <w:szCs w:val="24"/>
        </w:rPr>
        <w:t>a </w:t>
      </w:r>
      <w:r w:rsidR="00480985">
        <w:rPr>
          <w:rFonts w:ascii="Calibri" w:eastAsia="Times New Roman" w:hAnsi="Calibri" w:cs="Times New Roman"/>
          <w:szCs w:val="24"/>
        </w:rPr>
        <w:t>míra obsaz</w:t>
      </w:r>
      <w:r w:rsidR="00A62CB9">
        <w:rPr>
          <w:rFonts w:ascii="Calibri" w:eastAsia="Times New Roman" w:hAnsi="Calibri" w:cs="Times New Roman"/>
          <w:szCs w:val="24"/>
        </w:rPr>
        <w:t>e</w:t>
      </w:r>
      <w:r w:rsidR="00480985">
        <w:rPr>
          <w:rFonts w:ascii="Calibri" w:eastAsia="Times New Roman" w:hAnsi="Calibri" w:cs="Times New Roman"/>
          <w:szCs w:val="24"/>
        </w:rPr>
        <w:t>nosti budov se nezvýšila</w:t>
      </w:r>
      <w:r w:rsidR="00BF6D05" w:rsidRPr="00480985">
        <w:t xml:space="preserve">. </w:t>
      </w:r>
      <w:r w:rsidR="00853E1F">
        <w:t xml:space="preserve">Oproti tomu </w:t>
      </w:r>
      <w:r w:rsidR="0057557D">
        <w:t xml:space="preserve">je například </w:t>
      </w:r>
      <w:r w:rsidR="002269E5">
        <w:t>v</w:t>
      </w:r>
      <w:r w:rsidR="0099690C">
        <w:t>e</w:t>
      </w:r>
      <w:r w:rsidR="00A67622">
        <w:t> </w:t>
      </w:r>
      <w:r w:rsidR="00C00BBE" w:rsidRPr="00C00BBE">
        <w:t>Spojené</w:t>
      </w:r>
      <w:r w:rsidR="00F06C53">
        <w:t>m</w:t>
      </w:r>
      <w:r w:rsidR="00C00BBE" w:rsidRPr="00C00BBE">
        <w:t xml:space="preserve"> království Velké Británie a</w:t>
      </w:r>
      <w:r w:rsidR="00791FB1">
        <w:t> </w:t>
      </w:r>
      <w:r w:rsidR="00C00BBE" w:rsidRPr="00C00BBE">
        <w:t xml:space="preserve">Severního Irska </w:t>
      </w:r>
      <w:r w:rsidR="00C00BBE">
        <w:t xml:space="preserve">(dále jen „Spojené království“) </w:t>
      </w:r>
      <w:r w:rsidR="0099690C">
        <w:t>stanovena celková strategie státu pro správu a vlastnictví nemovitého majetku</w:t>
      </w:r>
      <w:r w:rsidR="00BF6D05">
        <w:t>.</w:t>
      </w:r>
      <w:r w:rsidR="0099690C">
        <w:t xml:space="preserve"> </w:t>
      </w:r>
      <w:r w:rsidR="00BF6D05">
        <w:t>P</w:t>
      </w:r>
      <w:r w:rsidR="0099690C">
        <w:t>omocí nástrojů a</w:t>
      </w:r>
      <w:r w:rsidR="007C2547">
        <w:t> </w:t>
      </w:r>
      <w:r w:rsidR="0099690C">
        <w:t xml:space="preserve">přijímaných opatření </w:t>
      </w:r>
      <w:r w:rsidR="0070294C">
        <w:t xml:space="preserve">došlo </w:t>
      </w:r>
      <w:r w:rsidR="00BF6D05">
        <w:t xml:space="preserve">ve Spojeném království </w:t>
      </w:r>
      <w:r w:rsidR="0070294C">
        <w:t xml:space="preserve">v období </w:t>
      </w:r>
      <w:r w:rsidR="00A225DC">
        <w:t xml:space="preserve">let </w:t>
      </w:r>
      <w:r w:rsidR="0070294C">
        <w:t xml:space="preserve">2010–2016 </w:t>
      </w:r>
      <w:r w:rsidR="00BF6D05">
        <w:t xml:space="preserve">například </w:t>
      </w:r>
      <w:r w:rsidR="0070294C">
        <w:t>ke snížení průměrné plochy na</w:t>
      </w:r>
      <w:r w:rsidR="00A62CB9">
        <w:t xml:space="preserve"> </w:t>
      </w:r>
      <w:r w:rsidR="0070294C">
        <w:t>jednoho zaměstnance o 2,</w:t>
      </w:r>
      <w:r w:rsidR="00A60717">
        <w:t>6</w:t>
      </w:r>
      <w:r w:rsidR="0070294C">
        <w:t xml:space="preserve"> m</w:t>
      </w:r>
      <w:r w:rsidR="0070294C" w:rsidRPr="0070294C">
        <w:rPr>
          <w:vertAlign w:val="superscript"/>
        </w:rPr>
        <w:t>2</w:t>
      </w:r>
      <w:r w:rsidR="00A60717">
        <w:t xml:space="preserve"> (tj. o</w:t>
      </w:r>
      <w:r w:rsidR="00791FB1">
        <w:t> </w:t>
      </w:r>
      <w:r w:rsidR="00A60717">
        <w:t>20</w:t>
      </w:r>
      <w:r w:rsidR="00A225DC">
        <w:t xml:space="preserve"> %</w:t>
      </w:r>
      <w:r w:rsidR="00A60717" w:rsidRPr="00DA1B11">
        <w:t>)</w:t>
      </w:r>
      <w:r w:rsidR="0099690C" w:rsidRPr="00E36DC1">
        <w:t xml:space="preserve">. </w:t>
      </w:r>
    </w:p>
    <w:p w14:paraId="2D7E5181" w14:textId="7B0AE2DE" w:rsidR="00D7404D" w:rsidRDefault="00B20158" w:rsidP="0099690C">
      <w:pPr>
        <w:rPr>
          <w:rFonts w:ascii="Calibri" w:eastAsia="Times New Roman" w:hAnsi="Calibri" w:cs="Times New Roman"/>
          <w:szCs w:val="24"/>
        </w:rPr>
      </w:pPr>
      <w:r>
        <w:rPr>
          <w:rFonts w:ascii="Calibri" w:eastAsia="Times New Roman" w:hAnsi="Calibri" w:cs="Times New Roman"/>
          <w:szCs w:val="24"/>
        </w:rPr>
        <w:t>Realizované p</w:t>
      </w:r>
      <w:r w:rsidR="0030001B">
        <w:rPr>
          <w:rFonts w:ascii="Calibri" w:eastAsia="Times New Roman" w:hAnsi="Calibri" w:cs="Times New Roman"/>
          <w:szCs w:val="24"/>
        </w:rPr>
        <w:t xml:space="preserve">rvní </w:t>
      </w:r>
      <w:r w:rsidR="00C123D5">
        <w:rPr>
          <w:rFonts w:ascii="Calibri" w:eastAsia="Times New Roman" w:hAnsi="Calibri" w:cs="Times New Roman"/>
          <w:szCs w:val="24"/>
        </w:rPr>
        <w:t>kroky k centralizaci správy nemovitého majetku</w:t>
      </w:r>
      <w:r w:rsidR="00112816">
        <w:rPr>
          <w:rFonts w:ascii="Calibri" w:eastAsia="Times New Roman" w:hAnsi="Calibri" w:cs="Times New Roman"/>
          <w:szCs w:val="24"/>
        </w:rPr>
        <w:t xml:space="preserve"> v</w:t>
      </w:r>
      <w:r w:rsidR="00BF6D05">
        <w:rPr>
          <w:rFonts w:ascii="Calibri" w:eastAsia="Times New Roman" w:hAnsi="Calibri" w:cs="Times New Roman"/>
          <w:szCs w:val="24"/>
        </w:rPr>
        <w:t> </w:t>
      </w:r>
      <w:r w:rsidR="00112816">
        <w:rPr>
          <w:rFonts w:ascii="Calibri" w:eastAsia="Times New Roman" w:hAnsi="Calibri" w:cs="Times New Roman"/>
          <w:szCs w:val="24"/>
        </w:rPr>
        <w:t>ČR</w:t>
      </w:r>
      <w:r w:rsidR="00C123D5">
        <w:rPr>
          <w:rFonts w:ascii="Calibri" w:eastAsia="Times New Roman" w:hAnsi="Calibri" w:cs="Times New Roman"/>
          <w:szCs w:val="24"/>
        </w:rPr>
        <w:t xml:space="preserve"> ne</w:t>
      </w:r>
      <w:r w:rsidR="00BF6D05">
        <w:rPr>
          <w:rFonts w:ascii="Calibri" w:eastAsia="Times New Roman" w:hAnsi="Calibri" w:cs="Times New Roman"/>
          <w:szCs w:val="24"/>
        </w:rPr>
        <w:t>byly</w:t>
      </w:r>
      <w:r w:rsidR="00C123D5">
        <w:rPr>
          <w:rFonts w:ascii="Calibri" w:eastAsia="Times New Roman" w:hAnsi="Calibri" w:cs="Times New Roman"/>
          <w:szCs w:val="24"/>
        </w:rPr>
        <w:t xml:space="preserve"> provázány </w:t>
      </w:r>
      <w:r w:rsidR="00A62CB9">
        <w:rPr>
          <w:rFonts w:ascii="Calibri" w:eastAsia="Times New Roman" w:hAnsi="Calibri" w:cs="Times New Roman"/>
          <w:szCs w:val="24"/>
        </w:rPr>
        <w:t>s nastavenými</w:t>
      </w:r>
      <w:r w:rsidR="00C123D5">
        <w:rPr>
          <w:rFonts w:ascii="Calibri" w:eastAsia="Times New Roman" w:hAnsi="Calibri" w:cs="Times New Roman"/>
          <w:szCs w:val="24"/>
        </w:rPr>
        <w:t xml:space="preserve"> kompetence</w:t>
      </w:r>
      <w:r w:rsidR="00A62CB9">
        <w:rPr>
          <w:rFonts w:ascii="Calibri" w:eastAsia="Times New Roman" w:hAnsi="Calibri" w:cs="Times New Roman"/>
          <w:szCs w:val="24"/>
        </w:rPr>
        <w:t>mi</w:t>
      </w:r>
      <w:r w:rsidR="00C123D5">
        <w:rPr>
          <w:rFonts w:ascii="Calibri" w:eastAsia="Times New Roman" w:hAnsi="Calibri" w:cs="Times New Roman"/>
          <w:szCs w:val="24"/>
        </w:rPr>
        <w:t>, kter</w:t>
      </w:r>
      <w:r w:rsidR="0097729E">
        <w:rPr>
          <w:rFonts w:ascii="Calibri" w:eastAsia="Times New Roman" w:hAnsi="Calibri" w:cs="Times New Roman"/>
          <w:szCs w:val="24"/>
        </w:rPr>
        <w:t>é</w:t>
      </w:r>
      <w:r w:rsidR="00C123D5">
        <w:rPr>
          <w:rFonts w:ascii="Calibri" w:eastAsia="Times New Roman" w:hAnsi="Calibri" w:cs="Times New Roman"/>
          <w:szCs w:val="24"/>
        </w:rPr>
        <w:t xml:space="preserve"> by reagoval</w:t>
      </w:r>
      <w:r w:rsidR="0097729E">
        <w:rPr>
          <w:rFonts w:ascii="Calibri" w:eastAsia="Times New Roman" w:hAnsi="Calibri" w:cs="Times New Roman"/>
          <w:szCs w:val="24"/>
        </w:rPr>
        <w:t>y</w:t>
      </w:r>
      <w:r w:rsidR="00C123D5">
        <w:rPr>
          <w:rFonts w:ascii="Calibri" w:eastAsia="Times New Roman" w:hAnsi="Calibri" w:cs="Times New Roman"/>
          <w:szCs w:val="24"/>
        </w:rPr>
        <w:t xml:space="preserve"> na změny ve správě nemovitého majetku (přesun majetku do správy ÚZSVM). Tu</w:t>
      </w:r>
      <w:r w:rsidR="00F06C53">
        <w:rPr>
          <w:rFonts w:ascii="Calibri" w:eastAsia="Times New Roman" w:hAnsi="Calibri" w:cs="Times New Roman"/>
          <w:szCs w:val="24"/>
        </w:rPr>
        <w:t>to situaci navíc ztěžuje nenastavení cílů v oblasti</w:t>
      </w:r>
      <w:r w:rsidR="00C123D5">
        <w:rPr>
          <w:rFonts w:ascii="Calibri" w:eastAsia="Times New Roman" w:hAnsi="Calibri" w:cs="Times New Roman"/>
          <w:szCs w:val="24"/>
        </w:rPr>
        <w:t xml:space="preserve"> správy nemovitého majetku. </w:t>
      </w:r>
      <w:r w:rsidR="00D7404D" w:rsidRPr="00D7404D">
        <w:t xml:space="preserve">Centralizace správy nemovitého majetku byla dosažena pouze </w:t>
      </w:r>
      <w:r w:rsidR="00791FB1" w:rsidRPr="00D7404D">
        <w:t>u</w:t>
      </w:r>
      <w:r w:rsidR="00791FB1">
        <w:t> </w:t>
      </w:r>
      <w:r w:rsidR="00CE0119">
        <w:t xml:space="preserve">trvale </w:t>
      </w:r>
      <w:r w:rsidR="00D7404D" w:rsidRPr="00D7404D">
        <w:t xml:space="preserve">nepotřebného </w:t>
      </w:r>
      <w:r w:rsidR="00AD3E40">
        <w:t xml:space="preserve">nemovitého </w:t>
      </w:r>
      <w:r w:rsidR="00D7404D" w:rsidRPr="00D7404D">
        <w:t>majetku státu</w:t>
      </w:r>
      <w:r w:rsidR="00001FC1">
        <w:t xml:space="preserve">, který je </w:t>
      </w:r>
      <w:r w:rsidR="00B662EE">
        <w:t>ze zákona</w:t>
      </w:r>
      <w:r w:rsidR="00FC76BB">
        <w:rPr>
          <w:rStyle w:val="Znakapoznpodarou"/>
        </w:rPr>
        <w:footnoteReference w:id="17"/>
      </w:r>
      <w:r w:rsidR="00B662EE">
        <w:t xml:space="preserve"> </w:t>
      </w:r>
      <w:r w:rsidR="00704653">
        <w:t>převáděn na</w:t>
      </w:r>
      <w:r w:rsidR="00B662EE">
        <w:t xml:space="preserve"> </w:t>
      </w:r>
      <w:r w:rsidR="00001FC1">
        <w:t>ÚZSVM</w:t>
      </w:r>
      <w:r w:rsidR="00D7404D" w:rsidRPr="00D7404D">
        <w:t>.</w:t>
      </w:r>
      <w:r w:rsidR="00D7404D">
        <w:t xml:space="preserve"> U</w:t>
      </w:r>
      <w:r w:rsidR="00791FB1">
        <w:t> </w:t>
      </w:r>
      <w:r w:rsidR="00CE0119">
        <w:t>ostatního</w:t>
      </w:r>
      <w:r w:rsidR="00D7404D">
        <w:t xml:space="preserve"> majetku</w:t>
      </w:r>
      <w:r w:rsidR="00CE0119">
        <w:t xml:space="preserve"> evidovaného v CRAB</w:t>
      </w:r>
      <w:r w:rsidR="00D7404D">
        <w:t xml:space="preserve"> je centralizace dobrovolná</w:t>
      </w:r>
      <w:r w:rsidR="00FC76BB">
        <w:rPr>
          <w:rStyle w:val="Znakapoznpodarou"/>
        </w:rPr>
        <w:footnoteReference w:id="18"/>
      </w:r>
      <w:r w:rsidR="00D7404D">
        <w:t xml:space="preserve"> a do ukončení kontroly byl </w:t>
      </w:r>
      <w:r w:rsidR="00CE0119">
        <w:t xml:space="preserve">do správy </w:t>
      </w:r>
      <w:r w:rsidR="00D7404D">
        <w:t>ÚZSVM převeden</w:t>
      </w:r>
      <w:r>
        <w:t xml:space="preserve"> jen</w:t>
      </w:r>
      <w:r w:rsidR="00D7404D">
        <w:t xml:space="preserve"> jed</w:t>
      </w:r>
      <w:r w:rsidR="00CE0119">
        <w:t>en</w:t>
      </w:r>
      <w:r w:rsidR="00D7404D">
        <w:t xml:space="preserve"> objekt.</w:t>
      </w:r>
      <w:r w:rsidR="007966AD">
        <w:t xml:space="preserve"> </w:t>
      </w:r>
    </w:p>
    <w:p w14:paraId="5E9B0871" w14:textId="10761ACA" w:rsidR="0097729E" w:rsidRDefault="00E17747" w:rsidP="0052516F">
      <w:pPr>
        <w:rPr>
          <w:rFonts w:ascii="Calibri" w:eastAsia="Times New Roman" w:hAnsi="Calibri" w:cs="Times New Roman"/>
          <w:szCs w:val="24"/>
        </w:rPr>
      </w:pPr>
      <w:r w:rsidRPr="00555312">
        <w:rPr>
          <w:rFonts w:ascii="Calibri" w:eastAsia="Times New Roman" w:hAnsi="Calibri" w:cs="Times New Roman"/>
          <w:szCs w:val="24"/>
        </w:rPr>
        <w:t>V</w:t>
      </w:r>
      <w:r w:rsidR="00C65A29" w:rsidRPr="00555312">
        <w:rPr>
          <w:rFonts w:ascii="Calibri" w:eastAsia="Times New Roman" w:hAnsi="Calibri" w:cs="Times New Roman"/>
          <w:szCs w:val="24"/>
        </w:rPr>
        <w:t xml:space="preserve"> případě změny ve využívání majetku </w:t>
      </w:r>
      <w:r w:rsidR="0064433F" w:rsidRPr="00330BDC">
        <w:rPr>
          <w:rFonts w:ascii="Calibri" w:eastAsia="Times New Roman" w:hAnsi="Calibri" w:cs="Times New Roman"/>
          <w:szCs w:val="24"/>
        </w:rPr>
        <w:t>evidovaného v </w:t>
      </w:r>
      <w:r w:rsidR="007C5C49" w:rsidRPr="00330BDC">
        <w:rPr>
          <w:rFonts w:ascii="Calibri" w:eastAsia="Times New Roman" w:hAnsi="Calibri" w:cs="Times New Roman"/>
          <w:szCs w:val="24"/>
        </w:rPr>
        <w:t>CRAB</w:t>
      </w:r>
      <w:r w:rsidR="0064433F" w:rsidRPr="00330BDC">
        <w:rPr>
          <w:rFonts w:ascii="Calibri" w:eastAsia="Times New Roman" w:hAnsi="Calibri" w:cs="Times New Roman"/>
          <w:szCs w:val="24"/>
        </w:rPr>
        <w:t xml:space="preserve"> </w:t>
      </w:r>
      <w:r w:rsidR="00C65A29" w:rsidRPr="00555312">
        <w:rPr>
          <w:rFonts w:ascii="Calibri" w:eastAsia="Times New Roman" w:hAnsi="Calibri" w:cs="Times New Roman"/>
          <w:szCs w:val="24"/>
        </w:rPr>
        <w:t xml:space="preserve">a nakládání s ním </w:t>
      </w:r>
      <w:r w:rsidR="0064433F" w:rsidRPr="00330BDC">
        <w:rPr>
          <w:rFonts w:ascii="Calibri" w:eastAsia="Times New Roman" w:hAnsi="Calibri" w:cs="Times New Roman"/>
          <w:szCs w:val="24"/>
        </w:rPr>
        <w:t>došlo v důsledku přijetí nové právní úpravy</w:t>
      </w:r>
      <w:r w:rsidR="00DA55A7" w:rsidRPr="00330BDC">
        <w:rPr>
          <w:rStyle w:val="Znakapoznpodarou"/>
          <w:rFonts w:ascii="Calibri" w:eastAsia="Times New Roman" w:hAnsi="Calibri" w:cs="Times New Roman"/>
          <w:szCs w:val="24"/>
        </w:rPr>
        <w:footnoteReference w:id="19"/>
      </w:r>
      <w:r w:rsidR="00C65A29" w:rsidRPr="00555312">
        <w:rPr>
          <w:rFonts w:ascii="Calibri" w:eastAsia="Times New Roman" w:hAnsi="Calibri" w:cs="Times New Roman"/>
          <w:szCs w:val="24"/>
        </w:rPr>
        <w:t xml:space="preserve"> k oddělení kompetencí a odpovědností mezi tím, kdo </w:t>
      </w:r>
      <w:r w:rsidR="0064433F" w:rsidRPr="00330BDC">
        <w:rPr>
          <w:rFonts w:ascii="Calibri" w:eastAsia="Times New Roman" w:hAnsi="Calibri" w:cs="Times New Roman"/>
          <w:szCs w:val="24"/>
        </w:rPr>
        <w:t xml:space="preserve">odpovídá za účelné a hospodárné využití tohoto </w:t>
      </w:r>
      <w:r w:rsidR="00C65A29" w:rsidRPr="00555312">
        <w:rPr>
          <w:rFonts w:ascii="Calibri" w:eastAsia="Times New Roman" w:hAnsi="Calibri" w:cs="Times New Roman"/>
          <w:szCs w:val="24"/>
        </w:rPr>
        <w:t>majetk</w:t>
      </w:r>
      <w:r w:rsidR="0064433F" w:rsidRPr="00330BDC">
        <w:rPr>
          <w:rFonts w:ascii="Calibri" w:eastAsia="Times New Roman" w:hAnsi="Calibri" w:cs="Times New Roman"/>
          <w:szCs w:val="24"/>
        </w:rPr>
        <w:t xml:space="preserve">u </w:t>
      </w:r>
      <w:r w:rsidR="00C65A29" w:rsidRPr="00555312">
        <w:rPr>
          <w:rFonts w:ascii="Calibri" w:eastAsia="Times New Roman" w:hAnsi="Calibri" w:cs="Times New Roman"/>
          <w:szCs w:val="24"/>
        </w:rPr>
        <w:t>(vedoucí státní instituce</w:t>
      </w:r>
      <w:r w:rsidR="00C65A29" w:rsidRPr="00330BDC">
        <w:rPr>
          <w:rFonts w:ascii="Calibri" w:eastAsia="Times New Roman" w:hAnsi="Calibri" w:cs="Times New Roman"/>
          <w:szCs w:val="24"/>
          <w:vertAlign w:val="superscript"/>
        </w:rPr>
        <w:t>3</w:t>
      </w:r>
      <w:r w:rsidR="00C65A29" w:rsidRPr="00555312">
        <w:rPr>
          <w:rFonts w:ascii="Calibri" w:eastAsia="Times New Roman" w:hAnsi="Calibri" w:cs="Times New Roman"/>
          <w:szCs w:val="24"/>
        </w:rPr>
        <w:t>)</w:t>
      </w:r>
      <w:r w:rsidR="00A62CB9">
        <w:rPr>
          <w:rFonts w:ascii="Calibri" w:eastAsia="Times New Roman" w:hAnsi="Calibri" w:cs="Times New Roman"/>
          <w:szCs w:val="24"/>
        </w:rPr>
        <w:t>,</w:t>
      </w:r>
      <w:r w:rsidR="00C65A29" w:rsidRPr="00555312">
        <w:rPr>
          <w:rFonts w:ascii="Calibri" w:eastAsia="Times New Roman" w:hAnsi="Calibri" w:cs="Times New Roman"/>
          <w:szCs w:val="24"/>
        </w:rPr>
        <w:t xml:space="preserve"> a </w:t>
      </w:r>
      <w:r w:rsidR="0064433F" w:rsidRPr="00330BDC">
        <w:rPr>
          <w:rFonts w:ascii="Calibri" w:eastAsia="Times New Roman" w:hAnsi="Calibri" w:cs="Times New Roman"/>
          <w:szCs w:val="24"/>
        </w:rPr>
        <w:t>tím, kdo rozhoduje o případných změnách v jeho využívání</w:t>
      </w:r>
      <w:r w:rsidR="00C65A29" w:rsidRPr="00555312">
        <w:rPr>
          <w:rFonts w:ascii="Calibri" w:eastAsia="Times New Roman" w:hAnsi="Calibri" w:cs="Times New Roman"/>
          <w:szCs w:val="24"/>
        </w:rPr>
        <w:t xml:space="preserve"> </w:t>
      </w:r>
      <w:r w:rsidR="00DA55A7" w:rsidRPr="00330BDC">
        <w:rPr>
          <w:rFonts w:ascii="Calibri" w:eastAsia="Times New Roman" w:hAnsi="Calibri" w:cs="Times New Roman"/>
          <w:szCs w:val="24"/>
        </w:rPr>
        <w:t xml:space="preserve">a nakládání s ním </w:t>
      </w:r>
      <w:r w:rsidR="00C65A29" w:rsidRPr="00555312">
        <w:rPr>
          <w:rFonts w:ascii="Calibri" w:eastAsia="Times New Roman" w:hAnsi="Calibri" w:cs="Times New Roman"/>
          <w:szCs w:val="24"/>
        </w:rPr>
        <w:t xml:space="preserve">(vláda ČR, VDK či RDK). </w:t>
      </w:r>
    </w:p>
    <w:p w14:paraId="4C2D2DA3" w14:textId="29239019" w:rsidR="0052516F" w:rsidRPr="00414BAA" w:rsidRDefault="0052516F" w:rsidP="0052516F">
      <w:pPr>
        <w:rPr>
          <w:rFonts w:ascii="Calibri" w:eastAsia="Times New Roman" w:hAnsi="Calibri" w:cs="Times New Roman"/>
          <w:szCs w:val="24"/>
        </w:rPr>
      </w:pPr>
      <w:r w:rsidRPr="00414BAA">
        <w:rPr>
          <w:rFonts w:ascii="Calibri" w:eastAsia="Times New Roman" w:hAnsi="Calibri" w:cs="Times New Roman"/>
          <w:szCs w:val="24"/>
        </w:rPr>
        <w:t xml:space="preserve">VDK a RDK během kontrolovaného období rozhodovaly </w:t>
      </w:r>
      <w:r w:rsidR="000133BE">
        <w:rPr>
          <w:rFonts w:ascii="Calibri" w:eastAsia="Times New Roman" w:hAnsi="Calibri" w:cs="Times New Roman"/>
          <w:szCs w:val="24"/>
        </w:rPr>
        <w:t xml:space="preserve">z pohledu podílu výdajů a ploch </w:t>
      </w:r>
      <w:r w:rsidR="00F93190">
        <w:rPr>
          <w:rFonts w:ascii="Calibri" w:eastAsia="Times New Roman" w:hAnsi="Calibri" w:cs="Times New Roman"/>
          <w:szCs w:val="24"/>
        </w:rPr>
        <w:t xml:space="preserve">také </w:t>
      </w:r>
      <w:r w:rsidR="00454977" w:rsidRPr="00414BAA">
        <w:rPr>
          <w:rFonts w:ascii="Calibri" w:eastAsia="Times New Roman" w:hAnsi="Calibri" w:cs="Times New Roman"/>
          <w:szCs w:val="24"/>
        </w:rPr>
        <w:t>o</w:t>
      </w:r>
      <w:r w:rsidR="00454977">
        <w:rPr>
          <w:rFonts w:ascii="Calibri" w:eastAsia="Times New Roman" w:hAnsi="Calibri" w:cs="Times New Roman"/>
          <w:szCs w:val="24"/>
        </w:rPr>
        <w:t> </w:t>
      </w:r>
      <w:r w:rsidR="000133BE">
        <w:rPr>
          <w:rFonts w:ascii="Calibri" w:eastAsia="Times New Roman" w:hAnsi="Calibri" w:cs="Times New Roman"/>
          <w:szCs w:val="24"/>
        </w:rPr>
        <w:t>ne</w:t>
      </w:r>
      <w:r w:rsidRPr="00414BAA">
        <w:rPr>
          <w:rFonts w:ascii="Calibri" w:eastAsia="Times New Roman" w:hAnsi="Calibri" w:cs="Times New Roman"/>
          <w:szCs w:val="24"/>
        </w:rPr>
        <w:t xml:space="preserve">významných </w:t>
      </w:r>
      <w:r w:rsidR="000133BE">
        <w:rPr>
          <w:rFonts w:ascii="Calibri" w:eastAsia="Times New Roman" w:hAnsi="Calibri" w:cs="Times New Roman"/>
          <w:szCs w:val="24"/>
        </w:rPr>
        <w:t>změnách ve využívání nemovitého majetku</w:t>
      </w:r>
      <w:r w:rsidR="002E64EE">
        <w:rPr>
          <w:rFonts w:ascii="Calibri" w:eastAsia="Times New Roman" w:hAnsi="Calibri" w:cs="Times New Roman"/>
          <w:szCs w:val="24"/>
        </w:rPr>
        <w:t>, oproti tomu p</w:t>
      </w:r>
      <w:r w:rsidR="000133BE">
        <w:rPr>
          <w:rFonts w:ascii="Calibri" w:eastAsia="Times New Roman" w:hAnsi="Calibri" w:cs="Times New Roman"/>
          <w:szCs w:val="24"/>
        </w:rPr>
        <w:t xml:space="preserve">ožadavky </w:t>
      </w:r>
      <w:r w:rsidR="001200ED">
        <w:rPr>
          <w:rFonts w:ascii="Calibri" w:eastAsia="Times New Roman" w:hAnsi="Calibri" w:cs="Times New Roman"/>
          <w:szCs w:val="24"/>
        </w:rPr>
        <w:t xml:space="preserve">některých </w:t>
      </w:r>
      <w:r w:rsidR="000133BE">
        <w:rPr>
          <w:rFonts w:ascii="Calibri" w:eastAsia="Times New Roman" w:hAnsi="Calibri" w:cs="Times New Roman"/>
          <w:szCs w:val="24"/>
        </w:rPr>
        <w:t>státních institucí na vhodné prostory pro umístění jejich zaměstnanců VDK a RDK nevyřešil</w:t>
      </w:r>
      <w:r w:rsidR="001200ED">
        <w:rPr>
          <w:rFonts w:ascii="Calibri" w:eastAsia="Times New Roman" w:hAnsi="Calibri" w:cs="Times New Roman"/>
          <w:szCs w:val="24"/>
        </w:rPr>
        <w:t>y</w:t>
      </w:r>
      <w:r w:rsidR="00191C70">
        <w:rPr>
          <w:rFonts w:ascii="Calibri" w:eastAsia="Times New Roman" w:hAnsi="Calibri" w:cs="Times New Roman"/>
          <w:szCs w:val="24"/>
        </w:rPr>
        <w:t>.</w:t>
      </w:r>
      <w:r w:rsidR="001200ED">
        <w:rPr>
          <w:rFonts w:ascii="Calibri" w:eastAsia="Times New Roman" w:hAnsi="Calibri" w:cs="Times New Roman"/>
          <w:szCs w:val="24"/>
        </w:rPr>
        <w:t xml:space="preserve"> </w:t>
      </w:r>
      <w:r w:rsidR="00191C70">
        <w:rPr>
          <w:rFonts w:ascii="Calibri" w:eastAsia="Times New Roman" w:hAnsi="Calibri" w:cs="Times New Roman"/>
          <w:szCs w:val="24"/>
        </w:rPr>
        <w:t>D</w:t>
      </w:r>
      <w:r w:rsidR="001200ED">
        <w:rPr>
          <w:rFonts w:ascii="Calibri" w:eastAsia="Times New Roman" w:hAnsi="Calibri" w:cs="Times New Roman"/>
          <w:szCs w:val="24"/>
        </w:rPr>
        <w:t>le CRAB existuje cca 85 tis. m</w:t>
      </w:r>
      <w:r w:rsidR="001200ED" w:rsidRPr="00330BDC">
        <w:rPr>
          <w:rFonts w:ascii="Calibri" w:eastAsia="Times New Roman" w:hAnsi="Calibri" w:cs="Times New Roman"/>
          <w:szCs w:val="24"/>
          <w:vertAlign w:val="superscript"/>
        </w:rPr>
        <w:t>2</w:t>
      </w:r>
      <w:r w:rsidR="001200ED">
        <w:rPr>
          <w:rFonts w:ascii="Calibri" w:eastAsia="Times New Roman" w:hAnsi="Calibri" w:cs="Times New Roman"/>
          <w:szCs w:val="24"/>
        </w:rPr>
        <w:t xml:space="preserve"> nevyužité kancelářské plochy.</w:t>
      </w:r>
    </w:p>
    <w:p w14:paraId="321DE88B" w14:textId="17D64CD9" w:rsidR="00204C00" w:rsidRDefault="0052516F" w:rsidP="002324A0">
      <w:pPr>
        <w:pStyle w:val="Nadpis3"/>
        <w:tabs>
          <w:tab w:val="clear" w:pos="425"/>
          <w:tab w:val="clear" w:pos="567"/>
        </w:tabs>
        <w:ind w:left="284" w:hanging="284"/>
        <w:jc w:val="left"/>
      </w:pPr>
      <w:r>
        <w:lastRenderedPageBreak/>
        <w:t>C</w:t>
      </w:r>
      <w:r w:rsidR="00076014">
        <w:t>entrální evidence nemovitého majetku</w:t>
      </w:r>
      <w:r w:rsidR="00204C00" w:rsidRPr="005C30C9">
        <w:t xml:space="preserve"> </w:t>
      </w:r>
      <w:r w:rsidR="00076014">
        <w:t xml:space="preserve">nefunguje </w:t>
      </w:r>
      <w:r w:rsidR="00204C00" w:rsidRPr="005C30C9">
        <w:t xml:space="preserve">tak, aby </w:t>
      </w:r>
      <w:r w:rsidR="00076014">
        <w:t xml:space="preserve">mohla sloužit </w:t>
      </w:r>
      <w:r w:rsidR="00407811">
        <w:t xml:space="preserve">pro </w:t>
      </w:r>
      <w:r w:rsidR="000D6F72">
        <w:t>po</w:t>
      </w:r>
      <w:r w:rsidR="00407811">
        <w:t xml:space="preserve">rovnání objektů </w:t>
      </w:r>
      <w:r w:rsidR="00204C00" w:rsidRPr="005C30C9">
        <w:t>za</w:t>
      </w:r>
      <w:r w:rsidR="00A62CB9">
        <w:t xml:space="preserve"> </w:t>
      </w:r>
      <w:r w:rsidR="00204C00" w:rsidRPr="005C30C9">
        <w:t>účelem optimalizace správy nemovitého majetku</w:t>
      </w:r>
    </w:p>
    <w:p w14:paraId="1E138B72" w14:textId="52112DEC" w:rsidR="00B16441" w:rsidRDefault="00407811" w:rsidP="0024102A">
      <w:pPr>
        <w:rPr>
          <w:rFonts w:eastAsia="Times New Roman" w:cs="Calibri"/>
          <w:szCs w:val="24"/>
        </w:rPr>
      </w:pPr>
      <w:r>
        <w:rPr>
          <w:lang w:eastAsia="cs-CZ"/>
        </w:rPr>
        <w:t xml:space="preserve">ÚZSVM při nastavení </w:t>
      </w:r>
      <w:r w:rsidR="0034761B">
        <w:rPr>
          <w:lang w:eastAsia="cs-CZ"/>
        </w:rPr>
        <w:t xml:space="preserve">evidence údajů </w:t>
      </w:r>
      <w:r w:rsidR="0034761B" w:rsidRPr="00580235">
        <w:rPr>
          <w:lang w:eastAsia="cs-CZ"/>
        </w:rPr>
        <w:t>v</w:t>
      </w:r>
      <w:r w:rsidR="005F1479">
        <w:t xml:space="preserve"> CRAB</w:t>
      </w:r>
      <w:r w:rsidR="00580235">
        <w:t xml:space="preserve"> </w:t>
      </w:r>
      <w:r>
        <w:rPr>
          <w:lang w:eastAsia="cs-CZ"/>
        </w:rPr>
        <w:t xml:space="preserve">nezohlednil skutečnost, </w:t>
      </w:r>
      <w:r w:rsidR="00E0297C">
        <w:rPr>
          <w:lang w:eastAsia="cs-CZ"/>
        </w:rPr>
        <w:t xml:space="preserve">že </w:t>
      </w:r>
      <w:r w:rsidR="00E0297C">
        <w:t xml:space="preserve">objekty slouží pro specifické účely (např. policejní stanice, hasičské stanice, technické objekty atd.) a </w:t>
      </w:r>
      <w:r>
        <w:rPr>
          <w:lang w:eastAsia="cs-CZ"/>
        </w:rPr>
        <w:t>státní instituce</w:t>
      </w:r>
      <w:r w:rsidR="00711B89" w:rsidRPr="00FD1EC9">
        <w:rPr>
          <w:rFonts w:ascii="Calibri" w:eastAsia="Times New Roman" w:hAnsi="Calibri" w:cs="Times New Roman"/>
          <w:szCs w:val="24"/>
          <w:vertAlign w:val="superscript"/>
        </w:rPr>
        <w:t>3</w:t>
      </w:r>
      <w:r>
        <w:rPr>
          <w:lang w:eastAsia="cs-CZ"/>
        </w:rPr>
        <w:t xml:space="preserve"> </w:t>
      </w:r>
      <w:r w:rsidR="008331C2">
        <w:rPr>
          <w:lang w:eastAsia="cs-CZ"/>
        </w:rPr>
        <w:t>mohou vykonávat</w:t>
      </w:r>
      <w:r>
        <w:rPr>
          <w:lang w:eastAsia="cs-CZ"/>
        </w:rPr>
        <w:t xml:space="preserve"> jednotlivé </w:t>
      </w:r>
      <w:r w:rsidR="008331C2">
        <w:rPr>
          <w:lang w:eastAsia="cs-CZ"/>
        </w:rPr>
        <w:t xml:space="preserve">činnosti vlastními zaměstnanci či mohou část objektu využívat </w:t>
      </w:r>
      <w:r w:rsidR="003144C4">
        <w:rPr>
          <w:lang w:eastAsia="cs-CZ"/>
        </w:rPr>
        <w:t xml:space="preserve">jako </w:t>
      </w:r>
      <w:r w:rsidR="009236FB">
        <w:rPr>
          <w:lang w:eastAsia="cs-CZ"/>
        </w:rPr>
        <w:t>režimová pracoviště</w:t>
      </w:r>
      <w:r w:rsidR="004802C7">
        <w:rPr>
          <w:lang w:eastAsia="cs-CZ"/>
        </w:rPr>
        <w:t xml:space="preserve">. </w:t>
      </w:r>
      <w:r w:rsidR="009A3BB9" w:rsidRPr="00C628BA">
        <w:rPr>
          <w:rFonts w:eastAsia="Times New Roman" w:cs="Calibri"/>
          <w:szCs w:val="24"/>
        </w:rPr>
        <w:t>S</w:t>
      </w:r>
      <w:r w:rsidR="00E0082E" w:rsidRPr="00C628BA">
        <w:rPr>
          <w:rFonts w:eastAsia="Times New Roman" w:cs="Calibri"/>
          <w:szCs w:val="24"/>
        </w:rPr>
        <w:t xml:space="preserve">rovnání </w:t>
      </w:r>
      <w:r w:rsidR="00E0082E" w:rsidRPr="002E3240">
        <w:rPr>
          <w:lang w:eastAsia="cs-CZ"/>
        </w:rPr>
        <w:t xml:space="preserve">údajů evidovaných v CRAB tak </w:t>
      </w:r>
      <w:r w:rsidR="00E0082E" w:rsidRPr="00C628BA">
        <w:rPr>
          <w:lang w:eastAsia="cs-CZ"/>
        </w:rPr>
        <w:t>neumož</w:t>
      </w:r>
      <w:r w:rsidR="009236FB">
        <w:rPr>
          <w:lang w:eastAsia="cs-CZ"/>
        </w:rPr>
        <w:t>nilo</w:t>
      </w:r>
      <w:r w:rsidR="00E0082E" w:rsidRPr="00C628BA">
        <w:rPr>
          <w:lang w:eastAsia="cs-CZ"/>
        </w:rPr>
        <w:t xml:space="preserve"> posoudit efektivnost peněžních prostředků vynaložených na</w:t>
      </w:r>
      <w:r w:rsidR="00C2266C">
        <w:rPr>
          <w:lang w:eastAsia="cs-CZ"/>
        </w:rPr>
        <w:t xml:space="preserve"> </w:t>
      </w:r>
      <w:r w:rsidR="00E0082E" w:rsidRPr="00C628BA">
        <w:rPr>
          <w:lang w:eastAsia="cs-CZ"/>
        </w:rPr>
        <w:t>správu jednotlivých objektů</w:t>
      </w:r>
      <w:r w:rsidR="009236FB">
        <w:rPr>
          <w:lang w:eastAsia="cs-CZ"/>
        </w:rPr>
        <w:t xml:space="preserve"> MV ani ostatních státních institucí</w:t>
      </w:r>
      <w:r w:rsidR="00F65EF0" w:rsidRPr="009F4514">
        <w:rPr>
          <w:vertAlign w:val="superscript"/>
          <w:lang w:eastAsia="cs-CZ"/>
        </w:rPr>
        <w:t>3</w:t>
      </w:r>
      <w:r w:rsidR="009236FB">
        <w:rPr>
          <w:lang w:eastAsia="cs-CZ"/>
        </w:rPr>
        <w:t>.</w:t>
      </w:r>
    </w:p>
    <w:p w14:paraId="1393AA27" w14:textId="781B9B36" w:rsidR="005D3D4C" w:rsidRDefault="001B7A3C" w:rsidP="009C78F4">
      <w:pPr>
        <w:pStyle w:val="KPnormln"/>
      </w:pPr>
      <w:r>
        <w:t>R</w:t>
      </w:r>
      <w:r w:rsidR="00076014">
        <w:t>ozsah evidence</w:t>
      </w:r>
      <w:r w:rsidR="00C2266C">
        <w:t xml:space="preserve"> </w:t>
      </w:r>
      <w:r w:rsidR="00076014">
        <w:t xml:space="preserve">CRAB byl </w:t>
      </w:r>
      <w:r>
        <w:t>zákonem</w:t>
      </w:r>
      <w:r>
        <w:rPr>
          <w:rStyle w:val="Znakapoznpodarou"/>
        </w:rPr>
        <w:footnoteReference w:id="20"/>
      </w:r>
      <w:r>
        <w:t xml:space="preserve"> </w:t>
      </w:r>
      <w:r w:rsidR="00076014">
        <w:t>definován až po č</w:t>
      </w:r>
      <w:r w:rsidR="00806CE4">
        <w:t xml:space="preserve">tyřech letech jeho provozu. </w:t>
      </w:r>
      <w:r w:rsidR="003112C0" w:rsidRPr="00F8635D">
        <w:rPr>
          <w:rFonts w:cs="Calibri"/>
          <w:color w:val="000000" w:themeColor="text1"/>
        </w:rPr>
        <w:t xml:space="preserve">NKÚ vyhodnotil nesoulad mezi právním </w:t>
      </w:r>
      <w:r w:rsidR="003112C0" w:rsidRPr="00B95B8A">
        <w:rPr>
          <w:rFonts w:cs="Calibri"/>
          <w:color w:val="000000" w:themeColor="text1"/>
        </w:rPr>
        <w:t>předpisem a </w:t>
      </w:r>
      <w:r w:rsidR="00E41B2D" w:rsidRPr="00B95B8A">
        <w:rPr>
          <w:rFonts w:cs="Calibri"/>
          <w:color w:val="000000" w:themeColor="text1"/>
        </w:rPr>
        <w:t>uživatelskou příručkou</w:t>
      </w:r>
      <w:r w:rsidR="00580678" w:rsidRPr="00B95B8A">
        <w:rPr>
          <w:rFonts w:cs="Calibri"/>
          <w:color w:val="000000" w:themeColor="text1"/>
        </w:rPr>
        <w:t>.</w:t>
      </w:r>
      <w:r w:rsidR="003112C0" w:rsidRPr="00B95B8A">
        <w:rPr>
          <w:rFonts w:cs="Calibri"/>
          <w:color w:val="000000" w:themeColor="text1"/>
        </w:rPr>
        <w:t xml:space="preserve"> </w:t>
      </w:r>
      <w:r w:rsidR="00E41B2D" w:rsidRPr="00B95B8A">
        <w:t>Uživatelská příručka</w:t>
      </w:r>
      <w:r w:rsidR="003112C0" w:rsidRPr="00B95B8A">
        <w:t xml:space="preserve"> definuje rozsah evidence úžeji než zákon, </w:t>
      </w:r>
      <w:r w:rsidR="00580678" w:rsidRPr="00B95B8A">
        <w:t xml:space="preserve">jelikož nezahrnuje evidenci všech </w:t>
      </w:r>
      <w:r w:rsidR="003112C0" w:rsidRPr="00B95B8A">
        <w:t>objekt</w:t>
      </w:r>
      <w:r w:rsidR="00580678" w:rsidRPr="00B95B8A">
        <w:t>ů</w:t>
      </w:r>
      <w:r w:rsidR="003112C0" w:rsidRPr="00B95B8A">
        <w:t xml:space="preserve"> sloužící</w:t>
      </w:r>
      <w:r w:rsidR="00580678" w:rsidRPr="00B95B8A">
        <w:t>ch</w:t>
      </w:r>
      <w:r w:rsidR="003112C0" w:rsidRPr="00B95B8A">
        <w:t xml:space="preserve"> k plnění funkcí státu. </w:t>
      </w:r>
      <w:r w:rsidR="00580678" w:rsidRPr="00B95B8A">
        <w:t xml:space="preserve">Tato skutečnost negativně ovlivňuje také </w:t>
      </w:r>
      <w:r w:rsidR="00E9779A" w:rsidRPr="00B95B8A">
        <w:t xml:space="preserve">možnosti </w:t>
      </w:r>
      <w:r w:rsidR="00580678" w:rsidRPr="00B95B8A">
        <w:t>s</w:t>
      </w:r>
      <w:r w:rsidR="00784AFD" w:rsidRPr="00B95B8A">
        <w:t>rov</w:t>
      </w:r>
      <w:r w:rsidR="007707B5" w:rsidRPr="00B95B8A">
        <w:t xml:space="preserve">návání objektů za účelem optimalizace </w:t>
      </w:r>
      <w:r w:rsidR="00897116" w:rsidRPr="00B95B8A">
        <w:t xml:space="preserve">jejich </w:t>
      </w:r>
      <w:r w:rsidR="00FB0182" w:rsidRPr="00B95B8A">
        <w:t xml:space="preserve">využití </w:t>
      </w:r>
      <w:r w:rsidR="00791FB1" w:rsidRPr="00B95B8A">
        <w:t>a </w:t>
      </w:r>
      <w:r w:rsidR="00654270" w:rsidRPr="00B95B8A">
        <w:t>snižování nákladů na jejich správu</w:t>
      </w:r>
      <w:r w:rsidR="00580678" w:rsidRPr="00B95B8A">
        <w:t>.</w:t>
      </w:r>
      <w:r w:rsidR="00654270" w:rsidRPr="00B95B8A">
        <w:t xml:space="preserve"> </w:t>
      </w:r>
      <w:r w:rsidR="005D3D4C" w:rsidRPr="00B95B8A">
        <w:t>MV i ZSMV evidovaly v CRAB v souladu s</w:t>
      </w:r>
      <w:r w:rsidR="005B29FF" w:rsidRPr="00B95B8A">
        <w:t> uživatelskou příručkou</w:t>
      </w:r>
      <w:r w:rsidR="005D3D4C" w:rsidRPr="00B95B8A">
        <w:t xml:space="preserve"> jen administrativní</w:t>
      </w:r>
      <w:r w:rsidR="005D3D4C">
        <w:t xml:space="preserve"> budovy.</w:t>
      </w:r>
      <w:r w:rsidR="0030001B">
        <w:t xml:space="preserve"> </w:t>
      </w:r>
    </w:p>
    <w:p w14:paraId="64D2C738" w14:textId="3F736E57" w:rsidR="00204C00" w:rsidRDefault="00F7658B" w:rsidP="002324A0">
      <w:pPr>
        <w:pStyle w:val="Nadpis3"/>
        <w:tabs>
          <w:tab w:val="clear" w:pos="425"/>
          <w:tab w:val="clear" w:pos="567"/>
        </w:tabs>
        <w:ind w:left="284" w:hanging="284"/>
        <w:jc w:val="left"/>
      </w:pPr>
      <w:r>
        <w:t>Využití CRAB je omezeno neúplnými a nesprávnými údaji zadávanými státními institucemi a zavedenými reporty CRAB</w:t>
      </w:r>
    </w:p>
    <w:p w14:paraId="3607249D" w14:textId="64F153C4" w:rsidR="00520A9A" w:rsidRDefault="00520A9A" w:rsidP="00520A9A">
      <w:r>
        <w:t>O</w:t>
      </w:r>
      <w:r w:rsidRPr="00FD578E">
        <w:t>d</w:t>
      </w:r>
      <w:r w:rsidR="00C2266C">
        <w:t xml:space="preserve"> </w:t>
      </w:r>
      <w:r w:rsidRPr="00FD578E">
        <w:t>spuštění CRAB</w:t>
      </w:r>
      <w:r>
        <w:t xml:space="preserve"> v roce 2012</w:t>
      </w:r>
      <w:r w:rsidRPr="00FD578E">
        <w:t xml:space="preserve"> </w:t>
      </w:r>
      <w:r w:rsidR="005C55BE">
        <w:t>je</w:t>
      </w:r>
      <w:r>
        <w:t xml:space="preserve"> </w:t>
      </w:r>
      <w:r w:rsidR="005C55BE">
        <w:t xml:space="preserve">i přes </w:t>
      </w:r>
      <w:r w:rsidR="000F56BB">
        <w:t xml:space="preserve">opatření </w:t>
      </w:r>
      <w:r w:rsidR="005C55BE">
        <w:t xml:space="preserve">ÚZSVM </w:t>
      </w:r>
      <w:r w:rsidR="005C55BE" w:rsidRPr="00FD578E">
        <w:t xml:space="preserve">kvalita </w:t>
      </w:r>
      <w:r w:rsidR="005C55BE">
        <w:t xml:space="preserve">evidovaných údajů </w:t>
      </w:r>
      <w:r>
        <w:t xml:space="preserve">stále nízká. </w:t>
      </w:r>
      <w:r w:rsidRPr="00FD578E">
        <w:t>ÚZSVM v CRAB nezajistil zavedení účinných kontrolních mechanismů, které by upozornily na</w:t>
      </w:r>
      <w:r w:rsidR="00C2266C">
        <w:t xml:space="preserve"> </w:t>
      </w:r>
      <w:r w:rsidRPr="00FD578E">
        <w:t>zjevně nesprávné či nelogické hodnoty</w:t>
      </w:r>
      <w:r w:rsidR="00C2266C">
        <w:t>,</w:t>
      </w:r>
      <w:r w:rsidRPr="00FD578E">
        <w:t xml:space="preserve"> a přispěly tak k vyšší kvalitě dat.</w:t>
      </w:r>
    </w:p>
    <w:p w14:paraId="5E4D6BFC" w14:textId="1717F21C" w:rsidR="0024102A" w:rsidRDefault="00101D7B" w:rsidP="00D65666">
      <w:r w:rsidRPr="00F8635D">
        <w:t xml:space="preserve">Jako příklad nesprávných údajů NKÚ uvádí, že </w:t>
      </w:r>
      <w:r w:rsidR="0024102A" w:rsidRPr="00F8635D">
        <w:t>MV zadalo</w:t>
      </w:r>
      <w:r w:rsidR="0024102A" w:rsidRPr="0024102A">
        <w:t xml:space="preserve"> do</w:t>
      </w:r>
      <w:r w:rsidR="00512C31">
        <w:t xml:space="preserve"> </w:t>
      </w:r>
      <w:r w:rsidR="0024102A" w:rsidRPr="0024102A">
        <w:t xml:space="preserve">CRAB </w:t>
      </w:r>
      <w:r w:rsidR="00505C16">
        <w:t xml:space="preserve">výdaje </w:t>
      </w:r>
      <w:r w:rsidR="0024102A" w:rsidRPr="0024102A">
        <w:t xml:space="preserve">za rok 2015 pouze </w:t>
      </w:r>
      <w:r w:rsidR="00505C16">
        <w:t>za jedno čtvrtletí.</w:t>
      </w:r>
      <w:r w:rsidR="002C36B9">
        <w:t xml:space="preserve"> </w:t>
      </w:r>
      <w:r w:rsidR="00505C16">
        <w:t>T</w:t>
      </w:r>
      <w:r w:rsidR="0024102A" w:rsidRPr="0024102A">
        <w:t xml:space="preserve">ím způsobilo </w:t>
      </w:r>
      <w:r w:rsidR="002C36B9">
        <w:t xml:space="preserve">snížení </w:t>
      </w:r>
      <w:r w:rsidR="0024102A" w:rsidRPr="0024102A">
        <w:t xml:space="preserve">výdajů na správu objektů resortu MV evidovaných </w:t>
      </w:r>
      <w:r w:rsidR="00F65EF0" w:rsidRPr="0024102A">
        <w:t>v</w:t>
      </w:r>
      <w:r w:rsidR="00F65EF0">
        <w:t> </w:t>
      </w:r>
      <w:r w:rsidR="0024102A" w:rsidRPr="0024102A">
        <w:t>CRAB oproti údajům v REM za</w:t>
      </w:r>
      <w:r w:rsidR="00512C31">
        <w:t xml:space="preserve"> </w:t>
      </w:r>
      <w:r w:rsidR="0024102A" w:rsidRPr="0024102A">
        <w:t xml:space="preserve">rok 2015 o 525 mil. Kč </w:t>
      </w:r>
      <w:r w:rsidR="00407811">
        <w:t xml:space="preserve">(tj. o 67 %) </w:t>
      </w:r>
      <w:r w:rsidR="0024102A" w:rsidRPr="0024102A">
        <w:t xml:space="preserve">a </w:t>
      </w:r>
      <w:r w:rsidR="002C36B9">
        <w:t xml:space="preserve">snížení </w:t>
      </w:r>
      <w:r w:rsidR="0024102A" w:rsidRPr="0024102A">
        <w:t xml:space="preserve">příjmů </w:t>
      </w:r>
      <w:r w:rsidR="00887F10">
        <w:t xml:space="preserve">evidovaných v CRAB </w:t>
      </w:r>
      <w:r w:rsidR="0024102A" w:rsidRPr="0024102A">
        <w:t>za rok 2015 o 12 mil. Kč</w:t>
      </w:r>
      <w:r w:rsidR="00407811">
        <w:t xml:space="preserve"> (tj.</w:t>
      </w:r>
      <w:r w:rsidR="00431594">
        <w:t> </w:t>
      </w:r>
      <w:r w:rsidR="005E4212">
        <w:t>o </w:t>
      </w:r>
      <w:r w:rsidR="00407811">
        <w:t>86 %)</w:t>
      </w:r>
      <w:r w:rsidR="0024102A" w:rsidRPr="0024102A">
        <w:t>. MV dále neevidovalo v CRAB skutečné využití kancelářské plochy</w:t>
      </w:r>
      <w:r w:rsidR="0024102A">
        <w:t>.</w:t>
      </w:r>
      <w:r w:rsidR="0024102A" w:rsidRPr="0024102A">
        <w:t xml:space="preserve"> </w:t>
      </w:r>
    </w:p>
    <w:p w14:paraId="21105EB2" w14:textId="0CAFDDD0" w:rsidR="002D3449" w:rsidRDefault="002D3449" w:rsidP="00D65666">
      <w:pPr>
        <w:rPr>
          <w:rFonts w:cstheme="minorHAnsi"/>
        </w:rPr>
      </w:pPr>
      <w:r>
        <w:t xml:space="preserve">Z reportů CRAB nelze bez </w:t>
      </w:r>
      <w:r w:rsidRPr="00EF25C9">
        <w:t>využít</w:t>
      </w:r>
      <w:r>
        <w:t>í</w:t>
      </w:r>
      <w:r w:rsidRPr="00EF25C9">
        <w:t xml:space="preserve"> služeb dodavatele</w:t>
      </w:r>
      <w:r>
        <w:t xml:space="preserve"> získat všechny povinně zadávané údaje </w:t>
      </w:r>
      <w:r w:rsidR="00746FFD">
        <w:t>o </w:t>
      </w:r>
      <w:r>
        <w:t xml:space="preserve">objektech. </w:t>
      </w:r>
      <w:r>
        <w:rPr>
          <w:rFonts w:cstheme="minorHAnsi"/>
        </w:rPr>
        <w:t>V</w:t>
      </w:r>
      <w:r w:rsidRPr="0093338F">
        <w:rPr>
          <w:rFonts w:cstheme="minorHAnsi"/>
        </w:rPr>
        <w:t>zhledem k tomu, že do</w:t>
      </w:r>
      <w:r w:rsidR="00512C31">
        <w:rPr>
          <w:rFonts w:cstheme="minorHAnsi"/>
        </w:rPr>
        <w:t xml:space="preserve"> </w:t>
      </w:r>
      <w:r w:rsidRPr="0093338F">
        <w:rPr>
          <w:rFonts w:cstheme="minorHAnsi"/>
        </w:rPr>
        <w:t xml:space="preserve">jednotlivých reportů </w:t>
      </w:r>
      <w:r>
        <w:rPr>
          <w:rFonts w:cstheme="minorHAnsi"/>
        </w:rPr>
        <w:t xml:space="preserve">vstupují </w:t>
      </w:r>
      <w:r w:rsidRPr="0093338F">
        <w:rPr>
          <w:rFonts w:cstheme="minorHAnsi"/>
        </w:rPr>
        <w:t xml:space="preserve">odlišně vymezená data, nelze </w:t>
      </w:r>
      <w:r>
        <w:rPr>
          <w:rFonts w:cstheme="minorHAnsi"/>
        </w:rPr>
        <w:t>v</w:t>
      </w:r>
      <w:r w:rsidRPr="0093338F">
        <w:rPr>
          <w:rFonts w:cstheme="minorHAnsi"/>
        </w:rPr>
        <w:t>zájemně porovnávat údaje získané z různých reportů</w:t>
      </w:r>
      <w:r>
        <w:rPr>
          <w:rFonts w:cstheme="minorHAnsi"/>
        </w:rPr>
        <w:t xml:space="preserve">. </w:t>
      </w:r>
      <w:r w:rsidR="00FB0182">
        <w:rPr>
          <w:rFonts w:cstheme="minorHAnsi"/>
        </w:rPr>
        <w:t>N</w:t>
      </w:r>
      <w:r w:rsidR="00FB0182" w:rsidRPr="00160F97">
        <w:rPr>
          <w:rFonts w:cstheme="minorHAnsi"/>
        </w:rPr>
        <w:t xml:space="preserve">KÚ zjistil nesoulad </w:t>
      </w:r>
      <w:r w:rsidR="00FB0182">
        <w:rPr>
          <w:rFonts w:cstheme="minorHAnsi"/>
        </w:rPr>
        <w:t>i</w:t>
      </w:r>
      <w:r w:rsidR="00FB0182" w:rsidRPr="00160F97">
        <w:rPr>
          <w:rFonts w:cstheme="minorHAnsi"/>
        </w:rPr>
        <w:t xml:space="preserve"> mezi reporty, u nichž byla stejná datová základna.</w:t>
      </w:r>
      <w:r w:rsidR="00FB0182">
        <w:rPr>
          <w:rFonts w:cstheme="minorHAnsi"/>
        </w:rPr>
        <w:t xml:space="preserve"> </w:t>
      </w:r>
      <w:r>
        <w:rPr>
          <w:rFonts w:cstheme="minorHAnsi"/>
        </w:rPr>
        <w:t xml:space="preserve">Ukazatele výkonnosti </w:t>
      </w:r>
      <w:r w:rsidR="00505C16">
        <w:rPr>
          <w:rFonts w:cstheme="minorHAnsi"/>
        </w:rPr>
        <w:t xml:space="preserve">bylo možné </w:t>
      </w:r>
      <w:r>
        <w:rPr>
          <w:rFonts w:cstheme="minorHAnsi"/>
        </w:rPr>
        <w:t>získat z </w:t>
      </w:r>
      <w:r w:rsidR="00520A9A">
        <w:rPr>
          <w:rFonts w:cstheme="minorHAnsi"/>
        </w:rPr>
        <w:t>před</w:t>
      </w:r>
      <w:r>
        <w:rPr>
          <w:rFonts w:cstheme="minorHAnsi"/>
        </w:rPr>
        <w:t>definovaných reportů</w:t>
      </w:r>
      <w:r w:rsidR="000F56BB">
        <w:rPr>
          <w:rFonts w:cstheme="minorHAnsi"/>
        </w:rPr>
        <w:t>, ale</w:t>
      </w:r>
      <w:r w:rsidR="00A225DC">
        <w:rPr>
          <w:rFonts w:cstheme="minorHAnsi"/>
        </w:rPr>
        <w:t xml:space="preserve"> </w:t>
      </w:r>
      <w:r w:rsidR="00505C16">
        <w:rPr>
          <w:rFonts w:cstheme="minorHAnsi"/>
        </w:rPr>
        <w:t xml:space="preserve">nebylo </w:t>
      </w:r>
      <w:r>
        <w:rPr>
          <w:rFonts w:cstheme="minorHAnsi"/>
        </w:rPr>
        <w:t>možné</w:t>
      </w:r>
      <w:r w:rsidR="00577505">
        <w:rPr>
          <w:rFonts w:cstheme="minorHAnsi"/>
        </w:rPr>
        <w:t xml:space="preserve"> </w:t>
      </w:r>
      <w:r w:rsidR="000F56BB">
        <w:rPr>
          <w:rFonts w:cstheme="minorHAnsi"/>
        </w:rPr>
        <w:t xml:space="preserve">tyto </w:t>
      </w:r>
      <w:r w:rsidR="00577505">
        <w:rPr>
          <w:rFonts w:cstheme="minorHAnsi"/>
        </w:rPr>
        <w:t>ukazatele</w:t>
      </w:r>
      <w:r>
        <w:rPr>
          <w:rFonts w:cstheme="minorHAnsi"/>
        </w:rPr>
        <w:t xml:space="preserve"> propojit s dalšími údaji o objektu, </w:t>
      </w:r>
      <w:r w:rsidR="00520A9A">
        <w:rPr>
          <w:rFonts w:cstheme="minorHAnsi"/>
        </w:rPr>
        <w:t>které jsou relevatní pro celkové posouzení efektivnosti provozu daného objektu</w:t>
      </w:r>
      <w:r w:rsidR="00D463D8">
        <w:rPr>
          <w:rFonts w:cstheme="minorHAnsi"/>
        </w:rPr>
        <w:t>,</w:t>
      </w:r>
      <w:r w:rsidR="00FB0182">
        <w:rPr>
          <w:rFonts w:cstheme="minorHAnsi"/>
        </w:rPr>
        <w:t xml:space="preserve"> </w:t>
      </w:r>
      <w:r w:rsidR="00D463D8">
        <w:rPr>
          <w:rFonts w:cstheme="minorHAnsi"/>
        </w:rPr>
        <w:t>například stavebně technickým stavem objektu</w:t>
      </w:r>
      <w:r w:rsidR="00D463D8" w:rsidRPr="007758E4">
        <w:rPr>
          <w:rFonts w:cstheme="minorHAnsi"/>
        </w:rPr>
        <w:t xml:space="preserve">. </w:t>
      </w:r>
      <w:r w:rsidR="00D463D8" w:rsidRPr="00FC5B42">
        <w:rPr>
          <w:rFonts w:cstheme="minorHAnsi"/>
        </w:rPr>
        <w:t>Takové nastavení repor</w:t>
      </w:r>
      <w:r w:rsidR="007758E4" w:rsidRPr="00330BDC">
        <w:rPr>
          <w:rFonts w:cstheme="minorHAnsi"/>
        </w:rPr>
        <w:t>tů CRAB limituje využití údajů evidovaných v</w:t>
      </w:r>
      <w:r w:rsidR="00D463D8" w:rsidRPr="007758E4">
        <w:rPr>
          <w:rFonts w:cstheme="minorHAnsi"/>
        </w:rPr>
        <w:t> </w:t>
      </w:r>
      <w:r w:rsidR="00D463D8" w:rsidRPr="00FC5B42">
        <w:rPr>
          <w:rFonts w:cstheme="minorHAnsi"/>
        </w:rPr>
        <w:t>CRAB.</w:t>
      </w:r>
    </w:p>
    <w:p w14:paraId="443AD48B" w14:textId="4CFF302A" w:rsidR="00101D7B" w:rsidRPr="0024102A" w:rsidRDefault="00D463D8" w:rsidP="00D65666">
      <w:r>
        <w:t xml:space="preserve">I přes výše uvedená zjištění </w:t>
      </w:r>
      <w:r w:rsidR="00101D7B" w:rsidRPr="00414BAA">
        <w:t>ÚZSVM považ</w:t>
      </w:r>
      <w:r>
        <w:t xml:space="preserve">ovalo </w:t>
      </w:r>
      <w:r w:rsidR="00101D7B">
        <w:t>kvalitu dat</w:t>
      </w:r>
      <w:r w:rsidR="00101D7B" w:rsidRPr="00414BAA">
        <w:t xml:space="preserve"> </w:t>
      </w:r>
      <w:r w:rsidR="00101D7B">
        <w:t>pro svoji činnost za dostatečnou</w:t>
      </w:r>
      <w:r>
        <w:t xml:space="preserve">, což dokumentovalo tím, že </w:t>
      </w:r>
      <w:r w:rsidR="00101D7B" w:rsidRPr="00414BAA">
        <w:t xml:space="preserve">využívá </w:t>
      </w:r>
      <w:r w:rsidR="00101D7B">
        <w:t xml:space="preserve">údaje z CRAB </w:t>
      </w:r>
      <w:r w:rsidR="00101D7B" w:rsidRPr="00414BAA">
        <w:t>p</w:t>
      </w:r>
      <w:r w:rsidR="00101D7B">
        <w:t>ro</w:t>
      </w:r>
      <w:r w:rsidR="00101D7B" w:rsidRPr="00414BAA">
        <w:t xml:space="preserve"> upozorňování </w:t>
      </w:r>
      <w:r w:rsidR="00101D7B">
        <w:t xml:space="preserve">státních institucí </w:t>
      </w:r>
      <w:r w:rsidR="00101D7B" w:rsidRPr="00414BAA">
        <w:t>na</w:t>
      </w:r>
      <w:r w:rsidR="00512C31">
        <w:t xml:space="preserve"> </w:t>
      </w:r>
      <w:r w:rsidR="00101D7B" w:rsidRPr="00414BAA">
        <w:t>nadprůměrné hodnoty</w:t>
      </w:r>
      <w:r w:rsidR="00101D7B">
        <w:t xml:space="preserve"> sledovaných ukazatelů výkonnosti</w:t>
      </w:r>
      <w:r w:rsidR="00101D7B" w:rsidRPr="00414BAA">
        <w:t>, pro výpočet úspor peněžních prostředků vynakládaných na</w:t>
      </w:r>
      <w:r w:rsidR="00512C31">
        <w:t xml:space="preserve"> </w:t>
      </w:r>
      <w:r w:rsidR="00101D7B" w:rsidRPr="00414BAA">
        <w:t>správu nemovitého majetku, k</w:t>
      </w:r>
      <w:r w:rsidR="00101D7B">
        <w:t> </w:t>
      </w:r>
      <w:r w:rsidR="00101D7B" w:rsidRPr="00414BAA">
        <w:t>přípravě podkladů pro VDK a RDK vztahujících se k dislokacím atd.</w:t>
      </w:r>
    </w:p>
    <w:p w14:paraId="088E037D" w14:textId="74E79FF5" w:rsidR="001A651D" w:rsidRPr="005C30C9" w:rsidRDefault="00FB0182" w:rsidP="002324A0">
      <w:pPr>
        <w:pStyle w:val="Nadpis3"/>
        <w:tabs>
          <w:tab w:val="clear" w:pos="425"/>
          <w:tab w:val="clear" w:pos="567"/>
        </w:tabs>
        <w:ind w:left="284" w:hanging="284"/>
        <w:jc w:val="left"/>
      </w:pPr>
      <w:r>
        <w:lastRenderedPageBreak/>
        <w:t>ÚZSVM vynaložil</w:t>
      </w:r>
      <w:r w:rsidR="00520A9A">
        <w:t xml:space="preserve"> přes půl miliardy</w:t>
      </w:r>
      <w:r w:rsidR="00512C31">
        <w:t xml:space="preserve"> korun</w:t>
      </w:r>
      <w:r w:rsidR="005C30C9" w:rsidRPr="005C30C9">
        <w:t xml:space="preserve"> na</w:t>
      </w:r>
      <w:r w:rsidR="00512C31">
        <w:t xml:space="preserve"> </w:t>
      </w:r>
      <w:r w:rsidR="00764B5B">
        <w:t>vývoj a provoz</w:t>
      </w:r>
      <w:r w:rsidR="005C30C9" w:rsidRPr="005C30C9">
        <w:t xml:space="preserve"> CRAB</w:t>
      </w:r>
      <w:r w:rsidR="00EB3A13">
        <w:t xml:space="preserve">, ale stanovených cílů </w:t>
      </w:r>
      <w:r w:rsidR="00F7658B">
        <w:t xml:space="preserve">nebylo </w:t>
      </w:r>
      <w:r w:rsidR="00D463D8">
        <w:t xml:space="preserve">prostřednictvím CRAB </w:t>
      </w:r>
      <w:r w:rsidR="00EB3A13">
        <w:t>dosaženo</w:t>
      </w:r>
    </w:p>
    <w:p w14:paraId="031B0B6C" w14:textId="7905FA6F" w:rsidR="001962D3" w:rsidRDefault="00440D00" w:rsidP="002175E4">
      <w:r>
        <w:t xml:space="preserve">ÚZSVM vynaložil </w:t>
      </w:r>
      <w:r w:rsidRPr="00F3052F">
        <w:t xml:space="preserve">na CRAB </w:t>
      </w:r>
      <w:r>
        <w:t>v období 2010–</w:t>
      </w:r>
      <w:r w:rsidRPr="00F3052F">
        <w:t>2016 včetně za</w:t>
      </w:r>
      <w:r>
        <w:t>jištění rozvoje a provozu CRAB v</w:t>
      </w:r>
      <w:r w:rsidR="00791FB1">
        <w:t> </w:t>
      </w:r>
      <w:r>
        <w:t>letech 2012</w:t>
      </w:r>
      <w:r w:rsidRPr="00F3052F">
        <w:t>–2016</w:t>
      </w:r>
      <w:r>
        <w:t xml:space="preserve"> </w:t>
      </w:r>
      <w:r w:rsidR="00765D1D">
        <w:t xml:space="preserve">nejméně </w:t>
      </w:r>
      <w:r w:rsidR="008B4837">
        <w:t>554</w:t>
      </w:r>
      <w:r>
        <w:t> </w:t>
      </w:r>
      <w:r w:rsidRPr="00F3052F">
        <w:t>mil.</w:t>
      </w:r>
      <w:r>
        <w:t> </w:t>
      </w:r>
      <w:r w:rsidRPr="00F3052F">
        <w:t>Kč</w:t>
      </w:r>
      <w:r>
        <w:t xml:space="preserve">. </w:t>
      </w:r>
      <w:r w:rsidR="00BE59C5">
        <w:t>Všech s</w:t>
      </w:r>
      <w:r w:rsidR="006570CF">
        <w:t xml:space="preserve">tanovených cílů projektu </w:t>
      </w:r>
      <w:r w:rsidR="006570CF" w:rsidRPr="00A97678">
        <w:rPr>
          <w:i/>
          <w:lang w:eastAsia="cs-CZ"/>
        </w:rPr>
        <w:t>Úprava Informačního systému majetku státu jako zvláštní grafické datové vrstvy nad R</w:t>
      </w:r>
      <w:r w:rsidR="006570CF">
        <w:rPr>
          <w:i/>
          <w:lang w:eastAsia="cs-CZ"/>
        </w:rPr>
        <w:t>Ú</w:t>
      </w:r>
      <w:r w:rsidR="006570CF" w:rsidRPr="00A97678">
        <w:rPr>
          <w:i/>
          <w:lang w:eastAsia="cs-CZ"/>
        </w:rPr>
        <w:t>IAN</w:t>
      </w:r>
      <w:r w:rsidR="006570CF">
        <w:rPr>
          <w:i/>
          <w:lang w:eastAsia="cs-CZ"/>
        </w:rPr>
        <w:t xml:space="preserve"> </w:t>
      </w:r>
      <w:r w:rsidR="006570CF" w:rsidRPr="009C78F4">
        <w:rPr>
          <w:lang w:eastAsia="cs-CZ"/>
        </w:rPr>
        <w:t xml:space="preserve">(dále také </w:t>
      </w:r>
      <w:r w:rsidR="006570CF">
        <w:rPr>
          <w:lang w:eastAsia="cs-CZ"/>
        </w:rPr>
        <w:t>„</w:t>
      </w:r>
      <w:r w:rsidR="006570CF" w:rsidRPr="009C78F4">
        <w:rPr>
          <w:lang w:eastAsia="cs-CZ"/>
        </w:rPr>
        <w:t>projekt CRAB</w:t>
      </w:r>
      <w:r w:rsidR="006570CF">
        <w:rPr>
          <w:lang w:eastAsia="cs-CZ"/>
        </w:rPr>
        <w:t>“</w:t>
      </w:r>
      <w:r w:rsidR="006570CF" w:rsidRPr="009C78F4">
        <w:rPr>
          <w:lang w:eastAsia="cs-CZ"/>
        </w:rPr>
        <w:t>)</w:t>
      </w:r>
      <w:r w:rsidR="006570CF">
        <w:t xml:space="preserve"> nebylo dosaženo, </w:t>
      </w:r>
      <w:r w:rsidR="00BE59C5">
        <w:t>zejména</w:t>
      </w:r>
      <w:r w:rsidR="00D463D8">
        <w:t xml:space="preserve"> cíle zpřístupnění kompletních informací o</w:t>
      </w:r>
      <w:r w:rsidR="00D53825">
        <w:t> </w:t>
      </w:r>
      <w:r w:rsidR="00D463D8">
        <w:t>majetku na</w:t>
      </w:r>
      <w:r w:rsidR="00512C31">
        <w:t xml:space="preserve"> </w:t>
      </w:r>
      <w:r w:rsidR="00D463D8">
        <w:t xml:space="preserve">jednom místě. </w:t>
      </w:r>
      <w:r w:rsidR="0053756C">
        <w:t>V</w:t>
      </w:r>
      <w:r w:rsidR="005C30C9">
        <w:t xml:space="preserve">ymezením obsahu </w:t>
      </w:r>
      <w:r w:rsidR="005C30C9" w:rsidRPr="002E3240">
        <w:t xml:space="preserve">CRAB </w:t>
      </w:r>
      <w:r w:rsidR="0053756C" w:rsidRPr="002E3240">
        <w:t xml:space="preserve">byl </w:t>
      </w:r>
      <w:r w:rsidR="00B16441" w:rsidRPr="002E3240">
        <w:t>zaji</w:t>
      </w:r>
      <w:r w:rsidR="0053756C" w:rsidRPr="002E3240">
        <w:t>štěn</w:t>
      </w:r>
      <w:r w:rsidR="005C30C9" w:rsidRPr="002E3240">
        <w:t xml:space="preserve"> </w:t>
      </w:r>
      <w:r w:rsidR="00B16441" w:rsidRPr="002E3240">
        <w:t xml:space="preserve">přehled o správě pouze </w:t>
      </w:r>
      <w:r w:rsidR="005C30C9" w:rsidRPr="002E3240">
        <w:t>6</w:t>
      </w:r>
      <w:r w:rsidR="00B16441" w:rsidRPr="00DA1B11">
        <w:t> </w:t>
      </w:r>
      <w:r w:rsidR="00B16441" w:rsidRPr="002E3240">
        <w:t xml:space="preserve">% </w:t>
      </w:r>
      <w:r w:rsidR="005C30C9" w:rsidRPr="002E3240">
        <w:t>objektů</w:t>
      </w:r>
      <w:r w:rsidR="00B16441" w:rsidRPr="002E3240">
        <w:t xml:space="preserve"> v</w:t>
      </w:r>
      <w:r w:rsidR="00423E9D" w:rsidRPr="002E3240">
        <w:t xml:space="preserve"> majetku</w:t>
      </w:r>
      <w:r w:rsidR="00B16441" w:rsidRPr="002E3240">
        <w:t xml:space="preserve"> státu</w:t>
      </w:r>
      <w:r w:rsidR="00577505" w:rsidRPr="002E3240">
        <w:t xml:space="preserve"> v roce 2015</w:t>
      </w:r>
      <w:r w:rsidR="0053756C" w:rsidRPr="002E3240">
        <w:rPr>
          <w:rStyle w:val="Znakapoznpodarou"/>
        </w:rPr>
        <w:footnoteReference w:id="21"/>
      </w:r>
      <w:r w:rsidR="00B16441" w:rsidRPr="002E3240">
        <w:t>.</w:t>
      </w:r>
      <w:r w:rsidR="001A651D" w:rsidRPr="002E3240">
        <w:t xml:space="preserve"> MV v roce 2016 rozhodlo o vy</w:t>
      </w:r>
      <w:r w:rsidR="004E5E88" w:rsidRPr="002E3240">
        <w:t>jmutí</w:t>
      </w:r>
      <w:r w:rsidR="001A651D" w:rsidRPr="002E3240">
        <w:t xml:space="preserve"> </w:t>
      </w:r>
      <w:r w:rsidR="00BE59C5">
        <w:t>urč</w:t>
      </w:r>
      <w:r w:rsidR="005C3C0C">
        <w:t>itého</w:t>
      </w:r>
      <w:r w:rsidR="00E23CAB">
        <w:rPr>
          <w:rStyle w:val="Znakapoznpodarou"/>
        </w:rPr>
        <w:footnoteReference w:id="22"/>
      </w:r>
      <w:r w:rsidR="005C3C0C">
        <w:t xml:space="preserve"> </w:t>
      </w:r>
      <w:r w:rsidR="00BE59C5">
        <w:t xml:space="preserve">majetku, který tvořil většinu </w:t>
      </w:r>
      <w:r w:rsidR="001A651D" w:rsidRPr="002E3240">
        <w:t>objektů resortu MV z</w:t>
      </w:r>
      <w:r w:rsidR="00D41C40" w:rsidRPr="002E3240">
        <w:t> </w:t>
      </w:r>
      <w:r w:rsidR="001A651D" w:rsidRPr="002E3240">
        <w:t>CRAB</w:t>
      </w:r>
      <w:r w:rsidR="00D41C40" w:rsidRPr="002E3240">
        <w:t>, čímž se přehled ještě zúžil</w:t>
      </w:r>
      <w:r w:rsidR="001A651D" w:rsidRPr="002E3240">
        <w:t xml:space="preserve">. </w:t>
      </w:r>
      <w:r w:rsidR="00EC608C" w:rsidRPr="002E3240">
        <w:t>ÚZSVM</w:t>
      </w:r>
      <w:r w:rsidR="005409A6">
        <w:t xml:space="preserve">, VDK, RDK ani </w:t>
      </w:r>
      <w:r w:rsidR="00512C31">
        <w:t>v</w:t>
      </w:r>
      <w:r w:rsidR="005409A6">
        <w:t>láda ČR</w:t>
      </w:r>
      <w:r w:rsidR="00EC608C" w:rsidRPr="00EC608C">
        <w:t xml:space="preserve"> </w:t>
      </w:r>
      <w:r w:rsidR="005C30C9">
        <w:t xml:space="preserve">tak </w:t>
      </w:r>
      <w:r w:rsidR="00512C31">
        <w:t>nemají</w:t>
      </w:r>
      <w:r w:rsidR="00EC608C" w:rsidRPr="00EC608C">
        <w:t xml:space="preserve"> centralizovaný přehled o</w:t>
      </w:r>
      <w:r w:rsidR="00D41C40">
        <w:t> </w:t>
      </w:r>
      <w:r w:rsidR="00EC608C" w:rsidRPr="00EC608C">
        <w:t>veškerém využívaném nemovitém majetku</w:t>
      </w:r>
      <w:r w:rsidR="001962D3">
        <w:t>, ačkoli provoz CRAB stojí každoročně přes 70 mil. Kč a přepočtené roční provozní výdaje na evidenci jednoho objektu v CRAB v roce 2016 byly 27 ti</w:t>
      </w:r>
      <w:r w:rsidR="00EB3A13">
        <w:t>s. Kč.</w:t>
      </w:r>
    </w:p>
    <w:p w14:paraId="2C30B6D5" w14:textId="24E9DF3C" w:rsidR="000D150C" w:rsidRDefault="002175E4" w:rsidP="0024102A">
      <w:r>
        <w:t>CRAB rovněž nepodává spolehlivé výstup</w:t>
      </w:r>
      <w:r w:rsidR="00897116">
        <w:t>y</w:t>
      </w:r>
      <w:r>
        <w:t>, na</w:t>
      </w:r>
      <w:r w:rsidR="002C3981">
        <w:t xml:space="preserve"> </w:t>
      </w:r>
      <w:r>
        <w:t>jejichž základě by mohly příslušné poradní orgány vlády a státní instituce</w:t>
      </w:r>
      <w:r w:rsidR="00711B89" w:rsidRPr="00FD1EC9">
        <w:rPr>
          <w:rFonts w:ascii="Calibri" w:eastAsia="Times New Roman" w:hAnsi="Calibri" w:cs="Times New Roman"/>
          <w:szCs w:val="24"/>
          <w:vertAlign w:val="superscript"/>
        </w:rPr>
        <w:t>3</w:t>
      </w:r>
      <w:r>
        <w:t xml:space="preserve"> optimalizovat využití nemovitého majetku v rámci redislokací a snižovat náklady na jejich správu</w:t>
      </w:r>
      <w:r w:rsidR="005D3DEB">
        <w:t>.</w:t>
      </w:r>
      <w:r w:rsidRPr="002175E4">
        <w:t xml:space="preserve"> </w:t>
      </w:r>
      <w:r w:rsidR="00DC24D8">
        <w:t xml:space="preserve">NKÚ </w:t>
      </w:r>
      <w:r w:rsidR="00155474">
        <w:t>konstatuje</w:t>
      </w:r>
      <w:r w:rsidR="00DC24D8">
        <w:t>, že na základě údajů z CRAB nelze posoudit, zda dochází ke snižování nákladů na</w:t>
      </w:r>
      <w:r w:rsidR="0043341F">
        <w:t xml:space="preserve"> </w:t>
      </w:r>
      <w:r w:rsidR="00DC24D8">
        <w:t>správu a nájem majetku.</w:t>
      </w:r>
      <w:r w:rsidR="001962D3">
        <w:t xml:space="preserve"> </w:t>
      </w:r>
      <w:r w:rsidR="000D150C" w:rsidRPr="000D150C">
        <w:t xml:space="preserve">ÚZSVM </w:t>
      </w:r>
      <w:r w:rsidR="0075306A">
        <w:t>deklaroval</w:t>
      </w:r>
      <w:r w:rsidR="0075306A" w:rsidRPr="000D150C">
        <w:t xml:space="preserve"> </w:t>
      </w:r>
      <w:r w:rsidR="000D150C" w:rsidRPr="000D150C">
        <w:t>úspory</w:t>
      </w:r>
      <w:r w:rsidR="005D3DEB">
        <w:t xml:space="preserve"> </w:t>
      </w:r>
      <w:r w:rsidR="00577505">
        <w:t>za období 2014</w:t>
      </w:r>
      <w:r w:rsidR="007C5998">
        <w:t>–</w:t>
      </w:r>
      <w:r w:rsidR="00577505">
        <w:t xml:space="preserve">2016 </w:t>
      </w:r>
      <w:r w:rsidR="000D150C" w:rsidRPr="000D150C">
        <w:t xml:space="preserve">ve </w:t>
      </w:r>
      <w:r w:rsidR="00F810B2">
        <w:t>výdajích na správu</w:t>
      </w:r>
      <w:r w:rsidR="000D150C" w:rsidRPr="000D150C">
        <w:t xml:space="preserve"> nemovitého majetku ve výši </w:t>
      </w:r>
      <w:r w:rsidR="00F810B2">
        <w:t>525</w:t>
      </w:r>
      <w:r w:rsidR="000D150C" w:rsidRPr="000D150C">
        <w:t xml:space="preserve"> mil. Kč</w:t>
      </w:r>
      <w:r w:rsidR="005D3DEB">
        <w:t xml:space="preserve">. </w:t>
      </w:r>
      <w:r w:rsidR="0075306A">
        <w:t>Těchto ú</w:t>
      </w:r>
      <w:r w:rsidR="005D3DEB">
        <w:t xml:space="preserve">spor </w:t>
      </w:r>
      <w:r w:rsidR="000D150C" w:rsidRPr="000D150C">
        <w:t>mělo být dosaženo prostřednictvím CRAB a</w:t>
      </w:r>
      <w:r w:rsidR="00654270">
        <w:t> </w:t>
      </w:r>
      <w:r w:rsidR="000D150C" w:rsidRPr="000D150C">
        <w:t>činnost</w:t>
      </w:r>
      <w:r w:rsidR="0043341F">
        <w:t>í</w:t>
      </w:r>
      <w:r w:rsidR="000D150C" w:rsidRPr="000D150C">
        <w:t xml:space="preserve"> ÚZSVM. </w:t>
      </w:r>
      <w:r w:rsidR="001A651D" w:rsidRPr="0030001B">
        <w:t>N</w:t>
      </w:r>
      <w:r w:rsidR="001A651D">
        <w:t xml:space="preserve">KÚ </w:t>
      </w:r>
      <w:r w:rsidR="0075306A">
        <w:t xml:space="preserve">však </w:t>
      </w:r>
      <w:r w:rsidR="001A651D">
        <w:t xml:space="preserve">zjistil, že </w:t>
      </w:r>
      <w:r w:rsidR="0075306A">
        <w:t>v důsledku zadání</w:t>
      </w:r>
      <w:r w:rsidR="0043341F">
        <w:t xml:space="preserve"> </w:t>
      </w:r>
      <w:r w:rsidR="0075306A">
        <w:t xml:space="preserve">chybných údajů MV do CRAB a dalším nesrovnalostem ve </w:t>
      </w:r>
      <w:r w:rsidR="00765D1D">
        <w:t xml:space="preserve">způsobu </w:t>
      </w:r>
      <w:r w:rsidR="0075306A" w:rsidRPr="00A525E1">
        <w:t>výpočtu úspor z</w:t>
      </w:r>
      <w:r w:rsidR="008370BB">
        <w:t> </w:t>
      </w:r>
      <w:r w:rsidR="0075306A" w:rsidRPr="00A525E1">
        <w:t>redislokací státních institucí</w:t>
      </w:r>
      <w:r w:rsidR="0075306A">
        <w:t xml:space="preserve"> </w:t>
      </w:r>
      <w:r w:rsidR="00C52865">
        <w:t>úspory deklarované ÚZSVM ve skutečnosti realizovány nebyly</w:t>
      </w:r>
      <w:r w:rsidR="0075306A">
        <w:t>.</w:t>
      </w:r>
      <w:r w:rsidR="00C52865">
        <w:t xml:space="preserve"> </w:t>
      </w:r>
    </w:p>
    <w:p w14:paraId="7AB8D515" w14:textId="3B25D731" w:rsidR="001962D3" w:rsidRPr="005C30C9" w:rsidRDefault="00E62C40" w:rsidP="001962D3">
      <w:r>
        <w:rPr>
          <w:rFonts w:cstheme="minorHAnsi"/>
          <w:color w:val="000000"/>
        </w:rPr>
        <w:t>Rada vlády pro informační společnost</w:t>
      </w:r>
      <w:r>
        <w:rPr>
          <w:rStyle w:val="Znakapoznpodarou"/>
          <w:rFonts w:cstheme="minorHAnsi"/>
          <w:color w:val="000000"/>
        </w:rPr>
        <w:footnoteReference w:id="23"/>
      </w:r>
      <w:r>
        <w:rPr>
          <w:rFonts w:cstheme="minorHAnsi"/>
          <w:color w:val="000000"/>
        </w:rPr>
        <w:t xml:space="preserve"> požadovala po ÚZSVM snížení závislosti na jednom dodavateli informačních systémů. </w:t>
      </w:r>
      <w:r w:rsidR="001962D3" w:rsidRPr="004D5270">
        <w:rPr>
          <w:rFonts w:cstheme="minorHAnsi"/>
          <w:color w:val="000000"/>
        </w:rPr>
        <w:t>ÚZSVM</w:t>
      </w:r>
      <w:r w:rsidR="001962D3" w:rsidRPr="00591725">
        <w:rPr>
          <w:rFonts w:cstheme="minorHAnsi"/>
          <w:color w:val="000000"/>
        </w:rPr>
        <w:t xml:space="preserve"> </w:t>
      </w:r>
      <w:r>
        <w:rPr>
          <w:rFonts w:cstheme="minorHAnsi"/>
          <w:color w:val="000000"/>
        </w:rPr>
        <w:t xml:space="preserve">tak </w:t>
      </w:r>
      <w:r w:rsidR="001962D3">
        <w:rPr>
          <w:rFonts w:cstheme="minorHAnsi"/>
          <w:color w:val="000000"/>
        </w:rPr>
        <w:t xml:space="preserve">v době kontroly připravoval podklady pro rozhodnutí o spuštění projektu vývoje </w:t>
      </w:r>
      <w:r w:rsidR="001962D3" w:rsidRPr="00FD578E">
        <w:rPr>
          <w:rFonts w:cstheme="minorHAnsi"/>
          <w:color w:val="000000"/>
        </w:rPr>
        <w:t>no</w:t>
      </w:r>
      <w:r w:rsidR="001962D3">
        <w:rPr>
          <w:rFonts w:cstheme="minorHAnsi"/>
          <w:color w:val="000000"/>
        </w:rPr>
        <w:t>vého</w:t>
      </w:r>
      <w:r w:rsidR="001962D3" w:rsidRPr="00FD578E">
        <w:rPr>
          <w:rFonts w:cstheme="minorHAnsi"/>
          <w:color w:val="000000"/>
        </w:rPr>
        <w:t xml:space="preserve"> informační</w:t>
      </w:r>
      <w:r w:rsidR="001962D3">
        <w:rPr>
          <w:rFonts w:cstheme="minorHAnsi"/>
          <w:color w:val="000000"/>
        </w:rPr>
        <w:t>ho</w:t>
      </w:r>
      <w:r w:rsidR="001962D3" w:rsidRPr="00FD578E">
        <w:rPr>
          <w:rFonts w:cstheme="minorHAnsi"/>
          <w:color w:val="000000"/>
        </w:rPr>
        <w:t xml:space="preserve"> systém</w:t>
      </w:r>
      <w:r w:rsidR="001962D3">
        <w:rPr>
          <w:rFonts w:cstheme="minorHAnsi"/>
          <w:color w:val="000000"/>
        </w:rPr>
        <w:t>u</w:t>
      </w:r>
      <w:r w:rsidR="001962D3" w:rsidRPr="00FD578E">
        <w:rPr>
          <w:rFonts w:cstheme="minorHAnsi"/>
          <w:color w:val="000000"/>
        </w:rPr>
        <w:t xml:space="preserve"> </w:t>
      </w:r>
      <w:r w:rsidR="001962D3">
        <w:rPr>
          <w:rFonts w:cstheme="minorHAnsi"/>
          <w:color w:val="000000"/>
        </w:rPr>
        <w:t>podporujícího agendu hospodaření s majetkem státu,</w:t>
      </w:r>
      <w:r w:rsidR="001962D3" w:rsidRPr="00F03654">
        <w:rPr>
          <w:rFonts w:cstheme="minorHAnsi"/>
          <w:color w:val="000000"/>
        </w:rPr>
        <w:t xml:space="preserve"> </w:t>
      </w:r>
      <w:r w:rsidR="001962D3" w:rsidRPr="00FD578E">
        <w:rPr>
          <w:rFonts w:cstheme="minorHAnsi"/>
          <w:color w:val="000000"/>
        </w:rPr>
        <w:t xml:space="preserve">který bude zahrnovat též funkcionality </w:t>
      </w:r>
      <w:r w:rsidR="001962D3">
        <w:rPr>
          <w:rFonts w:cstheme="minorHAnsi"/>
          <w:color w:val="000000"/>
        </w:rPr>
        <w:t xml:space="preserve">stávajícího </w:t>
      </w:r>
      <w:r w:rsidR="001962D3" w:rsidRPr="00FD578E">
        <w:rPr>
          <w:rFonts w:cstheme="minorHAnsi"/>
          <w:color w:val="000000"/>
        </w:rPr>
        <w:t>CRAB</w:t>
      </w:r>
      <w:r w:rsidR="001962D3">
        <w:rPr>
          <w:rFonts w:cstheme="minorHAnsi"/>
          <w:color w:val="000000"/>
        </w:rPr>
        <w:t>. NKÚ vyhodnotil ÚZSVM představený záměr slučování funkcionalit podporujících různé agendy do</w:t>
      </w:r>
      <w:r w:rsidR="0043341F">
        <w:rPr>
          <w:rFonts w:cstheme="minorHAnsi"/>
          <w:color w:val="000000"/>
        </w:rPr>
        <w:t xml:space="preserve"> </w:t>
      </w:r>
      <w:r w:rsidR="001962D3">
        <w:rPr>
          <w:rFonts w:cstheme="minorHAnsi"/>
          <w:color w:val="000000"/>
        </w:rPr>
        <w:t>jednoho informačního systému z hlediska hospodárnosti jako rizikový, neboť nesníží závislost ÚZSVM na jednom dodavateli.</w:t>
      </w:r>
      <w:r w:rsidR="001962D3" w:rsidRPr="00A225DC">
        <w:rPr>
          <w:rFonts w:cstheme="minorHAnsi"/>
          <w:color w:val="000000"/>
        </w:rPr>
        <w:t xml:space="preserve"> </w:t>
      </w:r>
    </w:p>
    <w:p w14:paraId="34A524F0" w14:textId="3E24B7B0" w:rsidR="0052516F" w:rsidRDefault="008D1FF2" w:rsidP="002324A0">
      <w:pPr>
        <w:pStyle w:val="Nadpis3"/>
        <w:tabs>
          <w:tab w:val="clear" w:pos="425"/>
          <w:tab w:val="clear" w:pos="567"/>
        </w:tabs>
        <w:ind w:left="284" w:hanging="284"/>
        <w:jc w:val="left"/>
      </w:pPr>
      <w:r>
        <w:lastRenderedPageBreak/>
        <w:t>MV peněžní prostředky vynakládané na správu nemovitého majetku nesledovalo a</w:t>
      </w:r>
      <w:r w:rsidR="00E5605F">
        <w:t> </w:t>
      </w:r>
      <w:r>
        <w:t>nevyhodnocovalo</w:t>
      </w:r>
    </w:p>
    <w:p w14:paraId="1514ED5B" w14:textId="36ED86E2" w:rsidR="008D1FF2" w:rsidRDefault="00B263B2" w:rsidP="00913350">
      <w:r>
        <w:t xml:space="preserve">Na správu </w:t>
      </w:r>
      <w:r w:rsidR="008E6343">
        <w:t xml:space="preserve">zhruba </w:t>
      </w:r>
      <w:r w:rsidR="00B374EF">
        <w:t xml:space="preserve">jednoho </w:t>
      </w:r>
      <w:r w:rsidR="008E6343">
        <w:t>tisíce</w:t>
      </w:r>
      <w:r>
        <w:t xml:space="preserve"> administrativních budov MV vyna</w:t>
      </w:r>
      <w:r w:rsidR="008E6343">
        <w:t>kládalo ročně přibližně</w:t>
      </w:r>
      <w:r>
        <w:t xml:space="preserve"> 0,7</w:t>
      </w:r>
      <w:r w:rsidR="00FC5B42">
        <w:t> </w:t>
      </w:r>
      <w:r>
        <w:t xml:space="preserve">mld. Kč. </w:t>
      </w:r>
      <w:r w:rsidR="00734294">
        <w:t>Cíle v oblasti správy nemovitého majetku MV ve svém resortu</w:t>
      </w:r>
      <w:r w:rsidR="007D78C0" w:rsidRPr="007D78C0">
        <w:t xml:space="preserve"> </w:t>
      </w:r>
      <w:r w:rsidR="007D78C0">
        <w:t>nenastavilo</w:t>
      </w:r>
      <w:r w:rsidR="00887F10">
        <w:rPr>
          <w:rStyle w:val="Znakapoznpodarou"/>
        </w:rPr>
        <w:footnoteReference w:id="24"/>
      </w:r>
      <w:r w:rsidR="00734294">
        <w:t xml:space="preserve">. </w:t>
      </w:r>
      <w:r w:rsidR="008D1FF2">
        <w:rPr>
          <w:lang w:eastAsia="cs-CZ"/>
        </w:rPr>
        <w:t>Pro</w:t>
      </w:r>
      <w:r w:rsidR="00A85AC9">
        <w:rPr>
          <w:lang w:eastAsia="cs-CZ"/>
        </w:rPr>
        <w:t xml:space="preserve"> </w:t>
      </w:r>
      <w:r w:rsidR="008D1FF2" w:rsidRPr="003B10B4">
        <w:rPr>
          <w:rFonts w:cs="Arial"/>
          <w:bCs/>
        </w:rPr>
        <w:t>sledování specifických informací o</w:t>
      </w:r>
      <w:r w:rsidR="008D1FF2">
        <w:rPr>
          <w:rFonts w:cs="Arial"/>
          <w:bCs/>
        </w:rPr>
        <w:t> nemovitém</w:t>
      </w:r>
      <w:r w:rsidR="008D1FF2" w:rsidRPr="003B10B4">
        <w:rPr>
          <w:rFonts w:cs="Arial"/>
          <w:bCs/>
        </w:rPr>
        <w:t xml:space="preserve"> majetku</w:t>
      </w:r>
      <w:r w:rsidR="008D1FF2">
        <w:t xml:space="preserve"> MV </w:t>
      </w:r>
      <w:r w:rsidR="00E27BD9">
        <w:t>implementovalo</w:t>
      </w:r>
      <w:r w:rsidR="00B374EF">
        <w:t xml:space="preserve"> informační systém</w:t>
      </w:r>
      <w:r w:rsidR="00E27BD9">
        <w:t xml:space="preserve"> </w:t>
      </w:r>
      <w:r w:rsidR="008D1FF2">
        <w:t xml:space="preserve">REM, který však </w:t>
      </w:r>
      <w:r w:rsidR="00591725">
        <w:t xml:space="preserve">neobsahoval informace o umístění </w:t>
      </w:r>
      <w:r w:rsidR="00E62C40">
        <w:t xml:space="preserve">jednotlivých </w:t>
      </w:r>
      <w:r w:rsidR="00591725">
        <w:t xml:space="preserve">zaměstnanců v objektech, a tím ani o míře využití objektů, přestože to byl jeden z jeho cílů. </w:t>
      </w:r>
      <w:r w:rsidR="00591725">
        <w:rPr>
          <w:rFonts w:ascii="Calibri" w:eastAsia="Times New Roman" w:hAnsi="Calibri" w:cs="Times New Roman"/>
          <w:szCs w:val="24"/>
        </w:rPr>
        <w:t>Obdobně jako v</w:t>
      </w:r>
      <w:r w:rsidR="00B6004E">
        <w:rPr>
          <w:rFonts w:ascii="Calibri" w:eastAsia="Times New Roman" w:hAnsi="Calibri" w:cs="Times New Roman"/>
          <w:szCs w:val="24"/>
        </w:rPr>
        <w:t xml:space="preserve">e výstupech </w:t>
      </w:r>
      <w:r w:rsidR="00F65EF0">
        <w:rPr>
          <w:rFonts w:ascii="Calibri" w:eastAsia="Times New Roman" w:hAnsi="Calibri" w:cs="Times New Roman"/>
          <w:szCs w:val="24"/>
        </w:rPr>
        <w:t>z </w:t>
      </w:r>
      <w:r w:rsidR="00591725">
        <w:rPr>
          <w:rFonts w:ascii="Calibri" w:eastAsia="Times New Roman" w:hAnsi="Calibri" w:cs="Times New Roman"/>
          <w:szCs w:val="24"/>
        </w:rPr>
        <w:t xml:space="preserve">CRAB nelze </w:t>
      </w:r>
      <w:r w:rsidR="00791FB1">
        <w:rPr>
          <w:rFonts w:ascii="Calibri" w:eastAsia="Times New Roman" w:hAnsi="Calibri" w:cs="Times New Roman"/>
          <w:szCs w:val="24"/>
        </w:rPr>
        <w:t>na</w:t>
      </w:r>
      <w:r w:rsidR="00A85AC9">
        <w:rPr>
          <w:rFonts w:ascii="Calibri" w:eastAsia="Times New Roman" w:hAnsi="Calibri" w:cs="Times New Roman"/>
          <w:szCs w:val="24"/>
        </w:rPr>
        <w:t xml:space="preserve"> </w:t>
      </w:r>
      <w:r w:rsidR="00591725">
        <w:rPr>
          <w:rFonts w:ascii="Calibri" w:eastAsia="Times New Roman" w:hAnsi="Calibri" w:cs="Times New Roman"/>
          <w:szCs w:val="24"/>
        </w:rPr>
        <w:t xml:space="preserve">základě dat z REM vzájemně </w:t>
      </w:r>
      <w:r w:rsidR="00591725">
        <w:t>srovnávat</w:t>
      </w:r>
      <w:r w:rsidR="00591725" w:rsidRPr="00414BAA">
        <w:t xml:space="preserve"> objekty</w:t>
      </w:r>
      <w:r w:rsidR="00B13D06">
        <w:t xml:space="preserve">, jelikož </w:t>
      </w:r>
      <w:r w:rsidR="008370BB">
        <w:t xml:space="preserve">například </w:t>
      </w:r>
      <w:r w:rsidR="00B13D06">
        <w:t xml:space="preserve">nelze rozlišit </w:t>
      </w:r>
      <w:r w:rsidR="003B6F64">
        <w:t>objekty obdobného</w:t>
      </w:r>
      <w:r w:rsidR="00B374EF">
        <w:t>/rozdílného</w:t>
      </w:r>
      <w:r w:rsidR="003B6F64">
        <w:t xml:space="preserve"> charakteru</w:t>
      </w:r>
      <w:r w:rsidR="008370BB">
        <w:t xml:space="preserve"> a</w:t>
      </w:r>
      <w:r w:rsidR="00B374EF">
        <w:t xml:space="preserve"> </w:t>
      </w:r>
      <w:r w:rsidR="00591725" w:rsidRPr="00414BAA">
        <w:t>nejsou evidovány všechny peněžní prostředky vynakládané na správu</w:t>
      </w:r>
      <w:r w:rsidR="003B6F64">
        <w:t xml:space="preserve"> objektů</w:t>
      </w:r>
      <w:r w:rsidR="00591725" w:rsidRPr="00407811">
        <w:t>.</w:t>
      </w:r>
      <w:r w:rsidR="00591725" w:rsidRPr="00414BAA">
        <w:rPr>
          <w:rFonts w:cs="Arial"/>
          <w:bCs/>
        </w:rPr>
        <w:t xml:space="preserve"> </w:t>
      </w:r>
      <w:r w:rsidR="00A75EF6">
        <w:rPr>
          <w:rFonts w:cs="Arial"/>
          <w:bCs/>
        </w:rPr>
        <w:t>REM a EKIS</w:t>
      </w:r>
      <w:r w:rsidR="00913350" w:rsidRPr="009C78F4">
        <w:t xml:space="preserve"> </w:t>
      </w:r>
      <w:r w:rsidR="007D78C0" w:rsidRPr="009C78F4">
        <w:t>tak ne</w:t>
      </w:r>
      <w:r w:rsidR="007D78C0">
        <w:t>poskytuj</w:t>
      </w:r>
      <w:r w:rsidR="00A75F02">
        <w:t>í</w:t>
      </w:r>
      <w:r w:rsidR="007D78C0" w:rsidRPr="007D78C0">
        <w:t xml:space="preserve"> dostatečn</w:t>
      </w:r>
      <w:r w:rsidR="007D78C0">
        <w:t>é informace</w:t>
      </w:r>
      <w:r w:rsidR="007D78C0" w:rsidRPr="009C78F4">
        <w:t xml:space="preserve"> pro </w:t>
      </w:r>
      <w:r w:rsidR="00913350" w:rsidRPr="009C78F4">
        <w:t>vyhodnoc</w:t>
      </w:r>
      <w:r w:rsidR="007D78C0" w:rsidRPr="009C78F4">
        <w:t>ení</w:t>
      </w:r>
      <w:r w:rsidR="00913350" w:rsidRPr="009C78F4">
        <w:t xml:space="preserve"> využitelnosti a nákladové náročnosti</w:t>
      </w:r>
      <w:r w:rsidR="007D78C0" w:rsidRPr="009C78F4">
        <w:t>.</w:t>
      </w:r>
      <w:r w:rsidR="007D78C0" w:rsidRPr="00702837">
        <w:t xml:space="preserve"> </w:t>
      </w:r>
      <w:r w:rsidR="007D78C0" w:rsidRPr="009C78F4">
        <w:t xml:space="preserve">Z důvodu napojení </w:t>
      </w:r>
      <w:r w:rsidR="00A75EF6">
        <w:t xml:space="preserve">REM </w:t>
      </w:r>
      <w:r w:rsidR="007D78C0" w:rsidRPr="009C78F4">
        <w:t xml:space="preserve">na účetnictví </w:t>
      </w:r>
      <w:r w:rsidR="00B374EF">
        <w:t xml:space="preserve">vedené v </w:t>
      </w:r>
      <w:r w:rsidR="008E6343">
        <w:t>EKIS</w:t>
      </w:r>
      <w:r w:rsidR="008E6343" w:rsidRPr="009C78F4">
        <w:t xml:space="preserve"> </w:t>
      </w:r>
      <w:r w:rsidR="007D78C0" w:rsidRPr="009C78F4">
        <w:t xml:space="preserve">jsou </w:t>
      </w:r>
      <w:r w:rsidR="0075306A">
        <w:t xml:space="preserve">však </w:t>
      </w:r>
      <w:r w:rsidR="007D78C0" w:rsidRPr="009C78F4">
        <w:t xml:space="preserve">údaje evidované </w:t>
      </w:r>
      <w:r w:rsidR="00D40646">
        <w:t>v</w:t>
      </w:r>
      <w:r w:rsidR="00E62C40">
        <w:t xml:space="preserve"> těchto dvou </w:t>
      </w:r>
      <w:r w:rsidR="00D40646">
        <w:t>informačních systémech</w:t>
      </w:r>
      <w:r w:rsidR="00711B89">
        <w:t xml:space="preserve"> </w:t>
      </w:r>
      <w:r w:rsidR="007D78C0" w:rsidRPr="009C78F4">
        <w:t>MV spolehlivější než údaje evidované v CRAB.</w:t>
      </w:r>
      <w:r w:rsidR="007D78C0" w:rsidRPr="007D78C0">
        <w:t xml:space="preserve"> </w:t>
      </w:r>
    </w:p>
    <w:p w14:paraId="5BB28852" w14:textId="52B13127" w:rsidR="00913350" w:rsidRPr="007D78C0" w:rsidRDefault="008D1FF2" w:rsidP="00913350">
      <w:r>
        <w:t xml:space="preserve">MV </w:t>
      </w:r>
      <w:r w:rsidR="00B374EF">
        <w:t xml:space="preserve">nevyužívalo </w:t>
      </w:r>
      <w:r>
        <w:t>údaje z informačních systémů</w:t>
      </w:r>
      <w:r w:rsidR="00A85AC9">
        <w:t>,</w:t>
      </w:r>
      <w:r>
        <w:t xml:space="preserve"> </w:t>
      </w:r>
      <w:r w:rsidR="00B374EF">
        <w:t xml:space="preserve">a to </w:t>
      </w:r>
      <w:r>
        <w:t xml:space="preserve">ani jako </w:t>
      </w:r>
      <w:r w:rsidR="00B374EF">
        <w:t xml:space="preserve">dílčí </w:t>
      </w:r>
      <w:r>
        <w:t xml:space="preserve">podklad pro optimalizaci </w:t>
      </w:r>
      <w:r w:rsidR="00882EFC">
        <w:t xml:space="preserve">využití a </w:t>
      </w:r>
      <w:r>
        <w:t>spr</w:t>
      </w:r>
      <w:r w:rsidR="00154A7A">
        <w:t>ávy nemovitého majetku</w:t>
      </w:r>
      <w:r>
        <w:t xml:space="preserve">. </w:t>
      </w:r>
      <w:r w:rsidR="00B374EF">
        <w:t xml:space="preserve">MV ani ZSMV nemělo přehled o tom, jaká část peněžních prostředků z příspěvku na provoz ZSMV je vynakládána na správu nemovitého majetku. </w:t>
      </w:r>
      <w:r w:rsidR="007D78C0">
        <w:t>MV nesledovalo a nevyhodnocovalo peněžní prostředky vynakládané na správu nemovitého majetku z pohledu účelnosti a efektivnosti</w:t>
      </w:r>
      <w:r w:rsidR="00B374EF">
        <w:t xml:space="preserve"> a tedy </w:t>
      </w:r>
      <w:r w:rsidR="00032FE5">
        <w:t xml:space="preserve">jako správce kapitoly </w:t>
      </w:r>
      <w:r w:rsidR="00B374EF">
        <w:t>ne</w:t>
      </w:r>
      <w:r w:rsidR="00032FE5">
        <w:t>plnilo požadavky zákona</w:t>
      </w:r>
      <w:r w:rsidR="00032FE5">
        <w:rPr>
          <w:rStyle w:val="Znakapoznpodarou"/>
        </w:rPr>
        <w:footnoteReference w:id="25"/>
      </w:r>
      <w:r w:rsidR="00032FE5">
        <w:t xml:space="preserve">. </w:t>
      </w:r>
    </w:p>
    <w:p w14:paraId="12B1D530" w14:textId="77777777" w:rsidR="00D65666" w:rsidRPr="00F03654" w:rsidRDefault="00D65666" w:rsidP="003D2BB7">
      <w:pPr>
        <w:pStyle w:val="Nadpis3"/>
        <w:numPr>
          <w:ilvl w:val="0"/>
          <w:numId w:val="0"/>
        </w:numPr>
        <w:spacing w:after="0"/>
      </w:pPr>
      <w:r w:rsidRPr="00FD578E">
        <w:t>Nejvyšší kontrolní úřad doporučuje:</w:t>
      </w:r>
    </w:p>
    <w:p w14:paraId="269B1177" w14:textId="0F3F6539" w:rsidR="005C34CD" w:rsidRDefault="005C34CD" w:rsidP="00A85AC9">
      <w:pPr>
        <w:pStyle w:val="Odstavecseseznamem"/>
        <w:numPr>
          <w:ilvl w:val="0"/>
          <w:numId w:val="47"/>
        </w:numPr>
        <w:ind w:left="284" w:hanging="284"/>
      </w:pPr>
      <w:r>
        <w:t>zredukovat počet sledovaných údajů v centrální evidenci na nezbytné minimum, které je zapotřebí pro výpočet ukazatelů využitelných pro strategické a koncepční rozhodování o</w:t>
      </w:r>
      <w:r w:rsidR="00F65EF0">
        <w:t> </w:t>
      </w:r>
      <w:r>
        <w:t>správě nemovitého majetku,</w:t>
      </w:r>
    </w:p>
    <w:p w14:paraId="0AA263F5" w14:textId="515C6F75" w:rsidR="009C78F4" w:rsidRPr="00F8635D" w:rsidRDefault="00D65666" w:rsidP="00A85AC9">
      <w:pPr>
        <w:pStyle w:val="Odstavecseseznamem"/>
        <w:numPr>
          <w:ilvl w:val="0"/>
          <w:numId w:val="47"/>
        </w:numPr>
        <w:ind w:left="284" w:hanging="284"/>
      </w:pPr>
      <w:r w:rsidRPr="00F8635D">
        <w:t>jednoznačně vymezit kompetence a odpovědnosti orgánů podílejících se na</w:t>
      </w:r>
      <w:r w:rsidR="00A85AC9">
        <w:t xml:space="preserve"> </w:t>
      </w:r>
      <w:r w:rsidRPr="00F8635D">
        <w:t>rozhodování o hospodaření a nakládání s nemovitým majetkem</w:t>
      </w:r>
      <w:r w:rsidR="00F2755D" w:rsidRPr="00F8635D">
        <w:t xml:space="preserve"> </w:t>
      </w:r>
      <w:r w:rsidR="00A4763C" w:rsidRPr="00F8635D">
        <w:t>včetně</w:t>
      </w:r>
      <w:r w:rsidR="00746FFD" w:rsidRPr="00F8635D">
        <w:t xml:space="preserve"> </w:t>
      </w:r>
      <w:r w:rsidR="009C78F4" w:rsidRPr="00F8635D">
        <w:t>odpovědnost</w:t>
      </w:r>
      <w:r w:rsidR="00A4763C" w:rsidRPr="00F8635D">
        <w:t>i</w:t>
      </w:r>
      <w:r w:rsidR="009C78F4" w:rsidRPr="00F8635D">
        <w:t xml:space="preserve"> za koordinaci</w:t>
      </w:r>
      <w:r w:rsidR="00A4763C" w:rsidRPr="00F8635D">
        <w:t xml:space="preserve">, která umožní </w:t>
      </w:r>
      <w:r w:rsidR="009C78F4" w:rsidRPr="00F8635D">
        <w:t>prosazovat modernizaci objektů a jejich vyšší mír</w:t>
      </w:r>
      <w:r w:rsidR="00E27BD9" w:rsidRPr="00F8635D">
        <w:t>u</w:t>
      </w:r>
      <w:r w:rsidR="009C78F4" w:rsidRPr="00F8635D">
        <w:t xml:space="preserve"> sdílení</w:t>
      </w:r>
      <w:r w:rsidR="00A37999" w:rsidRPr="00F8635D">
        <w:t xml:space="preserve">, </w:t>
      </w:r>
    </w:p>
    <w:p w14:paraId="06E965F4" w14:textId="5BA66532" w:rsidR="00DC3BBB" w:rsidRDefault="00DC3BBB" w:rsidP="00A85AC9">
      <w:pPr>
        <w:pStyle w:val="Odstavecseseznamem"/>
        <w:numPr>
          <w:ilvl w:val="0"/>
          <w:numId w:val="47"/>
        </w:numPr>
        <w:ind w:left="284" w:hanging="284"/>
      </w:pPr>
      <w:r>
        <w:t xml:space="preserve">výrazně snížit roční provozní náklady na </w:t>
      </w:r>
      <w:r w:rsidR="005C34CD">
        <w:t>informační podporu centralizované evidence</w:t>
      </w:r>
      <w:r w:rsidR="00130695">
        <w:t>.</w:t>
      </w:r>
    </w:p>
    <w:p w14:paraId="31F34C02" w14:textId="622CAFCC" w:rsidR="00765D1D" w:rsidRPr="002324A0" w:rsidRDefault="00F47443" w:rsidP="002324A0">
      <w:pPr>
        <w:spacing w:before="40"/>
        <w:ind w:left="567" w:hanging="567"/>
        <w:rPr>
          <w:rFonts w:cstheme="minorHAnsi"/>
          <w:sz w:val="20"/>
          <w:szCs w:val="20"/>
          <w:lang w:eastAsia="cs-CZ"/>
        </w:rPr>
      </w:pPr>
      <w:r w:rsidRPr="002324A0">
        <w:rPr>
          <w:rFonts w:cstheme="minorHAnsi"/>
          <w:b/>
          <w:sz w:val="20"/>
          <w:szCs w:val="20"/>
          <w:lang w:eastAsia="cs-CZ"/>
        </w:rPr>
        <w:t>Pozn.</w:t>
      </w:r>
      <w:r w:rsidRPr="002324A0">
        <w:rPr>
          <w:rFonts w:cstheme="minorHAnsi"/>
          <w:sz w:val="20"/>
          <w:szCs w:val="20"/>
          <w:lang w:eastAsia="cs-CZ"/>
        </w:rPr>
        <w:t xml:space="preserve">: </w:t>
      </w:r>
      <w:r w:rsidR="002324A0">
        <w:rPr>
          <w:rFonts w:cstheme="minorHAnsi"/>
          <w:sz w:val="20"/>
          <w:szCs w:val="20"/>
          <w:lang w:eastAsia="cs-CZ"/>
        </w:rPr>
        <w:tab/>
      </w:r>
      <w:r w:rsidRPr="002324A0">
        <w:rPr>
          <w:rFonts w:cstheme="minorHAnsi"/>
          <w:sz w:val="20"/>
          <w:szCs w:val="20"/>
          <w:lang w:eastAsia="cs-CZ"/>
        </w:rPr>
        <w:t>Všechny právní předpisy uvedené v</w:t>
      </w:r>
      <w:r w:rsidR="002324A0">
        <w:rPr>
          <w:rFonts w:cstheme="minorHAnsi"/>
          <w:sz w:val="20"/>
          <w:szCs w:val="20"/>
          <w:lang w:eastAsia="cs-CZ"/>
        </w:rPr>
        <w:t> </w:t>
      </w:r>
      <w:r w:rsidRPr="002324A0">
        <w:rPr>
          <w:rFonts w:cstheme="minorHAnsi"/>
          <w:sz w:val="20"/>
          <w:szCs w:val="20"/>
          <w:lang w:eastAsia="cs-CZ"/>
        </w:rPr>
        <w:t>tomto kontrolním závěru jsou aplikovány ve znění účinném pro</w:t>
      </w:r>
      <w:r w:rsidR="00A85AC9">
        <w:rPr>
          <w:rFonts w:cstheme="minorHAnsi"/>
          <w:sz w:val="20"/>
          <w:szCs w:val="20"/>
          <w:lang w:eastAsia="cs-CZ"/>
        </w:rPr>
        <w:t xml:space="preserve"> </w:t>
      </w:r>
      <w:r w:rsidRPr="002324A0">
        <w:rPr>
          <w:rFonts w:cstheme="minorHAnsi"/>
          <w:sz w:val="20"/>
          <w:szCs w:val="20"/>
          <w:lang w:eastAsia="cs-CZ"/>
        </w:rPr>
        <w:t>kontrolované období.</w:t>
      </w:r>
    </w:p>
    <w:p w14:paraId="002276D4" w14:textId="77777777" w:rsidR="00765D1D" w:rsidRDefault="00765D1D">
      <w:pPr>
        <w:jc w:val="left"/>
        <w:rPr>
          <w:rFonts w:cstheme="minorHAnsi"/>
          <w:i/>
          <w:sz w:val="20"/>
          <w:szCs w:val="20"/>
          <w:lang w:eastAsia="cs-CZ"/>
        </w:rPr>
      </w:pPr>
      <w:r>
        <w:rPr>
          <w:rFonts w:cstheme="minorHAnsi"/>
          <w:i/>
          <w:sz w:val="20"/>
          <w:szCs w:val="20"/>
          <w:lang w:eastAsia="cs-CZ"/>
        </w:rPr>
        <w:br w:type="page"/>
      </w:r>
    </w:p>
    <w:p w14:paraId="2F5064D4" w14:textId="14F46D78" w:rsidR="00112DF7" w:rsidRDefault="002324A0" w:rsidP="002324A0">
      <w:pPr>
        <w:pStyle w:val="Nadpis1"/>
        <w:numPr>
          <w:ilvl w:val="0"/>
          <w:numId w:val="0"/>
        </w:numPr>
        <w:rPr>
          <w:lang w:eastAsia="cs-CZ"/>
        </w:rPr>
      </w:pPr>
      <w:r>
        <w:rPr>
          <w:lang w:eastAsia="cs-CZ"/>
        </w:rPr>
        <w:lastRenderedPageBreak/>
        <w:t xml:space="preserve">II. </w:t>
      </w:r>
      <w:r w:rsidR="007B7F7A">
        <w:rPr>
          <w:lang w:eastAsia="cs-CZ"/>
        </w:rPr>
        <w:t>Základní i</w:t>
      </w:r>
      <w:r w:rsidR="000A35FB">
        <w:rPr>
          <w:lang w:eastAsia="cs-CZ"/>
        </w:rPr>
        <w:t>nformace o kontrolované oblasti</w:t>
      </w:r>
    </w:p>
    <w:p w14:paraId="133BD910" w14:textId="5DA86388" w:rsidR="00C165C7" w:rsidRPr="00FD578E" w:rsidRDefault="00A85AC9" w:rsidP="00D5287F">
      <w:pPr>
        <w:pStyle w:val="KPnormln"/>
        <w:rPr>
          <w:b/>
        </w:rPr>
      </w:pPr>
      <w:r>
        <w:rPr>
          <w:b/>
        </w:rPr>
        <w:t xml:space="preserve">1. </w:t>
      </w:r>
      <w:r w:rsidR="00C165C7" w:rsidRPr="00FD578E">
        <w:rPr>
          <w:b/>
        </w:rPr>
        <w:t>Správa nemovitého majetku v ČR</w:t>
      </w:r>
    </w:p>
    <w:p w14:paraId="653C3BD1" w14:textId="111E4B10" w:rsidR="00D5287F" w:rsidRDefault="00AF5376" w:rsidP="00D5287F">
      <w:pPr>
        <w:pStyle w:val="KPnormln"/>
        <w:rPr>
          <w:rFonts w:cs="Calibri"/>
          <w:color w:val="000000" w:themeColor="text1"/>
        </w:rPr>
      </w:pPr>
      <w:r>
        <w:t>Způsoby a podmínky hospodaření s majetkem státu upravuje zákon č. 219/2000 Sb.</w:t>
      </w:r>
      <w:r w:rsidR="00FF2F3A">
        <w:t xml:space="preserve"> </w:t>
      </w:r>
      <w:r w:rsidR="00711B89">
        <w:rPr>
          <w:rFonts w:cs="Times New Roman"/>
          <w:szCs w:val="24"/>
        </w:rPr>
        <w:t>S</w:t>
      </w:r>
      <w:r w:rsidR="00180756">
        <w:rPr>
          <w:rFonts w:cs="Times New Roman"/>
          <w:szCs w:val="24"/>
        </w:rPr>
        <w:t>tátní instituce</w:t>
      </w:r>
      <w:r w:rsidR="00711B89" w:rsidRPr="00330BDC">
        <w:rPr>
          <w:rFonts w:cs="Times New Roman"/>
          <w:szCs w:val="24"/>
          <w:vertAlign w:val="superscript"/>
        </w:rPr>
        <w:t>3</w:t>
      </w:r>
      <w:r w:rsidR="000C376D" w:rsidRPr="000C376D">
        <w:rPr>
          <w:rFonts w:cs="Times New Roman"/>
          <w:szCs w:val="24"/>
        </w:rPr>
        <w:t xml:space="preserve"> </w:t>
      </w:r>
      <w:r w:rsidR="000C376D">
        <w:rPr>
          <w:rFonts w:cs="Times New Roman"/>
          <w:szCs w:val="24"/>
        </w:rPr>
        <w:t xml:space="preserve">mají </w:t>
      </w:r>
      <w:r w:rsidR="004E2D91">
        <w:rPr>
          <w:rFonts w:cs="Times New Roman"/>
          <w:szCs w:val="24"/>
        </w:rPr>
        <w:t>ze zákona</w:t>
      </w:r>
      <w:r w:rsidR="00DD3A88">
        <w:rPr>
          <w:rStyle w:val="Znakapoznpodarou"/>
          <w:rFonts w:cs="Times New Roman"/>
          <w:szCs w:val="24"/>
        </w:rPr>
        <w:footnoteReference w:id="26"/>
      </w:r>
      <w:r w:rsidR="000C376D">
        <w:rPr>
          <w:rFonts w:cs="Times New Roman"/>
          <w:szCs w:val="24"/>
        </w:rPr>
        <w:t xml:space="preserve"> povinnost </w:t>
      </w:r>
      <w:r w:rsidR="00CE08FA">
        <w:rPr>
          <w:rFonts w:cs="Times New Roman"/>
          <w:szCs w:val="24"/>
        </w:rPr>
        <w:t>využívat nemovitý majetek</w:t>
      </w:r>
      <w:r w:rsidR="00CE08FA" w:rsidRPr="000C376D">
        <w:rPr>
          <w:rFonts w:cs="Times New Roman"/>
          <w:szCs w:val="24"/>
        </w:rPr>
        <w:t xml:space="preserve"> účelně a</w:t>
      </w:r>
      <w:r w:rsidR="00CE08FA">
        <w:rPr>
          <w:rFonts w:cs="Times New Roman"/>
          <w:szCs w:val="24"/>
        </w:rPr>
        <w:t> </w:t>
      </w:r>
      <w:r w:rsidR="00CE08FA" w:rsidRPr="000C376D">
        <w:rPr>
          <w:rFonts w:cs="Times New Roman"/>
          <w:szCs w:val="24"/>
        </w:rPr>
        <w:t xml:space="preserve">hospodárně </w:t>
      </w:r>
      <w:r w:rsidR="00DD3A88" w:rsidRPr="000C376D">
        <w:rPr>
          <w:rFonts w:cs="Times New Roman"/>
          <w:szCs w:val="24"/>
        </w:rPr>
        <w:t>k</w:t>
      </w:r>
      <w:r w:rsidR="00DD3A88">
        <w:rPr>
          <w:rFonts w:cs="Times New Roman"/>
          <w:szCs w:val="24"/>
        </w:rPr>
        <w:t> </w:t>
      </w:r>
      <w:r w:rsidR="00CE08FA" w:rsidRPr="000C376D">
        <w:rPr>
          <w:rFonts w:cs="Times New Roman"/>
          <w:szCs w:val="24"/>
        </w:rPr>
        <w:t xml:space="preserve">plnění funkcí státu </w:t>
      </w:r>
      <w:r w:rsidR="00887F10">
        <w:rPr>
          <w:rFonts w:cs="Times New Roman"/>
          <w:szCs w:val="24"/>
        </w:rPr>
        <w:t>a</w:t>
      </w:r>
      <w:r w:rsidR="00CE08FA">
        <w:rPr>
          <w:rFonts w:cs="Times New Roman"/>
          <w:szCs w:val="24"/>
        </w:rPr>
        <w:t> </w:t>
      </w:r>
      <w:r w:rsidR="00CE08FA" w:rsidRPr="000C376D">
        <w:rPr>
          <w:rFonts w:cs="Times New Roman"/>
          <w:szCs w:val="24"/>
        </w:rPr>
        <w:t>k výkonu stanovených činností</w:t>
      </w:r>
      <w:r w:rsidR="00CE08FA">
        <w:rPr>
          <w:rFonts w:cs="Times New Roman"/>
          <w:szCs w:val="24"/>
        </w:rPr>
        <w:t>. Musí zajistit správu nemovitého majetku a </w:t>
      </w:r>
      <w:r w:rsidR="000C376D">
        <w:rPr>
          <w:rFonts w:cs="Times New Roman"/>
          <w:szCs w:val="24"/>
        </w:rPr>
        <w:t>pečovat</w:t>
      </w:r>
      <w:r w:rsidR="000C376D" w:rsidRPr="000C376D">
        <w:rPr>
          <w:rFonts w:cs="Times New Roman"/>
          <w:szCs w:val="24"/>
        </w:rPr>
        <w:t xml:space="preserve"> o </w:t>
      </w:r>
      <w:r w:rsidR="00A93467">
        <w:rPr>
          <w:rFonts w:cs="Times New Roman"/>
          <w:szCs w:val="24"/>
        </w:rPr>
        <w:t>jeho</w:t>
      </w:r>
      <w:r w:rsidR="000C376D" w:rsidRPr="000C376D">
        <w:rPr>
          <w:rFonts w:cs="Times New Roman"/>
          <w:szCs w:val="24"/>
        </w:rPr>
        <w:t xml:space="preserve"> </w:t>
      </w:r>
      <w:r w:rsidR="00A93467">
        <w:rPr>
          <w:rFonts w:cs="Times New Roman"/>
          <w:szCs w:val="24"/>
        </w:rPr>
        <w:t>zachování</w:t>
      </w:r>
      <w:r w:rsidR="003E3C6F" w:rsidRPr="000C376D">
        <w:rPr>
          <w:rFonts w:cs="Times New Roman"/>
          <w:szCs w:val="24"/>
        </w:rPr>
        <w:t xml:space="preserve">. </w:t>
      </w:r>
      <w:r w:rsidR="00E93FF8">
        <w:rPr>
          <w:rFonts w:cs="Times New Roman"/>
          <w:szCs w:val="24"/>
        </w:rPr>
        <w:t>Státní instituce</w:t>
      </w:r>
      <w:r w:rsidR="00711B89" w:rsidRPr="00FD1EC9">
        <w:rPr>
          <w:rFonts w:ascii="Calibri" w:hAnsi="Calibri" w:cs="Times New Roman"/>
          <w:szCs w:val="24"/>
          <w:vertAlign w:val="superscript"/>
        </w:rPr>
        <w:t>3</w:t>
      </w:r>
      <w:r w:rsidR="003E3C6F">
        <w:rPr>
          <w:rFonts w:cs="Times New Roman"/>
          <w:szCs w:val="24"/>
        </w:rPr>
        <w:t xml:space="preserve"> si </w:t>
      </w:r>
      <w:r w:rsidR="000C376D" w:rsidRPr="000C376D">
        <w:rPr>
          <w:rFonts w:cs="Times New Roman"/>
          <w:szCs w:val="24"/>
        </w:rPr>
        <w:t>mohou sjednat užívání majetku, který není ve</w:t>
      </w:r>
      <w:r w:rsidR="00A85AC9">
        <w:rPr>
          <w:rFonts w:cs="Times New Roman"/>
          <w:szCs w:val="24"/>
        </w:rPr>
        <w:t xml:space="preserve"> </w:t>
      </w:r>
      <w:r w:rsidR="000C376D" w:rsidRPr="000C376D">
        <w:rPr>
          <w:rFonts w:cs="Times New Roman"/>
          <w:szCs w:val="24"/>
        </w:rPr>
        <w:t>vlastnictví státu</w:t>
      </w:r>
      <w:r w:rsidR="003E3C6F">
        <w:rPr>
          <w:rFonts w:cs="Times New Roman"/>
          <w:szCs w:val="24"/>
        </w:rPr>
        <w:t>, j</w:t>
      </w:r>
      <w:r w:rsidR="000C376D" w:rsidRPr="000C376D">
        <w:rPr>
          <w:rFonts w:cs="Times New Roman"/>
          <w:szCs w:val="24"/>
        </w:rPr>
        <w:t>e-li toto užívání nezbytné pro zabezpečení výkonu jejich činnosti</w:t>
      </w:r>
      <w:r w:rsidR="004159B2">
        <w:rPr>
          <w:rFonts w:cs="Times New Roman"/>
          <w:szCs w:val="24"/>
        </w:rPr>
        <w:t xml:space="preserve"> anebo působnosti </w:t>
      </w:r>
      <w:r w:rsidR="000C376D" w:rsidRPr="000C376D">
        <w:rPr>
          <w:rFonts w:cs="Times New Roman"/>
          <w:szCs w:val="24"/>
        </w:rPr>
        <w:t>a bude</w:t>
      </w:r>
      <w:r w:rsidR="000C376D" w:rsidRPr="000C376D">
        <w:rPr>
          <w:rFonts w:cs="Times New Roman"/>
          <w:szCs w:val="24"/>
        </w:rPr>
        <w:noBreakHyphen/>
        <w:t>li trvat jen po dobu nezbytně nutnou</w:t>
      </w:r>
      <w:r w:rsidR="003E3C6F">
        <w:rPr>
          <w:rFonts w:cs="Times New Roman"/>
          <w:szCs w:val="24"/>
        </w:rPr>
        <w:t>.</w:t>
      </w:r>
      <w:r w:rsidR="00E34224">
        <w:rPr>
          <w:rFonts w:cs="Times New Roman"/>
          <w:szCs w:val="24"/>
        </w:rPr>
        <w:t xml:space="preserve"> </w:t>
      </w:r>
      <w:r w:rsidR="00D5287F" w:rsidRPr="00351E3B">
        <w:rPr>
          <w:rFonts w:ascii="Calibri" w:hAnsi="Calibri" w:cs="Times New Roman"/>
          <w:szCs w:val="24"/>
        </w:rPr>
        <w:t xml:space="preserve">V České republice existuje decentralizovaná správa nemovitého majetku státu, </w:t>
      </w:r>
      <w:r w:rsidR="0002759A">
        <w:rPr>
          <w:rFonts w:ascii="Calibri" w:hAnsi="Calibri" w:cs="Times New Roman"/>
          <w:szCs w:val="24"/>
        </w:rPr>
        <w:t>kdy</w:t>
      </w:r>
      <w:r w:rsidR="0002759A" w:rsidRPr="00351E3B">
        <w:rPr>
          <w:rFonts w:ascii="Calibri" w:hAnsi="Calibri" w:cs="Times New Roman"/>
          <w:szCs w:val="24"/>
        </w:rPr>
        <w:t xml:space="preserve"> </w:t>
      </w:r>
      <w:r w:rsidR="00D5287F" w:rsidRPr="00351E3B">
        <w:rPr>
          <w:rFonts w:ascii="Calibri" w:hAnsi="Calibri" w:cs="Times New Roman"/>
          <w:szCs w:val="24"/>
        </w:rPr>
        <w:t xml:space="preserve">každá </w:t>
      </w:r>
      <w:r w:rsidR="00D5287F">
        <w:rPr>
          <w:rFonts w:ascii="Calibri" w:hAnsi="Calibri" w:cs="Times New Roman"/>
          <w:szCs w:val="24"/>
        </w:rPr>
        <w:t>státní instituce</w:t>
      </w:r>
      <w:r w:rsidR="00711B89" w:rsidRPr="00FD1EC9">
        <w:rPr>
          <w:rFonts w:ascii="Calibri" w:hAnsi="Calibri" w:cs="Times New Roman"/>
          <w:szCs w:val="24"/>
          <w:vertAlign w:val="superscript"/>
        </w:rPr>
        <w:t>3</w:t>
      </w:r>
      <w:r w:rsidR="00D5287F">
        <w:rPr>
          <w:rFonts w:ascii="Calibri" w:hAnsi="Calibri" w:cs="Times New Roman"/>
          <w:szCs w:val="24"/>
        </w:rPr>
        <w:t xml:space="preserve"> </w:t>
      </w:r>
      <w:r w:rsidR="00D5287F" w:rsidRPr="00351E3B">
        <w:rPr>
          <w:rFonts w:ascii="Calibri" w:hAnsi="Calibri" w:cs="Times New Roman"/>
          <w:szCs w:val="24"/>
        </w:rPr>
        <w:t xml:space="preserve">odpovídá za </w:t>
      </w:r>
      <w:r w:rsidR="00D5287F">
        <w:rPr>
          <w:rFonts w:ascii="Calibri" w:hAnsi="Calibri" w:cs="Times New Roman"/>
          <w:szCs w:val="24"/>
        </w:rPr>
        <w:t>správu</w:t>
      </w:r>
      <w:r w:rsidR="00D5287F" w:rsidRPr="00351E3B">
        <w:rPr>
          <w:rFonts w:ascii="Calibri" w:hAnsi="Calibri" w:cs="Times New Roman"/>
          <w:szCs w:val="24"/>
        </w:rPr>
        <w:t xml:space="preserve"> </w:t>
      </w:r>
      <w:r w:rsidR="00D5287F">
        <w:rPr>
          <w:rFonts w:ascii="Calibri" w:hAnsi="Calibri" w:cs="Times New Roman"/>
          <w:szCs w:val="24"/>
        </w:rPr>
        <w:t>svěřeného majetku</w:t>
      </w:r>
      <w:r w:rsidR="003E28B8">
        <w:rPr>
          <w:rStyle w:val="Znakapoznpodarou"/>
          <w:rFonts w:ascii="Calibri" w:hAnsi="Calibri" w:cs="Times New Roman"/>
          <w:szCs w:val="24"/>
        </w:rPr>
        <w:footnoteReference w:id="27"/>
      </w:r>
      <w:r w:rsidR="00D5287F" w:rsidRPr="00351E3B">
        <w:rPr>
          <w:rFonts w:ascii="Calibri" w:hAnsi="Calibri" w:cs="Times New Roman"/>
          <w:szCs w:val="24"/>
        </w:rPr>
        <w:t>.</w:t>
      </w:r>
    </w:p>
    <w:p w14:paraId="02E70796" w14:textId="422D2066" w:rsidR="00535E32" w:rsidRDefault="00BF70C8" w:rsidP="00FD578E">
      <w:pPr>
        <w:pStyle w:val="KPnormln"/>
      </w:pPr>
      <w:r>
        <w:t>Dle údajů za</w:t>
      </w:r>
      <w:r w:rsidR="00A85AC9">
        <w:t xml:space="preserve"> </w:t>
      </w:r>
      <w:r>
        <w:t>rok 2014 a 2015 byl</w:t>
      </w:r>
      <w:r w:rsidR="00792647">
        <w:t>o</w:t>
      </w:r>
      <w:r>
        <w:t xml:space="preserve"> v CRAB evidován</w:t>
      </w:r>
      <w:r w:rsidR="002B6A29">
        <w:t>o</w:t>
      </w:r>
      <w:r>
        <w:t xml:space="preserve"> necelé čtyři tisíce objektů</w:t>
      </w:r>
      <w:r w:rsidR="00FF2F3A">
        <w:t xml:space="preserve"> a </w:t>
      </w:r>
      <w:r>
        <w:t>za</w:t>
      </w:r>
      <w:r w:rsidR="00A85AC9">
        <w:t xml:space="preserve"> </w:t>
      </w:r>
      <w:r>
        <w:t>rok 2016 byl</w:t>
      </w:r>
      <w:r w:rsidR="00831483">
        <w:t xml:space="preserve">o evidováno o tisíc objektů méně. </w:t>
      </w:r>
      <w:r w:rsidR="00250E5D" w:rsidRPr="00390AD6">
        <w:t xml:space="preserve">Pokles </w:t>
      </w:r>
      <w:r w:rsidR="00250E5D">
        <w:t xml:space="preserve">evidovaných </w:t>
      </w:r>
      <w:r w:rsidR="00250E5D" w:rsidRPr="00390AD6">
        <w:t>objektů</w:t>
      </w:r>
      <w:r w:rsidR="00250E5D">
        <w:t xml:space="preserve"> byl způsoben zejména vyřazením vybraných objektů resortu MV z CRAB</w:t>
      </w:r>
      <w:r w:rsidR="00354CD6">
        <w:t>, pokles objektů dokládá</w:t>
      </w:r>
      <w:r w:rsidR="00426815">
        <w:t xml:space="preserve"> </w:t>
      </w:r>
      <w:r w:rsidR="00250E5D">
        <w:t>příloh</w:t>
      </w:r>
      <w:r w:rsidR="00354CD6">
        <w:t>a</w:t>
      </w:r>
      <w:r w:rsidR="00250E5D">
        <w:t xml:space="preserve"> č.</w:t>
      </w:r>
      <w:r w:rsidR="00A85AC9">
        <w:t> </w:t>
      </w:r>
      <w:r w:rsidR="00882EFC">
        <w:t>1</w:t>
      </w:r>
      <w:r w:rsidR="00EB3A13">
        <w:t>.</w:t>
      </w:r>
    </w:p>
    <w:p w14:paraId="1326C9ED" w14:textId="36EEB484" w:rsidR="00552662" w:rsidRPr="00BF676E" w:rsidRDefault="00552662" w:rsidP="00702837">
      <w:pPr>
        <w:pStyle w:val="KPnormln"/>
        <w:spacing w:after="0" w:line="240" w:lineRule="auto"/>
      </w:pPr>
      <w:r w:rsidRPr="00702837">
        <w:rPr>
          <w:b/>
        </w:rPr>
        <w:t xml:space="preserve">Graf č. </w:t>
      </w:r>
      <w:r w:rsidRPr="00702837">
        <w:rPr>
          <w:b/>
        </w:rPr>
        <w:fldChar w:fldCharType="begin"/>
      </w:r>
      <w:r w:rsidRPr="00702837">
        <w:rPr>
          <w:b/>
        </w:rPr>
        <w:instrText xml:space="preserve"> SEQ Graf_č. \* ARABIC </w:instrText>
      </w:r>
      <w:r w:rsidRPr="00702837">
        <w:rPr>
          <w:b/>
        </w:rPr>
        <w:fldChar w:fldCharType="separate"/>
      </w:r>
      <w:r w:rsidR="00564135">
        <w:rPr>
          <w:b/>
          <w:noProof/>
        </w:rPr>
        <w:t>1</w:t>
      </w:r>
      <w:r w:rsidRPr="00702837">
        <w:rPr>
          <w:b/>
        </w:rPr>
        <w:fldChar w:fldCharType="end"/>
      </w:r>
      <w:r w:rsidRPr="00702837">
        <w:rPr>
          <w:b/>
        </w:rPr>
        <w:t>:</w:t>
      </w:r>
      <w:r>
        <w:t xml:space="preserve"> </w:t>
      </w:r>
      <w:r>
        <w:rPr>
          <w:b/>
        </w:rPr>
        <w:t>Počet objektů evidovaných v CRAB v období 2014–2016</w:t>
      </w:r>
    </w:p>
    <w:p w14:paraId="24836091" w14:textId="0998EC24" w:rsidR="00535E32" w:rsidRDefault="00BA7FC5" w:rsidP="00535E32">
      <w:pPr>
        <w:pStyle w:val="KPnormln"/>
        <w:spacing w:after="0" w:line="240" w:lineRule="auto"/>
      </w:pPr>
      <w:r w:rsidRPr="00667E13">
        <w:rPr>
          <w:noProof/>
          <w:shd w:val="clear" w:color="auto" w:fill="004595"/>
          <w:lang w:eastAsia="cs-CZ"/>
        </w:rPr>
        <w:drawing>
          <wp:inline distT="0" distB="0" distL="0" distR="0" wp14:anchorId="4AA7E9E8" wp14:editId="052C366B">
            <wp:extent cx="5715000" cy="4612943"/>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507C9F" w14:textId="669EAC56" w:rsidR="00535E32" w:rsidRDefault="00535E32" w:rsidP="00FD578E">
      <w:pPr>
        <w:pStyle w:val="KPnormln"/>
      </w:pPr>
      <w:r w:rsidRPr="00A22CEA">
        <w:rPr>
          <w:b/>
          <w:sz w:val="20"/>
          <w:szCs w:val="20"/>
        </w:rPr>
        <w:t>Zdroj:</w:t>
      </w:r>
      <w:r>
        <w:rPr>
          <w:b/>
          <w:sz w:val="20"/>
          <w:szCs w:val="20"/>
        </w:rPr>
        <w:t xml:space="preserve"> </w:t>
      </w:r>
      <w:r w:rsidR="002C3981">
        <w:rPr>
          <w:sz w:val="20"/>
          <w:szCs w:val="20"/>
        </w:rPr>
        <w:t>a</w:t>
      </w:r>
      <w:r w:rsidRPr="00535E32">
        <w:rPr>
          <w:sz w:val="20"/>
          <w:szCs w:val="20"/>
        </w:rPr>
        <w:t>d</w:t>
      </w:r>
      <w:r w:rsidR="002C3981">
        <w:rPr>
          <w:sz w:val="20"/>
          <w:szCs w:val="20"/>
        </w:rPr>
        <w:t xml:space="preserve"> </w:t>
      </w:r>
      <w:r w:rsidRPr="00535E32">
        <w:rPr>
          <w:sz w:val="20"/>
          <w:szCs w:val="20"/>
        </w:rPr>
        <w:t>hoc report CRAB</w:t>
      </w:r>
      <w:r w:rsidR="002C3981">
        <w:rPr>
          <w:sz w:val="20"/>
          <w:szCs w:val="20"/>
        </w:rPr>
        <w:t>.</w:t>
      </w:r>
    </w:p>
    <w:p w14:paraId="5074AC7F" w14:textId="70464E35" w:rsidR="00BF70C8" w:rsidRDefault="00BF70C8" w:rsidP="00FD578E">
      <w:pPr>
        <w:pStyle w:val="KPnormln"/>
      </w:pPr>
      <w:r>
        <w:lastRenderedPageBreak/>
        <w:t>Vzhledem k naplněnosti CRAB zejména administrativními budovami se NKÚ zaměřil na</w:t>
      </w:r>
      <w:r w:rsidR="00A85AC9">
        <w:t xml:space="preserve"> </w:t>
      </w:r>
      <w:r w:rsidR="00036E09">
        <w:t>objekty</w:t>
      </w:r>
      <w:r>
        <w:t xml:space="preserve"> tohoto charakteru</w:t>
      </w:r>
      <w:r w:rsidR="00910674">
        <w:rPr>
          <w:rStyle w:val="Znakapoznpodarou"/>
        </w:rPr>
        <w:footnoteReference w:id="28"/>
      </w:r>
      <w:r w:rsidR="00831483">
        <w:t>, základní údaje jsou uvedeny v tabulce č. 1</w:t>
      </w:r>
      <w:r>
        <w:t xml:space="preserve">. </w:t>
      </w:r>
      <w:r w:rsidR="003E28B8">
        <w:t xml:space="preserve">U uvedených výstupů z CRAB je nutné </w:t>
      </w:r>
      <w:r w:rsidR="00354CD6">
        <w:t>mít na zřeteli</w:t>
      </w:r>
      <w:r w:rsidR="003E28B8">
        <w:t xml:space="preserve"> nízkou kvalitu dat a nesoulad evidovaných údajů s</w:t>
      </w:r>
      <w:r w:rsidR="005F1479">
        <w:t> </w:t>
      </w:r>
      <w:r w:rsidR="003E28B8">
        <w:t>metodikou</w:t>
      </w:r>
      <w:r w:rsidR="005F1479">
        <w:t xml:space="preserve"> evidence dat</w:t>
      </w:r>
      <w:r w:rsidR="003E28B8">
        <w:t xml:space="preserve">, jak je popsáno v části </w:t>
      </w:r>
      <w:r w:rsidR="00882EFC">
        <w:t>I</w:t>
      </w:r>
      <w:r w:rsidR="008506E5">
        <w:t>.</w:t>
      </w:r>
      <w:r w:rsidR="00570609">
        <w:t>3</w:t>
      </w:r>
      <w:r w:rsidR="00354CD6">
        <w:t xml:space="preserve"> a III.3</w:t>
      </w:r>
      <w:r w:rsidR="00A85AC9">
        <w:t xml:space="preserve"> tohoto kontrolního závěru</w:t>
      </w:r>
      <w:r w:rsidR="003E28B8">
        <w:t>.</w:t>
      </w:r>
    </w:p>
    <w:p w14:paraId="54A6F509" w14:textId="673D632E" w:rsidR="00DC7B02" w:rsidRPr="004E0D1F" w:rsidRDefault="00DC7B02" w:rsidP="00DC7B02">
      <w:pPr>
        <w:pStyle w:val="KPnormln"/>
        <w:spacing w:after="0"/>
        <w:rPr>
          <w:b/>
        </w:rPr>
      </w:pPr>
      <w:r w:rsidRPr="00FD578E">
        <w:rPr>
          <w:b/>
        </w:rPr>
        <w:t xml:space="preserve">Tabulka č. </w:t>
      </w:r>
      <w:r w:rsidRPr="00FD578E">
        <w:rPr>
          <w:b/>
        </w:rPr>
        <w:fldChar w:fldCharType="begin"/>
      </w:r>
      <w:r w:rsidRPr="00FD578E">
        <w:rPr>
          <w:b/>
        </w:rPr>
        <w:instrText xml:space="preserve"> SEQ Tabulka_č. \* ARABIC </w:instrText>
      </w:r>
      <w:r w:rsidRPr="00FD578E">
        <w:rPr>
          <w:b/>
        </w:rPr>
        <w:fldChar w:fldCharType="separate"/>
      </w:r>
      <w:r w:rsidR="00564135">
        <w:rPr>
          <w:b/>
          <w:noProof/>
        </w:rPr>
        <w:t>1</w:t>
      </w:r>
      <w:r w:rsidRPr="00FD578E">
        <w:rPr>
          <w:b/>
        </w:rPr>
        <w:fldChar w:fldCharType="end"/>
      </w:r>
      <w:r>
        <w:rPr>
          <w:b/>
        </w:rPr>
        <w:t>:</w:t>
      </w:r>
      <w:r w:rsidRPr="00DC7B02">
        <w:rPr>
          <w:b/>
        </w:rPr>
        <w:t xml:space="preserve"> </w:t>
      </w:r>
      <w:r>
        <w:rPr>
          <w:b/>
        </w:rPr>
        <w:t>Celkový přehled o administrativních budovách evidovaných v CRAB</w:t>
      </w:r>
    </w:p>
    <w:tbl>
      <w:tblPr>
        <w:tblW w:w="0" w:type="auto"/>
        <w:tblInd w:w="30" w:type="dxa"/>
        <w:tblLayout w:type="fixed"/>
        <w:tblCellMar>
          <w:left w:w="30" w:type="dxa"/>
          <w:right w:w="30" w:type="dxa"/>
        </w:tblCellMar>
        <w:tblLook w:val="0000" w:firstRow="0" w:lastRow="0" w:firstColumn="0" w:lastColumn="0" w:noHBand="0" w:noVBand="0"/>
      </w:tblPr>
      <w:tblGrid>
        <w:gridCol w:w="3080"/>
        <w:gridCol w:w="1983"/>
        <w:gridCol w:w="1982"/>
        <w:gridCol w:w="2027"/>
      </w:tblGrid>
      <w:tr w:rsidR="00BF70C8" w14:paraId="5C7FAD7A" w14:textId="77777777" w:rsidTr="00E34F5C">
        <w:trPr>
          <w:trHeight w:val="290"/>
        </w:trPr>
        <w:tc>
          <w:tcPr>
            <w:tcW w:w="3080" w:type="dxa"/>
            <w:tcBorders>
              <w:top w:val="single" w:sz="6" w:space="0" w:color="auto"/>
              <w:left w:val="single" w:sz="6" w:space="0" w:color="auto"/>
              <w:bottom w:val="single" w:sz="6" w:space="0" w:color="auto"/>
              <w:right w:val="single" w:sz="6" w:space="0" w:color="auto"/>
            </w:tcBorders>
            <w:shd w:val="clear" w:color="auto" w:fill="E5F1FF"/>
            <w:vAlign w:val="center"/>
          </w:tcPr>
          <w:p w14:paraId="53A472EA" w14:textId="543347D4" w:rsidR="00BF70C8" w:rsidRDefault="00BF70C8" w:rsidP="00E34F5C">
            <w:pPr>
              <w:autoSpaceDE w:val="0"/>
              <w:autoSpaceDN w:val="0"/>
              <w:adjustRightInd w:val="0"/>
              <w:spacing w:after="0" w:line="240" w:lineRule="auto"/>
              <w:jc w:val="left"/>
              <w:rPr>
                <w:rFonts w:ascii="Calibri" w:hAnsi="Calibri" w:cs="Calibri"/>
                <w:b/>
                <w:bCs/>
                <w:color w:val="000000"/>
                <w:sz w:val="20"/>
                <w:szCs w:val="20"/>
              </w:rPr>
            </w:pPr>
          </w:p>
        </w:tc>
        <w:tc>
          <w:tcPr>
            <w:tcW w:w="1983" w:type="dxa"/>
            <w:tcBorders>
              <w:top w:val="single" w:sz="6" w:space="0" w:color="auto"/>
              <w:left w:val="single" w:sz="6" w:space="0" w:color="auto"/>
              <w:bottom w:val="single" w:sz="6" w:space="0" w:color="auto"/>
              <w:right w:val="single" w:sz="6" w:space="0" w:color="auto"/>
            </w:tcBorders>
            <w:shd w:val="clear" w:color="auto" w:fill="E5F1FF"/>
            <w:vAlign w:val="center"/>
          </w:tcPr>
          <w:p w14:paraId="66D95B5D" w14:textId="77777777" w:rsidR="00BF70C8" w:rsidRDefault="00BF70C8"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2014</w:t>
            </w:r>
          </w:p>
        </w:tc>
        <w:tc>
          <w:tcPr>
            <w:tcW w:w="1982" w:type="dxa"/>
            <w:tcBorders>
              <w:top w:val="single" w:sz="6" w:space="0" w:color="auto"/>
              <w:left w:val="single" w:sz="6" w:space="0" w:color="auto"/>
              <w:bottom w:val="single" w:sz="6" w:space="0" w:color="auto"/>
              <w:right w:val="single" w:sz="6" w:space="0" w:color="auto"/>
            </w:tcBorders>
            <w:shd w:val="clear" w:color="auto" w:fill="E5F1FF"/>
            <w:vAlign w:val="center"/>
          </w:tcPr>
          <w:p w14:paraId="3B92EF41" w14:textId="77777777" w:rsidR="00BF70C8" w:rsidRDefault="00BF70C8"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2015</w:t>
            </w:r>
          </w:p>
        </w:tc>
        <w:tc>
          <w:tcPr>
            <w:tcW w:w="2027" w:type="dxa"/>
            <w:tcBorders>
              <w:top w:val="single" w:sz="6" w:space="0" w:color="auto"/>
              <w:left w:val="single" w:sz="6" w:space="0" w:color="auto"/>
              <w:bottom w:val="single" w:sz="6" w:space="0" w:color="auto"/>
              <w:right w:val="single" w:sz="6" w:space="0" w:color="auto"/>
            </w:tcBorders>
            <w:shd w:val="clear" w:color="auto" w:fill="E5F1FF"/>
            <w:vAlign w:val="center"/>
          </w:tcPr>
          <w:p w14:paraId="0EF15CBE" w14:textId="77777777" w:rsidR="00BF70C8" w:rsidRDefault="00BF70C8"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2016</w:t>
            </w:r>
          </w:p>
        </w:tc>
      </w:tr>
      <w:tr w:rsidR="00BF70C8" w14:paraId="0A535150" w14:textId="77777777" w:rsidTr="00E34F5C">
        <w:trPr>
          <w:trHeight w:val="290"/>
        </w:trPr>
        <w:tc>
          <w:tcPr>
            <w:tcW w:w="3080" w:type="dxa"/>
            <w:tcBorders>
              <w:top w:val="single" w:sz="6" w:space="0" w:color="auto"/>
              <w:left w:val="single" w:sz="6" w:space="0" w:color="auto"/>
              <w:bottom w:val="single" w:sz="6" w:space="0" w:color="auto"/>
              <w:right w:val="single" w:sz="6" w:space="0" w:color="auto"/>
            </w:tcBorders>
            <w:vAlign w:val="center"/>
          </w:tcPr>
          <w:p w14:paraId="292F13F6" w14:textId="250E40A0" w:rsidR="00BF70C8" w:rsidRDefault="00BF70C8" w:rsidP="00E34F5C">
            <w:pPr>
              <w:autoSpaceDE w:val="0"/>
              <w:autoSpaceDN w:val="0"/>
              <w:adjustRightInd w:val="0"/>
              <w:spacing w:after="0" w:line="240" w:lineRule="auto"/>
              <w:jc w:val="left"/>
              <w:rPr>
                <w:rFonts w:ascii="Calibri" w:hAnsi="Calibri" w:cs="Calibri"/>
                <w:color w:val="000000"/>
                <w:sz w:val="20"/>
                <w:szCs w:val="20"/>
              </w:rPr>
            </w:pPr>
            <w:r>
              <w:rPr>
                <w:rFonts w:ascii="Calibri" w:hAnsi="Calibri" w:cs="Calibri"/>
                <w:color w:val="000000"/>
                <w:sz w:val="20"/>
                <w:szCs w:val="20"/>
              </w:rPr>
              <w:t>Počet objektů</w:t>
            </w:r>
            <w:r w:rsidR="00552662">
              <w:rPr>
                <w:rFonts w:ascii="Calibri" w:hAnsi="Calibri" w:cs="Calibri"/>
                <w:color w:val="000000"/>
                <w:sz w:val="20"/>
                <w:szCs w:val="20"/>
              </w:rPr>
              <w:t xml:space="preserve"> (tis.)</w:t>
            </w:r>
          </w:p>
        </w:tc>
        <w:tc>
          <w:tcPr>
            <w:tcW w:w="1983" w:type="dxa"/>
            <w:tcBorders>
              <w:top w:val="single" w:sz="6" w:space="0" w:color="auto"/>
              <w:left w:val="single" w:sz="6" w:space="0" w:color="auto"/>
              <w:bottom w:val="single" w:sz="6" w:space="0" w:color="auto"/>
              <w:right w:val="single" w:sz="6" w:space="0" w:color="auto"/>
            </w:tcBorders>
            <w:vAlign w:val="center"/>
          </w:tcPr>
          <w:p w14:paraId="0E1D9AC3" w14:textId="4E578487" w:rsidR="00BF70C8" w:rsidRDefault="00BF70C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3,4</w:t>
            </w:r>
          </w:p>
        </w:tc>
        <w:tc>
          <w:tcPr>
            <w:tcW w:w="1982" w:type="dxa"/>
            <w:tcBorders>
              <w:top w:val="single" w:sz="6" w:space="0" w:color="auto"/>
              <w:left w:val="single" w:sz="6" w:space="0" w:color="auto"/>
              <w:bottom w:val="single" w:sz="6" w:space="0" w:color="auto"/>
              <w:right w:val="single" w:sz="6" w:space="0" w:color="auto"/>
            </w:tcBorders>
            <w:vAlign w:val="center"/>
          </w:tcPr>
          <w:p w14:paraId="20C6EEE1" w14:textId="0E841A32" w:rsidR="00BF70C8" w:rsidRDefault="00BF70C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3,3 </w:t>
            </w:r>
          </w:p>
        </w:tc>
        <w:tc>
          <w:tcPr>
            <w:tcW w:w="2027" w:type="dxa"/>
            <w:tcBorders>
              <w:top w:val="single" w:sz="6" w:space="0" w:color="auto"/>
              <w:left w:val="single" w:sz="6" w:space="0" w:color="auto"/>
              <w:bottom w:val="single" w:sz="6" w:space="0" w:color="auto"/>
              <w:right w:val="single" w:sz="6" w:space="0" w:color="auto"/>
            </w:tcBorders>
            <w:vAlign w:val="center"/>
          </w:tcPr>
          <w:p w14:paraId="0AC6DE85" w14:textId="7CED99E5" w:rsidR="00BF70C8" w:rsidRDefault="00BF70C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2,3</w:t>
            </w:r>
          </w:p>
        </w:tc>
      </w:tr>
      <w:tr w:rsidR="00BF70C8" w14:paraId="56E3B134" w14:textId="77777777" w:rsidTr="00E34F5C">
        <w:trPr>
          <w:trHeight w:val="290"/>
        </w:trPr>
        <w:tc>
          <w:tcPr>
            <w:tcW w:w="3080" w:type="dxa"/>
            <w:tcBorders>
              <w:top w:val="single" w:sz="6" w:space="0" w:color="auto"/>
              <w:left w:val="single" w:sz="6" w:space="0" w:color="auto"/>
              <w:bottom w:val="single" w:sz="6" w:space="0" w:color="auto"/>
              <w:right w:val="single" w:sz="6" w:space="0" w:color="auto"/>
            </w:tcBorders>
            <w:vAlign w:val="center"/>
          </w:tcPr>
          <w:p w14:paraId="396317FF" w14:textId="2ED1F685" w:rsidR="00BF70C8" w:rsidRDefault="00BF70C8" w:rsidP="00E34F5C">
            <w:pPr>
              <w:autoSpaceDE w:val="0"/>
              <w:autoSpaceDN w:val="0"/>
              <w:adjustRightInd w:val="0"/>
              <w:spacing w:after="0" w:line="240" w:lineRule="auto"/>
              <w:jc w:val="left"/>
              <w:rPr>
                <w:rFonts w:ascii="Calibri" w:hAnsi="Calibri" w:cs="Calibri"/>
                <w:color w:val="000000"/>
                <w:sz w:val="20"/>
                <w:szCs w:val="20"/>
              </w:rPr>
            </w:pPr>
            <w:r>
              <w:rPr>
                <w:rFonts w:ascii="Calibri" w:hAnsi="Calibri" w:cs="Calibri"/>
                <w:color w:val="000000"/>
                <w:sz w:val="20"/>
                <w:szCs w:val="20"/>
              </w:rPr>
              <w:t>Počet zaměstnanců státu</w:t>
            </w:r>
            <w:r w:rsidR="00552662">
              <w:rPr>
                <w:rFonts w:ascii="Calibri" w:hAnsi="Calibri" w:cs="Calibri"/>
                <w:color w:val="000000"/>
                <w:sz w:val="20"/>
                <w:szCs w:val="20"/>
              </w:rPr>
              <w:t xml:space="preserve"> (tis.)</w:t>
            </w:r>
          </w:p>
        </w:tc>
        <w:tc>
          <w:tcPr>
            <w:tcW w:w="1983" w:type="dxa"/>
            <w:tcBorders>
              <w:top w:val="single" w:sz="6" w:space="0" w:color="auto"/>
              <w:left w:val="single" w:sz="6" w:space="0" w:color="auto"/>
              <w:bottom w:val="single" w:sz="6" w:space="0" w:color="auto"/>
              <w:right w:val="single" w:sz="6" w:space="0" w:color="auto"/>
            </w:tcBorders>
            <w:vAlign w:val="center"/>
          </w:tcPr>
          <w:p w14:paraId="299C5260" w14:textId="4235ED10" w:rsidR="00BF70C8" w:rsidRDefault="00BF70C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142,5</w:t>
            </w:r>
          </w:p>
        </w:tc>
        <w:tc>
          <w:tcPr>
            <w:tcW w:w="1982" w:type="dxa"/>
            <w:tcBorders>
              <w:top w:val="single" w:sz="6" w:space="0" w:color="auto"/>
              <w:left w:val="single" w:sz="6" w:space="0" w:color="auto"/>
              <w:bottom w:val="single" w:sz="6" w:space="0" w:color="auto"/>
              <w:right w:val="single" w:sz="6" w:space="0" w:color="auto"/>
            </w:tcBorders>
            <w:vAlign w:val="center"/>
          </w:tcPr>
          <w:p w14:paraId="6D110450" w14:textId="29D456DB" w:rsidR="00BF70C8" w:rsidRDefault="00BF70C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143,7 </w:t>
            </w:r>
          </w:p>
        </w:tc>
        <w:tc>
          <w:tcPr>
            <w:tcW w:w="2027" w:type="dxa"/>
            <w:tcBorders>
              <w:top w:val="single" w:sz="6" w:space="0" w:color="auto"/>
              <w:left w:val="single" w:sz="6" w:space="0" w:color="auto"/>
              <w:bottom w:val="single" w:sz="6" w:space="0" w:color="auto"/>
              <w:right w:val="single" w:sz="6" w:space="0" w:color="auto"/>
            </w:tcBorders>
            <w:vAlign w:val="center"/>
          </w:tcPr>
          <w:p w14:paraId="40DF704B" w14:textId="5214D371" w:rsidR="00BF70C8" w:rsidRDefault="00BF70C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102,7</w:t>
            </w:r>
          </w:p>
        </w:tc>
      </w:tr>
      <w:tr w:rsidR="00BF70C8" w14:paraId="55058595" w14:textId="77777777" w:rsidTr="00E34F5C">
        <w:trPr>
          <w:trHeight w:val="290"/>
        </w:trPr>
        <w:tc>
          <w:tcPr>
            <w:tcW w:w="3080" w:type="dxa"/>
            <w:tcBorders>
              <w:top w:val="single" w:sz="6" w:space="0" w:color="auto"/>
              <w:left w:val="single" w:sz="6" w:space="0" w:color="auto"/>
              <w:bottom w:val="single" w:sz="6" w:space="0" w:color="auto"/>
              <w:right w:val="single" w:sz="6" w:space="0" w:color="auto"/>
            </w:tcBorders>
            <w:vAlign w:val="center"/>
          </w:tcPr>
          <w:p w14:paraId="78120E6D" w14:textId="47EB0F3A" w:rsidR="00BF70C8" w:rsidRDefault="00BF70C8" w:rsidP="00E34F5C">
            <w:pPr>
              <w:autoSpaceDE w:val="0"/>
              <w:autoSpaceDN w:val="0"/>
              <w:adjustRightInd w:val="0"/>
              <w:spacing w:after="0" w:line="240" w:lineRule="auto"/>
              <w:jc w:val="left"/>
              <w:rPr>
                <w:rFonts w:ascii="Calibri" w:hAnsi="Calibri" w:cs="Calibri"/>
                <w:color w:val="000000"/>
                <w:sz w:val="20"/>
                <w:szCs w:val="20"/>
              </w:rPr>
            </w:pPr>
            <w:r>
              <w:rPr>
                <w:rFonts w:ascii="Calibri" w:hAnsi="Calibri" w:cs="Calibri"/>
                <w:color w:val="000000"/>
                <w:sz w:val="20"/>
                <w:szCs w:val="20"/>
              </w:rPr>
              <w:t>Pořizovací hodnota objektů</w:t>
            </w:r>
            <w:r w:rsidR="00552662">
              <w:rPr>
                <w:rFonts w:ascii="Calibri" w:hAnsi="Calibri" w:cs="Calibri"/>
                <w:color w:val="000000"/>
                <w:sz w:val="20"/>
                <w:szCs w:val="20"/>
              </w:rPr>
              <w:t xml:space="preserve"> (mld. Kč)</w:t>
            </w:r>
          </w:p>
        </w:tc>
        <w:tc>
          <w:tcPr>
            <w:tcW w:w="1983" w:type="dxa"/>
            <w:tcBorders>
              <w:top w:val="single" w:sz="6" w:space="0" w:color="auto"/>
              <w:left w:val="single" w:sz="6" w:space="0" w:color="auto"/>
              <w:bottom w:val="single" w:sz="6" w:space="0" w:color="auto"/>
              <w:right w:val="single" w:sz="6" w:space="0" w:color="auto"/>
            </w:tcBorders>
            <w:vAlign w:val="center"/>
          </w:tcPr>
          <w:p w14:paraId="67C05312" w14:textId="0400859F" w:rsidR="00BF70C8" w:rsidRDefault="00BF70C8" w:rsidP="00BF676E">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75,3</w:t>
            </w:r>
          </w:p>
        </w:tc>
        <w:tc>
          <w:tcPr>
            <w:tcW w:w="1982" w:type="dxa"/>
            <w:tcBorders>
              <w:top w:val="single" w:sz="6" w:space="0" w:color="auto"/>
              <w:left w:val="single" w:sz="6" w:space="0" w:color="auto"/>
              <w:bottom w:val="single" w:sz="6" w:space="0" w:color="auto"/>
              <w:right w:val="single" w:sz="6" w:space="0" w:color="auto"/>
            </w:tcBorders>
            <w:vAlign w:val="center"/>
          </w:tcPr>
          <w:p w14:paraId="583FD3E5" w14:textId="2312E9FF" w:rsidR="00BF70C8" w:rsidRDefault="00BF70C8" w:rsidP="00B3350D">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74,6 </w:t>
            </w:r>
          </w:p>
        </w:tc>
        <w:tc>
          <w:tcPr>
            <w:tcW w:w="2027" w:type="dxa"/>
            <w:tcBorders>
              <w:top w:val="single" w:sz="6" w:space="0" w:color="auto"/>
              <w:left w:val="single" w:sz="6" w:space="0" w:color="auto"/>
              <w:bottom w:val="single" w:sz="6" w:space="0" w:color="auto"/>
              <w:right w:val="single" w:sz="6" w:space="0" w:color="auto"/>
            </w:tcBorders>
            <w:vAlign w:val="center"/>
          </w:tcPr>
          <w:p w14:paraId="23B0E9C9" w14:textId="27A7AF2F" w:rsidR="00BF70C8" w:rsidRDefault="00BF70C8">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60,8</w:t>
            </w:r>
          </w:p>
        </w:tc>
      </w:tr>
      <w:tr w:rsidR="00BF70C8" w14:paraId="3997FBFE" w14:textId="77777777" w:rsidTr="00E34F5C">
        <w:trPr>
          <w:trHeight w:val="290"/>
        </w:trPr>
        <w:tc>
          <w:tcPr>
            <w:tcW w:w="3080" w:type="dxa"/>
            <w:tcBorders>
              <w:top w:val="single" w:sz="6" w:space="0" w:color="auto"/>
              <w:left w:val="single" w:sz="6" w:space="0" w:color="auto"/>
              <w:bottom w:val="single" w:sz="6" w:space="0" w:color="auto"/>
              <w:right w:val="single" w:sz="6" w:space="0" w:color="auto"/>
            </w:tcBorders>
            <w:vAlign w:val="center"/>
          </w:tcPr>
          <w:p w14:paraId="4FE27C7F" w14:textId="20671E72" w:rsidR="00BF70C8" w:rsidRDefault="00BF70C8" w:rsidP="00E34F5C">
            <w:pPr>
              <w:autoSpaceDE w:val="0"/>
              <w:autoSpaceDN w:val="0"/>
              <w:adjustRightInd w:val="0"/>
              <w:spacing w:after="0" w:line="240" w:lineRule="auto"/>
              <w:jc w:val="left"/>
              <w:rPr>
                <w:rFonts w:ascii="Calibri" w:hAnsi="Calibri" w:cs="Calibri"/>
                <w:color w:val="000000"/>
                <w:sz w:val="20"/>
                <w:szCs w:val="20"/>
              </w:rPr>
            </w:pPr>
            <w:r>
              <w:rPr>
                <w:rFonts w:ascii="Calibri" w:hAnsi="Calibri" w:cs="Calibri"/>
                <w:color w:val="000000"/>
                <w:sz w:val="20"/>
                <w:szCs w:val="20"/>
              </w:rPr>
              <w:t>Provozní výdaje</w:t>
            </w:r>
            <w:r w:rsidR="00552662">
              <w:rPr>
                <w:rFonts w:ascii="Calibri" w:hAnsi="Calibri" w:cs="Calibri"/>
                <w:color w:val="000000"/>
                <w:sz w:val="20"/>
                <w:szCs w:val="20"/>
              </w:rPr>
              <w:t xml:space="preserve"> (mld. Kč)</w:t>
            </w:r>
          </w:p>
        </w:tc>
        <w:tc>
          <w:tcPr>
            <w:tcW w:w="1983" w:type="dxa"/>
            <w:tcBorders>
              <w:top w:val="single" w:sz="6" w:space="0" w:color="auto"/>
              <w:left w:val="single" w:sz="6" w:space="0" w:color="auto"/>
              <w:bottom w:val="single" w:sz="6" w:space="0" w:color="auto"/>
              <w:right w:val="single" w:sz="6" w:space="0" w:color="auto"/>
            </w:tcBorders>
            <w:vAlign w:val="center"/>
          </w:tcPr>
          <w:p w14:paraId="3ECEE609" w14:textId="66F865DA" w:rsidR="00BF70C8" w:rsidRDefault="00BF70C8" w:rsidP="00BF676E">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3,8</w:t>
            </w:r>
          </w:p>
        </w:tc>
        <w:tc>
          <w:tcPr>
            <w:tcW w:w="1982" w:type="dxa"/>
            <w:tcBorders>
              <w:top w:val="single" w:sz="6" w:space="0" w:color="auto"/>
              <w:left w:val="single" w:sz="6" w:space="0" w:color="auto"/>
              <w:bottom w:val="single" w:sz="6" w:space="0" w:color="auto"/>
              <w:right w:val="single" w:sz="6" w:space="0" w:color="auto"/>
            </w:tcBorders>
            <w:vAlign w:val="center"/>
          </w:tcPr>
          <w:p w14:paraId="225BAF34" w14:textId="62685CD8" w:rsidR="00BF70C8" w:rsidRDefault="00BF70C8" w:rsidP="00B3350D">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3,4 </w:t>
            </w:r>
          </w:p>
        </w:tc>
        <w:tc>
          <w:tcPr>
            <w:tcW w:w="2027" w:type="dxa"/>
            <w:tcBorders>
              <w:top w:val="single" w:sz="6" w:space="0" w:color="auto"/>
              <w:left w:val="single" w:sz="6" w:space="0" w:color="auto"/>
              <w:bottom w:val="single" w:sz="6" w:space="0" w:color="auto"/>
              <w:right w:val="single" w:sz="6" w:space="0" w:color="auto"/>
            </w:tcBorders>
            <w:vAlign w:val="center"/>
          </w:tcPr>
          <w:p w14:paraId="325D1FC1" w14:textId="58BEC5F3" w:rsidR="00BF70C8" w:rsidRDefault="00BF70C8">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2,9 </w:t>
            </w:r>
          </w:p>
        </w:tc>
      </w:tr>
      <w:tr w:rsidR="00BF70C8" w14:paraId="726C3814" w14:textId="77777777" w:rsidTr="00E34F5C">
        <w:trPr>
          <w:trHeight w:val="290"/>
        </w:trPr>
        <w:tc>
          <w:tcPr>
            <w:tcW w:w="3080" w:type="dxa"/>
            <w:tcBorders>
              <w:top w:val="single" w:sz="6" w:space="0" w:color="auto"/>
              <w:left w:val="single" w:sz="6" w:space="0" w:color="auto"/>
              <w:bottom w:val="single" w:sz="6" w:space="0" w:color="auto"/>
              <w:right w:val="single" w:sz="6" w:space="0" w:color="auto"/>
            </w:tcBorders>
            <w:vAlign w:val="center"/>
          </w:tcPr>
          <w:p w14:paraId="16AB00B0" w14:textId="54C492E3" w:rsidR="00BF70C8" w:rsidRDefault="00BF70C8" w:rsidP="00E34F5C">
            <w:pPr>
              <w:autoSpaceDE w:val="0"/>
              <w:autoSpaceDN w:val="0"/>
              <w:adjustRightInd w:val="0"/>
              <w:spacing w:after="0" w:line="240" w:lineRule="auto"/>
              <w:jc w:val="left"/>
              <w:rPr>
                <w:rFonts w:ascii="Calibri" w:hAnsi="Calibri" w:cs="Calibri"/>
                <w:color w:val="000000"/>
                <w:sz w:val="20"/>
                <w:szCs w:val="20"/>
              </w:rPr>
            </w:pPr>
            <w:r>
              <w:rPr>
                <w:rFonts w:ascii="Calibri" w:hAnsi="Calibri" w:cs="Calibri"/>
                <w:color w:val="000000"/>
                <w:sz w:val="20"/>
                <w:szCs w:val="20"/>
              </w:rPr>
              <w:t>Investice</w:t>
            </w:r>
            <w:r w:rsidR="00552662">
              <w:rPr>
                <w:rFonts w:ascii="Calibri" w:hAnsi="Calibri" w:cs="Calibri"/>
                <w:color w:val="000000"/>
                <w:sz w:val="20"/>
                <w:szCs w:val="20"/>
              </w:rPr>
              <w:t xml:space="preserve"> (mld. Kč)</w:t>
            </w:r>
          </w:p>
        </w:tc>
        <w:tc>
          <w:tcPr>
            <w:tcW w:w="1983" w:type="dxa"/>
            <w:tcBorders>
              <w:top w:val="single" w:sz="6" w:space="0" w:color="auto"/>
              <w:left w:val="single" w:sz="6" w:space="0" w:color="auto"/>
              <w:bottom w:val="single" w:sz="6" w:space="0" w:color="auto"/>
              <w:right w:val="single" w:sz="6" w:space="0" w:color="auto"/>
            </w:tcBorders>
            <w:vAlign w:val="center"/>
          </w:tcPr>
          <w:p w14:paraId="3946295E" w14:textId="29BCE24E" w:rsidR="00BF70C8" w:rsidRDefault="00BF70C8" w:rsidP="00BF676E">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0,7</w:t>
            </w:r>
          </w:p>
        </w:tc>
        <w:tc>
          <w:tcPr>
            <w:tcW w:w="1982" w:type="dxa"/>
            <w:tcBorders>
              <w:top w:val="single" w:sz="6" w:space="0" w:color="auto"/>
              <w:left w:val="single" w:sz="6" w:space="0" w:color="auto"/>
              <w:bottom w:val="single" w:sz="6" w:space="0" w:color="auto"/>
              <w:right w:val="single" w:sz="6" w:space="0" w:color="auto"/>
            </w:tcBorders>
            <w:vAlign w:val="center"/>
          </w:tcPr>
          <w:p w14:paraId="53ADD549" w14:textId="4E429ACF" w:rsidR="00BF70C8" w:rsidRDefault="00BF70C8" w:rsidP="00B3350D">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 xml:space="preserve">1,0 </w:t>
            </w:r>
          </w:p>
        </w:tc>
        <w:tc>
          <w:tcPr>
            <w:tcW w:w="2027" w:type="dxa"/>
            <w:tcBorders>
              <w:top w:val="single" w:sz="6" w:space="0" w:color="auto"/>
              <w:left w:val="single" w:sz="6" w:space="0" w:color="auto"/>
              <w:bottom w:val="single" w:sz="6" w:space="0" w:color="auto"/>
              <w:right w:val="single" w:sz="6" w:space="0" w:color="auto"/>
            </w:tcBorders>
            <w:vAlign w:val="center"/>
          </w:tcPr>
          <w:p w14:paraId="4EDC3F10" w14:textId="6C39D42F" w:rsidR="00BF70C8" w:rsidRDefault="00BF70C8">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0,8</w:t>
            </w:r>
          </w:p>
        </w:tc>
      </w:tr>
    </w:tbl>
    <w:p w14:paraId="3CB04D5A" w14:textId="3E916F22" w:rsidR="00BF70C8" w:rsidRPr="00A22CEA" w:rsidRDefault="00BF70C8" w:rsidP="00BF70C8">
      <w:pPr>
        <w:rPr>
          <w:sz w:val="20"/>
          <w:szCs w:val="20"/>
        </w:rPr>
      </w:pPr>
      <w:r w:rsidRPr="00A22CEA">
        <w:rPr>
          <w:b/>
          <w:sz w:val="20"/>
          <w:szCs w:val="20"/>
        </w:rPr>
        <w:t>Zdroj:</w:t>
      </w:r>
      <w:r>
        <w:rPr>
          <w:sz w:val="20"/>
          <w:szCs w:val="20"/>
        </w:rPr>
        <w:t xml:space="preserve"> </w:t>
      </w:r>
      <w:r w:rsidR="00137025">
        <w:rPr>
          <w:sz w:val="20"/>
          <w:szCs w:val="20"/>
        </w:rPr>
        <w:t>r</w:t>
      </w:r>
      <w:r>
        <w:rPr>
          <w:sz w:val="20"/>
          <w:szCs w:val="20"/>
        </w:rPr>
        <w:t xml:space="preserve">eport analytického modulu CRAB č. 15 – </w:t>
      </w:r>
      <w:r w:rsidR="00137025">
        <w:rPr>
          <w:sz w:val="20"/>
          <w:szCs w:val="20"/>
        </w:rPr>
        <w:t>c</w:t>
      </w:r>
      <w:r>
        <w:rPr>
          <w:sz w:val="20"/>
          <w:szCs w:val="20"/>
        </w:rPr>
        <w:t>elkové veličiny, získáno z CRAB v dubnu 2017</w:t>
      </w:r>
      <w:r w:rsidR="00137025">
        <w:rPr>
          <w:sz w:val="20"/>
          <w:szCs w:val="20"/>
        </w:rPr>
        <w:t>.</w:t>
      </w:r>
    </w:p>
    <w:p w14:paraId="6BA59674" w14:textId="6B465ED2" w:rsidR="0001715A" w:rsidRDefault="0001715A" w:rsidP="0001715A">
      <w:pPr>
        <w:pStyle w:val="KPnormln"/>
        <w:rPr>
          <w:color w:val="auto"/>
        </w:rPr>
      </w:pPr>
      <w:r>
        <w:t xml:space="preserve">Dle údajů </w:t>
      </w:r>
      <w:r w:rsidR="00354CD6">
        <w:t xml:space="preserve">evidovaných v </w:t>
      </w:r>
      <w:r>
        <w:t xml:space="preserve">CRAB za rok 2016 </w:t>
      </w:r>
      <w:r w:rsidR="001C1338">
        <w:t>měl</w:t>
      </w:r>
      <w:r w:rsidR="00E27BD9">
        <w:t>y</w:t>
      </w:r>
      <w:r>
        <w:t xml:space="preserve"> největší podíl</w:t>
      </w:r>
      <w:r w:rsidR="00E27BD9">
        <w:t>y</w:t>
      </w:r>
      <w:r>
        <w:t xml:space="preserve"> na celkové ploše evidovaných objektů ve</w:t>
      </w:r>
      <w:r w:rsidR="00A85AC9">
        <w:t xml:space="preserve"> </w:t>
      </w:r>
      <w:r>
        <w:t xml:space="preserve">státním vlastnictví </w:t>
      </w:r>
      <w:r w:rsidR="001C1338">
        <w:t>resort</w:t>
      </w:r>
      <w:r w:rsidR="00742326">
        <w:t>y</w:t>
      </w:r>
      <w:r>
        <w:t xml:space="preserve"> Ministerstva financí (19 %), Ministerstva spravedlnosti (19 %) a</w:t>
      </w:r>
      <w:r w:rsidR="001C1338">
        <w:t> </w:t>
      </w:r>
      <w:r w:rsidR="003E28B8">
        <w:t>Ministerstva práce a soc</w:t>
      </w:r>
      <w:r>
        <w:t>iálních věcí (15 %).</w:t>
      </w:r>
      <w:r w:rsidR="00942732">
        <w:rPr>
          <w:rStyle w:val="Znakapoznpodarou"/>
        </w:rPr>
        <w:footnoteReference w:id="29"/>
      </w:r>
      <w:r>
        <w:t xml:space="preserve"> Státní instituce</w:t>
      </w:r>
      <w:r w:rsidR="00711B89" w:rsidRPr="00FD1EC9">
        <w:rPr>
          <w:rFonts w:ascii="Calibri" w:hAnsi="Calibri" w:cs="Times New Roman"/>
          <w:szCs w:val="24"/>
          <w:vertAlign w:val="superscript"/>
        </w:rPr>
        <w:t>3</w:t>
      </w:r>
      <w:r>
        <w:t xml:space="preserve"> údaje do</w:t>
      </w:r>
      <w:r w:rsidR="00A85AC9">
        <w:t xml:space="preserve"> </w:t>
      </w:r>
      <w:r w:rsidR="00882EFC">
        <w:t xml:space="preserve">CRAB zadávaly ručně, </w:t>
      </w:r>
      <w:r w:rsidR="003E28B8">
        <w:t>pouze MV využilo možnosti automatického předávání.</w:t>
      </w:r>
      <w:r w:rsidR="001C1338">
        <w:t xml:space="preserve"> </w:t>
      </w:r>
      <w:r w:rsidR="00CF2BAD">
        <w:t xml:space="preserve">Základní údaje evidované v CRAB </w:t>
      </w:r>
      <w:r w:rsidR="008506E5">
        <w:t>dle rozdělení na státní instituce</w:t>
      </w:r>
      <w:r w:rsidR="00711B89" w:rsidRPr="00FD1EC9">
        <w:rPr>
          <w:rFonts w:ascii="Calibri" w:hAnsi="Calibri" w:cs="Times New Roman"/>
          <w:szCs w:val="24"/>
          <w:vertAlign w:val="superscript"/>
        </w:rPr>
        <w:t>3</w:t>
      </w:r>
      <w:r w:rsidR="008506E5">
        <w:t xml:space="preserve"> </w:t>
      </w:r>
      <w:r w:rsidR="00CF2BAD">
        <w:t xml:space="preserve">včetně vybraných ukazatelů správy nemovitého majetku </w:t>
      </w:r>
      <w:r w:rsidR="001C1338">
        <w:t xml:space="preserve">jsou uvedeny </w:t>
      </w:r>
      <w:r w:rsidR="00CF2BAD">
        <w:t xml:space="preserve">v příloze </w:t>
      </w:r>
      <w:r w:rsidR="008506E5">
        <w:t xml:space="preserve">č. </w:t>
      </w:r>
      <w:r w:rsidR="00882EFC">
        <w:t>2</w:t>
      </w:r>
      <w:r w:rsidR="001C1338">
        <w:t>.</w:t>
      </w:r>
      <w:r w:rsidR="00E01F7C">
        <w:t xml:space="preserve"> Celkem 22 institucí </w:t>
      </w:r>
      <w:r w:rsidR="00742326">
        <w:t xml:space="preserve">(včetně NKÚ) </w:t>
      </w:r>
      <w:r w:rsidR="00E01F7C">
        <w:t xml:space="preserve">mělo dle </w:t>
      </w:r>
      <w:r w:rsidR="00882EFC">
        <w:t xml:space="preserve">údajů </w:t>
      </w:r>
      <w:r w:rsidR="00AE58EA">
        <w:t xml:space="preserve">evidovaných v </w:t>
      </w:r>
      <w:r w:rsidR="00E01F7C">
        <w:t xml:space="preserve">CRAB </w:t>
      </w:r>
      <w:r w:rsidR="00882EFC">
        <w:t xml:space="preserve">za rok 2016 </w:t>
      </w:r>
      <w:r w:rsidR="00E01F7C">
        <w:t>umístěno více než polovinu svých zaměstnanců v nestátních objektech</w:t>
      </w:r>
      <w:r w:rsidR="00354CD6">
        <w:t xml:space="preserve"> na základě nájemních smluv</w:t>
      </w:r>
      <w:r w:rsidR="00E01F7C">
        <w:t>.</w:t>
      </w:r>
    </w:p>
    <w:p w14:paraId="529459B9" w14:textId="05B099B3" w:rsidR="00BF70C8" w:rsidRDefault="00BF70C8" w:rsidP="00BF70C8">
      <w:pPr>
        <w:pStyle w:val="KPnormln"/>
        <w:rPr>
          <w:b/>
        </w:rPr>
      </w:pPr>
      <w:r w:rsidRPr="0030238D">
        <w:rPr>
          <w:color w:val="auto"/>
        </w:rPr>
        <w:t xml:space="preserve">Dle </w:t>
      </w:r>
      <w:r>
        <w:t>údajů evidovaných v CRAB za rok 2016 státní</w:t>
      </w:r>
      <w:r w:rsidRPr="00A22CEA">
        <w:t xml:space="preserve"> </w:t>
      </w:r>
      <w:r>
        <w:t>instituce</w:t>
      </w:r>
      <w:r w:rsidR="00711B89" w:rsidRPr="00FD1EC9">
        <w:rPr>
          <w:rFonts w:ascii="Calibri" w:hAnsi="Calibri" w:cs="Times New Roman"/>
          <w:szCs w:val="24"/>
          <w:vertAlign w:val="superscript"/>
        </w:rPr>
        <w:t>3</w:t>
      </w:r>
      <w:r>
        <w:t xml:space="preserve"> užívaly celkem 3,9 mil. m</w:t>
      </w:r>
      <w:r w:rsidRPr="00A26A35">
        <w:rPr>
          <w:vertAlign w:val="superscript"/>
        </w:rPr>
        <w:t>2</w:t>
      </w:r>
      <w:r>
        <w:t xml:space="preserve"> plochy administrativních objektů, z toho necelých 10 % tvořila plocha nestátních objektů a necelých 10 % plocha nevyužitá</w:t>
      </w:r>
      <w:r w:rsidR="00553E8C">
        <w:t>, viz tabulka č. 2</w:t>
      </w:r>
      <w:r>
        <w:t xml:space="preserve">. </w:t>
      </w:r>
      <w:r w:rsidR="00632779">
        <w:t>Pokles evidovaných ploch v roce 2016 byl způsoben zejména vyřazením objektů resortu MV, blíže viz část I.4 a III.4</w:t>
      </w:r>
      <w:r w:rsidR="00830983">
        <w:t xml:space="preserve"> tohoto kontrolního závěru</w:t>
      </w:r>
      <w:r w:rsidR="00632779">
        <w:t xml:space="preserve">. </w:t>
      </w:r>
      <w:r w:rsidR="00AE58EA">
        <w:t>Dle údajů z</w:t>
      </w:r>
      <w:r w:rsidR="008506E5">
        <w:t>a rok 2016 bylo v</w:t>
      </w:r>
      <w:r>
        <w:t> administrativních objektech dislokováno celkem 103 tisíc státních zaměstnanců. Nejvíce státních zaměstnanců bylo dislokováno v Praze (36 %</w:t>
      </w:r>
      <w:r w:rsidR="00036E09">
        <w:t>) a</w:t>
      </w:r>
      <w:r w:rsidR="00830983">
        <w:t> </w:t>
      </w:r>
      <w:r w:rsidR="00036E09">
        <w:t>Jihomoravském kraji (10 %), b</w:t>
      </w:r>
      <w:r>
        <w:t>líže viz příloha</w:t>
      </w:r>
      <w:r w:rsidR="00A225DC">
        <w:t xml:space="preserve"> č.</w:t>
      </w:r>
      <w:r>
        <w:t xml:space="preserve"> </w:t>
      </w:r>
      <w:r w:rsidR="00882EFC">
        <w:t>3</w:t>
      </w:r>
      <w:r>
        <w:t>.</w:t>
      </w:r>
    </w:p>
    <w:p w14:paraId="0215556F" w14:textId="43103D37" w:rsidR="00DC7B02" w:rsidRPr="00F029CD" w:rsidRDefault="00DC7B02" w:rsidP="00F029CD">
      <w:pPr>
        <w:pStyle w:val="KPnormln"/>
        <w:spacing w:after="0"/>
        <w:rPr>
          <w:b/>
        </w:rPr>
      </w:pPr>
      <w:r w:rsidRPr="00F029CD">
        <w:rPr>
          <w:b/>
        </w:rPr>
        <w:t xml:space="preserve">Tabulka č. </w:t>
      </w:r>
      <w:r w:rsidRPr="00F029CD">
        <w:rPr>
          <w:b/>
        </w:rPr>
        <w:fldChar w:fldCharType="begin"/>
      </w:r>
      <w:r w:rsidRPr="00F029CD">
        <w:rPr>
          <w:b/>
        </w:rPr>
        <w:instrText xml:space="preserve"> SEQ Tabulka_č. \* ARABIC </w:instrText>
      </w:r>
      <w:r w:rsidRPr="00F029CD">
        <w:rPr>
          <w:b/>
        </w:rPr>
        <w:fldChar w:fldCharType="separate"/>
      </w:r>
      <w:r w:rsidR="00564135">
        <w:rPr>
          <w:b/>
          <w:noProof/>
        </w:rPr>
        <w:t>2</w:t>
      </w:r>
      <w:r w:rsidRPr="00F029CD">
        <w:rPr>
          <w:b/>
        </w:rPr>
        <w:fldChar w:fldCharType="end"/>
      </w:r>
      <w:r>
        <w:rPr>
          <w:b/>
        </w:rPr>
        <w:t>:</w:t>
      </w:r>
      <w:r w:rsidRPr="00DC7B02">
        <w:rPr>
          <w:b/>
        </w:rPr>
        <w:t xml:space="preserve"> </w:t>
      </w:r>
      <w:r w:rsidRPr="004E0D1F">
        <w:rPr>
          <w:b/>
        </w:rPr>
        <w:t xml:space="preserve">Plocha administrativních budov evidovaných v CRAB </w:t>
      </w:r>
    </w:p>
    <w:tbl>
      <w:tblPr>
        <w:tblW w:w="0" w:type="auto"/>
        <w:tblInd w:w="30" w:type="dxa"/>
        <w:tblLayout w:type="fixed"/>
        <w:tblCellMar>
          <w:left w:w="30" w:type="dxa"/>
          <w:right w:w="30" w:type="dxa"/>
        </w:tblCellMar>
        <w:tblLook w:val="0000" w:firstRow="0" w:lastRow="0" w:firstColumn="0" w:lastColumn="0" w:noHBand="0" w:noVBand="0"/>
      </w:tblPr>
      <w:tblGrid>
        <w:gridCol w:w="2977"/>
        <w:gridCol w:w="1276"/>
        <w:gridCol w:w="850"/>
        <w:gridCol w:w="1134"/>
        <w:gridCol w:w="851"/>
        <w:gridCol w:w="1134"/>
        <w:gridCol w:w="850"/>
      </w:tblGrid>
      <w:tr w:rsidR="00BF70C8" w:rsidRPr="00A22CEA" w14:paraId="1E2131A2" w14:textId="77777777" w:rsidTr="00942732">
        <w:trPr>
          <w:trHeight w:val="290"/>
        </w:trPr>
        <w:tc>
          <w:tcPr>
            <w:tcW w:w="2977" w:type="dxa"/>
            <w:tcBorders>
              <w:top w:val="single" w:sz="6" w:space="0" w:color="auto"/>
              <w:left w:val="single" w:sz="6" w:space="0" w:color="auto"/>
              <w:bottom w:val="single" w:sz="6" w:space="0" w:color="auto"/>
              <w:right w:val="single" w:sz="6" w:space="0" w:color="auto"/>
            </w:tcBorders>
            <w:shd w:val="clear" w:color="auto" w:fill="E5F1FF"/>
            <w:vAlign w:val="center"/>
          </w:tcPr>
          <w:p w14:paraId="449E6592" w14:textId="77777777" w:rsidR="00BF70C8" w:rsidRPr="00A22CEA" w:rsidRDefault="00BF70C8" w:rsidP="00E34F5C">
            <w:pPr>
              <w:autoSpaceDE w:val="0"/>
              <w:autoSpaceDN w:val="0"/>
              <w:adjustRightInd w:val="0"/>
              <w:spacing w:after="0" w:line="240" w:lineRule="auto"/>
              <w:jc w:val="left"/>
              <w:rPr>
                <w:rFonts w:ascii="Calibri" w:hAnsi="Calibri" w:cs="Calibri"/>
                <w:b/>
                <w:bCs/>
                <w:color w:val="000000"/>
                <w:sz w:val="20"/>
                <w:szCs w:val="20"/>
              </w:rPr>
            </w:pPr>
            <w:r w:rsidRPr="00A22CEA">
              <w:rPr>
                <w:rFonts w:ascii="Calibri" w:hAnsi="Calibri" w:cs="Calibri"/>
                <w:b/>
                <w:bCs/>
                <w:color w:val="000000"/>
                <w:sz w:val="20"/>
                <w:szCs w:val="20"/>
              </w:rPr>
              <w:t>Rok</w:t>
            </w:r>
          </w:p>
        </w:tc>
        <w:tc>
          <w:tcPr>
            <w:tcW w:w="2126" w:type="dxa"/>
            <w:gridSpan w:val="2"/>
            <w:tcBorders>
              <w:top w:val="single" w:sz="6" w:space="0" w:color="auto"/>
              <w:left w:val="single" w:sz="6" w:space="0" w:color="auto"/>
              <w:bottom w:val="single" w:sz="6" w:space="0" w:color="auto"/>
              <w:right w:val="single" w:sz="6" w:space="0" w:color="auto"/>
            </w:tcBorders>
            <w:shd w:val="clear" w:color="auto" w:fill="E5F1FF"/>
            <w:vAlign w:val="center"/>
          </w:tcPr>
          <w:p w14:paraId="0BAB6CDB" w14:textId="77777777" w:rsidR="00BF70C8" w:rsidRPr="00A22CEA" w:rsidRDefault="00BF70C8" w:rsidP="00E34F5C">
            <w:pPr>
              <w:autoSpaceDE w:val="0"/>
              <w:autoSpaceDN w:val="0"/>
              <w:adjustRightInd w:val="0"/>
              <w:spacing w:after="0" w:line="240" w:lineRule="auto"/>
              <w:jc w:val="center"/>
              <w:rPr>
                <w:rFonts w:ascii="Calibri" w:hAnsi="Calibri" w:cs="Calibri"/>
                <w:b/>
                <w:bCs/>
                <w:color w:val="000000"/>
                <w:sz w:val="20"/>
                <w:szCs w:val="20"/>
              </w:rPr>
            </w:pPr>
            <w:r w:rsidRPr="00A22CEA">
              <w:rPr>
                <w:rFonts w:ascii="Calibri" w:hAnsi="Calibri" w:cs="Calibri"/>
                <w:b/>
                <w:bCs/>
                <w:color w:val="000000"/>
                <w:sz w:val="20"/>
                <w:szCs w:val="20"/>
              </w:rPr>
              <w:t>2014</w:t>
            </w:r>
          </w:p>
        </w:tc>
        <w:tc>
          <w:tcPr>
            <w:tcW w:w="1985" w:type="dxa"/>
            <w:gridSpan w:val="2"/>
            <w:tcBorders>
              <w:top w:val="single" w:sz="6" w:space="0" w:color="auto"/>
              <w:left w:val="single" w:sz="6" w:space="0" w:color="auto"/>
              <w:bottom w:val="single" w:sz="6" w:space="0" w:color="auto"/>
              <w:right w:val="single" w:sz="6" w:space="0" w:color="auto"/>
            </w:tcBorders>
            <w:shd w:val="clear" w:color="auto" w:fill="E5F1FF"/>
            <w:vAlign w:val="center"/>
          </w:tcPr>
          <w:p w14:paraId="4A7BC6BB" w14:textId="77777777" w:rsidR="00BF70C8" w:rsidRPr="00A22CEA" w:rsidRDefault="00BF70C8" w:rsidP="00E34F5C">
            <w:pPr>
              <w:autoSpaceDE w:val="0"/>
              <w:autoSpaceDN w:val="0"/>
              <w:adjustRightInd w:val="0"/>
              <w:spacing w:after="0" w:line="240" w:lineRule="auto"/>
              <w:jc w:val="center"/>
              <w:rPr>
                <w:rFonts w:ascii="Calibri" w:hAnsi="Calibri" w:cs="Calibri"/>
                <w:b/>
                <w:bCs/>
                <w:color w:val="000000"/>
                <w:sz w:val="20"/>
                <w:szCs w:val="20"/>
              </w:rPr>
            </w:pPr>
            <w:r w:rsidRPr="00A22CEA">
              <w:rPr>
                <w:rFonts w:ascii="Calibri" w:hAnsi="Calibri" w:cs="Calibri"/>
                <w:b/>
                <w:bCs/>
                <w:color w:val="000000"/>
                <w:sz w:val="20"/>
                <w:szCs w:val="20"/>
              </w:rPr>
              <w:t>2015</w:t>
            </w:r>
          </w:p>
        </w:tc>
        <w:tc>
          <w:tcPr>
            <w:tcW w:w="1984" w:type="dxa"/>
            <w:gridSpan w:val="2"/>
            <w:tcBorders>
              <w:top w:val="single" w:sz="6" w:space="0" w:color="auto"/>
              <w:left w:val="single" w:sz="6" w:space="0" w:color="auto"/>
              <w:bottom w:val="single" w:sz="6" w:space="0" w:color="auto"/>
              <w:right w:val="single" w:sz="6" w:space="0" w:color="auto"/>
            </w:tcBorders>
            <w:shd w:val="clear" w:color="auto" w:fill="E5F1FF"/>
            <w:vAlign w:val="center"/>
          </w:tcPr>
          <w:p w14:paraId="0983BE1E" w14:textId="77777777" w:rsidR="00BF70C8" w:rsidRPr="00A22CEA" w:rsidRDefault="00BF70C8" w:rsidP="00E34F5C">
            <w:pPr>
              <w:autoSpaceDE w:val="0"/>
              <w:autoSpaceDN w:val="0"/>
              <w:adjustRightInd w:val="0"/>
              <w:spacing w:after="0" w:line="240" w:lineRule="auto"/>
              <w:jc w:val="center"/>
              <w:rPr>
                <w:rFonts w:ascii="Calibri" w:hAnsi="Calibri" w:cs="Calibri"/>
                <w:b/>
                <w:bCs/>
                <w:color w:val="000000"/>
                <w:sz w:val="20"/>
                <w:szCs w:val="20"/>
              </w:rPr>
            </w:pPr>
            <w:r w:rsidRPr="00632779">
              <w:rPr>
                <w:rFonts w:ascii="Calibri" w:hAnsi="Calibri" w:cs="Calibri"/>
                <w:b/>
                <w:bCs/>
                <w:color w:val="000000"/>
                <w:sz w:val="20"/>
                <w:szCs w:val="20"/>
              </w:rPr>
              <w:t>2016</w:t>
            </w:r>
          </w:p>
        </w:tc>
      </w:tr>
      <w:tr w:rsidR="00BF70C8" w:rsidRPr="00A22CEA" w14:paraId="47E41BCB" w14:textId="77777777" w:rsidTr="00942732">
        <w:trPr>
          <w:trHeight w:val="290"/>
        </w:trPr>
        <w:tc>
          <w:tcPr>
            <w:tcW w:w="2977" w:type="dxa"/>
            <w:tcBorders>
              <w:top w:val="single" w:sz="6" w:space="0" w:color="auto"/>
              <w:left w:val="single" w:sz="6" w:space="0" w:color="auto"/>
              <w:bottom w:val="single" w:sz="6" w:space="0" w:color="auto"/>
              <w:right w:val="single" w:sz="6" w:space="0" w:color="auto"/>
            </w:tcBorders>
            <w:shd w:val="clear" w:color="auto" w:fill="E5F1FF"/>
            <w:vAlign w:val="center"/>
          </w:tcPr>
          <w:p w14:paraId="7A79D82F" w14:textId="77777777" w:rsidR="00BF70C8" w:rsidRPr="00A22CEA" w:rsidRDefault="00BF70C8" w:rsidP="00E34F5C">
            <w:pPr>
              <w:autoSpaceDE w:val="0"/>
              <w:autoSpaceDN w:val="0"/>
              <w:adjustRightInd w:val="0"/>
              <w:spacing w:after="0" w:line="240" w:lineRule="auto"/>
              <w:jc w:val="left"/>
              <w:rPr>
                <w:rFonts w:ascii="Calibri" w:hAnsi="Calibri" w:cs="Calibri"/>
                <w:b/>
                <w:bCs/>
                <w:color w:val="000000"/>
                <w:sz w:val="20"/>
                <w:szCs w:val="20"/>
              </w:rPr>
            </w:pPr>
            <w:r w:rsidRPr="00A22CEA">
              <w:rPr>
                <w:rFonts w:ascii="Calibri" w:hAnsi="Calibri" w:cs="Calibri"/>
                <w:b/>
                <w:bCs/>
                <w:color w:val="000000"/>
                <w:sz w:val="20"/>
                <w:szCs w:val="20"/>
              </w:rPr>
              <w:t>Plocha (v tis. m</w:t>
            </w:r>
            <w:r w:rsidRPr="00A22CEA">
              <w:rPr>
                <w:rFonts w:ascii="Calibri" w:hAnsi="Calibri" w:cs="Calibri"/>
                <w:b/>
                <w:bCs/>
                <w:color w:val="000000"/>
                <w:sz w:val="20"/>
                <w:szCs w:val="20"/>
                <w:vertAlign w:val="superscript"/>
              </w:rPr>
              <w:t>2</w:t>
            </w:r>
            <w:r w:rsidRPr="00A22CEA">
              <w:rPr>
                <w:rFonts w:ascii="Calibri" w:hAnsi="Calibri" w:cs="Calibri"/>
                <w:b/>
                <w:bCs/>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E5F1FF"/>
            <w:vAlign w:val="center"/>
          </w:tcPr>
          <w:p w14:paraId="2F677617" w14:textId="630521CC" w:rsidR="00BF70C8" w:rsidRPr="00A22CEA" w:rsidRDefault="00137025"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K</w:t>
            </w:r>
            <w:r w:rsidR="00BF70C8" w:rsidRPr="00A22CEA">
              <w:rPr>
                <w:rFonts w:ascii="Calibri" w:hAnsi="Calibri" w:cs="Calibri"/>
                <w:b/>
                <w:bCs/>
                <w:color w:val="000000"/>
                <w:sz w:val="20"/>
                <w:szCs w:val="20"/>
              </w:rPr>
              <w:t>ancelářská</w:t>
            </w:r>
          </w:p>
        </w:tc>
        <w:tc>
          <w:tcPr>
            <w:tcW w:w="850" w:type="dxa"/>
            <w:tcBorders>
              <w:top w:val="single" w:sz="6" w:space="0" w:color="auto"/>
              <w:left w:val="single" w:sz="6" w:space="0" w:color="auto"/>
              <w:bottom w:val="single" w:sz="6" w:space="0" w:color="auto"/>
              <w:right w:val="single" w:sz="6" w:space="0" w:color="auto"/>
            </w:tcBorders>
            <w:shd w:val="clear" w:color="auto" w:fill="E5F1FF"/>
            <w:vAlign w:val="center"/>
          </w:tcPr>
          <w:p w14:paraId="2F2A234D" w14:textId="56EE6AAC" w:rsidR="00BF70C8" w:rsidRPr="00A22CEA" w:rsidRDefault="00137025"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O</w:t>
            </w:r>
            <w:r w:rsidR="00BF70C8" w:rsidRPr="00A22CEA">
              <w:rPr>
                <w:rFonts w:ascii="Calibri" w:hAnsi="Calibri" w:cs="Calibri"/>
                <w:b/>
                <w:bCs/>
                <w:color w:val="000000"/>
                <w:sz w:val="20"/>
                <w:szCs w:val="20"/>
              </w:rPr>
              <w:t>statní</w:t>
            </w:r>
          </w:p>
        </w:tc>
        <w:tc>
          <w:tcPr>
            <w:tcW w:w="1134" w:type="dxa"/>
            <w:tcBorders>
              <w:top w:val="single" w:sz="6" w:space="0" w:color="auto"/>
              <w:left w:val="single" w:sz="6" w:space="0" w:color="auto"/>
              <w:bottom w:val="single" w:sz="6" w:space="0" w:color="auto"/>
              <w:right w:val="single" w:sz="6" w:space="0" w:color="auto"/>
            </w:tcBorders>
            <w:shd w:val="clear" w:color="auto" w:fill="E5F1FF"/>
            <w:vAlign w:val="center"/>
          </w:tcPr>
          <w:p w14:paraId="7E991DBB" w14:textId="137F20FA" w:rsidR="00BF70C8" w:rsidRPr="00A22CEA" w:rsidRDefault="00137025"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K</w:t>
            </w:r>
            <w:r w:rsidR="00BF70C8" w:rsidRPr="00A22CEA">
              <w:rPr>
                <w:rFonts w:ascii="Calibri" w:hAnsi="Calibri" w:cs="Calibri"/>
                <w:b/>
                <w:bCs/>
                <w:color w:val="000000"/>
                <w:sz w:val="20"/>
                <w:szCs w:val="20"/>
              </w:rPr>
              <w:t>ancelářská</w:t>
            </w:r>
          </w:p>
        </w:tc>
        <w:tc>
          <w:tcPr>
            <w:tcW w:w="851" w:type="dxa"/>
            <w:tcBorders>
              <w:top w:val="single" w:sz="6" w:space="0" w:color="auto"/>
              <w:left w:val="single" w:sz="6" w:space="0" w:color="auto"/>
              <w:bottom w:val="single" w:sz="6" w:space="0" w:color="auto"/>
              <w:right w:val="single" w:sz="6" w:space="0" w:color="auto"/>
            </w:tcBorders>
            <w:shd w:val="clear" w:color="auto" w:fill="E5F1FF"/>
            <w:vAlign w:val="center"/>
          </w:tcPr>
          <w:p w14:paraId="53168A31" w14:textId="0F20DE28" w:rsidR="00BF70C8" w:rsidRPr="00A22CEA" w:rsidRDefault="00137025"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O</w:t>
            </w:r>
            <w:r w:rsidR="00BF70C8" w:rsidRPr="00A22CEA">
              <w:rPr>
                <w:rFonts w:ascii="Calibri" w:hAnsi="Calibri" w:cs="Calibri"/>
                <w:b/>
                <w:bCs/>
                <w:color w:val="000000"/>
                <w:sz w:val="20"/>
                <w:szCs w:val="20"/>
              </w:rPr>
              <w:t>statní</w:t>
            </w:r>
          </w:p>
        </w:tc>
        <w:tc>
          <w:tcPr>
            <w:tcW w:w="1134" w:type="dxa"/>
            <w:tcBorders>
              <w:top w:val="single" w:sz="6" w:space="0" w:color="auto"/>
              <w:left w:val="single" w:sz="6" w:space="0" w:color="auto"/>
              <w:bottom w:val="single" w:sz="6" w:space="0" w:color="auto"/>
              <w:right w:val="single" w:sz="6" w:space="0" w:color="auto"/>
            </w:tcBorders>
            <w:shd w:val="clear" w:color="auto" w:fill="E5F1FF"/>
            <w:vAlign w:val="center"/>
          </w:tcPr>
          <w:p w14:paraId="22C04C00" w14:textId="7AF75502" w:rsidR="00BF70C8" w:rsidRPr="00A22CEA" w:rsidRDefault="00137025"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K</w:t>
            </w:r>
            <w:r w:rsidR="00BF70C8" w:rsidRPr="00A22CEA">
              <w:rPr>
                <w:rFonts w:ascii="Calibri" w:hAnsi="Calibri" w:cs="Calibri"/>
                <w:b/>
                <w:bCs/>
                <w:color w:val="000000"/>
                <w:sz w:val="20"/>
                <w:szCs w:val="20"/>
              </w:rPr>
              <w:t>ancelářská</w:t>
            </w:r>
          </w:p>
        </w:tc>
        <w:tc>
          <w:tcPr>
            <w:tcW w:w="850" w:type="dxa"/>
            <w:tcBorders>
              <w:top w:val="single" w:sz="6" w:space="0" w:color="auto"/>
              <w:left w:val="single" w:sz="6" w:space="0" w:color="auto"/>
              <w:bottom w:val="single" w:sz="6" w:space="0" w:color="auto"/>
              <w:right w:val="single" w:sz="6" w:space="0" w:color="auto"/>
            </w:tcBorders>
            <w:shd w:val="clear" w:color="auto" w:fill="E5F1FF"/>
            <w:vAlign w:val="center"/>
          </w:tcPr>
          <w:p w14:paraId="46305971" w14:textId="7D851B91" w:rsidR="00BF70C8" w:rsidRPr="00A22CEA" w:rsidRDefault="00137025" w:rsidP="00E34F5C">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O</w:t>
            </w:r>
            <w:r w:rsidR="00BF70C8" w:rsidRPr="00A22CEA">
              <w:rPr>
                <w:rFonts w:ascii="Calibri" w:hAnsi="Calibri" w:cs="Calibri"/>
                <w:b/>
                <w:bCs/>
                <w:color w:val="000000"/>
                <w:sz w:val="20"/>
                <w:szCs w:val="20"/>
              </w:rPr>
              <w:t>statní</w:t>
            </w:r>
          </w:p>
        </w:tc>
      </w:tr>
      <w:tr w:rsidR="00BF70C8" w:rsidRPr="00A22CEA" w14:paraId="65678891" w14:textId="77777777"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14:paraId="150B0920" w14:textId="77777777" w:rsidR="00BF70C8" w:rsidRPr="00A22CEA" w:rsidRDefault="00BF70C8" w:rsidP="00E34F5C">
            <w:pPr>
              <w:autoSpaceDE w:val="0"/>
              <w:autoSpaceDN w:val="0"/>
              <w:adjustRightInd w:val="0"/>
              <w:spacing w:after="0" w:line="240" w:lineRule="auto"/>
              <w:jc w:val="left"/>
              <w:rPr>
                <w:rFonts w:ascii="Calibri" w:hAnsi="Calibri" w:cs="Calibri"/>
                <w:color w:val="000000"/>
                <w:sz w:val="20"/>
                <w:szCs w:val="20"/>
              </w:rPr>
            </w:pPr>
            <w:r w:rsidRPr="00A22CEA">
              <w:rPr>
                <w:rFonts w:ascii="Calibri" w:hAnsi="Calibri" w:cs="Calibri"/>
                <w:color w:val="000000"/>
                <w:sz w:val="20"/>
                <w:szCs w:val="20"/>
              </w:rPr>
              <w:t>Plocha užívaná státní</w:t>
            </w:r>
            <w:r>
              <w:rPr>
                <w:rFonts w:ascii="Calibri" w:hAnsi="Calibri" w:cs="Calibri"/>
                <w:color w:val="000000"/>
                <w:sz w:val="20"/>
                <w:szCs w:val="20"/>
              </w:rPr>
              <w:t>mi</w:t>
            </w:r>
            <w:r w:rsidRPr="00A22CEA">
              <w:rPr>
                <w:rFonts w:ascii="Calibri" w:hAnsi="Calibri" w:cs="Calibri"/>
                <w:color w:val="000000"/>
                <w:sz w:val="20"/>
                <w:szCs w:val="20"/>
              </w:rPr>
              <w:t xml:space="preserve"> instit</w:t>
            </w:r>
            <w:r>
              <w:rPr>
                <w:rFonts w:ascii="Calibri" w:hAnsi="Calibri" w:cs="Calibri"/>
                <w:color w:val="000000"/>
                <w:sz w:val="20"/>
                <w:szCs w:val="20"/>
              </w:rPr>
              <w:t>ucemi</w:t>
            </w:r>
          </w:p>
        </w:tc>
        <w:tc>
          <w:tcPr>
            <w:tcW w:w="1276" w:type="dxa"/>
            <w:tcBorders>
              <w:top w:val="single" w:sz="6" w:space="0" w:color="auto"/>
              <w:left w:val="single" w:sz="6" w:space="0" w:color="auto"/>
              <w:bottom w:val="single" w:sz="6" w:space="0" w:color="auto"/>
              <w:right w:val="single" w:sz="6" w:space="0" w:color="auto"/>
            </w:tcBorders>
            <w:vAlign w:val="center"/>
          </w:tcPr>
          <w:p w14:paraId="6369C3F3"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2 024</w:t>
            </w:r>
          </w:p>
        </w:tc>
        <w:tc>
          <w:tcPr>
            <w:tcW w:w="850" w:type="dxa"/>
            <w:tcBorders>
              <w:top w:val="single" w:sz="6" w:space="0" w:color="auto"/>
              <w:left w:val="single" w:sz="6" w:space="0" w:color="auto"/>
              <w:bottom w:val="single" w:sz="6" w:space="0" w:color="auto"/>
              <w:right w:val="single" w:sz="6" w:space="0" w:color="auto"/>
            </w:tcBorders>
            <w:vAlign w:val="center"/>
          </w:tcPr>
          <w:p w14:paraId="6B8F2B60"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3 343</w:t>
            </w:r>
          </w:p>
        </w:tc>
        <w:tc>
          <w:tcPr>
            <w:tcW w:w="1134" w:type="dxa"/>
            <w:tcBorders>
              <w:top w:val="single" w:sz="6" w:space="0" w:color="auto"/>
              <w:left w:val="single" w:sz="6" w:space="0" w:color="auto"/>
              <w:bottom w:val="single" w:sz="6" w:space="0" w:color="auto"/>
              <w:right w:val="single" w:sz="6" w:space="0" w:color="auto"/>
            </w:tcBorders>
            <w:vAlign w:val="center"/>
          </w:tcPr>
          <w:p w14:paraId="6E7FE381"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2 000</w:t>
            </w:r>
          </w:p>
        </w:tc>
        <w:tc>
          <w:tcPr>
            <w:tcW w:w="851" w:type="dxa"/>
            <w:tcBorders>
              <w:top w:val="single" w:sz="6" w:space="0" w:color="auto"/>
              <w:left w:val="single" w:sz="6" w:space="0" w:color="auto"/>
              <w:bottom w:val="single" w:sz="6" w:space="0" w:color="auto"/>
              <w:right w:val="single" w:sz="6" w:space="0" w:color="auto"/>
            </w:tcBorders>
            <w:vAlign w:val="center"/>
          </w:tcPr>
          <w:p w14:paraId="3B47BFC7"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3 363</w:t>
            </w:r>
          </w:p>
        </w:tc>
        <w:tc>
          <w:tcPr>
            <w:tcW w:w="1134" w:type="dxa"/>
            <w:tcBorders>
              <w:top w:val="single" w:sz="6" w:space="0" w:color="auto"/>
              <w:left w:val="single" w:sz="6" w:space="0" w:color="auto"/>
              <w:bottom w:val="single" w:sz="6" w:space="0" w:color="auto"/>
              <w:right w:val="single" w:sz="6" w:space="0" w:color="auto"/>
            </w:tcBorders>
            <w:vAlign w:val="center"/>
          </w:tcPr>
          <w:p w14:paraId="4A950F22"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1 461</w:t>
            </w:r>
          </w:p>
        </w:tc>
        <w:tc>
          <w:tcPr>
            <w:tcW w:w="850" w:type="dxa"/>
            <w:tcBorders>
              <w:top w:val="single" w:sz="6" w:space="0" w:color="auto"/>
              <w:left w:val="single" w:sz="6" w:space="0" w:color="auto"/>
              <w:bottom w:val="single" w:sz="6" w:space="0" w:color="auto"/>
              <w:right w:val="single" w:sz="6" w:space="0" w:color="auto"/>
            </w:tcBorders>
            <w:vAlign w:val="center"/>
          </w:tcPr>
          <w:p w14:paraId="53725D06"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2 446</w:t>
            </w:r>
          </w:p>
        </w:tc>
      </w:tr>
      <w:tr w:rsidR="00BF70C8" w:rsidRPr="00A22CEA" w14:paraId="3B56A5BA" w14:textId="77777777"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14:paraId="4FEF1743" w14:textId="12EB6BFB" w:rsidR="00BF70C8" w:rsidRPr="00A22CEA" w:rsidRDefault="00BF70C8" w:rsidP="00830983">
            <w:pPr>
              <w:autoSpaceDE w:val="0"/>
              <w:autoSpaceDN w:val="0"/>
              <w:adjustRightInd w:val="0"/>
              <w:spacing w:after="0" w:line="240" w:lineRule="auto"/>
              <w:jc w:val="left"/>
              <w:rPr>
                <w:rFonts w:ascii="Calibri" w:hAnsi="Calibri" w:cs="Calibri"/>
                <w:color w:val="000000"/>
                <w:sz w:val="20"/>
                <w:szCs w:val="20"/>
              </w:rPr>
            </w:pPr>
            <w:r w:rsidRPr="00A22CEA">
              <w:rPr>
                <w:rFonts w:ascii="Calibri" w:hAnsi="Calibri" w:cs="Calibri"/>
                <w:color w:val="000000"/>
                <w:sz w:val="20"/>
                <w:szCs w:val="20"/>
              </w:rPr>
              <w:t xml:space="preserve"> </w:t>
            </w:r>
            <w:r w:rsidR="00830983">
              <w:rPr>
                <w:rFonts w:ascii="Calibri" w:hAnsi="Calibri" w:cs="Calibri"/>
                <w:color w:val="000000"/>
                <w:sz w:val="20"/>
                <w:szCs w:val="20"/>
              </w:rPr>
              <w:t>–</w:t>
            </w:r>
            <w:r w:rsidRPr="00A22CEA">
              <w:rPr>
                <w:rFonts w:ascii="Calibri" w:hAnsi="Calibri" w:cs="Calibri"/>
                <w:color w:val="000000"/>
                <w:sz w:val="20"/>
                <w:szCs w:val="20"/>
              </w:rPr>
              <w:t xml:space="preserve"> z toho plocha užívaná státní</w:t>
            </w:r>
            <w:r>
              <w:rPr>
                <w:rFonts w:ascii="Calibri" w:hAnsi="Calibri" w:cs="Calibri"/>
                <w:color w:val="000000"/>
                <w:sz w:val="20"/>
                <w:szCs w:val="20"/>
              </w:rPr>
              <w:t>mi institucemi</w:t>
            </w:r>
            <w:r w:rsidRPr="00A22CEA">
              <w:rPr>
                <w:rFonts w:ascii="Calibri" w:hAnsi="Calibri" w:cs="Calibri"/>
                <w:color w:val="000000"/>
                <w:sz w:val="20"/>
                <w:szCs w:val="20"/>
              </w:rPr>
              <w:t xml:space="preserve"> v nestátních objektech</w:t>
            </w:r>
          </w:p>
        </w:tc>
        <w:tc>
          <w:tcPr>
            <w:tcW w:w="1276" w:type="dxa"/>
            <w:tcBorders>
              <w:top w:val="single" w:sz="6" w:space="0" w:color="auto"/>
              <w:left w:val="single" w:sz="6" w:space="0" w:color="auto"/>
              <w:bottom w:val="single" w:sz="6" w:space="0" w:color="auto"/>
              <w:right w:val="single" w:sz="6" w:space="0" w:color="auto"/>
            </w:tcBorders>
            <w:vAlign w:val="center"/>
          </w:tcPr>
          <w:p w14:paraId="225C5775"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270</w:t>
            </w:r>
          </w:p>
        </w:tc>
        <w:tc>
          <w:tcPr>
            <w:tcW w:w="850" w:type="dxa"/>
            <w:tcBorders>
              <w:top w:val="single" w:sz="6" w:space="0" w:color="auto"/>
              <w:left w:val="single" w:sz="6" w:space="0" w:color="auto"/>
              <w:bottom w:val="single" w:sz="6" w:space="0" w:color="auto"/>
              <w:right w:val="single" w:sz="6" w:space="0" w:color="auto"/>
            </w:tcBorders>
            <w:vAlign w:val="center"/>
          </w:tcPr>
          <w:p w14:paraId="4B93EF7B"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211</w:t>
            </w:r>
          </w:p>
        </w:tc>
        <w:tc>
          <w:tcPr>
            <w:tcW w:w="1134" w:type="dxa"/>
            <w:tcBorders>
              <w:top w:val="single" w:sz="6" w:space="0" w:color="auto"/>
              <w:left w:val="single" w:sz="6" w:space="0" w:color="auto"/>
              <w:bottom w:val="single" w:sz="6" w:space="0" w:color="auto"/>
              <w:right w:val="single" w:sz="6" w:space="0" w:color="auto"/>
            </w:tcBorders>
            <w:vAlign w:val="center"/>
          </w:tcPr>
          <w:p w14:paraId="05572292"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253</w:t>
            </w:r>
          </w:p>
        </w:tc>
        <w:tc>
          <w:tcPr>
            <w:tcW w:w="851" w:type="dxa"/>
            <w:tcBorders>
              <w:top w:val="single" w:sz="6" w:space="0" w:color="auto"/>
              <w:left w:val="single" w:sz="6" w:space="0" w:color="auto"/>
              <w:bottom w:val="single" w:sz="6" w:space="0" w:color="auto"/>
              <w:right w:val="single" w:sz="6" w:space="0" w:color="auto"/>
            </w:tcBorders>
            <w:vAlign w:val="center"/>
          </w:tcPr>
          <w:p w14:paraId="7AD5E931"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219</w:t>
            </w:r>
          </w:p>
        </w:tc>
        <w:tc>
          <w:tcPr>
            <w:tcW w:w="1134" w:type="dxa"/>
            <w:tcBorders>
              <w:top w:val="single" w:sz="6" w:space="0" w:color="auto"/>
              <w:left w:val="single" w:sz="6" w:space="0" w:color="auto"/>
              <w:bottom w:val="single" w:sz="6" w:space="0" w:color="auto"/>
              <w:right w:val="single" w:sz="6" w:space="0" w:color="auto"/>
            </w:tcBorders>
            <w:vAlign w:val="center"/>
          </w:tcPr>
          <w:p w14:paraId="7B5FF8CE"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192</w:t>
            </w:r>
          </w:p>
        </w:tc>
        <w:tc>
          <w:tcPr>
            <w:tcW w:w="850" w:type="dxa"/>
            <w:tcBorders>
              <w:top w:val="single" w:sz="6" w:space="0" w:color="auto"/>
              <w:left w:val="single" w:sz="6" w:space="0" w:color="auto"/>
              <w:bottom w:val="single" w:sz="6" w:space="0" w:color="auto"/>
              <w:right w:val="single" w:sz="6" w:space="0" w:color="auto"/>
            </w:tcBorders>
            <w:vAlign w:val="center"/>
          </w:tcPr>
          <w:p w14:paraId="2BD8E85B"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152</w:t>
            </w:r>
          </w:p>
        </w:tc>
      </w:tr>
      <w:tr w:rsidR="00BF70C8" w:rsidRPr="00A22CEA" w14:paraId="300B8D61" w14:textId="77777777"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14:paraId="0620B308" w14:textId="77777777" w:rsidR="00BF70C8" w:rsidRPr="00A22CEA" w:rsidRDefault="00BF70C8" w:rsidP="00E34F5C">
            <w:pPr>
              <w:autoSpaceDE w:val="0"/>
              <w:autoSpaceDN w:val="0"/>
              <w:adjustRightInd w:val="0"/>
              <w:spacing w:after="0" w:line="240" w:lineRule="auto"/>
              <w:jc w:val="left"/>
              <w:rPr>
                <w:rFonts w:ascii="Calibri" w:hAnsi="Calibri" w:cs="Calibri"/>
                <w:color w:val="000000"/>
                <w:sz w:val="20"/>
                <w:szCs w:val="20"/>
              </w:rPr>
            </w:pPr>
            <w:r w:rsidRPr="00A22CEA">
              <w:rPr>
                <w:rFonts w:ascii="Calibri" w:hAnsi="Calibri" w:cs="Calibri"/>
                <w:color w:val="000000"/>
                <w:sz w:val="20"/>
                <w:szCs w:val="20"/>
              </w:rPr>
              <w:t>Plocha užívaná nestátním</w:t>
            </w:r>
            <w:r>
              <w:rPr>
                <w:rFonts w:ascii="Calibri" w:hAnsi="Calibri" w:cs="Calibri"/>
                <w:color w:val="000000"/>
                <w:sz w:val="20"/>
                <w:szCs w:val="20"/>
              </w:rPr>
              <w:t>i subjekty</w:t>
            </w:r>
          </w:p>
        </w:tc>
        <w:tc>
          <w:tcPr>
            <w:tcW w:w="1276" w:type="dxa"/>
            <w:tcBorders>
              <w:top w:val="single" w:sz="6" w:space="0" w:color="auto"/>
              <w:left w:val="single" w:sz="6" w:space="0" w:color="auto"/>
              <w:bottom w:val="single" w:sz="6" w:space="0" w:color="auto"/>
              <w:right w:val="single" w:sz="6" w:space="0" w:color="auto"/>
            </w:tcBorders>
            <w:vAlign w:val="center"/>
          </w:tcPr>
          <w:p w14:paraId="2F80E0F2"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85</w:t>
            </w:r>
          </w:p>
        </w:tc>
        <w:tc>
          <w:tcPr>
            <w:tcW w:w="850" w:type="dxa"/>
            <w:tcBorders>
              <w:top w:val="single" w:sz="6" w:space="0" w:color="auto"/>
              <w:left w:val="single" w:sz="6" w:space="0" w:color="auto"/>
              <w:bottom w:val="single" w:sz="6" w:space="0" w:color="auto"/>
              <w:right w:val="single" w:sz="6" w:space="0" w:color="auto"/>
            </w:tcBorders>
            <w:vAlign w:val="center"/>
          </w:tcPr>
          <w:p w14:paraId="7E426FBD"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130</w:t>
            </w:r>
          </w:p>
        </w:tc>
        <w:tc>
          <w:tcPr>
            <w:tcW w:w="1134" w:type="dxa"/>
            <w:tcBorders>
              <w:top w:val="single" w:sz="6" w:space="0" w:color="auto"/>
              <w:left w:val="single" w:sz="6" w:space="0" w:color="auto"/>
              <w:bottom w:val="single" w:sz="6" w:space="0" w:color="auto"/>
              <w:right w:val="single" w:sz="6" w:space="0" w:color="auto"/>
            </w:tcBorders>
            <w:vAlign w:val="center"/>
          </w:tcPr>
          <w:p w14:paraId="55C59EF8"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78</w:t>
            </w:r>
          </w:p>
        </w:tc>
        <w:tc>
          <w:tcPr>
            <w:tcW w:w="851" w:type="dxa"/>
            <w:tcBorders>
              <w:top w:val="single" w:sz="6" w:space="0" w:color="auto"/>
              <w:left w:val="single" w:sz="6" w:space="0" w:color="auto"/>
              <w:bottom w:val="single" w:sz="6" w:space="0" w:color="auto"/>
              <w:right w:val="single" w:sz="6" w:space="0" w:color="auto"/>
            </w:tcBorders>
            <w:vAlign w:val="center"/>
          </w:tcPr>
          <w:p w14:paraId="19706CEF"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125</w:t>
            </w:r>
          </w:p>
        </w:tc>
        <w:tc>
          <w:tcPr>
            <w:tcW w:w="1134" w:type="dxa"/>
            <w:tcBorders>
              <w:top w:val="single" w:sz="6" w:space="0" w:color="auto"/>
              <w:left w:val="single" w:sz="6" w:space="0" w:color="auto"/>
              <w:bottom w:val="single" w:sz="6" w:space="0" w:color="auto"/>
              <w:right w:val="single" w:sz="6" w:space="0" w:color="auto"/>
            </w:tcBorders>
            <w:vAlign w:val="center"/>
          </w:tcPr>
          <w:p w14:paraId="090FC254"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70</w:t>
            </w:r>
          </w:p>
        </w:tc>
        <w:tc>
          <w:tcPr>
            <w:tcW w:w="850" w:type="dxa"/>
            <w:tcBorders>
              <w:top w:val="single" w:sz="6" w:space="0" w:color="auto"/>
              <w:left w:val="single" w:sz="6" w:space="0" w:color="auto"/>
              <w:bottom w:val="single" w:sz="6" w:space="0" w:color="auto"/>
              <w:right w:val="single" w:sz="6" w:space="0" w:color="auto"/>
            </w:tcBorders>
            <w:vAlign w:val="center"/>
          </w:tcPr>
          <w:p w14:paraId="3C9EB827"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116</w:t>
            </w:r>
          </w:p>
        </w:tc>
      </w:tr>
      <w:tr w:rsidR="00BF70C8" w:rsidRPr="00A22CEA" w14:paraId="69657BF4" w14:textId="77777777"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14:paraId="463B9A94" w14:textId="77777777" w:rsidR="00BF70C8" w:rsidRPr="00A22CEA" w:rsidRDefault="00BF70C8" w:rsidP="00E34F5C">
            <w:pPr>
              <w:autoSpaceDE w:val="0"/>
              <w:autoSpaceDN w:val="0"/>
              <w:adjustRightInd w:val="0"/>
              <w:spacing w:after="0" w:line="240" w:lineRule="auto"/>
              <w:jc w:val="left"/>
              <w:rPr>
                <w:rFonts w:ascii="Calibri" w:hAnsi="Calibri" w:cs="Calibri"/>
                <w:color w:val="000000"/>
                <w:sz w:val="20"/>
                <w:szCs w:val="20"/>
              </w:rPr>
            </w:pPr>
            <w:r w:rsidRPr="00A22CEA">
              <w:rPr>
                <w:rFonts w:ascii="Calibri" w:hAnsi="Calibri" w:cs="Calibri"/>
                <w:color w:val="000000"/>
                <w:sz w:val="20"/>
                <w:szCs w:val="20"/>
              </w:rPr>
              <w:t>Plocha nevyužitá</w:t>
            </w:r>
          </w:p>
        </w:tc>
        <w:tc>
          <w:tcPr>
            <w:tcW w:w="1276" w:type="dxa"/>
            <w:tcBorders>
              <w:top w:val="single" w:sz="6" w:space="0" w:color="auto"/>
              <w:left w:val="single" w:sz="6" w:space="0" w:color="auto"/>
              <w:bottom w:val="single" w:sz="6" w:space="0" w:color="auto"/>
              <w:right w:val="single" w:sz="6" w:space="0" w:color="auto"/>
            </w:tcBorders>
            <w:vAlign w:val="center"/>
          </w:tcPr>
          <w:p w14:paraId="77A5FF85"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116</w:t>
            </w:r>
          </w:p>
        </w:tc>
        <w:tc>
          <w:tcPr>
            <w:tcW w:w="850" w:type="dxa"/>
            <w:tcBorders>
              <w:top w:val="single" w:sz="6" w:space="0" w:color="auto"/>
              <w:left w:val="single" w:sz="6" w:space="0" w:color="auto"/>
              <w:bottom w:val="single" w:sz="6" w:space="0" w:color="auto"/>
              <w:right w:val="single" w:sz="6" w:space="0" w:color="auto"/>
            </w:tcBorders>
            <w:vAlign w:val="center"/>
          </w:tcPr>
          <w:p w14:paraId="364896C4"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215</w:t>
            </w:r>
          </w:p>
        </w:tc>
        <w:tc>
          <w:tcPr>
            <w:tcW w:w="1134" w:type="dxa"/>
            <w:tcBorders>
              <w:top w:val="single" w:sz="6" w:space="0" w:color="auto"/>
              <w:left w:val="single" w:sz="6" w:space="0" w:color="auto"/>
              <w:bottom w:val="single" w:sz="6" w:space="0" w:color="auto"/>
              <w:right w:val="single" w:sz="6" w:space="0" w:color="auto"/>
            </w:tcBorders>
            <w:vAlign w:val="center"/>
          </w:tcPr>
          <w:p w14:paraId="19CCA403"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123</w:t>
            </w:r>
          </w:p>
        </w:tc>
        <w:tc>
          <w:tcPr>
            <w:tcW w:w="851" w:type="dxa"/>
            <w:tcBorders>
              <w:top w:val="single" w:sz="6" w:space="0" w:color="auto"/>
              <w:left w:val="single" w:sz="6" w:space="0" w:color="auto"/>
              <w:bottom w:val="single" w:sz="6" w:space="0" w:color="auto"/>
              <w:right w:val="single" w:sz="6" w:space="0" w:color="auto"/>
            </w:tcBorders>
            <w:vAlign w:val="center"/>
          </w:tcPr>
          <w:p w14:paraId="5ABCD384"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209</w:t>
            </w:r>
          </w:p>
        </w:tc>
        <w:tc>
          <w:tcPr>
            <w:tcW w:w="1134" w:type="dxa"/>
            <w:tcBorders>
              <w:top w:val="single" w:sz="6" w:space="0" w:color="auto"/>
              <w:left w:val="single" w:sz="6" w:space="0" w:color="auto"/>
              <w:bottom w:val="single" w:sz="6" w:space="0" w:color="auto"/>
              <w:right w:val="single" w:sz="6" w:space="0" w:color="auto"/>
            </w:tcBorders>
            <w:vAlign w:val="center"/>
          </w:tcPr>
          <w:p w14:paraId="190B5349"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107</w:t>
            </w:r>
          </w:p>
        </w:tc>
        <w:tc>
          <w:tcPr>
            <w:tcW w:w="850" w:type="dxa"/>
            <w:tcBorders>
              <w:top w:val="single" w:sz="6" w:space="0" w:color="auto"/>
              <w:left w:val="single" w:sz="6" w:space="0" w:color="auto"/>
              <w:bottom w:val="single" w:sz="6" w:space="0" w:color="auto"/>
              <w:right w:val="single" w:sz="6" w:space="0" w:color="auto"/>
            </w:tcBorders>
            <w:vAlign w:val="center"/>
          </w:tcPr>
          <w:p w14:paraId="6286D34F" w14:textId="77777777" w:rsidR="00BF70C8" w:rsidRPr="00A22CEA" w:rsidRDefault="00BF70C8" w:rsidP="00E34F5C">
            <w:pPr>
              <w:autoSpaceDE w:val="0"/>
              <w:autoSpaceDN w:val="0"/>
              <w:adjustRightInd w:val="0"/>
              <w:spacing w:after="0" w:line="240" w:lineRule="auto"/>
              <w:jc w:val="right"/>
              <w:rPr>
                <w:rFonts w:ascii="Calibri" w:hAnsi="Calibri" w:cs="Calibri"/>
                <w:color w:val="000000"/>
                <w:sz w:val="20"/>
                <w:szCs w:val="20"/>
              </w:rPr>
            </w:pPr>
            <w:r w:rsidRPr="00A22CEA">
              <w:rPr>
                <w:rFonts w:ascii="Calibri" w:hAnsi="Calibri" w:cs="Calibri"/>
                <w:color w:val="000000"/>
                <w:sz w:val="20"/>
                <w:szCs w:val="20"/>
              </w:rPr>
              <w:t>232</w:t>
            </w:r>
          </w:p>
        </w:tc>
      </w:tr>
    </w:tbl>
    <w:p w14:paraId="75511BF3" w14:textId="1782BB59" w:rsidR="00BF70C8" w:rsidRDefault="00BF70C8" w:rsidP="00BF70C8">
      <w:pPr>
        <w:rPr>
          <w:sz w:val="20"/>
          <w:szCs w:val="20"/>
        </w:rPr>
      </w:pPr>
      <w:r w:rsidRPr="00A22CEA">
        <w:rPr>
          <w:b/>
          <w:sz w:val="20"/>
          <w:szCs w:val="20"/>
        </w:rPr>
        <w:t>Zdroj:</w:t>
      </w:r>
      <w:r>
        <w:rPr>
          <w:sz w:val="20"/>
          <w:szCs w:val="20"/>
        </w:rPr>
        <w:t xml:space="preserve"> </w:t>
      </w:r>
      <w:r w:rsidR="00137025">
        <w:rPr>
          <w:sz w:val="20"/>
          <w:szCs w:val="20"/>
        </w:rPr>
        <w:t>r</w:t>
      </w:r>
      <w:r>
        <w:rPr>
          <w:sz w:val="20"/>
          <w:szCs w:val="20"/>
        </w:rPr>
        <w:t xml:space="preserve">eport analytického modulu CRAB č. 15 – </w:t>
      </w:r>
      <w:r w:rsidR="00137025">
        <w:rPr>
          <w:sz w:val="20"/>
          <w:szCs w:val="20"/>
        </w:rPr>
        <w:t>c</w:t>
      </w:r>
      <w:r>
        <w:rPr>
          <w:sz w:val="20"/>
          <w:szCs w:val="20"/>
        </w:rPr>
        <w:t>elkové veličiny, získáno z CRAB v dubnu 2017</w:t>
      </w:r>
      <w:r w:rsidR="00137025">
        <w:rPr>
          <w:sz w:val="20"/>
          <w:szCs w:val="20"/>
        </w:rPr>
        <w:t>.</w:t>
      </w:r>
    </w:p>
    <w:p w14:paraId="24DAE372" w14:textId="513D5CC4" w:rsidR="0097189A" w:rsidRPr="00330BDC" w:rsidRDefault="00E42DF1" w:rsidP="00E42DF1">
      <w:pPr>
        <w:pStyle w:val="KPnormln"/>
        <w:rPr>
          <w:color w:val="auto"/>
          <w:lang w:eastAsia="cs-CZ"/>
        </w:rPr>
      </w:pPr>
      <w:r>
        <w:rPr>
          <w:lang w:eastAsia="cs-CZ"/>
        </w:rPr>
        <w:t xml:space="preserve">Dle údajů evidovaných v CRAB </w:t>
      </w:r>
      <w:r w:rsidR="00AE58EA">
        <w:rPr>
          <w:lang w:eastAsia="cs-CZ"/>
        </w:rPr>
        <w:t xml:space="preserve">za rok 2016 </w:t>
      </w:r>
      <w:r>
        <w:rPr>
          <w:lang w:eastAsia="cs-CZ"/>
        </w:rPr>
        <w:t xml:space="preserve">má více než polovina (52 %) administrativních objektů ve vlastnictví státu </w:t>
      </w:r>
      <w:r w:rsidR="00742326">
        <w:rPr>
          <w:lang w:eastAsia="cs-CZ"/>
        </w:rPr>
        <w:t>méně úspornou</w:t>
      </w:r>
      <w:r>
        <w:rPr>
          <w:lang w:eastAsia="cs-CZ"/>
        </w:rPr>
        <w:t xml:space="preserve"> až mimořádně nehospodárn</w:t>
      </w:r>
      <w:r w:rsidR="00742326">
        <w:rPr>
          <w:lang w:eastAsia="cs-CZ"/>
        </w:rPr>
        <w:t>ou</w:t>
      </w:r>
      <w:r>
        <w:rPr>
          <w:lang w:eastAsia="cs-CZ"/>
        </w:rPr>
        <w:t xml:space="preserve"> </w:t>
      </w:r>
      <w:r w:rsidR="00CB08AA">
        <w:rPr>
          <w:lang w:eastAsia="cs-CZ"/>
        </w:rPr>
        <w:t xml:space="preserve">klasifikační třídu </w:t>
      </w:r>
      <w:r>
        <w:rPr>
          <w:lang w:eastAsia="cs-CZ"/>
        </w:rPr>
        <w:lastRenderedPageBreak/>
        <w:t>energetické náročnosti</w:t>
      </w:r>
      <w:r w:rsidR="00742326">
        <w:rPr>
          <w:lang w:eastAsia="cs-CZ"/>
        </w:rPr>
        <w:t xml:space="preserve"> budovy</w:t>
      </w:r>
      <w:r w:rsidR="00A225DC">
        <w:rPr>
          <w:lang w:eastAsia="cs-CZ"/>
        </w:rPr>
        <w:t xml:space="preserve"> (tj. třídu D</w:t>
      </w:r>
      <w:r w:rsidR="00A225DC" w:rsidRPr="00E026BD">
        <w:rPr>
          <w:szCs w:val="24"/>
        </w:rPr>
        <w:t>–</w:t>
      </w:r>
      <w:r w:rsidR="00A225DC">
        <w:rPr>
          <w:lang w:eastAsia="cs-CZ"/>
        </w:rPr>
        <w:t>G)</w:t>
      </w:r>
      <w:r>
        <w:rPr>
          <w:lang w:eastAsia="cs-CZ"/>
        </w:rPr>
        <w:t xml:space="preserve">. </w:t>
      </w:r>
      <w:r w:rsidR="00742326">
        <w:rPr>
          <w:lang w:eastAsia="cs-CZ"/>
        </w:rPr>
        <w:t>M</w:t>
      </w:r>
      <w:r>
        <w:rPr>
          <w:lang w:eastAsia="cs-CZ"/>
        </w:rPr>
        <w:t>imořádně úsporn</w:t>
      </w:r>
      <w:r w:rsidR="00C5697A">
        <w:rPr>
          <w:lang w:eastAsia="cs-CZ"/>
        </w:rPr>
        <w:t>ou</w:t>
      </w:r>
      <w:r>
        <w:rPr>
          <w:lang w:eastAsia="cs-CZ"/>
        </w:rPr>
        <w:t xml:space="preserve"> až </w:t>
      </w:r>
      <w:r w:rsidR="00742326">
        <w:rPr>
          <w:lang w:eastAsia="cs-CZ"/>
        </w:rPr>
        <w:t>ú</w:t>
      </w:r>
      <w:r w:rsidR="00C5697A">
        <w:rPr>
          <w:lang w:eastAsia="cs-CZ"/>
        </w:rPr>
        <w:t>spornou</w:t>
      </w:r>
      <w:r w:rsidR="00742326">
        <w:rPr>
          <w:lang w:eastAsia="cs-CZ"/>
        </w:rPr>
        <w:t xml:space="preserve"> </w:t>
      </w:r>
      <w:r w:rsidR="00C5697A">
        <w:rPr>
          <w:lang w:eastAsia="cs-CZ"/>
        </w:rPr>
        <w:t xml:space="preserve">klasifikační třídu </w:t>
      </w:r>
      <w:r w:rsidR="00A225DC">
        <w:rPr>
          <w:lang w:eastAsia="cs-CZ"/>
        </w:rPr>
        <w:t>(tj. třídu A</w:t>
      </w:r>
      <w:r w:rsidR="00A225DC" w:rsidRPr="00E026BD">
        <w:rPr>
          <w:szCs w:val="24"/>
        </w:rPr>
        <w:t>–</w:t>
      </w:r>
      <w:r w:rsidR="00A225DC">
        <w:rPr>
          <w:szCs w:val="24"/>
        </w:rPr>
        <w:t xml:space="preserve">C) </w:t>
      </w:r>
      <w:r w:rsidR="00742326">
        <w:rPr>
          <w:lang w:eastAsia="cs-CZ"/>
        </w:rPr>
        <w:t>má</w:t>
      </w:r>
      <w:r>
        <w:rPr>
          <w:lang w:eastAsia="cs-CZ"/>
        </w:rPr>
        <w:t xml:space="preserve"> 22 % administrativních objektů ve vlastnictví státu evidovaných v CRAB. U 26 % objektů není </w:t>
      </w:r>
      <w:r w:rsidR="00C5697A">
        <w:rPr>
          <w:lang w:eastAsia="cs-CZ"/>
        </w:rPr>
        <w:t>klasifikační třída</w:t>
      </w:r>
      <w:r w:rsidR="00006C35">
        <w:rPr>
          <w:lang w:eastAsia="cs-CZ"/>
        </w:rPr>
        <w:t xml:space="preserve"> </w:t>
      </w:r>
      <w:r>
        <w:rPr>
          <w:lang w:eastAsia="cs-CZ"/>
        </w:rPr>
        <w:t>energetické náročnosti v CRAB vyplněn</w:t>
      </w:r>
      <w:r w:rsidR="00006C35">
        <w:rPr>
          <w:lang w:eastAsia="cs-CZ"/>
        </w:rPr>
        <w:t>a</w:t>
      </w:r>
      <w:r>
        <w:rPr>
          <w:lang w:eastAsia="cs-CZ"/>
        </w:rPr>
        <w:t>. Nejvíce objektů s </w:t>
      </w:r>
      <w:r w:rsidR="00006C35">
        <w:rPr>
          <w:lang w:eastAsia="cs-CZ"/>
        </w:rPr>
        <w:t xml:space="preserve">méně úspornou </w:t>
      </w:r>
      <w:r>
        <w:rPr>
          <w:lang w:eastAsia="cs-CZ"/>
        </w:rPr>
        <w:t>až mimořádně nehospodárn</w:t>
      </w:r>
      <w:r w:rsidR="00006C35">
        <w:rPr>
          <w:lang w:eastAsia="cs-CZ"/>
        </w:rPr>
        <w:t xml:space="preserve">ou </w:t>
      </w:r>
      <w:r w:rsidR="00C5697A">
        <w:rPr>
          <w:lang w:eastAsia="cs-CZ"/>
        </w:rPr>
        <w:t>klasifikační třídou</w:t>
      </w:r>
      <w:r>
        <w:rPr>
          <w:lang w:eastAsia="cs-CZ"/>
        </w:rPr>
        <w:t xml:space="preserve"> energetické náročnosti</w:t>
      </w:r>
      <w:r w:rsidR="00006C35">
        <w:rPr>
          <w:lang w:eastAsia="cs-CZ"/>
        </w:rPr>
        <w:t xml:space="preserve"> budovy</w:t>
      </w:r>
      <w:r>
        <w:rPr>
          <w:lang w:eastAsia="cs-CZ"/>
        </w:rPr>
        <w:t xml:space="preserve"> je v Praze</w:t>
      </w:r>
      <w:r w:rsidR="00D5485E">
        <w:rPr>
          <w:lang w:eastAsia="cs-CZ"/>
        </w:rPr>
        <w:t>, blíže viz</w:t>
      </w:r>
      <w:r>
        <w:rPr>
          <w:lang w:eastAsia="cs-CZ"/>
        </w:rPr>
        <w:t xml:space="preserve"> přílo</w:t>
      </w:r>
      <w:r w:rsidR="00830983">
        <w:rPr>
          <w:lang w:eastAsia="cs-CZ"/>
        </w:rPr>
        <w:t>ha</w:t>
      </w:r>
      <w:r>
        <w:rPr>
          <w:lang w:eastAsia="cs-CZ"/>
        </w:rPr>
        <w:t xml:space="preserve"> č. </w:t>
      </w:r>
      <w:r w:rsidR="00553E8C">
        <w:rPr>
          <w:lang w:eastAsia="cs-CZ"/>
        </w:rPr>
        <w:t>4</w:t>
      </w:r>
      <w:r w:rsidRPr="00330BDC">
        <w:rPr>
          <w:color w:val="auto"/>
          <w:lang w:eastAsia="cs-CZ"/>
        </w:rPr>
        <w:t>.</w:t>
      </w:r>
      <w:r w:rsidRPr="00330BDC" w:rsidDel="00E42DF1">
        <w:rPr>
          <w:color w:val="auto"/>
          <w:lang w:eastAsia="cs-CZ"/>
        </w:rPr>
        <w:t xml:space="preserve"> </w:t>
      </w:r>
    </w:p>
    <w:p w14:paraId="1601E907" w14:textId="77777777" w:rsidR="00AC7261" w:rsidRDefault="00426815" w:rsidP="00AC7261">
      <w:pPr>
        <w:autoSpaceDE w:val="0"/>
        <w:autoSpaceDN w:val="0"/>
        <w:rPr>
          <w:rFonts w:eastAsia="Times New Roman" w:cstheme="minorHAnsi"/>
          <w:color w:val="000000"/>
          <w:lang w:eastAsia="cs-CZ"/>
        </w:rPr>
      </w:pPr>
      <w:r>
        <w:rPr>
          <w:szCs w:val="24"/>
        </w:rPr>
        <w:t>Dle</w:t>
      </w:r>
      <w:r w:rsidRPr="00E026BD">
        <w:rPr>
          <w:sz w:val="16"/>
          <w:szCs w:val="16"/>
        </w:rPr>
        <w:t xml:space="preserve"> </w:t>
      </w:r>
      <w:r>
        <w:rPr>
          <w:i/>
          <w:iCs/>
          <w:szCs w:val="24"/>
        </w:rPr>
        <w:t>Zprávy</w:t>
      </w:r>
      <w:r w:rsidRPr="00E026BD">
        <w:rPr>
          <w:i/>
          <w:iCs/>
          <w:szCs w:val="24"/>
        </w:rPr>
        <w:t xml:space="preserve"> </w:t>
      </w:r>
      <w:r w:rsidRPr="00426815">
        <w:rPr>
          <w:i/>
          <w:iCs/>
          <w:szCs w:val="24"/>
        </w:rPr>
        <w:t>o stavu dosahování národních cílů v oblasti energetické účinnosti</w:t>
      </w:r>
      <w:r w:rsidRPr="00702837">
        <w:rPr>
          <w:rStyle w:val="Znakapoznpodarou"/>
          <w:iCs/>
          <w:szCs w:val="24"/>
        </w:rPr>
        <w:footnoteReference w:id="30"/>
      </w:r>
      <w:r w:rsidRPr="00426815">
        <w:rPr>
          <w:szCs w:val="24"/>
        </w:rPr>
        <w:t xml:space="preserve"> nebyla splněna plánovan</w:t>
      </w:r>
      <w:r w:rsidRPr="00632779">
        <w:rPr>
          <w:szCs w:val="24"/>
        </w:rPr>
        <w:t>á výše úspor za období</w:t>
      </w:r>
      <w:r w:rsidRPr="00D5485E">
        <w:rPr>
          <w:i/>
          <w:iCs/>
          <w:szCs w:val="24"/>
        </w:rPr>
        <w:t xml:space="preserve"> </w:t>
      </w:r>
      <w:r w:rsidRPr="00D5485E">
        <w:rPr>
          <w:szCs w:val="24"/>
        </w:rPr>
        <w:t xml:space="preserve">let </w:t>
      </w:r>
      <w:r w:rsidRPr="00330BDC">
        <w:rPr>
          <w:szCs w:val="24"/>
        </w:rPr>
        <w:t>2014–2016.</w:t>
      </w:r>
      <w:r w:rsidRPr="00426815">
        <w:rPr>
          <w:rFonts w:ascii="Calibri,Italic" w:hAnsi="Calibri,Italic"/>
          <w:i/>
          <w:iCs/>
          <w:szCs w:val="24"/>
        </w:rPr>
        <w:t xml:space="preserve"> </w:t>
      </w:r>
      <w:r w:rsidR="00354CD6" w:rsidRPr="00426815">
        <w:rPr>
          <w:rFonts w:eastAsia="Times New Roman" w:cstheme="minorHAnsi"/>
          <w:color w:val="000000"/>
          <w:lang w:eastAsia="cs-CZ"/>
        </w:rPr>
        <w:t xml:space="preserve">V roce 2015 byl v ČR přijat plán </w:t>
      </w:r>
      <w:r w:rsidR="00354CD6" w:rsidRPr="00632779">
        <w:rPr>
          <w:rFonts w:eastAsia="Times New Roman" w:cstheme="minorHAnsi"/>
          <w:color w:val="000000"/>
          <w:lang w:eastAsia="cs-CZ"/>
        </w:rPr>
        <w:t>energeticky úsporný</w:t>
      </w:r>
      <w:r w:rsidR="00354CD6" w:rsidRPr="007014CF">
        <w:rPr>
          <w:rFonts w:eastAsia="Times New Roman" w:cstheme="minorHAnsi"/>
          <w:color w:val="000000"/>
          <w:lang w:eastAsia="cs-CZ"/>
        </w:rPr>
        <w:t>ch opatření realizovaných státními institucemi v letech 2016</w:t>
      </w:r>
      <w:r w:rsidR="00354CD6" w:rsidRPr="00426815">
        <w:t>–</w:t>
      </w:r>
      <w:r w:rsidR="00354CD6" w:rsidRPr="00426815">
        <w:rPr>
          <w:rFonts w:eastAsia="Times New Roman" w:cstheme="minorHAnsi"/>
          <w:color w:val="000000"/>
          <w:lang w:eastAsia="cs-CZ"/>
        </w:rPr>
        <w:t>2020 s cílem dosáhnout potřeb</w:t>
      </w:r>
      <w:r w:rsidR="00EB3A13">
        <w:rPr>
          <w:rFonts w:eastAsia="Times New Roman" w:cstheme="minorHAnsi"/>
          <w:color w:val="000000"/>
          <w:lang w:eastAsia="cs-CZ"/>
        </w:rPr>
        <w:t>ných úspor energie v souladu s l</w:t>
      </w:r>
      <w:r w:rsidR="00354CD6" w:rsidRPr="00426815">
        <w:rPr>
          <w:rFonts w:eastAsia="Times New Roman" w:cstheme="minorHAnsi"/>
          <w:color w:val="000000"/>
          <w:lang w:eastAsia="cs-CZ"/>
        </w:rPr>
        <w:t>egislativou Evropské unie</w:t>
      </w:r>
      <w:r w:rsidR="00354CD6" w:rsidRPr="00426815">
        <w:rPr>
          <w:rStyle w:val="Znakapoznpodarou"/>
          <w:rFonts w:eastAsia="Times New Roman" w:cstheme="minorHAnsi"/>
          <w:color w:val="000000"/>
          <w:lang w:eastAsia="cs-CZ"/>
        </w:rPr>
        <w:footnoteReference w:id="31"/>
      </w:r>
      <w:r w:rsidR="00354CD6" w:rsidRPr="00426815">
        <w:rPr>
          <w:rFonts w:eastAsia="Times New Roman" w:cstheme="minorHAnsi"/>
          <w:color w:val="000000"/>
          <w:lang w:eastAsia="cs-CZ"/>
        </w:rPr>
        <w:t>.</w:t>
      </w:r>
      <w:r w:rsidR="00354CD6" w:rsidRPr="00AE5134">
        <w:rPr>
          <w:rFonts w:eastAsia="Times New Roman" w:cstheme="minorHAnsi"/>
          <w:color w:val="000000"/>
          <w:lang w:eastAsia="cs-CZ"/>
        </w:rPr>
        <w:t xml:space="preserve"> </w:t>
      </w:r>
    </w:p>
    <w:p w14:paraId="20C7C04A" w14:textId="61EE8219" w:rsidR="00C165C7" w:rsidRPr="00FD578E" w:rsidRDefault="00C165C7" w:rsidP="00AC7261">
      <w:pPr>
        <w:autoSpaceDE w:val="0"/>
        <w:autoSpaceDN w:val="0"/>
        <w:rPr>
          <w:b/>
          <w:szCs w:val="24"/>
        </w:rPr>
      </w:pPr>
      <w:r w:rsidRPr="00FD578E">
        <w:rPr>
          <w:b/>
          <w:szCs w:val="24"/>
        </w:rPr>
        <w:t>Správa nemovitého majetku v resortu MV</w:t>
      </w:r>
    </w:p>
    <w:p w14:paraId="55C46480" w14:textId="6EFEEE6B" w:rsidR="00DC7B02" w:rsidRPr="001C7193" w:rsidRDefault="001C7193" w:rsidP="00327E78">
      <w:r>
        <w:rPr>
          <w:lang w:eastAsia="cs-CZ"/>
        </w:rPr>
        <w:t>Pro</w:t>
      </w:r>
      <w:r w:rsidR="00830983">
        <w:rPr>
          <w:lang w:eastAsia="cs-CZ"/>
        </w:rPr>
        <w:t xml:space="preserve"> </w:t>
      </w:r>
      <w:r w:rsidRPr="003B10B4">
        <w:rPr>
          <w:rFonts w:cs="Arial"/>
          <w:bCs/>
        </w:rPr>
        <w:t>sledování informací o</w:t>
      </w:r>
      <w:r>
        <w:rPr>
          <w:rFonts w:cs="Arial"/>
          <w:bCs/>
        </w:rPr>
        <w:t> nemovitém</w:t>
      </w:r>
      <w:r w:rsidRPr="003B10B4">
        <w:rPr>
          <w:rFonts w:cs="Arial"/>
          <w:bCs/>
        </w:rPr>
        <w:t xml:space="preserve"> majetku</w:t>
      </w:r>
      <w:r>
        <w:rPr>
          <w:rFonts w:cs="Arial"/>
          <w:bCs/>
        </w:rPr>
        <w:t xml:space="preserve"> resortu MV byl v rámci projektu </w:t>
      </w:r>
      <w:r w:rsidR="00147CD9" w:rsidRPr="00702837">
        <w:rPr>
          <w:rFonts w:cstheme="minorHAnsi"/>
          <w:bCs/>
          <w:i/>
        </w:rPr>
        <w:t>Systém ekonomických a projektových informací v eGovernmentu</w:t>
      </w:r>
      <w:r w:rsidR="00147CD9">
        <w:rPr>
          <w:rFonts w:cs="Arial"/>
          <w:bCs/>
        </w:rPr>
        <w:t xml:space="preserve"> (dále také „</w:t>
      </w:r>
      <w:r>
        <w:rPr>
          <w:rFonts w:cs="Arial"/>
          <w:bCs/>
        </w:rPr>
        <w:t>SEPIe</w:t>
      </w:r>
      <w:r w:rsidR="00147CD9">
        <w:rPr>
          <w:rFonts w:cs="Arial"/>
          <w:bCs/>
        </w:rPr>
        <w:t>“)</w:t>
      </w:r>
      <w:r>
        <w:rPr>
          <w:rStyle w:val="Znakapoznpodarou"/>
          <w:rFonts w:cs="Arial"/>
          <w:bCs/>
        </w:rPr>
        <w:footnoteReference w:id="32"/>
      </w:r>
      <w:r>
        <w:t xml:space="preserve"> vytvořen informační systém REM. </w:t>
      </w:r>
      <w:r w:rsidR="00557FD7">
        <w:t>V </w:t>
      </w:r>
      <w:r w:rsidR="00203FC6">
        <w:t>něm</w:t>
      </w:r>
      <w:r w:rsidR="00557FD7">
        <w:t xml:space="preserve"> jsou evidovány údaje o stavebních objektech, na</w:t>
      </w:r>
      <w:r w:rsidR="00ED00BC">
        <w:t xml:space="preserve"> </w:t>
      </w:r>
      <w:r w:rsidR="00557FD7">
        <w:t xml:space="preserve">které se účtují energie a provozní náklady. MV </w:t>
      </w:r>
      <w:r w:rsidR="00327E78">
        <w:t xml:space="preserve">zadává </w:t>
      </w:r>
      <w:r w:rsidR="00557FD7">
        <w:t xml:space="preserve">do CRAB údaje </w:t>
      </w:r>
      <w:r>
        <w:t>o </w:t>
      </w:r>
      <w:r w:rsidR="00557FD7">
        <w:t>administrativních objektech</w:t>
      </w:r>
      <w:r w:rsidR="00DC7B02">
        <w:rPr>
          <w:rStyle w:val="Znakapoznpodarou"/>
        </w:rPr>
        <w:footnoteReference w:id="33"/>
      </w:r>
      <w:r w:rsidR="00557FD7">
        <w:t xml:space="preserve"> </w:t>
      </w:r>
      <w:r w:rsidR="00DC7B02">
        <w:t xml:space="preserve">z REM </w:t>
      </w:r>
      <w:r w:rsidR="00557FD7">
        <w:t>a dalších modulů EKIS</w:t>
      </w:r>
      <w:r w:rsidR="00327E78">
        <w:t xml:space="preserve"> </w:t>
      </w:r>
      <w:r w:rsidR="00A950E1">
        <w:t>automatizovaně</w:t>
      </w:r>
      <w:r w:rsidR="00557FD7">
        <w:t xml:space="preserve">. </w:t>
      </w:r>
      <w:r w:rsidR="004F2695">
        <w:t>Dle údajů za rok</w:t>
      </w:r>
      <w:r w:rsidR="00ED00BC">
        <w:t>y</w:t>
      </w:r>
      <w:r w:rsidR="004F2695">
        <w:t xml:space="preserve"> 2014 a 2015 </w:t>
      </w:r>
      <w:r w:rsidR="00ED00BC">
        <w:t xml:space="preserve">zadalo </w:t>
      </w:r>
      <w:r w:rsidR="004F2695" w:rsidRPr="00C21F0F">
        <w:t>MV</w:t>
      </w:r>
      <w:r w:rsidR="004F2695">
        <w:t xml:space="preserve"> včetně ZSMV</w:t>
      </w:r>
      <w:r w:rsidR="004F2695" w:rsidRPr="00C21F0F">
        <w:t xml:space="preserve"> </w:t>
      </w:r>
      <w:r w:rsidR="00327E78">
        <w:t>do</w:t>
      </w:r>
      <w:r w:rsidR="00ED00BC">
        <w:t xml:space="preserve"> </w:t>
      </w:r>
      <w:r w:rsidR="004F2695" w:rsidRPr="00C21F0F">
        <w:t xml:space="preserve">CRAB zhruba tisíc objektů, tedy přibližně třetinu </w:t>
      </w:r>
      <w:r w:rsidR="004F2695">
        <w:t xml:space="preserve">objektů evidovaných v CRAB. </w:t>
      </w:r>
      <w:r w:rsidR="00557FD7">
        <w:t xml:space="preserve">Výdaje </w:t>
      </w:r>
      <w:r w:rsidR="00ED00BC">
        <w:t xml:space="preserve">MV </w:t>
      </w:r>
      <w:r w:rsidR="00557FD7">
        <w:t>na vytvoření a úpravu programu pro migraci dat do</w:t>
      </w:r>
      <w:r w:rsidR="00ED00BC">
        <w:t xml:space="preserve"> </w:t>
      </w:r>
      <w:r w:rsidR="00557FD7">
        <w:t>CRAB činily 2,4</w:t>
      </w:r>
      <w:r w:rsidR="00DC7B02">
        <w:t> </w:t>
      </w:r>
      <w:r w:rsidR="00557FD7">
        <w:t>mil.</w:t>
      </w:r>
      <w:r w:rsidR="00DC7B02">
        <w:t> </w:t>
      </w:r>
      <w:r w:rsidR="00557FD7">
        <w:t>Kč.</w:t>
      </w:r>
      <w:r w:rsidR="00DC7B02">
        <w:t xml:space="preserve"> </w:t>
      </w:r>
      <w:r w:rsidR="00DC7B02" w:rsidRPr="00DE1CA5">
        <w:rPr>
          <w:rFonts w:cs="Arial"/>
          <w:bCs/>
        </w:rPr>
        <w:t>Celkové výdaje vynaložené na</w:t>
      </w:r>
      <w:r w:rsidR="00ED00BC">
        <w:rPr>
          <w:rFonts w:cs="Arial"/>
          <w:bCs/>
        </w:rPr>
        <w:t xml:space="preserve"> </w:t>
      </w:r>
      <w:r w:rsidR="00DC7B02" w:rsidRPr="00DE1CA5">
        <w:rPr>
          <w:rFonts w:cs="Arial"/>
          <w:bCs/>
        </w:rPr>
        <w:t xml:space="preserve">pořízení </w:t>
      </w:r>
      <w:r w:rsidR="00DC7B02">
        <w:rPr>
          <w:rFonts w:cs="Arial"/>
          <w:bCs/>
        </w:rPr>
        <w:t>REM</w:t>
      </w:r>
      <w:r w:rsidR="00DC7B02" w:rsidRPr="00DE1CA5">
        <w:rPr>
          <w:rFonts w:cs="Arial"/>
          <w:bCs/>
        </w:rPr>
        <w:t xml:space="preserve"> </w:t>
      </w:r>
      <w:r w:rsidR="00327E78">
        <w:rPr>
          <w:rFonts w:cs="Arial"/>
          <w:bCs/>
        </w:rPr>
        <w:t>nebyly</w:t>
      </w:r>
      <w:r w:rsidR="00327E78" w:rsidRPr="00DE1CA5">
        <w:rPr>
          <w:rFonts w:cs="Arial"/>
          <w:bCs/>
        </w:rPr>
        <w:t xml:space="preserve"> </w:t>
      </w:r>
      <w:r w:rsidR="00DC7B02" w:rsidRPr="00DE1CA5">
        <w:rPr>
          <w:rFonts w:cs="Arial"/>
          <w:bCs/>
        </w:rPr>
        <w:t>evidovány odděleně od</w:t>
      </w:r>
      <w:r w:rsidR="00ED00BC">
        <w:rPr>
          <w:rFonts w:cs="Arial"/>
          <w:bCs/>
        </w:rPr>
        <w:t xml:space="preserve"> </w:t>
      </w:r>
      <w:r w:rsidR="00DC7B02" w:rsidRPr="00DE1CA5">
        <w:rPr>
          <w:rFonts w:cs="Arial"/>
          <w:bCs/>
        </w:rPr>
        <w:t xml:space="preserve">celkových výdajů </w:t>
      </w:r>
      <w:r w:rsidR="00DC7B02">
        <w:rPr>
          <w:rFonts w:cs="Arial"/>
          <w:bCs/>
        </w:rPr>
        <w:t>na projekt SEPIe</w:t>
      </w:r>
      <w:r w:rsidR="00A93467">
        <w:rPr>
          <w:rFonts w:cs="Arial"/>
          <w:bCs/>
        </w:rPr>
        <w:t>, které činily</w:t>
      </w:r>
      <w:r w:rsidR="00DC7B02">
        <w:rPr>
          <w:rFonts w:cs="Arial"/>
          <w:bCs/>
        </w:rPr>
        <w:t xml:space="preserve"> 258 mil. Kč</w:t>
      </w:r>
      <w:r w:rsidR="00DC7B02">
        <w:rPr>
          <w:rStyle w:val="Znakapoznpodarou"/>
          <w:rFonts w:cs="Arial"/>
          <w:bCs/>
        </w:rPr>
        <w:footnoteReference w:id="34"/>
      </w:r>
      <w:r w:rsidR="00A93467">
        <w:rPr>
          <w:rFonts w:cs="Arial"/>
          <w:bCs/>
        </w:rPr>
        <w:t>,</w:t>
      </w:r>
      <w:r w:rsidR="00DC7B02">
        <w:rPr>
          <w:rFonts w:cs="Arial"/>
          <w:bCs/>
        </w:rPr>
        <w:t xml:space="preserve"> a</w:t>
      </w:r>
      <w:r w:rsidR="004F2695">
        <w:rPr>
          <w:rFonts w:cs="Arial"/>
          <w:bCs/>
        </w:rPr>
        <w:t> </w:t>
      </w:r>
      <w:r w:rsidR="00DC7B02">
        <w:rPr>
          <w:rFonts w:cs="Arial"/>
          <w:bCs/>
        </w:rPr>
        <w:t>výdajů na provoz EKIS v období 2013–2016 ve výši 667 mil. Kč</w:t>
      </w:r>
      <w:r w:rsidR="00DC7B02" w:rsidRPr="00DE1CA5">
        <w:rPr>
          <w:rFonts w:cs="Arial"/>
          <w:bCs/>
        </w:rPr>
        <w:t>.</w:t>
      </w:r>
    </w:p>
    <w:p w14:paraId="0B32CA7C" w14:textId="3F45DC7D" w:rsidR="00DC7B02" w:rsidRDefault="00DC7B02" w:rsidP="00C165C7">
      <w:pPr>
        <w:pStyle w:val="KPnormln"/>
        <w:rPr>
          <w:rFonts w:cs="Calibri"/>
        </w:rPr>
      </w:pPr>
      <w:r>
        <w:rPr>
          <w:rFonts w:cs="Arial"/>
          <w:bCs/>
        </w:rPr>
        <w:t>Dle údajů za rok 2016 bylo v </w:t>
      </w:r>
      <w:r w:rsidR="004F2695">
        <w:rPr>
          <w:rFonts w:cs="Arial"/>
          <w:bCs/>
        </w:rPr>
        <w:t xml:space="preserve">REM </w:t>
      </w:r>
      <w:r>
        <w:rPr>
          <w:rFonts w:cs="Arial"/>
          <w:bCs/>
        </w:rPr>
        <w:t xml:space="preserve">evidováno </w:t>
      </w:r>
      <w:r w:rsidRPr="00880314">
        <w:rPr>
          <w:rFonts w:ascii="Calibri" w:hAnsi="Calibri"/>
          <w:szCs w:val="24"/>
          <w:lang w:val="en-US" w:eastAsia="cs-CZ"/>
        </w:rPr>
        <w:t>5 474</w:t>
      </w:r>
      <w:r w:rsidR="008506E5">
        <w:rPr>
          <w:lang w:eastAsia="cs-CZ"/>
        </w:rPr>
        <w:t xml:space="preserve"> objektů, </w:t>
      </w:r>
      <w:r>
        <w:rPr>
          <w:lang w:eastAsia="cs-CZ"/>
        </w:rPr>
        <w:t>z toho 1 108 objektů administrativních</w:t>
      </w:r>
      <w:r w:rsidR="00B93652">
        <w:rPr>
          <w:rStyle w:val="Znakapoznpodarou"/>
          <w:rFonts w:cs="Arial"/>
          <w:bCs/>
        </w:rPr>
        <w:footnoteReference w:id="35"/>
      </w:r>
      <w:r>
        <w:rPr>
          <w:lang w:eastAsia="cs-CZ"/>
        </w:rPr>
        <w:t xml:space="preserve">. </w:t>
      </w:r>
      <w:r>
        <w:rPr>
          <w:rFonts w:cs="Calibri"/>
        </w:rPr>
        <w:t>V objektech bylo dislokováno téměř 50 tis</w:t>
      </w:r>
      <w:r w:rsidR="00ED00BC">
        <w:rPr>
          <w:rFonts w:cs="Calibri"/>
        </w:rPr>
        <w:t xml:space="preserve">íc </w:t>
      </w:r>
      <w:r>
        <w:rPr>
          <w:rFonts w:cs="Calibri"/>
        </w:rPr>
        <w:t>zaměstnanců (z toho 43</w:t>
      </w:r>
      <w:r w:rsidR="00F004D2">
        <w:rPr>
          <w:rFonts w:cs="Calibri"/>
        </w:rPr>
        <w:t> </w:t>
      </w:r>
      <w:r>
        <w:rPr>
          <w:rFonts w:cs="Calibri"/>
        </w:rPr>
        <w:t>tis</w:t>
      </w:r>
      <w:r w:rsidR="00ED00BC">
        <w:rPr>
          <w:rFonts w:cs="Calibri"/>
        </w:rPr>
        <w:t xml:space="preserve">íc </w:t>
      </w:r>
      <w:r>
        <w:rPr>
          <w:rFonts w:cs="Calibri"/>
        </w:rPr>
        <w:lastRenderedPageBreak/>
        <w:t xml:space="preserve">zaměstnanců bylo umístěno v administrativních budovách), přičemž 83 % </w:t>
      </w:r>
      <w:r w:rsidR="008506E5">
        <w:rPr>
          <w:rFonts w:cs="Calibri"/>
        </w:rPr>
        <w:t xml:space="preserve">z nich </w:t>
      </w:r>
      <w:r>
        <w:rPr>
          <w:rFonts w:cs="Calibri"/>
        </w:rPr>
        <w:t xml:space="preserve">bylo umístěno v objektech </w:t>
      </w:r>
      <w:r w:rsidR="00A93467">
        <w:rPr>
          <w:rFonts w:cs="Calibri"/>
        </w:rPr>
        <w:t>vlastněných</w:t>
      </w:r>
      <w:r w:rsidR="003317E8">
        <w:rPr>
          <w:rStyle w:val="Znakapoznpodarou"/>
          <w:rFonts w:cs="Calibri"/>
        </w:rPr>
        <w:footnoteReference w:id="36"/>
      </w:r>
      <w:r w:rsidR="00A93467">
        <w:rPr>
          <w:rFonts w:cs="Calibri"/>
        </w:rPr>
        <w:t xml:space="preserve"> organizacemi </w:t>
      </w:r>
      <w:r>
        <w:rPr>
          <w:rFonts w:cs="Calibri"/>
        </w:rPr>
        <w:t>resortu MV.</w:t>
      </w:r>
    </w:p>
    <w:p w14:paraId="79C49B6E" w14:textId="762884D8" w:rsidR="00DC7B02" w:rsidRDefault="00DC7B02" w:rsidP="00327E78">
      <w:pPr>
        <w:pStyle w:val="KPnormln"/>
      </w:pPr>
      <w:r>
        <w:t xml:space="preserve">Celkové provozní náklady </w:t>
      </w:r>
      <w:r w:rsidR="008506E5">
        <w:t>na správu</w:t>
      </w:r>
      <w:r w:rsidR="004F2695">
        <w:t xml:space="preserve"> nemovitého majetku</w:t>
      </w:r>
      <w:r>
        <w:t xml:space="preserve"> </w:t>
      </w:r>
      <w:r w:rsidR="004F2695">
        <w:t>za období 2014</w:t>
      </w:r>
      <w:r w:rsidR="00910674">
        <w:t>–</w:t>
      </w:r>
      <w:r w:rsidR="004F2695">
        <w:t xml:space="preserve">2016 </w:t>
      </w:r>
      <w:r>
        <w:t xml:space="preserve">činily </w:t>
      </w:r>
      <w:r w:rsidR="00B93652">
        <w:t>3,5</w:t>
      </w:r>
      <w:r w:rsidR="00327E78">
        <w:t> </w:t>
      </w:r>
      <w:r>
        <w:t>mld.</w:t>
      </w:r>
      <w:r w:rsidR="00327E78">
        <w:t> </w:t>
      </w:r>
      <w:r>
        <w:t xml:space="preserve">Kč </w:t>
      </w:r>
      <w:r w:rsidR="00B93652">
        <w:t>(z toho 2,1</w:t>
      </w:r>
      <w:r>
        <w:t xml:space="preserve"> mld. Kč na</w:t>
      </w:r>
      <w:r w:rsidR="00ED00BC">
        <w:t xml:space="preserve"> </w:t>
      </w:r>
      <w:r>
        <w:t>správu administrativních objektů).</w:t>
      </w:r>
      <w:r>
        <w:rPr>
          <w:lang w:eastAsia="cs-CZ"/>
        </w:rPr>
        <w:t xml:space="preserve"> </w:t>
      </w:r>
      <w:r>
        <w:t xml:space="preserve">Přehled základních údajů o administrativních objektech </w:t>
      </w:r>
      <w:r w:rsidR="004F2695">
        <w:t>reso</w:t>
      </w:r>
      <w:r w:rsidR="00203FC6">
        <w:t>rtu MV je uveden v tabulce č. 3.</w:t>
      </w:r>
    </w:p>
    <w:p w14:paraId="00CE07A9" w14:textId="4182F772" w:rsidR="00203FC6" w:rsidRPr="00355294" w:rsidRDefault="00203FC6" w:rsidP="009D3201">
      <w:pPr>
        <w:pStyle w:val="KPnormln"/>
        <w:keepNext/>
        <w:spacing w:after="0"/>
        <w:rPr>
          <w:b/>
        </w:rPr>
      </w:pPr>
      <w:r w:rsidRPr="00203FC6">
        <w:rPr>
          <w:b/>
        </w:rPr>
        <w:t xml:space="preserve">Tabulka č. </w:t>
      </w:r>
      <w:r w:rsidRPr="00203FC6">
        <w:rPr>
          <w:b/>
        </w:rPr>
        <w:fldChar w:fldCharType="begin"/>
      </w:r>
      <w:r w:rsidRPr="00203FC6">
        <w:rPr>
          <w:b/>
        </w:rPr>
        <w:instrText xml:space="preserve"> SEQ Tabulka_č. \* ARABIC </w:instrText>
      </w:r>
      <w:r w:rsidRPr="00203FC6">
        <w:rPr>
          <w:b/>
        </w:rPr>
        <w:fldChar w:fldCharType="separate"/>
      </w:r>
      <w:r w:rsidR="00564135">
        <w:rPr>
          <w:b/>
          <w:noProof/>
        </w:rPr>
        <w:t>3</w:t>
      </w:r>
      <w:r w:rsidRPr="00203FC6">
        <w:rPr>
          <w:b/>
        </w:rPr>
        <w:fldChar w:fldCharType="end"/>
      </w:r>
      <w:r>
        <w:rPr>
          <w:b/>
        </w:rPr>
        <w:t>:</w:t>
      </w:r>
      <w:r w:rsidRPr="00203FC6">
        <w:rPr>
          <w:b/>
        </w:rPr>
        <w:t xml:space="preserve"> </w:t>
      </w:r>
      <w:r w:rsidRPr="0052075D">
        <w:rPr>
          <w:b/>
        </w:rPr>
        <w:t>Základní údaje o administrativní</w:t>
      </w:r>
      <w:r>
        <w:rPr>
          <w:b/>
        </w:rPr>
        <w:t>ch</w:t>
      </w:r>
      <w:r w:rsidRPr="0052075D">
        <w:rPr>
          <w:b/>
        </w:rPr>
        <w:t xml:space="preserve"> </w:t>
      </w:r>
      <w:r>
        <w:rPr>
          <w:b/>
        </w:rPr>
        <w:t xml:space="preserve">objektech </w:t>
      </w:r>
      <w:r w:rsidRPr="0052075D">
        <w:rPr>
          <w:b/>
        </w:rPr>
        <w:t>resortu MV</w:t>
      </w:r>
    </w:p>
    <w:tbl>
      <w:tblPr>
        <w:tblW w:w="9072" w:type="dxa"/>
        <w:tblInd w:w="70" w:type="dxa"/>
        <w:tblCellMar>
          <w:left w:w="70" w:type="dxa"/>
          <w:right w:w="70" w:type="dxa"/>
        </w:tblCellMar>
        <w:tblLook w:val="04A0" w:firstRow="1" w:lastRow="0" w:firstColumn="1" w:lastColumn="0" w:noHBand="0" w:noVBand="1"/>
      </w:tblPr>
      <w:tblGrid>
        <w:gridCol w:w="3828"/>
        <w:gridCol w:w="1701"/>
        <w:gridCol w:w="1842"/>
        <w:gridCol w:w="1701"/>
      </w:tblGrid>
      <w:tr w:rsidR="00DC7B02" w:rsidRPr="00355294" w14:paraId="4FB01AF0" w14:textId="77777777" w:rsidTr="00702837">
        <w:trPr>
          <w:trHeight w:val="420"/>
        </w:trPr>
        <w:tc>
          <w:tcPr>
            <w:tcW w:w="3828"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14:paraId="7E5B75E6"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 </w:t>
            </w:r>
          </w:p>
        </w:tc>
        <w:tc>
          <w:tcPr>
            <w:tcW w:w="1701" w:type="dxa"/>
            <w:tcBorders>
              <w:top w:val="single" w:sz="4" w:space="0" w:color="auto"/>
              <w:left w:val="nil"/>
              <w:bottom w:val="single" w:sz="4" w:space="0" w:color="auto"/>
              <w:right w:val="single" w:sz="4" w:space="0" w:color="auto"/>
            </w:tcBorders>
            <w:shd w:val="clear" w:color="auto" w:fill="E5F1FF"/>
            <w:noWrap/>
            <w:vAlign w:val="center"/>
            <w:hideMark/>
          </w:tcPr>
          <w:p w14:paraId="15C6E4AE" w14:textId="77777777" w:rsidR="00DC7B02" w:rsidRPr="00355294" w:rsidRDefault="00DC7B02" w:rsidP="009D3201">
            <w:pPr>
              <w:keepNext/>
              <w:spacing w:after="0" w:line="240" w:lineRule="auto"/>
              <w:jc w:val="center"/>
              <w:rPr>
                <w:rFonts w:ascii="Calibri" w:eastAsia="Times New Roman" w:hAnsi="Calibri" w:cs="Times New Roman"/>
                <w:b/>
                <w:bCs/>
                <w:color w:val="000000"/>
                <w:sz w:val="20"/>
                <w:szCs w:val="20"/>
                <w:lang w:eastAsia="cs-CZ"/>
              </w:rPr>
            </w:pPr>
            <w:r w:rsidRPr="00355294">
              <w:rPr>
                <w:rFonts w:ascii="Calibri" w:eastAsia="Times New Roman" w:hAnsi="Calibri" w:cs="Times New Roman"/>
                <w:b/>
                <w:bCs/>
                <w:color w:val="000000"/>
                <w:sz w:val="20"/>
                <w:szCs w:val="20"/>
                <w:lang w:eastAsia="cs-CZ"/>
              </w:rPr>
              <w:t>2014</w:t>
            </w:r>
          </w:p>
        </w:tc>
        <w:tc>
          <w:tcPr>
            <w:tcW w:w="1842" w:type="dxa"/>
            <w:tcBorders>
              <w:top w:val="single" w:sz="4" w:space="0" w:color="auto"/>
              <w:left w:val="nil"/>
              <w:bottom w:val="single" w:sz="4" w:space="0" w:color="auto"/>
              <w:right w:val="single" w:sz="4" w:space="0" w:color="auto"/>
            </w:tcBorders>
            <w:shd w:val="clear" w:color="auto" w:fill="E5F1FF"/>
            <w:noWrap/>
            <w:vAlign w:val="center"/>
            <w:hideMark/>
          </w:tcPr>
          <w:p w14:paraId="0A3F9EE3" w14:textId="77777777" w:rsidR="00DC7B02" w:rsidRPr="00355294" w:rsidRDefault="00DC7B02" w:rsidP="009D3201">
            <w:pPr>
              <w:keepNext/>
              <w:spacing w:after="0" w:line="240" w:lineRule="auto"/>
              <w:jc w:val="center"/>
              <w:rPr>
                <w:rFonts w:ascii="Calibri" w:eastAsia="Times New Roman" w:hAnsi="Calibri" w:cs="Times New Roman"/>
                <w:b/>
                <w:bCs/>
                <w:color w:val="000000"/>
                <w:sz w:val="20"/>
                <w:szCs w:val="20"/>
                <w:lang w:eastAsia="cs-CZ"/>
              </w:rPr>
            </w:pPr>
            <w:r w:rsidRPr="00355294">
              <w:rPr>
                <w:rFonts w:ascii="Calibri" w:eastAsia="Times New Roman" w:hAnsi="Calibri" w:cs="Times New Roman"/>
                <w:b/>
                <w:bCs/>
                <w:color w:val="000000"/>
                <w:sz w:val="20"/>
                <w:szCs w:val="20"/>
                <w:lang w:eastAsia="cs-CZ"/>
              </w:rPr>
              <w:t>2015</w:t>
            </w:r>
          </w:p>
        </w:tc>
        <w:tc>
          <w:tcPr>
            <w:tcW w:w="1701" w:type="dxa"/>
            <w:tcBorders>
              <w:top w:val="single" w:sz="4" w:space="0" w:color="auto"/>
              <w:left w:val="nil"/>
              <w:bottom w:val="single" w:sz="4" w:space="0" w:color="auto"/>
              <w:right w:val="single" w:sz="4" w:space="0" w:color="auto"/>
            </w:tcBorders>
            <w:shd w:val="clear" w:color="auto" w:fill="E5F1FF"/>
            <w:noWrap/>
            <w:vAlign w:val="center"/>
            <w:hideMark/>
          </w:tcPr>
          <w:p w14:paraId="45BF1C5E" w14:textId="77777777" w:rsidR="00DC7B02" w:rsidRPr="00355294" w:rsidRDefault="00DC7B02" w:rsidP="009D3201">
            <w:pPr>
              <w:keepNext/>
              <w:spacing w:after="0" w:line="240" w:lineRule="auto"/>
              <w:jc w:val="center"/>
              <w:rPr>
                <w:rFonts w:ascii="Calibri" w:eastAsia="Times New Roman" w:hAnsi="Calibri" w:cs="Times New Roman"/>
                <w:b/>
                <w:bCs/>
                <w:color w:val="000000"/>
                <w:sz w:val="20"/>
                <w:szCs w:val="20"/>
                <w:lang w:eastAsia="cs-CZ"/>
              </w:rPr>
            </w:pPr>
            <w:r w:rsidRPr="00355294">
              <w:rPr>
                <w:rFonts w:ascii="Calibri" w:eastAsia="Times New Roman" w:hAnsi="Calibri" w:cs="Times New Roman"/>
                <w:b/>
                <w:bCs/>
                <w:color w:val="000000"/>
                <w:sz w:val="20"/>
                <w:szCs w:val="20"/>
                <w:lang w:eastAsia="cs-CZ"/>
              </w:rPr>
              <w:t>2016</w:t>
            </w:r>
          </w:p>
        </w:tc>
      </w:tr>
      <w:tr w:rsidR="00DC7B02" w:rsidRPr="00355294" w14:paraId="4552018A" w14:textId="77777777"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14:paraId="32064C65"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Počet objektů</w:t>
            </w:r>
          </w:p>
        </w:tc>
        <w:tc>
          <w:tcPr>
            <w:tcW w:w="1701" w:type="dxa"/>
            <w:tcBorders>
              <w:top w:val="nil"/>
              <w:left w:val="nil"/>
              <w:bottom w:val="single" w:sz="4" w:space="0" w:color="auto"/>
              <w:right w:val="single" w:sz="4" w:space="0" w:color="auto"/>
            </w:tcBorders>
            <w:noWrap/>
            <w:vAlign w:val="center"/>
            <w:hideMark/>
          </w:tcPr>
          <w:p w14:paraId="36AD850D"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1 136</w:t>
            </w:r>
          </w:p>
        </w:tc>
        <w:tc>
          <w:tcPr>
            <w:tcW w:w="1842" w:type="dxa"/>
            <w:tcBorders>
              <w:top w:val="nil"/>
              <w:left w:val="nil"/>
              <w:bottom w:val="single" w:sz="4" w:space="0" w:color="auto"/>
              <w:right w:val="single" w:sz="4" w:space="0" w:color="auto"/>
            </w:tcBorders>
            <w:noWrap/>
            <w:vAlign w:val="center"/>
            <w:hideMark/>
          </w:tcPr>
          <w:p w14:paraId="39D60CB4"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1 127</w:t>
            </w:r>
          </w:p>
        </w:tc>
        <w:tc>
          <w:tcPr>
            <w:tcW w:w="1701" w:type="dxa"/>
            <w:tcBorders>
              <w:top w:val="nil"/>
              <w:left w:val="nil"/>
              <w:bottom w:val="single" w:sz="4" w:space="0" w:color="auto"/>
              <w:right w:val="single" w:sz="4" w:space="0" w:color="auto"/>
            </w:tcBorders>
            <w:noWrap/>
            <w:vAlign w:val="center"/>
            <w:hideMark/>
          </w:tcPr>
          <w:p w14:paraId="63B22C15"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1 108</w:t>
            </w:r>
          </w:p>
        </w:tc>
      </w:tr>
      <w:tr w:rsidR="00DC7B02" w:rsidRPr="00355294" w14:paraId="6765E24D" w14:textId="77777777"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14:paraId="7611D1CA"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Celková plocha (</w:t>
            </w:r>
            <w:r>
              <w:rPr>
                <w:rFonts w:ascii="Calibri" w:eastAsia="Times New Roman" w:hAnsi="Calibri" w:cs="Times New Roman"/>
                <w:color w:val="000000"/>
                <w:sz w:val="20"/>
                <w:szCs w:val="20"/>
                <w:lang w:eastAsia="cs-CZ"/>
              </w:rPr>
              <w:t xml:space="preserve">tis. </w:t>
            </w:r>
            <w:r w:rsidRPr="00355294">
              <w:rPr>
                <w:rFonts w:ascii="Calibri" w:eastAsia="Times New Roman" w:hAnsi="Calibri" w:cs="Times New Roman"/>
                <w:color w:val="000000"/>
                <w:sz w:val="20"/>
                <w:szCs w:val="20"/>
                <w:lang w:eastAsia="cs-CZ"/>
              </w:rPr>
              <w:t>m</w:t>
            </w:r>
            <w:r w:rsidRPr="00355294">
              <w:rPr>
                <w:rFonts w:ascii="Calibri" w:eastAsia="Times New Roman" w:hAnsi="Calibri" w:cs="Times New Roman"/>
                <w:color w:val="000000"/>
                <w:sz w:val="20"/>
                <w:szCs w:val="20"/>
                <w:vertAlign w:val="superscript"/>
                <w:lang w:eastAsia="cs-CZ"/>
              </w:rPr>
              <w:t>2</w:t>
            </w:r>
            <w:r w:rsidRPr="00355294">
              <w:rPr>
                <w:rFonts w:ascii="Calibri" w:eastAsia="Times New Roman" w:hAnsi="Calibri" w:cs="Times New Roman"/>
                <w:color w:val="000000"/>
                <w:sz w:val="20"/>
                <w:szCs w:val="20"/>
                <w:lang w:eastAsia="cs-CZ"/>
              </w:rPr>
              <w:t>)</w:t>
            </w:r>
          </w:p>
        </w:tc>
        <w:tc>
          <w:tcPr>
            <w:tcW w:w="1701" w:type="dxa"/>
            <w:tcBorders>
              <w:top w:val="nil"/>
              <w:left w:val="nil"/>
              <w:bottom w:val="single" w:sz="4" w:space="0" w:color="auto"/>
              <w:right w:val="single" w:sz="4" w:space="0" w:color="auto"/>
            </w:tcBorders>
            <w:noWrap/>
            <w:vAlign w:val="center"/>
            <w:hideMark/>
          </w:tcPr>
          <w:p w14:paraId="24AA173D" w14:textId="76A105F9"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1 492</w:t>
            </w:r>
          </w:p>
        </w:tc>
        <w:tc>
          <w:tcPr>
            <w:tcW w:w="1842" w:type="dxa"/>
            <w:tcBorders>
              <w:top w:val="nil"/>
              <w:left w:val="nil"/>
              <w:bottom w:val="single" w:sz="4" w:space="0" w:color="auto"/>
              <w:right w:val="single" w:sz="4" w:space="0" w:color="auto"/>
            </w:tcBorders>
            <w:noWrap/>
            <w:vAlign w:val="center"/>
            <w:hideMark/>
          </w:tcPr>
          <w:p w14:paraId="2C4A4585" w14:textId="6AC16202"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1 532</w:t>
            </w:r>
          </w:p>
        </w:tc>
        <w:tc>
          <w:tcPr>
            <w:tcW w:w="1701" w:type="dxa"/>
            <w:tcBorders>
              <w:top w:val="nil"/>
              <w:left w:val="nil"/>
              <w:bottom w:val="single" w:sz="4" w:space="0" w:color="auto"/>
              <w:right w:val="single" w:sz="4" w:space="0" w:color="auto"/>
            </w:tcBorders>
            <w:noWrap/>
            <w:vAlign w:val="center"/>
            <w:hideMark/>
          </w:tcPr>
          <w:p w14:paraId="3859C84C" w14:textId="766496F1"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1 535</w:t>
            </w:r>
          </w:p>
        </w:tc>
      </w:tr>
      <w:tr w:rsidR="00DC7B02" w:rsidRPr="00355294" w14:paraId="3194DA7A" w14:textId="77777777"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14:paraId="4AA783E1"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Kancelářská plocha (</w:t>
            </w:r>
            <w:r>
              <w:rPr>
                <w:rFonts w:ascii="Calibri" w:eastAsia="Times New Roman" w:hAnsi="Calibri" w:cs="Times New Roman"/>
                <w:color w:val="000000"/>
                <w:sz w:val="20"/>
                <w:szCs w:val="20"/>
                <w:lang w:eastAsia="cs-CZ"/>
              </w:rPr>
              <w:t xml:space="preserve">tis. </w:t>
            </w:r>
            <w:r w:rsidRPr="00355294">
              <w:rPr>
                <w:rFonts w:ascii="Calibri" w:eastAsia="Times New Roman" w:hAnsi="Calibri" w:cs="Times New Roman"/>
                <w:color w:val="000000"/>
                <w:sz w:val="20"/>
                <w:szCs w:val="20"/>
                <w:lang w:eastAsia="cs-CZ"/>
              </w:rPr>
              <w:t>m</w:t>
            </w:r>
            <w:r w:rsidRPr="00355294">
              <w:rPr>
                <w:rFonts w:ascii="Calibri" w:eastAsia="Times New Roman" w:hAnsi="Calibri" w:cs="Times New Roman"/>
                <w:color w:val="000000"/>
                <w:sz w:val="20"/>
                <w:szCs w:val="20"/>
                <w:vertAlign w:val="superscript"/>
                <w:lang w:eastAsia="cs-CZ"/>
              </w:rPr>
              <w:t>2</w:t>
            </w:r>
            <w:r w:rsidRPr="00355294">
              <w:rPr>
                <w:rFonts w:ascii="Calibri" w:eastAsia="Times New Roman" w:hAnsi="Calibri" w:cs="Times New Roman"/>
                <w:color w:val="000000"/>
                <w:sz w:val="20"/>
                <w:szCs w:val="20"/>
                <w:lang w:eastAsia="cs-CZ"/>
              </w:rPr>
              <w:t>)</w:t>
            </w:r>
          </w:p>
        </w:tc>
        <w:tc>
          <w:tcPr>
            <w:tcW w:w="1701" w:type="dxa"/>
            <w:tcBorders>
              <w:top w:val="nil"/>
              <w:left w:val="nil"/>
              <w:bottom w:val="single" w:sz="4" w:space="0" w:color="auto"/>
              <w:right w:val="single" w:sz="4" w:space="0" w:color="auto"/>
            </w:tcBorders>
            <w:noWrap/>
            <w:vAlign w:val="center"/>
            <w:hideMark/>
          </w:tcPr>
          <w:p w14:paraId="177B3BC3"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503</w:t>
            </w:r>
          </w:p>
        </w:tc>
        <w:tc>
          <w:tcPr>
            <w:tcW w:w="1842" w:type="dxa"/>
            <w:tcBorders>
              <w:top w:val="nil"/>
              <w:left w:val="nil"/>
              <w:bottom w:val="single" w:sz="4" w:space="0" w:color="auto"/>
              <w:right w:val="single" w:sz="4" w:space="0" w:color="auto"/>
            </w:tcBorders>
            <w:noWrap/>
            <w:vAlign w:val="center"/>
            <w:hideMark/>
          </w:tcPr>
          <w:p w14:paraId="6DB06654" w14:textId="1BA0CDDE"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513</w:t>
            </w:r>
          </w:p>
        </w:tc>
        <w:tc>
          <w:tcPr>
            <w:tcW w:w="1701" w:type="dxa"/>
            <w:tcBorders>
              <w:top w:val="nil"/>
              <w:left w:val="nil"/>
              <w:bottom w:val="single" w:sz="4" w:space="0" w:color="auto"/>
              <w:right w:val="single" w:sz="4" w:space="0" w:color="auto"/>
            </w:tcBorders>
            <w:noWrap/>
            <w:vAlign w:val="center"/>
            <w:hideMark/>
          </w:tcPr>
          <w:p w14:paraId="23529117"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5</w:t>
            </w:r>
            <w:r>
              <w:rPr>
                <w:rFonts w:ascii="Calibri" w:eastAsia="Times New Roman" w:hAnsi="Calibri" w:cs="Times New Roman"/>
                <w:color w:val="000000"/>
                <w:sz w:val="20"/>
                <w:szCs w:val="20"/>
                <w:lang w:eastAsia="cs-CZ"/>
              </w:rPr>
              <w:t>12</w:t>
            </w:r>
          </w:p>
        </w:tc>
      </w:tr>
      <w:tr w:rsidR="00DC7B02" w:rsidRPr="00355294" w14:paraId="497C38A7" w14:textId="77777777"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14:paraId="368E39DC"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Ostatní plocha (</w:t>
            </w:r>
            <w:r>
              <w:rPr>
                <w:rFonts w:ascii="Calibri" w:eastAsia="Times New Roman" w:hAnsi="Calibri" w:cs="Times New Roman"/>
                <w:color w:val="000000"/>
                <w:sz w:val="20"/>
                <w:szCs w:val="20"/>
                <w:lang w:eastAsia="cs-CZ"/>
              </w:rPr>
              <w:t xml:space="preserve">tis. </w:t>
            </w:r>
            <w:r w:rsidRPr="00355294">
              <w:rPr>
                <w:rFonts w:ascii="Calibri" w:eastAsia="Times New Roman" w:hAnsi="Calibri" w:cs="Times New Roman"/>
                <w:color w:val="000000"/>
                <w:sz w:val="20"/>
                <w:szCs w:val="20"/>
                <w:lang w:eastAsia="cs-CZ"/>
              </w:rPr>
              <w:t>m</w:t>
            </w:r>
            <w:r w:rsidRPr="00355294">
              <w:rPr>
                <w:rFonts w:ascii="Calibri" w:eastAsia="Times New Roman" w:hAnsi="Calibri" w:cs="Times New Roman"/>
                <w:color w:val="000000"/>
                <w:sz w:val="20"/>
                <w:szCs w:val="20"/>
                <w:vertAlign w:val="superscript"/>
                <w:lang w:eastAsia="cs-CZ"/>
              </w:rPr>
              <w:t>2</w:t>
            </w:r>
            <w:r w:rsidRPr="00355294">
              <w:rPr>
                <w:rFonts w:ascii="Calibri" w:eastAsia="Times New Roman" w:hAnsi="Calibri" w:cs="Times New Roman"/>
                <w:color w:val="000000"/>
                <w:sz w:val="20"/>
                <w:szCs w:val="20"/>
                <w:lang w:eastAsia="cs-CZ"/>
              </w:rPr>
              <w:t>)</w:t>
            </w:r>
          </w:p>
        </w:tc>
        <w:tc>
          <w:tcPr>
            <w:tcW w:w="1701" w:type="dxa"/>
            <w:tcBorders>
              <w:top w:val="nil"/>
              <w:left w:val="nil"/>
              <w:bottom w:val="single" w:sz="4" w:space="0" w:color="auto"/>
              <w:right w:val="single" w:sz="4" w:space="0" w:color="auto"/>
            </w:tcBorders>
            <w:noWrap/>
            <w:vAlign w:val="center"/>
            <w:hideMark/>
          </w:tcPr>
          <w:p w14:paraId="094E87F7"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989</w:t>
            </w:r>
          </w:p>
        </w:tc>
        <w:tc>
          <w:tcPr>
            <w:tcW w:w="1842" w:type="dxa"/>
            <w:tcBorders>
              <w:top w:val="nil"/>
              <w:left w:val="nil"/>
              <w:bottom w:val="single" w:sz="4" w:space="0" w:color="auto"/>
              <w:right w:val="single" w:sz="4" w:space="0" w:color="auto"/>
            </w:tcBorders>
            <w:noWrap/>
            <w:vAlign w:val="center"/>
            <w:hideMark/>
          </w:tcPr>
          <w:p w14:paraId="24C2B672" w14:textId="43D8B47D"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1 019</w:t>
            </w:r>
          </w:p>
        </w:tc>
        <w:tc>
          <w:tcPr>
            <w:tcW w:w="1701" w:type="dxa"/>
            <w:tcBorders>
              <w:top w:val="nil"/>
              <w:left w:val="nil"/>
              <w:bottom w:val="single" w:sz="4" w:space="0" w:color="auto"/>
              <w:right w:val="single" w:sz="4" w:space="0" w:color="auto"/>
            </w:tcBorders>
            <w:noWrap/>
            <w:vAlign w:val="center"/>
            <w:hideMark/>
          </w:tcPr>
          <w:p w14:paraId="5CDDF13A" w14:textId="4826EA9C"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1 023</w:t>
            </w:r>
          </w:p>
        </w:tc>
      </w:tr>
      <w:tr w:rsidR="00DC7B02" w:rsidRPr="00355294" w14:paraId="06BB69D5" w14:textId="77777777"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14:paraId="3D963ECD"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zaměstnanců (tis.)</w:t>
            </w:r>
          </w:p>
        </w:tc>
        <w:tc>
          <w:tcPr>
            <w:tcW w:w="1701" w:type="dxa"/>
            <w:tcBorders>
              <w:top w:val="nil"/>
              <w:left w:val="nil"/>
              <w:bottom w:val="single" w:sz="4" w:space="0" w:color="auto"/>
              <w:right w:val="single" w:sz="4" w:space="0" w:color="auto"/>
            </w:tcBorders>
            <w:noWrap/>
            <w:vAlign w:val="center"/>
            <w:hideMark/>
          </w:tcPr>
          <w:p w14:paraId="47F41A09" w14:textId="6C7472E6"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43</w:t>
            </w:r>
          </w:p>
        </w:tc>
        <w:tc>
          <w:tcPr>
            <w:tcW w:w="1842" w:type="dxa"/>
            <w:tcBorders>
              <w:top w:val="nil"/>
              <w:left w:val="nil"/>
              <w:bottom w:val="single" w:sz="4" w:space="0" w:color="auto"/>
              <w:right w:val="single" w:sz="4" w:space="0" w:color="auto"/>
            </w:tcBorders>
            <w:noWrap/>
            <w:vAlign w:val="center"/>
            <w:hideMark/>
          </w:tcPr>
          <w:p w14:paraId="7A97A3C2" w14:textId="04C3EF3C"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44</w:t>
            </w:r>
          </w:p>
        </w:tc>
        <w:tc>
          <w:tcPr>
            <w:tcW w:w="1701" w:type="dxa"/>
            <w:tcBorders>
              <w:top w:val="nil"/>
              <w:left w:val="nil"/>
              <w:bottom w:val="single" w:sz="4" w:space="0" w:color="auto"/>
              <w:right w:val="single" w:sz="4" w:space="0" w:color="auto"/>
            </w:tcBorders>
            <w:noWrap/>
            <w:vAlign w:val="center"/>
            <w:hideMark/>
          </w:tcPr>
          <w:p w14:paraId="2672372C" w14:textId="77777777" w:rsidR="00DC7B02" w:rsidRPr="00355294" w:rsidRDefault="00DC7B0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43</w:t>
            </w:r>
          </w:p>
        </w:tc>
      </w:tr>
      <w:tr w:rsidR="00DC7B02" w:rsidRPr="00355294" w14:paraId="773A3429" w14:textId="77777777"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14:paraId="5ED7B17F" w14:textId="77777777" w:rsidR="00DC7B02" w:rsidRPr="00355294" w:rsidRDefault="00DC7B02" w:rsidP="009D3201">
            <w:pPr>
              <w:keepNext/>
              <w:spacing w:after="0" w:line="240" w:lineRule="auto"/>
              <w:jc w:val="left"/>
              <w:rPr>
                <w:rFonts w:ascii="Calibri" w:eastAsia="Times New Roman" w:hAnsi="Calibri" w:cs="Times New Roman"/>
                <w:color w:val="000000"/>
                <w:sz w:val="20"/>
                <w:szCs w:val="20"/>
                <w:lang w:eastAsia="cs-CZ"/>
              </w:rPr>
            </w:pPr>
            <w:r w:rsidRPr="00355294">
              <w:rPr>
                <w:rFonts w:ascii="Calibri" w:eastAsia="Times New Roman" w:hAnsi="Calibri" w:cs="Times New Roman"/>
                <w:color w:val="000000"/>
                <w:sz w:val="20"/>
                <w:szCs w:val="20"/>
                <w:lang w:eastAsia="cs-CZ"/>
              </w:rPr>
              <w:t>Celkové provozní náklady (</w:t>
            </w:r>
            <w:r>
              <w:rPr>
                <w:rFonts w:ascii="Calibri" w:eastAsia="Times New Roman" w:hAnsi="Calibri" w:cs="Times New Roman"/>
                <w:color w:val="000000"/>
                <w:sz w:val="20"/>
                <w:szCs w:val="20"/>
                <w:lang w:eastAsia="cs-CZ"/>
              </w:rPr>
              <w:t xml:space="preserve">mil. </w:t>
            </w:r>
            <w:r w:rsidRPr="00355294">
              <w:rPr>
                <w:rFonts w:ascii="Calibri" w:eastAsia="Times New Roman" w:hAnsi="Calibri" w:cs="Times New Roman"/>
                <w:color w:val="000000"/>
                <w:sz w:val="20"/>
                <w:szCs w:val="20"/>
                <w:lang w:eastAsia="cs-CZ"/>
              </w:rPr>
              <w:t>Kč)</w:t>
            </w:r>
          </w:p>
        </w:tc>
        <w:tc>
          <w:tcPr>
            <w:tcW w:w="1701" w:type="dxa"/>
            <w:tcBorders>
              <w:top w:val="nil"/>
              <w:left w:val="nil"/>
              <w:bottom w:val="single" w:sz="4" w:space="0" w:color="auto"/>
              <w:right w:val="single" w:sz="4" w:space="0" w:color="auto"/>
            </w:tcBorders>
            <w:noWrap/>
            <w:vAlign w:val="center"/>
            <w:hideMark/>
          </w:tcPr>
          <w:p w14:paraId="13C139EB" w14:textId="6062DA2E" w:rsidR="00DC7B02" w:rsidRPr="00355294" w:rsidRDefault="0004365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743</w:t>
            </w:r>
          </w:p>
        </w:tc>
        <w:tc>
          <w:tcPr>
            <w:tcW w:w="1842" w:type="dxa"/>
            <w:tcBorders>
              <w:top w:val="nil"/>
              <w:left w:val="nil"/>
              <w:bottom w:val="single" w:sz="4" w:space="0" w:color="auto"/>
              <w:right w:val="single" w:sz="4" w:space="0" w:color="auto"/>
            </w:tcBorders>
            <w:noWrap/>
            <w:vAlign w:val="center"/>
            <w:hideMark/>
          </w:tcPr>
          <w:p w14:paraId="76D7AB9C" w14:textId="7E1C36AE" w:rsidR="00DC7B02" w:rsidRPr="00355294" w:rsidRDefault="0004365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688</w:t>
            </w:r>
          </w:p>
        </w:tc>
        <w:tc>
          <w:tcPr>
            <w:tcW w:w="1701" w:type="dxa"/>
            <w:tcBorders>
              <w:top w:val="nil"/>
              <w:left w:val="nil"/>
              <w:bottom w:val="single" w:sz="4" w:space="0" w:color="auto"/>
              <w:right w:val="single" w:sz="4" w:space="0" w:color="auto"/>
            </w:tcBorders>
            <w:noWrap/>
            <w:vAlign w:val="center"/>
            <w:hideMark/>
          </w:tcPr>
          <w:p w14:paraId="4ADF6533" w14:textId="5791F504" w:rsidR="00DC7B02" w:rsidRPr="00355294" w:rsidRDefault="00043652" w:rsidP="009D3201">
            <w:pPr>
              <w:keepNext/>
              <w:spacing w:after="0" w:line="240" w:lineRule="auto"/>
              <w:ind w:right="215"/>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708</w:t>
            </w:r>
          </w:p>
        </w:tc>
      </w:tr>
    </w:tbl>
    <w:p w14:paraId="01232E7E" w14:textId="4E9AB4BF" w:rsidR="006017FF" w:rsidRDefault="00DC7B02" w:rsidP="003D2BB7">
      <w:pPr>
        <w:rPr>
          <w:rFonts w:eastAsia="Times New Roman" w:cstheme="minorHAnsi"/>
          <w:b/>
          <w:color w:val="000000"/>
          <w:szCs w:val="24"/>
        </w:rPr>
      </w:pPr>
      <w:r w:rsidRPr="00A03549">
        <w:rPr>
          <w:b/>
          <w:sz w:val="20"/>
          <w:szCs w:val="20"/>
        </w:rPr>
        <w:t>Zdroj:</w:t>
      </w:r>
      <w:r w:rsidR="00EB3A13">
        <w:rPr>
          <w:sz w:val="20"/>
          <w:szCs w:val="20"/>
        </w:rPr>
        <w:t xml:space="preserve"> </w:t>
      </w:r>
      <w:r>
        <w:rPr>
          <w:sz w:val="20"/>
          <w:szCs w:val="20"/>
        </w:rPr>
        <w:t>REM</w:t>
      </w:r>
      <w:r w:rsidR="006017FF">
        <w:rPr>
          <w:sz w:val="20"/>
          <w:szCs w:val="20"/>
        </w:rPr>
        <w:t>.</w:t>
      </w:r>
    </w:p>
    <w:p w14:paraId="1DA79370" w14:textId="4E335765" w:rsidR="00E34224" w:rsidRPr="00327E78" w:rsidRDefault="009D3201" w:rsidP="00A52C3E">
      <w:pPr>
        <w:pStyle w:val="Nadpis3"/>
        <w:numPr>
          <w:ilvl w:val="0"/>
          <w:numId w:val="0"/>
        </w:numPr>
        <w:rPr>
          <w:rFonts w:eastAsiaTheme="minorHAnsi"/>
        </w:rPr>
      </w:pPr>
      <w:r>
        <w:t xml:space="preserve">2. </w:t>
      </w:r>
      <w:r w:rsidR="00E34224" w:rsidRPr="00327E78">
        <w:t>Rozsah a metodika</w:t>
      </w:r>
      <w:r w:rsidR="00043652">
        <w:t xml:space="preserve"> kontroly</w:t>
      </w:r>
    </w:p>
    <w:p w14:paraId="4E10801E" w14:textId="65B31A9A" w:rsidR="00F2755D" w:rsidRPr="00F8635D" w:rsidRDefault="00F2755D" w:rsidP="00F2755D">
      <w:pPr>
        <w:pStyle w:val="KPnormln"/>
        <w:spacing w:after="0"/>
      </w:pPr>
      <w:r w:rsidRPr="00F8635D">
        <w:rPr>
          <w:szCs w:val="24"/>
        </w:rPr>
        <w:t>NKÚ v kontrolní akci</w:t>
      </w:r>
      <w:r w:rsidRPr="00F8635D">
        <w:t xml:space="preserve"> posuzoval</w:t>
      </w:r>
      <w:r w:rsidR="00375DE3" w:rsidRPr="00375DE3">
        <w:t xml:space="preserve"> </w:t>
      </w:r>
      <w:r w:rsidR="00375DE3" w:rsidRPr="00F8635D">
        <w:t>efektivnost a účelnost</w:t>
      </w:r>
      <w:r w:rsidRPr="00F8635D">
        <w:t>:</w:t>
      </w:r>
    </w:p>
    <w:p w14:paraId="6A0FE28D" w14:textId="16E0356D" w:rsidR="00F2755D" w:rsidRPr="00F8635D" w:rsidRDefault="00F2755D" w:rsidP="009D3201">
      <w:pPr>
        <w:pStyle w:val="KPnormln"/>
        <w:numPr>
          <w:ilvl w:val="0"/>
          <w:numId w:val="48"/>
        </w:numPr>
        <w:spacing w:after="0"/>
        <w:ind w:left="284" w:hanging="284"/>
        <w:rPr>
          <w:noProof/>
        </w:rPr>
      </w:pPr>
      <w:r w:rsidRPr="00F8635D">
        <w:t xml:space="preserve">provozu a využití nemovitého majetku v resortu MV; </w:t>
      </w:r>
    </w:p>
    <w:p w14:paraId="7E732B63" w14:textId="4C1F6C72" w:rsidR="00F2755D" w:rsidRPr="00F8635D" w:rsidRDefault="00F2755D" w:rsidP="009D3201">
      <w:pPr>
        <w:pStyle w:val="KPnormln"/>
        <w:numPr>
          <w:ilvl w:val="0"/>
          <w:numId w:val="48"/>
        </w:numPr>
        <w:ind w:left="284" w:hanging="284"/>
        <w:rPr>
          <w:rStyle w:val="KZnormlnChar"/>
          <w:noProof/>
          <w:lang w:val="cs-CZ"/>
        </w:rPr>
      </w:pPr>
      <w:r w:rsidRPr="00F8635D">
        <w:t xml:space="preserve">zajištění informační podpory pro sběr dat, analýzy a rozhodování vedoucí k optimalizaci </w:t>
      </w:r>
      <w:r w:rsidRPr="00F8635D">
        <w:rPr>
          <w:rStyle w:val="KZnormlnChar"/>
        </w:rPr>
        <w:t>majetkové nákladovosti</w:t>
      </w:r>
      <w:r w:rsidRPr="00F8635D">
        <w:rPr>
          <w:rStyle w:val="KZnormlnChar"/>
          <w:lang w:val="cs-CZ"/>
        </w:rPr>
        <w:t xml:space="preserve"> jak u MV</w:t>
      </w:r>
      <w:r w:rsidR="00D40646">
        <w:rPr>
          <w:rStyle w:val="KZnormlnChar"/>
          <w:lang w:val="cs-CZ"/>
        </w:rPr>
        <w:t xml:space="preserve"> (REM)</w:t>
      </w:r>
      <w:r w:rsidRPr="00F8635D">
        <w:rPr>
          <w:rStyle w:val="KZnormlnChar"/>
          <w:lang w:val="cs-CZ"/>
        </w:rPr>
        <w:t>, tak na úrovni státu jako celku (CRAB)</w:t>
      </w:r>
      <w:r w:rsidRPr="00F8635D">
        <w:rPr>
          <w:rStyle w:val="KZnormlnChar"/>
        </w:rPr>
        <w:t>.</w:t>
      </w:r>
    </w:p>
    <w:p w14:paraId="235471F3" w14:textId="77777777" w:rsidR="00F2755D" w:rsidRPr="00F8635D" w:rsidRDefault="00F2755D" w:rsidP="00F2755D">
      <w:pPr>
        <w:pStyle w:val="KZnormln"/>
        <w:spacing w:before="0" w:after="0" w:line="259" w:lineRule="auto"/>
      </w:pPr>
      <w:r w:rsidRPr="00F8635D">
        <w:rPr>
          <w:lang w:val="cs-CZ"/>
        </w:rPr>
        <w:t>Za tímto účelem NKÚ v kontrolní akci prověřil, zda jsou naplněny předpoklady pro účelné a efektivní vynakládání peněžních prostředků na správu státem využívaného nemovitého majetku s ohledem na:</w:t>
      </w:r>
    </w:p>
    <w:p w14:paraId="79A429DA" w14:textId="77777777" w:rsidR="00F2755D" w:rsidRPr="00F8635D" w:rsidRDefault="00F2755D" w:rsidP="009D3201">
      <w:pPr>
        <w:pStyle w:val="KZnormln"/>
        <w:numPr>
          <w:ilvl w:val="0"/>
          <w:numId w:val="49"/>
        </w:numPr>
        <w:spacing w:before="0" w:after="0" w:line="259" w:lineRule="auto"/>
        <w:ind w:left="284" w:hanging="284"/>
        <w:rPr>
          <w:lang w:val="cs-CZ"/>
        </w:rPr>
      </w:pPr>
      <w:r w:rsidRPr="00F8635D">
        <w:rPr>
          <w:lang w:val="cs-CZ"/>
        </w:rPr>
        <w:t>strategické a koncepční materiály v oblasti správy nemovitého majetku,</w:t>
      </w:r>
    </w:p>
    <w:p w14:paraId="29E68157" w14:textId="77777777" w:rsidR="00F2755D" w:rsidRPr="00F8635D" w:rsidRDefault="00F2755D" w:rsidP="009D3201">
      <w:pPr>
        <w:pStyle w:val="KZnormln"/>
        <w:numPr>
          <w:ilvl w:val="0"/>
          <w:numId w:val="49"/>
        </w:numPr>
        <w:spacing w:before="0" w:after="0" w:line="259" w:lineRule="auto"/>
        <w:ind w:left="284" w:hanging="284"/>
        <w:rPr>
          <w:lang w:val="cs-CZ"/>
        </w:rPr>
      </w:pPr>
      <w:r w:rsidRPr="00F8635D">
        <w:rPr>
          <w:lang w:val="cs-CZ"/>
        </w:rPr>
        <w:t>stanovené povinnosti, kompetence a odpovědnosti orgánů podílejících se na správě nemovitého majetku,</w:t>
      </w:r>
    </w:p>
    <w:p w14:paraId="0AFCA4E0" w14:textId="77777777" w:rsidR="00F2755D" w:rsidRPr="00F8635D" w:rsidRDefault="00F2755D" w:rsidP="009D3201">
      <w:pPr>
        <w:pStyle w:val="KZnormln"/>
        <w:numPr>
          <w:ilvl w:val="0"/>
          <w:numId w:val="49"/>
        </w:numPr>
        <w:spacing w:before="0" w:after="0" w:line="259" w:lineRule="auto"/>
        <w:ind w:left="284" w:hanging="284"/>
        <w:rPr>
          <w:lang w:val="cs-CZ"/>
        </w:rPr>
      </w:pPr>
      <w:r w:rsidRPr="00F8635D">
        <w:rPr>
          <w:lang w:val="cs-CZ"/>
        </w:rPr>
        <w:t>činnosti ÚZSVM, MV a ZSMV v oblasti správy nemovitého majetku,</w:t>
      </w:r>
    </w:p>
    <w:p w14:paraId="194DD6AE" w14:textId="77777777" w:rsidR="00F2755D" w:rsidRPr="00F8635D" w:rsidRDefault="00F2755D" w:rsidP="009D3201">
      <w:pPr>
        <w:pStyle w:val="KZnormln"/>
        <w:numPr>
          <w:ilvl w:val="0"/>
          <w:numId w:val="49"/>
        </w:numPr>
        <w:spacing w:before="0" w:line="259" w:lineRule="auto"/>
        <w:ind w:left="284" w:hanging="284"/>
      </w:pPr>
      <w:r w:rsidRPr="00F8635D">
        <w:rPr>
          <w:lang w:val="cs-CZ"/>
        </w:rPr>
        <w:t>využitelnost informačních systémů pro rozhodování vedoucí k optimalizaci správy nemovitého majetku.</w:t>
      </w:r>
    </w:p>
    <w:p w14:paraId="67CFC0DD" w14:textId="66343D84" w:rsidR="008C70EC" w:rsidRPr="00680418" w:rsidRDefault="00280875" w:rsidP="00F8635D">
      <w:pPr>
        <w:rPr>
          <w:rFonts w:eastAsia="Times New Roman" w:cs="Calibri"/>
          <w:szCs w:val="24"/>
          <w:lang w:eastAsia="cs-CZ"/>
        </w:rPr>
      </w:pPr>
      <w:r>
        <w:t xml:space="preserve">Kontrola byla </w:t>
      </w:r>
      <w:r w:rsidR="005C78CD">
        <w:t xml:space="preserve">provedena </w:t>
      </w:r>
      <w:r>
        <w:t xml:space="preserve">u tří kontrolovaných osob. </w:t>
      </w:r>
      <w:r w:rsidR="006F7F62">
        <w:t xml:space="preserve">ÚZSVM byl vybrán, jelikož spravuje </w:t>
      </w:r>
      <w:r w:rsidR="00426815">
        <w:t>a </w:t>
      </w:r>
      <w:r w:rsidR="006F7F62">
        <w:t xml:space="preserve">provozuje CRAB a </w:t>
      </w:r>
      <w:r w:rsidR="00A93467">
        <w:t xml:space="preserve">byly </w:t>
      </w:r>
      <w:r w:rsidR="006F7F62">
        <w:t>posíl</w:t>
      </w:r>
      <w:r w:rsidR="00A93467">
        <w:t>eny</w:t>
      </w:r>
      <w:r w:rsidR="005701B3" w:rsidRPr="005701B3">
        <w:t xml:space="preserve"> </w:t>
      </w:r>
      <w:r w:rsidR="005701B3">
        <w:t xml:space="preserve">jeho kompetence </w:t>
      </w:r>
      <w:r w:rsidR="00354CD6">
        <w:t xml:space="preserve">podporující </w:t>
      </w:r>
      <w:r w:rsidR="005701B3">
        <w:t>centralizac</w:t>
      </w:r>
      <w:r w:rsidR="00354CD6">
        <w:t>i</w:t>
      </w:r>
      <w:r w:rsidR="005701B3">
        <w:t xml:space="preserve"> správy nemovitého majetku</w:t>
      </w:r>
      <w:r w:rsidR="006F7F62">
        <w:t>. MV</w:t>
      </w:r>
      <w:r w:rsidR="00FF2F3A">
        <w:t xml:space="preserve"> </w:t>
      </w:r>
      <w:r w:rsidR="009D3201">
        <w:rPr>
          <w:rFonts w:ascii="Calibri" w:hAnsi="Calibri"/>
        </w:rPr>
        <w:t xml:space="preserve">má </w:t>
      </w:r>
      <w:r>
        <w:rPr>
          <w:rFonts w:ascii="Calibri" w:hAnsi="Calibri"/>
        </w:rPr>
        <w:t>stejně jako ostatní organizační složky státu</w:t>
      </w:r>
      <w:r w:rsidR="00FF2F3A">
        <w:rPr>
          <w:rFonts w:ascii="Calibri" w:hAnsi="Calibri"/>
        </w:rPr>
        <w:t xml:space="preserve"> </w:t>
      </w:r>
      <w:r>
        <w:rPr>
          <w:rFonts w:ascii="Calibri" w:hAnsi="Calibri"/>
        </w:rPr>
        <w:t>povinno</w:t>
      </w:r>
      <w:r w:rsidR="00FF2F3A">
        <w:rPr>
          <w:rFonts w:ascii="Calibri" w:hAnsi="Calibri"/>
        </w:rPr>
        <w:t>st</w:t>
      </w:r>
      <w:r>
        <w:rPr>
          <w:rFonts w:ascii="Calibri" w:hAnsi="Calibri"/>
        </w:rPr>
        <w:t xml:space="preserve"> poskytovat do CRAB </w:t>
      </w:r>
      <w:r w:rsidRPr="0039447B">
        <w:rPr>
          <w:rFonts w:ascii="Calibri" w:hAnsi="Calibri"/>
        </w:rPr>
        <w:t>úplné a</w:t>
      </w:r>
      <w:r>
        <w:rPr>
          <w:rFonts w:ascii="Calibri" w:hAnsi="Calibri"/>
        </w:rPr>
        <w:t> </w:t>
      </w:r>
      <w:r w:rsidRPr="0039447B">
        <w:rPr>
          <w:rFonts w:ascii="Calibri" w:hAnsi="Calibri"/>
        </w:rPr>
        <w:t>pravdivé údaje o nemovitých věcech</w:t>
      </w:r>
      <w:r w:rsidR="005C78CD">
        <w:rPr>
          <w:rFonts w:ascii="Calibri" w:hAnsi="Calibri"/>
        </w:rPr>
        <w:t xml:space="preserve"> a</w:t>
      </w:r>
      <w:r w:rsidR="008C70EC">
        <w:rPr>
          <w:rFonts w:ascii="Calibri" w:hAnsi="Calibri"/>
        </w:rPr>
        <w:t xml:space="preserve"> </w:t>
      </w:r>
      <w:r w:rsidR="005C78CD">
        <w:rPr>
          <w:rFonts w:ascii="Calibri" w:hAnsi="Calibri"/>
        </w:rPr>
        <w:t>v</w:t>
      </w:r>
      <w:r w:rsidR="006F7F62">
        <w:rPr>
          <w:rFonts w:ascii="Calibri" w:hAnsi="Calibri"/>
        </w:rPr>
        <w:t> letech 2014 a</w:t>
      </w:r>
      <w:r w:rsidR="005701B3">
        <w:rPr>
          <w:rFonts w:ascii="Calibri" w:hAnsi="Calibri"/>
        </w:rPr>
        <w:t> </w:t>
      </w:r>
      <w:r w:rsidR="006F7F62">
        <w:rPr>
          <w:rFonts w:ascii="Calibri" w:hAnsi="Calibri"/>
        </w:rPr>
        <w:t>2015</w:t>
      </w:r>
      <w:r w:rsidR="002040D7">
        <w:rPr>
          <w:rFonts w:ascii="Calibri" w:hAnsi="Calibri"/>
        </w:rPr>
        <w:t xml:space="preserve"> evidovalo v CRAB</w:t>
      </w:r>
      <w:r w:rsidR="008C70EC">
        <w:rPr>
          <w:rFonts w:ascii="Calibri" w:hAnsi="Calibri"/>
        </w:rPr>
        <w:t xml:space="preserve"> </w:t>
      </w:r>
      <w:r w:rsidR="008C70EC" w:rsidRPr="00F8635D">
        <w:rPr>
          <w:rFonts w:eastAsia="Times New Roman" w:cstheme="minorHAnsi"/>
          <w:color w:val="000000"/>
        </w:rPr>
        <w:t xml:space="preserve">třetinu </w:t>
      </w:r>
      <w:r w:rsidR="005C78CD" w:rsidRPr="00F8635D">
        <w:rPr>
          <w:rFonts w:eastAsia="Times New Roman" w:cstheme="minorHAnsi"/>
          <w:color w:val="000000"/>
        </w:rPr>
        <w:t xml:space="preserve">všech </w:t>
      </w:r>
      <w:r w:rsidR="008C70EC" w:rsidRPr="00F8635D">
        <w:rPr>
          <w:rFonts w:eastAsia="Times New Roman" w:cstheme="minorHAnsi"/>
          <w:color w:val="000000"/>
        </w:rPr>
        <w:t>objektů evidovaných v</w:t>
      </w:r>
      <w:r w:rsidR="005C78CD" w:rsidRPr="00F8635D">
        <w:rPr>
          <w:rFonts w:eastAsia="Times New Roman" w:cstheme="minorHAnsi"/>
          <w:color w:val="000000"/>
        </w:rPr>
        <w:t> </w:t>
      </w:r>
      <w:r w:rsidR="008C70EC" w:rsidRPr="00F8635D">
        <w:rPr>
          <w:rFonts w:eastAsia="Times New Roman" w:cstheme="minorHAnsi"/>
          <w:color w:val="000000"/>
        </w:rPr>
        <w:t>CRAB</w:t>
      </w:r>
      <w:r w:rsidR="005C78CD" w:rsidRPr="00F8635D">
        <w:rPr>
          <w:rFonts w:eastAsia="Times New Roman" w:cstheme="minorHAnsi"/>
          <w:color w:val="000000"/>
        </w:rPr>
        <w:t xml:space="preserve">, </w:t>
      </w:r>
      <w:r w:rsidR="00A225DC" w:rsidRPr="00F8635D">
        <w:rPr>
          <w:rFonts w:eastAsia="Times New Roman" w:cstheme="minorHAnsi"/>
          <w:color w:val="000000"/>
        </w:rPr>
        <w:t xml:space="preserve">tedy </w:t>
      </w:r>
      <w:r w:rsidR="005C78CD" w:rsidRPr="00F8635D">
        <w:rPr>
          <w:rFonts w:eastAsia="Times New Roman" w:cstheme="minorHAnsi"/>
          <w:color w:val="000000"/>
        </w:rPr>
        <w:t>nejvíce ze</w:t>
      </w:r>
      <w:r w:rsidR="009D3201">
        <w:rPr>
          <w:rFonts w:eastAsia="Times New Roman" w:cstheme="minorHAnsi"/>
          <w:color w:val="000000"/>
        </w:rPr>
        <w:t xml:space="preserve"> </w:t>
      </w:r>
      <w:r w:rsidR="005C78CD" w:rsidRPr="00F8635D">
        <w:rPr>
          <w:rFonts w:eastAsia="Times New Roman" w:cstheme="minorHAnsi"/>
          <w:color w:val="000000"/>
        </w:rPr>
        <w:t>vš</w:t>
      </w:r>
      <w:r w:rsidR="009D3583" w:rsidRPr="00F8635D">
        <w:rPr>
          <w:rFonts w:eastAsia="Times New Roman" w:cstheme="minorHAnsi"/>
          <w:color w:val="000000"/>
        </w:rPr>
        <w:t>e</w:t>
      </w:r>
      <w:r w:rsidR="005C78CD" w:rsidRPr="00F8635D">
        <w:rPr>
          <w:rFonts w:eastAsia="Times New Roman" w:cstheme="minorHAnsi"/>
          <w:color w:val="000000"/>
        </w:rPr>
        <w:t>ch státních institucí</w:t>
      </w:r>
      <w:r w:rsidRPr="00F8635D">
        <w:rPr>
          <w:rFonts w:eastAsia="Times New Roman" w:cstheme="minorHAnsi"/>
          <w:color w:val="000000"/>
        </w:rPr>
        <w:t>.</w:t>
      </w:r>
      <w:r w:rsidR="008C70EC" w:rsidRPr="00F8635D">
        <w:rPr>
          <w:rFonts w:eastAsia="Times New Roman" w:cstheme="minorHAnsi"/>
          <w:color w:val="000000"/>
        </w:rPr>
        <w:t xml:space="preserve"> </w:t>
      </w:r>
      <w:r w:rsidR="002040D7" w:rsidRPr="00F8635D">
        <w:rPr>
          <w:rFonts w:eastAsia="Times New Roman" w:cstheme="minorHAnsi"/>
          <w:color w:val="000000"/>
        </w:rPr>
        <w:t>MV</w:t>
      </w:r>
      <w:r w:rsidR="008C70EC" w:rsidRPr="00F8635D">
        <w:rPr>
          <w:rFonts w:eastAsia="Times New Roman" w:cstheme="minorHAnsi"/>
          <w:color w:val="000000"/>
        </w:rPr>
        <w:t xml:space="preserve"> jako jediné pro přenos údajů do</w:t>
      </w:r>
      <w:r w:rsidR="009D3201">
        <w:rPr>
          <w:rFonts w:eastAsia="Times New Roman" w:cstheme="minorHAnsi"/>
          <w:color w:val="000000"/>
        </w:rPr>
        <w:t xml:space="preserve"> </w:t>
      </w:r>
      <w:r w:rsidR="00A93467" w:rsidRPr="00F8635D">
        <w:rPr>
          <w:rFonts w:eastAsia="Times New Roman" w:cstheme="minorHAnsi"/>
          <w:color w:val="000000"/>
        </w:rPr>
        <w:t xml:space="preserve">CRAB </w:t>
      </w:r>
      <w:r w:rsidR="00A225DC" w:rsidRPr="00F8635D">
        <w:rPr>
          <w:rFonts w:eastAsia="Times New Roman" w:cstheme="minorHAnsi"/>
          <w:color w:val="000000"/>
        </w:rPr>
        <w:t xml:space="preserve">za resort </w:t>
      </w:r>
      <w:r w:rsidR="0002759A">
        <w:rPr>
          <w:rFonts w:eastAsia="Times New Roman" w:cstheme="minorHAnsi"/>
          <w:color w:val="000000"/>
        </w:rPr>
        <w:t>(</w:t>
      </w:r>
      <w:r w:rsidR="00A225DC" w:rsidRPr="00F8635D">
        <w:rPr>
          <w:rFonts w:eastAsia="Times New Roman" w:cstheme="minorHAnsi"/>
          <w:color w:val="000000"/>
        </w:rPr>
        <w:t>vyjma ZSMV</w:t>
      </w:r>
      <w:r w:rsidR="0002759A">
        <w:rPr>
          <w:rFonts w:eastAsia="Times New Roman" w:cstheme="minorHAnsi"/>
          <w:color w:val="000000"/>
        </w:rPr>
        <w:t>)</w:t>
      </w:r>
      <w:r w:rsidR="00A225DC" w:rsidRPr="00F8635D">
        <w:rPr>
          <w:rFonts w:eastAsia="Times New Roman" w:cstheme="minorHAnsi"/>
          <w:color w:val="000000"/>
        </w:rPr>
        <w:t xml:space="preserve"> </w:t>
      </w:r>
      <w:r w:rsidR="00A93467" w:rsidRPr="00F8635D">
        <w:rPr>
          <w:rFonts w:eastAsia="Times New Roman" w:cstheme="minorHAnsi"/>
          <w:color w:val="000000"/>
        </w:rPr>
        <w:t>využívá</w:t>
      </w:r>
      <w:r w:rsidR="008C70EC" w:rsidRPr="00F8635D">
        <w:rPr>
          <w:rFonts w:eastAsia="Times New Roman" w:cstheme="minorHAnsi"/>
          <w:color w:val="000000"/>
        </w:rPr>
        <w:t xml:space="preserve"> automatické předávání</w:t>
      </w:r>
      <w:r w:rsidR="00A93467" w:rsidRPr="00F8635D">
        <w:rPr>
          <w:rFonts w:eastAsia="Times New Roman" w:cstheme="minorHAnsi"/>
          <w:color w:val="000000"/>
        </w:rPr>
        <w:t xml:space="preserve"> dat</w:t>
      </w:r>
      <w:r w:rsidR="008C70EC" w:rsidRPr="00F8635D">
        <w:rPr>
          <w:rFonts w:eastAsia="Times New Roman" w:cstheme="minorHAnsi"/>
          <w:color w:val="000000"/>
        </w:rPr>
        <w:t xml:space="preserve">. ZSMV </w:t>
      </w:r>
      <w:r w:rsidR="00B01C92" w:rsidRPr="00F8635D">
        <w:rPr>
          <w:rFonts w:eastAsia="Times New Roman" w:cstheme="minorHAnsi"/>
          <w:color w:val="000000"/>
        </w:rPr>
        <w:t>zajišťuje správu administrativních budov MV</w:t>
      </w:r>
      <w:r w:rsidR="007D0B6A" w:rsidRPr="00F8635D">
        <w:rPr>
          <w:rFonts w:eastAsia="Times New Roman" w:cstheme="minorHAnsi"/>
          <w:color w:val="000000"/>
        </w:rPr>
        <w:t xml:space="preserve">, přičemž </w:t>
      </w:r>
      <w:r w:rsidR="00B01C92" w:rsidRPr="00F8635D">
        <w:rPr>
          <w:rFonts w:eastAsia="Times New Roman" w:cstheme="minorHAnsi"/>
          <w:color w:val="000000"/>
        </w:rPr>
        <w:t>údaje o těchto budovách zadává do</w:t>
      </w:r>
      <w:r w:rsidR="009D3201">
        <w:rPr>
          <w:rFonts w:eastAsia="Times New Roman" w:cstheme="minorHAnsi"/>
          <w:color w:val="000000"/>
        </w:rPr>
        <w:t xml:space="preserve"> </w:t>
      </w:r>
      <w:r w:rsidR="00B01C92" w:rsidRPr="00F8635D">
        <w:rPr>
          <w:rFonts w:eastAsia="Times New Roman" w:cstheme="minorHAnsi"/>
          <w:color w:val="000000"/>
        </w:rPr>
        <w:t>CRAB ručně.</w:t>
      </w:r>
    </w:p>
    <w:p w14:paraId="2AEBDE9C" w14:textId="6BCE2D1B" w:rsidR="00B01C92" w:rsidRDefault="008C70EC" w:rsidP="00F8635D">
      <w:pPr>
        <w:pStyle w:val="KZnormln"/>
        <w:spacing w:before="0" w:line="259" w:lineRule="auto"/>
        <w:rPr>
          <w:lang w:val="cs-CZ"/>
        </w:rPr>
      </w:pPr>
      <w:r>
        <w:t>Kontrolní akce b</w:t>
      </w:r>
      <w:r>
        <w:rPr>
          <w:lang w:val="cs-CZ"/>
        </w:rPr>
        <w:t>yla</w:t>
      </w:r>
      <w:r>
        <w:t xml:space="preserve"> provedena jako kontrola typu audit výkonnosti. </w:t>
      </w:r>
      <w:r w:rsidR="00DB6D29" w:rsidRPr="00DB6D29">
        <w:rPr>
          <w:lang w:val="cs-CZ"/>
        </w:rPr>
        <w:t xml:space="preserve">NKÚ </w:t>
      </w:r>
      <w:r w:rsidR="00BF1E00">
        <w:rPr>
          <w:lang w:val="cs-CZ"/>
        </w:rPr>
        <w:t>provedl analýzu dokumentů</w:t>
      </w:r>
      <w:r w:rsidR="00DB6D29" w:rsidRPr="00DB6D29">
        <w:rPr>
          <w:lang w:val="cs-CZ"/>
        </w:rPr>
        <w:t xml:space="preserve"> v oblasti správy nemovitého ma</w:t>
      </w:r>
      <w:r w:rsidR="00B01C92">
        <w:rPr>
          <w:lang w:val="cs-CZ"/>
        </w:rPr>
        <w:t xml:space="preserve">jetku a </w:t>
      </w:r>
      <w:r w:rsidR="00DB6D29" w:rsidRPr="00DB6D29">
        <w:rPr>
          <w:lang w:val="cs-CZ"/>
        </w:rPr>
        <w:t xml:space="preserve">dat evidovaných v informačních </w:t>
      </w:r>
      <w:r w:rsidR="00DB6D29" w:rsidRPr="00DB6D29">
        <w:rPr>
          <w:lang w:val="cs-CZ"/>
        </w:rPr>
        <w:lastRenderedPageBreak/>
        <w:t xml:space="preserve">systémech. </w:t>
      </w:r>
      <w:r w:rsidR="005E0C96" w:rsidRPr="00DB6D29">
        <w:rPr>
          <w:lang w:val="cs-CZ"/>
        </w:rPr>
        <w:t xml:space="preserve">NKÚ posuzoval získané informace komplexně </w:t>
      </w:r>
      <w:r w:rsidR="00354CD6">
        <w:rPr>
          <w:lang w:val="cs-CZ"/>
        </w:rPr>
        <w:t xml:space="preserve">za všechny </w:t>
      </w:r>
      <w:r w:rsidR="005E0C96" w:rsidRPr="00DB6D29">
        <w:rPr>
          <w:lang w:val="cs-CZ"/>
        </w:rPr>
        <w:t>tř</w:t>
      </w:r>
      <w:r w:rsidR="00354CD6">
        <w:rPr>
          <w:lang w:val="cs-CZ"/>
        </w:rPr>
        <w:t xml:space="preserve">i kontrolované osoby </w:t>
      </w:r>
      <w:r w:rsidR="005E0C96" w:rsidRPr="00DB6D29">
        <w:rPr>
          <w:lang w:val="cs-CZ"/>
        </w:rPr>
        <w:t>a</w:t>
      </w:r>
      <w:r w:rsidR="001A7DB3">
        <w:rPr>
          <w:lang w:val="cs-CZ"/>
        </w:rPr>
        <w:t> </w:t>
      </w:r>
      <w:r w:rsidR="001B05FF" w:rsidRPr="00DB6D29">
        <w:rPr>
          <w:lang w:val="cs-CZ"/>
        </w:rPr>
        <w:t xml:space="preserve">zjištěné </w:t>
      </w:r>
      <w:r w:rsidR="005E0C96" w:rsidRPr="00DB6D29">
        <w:rPr>
          <w:lang w:val="cs-CZ"/>
        </w:rPr>
        <w:t xml:space="preserve">skutečnosti </w:t>
      </w:r>
      <w:r w:rsidR="005405FE">
        <w:rPr>
          <w:lang w:val="cs-CZ"/>
        </w:rPr>
        <w:t>vzájemně</w:t>
      </w:r>
      <w:r w:rsidR="00354CD6">
        <w:rPr>
          <w:lang w:val="cs-CZ"/>
        </w:rPr>
        <w:t xml:space="preserve"> ověřoval.</w:t>
      </w:r>
      <w:r w:rsidR="005E0C96" w:rsidRPr="00DB6D29">
        <w:rPr>
          <w:lang w:val="cs-CZ"/>
        </w:rPr>
        <w:t xml:space="preserve"> </w:t>
      </w:r>
    </w:p>
    <w:p w14:paraId="737DD47D" w14:textId="1874FAA2" w:rsidR="00FB1C4E" w:rsidRDefault="00DB6D29" w:rsidP="00D64A01">
      <w:pPr>
        <w:pStyle w:val="KPnormln"/>
        <w:rPr>
          <w:rFonts w:ascii="Calibri" w:hAnsi="Calibri" w:cs="Calibri"/>
          <w:lang w:eastAsia="cs-CZ"/>
        </w:rPr>
      </w:pPr>
      <w:r>
        <w:rPr>
          <w:rFonts w:eastAsiaTheme="minorHAnsi"/>
          <w:lang w:eastAsia="cs-CZ"/>
        </w:rPr>
        <w:t>P</w:t>
      </w:r>
      <w:r w:rsidR="00727E11">
        <w:rPr>
          <w:rFonts w:eastAsiaTheme="minorHAnsi"/>
          <w:lang w:eastAsia="cs-CZ"/>
        </w:rPr>
        <w:t xml:space="preserve">ro posouzení efektivnosti správy nemovitého majetku </w:t>
      </w:r>
      <w:r w:rsidR="00B93652">
        <w:rPr>
          <w:rFonts w:eastAsiaTheme="minorHAnsi"/>
          <w:lang w:eastAsia="cs-CZ"/>
        </w:rPr>
        <w:t xml:space="preserve">v kontrole </w:t>
      </w:r>
      <w:r>
        <w:rPr>
          <w:rFonts w:eastAsiaTheme="minorHAnsi"/>
          <w:lang w:eastAsia="cs-CZ"/>
        </w:rPr>
        <w:t xml:space="preserve">NKÚ </w:t>
      </w:r>
      <w:r w:rsidR="00B93652">
        <w:rPr>
          <w:rFonts w:eastAsiaTheme="minorHAnsi"/>
          <w:lang w:eastAsia="cs-CZ"/>
        </w:rPr>
        <w:t xml:space="preserve">využil </w:t>
      </w:r>
      <w:r w:rsidR="00727E11">
        <w:rPr>
          <w:rFonts w:eastAsiaTheme="minorHAnsi"/>
          <w:lang w:eastAsia="cs-CZ"/>
        </w:rPr>
        <w:t xml:space="preserve">údaje z informačních </w:t>
      </w:r>
      <w:r w:rsidR="00D64A01">
        <w:rPr>
          <w:rFonts w:eastAsiaTheme="minorHAnsi"/>
          <w:lang w:eastAsia="cs-CZ"/>
        </w:rPr>
        <w:t>systémů</w:t>
      </w:r>
      <w:r w:rsidR="00821F0B">
        <w:rPr>
          <w:rFonts w:eastAsiaTheme="minorHAnsi"/>
          <w:lang w:eastAsia="cs-CZ"/>
        </w:rPr>
        <w:t xml:space="preserve"> (CRAB a EKIS)</w:t>
      </w:r>
      <w:r w:rsidR="00D64A01">
        <w:rPr>
          <w:rFonts w:eastAsiaTheme="minorHAnsi"/>
          <w:lang w:eastAsia="cs-CZ"/>
        </w:rPr>
        <w:t xml:space="preserve">. Zvolil </w:t>
      </w:r>
      <w:r w:rsidR="00727E11">
        <w:rPr>
          <w:rFonts w:eastAsiaTheme="minorHAnsi"/>
          <w:lang w:eastAsia="cs-CZ"/>
        </w:rPr>
        <w:t>metodu v</w:t>
      </w:r>
      <w:r w:rsidR="00C9534E">
        <w:rPr>
          <w:rFonts w:eastAsiaTheme="minorHAnsi"/>
          <w:lang w:eastAsia="cs-CZ"/>
        </w:rPr>
        <w:t>zájemné</w:t>
      </w:r>
      <w:r w:rsidR="00727E11">
        <w:rPr>
          <w:rFonts w:eastAsiaTheme="minorHAnsi"/>
          <w:lang w:eastAsia="cs-CZ"/>
        </w:rPr>
        <w:t>ho</w:t>
      </w:r>
      <w:r w:rsidR="00C9534E">
        <w:rPr>
          <w:rFonts w:eastAsiaTheme="minorHAnsi"/>
          <w:lang w:eastAsia="cs-CZ"/>
        </w:rPr>
        <w:t xml:space="preserve"> srovnání objektů </w:t>
      </w:r>
      <w:r w:rsidR="00D2455F">
        <w:rPr>
          <w:rFonts w:eastAsiaTheme="minorHAnsi"/>
          <w:lang w:eastAsia="cs-CZ"/>
        </w:rPr>
        <w:t>na</w:t>
      </w:r>
      <w:r w:rsidR="009D3201">
        <w:rPr>
          <w:rFonts w:eastAsiaTheme="minorHAnsi"/>
          <w:lang w:eastAsia="cs-CZ"/>
        </w:rPr>
        <w:t xml:space="preserve"> </w:t>
      </w:r>
      <w:r w:rsidR="00C9534E">
        <w:rPr>
          <w:rFonts w:eastAsiaTheme="minorHAnsi"/>
          <w:lang w:eastAsia="cs-CZ"/>
        </w:rPr>
        <w:t>základě poměrových ukazatelů</w:t>
      </w:r>
      <w:r w:rsidR="00727E11">
        <w:rPr>
          <w:rFonts w:eastAsiaTheme="minorHAnsi"/>
          <w:lang w:eastAsia="cs-CZ"/>
        </w:rPr>
        <w:t xml:space="preserve"> a</w:t>
      </w:r>
      <w:r w:rsidR="00D64A01">
        <w:rPr>
          <w:rFonts w:eastAsiaTheme="minorHAnsi"/>
          <w:lang w:eastAsia="cs-CZ"/>
        </w:rPr>
        <w:t xml:space="preserve"> metodu </w:t>
      </w:r>
      <w:r w:rsidR="00727E11">
        <w:rPr>
          <w:rFonts w:eastAsiaTheme="minorHAnsi"/>
          <w:lang w:eastAsia="cs-CZ"/>
        </w:rPr>
        <w:t>vícenásobných regresních modelů</w:t>
      </w:r>
      <w:r w:rsidR="00D64A01">
        <w:rPr>
          <w:rFonts w:eastAsiaTheme="minorHAnsi"/>
          <w:lang w:eastAsia="cs-CZ"/>
        </w:rPr>
        <w:t xml:space="preserve"> při zohlednění více údajů o objektech.</w:t>
      </w:r>
      <w:r w:rsidR="00C9534E">
        <w:rPr>
          <w:rFonts w:eastAsiaTheme="minorHAnsi"/>
          <w:lang w:eastAsia="cs-CZ"/>
        </w:rPr>
        <w:t xml:space="preserve"> </w:t>
      </w:r>
      <w:r w:rsidR="00D64A01">
        <w:rPr>
          <w:rFonts w:eastAsiaTheme="minorHAnsi"/>
          <w:lang w:eastAsia="cs-CZ"/>
        </w:rPr>
        <w:t xml:space="preserve">NKÚ konzultoval možnosti přístupu k vzájemnému srovnání </w:t>
      </w:r>
      <w:r>
        <w:rPr>
          <w:rFonts w:eastAsiaTheme="minorHAnsi"/>
          <w:lang w:eastAsia="cs-CZ"/>
        </w:rPr>
        <w:t>správy</w:t>
      </w:r>
      <w:r w:rsidR="00D64A01">
        <w:rPr>
          <w:rFonts w:eastAsiaTheme="minorHAnsi"/>
          <w:lang w:eastAsia="cs-CZ"/>
        </w:rPr>
        <w:t xml:space="preserve"> a</w:t>
      </w:r>
      <w:r w:rsidR="00BE4D6A">
        <w:rPr>
          <w:rFonts w:eastAsiaTheme="minorHAnsi"/>
          <w:lang w:eastAsia="cs-CZ"/>
        </w:rPr>
        <w:t> </w:t>
      </w:r>
      <w:r w:rsidR="00D64A01">
        <w:rPr>
          <w:rFonts w:eastAsiaTheme="minorHAnsi"/>
          <w:lang w:eastAsia="cs-CZ"/>
        </w:rPr>
        <w:t>využití objektů s odborníky z Vysoké školy ekonomické v Praze.</w:t>
      </w:r>
      <w:r w:rsidR="008C70EC">
        <w:rPr>
          <w:rFonts w:eastAsiaTheme="minorHAnsi"/>
          <w:lang w:eastAsia="cs-CZ"/>
        </w:rPr>
        <w:t xml:space="preserve"> </w:t>
      </w:r>
      <w:r w:rsidR="008C70EC">
        <w:rPr>
          <w:rFonts w:ascii="Calibri" w:hAnsi="Calibri" w:cs="Calibri"/>
          <w:lang w:eastAsia="cs-CZ"/>
        </w:rPr>
        <w:t xml:space="preserve">Vybrané ukazatele administrativních budov </w:t>
      </w:r>
      <w:r w:rsidR="0070050A">
        <w:rPr>
          <w:rFonts w:ascii="Calibri" w:hAnsi="Calibri" w:cs="Calibri"/>
          <w:lang w:eastAsia="cs-CZ"/>
        </w:rPr>
        <w:t>byly</w:t>
      </w:r>
      <w:r w:rsidR="008C70EC">
        <w:rPr>
          <w:rFonts w:ascii="Calibri" w:hAnsi="Calibri" w:cs="Calibri"/>
          <w:lang w:eastAsia="cs-CZ"/>
        </w:rPr>
        <w:t xml:space="preserve"> využity </w:t>
      </w:r>
      <w:r w:rsidR="00B01C92">
        <w:rPr>
          <w:rFonts w:ascii="Calibri" w:hAnsi="Calibri" w:cs="Calibri"/>
          <w:lang w:eastAsia="cs-CZ"/>
        </w:rPr>
        <w:t xml:space="preserve">též </w:t>
      </w:r>
      <w:r w:rsidR="008C70EC">
        <w:rPr>
          <w:rFonts w:ascii="Calibri" w:hAnsi="Calibri" w:cs="Calibri"/>
          <w:lang w:eastAsia="cs-CZ"/>
        </w:rPr>
        <w:t>pro mezinárodní srovnání</w:t>
      </w:r>
      <w:r w:rsidR="00354CD6">
        <w:rPr>
          <w:rFonts w:ascii="Calibri" w:hAnsi="Calibri" w:cs="Calibri"/>
          <w:lang w:eastAsia="cs-CZ"/>
        </w:rPr>
        <w:t xml:space="preserve"> v této oblasti zkoumání.</w:t>
      </w:r>
    </w:p>
    <w:p w14:paraId="466C0C2E" w14:textId="7D3E3AA5" w:rsidR="00727E11" w:rsidRDefault="00173031" w:rsidP="009D3201">
      <w:pPr>
        <w:pStyle w:val="KPnormln"/>
        <w:spacing w:after="0" w:line="240" w:lineRule="auto"/>
        <w:rPr>
          <w:lang w:eastAsia="cs-CZ"/>
        </w:rPr>
      </w:pPr>
      <w:r>
        <w:rPr>
          <w:lang w:eastAsia="cs-CZ"/>
        </w:rPr>
        <w:t xml:space="preserve">Při posuzování zajištění informační podpory </w:t>
      </w:r>
      <w:r w:rsidR="00541376">
        <w:rPr>
          <w:lang w:eastAsia="cs-CZ"/>
        </w:rPr>
        <w:t>NKÚ ověřil n</w:t>
      </w:r>
      <w:r w:rsidR="00B01C92">
        <w:rPr>
          <w:lang w:eastAsia="cs-CZ"/>
        </w:rPr>
        <w:t xml:space="preserve">a </w:t>
      </w:r>
      <w:r w:rsidR="000274CA">
        <w:rPr>
          <w:lang w:eastAsia="cs-CZ"/>
        </w:rPr>
        <w:t xml:space="preserve">vzorku </w:t>
      </w:r>
      <w:r w:rsidR="00163B12">
        <w:rPr>
          <w:lang w:eastAsia="cs-CZ"/>
        </w:rPr>
        <w:t>pěti budov</w:t>
      </w:r>
      <w:r w:rsidR="00D40646">
        <w:rPr>
          <w:lang w:eastAsia="cs-CZ"/>
        </w:rPr>
        <w:t xml:space="preserve">, s nimiž je příslušné hospodařit </w:t>
      </w:r>
      <w:r w:rsidR="00163B12">
        <w:rPr>
          <w:lang w:eastAsia="cs-CZ"/>
        </w:rPr>
        <w:t>MV</w:t>
      </w:r>
      <w:r w:rsidR="009D3201">
        <w:rPr>
          <w:lang w:eastAsia="cs-CZ"/>
        </w:rPr>
        <w:t>,</w:t>
      </w:r>
      <w:r w:rsidR="00163B12">
        <w:rPr>
          <w:lang w:eastAsia="cs-CZ"/>
        </w:rPr>
        <w:t xml:space="preserve"> a pěti budov</w:t>
      </w:r>
      <w:r w:rsidR="00602329">
        <w:rPr>
          <w:lang w:eastAsia="cs-CZ"/>
        </w:rPr>
        <w:t>, s nimiž je příslušné hospodařit</w:t>
      </w:r>
      <w:r w:rsidR="00163B12">
        <w:rPr>
          <w:lang w:eastAsia="cs-CZ"/>
        </w:rPr>
        <w:t xml:space="preserve"> ZSMV</w:t>
      </w:r>
      <w:r w:rsidR="009D3201">
        <w:rPr>
          <w:lang w:eastAsia="cs-CZ"/>
        </w:rPr>
        <w:t>,</w:t>
      </w:r>
      <w:r w:rsidR="00163B12">
        <w:rPr>
          <w:lang w:eastAsia="cs-CZ"/>
        </w:rPr>
        <w:t xml:space="preserve"> </w:t>
      </w:r>
      <w:r w:rsidR="005701B3">
        <w:rPr>
          <w:rFonts w:ascii="Calibri" w:hAnsi="Calibri" w:cs="Calibri"/>
          <w:lang w:eastAsia="cs-CZ"/>
        </w:rPr>
        <w:t>i porovnáním dat z</w:t>
      </w:r>
      <w:r w:rsidR="00541376">
        <w:rPr>
          <w:rFonts w:ascii="Calibri" w:hAnsi="Calibri" w:cs="Calibri"/>
          <w:lang w:eastAsia="cs-CZ"/>
        </w:rPr>
        <w:t xml:space="preserve"> </w:t>
      </w:r>
      <w:r w:rsidR="005701B3">
        <w:rPr>
          <w:rFonts w:ascii="Calibri" w:hAnsi="Calibri" w:cs="Calibri"/>
          <w:lang w:eastAsia="cs-CZ"/>
        </w:rPr>
        <w:t>informačních systémů</w:t>
      </w:r>
      <w:r w:rsidR="000274CA">
        <w:rPr>
          <w:rFonts w:ascii="Calibri" w:hAnsi="Calibri" w:cs="Calibri"/>
          <w:lang w:eastAsia="cs-CZ"/>
        </w:rPr>
        <w:t xml:space="preserve"> </w:t>
      </w:r>
      <w:r>
        <w:rPr>
          <w:rFonts w:ascii="Calibri" w:hAnsi="Calibri" w:cs="Calibri"/>
          <w:lang w:eastAsia="cs-CZ"/>
        </w:rPr>
        <w:t xml:space="preserve">(CRAB a </w:t>
      </w:r>
      <w:r w:rsidR="00602329">
        <w:rPr>
          <w:rFonts w:ascii="Calibri" w:hAnsi="Calibri" w:cs="Calibri"/>
          <w:lang w:eastAsia="cs-CZ"/>
        </w:rPr>
        <w:t>REM</w:t>
      </w:r>
      <w:r>
        <w:rPr>
          <w:rFonts w:ascii="Calibri" w:hAnsi="Calibri" w:cs="Calibri"/>
          <w:lang w:eastAsia="cs-CZ"/>
        </w:rPr>
        <w:t>)</w:t>
      </w:r>
      <w:r w:rsidR="000274CA">
        <w:rPr>
          <w:rFonts w:ascii="Calibri" w:hAnsi="Calibri" w:cs="Calibri"/>
          <w:lang w:eastAsia="cs-CZ"/>
        </w:rPr>
        <w:t xml:space="preserve"> úplnost a</w:t>
      </w:r>
      <w:r w:rsidR="005701B3">
        <w:rPr>
          <w:rFonts w:ascii="Calibri" w:hAnsi="Calibri" w:cs="Calibri"/>
          <w:lang w:eastAsia="cs-CZ"/>
        </w:rPr>
        <w:t> </w:t>
      </w:r>
      <w:r w:rsidR="000274CA">
        <w:rPr>
          <w:rFonts w:ascii="Calibri" w:hAnsi="Calibri" w:cs="Calibri"/>
          <w:lang w:eastAsia="cs-CZ"/>
        </w:rPr>
        <w:t xml:space="preserve">správnost vybraných údajů a vliv </w:t>
      </w:r>
      <w:r w:rsidR="00541376">
        <w:rPr>
          <w:rFonts w:ascii="Calibri" w:hAnsi="Calibri" w:cs="Calibri"/>
          <w:lang w:eastAsia="cs-CZ"/>
        </w:rPr>
        <w:t xml:space="preserve">zjištěných </w:t>
      </w:r>
      <w:r w:rsidR="000274CA">
        <w:rPr>
          <w:rFonts w:ascii="Calibri" w:hAnsi="Calibri" w:cs="Calibri"/>
          <w:lang w:eastAsia="cs-CZ"/>
        </w:rPr>
        <w:t xml:space="preserve">nesrovnalostí </w:t>
      </w:r>
      <w:r w:rsidR="00A52C3E">
        <w:rPr>
          <w:rFonts w:ascii="Calibri" w:hAnsi="Calibri" w:cs="Calibri"/>
          <w:lang w:eastAsia="cs-CZ"/>
        </w:rPr>
        <w:t>na</w:t>
      </w:r>
      <w:r w:rsidR="009D3201">
        <w:rPr>
          <w:rFonts w:ascii="Calibri" w:hAnsi="Calibri" w:cs="Calibri"/>
          <w:lang w:eastAsia="cs-CZ"/>
        </w:rPr>
        <w:t xml:space="preserve"> </w:t>
      </w:r>
      <w:r w:rsidR="000274CA">
        <w:rPr>
          <w:rFonts w:ascii="Calibri" w:hAnsi="Calibri" w:cs="Calibri"/>
          <w:lang w:eastAsia="cs-CZ"/>
        </w:rPr>
        <w:t xml:space="preserve">využitelnost údajů evidovaných v informačních systémech za účelem posouzení efektivnosti </w:t>
      </w:r>
      <w:r w:rsidR="005701B3">
        <w:rPr>
          <w:rFonts w:ascii="Calibri" w:hAnsi="Calibri" w:cs="Calibri"/>
          <w:lang w:eastAsia="cs-CZ"/>
        </w:rPr>
        <w:t xml:space="preserve">a účelnosti </w:t>
      </w:r>
      <w:r w:rsidR="000274CA">
        <w:rPr>
          <w:rFonts w:ascii="Calibri" w:hAnsi="Calibri" w:cs="Calibri"/>
          <w:lang w:eastAsia="cs-CZ"/>
        </w:rPr>
        <w:t>správy</w:t>
      </w:r>
      <w:r w:rsidR="005701B3">
        <w:rPr>
          <w:rFonts w:ascii="Calibri" w:hAnsi="Calibri" w:cs="Calibri"/>
          <w:lang w:eastAsia="cs-CZ"/>
        </w:rPr>
        <w:t xml:space="preserve"> </w:t>
      </w:r>
      <w:r w:rsidR="00D2455F">
        <w:rPr>
          <w:rFonts w:ascii="Calibri" w:hAnsi="Calibri" w:cs="Calibri"/>
          <w:lang w:eastAsia="cs-CZ"/>
        </w:rPr>
        <w:t>a </w:t>
      </w:r>
      <w:r w:rsidR="005701B3">
        <w:rPr>
          <w:rFonts w:ascii="Calibri" w:hAnsi="Calibri" w:cs="Calibri"/>
          <w:lang w:eastAsia="cs-CZ"/>
        </w:rPr>
        <w:t>využití</w:t>
      </w:r>
      <w:r w:rsidR="000274CA">
        <w:rPr>
          <w:rFonts w:ascii="Calibri" w:hAnsi="Calibri" w:cs="Calibri"/>
          <w:lang w:eastAsia="cs-CZ"/>
        </w:rPr>
        <w:t xml:space="preserve"> nemovitého majetku.</w:t>
      </w:r>
      <w:r w:rsidR="00B01C92" w:rsidRPr="00B01C92">
        <w:rPr>
          <w:lang w:eastAsia="cs-CZ"/>
        </w:rPr>
        <w:t xml:space="preserve"> </w:t>
      </w:r>
      <w:r w:rsidR="00B01C92">
        <w:rPr>
          <w:lang w:eastAsia="cs-CZ"/>
        </w:rPr>
        <w:t>Kritérii pro výběr vzorku byly hodnoty poměrových</w:t>
      </w:r>
      <w:r w:rsidR="00B01C92" w:rsidRPr="004740B1">
        <w:rPr>
          <w:lang w:eastAsia="cs-CZ"/>
        </w:rPr>
        <w:t xml:space="preserve"> ukazatelů </w:t>
      </w:r>
      <w:r w:rsidR="00B01C92">
        <w:rPr>
          <w:lang w:eastAsia="cs-CZ"/>
        </w:rPr>
        <w:t>u</w:t>
      </w:r>
      <w:r w:rsidR="005701B3">
        <w:rPr>
          <w:lang w:eastAsia="cs-CZ"/>
        </w:rPr>
        <w:t> </w:t>
      </w:r>
      <w:r w:rsidR="00B01C92">
        <w:rPr>
          <w:lang w:eastAsia="cs-CZ"/>
        </w:rPr>
        <w:t>jednotlivých objektů, nesrovnalosti v</w:t>
      </w:r>
      <w:r w:rsidR="009D3201">
        <w:rPr>
          <w:lang w:eastAsia="cs-CZ"/>
        </w:rPr>
        <w:t> </w:t>
      </w:r>
      <w:r w:rsidR="00B01C92">
        <w:rPr>
          <w:lang w:eastAsia="cs-CZ"/>
        </w:rPr>
        <w:t>datech</w:t>
      </w:r>
      <w:r w:rsidR="00B01C92" w:rsidRPr="004740B1">
        <w:rPr>
          <w:lang w:eastAsia="cs-CZ"/>
        </w:rPr>
        <w:t xml:space="preserve"> a</w:t>
      </w:r>
      <w:r w:rsidR="00B01C92">
        <w:rPr>
          <w:lang w:eastAsia="cs-CZ"/>
        </w:rPr>
        <w:t> </w:t>
      </w:r>
      <w:r w:rsidR="00B01C92" w:rsidRPr="004740B1">
        <w:rPr>
          <w:lang w:eastAsia="cs-CZ"/>
        </w:rPr>
        <w:t xml:space="preserve">významnost </w:t>
      </w:r>
      <w:r w:rsidR="00B01C92">
        <w:rPr>
          <w:lang w:eastAsia="cs-CZ"/>
        </w:rPr>
        <w:t>objektů</w:t>
      </w:r>
      <w:r w:rsidR="00B01C92" w:rsidRPr="004740B1">
        <w:rPr>
          <w:lang w:eastAsia="cs-CZ"/>
        </w:rPr>
        <w:t xml:space="preserve"> z hlediska výdajů, počtu zaměstnanců a</w:t>
      </w:r>
      <w:r w:rsidR="00B01C92">
        <w:rPr>
          <w:lang w:eastAsia="cs-CZ"/>
        </w:rPr>
        <w:t> </w:t>
      </w:r>
      <w:r w:rsidR="00B01C92" w:rsidRPr="004740B1">
        <w:rPr>
          <w:lang w:eastAsia="cs-CZ"/>
        </w:rPr>
        <w:t xml:space="preserve">celkové (popř. kancelářské) plochy budov </w:t>
      </w:r>
      <w:r w:rsidR="00A52C3E" w:rsidRPr="004740B1">
        <w:rPr>
          <w:lang w:eastAsia="cs-CZ"/>
        </w:rPr>
        <w:t>ve</w:t>
      </w:r>
      <w:r w:rsidR="009D3201">
        <w:rPr>
          <w:lang w:eastAsia="cs-CZ"/>
        </w:rPr>
        <w:t xml:space="preserve"> </w:t>
      </w:r>
      <w:r w:rsidR="00B01C92" w:rsidRPr="004740B1">
        <w:rPr>
          <w:lang w:eastAsia="cs-CZ"/>
        </w:rPr>
        <w:t xml:space="preserve">srovnání s ostatními budovami </w:t>
      </w:r>
      <w:r w:rsidR="003112C0">
        <w:rPr>
          <w:lang w:eastAsia="cs-CZ"/>
        </w:rPr>
        <w:t>MV a ZSMV</w:t>
      </w:r>
      <w:r w:rsidR="00B01C92" w:rsidRPr="004740B1">
        <w:rPr>
          <w:lang w:eastAsia="cs-CZ"/>
        </w:rPr>
        <w:t>.</w:t>
      </w:r>
    </w:p>
    <w:p w14:paraId="7BD35D5E" w14:textId="3472B6B4" w:rsidR="009D3201" w:rsidRDefault="009D3201" w:rsidP="009D3201">
      <w:pPr>
        <w:pStyle w:val="KPnormln"/>
        <w:spacing w:after="0" w:line="240" w:lineRule="auto"/>
        <w:rPr>
          <w:lang w:eastAsia="cs-CZ"/>
        </w:rPr>
      </w:pPr>
    </w:p>
    <w:p w14:paraId="247FA82F" w14:textId="0A6C7ADB" w:rsidR="00C06FB8" w:rsidRDefault="002324A0" w:rsidP="002324A0">
      <w:pPr>
        <w:pStyle w:val="Nadpis1"/>
        <w:numPr>
          <w:ilvl w:val="0"/>
          <w:numId w:val="0"/>
        </w:numPr>
      </w:pPr>
      <w:r>
        <w:t xml:space="preserve">III. </w:t>
      </w:r>
      <w:r w:rsidR="00AE5171">
        <w:t>Podrobné informace ke zjištěným skutečnostem</w:t>
      </w:r>
    </w:p>
    <w:p w14:paraId="3C5091C1" w14:textId="3C16D2CD" w:rsidR="00F42CEB" w:rsidRDefault="00FC76BB" w:rsidP="002324A0">
      <w:pPr>
        <w:pStyle w:val="Nadpis3"/>
        <w:numPr>
          <w:ilvl w:val="0"/>
          <w:numId w:val="38"/>
        </w:numPr>
        <w:tabs>
          <w:tab w:val="clear" w:pos="425"/>
          <w:tab w:val="clear" w:pos="567"/>
        </w:tabs>
        <w:ind w:left="284" w:hanging="284"/>
        <w:jc w:val="left"/>
      </w:pPr>
      <w:r w:rsidRPr="005C30C9">
        <w:t xml:space="preserve">ČR </w:t>
      </w:r>
      <w:r>
        <w:t xml:space="preserve">nemá </w:t>
      </w:r>
      <w:r w:rsidRPr="005C30C9">
        <w:t>strategi</w:t>
      </w:r>
      <w:r>
        <w:t>i</w:t>
      </w:r>
      <w:r w:rsidRPr="005C30C9">
        <w:t xml:space="preserve"> pro správu nemovitého majetku </w:t>
      </w:r>
      <w:r>
        <w:t xml:space="preserve">státu </w:t>
      </w:r>
      <w:r w:rsidR="00AE58EA">
        <w:t>a</w:t>
      </w:r>
      <w:r w:rsidR="004D3343">
        <w:t xml:space="preserve"> platná právní úprava vykazuje systémové nedostatky</w:t>
      </w:r>
    </w:p>
    <w:p w14:paraId="24933515" w14:textId="1FBFA5CB" w:rsidR="009B5258" w:rsidRPr="003317E8" w:rsidRDefault="009B5258" w:rsidP="00F42CEB">
      <w:r>
        <w:rPr>
          <w:rFonts w:ascii="Calibri" w:eastAsia="Times New Roman" w:hAnsi="Calibri" w:cs="Times New Roman"/>
          <w:szCs w:val="24"/>
        </w:rPr>
        <w:t>D</w:t>
      </w:r>
      <w:r w:rsidRPr="00351E3B">
        <w:rPr>
          <w:rFonts w:ascii="Calibri" w:eastAsia="Times New Roman" w:hAnsi="Calibri" w:cs="Times New Roman"/>
          <w:szCs w:val="24"/>
        </w:rPr>
        <w:t xml:space="preserve">o doby ukončení kontroly NKÚ </w:t>
      </w:r>
      <w:r>
        <w:rPr>
          <w:rFonts w:ascii="Calibri" w:eastAsia="Times New Roman" w:hAnsi="Calibri" w:cs="Times New Roman"/>
          <w:szCs w:val="24"/>
        </w:rPr>
        <w:t xml:space="preserve">nebyl v ČR přijat a schválen </w:t>
      </w:r>
      <w:r w:rsidRPr="00351E3B">
        <w:rPr>
          <w:rFonts w:ascii="Calibri" w:eastAsia="Times New Roman" w:hAnsi="Calibri" w:cs="Times New Roman"/>
          <w:szCs w:val="24"/>
        </w:rPr>
        <w:t xml:space="preserve">dokument charakteru strategie či koncepce, který by obecně upravoval a stanovoval potřeby a cíle v oblasti správy nemovitého </w:t>
      </w:r>
      <w:r w:rsidRPr="00440215">
        <w:rPr>
          <w:rFonts w:ascii="Calibri" w:eastAsia="Times New Roman" w:hAnsi="Calibri" w:cs="Times New Roman"/>
          <w:szCs w:val="24"/>
        </w:rPr>
        <w:t>majetku ve vlastnictví státu či v jeho užívání</w:t>
      </w:r>
      <w:r w:rsidR="00E3660B" w:rsidRPr="00440215">
        <w:rPr>
          <w:rFonts w:ascii="Calibri" w:eastAsia="Times New Roman" w:hAnsi="Calibri" w:cs="Times New Roman"/>
          <w:szCs w:val="24"/>
        </w:rPr>
        <w:t>.</w:t>
      </w:r>
      <w:r w:rsidRPr="00440215">
        <w:rPr>
          <w:rFonts w:ascii="Calibri" w:eastAsia="Times New Roman" w:hAnsi="Calibri" w:cs="Times New Roman"/>
          <w:szCs w:val="24"/>
        </w:rPr>
        <w:t xml:space="preserve"> </w:t>
      </w:r>
      <w:r w:rsidR="00E3660B" w:rsidRPr="00440215">
        <w:t>ÚZSVM se podílel na</w:t>
      </w:r>
      <w:r w:rsidR="00F668D5">
        <w:t xml:space="preserve"> </w:t>
      </w:r>
      <w:r w:rsidR="00E3660B" w:rsidRPr="00440215">
        <w:t>zp</w:t>
      </w:r>
      <w:r w:rsidR="00E3660B" w:rsidRPr="004E2C5B">
        <w:t xml:space="preserve">racování </w:t>
      </w:r>
      <w:r w:rsidR="00E3660B" w:rsidRPr="00523801">
        <w:t>materiál</w:t>
      </w:r>
      <w:r w:rsidR="00E3660B" w:rsidRPr="00440215">
        <w:t xml:space="preserve"> </w:t>
      </w:r>
      <w:r w:rsidR="00E3660B" w:rsidRPr="00440215">
        <w:rPr>
          <w:i/>
          <w:iCs/>
        </w:rPr>
        <w:t>Koncepce hospodaření s nemovitým majetkem státu na období 2014–2020</w:t>
      </w:r>
      <w:r w:rsidR="00E3660B" w:rsidRPr="00440215">
        <w:rPr>
          <w:iCs/>
        </w:rPr>
        <w:t>, který však nebyl schválen</w:t>
      </w:r>
      <w:r w:rsidR="00E3660B" w:rsidRPr="00440215">
        <w:t>.</w:t>
      </w:r>
      <w:r w:rsidR="00E3660B">
        <w:t xml:space="preserve"> Cíl</w:t>
      </w:r>
      <w:r w:rsidR="00504625">
        <w:t>em</w:t>
      </w:r>
      <w:r w:rsidR="00E3660B">
        <w:t xml:space="preserve"> této koncepce byl</w:t>
      </w:r>
      <w:r w:rsidR="00504625">
        <w:t>o zefektivnění a zvýšení transparentnosti správy a využití nemovitého majetku a optimalizace jeho portfolia.</w:t>
      </w:r>
      <w:r w:rsidR="00E3660B">
        <w:t xml:space="preserve"> </w:t>
      </w:r>
      <w:r w:rsidR="00504625">
        <w:t xml:space="preserve">Toho mělo být dosaženo </w:t>
      </w:r>
      <w:r w:rsidR="00E3660B">
        <w:t>zavedení</w:t>
      </w:r>
      <w:r w:rsidR="00504625">
        <w:t>m</w:t>
      </w:r>
      <w:r w:rsidR="00E3660B">
        <w:t xml:space="preserve"> centralizované správy státem užívaného nemovitého majetku v období let </w:t>
      </w:r>
      <w:r w:rsidR="002E6650">
        <w:br/>
      </w:r>
      <w:r w:rsidR="00E3660B">
        <w:t>2014–2020 a rozšíření</w:t>
      </w:r>
      <w:r w:rsidR="00504625">
        <w:t>m</w:t>
      </w:r>
      <w:r w:rsidR="00E3660B">
        <w:t xml:space="preserve"> kompetencí ÚZSVM, který měl plnit roli centrálního správce nemovitého majetku státu. </w:t>
      </w:r>
      <w:r w:rsidR="005E4212">
        <w:t xml:space="preserve">Vzhledem k tomu, že nejsou stanoveny cíle v oblasti správy nemovitého majetku a jeho využití, </w:t>
      </w:r>
      <w:r w:rsidR="00F668D5">
        <w:rPr>
          <w:rFonts w:ascii="Calibri" w:eastAsia="Times New Roman" w:hAnsi="Calibri" w:cs="Times New Roman"/>
          <w:szCs w:val="24"/>
        </w:rPr>
        <w:t>v</w:t>
      </w:r>
      <w:r w:rsidRPr="00351E3B">
        <w:rPr>
          <w:rFonts w:ascii="Calibri" w:eastAsia="Times New Roman" w:hAnsi="Calibri" w:cs="Times New Roman"/>
          <w:szCs w:val="24"/>
        </w:rPr>
        <w:t>láda Č</w:t>
      </w:r>
      <w:r>
        <w:rPr>
          <w:rFonts w:ascii="Calibri" w:eastAsia="Times New Roman" w:hAnsi="Calibri" w:cs="Times New Roman"/>
          <w:szCs w:val="24"/>
        </w:rPr>
        <w:t>R</w:t>
      </w:r>
      <w:r w:rsidRPr="00351E3B">
        <w:rPr>
          <w:rFonts w:ascii="Calibri" w:eastAsia="Times New Roman" w:hAnsi="Calibri" w:cs="Times New Roman"/>
          <w:szCs w:val="24"/>
        </w:rPr>
        <w:t xml:space="preserve">, VDK, RDK a státní </w:t>
      </w:r>
      <w:r>
        <w:rPr>
          <w:rFonts w:ascii="Calibri" w:eastAsia="Times New Roman" w:hAnsi="Calibri" w:cs="Times New Roman"/>
          <w:szCs w:val="24"/>
        </w:rPr>
        <w:t>instituce</w:t>
      </w:r>
      <w:r w:rsidR="00711B89" w:rsidRPr="00FD1EC9">
        <w:rPr>
          <w:rFonts w:ascii="Calibri" w:eastAsia="Times New Roman" w:hAnsi="Calibri" w:cs="Times New Roman"/>
          <w:szCs w:val="24"/>
          <w:vertAlign w:val="superscript"/>
        </w:rPr>
        <w:t>3</w:t>
      </w:r>
      <w:r w:rsidRPr="00351E3B">
        <w:rPr>
          <w:rFonts w:ascii="Calibri" w:eastAsia="Times New Roman" w:hAnsi="Calibri" w:cs="Times New Roman"/>
          <w:szCs w:val="24"/>
        </w:rPr>
        <w:t xml:space="preserve"> tak </w:t>
      </w:r>
      <w:r w:rsidR="00423E9D">
        <w:rPr>
          <w:rFonts w:ascii="Calibri" w:eastAsia="Times New Roman" w:hAnsi="Calibri" w:cs="Times New Roman"/>
          <w:szCs w:val="24"/>
        </w:rPr>
        <w:t xml:space="preserve">nemohou rozhodovat </w:t>
      </w:r>
      <w:r w:rsidRPr="00351E3B">
        <w:rPr>
          <w:rFonts w:ascii="Calibri" w:eastAsia="Times New Roman" w:hAnsi="Calibri" w:cs="Times New Roman"/>
          <w:szCs w:val="24"/>
        </w:rPr>
        <w:t>o</w:t>
      </w:r>
      <w:r w:rsidR="00426815">
        <w:rPr>
          <w:rFonts w:ascii="Calibri" w:eastAsia="Times New Roman" w:hAnsi="Calibri" w:cs="Times New Roman"/>
          <w:szCs w:val="24"/>
        </w:rPr>
        <w:t> </w:t>
      </w:r>
      <w:r w:rsidRPr="00351E3B">
        <w:rPr>
          <w:rFonts w:ascii="Calibri" w:eastAsia="Times New Roman" w:hAnsi="Calibri" w:cs="Times New Roman"/>
          <w:szCs w:val="24"/>
        </w:rPr>
        <w:t>rozvoji a správě nemovitého majetku</w:t>
      </w:r>
      <w:r w:rsidR="00423E9D" w:rsidRPr="00423E9D">
        <w:rPr>
          <w:rFonts w:ascii="Calibri" w:eastAsia="Times New Roman" w:hAnsi="Calibri" w:cs="Times New Roman"/>
          <w:szCs w:val="24"/>
        </w:rPr>
        <w:t xml:space="preserve"> </w:t>
      </w:r>
      <w:r w:rsidR="00423E9D">
        <w:rPr>
          <w:rFonts w:ascii="Calibri" w:eastAsia="Times New Roman" w:hAnsi="Calibri" w:cs="Times New Roman"/>
          <w:szCs w:val="24"/>
        </w:rPr>
        <w:t xml:space="preserve">koncepčně a </w:t>
      </w:r>
      <w:r w:rsidR="00354CD6">
        <w:rPr>
          <w:rFonts w:ascii="Calibri" w:eastAsia="Times New Roman" w:hAnsi="Calibri" w:cs="Times New Roman"/>
          <w:szCs w:val="24"/>
        </w:rPr>
        <w:t xml:space="preserve">na </w:t>
      </w:r>
      <w:r w:rsidR="00354CD6" w:rsidRPr="00354CD6">
        <w:rPr>
          <w:rFonts w:ascii="Calibri" w:eastAsia="Times New Roman" w:hAnsi="Calibri" w:cs="Times New Roman"/>
          <w:szCs w:val="24"/>
        </w:rPr>
        <w:t xml:space="preserve">základě cílů </w:t>
      </w:r>
      <w:r w:rsidR="00354CD6" w:rsidRPr="00330BDC">
        <w:rPr>
          <w:rFonts w:ascii="Calibri" w:eastAsia="Times New Roman" w:hAnsi="Calibri" w:cs="Times New Roman"/>
          <w:szCs w:val="24"/>
        </w:rPr>
        <w:t>definovaných vládní strategií</w:t>
      </w:r>
      <w:r w:rsidRPr="00354CD6">
        <w:rPr>
          <w:rFonts w:ascii="Calibri" w:eastAsia="Times New Roman" w:hAnsi="Calibri" w:cs="Times New Roman"/>
          <w:szCs w:val="24"/>
        </w:rPr>
        <w:t>.</w:t>
      </w:r>
      <w:r w:rsidR="00E6563E">
        <w:rPr>
          <w:rFonts w:ascii="Calibri" w:eastAsia="Times New Roman" w:hAnsi="Calibri" w:cs="Times New Roman"/>
          <w:szCs w:val="24"/>
        </w:rPr>
        <w:t xml:space="preserve"> </w:t>
      </w:r>
    </w:p>
    <w:p w14:paraId="44F98E8A" w14:textId="0C64186A" w:rsidR="00DD028F" w:rsidRDefault="00D53FBB" w:rsidP="00F42CEB">
      <w:r>
        <w:t xml:space="preserve">Z mezinárodního srovnání </w:t>
      </w:r>
      <w:r w:rsidR="00765D1D">
        <w:t xml:space="preserve">například </w:t>
      </w:r>
      <w:r>
        <w:t>vyplynulo, že</w:t>
      </w:r>
      <w:r w:rsidR="000A2764">
        <w:t xml:space="preserve"> ve Spojeném království vláda</w:t>
      </w:r>
      <w:r w:rsidR="00DD028F">
        <w:t xml:space="preserve"> dlouhodobě řeší otázku správy nemovitého majetku státu a její optimalizaci komplexně jako</w:t>
      </w:r>
      <w:r w:rsidR="000A2764">
        <w:t xml:space="preserve"> celek</w:t>
      </w:r>
      <w:r w:rsidR="00DD028F">
        <w:t xml:space="preserve">. V roce 2013 </w:t>
      </w:r>
      <w:r w:rsidR="00B83869">
        <w:t xml:space="preserve">vláda </w:t>
      </w:r>
      <w:r w:rsidR="000A2764">
        <w:t xml:space="preserve">Spojeného království </w:t>
      </w:r>
      <w:r w:rsidR="00DD028F">
        <w:t>přijala a v </w:t>
      </w:r>
      <w:r w:rsidR="000A2764">
        <w:t xml:space="preserve">roce 2014 dále </w:t>
      </w:r>
      <w:r w:rsidR="00DD028F">
        <w:t>aktualizovala celostátní strategii vlastnictví a správy nemovitého majetku, která jako hlavní cíle uvádí racionalizaci</w:t>
      </w:r>
      <w:r w:rsidR="00DD028F" w:rsidRPr="00AC7638">
        <w:t xml:space="preserve"> </w:t>
      </w:r>
      <w:r w:rsidR="00DD028F">
        <w:t>portfolia nemovitého majetku, jeho modernizaci a snížení výdajů na</w:t>
      </w:r>
      <w:r w:rsidR="00B83869">
        <w:t xml:space="preserve"> </w:t>
      </w:r>
      <w:r w:rsidR="00DD028F">
        <w:t xml:space="preserve">jeho užívání. Tuto strategii vypracovala </w:t>
      </w:r>
      <w:r w:rsidR="00AE58EA">
        <w:t>organizace</w:t>
      </w:r>
      <w:r w:rsidR="00DD028F">
        <w:t xml:space="preserve">, která spadá pod </w:t>
      </w:r>
      <w:r w:rsidR="00B83869">
        <w:t>britský ú</w:t>
      </w:r>
      <w:r w:rsidR="00DD028F">
        <w:t>řad vlády a jejímž úkolem je vykonávat dohled nad nemovitým majetkem státu a přispívat k jeho efektivnímu,</w:t>
      </w:r>
      <w:r w:rsidR="00B83869">
        <w:t xml:space="preserve"> </w:t>
      </w:r>
      <w:r w:rsidR="00DD028F">
        <w:t>hospo</w:t>
      </w:r>
      <w:r w:rsidR="000A2764">
        <w:t xml:space="preserve">dárnému </w:t>
      </w:r>
      <w:r w:rsidR="000A2764">
        <w:lastRenderedPageBreak/>
        <w:t>a</w:t>
      </w:r>
      <w:r w:rsidR="00765D1D">
        <w:t> </w:t>
      </w:r>
      <w:r w:rsidR="00DD028F">
        <w:t xml:space="preserve">účelnému využívání včetně nakládání s nepotřebným majetkem státu. Cílem je dosáhnout v roce 2018 průměrné </w:t>
      </w:r>
      <w:r w:rsidR="00DD028F" w:rsidRPr="00517E34">
        <w:rPr>
          <w:rFonts w:cstheme="minorHAnsi"/>
        </w:rPr>
        <w:t>čisté vnitřní plochy</w:t>
      </w:r>
      <w:r w:rsidR="00DD028F">
        <w:rPr>
          <w:rStyle w:val="Znakapoznpodarou"/>
          <w:rFonts w:cstheme="minorHAnsi"/>
        </w:rPr>
        <w:footnoteReference w:id="37"/>
      </w:r>
      <w:r w:rsidR="00DD028F">
        <w:t xml:space="preserve"> 8 m</w:t>
      </w:r>
      <w:r w:rsidR="00DD028F" w:rsidRPr="00081368">
        <w:rPr>
          <w:vertAlign w:val="superscript"/>
        </w:rPr>
        <w:t>2</w:t>
      </w:r>
      <w:r w:rsidR="00DD028F">
        <w:t xml:space="preserve"> na FTE</w:t>
      </w:r>
      <w:r w:rsidR="00DD028F">
        <w:rPr>
          <w:rStyle w:val="Znakapoznpodarou"/>
        </w:rPr>
        <w:footnoteReference w:id="38"/>
      </w:r>
      <w:r w:rsidR="00DD028F">
        <w:t xml:space="preserve">. Toho má být dosaženo celým souborem opatření a politik. </w:t>
      </w:r>
      <w:r w:rsidR="00DD028F">
        <w:rPr>
          <w:rFonts w:cstheme="minorHAnsi"/>
        </w:rPr>
        <w:t>O</w:t>
      </w:r>
      <w:r w:rsidR="00DD028F" w:rsidRPr="00872824">
        <w:rPr>
          <w:rFonts w:cstheme="minorHAnsi"/>
        </w:rPr>
        <w:t xml:space="preserve">d umožnění tzv. </w:t>
      </w:r>
      <w:r w:rsidR="00DD028F">
        <w:rPr>
          <w:rFonts w:cstheme="minorHAnsi"/>
        </w:rPr>
        <w:t>sdílení pracovišť</w:t>
      </w:r>
      <w:r w:rsidR="00DD028F" w:rsidRPr="00872824">
        <w:rPr>
          <w:rFonts w:cstheme="minorHAnsi"/>
        </w:rPr>
        <w:t xml:space="preserve">, </w:t>
      </w:r>
      <w:r w:rsidR="00DD028F">
        <w:rPr>
          <w:rFonts w:cstheme="minorHAnsi"/>
        </w:rPr>
        <w:t>práce z domova</w:t>
      </w:r>
      <w:r w:rsidR="00DD028F" w:rsidRPr="00872824">
        <w:rPr>
          <w:rFonts w:cstheme="minorHAnsi"/>
        </w:rPr>
        <w:t xml:space="preserve">, přes výstavbu více resortních </w:t>
      </w:r>
      <w:r w:rsidR="00DD028F">
        <w:rPr>
          <w:rFonts w:cstheme="minorHAnsi"/>
        </w:rPr>
        <w:t xml:space="preserve">budov užívaných </w:t>
      </w:r>
      <w:r w:rsidR="00C62EE2">
        <w:rPr>
          <w:rFonts w:cstheme="minorHAnsi"/>
        </w:rPr>
        <w:t xml:space="preserve">větším počtem institucí </w:t>
      </w:r>
      <w:r w:rsidR="00DD028F" w:rsidRPr="00872824">
        <w:rPr>
          <w:rFonts w:cstheme="minorHAnsi"/>
        </w:rPr>
        <w:t>a</w:t>
      </w:r>
      <w:r w:rsidR="00DD028F">
        <w:rPr>
          <w:rFonts w:cstheme="minorHAnsi"/>
        </w:rPr>
        <w:t>ž po</w:t>
      </w:r>
      <w:r w:rsidR="00DD028F" w:rsidRPr="00872824">
        <w:rPr>
          <w:rFonts w:cstheme="minorHAnsi"/>
        </w:rPr>
        <w:t xml:space="preserve"> využití IT techniky</w:t>
      </w:r>
      <w:r w:rsidR="00C5534A">
        <w:rPr>
          <w:rFonts w:cstheme="minorHAnsi"/>
        </w:rPr>
        <w:t xml:space="preserve"> umožňující</w:t>
      </w:r>
      <w:r w:rsidR="00DD028F" w:rsidRPr="00872824">
        <w:rPr>
          <w:rFonts w:cstheme="minorHAnsi"/>
        </w:rPr>
        <w:t xml:space="preserve"> zefektivnění</w:t>
      </w:r>
      <w:r w:rsidR="00C62EE2">
        <w:rPr>
          <w:rFonts w:cstheme="minorHAnsi"/>
        </w:rPr>
        <w:t xml:space="preserve"> </w:t>
      </w:r>
      <w:r w:rsidR="00C62EE2" w:rsidRPr="003070E0">
        <w:rPr>
          <w:rFonts w:cstheme="minorHAnsi"/>
        </w:rPr>
        <w:t>správy nemovitého majetku</w:t>
      </w:r>
      <w:r w:rsidR="00DD028F" w:rsidRPr="00872824">
        <w:rPr>
          <w:rFonts w:cstheme="minorHAnsi"/>
        </w:rPr>
        <w:t xml:space="preserve"> </w:t>
      </w:r>
      <w:r w:rsidR="00A225DC" w:rsidRPr="00872824">
        <w:rPr>
          <w:rFonts w:cstheme="minorHAnsi"/>
        </w:rPr>
        <w:t>a</w:t>
      </w:r>
      <w:r w:rsidR="00A225DC">
        <w:rPr>
          <w:rFonts w:cstheme="minorHAnsi"/>
        </w:rPr>
        <w:t> </w:t>
      </w:r>
      <w:r w:rsidR="00DD028F" w:rsidRPr="00872824">
        <w:rPr>
          <w:rFonts w:cstheme="minorHAnsi"/>
        </w:rPr>
        <w:t xml:space="preserve">zajištění větší </w:t>
      </w:r>
      <w:r w:rsidR="00DD028F" w:rsidRPr="003070E0">
        <w:rPr>
          <w:rFonts w:cstheme="minorHAnsi"/>
        </w:rPr>
        <w:t>flexibility</w:t>
      </w:r>
      <w:r w:rsidR="00C62EE2" w:rsidRPr="003070E0">
        <w:rPr>
          <w:rFonts w:cstheme="minorHAnsi"/>
        </w:rPr>
        <w:t xml:space="preserve"> zaměstnanců</w:t>
      </w:r>
      <w:r w:rsidR="00DD028F" w:rsidRPr="003070E0">
        <w:rPr>
          <w:rFonts w:cstheme="minorHAnsi"/>
        </w:rPr>
        <w:t>.</w:t>
      </w:r>
      <w:r w:rsidR="00DD028F" w:rsidRPr="00DD028F">
        <w:t xml:space="preserve"> </w:t>
      </w:r>
      <w:r w:rsidR="00DD028F">
        <w:t xml:space="preserve">Nastavené nástroje a přijímaná opatření umožnily </w:t>
      </w:r>
      <w:r w:rsidR="00A225DC">
        <w:t>mezi</w:t>
      </w:r>
      <w:r w:rsidR="00B83869">
        <w:t xml:space="preserve"> </w:t>
      </w:r>
      <w:r w:rsidR="00DD028F" w:rsidRPr="00197728">
        <w:t>let</w:t>
      </w:r>
      <w:r w:rsidR="00A225DC">
        <w:t>y</w:t>
      </w:r>
      <w:r w:rsidR="00DD028F" w:rsidRPr="00197728">
        <w:t xml:space="preserve"> 2</w:t>
      </w:r>
      <w:r w:rsidR="00450B21" w:rsidRPr="00197728">
        <w:t>012</w:t>
      </w:r>
      <w:r w:rsidR="00DD028F" w:rsidRPr="00197728">
        <w:t xml:space="preserve"> </w:t>
      </w:r>
      <w:r w:rsidR="00A225DC">
        <w:t>a</w:t>
      </w:r>
      <w:r w:rsidR="00DD028F" w:rsidRPr="00197728">
        <w:t xml:space="preserve"> 2016</w:t>
      </w:r>
      <w:r w:rsidR="00DD028F">
        <w:t xml:space="preserve"> snížení průměrné plochy na</w:t>
      </w:r>
      <w:r w:rsidR="00B83869">
        <w:t xml:space="preserve"> jednoho </w:t>
      </w:r>
      <w:r w:rsidR="00DD028F">
        <w:t>zaměstnance o 2</w:t>
      </w:r>
      <w:r w:rsidR="00197728">
        <w:t>,6</w:t>
      </w:r>
      <w:r w:rsidR="00DD028F">
        <w:t xml:space="preserve"> m</w:t>
      </w:r>
      <w:r w:rsidR="00DD028F" w:rsidRPr="00CD14FC">
        <w:rPr>
          <w:vertAlign w:val="superscript"/>
        </w:rPr>
        <w:t>2</w:t>
      </w:r>
      <w:r w:rsidR="00197728">
        <w:t xml:space="preserve"> (tj. o</w:t>
      </w:r>
      <w:r w:rsidR="00B83869">
        <w:t> </w:t>
      </w:r>
      <w:r w:rsidR="00197728">
        <w:t>20 %), snížení nákladů na</w:t>
      </w:r>
      <w:r w:rsidR="00B83869">
        <w:t xml:space="preserve"> jednoho </w:t>
      </w:r>
      <w:r w:rsidR="00197728">
        <w:t>zaměstnance</w:t>
      </w:r>
      <w:r w:rsidR="00DD028F">
        <w:t xml:space="preserve"> o </w:t>
      </w:r>
      <w:r w:rsidR="00197728">
        <w:t xml:space="preserve">737 </w:t>
      </w:r>
      <w:r w:rsidR="00DD028F">
        <w:t>liber</w:t>
      </w:r>
      <w:r w:rsidR="00197728">
        <w:t xml:space="preserve"> (tj.</w:t>
      </w:r>
      <w:r w:rsidR="00F004D2">
        <w:t> </w:t>
      </w:r>
      <w:r w:rsidR="00197728">
        <w:t>o 14 %) a snížení nevyužité plochy o 163 tis. m</w:t>
      </w:r>
      <w:r w:rsidR="00197728" w:rsidRPr="00197728">
        <w:rPr>
          <w:vertAlign w:val="superscript"/>
        </w:rPr>
        <w:t>2</w:t>
      </w:r>
      <w:r w:rsidR="00197728">
        <w:t xml:space="preserve"> (tj. o</w:t>
      </w:r>
      <w:r w:rsidR="00A225DC">
        <w:t> </w:t>
      </w:r>
      <w:r w:rsidR="00197728">
        <w:t>60 %)</w:t>
      </w:r>
      <w:r w:rsidR="00DD028F">
        <w:t xml:space="preserve">. </w:t>
      </w:r>
      <w:r w:rsidR="00F42CEB">
        <w:t xml:space="preserve">Další informace k mezinárodnímu srovnání jsou uvedeny v příloze </w:t>
      </w:r>
      <w:r w:rsidR="00C5534A">
        <w:t>č. 5</w:t>
      </w:r>
      <w:r w:rsidR="00F42CEB">
        <w:t>.</w:t>
      </w:r>
    </w:p>
    <w:p w14:paraId="4E260692" w14:textId="2EFD42BF" w:rsidR="0069768D" w:rsidRPr="00286223" w:rsidRDefault="00060B34" w:rsidP="00DD028F">
      <w:pPr>
        <w:rPr>
          <w:rFonts w:cstheme="minorHAnsi"/>
          <w:szCs w:val="24"/>
        </w:rPr>
      </w:pPr>
      <w:r>
        <w:rPr>
          <w:rFonts w:cstheme="minorHAnsi"/>
        </w:rPr>
        <w:t>Jednou z priorit vlády</w:t>
      </w:r>
      <w:r w:rsidR="00A225DC">
        <w:rPr>
          <w:rFonts w:cstheme="minorHAnsi"/>
        </w:rPr>
        <w:t xml:space="preserve"> ČR</w:t>
      </w:r>
      <w:r>
        <w:rPr>
          <w:rStyle w:val="Znakapoznpodarou"/>
          <w:rFonts w:cstheme="minorHAnsi"/>
          <w:szCs w:val="24"/>
        </w:rPr>
        <w:footnoteReference w:id="39"/>
      </w:r>
      <w:r>
        <w:rPr>
          <w:rFonts w:cstheme="minorHAnsi"/>
        </w:rPr>
        <w:t xml:space="preserve"> bylo </w:t>
      </w:r>
      <w:r w:rsidR="00213826" w:rsidRPr="00286223">
        <w:rPr>
          <w:rFonts w:cstheme="minorHAnsi"/>
          <w:szCs w:val="24"/>
        </w:rPr>
        <w:t>veškerý nemovitý</w:t>
      </w:r>
      <w:r w:rsidR="00DD028F" w:rsidRPr="00286223">
        <w:rPr>
          <w:rFonts w:cstheme="minorHAnsi"/>
          <w:szCs w:val="24"/>
        </w:rPr>
        <w:t xml:space="preserve"> majetek státu </w:t>
      </w:r>
      <w:r w:rsidR="00213826" w:rsidRPr="00286223">
        <w:rPr>
          <w:rFonts w:cstheme="minorHAnsi"/>
          <w:szCs w:val="24"/>
        </w:rPr>
        <w:t xml:space="preserve">centrálně </w:t>
      </w:r>
      <w:r w:rsidR="00DD028F" w:rsidRPr="00286223">
        <w:rPr>
          <w:rFonts w:cstheme="minorHAnsi"/>
          <w:szCs w:val="24"/>
        </w:rPr>
        <w:t>evidov</w:t>
      </w:r>
      <w:r w:rsidR="009521AE">
        <w:rPr>
          <w:rFonts w:cstheme="minorHAnsi"/>
          <w:szCs w:val="24"/>
        </w:rPr>
        <w:t>at</w:t>
      </w:r>
      <w:r w:rsidR="00DD028F" w:rsidRPr="00286223">
        <w:rPr>
          <w:rFonts w:cstheme="minorHAnsi"/>
          <w:szCs w:val="24"/>
        </w:rPr>
        <w:t xml:space="preserve"> a</w:t>
      </w:r>
      <w:r w:rsidR="00E01F7C">
        <w:rPr>
          <w:rFonts w:cstheme="minorHAnsi"/>
          <w:szCs w:val="24"/>
        </w:rPr>
        <w:t> </w:t>
      </w:r>
      <w:r w:rsidR="00DD028F" w:rsidRPr="00286223">
        <w:rPr>
          <w:rFonts w:cstheme="minorHAnsi"/>
          <w:szCs w:val="24"/>
        </w:rPr>
        <w:t>spravov</w:t>
      </w:r>
      <w:r w:rsidR="009521AE">
        <w:rPr>
          <w:rFonts w:cstheme="minorHAnsi"/>
          <w:szCs w:val="24"/>
        </w:rPr>
        <w:t>at</w:t>
      </w:r>
      <w:r w:rsidR="00DD028F" w:rsidRPr="00286223">
        <w:rPr>
          <w:rFonts w:cstheme="minorHAnsi"/>
          <w:szCs w:val="24"/>
        </w:rPr>
        <w:t xml:space="preserve">, z čehož </w:t>
      </w:r>
      <w:r w:rsidR="003317E8">
        <w:rPr>
          <w:rFonts w:cstheme="minorHAnsi"/>
          <w:szCs w:val="24"/>
        </w:rPr>
        <w:t>měla vyplynout</w:t>
      </w:r>
      <w:r w:rsidR="00137025">
        <w:rPr>
          <w:rFonts w:cstheme="minorHAnsi"/>
          <w:szCs w:val="24"/>
        </w:rPr>
        <w:t xml:space="preserve"> </w:t>
      </w:r>
      <w:r w:rsidR="003317E8">
        <w:rPr>
          <w:rFonts w:cstheme="minorHAnsi"/>
          <w:szCs w:val="24"/>
        </w:rPr>
        <w:t>i </w:t>
      </w:r>
      <w:r w:rsidR="00DD028F" w:rsidRPr="00286223">
        <w:rPr>
          <w:rFonts w:cstheme="minorHAnsi"/>
          <w:szCs w:val="24"/>
        </w:rPr>
        <w:t>racionaliza</w:t>
      </w:r>
      <w:r w:rsidR="00213826" w:rsidRPr="00286223">
        <w:rPr>
          <w:rFonts w:cstheme="minorHAnsi"/>
          <w:szCs w:val="24"/>
        </w:rPr>
        <w:t xml:space="preserve">ce portfolia nemovitého majetku </w:t>
      </w:r>
      <w:r w:rsidR="00DD028F" w:rsidRPr="00286223">
        <w:rPr>
          <w:rFonts w:cstheme="minorHAnsi"/>
          <w:szCs w:val="24"/>
        </w:rPr>
        <w:t>a</w:t>
      </w:r>
      <w:r w:rsidR="00A225DC">
        <w:rPr>
          <w:rFonts w:cstheme="minorHAnsi"/>
          <w:szCs w:val="24"/>
        </w:rPr>
        <w:t> </w:t>
      </w:r>
      <w:r w:rsidR="00DD028F" w:rsidRPr="00286223">
        <w:rPr>
          <w:rFonts w:cstheme="minorHAnsi"/>
          <w:szCs w:val="24"/>
        </w:rPr>
        <w:t>optimalizace jeho využití.</w:t>
      </w:r>
      <w:r w:rsidR="00213826" w:rsidRPr="00286223">
        <w:rPr>
          <w:rFonts w:cstheme="minorHAnsi"/>
          <w:szCs w:val="24"/>
        </w:rPr>
        <w:t xml:space="preserve"> </w:t>
      </w:r>
      <w:r w:rsidR="003317E8">
        <w:rPr>
          <w:rFonts w:cstheme="minorHAnsi"/>
          <w:szCs w:val="24"/>
        </w:rPr>
        <w:t xml:space="preserve">Zákonné kompetence ÚZSVM měly být dále posíleny a důsledně </w:t>
      </w:r>
      <w:r w:rsidR="003317E8" w:rsidRPr="00F8635D">
        <w:rPr>
          <w:rFonts w:cstheme="minorHAnsi"/>
          <w:szCs w:val="24"/>
        </w:rPr>
        <w:t>dodržovány.</w:t>
      </w:r>
      <w:r w:rsidR="003D0ED3" w:rsidRPr="00F8635D">
        <w:rPr>
          <w:rFonts w:cstheme="minorHAnsi"/>
          <w:szCs w:val="24"/>
        </w:rPr>
        <w:t xml:space="preserve"> </w:t>
      </w:r>
      <w:r w:rsidR="00011110" w:rsidRPr="00F8635D">
        <w:rPr>
          <w:rFonts w:cstheme="minorHAnsi"/>
          <w:szCs w:val="24"/>
        </w:rPr>
        <w:t>To se ale nestalo,</w:t>
      </w:r>
      <w:r w:rsidR="00F953B1" w:rsidRPr="00F8635D">
        <w:rPr>
          <w:rFonts w:ascii="Calibri" w:eastAsia="Times New Roman" w:hAnsi="Calibri" w:cs="Times New Roman"/>
          <w:szCs w:val="24"/>
        </w:rPr>
        <w:t xml:space="preserve"> jelikož n</w:t>
      </w:r>
      <w:r w:rsidR="003D0ED3" w:rsidRPr="00F8635D">
        <w:rPr>
          <w:rFonts w:ascii="Calibri" w:eastAsia="Times New Roman" w:hAnsi="Calibri" w:cs="Times New Roman"/>
          <w:szCs w:val="24"/>
        </w:rPr>
        <w:t>a základě</w:t>
      </w:r>
      <w:r w:rsidR="003D0ED3">
        <w:rPr>
          <w:rFonts w:ascii="Calibri" w:eastAsia="Times New Roman" w:hAnsi="Calibri" w:cs="Times New Roman"/>
          <w:szCs w:val="24"/>
        </w:rPr>
        <w:t xml:space="preserve"> hodnot klíčových ukazatelů výkonnosti </w:t>
      </w:r>
      <w:r w:rsidR="000C47D2">
        <w:rPr>
          <w:rFonts w:ascii="Calibri" w:eastAsia="Times New Roman" w:hAnsi="Calibri" w:cs="Times New Roman"/>
          <w:szCs w:val="24"/>
        </w:rPr>
        <w:t xml:space="preserve">v CRAB </w:t>
      </w:r>
      <w:r w:rsidR="003D0ED3">
        <w:rPr>
          <w:rFonts w:ascii="Calibri" w:eastAsia="Times New Roman" w:hAnsi="Calibri" w:cs="Times New Roman"/>
          <w:szCs w:val="24"/>
        </w:rPr>
        <w:t>se p</w:t>
      </w:r>
      <w:r w:rsidR="003D0ED3" w:rsidRPr="003D0ED3">
        <w:rPr>
          <w:rFonts w:ascii="Calibri" w:eastAsia="Times New Roman" w:hAnsi="Calibri" w:cs="Times New Roman"/>
          <w:szCs w:val="24"/>
        </w:rPr>
        <w:t>růměrná</w:t>
      </w:r>
      <w:r w:rsidR="003D0ED3">
        <w:rPr>
          <w:rFonts w:ascii="Calibri" w:eastAsia="Times New Roman" w:hAnsi="Calibri" w:cs="Times New Roman"/>
          <w:szCs w:val="24"/>
        </w:rPr>
        <w:t xml:space="preserve"> plocha </w:t>
      </w:r>
      <w:r w:rsidR="003D0ED3" w:rsidRPr="00AE58EA">
        <w:rPr>
          <w:rFonts w:ascii="Calibri" w:eastAsia="Times New Roman" w:hAnsi="Calibri" w:cs="Times New Roman"/>
          <w:szCs w:val="24"/>
        </w:rPr>
        <w:t xml:space="preserve">na </w:t>
      </w:r>
      <w:r w:rsidR="00783406">
        <w:rPr>
          <w:rFonts w:ascii="Calibri" w:eastAsia="Times New Roman" w:hAnsi="Calibri" w:cs="Times New Roman"/>
          <w:szCs w:val="24"/>
        </w:rPr>
        <w:t>státní zaměstnance</w:t>
      </w:r>
      <w:r w:rsidR="003D0ED3" w:rsidRPr="00AE58EA">
        <w:rPr>
          <w:rFonts w:ascii="Calibri" w:eastAsia="Times New Roman" w:hAnsi="Calibri" w:cs="Times New Roman"/>
          <w:szCs w:val="24"/>
        </w:rPr>
        <w:t xml:space="preserve"> </w:t>
      </w:r>
      <w:r w:rsidR="000C47D2" w:rsidRPr="00AE58EA">
        <w:rPr>
          <w:rFonts w:ascii="Calibri" w:eastAsia="Times New Roman" w:hAnsi="Calibri" w:cs="Times New Roman"/>
          <w:szCs w:val="24"/>
        </w:rPr>
        <w:t>v </w:t>
      </w:r>
      <w:r w:rsidR="003D0ED3" w:rsidRPr="00AE58EA">
        <w:rPr>
          <w:rFonts w:ascii="Calibri" w:eastAsia="Times New Roman" w:hAnsi="Calibri" w:cs="Times New Roman"/>
          <w:szCs w:val="24"/>
        </w:rPr>
        <w:t xml:space="preserve">období </w:t>
      </w:r>
      <w:r w:rsidR="00A225DC" w:rsidRPr="00AE58EA">
        <w:rPr>
          <w:rFonts w:ascii="Calibri" w:eastAsia="Times New Roman" w:hAnsi="Calibri" w:cs="Times New Roman"/>
          <w:szCs w:val="24"/>
        </w:rPr>
        <w:t xml:space="preserve">let </w:t>
      </w:r>
      <w:r w:rsidR="003D0ED3" w:rsidRPr="00AE58EA">
        <w:rPr>
          <w:rFonts w:ascii="Calibri" w:eastAsia="Times New Roman" w:hAnsi="Calibri" w:cs="Times New Roman"/>
          <w:szCs w:val="24"/>
        </w:rPr>
        <w:t>2012</w:t>
      </w:r>
      <w:r w:rsidR="00910674" w:rsidRPr="00AE58EA">
        <w:rPr>
          <w:rFonts w:ascii="Calibri" w:eastAsia="Times New Roman" w:hAnsi="Calibri" w:cs="Times New Roman"/>
          <w:szCs w:val="24"/>
        </w:rPr>
        <w:t>–</w:t>
      </w:r>
      <w:r w:rsidR="003D0ED3" w:rsidRPr="00AE58EA">
        <w:rPr>
          <w:rFonts w:ascii="Calibri" w:eastAsia="Times New Roman" w:hAnsi="Calibri" w:cs="Times New Roman"/>
          <w:szCs w:val="24"/>
        </w:rPr>
        <w:t xml:space="preserve">2016 </w:t>
      </w:r>
      <w:r w:rsidR="00D8127C" w:rsidRPr="00AE58EA">
        <w:rPr>
          <w:rFonts w:ascii="Calibri" w:eastAsia="Times New Roman" w:hAnsi="Calibri" w:cs="Times New Roman"/>
          <w:szCs w:val="24"/>
        </w:rPr>
        <w:t xml:space="preserve">ani provozní výdaje na </w:t>
      </w:r>
      <w:r w:rsidR="00B83869">
        <w:rPr>
          <w:rFonts w:ascii="Calibri" w:eastAsia="Times New Roman" w:hAnsi="Calibri" w:cs="Times New Roman"/>
          <w:szCs w:val="24"/>
        </w:rPr>
        <w:t>1 </w:t>
      </w:r>
      <w:r w:rsidR="00D8127C" w:rsidRPr="00AE58EA">
        <w:rPr>
          <w:rFonts w:ascii="Calibri" w:eastAsia="Times New Roman" w:hAnsi="Calibri" w:cs="Times New Roman"/>
          <w:szCs w:val="24"/>
        </w:rPr>
        <w:t>m</w:t>
      </w:r>
      <w:r w:rsidR="00D8127C" w:rsidRPr="00AE58EA">
        <w:rPr>
          <w:rFonts w:ascii="Calibri" w:eastAsia="Times New Roman" w:hAnsi="Calibri" w:cs="Times New Roman"/>
          <w:szCs w:val="24"/>
          <w:vertAlign w:val="superscript"/>
        </w:rPr>
        <w:t>2</w:t>
      </w:r>
      <w:r w:rsidR="00D8127C" w:rsidRPr="00324F72">
        <w:rPr>
          <w:rFonts w:ascii="Calibri" w:eastAsia="Times New Roman" w:hAnsi="Calibri" w:cs="Times New Roman"/>
          <w:szCs w:val="24"/>
        </w:rPr>
        <w:t xml:space="preserve"> celkové plochy nesnížily</w:t>
      </w:r>
      <w:r w:rsidR="00F2134D">
        <w:rPr>
          <w:rFonts w:ascii="Calibri" w:eastAsia="Times New Roman" w:hAnsi="Calibri" w:cs="Times New Roman"/>
          <w:szCs w:val="24"/>
        </w:rPr>
        <w:t xml:space="preserve"> a míra obsaz</w:t>
      </w:r>
      <w:r w:rsidR="00B83869">
        <w:rPr>
          <w:rFonts w:ascii="Calibri" w:eastAsia="Times New Roman" w:hAnsi="Calibri" w:cs="Times New Roman"/>
          <w:szCs w:val="24"/>
        </w:rPr>
        <w:t>e</w:t>
      </w:r>
      <w:r w:rsidR="00F2134D">
        <w:rPr>
          <w:rFonts w:ascii="Calibri" w:eastAsia="Times New Roman" w:hAnsi="Calibri" w:cs="Times New Roman"/>
          <w:szCs w:val="24"/>
        </w:rPr>
        <w:t xml:space="preserve">nosti budov se </w:t>
      </w:r>
      <w:r w:rsidR="007758E4">
        <w:rPr>
          <w:rFonts w:ascii="Calibri" w:eastAsia="Times New Roman" w:hAnsi="Calibri" w:cs="Times New Roman"/>
          <w:szCs w:val="24"/>
        </w:rPr>
        <w:t>nezvýšila</w:t>
      </w:r>
      <w:r w:rsidR="000C47D2" w:rsidRPr="003273C4">
        <w:rPr>
          <w:rFonts w:ascii="Calibri" w:eastAsia="Times New Roman" w:hAnsi="Calibri" w:cs="Times New Roman"/>
          <w:szCs w:val="24"/>
        </w:rPr>
        <w:t>.</w:t>
      </w:r>
      <w:r w:rsidR="000C47D2">
        <w:rPr>
          <w:rFonts w:ascii="Calibri" w:eastAsia="Times New Roman" w:hAnsi="Calibri" w:cs="Times New Roman"/>
          <w:szCs w:val="24"/>
        </w:rPr>
        <w:t xml:space="preserve"> </w:t>
      </w:r>
      <w:r w:rsidR="00D8127C">
        <w:rPr>
          <w:rFonts w:ascii="Calibri" w:eastAsia="Times New Roman" w:hAnsi="Calibri" w:cs="Times New Roman"/>
          <w:szCs w:val="24"/>
        </w:rPr>
        <w:t>V roce 2016 p</w:t>
      </w:r>
      <w:r w:rsidR="000C47D2">
        <w:rPr>
          <w:rFonts w:ascii="Calibri" w:eastAsia="Times New Roman" w:hAnsi="Calibri" w:cs="Times New Roman"/>
          <w:szCs w:val="24"/>
        </w:rPr>
        <w:t xml:space="preserve">růměrná celková plocha na </w:t>
      </w:r>
      <w:r w:rsidR="00B83869">
        <w:rPr>
          <w:rFonts w:ascii="Calibri" w:eastAsia="Times New Roman" w:hAnsi="Calibri" w:cs="Times New Roman"/>
          <w:szCs w:val="24"/>
        </w:rPr>
        <w:t>je</w:t>
      </w:r>
      <w:r w:rsidR="00B3350D">
        <w:rPr>
          <w:rFonts w:ascii="Calibri" w:eastAsia="Times New Roman" w:hAnsi="Calibri" w:cs="Times New Roman"/>
          <w:szCs w:val="24"/>
        </w:rPr>
        <w:t>d</w:t>
      </w:r>
      <w:r w:rsidR="00B83869">
        <w:rPr>
          <w:rFonts w:ascii="Calibri" w:eastAsia="Times New Roman" w:hAnsi="Calibri" w:cs="Times New Roman"/>
          <w:szCs w:val="24"/>
        </w:rPr>
        <w:t xml:space="preserve">noho </w:t>
      </w:r>
      <w:r w:rsidR="00C62EE2">
        <w:rPr>
          <w:rFonts w:ascii="Calibri" w:eastAsia="Times New Roman" w:hAnsi="Calibri" w:cs="Times New Roman"/>
          <w:szCs w:val="24"/>
        </w:rPr>
        <w:t xml:space="preserve">zaměstnance </w:t>
      </w:r>
      <w:r w:rsidR="000C47D2">
        <w:rPr>
          <w:rFonts w:ascii="Calibri" w:eastAsia="Times New Roman" w:hAnsi="Calibri" w:cs="Times New Roman"/>
          <w:szCs w:val="24"/>
        </w:rPr>
        <w:t xml:space="preserve">činila 38 </w:t>
      </w:r>
      <w:r w:rsidR="000C47D2">
        <w:t>m</w:t>
      </w:r>
      <w:r w:rsidR="000C47D2" w:rsidRPr="00CD14FC">
        <w:rPr>
          <w:vertAlign w:val="superscript"/>
        </w:rPr>
        <w:t>2</w:t>
      </w:r>
      <w:r w:rsidR="00D8127C">
        <w:t xml:space="preserve">, </w:t>
      </w:r>
      <w:r w:rsidR="000C47D2">
        <w:t xml:space="preserve">průměrná kancelářská plocha </w:t>
      </w:r>
      <w:r w:rsidR="00426815">
        <w:t>na</w:t>
      </w:r>
      <w:r w:rsidR="00B83869">
        <w:t xml:space="preserve"> jednoho </w:t>
      </w:r>
      <w:r w:rsidR="00E70477">
        <w:t xml:space="preserve">zaměstnance </w:t>
      </w:r>
      <w:r w:rsidR="000C47D2">
        <w:t>14 m</w:t>
      </w:r>
      <w:r w:rsidR="000C47D2" w:rsidRPr="00CD14FC">
        <w:rPr>
          <w:vertAlign w:val="superscript"/>
        </w:rPr>
        <w:t>2</w:t>
      </w:r>
      <w:r w:rsidR="008436BB">
        <w:t>,</w:t>
      </w:r>
      <w:r w:rsidR="00C1586A">
        <w:t xml:space="preserve"> </w:t>
      </w:r>
      <w:r w:rsidR="00D8127C">
        <w:t xml:space="preserve">průměrné výdaje na </w:t>
      </w:r>
      <w:r w:rsidR="00B83869">
        <w:t>1 </w:t>
      </w:r>
      <w:r w:rsidR="00D8127C">
        <w:t>m</w:t>
      </w:r>
      <w:r w:rsidR="00D8127C" w:rsidRPr="003D2BB7">
        <w:rPr>
          <w:vertAlign w:val="superscript"/>
        </w:rPr>
        <w:t>2</w:t>
      </w:r>
      <w:r w:rsidR="00D8127C">
        <w:t xml:space="preserve"> celkové plochy činily 734</w:t>
      </w:r>
      <w:r w:rsidR="00BE4D6A">
        <w:t> </w:t>
      </w:r>
      <w:r w:rsidR="00D8127C">
        <w:t>Kč</w:t>
      </w:r>
      <w:r w:rsidR="008436BB">
        <w:t xml:space="preserve"> a</w:t>
      </w:r>
      <w:r w:rsidR="00C1586A">
        <w:t> </w:t>
      </w:r>
      <w:r w:rsidR="008436BB">
        <w:t xml:space="preserve">míra </w:t>
      </w:r>
      <w:r w:rsidR="00F2134D">
        <w:t>obsazenosti budov</w:t>
      </w:r>
      <w:r w:rsidR="008436BB">
        <w:t xml:space="preserve"> byla 91</w:t>
      </w:r>
      <w:r w:rsidR="00AE58EA">
        <w:t> %</w:t>
      </w:r>
      <w:r w:rsidR="003D0ED3">
        <w:rPr>
          <w:rFonts w:ascii="Calibri" w:eastAsia="Times New Roman" w:hAnsi="Calibri" w:cs="Times New Roman"/>
          <w:szCs w:val="24"/>
        </w:rPr>
        <w:t>, blíže viz příloha č. 5.</w:t>
      </w:r>
    </w:p>
    <w:p w14:paraId="276244C2" w14:textId="777DF6A7" w:rsidR="0033004E" w:rsidRDefault="0069768D" w:rsidP="0033004E">
      <w:pPr>
        <w:rPr>
          <w:rFonts w:ascii="Calibri" w:eastAsia="Times New Roman" w:hAnsi="Calibri" w:cs="Times New Roman"/>
          <w:szCs w:val="24"/>
        </w:rPr>
      </w:pPr>
      <w:r w:rsidRPr="00E6563E">
        <w:t xml:space="preserve">Za první </w:t>
      </w:r>
      <w:r w:rsidR="00676AF4">
        <w:t xml:space="preserve">legislativní </w:t>
      </w:r>
      <w:r w:rsidRPr="00E6563E">
        <w:t xml:space="preserve">kroky vedoucí k centralizaci </w:t>
      </w:r>
      <w:r w:rsidR="00CB32C6">
        <w:t xml:space="preserve">správy nemovitého majetku </w:t>
      </w:r>
      <w:r w:rsidRPr="00E6563E">
        <w:t xml:space="preserve">lze považovat </w:t>
      </w:r>
      <w:r w:rsidR="00676AF4">
        <w:t xml:space="preserve">novelu zákona č. 219/2000 Sb., provedenou zákonem č. 51/2016 Sb., </w:t>
      </w:r>
      <w:r w:rsidR="00676AF4" w:rsidRPr="00676AF4">
        <w:t>kterým se mění zákon č. 219/2000 Sb., o majetku České republiky a jejím vystupování v právních vztazích, ve znění pozdějších předpisů, a některé další zákony</w:t>
      </w:r>
      <w:r w:rsidR="00676AF4">
        <w:t xml:space="preserve">, která s účinností od 1. března roku 2016 zakotvila </w:t>
      </w:r>
      <w:r w:rsidRPr="00E6563E">
        <w:t>ustanovení § 19a, § 19b a § 19c</w:t>
      </w:r>
      <w:r w:rsidR="00676AF4">
        <w:t>.</w:t>
      </w:r>
      <w:r w:rsidR="008370BB">
        <w:t xml:space="preserve"> </w:t>
      </w:r>
      <w:r w:rsidRPr="00E01F7C">
        <w:t xml:space="preserve">U využívaného majetku </w:t>
      </w:r>
      <w:r w:rsidR="00E70477">
        <w:rPr>
          <w:rFonts w:eastAsia="Times New Roman" w:cs="Calibri"/>
          <w:color w:val="000000" w:themeColor="text1"/>
          <w:szCs w:val="24"/>
        </w:rPr>
        <w:t xml:space="preserve">je </w:t>
      </w:r>
      <w:r w:rsidR="00AE58EA">
        <w:rPr>
          <w:rFonts w:eastAsia="Times New Roman" w:cs="Calibri"/>
          <w:color w:val="000000" w:themeColor="text1"/>
          <w:szCs w:val="24"/>
        </w:rPr>
        <w:t>v §</w:t>
      </w:r>
      <w:r w:rsidR="00907586">
        <w:rPr>
          <w:rFonts w:eastAsia="Times New Roman" w:cs="Calibri"/>
          <w:color w:val="000000" w:themeColor="text1"/>
          <w:szCs w:val="24"/>
        </w:rPr>
        <w:t> </w:t>
      </w:r>
      <w:r w:rsidR="00AE58EA">
        <w:rPr>
          <w:rFonts w:eastAsia="Times New Roman" w:cs="Calibri"/>
          <w:color w:val="000000" w:themeColor="text1"/>
          <w:szCs w:val="24"/>
        </w:rPr>
        <w:t>19a zákona č.</w:t>
      </w:r>
      <w:r w:rsidR="008370BB">
        <w:rPr>
          <w:rFonts w:eastAsia="Times New Roman" w:cs="Calibri"/>
          <w:color w:val="000000" w:themeColor="text1"/>
          <w:szCs w:val="24"/>
        </w:rPr>
        <w:t> </w:t>
      </w:r>
      <w:r w:rsidR="00AE58EA">
        <w:rPr>
          <w:rFonts w:eastAsia="Times New Roman" w:cs="Calibri"/>
          <w:color w:val="000000" w:themeColor="text1"/>
          <w:szCs w:val="24"/>
        </w:rPr>
        <w:t xml:space="preserve">219/2000 Sb. </w:t>
      </w:r>
      <w:r w:rsidR="00E70477">
        <w:rPr>
          <w:rFonts w:eastAsia="Times New Roman" w:cs="Calibri"/>
          <w:color w:val="000000" w:themeColor="text1"/>
          <w:szCs w:val="24"/>
        </w:rPr>
        <w:t>zakotvena</w:t>
      </w:r>
      <w:r w:rsidR="00E70477" w:rsidRPr="00E01F7C">
        <w:rPr>
          <w:rFonts w:eastAsia="Times New Roman" w:cs="Calibri"/>
          <w:color w:val="000000" w:themeColor="text1"/>
          <w:szCs w:val="24"/>
        </w:rPr>
        <w:t xml:space="preserve"> </w:t>
      </w:r>
      <w:r w:rsidR="00DD028F" w:rsidRPr="00E01F7C">
        <w:rPr>
          <w:rFonts w:eastAsia="Times New Roman" w:cs="Calibri"/>
          <w:color w:val="000000" w:themeColor="text1"/>
          <w:szCs w:val="24"/>
        </w:rPr>
        <w:t>dobrovolná forma centralizované správy nemovitého majetku</w:t>
      </w:r>
      <w:r w:rsidR="003F77C5" w:rsidRPr="00E01F7C">
        <w:rPr>
          <w:rFonts w:eastAsia="Times New Roman" w:cs="Calibri"/>
          <w:color w:val="000000" w:themeColor="text1"/>
          <w:szCs w:val="24"/>
        </w:rPr>
        <w:t xml:space="preserve"> založená</w:t>
      </w:r>
      <w:r w:rsidR="00DD028F" w:rsidRPr="00E01F7C">
        <w:rPr>
          <w:rFonts w:eastAsia="Times New Roman" w:cs="Calibri"/>
          <w:color w:val="000000" w:themeColor="text1"/>
          <w:szCs w:val="24"/>
        </w:rPr>
        <w:t xml:space="preserve"> </w:t>
      </w:r>
      <w:r w:rsidR="00D2455F" w:rsidRPr="00E01F7C">
        <w:rPr>
          <w:rFonts w:eastAsia="Times New Roman" w:cs="Calibri"/>
          <w:color w:val="000000" w:themeColor="text1"/>
          <w:szCs w:val="24"/>
        </w:rPr>
        <w:t>na</w:t>
      </w:r>
      <w:r w:rsidR="00765E12">
        <w:rPr>
          <w:rFonts w:eastAsia="Times New Roman" w:cs="Calibri"/>
          <w:color w:val="000000" w:themeColor="text1"/>
          <w:szCs w:val="24"/>
        </w:rPr>
        <w:t xml:space="preserve"> </w:t>
      </w:r>
      <w:r w:rsidR="00DD028F" w:rsidRPr="00E01F7C">
        <w:rPr>
          <w:rFonts w:eastAsia="Times New Roman" w:cs="Calibri"/>
          <w:color w:val="000000" w:themeColor="text1"/>
          <w:szCs w:val="24"/>
        </w:rPr>
        <w:t xml:space="preserve">dohodě </w:t>
      </w:r>
      <w:r w:rsidR="009B5258" w:rsidRPr="00E01F7C">
        <w:rPr>
          <w:rFonts w:eastAsia="Times New Roman" w:cs="Calibri"/>
          <w:color w:val="000000" w:themeColor="text1"/>
          <w:szCs w:val="24"/>
        </w:rPr>
        <w:t>o</w:t>
      </w:r>
      <w:r w:rsidR="006F3562">
        <w:rPr>
          <w:rFonts w:eastAsia="Times New Roman" w:cs="Calibri"/>
          <w:color w:val="000000" w:themeColor="text1"/>
          <w:szCs w:val="24"/>
        </w:rPr>
        <w:t> </w:t>
      </w:r>
      <w:r w:rsidR="009B5258" w:rsidRPr="00E01F7C">
        <w:rPr>
          <w:rFonts w:eastAsia="Times New Roman" w:cs="Calibri"/>
          <w:color w:val="000000" w:themeColor="text1"/>
          <w:szCs w:val="24"/>
        </w:rPr>
        <w:t>převedení nemovitého majetku na ÚZSVM, přičemž příslušná</w:t>
      </w:r>
      <w:r w:rsidR="00C5534A">
        <w:rPr>
          <w:rFonts w:eastAsia="Times New Roman" w:cs="Calibri"/>
          <w:color w:val="000000" w:themeColor="text1"/>
          <w:szCs w:val="24"/>
        </w:rPr>
        <w:t xml:space="preserve"> státní instituce</w:t>
      </w:r>
      <w:r w:rsidR="00711B89" w:rsidRPr="00FD1EC9">
        <w:rPr>
          <w:rFonts w:ascii="Calibri" w:eastAsia="Times New Roman" w:hAnsi="Calibri" w:cs="Times New Roman"/>
          <w:szCs w:val="24"/>
          <w:vertAlign w:val="superscript"/>
        </w:rPr>
        <w:t>3</w:t>
      </w:r>
      <w:r w:rsidR="009B5258" w:rsidRPr="00E01F7C">
        <w:rPr>
          <w:rFonts w:eastAsia="Times New Roman" w:cs="Calibri"/>
          <w:color w:val="000000" w:themeColor="text1"/>
          <w:szCs w:val="24"/>
        </w:rPr>
        <w:t xml:space="preserve"> b</w:t>
      </w:r>
      <w:r w:rsidR="00AE58EA">
        <w:rPr>
          <w:rFonts w:eastAsia="Times New Roman" w:cs="Calibri"/>
          <w:color w:val="000000" w:themeColor="text1"/>
          <w:szCs w:val="24"/>
        </w:rPr>
        <w:t>y</w:t>
      </w:r>
      <w:r w:rsidR="009B5258" w:rsidRPr="00E01F7C">
        <w:rPr>
          <w:rFonts w:eastAsia="Times New Roman" w:cs="Calibri"/>
          <w:color w:val="000000" w:themeColor="text1"/>
          <w:szCs w:val="24"/>
        </w:rPr>
        <w:t xml:space="preserve"> tento majetek nadále užíva</w:t>
      </w:r>
      <w:r w:rsidR="00AE58EA">
        <w:rPr>
          <w:rFonts w:eastAsia="Times New Roman" w:cs="Calibri"/>
          <w:color w:val="000000" w:themeColor="text1"/>
          <w:szCs w:val="24"/>
        </w:rPr>
        <w:t>la</w:t>
      </w:r>
      <w:r w:rsidR="00DD028F" w:rsidRPr="00E01F7C">
        <w:rPr>
          <w:rFonts w:eastAsia="Times New Roman" w:cs="Calibri"/>
          <w:color w:val="000000" w:themeColor="text1"/>
          <w:szCs w:val="24"/>
        </w:rPr>
        <w:t xml:space="preserve">. </w:t>
      </w:r>
      <w:r w:rsidR="00DD028F" w:rsidRPr="00E01F7C">
        <w:rPr>
          <w:rFonts w:ascii="Calibri" w:eastAsia="Times New Roman" w:hAnsi="Calibri" w:cs="Times New Roman"/>
          <w:szCs w:val="24"/>
        </w:rPr>
        <w:t xml:space="preserve">MV označilo z důvodu </w:t>
      </w:r>
      <w:r w:rsidR="00DD028F" w:rsidRPr="00E01F7C">
        <w:rPr>
          <w:rFonts w:cs="Calibri"/>
        </w:rPr>
        <w:t>plnění specifických úkolů</w:t>
      </w:r>
      <w:r w:rsidR="00DD028F" w:rsidRPr="00E01F7C">
        <w:rPr>
          <w:rFonts w:ascii="Calibri" w:eastAsia="Times New Roman" w:hAnsi="Calibri" w:cs="Times New Roman"/>
          <w:szCs w:val="24"/>
        </w:rPr>
        <w:t xml:space="preserve"> </w:t>
      </w:r>
      <w:r w:rsidRPr="00E01F7C">
        <w:rPr>
          <w:rFonts w:ascii="Calibri" w:eastAsia="Times New Roman" w:hAnsi="Calibri" w:cs="Times New Roman"/>
          <w:szCs w:val="24"/>
        </w:rPr>
        <w:t>tento způsob správy objektů</w:t>
      </w:r>
      <w:r w:rsidR="00DD028F" w:rsidRPr="00E01F7C">
        <w:rPr>
          <w:rFonts w:ascii="Calibri" w:eastAsia="Times New Roman" w:hAnsi="Calibri" w:cs="Times New Roman"/>
          <w:szCs w:val="24"/>
        </w:rPr>
        <w:t xml:space="preserve"> za</w:t>
      </w:r>
      <w:r w:rsidR="00765E12">
        <w:rPr>
          <w:rFonts w:ascii="Calibri" w:eastAsia="Times New Roman" w:hAnsi="Calibri" w:cs="Times New Roman"/>
          <w:szCs w:val="24"/>
        </w:rPr>
        <w:t xml:space="preserve"> </w:t>
      </w:r>
      <w:r w:rsidRPr="00E01F7C">
        <w:rPr>
          <w:rFonts w:ascii="Calibri" w:eastAsia="Times New Roman" w:hAnsi="Calibri" w:cs="Times New Roman"/>
          <w:szCs w:val="24"/>
        </w:rPr>
        <w:t>nepoužitelný</w:t>
      </w:r>
      <w:r w:rsidR="00DD028F" w:rsidRPr="00E01F7C">
        <w:rPr>
          <w:rFonts w:ascii="Calibri" w:eastAsia="Times New Roman" w:hAnsi="Calibri" w:cs="Times New Roman"/>
          <w:szCs w:val="24"/>
        </w:rPr>
        <w:t xml:space="preserve"> pro instituce v resortu MV.</w:t>
      </w:r>
      <w:r w:rsidRPr="00E01F7C">
        <w:rPr>
          <w:rFonts w:ascii="Calibri" w:eastAsia="Times New Roman" w:hAnsi="Calibri" w:cs="Times New Roman"/>
          <w:szCs w:val="24"/>
        </w:rPr>
        <w:t xml:space="preserve"> K dubnu 2017, tedy po roce účinnosti</w:t>
      </w:r>
      <w:r w:rsidR="00A525E1">
        <w:rPr>
          <w:rFonts w:ascii="Calibri" w:eastAsia="Times New Roman" w:hAnsi="Calibri" w:cs="Times New Roman"/>
          <w:szCs w:val="24"/>
        </w:rPr>
        <w:t xml:space="preserve"> uvedených </w:t>
      </w:r>
      <w:r w:rsidR="00DA55A7">
        <w:rPr>
          <w:rFonts w:ascii="Calibri" w:eastAsia="Times New Roman" w:hAnsi="Calibri" w:cs="Times New Roman"/>
          <w:szCs w:val="24"/>
        </w:rPr>
        <w:t>ustanovení zákona</w:t>
      </w:r>
      <w:r w:rsidRPr="00E01F7C">
        <w:rPr>
          <w:rFonts w:ascii="Calibri" w:eastAsia="Times New Roman" w:hAnsi="Calibri" w:cs="Times New Roman"/>
          <w:szCs w:val="24"/>
        </w:rPr>
        <w:t xml:space="preserve">, ÚZSVM převzal </w:t>
      </w:r>
      <w:r w:rsidR="00962CAF">
        <w:rPr>
          <w:rFonts w:ascii="Calibri" w:eastAsia="Times New Roman" w:hAnsi="Calibri" w:cs="Times New Roman"/>
          <w:szCs w:val="24"/>
        </w:rPr>
        <w:t xml:space="preserve">od všech státních institucí </w:t>
      </w:r>
      <w:r w:rsidRPr="00E01F7C">
        <w:rPr>
          <w:rFonts w:ascii="Calibri" w:eastAsia="Times New Roman" w:hAnsi="Calibri" w:cs="Times New Roman"/>
          <w:szCs w:val="24"/>
        </w:rPr>
        <w:t xml:space="preserve">pouze jeden objekt. </w:t>
      </w:r>
      <w:r w:rsidR="00AE58EA">
        <w:t xml:space="preserve">Veškerý </w:t>
      </w:r>
      <w:r w:rsidRPr="00E01F7C">
        <w:t>nepotřebn</w:t>
      </w:r>
      <w:r w:rsidR="00AE58EA">
        <w:t>ý</w:t>
      </w:r>
      <w:r w:rsidRPr="00E01F7C">
        <w:t xml:space="preserve"> </w:t>
      </w:r>
      <w:r w:rsidR="00AD3E40">
        <w:t>nemovit</w:t>
      </w:r>
      <w:r w:rsidR="00AE58EA">
        <w:t>ý</w:t>
      </w:r>
      <w:r w:rsidR="00AD3E40">
        <w:t xml:space="preserve"> </w:t>
      </w:r>
      <w:r w:rsidRPr="00E01F7C">
        <w:t>majet</w:t>
      </w:r>
      <w:r w:rsidR="00AE58EA">
        <w:t>ek</w:t>
      </w:r>
      <w:r w:rsidR="00AE58EA">
        <w:rPr>
          <w:rFonts w:eastAsia="Times New Roman" w:cs="Calibri"/>
          <w:color w:val="000000" w:themeColor="text1"/>
          <w:szCs w:val="24"/>
        </w:rPr>
        <w:t xml:space="preserve"> je na základě § 19b povinně převáděn na ÚZSVM.</w:t>
      </w:r>
      <w:r w:rsidR="0033004E">
        <w:rPr>
          <w:rFonts w:eastAsia="Times New Roman" w:cs="Calibri"/>
          <w:color w:val="000000" w:themeColor="text1"/>
          <w:szCs w:val="24"/>
        </w:rPr>
        <w:t xml:space="preserve"> Dle u</w:t>
      </w:r>
      <w:r w:rsidR="0033004E" w:rsidRPr="008F67D6">
        <w:rPr>
          <w:rFonts w:eastAsia="Times New Roman" w:cs="Calibri"/>
          <w:color w:val="000000" w:themeColor="text1"/>
          <w:szCs w:val="24"/>
        </w:rPr>
        <w:t>stanovení §</w:t>
      </w:r>
      <w:r w:rsidR="00907586">
        <w:rPr>
          <w:rFonts w:eastAsia="Times New Roman" w:cs="Calibri"/>
          <w:color w:val="000000" w:themeColor="text1"/>
          <w:szCs w:val="24"/>
        </w:rPr>
        <w:t> </w:t>
      </w:r>
      <w:r w:rsidR="0033004E" w:rsidRPr="008F67D6">
        <w:rPr>
          <w:rFonts w:eastAsia="Times New Roman" w:cs="Calibri"/>
          <w:color w:val="000000" w:themeColor="text1"/>
          <w:szCs w:val="24"/>
        </w:rPr>
        <w:t>19c</w:t>
      </w:r>
      <w:r w:rsidR="0033004E">
        <w:rPr>
          <w:rFonts w:eastAsia="Times New Roman" w:cs="Calibri"/>
          <w:color w:val="000000" w:themeColor="text1"/>
          <w:szCs w:val="24"/>
        </w:rPr>
        <w:t xml:space="preserve"> zákona č. 219/2000 Sb.</w:t>
      </w:r>
      <w:r w:rsidR="0033004E" w:rsidRPr="008F67D6">
        <w:rPr>
          <w:rFonts w:eastAsia="Times New Roman" w:cs="Calibri"/>
          <w:color w:val="000000" w:themeColor="text1"/>
          <w:szCs w:val="24"/>
        </w:rPr>
        <w:t xml:space="preserve"> </w:t>
      </w:r>
      <w:r w:rsidR="0033004E">
        <w:rPr>
          <w:rFonts w:eastAsia="Times New Roman" w:cs="Calibri"/>
          <w:color w:val="000000" w:themeColor="text1"/>
          <w:szCs w:val="24"/>
        </w:rPr>
        <w:t>se</w:t>
      </w:r>
      <w:r w:rsidR="0033004E" w:rsidRPr="008F67D6">
        <w:rPr>
          <w:rFonts w:eastAsia="Times New Roman" w:cs="Calibri"/>
          <w:color w:val="000000" w:themeColor="text1"/>
          <w:szCs w:val="24"/>
        </w:rPr>
        <w:t xml:space="preserve"> nabídky po</w:t>
      </w:r>
      <w:r w:rsidR="00765E12">
        <w:rPr>
          <w:rFonts w:eastAsia="Times New Roman" w:cs="Calibri"/>
          <w:color w:val="000000" w:themeColor="text1"/>
          <w:szCs w:val="24"/>
        </w:rPr>
        <w:t>u</w:t>
      </w:r>
      <w:r w:rsidR="0033004E" w:rsidRPr="008F67D6">
        <w:rPr>
          <w:rFonts w:eastAsia="Times New Roman" w:cs="Calibri"/>
          <w:color w:val="000000" w:themeColor="text1"/>
          <w:szCs w:val="24"/>
        </w:rPr>
        <w:t>žíván</w:t>
      </w:r>
      <w:r w:rsidR="0033004E">
        <w:rPr>
          <w:rFonts w:eastAsia="Times New Roman" w:cs="Calibri"/>
          <w:color w:val="000000" w:themeColor="text1"/>
          <w:szCs w:val="24"/>
        </w:rPr>
        <w:t xml:space="preserve">í či užívání majetku evidovaného v CRAB </w:t>
      </w:r>
      <w:r w:rsidR="0033004E" w:rsidRPr="008F67D6">
        <w:rPr>
          <w:rFonts w:eastAsia="Times New Roman" w:cs="Calibri"/>
          <w:color w:val="000000" w:themeColor="text1"/>
          <w:szCs w:val="24"/>
        </w:rPr>
        <w:t xml:space="preserve">ostatním OSS </w:t>
      </w:r>
      <w:r w:rsidR="0033004E">
        <w:rPr>
          <w:rFonts w:eastAsia="Times New Roman" w:cs="Calibri"/>
          <w:color w:val="000000" w:themeColor="text1"/>
          <w:szCs w:val="24"/>
        </w:rPr>
        <w:t xml:space="preserve">provádí </w:t>
      </w:r>
      <w:r w:rsidR="0033004E" w:rsidRPr="008F67D6">
        <w:rPr>
          <w:rFonts w:eastAsia="Times New Roman" w:cs="Calibri"/>
          <w:color w:val="000000" w:themeColor="text1"/>
          <w:szCs w:val="24"/>
        </w:rPr>
        <w:t xml:space="preserve">centralizovaně prostřednictvím CRAB. V případě ostatního majetku se nabídka provádí na internetových stránkách ÚZSVM. </w:t>
      </w:r>
      <w:r w:rsidR="00902484">
        <w:rPr>
          <w:rFonts w:ascii="Calibri" w:eastAsia="Times New Roman" w:hAnsi="Calibri" w:cs="Times New Roman"/>
          <w:szCs w:val="24"/>
        </w:rPr>
        <w:t xml:space="preserve">Peněžní prostředky na </w:t>
      </w:r>
      <w:r w:rsidR="00872B42">
        <w:rPr>
          <w:rFonts w:ascii="Calibri" w:eastAsia="Times New Roman" w:hAnsi="Calibri" w:cs="Times New Roman"/>
          <w:szCs w:val="24"/>
        </w:rPr>
        <w:t>správu</w:t>
      </w:r>
      <w:r w:rsidR="00902484">
        <w:rPr>
          <w:rFonts w:ascii="Calibri" w:eastAsia="Times New Roman" w:hAnsi="Calibri" w:cs="Times New Roman"/>
          <w:szCs w:val="24"/>
        </w:rPr>
        <w:t xml:space="preserve"> nemovitého majetku vynakládají jednotlivé státní instituce</w:t>
      </w:r>
      <w:r w:rsidR="00902484" w:rsidRPr="00330BDC">
        <w:rPr>
          <w:rFonts w:ascii="Calibri" w:eastAsia="Times New Roman" w:hAnsi="Calibri" w:cs="Times New Roman"/>
          <w:szCs w:val="24"/>
          <w:vertAlign w:val="superscript"/>
        </w:rPr>
        <w:t>3</w:t>
      </w:r>
      <w:r w:rsidR="00902484">
        <w:rPr>
          <w:rFonts w:ascii="Calibri" w:eastAsia="Times New Roman" w:hAnsi="Calibri" w:cs="Times New Roman"/>
          <w:szCs w:val="24"/>
        </w:rPr>
        <w:t xml:space="preserve"> ze</w:t>
      </w:r>
      <w:r w:rsidR="00765E12">
        <w:rPr>
          <w:rFonts w:ascii="Calibri" w:eastAsia="Times New Roman" w:hAnsi="Calibri" w:cs="Times New Roman"/>
          <w:szCs w:val="24"/>
        </w:rPr>
        <w:t xml:space="preserve"> </w:t>
      </w:r>
      <w:r w:rsidR="00902484">
        <w:rPr>
          <w:rFonts w:ascii="Calibri" w:eastAsia="Times New Roman" w:hAnsi="Calibri" w:cs="Times New Roman"/>
          <w:szCs w:val="24"/>
        </w:rPr>
        <w:t xml:space="preserve">svých rozpočtů. MV </w:t>
      </w:r>
      <w:r w:rsidR="00CE51BD">
        <w:rPr>
          <w:rFonts w:ascii="Calibri" w:eastAsia="Times New Roman" w:hAnsi="Calibri" w:cs="Times New Roman"/>
          <w:szCs w:val="24"/>
        </w:rPr>
        <w:t>peněžní prostředky vynakládané na správu nemovitého majetku ve</w:t>
      </w:r>
      <w:r w:rsidR="00765E12">
        <w:rPr>
          <w:rFonts w:ascii="Calibri" w:eastAsia="Times New Roman" w:hAnsi="Calibri" w:cs="Times New Roman"/>
          <w:szCs w:val="24"/>
        </w:rPr>
        <w:t xml:space="preserve"> </w:t>
      </w:r>
      <w:r w:rsidR="00CE51BD">
        <w:rPr>
          <w:rFonts w:ascii="Calibri" w:eastAsia="Times New Roman" w:hAnsi="Calibri" w:cs="Times New Roman"/>
          <w:szCs w:val="24"/>
        </w:rPr>
        <w:t>své kapitole</w:t>
      </w:r>
      <w:r w:rsidR="00872B42" w:rsidRPr="00872B42">
        <w:rPr>
          <w:rFonts w:ascii="Calibri" w:eastAsia="Times New Roman" w:hAnsi="Calibri" w:cs="Times New Roman"/>
          <w:szCs w:val="24"/>
        </w:rPr>
        <w:t xml:space="preserve"> </w:t>
      </w:r>
      <w:r w:rsidR="00872B42">
        <w:rPr>
          <w:rFonts w:ascii="Calibri" w:eastAsia="Times New Roman" w:hAnsi="Calibri" w:cs="Times New Roman"/>
          <w:szCs w:val="24"/>
        </w:rPr>
        <w:t>nevyhodnocovalo (</w:t>
      </w:r>
      <w:r w:rsidR="00CE51BD">
        <w:rPr>
          <w:rFonts w:ascii="Calibri" w:eastAsia="Times New Roman" w:hAnsi="Calibri" w:cs="Times New Roman"/>
          <w:szCs w:val="24"/>
        </w:rPr>
        <w:t>blíže viz část III.5</w:t>
      </w:r>
      <w:r w:rsidR="00765E12">
        <w:rPr>
          <w:rFonts w:ascii="Calibri" w:eastAsia="Times New Roman" w:hAnsi="Calibri" w:cs="Times New Roman"/>
          <w:szCs w:val="24"/>
        </w:rPr>
        <w:t xml:space="preserve"> tohoto kontrolního závěru</w:t>
      </w:r>
      <w:r w:rsidR="00872B42">
        <w:rPr>
          <w:rFonts w:ascii="Calibri" w:eastAsia="Times New Roman" w:hAnsi="Calibri" w:cs="Times New Roman"/>
          <w:szCs w:val="24"/>
        </w:rPr>
        <w:t>)</w:t>
      </w:r>
      <w:r w:rsidR="00765E12">
        <w:rPr>
          <w:rFonts w:ascii="Calibri" w:eastAsia="Times New Roman" w:hAnsi="Calibri" w:cs="Times New Roman"/>
          <w:szCs w:val="24"/>
        </w:rPr>
        <w:t>,</w:t>
      </w:r>
      <w:r w:rsidR="00872B42">
        <w:rPr>
          <w:rFonts w:ascii="Calibri" w:eastAsia="Times New Roman" w:hAnsi="Calibri" w:cs="Times New Roman"/>
          <w:szCs w:val="24"/>
        </w:rPr>
        <w:t xml:space="preserve"> a tuto informaci tak </w:t>
      </w:r>
      <w:r w:rsidR="00765E12">
        <w:rPr>
          <w:rFonts w:ascii="Calibri" w:eastAsia="Times New Roman" w:hAnsi="Calibri" w:cs="Times New Roman"/>
          <w:szCs w:val="24"/>
        </w:rPr>
        <w:t>nemohlo využít</w:t>
      </w:r>
      <w:r w:rsidR="00872B42">
        <w:rPr>
          <w:rFonts w:ascii="Calibri" w:eastAsia="Times New Roman" w:hAnsi="Calibri" w:cs="Times New Roman"/>
          <w:szCs w:val="24"/>
        </w:rPr>
        <w:t xml:space="preserve"> při sestavování rozpočtu</w:t>
      </w:r>
      <w:r w:rsidR="00CE51BD">
        <w:rPr>
          <w:rFonts w:ascii="Calibri" w:eastAsia="Times New Roman" w:hAnsi="Calibri" w:cs="Times New Roman"/>
          <w:szCs w:val="24"/>
        </w:rPr>
        <w:t xml:space="preserve">. </w:t>
      </w:r>
    </w:p>
    <w:p w14:paraId="48809022" w14:textId="3E8AC3EB" w:rsidR="00263402" w:rsidRPr="00330BDC" w:rsidRDefault="00DB0746" w:rsidP="009B5258">
      <w:pPr>
        <w:rPr>
          <w:rFonts w:eastAsia="Times New Roman" w:cs="Calibri"/>
          <w:szCs w:val="24"/>
        </w:rPr>
      </w:pPr>
      <w:r w:rsidRPr="00555312">
        <w:rPr>
          <w:rFonts w:eastAsia="Times New Roman" w:cs="Calibri"/>
          <w:szCs w:val="24"/>
        </w:rPr>
        <w:lastRenderedPageBreak/>
        <w:t>Za stát právně jedná vedoucí státní instituce</w:t>
      </w:r>
      <w:r w:rsidRPr="00330BDC">
        <w:rPr>
          <w:rFonts w:eastAsia="Times New Roman" w:cs="Calibri"/>
          <w:szCs w:val="24"/>
          <w:vertAlign w:val="superscript"/>
        </w:rPr>
        <w:t>3</w:t>
      </w:r>
      <w:r w:rsidRPr="00555312">
        <w:rPr>
          <w:rFonts w:eastAsia="Times New Roman" w:cs="Calibri"/>
          <w:szCs w:val="24"/>
        </w:rPr>
        <w:t xml:space="preserve"> nebo jím písemně pověřený vedoucí zaměstnanec </w:t>
      </w:r>
      <w:r w:rsidR="000E6F38" w:rsidRPr="00330BDC">
        <w:rPr>
          <w:rFonts w:eastAsia="Times New Roman" w:cs="Calibri"/>
          <w:szCs w:val="24"/>
        </w:rPr>
        <w:t>této</w:t>
      </w:r>
      <w:r w:rsidRPr="00555312">
        <w:rPr>
          <w:rFonts w:eastAsia="Times New Roman" w:cs="Calibri"/>
          <w:szCs w:val="24"/>
        </w:rPr>
        <w:t xml:space="preserve"> státní instituce.</w:t>
      </w:r>
      <w:r w:rsidRPr="00555312">
        <w:rPr>
          <w:rStyle w:val="Znakapoznpodarou"/>
          <w:rFonts w:eastAsia="Times New Roman" w:cs="Calibri"/>
          <w:szCs w:val="24"/>
        </w:rPr>
        <w:footnoteReference w:id="40"/>
      </w:r>
      <w:r w:rsidRPr="00555312">
        <w:rPr>
          <w:rFonts w:eastAsia="Times New Roman" w:cs="Calibri"/>
          <w:szCs w:val="24"/>
        </w:rPr>
        <w:t xml:space="preserve"> Tato osoba, která z titulu sv</w:t>
      </w:r>
      <w:r w:rsidR="000E6F38" w:rsidRPr="00330BDC">
        <w:rPr>
          <w:rFonts w:eastAsia="Times New Roman" w:cs="Calibri"/>
          <w:szCs w:val="24"/>
        </w:rPr>
        <w:t xml:space="preserve">é </w:t>
      </w:r>
      <w:r w:rsidRPr="00555312">
        <w:rPr>
          <w:rFonts w:eastAsia="Times New Roman" w:cs="Calibri"/>
          <w:szCs w:val="24"/>
        </w:rPr>
        <w:t>funkc</w:t>
      </w:r>
      <w:r w:rsidR="000E6F38" w:rsidRPr="00330BDC">
        <w:rPr>
          <w:rFonts w:eastAsia="Times New Roman" w:cs="Calibri"/>
          <w:szCs w:val="24"/>
        </w:rPr>
        <w:t>e</w:t>
      </w:r>
      <w:r w:rsidRPr="00555312">
        <w:rPr>
          <w:rFonts w:eastAsia="Times New Roman" w:cs="Calibri"/>
          <w:szCs w:val="24"/>
        </w:rPr>
        <w:t xml:space="preserve"> nebo pracovního zařazení právně anebo jinak jedná ohledně majetku, je povinna provádět tuto činnost s odbornou péčí a postupovat podle zákona č. 219/2000 Sb. a dalších právních předpisů</w:t>
      </w:r>
      <w:r w:rsidR="000E6F38" w:rsidRPr="00330BDC">
        <w:rPr>
          <w:rFonts w:eastAsia="Times New Roman" w:cs="Calibri"/>
          <w:szCs w:val="24"/>
        </w:rPr>
        <w:t xml:space="preserve">. Taková osoba současně </w:t>
      </w:r>
      <w:r w:rsidRPr="00555312">
        <w:rPr>
          <w:rFonts w:eastAsia="Times New Roman" w:cs="Calibri"/>
          <w:szCs w:val="24"/>
        </w:rPr>
        <w:t xml:space="preserve">odpovídá za porušení </w:t>
      </w:r>
      <w:r w:rsidR="00263402" w:rsidRPr="00555312">
        <w:rPr>
          <w:rFonts w:eastAsia="Times New Roman" w:cs="Calibri"/>
          <w:szCs w:val="24"/>
        </w:rPr>
        <w:t>stanovených povinností v rozsahu trestněprávních, pracovněprávních a občanskoprávních předpisů.</w:t>
      </w:r>
      <w:r w:rsidR="00263402" w:rsidRPr="00555312">
        <w:rPr>
          <w:rStyle w:val="Znakapoznpodarou"/>
          <w:rFonts w:eastAsia="Times New Roman" w:cs="Calibri"/>
          <w:szCs w:val="24"/>
        </w:rPr>
        <w:footnoteReference w:id="41"/>
      </w:r>
      <w:r w:rsidR="00263402" w:rsidRPr="00555312">
        <w:rPr>
          <w:rFonts w:eastAsia="Times New Roman" w:cs="Calibri"/>
          <w:szCs w:val="24"/>
        </w:rPr>
        <w:t xml:space="preserve"> </w:t>
      </w:r>
    </w:p>
    <w:p w14:paraId="28A92E25" w14:textId="366C501E" w:rsidR="00E17747" w:rsidRPr="00555312" w:rsidRDefault="00263402" w:rsidP="009B5258">
      <w:pPr>
        <w:rPr>
          <w:rFonts w:eastAsia="Times New Roman" w:cs="Calibri"/>
          <w:szCs w:val="24"/>
        </w:rPr>
      </w:pPr>
      <w:r w:rsidRPr="00555312">
        <w:rPr>
          <w:rFonts w:eastAsia="Times New Roman" w:cs="Calibri"/>
          <w:szCs w:val="24"/>
        </w:rPr>
        <w:t xml:space="preserve">Majetek musí být </w:t>
      </w:r>
      <w:r w:rsidR="009865E6" w:rsidRPr="00330BDC">
        <w:rPr>
          <w:rFonts w:eastAsia="Times New Roman" w:cs="Calibri"/>
          <w:szCs w:val="24"/>
        </w:rPr>
        <w:t>dle §</w:t>
      </w:r>
      <w:r w:rsidR="00907586">
        <w:rPr>
          <w:rFonts w:eastAsia="Times New Roman" w:cs="Calibri"/>
          <w:szCs w:val="24"/>
        </w:rPr>
        <w:t> </w:t>
      </w:r>
      <w:r w:rsidR="009865E6" w:rsidRPr="00330BDC">
        <w:rPr>
          <w:rFonts w:eastAsia="Times New Roman" w:cs="Calibri"/>
          <w:szCs w:val="24"/>
        </w:rPr>
        <w:t xml:space="preserve">14 odst. 1 zákona č. 219/2000 Sb. </w:t>
      </w:r>
      <w:r w:rsidRPr="00555312">
        <w:rPr>
          <w:rFonts w:eastAsia="Times New Roman" w:cs="Calibri"/>
          <w:szCs w:val="24"/>
        </w:rPr>
        <w:t xml:space="preserve">využíván účelně a hospodárně k plnění funkcí státu a k výkonu stanovených činností. </w:t>
      </w:r>
      <w:r w:rsidR="009865E6" w:rsidRPr="00330BDC">
        <w:rPr>
          <w:rFonts w:eastAsia="Times New Roman" w:cs="Calibri"/>
          <w:szCs w:val="24"/>
        </w:rPr>
        <w:t>Avšak z</w:t>
      </w:r>
      <w:r w:rsidRPr="00555312">
        <w:rPr>
          <w:rFonts w:eastAsia="Times New Roman" w:cs="Calibri"/>
          <w:szCs w:val="24"/>
        </w:rPr>
        <w:t xml:space="preserve">měny ve využívání majetku evidovaného v CRAB a nakládání s ním se </w:t>
      </w:r>
      <w:r w:rsidR="009865E6" w:rsidRPr="00330BDC">
        <w:rPr>
          <w:rFonts w:eastAsia="Times New Roman" w:cs="Calibri"/>
          <w:szCs w:val="24"/>
        </w:rPr>
        <w:t>dle §</w:t>
      </w:r>
      <w:r w:rsidR="00907586">
        <w:rPr>
          <w:rFonts w:eastAsia="Times New Roman" w:cs="Calibri"/>
          <w:szCs w:val="24"/>
        </w:rPr>
        <w:t> </w:t>
      </w:r>
      <w:r w:rsidR="009865E6" w:rsidRPr="00330BDC">
        <w:rPr>
          <w:rFonts w:eastAsia="Times New Roman" w:cs="Calibri"/>
          <w:szCs w:val="24"/>
        </w:rPr>
        <w:t xml:space="preserve">14a odst. 4 téhož zákona </w:t>
      </w:r>
      <w:r w:rsidRPr="00555312">
        <w:rPr>
          <w:rFonts w:eastAsia="Times New Roman" w:cs="Calibri"/>
          <w:szCs w:val="24"/>
        </w:rPr>
        <w:t>uskutečňují na</w:t>
      </w:r>
      <w:r w:rsidR="00765E12">
        <w:rPr>
          <w:rFonts w:eastAsia="Times New Roman" w:cs="Calibri"/>
          <w:szCs w:val="24"/>
        </w:rPr>
        <w:t xml:space="preserve"> </w:t>
      </w:r>
      <w:r w:rsidRPr="00555312">
        <w:rPr>
          <w:rFonts w:eastAsia="Times New Roman" w:cs="Calibri"/>
          <w:szCs w:val="24"/>
        </w:rPr>
        <w:t>základě rozhodnutí vlády ČR nebo jí pověřeného poradního a koordinačního orgánu (tj.</w:t>
      </w:r>
      <w:r w:rsidR="008370BB">
        <w:rPr>
          <w:rFonts w:eastAsia="Times New Roman" w:cs="Calibri"/>
          <w:szCs w:val="24"/>
        </w:rPr>
        <w:t> </w:t>
      </w:r>
      <w:r w:rsidRPr="00555312">
        <w:rPr>
          <w:rFonts w:eastAsia="Times New Roman" w:cs="Calibri"/>
          <w:szCs w:val="24"/>
        </w:rPr>
        <w:t>VDK či RDK), přičemž rozhodnutí vlády ČR nebo jí pověřen</w:t>
      </w:r>
      <w:r w:rsidR="00E17747" w:rsidRPr="00555312">
        <w:rPr>
          <w:rFonts w:eastAsia="Times New Roman" w:cs="Calibri"/>
          <w:szCs w:val="24"/>
        </w:rPr>
        <w:t>ého poradního orgánu nenahrazuje</w:t>
      </w:r>
      <w:r w:rsidRPr="00555312">
        <w:rPr>
          <w:rFonts w:eastAsia="Times New Roman" w:cs="Calibri"/>
          <w:szCs w:val="24"/>
        </w:rPr>
        <w:t xml:space="preserve"> právní nebo jiné jednání podle zákona č. 219/2000 Sb.</w:t>
      </w:r>
      <w:r w:rsidR="00312F5A" w:rsidRPr="00555312">
        <w:rPr>
          <w:rFonts w:eastAsia="Times New Roman" w:cs="Calibri"/>
          <w:szCs w:val="24"/>
        </w:rPr>
        <w:t xml:space="preserve"> </w:t>
      </w:r>
      <w:r w:rsidR="000E6F38" w:rsidRPr="00330BDC">
        <w:rPr>
          <w:rFonts w:eastAsia="Times New Roman" w:cs="Calibri"/>
          <w:szCs w:val="24"/>
        </w:rPr>
        <w:t xml:space="preserve">V důsledku takové právní úpravy </w:t>
      </w:r>
      <w:r w:rsidR="00312F5A" w:rsidRPr="00555312">
        <w:rPr>
          <w:rFonts w:eastAsia="Times New Roman" w:cs="Calibri"/>
          <w:szCs w:val="24"/>
        </w:rPr>
        <w:t xml:space="preserve">dochází k oddělení </w:t>
      </w:r>
      <w:r w:rsidR="00E17747" w:rsidRPr="00555312">
        <w:rPr>
          <w:rFonts w:eastAsia="Times New Roman" w:cs="Calibri"/>
          <w:szCs w:val="24"/>
        </w:rPr>
        <w:t>kompetencí a odpovědností</w:t>
      </w:r>
      <w:r w:rsidR="00312F5A" w:rsidRPr="00555312">
        <w:rPr>
          <w:rFonts w:eastAsia="Times New Roman" w:cs="Calibri"/>
          <w:szCs w:val="24"/>
        </w:rPr>
        <w:t xml:space="preserve"> mezi tím, kdo odpovídá za </w:t>
      </w:r>
      <w:r w:rsidR="007C5C49" w:rsidRPr="00330BDC">
        <w:rPr>
          <w:rFonts w:eastAsia="Times New Roman" w:cs="Calibri"/>
          <w:szCs w:val="24"/>
        </w:rPr>
        <w:t>účelné a</w:t>
      </w:r>
      <w:r w:rsidR="00426815">
        <w:rPr>
          <w:rFonts w:eastAsia="Times New Roman" w:cs="Calibri"/>
          <w:szCs w:val="24"/>
        </w:rPr>
        <w:t> </w:t>
      </w:r>
      <w:r w:rsidR="007C5C49" w:rsidRPr="00330BDC">
        <w:rPr>
          <w:rFonts w:eastAsia="Times New Roman" w:cs="Calibri"/>
          <w:szCs w:val="24"/>
        </w:rPr>
        <w:t xml:space="preserve">hospodárné využití nemovitého majetku </w:t>
      </w:r>
      <w:r w:rsidR="00312F5A" w:rsidRPr="00555312">
        <w:rPr>
          <w:rFonts w:eastAsia="Times New Roman" w:cs="Calibri"/>
          <w:szCs w:val="24"/>
        </w:rPr>
        <w:t>(</w:t>
      </w:r>
      <w:r w:rsidR="00C65A29" w:rsidRPr="00555312">
        <w:rPr>
          <w:rFonts w:eastAsia="Times New Roman" w:cs="Calibri"/>
          <w:szCs w:val="24"/>
        </w:rPr>
        <w:t xml:space="preserve">vedoucí </w:t>
      </w:r>
      <w:r w:rsidR="00312F5A" w:rsidRPr="00555312">
        <w:rPr>
          <w:rFonts w:eastAsia="Times New Roman" w:cs="Calibri"/>
          <w:szCs w:val="24"/>
        </w:rPr>
        <w:t>státní instituce</w:t>
      </w:r>
      <w:r w:rsidR="00312F5A" w:rsidRPr="00330BDC">
        <w:rPr>
          <w:rFonts w:eastAsia="Times New Roman" w:cs="Calibri"/>
          <w:szCs w:val="24"/>
          <w:vertAlign w:val="superscript"/>
        </w:rPr>
        <w:t>3</w:t>
      </w:r>
      <w:r w:rsidR="00312F5A" w:rsidRPr="00555312">
        <w:rPr>
          <w:rFonts w:eastAsia="Times New Roman" w:cs="Calibri"/>
          <w:szCs w:val="24"/>
        </w:rPr>
        <w:t>)</w:t>
      </w:r>
      <w:r w:rsidR="00765E12">
        <w:rPr>
          <w:rFonts w:eastAsia="Times New Roman" w:cs="Calibri"/>
          <w:szCs w:val="24"/>
        </w:rPr>
        <w:t>,</w:t>
      </w:r>
      <w:r w:rsidR="00312F5A" w:rsidRPr="00555312">
        <w:rPr>
          <w:rFonts w:eastAsia="Times New Roman" w:cs="Calibri"/>
          <w:szCs w:val="24"/>
        </w:rPr>
        <w:t xml:space="preserve"> a tím, kdo rozhoduje </w:t>
      </w:r>
      <w:r w:rsidR="007C5C49" w:rsidRPr="00330BDC">
        <w:rPr>
          <w:rFonts w:eastAsia="Times New Roman" w:cs="Calibri"/>
          <w:szCs w:val="24"/>
        </w:rPr>
        <w:t>o</w:t>
      </w:r>
      <w:r w:rsidR="00426815">
        <w:rPr>
          <w:rFonts w:eastAsia="Times New Roman" w:cs="Calibri"/>
          <w:szCs w:val="24"/>
        </w:rPr>
        <w:t> </w:t>
      </w:r>
      <w:r w:rsidR="007C5C49" w:rsidRPr="00330BDC">
        <w:rPr>
          <w:rFonts w:eastAsia="Times New Roman" w:cs="Calibri"/>
          <w:szCs w:val="24"/>
        </w:rPr>
        <w:t xml:space="preserve">případných změnách v jeho využívání a nakládání s ním </w:t>
      </w:r>
      <w:r w:rsidR="00312F5A" w:rsidRPr="00555312">
        <w:rPr>
          <w:rFonts w:eastAsia="Times New Roman" w:cs="Calibri"/>
          <w:szCs w:val="24"/>
        </w:rPr>
        <w:t xml:space="preserve">(vláda ČR, VDK či RDK). </w:t>
      </w:r>
    </w:p>
    <w:p w14:paraId="10413CB8" w14:textId="751593A9" w:rsidR="00DB0746" w:rsidRDefault="00312F5A" w:rsidP="009B5258">
      <w:pPr>
        <w:rPr>
          <w:rFonts w:eastAsia="Times New Roman" w:cs="Calibri"/>
          <w:szCs w:val="24"/>
        </w:rPr>
      </w:pPr>
      <w:r w:rsidRPr="00555312">
        <w:rPr>
          <w:rFonts w:eastAsia="Times New Roman" w:cs="Calibri"/>
          <w:szCs w:val="24"/>
        </w:rPr>
        <w:t>S</w:t>
      </w:r>
      <w:r w:rsidR="00E17747" w:rsidRPr="00555312">
        <w:rPr>
          <w:rFonts w:eastAsia="Times New Roman" w:cs="Calibri"/>
          <w:szCs w:val="24"/>
        </w:rPr>
        <w:t> hospodařením a nakládáním s nemovitým majetkem úzce</w:t>
      </w:r>
      <w:r w:rsidRPr="00555312">
        <w:rPr>
          <w:rFonts w:eastAsia="Times New Roman" w:cs="Calibri"/>
          <w:szCs w:val="24"/>
        </w:rPr>
        <w:t xml:space="preserve"> souvisí také náklady na </w:t>
      </w:r>
      <w:r w:rsidR="00E17747" w:rsidRPr="00555312">
        <w:rPr>
          <w:rFonts w:eastAsia="Times New Roman" w:cs="Calibri"/>
          <w:szCs w:val="24"/>
        </w:rPr>
        <w:t xml:space="preserve">jeho </w:t>
      </w:r>
      <w:r w:rsidRPr="00555312">
        <w:rPr>
          <w:rFonts w:eastAsia="Times New Roman" w:cs="Calibri"/>
          <w:szCs w:val="24"/>
        </w:rPr>
        <w:t>správu, jelikož státní instituce</w:t>
      </w:r>
      <w:r w:rsidRPr="00330BDC">
        <w:rPr>
          <w:rFonts w:eastAsia="Times New Roman" w:cs="Calibri"/>
          <w:szCs w:val="24"/>
          <w:vertAlign w:val="superscript"/>
        </w:rPr>
        <w:t>3</w:t>
      </w:r>
      <w:r w:rsidRPr="00555312">
        <w:rPr>
          <w:rFonts w:eastAsia="Times New Roman" w:cs="Calibri"/>
          <w:szCs w:val="24"/>
        </w:rPr>
        <w:t xml:space="preserve"> je povinna </w:t>
      </w:r>
      <w:r w:rsidR="00D2394D" w:rsidRPr="00555312">
        <w:rPr>
          <w:rFonts w:eastAsia="Times New Roman" w:cs="Calibri"/>
          <w:szCs w:val="24"/>
        </w:rPr>
        <w:t>pečovat o zachování majetku a jeho údržbu</w:t>
      </w:r>
      <w:r w:rsidR="00D2394D" w:rsidRPr="00555312">
        <w:rPr>
          <w:rStyle w:val="Znakapoznpodarou"/>
          <w:rFonts w:eastAsia="Times New Roman" w:cs="Calibri"/>
          <w:szCs w:val="24"/>
        </w:rPr>
        <w:footnoteReference w:id="42"/>
      </w:r>
      <w:r w:rsidR="00D2394D" w:rsidRPr="00555312">
        <w:rPr>
          <w:rFonts w:eastAsia="Times New Roman" w:cs="Calibri"/>
          <w:szCs w:val="24"/>
        </w:rPr>
        <w:t xml:space="preserve">. </w:t>
      </w:r>
      <w:r w:rsidR="00D2394D" w:rsidRPr="00330BDC">
        <w:rPr>
          <w:rFonts w:eastAsia="Times New Roman" w:cs="Calibri"/>
          <w:szCs w:val="24"/>
        </w:rPr>
        <w:t>U</w:t>
      </w:r>
      <w:r w:rsidRPr="00555312">
        <w:rPr>
          <w:rFonts w:eastAsia="Times New Roman" w:cs="Calibri"/>
          <w:szCs w:val="24"/>
        </w:rPr>
        <w:t xml:space="preserve">rčené úkoly </w:t>
      </w:r>
      <w:r w:rsidR="00D2394D" w:rsidRPr="00330BDC">
        <w:rPr>
          <w:rFonts w:eastAsia="Times New Roman" w:cs="Calibri"/>
          <w:szCs w:val="24"/>
        </w:rPr>
        <w:t xml:space="preserve">s tím spojené je státní instituce povinna plnit </w:t>
      </w:r>
      <w:r w:rsidRPr="00555312">
        <w:rPr>
          <w:rFonts w:eastAsia="Times New Roman" w:cs="Calibri"/>
          <w:szCs w:val="24"/>
        </w:rPr>
        <w:t>nejhospodárnějším způsobem</w:t>
      </w:r>
      <w:r w:rsidRPr="00555312">
        <w:rPr>
          <w:rStyle w:val="Znakapoznpodarou"/>
          <w:rFonts w:eastAsia="Times New Roman" w:cs="Calibri"/>
          <w:szCs w:val="24"/>
        </w:rPr>
        <w:footnoteReference w:id="43"/>
      </w:r>
      <w:r w:rsidRPr="00555312">
        <w:rPr>
          <w:rFonts w:eastAsia="Times New Roman" w:cs="Calibri"/>
          <w:szCs w:val="24"/>
        </w:rPr>
        <w:t xml:space="preserve">. </w:t>
      </w:r>
    </w:p>
    <w:p w14:paraId="0AF6D1D7" w14:textId="77E077B8" w:rsidR="009B5258" w:rsidRDefault="00354CD6" w:rsidP="00BF31E7">
      <w:r>
        <w:t>D</w:t>
      </w:r>
      <w:r w:rsidR="006305AF" w:rsidRPr="00F8635D">
        <w:t xml:space="preserve">o </w:t>
      </w:r>
      <w:r w:rsidR="00F953B1" w:rsidRPr="00F8635D">
        <w:t>30. června 2017</w:t>
      </w:r>
      <w:r w:rsidR="006305AF" w:rsidRPr="00F8635D">
        <w:t xml:space="preserve"> nebyl</w:t>
      </w:r>
      <w:r w:rsidR="009B5258" w:rsidRPr="007567EE">
        <w:t xml:space="preserve"> stanoven minimální rozsah změny dislokace, který podléhá schválení VD</w:t>
      </w:r>
      <w:r w:rsidR="00E6563E">
        <w:t>K či RDK. S</w:t>
      </w:r>
      <w:r w:rsidR="009B5258">
        <w:t>tátní instituce</w:t>
      </w:r>
      <w:r w:rsidR="00711B89" w:rsidRPr="00FD1EC9">
        <w:rPr>
          <w:rFonts w:ascii="Calibri" w:eastAsia="Times New Roman" w:hAnsi="Calibri" w:cs="Times New Roman"/>
          <w:szCs w:val="24"/>
          <w:vertAlign w:val="superscript"/>
        </w:rPr>
        <w:t>3</w:t>
      </w:r>
      <w:r w:rsidR="009B5258">
        <w:t xml:space="preserve"> </w:t>
      </w:r>
      <w:r w:rsidR="009B5258" w:rsidRPr="007567EE">
        <w:t>tak byly povinny předkládat návrhy včetně všech požadovaných náležitostí i</w:t>
      </w:r>
      <w:r w:rsidR="006D5A1E">
        <w:t> </w:t>
      </w:r>
      <w:r w:rsidR="009B5258" w:rsidRPr="007567EE">
        <w:t>v</w:t>
      </w:r>
      <w:r w:rsidR="006D5A1E">
        <w:t> </w:t>
      </w:r>
      <w:r w:rsidR="009B5258" w:rsidRPr="007567EE">
        <w:t xml:space="preserve">případě změny dislokace jednoho zaměstnance, případně plochy v </w:t>
      </w:r>
      <w:r w:rsidR="006D5A1E">
        <w:t>jednotkách</w:t>
      </w:r>
      <w:r w:rsidR="009B5258" w:rsidRPr="007567EE">
        <w:t xml:space="preserve"> metrů čtverečních.</w:t>
      </w:r>
      <w:r w:rsidR="009B5258">
        <w:t xml:space="preserve"> </w:t>
      </w:r>
      <w:r w:rsidR="00324F72">
        <w:t>V</w:t>
      </w:r>
      <w:r w:rsidR="009B5258">
        <w:t xml:space="preserve">DK a </w:t>
      </w:r>
      <w:r w:rsidR="00324F72">
        <w:t>R</w:t>
      </w:r>
      <w:r w:rsidR="009B5258">
        <w:t>DK například v roce 2016 rozhodovaly o návrhu na</w:t>
      </w:r>
      <w:r w:rsidR="00253623">
        <w:t xml:space="preserve"> </w:t>
      </w:r>
      <w:r w:rsidR="009B5258">
        <w:t>zvýšení najímané plochy o 76 m</w:t>
      </w:r>
      <w:r w:rsidR="009B5258" w:rsidRPr="00FA6289">
        <w:rPr>
          <w:vertAlign w:val="superscript"/>
        </w:rPr>
        <w:t>2</w:t>
      </w:r>
      <w:r w:rsidR="009B5258">
        <w:t xml:space="preserve">, která vznikne přestěhováním do jiného patra najímaného objektu </w:t>
      </w:r>
      <w:r w:rsidR="009B5258" w:rsidRPr="00F8635D">
        <w:t>a ne</w:t>
      </w:r>
      <w:r w:rsidR="006D5A1E" w:rsidRPr="00F8635D">
        <w:t>představ</w:t>
      </w:r>
      <w:r w:rsidR="00D8127C" w:rsidRPr="00F8635D">
        <w:t>uje</w:t>
      </w:r>
      <w:r w:rsidR="009B5258" w:rsidRPr="00F8635D">
        <w:t xml:space="preserve"> zvýšení výdajů za</w:t>
      </w:r>
      <w:r w:rsidR="00253623">
        <w:t xml:space="preserve"> </w:t>
      </w:r>
      <w:r w:rsidR="009B5258" w:rsidRPr="00F8635D">
        <w:t>nájemné</w:t>
      </w:r>
      <w:r w:rsidR="00253623">
        <w:t>,</w:t>
      </w:r>
      <w:r w:rsidR="00324F72">
        <w:t xml:space="preserve"> a</w:t>
      </w:r>
      <w:r w:rsidR="009B5258" w:rsidRPr="00F8635D">
        <w:t xml:space="preserve"> </w:t>
      </w:r>
      <w:r w:rsidR="00253623">
        <w:t xml:space="preserve">dále </w:t>
      </w:r>
      <w:r w:rsidR="009B5258" w:rsidRPr="00F8635D">
        <w:t>o návrhu na rozšíření najímané plochy u</w:t>
      </w:r>
      <w:r w:rsidR="00487A15" w:rsidRPr="00F8635D">
        <w:t> </w:t>
      </w:r>
      <w:r w:rsidR="009B5258" w:rsidRPr="00F8635D">
        <w:t xml:space="preserve">nestátního objektu o </w:t>
      </w:r>
      <w:r w:rsidR="00907586" w:rsidRPr="00F8635D">
        <w:t>35</w:t>
      </w:r>
      <w:r w:rsidR="00907586">
        <w:t> </w:t>
      </w:r>
      <w:r w:rsidR="009B5258" w:rsidRPr="00F8635D">
        <w:t>m</w:t>
      </w:r>
      <w:r w:rsidR="009B5258" w:rsidRPr="00F8635D">
        <w:rPr>
          <w:vertAlign w:val="superscript"/>
        </w:rPr>
        <w:t>2</w:t>
      </w:r>
      <w:r w:rsidR="009B5258" w:rsidRPr="00F8635D">
        <w:t xml:space="preserve">. </w:t>
      </w:r>
      <w:r w:rsidR="00BF31E7" w:rsidRPr="00F8635D">
        <w:t>Od 1. července 2017</w:t>
      </w:r>
      <w:r w:rsidR="00BF31E7" w:rsidRPr="00F8635D">
        <w:rPr>
          <w:rStyle w:val="Znakapoznpodarou"/>
        </w:rPr>
        <w:footnoteReference w:id="44"/>
      </w:r>
      <w:r w:rsidR="00BF31E7" w:rsidRPr="00F8635D">
        <w:t xml:space="preserve"> VDK a RDK berou </w:t>
      </w:r>
      <w:r w:rsidR="00426815" w:rsidRPr="00F8635D">
        <w:t>na</w:t>
      </w:r>
      <w:r w:rsidR="00253623">
        <w:t xml:space="preserve"> </w:t>
      </w:r>
      <w:r w:rsidR="00BF31E7" w:rsidRPr="00F8635D">
        <w:t xml:space="preserve">vědomí informace státních institucí o ukončení dislokace nestátního subjektu </w:t>
      </w:r>
      <w:r w:rsidR="00426815" w:rsidRPr="00F8635D">
        <w:t>v</w:t>
      </w:r>
      <w:r w:rsidR="00426815">
        <w:t> </w:t>
      </w:r>
      <w:r w:rsidR="00BF31E7" w:rsidRPr="00F8635D">
        <w:t>administrativní budově a změně charakteru plochy nepřevyšující výměru 20 m</w:t>
      </w:r>
      <w:r w:rsidR="00BF31E7" w:rsidRPr="00F8635D">
        <w:rPr>
          <w:vertAlign w:val="superscript"/>
        </w:rPr>
        <w:t>2</w:t>
      </w:r>
      <w:r w:rsidR="00BF31E7" w:rsidRPr="00F8635D">
        <w:t xml:space="preserve"> a o změně dislokace rozhodnou při následujícím projednání návrhu na dispozici s dotčenou administrativní budovou.</w:t>
      </w:r>
    </w:p>
    <w:p w14:paraId="191FB37F" w14:textId="5A5A29C8" w:rsidR="009B5258" w:rsidRPr="00414BAA" w:rsidRDefault="009B5258" w:rsidP="009B5258">
      <w:pPr>
        <w:rPr>
          <w:rFonts w:ascii="Calibri" w:eastAsia="Times New Roman" w:hAnsi="Calibri" w:cs="Times New Roman"/>
          <w:szCs w:val="24"/>
        </w:rPr>
      </w:pPr>
      <w:r>
        <w:t xml:space="preserve">Dle údajů evidovaných v CRAB za rok 2016 bylo </w:t>
      </w:r>
      <w:r w:rsidR="00F2134D" w:rsidRPr="00F2134D">
        <w:t>107</w:t>
      </w:r>
      <w:r w:rsidR="00F2134D">
        <w:t xml:space="preserve"> tis. m</w:t>
      </w:r>
      <w:r w:rsidR="00F2134D" w:rsidRPr="00330BDC">
        <w:rPr>
          <w:vertAlign w:val="superscript"/>
        </w:rPr>
        <w:t>2</w:t>
      </w:r>
      <w:r w:rsidR="00D5485E">
        <w:t xml:space="preserve"> kancelář</w:t>
      </w:r>
      <w:r w:rsidR="00F2134D">
        <w:t xml:space="preserve">ské plochy nevyužito, přičemž nebylo využito </w:t>
      </w:r>
      <w:r>
        <w:t>85 tis. m</w:t>
      </w:r>
      <w:r w:rsidRPr="00446E23">
        <w:rPr>
          <w:vertAlign w:val="superscript"/>
        </w:rPr>
        <w:t>2</w:t>
      </w:r>
      <w:r>
        <w:t xml:space="preserve"> kancelářské plochy administrativních objektů ve vlastnictví </w:t>
      </w:r>
      <w:r w:rsidR="0033004E">
        <w:t>státu</w:t>
      </w:r>
      <w:r>
        <w:t xml:space="preserve"> (tj. 6 % kancelářských ploch evidovaných v CRAB), z toho 12 tis. m</w:t>
      </w:r>
      <w:r w:rsidRPr="009967E4">
        <w:rPr>
          <w:vertAlign w:val="superscript"/>
        </w:rPr>
        <w:t>2</w:t>
      </w:r>
      <w:r>
        <w:t xml:space="preserve"> na území h</w:t>
      </w:r>
      <w:r w:rsidR="00C5534A">
        <w:t xml:space="preserve">lavního města </w:t>
      </w:r>
      <w:r w:rsidR="00C5534A" w:rsidRPr="00F8635D">
        <w:t xml:space="preserve">Prahy. </w:t>
      </w:r>
      <w:r w:rsidR="009D7C5B" w:rsidRPr="00F8635D">
        <w:t>Avšak v</w:t>
      </w:r>
      <w:r w:rsidRPr="00F8635D">
        <w:t> CRAB</w:t>
      </w:r>
      <w:r>
        <w:t xml:space="preserve"> nelze rozlišit, zda nevyužité plochy jsou v rámci jednoho patra či v různých částech budovy a zda je objekt </w:t>
      </w:r>
      <w:r w:rsidR="00BE59C5">
        <w:t>způsobilý</w:t>
      </w:r>
      <w:r>
        <w:t xml:space="preserve"> k užívání nebo vyžaduje rekonstrukci. Některé státní instituce z důvodu </w:t>
      </w:r>
      <w:r w:rsidR="00962CAF">
        <w:t xml:space="preserve">nedostatku </w:t>
      </w:r>
      <w:r>
        <w:t xml:space="preserve">vhodných prostor pro umístění jejich </w:t>
      </w:r>
      <w:r>
        <w:lastRenderedPageBreak/>
        <w:t xml:space="preserve">zaměstnanců </w:t>
      </w:r>
      <w:r w:rsidR="00962CAF">
        <w:t>navrhly</w:t>
      </w:r>
      <w:r>
        <w:t xml:space="preserve"> výstavbu nových budov. MV plán</w:t>
      </w:r>
      <w:r w:rsidR="006D5A1E">
        <w:t>uje</w:t>
      </w:r>
      <w:r w:rsidRPr="00682610">
        <w:t xml:space="preserve"> vybudování nového administrativního komplexu budov v areálu Policejního prezidia ČR v Praze 5 – Z</w:t>
      </w:r>
      <w:r>
        <w:t>braslav</w:t>
      </w:r>
      <w:r w:rsidRPr="00682610">
        <w:t>.</w:t>
      </w:r>
      <w:r>
        <w:t xml:space="preserve"> V KA č. 16/22</w:t>
      </w:r>
      <w:r w:rsidR="003E1879">
        <w:rPr>
          <w:rStyle w:val="Znakapoznpodarou"/>
        </w:rPr>
        <w:footnoteReference w:id="45"/>
      </w:r>
      <w:r>
        <w:t xml:space="preserve"> NKÚ </w:t>
      </w:r>
      <w:r w:rsidR="00F16E9A">
        <w:t>zjistil</w:t>
      </w:r>
      <w:r>
        <w:t>, že Ř</w:t>
      </w:r>
      <w:r w:rsidR="00D8127C">
        <w:t>editelství silnic a dálnic</w:t>
      </w:r>
      <w:r>
        <w:t xml:space="preserve"> </w:t>
      </w:r>
      <w:r w:rsidR="00D8127C">
        <w:t xml:space="preserve">ČR </w:t>
      </w:r>
      <w:r>
        <w:t xml:space="preserve">jednalo s ÚZSVM ohledně umístění svých zaměstnanců a po sdělení ÚZSVM, že nedisponuje vhodnou administrativní budovou, začalo </w:t>
      </w:r>
      <w:r w:rsidR="00D8127C">
        <w:t>Ředitelství silnic a dálnic ČR</w:t>
      </w:r>
      <w:r>
        <w:t xml:space="preserve"> jednat o záměru výstavby vlastního sídla</w:t>
      </w:r>
      <w:r w:rsidRPr="00171D55">
        <w:rPr>
          <w:szCs w:val="24"/>
        </w:rPr>
        <w:t xml:space="preserve"> s</w:t>
      </w:r>
      <w:r w:rsidR="00F16E9A">
        <w:rPr>
          <w:szCs w:val="24"/>
        </w:rPr>
        <w:t> </w:t>
      </w:r>
      <w:r w:rsidRPr="00171D55">
        <w:rPr>
          <w:szCs w:val="24"/>
        </w:rPr>
        <w:t xml:space="preserve">Ministerstvem dopravy. </w:t>
      </w:r>
    </w:p>
    <w:p w14:paraId="5814BAC0" w14:textId="1B83390B" w:rsidR="00A33DD4" w:rsidRPr="00B95B8A" w:rsidRDefault="00A33DD4" w:rsidP="002324A0">
      <w:pPr>
        <w:pStyle w:val="Nadpis3"/>
        <w:tabs>
          <w:tab w:val="clear" w:pos="425"/>
          <w:tab w:val="clear" w:pos="567"/>
        </w:tabs>
        <w:ind w:left="284" w:hanging="284"/>
        <w:jc w:val="left"/>
      </w:pPr>
      <w:r>
        <w:t>Centrální evidence nemovitého majetku</w:t>
      </w:r>
      <w:r w:rsidRPr="005C30C9">
        <w:t xml:space="preserve"> </w:t>
      </w:r>
      <w:r>
        <w:t xml:space="preserve">nefunguje </w:t>
      </w:r>
      <w:r w:rsidRPr="005C30C9">
        <w:t xml:space="preserve">tak, aby </w:t>
      </w:r>
      <w:r>
        <w:t xml:space="preserve">mohla sloužit pro </w:t>
      </w:r>
      <w:r w:rsidR="00253623">
        <w:t>po</w:t>
      </w:r>
      <w:r>
        <w:t xml:space="preserve">rovnání objektů </w:t>
      </w:r>
      <w:r w:rsidRPr="005C30C9">
        <w:t>za</w:t>
      </w:r>
      <w:r w:rsidR="00253623">
        <w:t xml:space="preserve"> </w:t>
      </w:r>
      <w:r w:rsidRPr="00B95B8A">
        <w:t>účelem optimalizace správy nemovitého majetku</w:t>
      </w:r>
    </w:p>
    <w:p w14:paraId="44FFDA75" w14:textId="6F1FA0A0" w:rsidR="0094582B" w:rsidRDefault="0094582B" w:rsidP="002A21B0">
      <w:r w:rsidRPr="00B95B8A">
        <w:t>Státní instituce</w:t>
      </w:r>
      <w:r w:rsidR="00711B89" w:rsidRPr="00B95B8A">
        <w:rPr>
          <w:rFonts w:ascii="Calibri" w:eastAsia="Times New Roman" w:hAnsi="Calibri" w:cs="Times New Roman"/>
          <w:szCs w:val="24"/>
          <w:vertAlign w:val="superscript"/>
        </w:rPr>
        <w:t>3</w:t>
      </w:r>
      <w:r w:rsidRPr="00B95B8A">
        <w:t xml:space="preserve"> mají dle </w:t>
      </w:r>
      <w:r w:rsidR="009C655A" w:rsidRPr="00B95B8A">
        <w:t>datové struktury CRAB</w:t>
      </w:r>
      <w:r w:rsidR="009C655A" w:rsidRPr="00B95B8A">
        <w:rPr>
          <w:rStyle w:val="Znakapoznpodarou"/>
        </w:rPr>
        <w:footnoteReference w:id="46"/>
      </w:r>
      <w:r w:rsidR="00D0363A" w:rsidRPr="00B95B8A">
        <w:t xml:space="preserve"> </w:t>
      </w:r>
      <w:r w:rsidRPr="00B95B8A">
        <w:t>povinnost ke každému objektu v CRAB evidovat nejméně 255 údajů. Nicméně ani pomocí takového množství</w:t>
      </w:r>
      <w:r>
        <w:t xml:space="preserve"> údajů nelze rozlišit objekty sloužící pro specifické účely (např. policejní stanice, hasičské stanice, technické objekty a</w:t>
      </w:r>
      <w:r w:rsidR="00E70477">
        <w:t>pod</w:t>
      </w:r>
      <w:r>
        <w:t>.). Při</w:t>
      </w:r>
      <w:r w:rsidR="00253623">
        <w:t xml:space="preserve"> </w:t>
      </w:r>
      <w:r>
        <w:t xml:space="preserve">vzájemném </w:t>
      </w:r>
      <w:r w:rsidR="00253623">
        <w:t>po</w:t>
      </w:r>
      <w:r>
        <w:t>rovnání objektů evidovaných v CRAB tak není možné zohlednit obdobný charakter objektu dle činností v něm vykonávaných.</w:t>
      </w:r>
      <w:r w:rsidR="002A21B0" w:rsidRPr="002A21B0">
        <w:t xml:space="preserve"> </w:t>
      </w:r>
      <w:r w:rsidR="003A1F92">
        <w:t xml:space="preserve">Rozsah a strukturu údajů vedených v CRAB a </w:t>
      </w:r>
      <w:r w:rsidR="003A1F92" w:rsidRPr="006A3C8E">
        <w:t>termíny pro jejich poskytování</w:t>
      </w:r>
      <w:r w:rsidR="003A1F92">
        <w:t xml:space="preserve"> stanoví od dubna 2017 </w:t>
      </w:r>
      <w:r w:rsidR="002A21B0">
        <w:t>nařízení vlády</w:t>
      </w:r>
      <w:r w:rsidR="002A21B0">
        <w:rPr>
          <w:rStyle w:val="Znakapoznpodarou"/>
        </w:rPr>
        <w:footnoteReference w:id="47"/>
      </w:r>
      <w:r w:rsidR="00324F72">
        <w:t xml:space="preserve">, ale </w:t>
      </w:r>
      <w:r w:rsidR="00957C0A">
        <w:t xml:space="preserve">objekty sloužící pro specifické účely nelze dle </w:t>
      </w:r>
      <w:r w:rsidR="009861F5">
        <w:t xml:space="preserve">těchto </w:t>
      </w:r>
      <w:r w:rsidR="00957C0A">
        <w:t xml:space="preserve">údajů </w:t>
      </w:r>
      <w:r w:rsidR="009861F5">
        <w:t xml:space="preserve">stále </w:t>
      </w:r>
      <w:r w:rsidR="00957C0A">
        <w:t>rozlišit</w:t>
      </w:r>
      <w:r w:rsidR="003A1F92">
        <w:t>.</w:t>
      </w:r>
    </w:p>
    <w:p w14:paraId="266C9B63" w14:textId="2B6208B9" w:rsidR="0094582B" w:rsidRDefault="0094582B" w:rsidP="0094582B">
      <w:r>
        <w:t xml:space="preserve">O evidenci jednotlivých údajů v CRAB rozhodl </w:t>
      </w:r>
      <w:r w:rsidR="003E05D1">
        <w:t xml:space="preserve">v roce 2011 </w:t>
      </w:r>
      <w:r>
        <w:t>projektový tým, který byl tvořen ze</w:t>
      </w:r>
      <w:r w:rsidR="00EE3CD2">
        <w:t xml:space="preserve"> </w:t>
      </w:r>
      <w:r>
        <w:t>zástupců ÚZSVM, dodavatele CRAB a ze zástupců vybraných ministerstev</w:t>
      </w:r>
      <w:r w:rsidR="00F41558">
        <w:t xml:space="preserve"> včetně </w:t>
      </w:r>
      <w:r>
        <w:t xml:space="preserve">MV. </w:t>
      </w:r>
      <w:r w:rsidRPr="004C5926">
        <w:rPr>
          <w:rFonts w:ascii="Calibri" w:eastAsia="Times New Roman" w:hAnsi="Calibri" w:cs="Times New Roman"/>
          <w:szCs w:val="24"/>
        </w:rPr>
        <w:t xml:space="preserve">Pro evidenci ekonomických údajů </w:t>
      </w:r>
      <w:r>
        <w:rPr>
          <w:rFonts w:ascii="Calibri" w:eastAsia="Times New Roman" w:hAnsi="Calibri" w:cs="Times New Roman"/>
          <w:szCs w:val="24"/>
        </w:rPr>
        <w:t>projektový tým rozhodl</w:t>
      </w:r>
      <w:r w:rsidRPr="004C5926">
        <w:rPr>
          <w:rFonts w:ascii="Calibri" w:eastAsia="Times New Roman" w:hAnsi="Calibri" w:cs="Times New Roman"/>
          <w:szCs w:val="24"/>
        </w:rPr>
        <w:t xml:space="preserve"> evidovat výdajové položky spojené s jed</w:t>
      </w:r>
      <w:r>
        <w:rPr>
          <w:rFonts w:ascii="Calibri" w:eastAsia="Times New Roman" w:hAnsi="Calibri" w:cs="Times New Roman"/>
          <w:szCs w:val="24"/>
        </w:rPr>
        <w:t>notlivými objekty. Strukturu evidovaných údajů</w:t>
      </w:r>
      <w:r w:rsidRPr="004C5926">
        <w:rPr>
          <w:rFonts w:ascii="Calibri" w:eastAsia="Times New Roman" w:hAnsi="Calibri" w:cs="Times New Roman"/>
          <w:szCs w:val="24"/>
        </w:rPr>
        <w:t xml:space="preserve"> schválil vedoucí projektu</w:t>
      </w:r>
      <w:r>
        <w:rPr>
          <w:rFonts w:ascii="Calibri" w:eastAsia="Times New Roman" w:hAnsi="Calibri" w:cs="Times New Roman"/>
          <w:szCs w:val="24"/>
        </w:rPr>
        <w:t>, kterým byl zástupce ÚZSVM</w:t>
      </w:r>
      <w:r w:rsidRPr="004C5926">
        <w:rPr>
          <w:rFonts w:ascii="Calibri" w:eastAsia="Times New Roman" w:hAnsi="Calibri" w:cs="Times New Roman"/>
          <w:szCs w:val="24"/>
        </w:rPr>
        <w:t xml:space="preserve">. </w:t>
      </w:r>
    </w:p>
    <w:p w14:paraId="2F91F97C" w14:textId="6AF55894" w:rsidR="0094582B" w:rsidRDefault="0094582B" w:rsidP="0094582B">
      <w:pPr>
        <w:rPr>
          <w:lang w:eastAsia="cs-CZ"/>
        </w:rPr>
      </w:pPr>
      <w:r w:rsidRPr="00B95B8A">
        <w:rPr>
          <w:lang w:eastAsia="cs-CZ"/>
        </w:rPr>
        <w:t>Metodiky</w:t>
      </w:r>
      <w:r w:rsidR="00AE56E9" w:rsidRPr="00B95B8A">
        <w:rPr>
          <w:lang w:eastAsia="cs-CZ"/>
        </w:rPr>
        <w:t xml:space="preserve"> evidence dat</w:t>
      </w:r>
      <w:r w:rsidRPr="00B95B8A">
        <w:rPr>
          <w:lang w:eastAsia="cs-CZ"/>
        </w:rPr>
        <w:t xml:space="preserve"> u povinnosti evidovat výdaje odkazují na rozpočtovou skladbu</w:t>
      </w:r>
      <w:r w:rsidR="009D7C5B" w:rsidRPr="00B95B8A">
        <w:rPr>
          <w:rStyle w:val="Znakapoznpodarou"/>
          <w:lang w:eastAsia="cs-CZ"/>
        </w:rPr>
        <w:footnoteReference w:id="48"/>
      </w:r>
      <w:r w:rsidRPr="00B95B8A">
        <w:rPr>
          <w:lang w:eastAsia="cs-CZ"/>
        </w:rPr>
        <w:t xml:space="preserve"> s tím, že pokud účastníkem CRAB je organizace nepoužívající rozpočtovou skladbu</w:t>
      </w:r>
      <w:r w:rsidR="00EE3CD2">
        <w:rPr>
          <w:lang w:eastAsia="cs-CZ"/>
        </w:rPr>
        <w:t>,</w:t>
      </w:r>
      <w:r w:rsidRPr="00B95B8A">
        <w:rPr>
          <w:lang w:eastAsia="cs-CZ"/>
        </w:rPr>
        <w:t xml:space="preserve"> </w:t>
      </w:r>
      <w:r w:rsidR="00F41558" w:rsidRPr="00B95B8A">
        <w:rPr>
          <w:lang w:eastAsia="cs-CZ"/>
        </w:rPr>
        <w:t>vyplní</w:t>
      </w:r>
      <w:r w:rsidRPr="00B95B8A">
        <w:rPr>
          <w:lang w:eastAsia="cs-CZ"/>
        </w:rPr>
        <w:t xml:space="preserve"> jednotlivá pole hodnotami odpovídajícími popisované náplni. Sledov</w:t>
      </w:r>
      <w:r w:rsidR="00F41558" w:rsidRPr="00B95B8A">
        <w:rPr>
          <w:lang w:eastAsia="cs-CZ"/>
        </w:rPr>
        <w:t>ané</w:t>
      </w:r>
      <w:r w:rsidRPr="00B95B8A">
        <w:rPr>
          <w:lang w:eastAsia="cs-CZ"/>
        </w:rPr>
        <w:t xml:space="preserve"> výdaj</w:t>
      </w:r>
      <w:r w:rsidR="00F41558" w:rsidRPr="00B95B8A">
        <w:rPr>
          <w:lang w:eastAsia="cs-CZ"/>
        </w:rPr>
        <w:t>e</w:t>
      </w:r>
      <w:r w:rsidRPr="00B95B8A">
        <w:rPr>
          <w:lang w:eastAsia="cs-CZ"/>
        </w:rPr>
        <w:t xml:space="preserve"> na objekt nemusí </w:t>
      </w:r>
      <w:r w:rsidR="00F41558" w:rsidRPr="00B95B8A">
        <w:rPr>
          <w:lang w:eastAsia="cs-CZ"/>
        </w:rPr>
        <w:t>odpovídat</w:t>
      </w:r>
      <w:r w:rsidRPr="00B95B8A">
        <w:rPr>
          <w:lang w:eastAsia="cs-CZ"/>
        </w:rPr>
        <w:t xml:space="preserve"> </w:t>
      </w:r>
      <w:r w:rsidR="007F03FA" w:rsidRPr="00B95B8A">
        <w:rPr>
          <w:lang w:eastAsia="cs-CZ"/>
        </w:rPr>
        <w:t>nákladům na objekt v daném roce.</w:t>
      </w:r>
      <w:r w:rsidR="00BE59C5" w:rsidRPr="00B95B8A">
        <w:rPr>
          <w:lang w:eastAsia="cs-CZ"/>
        </w:rPr>
        <w:t xml:space="preserve"> </w:t>
      </w:r>
      <w:r w:rsidR="007F03FA" w:rsidRPr="00B95B8A">
        <w:rPr>
          <w:lang w:eastAsia="cs-CZ"/>
        </w:rPr>
        <w:t xml:space="preserve">Vzájemné </w:t>
      </w:r>
      <w:r w:rsidR="00BE59C5" w:rsidRPr="00B95B8A">
        <w:rPr>
          <w:lang w:eastAsia="cs-CZ"/>
        </w:rPr>
        <w:t xml:space="preserve">srovnání výdajů se </w:t>
      </w:r>
      <w:r w:rsidRPr="00B95B8A">
        <w:rPr>
          <w:lang w:eastAsia="cs-CZ"/>
        </w:rPr>
        <w:t>skutečn</w:t>
      </w:r>
      <w:r w:rsidR="007F03FA" w:rsidRPr="00B95B8A">
        <w:rPr>
          <w:lang w:eastAsia="cs-CZ"/>
        </w:rPr>
        <w:t>ou</w:t>
      </w:r>
      <w:r w:rsidRPr="00B95B8A">
        <w:rPr>
          <w:lang w:eastAsia="cs-CZ"/>
        </w:rPr>
        <w:t xml:space="preserve"> spotřeb</w:t>
      </w:r>
      <w:r w:rsidR="00BE59C5" w:rsidRPr="00B95B8A">
        <w:rPr>
          <w:lang w:eastAsia="cs-CZ"/>
        </w:rPr>
        <w:t>ou paliv a energií</w:t>
      </w:r>
      <w:r w:rsidR="007F03FA" w:rsidRPr="00B95B8A">
        <w:rPr>
          <w:lang w:eastAsia="cs-CZ"/>
        </w:rPr>
        <w:t xml:space="preserve"> je tak omezeno, jelikož se </w:t>
      </w:r>
      <w:r w:rsidRPr="00B95B8A">
        <w:rPr>
          <w:lang w:eastAsia="cs-CZ"/>
        </w:rPr>
        <w:t>nemusí vztahovat ke stejným obdobím.</w:t>
      </w:r>
      <w:r w:rsidRPr="00B95B8A">
        <w:t xml:space="preserve"> </w:t>
      </w:r>
      <w:r w:rsidR="00FA76AC" w:rsidRPr="00B95B8A">
        <w:t>Na vzorku budov u MV bylo zjištěno, že v roce 2015 byla spotřeba plynu v objektu 375 m</w:t>
      </w:r>
      <w:r w:rsidR="00FA76AC" w:rsidRPr="00B95B8A">
        <w:rPr>
          <w:vertAlign w:val="superscript"/>
        </w:rPr>
        <w:t>3</w:t>
      </w:r>
      <w:r w:rsidR="00FA76AC" w:rsidRPr="00B95B8A">
        <w:t xml:space="preserve"> a</w:t>
      </w:r>
      <w:r w:rsidR="00D53825" w:rsidRPr="00B95B8A">
        <w:t> </w:t>
      </w:r>
      <w:r w:rsidR="00FA76AC" w:rsidRPr="00B95B8A">
        <w:t>výdaje na plyn v roce 2015 v</w:t>
      </w:r>
      <w:r w:rsidR="005F1479" w:rsidRPr="00B95B8A">
        <w:t>ypočítané dle metodiky evidence dat v</w:t>
      </w:r>
      <w:r w:rsidR="00FA76AC" w:rsidRPr="00B95B8A">
        <w:t xml:space="preserve"> CRAB činily </w:t>
      </w:r>
      <w:r w:rsidR="002E6650">
        <w:br/>
      </w:r>
      <w:r w:rsidR="00FA76AC" w:rsidRPr="00B95B8A">
        <w:t>-373</w:t>
      </w:r>
      <w:r w:rsidR="002E6650">
        <w:t> </w:t>
      </w:r>
      <w:r w:rsidR="00FA76AC" w:rsidRPr="00B95B8A">
        <w:t>tis. Kč.</w:t>
      </w:r>
      <w:r w:rsidR="00FA76AC" w:rsidRPr="00B95B8A">
        <w:rPr>
          <w:rStyle w:val="Znakapoznpodarou"/>
        </w:rPr>
        <w:footnoteReference w:id="49"/>
      </w:r>
      <w:r w:rsidR="00FA76AC" w:rsidRPr="00B95B8A">
        <w:t xml:space="preserve"> V roce 2015 MV obdrželo přeplatek za období od</w:t>
      </w:r>
      <w:r w:rsidR="00D2455F" w:rsidRPr="00B95B8A">
        <w:t> </w:t>
      </w:r>
      <w:r w:rsidR="00FA76AC" w:rsidRPr="00B95B8A">
        <w:t xml:space="preserve">ledna 2014 do ledna 2015, který převyšoval zálohy zaplacené v roce 2015. </w:t>
      </w:r>
      <w:r w:rsidR="000D12B9" w:rsidRPr="00B95B8A">
        <w:t xml:space="preserve">Z tohoto důvodu nelze srovnávat výdaje se spotřebou v daném roce. </w:t>
      </w:r>
      <w:r w:rsidRPr="00B95B8A">
        <w:rPr>
          <w:lang w:eastAsia="cs-CZ"/>
        </w:rPr>
        <w:t xml:space="preserve">V CRAB nejsou </w:t>
      </w:r>
      <w:r w:rsidR="00F41558" w:rsidRPr="00B95B8A">
        <w:rPr>
          <w:lang w:eastAsia="cs-CZ"/>
        </w:rPr>
        <w:t xml:space="preserve">povinně </w:t>
      </w:r>
      <w:r w:rsidRPr="00B95B8A">
        <w:rPr>
          <w:lang w:eastAsia="cs-CZ"/>
        </w:rPr>
        <w:t>evidovány výdaje vynakládané</w:t>
      </w:r>
      <w:r>
        <w:rPr>
          <w:lang w:eastAsia="cs-CZ"/>
        </w:rPr>
        <w:t xml:space="preserve"> na</w:t>
      </w:r>
      <w:r w:rsidR="00EE3CD2">
        <w:rPr>
          <w:lang w:eastAsia="cs-CZ"/>
        </w:rPr>
        <w:t xml:space="preserve"> </w:t>
      </w:r>
      <w:r w:rsidR="00F41558">
        <w:rPr>
          <w:lang w:eastAsia="cs-CZ"/>
        </w:rPr>
        <w:t>služby</w:t>
      </w:r>
      <w:r>
        <w:rPr>
          <w:lang w:eastAsia="cs-CZ"/>
        </w:rPr>
        <w:t xml:space="preserve"> zajiš</w:t>
      </w:r>
      <w:r w:rsidR="00F41558">
        <w:rPr>
          <w:lang w:eastAsia="cs-CZ"/>
        </w:rPr>
        <w:t xml:space="preserve">ťované interně, ani </w:t>
      </w:r>
      <w:r w:rsidR="00F41558">
        <w:rPr>
          <w:rFonts w:eastAsia="Times New Roman" w:cs="Calibri"/>
          <w:szCs w:val="24"/>
        </w:rPr>
        <w:t xml:space="preserve">není u objektu uvedena informace </w:t>
      </w:r>
      <w:r w:rsidR="00426815">
        <w:rPr>
          <w:rFonts w:eastAsia="Times New Roman" w:cs="Calibri"/>
          <w:szCs w:val="24"/>
        </w:rPr>
        <w:t>o </w:t>
      </w:r>
      <w:r w:rsidR="00F41558">
        <w:rPr>
          <w:rFonts w:eastAsia="Times New Roman" w:cs="Calibri"/>
          <w:szCs w:val="24"/>
        </w:rPr>
        <w:t xml:space="preserve">nezahrnutí veškerých </w:t>
      </w:r>
      <w:r w:rsidR="00F41558" w:rsidRPr="00A525E1">
        <w:rPr>
          <w:rFonts w:eastAsia="Times New Roman" w:cs="Calibri"/>
          <w:szCs w:val="24"/>
        </w:rPr>
        <w:t>údajů.</w:t>
      </w:r>
      <w:r w:rsidRPr="00A525E1">
        <w:rPr>
          <w:lang w:eastAsia="cs-CZ"/>
        </w:rPr>
        <w:t xml:space="preserve"> </w:t>
      </w:r>
      <w:r w:rsidRPr="00D2455F">
        <w:rPr>
          <w:lang w:eastAsia="cs-CZ"/>
        </w:rPr>
        <w:t>V takových</w:t>
      </w:r>
      <w:r>
        <w:rPr>
          <w:lang w:eastAsia="cs-CZ"/>
        </w:rPr>
        <w:t xml:space="preserve"> případech pak výstupy z CRAB neumožňují posuzovat </w:t>
      </w:r>
      <w:r w:rsidR="008F7D3D">
        <w:rPr>
          <w:lang w:eastAsia="cs-CZ"/>
        </w:rPr>
        <w:t xml:space="preserve">účelnost </w:t>
      </w:r>
      <w:r>
        <w:rPr>
          <w:lang w:eastAsia="cs-CZ"/>
        </w:rPr>
        <w:t xml:space="preserve">a </w:t>
      </w:r>
      <w:r w:rsidR="000C222F">
        <w:rPr>
          <w:lang w:eastAsia="cs-CZ"/>
        </w:rPr>
        <w:t xml:space="preserve">efektivnost </w:t>
      </w:r>
      <w:r>
        <w:rPr>
          <w:lang w:eastAsia="cs-CZ"/>
        </w:rPr>
        <w:t xml:space="preserve">vynaložených </w:t>
      </w:r>
      <w:r w:rsidR="00F41558">
        <w:rPr>
          <w:lang w:eastAsia="cs-CZ"/>
        </w:rPr>
        <w:t xml:space="preserve">peněžních </w:t>
      </w:r>
      <w:r>
        <w:rPr>
          <w:lang w:eastAsia="cs-CZ"/>
        </w:rPr>
        <w:t xml:space="preserve">prostředků </w:t>
      </w:r>
      <w:r w:rsidR="00F41558">
        <w:rPr>
          <w:lang w:eastAsia="cs-CZ"/>
        </w:rPr>
        <w:t xml:space="preserve">pouhým srovnáním údajů evidovaných v CRAB. </w:t>
      </w:r>
    </w:p>
    <w:p w14:paraId="473AA24B" w14:textId="532BD621" w:rsidR="0094582B" w:rsidRPr="00B95B8A" w:rsidRDefault="0094582B" w:rsidP="0094582B">
      <w:r w:rsidRPr="00F8635D">
        <w:rPr>
          <w:rFonts w:eastAsia="Times New Roman" w:cs="Calibri"/>
          <w:szCs w:val="24"/>
        </w:rPr>
        <w:lastRenderedPageBreak/>
        <w:t xml:space="preserve">V případě, že v daném objektu využívalo plochu </w:t>
      </w:r>
      <w:r w:rsidR="00792647" w:rsidRPr="00F8635D">
        <w:rPr>
          <w:rFonts w:eastAsia="Times New Roman" w:cs="Calibri"/>
          <w:szCs w:val="24"/>
        </w:rPr>
        <w:t>pracoviště v režimu utajení</w:t>
      </w:r>
      <w:r w:rsidRPr="00F8635D">
        <w:rPr>
          <w:rFonts w:eastAsia="Times New Roman" w:cs="Calibri"/>
          <w:szCs w:val="24"/>
        </w:rPr>
        <w:t>, nebyly u objektu evidovány kompletní hodnoty o počtu zaměstnanců</w:t>
      </w:r>
      <w:r w:rsidR="00F51CE7" w:rsidRPr="00F8635D">
        <w:rPr>
          <w:rFonts w:eastAsia="Times New Roman" w:cs="Calibri"/>
          <w:szCs w:val="24"/>
        </w:rPr>
        <w:t>,</w:t>
      </w:r>
      <w:r w:rsidRPr="00F8635D">
        <w:rPr>
          <w:rFonts w:eastAsia="Times New Roman" w:cs="Calibri"/>
          <w:szCs w:val="24"/>
        </w:rPr>
        <w:t xml:space="preserve"> ani zde nebyla uvedena informace</w:t>
      </w:r>
      <w:r w:rsidR="007F03FA">
        <w:rPr>
          <w:rFonts w:eastAsia="Times New Roman" w:cs="Calibri"/>
          <w:szCs w:val="24"/>
        </w:rPr>
        <w:t>, že se jedná</w:t>
      </w:r>
      <w:r w:rsidRPr="00F8635D">
        <w:rPr>
          <w:rFonts w:eastAsia="Times New Roman" w:cs="Calibri"/>
          <w:szCs w:val="24"/>
        </w:rPr>
        <w:t xml:space="preserve"> </w:t>
      </w:r>
      <w:r w:rsidR="00426815" w:rsidRPr="00B95B8A">
        <w:rPr>
          <w:rFonts w:eastAsia="Times New Roman" w:cs="Calibri"/>
          <w:szCs w:val="24"/>
        </w:rPr>
        <w:t>o </w:t>
      </w:r>
      <w:r w:rsidRPr="00B95B8A">
        <w:rPr>
          <w:rFonts w:eastAsia="Times New Roman" w:cs="Calibri"/>
          <w:szCs w:val="24"/>
        </w:rPr>
        <w:t>nekompletní údaj</w:t>
      </w:r>
      <w:r w:rsidR="007F03FA" w:rsidRPr="00B95B8A">
        <w:rPr>
          <w:rFonts w:eastAsia="Times New Roman" w:cs="Calibri"/>
          <w:szCs w:val="24"/>
        </w:rPr>
        <w:t>e</w:t>
      </w:r>
      <w:r w:rsidRPr="00B95B8A">
        <w:rPr>
          <w:rFonts w:eastAsia="Times New Roman" w:cs="Calibri"/>
          <w:szCs w:val="24"/>
        </w:rPr>
        <w:t>.</w:t>
      </w:r>
    </w:p>
    <w:p w14:paraId="15644142" w14:textId="4F8707E3" w:rsidR="00521054" w:rsidRDefault="00CA78A5" w:rsidP="00A33DD4">
      <w:pPr>
        <w:rPr>
          <w:rFonts w:cs="Calibri"/>
          <w:color w:val="000000" w:themeColor="text1"/>
        </w:rPr>
      </w:pPr>
      <w:r w:rsidRPr="00B95B8A">
        <w:rPr>
          <w:rFonts w:cs="Calibri"/>
          <w:color w:val="000000" w:themeColor="text1"/>
        </w:rPr>
        <w:t xml:space="preserve">NKÚ </w:t>
      </w:r>
      <w:r w:rsidR="00324F72" w:rsidRPr="00B95B8A">
        <w:rPr>
          <w:rFonts w:cs="Calibri"/>
          <w:color w:val="000000" w:themeColor="text1"/>
        </w:rPr>
        <w:t xml:space="preserve">dále </w:t>
      </w:r>
      <w:r w:rsidRPr="00B95B8A">
        <w:rPr>
          <w:rFonts w:cs="Calibri"/>
          <w:color w:val="000000" w:themeColor="text1"/>
        </w:rPr>
        <w:t>vyhodnotil nesoulad mezi právním předpisem</w:t>
      </w:r>
      <w:r w:rsidR="007F03FA" w:rsidRPr="00B95B8A">
        <w:rPr>
          <w:rStyle w:val="Znakapoznpodarou"/>
          <w:rFonts w:cs="Calibri"/>
          <w:color w:val="000000" w:themeColor="text1"/>
        </w:rPr>
        <w:footnoteReference w:id="50"/>
      </w:r>
      <w:r w:rsidRPr="00B95B8A">
        <w:rPr>
          <w:rFonts w:cs="Calibri"/>
          <w:color w:val="000000" w:themeColor="text1"/>
        </w:rPr>
        <w:t xml:space="preserve"> a </w:t>
      </w:r>
      <w:r w:rsidR="00AE56E9" w:rsidRPr="00B95B8A">
        <w:rPr>
          <w:rFonts w:cs="Calibri"/>
          <w:color w:val="000000" w:themeColor="text1"/>
        </w:rPr>
        <w:t>uživatelskou</w:t>
      </w:r>
      <w:r w:rsidRPr="00B95B8A">
        <w:rPr>
          <w:rFonts w:cs="Calibri"/>
          <w:color w:val="000000" w:themeColor="text1"/>
        </w:rPr>
        <w:t xml:space="preserve"> příručkou</w:t>
      </w:r>
      <w:r w:rsidR="00580235" w:rsidRPr="00B95B8A">
        <w:rPr>
          <w:rStyle w:val="Znakapoznpodarou"/>
          <w:rFonts w:cs="Calibri"/>
          <w:color w:val="000000" w:themeColor="text1"/>
        </w:rPr>
        <w:footnoteReference w:id="51"/>
      </w:r>
      <w:r w:rsidRPr="00B95B8A">
        <w:rPr>
          <w:rFonts w:cs="Calibri"/>
          <w:color w:val="000000" w:themeColor="text1"/>
        </w:rPr>
        <w:t>.</w:t>
      </w:r>
      <w:r w:rsidRPr="00B95B8A">
        <w:t xml:space="preserve"> </w:t>
      </w:r>
      <w:r w:rsidR="00521054" w:rsidRPr="00B95B8A">
        <w:t xml:space="preserve">ÚZSVM </w:t>
      </w:r>
      <w:r w:rsidR="00746FFD" w:rsidRPr="00B95B8A">
        <w:t>v </w:t>
      </w:r>
      <w:r w:rsidR="00580235" w:rsidRPr="00B95B8A">
        <w:rPr>
          <w:rFonts w:eastAsia="Times New Roman" w:cs="Calibri"/>
          <w:szCs w:val="24"/>
        </w:rPr>
        <w:t>uživatelské</w:t>
      </w:r>
      <w:r w:rsidR="00521054" w:rsidRPr="00B95B8A">
        <w:rPr>
          <w:rFonts w:eastAsia="Times New Roman" w:cs="Calibri"/>
          <w:szCs w:val="24"/>
        </w:rPr>
        <w:t xml:space="preserve"> příručce definoval, že CRAB slouží k evidenci administrativních budov užívaných státními institucemi pro výkon jejich činnosti, resp. nemovitého majetku ve</w:t>
      </w:r>
      <w:r w:rsidR="00EE3CD2">
        <w:rPr>
          <w:rFonts w:eastAsia="Times New Roman" w:cs="Calibri"/>
          <w:szCs w:val="24"/>
        </w:rPr>
        <w:t xml:space="preserve"> </w:t>
      </w:r>
      <w:r w:rsidR="00521054" w:rsidRPr="00B95B8A">
        <w:rPr>
          <w:rFonts w:eastAsia="Times New Roman" w:cs="Calibri"/>
          <w:szCs w:val="24"/>
        </w:rPr>
        <w:t>vlastnictví státu a</w:t>
      </w:r>
      <w:r w:rsidR="00580235" w:rsidRPr="00B95B8A">
        <w:rPr>
          <w:rFonts w:eastAsia="Times New Roman" w:cs="Calibri"/>
          <w:szCs w:val="24"/>
        </w:rPr>
        <w:t> </w:t>
      </w:r>
      <w:r w:rsidR="00521054" w:rsidRPr="00B95B8A">
        <w:rPr>
          <w:rFonts w:eastAsia="Times New Roman" w:cs="Calibri"/>
          <w:szCs w:val="24"/>
        </w:rPr>
        <w:t>majetku nestátních fyzických a právnických osob užívaného státními institucemi</w:t>
      </w:r>
      <w:r w:rsidR="00EE3CD2">
        <w:rPr>
          <w:rFonts w:eastAsia="Times New Roman" w:cs="Calibri"/>
          <w:szCs w:val="24"/>
        </w:rPr>
        <w:t>,</w:t>
      </w:r>
      <w:r w:rsidR="00521054" w:rsidRPr="00B95B8A">
        <w:rPr>
          <w:rFonts w:eastAsia="Times New Roman" w:cs="Calibri"/>
          <w:szCs w:val="24"/>
        </w:rPr>
        <w:t xml:space="preserve"> </w:t>
      </w:r>
      <w:r w:rsidR="00EE3CD2">
        <w:rPr>
          <w:rFonts w:eastAsia="Times New Roman" w:cs="Calibri"/>
          <w:szCs w:val="24"/>
        </w:rPr>
        <w:t>p</w:t>
      </w:r>
      <w:r w:rsidR="00521054" w:rsidRPr="00B95B8A">
        <w:rPr>
          <w:rFonts w:eastAsia="Times New Roman" w:cs="Calibri"/>
          <w:szCs w:val="24"/>
        </w:rPr>
        <w:t xml:space="preserve">řičemž </w:t>
      </w:r>
      <w:r w:rsidR="00521054" w:rsidRPr="00B95B8A">
        <w:t>za administrativní objekt považuje objekt, který fakticky slouží k výkonu vymezených činností s vyloučením provozních budov (sklady, garáže, dílny apod.) a objektů určených k bydlení a rekreaci. Zákon</w:t>
      </w:r>
      <w:r w:rsidR="00521054" w:rsidRPr="00B95B8A">
        <w:rPr>
          <w:rFonts w:cs="Calibri"/>
          <w:color w:val="000000" w:themeColor="text1"/>
        </w:rPr>
        <w:t xml:space="preserve"> č. 219/2000 Sb. s účinností od </w:t>
      </w:r>
      <w:r w:rsidR="00835682" w:rsidRPr="00B95B8A">
        <w:rPr>
          <w:rFonts w:cs="Calibri"/>
          <w:color w:val="000000" w:themeColor="text1"/>
        </w:rPr>
        <w:t xml:space="preserve">1. </w:t>
      </w:r>
      <w:r w:rsidR="00521054" w:rsidRPr="00B95B8A">
        <w:rPr>
          <w:rFonts w:cs="Calibri"/>
          <w:color w:val="000000" w:themeColor="text1"/>
        </w:rPr>
        <w:t>března 2016 zakotvil ustanovení § 14a, na</w:t>
      </w:r>
      <w:r w:rsidR="00EE3CD2">
        <w:rPr>
          <w:rFonts w:cs="Calibri"/>
          <w:color w:val="000000" w:themeColor="text1"/>
        </w:rPr>
        <w:t xml:space="preserve"> jehož </w:t>
      </w:r>
      <w:r w:rsidR="00521054" w:rsidRPr="00B95B8A">
        <w:rPr>
          <w:rFonts w:cs="Calibri"/>
          <w:color w:val="000000" w:themeColor="text1"/>
        </w:rPr>
        <w:t>základě mají být v CRAB evidovány budovy a další související nemovité věci či jejich části, jestliže se nacházejí na</w:t>
      </w:r>
      <w:r w:rsidR="00EE3CD2">
        <w:rPr>
          <w:rFonts w:cs="Calibri"/>
          <w:color w:val="000000" w:themeColor="text1"/>
        </w:rPr>
        <w:t xml:space="preserve"> </w:t>
      </w:r>
      <w:r w:rsidR="00521054" w:rsidRPr="00F8635D">
        <w:rPr>
          <w:rFonts w:cs="Calibri"/>
          <w:color w:val="000000" w:themeColor="text1"/>
        </w:rPr>
        <w:t xml:space="preserve">území státu a slouží či mají sloužit pro soudní, zákonodárné, správní a související činnosti v rámci plnění funkcí státu. </w:t>
      </w:r>
    </w:p>
    <w:p w14:paraId="7344AF9F" w14:textId="2B7494F1" w:rsidR="00500FC6" w:rsidRPr="00B95B8A" w:rsidRDefault="00500FC6" w:rsidP="00A33DD4">
      <w:pPr>
        <w:rPr>
          <w:rFonts w:cs="Calibri"/>
          <w:color w:val="000000" w:themeColor="text1"/>
        </w:rPr>
      </w:pPr>
      <w:r>
        <w:rPr>
          <w:rFonts w:cs="Calibri"/>
          <w:color w:val="000000" w:themeColor="text1"/>
        </w:rPr>
        <w:t xml:space="preserve">MV </w:t>
      </w:r>
      <w:r w:rsidR="000C222F">
        <w:rPr>
          <w:rFonts w:cs="Calibri"/>
          <w:color w:val="000000" w:themeColor="text1"/>
        </w:rPr>
        <w:t xml:space="preserve">zadávalo </w:t>
      </w:r>
      <w:r>
        <w:rPr>
          <w:rFonts w:cs="Calibri"/>
          <w:color w:val="000000" w:themeColor="text1"/>
        </w:rPr>
        <w:t xml:space="preserve">v období 2014–2016 do CRAB </w:t>
      </w:r>
      <w:r w:rsidR="001F1FE8">
        <w:rPr>
          <w:rFonts w:cs="Calibri"/>
          <w:color w:val="000000" w:themeColor="text1"/>
        </w:rPr>
        <w:t xml:space="preserve">za celý resort </w:t>
      </w:r>
      <w:r w:rsidR="005B51AB">
        <w:rPr>
          <w:rFonts w:cs="Calibri"/>
          <w:color w:val="000000" w:themeColor="text1"/>
        </w:rPr>
        <w:t xml:space="preserve">(vyjma ZSMV) </w:t>
      </w:r>
      <w:r>
        <w:rPr>
          <w:rFonts w:cs="Calibri"/>
          <w:color w:val="000000" w:themeColor="text1"/>
        </w:rPr>
        <w:t xml:space="preserve">pouze objekty, </w:t>
      </w:r>
      <w:r w:rsidR="00EE3CD2">
        <w:rPr>
          <w:rFonts w:cs="Calibri"/>
          <w:color w:val="000000" w:themeColor="text1"/>
        </w:rPr>
        <w:t xml:space="preserve">ve </w:t>
      </w:r>
      <w:r>
        <w:rPr>
          <w:rFonts w:cs="Calibri"/>
          <w:color w:val="000000" w:themeColor="text1"/>
        </w:rPr>
        <w:t xml:space="preserve">kterých </w:t>
      </w:r>
      <w:r w:rsidR="00EE3CD2">
        <w:rPr>
          <w:rFonts w:cs="Calibri"/>
          <w:color w:val="000000" w:themeColor="text1"/>
        </w:rPr>
        <w:t>převážně</w:t>
      </w:r>
      <w:r>
        <w:rPr>
          <w:rFonts w:cs="Calibri"/>
          <w:color w:val="000000" w:themeColor="text1"/>
        </w:rPr>
        <w:t xml:space="preserve"> probíhá administrativní činnost, objekty obvodních oddělení policie a</w:t>
      </w:r>
      <w:r w:rsidR="00747D36">
        <w:rPr>
          <w:rFonts w:cs="Calibri"/>
          <w:color w:val="000000" w:themeColor="text1"/>
        </w:rPr>
        <w:t> </w:t>
      </w:r>
      <w:r>
        <w:rPr>
          <w:rFonts w:cs="Calibri"/>
          <w:color w:val="000000" w:themeColor="text1"/>
        </w:rPr>
        <w:t xml:space="preserve">referáty cizinecké policie. </w:t>
      </w:r>
      <w:r w:rsidR="001F1FE8">
        <w:rPr>
          <w:rFonts w:cs="Calibri"/>
          <w:color w:val="000000" w:themeColor="text1"/>
        </w:rPr>
        <w:t xml:space="preserve">MV </w:t>
      </w:r>
      <w:r w:rsidR="001F1FE8" w:rsidRPr="00B95B8A">
        <w:rPr>
          <w:rFonts w:cs="Calibri"/>
          <w:color w:val="000000" w:themeColor="text1"/>
        </w:rPr>
        <w:t xml:space="preserve">ani ZSMV </w:t>
      </w:r>
      <w:r w:rsidR="00580235" w:rsidRPr="00B95B8A">
        <w:rPr>
          <w:rFonts w:cs="Calibri"/>
          <w:color w:val="000000" w:themeColor="text1"/>
        </w:rPr>
        <w:t>v souladu s uživatelskou příručkou</w:t>
      </w:r>
      <w:r w:rsidR="000C222F" w:rsidRPr="00B95B8A">
        <w:rPr>
          <w:rFonts w:cs="Calibri"/>
          <w:color w:val="000000" w:themeColor="text1"/>
        </w:rPr>
        <w:t xml:space="preserve"> </w:t>
      </w:r>
      <w:r w:rsidR="00EE3CD2">
        <w:rPr>
          <w:rFonts w:cs="Calibri"/>
          <w:color w:val="000000" w:themeColor="text1"/>
        </w:rPr>
        <w:t xml:space="preserve">nezadávaly </w:t>
      </w:r>
      <w:r w:rsidR="00EE3CD2" w:rsidRPr="00B95B8A">
        <w:rPr>
          <w:rFonts w:cs="Calibri"/>
          <w:color w:val="000000" w:themeColor="text1"/>
        </w:rPr>
        <w:t xml:space="preserve">do CRAB </w:t>
      </w:r>
      <w:r w:rsidR="00937992" w:rsidRPr="00B95B8A">
        <w:rPr>
          <w:rFonts w:cs="Calibri"/>
          <w:color w:val="000000" w:themeColor="text1"/>
        </w:rPr>
        <w:t>například</w:t>
      </w:r>
      <w:r w:rsidRPr="00B95B8A">
        <w:rPr>
          <w:rFonts w:cs="Calibri"/>
          <w:color w:val="000000" w:themeColor="text1"/>
        </w:rPr>
        <w:t xml:space="preserve"> samostatné objekty označené jako dílny, garáže, archivy či sklady.</w:t>
      </w:r>
    </w:p>
    <w:p w14:paraId="77A3D25F" w14:textId="58456C13" w:rsidR="00E15FD8" w:rsidRPr="003D59D6" w:rsidRDefault="009E70C6" w:rsidP="00A33DD4">
      <w:pPr>
        <w:rPr>
          <w:rFonts w:cs="Calibri"/>
          <w:color w:val="000000" w:themeColor="text1"/>
        </w:rPr>
      </w:pPr>
      <w:r w:rsidRPr="00F8635D">
        <w:rPr>
          <w:rFonts w:cs="Calibri"/>
          <w:color w:val="000000" w:themeColor="text1"/>
        </w:rPr>
        <w:t>ÚZSVM po novele zákona č. 219/2000 Sb. neupravil</w:t>
      </w:r>
      <w:r w:rsidRPr="00B95B8A">
        <w:rPr>
          <w:rFonts w:cs="Calibri"/>
          <w:color w:val="000000" w:themeColor="text1"/>
        </w:rPr>
        <w:t xml:space="preserve"> </w:t>
      </w:r>
      <w:r>
        <w:rPr>
          <w:rFonts w:cs="Calibri"/>
          <w:color w:val="000000" w:themeColor="text1"/>
        </w:rPr>
        <w:t>d</w:t>
      </w:r>
      <w:r w:rsidR="00E15FD8" w:rsidRPr="00B95B8A">
        <w:rPr>
          <w:rFonts w:cs="Calibri"/>
          <w:color w:val="000000" w:themeColor="text1"/>
        </w:rPr>
        <w:t>efinici administrativní budovy v </w:t>
      </w:r>
      <w:r w:rsidR="00580235" w:rsidRPr="00B95B8A">
        <w:rPr>
          <w:rFonts w:cs="Calibri"/>
          <w:color w:val="000000" w:themeColor="text1"/>
        </w:rPr>
        <w:t>uživatelské</w:t>
      </w:r>
      <w:r w:rsidR="00E15FD8" w:rsidRPr="00B95B8A">
        <w:rPr>
          <w:rFonts w:cs="Calibri"/>
          <w:color w:val="000000" w:themeColor="text1"/>
        </w:rPr>
        <w:t xml:space="preserve"> příručce</w:t>
      </w:r>
      <w:r w:rsidR="005F1479" w:rsidRPr="00B95B8A">
        <w:rPr>
          <w:rFonts w:cs="Calibri"/>
          <w:color w:val="000000" w:themeColor="text1"/>
        </w:rPr>
        <w:t xml:space="preserve"> ani na</w:t>
      </w:r>
      <w:r w:rsidR="005F1479" w:rsidRPr="00B95B8A">
        <w:rPr>
          <w:rFonts w:cstheme="minorHAnsi"/>
        </w:rPr>
        <w:t xml:space="preserve"> neveřejném</w:t>
      </w:r>
      <w:r w:rsidR="005F1479" w:rsidRPr="005F1479">
        <w:rPr>
          <w:rFonts w:cstheme="minorHAnsi"/>
        </w:rPr>
        <w:t xml:space="preserve"> webovém portálu </w:t>
      </w:r>
      <w:r w:rsidR="00E15FD8" w:rsidRPr="00F8635D">
        <w:rPr>
          <w:rFonts w:cs="Calibri"/>
          <w:color w:val="000000" w:themeColor="text1"/>
        </w:rPr>
        <w:t>CRAB</w:t>
      </w:r>
      <w:r w:rsidR="00E15FD8" w:rsidRPr="00F8635D">
        <w:rPr>
          <w:rStyle w:val="Znakapoznpodarou"/>
          <w:rFonts w:cs="Calibri"/>
          <w:color w:val="000000" w:themeColor="text1"/>
        </w:rPr>
        <w:footnoteReference w:id="52"/>
      </w:r>
      <w:r w:rsidR="00E15FD8" w:rsidRPr="00F8635D">
        <w:rPr>
          <w:rFonts w:cs="Calibri"/>
          <w:color w:val="000000" w:themeColor="text1"/>
        </w:rPr>
        <w:t>. NKÚ toto vyhodnotil jako riziko, že objekty nebudou státními institucemi evidovány jednotně</w:t>
      </w:r>
      <w:r w:rsidR="00E15FD8">
        <w:rPr>
          <w:rFonts w:cs="Calibri"/>
          <w:color w:val="000000" w:themeColor="text1"/>
        </w:rPr>
        <w:t>, což zhorší srovnatelnost objektů v CRAB</w:t>
      </w:r>
      <w:r w:rsidR="00E15FD8" w:rsidRPr="00F8635D">
        <w:rPr>
          <w:rFonts w:cs="Calibri"/>
          <w:color w:val="000000" w:themeColor="text1"/>
        </w:rPr>
        <w:t>.</w:t>
      </w:r>
    </w:p>
    <w:p w14:paraId="5E76869E" w14:textId="77777777" w:rsidR="00F7658B" w:rsidRDefault="00F7658B" w:rsidP="002324A0">
      <w:pPr>
        <w:pStyle w:val="Nadpis3"/>
        <w:tabs>
          <w:tab w:val="clear" w:pos="425"/>
          <w:tab w:val="clear" w:pos="567"/>
        </w:tabs>
        <w:ind w:left="284" w:hanging="284"/>
        <w:jc w:val="left"/>
      </w:pPr>
      <w:r>
        <w:t>Využití CRAB je omezeno neúplnými a nesprávnými údaji zadávanými státními institucemi a zavedenými reporty CRAB</w:t>
      </w:r>
    </w:p>
    <w:p w14:paraId="6EF58E99" w14:textId="0C3104B2" w:rsidR="00EC1648" w:rsidRDefault="00E15FD8" w:rsidP="00F425CA">
      <w:pPr>
        <w:spacing w:after="0"/>
        <w:contextualSpacing/>
      </w:pPr>
      <w:r>
        <w:rPr>
          <w:rFonts w:cs="Calibri"/>
        </w:rPr>
        <w:t xml:space="preserve">Při kontrole </w:t>
      </w:r>
      <w:r w:rsidR="00EC1648" w:rsidRPr="001D47F0">
        <w:rPr>
          <w:rFonts w:cs="Calibri"/>
        </w:rPr>
        <w:t xml:space="preserve">NKÚ </w:t>
      </w:r>
      <w:r w:rsidR="00EC1648">
        <w:rPr>
          <w:rFonts w:cs="Calibri"/>
        </w:rPr>
        <w:t xml:space="preserve">zjistil, že </w:t>
      </w:r>
      <w:r w:rsidR="004A09C1">
        <w:t>u</w:t>
      </w:r>
      <w:r w:rsidR="00F425CA">
        <w:t> </w:t>
      </w:r>
      <w:r w:rsidR="00EC1648">
        <w:t>některých objektů:</w:t>
      </w:r>
    </w:p>
    <w:p w14:paraId="5D6C88E1" w14:textId="77777777" w:rsidR="00EC1648" w:rsidRDefault="00EC1648" w:rsidP="00EE3CD2">
      <w:pPr>
        <w:pStyle w:val="Odstavecseseznamem"/>
        <w:numPr>
          <w:ilvl w:val="0"/>
          <w:numId w:val="31"/>
        </w:numPr>
        <w:ind w:left="284" w:hanging="284"/>
      </w:pPr>
      <w:r>
        <w:t xml:space="preserve">se </w:t>
      </w:r>
      <w:r w:rsidRPr="0099394E">
        <w:t xml:space="preserve">kancelářská plocha </w:t>
      </w:r>
      <w:r>
        <w:t>celkem nerovnala součtu kancelářské plochy využité a nevyužité;</w:t>
      </w:r>
    </w:p>
    <w:p w14:paraId="27CBFEF9" w14:textId="3723B256" w:rsidR="00EC1648" w:rsidRDefault="00EC1648" w:rsidP="00EE3CD2">
      <w:pPr>
        <w:pStyle w:val="Odstavecseseznamem"/>
        <w:numPr>
          <w:ilvl w:val="0"/>
          <w:numId w:val="31"/>
        </w:numPr>
        <w:ind w:left="284" w:hanging="284"/>
      </w:pPr>
      <w:r>
        <w:t>nebyl vyplněn subjekt</w:t>
      </w:r>
      <w:r w:rsidR="00CF34D5">
        <w:t xml:space="preserve"> využívající </w:t>
      </w:r>
      <w:r>
        <w:t>objekt ani ekonomické údaje, přestože u objektu byla evidována kancelářská plocha využitá a nejednalo se o vyřazený majetek;</w:t>
      </w:r>
    </w:p>
    <w:p w14:paraId="58016B20" w14:textId="1FB40CB3" w:rsidR="00EC1648" w:rsidRDefault="00EC1648" w:rsidP="00EE3CD2">
      <w:pPr>
        <w:pStyle w:val="Odstavecseseznamem"/>
        <w:numPr>
          <w:ilvl w:val="0"/>
          <w:numId w:val="31"/>
        </w:numPr>
        <w:ind w:left="284" w:hanging="284"/>
      </w:pPr>
      <w:r>
        <w:t xml:space="preserve">bylo uvedeno, že </w:t>
      </w:r>
      <w:r w:rsidR="00CF34D5">
        <w:t xml:space="preserve">objekty </w:t>
      </w:r>
      <w:r>
        <w:t>byly zařazeny do evidence později</w:t>
      </w:r>
      <w:r w:rsidR="009E70C6">
        <w:t>,</w:t>
      </w:r>
      <w:r>
        <w:t xml:space="preserve"> než byly z evidence vyřazeny;</w:t>
      </w:r>
    </w:p>
    <w:p w14:paraId="49778E34" w14:textId="4AAB0660" w:rsidR="00EC1648" w:rsidRDefault="00EC1648" w:rsidP="00EE3CD2">
      <w:pPr>
        <w:pStyle w:val="Odstavecseseznamem"/>
        <w:numPr>
          <w:ilvl w:val="0"/>
          <w:numId w:val="31"/>
        </w:numPr>
        <w:ind w:left="284" w:hanging="284"/>
      </w:pPr>
      <w:r>
        <w:t>nebyl evidován platný právní vztah, přestože v daném roce byly evidovány ekonomické údaje;</w:t>
      </w:r>
    </w:p>
    <w:p w14:paraId="1E205D87" w14:textId="0591543E" w:rsidR="00EC1648" w:rsidRDefault="004A09C1" w:rsidP="00EE3CD2">
      <w:pPr>
        <w:pStyle w:val="Odstavecseseznamem"/>
        <w:numPr>
          <w:ilvl w:val="0"/>
          <w:numId w:val="31"/>
        </w:numPr>
        <w:ind w:left="284" w:hanging="284"/>
      </w:pPr>
      <w:r>
        <w:t xml:space="preserve">se </w:t>
      </w:r>
      <w:r w:rsidRPr="00685310">
        <w:t xml:space="preserve">pronajímané plochy </w:t>
      </w:r>
      <w:r>
        <w:t>uvedené v reportech CRAB lišily od údajů v právních</w:t>
      </w:r>
      <w:r w:rsidRPr="00685310">
        <w:t xml:space="preserve"> vzt</w:t>
      </w:r>
      <w:r>
        <w:t xml:space="preserve">azích evidovaných </w:t>
      </w:r>
      <w:r w:rsidR="00F425CA" w:rsidRPr="00DE3FB7">
        <w:rPr>
          <w:rFonts w:cstheme="minorHAnsi"/>
        </w:rPr>
        <w:t>v běžném uživatelském náhledu na dan</w:t>
      </w:r>
      <w:r w:rsidR="00F425CA">
        <w:rPr>
          <w:rFonts w:cstheme="minorHAnsi"/>
        </w:rPr>
        <w:t>ý objekt v CRAB</w:t>
      </w:r>
      <w:r>
        <w:t>;</w:t>
      </w:r>
    </w:p>
    <w:p w14:paraId="5351BCF8" w14:textId="4F8DE047" w:rsidR="00F425CA" w:rsidRDefault="000C222F" w:rsidP="00EE3CD2">
      <w:pPr>
        <w:pStyle w:val="Odstavecseseznamem"/>
        <w:numPr>
          <w:ilvl w:val="0"/>
          <w:numId w:val="31"/>
        </w:numPr>
        <w:ind w:left="284" w:hanging="284"/>
      </w:pPr>
      <w:r>
        <w:t xml:space="preserve">byly </w:t>
      </w:r>
      <w:r w:rsidR="00F425CA">
        <w:t xml:space="preserve">výdaje uvedené v reportech CRAB nulové, přestože </w:t>
      </w:r>
      <w:r w:rsidR="00F425CA" w:rsidRPr="00DE3FB7">
        <w:rPr>
          <w:rFonts w:cstheme="minorHAnsi"/>
        </w:rPr>
        <w:t>v běžném uživatelském náhledu na dan</w:t>
      </w:r>
      <w:r w:rsidR="00F425CA">
        <w:rPr>
          <w:rFonts w:cstheme="minorHAnsi"/>
        </w:rPr>
        <w:t>ý objekt v CRAB</w:t>
      </w:r>
      <w:r w:rsidR="00F425CA">
        <w:t xml:space="preserve"> </w:t>
      </w:r>
      <w:r w:rsidR="003273C4">
        <w:t xml:space="preserve">byly </w:t>
      </w:r>
      <w:r w:rsidR="00F425CA">
        <w:t>výdaje evidovány;</w:t>
      </w:r>
    </w:p>
    <w:p w14:paraId="0A974A18" w14:textId="282121E6" w:rsidR="00EC1648" w:rsidRPr="007F4ED3" w:rsidRDefault="000C222F" w:rsidP="00EE3CD2">
      <w:pPr>
        <w:pStyle w:val="Odstavecseseznamem"/>
        <w:numPr>
          <w:ilvl w:val="0"/>
          <w:numId w:val="31"/>
        </w:numPr>
        <w:ind w:left="284" w:hanging="284"/>
      </w:pPr>
      <w:r w:rsidRPr="007F4ED3">
        <w:rPr>
          <w:rFonts w:cstheme="minorHAnsi"/>
        </w:rPr>
        <w:t xml:space="preserve">nabývaly </w:t>
      </w:r>
      <w:r w:rsidR="00EC1648" w:rsidRPr="007F4ED3">
        <w:rPr>
          <w:rFonts w:cstheme="minorHAnsi"/>
        </w:rPr>
        <w:t>údaje extrémně vysokých hodnot v</w:t>
      </w:r>
      <w:r w:rsidR="00EC1648">
        <w:rPr>
          <w:rFonts w:cstheme="minorHAnsi"/>
        </w:rPr>
        <w:t> </w:t>
      </w:r>
      <w:r w:rsidR="00EC1648" w:rsidRPr="007F4ED3">
        <w:rPr>
          <w:rFonts w:cstheme="minorHAnsi"/>
        </w:rPr>
        <w:t>porovnání s rokem předchozím, např. hodnoty počtu zaměstnanců se meziročně lišily o stovky procent.</w:t>
      </w:r>
    </w:p>
    <w:p w14:paraId="69022F17" w14:textId="7A4FF22F" w:rsidR="00EC1648" w:rsidRDefault="00EC1648" w:rsidP="00EC1648">
      <w:r>
        <w:lastRenderedPageBreak/>
        <w:t>Přestože ÚZSVM vnímá nízkou kvalitu dat evidovaných v CRAB, nezajistil účinné kontrolní mechanismy, které by upozorňovaly</w:t>
      </w:r>
      <w:r w:rsidRPr="007F4ED3">
        <w:t xml:space="preserve"> uživatele (při zadávání</w:t>
      </w:r>
      <w:r w:rsidR="00CF34D5">
        <w:t xml:space="preserve"> do CRAB</w:t>
      </w:r>
      <w:r w:rsidRPr="007F4ED3">
        <w:t xml:space="preserve"> i případně poté) na</w:t>
      </w:r>
      <w:r w:rsidR="009E70C6">
        <w:t xml:space="preserve"> </w:t>
      </w:r>
      <w:r w:rsidRPr="007F4ED3">
        <w:t>zjevně nesprávné, nelogické nebo výrazně odchýlené hodnoty</w:t>
      </w:r>
      <w:r>
        <w:t xml:space="preserve">. </w:t>
      </w:r>
      <w:r w:rsidR="00F51CE7">
        <w:t>P</w:t>
      </w:r>
      <w:r w:rsidR="00F51CE7" w:rsidRPr="007B079F">
        <w:t xml:space="preserve">ro zkvalitnění evidovaných dat v CRAB </w:t>
      </w:r>
      <w:r w:rsidRPr="007B079F">
        <w:t xml:space="preserve">provádí </w:t>
      </w:r>
      <w:r w:rsidR="00F51CE7" w:rsidRPr="007B079F">
        <w:t xml:space="preserve">ÚZSVM </w:t>
      </w:r>
      <w:r w:rsidRPr="007B079F">
        <w:t xml:space="preserve">fyzické kontroly </w:t>
      </w:r>
      <w:r w:rsidR="00F51CE7">
        <w:t>objektů</w:t>
      </w:r>
      <w:r w:rsidRPr="007B079F">
        <w:t xml:space="preserve">, nicméně </w:t>
      </w:r>
      <w:r w:rsidR="00F51CE7">
        <w:t>ověřuje</w:t>
      </w:r>
      <w:r w:rsidRPr="007B079F">
        <w:t xml:space="preserve"> pouze </w:t>
      </w:r>
      <w:r w:rsidR="00F51CE7" w:rsidRPr="007B079F">
        <w:t>vybran</w:t>
      </w:r>
      <w:r w:rsidR="00F51CE7">
        <w:t>é</w:t>
      </w:r>
      <w:r w:rsidR="00F51CE7" w:rsidRPr="007B079F">
        <w:t xml:space="preserve"> </w:t>
      </w:r>
      <w:r w:rsidRPr="007B079F">
        <w:t>evidenční údaj</w:t>
      </w:r>
      <w:r w:rsidR="00F51CE7">
        <w:t>e</w:t>
      </w:r>
      <w:r w:rsidRPr="007B079F">
        <w:t xml:space="preserve">. </w:t>
      </w:r>
    </w:p>
    <w:p w14:paraId="497EA767" w14:textId="4D7AD1F4" w:rsidR="00EC1648" w:rsidRPr="0063388D" w:rsidRDefault="00B3556F" w:rsidP="00EC1648">
      <w:r>
        <w:t>P</w:t>
      </w:r>
      <w:r w:rsidR="00CF34D5">
        <w:t xml:space="preserve">ři srovnání dat evidovaných v EKIS a CRAB a u vybraného vzorku budov NKÚ zjistil, že </w:t>
      </w:r>
      <w:r w:rsidR="00945D59">
        <w:t xml:space="preserve">MV </w:t>
      </w:r>
      <w:r w:rsidR="000C222F">
        <w:t>ani</w:t>
      </w:r>
      <w:r w:rsidR="009E70C6">
        <w:t xml:space="preserve"> </w:t>
      </w:r>
      <w:r w:rsidR="00EC1648" w:rsidRPr="00FA34E9">
        <w:t>ZSMV nepostupoval</w:t>
      </w:r>
      <w:r w:rsidR="009E70C6">
        <w:t>y</w:t>
      </w:r>
      <w:r w:rsidR="00EC1648" w:rsidRPr="00FA34E9">
        <w:t xml:space="preserve"> při evidenci dat v CRAB v </w:t>
      </w:r>
      <w:r w:rsidR="00EC1648" w:rsidRPr="00B95B8A">
        <w:t>souladu s</w:t>
      </w:r>
      <w:r w:rsidR="005F1479" w:rsidRPr="00B95B8A">
        <w:t> </w:t>
      </w:r>
      <w:r w:rsidR="00EC1648" w:rsidRPr="00B95B8A">
        <w:t>metodikou</w:t>
      </w:r>
      <w:r w:rsidR="005F1479" w:rsidRPr="00B95B8A">
        <w:t xml:space="preserve"> evidence dat</w:t>
      </w:r>
      <w:r w:rsidR="00EC1648" w:rsidRPr="00B95B8A">
        <w:t>, když</w:t>
      </w:r>
      <w:r w:rsidR="00EC1648" w:rsidRPr="00FA34E9">
        <w:t xml:space="preserve"> neevidoval</w:t>
      </w:r>
      <w:r w:rsidR="009E70C6">
        <w:t>y</w:t>
      </w:r>
      <w:r w:rsidR="00EC1648" w:rsidRPr="00FA34E9">
        <w:t xml:space="preserve"> přeúčtované výdaje za jednotlivé objekty</w:t>
      </w:r>
      <w:r w:rsidR="00EC1648">
        <w:t xml:space="preserve"> a</w:t>
      </w:r>
      <w:r w:rsidR="00EC1648" w:rsidRPr="00FA34E9">
        <w:t xml:space="preserve"> evidoval</w:t>
      </w:r>
      <w:r w:rsidR="009E70C6">
        <w:t>y</w:t>
      </w:r>
      <w:r w:rsidR="00EC1648" w:rsidRPr="00FA34E9">
        <w:t xml:space="preserve"> </w:t>
      </w:r>
      <w:r w:rsidR="00EC1648">
        <w:t xml:space="preserve">v CRAB </w:t>
      </w:r>
      <w:r w:rsidR="00EC1648" w:rsidRPr="00FA34E9">
        <w:t>náklady</w:t>
      </w:r>
      <w:r w:rsidR="00EC1648">
        <w:t xml:space="preserve"> místo výdajů</w:t>
      </w:r>
      <w:r w:rsidR="000C6970">
        <w:rPr>
          <w:rStyle w:val="Znakapoznpodarou"/>
        </w:rPr>
        <w:footnoteReference w:id="53"/>
      </w:r>
      <w:r w:rsidR="00EC1648" w:rsidRPr="00FA34E9">
        <w:t xml:space="preserve">. ZSMV </w:t>
      </w:r>
      <w:r w:rsidR="00163B12">
        <w:t>u</w:t>
      </w:r>
      <w:r w:rsidR="00D2455F">
        <w:t> </w:t>
      </w:r>
      <w:r w:rsidR="00163B12">
        <w:t xml:space="preserve">všech </w:t>
      </w:r>
      <w:r w:rsidR="00A525E1">
        <w:t xml:space="preserve">pěti </w:t>
      </w:r>
      <w:r w:rsidR="00163B12">
        <w:t>budov</w:t>
      </w:r>
      <w:r w:rsidR="00A525E1">
        <w:t>, které evidovalo v CRAB,</w:t>
      </w:r>
      <w:r w:rsidR="00163B12">
        <w:t xml:space="preserve"> </w:t>
      </w:r>
      <w:r w:rsidR="00EC1648">
        <w:t>podhodnotilo</w:t>
      </w:r>
      <w:r w:rsidR="00EC1648" w:rsidRPr="00FA34E9">
        <w:t xml:space="preserve"> </w:t>
      </w:r>
      <w:r w:rsidR="00163B12">
        <w:t xml:space="preserve">u </w:t>
      </w:r>
      <w:r w:rsidR="00163B12" w:rsidRPr="00FA34E9">
        <w:t xml:space="preserve">položky vodné, stočné a srážky </w:t>
      </w:r>
      <w:r w:rsidR="00EC1648" w:rsidRPr="00FA34E9">
        <w:t xml:space="preserve">skutečně vynaložené výdaje za rok 2015 o </w:t>
      </w:r>
      <w:r w:rsidR="00163B12">
        <w:t>210</w:t>
      </w:r>
      <w:r w:rsidR="00EC1648" w:rsidRPr="00FA34E9">
        <w:t> </w:t>
      </w:r>
      <w:r w:rsidR="00EC1648">
        <w:t>tis.</w:t>
      </w:r>
      <w:r w:rsidR="00EC1648" w:rsidRPr="00FA34E9">
        <w:t xml:space="preserve"> Kč</w:t>
      </w:r>
      <w:r w:rsidR="00EC1648">
        <w:t xml:space="preserve"> </w:t>
      </w:r>
      <w:r w:rsidR="004A09C1">
        <w:t>(</w:t>
      </w:r>
      <w:r>
        <w:t xml:space="preserve">tj. o </w:t>
      </w:r>
      <w:r w:rsidR="00EC1648">
        <w:t>13 %</w:t>
      </w:r>
      <w:r w:rsidR="004A09C1">
        <w:t>)</w:t>
      </w:r>
      <w:r w:rsidR="00EC1648">
        <w:t>.</w:t>
      </w:r>
      <w:r w:rsidR="00EC1648" w:rsidRPr="00FA34E9">
        <w:t xml:space="preserve"> ZSMV </w:t>
      </w:r>
      <w:r w:rsidR="008A4FBB">
        <w:t xml:space="preserve">dále </w:t>
      </w:r>
      <w:r w:rsidR="00EC1648" w:rsidRPr="00FA34E9">
        <w:t xml:space="preserve">neevidoval v CRAB </w:t>
      </w:r>
      <w:r w:rsidR="00EC1648">
        <w:t>výdaje na</w:t>
      </w:r>
      <w:r w:rsidR="00A25CBC">
        <w:t xml:space="preserve"> </w:t>
      </w:r>
      <w:r w:rsidR="00EC1648" w:rsidRPr="00FA34E9">
        <w:t xml:space="preserve">úklidové služby </w:t>
      </w:r>
      <w:r w:rsidR="00A25CBC">
        <w:t>u tří</w:t>
      </w:r>
      <w:r w:rsidR="008B087D">
        <w:t xml:space="preserve"> budov</w:t>
      </w:r>
      <w:r w:rsidR="00EC1648" w:rsidRPr="00FA34E9">
        <w:t xml:space="preserve"> </w:t>
      </w:r>
      <w:r w:rsidR="00EC1648">
        <w:t>ve</w:t>
      </w:r>
      <w:r w:rsidR="00A25CBC">
        <w:t xml:space="preserve"> </w:t>
      </w:r>
      <w:r w:rsidR="00EC1648">
        <w:t>výši</w:t>
      </w:r>
      <w:r w:rsidR="00EC1648" w:rsidRPr="00FA34E9">
        <w:t xml:space="preserve"> 57 </w:t>
      </w:r>
      <w:r w:rsidR="00EC1648">
        <w:t>tis. Kč</w:t>
      </w:r>
      <w:r w:rsidR="00EC1648" w:rsidRPr="00FA34E9">
        <w:t>, které pořizoval dodavatelsky.</w:t>
      </w:r>
      <w:r w:rsidR="00EC1648">
        <w:t xml:space="preserve"> MV </w:t>
      </w:r>
      <w:r w:rsidR="000C222F">
        <w:t xml:space="preserve">ze vzorku pěti budov </w:t>
      </w:r>
      <w:r w:rsidR="00B612FA">
        <w:t>uvedlo v CRAB</w:t>
      </w:r>
      <w:r w:rsidR="00EC1648" w:rsidRPr="00FA34E9">
        <w:t xml:space="preserve"> výdaje na elektrickou energii </w:t>
      </w:r>
      <w:r w:rsidR="00EC1648">
        <w:t>u dvou objektů o </w:t>
      </w:r>
      <w:r w:rsidR="00EC1648" w:rsidRPr="00FA34E9">
        <w:t>2,4 mil. Kč</w:t>
      </w:r>
      <w:r w:rsidR="00EC1648">
        <w:t xml:space="preserve"> </w:t>
      </w:r>
      <w:r w:rsidR="00B612FA">
        <w:t xml:space="preserve">nižší </w:t>
      </w:r>
      <w:r w:rsidR="00EC1648">
        <w:t>(</w:t>
      </w:r>
      <w:r>
        <w:t>tj.</w:t>
      </w:r>
      <w:r w:rsidR="007F61D6">
        <w:t> </w:t>
      </w:r>
      <w:r>
        <w:t>o</w:t>
      </w:r>
      <w:r w:rsidR="007F61D6">
        <w:t> </w:t>
      </w:r>
      <w:r w:rsidR="00EC1648">
        <w:t>74</w:t>
      </w:r>
      <w:r w:rsidR="007F61D6">
        <w:t> </w:t>
      </w:r>
      <w:r w:rsidR="00EC1648">
        <w:t xml:space="preserve">%), </w:t>
      </w:r>
      <w:r w:rsidR="00B612FA">
        <w:t xml:space="preserve">dále MV neevidovalo </w:t>
      </w:r>
      <w:r w:rsidR="00EC1648">
        <w:t>u</w:t>
      </w:r>
      <w:r w:rsidR="004A09C1">
        <w:t> </w:t>
      </w:r>
      <w:r w:rsidR="00EC1648">
        <w:t xml:space="preserve">dvou objektů </w:t>
      </w:r>
      <w:r w:rsidR="00EC1648" w:rsidRPr="00FA34E9">
        <w:t>výdaje na likvidaci odpadu</w:t>
      </w:r>
      <w:r w:rsidR="00B612FA">
        <w:t xml:space="preserve"> ve</w:t>
      </w:r>
      <w:r w:rsidR="00A25CBC">
        <w:t xml:space="preserve"> </w:t>
      </w:r>
      <w:r w:rsidR="00B612FA">
        <w:t>výši</w:t>
      </w:r>
      <w:r w:rsidR="00EC1648">
        <w:t xml:space="preserve"> 108,2 tis. Kč a u jednoho objektu </w:t>
      </w:r>
      <w:r w:rsidR="004D306C">
        <w:t xml:space="preserve">MV evidovalo </w:t>
      </w:r>
      <w:r w:rsidR="00EC1648" w:rsidRPr="00C16ED4">
        <w:t>výdaje na</w:t>
      </w:r>
      <w:r w:rsidR="00A25CBC">
        <w:t xml:space="preserve"> </w:t>
      </w:r>
      <w:r w:rsidR="00EC1648" w:rsidRPr="00C16ED4">
        <w:t>plyn o 378,5 tis. Kč</w:t>
      </w:r>
      <w:r w:rsidR="004D306C">
        <w:t xml:space="preserve"> vyšší.</w:t>
      </w:r>
    </w:p>
    <w:p w14:paraId="3AFCB4F9" w14:textId="305CF135" w:rsidR="00EC1648" w:rsidRDefault="00EC1648" w:rsidP="00EC1648">
      <w:r w:rsidRPr="00B8244E">
        <w:t>MV</w:t>
      </w:r>
      <w:r>
        <w:t xml:space="preserve"> jako jedin</w:t>
      </w:r>
      <w:r w:rsidR="000C222F">
        <w:t>á státní instituce</w:t>
      </w:r>
      <w:r w:rsidR="00711B89" w:rsidRPr="00FD1EC9">
        <w:rPr>
          <w:rFonts w:ascii="Calibri" w:eastAsia="Times New Roman" w:hAnsi="Calibri" w:cs="Times New Roman"/>
          <w:szCs w:val="24"/>
          <w:vertAlign w:val="superscript"/>
        </w:rPr>
        <w:t>3</w:t>
      </w:r>
      <w:r>
        <w:t xml:space="preserve"> </w:t>
      </w:r>
      <w:r w:rsidR="002D00B6">
        <w:t xml:space="preserve">zadávalo </w:t>
      </w:r>
      <w:r w:rsidR="007F61D6">
        <w:t xml:space="preserve">od roku 2013 </w:t>
      </w:r>
      <w:r>
        <w:t>data do CRAB</w:t>
      </w:r>
      <w:r w:rsidRPr="00B8244E">
        <w:t xml:space="preserve"> </w:t>
      </w:r>
      <w:r w:rsidR="002D00B6">
        <w:t>automatizovaně prostřednictvím off</w:t>
      </w:r>
      <w:r w:rsidR="00A25CBC">
        <w:t>-</w:t>
      </w:r>
      <w:r w:rsidR="002D00B6">
        <w:t>line migrace</w:t>
      </w:r>
      <w:r>
        <w:rPr>
          <w:rStyle w:val="Znakapoznpodarou"/>
        </w:rPr>
        <w:footnoteReference w:id="54"/>
      </w:r>
      <w:r>
        <w:t xml:space="preserve">. NKÚ zjistil, že </w:t>
      </w:r>
      <w:r w:rsidR="00B3556F">
        <w:t>MV migrovalo</w:t>
      </w:r>
      <w:r>
        <w:t xml:space="preserve"> v roce 2015 </w:t>
      </w:r>
      <w:r w:rsidR="00B3556F">
        <w:t xml:space="preserve">údaje </w:t>
      </w:r>
      <w:r>
        <w:t>za</w:t>
      </w:r>
      <w:r w:rsidR="00A25CBC">
        <w:t xml:space="preserve"> </w:t>
      </w:r>
      <w:r w:rsidR="00B3556F">
        <w:t xml:space="preserve">poslední </w:t>
      </w:r>
      <w:r w:rsidRPr="00B8244E">
        <w:t xml:space="preserve">čtvrtletí </w:t>
      </w:r>
      <w:r w:rsidR="000C222F">
        <w:t>jako údaje</w:t>
      </w:r>
      <w:r w:rsidR="000C222F" w:rsidRPr="00B8244E">
        <w:t xml:space="preserve"> </w:t>
      </w:r>
      <w:r w:rsidRPr="00B8244E">
        <w:t>celého roku 2015</w:t>
      </w:r>
      <w:r>
        <w:t xml:space="preserve">, </w:t>
      </w:r>
      <w:r w:rsidR="000C222F">
        <w:t>a to</w:t>
      </w:r>
      <w:r w:rsidRPr="002B7260">
        <w:t xml:space="preserve"> výdaje ve</w:t>
      </w:r>
      <w:r w:rsidR="00A25CBC">
        <w:t xml:space="preserve"> </w:t>
      </w:r>
      <w:r w:rsidRPr="002B7260">
        <w:t>výši 261</w:t>
      </w:r>
      <w:r w:rsidR="007F61D6">
        <w:t> </w:t>
      </w:r>
      <w:r w:rsidRPr="002B7260">
        <w:t>mil</w:t>
      </w:r>
      <w:r w:rsidR="002D00B6" w:rsidRPr="002B7260">
        <w:t>.</w:t>
      </w:r>
      <w:r w:rsidR="002D00B6">
        <w:t> </w:t>
      </w:r>
      <w:r w:rsidRPr="002B7260">
        <w:t>Kč a</w:t>
      </w:r>
      <w:r>
        <w:t> </w:t>
      </w:r>
      <w:r w:rsidRPr="002B7260">
        <w:t xml:space="preserve">příjmy ve výši 2 mil. Kč. Dle </w:t>
      </w:r>
      <w:r w:rsidR="00911385">
        <w:t>údajů z EKIS a REM</w:t>
      </w:r>
      <w:r w:rsidRPr="002B7260">
        <w:t xml:space="preserve"> však peněžní prostředky na</w:t>
      </w:r>
      <w:r w:rsidR="00A25CBC">
        <w:t xml:space="preserve"> </w:t>
      </w:r>
      <w:r w:rsidRPr="002B7260">
        <w:t>správu objektů resortu MV evidovaných v CRAB za rok 2015 činily 786 mil. Kč a příjmy z pronájmu objektů 14 mil. Kč.</w:t>
      </w:r>
      <w:r>
        <w:t xml:space="preserve"> </w:t>
      </w:r>
      <w:r w:rsidRPr="002B7260">
        <w:t xml:space="preserve">Vzhledem </w:t>
      </w:r>
      <w:r w:rsidR="00D2455F" w:rsidRPr="00C21F0F">
        <w:t>k</w:t>
      </w:r>
      <w:r w:rsidR="00D2455F">
        <w:t> </w:t>
      </w:r>
      <w:r w:rsidRPr="00C21F0F">
        <w:t>tomu, že MV evidovalo v roce 2015 v CRAB zhruba tisíc objektů, tedy přibližně třetinu bu</w:t>
      </w:r>
      <w:r>
        <w:t>dov evidovaných v CRAB, došlo k významné</w:t>
      </w:r>
      <w:r w:rsidRPr="00C21F0F">
        <w:t xml:space="preserve"> </w:t>
      </w:r>
      <w:r w:rsidR="00527D51">
        <w:t>chybě v evidenci</w:t>
      </w:r>
      <w:r w:rsidRPr="00C21F0F">
        <w:t xml:space="preserve"> dat</w:t>
      </w:r>
      <w:r w:rsidR="00747D36">
        <w:t>, což negativně ovlivňuje kvalitu</w:t>
      </w:r>
      <w:r w:rsidR="00A25CBC">
        <w:t xml:space="preserve"> </w:t>
      </w:r>
      <w:r w:rsidRPr="00C21F0F">
        <w:t xml:space="preserve">výstupů z CRAB za rok 2015. </w:t>
      </w:r>
      <w:r w:rsidRPr="00B8244E">
        <w:t xml:space="preserve">MV </w:t>
      </w:r>
      <w:r w:rsidR="00B65A12">
        <w:t xml:space="preserve">dále </w:t>
      </w:r>
      <w:r>
        <w:t>neevidovalo</w:t>
      </w:r>
      <w:r w:rsidRPr="00B8244E">
        <w:t xml:space="preserve"> reálné využ</w:t>
      </w:r>
      <w:r>
        <w:t xml:space="preserve">ití kancelářské plochy </w:t>
      </w:r>
      <w:r w:rsidR="00D2455F">
        <w:t>v </w:t>
      </w:r>
      <w:r>
        <w:t>objektech</w:t>
      </w:r>
      <w:r w:rsidRPr="00B8244E">
        <w:t xml:space="preserve"> </w:t>
      </w:r>
      <w:r>
        <w:t>a uvádělo</w:t>
      </w:r>
      <w:r w:rsidRPr="00B8244E">
        <w:t xml:space="preserve"> spotřebu plynu v</w:t>
      </w:r>
      <w:r>
        <w:t> </w:t>
      </w:r>
      <w:r w:rsidRPr="00B8244E">
        <w:t>měrných jednotkách GJ místo m</w:t>
      </w:r>
      <w:r w:rsidRPr="00B8244E">
        <w:rPr>
          <w:vertAlign w:val="superscript"/>
        </w:rPr>
        <w:t>3</w:t>
      </w:r>
      <w:r>
        <w:t>. MV evidovalo u objektů kancelářskou plochu nevyužitou pouze v případě, že se jednalo o nepotřebný majetek v režimu odprodeje, u ostatních objektů evidovalo veškerou kancelářskou plochu jako využitou bez ohledu na skutečný stav využití objektu.</w:t>
      </w:r>
    </w:p>
    <w:p w14:paraId="6873A6B8" w14:textId="1724E181" w:rsidR="00517318" w:rsidRDefault="001A6068" w:rsidP="00DF01C8">
      <w:pPr>
        <w:rPr>
          <w:rFonts w:cs="Calibri"/>
        </w:rPr>
      </w:pPr>
      <w:r>
        <w:t xml:space="preserve">NKÚ se zaměřil na úplnost a správnost </w:t>
      </w:r>
      <w:r w:rsidR="00517318">
        <w:t xml:space="preserve">údajů </w:t>
      </w:r>
      <w:r>
        <w:t xml:space="preserve">evidovaných </w:t>
      </w:r>
      <w:r w:rsidR="00517318">
        <w:t xml:space="preserve">v CRAB </w:t>
      </w:r>
      <w:r>
        <w:t>i v jiných kontrolních akcích. NKÚ v kontrolní akci č. 16/18</w:t>
      </w:r>
      <w:r>
        <w:rPr>
          <w:rStyle w:val="Znakapoznpodarou"/>
        </w:rPr>
        <w:footnoteReference w:id="55"/>
      </w:r>
      <w:r>
        <w:t xml:space="preserve"> zjistil, že Státní ústav pro kontrolu léčiv neposkytl do</w:t>
      </w:r>
      <w:r w:rsidR="00A25CBC">
        <w:t xml:space="preserve"> </w:t>
      </w:r>
      <w:r>
        <w:t>CRAB úplné a</w:t>
      </w:r>
      <w:r w:rsidR="00D2455F">
        <w:t> </w:t>
      </w:r>
      <w:r>
        <w:t>pravdivé údaje</w:t>
      </w:r>
      <w:r>
        <w:rPr>
          <w:rStyle w:val="Znakapoznpodarou"/>
        </w:rPr>
        <w:footnoteReference w:id="56"/>
      </w:r>
      <w:r>
        <w:t xml:space="preserve">, jelikož v CRAB neevidoval informace o  administrativních prostorech </w:t>
      </w:r>
      <w:r w:rsidR="00A25CBC">
        <w:t xml:space="preserve">najímaných </w:t>
      </w:r>
      <w:r>
        <w:t>od</w:t>
      </w:r>
      <w:r w:rsidR="00A25CBC">
        <w:t xml:space="preserve"> </w:t>
      </w:r>
      <w:r>
        <w:t>jiných subjektů v celkové výměře 1 067 m</w:t>
      </w:r>
      <w:r w:rsidRPr="00D06103">
        <w:rPr>
          <w:vertAlign w:val="superscript"/>
        </w:rPr>
        <w:t>2</w:t>
      </w:r>
      <w:r>
        <w:t xml:space="preserve">. </w:t>
      </w:r>
      <w:r w:rsidR="003273C4">
        <w:t>Také v</w:t>
      </w:r>
      <w:r>
        <w:t> kontrolní akci č.</w:t>
      </w:r>
      <w:r w:rsidR="008659E4">
        <w:t> </w:t>
      </w:r>
      <w:r>
        <w:t xml:space="preserve">13/40 NKÚ </w:t>
      </w:r>
      <w:r w:rsidRPr="00F8635D">
        <w:t>konstatoval nesrovnalosti v údajích evidovaných v CRAB.</w:t>
      </w:r>
      <w:r w:rsidRPr="00F8635D">
        <w:rPr>
          <w:rFonts w:cs="Calibri"/>
        </w:rPr>
        <w:t xml:space="preserve"> </w:t>
      </w:r>
    </w:p>
    <w:p w14:paraId="568CA526" w14:textId="1E409A2F" w:rsidR="00CA78A5" w:rsidRPr="00F8635D" w:rsidRDefault="00CA78A5" w:rsidP="00DF01C8">
      <w:r w:rsidRPr="00F8635D">
        <w:lastRenderedPageBreak/>
        <w:t xml:space="preserve">Ačkoli </w:t>
      </w:r>
      <w:r w:rsidR="007B2621" w:rsidRPr="00F8635D">
        <w:t xml:space="preserve">CRAB obsahuje přes </w:t>
      </w:r>
      <w:r w:rsidR="00D2455F" w:rsidRPr="00F8635D">
        <w:t>30 </w:t>
      </w:r>
      <w:r w:rsidR="007B2621" w:rsidRPr="00F8635D">
        <w:t>předdefinovaných reportů a tzv. ad</w:t>
      </w:r>
      <w:r w:rsidR="00A25CBC">
        <w:t xml:space="preserve"> </w:t>
      </w:r>
      <w:r w:rsidR="007B2621" w:rsidRPr="00F8635D">
        <w:t>hoc report</w:t>
      </w:r>
      <w:r w:rsidR="00A525E1" w:rsidRPr="00F8635D">
        <w:t>ů</w:t>
      </w:r>
      <w:r w:rsidR="007B2621" w:rsidRPr="00F8635D">
        <w:rPr>
          <w:rStyle w:val="Znakapoznpodarou"/>
        </w:rPr>
        <w:footnoteReference w:id="57"/>
      </w:r>
      <w:r w:rsidRPr="00F8635D">
        <w:t>,</w:t>
      </w:r>
      <w:r w:rsidR="007B2621" w:rsidRPr="00F8635D">
        <w:t xml:space="preserve"> </w:t>
      </w:r>
      <w:r w:rsidR="00F425CA" w:rsidRPr="00F8635D">
        <w:t xml:space="preserve">NKÚ zjistil, že nelze bez využítí služeb dodavatele </w:t>
      </w:r>
      <w:r w:rsidR="000C222F" w:rsidRPr="00F8635D">
        <w:t xml:space="preserve">z CRAB </w:t>
      </w:r>
      <w:r w:rsidR="00F425CA" w:rsidRPr="00F8635D">
        <w:t>získat datovou sadu, která by obsahovala všechny povinně zadávané údaje do</w:t>
      </w:r>
      <w:r w:rsidR="00A25CBC">
        <w:t xml:space="preserve"> </w:t>
      </w:r>
      <w:r w:rsidR="00F425CA" w:rsidRPr="00F8635D">
        <w:t xml:space="preserve">CRAB v členění po objektech </w:t>
      </w:r>
      <w:r w:rsidR="00D2455F" w:rsidRPr="00F8635D">
        <w:t>a </w:t>
      </w:r>
      <w:r w:rsidR="00F425CA" w:rsidRPr="00F8635D">
        <w:t xml:space="preserve">subjektech užívajích tyto objekty. </w:t>
      </w:r>
      <w:r w:rsidR="004D306C" w:rsidRPr="00F8635D">
        <w:t>Náročnost takového požadavku odhadl dodavatel na čtyři člověkodny, tj. 80 tis. Kč.</w:t>
      </w:r>
      <w:r w:rsidR="007B2621" w:rsidRPr="00F8635D">
        <w:t xml:space="preserve"> NKÚ tedy využil dostupné reporty CRAB</w:t>
      </w:r>
      <w:r w:rsidR="000C222F" w:rsidRPr="00F8635D">
        <w:t xml:space="preserve"> a nepožadoval vytvoření jiných sestav</w:t>
      </w:r>
      <w:r w:rsidR="007B2621" w:rsidRPr="00F8635D">
        <w:t>.</w:t>
      </w:r>
      <w:r w:rsidR="004D306C" w:rsidRPr="00F8635D">
        <w:t xml:space="preserve"> </w:t>
      </w:r>
    </w:p>
    <w:p w14:paraId="6BDD48D7" w14:textId="05C0D778" w:rsidR="00F425CA" w:rsidRPr="00DF01C8" w:rsidRDefault="00084E2E" w:rsidP="00DF01C8">
      <w:pPr>
        <w:rPr>
          <w:rFonts w:cstheme="minorHAnsi"/>
        </w:rPr>
      </w:pPr>
      <w:r>
        <w:rPr>
          <w:rFonts w:cstheme="minorHAnsi"/>
        </w:rPr>
        <w:t>Reporty obsahují</w:t>
      </w:r>
      <w:r w:rsidRPr="00F8635D">
        <w:rPr>
          <w:rFonts w:cstheme="minorHAnsi"/>
        </w:rPr>
        <w:t xml:space="preserve"> pouze vybrané údaje z</w:t>
      </w:r>
      <w:r w:rsidR="007014CF">
        <w:rPr>
          <w:rFonts w:cstheme="minorHAnsi"/>
        </w:rPr>
        <w:t> </w:t>
      </w:r>
      <w:r w:rsidRPr="00F8635D">
        <w:rPr>
          <w:rFonts w:cstheme="minorHAnsi"/>
        </w:rPr>
        <w:t>C</w:t>
      </w:r>
      <w:r w:rsidR="007014CF">
        <w:rPr>
          <w:rFonts w:cstheme="minorHAnsi"/>
        </w:rPr>
        <w:t xml:space="preserve">RAB a </w:t>
      </w:r>
      <w:r w:rsidR="009034EF" w:rsidRPr="007014CF">
        <w:rPr>
          <w:rFonts w:cstheme="minorHAnsi"/>
        </w:rPr>
        <w:t xml:space="preserve">využívají </w:t>
      </w:r>
      <w:r w:rsidR="009034EF" w:rsidRPr="00907586">
        <w:rPr>
          <w:rFonts w:cstheme="minorHAnsi"/>
        </w:rPr>
        <w:t>různé datové základny</w:t>
      </w:r>
      <w:r w:rsidR="00DF01C8" w:rsidRPr="00907586">
        <w:rPr>
          <w:rFonts w:cstheme="minorHAnsi"/>
        </w:rPr>
        <w:t xml:space="preserve">, </w:t>
      </w:r>
      <w:r w:rsidR="007014CF" w:rsidRPr="00907586">
        <w:rPr>
          <w:rFonts w:cstheme="minorHAnsi"/>
        </w:rPr>
        <w:t xml:space="preserve">proto </w:t>
      </w:r>
      <w:r w:rsidR="00DF01C8" w:rsidRPr="00907586">
        <w:rPr>
          <w:rFonts w:cstheme="minorHAnsi"/>
        </w:rPr>
        <w:t xml:space="preserve">nelze </w:t>
      </w:r>
      <w:r w:rsidR="00DF01C8" w:rsidRPr="007014CF">
        <w:rPr>
          <w:rFonts w:cstheme="minorHAnsi"/>
        </w:rPr>
        <w:t xml:space="preserve">vzájemně porovnávat údaje získané z </w:t>
      </w:r>
      <w:r w:rsidR="009034EF" w:rsidRPr="007014CF">
        <w:rPr>
          <w:rFonts w:cstheme="minorHAnsi"/>
        </w:rPr>
        <w:t xml:space="preserve">jednotlivých </w:t>
      </w:r>
      <w:r w:rsidR="00DF01C8" w:rsidRPr="007014CF">
        <w:rPr>
          <w:rFonts w:cstheme="minorHAnsi"/>
        </w:rPr>
        <w:t>reportů</w:t>
      </w:r>
      <w:r w:rsidR="00747D36" w:rsidRPr="007014CF">
        <w:rPr>
          <w:rFonts w:cstheme="minorHAnsi"/>
        </w:rPr>
        <w:t>.</w:t>
      </w:r>
      <w:r w:rsidR="007014CF" w:rsidRPr="007014CF">
        <w:rPr>
          <w:rFonts w:cstheme="minorHAnsi"/>
        </w:rPr>
        <w:t xml:space="preserve"> </w:t>
      </w:r>
      <w:r w:rsidR="00747D36" w:rsidRPr="007014CF">
        <w:rPr>
          <w:rFonts w:cstheme="minorHAnsi"/>
        </w:rPr>
        <w:t xml:space="preserve">Dle ÚZSVM je </w:t>
      </w:r>
      <w:r w:rsidR="009034EF" w:rsidRPr="007014CF">
        <w:rPr>
          <w:rFonts w:cstheme="minorHAnsi"/>
        </w:rPr>
        <w:t xml:space="preserve">současné </w:t>
      </w:r>
      <w:r w:rsidR="00747D36" w:rsidRPr="007014CF">
        <w:rPr>
          <w:rFonts w:cstheme="minorHAnsi"/>
        </w:rPr>
        <w:t xml:space="preserve">nastavení CRAB </w:t>
      </w:r>
      <w:r w:rsidR="009034EF" w:rsidRPr="007014CF">
        <w:rPr>
          <w:rFonts w:cstheme="minorHAnsi"/>
        </w:rPr>
        <w:t>vyhovující</w:t>
      </w:r>
      <w:r w:rsidR="00747D36" w:rsidRPr="007014CF">
        <w:rPr>
          <w:rFonts w:cstheme="minorHAnsi"/>
        </w:rPr>
        <w:t>. U</w:t>
      </w:r>
      <w:r w:rsidR="00E42DF1" w:rsidRPr="007014CF">
        <w:rPr>
          <w:rFonts w:cstheme="minorHAnsi"/>
        </w:rPr>
        <w:t xml:space="preserve">kazatele výkonnosti lze </w:t>
      </w:r>
      <w:r w:rsidR="007014CF" w:rsidRPr="007014CF">
        <w:rPr>
          <w:rFonts w:cstheme="minorHAnsi"/>
        </w:rPr>
        <w:t xml:space="preserve">získat </w:t>
      </w:r>
      <w:r w:rsidR="00E42DF1" w:rsidRPr="007014CF">
        <w:rPr>
          <w:rFonts w:cstheme="minorHAnsi"/>
        </w:rPr>
        <w:t>z definovaných reportů</w:t>
      </w:r>
      <w:r w:rsidR="00277B3C" w:rsidRPr="007014CF">
        <w:rPr>
          <w:rFonts w:cstheme="minorHAnsi"/>
        </w:rPr>
        <w:t xml:space="preserve"> CRAB</w:t>
      </w:r>
      <w:r w:rsidR="00747D36" w:rsidRPr="007014CF">
        <w:rPr>
          <w:rFonts w:cstheme="minorHAnsi"/>
        </w:rPr>
        <w:t>, avšak</w:t>
      </w:r>
      <w:r w:rsidR="00570609" w:rsidRPr="007014CF">
        <w:rPr>
          <w:rFonts w:cstheme="minorHAnsi"/>
        </w:rPr>
        <w:t xml:space="preserve"> </w:t>
      </w:r>
      <w:r w:rsidR="00747D36" w:rsidRPr="007014CF">
        <w:rPr>
          <w:rFonts w:cstheme="minorHAnsi"/>
        </w:rPr>
        <w:t>nelze</w:t>
      </w:r>
      <w:r w:rsidR="00570609" w:rsidRPr="007014CF">
        <w:rPr>
          <w:rFonts w:cstheme="minorHAnsi"/>
        </w:rPr>
        <w:t xml:space="preserve"> je komplexně</w:t>
      </w:r>
      <w:r w:rsidR="00616E9C" w:rsidRPr="007014CF">
        <w:rPr>
          <w:rFonts w:cstheme="minorHAnsi"/>
        </w:rPr>
        <w:t xml:space="preserve"> </w:t>
      </w:r>
      <w:r w:rsidR="00570609" w:rsidRPr="007014CF">
        <w:rPr>
          <w:rFonts w:cstheme="minorHAnsi"/>
        </w:rPr>
        <w:t>propojit s dalšími údaji o objektu, např. stavebně technickým stavem</w:t>
      </w:r>
      <w:r w:rsidR="00DF01C8" w:rsidRPr="007014CF">
        <w:rPr>
          <w:rFonts w:cstheme="minorHAnsi"/>
        </w:rPr>
        <w:t xml:space="preserve">. </w:t>
      </w:r>
      <w:r w:rsidR="00277B3C" w:rsidRPr="007014CF">
        <w:rPr>
          <w:rFonts w:cstheme="minorHAnsi"/>
        </w:rPr>
        <w:t>Vybrané ukazatele</w:t>
      </w:r>
      <w:r w:rsidR="007014CF" w:rsidRPr="007014CF">
        <w:rPr>
          <w:rFonts w:cstheme="minorHAnsi"/>
        </w:rPr>
        <w:t xml:space="preserve"> za celou ČR</w:t>
      </w:r>
      <w:r w:rsidR="00277B3C" w:rsidRPr="007014CF">
        <w:rPr>
          <w:rFonts w:cstheme="minorHAnsi"/>
        </w:rPr>
        <w:t xml:space="preserve"> jsou uvedeny v příloze č. 5</w:t>
      </w:r>
      <w:r w:rsidR="00907586">
        <w:rPr>
          <w:rFonts w:cstheme="minorHAnsi"/>
        </w:rPr>
        <w:t xml:space="preserve"> (tabulka</w:t>
      </w:r>
      <w:r w:rsidR="007014CF" w:rsidRPr="00330BDC">
        <w:rPr>
          <w:rFonts w:cstheme="minorHAnsi"/>
        </w:rPr>
        <w:t xml:space="preserve"> č. 5</w:t>
      </w:r>
      <w:r w:rsidR="00CE627B">
        <w:rPr>
          <w:rFonts w:cstheme="minorHAnsi"/>
        </w:rPr>
        <w:t>–</w:t>
      </w:r>
      <w:r w:rsidR="007014CF" w:rsidRPr="00330BDC">
        <w:rPr>
          <w:rFonts w:cstheme="minorHAnsi"/>
        </w:rPr>
        <w:t>8), vybrané ukazatele za</w:t>
      </w:r>
      <w:r w:rsidR="00C0347F">
        <w:rPr>
          <w:rFonts w:cstheme="minorHAnsi"/>
        </w:rPr>
        <w:t xml:space="preserve"> </w:t>
      </w:r>
      <w:r w:rsidR="007014CF" w:rsidRPr="00330BDC">
        <w:rPr>
          <w:rFonts w:cstheme="minorHAnsi"/>
        </w:rPr>
        <w:t>jednotlivé státní instituce</w:t>
      </w:r>
      <w:r w:rsidR="007014CF" w:rsidRPr="00330BDC">
        <w:rPr>
          <w:rFonts w:cstheme="minorHAnsi"/>
          <w:vertAlign w:val="superscript"/>
        </w:rPr>
        <w:t>3</w:t>
      </w:r>
      <w:r w:rsidR="007014CF" w:rsidRPr="00330BDC">
        <w:rPr>
          <w:rFonts w:cstheme="minorHAnsi"/>
        </w:rPr>
        <w:t xml:space="preserve"> jsou uvedeny v příloze č. 2</w:t>
      </w:r>
      <w:r w:rsidR="007014CF" w:rsidRPr="00330BDC">
        <w:rPr>
          <w:rStyle w:val="Znakapoznpodarou"/>
          <w:rFonts w:cstheme="minorHAnsi"/>
        </w:rPr>
        <w:footnoteReference w:id="58"/>
      </w:r>
      <w:r w:rsidR="00277B3C" w:rsidRPr="007014CF">
        <w:rPr>
          <w:rFonts w:cstheme="minorHAnsi"/>
        </w:rPr>
        <w:t>.</w:t>
      </w:r>
      <w:r w:rsidR="00937992" w:rsidRPr="00907586">
        <w:rPr>
          <w:rFonts w:cstheme="minorHAnsi"/>
        </w:rPr>
        <w:t xml:space="preserve"> </w:t>
      </w:r>
      <w:r w:rsidR="00AA3721" w:rsidRPr="00907586">
        <w:t>Plochu</w:t>
      </w:r>
      <w:r w:rsidR="00AA3721">
        <w:t xml:space="preserve"> objektů užívanou jednotlivými státními institucemi lze získat pouze </w:t>
      </w:r>
      <w:r w:rsidR="00937992">
        <w:t xml:space="preserve">z </w:t>
      </w:r>
      <w:r w:rsidR="00AA3721">
        <w:t xml:space="preserve">reportu </w:t>
      </w:r>
      <w:r w:rsidR="00937992">
        <w:t xml:space="preserve">CRAB </w:t>
      </w:r>
      <w:r w:rsidR="00AA3721">
        <w:t>č.</w:t>
      </w:r>
      <w:r w:rsidR="00937992">
        <w:t> </w:t>
      </w:r>
      <w:r w:rsidR="00AA3721">
        <w:t xml:space="preserve">9 </w:t>
      </w:r>
      <w:r w:rsidR="00F004D2">
        <w:t>–</w:t>
      </w:r>
      <w:r w:rsidR="00AA3721" w:rsidRPr="000E50B5">
        <w:t xml:space="preserve"> </w:t>
      </w:r>
      <w:r w:rsidR="00C0347F">
        <w:t>p</w:t>
      </w:r>
      <w:r w:rsidR="00AA3721" w:rsidRPr="000E50B5">
        <w:t>řehled pro účely RDK/VDK/vlády</w:t>
      </w:r>
      <w:r w:rsidR="009034EF">
        <w:t>. Report č.</w:t>
      </w:r>
      <w:r w:rsidR="00D2455F">
        <w:t> </w:t>
      </w:r>
      <w:r w:rsidR="009034EF">
        <w:t>9 však generuje pouze sestavu k aktuálnímu datu</w:t>
      </w:r>
      <w:r w:rsidR="00C0347F">
        <w:t>,</w:t>
      </w:r>
      <w:r w:rsidR="009034EF">
        <w:t xml:space="preserve"> a nelze tedy získat zpětně roční přehledy celkových</w:t>
      </w:r>
      <w:r w:rsidR="00A525E1">
        <w:t xml:space="preserve"> </w:t>
      </w:r>
      <w:r w:rsidR="00AA3721">
        <w:t xml:space="preserve">ploch užívaných státními subjekty </w:t>
      </w:r>
      <w:r w:rsidR="009034EF">
        <w:t>a</w:t>
      </w:r>
      <w:r w:rsidR="00746FFD">
        <w:t> </w:t>
      </w:r>
      <w:r w:rsidR="00423E9D">
        <w:t xml:space="preserve">historický </w:t>
      </w:r>
      <w:r w:rsidR="00E15FD8">
        <w:t>vývoj</w:t>
      </w:r>
      <w:r w:rsidR="00AA3721">
        <w:t xml:space="preserve">. </w:t>
      </w:r>
      <w:r w:rsidR="00617847">
        <w:t>CRAB sice po</w:t>
      </w:r>
      <w:r w:rsidR="00C0347F">
        <w:t xml:space="preserve"> </w:t>
      </w:r>
      <w:r w:rsidR="00617847">
        <w:t>technické stránce umožňuje v</w:t>
      </w:r>
      <w:r w:rsidR="00617847">
        <w:rPr>
          <w:rFonts w:eastAsia="Times New Roman" w:cs="Calibri"/>
          <w:szCs w:val="24"/>
        </w:rPr>
        <w:t>yhledávání a</w:t>
      </w:r>
      <w:r w:rsidR="00746FFD">
        <w:rPr>
          <w:rFonts w:eastAsia="Times New Roman" w:cs="Calibri"/>
          <w:szCs w:val="24"/>
        </w:rPr>
        <w:t> </w:t>
      </w:r>
      <w:r w:rsidR="00617847">
        <w:rPr>
          <w:rFonts w:eastAsia="Times New Roman" w:cs="Calibri"/>
          <w:szCs w:val="24"/>
        </w:rPr>
        <w:t xml:space="preserve">třídění v evidenci podle zvolených kritérií včetně tisku reportů, </w:t>
      </w:r>
      <w:r w:rsidR="00C0347F">
        <w:rPr>
          <w:rFonts w:eastAsia="Times New Roman" w:cs="Calibri"/>
          <w:szCs w:val="24"/>
        </w:rPr>
        <w:t>což</w:t>
      </w:r>
      <w:r w:rsidR="00617847">
        <w:rPr>
          <w:rFonts w:eastAsia="Times New Roman" w:cs="Calibri"/>
          <w:szCs w:val="24"/>
        </w:rPr>
        <w:t xml:space="preserve"> bylo jedním z hlavních cílů CRAB, avšak výše uvedené skutečnosti vyhledávání v CRAB a využití reportů limitují.</w:t>
      </w:r>
      <w:r w:rsidRPr="00084E2E">
        <w:rPr>
          <w:rFonts w:cstheme="minorHAnsi"/>
        </w:rPr>
        <w:t xml:space="preserve"> </w:t>
      </w:r>
      <w:r w:rsidRPr="00907586">
        <w:rPr>
          <w:rFonts w:cstheme="minorHAnsi"/>
        </w:rPr>
        <w:t xml:space="preserve">NKÚ </w:t>
      </w:r>
      <w:r w:rsidR="00907586" w:rsidRPr="00907586">
        <w:rPr>
          <w:rFonts w:cstheme="minorHAnsi"/>
        </w:rPr>
        <w:t xml:space="preserve">navíc </w:t>
      </w:r>
      <w:r w:rsidRPr="00907586">
        <w:rPr>
          <w:rFonts w:cstheme="minorHAnsi"/>
        </w:rPr>
        <w:t>zjistil nesoulad i mezi reporty, u nichž byla stejná datová základna.</w:t>
      </w:r>
      <w:r w:rsidRPr="00F8635D">
        <w:t xml:space="preserve"> </w:t>
      </w:r>
    </w:p>
    <w:p w14:paraId="0D92BACE" w14:textId="5216B936" w:rsidR="00F7658B" w:rsidRPr="005C30C9" w:rsidRDefault="00F7658B" w:rsidP="00E14EA0">
      <w:pPr>
        <w:pStyle w:val="Nadpis3"/>
        <w:tabs>
          <w:tab w:val="clear" w:pos="425"/>
          <w:tab w:val="clear" w:pos="567"/>
        </w:tabs>
        <w:ind w:left="284" w:hanging="284"/>
        <w:jc w:val="left"/>
      </w:pPr>
      <w:r>
        <w:t>ÚZSVM vynaložil přes půl miliardy</w:t>
      </w:r>
      <w:r w:rsidR="00C0347F">
        <w:t xml:space="preserve"> korun</w:t>
      </w:r>
      <w:r w:rsidRPr="005C30C9">
        <w:t xml:space="preserve"> na</w:t>
      </w:r>
      <w:r w:rsidR="00C0347F">
        <w:t xml:space="preserve"> </w:t>
      </w:r>
      <w:r>
        <w:t>vývoj a provoz</w:t>
      </w:r>
      <w:r w:rsidRPr="005C30C9">
        <w:t xml:space="preserve"> CRAB</w:t>
      </w:r>
      <w:r>
        <w:t>, ale</w:t>
      </w:r>
      <w:r w:rsidR="00EB3A13">
        <w:t xml:space="preserve"> stanovených cílů </w:t>
      </w:r>
      <w:r>
        <w:t xml:space="preserve">nebylo </w:t>
      </w:r>
      <w:r w:rsidR="00AE58EA">
        <w:t xml:space="preserve">prostřednictvím CRAB </w:t>
      </w:r>
      <w:r w:rsidR="00EB3A13">
        <w:t>dosaženo</w:t>
      </w:r>
    </w:p>
    <w:p w14:paraId="75886D92" w14:textId="3BC17B20" w:rsidR="002E4E42" w:rsidRPr="00F8635D" w:rsidRDefault="00617847" w:rsidP="00F7658B">
      <w:pPr>
        <w:rPr>
          <w:rFonts w:eastAsia="Times New Roman" w:cs="Calibri"/>
          <w:szCs w:val="24"/>
        </w:rPr>
      </w:pPr>
      <w:r>
        <w:t>Jedním z cílů projektu CRAB bylo z</w:t>
      </w:r>
      <w:r w:rsidRPr="00A163EB">
        <w:t>přístupnění komplexních informací o majetku na jednom místě</w:t>
      </w:r>
      <w:r>
        <w:t xml:space="preserve">. Dle </w:t>
      </w:r>
      <w:r w:rsidRPr="00796AB2">
        <w:t xml:space="preserve">ÚZSVM </w:t>
      </w:r>
      <w:r>
        <w:t xml:space="preserve">byl CRAB v roce 2015 </w:t>
      </w:r>
      <w:r w:rsidRPr="00796AB2">
        <w:t>naplněn daty z 99,9 %</w:t>
      </w:r>
      <w:r>
        <w:t xml:space="preserve">, přičemž </w:t>
      </w:r>
      <w:r>
        <w:rPr>
          <w:rFonts w:cs="Calibri"/>
        </w:rPr>
        <w:t>stanovená hodnota nevycházela z </w:t>
      </w:r>
      <w:r w:rsidRPr="0099394E">
        <w:rPr>
          <w:rFonts w:cs="Calibri"/>
        </w:rPr>
        <w:t xml:space="preserve">vymezeného přehledu </w:t>
      </w:r>
      <w:r>
        <w:rPr>
          <w:rFonts w:cs="Calibri"/>
        </w:rPr>
        <w:t xml:space="preserve">objektů, ale pouze z </w:t>
      </w:r>
      <w:r w:rsidRPr="0099394E">
        <w:rPr>
          <w:rFonts w:cs="Calibri"/>
        </w:rPr>
        <w:t>odb</w:t>
      </w:r>
      <w:r>
        <w:rPr>
          <w:rFonts w:cs="Calibri"/>
        </w:rPr>
        <w:t>orného odhadu reflektujícího</w:t>
      </w:r>
      <w:r w:rsidRPr="0099394E">
        <w:rPr>
          <w:rFonts w:cs="Calibri"/>
        </w:rPr>
        <w:t xml:space="preserve"> empirické zkušenosti ÚZSVM</w:t>
      </w:r>
      <w:r>
        <w:rPr>
          <w:rFonts w:cs="Calibri"/>
        </w:rPr>
        <w:t>.</w:t>
      </w:r>
      <w:r>
        <w:rPr>
          <w:rFonts w:eastAsia="Times New Roman" w:cs="Calibri"/>
          <w:szCs w:val="24"/>
        </w:rPr>
        <w:t xml:space="preserve"> </w:t>
      </w:r>
      <w:r w:rsidR="00250E5D" w:rsidRPr="00886F8B">
        <w:rPr>
          <w:rFonts w:eastAsia="Times New Roman" w:cs="Calibri"/>
          <w:szCs w:val="24"/>
        </w:rPr>
        <w:t xml:space="preserve">ÚZSVM vytvořil v roce 2015 tzv. </w:t>
      </w:r>
      <w:r w:rsidR="00C0347F">
        <w:rPr>
          <w:rFonts w:eastAsia="Times New Roman" w:cs="Calibri"/>
          <w:szCs w:val="24"/>
        </w:rPr>
        <w:t>m</w:t>
      </w:r>
      <w:r w:rsidR="00250E5D" w:rsidRPr="00886F8B">
        <w:rPr>
          <w:rFonts w:eastAsia="Times New Roman" w:cs="Calibri"/>
          <w:szCs w:val="24"/>
        </w:rPr>
        <w:t>apu majetku státu</w:t>
      </w:r>
      <w:r w:rsidR="00250E5D">
        <w:rPr>
          <w:rFonts w:eastAsia="Times New Roman" w:cs="Calibri"/>
          <w:szCs w:val="24"/>
        </w:rPr>
        <w:t xml:space="preserve"> pomocí inventury</w:t>
      </w:r>
      <w:r w:rsidR="00250E5D" w:rsidRPr="00886F8B">
        <w:rPr>
          <w:rFonts w:eastAsia="Times New Roman" w:cs="Calibri"/>
          <w:szCs w:val="24"/>
        </w:rPr>
        <w:t xml:space="preserve"> státních nemovitostí </w:t>
      </w:r>
      <w:r w:rsidR="00250E5D">
        <w:rPr>
          <w:rFonts w:eastAsia="Times New Roman" w:cs="Calibri"/>
          <w:szCs w:val="24"/>
        </w:rPr>
        <w:t xml:space="preserve">vedených v katastru nemovitostí. Dle této analýzy stát </w:t>
      </w:r>
      <w:r w:rsidR="003273C4">
        <w:rPr>
          <w:rFonts w:eastAsia="Times New Roman" w:cs="Calibri"/>
          <w:szCs w:val="24"/>
        </w:rPr>
        <w:t xml:space="preserve">v roce 2015 </w:t>
      </w:r>
      <w:r w:rsidR="00250E5D">
        <w:rPr>
          <w:rFonts w:eastAsia="Times New Roman" w:cs="Calibri"/>
          <w:szCs w:val="24"/>
        </w:rPr>
        <w:t>vlastn</w:t>
      </w:r>
      <w:r w:rsidR="003273C4">
        <w:rPr>
          <w:rFonts w:eastAsia="Times New Roman" w:cs="Calibri"/>
          <w:szCs w:val="24"/>
        </w:rPr>
        <w:t xml:space="preserve">il </w:t>
      </w:r>
      <w:r w:rsidR="00250E5D">
        <w:rPr>
          <w:rFonts w:eastAsia="Times New Roman" w:cs="Calibri"/>
          <w:szCs w:val="24"/>
        </w:rPr>
        <w:t>44 </w:t>
      </w:r>
      <w:r w:rsidR="008113D4">
        <w:rPr>
          <w:rFonts w:eastAsia="Times New Roman" w:cs="Calibri"/>
          <w:szCs w:val="24"/>
        </w:rPr>
        <w:t>tisíc</w:t>
      </w:r>
      <w:r w:rsidR="00C0347F">
        <w:rPr>
          <w:rFonts w:eastAsia="Times New Roman" w:cs="Calibri"/>
          <w:szCs w:val="24"/>
        </w:rPr>
        <w:t xml:space="preserve"> </w:t>
      </w:r>
      <w:r w:rsidR="00250E5D">
        <w:rPr>
          <w:rFonts w:eastAsia="Times New Roman" w:cs="Calibri"/>
          <w:szCs w:val="24"/>
        </w:rPr>
        <w:t>objektů, z toho 43 </w:t>
      </w:r>
      <w:r w:rsidR="008113D4">
        <w:rPr>
          <w:rFonts w:eastAsia="Times New Roman" w:cs="Calibri"/>
          <w:szCs w:val="24"/>
        </w:rPr>
        <w:t>tisíc</w:t>
      </w:r>
      <w:r w:rsidR="00C0347F">
        <w:rPr>
          <w:rFonts w:eastAsia="Times New Roman" w:cs="Calibri"/>
          <w:szCs w:val="24"/>
        </w:rPr>
        <w:t xml:space="preserve"> </w:t>
      </w:r>
      <w:r w:rsidR="00806CE4">
        <w:rPr>
          <w:rFonts w:eastAsia="Times New Roman" w:cs="Calibri"/>
          <w:szCs w:val="24"/>
        </w:rPr>
        <w:t xml:space="preserve">staveb a </w:t>
      </w:r>
      <w:r w:rsidR="008113D4">
        <w:rPr>
          <w:rFonts w:eastAsia="Times New Roman" w:cs="Calibri"/>
          <w:szCs w:val="24"/>
        </w:rPr>
        <w:t>necelý tisíc</w:t>
      </w:r>
      <w:r w:rsidR="00907586">
        <w:rPr>
          <w:rFonts w:eastAsia="Times New Roman" w:cs="Calibri"/>
          <w:szCs w:val="24"/>
        </w:rPr>
        <w:t xml:space="preserve"> </w:t>
      </w:r>
      <w:r w:rsidR="00250E5D">
        <w:rPr>
          <w:rFonts w:eastAsia="Times New Roman" w:cs="Calibri"/>
          <w:szCs w:val="24"/>
        </w:rPr>
        <w:t>bytových</w:t>
      </w:r>
      <w:r w:rsidR="00907586">
        <w:rPr>
          <w:rFonts w:eastAsia="Times New Roman" w:cs="Calibri"/>
          <w:szCs w:val="24"/>
        </w:rPr>
        <w:t xml:space="preserve"> </w:t>
      </w:r>
      <w:r w:rsidR="00250E5D">
        <w:rPr>
          <w:rFonts w:eastAsia="Times New Roman" w:cs="Calibri"/>
          <w:szCs w:val="24"/>
        </w:rPr>
        <w:t>a nebytových</w:t>
      </w:r>
      <w:r w:rsidR="00907586">
        <w:rPr>
          <w:rFonts w:eastAsia="Times New Roman" w:cs="Calibri"/>
          <w:szCs w:val="24"/>
        </w:rPr>
        <w:t xml:space="preserve"> </w:t>
      </w:r>
      <w:r w:rsidR="00250E5D">
        <w:rPr>
          <w:rFonts w:eastAsia="Times New Roman" w:cs="Calibri"/>
          <w:szCs w:val="24"/>
        </w:rPr>
        <w:t xml:space="preserve">jednotek, přičemž přes 97 % těchto položek </w:t>
      </w:r>
      <w:r w:rsidR="003273C4">
        <w:rPr>
          <w:rFonts w:eastAsia="Times New Roman" w:cs="Calibri"/>
          <w:szCs w:val="24"/>
        </w:rPr>
        <w:t xml:space="preserve">bylo </w:t>
      </w:r>
      <w:r w:rsidR="00250E5D">
        <w:rPr>
          <w:rFonts w:eastAsia="Times New Roman" w:cs="Calibri"/>
          <w:szCs w:val="24"/>
        </w:rPr>
        <w:t>ve</w:t>
      </w:r>
      <w:r w:rsidR="00C0347F">
        <w:rPr>
          <w:rFonts w:eastAsia="Times New Roman" w:cs="Calibri"/>
          <w:szCs w:val="24"/>
        </w:rPr>
        <w:t xml:space="preserve"> </w:t>
      </w:r>
      <w:r w:rsidR="00250E5D" w:rsidRPr="00812A66">
        <w:rPr>
          <w:rFonts w:eastAsia="Times New Roman" w:cs="Calibri"/>
          <w:szCs w:val="24"/>
        </w:rPr>
        <w:t>stoprocentním vlastnictví stá</w:t>
      </w:r>
      <w:r w:rsidR="00250E5D">
        <w:rPr>
          <w:rFonts w:eastAsia="Times New Roman" w:cs="Calibri"/>
          <w:szCs w:val="24"/>
        </w:rPr>
        <w:t xml:space="preserve">tu a zbytek v podílovém </w:t>
      </w:r>
      <w:r w:rsidR="00250E5D" w:rsidRPr="00812A66">
        <w:rPr>
          <w:rFonts w:eastAsia="Times New Roman" w:cs="Calibri"/>
          <w:szCs w:val="24"/>
        </w:rPr>
        <w:t>vlastnictví.</w:t>
      </w:r>
      <w:r w:rsidR="00250E5D">
        <w:rPr>
          <w:rFonts w:eastAsia="Times New Roman" w:cs="Calibri"/>
          <w:szCs w:val="24"/>
        </w:rPr>
        <w:t xml:space="preserve"> S ohledem na</w:t>
      </w:r>
      <w:r w:rsidR="00C0347F">
        <w:rPr>
          <w:rFonts w:eastAsia="Times New Roman" w:cs="Calibri"/>
          <w:szCs w:val="24"/>
        </w:rPr>
        <w:t xml:space="preserve"> </w:t>
      </w:r>
      <w:r w:rsidR="00250E5D">
        <w:rPr>
          <w:rFonts w:eastAsia="Times New Roman" w:cs="Calibri"/>
          <w:szCs w:val="24"/>
        </w:rPr>
        <w:t xml:space="preserve">vymezení obsahu CRAB v podobě evidence administrativních budov </w:t>
      </w:r>
      <w:r w:rsidR="00250E5D" w:rsidRPr="00A163EB">
        <w:rPr>
          <w:rFonts w:eastAsia="Times New Roman" w:cs="Calibri"/>
          <w:szCs w:val="24"/>
        </w:rPr>
        <w:t xml:space="preserve">byla </w:t>
      </w:r>
      <w:r w:rsidR="00250E5D">
        <w:rPr>
          <w:rFonts w:eastAsia="Times New Roman" w:cs="Calibri"/>
          <w:szCs w:val="24"/>
        </w:rPr>
        <w:t xml:space="preserve">v CRAB </w:t>
      </w:r>
      <w:r w:rsidR="003273C4">
        <w:rPr>
          <w:rFonts w:eastAsia="Times New Roman" w:cs="Calibri"/>
          <w:szCs w:val="24"/>
        </w:rPr>
        <w:t xml:space="preserve">za rok 2015 </w:t>
      </w:r>
      <w:r w:rsidR="00250E5D" w:rsidRPr="00A163EB">
        <w:rPr>
          <w:rFonts w:eastAsia="Times New Roman" w:cs="Calibri"/>
          <w:szCs w:val="24"/>
        </w:rPr>
        <w:t>evidována pouze nepatrná část objektů ve</w:t>
      </w:r>
      <w:r w:rsidR="00C0347F">
        <w:rPr>
          <w:rFonts w:eastAsia="Times New Roman" w:cs="Calibri"/>
          <w:szCs w:val="24"/>
        </w:rPr>
        <w:t xml:space="preserve"> </w:t>
      </w:r>
      <w:r w:rsidR="00250E5D" w:rsidRPr="00A163EB">
        <w:rPr>
          <w:rFonts w:eastAsia="Times New Roman" w:cs="Calibri"/>
          <w:szCs w:val="24"/>
        </w:rPr>
        <w:t>vlastnictví státu</w:t>
      </w:r>
      <w:r w:rsidR="00250E5D">
        <w:rPr>
          <w:rFonts w:eastAsia="Times New Roman" w:cs="Calibri"/>
          <w:szCs w:val="24"/>
        </w:rPr>
        <w:t xml:space="preserve">, a to </w:t>
      </w:r>
      <w:r w:rsidR="005701B3">
        <w:rPr>
          <w:rFonts w:eastAsia="Times New Roman" w:cs="Calibri"/>
          <w:szCs w:val="24"/>
        </w:rPr>
        <w:t>necelé tři tisíce</w:t>
      </w:r>
      <w:r w:rsidR="00250E5D">
        <w:rPr>
          <w:rFonts w:eastAsia="Times New Roman" w:cs="Calibri"/>
          <w:szCs w:val="24"/>
        </w:rPr>
        <w:t xml:space="preserve"> objektů ve</w:t>
      </w:r>
      <w:r w:rsidR="00C0347F">
        <w:rPr>
          <w:rFonts w:eastAsia="Times New Roman" w:cs="Calibri"/>
          <w:szCs w:val="24"/>
        </w:rPr>
        <w:t xml:space="preserve"> </w:t>
      </w:r>
      <w:r w:rsidR="00250E5D">
        <w:rPr>
          <w:rFonts w:eastAsia="Times New Roman" w:cs="Calibri"/>
          <w:szCs w:val="24"/>
        </w:rPr>
        <w:t xml:space="preserve">státním či podílovém vlastnictví </w:t>
      </w:r>
      <w:r w:rsidR="00930F4C">
        <w:rPr>
          <w:rFonts w:eastAsia="Times New Roman" w:cs="Calibri"/>
          <w:szCs w:val="24"/>
        </w:rPr>
        <w:t>(tj. 6 % objektů ve vlastnictví státu)</w:t>
      </w:r>
      <w:r w:rsidR="00250E5D" w:rsidRPr="00A163EB">
        <w:rPr>
          <w:rFonts w:eastAsia="Times New Roman" w:cs="Calibri"/>
          <w:szCs w:val="24"/>
        </w:rPr>
        <w:t>.</w:t>
      </w:r>
      <w:r w:rsidR="00250E5D">
        <w:rPr>
          <w:b/>
        </w:rPr>
        <w:t xml:space="preserve"> </w:t>
      </w:r>
    </w:p>
    <w:p w14:paraId="1AC0B1E2" w14:textId="1A3862BC" w:rsidR="00250E5D" w:rsidRPr="009C78F4" w:rsidRDefault="00CF3E1A" w:rsidP="00EC1648">
      <w:r>
        <w:t>V</w:t>
      </w:r>
      <w:r w:rsidR="002E4E42" w:rsidRPr="0052685A">
        <w:t xml:space="preserve"> červnu 2016 </w:t>
      </w:r>
      <w:r>
        <w:t>m</w:t>
      </w:r>
      <w:r w:rsidRPr="0052685A">
        <w:t xml:space="preserve">inistr vnitra </w:t>
      </w:r>
      <w:r w:rsidR="00806CE4">
        <w:t>rozhodl</w:t>
      </w:r>
      <w:r w:rsidR="00E23CAB" w:rsidRPr="00702837">
        <w:rPr>
          <w:vertAlign w:val="superscript"/>
        </w:rPr>
        <w:t>21</w:t>
      </w:r>
      <w:r w:rsidR="002E4E42" w:rsidRPr="0052685A">
        <w:t xml:space="preserve"> o </w:t>
      </w:r>
      <w:r w:rsidR="007E1BAE">
        <w:t>vyjmutí</w:t>
      </w:r>
      <w:r w:rsidR="007E1BAE" w:rsidRPr="0052685A">
        <w:t xml:space="preserve"> </w:t>
      </w:r>
      <w:r w:rsidR="002E4E42" w:rsidRPr="0052685A">
        <w:t xml:space="preserve">určitého majetku </w:t>
      </w:r>
      <w:r w:rsidR="007E1BAE">
        <w:t>z </w:t>
      </w:r>
      <w:r w:rsidR="00806CE4">
        <w:t xml:space="preserve">evidence </w:t>
      </w:r>
      <w:r w:rsidR="002E4E42" w:rsidRPr="0052685A">
        <w:t>CRAB.</w:t>
      </w:r>
      <w:r w:rsidR="002E4E42">
        <w:t xml:space="preserve"> </w:t>
      </w:r>
      <w:r w:rsidR="00D2455F">
        <w:t>Do</w:t>
      </w:r>
      <w:r w:rsidR="00C0347F">
        <w:t xml:space="preserve"> </w:t>
      </w:r>
      <w:r w:rsidR="002E4E42">
        <w:t>uko</w:t>
      </w:r>
      <w:r w:rsidR="008113D4">
        <w:t>n</w:t>
      </w:r>
      <w:r w:rsidR="002E4E42">
        <w:t xml:space="preserve">čení kontrolní akce nedošlo k úplnému </w:t>
      </w:r>
      <w:r>
        <w:t xml:space="preserve">vyjmutí </w:t>
      </w:r>
      <w:r w:rsidR="002E4E42">
        <w:t>těchto objektů z</w:t>
      </w:r>
      <w:r>
        <w:t> </w:t>
      </w:r>
      <w:r w:rsidR="002E4E42">
        <w:t>CRAB</w:t>
      </w:r>
      <w:r>
        <w:t>.</w:t>
      </w:r>
      <w:r w:rsidR="003273C4">
        <w:t xml:space="preserve"> </w:t>
      </w:r>
      <w:r>
        <w:t>Převedením objektů</w:t>
      </w:r>
      <w:r w:rsidR="00806CE4">
        <w:t xml:space="preserve"> </w:t>
      </w:r>
      <w:r w:rsidR="002E4E42">
        <w:t xml:space="preserve">na tzv. administrátora vyřazeného majetku lze </w:t>
      </w:r>
      <w:r w:rsidR="003273C4">
        <w:t xml:space="preserve">sice </w:t>
      </w:r>
      <w:r>
        <w:t xml:space="preserve">objekty </w:t>
      </w:r>
      <w:r w:rsidR="002E4E42">
        <w:t>v CRAB jednotlivě dohledat, ale nejsou u</w:t>
      </w:r>
      <w:r w:rsidR="00806CE4">
        <w:t> </w:t>
      </w:r>
      <w:r>
        <w:t xml:space="preserve">nich </w:t>
      </w:r>
      <w:r w:rsidR="002E4E42">
        <w:t>evidovány aktuální údaje ani ne</w:t>
      </w:r>
      <w:r>
        <w:t>jsou</w:t>
      </w:r>
      <w:r w:rsidR="002E4E42">
        <w:t xml:space="preserve"> zahrnut</w:t>
      </w:r>
      <w:r>
        <w:t>y</w:t>
      </w:r>
      <w:r w:rsidR="002E4E42">
        <w:t xml:space="preserve"> </w:t>
      </w:r>
      <w:r w:rsidR="00806CE4">
        <w:t xml:space="preserve">ve všech </w:t>
      </w:r>
      <w:r w:rsidR="002E4E42">
        <w:t xml:space="preserve">reportech </w:t>
      </w:r>
      <w:r w:rsidR="002E4E42">
        <w:lastRenderedPageBreak/>
        <w:t xml:space="preserve">CRAB. </w:t>
      </w:r>
      <w:r>
        <w:t>Objekty</w:t>
      </w:r>
      <w:r w:rsidR="002E4E42">
        <w:t xml:space="preserve"> tedy </w:t>
      </w:r>
      <w:r>
        <w:t xml:space="preserve">nejsou </w:t>
      </w:r>
      <w:r w:rsidR="002E4E42">
        <w:t>využív</w:t>
      </w:r>
      <w:r>
        <w:t>ány</w:t>
      </w:r>
      <w:r w:rsidR="002E4E42">
        <w:t xml:space="preserve"> pro výpočet ukazatelů</w:t>
      </w:r>
      <w:r>
        <w:t xml:space="preserve"> v CRAB</w:t>
      </w:r>
      <w:r w:rsidR="002E4E42">
        <w:t xml:space="preserve">. </w:t>
      </w:r>
      <w:r w:rsidR="002E4E42" w:rsidRPr="00890CDD">
        <w:rPr>
          <w:rFonts w:cstheme="minorHAnsi"/>
        </w:rPr>
        <w:t>MV migrovalo do</w:t>
      </w:r>
      <w:r w:rsidR="00C0347F">
        <w:rPr>
          <w:rFonts w:cstheme="minorHAnsi"/>
        </w:rPr>
        <w:t xml:space="preserve"> </w:t>
      </w:r>
      <w:r w:rsidR="002E4E42" w:rsidRPr="00890CDD">
        <w:rPr>
          <w:rFonts w:cstheme="minorHAnsi"/>
        </w:rPr>
        <w:t xml:space="preserve">CRAB data </w:t>
      </w:r>
      <w:r w:rsidR="00D2455F" w:rsidRPr="00890CDD">
        <w:rPr>
          <w:rFonts w:cstheme="minorHAnsi"/>
        </w:rPr>
        <w:t>o</w:t>
      </w:r>
      <w:r w:rsidR="00D2455F">
        <w:rPr>
          <w:rFonts w:cstheme="minorHAnsi"/>
        </w:rPr>
        <w:t> </w:t>
      </w:r>
      <w:r w:rsidR="002E4E42" w:rsidRPr="00890CDD">
        <w:rPr>
          <w:rFonts w:cstheme="minorHAnsi"/>
        </w:rPr>
        <w:t>více než tisíci objekt</w:t>
      </w:r>
      <w:r w:rsidR="00C0347F">
        <w:rPr>
          <w:rFonts w:cstheme="minorHAnsi"/>
        </w:rPr>
        <w:t>ů</w:t>
      </w:r>
      <w:r w:rsidR="002E4E42" w:rsidRPr="00890CDD">
        <w:rPr>
          <w:rFonts w:cstheme="minorHAnsi"/>
        </w:rPr>
        <w:t xml:space="preserve"> naposledy v prvním čtvrtletí roku 2016. Následně MV údaje o již evidovaných objektech v CRAB neaktualizovalo.</w:t>
      </w:r>
      <w:r w:rsidR="000D55B3">
        <w:rPr>
          <w:rFonts w:cstheme="minorHAnsi"/>
        </w:rPr>
        <w:t xml:space="preserve"> </w:t>
      </w:r>
      <w:r w:rsidR="000D55B3">
        <w:t>MV vyřadilo celkem 985</w:t>
      </w:r>
      <w:r w:rsidR="00D53825">
        <w:t> </w:t>
      </w:r>
      <w:r w:rsidR="000D55B3">
        <w:t>objektů, blíže viz příloha č. 1.</w:t>
      </w:r>
    </w:p>
    <w:p w14:paraId="3486C877" w14:textId="61AFA8DE" w:rsidR="00BF676E" w:rsidRPr="00FE0D45" w:rsidRDefault="00BF676E" w:rsidP="00BF676E">
      <w:pPr>
        <w:pStyle w:val="KPnormln"/>
        <w:spacing w:after="0"/>
        <w:rPr>
          <w:b/>
        </w:rPr>
      </w:pPr>
      <w:r w:rsidRPr="00702837">
        <w:rPr>
          <w:b/>
          <w:szCs w:val="24"/>
        </w:rPr>
        <w:t xml:space="preserve">Tabulka č. </w:t>
      </w:r>
      <w:r w:rsidRPr="00702837">
        <w:rPr>
          <w:b/>
          <w:szCs w:val="24"/>
        </w:rPr>
        <w:fldChar w:fldCharType="begin"/>
      </w:r>
      <w:r w:rsidRPr="00702837">
        <w:rPr>
          <w:b/>
          <w:szCs w:val="24"/>
        </w:rPr>
        <w:instrText xml:space="preserve"> SEQ Tabulka_č. \* ARABIC </w:instrText>
      </w:r>
      <w:r w:rsidRPr="00702837">
        <w:rPr>
          <w:b/>
          <w:szCs w:val="24"/>
        </w:rPr>
        <w:fldChar w:fldCharType="separate"/>
      </w:r>
      <w:r w:rsidR="00564135">
        <w:rPr>
          <w:b/>
          <w:noProof/>
          <w:szCs w:val="24"/>
        </w:rPr>
        <w:t>4</w:t>
      </w:r>
      <w:r w:rsidRPr="00702837">
        <w:rPr>
          <w:b/>
          <w:szCs w:val="24"/>
        </w:rPr>
        <w:fldChar w:fldCharType="end"/>
      </w:r>
      <w:r w:rsidRPr="00702837">
        <w:rPr>
          <w:b/>
          <w:i/>
          <w:szCs w:val="24"/>
        </w:rPr>
        <w:t>:</w:t>
      </w:r>
      <w:r w:rsidRPr="00BF676E">
        <w:rPr>
          <w:b/>
        </w:rPr>
        <w:t xml:space="preserve"> </w:t>
      </w:r>
      <w:r>
        <w:rPr>
          <w:b/>
        </w:rPr>
        <w:t>Výdaje na provoz CRAB na počet</w:t>
      </w:r>
      <w:r w:rsidRPr="00FE0D45">
        <w:rPr>
          <w:b/>
        </w:rPr>
        <w:t xml:space="preserve"> </w:t>
      </w:r>
      <w:r>
        <w:rPr>
          <w:b/>
        </w:rPr>
        <w:t xml:space="preserve">evidovaných </w:t>
      </w:r>
      <w:r w:rsidRPr="00FE0D45">
        <w:rPr>
          <w:b/>
        </w:rPr>
        <w:t>objekt</w:t>
      </w:r>
      <w:r>
        <w:rPr>
          <w:b/>
        </w:rPr>
        <w:t>ů</w:t>
      </w:r>
      <w:r>
        <w:rPr>
          <w:rStyle w:val="Znakapoznpodarou"/>
          <w:rFonts w:cs="Calibri"/>
          <w:szCs w:val="24"/>
        </w:rPr>
        <w:footnoteReference w:id="59"/>
      </w:r>
      <w:r w:rsidRPr="00FE0D45">
        <w:rPr>
          <w:b/>
        </w:rPr>
        <w:t xml:space="preserve"> v</w:t>
      </w:r>
      <w:r>
        <w:rPr>
          <w:b/>
        </w:rPr>
        <w:t> </w:t>
      </w:r>
      <w:r w:rsidRPr="00FE0D45">
        <w:rPr>
          <w:b/>
        </w:rPr>
        <w:t>CRAB</w:t>
      </w:r>
    </w:p>
    <w:tbl>
      <w:tblPr>
        <w:tblW w:w="0" w:type="auto"/>
        <w:tblInd w:w="30" w:type="dxa"/>
        <w:tblLayout w:type="fixed"/>
        <w:tblCellMar>
          <w:left w:w="30" w:type="dxa"/>
          <w:right w:w="30" w:type="dxa"/>
        </w:tblCellMar>
        <w:tblLook w:val="0000" w:firstRow="0" w:lastRow="0" w:firstColumn="0" w:lastColumn="0" w:noHBand="0" w:noVBand="0"/>
      </w:tblPr>
      <w:tblGrid>
        <w:gridCol w:w="4536"/>
        <w:gridCol w:w="1560"/>
        <w:gridCol w:w="1559"/>
        <w:gridCol w:w="1417"/>
      </w:tblGrid>
      <w:tr w:rsidR="00EC1648" w:rsidRPr="00FE0D45" w14:paraId="37FA2F7F" w14:textId="77777777" w:rsidTr="00702837">
        <w:trPr>
          <w:trHeight w:val="290"/>
        </w:trPr>
        <w:tc>
          <w:tcPr>
            <w:tcW w:w="4536" w:type="dxa"/>
            <w:tcBorders>
              <w:top w:val="single" w:sz="6" w:space="0" w:color="auto"/>
              <w:left w:val="single" w:sz="6" w:space="0" w:color="auto"/>
              <w:bottom w:val="single" w:sz="6" w:space="0" w:color="auto"/>
              <w:right w:val="single" w:sz="6" w:space="0" w:color="auto"/>
            </w:tcBorders>
            <w:shd w:val="clear" w:color="auto" w:fill="E5F1FF"/>
            <w:vAlign w:val="center"/>
          </w:tcPr>
          <w:p w14:paraId="2E7D2930" w14:textId="1944C845" w:rsidR="00EC1648" w:rsidRPr="00FE0D45" w:rsidRDefault="00EC1648" w:rsidP="00F014CE">
            <w:pPr>
              <w:autoSpaceDE w:val="0"/>
              <w:autoSpaceDN w:val="0"/>
              <w:adjustRightInd w:val="0"/>
              <w:spacing w:after="0" w:line="240" w:lineRule="auto"/>
              <w:jc w:val="left"/>
              <w:rPr>
                <w:rFonts w:ascii="Calibri" w:hAnsi="Calibri" w:cs="Calibri"/>
                <w:b/>
                <w:bCs/>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E5F1FF"/>
            <w:vAlign w:val="center"/>
          </w:tcPr>
          <w:p w14:paraId="12A1E856" w14:textId="77777777" w:rsidR="00EC1648" w:rsidRPr="00FE0D45" w:rsidRDefault="00EC1648" w:rsidP="00250E5D">
            <w:pPr>
              <w:autoSpaceDE w:val="0"/>
              <w:autoSpaceDN w:val="0"/>
              <w:adjustRightInd w:val="0"/>
              <w:spacing w:after="0" w:line="240" w:lineRule="auto"/>
              <w:jc w:val="center"/>
              <w:rPr>
                <w:rFonts w:ascii="Calibri" w:hAnsi="Calibri" w:cs="Calibri"/>
                <w:b/>
                <w:bCs/>
                <w:color w:val="000000"/>
                <w:sz w:val="20"/>
                <w:szCs w:val="20"/>
              </w:rPr>
            </w:pPr>
            <w:r w:rsidRPr="00FE0D45">
              <w:rPr>
                <w:rFonts w:ascii="Calibri" w:hAnsi="Calibri" w:cs="Calibri"/>
                <w:b/>
                <w:bCs/>
                <w:color w:val="000000"/>
                <w:sz w:val="20"/>
                <w:szCs w:val="20"/>
              </w:rPr>
              <w:t>2014</w:t>
            </w:r>
          </w:p>
        </w:tc>
        <w:tc>
          <w:tcPr>
            <w:tcW w:w="1559" w:type="dxa"/>
            <w:tcBorders>
              <w:top w:val="single" w:sz="6" w:space="0" w:color="auto"/>
              <w:left w:val="single" w:sz="6" w:space="0" w:color="auto"/>
              <w:bottom w:val="single" w:sz="6" w:space="0" w:color="auto"/>
              <w:right w:val="single" w:sz="6" w:space="0" w:color="auto"/>
            </w:tcBorders>
            <w:shd w:val="clear" w:color="auto" w:fill="E5F1FF"/>
            <w:vAlign w:val="center"/>
          </w:tcPr>
          <w:p w14:paraId="685AF32C" w14:textId="77777777" w:rsidR="00EC1648" w:rsidRPr="00FE0D45" w:rsidRDefault="00EC1648" w:rsidP="00250E5D">
            <w:pPr>
              <w:autoSpaceDE w:val="0"/>
              <w:autoSpaceDN w:val="0"/>
              <w:adjustRightInd w:val="0"/>
              <w:spacing w:after="0" w:line="240" w:lineRule="auto"/>
              <w:jc w:val="center"/>
              <w:rPr>
                <w:rFonts w:ascii="Calibri" w:hAnsi="Calibri" w:cs="Calibri"/>
                <w:b/>
                <w:bCs/>
                <w:color w:val="000000"/>
                <w:sz w:val="20"/>
                <w:szCs w:val="20"/>
              </w:rPr>
            </w:pPr>
            <w:r w:rsidRPr="00FE0D45">
              <w:rPr>
                <w:rFonts w:ascii="Calibri" w:hAnsi="Calibri" w:cs="Calibri"/>
                <w:b/>
                <w:bCs/>
                <w:color w:val="000000"/>
                <w:sz w:val="20"/>
                <w:szCs w:val="20"/>
              </w:rPr>
              <w:t>2015</w:t>
            </w:r>
          </w:p>
        </w:tc>
        <w:tc>
          <w:tcPr>
            <w:tcW w:w="1417" w:type="dxa"/>
            <w:tcBorders>
              <w:top w:val="single" w:sz="6" w:space="0" w:color="auto"/>
              <w:left w:val="single" w:sz="6" w:space="0" w:color="auto"/>
              <w:bottom w:val="single" w:sz="6" w:space="0" w:color="auto"/>
              <w:right w:val="single" w:sz="6" w:space="0" w:color="auto"/>
            </w:tcBorders>
            <w:shd w:val="clear" w:color="auto" w:fill="E5F1FF"/>
            <w:vAlign w:val="center"/>
          </w:tcPr>
          <w:p w14:paraId="042FC737" w14:textId="77777777" w:rsidR="00EC1648" w:rsidRPr="00FE0D45" w:rsidRDefault="00EC1648" w:rsidP="00250E5D">
            <w:pPr>
              <w:autoSpaceDE w:val="0"/>
              <w:autoSpaceDN w:val="0"/>
              <w:adjustRightInd w:val="0"/>
              <w:spacing w:after="0" w:line="240" w:lineRule="auto"/>
              <w:jc w:val="center"/>
              <w:rPr>
                <w:rFonts w:ascii="Calibri" w:hAnsi="Calibri" w:cs="Calibri"/>
                <w:b/>
                <w:bCs/>
                <w:color w:val="000000"/>
                <w:sz w:val="20"/>
                <w:szCs w:val="20"/>
              </w:rPr>
            </w:pPr>
            <w:r w:rsidRPr="00FE0D45">
              <w:rPr>
                <w:rFonts w:ascii="Calibri" w:hAnsi="Calibri" w:cs="Calibri"/>
                <w:b/>
                <w:bCs/>
                <w:color w:val="000000"/>
                <w:sz w:val="20"/>
                <w:szCs w:val="20"/>
              </w:rPr>
              <w:t>2016</w:t>
            </w:r>
          </w:p>
        </w:tc>
      </w:tr>
      <w:tr w:rsidR="00EC1648" w:rsidRPr="00FE0D45" w14:paraId="53D6A282" w14:textId="77777777" w:rsidTr="00702837">
        <w:trPr>
          <w:trHeight w:val="290"/>
        </w:trPr>
        <w:tc>
          <w:tcPr>
            <w:tcW w:w="4536" w:type="dxa"/>
            <w:tcBorders>
              <w:top w:val="single" w:sz="6" w:space="0" w:color="auto"/>
              <w:left w:val="single" w:sz="6" w:space="0" w:color="auto"/>
              <w:bottom w:val="single" w:sz="6" w:space="0" w:color="auto"/>
              <w:right w:val="single" w:sz="6" w:space="0" w:color="auto"/>
            </w:tcBorders>
            <w:vAlign w:val="center"/>
          </w:tcPr>
          <w:p w14:paraId="13FCDC8D" w14:textId="36D92346" w:rsidR="00EC1648" w:rsidRPr="00FE0D45" w:rsidRDefault="00EC1648" w:rsidP="00250E5D">
            <w:pPr>
              <w:autoSpaceDE w:val="0"/>
              <w:autoSpaceDN w:val="0"/>
              <w:adjustRightInd w:val="0"/>
              <w:spacing w:after="0" w:line="240" w:lineRule="auto"/>
              <w:jc w:val="left"/>
              <w:rPr>
                <w:rFonts w:ascii="Calibri" w:hAnsi="Calibri" w:cs="Calibri"/>
                <w:color w:val="000000"/>
                <w:sz w:val="20"/>
                <w:szCs w:val="20"/>
              </w:rPr>
            </w:pPr>
            <w:r w:rsidRPr="00FE0D45">
              <w:rPr>
                <w:rFonts w:ascii="Calibri" w:hAnsi="Calibri" w:cs="Calibri"/>
                <w:color w:val="000000"/>
                <w:sz w:val="20"/>
                <w:szCs w:val="20"/>
              </w:rPr>
              <w:t>Výdaje na provoz CRAB</w:t>
            </w:r>
            <w:r w:rsidR="00BF676E">
              <w:rPr>
                <w:rFonts w:ascii="Calibri" w:hAnsi="Calibri" w:cs="Calibri"/>
                <w:color w:val="000000"/>
                <w:sz w:val="20"/>
                <w:szCs w:val="20"/>
              </w:rPr>
              <w:t xml:space="preserve"> (mil. Kč)</w:t>
            </w:r>
          </w:p>
        </w:tc>
        <w:tc>
          <w:tcPr>
            <w:tcW w:w="1560" w:type="dxa"/>
            <w:tcBorders>
              <w:top w:val="single" w:sz="6" w:space="0" w:color="auto"/>
              <w:left w:val="single" w:sz="6" w:space="0" w:color="auto"/>
              <w:bottom w:val="single" w:sz="6" w:space="0" w:color="auto"/>
              <w:right w:val="single" w:sz="6" w:space="0" w:color="auto"/>
            </w:tcBorders>
            <w:vAlign w:val="center"/>
          </w:tcPr>
          <w:p w14:paraId="66A5D6A6" w14:textId="1F6910AB"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75</w:t>
            </w:r>
          </w:p>
        </w:tc>
        <w:tc>
          <w:tcPr>
            <w:tcW w:w="1559" w:type="dxa"/>
            <w:tcBorders>
              <w:top w:val="single" w:sz="6" w:space="0" w:color="auto"/>
              <w:left w:val="single" w:sz="6" w:space="0" w:color="auto"/>
              <w:bottom w:val="single" w:sz="6" w:space="0" w:color="auto"/>
              <w:right w:val="single" w:sz="6" w:space="0" w:color="auto"/>
            </w:tcBorders>
            <w:vAlign w:val="center"/>
          </w:tcPr>
          <w:p w14:paraId="03289ED0" w14:textId="42120B1D"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7</w:t>
            </w:r>
            <w:r>
              <w:rPr>
                <w:rFonts w:ascii="Calibri" w:hAnsi="Calibri" w:cs="Calibri"/>
                <w:color w:val="000000"/>
                <w:sz w:val="20"/>
                <w:szCs w:val="20"/>
              </w:rPr>
              <w:t>6</w:t>
            </w:r>
          </w:p>
        </w:tc>
        <w:tc>
          <w:tcPr>
            <w:tcW w:w="1417" w:type="dxa"/>
            <w:tcBorders>
              <w:top w:val="single" w:sz="6" w:space="0" w:color="auto"/>
              <w:left w:val="single" w:sz="6" w:space="0" w:color="auto"/>
              <w:bottom w:val="single" w:sz="6" w:space="0" w:color="auto"/>
              <w:right w:val="single" w:sz="6" w:space="0" w:color="auto"/>
            </w:tcBorders>
            <w:vAlign w:val="center"/>
          </w:tcPr>
          <w:p w14:paraId="48613262" w14:textId="6344163D"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Pr>
                <w:rFonts w:ascii="Calibri" w:hAnsi="Calibri" w:cs="Calibri"/>
                <w:color w:val="000000"/>
                <w:sz w:val="20"/>
                <w:szCs w:val="20"/>
              </w:rPr>
              <w:t>74</w:t>
            </w:r>
          </w:p>
        </w:tc>
      </w:tr>
      <w:tr w:rsidR="00EC1648" w:rsidRPr="00FE0D45" w14:paraId="33DFF9B2" w14:textId="77777777" w:rsidTr="00702837">
        <w:trPr>
          <w:trHeight w:val="290"/>
        </w:trPr>
        <w:tc>
          <w:tcPr>
            <w:tcW w:w="4536" w:type="dxa"/>
            <w:tcBorders>
              <w:top w:val="single" w:sz="6" w:space="0" w:color="auto"/>
              <w:left w:val="single" w:sz="6" w:space="0" w:color="auto"/>
              <w:bottom w:val="single" w:sz="6" w:space="0" w:color="auto"/>
              <w:right w:val="single" w:sz="6" w:space="0" w:color="auto"/>
            </w:tcBorders>
            <w:vAlign w:val="center"/>
          </w:tcPr>
          <w:p w14:paraId="6C253BF3" w14:textId="5A782682" w:rsidR="00EC1648" w:rsidRPr="00FE0D45" w:rsidRDefault="00EC1648" w:rsidP="00250E5D">
            <w:pPr>
              <w:autoSpaceDE w:val="0"/>
              <w:autoSpaceDN w:val="0"/>
              <w:adjustRightInd w:val="0"/>
              <w:spacing w:after="0" w:line="240" w:lineRule="auto"/>
              <w:jc w:val="left"/>
              <w:rPr>
                <w:rFonts w:ascii="Calibri" w:hAnsi="Calibri" w:cs="Calibri"/>
                <w:color w:val="000000"/>
                <w:sz w:val="20"/>
                <w:szCs w:val="20"/>
              </w:rPr>
            </w:pPr>
            <w:r w:rsidRPr="00FE0D45">
              <w:rPr>
                <w:rFonts w:ascii="Calibri" w:hAnsi="Calibri" w:cs="Calibri"/>
                <w:color w:val="000000"/>
                <w:sz w:val="20"/>
                <w:szCs w:val="20"/>
              </w:rPr>
              <w:t xml:space="preserve">Počet </w:t>
            </w:r>
            <w:r w:rsidRPr="00F8635D">
              <w:rPr>
                <w:rFonts w:ascii="Calibri" w:hAnsi="Calibri" w:cs="Calibri"/>
                <w:sz w:val="20"/>
                <w:szCs w:val="20"/>
              </w:rPr>
              <w:t>objektů</w:t>
            </w:r>
            <w:r w:rsidRPr="00F8635D">
              <w:rPr>
                <w:sz w:val="20"/>
                <w:szCs w:val="20"/>
              </w:rPr>
              <w:t xml:space="preserve"> </w:t>
            </w:r>
            <w:r w:rsidR="00CF3E1A" w:rsidRPr="00F8635D">
              <w:rPr>
                <w:sz w:val="20"/>
                <w:szCs w:val="20"/>
              </w:rPr>
              <w:t>v CRAB</w:t>
            </w:r>
          </w:p>
        </w:tc>
        <w:tc>
          <w:tcPr>
            <w:tcW w:w="1560" w:type="dxa"/>
            <w:tcBorders>
              <w:top w:val="single" w:sz="6" w:space="0" w:color="auto"/>
              <w:left w:val="single" w:sz="6" w:space="0" w:color="auto"/>
              <w:bottom w:val="single" w:sz="6" w:space="0" w:color="auto"/>
              <w:right w:val="single" w:sz="6" w:space="0" w:color="auto"/>
            </w:tcBorders>
            <w:vAlign w:val="center"/>
          </w:tcPr>
          <w:p w14:paraId="6B79DA9A" w14:textId="77777777"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3</w:t>
            </w:r>
            <w:r>
              <w:rPr>
                <w:rFonts w:ascii="Calibri" w:hAnsi="Calibri" w:cs="Calibri"/>
                <w:color w:val="000000"/>
                <w:sz w:val="20"/>
                <w:szCs w:val="20"/>
              </w:rPr>
              <w:t> </w:t>
            </w:r>
            <w:r w:rsidRPr="00FE0D45">
              <w:rPr>
                <w:rFonts w:ascii="Calibri" w:hAnsi="Calibri" w:cs="Calibri"/>
                <w:color w:val="000000"/>
                <w:sz w:val="20"/>
                <w:szCs w:val="20"/>
              </w:rPr>
              <w:t>823</w:t>
            </w:r>
          </w:p>
        </w:tc>
        <w:tc>
          <w:tcPr>
            <w:tcW w:w="1559" w:type="dxa"/>
            <w:tcBorders>
              <w:top w:val="single" w:sz="6" w:space="0" w:color="auto"/>
              <w:left w:val="single" w:sz="6" w:space="0" w:color="auto"/>
              <w:bottom w:val="single" w:sz="6" w:space="0" w:color="auto"/>
              <w:right w:val="single" w:sz="6" w:space="0" w:color="auto"/>
            </w:tcBorders>
            <w:vAlign w:val="center"/>
          </w:tcPr>
          <w:p w14:paraId="3CC43391" w14:textId="77777777"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3</w:t>
            </w:r>
            <w:r>
              <w:rPr>
                <w:rFonts w:ascii="Calibri" w:hAnsi="Calibri" w:cs="Calibri"/>
                <w:color w:val="000000"/>
                <w:sz w:val="20"/>
                <w:szCs w:val="20"/>
              </w:rPr>
              <w:t> </w:t>
            </w:r>
            <w:r w:rsidRPr="00FE0D45">
              <w:rPr>
                <w:rFonts w:ascii="Calibri" w:hAnsi="Calibri" w:cs="Calibri"/>
                <w:color w:val="000000"/>
                <w:sz w:val="20"/>
                <w:szCs w:val="20"/>
              </w:rPr>
              <w:t>798</w:t>
            </w:r>
          </w:p>
        </w:tc>
        <w:tc>
          <w:tcPr>
            <w:tcW w:w="1417" w:type="dxa"/>
            <w:tcBorders>
              <w:top w:val="single" w:sz="6" w:space="0" w:color="auto"/>
              <w:left w:val="single" w:sz="6" w:space="0" w:color="auto"/>
              <w:bottom w:val="single" w:sz="6" w:space="0" w:color="auto"/>
              <w:right w:val="single" w:sz="6" w:space="0" w:color="auto"/>
            </w:tcBorders>
            <w:vAlign w:val="center"/>
          </w:tcPr>
          <w:p w14:paraId="4DFB11A0" w14:textId="77777777"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2</w:t>
            </w:r>
            <w:r>
              <w:rPr>
                <w:rFonts w:ascii="Calibri" w:hAnsi="Calibri" w:cs="Calibri"/>
                <w:color w:val="000000"/>
                <w:sz w:val="20"/>
                <w:szCs w:val="20"/>
              </w:rPr>
              <w:t> </w:t>
            </w:r>
            <w:r w:rsidRPr="00FE0D45">
              <w:rPr>
                <w:rFonts w:ascii="Calibri" w:hAnsi="Calibri" w:cs="Calibri"/>
                <w:color w:val="000000"/>
                <w:sz w:val="20"/>
                <w:szCs w:val="20"/>
              </w:rPr>
              <w:t>724</w:t>
            </w:r>
          </w:p>
        </w:tc>
      </w:tr>
      <w:tr w:rsidR="00EC1648" w:rsidRPr="00FE0D45" w14:paraId="5494E3E6" w14:textId="77777777" w:rsidTr="00702837">
        <w:trPr>
          <w:trHeight w:val="290"/>
        </w:trPr>
        <w:tc>
          <w:tcPr>
            <w:tcW w:w="4536" w:type="dxa"/>
            <w:tcBorders>
              <w:top w:val="single" w:sz="6" w:space="0" w:color="auto"/>
              <w:left w:val="single" w:sz="6" w:space="0" w:color="auto"/>
              <w:bottom w:val="single" w:sz="6" w:space="0" w:color="auto"/>
              <w:right w:val="single" w:sz="6" w:space="0" w:color="auto"/>
            </w:tcBorders>
            <w:vAlign w:val="center"/>
          </w:tcPr>
          <w:p w14:paraId="327B01F3" w14:textId="0CAFAE49" w:rsidR="00EC1648" w:rsidRPr="00FE0D45" w:rsidRDefault="00CF3E1A" w:rsidP="00250E5D">
            <w:pPr>
              <w:autoSpaceDE w:val="0"/>
              <w:autoSpaceDN w:val="0"/>
              <w:adjustRightInd w:val="0"/>
              <w:spacing w:after="0" w:line="240" w:lineRule="auto"/>
              <w:jc w:val="left"/>
              <w:rPr>
                <w:rFonts w:ascii="Calibri" w:hAnsi="Calibri" w:cs="Calibri"/>
                <w:color w:val="000000"/>
                <w:sz w:val="20"/>
                <w:szCs w:val="20"/>
              </w:rPr>
            </w:pPr>
            <w:r>
              <w:rPr>
                <w:rFonts w:ascii="Calibri" w:hAnsi="Calibri" w:cs="Calibri"/>
                <w:color w:val="000000"/>
                <w:sz w:val="20"/>
                <w:szCs w:val="20"/>
              </w:rPr>
              <w:t>Přepočtené v</w:t>
            </w:r>
            <w:r w:rsidR="00EC1648" w:rsidRPr="00FE0D45">
              <w:rPr>
                <w:rFonts w:ascii="Calibri" w:hAnsi="Calibri" w:cs="Calibri"/>
                <w:color w:val="000000"/>
                <w:sz w:val="20"/>
                <w:szCs w:val="20"/>
              </w:rPr>
              <w:t xml:space="preserve">ýdaje na </w:t>
            </w:r>
            <w:r>
              <w:rPr>
                <w:rFonts w:ascii="Calibri" w:hAnsi="Calibri" w:cs="Calibri"/>
                <w:color w:val="000000"/>
                <w:sz w:val="20"/>
                <w:szCs w:val="20"/>
              </w:rPr>
              <w:t xml:space="preserve">evidenci jednoho </w:t>
            </w:r>
            <w:r w:rsidR="00EC1648" w:rsidRPr="00FE0D45">
              <w:rPr>
                <w:rFonts w:ascii="Calibri" w:hAnsi="Calibri" w:cs="Calibri"/>
                <w:color w:val="000000"/>
                <w:sz w:val="20"/>
                <w:szCs w:val="20"/>
              </w:rPr>
              <w:t>objekt</w:t>
            </w:r>
            <w:r>
              <w:rPr>
                <w:rFonts w:ascii="Calibri" w:hAnsi="Calibri" w:cs="Calibri"/>
                <w:color w:val="000000"/>
                <w:sz w:val="20"/>
                <w:szCs w:val="20"/>
              </w:rPr>
              <w:t>u</w:t>
            </w:r>
            <w:r w:rsidR="00EC1648" w:rsidRPr="00FE0D45">
              <w:rPr>
                <w:rFonts w:ascii="Calibri" w:hAnsi="Calibri" w:cs="Calibri"/>
                <w:color w:val="000000"/>
                <w:sz w:val="20"/>
                <w:szCs w:val="20"/>
              </w:rPr>
              <w:t xml:space="preserve"> </w:t>
            </w:r>
            <w:r w:rsidR="00BF676E">
              <w:rPr>
                <w:rFonts w:ascii="Calibri" w:hAnsi="Calibri" w:cs="Calibri"/>
                <w:color w:val="000000"/>
                <w:sz w:val="20"/>
                <w:szCs w:val="20"/>
              </w:rPr>
              <w:t>(Kč)</w:t>
            </w:r>
          </w:p>
        </w:tc>
        <w:tc>
          <w:tcPr>
            <w:tcW w:w="1560" w:type="dxa"/>
            <w:tcBorders>
              <w:top w:val="single" w:sz="6" w:space="0" w:color="auto"/>
              <w:left w:val="single" w:sz="6" w:space="0" w:color="auto"/>
              <w:bottom w:val="single" w:sz="6" w:space="0" w:color="auto"/>
              <w:right w:val="single" w:sz="6" w:space="0" w:color="auto"/>
            </w:tcBorders>
            <w:vAlign w:val="center"/>
          </w:tcPr>
          <w:p w14:paraId="34068A6A" w14:textId="461602BE"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19 703</w:t>
            </w:r>
          </w:p>
        </w:tc>
        <w:tc>
          <w:tcPr>
            <w:tcW w:w="1559" w:type="dxa"/>
            <w:tcBorders>
              <w:top w:val="single" w:sz="6" w:space="0" w:color="auto"/>
              <w:left w:val="single" w:sz="6" w:space="0" w:color="auto"/>
              <w:bottom w:val="single" w:sz="6" w:space="0" w:color="auto"/>
              <w:right w:val="single" w:sz="6" w:space="0" w:color="auto"/>
            </w:tcBorders>
            <w:vAlign w:val="center"/>
          </w:tcPr>
          <w:p w14:paraId="79F8D4C1" w14:textId="55741208"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19 908</w:t>
            </w:r>
          </w:p>
        </w:tc>
        <w:tc>
          <w:tcPr>
            <w:tcW w:w="1417" w:type="dxa"/>
            <w:tcBorders>
              <w:top w:val="single" w:sz="6" w:space="0" w:color="auto"/>
              <w:left w:val="single" w:sz="6" w:space="0" w:color="auto"/>
              <w:bottom w:val="single" w:sz="6" w:space="0" w:color="auto"/>
              <w:right w:val="single" w:sz="6" w:space="0" w:color="auto"/>
            </w:tcBorders>
            <w:vAlign w:val="center"/>
          </w:tcPr>
          <w:p w14:paraId="5A06DE8E" w14:textId="60E4A308" w:rsidR="00EC1648" w:rsidRPr="00FE0D45" w:rsidRDefault="00EC1648" w:rsidP="00702837">
            <w:pPr>
              <w:autoSpaceDE w:val="0"/>
              <w:autoSpaceDN w:val="0"/>
              <w:adjustRightInd w:val="0"/>
              <w:spacing w:after="0" w:line="240" w:lineRule="auto"/>
              <w:jc w:val="right"/>
              <w:rPr>
                <w:rFonts w:ascii="Calibri" w:hAnsi="Calibri" w:cs="Calibri"/>
                <w:color w:val="000000"/>
                <w:sz w:val="20"/>
                <w:szCs w:val="20"/>
              </w:rPr>
            </w:pPr>
            <w:r w:rsidRPr="00FE0D45">
              <w:rPr>
                <w:rFonts w:ascii="Calibri" w:hAnsi="Calibri" w:cs="Calibri"/>
                <w:color w:val="000000"/>
                <w:sz w:val="20"/>
                <w:szCs w:val="20"/>
              </w:rPr>
              <w:t>26 998</w:t>
            </w:r>
          </w:p>
        </w:tc>
      </w:tr>
    </w:tbl>
    <w:p w14:paraId="2567BF4D" w14:textId="20B9C696" w:rsidR="00E42DF1" w:rsidRDefault="00EC1648" w:rsidP="00E42DF1">
      <w:r w:rsidRPr="00FE0D45">
        <w:rPr>
          <w:b/>
          <w:sz w:val="20"/>
          <w:szCs w:val="20"/>
        </w:rPr>
        <w:t>Zdroj:</w:t>
      </w:r>
      <w:r w:rsidR="000D55B3">
        <w:rPr>
          <w:b/>
          <w:sz w:val="20"/>
          <w:szCs w:val="20"/>
        </w:rPr>
        <w:t xml:space="preserve"> </w:t>
      </w:r>
      <w:r w:rsidR="00CE627B">
        <w:rPr>
          <w:sz w:val="20"/>
          <w:szCs w:val="20"/>
        </w:rPr>
        <w:t>f</w:t>
      </w:r>
      <w:r w:rsidR="000D55B3" w:rsidRPr="000D55B3">
        <w:rPr>
          <w:sz w:val="20"/>
          <w:szCs w:val="20"/>
        </w:rPr>
        <w:t xml:space="preserve">aktury a </w:t>
      </w:r>
      <w:r w:rsidR="00CE627B">
        <w:rPr>
          <w:sz w:val="20"/>
          <w:szCs w:val="20"/>
        </w:rPr>
        <w:t>a</w:t>
      </w:r>
      <w:r w:rsidR="000D55B3" w:rsidRPr="000D55B3">
        <w:rPr>
          <w:sz w:val="20"/>
          <w:szCs w:val="20"/>
        </w:rPr>
        <w:t>d</w:t>
      </w:r>
      <w:r w:rsidR="00CE627B">
        <w:rPr>
          <w:sz w:val="20"/>
          <w:szCs w:val="20"/>
        </w:rPr>
        <w:t xml:space="preserve"> </w:t>
      </w:r>
      <w:r w:rsidR="000D55B3" w:rsidRPr="000D55B3">
        <w:rPr>
          <w:sz w:val="20"/>
          <w:szCs w:val="20"/>
        </w:rPr>
        <w:t>hoc report</w:t>
      </w:r>
      <w:r w:rsidR="00CE627B">
        <w:rPr>
          <w:sz w:val="20"/>
          <w:szCs w:val="20"/>
        </w:rPr>
        <w:t>y</w:t>
      </w:r>
      <w:r w:rsidR="000D55B3" w:rsidRPr="000D55B3">
        <w:rPr>
          <w:sz w:val="20"/>
          <w:szCs w:val="20"/>
        </w:rPr>
        <w:t xml:space="preserve"> CRAB za roky 2014, 2015 a 2016.</w:t>
      </w:r>
    </w:p>
    <w:p w14:paraId="127D22F4" w14:textId="2C11F8C8" w:rsidR="00AE7854" w:rsidRDefault="008B4837" w:rsidP="00E42DF1">
      <w:r>
        <w:t xml:space="preserve">ÚZSVM vynaložil na projekt CRAB v letech 2010–2012 celkem 254 mil. Kč. </w:t>
      </w:r>
      <w:r w:rsidR="00A225DC" w:rsidRPr="00F8635D">
        <w:rPr>
          <w:lang w:eastAsia="cs-CZ"/>
        </w:rPr>
        <w:t xml:space="preserve">V souvislosti s projektem CRAB byly ÚZSVM vynaloženy i další prostředky, které se týkaly zejména zajištění projektového řízení a druhého kola pasportizace budov ve výši nejméně </w:t>
      </w:r>
      <w:r w:rsidR="00A225DC" w:rsidRPr="00F8635D">
        <w:t>10 mil. Kč včetně DPH</w:t>
      </w:r>
      <w:r w:rsidR="00A225DC" w:rsidRPr="00F8635D">
        <w:rPr>
          <w:lang w:eastAsia="cs-CZ"/>
        </w:rPr>
        <w:t xml:space="preserve">. </w:t>
      </w:r>
      <w:r>
        <w:t xml:space="preserve">Výdaje na provoz CRAB </w:t>
      </w:r>
      <w:r w:rsidR="00D53825">
        <w:t>v letech 2012–</w:t>
      </w:r>
      <w:r w:rsidRPr="00F8635D">
        <w:t>2016 činily 290 mil. Kč, přičemž v</w:t>
      </w:r>
      <w:r w:rsidR="000D55B3" w:rsidRPr="00F8635D">
        <w:t xml:space="preserve">ýdaje na provoz CRAB jsou více než 70 mil. Kč ročně. </w:t>
      </w:r>
      <w:r w:rsidR="006F124F" w:rsidRPr="00F8635D">
        <w:t xml:space="preserve">Přepočtené </w:t>
      </w:r>
      <w:r w:rsidR="00A525E1" w:rsidRPr="00F8635D">
        <w:t xml:space="preserve">roční </w:t>
      </w:r>
      <w:r w:rsidR="006F124F" w:rsidRPr="00F8635D">
        <w:t>v</w:t>
      </w:r>
      <w:r w:rsidR="000D55B3" w:rsidRPr="00F8635D">
        <w:t xml:space="preserve">ýdaje na evidenci jednoho objektu v roce 2016 tak činily 27 tis. Kč, viz tabulka č. </w:t>
      </w:r>
      <w:r w:rsidR="005A6A83" w:rsidRPr="00F8635D">
        <w:t>4</w:t>
      </w:r>
      <w:r w:rsidR="000D55B3" w:rsidRPr="00F8635D">
        <w:t xml:space="preserve">. </w:t>
      </w:r>
    </w:p>
    <w:p w14:paraId="5F72B33E" w14:textId="12043226" w:rsidR="00F42CEB" w:rsidRDefault="00CA78A5" w:rsidP="00E42DF1">
      <w:r w:rsidRPr="00F8635D">
        <w:t xml:space="preserve">V porovnání s tím je </w:t>
      </w:r>
      <w:r w:rsidR="007F03FA">
        <w:t xml:space="preserve">například </w:t>
      </w:r>
      <w:r w:rsidRPr="00F8635D">
        <w:t>ve Spojeném království od roku 2000 využíván j</w:t>
      </w:r>
      <w:r w:rsidR="00F42CEB" w:rsidRPr="00F8635D">
        <w:t xml:space="preserve">ako zdroj informací </w:t>
      </w:r>
      <w:r w:rsidR="00426815" w:rsidRPr="00F8635D">
        <w:t>o</w:t>
      </w:r>
      <w:r w:rsidR="00426815">
        <w:t> </w:t>
      </w:r>
      <w:r w:rsidR="00F42CEB" w:rsidRPr="00F8635D">
        <w:t>nemovitém majetku informační systém e-PIMS</w:t>
      </w:r>
      <w:r w:rsidR="00F42CEB" w:rsidRPr="00F8635D">
        <w:rPr>
          <w:rStyle w:val="Znakapoznpodarou"/>
        </w:rPr>
        <w:footnoteReference w:id="60"/>
      </w:r>
      <w:r w:rsidR="00F42CEB" w:rsidRPr="00F8635D">
        <w:t>. Původně e-PIMS obsahoval jen aplikaci pro centrální evidenci nemovitého majetku. V průběhu let byly na základě vládních</w:t>
      </w:r>
      <w:r w:rsidR="00F42CEB">
        <w:t xml:space="preserve"> požadavků vyvinuty další aplikace, např. vyhledávání volných ploch ve vládních budovách, nabídka nemovitostí a pozemků k pronájmu nebo prodeji</w:t>
      </w:r>
      <w:r w:rsidR="00F42CEB" w:rsidRPr="001473CD">
        <w:t>.</w:t>
      </w:r>
      <w:r w:rsidR="00F42CEB" w:rsidRPr="001473CD" w:rsidDel="00C06A8E">
        <w:t xml:space="preserve"> </w:t>
      </w:r>
      <w:r w:rsidR="00CB0143">
        <w:t xml:space="preserve">Informační systém e-PIMS tak slouží k obdobným cílům jako CRAB. </w:t>
      </w:r>
      <w:r w:rsidR="00F42CEB">
        <w:t>Ročně je na</w:t>
      </w:r>
      <w:r w:rsidR="00455DFC">
        <w:t xml:space="preserve"> </w:t>
      </w:r>
      <w:r w:rsidR="00F42CEB">
        <w:t>provoz informačního systému</w:t>
      </w:r>
      <w:r w:rsidR="00063A5E">
        <w:t xml:space="preserve"> e-PIMS</w:t>
      </w:r>
      <w:r w:rsidR="00F42CEB">
        <w:t xml:space="preserve"> vynakládáno </w:t>
      </w:r>
      <w:r w:rsidR="00517318">
        <w:t>přibližně 17 mil. Kč</w:t>
      </w:r>
      <w:r w:rsidR="00152616">
        <w:rPr>
          <w:rStyle w:val="Znakapoznpodarou"/>
        </w:rPr>
        <w:footnoteReference w:id="61"/>
      </w:r>
      <w:r w:rsidR="00F42CEB">
        <w:t>.</w:t>
      </w:r>
    </w:p>
    <w:p w14:paraId="69439B8E" w14:textId="63C04376" w:rsidR="001B1918" w:rsidRDefault="005C3C0C" w:rsidP="00051710">
      <w:r>
        <w:t>C</w:t>
      </w:r>
      <w:r w:rsidR="000C1136">
        <w:t>í</w:t>
      </w:r>
      <w:r w:rsidR="001B1918">
        <w:t>l</w:t>
      </w:r>
      <w:r w:rsidR="00AE7854">
        <w:t>i</w:t>
      </w:r>
      <w:r w:rsidR="00250E5D">
        <w:t xml:space="preserve"> </w:t>
      </w:r>
      <w:r w:rsidR="006F124F">
        <w:t xml:space="preserve">projektu </w:t>
      </w:r>
      <w:r w:rsidR="00250E5D">
        <w:t>CRAB byl</w:t>
      </w:r>
      <w:r w:rsidR="001B1918">
        <w:t xml:space="preserve">o </w:t>
      </w:r>
      <w:r>
        <w:t xml:space="preserve">také </w:t>
      </w:r>
      <w:r w:rsidR="001B1918">
        <w:t>umožnění vzájemné porovnatelnosti údajů,</w:t>
      </w:r>
      <w:r w:rsidR="00250E5D">
        <w:t xml:space="preserve"> optimalizace dislokace </w:t>
      </w:r>
      <w:r>
        <w:t xml:space="preserve">státních institucí a jejich pracovíků, včetně </w:t>
      </w:r>
      <w:r w:rsidR="001972F9">
        <w:t>využití</w:t>
      </w:r>
      <w:r>
        <w:t xml:space="preserve"> sdílení prostor</w:t>
      </w:r>
      <w:r w:rsidR="001972F9">
        <w:t>,</w:t>
      </w:r>
      <w:r>
        <w:t xml:space="preserve"> </w:t>
      </w:r>
      <w:r w:rsidR="00250E5D">
        <w:t>a umožnění snižování nákladů na</w:t>
      </w:r>
      <w:r w:rsidR="001972F9">
        <w:t xml:space="preserve"> </w:t>
      </w:r>
      <w:r w:rsidR="00250E5D">
        <w:t xml:space="preserve">správu a pronájem majetku. </w:t>
      </w:r>
      <w:r w:rsidR="00DC24D8" w:rsidRPr="00426F4A">
        <w:t>Tyto cíle jsou dle NKÚ</w:t>
      </w:r>
      <w:r w:rsidR="00255747" w:rsidRPr="00426F4A">
        <w:t xml:space="preserve"> předpokladem pro v</w:t>
      </w:r>
      <w:r w:rsidR="00426F4A">
        <w:t xml:space="preserve">yužití </w:t>
      </w:r>
      <w:r w:rsidR="00255747" w:rsidRPr="00426F4A">
        <w:t xml:space="preserve">CRAB jako nástroje, který </w:t>
      </w:r>
      <w:r w:rsidR="00426F4A">
        <w:t xml:space="preserve">má </w:t>
      </w:r>
      <w:r w:rsidR="00255747" w:rsidRPr="00426F4A">
        <w:t xml:space="preserve">sloužit státním institucím k účelnému a hospodárnému využití budov, jak je </w:t>
      </w:r>
      <w:r w:rsidR="00426F4A">
        <w:t xml:space="preserve">uvedeno </w:t>
      </w:r>
      <w:r w:rsidR="00255747" w:rsidRPr="00426F4A">
        <w:t>v zákoně</w:t>
      </w:r>
      <w:r w:rsidR="00255747" w:rsidRPr="00426F4A">
        <w:rPr>
          <w:rStyle w:val="Znakapoznpodarou"/>
        </w:rPr>
        <w:footnoteReference w:id="62"/>
      </w:r>
      <w:r w:rsidR="00255747" w:rsidRPr="00426F4A">
        <w:t>.</w:t>
      </w:r>
      <w:r w:rsidR="00255747">
        <w:t xml:space="preserve"> Splnění těchto</w:t>
      </w:r>
      <w:r w:rsidR="008A4E90" w:rsidRPr="001B1918">
        <w:t xml:space="preserve"> cíl</w:t>
      </w:r>
      <w:r w:rsidR="00255747">
        <w:t>ů</w:t>
      </w:r>
      <w:r w:rsidR="001B1918">
        <w:t xml:space="preserve"> j</w:t>
      </w:r>
      <w:r w:rsidR="00255747">
        <w:t>e</w:t>
      </w:r>
      <w:r w:rsidR="008A4E90" w:rsidRPr="001B1918">
        <w:t xml:space="preserve"> </w:t>
      </w:r>
      <w:r w:rsidR="00DC24D8">
        <w:t xml:space="preserve">však </w:t>
      </w:r>
      <w:r w:rsidR="008A4E90" w:rsidRPr="001B1918">
        <w:t>omezen</w:t>
      </w:r>
      <w:r w:rsidR="00255747">
        <w:t>o</w:t>
      </w:r>
      <w:r w:rsidR="008A4E90" w:rsidRPr="001B1918">
        <w:t xml:space="preserve"> skutečnostmi popsanými v části III.2 a III.3</w:t>
      </w:r>
      <w:r w:rsidR="001972F9">
        <w:t xml:space="preserve"> tohoto kontrolního závěru</w:t>
      </w:r>
      <w:r w:rsidR="00AE7854">
        <w:t xml:space="preserve">. </w:t>
      </w:r>
      <w:r w:rsidR="001972F9">
        <w:t>Proto</w:t>
      </w:r>
      <w:r w:rsidR="00DC24D8">
        <w:t xml:space="preserve">že </w:t>
      </w:r>
      <w:r w:rsidR="00B62141">
        <w:t xml:space="preserve">data evidovaná v CRAB jsou neúplná a nesprávná a </w:t>
      </w:r>
      <w:r w:rsidR="00DC24D8">
        <w:t>z CRAB není možné bez úpravy reportů získat všechny povinně zadávané údaje k objektům v členění na subjekty, nelze na základě údajů z CRAB posoudit, zda dochází ke snižování nákladů na správu a nájem majetku.</w:t>
      </w:r>
    </w:p>
    <w:p w14:paraId="7BEE7039" w14:textId="17E046C7" w:rsidR="00BE59C5" w:rsidRDefault="00191C70" w:rsidP="00F3222E">
      <w:r>
        <w:rPr>
          <w:rFonts w:eastAsia="Times New Roman" w:cs="Calibri"/>
          <w:szCs w:val="24"/>
        </w:rPr>
        <w:t>Ostatní cíle projektu CRAB, a to</w:t>
      </w:r>
      <w:r>
        <w:t xml:space="preserve"> cíl zajistit jednotný prostor pro elektronickou nabídku nepotřebného majetku OSS, jednotný prostor pro transparentní nabídku majetku určeného k realizaci přístupný široké veřejnosti, geoprostorovou lustraci majetku a řešení kolizí </w:t>
      </w:r>
      <w:r>
        <w:lastRenderedPageBreak/>
        <w:t>v území, integrovaný přístupový bod na připravované centrální registry včetně řešení přístupu na stávající registry a sjednocení metodiky jednoznačné identifikace majetku s cílem zamezit duplicitám z důvodu neprovázanosti dílčích evidencí</w:t>
      </w:r>
      <w:r w:rsidR="002C1702">
        <w:t xml:space="preserve">, </w:t>
      </w:r>
      <w:r w:rsidR="002C1702">
        <w:rPr>
          <w:rFonts w:eastAsia="Times New Roman" w:cs="Calibri"/>
          <w:szCs w:val="24"/>
        </w:rPr>
        <w:t>byly naplněny</w:t>
      </w:r>
      <w:r>
        <w:t>.</w:t>
      </w:r>
    </w:p>
    <w:p w14:paraId="6F61C600" w14:textId="38996461" w:rsidR="00F3222E" w:rsidRDefault="00051710" w:rsidP="00F3222E">
      <w:r>
        <w:t>ÚZSV</w:t>
      </w:r>
      <w:r w:rsidR="00806CE4">
        <w:t>M</w:t>
      </w:r>
      <w:r>
        <w:t xml:space="preserve"> </w:t>
      </w:r>
      <w:r w:rsidR="000C5364">
        <w:t xml:space="preserve">ve výroční zprávě za rok 2016 </w:t>
      </w:r>
      <w:r>
        <w:t>deklaruje, že jeho činnost</w:t>
      </w:r>
      <w:r w:rsidR="00712B00">
        <w:t>í</w:t>
      </w:r>
      <w:r>
        <w:t xml:space="preserve"> a</w:t>
      </w:r>
      <w:r w:rsidRPr="00051710">
        <w:t xml:space="preserve"> </w:t>
      </w:r>
      <w:r w:rsidR="006F124F">
        <w:t>využívání</w:t>
      </w:r>
      <w:r w:rsidR="00712B00">
        <w:t>m</w:t>
      </w:r>
      <w:r w:rsidR="006F124F">
        <w:t xml:space="preserve"> údajů z </w:t>
      </w:r>
      <w:r>
        <w:t>CRAB (např. upozorňování</w:t>
      </w:r>
      <w:r w:rsidR="003273C4">
        <w:t>m</w:t>
      </w:r>
      <w:r>
        <w:t xml:space="preserve"> na nadprůměrné hodnoty, redislokac</w:t>
      </w:r>
      <w:r w:rsidR="003273C4">
        <w:t>í</w:t>
      </w:r>
      <w:r>
        <w:t xml:space="preserve"> zaměstnanců) byly realizovány úspory ve výdajích na provoz objektů. </w:t>
      </w:r>
      <w:r w:rsidR="00F3222E">
        <w:t>ÚZSVM na základě reportů CRAB za rok 2015 dále posuzoval výši výdajů za</w:t>
      </w:r>
      <w:r w:rsidR="00926142">
        <w:t xml:space="preserve"> </w:t>
      </w:r>
      <w:r w:rsidR="00F3222E">
        <w:t>služby/komodity, m</w:t>
      </w:r>
      <w:r w:rsidR="00F3222E" w:rsidRPr="00623562">
        <w:rPr>
          <w:vertAlign w:val="superscript"/>
        </w:rPr>
        <w:t>2</w:t>
      </w:r>
      <w:r w:rsidR="00F3222E">
        <w:t xml:space="preserve"> kancelářské plochy na</w:t>
      </w:r>
      <w:r w:rsidR="00926142">
        <w:t xml:space="preserve"> jednoho </w:t>
      </w:r>
      <w:r w:rsidR="00F3222E">
        <w:t>zaměstnance a</w:t>
      </w:r>
      <w:r w:rsidR="00BE4D6A">
        <w:t> </w:t>
      </w:r>
      <w:r w:rsidR="00F3222E">
        <w:t>nájemné na</w:t>
      </w:r>
      <w:r w:rsidR="00926142">
        <w:t xml:space="preserve"> 1</w:t>
      </w:r>
      <w:r w:rsidR="00F3222E">
        <w:t> m</w:t>
      </w:r>
      <w:r w:rsidR="00F3222E" w:rsidRPr="00143400">
        <w:rPr>
          <w:vertAlign w:val="superscript"/>
        </w:rPr>
        <w:t>2</w:t>
      </w:r>
      <w:r w:rsidR="00F3222E">
        <w:t xml:space="preserve">. </w:t>
      </w:r>
      <w:r w:rsidR="00F3222E">
        <w:rPr>
          <w:rFonts w:cstheme="minorHAnsi"/>
        </w:rPr>
        <w:t>Kancelářskou plochu</w:t>
      </w:r>
      <w:r w:rsidR="00F3222E" w:rsidRPr="00143400">
        <w:rPr>
          <w:rFonts w:cstheme="minorHAnsi"/>
        </w:rPr>
        <w:t xml:space="preserve"> na</w:t>
      </w:r>
      <w:r w:rsidR="00926142">
        <w:rPr>
          <w:rFonts w:cstheme="minorHAnsi"/>
        </w:rPr>
        <w:t xml:space="preserve"> jednoho </w:t>
      </w:r>
      <w:r w:rsidR="00F3222E" w:rsidRPr="00143400">
        <w:rPr>
          <w:rFonts w:cstheme="minorHAnsi"/>
        </w:rPr>
        <w:t xml:space="preserve">zaměstnace </w:t>
      </w:r>
      <w:r w:rsidR="00F3222E">
        <w:rPr>
          <w:rFonts w:cstheme="minorHAnsi"/>
        </w:rPr>
        <w:t xml:space="preserve">ÚZSVM </w:t>
      </w:r>
      <w:r w:rsidR="00F3222E" w:rsidRPr="00143400">
        <w:rPr>
          <w:rFonts w:cstheme="minorHAnsi"/>
        </w:rPr>
        <w:t>po</w:t>
      </w:r>
      <w:r w:rsidR="00F3222E">
        <w:rPr>
          <w:rFonts w:cstheme="minorHAnsi"/>
        </w:rPr>
        <w:t>rovnával</w:t>
      </w:r>
      <w:r w:rsidR="00F3222E" w:rsidRPr="00143400">
        <w:rPr>
          <w:rFonts w:cstheme="minorHAnsi"/>
        </w:rPr>
        <w:t xml:space="preserve"> vůči 12</w:t>
      </w:r>
      <w:r w:rsidR="00F3222E">
        <w:rPr>
          <w:rFonts w:cstheme="minorHAnsi"/>
        </w:rPr>
        <w:t> </w:t>
      </w:r>
      <w:r w:rsidR="00F3222E" w:rsidRPr="00143400">
        <w:rPr>
          <w:rFonts w:cstheme="minorHAnsi"/>
        </w:rPr>
        <w:t>m</w:t>
      </w:r>
      <w:r w:rsidR="00F3222E" w:rsidRPr="00414BAA">
        <w:rPr>
          <w:rFonts w:cstheme="minorHAnsi"/>
          <w:vertAlign w:val="superscript"/>
        </w:rPr>
        <w:t>2</w:t>
      </w:r>
      <w:r w:rsidR="00F3222E" w:rsidRPr="00143400">
        <w:rPr>
          <w:rFonts w:cstheme="minorHAnsi"/>
        </w:rPr>
        <w:t xml:space="preserve">, </w:t>
      </w:r>
      <w:r w:rsidR="00821A37">
        <w:rPr>
          <w:rFonts w:cstheme="minorHAnsi"/>
        </w:rPr>
        <w:t>které</w:t>
      </w:r>
      <w:r w:rsidR="00F3222E" w:rsidRPr="00143400">
        <w:rPr>
          <w:rFonts w:cstheme="minorHAnsi"/>
        </w:rPr>
        <w:t xml:space="preserve"> stanovil jako </w:t>
      </w:r>
      <w:r w:rsidR="006F124F">
        <w:rPr>
          <w:rFonts w:cstheme="minorHAnsi"/>
        </w:rPr>
        <w:t>referenční</w:t>
      </w:r>
      <w:r w:rsidR="00A525E1">
        <w:rPr>
          <w:rFonts w:cstheme="minorHAnsi"/>
        </w:rPr>
        <w:t xml:space="preserve"> </w:t>
      </w:r>
      <w:r w:rsidR="00F3222E">
        <w:rPr>
          <w:rFonts w:cstheme="minorHAnsi"/>
        </w:rPr>
        <w:t>hodnotu</w:t>
      </w:r>
      <w:r w:rsidR="00F3222E" w:rsidRPr="00143400">
        <w:rPr>
          <w:rFonts w:cstheme="minorHAnsi"/>
        </w:rPr>
        <w:t xml:space="preserve">. </w:t>
      </w:r>
      <w:r w:rsidR="00F3222E">
        <w:t xml:space="preserve">U ostatních ukazatelů </w:t>
      </w:r>
      <w:r w:rsidR="006F124F">
        <w:t xml:space="preserve">porovnával </w:t>
      </w:r>
      <w:r w:rsidR="00F3222E">
        <w:t>jejich odchylku o</w:t>
      </w:r>
      <w:r w:rsidR="00821A37">
        <w:t>d</w:t>
      </w:r>
      <w:r w:rsidR="00F3222E">
        <w:t xml:space="preserve"> průměru. Následně pak prostřednictvím svých zástupců ve VDK a RDK či sám </w:t>
      </w:r>
      <w:r w:rsidR="006F124F">
        <w:t xml:space="preserve">ÚZSVM </w:t>
      </w:r>
      <w:r w:rsidR="00F3222E">
        <w:t>oslovil jednotlivé instituce, u nichž byly zjištěny nadprůměrné hodnoty</w:t>
      </w:r>
      <w:r w:rsidR="00926142">
        <w:t>,</w:t>
      </w:r>
      <w:r w:rsidR="00F3222E">
        <w:t xml:space="preserve"> a žádal je o přijetí opatření či vysvětlení těchto hodnot. Takový postup však závísí </w:t>
      </w:r>
      <w:r w:rsidR="00517318">
        <w:t xml:space="preserve">pouze </w:t>
      </w:r>
      <w:r w:rsidR="00F3222E">
        <w:t>na ochotě ostatních státních institucí spolupracovat</w:t>
      </w:r>
      <w:r w:rsidR="003972D9">
        <w:t xml:space="preserve"> s ÚZSVM a zástupci VDK či RDK</w:t>
      </w:r>
      <w:r w:rsidR="00F3222E">
        <w:rPr>
          <w:rStyle w:val="Znakapoznpodarou"/>
        </w:rPr>
        <w:footnoteReference w:id="63"/>
      </w:r>
      <w:r w:rsidR="00F3222E">
        <w:t>.</w:t>
      </w:r>
      <w:r w:rsidR="00F3222E" w:rsidRPr="00F3222E">
        <w:rPr>
          <w:rStyle w:val="Znakapoznpodarou"/>
        </w:rPr>
        <w:t xml:space="preserve"> </w:t>
      </w:r>
    </w:p>
    <w:p w14:paraId="21EA3657" w14:textId="5D7E155F" w:rsidR="00F3222E" w:rsidRDefault="00F3222E" w:rsidP="00926142">
      <w:r>
        <w:t>ÚZSVM ve výroční zprávě za rok 2016 uvádí, že došlo k</w:t>
      </w:r>
      <w:r w:rsidR="003273C4">
        <w:t xml:space="preserve"> meziročnímu</w:t>
      </w:r>
      <w:r>
        <w:t xml:space="preserve"> snížení výdajů na provoz objektů užívaných státem o 409 mil. Kč. Výši této úspory ÚZSVM vypočítal </w:t>
      </w:r>
      <w:r w:rsidR="00D2455F">
        <w:t>na</w:t>
      </w:r>
      <w:r w:rsidR="00926142">
        <w:t xml:space="preserve"> </w:t>
      </w:r>
      <w:r>
        <w:t xml:space="preserve">základě prostého srovnání údajů </w:t>
      </w:r>
      <w:r w:rsidR="00F810B2">
        <w:t>evidovaných v</w:t>
      </w:r>
      <w:r w:rsidR="003273C4">
        <w:t> </w:t>
      </w:r>
      <w:r w:rsidR="00F810B2">
        <w:t>CRAB</w:t>
      </w:r>
      <w:r w:rsidR="003273C4">
        <w:t xml:space="preserve"> za rok 2014 a 2015</w:t>
      </w:r>
      <w:r>
        <w:t>. NKÚ na</w:t>
      </w:r>
      <w:r w:rsidR="00926142">
        <w:t xml:space="preserve"> </w:t>
      </w:r>
      <w:r>
        <w:t xml:space="preserve">základě kontroly údajů v CRAB zjistil, že Ministerstvo vnitra zadalo do CRAB </w:t>
      </w:r>
      <w:r w:rsidR="00937992">
        <w:t xml:space="preserve">za rok 2015 </w:t>
      </w:r>
      <w:r>
        <w:t xml:space="preserve">neúplné údaje </w:t>
      </w:r>
      <w:r w:rsidR="00937992">
        <w:t>a </w:t>
      </w:r>
      <w:r>
        <w:t>snížilo peněžní prostředky vynakládané na správu objektů o 525 mil. Kč, blíže viz část III.3</w:t>
      </w:r>
      <w:r w:rsidR="00926142">
        <w:t xml:space="preserve"> tohoto kontrolního závěru</w:t>
      </w:r>
      <w:r>
        <w:t>. NKÚ konstatuje, že při použití stejné</w:t>
      </w:r>
      <w:r w:rsidR="005E64DE">
        <w:t>ho způsobu</w:t>
      </w:r>
      <w:r>
        <w:t xml:space="preserve"> výpočtu a</w:t>
      </w:r>
      <w:r w:rsidR="00926142">
        <w:t> </w:t>
      </w:r>
      <w:r>
        <w:t xml:space="preserve">zohlednění úplných údajů resortu MV za rok 2015 došlo </w:t>
      </w:r>
      <w:r w:rsidR="00EA386F">
        <w:t xml:space="preserve">naopak </w:t>
      </w:r>
      <w:r>
        <w:t>k meziročnímu zvýšení celkových výdajů vynakládaných na</w:t>
      </w:r>
      <w:r w:rsidR="00926142">
        <w:t xml:space="preserve"> </w:t>
      </w:r>
      <w:r>
        <w:t>správu objektů evidovaných v CRAB o 116 mil. Kč. Deklarované úspory tedy nebyly uskutečněny.</w:t>
      </w:r>
    </w:p>
    <w:p w14:paraId="5C260D60" w14:textId="4906CC1B" w:rsidR="00746FFD" w:rsidRPr="00F8635D" w:rsidRDefault="00250E5D" w:rsidP="00250E5D">
      <w:r>
        <w:t>ÚZSVM</w:t>
      </w:r>
      <w:r w:rsidR="000C1136" w:rsidRPr="000C1136">
        <w:t xml:space="preserve"> </w:t>
      </w:r>
      <w:r w:rsidR="00F3222E">
        <w:t>dále prezentoval</w:t>
      </w:r>
      <w:r w:rsidR="00F60901">
        <w:rPr>
          <w:rStyle w:val="Znakapoznpodarou"/>
        </w:rPr>
        <w:footnoteReference w:id="64"/>
      </w:r>
      <w:r>
        <w:t xml:space="preserve">, že </w:t>
      </w:r>
      <w:r w:rsidR="00821A37">
        <w:t xml:space="preserve">na základě </w:t>
      </w:r>
      <w:r w:rsidR="00F60901">
        <w:t>prác</w:t>
      </w:r>
      <w:r w:rsidR="00821A37">
        <w:t>e</w:t>
      </w:r>
      <w:r w:rsidR="00F60901">
        <w:t xml:space="preserve"> s daty z CRAB se</w:t>
      </w:r>
      <w:r w:rsidR="00F60901" w:rsidRPr="00F60901">
        <w:t xml:space="preserve"> podařilo </w:t>
      </w:r>
      <w:r w:rsidR="00F60901">
        <w:t xml:space="preserve">meziročně </w:t>
      </w:r>
      <w:r w:rsidR="00F60901" w:rsidRPr="00F60901">
        <w:t xml:space="preserve">ušetřit </w:t>
      </w:r>
      <w:r w:rsidR="00F60901">
        <w:t xml:space="preserve">více než 100 mil. Kč. Dle ÚZSVM </w:t>
      </w:r>
      <w:r>
        <w:t xml:space="preserve">bylo </w:t>
      </w:r>
      <w:r w:rsidR="00F60901">
        <w:t xml:space="preserve">v letech 2015 a 2016 </w:t>
      </w:r>
      <w:r>
        <w:t>realizováno 90 redislokací</w:t>
      </w:r>
      <w:r w:rsidR="00F3222E">
        <w:t xml:space="preserve"> státních institucí</w:t>
      </w:r>
      <w:r>
        <w:t xml:space="preserve"> s celkovou úsporou 116 </w:t>
      </w:r>
      <w:r w:rsidR="000C1136">
        <w:t xml:space="preserve">mil. </w:t>
      </w:r>
      <w:r>
        <w:t xml:space="preserve">Kč ročně. </w:t>
      </w:r>
      <w:r w:rsidR="007F3200">
        <w:t>NKÚ neposuzoval redislokace v roce 2016 s</w:t>
      </w:r>
      <w:r w:rsidR="00D2455F">
        <w:t> </w:t>
      </w:r>
      <w:r w:rsidR="007F3200">
        <w:t>úsporou 29 mil. Kč</w:t>
      </w:r>
      <w:r w:rsidR="00A525E1">
        <w:t xml:space="preserve"> </w:t>
      </w:r>
      <w:r w:rsidR="007F3200">
        <w:t xml:space="preserve">a </w:t>
      </w:r>
      <w:r w:rsidR="00797CF6">
        <w:t xml:space="preserve">zaměřil </w:t>
      </w:r>
      <w:r w:rsidR="007F3200">
        <w:t xml:space="preserve">se pouze </w:t>
      </w:r>
      <w:r w:rsidR="00797CF6">
        <w:t>na redislokace realizované v roce 2015, které měly přinést úsporu ve výši 87 mil. Kč</w:t>
      </w:r>
      <w:r w:rsidR="0096500E">
        <w:t>.</w:t>
      </w:r>
      <w:r w:rsidR="00797CF6">
        <w:t xml:space="preserve"> </w:t>
      </w:r>
      <w:r w:rsidR="0096500E">
        <w:t>NKÚ</w:t>
      </w:r>
      <w:r w:rsidR="00797CF6">
        <w:t xml:space="preserve"> </w:t>
      </w:r>
      <w:r w:rsidR="00014454">
        <w:t xml:space="preserve">zjistil, že </w:t>
      </w:r>
      <w:r w:rsidR="00797CF6">
        <w:t xml:space="preserve">v některých případech nebyly redislokace </w:t>
      </w:r>
      <w:r>
        <w:t>proveden</w:t>
      </w:r>
      <w:r w:rsidR="007D70AE">
        <w:t>y</w:t>
      </w:r>
      <w:r>
        <w:t xml:space="preserve"> na základě či</w:t>
      </w:r>
      <w:r w:rsidR="00797CF6">
        <w:t xml:space="preserve">nnosti ÚZSVM </w:t>
      </w:r>
      <w:r w:rsidR="00786168">
        <w:t xml:space="preserve">nebo </w:t>
      </w:r>
      <w:r w:rsidR="00797CF6">
        <w:t xml:space="preserve">údajů </w:t>
      </w:r>
      <w:r w:rsidR="00786168">
        <w:t xml:space="preserve">z </w:t>
      </w:r>
      <w:r w:rsidR="00797CF6">
        <w:t xml:space="preserve">CRAB, </w:t>
      </w:r>
      <w:r w:rsidR="00786168">
        <w:t xml:space="preserve">případně </w:t>
      </w:r>
      <w:r w:rsidR="00797CF6">
        <w:t>nebyly fakticky provedeny či vycházely</w:t>
      </w:r>
      <w:r>
        <w:t xml:space="preserve"> z nesprávných údajů</w:t>
      </w:r>
      <w:r w:rsidR="00797CF6">
        <w:t>. Z</w:t>
      </w:r>
      <w:r w:rsidR="00014454">
        <w:t xml:space="preserve"> těchto důvodů </w:t>
      </w:r>
      <w:r w:rsidR="00797CF6">
        <w:t xml:space="preserve">NKÚ </w:t>
      </w:r>
      <w:r w:rsidR="00517318">
        <w:t xml:space="preserve">konstatuje, že </w:t>
      </w:r>
      <w:r w:rsidR="007F3200">
        <w:t xml:space="preserve">úspory </w:t>
      </w:r>
      <w:r w:rsidR="007F3200" w:rsidRPr="00F8635D">
        <w:t>na</w:t>
      </w:r>
      <w:r w:rsidR="00926142">
        <w:t xml:space="preserve"> </w:t>
      </w:r>
      <w:r w:rsidR="007F3200" w:rsidRPr="00F8635D">
        <w:t xml:space="preserve">redislokace realizované v roce 2015 </w:t>
      </w:r>
      <w:r w:rsidR="00517318">
        <w:t xml:space="preserve">byly realizovány maximálně ve výši </w:t>
      </w:r>
      <w:r w:rsidR="004F73AB">
        <w:t xml:space="preserve">26 mil. Kč </w:t>
      </w:r>
      <w:r w:rsidR="00014454" w:rsidRPr="00F8635D">
        <w:t>(t</w:t>
      </w:r>
      <w:r w:rsidR="007F3200" w:rsidRPr="00F8635D">
        <w:t>j.</w:t>
      </w:r>
      <w:r w:rsidR="00014454" w:rsidRPr="00F8635D">
        <w:t xml:space="preserve"> </w:t>
      </w:r>
      <w:r w:rsidR="004F73AB">
        <w:t>3</w:t>
      </w:r>
      <w:r w:rsidR="00014454" w:rsidRPr="00F8635D">
        <w:t>0 %</w:t>
      </w:r>
      <w:r w:rsidR="00EA386F">
        <w:t xml:space="preserve"> deklarovaných úspor za rok 2015</w:t>
      </w:r>
      <w:r w:rsidR="00014454" w:rsidRPr="00F8635D">
        <w:t>)</w:t>
      </w:r>
      <w:r w:rsidRPr="00F8635D">
        <w:t>.</w:t>
      </w:r>
      <w:r w:rsidR="00A525E1" w:rsidRPr="00F8635D">
        <w:t xml:space="preserve"> </w:t>
      </w:r>
    </w:p>
    <w:p w14:paraId="0A37E6FD" w14:textId="370C477D" w:rsidR="00746FFD" w:rsidRPr="00F8635D" w:rsidRDefault="00746FFD" w:rsidP="00746FFD">
      <w:pPr>
        <w:autoSpaceDE w:val="0"/>
        <w:autoSpaceDN w:val="0"/>
        <w:adjustRightInd w:val="0"/>
        <w:spacing w:after="240"/>
        <w:rPr>
          <w:rFonts w:cstheme="minorHAnsi"/>
          <w:b/>
          <w:color w:val="000000"/>
        </w:rPr>
      </w:pPr>
      <w:r w:rsidRPr="00F8635D">
        <w:rPr>
          <w:rFonts w:cstheme="minorHAnsi"/>
          <w:color w:val="000000"/>
        </w:rPr>
        <w:t xml:space="preserve">Na základě požadavku </w:t>
      </w:r>
      <w:r w:rsidR="00926142">
        <w:rPr>
          <w:rFonts w:cstheme="minorHAnsi"/>
        </w:rPr>
        <w:t>r</w:t>
      </w:r>
      <w:r w:rsidRPr="00F8635D">
        <w:rPr>
          <w:rFonts w:cstheme="minorHAnsi"/>
        </w:rPr>
        <w:t>ady vlády pro informační společnost</w:t>
      </w:r>
      <w:r w:rsidRPr="00F8635D">
        <w:rPr>
          <w:rFonts w:cstheme="minorHAnsi"/>
          <w:color w:val="000000"/>
        </w:rPr>
        <w:t xml:space="preserve"> na </w:t>
      </w:r>
      <w:r w:rsidRPr="00F8635D">
        <w:t xml:space="preserve">předložení analýzy zabývající se možností zbavení se stavu exkluzivity vůči jednomu dodavateli </w:t>
      </w:r>
      <w:r w:rsidRPr="00F8635D">
        <w:rPr>
          <w:rFonts w:cstheme="minorHAnsi"/>
          <w:color w:val="000000"/>
        </w:rPr>
        <w:t xml:space="preserve">byl vytvořen dokument </w:t>
      </w:r>
      <w:r w:rsidRPr="00F8635D">
        <w:rPr>
          <w:rFonts w:cstheme="minorHAnsi"/>
          <w:i/>
          <w:color w:val="000000"/>
        </w:rPr>
        <w:t>Příprava RFI</w:t>
      </w:r>
      <w:r w:rsidRPr="00F8635D">
        <w:rPr>
          <w:rStyle w:val="Znakapoznpodarou"/>
          <w:rFonts w:cstheme="minorHAnsi"/>
          <w:color w:val="000000"/>
        </w:rPr>
        <w:footnoteReference w:id="65"/>
      </w:r>
      <w:r w:rsidRPr="00F8635D">
        <w:rPr>
          <w:rFonts w:cstheme="minorHAnsi"/>
          <w:color w:val="000000"/>
        </w:rPr>
        <w:t xml:space="preserve"> </w:t>
      </w:r>
      <w:r w:rsidR="00B029F9">
        <w:rPr>
          <w:rFonts w:cstheme="minorHAnsi"/>
          <w:color w:val="000000"/>
        </w:rPr>
        <w:t>pro</w:t>
      </w:r>
      <w:r w:rsidRPr="00F8635D">
        <w:rPr>
          <w:rFonts w:cstheme="minorHAnsi"/>
          <w:color w:val="000000"/>
        </w:rPr>
        <w:t xml:space="preserve"> nový informační systém ÚZSVM. Obsahem dokumentu je možnost ukončení provozu CRAB</w:t>
      </w:r>
      <w:r w:rsidR="00B029F9">
        <w:rPr>
          <w:rFonts w:cstheme="minorHAnsi"/>
          <w:color w:val="000000"/>
        </w:rPr>
        <w:t xml:space="preserve"> </w:t>
      </w:r>
      <w:r w:rsidRPr="00F8635D">
        <w:rPr>
          <w:rFonts w:cstheme="minorHAnsi"/>
          <w:color w:val="000000"/>
        </w:rPr>
        <w:t>včetně přechodu na nový systém, který by měl zahrnovat</w:t>
      </w:r>
      <w:r w:rsidR="00B029F9">
        <w:rPr>
          <w:rFonts w:cstheme="minorHAnsi"/>
          <w:color w:val="000000"/>
        </w:rPr>
        <w:t xml:space="preserve"> </w:t>
      </w:r>
      <w:r w:rsidRPr="00F8635D">
        <w:rPr>
          <w:rFonts w:cstheme="minorHAnsi"/>
          <w:color w:val="000000"/>
        </w:rPr>
        <w:t xml:space="preserve">funkcionality systémů ISMS a CRAB, ačkoli tyto systémy podporují různé agendy, rozdílné </w:t>
      </w:r>
      <w:r w:rsidRPr="00F8635D">
        <w:rPr>
          <w:rFonts w:cstheme="minorHAnsi"/>
          <w:color w:val="000000"/>
        </w:rPr>
        <w:lastRenderedPageBreak/>
        <w:t>činnosti i uživatele. Tento postup nesníží závislost ÚZSVM na</w:t>
      </w:r>
      <w:r w:rsidR="00B029F9">
        <w:rPr>
          <w:rFonts w:cstheme="minorHAnsi"/>
          <w:color w:val="000000"/>
        </w:rPr>
        <w:t xml:space="preserve"> </w:t>
      </w:r>
      <w:r w:rsidRPr="00F8635D">
        <w:rPr>
          <w:rFonts w:cstheme="minorHAnsi"/>
          <w:color w:val="000000"/>
        </w:rPr>
        <w:t>jednom dodavateli informačních systémů, neboť informační systém bude zahrnovat a podporovat více věcně a funkčně nesouvisejících agend.</w:t>
      </w:r>
    </w:p>
    <w:p w14:paraId="52D7A0F9" w14:textId="07FB88D6" w:rsidR="00250E5D" w:rsidRDefault="00250E5D" w:rsidP="00250E5D">
      <w:r w:rsidRPr="00F8635D">
        <w:rPr>
          <w:rFonts w:cstheme="minorHAnsi"/>
          <w:color w:val="000000"/>
        </w:rPr>
        <w:t xml:space="preserve">NKÚ </w:t>
      </w:r>
      <w:r w:rsidRPr="00F8635D">
        <w:rPr>
          <w:rFonts w:cstheme="minorHAnsi"/>
        </w:rPr>
        <w:t>na</w:t>
      </w:r>
      <w:r w:rsidR="00B029F9">
        <w:rPr>
          <w:rFonts w:cstheme="minorHAnsi"/>
        </w:rPr>
        <w:t xml:space="preserve"> </w:t>
      </w:r>
      <w:r w:rsidRPr="00F8635D">
        <w:rPr>
          <w:rFonts w:cstheme="minorHAnsi"/>
        </w:rPr>
        <w:t xml:space="preserve">základě skutečností </w:t>
      </w:r>
      <w:r w:rsidR="003070E0" w:rsidRPr="00F8635D">
        <w:rPr>
          <w:rFonts w:cstheme="minorHAnsi"/>
        </w:rPr>
        <w:t>plynoucích z právních předpisů</w:t>
      </w:r>
      <w:r w:rsidR="004076CD">
        <w:rPr>
          <w:rFonts w:cstheme="minorHAnsi"/>
        </w:rPr>
        <w:t xml:space="preserve"> a </w:t>
      </w:r>
      <w:r w:rsidR="00154E20">
        <w:rPr>
          <w:rFonts w:cstheme="minorHAnsi"/>
        </w:rPr>
        <w:t xml:space="preserve">dosavadního </w:t>
      </w:r>
      <w:r w:rsidR="004076CD">
        <w:rPr>
          <w:rFonts w:cstheme="minorHAnsi"/>
        </w:rPr>
        <w:t>fungování systému</w:t>
      </w:r>
      <w:r w:rsidRPr="00F8635D">
        <w:rPr>
          <w:rFonts w:cstheme="minorHAnsi"/>
        </w:rPr>
        <w:t xml:space="preserve"> </w:t>
      </w:r>
      <w:r w:rsidR="003070E0" w:rsidRPr="00F8635D">
        <w:rPr>
          <w:rFonts w:cstheme="minorHAnsi"/>
        </w:rPr>
        <w:t>v </w:t>
      </w:r>
      <w:r w:rsidRPr="00F8635D">
        <w:rPr>
          <w:rFonts w:cstheme="minorHAnsi"/>
        </w:rPr>
        <w:t>oblasti podpory procesů a architektury informačního systému</w:t>
      </w:r>
      <w:r w:rsidR="005E64DE" w:rsidRPr="00F8635D">
        <w:rPr>
          <w:rFonts w:cstheme="minorHAnsi"/>
        </w:rPr>
        <w:t xml:space="preserve"> vyhodnotil</w:t>
      </w:r>
      <w:r w:rsidRPr="00F8635D">
        <w:rPr>
          <w:rFonts w:cstheme="minorHAnsi"/>
        </w:rPr>
        <w:t xml:space="preserve">, </w:t>
      </w:r>
      <w:r w:rsidRPr="00F8635D">
        <w:rPr>
          <w:rFonts w:cstheme="minorHAnsi"/>
          <w:color w:val="000000"/>
        </w:rPr>
        <w:t>že</w:t>
      </w:r>
      <w:r w:rsidRPr="00F8635D" w:rsidDel="00427925">
        <w:rPr>
          <w:rFonts w:cstheme="minorHAnsi"/>
          <w:color w:val="000000"/>
        </w:rPr>
        <w:t xml:space="preserve"> </w:t>
      </w:r>
      <w:r w:rsidRPr="00F8635D">
        <w:rPr>
          <w:rFonts w:cstheme="minorHAnsi"/>
          <w:color w:val="000000"/>
        </w:rPr>
        <w:t xml:space="preserve">CRAB </w:t>
      </w:r>
      <w:r w:rsidR="000D55B3" w:rsidRPr="00F8635D">
        <w:rPr>
          <w:rFonts w:cstheme="minorHAnsi"/>
          <w:color w:val="000000"/>
        </w:rPr>
        <w:t>je samostatný informační systém.</w:t>
      </w:r>
      <w:r w:rsidR="004076CD">
        <w:rPr>
          <w:rFonts w:cstheme="minorHAnsi"/>
        </w:rPr>
        <w:t xml:space="preserve"> </w:t>
      </w:r>
      <w:r w:rsidRPr="00F8635D">
        <w:rPr>
          <w:rFonts w:cstheme="minorHAnsi"/>
        </w:rPr>
        <w:t>ISMS podporuje procesy související se správou majetku, se kterým je</w:t>
      </w:r>
      <w:r w:rsidRPr="007454E4">
        <w:rPr>
          <w:rFonts w:cstheme="minorHAnsi"/>
        </w:rPr>
        <w:t xml:space="preserve"> ÚZSVM příslušný hospodařit. ISMS byl definován jako významný informační systém veřejné správy s vysokým stupněm dostupnosti, který podporuje agendu </w:t>
      </w:r>
      <w:r w:rsidR="00B029F9">
        <w:rPr>
          <w:rFonts w:cstheme="minorHAnsi"/>
        </w:rPr>
        <w:t>h</w:t>
      </w:r>
      <w:r w:rsidRPr="00702837">
        <w:rPr>
          <w:rFonts w:cstheme="minorHAnsi"/>
        </w:rPr>
        <w:t xml:space="preserve">ospodaření </w:t>
      </w:r>
      <w:r w:rsidR="00426815" w:rsidRPr="00702837">
        <w:rPr>
          <w:rFonts w:cstheme="minorHAnsi"/>
        </w:rPr>
        <w:t>s </w:t>
      </w:r>
      <w:r w:rsidRPr="00702837">
        <w:rPr>
          <w:rFonts w:cstheme="minorHAnsi"/>
        </w:rPr>
        <w:t>majetkem státu</w:t>
      </w:r>
      <w:r w:rsidRPr="007454E4">
        <w:rPr>
          <w:rFonts w:cstheme="minorHAnsi"/>
        </w:rPr>
        <w:t xml:space="preserve"> a jeho výpadek má kritický dopad na činnost ÚZSVM. CRAB podporuje procesy</w:t>
      </w:r>
      <w:r w:rsidR="00B029F9">
        <w:rPr>
          <w:rFonts w:cstheme="minorHAnsi"/>
        </w:rPr>
        <w:t xml:space="preserve"> </w:t>
      </w:r>
      <w:r w:rsidRPr="007454E4">
        <w:rPr>
          <w:rFonts w:cstheme="minorHAnsi"/>
        </w:rPr>
        <w:t>evidence budov</w:t>
      </w:r>
      <w:r>
        <w:rPr>
          <w:rFonts w:cstheme="minorHAnsi"/>
        </w:rPr>
        <w:t>, ve</w:t>
      </w:r>
      <w:r w:rsidR="00B029F9">
        <w:rPr>
          <w:rFonts w:cstheme="minorHAnsi"/>
        </w:rPr>
        <w:t xml:space="preserve"> </w:t>
      </w:r>
      <w:r>
        <w:rPr>
          <w:rFonts w:cstheme="minorHAnsi"/>
        </w:rPr>
        <w:t>kterých jsou umístěni státní zaměstnanci,</w:t>
      </w:r>
      <w:r w:rsidRPr="007454E4">
        <w:rPr>
          <w:rFonts w:cstheme="minorHAnsi"/>
        </w:rPr>
        <w:t xml:space="preserve"> a s nimi souvisejících výdajů na jejich správu</w:t>
      </w:r>
      <w:r>
        <w:rPr>
          <w:rFonts w:cstheme="minorHAnsi"/>
        </w:rPr>
        <w:t>.</w:t>
      </w:r>
      <w:r w:rsidRPr="007454E4">
        <w:rPr>
          <w:rFonts w:cstheme="minorHAnsi"/>
        </w:rPr>
        <w:t xml:space="preserve"> </w:t>
      </w:r>
      <w:r w:rsidRPr="00A91A42">
        <w:t xml:space="preserve">Informace z CRAB o administrativních budovách, které jsou převedeny v souladu s právními předpisy na ÚZSVM, musí být znovu zadány do ISMS, </w:t>
      </w:r>
      <w:r w:rsidR="00426815" w:rsidRPr="00A91A42">
        <w:t>a</w:t>
      </w:r>
      <w:r w:rsidR="00426815">
        <w:t> </w:t>
      </w:r>
      <w:r w:rsidR="00A91A42" w:rsidRPr="00A91A42">
        <w:t>v případě aktualizace údajů v ISMS</w:t>
      </w:r>
      <w:r w:rsidRPr="00A91A42">
        <w:t xml:space="preserve"> jsou v definovaných časových intervalech znovu exportovány do CRAB.</w:t>
      </w:r>
      <w:r>
        <w:t xml:space="preserve"> </w:t>
      </w:r>
    </w:p>
    <w:p w14:paraId="35474F64" w14:textId="51B2AEAB" w:rsidR="00250E5D" w:rsidRPr="007454E4" w:rsidRDefault="00250E5D" w:rsidP="00250E5D">
      <w:pPr>
        <w:spacing w:after="0"/>
        <w:rPr>
          <w:rFonts w:cstheme="minorHAnsi"/>
        </w:rPr>
      </w:pPr>
      <w:r w:rsidRPr="007454E4">
        <w:rPr>
          <w:rFonts w:cstheme="minorHAnsi"/>
        </w:rPr>
        <w:t xml:space="preserve">NKÚ vyhodnotil CRAB jako samostatný informační systém, neboť: </w:t>
      </w:r>
    </w:p>
    <w:p w14:paraId="0BBD8E7E" w14:textId="77777777" w:rsidR="00250E5D" w:rsidRPr="007454E4" w:rsidRDefault="00250E5D" w:rsidP="000D32BD">
      <w:pPr>
        <w:pStyle w:val="Odstavecseseznamem"/>
        <w:numPr>
          <w:ilvl w:val="0"/>
          <w:numId w:val="50"/>
        </w:numPr>
        <w:autoSpaceDE w:val="0"/>
        <w:autoSpaceDN w:val="0"/>
        <w:adjustRightInd w:val="0"/>
        <w:ind w:left="284" w:hanging="284"/>
        <w:rPr>
          <w:rFonts w:cstheme="minorHAnsi"/>
          <w:color w:val="000000"/>
        </w:rPr>
      </w:pPr>
      <w:r w:rsidRPr="007454E4">
        <w:rPr>
          <w:rFonts w:cstheme="minorHAnsi"/>
        </w:rPr>
        <w:t>CRAB podporuje jiné činnosti než ISMS a slouží všem státn</w:t>
      </w:r>
      <w:r>
        <w:rPr>
          <w:rFonts w:cstheme="minorHAnsi"/>
        </w:rPr>
        <w:t>ím institucím, tedy nejen ÚZSVM,</w:t>
      </w:r>
      <w:r w:rsidRPr="007454E4">
        <w:rPr>
          <w:rFonts w:cstheme="minorHAnsi"/>
        </w:rPr>
        <w:t xml:space="preserve"> </w:t>
      </w:r>
    </w:p>
    <w:p w14:paraId="02101F1D" w14:textId="77777777" w:rsidR="00250E5D" w:rsidRPr="00731F4E" w:rsidRDefault="00250E5D" w:rsidP="000D32BD">
      <w:pPr>
        <w:pStyle w:val="Odstavecseseznamem"/>
        <w:numPr>
          <w:ilvl w:val="0"/>
          <w:numId w:val="50"/>
        </w:numPr>
        <w:ind w:left="284" w:hanging="284"/>
        <w:rPr>
          <w:rFonts w:cstheme="minorHAnsi"/>
        </w:rPr>
      </w:pPr>
      <w:r w:rsidRPr="00F05F84">
        <w:rPr>
          <w:rFonts w:cstheme="minorHAnsi"/>
        </w:rPr>
        <w:t>přístup uživatelů do CRAB je zajištěn prostřednictvím sp</w:t>
      </w:r>
      <w:r>
        <w:rPr>
          <w:rFonts w:cstheme="minorHAnsi"/>
        </w:rPr>
        <w:t>eciálně k tomu určených licencí, s</w:t>
      </w:r>
      <w:r w:rsidRPr="00F05F84">
        <w:rPr>
          <w:rFonts w:cstheme="minorHAnsi"/>
        </w:rPr>
        <w:t>tejně jako zaměstnanci všech státních institucích i zaměstnanci ÚZSVM musí do CRAB používat speciální přístupy a licence a nemají žádnou výhodu spojenou s jejich přístupem d</w:t>
      </w:r>
      <w:r>
        <w:rPr>
          <w:rFonts w:cstheme="minorHAnsi"/>
        </w:rPr>
        <w:t>o ISMS,</w:t>
      </w:r>
    </w:p>
    <w:p w14:paraId="3F865CDF" w14:textId="57BD2486" w:rsidR="00250E5D" w:rsidRPr="007454E4" w:rsidRDefault="00250E5D" w:rsidP="000D32BD">
      <w:pPr>
        <w:pStyle w:val="Odstavecseseznamem"/>
        <w:numPr>
          <w:ilvl w:val="0"/>
          <w:numId w:val="50"/>
        </w:numPr>
        <w:spacing w:after="0"/>
        <w:ind w:left="284" w:hanging="284"/>
        <w:rPr>
          <w:rFonts w:cstheme="minorHAnsi"/>
        </w:rPr>
      </w:pPr>
      <w:r w:rsidRPr="007454E4">
        <w:rPr>
          <w:rFonts w:cstheme="minorHAnsi"/>
        </w:rPr>
        <w:t>CRAB byl technologicky oddělen, měl definovaný</w:t>
      </w:r>
      <w:r w:rsidR="00B029F9">
        <w:rPr>
          <w:rFonts w:cstheme="minorHAnsi"/>
        </w:rPr>
        <w:t xml:space="preserve"> </w:t>
      </w:r>
      <w:r w:rsidRPr="007454E4">
        <w:rPr>
          <w:rFonts w:cstheme="minorHAnsi"/>
        </w:rPr>
        <w:t>nižší stupeň dostupnosti než ISMS a jeho výpadek by neměl vliv na činnost ÚZSVM,</w:t>
      </w:r>
    </w:p>
    <w:p w14:paraId="20A5BFD7" w14:textId="77777777" w:rsidR="00250E5D" w:rsidRPr="007454E4" w:rsidRDefault="00250E5D" w:rsidP="000D32BD">
      <w:pPr>
        <w:pStyle w:val="Odstavecseseznamem"/>
        <w:numPr>
          <w:ilvl w:val="0"/>
          <w:numId w:val="50"/>
        </w:numPr>
        <w:spacing w:after="0"/>
        <w:ind w:left="284" w:hanging="284"/>
        <w:rPr>
          <w:rFonts w:cstheme="minorHAnsi"/>
        </w:rPr>
      </w:pPr>
      <w:r w:rsidRPr="007454E4">
        <w:rPr>
          <w:rFonts w:cstheme="minorHAnsi"/>
        </w:rPr>
        <w:t>CRAB má vlastní logování událostí,</w:t>
      </w:r>
    </w:p>
    <w:p w14:paraId="11BD6A02" w14:textId="77777777" w:rsidR="00250E5D" w:rsidRPr="007454E4" w:rsidRDefault="00250E5D" w:rsidP="000D32BD">
      <w:pPr>
        <w:pStyle w:val="Odstavecseseznamem"/>
        <w:numPr>
          <w:ilvl w:val="0"/>
          <w:numId w:val="50"/>
        </w:numPr>
        <w:spacing w:after="0"/>
        <w:ind w:left="284" w:hanging="284"/>
        <w:rPr>
          <w:rFonts w:cstheme="minorHAnsi"/>
        </w:rPr>
      </w:pPr>
      <w:r w:rsidRPr="007454E4">
        <w:rPr>
          <w:rFonts w:cstheme="minorHAnsi"/>
        </w:rPr>
        <w:t>CRAB má vlastní aplikační databázi,</w:t>
      </w:r>
    </w:p>
    <w:p w14:paraId="2A988C78" w14:textId="77777777" w:rsidR="00250E5D" w:rsidRPr="00A34AF9" w:rsidRDefault="00250E5D" w:rsidP="000D32BD">
      <w:pPr>
        <w:pStyle w:val="Odstavecseseznamem"/>
        <w:numPr>
          <w:ilvl w:val="0"/>
          <w:numId w:val="50"/>
        </w:numPr>
        <w:ind w:left="284" w:hanging="284"/>
        <w:contextualSpacing w:val="0"/>
        <w:rPr>
          <w:rFonts w:cstheme="minorHAnsi"/>
        </w:rPr>
      </w:pPr>
      <w:r w:rsidRPr="00A34AF9">
        <w:rPr>
          <w:rFonts w:cstheme="minorHAnsi"/>
        </w:rPr>
        <w:t>data vložená do CRAB je možné využít v jiném informačním systému pouze přes rozhraní přenosem dat (to platí i pro ISMS).</w:t>
      </w:r>
    </w:p>
    <w:p w14:paraId="3951A4D8" w14:textId="0E2F1E05" w:rsidR="00250E5D" w:rsidRDefault="00250E5D" w:rsidP="00250E5D">
      <w:r>
        <w:rPr>
          <w:rFonts w:cstheme="minorHAnsi"/>
        </w:rPr>
        <w:t xml:space="preserve">CRAB je informační systém veřejné správy, avšak </w:t>
      </w:r>
      <w:r w:rsidRPr="00A67BF8">
        <w:t>nebyl do doby ukončení kontroly NKÚ zaevidován do seznamu informačních systémů veřejné správy</w:t>
      </w:r>
      <w:r>
        <w:rPr>
          <w:rStyle w:val="Znakapoznpodarou"/>
        </w:rPr>
        <w:footnoteReference w:id="66"/>
      </w:r>
      <w:r>
        <w:t>.</w:t>
      </w:r>
      <w:r w:rsidRPr="00A67BF8">
        <w:t xml:space="preserve"> </w:t>
      </w:r>
      <w:r>
        <w:t>V</w:t>
      </w:r>
      <w:r w:rsidRPr="00A67BF8">
        <w:t> </w:t>
      </w:r>
      <w:r w:rsidR="000D55B3">
        <w:rPr>
          <w:rFonts w:cstheme="minorHAnsi"/>
        </w:rPr>
        <w:t>i</w:t>
      </w:r>
      <w:r w:rsidR="000D55B3" w:rsidRPr="00245347">
        <w:rPr>
          <w:rFonts w:cstheme="minorHAnsi"/>
        </w:rPr>
        <w:t>nformační</w:t>
      </w:r>
      <w:r w:rsidR="000D55B3">
        <w:rPr>
          <w:rFonts w:cstheme="minorHAnsi"/>
        </w:rPr>
        <w:t>m</w:t>
      </w:r>
      <w:r w:rsidR="000D55B3" w:rsidRPr="00245347">
        <w:rPr>
          <w:rFonts w:cstheme="minorHAnsi"/>
        </w:rPr>
        <w:t xml:space="preserve"> systém</w:t>
      </w:r>
      <w:r w:rsidR="000D55B3">
        <w:rPr>
          <w:rFonts w:cstheme="minorHAnsi"/>
        </w:rPr>
        <w:t>u</w:t>
      </w:r>
      <w:r w:rsidR="000D55B3" w:rsidRPr="00245347">
        <w:rPr>
          <w:rFonts w:cstheme="minorHAnsi"/>
        </w:rPr>
        <w:t xml:space="preserve"> o</w:t>
      </w:r>
      <w:r w:rsidR="000D55B3">
        <w:rPr>
          <w:rFonts w:cstheme="minorHAnsi"/>
        </w:rPr>
        <w:t> </w:t>
      </w:r>
      <w:r w:rsidR="000D55B3" w:rsidRPr="00245347">
        <w:rPr>
          <w:rFonts w:cstheme="minorHAnsi"/>
        </w:rPr>
        <w:t>informačních systémech veřejné správy</w:t>
      </w:r>
      <w:r w:rsidR="000D55B3" w:rsidRPr="00A67BF8">
        <w:t xml:space="preserve"> </w:t>
      </w:r>
      <w:r>
        <w:t xml:space="preserve">tak </w:t>
      </w:r>
      <w:r w:rsidRPr="00A67BF8">
        <w:t xml:space="preserve">chybí údaje CRAB o správci a provozovateli, pořizovací náklady a roční provozní náklady, datové prvky </w:t>
      </w:r>
      <w:r>
        <w:t xml:space="preserve">a informace o tom, </w:t>
      </w:r>
      <w:r w:rsidRPr="00A67BF8">
        <w:t xml:space="preserve">zda </w:t>
      </w:r>
      <w:r>
        <w:t xml:space="preserve">CRAB </w:t>
      </w:r>
      <w:r w:rsidRPr="00A67BF8">
        <w:t>obsahuje veřejnou část.</w:t>
      </w:r>
      <w:r>
        <w:t xml:space="preserve"> </w:t>
      </w:r>
    </w:p>
    <w:p w14:paraId="0C2DD6BA" w14:textId="61162A9D" w:rsidR="00250E5D" w:rsidRPr="00204DE8" w:rsidRDefault="00937992" w:rsidP="00250E5D">
      <w:r>
        <w:t>Z</w:t>
      </w:r>
      <w:r w:rsidR="00250E5D" w:rsidRPr="00EF1453">
        <w:t>ákon</w:t>
      </w:r>
      <w:r>
        <w:t>em</w:t>
      </w:r>
      <w:r w:rsidR="00250E5D">
        <w:rPr>
          <w:rStyle w:val="Znakapoznpodarou"/>
        </w:rPr>
        <w:footnoteReference w:id="67"/>
      </w:r>
      <w:r w:rsidR="00250E5D" w:rsidRPr="00EF1453">
        <w:t xml:space="preserve"> byla </w:t>
      </w:r>
      <w:r w:rsidR="00EB3A13">
        <w:t>s účinností od 1.</w:t>
      </w:r>
      <w:r>
        <w:t> březn</w:t>
      </w:r>
      <w:r w:rsidR="00EB6094">
        <w:t>a</w:t>
      </w:r>
      <w:r>
        <w:t xml:space="preserve"> 2016</w:t>
      </w:r>
      <w:r w:rsidR="007D684E">
        <w:t xml:space="preserve"> </w:t>
      </w:r>
      <w:r w:rsidR="00250E5D" w:rsidRPr="00EF1453">
        <w:t xml:space="preserve">legislativně zakotvena existence CRAB a role správce tohoto systému </w:t>
      </w:r>
      <w:r w:rsidR="00250E5D">
        <w:t xml:space="preserve">byla </w:t>
      </w:r>
      <w:r w:rsidR="00250E5D" w:rsidRPr="00EF1453">
        <w:t xml:space="preserve">převedena z ÚZSVM na Ministerstvo financí. K převedení této role </w:t>
      </w:r>
      <w:r w:rsidR="007D684E" w:rsidRPr="00EF1453">
        <w:t>na</w:t>
      </w:r>
      <w:r w:rsidR="00B029F9">
        <w:t xml:space="preserve"> </w:t>
      </w:r>
      <w:r w:rsidR="00250E5D" w:rsidRPr="00EF1453">
        <w:t>M</w:t>
      </w:r>
      <w:r w:rsidR="007D684E">
        <w:t>inisterstvo financí</w:t>
      </w:r>
      <w:r w:rsidR="00250E5D" w:rsidRPr="00EF1453">
        <w:t xml:space="preserve"> však fakticky nedošlo, neboť obě strany považovaly právní </w:t>
      </w:r>
      <w:r w:rsidR="00250E5D" w:rsidRPr="00EF1453">
        <w:lastRenderedPageBreak/>
        <w:t xml:space="preserve">úpravu </w:t>
      </w:r>
      <w:r w:rsidR="007D684E" w:rsidRPr="00EF1453">
        <w:t>za</w:t>
      </w:r>
      <w:r w:rsidR="00B029F9">
        <w:t xml:space="preserve"> </w:t>
      </w:r>
      <w:r w:rsidR="00250E5D" w:rsidRPr="00EF1453">
        <w:t xml:space="preserve">vadnou, a </w:t>
      </w:r>
      <w:r w:rsidR="00A553CF">
        <w:t>M</w:t>
      </w:r>
      <w:r w:rsidR="007D684E">
        <w:t>inisterstvo financí</w:t>
      </w:r>
      <w:r w:rsidR="00A553CF">
        <w:t xml:space="preserve"> </w:t>
      </w:r>
      <w:r w:rsidR="00EB3A13">
        <w:t xml:space="preserve">roli správce CRAB </w:t>
      </w:r>
      <w:r w:rsidR="00A553CF">
        <w:t>ne</w:t>
      </w:r>
      <w:r w:rsidR="00250E5D" w:rsidRPr="00EF1453">
        <w:t>v</w:t>
      </w:r>
      <w:r w:rsidR="00250E5D">
        <w:t>ykonávalo</w:t>
      </w:r>
      <w:r w:rsidR="00250E5D" w:rsidRPr="00EF1453">
        <w:t>.</w:t>
      </w:r>
      <w:r w:rsidR="00EB6094">
        <w:t xml:space="preserve"> S účinností </w:t>
      </w:r>
      <w:r w:rsidR="00426815">
        <w:t>od</w:t>
      </w:r>
      <w:r w:rsidR="00B029F9">
        <w:t xml:space="preserve"> </w:t>
      </w:r>
      <w:r w:rsidR="00EB6094">
        <w:t>1</w:t>
      </w:r>
      <w:r w:rsidR="00426815">
        <w:t>. </w:t>
      </w:r>
      <w:r w:rsidR="00250E5D">
        <w:t>července 2017 byla zákon</w:t>
      </w:r>
      <w:r w:rsidR="007D684E">
        <w:t>em</w:t>
      </w:r>
      <w:r w:rsidR="00250E5D">
        <w:rPr>
          <w:rStyle w:val="Znakapoznpodarou"/>
          <w:rFonts w:cs="Calibri"/>
          <w:iCs/>
        </w:rPr>
        <w:footnoteReference w:id="68"/>
      </w:r>
      <w:r w:rsidR="00250E5D">
        <w:t xml:space="preserve"> role správce CRAB převedena zpět na ÚZSVM.</w:t>
      </w:r>
    </w:p>
    <w:p w14:paraId="54B326A9" w14:textId="3A1A5FA3" w:rsidR="008D1FF2" w:rsidRDefault="008D1FF2" w:rsidP="00E14EA0">
      <w:pPr>
        <w:pStyle w:val="Nadpis3"/>
        <w:tabs>
          <w:tab w:val="clear" w:pos="425"/>
          <w:tab w:val="clear" w:pos="567"/>
        </w:tabs>
        <w:ind w:left="284" w:hanging="284"/>
        <w:jc w:val="left"/>
      </w:pPr>
      <w:r>
        <w:t>MV peněžní prostředky vynakládané na správu nemovitého majetku nesledovalo a</w:t>
      </w:r>
      <w:r w:rsidR="00E5605F">
        <w:t> </w:t>
      </w:r>
      <w:r>
        <w:t>nevyhodnocovalo</w:t>
      </w:r>
    </w:p>
    <w:p w14:paraId="4EEC3982" w14:textId="308B5419" w:rsidR="0042693E" w:rsidRDefault="0042693E" w:rsidP="00EB6094">
      <w:pPr>
        <w:rPr>
          <w:rFonts w:cs="Calibri"/>
          <w:lang w:eastAsia="cs-CZ"/>
        </w:rPr>
      </w:pPr>
      <w:r w:rsidRPr="0086567D">
        <w:t>MV pro resort jako celek nestanovilo v období 2014 až 201</w:t>
      </w:r>
      <w:r w:rsidR="00652507">
        <w:t>5</w:t>
      </w:r>
      <w:r w:rsidRPr="0086567D">
        <w:t xml:space="preserve"> cíle v</w:t>
      </w:r>
      <w:r w:rsidR="00652507">
        <w:t> </w:t>
      </w:r>
      <w:r w:rsidRPr="0086567D">
        <w:t>oblasti správy nemovitého majetku, vyjma cílů, které jsou spojeny s plněním podmínek účasti státního rozpočtu na</w:t>
      </w:r>
      <w:r w:rsidR="00B029F9">
        <w:t xml:space="preserve"> </w:t>
      </w:r>
      <w:r w:rsidRPr="0086567D">
        <w:t xml:space="preserve">financování programů </w:t>
      </w:r>
      <w:r>
        <w:t>reprodukce majetku</w:t>
      </w:r>
      <w:r w:rsidR="00734294">
        <w:t xml:space="preserve">, </w:t>
      </w:r>
      <w:r w:rsidR="00734294" w:rsidRPr="00652507">
        <w:rPr>
          <w:rFonts w:cstheme="minorHAnsi"/>
        </w:rPr>
        <w:t>kdy se jednalo zejména o</w:t>
      </w:r>
      <w:r w:rsidR="00734294">
        <w:rPr>
          <w:rFonts w:cstheme="minorHAnsi"/>
        </w:rPr>
        <w:t> </w:t>
      </w:r>
      <w:r w:rsidR="00734294" w:rsidRPr="00652507">
        <w:rPr>
          <w:rFonts w:cstheme="minorHAnsi"/>
        </w:rPr>
        <w:t xml:space="preserve">investice </w:t>
      </w:r>
      <w:r w:rsidR="00D2455F" w:rsidRPr="00652507">
        <w:rPr>
          <w:rFonts w:cstheme="minorHAnsi"/>
        </w:rPr>
        <w:t>do</w:t>
      </w:r>
      <w:r w:rsidR="00B029F9">
        <w:rPr>
          <w:rFonts w:cstheme="minorHAnsi"/>
        </w:rPr>
        <w:t xml:space="preserve"> </w:t>
      </w:r>
      <w:r w:rsidR="00734294" w:rsidRPr="00652507">
        <w:rPr>
          <w:rFonts w:cstheme="minorHAnsi"/>
        </w:rPr>
        <w:t>nemovitého majetku, které vedl</w:t>
      </w:r>
      <w:r w:rsidR="00734294">
        <w:rPr>
          <w:rFonts w:cstheme="minorHAnsi"/>
        </w:rPr>
        <w:t>y k jeho technickému zhodnocení</w:t>
      </w:r>
      <w:r w:rsidR="00652507">
        <w:t>.</w:t>
      </w:r>
      <w:r>
        <w:t xml:space="preserve"> </w:t>
      </w:r>
      <w:r w:rsidRPr="007B7E97">
        <w:rPr>
          <w:rFonts w:cs="Calibri"/>
          <w:lang w:eastAsia="cs-CZ"/>
        </w:rPr>
        <w:t>MV tak nevytvořilo předpoklady pro</w:t>
      </w:r>
      <w:r w:rsidR="00B029F9">
        <w:rPr>
          <w:rFonts w:cs="Calibri"/>
          <w:lang w:eastAsia="cs-CZ"/>
        </w:rPr>
        <w:t xml:space="preserve"> </w:t>
      </w:r>
      <w:r w:rsidRPr="007B7E97">
        <w:rPr>
          <w:rFonts w:cs="Calibri"/>
          <w:lang w:eastAsia="cs-CZ"/>
        </w:rPr>
        <w:t xml:space="preserve">stanovení kritérií dle § 4 odst. 2 zákona č. 320/2001 Sb., </w:t>
      </w:r>
      <w:r w:rsidR="003756D6">
        <w:rPr>
          <w:rFonts w:cs="Calibri"/>
          <w:lang w:eastAsia="cs-CZ"/>
        </w:rPr>
        <w:t xml:space="preserve">o finanční kontrole </w:t>
      </w:r>
      <w:r w:rsidR="00EB6094" w:rsidRPr="00EB6094">
        <w:rPr>
          <w:rFonts w:cs="Calibri"/>
          <w:lang w:eastAsia="cs-CZ"/>
        </w:rPr>
        <w:t>ve veřejné správě a</w:t>
      </w:r>
      <w:r w:rsidR="00D2455F">
        <w:rPr>
          <w:rFonts w:cs="Calibri"/>
          <w:lang w:eastAsia="cs-CZ"/>
        </w:rPr>
        <w:t> </w:t>
      </w:r>
      <w:r w:rsidR="00EB6094" w:rsidRPr="00EB6094">
        <w:rPr>
          <w:rFonts w:cs="Calibri"/>
          <w:lang w:eastAsia="cs-CZ"/>
        </w:rPr>
        <w:t>o změně některých zákonů</w:t>
      </w:r>
      <w:r w:rsidR="00EB6094">
        <w:rPr>
          <w:rFonts w:cs="Calibri"/>
          <w:lang w:eastAsia="cs-CZ"/>
        </w:rPr>
        <w:t xml:space="preserve"> </w:t>
      </w:r>
      <w:r w:rsidR="00EB6094" w:rsidRPr="00EB6094">
        <w:rPr>
          <w:rFonts w:cs="Calibri"/>
          <w:lang w:eastAsia="cs-CZ"/>
        </w:rPr>
        <w:t>(zákon o finanční kontrole)</w:t>
      </w:r>
      <w:r w:rsidR="00EB6094">
        <w:rPr>
          <w:rFonts w:cs="Calibri"/>
          <w:lang w:eastAsia="cs-CZ"/>
        </w:rPr>
        <w:t>,</w:t>
      </w:r>
      <w:r w:rsidRPr="007B7E97">
        <w:rPr>
          <w:rFonts w:cs="Calibri"/>
          <w:lang w:eastAsia="cs-CZ"/>
        </w:rPr>
        <w:t xml:space="preserve"> umožňující vyhodnocovat hospodárnost, efektivnost a účelnost vynaložených peněžních prostředků </w:t>
      </w:r>
      <w:r w:rsidR="00426815" w:rsidRPr="007B7E97">
        <w:rPr>
          <w:rFonts w:cs="Calibri"/>
          <w:lang w:eastAsia="cs-CZ"/>
        </w:rPr>
        <w:t>do</w:t>
      </w:r>
      <w:r w:rsidR="00B029F9">
        <w:rPr>
          <w:rFonts w:cs="Calibri"/>
          <w:lang w:eastAsia="cs-CZ"/>
        </w:rPr>
        <w:t xml:space="preserve"> </w:t>
      </w:r>
      <w:r w:rsidRPr="007B7E97">
        <w:rPr>
          <w:rFonts w:cs="Calibri"/>
          <w:lang w:eastAsia="cs-CZ"/>
        </w:rPr>
        <w:t xml:space="preserve">nemovitého majetku v letech 2014 a 2015. </w:t>
      </w:r>
      <w:r w:rsidR="000A2764">
        <w:rPr>
          <w:rFonts w:ascii="Calibri" w:eastAsia="Times New Roman" w:hAnsi="Calibri" w:cs="Times New Roman"/>
          <w:szCs w:val="24"/>
        </w:rPr>
        <w:t>ZSMV zpracov</w:t>
      </w:r>
      <w:r w:rsidR="007D684E">
        <w:rPr>
          <w:rFonts w:ascii="Calibri" w:eastAsia="Times New Roman" w:hAnsi="Calibri" w:cs="Times New Roman"/>
          <w:szCs w:val="24"/>
        </w:rPr>
        <w:t>alo</w:t>
      </w:r>
      <w:r w:rsidR="000A2764">
        <w:rPr>
          <w:rFonts w:ascii="Calibri" w:eastAsia="Times New Roman" w:hAnsi="Calibri" w:cs="Times New Roman"/>
          <w:szCs w:val="24"/>
        </w:rPr>
        <w:t xml:space="preserve"> roční investiční plány, které zahrnovaly nejnutnější použití investičních prostředků.</w:t>
      </w:r>
    </w:p>
    <w:p w14:paraId="57E79B1F" w14:textId="5F00CC06" w:rsidR="00C91682" w:rsidRDefault="0042693E" w:rsidP="0042693E">
      <w:pPr>
        <w:pStyle w:val="KPnormln"/>
        <w:rPr>
          <w:rFonts w:cs="Arial"/>
          <w:bCs/>
        </w:rPr>
      </w:pPr>
      <w:r w:rsidRPr="0086567D">
        <w:t xml:space="preserve">MV vnitřním předpisem stanovilo </w:t>
      </w:r>
      <w:r w:rsidRPr="002A1E04">
        <w:t>postup útvarů mi</w:t>
      </w:r>
      <w:r>
        <w:t xml:space="preserve">nisterstva </w:t>
      </w:r>
      <w:r w:rsidRPr="002A1E04">
        <w:t xml:space="preserve">při stanovení podlahových ploch a vybavování místností </w:t>
      </w:r>
      <w:r w:rsidR="00652507">
        <w:t xml:space="preserve">zaměstnanců dle funkčního zařazení </w:t>
      </w:r>
      <w:r w:rsidR="00913350">
        <w:t xml:space="preserve">zaměstnanců </w:t>
      </w:r>
      <w:r w:rsidR="00913350" w:rsidRPr="002A1E04">
        <w:t>v</w:t>
      </w:r>
      <w:r w:rsidR="00913350">
        <w:t> </w:t>
      </w:r>
      <w:r w:rsidRPr="002A1E04">
        <w:t>jedn</w:t>
      </w:r>
      <w:r>
        <w:t>otlivých objektech ministerstva, přičemž k</w:t>
      </w:r>
      <w:r w:rsidRPr="002A1E04">
        <w:t xml:space="preserve">ritériem pro třídění druhů kanceláří </w:t>
      </w:r>
      <w:r>
        <w:t>byl</w:t>
      </w:r>
      <w:r w:rsidRPr="002A1E04">
        <w:t xml:space="preserve"> způsob prostorového uspořádání a počet kancelářských pracovišť v prostoru kanceláře</w:t>
      </w:r>
      <w:r>
        <w:t xml:space="preserve">. </w:t>
      </w:r>
      <w:r w:rsidR="00C91682">
        <w:t>REM</w:t>
      </w:r>
      <w:r>
        <w:t xml:space="preserve"> však </w:t>
      </w:r>
      <w:r w:rsidRPr="00DE1CA5">
        <w:rPr>
          <w:rFonts w:cs="Arial"/>
          <w:bCs/>
        </w:rPr>
        <w:t>neumožň</w:t>
      </w:r>
      <w:r>
        <w:rPr>
          <w:rFonts w:cs="Arial"/>
          <w:bCs/>
        </w:rPr>
        <w:t>uje</w:t>
      </w:r>
      <w:r w:rsidRPr="00DE1CA5">
        <w:rPr>
          <w:rFonts w:cs="Arial"/>
          <w:bCs/>
        </w:rPr>
        <w:t xml:space="preserve"> sledovat vazby systemizovaných míst s</w:t>
      </w:r>
      <w:r>
        <w:rPr>
          <w:rFonts w:cs="Arial"/>
          <w:bCs/>
        </w:rPr>
        <w:t> </w:t>
      </w:r>
      <w:r w:rsidRPr="00DE1CA5">
        <w:rPr>
          <w:rFonts w:cs="Arial"/>
          <w:bCs/>
        </w:rPr>
        <w:t>jednotlivými nemovitostmi a</w:t>
      </w:r>
      <w:r w:rsidR="00652507">
        <w:rPr>
          <w:rFonts w:cs="Arial"/>
          <w:bCs/>
        </w:rPr>
        <w:t> </w:t>
      </w:r>
      <w:r w:rsidRPr="00DE1CA5">
        <w:rPr>
          <w:rFonts w:cs="Arial"/>
          <w:bCs/>
        </w:rPr>
        <w:t>místnostmi</w:t>
      </w:r>
      <w:r>
        <w:rPr>
          <w:rFonts w:cs="Arial"/>
          <w:bCs/>
        </w:rPr>
        <w:t xml:space="preserve">. </w:t>
      </w:r>
      <w:r w:rsidR="00C91682">
        <w:rPr>
          <w:rFonts w:cs="Arial"/>
          <w:bCs/>
        </w:rPr>
        <w:t xml:space="preserve">Využití kancelářské plochy je </w:t>
      </w:r>
      <w:r w:rsidR="007D684E">
        <w:rPr>
          <w:rFonts w:cs="Arial"/>
          <w:bCs/>
        </w:rPr>
        <w:t xml:space="preserve">v REM </w:t>
      </w:r>
      <w:r w:rsidR="00C91682">
        <w:rPr>
          <w:rFonts w:cs="Arial"/>
          <w:bCs/>
        </w:rPr>
        <w:t xml:space="preserve">odvozováno pouze z údaje o potřebnosti daného objektu. </w:t>
      </w:r>
    </w:p>
    <w:p w14:paraId="73AD18EC" w14:textId="77777777" w:rsidR="0037678A" w:rsidRDefault="00CB6E46" w:rsidP="0042693E">
      <w:pPr>
        <w:pStyle w:val="KPnormln"/>
      </w:pPr>
      <w:r>
        <w:t xml:space="preserve">NKÚ konstatuje, že i přes dílčí nedostatky, s výjimkou dat týkajících se právních vztahů, poskytují data z informačních systémů MV podklad pro analytické úlohy s cílem vyhodnocovat efektivnost správy budov. </w:t>
      </w:r>
    </w:p>
    <w:p w14:paraId="041D82AE" w14:textId="17244EEE" w:rsidR="00C91682" w:rsidRDefault="0037678A" w:rsidP="009C78F4">
      <w:r w:rsidRPr="003D71F9">
        <w:t>NKÚ u vybraného vzorku zjistil, že ZSMV zadávalo</w:t>
      </w:r>
      <w:r>
        <w:t xml:space="preserve"> do CRAB a REM odlišné údaje o počtu zaměstnanců.</w:t>
      </w:r>
      <w:r w:rsidR="00594495">
        <w:t xml:space="preserve"> </w:t>
      </w:r>
      <w:r w:rsidR="00C91682">
        <w:t xml:space="preserve">Stejně jako v CRAB nejsou v REM evidovány kompletní informace </w:t>
      </w:r>
      <w:r w:rsidR="00594495">
        <w:t>o objektu</w:t>
      </w:r>
      <w:r w:rsidR="00594495" w:rsidRPr="00C91682">
        <w:t xml:space="preserve"> </w:t>
      </w:r>
      <w:r w:rsidR="00FC0BE2">
        <w:t xml:space="preserve">(např. počet zaměstnanců) </w:t>
      </w:r>
      <w:r w:rsidR="00C91682">
        <w:t xml:space="preserve">v případě, že </w:t>
      </w:r>
      <w:r w:rsidR="00E5605F">
        <w:t xml:space="preserve">jsou v objektu umístěna </w:t>
      </w:r>
      <w:r w:rsidR="00C91682">
        <w:t>režimová pracoviště</w:t>
      </w:r>
      <w:r w:rsidR="00FC0BE2">
        <w:t xml:space="preserve"> </w:t>
      </w:r>
      <w:r w:rsidR="00C91682">
        <w:t>podléhající některému stupni utajení</w:t>
      </w:r>
      <w:r w:rsidR="00C91682">
        <w:rPr>
          <w:rStyle w:val="Znakapoznpodarou"/>
        </w:rPr>
        <w:footnoteReference w:id="69"/>
      </w:r>
      <w:r w:rsidR="00C91682">
        <w:t xml:space="preserve">. </w:t>
      </w:r>
      <w:r w:rsidR="00E5605F">
        <w:t>Ani n</w:t>
      </w:r>
      <w:r w:rsidR="00C91682" w:rsidRPr="009D4938">
        <w:t xml:space="preserve">a základě dat z </w:t>
      </w:r>
      <w:r w:rsidR="00C91682">
        <w:t>REM</w:t>
      </w:r>
      <w:r w:rsidR="00C91682" w:rsidRPr="009D4938">
        <w:t xml:space="preserve"> nebylo možné </w:t>
      </w:r>
      <w:r w:rsidR="000F3E6A" w:rsidRPr="009D4938">
        <w:t xml:space="preserve">rozlišit </w:t>
      </w:r>
      <w:r w:rsidR="00594495">
        <w:t>přesný</w:t>
      </w:r>
      <w:r w:rsidR="00C91682" w:rsidRPr="009D4938">
        <w:t xml:space="preserve"> charakter objektu</w:t>
      </w:r>
      <w:r w:rsidR="00C91682">
        <w:t xml:space="preserve">. </w:t>
      </w:r>
      <w:r w:rsidR="00C91682">
        <w:rPr>
          <w:rFonts w:cs="Calibri"/>
        </w:rPr>
        <w:t xml:space="preserve">Jako administrativní budova byl označen např. </w:t>
      </w:r>
      <w:r w:rsidR="000F3E6A">
        <w:rPr>
          <w:rFonts w:cs="Calibri"/>
        </w:rPr>
        <w:t>z</w:t>
      </w:r>
      <w:r w:rsidR="00C91682">
        <w:rPr>
          <w:rFonts w:cs="Calibri"/>
        </w:rPr>
        <w:t xml:space="preserve">ámek </w:t>
      </w:r>
      <w:r w:rsidR="00426815">
        <w:rPr>
          <w:rFonts w:cs="Calibri"/>
        </w:rPr>
        <w:t>s </w:t>
      </w:r>
      <w:r w:rsidR="00C91682">
        <w:rPr>
          <w:rFonts w:cs="Calibri"/>
        </w:rPr>
        <w:t xml:space="preserve">plochou kanceláří </w:t>
      </w:r>
      <w:r w:rsidR="00C91682" w:rsidRPr="007F2286">
        <w:rPr>
          <w:rFonts w:cs="Calibri"/>
        </w:rPr>
        <w:t>25</w:t>
      </w:r>
      <w:r w:rsidR="00C91682">
        <w:rPr>
          <w:rFonts w:cs="Calibri"/>
        </w:rPr>
        <w:t>4 m</w:t>
      </w:r>
      <w:r w:rsidR="00C91682" w:rsidRPr="007F2286">
        <w:rPr>
          <w:rFonts w:cs="Calibri"/>
          <w:vertAlign w:val="superscript"/>
        </w:rPr>
        <w:t>2</w:t>
      </w:r>
      <w:r w:rsidR="00C91682">
        <w:rPr>
          <w:rFonts w:cs="Calibri"/>
        </w:rPr>
        <w:t xml:space="preserve"> (12</w:t>
      </w:r>
      <w:r w:rsidR="00FC0BE2">
        <w:rPr>
          <w:rFonts w:cs="Calibri"/>
        </w:rPr>
        <w:t> % celkové plochy) nebo hasičská</w:t>
      </w:r>
      <w:r w:rsidR="00C91682">
        <w:rPr>
          <w:rFonts w:cs="Calibri"/>
        </w:rPr>
        <w:t xml:space="preserve"> stanice s plochou kanceláří 16 m</w:t>
      </w:r>
      <w:r w:rsidR="00C91682" w:rsidRPr="00001E65">
        <w:rPr>
          <w:rFonts w:cs="Calibri"/>
          <w:vertAlign w:val="superscript"/>
        </w:rPr>
        <w:t>2</w:t>
      </w:r>
      <w:r w:rsidR="00C91682">
        <w:rPr>
          <w:rFonts w:cs="Calibri"/>
        </w:rPr>
        <w:t xml:space="preserve"> (3 % celkové plochy). ZSMV evidovalo v REM jako administrativní budovu např. protiatomový kryt s plochou kanceláří 183 m</w:t>
      </w:r>
      <w:r w:rsidR="00C91682" w:rsidRPr="00707F79">
        <w:rPr>
          <w:rFonts w:cs="Calibri"/>
          <w:vertAlign w:val="superscript"/>
        </w:rPr>
        <w:t>2</w:t>
      </w:r>
      <w:r w:rsidR="00C91682">
        <w:rPr>
          <w:rFonts w:cs="Calibri"/>
        </w:rPr>
        <w:t xml:space="preserve"> (3 % celkové plochy), který dle vyjádření ZSMV nesplňuje podmínky pro administrativní budovu. Na druhé straně jako administrativní budova nebyl v REM označen např. objekt s plochou kanceláří 927 m</w:t>
      </w:r>
      <w:r w:rsidR="00C91682" w:rsidRPr="007F2286">
        <w:rPr>
          <w:rFonts w:cs="Calibri"/>
          <w:vertAlign w:val="superscript"/>
        </w:rPr>
        <w:t>2</w:t>
      </w:r>
      <w:r w:rsidR="00C91682">
        <w:rPr>
          <w:rFonts w:cs="Calibri"/>
        </w:rPr>
        <w:t xml:space="preserve"> (77 % celkové plochy) nebo objekt s</w:t>
      </w:r>
      <w:r w:rsidR="00BE4D6A">
        <w:rPr>
          <w:rFonts w:cs="Calibri"/>
        </w:rPr>
        <w:t> </w:t>
      </w:r>
      <w:r w:rsidR="00C91682">
        <w:rPr>
          <w:rFonts w:cs="Calibri"/>
        </w:rPr>
        <w:t xml:space="preserve">plochou kanceláří </w:t>
      </w:r>
      <w:r w:rsidR="00C91682" w:rsidRPr="00875EDE">
        <w:rPr>
          <w:rFonts w:cs="Calibri"/>
        </w:rPr>
        <w:t>1</w:t>
      </w:r>
      <w:r w:rsidR="00C91682">
        <w:rPr>
          <w:rFonts w:cs="Calibri"/>
        </w:rPr>
        <w:t> 392 m</w:t>
      </w:r>
      <w:r w:rsidR="00C91682" w:rsidRPr="007F2286">
        <w:rPr>
          <w:rFonts w:cs="Calibri"/>
          <w:vertAlign w:val="superscript"/>
        </w:rPr>
        <w:t>2</w:t>
      </w:r>
      <w:r w:rsidR="00C91682">
        <w:rPr>
          <w:rFonts w:cs="Calibri"/>
        </w:rPr>
        <w:t xml:space="preserve"> (57 % celkové plochy). </w:t>
      </w:r>
      <w:r w:rsidR="00C91682">
        <w:t>Zaměstnanci resortu MV při</w:t>
      </w:r>
      <w:r w:rsidR="00594495">
        <w:t xml:space="preserve"> </w:t>
      </w:r>
      <w:r w:rsidR="00C91682">
        <w:t>určování typu budovy nepostupovali vždy jednotně, což má za</w:t>
      </w:r>
      <w:r w:rsidR="00594495">
        <w:t xml:space="preserve"> </w:t>
      </w:r>
      <w:r w:rsidR="00C91682">
        <w:t>následek nemožnost odlišit objekty využívané ke</w:t>
      </w:r>
      <w:r w:rsidR="00594495">
        <w:t xml:space="preserve"> </w:t>
      </w:r>
      <w:r w:rsidR="00C91682">
        <w:t>specifickým činnostem a tyto objekty vzájemně srovnávat</w:t>
      </w:r>
      <w:r w:rsidR="00811703" w:rsidRPr="00811703">
        <w:t xml:space="preserve"> </w:t>
      </w:r>
      <w:r w:rsidR="00811703" w:rsidRPr="005C30C9">
        <w:t>za</w:t>
      </w:r>
      <w:r w:rsidR="00594495">
        <w:t xml:space="preserve"> </w:t>
      </w:r>
      <w:r w:rsidR="00811703" w:rsidRPr="005C30C9">
        <w:t xml:space="preserve">účelem </w:t>
      </w:r>
      <w:r w:rsidR="00811703" w:rsidRPr="005C30C9">
        <w:lastRenderedPageBreak/>
        <w:t>optimalizace správy nemovitého majetku</w:t>
      </w:r>
      <w:r w:rsidR="00C91682">
        <w:t xml:space="preserve">. </w:t>
      </w:r>
      <w:r w:rsidR="00720380">
        <w:t>Tyto nedostatky je nutné vzít v úvahu při</w:t>
      </w:r>
      <w:r w:rsidR="00594495">
        <w:t xml:space="preserve"> </w:t>
      </w:r>
      <w:r w:rsidR="00720380">
        <w:t>vyhodnocování dat pro posouzení efektivnosti správy nemovitého majetku a jeho využití.</w:t>
      </w:r>
    </w:p>
    <w:p w14:paraId="264ACDFA" w14:textId="0A68DF1E" w:rsidR="00BF676E" w:rsidRPr="00A03549" w:rsidRDefault="00BF676E" w:rsidP="00BF676E">
      <w:pPr>
        <w:pStyle w:val="KPnormln"/>
        <w:keepNext/>
        <w:spacing w:after="0" w:line="240" w:lineRule="auto"/>
        <w:rPr>
          <w:b/>
        </w:rPr>
      </w:pPr>
      <w:r w:rsidRPr="00702837">
        <w:rPr>
          <w:b/>
        </w:rPr>
        <w:t xml:space="preserve">Tabulka č. </w:t>
      </w:r>
      <w:r w:rsidRPr="00702837">
        <w:rPr>
          <w:b/>
        </w:rPr>
        <w:fldChar w:fldCharType="begin"/>
      </w:r>
      <w:r w:rsidRPr="00702837">
        <w:rPr>
          <w:b/>
        </w:rPr>
        <w:instrText xml:space="preserve"> SEQ Tabulka_č. \* ARABIC </w:instrText>
      </w:r>
      <w:r w:rsidRPr="00702837">
        <w:rPr>
          <w:b/>
        </w:rPr>
        <w:fldChar w:fldCharType="separate"/>
      </w:r>
      <w:r w:rsidR="00564135">
        <w:rPr>
          <w:b/>
          <w:noProof/>
        </w:rPr>
        <w:t>5</w:t>
      </w:r>
      <w:r w:rsidRPr="00702837">
        <w:rPr>
          <w:b/>
        </w:rPr>
        <w:fldChar w:fldCharType="end"/>
      </w:r>
      <w:r>
        <w:rPr>
          <w:b/>
        </w:rPr>
        <w:t xml:space="preserve">: </w:t>
      </w:r>
      <w:r w:rsidRPr="00FC0E71">
        <w:rPr>
          <w:b/>
        </w:rPr>
        <w:t>Hodnoty ukazatelů výkonnosti</w:t>
      </w:r>
      <w:r>
        <w:rPr>
          <w:b/>
        </w:rPr>
        <w:t xml:space="preserve"> za resort MV</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51"/>
        <w:gridCol w:w="850"/>
        <w:gridCol w:w="898"/>
        <w:gridCol w:w="851"/>
        <w:gridCol w:w="844"/>
        <w:gridCol w:w="809"/>
      </w:tblGrid>
      <w:tr w:rsidR="0042693E" w:rsidRPr="00362B7C" w14:paraId="0A7EB66B" w14:textId="77777777" w:rsidTr="00B52068">
        <w:trPr>
          <w:trHeight w:val="20"/>
        </w:trPr>
        <w:tc>
          <w:tcPr>
            <w:tcW w:w="3969" w:type="dxa"/>
            <w:vMerge w:val="restart"/>
            <w:shd w:val="clear" w:color="000000" w:fill="E5F1FF"/>
            <w:vAlign w:val="center"/>
            <w:hideMark/>
          </w:tcPr>
          <w:p w14:paraId="07D230A8" w14:textId="74442EC7" w:rsidR="0042693E" w:rsidRPr="00362B7C" w:rsidRDefault="0042693E" w:rsidP="00CA340C">
            <w:pPr>
              <w:spacing w:after="0" w:line="240" w:lineRule="auto"/>
              <w:jc w:val="left"/>
              <w:rPr>
                <w:rFonts w:eastAsia="Times New Roman" w:cstheme="minorHAnsi"/>
                <w:b/>
                <w:color w:val="000000"/>
                <w:sz w:val="20"/>
                <w:szCs w:val="20"/>
                <w:lang w:eastAsia="cs-CZ"/>
              </w:rPr>
            </w:pPr>
            <w:r w:rsidRPr="00362B7C">
              <w:rPr>
                <w:rFonts w:eastAsia="Times New Roman" w:cstheme="minorHAnsi"/>
                <w:b/>
                <w:color w:val="000000"/>
                <w:sz w:val="20"/>
                <w:szCs w:val="20"/>
                <w:lang w:eastAsia="cs-CZ"/>
              </w:rPr>
              <w:t>Ukazatel</w:t>
            </w:r>
          </w:p>
        </w:tc>
        <w:tc>
          <w:tcPr>
            <w:tcW w:w="1701" w:type="dxa"/>
            <w:gridSpan w:val="2"/>
            <w:shd w:val="clear" w:color="000000" w:fill="E5F1FF"/>
            <w:noWrap/>
            <w:vAlign w:val="center"/>
            <w:hideMark/>
          </w:tcPr>
          <w:p w14:paraId="25A147BE"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sidRPr="00362B7C">
              <w:rPr>
                <w:rFonts w:ascii="Calibri" w:eastAsia="Times New Roman" w:hAnsi="Calibri" w:cs="Times New Roman"/>
                <w:b/>
                <w:bCs/>
                <w:color w:val="000000"/>
                <w:sz w:val="20"/>
                <w:szCs w:val="20"/>
                <w:lang w:eastAsia="cs-CZ"/>
              </w:rPr>
              <w:t>2014</w:t>
            </w:r>
          </w:p>
        </w:tc>
        <w:tc>
          <w:tcPr>
            <w:tcW w:w="1749" w:type="dxa"/>
            <w:gridSpan w:val="2"/>
            <w:shd w:val="clear" w:color="000000" w:fill="E5F1FF"/>
            <w:noWrap/>
            <w:vAlign w:val="center"/>
            <w:hideMark/>
          </w:tcPr>
          <w:p w14:paraId="374A0C08"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sidRPr="00362B7C">
              <w:rPr>
                <w:rFonts w:ascii="Calibri" w:eastAsia="Times New Roman" w:hAnsi="Calibri" w:cs="Times New Roman"/>
                <w:b/>
                <w:bCs/>
                <w:color w:val="000000"/>
                <w:sz w:val="20"/>
                <w:szCs w:val="20"/>
                <w:lang w:eastAsia="cs-CZ"/>
              </w:rPr>
              <w:t>2015</w:t>
            </w:r>
          </w:p>
        </w:tc>
        <w:tc>
          <w:tcPr>
            <w:tcW w:w="1653" w:type="dxa"/>
            <w:gridSpan w:val="2"/>
            <w:shd w:val="clear" w:color="000000" w:fill="E5F1FF"/>
            <w:vAlign w:val="center"/>
            <w:hideMark/>
          </w:tcPr>
          <w:p w14:paraId="2EBC57BD"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sidRPr="00362B7C">
              <w:rPr>
                <w:rFonts w:ascii="Calibri" w:eastAsia="Times New Roman" w:hAnsi="Calibri" w:cs="Times New Roman"/>
                <w:b/>
                <w:bCs/>
                <w:color w:val="000000"/>
                <w:sz w:val="20"/>
                <w:szCs w:val="20"/>
                <w:lang w:eastAsia="cs-CZ"/>
              </w:rPr>
              <w:t>2016</w:t>
            </w:r>
          </w:p>
        </w:tc>
      </w:tr>
      <w:tr w:rsidR="00B52068" w:rsidRPr="00362B7C" w14:paraId="056A65CE" w14:textId="77777777" w:rsidTr="00B52068">
        <w:trPr>
          <w:trHeight w:val="20"/>
        </w:trPr>
        <w:tc>
          <w:tcPr>
            <w:tcW w:w="3969" w:type="dxa"/>
            <w:vMerge/>
            <w:vAlign w:val="center"/>
            <w:hideMark/>
          </w:tcPr>
          <w:p w14:paraId="3A28E8A9" w14:textId="77777777" w:rsidR="0042693E" w:rsidRPr="00362B7C" w:rsidRDefault="0042693E" w:rsidP="00CA340C">
            <w:pPr>
              <w:spacing w:after="0" w:line="240" w:lineRule="auto"/>
              <w:jc w:val="left"/>
              <w:rPr>
                <w:rFonts w:ascii="Times New Roman" w:eastAsia="Times New Roman" w:hAnsi="Times New Roman" w:cs="Times New Roman"/>
                <w:color w:val="000000"/>
                <w:sz w:val="20"/>
                <w:szCs w:val="20"/>
                <w:lang w:eastAsia="cs-CZ"/>
              </w:rPr>
            </w:pPr>
          </w:p>
        </w:tc>
        <w:tc>
          <w:tcPr>
            <w:tcW w:w="851" w:type="dxa"/>
            <w:shd w:val="clear" w:color="000000" w:fill="E5F1FF"/>
            <w:noWrap/>
            <w:vAlign w:val="center"/>
            <w:hideMark/>
          </w:tcPr>
          <w:p w14:paraId="4E72614D"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sidRPr="00362B7C">
              <w:rPr>
                <w:rFonts w:ascii="Calibri" w:eastAsia="Times New Roman" w:hAnsi="Calibri" w:cs="Times New Roman"/>
                <w:b/>
                <w:bCs/>
                <w:color w:val="000000"/>
                <w:sz w:val="20"/>
                <w:szCs w:val="20"/>
                <w:lang w:eastAsia="cs-CZ"/>
              </w:rPr>
              <w:t>Celkem</w:t>
            </w:r>
          </w:p>
        </w:tc>
        <w:tc>
          <w:tcPr>
            <w:tcW w:w="850" w:type="dxa"/>
            <w:shd w:val="clear" w:color="000000" w:fill="E5F1FF"/>
            <w:noWrap/>
            <w:vAlign w:val="center"/>
            <w:hideMark/>
          </w:tcPr>
          <w:p w14:paraId="150BB2DF"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Admin. objekty</w:t>
            </w:r>
          </w:p>
        </w:tc>
        <w:tc>
          <w:tcPr>
            <w:tcW w:w="898" w:type="dxa"/>
            <w:shd w:val="clear" w:color="000000" w:fill="E5F1FF"/>
            <w:noWrap/>
            <w:vAlign w:val="center"/>
            <w:hideMark/>
          </w:tcPr>
          <w:p w14:paraId="7CD9DE10"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sidRPr="00362B7C">
              <w:rPr>
                <w:rFonts w:ascii="Calibri" w:eastAsia="Times New Roman" w:hAnsi="Calibri" w:cs="Times New Roman"/>
                <w:b/>
                <w:bCs/>
                <w:color w:val="000000"/>
                <w:sz w:val="20"/>
                <w:szCs w:val="20"/>
                <w:lang w:eastAsia="cs-CZ"/>
              </w:rPr>
              <w:t>Celkem</w:t>
            </w:r>
          </w:p>
        </w:tc>
        <w:tc>
          <w:tcPr>
            <w:tcW w:w="851" w:type="dxa"/>
            <w:shd w:val="clear" w:color="000000" w:fill="E5F1FF"/>
            <w:noWrap/>
            <w:vAlign w:val="center"/>
            <w:hideMark/>
          </w:tcPr>
          <w:p w14:paraId="4D290FD6"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Admin. objekty</w:t>
            </w:r>
          </w:p>
        </w:tc>
        <w:tc>
          <w:tcPr>
            <w:tcW w:w="844" w:type="dxa"/>
            <w:shd w:val="clear" w:color="000000" w:fill="E5F1FF"/>
            <w:vAlign w:val="center"/>
            <w:hideMark/>
          </w:tcPr>
          <w:p w14:paraId="3B5160AE"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sidRPr="00362B7C">
              <w:rPr>
                <w:rFonts w:ascii="Calibri" w:eastAsia="Times New Roman" w:hAnsi="Calibri" w:cs="Times New Roman"/>
                <w:b/>
                <w:bCs/>
                <w:color w:val="000000"/>
                <w:sz w:val="20"/>
                <w:szCs w:val="20"/>
                <w:lang w:eastAsia="cs-CZ"/>
              </w:rPr>
              <w:t>Celkem</w:t>
            </w:r>
          </w:p>
        </w:tc>
        <w:tc>
          <w:tcPr>
            <w:tcW w:w="809" w:type="dxa"/>
            <w:shd w:val="clear" w:color="000000" w:fill="E5F1FF"/>
            <w:vAlign w:val="center"/>
            <w:hideMark/>
          </w:tcPr>
          <w:p w14:paraId="3BF6C82E" w14:textId="77777777" w:rsidR="0042693E" w:rsidRPr="00362B7C" w:rsidRDefault="0042693E" w:rsidP="00CA340C">
            <w:pPr>
              <w:spacing w:after="0" w:line="240" w:lineRule="auto"/>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Admin. objekty</w:t>
            </w:r>
          </w:p>
        </w:tc>
      </w:tr>
      <w:tr w:rsidR="00B52068" w:rsidRPr="00362B7C" w14:paraId="62E04145" w14:textId="77777777" w:rsidTr="00B52068">
        <w:trPr>
          <w:trHeight w:val="20"/>
        </w:trPr>
        <w:tc>
          <w:tcPr>
            <w:tcW w:w="3969" w:type="dxa"/>
            <w:noWrap/>
            <w:vAlign w:val="center"/>
            <w:hideMark/>
          </w:tcPr>
          <w:p w14:paraId="5DD04230" w14:textId="77777777" w:rsidR="0042693E" w:rsidRPr="00362B7C" w:rsidRDefault="0042693E" w:rsidP="00CA340C">
            <w:pPr>
              <w:spacing w:after="0" w:line="240" w:lineRule="auto"/>
              <w:jc w:val="lef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Celkové náklady na m</w:t>
            </w:r>
            <w:r w:rsidRPr="00362B7C">
              <w:rPr>
                <w:rFonts w:ascii="Calibri" w:eastAsia="Times New Roman" w:hAnsi="Calibri" w:cs="Times New Roman"/>
                <w:color w:val="000000"/>
                <w:sz w:val="20"/>
                <w:szCs w:val="20"/>
                <w:vertAlign w:val="superscript"/>
                <w:lang w:eastAsia="cs-CZ"/>
              </w:rPr>
              <w:t>2</w:t>
            </w:r>
            <w:r>
              <w:rPr>
                <w:rFonts w:ascii="Calibri" w:eastAsia="Times New Roman" w:hAnsi="Calibri" w:cs="Times New Roman"/>
                <w:color w:val="000000"/>
                <w:sz w:val="20"/>
                <w:szCs w:val="20"/>
                <w:vertAlign w:val="superscript"/>
                <w:lang w:eastAsia="cs-CZ"/>
              </w:rPr>
              <w:t xml:space="preserve"> </w:t>
            </w:r>
            <w:r w:rsidRPr="00362B7C">
              <w:rPr>
                <w:rFonts w:ascii="Calibri" w:eastAsia="Times New Roman" w:hAnsi="Calibri" w:cs="Times New Roman"/>
                <w:color w:val="000000"/>
                <w:sz w:val="20"/>
                <w:szCs w:val="20"/>
                <w:lang w:eastAsia="cs-CZ"/>
              </w:rPr>
              <w:t xml:space="preserve">celkové plochy </w:t>
            </w:r>
            <w:r>
              <w:rPr>
                <w:rFonts w:ascii="Calibri" w:eastAsia="Times New Roman" w:hAnsi="Calibri" w:cs="Times New Roman"/>
                <w:color w:val="000000"/>
                <w:sz w:val="20"/>
                <w:szCs w:val="20"/>
                <w:lang w:eastAsia="cs-CZ"/>
              </w:rPr>
              <w:t>(v Kč)</w:t>
            </w:r>
          </w:p>
        </w:tc>
        <w:tc>
          <w:tcPr>
            <w:tcW w:w="851" w:type="dxa"/>
            <w:noWrap/>
            <w:vAlign w:val="center"/>
            <w:hideMark/>
          </w:tcPr>
          <w:p w14:paraId="198807AD"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476</w:t>
            </w:r>
          </w:p>
        </w:tc>
        <w:tc>
          <w:tcPr>
            <w:tcW w:w="850" w:type="dxa"/>
            <w:noWrap/>
            <w:vAlign w:val="center"/>
            <w:hideMark/>
          </w:tcPr>
          <w:p w14:paraId="129B4254"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55</w:t>
            </w:r>
            <w:r>
              <w:rPr>
                <w:rFonts w:ascii="Calibri" w:eastAsia="Times New Roman" w:hAnsi="Calibri" w:cs="Times New Roman"/>
                <w:color w:val="000000"/>
                <w:sz w:val="20"/>
                <w:szCs w:val="20"/>
                <w:lang w:eastAsia="cs-CZ"/>
              </w:rPr>
              <w:t>6</w:t>
            </w:r>
          </w:p>
        </w:tc>
        <w:tc>
          <w:tcPr>
            <w:tcW w:w="898" w:type="dxa"/>
            <w:noWrap/>
            <w:vAlign w:val="center"/>
            <w:hideMark/>
          </w:tcPr>
          <w:p w14:paraId="694C591E"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4</w:t>
            </w:r>
            <w:r>
              <w:rPr>
                <w:rFonts w:ascii="Calibri" w:eastAsia="Times New Roman" w:hAnsi="Calibri" w:cs="Times New Roman"/>
                <w:color w:val="000000"/>
                <w:sz w:val="20"/>
                <w:szCs w:val="20"/>
                <w:lang w:eastAsia="cs-CZ"/>
              </w:rPr>
              <w:t>46</w:t>
            </w:r>
          </w:p>
        </w:tc>
        <w:tc>
          <w:tcPr>
            <w:tcW w:w="851" w:type="dxa"/>
            <w:noWrap/>
            <w:vAlign w:val="center"/>
            <w:hideMark/>
          </w:tcPr>
          <w:p w14:paraId="3103D47A"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5</w:t>
            </w:r>
            <w:r>
              <w:rPr>
                <w:rFonts w:ascii="Calibri" w:eastAsia="Times New Roman" w:hAnsi="Calibri" w:cs="Times New Roman"/>
                <w:color w:val="000000"/>
                <w:sz w:val="20"/>
                <w:szCs w:val="20"/>
                <w:lang w:eastAsia="cs-CZ"/>
              </w:rPr>
              <w:t>13</w:t>
            </w:r>
          </w:p>
        </w:tc>
        <w:tc>
          <w:tcPr>
            <w:tcW w:w="844" w:type="dxa"/>
            <w:vAlign w:val="center"/>
            <w:hideMark/>
          </w:tcPr>
          <w:p w14:paraId="7AFB1A78"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454</w:t>
            </w:r>
          </w:p>
        </w:tc>
        <w:tc>
          <w:tcPr>
            <w:tcW w:w="809" w:type="dxa"/>
            <w:vAlign w:val="center"/>
            <w:hideMark/>
          </w:tcPr>
          <w:p w14:paraId="0E3358BF"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5</w:t>
            </w:r>
            <w:r>
              <w:rPr>
                <w:rFonts w:ascii="Calibri" w:eastAsia="Times New Roman" w:hAnsi="Calibri" w:cs="Times New Roman"/>
                <w:color w:val="000000"/>
                <w:sz w:val="20"/>
                <w:szCs w:val="20"/>
                <w:lang w:eastAsia="cs-CZ"/>
              </w:rPr>
              <w:t>20</w:t>
            </w:r>
          </w:p>
        </w:tc>
      </w:tr>
      <w:tr w:rsidR="00B52068" w:rsidRPr="00362B7C" w14:paraId="77A66B4A" w14:textId="77777777" w:rsidTr="00B52068">
        <w:trPr>
          <w:trHeight w:val="20"/>
        </w:trPr>
        <w:tc>
          <w:tcPr>
            <w:tcW w:w="3969" w:type="dxa"/>
            <w:noWrap/>
            <w:vAlign w:val="center"/>
            <w:hideMark/>
          </w:tcPr>
          <w:p w14:paraId="5034E283" w14:textId="77777777" w:rsidR="0042693E" w:rsidRPr="00362B7C" w:rsidRDefault="0042693E" w:rsidP="00CA340C">
            <w:pPr>
              <w:spacing w:after="0" w:line="240" w:lineRule="auto"/>
              <w:jc w:val="lef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Celkové náklady na zaměstnance (</w:t>
            </w:r>
            <w:r>
              <w:rPr>
                <w:rFonts w:ascii="Calibri" w:eastAsia="Times New Roman" w:hAnsi="Calibri" w:cs="Times New Roman"/>
                <w:color w:val="000000"/>
                <w:sz w:val="20"/>
                <w:szCs w:val="20"/>
                <w:lang w:eastAsia="cs-CZ"/>
              </w:rPr>
              <w:t xml:space="preserve">v </w:t>
            </w:r>
            <w:r w:rsidRPr="00362B7C">
              <w:rPr>
                <w:rFonts w:ascii="Calibri" w:eastAsia="Times New Roman" w:hAnsi="Calibri" w:cs="Times New Roman"/>
                <w:color w:val="000000"/>
                <w:sz w:val="20"/>
                <w:szCs w:val="20"/>
                <w:lang w:eastAsia="cs-CZ"/>
              </w:rPr>
              <w:t>Kč)</w:t>
            </w:r>
          </w:p>
        </w:tc>
        <w:tc>
          <w:tcPr>
            <w:tcW w:w="851" w:type="dxa"/>
            <w:noWrap/>
            <w:vAlign w:val="center"/>
            <w:hideMark/>
          </w:tcPr>
          <w:p w14:paraId="17E28B64"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28 885</w:t>
            </w:r>
          </w:p>
        </w:tc>
        <w:tc>
          <w:tcPr>
            <w:tcW w:w="850" w:type="dxa"/>
            <w:noWrap/>
            <w:vAlign w:val="center"/>
            <w:hideMark/>
          </w:tcPr>
          <w:p w14:paraId="690A3FF6"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19 254</w:t>
            </w:r>
          </w:p>
        </w:tc>
        <w:tc>
          <w:tcPr>
            <w:tcW w:w="898" w:type="dxa"/>
            <w:noWrap/>
            <w:vAlign w:val="center"/>
            <w:hideMark/>
          </w:tcPr>
          <w:p w14:paraId="4944A8E4"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28 317</w:t>
            </w:r>
          </w:p>
        </w:tc>
        <w:tc>
          <w:tcPr>
            <w:tcW w:w="851" w:type="dxa"/>
            <w:noWrap/>
            <w:vAlign w:val="center"/>
            <w:hideMark/>
          </w:tcPr>
          <w:p w14:paraId="6A101B93"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18 049</w:t>
            </w:r>
          </w:p>
        </w:tc>
        <w:tc>
          <w:tcPr>
            <w:tcW w:w="844" w:type="dxa"/>
            <w:vAlign w:val="center"/>
            <w:hideMark/>
          </w:tcPr>
          <w:p w14:paraId="06FED410"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28 960</w:t>
            </w:r>
          </w:p>
        </w:tc>
        <w:tc>
          <w:tcPr>
            <w:tcW w:w="809" w:type="dxa"/>
            <w:vAlign w:val="center"/>
            <w:hideMark/>
          </w:tcPr>
          <w:p w14:paraId="791A0E60" w14:textId="77777777"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18 435</w:t>
            </w:r>
          </w:p>
        </w:tc>
      </w:tr>
      <w:tr w:rsidR="00B52068" w:rsidRPr="00362B7C" w14:paraId="6B390C47" w14:textId="77777777" w:rsidTr="00B52068">
        <w:trPr>
          <w:trHeight w:val="20"/>
        </w:trPr>
        <w:tc>
          <w:tcPr>
            <w:tcW w:w="3969" w:type="dxa"/>
            <w:noWrap/>
            <w:vAlign w:val="center"/>
            <w:hideMark/>
          </w:tcPr>
          <w:p w14:paraId="466EDDCF" w14:textId="77777777" w:rsidR="0042693E" w:rsidRPr="00362B7C" w:rsidRDefault="0042693E" w:rsidP="00CA340C">
            <w:pPr>
              <w:spacing w:after="0" w:line="240" w:lineRule="auto"/>
              <w:jc w:val="lef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Celková plocha na zaměstnance</w:t>
            </w:r>
            <w:r>
              <w:rPr>
                <w:rFonts w:ascii="Calibri" w:eastAsia="Times New Roman" w:hAnsi="Calibri" w:cs="Times New Roman"/>
                <w:color w:val="000000"/>
                <w:sz w:val="20"/>
                <w:szCs w:val="20"/>
                <w:lang w:eastAsia="cs-CZ"/>
              </w:rPr>
              <w:t xml:space="preserve"> </w:t>
            </w:r>
            <w:r w:rsidRPr="00362B7C">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 xml:space="preserve">v </w:t>
            </w:r>
            <w:r w:rsidRPr="00362B7C">
              <w:rPr>
                <w:rFonts w:ascii="Calibri" w:eastAsia="Times New Roman" w:hAnsi="Calibri" w:cs="Times New Roman"/>
                <w:color w:val="000000"/>
                <w:sz w:val="20"/>
                <w:szCs w:val="20"/>
                <w:lang w:eastAsia="cs-CZ"/>
              </w:rPr>
              <w:t>m</w:t>
            </w:r>
            <w:r w:rsidRPr="00362B7C">
              <w:rPr>
                <w:rFonts w:ascii="Calibri" w:eastAsia="Times New Roman" w:hAnsi="Calibri" w:cs="Times New Roman"/>
                <w:color w:val="000000"/>
                <w:sz w:val="20"/>
                <w:szCs w:val="20"/>
                <w:vertAlign w:val="superscript"/>
                <w:lang w:eastAsia="cs-CZ"/>
              </w:rPr>
              <w:t>2</w:t>
            </w:r>
            <w:r w:rsidRPr="00362B7C">
              <w:rPr>
                <w:rFonts w:ascii="Calibri" w:eastAsia="Times New Roman" w:hAnsi="Calibri" w:cs="Times New Roman"/>
                <w:color w:val="000000"/>
                <w:sz w:val="20"/>
                <w:szCs w:val="20"/>
                <w:lang w:eastAsia="cs-CZ"/>
              </w:rPr>
              <w:t>)</w:t>
            </w:r>
          </w:p>
        </w:tc>
        <w:tc>
          <w:tcPr>
            <w:tcW w:w="851" w:type="dxa"/>
            <w:noWrap/>
            <w:vAlign w:val="center"/>
            <w:hideMark/>
          </w:tcPr>
          <w:p w14:paraId="264025A4" w14:textId="641966CA"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61</w:t>
            </w:r>
          </w:p>
        </w:tc>
        <w:tc>
          <w:tcPr>
            <w:tcW w:w="850" w:type="dxa"/>
            <w:noWrap/>
            <w:vAlign w:val="center"/>
            <w:hideMark/>
          </w:tcPr>
          <w:p w14:paraId="05F0DD72" w14:textId="3DD0951A"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35</w:t>
            </w:r>
          </w:p>
        </w:tc>
        <w:tc>
          <w:tcPr>
            <w:tcW w:w="898" w:type="dxa"/>
            <w:noWrap/>
            <w:vAlign w:val="center"/>
            <w:hideMark/>
          </w:tcPr>
          <w:p w14:paraId="046C223A" w14:textId="16B4B093"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63</w:t>
            </w:r>
          </w:p>
        </w:tc>
        <w:tc>
          <w:tcPr>
            <w:tcW w:w="851" w:type="dxa"/>
            <w:noWrap/>
            <w:vAlign w:val="center"/>
            <w:hideMark/>
          </w:tcPr>
          <w:p w14:paraId="4369CD4F" w14:textId="6AE27477"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35</w:t>
            </w:r>
          </w:p>
        </w:tc>
        <w:tc>
          <w:tcPr>
            <w:tcW w:w="844" w:type="dxa"/>
            <w:vAlign w:val="center"/>
            <w:hideMark/>
          </w:tcPr>
          <w:p w14:paraId="4CF6190E" w14:textId="1B19A467"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Calibri"/>
                <w:color w:val="000000"/>
                <w:sz w:val="20"/>
                <w:szCs w:val="20"/>
                <w:lang w:eastAsia="cs-CZ"/>
              </w:rPr>
              <w:t>64</w:t>
            </w:r>
          </w:p>
        </w:tc>
        <w:tc>
          <w:tcPr>
            <w:tcW w:w="809" w:type="dxa"/>
            <w:vAlign w:val="center"/>
            <w:hideMark/>
          </w:tcPr>
          <w:p w14:paraId="182C0142" w14:textId="3FCB9291"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Calibri"/>
                <w:color w:val="000000"/>
                <w:sz w:val="20"/>
                <w:szCs w:val="20"/>
                <w:lang w:eastAsia="cs-CZ"/>
              </w:rPr>
              <w:t>35</w:t>
            </w:r>
          </w:p>
        </w:tc>
      </w:tr>
      <w:tr w:rsidR="00B52068" w:rsidRPr="00362B7C" w14:paraId="286D6F0E" w14:textId="77777777" w:rsidTr="00B52068">
        <w:trPr>
          <w:trHeight w:val="20"/>
        </w:trPr>
        <w:tc>
          <w:tcPr>
            <w:tcW w:w="3969" w:type="dxa"/>
            <w:noWrap/>
            <w:vAlign w:val="center"/>
            <w:hideMark/>
          </w:tcPr>
          <w:p w14:paraId="0698EEB1" w14:textId="77777777" w:rsidR="0042693E" w:rsidRPr="00362B7C" w:rsidRDefault="0042693E" w:rsidP="00CA340C">
            <w:pPr>
              <w:spacing w:after="0" w:line="240" w:lineRule="auto"/>
              <w:jc w:val="lef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Kancelářská plocha na zaměstnance</w:t>
            </w:r>
            <w:r>
              <w:rPr>
                <w:rFonts w:ascii="Calibri" w:eastAsia="Times New Roman" w:hAnsi="Calibri" w:cs="Times New Roman"/>
                <w:color w:val="000000"/>
                <w:sz w:val="20"/>
                <w:szCs w:val="20"/>
                <w:lang w:eastAsia="cs-CZ"/>
              </w:rPr>
              <w:t xml:space="preserve"> </w:t>
            </w:r>
            <w:r w:rsidRPr="00362B7C">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 xml:space="preserve">v </w:t>
            </w:r>
            <w:r w:rsidRPr="00362B7C">
              <w:rPr>
                <w:rFonts w:ascii="Calibri" w:eastAsia="Times New Roman" w:hAnsi="Calibri" w:cs="Times New Roman"/>
                <w:color w:val="000000"/>
                <w:sz w:val="20"/>
                <w:szCs w:val="20"/>
                <w:lang w:eastAsia="cs-CZ"/>
              </w:rPr>
              <w:t>m</w:t>
            </w:r>
            <w:r w:rsidRPr="00362B7C">
              <w:rPr>
                <w:rFonts w:ascii="Calibri" w:eastAsia="Times New Roman" w:hAnsi="Calibri" w:cs="Times New Roman"/>
                <w:color w:val="000000"/>
                <w:sz w:val="20"/>
                <w:szCs w:val="20"/>
                <w:vertAlign w:val="superscript"/>
                <w:lang w:eastAsia="cs-CZ"/>
              </w:rPr>
              <w:t>2</w:t>
            </w:r>
            <w:r w:rsidRPr="00362B7C">
              <w:rPr>
                <w:rFonts w:ascii="Calibri" w:eastAsia="Times New Roman" w:hAnsi="Calibri" w:cs="Times New Roman"/>
                <w:color w:val="000000"/>
                <w:sz w:val="20"/>
                <w:szCs w:val="20"/>
                <w:lang w:eastAsia="cs-CZ"/>
              </w:rPr>
              <w:t>)</w:t>
            </w:r>
          </w:p>
        </w:tc>
        <w:tc>
          <w:tcPr>
            <w:tcW w:w="851" w:type="dxa"/>
            <w:noWrap/>
            <w:vAlign w:val="center"/>
            <w:hideMark/>
          </w:tcPr>
          <w:p w14:paraId="3409A92F" w14:textId="0B49A201"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13</w:t>
            </w:r>
          </w:p>
        </w:tc>
        <w:tc>
          <w:tcPr>
            <w:tcW w:w="850" w:type="dxa"/>
            <w:noWrap/>
            <w:vAlign w:val="center"/>
            <w:hideMark/>
          </w:tcPr>
          <w:p w14:paraId="71AC4258" w14:textId="789513D5"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c>
          <w:tcPr>
            <w:tcW w:w="898" w:type="dxa"/>
            <w:noWrap/>
            <w:vAlign w:val="center"/>
            <w:hideMark/>
          </w:tcPr>
          <w:p w14:paraId="787A14BD" w14:textId="7D506FE1"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13</w:t>
            </w:r>
          </w:p>
        </w:tc>
        <w:tc>
          <w:tcPr>
            <w:tcW w:w="851" w:type="dxa"/>
            <w:noWrap/>
            <w:vAlign w:val="center"/>
            <w:hideMark/>
          </w:tcPr>
          <w:p w14:paraId="7E7A90B7" w14:textId="289D8710"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c>
          <w:tcPr>
            <w:tcW w:w="844" w:type="dxa"/>
            <w:vAlign w:val="center"/>
            <w:hideMark/>
          </w:tcPr>
          <w:p w14:paraId="3F0EB8A3" w14:textId="3F0D710B"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13</w:t>
            </w:r>
          </w:p>
        </w:tc>
        <w:tc>
          <w:tcPr>
            <w:tcW w:w="809" w:type="dxa"/>
            <w:vAlign w:val="center"/>
            <w:hideMark/>
          </w:tcPr>
          <w:p w14:paraId="32CE1E4E" w14:textId="2D0089C2"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r>
      <w:tr w:rsidR="00B52068" w:rsidRPr="00362B7C" w14:paraId="40A4F954" w14:textId="77777777" w:rsidTr="00B52068">
        <w:trPr>
          <w:trHeight w:val="20"/>
        </w:trPr>
        <w:tc>
          <w:tcPr>
            <w:tcW w:w="3969" w:type="dxa"/>
            <w:noWrap/>
            <w:vAlign w:val="center"/>
            <w:hideMark/>
          </w:tcPr>
          <w:p w14:paraId="094A21F7" w14:textId="77777777" w:rsidR="0042693E" w:rsidRPr="00362B7C" w:rsidRDefault="0042693E" w:rsidP="00CA340C">
            <w:pPr>
              <w:spacing w:after="0" w:line="240" w:lineRule="auto"/>
              <w:jc w:val="lef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Ostatní plocha na zaměstnance</w:t>
            </w:r>
            <w:r>
              <w:rPr>
                <w:rFonts w:ascii="Calibri" w:eastAsia="Times New Roman" w:hAnsi="Calibri" w:cs="Times New Roman"/>
                <w:color w:val="000000"/>
                <w:sz w:val="20"/>
                <w:szCs w:val="20"/>
                <w:lang w:eastAsia="cs-CZ"/>
              </w:rPr>
              <w:t xml:space="preserve"> </w:t>
            </w:r>
            <w:r w:rsidRPr="00362B7C">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 xml:space="preserve">v </w:t>
            </w:r>
            <w:r w:rsidRPr="00362B7C">
              <w:rPr>
                <w:rFonts w:ascii="Calibri" w:eastAsia="Times New Roman" w:hAnsi="Calibri" w:cs="Times New Roman"/>
                <w:color w:val="000000"/>
                <w:sz w:val="20"/>
                <w:szCs w:val="20"/>
                <w:lang w:eastAsia="cs-CZ"/>
              </w:rPr>
              <w:t>m</w:t>
            </w:r>
            <w:r w:rsidRPr="00362B7C">
              <w:rPr>
                <w:rFonts w:ascii="Calibri" w:eastAsia="Times New Roman" w:hAnsi="Calibri" w:cs="Times New Roman"/>
                <w:color w:val="000000"/>
                <w:sz w:val="20"/>
                <w:szCs w:val="20"/>
                <w:vertAlign w:val="superscript"/>
                <w:lang w:eastAsia="cs-CZ"/>
              </w:rPr>
              <w:t>2</w:t>
            </w:r>
            <w:r w:rsidRPr="00362B7C">
              <w:rPr>
                <w:rFonts w:ascii="Calibri" w:eastAsia="Times New Roman" w:hAnsi="Calibri" w:cs="Times New Roman"/>
                <w:color w:val="000000"/>
                <w:sz w:val="20"/>
                <w:szCs w:val="20"/>
                <w:lang w:eastAsia="cs-CZ"/>
              </w:rPr>
              <w:t>)</w:t>
            </w:r>
          </w:p>
        </w:tc>
        <w:tc>
          <w:tcPr>
            <w:tcW w:w="851" w:type="dxa"/>
            <w:noWrap/>
            <w:vAlign w:val="center"/>
            <w:hideMark/>
          </w:tcPr>
          <w:p w14:paraId="7C05A4D8" w14:textId="6DC55460"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47</w:t>
            </w:r>
          </w:p>
        </w:tc>
        <w:tc>
          <w:tcPr>
            <w:tcW w:w="850" w:type="dxa"/>
            <w:noWrap/>
            <w:vAlign w:val="center"/>
            <w:hideMark/>
          </w:tcPr>
          <w:p w14:paraId="7F91E16F" w14:textId="1BA45AB7"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23</w:t>
            </w:r>
          </w:p>
        </w:tc>
        <w:tc>
          <w:tcPr>
            <w:tcW w:w="898" w:type="dxa"/>
            <w:noWrap/>
            <w:vAlign w:val="center"/>
            <w:hideMark/>
          </w:tcPr>
          <w:p w14:paraId="1A825FFB" w14:textId="0224B67E"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51</w:t>
            </w:r>
          </w:p>
        </w:tc>
        <w:tc>
          <w:tcPr>
            <w:tcW w:w="851" w:type="dxa"/>
            <w:noWrap/>
            <w:vAlign w:val="center"/>
            <w:hideMark/>
          </w:tcPr>
          <w:p w14:paraId="16A8CF04" w14:textId="6C7A750D" w:rsidR="0042693E" w:rsidRPr="00362B7C" w:rsidRDefault="0042693E" w:rsidP="00CA340C">
            <w:pPr>
              <w:spacing w:after="0" w:line="240" w:lineRule="auto"/>
              <w:jc w:val="right"/>
              <w:rPr>
                <w:rFonts w:ascii="Calibri" w:eastAsia="Times New Roman" w:hAnsi="Calibri" w:cs="Times New Roman"/>
                <w:color w:val="000000"/>
                <w:sz w:val="20"/>
                <w:szCs w:val="20"/>
                <w:lang w:eastAsia="cs-CZ"/>
              </w:rPr>
            </w:pPr>
            <w:r w:rsidRPr="00362B7C">
              <w:rPr>
                <w:rFonts w:ascii="Calibri" w:eastAsia="Times New Roman" w:hAnsi="Calibri" w:cs="Times New Roman"/>
                <w:color w:val="000000"/>
                <w:sz w:val="20"/>
                <w:szCs w:val="20"/>
                <w:lang w:eastAsia="cs-CZ"/>
              </w:rPr>
              <w:t>2</w:t>
            </w:r>
            <w:r w:rsidR="00E5605F">
              <w:rPr>
                <w:rFonts w:ascii="Calibri" w:eastAsia="Times New Roman" w:hAnsi="Calibri" w:cs="Times New Roman"/>
                <w:color w:val="000000"/>
                <w:sz w:val="20"/>
                <w:szCs w:val="20"/>
                <w:lang w:eastAsia="cs-CZ"/>
              </w:rPr>
              <w:t>3</w:t>
            </w:r>
          </w:p>
        </w:tc>
        <w:tc>
          <w:tcPr>
            <w:tcW w:w="844" w:type="dxa"/>
            <w:vAlign w:val="center"/>
            <w:hideMark/>
          </w:tcPr>
          <w:p w14:paraId="651A9415" w14:textId="1A7CB6DB"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51</w:t>
            </w:r>
          </w:p>
        </w:tc>
        <w:tc>
          <w:tcPr>
            <w:tcW w:w="809" w:type="dxa"/>
            <w:vAlign w:val="center"/>
            <w:hideMark/>
          </w:tcPr>
          <w:p w14:paraId="47AFDC58" w14:textId="0B9A4166" w:rsidR="0042693E" w:rsidRPr="00362B7C" w:rsidRDefault="00E5605F" w:rsidP="00CA340C">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24</w:t>
            </w:r>
          </w:p>
        </w:tc>
      </w:tr>
    </w:tbl>
    <w:p w14:paraId="34E5D1FE" w14:textId="497966BF" w:rsidR="007D684E" w:rsidRDefault="0042693E" w:rsidP="009A531C">
      <w:pPr>
        <w:pStyle w:val="KPnormln"/>
      </w:pPr>
      <w:r w:rsidRPr="00A03549">
        <w:rPr>
          <w:b/>
          <w:sz w:val="20"/>
          <w:szCs w:val="20"/>
        </w:rPr>
        <w:t>Zdroj:</w:t>
      </w:r>
      <w:r w:rsidR="00EB3A13">
        <w:rPr>
          <w:sz w:val="20"/>
          <w:szCs w:val="20"/>
        </w:rPr>
        <w:t xml:space="preserve"> </w:t>
      </w:r>
      <w:r w:rsidRPr="00A03549">
        <w:rPr>
          <w:sz w:val="20"/>
          <w:szCs w:val="20"/>
        </w:rPr>
        <w:t>REM</w:t>
      </w:r>
      <w:r w:rsidR="00CE627B">
        <w:rPr>
          <w:sz w:val="20"/>
          <w:szCs w:val="20"/>
        </w:rPr>
        <w:t>.</w:t>
      </w:r>
    </w:p>
    <w:p w14:paraId="6ED079FA" w14:textId="208AC272" w:rsidR="00907586" w:rsidRDefault="00907586" w:rsidP="00907586">
      <w:pPr>
        <w:pStyle w:val="KPnormln"/>
      </w:pPr>
      <w:r>
        <w:t xml:space="preserve">V tabulce č. 5 jsou uvedeny ukazatele výkonnosti, které byly vypočítány z dat evidovaných v informačních systémech MV. Na základě výpočtu ukazatelů výkonnosti v období </w:t>
      </w:r>
      <w:r w:rsidR="002E6650">
        <w:br/>
      </w:r>
      <w:r>
        <w:t xml:space="preserve">2014–2016 lze konstatovat zlepšující se vývoj nákladové efektivnosti správy nemovitého majetku, jelikož náklady na </w:t>
      </w:r>
      <w:r w:rsidR="00594495">
        <w:t>1 </w:t>
      </w:r>
      <w:r>
        <w:t>m</w:t>
      </w:r>
      <w:r w:rsidRPr="00F61C7C">
        <w:rPr>
          <w:vertAlign w:val="superscript"/>
        </w:rPr>
        <w:t>2</w:t>
      </w:r>
      <w:r>
        <w:t xml:space="preserve"> celkové plochy klesly o 36 Kč a náklady na </w:t>
      </w:r>
      <w:r w:rsidR="00594495">
        <w:t xml:space="preserve">jednoho </w:t>
      </w:r>
      <w:r>
        <w:t>zaměstnance klesly o 819 Kč, přestože celková plocha i počet zaměstnanců se za sledované období zvýšily.</w:t>
      </w:r>
      <w:r w:rsidRPr="002E09C9">
        <w:t xml:space="preserve"> </w:t>
      </w:r>
      <w:r>
        <w:t>Je však nutné zohlednit nekompletnost evidovaných údajů.</w:t>
      </w:r>
    </w:p>
    <w:p w14:paraId="3B725D00" w14:textId="411F7473" w:rsidR="00A52C3E" w:rsidRDefault="00A52C3E" w:rsidP="009A531C">
      <w:pPr>
        <w:pStyle w:val="KPnormln"/>
      </w:pPr>
      <w:r w:rsidRPr="002E09C9">
        <w:t xml:space="preserve">Ukazatele </w:t>
      </w:r>
      <w:r>
        <w:t>výkonnosti</w:t>
      </w:r>
      <w:r w:rsidRPr="002E09C9">
        <w:t xml:space="preserve"> jsou ovlivněny </w:t>
      </w:r>
      <w:r>
        <w:t xml:space="preserve">nejen </w:t>
      </w:r>
      <w:r w:rsidRPr="002E09C9">
        <w:t xml:space="preserve">skutečností, že </w:t>
      </w:r>
      <w:r>
        <w:t>u objektu nejsou evidováni všichni zaměstnanci v </w:t>
      </w:r>
      <w:r w:rsidR="005F2620">
        <w:t>daném</w:t>
      </w:r>
      <w:r>
        <w:t xml:space="preserve"> objektu dislokovaní, ale také tím, že k objektu nejsou evidovány</w:t>
      </w:r>
      <w:r w:rsidRPr="002E09C9">
        <w:t xml:space="preserve"> veškeré náklady na správu nemovitostí</w:t>
      </w:r>
      <w:r>
        <w:t>. S</w:t>
      </w:r>
      <w:r w:rsidRPr="002E09C9">
        <w:t xml:space="preserve">tejně jako </w:t>
      </w:r>
      <w:r>
        <w:t xml:space="preserve">v </w:t>
      </w:r>
      <w:r w:rsidRPr="002E09C9">
        <w:t xml:space="preserve">CRAB </w:t>
      </w:r>
      <w:r>
        <w:t xml:space="preserve">jsou u objektů evidovány pouze peněžní prostředky vynakládané na služby zajišťované dodavatelsky, </w:t>
      </w:r>
      <w:r w:rsidR="009A2D8C">
        <w:t xml:space="preserve">náklady na </w:t>
      </w:r>
      <w:r>
        <w:t xml:space="preserve">činnosti prováděné zaměstnanci resortu MV </w:t>
      </w:r>
      <w:r w:rsidR="009A2D8C">
        <w:t xml:space="preserve">nejsou </w:t>
      </w:r>
      <w:r>
        <w:t>na objekty rozpočítávány. ZSMV, které zajišťovalo úklidové práce u 45 objektů resortu MV, vyčíslilo náklady na</w:t>
      </w:r>
      <w:r w:rsidR="005F2620">
        <w:t xml:space="preserve"> </w:t>
      </w:r>
      <w:r>
        <w:t>mzdy a úklidové prostředky v roce 2015 celkem na</w:t>
      </w:r>
      <w:r w:rsidR="005F2620">
        <w:t xml:space="preserve"> </w:t>
      </w:r>
      <w:r>
        <w:t>31 mil. Kč</w:t>
      </w:r>
      <w:r w:rsidR="007D684E">
        <w:t>. T</w:t>
      </w:r>
      <w:r>
        <w:t xml:space="preserve">yto náklady nebyly u jednotlivých objektů evidovány. </w:t>
      </w:r>
    </w:p>
    <w:p w14:paraId="2A074BFF" w14:textId="6E26300B" w:rsidR="00F559A0" w:rsidRDefault="00F559A0" w:rsidP="00F559A0">
      <w:pPr>
        <w:pStyle w:val="KPnormln"/>
      </w:pPr>
      <w:r>
        <w:t xml:space="preserve">NKÚ zjistil, že u vybraných objektů </w:t>
      </w:r>
      <w:r w:rsidR="003D71F9">
        <w:t xml:space="preserve">MV a ZSMV </w:t>
      </w:r>
      <w:r>
        <w:t xml:space="preserve">se ukazatele výkonnosti odlišovaly </w:t>
      </w:r>
      <w:r w:rsidR="00FD362C">
        <w:t>od</w:t>
      </w:r>
      <w:r w:rsidR="005F2620">
        <w:t xml:space="preserve"> </w:t>
      </w:r>
      <w:r>
        <w:t>průměrných hodnot, například z důvodu, že v objektech se nacház</w:t>
      </w:r>
      <w:r w:rsidR="004D306C">
        <w:t>ela specializovaná pracoviště. N</w:t>
      </w:r>
      <w:r>
        <w:t>áklady</w:t>
      </w:r>
      <w:r w:rsidR="004D306C">
        <w:t xml:space="preserve"> </w:t>
      </w:r>
      <w:r w:rsidR="00B27142">
        <w:t>na</w:t>
      </w:r>
      <w:r w:rsidR="005F2620">
        <w:t xml:space="preserve"> </w:t>
      </w:r>
      <w:r w:rsidR="00B27142">
        <w:t xml:space="preserve">elektrickou energii </w:t>
      </w:r>
      <w:r>
        <w:t xml:space="preserve">se </w:t>
      </w:r>
      <w:r w:rsidR="004D306C">
        <w:t xml:space="preserve">u MV </w:t>
      </w:r>
      <w:r>
        <w:t xml:space="preserve">odlišovaly od očekávaných </w:t>
      </w:r>
      <w:r w:rsidR="00B27142">
        <w:t>hodnot</w:t>
      </w:r>
      <w:r>
        <w:t xml:space="preserve">, jelikož byly evidovány pouze u jednoho objektu, přestože </w:t>
      </w:r>
      <w:r w:rsidR="007D684E">
        <w:t xml:space="preserve">energie </w:t>
      </w:r>
      <w:r>
        <w:t>byl</w:t>
      </w:r>
      <w:r w:rsidR="007D684E">
        <w:t>a</w:t>
      </w:r>
      <w:r>
        <w:t xml:space="preserve"> </w:t>
      </w:r>
      <w:r w:rsidR="007D684E">
        <w:t xml:space="preserve">spotřebována </w:t>
      </w:r>
      <w:r>
        <w:t>ve dvou objektech umístěných v různých areálech nebo se jednalo o</w:t>
      </w:r>
      <w:r w:rsidR="003D71F9">
        <w:t> </w:t>
      </w:r>
      <w:r>
        <w:t xml:space="preserve">nepotřebnou budovu. </w:t>
      </w:r>
    </w:p>
    <w:p w14:paraId="5FCA00EE" w14:textId="3C1C96B2" w:rsidR="003756D6" w:rsidRDefault="003756D6" w:rsidP="009A531C">
      <w:pPr>
        <w:pStyle w:val="KPnormln"/>
      </w:pPr>
      <w:r>
        <w:t>Po</w:t>
      </w:r>
      <w:r w:rsidR="009B5CAE">
        <w:t xml:space="preserve"> použit</w:t>
      </w:r>
      <w:r>
        <w:t>í</w:t>
      </w:r>
      <w:r w:rsidR="009B5CAE">
        <w:t xml:space="preserve"> </w:t>
      </w:r>
      <w:r>
        <w:t xml:space="preserve">vybraných </w:t>
      </w:r>
      <w:r w:rsidR="009B5CAE">
        <w:t>metod</w:t>
      </w:r>
      <w:r w:rsidR="00465E7F">
        <w:rPr>
          <w:rStyle w:val="Znakapoznpodarou"/>
        </w:rPr>
        <w:footnoteReference w:id="70"/>
      </w:r>
      <w:r w:rsidR="009B5CAE">
        <w:t xml:space="preserve"> </w:t>
      </w:r>
      <w:r>
        <w:t>pro stanovení hodnot ukazatelů</w:t>
      </w:r>
      <w:r w:rsidR="00922525">
        <w:t>, které měly být použity pro</w:t>
      </w:r>
      <w:r>
        <w:t xml:space="preserve"> </w:t>
      </w:r>
      <w:r w:rsidR="00922525">
        <w:t xml:space="preserve">posouzení efektivnosti a účelnosti peněžních prostředků vynaložených na správu nemovitého majetku, </w:t>
      </w:r>
      <w:r w:rsidR="009B5CAE">
        <w:t xml:space="preserve">NKÚ </w:t>
      </w:r>
      <w:r>
        <w:t>konstatuje</w:t>
      </w:r>
      <w:r w:rsidR="009B5CAE">
        <w:t xml:space="preserve">, že </w:t>
      </w:r>
      <w:r>
        <w:t xml:space="preserve">na základě dat evidovaných v informačních systémech (REM a CRAB) nelze stanovit hodnoty </w:t>
      </w:r>
      <w:r w:rsidR="00922525">
        <w:t xml:space="preserve">takových </w:t>
      </w:r>
      <w:r>
        <w:t>ukazatelů. P</w:t>
      </w:r>
      <w:r w:rsidR="009B5CAE">
        <w:t xml:space="preserve">ro objektivní určení odůvodněnosti rozdílů mezi skutečnými a předpokládanými nebo průměrnými náklady je nutné každý objekt analyzovat individuálně a identifikovat příčiny a okolnosti vedoucí k odchylce od očekávané hodnoty. Tyto analýzy MV však dosud </w:t>
      </w:r>
      <w:r w:rsidR="00B27142">
        <w:t>neprovedlo</w:t>
      </w:r>
      <w:r w:rsidR="009B5CAE">
        <w:t>.</w:t>
      </w:r>
    </w:p>
    <w:p w14:paraId="0BB471DE" w14:textId="1706803B" w:rsidR="00E14EA0" w:rsidRDefault="007D78C0" w:rsidP="00E14EA0">
      <w:pPr>
        <w:rPr>
          <w:rFonts w:cs="Calibri"/>
        </w:rPr>
      </w:pPr>
      <w:r>
        <w:rPr>
          <w:rFonts w:cs="Calibri"/>
        </w:rPr>
        <w:lastRenderedPageBreak/>
        <w:t xml:space="preserve">MV </w:t>
      </w:r>
      <w:r w:rsidR="00B27142" w:rsidRPr="007B7E97">
        <w:rPr>
          <w:rFonts w:cs="Calibri"/>
        </w:rPr>
        <w:t>zpracovával</w:t>
      </w:r>
      <w:r w:rsidR="00B27142">
        <w:rPr>
          <w:rFonts w:cs="Calibri"/>
        </w:rPr>
        <w:t xml:space="preserve">o </w:t>
      </w:r>
      <w:r>
        <w:rPr>
          <w:rFonts w:cs="Calibri"/>
        </w:rPr>
        <w:t>z</w:t>
      </w:r>
      <w:r w:rsidRPr="007B7E97">
        <w:rPr>
          <w:rFonts w:cs="Calibri"/>
        </w:rPr>
        <w:t xml:space="preserve"> dat </w:t>
      </w:r>
      <w:r>
        <w:rPr>
          <w:rFonts w:cs="Calibri"/>
        </w:rPr>
        <w:t>evidovaných v EKIS</w:t>
      </w:r>
      <w:r w:rsidRPr="007B7E97">
        <w:rPr>
          <w:rFonts w:cs="Calibri"/>
        </w:rPr>
        <w:t xml:space="preserve"> </w:t>
      </w:r>
      <w:r>
        <w:rPr>
          <w:rFonts w:cs="Calibri"/>
        </w:rPr>
        <w:t xml:space="preserve">pro manažerské rozhodování </w:t>
      </w:r>
      <w:r w:rsidRPr="007B7E97">
        <w:rPr>
          <w:rFonts w:cs="Calibri"/>
        </w:rPr>
        <w:t>za</w:t>
      </w:r>
      <w:r w:rsidR="005F2620">
        <w:rPr>
          <w:rFonts w:cs="Calibri"/>
        </w:rPr>
        <w:t xml:space="preserve"> </w:t>
      </w:r>
      <w:r w:rsidRPr="007B7E97">
        <w:rPr>
          <w:rFonts w:cs="Calibri"/>
        </w:rPr>
        <w:t xml:space="preserve">resort </w:t>
      </w:r>
      <w:r>
        <w:rPr>
          <w:rFonts w:cs="Calibri"/>
        </w:rPr>
        <w:t xml:space="preserve">pouze </w:t>
      </w:r>
      <w:r w:rsidRPr="007B7E97">
        <w:rPr>
          <w:rFonts w:cs="Calibri"/>
        </w:rPr>
        <w:t>soupis nemovitého majetku, přehled a vývoj smluvních vztahů. Výši peněžních prostředků vynakládaných na</w:t>
      </w:r>
      <w:r w:rsidR="005F2620">
        <w:rPr>
          <w:rFonts w:cs="Calibri"/>
        </w:rPr>
        <w:t xml:space="preserve"> </w:t>
      </w:r>
      <w:r w:rsidRPr="007B7E97">
        <w:rPr>
          <w:rFonts w:cs="Calibri"/>
        </w:rPr>
        <w:t>správu nemovitého majetku MV neposuzovalo. Z úrovně MV směrem k podřízeným organizacím nebyla v kontrolovaném období navržena systémová opatření v oblasti hospodaření s nemovitým majetkem resortu MV. MV nenaplnilo požadavky §</w:t>
      </w:r>
      <w:r>
        <w:rPr>
          <w:rFonts w:cs="Calibri"/>
        </w:rPr>
        <w:t> </w:t>
      </w:r>
      <w:r w:rsidRPr="007B7E97">
        <w:rPr>
          <w:rFonts w:cs="Calibri"/>
        </w:rPr>
        <w:t>39</w:t>
      </w:r>
      <w:r>
        <w:rPr>
          <w:rFonts w:cs="Calibri"/>
        </w:rPr>
        <w:t> </w:t>
      </w:r>
      <w:r w:rsidRPr="007B7E97">
        <w:rPr>
          <w:rFonts w:cs="Calibri"/>
        </w:rPr>
        <w:t>zákona č. 218/2000 Sb.</w:t>
      </w:r>
      <w:r w:rsidR="005F2620">
        <w:rPr>
          <w:rFonts w:cs="Calibri"/>
        </w:rPr>
        <w:t>, neboť</w:t>
      </w:r>
      <w:r w:rsidRPr="007B7E97">
        <w:rPr>
          <w:rFonts w:cs="Calibri"/>
        </w:rPr>
        <w:t xml:space="preserve"> nesledovalo a nevyhodnocovalo peněžní prostředky vynakládané na správu nemovitého majetku v resortu MV</w:t>
      </w:r>
      <w:r w:rsidR="00510ABA">
        <w:rPr>
          <w:rFonts w:cs="Calibri"/>
        </w:rPr>
        <w:t xml:space="preserve"> a nevyužívalo ani pro manažerské rozhodování informace v EKIS a REM. </w:t>
      </w:r>
      <w:r w:rsidRPr="005E76D3">
        <w:t xml:space="preserve">ZSMV </w:t>
      </w:r>
      <w:r>
        <w:t>v</w:t>
      </w:r>
      <w:r w:rsidRPr="005E76D3">
        <w:t> letech 2015 a 2016 data z informační</w:t>
      </w:r>
      <w:r w:rsidR="00B27142">
        <w:t>ch</w:t>
      </w:r>
      <w:r w:rsidRPr="005E76D3">
        <w:t xml:space="preserve"> </w:t>
      </w:r>
      <w:r w:rsidR="00B27142">
        <w:t>systémů</w:t>
      </w:r>
      <w:r w:rsidR="00B27142" w:rsidRPr="005E76D3">
        <w:t xml:space="preserve"> </w:t>
      </w:r>
      <w:r w:rsidRPr="005E76D3">
        <w:t xml:space="preserve">pro manažerské rozhodování </w:t>
      </w:r>
      <w:r>
        <w:t xml:space="preserve">také </w:t>
      </w:r>
      <w:r w:rsidRPr="005E76D3">
        <w:t>nevyužívalo</w:t>
      </w:r>
      <w:r>
        <w:t xml:space="preserve"> a</w:t>
      </w:r>
      <w:r>
        <w:rPr>
          <w:rFonts w:cs="Calibri"/>
        </w:rPr>
        <w:t xml:space="preserve"> </w:t>
      </w:r>
      <w:r w:rsidRPr="007B7E97">
        <w:rPr>
          <w:rFonts w:cs="Calibri"/>
        </w:rPr>
        <w:t xml:space="preserve">peněžní prostředky vynakládané </w:t>
      </w:r>
      <w:r w:rsidR="00D2455F" w:rsidRPr="007B7E97">
        <w:rPr>
          <w:rFonts w:cs="Calibri"/>
        </w:rPr>
        <w:t>na</w:t>
      </w:r>
      <w:r w:rsidR="005F2620">
        <w:rPr>
          <w:rFonts w:cs="Calibri"/>
        </w:rPr>
        <w:t xml:space="preserve"> </w:t>
      </w:r>
      <w:r w:rsidRPr="007B7E97">
        <w:rPr>
          <w:rFonts w:cs="Calibri"/>
        </w:rPr>
        <w:t>správu nemovitého majetku</w:t>
      </w:r>
      <w:r>
        <w:rPr>
          <w:rFonts w:cs="Calibri"/>
        </w:rPr>
        <w:t xml:space="preserve"> taktéž nesledovalo a nevyhodnocovalo. ZSMV </w:t>
      </w:r>
      <w:r w:rsidR="004E2C5B">
        <w:rPr>
          <w:rFonts w:cs="Calibri"/>
        </w:rPr>
        <w:t>nemělo přehled o</w:t>
      </w:r>
      <w:r w:rsidR="00BE4D6A">
        <w:rPr>
          <w:rFonts w:cs="Calibri"/>
        </w:rPr>
        <w:t> </w:t>
      </w:r>
      <w:r>
        <w:rPr>
          <w:rFonts w:cs="Calibri"/>
        </w:rPr>
        <w:t>peněžní</w:t>
      </w:r>
      <w:r w:rsidR="004E2C5B">
        <w:rPr>
          <w:rFonts w:cs="Calibri"/>
        </w:rPr>
        <w:t>ch</w:t>
      </w:r>
      <w:r>
        <w:rPr>
          <w:rFonts w:cs="Calibri"/>
        </w:rPr>
        <w:t xml:space="preserve"> prostřed</w:t>
      </w:r>
      <w:r w:rsidR="004E2C5B">
        <w:rPr>
          <w:rFonts w:cs="Calibri"/>
        </w:rPr>
        <w:t>cích</w:t>
      </w:r>
      <w:r w:rsidR="003756D6">
        <w:rPr>
          <w:rFonts w:cs="Calibri"/>
        </w:rPr>
        <w:t>, které</w:t>
      </w:r>
      <w:r>
        <w:rPr>
          <w:rFonts w:cs="Calibri"/>
        </w:rPr>
        <w:t xml:space="preserve"> vynalož</w:t>
      </w:r>
      <w:r w:rsidR="003756D6">
        <w:rPr>
          <w:rFonts w:cs="Calibri"/>
        </w:rPr>
        <w:t>ilo</w:t>
      </w:r>
      <w:r>
        <w:rPr>
          <w:rFonts w:cs="Calibri"/>
        </w:rPr>
        <w:t xml:space="preserve"> na</w:t>
      </w:r>
      <w:r w:rsidR="005F2620">
        <w:rPr>
          <w:rFonts w:cs="Calibri"/>
        </w:rPr>
        <w:t xml:space="preserve"> </w:t>
      </w:r>
      <w:r>
        <w:rPr>
          <w:rFonts w:cs="Calibri"/>
        </w:rPr>
        <w:t>správu nemovitého majetku</w:t>
      </w:r>
      <w:r w:rsidR="003756D6">
        <w:rPr>
          <w:rFonts w:cs="Calibri"/>
        </w:rPr>
        <w:t xml:space="preserve"> z</w:t>
      </w:r>
      <w:r w:rsidR="00426815">
        <w:rPr>
          <w:rFonts w:cs="Calibri"/>
        </w:rPr>
        <w:t> </w:t>
      </w:r>
      <w:r>
        <w:rPr>
          <w:rFonts w:cs="Calibri"/>
        </w:rPr>
        <w:t>příspěvku na provoz</w:t>
      </w:r>
      <w:r w:rsidR="003756D6">
        <w:rPr>
          <w:rFonts w:cs="Calibri"/>
        </w:rPr>
        <w:t xml:space="preserve"> od MV</w:t>
      </w:r>
      <w:r>
        <w:rPr>
          <w:rFonts w:cs="Calibri"/>
        </w:rPr>
        <w:t>.</w:t>
      </w:r>
      <w:r w:rsidR="00E14EA0">
        <w:rPr>
          <w:rFonts w:cs="Calibri"/>
        </w:rPr>
        <w:br w:type="page"/>
      </w:r>
    </w:p>
    <w:p w14:paraId="5F3A9464" w14:textId="7AB9A5CB" w:rsidR="00FD362C" w:rsidRDefault="00FD362C" w:rsidP="005F2620">
      <w:pPr>
        <w:pStyle w:val="Nadpis1"/>
        <w:numPr>
          <w:ilvl w:val="0"/>
          <w:numId w:val="0"/>
        </w:numPr>
        <w:spacing w:before="0" w:after="120"/>
        <w:ind w:left="357" w:hanging="357"/>
        <w:jc w:val="both"/>
      </w:pPr>
      <w:r>
        <w:lastRenderedPageBreak/>
        <w:t>Seznam zkratek</w:t>
      </w:r>
    </w:p>
    <w:p w14:paraId="3336E32F" w14:textId="50EB59C4" w:rsidR="005E4212" w:rsidRPr="00702837" w:rsidRDefault="005E4212" w:rsidP="005F2620">
      <w:pPr>
        <w:pStyle w:val="KZnormln"/>
        <w:tabs>
          <w:tab w:val="left" w:pos="2268"/>
        </w:tabs>
        <w:spacing w:before="0" w:after="120" w:line="259" w:lineRule="auto"/>
        <w:ind w:left="2268" w:hanging="2268"/>
        <w:jc w:val="left"/>
        <w:rPr>
          <w:rFonts w:eastAsiaTheme="minorHAnsi"/>
          <w:lang w:val="cs-CZ"/>
        </w:rPr>
      </w:pPr>
      <w:r w:rsidRPr="005E4212">
        <w:rPr>
          <w:rFonts w:eastAsiaTheme="minorHAnsi"/>
        </w:rPr>
        <w:t>CEM</w:t>
      </w:r>
      <w:r w:rsidRPr="005E4212">
        <w:rPr>
          <w:rFonts w:eastAsiaTheme="minorHAnsi"/>
        </w:rPr>
        <w:tab/>
      </w:r>
      <w:r w:rsidRPr="00702837">
        <w:rPr>
          <w:rFonts w:eastAsiaTheme="minorHAnsi"/>
          <w:i/>
        </w:rPr>
        <w:t>Centrálná evidencia majetku</w:t>
      </w:r>
      <w:r w:rsidR="005F2620">
        <w:rPr>
          <w:rFonts w:eastAsiaTheme="minorHAnsi"/>
          <w:lang w:val="cs-CZ"/>
        </w:rPr>
        <w:t xml:space="preserve"> (databáze ve Slovenské republice)</w:t>
      </w:r>
    </w:p>
    <w:p w14:paraId="5BB643A3" w14:textId="64F7FB77"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CRAB</w:t>
      </w:r>
      <w:r w:rsidRPr="005E4212">
        <w:rPr>
          <w:rFonts w:eastAsiaTheme="minorHAnsi"/>
        </w:rPr>
        <w:tab/>
      </w:r>
      <w:r w:rsidRPr="00702837">
        <w:rPr>
          <w:rFonts w:eastAsiaTheme="minorHAnsi"/>
          <w:i/>
        </w:rPr>
        <w:t>Centrální registr administrativních budov</w:t>
      </w:r>
    </w:p>
    <w:p w14:paraId="7A4D9B94" w14:textId="3C83AB23"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ČR</w:t>
      </w:r>
      <w:r w:rsidRPr="005E4212">
        <w:rPr>
          <w:rFonts w:eastAsiaTheme="minorHAnsi"/>
        </w:rPr>
        <w:tab/>
        <w:t>Česká republika</w:t>
      </w:r>
    </w:p>
    <w:p w14:paraId="0E567507" w14:textId="4091F44E"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EKIS</w:t>
      </w:r>
      <w:r w:rsidRPr="005E4212">
        <w:rPr>
          <w:rFonts w:eastAsiaTheme="minorHAnsi"/>
        </w:rPr>
        <w:tab/>
      </w:r>
      <w:r w:rsidR="001401B4">
        <w:rPr>
          <w:rFonts w:eastAsiaTheme="minorHAnsi"/>
          <w:lang w:val="cs-CZ"/>
        </w:rPr>
        <w:t>e</w:t>
      </w:r>
      <w:r w:rsidRPr="005E4212">
        <w:rPr>
          <w:rFonts w:eastAsiaTheme="minorHAnsi"/>
        </w:rPr>
        <w:t>konomický informační systém MV</w:t>
      </w:r>
    </w:p>
    <w:p w14:paraId="25D4558D" w14:textId="3A56294E"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e-PIMS</w:t>
      </w:r>
      <w:r w:rsidRPr="005E4212">
        <w:rPr>
          <w:rFonts w:eastAsiaTheme="minorHAnsi"/>
        </w:rPr>
        <w:tab/>
      </w:r>
      <w:r w:rsidR="001401B4">
        <w:rPr>
          <w:rFonts w:eastAsiaTheme="minorHAnsi"/>
          <w:lang w:val="cs-CZ"/>
        </w:rPr>
        <w:t>i</w:t>
      </w:r>
      <w:r w:rsidRPr="005E4212">
        <w:rPr>
          <w:rFonts w:eastAsiaTheme="minorHAnsi"/>
        </w:rPr>
        <w:t xml:space="preserve">nformační systém </w:t>
      </w:r>
      <w:r w:rsidRPr="00702837">
        <w:rPr>
          <w:rFonts w:eastAsiaTheme="minorHAnsi"/>
          <w:i/>
        </w:rPr>
        <w:t>Electronic Property Information Mapping Servic</w:t>
      </w:r>
      <w:r w:rsidRPr="005E4212">
        <w:rPr>
          <w:rFonts w:eastAsiaTheme="minorHAnsi"/>
        </w:rPr>
        <w:t>e</w:t>
      </w:r>
    </w:p>
    <w:p w14:paraId="5DE2CB0D" w14:textId="167B6E6E" w:rsidR="005E4212" w:rsidRPr="00F8635D" w:rsidRDefault="005E4212" w:rsidP="005F2620">
      <w:pPr>
        <w:pStyle w:val="KZnormln"/>
        <w:tabs>
          <w:tab w:val="left" w:pos="2268"/>
        </w:tabs>
        <w:spacing w:before="0" w:after="120" w:line="259" w:lineRule="auto"/>
        <w:ind w:left="2268" w:hanging="2268"/>
        <w:jc w:val="left"/>
        <w:rPr>
          <w:rFonts w:eastAsiaTheme="minorHAnsi"/>
          <w:lang w:val="cs-CZ"/>
        </w:rPr>
      </w:pPr>
      <w:r w:rsidRPr="005E4212">
        <w:rPr>
          <w:rFonts w:eastAsiaTheme="minorHAnsi"/>
        </w:rPr>
        <w:t>FTE</w:t>
      </w:r>
      <w:r w:rsidRPr="005E4212">
        <w:rPr>
          <w:rFonts w:eastAsiaTheme="minorHAnsi"/>
        </w:rPr>
        <w:tab/>
      </w:r>
      <w:r w:rsidR="001401B4">
        <w:rPr>
          <w:rFonts w:eastAsiaTheme="minorHAnsi"/>
          <w:lang w:val="cs-CZ"/>
        </w:rPr>
        <w:t>p</w:t>
      </w:r>
      <w:r w:rsidRPr="005E4212">
        <w:rPr>
          <w:rFonts w:eastAsiaTheme="minorHAnsi"/>
        </w:rPr>
        <w:t>řepočtený počet zaměstnanců</w:t>
      </w:r>
      <w:r w:rsidR="00B27142">
        <w:rPr>
          <w:rFonts w:eastAsiaTheme="minorHAnsi"/>
          <w:lang w:val="cs-CZ"/>
        </w:rPr>
        <w:t xml:space="preserve"> na plný úvazek</w:t>
      </w:r>
    </w:p>
    <w:p w14:paraId="6094A0D7" w14:textId="37370120"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GPA</w:t>
      </w:r>
      <w:r w:rsidRPr="005E4212">
        <w:rPr>
          <w:rFonts w:eastAsiaTheme="minorHAnsi"/>
        </w:rPr>
        <w:tab/>
      </w:r>
      <w:r w:rsidRPr="000D6F72">
        <w:rPr>
          <w:rFonts w:eastAsiaTheme="minorHAnsi"/>
        </w:rPr>
        <w:t>Government Property Agency</w:t>
      </w:r>
    </w:p>
    <w:p w14:paraId="40EB4042" w14:textId="0EFFB52D"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GPF</w:t>
      </w:r>
      <w:r w:rsidRPr="005E4212">
        <w:rPr>
          <w:rFonts w:eastAsiaTheme="minorHAnsi"/>
        </w:rPr>
        <w:tab/>
      </w:r>
      <w:r w:rsidRPr="00702837">
        <w:rPr>
          <w:rFonts w:eastAsiaTheme="minorHAnsi"/>
          <w:i/>
        </w:rPr>
        <w:t>Government Property Finder</w:t>
      </w:r>
    </w:p>
    <w:p w14:paraId="1C0CE9E3" w14:textId="6D449E71"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GPU</w:t>
      </w:r>
      <w:r w:rsidRPr="005E4212">
        <w:rPr>
          <w:rFonts w:eastAsiaTheme="minorHAnsi"/>
        </w:rPr>
        <w:tab/>
      </w:r>
      <w:r w:rsidRPr="000D6F72">
        <w:rPr>
          <w:rFonts w:eastAsiaTheme="minorHAnsi"/>
        </w:rPr>
        <w:t>Government Property Unit</w:t>
      </w:r>
    </w:p>
    <w:p w14:paraId="36756F00" w14:textId="49D08DF0"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HU</w:t>
      </w:r>
      <w:r w:rsidRPr="005E4212">
        <w:rPr>
          <w:rFonts w:eastAsiaTheme="minorHAnsi"/>
        </w:rPr>
        <w:tab/>
        <w:t>Maďarská republika</w:t>
      </w:r>
    </w:p>
    <w:p w14:paraId="52301C0E" w14:textId="0B6E4BA2"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ISMS</w:t>
      </w:r>
      <w:r w:rsidRPr="005E4212">
        <w:rPr>
          <w:rFonts w:eastAsiaTheme="minorHAnsi"/>
        </w:rPr>
        <w:tab/>
      </w:r>
      <w:r w:rsidRPr="00702837">
        <w:rPr>
          <w:rFonts w:eastAsiaTheme="minorHAnsi"/>
          <w:i/>
        </w:rPr>
        <w:t>Informační systém o majetku státu</w:t>
      </w:r>
    </w:p>
    <w:p w14:paraId="1AB122C0" w14:textId="18482451"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JŘBU</w:t>
      </w:r>
      <w:r w:rsidRPr="005E4212">
        <w:rPr>
          <w:rFonts w:eastAsiaTheme="minorHAnsi"/>
        </w:rPr>
        <w:tab/>
      </w:r>
      <w:r w:rsidR="001401B4">
        <w:rPr>
          <w:rFonts w:eastAsiaTheme="minorHAnsi"/>
          <w:lang w:val="cs-CZ"/>
        </w:rPr>
        <w:t>j</w:t>
      </w:r>
      <w:r w:rsidRPr="005E4212">
        <w:rPr>
          <w:rFonts w:eastAsiaTheme="minorHAnsi"/>
        </w:rPr>
        <w:t>ednací řízení bez uveřejnění</w:t>
      </w:r>
    </w:p>
    <w:p w14:paraId="188ED52D" w14:textId="22A5ED4D"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KPI</w:t>
      </w:r>
      <w:r w:rsidRPr="005E4212">
        <w:rPr>
          <w:rFonts w:eastAsiaTheme="minorHAnsi"/>
        </w:rPr>
        <w:tab/>
      </w:r>
      <w:r w:rsidR="001401B4">
        <w:rPr>
          <w:rFonts w:eastAsiaTheme="minorHAnsi"/>
          <w:lang w:val="cs-CZ"/>
        </w:rPr>
        <w:t>k</w:t>
      </w:r>
      <w:r w:rsidRPr="005E4212">
        <w:rPr>
          <w:rFonts w:eastAsiaTheme="minorHAnsi"/>
        </w:rPr>
        <w:t>líčové ukazatele výkonnosti</w:t>
      </w:r>
    </w:p>
    <w:p w14:paraId="3A94E661" w14:textId="28CE9256"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MV</w:t>
      </w:r>
      <w:r w:rsidRPr="005E4212">
        <w:rPr>
          <w:rFonts w:eastAsiaTheme="minorHAnsi"/>
        </w:rPr>
        <w:tab/>
        <w:t>Ministerstvo vnitra</w:t>
      </w:r>
    </w:p>
    <w:p w14:paraId="7D56F891" w14:textId="4055A54C"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NERV</w:t>
      </w:r>
      <w:r w:rsidRPr="005E4212">
        <w:rPr>
          <w:rFonts w:eastAsiaTheme="minorHAnsi"/>
        </w:rPr>
        <w:tab/>
        <w:t>Národní ekonomická rada vlády</w:t>
      </w:r>
    </w:p>
    <w:p w14:paraId="0C8AD102" w14:textId="56D62CBF"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NKÚ</w:t>
      </w:r>
      <w:r w:rsidRPr="005E4212">
        <w:rPr>
          <w:rFonts w:eastAsiaTheme="minorHAnsi"/>
        </w:rPr>
        <w:tab/>
        <w:t>Nejvyšší kontrolní úřad</w:t>
      </w:r>
    </w:p>
    <w:p w14:paraId="4480F6CB" w14:textId="16ACC3C0"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projekt CRAB</w:t>
      </w:r>
      <w:r w:rsidRPr="005E4212">
        <w:rPr>
          <w:rFonts w:eastAsiaTheme="minorHAnsi"/>
        </w:rPr>
        <w:tab/>
      </w:r>
      <w:r w:rsidR="005F2620">
        <w:rPr>
          <w:rFonts w:eastAsiaTheme="minorHAnsi"/>
          <w:lang w:val="cs-CZ"/>
        </w:rPr>
        <w:t>p</w:t>
      </w:r>
      <w:r w:rsidRPr="005E4212">
        <w:rPr>
          <w:rFonts w:eastAsiaTheme="minorHAnsi"/>
        </w:rPr>
        <w:t xml:space="preserve">rojekt </w:t>
      </w:r>
      <w:r w:rsidRPr="00702837">
        <w:rPr>
          <w:rFonts w:eastAsiaTheme="minorHAnsi"/>
          <w:i/>
        </w:rPr>
        <w:t xml:space="preserve">Úprava </w:t>
      </w:r>
      <w:r w:rsidR="00CE627B" w:rsidRPr="00702837">
        <w:rPr>
          <w:rFonts w:eastAsiaTheme="minorHAnsi"/>
          <w:i/>
          <w:lang w:val="cs-CZ"/>
        </w:rPr>
        <w:t>i</w:t>
      </w:r>
      <w:r w:rsidRPr="00702837">
        <w:rPr>
          <w:rFonts w:eastAsiaTheme="minorHAnsi"/>
          <w:i/>
        </w:rPr>
        <w:t>nformačního systému majetku státu jako zvláštní</w:t>
      </w:r>
      <w:r w:rsidR="00E14EA0" w:rsidRPr="00702837">
        <w:rPr>
          <w:rFonts w:eastAsiaTheme="minorHAnsi"/>
          <w:i/>
          <w:lang w:val="cs-CZ"/>
        </w:rPr>
        <w:t xml:space="preserve"> </w:t>
      </w:r>
      <w:r w:rsidRPr="00702837">
        <w:rPr>
          <w:rFonts w:eastAsiaTheme="minorHAnsi"/>
          <w:i/>
        </w:rPr>
        <w:t>grafické datové vrstvy nad RÚIAN</w:t>
      </w:r>
    </w:p>
    <w:p w14:paraId="15EDAAD3" w14:textId="7CDE5099" w:rsidR="00CB0E98" w:rsidRDefault="00CB0E98" w:rsidP="005F2620">
      <w:pPr>
        <w:pStyle w:val="KZnormln"/>
        <w:tabs>
          <w:tab w:val="left" w:pos="2268"/>
        </w:tabs>
        <w:spacing w:before="0" w:after="120" w:line="259" w:lineRule="auto"/>
        <w:ind w:left="2268" w:hanging="2268"/>
        <w:jc w:val="left"/>
        <w:rPr>
          <w:rFonts w:eastAsiaTheme="minorHAnsi"/>
        </w:rPr>
      </w:pPr>
      <w:r>
        <w:rPr>
          <w:rFonts w:eastAsiaTheme="minorHAnsi"/>
          <w:lang w:val="cs-CZ"/>
        </w:rPr>
        <w:t>PuRE-net</w:t>
      </w:r>
      <w:r>
        <w:rPr>
          <w:rFonts w:eastAsiaTheme="minorHAnsi"/>
          <w:lang w:val="cs-CZ"/>
        </w:rPr>
        <w:tab/>
      </w:r>
      <w:r w:rsidR="001401B4">
        <w:rPr>
          <w:rFonts w:eastAsiaTheme="minorHAnsi"/>
          <w:lang w:val="cs-CZ"/>
        </w:rPr>
        <w:t>m</w:t>
      </w:r>
      <w:r>
        <w:rPr>
          <w:rFonts w:eastAsiaTheme="minorHAnsi"/>
          <w:lang w:val="cs-CZ"/>
        </w:rPr>
        <w:t>ezinárodní organizace</w:t>
      </w:r>
      <w:r w:rsidRPr="00702837">
        <w:rPr>
          <w:rFonts w:eastAsiaTheme="minorHAnsi"/>
          <w:i/>
          <w:lang w:val="cs-CZ"/>
        </w:rPr>
        <w:t xml:space="preserve"> Public Real Estate Network</w:t>
      </w:r>
    </w:p>
    <w:p w14:paraId="2288A503" w14:textId="77C6F218"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RDK</w:t>
      </w:r>
      <w:r w:rsidRPr="005E4212">
        <w:rPr>
          <w:rFonts w:eastAsiaTheme="minorHAnsi"/>
        </w:rPr>
        <w:tab/>
      </w:r>
      <w:r w:rsidR="001401B4">
        <w:rPr>
          <w:rFonts w:eastAsiaTheme="minorHAnsi"/>
          <w:lang w:val="cs-CZ"/>
        </w:rPr>
        <w:t>r</w:t>
      </w:r>
      <w:r w:rsidRPr="005E4212">
        <w:rPr>
          <w:rFonts w:eastAsiaTheme="minorHAnsi"/>
        </w:rPr>
        <w:t>egionální dislokační komise</w:t>
      </w:r>
    </w:p>
    <w:p w14:paraId="6F2F20B4" w14:textId="26426DF1" w:rsidR="005E4212" w:rsidRPr="00702837" w:rsidRDefault="005E4212" w:rsidP="005F2620">
      <w:pPr>
        <w:pStyle w:val="KZnormln"/>
        <w:tabs>
          <w:tab w:val="left" w:pos="2268"/>
        </w:tabs>
        <w:spacing w:before="0" w:after="120" w:line="259" w:lineRule="auto"/>
        <w:ind w:left="2268" w:hanging="2268"/>
        <w:jc w:val="left"/>
        <w:rPr>
          <w:rFonts w:eastAsiaTheme="minorHAnsi"/>
          <w:i/>
          <w:lang w:val="cs-CZ"/>
        </w:rPr>
      </w:pPr>
      <w:r w:rsidRPr="005E4212">
        <w:rPr>
          <w:rFonts w:eastAsiaTheme="minorHAnsi"/>
        </w:rPr>
        <w:t>REM</w:t>
      </w:r>
      <w:r w:rsidRPr="005E4212">
        <w:rPr>
          <w:rFonts w:eastAsiaTheme="minorHAnsi"/>
        </w:rPr>
        <w:tab/>
      </w:r>
      <w:r w:rsidR="001401B4">
        <w:rPr>
          <w:rFonts w:eastAsiaTheme="minorHAnsi"/>
          <w:lang w:val="cs-CZ"/>
        </w:rPr>
        <w:t>i</w:t>
      </w:r>
      <w:r w:rsidRPr="005E4212">
        <w:rPr>
          <w:rFonts w:eastAsiaTheme="minorHAnsi"/>
        </w:rPr>
        <w:t xml:space="preserve">nformační systém </w:t>
      </w:r>
      <w:r w:rsidRPr="00702837">
        <w:rPr>
          <w:rFonts w:eastAsiaTheme="minorHAnsi"/>
          <w:i/>
        </w:rPr>
        <w:t>Správa nemovitostí</w:t>
      </w:r>
      <w:r w:rsidR="00B27142" w:rsidRPr="00702837">
        <w:rPr>
          <w:rFonts w:eastAsiaTheme="minorHAnsi"/>
          <w:i/>
          <w:lang w:val="cs-CZ"/>
        </w:rPr>
        <w:t xml:space="preserve"> MV</w:t>
      </w:r>
    </w:p>
    <w:p w14:paraId="7E069791" w14:textId="08ACC096" w:rsidR="005E4212" w:rsidRPr="00702837" w:rsidRDefault="005E4212" w:rsidP="005F2620">
      <w:pPr>
        <w:pStyle w:val="KZnormln"/>
        <w:tabs>
          <w:tab w:val="left" w:pos="2268"/>
        </w:tabs>
        <w:spacing w:before="0" w:after="120" w:line="259" w:lineRule="auto"/>
        <w:ind w:left="2268" w:hanging="2268"/>
        <w:jc w:val="left"/>
        <w:rPr>
          <w:rFonts w:eastAsiaTheme="minorHAnsi"/>
          <w:lang w:val="cs-CZ"/>
        </w:rPr>
      </w:pPr>
      <w:r w:rsidRPr="005E4212">
        <w:rPr>
          <w:rFonts w:eastAsiaTheme="minorHAnsi"/>
        </w:rPr>
        <w:t>ROPK</w:t>
      </w:r>
      <w:r w:rsidRPr="005E4212">
        <w:rPr>
          <w:rFonts w:eastAsiaTheme="minorHAnsi"/>
        </w:rPr>
        <w:tab/>
      </w:r>
      <w:r w:rsidRPr="00FC0D39">
        <w:rPr>
          <w:rFonts w:eastAsiaTheme="minorHAnsi"/>
          <w:i/>
        </w:rPr>
        <w:t>Register ponúkaného majetku štátu</w:t>
      </w:r>
      <w:r w:rsidR="005F2620" w:rsidRPr="00FC0D39">
        <w:rPr>
          <w:rFonts w:eastAsiaTheme="minorHAnsi"/>
          <w:i/>
          <w:lang w:val="cs-CZ"/>
        </w:rPr>
        <w:t xml:space="preserve"> </w:t>
      </w:r>
      <w:r w:rsidR="005F2620">
        <w:rPr>
          <w:rFonts w:eastAsiaTheme="minorHAnsi"/>
          <w:lang w:val="cs-CZ"/>
        </w:rPr>
        <w:t>(databáze ve Slovenské republice)</w:t>
      </w:r>
    </w:p>
    <w:p w14:paraId="5DF19162" w14:textId="5D808DB1" w:rsidR="005E4212" w:rsidRPr="00702837" w:rsidRDefault="005E4212" w:rsidP="005F2620">
      <w:pPr>
        <w:pStyle w:val="KZnormln"/>
        <w:tabs>
          <w:tab w:val="left" w:pos="2268"/>
        </w:tabs>
        <w:spacing w:before="0" w:after="120" w:line="259" w:lineRule="auto"/>
        <w:ind w:left="2268" w:hanging="2268"/>
        <w:jc w:val="left"/>
        <w:rPr>
          <w:rFonts w:eastAsiaTheme="minorHAnsi"/>
          <w:i/>
        </w:rPr>
      </w:pPr>
      <w:r w:rsidRPr="005E4212">
        <w:rPr>
          <w:rFonts w:eastAsiaTheme="minorHAnsi"/>
        </w:rPr>
        <w:t>SEPIe</w:t>
      </w:r>
      <w:r w:rsidRPr="005E4212">
        <w:rPr>
          <w:rFonts w:eastAsiaTheme="minorHAnsi"/>
        </w:rPr>
        <w:tab/>
      </w:r>
      <w:r w:rsidR="001401B4">
        <w:rPr>
          <w:rFonts w:eastAsiaTheme="minorHAnsi"/>
          <w:lang w:val="cs-CZ"/>
        </w:rPr>
        <w:t>p</w:t>
      </w:r>
      <w:r w:rsidRPr="005E4212">
        <w:rPr>
          <w:rFonts w:eastAsiaTheme="minorHAnsi"/>
        </w:rPr>
        <w:t xml:space="preserve">rojekt </w:t>
      </w:r>
      <w:r w:rsidRPr="00702837">
        <w:rPr>
          <w:rFonts w:eastAsiaTheme="minorHAnsi"/>
          <w:i/>
        </w:rPr>
        <w:t>Systém ekonomických a projektových informací v eGovernmentu</w:t>
      </w:r>
    </w:p>
    <w:p w14:paraId="1763323F" w14:textId="19A0C4FA" w:rsid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SK</w:t>
      </w:r>
      <w:r w:rsidRPr="005E4212">
        <w:rPr>
          <w:rFonts w:eastAsiaTheme="minorHAnsi"/>
        </w:rPr>
        <w:tab/>
        <w:t>Slovenská republika</w:t>
      </w:r>
    </w:p>
    <w:p w14:paraId="7E15A1C4" w14:textId="5E3F65F8" w:rsidR="00A60717" w:rsidRPr="005E4212" w:rsidRDefault="00A60717" w:rsidP="005F2620">
      <w:pPr>
        <w:pStyle w:val="KZnormln"/>
        <w:tabs>
          <w:tab w:val="left" w:pos="2268"/>
        </w:tabs>
        <w:spacing w:before="0" w:after="120" w:line="259" w:lineRule="auto"/>
        <w:ind w:left="2268" w:hanging="2268"/>
        <w:jc w:val="left"/>
        <w:rPr>
          <w:rFonts w:eastAsiaTheme="minorHAnsi"/>
        </w:rPr>
      </w:pPr>
      <w:r>
        <w:rPr>
          <w:rFonts w:eastAsiaTheme="minorHAnsi"/>
          <w:lang w:val="cs-CZ"/>
        </w:rPr>
        <w:t>Spojené království</w:t>
      </w:r>
      <w:r>
        <w:rPr>
          <w:rFonts w:eastAsiaTheme="minorHAnsi"/>
          <w:lang w:val="cs-CZ"/>
        </w:rPr>
        <w:tab/>
      </w:r>
      <w:r w:rsidRPr="00C00BBE">
        <w:t>Spojené království Velké Británie a Severního Irska</w:t>
      </w:r>
    </w:p>
    <w:p w14:paraId="538B65F7" w14:textId="043B0CEC" w:rsidR="005E4212" w:rsidRPr="00702837" w:rsidRDefault="005E4212" w:rsidP="005F2620">
      <w:pPr>
        <w:pStyle w:val="KZnormln"/>
        <w:tabs>
          <w:tab w:val="left" w:pos="2268"/>
        </w:tabs>
        <w:spacing w:before="0" w:after="120" w:line="259" w:lineRule="auto"/>
        <w:ind w:left="2268" w:hanging="2268"/>
        <w:jc w:val="left"/>
        <w:rPr>
          <w:rFonts w:eastAsiaTheme="minorHAnsi"/>
          <w:lang w:val="cs-CZ"/>
        </w:rPr>
      </w:pPr>
      <w:r w:rsidRPr="005E4212">
        <w:rPr>
          <w:rFonts w:eastAsiaTheme="minorHAnsi"/>
        </w:rPr>
        <w:t>UK</w:t>
      </w:r>
      <w:r w:rsidRPr="005E4212">
        <w:rPr>
          <w:rFonts w:eastAsiaTheme="minorHAnsi"/>
        </w:rPr>
        <w:tab/>
        <w:t>Spojené království</w:t>
      </w:r>
      <w:r w:rsidR="000D6F72">
        <w:rPr>
          <w:rFonts w:eastAsiaTheme="minorHAnsi"/>
          <w:lang w:val="cs-CZ"/>
        </w:rPr>
        <w:t xml:space="preserve"> </w:t>
      </w:r>
      <w:r w:rsidR="000D6F72" w:rsidRPr="00C00BBE">
        <w:t>Velké Británie a Severního Irska</w:t>
      </w:r>
    </w:p>
    <w:p w14:paraId="25D38EB9" w14:textId="3716DFF3"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ÚZSVM</w:t>
      </w:r>
      <w:r w:rsidRPr="005E4212">
        <w:rPr>
          <w:rFonts w:eastAsiaTheme="minorHAnsi"/>
        </w:rPr>
        <w:tab/>
        <w:t>Úřad pro zastupování státu ve věcech majetkových</w:t>
      </w:r>
    </w:p>
    <w:p w14:paraId="40170874" w14:textId="27C8A2A8" w:rsidR="005E4212" w:rsidRPr="005E4212" w:rsidRDefault="005E4212" w:rsidP="005F2620">
      <w:pPr>
        <w:pStyle w:val="KZnormln"/>
        <w:tabs>
          <w:tab w:val="left" w:pos="2268"/>
        </w:tabs>
        <w:spacing w:before="0" w:after="120" w:line="259" w:lineRule="auto"/>
        <w:ind w:left="2268" w:hanging="2268"/>
        <w:jc w:val="left"/>
        <w:rPr>
          <w:rFonts w:eastAsiaTheme="minorHAnsi"/>
        </w:rPr>
      </w:pPr>
      <w:r w:rsidRPr="005E4212">
        <w:rPr>
          <w:rFonts w:eastAsiaTheme="minorHAnsi"/>
        </w:rPr>
        <w:t>VDK</w:t>
      </w:r>
      <w:r w:rsidRPr="005E4212">
        <w:rPr>
          <w:rFonts w:eastAsiaTheme="minorHAnsi"/>
        </w:rPr>
        <w:tab/>
      </w:r>
      <w:r w:rsidR="001401B4">
        <w:rPr>
          <w:rFonts w:eastAsiaTheme="minorHAnsi"/>
          <w:lang w:val="cs-CZ"/>
        </w:rPr>
        <w:t>v</w:t>
      </w:r>
      <w:r w:rsidRPr="005E4212">
        <w:rPr>
          <w:rFonts w:eastAsiaTheme="minorHAnsi"/>
        </w:rPr>
        <w:t>ládní dislokační komise</w:t>
      </w:r>
    </w:p>
    <w:p w14:paraId="7FDB873E" w14:textId="5BE1CCB6" w:rsidR="00FE6E75" w:rsidRDefault="005E4212" w:rsidP="005F2620">
      <w:pPr>
        <w:pStyle w:val="KZnormln"/>
        <w:tabs>
          <w:tab w:val="left" w:pos="2268"/>
        </w:tabs>
        <w:spacing w:before="0" w:after="120" w:line="259" w:lineRule="auto"/>
        <w:ind w:left="2268" w:hanging="2268"/>
        <w:jc w:val="left"/>
      </w:pPr>
      <w:r w:rsidRPr="005E4212">
        <w:rPr>
          <w:rFonts w:eastAsiaTheme="minorHAnsi"/>
        </w:rPr>
        <w:t>ZSMV</w:t>
      </w:r>
      <w:r w:rsidRPr="005E4212">
        <w:rPr>
          <w:rFonts w:eastAsiaTheme="minorHAnsi"/>
        </w:rPr>
        <w:tab/>
        <w:t>Zařízení služeb pro Ministerstvo vnitra</w:t>
      </w:r>
    </w:p>
    <w:p w14:paraId="615B7B93" w14:textId="77777777" w:rsidR="00FE6E75" w:rsidRDefault="00FE6E75">
      <w:pPr>
        <w:jc w:val="left"/>
        <w:rPr>
          <w:rFonts w:cstheme="minorHAnsi"/>
          <w:color w:val="000000"/>
          <w:lang w:val="x-none"/>
        </w:rPr>
        <w:sectPr w:rsidR="00FE6E75" w:rsidSect="00112DF7">
          <w:footerReference w:type="default" r:id="rId13"/>
          <w:footerReference w:type="first" r:id="rId14"/>
          <w:pgSz w:w="11906" w:h="16838"/>
          <w:pgMar w:top="1417" w:right="1417" w:bottom="1417" w:left="1417" w:header="708" w:footer="708" w:gutter="0"/>
          <w:cols w:space="708"/>
          <w:titlePg/>
          <w:docGrid w:linePitch="360"/>
        </w:sectPr>
      </w:pPr>
    </w:p>
    <w:p w14:paraId="3E300503" w14:textId="5BF453C1" w:rsidR="00787495" w:rsidRPr="00702837" w:rsidRDefault="00E23CAB" w:rsidP="00702837">
      <w:pPr>
        <w:spacing w:after="0"/>
        <w:jc w:val="left"/>
        <w:rPr>
          <w:b/>
          <w:noProof/>
          <w:lang w:val="en-US"/>
        </w:rPr>
      </w:pPr>
      <w:r>
        <w:rPr>
          <w:noProof/>
          <w:lang w:eastAsia="cs-CZ"/>
        </w:rPr>
        <w:lastRenderedPageBreak/>
        <w:drawing>
          <wp:anchor distT="0" distB="0" distL="114300" distR="114300" simplePos="0" relativeHeight="251659264" behindDoc="1" locked="0" layoutInCell="1" allowOverlap="1" wp14:anchorId="3694BB48" wp14:editId="43429D72">
            <wp:simplePos x="0" y="0"/>
            <wp:positionH relativeFrom="margin">
              <wp:align>left</wp:align>
            </wp:positionH>
            <wp:positionV relativeFrom="paragraph">
              <wp:posOffset>206375</wp:posOffset>
            </wp:positionV>
            <wp:extent cx="8782685" cy="5399405"/>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íloha1.PNG"/>
                    <pic:cNvPicPr/>
                  </pic:nvPicPr>
                  <pic:blipFill rotWithShape="1">
                    <a:blip r:embed="rId15">
                      <a:extLst>
                        <a:ext uri="{28A0092B-C50C-407E-A947-70E740481C1C}">
                          <a14:useLocalDpi xmlns:a14="http://schemas.microsoft.com/office/drawing/2010/main" val="0"/>
                        </a:ext>
                      </a:extLst>
                    </a:blip>
                    <a:srcRect t="5623"/>
                    <a:stretch/>
                  </pic:blipFill>
                  <pic:spPr bwMode="auto">
                    <a:xfrm>
                      <a:off x="0" y="0"/>
                      <a:ext cx="8782685" cy="539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F72" w:rsidRPr="00702837">
        <w:rPr>
          <w:b/>
          <w:noProof/>
          <w:lang w:val="en-US"/>
        </w:rPr>
        <w:t>Příloha č. 1: Změna počtu objektů evidovaných v CRAB dle údajů za rok 2015 a 2016</w:t>
      </w:r>
    </w:p>
    <w:p w14:paraId="54AEB9D0" w14:textId="05E222B6" w:rsidR="004A6640" w:rsidRPr="00702837" w:rsidRDefault="00787495">
      <w:pPr>
        <w:jc w:val="left"/>
        <w:rPr>
          <w:b/>
        </w:rPr>
      </w:pPr>
      <w:r>
        <w:rPr>
          <w:rFonts w:cstheme="minorHAnsi"/>
          <w:color w:val="000000"/>
          <w:lang w:val="x-none"/>
        </w:rPr>
        <w:br w:type="page"/>
      </w:r>
      <w:r w:rsidR="004A1E5E" w:rsidRPr="00702837">
        <w:rPr>
          <w:b/>
        </w:rPr>
        <w:lastRenderedPageBreak/>
        <w:t>Příloha č. 2</w:t>
      </w:r>
      <w:r w:rsidR="004A1E5E">
        <w:rPr>
          <w:b/>
        </w:rPr>
        <w:t xml:space="preserve">: </w:t>
      </w:r>
      <w:r w:rsidR="004A1E5E" w:rsidRPr="004A1E5E">
        <w:rPr>
          <w:b/>
        </w:rPr>
        <w:t>Údaje z CRAB za rok 2016 dle státních institucí</w:t>
      </w:r>
    </w:p>
    <w:p w14:paraId="41D40B4C" w14:textId="77777777" w:rsidR="00E23CAB" w:rsidRDefault="00E23CAB" w:rsidP="004A6640">
      <w:pPr>
        <w:spacing w:after="0" w:line="240" w:lineRule="auto"/>
        <w:ind w:left="567" w:hanging="567"/>
        <w:jc w:val="left"/>
      </w:pPr>
      <w:r>
        <w:t>Příloha je přístupná</w:t>
      </w:r>
      <w:r w:rsidRPr="00330BDC">
        <w:t xml:space="preserve"> v Národním katalogu otevřených dat na adrese</w:t>
      </w:r>
      <w:r>
        <w:t>:</w:t>
      </w:r>
      <w:r w:rsidRPr="00330BDC">
        <w:t xml:space="preserve"> </w:t>
      </w:r>
    </w:p>
    <w:p w14:paraId="7BAEB15B" w14:textId="54ABC386" w:rsidR="00EF5DAF" w:rsidRPr="0024789D" w:rsidRDefault="00DA1B11" w:rsidP="004A6640">
      <w:pPr>
        <w:spacing w:after="0" w:line="240" w:lineRule="auto"/>
        <w:ind w:left="567" w:hanging="567"/>
        <w:jc w:val="left"/>
        <w:rPr>
          <w:rFonts w:ascii="Calibri" w:eastAsia="Times New Roman" w:hAnsi="Calibri" w:cs="Tahoma"/>
          <w:b/>
          <w:bCs/>
          <w:color w:val="000000"/>
          <w:sz w:val="16"/>
          <w:szCs w:val="16"/>
          <w:lang w:eastAsia="cs-CZ"/>
        </w:rPr>
      </w:pPr>
      <w:hyperlink r:id="rId16" w:history="1">
        <w:r w:rsidR="00E23CAB" w:rsidRPr="005750CF">
          <w:rPr>
            <w:rStyle w:val="Hypertextovodkaz"/>
          </w:rPr>
          <w:t>http://data.nku.cz/download/vystupy-z-kontrol/ka-16-26/udaje-z-CRAB.xlsx</w:t>
        </w:r>
      </w:hyperlink>
      <w:r w:rsidR="0024789D">
        <w:rPr>
          <w:rStyle w:val="Hypertextovodkaz"/>
          <w:u w:val="none"/>
        </w:rPr>
        <w:t>.</w:t>
      </w:r>
    </w:p>
    <w:p w14:paraId="4AC7DB07" w14:textId="11D098D7" w:rsidR="00EF5DAF" w:rsidRDefault="00EF5DAF" w:rsidP="00702837">
      <w:pPr>
        <w:jc w:val="left"/>
        <w:rPr>
          <w:rFonts w:ascii="Calibri" w:eastAsia="Times New Roman" w:hAnsi="Calibri" w:cs="Tahoma"/>
          <w:b/>
          <w:bCs/>
          <w:color w:val="000000"/>
          <w:sz w:val="16"/>
          <w:szCs w:val="16"/>
          <w:lang w:eastAsia="cs-CZ"/>
        </w:rPr>
      </w:pPr>
    </w:p>
    <w:p w14:paraId="68C90A39" w14:textId="77777777" w:rsidR="00E23CAB" w:rsidRDefault="00E23CAB">
      <w:pPr>
        <w:jc w:val="left"/>
        <w:rPr>
          <w:rFonts w:ascii="Calibri" w:eastAsia="Times New Roman" w:hAnsi="Calibri" w:cs="Tahoma"/>
          <w:b/>
          <w:bCs/>
          <w:color w:val="000000"/>
          <w:sz w:val="16"/>
          <w:szCs w:val="16"/>
          <w:lang w:eastAsia="cs-CZ"/>
        </w:rPr>
      </w:pPr>
      <w:r>
        <w:rPr>
          <w:rFonts w:ascii="Calibri" w:eastAsia="Times New Roman" w:hAnsi="Calibri" w:cs="Tahoma"/>
          <w:b/>
          <w:bCs/>
          <w:color w:val="000000"/>
          <w:sz w:val="16"/>
          <w:szCs w:val="16"/>
          <w:lang w:eastAsia="cs-CZ"/>
        </w:rPr>
        <w:br w:type="page"/>
      </w:r>
    </w:p>
    <w:p w14:paraId="6E1EB458" w14:textId="1623FBCC" w:rsidR="00A70C5A" w:rsidRDefault="00A70C5A" w:rsidP="00702837">
      <w:pPr>
        <w:spacing w:after="0" w:line="240" w:lineRule="auto"/>
        <w:jc w:val="left"/>
      </w:pPr>
      <w:r>
        <w:rPr>
          <w:noProof/>
          <w:lang w:eastAsia="cs-CZ"/>
        </w:rPr>
        <w:lastRenderedPageBreak/>
        <w:drawing>
          <wp:anchor distT="0" distB="0" distL="114300" distR="114300" simplePos="0" relativeHeight="251656192" behindDoc="1" locked="0" layoutInCell="1" allowOverlap="1" wp14:anchorId="5364E550" wp14:editId="38A19AD3">
            <wp:simplePos x="0" y="0"/>
            <wp:positionH relativeFrom="column">
              <wp:posOffset>4445</wp:posOffset>
            </wp:positionH>
            <wp:positionV relativeFrom="paragraph">
              <wp:posOffset>356870</wp:posOffset>
            </wp:positionV>
            <wp:extent cx="8891270" cy="4928870"/>
            <wp:effectExtent l="0" t="0" r="5080" b="508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Z 16_26 příloha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1270" cy="4928870"/>
                    </a:xfrm>
                    <a:prstGeom prst="rect">
                      <a:avLst/>
                    </a:prstGeom>
                  </pic:spPr>
                </pic:pic>
              </a:graphicData>
            </a:graphic>
            <wp14:sizeRelH relativeFrom="page">
              <wp14:pctWidth>0</wp14:pctWidth>
            </wp14:sizeRelH>
            <wp14:sizeRelV relativeFrom="page">
              <wp14:pctHeight>0</wp14:pctHeight>
            </wp14:sizeRelV>
          </wp:anchor>
        </w:drawing>
      </w:r>
      <w:r>
        <w:rPr>
          <w:b/>
        </w:rPr>
        <w:t xml:space="preserve">Příloha č. 3: </w:t>
      </w:r>
      <w:r w:rsidR="007E16A6">
        <w:rPr>
          <w:b/>
        </w:rPr>
        <w:t>Užívaná plocha a počet zaměstnanců státních institucí v roce 2016 dle krajů</w:t>
      </w:r>
    </w:p>
    <w:p w14:paraId="6092DBBA" w14:textId="77777777" w:rsidR="00A70C5A" w:rsidRPr="00A70C5A" w:rsidRDefault="00A70C5A" w:rsidP="00A70C5A">
      <w:pPr>
        <w:shd w:val="clear" w:color="auto" w:fill="FFFFFF" w:themeFill="background1"/>
        <w:spacing w:before="120" w:after="0" w:line="240" w:lineRule="auto"/>
        <w:jc w:val="center"/>
        <w:rPr>
          <w:b/>
          <w:color w:val="FFFFFF" w:themeColor="background1"/>
          <w:sz w:val="20"/>
        </w:rPr>
      </w:pPr>
    </w:p>
    <w:p w14:paraId="639DE51B" w14:textId="15B96E6B" w:rsidR="008E1F05" w:rsidRPr="00A70C5A" w:rsidRDefault="00A70C5A" w:rsidP="00A70C5A">
      <w:pPr>
        <w:spacing w:after="0" w:line="240" w:lineRule="auto"/>
        <w:jc w:val="left"/>
        <w:rPr>
          <w:rFonts w:eastAsia="Times New Roman" w:cstheme="minorHAnsi"/>
          <w:b/>
          <w:color w:val="000000"/>
          <w:lang w:val="x-none"/>
        </w:rPr>
      </w:pPr>
      <w:r w:rsidRPr="00A70C5A">
        <w:rPr>
          <w:b/>
          <w:sz w:val="20"/>
        </w:rPr>
        <w:t xml:space="preserve">Zdroj: </w:t>
      </w:r>
      <w:r w:rsidR="006D643D">
        <w:rPr>
          <w:sz w:val="20"/>
        </w:rPr>
        <w:t>r</w:t>
      </w:r>
      <w:r w:rsidR="007E16A6" w:rsidRPr="007E16A6">
        <w:rPr>
          <w:sz w:val="20"/>
        </w:rPr>
        <w:t xml:space="preserve">eport analytického modulu CRAB č. 16a </w:t>
      </w:r>
      <w:r w:rsidR="006D643D">
        <w:rPr>
          <w:sz w:val="20"/>
        </w:rPr>
        <w:t>–</w:t>
      </w:r>
      <w:r w:rsidR="007E16A6" w:rsidRPr="007E16A6">
        <w:rPr>
          <w:sz w:val="20"/>
        </w:rPr>
        <w:t xml:space="preserve"> </w:t>
      </w:r>
      <w:r w:rsidR="006D643D">
        <w:rPr>
          <w:sz w:val="20"/>
        </w:rPr>
        <w:t>p</w:t>
      </w:r>
      <w:r w:rsidR="007E16A6" w:rsidRPr="007E16A6">
        <w:rPr>
          <w:sz w:val="20"/>
        </w:rPr>
        <w:t>růměrná plocha na osobu a průměrné výdaje za provoz a údržbu na 1 m</w:t>
      </w:r>
      <w:r w:rsidR="007E16A6" w:rsidRPr="007E16A6">
        <w:rPr>
          <w:sz w:val="20"/>
          <w:vertAlign w:val="superscript"/>
        </w:rPr>
        <w:t>2</w:t>
      </w:r>
      <w:r w:rsidR="007E16A6" w:rsidRPr="007E16A6">
        <w:rPr>
          <w:sz w:val="20"/>
        </w:rPr>
        <w:t xml:space="preserve"> (kraj) za rok 2016.</w:t>
      </w:r>
      <w:r w:rsidR="008E1F05" w:rsidRPr="00A70C5A">
        <w:rPr>
          <w:b/>
        </w:rPr>
        <w:br w:type="page"/>
      </w:r>
    </w:p>
    <w:p w14:paraId="3A2396B6" w14:textId="63F5BCC8" w:rsidR="00E23CAB" w:rsidRPr="00702837" w:rsidRDefault="00E23CAB" w:rsidP="00702837">
      <w:pPr>
        <w:pStyle w:val="KZnormln"/>
        <w:tabs>
          <w:tab w:val="left" w:pos="2268"/>
        </w:tabs>
        <w:spacing w:after="120" w:line="259" w:lineRule="auto"/>
        <w:ind w:left="2268" w:hanging="2268"/>
        <w:rPr>
          <w:b/>
          <w:lang w:val="cs-CZ"/>
        </w:rPr>
      </w:pPr>
      <w:r w:rsidRPr="00702837">
        <w:rPr>
          <w:b/>
          <w:noProof/>
          <w:lang w:val="cs-CZ" w:eastAsia="cs-CZ"/>
        </w:rPr>
        <w:lastRenderedPageBreak/>
        <w:drawing>
          <wp:anchor distT="0" distB="0" distL="114300" distR="114300" simplePos="0" relativeHeight="251662336" behindDoc="1" locked="0" layoutInCell="1" allowOverlap="1" wp14:anchorId="1C792027" wp14:editId="56880F33">
            <wp:simplePos x="0" y="0"/>
            <wp:positionH relativeFrom="column">
              <wp:posOffset>1905</wp:posOffset>
            </wp:positionH>
            <wp:positionV relativeFrom="paragraph">
              <wp:posOffset>266065</wp:posOffset>
            </wp:positionV>
            <wp:extent cx="8782685" cy="5399405"/>
            <wp:effectExtent l="0" t="0" r="0" b="0"/>
            <wp:wrapTight wrapText="bothSides">
              <wp:wrapPolygon edited="0">
                <wp:start x="0" y="0"/>
                <wp:lineTo x="0" y="21491"/>
                <wp:lineTo x="21552" y="21491"/>
                <wp:lineTo x="2155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říloha č. 4.PNG"/>
                    <pic:cNvPicPr/>
                  </pic:nvPicPr>
                  <pic:blipFill>
                    <a:blip r:embed="rId18">
                      <a:extLst>
                        <a:ext uri="{28A0092B-C50C-407E-A947-70E740481C1C}">
                          <a14:useLocalDpi xmlns:a14="http://schemas.microsoft.com/office/drawing/2010/main" val="0"/>
                        </a:ext>
                      </a:extLst>
                    </a:blip>
                    <a:stretch>
                      <a:fillRect/>
                    </a:stretch>
                  </pic:blipFill>
                  <pic:spPr>
                    <a:xfrm>
                      <a:off x="0" y="0"/>
                      <a:ext cx="8782685" cy="5399405"/>
                    </a:xfrm>
                    <a:prstGeom prst="rect">
                      <a:avLst/>
                    </a:prstGeom>
                  </pic:spPr>
                </pic:pic>
              </a:graphicData>
            </a:graphic>
            <wp14:sizeRelH relativeFrom="page">
              <wp14:pctWidth>0</wp14:pctWidth>
            </wp14:sizeRelH>
            <wp14:sizeRelV relativeFrom="page">
              <wp14:pctHeight>0</wp14:pctHeight>
            </wp14:sizeRelV>
          </wp:anchor>
        </w:drawing>
      </w:r>
      <w:r w:rsidRPr="00702837">
        <w:rPr>
          <w:b/>
          <w:lang w:val="cs-CZ"/>
        </w:rPr>
        <w:t>Příloha č. 4: Administrativní budovy ve státním vlastnictví dle klasifikační třídy energetické náročnosti budov v jednotlivých krajích</w:t>
      </w:r>
    </w:p>
    <w:p w14:paraId="3D76A4C4" w14:textId="77777777" w:rsidR="00640387" w:rsidRPr="00702837" w:rsidRDefault="00640387" w:rsidP="00702837">
      <w:pPr>
        <w:pStyle w:val="KZnormln"/>
        <w:tabs>
          <w:tab w:val="left" w:pos="2268"/>
        </w:tabs>
        <w:spacing w:after="120" w:line="259" w:lineRule="auto"/>
        <w:ind w:left="2268" w:hanging="2268"/>
        <w:rPr>
          <w:lang w:val="cs-CZ"/>
        </w:rPr>
        <w:sectPr w:rsidR="00640387" w:rsidRPr="00702837" w:rsidSect="00584CB2">
          <w:pgSz w:w="16838" w:h="11906" w:orient="landscape"/>
          <w:pgMar w:top="1418" w:right="1418" w:bottom="1418" w:left="1418" w:header="709" w:footer="709" w:gutter="0"/>
          <w:cols w:space="708"/>
          <w:docGrid w:linePitch="360"/>
        </w:sectPr>
      </w:pPr>
    </w:p>
    <w:p w14:paraId="09B8D0A1" w14:textId="04E2CB08" w:rsidR="00CD6733" w:rsidRPr="00391D73" w:rsidRDefault="00CD6733" w:rsidP="00CD6733">
      <w:pPr>
        <w:rPr>
          <w:b/>
        </w:rPr>
      </w:pPr>
      <w:r w:rsidRPr="00391D73">
        <w:rPr>
          <w:b/>
        </w:rPr>
        <w:lastRenderedPageBreak/>
        <w:t>Příloha č. 5</w:t>
      </w:r>
      <w:r w:rsidR="008E1F05">
        <w:rPr>
          <w:b/>
        </w:rPr>
        <w:t>:</w:t>
      </w:r>
      <w:r w:rsidRPr="00391D73">
        <w:rPr>
          <w:b/>
        </w:rPr>
        <w:t xml:space="preserve"> Mezinárodní srovnání</w:t>
      </w:r>
    </w:p>
    <w:p w14:paraId="12287739" w14:textId="6F811E3D" w:rsidR="00CD6733" w:rsidRPr="00391D73" w:rsidRDefault="00CD6733" w:rsidP="00CD6733">
      <w:pPr>
        <w:spacing w:after="120"/>
      </w:pPr>
      <w:r w:rsidRPr="00391D73">
        <w:t>NKÚ v rámci mezinárodní spolupráce na projektu BIEP</w:t>
      </w:r>
      <w:r w:rsidRPr="00391D73">
        <w:rPr>
          <w:rStyle w:val="Znakapoznpodarou"/>
        </w:rPr>
        <w:footnoteReference w:id="71"/>
      </w:r>
      <w:r w:rsidRPr="00391D73">
        <w:t xml:space="preserve"> </w:t>
      </w:r>
      <w:r w:rsidR="00E72D84">
        <w:t>po</w:t>
      </w:r>
      <w:r w:rsidRPr="00391D73">
        <w:t>rovnal nastavení systémů a fungování správy nemovitého majetku a její informační podpory ve Slovenské republice (dále také „SK“), Maďarské republice (dále také „HU“) a ve Spojeném království (dále také „UK“). ČR, SK a HU měly v oblasti správy nemovitého majetku vzhledem k historickým okolnostem podobné výchozí pozice.</w:t>
      </w:r>
      <w:r w:rsidR="00E72D84">
        <w:t xml:space="preserve"> </w:t>
      </w:r>
      <w:r w:rsidRPr="00391D73">
        <w:t>Tyto tři státy postupně přistupují k základním krokům umožňujícím racionalizační rozhodnutí ve správě nemovitého majetku. Řada z těchto kroků byla již v UK realizována a umožňuje v posledních letech sledovat vybrané ukazatele výkonnosti nejen na</w:t>
      </w:r>
      <w:r w:rsidR="00E72D84">
        <w:t xml:space="preserve"> </w:t>
      </w:r>
      <w:r w:rsidRPr="00391D73">
        <w:t>úrovni celé státní správy, ale také na</w:t>
      </w:r>
      <w:r w:rsidR="00E72D84">
        <w:t xml:space="preserve"> </w:t>
      </w:r>
      <w:r w:rsidRPr="00391D73">
        <w:t>úrovni jednotlivých objektů. Srovnání systémů a fungování správy nemovitého majetku v jednotlivých zemích včetně informačních systémů využívaných v této oblasti je obsahem tabulky č. 1.</w:t>
      </w:r>
    </w:p>
    <w:p w14:paraId="35728B2B" w14:textId="47720F3C" w:rsidR="00CD6733" w:rsidRPr="00391D73" w:rsidRDefault="00CD6733" w:rsidP="00CD6733">
      <w:pPr>
        <w:spacing w:after="120"/>
      </w:pPr>
      <w:r w:rsidRPr="00391D73">
        <w:t>Vybrané země (ČR, SK, HU, UK) mají společný charakteristický znak správy nemovitého majetku státu, který odpovídá decentralizovanému systému. Tím se rozumí přístup založený na správě nemovitého majetku ze strany jednotlivých státních institucí, které zpravidla tyto objekty využívají pro svou potřebu. Na rozdíl od těchto tří středoevropských států UK realizovalo kroky k centralizaci správy nemovitého majetku</w:t>
      </w:r>
      <w:r w:rsidRPr="00391D73">
        <w:rPr>
          <w:rStyle w:val="Znakapoznpodarou"/>
        </w:rPr>
        <w:footnoteReference w:id="72"/>
      </w:r>
      <w:r w:rsidRPr="00391D73">
        <w:t xml:space="preserve"> skrze zřízenou vládní výkonnou agenturu – </w:t>
      </w:r>
      <w:r w:rsidRPr="00702837">
        <w:rPr>
          <w:i/>
        </w:rPr>
        <w:t>Government Property Agenc</w:t>
      </w:r>
      <w:r w:rsidRPr="00391D73">
        <w:t>y (dále také „GPA“), která by měla brzy zahájit činnost v plném rozsahu.</w:t>
      </w:r>
      <w:r w:rsidRPr="00391D73">
        <w:rPr>
          <w:rStyle w:val="Znakapoznpodarou"/>
        </w:rPr>
        <w:footnoteReference w:id="73"/>
      </w:r>
    </w:p>
    <w:p w14:paraId="0651B2B6" w14:textId="2C493BCA" w:rsidR="00CD6733" w:rsidRPr="00391D73" w:rsidRDefault="00CD6733" w:rsidP="00CD6733">
      <w:r w:rsidRPr="00391D73">
        <w:t xml:space="preserve">V ČR ani SK nebyla doposud přijata a implementována strategie správy nemovitého majetku, která by komplexně upravovala cíle, potřeby a vize státu v této oblasti. Přístup UK je v tomto </w:t>
      </w:r>
      <w:r w:rsidR="00E72D84">
        <w:t xml:space="preserve">ohledu </w:t>
      </w:r>
      <w:r w:rsidRPr="00391D73">
        <w:t>rozdílný, neboť otázky správy a využití nemovitého majetku státu a jeho optimalizaci řeší kontinuálně, o čemž svědčí řada strategických dokumentů a rozhodnutí přijatých v průběhu posledních let. V roce 2013 vláda UK přijala a v roce 2014 dále aktualizovala celostátní strategii vlastnictví a správy nemovitého majetku, která jako hlavní cíle uvádí racionalizaci portfolia nemovitého majetku, jeho modernizaci a snížení nákladů na</w:t>
      </w:r>
      <w:r w:rsidR="00E72D84">
        <w:t xml:space="preserve"> </w:t>
      </w:r>
      <w:r w:rsidRPr="00391D73">
        <w:t>jeho užívání, jakož i využívání majetku pro místní hospodářský růst a změnu fungování služeb ve státní správě skrze „smart working“</w:t>
      </w:r>
      <w:r w:rsidRPr="00391D73">
        <w:rPr>
          <w:rStyle w:val="Znakapoznpodarou"/>
        </w:rPr>
        <w:footnoteReference w:id="74"/>
      </w:r>
      <w:r w:rsidRPr="00391D73">
        <w:t>. Tuto strategii vypracovala Government Property Unit (dále také „GPU“), která je součástí Úřadu vlády UK a jejímž úkolem je vykonávat dohled nad nemovitým majetkem státu a přispívat k jeho efektivnímu,</w:t>
      </w:r>
      <w:r w:rsidR="00E72D84">
        <w:t xml:space="preserve"> </w:t>
      </w:r>
      <w:r w:rsidRPr="00391D73">
        <w:t>hospodárnému a účelnému využívání včetně nakládání s nepotřebným majetkem státu.</w:t>
      </w:r>
      <w:r w:rsidRPr="00391D73">
        <w:rPr>
          <w:rStyle w:val="Znakapoznpodarou"/>
        </w:rPr>
        <w:footnoteReference w:id="75"/>
      </w:r>
      <w:r w:rsidRPr="00391D73">
        <w:t xml:space="preserve"> </w:t>
      </w:r>
    </w:p>
    <w:p w14:paraId="0741AB8A" w14:textId="77777777" w:rsidR="00CD6733" w:rsidRPr="00391D73" w:rsidRDefault="00CD6733" w:rsidP="00CD6733">
      <w:pPr>
        <w:sectPr w:rsidR="00CD6733" w:rsidRPr="00391D73" w:rsidSect="00CD6733">
          <w:footerReference w:type="default" r:id="rId19"/>
          <w:headerReference w:type="first" r:id="rId20"/>
          <w:footerReference w:type="first" r:id="rId21"/>
          <w:pgSz w:w="11906" w:h="16838"/>
          <w:pgMar w:top="1418" w:right="1418" w:bottom="1418" w:left="1418" w:header="709" w:footer="709" w:gutter="0"/>
          <w:cols w:space="708"/>
          <w:titlePg/>
          <w:docGrid w:linePitch="360"/>
        </w:sectPr>
      </w:pPr>
    </w:p>
    <w:p w14:paraId="7D5E822E" w14:textId="77777777" w:rsidR="00CD6733" w:rsidRPr="00391D73" w:rsidRDefault="00CD6733" w:rsidP="00CD6733">
      <w:pPr>
        <w:spacing w:after="0"/>
        <w:rPr>
          <w:b/>
        </w:rPr>
      </w:pPr>
    </w:p>
    <w:p w14:paraId="2DB50FA1" w14:textId="139005C7" w:rsidR="00CD6733" w:rsidRPr="00391D73" w:rsidRDefault="00CD6733" w:rsidP="00CD6733">
      <w:pPr>
        <w:spacing w:after="0"/>
        <w:rPr>
          <w:b/>
        </w:rPr>
      </w:pPr>
      <w:r w:rsidRPr="00391D73">
        <w:rPr>
          <w:b/>
        </w:rPr>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6</w:t>
      </w:r>
      <w:r w:rsidRPr="00391D73">
        <w:rPr>
          <w:b/>
        </w:rPr>
        <w:fldChar w:fldCharType="end"/>
      </w:r>
      <w:r w:rsidRPr="00391D73">
        <w:rPr>
          <w:b/>
        </w:rPr>
        <w:t>: Srovnání systémů správy nemovitého majetku ve vybraných zemích</w:t>
      </w:r>
    </w:p>
    <w:tbl>
      <w:tblPr>
        <w:tblW w:w="14004" w:type="dxa"/>
        <w:tblInd w:w="75" w:type="dxa"/>
        <w:tblCellMar>
          <w:left w:w="70" w:type="dxa"/>
          <w:right w:w="70" w:type="dxa"/>
        </w:tblCellMar>
        <w:tblLook w:val="04A0" w:firstRow="1" w:lastRow="0" w:firstColumn="1" w:lastColumn="0" w:noHBand="0" w:noVBand="1"/>
      </w:tblPr>
      <w:tblGrid>
        <w:gridCol w:w="3628"/>
        <w:gridCol w:w="3402"/>
        <w:gridCol w:w="2494"/>
        <w:gridCol w:w="1928"/>
        <w:gridCol w:w="2552"/>
      </w:tblGrid>
      <w:tr w:rsidR="00CD6733" w:rsidRPr="00391D73" w14:paraId="07105080" w14:textId="77777777" w:rsidTr="00485182">
        <w:trPr>
          <w:trHeight w:val="20"/>
        </w:trPr>
        <w:tc>
          <w:tcPr>
            <w:tcW w:w="3628"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14:paraId="16256324" w14:textId="77777777" w:rsidR="00CD6733" w:rsidRPr="00391D73" w:rsidRDefault="00CD6733" w:rsidP="00CD6733">
            <w:pPr>
              <w:spacing w:before="60" w:after="60" w:line="240" w:lineRule="auto"/>
              <w:jc w:val="center"/>
              <w:rPr>
                <w:rFonts w:cstheme="minorHAnsi"/>
                <w:b/>
                <w:bCs/>
                <w:color w:val="000000"/>
                <w:sz w:val="20"/>
                <w:szCs w:val="20"/>
                <w:lang w:eastAsia="cs-CZ"/>
              </w:rPr>
            </w:pPr>
            <w:r w:rsidRPr="00391D73">
              <w:rPr>
                <w:rFonts w:cstheme="minorHAnsi"/>
                <w:b/>
                <w:bCs/>
                <w:color w:val="000000"/>
                <w:sz w:val="20"/>
                <w:szCs w:val="20"/>
                <w:lang w:eastAsia="cs-CZ"/>
              </w:rPr>
              <w:t>Posuzovaná oblast</w:t>
            </w:r>
          </w:p>
        </w:tc>
        <w:tc>
          <w:tcPr>
            <w:tcW w:w="3402" w:type="dxa"/>
            <w:tcBorders>
              <w:top w:val="single" w:sz="4" w:space="0" w:color="auto"/>
              <w:left w:val="nil"/>
              <w:bottom w:val="single" w:sz="4" w:space="0" w:color="auto"/>
              <w:right w:val="single" w:sz="4" w:space="0" w:color="auto"/>
            </w:tcBorders>
            <w:shd w:val="clear" w:color="auto" w:fill="E5F1FF"/>
            <w:noWrap/>
            <w:vAlign w:val="center"/>
            <w:hideMark/>
          </w:tcPr>
          <w:p w14:paraId="335912C7" w14:textId="77777777" w:rsidR="00CD6733" w:rsidRPr="00391D73" w:rsidRDefault="00CD6733" w:rsidP="00CD6733">
            <w:pPr>
              <w:spacing w:before="60" w:after="60" w:line="240" w:lineRule="auto"/>
              <w:jc w:val="center"/>
              <w:rPr>
                <w:rFonts w:cstheme="minorHAnsi"/>
                <w:b/>
                <w:bCs/>
                <w:color w:val="000000"/>
                <w:sz w:val="20"/>
                <w:szCs w:val="20"/>
                <w:lang w:eastAsia="cs-CZ"/>
              </w:rPr>
            </w:pPr>
            <w:r w:rsidRPr="00391D73">
              <w:rPr>
                <w:rFonts w:cstheme="minorHAnsi"/>
                <w:b/>
                <w:bCs/>
                <w:color w:val="000000"/>
                <w:sz w:val="20"/>
                <w:szCs w:val="20"/>
                <w:lang w:eastAsia="cs-CZ"/>
              </w:rPr>
              <w:t>Česká republika</w:t>
            </w:r>
          </w:p>
        </w:tc>
        <w:tc>
          <w:tcPr>
            <w:tcW w:w="2494" w:type="dxa"/>
            <w:tcBorders>
              <w:top w:val="single" w:sz="4" w:space="0" w:color="auto"/>
              <w:left w:val="nil"/>
              <w:bottom w:val="single" w:sz="4" w:space="0" w:color="auto"/>
              <w:right w:val="single" w:sz="4" w:space="0" w:color="auto"/>
            </w:tcBorders>
            <w:shd w:val="clear" w:color="auto" w:fill="E5F1FF"/>
            <w:vAlign w:val="center"/>
          </w:tcPr>
          <w:p w14:paraId="7B3226B2" w14:textId="77777777" w:rsidR="00CD6733" w:rsidRPr="00391D73" w:rsidRDefault="00CD6733" w:rsidP="00CD6733">
            <w:pPr>
              <w:spacing w:before="60" w:after="60" w:line="240" w:lineRule="auto"/>
              <w:jc w:val="center"/>
              <w:rPr>
                <w:rFonts w:cstheme="minorHAnsi"/>
                <w:b/>
                <w:bCs/>
                <w:color w:val="000000"/>
                <w:sz w:val="20"/>
                <w:szCs w:val="20"/>
                <w:lang w:eastAsia="cs-CZ"/>
              </w:rPr>
            </w:pPr>
            <w:r w:rsidRPr="00391D73">
              <w:rPr>
                <w:rFonts w:cstheme="minorHAnsi"/>
                <w:b/>
                <w:bCs/>
                <w:color w:val="000000"/>
                <w:sz w:val="20"/>
                <w:szCs w:val="20"/>
                <w:lang w:eastAsia="cs-CZ"/>
              </w:rPr>
              <w:t>Slovenská republika</w:t>
            </w:r>
          </w:p>
        </w:tc>
        <w:tc>
          <w:tcPr>
            <w:tcW w:w="1928" w:type="dxa"/>
            <w:tcBorders>
              <w:top w:val="single" w:sz="4" w:space="0" w:color="auto"/>
              <w:left w:val="nil"/>
              <w:bottom w:val="single" w:sz="4" w:space="0" w:color="auto"/>
              <w:right w:val="single" w:sz="4" w:space="0" w:color="auto"/>
            </w:tcBorders>
            <w:shd w:val="clear" w:color="auto" w:fill="E5F1FF"/>
            <w:vAlign w:val="center"/>
          </w:tcPr>
          <w:p w14:paraId="4E0362AA" w14:textId="77777777" w:rsidR="00CD6733" w:rsidRPr="00391D73" w:rsidRDefault="00CD6733" w:rsidP="00CD6733">
            <w:pPr>
              <w:spacing w:before="60" w:after="60" w:line="240" w:lineRule="auto"/>
              <w:jc w:val="center"/>
              <w:rPr>
                <w:rFonts w:cstheme="minorHAnsi"/>
                <w:b/>
                <w:bCs/>
                <w:color w:val="000000"/>
                <w:sz w:val="20"/>
                <w:szCs w:val="20"/>
                <w:lang w:eastAsia="cs-CZ"/>
              </w:rPr>
            </w:pPr>
            <w:r w:rsidRPr="00391D73">
              <w:rPr>
                <w:rFonts w:cstheme="minorHAnsi"/>
                <w:b/>
                <w:bCs/>
                <w:color w:val="000000"/>
                <w:sz w:val="20"/>
                <w:szCs w:val="20"/>
                <w:lang w:eastAsia="cs-CZ"/>
              </w:rPr>
              <w:t>Maďarská republika</w:t>
            </w:r>
          </w:p>
        </w:tc>
        <w:tc>
          <w:tcPr>
            <w:tcW w:w="2552" w:type="dxa"/>
            <w:tcBorders>
              <w:top w:val="single" w:sz="4" w:space="0" w:color="auto"/>
              <w:left w:val="nil"/>
              <w:bottom w:val="single" w:sz="4" w:space="0" w:color="auto"/>
              <w:right w:val="single" w:sz="4" w:space="0" w:color="auto"/>
            </w:tcBorders>
            <w:shd w:val="clear" w:color="auto" w:fill="E5F1FF"/>
            <w:vAlign w:val="center"/>
          </w:tcPr>
          <w:p w14:paraId="72ECF217" w14:textId="77777777" w:rsidR="00CD6733" w:rsidRPr="00391D73" w:rsidRDefault="00CD6733" w:rsidP="00CD6733">
            <w:pPr>
              <w:spacing w:before="60" w:after="60" w:line="240" w:lineRule="auto"/>
              <w:jc w:val="center"/>
              <w:rPr>
                <w:rFonts w:cstheme="minorHAnsi"/>
                <w:b/>
                <w:bCs/>
                <w:color w:val="000000"/>
                <w:sz w:val="20"/>
                <w:szCs w:val="20"/>
                <w:lang w:eastAsia="cs-CZ"/>
              </w:rPr>
            </w:pPr>
            <w:r w:rsidRPr="00391D73">
              <w:rPr>
                <w:rFonts w:cstheme="minorHAnsi"/>
                <w:b/>
                <w:bCs/>
                <w:color w:val="000000"/>
                <w:sz w:val="20"/>
                <w:szCs w:val="20"/>
                <w:lang w:eastAsia="cs-CZ"/>
              </w:rPr>
              <w:t xml:space="preserve">Spojené království </w:t>
            </w:r>
          </w:p>
        </w:tc>
      </w:tr>
      <w:tr w:rsidR="00CD6733" w:rsidRPr="00391D73" w14:paraId="48F1590C" w14:textId="77777777" w:rsidTr="00485182">
        <w:trPr>
          <w:trHeight w:val="20"/>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CE098" w14:textId="173A50C7" w:rsidR="00CD6733" w:rsidRPr="00391D73" w:rsidRDefault="00485182" w:rsidP="00CD6733">
            <w:pPr>
              <w:spacing w:before="60" w:after="60" w:line="240" w:lineRule="auto"/>
              <w:jc w:val="left"/>
              <w:rPr>
                <w:rFonts w:cstheme="minorHAnsi"/>
                <w:b/>
                <w:color w:val="000000"/>
                <w:sz w:val="20"/>
                <w:szCs w:val="20"/>
                <w:lang w:eastAsia="cs-CZ"/>
              </w:rPr>
            </w:pPr>
            <w:r>
              <w:rPr>
                <w:rFonts w:cstheme="minorHAnsi"/>
                <w:b/>
                <w:color w:val="000000"/>
                <w:sz w:val="20"/>
                <w:szCs w:val="20"/>
                <w:lang w:eastAsia="cs-CZ"/>
              </w:rPr>
              <w:t>C</w:t>
            </w:r>
            <w:r w:rsidR="00CD6733" w:rsidRPr="00391D73">
              <w:rPr>
                <w:rFonts w:cstheme="minorHAnsi"/>
                <w:b/>
                <w:color w:val="000000"/>
                <w:sz w:val="20"/>
                <w:szCs w:val="20"/>
                <w:lang w:eastAsia="cs-CZ"/>
              </w:rPr>
              <w:t>entralizace správy nemovitého majetku</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570F37E" w14:textId="33399F96"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2494" w:type="dxa"/>
            <w:tcBorders>
              <w:top w:val="single" w:sz="4" w:space="0" w:color="auto"/>
              <w:left w:val="nil"/>
              <w:bottom w:val="single" w:sz="4" w:space="0" w:color="auto"/>
              <w:right w:val="single" w:sz="4" w:space="0" w:color="auto"/>
            </w:tcBorders>
            <w:vAlign w:val="center"/>
          </w:tcPr>
          <w:p w14:paraId="093A2588" w14:textId="44AC074C"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1928" w:type="dxa"/>
            <w:tcBorders>
              <w:top w:val="single" w:sz="4" w:space="0" w:color="auto"/>
              <w:left w:val="nil"/>
              <w:bottom w:val="single" w:sz="4" w:space="0" w:color="auto"/>
              <w:right w:val="single" w:sz="4" w:space="0" w:color="auto"/>
            </w:tcBorders>
            <w:vAlign w:val="center"/>
          </w:tcPr>
          <w:p w14:paraId="16BE9685" w14:textId="16A0C53B"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2552" w:type="dxa"/>
            <w:tcBorders>
              <w:top w:val="single" w:sz="4" w:space="0" w:color="auto"/>
              <w:left w:val="nil"/>
              <w:bottom w:val="single" w:sz="4" w:space="0" w:color="auto"/>
              <w:right w:val="single" w:sz="4" w:space="0" w:color="auto"/>
            </w:tcBorders>
            <w:vAlign w:val="center"/>
          </w:tcPr>
          <w:p w14:paraId="28A12411" w14:textId="30BB1B03"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V</w:t>
            </w:r>
            <w:r w:rsidR="00CD6733" w:rsidRPr="00391D73">
              <w:rPr>
                <w:rFonts w:cstheme="minorHAnsi"/>
                <w:color w:val="000000"/>
                <w:sz w:val="20"/>
                <w:szCs w:val="20"/>
                <w:lang w:eastAsia="cs-CZ"/>
              </w:rPr>
              <w:t xml:space="preserve"> realizaci</w:t>
            </w:r>
          </w:p>
        </w:tc>
      </w:tr>
      <w:tr w:rsidR="00CD6733" w:rsidRPr="00391D73" w14:paraId="7887B722"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6DF1F607" w14:textId="15080CDF" w:rsidR="00CD6733" w:rsidRPr="00391D73" w:rsidRDefault="00485182" w:rsidP="00CD6733">
            <w:pPr>
              <w:spacing w:before="60" w:after="60" w:line="240" w:lineRule="auto"/>
              <w:jc w:val="left"/>
              <w:rPr>
                <w:rFonts w:cstheme="minorHAnsi"/>
                <w:b/>
                <w:color w:val="000000"/>
                <w:sz w:val="20"/>
                <w:szCs w:val="20"/>
                <w:lang w:eastAsia="cs-CZ"/>
              </w:rPr>
            </w:pPr>
            <w:r>
              <w:rPr>
                <w:rFonts w:cstheme="minorHAnsi"/>
                <w:b/>
                <w:color w:val="000000"/>
                <w:sz w:val="20"/>
                <w:szCs w:val="20"/>
                <w:lang w:eastAsia="cs-CZ"/>
              </w:rPr>
              <w:t>O</w:t>
            </w:r>
            <w:r w:rsidR="00CD6733" w:rsidRPr="00391D73">
              <w:rPr>
                <w:rFonts w:cstheme="minorHAnsi"/>
                <w:b/>
                <w:color w:val="000000"/>
                <w:sz w:val="20"/>
                <w:szCs w:val="20"/>
                <w:lang w:eastAsia="cs-CZ"/>
              </w:rPr>
              <w:t>rganizace přispívající ke/podílející se na rozhodnutí o správě nemovitého majetku na centrální úrovni</w:t>
            </w:r>
          </w:p>
        </w:tc>
        <w:tc>
          <w:tcPr>
            <w:tcW w:w="3402" w:type="dxa"/>
            <w:tcBorders>
              <w:top w:val="nil"/>
              <w:left w:val="nil"/>
              <w:bottom w:val="single" w:sz="4" w:space="0" w:color="auto"/>
              <w:right w:val="single" w:sz="4" w:space="0" w:color="auto"/>
            </w:tcBorders>
            <w:shd w:val="clear" w:color="auto" w:fill="auto"/>
            <w:noWrap/>
            <w:vAlign w:val="center"/>
            <w:hideMark/>
          </w:tcPr>
          <w:p w14:paraId="76784E1F"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VDK,RDK, ÚZSVM</w:t>
            </w:r>
          </w:p>
        </w:tc>
        <w:tc>
          <w:tcPr>
            <w:tcW w:w="2494" w:type="dxa"/>
            <w:tcBorders>
              <w:top w:val="nil"/>
              <w:left w:val="nil"/>
              <w:bottom w:val="single" w:sz="4" w:space="0" w:color="auto"/>
              <w:right w:val="single" w:sz="4" w:space="0" w:color="auto"/>
            </w:tcBorders>
            <w:vAlign w:val="center"/>
          </w:tcPr>
          <w:p w14:paraId="0059E48A" w14:textId="70E28520"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Ž</w:t>
            </w:r>
            <w:r w:rsidR="00CD6733" w:rsidRPr="00391D73">
              <w:rPr>
                <w:rFonts w:cstheme="minorHAnsi"/>
                <w:color w:val="000000"/>
                <w:sz w:val="20"/>
                <w:szCs w:val="20"/>
                <w:lang w:eastAsia="cs-CZ"/>
              </w:rPr>
              <w:t>ádné</w:t>
            </w:r>
          </w:p>
        </w:tc>
        <w:tc>
          <w:tcPr>
            <w:tcW w:w="1928" w:type="dxa"/>
            <w:tcBorders>
              <w:top w:val="nil"/>
              <w:left w:val="nil"/>
              <w:bottom w:val="single" w:sz="4" w:space="0" w:color="auto"/>
              <w:right w:val="single" w:sz="4" w:space="0" w:color="auto"/>
            </w:tcBorders>
            <w:vAlign w:val="center"/>
          </w:tcPr>
          <w:p w14:paraId="13A13D8E" w14:textId="3D1A0CB8"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2552" w:type="dxa"/>
            <w:tcBorders>
              <w:top w:val="nil"/>
              <w:left w:val="nil"/>
              <w:bottom w:val="single" w:sz="4" w:space="0" w:color="auto"/>
              <w:right w:val="single" w:sz="4" w:space="0" w:color="auto"/>
            </w:tcBorders>
            <w:vAlign w:val="center"/>
          </w:tcPr>
          <w:p w14:paraId="2BC325A3"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GPU, GPA</w:t>
            </w:r>
          </w:p>
        </w:tc>
      </w:tr>
      <w:tr w:rsidR="00CD6733" w:rsidRPr="00391D73" w14:paraId="4F6E6BBF"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09898C5D" w14:textId="2B66BE7E" w:rsidR="00CD6733" w:rsidRPr="00391D73" w:rsidRDefault="00485182" w:rsidP="00CD6733">
            <w:pPr>
              <w:spacing w:before="60" w:after="60" w:line="240" w:lineRule="auto"/>
              <w:jc w:val="left"/>
              <w:rPr>
                <w:rFonts w:cstheme="minorHAnsi"/>
                <w:b/>
                <w:color w:val="000000"/>
                <w:sz w:val="20"/>
                <w:szCs w:val="20"/>
                <w:lang w:eastAsia="cs-CZ"/>
              </w:rPr>
            </w:pPr>
            <w:r>
              <w:rPr>
                <w:rFonts w:cstheme="minorHAnsi"/>
                <w:b/>
                <w:color w:val="000000"/>
                <w:sz w:val="20"/>
                <w:szCs w:val="20"/>
                <w:lang w:eastAsia="cs-CZ"/>
              </w:rPr>
              <w:t>O</w:t>
            </w:r>
            <w:r w:rsidR="00CD6733" w:rsidRPr="00391D73">
              <w:rPr>
                <w:rFonts w:cstheme="minorHAnsi"/>
                <w:b/>
                <w:color w:val="000000"/>
                <w:sz w:val="20"/>
                <w:szCs w:val="20"/>
                <w:lang w:eastAsia="cs-CZ"/>
              </w:rPr>
              <w:t>rganizace spravující nemovitý majetek</w:t>
            </w:r>
          </w:p>
        </w:tc>
        <w:tc>
          <w:tcPr>
            <w:tcW w:w="3402" w:type="dxa"/>
            <w:tcBorders>
              <w:top w:val="nil"/>
              <w:left w:val="nil"/>
              <w:bottom w:val="single" w:sz="4" w:space="0" w:color="auto"/>
              <w:right w:val="single" w:sz="4" w:space="0" w:color="auto"/>
            </w:tcBorders>
            <w:shd w:val="clear" w:color="auto" w:fill="auto"/>
            <w:noWrap/>
            <w:vAlign w:val="center"/>
            <w:hideMark/>
          </w:tcPr>
          <w:p w14:paraId="7CDA8CBF" w14:textId="1FA6C4D6" w:rsidR="00CD6733" w:rsidRPr="00391D73" w:rsidRDefault="00485182" w:rsidP="00CD6733">
            <w:pPr>
              <w:spacing w:before="60" w:after="60" w:line="240" w:lineRule="auto"/>
              <w:jc w:val="left"/>
              <w:rPr>
                <w:rFonts w:cstheme="minorHAnsi"/>
                <w:color w:val="000000"/>
                <w:sz w:val="20"/>
                <w:szCs w:val="20"/>
                <w:highlight w:val="yellow"/>
                <w:lang w:eastAsia="cs-CZ"/>
              </w:rPr>
            </w:pPr>
            <w:r>
              <w:rPr>
                <w:rFonts w:cstheme="minorHAnsi"/>
                <w:color w:val="000000"/>
                <w:sz w:val="20"/>
                <w:szCs w:val="20"/>
                <w:lang w:eastAsia="cs-CZ"/>
              </w:rPr>
              <w:t>S</w:t>
            </w:r>
            <w:r w:rsidR="00CD6733" w:rsidRPr="00391D73">
              <w:rPr>
                <w:rFonts w:cstheme="minorHAnsi"/>
                <w:color w:val="000000"/>
                <w:sz w:val="20"/>
                <w:szCs w:val="20"/>
                <w:lang w:eastAsia="cs-CZ"/>
              </w:rPr>
              <w:t>tátní instituce, ÚZSVM</w:t>
            </w:r>
          </w:p>
        </w:tc>
        <w:tc>
          <w:tcPr>
            <w:tcW w:w="2494" w:type="dxa"/>
            <w:tcBorders>
              <w:top w:val="nil"/>
              <w:left w:val="nil"/>
              <w:bottom w:val="single" w:sz="4" w:space="0" w:color="auto"/>
              <w:right w:val="single" w:sz="4" w:space="0" w:color="auto"/>
            </w:tcBorders>
            <w:vAlign w:val="center"/>
          </w:tcPr>
          <w:p w14:paraId="675667BB" w14:textId="5BDA1025"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S</w:t>
            </w:r>
            <w:r w:rsidR="00CD6733" w:rsidRPr="00391D73">
              <w:rPr>
                <w:rFonts w:cstheme="minorHAnsi"/>
                <w:color w:val="000000"/>
                <w:sz w:val="20"/>
                <w:szCs w:val="20"/>
                <w:lang w:eastAsia="cs-CZ"/>
              </w:rPr>
              <w:t>tátní instituce</w:t>
            </w:r>
          </w:p>
        </w:tc>
        <w:tc>
          <w:tcPr>
            <w:tcW w:w="1928" w:type="dxa"/>
            <w:tcBorders>
              <w:top w:val="nil"/>
              <w:left w:val="nil"/>
              <w:bottom w:val="single" w:sz="4" w:space="0" w:color="auto"/>
              <w:right w:val="single" w:sz="4" w:space="0" w:color="auto"/>
            </w:tcBorders>
            <w:vAlign w:val="center"/>
          </w:tcPr>
          <w:p w14:paraId="78D663F2" w14:textId="57AA4371"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S</w:t>
            </w:r>
            <w:r w:rsidR="00CD6733" w:rsidRPr="00391D73">
              <w:rPr>
                <w:rFonts w:cstheme="minorHAnsi"/>
                <w:color w:val="000000"/>
                <w:sz w:val="20"/>
                <w:szCs w:val="20"/>
                <w:lang w:eastAsia="cs-CZ"/>
              </w:rPr>
              <w:t>tátní instituce</w:t>
            </w:r>
          </w:p>
        </w:tc>
        <w:tc>
          <w:tcPr>
            <w:tcW w:w="2552" w:type="dxa"/>
            <w:tcBorders>
              <w:top w:val="nil"/>
              <w:left w:val="nil"/>
              <w:bottom w:val="single" w:sz="4" w:space="0" w:color="auto"/>
              <w:right w:val="single" w:sz="4" w:space="0" w:color="auto"/>
            </w:tcBorders>
            <w:vAlign w:val="center"/>
          </w:tcPr>
          <w:p w14:paraId="53C53426" w14:textId="39EA2463"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S</w:t>
            </w:r>
            <w:r w:rsidR="00CD6733" w:rsidRPr="00391D73">
              <w:rPr>
                <w:rFonts w:cstheme="minorHAnsi"/>
                <w:color w:val="000000"/>
                <w:sz w:val="20"/>
                <w:szCs w:val="20"/>
                <w:lang w:eastAsia="cs-CZ"/>
              </w:rPr>
              <w:t>tátní instituce, GPA</w:t>
            </w:r>
          </w:p>
        </w:tc>
      </w:tr>
      <w:tr w:rsidR="00CD6733" w:rsidRPr="00391D73" w14:paraId="24D3F754"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5A286556" w14:textId="77777777" w:rsidR="00CD6733" w:rsidRPr="00391D73" w:rsidRDefault="00CD6733" w:rsidP="00CD6733">
            <w:pPr>
              <w:spacing w:before="60" w:after="60" w:line="240" w:lineRule="auto"/>
              <w:jc w:val="left"/>
              <w:rPr>
                <w:rFonts w:cstheme="minorHAnsi"/>
                <w:b/>
                <w:color w:val="000000"/>
                <w:sz w:val="20"/>
                <w:szCs w:val="20"/>
                <w:lang w:eastAsia="cs-CZ"/>
              </w:rPr>
            </w:pPr>
            <w:r w:rsidRPr="00391D73">
              <w:rPr>
                <w:rFonts w:cstheme="minorHAnsi"/>
                <w:b/>
                <w:color w:val="000000"/>
                <w:sz w:val="20"/>
                <w:szCs w:val="20"/>
                <w:lang w:eastAsia="cs-CZ"/>
              </w:rPr>
              <w:t>strategie v oblasti správy nemovitého majetku</w:t>
            </w:r>
          </w:p>
        </w:tc>
        <w:tc>
          <w:tcPr>
            <w:tcW w:w="3402" w:type="dxa"/>
            <w:tcBorders>
              <w:top w:val="nil"/>
              <w:left w:val="nil"/>
              <w:bottom w:val="single" w:sz="4" w:space="0" w:color="auto"/>
              <w:right w:val="single" w:sz="4" w:space="0" w:color="auto"/>
            </w:tcBorders>
            <w:shd w:val="clear" w:color="auto" w:fill="auto"/>
            <w:noWrap/>
            <w:vAlign w:val="center"/>
            <w:hideMark/>
          </w:tcPr>
          <w:p w14:paraId="5AC4841C" w14:textId="6682B7BD"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2494" w:type="dxa"/>
            <w:tcBorders>
              <w:top w:val="nil"/>
              <w:left w:val="nil"/>
              <w:bottom w:val="single" w:sz="4" w:space="0" w:color="auto"/>
              <w:right w:val="single" w:sz="4" w:space="0" w:color="auto"/>
            </w:tcBorders>
            <w:vAlign w:val="center"/>
          </w:tcPr>
          <w:p w14:paraId="400D0747" w14:textId="3FCFBC54"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1928" w:type="dxa"/>
            <w:tcBorders>
              <w:top w:val="nil"/>
              <w:left w:val="nil"/>
              <w:bottom w:val="single" w:sz="4" w:space="0" w:color="auto"/>
              <w:right w:val="single" w:sz="4" w:space="0" w:color="auto"/>
            </w:tcBorders>
            <w:vAlign w:val="center"/>
          </w:tcPr>
          <w:p w14:paraId="4EDD1837" w14:textId="1F78C739"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ezjištěno</w:t>
            </w:r>
          </w:p>
        </w:tc>
        <w:tc>
          <w:tcPr>
            <w:tcW w:w="2552" w:type="dxa"/>
            <w:tcBorders>
              <w:top w:val="nil"/>
              <w:left w:val="nil"/>
              <w:bottom w:val="single" w:sz="4" w:space="0" w:color="auto"/>
              <w:right w:val="single" w:sz="4" w:space="0" w:color="auto"/>
            </w:tcBorders>
            <w:vAlign w:val="center"/>
          </w:tcPr>
          <w:p w14:paraId="12F6E5A0" w14:textId="777F8DFA"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A</w:t>
            </w:r>
            <w:r w:rsidR="00CD6733" w:rsidRPr="00391D73">
              <w:rPr>
                <w:rFonts w:cstheme="minorHAnsi"/>
                <w:color w:val="000000"/>
                <w:sz w:val="20"/>
                <w:szCs w:val="20"/>
                <w:lang w:eastAsia="cs-CZ"/>
              </w:rPr>
              <w:t>no</w:t>
            </w:r>
          </w:p>
        </w:tc>
      </w:tr>
      <w:tr w:rsidR="00CD6733" w:rsidRPr="00391D73" w14:paraId="736EE875"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72C420F0" w14:textId="73769977" w:rsidR="00CD6733" w:rsidRPr="00391D73" w:rsidRDefault="00485182" w:rsidP="00CD6733">
            <w:pPr>
              <w:spacing w:before="60" w:after="60" w:line="240" w:lineRule="auto"/>
              <w:jc w:val="left"/>
              <w:rPr>
                <w:rFonts w:cstheme="minorHAnsi"/>
                <w:b/>
                <w:color w:val="000000"/>
                <w:sz w:val="20"/>
                <w:szCs w:val="20"/>
                <w:lang w:eastAsia="cs-CZ"/>
              </w:rPr>
            </w:pPr>
            <w:r>
              <w:rPr>
                <w:rFonts w:cstheme="minorHAnsi"/>
                <w:b/>
                <w:color w:val="000000"/>
                <w:sz w:val="20"/>
                <w:szCs w:val="20"/>
                <w:lang w:eastAsia="cs-CZ"/>
              </w:rPr>
              <w:t>C</w:t>
            </w:r>
            <w:r w:rsidR="00CD6733" w:rsidRPr="00391D73">
              <w:rPr>
                <w:rFonts w:cstheme="minorHAnsi"/>
                <w:b/>
                <w:color w:val="000000"/>
                <w:sz w:val="20"/>
                <w:szCs w:val="20"/>
                <w:lang w:eastAsia="cs-CZ"/>
              </w:rPr>
              <w:t>entralizace správy nepotřebného nemovitého majetku</w:t>
            </w:r>
          </w:p>
        </w:tc>
        <w:tc>
          <w:tcPr>
            <w:tcW w:w="3402" w:type="dxa"/>
            <w:tcBorders>
              <w:top w:val="nil"/>
              <w:left w:val="nil"/>
              <w:bottom w:val="single" w:sz="4" w:space="0" w:color="auto"/>
              <w:right w:val="single" w:sz="4" w:space="0" w:color="auto"/>
            </w:tcBorders>
            <w:shd w:val="clear" w:color="auto" w:fill="auto"/>
            <w:noWrap/>
            <w:vAlign w:val="center"/>
            <w:hideMark/>
          </w:tcPr>
          <w:p w14:paraId="693085B4"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Ano, u ÚZSVM dle § 19b zákona č. 219/2000 Sb.</w:t>
            </w:r>
          </w:p>
        </w:tc>
        <w:tc>
          <w:tcPr>
            <w:tcW w:w="2494" w:type="dxa"/>
            <w:tcBorders>
              <w:top w:val="nil"/>
              <w:left w:val="nil"/>
              <w:bottom w:val="single" w:sz="4" w:space="0" w:color="auto"/>
              <w:right w:val="single" w:sz="4" w:space="0" w:color="auto"/>
            </w:tcBorders>
            <w:vAlign w:val="center"/>
          </w:tcPr>
          <w:p w14:paraId="0586479A"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 xml:space="preserve">Ne, pouze centrální evidence nepotřebného nemovitého majetku (ROPK) </w:t>
            </w:r>
          </w:p>
        </w:tc>
        <w:tc>
          <w:tcPr>
            <w:tcW w:w="1928" w:type="dxa"/>
            <w:tcBorders>
              <w:top w:val="nil"/>
              <w:left w:val="nil"/>
              <w:bottom w:val="single" w:sz="4" w:space="0" w:color="auto"/>
              <w:right w:val="single" w:sz="4" w:space="0" w:color="auto"/>
            </w:tcBorders>
            <w:vAlign w:val="center"/>
          </w:tcPr>
          <w:p w14:paraId="0B758011" w14:textId="27EA6EEE"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2552" w:type="dxa"/>
            <w:tcBorders>
              <w:top w:val="nil"/>
              <w:left w:val="nil"/>
              <w:bottom w:val="single" w:sz="4" w:space="0" w:color="auto"/>
              <w:right w:val="single" w:sz="4" w:space="0" w:color="auto"/>
            </w:tcBorders>
            <w:vAlign w:val="center"/>
          </w:tcPr>
          <w:p w14:paraId="35BECA98"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 xml:space="preserve">Ne, pouze centrální evidence nepotřebného nemovitého majetku (e-nástroj </w:t>
            </w:r>
            <w:r w:rsidRPr="00702837">
              <w:rPr>
                <w:rFonts w:cstheme="minorHAnsi"/>
                <w:i/>
                <w:color w:val="000000"/>
                <w:sz w:val="20"/>
                <w:szCs w:val="20"/>
                <w:lang w:eastAsia="cs-CZ"/>
              </w:rPr>
              <w:t>Government Property Finder</w:t>
            </w:r>
            <w:r w:rsidRPr="00391D73">
              <w:rPr>
                <w:rFonts w:cstheme="minorHAnsi"/>
                <w:color w:val="000000"/>
                <w:sz w:val="20"/>
                <w:szCs w:val="20"/>
                <w:lang w:eastAsia="cs-CZ"/>
              </w:rPr>
              <w:t>)</w:t>
            </w:r>
          </w:p>
        </w:tc>
      </w:tr>
      <w:tr w:rsidR="00CD6733" w:rsidRPr="00391D73" w14:paraId="2708B346"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00D8B609" w14:textId="67AE6E4F" w:rsidR="00CD6733" w:rsidRPr="00391D73" w:rsidRDefault="00485182" w:rsidP="00CD6733">
            <w:pPr>
              <w:spacing w:before="60" w:after="60" w:line="240" w:lineRule="auto"/>
              <w:jc w:val="left"/>
              <w:rPr>
                <w:rFonts w:cstheme="minorHAnsi"/>
                <w:b/>
                <w:color w:val="000000"/>
                <w:sz w:val="20"/>
                <w:szCs w:val="20"/>
                <w:lang w:eastAsia="cs-CZ"/>
              </w:rPr>
            </w:pPr>
            <w:r>
              <w:rPr>
                <w:rFonts w:cstheme="minorHAnsi"/>
                <w:b/>
                <w:color w:val="000000"/>
                <w:sz w:val="20"/>
                <w:szCs w:val="20"/>
                <w:lang w:eastAsia="cs-CZ"/>
              </w:rPr>
              <w:t>N</w:t>
            </w:r>
            <w:r w:rsidR="00CD6733" w:rsidRPr="00391D73">
              <w:rPr>
                <w:rFonts w:cstheme="minorHAnsi"/>
                <w:b/>
                <w:color w:val="000000"/>
                <w:sz w:val="20"/>
                <w:szCs w:val="20"/>
                <w:lang w:eastAsia="cs-CZ"/>
              </w:rPr>
              <w:t>abídka nepotřebného nemovitého majetku</w:t>
            </w:r>
          </w:p>
        </w:tc>
        <w:tc>
          <w:tcPr>
            <w:tcW w:w="3402" w:type="dxa"/>
            <w:tcBorders>
              <w:top w:val="nil"/>
              <w:left w:val="nil"/>
              <w:bottom w:val="single" w:sz="4" w:space="0" w:color="auto"/>
              <w:right w:val="single" w:sz="4" w:space="0" w:color="auto"/>
            </w:tcBorders>
            <w:shd w:val="clear" w:color="auto" w:fill="auto"/>
            <w:noWrap/>
            <w:vAlign w:val="center"/>
            <w:hideMark/>
          </w:tcPr>
          <w:p w14:paraId="14CC2F8B"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 xml:space="preserve">Majetek evidovaný v CRAB je jiným SI nabízen v CRAB. Jiný neevidovaný v CRAB je nabízen na stránkách ÚZSVM dle § 19c zákona č. 219/2000 Sb. </w:t>
            </w:r>
          </w:p>
        </w:tc>
        <w:tc>
          <w:tcPr>
            <w:tcW w:w="2494" w:type="dxa"/>
            <w:tcBorders>
              <w:top w:val="nil"/>
              <w:left w:val="nil"/>
              <w:bottom w:val="single" w:sz="4" w:space="0" w:color="auto"/>
              <w:right w:val="single" w:sz="4" w:space="0" w:color="auto"/>
            </w:tcBorders>
            <w:vAlign w:val="center"/>
          </w:tcPr>
          <w:p w14:paraId="7848AAC8"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ROPK</w:t>
            </w:r>
          </w:p>
        </w:tc>
        <w:tc>
          <w:tcPr>
            <w:tcW w:w="1928" w:type="dxa"/>
            <w:tcBorders>
              <w:top w:val="nil"/>
              <w:left w:val="nil"/>
              <w:bottom w:val="single" w:sz="4" w:space="0" w:color="auto"/>
              <w:right w:val="single" w:sz="4" w:space="0" w:color="auto"/>
            </w:tcBorders>
            <w:vAlign w:val="center"/>
          </w:tcPr>
          <w:p w14:paraId="16CCA458" w14:textId="29CAC257" w:rsidR="00CD6733" w:rsidRPr="00391D73" w:rsidRDefault="00485182"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E</w:t>
            </w:r>
            <w:r w:rsidR="00CD6733" w:rsidRPr="00391D73">
              <w:rPr>
                <w:rFonts w:cstheme="minorHAnsi"/>
                <w:color w:val="000000"/>
                <w:sz w:val="20"/>
                <w:szCs w:val="20"/>
                <w:lang w:eastAsia="cs-CZ"/>
              </w:rPr>
              <w:t>lektronické aukce</w:t>
            </w:r>
          </w:p>
        </w:tc>
        <w:tc>
          <w:tcPr>
            <w:tcW w:w="2552" w:type="dxa"/>
            <w:tcBorders>
              <w:top w:val="nil"/>
              <w:left w:val="nil"/>
              <w:bottom w:val="single" w:sz="4" w:space="0" w:color="auto"/>
              <w:right w:val="single" w:sz="4" w:space="0" w:color="auto"/>
            </w:tcBorders>
            <w:vAlign w:val="center"/>
          </w:tcPr>
          <w:p w14:paraId="43C99292"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GPF</w:t>
            </w:r>
          </w:p>
        </w:tc>
      </w:tr>
      <w:tr w:rsidR="00CD6733" w:rsidRPr="00391D73" w14:paraId="37F02638"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13D23BCE" w14:textId="628E3DD3" w:rsidR="00CD6733" w:rsidRPr="00391D73" w:rsidRDefault="00485182" w:rsidP="00CD6733">
            <w:pPr>
              <w:spacing w:before="60" w:after="60" w:line="240" w:lineRule="auto"/>
              <w:jc w:val="left"/>
              <w:rPr>
                <w:rFonts w:cstheme="minorHAnsi"/>
                <w:b/>
                <w:color w:val="000000"/>
                <w:sz w:val="20"/>
                <w:szCs w:val="20"/>
                <w:lang w:eastAsia="cs-CZ"/>
              </w:rPr>
            </w:pPr>
            <w:r>
              <w:rPr>
                <w:rFonts w:cstheme="minorHAnsi"/>
                <w:b/>
                <w:color w:val="000000"/>
                <w:sz w:val="20"/>
                <w:szCs w:val="20"/>
                <w:lang w:eastAsia="cs-CZ"/>
              </w:rPr>
              <w:t>E</w:t>
            </w:r>
            <w:r w:rsidR="00CD6733" w:rsidRPr="00391D73">
              <w:rPr>
                <w:rFonts w:cstheme="minorHAnsi"/>
                <w:b/>
                <w:color w:val="000000"/>
                <w:sz w:val="20"/>
                <w:szCs w:val="20"/>
                <w:lang w:eastAsia="cs-CZ"/>
              </w:rPr>
              <w:t>xistence centrální evidence nemovitého majetku</w:t>
            </w:r>
          </w:p>
        </w:tc>
        <w:tc>
          <w:tcPr>
            <w:tcW w:w="3402" w:type="dxa"/>
            <w:tcBorders>
              <w:top w:val="nil"/>
              <w:left w:val="nil"/>
              <w:bottom w:val="single" w:sz="4" w:space="0" w:color="auto"/>
              <w:right w:val="single" w:sz="4" w:space="0" w:color="auto"/>
            </w:tcBorders>
            <w:shd w:val="clear" w:color="auto" w:fill="auto"/>
            <w:noWrap/>
            <w:vAlign w:val="center"/>
            <w:hideMark/>
          </w:tcPr>
          <w:p w14:paraId="034D0A3B" w14:textId="79C6FD60" w:rsidR="00CD6733" w:rsidRPr="00391D73" w:rsidRDefault="00CD6733" w:rsidP="00AE1224">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Ano, pouze vymezeného majetku dle §</w:t>
            </w:r>
            <w:r w:rsidR="00AE1224">
              <w:rPr>
                <w:rFonts w:cstheme="minorHAnsi"/>
                <w:color w:val="000000"/>
                <w:sz w:val="20"/>
                <w:szCs w:val="20"/>
                <w:lang w:eastAsia="cs-CZ"/>
              </w:rPr>
              <w:t> </w:t>
            </w:r>
            <w:r w:rsidRPr="00391D73">
              <w:rPr>
                <w:rFonts w:cstheme="minorHAnsi"/>
                <w:color w:val="000000"/>
                <w:sz w:val="20"/>
                <w:szCs w:val="20"/>
                <w:lang w:eastAsia="cs-CZ"/>
              </w:rPr>
              <w:t>14a zákona č. 219/2000 Sb. (CRAB)</w:t>
            </w:r>
          </w:p>
        </w:tc>
        <w:tc>
          <w:tcPr>
            <w:tcW w:w="2494" w:type="dxa"/>
            <w:tcBorders>
              <w:top w:val="nil"/>
              <w:left w:val="nil"/>
              <w:bottom w:val="single" w:sz="4" w:space="0" w:color="auto"/>
              <w:right w:val="single" w:sz="4" w:space="0" w:color="auto"/>
            </w:tcBorders>
            <w:vAlign w:val="center"/>
          </w:tcPr>
          <w:p w14:paraId="3D8E3C58"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CEM</w:t>
            </w:r>
          </w:p>
        </w:tc>
        <w:tc>
          <w:tcPr>
            <w:tcW w:w="1928" w:type="dxa"/>
            <w:tcBorders>
              <w:top w:val="nil"/>
              <w:left w:val="nil"/>
              <w:bottom w:val="single" w:sz="4" w:space="0" w:color="auto"/>
              <w:right w:val="single" w:sz="4" w:space="0" w:color="auto"/>
            </w:tcBorders>
            <w:vAlign w:val="center"/>
          </w:tcPr>
          <w:p w14:paraId="14ADDDAE" w14:textId="05E6A6AA"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A</w:t>
            </w:r>
            <w:r w:rsidR="00CD6733" w:rsidRPr="00391D73">
              <w:rPr>
                <w:rFonts w:cstheme="minorHAnsi"/>
                <w:color w:val="000000"/>
                <w:sz w:val="20"/>
                <w:szCs w:val="20"/>
                <w:lang w:eastAsia="cs-CZ"/>
              </w:rPr>
              <w:t>no</w:t>
            </w:r>
          </w:p>
        </w:tc>
        <w:tc>
          <w:tcPr>
            <w:tcW w:w="2552" w:type="dxa"/>
            <w:tcBorders>
              <w:top w:val="nil"/>
              <w:left w:val="nil"/>
              <w:bottom w:val="single" w:sz="4" w:space="0" w:color="auto"/>
              <w:right w:val="single" w:sz="4" w:space="0" w:color="auto"/>
            </w:tcBorders>
            <w:vAlign w:val="center"/>
          </w:tcPr>
          <w:p w14:paraId="6D1E214B"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e-PIMS</w:t>
            </w:r>
          </w:p>
        </w:tc>
      </w:tr>
      <w:tr w:rsidR="00CD6733" w:rsidRPr="00391D73" w14:paraId="4C08C6AE"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12F70272" w14:textId="7C948785" w:rsidR="00CD6733" w:rsidRPr="00391D73" w:rsidRDefault="00CD6733" w:rsidP="00485182">
            <w:pPr>
              <w:spacing w:before="60" w:after="60" w:line="240" w:lineRule="auto"/>
              <w:jc w:val="left"/>
              <w:rPr>
                <w:rFonts w:cstheme="minorHAnsi"/>
                <w:b/>
                <w:color w:val="000000"/>
                <w:sz w:val="20"/>
                <w:szCs w:val="20"/>
                <w:lang w:eastAsia="cs-CZ"/>
              </w:rPr>
            </w:pPr>
            <w:r w:rsidRPr="00391D73">
              <w:rPr>
                <w:rFonts w:cstheme="minorHAnsi"/>
                <w:b/>
                <w:color w:val="000000"/>
                <w:sz w:val="20"/>
                <w:szCs w:val="20"/>
                <w:lang w:eastAsia="cs-CZ"/>
              </w:rPr>
              <w:t xml:space="preserve"> </w:t>
            </w:r>
            <w:r w:rsidR="00485182">
              <w:rPr>
                <w:rFonts w:cstheme="minorHAnsi"/>
                <w:b/>
                <w:color w:val="000000"/>
                <w:sz w:val="20"/>
                <w:szCs w:val="20"/>
                <w:lang w:eastAsia="cs-CZ"/>
              </w:rPr>
              <w:t>–</w:t>
            </w:r>
            <w:r w:rsidRPr="00391D73">
              <w:rPr>
                <w:rFonts w:cstheme="minorHAnsi"/>
                <w:b/>
                <w:color w:val="000000"/>
                <w:sz w:val="20"/>
                <w:szCs w:val="20"/>
                <w:lang w:eastAsia="cs-CZ"/>
              </w:rPr>
              <w:t xml:space="preserve"> správce/provozovatel</w:t>
            </w:r>
          </w:p>
        </w:tc>
        <w:tc>
          <w:tcPr>
            <w:tcW w:w="3402" w:type="dxa"/>
            <w:tcBorders>
              <w:top w:val="nil"/>
              <w:left w:val="nil"/>
              <w:bottom w:val="single" w:sz="4" w:space="0" w:color="auto"/>
              <w:right w:val="single" w:sz="4" w:space="0" w:color="auto"/>
            </w:tcBorders>
            <w:shd w:val="clear" w:color="auto" w:fill="auto"/>
            <w:noWrap/>
            <w:vAlign w:val="center"/>
            <w:hideMark/>
          </w:tcPr>
          <w:p w14:paraId="2925898F"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MF / ÚZSVM</w:t>
            </w:r>
          </w:p>
        </w:tc>
        <w:tc>
          <w:tcPr>
            <w:tcW w:w="2494" w:type="dxa"/>
            <w:tcBorders>
              <w:top w:val="nil"/>
              <w:left w:val="nil"/>
              <w:bottom w:val="single" w:sz="4" w:space="0" w:color="auto"/>
              <w:right w:val="single" w:sz="4" w:space="0" w:color="auto"/>
            </w:tcBorders>
            <w:vAlign w:val="center"/>
          </w:tcPr>
          <w:p w14:paraId="201B0AFE"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MF / DataCentrum</w:t>
            </w:r>
          </w:p>
        </w:tc>
        <w:tc>
          <w:tcPr>
            <w:tcW w:w="1928" w:type="dxa"/>
            <w:tcBorders>
              <w:top w:val="nil"/>
              <w:left w:val="nil"/>
              <w:bottom w:val="single" w:sz="4" w:space="0" w:color="auto"/>
              <w:right w:val="single" w:sz="4" w:space="0" w:color="auto"/>
            </w:tcBorders>
            <w:vAlign w:val="center"/>
          </w:tcPr>
          <w:p w14:paraId="48817629"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NAM</w:t>
            </w:r>
          </w:p>
        </w:tc>
        <w:tc>
          <w:tcPr>
            <w:tcW w:w="2552" w:type="dxa"/>
            <w:tcBorders>
              <w:top w:val="nil"/>
              <w:left w:val="nil"/>
              <w:bottom w:val="single" w:sz="4" w:space="0" w:color="auto"/>
              <w:right w:val="single" w:sz="4" w:space="0" w:color="auto"/>
            </w:tcBorders>
            <w:vAlign w:val="center"/>
          </w:tcPr>
          <w:p w14:paraId="299ECC1A" w14:textId="77777777" w:rsidR="00CD6733" w:rsidRPr="00391D73" w:rsidRDefault="00CD6733" w:rsidP="00CD6733">
            <w:pPr>
              <w:spacing w:before="60" w:after="60" w:line="240" w:lineRule="auto"/>
              <w:jc w:val="left"/>
              <w:rPr>
                <w:rFonts w:cstheme="minorHAnsi"/>
                <w:color w:val="000000"/>
                <w:sz w:val="20"/>
                <w:szCs w:val="20"/>
                <w:lang w:eastAsia="cs-CZ"/>
              </w:rPr>
            </w:pPr>
            <w:r w:rsidRPr="00391D73">
              <w:rPr>
                <w:rFonts w:cstheme="minorHAnsi"/>
                <w:color w:val="000000"/>
                <w:sz w:val="20"/>
                <w:szCs w:val="20"/>
                <w:lang w:eastAsia="cs-CZ"/>
              </w:rPr>
              <w:t>GPU</w:t>
            </w:r>
          </w:p>
        </w:tc>
      </w:tr>
      <w:tr w:rsidR="00CD6733" w:rsidRPr="00391D73" w14:paraId="2C7E57E6"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07BAD4C2" w14:textId="691FE942" w:rsidR="00CD6733" w:rsidRPr="00391D73" w:rsidRDefault="00CD6733" w:rsidP="00485182">
            <w:pPr>
              <w:spacing w:before="60" w:after="60" w:line="240" w:lineRule="auto"/>
              <w:jc w:val="left"/>
              <w:rPr>
                <w:rFonts w:cstheme="minorHAnsi"/>
                <w:b/>
                <w:color w:val="000000"/>
                <w:sz w:val="20"/>
                <w:szCs w:val="20"/>
                <w:lang w:eastAsia="cs-CZ"/>
              </w:rPr>
            </w:pPr>
            <w:r w:rsidRPr="00391D73">
              <w:rPr>
                <w:rFonts w:cstheme="minorHAnsi"/>
                <w:b/>
                <w:color w:val="000000"/>
                <w:sz w:val="20"/>
                <w:szCs w:val="20"/>
                <w:lang w:eastAsia="cs-CZ"/>
              </w:rPr>
              <w:t xml:space="preserve"> </w:t>
            </w:r>
            <w:r w:rsidR="00485182">
              <w:rPr>
                <w:rFonts w:cstheme="minorHAnsi"/>
                <w:b/>
                <w:color w:val="000000"/>
                <w:sz w:val="20"/>
                <w:szCs w:val="20"/>
                <w:lang w:eastAsia="cs-CZ"/>
              </w:rPr>
              <w:t>–</w:t>
            </w:r>
            <w:r w:rsidRPr="00391D73">
              <w:rPr>
                <w:rFonts w:cstheme="minorHAnsi"/>
                <w:b/>
                <w:color w:val="000000"/>
                <w:sz w:val="20"/>
                <w:szCs w:val="20"/>
                <w:lang w:eastAsia="cs-CZ"/>
              </w:rPr>
              <w:t xml:space="preserve"> veřejná/neveřejná </w:t>
            </w:r>
          </w:p>
        </w:tc>
        <w:tc>
          <w:tcPr>
            <w:tcW w:w="3402" w:type="dxa"/>
            <w:tcBorders>
              <w:top w:val="nil"/>
              <w:left w:val="nil"/>
              <w:bottom w:val="single" w:sz="4" w:space="0" w:color="auto"/>
              <w:right w:val="single" w:sz="4" w:space="0" w:color="auto"/>
            </w:tcBorders>
            <w:shd w:val="clear" w:color="auto" w:fill="auto"/>
            <w:noWrap/>
            <w:vAlign w:val="center"/>
            <w:hideMark/>
          </w:tcPr>
          <w:p w14:paraId="2580DE43" w14:textId="08447135"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eveřejná (open-data)</w:t>
            </w:r>
          </w:p>
        </w:tc>
        <w:tc>
          <w:tcPr>
            <w:tcW w:w="2494" w:type="dxa"/>
            <w:tcBorders>
              <w:top w:val="nil"/>
              <w:left w:val="nil"/>
              <w:bottom w:val="single" w:sz="4" w:space="0" w:color="auto"/>
              <w:right w:val="single" w:sz="4" w:space="0" w:color="auto"/>
            </w:tcBorders>
            <w:vAlign w:val="center"/>
          </w:tcPr>
          <w:p w14:paraId="5BDB6444" w14:textId="44B7A4C4"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Č</w:t>
            </w:r>
            <w:r w:rsidR="00CD6733" w:rsidRPr="00391D73">
              <w:rPr>
                <w:rFonts w:cstheme="minorHAnsi"/>
                <w:color w:val="000000"/>
                <w:sz w:val="20"/>
                <w:szCs w:val="20"/>
                <w:lang w:eastAsia="cs-CZ"/>
              </w:rPr>
              <w:t>ást veřejná i neveřejná</w:t>
            </w:r>
          </w:p>
        </w:tc>
        <w:tc>
          <w:tcPr>
            <w:tcW w:w="1928" w:type="dxa"/>
            <w:tcBorders>
              <w:top w:val="nil"/>
              <w:left w:val="nil"/>
              <w:bottom w:val="single" w:sz="4" w:space="0" w:color="auto"/>
              <w:right w:val="single" w:sz="4" w:space="0" w:color="auto"/>
            </w:tcBorders>
            <w:vAlign w:val="center"/>
          </w:tcPr>
          <w:p w14:paraId="0AA259D3" w14:textId="5438DAFA"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eveřejná</w:t>
            </w:r>
          </w:p>
        </w:tc>
        <w:tc>
          <w:tcPr>
            <w:tcW w:w="2552" w:type="dxa"/>
            <w:tcBorders>
              <w:top w:val="nil"/>
              <w:left w:val="nil"/>
              <w:bottom w:val="single" w:sz="4" w:space="0" w:color="auto"/>
              <w:right w:val="single" w:sz="4" w:space="0" w:color="auto"/>
            </w:tcBorders>
            <w:vAlign w:val="center"/>
          </w:tcPr>
          <w:p w14:paraId="115CB452" w14:textId="2435989E"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eveřejná (open-data)</w:t>
            </w:r>
          </w:p>
        </w:tc>
      </w:tr>
      <w:tr w:rsidR="00CD6733" w:rsidRPr="00391D73" w14:paraId="5263F494"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05FEEF8B" w14:textId="372C992D" w:rsidR="00CD6733" w:rsidRPr="00391D73" w:rsidRDefault="00CD6733" w:rsidP="00485182">
            <w:pPr>
              <w:spacing w:before="60" w:after="60" w:line="240" w:lineRule="auto"/>
              <w:jc w:val="left"/>
              <w:rPr>
                <w:rFonts w:cstheme="minorHAnsi"/>
                <w:b/>
                <w:color w:val="000000"/>
                <w:sz w:val="20"/>
                <w:szCs w:val="20"/>
                <w:lang w:eastAsia="cs-CZ"/>
              </w:rPr>
            </w:pPr>
            <w:r w:rsidRPr="00391D73">
              <w:rPr>
                <w:rFonts w:cstheme="minorHAnsi"/>
                <w:b/>
                <w:color w:val="000000"/>
                <w:sz w:val="20"/>
                <w:szCs w:val="20"/>
                <w:lang w:eastAsia="cs-CZ"/>
              </w:rPr>
              <w:t xml:space="preserve"> </w:t>
            </w:r>
            <w:r w:rsidR="00485182">
              <w:rPr>
                <w:rFonts w:cstheme="minorHAnsi"/>
                <w:b/>
                <w:color w:val="000000"/>
                <w:sz w:val="20"/>
                <w:szCs w:val="20"/>
                <w:lang w:eastAsia="cs-CZ"/>
              </w:rPr>
              <w:t>–</w:t>
            </w:r>
            <w:r w:rsidRPr="00391D73">
              <w:rPr>
                <w:rFonts w:cstheme="minorHAnsi"/>
                <w:b/>
                <w:color w:val="000000"/>
                <w:sz w:val="20"/>
                <w:szCs w:val="20"/>
                <w:lang w:eastAsia="cs-CZ"/>
              </w:rPr>
              <w:t xml:space="preserve"> obsah evidence </w:t>
            </w:r>
          </w:p>
        </w:tc>
        <w:tc>
          <w:tcPr>
            <w:tcW w:w="3402" w:type="dxa"/>
            <w:tcBorders>
              <w:top w:val="nil"/>
              <w:left w:val="nil"/>
              <w:bottom w:val="single" w:sz="4" w:space="0" w:color="auto"/>
              <w:right w:val="single" w:sz="4" w:space="0" w:color="auto"/>
            </w:tcBorders>
            <w:shd w:val="clear" w:color="auto" w:fill="auto"/>
            <w:noWrap/>
            <w:vAlign w:val="center"/>
            <w:hideMark/>
          </w:tcPr>
          <w:p w14:paraId="20386AEF" w14:textId="44FD1A88"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E</w:t>
            </w:r>
            <w:r w:rsidR="00CD6733" w:rsidRPr="00391D73">
              <w:rPr>
                <w:rFonts w:cstheme="minorHAnsi"/>
                <w:color w:val="000000"/>
                <w:sz w:val="20"/>
                <w:szCs w:val="20"/>
                <w:lang w:eastAsia="cs-CZ"/>
              </w:rPr>
              <w:t>videnční data, ekonomické údaje</w:t>
            </w:r>
          </w:p>
        </w:tc>
        <w:tc>
          <w:tcPr>
            <w:tcW w:w="2494" w:type="dxa"/>
            <w:tcBorders>
              <w:top w:val="nil"/>
              <w:left w:val="nil"/>
              <w:bottom w:val="single" w:sz="4" w:space="0" w:color="auto"/>
              <w:right w:val="single" w:sz="4" w:space="0" w:color="auto"/>
            </w:tcBorders>
            <w:vAlign w:val="center"/>
          </w:tcPr>
          <w:p w14:paraId="2F6B1895" w14:textId="3CEF9C50"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J</w:t>
            </w:r>
            <w:r w:rsidR="00CD6733" w:rsidRPr="00391D73">
              <w:rPr>
                <w:rFonts w:cstheme="minorHAnsi"/>
                <w:color w:val="000000"/>
                <w:sz w:val="20"/>
                <w:szCs w:val="20"/>
                <w:lang w:eastAsia="cs-CZ"/>
              </w:rPr>
              <w:t>en evidenční data</w:t>
            </w:r>
          </w:p>
        </w:tc>
        <w:tc>
          <w:tcPr>
            <w:tcW w:w="1928" w:type="dxa"/>
            <w:tcBorders>
              <w:top w:val="nil"/>
              <w:left w:val="nil"/>
              <w:bottom w:val="single" w:sz="4" w:space="0" w:color="auto"/>
              <w:right w:val="single" w:sz="4" w:space="0" w:color="auto"/>
            </w:tcBorders>
            <w:vAlign w:val="center"/>
          </w:tcPr>
          <w:p w14:paraId="3A9AEA17" w14:textId="4F4C78C9"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ezjištěno</w:t>
            </w:r>
          </w:p>
        </w:tc>
        <w:tc>
          <w:tcPr>
            <w:tcW w:w="2552" w:type="dxa"/>
            <w:tcBorders>
              <w:top w:val="nil"/>
              <w:left w:val="nil"/>
              <w:bottom w:val="single" w:sz="4" w:space="0" w:color="auto"/>
              <w:right w:val="single" w:sz="4" w:space="0" w:color="auto"/>
            </w:tcBorders>
            <w:vAlign w:val="center"/>
          </w:tcPr>
          <w:p w14:paraId="641345A7" w14:textId="43C29B0D"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E</w:t>
            </w:r>
            <w:r w:rsidR="00CD6733" w:rsidRPr="00391D73">
              <w:rPr>
                <w:rFonts w:cstheme="minorHAnsi"/>
                <w:color w:val="000000"/>
                <w:sz w:val="20"/>
                <w:szCs w:val="20"/>
                <w:lang w:eastAsia="cs-CZ"/>
              </w:rPr>
              <w:t>videnční data, ekonomické údaje</w:t>
            </w:r>
          </w:p>
        </w:tc>
      </w:tr>
      <w:tr w:rsidR="00CD6733" w:rsidRPr="00391D73" w14:paraId="32AC0446"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5FAAB498" w14:textId="1BC30802" w:rsidR="00CD6733" w:rsidRPr="00391D73" w:rsidRDefault="00CD6733" w:rsidP="00485182">
            <w:pPr>
              <w:spacing w:before="60" w:after="60" w:line="240" w:lineRule="auto"/>
              <w:jc w:val="left"/>
              <w:rPr>
                <w:rFonts w:cstheme="minorHAnsi"/>
                <w:b/>
                <w:color w:val="000000"/>
                <w:sz w:val="20"/>
                <w:szCs w:val="20"/>
                <w:lang w:eastAsia="cs-CZ"/>
              </w:rPr>
            </w:pPr>
            <w:r w:rsidRPr="00391D73">
              <w:rPr>
                <w:rFonts w:cstheme="minorHAnsi"/>
                <w:b/>
                <w:color w:val="000000"/>
                <w:sz w:val="20"/>
                <w:szCs w:val="20"/>
                <w:lang w:eastAsia="cs-CZ"/>
              </w:rPr>
              <w:t xml:space="preserve"> </w:t>
            </w:r>
            <w:r w:rsidR="00485182">
              <w:rPr>
                <w:rFonts w:cstheme="minorHAnsi"/>
                <w:b/>
                <w:color w:val="000000"/>
                <w:sz w:val="20"/>
                <w:szCs w:val="20"/>
                <w:lang w:eastAsia="cs-CZ"/>
              </w:rPr>
              <w:t>–</w:t>
            </w:r>
            <w:r w:rsidRPr="00391D73">
              <w:rPr>
                <w:rFonts w:cstheme="minorHAnsi"/>
                <w:b/>
                <w:color w:val="000000"/>
                <w:sz w:val="20"/>
                <w:szCs w:val="20"/>
                <w:lang w:eastAsia="cs-CZ"/>
              </w:rPr>
              <w:t xml:space="preserve"> kontrola údajů/nápravná opatření </w:t>
            </w:r>
          </w:p>
        </w:tc>
        <w:tc>
          <w:tcPr>
            <w:tcW w:w="3402" w:type="dxa"/>
            <w:tcBorders>
              <w:top w:val="nil"/>
              <w:left w:val="nil"/>
              <w:bottom w:val="single" w:sz="4" w:space="0" w:color="auto"/>
              <w:right w:val="single" w:sz="4" w:space="0" w:color="auto"/>
            </w:tcBorders>
            <w:shd w:val="clear" w:color="auto" w:fill="auto"/>
            <w:noWrap/>
            <w:vAlign w:val="center"/>
            <w:hideMark/>
          </w:tcPr>
          <w:p w14:paraId="32DF1B76" w14:textId="2416F6BE"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F</w:t>
            </w:r>
            <w:r w:rsidR="00CD6733" w:rsidRPr="00391D73">
              <w:rPr>
                <w:rFonts w:cstheme="minorHAnsi"/>
                <w:color w:val="000000"/>
                <w:sz w:val="20"/>
                <w:szCs w:val="20"/>
                <w:lang w:eastAsia="cs-CZ"/>
              </w:rPr>
              <w:t>yzická kontrola</w:t>
            </w:r>
          </w:p>
        </w:tc>
        <w:tc>
          <w:tcPr>
            <w:tcW w:w="2494" w:type="dxa"/>
            <w:tcBorders>
              <w:top w:val="nil"/>
              <w:left w:val="nil"/>
              <w:bottom w:val="single" w:sz="4" w:space="0" w:color="auto"/>
              <w:right w:val="single" w:sz="4" w:space="0" w:color="auto"/>
            </w:tcBorders>
            <w:vAlign w:val="center"/>
          </w:tcPr>
          <w:p w14:paraId="342D5B74" w14:textId="20048B7A"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1928" w:type="dxa"/>
            <w:tcBorders>
              <w:top w:val="nil"/>
              <w:left w:val="nil"/>
              <w:bottom w:val="single" w:sz="4" w:space="0" w:color="auto"/>
              <w:right w:val="single" w:sz="4" w:space="0" w:color="auto"/>
            </w:tcBorders>
            <w:vAlign w:val="center"/>
          </w:tcPr>
          <w:p w14:paraId="4B1A45F6" w14:textId="6967807D"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ezjištěno</w:t>
            </w:r>
          </w:p>
        </w:tc>
        <w:tc>
          <w:tcPr>
            <w:tcW w:w="2552" w:type="dxa"/>
            <w:tcBorders>
              <w:top w:val="nil"/>
              <w:left w:val="nil"/>
              <w:bottom w:val="single" w:sz="4" w:space="0" w:color="auto"/>
              <w:right w:val="single" w:sz="4" w:space="0" w:color="auto"/>
            </w:tcBorders>
            <w:vAlign w:val="center"/>
          </w:tcPr>
          <w:p w14:paraId="49FAB985" w14:textId="42B92BF4"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A</w:t>
            </w:r>
            <w:r w:rsidR="00CD6733" w:rsidRPr="00391D73">
              <w:rPr>
                <w:rFonts w:cstheme="minorHAnsi"/>
                <w:color w:val="000000"/>
                <w:sz w:val="20"/>
                <w:szCs w:val="20"/>
                <w:lang w:eastAsia="cs-CZ"/>
              </w:rPr>
              <w:t>no</w:t>
            </w:r>
          </w:p>
        </w:tc>
      </w:tr>
      <w:tr w:rsidR="00CD6733" w:rsidRPr="00391D73" w14:paraId="6ED04F90" w14:textId="77777777" w:rsidTr="00485182">
        <w:trPr>
          <w:trHeight w:val="20"/>
        </w:trPr>
        <w:tc>
          <w:tcPr>
            <w:tcW w:w="3628" w:type="dxa"/>
            <w:tcBorders>
              <w:top w:val="nil"/>
              <w:left w:val="single" w:sz="4" w:space="0" w:color="auto"/>
              <w:bottom w:val="single" w:sz="4" w:space="0" w:color="auto"/>
              <w:right w:val="single" w:sz="4" w:space="0" w:color="auto"/>
            </w:tcBorders>
            <w:shd w:val="clear" w:color="auto" w:fill="auto"/>
            <w:noWrap/>
            <w:vAlign w:val="center"/>
            <w:hideMark/>
          </w:tcPr>
          <w:p w14:paraId="0C2CCCEC" w14:textId="77777777" w:rsidR="00CD6733" w:rsidRPr="00391D73" w:rsidRDefault="00CD6733" w:rsidP="00CD6733">
            <w:pPr>
              <w:spacing w:before="60" w:after="60" w:line="240" w:lineRule="auto"/>
              <w:jc w:val="left"/>
              <w:rPr>
                <w:rFonts w:cstheme="minorHAnsi"/>
                <w:b/>
                <w:color w:val="000000"/>
                <w:sz w:val="20"/>
                <w:szCs w:val="20"/>
                <w:lang w:eastAsia="cs-CZ"/>
              </w:rPr>
            </w:pPr>
            <w:r w:rsidRPr="00391D73">
              <w:rPr>
                <w:rFonts w:cstheme="minorHAnsi"/>
                <w:b/>
                <w:color w:val="000000"/>
                <w:sz w:val="20"/>
                <w:szCs w:val="20"/>
                <w:lang w:eastAsia="cs-CZ"/>
              </w:rPr>
              <w:t>Klíčové ukazatele výkonnosti</w:t>
            </w:r>
          </w:p>
        </w:tc>
        <w:tc>
          <w:tcPr>
            <w:tcW w:w="3402" w:type="dxa"/>
            <w:tcBorders>
              <w:top w:val="nil"/>
              <w:left w:val="nil"/>
              <w:bottom w:val="single" w:sz="4" w:space="0" w:color="auto"/>
              <w:right w:val="single" w:sz="4" w:space="0" w:color="auto"/>
            </w:tcBorders>
            <w:shd w:val="clear" w:color="auto" w:fill="auto"/>
            <w:noWrap/>
            <w:vAlign w:val="center"/>
            <w:hideMark/>
          </w:tcPr>
          <w:p w14:paraId="2DBE24E5" w14:textId="54D802BC"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A</w:t>
            </w:r>
            <w:r w:rsidR="00CD6733" w:rsidRPr="00391D73">
              <w:rPr>
                <w:rFonts w:cstheme="minorHAnsi"/>
                <w:color w:val="000000"/>
                <w:sz w:val="20"/>
                <w:szCs w:val="20"/>
                <w:lang w:eastAsia="cs-CZ"/>
              </w:rPr>
              <w:t>no</w:t>
            </w:r>
          </w:p>
        </w:tc>
        <w:tc>
          <w:tcPr>
            <w:tcW w:w="2494" w:type="dxa"/>
            <w:tcBorders>
              <w:top w:val="nil"/>
              <w:left w:val="nil"/>
              <w:bottom w:val="single" w:sz="4" w:space="0" w:color="auto"/>
              <w:right w:val="single" w:sz="4" w:space="0" w:color="auto"/>
            </w:tcBorders>
            <w:vAlign w:val="center"/>
          </w:tcPr>
          <w:p w14:paraId="729A30A4" w14:textId="7DEDD0FE"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N</w:t>
            </w:r>
            <w:r w:rsidR="00CD6733" w:rsidRPr="00391D73">
              <w:rPr>
                <w:rFonts w:cstheme="minorHAnsi"/>
                <w:color w:val="000000"/>
                <w:sz w:val="20"/>
                <w:szCs w:val="20"/>
                <w:lang w:eastAsia="cs-CZ"/>
              </w:rPr>
              <w:t>e</w:t>
            </w:r>
          </w:p>
        </w:tc>
        <w:tc>
          <w:tcPr>
            <w:tcW w:w="1928" w:type="dxa"/>
            <w:tcBorders>
              <w:top w:val="nil"/>
              <w:left w:val="nil"/>
              <w:bottom w:val="single" w:sz="4" w:space="0" w:color="auto"/>
              <w:right w:val="single" w:sz="4" w:space="0" w:color="auto"/>
            </w:tcBorders>
            <w:vAlign w:val="center"/>
          </w:tcPr>
          <w:p w14:paraId="20490069" w14:textId="2777934A"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A</w:t>
            </w:r>
            <w:r w:rsidR="00CD6733" w:rsidRPr="00391D73">
              <w:rPr>
                <w:rFonts w:cstheme="minorHAnsi"/>
                <w:color w:val="000000"/>
                <w:sz w:val="20"/>
                <w:szCs w:val="20"/>
                <w:lang w:eastAsia="cs-CZ"/>
              </w:rPr>
              <w:t>no</w:t>
            </w:r>
          </w:p>
        </w:tc>
        <w:tc>
          <w:tcPr>
            <w:tcW w:w="2552" w:type="dxa"/>
            <w:tcBorders>
              <w:top w:val="nil"/>
              <w:left w:val="nil"/>
              <w:bottom w:val="single" w:sz="4" w:space="0" w:color="auto"/>
              <w:right w:val="single" w:sz="4" w:space="0" w:color="auto"/>
            </w:tcBorders>
            <w:vAlign w:val="center"/>
          </w:tcPr>
          <w:p w14:paraId="2BA1874D" w14:textId="315A50D4" w:rsidR="00CD6733" w:rsidRPr="00391D73" w:rsidRDefault="00C968E5" w:rsidP="00CD6733">
            <w:pPr>
              <w:spacing w:before="60" w:after="60" w:line="240" w:lineRule="auto"/>
              <w:jc w:val="left"/>
              <w:rPr>
                <w:rFonts w:cstheme="minorHAnsi"/>
                <w:color w:val="000000"/>
                <w:sz w:val="20"/>
                <w:szCs w:val="20"/>
                <w:lang w:eastAsia="cs-CZ"/>
              </w:rPr>
            </w:pPr>
            <w:r>
              <w:rPr>
                <w:rFonts w:cstheme="minorHAnsi"/>
                <w:color w:val="000000"/>
                <w:sz w:val="20"/>
                <w:szCs w:val="20"/>
                <w:lang w:eastAsia="cs-CZ"/>
              </w:rPr>
              <w:t>A</w:t>
            </w:r>
            <w:r w:rsidR="00CD6733" w:rsidRPr="00391D73">
              <w:rPr>
                <w:rFonts w:cstheme="minorHAnsi"/>
                <w:color w:val="000000"/>
                <w:sz w:val="20"/>
                <w:szCs w:val="20"/>
                <w:lang w:eastAsia="cs-CZ"/>
              </w:rPr>
              <w:t>no</w:t>
            </w:r>
          </w:p>
        </w:tc>
      </w:tr>
    </w:tbl>
    <w:p w14:paraId="4889492A" w14:textId="70DBB1C6" w:rsidR="00CD6733" w:rsidRPr="00391D73" w:rsidRDefault="00CD6733" w:rsidP="00CD6733">
      <w:pPr>
        <w:rPr>
          <w:sz w:val="20"/>
          <w:szCs w:val="20"/>
        </w:rPr>
      </w:pPr>
      <w:r w:rsidRPr="00391D73">
        <w:rPr>
          <w:b/>
          <w:sz w:val="20"/>
          <w:szCs w:val="20"/>
        </w:rPr>
        <w:t>Zdroj:</w:t>
      </w:r>
      <w:r w:rsidRPr="00391D73">
        <w:rPr>
          <w:sz w:val="20"/>
          <w:szCs w:val="20"/>
        </w:rPr>
        <w:t xml:space="preserve"> </w:t>
      </w:r>
      <w:r w:rsidR="00C968E5">
        <w:rPr>
          <w:sz w:val="20"/>
          <w:szCs w:val="20"/>
        </w:rPr>
        <w:t>i</w:t>
      </w:r>
      <w:r w:rsidRPr="00391D73">
        <w:rPr>
          <w:sz w:val="20"/>
          <w:szCs w:val="20"/>
        </w:rPr>
        <w:t>nformace zjištěné v kontrole a v rámci mezinárodní spolupráce nejvyšších kontrolních institucí (</w:t>
      </w:r>
      <w:r w:rsidR="00C968E5">
        <w:rPr>
          <w:sz w:val="20"/>
          <w:szCs w:val="20"/>
        </w:rPr>
        <w:t xml:space="preserve">projekt </w:t>
      </w:r>
      <w:r w:rsidRPr="00391D73">
        <w:rPr>
          <w:sz w:val="20"/>
          <w:szCs w:val="20"/>
        </w:rPr>
        <w:t>BIEP).</w:t>
      </w:r>
    </w:p>
    <w:p w14:paraId="55C8A1DB" w14:textId="77777777" w:rsidR="00CD6733" w:rsidRPr="00391D73" w:rsidRDefault="00CD6733" w:rsidP="00CD6733">
      <w:pPr>
        <w:rPr>
          <w:sz w:val="20"/>
          <w:szCs w:val="20"/>
        </w:rPr>
        <w:sectPr w:rsidR="00CD6733" w:rsidRPr="00391D73" w:rsidSect="00CD6733">
          <w:pgSz w:w="16838" w:h="11906" w:orient="landscape"/>
          <w:pgMar w:top="1418" w:right="1418" w:bottom="1418" w:left="1418" w:header="709" w:footer="709" w:gutter="0"/>
          <w:cols w:space="708"/>
          <w:titlePg/>
          <w:docGrid w:linePitch="360"/>
        </w:sectPr>
      </w:pPr>
    </w:p>
    <w:p w14:paraId="595C0F87" w14:textId="2B87A7A3" w:rsidR="00CD6733" w:rsidRPr="00391D73" w:rsidRDefault="00CD6733" w:rsidP="00CD6733">
      <w:r w:rsidRPr="00391D73">
        <w:lastRenderedPageBreak/>
        <w:t xml:space="preserve">Jedním z cílů UK v oblasti hospodaření s nemovitým majetkem je dosáhnout v roce 2018 průměrné </w:t>
      </w:r>
      <w:r w:rsidRPr="00391D73">
        <w:rPr>
          <w:rFonts w:cstheme="minorHAnsi"/>
        </w:rPr>
        <w:t>čisté vnitřní plochy</w:t>
      </w:r>
      <w:r w:rsidRPr="00391D73">
        <w:rPr>
          <w:rStyle w:val="Znakapoznpodarou"/>
          <w:rFonts w:cstheme="minorHAnsi"/>
        </w:rPr>
        <w:footnoteReference w:id="76"/>
      </w:r>
      <w:r w:rsidRPr="00391D73">
        <w:t xml:space="preserve"> 8 m</w:t>
      </w:r>
      <w:r w:rsidRPr="00391D73">
        <w:rPr>
          <w:vertAlign w:val="superscript"/>
        </w:rPr>
        <w:t>2</w:t>
      </w:r>
      <w:r w:rsidRPr="00391D73">
        <w:t xml:space="preserve"> na FTE</w:t>
      </w:r>
      <w:r w:rsidRPr="00391D73">
        <w:rPr>
          <w:rStyle w:val="Znakapoznpodarou"/>
        </w:rPr>
        <w:footnoteReference w:id="77"/>
      </w:r>
      <w:r w:rsidRPr="00391D73">
        <w:t>. Toho má být dosaženo souborem opatření pro optimalizaci využití a správy nemovitého majetku a změn v politice zaměstnávání, tj. o</w:t>
      </w:r>
      <w:r w:rsidRPr="00391D73">
        <w:rPr>
          <w:rFonts w:cstheme="minorHAnsi"/>
        </w:rPr>
        <w:t>d větší podpory a rozšíření tzv. sdílených pracovišť, vyšší míry využívání práce z domova, přes výstavbu tzv. hubů (tj. budov užívaných více státními institucemi) až po maximální využití informačních a komunikačních technologií, které umožňují zefektivnění a zajištění větší pracovní flexibility.</w:t>
      </w:r>
      <w:r w:rsidRPr="00391D73">
        <w:rPr>
          <w:rStyle w:val="Znakapoznpodarou"/>
          <w:rFonts w:cstheme="minorHAnsi"/>
        </w:rPr>
        <w:footnoteReference w:id="78"/>
      </w:r>
      <w:r w:rsidRPr="00391D73">
        <w:t xml:space="preserve"> Implementace těchto opatření v UK přispěla v období let 2012–2016 ke snížení průměrné plochy na</w:t>
      </w:r>
      <w:r w:rsidR="00844A82">
        <w:t xml:space="preserve"> jednoho </w:t>
      </w:r>
      <w:r w:rsidRPr="00391D73">
        <w:t>zaměstnance o 2,6 m</w:t>
      </w:r>
      <w:r w:rsidRPr="00391D73">
        <w:rPr>
          <w:vertAlign w:val="superscript"/>
        </w:rPr>
        <w:t>2</w:t>
      </w:r>
      <w:r w:rsidRPr="00391D73">
        <w:t xml:space="preserve"> (tj. o 20 %), snížení nákladů na zaměstnance o 737 liber (tj. o 14 %) a snížení nevyužité plochy o 163 tis. m</w:t>
      </w:r>
      <w:r w:rsidRPr="00391D73">
        <w:rPr>
          <w:vertAlign w:val="superscript"/>
        </w:rPr>
        <w:t>2</w:t>
      </w:r>
      <w:r w:rsidRPr="00391D73">
        <w:t xml:space="preserve"> (tj. o 60 %)</w:t>
      </w:r>
      <w:r w:rsidR="00844A82">
        <w:t>;</w:t>
      </w:r>
      <w:r w:rsidRPr="00391D73">
        <w:t xml:space="preserve"> blíže viz tabulka č. 2, 3 a 7.</w:t>
      </w:r>
    </w:p>
    <w:p w14:paraId="3BCC9FC9" w14:textId="51EA2906" w:rsidR="00CD6733" w:rsidRPr="00391D73" w:rsidRDefault="00CD6733" w:rsidP="00CD6733">
      <w:r w:rsidRPr="00391D73">
        <w:t xml:space="preserve">Na rozdíl od využívaného nemovitého majetku je v ČR dlouhodobě nepotřebný nemovitý majetek převáděn a soustřeďován u specifické instituce </w:t>
      </w:r>
      <w:r w:rsidR="00844A82">
        <w:t>–</w:t>
      </w:r>
      <w:r w:rsidRPr="00391D73">
        <w:t xml:space="preserve"> Úřadu pro</w:t>
      </w:r>
      <w:r w:rsidR="00844A82">
        <w:t xml:space="preserve"> </w:t>
      </w:r>
      <w:r w:rsidRPr="00391D73">
        <w:t>zastupování státu ve</w:t>
      </w:r>
      <w:r w:rsidR="00844A82">
        <w:t xml:space="preserve"> </w:t>
      </w:r>
      <w:r w:rsidRPr="00391D73">
        <w:t xml:space="preserve">věcech majetkových (dále také „ÚZSVM“), který zajišťuje jeho správu a další využívání. ÚZSVM nabízí nepotřebné nemovitosti ostatním státním institucím, případně k pronájmu či prodeji mimo státní správu. V SK i UK je nepotřebný nemovitý majetek centrálně evidován a nabízen, v SK pomocí elektronického nástroje </w:t>
      </w:r>
      <w:r w:rsidRPr="00702837">
        <w:rPr>
          <w:i/>
        </w:rPr>
        <w:t>Register ponúkaného majetku štátu</w:t>
      </w:r>
      <w:r w:rsidRPr="00391D73">
        <w:t xml:space="preserve"> (dále také „ROPK“) a v UK pomocí elektronického nástroje </w:t>
      </w:r>
      <w:r w:rsidRPr="00702837">
        <w:rPr>
          <w:i/>
        </w:rPr>
        <w:t>Government Property Finder</w:t>
      </w:r>
      <w:r w:rsidRPr="00391D73">
        <w:t xml:space="preserve"> (dále také „GPF“). Nepotřebný nemovitý majetek v těchto zemích ani v HU není centrálně spravován specifickou institucí.</w:t>
      </w:r>
    </w:p>
    <w:p w14:paraId="341AB185" w14:textId="022A99DB" w:rsidR="00CD6733" w:rsidRPr="00391D73" w:rsidRDefault="00CD6733" w:rsidP="00CD6733">
      <w:r w:rsidRPr="00391D73">
        <w:t xml:space="preserve">Z hlediska informační podpory SK ani HU nedisponuje systémem obdobným </w:t>
      </w:r>
      <w:r w:rsidRPr="00702837">
        <w:rPr>
          <w:i/>
        </w:rPr>
        <w:t>Centrálnímu registru administrativních budov</w:t>
      </w:r>
      <w:r w:rsidRPr="00391D73">
        <w:t>. V HU zajišťuje centrální evidenci nemovitého majetku národní organizace pro správu aktiv (</w:t>
      </w:r>
      <w:r w:rsidRPr="00702837">
        <w:rPr>
          <w:i/>
        </w:rPr>
        <w:t>National Asset Management</w:t>
      </w:r>
      <w:r w:rsidRPr="00391D73">
        <w:t xml:space="preserve">, dále také „NAM“), bližší informace o této evidenci však nebyly zjištěny. Maďarská nejvyšší kontrolní instituce doposud takto zaměřenou kontrolu nerealizovala. V SK je pro centrální evidenci základních údajů o nemovitém majetku sloužícího k plnění funkcí státu využívána tzv. </w:t>
      </w:r>
      <w:r w:rsidRPr="00702837">
        <w:rPr>
          <w:i/>
        </w:rPr>
        <w:t>Centrálná evidencia majetku</w:t>
      </w:r>
      <w:r w:rsidRPr="00391D73">
        <w:t xml:space="preserve"> (dále také „CEM“). CEM je veřejně dostupná evidence na webových stránkách, kde umožňuje zobrazit </w:t>
      </w:r>
      <w:r w:rsidR="000F5338">
        <w:t>k vybrané</w:t>
      </w:r>
      <w:r w:rsidRPr="00391D73">
        <w:t xml:space="preserve"> budově základní informace, vyjma údajů o jej</w:t>
      </w:r>
      <w:r w:rsidR="000F5338">
        <w:t>í</w:t>
      </w:r>
      <w:r w:rsidRPr="00391D73">
        <w:t xml:space="preserve"> správě. Ekonomické údaje jsou evidovány v oddělených informačních systémech, které využívají jednotlivé státní instituce, nicméně není stanovena žádná povinná jednotná klasifikace dat v členění dle objektů. Ekonomické údaje tak zatím nejsou využívány pro analýzy a benchmarking jako v případě ČR nebo UK.</w:t>
      </w:r>
    </w:p>
    <w:p w14:paraId="7F190A70" w14:textId="375D1D55" w:rsidR="00CD6733" w:rsidRPr="00391D73" w:rsidRDefault="00CD6733" w:rsidP="00CD6733">
      <w:r w:rsidRPr="00391D73">
        <w:t xml:space="preserve">V UK je od roku 2000 používán informační systém </w:t>
      </w:r>
      <w:r w:rsidRPr="00702837">
        <w:rPr>
          <w:i/>
        </w:rPr>
        <w:t>Electronic Property Information Mapping Service</w:t>
      </w:r>
      <w:r w:rsidRPr="00391D73">
        <w:t xml:space="preserve"> (dále také „e-PIMS“), do kterého od roku 2005 zadávají povinně údaje o nemovitostech všechny vládní orgány a agentury. Původně pouhý evidenční nástroj se postupem času stal informační platformou pro celou řadu aplikací podporujících správu nemovitých věcí, umožňujících benchmarking jednotlivých budov, evidenci a monitoring stavebních projektů i sdílení prostor za účelem minimalizace vynakládaných peněžních prostředků. Roční provoz</w:t>
      </w:r>
      <w:r w:rsidRPr="00391D73">
        <w:rPr>
          <w:rStyle w:val="Znakapoznpodarou"/>
        </w:rPr>
        <w:footnoteReference w:id="79"/>
      </w:r>
      <w:r w:rsidRPr="00391D73">
        <w:t xml:space="preserve"> této celé aplikační platformy činí 500 tis. £</w:t>
      </w:r>
      <w:r w:rsidRPr="00391D73">
        <w:rPr>
          <w:rStyle w:val="Znakapoznpodarou"/>
          <w:sz w:val="20"/>
          <w:szCs w:val="20"/>
        </w:rPr>
        <w:footnoteReference w:id="80"/>
      </w:r>
      <w:r w:rsidRPr="00391D73">
        <w:t xml:space="preserve">. Informační systém </w:t>
      </w:r>
      <w:r>
        <w:br/>
      </w:r>
      <w:r w:rsidRPr="00391D73">
        <w:lastRenderedPageBreak/>
        <w:t>e-PIMS slouží k obdobným cílům jako CRAB, nicméně na roční</w:t>
      </w:r>
      <w:r w:rsidR="000F5338">
        <w:t xml:space="preserve"> </w:t>
      </w:r>
      <w:r w:rsidRPr="00391D73">
        <w:t xml:space="preserve">provoz informačního systému e-PIMS </w:t>
      </w:r>
      <w:r w:rsidR="000F5338">
        <w:t xml:space="preserve">je </w:t>
      </w:r>
      <w:r w:rsidRPr="00391D73">
        <w:t xml:space="preserve">vynakládáno výrazně méně peněžních prostředků než na CRAB. </w:t>
      </w:r>
    </w:p>
    <w:p w14:paraId="7EB263B1" w14:textId="77777777" w:rsidR="00CD6733" w:rsidRPr="00391D73" w:rsidRDefault="00CD6733" w:rsidP="00CD6733">
      <w:r w:rsidRPr="00391D73">
        <w:t xml:space="preserve">V e-PIMS jsou evidovány různé typy objektů i pozemky, oproti tomu v CRAB jsou evidovány převážně jen administrativní objekty včetně pozemků, na kterých se tyto objekty nacházejí. </w:t>
      </w:r>
    </w:p>
    <w:p w14:paraId="1CA78AFE" w14:textId="17F7ED23" w:rsidR="00CD6733" w:rsidRPr="00391D73" w:rsidRDefault="00CD6733" w:rsidP="00CD6733">
      <w:pPr>
        <w:spacing w:after="0" w:line="240" w:lineRule="auto"/>
        <w:rPr>
          <w:b/>
        </w:rPr>
      </w:pPr>
      <w:r w:rsidRPr="00391D73">
        <w:rPr>
          <w:b/>
        </w:rPr>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7</w:t>
      </w:r>
      <w:r w:rsidRPr="00391D73">
        <w:rPr>
          <w:b/>
        </w:rPr>
        <w:fldChar w:fldCharType="end"/>
      </w:r>
      <w:r w:rsidRPr="00391D73">
        <w:rPr>
          <w:b/>
        </w:rPr>
        <w:t>: Údaje o nemovitém majetku ve Spojeném království</w:t>
      </w:r>
    </w:p>
    <w:tbl>
      <w:tblPr>
        <w:tblStyle w:val="Mkatabulky"/>
        <w:tblW w:w="0" w:type="auto"/>
        <w:tblInd w:w="108" w:type="dxa"/>
        <w:tblLook w:val="04A0" w:firstRow="1" w:lastRow="0" w:firstColumn="1" w:lastColumn="0" w:noHBand="0" w:noVBand="1"/>
      </w:tblPr>
      <w:tblGrid>
        <w:gridCol w:w="3402"/>
        <w:gridCol w:w="1143"/>
        <w:gridCol w:w="1125"/>
        <w:gridCol w:w="1134"/>
        <w:gridCol w:w="1134"/>
        <w:gridCol w:w="1134"/>
      </w:tblGrid>
      <w:tr w:rsidR="00CD6733" w:rsidRPr="00391D73" w14:paraId="0F029E4E" w14:textId="77777777" w:rsidTr="00CD6733">
        <w:tc>
          <w:tcPr>
            <w:tcW w:w="3402" w:type="dxa"/>
            <w:shd w:val="clear" w:color="auto" w:fill="E5F1FF"/>
            <w:vAlign w:val="center"/>
          </w:tcPr>
          <w:p w14:paraId="628BF854" w14:textId="77777777" w:rsidR="00CD6733" w:rsidRPr="00391D73" w:rsidRDefault="00CD6733" w:rsidP="00CD6733">
            <w:pPr>
              <w:jc w:val="center"/>
              <w:rPr>
                <w:b/>
                <w:sz w:val="20"/>
                <w:szCs w:val="20"/>
              </w:rPr>
            </w:pPr>
            <w:r w:rsidRPr="00391D73">
              <w:rPr>
                <w:b/>
                <w:sz w:val="20"/>
                <w:szCs w:val="20"/>
              </w:rPr>
              <w:t>Údaje o nemovitém majetku</w:t>
            </w:r>
          </w:p>
        </w:tc>
        <w:tc>
          <w:tcPr>
            <w:tcW w:w="1143" w:type="dxa"/>
            <w:shd w:val="clear" w:color="auto" w:fill="E5F1FF"/>
            <w:vAlign w:val="center"/>
          </w:tcPr>
          <w:p w14:paraId="2EC2A85A" w14:textId="77777777" w:rsidR="00CD6733" w:rsidRPr="00391D73" w:rsidRDefault="00CD6733" w:rsidP="00CD6733">
            <w:pPr>
              <w:jc w:val="center"/>
              <w:rPr>
                <w:b/>
                <w:sz w:val="20"/>
                <w:szCs w:val="20"/>
              </w:rPr>
            </w:pPr>
            <w:r w:rsidRPr="00391D73">
              <w:rPr>
                <w:b/>
                <w:sz w:val="20"/>
                <w:szCs w:val="20"/>
              </w:rPr>
              <w:t>2012</w:t>
            </w:r>
          </w:p>
        </w:tc>
        <w:tc>
          <w:tcPr>
            <w:tcW w:w="1125" w:type="dxa"/>
            <w:shd w:val="clear" w:color="auto" w:fill="E5F1FF"/>
            <w:vAlign w:val="center"/>
          </w:tcPr>
          <w:p w14:paraId="7CC14581" w14:textId="77777777" w:rsidR="00CD6733" w:rsidRPr="00391D73" w:rsidRDefault="00CD6733" w:rsidP="00CD6733">
            <w:pPr>
              <w:jc w:val="center"/>
              <w:rPr>
                <w:b/>
                <w:sz w:val="20"/>
                <w:szCs w:val="20"/>
              </w:rPr>
            </w:pPr>
            <w:r w:rsidRPr="00391D73">
              <w:rPr>
                <w:b/>
                <w:sz w:val="20"/>
                <w:szCs w:val="20"/>
              </w:rPr>
              <w:t>2013</w:t>
            </w:r>
          </w:p>
        </w:tc>
        <w:tc>
          <w:tcPr>
            <w:tcW w:w="1134" w:type="dxa"/>
            <w:shd w:val="clear" w:color="auto" w:fill="E5F1FF"/>
            <w:vAlign w:val="center"/>
          </w:tcPr>
          <w:p w14:paraId="1D946AA3" w14:textId="77777777" w:rsidR="00CD6733" w:rsidRPr="00391D73" w:rsidRDefault="00CD6733" w:rsidP="00CD6733">
            <w:pPr>
              <w:jc w:val="center"/>
              <w:rPr>
                <w:b/>
                <w:sz w:val="20"/>
                <w:szCs w:val="20"/>
              </w:rPr>
            </w:pPr>
            <w:r w:rsidRPr="00391D73">
              <w:rPr>
                <w:b/>
                <w:sz w:val="20"/>
                <w:szCs w:val="20"/>
              </w:rPr>
              <w:t>2014</w:t>
            </w:r>
          </w:p>
        </w:tc>
        <w:tc>
          <w:tcPr>
            <w:tcW w:w="1134" w:type="dxa"/>
            <w:shd w:val="clear" w:color="auto" w:fill="E5F1FF"/>
            <w:vAlign w:val="center"/>
          </w:tcPr>
          <w:p w14:paraId="61CBC3F5" w14:textId="77777777" w:rsidR="00CD6733" w:rsidRPr="00391D73" w:rsidRDefault="00CD6733" w:rsidP="00CD6733">
            <w:pPr>
              <w:jc w:val="center"/>
              <w:rPr>
                <w:b/>
                <w:sz w:val="20"/>
                <w:szCs w:val="20"/>
              </w:rPr>
            </w:pPr>
            <w:r w:rsidRPr="00391D73">
              <w:rPr>
                <w:b/>
                <w:sz w:val="20"/>
                <w:szCs w:val="20"/>
              </w:rPr>
              <w:t>2015</w:t>
            </w:r>
          </w:p>
        </w:tc>
        <w:tc>
          <w:tcPr>
            <w:tcW w:w="1134" w:type="dxa"/>
            <w:shd w:val="clear" w:color="auto" w:fill="E5F1FF"/>
            <w:vAlign w:val="center"/>
          </w:tcPr>
          <w:p w14:paraId="6129788D" w14:textId="77777777" w:rsidR="00CD6733" w:rsidRPr="00391D73" w:rsidRDefault="00CD6733" w:rsidP="00CD6733">
            <w:pPr>
              <w:jc w:val="center"/>
              <w:rPr>
                <w:b/>
                <w:sz w:val="20"/>
                <w:szCs w:val="20"/>
              </w:rPr>
            </w:pPr>
            <w:r w:rsidRPr="00391D73">
              <w:rPr>
                <w:b/>
                <w:sz w:val="20"/>
                <w:szCs w:val="20"/>
              </w:rPr>
              <w:t>2016</w:t>
            </w:r>
          </w:p>
        </w:tc>
      </w:tr>
      <w:tr w:rsidR="00CD6733" w:rsidRPr="00391D73" w14:paraId="7A58578D" w14:textId="77777777" w:rsidTr="00CD6733">
        <w:tc>
          <w:tcPr>
            <w:tcW w:w="3402" w:type="dxa"/>
            <w:vAlign w:val="center"/>
          </w:tcPr>
          <w:p w14:paraId="727FCB15" w14:textId="77777777" w:rsidR="00CD6733" w:rsidRPr="00391D73" w:rsidRDefault="00CD6733" w:rsidP="00CD6733">
            <w:pPr>
              <w:rPr>
                <w:sz w:val="20"/>
                <w:szCs w:val="20"/>
              </w:rPr>
            </w:pPr>
            <w:r w:rsidRPr="00391D73">
              <w:rPr>
                <w:sz w:val="20"/>
                <w:szCs w:val="20"/>
              </w:rPr>
              <w:t>Počet záznamů v e-PIMS (vč. pozemků)</w:t>
            </w:r>
          </w:p>
        </w:tc>
        <w:tc>
          <w:tcPr>
            <w:tcW w:w="1143" w:type="dxa"/>
            <w:vAlign w:val="center"/>
          </w:tcPr>
          <w:p w14:paraId="2B9EE00A" w14:textId="77777777" w:rsidR="00CD6733" w:rsidRPr="00391D73" w:rsidRDefault="00CD6733" w:rsidP="00CD6733">
            <w:pPr>
              <w:jc w:val="center"/>
              <w:rPr>
                <w:sz w:val="20"/>
                <w:szCs w:val="20"/>
              </w:rPr>
            </w:pPr>
            <w:r w:rsidRPr="00391D73">
              <w:rPr>
                <w:sz w:val="20"/>
                <w:szCs w:val="20"/>
              </w:rPr>
              <w:t>-</w:t>
            </w:r>
          </w:p>
        </w:tc>
        <w:tc>
          <w:tcPr>
            <w:tcW w:w="1125" w:type="dxa"/>
            <w:vAlign w:val="center"/>
          </w:tcPr>
          <w:p w14:paraId="09059968" w14:textId="77777777" w:rsidR="00CD6733" w:rsidRPr="00391D73" w:rsidRDefault="00CD6733" w:rsidP="00CD6733">
            <w:pPr>
              <w:jc w:val="center"/>
              <w:rPr>
                <w:sz w:val="20"/>
                <w:szCs w:val="20"/>
              </w:rPr>
            </w:pPr>
            <w:r w:rsidRPr="00391D73">
              <w:rPr>
                <w:sz w:val="20"/>
                <w:szCs w:val="20"/>
              </w:rPr>
              <w:t>-</w:t>
            </w:r>
          </w:p>
        </w:tc>
        <w:tc>
          <w:tcPr>
            <w:tcW w:w="1134" w:type="dxa"/>
            <w:vAlign w:val="center"/>
          </w:tcPr>
          <w:p w14:paraId="36DADFFB" w14:textId="77777777" w:rsidR="00CD6733" w:rsidRPr="00391D73" w:rsidRDefault="00CD6733" w:rsidP="00CD6733">
            <w:pPr>
              <w:jc w:val="right"/>
              <w:rPr>
                <w:sz w:val="20"/>
                <w:szCs w:val="20"/>
              </w:rPr>
            </w:pPr>
            <w:r w:rsidRPr="00391D73">
              <w:rPr>
                <w:sz w:val="20"/>
                <w:szCs w:val="20"/>
              </w:rPr>
              <w:t>≥100 000</w:t>
            </w:r>
          </w:p>
        </w:tc>
        <w:tc>
          <w:tcPr>
            <w:tcW w:w="1134" w:type="dxa"/>
            <w:vAlign w:val="center"/>
          </w:tcPr>
          <w:p w14:paraId="05CF78AE" w14:textId="77777777" w:rsidR="00CD6733" w:rsidRPr="00391D73" w:rsidRDefault="00CD6733" w:rsidP="00CD6733">
            <w:pPr>
              <w:jc w:val="right"/>
              <w:rPr>
                <w:rFonts w:cs="HelveticaNeueLT Pro 45 Lt"/>
                <w:color w:val="000000"/>
                <w:sz w:val="20"/>
                <w:szCs w:val="20"/>
              </w:rPr>
            </w:pPr>
            <w:r w:rsidRPr="00391D73">
              <w:rPr>
                <w:rFonts w:cs="HelveticaNeueLT Pro 45 Lt"/>
                <w:color w:val="000000"/>
                <w:sz w:val="20"/>
                <w:szCs w:val="20"/>
              </w:rPr>
              <w:t>150 000</w:t>
            </w:r>
          </w:p>
        </w:tc>
        <w:tc>
          <w:tcPr>
            <w:tcW w:w="1134" w:type="dxa"/>
            <w:vAlign w:val="center"/>
          </w:tcPr>
          <w:p w14:paraId="03554C2F" w14:textId="77777777" w:rsidR="00CD6733" w:rsidRPr="00391D73" w:rsidRDefault="00CD6733" w:rsidP="00CD6733">
            <w:pPr>
              <w:jc w:val="right"/>
              <w:rPr>
                <w:sz w:val="20"/>
                <w:szCs w:val="20"/>
              </w:rPr>
            </w:pPr>
            <w:r w:rsidRPr="00391D73">
              <w:rPr>
                <w:sz w:val="20"/>
                <w:szCs w:val="20"/>
              </w:rPr>
              <w:t>209 000</w:t>
            </w:r>
          </w:p>
        </w:tc>
      </w:tr>
      <w:tr w:rsidR="00CD6733" w:rsidRPr="00391D73" w14:paraId="517D191E" w14:textId="77777777" w:rsidTr="00CD6733">
        <w:tc>
          <w:tcPr>
            <w:tcW w:w="3402" w:type="dxa"/>
            <w:vAlign w:val="center"/>
          </w:tcPr>
          <w:p w14:paraId="2A23AA12" w14:textId="77777777" w:rsidR="00CD6733" w:rsidRPr="00391D73" w:rsidRDefault="00CD6733" w:rsidP="00CD6733">
            <w:pPr>
              <w:rPr>
                <w:sz w:val="20"/>
                <w:szCs w:val="20"/>
              </w:rPr>
            </w:pPr>
            <w:r w:rsidRPr="00391D73">
              <w:rPr>
                <w:sz w:val="20"/>
                <w:szCs w:val="20"/>
              </w:rPr>
              <w:t>Počet vlastnických podílů</w:t>
            </w:r>
          </w:p>
        </w:tc>
        <w:tc>
          <w:tcPr>
            <w:tcW w:w="1143" w:type="dxa"/>
            <w:vAlign w:val="center"/>
          </w:tcPr>
          <w:p w14:paraId="35404A09" w14:textId="77777777" w:rsidR="00CD6733" w:rsidRPr="00391D73" w:rsidRDefault="00CD6733" w:rsidP="00CD6733">
            <w:pPr>
              <w:jc w:val="right"/>
              <w:rPr>
                <w:sz w:val="20"/>
                <w:szCs w:val="20"/>
              </w:rPr>
            </w:pPr>
            <w:r w:rsidRPr="00391D73">
              <w:rPr>
                <w:sz w:val="20"/>
                <w:szCs w:val="20"/>
              </w:rPr>
              <w:t>5 957</w:t>
            </w:r>
          </w:p>
        </w:tc>
        <w:tc>
          <w:tcPr>
            <w:tcW w:w="1125" w:type="dxa"/>
            <w:vAlign w:val="center"/>
          </w:tcPr>
          <w:p w14:paraId="7E64F868" w14:textId="77777777" w:rsidR="00CD6733" w:rsidRPr="00391D73" w:rsidRDefault="00CD6733" w:rsidP="00CD6733">
            <w:pPr>
              <w:jc w:val="right"/>
              <w:rPr>
                <w:sz w:val="20"/>
                <w:szCs w:val="20"/>
              </w:rPr>
            </w:pPr>
            <w:r w:rsidRPr="00391D73">
              <w:rPr>
                <w:sz w:val="20"/>
                <w:szCs w:val="20"/>
              </w:rPr>
              <w:t>5 469</w:t>
            </w:r>
          </w:p>
        </w:tc>
        <w:tc>
          <w:tcPr>
            <w:tcW w:w="1134" w:type="dxa"/>
            <w:vAlign w:val="center"/>
          </w:tcPr>
          <w:p w14:paraId="029AB661" w14:textId="77777777" w:rsidR="00CD6733" w:rsidRPr="00391D73" w:rsidRDefault="00CD6733" w:rsidP="00CD6733">
            <w:pPr>
              <w:jc w:val="right"/>
              <w:rPr>
                <w:sz w:val="20"/>
                <w:szCs w:val="20"/>
              </w:rPr>
            </w:pPr>
            <w:r w:rsidRPr="00391D73">
              <w:rPr>
                <w:sz w:val="20"/>
                <w:szCs w:val="20"/>
              </w:rPr>
              <w:t>5 195</w:t>
            </w:r>
          </w:p>
        </w:tc>
        <w:tc>
          <w:tcPr>
            <w:tcW w:w="1134" w:type="dxa"/>
            <w:vAlign w:val="center"/>
          </w:tcPr>
          <w:p w14:paraId="04535FD0" w14:textId="77777777" w:rsidR="00CD6733" w:rsidRPr="00391D73" w:rsidRDefault="00CD6733" w:rsidP="00CD6733">
            <w:pPr>
              <w:jc w:val="right"/>
              <w:rPr>
                <w:rFonts w:cs="HelveticaNeueLT Pro 45 Lt"/>
                <w:color w:val="000000"/>
                <w:sz w:val="20"/>
                <w:szCs w:val="20"/>
              </w:rPr>
            </w:pPr>
            <w:r w:rsidRPr="00391D73">
              <w:rPr>
                <w:rFonts w:cs="HelveticaNeueLT Pro 45 Lt"/>
                <w:color w:val="000000"/>
                <w:sz w:val="20"/>
                <w:szCs w:val="20"/>
              </w:rPr>
              <w:t>4 900</w:t>
            </w:r>
          </w:p>
        </w:tc>
        <w:tc>
          <w:tcPr>
            <w:tcW w:w="1134" w:type="dxa"/>
            <w:vAlign w:val="center"/>
          </w:tcPr>
          <w:p w14:paraId="0D8F675D" w14:textId="77777777" w:rsidR="00CD6733" w:rsidRPr="00391D73" w:rsidRDefault="00CD6733" w:rsidP="00CD6733">
            <w:pPr>
              <w:jc w:val="right"/>
              <w:rPr>
                <w:sz w:val="20"/>
                <w:szCs w:val="20"/>
              </w:rPr>
            </w:pPr>
            <w:r w:rsidRPr="00391D73">
              <w:rPr>
                <w:sz w:val="20"/>
                <w:szCs w:val="20"/>
              </w:rPr>
              <w:t>4 653</w:t>
            </w:r>
          </w:p>
        </w:tc>
      </w:tr>
      <w:tr w:rsidR="00CD6733" w:rsidRPr="00391D73" w14:paraId="3613C8E8" w14:textId="77777777" w:rsidTr="00CD6733">
        <w:tc>
          <w:tcPr>
            <w:tcW w:w="3402" w:type="dxa"/>
            <w:vAlign w:val="center"/>
          </w:tcPr>
          <w:p w14:paraId="47396349" w14:textId="77777777" w:rsidR="00CD6733" w:rsidRPr="00391D73" w:rsidRDefault="00CD6733" w:rsidP="00CD6733">
            <w:pPr>
              <w:rPr>
                <w:sz w:val="20"/>
                <w:szCs w:val="20"/>
              </w:rPr>
            </w:pPr>
            <w:r w:rsidRPr="00391D73">
              <w:rPr>
                <w:sz w:val="20"/>
                <w:szCs w:val="20"/>
              </w:rPr>
              <w:t>Čistá vnitřní plocha (NIA) v tis. m</w:t>
            </w:r>
            <w:r w:rsidRPr="00391D73">
              <w:rPr>
                <w:sz w:val="20"/>
                <w:szCs w:val="20"/>
                <w:vertAlign w:val="superscript"/>
              </w:rPr>
              <w:t>2</w:t>
            </w:r>
          </w:p>
        </w:tc>
        <w:tc>
          <w:tcPr>
            <w:tcW w:w="1143" w:type="dxa"/>
            <w:vAlign w:val="center"/>
          </w:tcPr>
          <w:p w14:paraId="7FA2BF55" w14:textId="77777777" w:rsidR="00CD6733" w:rsidRPr="00391D73" w:rsidRDefault="00CD6733" w:rsidP="00CD6733">
            <w:pPr>
              <w:jc w:val="right"/>
              <w:rPr>
                <w:sz w:val="20"/>
                <w:szCs w:val="20"/>
              </w:rPr>
            </w:pPr>
            <w:r w:rsidRPr="00391D73">
              <w:rPr>
                <w:sz w:val="20"/>
                <w:szCs w:val="20"/>
              </w:rPr>
              <w:t>9 720</w:t>
            </w:r>
          </w:p>
        </w:tc>
        <w:tc>
          <w:tcPr>
            <w:tcW w:w="1125" w:type="dxa"/>
            <w:vAlign w:val="center"/>
          </w:tcPr>
          <w:p w14:paraId="21931B96" w14:textId="77777777" w:rsidR="00CD6733" w:rsidRPr="00391D73" w:rsidRDefault="00CD6733" w:rsidP="00CD6733">
            <w:pPr>
              <w:jc w:val="right"/>
              <w:rPr>
                <w:sz w:val="20"/>
                <w:szCs w:val="20"/>
              </w:rPr>
            </w:pPr>
            <w:r w:rsidRPr="00391D73">
              <w:rPr>
                <w:sz w:val="20"/>
                <w:szCs w:val="20"/>
              </w:rPr>
              <w:t>9 040</w:t>
            </w:r>
          </w:p>
        </w:tc>
        <w:tc>
          <w:tcPr>
            <w:tcW w:w="1134" w:type="dxa"/>
            <w:vAlign w:val="center"/>
          </w:tcPr>
          <w:p w14:paraId="23961F23" w14:textId="77777777" w:rsidR="00CD6733" w:rsidRPr="00391D73" w:rsidRDefault="00CD6733" w:rsidP="00CD6733">
            <w:pPr>
              <w:jc w:val="right"/>
              <w:rPr>
                <w:sz w:val="20"/>
                <w:szCs w:val="20"/>
              </w:rPr>
            </w:pPr>
            <w:r w:rsidRPr="00391D73">
              <w:rPr>
                <w:sz w:val="20"/>
                <w:szCs w:val="20"/>
              </w:rPr>
              <w:t>8 580</w:t>
            </w:r>
          </w:p>
        </w:tc>
        <w:tc>
          <w:tcPr>
            <w:tcW w:w="1134" w:type="dxa"/>
            <w:vAlign w:val="center"/>
          </w:tcPr>
          <w:p w14:paraId="51354CCB" w14:textId="77777777" w:rsidR="00CD6733" w:rsidRPr="00391D73" w:rsidRDefault="00CD6733" w:rsidP="00CD6733">
            <w:pPr>
              <w:jc w:val="right"/>
              <w:rPr>
                <w:sz w:val="20"/>
                <w:szCs w:val="20"/>
              </w:rPr>
            </w:pPr>
            <w:r w:rsidRPr="00391D73">
              <w:rPr>
                <w:rFonts w:cs="HelveticaNeueLT Pro 45 Lt"/>
                <w:color w:val="000000"/>
                <w:sz w:val="20"/>
                <w:szCs w:val="20"/>
              </w:rPr>
              <w:t>8 314</w:t>
            </w:r>
          </w:p>
        </w:tc>
        <w:tc>
          <w:tcPr>
            <w:tcW w:w="1134" w:type="dxa"/>
            <w:vAlign w:val="center"/>
          </w:tcPr>
          <w:p w14:paraId="04CFE1BD" w14:textId="77777777" w:rsidR="00CD6733" w:rsidRPr="00391D73" w:rsidRDefault="00CD6733" w:rsidP="00CD6733">
            <w:pPr>
              <w:jc w:val="right"/>
              <w:rPr>
                <w:sz w:val="20"/>
                <w:szCs w:val="20"/>
              </w:rPr>
            </w:pPr>
            <w:r w:rsidRPr="00391D73">
              <w:rPr>
                <w:rFonts w:cs="HelveticaNeueLT Pro 45 Lt"/>
                <w:color w:val="000000"/>
                <w:sz w:val="20"/>
                <w:szCs w:val="20"/>
              </w:rPr>
              <w:t>8 007</w:t>
            </w:r>
          </w:p>
        </w:tc>
      </w:tr>
      <w:tr w:rsidR="00CD6733" w:rsidRPr="00391D73" w14:paraId="2300DF3B" w14:textId="77777777" w:rsidTr="00CD6733">
        <w:tc>
          <w:tcPr>
            <w:tcW w:w="3402" w:type="dxa"/>
            <w:vAlign w:val="center"/>
          </w:tcPr>
          <w:p w14:paraId="300F3D6E" w14:textId="77777777" w:rsidR="00CD6733" w:rsidRPr="00391D73" w:rsidRDefault="00CD6733" w:rsidP="00CD6733">
            <w:pPr>
              <w:rPr>
                <w:sz w:val="20"/>
                <w:szCs w:val="20"/>
              </w:rPr>
            </w:pPr>
            <w:r w:rsidRPr="00391D73">
              <w:rPr>
                <w:sz w:val="20"/>
                <w:szCs w:val="20"/>
              </w:rPr>
              <w:t>Nevyužitá plocha v tis. m</w:t>
            </w:r>
            <w:r w:rsidRPr="00391D73">
              <w:rPr>
                <w:sz w:val="20"/>
                <w:szCs w:val="20"/>
                <w:vertAlign w:val="superscript"/>
              </w:rPr>
              <w:t>2</w:t>
            </w:r>
          </w:p>
        </w:tc>
        <w:tc>
          <w:tcPr>
            <w:tcW w:w="1143" w:type="dxa"/>
            <w:vAlign w:val="center"/>
          </w:tcPr>
          <w:p w14:paraId="53B473EF" w14:textId="77777777" w:rsidR="00CD6733" w:rsidRPr="00391D73" w:rsidRDefault="00CD6733" w:rsidP="00CD6733">
            <w:pPr>
              <w:jc w:val="right"/>
              <w:rPr>
                <w:sz w:val="20"/>
                <w:szCs w:val="20"/>
              </w:rPr>
            </w:pPr>
            <w:r w:rsidRPr="00391D73">
              <w:rPr>
                <w:sz w:val="20"/>
                <w:szCs w:val="20"/>
              </w:rPr>
              <w:t>274</w:t>
            </w:r>
          </w:p>
        </w:tc>
        <w:tc>
          <w:tcPr>
            <w:tcW w:w="1125" w:type="dxa"/>
            <w:vAlign w:val="center"/>
          </w:tcPr>
          <w:p w14:paraId="4CD082E5" w14:textId="77777777" w:rsidR="00CD6733" w:rsidRPr="00391D73" w:rsidRDefault="00CD6733" w:rsidP="00CD6733">
            <w:pPr>
              <w:jc w:val="right"/>
              <w:rPr>
                <w:sz w:val="20"/>
                <w:szCs w:val="20"/>
              </w:rPr>
            </w:pPr>
            <w:r w:rsidRPr="00391D73">
              <w:rPr>
                <w:sz w:val="20"/>
                <w:szCs w:val="20"/>
              </w:rPr>
              <w:t>223</w:t>
            </w:r>
          </w:p>
        </w:tc>
        <w:tc>
          <w:tcPr>
            <w:tcW w:w="1134" w:type="dxa"/>
            <w:vAlign w:val="center"/>
          </w:tcPr>
          <w:p w14:paraId="763A7AAF" w14:textId="77777777" w:rsidR="00CD6733" w:rsidRPr="00391D73" w:rsidRDefault="00CD6733" w:rsidP="00CD6733">
            <w:pPr>
              <w:jc w:val="right"/>
              <w:rPr>
                <w:sz w:val="20"/>
                <w:szCs w:val="20"/>
              </w:rPr>
            </w:pPr>
            <w:r w:rsidRPr="00391D73">
              <w:rPr>
                <w:sz w:val="20"/>
                <w:szCs w:val="20"/>
              </w:rPr>
              <w:t>204</w:t>
            </w:r>
          </w:p>
        </w:tc>
        <w:tc>
          <w:tcPr>
            <w:tcW w:w="1134" w:type="dxa"/>
            <w:vAlign w:val="center"/>
          </w:tcPr>
          <w:p w14:paraId="3C817034" w14:textId="77777777" w:rsidR="00CD6733" w:rsidRPr="00391D73" w:rsidRDefault="00CD6733" w:rsidP="00CD6733">
            <w:pPr>
              <w:jc w:val="right"/>
              <w:rPr>
                <w:sz w:val="20"/>
                <w:szCs w:val="20"/>
              </w:rPr>
            </w:pPr>
            <w:r w:rsidRPr="00391D73">
              <w:rPr>
                <w:rFonts w:cs="HelveticaNeueLT Pro 45 Lt"/>
                <w:color w:val="000000"/>
                <w:sz w:val="20"/>
                <w:szCs w:val="20"/>
              </w:rPr>
              <w:t>164</w:t>
            </w:r>
          </w:p>
        </w:tc>
        <w:tc>
          <w:tcPr>
            <w:tcW w:w="1134" w:type="dxa"/>
            <w:vAlign w:val="center"/>
          </w:tcPr>
          <w:p w14:paraId="4CBA52A2" w14:textId="77777777" w:rsidR="00CD6733" w:rsidRPr="00391D73" w:rsidRDefault="00CD6733" w:rsidP="00CD6733">
            <w:pPr>
              <w:jc w:val="right"/>
              <w:rPr>
                <w:sz w:val="20"/>
                <w:szCs w:val="20"/>
              </w:rPr>
            </w:pPr>
            <w:r w:rsidRPr="00391D73">
              <w:rPr>
                <w:sz w:val="20"/>
                <w:szCs w:val="20"/>
              </w:rPr>
              <w:t>111</w:t>
            </w:r>
          </w:p>
        </w:tc>
      </w:tr>
      <w:tr w:rsidR="00CD6733" w:rsidRPr="00391D73" w14:paraId="331E8779" w14:textId="77777777" w:rsidTr="00CD6733">
        <w:tc>
          <w:tcPr>
            <w:tcW w:w="3402" w:type="dxa"/>
            <w:vAlign w:val="center"/>
          </w:tcPr>
          <w:p w14:paraId="73808DC2" w14:textId="77777777" w:rsidR="00CD6733" w:rsidRPr="00391D73" w:rsidRDefault="00CD6733" w:rsidP="00CD6733">
            <w:pPr>
              <w:rPr>
                <w:sz w:val="20"/>
                <w:szCs w:val="20"/>
              </w:rPr>
            </w:pPr>
            <w:r w:rsidRPr="00391D73">
              <w:rPr>
                <w:sz w:val="20"/>
                <w:szCs w:val="20"/>
              </w:rPr>
              <w:t>Celkové roční náklady</w:t>
            </w:r>
            <w:r w:rsidRPr="00391D73">
              <w:rPr>
                <w:rStyle w:val="Znakapoznpodarou"/>
                <w:sz w:val="20"/>
                <w:szCs w:val="20"/>
              </w:rPr>
              <w:footnoteReference w:id="81"/>
            </w:r>
            <w:r w:rsidRPr="00391D73">
              <w:rPr>
                <w:sz w:val="20"/>
                <w:szCs w:val="20"/>
              </w:rPr>
              <w:t xml:space="preserve"> v mil. £</w:t>
            </w:r>
          </w:p>
        </w:tc>
        <w:tc>
          <w:tcPr>
            <w:tcW w:w="1143" w:type="dxa"/>
            <w:vAlign w:val="center"/>
          </w:tcPr>
          <w:p w14:paraId="25CB3594" w14:textId="77777777" w:rsidR="00CD6733" w:rsidRPr="00391D73" w:rsidRDefault="00CD6733" w:rsidP="00CD6733">
            <w:pPr>
              <w:jc w:val="right"/>
              <w:rPr>
                <w:sz w:val="20"/>
                <w:szCs w:val="20"/>
              </w:rPr>
            </w:pPr>
            <w:r w:rsidRPr="00391D73">
              <w:rPr>
                <w:sz w:val="20"/>
                <w:szCs w:val="20"/>
              </w:rPr>
              <w:t>3 135</w:t>
            </w:r>
          </w:p>
        </w:tc>
        <w:tc>
          <w:tcPr>
            <w:tcW w:w="1125" w:type="dxa"/>
            <w:vAlign w:val="center"/>
          </w:tcPr>
          <w:p w14:paraId="7FD32A08" w14:textId="77777777" w:rsidR="00CD6733" w:rsidRPr="00391D73" w:rsidRDefault="00CD6733" w:rsidP="00CD6733">
            <w:pPr>
              <w:jc w:val="right"/>
              <w:rPr>
                <w:sz w:val="20"/>
                <w:szCs w:val="20"/>
              </w:rPr>
            </w:pPr>
            <w:r w:rsidRPr="00391D73">
              <w:rPr>
                <w:sz w:val="20"/>
                <w:szCs w:val="20"/>
              </w:rPr>
              <w:t>2 989</w:t>
            </w:r>
          </w:p>
        </w:tc>
        <w:tc>
          <w:tcPr>
            <w:tcW w:w="1134" w:type="dxa"/>
            <w:vAlign w:val="center"/>
          </w:tcPr>
          <w:p w14:paraId="630068BE" w14:textId="77777777" w:rsidR="00CD6733" w:rsidRPr="00391D73" w:rsidRDefault="00CD6733" w:rsidP="00CD6733">
            <w:pPr>
              <w:jc w:val="right"/>
              <w:rPr>
                <w:sz w:val="20"/>
                <w:szCs w:val="20"/>
              </w:rPr>
            </w:pPr>
            <w:r w:rsidRPr="00391D73">
              <w:rPr>
                <w:sz w:val="20"/>
                <w:szCs w:val="20"/>
              </w:rPr>
              <w:t>2 924</w:t>
            </w:r>
          </w:p>
        </w:tc>
        <w:tc>
          <w:tcPr>
            <w:tcW w:w="1134" w:type="dxa"/>
            <w:vAlign w:val="center"/>
          </w:tcPr>
          <w:p w14:paraId="21BF3A56" w14:textId="77777777" w:rsidR="00CD6733" w:rsidRPr="00391D73" w:rsidRDefault="00CD6733" w:rsidP="00CD6733">
            <w:pPr>
              <w:jc w:val="right"/>
              <w:rPr>
                <w:sz w:val="20"/>
                <w:szCs w:val="20"/>
              </w:rPr>
            </w:pPr>
            <w:r w:rsidRPr="00391D73">
              <w:rPr>
                <w:sz w:val="20"/>
                <w:szCs w:val="20"/>
              </w:rPr>
              <w:t>2 697</w:t>
            </w:r>
          </w:p>
        </w:tc>
        <w:tc>
          <w:tcPr>
            <w:tcW w:w="1134" w:type="dxa"/>
            <w:vAlign w:val="center"/>
          </w:tcPr>
          <w:p w14:paraId="402DABA4" w14:textId="77777777" w:rsidR="00CD6733" w:rsidRPr="00391D73" w:rsidRDefault="00CD6733" w:rsidP="00CD6733">
            <w:pPr>
              <w:jc w:val="right"/>
              <w:rPr>
                <w:sz w:val="20"/>
                <w:szCs w:val="20"/>
              </w:rPr>
            </w:pPr>
            <w:r w:rsidRPr="00391D73">
              <w:rPr>
                <w:sz w:val="20"/>
                <w:szCs w:val="20"/>
              </w:rPr>
              <w:t>2 550</w:t>
            </w:r>
          </w:p>
        </w:tc>
      </w:tr>
    </w:tbl>
    <w:p w14:paraId="353FFF14" w14:textId="5EE15978" w:rsidR="00CD6733" w:rsidRPr="00391D73" w:rsidRDefault="00CD6733" w:rsidP="00CD6733">
      <w:pPr>
        <w:rPr>
          <w:sz w:val="20"/>
          <w:szCs w:val="20"/>
        </w:rPr>
      </w:pPr>
      <w:r w:rsidRPr="00391D73">
        <w:rPr>
          <w:b/>
          <w:sz w:val="20"/>
          <w:szCs w:val="20"/>
        </w:rPr>
        <w:t>Zdroj:</w:t>
      </w:r>
      <w:r w:rsidRPr="00391D73">
        <w:rPr>
          <w:sz w:val="20"/>
          <w:szCs w:val="20"/>
        </w:rPr>
        <w:t xml:space="preserve"> </w:t>
      </w:r>
      <w:r w:rsidR="002467D6">
        <w:rPr>
          <w:sz w:val="20"/>
          <w:szCs w:val="20"/>
        </w:rPr>
        <w:t xml:space="preserve">zpráva </w:t>
      </w:r>
      <w:r w:rsidRPr="00702837">
        <w:rPr>
          <w:i/>
          <w:sz w:val="20"/>
          <w:szCs w:val="20"/>
        </w:rPr>
        <w:t>The State of Estate in 2012</w:t>
      </w:r>
      <w:r w:rsidRPr="00391D73">
        <w:rPr>
          <w:sz w:val="20"/>
          <w:szCs w:val="20"/>
        </w:rPr>
        <w:t xml:space="preserve"> </w:t>
      </w:r>
      <w:r w:rsidR="002467D6">
        <w:rPr>
          <w:sz w:val="20"/>
          <w:szCs w:val="20"/>
        </w:rPr>
        <w:t xml:space="preserve">a dále verze z let </w:t>
      </w:r>
      <w:r w:rsidRPr="00391D73">
        <w:rPr>
          <w:sz w:val="20"/>
          <w:szCs w:val="20"/>
        </w:rPr>
        <w:t>2013, 2013/2014, 2014</w:t>
      </w:r>
      <w:r w:rsidR="002467D6">
        <w:rPr>
          <w:sz w:val="20"/>
          <w:szCs w:val="20"/>
        </w:rPr>
        <w:t>–</w:t>
      </w:r>
      <w:r w:rsidRPr="00391D73">
        <w:rPr>
          <w:sz w:val="20"/>
          <w:szCs w:val="20"/>
        </w:rPr>
        <w:t>15, 2015</w:t>
      </w:r>
      <w:r w:rsidR="002467D6">
        <w:rPr>
          <w:sz w:val="20"/>
          <w:szCs w:val="20"/>
        </w:rPr>
        <w:t>–</w:t>
      </w:r>
      <w:r w:rsidRPr="00391D73">
        <w:rPr>
          <w:sz w:val="20"/>
          <w:szCs w:val="20"/>
        </w:rPr>
        <w:t>16.</w:t>
      </w:r>
    </w:p>
    <w:p w14:paraId="73297F19" w14:textId="06323035" w:rsidR="00CD6733" w:rsidRPr="00391D73" w:rsidRDefault="00CD6733" w:rsidP="00CD6733">
      <w:r w:rsidRPr="00391D73">
        <w:t>Ze srovnávaných zemí UK,</w:t>
      </w:r>
      <w:r>
        <w:t xml:space="preserve"> </w:t>
      </w:r>
      <w:r w:rsidRPr="00391D73">
        <w:t>ČR a HU sledují a vyhodnocují klíčové ukazatele výkonnosti (dále také „KPI“) spojené s optimalizací v oblasti správy a užívání nemovitého majetku. V Maďarsku jsou KPI</w:t>
      </w:r>
      <w:r w:rsidRPr="00391D73">
        <w:rPr>
          <w:rStyle w:val="Znakapoznpodarou"/>
        </w:rPr>
        <w:footnoteReference w:id="82"/>
      </w:r>
      <w:r w:rsidRPr="00391D73">
        <w:t xml:space="preserve"> sledovány pouze pro potřeby národní energetické strategie a akčního plánu.</w:t>
      </w:r>
    </w:p>
    <w:p w14:paraId="19FDE44F" w14:textId="77777777" w:rsidR="00CD6733" w:rsidRPr="00391D73" w:rsidRDefault="00CD6733" w:rsidP="00CD6733">
      <w:r w:rsidRPr="00391D73">
        <w:t>V UK sleduje GPU prostřednictvím benchmarkingu KPI v oblasti efektivnosti</w:t>
      </w:r>
      <w:r w:rsidRPr="00391D73">
        <w:rPr>
          <w:rStyle w:val="Znakapoznpodarou"/>
        </w:rPr>
        <w:footnoteReference w:id="83"/>
      </w:r>
      <w:r w:rsidRPr="00391D73">
        <w:t>, vlivu na životní prostředí</w:t>
      </w:r>
      <w:r w:rsidRPr="00391D73">
        <w:rPr>
          <w:rStyle w:val="Znakapoznpodarou"/>
        </w:rPr>
        <w:footnoteReference w:id="84"/>
      </w:r>
      <w:r w:rsidRPr="00391D73">
        <w:t xml:space="preserve"> a účelnosti</w:t>
      </w:r>
      <w:r w:rsidRPr="00391D73">
        <w:rPr>
          <w:rStyle w:val="Znakapoznpodarou"/>
        </w:rPr>
        <w:footnoteReference w:id="85"/>
      </w:r>
      <w:r w:rsidRPr="00391D73">
        <w:t>. Vybrané KPI jsou uvedeny v tabulce č. 3 a dále v tabulce č. 7 a 8.</w:t>
      </w:r>
    </w:p>
    <w:p w14:paraId="3C2C78DA" w14:textId="3B8AAA9C" w:rsidR="00CD6733" w:rsidRPr="00391D73" w:rsidRDefault="00CD6733" w:rsidP="00CD6733">
      <w:pPr>
        <w:spacing w:after="0" w:line="240" w:lineRule="auto"/>
        <w:rPr>
          <w:b/>
        </w:rPr>
      </w:pPr>
      <w:r w:rsidRPr="00391D73">
        <w:rPr>
          <w:b/>
        </w:rPr>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8</w:t>
      </w:r>
      <w:r w:rsidRPr="00391D73">
        <w:rPr>
          <w:b/>
        </w:rPr>
        <w:fldChar w:fldCharType="end"/>
      </w:r>
      <w:r w:rsidRPr="00391D73">
        <w:rPr>
          <w:b/>
        </w:rPr>
        <w:t>: Vybrané KPI v letech 2012–2016 ve Spojeném království</w:t>
      </w:r>
    </w:p>
    <w:tbl>
      <w:tblPr>
        <w:tblStyle w:val="Mkatabulky"/>
        <w:tblW w:w="0" w:type="auto"/>
        <w:tblInd w:w="108" w:type="dxa"/>
        <w:tblLook w:val="04A0" w:firstRow="1" w:lastRow="0" w:firstColumn="1" w:lastColumn="0" w:noHBand="0" w:noVBand="1"/>
      </w:tblPr>
      <w:tblGrid>
        <w:gridCol w:w="4120"/>
        <w:gridCol w:w="983"/>
        <w:gridCol w:w="993"/>
        <w:gridCol w:w="992"/>
        <w:gridCol w:w="992"/>
        <w:gridCol w:w="992"/>
      </w:tblGrid>
      <w:tr w:rsidR="00CD6733" w:rsidRPr="00391D73" w14:paraId="1636AC9E" w14:textId="77777777" w:rsidTr="00CD6733">
        <w:tc>
          <w:tcPr>
            <w:tcW w:w="4120" w:type="dxa"/>
            <w:shd w:val="clear" w:color="auto" w:fill="E5F1FF"/>
            <w:vAlign w:val="center"/>
          </w:tcPr>
          <w:p w14:paraId="112507FC" w14:textId="77777777" w:rsidR="00CD6733" w:rsidRPr="00391D73" w:rsidRDefault="00CD6733" w:rsidP="00CD6733">
            <w:pPr>
              <w:jc w:val="center"/>
              <w:rPr>
                <w:b/>
                <w:sz w:val="20"/>
                <w:szCs w:val="20"/>
              </w:rPr>
            </w:pPr>
            <w:r w:rsidRPr="00391D73">
              <w:rPr>
                <w:b/>
                <w:sz w:val="20"/>
                <w:szCs w:val="20"/>
              </w:rPr>
              <w:t>Ukazatel</w:t>
            </w:r>
          </w:p>
        </w:tc>
        <w:tc>
          <w:tcPr>
            <w:tcW w:w="983" w:type="dxa"/>
            <w:shd w:val="clear" w:color="auto" w:fill="E5F1FF"/>
            <w:vAlign w:val="center"/>
          </w:tcPr>
          <w:p w14:paraId="54AFF848" w14:textId="77777777" w:rsidR="00CD6733" w:rsidRPr="00391D73" w:rsidRDefault="00CD6733" w:rsidP="00CD6733">
            <w:pPr>
              <w:jc w:val="center"/>
              <w:rPr>
                <w:b/>
                <w:sz w:val="20"/>
                <w:szCs w:val="20"/>
              </w:rPr>
            </w:pPr>
            <w:r w:rsidRPr="00391D73">
              <w:rPr>
                <w:b/>
                <w:sz w:val="20"/>
                <w:szCs w:val="20"/>
              </w:rPr>
              <w:t>2012</w:t>
            </w:r>
          </w:p>
        </w:tc>
        <w:tc>
          <w:tcPr>
            <w:tcW w:w="993" w:type="dxa"/>
            <w:shd w:val="clear" w:color="auto" w:fill="E5F1FF"/>
            <w:vAlign w:val="center"/>
          </w:tcPr>
          <w:p w14:paraId="7DD4C2A9" w14:textId="77777777" w:rsidR="00CD6733" w:rsidRPr="00391D73" w:rsidRDefault="00CD6733" w:rsidP="00CD6733">
            <w:pPr>
              <w:jc w:val="center"/>
              <w:rPr>
                <w:b/>
                <w:sz w:val="20"/>
                <w:szCs w:val="20"/>
              </w:rPr>
            </w:pPr>
            <w:r w:rsidRPr="00391D73">
              <w:rPr>
                <w:b/>
                <w:sz w:val="20"/>
                <w:szCs w:val="20"/>
              </w:rPr>
              <w:t>2013</w:t>
            </w:r>
          </w:p>
        </w:tc>
        <w:tc>
          <w:tcPr>
            <w:tcW w:w="992" w:type="dxa"/>
            <w:shd w:val="clear" w:color="auto" w:fill="E5F1FF"/>
            <w:vAlign w:val="center"/>
          </w:tcPr>
          <w:p w14:paraId="663CCBCC" w14:textId="77777777" w:rsidR="00CD6733" w:rsidRPr="00391D73" w:rsidRDefault="00CD6733" w:rsidP="00CD6733">
            <w:pPr>
              <w:jc w:val="center"/>
              <w:rPr>
                <w:b/>
                <w:sz w:val="20"/>
                <w:szCs w:val="20"/>
              </w:rPr>
            </w:pPr>
            <w:r w:rsidRPr="00391D73">
              <w:rPr>
                <w:b/>
                <w:sz w:val="20"/>
                <w:szCs w:val="20"/>
              </w:rPr>
              <w:t>2014</w:t>
            </w:r>
          </w:p>
        </w:tc>
        <w:tc>
          <w:tcPr>
            <w:tcW w:w="992" w:type="dxa"/>
            <w:shd w:val="clear" w:color="auto" w:fill="E5F1FF"/>
            <w:vAlign w:val="center"/>
          </w:tcPr>
          <w:p w14:paraId="45633B6F" w14:textId="77777777" w:rsidR="00CD6733" w:rsidRPr="00391D73" w:rsidRDefault="00CD6733" w:rsidP="00CD6733">
            <w:pPr>
              <w:jc w:val="center"/>
              <w:rPr>
                <w:b/>
                <w:sz w:val="20"/>
                <w:szCs w:val="20"/>
              </w:rPr>
            </w:pPr>
            <w:r w:rsidRPr="00391D73">
              <w:rPr>
                <w:b/>
                <w:sz w:val="20"/>
                <w:szCs w:val="20"/>
              </w:rPr>
              <w:t>2015</w:t>
            </w:r>
          </w:p>
        </w:tc>
        <w:tc>
          <w:tcPr>
            <w:tcW w:w="992" w:type="dxa"/>
            <w:shd w:val="clear" w:color="auto" w:fill="E5F1FF"/>
            <w:vAlign w:val="center"/>
          </w:tcPr>
          <w:p w14:paraId="0AEBE180" w14:textId="77777777" w:rsidR="00CD6733" w:rsidRPr="00391D73" w:rsidRDefault="00CD6733" w:rsidP="00CD6733">
            <w:pPr>
              <w:jc w:val="center"/>
              <w:rPr>
                <w:b/>
                <w:sz w:val="20"/>
                <w:szCs w:val="20"/>
              </w:rPr>
            </w:pPr>
            <w:r w:rsidRPr="00391D73">
              <w:rPr>
                <w:b/>
                <w:sz w:val="20"/>
                <w:szCs w:val="20"/>
              </w:rPr>
              <w:t>2016</w:t>
            </w:r>
          </w:p>
        </w:tc>
      </w:tr>
      <w:tr w:rsidR="00CD6733" w:rsidRPr="00391D73" w14:paraId="7237EE52" w14:textId="77777777" w:rsidTr="00CD6733">
        <w:tc>
          <w:tcPr>
            <w:tcW w:w="4120" w:type="dxa"/>
            <w:vAlign w:val="center"/>
          </w:tcPr>
          <w:p w14:paraId="4A88D6F4" w14:textId="77777777" w:rsidR="00CD6733" w:rsidRPr="00391D73" w:rsidRDefault="00CD6733" w:rsidP="00CD6733">
            <w:pPr>
              <w:rPr>
                <w:sz w:val="20"/>
                <w:szCs w:val="20"/>
              </w:rPr>
            </w:pPr>
            <w:r w:rsidRPr="00391D73">
              <w:rPr>
                <w:sz w:val="20"/>
                <w:szCs w:val="20"/>
              </w:rPr>
              <w:t>Náklady na zaměstnance v £</w:t>
            </w:r>
            <w:r w:rsidRPr="00391D73">
              <w:rPr>
                <w:rStyle w:val="Znakapoznpodarou"/>
                <w:sz w:val="20"/>
                <w:szCs w:val="20"/>
              </w:rPr>
              <w:footnoteReference w:id="86"/>
            </w:r>
          </w:p>
        </w:tc>
        <w:tc>
          <w:tcPr>
            <w:tcW w:w="983" w:type="dxa"/>
            <w:vAlign w:val="center"/>
          </w:tcPr>
          <w:p w14:paraId="7EAB3943" w14:textId="77777777" w:rsidR="00CD6733" w:rsidRPr="00391D73" w:rsidRDefault="00CD6733" w:rsidP="00CD6733">
            <w:pPr>
              <w:jc w:val="right"/>
              <w:rPr>
                <w:sz w:val="20"/>
                <w:szCs w:val="20"/>
              </w:rPr>
            </w:pPr>
            <w:r w:rsidRPr="00391D73">
              <w:rPr>
                <w:sz w:val="20"/>
                <w:szCs w:val="20"/>
              </w:rPr>
              <w:t>5 324</w:t>
            </w:r>
          </w:p>
        </w:tc>
        <w:tc>
          <w:tcPr>
            <w:tcW w:w="993" w:type="dxa"/>
            <w:vAlign w:val="center"/>
          </w:tcPr>
          <w:p w14:paraId="09C0AB64" w14:textId="77777777" w:rsidR="00CD6733" w:rsidRPr="00391D73" w:rsidRDefault="00CD6733" w:rsidP="00CD6733">
            <w:pPr>
              <w:jc w:val="right"/>
              <w:rPr>
                <w:sz w:val="20"/>
                <w:szCs w:val="20"/>
              </w:rPr>
            </w:pPr>
            <w:r w:rsidRPr="00391D73">
              <w:rPr>
                <w:sz w:val="20"/>
                <w:szCs w:val="20"/>
              </w:rPr>
              <w:t>4 918</w:t>
            </w:r>
          </w:p>
        </w:tc>
        <w:tc>
          <w:tcPr>
            <w:tcW w:w="992" w:type="dxa"/>
            <w:vAlign w:val="center"/>
          </w:tcPr>
          <w:p w14:paraId="3F7BCC1B" w14:textId="77777777" w:rsidR="00CD6733" w:rsidRPr="00391D73" w:rsidRDefault="00CD6733" w:rsidP="00CD6733">
            <w:pPr>
              <w:jc w:val="right"/>
              <w:rPr>
                <w:sz w:val="20"/>
                <w:szCs w:val="20"/>
              </w:rPr>
            </w:pPr>
            <w:r w:rsidRPr="00391D73">
              <w:rPr>
                <w:sz w:val="20"/>
                <w:szCs w:val="20"/>
              </w:rPr>
              <w:t>4 944</w:t>
            </w:r>
          </w:p>
        </w:tc>
        <w:tc>
          <w:tcPr>
            <w:tcW w:w="992" w:type="dxa"/>
            <w:vAlign w:val="center"/>
          </w:tcPr>
          <w:p w14:paraId="0B520B2B" w14:textId="77777777" w:rsidR="00CD6733" w:rsidRPr="00391D73" w:rsidRDefault="00CD6733" w:rsidP="00CD6733">
            <w:pPr>
              <w:jc w:val="right"/>
              <w:rPr>
                <w:sz w:val="20"/>
                <w:szCs w:val="20"/>
              </w:rPr>
            </w:pPr>
            <w:r w:rsidRPr="00391D73">
              <w:rPr>
                <w:sz w:val="20"/>
                <w:szCs w:val="20"/>
              </w:rPr>
              <w:t>4 727</w:t>
            </w:r>
          </w:p>
        </w:tc>
        <w:tc>
          <w:tcPr>
            <w:tcW w:w="992" w:type="dxa"/>
            <w:vAlign w:val="center"/>
          </w:tcPr>
          <w:p w14:paraId="65831E8D" w14:textId="77777777" w:rsidR="00CD6733" w:rsidRPr="00391D73" w:rsidRDefault="00CD6733" w:rsidP="00CD6733">
            <w:pPr>
              <w:jc w:val="right"/>
              <w:rPr>
                <w:sz w:val="20"/>
                <w:szCs w:val="20"/>
              </w:rPr>
            </w:pPr>
            <w:r w:rsidRPr="00391D73">
              <w:rPr>
                <w:sz w:val="20"/>
                <w:szCs w:val="20"/>
              </w:rPr>
              <w:t>4 587</w:t>
            </w:r>
          </w:p>
        </w:tc>
      </w:tr>
      <w:tr w:rsidR="00CD6733" w:rsidRPr="00391D73" w14:paraId="3D366604" w14:textId="77777777" w:rsidTr="00CD6733">
        <w:tc>
          <w:tcPr>
            <w:tcW w:w="4120" w:type="dxa"/>
            <w:vAlign w:val="center"/>
          </w:tcPr>
          <w:p w14:paraId="66BEBD97" w14:textId="77777777" w:rsidR="00CD6733" w:rsidRPr="00391D73" w:rsidRDefault="00CD6733" w:rsidP="00CD6733">
            <w:pPr>
              <w:rPr>
                <w:sz w:val="20"/>
                <w:szCs w:val="20"/>
              </w:rPr>
            </w:pPr>
            <w:r w:rsidRPr="00391D73">
              <w:rPr>
                <w:sz w:val="20"/>
                <w:szCs w:val="20"/>
              </w:rPr>
              <w:t>Plocha na pracovní stanici</w:t>
            </w:r>
            <w:r w:rsidRPr="00391D73">
              <w:rPr>
                <w:rStyle w:val="Znakapoznpodarou"/>
                <w:sz w:val="20"/>
                <w:szCs w:val="20"/>
              </w:rPr>
              <w:footnoteReference w:id="87"/>
            </w:r>
            <w:r w:rsidRPr="00391D73">
              <w:rPr>
                <w:sz w:val="20"/>
                <w:szCs w:val="20"/>
              </w:rPr>
              <w:t xml:space="preserve"> v m</w:t>
            </w:r>
            <w:r w:rsidRPr="00391D73">
              <w:rPr>
                <w:sz w:val="20"/>
                <w:szCs w:val="20"/>
                <w:vertAlign w:val="superscript"/>
              </w:rPr>
              <w:t>2</w:t>
            </w:r>
          </w:p>
        </w:tc>
        <w:tc>
          <w:tcPr>
            <w:tcW w:w="983" w:type="dxa"/>
            <w:vAlign w:val="center"/>
          </w:tcPr>
          <w:p w14:paraId="3E7C4929" w14:textId="77777777" w:rsidR="00CD6733" w:rsidRPr="00391D73" w:rsidRDefault="00CD6733" w:rsidP="00CD6733">
            <w:pPr>
              <w:jc w:val="right"/>
              <w:rPr>
                <w:sz w:val="20"/>
                <w:szCs w:val="20"/>
              </w:rPr>
            </w:pPr>
            <w:r w:rsidRPr="00391D73">
              <w:rPr>
                <w:sz w:val="20"/>
                <w:szCs w:val="20"/>
              </w:rPr>
              <w:t>13</w:t>
            </w:r>
          </w:p>
        </w:tc>
        <w:tc>
          <w:tcPr>
            <w:tcW w:w="993" w:type="dxa"/>
            <w:vAlign w:val="center"/>
          </w:tcPr>
          <w:p w14:paraId="410F74AC" w14:textId="77777777" w:rsidR="00CD6733" w:rsidRPr="00391D73" w:rsidRDefault="00CD6733" w:rsidP="00CD6733">
            <w:pPr>
              <w:jc w:val="right"/>
              <w:rPr>
                <w:sz w:val="20"/>
                <w:szCs w:val="20"/>
              </w:rPr>
            </w:pPr>
            <w:r w:rsidRPr="00391D73">
              <w:rPr>
                <w:sz w:val="20"/>
                <w:szCs w:val="20"/>
              </w:rPr>
              <w:t>12</w:t>
            </w:r>
          </w:p>
        </w:tc>
        <w:tc>
          <w:tcPr>
            <w:tcW w:w="992" w:type="dxa"/>
            <w:vAlign w:val="center"/>
          </w:tcPr>
          <w:p w14:paraId="08FBCEF8" w14:textId="77777777" w:rsidR="00CD6733" w:rsidRPr="00391D73" w:rsidRDefault="00CD6733" w:rsidP="00CD6733">
            <w:pPr>
              <w:jc w:val="right"/>
              <w:rPr>
                <w:sz w:val="20"/>
                <w:szCs w:val="20"/>
              </w:rPr>
            </w:pPr>
            <w:r w:rsidRPr="00391D73">
              <w:rPr>
                <w:sz w:val="20"/>
                <w:szCs w:val="20"/>
              </w:rPr>
              <w:t>11</w:t>
            </w:r>
          </w:p>
        </w:tc>
        <w:tc>
          <w:tcPr>
            <w:tcW w:w="992" w:type="dxa"/>
            <w:vAlign w:val="center"/>
          </w:tcPr>
          <w:p w14:paraId="3F3FA376" w14:textId="77777777" w:rsidR="00CD6733" w:rsidRPr="00391D73" w:rsidRDefault="00CD6733" w:rsidP="00CD6733">
            <w:pPr>
              <w:jc w:val="right"/>
              <w:rPr>
                <w:sz w:val="20"/>
                <w:szCs w:val="20"/>
              </w:rPr>
            </w:pPr>
            <w:r w:rsidRPr="00391D73">
              <w:rPr>
                <w:sz w:val="20"/>
                <w:szCs w:val="20"/>
              </w:rPr>
              <w:t>10</w:t>
            </w:r>
          </w:p>
        </w:tc>
        <w:tc>
          <w:tcPr>
            <w:tcW w:w="992" w:type="dxa"/>
            <w:vAlign w:val="center"/>
          </w:tcPr>
          <w:p w14:paraId="076EB585" w14:textId="77777777" w:rsidR="00CD6733" w:rsidRPr="00391D73" w:rsidRDefault="00CD6733" w:rsidP="00CD6733">
            <w:pPr>
              <w:jc w:val="right"/>
              <w:rPr>
                <w:sz w:val="20"/>
                <w:szCs w:val="20"/>
              </w:rPr>
            </w:pPr>
            <w:r w:rsidRPr="00391D73">
              <w:rPr>
                <w:sz w:val="20"/>
                <w:szCs w:val="20"/>
              </w:rPr>
              <w:t>10</w:t>
            </w:r>
          </w:p>
        </w:tc>
      </w:tr>
    </w:tbl>
    <w:p w14:paraId="6AF471DB" w14:textId="3E2AE190" w:rsidR="00CD6733" w:rsidRPr="00391D73" w:rsidRDefault="00CD6733" w:rsidP="00CD6733">
      <w:pPr>
        <w:rPr>
          <w:b/>
          <w:sz w:val="20"/>
          <w:szCs w:val="20"/>
        </w:rPr>
      </w:pPr>
      <w:r w:rsidRPr="00391D73">
        <w:rPr>
          <w:b/>
          <w:sz w:val="20"/>
          <w:szCs w:val="20"/>
        </w:rPr>
        <w:t>Zdroj:</w:t>
      </w:r>
      <w:r w:rsidRPr="00391D73">
        <w:rPr>
          <w:sz w:val="20"/>
          <w:szCs w:val="20"/>
        </w:rPr>
        <w:t xml:space="preserve"> </w:t>
      </w:r>
      <w:r w:rsidR="002467D6">
        <w:rPr>
          <w:sz w:val="20"/>
          <w:szCs w:val="20"/>
        </w:rPr>
        <w:t xml:space="preserve">zpráva </w:t>
      </w:r>
      <w:r w:rsidRPr="00702837">
        <w:rPr>
          <w:i/>
          <w:sz w:val="20"/>
          <w:szCs w:val="20"/>
        </w:rPr>
        <w:t>The State of Estate in 2012</w:t>
      </w:r>
      <w:r w:rsidRPr="00391D73">
        <w:rPr>
          <w:sz w:val="20"/>
          <w:szCs w:val="20"/>
        </w:rPr>
        <w:t xml:space="preserve"> </w:t>
      </w:r>
      <w:r w:rsidR="002467D6">
        <w:rPr>
          <w:sz w:val="20"/>
          <w:szCs w:val="20"/>
        </w:rPr>
        <w:t xml:space="preserve">a dále verze z let </w:t>
      </w:r>
      <w:r w:rsidRPr="00391D73">
        <w:rPr>
          <w:sz w:val="20"/>
          <w:szCs w:val="20"/>
        </w:rPr>
        <w:t>2013, 2013/2014, 2014</w:t>
      </w:r>
      <w:r w:rsidR="002467D6">
        <w:rPr>
          <w:sz w:val="20"/>
          <w:szCs w:val="20"/>
        </w:rPr>
        <w:t>–</w:t>
      </w:r>
      <w:r w:rsidRPr="00391D73">
        <w:rPr>
          <w:sz w:val="20"/>
          <w:szCs w:val="20"/>
        </w:rPr>
        <w:t>15, 2015</w:t>
      </w:r>
      <w:r w:rsidR="002467D6">
        <w:rPr>
          <w:sz w:val="20"/>
          <w:szCs w:val="20"/>
        </w:rPr>
        <w:t>–</w:t>
      </w:r>
      <w:r w:rsidRPr="00391D73">
        <w:rPr>
          <w:sz w:val="20"/>
          <w:szCs w:val="20"/>
        </w:rPr>
        <w:t>16.</w:t>
      </w:r>
    </w:p>
    <w:p w14:paraId="3EC0C68F" w14:textId="77777777" w:rsidR="00CD6733" w:rsidRPr="00391D73" w:rsidRDefault="00CD6733" w:rsidP="00CD6733">
      <w:r w:rsidRPr="00391D73">
        <w:t>V UK jsou srovnávány pouze vybrané objekty evidované v e-PIMS. Do benchmarkingu jsou povinně zahrnuty administrativní objekty s plochou nad 500 m</w:t>
      </w:r>
      <w:r w:rsidRPr="00391D73">
        <w:rPr>
          <w:vertAlign w:val="superscript"/>
        </w:rPr>
        <w:t>2</w:t>
      </w:r>
      <w:r w:rsidRPr="00391D73">
        <w:t xml:space="preserve"> a mohou též být zahrnuty i některé menší administrativní objekty. Do benchmarkingu prostřednictvím e-PIMS je zahrnuto přibližně tisíc objektů s plochou necelých 3 mil. m</w:t>
      </w:r>
      <w:r w:rsidRPr="00391D73">
        <w:rPr>
          <w:vertAlign w:val="superscript"/>
        </w:rPr>
        <w:t>2</w:t>
      </w:r>
      <w:r w:rsidRPr="00391D73">
        <w:t xml:space="preserve"> (tj. 35 % z celkové plochy objektů), blíže viz tabulka č. 4. </w:t>
      </w:r>
    </w:p>
    <w:p w14:paraId="048E3A4A" w14:textId="695CEC97" w:rsidR="00CD6733" w:rsidRPr="00391D73" w:rsidRDefault="00CD6733" w:rsidP="00CD6733">
      <w:pPr>
        <w:keepNext/>
        <w:spacing w:after="0" w:line="240" w:lineRule="auto"/>
        <w:rPr>
          <w:b/>
          <w:sz w:val="20"/>
          <w:szCs w:val="20"/>
        </w:rPr>
      </w:pPr>
      <w:r w:rsidRPr="00391D73">
        <w:rPr>
          <w:b/>
        </w:rPr>
        <w:lastRenderedPageBreak/>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9</w:t>
      </w:r>
      <w:r w:rsidRPr="00391D73">
        <w:rPr>
          <w:b/>
        </w:rPr>
        <w:fldChar w:fldCharType="end"/>
      </w:r>
      <w:r w:rsidRPr="00391D73">
        <w:rPr>
          <w:b/>
        </w:rPr>
        <w:t>: Údaje vstupující do výpočtu ukazatelů ve Spojeném království</w:t>
      </w:r>
    </w:p>
    <w:tbl>
      <w:tblPr>
        <w:tblStyle w:val="Mkatabulky"/>
        <w:tblW w:w="9072" w:type="dxa"/>
        <w:tblInd w:w="108" w:type="dxa"/>
        <w:tblLook w:val="04A0" w:firstRow="1" w:lastRow="0" w:firstColumn="1" w:lastColumn="0" w:noHBand="0" w:noVBand="1"/>
      </w:tblPr>
      <w:tblGrid>
        <w:gridCol w:w="3402"/>
        <w:gridCol w:w="1134"/>
        <w:gridCol w:w="1134"/>
        <w:gridCol w:w="1134"/>
        <w:gridCol w:w="1134"/>
        <w:gridCol w:w="1134"/>
      </w:tblGrid>
      <w:tr w:rsidR="00CD6733" w:rsidRPr="00391D73" w14:paraId="72E0745C" w14:textId="77777777" w:rsidTr="00CD6733">
        <w:tc>
          <w:tcPr>
            <w:tcW w:w="3402" w:type="dxa"/>
            <w:shd w:val="clear" w:color="auto" w:fill="E5F1FF"/>
            <w:vAlign w:val="center"/>
          </w:tcPr>
          <w:p w14:paraId="5F5ED04B" w14:textId="77777777" w:rsidR="00CD6733" w:rsidRPr="00391D73" w:rsidRDefault="00CD6733" w:rsidP="00CD6733">
            <w:pPr>
              <w:rPr>
                <w:b/>
                <w:sz w:val="20"/>
                <w:szCs w:val="20"/>
              </w:rPr>
            </w:pPr>
            <w:r w:rsidRPr="00391D73">
              <w:rPr>
                <w:b/>
                <w:sz w:val="20"/>
                <w:szCs w:val="20"/>
              </w:rPr>
              <w:t>Údaje vstupující do výpočtu ukazatelů</w:t>
            </w:r>
          </w:p>
        </w:tc>
        <w:tc>
          <w:tcPr>
            <w:tcW w:w="1134" w:type="dxa"/>
            <w:shd w:val="clear" w:color="auto" w:fill="E5F1FF"/>
            <w:vAlign w:val="center"/>
          </w:tcPr>
          <w:p w14:paraId="5369BBEA" w14:textId="77777777" w:rsidR="00CD6733" w:rsidRPr="00391D73" w:rsidRDefault="00CD6733" w:rsidP="00CD6733">
            <w:pPr>
              <w:jc w:val="center"/>
              <w:rPr>
                <w:b/>
                <w:sz w:val="20"/>
                <w:szCs w:val="20"/>
              </w:rPr>
            </w:pPr>
            <w:r w:rsidRPr="00391D73">
              <w:rPr>
                <w:b/>
                <w:sz w:val="20"/>
                <w:szCs w:val="20"/>
              </w:rPr>
              <w:t>2012</w:t>
            </w:r>
          </w:p>
        </w:tc>
        <w:tc>
          <w:tcPr>
            <w:tcW w:w="1134" w:type="dxa"/>
            <w:shd w:val="clear" w:color="auto" w:fill="E5F1FF"/>
            <w:vAlign w:val="center"/>
          </w:tcPr>
          <w:p w14:paraId="1A5AE4B7" w14:textId="77777777" w:rsidR="00CD6733" w:rsidRPr="00391D73" w:rsidRDefault="00CD6733" w:rsidP="00CD6733">
            <w:pPr>
              <w:jc w:val="center"/>
              <w:rPr>
                <w:b/>
                <w:sz w:val="20"/>
                <w:szCs w:val="20"/>
              </w:rPr>
            </w:pPr>
            <w:r w:rsidRPr="00391D73">
              <w:rPr>
                <w:b/>
                <w:sz w:val="20"/>
                <w:szCs w:val="20"/>
              </w:rPr>
              <w:t>2013</w:t>
            </w:r>
          </w:p>
        </w:tc>
        <w:tc>
          <w:tcPr>
            <w:tcW w:w="1134" w:type="dxa"/>
            <w:shd w:val="clear" w:color="auto" w:fill="E5F1FF"/>
            <w:vAlign w:val="center"/>
          </w:tcPr>
          <w:p w14:paraId="2C04F8C1" w14:textId="77777777" w:rsidR="00CD6733" w:rsidRPr="00391D73" w:rsidRDefault="00CD6733" w:rsidP="00CD6733">
            <w:pPr>
              <w:jc w:val="center"/>
              <w:rPr>
                <w:b/>
                <w:sz w:val="20"/>
                <w:szCs w:val="20"/>
              </w:rPr>
            </w:pPr>
            <w:r w:rsidRPr="00391D73">
              <w:rPr>
                <w:b/>
                <w:sz w:val="20"/>
                <w:szCs w:val="20"/>
              </w:rPr>
              <w:t>2014</w:t>
            </w:r>
          </w:p>
        </w:tc>
        <w:tc>
          <w:tcPr>
            <w:tcW w:w="1134" w:type="dxa"/>
            <w:shd w:val="clear" w:color="auto" w:fill="E5F1FF"/>
            <w:vAlign w:val="center"/>
          </w:tcPr>
          <w:p w14:paraId="55C7C766" w14:textId="77777777" w:rsidR="00CD6733" w:rsidRPr="00391D73" w:rsidRDefault="00CD6733" w:rsidP="00CD6733">
            <w:pPr>
              <w:jc w:val="center"/>
              <w:rPr>
                <w:b/>
                <w:sz w:val="20"/>
                <w:szCs w:val="20"/>
              </w:rPr>
            </w:pPr>
            <w:r w:rsidRPr="00391D73">
              <w:rPr>
                <w:b/>
                <w:sz w:val="20"/>
                <w:szCs w:val="20"/>
              </w:rPr>
              <w:t>2015</w:t>
            </w:r>
          </w:p>
        </w:tc>
        <w:tc>
          <w:tcPr>
            <w:tcW w:w="1134" w:type="dxa"/>
            <w:shd w:val="clear" w:color="auto" w:fill="E5F1FF"/>
            <w:vAlign w:val="center"/>
          </w:tcPr>
          <w:p w14:paraId="6C39723D" w14:textId="77777777" w:rsidR="00CD6733" w:rsidRPr="00391D73" w:rsidRDefault="00CD6733" w:rsidP="00CD6733">
            <w:pPr>
              <w:jc w:val="center"/>
              <w:rPr>
                <w:b/>
                <w:sz w:val="20"/>
                <w:szCs w:val="20"/>
              </w:rPr>
            </w:pPr>
            <w:r w:rsidRPr="00391D73">
              <w:rPr>
                <w:b/>
                <w:sz w:val="20"/>
                <w:szCs w:val="20"/>
              </w:rPr>
              <w:t>2016</w:t>
            </w:r>
          </w:p>
        </w:tc>
      </w:tr>
      <w:tr w:rsidR="00CD6733" w:rsidRPr="00391D73" w14:paraId="2FF16CA0" w14:textId="77777777" w:rsidTr="00CD6733">
        <w:tc>
          <w:tcPr>
            <w:tcW w:w="3402" w:type="dxa"/>
            <w:vAlign w:val="center"/>
          </w:tcPr>
          <w:p w14:paraId="27DCE456" w14:textId="77777777" w:rsidR="00CD6733" w:rsidRPr="00391D73" w:rsidRDefault="00CD6733" w:rsidP="00CD6733">
            <w:pPr>
              <w:jc w:val="left"/>
              <w:rPr>
                <w:sz w:val="20"/>
                <w:szCs w:val="20"/>
              </w:rPr>
            </w:pPr>
            <w:r w:rsidRPr="00391D73">
              <w:rPr>
                <w:sz w:val="20"/>
                <w:szCs w:val="20"/>
              </w:rPr>
              <w:t xml:space="preserve">Počet srovnávaných objektů </w:t>
            </w:r>
          </w:p>
        </w:tc>
        <w:tc>
          <w:tcPr>
            <w:tcW w:w="1134" w:type="dxa"/>
            <w:vAlign w:val="center"/>
          </w:tcPr>
          <w:p w14:paraId="603074E8" w14:textId="77777777" w:rsidR="00CD6733" w:rsidRPr="00391D73" w:rsidRDefault="00CD6733" w:rsidP="00CD6733">
            <w:pPr>
              <w:jc w:val="right"/>
              <w:rPr>
                <w:sz w:val="20"/>
                <w:szCs w:val="20"/>
              </w:rPr>
            </w:pPr>
            <w:r w:rsidRPr="00391D73">
              <w:rPr>
                <w:sz w:val="20"/>
                <w:szCs w:val="20"/>
              </w:rPr>
              <w:t>1 117</w:t>
            </w:r>
          </w:p>
        </w:tc>
        <w:tc>
          <w:tcPr>
            <w:tcW w:w="1134" w:type="dxa"/>
            <w:vAlign w:val="center"/>
          </w:tcPr>
          <w:p w14:paraId="3E01D4ED" w14:textId="77777777" w:rsidR="00CD6733" w:rsidRPr="00391D73" w:rsidRDefault="00CD6733" w:rsidP="00CD6733">
            <w:pPr>
              <w:jc w:val="right"/>
              <w:rPr>
                <w:sz w:val="20"/>
                <w:szCs w:val="20"/>
              </w:rPr>
            </w:pPr>
            <w:r w:rsidRPr="00391D73">
              <w:rPr>
                <w:sz w:val="20"/>
                <w:szCs w:val="20"/>
              </w:rPr>
              <w:t>988</w:t>
            </w:r>
          </w:p>
        </w:tc>
        <w:tc>
          <w:tcPr>
            <w:tcW w:w="1134" w:type="dxa"/>
            <w:vAlign w:val="center"/>
          </w:tcPr>
          <w:p w14:paraId="67527078" w14:textId="77777777" w:rsidR="00CD6733" w:rsidRPr="00391D73" w:rsidRDefault="00CD6733" w:rsidP="00CD6733">
            <w:pPr>
              <w:jc w:val="right"/>
              <w:rPr>
                <w:sz w:val="20"/>
                <w:szCs w:val="20"/>
              </w:rPr>
            </w:pPr>
            <w:r w:rsidRPr="00391D73">
              <w:rPr>
                <w:sz w:val="20"/>
                <w:szCs w:val="20"/>
              </w:rPr>
              <w:t>965</w:t>
            </w:r>
          </w:p>
        </w:tc>
        <w:tc>
          <w:tcPr>
            <w:tcW w:w="1134" w:type="dxa"/>
            <w:vAlign w:val="center"/>
          </w:tcPr>
          <w:p w14:paraId="60B1ACC5" w14:textId="77777777" w:rsidR="00CD6733" w:rsidRPr="00391D73" w:rsidRDefault="00CD6733" w:rsidP="00CD6733">
            <w:pPr>
              <w:jc w:val="right"/>
              <w:rPr>
                <w:sz w:val="20"/>
                <w:szCs w:val="20"/>
              </w:rPr>
            </w:pPr>
            <w:r w:rsidRPr="00391D73">
              <w:rPr>
                <w:sz w:val="20"/>
                <w:szCs w:val="20"/>
              </w:rPr>
              <w:t>951</w:t>
            </w:r>
          </w:p>
        </w:tc>
        <w:tc>
          <w:tcPr>
            <w:tcW w:w="1134" w:type="dxa"/>
            <w:vAlign w:val="center"/>
          </w:tcPr>
          <w:p w14:paraId="1B3DE11A" w14:textId="77777777" w:rsidR="00CD6733" w:rsidRPr="00391D73" w:rsidRDefault="00CD6733" w:rsidP="00CD6733">
            <w:pPr>
              <w:jc w:val="right"/>
              <w:rPr>
                <w:sz w:val="20"/>
                <w:szCs w:val="20"/>
              </w:rPr>
            </w:pPr>
            <w:r w:rsidRPr="00391D73">
              <w:rPr>
                <w:sz w:val="20"/>
                <w:szCs w:val="20"/>
              </w:rPr>
              <w:t>1 031</w:t>
            </w:r>
          </w:p>
        </w:tc>
      </w:tr>
      <w:tr w:rsidR="00CD6733" w:rsidRPr="00391D73" w14:paraId="5BCDB977" w14:textId="77777777" w:rsidTr="00CD6733">
        <w:tc>
          <w:tcPr>
            <w:tcW w:w="3402" w:type="dxa"/>
            <w:vAlign w:val="center"/>
          </w:tcPr>
          <w:p w14:paraId="5BE10938" w14:textId="77777777" w:rsidR="00CD6733" w:rsidRPr="00391D73" w:rsidRDefault="00CD6733" w:rsidP="00CD6733">
            <w:pPr>
              <w:rPr>
                <w:sz w:val="20"/>
                <w:szCs w:val="20"/>
              </w:rPr>
            </w:pPr>
            <w:r w:rsidRPr="00391D73">
              <w:rPr>
                <w:sz w:val="20"/>
                <w:szCs w:val="20"/>
              </w:rPr>
              <w:t>Čistá vnitřní plocha (NIA) v tis. m</w:t>
            </w:r>
            <w:r w:rsidRPr="00391D73">
              <w:rPr>
                <w:sz w:val="20"/>
                <w:szCs w:val="20"/>
                <w:vertAlign w:val="superscript"/>
              </w:rPr>
              <w:t>2</w:t>
            </w:r>
          </w:p>
        </w:tc>
        <w:tc>
          <w:tcPr>
            <w:tcW w:w="1134" w:type="dxa"/>
            <w:vAlign w:val="center"/>
          </w:tcPr>
          <w:p w14:paraId="632B940A" w14:textId="77777777" w:rsidR="00CD6733" w:rsidRPr="00391D73" w:rsidRDefault="00CD6733" w:rsidP="00CD6733">
            <w:pPr>
              <w:jc w:val="right"/>
              <w:rPr>
                <w:sz w:val="20"/>
                <w:szCs w:val="20"/>
              </w:rPr>
            </w:pPr>
            <w:r w:rsidRPr="00391D73">
              <w:rPr>
                <w:sz w:val="20"/>
                <w:szCs w:val="20"/>
              </w:rPr>
              <w:t>3 569</w:t>
            </w:r>
          </w:p>
        </w:tc>
        <w:tc>
          <w:tcPr>
            <w:tcW w:w="1134" w:type="dxa"/>
            <w:vAlign w:val="center"/>
          </w:tcPr>
          <w:p w14:paraId="19DB36A7" w14:textId="77777777" w:rsidR="00CD6733" w:rsidRPr="00391D73" w:rsidRDefault="00CD6733" w:rsidP="00CD6733">
            <w:pPr>
              <w:jc w:val="right"/>
              <w:rPr>
                <w:sz w:val="20"/>
                <w:szCs w:val="20"/>
              </w:rPr>
            </w:pPr>
            <w:r w:rsidRPr="00391D73">
              <w:rPr>
                <w:sz w:val="20"/>
                <w:szCs w:val="20"/>
              </w:rPr>
              <w:t>3 214</w:t>
            </w:r>
          </w:p>
        </w:tc>
        <w:tc>
          <w:tcPr>
            <w:tcW w:w="1134" w:type="dxa"/>
            <w:vAlign w:val="center"/>
          </w:tcPr>
          <w:p w14:paraId="09CC512E" w14:textId="77777777" w:rsidR="00CD6733" w:rsidRPr="00391D73" w:rsidRDefault="00CD6733" w:rsidP="00CD6733">
            <w:pPr>
              <w:jc w:val="right"/>
              <w:rPr>
                <w:sz w:val="20"/>
                <w:szCs w:val="20"/>
              </w:rPr>
            </w:pPr>
            <w:r w:rsidRPr="00391D73">
              <w:rPr>
                <w:sz w:val="20"/>
                <w:szCs w:val="20"/>
              </w:rPr>
              <w:t>2 965</w:t>
            </w:r>
          </w:p>
        </w:tc>
        <w:tc>
          <w:tcPr>
            <w:tcW w:w="1134" w:type="dxa"/>
            <w:vAlign w:val="center"/>
          </w:tcPr>
          <w:p w14:paraId="7E530123" w14:textId="77777777" w:rsidR="00CD6733" w:rsidRPr="00391D73" w:rsidRDefault="00CD6733" w:rsidP="00CD6733">
            <w:pPr>
              <w:jc w:val="right"/>
              <w:rPr>
                <w:sz w:val="20"/>
                <w:szCs w:val="20"/>
              </w:rPr>
            </w:pPr>
            <w:r w:rsidRPr="00391D73">
              <w:rPr>
                <w:sz w:val="20"/>
                <w:szCs w:val="20"/>
              </w:rPr>
              <w:t>2 817</w:t>
            </w:r>
          </w:p>
        </w:tc>
        <w:tc>
          <w:tcPr>
            <w:tcW w:w="1134" w:type="dxa"/>
            <w:vAlign w:val="center"/>
          </w:tcPr>
          <w:p w14:paraId="515F9B18" w14:textId="77777777" w:rsidR="00CD6733" w:rsidRPr="00391D73" w:rsidRDefault="00CD6733" w:rsidP="00CD6733">
            <w:pPr>
              <w:jc w:val="right"/>
              <w:rPr>
                <w:sz w:val="20"/>
                <w:szCs w:val="20"/>
              </w:rPr>
            </w:pPr>
            <w:r w:rsidRPr="00391D73">
              <w:rPr>
                <w:sz w:val="20"/>
                <w:szCs w:val="20"/>
              </w:rPr>
              <w:t>2 833</w:t>
            </w:r>
          </w:p>
        </w:tc>
      </w:tr>
      <w:tr w:rsidR="00CD6733" w:rsidRPr="00391D73" w14:paraId="53255C15" w14:textId="77777777" w:rsidTr="00CD6733">
        <w:tc>
          <w:tcPr>
            <w:tcW w:w="3402" w:type="dxa"/>
            <w:vAlign w:val="center"/>
          </w:tcPr>
          <w:p w14:paraId="7E50EA96" w14:textId="77777777" w:rsidR="00CD6733" w:rsidRPr="00391D73" w:rsidRDefault="00CD6733" w:rsidP="00CD6733">
            <w:pPr>
              <w:rPr>
                <w:sz w:val="20"/>
                <w:szCs w:val="20"/>
              </w:rPr>
            </w:pPr>
            <w:r w:rsidRPr="00391D73">
              <w:rPr>
                <w:sz w:val="20"/>
                <w:szCs w:val="20"/>
              </w:rPr>
              <w:t xml:space="preserve">Počet zaměstnanců (FTE) v tis. </w:t>
            </w:r>
          </w:p>
        </w:tc>
        <w:tc>
          <w:tcPr>
            <w:tcW w:w="1134" w:type="dxa"/>
            <w:vAlign w:val="center"/>
          </w:tcPr>
          <w:p w14:paraId="01446CF7" w14:textId="77777777" w:rsidR="00CD6733" w:rsidRPr="00391D73" w:rsidRDefault="00CD6733" w:rsidP="00CD6733">
            <w:pPr>
              <w:jc w:val="right"/>
              <w:rPr>
                <w:sz w:val="20"/>
                <w:szCs w:val="20"/>
              </w:rPr>
            </w:pPr>
            <w:r w:rsidRPr="00391D73">
              <w:rPr>
                <w:sz w:val="20"/>
                <w:szCs w:val="20"/>
              </w:rPr>
              <w:t>274</w:t>
            </w:r>
          </w:p>
        </w:tc>
        <w:tc>
          <w:tcPr>
            <w:tcW w:w="1134" w:type="dxa"/>
            <w:vAlign w:val="center"/>
          </w:tcPr>
          <w:p w14:paraId="3914E592" w14:textId="77777777" w:rsidR="00CD6733" w:rsidRPr="00391D73" w:rsidRDefault="00CD6733" w:rsidP="00CD6733">
            <w:pPr>
              <w:jc w:val="right"/>
              <w:rPr>
                <w:sz w:val="20"/>
                <w:szCs w:val="20"/>
              </w:rPr>
            </w:pPr>
            <w:r w:rsidRPr="00391D73">
              <w:rPr>
                <w:sz w:val="20"/>
                <w:szCs w:val="20"/>
              </w:rPr>
              <w:t>271</w:t>
            </w:r>
          </w:p>
        </w:tc>
        <w:tc>
          <w:tcPr>
            <w:tcW w:w="1134" w:type="dxa"/>
            <w:vAlign w:val="center"/>
          </w:tcPr>
          <w:p w14:paraId="71B7E176" w14:textId="77777777" w:rsidR="00CD6733" w:rsidRPr="00391D73" w:rsidRDefault="00CD6733" w:rsidP="00CD6733">
            <w:pPr>
              <w:jc w:val="right"/>
              <w:rPr>
                <w:sz w:val="20"/>
                <w:szCs w:val="20"/>
              </w:rPr>
            </w:pPr>
            <w:r w:rsidRPr="00391D73">
              <w:rPr>
                <w:sz w:val="20"/>
                <w:szCs w:val="20"/>
              </w:rPr>
              <w:t>263</w:t>
            </w:r>
          </w:p>
        </w:tc>
        <w:tc>
          <w:tcPr>
            <w:tcW w:w="1134" w:type="dxa"/>
            <w:vAlign w:val="center"/>
          </w:tcPr>
          <w:p w14:paraId="365165DA" w14:textId="77777777" w:rsidR="00CD6733" w:rsidRPr="00391D73" w:rsidRDefault="00CD6733" w:rsidP="00CD6733">
            <w:pPr>
              <w:jc w:val="right"/>
              <w:rPr>
                <w:sz w:val="20"/>
                <w:szCs w:val="20"/>
              </w:rPr>
            </w:pPr>
            <w:r w:rsidRPr="00391D73">
              <w:rPr>
                <w:sz w:val="20"/>
                <w:szCs w:val="20"/>
              </w:rPr>
              <w:t>271</w:t>
            </w:r>
          </w:p>
        </w:tc>
        <w:tc>
          <w:tcPr>
            <w:tcW w:w="1134" w:type="dxa"/>
            <w:vAlign w:val="center"/>
          </w:tcPr>
          <w:p w14:paraId="6BBD2AF1" w14:textId="77777777" w:rsidR="00CD6733" w:rsidRPr="00391D73" w:rsidRDefault="00CD6733" w:rsidP="00CD6733">
            <w:pPr>
              <w:jc w:val="right"/>
              <w:rPr>
                <w:sz w:val="20"/>
                <w:szCs w:val="20"/>
              </w:rPr>
            </w:pPr>
            <w:r w:rsidRPr="00391D73">
              <w:rPr>
                <w:sz w:val="20"/>
                <w:szCs w:val="20"/>
              </w:rPr>
              <w:t>273</w:t>
            </w:r>
          </w:p>
        </w:tc>
      </w:tr>
      <w:tr w:rsidR="00CD6733" w:rsidRPr="00391D73" w14:paraId="1636FE51" w14:textId="77777777" w:rsidTr="00CD6733">
        <w:tc>
          <w:tcPr>
            <w:tcW w:w="3402" w:type="dxa"/>
            <w:vAlign w:val="center"/>
          </w:tcPr>
          <w:p w14:paraId="5B4A6745" w14:textId="77777777" w:rsidR="00CD6733" w:rsidRPr="00391D73" w:rsidRDefault="00CD6733" w:rsidP="00CD6733">
            <w:pPr>
              <w:rPr>
                <w:sz w:val="20"/>
                <w:szCs w:val="20"/>
              </w:rPr>
            </w:pPr>
            <w:r w:rsidRPr="00391D73">
              <w:rPr>
                <w:sz w:val="20"/>
                <w:szCs w:val="20"/>
              </w:rPr>
              <w:t>Celkové srovnávané náklady v mil. £</w:t>
            </w:r>
          </w:p>
        </w:tc>
        <w:tc>
          <w:tcPr>
            <w:tcW w:w="1134" w:type="dxa"/>
            <w:vAlign w:val="center"/>
          </w:tcPr>
          <w:p w14:paraId="5068B382" w14:textId="77777777" w:rsidR="00CD6733" w:rsidRPr="00391D73" w:rsidRDefault="00CD6733" w:rsidP="00CD6733">
            <w:pPr>
              <w:jc w:val="right"/>
              <w:rPr>
                <w:sz w:val="20"/>
                <w:szCs w:val="20"/>
              </w:rPr>
            </w:pPr>
            <w:r w:rsidRPr="00391D73">
              <w:rPr>
                <w:sz w:val="20"/>
                <w:szCs w:val="20"/>
              </w:rPr>
              <w:t>1 463</w:t>
            </w:r>
          </w:p>
        </w:tc>
        <w:tc>
          <w:tcPr>
            <w:tcW w:w="1134" w:type="dxa"/>
            <w:vAlign w:val="center"/>
          </w:tcPr>
          <w:p w14:paraId="5BBB5C37" w14:textId="77777777" w:rsidR="00CD6733" w:rsidRPr="00391D73" w:rsidRDefault="00CD6733" w:rsidP="00CD6733">
            <w:pPr>
              <w:jc w:val="right"/>
              <w:rPr>
                <w:sz w:val="20"/>
                <w:szCs w:val="20"/>
              </w:rPr>
            </w:pPr>
            <w:r w:rsidRPr="00391D73">
              <w:rPr>
                <w:sz w:val="20"/>
                <w:szCs w:val="20"/>
              </w:rPr>
              <w:t>1 331</w:t>
            </w:r>
          </w:p>
        </w:tc>
        <w:tc>
          <w:tcPr>
            <w:tcW w:w="1134" w:type="dxa"/>
            <w:vAlign w:val="center"/>
          </w:tcPr>
          <w:p w14:paraId="3DCD8997" w14:textId="77777777" w:rsidR="00CD6733" w:rsidRPr="00391D73" w:rsidRDefault="00CD6733" w:rsidP="00CD6733">
            <w:pPr>
              <w:jc w:val="right"/>
              <w:rPr>
                <w:sz w:val="20"/>
                <w:szCs w:val="20"/>
              </w:rPr>
            </w:pPr>
            <w:r w:rsidRPr="00391D73">
              <w:rPr>
                <w:sz w:val="20"/>
                <w:szCs w:val="20"/>
              </w:rPr>
              <w:t>1 300</w:t>
            </w:r>
          </w:p>
        </w:tc>
        <w:tc>
          <w:tcPr>
            <w:tcW w:w="1134" w:type="dxa"/>
            <w:vAlign w:val="center"/>
          </w:tcPr>
          <w:p w14:paraId="11243702" w14:textId="77777777" w:rsidR="00CD6733" w:rsidRPr="00391D73" w:rsidRDefault="00CD6733" w:rsidP="00CD6733">
            <w:pPr>
              <w:jc w:val="right"/>
              <w:rPr>
                <w:sz w:val="20"/>
                <w:szCs w:val="20"/>
              </w:rPr>
            </w:pPr>
            <w:r w:rsidRPr="00391D73">
              <w:rPr>
                <w:sz w:val="20"/>
                <w:szCs w:val="20"/>
              </w:rPr>
              <w:t>1 281</w:t>
            </w:r>
          </w:p>
        </w:tc>
        <w:tc>
          <w:tcPr>
            <w:tcW w:w="1134" w:type="dxa"/>
            <w:vAlign w:val="center"/>
          </w:tcPr>
          <w:p w14:paraId="355EF057" w14:textId="77777777" w:rsidR="00CD6733" w:rsidRPr="00391D73" w:rsidRDefault="00CD6733" w:rsidP="00CD6733">
            <w:pPr>
              <w:jc w:val="right"/>
              <w:rPr>
                <w:sz w:val="20"/>
                <w:szCs w:val="20"/>
              </w:rPr>
            </w:pPr>
            <w:r w:rsidRPr="00391D73">
              <w:rPr>
                <w:sz w:val="20"/>
                <w:szCs w:val="20"/>
              </w:rPr>
              <w:t>1 254</w:t>
            </w:r>
          </w:p>
        </w:tc>
      </w:tr>
    </w:tbl>
    <w:p w14:paraId="56C7328E" w14:textId="5AD7D4D6" w:rsidR="00CD6733" w:rsidRPr="00391D73" w:rsidRDefault="00CD6733" w:rsidP="00CD6733">
      <w:pPr>
        <w:rPr>
          <w:sz w:val="20"/>
          <w:szCs w:val="20"/>
        </w:rPr>
      </w:pPr>
      <w:r w:rsidRPr="00391D73">
        <w:rPr>
          <w:b/>
          <w:sz w:val="20"/>
          <w:szCs w:val="20"/>
        </w:rPr>
        <w:t>Zdroj:</w:t>
      </w:r>
      <w:r w:rsidRPr="00391D73">
        <w:rPr>
          <w:sz w:val="20"/>
          <w:szCs w:val="20"/>
        </w:rPr>
        <w:t xml:space="preserve"> </w:t>
      </w:r>
      <w:r w:rsidR="00ED505F">
        <w:rPr>
          <w:sz w:val="20"/>
          <w:szCs w:val="20"/>
        </w:rPr>
        <w:t xml:space="preserve">zpráva </w:t>
      </w:r>
      <w:r w:rsidRPr="00702837">
        <w:rPr>
          <w:i/>
          <w:sz w:val="20"/>
          <w:szCs w:val="20"/>
        </w:rPr>
        <w:t>The State of Estate in 2012</w:t>
      </w:r>
      <w:r w:rsidRPr="00391D73">
        <w:rPr>
          <w:sz w:val="20"/>
          <w:szCs w:val="20"/>
        </w:rPr>
        <w:t xml:space="preserve"> </w:t>
      </w:r>
      <w:r w:rsidR="00D67A9C">
        <w:rPr>
          <w:sz w:val="20"/>
          <w:szCs w:val="20"/>
        </w:rPr>
        <w:t xml:space="preserve">a dále verze z let </w:t>
      </w:r>
      <w:r w:rsidRPr="00391D73">
        <w:rPr>
          <w:sz w:val="20"/>
          <w:szCs w:val="20"/>
        </w:rPr>
        <w:t>2013, 2013/2014, 2014</w:t>
      </w:r>
      <w:r w:rsidR="00D67A9C">
        <w:rPr>
          <w:sz w:val="20"/>
          <w:szCs w:val="20"/>
        </w:rPr>
        <w:t>–</w:t>
      </w:r>
      <w:r w:rsidRPr="00391D73">
        <w:rPr>
          <w:sz w:val="20"/>
          <w:szCs w:val="20"/>
        </w:rPr>
        <w:t>15, 2015</w:t>
      </w:r>
      <w:r w:rsidR="00D67A9C">
        <w:rPr>
          <w:sz w:val="20"/>
          <w:szCs w:val="20"/>
        </w:rPr>
        <w:t>–</w:t>
      </w:r>
      <w:r w:rsidRPr="00391D73">
        <w:rPr>
          <w:sz w:val="20"/>
          <w:szCs w:val="20"/>
        </w:rPr>
        <w:t>16.</w:t>
      </w:r>
    </w:p>
    <w:p w14:paraId="32EB5637" w14:textId="7D8C2A92" w:rsidR="00CD6733" w:rsidRPr="00391D73" w:rsidRDefault="00CD6733" w:rsidP="00CD6733">
      <w:r w:rsidRPr="00391D73">
        <w:t xml:space="preserve">Nastavení KPI a jejich implementaci se v ČR v období 2009–2013 věnovala Národní ekonomická rada vlády (dále také „NERV“), která byla nezávislým poradním orgánem vlády. NERV měla 11 pracovních skupin, z čehož jedna se zabývala klíčovými výkonnostními ukazateli (KPI) ve veřejné správě. Pracovní skupina analyzovala možnost </w:t>
      </w:r>
      <w:r w:rsidR="00870482">
        <w:t>využít</w:t>
      </w:r>
      <w:r w:rsidRPr="00391D73">
        <w:t xml:space="preserve"> KPI pro řízení státu a jeho institucí za účelem dosažení úspor</w:t>
      </w:r>
      <w:r w:rsidRPr="00391D73">
        <w:rPr>
          <w:rStyle w:val="Znakapoznpodarou"/>
        </w:rPr>
        <w:footnoteReference w:id="88"/>
      </w:r>
      <w:r w:rsidRPr="00391D73">
        <w:t>, např. v oblasti správy nemovitého majetku</w:t>
      </w:r>
      <w:r w:rsidR="004539A2">
        <w:t>,</w:t>
      </w:r>
      <w:r w:rsidRPr="00391D73">
        <w:t xml:space="preserve"> a navrhla vládě efektivnější systém řízení provozních nákladů státu s využitím KPI.</w:t>
      </w:r>
      <w:r w:rsidRPr="00391D73">
        <w:rPr>
          <w:rStyle w:val="Znakapoznpodarou"/>
        </w:rPr>
        <w:footnoteReference w:id="89"/>
      </w:r>
      <w:r w:rsidRPr="00391D73">
        <w:t xml:space="preserve"> Pracovní skupina se zaměřila na jednotlivé KPI, nikoli na</w:t>
      </w:r>
      <w:r w:rsidR="004539A2">
        <w:t xml:space="preserve"> </w:t>
      </w:r>
      <w:r w:rsidRPr="00391D73">
        <w:t xml:space="preserve">způsob získání potřebných vstupních údajů. Pracovní skupina dále doporučila seskupovat údaje zejména podle velikosti, poskytované veřejné služby a charakteru působení organizace. </w:t>
      </w:r>
    </w:p>
    <w:p w14:paraId="095753A6" w14:textId="60C4578B" w:rsidR="00CD6733" w:rsidRPr="00391D73" w:rsidRDefault="00CD6733" w:rsidP="00CD6733">
      <w:r w:rsidRPr="00391D73">
        <w:t xml:space="preserve">Jak je uvedeno v části I.2 a III.2 </w:t>
      </w:r>
      <w:r w:rsidR="000857DB">
        <w:t xml:space="preserve">tohoto </w:t>
      </w:r>
      <w:r w:rsidRPr="00391D73">
        <w:t>kontrolního závěru, CRAB neumožňuje rozlišit charakter objektů, které slouží pro specifické účely. Použití údajů evidovaných v CRAB pro výpočet KPI je dále omezeno tím, že u jednotlivých objektů nejsou evidováni všichni zaměstnanci, kteří jsou v něm dislokováni a ani výdaje evidované u jednotlivých objektů nejsou kompletní. CRAB v různých reportech umožňuje zobrazit přibližně 80 KPI, jako například kancelářská plocha na</w:t>
      </w:r>
      <w:r w:rsidR="000857DB">
        <w:t xml:space="preserve"> jednoho </w:t>
      </w:r>
      <w:r w:rsidRPr="00391D73">
        <w:t>zaměstnance, provozní výdaje na m</w:t>
      </w:r>
      <w:r w:rsidRPr="00391D73">
        <w:rPr>
          <w:vertAlign w:val="superscript"/>
        </w:rPr>
        <w:t>2</w:t>
      </w:r>
      <w:r w:rsidRPr="00391D73">
        <w:t xml:space="preserve"> plochy/na zaměstnance, skutečně hrazené nájemné na m</w:t>
      </w:r>
      <w:r w:rsidRPr="00391D73">
        <w:rPr>
          <w:vertAlign w:val="superscript"/>
        </w:rPr>
        <w:t>2</w:t>
      </w:r>
      <w:r w:rsidRPr="00391D73">
        <w:t xml:space="preserve"> plochy/na zaměstnance atd. Všechny KPI se vztahují k efektivnosti budov. KPI vlivu na životní prostředí, KPI spokojenosti apod. nejsou v ČR používány a ani v CRAB nejsou evidovány potřebné údaje pro výpočet takových ukazatelů. KPI získané z CRAB jsou využívány zejména pro upozorňování státních institucí na nadprůměrné hodnoty prostřednictvím dopisů zasílaných ÚZSVM či dislokačními komisemi</w:t>
      </w:r>
      <w:r w:rsidRPr="00391D73">
        <w:rPr>
          <w:rStyle w:val="Znakapoznpodarou"/>
        </w:rPr>
        <w:footnoteReference w:id="90"/>
      </w:r>
      <w:r w:rsidRPr="00391D73">
        <w:t>.</w:t>
      </w:r>
    </w:p>
    <w:p w14:paraId="7630CEB5" w14:textId="50CBF48A" w:rsidR="00CD6733" w:rsidRPr="00391D73" w:rsidRDefault="00CD6733" w:rsidP="00CD6733">
      <w:r w:rsidRPr="00391D73">
        <w:t xml:space="preserve">Jak je uvedeno v části I.3 a III.3 </w:t>
      </w:r>
      <w:r w:rsidR="00870482">
        <w:t xml:space="preserve">tohoto </w:t>
      </w:r>
      <w:r w:rsidRPr="00391D73">
        <w:t>kontrolního závěru, z CRAB nelze pomocí dostupných reportů získat kompletní údaje o objektech a reporty CRAB nelze vzájemně srovnávat, a tedy nelze získat hodnotu všech KPI ke stejné datové základně. V části I.3 a III.3</w:t>
      </w:r>
      <w:r w:rsidR="00870482">
        <w:t xml:space="preserve"> tohoto</w:t>
      </w:r>
      <w:r w:rsidRPr="00391D73">
        <w:t xml:space="preserve"> kontrolní</w:t>
      </w:r>
      <w:r w:rsidR="00870482">
        <w:t>ho</w:t>
      </w:r>
      <w:r w:rsidRPr="00391D73">
        <w:t xml:space="preserve"> závěru jsou taktéž popsány nesrovnalosti v datech evidovaných v CRAB. V tabulce č. 5 jsou uvedeny ukazatele z vybraného reportu CRAB. Ukazatele jsou vypočítány za</w:t>
      </w:r>
      <w:r w:rsidR="00870482">
        <w:t xml:space="preserve"> </w:t>
      </w:r>
      <w:r w:rsidRPr="00391D73">
        <w:t>administrativní objekty, tj. objekty s účelem užití administrativní budovy podle klasifikace stavebních děl CZ-CC</w:t>
      </w:r>
      <w:r w:rsidRPr="00391D73">
        <w:rPr>
          <w:rStyle w:val="Znakapoznpodarou"/>
        </w:rPr>
        <w:footnoteReference w:id="91"/>
      </w:r>
      <w:r w:rsidRPr="00391D73">
        <w:t>.</w:t>
      </w:r>
    </w:p>
    <w:p w14:paraId="745EE2D2" w14:textId="7F5D64E0" w:rsidR="00CD6733" w:rsidRPr="00391D73" w:rsidRDefault="00CD6733" w:rsidP="003244E9">
      <w:pPr>
        <w:keepNext/>
        <w:keepLines/>
        <w:spacing w:after="40" w:line="240" w:lineRule="auto"/>
        <w:rPr>
          <w:b/>
        </w:rPr>
      </w:pPr>
      <w:r w:rsidRPr="00391D73">
        <w:rPr>
          <w:b/>
        </w:rPr>
        <w:lastRenderedPageBreak/>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10</w:t>
      </w:r>
      <w:r w:rsidRPr="00391D73">
        <w:rPr>
          <w:b/>
        </w:rPr>
        <w:fldChar w:fldCharType="end"/>
      </w:r>
      <w:r w:rsidRPr="00391D73">
        <w:rPr>
          <w:b/>
        </w:rPr>
        <w:t>:</w:t>
      </w:r>
      <w:r w:rsidRPr="00391D73">
        <w:t xml:space="preserve"> </w:t>
      </w:r>
      <w:r w:rsidRPr="00391D73">
        <w:rPr>
          <w:b/>
        </w:rPr>
        <w:t>Vybrané KPI v letech 2013–2016 v ČR</w:t>
      </w:r>
    </w:p>
    <w:tbl>
      <w:tblPr>
        <w:tblW w:w="0" w:type="auto"/>
        <w:tblInd w:w="30" w:type="dxa"/>
        <w:tblLayout w:type="fixed"/>
        <w:tblCellMar>
          <w:left w:w="30" w:type="dxa"/>
          <w:right w:w="30" w:type="dxa"/>
        </w:tblCellMar>
        <w:tblLook w:val="0000" w:firstRow="0" w:lastRow="0" w:firstColumn="0" w:lastColumn="0" w:noHBand="0" w:noVBand="0"/>
      </w:tblPr>
      <w:tblGrid>
        <w:gridCol w:w="6237"/>
        <w:gridCol w:w="709"/>
        <w:gridCol w:w="709"/>
        <w:gridCol w:w="709"/>
        <w:gridCol w:w="708"/>
      </w:tblGrid>
      <w:tr w:rsidR="00CD6733" w:rsidRPr="00391D73" w14:paraId="68E5C171" w14:textId="77777777" w:rsidTr="00CD6733">
        <w:trPr>
          <w:trHeight w:val="20"/>
        </w:trPr>
        <w:tc>
          <w:tcPr>
            <w:tcW w:w="6237" w:type="dxa"/>
            <w:tcBorders>
              <w:top w:val="single" w:sz="6" w:space="0" w:color="auto"/>
              <w:left w:val="single" w:sz="6" w:space="0" w:color="auto"/>
              <w:bottom w:val="single" w:sz="6" w:space="0" w:color="auto"/>
              <w:right w:val="single" w:sz="6" w:space="0" w:color="auto"/>
            </w:tcBorders>
            <w:shd w:val="clear" w:color="auto" w:fill="E5F1FF"/>
          </w:tcPr>
          <w:p w14:paraId="77307770" w14:textId="77777777" w:rsidR="00CD6733" w:rsidRPr="00391D73" w:rsidRDefault="00CD6733" w:rsidP="003244E9">
            <w:pPr>
              <w:keepNext/>
              <w:keepLines/>
              <w:autoSpaceDE w:val="0"/>
              <w:autoSpaceDN w:val="0"/>
              <w:adjustRightInd w:val="0"/>
              <w:spacing w:after="0" w:line="240" w:lineRule="auto"/>
              <w:jc w:val="left"/>
              <w:rPr>
                <w:rFonts w:cs="Calibri"/>
                <w:b/>
                <w:color w:val="000000"/>
                <w:sz w:val="20"/>
                <w:szCs w:val="20"/>
                <w:lang w:eastAsia="cs-CZ"/>
              </w:rPr>
            </w:pPr>
            <w:r w:rsidRPr="00391D73">
              <w:rPr>
                <w:rFonts w:cs="Calibri"/>
                <w:b/>
                <w:color w:val="000000"/>
                <w:sz w:val="20"/>
                <w:szCs w:val="20"/>
                <w:lang w:eastAsia="cs-CZ"/>
              </w:rPr>
              <w:t>Ukazatel</w:t>
            </w:r>
          </w:p>
        </w:tc>
        <w:tc>
          <w:tcPr>
            <w:tcW w:w="709" w:type="dxa"/>
            <w:tcBorders>
              <w:top w:val="single" w:sz="6" w:space="0" w:color="auto"/>
              <w:left w:val="single" w:sz="6" w:space="0" w:color="auto"/>
              <w:bottom w:val="single" w:sz="6" w:space="0" w:color="auto"/>
              <w:right w:val="single" w:sz="6" w:space="0" w:color="auto"/>
            </w:tcBorders>
            <w:shd w:val="clear" w:color="auto" w:fill="E5F1FF"/>
          </w:tcPr>
          <w:p w14:paraId="19630C49" w14:textId="77777777" w:rsidR="00CD6733" w:rsidRPr="00391D73" w:rsidRDefault="00CD6733" w:rsidP="003244E9">
            <w:pPr>
              <w:keepNext/>
              <w:keepLines/>
              <w:autoSpaceDE w:val="0"/>
              <w:autoSpaceDN w:val="0"/>
              <w:adjustRightInd w:val="0"/>
              <w:spacing w:after="0" w:line="240" w:lineRule="auto"/>
              <w:jc w:val="center"/>
              <w:rPr>
                <w:rFonts w:cs="Calibri"/>
                <w:b/>
                <w:color w:val="000000"/>
                <w:sz w:val="20"/>
                <w:szCs w:val="20"/>
                <w:lang w:eastAsia="cs-CZ"/>
              </w:rPr>
            </w:pPr>
            <w:r w:rsidRPr="00391D73">
              <w:rPr>
                <w:rFonts w:cs="Calibri"/>
                <w:b/>
                <w:color w:val="000000"/>
                <w:sz w:val="20"/>
                <w:szCs w:val="20"/>
                <w:lang w:eastAsia="cs-CZ"/>
              </w:rPr>
              <w:t>2013</w:t>
            </w:r>
          </w:p>
        </w:tc>
        <w:tc>
          <w:tcPr>
            <w:tcW w:w="709" w:type="dxa"/>
            <w:tcBorders>
              <w:top w:val="single" w:sz="6" w:space="0" w:color="auto"/>
              <w:left w:val="single" w:sz="6" w:space="0" w:color="auto"/>
              <w:bottom w:val="single" w:sz="6" w:space="0" w:color="auto"/>
              <w:right w:val="single" w:sz="6" w:space="0" w:color="auto"/>
            </w:tcBorders>
            <w:shd w:val="clear" w:color="auto" w:fill="E5F1FF"/>
          </w:tcPr>
          <w:p w14:paraId="07DB0518" w14:textId="77777777" w:rsidR="00CD6733" w:rsidRPr="00391D73" w:rsidRDefault="00CD6733" w:rsidP="003244E9">
            <w:pPr>
              <w:keepNext/>
              <w:keepLines/>
              <w:autoSpaceDE w:val="0"/>
              <w:autoSpaceDN w:val="0"/>
              <w:adjustRightInd w:val="0"/>
              <w:spacing w:after="0" w:line="240" w:lineRule="auto"/>
              <w:jc w:val="center"/>
              <w:rPr>
                <w:rFonts w:cs="Calibri"/>
                <w:b/>
                <w:color w:val="000000"/>
                <w:sz w:val="20"/>
                <w:szCs w:val="20"/>
                <w:lang w:eastAsia="cs-CZ"/>
              </w:rPr>
            </w:pPr>
            <w:r w:rsidRPr="00391D73">
              <w:rPr>
                <w:rFonts w:cs="Calibri"/>
                <w:b/>
                <w:color w:val="000000"/>
                <w:sz w:val="20"/>
                <w:szCs w:val="20"/>
                <w:lang w:eastAsia="cs-CZ"/>
              </w:rPr>
              <w:t>2014</w:t>
            </w:r>
          </w:p>
        </w:tc>
        <w:tc>
          <w:tcPr>
            <w:tcW w:w="709" w:type="dxa"/>
            <w:tcBorders>
              <w:top w:val="single" w:sz="6" w:space="0" w:color="auto"/>
              <w:left w:val="single" w:sz="6" w:space="0" w:color="auto"/>
              <w:bottom w:val="single" w:sz="6" w:space="0" w:color="auto"/>
              <w:right w:val="single" w:sz="6" w:space="0" w:color="auto"/>
            </w:tcBorders>
            <w:shd w:val="clear" w:color="auto" w:fill="E5F1FF"/>
          </w:tcPr>
          <w:p w14:paraId="785F2283" w14:textId="77777777" w:rsidR="00CD6733" w:rsidRPr="00391D73" w:rsidRDefault="00CD6733" w:rsidP="003244E9">
            <w:pPr>
              <w:keepNext/>
              <w:keepLines/>
              <w:autoSpaceDE w:val="0"/>
              <w:autoSpaceDN w:val="0"/>
              <w:adjustRightInd w:val="0"/>
              <w:spacing w:after="0" w:line="240" w:lineRule="auto"/>
              <w:jc w:val="center"/>
              <w:rPr>
                <w:rFonts w:cs="Calibri"/>
                <w:b/>
                <w:color w:val="000000"/>
                <w:sz w:val="20"/>
                <w:szCs w:val="20"/>
                <w:lang w:eastAsia="cs-CZ"/>
              </w:rPr>
            </w:pPr>
            <w:r w:rsidRPr="00391D73">
              <w:rPr>
                <w:rFonts w:cs="Calibri"/>
                <w:b/>
                <w:color w:val="000000"/>
                <w:sz w:val="20"/>
                <w:szCs w:val="20"/>
                <w:lang w:eastAsia="cs-CZ"/>
              </w:rPr>
              <w:t>2015</w:t>
            </w:r>
          </w:p>
        </w:tc>
        <w:tc>
          <w:tcPr>
            <w:tcW w:w="708" w:type="dxa"/>
            <w:tcBorders>
              <w:top w:val="single" w:sz="6" w:space="0" w:color="auto"/>
              <w:left w:val="single" w:sz="6" w:space="0" w:color="auto"/>
              <w:bottom w:val="single" w:sz="6" w:space="0" w:color="auto"/>
              <w:right w:val="single" w:sz="6" w:space="0" w:color="auto"/>
            </w:tcBorders>
            <w:shd w:val="clear" w:color="auto" w:fill="E5F1FF"/>
          </w:tcPr>
          <w:p w14:paraId="74BBEFA7" w14:textId="77777777" w:rsidR="00CD6733" w:rsidRPr="00391D73" w:rsidRDefault="00CD6733" w:rsidP="003244E9">
            <w:pPr>
              <w:keepNext/>
              <w:keepLines/>
              <w:autoSpaceDE w:val="0"/>
              <w:autoSpaceDN w:val="0"/>
              <w:adjustRightInd w:val="0"/>
              <w:spacing w:after="0" w:line="240" w:lineRule="auto"/>
              <w:jc w:val="center"/>
              <w:rPr>
                <w:rFonts w:cs="Calibri"/>
                <w:b/>
                <w:color w:val="000000"/>
                <w:sz w:val="20"/>
                <w:szCs w:val="20"/>
                <w:lang w:eastAsia="cs-CZ"/>
              </w:rPr>
            </w:pPr>
            <w:r w:rsidRPr="00391D73">
              <w:rPr>
                <w:rFonts w:cs="Calibri"/>
                <w:b/>
                <w:color w:val="000000"/>
                <w:sz w:val="20"/>
                <w:szCs w:val="20"/>
                <w:lang w:eastAsia="cs-CZ"/>
              </w:rPr>
              <w:t>2016</w:t>
            </w:r>
          </w:p>
        </w:tc>
      </w:tr>
      <w:tr w:rsidR="00CD6733" w:rsidRPr="00391D73" w14:paraId="1C1F0F94" w14:textId="77777777" w:rsidTr="00CD6733">
        <w:trPr>
          <w:trHeight w:val="20"/>
        </w:trPr>
        <w:tc>
          <w:tcPr>
            <w:tcW w:w="6237" w:type="dxa"/>
            <w:tcBorders>
              <w:top w:val="single" w:sz="6" w:space="0" w:color="auto"/>
              <w:left w:val="single" w:sz="6" w:space="0" w:color="auto"/>
              <w:bottom w:val="single" w:sz="6" w:space="0" w:color="auto"/>
              <w:right w:val="single" w:sz="6" w:space="0" w:color="auto"/>
            </w:tcBorders>
          </w:tcPr>
          <w:p w14:paraId="513AFBEB" w14:textId="07D92EBE" w:rsidR="00CD6733" w:rsidRPr="00391D73" w:rsidRDefault="00CD6733" w:rsidP="003244E9">
            <w:pPr>
              <w:keepNext/>
              <w:keepLines/>
              <w:autoSpaceDE w:val="0"/>
              <w:autoSpaceDN w:val="0"/>
              <w:adjustRightInd w:val="0"/>
              <w:spacing w:after="0" w:line="240" w:lineRule="auto"/>
              <w:jc w:val="left"/>
              <w:rPr>
                <w:rFonts w:cs="Calibri"/>
                <w:color w:val="000000"/>
                <w:sz w:val="20"/>
                <w:szCs w:val="20"/>
                <w:lang w:eastAsia="cs-CZ"/>
              </w:rPr>
            </w:pPr>
            <w:r w:rsidRPr="00391D73">
              <w:rPr>
                <w:rFonts w:cs="Calibri"/>
                <w:color w:val="000000"/>
                <w:sz w:val="20"/>
                <w:szCs w:val="20"/>
                <w:lang w:eastAsia="cs-CZ"/>
              </w:rPr>
              <w:t xml:space="preserve">Nákup paliv a energie na </w:t>
            </w:r>
            <w:r w:rsidR="00EB2D42">
              <w:rPr>
                <w:rFonts w:cs="Calibri"/>
                <w:color w:val="000000"/>
                <w:sz w:val="20"/>
                <w:szCs w:val="20"/>
                <w:lang w:eastAsia="cs-CZ"/>
              </w:rPr>
              <w:t>1 </w:t>
            </w:r>
            <w:r w:rsidRPr="00391D73">
              <w:rPr>
                <w:rFonts w:cs="Calibri"/>
                <w:color w:val="000000"/>
                <w:sz w:val="20"/>
                <w:szCs w:val="20"/>
                <w:lang w:eastAsia="cs-CZ"/>
              </w:rPr>
              <w:t>m</w:t>
            </w:r>
            <w:r w:rsidRPr="00391D73">
              <w:rPr>
                <w:rFonts w:cs="Calibri"/>
                <w:color w:val="000000"/>
                <w:sz w:val="20"/>
                <w:szCs w:val="20"/>
                <w:vertAlign w:val="superscript"/>
                <w:lang w:eastAsia="cs-CZ"/>
              </w:rPr>
              <w:t>2</w:t>
            </w:r>
            <w:r w:rsidRPr="00391D73">
              <w:rPr>
                <w:rFonts w:cs="Calibri"/>
                <w:color w:val="000000"/>
                <w:sz w:val="20"/>
                <w:szCs w:val="20"/>
                <w:lang w:eastAsia="cs-CZ"/>
              </w:rPr>
              <w:t xml:space="preserve"> celkové užitné plochy</w:t>
            </w:r>
            <w:r w:rsidRPr="00391D73">
              <w:rPr>
                <w:rStyle w:val="Znakapoznpodarou"/>
                <w:rFonts w:cs="Calibri"/>
                <w:color w:val="000000"/>
                <w:sz w:val="20"/>
                <w:szCs w:val="20"/>
                <w:lang w:eastAsia="cs-CZ"/>
              </w:rPr>
              <w:footnoteReference w:id="92"/>
            </w:r>
            <w:r w:rsidRPr="00391D73">
              <w:rPr>
                <w:rFonts w:cs="Calibri"/>
                <w:color w:val="000000"/>
                <w:sz w:val="20"/>
                <w:szCs w:val="20"/>
                <w:lang w:eastAsia="cs-CZ"/>
              </w:rPr>
              <w:t xml:space="preserve"> v Kč</w:t>
            </w:r>
          </w:p>
        </w:tc>
        <w:tc>
          <w:tcPr>
            <w:tcW w:w="709" w:type="dxa"/>
            <w:tcBorders>
              <w:top w:val="single" w:sz="6" w:space="0" w:color="auto"/>
              <w:left w:val="single" w:sz="6" w:space="0" w:color="auto"/>
              <w:bottom w:val="single" w:sz="6" w:space="0" w:color="auto"/>
              <w:right w:val="single" w:sz="6" w:space="0" w:color="auto"/>
            </w:tcBorders>
          </w:tcPr>
          <w:p w14:paraId="5EDF477A"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363</w:t>
            </w:r>
          </w:p>
        </w:tc>
        <w:tc>
          <w:tcPr>
            <w:tcW w:w="709" w:type="dxa"/>
            <w:tcBorders>
              <w:top w:val="single" w:sz="6" w:space="0" w:color="auto"/>
              <w:left w:val="single" w:sz="6" w:space="0" w:color="auto"/>
              <w:bottom w:val="single" w:sz="6" w:space="0" w:color="auto"/>
              <w:right w:val="single" w:sz="6" w:space="0" w:color="auto"/>
            </w:tcBorders>
          </w:tcPr>
          <w:p w14:paraId="36C5FCBF"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339</w:t>
            </w:r>
          </w:p>
        </w:tc>
        <w:tc>
          <w:tcPr>
            <w:tcW w:w="709" w:type="dxa"/>
            <w:tcBorders>
              <w:top w:val="single" w:sz="6" w:space="0" w:color="auto"/>
              <w:left w:val="single" w:sz="6" w:space="0" w:color="auto"/>
              <w:bottom w:val="single" w:sz="6" w:space="0" w:color="auto"/>
              <w:right w:val="single" w:sz="6" w:space="0" w:color="auto"/>
            </w:tcBorders>
          </w:tcPr>
          <w:p w14:paraId="647DF4AA"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285</w:t>
            </w:r>
          </w:p>
        </w:tc>
        <w:tc>
          <w:tcPr>
            <w:tcW w:w="708" w:type="dxa"/>
            <w:tcBorders>
              <w:top w:val="single" w:sz="6" w:space="0" w:color="auto"/>
              <w:left w:val="single" w:sz="6" w:space="0" w:color="auto"/>
              <w:bottom w:val="single" w:sz="6" w:space="0" w:color="auto"/>
              <w:right w:val="single" w:sz="6" w:space="0" w:color="auto"/>
            </w:tcBorders>
          </w:tcPr>
          <w:p w14:paraId="4F201053"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220</w:t>
            </w:r>
          </w:p>
        </w:tc>
      </w:tr>
      <w:tr w:rsidR="00CD6733" w:rsidRPr="00391D73" w14:paraId="4B453CFC" w14:textId="77777777" w:rsidTr="00CD6733">
        <w:trPr>
          <w:trHeight w:val="20"/>
        </w:trPr>
        <w:tc>
          <w:tcPr>
            <w:tcW w:w="6237" w:type="dxa"/>
            <w:tcBorders>
              <w:top w:val="single" w:sz="6" w:space="0" w:color="auto"/>
              <w:left w:val="single" w:sz="6" w:space="0" w:color="auto"/>
              <w:bottom w:val="single" w:sz="6" w:space="0" w:color="auto"/>
              <w:right w:val="single" w:sz="6" w:space="0" w:color="auto"/>
            </w:tcBorders>
          </w:tcPr>
          <w:p w14:paraId="6EA568EB" w14:textId="77777777" w:rsidR="00CD6733" w:rsidRPr="00391D73" w:rsidRDefault="00CD6733" w:rsidP="003244E9">
            <w:pPr>
              <w:keepNext/>
              <w:keepLines/>
              <w:autoSpaceDE w:val="0"/>
              <w:autoSpaceDN w:val="0"/>
              <w:adjustRightInd w:val="0"/>
              <w:spacing w:after="0" w:line="240" w:lineRule="auto"/>
              <w:jc w:val="left"/>
              <w:rPr>
                <w:rFonts w:cs="Calibri"/>
                <w:color w:val="000000"/>
                <w:sz w:val="20"/>
                <w:szCs w:val="20"/>
                <w:lang w:eastAsia="cs-CZ"/>
              </w:rPr>
            </w:pPr>
            <w:r w:rsidRPr="00391D73">
              <w:rPr>
                <w:rFonts w:cs="Calibri"/>
                <w:color w:val="000000"/>
                <w:sz w:val="20"/>
                <w:szCs w:val="20"/>
                <w:lang w:eastAsia="cs-CZ"/>
              </w:rPr>
              <w:t>Skutečně hrazené nájemné na 1 m</w:t>
            </w:r>
            <w:r w:rsidRPr="00391D73">
              <w:rPr>
                <w:rFonts w:cs="Calibri"/>
                <w:color w:val="000000"/>
                <w:sz w:val="20"/>
                <w:szCs w:val="20"/>
                <w:vertAlign w:val="superscript"/>
                <w:lang w:eastAsia="cs-CZ"/>
              </w:rPr>
              <w:t>2</w:t>
            </w:r>
            <w:r w:rsidRPr="00391D73">
              <w:rPr>
                <w:rFonts w:cs="Calibri"/>
                <w:color w:val="000000"/>
                <w:sz w:val="20"/>
                <w:szCs w:val="20"/>
                <w:lang w:eastAsia="cs-CZ"/>
              </w:rPr>
              <w:t xml:space="preserve"> najímané plochy</w:t>
            </w:r>
            <w:r w:rsidRPr="00391D73">
              <w:rPr>
                <w:rStyle w:val="Znakapoznpodarou"/>
                <w:rFonts w:cs="Calibri"/>
                <w:color w:val="000000"/>
                <w:sz w:val="20"/>
                <w:szCs w:val="20"/>
                <w:lang w:eastAsia="cs-CZ"/>
              </w:rPr>
              <w:footnoteReference w:id="93"/>
            </w:r>
            <w:r w:rsidRPr="00391D73">
              <w:rPr>
                <w:rFonts w:cs="Calibri"/>
                <w:color w:val="000000"/>
                <w:sz w:val="20"/>
                <w:szCs w:val="20"/>
                <w:lang w:eastAsia="cs-CZ"/>
              </w:rPr>
              <w:t xml:space="preserve"> v Kč</w:t>
            </w:r>
          </w:p>
        </w:tc>
        <w:tc>
          <w:tcPr>
            <w:tcW w:w="709" w:type="dxa"/>
            <w:tcBorders>
              <w:top w:val="single" w:sz="6" w:space="0" w:color="auto"/>
              <w:left w:val="single" w:sz="6" w:space="0" w:color="auto"/>
              <w:bottom w:val="single" w:sz="6" w:space="0" w:color="auto"/>
              <w:right w:val="single" w:sz="6" w:space="0" w:color="auto"/>
            </w:tcBorders>
          </w:tcPr>
          <w:p w14:paraId="5AB6FC80"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1 401</w:t>
            </w:r>
          </w:p>
        </w:tc>
        <w:tc>
          <w:tcPr>
            <w:tcW w:w="709" w:type="dxa"/>
            <w:tcBorders>
              <w:top w:val="single" w:sz="6" w:space="0" w:color="auto"/>
              <w:left w:val="single" w:sz="6" w:space="0" w:color="auto"/>
              <w:bottom w:val="single" w:sz="6" w:space="0" w:color="auto"/>
              <w:right w:val="single" w:sz="6" w:space="0" w:color="auto"/>
            </w:tcBorders>
          </w:tcPr>
          <w:p w14:paraId="3901A187"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1 262</w:t>
            </w:r>
          </w:p>
        </w:tc>
        <w:tc>
          <w:tcPr>
            <w:tcW w:w="709" w:type="dxa"/>
            <w:tcBorders>
              <w:top w:val="single" w:sz="6" w:space="0" w:color="auto"/>
              <w:left w:val="single" w:sz="6" w:space="0" w:color="auto"/>
              <w:bottom w:val="single" w:sz="6" w:space="0" w:color="auto"/>
              <w:right w:val="single" w:sz="6" w:space="0" w:color="auto"/>
            </w:tcBorders>
          </w:tcPr>
          <w:p w14:paraId="0E9E8885"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1 150</w:t>
            </w:r>
          </w:p>
        </w:tc>
        <w:tc>
          <w:tcPr>
            <w:tcW w:w="708" w:type="dxa"/>
            <w:tcBorders>
              <w:top w:val="single" w:sz="6" w:space="0" w:color="auto"/>
              <w:left w:val="single" w:sz="6" w:space="0" w:color="auto"/>
              <w:bottom w:val="single" w:sz="6" w:space="0" w:color="auto"/>
              <w:right w:val="single" w:sz="6" w:space="0" w:color="auto"/>
            </w:tcBorders>
          </w:tcPr>
          <w:p w14:paraId="72E80CF0"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1 559</w:t>
            </w:r>
          </w:p>
        </w:tc>
      </w:tr>
      <w:tr w:rsidR="00CD6733" w:rsidRPr="00391D73" w14:paraId="095768B9" w14:textId="77777777" w:rsidTr="00CD6733">
        <w:trPr>
          <w:trHeight w:val="20"/>
        </w:trPr>
        <w:tc>
          <w:tcPr>
            <w:tcW w:w="6237" w:type="dxa"/>
            <w:tcBorders>
              <w:top w:val="single" w:sz="6" w:space="0" w:color="auto"/>
              <w:left w:val="single" w:sz="6" w:space="0" w:color="auto"/>
              <w:bottom w:val="single" w:sz="6" w:space="0" w:color="auto"/>
              <w:right w:val="single" w:sz="6" w:space="0" w:color="auto"/>
            </w:tcBorders>
          </w:tcPr>
          <w:p w14:paraId="3A417BAB" w14:textId="77777777" w:rsidR="00CD6733" w:rsidRPr="00391D73" w:rsidRDefault="00CD6733" w:rsidP="003244E9">
            <w:pPr>
              <w:keepNext/>
              <w:keepLines/>
              <w:autoSpaceDE w:val="0"/>
              <w:autoSpaceDN w:val="0"/>
              <w:adjustRightInd w:val="0"/>
              <w:spacing w:after="0" w:line="240" w:lineRule="auto"/>
              <w:jc w:val="left"/>
              <w:rPr>
                <w:rFonts w:cs="Calibri"/>
                <w:color w:val="000000"/>
                <w:sz w:val="20"/>
                <w:szCs w:val="20"/>
                <w:lang w:eastAsia="cs-CZ"/>
              </w:rPr>
            </w:pPr>
            <w:r w:rsidRPr="00391D73">
              <w:rPr>
                <w:rFonts w:cs="Calibri"/>
                <w:color w:val="000000"/>
                <w:sz w:val="20"/>
                <w:szCs w:val="20"/>
                <w:lang w:eastAsia="cs-CZ"/>
              </w:rPr>
              <w:t>Skutečně hrazené nájemné na 1 osobu v nájmu</w:t>
            </w:r>
            <w:r w:rsidRPr="00391D73">
              <w:rPr>
                <w:rStyle w:val="Znakapoznpodarou"/>
                <w:rFonts w:cs="Calibri"/>
                <w:color w:val="000000"/>
                <w:sz w:val="20"/>
                <w:szCs w:val="20"/>
                <w:lang w:eastAsia="cs-CZ"/>
              </w:rPr>
              <w:footnoteReference w:id="94"/>
            </w:r>
            <w:r w:rsidRPr="00391D73">
              <w:rPr>
                <w:rFonts w:cs="Calibri"/>
                <w:color w:val="000000"/>
                <w:sz w:val="20"/>
                <w:szCs w:val="20"/>
                <w:lang w:eastAsia="cs-CZ"/>
              </w:rPr>
              <w:t xml:space="preserve"> v Kč</w:t>
            </w:r>
          </w:p>
        </w:tc>
        <w:tc>
          <w:tcPr>
            <w:tcW w:w="709" w:type="dxa"/>
            <w:tcBorders>
              <w:top w:val="single" w:sz="6" w:space="0" w:color="auto"/>
              <w:left w:val="single" w:sz="6" w:space="0" w:color="auto"/>
              <w:bottom w:val="single" w:sz="6" w:space="0" w:color="auto"/>
              <w:right w:val="single" w:sz="6" w:space="0" w:color="auto"/>
            </w:tcBorders>
          </w:tcPr>
          <w:p w14:paraId="7D322D14"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26 280</w:t>
            </w:r>
          </w:p>
        </w:tc>
        <w:tc>
          <w:tcPr>
            <w:tcW w:w="709" w:type="dxa"/>
            <w:tcBorders>
              <w:top w:val="single" w:sz="6" w:space="0" w:color="auto"/>
              <w:left w:val="single" w:sz="6" w:space="0" w:color="auto"/>
              <w:bottom w:val="single" w:sz="6" w:space="0" w:color="auto"/>
              <w:right w:val="single" w:sz="6" w:space="0" w:color="auto"/>
            </w:tcBorders>
          </w:tcPr>
          <w:p w14:paraId="08F84FEE"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30 721</w:t>
            </w:r>
          </w:p>
        </w:tc>
        <w:tc>
          <w:tcPr>
            <w:tcW w:w="709" w:type="dxa"/>
            <w:tcBorders>
              <w:top w:val="single" w:sz="6" w:space="0" w:color="auto"/>
              <w:left w:val="single" w:sz="6" w:space="0" w:color="auto"/>
              <w:bottom w:val="single" w:sz="6" w:space="0" w:color="auto"/>
              <w:right w:val="single" w:sz="6" w:space="0" w:color="auto"/>
            </w:tcBorders>
          </w:tcPr>
          <w:p w14:paraId="391F1416"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25 804</w:t>
            </w:r>
          </w:p>
        </w:tc>
        <w:tc>
          <w:tcPr>
            <w:tcW w:w="708" w:type="dxa"/>
            <w:tcBorders>
              <w:top w:val="single" w:sz="6" w:space="0" w:color="auto"/>
              <w:left w:val="single" w:sz="6" w:space="0" w:color="auto"/>
              <w:bottom w:val="single" w:sz="6" w:space="0" w:color="auto"/>
              <w:right w:val="single" w:sz="6" w:space="0" w:color="auto"/>
            </w:tcBorders>
          </w:tcPr>
          <w:p w14:paraId="7852536D"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32 032</w:t>
            </w:r>
          </w:p>
        </w:tc>
      </w:tr>
      <w:tr w:rsidR="00CD6733" w:rsidRPr="00391D73" w14:paraId="40D1EC13" w14:textId="77777777" w:rsidTr="00CD6733">
        <w:trPr>
          <w:trHeight w:val="20"/>
        </w:trPr>
        <w:tc>
          <w:tcPr>
            <w:tcW w:w="6237" w:type="dxa"/>
            <w:tcBorders>
              <w:top w:val="single" w:sz="6" w:space="0" w:color="auto"/>
              <w:left w:val="single" w:sz="6" w:space="0" w:color="auto"/>
              <w:bottom w:val="single" w:sz="6" w:space="0" w:color="auto"/>
              <w:right w:val="single" w:sz="6" w:space="0" w:color="auto"/>
            </w:tcBorders>
          </w:tcPr>
          <w:p w14:paraId="795938E0" w14:textId="420785A4" w:rsidR="00CD6733" w:rsidRPr="00391D73" w:rsidRDefault="00CD6733" w:rsidP="003244E9">
            <w:pPr>
              <w:keepNext/>
              <w:keepLines/>
              <w:autoSpaceDE w:val="0"/>
              <w:autoSpaceDN w:val="0"/>
              <w:adjustRightInd w:val="0"/>
              <w:spacing w:after="0" w:line="240" w:lineRule="auto"/>
              <w:jc w:val="left"/>
              <w:rPr>
                <w:rFonts w:cs="Calibri"/>
                <w:color w:val="000000"/>
                <w:sz w:val="20"/>
                <w:szCs w:val="20"/>
                <w:lang w:eastAsia="cs-CZ"/>
              </w:rPr>
            </w:pPr>
            <w:r w:rsidRPr="00391D73">
              <w:rPr>
                <w:rFonts w:cs="Calibri"/>
                <w:color w:val="000000"/>
                <w:sz w:val="20"/>
                <w:szCs w:val="20"/>
                <w:lang w:eastAsia="cs-CZ"/>
              </w:rPr>
              <w:t>Skutečné příjmy z pronájmu na 1</w:t>
            </w:r>
            <w:r w:rsidR="00EB2D42">
              <w:rPr>
                <w:rFonts w:cs="Calibri"/>
                <w:color w:val="000000"/>
                <w:sz w:val="20"/>
                <w:szCs w:val="20"/>
                <w:lang w:eastAsia="cs-CZ"/>
              </w:rPr>
              <w:t> </w:t>
            </w:r>
            <w:r w:rsidRPr="00391D73">
              <w:rPr>
                <w:rFonts w:cs="Calibri"/>
                <w:color w:val="000000"/>
                <w:sz w:val="20"/>
                <w:szCs w:val="20"/>
                <w:lang w:eastAsia="cs-CZ"/>
              </w:rPr>
              <w:t>m</w:t>
            </w:r>
            <w:r w:rsidRPr="00391D73">
              <w:rPr>
                <w:rFonts w:cs="Calibri"/>
                <w:color w:val="000000"/>
                <w:sz w:val="20"/>
                <w:szCs w:val="20"/>
                <w:vertAlign w:val="superscript"/>
                <w:lang w:eastAsia="cs-CZ"/>
              </w:rPr>
              <w:t>2</w:t>
            </w:r>
            <w:r w:rsidRPr="00391D73">
              <w:rPr>
                <w:rFonts w:cs="Calibri"/>
                <w:color w:val="000000"/>
                <w:sz w:val="20"/>
                <w:szCs w:val="20"/>
                <w:lang w:eastAsia="cs-CZ"/>
              </w:rPr>
              <w:t xml:space="preserve"> pronajímané plochy</w:t>
            </w:r>
            <w:r w:rsidRPr="00391D73">
              <w:rPr>
                <w:rStyle w:val="Znakapoznpodarou"/>
                <w:rFonts w:cs="Calibri"/>
                <w:color w:val="000000"/>
                <w:sz w:val="20"/>
                <w:szCs w:val="20"/>
                <w:lang w:eastAsia="cs-CZ"/>
              </w:rPr>
              <w:footnoteReference w:id="95"/>
            </w:r>
            <w:r w:rsidRPr="00391D73">
              <w:rPr>
                <w:rFonts w:cs="Calibri"/>
                <w:color w:val="000000"/>
                <w:sz w:val="20"/>
                <w:szCs w:val="20"/>
                <w:lang w:eastAsia="cs-CZ"/>
              </w:rPr>
              <w:t xml:space="preserve"> v Kč</w:t>
            </w:r>
          </w:p>
        </w:tc>
        <w:tc>
          <w:tcPr>
            <w:tcW w:w="709" w:type="dxa"/>
            <w:tcBorders>
              <w:top w:val="single" w:sz="6" w:space="0" w:color="auto"/>
              <w:left w:val="single" w:sz="6" w:space="0" w:color="auto"/>
              <w:bottom w:val="single" w:sz="6" w:space="0" w:color="auto"/>
              <w:right w:val="single" w:sz="6" w:space="0" w:color="auto"/>
            </w:tcBorders>
          </w:tcPr>
          <w:p w14:paraId="6EE7E800"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1 250</w:t>
            </w:r>
          </w:p>
        </w:tc>
        <w:tc>
          <w:tcPr>
            <w:tcW w:w="709" w:type="dxa"/>
            <w:tcBorders>
              <w:top w:val="single" w:sz="6" w:space="0" w:color="auto"/>
              <w:left w:val="single" w:sz="6" w:space="0" w:color="auto"/>
              <w:bottom w:val="single" w:sz="6" w:space="0" w:color="auto"/>
              <w:right w:val="single" w:sz="6" w:space="0" w:color="auto"/>
            </w:tcBorders>
          </w:tcPr>
          <w:p w14:paraId="51BC474D"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1 193</w:t>
            </w:r>
          </w:p>
        </w:tc>
        <w:tc>
          <w:tcPr>
            <w:tcW w:w="709" w:type="dxa"/>
            <w:tcBorders>
              <w:top w:val="single" w:sz="6" w:space="0" w:color="auto"/>
              <w:left w:val="single" w:sz="6" w:space="0" w:color="auto"/>
              <w:bottom w:val="single" w:sz="6" w:space="0" w:color="auto"/>
              <w:right w:val="single" w:sz="6" w:space="0" w:color="auto"/>
            </w:tcBorders>
          </w:tcPr>
          <w:p w14:paraId="3F084631"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1 563</w:t>
            </w:r>
          </w:p>
        </w:tc>
        <w:tc>
          <w:tcPr>
            <w:tcW w:w="708" w:type="dxa"/>
            <w:tcBorders>
              <w:top w:val="single" w:sz="6" w:space="0" w:color="auto"/>
              <w:left w:val="single" w:sz="6" w:space="0" w:color="auto"/>
              <w:bottom w:val="single" w:sz="6" w:space="0" w:color="auto"/>
              <w:right w:val="single" w:sz="6" w:space="0" w:color="auto"/>
            </w:tcBorders>
          </w:tcPr>
          <w:p w14:paraId="3B798AE3" w14:textId="77777777" w:rsidR="00CD6733" w:rsidRPr="00391D73" w:rsidRDefault="00CD6733" w:rsidP="003244E9">
            <w:pPr>
              <w:keepNext/>
              <w:keepLines/>
              <w:autoSpaceDE w:val="0"/>
              <w:autoSpaceDN w:val="0"/>
              <w:adjustRightInd w:val="0"/>
              <w:spacing w:after="0" w:line="240" w:lineRule="auto"/>
              <w:jc w:val="right"/>
              <w:rPr>
                <w:rFonts w:cs="Calibri"/>
                <w:color w:val="000000"/>
                <w:sz w:val="20"/>
                <w:szCs w:val="20"/>
                <w:lang w:eastAsia="cs-CZ"/>
              </w:rPr>
            </w:pPr>
            <w:r w:rsidRPr="00391D73">
              <w:rPr>
                <w:rFonts w:cs="Calibri"/>
                <w:color w:val="000000"/>
                <w:sz w:val="20"/>
                <w:szCs w:val="20"/>
                <w:lang w:eastAsia="cs-CZ"/>
              </w:rPr>
              <w:t>1 657</w:t>
            </w:r>
          </w:p>
        </w:tc>
      </w:tr>
    </w:tbl>
    <w:p w14:paraId="505A64ED" w14:textId="68882F4B" w:rsidR="00CD6733" w:rsidRPr="00391D73" w:rsidRDefault="00CD6733" w:rsidP="003244E9">
      <w:pPr>
        <w:keepNext/>
        <w:keepLines/>
        <w:spacing w:before="40" w:line="240" w:lineRule="auto"/>
        <w:ind w:left="567" w:hanging="567"/>
        <w:rPr>
          <w:sz w:val="20"/>
          <w:szCs w:val="20"/>
        </w:rPr>
      </w:pPr>
      <w:r w:rsidRPr="00391D73">
        <w:rPr>
          <w:b/>
          <w:sz w:val="20"/>
          <w:szCs w:val="20"/>
        </w:rPr>
        <w:t>Zdroj:</w:t>
      </w:r>
      <w:r w:rsidRPr="00391D73">
        <w:rPr>
          <w:sz w:val="20"/>
          <w:szCs w:val="20"/>
        </w:rPr>
        <w:t xml:space="preserve"> </w:t>
      </w:r>
      <w:r w:rsidR="00BE6553">
        <w:rPr>
          <w:sz w:val="20"/>
          <w:szCs w:val="20"/>
        </w:rPr>
        <w:tab/>
      </w:r>
      <w:r w:rsidR="00EB2D42">
        <w:rPr>
          <w:sz w:val="20"/>
          <w:szCs w:val="20"/>
        </w:rPr>
        <w:t>r</w:t>
      </w:r>
      <w:r w:rsidRPr="00391D73">
        <w:rPr>
          <w:sz w:val="20"/>
          <w:szCs w:val="20"/>
        </w:rPr>
        <w:t xml:space="preserve">eport analytického modulu CRAB č. 13b – </w:t>
      </w:r>
      <w:r w:rsidR="00EB2D42">
        <w:rPr>
          <w:sz w:val="20"/>
          <w:szCs w:val="20"/>
        </w:rPr>
        <w:t>v</w:t>
      </w:r>
      <w:r w:rsidRPr="00391D73">
        <w:rPr>
          <w:sz w:val="20"/>
          <w:szCs w:val="20"/>
        </w:rPr>
        <w:t xml:space="preserve">ýdajové ukazatele na objekt (průměr za ČR) a report analytického modulu CRAB č. 14b </w:t>
      </w:r>
      <w:r w:rsidR="00EB2D42">
        <w:rPr>
          <w:sz w:val="20"/>
          <w:szCs w:val="20"/>
        </w:rPr>
        <w:t>–</w:t>
      </w:r>
      <w:r w:rsidRPr="00391D73">
        <w:rPr>
          <w:sz w:val="20"/>
          <w:szCs w:val="20"/>
        </w:rPr>
        <w:t xml:space="preserve"> </w:t>
      </w:r>
      <w:r w:rsidR="00EB2D42">
        <w:rPr>
          <w:sz w:val="20"/>
          <w:szCs w:val="20"/>
        </w:rPr>
        <w:t>p</w:t>
      </w:r>
      <w:r w:rsidRPr="00391D73">
        <w:rPr>
          <w:sz w:val="20"/>
          <w:szCs w:val="20"/>
        </w:rPr>
        <w:t xml:space="preserve">orovnání příjmových a výdajových ukazatelů za nájem v čase (průměr za ČR). </w:t>
      </w:r>
    </w:p>
    <w:p w14:paraId="36DEB1A3" w14:textId="77777777" w:rsidR="00CD6733" w:rsidRPr="00391D73" w:rsidRDefault="00CD6733" w:rsidP="00CD6733">
      <w:r w:rsidRPr="00391D73">
        <w:t>Volba a nastavení KPI jsou rovněž diskutovány v rámci mezinárodní organizace Public Real Estate Network (dále také „PuRE-net“)</w:t>
      </w:r>
      <w:r w:rsidRPr="00391D73">
        <w:rPr>
          <w:rStyle w:val="Znakapoznpodarou"/>
        </w:rPr>
        <w:footnoteReference w:id="96"/>
      </w:r>
      <w:r w:rsidRPr="00391D73">
        <w:t>, jejímiž členy jsou ČR, SK i UK. V rámci této organizace je snahou pomocí KPI srovnávat a vyhodnocovat správu nemovitého majetku, to však komplikují výrazně odlišná postavení (v důsledku odlišné právní formy, kompetencí, financování, svěřeného portfolia atd.), klasifikace dat v informačních systémech a cíle jednotlivých členských organizací.</w:t>
      </w:r>
    </w:p>
    <w:p w14:paraId="18519661" w14:textId="77777777" w:rsidR="00CD6733" w:rsidRPr="00391D73" w:rsidRDefault="00CD6733" w:rsidP="00CD6733">
      <w:pPr>
        <w:spacing w:after="0" w:line="240" w:lineRule="auto"/>
      </w:pPr>
      <w:r w:rsidRPr="00391D73">
        <w:t>V květnu 2017 se v Praze uskutečnilo setkání členů PuRE-net na téma KPI při hospodaření s nemovitostmi státu. Nejčastěji uváděnými KPI, na jejichž sdílení a porovnání se členové PuRE-net shodli, byli KPI:</w:t>
      </w:r>
    </w:p>
    <w:p w14:paraId="0D02CAC1" w14:textId="6EDA3FC1" w:rsidR="00CD6733" w:rsidRPr="00391D73" w:rsidRDefault="00CD6733" w:rsidP="00906BE5">
      <w:pPr>
        <w:pStyle w:val="Odstavecseseznamem"/>
        <w:numPr>
          <w:ilvl w:val="0"/>
          <w:numId w:val="44"/>
        </w:numPr>
        <w:spacing w:after="0"/>
        <w:ind w:left="284" w:hanging="284"/>
        <w:contextualSpacing w:val="0"/>
      </w:pPr>
      <w:r w:rsidRPr="00391D73">
        <w:t>míra obsazenosti</w:t>
      </w:r>
      <w:r w:rsidR="00EB2D42">
        <w:t>,</w:t>
      </w:r>
    </w:p>
    <w:p w14:paraId="3F28F47A" w14:textId="4F86B129" w:rsidR="00CD6733" w:rsidRPr="00391D73" w:rsidRDefault="00CD6733" w:rsidP="00906BE5">
      <w:pPr>
        <w:pStyle w:val="Odstavecseseznamem"/>
        <w:numPr>
          <w:ilvl w:val="0"/>
          <w:numId w:val="44"/>
        </w:numPr>
        <w:spacing w:after="0"/>
        <w:ind w:left="284" w:hanging="284"/>
        <w:contextualSpacing w:val="0"/>
      </w:pPr>
      <w:r w:rsidRPr="00391D73">
        <w:t xml:space="preserve">provozní náklady na </w:t>
      </w:r>
      <w:r w:rsidR="00EB2D42">
        <w:t>1 </w:t>
      </w:r>
      <w:r w:rsidRPr="00391D73">
        <w:t>m</w:t>
      </w:r>
      <w:r w:rsidRPr="00391D73">
        <w:rPr>
          <w:vertAlign w:val="superscript"/>
        </w:rPr>
        <w:t>2</w:t>
      </w:r>
      <w:r w:rsidR="00EB2D42">
        <w:t>,</w:t>
      </w:r>
    </w:p>
    <w:p w14:paraId="2137C629" w14:textId="4391B7B5" w:rsidR="00CD6733" w:rsidRPr="00391D73" w:rsidRDefault="00CD6733" w:rsidP="00906BE5">
      <w:pPr>
        <w:pStyle w:val="Odstavecseseznamem"/>
        <w:numPr>
          <w:ilvl w:val="0"/>
          <w:numId w:val="44"/>
        </w:numPr>
        <w:ind w:left="284" w:hanging="284"/>
      </w:pPr>
      <w:r w:rsidRPr="00391D73">
        <w:t xml:space="preserve">plocha na </w:t>
      </w:r>
      <w:r w:rsidR="00EB2D42">
        <w:t xml:space="preserve">jednoho </w:t>
      </w:r>
      <w:r w:rsidRPr="00391D73">
        <w:t>zaměstnance</w:t>
      </w:r>
      <w:r w:rsidR="00EB2D42">
        <w:t>.</w:t>
      </w:r>
    </w:p>
    <w:p w14:paraId="73B9E490" w14:textId="6010DCD7" w:rsidR="00CD6733" w:rsidRPr="00391D73" w:rsidRDefault="00CD6733" w:rsidP="00CD6733">
      <w:r w:rsidRPr="00391D73">
        <w:t>Srovnání KPI mezi jednotlivými zeměmi je limitováno různou metodikou vstupních hodnot. Například v ČR je evidována celková a kancelářská plocha, oproti tomu v UK je evidována čistá vnitřní plocha</w:t>
      </w:r>
      <w:r w:rsidRPr="00391D73">
        <w:rPr>
          <w:rFonts w:cstheme="minorHAnsi"/>
        </w:rPr>
        <w:t>.</w:t>
      </w:r>
      <w:r w:rsidRPr="00391D73">
        <w:t xml:space="preserve"> V ČR dále jsou u objektů požadovány k evidenci výdaje a v UK náklady. Hodnoty ukazatelů za ČR jsou dále ovlivněny skutečností, že do roku 2014 nebyl</w:t>
      </w:r>
      <w:r w:rsidR="00EB2D42">
        <w:t xml:space="preserve"> </w:t>
      </w:r>
      <w:r w:rsidRPr="00391D73">
        <w:t>CRAB naplněn daty a od roku 2016 došlo ke</w:t>
      </w:r>
      <w:r w:rsidR="00EB2D42">
        <w:t xml:space="preserve"> </w:t>
      </w:r>
      <w:r w:rsidRPr="00391D73">
        <w:t xml:space="preserve">snížení evidovaných objektů téměř o třetinu. </w:t>
      </w:r>
    </w:p>
    <w:p w14:paraId="4EDF227A" w14:textId="334B2A36" w:rsidR="00CD6733" w:rsidRPr="00391D73" w:rsidRDefault="00CD6733" w:rsidP="003244E9">
      <w:pPr>
        <w:keepNext/>
        <w:keepLines/>
        <w:spacing w:after="40" w:line="240" w:lineRule="auto"/>
        <w:rPr>
          <w:b/>
        </w:rPr>
      </w:pPr>
      <w:r w:rsidRPr="00391D73">
        <w:rPr>
          <w:b/>
        </w:rPr>
        <w:lastRenderedPageBreak/>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11</w:t>
      </w:r>
      <w:r w:rsidRPr="00391D73">
        <w:rPr>
          <w:b/>
        </w:rPr>
        <w:fldChar w:fldCharType="end"/>
      </w:r>
      <w:r w:rsidRPr="00391D73">
        <w:rPr>
          <w:b/>
        </w:rPr>
        <w:t>: Ukazatel míry obsazenosti budov</w:t>
      </w:r>
      <w:r w:rsidRPr="00391D73">
        <w:rPr>
          <w:rStyle w:val="Znakapoznpodarou"/>
          <w:b/>
        </w:rPr>
        <w:footnoteReference w:id="97"/>
      </w:r>
    </w:p>
    <w:tbl>
      <w:tblPr>
        <w:tblStyle w:val="Mkatabulky"/>
        <w:tblW w:w="0" w:type="auto"/>
        <w:tblInd w:w="108" w:type="dxa"/>
        <w:tblLook w:val="04A0" w:firstRow="1" w:lastRow="0" w:firstColumn="1" w:lastColumn="0" w:noHBand="0" w:noVBand="1"/>
      </w:tblPr>
      <w:tblGrid>
        <w:gridCol w:w="842"/>
        <w:gridCol w:w="4120"/>
        <w:gridCol w:w="879"/>
        <w:gridCol w:w="843"/>
        <w:gridCol w:w="847"/>
        <w:gridCol w:w="841"/>
        <w:gridCol w:w="806"/>
      </w:tblGrid>
      <w:tr w:rsidR="00CD6733" w:rsidRPr="00391D73" w14:paraId="2ABBD813" w14:textId="77777777" w:rsidTr="00CD6733">
        <w:tc>
          <w:tcPr>
            <w:tcW w:w="842" w:type="dxa"/>
            <w:shd w:val="clear" w:color="auto" w:fill="E5F1FF"/>
          </w:tcPr>
          <w:p w14:paraId="613A750A" w14:textId="77777777" w:rsidR="00CD6733" w:rsidRPr="00391D73" w:rsidRDefault="00CD6733" w:rsidP="003244E9">
            <w:pPr>
              <w:keepNext/>
              <w:keepLines/>
              <w:jc w:val="center"/>
              <w:rPr>
                <w:b/>
                <w:sz w:val="20"/>
                <w:szCs w:val="20"/>
              </w:rPr>
            </w:pPr>
            <w:r w:rsidRPr="00391D73">
              <w:rPr>
                <w:b/>
                <w:sz w:val="20"/>
                <w:szCs w:val="20"/>
              </w:rPr>
              <w:t>Země</w:t>
            </w:r>
          </w:p>
        </w:tc>
        <w:tc>
          <w:tcPr>
            <w:tcW w:w="4120" w:type="dxa"/>
            <w:shd w:val="clear" w:color="auto" w:fill="E5F1FF"/>
            <w:vAlign w:val="center"/>
          </w:tcPr>
          <w:p w14:paraId="1AA8EEDB" w14:textId="77777777" w:rsidR="00CD6733" w:rsidRPr="00391D73" w:rsidRDefault="00CD6733" w:rsidP="003244E9">
            <w:pPr>
              <w:keepNext/>
              <w:keepLines/>
              <w:jc w:val="center"/>
              <w:rPr>
                <w:b/>
                <w:sz w:val="20"/>
                <w:szCs w:val="20"/>
              </w:rPr>
            </w:pPr>
            <w:r w:rsidRPr="00391D73">
              <w:rPr>
                <w:b/>
                <w:sz w:val="20"/>
                <w:szCs w:val="20"/>
              </w:rPr>
              <w:t>Ukazatel</w:t>
            </w:r>
          </w:p>
        </w:tc>
        <w:tc>
          <w:tcPr>
            <w:tcW w:w="879" w:type="dxa"/>
            <w:shd w:val="clear" w:color="auto" w:fill="E5F1FF"/>
            <w:vAlign w:val="center"/>
          </w:tcPr>
          <w:p w14:paraId="5DE00273" w14:textId="77777777" w:rsidR="00CD6733" w:rsidRPr="00391D73" w:rsidRDefault="00CD6733" w:rsidP="003244E9">
            <w:pPr>
              <w:keepNext/>
              <w:keepLines/>
              <w:jc w:val="center"/>
              <w:rPr>
                <w:b/>
                <w:sz w:val="20"/>
                <w:szCs w:val="20"/>
              </w:rPr>
            </w:pPr>
            <w:r w:rsidRPr="00391D73">
              <w:rPr>
                <w:b/>
                <w:sz w:val="20"/>
                <w:szCs w:val="20"/>
              </w:rPr>
              <w:t>2012</w:t>
            </w:r>
          </w:p>
        </w:tc>
        <w:tc>
          <w:tcPr>
            <w:tcW w:w="843" w:type="dxa"/>
            <w:shd w:val="clear" w:color="auto" w:fill="E5F1FF"/>
            <w:vAlign w:val="center"/>
          </w:tcPr>
          <w:p w14:paraId="75CAED23" w14:textId="77777777" w:rsidR="00CD6733" w:rsidRPr="00391D73" w:rsidRDefault="00CD6733" w:rsidP="003244E9">
            <w:pPr>
              <w:keepNext/>
              <w:keepLines/>
              <w:jc w:val="center"/>
              <w:rPr>
                <w:b/>
                <w:sz w:val="20"/>
                <w:szCs w:val="20"/>
              </w:rPr>
            </w:pPr>
            <w:r w:rsidRPr="00391D73">
              <w:rPr>
                <w:b/>
                <w:sz w:val="20"/>
                <w:szCs w:val="20"/>
              </w:rPr>
              <w:t>2013</w:t>
            </w:r>
          </w:p>
        </w:tc>
        <w:tc>
          <w:tcPr>
            <w:tcW w:w="847" w:type="dxa"/>
            <w:shd w:val="clear" w:color="auto" w:fill="E5F1FF"/>
            <w:vAlign w:val="center"/>
          </w:tcPr>
          <w:p w14:paraId="04F83F1F" w14:textId="77777777" w:rsidR="00CD6733" w:rsidRPr="00391D73" w:rsidRDefault="00CD6733" w:rsidP="003244E9">
            <w:pPr>
              <w:keepNext/>
              <w:keepLines/>
              <w:jc w:val="center"/>
              <w:rPr>
                <w:b/>
                <w:sz w:val="20"/>
                <w:szCs w:val="20"/>
              </w:rPr>
            </w:pPr>
            <w:r w:rsidRPr="00391D73">
              <w:rPr>
                <w:b/>
                <w:sz w:val="20"/>
                <w:szCs w:val="20"/>
              </w:rPr>
              <w:t>2014</w:t>
            </w:r>
          </w:p>
        </w:tc>
        <w:tc>
          <w:tcPr>
            <w:tcW w:w="841" w:type="dxa"/>
            <w:shd w:val="clear" w:color="auto" w:fill="E5F1FF"/>
            <w:vAlign w:val="center"/>
          </w:tcPr>
          <w:p w14:paraId="429A2EDA" w14:textId="77777777" w:rsidR="00CD6733" w:rsidRPr="00391D73" w:rsidRDefault="00CD6733" w:rsidP="003244E9">
            <w:pPr>
              <w:keepNext/>
              <w:keepLines/>
              <w:jc w:val="center"/>
              <w:rPr>
                <w:b/>
                <w:sz w:val="20"/>
                <w:szCs w:val="20"/>
              </w:rPr>
            </w:pPr>
            <w:r w:rsidRPr="00391D73">
              <w:rPr>
                <w:b/>
                <w:sz w:val="20"/>
                <w:szCs w:val="20"/>
              </w:rPr>
              <w:t>2015</w:t>
            </w:r>
          </w:p>
        </w:tc>
        <w:tc>
          <w:tcPr>
            <w:tcW w:w="806" w:type="dxa"/>
            <w:shd w:val="clear" w:color="auto" w:fill="E5F1FF"/>
            <w:vAlign w:val="center"/>
          </w:tcPr>
          <w:p w14:paraId="30042994" w14:textId="77777777" w:rsidR="00CD6733" w:rsidRPr="00391D73" w:rsidRDefault="00CD6733" w:rsidP="003244E9">
            <w:pPr>
              <w:keepNext/>
              <w:keepLines/>
              <w:jc w:val="center"/>
              <w:rPr>
                <w:b/>
                <w:sz w:val="20"/>
                <w:szCs w:val="20"/>
              </w:rPr>
            </w:pPr>
            <w:r w:rsidRPr="00391D73">
              <w:rPr>
                <w:b/>
                <w:sz w:val="20"/>
                <w:szCs w:val="20"/>
              </w:rPr>
              <w:t>2016</w:t>
            </w:r>
          </w:p>
        </w:tc>
      </w:tr>
      <w:tr w:rsidR="00CD6733" w:rsidRPr="00391D73" w14:paraId="5152654D" w14:textId="77777777" w:rsidTr="00CD6733">
        <w:tc>
          <w:tcPr>
            <w:tcW w:w="842" w:type="dxa"/>
            <w:vMerge w:val="restart"/>
            <w:vAlign w:val="center"/>
          </w:tcPr>
          <w:p w14:paraId="035D2B6B" w14:textId="77777777" w:rsidR="00CD6733" w:rsidRPr="00391D73" w:rsidRDefault="00CD6733" w:rsidP="003244E9">
            <w:pPr>
              <w:keepNext/>
              <w:keepLines/>
              <w:jc w:val="center"/>
              <w:rPr>
                <w:b/>
                <w:sz w:val="20"/>
                <w:szCs w:val="20"/>
              </w:rPr>
            </w:pPr>
            <w:r w:rsidRPr="00391D73">
              <w:rPr>
                <w:b/>
                <w:sz w:val="20"/>
                <w:szCs w:val="20"/>
              </w:rPr>
              <w:t>ČR</w:t>
            </w:r>
          </w:p>
        </w:tc>
        <w:tc>
          <w:tcPr>
            <w:tcW w:w="4120" w:type="dxa"/>
            <w:vAlign w:val="center"/>
          </w:tcPr>
          <w:p w14:paraId="28576B88" w14:textId="77777777" w:rsidR="00CD6733" w:rsidRPr="00391D73" w:rsidRDefault="00CD6733" w:rsidP="003244E9">
            <w:pPr>
              <w:keepNext/>
              <w:keepLines/>
              <w:rPr>
                <w:sz w:val="20"/>
                <w:szCs w:val="20"/>
              </w:rPr>
            </w:pPr>
            <w:r w:rsidRPr="00391D73">
              <w:rPr>
                <w:sz w:val="20"/>
                <w:szCs w:val="20"/>
              </w:rPr>
              <w:t>Plocha užívaná státními institucemi</w:t>
            </w:r>
          </w:p>
        </w:tc>
        <w:tc>
          <w:tcPr>
            <w:tcW w:w="879" w:type="dxa"/>
            <w:vAlign w:val="center"/>
          </w:tcPr>
          <w:p w14:paraId="3CC51B12" w14:textId="77777777" w:rsidR="00CD6733" w:rsidRPr="00391D73" w:rsidRDefault="00CD6733" w:rsidP="003244E9">
            <w:pPr>
              <w:keepNext/>
              <w:keepLines/>
              <w:jc w:val="center"/>
              <w:rPr>
                <w:sz w:val="20"/>
                <w:szCs w:val="20"/>
              </w:rPr>
            </w:pPr>
            <w:r w:rsidRPr="00391D73">
              <w:rPr>
                <w:sz w:val="20"/>
                <w:szCs w:val="20"/>
              </w:rPr>
              <w:t>-</w:t>
            </w:r>
          </w:p>
        </w:tc>
        <w:tc>
          <w:tcPr>
            <w:tcW w:w="843" w:type="dxa"/>
            <w:vAlign w:val="center"/>
          </w:tcPr>
          <w:p w14:paraId="70AC5322" w14:textId="77777777" w:rsidR="00CD6733" w:rsidRPr="00391D73" w:rsidRDefault="00CD6733" w:rsidP="003244E9">
            <w:pPr>
              <w:keepNext/>
              <w:keepLines/>
              <w:jc w:val="center"/>
              <w:rPr>
                <w:sz w:val="20"/>
                <w:szCs w:val="20"/>
              </w:rPr>
            </w:pPr>
            <w:r w:rsidRPr="00391D73">
              <w:rPr>
                <w:sz w:val="20"/>
                <w:szCs w:val="20"/>
              </w:rPr>
              <w:t>-</w:t>
            </w:r>
          </w:p>
        </w:tc>
        <w:tc>
          <w:tcPr>
            <w:tcW w:w="847" w:type="dxa"/>
          </w:tcPr>
          <w:p w14:paraId="1DFE3823" w14:textId="77777777" w:rsidR="00CD6733" w:rsidRPr="00391D73" w:rsidRDefault="00CD6733" w:rsidP="003244E9">
            <w:pPr>
              <w:keepNext/>
              <w:keepLines/>
              <w:jc w:val="right"/>
              <w:rPr>
                <w:sz w:val="20"/>
                <w:szCs w:val="20"/>
              </w:rPr>
            </w:pPr>
            <w:r w:rsidRPr="00391D73">
              <w:rPr>
                <w:sz w:val="20"/>
                <w:szCs w:val="20"/>
              </w:rPr>
              <w:t>5 368</w:t>
            </w:r>
          </w:p>
        </w:tc>
        <w:tc>
          <w:tcPr>
            <w:tcW w:w="841" w:type="dxa"/>
          </w:tcPr>
          <w:p w14:paraId="3CBC6910" w14:textId="77777777" w:rsidR="00CD6733" w:rsidRPr="00391D73" w:rsidRDefault="00CD6733" w:rsidP="003244E9">
            <w:pPr>
              <w:keepNext/>
              <w:keepLines/>
              <w:jc w:val="right"/>
              <w:rPr>
                <w:sz w:val="20"/>
                <w:szCs w:val="20"/>
              </w:rPr>
            </w:pPr>
            <w:r w:rsidRPr="00391D73">
              <w:rPr>
                <w:sz w:val="20"/>
                <w:szCs w:val="20"/>
              </w:rPr>
              <w:t>5 363</w:t>
            </w:r>
          </w:p>
        </w:tc>
        <w:tc>
          <w:tcPr>
            <w:tcW w:w="806" w:type="dxa"/>
          </w:tcPr>
          <w:p w14:paraId="23175631" w14:textId="77777777" w:rsidR="00CD6733" w:rsidRPr="00391D73" w:rsidRDefault="00CD6733" w:rsidP="003244E9">
            <w:pPr>
              <w:keepNext/>
              <w:keepLines/>
              <w:jc w:val="right"/>
              <w:rPr>
                <w:sz w:val="20"/>
                <w:szCs w:val="20"/>
              </w:rPr>
            </w:pPr>
            <w:r w:rsidRPr="00391D73">
              <w:rPr>
                <w:sz w:val="20"/>
                <w:szCs w:val="20"/>
              </w:rPr>
              <w:t>3 907</w:t>
            </w:r>
          </w:p>
        </w:tc>
      </w:tr>
      <w:tr w:rsidR="00CD6733" w:rsidRPr="00391D73" w14:paraId="2B057A9E" w14:textId="77777777" w:rsidTr="00CD6733">
        <w:tc>
          <w:tcPr>
            <w:tcW w:w="842" w:type="dxa"/>
            <w:vMerge/>
            <w:vAlign w:val="center"/>
          </w:tcPr>
          <w:p w14:paraId="61050A18" w14:textId="77777777" w:rsidR="00CD6733" w:rsidRPr="00391D73" w:rsidRDefault="00CD6733" w:rsidP="003244E9">
            <w:pPr>
              <w:keepNext/>
              <w:keepLines/>
              <w:jc w:val="center"/>
              <w:rPr>
                <w:b/>
                <w:sz w:val="20"/>
                <w:szCs w:val="20"/>
              </w:rPr>
            </w:pPr>
          </w:p>
        </w:tc>
        <w:tc>
          <w:tcPr>
            <w:tcW w:w="4120" w:type="dxa"/>
            <w:vAlign w:val="center"/>
          </w:tcPr>
          <w:p w14:paraId="196133BB" w14:textId="77777777" w:rsidR="00CD6733" w:rsidRPr="00391D73" w:rsidRDefault="00CD6733" w:rsidP="003244E9">
            <w:pPr>
              <w:keepNext/>
              <w:keepLines/>
              <w:rPr>
                <w:sz w:val="20"/>
                <w:szCs w:val="20"/>
              </w:rPr>
            </w:pPr>
            <w:r w:rsidRPr="00391D73">
              <w:rPr>
                <w:sz w:val="20"/>
                <w:szCs w:val="20"/>
              </w:rPr>
              <w:t>Plocha nevyužitá</w:t>
            </w:r>
          </w:p>
        </w:tc>
        <w:tc>
          <w:tcPr>
            <w:tcW w:w="879" w:type="dxa"/>
            <w:vAlign w:val="center"/>
          </w:tcPr>
          <w:p w14:paraId="410A4DD2" w14:textId="77777777" w:rsidR="00CD6733" w:rsidRPr="00391D73" w:rsidRDefault="00CD6733" w:rsidP="003244E9">
            <w:pPr>
              <w:keepNext/>
              <w:keepLines/>
              <w:jc w:val="center"/>
              <w:rPr>
                <w:sz w:val="20"/>
                <w:szCs w:val="20"/>
              </w:rPr>
            </w:pPr>
            <w:r w:rsidRPr="00391D73">
              <w:rPr>
                <w:sz w:val="20"/>
                <w:szCs w:val="20"/>
              </w:rPr>
              <w:t>-</w:t>
            </w:r>
          </w:p>
        </w:tc>
        <w:tc>
          <w:tcPr>
            <w:tcW w:w="843" w:type="dxa"/>
            <w:vAlign w:val="center"/>
          </w:tcPr>
          <w:p w14:paraId="435856AB" w14:textId="77777777" w:rsidR="00CD6733" w:rsidRPr="00391D73" w:rsidRDefault="00CD6733" w:rsidP="003244E9">
            <w:pPr>
              <w:keepNext/>
              <w:keepLines/>
              <w:jc w:val="center"/>
              <w:rPr>
                <w:sz w:val="20"/>
                <w:szCs w:val="20"/>
              </w:rPr>
            </w:pPr>
            <w:r w:rsidRPr="00391D73">
              <w:rPr>
                <w:sz w:val="20"/>
                <w:szCs w:val="20"/>
              </w:rPr>
              <w:t>-</w:t>
            </w:r>
          </w:p>
        </w:tc>
        <w:tc>
          <w:tcPr>
            <w:tcW w:w="847" w:type="dxa"/>
          </w:tcPr>
          <w:p w14:paraId="2F01AEBF" w14:textId="77777777" w:rsidR="00CD6733" w:rsidRPr="00391D73" w:rsidRDefault="00CD6733" w:rsidP="003244E9">
            <w:pPr>
              <w:keepNext/>
              <w:keepLines/>
              <w:jc w:val="right"/>
              <w:rPr>
                <w:sz w:val="20"/>
                <w:szCs w:val="20"/>
              </w:rPr>
            </w:pPr>
            <w:r w:rsidRPr="00391D73">
              <w:rPr>
                <w:sz w:val="20"/>
                <w:szCs w:val="20"/>
              </w:rPr>
              <w:t>331</w:t>
            </w:r>
          </w:p>
        </w:tc>
        <w:tc>
          <w:tcPr>
            <w:tcW w:w="841" w:type="dxa"/>
          </w:tcPr>
          <w:p w14:paraId="6E9999F2" w14:textId="77777777" w:rsidR="00CD6733" w:rsidRPr="00391D73" w:rsidRDefault="00CD6733" w:rsidP="003244E9">
            <w:pPr>
              <w:keepNext/>
              <w:keepLines/>
              <w:jc w:val="right"/>
              <w:rPr>
                <w:sz w:val="20"/>
                <w:szCs w:val="20"/>
              </w:rPr>
            </w:pPr>
            <w:r w:rsidRPr="00391D73">
              <w:rPr>
                <w:sz w:val="20"/>
                <w:szCs w:val="20"/>
              </w:rPr>
              <w:t>332</w:t>
            </w:r>
          </w:p>
        </w:tc>
        <w:tc>
          <w:tcPr>
            <w:tcW w:w="806" w:type="dxa"/>
          </w:tcPr>
          <w:p w14:paraId="15B3BA79" w14:textId="77777777" w:rsidR="00CD6733" w:rsidRPr="00391D73" w:rsidRDefault="00CD6733" w:rsidP="003244E9">
            <w:pPr>
              <w:keepNext/>
              <w:keepLines/>
              <w:jc w:val="right"/>
              <w:rPr>
                <w:sz w:val="20"/>
                <w:szCs w:val="20"/>
              </w:rPr>
            </w:pPr>
            <w:r w:rsidRPr="00391D73">
              <w:rPr>
                <w:sz w:val="20"/>
                <w:szCs w:val="20"/>
              </w:rPr>
              <w:t>338</w:t>
            </w:r>
          </w:p>
        </w:tc>
      </w:tr>
      <w:tr w:rsidR="00CD6733" w:rsidRPr="00391D73" w14:paraId="4F33457A" w14:textId="77777777" w:rsidTr="00CD6733">
        <w:tc>
          <w:tcPr>
            <w:tcW w:w="842" w:type="dxa"/>
            <w:vMerge/>
            <w:vAlign w:val="center"/>
          </w:tcPr>
          <w:p w14:paraId="0C3DBDE4" w14:textId="77777777" w:rsidR="00CD6733" w:rsidRPr="00391D73" w:rsidRDefault="00CD6733" w:rsidP="003244E9">
            <w:pPr>
              <w:keepNext/>
              <w:keepLines/>
              <w:jc w:val="center"/>
              <w:rPr>
                <w:b/>
                <w:sz w:val="20"/>
                <w:szCs w:val="20"/>
              </w:rPr>
            </w:pPr>
          </w:p>
        </w:tc>
        <w:tc>
          <w:tcPr>
            <w:tcW w:w="4120" w:type="dxa"/>
            <w:vAlign w:val="center"/>
          </w:tcPr>
          <w:p w14:paraId="37AA9A09" w14:textId="77777777" w:rsidR="00CD6733" w:rsidRPr="00391D73" w:rsidRDefault="00CD6733" w:rsidP="003244E9">
            <w:pPr>
              <w:keepNext/>
              <w:keepLines/>
              <w:rPr>
                <w:sz w:val="20"/>
                <w:szCs w:val="20"/>
              </w:rPr>
            </w:pPr>
            <w:r w:rsidRPr="00391D73">
              <w:rPr>
                <w:sz w:val="20"/>
                <w:szCs w:val="20"/>
              </w:rPr>
              <w:t>Míra obsazenosti budov</w:t>
            </w:r>
            <w:r w:rsidRPr="00391D73">
              <w:rPr>
                <w:rStyle w:val="Znakapoznpodarou"/>
                <w:sz w:val="20"/>
                <w:szCs w:val="20"/>
              </w:rPr>
              <w:footnoteReference w:id="98"/>
            </w:r>
            <w:r w:rsidRPr="00391D73">
              <w:t xml:space="preserve"> </w:t>
            </w:r>
            <w:r w:rsidRPr="00391D73">
              <w:rPr>
                <w:sz w:val="20"/>
                <w:szCs w:val="20"/>
              </w:rPr>
              <w:t>v %</w:t>
            </w:r>
          </w:p>
        </w:tc>
        <w:tc>
          <w:tcPr>
            <w:tcW w:w="879" w:type="dxa"/>
            <w:vAlign w:val="center"/>
          </w:tcPr>
          <w:p w14:paraId="26E42CAE" w14:textId="77777777" w:rsidR="00CD6733" w:rsidRPr="00391D73" w:rsidRDefault="00CD6733" w:rsidP="003244E9">
            <w:pPr>
              <w:keepNext/>
              <w:keepLines/>
              <w:jc w:val="center"/>
              <w:rPr>
                <w:sz w:val="20"/>
                <w:szCs w:val="20"/>
              </w:rPr>
            </w:pPr>
            <w:r w:rsidRPr="00391D73">
              <w:rPr>
                <w:sz w:val="20"/>
                <w:szCs w:val="20"/>
              </w:rPr>
              <w:t>-</w:t>
            </w:r>
          </w:p>
        </w:tc>
        <w:tc>
          <w:tcPr>
            <w:tcW w:w="843" w:type="dxa"/>
            <w:vAlign w:val="center"/>
          </w:tcPr>
          <w:p w14:paraId="1A92C7C9" w14:textId="77777777" w:rsidR="00CD6733" w:rsidRPr="00391D73" w:rsidRDefault="00CD6733" w:rsidP="003244E9">
            <w:pPr>
              <w:keepNext/>
              <w:keepLines/>
              <w:jc w:val="center"/>
              <w:rPr>
                <w:sz w:val="20"/>
                <w:szCs w:val="20"/>
              </w:rPr>
            </w:pPr>
            <w:r w:rsidRPr="00391D73">
              <w:rPr>
                <w:sz w:val="20"/>
                <w:szCs w:val="20"/>
              </w:rPr>
              <w:t>-</w:t>
            </w:r>
          </w:p>
        </w:tc>
        <w:tc>
          <w:tcPr>
            <w:tcW w:w="847" w:type="dxa"/>
          </w:tcPr>
          <w:p w14:paraId="0C0722D2" w14:textId="77777777" w:rsidR="00CD6733" w:rsidRPr="00391D73" w:rsidRDefault="00CD6733" w:rsidP="003244E9">
            <w:pPr>
              <w:keepNext/>
              <w:keepLines/>
              <w:jc w:val="right"/>
              <w:rPr>
                <w:sz w:val="20"/>
                <w:szCs w:val="20"/>
              </w:rPr>
            </w:pPr>
            <w:r w:rsidRPr="00391D73">
              <w:rPr>
                <w:sz w:val="20"/>
                <w:szCs w:val="20"/>
              </w:rPr>
              <w:t>93,8</w:t>
            </w:r>
          </w:p>
        </w:tc>
        <w:tc>
          <w:tcPr>
            <w:tcW w:w="841" w:type="dxa"/>
          </w:tcPr>
          <w:p w14:paraId="08CF79A1" w14:textId="77777777" w:rsidR="00CD6733" w:rsidRPr="00391D73" w:rsidRDefault="00CD6733" w:rsidP="003244E9">
            <w:pPr>
              <w:keepNext/>
              <w:keepLines/>
              <w:jc w:val="right"/>
              <w:rPr>
                <w:sz w:val="20"/>
                <w:szCs w:val="20"/>
              </w:rPr>
            </w:pPr>
            <w:r w:rsidRPr="00391D73">
              <w:rPr>
                <w:sz w:val="20"/>
                <w:szCs w:val="20"/>
              </w:rPr>
              <w:t>93,8</w:t>
            </w:r>
          </w:p>
        </w:tc>
        <w:tc>
          <w:tcPr>
            <w:tcW w:w="806" w:type="dxa"/>
          </w:tcPr>
          <w:p w14:paraId="1A79D6D4" w14:textId="77777777" w:rsidR="00CD6733" w:rsidRPr="00391D73" w:rsidRDefault="00CD6733" w:rsidP="003244E9">
            <w:pPr>
              <w:keepNext/>
              <w:keepLines/>
              <w:jc w:val="right"/>
              <w:rPr>
                <w:sz w:val="20"/>
                <w:szCs w:val="20"/>
              </w:rPr>
            </w:pPr>
            <w:r w:rsidRPr="00391D73">
              <w:rPr>
                <w:sz w:val="20"/>
                <w:szCs w:val="20"/>
              </w:rPr>
              <w:t>91,3</w:t>
            </w:r>
          </w:p>
        </w:tc>
      </w:tr>
      <w:tr w:rsidR="00CD6733" w:rsidRPr="00391D73" w14:paraId="66488E07" w14:textId="77777777" w:rsidTr="00CD6733">
        <w:tc>
          <w:tcPr>
            <w:tcW w:w="842" w:type="dxa"/>
          </w:tcPr>
          <w:p w14:paraId="7CFD3794" w14:textId="77777777" w:rsidR="00CD6733" w:rsidRPr="00391D73" w:rsidRDefault="00CD6733" w:rsidP="003244E9">
            <w:pPr>
              <w:keepNext/>
              <w:keepLines/>
              <w:jc w:val="center"/>
              <w:rPr>
                <w:b/>
                <w:sz w:val="20"/>
                <w:szCs w:val="20"/>
              </w:rPr>
            </w:pPr>
            <w:r w:rsidRPr="00391D73">
              <w:rPr>
                <w:b/>
                <w:sz w:val="20"/>
                <w:szCs w:val="20"/>
              </w:rPr>
              <w:t>UK</w:t>
            </w:r>
          </w:p>
        </w:tc>
        <w:tc>
          <w:tcPr>
            <w:tcW w:w="4120" w:type="dxa"/>
            <w:vAlign w:val="center"/>
          </w:tcPr>
          <w:p w14:paraId="194A15F0" w14:textId="77777777" w:rsidR="00CD6733" w:rsidRPr="00391D73" w:rsidRDefault="00CD6733" w:rsidP="003244E9">
            <w:pPr>
              <w:keepNext/>
              <w:keepLines/>
              <w:rPr>
                <w:sz w:val="20"/>
                <w:szCs w:val="20"/>
              </w:rPr>
            </w:pPr>
            <w:r w:rsidRPr="00391D73">
              <w:rPr>
                <w:sz w:val="20"/>
                <w:szCs w:val="20"/>
              </w:rPr>
              <w:t>Míra obsazenosti budov</w:t>
            </w:r>
            <w:r w:rsidRPr="00391D73">
              <w:rPr>
                <w:rStyle w:val="Znakapoznpodarou"/>
                <w:sz w:val="20"/>
                <w:szCs w:val="20"/>
              </w:rPr>
              <w:t xml:space="preserve"> </w:t>
            </w:r>
            <w:r w:rsidRPr="00391D73">
              <w:rPr>
                <w:rStyle w:val="Znakapoznpodarou"/>
                <w:sz w:val="20"/>
                <w:szCs w:val="20"/>
              </w:rPr>
              <w:footnoteReference w:id="99"/>
            </w:r>
            <w:r w:rsidRPr="00391D73">
              <w:rPr>
                <w:sz w:val="20"/>
                <w:szCs w:val="20"/>
              </w:rPr>
              <w:t xml:space="preserve"> v %</w:t>
            </w:r>
          </w:p>
        </w:tc>
        <w:tc>
          <w:tcPr>
            <w:tcW w:w="879" w:type="dxa"/>
            <w:vAlign w:val="center"/>
          </w:tcPr>
          <w:p w14:paraId="4A3864B0" w14:textId="77777777" w:rsidR="00CD6733" w:rsidRPr="00391D73" w:rsidRDefault="00CD6733" w:rsidP="003244E9">
            <w:pPr>
              <w:keepNext/>
              <w:keepLines/>
              <w:jc w:val="right"/>
              <w:rPr>
                <w:sz w:val="20"/>
                <w:szCs w:val="20"/>
              </w:rPr>
            </w:pPr>
            <w:r w:rsidRPr="00391D73">
              <w:rPr>
                <w:sz w:val="20"/>
                <w:szCs w:val="20"/>
              </w:rPr>
              <w:t>97,2</w:t>
            </w:r>
          </w:p>
        </w:tc>
        <w:tc>
          <w:tcPr>
            <w:tcW w:w="843" w:type="dxa"/>
            <w:vAlign w:val="center"/>
          </w:tcPr>
          <w:p w14:paraId="707B9F3B" w14:textId="77777777" w:rsidR="00CD6733" w:rsidRPr="00391D73" w:rsidRDefault="00CD6733" w:rsidP="003244E9">
            <w:pPr>
              <w:keepNext/>
              <w:keepLines/>
              <w:jc w:val="right"/>
              <w:rPr>
                <w:sz w:val="20"/>
                <w:szCs w:val="20"/>
              </w:rPr>
            </w:pPr>
            <w:r w:rsidRPr="00391D73">
              <w:rPr>
                <w:sz w:val="20"/>
                <w:szCs w:val="20"/>
              </w:rPr>
              <w:t>97,5</w:t>
            </w:r>
          </w:p>
        </w:tc>
        <w:tc>
          <w:tcPr>
            <w:tcW w:w="847" w:type="dxa"/>
            <w:vAlign w:val="center"/>
          </w:tcPr>
          <w:p w14:paraId="51989ED5" w14:textId="77777777" w:rsidR="00CD6733" w:rsidRPr="00391D73" w:rsidRDefault="00CD6733" w:rsidP="003244E9">
            <w:pPr>
              <w:keepNext/>
              <w:keepLines/>
              <w:jc w:val="right"/>
              <w:rPr>
                <w:sz w:val="20"/>
                <w:szCs w:val="20"/>
              </w:rPr>
            </w:pPr>
            <w:r w:rsidRPr="00391D73">
              <w:rPr>
                <w:sz w:val="20"/>
                <w:szCs w:val="20"/>
              </w:rPr>
              <w:t>97,6</w:t>
            </w:r>
          </w:p>
        </w:tc>
        <w:tc>
          <w:tcPr>
            <w:tcW w:w="841" w:type="dxa"/>
            <w:vAlign w:val="center"/>
          </w:tcPr>
          <w:p w14:paraId="671229B8" w14:textId="77777777" w:rsidR="00CD6733" w:rsidRPr="00391D73" w:rsidRDefault="00CD6733" w:rsidP="003244E9">
            <w:pPr>
              <w:keepNext/>
              <w:keepLines/>
              <w:jc w:val="right"/>
              <w:rPr>
                <w:sz w:val="20"/>
                <w:szCs w:val="20"/>
              </w:rPr>
            </w:pPr>
            <w:r w:rsidRPr="00391D73">
              <w:rPr>
                <w:sz w:val="20"/>
                <w:szCs w:val="20"/>
              </w:rPr>
              <w:t>98,0</w:t>
            </w:r>
          </w:p>
        </w:tc>
        <w:tc>
          <w:tcPr>
            <w:tcW w:w="806" w:type="dxa"/>
            <w:vAlign w:val="center"/>
          </w:tcPr>
          <w:p w14:paraId="3ED7579A" w14:textId="77777777" w:rsidR="00CD6733" w:rsidRPr="00391D73" w:rsidRDefault="00CD6733" w:rsidP="003244E9">
            <w:pPr>
              <w:keepNext/>
              <w:keepLines/>
              <w:jc w:val="right"/>
              <w:rPr>
                <w:sz w:val="20"/>
                <w:szCs w:val="20"/>
              </w:rPr>
            </w:pPr>
            <w:r w:rsidRPr="00391D73">
              <w:rPr>
                <w:sz w:val="20"/>
                <w:szCs w:val="20"/>
              </w:rPr>
              <w:t>98,6</w:t>
            </w:r>
          </w:p>
        </w:tc>
      </w:tr>
    </w:tbl>
    <w:p w14:paraId="087D8FA4" w14:textId="5E26A1AE" w:rsidR="00CD6733" w:rsidRPr="00391D73" w:rsidRDefault="00CD6733" w:rsidP="003244E9">
      <w:pPr>
        <w:keepNext/>
        <w:keepLines/>
        <w:spacing w:before="40" w:line="240" w:lineRule="auto"/>
        <w:ind w:left="567" w:hanging="567"/>
        <w:rPr>
          <w:sz w:val="20"/>
          <w:szCs w:val="20"/>
        </w:rPr>
      </w:pPr>
      <w:r w:rsidRPr="00391D73">
        <w:rPr>
          <w:b/>
          <w:sz w:val="20"/>
          <w:szCs w:val="20"/>
        </w:rPr>
        <w:t>Zdroj:</w:t>
      </w:r>
      <w:r w:rsidRPr="00391D73">
        <w:rPr>
          <w:sz w:val="20"/>
          <w:szCs w:val="20"/>
        </w:rPr>
        <w:t xml:space="preserve"> </w:t>
      </w:r>
      <w:r w:rsidR="00EB2D42">
        <w:rPr>
          <w:sz w:val="20"/>
          <w:szCs w:val="20"/>
        </w:rPr>
        <w:tab/>
        <w:t>r</w:t>
      </w:r>
      <w:r w:rsidRPr="00391D73">
        <w:rPr>
          <w:sz w:val="20"/>
          <w:szCs w:val="20"/>
        </w:rPr>
        <w:t xml:space="preserve">eport analytického modulu CRAB č. 15 – </w:t>
      </w:r>
      <w:r w:rsidR="00EB2D42">
        <w:rPr>
          <w:sz w:val="20"/>
          <w:szCs w:val="20"/>
        </w:rPr>
        <w:t>c</w:t>
      </w:r>
      <w:r w:rsidRPr="00391D73">
        <w:rPr>
          <w:sz w:val="20"/>
          <w:szCs w:val="20"/>
        </w:rPr>
        <w:t xml:space="preserve">elkové veličiny, </w:t>
      </w:r>
      <w:r w:rsidR="00EB2D42">
        <w:rPr>
          <w:sz w:val="20"/>
          <w:szCs w:val="20"/>
        </w:rPr>
        <w:t xml:space="preserve">zpráva </w:t>
      </w:r>
      <w:r w:rsidRPr="00702837">
        <w:rPr>
          <w:i/>
          <w:sz w:val="20"/>
          <w:szCs w:val="20"/>
        </w:rPr>
        <w:t>The State of Estate in 2012</w:t>
      </w:r>
      <w:r w:rsidRPr="00391D73">
        <w:rPr>
          <w:sz w:val="20"/>
          <w:szCs w:val="20"/>
        </w:rPr>
        <w:t xml:space="preserve"> </w:t>
      </w:r>
      <w:r w:rsidR="00EB2D42">
        <w:rPr>
          <w:sz w:val="20"/>
          <w:szCs w:val="20"/>
        </w:rPr>
        <w:t xml:space="preserve">a dále verze z let </w:t>
      </w:r>
      <w:r w:rsidRPr="00391D73">
        <w:rPr>
          <w:sz w:val="20"/>
          <w:szCs w:val="20"/>
        </w:rPr>
        <w:t>2013, 2013/2014, 2014</w:t>
      </w:r>
      <w:r w:rsidR="00EB2D42">
        <w:rPr>
          <w:sz w:val="20"/>
          <w:szCs w:val="20"/>
        </w:rPr>
        <w:t>–</w:t>
      </w:r>
      <w:r w:rsidRPr="00391D73">
        <w:rPr>
          <w:sz w:val="20"/>
          <w:szCs w:val="20"/>
        </w:rPr>
        <w:t>15, 2015</w:t>
      </w:r>
      <w:r w:rsidR="00EB2D42">
        <w:rPr>
          <w:sz w:val="20"/>
          <w:szCs w:val="20"/>
        </w:rPr>
        <w:t>–</w:t>
      </w:r>
      <w:r w:rsidRPr="00391D73">
        <w:rPr>
          <w:sz w:val="20"/>
          <w:szCs w:val="20"/>
        </w:rPr>
        <w:t>16.</w:t>
      </w:r>
    </w:p>
    <w:p w14:paraId="53FC4C09" w14:textId="0B158879" w:rsidR="00CD6733" w:rsidRPr="00391D73" w:rsidRDefault="00CD6733" w:rsidP="00CD6733">
      <w:r w:rsidRPr="00391D73">
        <w:t xml:space="preserve">V UK se snižovala nevyužitá plocha budov rychleji než čistá vnitřní plocha, a v období </w:t>
      </w:r>
      <w:r w:rsidR="00EB2D42">
        <w:br/>
      </w:r>
      <w:r w:rsidRPr="00391D73">
        <w:t>2012–2016 se tedy míra obsazenosti budov zvýšila na 98,6 %. Oproti tomu v ČR se míra obsazenosti budov v období 2014–2016 snížila na</w:t>
      </w:r>
      <w:r w:rsidR="00EB2D42">
        <w:t xml:space="preserve"> </w:t>
      </w:r>
      <w:r w:rsidRPr="00391D73">
        <w:t xml:space="preserve">91,3 %. </w:t>
      </w:r>
    </w:p>
    <w:p w14:paraId="10FDDDB9" w14:textId="0C3FC50B" w:rsidR="00CD6733" w:rsidRPr="00391D73" w:rsidRDefault="00CD6733" w:rsidP="00CD6733">
      <w:pPr>
        <w:rPr>
          <w:rFonts w:cstheme="minorHAnsi"/>
        </w:rPr>
      </w:pPr>
      <w:r w:rsidRPr="00391D73">
        <w:t xml:space="preserve">Dle údajů CRAB za rok 2016 činila v ČR průměrná </w:t>
      </w:r>
      <w:r w:rsidR="009C5496">
        <w:t xml:space="preserve">výměra </w:t>
      </w:r>
      <w:r w:rsidR="009C5496" w:rsidRPr="00391D73">
        <w:t>kancelářsk</w:t>
      </w:r>
      <w:r w:rsidR="009C5496">
        <w:t>é</w:t>
      </w:r>
      <w:r w:rsidR="009C5496" w:rsidRPr="00391D73">
        <w:t xml:space="preserve"> ploch</w:t>
      </w:r>
      <w:r w:rsidR="009C5496">
        <w:t xml:space="preserve">y </w:t>
      </w:r>
      <w:r w:rsidRPr="00391D73">
        <w:t>na</w:t>
      </w:r>
      <w:r w:rsidR="009C5496">
        <w:t xml:space="preserve"> jednoho </w:t>
      </w:r>
      <w:r w:rsidRPr="00391D73">
        <w:t>zaměstnance 14 m</w:t>
      </w:r>
      <w:r w:rsidRPr="00391D73">
        <w:rPr>
          <w:vertAlign w:val="superscript"/>
        </w:rPr>
        <w:t>2</w:t>
      </w:r>
      <w:r w:rsidRPr="00391D73">
        <w:t>, přičemž doporučená kancelářská plocha</w:t>
      </w:r>
      <w:r w:rsidRPr="00391D73">
        <w:rPr>
          <w:rStyle w:val="Znakapoznpodarou"/>
        </w:rPr>
        <w:footnoteReference w:id="100"/>
      </w:r>
      <w:r w:rsidRPr="00391D73">
        <w:t xml:space="preserve"> byla 12 m</w:t>
      </w:r>
      <w:r w:rsidRPr="00391D73">
        <w:rPr>
          <w:vertAlign w:val="superscript"/>
        </w:rPr>
        <w:t>2</w:t>
      </w:r>
      <w:r w:rsidRPr="00391D73">
        <w:t xml:space="preserve"> na</w:t>
      </w:r>
      <w:r w:rsidR="009C5496">
        <w:t xml:space="preserve"> jednoho </w:t>
      </w:r>
      <w:r w:rsidRPr="00391D73">
        <w:t>zaměstnance. Zatímco v UK se v důsledku komplexního přístupu průměrná plocha na</w:t>
      </w:r>
      <w:r w:rsidR="009C5496">
        <w:t xml:space="preserve"> </w:t>
      </w:r>
      <w:r w:rsidRPr="00391D73">
        <w:t>zaměstnance snižuje, v ČR zůstává stejná, viz tabulka č. 7. Vzhledem k tomu, že čistá vnitřní plocha používané v UK zahrnuje i </w:t>
      </w:r>
      <w:r w:rsidRPr="00391D73">
        <w:rPr>
          <w:rFonts w:cstheme="minorHAnsi"/>
        </w:rPr>
        <w:t>zasedací místnosti, kuchyňky, vestavěné skříně a vstupní místnosti, měl by být ukazatel průměrné plochy na zaměstnance v UK srovnáván spíše s průměrnou celkovou plochou na</w:t>
      </w:r>
      <w:r w:rsidR="009C5496">
        <w:rPr>
          <w:rFonts w:cstheme="minorHAnsi"/>
        </w:rPr>
        <w:t xml:space="preserve"> </w:t>
      </w:r>
      <w:r w:rsidRPr="00391D73">
        <w:rPr>
          <w:rFonts w:cstheme="minorHAnsi"/>
        </w:rPr>
        <w:t>osobu, jelikož kancelářská plocha zahrnuje pouze plochu kanceláří. V ČR byla průměrná celková plocha na osobu v m</w:t>
      </w:r>
      <w:r w:rsidRPr="00391D73">
        <w:rPr>
          <w:rFonts w:cstheme="minorHAnsi"/>
          <w:vertAlign w:val="superscript"/>
        </w:rPr>
        <w:t>2</w:t>
      </w:r>
      <w:r w:rsidRPr="00391D73">
        <w:rPr>
          <w:rFonts w:cstheme="minorHAnsi"/>
        </w:rPr>
        <w:t xml:space="preserve"> trojnásobná oproti průměrné ploše na osobu v UK.</w:t>
      </w:r>
    </w:p>
    <w:p w14:paraId="762FBD9F" w14:textId="403B9C8A" w:rsidR="00CD6733" w:rsidRPr="00391D73" w:rsidRDefault="00CD6733" w:rsidP="00CD6733">
      <w:pPr>
        <w:spacing w:after="0" w:line="240" w:lineRule="auto"/>
        <w:rPr>
          <w:b/>
        </w:rPr>
      </w:pPr>
      <w:r w:rsidRPr="00391D73">
        <w:rPr>
          <w:b/>
        </w:rPr>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12</w:t>
      </w:r>
      <w:r w:rsidRPr="00391D73">
        <w:rPr>
          <w:b/>
        </w:rPr>
        <w:fldChar w:fldCharType="end"/>
      </w:r>
      <w:r w:rsidRPr="00391D73">
        <w:rPr>
          <w:b/>
        </w:rPr>
        <w:t>: Ukazatel průměrné plochy na zaměstnance</w:t>
      </w:r>
    </w:p>
    <w:tbl>
      <w:tblPr>
        <w:tblStyle w:val="Mkatabulky"/>
        <w:tblW w:w="0" w:type="auto"/>
        <w:tblInd w:w="108" w:type="dxa"/>
        <w:tblLook w:val="04A0" w:firstRow="1" w:lastRow="0" w:firstColumn="1" w:lastColumn="0" w:noHBand="0" w:noVBand="1"/>
      </w:tblPr>
      <w:tblGrid>
        <w:gridCol w:w="842"/>
        <w:gridCol w:w="4120"/>
        <w:gridCol w:w="879"/>
        <w:gridCol w:w="843"/>
        <w:gridCol w:w="847"/>
        <w:gridCol w:w="841"/>
        <w:gridCol w:w="806"/>
      </w:tblGrid>
      <w:tr w:rsidR="00CD6733" w:rsidRPr="00391D73" w14:paraId="01E784CB" w14:textId="77777777" w:rsidTr="00CD6733">
        <w:tc>
          <w:tcPr>
            <w:tcW w:w="842" w:type="dxa"/>
            <w:shd w:val="clear" w:color="auto" w:fill="E5F1FF"/>
          </w:tcPr>
          <w:p w14:paraId="208A7E8A" w14:textId="77777777" w:rsidR="00CD6733" w:rsidRPr="00391D73" w:rsidRDefault="00CD6733" w:rsidP="00CD6733">
            <w:pPr>
              <w:jc w:val="center"/>
              <w:rPr>
                <w:b/>
                <w:sz w:val="20"/>
                <w:szCs w:val="20"/>
              </w:rPr>
            </w:pPr>
            <w:r w:rsidRPr="00391D73">
              <w:rPr>
                <w:b/>
                <w:sz w:val="20"/>
                <w:szCs w:val="20"/>
              </w:rPr>
              <w:t>Země</w:t>
            </w:r>
          </w:p>
        </w:tc>
        <w:tc>
          <w:tcPr>
            <w:tcW w:w="4120" w:type="dxa"/>
            <w:shd w:val="clear" w:color="auto" w:fill="E5F1FF"/>
            <w:vAlign w:val="center"/>
          </w:tcPr>
          <w:p w14:paraId="7C253EAF" w14:textId="77777777" w:rsidR="00CD6733" w:rsidRPr="00391D73" w:rsidRDefault="00CD6733" w:rsidP="00CD6733">
            <w:pPr>
              <w:jc w:val="center"/>
              <w:rPr>
                <w:b/>
                <w:sz w:val="20"/>
                <w:szCs w:val="20"/>
              </w:rPr>
            </w:pPr>
            <w:r w:rsidRPr="00391D73">
              <w:rPr>
                <w:b/>
                <w:sz w:val="20"/>
                <w:szCs w:val="20"/>
              </w:rPr>
              <w:t>Ukazatel</w:t>
            </w:r>
          </w:p>
        </w:tc>
        <w:tc>
          <w:tcPr>
            <w:tcW w:w="879" w:type="dxa"/>
            <w:shd w:val="clear" w:color="auto" w:fill="E5F1FF"/>
            <w:vAlign w:val="center"/>
          </w:tcPr>
          <w:p w14:paraId="3BE2B583" w14:textId="77777777" w:rsidR="00CD6733" w:rsidRPr="00391D73" w:rsidRDefault="00CD6733" w:rsidP="00CD6733">
            <w:pPr>
              <w:jc w:val="center"/>
              <w:rPr>
                <w:b/>
                <w:sz w:val="20"/>
                <w:szCs w:val="20"/>
              </w:rPr>
            </w:pPr>
            <w:r w:rsidRPr="00391D73">
              <w:rPr>
                <w:b/>
                <w:sz w:val="20"/>
                <w:szCs w:val="20"/>
              </w:rPr>
              <w:t>2012</w:t>
            </w:r>
          </w:p>
        </w:tc>
        <w:tc>
          <w:tcPr>
            <w:tcW w:w="843" w:type="dxa"/>
            <w:shd w:val="clear" w:color="auto" w:fill="E5F1FF"/>
            <w:vAlign w:val="center"/>
          </w:tcPr>
          <w:p w14:paraId="035A38D6" w14:textId="77777777" w:rsidR="00CD6733" w:rsidRPr="00391D73" w:rsidRDefault="00CD6733" w:rsidP="00CD6733">
            <w:pPr>
              <w:jc w:val="center"/>
              <w:rPr>
                <w:b/>
                <w:sz w:val="20"/>
                <w:szCs w:val="20"/>
              </w:rPr>
            </w:pPr>
            <w:r w:rsidRPr="00391D73">
              <w:rPr>
                <w:b/>
                <w:sz w:val="20"/>
                <w:szCs w:val="20"/>
              </w:rPr>
              <w:t>2013</w:t>
            </w:r>
          </w:p>
        </w:tc>
        <w:tc>
          <w:tcPr>
            <w:tcW w:w="847" w:type="dxa"/>
            <w:shd w:val="clear" w:color="auto" w:fill="E5F1FF"/>
            <w:vAlign w:val="center"/>
          </w:tcPr>
          <w:p w14:paraId="37431FD7" w14:textId="77777777" w:rsidR="00CD6733" w:rsidRPr="00391D73" w:rsidRDefault="00CD6733" w:rsidP="00CD6733">
            <w:pPr>
              <w:jc w:val="center"/>
              <w:rPr>
                <w:b/>
                <w:sz w:val="20"/>
                <w:szCs w:val="20"/>
              </w:rPr>
            </w:pPr>
            <w:r w:rsidRPr="00391D73">
              <w:rPr>
                <w:b/>
                <w:sz w:val="20"/>
                <w:szCs w:val="20"/>
              </w:rPr>
              <w:t>2014</w:t>
            </w:r>
          </w:p>
        </w:tc>
        <w:tc>
          <w:tcPr>
            <w:tcW w:w="841" w:type="dxa"/>
            <w:shd w:val="clear" w:color="auto" w:fill="E5F1FF"/>
            <w:vAlign w:val="center"/>
          </w:tcPr>
          <w:p w14:paraId="25295A7E" w14:textId="77777777" w:rsidR="00CD6733" w:rsidRPr="00391D73" w:rsidRDefault="00CD6733" w:rsidP="00CD6733">
            <w:pPr>
              <w:jc w:val="center"/>
              <w:rPr>
                <w:b/>
                <w:sz w:val="20"/>
                <w:szCs w:val="20"/>
              </w:rPr>
            </w:pPr>
            <w:r w:rsidRPr="00391D73">
              <w:rPr>
                <w:b/>
                <w:sz w:val="20"/>
                <w:szCs w:val="20"/>
              </w:rPr>
              <w:t>2015</w:t>
            </w:r>
          </w:p>
        </w:tc>
        <w:tc>
          <w:tcPr>
            <w:tcW w:w="806" w:type="dxa"/>
            <w:shd w:val="clear" w:color="auto" w:fill="E5F1FF"/>
            <w:vAlign w:val="center"/>
          </w:tcPr>
          <w:p w14:paraId="3E815004" w14:textId="77777777" w:rsidR="00CD6733" w:rsidRPr="00391D73" w:rsidRDefault="00CD6733" w:rsidP="00CD6733">
            <w:pPr>
              <w:jc w:val="center"/>
              <w:rPr>
                <w:b/>
                <w:sz w:val="20"/>
                <w:szCs w:val="20"/>
              </w:rPr>
            </w:pPr>
            <w:r w:rsidRPr="00391D73">
              <w:rPr>
                <w:b/>
                <w:sz w:val="20"/>
                <w:szCs w:val="20"/>
              </w:rPr>
              <w:t>2016</w:t>
            </w:r>
          </w:p>
        </w:tc>
      </w:tr>
      <w:tr w:rsidR="00CD6733" w:rsidRPr="00391D73" w14:paraId="59A938B8" w14:textId="77777777" w:rsidTr="00CD6733">
        <w:tc>
          <w:tcPr>
            <w:tcW w:w="842" w:type="dxa"/>
            <w:vMerge w:val="restart"/>
            <w:vAlign w:val="center"/>
          </w:tcPr>
          <w:p w14:paraId="29DE2355" w14:textId="77777777" w:rsidR="00CD6733" w:rsidRPr="00391D73" w:rsidRDefault="00CD6733" w:rsidP="00CD6733">
            <w:pPr>
              <w:jc w:val="center"/>
              <w:rPr>
                <w:b/>
                <w:sz w:val="20"/>
                <w:szCs w:val="20"/>
              </w:rPr>
            </w:pPr>
            <w:r w:rsidRPr="00391D73">
              <w:rPr>
                <w:b/>
                <w:sz w:val="20"/>
                <w:szCs w:val="20"/>
              </w:rPr>
              <w:t>ČR</w:t>
            </w:r>
          </w:p>
        </w:tc>
        <w:tc>
          <w:tcPr>
            <w:tcW w:w="4120" w:type="dxa"/>
            <w:vAlign w:val="center"/>
          </w:tcPr>
          <w:p w14:paraId="49FE4793" w14:textId="77777777" w:rsidR="00CD6733" w:rsidRPr="00391D73" w:rsidRDefault="00CD6733" w:rsidP="00CD6733">
            <w:pPr>
              <w:rPr>
                <w:sz w:val="20"/>
                <w:szCs w:val="20"/>
              </w:rPr>
            </w:pPr>
            <w:r w:rsidRPr="00391D73">
              <w:rPr>
                <w:sz w:val="20"/>
                <w:szCs w:val="20"/>
              </w:rPr>
              <w:t>Průměrná celková plocha na osobu</w:t>
            </w:r>
            <w:r w:rsidRPr="00391D73">
              <w:rPr>
                <w:rStyle w:val="Znakapoznpodarou"/>
                <w:sz w:val="20"/>
                <w:szCs w:val="20"/>
              </w:rPr>
              <w:footnoteReference w:id="101"/>
            </w:r>
            <w:r w:rsidRPr="00391D73">
              <w:rPr>
                <w:sz w:val="20"/>
                <w:szCs w:val="20"/>
              </w:rPr>
              <w:t xml:space="preserve"> v m</w:t>
            </w:r>
            <w:r w:rsidRPr="00391D73">
              <w:rPr>
                <w:sz w:val="20"/>
                <w:szCs w:val="20"/>
                <w:vertAlign w:val="superscript"/>
              </w:rPr>
              <w:t>2</w:t>
            </w:r>
          </w:p>
        </w:tc>
        <w:tc>
          <w:tcPr>
            <w:tcW w:w="879" w:type="dxa"/>
            <w:vAlign w:val="center"/>
          </w:tcPr>
          <w:p w14:paraId="3B0CBF20" w14:textId="77777777" w:rsidR="00CD6733" w:rsidRPr="00391D73" w:rsidRDefault="00CD6733" w:rsidP="00CD6733">
            <w:pPr>
              <w:jc w:val="center"/>
              <w:rPr>
                <w:sz w:val="20"/>
                <w:szCs w:val="20"/>
              </w:rPr>
            </w:pPr>
            <w:r w:rsidRPr="00391D73">
              <w:rPr>
                <w:sz w:val="20"/>
                <w:szCs w:val="20"/>
              </w:rPr>
              <w:t>-</w:t>
            </w:r>
          </w:p>
        </w:tc>
        <w:tc>
          <w:tcPr>
            <w:tcW w:w="843" w:type="dxa"/>
            <w:vAlign w:val="center"/>
          </w:tcPr>
          <w:p w14:paraId="730CF79A" w14:textId="77777777" w:rsidR="00CD6733" w:rsidRPr="00391D73" w:rsidRDefault="00CD6733" w:rsidP="00CD6733">
            <w:pPr>
              <w:jc w:val="right"/>
              <w:rPr>
                <w:sz w:val="20"/>
                <w:szCs w:val="20"/>
              </w:rPr>
            </w:pPr>
            <w:r w:rsidRPr="00391D73">
              <w:rPr>
                <w:sz w:val="20"/>
                <w:szCs w:val="20"/>
              </w:rPr>
              <w:t>34</w:t>
            </w:r>
          </w:p>
        </w:tc>
        <w:tc>
          <w:tcPr>
            <w:tcW w:w="847" w:type="dxa"/>
            <w:vAlign w:val="center"/>
          </w:tcPr>
          <w:p w14:paraId="5383CC00" w14:textId="77777777" w:rsidR="00CD6733" w:rsidRPr="00391D73" w:rsidRDefault="00CD6733" w:rsidP="00CD6733">
            <w:pPr>
              <w:jc w:val="right"/>
              <w:rPr>
                <w:sz w:val="20"/>
                <w:szCs w:val="20"/>
              </w:rPr>
            </w:pPr>
            <w:r w:rsidRPr="00391D73">
              <w:rPr>
                <w:sz w:val="20"/>
                <w:szCs w:val="20"/>
              </w:rPr>
              <w:t>37</w:t>
            </w:r>
          </w:p>
        </w:tc>
        <w:tc>
          <w:tcPr>
            <w:tcW w:w="841" w:type="dxa"/>
            <w:vAlign w:val="center"/>
          </w:tcPr>
          <w:p w14:paraId="0235FBFD" w14:textId="77777777" w:rsidR="00CD6733" w:rsidRPr="00391D73" w:rsidRDefault="00CD6733" w:rsidP="00CD6733">
            <w:pPr>
              <w:jc w:val="right"/>
              <w:rPr>
                <w:sz w:val="20"/>
                <w:szCs w:val="20"/>
              </w:rPr>
            </w:pPr>
            <w:r w:rsidRPr="00391D73">
              <w:rPr>
                <w:sz w:val="20"/>
                <w:szCs w:val="20"/>
              </w:rPr>
              <w:t>37</w:t>
            </w:r>
          </w:p>
        </w:tc>
        <w:tc>
          <w:tcPr>
            <w:tcW w:w="806" w:type="dxa"/>
            <w:vAlign w:val="center"/>
          </w:tcPr>
          <w:p w14:paraId="6C10C02C" w14:textId="77777777" w:rsidR="00CD6733" w:rsidRPr="00391D73" w:rsidRDefault="00CD6733" w:rsidP="00CD6733">
            <w:pPr>
              <w:jc w:val="right"/>
              <w:rPr>
                <w:sz w:val="20"/>
                <w:szCs w:val="20"/>
              </w:rPr>
            </w:pPr>
            <w:r w:rsidRPr="00391D73">
              <w:rPr>
                <w:sz w:val="20"/>
                <w:szCs w:val="20"/>
              </w:rPr>
              <w:t>38</w:t>
            </w:r>
          </w:p>
        </w:tc>
      </w:tr>
      <w:tr w:rsidR="00CD6733" w:rsidRPr="00391D73" w14:paraId="380716FE" w14:textId="77777777" w:rsidTr="00CD6733">
        <w:tc>
          <w:tcPr>
            <w:tcW w:w="842" w:type="dxa"/>
            <w:vMerge/>
          </w:tcPr>
          <w:p w14:paraId="4BF1C86E" w14:textId="77777777" w:rsidR="00CD6733" w:rsidRPr="00391D73" w:rsidRDefault="00CD6733" w:rsidP="00CD6733">
            <w:pPr>
              <w:jc w:val="center"/>
              <w:rPr>
                <w:b/>
                <w:sz w:val="20"/>
                <w:szCs w:val="20"/>
              </w:rPr>
            </w:pPr>
          </w:p>
        </w:tc>
        <w:tc>
          <w:tcPr>
            <w:tcW w:w="4120" w:type="dxa"/>
            <w:vAlign w:val="center"/>
          </w:tcPr>
          <w:p w14:paraId="15A2F8C8" w14:textId="77777777" w:rsidR="00CD6733" w:rsidRPr="00391D73" w:rsidRDefault="00CD6733" w:rsidP="00CD6733">
            <w:pPr>
              <w:rPr>
                <w:sz w:val="20"/>
                <w:szCs w:val="20"/>
              </w:rPr>
            </w:pPr>
            <w:r w:rsidRPr="00391D73">
              <w:rPr>
                <w:sz w:val="20"/>
                <w:szCs w:val="20"/>
              </w:rPr>
              <w:t>Průměrná kancelářská plocha na osobu</w:t>
            </w:r>
            <w:r w:rsidRPr="00391D73">
              <w:rPr>
                <w:rStyle w:val="Znakapoznpodarou"/>
                <w:sz w:val="20"/>
                <w:szCs w:val="20"/>
              </w:rPr>
              <w:footnoteReference w:id="102"/>
            </w:r>
            <w:r w:rsidRPr="00391D73">
              <w:rPr>
                <w:sz w:val="20"/>
                <w:szCs w:val="20"/>
              </w:rPr>
              <w:t xml:space="preserve"> v m</w:t>
            </w:r>
            <w:r w:rsidRPr="00391D73">
              <w:rPr>
                <w:sz w:val="20"/>
                <w:szCs w:val="20"/>
                <w:vertAlign w:val="superscript"/>
              </w:rPr>
              <w:t>2</w:t>
            </w:r>
          </w:p>
        </w:tc>
        <w:tc>
          <w:tcPr>
            <w:tcW w:w="879" w:type="dxa"/>
            <w:vAlign w:val="center"/>
          </w:tcPr>
          <w:p w14:paraId="282EDBD0" w14:textId="77777777" w:rsidR="00CD6733" w:rsidRPr="00391D73" w:rsidRDefault="00CD6733" w:rsidP="00CD6733">
            <w:pPr>
              <w:jc w:val="center"/>
              <w:rPr>
                <w:sz w:val="20"/>
                <w:szCs w:val="20"/>
              </w:rPr>
            </w:pPr>
            <w:r w:rsidRPr="00391D73">
              <w:rPr>
                <w:sz w:val="20"/>
                <w:szCs w:val="20"/>
              </w:rPr>
              <w:t>-</w:t>
            </w:r>
          </w:p>
        </w:tc>
        <w:tc>
          <w:tcPr>
            <w:tcW w:w="843" w:type="dxa"/>
            <w:vAlign w:val="center"/>
          </w:tcPr>
          <w:p w14:paraId="28B37528" w14:textId="77777777" w:rsidR="00CD6733" w:rsidRPr="00391D73" w:rsidRDefault="00CD6733" w:rsidP="00CD6733">
            <w:pPr>
              <w:jc w:val="right"/>
              <w:rPr>
                <w:sz w:val="20"/>
                <w:szCs w:val="20"/>
              </w:rPr>
            </w:pPr>
            <w:r w:rsidRPr="00391D73">
              <w:rPr>
                <w:sz w:val="20"/>
                <w:szCs w:val="20"/>
              </w:rPr>
              <w:t>13</w:t>
            </w:r>
          </w:p>
        </w:tc>
        <w:tc>
          <w:tcPr>
            <w:tcW w:w="847" w:type="dxa"/>
            <w:vAlign w:val="center"/>
          </w:tcPr>
          <w:p w14:paraId="07A25B06" w14:textId="77777777" w:rsidR="00CD6733" w:rsidRPr="00391D73" w:rsidRDefault="00CD6733" w:rsidP="00CD6733">
            <w:pPr>
              <w:jc w:val="right"/>
              <w:rPr>
                <w:sz w:val="20"/>
                <w:szCs w:val="20"/>
              </w:rPr>
            </w:pPr>
            <w:r w:rsidRPr="00391D73">
              <w:rPr>
                <w:sz w:val="20"/>
                <w:szCs w:val="20"/>
              </w:rPr>
              <w:t>14</w:t>
            </w:r>
          </w:p>
        </w:tc>
        <w:tc>
          <w:tcPr>
            <w:tcW w:w="841" w:type="dxa"/>
            <w:vAlign w:val="center"/>
          </w:tcPr>
          <w:p w14:paraId="7A8AA056" w14:textId="77777777" w:rsidR="00CD6733" w:rsidRPr="00391D73" w:rsidRDefault="00CD6733" w:rsidP="00CD6733">
            <w:pPr>
              <w:jc w:val="right"/>
              <w:rPr>
                <w:sz w:val="20"/>
                <w:szCs w:val="20"/>
              </w:rPr>
            </w:pPr>
            <w:r w:rsidRPr="00391D73">
              <w:rPr>
                <w:sz w:val="20"/>
                <w:szCs w:val="20"/>
              </w:rPr>
              <w:t>14</w:t>
            </w:r>
          </w:p>
        </w:tc>
        <w:tc>
          <w:tcPr>
            <w:tcW w:w="806" w:type="dxa"/>
            <w:vAlign w:val="center"/>
          </w:tcPr>
          <w:p w14:paraId="3335F50F" w14:textId="77777777" w:rsidR="00CD6733" w:rsidRPr="00391D73" w:rsidRDefault="00CD6733" w:rsidP="00CD6733">
            <w:pPr>
              <w:jc w:val="right"/>
              <w:rPr>
                <w:sz w:val="20"/>
                <w:szCs w:val="20"/>
              </w:rPr>
            </w:pPr>
            <w:r w:rsidRPr="00391D73">
              <w:rPr>
                <w:sz w:val="20"/>
                <w:szCs w:val="20"/>
              </w:rPr>
              <w:t>14</w:t>
            </w:r>
          </w:p>
        </w:tc>
      </w:tr>
      <w:tr w:rsidR="00CD6733" w:rsidRPr="00391D73" w14:paraId="739BEE07" w14:textId="77777777" w:rsidTr="00CD6733">
        <w:tc>
          <w:tcPr>
            <w:tcW w:w="842" w:type="dxa"/>
          </w:tcPr>
          <w:p w14:paraId="0309E040" w14:textId="77777777" w:rsidR="00CD6733" w:rsidRPr="00391D73" w:rsidRDefault="00CD6733" w:rsidP="00CD6733">
            <w:pPr>
              <w:jc w:val="center"/>
              <w:rPr>
                <w:b/>
                <w:sz w:val="20"/>
                <w:szCs w:val="20"/>
              </w:rPr>
            </w:pPr>
            <w:r w:rsidRPr="00391D73">
              <w:rPr>
                <w:b/>
                <w:sz w:val="20"/>
                <w:szCs w:val="20"/>
              </w:rPr>
              <w:t>UK</w:t>
            </w:r>
          </w:p>
        </w:tc>
        <w:tc>
          <w:tcPr>
            <w:tcW w:w="4120" w:type="dxa"/>
            <w:vAlign w:val="center"/>
          </w:tcPr>
          <w:p w14:paraId="2CEC9FCA" w14:textId="77777777" w:rsidR="00CD6733" w:rsidRPr="00391D73" w:rsidRDefault="00CD6733" w:rsidP="00CD6733">
            <w:pPr>
              <w:rPr>
                <w:sz w:val="20"/>
                <w:szCs w:val="20"/>
              </w:rPr>
            </w:pPr>
            <w:r w:rsidRPr="00391D73">
              <w:rPr>
                <w:sz w:val="20"/>
                <w:szCs w:val="20"/>
              </w:rPr>
              <w:t>Průměrná plocha na zaměstnance</w:t>
            </w:r>
            <w:r w:rsidRPr="00391D73">
              <w:rPr>
                <w:rStyle w:val="Znakapoznpodarou"/>
                <w:sz w:val="20"/>
                <w:szCs w:val="20"/>
              </w:rPr>
              <w:footnoteReference w:id="103"/>
            </w:r>
            <w:r w:rsidRPr="00391D73">
              <w:rPr>
                <w:sz w:val="20"/>
                <w:szCs w:val="20"/>
              </w:rPr>
              <w:t xml:space="preserve"> v m</w:t>
            </w:r>
            <w:r w:rsidRPr="00391D73">
              <w:rPr>
                <w:sz w:val="20"/>
                <w:szCs w:val="20"/>
                <w:vertAlign w:val="superscript"/>
              </w:rPr>
              <w:t>2</w:t>
            </w:r>
          </w:p>
        </w:tc>
        <w:tc>
          <w:tcPr>
            <w:tcW w:w="879" w:type="dxa"/>
            <w:vAlign w:val="center"/>
          </w:tcPr>
          <w:p w14:paraId="0CBAC621" w14:textId="77777777" w:rsidR="00CD6733" w:rsidRPr="00391D73" w:rsidRDefault="00CD6733" w:rsidP="00CD6733">
            <w:pPr>
              <w:jc w:val="right"/>
              <w:rPr>
                <w:sz w:val="20"/>
                <w:szCs w:val="20"/>
              </w:rPr>
            </w:pPr>
            <w:r w:rsidRPr="00391D73">
              <w:rPr>
                <w:sz w:val="20"/>
                <w:szCs w:val="20"/>
              </w:rPr>
              <w:t>13</w:t>
            </w:r>
          </w:p>
        </w:tc>
        <w:tc>
          <w:tcPr>
            <w:tcW w:w="843" w:type="dxa"/>
            <w:vAlign w:val="center"/>
          </w:tcPr>
          <w:p w14:paraId="744F9DE0" w14:textId="77777777" w:rsidR="00CD6733" w:rsidRPr="00391D73" w:rsidRDefault="00CD6733" w:rsidP="00CD6733">
            <w:pPr>
              <w:jc w:val="right"/>
              <w:rPr>
                <w:sz w:val="20"/>
                <w:szCs w:val="20"/>
              </w:rPr>
            </w:pPr>
            <w:r w:rsidRPr="00391D73">
              <w:rPr>
                <w:sz w:val="20"/>
                <w:szCs w:val="20"/>
              </w:rPr>
              <w:t>12</w:t>
            </w:r>
          </w:p>
        </w:tc>
        <w:tc>
          <w:tcPr>
            <w:tcW w:w="847" w:type="dxa"/>
            <w:vAlign w:val="center"/>
          </w:tcPr>
          <w:p w14:paraId="2D689BED" w14:textId="77777777" w:rsidR="00CD6733" w:rsidRPr="00391D73" w:rsidRDefault="00CD6733" w:rsidP="00CD6733">
            <w:pPr>
              <w:jc w:val="right"/>
              <w:rPr>
                <w:sz w:val="20"/>
                <w:szCs w:val="20"/>
              </w:rPr>
            </w:pPr>
            <w:r w:rsidRPr="00391D73">
              <w:rPr>
                <w:sz w:val="20"/>
                <w:szCs w:val="20"/>
              </w:rPr>
              <w:t>11</w:t>
            </w:r>
          </w:p>
        </w:tc>
        <w:tc>
          <w:tcPr>
            <w:tcW w:w="841" w:type="dxa"/>
            <w:vAlign w:val="center"/>
          </w:tcPr>
          <w:p w14:paraId="2132AF30" w14:textId="77777777" w:rsidR="00CD6733" w:rsidRPr="00391D73" w:rsidRDefault="00CD6733" w:rsidP="00CD6733">
            <w:pPr>
              <w:jc w:val="right"/>
              <w:rPr>
                <w:sz w:val="20"/>
                <w:szCs w:val="20"/>
              </w:rPr>
            </w:pPr>
            <w:r w:rsidRPr="00391D73">
              <w:rPr>
                <w:sz w:val="20"/>
                <w:szCs w:val="20"/>
              </w:rPr>
              <w:t>10</w:t>
            </w:r>
          </w:p>
        </w:tc>
        <w:tc>
          <w:tcPr>
            <w:tcW w:w="806" w:type="dxa"/>
            <w:vAlign w:val="center"/>
          </w:tcPr>
          <w:p w14:paraId="307780FB" w14:textId="77777777" w:rsidR="00CD6733" w:rsidRPr="00391D73" w:rsidRDefault="00CD6733" w:rsidP="00CD6733">
            <w:pPr>
              <w:jc w:val="right"/>
              <w:rPr>
                <w:sz w:val="20"/>
                <w:szCs w:val="20"/>
              </w:rPr>
            </w:pPr>
            <w:r w:rsidRPr="00391D73">
              <w:rPr>
                <w:sz w:val="20"/>
                <w:szCs w:val="20"/>
              </w:rPr>
              <w:t>10</w:t>
            </w:r>
          </w:p>
        </w:tc>
      </w:tr>
    </w:tbl>
    <w:p w14:paraId="4007825F" w14:textId="31BBF178" w:rsidR="00CD6733" w:rsidRPr="00391D73" w:rsidRDefault="00CD6733" w:rsidP="009C5496">
      <w:pPr>
        <w:ind w:left="567" w:hanging="567"/>
        <w:rPr>
          <w:sz w:val="20"/>
          <w:szCs w:val="20"/>
        </w:rPr>
      </w:pPr>
      <w:r w:rsidRPr="00391D73">
        <w:rPr>
          <w:b/>
          <w:sz w:val="20"/>
          <w:szCs w:val="20"/>
        </w:rPr>
        <w:t>Zdroj:</w:t>
      </w:r>
      <w:r w:rsidRPr="00391D73">
        <w:rPr>
          <w:sz w:val="20"/>
          <w:szCs w:val="20"/>
        </w:rPr>
        <w:t xml:space="preserve"> </w:t>
      </w:r>
      <w:r w:rsidR="009C5496">
        <w:rPr>
          <w:sz w:val="20"/>
          <w:szCs w:val="20"/>
        </w:rPr>
        <w:tab/>
        <w:t>r</w:t>
      </w:r>
      <w:r w:rsidRPr="00391D73">
        <w:rPr>
          <w:sz w:val="20"/>
          <w:szCs w:val="20"/>
        </w:rPr>
        <w:t xml:space="preserve">eport analytického modulu CRAB č. 16a – </w:t>
      </w:r>
      <w:r w:rsidR="009C5496">
        <w:rPr>
          <w:sz w:val="20"/>
          <w:szCs w:val="20"/>
        </w:rPr>
        <w:t>p</w:t>
      </w:r>
      <w:r w:rsidRPr="00391D73">
        <w:rPr>
          <w:sz w:val="20"/>
          <w:szCs w:val="20"/>
        </w:rPr>
        <w:t>růměrná plocha na osobu a průměrné výdaje za provoz a údržbu na 1 m</w:t>
      </w:r>
      <w:r w:rsidRPr="00391D73">
        <w:rPr>
          <w:sz w:val="20"/>
          <w:szCs w:val="20"/>
          <w:vertAlign w:val="superscript"/>
        </w:rPr>
        <w:t>2</w:t>
      </w:r>
      <w:r w:rsidRPr="00391D73">
        <w:rPr>
          <w:sz w:val="20"/>
          <w:szCs w:val="20"/>
        </w:rPr>
        <w:t xml:space="preserve">, </w:t>
      </w:r>
      <w:r w:rsidR="009C5496">
        <w:rPr>
          <w:sz w:val="20"/>
          <w:szCs w:val="20"/>
        </w:rPr>
        <w:t xml:space="preserve">zpráva </w:t>
      </w:r>
      <w:r w:rsidRPr="00702837">
        <w:rPr>
          <w:i/>
          <w:sz w:val="20"/>
          <w:szCs w:val="20"/>
        </w:rPr>
        <w:t>The State of Estate in 2012</w:t>
      </w:r>
      <w:r w:rsidR="009C5496">
        <w:rPr>
          <w:sz w:val="20"/>
          <w:szCs w:val="20"/>
        </w:rPr>
        <w:t xml:space="preserve"> a dále verze z let</w:t>
      </w:r>
      <w:r w:rsidRPr="00391D73">
        <w:rPr>
          <w:sz w:val="20"/>
          <w:szCs w:val="20"/>
        </w:rPr>
        <w:t xml:space="preserve"> 2013, 2013/2014, 2014</w:t>
      </w:r>
      <w:r w:rsidR="009C5496">
        <w:rPr>
          <w:sz w:val="20"/>
          <w:szCs w:val="20"/>
        </w:rPr>
        <w:t>–</w:t>
      </w:r>
      <w:r w:rsidRPr="00391D73">
        <w:rPr>
          <w:sz w:val="20"/>
          <w:szCs w:val="20"/>
        </w:rPr>
        <w:t xml:space="preserve">15, </w:t>
      </w:r>
      <w:r w:rsidR="00396B3A">
        <w:rPr>
          <w:sz w:val="20"/>
          <w:szCs w:val="20"/>
        </w:rPr>
        <w:br/>
      </w:r>
      <w:r w:rsidRPr="00391D73">
        <w:rPr>
          <w:sz w:val="20"/>
          <w:szCs w:val="20"/>
        </w:rPr>
        <w:t>2015</w:t>
      </w:r>
      <w:r w:rsidR="009C5496">
        <w:rPr>
          <w:sz w:val="20"/>
          <w:szCs w:val="20"/>
        </w:rPr>
        <w:t>–</w:t>
      </w:r>
      <w:r w:rsidRPr="00391D73">
        <w:rPr>
          <w:sz w:val="20"/>
          <w:szCs w:val="20"/>
        </w:rPr>
        <w:t>16.</w:t>
      </w:r>
    </w:p>
    <w:p w14:paraId="4767E620" w14:textId="7E6DCB69" w:rsidR="00CD6733" w:rsidRPr="00391D73" w:rsidRDefault="00CD6733" w:rsidP="009C5496">
      <w:r w:rsidRPr="00391D73">
        <w:t xml:space="preserve">Průměrné provozní výdaje na </w:t>
      </w:r>
      <w:r w:rsidR="009C5496">
        <w:t>1 </w:t>
      </w:r>
      <w:r w:rsidRPr="00391D73">
        <w:t>m</w:t>
      </w:r>
      <w:r w:rsidRPr="00391D73">
        <w:rPr>
          <w:vertAlign w:val="superscript"/>
        </w:rPr>
        <w:t>2</w:t>
      </w:r>
      <w:r w:rsidRPr="00391D73">
        <w:t xml:space="preserve"> v ČR dle CRAB činily 734 Kč, viz tabulka č. 8. Náklady na </w:t>
      </w:r>
      <w:r w:rsidR="009C5496">
        <w:t>1 </w:t>
      </w:r>
      <w:r w:rsidRPr="00391D73">
        <w:t>m</w:t>
      </w:r>
      <w:r w:rsidRPr="00391D73">
        <w:rPr>
          <w:vertAlign w:val="superscript"/>
        </w:rPr>
        <w:t>2</w:t>
      </w:r>
      <w:r w:rsidRPr="00391D73">
        <w:t xml:space="preserve"> v UK byly při přepočtu na Kč v roce 2016</w:t>
      </w:r>
      <w:r w:rsidRPr="00391D73">
        <w:rPr>
          <w:rStyle w:val="Znakapoznpodarou"/>
        </w:rPr>
        <w:footnoteReference w:id="104"/>
      </w:r>
      <w:r w:rsidRPr="00391D73">
        <w:t xml:space="preserve"> o necelých 14 tis. Kč vyšší, což je pravděpodobně ovlivněno různými vstupními daty, různými cenami poskytovaných služeb a</w:t>
      </w:r>
      <w:r w:rsidR="009C5496">
        <w:t> </w:t>
      </w:r>
      <w:r w:rsidRPr="00391D73">
        <w:t>energií i mírou využití budov. V případě potřeby lepší vypovídací schopnosti tohoto srovnání by bylo nutné například zohlednit také paritu kupní síly.</w:t>
      </w:r>
    </w:p>
    <w:p w14:paraId="77F4443F" w14:textId="7FEA9E0F" w:rsidR="00CD6733" w:rsidRPr="00391D73" w:rsidRDefault="00CD6733" w:rsidP="00CD6733">
      <w:pPr>
        <w:spacing w:after="0" w:line="240" w:lineRule="auto"/>
      </w:pPr>
      <w:r w:rsidRPr="00391D73">
        <w:rPr>
          <w:b/>
        </w:rPr>
        <w:lastRenderedPageBreak/>
        <w:t xml:space="preserve">Tabulka č. </w:t>
      </w:r>
      <w:r w:rsidRPr="00391D73">
        <w:rPr>
          <w:b/>
        </w:rPr>
        <w:fldChar w:fldCharType="begin"/>
      </w:r>
      <w:r w:rsidRPr="00391D73">
        <w:rPr>
          <w:b/>
        </w:rPr>
        <w:instrText xml:space="preserve"> SEQ Tabulka_č. \* ARABIC </w:instrText>
      </w:r>
      <w:r w:rsidRPr="00391D73">
        <w:rPr>
          <w:b/>
        </w:rPr>
        <w:fldChar w:fldCharType="separate"/>
      </w:r>
      <w:r w:rsidR="00564135">
        <w:rPr>
          <w:b/>
          <w:noProof/>
        </w:rPr>
        <w:t>13</w:t>
      </w:r>
      <w:r w:rsidRPr="00391D73">
        <w:rPr>
          <w:b/>
        </w:rPr>
        <w:fldChar w:fldCharType="end"/>
      </w:r>
      <w:r w:rsidRPr="00391D73">
        <w:rPr>
          <w:b/>
        </w:rPr>
        <w:t>:</w:t>
      </w:r>
      <w:r w:rsidRPr="00391D73">
        <w:t xml:space="preserve"> </w:t>
      </w:r>
      <w:r w:rsidRPr="00391D73">
        <w:rPr>
          <w:b/>
        </w:rPr>
        <w:t xml:space="preserve">Ukazatel provozních nákladů/výdajů na </w:t>
      </w:r>
      <w:r w:rsidR="003B1D21">
        <w:rPr>
          <w:b/>
        </w:rPr>
        <w:t>1 </w:t>
      </w:r>
      <w:r w:rsidRPr="00391D73">
        <w:rPr>
          <w:b/>
        </w:rPr>
        <w:t>m</w:t>
      </w:r>
      <w:r w:rsidRPr="00391D73">
        <w:rPr>
          <w:b/>
          <w:vertAlign w:val="superscript"/>
        </w:rPr>
        <w:t xml:space="preserve">2 </w:t>
      </w:r>
      <w:r w:rsidRPr="00391D73">
        <w:rPr>
          <w:b/>
        </w:rPr>
        <w:t>plochy</w:t>
      </w:r>
    </w:p>
    <w:tbl>
      <w:tblPr>
        <w:tblStyle w:val="Mkatabulky"/>
        <w:tblW w:w="0" w:type="auto"/>
        <w:tblInd w:w="108" w:type="dxa"/>
        <w:tblLook w:val="04A0" w:firstRow="1" w:lastRow="0" w:firstColumn="1" w:lastColumn="0" w:noHBand="0" w:noVBand="1"/>
      </w:tblPr>
      <w:tblGrid>
        <w:gridCol w:w="851"/>
        <w:gridCol w:w="4111"/>
        <w:gridCol w:w="850"/>
        <w:gridCol w:w="851"/>
        <w:gridCol w:w="850"/>
        <w:gridCol w:w="851"/>
        <w:gridCol w:w="814"/>
      </w:tblGrid>
      <w:tr w:rsidR="00CD6733" w:rsidRPr="00391D73" w14:paraId="47436031" w14:textId="77777777" w:rsidTr="00CD6733">
        <w:tc>
          <w:tcPr>
            <w:tcW w:w="851" w:type="dxa"/>
            <w:shd w:val="clear" w:color="auto" w:fill="E5F1FF"/>
          </w:tcPr>
          <w:p w14:paraId="70EB10EE" w14:textId="77777777" w:rsidR="00CD6733" w:rsidRPr="00391D73" w:rsidRDefault="00CD6733" w:rsidP="00CD6733">
            <w:pPr>
              <w:jc w:val="center"/>
              <w:rPr>
                <w:b/>
                <w:sz w:val="20"/>
                <w:szCs w:val="20"/>
              </w:rPr>
            </w:pPr>
            <w:r w:rsidRPr="00391D73">
              <w:rPr>
                <w:b/>
                <w:sz w:val="20"/>
                <w:szCs w:val="20"/>
              </w:rPr>
              <w:t>Země</w:t>
            </w:r>
          </w:p>
        </w:tc>
        <w:tc>
          <w:tcPr>
            <w:tcW w:w="4111" w:type="dxa"/>
            <w:shd w:val="clear" w:color="auto" w:fill="E5F1FF"/>
            <w:vAlign w:val="center"/>
          </w:tcPr>
          <w:p w14:paraId="04F577F8" w14:textId="77777777" w:rsidR="00CD6733" w:rsidRPr="00391D73" w:rsidRDefault="00CD6733" w:rsidP="00CD6733">
            <w:pPr>
              <w:jc w:val="center"/>
              <w:rPr>
                <w:b/>
                <w:sz w:val="20"/>
                <w:szCs w:val="20"/>
              </w:rPr>
            </w:pPr>
            <w:r w:rsidRPr="00391D73">
              <w:rPr>
                <w:b/>
                <w:sz w:val="20"/>
                <w:szCs w:val="20"/>
              </w:rPr>
              <w:t>Ukazatel</w:t>
            </w:r>
          </w:p>
        </w:tc>
        <w:tc>
          <w:tcPr>
            <w:tcW w:w="850" w:type="dxa"/>
            <w:shd w:val="clear" w:color="auto" w:fill="E5F1FF"/>
            <w:vAlign w:val="center"/>
          </w:tcPr>
          <w:p w14:paraId="58082229" w14:textId="77777777" w:rsidR="00CD6733" w:rsidRPr="00391D73" w:rsidRDefault="00CD6733" w:rsidP="00CD6733">
            <w:pPr>
              <w:jc w:val="center"/>
              <w:rPr>
                <w:b/>
                <w:sz w:val="20"/>
                <w:szCs w:val="20"/>
              </w:rPr>
            </w:pPr>
            <w:r w:rsidRPr="00391D73">
              <w:rPr>
                <w:b/>
                <w:sz w:val="20"/>
                <w:szCs w:val="20"/>
              </w:rPr>
              <w:t>2012</w:t>
            </w:r>
          </w:p>
        </w:tc>
        <w:tc>
          <w:tcPr>
            <w:tcW w:w="851" w:type="dxa"/>
            <w:shd w:val="clear" w:color="auto" w:fill="E5F1FF"/>
            <w:vAlign w:val="center"/>
          </w:tcPr>
          <w:p w14:paraId="4B135A28" w14:textId="77777777" w:rsidR="00CD6733" w:rsidRPr="00391D73" w:rsidRDefault="00CD6733" w:rsidP="00CD6733">
            <w:pPr>
              <w:jc w:val="center"/>
              <w:rPr>
                <w:b/>
                <w:sz w:val="20"/>
                <w:szCs w:val="20"/>
              </w:rPr>
            </w:pPr>
            <w:r w:rsidRPr="00391D73">
              <w:rPr>
                <w:b/>
                <w:sz w:val="20"/>
                <w:szCs w:val="20"/>
              </w:rPr>
              <w:t>2013</w:t>
            </w:r>
          </w:p>
        </w:tc>
        <w:tc>
          <w:tcPr>
            <w:tcW w:w="850" w:type="dxa"/>
            <w:shd w:val="clear" w:color="auto" w:fill="E5F1FF"/>
            <w:vAlign w:val="center"/>
          </w:tcPr>
          <w:p w14:paraId="40769383" w14:textId="77777777" w:rsidR="00CD6733" w:rsidRPr="00391D73" w:rsidRDefault="00CD6733" w:rsidP="00CD6733">
            <w:pPr>
              <w:jc w:val="center"/>
              <w:rPr>
                <w:b/>
                <w:sz w:val="20"/>
                <w:szCs w:val="20"/>
              </w:rPr>
            </w:pPr>
            <w:r w:rsidRPr="00391D73">
              <w:rPr>
                <w:b/>
                <w:sz w:val="20"/>
                <w:szCs w:val="20"/>
              </w:rPr>
              <w:t>2014</w:t>
            </w:r>
          </w:p>
        </w:tc>
        <w:tc>
          <w:tcPr>
            <w:tcW w:w="851" w:type="dxa"/>
            <w:shd w:val="clear" w:color="auto" w:fill="E5F1FF"/>
            <w:vAlign w:val="center"/>
          </w:tcPr>
          <w:p w14:paraId="2005E068" w14:textId="77777777" w:rsidR="00CD6733" w:rsidRPr="00391D73" w:rsidRDefault="00CD6733" w:rsidP="00CD6733">
            <w:pPr>
              <w:jc w:val="center"/>
              <w:rPr>
                <w:b/>
                <w:sz w:val="20"/>
                <w:szCs w:val="20"/>
              </w:rPr>
            </w:pPr>
            <w:r w:rsidRPr="00391D73">
              <w:rPr>
                <w:b/>
                <w:sz w:val="20"/>
                <w:szCs w:val="20"/>
              </w:rPr>
              <w:t>2015</w:t>
            </w:r>
          </w:p>
        </w:tc>
        <w:tc>
          <w:tcPr>
            <w:tcW w:w="814" w:type="dxa"/>
            <w:shd w:val="clear" w:color="auto" w:fill="E5F1FF"/>
            <w:vAlign w:val="center"/>
          </w:tcPr>
          <w:p w14:paraId="1C7ECB21" w14:textId="77777777" w:rsidR="00CD6733" w:rsidRPr="00391D73" w:rsidRDefault="00CD6733" w:rsidP="00CD6733">
            <w:pPr>
              <w:jc w:val="center"/>
              <w:rPr>
                <w:b/>
                <w:sz w:val="20"/>
                <w:szCs w:val="20"/>
              </w:rPr>
            </w:pPr>
            <w:r w:rsidRPr="00391D73">
              <w:rPr>
                <w:b/>
                <w:sz w:val="20"/>
                <w:szCs w:val="20"/>
              </w:rPr>
              <w:t>2016</w:t>
            </w:r>
          </w:p>
        </w:tc>
      </w:tr>
      <w:tr w:rsidR="00CD6733" w:rsidRPr="00391D73" w14:paraId="05E130CB" w14:textId="77777777" w:rsidTr="00CD6733">
        <w:tc>
          <w:tcPr>
            <w:tcW w:w="851" w:type="dxa"/>
            <w:vAlign w:val="center"/>
          </w:tcPr>
          <w:p w14:paraId="7ECE2245" w14:textId="77777777" w:rsidR="00CD6733" w:rsidRPr="00391D73" w:rsidRDefault="00CD6733" w:rsidP="00CD6733">
            <w:pPr>
              <w:jc w:val="center"/>
              <w:rPr>
                <w:b/>
                <w:sz w:val="20"/>
                <w:szCs w:val="20"/>
              </w:rPr>
            </w:pPr>
            <w:r w:rsidRPr="00391D73">
              <w:rPr>
                <w:b/>
                <w:sz w:val="20"/>
                <w:szCs w:val="20"/>
              </w:rPr>
              <w:t>ČR</w:t>
            </w:r>
          </w:p>
        </w:tc>
        <w:tc>
          <w:tcPr>
            <w:tcW w:w="4111" w:type="dxa"/>
            <w:vAlign w:val="center"/>
          </w:tcPr>
          <w:p w14:paraId="4505B58A" w14:textId="77777777" w:rsidR="00CD6733" w:rsidRPr="00391D73" w:rsidRDefault="00CD6733" w:rsidP="00CD6733">
            <w:pPr>
              <w:rPr>
                <w:sz w:val="20"/>
                <w:szCs w:val="20"/>
              </w:rPr>
            </w:pPr>
            <w:r w:rsidRPr="00391D73">
              <w:rPr>
                <w:sz w:val="20"/>
                <w:szCs w:val="20"/>
              </w:rPr>
              <w:t>Průměrné výdaje za provoz a údržbu na 1 m</w:t>
            </w:r>
            <w:r w:rsidRPr="00391D73">
              <w:rPr>
                <w:sz w:val="20"/>
                <w:szCs w:val="20"/>
                <w:vertAlign w:val="superscript"/>
              </w:rPr>
              <w:t>2</w:t>
            </w:r>
            <w:r w:rsidRPr="00391D73">
              <w:rPr>
                <w:sz w:val="20"/>
                <w:szCs w:val="20"/>
              </w:rPr>
              <w:t xml:space="preserve"> celkové plochy</w:t>
            </w:r>
            <w:r w:rsidRPr="00391D73">
              <w:rPr>
                <w:rStyle w:val="Znakapoznpodarou"/>
                <w:sz w:val="20"/>
                <w:szCs w:val="20"/>
              </w:rPr>
              <w:footnoteReference w:id="105"/>
            </w:r>
            <w:r w:rsidRPr="00391D73">
              <w:rPr>
                <w:sz w:val="20"/>
                <w:szCs w:val="20"/>
              </w:rPr>
              <w:t xml:space="preserve"> v Kč</w:t>
            </w:r>
          </w:p>
        </w:tc>
        <w:tc>
          <w:tcPr>
            <w:tcW w:w="850" w:type="dxa"/>
            <w:vAlign w:val="center"/>
          </w:tcPr>
          <w:p w14:paraId="07124E5F" w14:textId="77777777" w:rsidR="00CD6733" w:rsidRPr="00391D73" w:rsidRDefault="00CD6733" w:rsidP="00CD6733">
            <w:pPr>
              <w:jc w:val="center"/>
              <w:rPr>
                <w:sz w:val="20"/>
                <w:szCs w:val="20"/>
              </w:rPr>
            </w:pPr>
            <w:r w:rsidRPr="00391D73">
              <w:rPr>
                <w:sz w:val="20"/>
                <w:szCs w:val="20"/>
              </w:rPr>
              <w:t>-</w:t>
            </w:r>
          </w:p>
        </w:tc>
        <w:tc>
          <w:tcPr>
            <w:tcW w:w="851" w:type="dxa"/>
            <w:vAlign w:val="center"/>
          </w:tcPr>
          <w:p w14:paraId="645540D1" w14:textId="77777777" w:rsidR="00CD6733" w:rsidRPr="00391D73" w:rsidRDefault="00CD6733" w:rsidP="00CD6733">
            <w:pPr>
              <w:jc w:val="right"/>
              <w:rPr>
                <w:sz w:val="20"/>
                <w:szCs w:val="20"/>
              </w:rPr>
            </w:pPr>
            <w:r w:rsidRPr="00391D73">
              <w:rPr>
                <w:rFonts w:cs="Calibri"/>
                <w:color w:val="000000"/>
                <w:sz w:val="20"/>
                <w:szCs w:val="20"/>
                <w:lang w:eastAsia="cs-CZ"/>
              </w:rPr>
              <w:t>877</w:t>
            </w:r>
          </w:p>
        </w:tc>
        <w:tc>
          <w:tcPr>
            <w:tcW w:w="850" w:type="dxa"/>
            <w:vAlign w:val="center"/>
          </w:tcPr>
          <w:p w14:paraId="35A47582" w14:textId="77777777" w:rsidR="00CD6733" w:rsidRPr="00391D73" w:rsidRDefault="00CD6733" w:rsidP="00CD6733">
            <w:pPr>
              <w:jc w:val="right"/>
              <w:rPr>
                <w:sz w:val="20"/>
                <w:szCs w:val="20"/>
              </w:rPr>
            </w:pPr>
            <w:r w:rsidRPr="00391D73">
              <w:rPr>
                <w:rFonts w:cs="Calibri"/>
                <w:color w:val="000000"/>
                <w:sz w:val="20"/>
                <w:szCs w:val="20"/>
                <w:lang w:eastAsia="cs-CZ"/>
              </w:rPr>
              <w:t>713</w:t>
            </w:r>
          </w:p>
        </w:tc>
        <w:tc>
          <w:tcPr>
            <w:tcW w:w="851" w:type="dxa"/>
            <w:vAlign w:val="center"/>
          </w:tcPr>
          <w:p w14:paraId="013CBF11" w14:textId="77777777" w:rsidR="00CD6733" w:rsidRPr="00391D73" w:rsidRDefault="00CD6733" w:rsidP="00CD6733">
            <w:pPr>
              <w:jc w:val="right"/>
              <w:rPr>
                <w:sz w:val="20"/>
                <w:szCs w:val="20"/>
              </w:rPr>
            </w:pPr>
            <w:r w:rsidRPr="00391D73">
              <w:rPr>
                <w:rFonts w:cs="Calibri"/>
                <w:color w:val="000000"/>
                <w:sz w:val="20"/>
                <w:szCs w:val="20"/>
                <w:lang w:eastAsia="cs-CZ"/>
              </w:rPr>
              <w:t>642</w:t>
            </w:r>
          </w:p>
        </w:tc>
        <w:tc>
          <w:tcPr>
            <w:tcW w:w="814" w:type="dxa"/>
            <w:vAlign w:val="center"/>
          </w:tcPr>
          <w:p w14:paraId="127AA38E" w14:textId="77777777" w:rsidR="00CD6733" w:rsidRPr="00391D73" w:rsidRDefault="00CD6733" w:rsidP="00CD6733">
            <w:pPr>
              <w:jc w:val="right"/>
              <w:rPr>
                <w:sz w:val="20"/>
                <w:szCs w:val="20"/>
              </w:rPr>
            </w:pPr>
            <w:r w:rsidRPr="00391D73">
              <w:rPr>
                <w:rFonts w:cs="Calibri"/>
                <w:color w:val="000000"/>
                <w:sz w:val="20"/>
                <w:szCs w:val="20"/>
                <w:lang w:eastAsia="cs-CZ"/>
              </w:rPr>
              <w:t>734</w:t>
            </w:r>
          </w:p>
        </w:tc>
      </w:tr>
      <w:tr w:rsidR="00CD6733" w:rsidRPr="00391D73" w14:paraId="5C906563" w14:textId="77777777" w:rsidTr="00CD6733">
        <w:tc>
          <w:tcPr>
            <w:tcW w:w="851" w:type="dxa"/>
          </w:tcPr>
          <w:p w14:paraId="2B198F30" w14:textId="77777777" w:rsidR="00CD6733" w:rsidRPr="00391D73" w:rsidRDefault="00CD6733" w:rsidP="00CD6733">
            <w:pPr>
              <w:jc w:val="center"/>
              <w:rPr>
                <w:b/>
                <w:sz w:val="20"/>
                <w:szCs w:val="20"/>
              </w:rPr>
            </w:pPr>
            <w:r w:rsidRPr="00391D73">
              <w:rPr>
                <w:b/>
                <w:sz w:val="20"/>
                <w:szCs w:val="20"/>
              </w:rPr>
              <w:t>UK</w:t>
            </w:r>
          </w:p>
        </w:tc>
        <w:tc>
          <w:tcPr>
            <w:tcW w:w="4111" w:type="dxa"/>
            <w:vAlign w:val="center"/>
          </w:tcPr>
          <w:p w14:paraId="0E96DF72" w14:textId="0BB21B9D" w:rsidR="00CD6733" w:rsidRPr="00391D73" w:rsidRDefault="00CD6733" w:rsidP="00CD6733">
            <w:pPr>
              <w:rPr>
                <w:sz w:val="20"/>
                <w:szCs w:val="20"/>
              </w:rPr>
            </w:pPr>
            <w:r w:rsidRPr="00391D73">
              <w:rPr>
                <w:sz w:val="20"/>
                <w:szCs w:val="20"/>
              </w:rPr>
              <w:t xml:space="preserve">Náklady na </w:t>
            </w:r>
            <w:r w:rsidR="009C5496">
              <w:rPr>
                <w:sz w:val="20"/>
                <w:szCs w:val="20"/>
              </w:rPr>
              <w:t>1 </w:t>
            </w:r>
            <w:r w:rsidRPr="00391D73">
              <w:rPr>
                <w:sz w:val="20"/>
                <w:szCs w:val="20"/>
              </w:rPr>
              <w:t>m</w:t>
            </w:r>
            <w:r w:rsidRPr="00391D73">
              <w:rPr>
                <w:sz w:val="20"/>
                <w:szCs w:val="20"/>
                <w:vertAlign w:val="superscript"/>
              </w:rPr>
              <w:t>2</w:t>
            </w:r>
            <w:r w:rsidRPr="00391D73">
              <w:rPr>
                <w:sz w:val="20"/>
                <w:szCs w:val="20"/>
              </w:rPr>
              <w:t xml:space="preserve"> plochy</w:t>
            </w:r>
            <w:r w:rsidRPr="00391D73">
              <w:rPr>
                <w:rStyle w:val="Znakapoznpodarou"/>
                <w:sz w:val="20"/>
                <w:szCs w:val="20"/>
              </w:rPr>
              <w:footnoteReference w:id="106"/>
            </w:r>
            <w:r w:rsidRPr="00391D73">
              <w:rPr>
                <w:sz w:val="20"/>
                <w:szCs w:val="20"/>
              </w:rPr>
              <w:t xml:space="preserve"> v £</w:t>
            </w:r>
          </w:p>
        </w:tc>
        <w:tc>
          <w:tcPr>
            <w:tcW w:w="850" w:type="dxa"/>
            <w:vAlign w:val="center"/>
          </w:tcPr>
          <w:p w14:paraId="4D06E0AF" w14:textId="77777777" w:rsidR="00CD6733" w:rsidRPr="00391D73" w:rsidRDefault="00CD6733" w:rsidP="00CD6733">
            <w:pPr>
              <w:jc w:val="right"/>
              <w:rPr>
                <w:sz w:val="20"/>
                <w:szCs w:val="20"/>
              </w:rPr>
            </w:pPr>
            <w:r w:rsidRPr="00391D73">
              <w:rPr>
                <w:sz w:val="20"/>
                <w:szCs w:val="20"/>
              </w:rPr>
              <w:t>409</w:t>
            </w:r>
          </w:p>
        </w:tc>
        <w:tc>
          <w:tcPr>
            <w:tcW w:w="851" w:type="dxa"/>
            <w:vAlign w:val="center"/>
          </w:tcPr>
          <w:p w14:paraId="1BE6679D" w14:textId="77777777" w:rsidR="00CD6733" w:rsidRPr="00391D73" w:rsidRDefault="00CD6733" w:rsidP="00CD6733">
            <w:pPr>
              <w:jc w:val="right"/>
              <w:rPr>
                <w:sz w:val="20"/>
                <w:szCs w:val="20"/>
              </w:rPr>
            </w:pPr>
            <w:r w:rsidRPr="00391D73">
              <w:rPr>
                <w:sz w:val="20"/>
                <w:szCs w:val="20"/>
              </w:rPr>
              <w:t>414</w:t>
            </w:r>
          </w:p>
        </w:tc>
        <w:tc>
          <w:tcPr>
            <w:tcW w:w="850" w:type="dxa"/>
            <w:vAlign w:val="center"/>
          </w:tcPr>
          <w:p w14:paraId="7121BF82" w14:textId="77777777" w:rsidR="00CD6733" w:rsidRPr="00391D73" w:rsidRDefault="00CD6733" w:rsidP="00CD6733">
            <w:pPr>
              <w:jc w:val="right"/>
              <w:rPr>
                <w:sz w:val="20"/>
                <w:szCs w:val="20"/>
              </w:rPr>
            </w:pPr>
            <w:r w:rsidRPr="00391D73">
              <w:rPr>
                <w:sz w:val="20"/>
                <w:szCs w:val="20"/>
              </w:rPr>
              <w:t>438</w:t>
            </w:r>
          </w:p>
        </w:tc>
        <w:tc>
          <w:tcPr>
            <w:tcW w:w="851" w:type="dxa"/>
            <w:vAlign w:val="center"/>
          </w:tcPr>
          <w:p w14:paraId="36BCD763" w14:textId="77777777" w:rsidR="00CD6733" w:rsidRPr="00391D73" w:rsidRDefault="00CD6733" w:rsidP="00CD6733">
            <w:pPr>
              <w:jc w:val="right"/>
              <w:rPr>
                <w:sz w:val="20"/>
                <w:szCs w:val="20"/>
              </w:rPr>
            </w:pPr>
            <w:r w:rsidRPr="00391D73">
              <w:rPr>
                <w:sz w:val="20"/>
                <w:szCs w:val="20"/>
              </w:rPr>
              <w:t>455</w:t>
            </w:r>
          </w:p>
        </w:tc>
        <w:tc>
          <w:tcPr>
            <w:tcW w:w="814" w:type="dxa"/>
            <w:vAlign w:val="center"/>
          </w:tcPr>
          <w:p w14:paraId="059FBFDE" w14:textId="77777777" w:rsidR="00CD6733" w:rsidRPr="00391D73" w:rsidRDefault="00CD6733" w:rsidP="00CD6733">
            <w:pPr>
              <w:jc w:val="right"/>
              <w:rPr>
                <w:sz w:val="20"/>
                <w:szCs w:val="20"/>
              </w:rPr>
            </w:pPr>
            <w:r w:rsidRPr="00391D73">
              <w:rPr>
                <w:sz w:val="20"/>
                <w:szCs w:val="20"/>
              </w:rPr>
              <w:t>443</w:t>
            </w:r>
          </w:p>
        </w:tc>
      </w:tr>
    </w:tbl>
    <w:p w14:paraId="2A8E7A95" w14:textId="4A85FD4B" w:rsidR="00CD6733" w:rsidRPr="00391D73" w:rsidRDefault="00CD6733" w:rsidP="009C5496">
      <w:pPr>
        <w:ind w:left="567" w:hanging="567"/>
        <w:rPr>
          <w:sz w:val="20"/>
          <w:szCs w:val="20"/>
        </w:rPr>
      </w:pPr>
      <w:r w:rsidRPr="00391D73">
        <w:rPr>
          <w:b/>
          <w:sz w:val="20"/>
          <w:szCs w:val="20"/>
        </w:rPr>
        <w:t>Zdroj:</w:t>
      </w:r>
      <w:r w:rsidRPr="00391D73">
        <w:rPr>
          <w:sz w:val="20"/>
          <w:szCs w:val="20"/>
        </w:rPr>
        <w:t xml:space="preserve"> </w:t>
      </w:r>
      <w:r w:rsidR="009C5496">
        <w:rPr>
          <w:sz w:val="20"/>
          <w:szCs w:val="20"/>
        </w:rPr>
        <w:tab/>
        <w:t>r</w:t>
      </w:r>
      <w:r w:rsidRPr="00391D73">
        <w:rPr>
          <w:sz w:val="20"/>
          <w:szCs w:val="20"/>
        </w:rPr>
        <w:t xml:space="preserve">eport analytického modulu CRAB č. 16a – </w:t>
      </w:r>
      <w:r w:rsidR="009C5496">
        <w:rPr>
          <w:sz w:val="20"/>
          <w:szCs w:val="20"/>
        </w:rPr>
        <w:t>p</w:t>
      </w:r>
      <w:r w:rsidRPr="00391D73">
        <w:rPr>
          <w:sz w:val="20"/>
          <w:szCs w:val="20"/>
        </w:rPr>
        <w:t>růměrná plocha na osobu a průměrné výdaje za provoz a údržbu na 1 m</w:t>
      </w:r>
      <w:r w:rsidRPr="00391D73">
        <w:rPr>
          <w:sz w:val="20"/>
          <w:szCs w:val="20"/>
          <w:vertAlign w:val="superscript"/>
        </w:rPr>
        <w:t>2</w:t>
      </w:r>
      <w:r w:rsidRPr="00391D73">
        <w:rPr>
          <w:sz w:val="20"/>
          <w:szCs w:val="20"/>
        </w:rPr>
        <w:t xml:space="preserve">, </w:t>
      </w:r>
      <w:r w:rsidR="009C5496">
        <w:rPr>
          <w:sz w:val="20"/>
          <w:szCs w:val="20"/>
        </w:rPr>
        <w:t xml:space="preserve">zpráva </w:t>
      </w:r>
      <w:r w:rsidRPr="00702837">
        <w:rPr>
          <w:i/>
          <w:sz w:val="20"/>
          <w:szCs w:val="20"/>
        </w:rPr>
        <w:t>The State of Estate in 2012</w:t>
      </w:r>
      <w:r w:rsidR="009C5496">
        <w:rPr>
          <w:sz w:val="20"/>
          <w:szCs w:val="20"/>
        </w:rPr>
        <w:t xml:space="preserve"> a dále verze z let</w:t>
      </w:r>
      <w:r w:rsidRPr="00391D73">
        <w:rPr>
          <w:sz w:val="20"/>
          <w:szCs w:val="20"/>
        </w:rPr>
        <w:t xml:space="preserve"> 2013, 2013/2014, 2014</w:t>
      </w:r>
      <w:r w:rsidR="009C5496">
        <w:rPr>
          <w:sz w:val="20"/>
          <w:szCs w:val="20"/>
        </w:rPr>
        <w:t>–</w:t>
      </w:r>
      <w:r w:rsidRPr="00391D73">
        <w:rPr>
          <w:sz w:val="20"/>
          <w:szCs w:val="20"/>
        </w:rPr>
        <w:t xml:space="preserve">15, </w:t>
      </w:r>
      <w:r w:rsidR="00396B3A">
        <w:rPr>
          <w:sz w:val="20"/>
          <w:szCs w:val="20"/>
        </w:rPr>
        <w:br/>
      </w:r>
      <w:r w:rsidRPr="00391D73">
        <w:rPr>
          <w:sz w:val="20"/>
          <w:szCs w:val="20"/>
        </w:rPr>
        <w:t>2015</w:t>
      </w:r>
      <w:r w:rsidR="009C5496">
        <w:rPr>
          <w:sz w:val="20"/>
          <w:szCs w:val="20"/>
        </w:rPr>
        <w:t>–</w:t>
      </w:r>
      <w:r w:rsidRPr="00391D73">
        <w:rPr>
          <w:sz w:val="20"/>
          <w:szCs w:val="20"/>
        </w:rPr>
        <w:t>16.</w:t>
      </w:r>
    </w:p>
    <w:sectPr w:rsidR="00CD6733" w:rsidRPr="00391D73" w:rsidSect="00CD6733">
      <w:footerReference w:type="default" r:id="rId22"/>
      <w:pgSz w:w="11906" w:h="16838"/>
      <w:pgMar w:top="1276"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98051" w14:textId="77777777" w:rsidR="008659E4" w:rsidRDefault="008659E4" w:rsidP="0077328C">
      <w:pPr>
        <w:spacing w:after="0" w:line="240" w:lineRule="auto"/>
      </w:pPr>
      <w:r>
        <w:separator/>
      </w:r>
    </w:p>
  </w:endnote>
  <w:endnote w:type="continuationSeparator" w:id="0">
    <w:p w14:paraId="31501C94" w14:textId="77777777" w:rsidR="008659E4" w:rsidRDefault="008659E4" w:rsidP="0077328C">
      <w:pPr>
        <w:spacing w:after="0" w:line="240" w:lineRule="auto"/>
      </w:pPr>
      <w:r>
        <w:continuationSeparator/>
      </w:r>
    </w:p>
  </w:endnote>
  <w:endnote w:type="continuationNotice" w:id="1">
    <w:p w14:paraId="664F22F5" w14:textId="77777777" w:rsidR="008659E4" w:rsidRDefault="008659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Italic">
    <w:altName w:val="Times New Roman"/>
    <w:charset w:val="00"/>
    <w:family w:val="auto"/>
    <w:pitch w:val="default"/>
  </w:font>
  <w:font w:name="HelveticaNeueLT Pro 45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221319"/>
      <w:docPartObj>
        <w:docPartGallery w:val="Page Numbers (Bottom of Page)"/>
        <w:docPartUnique/>
      </w:docPartObj>
    </w:sdtPr>
    <w:sdtEndPr/>
    <w:sdtContent>
      <w:p w14:paraId="5D49F4D4" w14:textId="10CB9D20" w:rsidR="008659E4" w:rsidRDefault="008659E4" w:rsidP="002324A0">
        <w:pPr>
          <w:pStyle w:val="Zpat"/>
          <w:jc w:val="center"/>
        </w:pPr>
        <w:r>
          <w:fldChar w:fldCharType="begin"/>
        </w:r>
        <w:r>
          <w:instrText>PAGE   \* MERGEFORMAT</w:instrText>
        </w:r>
        <w:r>
          <w:fldChar w:fldCharType="separate"/>
        </w:r>
        <w:r w:rsidR="00DA1B11">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1D006" w14:textId="7D290D35" w:rsidR="008659E4" w:rsidRDefault="008659E4" w:rsidP="00584CB2">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84C76" w14:textId="77777777" w:rsidR="008659E4" w:rsidRPr="007E14BC" w:rsidRDefault="008659E4" w:rsidP="00CD6733">
    <w:pPr>
      <w:pStyle w:val="Zpat"/>
      <w:jc w:val="center"/>
      <w:rPr>
        <w:rFonts w:cstheme="minorHAnsi"/>
        <w:color w:val="004595"/>
        <w:szCs w:val="20"/>
      </w:rPr>
    </w:pPr>
    <w:r w:rsidRPr="007E14BC">
      <w:rPr>
        <w:rFonts w:cstheme="minorHAnsi"/>
        <w:color w:val="004595"/>
        <w:szCs w:val="20"/>
      </w:rPr>
      <w:t xml:space="preserve">STRANA </w:t>
    </w:r>
    <w:r w:rsidRPr="007E14BC">
      <w:rPr>
        <w:rFonts w:cstheme="minorHAnsi"/>
        <w:color w:val="004595"/>
        <w:szCs w:val="20"/>
      </w:rPr>
      <w:fldChar w:fldCharType="begin"/>
    </w:r>
    <w:r w:rsidRPr="007E14BC">
      <w:rPr>
        <w:rFonts w:cstheme="minorHAnsi"/>
        <w:color w:val="004595"/>
        <w:szCs w:val="20"/>
      </w:rPr>
      <w:instrText>PAGE   \* MERGEFORMAT</w:instrText>
    </w:r>
    <w:r w:rsidRPr="007E14BC">
      <w:rPr>
        <w:rFonts w:cstheme="minorHAnsi"/>
        <w:color w:val="004595"/>
        <w:szCs w:val="20"/>
      </w:rPr>
      <w:fldChar w:fldCharType="separate"/>
    </w:r>
    <w:r>
      <w:rPr>
        <w:rFonts w:cstheme="minorHAnsi"/>
        <w:noProof/>
        <w:color w:val="004595"/>
        <w:szCs w:val="20"/>
      </w:rPr>
      <w:t>31</w:t>
    </w:r>
    <w:r w:rsidRPr="007E14BC">
      <w:rPr>
        <w:rFonts w:cstheme="minorHAnsi"/>
        <w:color w:val="004595"/>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33060"/>
      <w:docPartObj>
        <w:docPartGallery w:val="Page Numbers (Bottom of Page)"/>
        <w:docPartUnique/>
      </w:docPartObj>
    </w:sdtPr>
    <w:sdtEndPr/>
    <w:sdtContent>
      <w:p w14:paraId="064C4918" w14:textId="2652B882" w:rsidR="008659E4" w:rsidRPr="00CD6733" w:rsidRDefault="008659E4" w:rsidP="00CD6733">
        <w:pPr>
          <w:pStyle w:val="Zpat"/>
          <w:jc w:val="center"/>
        </w:pPr>
        <w:r>
          <w:fldChar w:fldCharType="begin"/>
        </w:r>
        <w:r>
          <w:instrText>PAGE   \* MERGEFORMAT</w:instrText>
        </w:r>
        <w:r>
          <w:fldChar w:fldCharType="separate"/>
        </w:r>
        <w:r w:rsidR="00DA1B11">
          <w:rPr>
            <w:noProof/>
          </w:rPr>
          <w:t>32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760930"/>
      <w:docPartObj>
        <w:docPartGallery w:val="Page Numbers (Bottom of Page)"/>
        <w:docPartUnique/>
      </w:docPartObj>
    </w:sdtPr>
    <w:sdtEndPr/>
    <w:sdtContent>
      <w:p w14:paraId="62AD58A5" w14:textId="538F1588" w:rsidR="008659E4" w:rsidRPr="00CD6733" w:rsidRDefault="008659E4" w:rsidP="00CD6733">
        <w:pPr>
          <w:pStyle w:val="Zpat"/>
          <w:jc w:val="center"/>
        </w:pPr>
        <w:r>
          <w:fldChar w:fldCharType="begin"/>
        </w:r>
        <w:r>
          <w:instrText>PAGE   \* MERGEFORMAT</w:instrText>
        </w:r>
        <w:r>
          <w:fldChar w:fldCharType="separate"/>
        </w:r>
        <w:r w:rsidR="00DA1B11">
          <w:rPr>
            <w:noProof/>
          </w:rPr>
          <w:t>37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3F4F9" w14:textId="77777777" w:rsidR="008659E4" w:rsidRDefault="008659E4" w:rsidP="0077328C">
      <w:pPr>
        <w:spacing w:after="0" w:line="240" w:lineRule="auto"/>
      </w:pPr>
      <w:r>
        <w:separator/>
      </w:r>
    </w:p>
  </w:footnote>
  <w:footnote w:type="continuationSeparator" w:id="0">
    <w:p w14:paraId="3F75D37D" w14:textId="77777777" w:rsidR="008659E4" w:rsidRDefault="008659E4" w:rsidP="0077328C">
      <w:pPr>
        <w:spacing w:after="0" w:line="240" w:lineRule="auto"/>
      </w:pPr>
      <w:r>
        <w:continuationSeparator/>
      </w:r>
    </w:p>
  </w:footnote>
  <w:footnote w:type="continuationNotice" w:id="1">
    <w:p w14:paraId="619B6492" w14:textId="77777777" w:rsidR="008659E4" w:rsidRDefault="008659E4">
      <w:pPr>
        <w:spacing w:after="0" w:line="240" w:lineRule="auto"/>
      </w:pPr>
    </w:p>
  </w:footnote>
  <w:footnote w:id="2">
    <w:p w14:paraId="5A4C1E7C" w14:textId="47BE60AC" w:rsidR="008659E4" w:rsidRPr="000F3E6A" w:rsidRDefault="008659E4" w:rsidP="002324A0">
      <w:pPr>
        <w:pStyle w:val="Textpoznpodarou"/>
        <w:ind w:left="284" w:hanging="284"/>
        <w:rPr>
          <w:rFonts w:asciiTheme="minorHAnsi" w:hAnsiTheme="minorHAnsi" w:cstheme="minorHAnsi"/>
        </w:rPr>
      </w:pPr>
      <w:r w:rsidRPr="00414BAA">
        <w:rPr>
          <w:rStyle w:val="Znakapoznpodarou"/>
          <w:rFonts w:asciiTheme="minorHAnsi" w:hAnsiTheme="minorHAnsi" w:cstheme="minorHAnsi"/>
        </w:rPr>
        <w:footnoteRef/>
      </w:r>
      <w:r w:rsidRPr="00414BAA">
        <w:rPr>
          <w:rFonts w:asciiTheme="minorHAnsi" w:hAnsiTheme="minorHAnsi" w:cstheme="minorHAnsi"/>
        </w:rPr>
        <w:t xml:space="preserve"> </w:t>
      </w:r>
      <w:r>
        <w:rPr>
          <w:rFonts w:asciiTheme="minorHAnsi" w:hAnsiTheme="minorHAnsi" w:cstheme="minorHAnsi"/>
        </w:rPr>
        <w:tab/>
      </w:r>
      <w:r w:rsidRPr="000F3E6A">
        <w:rPr>
          <w:rFonts w:asciiTheme="minorHAnsi" w:hAnsiTheme="minorHAnsi" w:cstheme="minorHAnsi"/>
        </w:rPr>
        <w:t>Ustanovení § 39 odst. 3 zákona č. 218/2000 Sb., o rozpočtových pravidlech a o změně některých souvisejících zákonů (rozpočtová pravidla).</w:t>
      </w:r>
    </w:p>
  </w:footnote>
  <w:footnote w:id="3">
    <w:p w14:paraId="552A08D1" w14:textId="68388A3D" w:rsidR="008659E4" w:rsidRPr="00F624C0" w:rsidRDefault="008659E4" w:rsidP="002324A0">
      <w:pPr>
        <w:pStyle w:val="Textpoznpodarou"/>
        <w:ind w:left="284" w:hanging="284"/>
        <w:rPr>
          <w:rFonts w:asciiTheme="minorHAnsi" w:hAnsiTheme="minorHAnsi" w:cstheme="minorHAnsi"/>
        </w:rPr>
      </w:pPr>
      <w:r w:rsidRPr="000F3E6A">
        <w:rPr>
          <w:rStyle w:val="Znakapoznpodarou"/>
          <w:rFonts w:asciiTheme="minorHAnsi" w:hAnsiTheme="minorHAnsi" w:cstheme="minorHAnsi"/>
        </w:rPr>
        <w:footnoteRef/>
      </w:r>
      <w:r w:rsidRPr="000F3E6A">
        <w:rPr>
          <w:rFonts w:asciiTheme="minorHAnsi" w:hAnsiTheme="minorHAnsi" w:cstheme="minorHAnsi"/>
        </w:rPr>
        <w:t xml:space="preserve"> </w:t>
      </w:r>
      <w:r w:rsidRPr="000F3E6A">
        <w:rPr>
          <w:rFonts w:asciiTheme="minorHAnsi" w:hAnsiTheme="minorHAnsi" w:cstheme="minorHAnsi"/>
        </w:rPr>
        <w:tab/>
      </w:r>
      <w:r w:rsidRPr="00D2455F">
        <w:rPr>
          <w:rFonts w:asciiTheme="minorHAnsi" w:hAnsiTheme="minorHAnsi" w:cstheme="minorHAnsi"/>
        </w:rPr>
        <w:t>Správou nemovitého majetku se rozumí soubor činností, které zajišťují provoz nemovitostí (např. úklid nemovitostí, opravy závad, běžn</w:t>
      </w:r>
      <w:r>
        <w:rPr>
          <w:rFonts w:asciiTheme="minorHAnsi" w:hAnsiTheme="minorHAnsi" w:cstheme="minorHAnsi"/>
        </w:rPr>
        <w:t>á</w:t>
      </w:r>
      <w:r w:rsidRPr="00D2455F">
        <w:rPr>
          <w:rFonts w:asciiTheme="minorHAnsi" w:hAnsiTheme="minorHAnsi" w:cstheme="minorHAnsi"/>
        </w:rPr>
        <w:t xml:space="preserve"> údržb</w:t>
      </w:r>
      <w:r>
        <w:rPr>
          <w:rFonts w:asciiTheme="minorHAnsi" w:hAnsiTheme="minorHAnsi" w:cstheme="minorHAnsi"/>
        </w:rPr>
        <w:t>a</w:t>
      </w:r>
      <w:r w:rsidRPr="00D2455F">
        <w:rPr>
          <w:rFonts w:asciiTheme="minorHAnsi" w:hAnsiTheme="minorHAnsi" w:cstheme="minorHAnsi"/>
        </w:rPr>
        <w:t>)</w:t>
      </w:r>
      <w:r w:rsidRPr="00F624C0">
        <w:rPr>
          <w:rFonts w:asciiTheme="minorHAnsi" w:hAnsiTheme="minorHAnsi" w:cstheme="minorHAnsi"/>
        </w:rPr>
        <w:t xml:space="preserve"> a odstraňují překážky, které zabraňují užívání nemovitostí. Správu nemovitosti zajišťuje vlastník buď samostatně, nebo s pomocí externího dodavatele (tzn. outsourcing). </w:t>
      </w:r>
    </w:p>
  </w:footnote>
  <w:footnote w:id="4">
    <w:p w14:paraId="1F847ED0" w14:textId="6D93D58A" w:rsidR="008659E4" w:rsidRPr="000F3E6A" w:rsidRDefault="008659E4" w:rsidP="002324A0">
      <w:pPr>
        <w:pStyle w:val="Textpoznpodarou"/>
        <w:ind w:left="284" w:hanging="284"/>
        <w:rPr>
          <w:rFonts w:asciiTheme="minorHAnsi" w:hAnsiTheme="minorHAnsi" w:cstheme="minorHAnsi"/>
        </w:rPr>
      </w:pPr>
      <w:r w:rsidRPr="000F3E6A">
        <w:rPr>
          <w:rStyle w:val="Znakapoznpodarou"/>
          <w:rFonts w:asciiTheme="minorHAnsi" w:eastAsiaTheme="majorEastAsia" w:hAnsiTheme="minorHAnsi" w:cstheme="minorHAnsi"/>
        </w:rPr>
        <w:footnoteRef/>
      </w:r>
      <w:r w:rsidRPr="000F3E6A">
        <w:rPr>
          <w:rFonts w:asciiTheme="minorHAnsi" w:hAnsiTheme="minorHAnsi" w:cstheme="minorHAnsi"/>
        </w:rPr>
        <w:t xml:space="preserve"> </w:t>
      </w:r>
      <w:r w:rsidRPr="000F3E6A">
        <w:rPr>
          <w:rFonts w:asciiTheme="minorHAnsi" w:hAnsiTheme="minorHAnsi" w:cstheme="minorHAnsi"/>
        </w:rPr>
        <w:tab/>
      </w:r>
      <w:r w:rsidRPr="00D2455F">
        <w:rPr>
          <w:rFonts w:asciiTheme="minorHAnsi" w:hAnsiTheme="minorHAnsi" w:cstheme="minorHAnsi"/>
        </w:rPr>
        <w:t>Za státní instituce se považují organizační složky státu a státní organizace v působnosti zákona č.</w:t>
      </w:r>
      <w:r>
        <w:rPr>
          <w:rFonts w:asciiTheme="minorHAnsi" w:hAnsiTheme="minorHAnsi" w:cstheme="minorHAnsi"/>
        </w:rPr>
        <w:t> </w:t>
      </w:r>
      <w:r w:rsidRPr="00D2455F">
        <w:rPr>
          <w:rFonts w:asciiTheme="minorHAnsi" w:hAnsiTheme="minorHAnsi" w:cstheme="minorHAnsi"/>
        </w:rPr>
        <w:t>219/2000</w:t>
      </w:r>
      <w:r>
        <w:rPr>
          <w:rFonts w:asciiTheme="minorHAnsi" w:hAnsiTheme="minorHAnsi" w:cstheme="minorHAnsi"/>
        </w:rPr>
        <w:t> </w:t>
      </w:r>
      <w:r w:rsidRPr="00D2455F">
        <w:rPr>
          <w:rFonts w:asciiTheme="minorHAnsi" w:hAnsiTheme="minorHAnsi" w:cstheme="minorHAnsi"/>
        </w:rPr>
        <w:t xml:space="preserve">Sb. </w:t>
      </w:r>
      <w:r w:rsidRPr="000F3E6A">
        <w:rPr>
          <w:rFonts w:asciiTheme="minorHAnsi" w:hAnsiTheme="minorHAnsi" w:cstheme="minorHAnsi"/>
        </w:rPr>
        <w:t>, o majetku České republiky a jejím vystupování v právních vztazích.</w:t>
      </w:r>
    </w:p>
  </w:footnote>
  <w:footnote w:id="5">
    <w:p w14:paraId="1DD9E7A0" w14:textId="5C1C35E0" w:rsidR="008659E4" w:rsidRPr="009C78F4" w:rsidRDefault="008659E4" w:rsidP="002324A0">
      <w:pPr>
        <w:spacing w:after="0" w:line="240" w:lineRule="auto"/>
        <w:ind w:left="284" w:hanging="284"/>
        <w:rPr>
          <w:sz w:val="20"/>
          <w:szCs w:val="20"/>
        </w:rPr>
      </w:pPr>
      <w:r w:rsidRPr="009C78F4">
        <w:rPr>
          <w:rStyle w:val="Znakapoznpodarou"/>
          <w:sz w:val="20"/>
          <w:szCs w:val="20"/>
        </w:rPr>
        <w:footnoteRef/>
      </w:r>
      <w:r w:rsidRPr="009C78F4">
        <w:rPr>
          <w:sz w:val="20"/>
          <w:szCs w:val="20"/>
        </w:rPr>
        <w:t xml:space="preserve"> </w:t>
      </w:r>
      <w:r>
        <w:rPr>
          <w:sz w:val="20"/>
          <w:szCs w:val="20"/>
        </w:rPr>
        <w:tab/>
      </w:r>
      <w:r w:rsidRPr="009C78F4">
        <w:rPr>
          <w:sz w:val="20"/>
          <w:szCs w:val="20"/>
        </w:rPr>
        <w:t xml:space="preserve">Zástupci ÚZSVM a ministerstev jsou členy </w:t>
      </w:r>
      <w:r w:rsidRPr="009C78F4">
        <w:rPr>
          <w:rFonts w:cs="Times New Roman"/>
          <w:sz w:val="20"/>
          <w:szCs w:val="20"/>
        </w:rPr>
        <w:t>poradních a koordinačních orgánů vlády</w:t>
      </w:r>
      <w:r>
        <w:rPr>
          <w:rFonts w:cs="Times New Roman"/>
          <w:sz w:val="20"/>
          <w:szCs w:val="20"/>
        </w:rPr>
        <w:t xml:space="preserve"> (VDK a RDK)</w:t>
      </w:r>
      <w:r w:rsidRPr="009C78F4">
        <w:rPr>
          <w:rFonts w:cs="Times New Roman"/>
          <w:sz w:val="20"/>
          <w:szCs w:val="20"/>
        </w:rPr>
        <w:t xml:space="preserve">, které projednávájí změny ve využívání majetku a nakládání s ním a o těchto změnách rozhodují, pokud o nich nerozhoduje </w:t>
      </w:r>
      <w:r>
        <w:rPr>
          <w:rFonts w:cs="Times New Roman"/>
          <w:sz w:val="20"/>
          <w:szCs w:val="20"/>
        </w:rPr>
        <w:t>v</w:t>
      </w:r>
      <w:r w:rsidRPr="009C78F4">
        <w:rPr>
          <w:rFonts w:cs="Times New Roman"/>
          <w:sz w:val="20"/>
          <w:szCs w:val="20"/>
        </w:rPr>
        <w:t xml:space="preserve">láda ČR. </w:t>
      </w:r>
    </w:p>
  </w:footnote>
  <w:footnote w:id="6">
    <w:p w14:paraId="24ADAE2F" w14:textId="414BCBE9" w:rsidR="008659E4" w:rsidRPr="00F8635D" w:rsidRDefault="008659E4" w:rsidP="002324A0">
      <w:pPr>
        <w:pStyle w:val="Textpoznpodarou"/>
        <w:ind w:left="284" w:hanging="284"/>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sidRPr="00F8635D">
        <w:rPr>
          <w:rFonts w:asciiTheme="minorHAnsi" w:hAnsiTheme="minorHAnsi" w:cstheme="minorHAnsi"/>
        </w:rPr>
        <w:tab/>
      </w:r>
      <w:r w:rsidRPr="000F3E6A">
        <w:rPr>
          <w:rFonts w:asciiTheme="minorHAnsi" w:hAnsiTheme="minorHAnsi" w:cstheme="minorHAnsi"/>
        </w:rPr>
        <w:t>O centralizovanou správu nemovitého majetku se jedná v případě, že správa nemovitého majetku je</w:t>
      </w:r>
      <w:r>
        <w:rPr>
          <w:rFonts w:asciiTheme="minorHAnsi" w:hAnsiTheme="minorHAnsi" w:cstheme="minorHAnsi"/>
        </w:rPr>
        <w:t xml:space="preserve"> </w:t>
      </w:r>
      <w:r w:rsidRPr="00D2455F">
        <w:rPr>
          <w:rFonts w:asciiTheme="minorHAnsi" w:hAnsiTheme="minorHAnsi" w:cstheme="minorHAnsi"/>
        </w:rPr>
        <w:t>zajišťována jednou institucí.</w:t>
      </w:r>
    </w:p>
  </w:footnote>
  <w:footnote w:id="7">
    <w:p w14:paraId="06C28431" w14:textId="5DD30F32" w:rsidR="008659E4" w:rsidRPr="00F8635D" w:rsidRDefault="008659E4" w:rsidP="002324A0">
      <w:pPr>
        <w:pStyle w:val="Textpoznpodarou"/>
        <w:ind w:left="284" w:hanging="284"/>
        <w:rPr>
          <w:rFonts w:asciiTheme="minorHAnsi" w:hAnsiTheme="minorHAnsi" w:cstheme="minorHAnsi"/>
        </w:rPr>
      </w:pPr>
      <w:r w:rsidRPr="000F3E6A">
        <w:rPr>
          <w:rStyle w:val="Znakapoznpodarou"/>
          <w:rFonts w:asciiTheme="minorHAnsi" w:hAnsiTheme="minorHAnsi" w:cstheme="minorHAnsi"/>
        </w:rPr>
        <w:footnoteRef/>
      </w:r>
      <w:r w:rsidRPr="000F3E6A">
        <w:rPr>
          <w:rFonts w:asciiTheme="minorHAnsi" w:hAnsiTheme="minorHAnsi" w:cstheme="minorHAnsi"/>
        </w:rPr>
        <w:t xml:space="preserve"> </w:t>
      </w:r>
      <w:r w:rsidRPr="000F3E6A">
        <w:rPr>
          <w:rFonts w:asciiTheme="minorHAnsi" w:hAnsiTheme="minorHAnsi" w:cstheme="minorHAnsi"/>
        </w:rPr>
        <w:tab/>
        <w:t xml:space="preserve">Ustanovení </w:t>
      </w:r>
      <w:r w:rsidRPr="00D2455F">
        <w:rPr>
          <w:rFonts w:asciiTheme="minorHAnsi" w:hAnsiTheme="minorHAnsi" w:cstheme="minorHAnsi"/>
        </w:rPr>
        <w:t>§ 14a odst. 1 zákona č. 219/2000 Sb.</w:t>
      </w:r>
    </w:p>
  </w:footnote>
  <w:footnote w:id="8">
    <w:p w14:paraId="6D473561" w14:textId="77777777" w:rsidR="008659E4" w:rsidRDefault="008659E4" w:rsidP="002324A0">
      <w:pPr>
        <w:pStyle w:val="Textpoznpodarou"/>
        <w:tabs>
          <w:tab w:val="left" w:pos="284"/>
        </w:tabs>
        <w:ind w:left="284" w:hanging="284"/>
      </w:pPr>
      <w:r w:rsidRPr="00615EF2">
        <w:rPr>
          <w:rStyle w:val="Znakapoznpodarou"/>
          <w:rFonts w:asciiTheme="minorHAnsi" w:hAnsiTheme="minorHAnsi"/>
        </w:rPr>
        <w:footnoteRef/>
      </w:r>
      <w:r w:rsidRPr="00615EF2">
        <w:rPr>
          <w:rFonts w:asciiTheme="minorHAnsi" w:hAnsiTheme="minorHAnsi"/>
        </w:rPr>
        <w:t xml:space="preserve"> </w:t>
      </w:r>
      <w:r w:rsidRPr="00615EF2">
        <w:rPr>
          <w:rFonts w:asciiTheme="minorHAnsi" w:hAnsiTheme="minorHAnsi"/>
        </w:rPr>
        <w:tab/>
        <w:t>ÚZSVM</w:t>
      </w:r>
      <w:r>
        <w:t xml:space="preserve"> </w:t>
      </w:r>
      <w:r w:rsidRPr="00615EF2">
        <w:rPr>
          <w:rFonts w:asciiTheme="minorHAnsi" w:hAnsiTheme="minorHAnsi"/>
        </w:rPr>
        <w:t>byl zřízen zákonem č. 201/2002 Sb., o Úřadu pro zastupování státu ve věcech majetkových. ÚZSVM je podřízenou organizací v kapitole Ministerstva financí</w:t>
      </w:r>
      <w:r>
        <w:rPr>
          <w:rFonts w:asciiTheme="minorHAnsi" w:hAnsiTheme="minorHAnsi"/>
        </w:rPr>
        <w:t xml:space="preserve">. </w:t>
      </w:r>
      <w:r w:rsidRPr="00615EF2">
        <w:rPr>
          <w:rFonts w:asciiTheme="minorHAnsi" w:hAnsiTheme="minorHAnsi"/>
        </w:rPr>
        <w:t>ÚZSVM byl pověřen vykonávat roli správce a</w:t>
      </w:r>
      <w:r>
        <w:rPr>
          <w:rFonts w:asciiTheme="minorHAnsi" w:hAnsiTheme="minorHAnsi"/>
        </w:rPr>
        <w:t> </w:t>
      </w:r>
      <w:r w:rsidRPr="00615EF2">
        <w:rPr>
          <w:rFonts w:asciiTheme="minorHAnsi" w:hAnsiTheme="minorHAnsi"/>
        </w:rPr>
        <w:t xml:space="preserve">provozovat CRAB. </w:t>
      </w:r>
      <w:r>
        <w:rPr>
          <w:rFonts w:asciiTheme="minorHAnsi" w:hAnsiTheme="minorHAnsi"/>
        </w:rPr>
        <w:t>U ÚZSVM je soustřeďován vybraný majetek</w:t>
      </w:r>
      <w:r w:rsidRPr="005C4CC2">
        <w:rPr>
          <w:rFonts w:asciiTheme="minorHAnsi" w:hAnsiTheme="minorHAnsi"/>
        </w:rPr>
        <w:t xml:space="preserve"> státu, </w:t>
      </w:r>
      <w:r>
        <w:rPr>
          <w:rFonts w:asciiTheme="minorHAnsi" w:hAnsiTheme="minorHAnsi"/>
        </w:rPr>
        <w:t xml:space="preserve">ÚZSVM například hospodaří </w:t>
      </w:r>
      <w:r w:rsidRPr="005C4CC2">
        <w:rPr>
          <w:rFonts w:asciiTheme="minorHAnsi" w:hAnsiTheme="minorHAnsi"/>
        </w:rPr>
        <w:t>a</w:t>
      </w:r>
      <w:r>
        <w:rPr>
          <w:rFonts w:asciiTheme="minorHAnsi" w:hAnsiTheme="minorHAnsi"/>
        </w:rPr>
        <w:t> nakládá</w:t>
      </w:r>
      <w:r w:rsidRPr="005C4CC2">
        <w:rPr>
          <w:rFonts w:asciiTheme="minorHAnsi" w:hAnsiTheme="minorHAnsi"/>
        </w:rPr>
        <w:t xml:space="preserve"> s</w:t>
      </w:r>
      <w:r>
        <w:rPr>
          <w:rFonts w:asciiTheme="minorHAnsi" w:hAnsiTheme="minorHAnsi"/>
        </w:rPr>
        <w:t xml:space="preserve"> trvale </w:t>
      </w:r>
      <w:r w:rsidRPr="005C4CC2">
        <w:rPr>
          <w:rFonts w:asciiTheme="minorHAnsi" w:hAnsiTheme="minorHAnsi"/>
        </w:rPr>
        <w:t>nepotřebným majetkem</w:t>
      </w:r>
      <w:r>
        <w:rPr>
          <w:rFonts w:asciiTheme="minorHAnsi" w:hAnsiTheme="minorHAnsi"/>
        </w:rPr>
        <w:t xml:space="preserve"> státu. Ú</w:t>
      </w:r>
      <w:r w:rsidRPr="00146AB0">
        <w:rPr>
          <w:rFonts w:asciiTheme="minorHAnsi" w:hAnsiTheme="minorHAnsi"/>
        </w:rPr>
        <w:t>středním orgánem státní správy pro</w:t>
      </w:r>
      <w:r>
        <w:rPr>
          <w:rFonts w:asciiTheme="minorHAnsi" w:hAnsiTheme="minorHAnsi"/>
        </w:rPr>
        <w:t xml:space="preserve"> </w:t>
      </w:r>
      <w:r w:rsidRPr="00146AB0">
        <w:rPr>
          <w:rFonts w:asciiTheme="minorHAnsi" w:hAnsiTheme="minorHAnsi"/>
        </w:rPr>
        <w:t>hospodaření s</w:t>
      </w:r>
      <w:r>
        <w:rPr>
          <w:rFonts w:asciiTheme="minorHAnsi" w:hAnsiTheme="minorHAnsi"/>
        </w:rPr>
        <w:t> </w:t>
      </w:r>
      <w:r w:rsidRPr="00146AB0">
        <w:rPr>
          <w:rFonts w:asciiTheme="minorHAnsi" w:hAnsiTheme="minorHAnsi"/>
        </w:rPr>
        <w:t>majetkem státu</w:t>
      </w:r>
      <w:r>
        <w:rPr>
          <w:rFonts w:asciiTheme="minorHAnsi" w:hAnsiTheme="minorHAnsi"/>
        </w:rPr>
        <w:t xml:space="preserve"> je Ministerstvo financí.</w:t>
      </w:r>
    </w:p>
  </w:footnote>
  <w:footnote w:id="9">
    <w:p w14:paraId="0649507C" w14:textId="13DA74F3" w:rsidR="008659E4" w:rsidRPr="00580235" w:rsidRDefault="008659E4" w:rsidP="002324A0">
      <w:pPr>
        <w:pStyle w:val="Textpoznpodarou"/>
        <w:tabs>
          <w:tab w:val="left" w:pos="284"/>
        </w:tabs>
        <w:ind w:left="284" w:hanging="284"/>
        <w:rPr>
          <w:rFonts w:asciiTheme="minorHAnsi" w:hAnsiTheme="minorHAnsi" w:cstheme="minorHAnsi"/>
        </w:rPr>
      </w:pPr>
      <w:r w:rsidRPr="00B95B8A">
        <w:rPr>
          <w:rStyle w:val="Znakapoznpodarou"/>
          <w:rFonts w:asciiTheme="minorHAnsi" w:hAnsiTheme="minorHAnsi" w:cstheme="minorHAnsi"/>
        </w:rPr>
        <w:footnoteRef/>
      </w:r>
      <w:r w:rsidRPr="00B95B8A">
        <w:rPr>
          <w:rFonts w:asciiTheme="minorHAnsi" w:hAnsiTheme="minorHAnsi" w:cstheme="minorHAnsi"/>
        </w:rPr>
        <w:t xml:space="preserve"> </w:t>
      </w:r>
      <w:r w:rsidRPr="00B95B8A">
        <w:rPr>
          <w:rFonts w:asciiTheme="minorHAnsi" w:hAnsiTheme="minorHAnsi" w:cstheme="minorHAnsi"/>
        </w:rPr>
        <w:tab/>
        <w:t>Usnesením vlády ČR ze</w:t>
      </w:r>
      <w:r>
        <w:rPr>
          <w:rFonts w:asciiTheme="minorHAnsi" w:hAnsiTheme="minorHAnsi" w:cstheme="minorHAnsi"/>
        </w:rPr>
        <w:t xml:space="preserve"> </w:t>
      </w:r>
      <w:r w:rsidRPr="00B95B8A">
        <w:rPr>
          <w:rFonts w:asciiTheme="minorHAnsi" w:hAnsiTheme="minorHAnsi" w:cstheme="minorHAnsi"/>
        </w:rPr>
        <w:t xml:space="preserve">dne 20. prosince 2012 č. 954, </w:t>
      </w:r>
      <w:r w:rsidRPr="00702837">
        <w:rPr>
          <w:rFonts w:asciiTheme="minorHAnsi" w:hAnsiTheme="minorHAnsi" w:cstheme="minorHAnsi"/>
          <w:i/>
        </w:rPr>
        <w:t>o Centrálním registru administrativních budov</w:t>
      </w:r>
      <w:r>
        <w:rPr>
          <w:rFonts w:asciiTheme="minorHAnsi" w:hAnsiTheme="minorHAnsi" w:cstheme="minorHAnsi"/>
        </w:rPr>
        <w:t>,</w:t>
      </w:r>
      <w:r w:rsidRPr="00B95B8A">
        <w:rPr>
          <w:rFonts w:asciiTheme="minorHAnsi" w:hAnsiTheme="minorHAnsi" w:cstheme="minorHAnsi"/>
        </w:rPr>
        <w:t xml:space="preserve"> byl ÚZSVM pověřen vydat metodiku evidence administrativních budov a s nimi souvisejících nemovitostí v </w:t>
      </w:r>
      <w:r w:rsidRPr="00702837">
        <w:rPr>
          <w:rFonts w:asciiTheme="minorHAnsi" w:hAnsiTheme="minorHAnsi" w:cstheme="minorHAnsi"/>
          <w:i/>
        </w:rPr>
        <w:t>Centrálním registru administrativních budov</w:t>
      </w:r>
      <w:r w:rsidRPr="00B95B8A">
        <w:rPr>
          <w:rFonts w:asciiTheme="minorHAnsi" w:hAnsiTheme="minorHAnsi" w:cstheme="minorHAnsi"/>
        </w:rPr>
        <w:t>. ÚZSVM zpřístupnil na neveřejném webovém portálu CRAB uživatelské příručky a metodiku evidence dat.</w:t>
      </w:r>
    </w:p>
  </w:footnote>
  <w:footnote w:id="10">
    <w:p w14:paraId="6F55FDB3" w14:textId="00B10165" w:rsidR="008659E4" w:rsidRPr="00F624C0" w:rsidRDefault="008659E4" w:rsidP="00702837">
      <w:pPr>
        <w:pStyle w:val="Textpoznpodarou"/>
        <w:ind w:left="284" w:hanging="284"/>
        <w:rPr>
          <w:rFonts w:asciiTheme="minorHAnsi" w:hAnsiTheme="minorHAnsi" w:cstheme="minorHAnsi"/>
        </w:rPr>
      </w:pPr>
      <w:r w:rsidRPr="000F3E6A">
        <w:rPr>
          <w:rStyle w:val="Znakapoznpodarou"/>
          <w:rFonts w:asciiTheme="minorHAnsi" w:hAnsiTheme="minorHAnsi" w:cstheme="minorHAnsi"/>
        </w:rPr>
        <w:footnoteRef/>
      </w:r>
      <w:r w:rsidRPr="000F3E6A">
        <w:rPr>
          <w:rFonts w:asciiTheme="minorHAnsi" w:hAnsiTheme="minorHAnsi" w:cstheme="minorHAnsi"/>
        </w:rPr>
        <w:t xml:space="preserve"> </w:t>
      </w:r>
      <w:r w:rsidRPr="000F3E6A">
        <w:rPr>
          <w:rFonts w:asciiTheme="minorHAnsi" w:hAnsiTheme="minorHAnsi" w:cstheme="minorHAnsi"/>
        </w:rPr>
        <w:tab/>
      </w:r>
      <w:r w:rsidRPr="00D2455F">
        <w:rPr>
          <w:rFonts w:asciiTheme="minorHAnsi" w:hAnsiTheme="minorHAnsi" w:cstheme="minorHAnsi"/>
        </w:rPr>
        <w:t>K</w:t>
      </w:r>
      <w:r>
        <w:rPr>
          <w:rFonts w:asciiTheme="minorHAnsi" w:hAnsiTheme="minorHAnsi" w:cstheme="minorHAnsi"/>
        </w:rPr>
        <w:t>ontrolní závěr z k</w:t>
      </w:r>
      <w:r w:rsidRPr="00D2455F">
        <w:rPr>
          <w:rFonts w:asciiTheme="minorHAnsi" w:hAnsiTheme="minorHAnsi" w:cstheme="minorHAnsi"/>
        </w:rPr>
        <w:t xml:space="preserve">ontrolní akce č. 13/40 – </w:t>
      </w:r>
      <w:r w:rsidRPr="00D2455F">
        <w:rPr>
          <w:rFonts w:asciiTheme="minorHAnsi" w:hAnsiTheme="minorHAnsi" w:cstheme="minorHAnsi"/>
          <w:i/>
        </w:rPr>
        <w:t xml:space="preserve">Hospodaření s nemovitým majetkem a peněžními </w:t>
      </w:r>
      <w:r>
        <w:rPr>
          <w:rFonts w:asciiTheme="minorHAnsi" w:hAnsiTheme="minorHAnsi" w:cstheme="minorHAnsi"/>
          <w:i/>
        </w:rPr>
        <w:t xml:space="preserve">prostředky státu v souvislosti </w:t>
      </w:r>
      <w:r w:rsidRPr="00D2455F">
        <w:rPr>
          <w:rFonts w:asciiTheme="minorHAnsi" w:hAnsiTheme="minorHAnsi" w:cstheme="minorHAnsi"/>
          <w:i/>
        </w:rPr>
        <w:t>s užíváním nemovitého majetku vybranými organizačními složkami státu</w:t>
      </w:r>
      <w:r w:rsidRPr="00D2455F">
        <w:rPr>
          <w:rFonts w:asciiTheme="minorHAnsi" w:hAnsiTheme="minorHAnsi" w:cstheme="minorHAnsi"/>
        </w:rPr>
        <w:t xml:space="preserve"> </w:t>
      </w:r>
      <w:r>
        <w:rPr>
          <w:rFonts w:asciiTheme="minorHAnsi" w:hAnsiTheme="minorHAnsi" w:cstheme="minorHAnsi"/>
        </w:rPr>
        <w:t>byl</w:t>
      </w:r>
      <w:r w:rsidRPr="00D2455F">
        <w:rPr>
          <w:rFonts w:asciiTheme="minorHAnsi" w:hAnsiTheme="minorHAnsi" w:cstheme="minorHAnsi"/>
        </w:rPr>
        <w:t xml:space="preserve"> zveřejněn v</w:t>
      </w:r>
      <w:r>
        <w:rPr>
          <w:rFonts w:asciiTheme="minorHAnsi" w:hAnsiTheme="minorHAnsi" w:cstheme="minorHAnsi"/>
        </w:rPr>
        <w:t> </w:t>
      </w:r>
      <w:r w:rsidRPr="00D2455F">
        <w:rPr>
          <w:rFonts w:asciiTheme="minorHAnsi" w:hAnsiTheme="minorHAnsi" w:cstheme="minorHAnsi"/>
        </w:rPr>
        <w:t>částce</w:t>
      </w:r>
      <w:r>
        <w:rPr>
          <w:rFonts w:asciiTheme="minorHAnsi" w:hAnsiTheme="minorHAnsi" w:cstheme="minorHAnsi"/>
        </w:rPr>
        <w:t xml:space="preserve"> </w:t>
      </w:r>
      <w:r w:rsidRPr="00D2455F">
        <w:rPr>
          <w:rFonts w:asciiTheme="minorHAnsi" w:hAnsiTheme="minorHAnsi" w:cstheme="minorHAnsi"/>
        </w:rPr>
        <w:t xml:space="preserve">2/2014 </w:t>
      </w:r>
      <w:r w:rsidRPr="00702837">
        <w:rPr>
          <w:rFonts w:ascii="Calibri" w:hAnsi="Calibri" w:cstheme="minorHAnsi"/>
          <w:i/>
        </w:rPr>
        <w:t>Věstníku NKÚ</w:t>
      </w:r>
      <w:r w:rsidRPr="005220B0">
        <w:rPr>
          <w:rFonts w:ascii="Calibri" w:hAnsi="Calibri" w:cstheme="minorHAnsi"/>
        </w:rPr>
        <w:t>.</w:t>
      </w:r>
    </w:p>
  </w:footnote>
  <w:footnote w:id="11">
    <w:p w14:paraId="5846429E" w14:textId="218F2F7F" w:rsidR="008659E4" w:rsidRPr="000F3E6A" w:rsidRDefault="008659E4" w:rsidP="002324A0">
      <w:pPr>
        <w:pStyle w:val="Textpoznpodarou"/>
        <w:ind w:left="284" w:hanging="284"/>
        <w:rPr>
          <w:rFonts w:asciiTheme="minorHAnsi" w:hAnsiTheme="minorHAnsi" w:cstheme="minorHAnsi"/>
        </w:rPr>
      </w:pPr>
      <w:r w:rsidRPr="000F3E6A">
        <w:rPr>
          <w:rStyle w:val="Znakapoznpodarou"/>
          <w:rFonts w:asciiTheme="minorHAnsi" w:hAnsiTheme="minorHAnsi" w:cstheme="minorHAnsi"/>
        </w:rPr>
        <w:footnoteRef/>
      </w:r>
      <w:r w:rsidRPr="000F3E6A">
        <w:rPr>
          <w:rFonts w:asciiTheme="minorHAnsi" w:hAnsiTheme="minorHAnsi" w:cstheme="minorHAnsi"/>
        </w:rPr>
        <w:t xml:space="preserve"> </w:t>
      </w:r>
      <w:r w:rsidRPr="000F3E6A">
        <w:rPr>
          <w:rFonts w:asciiTheme="minorHAnsi" w:hAnsiTheme="minorHAnsi" w:cstheme="minorHAnsi"/>
        </w:rPr>
        <w:tab/>
        <w:t xml:space="preserve">Ustanovení </w:t>
      </w:r>
      <w:r w:rsidRPr="00D2455F">
        <w:rPr>
          <w:rFonts w:asciiTheme="minorHAnsi" w:hAnsiTheme="minorHAnsi" w:cstheme="minorHAnsi"/>
        </w:rPr>
        <w:t>§ 14a odst. 2 zákona č. 219/2000 Sb.</w:t>
      </w:r>
      <w:r>
        <w:rPr>
          <w:rFonts w:asciiTheme="minorHAnsi" w:hAnsiTheme="minorHAnsi" w:cstheme="minorHAnsi"/>
        </w:rPr>
        <w:t>,</w:t>
      </w:r>
      <w:r w:rsidRPr="00D2455F">
        <w:rPr>
          <w:rFonts w:asciiTheme="minorHAnsi" w:hAnsiTheme="minorHAnsi" w:cstheme="minorHAnsi"/>
        </w:rPr>
        <w:t xml:space="preserve"> účinné od března 2016, dříve usnesení vlády ČR </w:t>
      </w:r>
      <w:r>
        <w:rPr>
          <w:rFonts w:asciiTheme="minorHAnsi" w:hAnsiTheme="minorHAnsi" w:cstheme="minorHAnsi"/>
        </w:rPr>
        <w:t xml:space="preserve">ze dne 20. prosince 2012 </w:t>
      </w:r>
      <w:r w:rsidRPr="000F3E6A">
        <w:rPr>
          <w:rFonts w:asciiTheme="minorHAnsi" w:hAnsiTheme="minorHAnsi" w:cstheme="minorHAnsi"/>
        </w:rPr>
        <w:t xml:space="preserve">č. 954, </w:t>
      </w:r>
      <w:r w:rsidRPr="00702837">
        <w:rPr>
          <w:rFonts w:asciiTheme="minorHAnsi" w:hAnsiTheme="minorHAnsi" w:cstheme="minorHAnsi"/>
          <w:i/>
        </w:rPr>
        <w:t>o Centrálním registru administrativních budov</w:t>
      </w:r>
      <w:r>
        <w:rPr>
          <w:rFonts w:asciiTheme="minorHAnsi" w:hAnsiTheme="minorHAnsi" w:cstheme="minorHAnsi"/>
        </w:rPr>
        <w:t>,</w:t>
      </w:r>
      <w:r w:rsidRPr="000F3E6A">
        <w:rPr>
          <w:rFonts w:asciiTheme="minorHAnsi" w:hAnsiTheme="minorHAnsi" w:cstheme="minorHAnsi"/>
        </w:rPr>
        <w:t xml:space="preserve"> a usnesení vlády ČR ze dne 9. června 2014 č. 435, </w:t>
      </w:r>
      <w:r w:rsidRPr="00702837">
        <w:rPr>
          <w:rFonts w:asciiTheme="minorHAnsi" w:hAnsiTheme="minorHAnsi" w:cstheme="minorHAnsi"/>
          <w:i/>
        </w:rPr>
        <w:t>o naplnění Centrálního registru administrativních budov daty</w:t>
      </w:r>
      <w:r w:rsidRPr="000F3E6A">
        <w:rPr>
          <w:rFonts w:asciiTheme="minorHAnsi" w:hAnsiTheme="minorHAnsi" w:cstheme="minorHAnsi"/>
        </w:rPr>
        <w:t>.</w:t>
      </w:r>
    </w:p>
  </w:footnote>
  <w:footnote w:id="12">
    <w:p w14:paraId="28B27ADD" w14:textId="1DFFDC30" w:rsidR="008659E4" w:rsidRPr="00F8635D" w:rsidRDefault="008659E4" w:rsidP="002324A0">
      <w:pPr>
        <w:pStyle w:val="Textpoznpodarou"/>
        <w:tabs>
          <w:tab w:val="left" w:pos="284"/>
        </w:tabs>
        <w:rPr>
          <w:rFonts w:asciiTheme="minorHAnsi" w:hAnsiTheme="minorHAnsi"/>
        </w:rPr>
      </w:pPr>
      <w:r w:rsidRPr="00F8635D">
        <w:rPr>
          <w:rStyle w:val="Znakapoznpodarou"/>
          <w:rFonts w:asciiTheme="minorHAnsi" w:hAnsiTheme="minorHAnsi"/>
        </w:rPr>
        <w:footnoteRef/>
      </w:r>
      <w:r>
        <w:rPr>
          <w:rFonts w:asciiTheme="minorHAnsi" w:hAnsiTheme="minorHAnsi" w:cstheme="minorHAnsi"/>
        </w:rPr>
        <w:t xml:space="preserve"> </w:t>
      </w:r>
      <w:r>
        <w:rPr>
          <w:rFonts w:asciiTheme="minorHAnsi" w:hAnsiTheme="minorHAnsi" w:cstheme="minorHAnsi"/>
        </w:rPr>
        <w:tab/>
      </w:r>
      <w:r w:rsidRPr="005C78CD">
        <w:rPr>
          <w:rFonts w:asciiTheme="minorHAnsi" w:hAnsiTheme="minorHAnsi" w:cstheme="minorHAnsi"/>
        </w:rPr>
        <w:t>Všechny částky uváděné v tomto kontrolním závěru jsou včetně DPH.</w:t>
      </w:r>
    </w:p>
  </w:footnote>
  <w:footnote w:id="13">
    <w:p w14:paraId="151DA9EB" w14:textId="17D279C8" w:rsidR="008659E4" w:rsidRPr="00330BDC" w:rsidRDefault="008659E4" w:rsidP="002324A0">
      <w:pPr>
        <w:pStyle w:val="Textpoznpodarou"/>
        <w:tabs>
          <w:tab w:val="left" w:pos="284"/>
        </w:tabs>
        <w:ind w:left="284" w:hanging="284"/>
        <w:rPr>
          <w:rFonts w:asciiTheme="minorHAnsi" w:hAnsiTheme="minorHAnsi"/>
        </w:rPr>
      </w:pPr>
      <w:r w:rsidRPr="00330BDC">
        <w:rPr>
          <w:rStyle w:val="Znakapoznpodarou"/>
          <w:rFonts w:asciiTheme="minorHAnsi" w:hAnsiTheme="minorHAnsi"/>
        </w:rPr>
        <w:footnoteRef/>
      </w:r>
      <w:r w:rsidRPr="00330BDC">
        <w:rPr>
          <w:rFonts w:asciiTheme="minorHAnsi" w:hAnsiTheme="minorHAnsi"/>
        </w:rPr>
        <w:t xml:space="preserve"> </w:t>
      </w:r>
      <w:r>
        <w:rPr>
          <w:rFonts w:asciiTheme="minorHAnsi" w:hAnsiTheme="minorHAnsi"/>
        </w:rPr>
        <w:tab/>
      </w:r>
      <w:r w:rsidRPr="00330BDC">
        <w:rPr>
          <w:rFonts w:asciiTheme="minorHAnsi" w:hAnsiTheme="minorHAnsi"/>
        </w:rPr>
        <w:t>MV bylo zřízeno zákonem č. 2/1969 Sb., o zřízení ministerstev a jiných ústředních orgánů státní správy České republiky.</w:t>
      </w:r>
      <w:r>
        <w:rPr>
          <w:rFonts w:asciiTheme="minorHAnsi" w:hAnsiTheme="minorHAnsi"/>
        </w:rPr>
        <w:t xml:space="preserve"> </w:t>
      </w:r>
      <w:r w:rsidRPr="00D3324A">
        <w:rPr>
          <w:rFonts w:asciiTheme="minorHAnsi" w:hAnsiTheme="minorHAnsi"/>
        </w:rPr>
        <w:t>MV je ústředním orgánem státní správy, organizační složkou státu a účetní jednotkou.</w:t>
      </w:r>
    </w:p>
  </w:footnote>
  <w:footnote w:id="14">
    <w:p w14:paraId="4D5DD59B" w14:textId="00B2AE46" w:rsidR="008659E4" w:rsidRPr="00060B34" w:rsidRDefault="008659E4" w:rsidP="002324A0">
      <w:pPr>
        <w:pStyle w:val="Textpoznpodarou"/>
        <w:tabs>
          <w:tab w:val="left" w:pos="284"/>
        </w:tabs>
        <w:ind w:left="284" w:hanging="284"/>
        <w:rPr>
          <w:rFonts w:asciiTheme="minorHAnsi" w:hAnsiTheme="minorHAnsi" w:cstheme="minorHAnsi"/>
        </w:rPr>
      </w:pPr>
      <w:r w:rsidRPr="000F3E6A">
        <w:rPr>
          <w:rStyle w:val="Znakapoznpodarou"/>
          <w:rFonts w:asciiTheme="minorHAnsi" w:hAnsiTheme="minorHAnsi" w:cstheme="minorHAnsi"/>
        </w:rPr>
        <w:footnoteRef/>
      </w:r>
      <w:r w:rsidRPr="000F3E6A">
        <w:rPr>
          <w:rFonts w:asciiTheme="minorHAnsi" w:hAnsiTheme="minorHAnsi" w:cstheme="minorHAnsi"/>
        </w:rPr>
        <w:t xml:space="preserve"> </w:t>
      </w:r>
      <w:r w:rsidRPr="000F3E6A">
        <w:rPr>
          <w:rFonts w:asciiTheme="minorHAnsi" w:hAnsiTheme="minorHAnsi" w:cstheme="minorHAnsi"/>
        </w:rPr>
        <w:tab/>
        <w:t>ZSMV je účetní jednotka a státní příspěvková organi</w:t>
      </w:r>
      <w:r w:rsidRPr="00D2455F">
        <w:rPr>
          <w:rFonts w:asciiTheme="minorHAnsi" w:hAnsiTheme="minorHAnsi" w:cstheme="minorHAnsi"/>
        </w:rPr>
        <w:t xml:space="preserve">zace zřízená </w:t>
      </w:r>
      <w:r>
        <w:rPr>
          <w:rFonts w:asciiTheme="minorHAnsi" w:hAnsiTheme="minorHAnsi" w:cstheme="minorHAnsi"/>
        </w:rPr>
        <w:t>MV</w:t>
      </w:r>
      <w:r w:rsidRPr="00D2455F">
        <w:rPr>
          <w:rFonts w:asciiTheme="minorHAnsi" w:hAnsiTheme="minorHAnsi" w:cstheme="minorHAnsi"/>
        </w:rPr>
        <w:t xml:space="preserve"> ke dni 1. 1. 1998. Organizace byla zřízena pro poskytování a zabezpečení komplexních služeb </w:t>
      </w:r>
      <w:r>
        <w:rPr>
          <w:rFonts w:asciiTheme="minorHAnsi" w:hAnsiTheme="minorHAnsi" w:cstheme="minorHAnsi"/>
        </w:rPr>
        <w:t>MV</w:t>
      </w:r>
      <w:r w:rsidRPr="00D2455F">
        <w:rPr>
          <w:rFonts w:asciiTheme="minorHAnsi" w:hAnsiTheme="minorHAnsi" w:cstheme="minorHAnsi"/>
        </w:rPr>
        <w:t xml:space="preserve"> jako ústřednímu orgánu státní správy.</w:t>
      </w:r>
    </w:p>
  </w:footnote>
  <w:footnote w:id="15">
    <w:p w14:paraId="0E07D2BE" w14:textId="77777777" w:rsidR="008659E4" w:rsidRPr="00D922DB" w:rsidRDefault="008659E4" w:rsidP="002324A0">
      <w:pPr>
        <w:pStyle w:val="Textpoznpodarou"/>
        <w:ind w:left="284" w:hanging="284"/>
        <w:rPr>
          <w:rFonts w:asciiTheme="minorHAnsi" w:hAnsiTheme="minorHAnsi"/>
        </w:rPr>
      </w:pPr>
      <w:r w:rsidRPr="00D922DB">
        <w:rPr>
          <w:rStyle w:val="Znakapoznpodarou"/>
          <w:rFonts w:asciiTheme="minorHAnsi" w:hAnsiTheme="minorHAnsi"/>
        </w:rPr>
        <w:footnoteRef/>
      </w:r>
      <w:r w:rsidRPr="00D922DB">
        <w:rPr>
          <w:rFonts w:asciiTheme="minorHAnsi" w:hAnsiTheme="minorHAnsi"/>
        </w:rPr>
        <w:t xml:space="preserve"> </w:t>
      </w:r>
      <w:r>
        <w:rPr>
          <w:rFonts w:asciiTheme="minorHAnsi" w:hAnsiTheme="minorHAnsi"/>
        </w:rPr>
        <w:tab/>
        <w:t>S ohledem na naplněnost CRAB zejména administrativními budovami se NKÚ zaměřil na objekty tohoto charakteru.</w:t>
      </w:r>
    </w:p>
  </w:footnote>
  <w:footnote w:id="16">
    <w:p w14:paraId="79818F6B" w14:textId="11AAAAC1" w:rsidR="008659E4" w:rsidRPr="00892C84" w:rsidRDefault="008659E4" w:rsidP="002324A0">
      <w:pPr>
        <w:pStyle w:val="Textpoznpodarou"/>
        <w:ind w:left="284" w:hanging="284"/>
        <w:rPr>
          <w:rFonts w:asciiTheme="minorHAnsi" w:hAnsiTheme="minorHAnsi" w:cstheme="minorHAnsi"/>
        </w:rPr>
      </w:pPr>
      <w:r w:rsidRPr="00892C84">
        <w:rPr>
          <w:rStyle w:val="Znakapoznpodarou"/>
          <w:rFonts w:asciiTheme="minorHAnsi" w:hAnsiTheme="minorHAnsi" w:cstheme="minorHAnsi"/>
        </w:rPr>
        <w:footnoteRef/>
      </w:r>
      <w:r w:rsidRPr="00892C84">
        <w:rPr>
          <w:rFonts w:asciiTheme="minorHAnsi" w:hAnsiTheme="minorHAnsi" w:cstheme="minorHAnsi"/>
        </w:rPr>
        <w:t xml:space="preserve"> </w:t>
      </w:r>
      <w:r>
        <w:rPr>
          <w:rFonts w:asciiTheme="minorHAnsi" w:hAnsiTheme="minorHAnsi" w:cstheme="minorHAnsi"/>
        </w:rPr>
        <w:tab/>
      </w:r>
      <w:r w:rsidRPr="00892C84">
        <w:rPr>
          <w:rFonts w:asciiTheme="minorHAnsi" w:hAnsiTheme="minorHAnsi" w:cstheme="minorHAnsi"/>
        </w:rPr>
        <w:t xml:space="preserve">Informační podporou se </w:t>
      </w:r>
      <w:r>
        <w:rPr>
          <w:rFonts w:asciiTheme="minorHAnsi" w:hAnsiTheme="minorHAnsi" w:cstheme="minorHAnsi"/>
        </w:rPr>
        <w:t>rozumí služby,</w:t>
      </w:r>
      <w:r w:rsidRPr="00892C84">
        <w:rPr>
          <w:rFonts w:asciiTheme="minorHAnsi" w:hAnsiTheme="minorHAnsi" w:cstheme="minorHAnsi"/>
        </w:rPr>
        <w:t xml:space="preserve"> informace</w:t>
      </w:r>
      <w:r>
        <w:rPr>
          <w:rFonts w:asciiTheme="minorHAnsi" w:hAnsiTheme="minorHAnsi" w:cstheme="minorHAnsi"/>
        </w:rPr>
        <w:t xml:space="preserve"> a data, </w:t>
      </w:r>
      <w:r w:rsidRPr="00892C84">
        <w:rPr>
          <w:rFonts w:asciiTheme="minorHAnsi" w:hAnsiTheme="minorHAnsi" w:cstheme="minorHAnsi"/>
        </w:rPr>
        <w:t>které poskytují jednotlivé informační systémy pro podporu procesů souvisejících se správou nemovitého majetku.</w:t>
      </w:r>
    </w:p>
  </w:footnote>
  <w:footnote w:id="17">
    <w:p w14:paraId="41F859DD" w14:textId="045A3776" w:rsidR="008659E4" w:rsidRDefault="008659E4" w:rsidP="00431594">
      <w:pPr>
        <w:pStyle w:val="Textpoznpodarou"/>
        <w:ind w:left="284" w:hanging="284"/>
      </w:pPr>
      <w:r w:rsidRPr="00FC76BB">
        <w:rPr>
          <w:rStyle w:val="Znakapoznpodarou"/>
          <w:rFonts w:asciiTheme="minorHAnsi" w:hAnsiTheme="minorHAnsi" w:cstheme="minorHAnsi"/>
        </w:rPr>
        <w:footnoteRef/>
      </w:r>
      <w:r w:rsidRPr="00FC76BB">
        <w:rPr>
          <w:rFonts w:asciiTheme="minorHAnsi" w:hAnsiTheme="minorHAnsi" w:cstheme="minorHAnsi"/>
        </w:rPr>
        <w:t xml:space="preserve"> </w:t>
      </w:r>
      <w:r>
        <w:rPr>
          <w:rFonts w:asciiTheme="minorHAnsi" w:hAnsiTheme="minorHAnsi" w:cstheme="minorHAnsi"/>
        </w:rPr>
        <w:tab/>
        <w:t>Ustanovení § 19</w:t>
      </w:r>
      <w:r w:rsidRPr="00FC76BB">
        <w:rPr>
          <w:rFonts w:asciiTheme="minorHAnsi" w:hAnsiTheme="minorHAnsi" w:cstheme="minorHAnsi"/>
        </w:rPr>
        <w:t>b zákona č. 219/2000 Sb</w:t>
      </w:r>
      <w:r>
        <w:rPr>
          <w:rFonts w:asciiTheme="minorHAnsi" w:hAnsiTheme="minorHAnsi" w:cstheme="minorHAnsi"/>
        </w:rPr>
        <w:t>.</w:t>
      </w:r>
    </w:p>
  </w:footnote>
  <w:footnote w:id="18">
    <w:p w14:paraId="392B4D05" w14:textId="30FF6774" w:rsidR="008659E4" w:rsidRPr="00FC76BB" w:rsidRDefault="008659E4" w:rsidP="00431594">
      <w:pPr>
        <w:pStyle w:val="Textpoznpodarou"/>
        <w:ind w:left="284" w:hanging="284"/>
        <w:rPr>
          <w:rFonts w:asciiTheme="minorHAnsi" w:hAnsiTheme="minorHAnsi" w:cstheme="minorHAnsi"/>
        </w:rPr>
      </w:pPr>
      <w:r w:rsidRPr="00FC76BB">
        <w:rPr>
          <w:rStyle w:val="Znakapoznpodarou"/>
          <w:rFonts w:asciiTheme="minorHAnsi" w:hAnsiTheme="minorHAnsi" w:cstheme="minorHAnsi"/>
        </w:rPr>
        <w:footnoteRef/>
      </w:r>
      <w:r w:rsidRPr="00FC76BB">
        <w:rPr>
          <w:rFonts w:asciiTheme="minorHAnsi" w:hAnsiTheme="minorHAnsi" w:cstheme="minorHAnsi"/>
        </w:rPr>
        <w:t xml:space="preserve"> </w:t>
      </w:r>
      <w:r>
        <w:rPr>
          <w:rFonts w:asciiTheme="minorHAnsi" w:hAnsiTheme="minorHAnsi" w:cstheme="minorHAnsi"/>
        </w:rPr>
        <w:tab/>
        <w:t xml:space="preserve">Ustanovení </w:t>
      </w:r>
      <w:r w:rsidRPr="00FC76BB">
        <w:rPr>
          <w:rFonts w:asciiTheme="minorHAnsi" w:hAnsiTheme="minorHAnsi" w:cstheme="minorHAnsi"/>
        </w:rPr>
        <w:t>§ 19</w:t>
      </w:r>
      <w:r>
        <w:rPr>
          <w:rFonts w:asciiTheme="minorHAnsi" w:hAnsiTheme="minorHAnsi" w:cstheme="minorHAnsi"/>
        </w:rPr>
        <w:t>a zákona č. 219/2000 Sb.</w:t>
      </w:r>
    </w:p>
  </w:footnote>
  <w:footnote w:id="19">
    <w:p w14:paraId="4030D088" w14:textId="4F1152E3" w:rsidR="008659E4" w:rsidRPr="00330BDC" w:rsidRDefault="008659E4" w:rsidP="007C5C49">
      <w:pPr>
        <w:pStyle w:val="Textpoznpodarou"/>
        <w:tabs>
          <w:tab w:val="left" w:pos="284"/>
        </w:tabs>
        <w:ind w:left="284" w:hanging="284"/>
        <w:rPr>
          <w:rFonts w:asciiTheme="minorHAnsi" w:hAnsiTheme="minorHAnsi" w:cstheme="minorHAnsi"/>
        </w:rPr>
      </w:pPr>
      <w:r w:rsidRPr="00330BDC">
        <w:rPr>
          <w:rStyle w:val="Znakapoznpodarou"/>
          <w:rFonts w:asciiTheme="minorHAnsi" w:hAnsiTheme="minorHAnsi" w:cstheme="minorHAnsi"/>
        </w:rPr>
        <w:footnoteRef/>
      </w:r>
      <w:r w:rsidRPr="00330BDC">
        <w:rPr>
          <w:rFonts w:asciiTheme="minorHAnsi" w:hAnsiTheme="minorHAnsi" w:cstheme="minorHAnsi"/>
        </w:rPr>
        <w:t xml:space="preserve"> </w:t>
      </w:r>
      <w:r>
        <w:rPr>
          <w:rFonts w:asciiTheme="minorHAnsi" w:hAnsiTheme="minorHAnsi" w:cstheme="minorHAnsi"/>
        </w:rPr>
        <w:tab/>
      </w:r>
      <w:r w:rsidRPr="00330BDC">
        <w:rPr>
          <w:rFonts w:asciiTheme="minorHAnsi" w:hAnsiTheme="minorHAnsi" w:cstheme="minorHAnsi"/>
        </w:rPr>
        <w:t>Novela zákona č. 219/200</w:t>
      </w:r>
      <w:r>
        <w:rPr>
          <w:rFonts w:asciiTheme="minorHAnsi" w:hAnsiTheme="minorHAnsi" w:cstheme="minorHAnsi"/>
        </w:rPr>
        <w:t>0</w:t>
      </w:r>
      <w:r w:rsidRPr="00330BDC">
        <w:rPr>
          <w:rFonts w:asciiTheme="minorHAnsi" w:hAnsiTheme="minorHAnsi" w:cstheme="minorHAnsi"/>
        </w:rPr>
        <w:t xml:space="preserve"> Sb. provedená zákonem č. 51/2016 Sb., kterým se mění zákon č.</w:t>
      </w:r>
      <w:r>
        <w:rPr>
          <w:rFonts w:asciiTheme="minorHAnsi" w:hAnsiTheme="minorHAnsi" w:cstheme="minorHAnsi"/>
        </w:rPr>
        <w:t> </w:t>
      </w:r>
      <w:r w:rsidRPr="00330BDC">
        <w:rPr>
          <w:rFonts w:asciiTheme="minorHAnsi" w:hAnsiTheme="minorHAnsi" w:cstheme="minorHAnsi"/>
        </w:rPr>
        <w:t>219/2000 Sb., o</w:t>
      </w:r>
      <w:r>
        <w:rPr>
          <w:rFonts w:asciiTheme="minorHAnsi" w:hAnsiTheme="minorHAnsi" w:cstheme="minorHAnsi"/>
        </w:rPr>
        <w:t> </w:t>
      </w:r>
      <w:r w:rsidRPr="00330BDC">
        <w:rPr>
          <w:rFonts w:asciiTheme="minorHAnsi" w:hAnsiTheme="minorHAnsi" w:cstheme="minorHAnsi"/>
        </w:rPr>
        <w:t>majetku České republiky a jejím vystupování v právních vztazích, ve znění pozdějších předpisů, a některé další zákony</w:t>
      </w:r>
      <w:r>
        <w:rPr>
          <w:rFonts w:asciiTheme="minorHAnsi" w:hAnsiTheme="minorHAnsi" w:cstheme="minorHAnsi"/>
        </w:rPr>
        <w:t>.</w:t>
      </w:r>
    </w:p>
  </w:footnote>
  <w:footnote w:id="20">
    <w:p w14:paraId="6A8354B7" w14:textId="7B02EC32" w:rsidR="008659E4" w:rsidRPr="00A33DD4" w:rsidRDefault="008659E4" w:rsidP="00431594">
      <w:pPr>
        <w:pStyle w:val="Textpoznpodarou"/>
        <w:ind w:left="284" w:hanging="284"/>
        <w:rPr>
          <w:rFonts w:asciiTheme="minorHAnsi" w:hAnsiTheme="minorHAnsi" w:cstheme="minorHAnsi"/>
        </w:rPr>
      </w:pPr>
      <w:r w:rsidRPr="00A33DD4">
        <w:rPr>
          <w:rStyle w:val="Znakapoznpodarou"/>
          <w:rFonts w:asciiTheme="minorHAnsi" w:hAnsiTheme="minorHAnsi" w:cstheme="minorHAnsi"/>
        </w:rPr>
        <w:footnoteRef/>
      </w:r>
      <w:r w:rsidRPr="00A33DD4">
        <w:rPr>
          <w:rFonts w:asciiTheme="minorHAnsi" w:hAnsiTheme="minorHAnsi" w:cstheme="minorHAnsi"/>
        </w:rPr>
        <w:t xml:space="preserve"> </w:t>
      </w:r>
      <w:r>
        <w:rPr>
          <w:rFonts w:asciiTheme="minorHAnsi" w:hAnsiTheme="minorHAnsi" w:cstheme="minorHAnsi"/>
        </w:rPr>
        <w:tab/>
        <w:t xml:space="preserve">Ustanovení </w:t>
      </w:r>
      <w:r w:rsidRPr="00A33DD4">
        <w:rPr>
          <w:rFonts w:asciiTheme="minorHAnsi" w:hAnsiTheme="minorHAnsi" w:cstheme="minorHAnsi"/>
        </w:rPr>
        <w:t>§</w:t>
      </w:r>
      <w:r>
        <w:rPr>
          <w:rFonts w:asciiTheme="minorHAnsi" w:hAnsiTheme="minorHAnsi" w:cstheme="minorHAnsi"/>
        </w:rPr>
        <w:t> </w:t>
      </w:r>
      <w:r w:rsidRPr="00A33DD4">
        <w:rPr>
          <w:rFonts w:asciiTheme="minorHAnsi" w:hAnsiTheme="minorHAnsi" w:cstheme="minorHAnsi"/>
        </w:rPr>
        <w:t xml:space="preserve">14a zákona </w:t>
      </w:r>
      <w:r>
        <w:rPr>
          <w:rFonts w:asciiTheme="minorHAnsi" w:hAnsiTheme="minorHAnsi" w:cstheme="minorHAnsi"/>
        </w:rPr>
        <w:t xml:space="preserve">č. </w:t>
      </w:r>
      <w:r w:rsidRPr="00A33DD4">
        <w:rPr>
          <w:rFonts w:asciiTheme="minorHAnsi" w:hAnsiTheme="minorHAnsi" w:cstheme="minorHAnsi"/>
        </w:rPr>
        <w:t>219/2000 Sb.</w:t>
      </w:r>
    </w:p>
  </w:footnote>
  <w:footnote w:id="21">
    <w:p w14:paraId="4B808F5B" w14:textId="0D1DF0A2" w:rsidR="008659E4" w:rsidRPr="00330BDC" w:rsidRDefault="008659E4" w:rsidP="0053756C">
      <w:pPr>
        <w:pStyle w:val="Textpoznpodarou"/>
        <w:tabs>
          <w:tab w:val="left" w:pos="284"/>
        </w:tabs>
        <w:rPr>
          <w:rFonts w:asciiTheme="minorHAnsi" w:hAnsiTheme="minorHAnsi"/>
        </w:rPr>
      </w:pPr>
      <w:r w:rsidRPr="00330BDC">
        <w:rPr>
          <w:rStyle w:val="Znakapoznpodarou"/>
          <w:rFonts w:asciiTheme="minorHAnsi" w:hAnsiTheme="minorHAnsi"/>
        </w:rPr>
        <w:footnoteRef/>
      </w:r>
      <w:r w:rsidRPr="00330BDC">
        <w:rPr>
          <w:rFonts w:asciiTheme="minorHAnsi" w:hAnsiTheme="minorHAnsi"/>
        </w:rPr>
        <w:t xml:space="preserve"> </w:t>
      </w:r>
      <w:r>
        <w:rPr>
          <w:rFonts w:asciiTheme="minorHAnsi" w:hAnsiTheme="minorHAnsi"/>
        </w:rPr>
        <w:tab/>
        <w:t>Jako základ 100</w:t>
      </w:r>
      <w:r>
        <w:rPr>
          <w:rFonts w:asciiTheme="minorHAnsi" w:hAnsiTheme="minorHAnsi"/>
          <w:lang w:val="en-US"/>
        </w:rPr>
        <w:t> % objektů v majetku státu byl použit údaj z tzv. mapy majetku státu.</w:t>
      </w:r>
    </w:p>
  </w:footnote>
  <w:footnote w:id="22">
    <w:p w14:paraId="37CB8941" w14:textId="59BCBCEE" w:rsidR="008659E4" w:rsidRPr="00702837" w:rsidRDefault="008659E4" w:rsidP="00E23CAB">
      <w:pPr>
        <w:pStyle w:val="Textpoznpodarou"/>
        <w:tabs>
          <w:tab w:val="left" w:pos="284"/>
        </w:tabs>
        <w:ind w:left="284" w:hanging="284"/>
        <w:rPr>
          <w:rFonts w:asciiTheme="minorHAnsi" w:hAnsiTheme="minorHAnsi"/>
        </w:rPr>
      </w:pPr>
      <w:r w:rsidRPr="00702837">
        <w:rPr>
          <w:rStyle w:val="Znakapoznpodarou"/>
          <w:rFonts w:asciiTheme="minorHAnsi" w:hAnsiTheme="minorHAnsi"/>
        </w:rPr>
        <w:footnoteRef/>
      </w:r>
      <w:r w:rsidRPr="00702837">
        <w:rPr>
          <w:rFonts w:asciiTheme="minorHAnsi" w:hAnsiTheme="minorHAnsi"/>
        </w:rPr>
        <w:t xml:space="preserve"> </w:t>
      </w:r>
      <w:r>
        <w:rPr>
          <w:rFonts w:asciiTheme="minorHAnsi" w:hAnsiTheme="minorHAnsi"/>
        </w:rPr>
        <w:tab/>
      </w:r>
      <w:r w:rsidRPr="00BF676E">
        <w:rPr>
          <w:rFonts w:asciiTheme="minorHAnsi" w:hAnsiTheme="minorHAnsi" w:cstheme="minorHAnsi"/>
        </w:rPr>
        <w:t>Na základě ustanovení § 14b zákona č. 219/2000 Sb., účinného od 1. 3. 2016, může</w:t>
      </w:r>
      <w:r w:rsidRPr="00B3350D">
        <w:rPr>
          <w:rFonts w:asciiTheme="minorHAnsi" w:hAnsiTheme="minorHAnsi" w:cstheme="minorHAnsi"/>
        </w:rPr>
        <w:t xml:space="preserve"> ministr vnitra z důvodu zajištění bezpečnosti nebo obrany státu rozhodnout, ve kterých konkrétních případec</w:t>
      </w:r>
      <w:r w:rsidRPr="00E23CAB">
        <w:rPr>
          <w:rFonts w:asciiTheme="minorHAnsi" w:hAnsiTheme="minorHAnsi" w:cstheme="minorHAnsi"/>
        </w:rPr>
        <w:t xml:space="preserve">h se určitý majetek, s nímž je příslušná hospodařit anebo který užívá nebo požívá organizační složka, v jejímž čele stojí nebo která spadá do jejich působnosti, do </w:t>
      </w:r>
      <w:r w:rsidRPr="00E23CAB">
        <w:rPr>
          <w:rFonts w:asciiTheme="minorHAnsi" w:hAnsiTheme="minorHAnsi" w:cstheme="minorHAnsi"/>
          <w:i/>
        </w:rPr>
        <w:t>Centrálního registru administrativních budov</w:t>
      </w:r>
      <w:r w:rsidRPr="00E23CAB">
        <w:rPr>
          <w:rFonts w:asciiTheme="minorHAnsi" w:hAnsiTheme="minorHAnsi" w:cstheme="minorHAnsi"/>
        </w:rPr>
        <w:t xml:space="preserve"> nezařadí a ustanovení § 14a se nepoužije.</w:t>
      </w:r>
    </w:p>
  </w:footnote>
  <w:footnote w:id="23">
    <w:p w14:paraId="24D61013" w14:textId="296CA076" w:rsidR="008659E4" w:rsidRPr="00306E63" w:rsidRDefault="008659E4" w:rsidP="00E62C40">
      <w:pPr>
        <w:autoSpaceDE w:val="0"/>
        <w:autoSpaceDN w:val="0"/>
        <w:adjustRightInd w:val="0"/>
        <w:spacing w:after="0" w:line="240" w:lineRule="auto"/>
        <w:ind w:left="284" w:hanging="284"/>
        <w:rPr>
          <w:rFonts w:cstheme="minorHAnsi"/>
          <w:sz w:val="20"/>
          <w:szCs w:val="20"/>
        </w:rPr>
      </w:pPr>
      <w:r w:rsidRPr="00306E63">
        <w:rPr>
          <w:rStyle w:val="Znakapoznpodarou"/>
          <w:rFonts w:cstheme="minorHAnsi"/>
          <w:sz w:val="20"/>
          <w:szCs w:val="20"/>
        </w:rPr>
        <w:footnoteRef/>
      </w:r>
      <w:r>
        <w:rPr>
          <w:rFonts w:cstheme="minorHAnsi"/>
          <w:sz w:val="20"/>
          <w:szCs w:val="20"/>
        </w:rPr>
        <w:t xml:space="preserve"> </w:t>
      </w:r>
      <w:r>
        <w:rPr>
          <w:rFonts w:cstheme="minorHAnsi"/>
          <w:sz w:val="20"/>
          <w:szCs w:val="20"/>
        </w:rPr>
        <w:tab/>
      </w:r>
      <w:r w:rsidRPr="00306E63">
        <w:rPr>
          <w:rFonts w:cstheme="minorHAnsi"/>
          <w:sz w:val="20"/>
          <w:szCs w:val="20"/>
        </w:rPr>
        <w:t xml:space="preserve">Rada vlády pro informační společnost (dále </w:t>
      </w:r>
      <w:r>
        <w:rPr>
          <w:rFonts w:cstheme="minorHAnsi"/>
          <w:sz w:val="20"/>
          <w:szCs w:val="20"/>
        </w:rPr>
        <w:t>také „</w:t>
      </w:r>
      <w:r w:rsidRPr="00306E63">
        <w:rPr>
          <w:rFonts w:cstheme="minorHAnsi"/>
          <w:sz w:val="20"/>
          <w:szCs w:val="20"/>
        </w:rPr>
        <w:t>RVIS</w:t>
      </w:r>
      <w:r>
        <w:rPr>
          <w:rFonts w:cstheme="minorHAnsi"/>
          <w:sz w:val="20"/>
          <w:szCs w:val="20"/>
        </w:rPr>
        <w:t>“</w:t>
      </w:r>
      <w:r w:rsidRPr="00306E63">
        <w:rPr>
          <w:rFonts w:cstheme="minorHAnsi"/>
          <w:sz w:val="20"/>
          <w:szCs w:val="20"/>
        </w:rPr>
        <w:t xml:space="preserve">) </w:t>
      </w:r>
      <w:r>
        <w:rPr>
          <w:rFonts w:cstheme="minorHAnsi"/>
          <w:sz w:val="20"/>
          <w:szCs w:val="20"/>
        </w:rPr>
        <w:t>byla zřízena usnesením vlády</w:t>
      </w:r>
      <w:r w:rsidRPr="00306E63">
        <w:rPr>
          <w:rFonts w:cstheme="minorHAnsi"/>
          <w:sz w:val="20"/>
          <w:szCs w:val="20"/>
        </w:rPr>
        <w:t xml:space="preserve"> ze dne 24. listopadu 2014</w:t>
      </w:r>
      <w:r>
        <w:rPr>
          <w:rFonts w:cstheme="minorHAnsi"/>
          <w:sz w:val="20"/>
          <w:szCs w:val="20"/>
        </w:rPr>
        <w:t xml:space="preserve"> č. 961, </w:t>
      </w:r>
      <w:r w:rsidRPr="00702837">
        <w:rPr>
          <w:rFonts w:cstheme="minorHAnsi"/>
          <w:i/>
          <w:sz w:val="20"/>
          <w:szCs w:val="20"/>
        </w:rPr>
        <w:t>o zřízení rady vlády pro informační společnosti</w:t>
      </w:r>
      <w:r w:rsidRPr="00306E63">
        <w:rPr>
          <w:rFonts w:cstheme="minorHAnsi"/>
          <w:sz w:val="20"/>
          <w:szCs w:val="20"/>
        </w:rPr>
        <w:t>. Následně byla rozhodnutím předsedy RVIS zřízena „</w:t>
      </w:r>
      <w:r>
        <w:rPr>
          <w:rFonts w:cstheme="minorHAnsi"/>
          <w:sz w:val="20"/>
          <w:szCs w:val="20"/>
        </w:rPr>
        <w:t>p</w:t>
      </w:r>
      <w:r w:rsidRPr="00306E63">
        <w:rPr>
          <w:rFonts w:cstheme="minorHAnsi"/>
          <w:sz w:val="20"/>
          <w:szCs w:val="20"/>
        </w:rPr>
        <w:t>racovní skupina RVIS pro jednací řízení bez uveřejnění“ k</w:t>
      </w:r>
      <w:r>
        <w:rPr>
          <w:rFonts w:cstheme="minorHAnsi"/>
          <w:sz w:val="20"/>
          <w:szCs w:val="20"/>
        </w:rPr>
        <w:t> </w:t>
      </w:r>
      <w:r w:rsidRPr="00306E63">
        <w:rPr>
          <w:rFonts w:cstheme="minorHAnsi"/>
          <w:sz w:val="20"/>
          <w:szCs w:val="20"/>
        </w:rPr>
        <w:t>projednávání záměrů veřejných zakázek z oblasti informačních a komunikačních technologií (ICT) podle ustanovení § 23 zákona č.</w:t>
      </w:r>
      <w:r>
        <w:rPr>
          <w:rFonts w:cstheme="minorHAnsi"/>
          <w:sz w:val="20"/>
          <w:szCs w:val="20"/>
        </w:rPr>
        <w:t> </w:t>
      </w:r>
      <w:r w:rsidRPr="00306E63">
        <w:rPr>
          <w:rFonts w:cstheme="minorHAnsi"/>
          <w:sz w:val="20"/>
          <w:szCs w:val="20"/>
        </w:rPr>
        <w:t>137/2006</w:t>
      </w:r>
      <w:r>
        <w:rPr>
          <w:rFonts w:cstheme="minorHAnsi"/>
          <w:sz w:val="20"/>
          <w:szCs w:val="20"/>
        </w:rPr>
        <w:t> </w:t>
      </w:r>
      <w:r w:rsidRPr="00306E63">
        <w:rPr>
          <w:rFonts w:cstheme="minorHAnsi"/>
          <w:sz w:val="20"/>
          <w:szCs w:val="20"/>
        </w:rPr>
        <w:t>Sb., o</w:t>
      </w:r>
      <w:r>
        <w:rPr>
          <w:rFonts w:cstheme="minorHAnsi"/>
          <w:sz w:val="20"/>
          <w:szCs w:val="20"/>
        </w:rPr>
        <w:t> </w:t>
      </w:r>
      <w:r w:rsidRPr="00306E63">
        <w:rPr>
          <w:rFonts w:cstheme="minorHAnsi"/>
          <w:sz w:val="20"/>
          <w:szCs w:val="20"/>
        </w:rPr>
        <w:t>veřejných zakázkách</w:t>
      </w:r>
      <w:r>
        <w:rPr>
          <w:rFonts w:cstheme="minorHAnsi"/>
          <w:sz w:val="20"/>
          <w:szCs w:val="20"/>
        </w:rPr>
        <w:t>,</w:t>
      </w:r>
      <w:r w:rsidRPr="00306E63">
        <w:rPr>
          <w:rFonts w:cstheme="minorHAnsi"/>
          <w:sz w:val="20"/>
          <w:szCs w:val="20"/>
        </w:rPr>
        <w:t xml:space="preserve"> ve znění pozdějších předpisů, zda byly splněny podmínky použití JŘBU.</w:t>
      </w:r>
      <w:r>
        <w:rPr>
          <w:rFonts w:cstheme="minorHAnsi"/>
          <w:sz w:val="20"/>
          <w:szCs w:val="20"/>
        </w:rPr>
        <w:t xml:space="preserve"> RVIS zaslal ÚZSVM své stanovisko dne 5. května 2016.</w:t>
      </w:r>
    </w:p>
  </w:footnote>
  <w:footnote w:id="24">
    <w:p w14:paraId="35A11C38" w14:textId="0098FB01" w:rsidR="008659E4" w:rsidRPr="00FD578E" w:rsidRDefault="008659E4" w:rsidP="00431594">
      <w:pPr>
        <w:pStyle w:val="Textpoznpodarou"/>
        <w:ind w:left="284" w:hanging="284"/>
        <w:rPr>
          <w:rFonts w:asciiTheme="minorHAnsi" w:hAnsiTheme="minorHAnsi" w:cstheme="minorHAnsi"/>
        </w:rPr>
      </w:pPr>
      <w:r w:rsidRPr="00FD578E">
        <w:rPr>
          <w:rStyle w:val="Znakapoznpodarou"/>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ab/>
        <w:t>V</w:t>
      </w:r>
      <w:r w:rsidRPr="00FD578E">
        <w:rPr>
          <w:rFonts w:asciiTheme="minorHAnsi" w:hAnsiTheme="minorHAnsi" w:cstheme="minorHAnsi"/>
        </w:rPr>
        <w:t xml:space="preserve">yjma </w:t>
      </w:r>
      <w:r>
        <w:rPr>
          <w:rFonts w:asciiTheme="minorHAnsi" w:hAnsiTheme="minorHAnsi" w:cstheme="minorHAnsi"/>
        </w:rPr>
        <w:t>cílů, které jsou spojeny s plněním podmínek účasti státního rozpočtu na financování programů reprodukce majetku.</w:t>
      </w:r>
    </w:p>
  </w:footnote>
  <w:footnote w:id="25">
    <w:p w14:paraId="598AAE45" w14:textId="6537D3FF" w:rsidR="008659E4" w:rsidRPr="00F8635D" w:rsidRDefault="008659E4" w:rsidP="00791FB1">
      <w:pPr>
        <w:pStyle w:val="Textpoznpodarou"/>
        <w:tabs>
          <w:tab w:val="left" w:pos="284"/>
        </w:tabs>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Pr>
          <w:rFonts w:asciiTheme="minorHAnsi" w:hAnsiTheme="minorHAnsi" w:cstheme="minorHAnsi"/>
        </w:rPr>
        <w:tab/>
      </w:r>
      <w:r w:rsidRPr="00032FE5">
        <w:rPr>
          <w:rFonts w:asciiTheme="minorHAnsi" w:hAnsiTheme="minorHAnsi" w:cstheme="minorHAnsi"/>
        </w:rPr>
        <w:t>Ustanovení § 39 odst. 3 zákona č. 218/2000 Sb.</w:t>
      </w:r>
    </w:p>
  </w:footnote>
  <w:footnote w:id="26">
    <w:p w14:paraId="0DEA212A" w14:textId="76D98A96" w:rsidR="008659E4" w:rsidRPr="00DD3A88" w:rsidRDefault="008659E4" w:rsidP="00431594">
      <w:pPr>
        <w:pStyle w:val="Textpoznpodarou"/>
        <w:ind w:left="284" w:hanging="284"/>
        <w:rPr>
          <w:rFonts w:asciiTheme="minorHAnsi" w:hAnsiTheme="minorHAnsi" w:cstheme="minorHAnsi"/>
        </w:rPr>
      </w:pPr>
      <w:r w:rsidRPr="00DD3A88">
        <w:rPr>
          <w:rStyle w:val="Znakapoznpodarou"/>
          <w:rFonts w:asciiTheme="minorHAnsi" w:hAnsiTheme="minorHAnsi" w:cstheme="minorHAnsi"/>
        </w:rPr>
        <w:footnoteRef/>
      </w:r>
      <w:r w:rsidRPr="00DD3A88">
        <w:rPr>
          <w:rFonts w:asciiTheme="minorHAnsi" w:hAnsiTheme="minorHAnsi" w:cstheme="minorHAnsi"/>
        </w:rPr>
        <w:t xml:space="preserve"> </w:t>
      </w:r>
      <w:r>
        <w:rPr>
          <w:rFonts w:asciiTheme="minorHAnsi" w:hAnsiTheme="minorHAnsi" w:cstheme="minorHAnsi"/>
        </w:rPr>
        <w:tab/>
        <w:t>U</w:t>
      </w:r>
      <w:r w:rsidRPr="00DD3A88">
        <w:rPr>
          <w:rFonts w:asciiTheme="minorHAnsi" w:hAnsiTheme="minorHAnsi" w:cstheme="minorHAnsi"/>
        </w:rPr>
        <w:t xml:space="preserve">stanovení § 14 </w:t>
      </w:r>
      <w:r>
        <w:rPr>
          <w:rFonts w:asciiTheme="minorHAnsi" w:hAnsiTheme="minorHAnsi" w:cstheme="minorHAnsi"/>
        </w:rPr>
        <w:t xml:space="preserve">odst. 1 </w:t>
      </w:r>
      <w:r w:rsidRPr="00DD3A88">
        <w:rPr>
          <w:rFonts w:asciiTheme="minorHAnsi" w:hAnsiTheme="minorHAnsi" w:cstheme="minorHAnsi"/>
        </w:rPr>
        <w:t>zákona č. 219/2000 Sb.</w:t>
      </w:r>
    </w:p>
  </w:footnote>
  <w:footnote w:id="27">
    <w:p w14:paraId="5AF596C6" w14:textId="2666AE64" w:rsidR="008659E4" w:rsidRDefault="008659E4" w:rsidP="00431594">
      <w:pPr>
        <w:pStyle w:val="Textpoznpodarou"/>
        <w:ind w:left="284" w:hanging="284"/>
      </w:pPr>
      <w:r w:rsidRPr="00DD3A88">
        <w:rPr>
          <w:rStyle w:val="Znakapoznpodarou"/>
          <w:rFonts w:asciiTheme="minorHAnsi" w:hAnsiTheme="minorHAnsi" w:cstheme="minorHAnsi"/>
        </w:rPr>
        <w:footnoteRef/>
      </w:r>
      <w:r w:rsidRPr="00DD3A88">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szCs w:val="24"/>
        </w:rPr>
        <w:t>U</w:t>
      </w:r>
      <w:r w:rsidRPr="004C0B14">
        <w:rPr>
          <w:rFonts w:asciiTheme="minorHAnsi" w:hAnsiTheme="minorHAnsi" w:cstheme="minorHAnsi"/>
          <w:szCs w:val="24"/>
        </w:rPr>
        <w:t>stanovení § 9 a § 5</w:t>
      </w:r>
      <w:r>
        <w:rPr>
          <w:rFonts w:asciiTheme="minorHAnsi" w:hAnsiTheme="minorHAnsi" w:cstheme="minorHAnsi"/>
          <w:szCs w:val="24"/>
        </w:rPr>
        <w:t>5</w:t>
      </w:r>
      <w:r w:rsidRPr="004C0B14">
        <w:rPr>
          <w:rFonts w:asciiTheme="minorHAnsi" w:hAnsiTheme="minorHAnsi" w:cstheme="minorHAnsi"/>
          <w:szCs w:val="24"/>
        </w:rPr>
        <w:t xml:space="preserve"> zákona č. 219/2000 Sb.</w:t>
      </w:r>
    </w:p>
  </w:footnote>
  <w:footnote w:id="28">
    <w:p w14:paraId="2537FB53" w14:textId="10F0DD72" w:rsidR="008659E4" w:rsidRPr="00910674" w:rsidRDefault="008659E4" w:rsidP="00431594">
      <w:pPr>
        <w:pStyle w:val="Textpoznpodarou"/>
        <w:ind w:left="284" w:hanging="284"/>
        <w:rPr>
          <w:rFonts w:asciiTheme="minorHAnsi" w:hAnsiTheme="minorHAnsi" w:cstheme="minorHAnsi"/>
        </w:rPr>
      </w:pPr>
      <w:r w:rsidRPr="00910674">
        <w:rPr>
          <w:rStyle w:val="Znakapoznpodarou"/>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ab/>
        <w:t>Administrativní objekty jsou objekty s účelem užití (třetí úroveň) b</w:t>
      </w:r>
      <w:r w:rsidRPr="00910674">
        <w:rPr>
          <w:rFonts w:asciiTheme="minorHAnsi" w:hAnsiTheme="minorHAnsi" w:cstheme="minorHAnsi"/>
        </w:rPr>
        <w:t xml:space="preserve">udovy veřejné správy </w:t>
      </w:r>
      <w:r>
        <w:rPr>
          <w:rFonts w:asciiTheme="minorHAnsi" w:hAnsiTheme="minorHAnsi" w:cstheme="minorHAnsi"/>
        </w:rPr>
        <w:t>nebo b</w:t>
      </w:r>
      <w:r w:rsidRPr="00910674">
        <w:rPr>
          <w:rFonts w:asciiTheme="minorHAnsi" w:hAnsiTheme="minorHAnsi" w:cstheme="minorHAnsi"/>
        </w:rPr>
        <w:t xml:space="preserve">udovy administrativní ostatní </w:t>
      </w:r>
      <w:r>
        <w:rPr>
          <w:rFonts w:asciiTheme="minorHAnsi" w:hAnsiTheme="minorHAnsi" w:cstheme="minorHAnsi"/>
        </w:rPr>
        <w:t>dle klasifikace stavebních děl (CZ-CC).</w:t>
      </w:r>
    </w:p>
  </w:footnote>
  <w:footnote w:id="29">
    <w:p w14:paraId="6B64BFF7" w14:textId="3CF5AC73" w:rsidR="008659E4" w:rsidRPr="00942732" w:rsidRDefault="008659E4" w:rsidP="00942732">
      <w:pPr>
        <w:pStyle w:val="Textpoznpodarou"/>
        <w:tabs>
          <w:tab w:val="left" w:pos="284"/>
        </w:tabs>
        <w:ind w:left="284" w:hanging="284"/>
        <w:rPr>
          <w:rFonts w:asciiTheme="minorHAnsi" w:hAnsiTheme="minorHAnsi"/>
        </w:rPr>
      </w:pPr>
      <w:r w:rsidRPr="00942732">
        <w:rPr>
          <w:rStyle w:val="Znakapoznpodarou"/>
          <w:rFonts w:asciiTheme="minorHAnsi" w:hAnsiTheme="minorHAnsi"/>
        </w:rPr>
        <w:footnoteRef/>
      </w:r>
      <w:r w:rsidRPr="00942732">
        <w:rPr>
          <w:rFonts w:asciiTheme="minorHAnsi" w:hAnsiTheme="minorHAnsi"/>
        </w:rPr>
        <w:t xml:space="preserve"> </w:t>
      </w:r>
      <w:r>
        <w:rPr>
          <w:rFonts w:asciiTheme="minorHAnsi" w:hAnsiTheme="minorHAnsi"/>
        </w:rPr>
        <w:tab/>
      </w:r>
      <w:r w:rsidRPr="00942732">
        <w:rPr>
          <w:rFonts w:asciiTheme="minorHAnsi" w:hAnsiTheme="minorHAnsi"/>
        </w:rPr>
        <w:t xml:space="preserve">Dle údajů evidovaných v CRAB za rok 2015 mělo největší podíl </w:t>
      </w:r>
      <w:r>
        <w:rPr>
          <w:rFonts w:asciiTheme="minorHAnsi" w:hAnsiTheme="minorHAnsi"/>
        </w:rPr>
        <w:t>na celkové ploše objektů MV, a to 25 %.</w:t>
      </w:r>
    </w:p>
  </w:footnote>
  <w:footnote w:id="30">
    <w:p w14:paraId="1B8C7742" w14:textId="04D30926" w:rsidR="008659E4" w:rsidRPr="00E026BD" w:rsidRDefault="008659E4" w:rsidP="00426815">
      <w:pPr>
        <w:pStyle w:val="Textpoznpodarou"/>
        <w:ind w:left="284" w:hanging="284"/>
        <w:rPr>
          <w:rFonts w:asciiTheme="minorHAnsi" w:hAnsiTheme="minorHAnsi"/>
        </w:rPr>
      </w:pPr>
      <w:r w:rsidRPr="00E026BD">
        <w:rPr>
          <w:rStyle w:val="Znakapoznpodarou"/>
          <w:rFonts w:asciiTheme="minorHAnsi" w:hAnsiTheme="minorHAnsi"/>
        </w:rPr>
        <w:footnoteRef/>
      </w:r>
      <w:r w:rsidRPr="00E026BD">
        <w:rPr>
          <w:rFonts w:asciiTheme="minorHAnsi" w:hAnsiTheme="minorHAnsi"/>
        </w:rPr>
        <w:t xml:space="preserve"> </w:t>
      </w:r>
      <w:r>
        <w:rPr>
          <w:rFonts w:asciiTheme="minorHAnsi" w:hAnsiTheme="minorHAnsi"/>
        </w:rPr>
        <w:tab/>
        <w:t>Zpráva byla schválena usnesením vlády ČR ze</w:t>
      </w:r>
      <w:r w:rsidRPr="00E026BD">
        <w:rPr>
          <w:rFonts w:asciiTheme="minorHAnsi" w:hAnsiTheme="minorHAnsi"/>
        </w:rPr>
        <w:t xml:space="preserve"> dne 27. února 2017</w:t>
      </w:r>
      <w:r>
        <w:rPr>
          <w:rFonts w:asciiTheme="minorHAnsi" w:hAnsiTheme="minorHAnsi"/>
        </w:rPr>
        <w:t xml:space="preserve"> č. 158, </w:t>
      </w:r>
      <w:r w:rsidRPr="00702837">
        <w:rPr>
          <w:rFonts w:asciiTheme="minorHAnsi" w:hAnsiTheme="minorHAnsi"/>
          <w:i/>
        </w:rPr>
        <w:t>ke Zprávě o stavu dosahování národních cílů v oblasti energetické účinnosti</w:t>
      </w:r>
      <w:r>
        <w:rPr>
          <w:rFonts w:asciiTheme="minorHAnsi" w:hAnsiTheme="minorHAnsi"/>
        </w:rPr>
        <w:t>.</w:t>
      </w:r>
    </w:p>
  </w:footnote>
  <w:footnote w:id="31">
    <w:p w14:paraId="7F3650F2" w14:textId="036C1DF5" w:rsidR="008659E4" w:rsidRPr="00E93F1B" w:rsidRDefault="008659E4" w:rsidP="00354CD6">
      <w:pPr>
        <w:autoSpaceDE w:val="0"/>
        <w:autoSpaceDN w:val="0"/>
        <w:adjustRightInd w:val="0"/>
        <w:spacing w:after="0" w:line="240" w:lineRule="auto"/>
        <w:ind w:left="284" w:hanging="284"/>
        <w:rPr>
          <w:rFonts w:cstheme="minorHAnsi"/>
          <w:sz w:val="20"/>
          <w:szCs w:val="20"/>
        </w:rPr>
      </w:pPr>
      <w:r w:rsidRPr="00E93F1B">
        <w:rPr>
          <w:rStyle w:val="Znakapoznpodarou"/>
          <w:rFonts w:cstheme="minorHAnsi"/>
          <w:sz w:val="20"/>
          <w:szCs w:val="20"/>
        </w:rPr>
        <w:footnoteRef/>
      </w:r>
      <w:r w:rsidRPr="00E93F1B">
        <w:rPr>
          <w:rFonts w:cstheme="minorHAnsi"/>
          <w:sz w:val="20"/>
          <w:szCs w:val="20"/>
        </w:rPr>
        <w:t xml:space="preserve"> </w:t>
      </w:r>
      <w:r>
        <w:rPr>
          <w:rFonts w:cstheme="minorHAnsi"/>
          <w:sz w:val="20"/>
          <w:szCs w:val="20"/>
        </w:rPr>
        <w:tab/>
      </w:r>
      <w:r w:rsidRPr="00E93F1B">
        <w:rPr>
          <w:rFonts w:cstheme="minorHAnsi"/>
          <w:sz w:val="20"/>
          <w:szCs w:val="20"/>
        </w:rPr>
        <w:t>Článek 5 směrnice Evropského parlamentu a rady 2012/27/EU ze dne 25. října 2012</w:t>
      </w:r>
      <w:r>
        <w:rPr>
          <w:rFonts w:cstheme="minorHAnsi"/>
          <w:sz w:val="20"/>
          <w:szCs w:val="20"/>
        </w:rPr>
        <w:t>,</w:t>
      </w:r>
      <w:r w:rsidRPr="00E93F1B">
        <w:rPr>
          <w:rFonts w:cstheme="minorHAnsi"/>
          <w:sz w:val="20"/>
          <w:szCs w:val="20"/>
        </w:rPr>
        <w:t xml:space="preserve"> o energetické</w:t>
      </w:r>
      <w:r>
        <w:rPr>
          <w:rFonts w:cstheme="minorHAnsi"/>
          <w:sz w:val="20"/>
          <w:szCs w:val="20"/>
        </w:rPr>
        <w:t xml:space="preserve"> </w:t>
      </w:r>
      <w:r w:rsidRPr="00E93F1B">
        <w:rPr>
          <w:rFonts w:cstheme="minorHAnsi"/>
          <w:sz w:val="20"/>
          <w:szCs w:val="20"/>
        </w:rPr>
        <w:t>účinnosti</w:t>
      </w:r>
      <w:r>
        <w:rPr>
          <w:rFonts w:cstheme="minorHAnsi"/>
          <w:sz w:val="20"/>
          <w:szCs w:val="20"/>
        </w:rPr>
        <w:t>,</w:t>
      </w:r>
      <w:r w:rsidRPr="00E93F1B">
        <w:rPr>
          <w:rFonts w:cstheme="minorHAnsi"/>
          <w:sz w:val="20"/>
          <w:szCs w:val="20"/>
        </w:rPr>
        <w:t xml:space="preserve"> stanoví povinnost členským státům zajistit, aby byla počínaje 1. lednem</w:t>
      </w:r>
      <w:r>
        <w:rPr>
          <w:rFonts w:cstheme="minorHAnsi"/>
          <w:sz w:val="20"/>
          <w:szCs w:val="20"/>
        </w:rPr>
        <w:t xml:space="preserve"> </w:t>
      </w:r>
      <w:r w:rsidRPr="00E93F1B">
        <w:rPr>
          <w:rFonts w:cstheme="minorHAnsi"/>
          <w:sz w:val="20"/>
          <w:szCs w:val="20"/>
        </w:rPr>
        <w:t>2014 každoročně renovována 3</w:t>
      </w:r>
      <w:r>
        <w:rPr>
          <w:rFonts w:cstheme="minorHAnsi"/>
          <w:sz w:val="20"/>
          <w:szCs w:val="20"/>
        </w:rPr>
        <w:t> </w:t>
      </w:r>
      <w:r w:rsidRPr="00E93F1B">
        <w:rPr>
          <w:rFonts w:cstheme="minorHAnsi"/>
          <w:sz w:val="20"/>
          <w:szCs w:val="20"/>
        </w:rPr>
        <w:t>% celkové podlahové plochy vytápěných nebo chlazených budov ve</w:t>
      </w:r>
      <w:r>
        <w:rPr>
          <w:rFonts w:cstheme="minorHAnsi"/>
          <w:sz w:val="20"/>
          <w:szCs w:val="20"/>
        </w:rPr>
        <w:t xml:space="preserve"> </w:t>
      </w:r>
      <w:r w:rsidRPr="00E93F1B">
        <w:rPr>
          <w:rFonts w:cstheme="minorHAnsi"/>
          <w:sz w:val="20"/>
          <w:szCs w:val="20"/>
        </w:rPr>
        <w:t>vlastnictví a v užívání jeho ústředních vládních institucí s cílem splnit alespoň minimální požadavky na</w:t>
      </w:r>
      <w:r>
        <w:rPr>
          <w:rFonts w:cstheme="minorHAnsi"/>
          <w:sz w:val="20"/>
          <w:szCs w:val="20"/>
        </w:rPr>
        <w:t xml:space="preserve"> </w:t>
      </w:r>
      <w:r w:rsidRPr="00E93F1B">
        <w:rPr>
          <w:rFonts w:cstheme="minorHAnsi"/>
          <w:sz w:val="20"/>
          <w:szCs w:val="20"/>
        </w:rPr>
        <w:t xml:space="preserve">energetickou náročnost. </w:t>
      </w:r>
      <w:r>
        <w:rPr>
          <w:rFonts w:cstheme="minorHAnsi"/>
          <w:sz w:val="20"/>
          <w:szCs w:val="20"/>
        </w:rPr>
        <w:t xml:space="preserve">V ČR by měl být cíl dosažen alternativním způsobem, tj. </w:t>
      </w:r>
      <w:r w:rsidRPr="00652FB5">
        <w:rPr>
          <w:rFonts w:cstheme="minorHAnsi"/>
          <w:sz w:val="20"/>
          <w:szCs w:val="20"/>
        </w:rPr>
        <w:t>výše úspor energie musí odpovídat úsporám energie, k</w:t>
      </w:r>
      <w:r>
        <w:rPr>
          <w:rFonts w:cstheme="minorHAnsi"/>
          <w:sz w:val="20"/>
          <w:szCs w:val="20"/>
        </w:rPr>
        <w:t xml:space="preserve">terých by se dosáhlo každoroční </w:t>
      </w:r>
      <w:r w:rsidRPr="00652FB5">
        <w:rPr>
          <w:rFonts w:cstheme="minorHAnsi"/>
          <w:sz w:val="20"/>
          <w:szCs w:val="20"/>
        </w:rPr>
        <w:t>renovací 3</w:t>
      </w:r>
      <w:r>
        <w:rPr>
          <w:rFonts w:cstheme="minorHAnsi"/>
          <w:sz w:val="20"/>
          <w:szCs w:val="20"/>
        </w:rPr>
        <w:t> </w:t>
      </w:r>
      <w:r w:rsidRPr="00652FB5">
        <w:rPr>
          <w:rFonts w:cstheme="minorHAnsi"/>
          <w:sz w:val="20"/>
          <w:szCs w:val="20"/>
        </w:rPr>
        <w:t>% podlahové plochy fondu nevyhovujících budov</w:t>
      </w:r>
      <w:r>
        <w:rPr>
          <w:rFonts w:cstheme="minorHAnsi"/>
          <w:sz w:val="20"/>
          <w:szCs w:val="20"/>
        </w:rPr>
        <w:t>. M</w:t>
      </w:r>
      <w:r w:rsidRPr="00A21FFD">
        <w:rPr>
          <w:rFonts w:cstheme="minorHAnsi"/>
          <w:sz w:val="20"/>
          <w:szCs w:val="20"/>
        </w:rPr>
        <w:t>inimální požadavky na</w:t>
      </w:r>
      <w:r>
        <w:rPr>
          <w:rFonts w:cstheme="minorHAnsi"/>
          <w:sz w:val="20"/>
          <w:szCs w:val="20"/>
        </w:rPr>
        <w:t xml:space="preserve"> </w:t>
      </w:r>
      <w:r w:rsidRPr="00A21FFD">
        <w:rPr>
          <w:rFonts w:cstheme="minorHAnsi"/>
          <w:sz w:val="20"/>
          <w:szCs w:val="20"/>
        </w:rPr>
        <w:t>energetickou</w:t>
      </w:r>
      <w:r>
        <w:rPr>
          <w:rFonts w:cstheme="minorHAnsi"/>
          <w:sz w:val="20"/>
          <w:szCs w:val="20"/>
        </w:rPr>
        <w:t xml:space="preserve"> náročnost budovy jsou splněny, </w:t>
      </w:r>
      <w:r w:rsidRPr="00A21FFD">
        <w:rPr>
          <w:rFonts w:cstheme="minorHAnsi"/>
          <w:sz w:val="20"/>
          <w:szCs w:val="20"/>
        </w:rPr>
        <w:t xml:space="preserve">má-li budova </w:t>
      </w:r>
      <w:r>
        <w:rPr>
          <w:rFonts w:cstheme="minorHAnsi"/>
          <w:sz w:val="20"/>
          <w:szCs w:val="20"/>
        </w:rPr>
        <w:t xml:space="preserve">klasifikační třídu </w:t>
      </w:r>
      <w:r w:rsidRPr="00A21FFD">
        <w:rPr>
          <w:rFonts w:cstheme="minorHAnsi"/>
          <w:sz w:val="20"/>
          <w:szCs w:val="20"/>
        </w:rPr>
        <w:t>energetické náročnosti C</w:t>
      </w:r>
      <w:r>
        <w:rPr>
          <w:rFonts w:cstheme="minorHAnsi"/>
          <w:sz w:val="20"/>
          <w:szCs w:val="20"/>
        </w:rPr>
        <w:t xml:space="preserve"> – úsporná.</w:t>
      </w:r>
    </w:p>
  </w:footnote>
  <w:footnote w:id="32">
    <w:p w14:paraId="7275D7B3" w14:textId="65C5F4AD" w:rsidR="008659E4" w:rsidRPr="006017FF" w:rsidRDefault="008659E4" w:rsidP="00431594">
      <w:pPr>
        <w:pStyle w:val="Textpoznpodarou"/>
        <w:ind w:left="284" w:hanging="284"/>
        <w:rPr>
          <w:rFonts w:asciiTheme="minorHAnsi" w:hAnsiTheme="minorHAnsi" w:cstheme="minorHAnsi"/>
          <w:bCs/>
        </w:rPr>
      </w:pPr>
      <w:r w:rsidRPr="006017FF">
        <w:rPr>
          <w:rStyle w:val="Znakapoznpodarou"/>
          <w:rFonts w:asciiTheme="minorHAnsi" w:hAnsiTheme="minorHAnsi" w:cstheme="minorHAnsi"/>
        </w:rPr>
        <w:footnoteRef/>
      </w:r>
      <w:r w:rsidRPr="006017FF">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bCs/>
        </w:rPr>
        <w:t>Č</w:t>
      </w:r>
      <w:r w:rsidRPr="006017FF">
        <w:rPr>
          <w:rFonts w:asciiTheme="minorHAnsi" w:hAnsiTheme="minorHAnsi" w:cstheme="minorHAnsi"/>
          <w:bCs/>
        </w:rPr>
        <w:t>íslo projektu CZ.1.06/1.1.00/07.06404. V rámci projektu SEPIe byly vynakládány peněžní prostředky na</w:t>
      </w:r>
      <w:r>
        <w:rPr>
          <w:rFonts w:asciiTheme="minorHAnsi" w:hAnsiTheme="minorHAnsi" w:cstheme="minorHAnsi"/>
          <w:bCs/>
        </w:rPr>
        <w:t xml:space="preserve"> </w:t>
      </w:r>
      <w:r w:rsidRPr="006017FF">
        <w:rPr>
          <w:rFonts w:asciiTheme="minorHAnsi" w:hAnsiTheme="minorHAnsi" w:cstheme="minorHAnsi"/>
          <w:bCs/>
        </w:rPr>
        <w:t>modernizaci a rozšíření funkcionality EKIS.</w:t>
      </w:r>
    </w:p>
  </w:footnote>
  <w:footnote w:id="33">
    <w:p w14:paraId="2212A8BB" w14:textId="7AD6E8E3" w:rsidR="008659E4" w:rsidRPr="006017FF" w:rsidRDefault="008659E4" w:rsidP="00431594">
      <w:pPr>
        <w:pStyle w:val="Textpoznpodarou"/>
        <w:ind w:left="284" w:hanging="284"/>
        <w:rPr>
          <w:rFonts w:asciiTheme="minorHAnsi" w:hAnsiTheme="minorHAnsi" w:cstheme="minorHAnsi"/>
        </w:rPr>
      </w:pPr>
      <w:r w:rsidRPr="006017FF">
        <w:rPr>
          <w:rStyle w:val="Znakapoznpodarou"/>
          <w:rFonts w:asciiTheme="minorHAnsi" w:hAnsiTheme="minorHAnsi" w:cstheme="minorHAnsi"/>
        </w:rPr>
        <w:footnoteRef/>
      </w:r>
      <w:r w:rsidRPr="006017FF">
        <w:rPr>
          <w:rFonts w:asciiTheme="minorHAnsi" w:hAnsiTheme="minorHAnsi" w:cstheme="minorHAnsi"/>
        </w:rPr>
        <w:t xml:space="preserve"> </w:t>
      </w:r>
      <w:r>
        <w:rPr>
          <w:rFonts w:asciiTheme="minorHAnsi" w:hAnsiTheme="minorHAnsi" w:cstheme="minorHAnsi"/>
        </w:rPr>
        <w:tab/>
      </w:r>
      <w:r w:rsidRPr="006017FF">
        <w:rPr>
          <w:rFonts w:asciiTheme="minorHAnsi" w:hAnsiTheme="minorHAnsi" w:cstheme="minorHAnsi"/>
        </w:rPr>
        <w:t>Za administrativní budovy jsou považovány objekty označené v REM jako administrativní budovy, obvodní oddělení policie a referáty cizinecké policie, tedy objekty zadávané do CRAB. Za administrativní budovu MV považovalo objekt, ve kterém převážn</w:t>
      </w:r>
      <w:r>
        <w:rPr>
          <w:rFonts w:asciiTheme="minorHAnsi" w:hAnsiTheme="minorHAnsi" w:cstheme="minorHAnsi"/>
        </w:rPr>
        <w:t>ě</w:t>
      </w:r>
      <w:r w:rsidRPr="006017FF">
        <w:rPr>
          <w:rFonts w:asciiTheme="minorHAnsi" w:hAnsiTheme="minorHAnsi" w:cstheme="minorHAnsi"/>
        </w:rPr>
        <w:t xml:space="preserve"> probíh</w:t>
      </w:r>
      <w:r>
        <w:rPr>
          <w:rFonts w:asciiTheme="minorHAnsi" w:hAnsiTheme="minorHAnsi" w:cstheme="minorHAnsi"/>
        </w:rPr>
        <w:t>ají</w:t>
      </w:r>
      <w:r w:rsidRPr="006017FF">
        <w:rPr>
          <w:rFonts w:asciiTheme="minorHAnsi" w:hAnsiTheme="minorHAnsi" w:cstheme="minorHAnsi"/>
        </w:rPr>
        <w:t xml:space="preserve"> administrativní činnosti.</w:t>
      </w:r>
    </w:p>
  </w:footnote>
  <w:footnote w:id="34">
    <w:p w14:paraId="5610076E" w14:textId="764EE659" w:rsidR="008659E4" w:rsidRPr="006017FF" w:rsidRDefault="008659E4" w:rsidP="00431594">
      <w:pPr>
        <w:pStyle w:val="Textpoznpodarou"/>
        <w:ind w:left="284" w:hanging="284"/>
        <w:rPr>
          <w:rFonts w:asciiTheme="minorHAnsi" w:hAnsiTheme="minorHAnsi" w:cstheme="minorHAnsi"/>
        </w:rPr>
      </w:pPr>
      <w:r w:rsidRPr="006017FF">
        <w:rPr>
          <w:rStyle w:val="Znakapoznpodarou"/>
          <w:rFonts w:asciiTheme="minorHAnsi" w:hAnsiTheme="minorHAnsi" w:cstheme="minorHAnsi"/>
        </w:rPr>
        <w:footnoteRef/>
      </w:r>
      <w:r w:rsidRPr="006017FF">
        <w:rPr>
          <w:rFonts w:asciiTheme="minorHAnsi" w:hAnsiTheme="minorHAnsi" w:cstheme="minorHAnsi"/>
        </w:rPr>
        <w:t xml:space="preserve"> </w:t>
      </w:r>
      <w:r>
        <w:rPr>
          <w:rFonts w:asciiTheme="minorHAnsi" w:hAnsiTheme="minorHAnsi" w:cstheme="minorHAnsi"/>
        </w:rPr>
        <w:tab/>
      </w:r>
      <w:r w:rsidRPr="006017FF">
        <w:rPr>
          <w:rFonts w:asciiTheme="minorHAnsi" w:hAnsiTheme="minorHAnsi" w:cstheme="minorHAnsi"/>
        </w:rPr>
        <w:t>Výdaje na licence a implementační služby vynaložené v souvislosti s REM činily 58 mil. Kč.</w:t>
      </w:r>
    </w:p>
  </w:footnote>
  <w:footnote w:id="35">
    <w:p w14:paraId="1314CC98" w14:textId="19F5F65F" w:rsidR="008659E4" w:rsidRPr="006017FF" w:rsidRDefault="008659E4" w:rsidP="00431594">
      <w:pPr>
        <w:pStyle w:val="Textpoznpodarou"/>
        <w:ind w:left="284" w:hanging="284"/>
        <w:rPr>
          <w:rFonts w:asciiTheme="minorHAnsi" w:hAnsiTheme="minorHAnsi" w:cstheme="minorHAnsi"/>
        </w:rPr>
      </w:pPr>
      <w:r w:rsidRPr="006017FF">
        <w:rPr>
          <w:rStyle w:val="Znakapoznpodarou"/>
          <w:rFonts w:asciiTheme="minorHAnsi" w:hAnsiTheme="minorHAnsi" w:cstheme="minorHAnsi"/>
        </w:rPr>
        <w:footnoteRef/>
      </w:r>
      <w:r w:rsidRPr="006017FF">
        <w:rPr>
          <w:rFonts w:asciiTheme="minorHAnsi" w:hAnsiTheme="minorHAnsi" w:cstheme="minorHAnsi"/>
        </w:rPr>
        <w:t xml:space="preserve"> </w:t>
      </w:r>
      <w:r>
        <w:rPr>
          <w:rFonts w:asciiTheme="minorHAnsi" w:hAnsiTheme="minorHAnsi" w:cstheme="minorHAnsi"/>
        </w:rPr>
        <w:tab/>
      </w:r>
      <w:r w:rsidRPr="006017FF">
        <w:rPr>
          <w:rFonts w:asciiTheme="minorHAnsi" w:hAnsiTheme="minorHAnsi" w:cstheme="minorHAnsi"/>
        </w:rPr>
        <w:t>Pro analýzu údajů byl využit náhled pro export dat do CRAB. Není zde zahrnuto 126 areálů s citlivými údaji. Dále zde nejsou zahrnuty objekty ZSMV a instituce v resortu MV, které neměly žádný nemovitý majetek nebo nepoužívaly REM.</w:t>
      </w:r>
    </w:p>
  </w:footnote>
  <w:footnote w:id="36">
    <w:p w14:paraId="683817A4" w14:textId="21AB79A2" w:rsidR="008659E4" w:rsidRPr="003317E8" w:rsidRDefault="008659E4" w:rsidP="00431594">
      <w:pPr>
        <w:pStyle w:val="Textpoznpodarou"/>
        <w:ind w:left="284" w:hanging="284"/>
        <w:rPr>
          <w:rFonts w:asciiTheme="minorHAnsi" w:hAnsiTheme="minorHAnsi" w:cstheme="minorHAnsi"/>
        </w:rPr>
      </w:pPr>
      <w:r w:rsidRPr="006017FF">
        <w:rPr>
          <w:rStyle w:val="Znakapoznpodarou"/>
          <w:rFonts w:asciiTheme="minorHAnsi" w:hAnsiTheme="minorHAnsi" w:cstheme="minorHAnsi"/>
        </w:rPr>
        <w:footnoteRef/>
      </w:r>
      <w:r w:rsidRPr="006017FF">
        <w:rPr>
          <w:rFonts w:asciiTheme="minorHAnsi" w:hAnsiTheme="minorHAnsi" w:cstheme="minorHAnsi"/>
        </w:rPr>
        <w:t xml:space="preserve"> </w:t>
      </w:r>
      <w:r>
        <w:rPr>
          <w:rFonts w:asciiTheme="minorHAnsi" w:hAnsiTheme="minorHAnsi" w:cstheme="minorHAnsi"/>
        </w:rPr>
        <w:tab/>
      </w:r>
      <w:r w:rsidRPr="006017FF">
        <w:rPr>
          <w:rFonts w:asciiTheme="minorHAnsi" w:hAnsiTheme="minorHAnsi" w:cstheme="minorHAnsi"/>
        </w:rPr>
        <w:t>Vlastnictvím se rozumí příslušnost státních institucí hospodařit s majetkem státu ve smyslu § 9 a § 5</w:t>
      </w:r>
      <w:r>
        <w:rPr>
          <w:rFonts w:asciiTheme="minorHAnsi" w:hAnsiTheme="minorHAnsi" w:cstheme="minorHAnsi"/>
        </w:rPr>
        <w:t xml:space="preserve">5 </w:t>
      </w:r>
      <w:r w:rsidRPr="006017FF">
        <w:rPr>
          <w:rFonts w:asciiTheme="minorHAnsi" w:hAnsiTheme="minorHAnsi" w:cstheme="minorHAnsi"/>
        </w:rPr>
        <w:t>zákona č. 219/2000 Sb.</w:t>
      </w:r>
    </w:p>
  </w:footnote>
  <w:footnote w:id="37">
    <w:p w14:paraId="4E0917CC" w14:textId="21B14A46" w:rsidR="008659E4" w:rsidRPr="000D1610" w:rsidRDefault="008659E4" w:rsidP="00431594">
      <w:pPr>
        <w:pStyle w:val="Textpoznpodarou"/>
        <w:ind w:left="284" w:hanging="284"/>
        <w:rPr>
          <w:rFonts w:asciiTheme="minorHAnsi" w:hAnsiTheme="minorHAnsi" w:cstheme="minorHAnsi"/>
        </w:rPr>
      </w:pPr>
      <w:r w:rsidRPr="000D1610">
        <w:rPr>
          <w:rStyle w:val="Znakapoznpodarou"/>
          <w:rFonts w:asciiTheme="minorHAnsi" w:hAnsiTheme="minorHAnsi" w:cstheme="minorHAnsi"/>
        </w:rPr>
        <w:footnoteRef/>
      </w:r>
      <w:r w:rsidRPr="000D1610">
        <w:rPr>
          <w:rFonts w:asciiTheme="minorHAnsi" w:hAnsiTheme="minorHAnsi" w:cstheme="minorHAnsi"/>
        </w:rPr>
        <w:t xml:space="preserve"> </w:t>
      </w:r>
      <w:r>
        <w:rPr>
          <w:rFonts w:asciiTheme="minorHAnsi" w:hAnsiTheme="minorHAnsi" w:cstheme="minorHAnsi"/>
        </w:rPr>
        <w:tab/>
      </w:r>
      <w:r w:rsidRPr="00702837">
        <w:rPr>
          <w:rFonts w:asciiTheme="minorHAnsi" w:hAnsiTheme="minorHAnsi" w:cstheme="minorHAnsi"/>
          <w:i/>
        </w:rPr>
        <w:t xml:space="preserve">Net Internal Area </w:t>
      </w:r>
      <w:r w:rsidRPr="000A2764">
        <w:rPr>
          <w:rFonts w:asciiTheme="minorHAnsi" w:hAnsiTheme="minorHAnsi" w:cstheme="minorHAnsi"/>
        </w:rPr>
        <w:t xml:space="preserve">(NIA) </w:t>
      </w:r>
      <w:r>
        <w:rPr>
          <w:rFonts w:asciiTheme="minorHAnsi" w:hAnsiTheme="minorHAnsi" w:cstheme="minorHAnsi"/>
        </w:rPr>
        <w:t>zahrnuje nejen kanceláře, ale i zasedací místnosti, kuchyňky, vestavěné skříně a vstupní místnosti.</w:t>
      </w:r>
    </w:p>
  </w:footnote>
  <w:footnote w:id="38">
    <w:p w14:paraId="4DE2CFCA" w14:textId="716EA181" w:rsidR="008659E4" w:rsidRPr="00722D25" w:rsidRDefault="008659E4" w:rsidP="00431594">
      <w:pPr>
        <w:pStyle w:val="Textpoznpodarou"/>
        <w:ind w:left="284" w:hanging="284"/>
        <w:rPr>
          <w:rFonts w:asciiTheme="minorHAnsi" w:hAnsiTheme="minorHAnsi" w:cstheme="minorHAnsi"/>
        </w:rPr>
      </w:pPr>
      <w:r w:rsidRPr="00286F3F">
        <w:rPr>
          <w:rStyle w:val="Znakapoznpodarou"/>
          <w:rFonts w:asciiTheme="minorHAnsi" w:hAnsiTheme="minorHAnsi" w:cstheme="minorHAnsi"/>
        </w:rPr>
        <w:footnoteRef/>
      </w:r>
      <w:r w:rsidRPr="00286F3F">
        <w:rPr>
          <w:rFonts w:asciiTheme="minorHAnsi" w:hAnsiTheme="minorHAnsi" w:cstheme="minorHAnsi"/>
        </w:rPr>
        <w:t xml:space="preserve"> </w:t>
      </w:r>
      <w:r>
        <w:rPr>
          <w:rFonts w:asciiTheme="minorHAnsi" w:hAnsiTheme="minorHAnsi" w:cstheme="minorHAnsi"/>
        </w:rPr>
        <w:tab/>
      </w:r>
      <w:r w:rsidRPr="00702837">
        <w:rPr>
          <w:rFonts w:asciiTheme="minorHAnsi" w:hAnsiTheme="minorHAnsi" w:cstheme="minorHAnsi"/>
          <w:i/>
        </w:rPr>
        <w:t xml:space="preserve">Full time equivalent </w:t>
      </w:r>
      <w:r>
        <w:rPr>
          <w:rFonts w:asciiTheme="minorHAnsi" w:hAnsiTheme="minorHAnsi" w:cstheme="minorHAnsi"/>
        </w:rPr>
        <w:t>(FTE) představuje ekvivalent zaměstnance na plný pracovní úvazek.</w:t>
      </w:r>
    </w:p>
  </w:footnote>
  <w:footnote w:id="39">
    <w:p w14:paraId="2A907BC8" w14:textId="3C36B658" w:rsidR="008659E4" w:rsidRPr="00D644A9" w:rsidRDefault="008659E4" w:rsidP="00D2455F">
      <w:pPr>
        <w:pStyle w:val="Textpoznpodarou"/>
        <w:tabs>
          <w:tab w:val="left" w:pos="284"/>
        </w:tabs>
        <w:rPr>
          <w:rFonts w:asciiTheme="minorHAnsi" w:hAnsiTheme="minorHAnsi" w:cstheme="minorHAnsi"/>
        </w:rPr>
      </w:pPr>
      <w:r w:rsidRPr="00D644A9">
        <w:rPr>
          <w:rStyle w:val="Znakapoznpodarou"/>
          <w:rFonts w:asciiTheme="minorHAnsi" w:hAnsiTheme="minorHAnsi" w:cstheme="minorHAnsi"/>
        </w:rPr>
        <w:footnoteRef/>
      </w:r>
      <w:r w:rsidRPr="00D644A9">
        <w:rPr>
          <w:rFonts w:asciiTheme="minorHAnsi" w:hAnsiTheme="minorHAnsi" w:cstheme="minorHAnsi"/>
        </w:rPr>
        <w:t xml:space="preserve"> </w:t>
      </w:r>
      <w:r>
        <w:rPr>
          <w:rFonts w:asciiTheme="minorHAnsi" w:hAnsiTheme="minorHAnsi" w:cstheme="minorHAnsi"/>
        </w:rPr>
        <w:tab/>
        <w:t>Dle programového</w:t>
      </w:r>
      <w:r w:rsidRPr="00060B34">
        <w:rPr>
          <w:rFonts w:asciiTheme="minorHAnsi" w:hAnsiTheme="minorHAnsi" w:cstheme="minorHAnsi"/>
        </w:rPr>
        <w:t xml:space="preserve"> prohlášení vlády ČR </w:t>
      </w:r>
      <w:r w:rsidRPr="00D644A9">
        <w:rPr>
          <w:rFonts w:asciiTheme="minorHAnsi" w:hAnsiTheme="minorHAnsi" w:cstheme="minorHAnsi"/>
          <w:szCs w:val="24"/>
        </w:rPr>
        <w:t>ze dne 12. února 2014</w:t>
      </w:r>
      <w:r>
        <w:rPr>
          <w:rFonts w:asciiTheme="minorHAnsi" w:hAnsiTheme="minorHAnsi" w:cstheme="minorHAnsi"/>
          <w:szCs w:val="24"/>
        </w:rPr>
        <w:t>.</w:t>
      </w:r>
    </w:p>
  </w:footnote>
  <w:footnote w:id="40">
    <w:p w14:paraId="185562B5" w14:textId="0B2B8208" w:rsidR="008659E4" w:rsidRPr="00330BDC" w:rsidRDefault="008659E4" w:rsidP="00DB0746">
      <w:pPr>
        <w:pStyle w:val="Textpoznpodarou"/>
        <w:tabs>
          <w:tab w:val="left" w:pos="284"/>
        </w:tabs>
        <w:rPr>
          <w:rFonts w:asciiTheme="minorHAnsi" w:hAnsiTheme="minorHAnsi"/>
        </w:rPr>
      </w:pPr>
      <w:r w:rsidRPr="00330BDC">
        <w:rPr>
          <w:rStyle w:val="Znakapoznpodarou"/>
          <w:rFonts w:asciiTheme="minorHAnsi" w:hAnsiTheme="minorHAnsi"/>
        </w:rPr>
        <w:footnoteRef/>
      </w:r>
      <w:r w:rsidRPr="00330BDC">
        <w:rPr>
          <w:rFonts w:asciiTheme="minorHAnsi" w:hAnsiTheme="minorHAnsi"/>
        </w:rPr>
        <w:t xml:space="preserve"> </w:t>
      </w:r>
      <w:r>
        <w:rPr>
          <w:rFonts w:asciiTheme="minorHAnsi" w:hAnsiTheme="minorHAnsi"/>
        </w:rPr>
        <w:tab/>
      </w:r>
      <w:r w:rsidRPr="00330BDC">
        <w:rPr>
          <w:rFonts w:asciiTheme="minorHAnsi" w:hAnsiTheme="minorHAnsi"/>
        </w:rPr>
        <w:t>Ustanovení § 7 zákona č. 219/2000 Sb.</w:t>
      </w:r>
    </w:p>
  </w:footnote>
  <w:footnote w:id="41">
    <w:p w14:paraId="4B529229" w14:textId="2CD6DB75" w:rsidR="008659E4" w:rsidRPr="00330BDC" w:rsidRDefault="008659E4" w:rsidP="00263402">
      <w:pPr>
        <w:pStyle w:val="Textpoznpodarou"/>
        <w:tabs>
          <w:tab w:val="left" w:pos="284"/>
        </w:tabs>
        <w:rPr>
          <w:rFonts w:asciiTheme="minorHAnsi" w:hAnsiTheme="minorHAnsi"/>
        </w:rPr>
      </w:pPr>
      <w:r w:rsidRPr="00330BDC">
        <w:rPr>
          <w:rStyle w:val="Znakapoznpodarou"/>
          <w:rFonts w:asciiTheme="minorHAnsi" w:hAnsiTheme="minorHAnsi"/>
        </w:rPr>
        <w:footnoteRef/>
      </w:r>
      <w:r w:rsidRPr="00330BDC">
        <w:rPr>
          <w:rFonts w:asciiTheme="minorHAnsi" w:hAnsiTheme="minorHAnsi"/>
        </w:rPr>
        <w:t xml:space="preserve"> </w:t>
      </w:r>
      <w:r>
        <w:rPr>
          <w:rFonts w:asciiTheme="minorHAnsi" w:hAnsiTheme="minorHAnsi"/>
        </w:rPr>
        <w:tab/>
      </w:r>
      <w:r w:rsidRPr="00330BDC">
        <w:rPr>
          <w:rFonts w:asciiTheme="minorHAnsi" w:hAnsiTheme="minorHAnsi"/>
        </w:rPr>
        <w:t>Ustanovení § 47 zákona č. 219/2000 Sb.</w:t>
      </w:r>
    </w:p>
  </w:footnote>
  <w:footnote w:id="42">
    <w:p w14:paraId="0CD57468" w14:textId="4BE23690" w:rsidR="008659E4" w:rsidRPr="00330BDC" w:rsidRDefault="008659E4" w:rsidP="0097304B">
      <w:pPr>
        <w:pStyle w:val="Textpoznpodarou"/>
        <w:tabs>
          <w:tab w:val="left" w:pos="284"/>
        </w:tabs>
        <w:rPr>
          <w:rFonts w:asciiTheme="minorHAnsi" w:hAnsiTheme="minorHAnsi" w:cstheme="minorHAnsi"/>
        </w:rPr>
      </w:pPr>
      <w:r w:rsidRPr="00330BDC">
        <w:rPr>
          <w:rStyle w:val="Znakapoznpodarou"/>
          <w:rFonts w:asciiTheme="minorHAnsi" w:hAnsiTheme="minorHAnsi" w:cstheme="minorHAnsi"/>
        </w:rPr>
        <w:footnoteRef/>
      </w:r>
      <w:r w:rsidRPr="00330BDC">
        <w:rPr>
          <w:rFonts w:asciiTheme="minorHAnsi" w:hAnsiTheme="minorHAnsi" w:cstheme="minorHAnsi"/>
        </w:rPr>
        <w:t xml:space="preserve"> </w:t>
      </w:r>
      <w:r>
        <w:rPr>
          <w:rFonts w:asciiTheme="minorHAnsi" w:hAnsiTheme="minorHAnsi" w:cstheme="minorHAnsi"/>
        </w:rPr>
        <w:tab/>
      </w:r>
      <w:r w:rsidRPr="00330BDC">
        <w:rPr>
          <w:rFonts w:asciiTheme="minorHAnsi" w:hAnsiTheme="minorHAnsi" w:cstheme="minorHAnsi"/>
        </w:rPr>
        <w:t>Ustanovení § 14 odst. 3 zákona č. 219/2000 Sb.</w:t>
      </w:r>
    </w:p>
  </w:footnote>
  <w:footnote w:id="43">
    <w:p w14:paraId="48AEBAC4" w14:textId="44B597AE" w:rsidR="008659E4" w:rsidRPr="00330BDC" w:rsidRDefault="008659E4" w:rsidP="00312F5A">
      <w:pPr>
        <w:pStyle w:val="Textpoznpodarou"/>
        <w:tabs>
          <w:tab w:val="left" w:pos="284"/>
        </w:tabs>
        <w:rPr>
          <w:rFonts w:asciiTheme="minorHAnsi" w:hAnsiTheme="minorHAnsi"/>
        </w:rPr>
      </w:pPr>
      <w:r w:rsidRPr="00330BDC">
        <w:rPr>
          <w:rStyle w:val="Znakapoznpodarou"/>
          <w:rFonts w:asciiTheme="minorHAnsi" w:hAnsiTheme="minorHAnsi"/>
        </w:rPr>
        <w:footnoteRef/>
      </w:r>
      <w:r w:rsidRPr="00330BDC">
        <w:rPr>
          <w:rFonts w:asciiTheme="minorHAnsi" w:hAnsiTheme="minorHAnsi"/>
        </w:rPr>
        <w:t xml:space="preserve"> </w:t>
      </w:r>
      <w:r>
        <w:rPr>
          <w:rFonts w:asciiTheme="minorHAnsi" w:hAnsiTheme="minorHAnsi"/>
        </w:rPr>
        <w:tab/>
      </w:r>
      <w:r w:rsidRPr="00330BDC">
        <w:rPr>
          <w:rFonts w:asciiTheme="minorHAnsi" w:hAnsiTheme="minorHAnsi"/>
        </w:rPr>
        <w:t>Ustanovení § 45 odst. 2 zákona č. 218/2000 Sb.</w:t>
      </w:r>
    </w:p>
  </w:footnote>
  <w:footnote w:id="44">
    <w:p w14:paraId="4AA522B4" w14:textId="77777777" w:rsidR="008659E4" w:rsidRPr="002C4A17" w:rsidRDefault="008659E4" w:rsidP="00BF31E7">
      <w:pPr>
        <w:pStyle w:val="Textpoznpodarou"/>
        <w:tabs>
          <w:tab w:val="left" w:pos="284"/>
        </w:tabs>
        <w:ind w:left="284" w:hanging="284"/>
        <w:rPr>
          <w:rFonts w:asciiTheme="minorHAnsi" w:hAnsiTheme="minorHAnsi"/>
        </w:rPr>
      </w:pPr>
      <w:r w:rsidRPr="00F8635D">
        <w:rPr>
          <w:rStyle w:val="Znakapoznpodarou"/>
          <w:rFonts w:asciiTheme="minorHAnsi" w:hAnsiTheme="minorHAnsi"/>
        </w:rPr>
        <w:footnoteRef/>
      </w:r>
      <w:r w:rsidRPr="00F8635D">
        <w:rPr>
          <w:rFonts w:asciiTheme="minorHAnsi" w:hAnsiTheme="minorHAnsi"/>
        </w:rPr>
        <w:t xml:space="preserve"> </w:t>
      </w:r>
      <w:r w:rsidRPr="00F8635D">
        <w:rPr>
          <w:rFonts w:asciiTheme="minorHAnsi" w:hAnsiTheme="minorHAnsi"/>
        </w:rPr>
        <w:tab/>
        <w:t xml:space="preserve">Usnesení vlády ČR ze dne 26. června 2017 č. 481, </w:t>
      </w:r>
      <w:r w:rsidRPr="00702837">
        <w:rPr>
          <w:rFonts w:asciiTheme="minorHAnsi" w:hAnsiTheme="minorHAnsi"/>
          <w:i/>
        </w:rPr>
        <w:t>o změně Statutu Vládní dislokační komise a regionálních dislokačních komisí</w:t>
      </w:r>
      <w:r w:rsidRPr="00F8635D">
        <w:rPr>
          <w:rFonts w:asciiTheme="minorHAnsi" w:hAnsiTheme="minorHAnsi"/>
        </w:rPr>
        <w:t>.</w:t>
      </w:r>
    </w:p>
  </w:footnote>
  <w:footnote w:id="45">
    <w:p w14:paraId="249D6A17" w14:textId="59C30EE1" w:rsidR="008659E4" w:rsidRPr="00FC0D39" w:rsidRDefault="008659E4" w:rsidP="003C2A0E">
      <w:pPr>
        <w:pStyle w:val="Textpoznpodarou"/>
        <w:ind w:left="284" w:hanging="284"/>
        <w:rPr>
          <w:rFonts w:ascii="Calibri" w:hAnsi="Calibri" w:cs="Calibr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sidRPr="00F8635D">
        <w:rPr>
          <w:rFonts w:asciiTheme="minorHAnsi" w:hAnsiTheme="minorHAnsi" w:cstheme="minorHAnsi"/>
        </w:rPr>
        <w:tab/>
      </w:r>
      <w:r w:rsidRPr="00F624C0">
        <w:rPr>
          <w:rFonts w:asciiTheme="minorHAnsi" w:hAnsiTheme="minorHAnsi" w:cstheme="minorHAnsi"/>
        </w:rPr>
        <w:t>Kontrolní</w:t>
      </w:r>
      <w:r>
        <w:rPr>
          <w:rFonts w:asciiTheme="minorHAnsi" w:hAnsiTheme="minorHAnsi" w:cstheme="minorHAnsi"/>
        </w:rPr>
        <w:t xml:space="preserve"> závěr z kontrolní</w:t>
      </w:r>
      <w:r w:rsidRPr="00F624C0">
        <w:rPr>
          <w:rFonts w:asciiTheme="minorHAnsi" w:hAnsiTheme="minorHAnsi" w:cstheme="minorHAnsi"/>
        </w:rPr>
        <w:t xml:space="preserve"> akce č. 16/22 – </w:t>
      </w:r>
      <w:r w:rsidRPr="00D2455F">
        <w:rPr>
          <w:rFonts w:asciiTheme="minorHAnsi" w:hAnsiTheme="minorHAnsi" w:cstheme="minorHAnsi"/>
          <w:i/>
        </w:rPr>
        <w:t>Majetek a peněžní prostředky státu, se kterými je příslušná hospodařit státní příspěvková organizace Ředitelství silnic a dálnic ČR</w:t>
      </w:r>
      <w:r>
        <w:rPr>
          <w:rFonts w:asciiTheme="minorHAnsi" w:hAnsiTheme="minorHAnsi" w:cstheme="minorHAnsi"/>
        </w:rPr>
        <w:t xml:space="preserve"> byl</w:t>
      </w:r>
      <w:r w:rsidRPr="00D2455F">
        <w:rPr>
          <w:rFonts w:asciiTheme="minorHAnsi" w:hAnsiTheme="minorHAnsi" w:cstheme="minorHAnsi"/>
        </w:rPr>
        <w:t xml:space="preserve"> zveřejněn v částce 3/2017 </w:t>
      </w:r>
      <w:r w:rsidRPr="00FC0D39">
        <w:rPr>
          <w:rFonts w:ascii="Calibri" w:hAnsi="Calibri" w:cs="Calibri"/>
          <w:i/>
        </w:rPr>
        <w:t>Věstníku NKÚ</w:t>
      </w:r>
      <w:r w:rsidRPr="00FC0D39">
        <w:rPr>
          <w:rFonts w:ascii="Calibri" w:hAnsi="Calibri" w:cs="Calibri"/>
        </w:rPr>
        <w:t xml:space="preserve">. </w:t>
      </w:r>
    </w:p>
  </w:footnote>
  <w:footnote w:id="46">
    <w:p w14:paraId="72430940" w14:textId="39AF83D5" w:rsidR="008659E4" w:rsidRPr="009C655A" w:rsidRDefault="008659E4" w:rsidP="009C655A">
      <w:pPr>
        <w:pStyle w:val="Textpoznpodarou"/>
        <w:ind w:left="284" w:hanging="284"/>
        <w:rPr>
          <w:rFonts w:asciiTheme="minorHAnsi" w:hAnsiTheme="minorHAnsi" w:cstheme="minorHAnsi"/>
        </w:rPr>
      </w:pPr>
      <w:r w:rsidRPr="00B95B8A">
        <w:rPr>
          <w:rStyle w:val="Znakapoznpodarou"/>
          <w:rFonts w:asciiTheme="minorHAnsi" w:hAnsiTheme="minorHAnsi" w:cstheme="minorHAnsi"/>
        </w:rPr>
        <w:footnoteRef/>
      </w:r>
      <w:r w:rsidRPr="00B95B8A">
        <w:rPr>
          <w:rFonts w:asciiTheme="minorHAnsi" w:hAnsiTheme="minorHAnsi" w:cstheme="minorHAnsi"/>
        </w:rPr>
        <w:t xml:space="preserve"> </w:t>
      </w:r>
      <w:r w:rsidRPr="00B95B8A">
        <w:rPr>
          <w:rFonts w:asciiTheme="minorHAnsi" w:hAnsiTheme="minorHAnsi" w:cstheme="minorHAnsi"/>
        </w:rPr>
        <w:tab/>
        <w:t>Seznam položek vyplňovaných v CRAB včetně popisu jednotlivých položek je uveden v metodice evidence dat.</w:t>
      </w:r>
    </w:p>
  </w:footnote>
  <w:footnote w:id="47">
    <w:p w14:paraId="291DC7DB" w14:textId="64BD1097" w:rsidR="008659E4" w:rsidRPr="00F8635D" w:rsidRDefault="008659E4" w:rsidP="00D2455F">
      <w:pPr>
        <w:pStyle w:val="Textpoznpodarou"/>
        <w:tabs>
          <w:tab w:val="left" w:pos="284"/>
        </w:tabs>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sidRPr="00F8635D">
        <w:rPr>
          <w:rFonts w:asciiTheme="minorHAnsi" w:hAnsiTheme="minorHAnsi" w:cstheme="minorHAnsi"/>
        </w:rPr>
        <w:tab/>
        <w:t xml:space="preserve">Nařízení vlády č. 41/2017 Sb., </w:t>
      </w:r>
      <w:r w:rsidRPr="00702837">
        <w:rPr>
          <w:rFonts w:asciiTheme="minorHAnsi" w:hAnsiTheme="minorHAnsi" w:cstheme="minorHAnsi"/>
          <w:i/>
        </w:rPr>
        <w:t>o údajích centrálního registru administrativních budov</w:t>
      </w:r>
      <w:r w:rsidRPr="00F8635D">
        <w:rPr>
          <w:rFonts w:asciiTheme="minorHAnsi" w:hAnsiTheme="minorHAnsi" w:cstheme="minorHAnsi"/>
        </w:rPr>
        <w:t>, účinné od 1. 4. 2017</w:t>
      </w:r>
      <w:r>
        <w:rPr>
          <w:rFonts w:asciiTheme="minorHAnsi" w:hAnsiTheme="minorHAnsi" w:cstheme="minorHAnsi"/>
        </w:rPr>
        <w:t>.</w:t>
      </w:r>
    </w:p>
  </w:footnote>
  <w:footnote w:id="48">
    <w:p w14:paraId="0E94853A" w14:textId="46056116" w:rsidR="008659E4" w:rsidRPr="00F8635D" w:rsidRDefault="008659E4" w:rsidP="009D7C5B">
      <w:pPr>
        <w:pStyle w:val="Textpoznpodarou"/>
        <w:tabs>
          <w:tab w:val="left" w:pos="284"/>
        </w:tabs>
        <w:ind w:left="426" w:hanging="426"/>
        <w:rPr>
          <w:rFonts w:asciiTheme="minorHAnsi" w:hAnsiTheme="minorHAnsi"/>
        </w:rPr>
      </w:pPr>
      <w:r w:rsidRPr="00F8635D">
        <w:rPr>
          <w:rStyle w:val="Znakapoznpodarou"/>
          <w:rFonts w:asciiTheme="minorHAnsi" w:hAnsiTheme="minorHAnsi"/>
        </w:rPr>
        <w:footnoteRef/>
      </w:r>
      <w:r w:rsidRPr="00F8635D">
        <w:rPr>
          <w:rFonts w:asciiTheme="minorHAnsi" w:hAnsiTheme="minorHAnsi"/>
        </w:rPr>
        <w:t xml:space="preserve"> </w:t>
      </w:r>
      <w:r w:rsidRPr="00F8635D">
        <w:rPr>
          <w:rFonts w:asciiTheme="minorHAnsi" w:hAnsiTheme="minorHAnsi"/>
        </w:rPr>
        <w:tab/>
        <w:t>Vyhláška Ministerstva financí č. 323/2002 Sb., o rozpočtové skladbě.</w:t>
      </w:r>
    </w:p>
  </w:footnote>
  <w:footnote w:id="49">
    <w:p w14:paraId="129A6F66" w14:textId="7C9A5848" w:rsidR="008659E4" w:rsidRPr="00F8635D" w:rsidRDefault="008659E4" w:rsidP="00D2455F">
      <w:pPr>
        <w:pStyle w:val="Textpoznpodarou"/>
        <w:tabs>
          <w:tab w:val="left" w:pos="284"/>
        </w:tabs>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Pr>
          <w:rFonts w:asciiTheme="minorHAnsi" w:hAnsiTheme="minorHAnsi" w:cstheme="minorHAnsi"/>
        </w:rPr>
        <w:tab/>
        <w:t>Objekt byl prohlášen za nepotřebný, tudíž nebyl MV využíván a byl nabízen k prodeji.</w:t>
      </w:r>
    </w:p>
  </w:footnote>
  <w:footnote w:id="50">
    <w:p w14:paraId="6B8440C9" w14:textId="47AAD718" w:rsidR="008659E4" w:rsidRPr="00B95B8A" w:rsidRDefault="008659E4" w:rsidP="007F03FA">
      <w:pPr>
        <w:pStyle w:val="Textpoznpodarou"/>
        <w:ind w:left="284" w:hanging="284"/>
        <w:rPr>
          <w:rFonts w:asciiTheme="minorHAnsi" w:hAnsiTheme="minorHAnsi"/>
        </w:rPr>
      </w:pPr>
      <w:r w:rsidRPr="007F03FA">
        <w:rPr>
          <w:rStyle w:val="Znakapoznpodarou"/>
          <w:rFonts w:asciiTheme="minorHAnsi" w:hAnsiTheme="minorHAnsi"/>
        </w:rPr>
        <w:footnoteRef/>
      </w:r>
      <w:r w:rsidRPr="007F03FA">
        <w:rPr>
          <w:rFonts w:asciiTheme="minorHAnsi" w:hAnsiTheme="minorHAnsi"/>
        </w:rPr>
        <w:t xml:space="preserve"> </w:t>
      </w:r>
      <w:r w:rsidRPr="007F03FA">
        <w:rPr>
          <w:rFonts w:asciiTheme="minorHAnsi" w:hAnsiTheme="minorHAnsi"/>
        </w:rPr>
        <w:tab/>
      </w:r>
      <w:r w:rsidRPr="00B95B8A">
        <w:rPr>
          <w:rFonts w:asciiTheme="minorHAnsi" w:hAnsiTheme="minorHAnsi"/>
        </w:rPr>
        <w:t>Zákon č. 219/2000 Sb.</w:t>
      </w:r>
    </w:p>
  </w:footnote>
  <w:footnote w:id="51">
    <w:p w14:paraId="725B58DE" w14:textId="2B1EA568" w:rsidR="008659E4" w:rsidRPr="00580235" w:rsidRDefault="008659E4" w:rsidP="00580235">
      <w:pPr>
        <w:pStyle w:val="Textpoznpodarou"/>
        <w:tabs>
          <w:tab w:val="left" w:pos="284"/>
        </w:tabs>
        <w:rPr>
          <w:rFonts w:asciiTheme="minorHAnsi" w:hAnsiTheme="minorHAnsi" w:cstheme="minorHAnsi"/>
        </w:rPr>
      </w:pPr>
      <w:r w:rsidRPr="00B95B8A">
        <w:rPr>
          <w:rStyle w:val="Znakapoznpodarou"/>
          <w:rFonts w:asciiTheme="minorHAnsi" w:hAnsiTheme="minorHAnsi" w:cstheme="minorHAnsi"/>
        </w:rPr>
        <w:footnoteRef/>
      </w:r>
      <w:r w:rsidRPr="00B95B8A">
        <w:rPr>
          <w:rFonts w:asciiTheme="minorHAnsi" w:hAnsiTheme="minorHAnsi" w:cstheme="minorHAnsi"/>
        </w:rPr>
        <w:t xml:space="preserve"> </w:t>
      </w:r>
      <w:r w:rsidRPr="00B95B8A">
        <w:rPr>
          <w:rFonts w:asciiTheme="minorHAnsi" w:hAnsiTheme="minorHAnsi" w:cstheme="minorHAnsi"/>
        </w:rPr>
        <w:tab/>
        <w:t xml:space="preserve">Uživatelská příručka </w:t>
      </w:r>
      <w:r w:rsidRPr="00702837">
        <w:rPr>
          <w:rFonts w:asciiTheme="minorHAnsi" w:hAnsiTheme="minorHAnsi" w:cstheme="minorHAnsi"/>
          <w:i/>
        </w:rPr>
        <w:t>Práce v systému CRAB obecně</w:t>
      </w:r>
      <w:r w:rsidRPr="00B95B8A">
        <w:rPr>
          <w:rFonts w:asciiTheme="minorHAnsi" w:hAnsiTheme="minorHAnsi" w:cstheme="minorHAnsi"/>
        </w:rPr>
        <w:t xml:space="preserve"> ze dne 2. 10. 2013, verze 5.1 ze dne 22. 3. 2016.</w:t>
      </w:r>
    </w:p>
  </w:footnote>
  <w:footnote w:id="52">
    <w:p w14:paraId="0CB36245" w14:textId="77777777" w:rsidR="008659E4" w:rsidRPr="00C46C8E" w:rsidRDefault="008659E4" w:rsidP="00E15FD8">
      <w:pPr>
        <w:pStyle w:val="Textpoznpodarou"/>
        <w:ind w:left="284" w:hanging="284"/>
        <w:rPr>
          <w:rFonts w:asciiTheme="minorHAnsi" w:hAnsiTheme="minorHAnsi" w:cstheme="minorHAnsi"/>
        </w:rPr>
      </w:pPr>
      <w:r w:rsidRPr="00C46C8E">
        <w:rPr>
          <w:rStyle w:val="Znakapoznpodarou"/>
          <w:rFonts w:asciiTheme="minorHAnsi" w:hAnsiTheme="minorHAnsi" w:cstheme="minorHAnsi"/>
        </w:rPr>
        <w:footnoteRef/>
      </w:r>
      <w:r w:rsidRPr="00C46C8E">
        <w:rPr>
          <w:rFonts w:asciiTheme="minorHAnsi" w:hAnsiTheme="minorHAnsi" w:cstheme="minorHAnsi"/>
        </w:rPr>
        <w:t xml:space="preserve"> </w:t>
      </w:r>
      <w:r>
        <w:rPr>
          <w:rFonts w:asciiTheme="minorHAnsi" w:hAnsiTheme="minorHAnsi" w:cstheme="minorHAnsi"/>
        </w:rPr>
        <w:tab/>
        <w:t>V</w:t>
      </w:r>
      <w:r w:rsidRPr="00C46C8E">
        <w:rPr>
          <w:rFonts w:asciiTheme="minorHAnsi" w:hAnsiTheme="minorHAnsi" w:cstheme="minorHAnsi"/>
          <w:color w:val="000000" w:themeColor="text1"/>
        </w:rPr>
        <w:t> sekci „Nejčastější dotazy“</w:t>
      </w:r>
      <w:r>
        <w:rPr>
          <w:rFonts w:asciiTheme="minorHAnsi" w:hAnsiTheme="minorHAnsi" w:cstheme="minorHAnsi"/>
          <w:color w:val="000000" w:themeColor="text1"/>
        </w:rPr>
        <w:t>.</w:t>
      </w:r>
    </w:p>
  </w:footnote>
  <w:footnote w:id="53">
    <w:p w14:paraId="78E00D0B" w14:textId="1D9591A2" w:rsidR="008659E4" w:rsidRPr="00F8635D" w:rsidRDefault="008659E4" w:rsidP="00D2455F">
      <w:pPr>
        <w:pStyle w:val="Textpoznpodarou"/>
        <w:tabs>
          <w:tab w:val="left" w:pos="284"/>
        </w:tabs>
        <w:ind w:left="284" w:hanging="284"/>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Pr>
          <w:rFonts w:asciiTheme="minorHAnsi" w:hAnsiTheme="minorHAnsi" w:cstheme="minorHAnsi"/>
        </w:rPr>
        <w:tab/>
      </w:r>
      <w:r w:rsidRPr="00F8635D">
        <w:rPr>
          <w:rFonts w:asciiTheme="minorHAnsi" w:hAnsiTheme="minorHAnsi" w:cstheme="minorHAnsi"/>
        </w:rPr>
        <w:t>MV v informačních systémech (REM a EKIS) sledovalo u objektů pouze náklady na správu nemovitého majetku. Dle MV</w:t>
      </w:r>
      <w:r w:rsidRPr="00F624C0">
        <w:rPr>
          <w:rFonts w:asciiTheme="minorHAnsi" w:hAnsiTheme="minorHAnsi" w:cstheme="minorHAnsi"/>
        </w:rPr>
        <w:t xml:space="preserve"> je</w:t>
      </w:r>
      <w:r w:rsidRPr="00F8635D">
        <w:rPr>
          <w:rFonts w:asciiTheme="minorHAnsi" w:hAnsiTheme="minorHAnsi" w:cstheme="minorHAnsi"/>
        </w:rPr>
        <w:t xml:space="preserve"> roční rozdíl mezi výdaji a náklady na správu nemovitého majetku zanedbatelný, přičemž účtovaný náklad vyjadřuje přesnější hodnotu spotřeby za daný rok.</w:t>
      </w:r>
    </w:p>
  </w:footnote>
  <w:footnote w:id="54">
    <w:p w14:paraId="77EBB633" w14:textId="14C70760" w:rsidR="008659E4" w:rsidRPr="00F624C0" w:rsidRDefault="008659E4" w:rsidP="0047577C">
      <w:pPr>
        <w:pStyle w:val="Textpoznpodarou"/>
        <w:ind w:left="284" w:hanging="284"/>
        <w:rPr>
          <w:rFonts w:asciiTheme="minorHAnsi" w:hAnsiTheme="minorHAnsi" w:cstheme="minorHAnsi"/>
        </w:rPr>
      </w:pPr>
      <w:r w:rsidRPr="00F624C0">
        <w:rPr>
          <w:rStyle w:val="Znakapoznpodarou"/>
          <w:rFonts w:asciiTheme="minorHAnsi" w:hAnsiTheme="minorHAnsi" w:cstheme="minorHAnsi"/>
        </w:rPr>
        <w:footnoteRef/>
      </w:r>
      <w:r w:rsidRPr="00F624C0">
        <w:rPr>
          <w:rFonts w:asciiTheme="minorHAnsi" w:hAnsiTheme="minorHAnsi" w:cstheme="minorHAnsi"/>
        </w:rPr>
        <w:t xml:space="preserve"> </w:t>
      </w:r>
      <w:r w:rsidRPr="00F624C0">
        <w:rPr>
          <w:rFonts w:asciiTheme="minorHAnsi" w:hAnsiTheme="minorHAnsi" w:cstheme="minorHAnsi"/>
        </w:rPr>
        <w:tab/>
        <w:t>Migrace dat z EKIS za resort MV, vyjma ZSMV, které zadávalo údaje do CRAB ručně.</w:t>
      </w:r>
    </w:p>
  </w:footnote>
  <w:footnote w:id="55">
    <w:p w14:paraId="116F0D0E" w14:textId="12D034BD" w:rsidR="008659E4" w:rsidRPr="00F8635D" w:rsidRDefault="008659E4" w:rsidP="001A6068">
      <w:pPr>
        <w:pStyle w:val="Textpoznpodarou"/>
        <w:ind w:left="284" w:hanging="284"/>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sidRPr="00F8635D">
        <w:rPr>
          <w:rFonts w:asciiTheme="minorHAnsi" w:hAnsiTheme="minorHAnsi" w:cstheme="minorHAnsi"/>
        </w:rPr>
        <w:tab/>
      </w:r>
      <w:r w:rsidRPr="00F624C0">
        <w:rPr>
          <w:rFonts w:asciiTheme="minorHAnsi" w:hAnsiTheme="minorHAnsi" w:cstheme="minorHAnsi"/>
        </w:rPr>
        <w:t xml:space="preserve">Kontrolní </w:t>
      </w:r>
      <w:r>
        <w:rPr>
          <w:rFonts w:asciiTheme="minorHAnsi" w:hAnsiTheme="minorHAnsi" w:cstheme="minorHAnsi"/>
        </w:rPr>
        <w:t xml:space="preserve">závěr z kontrolní </w:t>
      </w:r>
      <w:r w:rsidRPr="00F624C0">
        <w:rPr>
          <w:rFonts w:asciiTheme="minorHAnsi" w:hAnsiTheme="minorHAnsi" w:cstheme="minorHAnsi"/>
        </w:rPr>
        <w:t>akce č. 16/18</w:t>
      </w:r>
      <w:r w:rsidRPr="00D2455F">
        <w:rPr>
          <w:rFonts w:asciiTheme="minorHAnsi" w:hAnsiTheme="minorHAnsi" w:cstheme="minorHAnsi"/>
        </w:rPr>
        <w:t xml:space="preserve"> – </w:t>
      </w:r>
      <w:r w:rsidRPr="00D2455F">
        <w:rPr>
          <w:rFonts w:asciiTheme="minorHAnsi" w:hAnsiTheme="minorHAnsi" w:cstheme="minorHAnsi"/>
          <w:i/>
        </w:rPr>
        <w:t>Majetek a peněžní prostředky státu, se kterými je příslušný hospodařit Státní ústav pro kontrolu léčiv</w:t>
      </w:r>
      <w:r w:rsidRPr="00D2455F">
        <w:rPr>
          <w:rFonts w:asciiTheme="minorHAnsi" w:hAnsiTheme="minorHAnsi" w:cstheme="minorHAnsi"/>
        </w:rPr>
        <w:t xml:space="preserve"> </w:t>
      </w:r>
      <w:r>
        <w:rPr>
          <w:rFonts w:asciiTheme="minorHAnsi" w:hAnsiTheme="minorHAnsi" w:cstheme="minorHAnsi"/>
        </w:rPr>
        <w:t>byl</w:t>
      </w:r>
      <w:r w:rsidRPr="00D2455F">
        <w:rPr>
          <w:rFonts w:asciiTheme="minorHAnsi" w:hAnsiTheme="minorHAnsi" w:cstheme="minorHAnsi"/>
        </w:rPr>
        <w:t xml:space="preserve"> zveřejněn v částce 3/2017 </w:t>
      </w:r>
      <w:r w:rsidRPr="00702837">
        <w:rPr>
          <w:rFonts w:asciiTheme="minorHAnsi" w:hAnsiTheme="minorHAnsi" w:cstheme="minorHAnsi"/>
          <w:i/>
        </w:rPr>
        <w:t>Věstníku NKÚ</w:t>
      </w:r>
      <w:r w:rsidRPr="00D2455F">
        <w:rPr>
          <w:rFonts w:asciiTheme="minorHAnsi" w:hAnsiTheme="minorHAnsi" w:cstheme="minorHAnsi"/>
        </w:rPr>
        <w:t>.</w:t>
      </w:r>
    </w:p>
  </w:footnote>
  <w:footnote w:id="56">
    <w:p w14:paraId="6C549D76" w14:textId="0FC8DC91" w:rsidR="008659E4" w:rsidRPr="004923C2" w:rsidRDefault="008659E4" w:rsidP="001A6068">
      <w:pPr>
        <w:pStyle w:val="Textpoznpodarou"/>
        <w:ind w:left="284" w:hanging="284"/>
        <w:rPr>
          <w:rFonts w:asciiTheme="minorHAnsi" w:hAnsiTheme="minorHAnsi" w:cstheme="minorHAnsi"/>
        </w:rPr>
      </w:pPr>
      <w:r w:rsidRPr="00F624C0">
        <w:rPr>
          <w:rStyle w:val="Znakapoznpodarou"/>
          <w:rFonts w:asciiTheme="minorHAnsi" w:hAnsiTheme="minorHAnsi" w:cstheme="minorHAnsi"/>
        </w:rPr>
        <w:footnoteRef/>
      </w:r>
      <w:r w:rsidRPr="00F624C0">
        <w:rPr>
          <w:rFonts w:asciiTheme="minorHAnsi" w:hAnsiTheme="minorHAnsi" w:cstheme="minorHAnsi"/>
        </w:rPr>
        <w:t xml:space="preserve"> </w:t>
      </w:r>
      <w:r w:rsidRPr="00F624C0">
        <w:rPr>
          <w:rFonts w:asciiTheme="minorHAnsi" w:hAnsiTheme="minorHAnsi" w:cstheme="minorHAnsi"/>
        </w:rPr>
        <w:tab/>
        <w:t>Ustanovení §</w:t>
      </w:r>
      <w:r w:rsidRPr="00D2455F">
        <w:rPr>
          <w:rFonts w:asciiTheme="minorHAnsi" w:hAnsiTheme="minorHAnsi" w:cstheme="minorHAnsi"/>
        </w:rPr>
        <w:t xml:space="preserve"> 14a zákona č. 219/2000 Sb.</w:t>
      </w:r>
    </w:p>
  </w:footnote>
  <w:footnote w:id="57">
    <w:p w14:paraId="2BBB1ED6" w14:textId="55A5005D" w:rsidR="008659E4" w:rsidRPr="007B2621" w:rsidRDefault="008659E4" w:rsidP="0047577C">
      <w:pPr>
        <w:pStyle w:val="Textpoznpodarou"/>
        <w:ind w:left="284" w:hanging="284"/>
        <w:rPr>
          <w:rFonts w:asciiTheme="minorHAnsi" w:hAnsiTheme="minorHAnsi"/>
        </w:rPr>
      </w:pPr>
      <w:r w:rsidRPr="007B2621">
        <w:rPr>
          <w:rStyle w:val="Znakapoznpodarou"/>
          <w:rFonts w:asciiTheme="minorHAnsi" w:hAnsiTheme="minorHAnsi"/>
        </w:rPr>
        <w:footnoteRef/>
      </w:r>
      <w:r w:rsidRPr="007B2621">
        <w:rPr>
          <w:rFonts w:asciiTheme="minorHAnsi" w:hAnsiTheme="minorHAnsi"/>
        </w:rPr>
        <w:t xml:space="preserve"> </w:t>
      </w:r>
      <w:r>
        <w:rPr>
          <w:rFonts w:asciiTheme="minorHAnsi" w:hAnsiTheme="minorHAnsi"/>
        </w:rPr>
        <w:tab/>
        <w:t>Ad hoc report umožňuje uživateli CRAB vytvořit sestavu podle jeho vlastního výběru položek, avšak pracuje pouze s vybranými údaji analytického modulu. Dle datové struktury CRAB mají státní instituce povinnost u objektu evidovat celkem 255 údajů, přičemž ad hoc report umožňuje výběr pouze ze 137.</w:t>
      </w:r>
    </w:p>
  </w:footnote>
  <w:footnote w:id="58">
    <w:p w14:paraId="63CD335D" w14:textId="00566D5E" w:rsidR="008659E4" w:rsidRPr="00330BDC" w:rsidRDefault="008659E4" w:rsidP="00702837">
      <w:pPr>
        <w:pStyle w:val="Textpoznpodarou"/>
        <w:tabs>
          <w:tab w:val="left" w:pos="284"/>
        </w:tabs>
        <w:ind w:left="284" w:hanging="284"/>
        <w:rPr>
          <w:rFonts w:asciiTheme="minorHAnsi" w:hAnsiTheme="minorHAnsi"/>
        </w:rPr>
      </w:pPr>
      <w:r w:rsidRPr="00330BDC">
        <w:rPr>
          <w:rStyle w:val="Znakapoznpodarou"/>
          <w:rFonts w:asciiTheme="minorHAnsi" w:hAnsiTheme="minorHAnsi"/>
        </w:rPr>
        <w:footnoteRef/>
      </w:r>
      <w:r w:rsidRPr="00330BDC">
        <w:rPr>
          <w:rFonts w:asciiTheme="minorHAnsi" w:hAnsiTheme="minorHAnsi"/>
        </w:rPr>
        <w:t xml:space="preserve"> </w:t>
      </w:r>
      <w:r>
        <w:rPr>
          <w:rFonts w:asciiTheme="minorHAnsi" w:hAnsiTheme="minorHAnsi"/>
        </w:rPr>
        <w:tab/>
        <w:t>Přehled údajů</w:t>
      </w:r>
      <w:r w:rsidRPr="007014CF">
        <w:rPr>
          <w:rFonts w:asciiTheme="minorHAnsi" w:hAnsiTheme="minorHAnsi"/>
        </w:rPr>
        <w:t xml:space="preserve"> z CRAB </w:t>
      </w:r>
      <w:r>
        <w:rPr>
          <w:rFonts w:asciiTheme="minorHAnsi" w:hAnsiTheme="minorHAnsi"/>
        </w:rPr>
        <w:t xml:space="preserve">a vybraných ukazatelů v členění </w:t>
      </w:r>
      <w:r w:rsidRPr="007014CF">
        <w:rPr>
          <w:rFonts w:asciiTheme="minorHAnsi" w:hAnsiTheme="minorHAnsi"/>
        </w:rPr>
        <w:t>dle státních institucí</w:t>
      </w:r>
      <w:r>
        <w:rPr>
          <w:rFonts w:asciiTheme="minorHAnsi" w:hAnsiTheme="minorHAnsi"/>
        </w:rPr>
        <w:t xml:space="preserve"> </w:t>
      </w:r>
      <w:r w:rsidRPr="00330BDC">
        <w:rPr>
          <w:rFonts w:asciiTheme="minorHAnsi" w:hAnsiTheme="minorHAnsi"/>
        </w:rPr>
        <w:t>je přístupný v Národním katalogu otevřených dat na adrese</w:t>
      </w:r>
      <w:r>
        <w:rPr>
          <w:rFonts w:asciiTheme="minorHAnsi" w:hAnsiTheme="minorHAnsi"/>
        </w:rPr>
        <w:t>:</w:t>
      </w:r>
      <w:r w:rsidRPr="00330BDC">
        <w:rPr>
          <w:rFonts w:asciiTheme="minorHAnsi" w:hAnsiTheme="minorHAnsi"/>
        </w:rPr>
        <w:t xml:space="preserve"> </w:t>
      </w:r>
      <w:hyperlink r:id="rId1" w:history="1">
        <w:r w:rsidRPr="00BF676E">
          <w:rPr>
            <w:rStyle w:val="Hypertextovodkaz"/>
            <w:rFonts w:asciiTheme="minorHAnsi" w:hAnsiTheme="minorHAnsi"/>
          </w:rPr>
          <w:t>http://data.nku.cz/download/vystupy-z-kontrol/ka-16-26/udaje-z-CRAB</w:t>
        </w:r>
        <w:r w:rsidRPr="00B3350D">
          <w:rPr>
            <w:rStyle w:val="Hypertextovodkaz"/>
            <w:rFonts w:asciiTheme="minorHAnsi" w:hAnsiTheme="minorHAnsi"/>
          </w:rPr>
          <w:t>.xlsx</w:t>
        </w:r>
      </w:hyperlink>
      <w:r w:rsidRPr="00330BDC">
        <w:rPr>
          <w:rFonts w:asciiTheme="minorHAnsi" w:hAnsiTheme="minorHAnsi"/>
        </w:rPr>
        <w:t>.</w:t>
      </w:r>
    </w:p>
  </w:footnote>
  <w:footnote w:id="59">
    <w:p w14:paraId="31C54F0E" w14:textId="77777777" w:rsidR="008659E4" w:rsidRPr="00F8635D" w:rsidRDefault="008659E4" w:rsidP="00BF676E">
      <w:pPr>
        <w:pStyle w:val="Textpoznpodarou"/>
        <w:ind w:left="284" w:hanging="284"/>
        <w:rPr>
          <w:rFonts w:asciiTheme="minorHAnsi" w:hAnsiTheme="minorHAnsi" w:cstheme="minorHAnsi"/>
        </w:rPr>
      </w:pPr>
      <w:r w:rsidRPr="00F8635D">
        <w:rPr>
          <w:rStyle w:val="Znakapoznpodarou"/>
          <w:rFonts w:asciiTheme="minorHAnsi" w:hAnsiTheme="minorHAnsi" w:cstheme="minorHAnsi"/>
        </w:rPr>
        <w:footnoteRef/>
      </w:r>
      <w:r w:rsidRPr="00F8635D">
        <w:rPr>
          <w:rFonts w:asciiTheme="minorHAnsi" w:hAnsiTheme="minorHAnsi" w:cstheme="minorHAnsi"/>
        </w:rPr>
        <w:t xml:space="preserve"> </w:t>
      </w:r>
      <w:r w:rsidRPr="00F8635D">
        <w:rPr>
          <w:rFonts w:asciiTheme="minorHAnsi" w:hAnsiTheme="minorHAnsi" w:cstheme="minorHAnsi"/>
        </w:rPr>
        <w:tab/>
      </w:r>
      <w:r w:rsidRPr="00F624C0">
        <w:rPr>
          <w:rFonts w:asciiTheme="minorHAnsi" w:hAnsiTheme="minorHAnsi" w:cstheme="minorHAnsi"/>
        </w:rPr>
        <w:t>Za objekty</w:t>
      </w:r>
      <w:r w:rsidRPr="00F8635D">
        <w:rPr>
          <w:rFonts w:asciiTheme="minorHAnsi" w:hAnsiTheme="minorHAnsi" w:cstheme="minorHAnsi"/>
        </w:rPr>
        <w:t xml:space="preserve"> </w:t>
      </w:r>
      <w:r w:rsidRPr="00F624C0">
        <w:rPr>
          <w:rFonts w:asciiTheme="minorHAnsi" w:hAnsiTheme="minorHAnsi" w:cstheme="minorHAnsi"/>
        </w:rPr>
        <w:t>evidované v CRAB jsou považovány pouze objekty, které jsou zobrazeny ve všech typech reportů CRAB a mohou být využitelné pro rozhodování o správě nemovitého majetku (objekty evidované na</w:t>
      </w:r>
      <w:r>
        <w:rPr>
          <w:rFonts w:asciiTheme="minorHAnsi" w:hAnsiTheme="minorHAnsi" w:cstheme="minorHAnsi"/>
        </w:rPr>
        <w:t xml:space="preserve"> </w:t>
      </w:r>
      <w:r w:rsidRPr="00F624C0">
        <w:rPr>
          <w:rFonts w:asciiTheme="minorHAnsi" w:hAnsiTheme="minorHAnsi" w:cstheme="minorHAnsi"/>
        </w:rPr>
        <w:t xml:space="preserve">administrátora vyřazeného majetku tedy nejsou zahrnuty). </w:t>
      </w:r>
    </w:p>
  </w:footnote>
  <w:footnote w:id="60">
    <w:p w14:paraId="7F93AC1F" w14:textId="2AA6273E" w:rsidR="008659E4" w:rsidRPr="00F624C0" w:rsidRDefault="008659E4" w:rsidP="0047577C">
      <w:pPr>
        <w:pStyle w:val="Textpoznpodarou"/>
        <w:ind w:left="284" w:hanging="284"/>
        <w:rPr>
          <w:rFonts w:asciiTheme="minorHAnsi" w:hAnsiTheme="minorHAnsi" w:cstheme="minorHAnsi"/>
        </w:rPr>
      </w:pPr>
      <w:r w:rsidRPr="00F624C0">
        <w:rPr>
          <w:rStyle w:val="Znakapoznpodarou"/>
          <w:rFonts w:asciiTheme="minorHAnsi" w:hAnsiTheme="minorHAnsi" w:cstheme="minorHAnsi"/>
        </w:rPr>
        <w:footnoteRef/>
      </w:r>
      <w:r w:rsidRPr="00F624C0">
        <w:rPr>
          <w:rFonts w:asciiTheme="minorHAnsi" w:hAnsiTheme="minorHAnsi" w:cstheme="minorHAnsi"/>
        </w:rPr>
        <w:t xml:space="preserve"> </w:t>
      </w:r>
      <w:r w:rsidRPr="00F624C0">
        <w:rPr>
          <w:rFonts w:asciiTheme="minorHAnsi" w:hAnsiTheme="minorHAnsi" w:cstheme="minorHAnsi"/>
        </w:rPr>
        <w:tab/>
      </w:r>
      <w:r w:rsidRPr="00702837">
        <w:rPr>
          <w:rFonts w:asciiTheme="minorHAnsi" w:hAnsiTheme="minorHAnsi" w:cstheme="minorHAnsi"/>
          <w:i/>
        </w:rPr>
        <w:t>Electronic Property Information Mapping Service</w:t>
      </w:r>
      <w:r>
        <w:rPr>
          <w:rFonts w:asciiTheme="minorHAnsi" w:hAnsiTheme="minorHAnsi" w:cstheme="minorHAnsi"/>
        </w:rPr>
        <w:t>.</w:t>
      </w:r>
    </w:p>
  </w:footnote>
  <w:footnote w:id="61">
    <w:p w14:paraId="2AA5104B" w14:textId="507B0349" w:rsidR="008659E4" w:rsidRPr="00F8635D" w:rsidRDefault="008659E4" w:rsidP="00D2455F">
      <w:pPr>
        <w:pStyle w:val="Textpoznpodarou"/>
        <w:ind w:left="284" w:hanging="284"/>
        <w:rPr>
          <w:rFonts w:asciiTheme="minorHAnsi" w:hAnsiTheme="minorHAnsi" w:cstheme="minorHAnsi"/>
        </w:rPr>
      </w:pPr>
      <w:r w:rsidRPr="00F8635D">
        <w:rPr>
          <w:rStyle w:val="Znakapoznpodarou"/>
          <w:rFonts w:asciiTheme="minorHAnsi" w:hAnsiTheme="minorHAnsi" w:cstheme="minorHAnsi"/>
        </w:rPr>
        <w:footnoteRef/>
      </w:r>
      <w:r w:rsidRPr="00F624C0">
        <w:rPr>
          <w:rFonts w:asciiTheme="minorHAnsi" w:hAnsiTheme="minorHAnsi" w:cstheme="minorHAnsi"/>
        </w:rPr>
        <w:t xml:space="preserve"> </w:t>
      </w:r>
      <w:r>
        <w:rPr>
          <w:rFonts w:asciiTheme="minorHAnsi" w:hAnsiTheme="minorHAnsi" w:cstheme="minorHAnsi"/>
        </w:rPr>
        <w:tab/>
        <w:t>T</w:t>
      </w:r>
      <w:r w:rsidRPr="00F8635D">
        <w:rPr>
          <w:rFonts w:asciiTheme="minorHAnsi" w:hAnsiTheme="minorHAnsi" w:cstheme="minorHAnsi"/>
        </w:rPr>
        <w:t xml:space="preserve">j. </w:t>
      </w:r>
      <w:r>
        <w:rPr>
          <w:rFonts w:asciiTheme="minorHAnsi" w:hAnsiTheme="minorHAnsi" w:cstheme="minorHAnsi"/>
        </w:rPr>
        <w:t xml:space="preserve">500 000 liber </w:t>
      </w:r>
      <w:r w:rsidRPr="00F8635D">
        <w:rPr>
          <w:rFonts w:asciiTheme="minorHAnsi" w:hAnsiTheme="minorHAnsi" w:cstheme="minorHAnsi"/>
        </w:rPr>
        <w:t xml:space="preserve">ročně při průměrném kurzu GBP/CZK v roce 2016 </w:t>
      </w:r>
      <w:r>
        <w:rPr>
          <w:rFonts w:asciiTheme="minorHAnsi" w:hAnsiTheme="minorHAnsi" w:cstheme="minorHAnsi"/>
        </w:rPr>
        <w:t>(</w:t>
      </w:r>
      <w:r w:rsidRPr="00F8635D">
        <w:rPr>
          <w:rFonts w:asciiTheme="minorHAnsi" w:hAnsiTheme="minorHAnsi" w:cstheme="minorHAnsi"/>
        </w:rPr>
        <w:t>1 GBP = 33</w:t>
      </w:r>
      <w:r>
        <w:rPr>
          <w:rFonts w:asciiTheme="minorHAnsi" w:hAnsiTheme="minorHAnsi" w:cstheme="minorHAnsi"/>
        </w:rPr>
        <w:t>,</w:t>
      </w:r>
      <w:r w:rsidRPr="00F8635D">
        <w:rPr>
          <w:rFonts w:asciiTheme="minorHAnsi" w:hAnsiTheme="minorHAnsi" w:cstheme="minorHAnsi"/>
        </w:rPr>
        <w:t>121 Kč</w:t>
      </w:r>
      <w:r>
        <w:rPr>
          <w:rFonts w:asciiTheme="minorHAnsi" w:hAnsiTheme="minorHAnsi" w:cstheme="minorHAnsi"/>
        </w:rPr>
        <w:t>).</w:t>
      </w:r>
    </w:p>
  </w:footnote>
  <w:footnote w:id="62">
    <w:p w14:paraId="0A69AACA" w14:textId="13B5ADC6" w:rsidR="008659E4" w:rsidRPr="00B32EFD" w:rsidRDefault="008659E4" w:rsidP="00D2455F">
      <w:pPr>
        <w:pStyle w:val="Textpoznpodarou"/>
        <w:ind w:left="284" w:hanging="284"/>
        <w:rPr>
          <w:rFonts w:asciiTheme="minorHAnsi" w:hAnsiTheme="minorHAnsi" w:cstheme="minorHAnsi"/>
        </w:rPr>
      </w:pPr>
      <w:r w:rsidRPr="00F624C0">
        <w:rPr>
          <w:rStyle w:val="Znakapoznpodarou"/>
          <w:rFonts w:asciiTheme="minorHAnsi" w:hAnsiTheme="minorHAnsi" w:cstheme="minorHAnsi"/>
        </w:rPr>
        <w:footnoteRef/>
      </w:r>
      <w:r w:rsidRPr="00F624C0">
        <w:rPr>
          <w:rFonts w:asciiTheme="minorHAnsi" w:hAnsiTheme="minorHAnsi" w:cstheme="minorHAnsi"/>
        </w:rPr>
        <w:t xml:space="preserve"> </w:t>
      </w:r>
      <w:r>
        <w:rPr>
          <w:rFonts w:asciiTheme="minorHAnsi" w:hAnsiTheme="minorHAnsi" w:cstheme="minorHAnsi"/>
        </w:rPr>
        <w:tab/>
      </w:r>
      <w:r w:rsidRPr="00F624C0">
        <w:rPr>
          <w:rFonts w:asciiTheme="minorHAnsi" w:hAnsiTheme="minorHAnsi" w:cstheme="minorHAnsi"/>
        </w:rPr>
        <w:t>Ustanovení §14a odst. 1 zákona č. 219/2000 Sb.</w:t>
      </w:r>
    </w:p>
  </w:footnote>
  <w:footnote w:id="63">
    <w:p w14:paraId="5D62E52A" w14:textId="6AA9FB64" w:rsidR="008659E4" w:rsidRPr="00143400" w:rsidRDefault="008659E4" w:rsidP="0047577C">
      <w:pPr>
        <w:pStyle w:val="Textpoznpodarou"/>
        <w:ind w:left="284" w:hanging="284"/>
        <w:rPr>
          <w:rFonts w:asciiTheme="minorHAnsi" w:hAnsiTheme="minorHAnsi" w:cstheme="minorHAnsi"/>
        </w:rPr>
      </w:pPr>
      <w:r w:rsidRPr="00143400">
        <w:rPr>
          <w:rStyle w:val="Znakapoznpodarou"/>
          <w:rFonts w:asciiTheme="minorHAnsi" w:hAnsiTheme="minorHAnsi" w:cstheme="minorHAnsi"/>
        </w:rPr>
        <w:footnoteRef/>
      </w:r>
      <w:r w:rsidRPr="00143400">
        <w:rPr>
          <w:rFonts w:asciiTheme="minorHAnsi" w:hAnsiTheme="minorHAnsi" w:cstheme="minorHAnsi"/>
        </w:rPr>
        <w:t xml:space="preserve"> </w:t>
      </w:r>
      <w:r>
        <w:rPr>
          <w:rFonts w:asciiTheme="minorHAnsi" w:hAnsiTheme="minorHAnsi" w:cstheme="minorHAnsi"/>
        </w:rPr>
        <w:tab/>
      </w:r>
      <w:r w:rsidRPr="00143400">
        <w:rPr>
          <w:rFonts w:asciiTheme="minorHAnsi" w:hAnsiTheme="minorHAnsi" w:cstheme="minorHAnsi"/>
        </w:rPr>
        <w:t>Z</w:t>
      </w:r>
      <w:r>
        <w:rPr>
          <w:rFonts w:asciiTheme="minorHAnsi" w:hAnsiTheme="minorHAnsi" w:cstheme="minorHAnsi"/>
        </w:rPr>
        <w:t xml:space="preserve"> celkového počtu </w:t>
      </w:r>
      <w:r w:rsidRPr="00143400">
        <w:rPr>
          <w:rFonts w:asciiTheme="minorHAnsi" w:hAnsiTheme="minorHAnsi" w:cstheme="minorHAnsi"/>
        </w:rPr>
        <w:t>2</w:t>
      </w:r>
      <w:r>
        <w:rPr>
          <w:rFonts w:asciiTheme="minorHAnsi" w:hAnsiTheme="minorHAnsi" w:cstheme="minorHAnsi"/>
        </w:rPr>
        <w:t> </w:t>
      </w:r>
      <w:r w:rsidRPr="00143400">
        <w:rPr>
          <w:rFonts w:asciiTheme="minorHAnsi" w:hAnsiTheme="minorHAnsi" w:cstheme="minorHAnsi"/>
        </w:rPr>
        <w:t>475</w:t>
      </w:r>
      <w:r>
        <w:rPr>
          <w:rFonts w:asciiTheme="minorHAnsi" w:hAnsiTheme="minorHAnsi" w:cstheme="minorHAnsi"/>
        </w:rPr>
        <w:t xml:space="preserve"> upozornění</w:t>
      </w:r>
      <w:r w:rsidRPr="00143400">
        <w:rPr>
          <w:rFonts w:asciiTheme="minorHAnsi" w:hAnsiTheme="minorHAnsi" w:cstheme="minorHAnsi"/>
        </w:rPr>
        <w:t xml:space="preserve"> </w:t>
      </w:r>
      <w:r>
        <w:rPr>
          <w:rFonts w:asciiTheme="minorHAnsi" w:hAnsiTheme="minorHAnsi" w:cstheme="minorHAnsi"/>
        </w:rPr>
        <w:t>v období roku 2015–2016</w:t>
      </w:r>
      <w:r w:rsidRPr="00143400">
        <w:rPr>
          <w:rFonts w:asciiTheme="minorHAnsi" w:hAnsiTheme="minorHAnsi" w:cstheme="minorHAnsi"/>
        </w:rPr>
        <w:t xml:space="preserve"> </w:t>
      </w:r>
      <w:r>
        <w:rPr>
          <w:rFonts w:asciiTheme="minorHAnsi" w:hAnsiTheme="minorHAnsi" w:cstheme="minorHAnsi"/>
        </w:rPr>
        <w:t xml:space="preserve">v </w:t>
      </w:r>
      <w:r w:rsidRPr="00143400">
        <w:rPr>
          <w:rFonts w:asciiTheme="minorHAnsi" w:hAnsiTheme="minorHAnsi" w:cstheme="minorHAnsi"/>
        </w:rPr>
        <w:t xml:space="preserve">866 </w:t>
      </w:r>
      <w:r>
        <w:rPr>
          <w:rFonts w:asciiTheme="minorHAnsi" w:hAnsiTheme="minorHAnsi" w:cstheme="minorHAnsi"/>
        </w:rPr>
        <w:t>(tj. 30 %) příslušné institu</w:t>
      </w:r>
      <w:r w:rsidRPr="00143400">
        <w:rPr>
          <w:rFonts w:asciiTheme="minorHAnsi" w:hAnsiTheme="minorHAnsi" w:cstheme="minorHAnsi"/>
        </w:rPr>
        <w:t>ce n</w:t>
      </w:r>
      <w:r>
        <w:rPr>
          <w:rFonts w:asciiTheme="minorHAnsi" w:hAnsiTheme="minorHAnsi" w:cstheme="minorHAnsi"/>
        </w:rPr>
        <w:t>eodpověděly</w:t>
      </w:r>
      <w:r w:rsidRPr="00143400">
        <w:rPr>
          <w:rFonts w:asciiTheme="minorHAnsi" w:hAnsiTheme="minorHAnsi" w:cstheme="minorHAnsi"/>
        </w:rPr>
        <w:t xml:space="preserve">. </w:t>
      </w:r>
    </w:p>
  </w:footnote>
  <w:footnote w:id="64">
    <w:p w14:paraId="2B3564F3" w14:textId="4949F8B3" w:rsidR="008659E4" w:rsidRPr="00F60901" w:rsidRDefault="008659E4" w:rsidP="00FC0D39">
      <w:pPr>
        <w:pStyle w:val="Textpoznpodarou"/>
        <w:ind w:left="284" w:hanging="284"/>
        <w:jc w:val="left"/>
        <w:rPr>
          <w:rFonts w:asciiTheme="minorHAnsi" w:hAnsiTheme="minorHAnsi"/>
        </w:rPr>
      </w:pPr>
      <w:r w:rsidRPr="00F60901">
        <w:rPr>
          <w:rStyle w:val="Znakapoznpodarou"/>
          <w:rFonts w:asciiTheme="minorHAnsi" w:hAnsiTheme="minorHAnsi"/>
        </w:rPr>
        <w:footnoteRef/>
      </w:r>
      <w:r w:rsidRPr="00F60901">
        <w:rPr>
          <w:rFonts w:asciiTheme="minorHAnsi" w:hAnsiTheme="minorHAnsi"/>
        </w:rPr>
        <w:t xml:space="preserve"> </w:t>
      </w:r>
      <w:r>
        <w:rPr>
          <w:rFonts w:asciiTheme="minorHAnsi" w:hAnsiTheme="minorHAnsi"/>
        </w:rPr>
        <w:tab/>
        <w:t xml:space="preserve">Dostupné na adrese: </w:t>
      </w:r>
      <w:hyperlink r:id="rId2" w:history="1">
        <w:r w:rsidRPr="005F4F88">
          <w:rPr>
            <w:rStyle w:val="Hypertextovodkaz"/>
            <w:rFonts w:asciiTheme="minorHAnsi" w:hAnsiTheme="minorHAnsi"/>
          </w:rPr>
          <w:t>http://www.uzsvm.cz/cervenec-2434-0-85/ministerstvo-financi-zpristupnilo-dalsi-data-tentokrat-z-registru-budov-125111/</w:t>
        </w:r>
      </w:hyperlink>
      <w:r>
        <w:rPr>
          <w:rFonts w:asciiTheme="minorHAnsi" w:hAnsiTheme="minorHAnsi"/>
        </w:rPr>
        <w:t>.</w:t>
      </w:r>
    </w:p>
  </w:footnote>
  <w:footnote w:id="65">
    <w:p w14:paraId="1DA53428" w14:textId="3ECF39E2" w:rsidR="008659E4" w:rsidRPr="00E172DA" w:rsidRDefault="008659E4" w:rsidP="00746FFD">
      <w:pPr>
        <w:pStyle w:val="Textpoznpodarou"/>
        <w:ind w:left="284" w:hanging="284"/>
        <w:rPr>
          <w:rFonts w:asciiTheme="minorHAnsi" w:hAnsiTheme="minorHAnsi" w:cstheme="minorHAnsi"/>
        </w:rPr>
      </w:pPr>
      <w:r w:rsidRPr="00E172DA">
        <w:rPr>
          <w:rStyle w:val="Znakapoznpodarou"/>
          <w:rFonts w:asciiTheme="minorHAnsi" w:hAnsiTheme="minorHAnsi" w:cstheme="minorHAnsi"/>
        </w:rPr>
        <w:footnoteRef/>
      </w:r>
      <w:r w:rsidRPr="00E172DA">
        <w:rPr>
          <w:rFonts w:asciiTheme="minorHAnsi" w:hAnsiTheme="minorHAnsi" w:cstheme="minorHAnsi"/>
        </w:rPr>
        <w:t xml:space="preserve"> </w:t>
      </w:r>
      <w:r>
        <w:rPr>
          <w:rFonts w:asciiTheme="minorHAnsi" w:hAnsiTheme="minorHAnsi" w:cstheme="minorHAnsi"/>
        </w:rPr>
        <w:tab/>
      </w:r>
      <w:r w:rsidRPr="00702837">
        <w:rPr>
          <w:rFonts w:asciiTheme="minorHAnsi" w:hAnsiTheme="minorHAnsi" w:cstheme="minorHAnsi"/>
          <w:i/>
        </w:rPr>
        <w:t>Request for Information</w:t>
      </w:r>
      <w:r>
        <w:rPr>
          <w:rFonts w:asciiTheme="minorHAnsi" w:hAnsiTheme="minorHAnsi" w:cstheme="minorHAnsi"/>
        </w:rPr>
        <w:t>.</w:t>
      </w:r>
    </w:p>
  </w:footnote>
  <w:footnote w:id="66">
    <w:p w14:paraId="31A0D47C" w14:textId="371EBAEA" w:rsidR="008659E4" w:rsidRPr="00245347" w:rsidRDefault="008659E4" w:rsidP="0047577C">
      <w:pPr>
        <w:pStyle w:val="Textpoznpodarou"/>
        <w:ind w:left="284" w:hanging="284"/>
        <w:rPr>
          <w:rFonts w:asciiTheme="minorHAnsi" w:hAnsiTheme="minorHAnsi" w:cstheme="minorHAnsi"/>
        </w:rPr>
      </w:pPr>
      <w:r w:rsidRPr="00245347">
        <w:rPr>
          <w:rStyle w:val="Znakapoznpodarou"/>
          <w:rFonts w:asciiTheme="minorHAnsi" w:hAnsiTheme="minorHAnsi" w:cstheme="minorHAnsi"/>
        </w:rPr>
        <w:footnoteRef/>
      </w:r>
      <w:r w:rsidRPr="00245347">
        <w:rPr>
          <w:rFonts w:asciiTheme="minorHAnsi" w:hAnsiTheme="minorHAnsi" w:cstheme="minorHAnsi"/>
        </w:rPr>
        <w:t xml:space="preserve"> </w:t>
      </w:r>
      <w:r>
        <w:rPr>
          <w:rFonts w:asciiTheme="minorHAnsi" w:hAnsiTheme="minorHAnsi" w:cstheme="minorHAnsi"/>
        </w:rPr>
        <w:tab/>
        <w:t xml:space="preserve">Ustanovení § 5 odst. 2 písm. e) </w:t>
      </w:r>
      <w:r w:rsidRPr="00245347">
        <w:rPr>
          <w:rFonts w:asciiTheme="minorHAnsi" w:hAnsiTheme="minorHAnsi" w:cstheme="minorHAnsi"/>
        </w:rPr>
        <w:t>zákona č. 365/2000 Sb.</w:t>
      </w:r>
      <w:r>
        <w:rPr>
          <w:rFonts w:asciiTheme="minorHAnsi" w:hAnsiTheme="minorHAnsi" w:cstheme="minorHAnsi"/>
        </w:rPr>
        <w:t xml:space="preserve">, </w:t>
      </w:r>
      <w:r w:rsidRPr="00937992">
        <w:rPr>
          <w:rFonts w:asciiTheme="minorHAnsi" w:hAnsiTheme="minorHAnsi" w:cstheme="minorHAnsi"/>
        </w:rPr>
        <w:t>o informačních systémech veřejné správy a</w:t>
      </w:r>
      <w:r>
        <w:rPr>
          <w:rFonts w:asciiTheme="minorHAnsi" w:hAnsiTheme="minorHAnsi" w:cstheme="minorHAnsi"/>
        </w:rPr>
        <w:t> </w:t>
      </w:r>
      <w:r w:rsidRPr="00937992">
        <w:rPr>
          <w:rFonts w:asciiTheme="minorHAnsi" w:hAnsiTheme="minorHAnsi" w:cstheme="minorHAnsi"/>
        </w:rPr>
        <w:t>o</w:t>
      </w:r>
      <w:r>
        <w:rPr>
          <w:rFonts w:asciiTheme="minorHAnsi" w:hAnsiTheme="minorHAnsi" w:cstheme="minorHAnsi"/>
        </w:rPr>
        <w:t> </w:t>
      </w:r>
      <w:r w:rsidRPr="00937992">
        <w:rPr>
          <w:rFonts w:asciiTheme="minorHAnsi" w:hAnsiTheme="minorHAnsi" w:cstheme="minorHAnsi"/>
        </w:rPr>
        <w:t>změně některých dalších zákonů</w:t>
      </w:r>
      <w:r>
        <w:rPr>
          <w:rFonts w:asciiTheme="minorHAnsi" w:hAnsiTheme="minorHAnsi" w:cstheme="minorHAnsi"/>
        </w:rPr>
        <w:t>.</w:t>
      </w:r>
    </w:p>
  </w:footnote>
  <w:footnote w:id="67">
    <w:p w14:paraId="7F9B816D" w14:textId="34F3C469" w:rsidR="008659E4" w:rsidRPr="0025781C" w:rsidRDefault="008659E4" w:rsidP="0047577C">
      <w:pPr>
        <w:pStyle w:val="Textpoznpodarou"/>
        <w:ind w:left="284" w:hanging="284"/>
        <w:rPr>
          <w:rFonts w:asciiTheme="minorHAnsi" w:hAnsiTheme="minorHAnsi" w:cstheme="minorHAnsi"/>
        </w:rPr>
      </w:pPr>
      <w:r w:rsidRPr="0025781C">
        <w:rPr>
          <w:rStyle w:val="Znakapoznpodarou"/>
          <w:rFonts w:asciiTheme="minorHAnsi" w:hAnsiTheme="minorHAnsi" w:cstheme="minorHAnsi"/>
        </w:rPr>
        <w:footnoteRef/>
      </w:r>
      <w:r w:rsidRPr="0025781C">
        <w:rPr>
          <w:rFonts w:asciiTheme="minorHAnsi" w:hAnsiTheme="minorHAnsi" w:cstheme="minorHAnsi"/>
        </w:rPr>
        <w:t xml:space="preserve"> </w:t>
      </w:r>
      <w:r>
        <w:rPr>
          <w:rFonts w:asciiTheme="minorHAnsi" w:hAnsiTheme="minorHAnsi" w:cstheme="minorHAnsi"/>
        </w:rPr>
        <w:tab/>
        <w:t>Z</w:t>
      </w:r>
      <w:r w:rsidRPr="0025781C">
        <w:rPr>
          <w:rFonts w:asciiTheme="minorHAnsi" w:hAnsiTheme="minorHAnsi" w:cstheme="minorHAnsi"/>
        </w:rPr>
        <w:t>ákon č. 51/2016 Sb.</w:t>
      </w:r>
      <w:r>
        <w:rPr>
          <w:rFonts w:asciiTheme="minorHAnsi" w:hAnsiTheme="minorHAnsi" w:cstheme="minorHAnsi"/>
        </w:rPr>
        <w:t xml:space="preserve">, </w:t>
      </w:r>
      <w:r w:rsidRPr="007D684E">
        <w:rPr>
          <w:rFonts w:asciiTheme="minorHAnsi" w:hAnsiTheme="minorHAnsi" w:cstheme="minorHAnsi"/>
        </w:rPr>
        <w:t>kterým se mění zákon č. 219/2000 Sb., o majetku České republiky a jejím vystupování v</w:t>
      </w:r>
      <w:r>
        <w:rPr>
          <w:rFonts w:asciiTheme="minorHAnsi" w:hAnsiTheme="minorHAnsi" w:cstheme="minorHAnsi"/>
        </w:rPr>
        <w:t> </w:t>
      </w:r>
      <w:r w:rsidRPr="007D684E">
        <w:rPr>
          <w:rFonts w:asciiTheme="minorHAnsi" w:hAnsiTheme="minorHAnsi" w:cstheme="minorHAnsi"/>
        </w:rPr>
        <w:t>právních vztazích, ve znění pozdějších předpisů, a některé další zákony</w:t>
      </w:r>
      <w:r>
        <w:rPr>
          <w:rFonts w:asciiTheme="minorHAnsi" w:hAnsiTheme="minorHAnsi" w:cstheme="minorHAnsi"/>
        </w:rPr>
        <w:t>.</w:t>
      </w:r>
    </w:p>
  </w:footnote>
  <w:footnote w:id="68">
    <w:p w14:paraId="0BC13534" w14:textId="3BD89BDB" w:rsidR="008659E4" w:rsidRPr="000B0EA6" w:rsidRDefault="008659E4" w:rsidP="0047577C">
      <w:pPr>
        <w:pStyle w:val="Textpoznpodarou"/>
        <w:ind w:left="284" w:hanging="284"/>
        <w:rPr>
          <w:rFonts w:asciiTheme="minorHAnsi" w:hAnsiTheme="minorHAnsi" w:cstheme="minorHAnsi"/>
        </w:rPr>
      </w:pPr>
      <w:r w:rsidRPr="000B0EA6">
        <w:rPr>
          <w:rStyle w:val="Znakapoznpodarou"/>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ab/>
        <w:t xml:space="preserve">Zákon č. 104/2017 Sb., </w:t>
      </w:r>
      <w:r w:rsidRPr="000B0EA6">
        <w:rPr>
          <w:rFonts w:asciiTheme="minorHAnsi" w:hAnsiTheme="minorHAnsi" w:cstheme="minorHAnsi"/>
        </w:rPr>
        <w:t>kterým se mění zákon č. 365/2000 Sb., o informačních systémech veřejné správy a</w:t>
      </w:r>
      <w:r>
        <w:rPr>
          <w:rFonts w:asciiTheme="minorHAnsi" w:hAnsiTheme="minorHAnsi" w:cstheme="minorHAnsi"/>
        </w:rPr>
        <w:t> </w:t>
      </w:r>
      <w:r w:rsidRPr="000B0EA6">
        <w:rPr>
          <w:rFonts w:asciiTheme="minorHAnsi" w:hAnsiTheme="minorHAnsi" w:cstheme="minorHAnsi"/>
        </w:rPr>
        <w:t>o</w:t>
      </w:r>
      <w:r>
        <w:rPr>
          <w:rFonts w:asciiTheme="minorHAnsi" w:hAnsiTheme="minorHAnsi" w:cstheme="minorHAnsi"/>
        </w:rPr>
        <w:t> </w:t>
      </w:r>
      <w:r w:rsidRPr="000B0EA6">
        <w:rPr>
          <w:rFonts w:asciiTheme="minorHAnsi" w:hAnsiTheme="minorHAnsi" w:cstheme="minorHAnsi"/>
        </w:rPr>
        <w:t>změně některých dalších zákonů, ve znění pozdějších předpisů, zákon č. 181/2014 Sb., o kybernetické bezpečnosti a o změně souvisejících zákonů (zákon o kybernetické bezpečnosti), a některé další zákony</w:t>
      </w:r>
      <w:r>
        <w:rPr>
          <w:rFonts w:asciiTheme="minorHAnsi" w:hAnsiTheme="minorHAnsi" w:cstheme="minorHAnsi"/>
        </w:rPr>
        <w:t>.</w:t>
      </w:r>
    </w:p>
  </w:footnote>
  <w:footnote w:id="69">
    <w:p w14:paraId="7B2AEEB3" w14:textId="7ECFB931" w:rsidR="008659E4" w:rsidRPr="00AE3C64" w:rsidRDefault="008659E4" w:rsidP="0047577C">
      <w:pPr>
        <w:pStyle w:val="Textpoznpodarou"/>
        <w:ind w:left="284" w:hanging="284"/>
        <w:rPr>
          <w:rFonts w:asciiTheme="minorHAnsi" w:hAnsiTheme="minorHAnsi" w:cstheme="minorHAnsi"/>
        </w:rPr>
      </w:pPr>
      <w:r w:rsidRPr="00AE3C64">
        <w:rPr>
          <w:rStyle w:val="Znakapoznpodarou"/>
          <w:rFonts w:asciiTheme="minorHAnsi" w:hAnsiTheme="minorHAnsi" w:cstheme="minorHAnsi"/>
        </w:rPr>
        <w:footnoteRef/>
      </w:r>
      <w:r>
        <w:rPr>
          <w:rFonts w:asciiTheme="minorHAnsi" w:hAnsiTheme="minorHAnsi" w:cstheme="minorHAnsi"/>
        </w:rPr>
        <w:tab/>
        <w:t xml:space="preserve">Dle zákona č. </w:t>
      </w:r>
      <w:r w:rsidRPr="00152616">
        <w:rPr>
          <w:rFonts w:asciiTheme="minorHAnsi" w:hAnsiTheme="minorHAnsi" w:cstheme="minorHAnsi"/>
        </w:rPr>
        <w:t>412/2005 Sb., o ochraně utajovaných skutečností a o bezpečnostní způsobilosti</w:t>
      </w:r>
      <w:r>
        <w:rPr>
          <w:rFonts w:asciiTheme="minorHAnsi" w:hAnsiTheme="minorHAnsi" w:cstheme="minorHAnsi"/>
        </w:rPr>
        <w:t>.</w:t>
      </w:r>
      <w:r w:rsidRPr="00152616" w:rsidDel="00835682">
        <w:rPr>
          <w:rFonts w:asciiTheme="minorHAnsi" w:hAnsiTheme="minorHAnsi" w:cstheme="minorHAnsi"/>
        </w:rPr>
        <w:t xml:space="preserve"> </w:t>
      </w:r>
    </w:p>
  </w:footnote>
  <w:footnote w:id="70">
    <w:p w14:paraId="5544EBF2" w14:textId="02008A76" w:rsidR="008659E4" w:rsidRPr="00F8635D" w:rsidRDefault="008659E4" w:rsidP="00D2455F">
      <w:pPr>
        <w:pStyle w:val="Textpoznpodarou"/>
        <w:tabs>
          <w:tab w:val="left" w:pos="284"/>
        </w:tabs>
        <w:ind w:left="284" w:hanging="284"/>
        <w:rPr>
          <w:rFonts w:asciiTheme="minorHAnsi" w:hAnsiTheme="minorHAnsi"/>
        </w:rPr>
      </w:pPr>
      <w:r w:rsidRPr="00F8635D">
        <w:rPr>
          <w:rStyle w:val="Znakapoznpodarou"/>
          <w:rFonts w:asciiTheme="minorHAnsi" w:hAnsiTheme="minorHAnsi"/>
        </w:rPr>
        <w:footnoteRef/>
      </w:r>
      <w:r w:rsidRPr="00F8635D">
        <w:rPr>
          <w:rFonts w:asciiTheme="minorHAnsi" w:hAnsiTheme="minorHAnsi"/>
        </w:rPr>
        <w:t xml:space="preserve"> </w:t>
      </w:r>
      <w:r>
        <w:rPr>
          <w:rFonts w:asciiTheme="minorHAnsi" w:hAnsiTheme="minorHAnsi"/>
        </w:rPr>
        <w:tab/>
      </w:r>
      <w:r w:rsidRPr="00F8635D">
        <w:rPr>
          <w:rFonts w:asciiTheme="minorHAnsi" w:hAnsiTheme="minorHAnsi"/>
        </w:rPr>
        <w:t xml:space="preserve">Metoda vzájemného srovnání objektů na základě poměrových ukazatelů </w:t>
      </w:r>
      <w:r>
        <w:rPr>
          <w:rFonts w:asciiTheme="minorHAnsi" w:hAnsiTheme="minorHAnsi"/>
        </w:rPr>
        <w:t xml:space="preserve">vypočtených z dat evidovaných v informačních systémech </w:t>
      </w:r>
      <w:r w:rsidRPr="00F8635D">
        <w:rPr>
          <w:rFonts w:asciiTheme="minorHAnsi" w:hAnsiTheme="minorHAnsi"/>
        </w:rPr>
        <w:t>a metoda vícenásobných regresních modelů při zohledňování více údajů o</w:t>
      </w:r>
      <w:r>
        <w:rPr>
          <w:rFonts w:asciiTheme="minorHAnsi" w:hAnsiTheme="minorHAnsi"/>
        </w:rPr>
        <w:t> </w:t>
      </w:r>
      <w:r w:rsidRPr="00F8635D">
        <w:rPr>
          <w:rFonts w:asciiTheme="minorHAnsi" w:hAnsiTheme="minorHAnsi"/>
        </w:rPr>
        <w:t>objektech.</w:t>
      </w:r>
    </w:p>
  </w:footnote>
  <w:footnote w:id="71">
    <w:p w14:paraId="4B66EF01" w14:textId="77777777" w:rsidR="008659E4" w:rsidRPr="009B49A8" w:rsidRDefault="008659E4" w:rsidP="00CD6733">
      <w:pPr>
        <w:pStyle w:val="Textpoznpodarou"/>
        <w:ind w:left="284" w:hanging="284"/>
        <w:rPr>
          <w:rFonts w:asciiTheme="minorHAnsi" w:hAnsiTheme="minorHAnsi" w:cstheme="minorHAnsi"/>
        </w:rPr>
      </w:pPr>
      <w:r w:rsidRPr="009B49A8">
        <w:rPr>
          <w:rStyle w:val="Znakapoznpodarou"/>
          <w:rFonts w:asciiTheme="minorHAnsi" w:hAnsiTheme="minorHAnsi" w:cstheme="minorHAnsi"/>
        </w:rPr>
        <w:footnoteRef/>
      </w:r>
      <w:r w:rsidRPr="009B49A8">
        <w:rPr>
          <w:rFonts w:asciiTheme="minorHAnsi" w:hAnsiTheme="minorHAnsi" w:cstheme="minorHAnsi"/>
        </w:rPr>
        <w:t xml:space="preserve"> </w:t>
      </w:r>
      <w:r>
        <w:rPr>
          <w:rFonts w:asciiTheme="minorHAnsi" w:hAnsiTheme="minorHAnsi" w:cstheme="minorHAnsi"/>
        </w:rPr>
        <w:tab/>
      </w:r>
      <w:r w:rsidRPr="009B49A8">
        <w:rPr>
          <w:rFonts w:asciiTheme="minorHAnsi" w:hAnsiTheme="minorHAnsi" w:cstheme="minorHAnsi"/>
        </w:rPr>
        <w:t>Projekt BIEP (</w:t>
      </w:r>
      <w:r w:rsidRPr="00702837">
        <w:rPr>
          <w:rFonts w:asciiTheme="minorHAnsi" w:hAnsiTheme="minorHAnsi" w:cstheme="minorHAnsi"/>
          <w:i/>
        </w:rPr>
        <w:t>Benchmarking Information Exchange Projekt</w:t>
      </w:r>
      <w:r w:rsidRPr="009B49A8">
        <w:rPr>
          <w:rFonts w:asciiTheme="minorHAnsi" w:hAnsiTheme="minorHAnsi" w:cstheme="minorHAnsi"/>
        </w:rPr>
        <w:t xml:space="preserve">) je </w:t>
      </w:r>
      <w:r w:rsidRPr="009B49A8">
        <w:rPr>
          <w:rFonts w:asciiTheme="minorHAnsi" w:hAnsiTheme="minorHAnsi"/>
        </w:rPr>
        <w:t>realizován na základě § 16 zákona č. 166/1993</w:t>
      </w:r>
      <w:r>
        <w:rPr>
          <w:rFonts w:asciiTheme="minorHAnsi" w:hAnsiTheme="minorHAnsi"/>
        </w:rPr>
        <w:t> </w:t>
      </w:r>
      <w:r w:rsidRPr="009B49A8">
        <w:rPr>
          <w:rFonts w:asciiTheme="minorHAnsi" w:hAnsiTheme="minorHAnsi"/>
        </w:rPr>
        <w:t>Sb., o Nejvyšším kontrolním úřadu.</w:t>
      </w:r>
    </w:p>
  </w:footnote>
  <w:footnote w:id="72">
    <w:p w14:paraId="46EBD560" w14:textId="1A39DBCC" w:rsidR="008659E4" w:rsidRPr="00615E48" w:rsidRDefault="008659E4" w:rsidP="00CD6733">
      <w:pPr>
        <w:pStyle w:val="Textpoznpodarou"/>
        <w:ind w:left="284" w:hanging="284"/>
        <w:rPr>
          <w:rFonts w:asciiTheme="minorHAnsi" w:hAnsiTheme="minorHAnsi"/>
        </w:rPr>
      </w:pPr>
      <w:r w:rsidRPr="006919FD">
        <w:rPr>
          <w:rStyle w:val="Znakapoznpodarou"/>
          <w:rFonts w:asciiTheme="minorHAnsi" w:hAnsiTheme="minorHAnsi"/>
        </w:rPr>
        <w:footnoteRef/>
      </w:r>
      <w:r w:rsidRPr="006919FD">
        <w:rPr>
          <w:rFonts w:asciiTheme="minorHAnsi" w:hAnsiTheme="minorHAnsi"/>
        </w:rPr>
        <w:t xml:space="preserve"> </w:t>
      </w:r>
      <w:r>
        <w:rPr>
          <w:rFonts w:asciiTheme="minorHAnsi" w:hAnsiTheme="minorHAnsi"/>
        </w:rPr>
        <w:tab/>
      </w:r>
      <w:r w:rsidRPr="00702837">
        <w:rPr>
          <w:rFonts w:asciiTheme="minorHAnsi" w:hAnsiTheme="minorHAnsi"/>
          <w:i/>
        </w:rPr>
        <w:t>New Property Model</w:t>
      </w:r>
      <w:r w:rsidRPr="006919FD">
        <w:rPr>
          <w:rFonts w:asciiTheme="minorHAnsi" w:hAnsiTheme="minorHAnsi"/>
        </w:rPr>
        <w:t xml:space="preserve"> by měl do roku 2020 zajistit centralizaci vlastnictví a řízení kancelářských prostor a dalších nemovitostí, které by měly být převedeny do správy nově vzniklé agentury (GPA). GPA by měla požadovat za využití prostor </w:t>
      </w:r>
      <w:r>
        <w:rPr>
          <w:rFonts w:asciiTheme="minorHAnsi" w:hAnsiTheme="minorHAnsi"/>
        </w:rPr>
        <w:t xml:space="preserve">státními institucemi </w:t>
      </w:r>
      <w:r w:rsidRPr="006919FD">
        <w:rPr>
          <w:rFonts w:asciiTheme="minorHAnsi" w:hAnsiTheme="minorHAnsi"/>
        </w:rPr>
        <w:t xml:space="preserve">tržní nájemné. Účelem </w:t>
      </w:r>
      <w:r>
        <w:rPr>
          <w:rFonts w:asciiTheme="minorHAnsi" w:hAnsiTheme="minorHAnsi"/>
        </w:rPr>
        <w:t>nájemného</w:t>
      </w:r>
      <w:r w:rsidRPr="006919FD">
        <w:rPr>
          <w:rFonts w:asciiTheme="minorHAnsi" w:hAnsiTheme="minorHAnsi"/>
        </w:rPr>
        <w:t xml:space="preserve"> je větší transparentnost nákladů a vytvoření motivace k větší spolupráci.</w:t>
      </w:r>
      <w:r w:rsidRPr="005F3665">
        <w:rPr>
          <w:rFonts w:asciiTheme="minorHAnsi" w:hAnsiTheme="minorHAnsi"/>
        </w:rPr>
        <w:t xml:space="preserve"> </w:t>
      </w:r>
    </w:p>
  </w:footnote>
  <w:footnote w:id="73">
    <w:p w14:paraId="35B0C388" w14:textId="1975D9D8" w:rsidR="008659E4" w:rsidRPr="00615E48" w:rsidRDefault="008659E4" w:rsidP="00FC0D39">
      <w:pPr>
        <w:pStyle w:val="Textpoznpodarou"/>
        <w:ind w:left="284" w:hanging="284"/>
        <w:jc w:val="left"/>
        <w:rPr>
          <w:rFonts w:asciiTheme="minorHAnsi" w:hAnsiTheme="minorHAnsi"/>
        </w:rPr>
      </w:pPr>
      <w:r w:rsidRPr="00615E48">
        <w:rPr>
          <w:rStyle w:val="Znakapoznpodarou"/>
          <w:rFonts w:asciiTheme="minorHAnsi" w:hAnsiTheme="minorHAnsi"/>
        </w:rPr>
        <w:footnoteRef/>
      </w:r>
      <w:r w:rsidRPr="00615E48">
        <w:rPr>
          <w:rFonts w:asciiTheme="minorHAnsi" w:hAnsiTheme="minorHAnsi"/>
        </w:rPr>
        <w:t xml:space="preserve"> </w:t>
      </w:r>
      <w:r>
        <w:rPr>
          <w:rFonts w:asciiTheme="minorHAnsi" w:hAnsiTheme="minorHAnsi"/>
        </w:rPr>
        <w:tab/>
      </w:r>
      <w:r w:rsidRPr="00702837">
        <w:rPr>
          <w:rFonts w:ascii="Calibri" w:hAnsi="Calibri"/>
          <w:i/>
        </w:rPr>
        <w:t>Progress on the goverment estate strategy</w:t>
      </w:r>
      <w:r>
        <w:rPr>
          <w:rFonts w:asciiTheme="minorHAnsi" w:hAnsiTheme="minorHAnsi"/>
        </w:rPr>
        <w:t xml:space="preserve">, zpráva je dostupná na adrese: </w:t>
      </w:r>
      <w:r w:rsidRPr="00BE6553">
        <w:rPr>
          <w:rStyle w:val="Hypertextovodkaz"/>
          <w:rFonts w:ascii="Calibri" w:hAnsi="Calibri" w:cs="Calibri"/>
        </w:rPr>
        <w:t>https://www.nao.org.uk/report/progress-on-the-government-estate-strategy/</w:t>
      </w:r>
      <w:r>
        <w:rPr>
          <w:rFonts w:asciiTheme="minorHAnsi" w:hAnsiTheme="minorHAnsi"/>
        </w:rPr>
        <w:t>.</w:t>
      </w:r>
    </w:p>
  </w:footnote>
  <w:footnote w:id="74">
    <w:p w14:paraId="594A117F" w14:textId="77777777" w:rsidR="008659E4" w:rsidRPr="00D312A2" w:rsidRDefault="008659E4" w:rsidP="00CD6733">
      <w:pPr>
        <w:pStyle w:val="Textpoznpodarou"/>
        <w:ind w:left="284" w:hanging="284"/>
        <w:rPr>
          <w:rFonts w:asciiTheme="minorHAnsi" w:hAnsiTheme="minorHAnsi" w:cstheme="minorHAnsi"/>
        </w:rPr>
      </w:pPr>
      <w:r w:rsidRPr="00D312A2">
        <w:rPr>
          <w:rStyle w:val="Znakapoznpodarou"/>
          <w:rFonts w:asciiTheme="minorHAnsi" w:hAnsiTheme="minorHAnsi" w:cstheme="minorHAnsi"/>
        </w:rPr>
        <w:footnoteRef/>
      </w:r>
      <w:r w:rsidRPr="00D312A2">
        <w:rPr>
          <w:rFonts w:asciiTheme="minorHAnsi" w:hAnsiTheme="minorHAnsi" w:cstheme="minorHAnsi"/>
        </w:rPr>
        <w:t xml:space="preserve"> </w:t>
      </w:r>
      <w:r>
        <w:rPr>
          <w:rFonts w:asciiTheme="minorHAnsi" w:hAnsiTheme="minorHAnsi" w:cstheme="minorHAnsi"/>
        </w:rPr>
        <w:tab/>
      </w:r>
      <w:r w:rsidRPr="00702837">
        <w:rPr>
          <w:rFonts w:asciiTheme="minorHAnsi" w:hAnsiTheme="minorHAnsi" w:cstheme="minorHAnsi"/>
          <w:i/>
        </w:rPr>
        <w:t xml:space="preserve">Smart working </w:t>
      </w:r>
      <w:r>
        <w:rPr>
          <w:rFonts w:asciiTheme="minorHAnsi" w:hAnsiTheme="minorHAnsi" w:cstheme="minorHAnsi"/>
        </w:rPr>
        <w:t>představuje</w:t>
      </w:r>
      <w:r w:rsidRPr="004E005F">
        <w:rPr>
          <w:rFonts w:asciiTheme="minorHAnsi" w:hAnsiTheme="minorHAnsi" w:cstheme="minorHAnsi"/>
        </w:rPr>
        <w:t xml:space="preserve"> přijetí komplexního a strategického přístupu k modernizaci pracovních postupů v</w:t>
      </w:r>
      <w:r>
        <w:rPr>
          <w:rFonts w:asciiTheme="minorHAnsi" w:hAnsiTheme="minorHAnsi" w:cstheme="minorHAnsi"/>
        </w:rPr>
        <w:t>e státní správě</w:t>
      </w:r>
      <w:r w:rsidRPr="004E005F">
        <w:rPr>
          <w:rFonts w:asciiTheme="minorHAnsi" w:hAnsiTheme="minorHAnsi" w:cstheme="minorHAnsi"/>
        </w:rPr>
        <w:t xml:space="preserve">. </w:t>
      </w:r>
    </w:p>
  </w:footnote>
  <w:footnote w:id="75">
    <w:p w14:paraId="098E0DDB" w14:textId="606E4DC1" w:rsidR="008659E4" w:rsidRDefault="008659E4" w:rsidP="00CD6733">
      <w:pPr>
        <w:pStyle w:val="Textpoznpodarou"/>
        <w:ind w:left="284" w:hanging="284"/>
      </w:pPr>
      <w:r>
        <w:rPr>
          <w:rStyle w:val="Znakapoznpodarou"/>
        </w:rPr>
        <w:footnoteRef/>
      </w:r>
      <w:r>
        <w:t xml:space="preserve"> </w:t>
      </w:r>
      <w:r>
        <w:tab/>
      </w:r>
      <w:r w:rsidRPr="00702837">
        <w:rPr>
          <w:rFonts w:asciiTheme="minorHAnsi" w:hAnsiTheme="minorHAnsi"/>
          <w:i/>
        </w:rPr>
        <w:t>Government Estate Strategy 2014</w:t>
      </w:r>
      <w:r>
        <w:rPr>
          <w:rFonts w:asciiTheme="minorHAnsi" w:hAnsiTheme="minorHAnsi"/>
        </w:rPr>
        <w:t>.</w:t>
      </w:r>
    </w:p>
  </w:footnote>
  <w:footnote w:id="76">
    <w:p w14:paraId="29B6406F" w14:textId="416DEBB6" w:rsidR="008659E4" w:rsidRPr="000D1610" w:rsidRDefault="008659E4" w:rsidP="00CD6733">
      <w:pPr>
        <w:pStyle w:val="Textpoznpodarou"/>
        <w:ind w:left="284" w:hanging="284"/>
        <w:rPr>
          <w:rFonts w:asciiTheme="minorHAnsi" w:hAnsiTheme="minorHAnsi" w:cstheme="minorHAnsi"/>
        </w:rPr>
      </w:pPr>
      <w:r w:rsidRPr="000D1610">
        <w:rPr>
          <w:rStyle w:val="Znakapoznpodarou"/>
          <w:rFonts w:asciiTheme="minorHAnsi" w:hAnsiTheme="minorHAnsi" w:cstheme="minorHAnsi"/>
        </w:rPr>
        <w:footnoteRef/>
      </w:r>
      <w:r w:rsidRPr="000D1610">
        <w:rPr>
          <w:rFonts w:asciiTheme="minorHAnsi" w:hAnsiTheme="minorHAnsi" w:cstheme="minorHAnsi"/>
        </w:rPr>
        <w:t xml:space="preserve"> </w:t>
      </w:r>
      <w:r>
        <w:rPr>
          <w:rFonts w:asciiTheme="minorHAnsi" w:hAnsiTheme="minorHAnsi" w:cstheme="minorHAnsi"/>
        </w:rPr>
        <w:tab/>
      </w:r>
      <w:r w:rsidRPr="00702837">
        <w:rPr>
          <w:rFonts w:asciiTheme="minorHAnsi" w:hAnsiTheme="minorHAnsi" w:cstheme="minorHAnsi"/>
          <w:i/>
        </w:rPr>
        <w:t>Net Internal Area</w:t>
      </w:r>
      <w:r w:rsidRPr="000A2764">
        <w:rPr>
          <w:rFonts w:asciiTheme="minorHAnsi" w:hAnsiTheme="minorHAnsi" w:cstheme="minorHAnsi"/>
        </w:rPr>
        <w:t xml:space="preserve"> (NIA) </w:t>
      </w:r>
      <w:r>
        <w:rPr>
          <w:rFonts w:asciiTheme="minorHAnsi" w:hAnsiTheme="minorHAnsi" w:cstheme="minorHAnsi"/>
        </w:rPr>
        <w:t>je plocha budovy vztažená k vnitřním vzdálenostem zdí na každém poschodí a zahrnuje také zasedací místnosti, kuchyňky, vestavěné skříně a vstupní místnosti.</w:t>
      </w:r>
    </w:p>
  </w:footnote>
  <w:footnote w:id="77">
    <w:p w14:paraId="4FD2ACCD" w14:textId="61656406" w:rsidR="008659E4" w:rsidRPr="00722D25" w:rsidRDefault="008659E4" w:rsidP="00CD6733">
      <w:pPr>
        <w:pStyle w:val="Textpoznpodarou"/>
        <w:ind w:left="284" w:hanging="284"/>
        <w:rPr>
          <w:rFonts w:asciiTheme="minorHAnsi" w:hAnsiTheme="minorHAnsi" w:cstheme="minorHAnsi"/>
        </w:rPr>
      </w:pPr>
      <w:r w:rsidRPr="00286F3F">
        <w:rPr>
          <w:rStyle w:val="Znakapoznpodarou"/>
          <w:rFonts w:asciiTheme="minorHAnsi" w:hAnsiTheme="minorHAnsi" w:cstheme="minorHAnsi"/>
        </w:rPr>
        <w:footnoteRef/>
      </w:r>
      <w:r w:rsidRPr="00286F3F">
        <w:rPr>
          <w:rFonts w:asciiTheme="minorHAnsi" w:hAnsiTheme="minorHAnsi" w:cstheme="minorHAnsi"/>
        </w:rPr>
        <w:t xml:space="preserve"> </w:t>
      </w:r>
      <w:r>
        <w:rPr>
          <w:rFonts w:asciiTheme="minorHAnsi" w:hAnsiTheme="minorHAnsi" w:cstheme="minorHAnsi"/>
        </w:rPr>
        <w:tab/>
      </w:r>
      <w:r w:rsidRPr="00702837">
        <w:rPr>
          <w:rFonts w:asciiTheme="minorHAnsi" w:hAnsiTheme="minorHAnsi" w:cstheme="minorHAnsi"/>
          <w:i/>
        </w:rPr>
        <w:t>Full Time Equivalent</w:t>
      </w:r>
      <w:r>
        <w:rPr>
          <w:rFonts w:asciiTheme="minorHAnsi" w:hAnsiTheme="minorHAnsi" w:cstheme="minorHAnsi"/>
        </w:rPr>
        <w:t xml:space="preserve"> (FTE) představuje ekvivalent zaměstnance na plný pracovní úvazek.</w:t>
      </w:r>
    </w:p>
  </w:footnote>
  <w:footnote w:id="78">
    <w:p w14:paraId="603C2371" w14:textId="53CAB97D" w:rsidR="008659E4" w:rsidRPr="00615E48" w:rsidRDefault="008659E4" w:rsidP="00CD6733">
      <w:pPr>
        <w:pStyle w:val="Textpoznpodarou"/>
        <w:ind w:left="284" w:hanging="284"/>
        <w:rPr>
          <w:rFonts w:asciiTheme="minorHAnsi" w:hAnsiTheme="minorHAnsi"/>
        </w:rPr>
      </w:pPr>
      <w:r w:rsidRPr="00615E48">
        <w:rPr>
          <w:rStyle w:val="Znakapoznpodarou"/>
          <w:rFonts w:asciiTheme="minorHAnsi" w:hAnsiTheme="minorHAnsi"/>
        </w:rPr>
        <w:footnoteRef/>
      </w:r>
      <w:r w:rsidRPr="00615E48">
        <w:rPr>
          <w:rFonts w:asciiTheme="minorHAnsi" w:hAnsiTheme="minorHAnsi"/>
        </w:rPr>
        <w:t xml:space="preserve"> </w:t>
      </w:r>
      <w:r>
        <w:rPr>
          <w:rFonts w:asciiTheme="minorHAnsi" w:hAnsiTheme="minorHAnsi"/>
        </w:rPr>
        <w:tab/>
      </w:r>
      <w:r w:rsidRPr="00702837">
        <w:rPr>
          <w:rFonts w:asciiTheme="minorHAnsi" w:hAnsiTheme="minorHAnsi"/>
          <w:i/>
        </w:rPr>
        <w:t>Government Estate Strategy 2014</w:t>
      </w:r>
      <w:r>
        <w:rPr>
          <w:rFonts w:asciiTheme="minorHAnsi" w:hAnsiTheme="minorHAnsi"/>
        </w:rPr>
        <w:t>.</w:t>
      </w:r>
    </w:p>
  </w:footnote>
  <w:footnote w:id="79">
    <w:p w14:paraId="7E288043"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Nejsou zde zahrnuty personální náklady jednotlivých institucí související s evidencí údajů o objektech.</w:t>
      </w:r>
    </w:p>
  </w:footnote>
  <w:footnote w:id="80">
    <w:p w14:paraId="48C6F272" w14:textId="05D82A7C" w:rsidR="008659E4" w:rsidRPr="00F70FF2" w:rsidRDefault="008659E4" w:rsidP="00FC0D39">
      <w:pPr>
        <w:pStyle w:val="Textpoznpodarou"/>
        <w:ind w:left="284" w:hanging="284"/>
        <w:jc w:val="left"/>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Předběžné oznámení o veřejné zakázce je dostupné na adrese:</w:t>
      </w:r>
      <w:r>
        <w:rPr>
          <w:rFonts w:asciiTheme="minorHAnsi" w:hAnsiTheme="minorHAnsi" w:cstheme="minorHAnsi"/>
        </w:rPr>
        <w:t xml:space="preserve"> </w:t>
      </w:r>
      <w:r w:rsidRPr="00BE6553">
        <w:rPr>
          <w:rStyle w:val="Hypertextovodkaz"/>
          <w:rFonts w:ascii="Calibri" w:hAnsi="Calibri" w:cs="Calibri"/>
        </w:rPr>
        <w:t>http://ted.europa.eu/udl?uri=TED:NOTICE:355005-2012:TEXT:EN:HTML</w:t>
      </w:r>
      <w:r w:rsidRPr="00F70FF2">
        <w:rPr>
          <w:rFonts w:asciiTheme="minorHAnsi" w:hAnsiTheme="minorHAnsi" w:cstheme="minorHAnsi"/>
        </w:rPr>
        <w:t xml:space="preserve">. Základní informace o uzavřené smlouvě na provoz e-PIMS jsou dostupné na adrese: </w:t>
      </w:r>
      <w:r w:rsidRPr="00BE6553">
        <w:rPr>
          <w:rStyle w:val="Hypertextovodkaz"/>
          <w:rFonts w:ascii="Calibri" w:hAnsi="Calibri" w:cs="Calibri"/>
        </w:rPr>
        <w:t>http://ted.europa.eu/udl?uri=TED:NOTICE:123264-2013:TEXT:EN:HTML</w:t>
      </w:r>
      <w:r>
        <w:rPr>
          <w:rFonts w:asciiTheme="minorHAnsi" w:hAnsiTheme="minorHAnsi" w:cstheme="minorHAnsi"/>
        </w:rPr>
        <w:t>.</w:t>
      </w:r>
    </w:p>
  </w:footnote>
  <w:footnote w:id="81">
    <w:p w14:paraId="134FD3B6"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Celkové roční náklady zahrnují náklady na provoz, služby, správu nemovitostí, podporu podnikání a</w:t>
      </w:r>
      <w:r>
        <w:rPr>
          <w:rFonts w:asciiTheme="minorHAnsi" w:hAnsiTheme="minorHAnsi" w:cstheme="minorHAnsi"/>
        </w:rPr>
        <w:t> </w:t>
      </w:r>
      <w:r w:rsidRPr="00F70FF2">
        <w:rPr>
          <w:rFonts w:asciiTheme="minorHAnsi" w:hAnsiTheme="minorHAnsi" w:cstheme="minorHAnsi"/>
        </w:rPr>
        <w:t>kapitálové poplatky. Výnosy z pronájmu a poplatky za užívání vybavení jsou od celkových nákladů odečteny.</w:t>
      </w:r>
    </w:p>
  </w:footnote>
  <w:footnote w:id="82">
    <w:p w14:paraId="7879ADDA"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Průměrná plocha na osobu v m</w:t>
      </w:r>
      <w:r w:rsidRPr="00F70FF2">
        <w:rPr>
          <w:rFonts w:asciiTheme="minorHAnsi" w:hAnsiTheme="minorHAnsi" w:cstheme="minorHAnsi"/>
          <w:vertAlign w:val="superscript"/>
        </w:rPr>
        <w:t>2</w:t>
      </w:r>
      <w:r w:rsidRPr="00F70FF2">
        <w:rPr>
          <w:rFonts w:asciiTheme="minorHAnsi" w:hAnsiTheme="minorHAnsi" w:cstheme="minorHAnsi"/>
        </w:rPr>
        <w:t>, průměrná spotřeba energie za rok na m</w:t>
      </w:r>
      <w:r w:rsidRPr="00F70FF2">
        <w:rPr>
          <w:rFonts w:asciiTheme="minorHAnsi" w:hAnsiTheme="minorHAnsi" w:cstheme="minorHAnsi"/>
          <w:vertAlign w:val="superscript"/>
        </w:rPr>
        <w:t>2</w:t>
      </w:r>
      <w:r w:rsidRPr="00F70FF2">
        <w:rPr>
          <w:rFonts w:asciiTheme="minorHAnsi" w:hAnsiTheme="minorHAnsi" w:cstheme="minorHAnsi"/>
        </w:rPr>
        <w:t>, hloubka renovace a požadavek na vytápění budov.</w:t>
      </w:r>
    </w:p>
  </w:footnote>
  <w:footnote w:id="83">
    <w:p w14:paraId="6F0F81FF"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Náklady na zaměstnance, plocha na pracovní stanici, náklady na m</w:t>
      </w:r>
      <w:r w:rsidRPr="00702837">
        <w:rPr>
          <w:rFonts w:asciiTheme="minorHAnsi" w:hAnsiTheme="minorHAnsi" w:cstheme="minorHAnsi"/>
          <w:vertAlign w:val="superscript"/>
        </w:rPr>
        <w:t>2</w:t>
      </w:r>
      <w:r w:rsidRPr="00F70FF2">
        <w:rPr>
          <w:rFonts w:asciiTheme="minorHAnsi" w:hAnsiTheme="minorHAnsi" w:cstheme="minorHAnsi"/>
        </w:rPr>
        <w:t xml:space="preserve"> plochy, plocha na zaměstnance.</w:t>
      </w:r>
    </w:p>
  </w:footnote>
  <w:footnote w:id="84">
    <w:p w14:paraId="40FB12F1"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CO</w:t>
      </w:r>
      <w:r w:rsidRPr="00F70FF2">
        <w:rPr>
          <w:rFonts w:asciiTheme="minorHAnsi" w:hAnsiTheme="minorHAnsi" w:cstheme="minorHAnsi"/>
          <w:vertAlign w:val="subscript"/>
        </w:rPr>
        <w:t>2</w:t>
      </w:r>
      <w:r w:rsidRPr="00F70FF2">
        <w:rPr>
          <w:rFonts w:asciiTheme="minorHAnsi" w:hAnsiTheme="minorHAnsi" w:cstheme="minorHAnsi"/>
        </w:rPr>
        <w:t xml:space="preserve"> na zaměstnance/na m</w:t>
      </w:r>
      <w:r w:rsidRPr="00702837">
        <w:rPr>
          <w:rFonts w:asciiTheme="minorHAnsi" w:hAnsiTheme="minorHAnsi" w:cstheme="minorHAnsi"/>
          <w:vertAlign w:val="superscript"/>
        </w:rPr>
        <w:t>2</w:t>
      </w:r>
      <w:r w:rsidRPr="00F70FF2">
        <w:rPr>
          <w:rFonts w:asciiTheme="minorHAnsi" w:hAnsiTheme="minorHAnsi" w:cstheme="minorHAnsi"/>
        </w:rPr>
        <w:t xml:space="preserve"> plochy, množství nerecyklovatelného odpadu na zaměstnance, spotřeba vody na zaměstnance, stupeň způsobu řízení.</w:t>
      </w:r>
    </w:p>
  </w:footnote>
  <w:footnote w:id="85">
    <w:p w14:paraId="7B127267"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Stupeň zařízení, stupeň shody a flexibility, stupeň pracovního prostředí, stupeň zdraví a bezpečnosti, stupeň funkčnosti.</w:t>
      </w:r>
    </w:p>
  </w:footnote>
  <w:footnote w:id="86">
    <w:p w14:paraId="0DBBC4DE"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Náklady na zaměstnance jsou vypočítány jako podíl ročních provozních nákladů na objekty a počtu přepočtených zaměstnanců (FTE) v objektu.</w:t>
      </w:r>
    </w:p>
  </w:footnote>
  <w:footnote w:id="87">
    <w:p w14:paraId="777C3E67" w14:textId="77777777" w:rsidR="008659E4" w:rsidRPr="00F70FF2" w:rsidRDefault="008659E4" w:rsidP="00CD6733">
      <w:pPr>
        <w:pStyle w:val="Textpoznpodarou"/>
        <w:ind w:left="284" w:hanging="284"/>
        <w:rPr>
          <w:rFonts w:asciiTheme="minorHAnsi" w:hAnsiTheme="minorHAnsi" w:cstheme="minorHAnsi"/>
        </w:rPr>
      </w:pPr>
      <w:r w:rsidRPr="00F70FF2">
        <w:rPr>
          <w:rStyle w:val="Znakapoznpodarou"/>
          <w:rFonts w:asciiTheme="minorHAnsi" w:hAnsiTheme="minorHAnsi" w:cstheme="minorHAnsi"/>
        </w:rPr>
        <w:footnoteRef/>
      </w:r>
      <w:r w:rsidRPr="00F70FF2">
        <w:rPr>
          <w:rFonts w:asciiTheme="minorHAnsi" w:hAnsiTheme="minorHAnsi" w:cstheme="minorHAnsi"/>
        </w:rPr>
        <w:t xml:space="preserve"> </w:t>
      </w:r>
      <w:r>
        <w:rPr>
          <w:rFonts w:asciiTheme="minorHAnsi" w:hAnsiTheme="minorHAnsi" w:cstheme="minorHAnsi"/>
        </w:rPr>
        <w:tab/>
      </w:r>
      <w:r w:rsidRPr="00F70FF2">
        <w:rPr>
          <w:rFonts w:asciiTheme="minorHAnsi" w:hAnsiTheme="minorHAnsi" w:cstheme="minorHAnsi"/>
        </w:rPr>
        <w:t>Plocha na pracovní stanici je vypočítána jako podíl vnitřní čisté plochy a počtu pracovních stanic.</w:t>
      </w:r>
    </w:p>
  </w:footnote>
  <w:footnote w:id="88">
    <w:p w14:paraId="7472F9BD" w14:textId="77777777" w:rsidR="008659E4" w:rsidRPr="00270322" w:rsidRDefault="008659E4" w:rsidP="00CD6733">
      <w:pPr>
        <w:pStyle w:val="Textpoznpodarou"/>
        <w:ind w:left="284" w:hanging="284"/>
        <w:rPr>
          <w:rFonts w:asciiTheme="minorHAnsi" w:hAnsiTheme="minorHAnsi" w:cstheme="minorHAnsi"/>
        </w:rPr>
      </w:pPr>
      <w:r w:rsidRPr="00270322">
        <w:rPr>
          <w:rStyle w:val="Znakapoznpodarou"/>
          <w:rFonts w:asciiTheme="minorHAnsi" w:hAnsiTheme="minorHAnsi" w:cstheme="minorHAnsi"/>
        </w:rPr>
        <w:footnoteRef/>
      </w:r>
      <w:r w:rsidRPr="00270322">
        <w:rPr>
          <w:rFonts w:asciiTheme="minorHAnsi" w:hAnsiTheme="minorHAnsi" w:cstheme="minorHAnsi"/>
        </w:rPr>
        <w:t xml:space="preserve"> </w:t>
      </w:r>
      <w:r>
        <w:rPr>
          <w:rFonts w:asciiTheme="minorHAnsi" w:hAnsiTheme="minorHAnsi" w:cstheme="minorHAnsi"/>
        </w:rPr>
        <w:tab/>
      </w:r>
      <w:r w:rsidRPr="00270322">
        <w:rPr>
          <w:rFonts w:asciiTheme="minorHAnsi" w:hAnsiTheme="minorHAnsi" w:cstheme="minorHAnsi"/>
        </w:rPr>
        <w:t xml:space="preserve">To vyplynulo z analyzovaných zkušeností ze zahraničí, </w:t>
      </w:r>
      <w:r>
        <w:rPr>
          <w:rFonts w:asciiTheme="minorHAnsi" w:hAnsiTheme="minorHAnsi" w:cstheme="minorHAnsi"/>
        </w:rPr>
        <w:t>zkušeností expertů</w:t>
      </w:r>
      <w:r w:rsidRPr="00270322">
        <w:rPr>
          <w:rFonts w:asciiTheme="minorHAnsi" w:hAnsiTheme="minorHAnsi" w:cstheme="minorHAnsi"/>
        </w:rPr>
        <w:t xml:space="preserve"> a z výsledků pilotního projektu.</w:t>
      </w:r>
    </w:p>
  </w:footnote>
  <w:footnote w:id="89">
    <w:p w14:paraId="31354985" w14:textId="2B9D3CA5" w:rsidR="008659E4" w:rsidRPr="002A139B" w:rsidRDefault="008659E4" w:rsidP="00CD6733">
      <w:pPr>
        <w:pStyle w:val="Textpoznpodarou"/>
        <w:ind w:left="284" w:hanging="284"/>
        <w:rPr>
          <w:rFonts w:asciiTheme="minorHAnsi" w:hAnsiTheme="minorHAnsi" w:cstheme="minorHAnsi"/>
        </w:rPr>
      </w:pPr>
      <w:r w:rsidRPr="002A139B">
        <w:rPr>
          <w:rStyle w:val="Znakapoznpodarou"/>
          <w:rFonts w:asciiTheme="minorHAnsi" w:hAnsiTheme="minorHAnsi" w:cstheme="minorHAnsi"/>
        </w:rPr>
        <w:footnoteRef/>
      </w:r>
      <w:r w:rsidRPr="002A139B">
        <w:rPr>
          <w:rFonts w:asciiTheme="minorHAnsi" w:hAnsiTheme="minorHAnsi" w:cstheme="minorHAnsi"/>
        </w:rPr>
        <w:t xml:space="preserve"> </w:t>
      </w:r>
      <w:r>
        <w:rPr>
          <w:rFonts w:asciiTheme="minorHAnsi" w:hAnsiTheme="minorHAnsi" w:cstheme="minorHAnsi"/>
        </w:rPr>
        <w:tab/>
        <w:t xml:space="preserve">Materiál </w:t>
      </w:r>
      <w:r w:rsidRPr="00702837">
        <w:rPr>
          <w:rFonts w:ascii="Calibri" w:hAnsi="Calibri" w:cstheme="minorHAnsi"/>
          <w:i/>
        </w:rPr>
        <w:t>Řízení vybraných oblastí veřejné správy pomocí KPI</w:t>
      </w:r>
      <w:r w:rsidRPr="00EB2D42">
        <w:rPr>
          <w:rFonts w:ascii="Calibri" w:hAnsi="Calibri" w:cstheme="minorHAnsi"/>
        </w:rPr>
        <w:t>,</w:t>
      </w:r>
      <w:r>
        <w:rPr>
          <w:rFonts w:asciiTheme="minorHAnsi" w:hAnsiTheme="minorHAnsi" w:cstheme="minorHAnsi"/>
        </w:rPr>
        <w:t xml:space="preserve"> který pracovní skupina vypracovala, je dostupný</w:t>
      </w:r>
      <w:r w:rsidRPr="002A139B">
        <w:rPr>
          <w:rFonts w:asciiTheme="minorHAnsi" w:hAnsiTheme="minorHAnsi" w:cstheme="minorHAnsi"/>
        </w:rPr>
        <w:t xml:space="preserve"> na</w:t>
      </w:r>
      <w:r>
        <w:rPr>
          <w:rFonts w:asciiTheme="minorHAnsi" w:hAnsiTheme="minorHAnsi" w:cstheme="minorHAnsi"/>
        </w:rPr>
        <w:t xml:space="preserve"> adrese</w:t>
      </w:r>
      <w:r w:rsidRPr="002A139B">
        <w:rPr>
          <w:rFonts w:asciiTheme="minorHAnsi" w:hAnsiTheme="minorHAnsi" w:cstheme="minorHAnsi"/>
        </w:rPr>
        <w:t>:</w:t>
      </w:r>
      <w:r>
        <w:rPr>
          <w:rFonts w:asciiTheme="minorHAnsi" w:hAnsiTheme="minorHAnsi" w:cstheme="minorHAnsi"/>
        </w:rPr>
        <w:t xml:space="preserve"> </w:t>
      </w:r>
      <w:r w:rsidRPr="0024789D">
        <w:rPr>
          <w:rStyle w:val="Hypertextovodkaz"/>
          <w:rFonts w:ascii="Calibri" w:hAnsi="Calibri" w:cs="Calibri"/>
        </w:rPr>
        <w:t>https://www.vlada.cz/assets/media-centrum/aktualne/NERV_JanProchazka_KPI.pdf</w:t>
      </w:r>
      <w:r>
        <w:rPr>
          <w:rFonts w:asciiTheme="minorHAnsi" w:hAnsiTheme="minorHAnsi" w:cstheme="minorHAnsi"/>
        </w:rPr>
        <w:t>.</w:t>
      </w:r>
    </w:p>
  </w:footnote>
  <w:footnote w:id="90">
    <w:p w14:paraId="64522E95" w14:textId="77777777" w:rsidR="008659E4" w:rsidRPr="00AD736A" w:rsidRDefault="008659E4" w:rsidP="00CD6733">
      <w:pPr>
        <w:pStyle w:val="Textpoznpodarou"/>
        <w:ind w:left="284" w:hanging="284"/>
        <w:rPr>
          <w:rFonts w:asciiTheme="minorHAnsi" w:hAnsiTheme="minorHAnsi"/>
        </w:rPr>
      </w:pPr>
      <w:r w:rsidRPr="00AD736A">
        <w:rPr>
          <w:rStyle w:val="Znakapoznpodarou"/>
          <w:rFonts w:asciiTheme="minorHAnsi" w:hAnsiTheme="minorHAnsi"/>
        </w:rPr>
        <w:footnoteRef/>
      </w:r>
      <w:r w:rsidRPr="00AD736A">
        <w:rPr>
          <w:rFonts w:asciiTheme="minorHAnsi" w:hAnsiTheme="minorHAnsi"/>
        </w:rPr>
        <w:t xml:space="preserve"> </w:t>
      </w:r>
      <w:r>
        <w:rPr>
          <w:rFonts w:asciiTheme="minorHAnsi" w:hAnsiTheme="minorHAnsi"/>
        </w:rPr>
        <w:tab/>
      </w:r>
      <w:r w:rsidRPr="00AD736A">
        <w:rPr>
          <w:rFonts w:asciiTheme="minorHAnsi" w:hAnsiTheme="minorHAnsi"/>
        </w:rPr>
        <w:t>Vládní dislokační komise (dále také „VDK“) a regionální dislokační komise (dále také „RDK“).</w:t>
      </w:r>
    </w:p>
  </w:footnote>
  <w:footnote w:id="91">
    <w:p w14:paraId="7608E5E3" w14:textId="0074C736" w:rsidR="008659E4" w:rsidRPr="00735514" w:rsidRDefault="008659E4" w:rsidP="00FC0D39">
      <w:pPr>
        <w:pStyle w:val="Textpoznpodarou"/>
        <w:ind w:left="284" w:hanging="284"/>
        <w:jc w:val="left"/>
        <w:rPr>
          <w:rFonts w:asciiTheme="minorHAnsi" w:hAnsiTheme="minorHAnsi" w:cstheme="minorHAnsi"/>
        </w:rPr>
      </w:pPr>
      <w:r w:rsidRPr="00735514">
        <w:rPr>
          <w:rStyle w:val="Znakapoznpodarou"/>
          <w:rFonts w:asciiTheme="minorHAnsi" w:hAnsiTheme="minorHAnsi" w:cstheme="minorHAnsi"/>
        </w:rPr>
        <w:footnoteRef/>
      </w:r>
      <w:r>
        <w:rPr>
          <w:rFonts w:asciiTheme="minorHAnsi" w:hAnsiTheme="minorHAnsi" w:cstheme="minorHAnsi"/>
        </w:rPr>
        <w:tab/>
      </w:r>
      <w:r w:rsidRPr="00735514">
        <w:rPr>
          <w:rFonts w:asciiTheme="minorHAnsi" w:hAnsiTheme="minorHAnsi" w:cstheme="minorHAnsi"/>
        </w:rPr>
        <w:t>Dostupné na adrese:</w:t>
      </w:r>
      <w:r>
        <w:rPr>
          <w:rFonts w:asciiTheme="minorHAnsi" w:hAnsiTheme="minorHAnsi" w:cstheme="minorHAnsi"/>
        </w:rPr>
        <w:t xml:space="preserve"> </w:t>
      </w:r>
      <w:r w:rsidRPr="0024789D">
        <w:rPr>
          <w:rStyle w:val="Hypertextovodkaz"/>
          <w:rFonts w:ascii="Calibri" w:hAnsi="Calibri" w:cs="Calibri"/>
        </w:rPr>
        <w:t>https://www.czso.cz/csu/czso/klasifikace_stavebnich_del_-cz_cc-_platna_od_1_10_2009</w:t>
      </w:r>
      <w:r>
        <w:rPr>
          <w:rFonts w:asciiTheme="minorHAnsi" w:hAnsiTheme="minorHAnsi" w:cstheme="minorHAnsi"/>
        </w:rPr>
        <w:t>.</w:t>
      </w:r>
    </w:p>
  </w:footnote>
  <w:footnote w:id="92">
    <w:p w14:paraId="4E682AA7" w14:textId="77777777" w:rsidR="008659E4" w:rsidRDefault="008659E4" w:rsidP="00CD6733">
      <w:pPr>
        <w:pStyle w:val="Textpoznpodarou"/>
        <w:ind w:left="284" w:hanging="284"/>
      </w:pPr>
      <w:r>
        <w:rPr>
          <w:rStyle w:val="Znakapoznpodarou"/>
        </w:rPr>
        <w:footnoteRef/>
      </w:r>
      <w:r>
        <w:t xml:space="preserve"> </w:t>
      </w:r>
      <w:r>
        <w:tab/>
      </w:r>
      <w:r>
        <w:rPr>
          <w:rFonts w:asciiTheme="minorHAnsi" w:hAnsiTheme="minorHAnsi" w:cstheme="minorHAnsi"/>
        </w:rPr>
        <w:t xml:space="preserve">Ukazatel je vypočítán jako podíl výdajů na nákup paliv a energií a celkové plochy. </w:t>
      </w:r>
      <w:r w:rsidRPr="008A198E">
        <w:rPr>
          <w:rFonts w:asciiTheme="minorHAnsi" w:hAnsiTheme="minorHAnsi" w:cstheme="minorHAnsi"/>
        </w:rPr>
        <w:t xml:space="preserve">Do </w:t>
      </w:r>
      <w:r>
        <w:rPr>
          <w:rFonts w:asciiTheme="minorHAnsi" w:hAnsiTheme="minorHAnsi" w:cstheme="minorHAnsi"/>
        </w:rPr>
        <w:t>výpočtu</w:t>
      </w:r>
      <w:r w:rsidRPr="008A198E">
        <w:rPr>
          <w:rFonts w:asciiTheme="minorHAnsi" w:hAnsiTheme="minorHAnsi" w:cstheme="minorHAnsi"/>
        </w:rPr>
        <w:t xml:space="preserve"> vstupují pouze zplatněné objekty, které mají nenulovou užitnou plochu a zároveň nenulové výdaje za spotřeby.</w:t>
      </w:r>
    </w:p>
  </w:footnote>
  <w:footnote w:id="93">
    <w:p w14:paraId="0D3925CF" w14:textId="77777777" w:rsidR="008659E4" w:rsidRPr="00A1305A" w:rsidRDefault="008659E4" w:rsidP="00CD6733">
      <w:pPr>
        <w:pStyle w:val="Textpoznpodarou"/>
        <w:ind w:left="284" w:hanging="284"/>
        <w:rPr>
          <w:rFonts w:asciiTheme="minorHAnsi" w:hAnsiTheme="minorHAnsi" w:cstheme="minorHAnsi"/>
        </w:rPr>
      </w:pPr>
      <w:r w:rsidRPr="00A1305A">
        <w:rPr>
          <w:rStyle w:val="Znakapoznpodarou"/>
          <w:rFonts w:asciiTheme="minorHAnsi" w:hAnsiTheme="minorHAnsi" w:cstheme="minorHAnsi"/>
        </w:rPr>
        <w:footnoteRef/>
      </w:r>
      <w:r w:rsidRPr="00A1305A">
        <w:rPr>
          <w:rFonts w:asciiTheme="minorHAnsi" w:hAnsiTheme="minorHAnsi" w:cstheme="minorHAnsi"/>
        </w:rPr>
        <w:t xml:space="preserve"> </w:t>
      </w:r>
      <w:r>
        <w:rPr>
          <w:rFonts w:asciiTheme="minorHAnsi" w:hAnsiTheme="minorHAnsi" w:cstheme="minorHAnsi"/>
        </w:rPr>
        <w:tab/>
        <w:t xml:space="preserve">Ukazatel je vypočítán jako podíl výdajů na nájemné a najímané plochy dle právních vztahů. </w:t>
      </w:r>
      <w:r w:rsidRPr="00A1305A">
        <w:rPr>
          <w:rFonts w:asciiTheme="minorHAnsi" w:hAnsiTheme="minorHAnsi" w:cstheme="minorHAnsi"/>
        </w:rPr>
        <w:t xml:space="preserve">Do </w:t>
      </w:r>
      <w:r>
        <w:rPr>
          <w:rFonts w:asciiTheme="minorHAnsi" w:hAnsiTheme="minorHAnsi" w:cstheme="minorHAnsi"/>
        </w:rPr>
        <w:t>výpočtu</w:t>
      </w:r>
      <w:r w:rsidRPr="00A1305A">
        <w:rPr>
          <w:rFonts w:asciiTheme="minorHAnsi" w:hAnsiTheme="minorHAnsi" w:cstheme="minorHAnsi"/>
        </w:rPr>
        <w:t xml:space="preserve"> vstupují pouze zplatněné objekty a zplatněné a účinné užívací právní vztahy.</w:t>
      </w:r>
    </w:p>
  </w:footnote>
  <w:footnote w:id="94">
    <w:p w14:paraId="646C2135" w14:textId="77777777" w:rsidR="008659E4" w:rsidRPr="00A1305A" w:rsidRDefault="008659E4" w:rsidP="00CD6733">
      <w:pPr>
        <w:pStyle w:val="Textpoznpodarou"/>
        <w:ind w:left="284" w:hanging="284"/>
        <w:rPr>
          <w:rFonts w:asciiTheme="minorHAnsi" w:hAnsiTheme="minorHAnsi" w:cstheme="minorHAnsi"/>
        </w:rPr>
      </w:pPr>
      <w:r w:rsidRPr="00A1305A">
        <w:rPr>
          <w:rStyle w:val="Znakapoznpodarou"/>
          <w:rFonts w:asciiTheme="minorHAnsi" w:hAnsiTheme="minorHAnsi" w:cstheme="minorHAnsi"/>
        </w:rPr>
        <w:footnoteRef/>
      </w:r>
      <w:r w:rsidRPr="00A1305A">
        <w:rPr>
          <w:rFonts w:asciiTheme="minorHAnsi" w:hAnsiTheme="minorHAnsi" w:cstheme="minorHAnsi"/>
        </w:rPr>
        <w:t xml:space="preserve"> </w:t>
      </w:r>
      <w:r>
        <w:rPr>
          <w:rFonts w:asciiTheme="minorHAnsi" w:hAnsiTheme="minorHAnsi" w:cstheme="minorHAnsi"/>
        </w:rPr>
        <w:tab/>
      </w:r>
      <w:r w:rsidRPr="00A1305A">
        <w:rPr>
          <w:rFonts w:asciiTheme="minorHAnsi" w:hAnsiTheme="minorHAnsi" w:cstheme="minorHAnsi"/>
        </w:rPr>
        <w:t xml:space="preserve">Ukazatel je vypočítán jako podíl výdajů na nájemné a </w:t>
      </w:r>
      <w:r>
        <w:rPr>
          <w:rFonts w:asciiTheme="minorHAnsi" w:hAnsiTheme="minorHAnsi" w:cstheme="minorHAnsi"/>
        </w:rPr>
        <w:t>počtu přepočtených zaměstnanců (FTE)</w:t>
      </w:r>
      <w:r w:rsidRPr="00A1305A">
        <w:rPr>
          <w:rFonts w:asciiTheme="minorHAnsi" w:hAnsiTheme="minorHAnsi" w:cstheme="minorHAnsi"/>
        </w:rPr>
        <w:t>. Do výpočtu vstupují pouze zplatněné objekty a zplatněné a účinné užívací právní vztahy.</w:t>
      </w:r>
    </w:p>
  </w:footnote>
  <w:footnote w:id="95">
    <w:p w14:paraId="2342D223" w14:textId="77777777" w:rsidR="008659E4" w:rsidRPr="00735514" w:rsidRDefault="008659E4" w:rsidP="00CD6733">
      <w:pPr>
        <w:pStyle w:val="Textpoznpodarou"/>
        <w:ind w:left="284" w:hanging="284"/>
        <w:rPr>
          <w:rFonts w:asciiTheme="minorHAnsi" w:hAnsiTheme="minorHAnsi" w:cstheme="minorHAnsi"/>
        </w:rPr>
      </w:pPr>
      <w:r w:rsidRPr="00A1305A">
        <w:rPr>
          <w:rStyle w:val="Znakapoznpodarou"/>
          <w:rFonts w:asciiTheme="minorHAnsi" w:hAnsiTheme="minorHAnsi" w:cstheme="minorHAnsi"/>
        </w:rPr>
        <w:footnoteRef/>
      </w:r>
      <w:r w:rsidRPr="00A1305A">
        <w:rPr>
          <w:rFonts w:asciiTheme="minorHAnsi" w:hAnsiTheme="minorHAnsi" w:cstheme="minorHAnsi"/>
        </w:rPr>
        <w:t xml:space="preserve"> </w:t>
      </w:r>
      <w:r>
        <w:rPr>
          <w:rFonts w:asciiTheme="minorHAnsi" w:hAnsiTheme="minorHAnsi" w:cstheme="minorHAnsi"/>
        </w:rPr>
        <w:tab/>
      </w:r>
      <w:r w:rsidRPr="00A1305A">
        <w:rPr>
          <w:rFonts w:asciiTheme="minorHAnsi" w:hAnsiTheme="minorHAnsi" w:cstheme="minorHAnsi"/>
        </w:rPr>
        <w:t xml:space="preserve">Ukazatel je vypočítán jako podíl </w:t>
      </w:r>
      <w:r>
        <w:rPr>
          <w:rFonts w:asciiTheme="minorHAnsi" w:hAnsiTheme="minorHAnsi" w:cstheme="minorHAnsi"/>
        </w:rPr>
        <w:t>příjmů z pronájmu</w:t>
      </w:r>
      <w:r w:rsidRPr="00A1305A">
        <w:rPr>
          <w:rFonts w:asciiTheme="minorHAnsi" w:hAnsiTheme="minorHAnsi" w:cstheme="minorHAnsi"/>
        </w:rPr>
        <w:t xml:space="preserve"> a </w:t>
      </w:r>
      <w:r>
        <w:rPr>
          <w:rFonts w:asciiTheme="minorHAnsi" w:hAnsiTheme="minorHAnsi" w:cstheme="minorHAnsi"/>
        </w:rPr>
        <w:t>pronajímané plochy dle právních vztahů</w:t>
      </w:r>
      <w:r w:rsidRPr="00A1305A">
        <w:rPr>
          <w:rFonts w:asciiTheme="minorHAnsi" w:hAnsiTheme="minorHAnsi" w:cstheme="minorHAnsi"/>
        </w:rPr>
        <w:t xml:space="preserve">. Do výpočtu </w:t>
      </w:r>
      <w:r w:rsidRPr="00735514">
        <w:rPr>
          <w:rFonts w:asciiTheme="minorHAnsi" w:hAnsiTheme="minorHAnsi" w:cstheme="minorHAnsi"/>
        </w:rPr>
        <w:t>vstupují pouze zplatněné objekty a zplatněné a účinné užívací právní vztahy.</w:t>
      </w:r>
    </w:p>
  </w:footnote>
  <w:footnote w:id="96">
    <w:p w14:paraId="5584410F" w14:textId="77777777" w:rsidR="008659E4" w:rsidRPr="00735514" w:rsidRDefault="008659E4" w:rsidP="00CD6733">
      <w:pPr>
        <w:pStyle w:val="Textpoznpodarou"/>
        <w:ind w:left="284" w:hanging="284"/>
        <w:rPr>
          <w:rFonts w:asciiTheme="minorHAnsi" w:hAnsiTheme="minorHAnsi" w:cstheme="minorHAnsi"/>
        </w:rPr>
      </w:pPr>
      <w:r w:rsidRPr="00735514">
        <w:rPr>
          <w:rStyle w:val="Znakapoznpodarou"/>
          <w:rFonts w:asciiTheme="minorHAnsi" w:hAnsiTheme="minorHAnsi" w:cstheme="minorHAnsi"/>
        </w:rPr>
        <w:footnoteRef/>
      </w:r>
      <w:r w:rsidRPr="00735514">
        <w:rPr>
          <w:rFonts w:asciiTheme="minorHAnsi" w:hAnsiTheme="minorHAnsi" w:cstheme="minorHAnsi"/>
        </w:rPr>
        <w:t xml:space="preserve"> </w:t>
      </w:r>
      <w:r>
        <w:rPr>
          <w:rFonts w:asciiTheme="minorHAnsi" w:hAnsiTheme="minorHAnsi" w:cstheme="minorHAnsi"/>
        </w:rPr>
        <w:tab/>
      </w:r>
      <w:r w:rsidRPr="00735514">
        <w:rPr>
          <w:rFonts w:asciiTheme="minorHAnsi" w:hAnsiTheme="minorHAnsi" w:cstheme="minorHAnsi"/>
        </w:rPr>
        <w:t xml:space="preserve">Tato </w:t>
      </w:r>
      <w:r>
        <w:rPr>
          <w:rFonts w:asciiTheme="minorHAnsi" w:hAnsiTheme="minorHAnsi" w:cstheme="minorHAnsi"/>
        </w:rPr>
        <w:t>organizace sdružuje převážně státní subjekty hospodařící s nemovitostmi v daném státě. PuRE-net byl založen v roce 2007 a v současnosti sdružuje instituce z 21 evropských zemí. Cílem je výměna zkušeností za účelem zvýšení efektivity hospodaření s nemovitým majetkem státu, především s budovami.</w:t>
      </w:r>
    </w:p>
  </w:footnote>
  <w:footnote w:id="97">
    <w:p w14:paraId="4DC0CD11" w14:textId="77777777"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 xml:space="preserve">Podíl využité plochy ve všech objektech a celkové plochy všech objektů. </w:t>
      </w:r>
    </w:p>
  </w:footnote>
  <w:footnote w:id="98">
    <w:p w14:paraId="7887DF3D" w14:textId="51FD0D2C"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Hodnoty ukazatele míry obsazenosti budov byly vypočítány jako rozdíl plochy užívané státními institucemi a plochy nevyužité dělen</w:t>
      </w:r>
      <w:r>
        <w:rPr>
          <w:rFonts w:asciiTheme="minorHAnsi" w:hAnsiTheme="minorHAnsi" w:cstheme="minorHAnsi"/>
        </w:rPr>
        <w:t>o</w:t>
      </w:r>
      <w:r w:rsidRPr="00982ECF">
        <w:rPr>
          <w:rFonts w:asciiTheme="minorHAnsi" w:hAnsiTheme="minorHAnsi" w:cstheme="minorHAnsi"/>
        </w:rPr>
        <w:t xml:space="preserve"> plochou užívanou státními institucemi.</w:t>
      </w:r>
    </w:p>
  </w:footnote>
  <w:footnote w:id="99">
    <w:p w14:paraId="0F8C0DBE" w14:textId="73EF2427"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Hodnoty byly vypočítány z hodnot uváděných v tabulce č. 2 jako rozdíl čisté vnitřní plochy a nevyužité plochy dělen</w:t>
      </w:r>
      <w:r>
        <w:rPr>
          <w:rFonts w:asciiTheme="minorHAnsi" w:hAnsiTheme="minorHAnsi" w:cstheme="minorHAnsi"/>
        </w:rPr>
        <w:t>o</w:t>
      </w:r>
      <w:r w:rsidRPr="00982ECF">
        <w:rPr>
          <w:rFonts w:asciiTheme="minorHAnsi" w:hAnsiTheme="minorHAnsi" w:cstheme="minorHAnsi"/>
        </w:rPr>
        <w:t xml:space="preserve"> čistou vnitřní plochou.</w:t>
      </w:r>
    </w:p>
  </w:footnote>
  <w:footnote w:id="100">
    <w:p w14:paraId="0AF7D8C4" w14:textId="77777777"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Plocha, kterou doporučoval ÚZSVM státním institucím při upozorňování na nadprůměrné hodnoty.</w:t>
      </w:r>
    </w:p>
  </w:footnote>
  <w:footnote w:id="101">
    <w:p w14:paraId="61438728" w14:textId="77777777"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Ukazatel je vypočítán jako podíl celkové užívané plochy získané z právních vztahů a počtu přepočtených zaměstnanců (FTE). Do výpočtu vstupují pouze zplatněné objekty a zplatněné a účinné užívací právní vztahy.</w:t>
      </w:r>
    </w:p>
  </w:footnote>
  <w:footnote w:id="102">
    <w:p w14:paraId="76A4ECF5" w14:textId="384ADDD6"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Ukazatel je vypočítán jako podíl kancelářské užívané plochy získané z právních vztahů a počtu přepočtených zaměstnanců (FTE). Do</w:t>
      </w:r>
      <w:r>
        <w:rPr>
          <w:rFonts w:asciiTheme="minorHAnsi" w:hAnsiTheme="minorHAnsi" w:cstheme="minorHAnsi"/>
        </w:rPr>
        <w:t xml:space="preserve"> </w:t>
      </w:r>
      <w:r w:rsidRPr="00982ECF">
        <w:rPr>
          <w:rFonts w:asciiTheme="minorHAnsi" w:hAnsiTheme="minorHAnsi" w:cstheme="minorHAnsi"/>
        </w:rPr>
        <w:t>výpočtu vstupují pouze zplatněné objekty a zplatněné a účinné užívací právní vztahy.</w:t>
      </w:r>
    </w:p>
  </w:footnote>
  <w:footnote w:id="103">
    <w:p w14:paraId="302374A2" w14:textId="6930A3CF"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 xml:space="preserve">Průměrná plocha na </w:t>
      </w:r>
      <w:r>
        <w:rPr>
          <w:rFonts w:asciiTheme="minorHAnsi" w:hAnsiTheme="minorHAnsi" w:cstheme="minorHAnsi"/>
        </w:rPr>
        <w:t xml:space="preserve">jednoho </w:t>
      </w:r>
      <w:r w:rsidRPr="00982ECF">
        <w:rPr>
          <w:rFonts w:asciiTheme="minorHAnsi" w:hAnsiTheme="minorHAnsi" w:cstheme="minorHAnsi"/>
        </w:rPr>
        <w:t>zaměstnance je vypočítána jako podíl vnitřní čisté plochy a počtu přepočtených zaměstnanců (FTE).</w:t>
      </w:r>
    </w:p>
  </w:footnote>
  <w:footnote w:id="104">
    <w:p w14:paraId="5B3E279E" w14:textId="2B2D2359" w:rsidR="008659E4" w:rsidRPr="00982ECF" w:rsidRDefault="008659E4" w:rsidP="00CD6733">
      <w:pPr>
        <w:pStyle w:val="Textpoznpodarou"/>
        <w:ind w:left="284" w:hanging="284"/>
        <w:rPr>
          <w:rFonts w:asciiTheme="minorHAnsi" w:hAnsiTheme="minorHAnsi" w:cstheme="minorHAnsi"/>
        </w:rPr>
      </w:pPr>
      <w:r w:rsidRPr="00982ECF">
        <w:rPr>
          <w:rStyle w:val="Znakapoznpodarou"/>
          <w:rFonts w:asciiTheme="minorHAnsi" w:hAnsiTheme="minorHAnsi" w:cstheme="minorHAnsi"/>
        </w:rPr>
        <w:footnoteRef/>
      </w:r>
      <w:r w:rsidRPr="00982ECF">
        <w:rPr>
          <w:rFonts w:asciiTheme="minorHAnsi" w:hAnsiTheme="minorHAnsi" w:cstheme="minorHAnsi"/>
        </w:rPr>
        <w:t xml:space="preserve"> </w:t>
      </w:r>
      <w:r>
        <w:rPr>
          <w:rFonts w:asciiTheme="minorHAnsi" w:hAnsiTheme="minorHAnsi" w:cstheme="minorHAnsi"/>
        </w:rPr>
        <w:tab/>
      </w:r>
      <w:r w:rsidRPr="00982ECF">
        <w:rPr>
          <w:rFonts w:asciiTheme="minorHAnsi" w:hAnsiTheme="minorHAnsi" w:cstheme="minorHAnsi"/>
        </w:rPr>
        <w:t>Přepočet na Kč byl průměrným kurzem v roce 2016, a to 1 £ = 33</w:t>
      </w:r>
      <w:r>
        <w:rPr>
          <w:rFonts w:asciiTheme="minorHAnsi" w:hAnsiTheme="minorHAnsi" w:cstheme="minorHAnsi"/>
        </w:rPr>
        <w:t>,</w:t>
      </w:r>
      <w:r w:rsidRPr="00982ECF">
        <w:rPr>
          <w:rFonts w:asciiTheme="minorHAnsi" w:hAnsiTheme="minorHAnsi" w:cstheme="minorHAnsi"/>
        </w:rPr>
        <w:t>121 Kč.</w:t>
      </w:r>
    </w:p>
  </w:footnote>
  <w:footnote w:id="105">
    <w:p w14:paraId="7A82BE26" w14:textId="77777777" w:rsidR="008659E4" w:rsidRPr="00A1305A" w:rsidRDefault="008659E4" w:rsidP="00CD6733">
      <w:pPr>
        <w:pStyle w:val="Textpoznpodarou"/>
        <w:ind w:left="284" w:hanging="284"/>
        <w:rPr>
          <w:rFonts w:asciiTheme="minorHAnsi" w:hAnsiTheme="minorHAnsi" w:cstheme="minorHAnsi"/>
        </w:rPr>
      </w:pPr>
      <w:r w:rsidRPr="00A1305A">
        <w:rPr>
          <w:rStyle w:val="Znakapoznpodarou"/>
          <w:rFonts w:asciiTheme="minorHAnsi" w:hAnsiTheme="minorHAnsi" w:cstheme="minorHAnsi"/>
        </w:rPr>
        <w:footnoteRef/>
      </w:r>
      <w:r w:rsidRPr="00A1305A">
        <w:rPr>
          <w:rFonts w:asciiTheme="minorHAnsi" w:hAnsiTheme="minorHAnsi" w:cstheme="minorHAnsi"/>
        </w:rPr>
        <w:t xml:space="preserve"> </w:t>
      </w:r>
      <w:r>
        <w:rPr>
          <w:rFonts w:asciiTheme="minorHAnsi" w:hAnsiTheme="minorHAnsi" w:cstheme="minorHAnsi"/>
        </w:rPr>
        <w:tab/>
        <w:t xml:space="preserve">Ukazatel je vypočítán jako podíl provozních výdajů na provoz a údržbu a celkové užívané plochy získané z právních vztahů. </w:t>
      </w:r>
      <w:r w:rsidRPr="00A1305A">
        <w:rPr>
          <w:rFonts w:asciiTheme="minorHAnsi" w:hAnsiTheme="minorHAnsi" w:cstheme="minorHAnsi"/>
        </w:rPr>
        <w:t>Do výpočtu vstupují pouze zplatněné objekty a zplatněné a účinné užívací právní vztahy.</w:t>
      </w:r>
      <w:r>
        <w:rPr>
          <w:rFonts w:asciiTheme="minorHAnsi" w:hAnsiTheme="minorHAnsi" w:cstheme="minorHAnsi"/>
        </w:rPr>
        <w:t xml:space="preserve"> Výdaje na provoz a údržbu zahrnují výdaje na nákup paliv a energií, výdaje na nákup služeb, výdaje na nájemné, opravy a udržování do 40 tis. Kč a technické zhodnocení dlouhodobého hmotného majetku do 40 tis. Kč.</w:t>
      </w:r>
    </w:p>
  </w:footnote>
  <w:footnote w:id="106">
    <w:p w14:paraId="04C5AB46" w14:textId="799E48F9" w:rsidR="008659E4" w:rsidRPr="008A198E" w:rsidRDefault="008659E4" w:rsidP="00CD6733">
      <w:pPr>
        <w:pStyle w:val="Textpoznpodarou"/>
        <w:ind w:left="284" w:hanging="284"/>
        <w:rPr>
          <w:rFonts w:asciiTheme="minorHAnsi" w:hAnsiTheme="minorHAnsi" w:cstheme="minorHAnsi"/>
        </w:rPr>
      </w:pPr>
      <w:r w:rsidRPr="008A198E">
        <w:rPr>
          <w:rStyle w:val="Znakapoznpodarou"/>
          <w:rFonts w:asciiTheme="minorHAnsi" w:hAnsiTheme="minorHAnsi" w:cstheme="minorHAnsi"/>
        </w:rPr>
        <w:footnoteRef/>
      </w:r>
      <w:r w:rsidRPr="008A198E">
        <w:rPr>
          <w:rFonts w:asciiTheme="minorHAnsi" w:hAnsiTheme="minorHAnsi" w:cstheme="minorHAnsi"/>
        </w:rPr>
        <w:t xml:space="preserve"> </w:t>
      </w:r>
      <w:r>
        <w:rPr>
          <w:rFonts w:asciiTheme="minorHAnsi" w:hAnsiTheme="minorHAnsi" w:cstheme="minorHAnsi"/>
        </w:rPr>
        <w:tab/>
      </w:r>
      <w:r w:rsidRPr="008A198E">
        <w:rPr>
          <w:rFonts w:asciiTheme="minorHAnsi" w:hAnsiTheme="minorHAnsi" w:cstheme="minorHAnsi"/>
        </w:rPr>
        <w:t xml:space="preserve">Náklady na </w:t>
      </w:r>
      <w:r>
        <w:rPr>
          <w:rFonts w:asciiTheme="minorHAnsi" w:hAnsiTheme="minorHAnsi" w:cstheme="minorHAnsi"/>
        </w:rPr>
        <w:t>1 </w:t>
      </w:r>
      <w:r w:rsidRPr="008A198E">
        <w:rPr>
          <w:rFonts w:asciiTheme="minorHAnsi" w:hAnsiTheme="minorHAnsi" w:cstheme="minorHAnsi"/>
        </w:rPr>
        <w:t>m</w:t>
      </w:r>
      <w:r w:rsidRPr="008A198E">
        <w:rPr>
          <w:rFonts w:asciiTheme="minorHAnsi" w:hAnsiTheme="minorHAnsi" w:cstheme="minorHAnsi"/>
          <w:vertAlign w:val="superscript"/>
        </w:rPr>
        <w:t>2</w:t>
      </w:r>
      <w:r w:rsidRPr="008A198E">
        <w:rPr>
          <w:rFonts w:asciiTheme="minorHAnsi" w:hAnsiTheme="minorHAnsi" w:cstheme="minorHAnsi"/>
        </w:rPr>
        <w:t xml:space="preserve"> jsou vypočítány jako podíl</w:t>
      </w:r>
      <w:r>
        <w:rPr>
          <w:rFonts w:asciiTheme="minorHAnsi" w:hAnsiTheme="minorHAnsi" w:cstheme="minorHAnsi"/>
        </w:rPr>
        <w:t xml:space="preserve"> ročních provozních nákladů a vnitřní čisté plochy.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8B0F" w14:textId="33AF8637" w:rsidR="008659E4" w:rsidRDefault="008659E4" w:rsidP="00CD6733">
    <w:pPr>
      <w:pStyle w:val="Zhlav"/>
      <w:tabs>
        <w:tab w:val="clear" w:pos="4536"/>
        <w:tab w:val="clear" w:pos="9072"/>
        <w:tab w:val="center" w:pos="45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64DE"/>
    <w:multiLevelType w:val="hybridMultilevel"/>
    <w:tmpl w:val="AB600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847D1"/>
    <w:multiLevelType w:val="hybridMultilevel"/>
    <w:tmpl w:val="D16A6E0E"/>
    <w:lvl w:ilvl="0" w:tplc="19F66E96">
      <w:numFmt w:val="bullet"/>
      <w:lvlText w:val="&gt;"/>
      <w:lvlJc w:val="left"/>
      <w:pPr>
        <w:ind w:left="927"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0260F0"/>
    <w:multiLevelType w:val="hybridMultilevel"/>
    <w:tmpl w:val="606A5A9A"/>
    <w:lvl w:ilvl="0" w:tplc="04050001">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AF3D52"/>
    <w:multiLevelType w:val="hybridMultilevel"/>
    <w:tmpl w:val="DE7E0E9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B336AA"/>
    <w:multiLevelType w:val="hybridMultilevel"/>
    <w:tmpl w:val="C0A8A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86506E"/>
    <w:multiLevelType w:val="hybridMultilevel"/>
    <w:tmpl w:val="95487582"/>
    <w:lvl w:ilvl="0" w:tplc="7DAE0F7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E06B07"/>
    <w:multiLevelType w:val="hybridMultilevel"/>
    <w:tmpl w:val="6C988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081E55"/>
    <w:multiLevelType w:val="hybridMultilevel"/>
    <w:tmpl w:val="B8E6E7C4"/>
    <w:lvl w:ilvl="0" w:tplc="BDBED9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56562B"/>
    <w:multiLevelType w:val="hybridMultilevel"/>
    <w:tmpl w:val="E820ACA0"/>
    <w:lvl w:ilvl="0" w:tplc="7DAE0F7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7F0D6A"/>
    <w:multiLevelType w:val="hybridMultilevel"/>
    <w:tmpl w:val="BC56A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BA4F4C"/>
    <w:multiLevelType w:val="hybridMultilevel"/>
    <w:tmpl w:val="2862B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150717"/>
    <w:multiLevelType w:val="hybridMultilevel"/>
    <w:tmpl w:val="7BC222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2DB64C5"/>
    <w:multiLevelType w:val="hybridMultilevel"/>
    <w:tmpl w:val="65E67D3C"/>
    <w:lvl w:ilvl="0" w:tplc="04050001">
      <w:start w:val="1"/>
      <w:numFmt w:val="bullet"/>
      <w:lvlText w:val=""/>
      <w:lvlJc w:val="left"/>
      <w:pPr>
        <w:ind w:left="3621" w:hanging="360"/>
      </w:pPr>
      <w:rPr>
        <w:rFonts w:ascii="Symbol" w:hAnsi="Symbol" w:hint="default"/>
      </w:rPr>
    </w:lvl>
    <w:lvl w:ilvl="1" w:tplc="04050003" w:tentative="1">
      <w:start w:val="1"/>
      <w:numFmt w:val="bullet"/>
      <w:lvlText w:val="o"/>
      <w:lvlJc w:val="left"/>
      <w:pPr>
        <w:ind w:left="4341" w:hanging="360"/>
      </w:pPr>
      <w:rPr>
        <w:rFonts w:ascii="Courier New" w:hAnsi="Courier New" w:cs="Courier New" w:hint="default"/>
      </w:rPr>
    </w:lvl>
    <w:lvl w:ilvl="2" w:tplc="04050005" w:tentative="1">
      <w:start w:val="1"/>
      <w:numFmt w:val="bullet"/>
      <w:lvlText w:val=""/>
      <w:lvlJc w:val="left"/>
      <w:pPr>
        <w:ind w:left="5061" w:hanging="360"/>
      </w:pPr>
      <w:rPr>
        <w:rFonts w:ascii="Wingdings" w:hAnsi="Wingdings" w:hint="default"/>
      </w:rPr>
    </w:lvl>
    <w:lvl w:ilvl="3" w:tplc="04050001" w:tentative="1">
      <w:start w:val="1"/>
      <w:numFmt w:val="bullet"/>
      <w:lvlText w:val=""/>
      <w:lvlJc w:val="left"/>
      <w:pPr>
        <w:ind w:left="5781" w:hanging="360"/>
      </w:pPr>
      <w:rPr>
        <w:rFonts w:ascii="Symbol" w:hAnsi="Symbol" w:hint="default"/>
      </w:rPr>
    </w:lvl>
    <w:lvl w:ilvl="4" w:tplc="04050003" w:tentative="1">
      <w:start w:val="1"/>
      <w:numFmt w:val="bullet"/>
      <w:lvlText w:val="o"/>
      <w:lvlJc w:val="left"/>
      <w:pPr>
        <w:ind w:left="6501" w:hanging="360"/>
      </w:pPr>
      <w:rPr>
        <w:rFonts w:ascii="Courier New" w:hAnsi="Courier New" w:cs="Courier New" w:hint="default"/>
      </w:rPr>
    </w:lvl>
    <w:lvl w:ilvl="5" w:tplc="04050005" w:tentative="1">
      <w:start w:val="1"/>
      <w:numFmt w:val="bullet"/>
      <w:lvlText w:val=""/>
      <w:lvlJc w:val="left"/>
      <w:pPr>
        <w:ind w:left="7221" w:hanging="360"/>
      </w:pPr>
      <w:rPr>
        <w:rFonts w:ascii="Wingdings" w:hAnsi="Wingdings" w:hint="default"/>
      </w:rPr>
    </w:lvl>
    <w:lvl w:ilvl="6" w:tplc="04050001" w:tentative="1">
      <w:start w:val="1"/>
      <w:numFmt w:val="bullet"/>
      <w:lvlText w:val=""/>
      <w:lvlJc w:val="left"/>
      <w:pPr>
        <w:ind w:left="7941" w:hanging="360"/>
      </w:pPr>
      <w:rPr>
        <w:rFonts w:ascii="Symbol" w:hAnsi="Symbol" w:hint="default"/>
      </w:rPr>
    </w:lvl>
    <w:lvl w:ilvl="7" w:tplc="04050003" w:tentative="1">
      <w:start w:val="1"/>
      <w:numFmt w:val="bullet"/>
      <w:lvlText w:val="o"/>
      <w:lvlJc w:val="left"/>
      <w:pPr>
        <w:ind w:left="8661" w:hanging="360"/>
      </w:pPr>
      <w:rPr>
        <w:rFonts w:ascii="Courier New" w:hAnsi="Courier New" w:cs="Courier New" w:hint="default"/>
      </w:rPr>
    </w:lvl>
    <w:lvl w:ilvl="8" w:tplc="04050005" w:tentative="1">
      <w:start w:val="1"/>
      <w:numFmt w:val="bullet"/>
      <w:lvlText w:val=""/>
      <w:lvlJc w:val="left"/>
      <w:pPr>
        <w:ind w:left="9381" w:hanging="360"/>
      </w:pPr>
      <w:rPr>
        <w:rFonts w:ascii="Wingdings" w:hAnsi="Wingdings" w:hint="default"/>
      </w:rPr>
    </w:lvl>
  </w:abstractNum>
  <w:abstractNum w:abstractNumId="13" w15:restartNumberingAfterBreak="0">
    <w:nsid w:val="22FF4F9B"/>
    <w:multiLevelType w:val="hybridMultilevel"/>
    <w:tmpl w:val="DEBC6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A0C4BB3"/>
    <w:multiLevelType w:val="hybridMultilevel"/>
    <w:tmpl w:val="A72CC360"/>
    <w:lvl w:ilvl="0" w:tplc="B0EE3D12">
      <w:start w:val="1"/>
      <w:numFmt w:val="upperLetter"/>
      <w:pStyle w:val="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0C2724"/>
    <w:multiLevelType w:val="hybridMultilevel"/>
    <w:tmpl w:val="860C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4819D0"/>
    <w:multiLevelType w:val="hybridMultilevel"/>
    <w:tmpl w:val="F6A84D96"/>
    <w:lvl w:ilvl="0" w:tplc="7DAE0F7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C991E94"/>
    <w:multiLevelType w:val="hybridMultilevel"/>
    <w:tmpl w:val="9A9A7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FCF4BA3"/>
    <w:multiLevelType w:val="hybridMultilevel"/>
    <w:tmpl w:val="F09A0B42"/>
    <w:lvl w:ilvl="0" w:tplc="002A9AD6">
      <w:start w:val="65535"/>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FFC0A08"/>
    <w:multiLevelType w:val="hybridMultilevel"/>
    <w:tmpl w:val="0CA67782"/>
    <w:lvl w:ilvl="0" w:tplc="EBF6E55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560DC4"/>
    <w:multiLevelType w:val="hybridMultilevel"/>
    <w:tmpl w:val="7862DC5A"/>
    <w:lvl w:ilvl="0" w:tplc="7DAE0F7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56C3795"/>
    <w:multiLevelType w:val="hybridMultilevel"/>
    <w:tmpl w:val="FF308FD4"/>
    <w:lvl w:ilvl="0" w:tplc="BDBED9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5B77498"/>
    <w:multiLevelType w:val="hybridMultilevel"/>
    <w:tmpl w:val="DE7E0E9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78700BE"/>
    <w:multiLevelType w:val="multilevel"/>
    <w:tmpl w:val="368C1B1A"/>
    <w:lvl w:ilvl="0">
      <w:start w:val="1"/>
      <w:numFmt w:val="upperRoman"/>
      <w:pStyle w:val="Nadpis1"/>
      <w:lvlText w:val="%1."/>
      <w:lvlJc w:val="righ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24" w15:restartNumberingAfterBreak="0">
    <w:nsid w:val="3AF50661"/>
    <w:multiLevelType w:val="hybridMultilevel"/>
    <w:tmpl w:val="BB2C02CC"/>
    <w:lvl w:ilvl="0" w:tplc="7DAE0F7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6E6BC7"/>
    <w:multiLevelType w:val="hybridMultilevel"/>
    <w:tmpl w:val="0EB0D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1B603E"/>
    <w:multiLevelType w:val="hybridMultilevel"/>
    <w:tmpl w:val="61626AFA"/>
    <w:lvl w:ilvl="0" w:tplc="14C29CF2">
      <w:numFmt w:val="bullet"/>
      <w:lvlText w:val="•"/>
      <w:lvlJc w:val="left"/>
      <w:pPr>
        <w:ind w:left="705" w:hanging="705"/>
      </w:pPr>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4D7D099E"/>
    <w:multiLevelType w:val="hybridMultilevel"/>
    <w:tmpl w:val="30F6BC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E7F19D1"/>
    <w:multiLevelType w:val="hybridMultilevel"/>
    <w:tmpl w:val="4016FD40"/>
    <w:lvl w:ilvl="0" w:tplc="165C22E2">
      <w:start w:val="1"/>
      <w:numFmt w:val="decimal"/>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08A0EBE"/>
    <w:multiLevelType w:val="hybridMultilevel"/>
    <w:tmpl w:val="9F040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A57CC7"/>
    <w:multiLevelType w:val="hybridMultilevel"/>
    <w:tmpl w:val="4E1E3366"/>
    <w:lvl w:ilvl="0" w:tplc="E048C4B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2BE6F4E"/>
    <w:multiLevelType w:val="hybridMultilevel"/>
    <w:tmpl w:val="C9CEA12A"/>
    <w:lvl w:ilvl="0" w:tplc="19F66E96">
      <w:numFmt w:val="bullet"/>
      <w:lvlText w:val="&gt;"/>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2" w15:restartNumberingAfterBreak="0">
    <w:nsid w:val="677254E7"/>
    <w:multiLevelType w:val="hybridMultilevel"/>
    <w:tmpl w:val="AEC657EA"/>
    <w:lvl w:ilvl="0" w:tplc="BDBED9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79206D3"/>
    <w:multiLevelType w:val="hybridMultilevel"/>
    <w:tmpl w:val="ED1E54B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6AF45760"/>
    <w:multiLevelType w:val="hybridMultilevel"/>
    <w:tmpl w:val="8C566B82"/>
    <w:lvl w:ilvl="0" w:tplc="D8469B76">
      <w:numFmt w:val="bullet"/>
      <w:lvlText w:val="-"/>
      <w:lvlJc w:val="left"/>
      <w:pPr>
        <w:ind w:left="720" w:hanging="360"/>
      </w:pPr>
      <w:rPr>
        <w:rFonts w:ascii="Calibri" w:eastAsiaTheme="minorHAns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CFA7E29"/>
    <w:multiLevelType w:val="hybridMultilevel"/>
    <w:tmpl w:val="7758E950"/>
    <w:lvl w:ilvl="0" w:tplc="04050009">
      <w:start w:val="1"/>
      <w:numFmt w:val="bullet"/>
      <w:lvlText w:val=""/>
      <w:lvlJc w:val="left"/>
      <w:pPr>
        <w:ind w:left="927"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0757C71"/>
    <w:multiLevelType w:val="hybridMultilevel"/>
    <w:tmpl w:val="9E744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5F042B6"/>
    <w:multiLevelType w:val="hybridMultilevel"/>
    <w:tmpl w:val="1FE4EE2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15:restartNumberingAfterBreak="0">
    <w:nsid w:val="77F8319E"/>
    <w:multiLevelType w:val="hybridMultilevel"/>
    <w:tmpl w:val="4FCCA596"/>
    <w:lvl w:ilvl="0" w:tplc="BDBED9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A6E2BDB"/>
    <w:multiLevelType w:val="hybridMultilevel"/>
    <w:tmpl w:val="B68477B6"/>
    <w:lvl w:ilvl="0" w:tplc="8E7CB3EA">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AB53CCD"/>
    <w:multiLevelType w:val="hybridMultilevel"/>
    <w:tmpl w:val="4E1E3366"/>
    <w:lvl w:ilvl="0" w:tplc="E048C4B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C941C28"/>
    <w:multiLevelType w:val="hybridMultilevel"/>
    <w:tmpl w:val="4E1E3366"/>
    <w:lvl w:ilvl="0" w:tplc="E048C4B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CB1663A"/>
    <w:multiLevelType w:val="hybridMultilevel"/>
    <w:tmpl w:val="1B944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DA73924"/>
    <w:multiLevelType w:val="hybridMultilevel"/>
    <w:tmpl w:val="93324876"/>
    <w:lvl w:ilvl="0" w:tplc="002A9AD6">
      <w:start w:val="65535"/>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E636D11"/>
    <w:multiLevelType w:val="hybridMultilevel"/>
    <w:tmpl w:val="0DFCF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ECC3A0A"/>
    <w:multiLevelType w:val="hybridMultilevel"/>
    <w:tmpl w:val="4E1E3366"/>
    <w:lvl w:ilvl="0" w:tplc="E048C4B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EDC1936"/>
    <w:multiLevelType w:val="hybridMultilevel"/>
    <w:tmpl w:val="125828DA"/>
    <w:lvl w:ilvl="0" w:tplc="04050015">
      <w:start w:val="2"/>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40"/>
  </w:num>
  <w:num w:numId="3">
    <w:abstractNumId w:val="18"/>
  </w:num>
  <w:num w:numId="4">
    <w:abstractNumId w:val="43"/>
  </w:num>
  <w:num w:numId="5">
    <w:abstractNumId w:val="13"/>
  </w:num>
  <w:num w:numId="6">
    <w:abstractNumId w:val="9"/>
  </w:num>
  <w:num w:numId="7">
    <w:abstractNumId w:val="10"/>
  </w:num>
  <w:num w:numId="8">
    <w:abstractNumId w:val="36"/>
  </w:num>
  <w:num w:numId="9">
    <w:abstractNumId w:val="19"/>
  </w:num>
  <w:num w:numId="10">
    <w:abstractNumId w:val="14"/>
  </w:num>
  <w:num w:numId="11">
    <w:abstractNumId w:val="46"/>
  </w:num>
  <w:num w:numId="12">
    <w:abstractNumId w:val="30"/>
  </w:num>
  <w:num w:numId="13">
    <w:abstractNumId w:val="45"/>
  </w:num>
  <w:num w:numId="14">
    <w:abstractNumId w:val="41"/>
  </w:num>
  <w:num w:numId="15">
    <w:abstractNumId w:val="27"/>
  </w:num>
  <w:num w:numId="16">
    <w:abstractNumId w:val="31"/>
  </w:num>
  <w:num w:numId="17">
    <w:abstractNumId w:val="29"/>
  </w:num>
  <w:num w:numId="18">
    <w:abstractNumId w:val="1"/>
  </w:num>
  <w:num w:numId="19">
    <w:abstractNumId w:val="35"/>
  </w:num>
  <w:num w:numId="20">
    <w:abstractNumId w:val="3"/>
  </w:num>
  <w:num w:numId="21">
    <w:abstractNumId w:val="37"/>
  </w:num>
  <w:num w:numId="22">
    <w:abstractNumId w:val="17"/>
  </w:num>
  <w:num w:numId="23">
    <w:abstractNumId w:val="0"/>
  </w:num>
  <w:num w:numId="24">
    <w:abstractNumId w:val="12"/>
  </w:num>
  <w:num w:numId="25">
    <w:abstractNumId w:val="22"/>
  </w:num>
  <w:num w:numId="26">
    <w:abstractNumId w:val="28"/>
  </w:num>
  <w:num w:numId="27">
    <w:abstractNumId w:val="14"/>
    <w:lvlOverride w:ilvl="0">
      <w:startOverride w:val="1"/>
    </w:lvlOverride>
  </w:num>
  <w:num w:numId="28">
    <w:abstractNumId w:val="28"/>
    <w:lvlOverride w:ilvl="0">
      <w:startOverride w:val="1"/>
    </w:lvlOverride>
  </w:num>
  <w:num w:numId="29">
    <w:abstractNumId w:val="33"/>
  </w:num>
  <w:num w:numId="30">
    <w:abstractNumId w:val="34"/>
  </w:num>
  <w:num w:numId="31">
    <w:abstractNumId w:val="6"/>
  </w:num>
  <w:num w:numId="32">
    <w:abstractNumId w:val="2"/>
  </w:num>
  <w:num w:numId="33">
    <w:abstractNumId w:val="25"/>
  </w:num>
  <w:num w:numId="34">
    <w:abstractNumId w:val="21"/>
  </w:num>
  <w:num w:numId="35">
    <w:abstractNumId w:val="15"/>
  </w:num>
  <w:num w:numId="36">
    <w:abstractNumId w:val="42"/>
  </w:num>
  <w:num w:numId="37">
    <w:abstractNumId w:val="11"/>
  </w:num>
  <w:num w:numId="38">
    <w:abstractNumId w:val="28"/>
    <w:lvlOverride w:ilvl="0">
      <w:startOverride w:val="1"/>
    </w:lvlOverride>
  </w:num>
  <w:num w:numId="39">
    <w:abstractNumId w:val="4"/>
  </w:num>
  <w:num w:numId="40">
    <w:abstractNumId w:val="26"/>
  </w:num>
  <w:num w:numId="41">
    <w:abstractNumId w:val="32"/>
  </w:num>
  <w:num w:numId="42">
    <w:abstractNumId w:val="38"/>
  </w:num>
  <w:num w:numId="43">
    <w:abstractNumId w:val="7"/>
  </w:num>
  <w:num w:numId="44">
    <w:abstractNumId w:val="44"/>
  </w:num>
  <w:num w:numId="45">
    <w:abstractNumId w:val="39"/>
  </w:num>
  <w:num w:numId="46">
    <w:abstractNumId w:val="16"/>
  </w:num>
  <w:num w:numId="47">
    <w:abstractNumId w:val="24"/>
  </w:num>
  <w:num w:numId="48">
    <w:abstractNumId w:val="8"/>
  </w:num>
  <w:num w:numId="49">
    <w:abstractNumId w:val="20"/>
  </w:num>
  <w:num w:numId="5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Moves/>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1F"/>
    <w:rsid w:val="00000D55"/>
    <w:rsid w:val="00000ED2"/>
    <w:rsid w:val="00000EEE"/>
    <w:rsid w:val="00001FA3"/>
    <w:rsid w:val="00001FC1"/>
    <w:rsid w:val="000025E6"/>
    <w:rsid w:val="00002DFC"/>
    <w:rsid w:val="00002FFB"/>
    <w:rsid w:val="000034D7"/>
    <w:rsid w:val="0000388C"/>
    <w:rsid w:val="00004385"/>
    <w:rsid w:val="00004C0D"/>
    <w:rsid w:val="00005079"/>
    <w:rsid w:val="00005C93"/>
    <w:rsid w:val="000069AB"/>
    <w:rsid w:val="00006C35"/>
    <w:rsid w:val="00006E83"/>
    <w:rsid w:val="00007F78"/>
    <w:rsid w:val="000108AC"/>
    <w:rsid w:val="000109B4"/>
    <w:rsid w:val="00010D94"/>
    <w:rsid w:val="00010DE4"/>
    <w:rsid w:val="00011110"/>
    <w:rsid w:val="00011811"/>
    <w:rsid w:val="000133BE"/>
    <w:rsid w:val="00013768"/>
    <w:rsid w:val="00013D62"/>
    <w:rsid w:val="00013E47"/>
    <w:rsid w:val="00014454"/>
    <w:rsid w:val="00014A22"/>
    <w:rsid w:val="00014CDF"/>
    <w:rsid w:val="00016A6E"/>
    <w:rsid w:val="0001715A"/>
    <w:rsid w:val="000172D1"/>
    <w:rsid w:val="00017650"/>
    <w:rsid w:val="000176A8"/>
    <w:rsid w:val="00022423"/>
    <w:rsid w:val="0002283D"/>
    <w:rsid w:val="000228CF"/>
    <w:rsid w:val="00022D34"/>
    <w:rsid w:val="0002364E"/>
    <w:rsid w:val="00024339"/>
    <w:rsid w:val="00024BB3"/>
    <w:rsid w:val="00024E33"/>
    <w:rsid w:val="00025542"/>
    <w:rsid w:val="00025CB3"/>
    <w:rsid w:val="000260A6"/>
    <w:rsid w:val="000265BB"/>
    <w:rsid w:val="00026F3D"/>
    <w:rsid w:val="000274CA"/>
    <w:rsid w:val="0002759A"/>
    <w:rsid w:val="000301CE"/>
    <w:rsid w:val="00030616"/>
    <w:rsid w:val="0003096A"/>
    <w:rsid w:val="0003098A"/>
    <w:rsid w:val="00030D42"/>
    <w:rsid w:val="000327A7"/>
    <w:rsid w:val="00032D8B"/>
    <w:rsid w:val="00032FE5"/>
    <w:rsid w:val="000332AF"/>
    <w:rsid w:val="00033597"/>
    <w:rsid w:val="0003362B"/>
    <w:rsid w:val="00033C7F"/>
    <w:rsid w:val="000351F5"/>
    <w:rsid w:val="000352B7"/>
    <w:rsid w:val="000354AF"/>
    <w:rsid w:val="00035950"/>
    <w:rsid w:val="00035A3D"/>
    <w:rsid w:val="00035CDD"/>
    <w:rsid w:val="0003623E"/>
    <w:rsid w:val="000366AF"/>
    <w:rsid w:val="00036DB0"/>
    <w:rsid w:val="00036E09"/>
    <w:rsid w:val="00037173"/>
    <w:rsid w:val="00040B8F"/>
    <w:rsid w:val="00041471"/>
    <w:rsid w:val="000421DE"/>
    <w:rsid w:val="000427C3"/>
    <w:rsid w:val="000429E4"/>
    <w:rsid w:val="00042D1B"/>
    <w:rsid w:val="00043652"/>
    <w:rsid w:val="000436ED"/>
    <w:rsid w:val="0004415A"/>
    <w:rsid w:val="00044286"/>
    <w:rsid w:val="00045998"/>
    <w:rsid w:val="00045C59"/>
    <w:rsid w:val="000460C3"/>
    <w:rsid w:val="00046847"/>
    <w:rsid w:val="00046DDD"/>
    <w:rsid w:val="00046EC8"/>
    <w:rsid w:val="00046EFA"/>
    <w:rsid w:val="00047B42"/>
    <w:rsid w:val="00047E67"/>
    <w:rsid w:val="00051710"/>
    <w:rsid w:val="00051E68"/>
    <w:rsid w:val="000539F0"/>
    <w:rsid w:val="00054C4B"/>
    <w:rsid w:val="00055467"/>
    <w:rsid w:val="0005546D"/>
    <w:rsid w:val="000555FD"/>
    <w:rsid w:val="00056510"/>
    <w:rsid w:val="0005784D"/>
    <w:rsid w:val="00057F70"/>
    <w:rsid w:val="00060AFC"/>
    <w:rsid w:val="00060B34"/>
    <w:rsid w:val="00061280"/>
    <w:rsid w:val="0006157B"/>
    <w:rsid w:val="00061890"/>
    <w:rsid w:val="000619E0"/>
    <w:rsid w:val="00063141"/>
    <w:rsid w:val="00063955"/>
    <w:rsid w:val="000639F6"/>
    <w:rsid w:val="00063A5E"/>
    <w:rsid w:val="00063C97"/>
    <w:rsid w:val="00064225"/>
    <w:rsid w:val="00065162"/>
    <w:rsid w:val="00065884"/>
    <w:rsid w:val="0006594F"/>
    <w:rsid w:val="00065B07"/>
    <w:rsid w:val="00065D21"/>
    <w:rsid w:val="00065F74"/>
    <w:rsid w:val="00066409"/>
    <w:rsid w:val="00066559"/>
    <w:rsid w:val="00066B7D"/>
    <w:rsid w:val="00067058"/>
    <w:rsid w:val="00067955"/>
    <w:rsid w:val="00070126"/>
    <w:rsid w:val="0007085C"/>
    <w:rsid w:val="000725A0"/>
    <w:rsid w:val="00072646"/>
    <w:rsid w:val="00072802"/>
    <w:rsid w:val="00074A43"/>
    <w:rsid w:val="0007588F"/>
    <w:rsid w:val="00075B9E"/>
    <w:rsid w:val="00075FA0"/>
    <w:rsid w:val="00076014"/>
    <w:rsid w:val="000764A5"/>
    <w:rsid w:val="000771B1"/>
    <w:rsid w:val="0007753D"/>
    <w:rsid w:val="0007792E"/>
    <w:rsid w:val="0008020A"/>
    <w:rsid w:val="000807DB"/>
    <w:rsid w:val="00080CB8"/>
    <w:rsid w:val="00080D2B"/>
    <w:rsid w:val="00082146"/>
    <w:rsid w:val="00082A69"/>
    <w:rsid w:val="00083448"/>
    <w:rsid w:val="0008356B"/>
    <w:rsid w:val="00083E93"/>
    <w:rsid w:val="000843B5"/>
    <w:rsid w:val="000843B9"/>
    <w:rsid w:val="000843BE"/>
    <w:rsid w:val="000847B7"/>
    <w:rsid w:val="00084A3A"/>
    <w:rsid w:val="00084D37"/>
    <w:rsid w:val="00084E2E"/>
    <w:rsid w:val="000853B6"/>
    <w:rsid w:val="000857DB"/>
    <w:rsid w:val="00085C91"/>
    <w:rsid w:val="000860CA"/>
    <w:rsid w:val="00086856"/>
    <w:rsid w:val="0008729F"/>
    <w:rsid w:val="00087492"/>
    <w:rsid w:val="000874CB"/>
    <w:rsid w:val="00092597"/>
    <w:rsid w:val="00094336"/>
    <w:rsid w:val="00094CF9"/>
    <w:rsid w:val="00094FCB"/>
    <w:rsid w:val="000954C8"/>
    <w:rsid w:val="000970D8"/>
    <w:rsid w:val="00097315"/>
    <w:rsid w:val="00097DFA"/>
    <w:rsid w:val="000A0B04"/>
    <w:rsid w:val="000A0B90"/>
    <w:rsid w:val="000A14C2"/>
    <w:rsid w:val="000A1A25"/>
    <w:rsid w:val="000A1DE4"/>
    <w:rsid w:val="000A2091"/>
    <w:rsid w:val="000A2191"/>
    <w:rsid w:val="000A2764"/>
    <w:rsid w:val="000A27B6"/>
    <w:rsid w:val="000A2A14"/>
    <w:rsid w:val="000A3438"/>
    <w:rsid w:val="000A35FB"/>
    <w:rsid w:val="000A4A1F"/>
    <w:rsid w:val="000A570F"/>
    <w:rsid w:val="000A5E4D"/>
    <w:rsid w:val="000A74BB"/>
    <w:rsid w:val="000A7850"/>
    <w:rsid w:val="000B0531"/>
    <w:rsid w:val="000B06F4"/>
    <w:rsid w:val="000B07A9"/>
    <w:rsid w:val="000B0EA6"/>
    <w:rsid w:val="000B10E6"/>
    <w:rsid w:val="000B14AB"/>
    <w:rsid w:val="000B1CA6"/>
    <w:rsid w:val="000B2136"/>
    <w:rsid w:val="000B2976"/>
    <w:rsid w:val="000B31F9"/>
    <w:rsid w:val="000B3EE1"/>
    <w:rsid w:val="000B41EE"/>
    <w:rsid w:val="000B4551"/>
    <w:rsid w:val="000B52A4"/>
    <w:rsid w:val="000B56E4"/>
    <w:rsid w:val="000B5C74"/>
    <w:rsid w:val="000B6038"/>
    <w:rsid w:val="000B6531"/>
    <w:rsid w:val="000B6C71"/>
    <w:rsid w:val="000C0531"/>
    <w:rsid w:val="000C0B7F"/>
    <w:rsid w:val="000C1136"/>
    <w:rsid w:val="000C1D9D"/>
    <w:rsid w:val="000C222F"/>
    <w:rsid w:val="000C2586"/>
    <w:rsid w:val="000C2A1A"/>
    <w:rsid w:val="000C376D"/>
    <w:rsid w:val="000C3996"/>
    <w:rsid w:val="000C47D2"/>
    <w:rsid w:val="000C5039"/>
    <w:rsid w:val="000C5364"/>
    <w:rsid w:val="000C53E7"/>
    <w:rsid w:val="000C5617"/>
    <w:rsid w:val="000C5981"/>
    <w:rsid w:val="000C59B3"/>
    <w:rsid w:val="000C5F3D"/>
    <w:rsid w:val="000C650D"/>
    <w:rsid w:val="000C6603"/>
    <w:rsid w:val="000C6970"/>
    <w:rsid w:val="000D0260"/>
    <w:rsid w:val="000D113C"/>
    <w:rsid w:val="000D12B9"/>
    <w:rsid w:val="000D150C"/>
    <w:rsid w:val="000D1773"/>
    <w:rsid w:val="000D1890"/>
    <w:rsid w:val="000D1D29"/>
    <w:rsid w:val="000D1F51"/>
    <w:rsid w:val="000D1FED"/>
    <w:rsid w:val="000D2B0B"/>
    <w:rsid w:val="000D32BD"/>
    <w:rsid w:val="000D37A7"/>
    <w:rsid w:val="000D3DA4"/>
    <w:rsid w:val="000D4BD9"/>
    <w:rsid w:val="000D55B3"/>
    <w:rsid w:val="000D664E"/>
    <w:rsid w:val="000D6BF7"/>
    <w:rsid w:val="000D6F72"/>
    <w:rsid w:val="000D7BFC"/>
    <w:rsid w:val="000D7FAD"/>
    <w:rsid w:val="000E0A1B"/>
    <w:rsid w:val="000E0A75"/>
    <w:rsid w:val="000E0AB3"/>
    <w:rsid w:val="000E0D13"/>
    <w:rsid w:val="000E29E4"/>
    <w:rsid w:val="000E2E60"/>
    <w:rsid w:val="000E3E6D"/>
    <w:rsid w:val="000E3E9D"/>
    <w:rsid w:val="000E4E19"/>
    <w:rsid w:val="000E5369"/>
    <w:rsid w:val="000E5F80"/>
    <w:rsid w:val="000E609F"/>
    <w:rsid w:val="000E6838"/>
    <w:rsid w:val="000E69AC"/>
    <w:rsid w:val="000E6A8D"/>
    <w:rsid w:val="000E6F38"/>
    <w:rsid w:val="000E7296"/>
    <w:rsid w:val="000E785D"/>
    <w:rsid w:val="000E79B9"/>
    <w:rsid w:val="000F0266"/>
    <w:rsid w:val="000F15E4"/>
    <w:rsid w:val="000F1643"/>
    <w:rsid w:val="000F1B81"/>
    <w:rsid w:val="000F1BCA"/>
    <w:rsid w:val="000F3E6A"/>
    <w:rsid w:val="000F4013"/>
    <w:rsid w:val="000F4590"/>
    <w:rsid w:val="000F4744"/>
    <w:rsid w:val="000F5338"/>
    <w:rsid w:val="000F5618"/>
    <w:rsid w:val="000F56BB"/>
    <w:rsid w:val="000F6856"/>
    <w:rsid w:val="000F6BEB"/>
    <w:rsid w:val="000F70C9"/>
    <w:rsid w:val="000F753E"/>
    <w:rsid w:val="000F784C"/>
    <w:rsid w:val="000F7A5A"/>
    <w:rsid w:val="001000DD"/>
    <w:rsid w:val="00101148"/>
    <w:rsid w:val="00101D7B"/>
    <w:rsid w:val="00101F59"/>
    <w:rsid w:val="001025D2"/>
    <w:rsid w:val="00102B4E"/>
    <w:rsid w:val="00102CE7"/>
    <w:rsid w:val="0010372F"/>
    <w:rsid w:val="00104095"/>
    <w:rsid w:val="00104440"/>
    <w:rsid w:val="001044C1"/>
    <w:rsid w:val="0010475A"/>
    <w:rsid w:val="00104A97"/>
    <w:rsid w:val="00104E9C"/>
    <w:rsid w:val="00105979"/>
    <w:rsid w:val="00105D0E"/>
    <w:rsid w:val="001060C9"/>
    <w:rsid w:val="00106664"/>
    <w:rsid w:val="001073D0"/>
    <w:rsid w:val="001076C2"/>
    <w:rsid w:val="0010786D"/>
    <w:rsid w:val="00111670"/>
    <w:rsid w:val="00112516"/>
    <w:rsid w:val="00112670"/>
    <w:rsid w:val="00112816"/>
    <w:rsid w:val="00112DF7"/>
    <w:rsid w:val="00113287"/>
    <w:rsid w:val="00115C1E"/>
    <w:rsid w:val="00115EC4"/>
    <w:rsid w:val="00115FA3"/>
    <w:rsid w:val="00117048"/>
    <w:rsid w:val="0011798A"/>
    <w:rsid w:val="001200ED"/>
    <w:rsid w:val="00120690"/>
    <w:rsid w:val="001214B7"/>
    <w:rsid w:val="00121656"/>
    <w:rsid w:val="00121BF5"/>
    <w:rsid w:val="00122137"/>
    <w:rsid w:val="00122481"/>
    <w:rsid w:val="00122F28"/>
    <w:rsid w:val="00123221"/>
    <w:rsid w:val="00123BBC"/>
    <w:rsid w:val="00123DB5"/>
    <w:rsid w:val="001257C8"/>
    <w:rsid w:val="00125867"/>
    <w:rsid w:val="001263FC"/>
    <w:rsid w:val="001269C6"/>
    <w:rsid w:val="00126C57"/>
    <w:rsid w:val="00126F3C"/>
    <w:rsid w:val="00126FF9"/>
    <w:rsid w:val="00127688"/>
    <w:rsid w:val="00127A76"/>
    <w:rsid w:val="00127B68"/>
    <w:rsid w:val="00130217"/>
    <w:rsid w:val="00130695"/>
    <w:rsid w:val="0013080C"/>
    <w:rsid w:val="00130883"/>
    <w:rsid w:val="00130B26"/>
    <w:rsid w:val="00130C1A"/>
    <w:rsid w:val="001312C5"/>
    <w:rsid w:val="00131AB7"/>
    <w:rsid w:val="00131CB0"/>
    <w:rsid w:val="00131D68"/>
    <w:rsid w:val="0013256D"/>
    <w:rsid w:val="00133AF3"/>
    <w:rsid w:val="001341B6"/>
    <w:rsid w:val="00134A59"/>
    <w:rsid w:val="00134E74"/>
    <w:rsid w:val="001351C3"/>
    <w:rsid w:val="00135A20"/>
    <w:rsid w:val="00135D79"/>
    <w:rsid w:val="0013635E"/>
    <w:rsid w:val="00136B03"/>
    <w:rsid w:val="00136D62"/>
    <w:rsid w:val="00137025"/>
    <w:rsid w:val="001377C4"/>
    <w:rsid w:val="001401B4"/>
    <w:rsid w:val="00140963"/>
    <w:rsid w:val="00140E53"/>
    <w:rsid w:val="00141640"/>
    <w:rsid w:val="00141B6E"/>
    <w:rsid w:val="00142633"/>
    <w:rsid w:val="0014282C"/>
    <w:rsid w:val="001429BC"/>
    <w:rsid w:val="00142BCD"/>
    <w:rsid w:val="0014306E"/>
    <w:rsid w:val="00143400"/>
    <w:rsid w:val="00143EE5"/>
    <w:rsid w:val="00144751"/>
    <w:rsid w:val="00144AFA"/>
    <w:rsid w:val="00144E2D"/>
    <w:rsid w:val="001454DA"/>
    <w:rsid w:val="001459FB"/>
    <w:rsid w:val="00146AB0"/>
    <w:rsid w:val="00146C23"/>
    <w:rsid w:val="001470EC"/>
    <w:rsid w:val="001473CD"/>
    <w:rsid w:val="00147741"/>
    <w:rsid w:val="00147CD9"/>
    <w:rsid w:val="00151B38"/>
    <w:rsid w:val="001522CB"/>
    <w:rsid w:val="00152616"/>
    <w:rsid w:val="00152836"/>
    <w:rsid w:val="00152FE0"/>
    <w:rsid w:val="001536B0"/>
    <w:rsid w:val="001537B2"/>
    <w:rsid w:val="001542AE"/>
    <w:rsid w:val="001542E9"/>
    <w:rsid w:val="0015445E"/>
    <w:rsid w:val="00154A46"/>
    <w:rsid w:val="00154A7A"/>
    <w:rsid w:val="00154E20"/>
    <w:rsid w:val="0015520C"/>
    <w:rsid w:val="001553D0"/>
    <w:rsid w:val="001553F6"/>
    <w:rsid w:val="00155474"/>
    <w:rsid w:val="00155A9F"/>
    <w:rsid w:val="00156FD5"/>
    <w:rsid w:val="00157C6E"/>
    <w:rsid w:val="00160F97"/>
    <w:rsid w:val="00161763"/>
    <w:rsid w:val="001617D2"/>
    <w:rsid w:val="001621F3"/>
    <w:rsid w:val="00162974"/>
    <w:rsid w:val="00162C6A"/>
    <w:rsid w:val="00163653"/>
    <w:rsid w:val="001637FD"/>
    <w:rsid w:val="00163B12"/>
    <w:rsid w:val="0016452C"/>
    <w:rsid w:val="001646C1"/>
    <w:rsid w:val="00164CFF"/>
    <w:rsid w:val="00164D32"/>
    <w:rsid w:val="00165288"/>
    <w:rsid w:val="001653AB"/>
    <w:rsid w:val="00166572"/>
    <w:rsid w:val="00166AD2"/>
    <w:rsid w:val="00167069"/>
    <w:rsid w:val="001674E0"/>
    <w:rsid w:val="0016792C"/>
    <w:rsid w:val="00167DFE"/>
    <w:rsid w:val="00170027"/>
    <w:rsid w:val="00170274"/>
    <w:rsid w:val="001709D6"/>
    <w:rsid w:val="0017194E"/>
    <w:rsid w:val="00171C74"/>
    <w:rsid w:val="00171D55"/>
    <w:rsid w:val="00173031"/>
    <w:rsid w:val="00173414"/>
    <w:rsid w:val="00173B41"/>
    <w:rsid w:val="00173BC1"/>
    <w:rsid w:val="001740BB"/>
    <w:rsid w:val="00174323"/>
    <w:rsid w:val="00174661"/>
    <w:rsid w:val="00174B65"/>
    <w:rsid w:val="00175C01"/>
    <w:rsid w:val="001761BC"/>
    <w:rsid w:val="001768A4"/>
    <w:rsid w:val="00176A87"/>
    <w:rsid w:val="00176BC9"/>
    <w:rsid w:val="00176D8D"/>
    <w:rsid w:val="00176EED"/>
    <w:rsid w:val="0017735D"/>
    <w:rsid w:val="00177CAA"/>
    <w:rsid w:val="00180659"/>
    <w:rsid w:val="00180756"/>
    <w:rsid w:val="001809DC"/>
    <w:rsid w:val="00181766"/>
    <w:rsid w:val="00182279"/>
    <w:rsid w:val="001823AE"/>
    <w:rsid w:val="00182952"/>
    <w:rsid w:val="00183395"/>
    <w:rsid w:val="0018378A"/>
    <w:rsid w:val="0018379A"/>
    <w:rsid w:val="001840E9"/>
    <w:rsid w:val="00184E48"/>
    <w:rsid w:val="00186936"/>
    <w:rsid w:val="00190E0F"/>
    <w:rsid w:val="00190FB2"/>
    <w:rsid w:val="00191B1E"/>
    <w:rsid w:val="00191C70"/>
    <w:rsid w:val="001923E5"/>
    <w:rsid w:val="0019278C"/>
    <w:rsid w:val="001936A8"/>
    <w:rsid w:val="00194D5E"/>
    <w:rsid w:val="00194F1A"/>
    <w:rsid w:val="001956DA"/>
    <w:rsid w:val="001962D3"/>
    <w:rsid w:val="001965F1"/>
    <w:rsid w:val="001972F9"/>
    <w:rsid w:val="00197728"/>
    <w:rsid w:val="001A0133"/>
    <w:rsid w:val="001A0BAF"/>
    <w:rsid w:val="001A0F08"/>
    <w:rsid w:val="001A1437"/>
    <w:rsid w:val="001A1A4C"/>
    <w:rsid w:val="001A1C6B"/>
    <w:rsid w:val="001A2638"/>
    <w:rsid w:val="001A2BDC"/>
    <w:rsid w:val="001A42E3"/>
    <w:rsid w:val="001A4A25"/>
    <w:rsid w:val="001A4A33"/>
    <w:rsid w:val="001A4F2D"/>
    <w:rsid w:val="001A5637"/>
    <w:rsid w:val="001A5664"/>
    <w:rsid w:val="001A6068"/>
    <w:rsid w:val="001A651D"/>
    <w:rsid w:val="001A66A9"/>
    <w:rsid w:val="001A66DB"/>
    <w:rsid w:val="001A7BB3"/>
    <w:rsid w:val="001A7DB3"/>
    <w:rsid w:val="001B05FF"/>
    <w:rsid w:val="001B0D31"/>
    <w:rsid w:val="001B0ECB"/>
    <w:rsid w:val="001B1917"/>
    <w:rsid w:val="001B1918"/>
    <w:rsid w:val="001B1D0F"/>
    <w:rsid w:val="001B20A4"/>
    <w:rsid w:val="001B2158"/>
    <w:rsid w:val="001B45AE"/>
    <w:rsid w:val="001B47DA"/>
    <w:rsid w:val="001B595C"/>
    <w:rsid w:val="001B5AFA"/>
    <w:rsid w:val="001B61FC"/>
    <w:rsid w:val="001B7A3C"/>
    <w:rsid w:val="001B7C17"/>
    <w:rsid w:val="001C0096"/>
    <w:rsid w:val="001C0E52"/>
    <w:rsid w:val="001C0EBB"/>
    <w:rsid w:val="001C1338"/>
    <w:rsid w:val="001C2114"/>
    <w:rsid w:val="001C22C7"/>
    <w:rsid w:val="001C23C3"/>
    <w:rsid w:val="001C3A7B"/>
    <w:rsid w:val="001C3F1E"/>
    <w:rsid w:val="001C4A79"/>
    <w:rsid w:val="001C57A6"/>
    <w:rsid w:val="001C62C6"/>
    <w:rsid w:val="001C6D3A"/>
    <w:rsid w:val="001C7193"/>
    <w:rsid w:val="001C7344"/>
    <w:rsid w:val="001C7624"/>
    <w:rsid w:val="001C7C3D"/>
    <w:rsid w:val="001C7E32"/>
    <w:rsid w:val="001D07AE"/>
    <w:rsid w:val="001D0B64"/>
    <w:rsid w:val="001D0EF9"/>
    <w:rsid w:val="001D11E7"/>
    <w:rsid w:val="001D1CA4"/>
    <w:rsid w:val="001D2102"/>
    <w:rsid w:val="001D2176"/>
    <w:rsid w:val="001D28D3"/>
    <w:rsid w:val="001D2AB2"/>
    <w:rsid w:val="001D310B"/>
    <w:rsid w:val="001D40C7"/>
    <w:rsid w:val="001D40D1"/>
    <w:rsid w:val="001D4D8C"/>
    <w:rsid w:val="001D65CF"/>
    <w:rsid w:val="001E0996"/>
    <w:rsid w:val="001E1238"/>
    <w:rsid w:val="001E1BF3"/>
    <w:rsid w:val="001E2353"/>
    <w:rsid w:val="001E235D"/>
    <w:rsid w:val="001E3116"/>
    <w:rsid w:val="001E496F"/>
    <w:rsid w:val="001E4A6B"/>
    <w:rsid w:val="001E5AAA"/>
    <w:rsid w:val="001E5BFA"/>
    <w:rsid w:val="001E726F"/>
    <w:rsid w:val="001E7E64"/>
    <w:rsid w:val="001F0158"/>
    <w:rsid w:val="001F039E"/>
    <w:rsid w:val="001F0975"/>
    <w:rsid w:val="001F09F1"/>
    <w:rsid w:val="001F0A03"/>
    <w:rsid w:val="001F18F3"/>
    <w:rsid w:val="001F1CA2"/>
    <w:rsid w:val="001F1FE8"/>
    <w:rsid w:val="001F34EA"/>
    <w:rsid w:val="001F3B83"/>
    <w:rsid w:val="001F3CC1"/>
    <w:rsid w:val="001F47B4"/>
    <w:rsid w:val="001F47FB"/>
    <w:rsid w:val="001F50B6"/>
    <w:rsid w:val="001F58D9"/>
    <w:rsid w:val="001F6131"/>
    <w:rsid w:val="001F6499"/>
    <w:rsid w:val="001F6580"/>
    <w:rsid w:val="001F6861"/>
    <w:rsid w:val="001F6AE4"/>
    <w:rsid w:val="001F78C0"/>
    <w:rsid w:val="00201127"/>
    <w:rsid w:val="00201434"/>
    <w:rsid w:val="0020184A"/>
    <w:rsid w:val="0020200F"/>
    <w:rsid w:val="002025BC"/>
    <w:rsid w:val="00203AA2"/>
    <w:rsid w:val="00203EC4"/>
    <w:rsid w:val="00203FC6"/>
    <w:rsid w:val="002040D7"/>
    <w:rsid w:val="00204B8D"/>
    <w:rsid w:val="00204C00"/>
    <w:rsid w:val="0020563A"/>
    <w:rsid w:val="002056AD"/>
    <w:rsid w:val="00206359"/>
    <w:rsid w:val="00207A13"/>
    <w:rsid w:val="002103F6"/>
    <w:rsid w:val="00210734"/>
    <w:rsid w:val="00210869"/>
    <w:rsid w:val="002115B8"/>
    <w:rsid w:val="00213826"/>
    <w:rsid w:val="00214457"/>
    <w:rsid w:val="002145A8"/>
    <w:rsid w:val="00215178"/>
    <w:rsid w:val="002154D9"/>
    <w:rsid w:val="0021611C"/>
    <w:rsid w:val="0021621F"/>
    <w:rsid w:val="00216B3C"/>
    <w:rsid w:val="00217400"/>
    <w:rsid w:val="002175BC"/>
    <w:rsid w:val="002175E4"/>
    <w:rsid w:val="0021769D"/>
    <w:rsid w:val="00217732"/>
    <w:rsid w:val="00220D02"/>
    <w:rsid w:val="00221109"/>
    <w:rsid w:val="002216A2"/>
    <w:rsid w:val="00221901"/>
    <w:rsid w:val="002226EF"/>
    <w:rsid w:val="00222E25"/>
    <w:rsid w:val="00222F79"/>
    <w:rsid w:val="00223032"/>
    <w:rsid w:val="0022323D"/>
    <w:rsid w:val="0022330D"/>
    <w:rsid w:val="00223516"/>
    <w:rsid w:val="00223D42"/>
    <w:rsid w:val="002244D7"/>
    <w:rsid w:val="00224C7B"/>
    <w:rsid w:val="002253EA"/>
    <w:rsid w:val="00225AA0"/>
    <w:rsid w:val="00225B09"/>
    <w:rsid w:val="0022670C"/>
    <w:rsid w:val="002268ED"/>
    <w:rsid w:val="002269E5"/>
    <w:rsid w:val="00226B5B"/>
    <w:rsid w:val="002274E6"/>
    <w:rsid w:val="002276BD"/>
    <w:rsid w:val="002279D8"/>
    <w:rsid w:val="00227B4D"/>
    <w:rsid w:val="0023006A"/>
    <w:rsid w:val="002302CF"/>
    <w:rsid w:val="00230306"/>
    <w:rsid w:val="002311D6"/>
    <w:rsid w:val="00231205"/>
    <w:rsid w:val="00232102"/>
    <w:rsid w:val="002324A0"/>
    <w:rsid w:val="002326B0"/>
    <w:rsid w:val="00232BF8"/>
    <w:rsid w:val="00232CF3"/>
    <w:rsid w:val="00233209"/>
    <w:rsid w:val="0023357D"/>
    <w:rsid w:val="00233889"/>
    <w:rsid w:val="0023409F"/>
    <w:rsid w:val="002342B3"/>
    <w:rsid w:val="002344E8"/>
    <w:rsid w:val="00234565"/>
    <w:rsid w:val="00234AAC"/>
    <w:rsid w:val="00234C03"/>
    <w:rsid w:val="002352E6"/>
    <w:rsid w:val="00236643"/>
    <w:rsid w:val="00236E49"/>
    <w:rsid w:val="00237274"/>
    <w:rsid w:val="002404A1"/>
    <w:rsid w:val="00240D81"/>
    <w:rsid w:val="0024102A"/>
    <w:rsid w:val="00241772"/>
    <w:rsid w:val="00241D32"/>
    <w:rsid w:val="00242802"/>
    <w:rsid w:val="00242D17"/>
    <w:rsid w:val="00242FA3"/>
    <w:rsid w:val="00243319"/>
    <w:rsid w:val="002433A3"/>
    <w:rsid w:val="00243E55"/>
    <w:rsid w:val="002442F7"/>
    <w:rsid w:val="00244F1D"/>
    <w:rsid w:val="00245347"/>
    <w:rsid w:val="00245976"/>
    <w:rsid w:val="00245FEC"/>
    <w:rsid w:val="00246725"/>
    <w:rsid w:val="002467D6"/>
    <w:rsid w:val="00247102"/>
    <w:rsid w:val="002475F5"/>
    <w:rsid w:val="0024789D"/>
    <w:rsid w:val="00247F9F"/>
    <w:rsid w:val="00250D72"/>
    <w:rsid w:val="00250E5D"/>
    <w:rsid w:val="00251119"/>
    <w:rsid w:val="0025120C"/>
    <w:rsid w:val="0025164A"/>
    <w:rsid w:val="002517D1"/>
    <w:rsid w:val="002518FD"/>
    <w:rsid w:val="00251A39"/>
    <w:rsid w:val="00252408"/>
    <w:rsid w:val="002526C7"/>
    <w:rsid w:val="002528ED"/>
    <w:rsid w:val="002531FD"/>
    <w:rsid w:val="00253623"/>
    <w:rsid w:val="00254023"/>
    <w:rsid w:val="00254024"/>
    <w:rsid w:val="00254A94"/>
    <w:rsid w:val="002552E6"/>
    <w:rsid w:val="002554F1"/>
    <w:rsid w:val="00255747"/>
    <w:rsid w:val="0025581D"/>
    <w:rsid w:val="00255E93"/>
    <w:rsid w:val="0025626F"/>
    <w:rsid w:val="00256FD5"/>
    <w:rsid w:val="002572E1"/>
    <w:rsid w:val="002577DE"/>
    <w:rsid w:val="0025781C"/>
    <w:rsid w:val="002578AE"/>
    <w:rsid w:val="00260205"/>
    <w:rsid w:val="00260733"/>
    <w:rsid w:val="002607A5"/>
    <w:rsid w:val="002613A1"/>
    <w:rsid w:val="00261585"/>
    <w:rsid w:val="00261642"/>
    <w:rsid w:val="002617E6"/>
    <w:rsid w:val="00263139"/>
    <w:rsid w:val="00263402"/>
    <w:rsid w:val="00263810"/>
    <w:rsid w:val="00263C21"/>
    <w:rsid w:val="0026476B"/>
    <w:rsid w:val="00264CAE"/>
    <w:rsid w:val="00264F71"/>
    <w:rsid w:val="00265719"/>
    <w:rsid w:val="00265915"/>
    <w:rsid w:val="00265EF0"/>
    <w:rsid w:val="002661CB"/>
    <w:rsid w:val="00266907"/>
    <w:rsid w:val="00267AEA"/>
    <w:rsid w:val="00267B2B"/>
    <w:rsid w:val="00267D1F"/>
    <w:rsid w:val="00270AF2"/>
    <w:rsid w:val="00271769"/>
    <w:rsid w:val="002739F8"/>
    <w:rsid w:val="00274960"/>
    <w:rsid w:val="00274C84"/>
    <w:rsid w:val="002753D1"/>
    <w:rsid w:val="00276A32"/>
    <w:rsid w:val="002775D1"/>
    <w:rsid w:val="00277B3C"/>
    <w:rsid w:val="00277C71"/>
    <w:rsid w:val="00280448"/>
    <w:rsid w:val="00280875"/>
    <w:rsid w:val="00280D3B"/>
    <w:rsid w:val="0028159D"/>
    <w:rsid w:val="00283E2A"/>
    <w:rsid w:val="002840AB"/>
    <w:rsid w:val="00284784"/>
    <w:rsid w:val="00285738"/>
    <w:rsid w:val="00285BC4"/>
    <w:rsid w:val="00286223"/>
    <w:rsid w:val="00286AEE"/>
    <w:rsid w:val="00286E04"/>
    <w:rsid w:val="00287F6A"/>
    <w:rsid w:val="002902DF"/>
    <w:rsid w:val="0029156D"/>
    <w:rsid w:val="00291819"/>
    <w:rsid w:val="00293022"/>
    <w:rsid w:val="002930E0"/>
    <w:rsid w:val="00293120"/>
    <w:rsid w:val="002931F8"/>
    <w:rsid w:val="0029350E"/>
    <w:rsid w:val="0029389C"/>
    <w:rsid w:val="00293BFE"/>
    <w:rsid w:val="00293F41"/>
    <w:rsid w:val="00294C1D"/>
    <w:rsid w:val="00294C5E"/>
    <w:rsid w:val="00294D45"/>
    <w:rsid w:val="00295765"/>
    <w:rsid w:val="00295CAD"/>
    <w:rsid w:val="0029600A"/>
    <w:rsid w:val="00296BBB"/>
    <w:rsid w:val="002A02F0"/>
    <w:rsid w:val="002A12E9"/>
    <w:rsid w:val="002A1CC3"/>
    <w:rsid w:val="002A1D3D"/>
    <w:rsid w:val="002A21B0"/>
    <w:rsid w:val="002A2C16"/>
    <w:rsid w:val="002A33EF"/>
    <w:rsid w:val="002A45B8"/>
    <w:rsid w:val="002A4834"/>
    <w:rsid w:val="002A4BE8"/>
    <w:rsid w:val="002A4EE4"/>
    <w:rsid w:val="002A5BCB"/>
    <w:rsid w:val="002A5D78"/>
    <w:rsid w:val="002A65A4"/>
    <w:rsid w:val="002A73BF"/>
    <w:rsid w:val="002A7BDA"/>
    <w:rsid w:val="002B03AB"/>
    <w:rsid w:val="002B04AE"/>
    <w:rsid w:val="002B08EA"/>
    <w:rsid w:val="002B1151"/>
    <w:rsid w:val="002B12BA"/>
    <w:rsid w:val="002B1550"/>
    <w:rsid w:val="002B1652"/>
    <w:rsid w:val="002B3127"/>
    <w:rsid w:val="002B3282"/>
    <w:rsid w:val="002B33EB"/>
    <w:rsid w:val="002B4FC1"/>
    <w:rsid w:val="002B6026"/>
    <w:rsid w:val="002B6A29"/>
    <w:rsid w:val="002B6C6D"/>
    <w:rsid w:val="002B6E10"/>
    <w:rsid w:val="002B6F84"/>
    <w:rsid w:val="002B7260"/>
    <w:rsid w:val="002B73FF"/>
    <w:rsid w:val="002B742F"/>
    <w:rsid w:val="002B7837"/>
    <w:rsid w:val="002C0BF5"/>
    <w:rsid w:val="002C1702"/>
    <w:rsid w:val="002C1A52"/>
    <w:rsid w:val="002C1B0A"/>
    <w:rsid w:val="002C1C87"/>
    <w:rsid w:val="002C20D7"/>
    <w:rsid w:val="002C2249"/>
    <w:rsid w:val="002C2D7A"/>
    <w:rsid w:val="002C36B9"/>
    <w:rsid w:val="002C38B9"/>
    <w:rsid w:val="002C38F5"/>
    <w:rsid w:val="002C3981"/>
    <w:rsid w:val="002C5230"/>
    <w:rsid w:val="002C5B23"/>
    <w:rsid w:val="002C5E64"/>
    <w:rsid w:val="002C6CBB"/>
    <w:rsid w:val="002C70B3"/>
    <w:rsid w:val="002C7959"/>
    <w:rsid w:val="002C7F7F"/>
    <w:rsid w:val="002C7FDC"/>
    <w:rsid w:val="002D00B6"/>
    <w:rsid w:val="002D141F"/>
    <w:rsid w:val="002D1897"/>
    <w:rsid w:val="002D243B"/>
    <w:rsid w:val="002D274D"/>
    <w:rsid w:val="002D2BB3"/>
    <w:rsid w:val="002D3449"/>
    <w:rsid w:val="002D49F3"/>
    <w:rsid w:val="002D53F2"/>
    <w:rsid w:val="002D61D8"/>
    <w:rsid w:val="002E06A2"/>
    <w:rsid w:val="002E06C9"/>
    <w:rsid w:val="002E085A"/>
    <w:rsid w:val="002E09C9"/>
    <w:rsid w:val="002E1030"/>
    <w:rsid w:val="002E24A6"/>
    <w:rsid w:val="002E28D7"/>
    <w:rsid w:val="002E3240"/>
    <w:rsid w:val="002E3BBC"/>
    <w:rsid w:val="002E3C2F"/>
    <w:rsid w:val="002E4E42"/>
    <w:rsid w:val="002E587E"/>
    <w:rsid w:val="002E631B"/>
    <w:rsid w:val="002E6344"/>
    <w:rsid w:val="002E64EE"/>
    <w:rsid w:val="002E65A1"/>
    <w:rsid w:val="002E6650"/>
    <w:rsid w:val="002E794B"/>
    <w:rsid w:val="002F2C92"/>
    <w:rsid w:val="002F3564"/>
    <w:rsid w:val="002F41C5"/>
    <w:rsid w:val="002F42C6"/>
    <w:rsid w:val="002F52F7"/>
    <w:rsid w:val="002F5BEC"/>
    <w:rsid w:val="002F60F4"/>
    <w:rsid w:val="002F6E14"/>
    <w:rsid w:val="0030001B"/>
    <w:rsid w:val="00300508"/>
    <w:rsid w:val="00300730"/>
    <w:rsid w:val="0030088F"/>
    <w:rsid w:val="00300B84"/>
    <w:rsid w:val="00301726"/>
    <w:rsid w:val="00302364"/>
    <w:rsid w:val="0030238D"/>
    <w:rsid w:val="003023C4"/>
    <w:rsid w:val="003038AC"/>
    <w:rsid w:val="00304259"/>
    <w:rsid w:val="00304CDB"/>
    <w:rsid w:val="00304DCC"/>
    <w:rsid w:val="00305223"/>
    <w:rsid w:val="003052A4"/>
    <w:rsid w:val="0030552D"/>
    <w:rsid w:val="00306868"/>
    <w:rsid w:val="003068AF"/>
    <w:rsid w:val="00306E63"/>
    <w:rsid w:val="00307032"/>
    <w:rsid w:val="003070B4"/>
    <w:rsid w:val="003070E0"/>
    <w:rsid w:val="00307D6C"/>
    <w:rsid w:val="003112C0"/>
    <w:rsid w:val="003128A4"/>
    <w:rsid w:val="00312A16"/>
    <w:rsid w:val="00312ACC"/>
    <w:rsid w:val="00312ACF"/>
    <w:rsid w:val="00312EA6"/>
    <w:rsid w:val="00312F5A"/>
    <w:rsid w:val="00313321"/>
    <w:rsid w:val="003144C4"/>
    <w:rsid w:val="00314A0A"/>
    <w:rsid w:val="00314B38"/>
    <w:rsid w:val="00314BC0"/>
    <w:rsid w:val="00315613"/>
    <w:rsid w:val="00315BF8"/>
    <w:rsid w:val="00316349"/>
    <w:rsid w:val="003163B8"/>
    <w:rsid w:val="00316B3E"/>
    <w:rsid w:val="00317BA5"/>
    <w:rsid w:val="003203D2"/>
    <w:rsid w:val="003207B3"/>
    <w:rsid w:val="00320B6B"/>
    <w:rsid w:val="00320C9F"/>
    <w:rsid w:val="00320E8F"/>
    <w:rsid w:val="00321D8A"/>
    <w:rsid w:val="003222C8"/>
    <w:rsid w:val="00322334"/>
    <w:rsid w:val="003228EF"/>
    <w:rsid w:val="00322A3D"/>
    <w:rsid w:val="00322A5A"/>
    <w:rsid w:val="00323E66"/>
    <w:rsid w:val="00324051"/>
    <w:rsid w:val="0032449C"/>
    <w:rsid w:val="003244E9"/>
    <w:rsid w:val="0032486A"/>
    <w:rsid w:val="00324F72"/>
    <w:rsid w:val="00325358"/>
    <w:rsid w:val="0032541E"/>
    <w:rsid w:val="00326FAF"/>
    <w:rsid w:val="003273C4"/>
    <w:rsid w:val="00327E78"/>
    <w:rsid w:val="0033004E"/>
    <w:rsid w:val="00330A12"/>
    <w:rsid w:val="00330BDC"/>
    <w:rsid w:val="003313D2"/>
    <w:rsid w:val="0033176E"/>
    <w:rsid w:val="003317E8"/>
    <w:rsid w:val="00331A42"/>
    <w:rsid w:val="00331AD8"/>
    <w:rsid w:val="00331EE5"/>
    <w:rsid w:val="003330D3"/>
    <w:rsid w:val="0033398C"/>
    <w:rsid w:val="00333C2D"/>
    <w:rsid w:val="00333E49"/>
    <w:rsid w:val="003341DF"/>
    <w:rsid w:val="003350C6"/>
    <w:rsid w:val="00335434"/>
    <w:rsid w:val="00335AAE"/>
    <w:rsid w:val="00335C62"/>
    <w:rsid w:val="0033632F"/>
    <w:rsid w:val="003369F1"/>
    <w:rsid w:val="00337F64"/>
    <w:rsid w:val="00340559"/>
    <w:rsid w:val="00342461"/>
    <w:rsid w:val="00342D00"/>
    <w:rsid w:val="00342D50"/>
    <w:rsid w:val="003442AC"/>
    <w:rsid w:val="00345DC4"/>
    <w:rsid w:val="00346E71"/>
    <w:rsid w:val="00347376"/>
    <w:rsid w:val="0034761B"/>
    <w:rsid w:val="00347B78"/>
    <w:rsid w:val="00350502"/>
    <w:rsid w:val="00350660"/>
    <w:rsid w:val="00351284"/>
    <w:rsid w:val="00351ABD"/>
    <w:rsid w:val="00351E3B"/>
    <w:rsid w:val="00352129"/>
    <w:rsid w:val="00352258"/>
    <w:rsid w:val="00352430"/>
    <w:rsid w:val="00352531"/>
    <w:rsid w:val="00352C11"/>
    <w:rsid w:val="003532E5"/>
    <w:rsid w:val="00353B6E"/>
    <w:rsid w:val="003548C0"/>
    <w:rsid w:val="00354CD6"/>
    <w:rsid w:val="00354E1C"/>
    <w:rsid w:val="003550EF"/>
    <w:rsid w:val="00355294"/>
    <w:rsid w:val="0035629C"/>
    <w:rsid w:val="003564B0"/>
    <w:rsid w:val="00356672"/>
    <w:rsid w:val="00356935"/>
    <w:rsid w:val="00356C7E"/>
    <w:rsid w:val="0035700E"/>
    <w:rsid w:val="00357576"/>
    <w:rsid w:val="0035796E"/>
    <w:rsid w:val="00357C7B"/>
    <w:rsid w:val="003609FB"/>
    <w:rsid w:val="003610DB"/>
    <w:rsid w:val="00361C12"/>
    <w:rsid w:val="003621B4"/>
    <w:rsid w:val="003621CB"/>
    <w:rsid w:val="003629B5"/>
    <w:rsid w:val="00362B7C"/>
    <w:rsid w:val="00363304"/>
    <w:rsid w:val="003636E9"/>
    <w:rsid w:val="00363F20"/>
    <w:rsid w:val="003648F6"/>
    <w:rsid w:val="00365456"/>
    <w:rsid w:val="00365CC8"/>
    <w:rsid w:val="00366A49"/>
    <w:rsid w:val="003675BA"/>
    <w:rsid w:val="003675D0"/>
    <w:rsid w:val="00367641"/>
    <w:rsid w:val="00370691"/>
    <w:rsid w:val="003707C2"/>
    <w:rsid w:val="00370C7F"/>
    <w:rsid w:val="00370DCE"/>
    <w:rsid w:val="00372338"/>
    <w:rsid w:val="00372644"/>
    <w:rsid w:val="00372BE4"/>
    <w:rsid w:val="00372C7A"/>
    <w:rsid w:val="00372E67"/>
    <w:rsid w:val="003735F7"/>
    <w:rsid w:val="003741F5"/>
    <w:rsid w:val="00374405"/>
    <w:rsid w:val="00374ADE"/>
    <w:rsid w:val="00375586"/>
    <w:rsid w:val="003756D6"/>
    <w:rsid w:val="00375DE3"/>
    <w:rsid w:val="0037678A"/>
    <w:rsid w:val="0037784C"/>
    <w:rsid w:val="0038075B"/>
    <w:rsid w:val="003809B1"/>
    <w:rsid w:val="00380A0B"/>
    <w:rsid w:val="00380BBC"/>
    <w:rsid w:val="00380BED"/>
    <w:rsid w:val="00380FA1"/>
    <w:rsid w:val="003814DB"/>
    <w:rsid w:val="00381E9A"/>
    <w:rsid w:val="00382EB7"/>
    <w:rsid w:val="00386282"/>
    <w:rsid w:val="00386664"/>
    <w:rsid w:val="00386E6E"/>
    <w:rsid w:val="0038786A"/>
    <w:rsid w:val="00387D80"/>
    <w:rsid w:val="00390797"/>
    <w:rsid w:val="00390AD6"/>
    <w:rsid w:val="00390CA8"/>
    <w:rsid w:val="00391273"/>
    <w:rsid w:val="00391AD5"/>
    <w:rsid w:val="00392142"/>
    <w:rsid w:val="00392EA9"/>
    <w:rsid w:val="003936F0"/>
    <w:rsid w:val="00393801"/>
    <w:rsid w:val="0039381C"/>
    <w:rsid w:val="00393AB5"/>
    <w:rsid w:val="003955CE"/>
    <w:rsid w:val="00395A3C"/>
    <w:rsid w:val="003961A6"/>
    <w:rsid w:val="00396B3A"/>
    <w:rsid w:val="003970BA"/>
    <w:rsid w:val="003972D9"/>
    <w:rsid w:val="00397E1B"/>
    <w:rsid w:val="003A04DD"/>
    <w:rsid w:val="003A0619"/>
    <w:rsid w:val="003A13BE"/>
    <w:rsid w:val="003A1F92"/>
    <w:rsid w:val="003A2536"/>
    <w:rsid w:val="003A340D"/>
    <w:rsid w:val="003A3BE2"/>
    <w:rsid w:val="003A3DA6"/>
    <w:rsid w:val="003A4A69"/>
    <w:rsid w:val="003A5263"/>
    <w:rsid w:val="003A5D23"/>
    <w:rsid w:val="003A602D"/>
    <w:rsid w:val="003A634D"/>
    <w:rsid w:val="003A6651"/>
    <w:rsid w:val="003A6C03"/>
    <w:rsid w:val="003A705A"/>
    <w:rsid w:val="003A7E55"/>
    <w:rsid w:val="003B07E4"/>
    <w:rsid w:val="003B0882"/>
    <w:rsid w:val="003B1055"/>
    <w:rsid w:val="003B161D"/>
    <w:rsid w:val="003B1B17"/>
    <w:rsid w:val="003B1D21"/>
    <w:rsid w:val="003B374E"/>
    <w:rsid w:val="003B37DA"/>
    <w:rsid w:val="003B3B59"/>
    <w:rsid w:val="003B3BD4"/>
    <w:rsid w:val="003B45CF"/>
    <w:rsid w:val="003B60D9"/>
    <w:rsid w:val="003B6F64"/>
    <w:rsid w:val="003B7629"/>
    <w:rsid w:val="003C035D"/>
    <w:rsid w:val="003C044B"/>
    <w:rsid w:val="003C0DEF"/>
    <w:rsid w:val="003C13A6"/>
    <w:rsid w:val="003C1A82"/>
    <w:rsid w:val="003C1BB6"/>
    <w:rsid w:val="003C1CD7"/>
    <w:rsid w:val="003C225B"/>
    <w:rsid w:val="003C29AA"/>
    <w:rsid w:val="003C2A0E"/>
    <w:rsid w:val="003C373A"/>
    <w:rsid w:val="003C3D8F"/>
    <w:rsid w:val="003C42E4"/>
    <w:rsid w:val="003C42E9"/>
    <w:rsid w:val="003C4612"/>
    <w:rsid w:val="003C4E04"/>
    <w:rsid w:val="003C561E"/>
    <w:rsid w:val="003C5941"/>
    <w:rsid w:val="003C736E"/>
    <w:rsid w:val="003C749E"/>
    <w:rsid w:val="003C7BD8"/>
    <w:rsid w:val="003D0E08"/>
    <w:rsid w:val="003D0ED3"/>
    <w:rsid w:val="003D0EF7"/>
    <w:rsid w:val="003D1094"/>
    <w:rsid w:val="003D1BC9"/>
    <w:rsid w:val="003D1F08"/>
    <w:rsid w:val="003D2B24"/>
    <w:rsid w:val="003D2BB7"/>
    <w:rsid w:val="003D2EDC"/>
    <w:rsid w:val="003D396E"/>
    <w:rsid w:val="003D4AEC"/>
    <w:rsid w:val="003D4B1B"/>
    <w:rsid w:val="003D5301"/>
    <w:rsid w:val="003D53F4"/>
    <w:rsid w:val="003D56EA"/>
    <w:rsid w:val="003D5905"/>
    <w:rsid w:val="003D59D6"/>
    <w:rsid w:val="003D5B93"/>
    <w:rsid w:val="003D66EE"/>
    <w:rsid w:val="003D71F7"/>
    <w:rsid w:val="003D71F9"/>
    <w:rsid w:val="003D7990"/>
    <w:rsid w:val="003D7A48"/>
    <w:rsid w:val="003D7A9B"/>
    <w:rsid w:val="003D7EE1"/>
    <w:rsid w:val="003E00A8"/>
    <w:rsid w:val="003E05D1"/>
    <w:rsid w:val="003E06E3"/>
    <w:rsid w:val="003E0D24"/>
    <w:rsid w:val="003E0DDC"/>
    <w:rsid w:val="003E16DD"/>
    <w:rsid w:val="003E1879"/>
    <w:rsid w:val="003E28B8"/>
    <w:rsid w:val="003E2908"/>
    <w:rsid w:val="003E322E"/>
    <w:rsid w:val="003E3C6F"/>
    <w:rsid w:val="003E4B16"/>
    <w:rsid w:val="003E4B3D"/>
    <w:rsid w:val="003E5398"/>
    <w:rsid w:val="003E5BD6"/>
    <w:rsid w:val="003E60B6"/>
    <w:rsid w:val="003E6EDA"/>
    <w:rsid w:val="003E7C82"/>
    <w:rsid w:val="003E7E28"/>
    <w:rsid w:val="003F00B8"/>
    <w:rsid w:val="003F0A8E"/>
    <w:rsid w:val="003F0D82"/>
    <w:rsid w:val="003F1022"/>
    <w:rsid w:val="003F17C4"/>
    <w:rsid w:val="003F243F"/>
    <w:rsid w:val="003F24B4"/>
    <w:rsid w:val="003F2742"/>
    <w:rsid w:val="003F29ED"/>
    <w:rsid w:val="003F3028"/>
    <w:rsid w:val="003F321F"/>
    <w:rsid w:val="003F336B"/>
    <w:rsid w:val="003F3E8C"/>
    <w:rsid w:val="003F417E"/>
    <w:rsid w:val="003F468D"/>
    <w:rsid w:val="003F47ED"/>
    <w:rsid w:val="003F5309"/>
    <w:rsid w:val="003F5664"/>
    <w:rsid w:val="003F57B5"/>
    <w:rsid w:val="003F5CBF"/>
    <w:rsid w:val="003F6CE6"/>
    <w:rsid w:val="003F7616"/>
    <w:rsid w:val="003F77C5"/>
    <w:rsid w:val="003F7E9B"/>
    <w:rsid w:val="004009FA"/>
    <w:rsid w:val="0040157F"/>
    <w:rsid w:val="00401E20"/>
    <w:rsid w:val="00405FBE"/>
    <w:rsid w:val="0040620C"/>
    <w:rsid w:val="0040683B"/>
    <w:rsid w:val="004076CD"/>
    <w:rsid w:val="00407811"/>
    <w:rsid w:val="00410271"/>
    <w:rsid w:val="004118E7"/>
    <w:rsid w:val="00411A03"/>
    <w:rsid w:val="00411C8E"/>
    <w:rsid w:val="00411F40"/>
    <w:rsid w:val="00412A14"/>
    <w:rsid w:val="00413CC4"/>
    <w:rsid w:val="00413DE6"/>
    <w:rsid w:val="00414922"/>
    <w:rsid w:val="00414BFA"/>
    <w:rsid w:val="00414C29"/>
    <w:rsid w:val="00414F3B"/>
    <w:rsid w:val="00415005"/>
    <w:rsid w:val="00415773"/>
    <w:rsid w:val="00415774"/>
    <w:rsid w:val="004159B2"/>
    <w:rsid w:val="00415C60"/>
    <w:rsid w:val="00416208"/>
    <w:rsid w:val="00416B05"/>
    <w:rsid w:val="00416F45"/>
    <w:rsid w:val="00421DBE"/>
    <w:rsid w:val="00422BB3"/>
    <w:rsid w:val="00422C3F"/>
    <w:rsid w:val="00423E9D"/>
    <w:rsid w:val="00424818"/>
    <w:rsid w:val="00424B81"/>
    <w:rsid w:val="00424CF3"/>
    <w:rsid w:val="00424EE1"/>
    <w:rsid w:val="004252ED"/>
    <w:rsid w:val="004262B3"/>
    <w:rsid w:val="00426815"/>
    <w:rsid w:val="0042693E"/>
    <w:rsid w:val="00426F4A"/>
    <w:rsid w:val="00427509"/>
    <w:rsid w:val="00427925"/>
    <w:rsid w:val="00427ADC"/>
    <w:rsid w:val="00427F4C"/>
    <w:rsid w:val="00430999"/>
    <w:rsid w:val="004309A1"/>
    <w:rsid w:val="00430E02"/>
    <w:rsid w:val="0043140D"/>
    <w:rsid w:val="00431508"/>
    <w:rsid w:val="00431594"/>
    <w:rsid w:val="0043232E"/>
    <w:rsid w:val="004332A5"/>
    <w:rsid w:val="004332DD"/>
    <w:rsid w:val="0043341F"/>
    <w:rsid w:val="004334BC"/>
    <w:rsid w:val="004337F0"/>
    <w:rsid w:val="00433DB2"/>
    <w:rsid w:val="00433E8E"/>
    <w:rsid w:val="00433FAF"/>
    <w:rsid w:val="0043403E"/>
    <w:rsid w:val="00434BE4"/>
    <w:rsid w:val="00434D1D"/>
    <w:rsid w:val="00435235"/>
    <w:rsid w:val="004353DB"/>
    <w:rsid w:val="00436559"/>
    <w:rsid w:val="00436DCB"/>
    <w:rsid w:val="0043761D"/>
    <w:rsid w:val="004376E0"/>
    <w:rsid w:val="00440215"/>
    <w:rsid w:val="004409FE"/>
    <w:rsid w:val="00440D00"/>
    <w:rsid w:val="00441464"/>
    <w:rsid w:val="00441790"/>
    <w:rsid w:val="00442843"/>
    <w:rsid w:val="004433B3"/>
    <w:rsid w:val="00443754"/>
    <w:rsid w:val="00443986"/>
    <w:rsid w:val="00444983"/>
    <w:rsid w:val="00444EEB"/>
    <w:rsid w:val="00446E23"/>
    <w:rsid w:val="00447481"/>
    <w:rsid w:val="0045076C"/>
    <w:rsid w:val="00450B21"/>
    <w:rsid w:val="00450C92"/>
    <w:rsid w:val="00450EB3"/>
    <w:rsid w:val="00452177"/>
    <w:rsid w:val="00452F86"/>
    <w:rsid w:val="00453835"/>
    <w:rsid w:val="004539A2"/>
    <w:rsid w:val="00453C17"/>
    <w:rsid w:val="00454977"/>
    <w:rsid w:val="00455DFC"/>
    <w:rsid w:val="00457684"/>
    <w:rsid w:val="00457904"/>
    <w:rsid w:val="00460D6A"/>
    <w:rsid w:val="00461F00"/>
    <w:rsid w:val="00462116"/>
    <w:rsid w:val="00462227"/>
    <w:rsid w:val="00462C5B"/>
    <w:rsid w:val="00463307"/>
    <w:rsid w:val="0046346A"/>
    <w:rsid w:val="00463FB9"/>
    <w:rsid w:val="00464391"/>
    <w:rsid w:val="0046493A"/>
    <w:rsid w:val="00464D56"/>
    <w:rsid w:val="00464F6C"/>
    <w:rsid w:val="00465D2F"/>
    <w:rsid w:val="00465E7F"/>
    <w:rsid w:val="00467150"/>
    <w:rsid w:val="00470A93"/>
    <w:rsid w:val="00471D79"/>
    <w:rsid w:val="004723AC"/>
    <w:rsid w:val="004728C0"/>
    <w:rsid w:val="00472A5A"/>
    <w:rsid w:val="00473141"/>
    <w:rsid w:val="00473393"/>
    <w:rsid w:val="0047577C"/>
    <w:rsid w:val="00477380"/>
    <w:rsid w:val="0047777C"/>
    <w:rsid w:val="00480055"/>
    <w:rsid w:val="004802C7"/>
    <w:rsid w:val="00480889"/>
    <w:rsid w:val="00480985"/>
    <w:rsid w:val="00480C4E"/>
    <w:rsid w:val="00481E98"/>
    <w:rsid w:val="00481EE6"/>
    <w:rsid w:val="00481FC9"/>
    <w:rsid w:val="004824FA"/>
    <w:rsid w:val="00482A70"/>
    <w:rsid w:val="00482E51"/>
    <w:rsid w:val="0048345F"/>
    <w:rsid w:val="004836EA"/>
    <w:rsid w:val="00484741"/>
    <w:rsid w:val="00485182"/>
    <w:rsid w:val="004855AE"/>
    <w:rsid w:val="00486D4C"/>
    <w:rsid w:val="004870D8"/>
    <w:rsid w:val="00487A15"/>
    <w:rsid w:val="0049086F"/>
    <w:rsid w:val="00490EBE"/>
    <w:rsid w:val="00491AD5"/>
    <w:rsid w:val="004923C2"/>
    <w:rsid w:val="00492497"/>
    <w:rsid w:val="004928EC"/>
    <w:rsid w:val="004930E5"/>
    <w:rsid w:val="004931B0"/>
    <w:rsid w:val="0049467D"/>
    <w:rsid w:val="0049585F"/>
    <w:rsid w:val="004978B6"/>
    <w:rsid w:val="00497D42"/>
    <w:rsid w:val="004A091E"/>
    <w:rsid w:val="004A09C1"/>
    <w:rsid w:val="004A0AA3"/>
    <w:rsid w:val="004A0B14"/>
    <w:rsid w:val="004A0B61"/>
    <w:rsid w:val="004A1607"/>
    <w:rsid w:val="004A1914"/>
    <w:rsid w:val="004A1E5E"/>
    <w:rsid w:val="004A203F"/>
    <w:rsid w:val="004A252E"/>
    <w:rsid w:val="004A2BCC"/>
    <w:rsid w:val="004A3B40"/>
    <w:rsid w:val="004A439C"/>
    <w:rsid w:val="004A440B"/>
    <w:rsid w:val="004A50D4"/>
    <w:rsid w:val="004A5B2F"/>
    <w:rsid w:val="004A5B90"/>
    <w:rsid w:val="004A5E0F"/>
    <w:rsid w:val="004A6640"/>
    <w:rsid w:val="004A7BB3"/>
    <w:rsid w:val="004B0537"/>
    <w:rsid w:val="004B0CEF"/>
    <w:rsid w:val="004B10D7"/>
    <w:rsid w:val="004B196A"/>
    <w:rsid w:val="004B198A"/>
    <w:rsid w:val="004B304E"/>
    <w:rsid w:val="004B34A8"/>
    <w:rsid w:val="004B3734"/>
    <w:rsid w:val="004B3A1D"/>
    <w:rsid w:val="004B4752"/>
    <w:rsid w:val="004B486F"/>
    <w:rsid w:val="004B4CF7"/>
    <w:rsid w:val="004B5029"/>
    <w:rsid w:val="004B574B"/>
    <w:rsid w:val="004B5870"/>
    <w:rsid w:val="004B6A56"/>
    <w:rsid w:val="004B6AF6"/>
    <w:rsid w:val="004B6E88"/>
    <w:rsid w:val="004B6EFB"/>
    <w:rsid w:val="004B7A8A"/>
    <w:rsid w:val="004B7D28"/>
    <w:rsid w:val="004B7FDD"/>
    <w:rsid w:val="004C0B14"/>
    <w:rsid w:val="004C0D8E"/>
    <w:rsid w:val="004C0F64"/>
    <w:rsid w:val="004C1052"/>
    <w:rsid w:val="004C1DD4"/>
    <w:rsid w:val="004C224C"/>
    <w:rsid w:val="004C24C8"/>
    <w:rsid w:val="004C2739"/>
    <w:rsid w:val="004C2B37"/>
    <w:rsid w:val="004C2C69"/>
    <w:rsid w:val="004C3446"/>
    <w:rsid w:val="004C350B"/>
    <w:rsid w:val="004C358E"/>
    <w:rsid w:val="004C3A92"/>
    <w:rsid w:val="004C41BD"/>
    <w:rsid w:val="004C4C87"/>
    <w:rsid w:val="004C5926"/>
    <w:rsid w:val="004C5CB0"/>
    <w:rsid w:val="004C5F99"/>
    <w:rsid w:val="004C6752"/>
    <w:rsid w:val="004C69A2"/>
    <w:rsid w:val="004D049E"/>
    <w:rsid w:val="004D08CE"/>
    <w:rsid w:val="004D0927"/>
    <w:rsid w:val="004D0C6A"/>
    <w:rsid w:val="004D13B7"/>
    <w:rsid w:val="004D306C"/>
    <w:rsid w:val="004D3343"/>
    <w:rsid w:val="004D33CE"/>
    <w:rsid w:val="004D380C"/>
    <w:rsid w:val="004D4605"/>
    <w:rsid w:val="004D4F91"/>
    <w:rsid w:val="004D6318"/>
    <w:rsid w:val="004D63A7"/>
    <w:rsid w:val="004D6D9E"/>
    <w:rsid w:val="004D719E"/>
    <w:rsid w:val="004D7693"/>
    <w:rsid w:val="004D7923"/>
    <w:rsid w:val="004E0525"/>
    <w:rsid w:val="004E0D1F"/>
    <w:rsid w:val="004E1676"/>
    <w:rsid w:val="004E16B8"/>
    <w:rsid w:val="004E1A4A"/>
    <w:rsid w:val="004E28D9"/>
    <w:rsid w:val="004E2A26"/>
    <w:rsid w:val="004E2C5B"/>
    <w:rsid w:val="004E2CD8"/>
    <w:rsid w:val="004E2D91"/>
    <w:rsid w:val="004E34E2"/>
    <w:rsid w:val="004E3FE4"/>
    <w:rsid w:val="004E455B"/>
    <w:rsid w:val="004E4DDB"/>
    <w:rsid w:val="004E5E88"/>
    <w:rsid w:val="004E6387"/>
    <w:rsid w:val="004E68E6"/>
    <w:rsid w:val="004E75DB"/>
    <w:rsid w:val="004F02B5"/>
    <w:rsid w:val="004F0C0C"/>
    <w:rsid w:val="004F1361"/>
    <w:rsid w:val="004F14E3"/>
    <w:rsid w:val="004F151C"/>
    <w:rsid w:val="004F260C"/>
    <w:rsid w:val="004F2695"/>
    <w:rsid w:val="004F3009"/>
    <w:rsid w:val="004F3D3A"/>
    <w:rsid w:val="004F4808"/>
    <w:rsid w:val="004F58F0"/>
    <w:rsid w:val="004F5B3B"/>
    <w:rsid w:val="004F6CD3"/>
    <w:rsid w:val="004F6EE0"/>
    <w:rsid w:val="004F7093"/>
    <w:rsid w:val="004F7139"/>
    <w:rsid w:val="004F73AB"/>
    <w:rsid w:val="004F7437"/>
    <w:rsid w:val="00500616"/>
    <w:rsid w:val="005007B9"/>
    <w:rsid w:val="00500F10"/>
    <w:rsid w:val="00500FC6"/>
    <w:rsid w:val="005024D5"/>
    <w:rsid w:val="00502826"/>
    <w:rsid w:val="00502940"/>
    <w:rsid w:val="00502E31"/>
    <w:rsid w:val="00504625"/>
    <w:rsid w:val="00504810"/>
    <w:rsid w:val="00504DEA"/>
    <w:rsid w:val="00505C16"/>
    <w:rsid w:val="00505FE4"/>
    <w:rsid w:val="005063B9"/>
    <w:rsid w:val="00506813"/>
    <w:rsid w:val="00506AB5"/>
    <w:rsid w:val="00506FC1"/>
    <w:rsid w:val="00506FDD"/>
    <w:rsid w:val="0050700E"/>
    <w:rsid w:val="0050767F"/>
    <w:rsid w:val="0050785C"/>
    <w:rsid w:val="00507D36"/>
    <w:rsid w:val="005103C2"/>
    <w:rsid w:val="005105F2"/>
    <w:rsid w:val="00510700"/>
    <w:rsid w:val="00510ABA"/>
    <w:rsid w:val="00511458"/>
    <w:rsid w:val="005119BB"/>
    <w:rsid w:val="00511D13"/>
    <w:rsid w:val="00512405"/>
    <w:rsid w:val="00512C31"/>
    <w:rsid w:val="00512C57"/>
    <w:rsid w:val="00513E30"/>
    <w:rsid w:val="00513F6B"/>
    <w:rsid w:val="00513FF5"/>
    <w:rsid w:val="005142DA"/>
    <w:rsid w:val="005149D8"/>
    <w:rsid w:val="00515E2A"/>
    <w:rsid w:val="00515F48"/>
    <w:rsid w:val="00516AD5"/>
    <w:rsid w:val="00517318"/>
    <w:rsid w:val="005178DD"/>
    <w:rsid w:val="00517C98"/>
    <w:rsid w:val="00520A9A"/>
    <w:rsid w:val="00521054"/>
    <w:rsid w:val="00521232"/>
    <w:rsid w:val="005220B0"/>
    <w:rsid w:val="00522C10"/>
    <w:rsid w:val="0052343A"/>
    <w:rsid w:val="00523801"/>
    <w:rsid w:val="00524102"/>
    <w:rsid w:val="005246FD"/>
    <w:rsid w:val="00524C09"/>
    <w:rsid w:val="0052516F"/>
    <w:rsid w:val="00525CE1"/>
    <w:rsid w:val="00525F1A"/>
    <w:rsid w:val="0052607F"/>
    <w:rsid w:val="0052651A"/>
    <w:rsid w:val="0052685A"/>
    <w:rsid w:val="00526E84"/>
    <w:rsid w:val="0052744B"/>
    <w:rsid w:val="0052751A"/>
    <w:rsid w:val="0052757E"/>
    <w:rsid w:val="00527AB2"/>
    <w:rsid w:val="00527C4D"/>
    <w:rsid w:val="00527D51"/>
    <w:rsid w:val="005310F1"/>
    <w:rsid w:val="005312C2"/>
    <w:rsid w:val="00531DC6"/>
    <w:rsid w:val="0053231B"/>
    <w:rsid w:val="00532B95"/>
    <w:rsid w:val="0053387D"/>
    <w:rsid w:val="00533A73"/>
    <w:rsid w:val="00535E32"/>
    <w:rsid w:val="00535E7B"/>
    <w:rsid w:val="00535EAF"/>
    <w:rsid w:val="005365C7"/>
    <w:rsid w:val="0053756C"/>
    <w:rsid w:val="00537D8B"/>
    <w:rsid w:val="005405FE"/>
    <w:rsid w:val="0054084E"/>
    <w:rsid w:val="005409A6"/>
    <w:rsid w:val="00540C40"/>
    <w:rsid w:val="00541376"/>
    <w:rsid w:val="00541A51"/>
    <w:rsid w:val="00541A6B"/>
    <w:rsid w:val="00541C63"/>
    <w:rsid w:val="00541C6C"/>
    <w:rsid w:val="00541D0D"/>
    <w:rsid w:val="005420F9"/>
    <w:rsid w:val="00542554"/>
    <w:rsid w:val="00542BB0"/>
    <w:rsid w:val="00544F3A"/>
    <w:rsid w:val="0054558B"/>
    <w:rsid w:val="00547185"/>
    <w:rsid w:val="005471C9"/>
    <w:rsid w:val="005478FA"/>
    <w:rsid w:val="00547D5D"/>
    <w:rsid w:val="0055007A"/>
    <w:rsid w:val="0055049B"/>
    <w:rsid w:val="00550D4A"/>
    <w:rsid w:val="00551A91"/>
    <w:rsid w:val="00552662"/>
    <w:rsid w:val="005534F3"/>
    <w:rsid w:val="0055355F"/>
    <w:rsid w:val="00553D72"/>
    <w:rsid w:val="00553E8C"/>
    <w:rsid w:val="00555213"/>
    <w:rsid w:val="00555312"/>
    <w:rsid w:val="00555381"/>
    <w:rsid w:val="00556300"/>
    <w:rsid w:val="00556B37"/>
    <w:rsid w:val="00557420"/>
    <w:rsid w:val="00557FD7"/>
    <w:rsid w:val="00561515"/>
    <w:rsid w:val="0056197B"/>
    <w:rsid w:val="00561D61"/>
    <w:rsid w:val="00561DE4"/>
    <w:rsid w:val="00562E56"/>
    <w:rsid w:val="00564080"/>
    <w:rsid w:val="00564135"/>
    <w:rsid w:val="00564967"/>
    <w:rsid w:val="0056522F"/>
    <w:rsid w:val="00565C7C"/>
    <w:rsid w:val="00565E65"/>
    <w:rsid w:val="00565F0A"/>
    <w:rsid w:val="0056606B"/>
    <w:rsid w:val="00566431"/>
    <w:rsid w:val="005667EE"/>
    <w:rsid w:val="00566E08"/>
    <w:rsid w:val="00567445"/>
    <w:rsid w:val="00567573"/>
    <w:rsid w:val="005677A3"/>
    <w:rsid w:val="005701B3"/>
    <w:rsid w:val="00570573"/>
    <w:rsid w:val="00570609"/>
    <w:rsid w:val="005706CB"/>
    <w:rsid w:val="00570DA3"/>
    <w:rsid w:val="0057205E"/>
    <w:rsid w:val="00572080"/>
    <w:rsid w:val="00572C8C"/>
    <w:rsid w:val="00573538"/>
    <w:rsid w:val="00573BED"/>
    <w:rsid w:val="00574517"/>
    <w:rsid w:val="00574571"/>
    <w:rsid w:val="005749EC"/>
    <w:rsid w:val="0057557D"/>
    <w:rsid w:val="00575A39"/>
    <w:rsid w:val="00575B66"/>
    <w:rsid w:val="00576321"/>
    <w:rsid w:val="005768E8"/>
    <w:rsid w:val="00577505"/>
    <w:rsid w:val="00577965"/>
    <w:rsid w:val="00577ADC"/>
    <w:rsid w:val="00577F6A"/>
    <w:rsid w:val="00580235"/>
    <w:rsid w:val="00580678"/>
    <w:rsid w:val="0058132F"/>
    <w:rsid w:val="00581372"/>
    <w:rsid w:val="0058159E"/>
    <w:rsid w:val="00582194"/>
    <w:rsid w:val="005823E9"/>
    <w:rsid w:val="005826FF"/>
    <w:rsid w:val="00582B95"/>
    <w:rsid w:val="00583326"/>
    <w:rsid w:val="005838C8"/>
    <w:rsid w:val="00583CEA"/>
    <w:rsid w:val="00583F15"/>
    <w:rsid w:val="0058478C"/>
    <w:rsid w:val="00584CB2"/>
    <w:rsid w:val="00584DE1"/>
    <w:rsid w:val="00586163"/>
    <w:rsid w:val="00586CB3"/>
    <w:rsid w:val="00586E8F"/>
    <w:rsid w:val="00587346"/>
    <w:rsid w:val="00587456"/>
    <w:rsid w:val="0058765B"/>
    <w:rsid w:val="00587F7E"/>
    <w:rsid w:val="00590650"/>
    <w:rsid w:val="00591725"/>
    <w:rsid w:val="00591C4E"/>
    <w:rsid w:val="00592215"/>
    <w:rsid w:val="005927DB"/>
    <w:rsid w:val="00592E5D"/>
    <w:rsid w:val="005933FC"/>
    <w:rsid w:val="00593677"/>
    <w:rsid w:val="005943AD"/>
    <w:rsid w:val="00594495"/>
    <w:rsid w:val="00594581"/>
    <w:rsid w:val="00595098"/>
    <w:rsid w:val="00596218"/>
    <w:rsid w:val="00596252"/>
    <w:rsid w:val="00597A06"/>
    <w:rsid w:val="00597CAA"/>
    <w:rsid w:val="005A002F"/>
    <w:rsid w:val="005A02C1"/>
    <w:rsid w:val="005A04A5"/>
    <w:rsid w:val="005A05B0"/>
    <w:rsid w:val="005A09A7"/>
    <w:rsid w:val="005A0B9B"/>
    <w:rsid w:val="005A1A2A"/>
    <w:rsid w:val="005A203D"/>
    <w:rsid w:val="005A2EDD"/>
    <w:rsid w:val="005A45C7"/>
    <w:rsid w:val="005A490B"/>
    <w:rsid w:val="005A54B2"/>
    <w:rsid w:val="005A56B7"/>
    <w:rsid w:val="005A65C1"/>
    <w:rsid w:val="005A66E3"/>
    <w:rsid w:val="005A6A83"/>
    <w:rsid w:val="005A6B60"/>
    <w:rsid w:val="005A796E"/>
    <w:rsid w:val="005A79B1"/>
    <w:rsid w:val="005A7B3F"/>
    <w:rsid w:val="005B0329"/>
    <w:rsid w:val="005B0376"/>
    <w:rsid w:val="005B03D0"/>
    <w:rsid w:val="005B10FD"/>
    <w:rsid w:val="005B186A"/>
    <w:rsid w:val="005B290A"/>
    <w:rsid w:val="005B29FF"/>
    <w:rsid w:val="005B338A"/>
    <w:rsid w:val="005B4C5F"/>
    <w:rsid w:val="005B4CDA"/>
    <w:rsid w:val="005B4ED0"/>
    <w:rsid w:val="005B51AB"/>
    <w:rsid w:val="005B6319"/>
    <w:rsid w:val="005B7FEE"/>
    <w:rsid w:val="005C00C9"/>
    <w:rsid w:val="005C00CC"/>
    <w:rsid w:val="005C0981"/>
    <w:rsid w:val="005C0E6A"/>
    <w:rsid w:val="005C10F7"/>
    <w:rsid w:val="005C1314"/>
    <w:rsid w:val="005C1A5B"/>
    <w:rsid w:val="005C30C9"/>
    <w:rsid w:val="005C34CD"/>
    <w:rsid w:val="005C3C0C"/>
    <w:rsid w:val="005C4462"/>
    <w:rsid w:val="005C4CC2"/>
    <w:rsid w:val="005C517B"/>
    <w:rsid w:val="005C55BE"/>
    <w:rsid w:val="005C5AB8"/>
    <w:rsid w:val="005C5D3C"/>
    <w:rsid w:val="005C603C"/>
    <w:rsid w:val="005C68D0"/>
    <w:rsid w:val="005C78B3"/>
    <w:rsid w:val="005C78CD"/>
    <w:rsid w:val="005D01D6"/>
    <w:rsid w:val="005D0E47"/>
    <w:rsid w:val="005D11E2"/>
    <w:rsid w:val="005D1887"/>
    <w:rsid w:val="005D1A8D"/>
    <w:rsid w:val="005D248C"/>
    <w:rsid w:val="005D26C0"/>
    <w:rsid w:val="005D3D4C"/>
    <w:rsid w:val="005D3DEB"/>
    <w:rsid w:val="005D416F"/>
    <w:rsid w:val="005D45AF"/>
    <w:rsid w:val="005D45B7"/>
    <w:rsid w:val="005D4AA1"/>
    <w:rsid w:val="005D50EA"/>
    <w:rsid w:val="005D597B"/>
    <w:rsid w:val="005D61DD"/>
    <w:rsid w:val="005D6F01"/>
    <w:rsid w:val="005D7B9A"/>
    <w:rsid w:val="005E010F"/>
    <w:rsid w:val="005E03FB"/>
    <w:rsid w:val="005E0B25"/>
    <w:rsid w:val="005E0C96"/>
    <w:rsid w:val="005E1289"/>
    <w:rsid w:val="005E1335"/>
    <w:rsid w:val="005E17F9"/>
    <w:rsid w:val="005E3C6E"/>
    <w:rsid w:val="005E4212"/>
    <w:rsid w:val="005E4245"/>
    <w:rsid w:val="005E448C"/>
    <w:rsid w:val="005E5272"/>
    <w:rsid w:val="005E55F3"/>
    <w:rsid w:val="005E598B"/>
    <w:rsid w:val="005E5C96"/>
    <w:rsid w:val="005E5EF3"/>
    <w:rsid w:val="005E64DE"/>
    <w:rsid w:val="005E6CE5"/>
    <w:rsid w:val="005E6DA9"/>
    <w:rsid w:val="005E755D"/>
    <w:rsid w:val="005E76D3"/>
    <w:rsid w:val="005F044A"/>
    <w:rsid w:val="005F087C"/>
    <w:rsid w:val="005F1479"/>
    <w:rsid w:val="005F164E"/>
    <w:rsid w:val="005F18CE"/>
    <w:rsid w:val="005F2620"/>
    <w:rsid w:val="005F288F"/>
    <w:rsid w:val="005F2A3B"/>
    <w:rsid w:val="005F30F4"/>
    <w:rsid w:val="005F36C5"/>
    <w:rsid w:val="005F4143"/>
    <w:rsid w:val="005F452A"/>
    <w:rsid w:val="005F51E4"/>
    <w:rsid w:val="005F526B"/>
    <w:rsid w:val="005F6376"/>
    <w:rsid w:val="005F66AA"/>
    <w:rsid w:val="005F6845"/>
    <w:rsid w:val="005F69F8"/>
    <w:rsid w:val="005F6C3F"/>
    <w:rsid w:val="00600084"/>
    <w:rsid w:val="006002EE"/>
    <w:rsid w:val="00600ACA"/>
    <w:rsid w:val="00601760"/>
    <w:rsid w:val="006017FF"/>
    <w:rsid w:val="0060196E"/>
    <w:rsid w:val="00601A57"/>
    <w:rsid w:val="00601F06"/>
    <w:rsid w:val="00602329"/>
    <w:rsid w:val="006026BB"/>
    <w:rsid w:val="0060336C"/>
    <w:rsid w:val="00603760"/>
    <w:rsid w:val="00604AE1"/>
    <w:rsid w:val="00605714"/>
    <w:rsid w:val="0060579D"/>
    <w:rsid w:val="00605984"/>
    <w:rsid w:val="0060656B"/>
    <w:rsid w:val="006079FF"/>
    <w:rsid w:val="00607EF2"/>
    <w:rsid w:val="00611086"/>
    <w:rsid w:val="0061190C"/>
    <w:rsid w:val="00611943"/>
    <w:rsid w:val="00611F95"/>
    <w:rsid w:val="006124C3"/>
    <w:rsid w:val="00612934"/>
    <w:rsid w:val="00612BEC"/>
    <w:rsid w:val="0061407C"/>
    <w:rsid w:val="006158F2"/>
    <w:rsid w:val="00615C7A"/>
    <w:rsid w:val="00615D32"/>
    <w:rsid w:val="00616E9C"/>
    <w:rsid w:val="00617847"/>
    <w:rsid w:val="00617B73"/>
    <w:rsid w:val="00620FD8"/>
    <w:rsid w:val="0062104F"/>
    <w:rsid w:val="006211EC"/>
    <w:rsid w:val="00623562"/>
    <w:rsid w:val="006235B0"/>
    <w:rsid w:val="0062558C"/>
    <w:rsid w:val="00626276"/>
    <w:rsid w:val="00626681"/>
    <w:rsid w:val="0062709F"/>
    <w:rsid w:val="006270E6"/>
    <w:rsid w:val="0062717A"/>
    <w:rsid w:val="00630050"/>
    <w:rsid w:val="0063043B"/>
    <w:rsid w:val="006305AF"/>
    <w:rsid w:val="006305E9"/>
    <w:rsid w:val="00630F40"/>
    <w:rsid w:val="00631AD5"/>
    <w:rsid w:val="00632779"/>
    <w:rsid w:val="00632B59"/>
    <w:rsid w:val="00632F65"/>
    <w:rsid w:val="0063327C"/>
    <w:rsid w:val="0063388D"/>
    <w:rsid w:val="00633AB2"/>
    <w:rsid w:val="00633AB8"/>
    <w:rsid w:val="00633C2A"/>
    <w:rsid w:val="006356DF"/>
    <w:rsid w:val="00636443"/>
    <w:rsid w:val="006364D7"/>
    <w:rsid w:val="0063699E"/>
    <w:rsid w:val="006371FB"/>
    <w:rsid w:val="0063792A"/>
    <w:rsid w:val="00637C96"/>
    <w:rsid w:val="0064000D"/>
    <w:rsid w:val="0064031F"/>
    <w:rsid w:val="00640387"/>
    <w:rsid w:val="0064040C"/>
    <w:rsid w:val="006406DE"/>
    <w:rsid w:val="00641102"/>
    <w:rsid w:val="00641740"/>
    <w:rsid w:val="00642825"/>
    <w:rsid w:val="00642F3F"/>
    <w:rsid w:val="00643750"/>
    <w:rsid w:val="0064433F"/>
    <w:rsid w:val="00644567"/>
    <w:rsid w:val="00644626"/>
    <w:rsid w:val="00644F06"/>
    <w:rsid w:val="006452D1"/>
    <w:rsid w:val="00645519"/>
    <w:rsid w:val="006455D2"/>
    <w:rsid w:val="00646856"/>
    <w:rsid w:val="006468B2"/>
    <w:rsid w:val="00646D61"/>
    <w:rsid w:val="00646E82"/>
    <w:rsid w:val="0065016F"/>
    <w:rsid w:val="0065068E"/>
    <w:rsid w:val="00650BD3"/>
    <w:rsid w:val="006519B8"/>
    <w:rsid w:val="00651F00"/>
    <w:rsid w:val="006524AD"/>
    <w:rsid w:val="00652507"/>
    <w:rsid w:val="00652808"/>
    <w:rsid w:val="00652D17"/>
    <w:rsid w:val="00652FB5"/>
    <w:rsid w:val="00653620"/>
    <w:rsid w:val="00654000"/>
    <w:rsid w:val="00654179"/>
    <w:rsid w:val="00654270"/>
    <w:rsid w:val="00654E3F"/>
    <w:rsid w:val="00654EAC"/>
    <w:rsid w:val="00655761"/>
    <w:rsid w:val="006557A7"/>
    <w:rsid w:val="00656234"/>
    <w:rsid w:val="006570CF"/>
    <w:rsid w:val="0066145B"/>
    <w:rsid w:val="006615DF"/>
    <w:rsid w:val="00662E4A"/>
    <w:rsid w:val="00663685"/>
    <w:rsid w:val="00663C52"/>
    <w:rsid w:val="0066465E"/>
    <w:rsid w:val="00665555"/>
    <w:rsid w:val="006664F7"/>
    <w:rsid w:val="00667469"/>
    <w:rsid w:val="006674DE"/>
    <w:rsid w:val="0066773F"/>
    <w:rsid w:val="00671383"/>
    <w:rsid w:val="0067142F"/>
    <w:rsid w:val="006714EB"/>
    <w:rsid w:val="00671607"/>
    <w:rsid w:val="0067193C"/>
    <w:rsid w:val="00671B31"/>
    <w:rsid w:val="00671DA3"/>
    <w:rsid w:val="00673A50"/>
    <w:rsid w:val="00673F33"/>
    <w:rsid w:val="0067422A"/>
    <w:rsid w:val="00674C4E"/>
    <w:rsid w:val="00675ECF"/>
    <w:rsid w:val="0067653F"/>
    <w:rsid w:val="00676AF4"/>
    <w:rsid w:val="0067702A"/>
    <w:rsid w:val="00677668"/>
    <w:rsid w:val="0067795E"/>
    <w:rsid w:val="0068010F"/>
    <w:rsid w:val="00680C07"/>
    <w:rsid w:val="00681ADF"/>
    <w:rsid w:val="0068222A"/>
    <w:rsid w:val="00682610"/>
    <w:rsid w:val="00682807"/>
    <w:rsid w:val="006829D6"/>
    <w:rsid w:val="00682B01"/>
    <w:rsid w:val="00682FC1"/>
    <w:rsid w:val="00683026"/>
    <w:rsid w:val="00683306"/>
    <w:rsid w:val="00685310"/>
    <w:rsid w:val="00685DB4"/>
    <w:rsid w:val="0068602E"/>
    <w:rsid w:val="00686221"/>
    <w:rsid w:val="0068679C"/>
    <w:rsid w:val="006871EC"/>
    <w:rsid w:val="006877F0"/>
    <w:rsid w:val="00687B99"/>
    <w:rsid w:val="00687FC2"/>
    <w:rsid w:val="00690D69"/>
    <w:rsid w:val="0069228E"/>
    <w:rsid w:val="00692EFA"/>
    <w:rsid w:val="006939F2"/>
    <w:rsid w:val="006943AE"/>
    <w:rsid w:val="00694B9B"/>
    <w:rsid w:val="00694D98"/>
    <w:rsid w:val="00694F3B"/>
    <w:rsid w:val="006955FD"/>
    <w:rsid w:val="00695718"/>
    <w:rsid w:val="00695FC1"/>
    <w:rsid w:val="00696B01"/>
    <w:rsid w:val="00697201"/>
    <w:rsid w:val="0069768D"/>
    <w:rsid w:val="00697DB4"/>
    <w:rsid w:val="00697FFD"/>
    <w:rsid w:val="006A028A"/>
    <w:rsid w:val="006A16C6"/>
    <w:rsid w:val="006A16DB"/>
    <w:rsid w:val="006A263D"/>
    <w:rsid w:val="006A285D"/>
    <w:rsid w:val="006A36E8"/>
    <w:rsid w:val="006A403C"/>
    <w:rsid w:val="006A462F"/>
    <w:rsid w:val="006A4A60"/>
    <w:rsid w:val="006A59B7"/>
    <w:rsid w:val="006A5A33"/>
    <w:rsid w:val="006A5C2B"/>
    <w:rsid w:val="006A6204"/>
    <w:rsid w:val="006A6D0A"/>
    <w:rsid w:val="006A781A"/>
    <w:rsid w:val="006A7ABD"/>
    <w:rsid w:val="006B01F9"/>
    <w:rsid w:val="006B05A2"/>
    <w:rsid w:val="006B1F6E"/>
    <w:rsid w:val="006B2FA6"/>
    <w:rsid w:val="006B333C"/>
    <w:rsid w:val="006B3367"/>
    <w:rsid w:val="006B36EA"/>
    <w:rsid w:val="006B3978"/>
    <w:rsid w:val="006B41A6"/>
    <w:rsid w:val="006B4A7B"/>
    <w:rsid w:val="006B5726"/>
    <w:rsid w:val="006B62D7"/>
    <w:rsid w:val="006B6937"/>
    <w:rsid w:val="006B75DD"/>
    <w:rsid w:val="006C04F5"/>
    <w:rsid w:val="006C062E"/>
    <w:rsid w:val="006C14F4"/>
    <w:rsid w:val="006C1968"/>
    <w:rsid w:val="006C1BC4"/>
    <w:rsid w:val="006C1BDD"/>
    <w:rsid w:val="006C1D95"/>
    <w:rsid w:val="006C1FE3"/>
    <w:rsid w:val="006C20BC"/>
    <w:rsid w:val="006C2182"/>
    <w:rsid w:val="006C3EBF"/>
    <w:rsid w:val="006C46AA"/>
    <w:rsid w:val="006C50AE"/>
    <w:rsid w:val="006C512B"/>
    <w:rsid w:val="006C540F"/>
    <w:rsid w:val="006C5B23"/>
    <w:rsid w:val="006C5DD2"/>
    <w:rsid w:val="006C63AA"/>
    <w:rsid w:val="006C644A"/>
    <w:rsid w:val="006C6D57"/>
    <w:rsid w:val="006C7822"/>
    <w:rsid w:val="006D0147"/>
    <w:rsid w:val="006D081E"/>
    <w:rsid w:val="006D11E8"/>
    <w:rsid w:val="006D1AEA"/>
    <w:rsid w:val="006D3316"/>
    <w:rsid w:val="006D3618"/>
    <w:rsid w:val="006D3832"/>
    <w:rsid w:val="006D3B60"/>
    <w:rsid w:val="006D3CE6"/>
    <w:rsid w:val="006D4665"/>
    <w:rsid w:val="006D4A48"/>
    <w:rsid w:val="006D4E4C"/>
    <w:rsid w:val="006D581B"/>
    <w:rsid w:val="006D5A1E"/>
    <w:rsid w:val="006D643D"/>
    <w:rsid w:val="006D7268"/>
    <w:rsid w:val="006E0805"/>
    <w:rsid w:val="006E0816"/>
    <w:rsid w:val="006E0B5C"/>
    <w:rsid w:val="006E15B6"/>
    <w:rsid w:val="006E2DE3"/>
    <w:rsid w:val="006E3056"/>
    <w:rsid w:val="006E3A55"/>
    <w:rsid w:val="006E3FEA"/>
    <w:rsid w:val="006E412A"/>
    <w:rsid w:val="006E46C9"/>
    <w:rsid w:val="006E4F77"/>
    <w:rsid w:val="006E550D"/>
    <w:rsid w:val="006E5B5F"/>
    <w:rsid w:val="006E60DD"/>
    <w:rsid w:val="006E6231"/>
    <w:rsid w:val="006E6F6B"/>
    <w:rsid w:val="006E728D"/>
    <w:rsid w:val="006F0A0A"/>
    <w:rsid w:val="006F124F"/>
    <w:rsid w:val="006F1F60"/>
    <w:rsid w:val="006F2F89"/>
    <w:rsid w:val="006F329E"/>
    <w:rsid w:val="006F3562"/>
    <w:rsid w:val="006F3762"/>
    <w:rsid w:val="006F4228"/>
    <w:rsid w:val="006F5377"/>
    <w:rsid w:val="006F6421"/>
    <w:rsid w:val="006F6C0A"/>
    <w:rsid w:val="006F6F39"/>
    <w:rsid w:val="006F749C"/>
    <w:rsid w:val="006F7A66"/>
    <w:rsid w:val="006F7B9E"/>
    <w:rsid w:val="006F7F62"/>
    <w:rsid w:val="0070013B"/>
    <w:rsid w:val="007002E6"/>
    <w:rsid w:val="0070050A"/>
    <w:rsid w:val="007008DE"/>
    <w:rsid w:val="00700B37"/>
    <w:rsid w:val="007014CF"/>
    <w:rsid w:val="00701911"/>
    <w:rsid w:val="0070267F"/>
    <w:rsid w:val="0070268B"/>
    <w:rsid w:val="0070279A"/>
    <w:rsid w:val="00702837"/>
    <w:rsid w:val="0070294C"/>
    <w:rsid w:val="007033CD"/>
    <w:rsid w:val="007042A3"/>
    <w:rsid w:val="00704511"/>
    <w:rsid w:val="007045AB"/>
    <w:rsid w:val="00704653"/>
    <w:rsid w:val="00704BE9"/>
    <w:rsid w:val="00704C98"/>
    <w:rsid w:val="00704DAB"/>
    <w:rsid w:val="00705ADA"/>
    <w:rsid w:val="00705BA4"/>
    <w:rsid w:val="007064ED"/>
    <w:rsid w:val="0070666F"/>
    <w:rsid w:val="00706BA4"/>
    <w:rsid w:val="00707F79"/>
    <w:rsid w:val="00710867"/>
    <w:rsid w:val="00711B89"/>
    <w:rsid w:val="00711CB3"/>
    <w:rsid w:val="007120E0"/>
    <w:rsid w:val="00712492"/>
    <w:rsid w:val="00712573"/>
    <w:rsid w:val="00712B00"/>
    <w:rsid w:val="00712B2D"/>
    <w:rsid w:val="007132EF"/>
    <w:rsid w:val="007133A8"/>
    <w:rsid w:val="00716943"/>
    <w:rsid w:val="00716D05"/>
    <w:rsid w:val="00717A63"/>
    <w:rsid w:val="00720380"/>
    <w:rsid w:val="00720BB6"/>
    <w:rsid w:val="00721408"/>
    <w:rsid w:val="00721E75"/>
    <w:rsid w:val="00721FA5"/>
    <w:rsid w:val="00722069"/>
    <w:rsid w:val="0072242D"/>
    <w:rsid w:val="00722464"/>
    <w:rsid w:val="00722A58"/>
    <w:rsid w:val="00722CDF"/>
    <w:rsid w:val="00722D25"/>
    <w:rsid w:val="00722E6F"/>
    <w:rsid w:val="00723B88"/>
    <w:rsid w:val="00723BAB"/>
    <w:rsid w:val="007249CA"/>
    <w:rsid w:val="00725FA3"/>
    <w:rsid w:val="00726D82"/>
    <w:rsid w:val="00727159"/>
    <w:rsid w:val="007273D3"/>
    <w:rsid w:val="00727B05"/>
    <w:rsid w:val="00727E11"/>
    <w:rsid w:val="007307EA"/>
    <w:rsid w:val="00730ADF"/>
    <w:rsid w:val="00730BC3"/>
    <w:rsid w:val="00731D8E"/>
    <w:rsid w:val="00731F4E"/>
    <w:rsid w:val="00732CD6"/>
    <w:rsid w:val="00732F17"/>
    <w:rsid w:val="0073364C"/>
    <w:rsid w:val="00733DA8"/>
    <w:rsid w:val="00733E39"/>
    <w:rsid w:val="007341BB"/>
    <w:rsid w:val="00734294"/>
    <w:rsid w:val="00734308"/>
    <w:rsid w:val="007345D9"/>
    <w:rsid w:val="00734C79"/>
    <w:rsid w:val="00734F0D"/>
    <w:rsid w:val="00735EBE"/>
    <w:rsid w:val="007362FF"/>
    <w:rsid w:val="00736840"/>
    <w:rsid w:val="00737058"/>
    <w:rsid w:val="00737756"/>
    <w:rsid w:val="007379CE"/>
    <w:rsid w:val="007401DB"/>
    <w:rsid w:val="00740A67"/>
    <w:rsid w:val="00742326"/>
    <w:rsid w:val="00742574"/>
    <w:rsid w:val="00742C68"/>
    <w:rsid w:val="00743490"/>
    <w:rsid w:val="007441EC"/>
    <w:rsid w:val="007442A4"/>
    <w:rsid w:val="00745133"/>
    <w:rsid w:val="007454E4"/>
    <w:rsid w:val="00745BF9"/>
    <w:rsid w:val="007460B8"/>
    <w:rsid w:val="00746391"/>
    <w:rsid w:val="00746453"/>
    <w:rsid w:val="00746A6D"/>
    <w:rsid w:val="00746FFD"/>
    <w:rsid w:val="007475A9"/>
    <w:rsid w:val="007477C9"/>
    <w:rsid w:val="00747D36"/>
    <w:rsid w:val="00750363"/>
    <w:rsid w:val="007510C5"/>
    <w:rsid w:val="007516A1"/>
    <w:rsid w:val="00751DD7"/>
    <w:rsid w:val="007528C1"/>
    <w:rsid w:val="0075306A"/>
    <w:rsid w:val="007535EF"/>
    <w:rsid w:val="00753EB2"/>
    <w:rsid w:val="00755C4B"/>
    <w:rsid w:val="007567EE"/>
    <w:rsid w:val="00757255"/>
    <w:rsid w:val="00757656"/>
    <w:rsid w:val="007602A6"/>
    <w:rsid w:val="007606C0"/>
    <w:rsid w:val="00760807"/>
    <w:rsid w:val="00760E12"/>
    <w:rsid w:val="0076100B"/>
    <w:rsid w:val="00762420"/>
    <w:rsid w:val="00762829"/>
    <w:rsid w:val="00762E1F"/>
    <w:rsid w:val="00762EFA"/>
    <w:rsid w:val="00763344"/>
    <w:rsid w:val="00763527"/>
    <w:rsid w:val="00763E75"/>
    <w:rsid w:val="00764B5B"/>
    <w:rsid w:val="00765BAC"/>
    <w:rsid w:val="00765D1D"/>
    <w:rsid w:val="00765E12"/>
    <w:rsid w:val="00766CCF"/>
    <w:rsid w:val="00767227"/>
    <w:rsid w:val="007672D6"/>
    <w:rsid w:val="007707B5"/>
    <w:rsid w:val="00771149"/>
    <w:rsid w:val="007711A4"/>
    <w:rsid w:val="007717EE"/>
    <w:rsid w:val="00771D7F"/>
    <w:rsid w:val="0077241F"/>
    <w:rsid w:val="0077328C"/>
    <w:rsid w:val="0077397E"/>
    <w:rsid w:val="00773C92"/>
    <w:rsid w:val="0077412A"/>
    <w:rsid w:val="0077414B"/>
    <w:rsid w:val="007742DA"/>
    <w:rsid w:val="007758E4"/>
    <w:rsid w:val="00775EA9"/>
    <w:rsid w:val="00775F10"/>
    <w:rsid w:val="00776751"/>
    <w:rsid w:val="007769F5"/>
    <w:rsid w:val="00777045"/>
    <w:rsid w:val="0077745A"/>
    <w:rsid w:val="00777F96"/>
    <w:rsid w:val="00777FD6"/>
    <w:rsid w:val="00780464"/>
    <w:rsid w:val="0078055F"/>
    <w:rsid w:val="00780B74"/>
    <w:rsid w:val="00781CD9"/>
    <w:rsid w:val="00781E7D"/>
    <w:rsid w:val="00782668"/>
    <w:rsid w:val="0078323D"/>
    <w:rsid w:val="00783406"/>
    <w:rsid w:val="00783A5B"/>
    <w:rsid w:val="00783EE4"/>
    <w:rsid w:val="00784094"/>
    <w:rsid w:val="00784170"/>
    <w:rsid w:val="007841A8"/>
    <w:rsid w:val="00784AFD"/>
    <w:rsid w:val="00785552"/>
    <w:rsid w:val="0078600C"/>
    <w:rsid w:val="00786168"/>
    <w:rsid w:val="00786495"/>
    <w:rsid w:val="00786A65"/>
    <w:rsid w:val="00786B17"/>
    <w:rsid w:val="00786D38"/>
    <w:rsid w:val="00787495"/>
    <w:rsid w:val="00791389"/>
    <w:rsid w:val="00791FB1"/>
    <w:rsid w:val="007920D9"/>
    <w:rsid w:val="00792647"/>
    <w:rsid w:val="00793375"/>
    <w:rsid w:val="00793D9C"/>
    <w:rsid w:val="00793FA1"/>
    <w:rsid w:val="00794174"/>
    <w:rsid w:val="00794701"/>
    <w:rsid w:val="00794729"/>
    <w:rsid w:val="00795DD1"/>
    <w:rsid w:val="007966AD"/>
    <w:rsid w:val="00796AB2"/>
    <w:rsid w:val="00796C28"/>
    <w:rsid w:val="0079780E"/>
    <w:rsid w:val="00797CF6"/>
    <w:rsid w:val="007A0489"/>
    <w:rsid w:val="007A0B62"/>
    <w:rsid w:val="007A1326"/>
    <w:rsid w:val="007A1C31"/>
    <w:rsid w:val="007A2009"/>
    <w:rsid w:val="007A23A8"/>
    <w:rsid w:val="007A2CC7"/>
    <w:rsid w:val="007A35F4"/>
    <w:rsid w:val="007A4884"/>
    <w:rsid w:val="007A4D6B"/>
    <w:rsid w:val="007A54F5"/>
    <w:rsid w:val="007A5808"/>
    <w:rsid w:val="007A6428"/>
    <w:rsid w:val="007A68AC"/>
    <w:rsid w:val="007A6D2E"/>
    <w:rsid w:val="007A6FDD"/>
    <w:rsid w:val="007A75CD"/>
    <w:rsid w:val="007A796F"/>
    <w:rsid w:val="007A7D43"/>
    <w:rsid w:val="007B079F"/>
    <w:rsid w:val="007B08ED"/>
    <w:rsid w:val="007B12DA"/>
    <w:rsid w:val="007B154C"/>
    <w:rsid w:val="007B2621"/>
    <w:rsid w:val="007B2E8D"/>
    <w:rsid w:val="007B34CE"/>
    <w:rsid w:val="007B4414"/>
    <w:rsid w:val="007B4DD5"/>
    <w:rsid w:val="007B5034"/>
    <w:rsid w:val="007B602A"/>
    <w:rsid w:val="007B658A"/>
    <w:rsid w:val="007B6DB6"/>
    <w:rsid w:val="007B7E97"/>
    <w:rsid w:val="007B7F7A"/>
    <w:rsid w:val="007C0629"/>
    <w:rsid w:val="007C094E"/>
    <w:rsid w:val="007C1CEE"/>
    <w:rsid w:val="007C1CFF"/>
    <w:rsid w:val="007C1D4E"/>
    <w:rsid w:val="007C2547"/>
    <w:rsid w:val="007C3F37"/>
    <w:rsid w:val="007C408A"/>
    <w:rsid w:val="007C45A1"/>
    <w:rsid w:val="007C4828"/>
    <w:rsid w:val="007C4FDC"/>
    <w:rsid w:val="007C5785"/>
    <w:rsid w:val="007C5998"/>
    <w:rsid w:val="007C5C49"/>
    <w:rsid w:val="007C6877"/>
    <w:rsid w:val="007C7BC4"/>
    <w:rsid w:val="007D0251"/>
    <w:rsid w:val="007D06F1"/>
    <w:rsid w:val="007D087E"/>
    <w:rsid w:val="007D0B6A"/>
    <w:rsid w:val="007D1341"/>
    <w:rsid w:val="007D139F"/>
    <w:rsid w:val="007D1B16"/>
    <w:rsid w:val="007D1FB5"/>
    <w:rsid w:val="007D236B"/>
    <w:rsid w:val="007D3E73"/>
    <w:rsid w:val="007D445B"/>
    <w:rsid w:val="007D5E6D"/>
    <w:rsid w:val="007D67E7"/>
    <w:rsid w:val="007D684E"/>
    <w:rsid w:val="007D6BD7"/>
    <w:rsid w:val="007D70AE"/>
    <w:rsid w:val="007D76F7"/>
    <w:rsid w:val="007D776C"/>
    <w:rsid w:val="007D78C0"/>
    <w:rsid w:val="007D7BBB"/>
    <w:rsid w:val="007E0270"/>
    <w:rsid w:val="007E0372"/>
    <w:rsid w:val="007E135C"/>
    <w:rsid w:val="007E14DB"/>
    <w:rsid w:val="007E16A6"/>
    <w:rsid w:val="007E1BAE"/>
    <w:rsid w:val="007E27F9"/>
    <w:rsid w:val="007E3214"/>
    <w:rsid w:val="007E441E"/>
    <w:rsid w:val="007E49A5"/>
    <w:rsid w:val="007E4EED"/>
    <w:rsid w:val="007E57E0"/>
    <w:rsid w:val="007E5BF8"/>
    <w:rsid w:val="007E6427"/>
    <w:rsid w:val="007E6918"/>
    <w:rsid w:val="007E6A9D"/>
    <w:rsid w:val="007E7EA3"/>
    <w:rsid w:val="007F03FA"/>
    <w:rsid w:val="007F12C0"/>
    <w:rsid w:val="007F1C05"/>
    <w:rsid w:val="007F1D4C"/>
    <w:rsid w:val="007F1FB9"/>
    <w:rsid w:val="007F2B21"/>
    <w:rsid w:val="007F3200"/>
    <w:rsid w:val="007F3E22"/>
    <w:rsid w:val="007F4C5E"/>
    <w:rsid w:val="007F4ED3"/>
    <w:rsid w:val="007F50EF"/>
    <w:rsid w:val="007F51C0"/>
    <w:rsid w:val="007F53E2"/>
    <w:rsid w:val="007F553E"/>
    <w:rsid w:val="007F61D6"/>
    <w:rsid w:val="007F638B"/>
    <w:rsid w:val="007F6864"/>
    <w:rsid w:val="007F6C29"/>
    <w:rsid w:val="007F6D42"/>
    <w:rsid w:val="007F729A"/>
    <w:rsid w:val="007F7B6A"/>
    <w:rsid w:val="007F7D94"/>
    <w:rsid w:val="007F7ECD"/>
    <w:rsid w:val="00800229"/>
    <w:rsid w:val="00800A8D"/>
    <w:rsid w:val="00800CE8"/>
    <w:rsid w:val="00801440"/>
    <w:rsid w:val="00801D44"/>
    <w:rsid w:val="00802057"/>
    <w:rsid w:val="0080296E"/>
    <w:rsid w:val="00802BCA"/>
    <w:rsid w:val="008041E5"/>
    <w:rsid w:val="00804735"/>
    <w:rsid w:val="00805F3A"/>
    <w:rsid w:val="00806037"/>
    <w:rsid w:val="00806278"/>
    <w:rsid w:val="00806B6C"/>
    <w:rsid w:val="00806CE4"/>
    <w:rsid w:val="00807557"/>
    <w:rsid w:val="00807706"/>
    <w:rsid w:val="008077E7"/>
    <w:rsid w:val="00807D7B"/>
    <w:rsid w:val="00807DC4"/>
    <w:rsid w:val="0081063D"/>
    <w:rsid w:val="00810FA5"/>
    <w:rsid w:val="008110B8"/>
    <w:rsid w:val="008113D4"/>
    <w:rsid w:val="00811473"/>
    <w:rsid w:val="00811703"/>
    <w:rsid w:val="00811C29"/>
    <w:rsid w:val="0081254E"/>
    <w:rsid w:val="00812A66"/>
    <w:rsid w:val="00813621"/>
    <w:rsid w:val="008136AB"/>
    <w:rsid w:val="008139D6"/>
    <w:rsid w:val="00814DBA"/>
    <w:rsid w:val="00814E6E"/>
    <w:rsid w:val="00815587"/>
    <w:rsid w:val="008156E7"/>
    <w:rsid w:val="008156F4"/>
    <w:rsid w:val="00815F20"/>
    <w:rsid w:val="0081612D"/>
    <w:rsid w:val="0081629A"/>
    <w:rsid w:val="00817840"/>
    <w:rsid w:val="00817A42"/>
    <w:rsid w:val="00820ABF"/>
    <w:rsid w:val="008211DE"/>
    <w:rsid w:val="00821400"/>
    <w:rsid w:val="0082163F"/>
    <w:rsid w:val="00821A37"/>
    <w:rsid w:val="00821B1D"/>
    <w:rsid w:val="00821F0B"/>
    <w:rsid w:val="008233AF"/>
    <w:rsid w:val="00823480"/>
    <w:rsid w:val="008239F9"/>
    <w:rsid w:val="00825060"/>
    <w:rsid w:val="00825253"/>
    <w:rsid w:val="008263CA"/>
    <w:rsid w:val="0082714E"/>
    <w:rsid w:val="00827764"/>
    <w:rsid w:val="00827A34"/>
    <w:rsid w:val="00827E18"/>
    <w:rsid w:val="00830333"/>
    <w:rsid w:val="008305B1"/>
    <w:rsid w:val="008306C6"/>
    <w:rsid w:val="008307B7"/>
    <w:rsid w:val="00830983"/>
    <w:rsid w:val="00830D54"/>
    <w:rsid w:val="00830E41"/>
    <w:rsid w:val="00831483"/>
    <w:rsid w:val="008317B3"/>
    <w:rsid w:val="008324EB"/>
    <w:rsid w:val="00832858"/>
    <w:rsid w:val="008330BB"/>
    <w:rsid w:val="008331C2"/>
    <w:rsid w:val="00833F28"/>
    <w:rsid w:val="008354E5"/>
    <w:rsid w:val="00835682"/>
    <w:rsid w:val="00835A75"/>
    <w:rsid w:val="0083614A"/>
    <w:rsid w:val="008362DC"/>
    <w:rsid w:val="008363D5"/>
    <w:rsid w:val="00836F5B"/>
    <w:rsid w:val="008370BB"/>
    <w:rsid w:val="00837726"/>
    <w:rsid w:val="008400EA"/>
    <w:rsid w:val="00840FAA"/>
    <w:rsid w:val="00841984"/>
    <w:rsid w:val="00841AEA"/>
    <w:rsid w:val="00841D1F"/>
    <w:rsid w:val="008428BE"/>
    <w:rsid w:val="00842CD2"/>
    <w:rsid w:val="00842EB5"/>
    <w:rsid w:val="008431C7"/>
    <w:rsid w:val="008436BB"/>
    <w:rsid w:val="00843ED9"/>
    <w:rsid w:val="00844A82"/>
    <w:rsid w:val="008454E6"/>
    <w:rsid w:val="00845959"/>
    <w:rsid w:val="008459D0"/>
    <w:rsid w:val="00845C31"/>
    <w:rsid w:val="00845CE4"/>
    <w:rsid w:val="0084697D"/>
    <w:rsid w:val="00846F43"/>
    <w:rsid w:val="00846FC1"/>
    <w:rsid w:val="00847204"/>
    <w:rsid w:val="00850070"/>
    <w:rsid w:val="008506E5"/>
    <w:rsid w:val="00850CA4"/>
    <w:rsid w:val="008511EE"/>
    <w:rsid w:val="00851348"/>
    <w:rsid w:val="00851C17"/>
    <w:rsid w:val="00853C04"/>
    <w:rsid w:val="00853E1F"/>
    <w:rsid w:val="00854072"/>
    <w:rsid w:val="00854263"/>
    <w:rsid w:val="00854375"/>
    <w:rsid w:val="008545EB"/>
    <w:rsid w:val="008548B9"/>
    <w:rsid w:val="00854EFC"/>
    <w:rsid w:val="0085583F"/>
    <w:rsid w:val="00855A86"/>
    <w:rsid w:val="00855DC9"/>
    <w:rsid w:val="00856397"/>
    <w:rsid w:val="00856864"/>
    <w:rsid w:val="008618CF"/>
    <w:rsid w:val="00861CBA"/>
    <w:rsid w:val="00862DDA"/>
    <w:rsid w:val="008631C4"/>
    <w:rsid w:val="0086367D"/>
    <w:rsid w:val="00863A6E"/>
    <w:rsid w:val="00864646"/>
    <w:rsid w:val="00864A0C"/>
    <w:rsid w:val="0086567D"/>
    <w:rsid w:val="008657C8"/>
    <w:rsid w:val="008659E4"/>
    <w:rsid w:val="00865FFA"/>
    <w:rsid w:val="00866429"/>
    <w:rsid w:val="008665B4"/>
    <w:rsid w:val="008679FD"/>
    <w:rsid w:val="00867C33"/>
    <w:rsid w:val="00870175"/>
    <w:rsid w:val="0087027B"/>
    <w:rsid w:val="00870482"/>
    <w:rsid w:val="008707B8"/>
    <w:rsid w:val="00870FF7"/>
    <w:rsid w:val="00871641"/>
    <w:rsid w:val="00871845"/>
    <w:rsid w:val="00872824"/>
    <w:rsid w:val="00872A4D"/>
    <w:rsid w:val="00872B42"/>
    <w:rsid w:val="00873A23"/>
    <w:rsid w:val="00874394"/>
    <w:rsid w:val="00874B87"/>
    <w:rsid w:val="008756A9"/>
    <w:rsid w:val="008757F4"/>
    <w:rsid w:val="00875CF8"/>
    <w:rsid w:val="0087643C"/>
    <w:rsid w:val="00876A26"/>
    <w:rsid w:val="0087739E"/>
    <w:rsid w:val="00877B90"/>
    <w:rsid w:val="00877EE9"/>
    <w:rsid w:val="00880314"/>
    <w:rsid w:val="008808F4"/>
    <w:rsid w:val="00880B98"/>
    <w:rsid w:val="008812D1"/>
    <w:rsid w:val="008829C1"/>
    <w:rsid w:val="00882EFC"/>
    <w:rsid w:val="00883E34"/>
    <w:rsid w:val="0088412D"/>
    <w:rsid w:val="00884282"/>
    <w:rsid w:val="008848A3"/>
    <w:rsid w:val="0088522E"/>
    <w:rsid w:val="00885596"/>
    <w:rsid w:val="008861E0"/>
    <w:rsid w:val="008866BA"/>
    <w:rsid w:val="00886764"/>
    <w:rsid w:val="00886F78"/>
    <w:rsid w:val="00886F8B"/>
    <w:rsid w:val="00887159"/>
    <w:rsid w:val="00887335"/>
    <w:rsid w:val="00887794"/>
    <w:rsid w:val="00887F10"/>
    <w:rsid w:val="00887F37"/>
    <w:rsid w:val="00890CDD"/>
    <w:rsid w:val="00891580"/>
    <w:rsid w:val="008921BB"/>
    <w:rsid w:val="00892928"/>
    <w:rsid w:val="00892BEC"/>
    <w:rsid w:val="00892C84"/>
    <w:rsid w:val="00892F26"/>
    <w:rsid w:val="008938C1"/>
    <w:rsid w:val="008948A5"/>
    <w:rsid w:val="00894B8E"/>
    <w:rsid w:val="00894EA7"/>
    <w:rsid w:val="00896833"/>
    <w:rsid w:val="00896BCF"/>
    <w:rsid w:val="00897116"/>
    <w:rsid w:val="00897560"/>
    <w:rsid w:val="00897950"/>
    <w:rsid w:val="008A0445"/>
    <w:rsid w:val="008A0F61"/>
    <w:rsid w:val="008A2B00"/>
    <w:rsid w:val="008A35BF"/>
    <w:rsid w:val="008A37D6"/>
    <w:rsid w:val="008A3DFA"/>
    <w:rsid w:val="008A405A"/>
    <w:rsid w:val="008A4429"/>
    <w:rsid w:val="008A4B78"/>
    <w:rsid w:val="008A4E90"/>
    <w:rsid w:val="008A4FBB"/>
    <w:rsid w:val="008A5DE6"/>
    <w:rsid w:val="008A76E1"/>
    <w:rsid w:val="008A7741"/>
    <w:rsid w:val="008A7AC0"/>
    <w:rsid w:val="008B087D"/>
    <w:rsid w:val="008B13AC"/>
    <w:rsid w:val="008B1827"/>
    <w:rsid w:val="008B1BDA"/>
    <w:rsid w:val="008B2B4C"/>
    <w:rsid w:val="008B31F8"/>
    <w:rsid w:val="008B328D"/>
    <w:rsid w:val="008B3434"/>
    <w:rsid w:val="008B42F4"/>
    <w:rsid w:val="008B44A8"/>
    <w:rsid w:val="008B4837"/>
    <w:rsid w:val="008B527D"/>
    <w:rsid w:val="008B5DB0"/>
    <w:rsid w:val="008B6FCB"/>
    <w:rsid w:val="008C0498"/>
    <w:rsid w:val="008C1703"/>
    <w:rsid w:val="008C1BEF"/>
    <w:rsid w:val="008C21F3"/>
    <w:rsid w:val="008C259F"/>
    <w:rsid w:val="008C2604"/>
    <w:rsid w:val="008C32D0"/>
    <w:rsid w:val="008C4128"/>
    <w:rsid w:val="008C42A4"/>
    <w:rsid w:val="008C4374"/>
    <w:rsid w:val="008C5081"/>
    <w:rsid w:val="008C544B"/>
    <w:rsid w:val="008C5CC8"/>
    <w:rsid w:val="008C6A82"/>
    <w:rsid w:val="008C70EC"/>
    <w:rsid w:val="008D0202"/>
    <w:rsid w:val="008D0F02"/>
    <w:rsid w:val="008D14AE"/>
    <w:rsid w:val="008D1777"/>
    <w:rsid w:val="008D1BE1"/>
    <w:rsid w:val="008D1C99"/>
    <w:rsid w:val="008D1FF2"/>
    <w:rsid w:val="008D2B00"/>
    <w:rsid w:val="008D2E3C"/>
    <w:rsid w:val="008D3F6B"/>
    <w:rsid w:val="008D4A3B"/>
    <w:rsid w:val="008D5982"/>
    <w:rsid w:val="008D5F40"/>
    <w:rsid w:val="008D6057"/>
    <w:rsid w:val="008D63D6"/>
    <w:rsid w:val="008D706A"/>
    <w:rsid w:val="008D7C86"/>
    <w:rsid w:val="008E0355"/>
    <w:rsid w:val="008E135A"/>
    <w:rsid w:val="008E1654"/>
    <w:rsid w:val="008E1D17"/>
    <w:rsid w:val="008E1D62"/>
    <w:rsid w:val="008E1F05"/>
    <w:rsid w:val="008E2577"/>
    <w:rsid w:val="008E25E7"/>
    <w:rsid w:val="008E2B2E"/>
    <w:rsid w:val="008E338B"/>
    <w:rsid w:val="008E3E67"/>
    <w:rsid w:val="008E407A"/>
    <w:rsid w:val="008E468C"/>
    <w:rsid w:val="008E5412"/>
    <w:rsid w:val="008E5B5D"/>
    <w:rsid w:val="008E5B7A"/>
    <w:rsid w:val="008E6343"/>
    <w:rsid w:val="008E64E1"/>
    <w:rsid w:val="008E65A3"/>
    <w:rsid w:val="008F048A"/>
    <w:rsid w:val="008F05B3"/>
    <w:rsid w:val="008F0BCB"/>
    <w:rsid w:val="008F11C1"/>
    <w:rsid w:val="008F1A44"/>
    <w:rsid w:val="008F1AEE"/>
    <w:rsid w:val="008F2B09"/>
    <w:rsid w:val="008F3B4C"/>
    <w:rsid w:val="008F461F"/>
    <w:rsid w:val="008F4EF9"/>
    <w:rsid w:val="008F500E"/>
    <w:rsid w:val="008F5DE7"/>
    <w:rsid w:val="008F5DFA"/>
    <w:rsid w:val="008F67D6"/>
    <w:rsid w:val="008F69EF"/>
    <w:rsid w:val="008F74A3"/>
    <w:rsid w:val="008F77E1"/>
    <w:rsid w:val="008F787C"/>
    <w:rsid w:val="008F7B33"/>
    <w:rsid w:val="008F7D3D"/>
    <w:rsid w:val="008F7E85"/>
    <w:rsid w:val="009000C6"/>
    <w:rsid w:val="0090099A"/>
    <w:rsid w:val="00900BEB"/>
    <w:rsid w:val="0090120F"/>
    <w:rsid w:val="009013F5"/>
    <w:rsid w:val="0090190D"/>
    <w:rsid w:val="009021D9"/>
    <w:rsid w:val="009023C9"/>
    <w:rsid w:val="00902484"/>
    <w:rsid w:val="0090271D"/>
    <w:rsid w:val="009034EF"/>
    <w:rsid w:val="00904348"/>
    <w:rsid w:val="00904442"/>
    <w:rsid w:val="00904814"/>
    <w:rsid w:val="009055CA"/>
    <w:rsid w:val="00905615"/>
    <w:rsid w:val="00906105"/>
    <w:rsid w:val="009063C3"/>
    <w:rsid w:val="00906BE5"/>
    <w:rsid w:val="00907586"/>
    <w:rsid w:val="00910674"/>
    <w:rsid w:val="00910A1D"/>
    <w:rsid w:val="009111C1"/>
    <w:rsid w:val="009112F8"/>
    <w:rsid w:val="00911385"/>
    <w:rsid w:val="00912E2D"/>
    <w:rsid w:val="00913350"/>
    <w:rsid w:val="00913813"/>
    <w:rsid w:val="00913BFF"/>
    <w:rsid w:val="0091409B"/>
    <w:rsid w:val="00914CCF"/>
    <w:rsid w:val="00915B91"/>
    <w:rsid w:val="009161DB"/>
    <w:rsid w:val="00916350"/>
    <w:rsid w:val="00916DCC"/>
    <w:rsid w:val="00920807"/>
    <w:rsid w:val="00920DB7"/>
    <w:rsid w:val="00920FA1"/>
    <w:rsid w:val="00921DC1"/>
    <w:rsid w:val="00922525"/>
    <w:rsid w:val="009233B3"/>
    <w:rsid w:val="009236FB"/>
    <w:rsid w:val="00923A7E"/>
    <w:rsid w:val="0092403F"/>
    <w:rsid w:val="0092486A"/>
    <w:rsid w:val="00924C62"/>
    <w:rsid w:val="00925E8A"/>
    <w:rsid w:val="00926142"/>
    <w:rsid w:val="00926502"/>
    <w:rsid w:val="00926D53"/>
    <w:rsid w:val="00927B7E"/>
    <w:rsid w:val="00930297"/>
    <w:rsid w:val="00930F4C"/>
    <w:rsid w:val="00931C8A"/>
    <w:rsid w:val="00932494"/>
    <w:rsid w:val="00932EB1"/>
    <w:rsid w:val="0093338F"/>
    <w:rsid w:val="00933C14"/>
    <w:rsid w:val="00933DD2"/>
    <w:rsid w:val="00934B98"/>
    <w:rsid w:val="009354F6"/>
    <w:rsid w:val="00935757"/>
    <w:rsid w:val="00935AE7"/>
    <w:rsid w:val="00936176"/>
    <w:rsid w:val="00936309"/>
    <w:rsid w:val="00936516"/>
    <w:rsid w:val="00936542"/>
    <w:rsid w:val="009368BD"/>
    <w:rsid w:val="00937663"/>
    <w:rsid w:val="00937821"/>
    <w:rsid w:val="00937992"/>
    <w:rsid w:val="00937AB9"/>
    <w:rsid w:val="00937BDB"/>
    <w:rsid w:val="00940521"/>
    <w:rsid w:val="009407CB"/>
    <w:rsid w:val="009409EC"/>
    <w:rsid w:val="00940B69"/>
    <w:rsid w:val="009417F6"/>
    <w:rsid w:val="00941810"/>
    <w:rsid w:val="00941E67"/>
    <w:rsid w:val="00942587"/>
    <w:rsid w:val="00942732"/>
    <w:rsid w:val="00943129"/>
    <w:rsid w:val="00943A95"/>
    <w:rsid w:val="00943FD9"/>
    <w:rsid w:val="009440BB"/>
    <w:rsid w:val="009442C3"/>
    <w:rsid w:val="00944994"/>
    <w:rsid w:val="00944DA8"/>
    <w:rsid w:val="00944F8B"/>
    <w:rsid w:val="00945653"/>
    <w:rsid w:val="0094570E"/>
    <w:rsid w:val="0094582B"/>
    <w:rsid w:val="009458EE"/>
    <w:rsid w:val="00945A74"/>
    <w:rsid w:val="00945CB5"/>
    <w:rsid w:val="00945D59"/>
    <w:rsid w:val="00945EBD"/>
    <w:rsid w:val="0094740B"/>
    <w:rsid w:val="009511B0"/>
    <w:rsid w:val="00951597"/>
    <w:rsid w:val="009521AE"/>
    <w:rsid w:val="00952A08"/>
    <w:rsid w:val="00952BCB"/>
    <w:rsid w:val="0095386C"/>
    <w:rsid w:val="00954B11"/>
    <w:rsid w:val="00954B98"/>
    <w:rsid w:val="00954FA3"/>
    <w:rsid w:val="00955383"/>
    <w:rsid w:val="00955801"/>
    <w:rsid w:val="00955CE4"/>
    <w:rsid w:val="009561C4"/>
    <w:rsid w:val="009562F0"/>
    <w:rsid w:val="00957C0A"/>
    <w:rsid w:val="00961008"/>
    <w:rsid w:val="00961640"/>
    <w:rsid w:val="00962134"/>
    <w:rsid w:val="0096258A"/>
    <w:rsid w:val="00962CAF"/>
    <w:rsid w:val="009637C6"/>
    <w:rsid w:val="00963C37"/>
    <w:rsid w:val="0096500E"/>
    <w:rsid w:val="00965610"/>
    <w:rsid w:val="00966818"/>
    <w:rsid w:val="00966973"/>
    <w:rsid w:val="00966E50"/>
    <w:rsid w:val="00967130"/>
    <w:rsid w:val="00967161"/>
    <w:rsid w:val="00967547"/>
    <w:rsid w:val="00967AB7"/>
    <w:rsid w:val="00970636"/>
    <w:rsid w:val="009713A9"/>
    <w:rsid w:val="00971511"/>
    <w:rsid w:val="0097189A"/>
    <w:rsid w:val="00971B26"/>
    <w:rsid w:val="00971B85"/>
    <w:rsid w:val="00971D21"/>
    <w:rsid w:val="009728CC"/>
    <w:rsid w:val="0097304B"/>
    <w:rsid w:val="00973D16"/>
    <w:rsid w:val="009742DD"/>
    <w:rsid w:val="009743E2"/>
    <w:rsid w:val="00974727"/>
    <w:rsid w:val="00974C3F"/>
    <w:rsid w:val="009757FE"/>
    <w:rsid w:val="009759C5"/>
    <w:rsid w:val="00975B9B"/>
    <w:rsid w:val="00975C54"/>
    <w:rsid w:val="00976892"/>
    <w:rsid w:val="009769CB"/>
    <w:rsid w:val="00977222"/>
    <w:rsid w:val="0097729E"/>
    <w:rsid w:val="00977CDE"/>
    <w:rsid w:val="00980552"/>
    <w:rsid w:val="00982844"/>
    <w:rsid w:val="00983200"/>
    <w:rsid w:val="00983644"/>
    <w:rsid w:val="00983DA3"/>
    <w:rsid w:val="00983EFA"/>
    <w:rsid w:val="00984841"/>
    <w:rsid w:val="0098486C"/>
    <w:rsid w:val="009850F7"/>
    <w:rsid w:val="00985A45"/>
    <w:rsid w:val="00985C0E"/>
    <w:rsid w:val="009861F5"/>
    <w:rsid w:val="009865E6"/>
    <w:rsid w:val="00986D16"/>
    <w:rsid w:val="00987ECB"/>
    <w:rsid w:val="009901B1"/>
    <w:rsid w:val="009902BE"/>
    <w:rsid w:val="009905B1"/>
    <w:rsid w:val="00990703"/>
    <w:rsid w:val="00990B44"/>
    <w:rsid w:val="00991E17"/>
    <w:rsid w:val="009926FA"/>
    <w:rsid w:val="009944B7"/>
    <w:rsid w:val="0099450B"/>
    <w:rsid w:val="009951C3"/>
    <w:rsid w:val="00995494"/>
    <w:rsid w:val="00995D6A"/>
    <w:rsid w:val="009967E4"/>
    <w:rsid w:val="0099690C"/>
    <w:rsid w:val="0099711D"/>
    <w:rsid w:val="0099748D"/>
    <w:rsid w:val="00997501"/>
    <w:rsid w:val="009A0758"/>
    <w:rsid w:val="009A0851"/>
    <w:rsid w:val="009A0B24"/>
    <w:rsid w:val="009A0CDF"/>
    <w:rsid w:val="009A0DE7"/>
    <w:rsid w:val="009A0FBD"/>
    <w:rsid w:val="009A177D"/>
    <w:rsid w:val="009A1ED5"/>
    <w:rsid w:val="009A2A23"/>
    <w:rsid w:val="009A2D8C"/>
    <w:rsid w:val="009A32B3"/>
    <w:rsid w:val="009A3AD6"/>
    <w:rsid w:val="009A3BB9"/>
    <w:rsid w:val="009A41A7"/>
    <w:rsid w:val="009A531C"/>
    <w:rsid w:val="009A6161"/>
    <w:rsid w:val="009A64AC"/>
    <w:rsid w:val="009A71B8"/>
    <w:rsid w:val="009A7828"/>
    <w:rsid w:val="009A7B15"/>
    <w:rsid w:val="009A7BF0"/>
    <w:rsid w:val="009B0585"/>
    <w:rsid w:val="009B1C0D"/>
    <w:rsid w:val="009B2126"/>
    <w:rsid w:val="009B213F"/>
    <w:rsid w:val="009B2656"/>
    <w:rsid w:val="009B2FCB"/>
    <w:rsid w:val="009B3355"/>
    <w:rsid w:val="009B3C4C"/>
    <w:rsid w:val="009B4831"/>
    <w:rsid w:val="009B48D2"/>
    <w:rsid w:val="009B49A8"/>
    <w:rsid w:val="009B4AB4"/>
    <w:rsid w:val="009B5258"/>
    <w:rsid w:val="009B5979"/>
    <w:rsid w:val="009B5CAE"/>
    <w:rsid w:val="009B6694"/>
    <w:rsid w:val="009B6CE7"/>
    <w:rsid w:val="009B6FBC"/>
    <w:rsid w:val="009B7F99"/>
    <w:rsid w:val="009C01BC"/>
    <w:rsid w:val="009C0404"/>
    <w:rsid w:val="009C25AF"/>
    <w:rsid w:val="009C3279"/>
    <w:rsid w:val="009C3404"/>
    <w:rsid w:val="009C5496"/>
    <w:rsid w:val="009C549C"/>
    <w:rsid w:val="009C5649"/>
    <w:rsid w:val="009C5EC5"/>
    <w:rsid w:val="009C5F0E"/>
    <w:rsid w:val="009C625B"/>
    <w:rsid w:val="009C655A"/>
    <w:rsid w:val="009C71EB"/>
    <w:rsid w:val="009C7742"/>
    <w:rsid w:val="009C78F4"/>
    <w:rsid w:val="009C7AA4"/>
    <w:rsid w:val="009D0571"/>
    <w:rsid w:val="009D0CF2"/>
    <w:rsid w:val="009D13A5"/>
    <w:rsid w:val="009D3201"/>
    <w:rsid w:val="009D3583"/>
    <w:rsid w:val="009D3D0F"/>
    <w:rsid w:val="009D4938"/>
    <w:rsid w:val="009D4C53"/>
    <w:rsid w:val="009D5B42"/>
    <w:rsid w:val="009D5C33"/>
    <w:rsid w:val="009D6AD1"/>
    <w:rsid w:val="009D6F50"/>
    <w:rsid w:val="009D6FE4"/>
    <w:rsid w:val="009D76EB"/>
    <w:rsid w:val="009D7A81"/>
    <w:rsid w:val="009D7B06"/>
    <w:rsid w:val="009D7C5B"/>
    <w:rsid w:val="009E04C0"/>
    <w:rsid w:val="009E073E"/>
    <w:rsid w:val="009E1A3C"/>
    <w:rsid w:val="009E236A"/>
    <w:rsid w:val="009E33DA"/>
    <w:rsid w:val="009E375D"/>
    <w:rsid w:val="009E3FF9"/>
    <w:rsid w:val="009E43AA"/>
    <w:rsid w:val="009E4938"/>
    <w:rsid w:val="009E4AD7"/>
    <w:rsid w:val="009E70C6"/>
    <w:rsid w:val="009E7AF9"/>
    <w:rsid w:val="009E7B8F"/>
    <w:rsid w:val="009E7DB0"/>
    <w:rsid w:val="009F087B"/>
    <w:rsid w:val="009F0D18"/>
    <w:rsid w:val="009F14CC"/>
    <w:rsid w:val="009F16B8"/>
    <w:rsid w:val="009F1714"/>
    <w:rsid w:val="009F20C8"/>
    <w:rsid w:val="009F245A"/>
    <w:rsid w:val="009F2D81"/>
    <w:rsid w:val="009F2DB5"/>
    <w:rsid w:val="009F2E7D"/>
    <w:rsid w:val="009F302A"/>
    <w:rsid w:val="009F3075"/>
    <w:rsid w:val="009F35F4"/>
    <w:rsid w:val="009F3AC6"/>
    <w:rsid w:val="009F4903"/>
    <w:rsid w:val="009F4FBF"/>
    <w:rsid w:val="009F52E8"/>
    <w:rsid w:val="009F54A0"/>
    <w:rsid w:val="009F54F2"/>
    <w:rsid w:val="009F585B"/>
    <w:rsid w:val="009F5E0D"/>
    <w:rsid w:val="009F5ED8"/>
    <w:rsid w:val="009F722B"/>
    <w:rsid w:val="009F7491"/>
    <w:rsid w:val="009F75B6"/>
    <w:rsid w:val="00A006C9"/>
    <w:rsid w:val="00A0096F"/>
    <w:rsid w:val="00A00FCE"/>
    <w:rsid w:val="00A010C0"/>
    <w:rsid w:val="00A01674"/>
    <w:rsid w:val="00A01734"/>
    <w:rsid w:val="00A01DDA"/>
    <w:rsid w:val="00A01E21"/>
    <w:rsid w:val="00A01F67"/>
    <w:rsid w:val="00A02063"/>
    <w:rsid w:val="00A03549"/>
    <w:rsid w:val="00A0362E"/>
    <w:rsid w:val="00A03CBC"/>
    <w:rsid w:val="00A03DE1"/>
    <w:rsid w:val="00A04562"/>
    <w:rsid w:val="00A04607"/>
    <w:rsid w:val="00A053BE"/>
    <w:rsid w:val="00A0550C"/>
    <w:rsid w:val="00A05956"/>
    <w:rsid w:val="00A05EC8"/>
    <w:rsid w:val="00A064F6"/>
    <w:rsid w:val="00A06BF0"/>
    <w:rsid w:val="00A06D31"/>
    <w:rsid w:val="00A107BD"/>
    <w:rsid w:val="00A10DF0"/>
    <w:rsid w:val="00A12088"/>
    <w:rsid w:val="00A12412"/>
    <w:rsid w:val="00A13622"/>
    <w:rsid w:val="00A1386D"/>
    <w:rsid w:val="00A13F0B"/>
    <w:rsid w:val="00A140E5"/>
    <w:rsid w:val="00A14466"/>
    <w:rsid w:val="00A15F2E"/>
    <w:rsid w:val="00A15F71"/>
    <w:rsid w:val="00A163EB"/>
    <w:rsid w:val="00A164E2"/>
    <w:rsid w:val="00A168A2"/>
    <w:rsid w:val="00A16B1D"/>
    <w:rsid w:val="00A177C1"/>
    <w:rsid w:val="00A177EB"/>
    <w:rsid w:val="00A17E12"/>
    <w:rsid w:val="00A20431"/>
    <w:rsid w:val="00A21075"/>
    <w:rsid w:val="00A21FFD"/>
    <w:rsid w:val="00A2255C"/>
    <w:rsid w:val="00A225DC"/>
    <w:rsid w:val="00A226E8"/>
    <w:rsid w:val="00A22780"/>
    <w:rsid w:val="00A22797"/>
    <w:rsid w:val="00A22A4B"/>
    <w:rsid w:val="00A22B81"/>
    <w:rsid w:val="00A22CEA"/>
    <w:rsid w:val="00A24389"/>
    <w:rsid w:val="00A24750"/>
    <w:rsid w:val="00A24B02"/>
    <w:rsid w:val="00A24C13"/>
    <w:rsid w:val="00A25CBC"/>
    <w:rsid w:val="00A25DDC"/>
    <w:rsid w:val="00A2614A"/>
    <w:rsid w:val="00A26551"/>
    <w:rsid w:val="00A26791"/>
    <w:rsid w:val="00A26A35"/>
    <w:rsid w:val="00A27A62"/>
    <w:rsid w:val="00A3022A"/>
    <w:rsid w:val="00A30965"/>
    <w:rsid w:val="00A30ADC"/>
    <w:rsid w:val="00A30B6E"/>
    <w:rsid w:val="00A30EE9"/>
    <w:rsid w:val="00A31A25"/>
    <w:rsid w:val="00A323FA"/>
    <w:rsid w:val="00A3349D"/>
    <w:rsid w:val="00A336C1"/>
    <w:rsid w:val="00A339FE"/>
    <w:rsid w:val="00A33DD4"/>
    <w:rsid w:val="00A3432F"/>
    <w:rsid w:val="00A345AB"/>
    <w:rsid w:val="00A348EF"/>
    <w:rsid w:val="00A34AF9"/>
    <w:rsid w:val="00A359FD"/>
    <w:rsid w:val="00A35CFD"/>
    <w:rsid w:val="00A36670"/>
    <w:rsid w:val="00A3753F"/>
    <w:rsid w:val="00A378A7"/>
    <w:rsid w:val="00A37999"/>
    <w:rsid w:val="00A406D5"/>
    <w:rsid w:val="00A408B2"/>
    <w:rsid w:val="00A40C72"/>
    <w:rsid w:val="00A42438"/>
    <w:rsid w:val="00A4245F"/>
    <w:rsid w:val="00A429F9"/>
    <w:rsid w:val="00A43E17"/>
    <w:rsid w:val="00A44751"/>
    <w:rsid w:val="00A45416"/>
    <w:rsid w:val="00A459E6"/>
    <w:rsid w:val="00A464F4"/>
    <w:rsid w:val="00A4686C"/>
    <w:rsid w:val="00A46D9E"/>
    <w:rsid w:val="00A4763C"/>
    <w:rsid w:val="00A47799"/>
    <w:rsid w:val="00A51134"/>
    <w:rsid w:val="00A514A6"/>
    <w:rsid w:val="00A51B8F"/>
    <w:rsid w:val="00A523B6"/>
    <w:rsid w:val="00A525E1"/>
    <w:rsid w:val="00A52C3E"/>
    <w:rsid w:val="00A531E0"/>
    <w:rsid w:val="00A5326B"/>
    <w:rsid w:val="00A53BA7"/>
    <w:rsid w:val="00A54D48"/>
    <w:rsid w:val="00A553CF"/>
    <w:rsid w:val="00A5622C"/>
    <w:rsid w:val="00A56B7A"/>
    <w:rsid w:val="00A60292"/>
    <w:rsid w:val="00A60717"/>
    <w:rsid w:val="00A60ADE"/>
    <w:rsid w:val="00A614CE"/>
    <w:rsid w:val="00A61517"/>
    <w:rsid w:val="00A616E3"/>
    <w:rsid w:val="00A61AED"/>
    <w:rsid w:val="00A61E1E"/>
    <w:rsid w:val="00A6255C"/>
    <w:rsid w:val="00A62CB9"/>
    <w:rsid w:val="00A62F31"/>
    <w:rsid w:val="00A635E4"/>
    <w:rsid w:val="00A642C0"/>
    <w:rsid w:val="00A646E0"/>
    <w:rsid w:val="00A6585E"/>
    <w:rsid w:val="00A65D8F"/>
    <w:rsid w:val="00A65F13"/>
    <w:rsid w:val="00A66197"/>
    <w:rsid w:val="00A6646A"/>
    <w:rsid w:val="00A66684"/>
    <w:rsid w:val="00A667A4"/>
    <w:rsid w:val="00A670D8"/>
    <w:rsid w:val="00A67622"/>
    <w:rsid w:val="00A6782D"/>
    <w:rsid w:val="00A709B2"/>
    <w:rsid w:val="00A709D0"/>
    <w:rsid w:val="00A709FE"/>
    <w:rsid w:val="00A70C5A"/>
    <w:rsid w:val="00A71260"/>
    <w:rsid w:val="00A7132F"/>
    <w:rsid w:val="00A71B99"/>
    <w:rsid w:val="00A72EAA"/>
    <w:rsid w:val="00A73574"/>
    <w:rsid w:val="00A7398E"/>
    <w:rsid w:val="00A741C4"/>
    <w:rsid w:val="00A74261"/>
    <w:rsid w:val="00A748EC"/>
    <w:rsid w:val="00A75687"/>
    <w:rsid w:val="00A75EF6"/>
    <w:rsid w:val="00A75F02"/>
    <w:rsid w:val="00A75F9A"/>
    <w:rsid w:val="00A76208"/>
    <w:rsid w:val="00A76735"/>
    <w:rsid w:val="00A76B6D"/>
    <w:rsid w:val="00A76D0E"/>
    <w:rsid w:val="00A76D66"/>
    <w:rsid w:val="00A7731B"/>
    <w:rsid w:val="00A77B44"/>
    <w:rsid w:val="00A805BF"/>
    <w:rsid w:val="00A80D77"/>
    <w:rsid w:val="00A80DA5"/>
    <w:rsid w:val="00A80E80"/>
    <w:rsid w:val="00A811E6"/>
    <w:rsid w:val="00A8148D"/>
    <w:rsid w:val="00A814D8"/>
    <w:rsid w:val="00A82139"/>
    <w:rsid w:val="00A822D4"/>
    <w:rsid w:val="00A8259C"/>
    <w:rsid w:val="00A82B85"/>
    <w:rsid w:val="00A83E5C"/>
    <w:rsid w:val="00A8422C"/>
    <w:rsid w:val="00A85AC9"/>
    <w:rsid w:val="00A85DFD"/>
    <w:rsid w:val="00A861C5"/>
    <w:rsid w:val="00A863AA"/>
    <w:rsid w:val="00A8663E"/>
    <w:rsid w:val="00A86F00"/>
    <w:rsid w:val="00A877B6"/>
    <w:rsid w:val="00A90757"/>
    <w:rsid w:val="00A908CF"/>
    <w:rsid w:val="00A91A42"/>
    <w:rsid w:val="00A91C12"/>
    <w:rsid w:val="00A92282"/>
    <w:rsid w:val="00A9274E"/>
    <w:rsid w:val="00A92751"/>
    <w:rsid w:val="00A93467"/>
    <w:rsid w:val="00A93700"/>
    <w:rsid w:val="00A94C23"/>
    <w:rsid w:val="00A94E03"/>
    <w:rsid w:val="00A950DB"/>
    <w:rsid w:val="00A950E1"/>
    <w:rsid w:val="00A95591"/>
    <w:rsid w:val="00A95B72"/>
    <w:rsid w:val="00A95F0C"/>
    <w:rsid w:val="00A96645"/>
    <w:rsid w:val="00A966DD"/>
    <w:rsid w:val="00A966F4"/>
    <w:rsid w:val="00A968A8"/>
    <w:rsid w:val="00A971C1"/>
    <w:rsid w:val="00A97D20"/>
    <w:rsid w:val="00A97DF7"/>
    <w:rsid w:val="00AA041A"/>
    <w:rsid w:val="00AA09F1"/>
    <w:rsid w:val="00AA21AE"/>
    <w:rsid w:val="00AA2772"/>
    <w:rsid w:val="00AA29F6"/>
    <w:rsid w:val="00AA2A5A"/>
    <w:rsid w:val="00AA3312"/>
    <w:rsid w:val="00AA3721"/>
    <w:rsid w:val="00AA3AE9"/>
    <w:rsid w:val="00AA41BD"/>
    <w:rsid w:val="00AA4442"/>
    <w:rsid w:val="00AA45CE"/>
    <w:rsid w:val="00AA4A83"/>
    <w:rsid w:val="00AA552C"/>
    <w:rsid w:val="00AA753C"/>
    <w:rsid w:val="00AB02F9"/>
    <w:rsid w:val="00AB08A5"/>
    <w:rsid w:val="00AB0BFD"/>
    <w:rsid w:val="00AB10C6"/>
    <w:rsid w:val="00AB136B"/>
    <w:rsid w:val="00AB1529"/>
    <w:rsid w:val="00AB2581"/>
    <w:rsid w:val="00AB27C9"/>
    <w:rsid w:val="00AB3199"/>
    <w:rsid w:val="00AB3ECF"/>
    <w:rsid w:val="00AB428C"/>
    <w:rsid w:val="00AB4EAA"/>
    <w:rsid w:val="00AB4F01"/>
    <w:rsid w:val="00AB5150"/>
    <w:rsid w:val="00AB545C"/>
    <w:rsid w:val="00AB55E7"/>
    <w:rsid w:val="00AB5A52"/>
    <w:rsid w:val="00AB5E44"/>
    <w:rsid w:val="00AB5EEE"/>
    <w:rsid w:val="00AB6633"/>
    <w:rsid w:val="00AB7567"/>
    <w:rsid w:val="00AB7611"/>
    <w:rsid w:val="00AB7D97"/>
    <w:rsid w:val="00AB7F91"/>
    <w:rsid w:val="00AC0DB6"/>
    <w:rsid w:val="00AC1157"/>
    <w:rsid w:val="00AC1DD0"/>
    <w:rsid w:val="00AC2929"/>
    <w:rsid w:val="00AC377E"/>
    <w:rsid w:val="00AC3923"/>
    <w:rsid w:val="00AC4104"/>
    <w:rsid w:val="00AC45D0"/>
    <w:rsid w:val="00AC48B9"/>
    <w:rsid w:val="00AC61D5"/>
    <w:rsid w:val="00AC6471"/>
    <w:rsid w:val="00AC66A8"/>
    <w:rsid w:val="00AC6BA2"/>
    <w:rsid w:val="00AC7261"/>
    <w:rsid w:val="00AC7E3F"/>
    <w:rsid w:val="00AC7F37"/>
    <w:rsid w:val="00AD12FB"/>
    <w:rsid w:val="00AD28D3"/>
    <w:rsid w:val="00AD31FE"/>
    <w:rsid w:val="00AD3E40"/>
    <w:rsid w:val="00AD4E13"/>
    <w:rsid w:val="00AD635A"/>
    <w:rsid w:val="00AE1224"/>
    <w:rsid w:val="00AE152F"/>
    <w:rsid w:val="00AE1678"/>
    <w:rsid w:val="00AE1C14"/>
    <w:rsid w:val="00AE217F"/>
    <w:rsid w:val="00AE2819"/>
    <w:rsid w:val="00AE3192"/>
    <w:rsid w:val="00AE3C64"/>
    <w:rsid w:val="00AE4297"/>
    <w:rsid w:val="00AE4D2E"/>
    <w:rsid w:val="00AE4F3C"/>
    <w:rsid w:val="00AE5134"/>
    <w:rsid w:val="00AE5171"/>
    <w:rsid w:val="00AE53FE"/>
    <w:rsid w:val="00AE56E9"/>
    <w:rsid w:val="00AE58EA"/>
    <w:rsid w:val="00AE6702"/>
    <w:rsid w:val="00AE6CFC"/>
    <w:rsid w:val="00AE6DF7"/>
    <w:rsid w:val="00AE7854"/>
    <w:rsid w:val="00AE7B1D"/>
    <w:rsid w:val="00AE7B90"/>
    <w:rsid w:val="00AE7C1D"/>
    <w:rsid w:val="00AE7C57"/>
    <w:rsid w:val="00AF05B7"/>
    <w:rsid w:val="00AF075D"/>
    <w:rsid w:val="00AF13BE"/>
    <w:rsid w:val="00AF1EC6"/>
    <w:rsid w:val="00AF1F4B"/>
    <w:rsid w:val="00AF2125"/>
    <w:rsid w:val="00AF312F"/>
    <w:rsid w:val="00AF343A"/>
    <w:rsid w:val="00AF4C50"/>
    <w:rsid w:val="00AF5376"/>
    <w:rsid w:val="00AF5D30"/>
    <w:rsid w:val="00AF70F5"/>
    <w:rsid w:val="00AF754B"/>
    <w:rsid w:val="00AF7B6F"/>
    <w:rsid w:val="00B00262"/>
    <w:rsid w:val="00B01B64"/>
    <w:rsid w:val="00B01C70"/>
    <w:rsid w:val="00B01C92"/>
    <w:rsid w:val="00B01F75"/>
    <w:rsid w:val="00B0207F"/>
    <w:rsid w:val="00B02258"/>
    <w:rsid w:val="00B029F9"/>
    <w:rsid w:val="00B034AA"/>
    <w:rsid w:val="00B035EB"/>
    <w:rsid w:val="00B036EE"/>
    <w:rsid w:val="00B03F30"/>
    <w:rsid w:val="00B040F3"/>
    <w:rsid w:val="00B04D96"/>
    <w:rsid w:val="00B056CB"/>
    <w:rsid w:val="00B058C2"/>
    <w:rsid w:val="00B05BB9"/>
    <w:rsid w:val="00B05DB2"/>
    <w:rsid w:val="00B062F1"/>
    <w:rsid w:val="00B063B1"/>
    <w:rsid w:val="00B070FA"/>
    <w:rsid w:val="00B07583"/>
    <w:rsid w:val="00B076AD"/>
    <w:rsid w:val="00B10313"/>
    <w:rsid w:val="00B10F38"/>
    <w:rsid w:val="00B11C81"/>
    <w:rsid w:val="00B11E3E"/>
    <w:rsid w:val="00B13448"/>
    <w:rsid w:val="00B13699"/>
    <w:rsid w:val="00B13845"/>
    <w:rsid w:val="00B13D06"/>
    <w:rsid w:val="00B13E65"/>
    <w:rsid w:val="00B13F01"/>
    <w:rsid w:val="00B140D0"/>
    <w:rsid w:val="00B14215"/>
    <w:rsid w:val="00B146BC"/>
    <w:rsid w:val="00B14DBE"/>
    <w:rsid w:val="00B161E9"/>
    <w:rsid w:val="00B16441"/>
    <w:rsid w:val="00B16D7F"/>
    <w:rsid w:val="00B170F7"/>
    <w:rsid w:val="00B171AF"/>
    <w:rsid w:val="00B17E66"/>
    <w:rsid w:val="00B20158"/>
    <w:rsid w:val="00B20A46"/>
    <w:rsid w:val="00B21094"/>
    <w:rsid w:val="00B21811"/>
    <w:rsid w:val="00B21DC9"/>
    <w:rsid w:val="00B21EDF"/>
    <w:rsid w:val="00B22137"/>
    <w:rsid w:val="00B22320"/>
    <w:rsid w:val="00B22476"/>
    <w:rsid w:val="00B22D33"/>
    <w:rsid w:val="00B23CC3"/>
    <w:rsid w:val="00B23E32"/>
    <w:rsid w:val="00B23E75"/>
    <w:rsid w:val="00B24ED7"/>
    <w:rsid w:val="00B26226"/>
    <w:rsid w:val="00B263B2"/>
    <w:rsid w:val="00B26ED3"/>
    <w:rsid w:val="00B27142"/>
    <w:rsid w:val="00B276D5"/>
    <w:rsid w:val="00B27BB8"/>
    <w:rsid w:val="00B30488"/>
    <w:rsid w:val="00B30BCD"/>
    <w:rsid w:val="00B30C3D"/>
    <w:rsid w:val="00B327AB"/>
    <w:rsid w:val="00B32870"/>
    <w:rsid w:val="00B333EC"/>
    <w:rsid w:val="00B3350D"/>
    <w:rsid w:val="00B35322"/>
    <w:rsid w:val="00B3535C"/>
    <w:rsid w:val="00B35411"/>
    <w:rsid w:val="00B3556F"/>
    <w:rsid w:val="00B35837"/>
    <w:rsid w:val="00B35B4C"/>
    <w:rsid w:val="00B36219"/>
    <w:rsid w:val="00B36547"/>
    <w:rsid w:val="00B3654D"/>
    <w:rsid w:val="00B365DA"/>
    <w:rsid w:val="00B36E5F"/>
    <w:rsid w:val="00B374EF"/>
    <w:rsid w:val="00B378C6"/>
    <w:rsid w:val="00B408BF"/>
    <w:rsid w:val="00B41315"/>
    <w:rsid w:val="00B419F3"/>
    <w:rsid w:val="00B423B8"/>
    <w:rsid w:val="00B42A23"/>
    <w:rsid w:val="00B43772"/>
    <w:rsid w:val="00B43E74"/>
    <w:rsid w:val="00B43F14"/>
    <w:rsid w:val="00B445F3"/>
    <w:rsid w:val="00B454B1"/>
    <w:rsid w:val="00B45A79"/>
    <w:rsid w:val="00B45B0D"/>
    <w:rsid w:val="00B46AC0"/>
    <w:rsid w:val="00B46FE4"/>
    <w:rsid w:val="00B47DF0"/>
    <w:rsid w:val="00B50E08"/>
    <w:rsid w:val="00B5131F"/>
    <w:rsid w:val="00B51587"/>
    <w:rsid w:val="00B52068"/>
    <w:rsid w:val="00B522DA"/>
    <w:rsid w:val="00B529B0"/>
    <w:rsid w:val="00B5457D"/>
    <w:rsid w:val="00B5467C"/>
    <w:rsid w:val="00B54AE0"/>
    <w:rsid w:val="00B550D2"/>
    <w:rsid w:val="00B5584F"/>
    <w:rsid w:val="00B55A62"/>
    <w:rsid w:val="00B560DB"/>
    <w:rsid w:val="00B56C18"/>
    <w:rsid w:val="00B57FD7"/>
    <w:rsid w:val="00B6004E"/>
    <w:rsid w:val="00B60848"/>
    <w:rsid w:val="00B608AB"/>
    <w:rsid w:val="00B612FA"/>
    <w:rsid w:val="00B61600"/>
    <w:rsid w:val="00B61AC8"/>
    <w:rsid w:val="00B62141"/>
    <w:rsid w:val="00B635E7"/>
    <w:rsid w:val="00B638F7"/>
    <w:rsid w:val="00B64CBE"/>
    <w:rsid w:val="00B65417"/>
    <w:rsid w:val="00B655BB"/>
    <w:rsid w:val="00B658F6"/>
    <w:rsid w:val="00B65A12"/>
    <w:rsid w:val="00B65B25"/>
    <w:rsid w:val="00B65DCD"/>
    <w:rsid w:val="00B65ED9"/>
    <w:rsid w:val="00B662EE"/>
    <w:rsid w:val="00B669EE"/>
    <w:rsid w:val="00B66B29"/>
    <w:rsid w:val="00B6766F"/>
    <w:rsid w:val="00B67BDD"/>
    <w:rsid w:val="00B67DB6"/>
    <w:rsid w:val="00B67E3F"/>
    <w:rsid w:val="00B70AFA"/>
    <w:rsid w:val="00B70DFC"/>
    <w:rsid w:val="00B721FA"/>
    <w:rsid w:val="00B724C2"/>
    <w:rsid w:val="00B734D1"/>
    <w:rsid w:val="00B73A53"/>
    <w:rsid w:val="00B7415B"/>
    <w:rsid w:val="00B744A0"/>
    <w:rsid w:val="00B74A29"/>
    <w:rsid w:val="00B7524F"/>
    <w:rsid w:val="00B75E0A"/>
    <w:rsid w:val="00B75EC1"/>
    <w:rsid w:val="00B76979"/>
    <w:rsid w:val="00B76B8E"/>
    <w:rsid w:val="00B77BAC"/>
    <w:rsid w:val="00B77E7E"/>
    <w:rsid w:val="00B80C23"/>
    <w:rsid w:val="00B818E1"/>
    <w:rsid w:val="00B8244E"/>
    <w:rsid w:val="00B8359C"/>
    <w:rsid w:val="00B83869"/>
    <w:rsid w:val="00B83F2B"/>
    <w:rsid w:val="00B843D4"/>
    <w:rsid w:val="00B846A8"/>
    <w:rsid w:val="00B846CD"/>
    <w:rsid w:val="00B85A18"/>
    <w:rsid w:val="00B85CEC"/>
    <w:rsid w:val="00B863CF"/>
    <w:rsid w:val="00B86D5A"/>
    <w:rsid w:val="00B87A3F"/>
    <w:rsid w:val="00B87FF0"/>
    <w:rsid w:val="00B90240"/>
    <w:rsid w:val="00B928D8"/>
    <w:rsid w:val="00B92CC9"/>
    <w:rsid w:val="00B932EE"/>
    <w:rsid w:val="00B93652"/>
    <w:rsid w:val="00B9374A"/>
    <w:rsid w:val="00B9415A"/>
    <w:rsid w:val="00B94D02"/>
    <w:rsid w:val="00B954BB"/>
    <w:rsid w:val="00B958E4"/>
    <w:rsid w:val="00B95B8A"/>
    <w:rsid w:val="00B95CC3"/>
    <w:rsid w:val="00B96339"/>
    <w:rsid w:val="00B96871"/>
    <w:rsid w:val="00B9715D"/>
    <w:rsid w:val="00B971B7"/>
    <w:rsid w:val="00B97353"/>
    <w:rsid w:val="00B97929"/>
    <w:rsid w:val="00BA0AF0"/>
    <w:rsid w:val="00BA1730"/>
    <w:rsid w:val="00BA1761"/>
    <w:rsid w:val="00BA22D5"/>
    <w:rsid w:val="00BA399E"/>
    <w:rsid w:val="00BA4583"/>
    <w:rsid w:val="00BA4B46"/>
    <w:rsid w:val="00BA57B3"/>
    <w:rsid w:val="00BA58A9"/>
    <w:rsid w:val="00BA5D2D"/>
    <w:rsid w:val="00BA6373"/>
    <w:rsid w:val="00BA65DE"/>
    <w:rsid w:val="00BA661C"/>
    <w:rsid w:val="00BA72FE"/>
    <w:rsid w:val="00BA75B4"/>
    <w:rsid w:val="00BA7B27"/>
    <w:rsid w:val="00BA7D07"/>
    <w:rsid w:val="00BA7FC5"/>
    <w:rsid w:val="00BB054F"/>
    <w:rsid w:val="00BB0638"/>
    <w:rsid w:val="00BB105B"/>
    <w:rsid w:val="00BB1129"/>
    <w:rsid w:val="00BB185C"/>
    <w:rsid w:val="00BB1AE4"/>
    <w:rsid w:val="00BB230E"/>
    <w:rsid w:val="00BB2F15"/>
    <w:rsid w:val="00BB3066"/>
    <w:rsid w:val="00BB3B70"/>
    <w:rsid w:val="00BB3CB6"/>
    <w:rsid w:val="00BB3F6D"/>
    <w:rsid w:val="00BB4385"/>
    <w:rsid w:val="00BB43DA"/>
    <w:rsid w:val="00BB443A"/>
    <w:rsid w:val="00BB4700"/>
    <w:rsid w:val="00BB4B43"/>
    <w:rsid w:val="00BB4FC9"/>
    <w:rsid w:val="00BB6B2C"/>
    <w:rsid w:val="00BB7688"/>
    <w:rsid w:val="00BB79D2"/>
    <w:rsid w:val="00BB7BBE"/>
    <w:rsid w:val="00BB7C6F"/>
    <w:rsid w:val="00BC0AFA"/>
    <w:rsid w:val="00BC0B76"/>
    <w:rsid w:val="00BC0F48"/>
    <w:rsid w:val="00BC260A"/>
    <w:rsid w:val="00BC2E25"/>
    <w:rsid w:val="00BC379E"/>
    <w:rsid w:val="00BC43E8"/>
    <w:rsid w:val="00BC4B0E"/>
    <w:rsid w:val="00BC64FF"/>
    <w:rsid w:val="00BC6A64"/>
    <w:rsid w:val="00BC7338"/>
    <w:rsid w:val="00BD0213"/>
    <w:rsid w:val="00BD0F45"/>
    <w:rsid w:val="00BD3928"/>
    <w:rsid w:val="00BD4358"/>
    <w:rsid w:val="00BD48B1"/>
    <w:rsid w:val="00BD4EEB"/>
    <w:rsid w:val="00BD5DB6"/>
    <w:rsid w:val="00BD5EE6"/>
    <w:rsid w:val="00BD72A7"/>
    <w:rsid w:val="00BD7BE6"/>
    <w:rsid w:val="00BD7C98"/>
    <w:rsid w:val="00BE09F6"/>
    <w:rsid w:val="00BE0C09"/>
    <w:rsid w:val="00BE132F"/>
    <w:rsid w:val="00BE1488"/>
    <w:rsid w:val="00BE1770"/>
    <w:rsid w:val="00BE1BA5"/>
    <w:rsid w:val="00BE2029"/>
    <w:rsid w:val="00BE2104"/>
    <w:rsid w:val="00BE240D"/>
    <w:rsid w:val="00BE27D3"/>
    <w:rsid w:val="00BE27FB"/>
    <w:rsid w:val="00BE2C76"/>
    <w:rsid w:val="00BE2E9F"/>
    <w:rsid w:val="00BE38B7"/>
    <w:rsid w:val="00BE39CB"/>
    <w:rsid w:val="00BE3BD7"/>
    <w:rsid w:val="00BE3EF6"/>
    <w:rsid w:val="00BE3F8A"/>
    <w:rsid w:val="00BE4016"/>
    <w:rsid w:val="00BE4D6A"/>
    <w:rsid w:val="00BE59C5"/>
    <w:rsid w:val="00BE6433"/>
    <w:rsid w:val="00BE6553"/>
    <w:rsid w:val="00BE6C14"/>
    <w:rsid w:val="00BE6E5E"/>
    <w:rsid w:val="00BE7007"/>
    <w:rsid w:val="00BF08D9"/>
    <w:rsid w:val="00BF0B61"/>
    <w:rsid w:val="00BF1E00"/>
    <w:rsid w:val="00BF1E48"/>
    <w:rsid w:val="00BF2B6C"/>
    <w:rsid w:val="00BF2FF7"/>
    <w:rsid w:val="00BF31E7"/>
    <w:rsid w:val="00BF321E"/>
    <w:rsid w:val="00BF4B21"/>
    <w:rsid w:val="00BF50D5"/>
    <w:rsid w:val="00BF5C94"/>
    <w:rsid w:val="00BF620E"/>
    <w:rsid w:val="00BF676E"/>
    <w:rsid w:val="00BF6A9C"/>
    <w:rsid w:val="00BF6D05"/>
    <w:rsid w:val="00BF70C8"/>
    <w:rsid w:val="00BF748B"/>
    <w:rsid w:val="00BF7532"/>
    <w:rsid w:val="00BF7762"/>
    <w:rsid w:val="00C00BBE"/>
    <w:rsid w:val="00C01205"/>
    <w:rsid w:val="00C01401"/>
    <w:rsid w:val="00C0148D"/>
    <w:rsid w:val="00C01F86"/>
    <w:rsid w:val="00C02142"/>
    <w:rsid w:val="00C022C4"/>
    <w:rsid w:val="00C02651"/>
    <w:rsid w:val="00C02A9D"/>
    <w:rsid w:val="00C02DDF"/>
    <w:rsid w:val="00C0347F"/>
    <w:rsid w:val="00C04233"/>
    <w:rsid w:val="00C066EC"/>
    <w:rsid w:val="00C0690E"/>
    <w:rsid w:val="00C069E8"/>
    <w:rsid w:val="00C06A8E"/>
    <w:rsid w:val="00C06FB8"/>
    <w:rsid w:val="00C0704A"/>
    <w:rsid w:val="00C076A2"/>
    <w:rsid w:val="00C078AD"/>
    <w:rsid w:val="00C0792B"/>
    <w:rsid w:val="00C07F8E"/>
    <w:rsid w:val="00C1055D"/>
    <w:rsid w:val="00C106B1"/>
    <w:rsid w:val="00C1103D"/>
    <w:rsid w:val="00C12362"/>
    <w:rsid w:val="00C123D5"/>
    <w:rsid w:val="00C12E38"/>
    <w:rsid w:val="00C13289"/>
    <w:rsid w:val="00C13830"/>
    <w:rsid w:val="00C13B5B"/>
    <w:rsid w:val="00C14CCD"/>
    <w:rsid w:val="00C14DDE"/>
    <w:rsid w:val="00C15076"/>
    <w:rsid w:val="00C1511C"/>
    <w:rsid w:val="00C15796"/>
    <w:rsid w:val="00C1586A"/>
    <w:rsid w:val="00C15A5B"/>
    <w:rsid w:val="00C15F91"/>
    <w:rsid w:val="00C165C7"/>
    <w:rsid w:val="00C16C46"/>
    <w:rsid w:val="00C16ED4"/>
    <w:rsid w:val="00C17214"/>
    <w:rsid w:val="00C200A8"/>
    <w:rsid w:val="00C20554"/>
    <w:rsid w:val="00C219D3"/>
    <w:rsid w:val="00C21D8C"/>
    <w:rsid w:val="00C21F0F"/>
    <w:rsid w:val="00C220C1"/>
    <w:rsid w:val="00C2266C"/>
    <w:rsid w:val="00C23413"/>
    <w:rsid w:val="00C236E0"/>
    <w:rsid w:val="00C23FC0"/>
    <w:rsid w:val="00C24099"/>
    <w:rsid w:val="00C260E2"/>
    <w:rsid w:val="00C264C8"/>
    <w:rsid w:val="00C2652F"/>
    <w:rsid w:val="00C300D6"/>
    <w:rsid w:val="00C30772"/>
    <w:rsid w:val="00C30B57"/>
    <w:rsid w:val="00C30D5D"/>
    <w:rsid w:val="00C31399"/>
    <w:rsid w:val="00C314C1"/>
    <w:rsid w:val="00C316FE"/>
    <w:rsid w:val="00C31C06"/>
    <w:rsid w:val="00C31EFF"/>
    <w:rsid w:val="00C3302B"/>
    <w:rsid w:val="00C33196"/>
    <w:rsid w:val="00C33CC0"/>
    <w:rsid w:val="00C3545F"/>
    <w:rsid w:val="00C3561A"/>
    <w:rsid w:val="00C3584E"/>
    <w:rsid w:val="00C36AB3"/>
    <w:rsid w:val="00C37779"/>
    <w:rsid w:val="00C40733"/>
    <w:rsid w:val="00C409CE"/>
    <w:rsid w:val="00C4104C"/>
    <w:rsid w:val="00C412CA"/>
    <w:rsid w:val="00C413FD"/>
    <w:rsid w:val="00C41B35"/>
    <w:rsid w:val="00C42217"/>
    <w:rsid w:val="00C4221E"/>
    <w:rsid w:val="00C42B84"/>
    <w:rsid w:val="00C43035"/>
    <w:rsid w:val="00C43121"/>
    <w:rsid w:val="00C4323E"/>
    <w:rsid w:val="00C4324A"/>
    <w:rsid w:val="00C43ABA"/>
    <w:rsid w:val="00C43EA5"/>
    <w:rsid w:val="00C44A82"/>
    <w:rsid w:val="00C4559B"/>
    <w:rsid w:val="00C45AFE"/>
    <w:rsid w:val="00C45B44"/>
    <w:rsid w:val="00C4685F"/>
    <w:rsid w:val="00C46C8E"/>
    <w:rsid w:val="00C47010"/>
    <w:rsid w:val="00C4757D"/>
    <w:rsid w:val="00C50308"/>
    <w:rsid w:val="00C503DC"/>
    <w:rsid w:val="00C503F4"/>
    <w:rsid w:val="00C5121F"/>
    <w:rsid w:val="00C51360"/>
    <w:rsid w:val="00C522C3"/>
    <w:rsid w:val="00C527C1"/>
    <w:rsid w:val="00C52865"/>
    <w:rsid w:val="00C52C5A"/>
    <w:rsid w:val="00C53CFA"/>
    <w:rsid w:val="00C54829"/>
    <w:rsid w:val="00C54D46"/>
    <w:rsid w:val="00C54E6D"/>
    <w:rsid w:val="00C5534A"/>
    <w:rsid w:val="00C55BF7"/>
    <w:rsid w:val="00C560C4"/>
    <w:rsid w:val="00C5697A"/>
    <w:rsid w:val="00C608E6"/>
    <w:rsid w:val="00C60A86"/>
    <w:rsid w:val="00C60D0D"/>
    <w:rsid w:val="00C60F1A"/>
    <w:rsid w:val="00C616FC"/>
    <w:rsid w:val="00C61994"/>
    <w:rsid w:val="00C61E53"/>
    <w:rsid w:val="00C62374"/>
    <w:rsid w:val="00C628B4"/>
    <w:rsid w:val="00C628BA"/>
    <w:rsid w:val="00C62DFE"/>
    <w:rsid w:val="00C62EE2"/>
    <w:rsid w:val="00C6348E"/>
    <w:rsid w:val="00C637B0"/>
    <w:rsid w:val="00C63978"/>
    <w:rsid w:val="00C63B9A"/>
    <w:rsid w:val="00C6470B"/>
    <w:rsid w:val="00C64A20"/>
    <w:rsid w:val="00C65952"/>
    <w:rsid w:val="00C65A29"/>
    <w:rsid w:val="00C65CD6"/>
    <w:rsid w:val="00C65DE4"/>
    <w:rsid w:val="00C66F61"/>
    <w:rsid w:val="00C6755E"/>
    <w:rsid w:val="00C67842"/>
    <w:rsid w:val="00C67FF2"/>
    <w:rsid w:val="00C70305"/>
    <w:rsid w:val="00C706E5"/>
    <w:rsid w:val="00C70701"/>
    <w:rsid w:val="00C70EA9"/>
    <w:rsid w:val="00C7103D"/>
    <w:rsid w:val="00C71501"/>
    <w:rsid w:val="00C726BB"/>
    <w:rsid w:val="00C72733"/>
    <w:rsid w:val="00C72A38"/>
    <w:rsid w:val="00C72B52"/>
    <w:rsid w:val="00C73670"/>
    <w:rsid w:val="00C73CA3"/>
    <w:rsid w:val="00C74D5B"/>
    <w:rsid w:val="00C75FFE"/>
    <w:rsid w:val="00C773A4"/>
    <w:rsid w:val="00C800F9"/>
    <w:rsid w:val="00C8038C"/>
    <w:rsid w:val="00C80B9C"/>
    <w:rsid w:val="00C81856"/>
    <w:rsid w:val="00C8193A"/>
    <w:rsid w:val="00C822CE"/>
    <w:rsid w:val="00C829F7"/>
    <w:rsid w:val="00C8400B"/>
    <w:rsid w:val="00C84114"/>
    <w:rsid w:val="00C84263"/>
    <w:rsid w:val="00C84617"/>
    <w:rsid w:val="00C860D5"/>
    <w:rsid w:val="00C879AE"/>
    <w:rsid w:val="00C87D38"/>
    <w:rsid w:val="00C904AE"/>
    <w:rsid w:val="00C90D63"/>
    <w:rsid w:val="00C91682"/>
    <w:rsid w:val="00C91AF4"/>
    <w:rsid w:val="00C92234"/>
    <w:rsid w:val="00C927CE"/>
    <w:rsid w:val="00C92CD2"/>
    <w:rsid w:val="00C94348"/>
    <w:rsid w:val="00C945EE"/>
    <w:rsid w:val="00C9493D"/>
    <w:rsid w:val="00C9534E"/>
    <w:rsid w:val="00C96114"/>
    <w:rsid w:val="00C968E5"/>
    <w:rsid w:val="00C96CF9"/>
    <w:rsid w:val="00C97F4F"/>
    <w:rsid w:val="00CA05B0"/>
    <w:rsid w:val="00CA222C"/>
    <w:rsid w:val="00CA3206"/>
    <w:rsid w:val="00CA340C"/>
    <w:rsid w:val="00CA35BB"/>
    <w:rsid w:val="00CA3A60"/>
    <w:rsid w:val="00CA3EFC"/>
    <w:rsid w:val="00CA53E3"/>
    <w:rsid w:val="00CA58F6"/>
    <w:rsid w:val="00CA66DF"/>
    <w:rsid w:val="00CA6E79"/>
    <w:rsid w:val="00CA6EE7"/>
    <w:rsid w:val="00CA728D"/>
    <w:rsid w:val="00CA78A5"/>
    <w:rsid w:val="00CA7E4E"/>
    <w:rsid w:val="00CB003B"/>
    <w:rsid w:val="00CB0143"/>
    <w:rsid w:val="00CB08AA"/>
    <w:rsid w:val="00CB0E07"/>
    <w:rsid w:val="00CB0E98"/>
    <w:rsid w:val="00CB32C6"/>
    <w:rsid w:val="00CB36FA"/>
    <w:rsid w:val="00CB391C"/>
    <w:rsid w:val="00CB4120"/>
    <w:rsid w:val="00CB4508"/>
    <w:rsid w:val="00CB565B"/>
    <w:rsid w:val="00CB5AA2"/>
    <w:rsid w:val="00CB61E0"/>
    <w:rsid w:val="00CB6D5F"/>
    <w:rsid w:val="00CB6E46"/>
    <w:rsid w:val="00CB736D"/>
    <w:rsid w:val="00CB7BF9"/>
    <w:rsid w:val="00CC0A69"/>
    <w:rsid w:val="00CC143E"/>
    <w:rsid w:val="00CC2CFE"/>
    <w:rsid w:val="00CC2F91"/>
    <w:rsid w:val="00CC3347"/>
    <w:rsid w:val="00CC488E"/>
    <w:rsid w:val="00CC4AE1"/>
    <w:rsid w:val="00CC4B29"/>
    <w:rsid w:val="00CC5030"/>
    <w:rsid w:val="00CC5F8F"/>
    <w:rsid w:val="00CC685C"/>
    <w:rsid w:val="00CC7203"/>
    <w:rsid w:val="00CC75B8"/>
    <w:rsid w:val="00CC7CEC"/>
    <w:rsid w:val="00CC7E70"/>
    <w:rsid w:val="00CD0161"/>
    <w:rsid w:val="00CD06F8"/>
    <w:rsid w:val="00CD0852"/>
    <w:rsid w:val="00CD0AB7"/>
    <w:rsid w:val="00CD0B08"/>
    <w:rsid w:val="00CD0D20"/>
    <w:rsid w:val="00CD0E66"/>
    <w:rsid w:val="00CD0ECA"/>
    <w:rsid w:val="00CD121E"/>
    <w:rsid w:val="00CD14FC"/>
    <w:rsid w:val="00CD2397"/>
    <w:rsid w:val="00CD341C"/>
    <w:rsid w:val="00CD3601"/>
    <w:rsid w:val="00CD37A9"/>
    <w:rsid w:val="00CD3A54"/>
    <w:rsid w:val="00CD4C64"/>
    <w:rsid w:val="00CD4D3E"/>
    <w:rsid w:val="00CD558F"/>
    <w:rsid w:val="00CD65EE"/>
    <w:rsid w:val="00CD6733"/>
    <w:rsid w:val="00CD6E2D"/>
    <w:rsid w:val="00CE0119"/>
    <w:rsid w:val="00CE06D8"/>
    <w:rsid w:val="00CE08FA"/>
    <w:rsid w:val="00CE100A"/>
    <w:rsid w:val="00CE12ED"/>
    <w:rsid w:val="00CE13C3"/>
    <w:rsid w:val="00CE1B14"/>
    <w:rsid w:val="00CE1DB6"/>
    <w:rsid w:val="00CE2BF5"/>
    <w:rsid w:val="00CE3440"/>
    <w:rsid w:val="00CE3500"/>
    <w:rsid w:val="00CE4390"/>
    <w:rsid w:val="00CE51BD"/>
    <w:rsid w:val="00CE5404"/>
    <w:rsid w:val="00CE5887"/>
    <w:rsid w:val="00CE627B"/>
    <w:rsid w:val="00CE6F24"/>
    <w:rsid w:val="00CF0001"/>
    <w:rsid w:val="00CF04F1"/>
    <w:rsid w:val="00CF0C92"/>
    <w:rsid w:val="00CF174D"/>
    <w:rsid w:val="00CF1827"/>
    <w:rsid w:val="00CF2312"/>
    <w:rsid w:val="00CF2BAD"/>
    <w:rsid w:val="00CF34D5"/>
    <w:rsid w:val="00CF3A7D"/>
    <w:rsid w:val="00CF3E1A"/>
    <w:rsid w:val="00CF4D0D"/>
    <w:rsid w:val="00CF57D6"/>
    <w:rsid w:val="00CF6424"/>
    <w:rsid w:val="00CF7026"/>
    <w:rsid w:val="00CF74B5"/>
    <w:rsid w:val="00D00F43"/>
    <w:rsid w:val="00D01182"/>
    <w:rsid w:val="00D0160F"/>
    <w:rsid w:val="00D0274E"/>
    <w:rsid w:val="00D0363A"/>
    <w:rsid w:val="00D0455E"/>
    <w:rsid w:val="00D049B7"/>
    <w:rsid w:val="00D04AF6"/>
    <w:rsid w:val="00D0535B"/>
    <w:rsid w:val="00D057DA"/>
    <w:rsid w:val="00D05BAD"/>
    <w:rsid w:val="00D05F38"/>
    <w:rsid w:val="00D06103"/>
    <w:rsid w:val="00D0620A"/>
    <w:rsid w:val="00D066A9"/>
    <w:rsid w:val="00D06867"/>
    <w:rsid w:val="00D06A16"/>
    <w:rsid w:val="00D100B0"/>
    <w:rsid w:val="00D10129"/>
    <w:rsid w:val="00D106E8"/>
    <w:rsid w:val="00D10A50"/>
    <w:rsid w:val="00D11681"/>
    <w:rsid w:val="00D1188C"/>
    <w:rsid w:val="00D11F7C"/>
    <w:rsid w:val="00D123B7"/>
    <w:rsid w:val="00D12B7E"/>
    <w:rsid w:val="00D12CEA"/>
    <w:rsid w:val="00D1325D"/>
    <w:rsid w:val="00D13C71"/>
    <w:rsid w:val="00D144A1"/>
    <w:rsid w:val="00D150D6"/>
    <w:rsid w:val="00D15252"/>
    <w:rsid w:val="00D15A1F"/>
    <w:rsid w:val="00D15EA1"/>
    <w:rsid w:val="00D16C55"/>
    <w:rsid w:val="00D16C91"/>
    <w:rsid w:val="00D16FEA"/>
    <w:rsid w:val="00D172A7"/>
    <w:rsid w:val="00D17AE0"/>
    <w:rsid w:val="00D2022F"/>
    <w:rsid w:val="00D20339"/>
    <w:rsid w:val="00D212DB"/>
    <w:rsid w:val="00D21329"/>
    <w:rsid w:val="00D21D97"/>
    <w:rsid w:val="00D22D7B"/>
    <w:rsid w:val="00D22E0E"/>
    <w:rsid w:val="00D23654"/>
    <w:rsid w:val="00D237B0"/>
    <w:rsid w:val="00D2394D"/>
    <w:rsid w:val="00D23EE2"/>
    <w:rsid w:val="00D23F4E"/>
    <w:rsid w:val="00D2455F"/>
    <w:rsid w:val="00D24A16"/>
    <w:rsid w:val="00D24E8C"/>
    <w:rsid w:val="00D2525C"/>
    <w:rsid w:val="00D25B39"/>
    <w:rsid w:val="00D25C52"/>
    <w:rsid w:val="00D26C7F"/>
    <w:rsid w:val="00D2703F"/>
    <w:rsid w:val="00D27242"/>
    <w:rsid w:val="00D27335"/>
    <w:rsid w:val="00D27715"/>
    <w:rsid w:val="00D27E0D"/>
    <w:rsid w:val="00D300B5"/>
    <w:rsid w:val="00D30133"/>
    <w:rsid w:val="00D3088C"/>
    <w:rsid w:val="00D32F9B"/>
    <w:rsid w:val="00D3324A"/>
    <w:rsid w:val="00D34150"/>
    <w:rsid w:val="00D341BF"/>
    <w:rsid w:val="00D34984"/>
    <w:rsid w:val="00D34D7E"/>
    <w:rsid w:val="00D34FF7"/>
    <w:rsid w:val="00D35B91"/>
    <w:rsid w:val="00D365D7"/>
    <w:rsid w:val="00D36BA8"/>
    <w:rsid w:val="00D36DB5"/>
    <w:rsid w:val="00D37001"/>
    <w:rsid w:val="00D3764F"/>
    <w:rsid w:val="00D37965"/>
    <w:rsid w:val="00D40646"/>
    <w:rsid w:val="00D40E1B"/>
    <w:rsid w:val="00D414E1"/>
    <w:rsid w:val="00D41C40"/>
    <w:rsid w:val="00D4212D"/>
    <w:rsid w:val="00D42982"/>
    <w:rsid w:val="00D42E13"/>
    <w:rsid w:val="00D43210"/>
    <w:rsid w:val="00D4346E"/>
    <w:rsid w:val="00D45180"/>
    <w:rsid w:val="00D45D80"/>
    <w:rsid w:val="00D46132"/>
    <w:rsid w:val="00D463D8"/>
    <w:rsid w:val="00D463DA"/>
    <w:rsid w:val="00D46460"/>
    <w:rsid w:val="00D466CB"/>
    <w:rsid w:val="00D46C3E"/>
    <w:rsid w:val="00D46D60"/>
    <w:rsid w:val="00D47256"/>
    <w:rsid w:val="00D47B2E"/>
    <w:rsid w:val="00D47EF4"/>
    <w:rsid w:val="00D514FC"/>
    <w:rsid w:val="00D525AC"/>
    <w:rsid w:val="00D52696"/>
    <w:rsid w:val="00D5287F"/>
    <w:rsid w:val="00D52EA3"/>
    <w:rsid w:val="00D52EFF"/>
    <w:rsid w:val="00D53249"/>
    <w:rsid w:val="00D532A2"/>
    <w:rsid w:val="00D53825"/>
    <w:rsid w:val="00D53A25"/>
    <w:rsid w:val="00D53FBB"/>
    <w:rsid w:val="00D5429C"/>
    <w:rsid w:val="00D54641"/>
    <w:rsid w:val="00D5485E"/>
    <w:rsid w:val="00D548D6"/>
    <w:rsid w:val="00D55C0F"/>
    <w:rsid w:val="00D560D2"/>
    <w:rsid w:val="00D565D9"/>
    <w:rsid w:val="00D566B2"/>
    <w:rsid w:val="00D568F6"/>
    <w:rsid w:val="00D579B5"/>
    <w:rsid w:val="00D606B9"/>
    <w:rsid w:val="00D608B9"/>
    <w:rsid w:val="00D6143E"/>
    <w:rsid w:val="00D61442"/>
    <w:rsid w:val="00D61593"/>
    <w:rsid w:val="00D61666"/>
    <w:rsid w:val="00D620A2"/>
    <w:rsid w:val="00D62F58"/>
    <w:rsid w:val="00D63282"/>
    <w:rsid w:val="00D635C9"/>
    <w:rsid w:val="00D63D39"/>
    <w:rsid w:val="00D64A01"/>
    <w:rsid w:val="00D65101"/>
    <w:rsid w:val="00D65666"/>
    <w:rsid w:val="00D65EC7"/>
    <w:rsid w:val="00D664F3"/>
    <w:rsid w:val="00D6718B"/>
    <w:rsid w:val="00D673C5"/>
    <w:rsid w:val="00D67A9C"/>
    <w:rsid w:val="00D70294"/>
    <w:rsid w:val="00D711C5"/>
    <w:rsid w:val="00D7139D"/>
    <w:rsid w:val="00D71DE3"/>
    <w:rsid w:val="00D723A4"/>
    <w:rsid w:val="00D73BB0"/>
    <w:rsid w:val="00D73E89"/>
    <w:rsid w:val="00D7404D"/>
    <w:rsid w:val="00D75667"/>
    <w:rsid w:val="00D7599F"/>
    <w:rsid w:val="00D76233"/>
    <w:rsid w:val="00D76ECB"/>
    <w:rsid w:val="00D8127C"/>
    <w:rsid w:val="00D8189A"/>
    <w:rsid w:val="00D81D84"/>
    <w:rsid w:val="00D83180"/>
    <w:rsid w:val="00D83549"/>
    <w:rsid w:val="00D84E56"/>
    <w:rsid w:val="00D8559A"/>
    <w:rsid w:val="00D86879"/>
    <w:rsid w:val="00D86C5C"/>
    <w:rsid w:val="00D873A7"/>
    <w:rsid w:val="00D87AC7"/>
    <w:rsid w:val="00D91892"/>
    <w:rsid w:val="00D91E77"/>
    <w:rsid w:val="00D93221"/>
    <w:rsid w:val="00D93CB8"/>
    <w:rsid w:val="00D9400C"/>
    <w:rsid w:val="00D95761"/>
    <w:rsid w:val="00D968FD"/>
    <w:rsid w:val="00D970D1"/>
    <w:rsid w:val="00D9751B"/>
    <w:rsid w:val="00D977BF"/>
    <w:rsid w:val="00DA0856"/>
    <w:rsid w:val="00DA0C09"/>
    <w:rsid w:val="00DA0F36"/>
    <w:rsid w:val="00DA1545"/>
    <w:rsid w:val="00DA1B11"/>
    <w:rsid w:val="00DA1C7E"/>
    <w:rsid w:val="00DA2F98"/>
    <w:rsid w:val="00DA3518"/>
    <w:rsid w:val="00DA3970"/>
    <w:rsid w:val="00DA43E5"/>
    <w:rsid w:val="00DA4478"/>
    <w:rsid w:val="00DA54DB"/>
    <w:rsid w:val="00DA55A7"/>
    <w:rsid w:val="00DA6162"/>
    <w:rsid w:val="00DA74E4"/>
    <w:rsid w:val="00DA79B0"/>
    <w:rsid w:val="00DA7B32"/>
    <w:rsid w:val="00DA7C88"/>
    <w:rsid w:val="00DB0680"/>
    <w:rsid w:val="00DB0746"/>
    <w:rsid w:val="00DB0A1A"/>
    <w:rsid w:val="00DB1EC2"/>
    <w:rsid w:val="00DB231B"/>
    <w:rsid w:val="00DB304E"/>
    <w:rsid w:val="00DB391A"/>
    <w:rsid w:val="00DB4387"/>
    <w:rsid w:val="00DB4E0C"/>
    <w:rsid w:val="00DB550A"/>
    <w:rsid w:val="00DB5C9B"/>
    <w:rsid w:val="00DB630A"/>
    <w:rsid w:val="00DB676C"/>
    <w:rsid w:val="00DB6C5F"/>
    <w:rsid w:val="00DB6D29"/>
    <w:rsid w:val="00DB6F73"/>
    <w:rsid w:val="00DB707B"/>
    <w:rsid w:val="00DB7138"/>
    <w:rsid w:val="00DB7FDC"/>
    <w:rsid w:val="00DC1067"/>
    <w:rsid w:val="00DC1245"/>
    <w:rsid w:val="00DC136C"/>
    <w:rsid w:val="00DC1701"/>
    <w:rsid w:val="00DC24B2"/>
    <w:rsid w:val="00DC24D8"/>
    <w:rsid w:val="00DC2DC8"/>
    <w:rsid w:val="00DC3399"/>
    <w:rsid w:val="00DC3702"/>
    <w:rsid w:val="00DC3BBB"/>
    <w:rsid w:val="00DC3E79"/>
    <w:rsid w:val="00DC40D4"/>
    <w:rsid w:val="00DC41B2"/>
    <w:rsid w:val="00DC5313"/>
    <w:rsid w:val="00DC5413"/>
    <w:rsid w:val="00DC6C4C"/>
    <w:rsid w:val="00DC6DE4"/>
    <w:rsid w:val="00DC70C7"/>
    <w:rsid w:val="00DC7876"/>
    <w:rsid w:val="00DC7B02"/>
    <w:rsid w:val="00DC7D04"/>
    <w:rsid w:val="00DD012C"/>
    <w:rsid w:val="00DD028F"/>
    <w:rsid w:val="00DD07DB"/>
    <w:rsid w:val="00DD2459"/>
    <w:rsid w:val="00DD2935"/>
    <w:rsid w:val="00DD324E"/>
    <w:rsid w:val="00DD3409"/>
    <w:rsid w:val="00DD3A88"/>
    <w:rsid w:val="00DD3F51"/>
    <w:rsid w:val="00DD3FE1"/>
    <w:rsid w:val="00DD56D7"/>
    <w:rsid w:val="00DD5AD4"/>
    <w:rsid w:val="00DD63F7"/>
    <w:rsid w:val="00DD658E"/>
    <w:rsid w:val="00DD6AA7"/>
    <w:rsid w:val="00DD6D29"/>
    <w:rsid w:val="00DD7835"/>
    <w:rsid w:val="00DE0D73"/>
    <w:rsid w:val="00DE1CA5"/>
    <w:rsid w:val="00DE1DAE"/>
    <w:rsid w:val="00DE201F"/>
    <w:rsid w:val="00DE2435"/>
    <w:rsid w:val="00DE25C6"/>
    <w:rsid w:val="00DE2F73"/>
    <w:rsid w:val="00DE3B69"/>
    <w:rsid w:val="00DE3FB7"/>
    <w:rsid w:val="00DE4AF8"/>
    <w:rsid w:val="00DE5AF9"/>
    <w:rsid w:val="00DE6B89"/>
    <w:rsid w:val="00DE70EB"/>
    <w:rsid w:val="00DE7E1D"/>
    <w:rsid w:val="00DF01C8"/>
    <w:rsid w:val="00DF120A"/>
    <w:rsid w:val="00DF12C2"/>
    <w:rsid w:val="00DF1508"/>
    <w:rsid w:val="00DF191E"/>
    <w:rsid w:val="00DF1D6E"/>
    <w:rsid w:val="00DF240D"/>
    <w:rsid w:val="00DF268C"/>
    <w:rsid w:val="00DF2774"/>
    <w:rsid w:val="00DF27E8"/>
    <w:rsid w:val="00DF2CBA"/>
    <w:rsid w:val="00DF2F22"/>
    <w:rsid w:val="00DF32DF"/>
    <w:rsid w:val="00DF419B"/>
    <w:rsid w:val="00DF457B"/>
    <w:rsid w:val="00DF563B"/>
    <w:rsid w:val="00DF576E"/>
    <w:rsid w:val="00DF5980"/>
    <w:rsid w:val="00DF6CB4"/>
    <w:rsid w:val="00DF6FC6"/>
    <w:rsid w:val="00DF736F"/>
    <w:rsid w:val="00E005B7"/>
    <w:rsid w:val="00E007B4"/>
    <w:rsid w:val="00E0082E"/>
    <w:rsid w:val="00E01F7C"/>
    <w:rsid w:val="00E02037"/>
    <w:rsid w:val="00E026BD"/>
    <w:rsid w:val="00E0297C"/>
    <w:rsid w:val="00E03C69"/>
    <w:rsid w:val="00E03E15"/>
    <w:rsid w:val="00E04197"/>
    <w:rsid w:val="00E0470A"/>
    <w:rsid w:val="00E047F6"/>
    <w:rsid w:val="00E0486F"/>
    <w:rsid w:val="00E04E5A"/>
    <w:rsid w:val="00E05AD8"/>
    <w:rsid w:val="00E0615B"/>
    <w:rsid w:val="00E06306"/>
    <w:rsid w:val="00E0647B"/>
    <w:rsid w:val="00E070ED"/>
    <w:rsid w:val="00E10A72"/>
    <w:rsid w:val="00E11F31"/>
    <w:rsid w:val="00E128B8"/>
    <w:rsid w:val="00E12FCA"/>
    <w:rsid w:val="00E13049"/>
    <w:rsid w:val="00E130C9"/>
    <w:rsid w:val="00E13570"/>
    <w:rsid w:val="00E13626"/>
    <w:rsid w:val="00E13D5E"/>
    <w:rsid w:val="00E13D77"/>
    <w:rsid w:val="00E144DD"/>
    <w:rsid w:val="00E14941"/>
    <w:rsid w:val="00E14BAA"/>
    <w:rsid w:val="00E14EA0"/>
    <w:rsid w:val="00E158D2"/>
    <w:rsid w:val="00E15FD8"/>
    <w:rsid w:val="00E163B2"/>
    <w:rsid w:val="00E16C60"/>
    <w:rsid w:val="00E172DA"/>
    <w:rsid w:val="00E17659"/>
    <w:rsid w:val="00E17729"/>
    <w:rsid w:val="00E17747"/>
    <w:rsid w:val="00E204BF"/>
    <w:rsid w:val="00E21190"/>
    <w:rsid w:val="00E2125B"/>
    <w:rsid w:val="00E21705"/>
    <w:rsid w:val="00E2323A"/>
    <w:rsid w:val="00E235A9"/>
    <w:rsid w:val="00E2366A"/>
    <w:rsid w:val="00E23A24"/>
    <w:rsid w:val="00E23CAB"/>
    <w:rsid w:val="00E243E5"/>
    <w:rsid w:val="00E246B0"/>
    <w:rsid w:val="00E250CF"/>
    <w:rsid w:val="00E2532A"/>
    <w:rsid w:val="00E25FD3"/>
    <w:rsid w:val="00E263B3"/>
    <w:rsid w:val="00E26601"/>
    <w:rsid w:val="00E277A0"/>
    <w:rsid w:val="00E27BD9"/>
    <w:rsid w:val="00E27E72"/>
    <w:rsid w:val="00E30909"/>
    <w:rsid w:val="00E30976"/>
    <w:rsid w:val="00E30DC9"/>
    <w:rsid w:val="00E31BA1"/>
    <w:rsid w:val="00E31F4F"/>
    <w:rsid w:val="00E33DDF"/>
    <w:rsid w:val="00E34224"/>
    <w:rsid w:val="00E34CE5"/>
    <w:rsid w:val="00E34E76"/>
    <w:rsid w:val="00E34F5C"/>
    <w:rsid w:val="00E35215"/>
    <w:rsid w:val="00E35675"/>
    <w:rsid w:val="00E3660B"/>
    <w:rsid w:val="00E3698A"/>
    <w:rsid w:val="00E36DC1"/>
    <w:rsid w:val="00E404DB"/>
    <w:rsid w:val="00E40F78"/>
    <w:rsid w:val="00E411D6"/>
    <w:rsid w:val="00E41721"/>
    <w:rsid w:val="00E418AE"/>
    <w:rsid w:val="00E41B2D"/>
    <w:rsid w:val="00E41BD8"/>
    <w:rsid w:val="00E42A59"/>
    <w:rsid w:val="00E42B85"/>
    <w:rsid w:val="00E42DF1"/>
    <w:rsid w:val="00E43334"/>
    <w:rsid w:val="00E4436A"/>
    <w:rsid w:val="00E45492"/>
    <w:rsid w:val="00E46DA9"/>
    <w:rsid w:val="00E46F6B"/>
    <w:rsid w:val="00E471A1"/>
    <w:rsid w:val="00E473B3"/>
    <w:rsid w:val="00E47846"/>
    <w:rsid w:val="00E50860"/>
    <w:rsid w:val="00E511F1"/>
    <w:rsid w:val="00E5151C"/>
    <w:rsid w:val="00E5158D"/>
    <w:rsid w:val="00E51B9E"/>
    <w:rsid w:val="00E521A8"/>
    <w:rsid w:val="00E529F2"/>
    <w:rsid w:val="00E52D5C"/>
    <w:rsid w:val="00E52DD0"/>
    <w:rsid w:val="00E53194"/>
    <w:rsid w:val="00E533E8"/>
    <w:rsid w:val="00E539D4"/>
    <w:rsid w:val="00E5449C"/>
    <w:rsid w:val="00E54CA1"/>
    <w:rsid w:val="00E55696"/>
    <w:rsid w:val="00E5604F"/>
    <w:rsid w:val="00E5605F"/>
    <w:rsid w:val="00E562CA"/>
    <w:rsid w:val="00E569CF"/>
    <w:rsid w:val="00E56DB2"/>
    <w:rsid w:val="00E5791C"/>
    <w:rsid w:val="00E57B5F"/>
    <w:rsid w:val="00E60831"/>
    <w:rsid w:val="00E60A71"/>
    <w:rsid w:val="00E617C6"/>
    <w:rsid w:val="00E61A76"/>
    <w:rsid w:val="00E627CA"/>
    <w:rsid w:val="00E62AC8"/>
    <w:rsid w:val="00E62B5F"/>
    <w:rsid w:val="00E62C40"/>
    <w:rsid w:val="00E62F26"/>
    <w:rsid w:val="00E633CD"/>
    <w:rsid w:val="00E6363A"/>
    <w:rsid w:val="00E636CB"/>
    <w:rsid w:val="00E636E5"/>
    <w:rsid w:val="00E6374F"/>
    <w:rsid w:val="00E6380D"/>
    <w:rsid w:val="00E6395F"/>
    <w:rsid w:val="00E65295"/>
    <w:rsid w:val="00E6563E"/>
    <w:rsid w:val="00E663B9"/>
    <w:rsid w:val="00E66446"/>
    <w:rsid w:val="00E66C00"/>
    <w:rsid w:val="00E66FAE"/>
    <w:rsid w:val="00E67CCE"/>
    <w:rsid w:val="00E67F18"/>
    <w:rsid w:val="00E703EF"/>
    <w:rsid w:val="00E70477"/>
    <w:rsid w:val="00E70A7B"/>
    <w:rsid w:val="00E7200F"/>
    <w:rsid w:val="00E72D84"/>
    <w:rsid w:val="00E72DFB"/>
    <w:rsid w:val="00E73057"/>
    <w:rsid w:val="00E730C5"/>
    <w:rsid w:val="00E7371B"/>
    <w:rsid w:val="00E75366"/>
    <w:rsid w:val="00E7540F"/>
    <w:rsid w:val="00E75E76"/>
    <w:rsid w:val="00E76655"/>
    <w:rsid w:val="00E7672B"/>
    <w:rsid w:val="00E80987"/>
    <w:rsid w:val="00E80B2B"/>
    <w:rsid w:val="00E814FA"/>
    <w:rsid w:val="00E81A29"/>
    <w:rsid w:val="00E81A5E"/>
    <w:rsid w:val="00E81DF6"/>
    <w:rsid w:val="00E823AB"/>
    <w:rsid w:val="00E8361B"/>
    <w:rsid w:val="00E84199"/>
    <w:rsid w:val="00E849C5"/>
    <w:rsid w:val="00E85EDE"/>
    <w:rsid w:val="00E86A2A"/>
    <w:rsid w:val="00E874A3"/>
    <w:rsid w:val="00E87B7B"/>
    <w:rsid w:val="00E87EDA"/>
    <w:rsid w:val="00E90BAA"/>
    <w:rsid w:val="00E90C91"/>
    <w:rsid w:val="00E90D0C"/>
    <w:rsid w:val="00E912B3"/>
    <w:rsid w:val="00E91CF4"/>
    <w:rsid w:val="00E921A1"/>
    <w:rsid w:val="00E9288B"/>
    <w:rsid w:val="00E92ADA"/>
    <w:rsid w:val="00E93F1B"/>
    <w:rsid w:val="00E93FF8"/>
    <w:rsid w:val="00E94458"/>
    <w:rsid w:val="00E94705"/>
    <w:rsid w:val="00E94AD0"/>
    <w:rsid w:val="00E95477"/>
    <w:rsid w:val="00E9779A"/>
    <w:rsid w:val="00E978C1"/>
    <w:rsid w:val="00E97DBA"/>
    <w:rsid w:val="00E97E77"/>
    <w:rsid w:val="00EA00D7"/>
    <w:rsid w:val="00EA02AB"/>
    <w:rsid w:val="00EA07C7"/>
    <w:rsid w:val="00EA0D10"/>
    <w:rsid w:val="00EA2833"/>
    <w:rsid w:val="00EA31A9"/>
    <w:rsid w:val="00EA36DE"/>
    <w:rsid w:val="00EA386F"/>
    <w:rsid w:val="00EA41A6"/>
    <w:rsid w:val="00EA4E51"/>
    <w:rsid w:val="00EA50C1"/>
    <w:rsid w:val="00EA5BD0"/>
    <w:rsid w:val="00EA675A"/>
    <w:rsid w:val="00EA7783"/>
    <w:rsid w:val="00EA796C"/>
    <w:rsid w:val="00EA7986"/>
    <w:rsid w:val="00EB0184"/>
    <w:rsid w:val="00EB0747"/>
    <w:rsid w:val="00EB07FB"/>
    <w:rsid w:val="00EB09A8"/>
    <w:rsid w:val="00EB0DC4"/>
    <w:rsid w:val="00EB18E5"/>
    <w:rsid w:val="00EB2558"/>
    <w:rsid w:val="00EB256F"/>
    <w:rsid w:val="00EB2D42"/>
    <w:rsid w:val="00EB3345"/>
    <w:rsid w:val="00EB3A13"/>
    <w:rsid w:val="00EB4069"/>
    <w:rsid w:val="00EB4348"/>
    <w:rsid w:val="00EB566A"/>
    <w:rsid w:val="00EB6094"/>
    <w:rsid w:val="00EB711D"/>
    <w:rsid w:val="00EB7560"/>
    <w:rsid w:val="00EB7914"/>
    <w:rsid w:val="00EC054D"/>
    <w:rsid w:val="00EC1648"/>
    <w:rsid w:val="00EC1F0C"/>
    <w:rsid w:val="00EC2D9B"/>
    <w:rsid w:val="00EC3441"/>
    <w:rsid w:val="00EC37CB"/>
    <w:rsid w:val="00EC41D5"/>
    <w:rsid w:val="00EC431B"/>
    <w:rsid w:val="00EC49EA"/>
    <w:rsid w:val="00EC5A15"/>
    <w:rsid w:val="00EC608C"/>
    <w:rsid w:val="00EC67CE"/>
    <w:rsid w:val="00EC684A"/>
    <w:rsid w:val="00EC7461"/>
    <w:rsid w:val="00EC74F9"/>
    <w:rsid w:val="00ED00BC"/>
    <w:rsid w:val="00ED0813"/>
    <w:rsid w:val="00ED096A"/>
    <w:rsid w:val="00ED13AF"/>
    <w:rsid w:val="00ED1BD6"/>
    <w:rsid w:val="00ED31B8"/>
    <w:rsid w:val="00ED3855"/>
    <w:rsid w:val="00ED46FD"/>
    <w:rsid w:val="00ED4A55"/>
    <w:rsid w:val="00ED505F"/>
    <w:rsid w:val="00ED608F"/>
    <w:rsid w:val="00ED6490"/>
    <w:rsid w:val="00ED6AF7"/>
    <w:rsid w:val="00ED6B01"/>
    <w:rsid w:val="00ED6FDF"/>
    <w:rsid w:val="00ED73B2"/>
    <w:rsid w:val="00ED75F9"/>
    <w:rsid w:val="00ED77D0"/>
    <w:rsid w:val="00ED7F67"/>
    <w:rsid w:val="00EE0315"/>
    <w:rsid w:val="00EE047A"/>
    <w:rsid w:val="00EE0C5E"/>
    <w:rsid w:val="00EE1AD9"/>
    <w:rsid w:val="00EE20E3"/>
    <w:rsid w:val="00EE2123"/>
    <w:rsid w:val="00EE2DBE"/>
    <w:rsid w:val="00EE2E7B"/>
    <w:rsid w:val="00EE2EF5"/>
    <w:rsid w:val="00EE3960"/>
    <w:rsid w:val="00EE3CD2"/>
    <w:rsid w:val="00EE3E49"/>
    <w:rsid w:val="00EE5D63"/>
    <w:rsid w:val="00EE5F76"/>
    <w:rsid w:val="00EE6D60"/>
    <w:rsid w:val="00EE6EA8"/>
    <w:rsid w:val="00EE7656"/>
    <w:rsid w:val="00EF0D5D"/>
    <w:rsid w:val="00EF1453"/>
    <w:rsid w:val="00EF1AA9"/>
    <w:rsid w:val="00EF1D6D"/>
    <w:rsid w:val="00EF1FAD"/>
    <w:rsid w:val="00EF25C9"/>
    <w:rsid w:val="00EF483F"/>
    <w:rsid w:val="00EF50EE"/>
    <w:rsid w:val="00EF5250"/>
    <w:rsid w:val="00EF5525"/>
    <w:rsid w:val="00EF56DE"/>
    <w:rsid w:val="00EF5837"/>
    <w:rsid w:val="00EF5DAF"/>
    <w:rsid w:val="00EF7782"/>
    <w:rsid w:val="00F00290"/>
    <w:rsid w:val="00F004D2"/>
    <w:rsid w:val="00F004D8"/>
    <w:rsid w:val="00F00FC1"/>
    <w:rsid w:val="00F014CE"/>
    <w:rsid w:val="00F02842"/>
    <w:rsid w:val="00F029CD"/>
    <w:rsid w:val="00F0317D"/>
    <w:rsid w:val="00F03654"/>
    <w:rsid w:val="00F05F57"/>
    <w:rsid w:val="00F05F84"/>
    <w:rsid w:val="00F0698F"/>
    <w:rsid w:val="00F06B5F"/>
    <w:rsid w:val="00F06C53"/>
    <w:rsid w:val="00F0768B"/>
    <w:rsid w:val="00F07B57"/>
    <w:rsid w:val="00F07E04"/>
    <w:rsid w:val="00F10770"/>
    <w:rsid w:val="00F10D3A"/>
    <w:rsid w:val="00F12C56"/>
    <w:rsid w:val="00F1332A"/>
    <w:rsid w:val="00F13BE7"/>
    <w:rsid w:val="00F13FF4"/>
    <w:rsid w:val="00F143DC"/>
    <w:rsid w:val="00F144B0"/>
    <w:rsid w:val="00F14929"/>
    <w:rsid w:val="00F14D25"/>
    <w:rsid w:val="00F15234"/>
    <w:rsid w:val="00F1557B"/>
    <w:rsid w:val="00F15988"/>
    <w:rsid w:val="00F15A92"/>
    <w:rsid w:val="00F16E9A"/>
    <w:rsid w:val="00F20464"/>
    <w:rsid w:val="00F2134D"/>
    <w:rsid w:val="00F23052"/>
    <w:rsid w:val="00F230A8"/>
    <w:rsid w:val="00F241B9"/>
    <w:rsid w:val="00F24AE3"/>
    <w:rsid w:val="00F25069"/>
    <w:rsid w:val="00F25125"/>
    <w:rsid w:val="00F2513F"/>
    <w:rsid w:val="00F25C08"/>
    <w:rsid w:val="00F26FE3"/>
    <w:rsid w:val="00F270AE"/>
    <w:rsid w:val="00F2755D"/>
    <w:rsid w:val="00F277D9"/>
    <w:rsid w:val="00F27B1A"/>
    <w:rsid w:val="00F30191"/>
    <w:rsid w:val="00F3029E"/>
    <w:rsid w:val="00F3052F"/>
    <w:rsid w:val="00F30D95"/>
    <w:rsid w:val="00F3222E"/>
    <w:rsid w:val="00F345A0"/>
    <w:rsid w:val="00F34BD6"/>
    <w:rsid w:val="00F35B6F"/>
    <w:rsid w:val="00F35CF6"/>
    <w:rsid w:val="00F35D1D"/>
    <w:rsid w:val="00F36A12"/>
    <w:rsid w:val="00F37776"/>
    <w:rsid w:val="00F378FF"/>
    <w:rsid w:val="00F37A82"/>
    <w:rsid w:val="00F40182"/>
    <w:rsid w:val="00F40DE4"/>
    <w:rsid w:val="00F41558"/>
    <w:rsid w:val="00F41C76"/>
    <w:rsid w:val="00F425CA"/>
    <w:rsid w:val="00F42CEB"/>
    <w:rsid w:val="00F43270"/>
    <w:rsid w:val="00F433C6"/>
    <w:rsid w:val="00F4341B"/>
    <w:rsid w:val="00F436DC"/>
    <w:rsid w:val="00F43F75"/>
    <w:rsid w:val="00F4541C"/>
    <w:rsid w:val="00F4545C"/>
    <w:rsid w:val="00F45C43"/>
    <w:rsid w:val="00F46A92"/>
    <w:rsid w:val="00F46EA2"/>
    <w:rsid w:val="00F47443"/>
    <w:rsid w:val="00F50D2C"/>
    <w:rsid w:val="00F51201"/>
    <w:rsid w:val="00F51A04"/>
    <w:rsid w:val="00F51CE7"/>
    <w:rsid w:val="00F51D97"/>
    <w:rsid w:val="00F523FB"/>
    <w:rsid w:val="00F52915"/>
    <w:rsid w:val="00F52A4B"/>
    <w:rsid w:val="00F52AEF"/>
    <w:rsid w:val="00F530E4"/>
    <w:rsid w:val="00F53263"/>
    <w:rsid w:val="00F536F6"/>
    <w:rsid w:val="00F53769"/>
    <w:rsid w:val="00F53B80"/>
    <w:rsid w:val="00F54131"/>
    <w:rsid w:val="00F54C56"/>
    <w:rsid w:val="00F559A0"/>
    <w:rsid w:val="00F55A40"/>
    <w:rsid w:val="00F55A94"/>
    <w:rsid w:val="00F56783"/>
    <w:rsid w:val="00F5706E"/>
    <w:rsid w:val="00F570C5"/>
    <w:rsid w:val="00F5738C"/>
    <w:rsid w:val="00F6047F"/>
    <w:rsid w:val="00F6056C"/>
    <w:rsid w:val="00F60901"/>
    <w:rsid w:val="00F61678"/>
    <w:rsid w:val="00F61BBA"/>
    <w:rsid w:val="00F61C7C"/>
    <w:rsid w:val="00F624C0"/>
    <w:rsid w:val="00F6281C"/>
    <w:rsid w:val="00F629AC"/>
    <w:rsid w:val="00F62E55"/>
    <w:rsid w:val="00F638CB"/>
    <w:rsid w:val="00F6427A"/>
    <w:rsid w:val="00F64C9B"/>
    <w:rsid w:val="00F650D1"/>
    <w:rsid w:val="00F65EF0"/>
    <w:rsid w:val="00F66558"/>
    <w:rsid w:val="00F6672A"/>
    <w:rsid w:val="00F668D5"/>
    <w:rsid w:val="00F67284"/>
    <w:rsid w:val="00F67F8E"/>
    <w:rsid w:val="00F70423"/>
    <w:rsid w:val="00F70A04"/>
    <w:rsid w:val="00F70CB1"/>
    <w:rsid w:val="00F70CDF"/>
    <w:rsid w:val="00F73184"/>
    <w:rsid w:val="00F73EF0"/>
    <w:rsid w:val="00F75251"/>
    <w:rsid w:val="00F75B37"/>
    <w:rsid w:val="00F75D84"/>
    <w:rsid w:val="00F75F09"/>
    <w:rsid w:val="00F7658B"/>
    <w:rsid w:val="00F76F72"/>
    <w:rsid w:val="00F77471"/>
    <w:rsid w:val="00F77F1F"/>
    <w:rsid w:val="00F807ED"/>
    <w:rsid w:val="00F80C15"/>
    <w:rsid w:val="00F810B2"/>
    <w:rsid w:val="00F82456"/>
    <w:rsid w:val="00F82C4D"/>
    <w:rsid w:val="00F83549"/>
    <w:rsid w:val="00F84125"/>
    <w:rsid w:val="00F84486"/>
    <w:rsid w:val="00F84E87"/>
    <w:rsid w:val="00F8555F"/>
    <w:rsid w:val="00F8635D"/>
    <w:rsid w:val="00F865B6"/>
    <w:rsid w:val="00F8712A"/>
    <w:rsid w:val="00F9133D"/>
    <w:rsid w:val="00F91F0D"/>
    <w:rsid w:val="00F92187"/>
    <w:rsid w:val="00F92221"/>
    <w:rsid w:val="00F9232E"/>
    <w:rsid w:val="00F92B5A"/>
    <w:rsid w:val="00F92C08"/>
    <w:rsid w:val="00F93190"/>
    <w:rsid w:val="00F9361E"/>
    <w:rsid w:val="00F936FE"/>
    <w:rsid w:val="00F93C09"/>
    <w:rsid w:val="00F953B1"/>
    <w:rsid w:val="00F9648E"/>
    <w:rsid w:val="00F970F1"/>
    <w:rsid w:val="00F971EA"/>
    <w:rsid w:val="00F975A6"/>
    <w:rsid w:val="00F977D5"/>
    <w:rsid w:val="00F97C4C"/>
    <w:rsid w:val="00F97E8B"/>
    <w:rsid w:val="00FA005A"/>
    <w:rsid w:val="00FA0253"/>
    <w:rsid w:val="00FA0EB4"/>
    <w:rsid w:val="00FA1694"/>
    <w:rsid w:val="00FA1BA1"/>
    <w:rsid w:val="00FA1FA5"/>
    <w:rsid w:val="00FA271B"/>
    <w:rsid w:val="00FA3269"/>
    <w:rsid w:val="00FA34E9"/>
    <w:rsid w:val="00FA4104"/>
    <w:rsid w:val="00FA4668"/>
    <w:rsid w:val="00FA4EDC"/>
    <w:rsid w:val="00FA4EF5"/>
    <w:rsid w:val="00FA6488"/>
    <w:rsid w:val="00FA7032"/>
    <w:rsid w:val="00FA76AC"/>
    <w:rsid w:val="00FB0182"/>
    <w:rsid w:val="00FB0A1C"/>
    <w:rsid w:val="00FB0AD9"/>
    <w:rsid w:val="00FB0B32"/>
    <w:rsid w:val="00FB1189"/>
    <w:rsid w:val="00FB1498"/>
    <w:rsid w:val="00FB1589"/>
    <w:rsid w:val="00FB1C4E"/>
    <w:rsid w:val="00FB3F89"/>
    <w:rsid w:val="00FB4457"/>
    <w:rsid w:val="00FB4D15"/>
    <w:rsid w:val="00FB5531"/>
    <w:rsid w:val="00FB6374"/>
    <w:rsid w:val="00FB789C"/>
    <w:rsid w:val="00FC0A1A"/>
    <w:rsid w:val="00FC0B02"/>
    <w:rsid w:val="00FC0BE2"/>
    <w:rsid w:val="00FC0D39"/>
    <w:rsid w:val="00FC1B89"/>
    <w:rsid w:val="00FC526F"/>
    <w:rsid w:val="00FC530B"/>
    <w:rsid w:val="00FC5321"/>
    <w:rsid w:val="00FC582F"/>
    <w:rsid w:val="00FC5AFB"/>
    <w:rsid w:val="00FC5B42"/>
    <w:rsid w:val="00FC62A3"/>
    <w:rsid w:val="00FC67EF"/>
    <w:rsid w:val="00FC74A3"/>
    <w:rsid w:val="00FC768E"/>
    <w:rsid w:val="00FC76BB"/>
    <w:rsid w:val="00FD00BE"/>
    <w:rsid w:val="00FD0A90"/>
    <w:rsid w:val="00FD0BF4"/>
    <w:rsid w:val="00FD14F3"/>
    <w:rsid w:val="00FD1FDF"/>
    <w:rsid w:val="00FD2BEC"/>
    <w:rsid w:val="00FD2DA9"/>
    <w:rsid w:val="00FD362C"/>
    <w:rsid w:val="00FD39ED"/>
    <w:rsid w:val="00FD3C78"/>
    <w:rsid w:val="00FD3E8F"/>
    <w:rsid w:val="00FD3FB4"/>
    <w:rsid w:val="00FD42E4"/>
    <w:rsid w:val="00FD4300"/>
    <w:rsid w:val="00FD56C0"/>
    <w:rsid w:val="00FD578E"/>
    <w:rsid w:val="00FD6685"/>
    <w:rsid w:val="00FD6C9C"/>
    <w:rsid w:val="00FD772F"/>
    <w:rsid w:val="00FD784E"/>
    <w:rsid w:val="00FE0D45"/>
    <w:rsid w:val="00FE0DD5"/>
    <w:rsid w:val="00FE1C11"/>
    <w:rsid w:val="00FE2C16"/>
    <w:rsid w:val="00FE32B9"/>
    <w:rsid w:val="00FE3A17"/>
    <w:rsid w:val="00FE4283"/>
    <w:rsid w:val="00FE4B4F"/>
    <w:rsid w:val="00FE4EC7"/>
    <w:rsid w:val="00FE573F"/>
    <w:rsid w:val="00FE58DD"/>
    <w:rsid w:val="00FE60CD"/>
    <w:rsid w:val="00FE61AB"/>
    <w:rsid w:val="00FE64FC"/>
    <w:rsid w:val="00FE6D80"/>
    <w:rsid w:val="00FE6E75"/>
    <w:rsid w:val="00FE7BCB"/>
    <w:rsid w:val="00FF0406"/>
    <w:rsid w:val="00FF09F8"/>
    <w:rsid w:val="00FF0D1D"/>
    <w:rsid w:val="00FF18FC"/>
    <w:rsid w:val="00FF1FB3"/>
    <w:rsid w:val="00FF29F3"/>
    <w:rsid w:val="00FF2F09"/>
    <w:rsid w:val="00FF2F3A"/>
    <w:rsid w:val="00FF3668"/>
    <w:rsid w:val="00FF3B6E"/>
    <w:rsid w:val="00FF4192"/>
    <w:rsid w:val="00FF5A28"/>
    <w:rsid w:val="00FF5B47"/>
    <w:rsid w:val="00FF5DA0"/>
    <w:rsid w:val="00FF5F66"/>
    <w:rsid w:val="00FF6029"/>
    <w:rsid w:val="00FF66CC"/>
    <w:rsid w:val="00FF7239"/>
    <w:rsid w:val="00FF7920"/>
    <w:rsid w:val="00FF7A94"/>
    <w:rsid w:val="00FF7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CD3708"/>
  <w15:docId w15:val="{6BA1264A-E944-403F-9E1A-B5069CCD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A33EF"/>
    <w:pPr>
      <w:jc w:val="both"/>
    </w:pPr>
    <w:rPr>
      <w:sz w:val="24"/>
    </w:rPr>
  </w:style>
  <w:style w:type="paragraph" w:styleId="Nadpis1">
    <w:name w:val="heading 1"/>
    <w:basedOn w:val="Normln"/>
    <w:next w:val="Normln"/>
    <w:link w:val="Nadpis1Char"/>
    <w:uiPriority w:val="9"/>
    <w:qFormat/>
    <w:rsid w:val="00112DF7"/>
    <w:pPr>
      <w:keepNext/>
      <w:keepLines/>
      <w:numPr>
        <w:numId w:val="1"/>
      </w:numPr>
      <w:spacing w:before="240" w:after="240"/>
      <w:ind w:left="357" w:hanging="357"/>
      <w:jc w:val="center"/>
      <w:outlineLvl w:val="0"/>
    </w:pPr>
    <w:rPr>
      <w:rFonts w:ascii="Calibri" w:eastAsiaTheme="majorEastAsia" w:hAnsi="Calibri" w:cstheme="majorBidi"/>
      <w:b/>
      <w:color w:val="000000" w:themeColor="text1"/>
      <w:sz w:val="28"/>
      <w:szCs w:val="32"/>
    </w:rPr>
  </w:style>
  <w:style w:type="paragraph" w:styleId="Nadpis2">
    <w:name w:val="heading 2"/>
    <w:basedOn w:val="Normln"/>
    <w:next w:val="Normln"/>
    <w:link w:val="Nadpis2Char"/>
    <w:uiPriority w:val="9"/>
    <w:unhideWhenUsed/>
    <w:qFormat/>
    <w:rsid w:val="00190E0F"/>
    <w:pPr>
      <w:keepNext/>
      <w:keepLines/>
      <w:numPr>
        <w:numId w:val="10"/>
      </w:numPr>
      <w:spacing w:before="120" w:after="120"/>
      <w:ind w:left="714" w:hanging="357"/>
      <w:outlineLvl w:val="1"/>
    </w:pPr>
    <w:rPr>
      <w:rFonts w:ascii="Calibri" w:eastAsiaTheme="majorEastAsia" w:hAnsi="Calibri" w:cstheme="majorBidi"/>
      <w:b/>
      <w:color w:val="000000" w:themeColor="text1"/>
      <w:szCs w:val="26"/>
    </w:rPr>
  </w:style>
  <w:style w:type="paragraph" w:styleId="Nadpis3">
    <w:name w:val="heading 3"/>
    <w:basedOn w:val="Normln"/>
    <w:next w:val="Normln"/>
    <w:link w:val="Nadpis3Char"/>
    <w:uiPriority w:val="9"/>
    <w:unhideWhenUsed/>
    <w:qFormat/>
    <w:rsid w:val="00AB6633"/>
    <w:pPr>
      <w:keepNext/>
      <w:keepLines/>
      <w:numPr>
        <w:numId w:val="26"/>
      </w:numPr>
      <w:tabs>
        <w:tab w:val="left" w:pos="425"/>
        <w:tab w:val="left" w:pos="567"/>
      </w:tabs>
      <w:ind w:left="0" w:firstLine="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A177E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A177E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A177E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A177E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A177E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665555"/>
    <w:pPr>
      <w:numPr>
        <w:ilvl w:val="8"/>
        <w:numId w:val="1"/>
      </w:numPr>
      <w:spacing w:before="240" w:after="60" w:line="240" w:lineRule="auto"/>
      <w:outlineLvl w:val="8"/>
    </w:pPr>
    <w:rPr>
      <w:rFonts w:ascii="Cambria" w:eastAsia="Times New Roman" w:hAnsi="Cambria"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rážky"/>
    <w:basedOn w:val="Normln"/>
    <w:link w:val="OdstavecseseznamemChar"/>
    <w:uiPriority w:val="34"/>
    <w:qFormat/>
    <w:rsid w:val="00F77F1F"/>
    <w:pPr>
      <w:ind w:left="720"/>
      <w:contextualSpacing/>
    </w:pPr>
  </w:style>
  <w:style w:type="character" w:customStyle="1" w:styleId="Nadpis9Char">
    <w:name w:val="Nadpis 9 Char"/>
    <w:basedOn w:val="Standardnpsmoodstavce"/>
    <w:link w:val="Nadpis9"/>
    <w:rsid w:val="00665555"/>
    <w:rPr>
      <w:rFonts w:ascii="Cambria" w:eastAsia="Times New Roman" w:hAnsi="Cambria" w:cs="Times New Roman"/>
      <w:sz w:val="24"/>
      <w:lang w:eastAsia="cs-CZ"/>
    </w:rPr>
  </w:style>
  <w:style w:type="paragraph" w:styleId="Zkladntextodsazen">
    <w:name w:val="Body Text Indent"/>
    <w:basedOn w:val="Normln"/>
    <w:link w:val="ZkladntextodsazenChar"/>
    <w:unhideWhenUsed/>
    <w:rsid w:val="00665555"/>
    <w:pPr>
      <w:spacing w:line="240" w:lineRule="auto"/>
      <w:ind w:left="283"/>
    </w:pPr>
    <w:rPr>
      <w:rFonts w:ascii="Arial" w:eastAsia="Times New Roman" w:hAnsi="Arial" w:cs="Times New Roman"/>
      <w:szCs w:val="24"/>
      <w:lang w:eastAsia="cs-CZ"/>
    </w:rPr>
  </w:style>
  <w:style w:type="character" w:customStyle="1" w:styleId="ZkladntextodsazenChar">
    <w:name w:val="Základní text odsazený Char"/>
    <w:basedOn w:val="Standardnpsmoodstavce"/>
    <w:link w:val="Zkladntextodsazen"/>
    <w:rsid w:val="00665555"/>
    <w:rPr>
      <w:rFonts w:ascii="Arial" w:eastAsia="Times New Roman" w:hAnsi="Arial" w:cs="Times New Roman"/>
      <w:sz w:val="24"/>
      <w:szCs w:val="24"/>
      <w:lang w:eastAsia="cs-CZ"/>
    </w:rPr>
  </w:style>
  <w:style w:type="paragraph" w:customStyle="1" w:styleId="Zkladn">
    <w:name w:val="Základní"/>
    <w:basedOn w:val="Normln"/>
    <w:rsid w:val="00665555"/>
    <w:pPr>
      <w:spacing w:before="120" w:after="0" w:line="240" w:lineRule="auto"/>
    </w:pPr>
    <w:rPr>
      <w:rFonts w:ascii="Arial" w:eastAsia="Times New Roman" w:hAnsi="Arial" w:cs="Times New Roman"/>
      <w:szCs w:val="24"/>
    </w:rPr>
  </w:style>
  <w:style w:type="paragraph" w:styleId="Textpoznpodarou">
    <w:name w:val="footnote text"/>
    <w:aliases w:val="Text poznámky pod čiarou 007,Fußnotentextf,Geneva 9,Font: Geneva 9,Boston 10,f,Schriftart: 9 pt,Schriftart: 10 pt,Schriftart: 8 pt,pozn. pod čarou,Podrozdział,Podrozdzia3,Char Char Char Char"/>
    <w:basedOn w:val="Normln"/>
    <w:link w:val="TextpoznpodarouChar"/>
    <w:unhideWhenUsed/>
    <w:rsid w:val="0077328C"/>
    <w:pPr>
      <w:spacing w:after="0" w:line="240" w:lineRule="auto"/>
    </w:pPr>
    <w:rPr>
      <w:rFonts w:ascii="Arial" w:eastAsia="Times New Roman" w:hAnsi="Arial" w:cs="Times New Roman"/>
      <w:sz w:val="20"/>
      <w:szCs w:val="20"/>
      <w:lang w:eastAsia="cs-CZ"/>
    </w:rPr>
  </w:style>
  <w:style w:type="character" w:customStyle="1" w:styleId="TextpoznpodarouChar">
    <w:name w:val="Text pozn. pod čarou Char"/>
    <w:aliases w:val="Text poznámky pod čiarou 007 Char,Fußnotentextf Char,Geneva 9 Char,Font: Geneva 9 Char,Boston 10 Char,f Char,Schriftart: 9 pt Char,Schriftart: 10 pt Char,Schriftart: 8 pt Char,pozn. pod čarou Char,Podrozdział Char"/>
    <w:basedOn w:val="Standardnpsmoodstavce"/>
    <w:link w:val="Textpoznpodarou"/>
    <w:rsid w:val="0077328C"/>
    <w:rPr>
      <w:rFonts w:ascii="Arial" w:eastAsia="Times New Roman" w:hAnsi="Arial" w:cs="Times New Roman"/>
      <w:sz w:val="20"/>
      <w:szCs w:val="20"/>
      <w:lang w:eastAsia="cs-CZ"/>
    </w:rPr>
  </w:style>
  <w:style w:type="character" w:styleId="Znakapoznpodarou">
    <w:name w:val="footnote reference"/>
    <w:aliases w:val="Footnote,PGI Fußnote Ziffer + Times New Roman,12 b.,Zúžené o ...,PGI Fußnote Ziffer,Footnote call"/>
    <w:basedOn w:val="Standardnpsmoodstavce"/>
    <w:unhideWhenUsed/>
    <w:rsid w:val="0077328C"/>
    <w:rPr>
      <w:vertAlign w:val="superscript"/>
    </w:rPr>
  </w:style>
  <w:style w:type="character" w:customStyle="1" w:styleId="OdstavecseseznamemChar">
    <w:name w:val="Odstavec se seznamem Char"/>
    <w:aliases w:val="odrážky Char"/>
    <w:basedOn w:val="Standardnpsmoodstavce"/>
    <w:link w:val="Odstavecseseznamem"/>
    <w:uiPriority w:val="34"/>
    <w:locked/>
    <w:rsid w:val="0077328C"/>
  </w:style>
  <w:style w:type="paragraph" w:customStyle="1" w:styleId="Default">
    <w:name w:val="Default"/>
    <w:rsid w:val="004F3009"/>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0B3E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3EE1"/>
    <w:rPr>
      <w:rFonts w:ascii="Tahoma" w:hAnsi="Tahoma" w:cs="Tahoma"/>
      <w:sz w:val="16"/>
      <w:szCs w:val="16"/>
    </w:rPr>
  </w:style>
  <w:style w:type="character" w:styleId="Hypertextovodkaz">
    <w:name w:val="Hyperlink"/>
    <w:basedOn w:val="Standardnpsmoodstavce"/>
    <w:uiPriority w:val="99"/>
    <w:unhideWhenUsed/>
    <w:rsid w:val="00436DCB"/>
    <w:rPr>
      <w:color w:val="0563C1" w:themeColor="hyperlink"/>
      <w:u w:val="single"/>
    </w:rPr>
  </w:style>
  <w:style w:type="character" w:styleId="Sledovanodkaz">
    <w:name w:val="FollowedHyperlink"/>
    <w:basedOn w:val="Standardnpsmoodstavce"/>
    <w:uiPriority w:val="99"/>
    <w:semiHidden/>
    <w:unhideWhenUsed/>
    <w:rsid w:val="008F2B09"/>
    <w:rPr>
      <w:color w:val="954F72" w:themeColor="followedHyperlink"/>
      <w:u w:val="single"/>
    </w:rPr>
  </w:style>
  <w:style w:type="paragraph" w:styleId="Zkladntext">
    <w:name w:val="Body Text"/>
    <w:basedOn w:val="Normln"/>
    <w:link w:val="ZkladntextChar"/>
    <w:uiPriority w:val="99"/>
    <w:semiHidden/>
    <w:unhideWhenUsed/>
    <w:rsid w:val="00914CCF"/>
  </w:style>
  <w:style w:type="character" w:customStyle="1" w:styleId="ZkladntextChar">
    <w:name w:val="Základní text Char"/>
    <w:basedOn w:val="Standardnpsmoodstavce"/>
    <w:link w:val="Zkladntext"/>
    <w:uiPriority w:val="99"/>
    <w:semiHidden/>
    <w:rsid w:val="00914CCF"/>
  </w:style>
  <w:style w:type="paragraph" w:styleId="Zhlav">
    <w:name w:val="header"/>
    <w:basedOn w:val="Normln"/>
    <w:link w:val="ZhlavChar"/>
    <w:uiPriority w:val="99"/>
    <w:unhideWhenUsed/>
    <w:rsid w:val="008A5DE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5DE6"/>
  </w:style>
  <w:style w:type="paragraph" w:styleId="Zpat">
    <w:name w:val="footer"/>
    <w:basedOn w:val="Normln"/>
    <w:link w:val="ZpatChar"/>
    <w:uiPriority w:val="99"/>
    <w:unhideWhenUsed/>
    <w:rsid w:val="008A5DE6"/>
    <w:pPr>
      <w:tabs>
        <w:tab w:val="center" w:pos="4536"/>
        <w:tab w:val="right" w:pos="9072"/>
      </w:tabs>
      <w:spacing w:after="0" w:line="240" w:lineRule="auto"/>
    </w:pPr>
  </w:style>
  <w:style w:type="character" w:customStyle="1" w:styleId="ZpatChar">
    <w:name w:val="Zápatí Char"/>
    <w:basedOn w:val="Standardnpsmoodstavce"/>
    <w:link w:val="Zpat"/>
    <w:uiPriority w:val="99"/>
    <w:rsid w:val="008A5DE6"/>
  </w:style>
  <w:style w:type="paragraph" w:customStyle="1" w:styleId="Protokol-normln">
    <w:name w:val="Protokol - normální"/>
    <w:basedOn w:val="Normln"/>
    <w:link w:val="Protokol-normlnChar"/>
    <w:qFormat/>
    <w:rsid w:val="005D11E2"/>
    <w:pPr>
      <w:spacing w:after="0" w:line="240" w:lineRule="auto"/>
    </w:pPr>
    <w:rPr>
      <w:rFonts w:eastAsia="Times New Roman" w:cs="Calibri"/>
      <w:szCs w:val="24"/>
    </w:rPr>
  </w:style>
  <w:style w:type="character" w:customStyle="1" w:styleId="Protokol-normlnChar">
    <w:name w:val="Protokol - normální Char"/>
    <w:basedOn w:val="Standardnpsmoodstavce"/>
    <w:link w:val="Protokol-normln"/>
    <w:rsid w:val="005D11E2"/>
    <w:rPr>
      <w:rFonts w:eastAsia="Times New Roman" w:cs="Calibri"/>
      <w:sz w:val="24"/>
      <w:szCs w:val="24"/>
    </w:rPr>
  </w:style>
  <w:style w:type="paragraph" w:customStyle="1" w:styleId="poznmkapodarou">
    <w:name w:val="poznámka pod čarou"/>
    <w:basedOn w:val="Textpoznpodarou"/>
    <w:qFormat/>
    <w:rsid w:val="005D11E2"/>
    <w:pPr>
      <w:tabs>
        <w:tab w:val="left" w:pos="284"/>
      </w:tabs>
      <w:ind w:left="284" w:hanging="284"/>
    </w:pPr>
    <w:rPr>
      <w:rFonts w:ascii="Calibri" w:hAnsi="Calibri" w:cs="Calibri"/>
      <w:lang w:eastAsia="en-US"/>
    </w:rPr>
  </w:style>
  <w:style w:type="character" w:customStyle="1" w:styleId="Nadpis1Char">
    <w:name w:val="Nadpis 1 Char"/>
    <w:basedOn w:val="Standardnpsmoodstavce"/>
    <w:link w:val="Nadpis1"/>
    <w:uiPriority w:val="9"/>
    <w:rsid w:val="00112DF7"/>
    <w:rPr>
      <w:rFonts w:ascii="Calibri" w:eastAsiaTheme="majorEastAsia" w:hAnsi="Calibri" w:cstheme="majorBidi"/>
      <w:b/>
      <w:color w:val="000000" w:themeColor="text1"/>
      <w:sz w:val="28"/>
      <w:szCs w:val="32"/>
    </w:rPr>
  </w:style>
  <w:style w:type="character" w:customStyle="1" w:styleId="Nadpis2Char">
    <w:name w:val="Nadpis 2 Char"/>
    <w:basedOn w:val="Standardnpsmoodstavce"/>
    <w:link w:val="Nadpis2"/>
    <w:uiPriority w:val="9"/>
    <w:rsid w:val="00190E0F"/>
    <w:rPr>
      <w:rFonts w:ascii="Calibri" w:eastAsiaTheme="majorEastAsia" w:hAnsi="Calibri" w:cstheme="majorBidi"/>
      <w:b/>
      <w:color w:val="000000" w:themeColor="text1"/>
      <w:sz w:val="24"/>
      <w:szCs w:val="26"/>
    </w:rPr>
  </w:style>
  <w:style w:type="character" w:customStyle="1" w:styleId="Nadpis3Char">
    <w:name w:val="Nadpis 3 Char"/>
    <w:basedOn w:val="Standardnpsmoodstavce"/>
    <w:link w:val="Nadpis3"/>
    <w:uiPriority w:val="9"/>
    <w:rsid w:val="00AB6633"/>
    <w:rPr>
      <w:rFonts w:eastAsiaTheme="majorEastAsia" w:cstheme="majorBidi"/>
      <w:b/>
      <w:sz w:val="24"/>
      <w:szCs w:val="24"/>
    </w:rPr>
  </w:style>
  <w:style w:type="character" w:customStyle="1" w:styleId="Nadpis4Char">
    <w:name w:val="Nadpis 4 Char"/>
    <w:basedOn w:val="Standardnpsmoodstavce"/>
    <w:link w:val="Nadpis4"/>
    <w:uiPriority w:val="9"/>
    <w:rsid w:val="00A177EB"/>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A177EB"/>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A177EB"/>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A177EB"/>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A177EB"/>
    <w:rPr>
      <w:rFonts w:asciiTheme="majorHAnsi" w:eastAsiaTheme="majorEastAsia" w:hAnsiTheme="majorHAnsi" w:cstheme="majorBidi"/>
      <w:color w:val="272727" w:themeColor="text1" w:themeTint="D8"/>
      <w:sz w:val="21"/>
      <w:szCs w:val="21"/>
    </w:rPr>
  </w:style>
  <w:style w:type="character" w:styleId="Odkaznakoment">
    <w:name w:val="annotation reference"/>
    <w:basedOn w:val="Standardnpsmoodstavce"/>
    <w:uiPriority w:val="99"/>
    <w:semiHidden/>
    <w:unhideWhenUsed/>
    <w:rsid w:val="008307B7"/>
    <w:rPr>
      <w:sz w:val="16"/>
      <w:szCs w:val="16"/>
    </w:rPr>
  </w:style>
  <w:style w:type="paragraph" w:styleId="Textkomente">
    <w:name w:val="annotation text"/>
    <w:basedOn w:val="Normln"/>
    <w:link w:val="TextkomenteChar"/>
    <w:uiPriority w:val="99"/>
    <w:unhideWhenUsed/>
    <w:rsid w:val="008307B7"/>
    <w:pPr>
      <w:spacing w:line="240" w:lineRule="auto"/>
    </w:pPr>
    <w:rPr>
      <w:sz w:val="20"/>
      <w:szCs w:val="20"/>
    </w:rPr>
  </w:style>
  <w:style w:type="character" w:customStyle="1" w:styleId="TextkomenteChar">
    <w:name w:val="Text komentáře Char"/>
    <w:basedOn w:val="Standardnpsmoodstavce"/>
    <w:link w:val="Textkomente"/>
    <w:uiPriority w:val="99"/>
    <w:rsid w:val="008307B7"/>
    <w:rPr>
      <w:sz w:val="20"/>
      <w:szCs w:val="20"/>
    </w:rPr>
  </w:style>
  <w:style w:type="paragraph" w:styleId="Pedmtkomente">
    <w:name w:val="annotation subject"/>
    <w:basedOn w:val="Textkomente"/>
    <w:next w:val="Textkomente"/>
    <w:link w:val="PedmtkomenteChar"/>
    <w:uiPriority w:val="99"/>
    <w:semiHidden/>
    <w:unhideWhenUsed/>
    <w:rsid w:val="008307B7"/>
    <w:rPr>
      <w:b/>
      <w:bCs/>
    </w:rPr>
  </w:style>
  <w:style w:type="character" w:customStyle="1" w:styleId="PedmtkomenteChar">
    <w:name w:val="Předmět komentáře Char"/>
    <w:basedOn w:val="TextkomenteChar"/>
    <w:link w:val="Pedmtkomente"/>
    <w:uiPriority w:val="99"/>
    <w:semiHidden/>
    <w:rsid w:val="008307B7"/>
    <w:rPr>
      <w:b/>
      <w:bCs/>
      <w:sz w:val="20"/>
      <w:szCs w:val="20"/>
    </w:rPr>
  </w:style>
  <w:style w:type="table" w:styleId="Mkatabulky">
    <w:name w:val="Table Grid"/>
    <w:basedOn w:val="Normlntabulka"/>
    <w:uiPriority w:val="59"/>
    <w:rsid w:val="003F0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mkatabulky1">
    <w:name w:val="Světlá mřížka tabulky1"/>
    <w:basedOn w:val="Normlntabulka"/>
    <w:uiPriority w:val="40"/>
    <w:rsid w:val="00134E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11">
    <w:name w:val="Prostá tabulka 11"/>
    <w:basedOn w:val="Normlntabulka"/>
    <w:uiPriority w:val="41"/>
    <w:rsid w:val="00134E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tabulkasmkou1zvraznn21">
    <w:name w:val="Světlá tabulka s mřížkou 1 – zvýraznění 21"/>
    <w:basedOn w:val="Normlntabulka"/>
    <w:uiPriority w:val="46"/>
    <w:rsid w:val="00134E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Svtltabulkasmkou1zvraznn11">
    <w:name w:val="Světlá tabulka s mřížkou 1 – zvýraznění 11"/>
    <w:basedOn w:val="Normlntabulka"/>
    <w:uiPriority w:val="46"/>
    <w:rsid w:val="002526C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2526C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KP-normlntext">
    <w:name w:val="KP-normální text"/>
    <w:basedOn w:val="Normln"/>
    <w:link w:val="KP-normlntextChar"/>
    <w:uiPriority w:val="99"/>
    <w:rsid w:val="001761BC"/>
    <w:pPr>
      <w:spacing w:before="120" w:line="240" w:lineRule="auto"/>
    </w:pPr>
    <w:rPr>
      <w:rFonts w:ascii="Arial" w:eastAsia="Times New Roman" w:hAnsi="Arial" w:cs="Arial"/>
      <w:color w:val="000000"/>
      <w:sz w:val="20"/>
      <w:szCs w:val="20"/>
    </w:rPr>
  </w:style>
  <w:style w:type="character" w:customStyle="1" w:styleId="KP-normlntextChar">
    <w:name w:val="KP-normální text Char"/>
    <w:link w:val="KP-normlntext"/>
    <w:uiPriority w:val="99"/>
    <w:locked/>
    <w:rsid w:val="001761BC"/>
    <w:rPr>
      <w:rFonts w:ascii="Arial" w:eastAsia="Times New Roman" w:hAnsi="Arial" w:cs="Arial"/>
      <w:color w:val="000000"/>
      <w:sz w:val="20"/>
      <w:szCs w:val="20"/>
    </w:rPr>
  </w:style>
  <w:style w:type="paragraph" w:customStyle="1" w:styleId="KZnormln">
    <w:name w:val="KZ normální"/>
    <w:basedOn w:val="Normln"/>
    <w:link w:val="KZnormlnChar"/>
    <w:qFormat/>
    <w:rsid w:val="00352C11"/>
    <w:pPr>
      <w:spacing w:before="120" w:line="240" w:lineRule="auto"/>
    </w:pPr>
    <w:rPr>
      <w:rFonts w:eastAsia="Times New Roman" w:cstheme="minorHAnsi"/>
      <w:color w:val="000000"/>
      <w:lang w:val="x-none"/>
    </w:rPr>
  </w:style>
  <w:style w:type="character" w:customStyle="1" w:styleId="KZnormlnChar">
    <w:name w:val="KZ normální Char"/>
    <w:basedOn w:val="Standardnpsmoodstavce"/>
    <w:link w:val="KZnormln"/>
    <w:rsid w:val="00352C11"/>
    <w:rPr>
      <w:rFonts w:eastAsia="Times New Roman" w:cstheme="minorHAnsi"/>
      <w:color w:val="000000"/>
      <w:sz w:val="24"/>
      <w:lang w:val="x-none"/>
    </w:rPr>
  </w:style>
  <w:style w:type="character" w:styleId="Siln">
    <w:name w:val="Strong"/>
    <w:basedOn w:val="Standardnpsmoodstavce"/>
    <w:uiPriority w:val="22"/>
    <w:qFormat/>
    <w:rsid w:val="00794174"/>
    <w:rPr>
      <w:b/>
      <w:bCs/>
    </w:rPr>
  </w:style>
  <w:style w:type="paragraph" w:styleId="Bezmezer">
    <w:name w:val="No Spacing"/>
    <w:link w:val="BezmezerChar"/>
    <w:uiPriority w:val="1"/>
    <w:qFormat/>
    <w:rsid w:val="00C23FC0"/>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C23FC0"/>
    <w:rPr>
      <w:rFonts w:eastAsiaTheme="minorEastAsia"/>
      <w:lang w:eastAsia="cs-CZ"/>
    </w:rPr>
  </w:style>
  <w:style w:type="paragraph" w:customStyle="1" w:styleId="KPnormln">
    <w:name w:val="KP normální"/>
    <w:basedOn w:val="Normln"/>
    <w:link w:val="KPnormlnChar"/>
    <w:qFormat/>
    <w:rsid w:val="003707C2"/>
    <w:rPr>
      <w:rFonts w:eastAsia="Times New Roman" w:cstheme="minorHAnsi"/>
      <w:color w:val="000000"/>
    </w:rPr>
  </w:style>
  <w:style w:type="character" w:customStyle="1" w:styleId="KPnormlnChar">
    <w:name w:val="KP normální Char"/>
    <w:basedOn w:val="Standardnpsmoodstavce"/>
    <w:link w:val="KPnormln"/>
    <w:rsid w:val="003707C2"/>
    <w:rPr>
      <w:rFonts w:eastAsia="Times New Roman" w:cstheme="minorHAnsi"/>
      <w:color w:val="000000"/>
      <w:sz w:val="24"/>
    </w:rPr>
  </w:style>
  <w:style w:type="paragraph" w:styleId="Titulek">
    <w:name w:val="caption"/>
    <w:basedOn w:val="Normln"/>
    <w:next w:val="Normln"/>
    <w:uiPriority w:val="35"/>
    <w:unhideWhenUsed/>
    <w:qFormat/>
    <w:rsid w:val="00CB61E0"/>
    <w:pPr>
      <w:spacing w:after="200" w:line="240" w:lineRule="auto"/>
    </w:pPr>
    <w:rPr>
      <w:i/>
      <w:iCs/>
      <w:color w:val="44546A" w:themeColor="text2"/>
      <w:sz w:val="18"/>
      <w:szCs w:val="18"/>
    </w:rPr>
  </w:style>
  <w:style w:type="character" w:styleId="Zdraznn">
    <w:name w:val="Emphasis"/>
    <w:basedOn w:val="Standardnpsmoodstavce"/>
    <w:uiPriority w:val="20"/>
    <w:qFormat/>
    <w:rsid w:val="00191B1E"/>
    <w:rPr>
      <w:b w:val="0"/>
      <w:bCs w:val="0"/>
      <w:i/>
      <w:iCs/>
    </w:rPr>
  </w:style>
  <w:style w:type="character" w:customStyle="1" w:styleId="apple-converted-space">
    <w:name w:val="apple-converted-space"/>
    <w:basedOn w:val="Standardnpsmoodstavce"/>
    <w:rsid w:val="004D6318"/>
  </w:style>
  <w:style w:type="paragraph" w:styleId="Revize">
    <w:name w:val="Revision"/>
    <w:hidden/>
    <w:uiPriority w:val="99"/>
    <w:semiHidden/>
    <w:rsid w:val="005D50EA"/>
    <w:pPr>
      <w:spacing w:after="0" w:line="240" w:lineRule="auto"/>
    </w:pPr>
    <w:rPr>
      <w:sz w:val="24"/>
    </w:rPr>
  </w:style>
  <w:style w:type="character" w:customStyle="1" w:styleId="velkytext">
    <w:name w:val="velkytext"/>
    <w:basedOn w:val="Standardnpsmoodstavce"/>
    <w:rsid w:val="00733DA8"/>
  </w:style>
  <w:style w:type="paragraph" w:styleId="Textvysvtlivek">
    <w:name w:val="endnote text"/>
    <w:basedOn w:val="Normln"/>
    <w:link w:val="TextvysvtlivekChar"/>
    <w:uiPriority w:val="99"/>
    <w:semiHidden/>
    <w:unhideWhenUsed/>
    <w:rsid w:val="0024534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45347"/>
    <w:rPr>
      <w:sz w:val="20"/>
      <w:szCs w:val="20"/>
    </w:rPr>
  </w:style>
  <w:style w:type="character" w:styleId="Odkaznavysvtlivky">
    <w:name w:val="endnote reference"/>
    <w:basedOn w:val="Standardnpsmoodstavce"/>
    <w:uiPriority w:val="99"/>
    <w:semiHidden/>
    <w:unhideWhenUsed/>
    <w:rsid w:val="002453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7188">
      <w:bodyDiv w:val="1"/>
      <w:marLeft w:val="0"/>
      <w:marRight w:val="0"/>
      <w:marTop w:val="0"/>
      <w:marBottom w:val="0"/>
      <w:divBdr>
        <w:top w:val="none" w:sz="0" w:space="0" w:color="auto"/>
        <w:left w:val="none" w:sz="0" w:space="0" w:color="auto"/>
        <w:bottom w:val="none" w:sz="0" w:space="0" w:color="auto"/>
        <w:right w:val="none" w:sz="0" w:space="0" w:color="auto"/>
      </w:divBdr>
    </w:div>
    <w:div w:id="241913815">
      <w:bodyDiv w:val="1"/>
      <w:marLeft w:val="0"/>
      <w:marRight w:val="0"/>
      <w:marTop w:val="0"/>
      <w:marBottom w:val="0"/>
      <w:divBdr>
        <w:top w:val="none" w:sz="0" w:space="0" w:color="auto"/>
        <w:left w:val="none" w:sz="0" w:space="0" w:color="auto"/>
        <w:bottom w:val="none" w:sz="0" w:space="0" w:color="auto"/>
        <w:right w:val="none" w:sz="0" w:space="0" w:color="auto"/>
      </w:divBdr>
      <w:divsChild>
        <w:div w:id="1032652410">
          <w:marLeft w:val="547"/>
          <w:marRight w:val="0"/>
          <w:marTop w:val="96"/>
          <w:marBottom w:val="0"/>
          <w:divBdr>
            <w:top w:val="none" w:sz="0" w:space="0" w:color="auto"/>
            <w:left w:val="none" w:sz="0" w:space="0" w:color="auto"/>
            <w:bottom w:val="none" w:sz="0" w:space="0" w:color="auto"/>
            <w:right w:val="none" w:sz="0" w:space="0" w:color="auto"/>
          </w:divBdr>
        </w:div>
        <w:div w:id="868301198">
          <w:marLeft w:val="547"/>
          <w:marRight w:val="0"/>
          <w:marTop w:val="96"/>
          <w:marBottom w:val="0"/>
          <w:divBdr>
            <w:top w:val="none" w:sz="0" w:space="0" w:color="auto"/>
            <w:left w:val="none" w:sz="0" w:space="0" w:color="auto"/>
            <w:bottom w:val="none" w:sz="0" w:space="0" w:color="auto"/>
            <w:right w:val="none" w:sz="0" w:space="0" w:color="auto"/>
          </w:divBdr>
        </w:div>
        <w:div w:id="1132165642">
          <w:marLeft w:val="547"/>
          <w:marRight w:val="0"/>
          <w:marTop w:val="96"/>
          <w:marBottom w:val="0"/>
          <w:divBdr>
            <w:top w:val="none" w:sz="0" w:space="0" w:color="auto"/>
            <w:left w:val="none" w:sz="0" w:space="0" w:color="auto"/>
            <w:bottom w:val="none" w:sz="0" w:space="0" w:color="auto"/>
            <w:right w:val="none" w:sz="0" w:space="0" w:color="auto"/>
          </w:divBdr>
        </w:div>
        <w:div w:id="546719542">
          <w:marLeft w:val="547"/>
          <w:marRight w:val="0"/>
          <w:marTop w:val="96"/>
          <w:marBottom w:val="0"/>
          <w:divBdr>
            <w:top w:val="none" w:sz="0" w:space="0" w:color="auto"/>
            <w:left w:val="none" w:sz="0" w:space="0" w:color="auto"/>
            <w:bottom w:val="none" w:sz="0" w:space="0" w:color="auto"/>
            <w:right w:val="none" w:sz="0" w:space="0" w:color="auto"/>
          </w:divBdr>
        </w:div>
        <w:div w:id="682050068">
          <w:marLeft w:val="547"/>
          <w:marRight w:val="0"/>
          <w:marTop w:val="96"/>
          <w:marBottom w:val="0"/>
          <w:divBdr>
            <w:top w:val="none" w:sz="0" w:space="0" w:color="auto"/>
            <w:left w:val="none" w:sz="0" w:space="0" w:color="auto"/>
            <w:bottom w:val="none" w:sz="0" w:space="0" w:color="auto"/>
            <w:right w:val="none" w:sz="0" w:space="0" w:color="auto"/>
          </w:divBdr>
        </w:div>
      </w:divsChild>
    </w:div>
    <w:div w:id="365522793">
      <w:bodyDiv w:val="1"/>
      <w:marLeft w:val="0"/>
      <w:marRight w:val="0"/>
      <w:marTop w:val="0"/>
      <w:marBottom w:val="0"/>
      <w:divBdr>
        <w:top w:val="none" w:sz="0" w:space="0" w:color="auto"/>
        <w:left w:val="none" w:sz="0" w:space="0" w:color="auto"/>
        <w:bottom w:val="none" w:sz="0" w:space="0" w:color="auto"/>
        <w:right w:val="none" w:sz="0" w:space="0" w:color="auto"/>
      </w:divBdr>
    </w:div>
    <w:div w:id="366758053">
      <w:bodyDiv w:val="1"/>
      <w:marLeft w:val="0"/>
      <w:marRight w:val="0"/>
      <w:marTop w:val="0"/>
      <w:marBottom w:val="0"/>
      <w:divBdr>
        <w:top w:val="none" w:sz="0" w:space="0" w:color="auto"/>
        <w:left w:val="none" w:sz="0" w:space="0" w:color="auto"/>
        <w:bottom w:val="none" w:sz="0" w:space="0" w:color="auto"/>
        <w:right w:val="none" w:sz="0" w:space="0" w:color="auto"/>
      </w:divBdr>
      <w:divsChild>
        <w:div w:id="1172990069">
          <w:marLeft w:val="547"/>
          <w:marRight w:val="0"/>
          <w:marTop w:val="96"/>
          <w:marBottom w:val="0"/>
          <w:divBdr>
            <w:top w:val="none" w:sz="0" w:space="0" w:color="auto"/>
            <w:left w:val="none" w:sz="0" w:space="0" w:color="auto"/>
            <w:bottom w:val="none" w:sz="0" w:space="0" w:color="auto"/>
            <w:right w:val="none" w:sz="0" w:space="0" w:color="auto"/>
          </w:divBdr>
        </w:div>
        <w:div w:id="2032566204">
          <w:marLeft w:val="547"/>
          <w:marRight w:val="0"/>
          <w:marTop w:val="96"/>
          <w:marBottom w:val="0"/>
          <w:divBdr>
            <w:top w:val="none" w:sz="0" w:space="0" w:color="auto"/>
            <w:left w:val="none" w:sz="0" w:space="0" w:color="auto"/>
            <w:bottom w:val="none" w:sz="0" w:space="0" w:color="auto"/>
            <w:right w:val="none" w:sz="0" w:space="0" w:color="auto"/>
          </w:divBdr>
        </w:div>
        <w:div w:id="1634410807">
          <w:marLeft w:val="547"/>
          <w:marRight w:val="0"/>
          <w:marTop w:val="96"/>
          <w:marBottom w:val="0"/>
          <w:divBdr>
            <w:top w:val="none" w:sz="0" w:space="0" w:color="auto"/>
            <w:left w:val="none" w:sz="0" w:space="0" w:color="auto"/>
            <w:bottom w:val="none" w:sz="0" w:space="0" w:color="auto"/>
            <w:right w:val="none" w:sz="0" w:space="0" w:color="auto"/>
          </w:divBdr>
        </w:div>
        <w:div w:id="1347050241">
          <w:marLeft w:val="547"/>
          <w:marRight w:val="0"/>
          <w:marTop w:val="96"/>
          <w:marBottom w:val="0"/>
          <w:divBdr>
            <w:top w:val="none" w:sz="0" w:space="0" w:color="auto"/>
            <w:left w:val="none" w:sz="0" w:space="0" w:color="auto"/>
            <w:bottom w:val="none" w:sz="0" w:space="0" w:color="auto"/>
            <w:right w:val="none" w:sz="0" w:space="0" w:color="auto"/>
          </w:divBdr>
        </w:div>
        <w:div w:id="259030261">
          <w:marLeft w:val="547"/>
          <w:marRight w:val="0"/>
          <w:marTop w:val="96"/>
          <w:marBottom w:val="0"/>
          <w:divBdr>
            <w:top w:val="none" w:sz="0" w:space="0" w:color="auto"/>
            <w:left w:val="none" w:sz="0" w:space="0" w:color="auto"/>
            <w:bottom w:val="none" w:sz="0" w:space="0" w:color="auto"/>
            <w:right w:val="none" w:sz="0" w:space="0" w:color="auto"/>
          </w:divBdr>
        </w:div>
        <w:div w:id="213200865">
          <w:marLeft w:val="547"/>
          <w:marRight w:val="0"/>
          <w:marTop w:val="96"/>
          <w:marBottom w:val="0"/>
          <w:divBdr>
            <w:top w:val="none" w:sz="0" w:space="0" w:color="auto"/>
            <w:left w:val="none" w:sz="0" w:space="0" w:color="auto"/>
            <w:bottom w:val="none" w:sz="0" w:space="0" w:color="auto"/>
            <w:right w:val="none" w:sz="0" w:space="0" w:color="auto"/>
          </w:divBdr>
        </w:div>
        <w:div w:id="1908760212">
          <w:marLeft w:val="547"/>
          <w:marRight w:val="0"/>
          <w:marTop w:val="96"/>
          <w:marBottom w:val="0"/>
          <w:divBdr>
            <w:top w:val="none" w:sz="0" w:space="0" w:color="auto"/>
            <w:left w:val="none" w:sz="0" w:space="0" w:color="auto"/>
            <w:bottom w:val="none" w:sz="0" w:space="0" w:color="auto"/>
            <w:right w:val="none" w:sz="0" w:space="0" w:color="auto"/>
          </w:divBdr>
        </w:div>
        <w:div w:id="76756439">
          <w:marLeft w:val="547"/>
          <w:marRight w:val="0"/>
          <w:marTop w:val="96"/>
          <w:marBottom w:val="0"/>
          <w:divBdr>
            <w:top w:val="none" w:sz="0" w:space="0" w:color="auto"/>
            <w:left w:val="none" w:sz="0" w:space="0" w:color="auto"/>
            <w:bottom w:val="none" w:sz="0" w:space="0" w:color="auto"/>
            <w:right w:val="none" w:sz="0" w:space="0" w:color="auto"/>
          </w:divBdr>
        </w:div>
      </w:divsChild>
    </w:div>
    <w:div w:id="369040037">
      <w:bodyDiv w:val="1"/>
      <w:marLeft w:val="0"/>
      <w:marRight w:val="0"/>
      <w:marTop w:val="0"/>
      <w:marBottom w:val="0"/>
      <w:divBdr>
        <w:top w:val="none" w:sz="0" w:space="0" w:color="auto"/>
        <w:left w:val="none" w:sz="0" w:space="0" w:color="auto"/>
        <w:bottom w:val="none" w:sz="0" w:space="0" w:color="auto"/>
        <w:right w:val="none" w:sz="0" w:space="0" w:color="auto"/>
      </w:divBdr>
    </w:div>
    <w:div w:id="389503625">
      <w:bodyDiv w:val="1"/>
      <w:marLeft w:val="0"/>
      <w:marRight w:val="0"/>
      <w:marTop w:val="0"/>
      <w:marBottom w:val="0"/>
      <w:divBdr>
        <w:top w:val="none" w:sz="0" w:space="0" w:color="auto"/>
        <w:left w:val="none" w:sz="0" w:space="0" w:color="auto"/>
        <w:bottom w:val="none" w:sz="0" w:space="0" w:color="auto"/>
        <w:right w:val="none" w:sz="0" w:space="0" w:color="auto"/>
      </w:divBdr>
    </w:div>
    <w:div w:id="431711227">
      <w:bodyDiv w:val="1"/>
      <w:marLeft w:val="0"/>
      <w:marRight w:val="0"/>
      <w:marTop w:val="0"/>
      <w:marBottom w:val="0"/>
      <w:divBdr>
        <w:top w:val="none" w:sz="0" w:space="0" w:color="auto"/>
        <w:left w:val="none" w:sz="0" w:space="0" w:color="auto"/>
        <w:bottom w:val="none" w:sz="0" w:space="0" w:color="auto"/>
        <w:right w:val="none" w:sz="0" w:space="0" w:color="auto"/>
      </w:divBdr>
    </w:div>
    <w:div w:id="483545981">
      <w:bodyDiv w:val="1"/>
      <w:marLeft w:val="0"/>
      <w:marRight w:val="0"/>
      <w:marTop w:val="0"/>
      <w:marBottom w:val="0"/>
      <w:divBdr>
        <w:top w:val="none" w:sz="0" w:space="0" w:color="auto"/>
        <w:left w:val="none" w:sz="0" w:space="0" w:color="auto"/>
        <w:bottom w:val="none" w:sz="0" w:space="0" w:color="auto"/>
        <w:right w:val="none" w:sz="0" w:space="0" w:color="auto"/>
      </w:divBdr>
    </w:div>
    <w:div w:id="509876949">
      <w:bodyDiv w:val="1"/>
      <w:marLeft w:val="0"/>
      <w:marRight w:val="0"/>
      <w:marTop w:val="0"/>
      <w:marBottom w:val="0"/>
      <w:divBdr>
        <w:top w:val="none" w:sz="0" w:space="0" w:color="auto"/>
        <w:left w:val="none" w:sz="0" w:space="0" w:color="auto"/>
        <w:bottom w:val="none" w:sz="0" w:space="0" w:color="auto"/>
        <w:right w:val="none" w:sz="0" w:space="0" w:color="auto"/>
      </w:divBdr>
    </w:div>
    <w:div w:id="564529898">
      <w:bodyDiv w:val="1"/>
      <w:marLeft w:val="0"/>
      <w:marRight w:val="0"/>
      <w:marTop w:val="0"/>
      <w:marBottom w:val="0"/>
      <w:divBdr>
        <w:top w:val="none" w:sz="0" w:space="0" w:color="auto"/>
        <w:left w:val="none" w:sz="0" w:space="0" w:color="auto"/>
        <w:bottom w:val="none" w:sz="0" w:space="0" w:color="auto"/>
        <w:right w:val="none" w:sz="0" w:space="0" w:color="auto"/>
      </w:divBdr>
    </w:div>
    <w:div w:id="656960964">
      <w:bodyDiv w:val="1"/>
      <w:marLeft w:val="0"/>
      <w:marRight w:val="0"/>
      <w:marTop w:val="0"/>
      <w:marBottom w:val="0"/>
      <w:divBdr>
        <w:top w:val="none" w:sz="0" w:space="0" w:color="auto"/>
        <w:left w:val="none" w:sz="0" w:space="0" w:color="auto"/>
        <w:bottom w:val="none" w:sz="0" w:space="0" w:color="auto"/>
        <w:right w:val="none" w:sz="0" w:space="0" w:color="auto"/>
      </w:divBdr>
    </w:div>
    <w:div w:id="657079913">
      <w:bodyDiv w:val="1"/>
      <w:marLeft w:val="0"/>
      <w:marRight w:val="0"/>
      <w:marTop w:val="0"/>
      <w:marBottom w:val="0"/>
      <w:divBdr>
        <w:top w:val="none" w:sz="0" w:space="0" w:color="auto"/>
        <w:left w:val="none" w:sz="0" w:space="0" w:color="auto"/>
        <w:bottom w:val="none" w:sz="0" w:space="0" w:color="auto"/>
        <w:right w:val="none" w:sz="0" w:space="0" w:color="auto"/>
      </w:divBdr>
    </w:div>
    <w:div w:id="864295742">
      <w:bodyDiv w:val="1"/>
      <w:marLeft w:val="0"/>
      <w:marRight w:val="0"/>
      <w:marTop w:val="0"/>
      <w:marBottom w:val="0"/>
      <w:divBdr>
        <w:top w:val="none" w:sz="0" w:space="0" w:color="auto"/>
        <w:left w:val="none" w:sz="0" w:space="0" w:color="auto"/>
        <w:bottom w:val="none" w:sz="0" w:space="0" w:color="auto"/>
        <w:right w:val="none" w:sz="0" w:space="0" w:color="auto"/>
      </w:divBdr>
    </w:div>
    <w:div w:id="869151939">
      <w:bodyDiv w:val="1"/>
      <w:marLeft w:val="0"/>
      <w:marRight w:val="0"/>
      <w:marTop w:val="0"/>
      <w:marBottom w:val="0"/>
      <w:divBdr>
        <w:top w:val="none" w:sz="0" w:space="0" w:color="auto"/>
        <w:left w:val="none" w:sz="0" w:space="0" w:color="auto"/>
        <w:bottom w:val="none" w:sz="0" w:space="0" w:color="auto"/>
        <w:right w:val="none" w:sz="0" w:space="0" w:color="auto"/>
      </w:divBdr>
    </w:div>
    <w:div w:id="1057508705">
      <w:bodyDiv w:val="1"/>
      <w:marLeft w:val="0"/>
      <w:marRight w:val="0"/>
      <w:marTop w:val="0"/>
      <w:marBottom w:val="0"/>
      <w:divBdr>
        <w:top w:val="none" w:sz="0" w:space="0" w:color="auto"/>
        <w:left w:val="none" w:sz="0" w:space="0" w:color="auto"/>
        <w:bottom w:val="none" w:sz="0" w:space="0" w:color="auto"/>
        <w:right w:val="none" w:sz="0" w:space="0" w:color="auto"/>
      </w:divBdr>
    </w:div>
    <w:div w:id="1071347471">
      <w:bodyDiv w:val="1"/>
      <w:marLeft w:val="0"/>
      <w:marRight w:val="0"/>
      <w:marTop w:val="0"/>
      <w:marBottom w:val="0"/>
      <w:divBdr>
        <w:top w:val="none" w:sz="0" w:space="0" w:color="auto"/>
        <w:left w:val="none" w:sz="0" w:space="0" w:color="auto"/>
        <w:bottom w:val="none" w:sz="0" w:space="0" w:color="auto"/>
        <w:right w:val="none" w:sz="0" w:space="0" w:color="auto"/>
      </w:divBdr>
    </w:div>
    <w:div w:id="1200972119">
      <w:bodyDiv w:val="1"/>
      <w:marLeft w:val="0"/>
      <w:marRight w:val="0"/>
      <w:marTop w:val="0"/>
      <w:marBottom w:val="0"/>
      <w:divBdr>
        <w:top w:val="none" w:sz="0" w:space="0" w:color="auto"/>
        <w:left w:val="none" w:sz="0" w:space="0" w:color="auto"/>
        <w:bottom w:val="none" w:sz="0" w:space="0" w:color="auto"/>
        <w:right w:val="none" w:sz="0" w:space="0" w:color="auto"/>
      </w:divBdr>
    </w:div>
    <w:div w:id="1282881928">
      <w:bodyDiv w:val="1"/>
      <w:marLeft w:val="0"/>
      <w:marRight w:val="0"/>
      <w:marTop w:val="0"/>
      <w:marBottom w:val="0"/>
      <w:divBdr>
        <w:top w:val="none" w:sz="0" w:space="0" w:color="auto"/>
        <w:left w:val="none" w:sz="0" w:space="0" w:color="auto"/>
        <w:bottom w:val="none" w:sz="0" w:space="0" w:color="auto"/>
        <w:right w:val="none" w:sz="0" w:space="0" w:color="auto"/>
      </w:divBdr>
      <w:divsChild>
        <w:div w:id="1590115686">
          <w:marLeft w:val="547"/>
          <w:marRight w:val="0"/>
          <w:marTop w:val="96"/>
          <w:marBottom w:val="0"/>
          <w:divBdr>
            <w:top w:val="none" w:sz="0" w:space="0" w:color="auto"/>
            <w:left w:val="none" w:sz="0" w:space="0" w:color="auto"/>
            <w:bottom w:val="none" w:sz="0" w:space="0" w:color="auto"/>
            <w:right w:val="none" w:sz="0" w:space="0" w:color="auto"/>
          </w:divBdr>
        </w:div>
        <w:div w:id="1093010118">
          <w:marLeft w:val="547"/>
          <w:marRight w:val="0"/>
          <w:marTop w:val="96"/>
          <w:marBottom w:val="0"/>
          <w:divBdr>
            <w:top w:val="none" w:sz="0" w:space="0" w:color="auto"/>
            <w:left w:val="none" w:sz="0" w:space="0" w:color="auto"/>
            <w:bottom w:val="none" w:sz="0" w:space="0" w:color="auto"/>
            <w:right w:val="none" w:sz="0" w:space="0" w:color="auto"/>
          </w:divBdr>
        </w:div>
        <w:div w:id="1934623833">
          <w:marLeft w:val="547"/>
          <w:marRight w:val="0"/>
          <w:marTop w:val="96"/>
          <w:marBottom w:val="0"/>
          <w:divBdr>
            <w:top w:val="none" w:sz="0" w:space="0" w:color="auto"/>
            <w:left w:val="none" w:sz="0" w:space="0" w:color="auto"/>
            <w:bottom w:val="none" w:sz="0" w:space="0" w:color="auto"/>
            <w:right w:val="none" w:sz="0" w:space="0" w:color="auto"/>
          </w:divBdr>
        </w:div>
        <w:div w:id="180825093">
          <w:marLeft w:val="547"/>
          <w:marRight w:val="0"/>
          <w:marTop w:val="96"/>
          <w:marBottom w:val="0"/>
          <w:divBdr>
            <w:top w:val="none" w:sz="0" w:space="0" w:color="auto"/>
            <w:left w:val="none" w:sz="0" w:space="0" w:color="auto"/>
            <w:bottom w:val="none" w:sz="0" w:space="0" w:color="auto"/>
            <w:right w:val="none" w:sz="0" w:space="0" w:color="auto"/>
          </w:divBdr>
        </w:div>
        <w:div w:id="203491951">
          <w:marLeft w:val="547"/>
          <w:marRight w:val="0"/>
          <w:marTop w:val="96"/>
          <w:marBottom w:val="0"/>
          <w:divBdr>
            <w:top w:val="none" w:sz="0" w:space="0" w:color="auto"/>
            <w:left w:val="none" w:sz="0" w:space="0" w:color="auto"/>
            <w:bottom w:val="none" w:sz="0" w:space="0" w:color="auto"/>
            <w:right w:val="none" w:sz="0" w:space="0" w:color="auto"/>
          </w:divBdr>
        </w:div>
      </w:divsChild>
    </w:div>
    <w:div w:id="1290744026">
      <w:bodyDiv w:val="1"/>
      <w:marLeft w:val="0"/>
      <w:marRight w:val="0"/>
      <w:marTop w:val="0"/>
      <w:marBottom w:val="0"/>
      <w:divBdr>
        <w:top w:val="none" w:sz="0" w:space="0" w:color="auto"/>
        <w:left w:val="none" w:sz="0" w:space="0" w:color="auto"/>
        <w:bottom w:val="none" w:sz="0" w:space="0" w:color="auto"/>
        <w:right w:val="none" w:sz="0" w:space="0" w:color="auto"/>
      </w:divBdr>
    </w:div>
    <w:div w:id="1329626555">
      <w:bodyDiv w:val="1"/>
      <w:marLeft w:val="0"/>
      <w:marRight w:val="0"/>
      <w:marTop w:val="0"/>
      <w:marBottom w:val="0"/>
      <w:divBdr>
        <w:top w:val="none" w:sz="0" w:space="0" w:color="auto"/>
        <w:left w:val="none" w:sz="0" w:space="0" w:color="auto"/>
        <w:bottom w:val="none" w:sz="0" w:space="0" w:color="auto"/>
        <w:right w:val="none" w:sz="0" w:space="0" w:color="auto"/>
      </w:divBdr>
    </w:div>
    <w:div w:id="1364549652">
      <w:bodyDiv w:val="1"/>
      <w:marLeft w:val="0"/>
      <w:marRight w:val="0"/>
      <w:marTop w:val="0"/>
      <w:marBottom w:val="0"/>
      <w:divBdr>
        <w:top w:val="none" w:sz="0" w:space="0" w:color="auto"/>
        <w:left w:val="none" w:sz="0" w:space="0" w:color="auto"/>
        <w:bottom w:val="none" w:sz="0" w:space="0" w:color="auto"/>
        <w:right w:val="none" w:sz="0" w:space="0" w:color="auto"/>
      </w:divBdr>
    </w:div>
    <w:div w:id="1391538074">
      <w:bodyDiv w:val="1"/>
      <w:marLeft w:val="0"/>
      <w:marRight w:val="0"/>
      <w:marTop w:val="0"/>
      <w:marBottom w:val="0"/>
      <w:divBdr>
        <w:top w:val="none" w:sz="0" w:space="0" w:color="auto"/>
        <w:left w:val="none" w:sz="0" w:space="0" w:color="auto"/>
        <w:bottom w:val="none" w:sz="0" w:space="0" w:color="auto"/>
        <w:right w:val="none" w:sz="0" w:space="0" w:color="auto"/>
      </w:divBdr>
    </w:div>
    <w:div w:id="1467815501">
      <w:bodyDiv w:val="1"/>
      <w:marLeft w:val="0"/>
      <w:marRight w:val="0"/>
      <w:marTop w:val="0"/>
      <w:marBottom w:val="0"/>
      <w:divBdr>
        <w:top w:val="none" w:sz="0" w:space="0" w:color="auto"/>
        <w:left w:val="none" w:sz="0" w:space="0" w:color="auto"/>
        <w:bottom w:val="none" w:sz="0" w:space="0" w:color="auto"/>
        <w:right w:val="none" w:sz="0" w:space="0" w:color="auto"/>
      </w:divBdr>
    </w:div>
    <w:div w:id="1558396240">
      <w:bodyDiv w:val="1"/>
      <w:marLeft w:val="0"/>
      <w:marRight w:val="0"/>
      <w:marTop w:val="0"/>
      <w:marBottom w:val="0"/>
      <w:divBdr>
        <w:top w:val="none" w:sz="0" w:space="0" w:color="auto"/>
        <w:left w:val="none" w:sz="0" w:space="0" w:color="auto"/>
        <w:bottom w:val="none" w:sz="0" w:space="0" w:color="auto"/>
        <w:right w:val="none" w:sz="0" w:space="0" w:color="auto"/>
      </w:divBdr>
    </w:div>
    <w:div w:id="1583103473">
      <w:bodyDiv w:val="1"/>
      <w:marLeft w:val="0"/>
      <w:marRight w:val="0"/>
      <w:marTop w:val="0"/>
      <w:marBottom w:val="0"/>
      <w:divBdr>
        <w:top w:val="none" w:sz="0" w:space="0" w:color="auto"/>
        <w:left w:val="none" w:sz="0" w:space="0" w:color="auto"/>
        <w:bottom w:val="none" w:sz="0" w:space="0" w:color="auto"/>
        <w:right w:val="none" w:sz="0" w:space="0" w:color="auto"/>
      </w:divBdr>
    </w:div>
    <w:div w:id="1673755717">
      <w:bodyDiv w:val="1"/>
      <w:marLeft w:val="0"/>
      <w:marRight w:val="0"/>
      <w:marTop w:val="0"/>
      <w:marBottom w:val="0"/>
      <w:divBdr>
        <w:top w:val="none" w:sz="0" w:space="0" w:color="auto"/>
        <w:left w:val="none" w:sz="0" w:space="0" w:color="auto"/>
        <w:bottom w:val="none" w:sz="0" w:space="0" w:color="auto"/>
        <w:right w:val="none" w:sz="0" w:space="0" w:color="auto"/>
      </w:divBdr>
    </w:div>
    <w:div w:id="1723402424">
      <w:bodyDiv w:val="1"/>
      <w:marLeft w:val="0"/>
      <w:marRight w:val="0"/>
      <w:marTop w:val="0"/>
      <w:marBottom w:val="0"/>
      <w:divBdr>
        <w:top w:val="none" w:sz="0" w:space="0" w:color="auto"/>
        <w:left w:val="none" w:sz="0" w:space="0" w:color="auto"/>
        <w:bottom w:val="none" w:sz="0" w:space="0" w:color="auto"/>
        <w:right w:val="none" w:sz="0" w:space="0" w:color="auto"/>
      </w:divBdr>
    </w:div>
    <w:div w:id="1935892957">
      <w:bodyDiv w:val="1"/>
      <w:marLeft w:val="0"/>
      <w:marRight w:val="0"/>
      <w:marTop w:val="0"/>
      <w:marBottom w:val="0"/>
      <w:divBdr>
        <w:top w:val="none" w:sz="0" w:space="0" w:color="auto"/>
        <w:left w:val="none" w:sz="0" w:space="0" w:color="auto"/>
        <w:bottom w:val="none" w:sz="0" w:space="0" w:color="auto"/>
        <w:right w:val="none" w:sz="0" w:space="0" w:color="auto"/>
      </w:divBdr>
    </w:div>
    <w:div w:id="2056079484">
      <w:bodyDiv w:val="1"/>
      <w:marLeft w:val="0"/>
      <w:marRight w:val="0"/>
      <w:marTop w:val="0"/>
      <w:marBottom w:val="0"/>
      <w:divBdr>
        <w:top w:val="none" w:sz="0" w:space="0" w:color="auto"/>
        <w:left w:val="none" w:sz="0" w:space="0" w:color="auto"/>
        <w:bottom w:val="none" w:sz="0" w:space="0" w:color="auto"/>
        <w:right w:val="none" w:sz="0" w:space="0" w:color="auto"/>
      </w:divBdr>
    </w:div>
    <w:div w:id="2082218202">
      <w:bodyDiv w:val="1"/>
      <w:marLeft w:val="0"/>
      <w:marRight w:val="0"/>
      <w:marTop w:val="0"/>
      <w:marBottom w:val="0"/>
      <w:divBdr>
        <w:top w:val="none" w:sz="0" w:space="0" w:color="auto"/>
        <w:left w:val="none" w:sz="0" w:space="0" w:color="auto"/>
        <w:bottom w:val="none" w:sz="0" w:space="0" w:color="auto"/>
        <w:right w:val="none" w:sz="0" w:space="0" w:color="auto"/>
      </w:divBdr>
    </w:div>
    <w:div w:id="2118979995">
      <w:bodyDiv w:val="1"/>
      <w:marLeft w:val="0"/>
      <w:marRight w:val="0"/>
      <w:marTop w:val="0"/>
      <w:marBottom w:val="0"/>
      <w:divBdr>
        <w:top w:val="none" w:sz="0" w:space="0" w:color="auto"/>
        <w:left w:val="none" w:sz="0" w:space="0" w:color="auto"/>
        <w:bottom w:val="none" w:sz="0" w:space="0" w:color="auto"/>
        <w:right w:val="none" w:sz="0" w:space="0" w:color="auto"/>
      </w:divBdr>
    </w:div>
    <w:div w:id="212063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data.nku.cz/download/vystupy-z-kontrol/ka-16-26/udaje-z-CRAB.xls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uzsvm.cz/cervenec-2434-0-85/ministerstvo-financi-zpristupnilo-dalsi-data-tentokrat-z-registru-budov-125111/" TargetMode="External"/><Relationship Id="rId1" Type="http://schemas.openxmlformats.org/officeDocument/2006/relationships/hyperlink" Target="http://data.nku.cz/download/vystupy-z-kontrol/ka-16-26/udaje-z-CRAB.xls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Agendy\_KA\16_26_CRAB\Z&#225;v&#283;r\KZ%20korektura%20textu\Graf%20&#269;.%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6435081348008E-2"/>
          <c:y val="5.4020861255712406E-2"/>
          <c:w val="0.88929284333667602"/>
          <c:h val="0.76165634775105162"/>
        </c:manualLayout>
      </c:layout>
      <c:barChart>
        <c:barDir val="col"/>
        <c:grouping val="stacked"/>
        <c:varyColors val="0"/>
        <c:ser>
          <c:idx val="0"/>
          <c:order val="0"/>
          <c:tx>
            <c:strRef>
              <c:f>'počty budov'!$A$2</c:f>
              <c:strCache>
                <c:ptCount val="1"/>
                <c:pt idx="0">
                  <c:v>Státní</c:v>
                </c:pt>
              </c:strCache>
            </c:strRef>
          </c:tx>
          <c:spPr>
            <a:solidFill>
              <a:srgbClr val="004595"/>
            </a:solidFill>
            <a:ln>
              <a:noFill/>
            </a:ln>
            <a:effectLst/>
          </c:spPr>
          <c:invertIfNegative val="0"/>
          <c:dLbls>
            <c:dLbl>
              <c:idx val="0"/>
              <c:layout>
                <c:manualLayout>
                  <c:x val="-6.026364156894255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20-42CB-B351-B89DCD32D852}"/>
                </c:ext>
              </c:extLst>
            </c:dLbl>
            <c:dLbl>
              <c:idx val="1"/>
              <c:layout>
                <c:manualLayout>
                  <c:x val="-5.2393875765529306E-2"/>
                  <c:y val="1.70531765721055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20-42CB-B351-B89DCD32D852}"/>
                </c:ext>
              </c:extLst>
            </c:dLbl>
            <c:dLbl>
              <c:idx val="2"/>
              <c:layout>
                <c:manualLayout>
                  <c:x val="-5.7276465441819774E-2"/>
                  <c:y val="-4.911012835724301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520-42CB-B351-B89DCD32D852}"/>
                </c:ext>
              </c:extLst>
            </c:dLbl>
            <c:dLbl>
              <c:idx val="3"/>
              <c:layout>
                <c:manualLayout>
                  <c:x val="-5.6838355297901606E-2"/>
                  <c:y val="-9.82197477376589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520-42CB-B351-B89DCD32D852}"/>
                </c:ext>
              </c:extLst>
            </c:dLbl>
            <c:dLbl>
              <c:idx val="4"/>
              <c:layout>
                <c:manualLayout>
                  <c:x val="-5.9644794400699995E-2"/>
                  <c:y val="9.822025671448603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520-42CB-B351-B89DCD32D852}"/>
                </c:ext>
              </c:extLst>
            </c:dLbl>
            <c:dLbl>
              <c:idx val="5"/>
              <c:layout>
                <c:manualLayout>
                  <c:x val="-5.4616097987751695E-2"/>
                  <c:y val="5.684392190701185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520-42CB-B351-B89DCD32D85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4595"/>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'počty budov'!$B$1:$G$1</c:f>
              <c:strCache>
                <c:ptCount val="6"/>
                <c:pt idx="0">
                  <c:v>2014 
administrativní</c:v>
                </c:pt>
                <c:pt idx="1">
                  <c:v>2014 
ostatní</c:v>
                </c:pt>
                <c:pt idx="2">
                  <c:v>2015 
administrativní</c:v>
                </c:pt>
                <c:pt idx="3">
                  <c:v>2015 
ostatní</c:v>
                </c:pt>
                <c:pt idx="4">
                  <c:v>2016 
administrativní</c:v>
                </c:pt>
                <c:pt idx="5">
                  <c:v>2016 
ostatní</c:v>
                </c:pt>
              </c:strCache>
            </c:strRef>
          </c:cat>
          <c:val>
            <c:numRef>
              <c:f>'počty budov'!$B$2:$G$2</c:f>
              <c:numCache>
                <c:formatCode>General</c:formatCode>
                <c:ptCount val="6"/>
                <c:pt idx="0">
                  <c:v>2524</c:v>
                </c:pt>
                <c:pt idx="1">
                  <c:v>311</c:v>
                </c:pt>
                <c:pt idx="2">
                  <c:v>2450</c:v>
                </c:pt>
                <c:pt idx="3">
                  <c:v>330</c:v>
                </c:pt>
                <c:pt idx="4">
                  <c:v>1634</c:v>
                </c:pt>
                <c:pt idx="5">
                  <c:v>299</c:v>
                </c:pt>
              </c:numCache>
            </c:numRef>
          </c:val>
          <c:extLst>
            <c:ext xmlns:c16="http://schemas.microsoft.com/office/drawing/2014/chart" uri="{C3380CC4-5D6E-409C-BE32-E72D297353CC}">
              <c16:uniqueId val="{00000006-F520-42CB-B351-B89DCD32D852}"/>
            </c:ext>
          </c:extLst>
        </c:ser>
        <c:ser>
          <c:idx val="1"/>
          <c:order val="1"/>
          <c:tx>
            <c:strRef>
              <c:f>'počty budov'!$A$3</c:f>
              <c:strCache>
                <c:ptCount val="1"/>
                <c:pt idx="0">
                  <c:v>Podílové</c:v>
                </c:pt>
              </c:strCache>
            </c:strRef>
          </c:tx>
          <c:spPr>
            <a:solidFill>
              <a:srgbClr val="BD2A33"/>
            </a:solidFill>
            <a:ln>
              <a:noFill/>
            </a:ln>
            <a:effectLst/>
          </c:spPr>
          <c:invertIfNegative val="0"/>
          <c:dLbls>
            <c:dLbl>
              <c:idx val="0"/>
              <c:layout>
                <c:manualLayout>
                  <c:x val="-5.2730686372824749E-2"/>
                  <c:y val="4.91098738688290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520-42CB-B351-B89DCD32D852}"/>
                </c:ext>
              </c:extLst>
            </c:dLbl>
            <c:dLbl>
              <c:idx val="1"/>
              <c:layout>
                <c:manualLayout>
                  <c:x val="-4.7997550306211764E-2"/>
                  <c:y val="2.47912846510614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520-42CB-B351-B89DCD32D852}"/>
                </c:ext>
              </c:extLst>
            </c:dLbl>
            <c:dLbl>
              <c:idx val="2"/>
              <c:layout>
                <c:manualLayout>
                  <c:x val="-5.330813648293963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520-42CB-B351-B89DCD32D852}"/>
                </c:ext>
              </c:extLst>
            </c:dLbl>
            <c:dLbl>
              <c:idx val="3"/>
              <c:layout>
                <c:manualLayout>
                  <c:x val="-4.7419947506561762E-2"/>
                  <c:y val="-6.30848883615585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520-42CB-B351-B89DCD32D852}"/>
                </c:ext>
              </c:extLst>
            </c:dLbl>
            <c:dLbl>
              <c:idx val="4"/>
              <c:layout>
                <c:manualLayout>
                  <c:x val="-5.5530358705161854E-2"/>
                  <c:y val="7.08229964405124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520-42CB-B351-B89DCD32D852}"/>
                </c:ext>
              </c:extLst>
            </c:dLbl>
            <c:dLbl>
              <c:idx val="5"/>
              <c:layout>
                <c:manualLayout>
                  <c:x val="-4.828626421697288E-2"/>
                  <c:y val="3.04749557736990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520-42CB-B351-B89DCD32D8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BD2A33"/>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'počty budov'!$B$1:$G$1</c:f>
              <c:strCache>
                <c:ptCount val="6"/>
                <c:pt idx="0">
                  <c:v>2014 
administrativní</c:v>
                </c:pt>
                <c:pt idx="1">
                  <c:v>2014 
ostatní</c:v>
                </c:pt>
                <c:pt idx="2">
                  <c:v>2015 
administrativní</c:v>
                </c:pt>
                <c:pt idx="3">
                  <c:v>2015 
ostatní</c:v>
                </c:pt>
                <c:pt idx="4">
                  <c:v>2016 
administrativní</c:v>
                </c:pt>
                <c:pt idx="5">
                  <c:v>2016 
ostatní</c:v>
                </c:pt>
              </c:strCache>
            </c:strRef>
          </c:cat>
          <c:val>
            <c:numRef>
              <c:f>'počty budov'!$B$3:$G$3</c:f>
              <c:numCache>
                <c:formatCode>General</c:formatCode>
                <c:ptCount val="6"/>
                <c:pt idx="0">
                  <c:v>47</c:v>
                </c:pt>
                <c:pt idx="1">
                  <c:v>9</c:v>
                </c:pt>
                <c:pt idx="2">
                  <c:v>45</c:v>
                </c:pt>
                <c:pt idx="3">
                  <c:v>9</c:v>
                </c:pt>
                <c:pt idx="4">
                  <c:v>47</c:v>
                </c:pt>
                <c:pt idx="5">
                  <c:v>5</c:v>
                </c:pt>
              </c:numCache>
            </c:numRef>
          </c:val>
          <c:extLst>
            <c:ext xmlns:c16="http://schemas.microsoft.com/office/drawing/2014/chart" uri="{C3380CC4-5D6E-409C-BE32-E72D297353CC}">
              <c16:uniqueId val="{0000000D-F520-42CB-B351-B89DCD32D852}"/>
            </c:ext>
          </c:extLst>
        </c:ser>
        <c:ser>
          <c:idx val="2"/>
          <c:order val="2"/>
          <c:tx>
            <c:strRef>
              <c:f>'počty budov'!$A$4</c:f>
              <c:strCache>
                <c:ptCount val="1"/>
                <c:pt idx="0">
                  <c:v>Nestátní</c:v>
                </c:pt>
              </c:strCache>
            </c:strRef>
          </c:tx>
          <c:spPr>
            <a:solidFill>
              <a:srgbClr val="808080"/>
            </a:solidFill>
            <a:ln>
              <a:noFill/>
            </a:ln>
            <a:effectLst/>
          </c:spPr>
          <c:invertIfNegative val="0"/>
          <c:dLbls>
            <c:dLbl>
              <c:idx val="0"/>
              <c:layout>
                <c:manualLayout>
                  <c:x val="6.0262467191601052E-4"/>
                  <c:y val="-0.10354114982202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520-42CB-B351-B89DCD32D852}"/>
                </c:ext>
              </c:extLst>
            </c:dLbl>
            <c:dLbl>
              <c:idx val="1"/>
              <c:layout>
                <c:manualLayout>
                  <c:x val="-1.3308836395450976E-3"/>
                  <c:y val="-3.39665623988783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520-42CB-B351-B89DCD32D852}"/>
                </c:ext>
              </c:extLst>
            </c:dLbl>
            <c:dLbl>
              <c:idx val="2"/>
              <c:layout>
                <c:manualLayout>
                  <c:x val="-2.1970253718285216E-3"/>
                  <c:y val="-0.1029727106029554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520-42CB-B351-B89DCD32D852}"/>
                </c:ext>
              </c:extLst>
            </c:dLbl>
            <c:dLbl>
              <c:idx val="3"/>
              <c:layout>
                <c:manualLayout>
                  <c:x val="-1.0419947506562495E-3"/>
                  <c:y val="-3.4535001617948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520-42CB-B351-B89DCD32D852}"/>
                </c:ext>
              </c:extLst>
            </c:dLbl>
            <c:dLbl>
              <c:idx val="4"/>
              <c:layout>
                <c:manualLayout>
                  <c:x val="-2.4859142607174104E-3"/>
                  <c:y val="-8.76712328767123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520-42CB-B351-B89DCD32D852}"/>
                </c:ext>
              </c:extLst>
            </c:dLbl>
            <c:dLbl>
              <c:idx val="5"/>
              <c:layout>
                <c:manualLayout>
                  <c:x val="-4.1305336832895886E-3"/>
                  <c:y val="-3.39665623988782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520-42CB-B351-B89DCD32D8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0808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'počty budov'!$B$1:$G$1</c:f>
              <c:strCache>
                <c:ptCount val="6"/>
                <c:pt idx="0">
                  <c:v>2014 
administrativní</c:v>
                </c:pt>
                <c:pt idx="1">
                  <c:v>2014 
ostatní</c:v>
                </c:pt>
                <c:pt idx="2">
                  <c:v>2015 
administrativní</c:v>
                </c:pt>
                <c:pt idx="3">
                  <c:v>2015 
ostatní</c:v>
                </c:pt>
                <c:pt idx="4">
                  <c:v>2016 
administrativní</c:v>
                </c:pt>
                <c:pt idx="5">
                  <c:v>2016 
ostatní</c:v>
                </c:pt>
              </c:strCache>
            </c:strRef>
          </c:cat>
          <c:val>
            <c:numRef>
              <c:f>'počty budov'!$B$4:$G$4</c:f>
              <c:numCache>
                <c:formatCode>General</c:formatCode>
                <c:ptCount val="6"/>
                <c:pt idx="0">
                  <c:v>850</c:v>
                </c:pt>
                <c:pt idx="1">
                  <c:v>82</c:v>
                </c:pt>
                <c:pt idx="2">
                  <c:v>876</c:v>
                </c:pt>
                <c:pt idx="3">
                  <c:v>88</c:v>
                </c:pt>
                <c:pt idx="4">
                  <c:v>659</c:v>
                </c:pt>
                <c:pt idx="5">
                  <c:v>80</c:v>
                </c:pt>
              </c:numCache>
            </c:numRef>
          </c:val>
          <c:extLst>
            <c:ext xmlns:c16="http://schemas.microsoft.com/office/drawing/2014/chart" uri="{C3380CC4-5D6E-409C-BE32-E72D297353CC}">
              <c16:uniqueId val="{00000014-F520-42CB-B351-B89DCD32D852}"/>
            </c:ext>
          </c:extLst>
        </c:ser>
        <c:dLbls>
          <c:showLegendKey val="0"/>
          <c:showVal val="0"/>
          <c:showCatName val="0"/>
          <c:showSerName val="0"/>
          <c:showPercent val="0"/>
          <c:showBubbleSize val="0"/>
        </c:dLbls>
        <c:gapWidth val="150"/>
        <c:overlap val="100"/>
        <c:axId val="218201664"/>
        <c:axId val="218202056"/>
      </c:barChart>
      <c:catAx>
        <c:axId val="2182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8202056"/>
        <c:crosses val="autoZero"/>
        <c:auto val="1"/>
        <c:lblAlgn val="ctr"/>
        <c:lblOffset val="100"/>
        <c:noMultiLvlLbl val="0"/>
      </c:catAx>
      <c:valAx>
        <c:axId val="218202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8201664"/>
        <c:crosses val="autoZero"/>
        <c:crossBetween val="between"/>
      </c:valAx>
      <c:spPr>
        <a:noFill/>
        <a:ln>
          <a:noFill/>
        </a:ln>
        <a:effectLst/>
      </c:spPr>
    </c:plotArea>
    <c:legend>
      <c:legendPos val="b"/>
      <c:layout>
        <c:manualLayout>
          <c:xMode val="edge"/>
          <c:yMode val="edge"/>
          <c:x val="0.33883464566929133"/>
          <c:y val="0.89361624533775386"/>
          <c:w val="0.32233053666745237"/>
          <c:h val="0.10638369690718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BE7F21767FC848B401F93769BF52F8" ma:contentTypeVersion="1" ma:contentTypeDescription="Vytvoří nový dokument" ma:contentTypeScope="" ma:versionID="ed35c2fefd6353871d010b7270e8af0c">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30F8-ACD3-4488-B492-AC8F797F2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EAB75-89D2-4BB0-BA75-7249665B8AC5}">
  <ds:schemaRefs>
    <ds:schemaRef ds:uri="http://schemas.microsoft.com/sharepoint/v3/contenttype/forms"/>
  </ds:schemaRefs>
</ds:datastoreItem>
</file>

<file path=customXml/itemProps3.xml><?xml version="1.0" encoding="utf-8"?>
<ds:datastoreItem xmlns:ds="http://schemas.openxmlformats.org/officeDocument/2006/customXml" ds:itemID="{D0B82121-075A-45D4-A705-8AF544BB247B}">
  <ds:schemaRefs>
    <ds:schemaRef ds:uri="http://purl.org/dc/terms/"/>
    <ds:schemaRef ds:uri="http://www.w3.org/XML/1998/namespace"/>
    <ds:schemaRef ds:uri="http://purl.org/dc/dcmitype/"/>
    <ds:schemaRef ds:uri="http://schemas.microsoft.com/sharepoint/v3"/>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FA512F8-904A-4AE8-BABA-2EAE43A4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7889BEC.dotm</Template>
  <TotalTime>2</TotalTime>
  <Pages>37</Pages>
  <Words>11229</Words>
  <Characters>66257</Characters>
  <Application>Microsoft Office Word</Application>
  <DocSecurity>4</DocSecurity>
  <Lines>552</Lines>
  <Paragraphs>154</Paragraphs>
  <ScaleCrop>false</ScaleCrop>
  <HeadingPairs>
    <vt:vector size="2" baseType="variant">
      <vt:variant>
        <vt:lpstr>Název</vt:lpstr>
      </vt:variant>
      <vt:variant>
        <vt:i4>1</vt:i4>
      </vt:variant>
    </vt:vector>
  </HeadingPairs>
  <TitlesOfParts>
    <vt:vector size="1" baseType="lpstr">
      <vt:lpstr>Kontrolní závěr z kontrolní akce NKÚ č. 16/13 - Peněžní prostředky vynakládané na rozvoj vzdělávání v České republice</vt:lpstr>
    </vt:vector>
  </TitlesOfParts>
  <Company>Nejvyšší kontrolní úřad</Company>
  <LinksUpToDate>false</LinksUpToDate>
  <CharactersWithSpaces>77332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16/26 - Výdaje na provoz a využití nemovitého majetku včetně výdajů na zajištění informační podpory související se správou, provozem a údržbou nemovitého majetku</dc:title>
  <dc:subject>Kontrolní závěr z kontrolní akce NKÚ č. 16/13 - Peněžní prostředky vynakládané na rozvoj vzdělávání v České republice</dc:subject>
  <dc:creator>KUBÍČEK Josef</dc:creator>
  <cp:keywords>kontrolní závěr;CRAB;nemovitosti</cp:keywords>
  <cp:lastModifiedBy>KOKRDA Daniel</cp:lastModifiedBy>
  <cp:revision>2</cp:revision>
  <cp:lastPrinted>2017-11-06T13:24:00Z</cp:lastPrinted>
  <dcterms:created xsi:type="dcterms:W3CDTF">2017-11-08T09:35:00Z</dcterms:created>
  <dcterms:modified xsi:type="dcterms:W3CDTF">2017-11-08T09:35:00Z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J">
    <vt:lpwstr>15/26-NKU30/394/16</vt:lpwstr>
  </property>
  <property fmtid="{D5CDD505-2E9C-101B-9397-08002B2CF9AE}" pid="3" name="Contact_PostaOdes_All">
    <vt:lpwstr>ROZDĚLOVNÍK...</vt:lpwstr>
  </property>
  <property fmtid="{D5CDD505-2E9C-101B-9397-08002B2CF9AE}" pid="4" name="SZ_Spis_Pisemnost">
    <vt:lpwstr>15/26</vt:lpwstr>
  </property>
  <property fmtid="{D5CDD505-2E9C-101B-9397-08002B2CF9AE}" pid="5" name="DisplayName_SpisovyUzel_PoziceZodpo_Pisemnost">
    <vt:lpwstr>30</vt:lpwstr>
  </property>
  <property fmtid="{D5CDD505-2E9C-101B-9397-08002B2CF9AE}" pid="6" name="Zkratka_SpisovyUzel_PoziceZodpo_Pisemnost">
    <vt:lpwstr>30</vt:lpwstr>
  </property>
  <property fmtid="{D5CDD505-2E9C-101B-9397-08002B2CF9AE}" pid="7" name="Key_BarCode_Pisemnost">
    <vt:lpwstr>*B000263454*</vt:lpwstr>
  </property>
  <property fmtid="{D5CDD505-2E9C-101B-9397-08002B2CF9AE}" pid="8" name="EC_Pisemnost">
    <vt:lpwstr>16-5727/NKU</vt:lpwstr>
  </property>
  <property fmtid="{D5CDD505-2E9C-101B-9397-08002B2CF9AE}" pid="9" name="Odkaz">
    <vt:lpwstr>ODKAZ</vt:lpwstr>
  </property>
  <property fmtid="{D5CDD505-2E9C-101B-9397-08002B2CF9AE}" pid="10" name="SkartacniZnakLhuta_PisemnostZnak">
    <vt:lpwstr>?/?</vt:lpwstr>
  </property>
  <property fmtid="{D5CDD505-2E9C-101B-9397-08002B2CF9AE}" pid="11" name="CJ_Spis_Pisemnost">
    <vt:lpwstr>CJ/SPIS/ROK</vt:lpwstr>
  </property>
  <property fmtid="{D5CDD505-2E9C-101B-9397-08002B2CF9AE}" pid="12" name="UserName_PisemnostTypZpristupneniInformaciZOSZ_Pisemnost">
    <vt:lpwstr>ZOSZ_UserName</vt:lpwstr>
  </property>
  <property fmtid="{D5CDD505-2E9C-101B-9397-08002B2CF9AE}" pid="13" name="Password_PisemnostTypZpristupneniInformaciZOSZ_Pisemnost">
    <vt:lpwstr>ZOSZ_Password</vt:lpwstr>
  </property>
  <property fmtid="{D5CDD505-2E9C-101B-9397-08002B2CF9AE}" pid="14" name="DatumPlatnosti_PisemnostTypZpristupneniInformaciZOSZ_Pisemnost">
    <vt:lpwstr>ZOSZ_DatumPlatnosti</vt:lpwstr>
  </property>
  <property fmtid="{D5CDD505-2E9C-101B-9397-08002B2CF9AE}" pid="15" name="TEST">
    <vt:lpwstr>testovací pole</vt:lpwstr>
  </property>
  <property fmtid="{D5CDD505-2E9C-101B-9397-08002B2CF9AE}" pid="16" name="PocetListu_Pisemnost">
    <vt:lpwstr>1</vt:lpwstr>
  </property>
  <property fmtid="{D5CDD505-2E9C-101B-9397-08002B2CF9AE}" pid="17" name="Vec_Pisemnost">
    <vt:lpwstr>Návrh kontrolního závěru 15/26 do připomínek</vt:lpwstr>
  </property>
  <property fmtid="{D5CDD505-2E9C-101B-9397-08002B2CF9AE}" pid="18" name="DatumPoriz_Pisemnost">
    <vt:lpwstr>15.4.2016</vt:lpwstr>
  </property>
  <property fmtid="{D5CDD505-2E9C-101B-9397-08002B2CF9AE}" pid="19" name="KRukam">
    <vt:lpwstr>{KRukam}</vt:lpwstr>
  </property>
  <property fmtid="{D5CDD505-2E9C-101B-9397-08002B2CF9AE}" pid="20" name="PocetListuDokumentu_Pisemnost">
    <vt:lpwstr>1</vt:lpwstr>
  </property>
  <property fmtid="{D5CDD505-2E9C-101B-9397-08002B2CF9AE}" pid="21" name="PocetPriloh_Pisemnost">
    <vt:lpwstr>0</vt:lpwstr>
  </property>
  <property fmtid="{D5CDD505-2E9C-101B-9397-08002B2CF9AE}" pid="22" name="TypPrilohy_Pisemnost">
    <vt:lpwstr>TYP PŘÍLOHY</vt:lpwstr>
  </property>
  <property fmtid="{D5CDD505-2E9C-101B-9397-08002B2CF9AE}" pid="23" name="DisplayName_UserPoriz_Pisemnost">
    <vt:lpwstr>Bc. Jana Pokorná</vt:lpwstr>
  </property>
  <property fmtid="{D5CDD505-2E9C-101B-9397-08002B2CF9AE}" pid="24" name="Podpis">
    <vt:lpwstr/>
  </property>
  <property fmtid="{D5CDD505-2E9C-101B-9397-08002B2CF9AE}" pid="25" name="SmlouvaCislo">
    <vt:lpwstr>ČÍSLO SMLOUVY</vt:lpwstr>
  </property>
  <property fmtid="{D5CDD505-2E9C-101B-9397-08002B2CF9AE}" pid="26" name="ContentTypeId">
    <vt:lpwstr>0x010100B0BE7F21767FC848B401F93769BF52F8</vt:lpwstr>
  </property>
</Properties>
</file>