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D7F90" w14:textId="77777777" w:rsidR="00393DDB" w:rsidRPr="00393DDB" w:rsidRDefault="00393DDB" w:rsidP="00955A9E">
      <w:pPr>
        <w:spacing w:after="0" w:line="240" w:lineRule="auto"/>
        <w:jc w:val="center"/>
        <w:rPr>
          <w:sz w:val="24"/>
          <w:szCs w:val="24"/>
        </w:rPr>
      </w:pPr>
      <w:bookmarkStart w:id="0" w:name="_GoBack"/>
      <w:bookmarkEnd w:id="0"/>
      <w:r w:rsidRPr="00393DDB">
        <w:rPr>
          <w:noProof/>
          <w:sz w:val="24"/>
          <w:szCs w:val="24"/>
          <w:lang w:eastAsia="cs-CZ"/>
        </w:rPr>
        <w:drawing>
          <wp:anchor distT="0" distB="0" distL="114300" distR="114300" simplePos="0" relativeHeight="251659264" behindDoc="0" locked="0" layoutInCell="1" allowOverlap="1" wp14:anchorId="363BBC91" wp14:editId="2CBDDF2B">
            <wp:simplePos x="0" y="0"/>
            <wp:positionH relativeFrom="column">
              <wp:posOffset>2543175</wp:posOffset>
            </wp:positionH>
            <wp:positionV relativeFrom="paragraph">
              <wp:posOffset>0</wp:posOffset>
            </wp:positionV>
            <wp:extent cx="751597" cy="54000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332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1597" cy="540000"/>
                    </a:xfrm>
                    <a:prstGeom prst="rect">
                      <a:avLst/>
                    </a:prstGeom>
                    <a:noFill/>
                  </pic:spPr>
                </pic:pic>
              </a:graphicData>
            </a:graphic>
            <wp14:sizeRelH relativeFrom="page">
              <wp14:pctWidth>0</wp14:pctWidth>
            </wp14:sizeRelH>
            <wp14:sizeRelV relativeFrom="page">
              <wp14:pctHeight>0</wp14:pctHeight>
            </wp14:sizeRelV>
          </wp:anchor>
        </w:drawing>
      </w:r>
    </w:p>
    <w:p w14:paraId="50A3A588" w14:textId="77777777" w:rsidR="00393DDB" w:rsidRDefault="00393DDB" w:rsidP="00955A9E">
      <w:pPr>
        <w:spacing w:after="0" w:line="240" w:lineRule="auto"/>
        <w:jc w:val="center"/>
        <w:rPr>
          <w:sz w:val="24"/>
          <w:szCs w:val="24"/>
        </w:rPr>
      </w:pPr>
    </w:p>
    <w:p w14:paraId="311233BD" w14:textId="77777777" w:rsidR="009566F9" w:rsidRPr="00393DDB" w:rsidRDefault="009566F9" w:rsidP="00955A9E">
      <w:pPr>
        <w:spacing w:after="0" w:line="240" w:lineRule="auto"/>
        <w:jc w:val="center"/>
        <w:rPr>
          <w:sz w:val="24"/>
          <w:szCs w:val="24"/>
        </w:rPr>
      </w:pPr>
    </w:p>
    <w:p w14:paraId="2257B1A1" w14:textId="77777777" w:rsidR="00393DDB" w:rsidRPr="00393DDB" w:rsidRDefault="00393DDB" w:rsidP="00955A9E">
      <w:pPr>
        <w:spacing w:after="0" w:line="240" w:lineRule="auto"/>
        <w:jc w:val="center"/>
        <w:outlineLvl w:val="8"/>
        <w:rPr>
          <w:rFonts w:eastAsia="Times New Roman" w:cs="Calibri"/>
          <w:b/>
          <w:sz w:val="28"/>
          <w:szCs w:val="28"/>
          <w:lang w:eastAsia="cs-CZ"/>
        </w:rPr>
      </w:pPr>
      <w:r w:rsidRPr="00393DDB">
        <w:rPr>
          <w:rFonts w:eastAsia="Times New Roman" w:cs="Calibri"/>
          <w:b/>
          <w:sz w:val="28"/>
          <w:szCs w:val="28"/>
          <w:lang w:eastAsia="cs-CZ"/>
        </w:rPr>
        <w:t>Kontrolní závěr z kontrolní akce</w:t>
      </w:r>
    </w:p>
    <w:p w14:paraId="19462A68" w14:textId="77777777" w:rsidR="00393DDB" w:rsidRPr="00393DDB" w:rsidRDefault="00393DDB" w:rsidP="00955A9E">
      <w:pPr>
        <w:spacing w:after="0" w:line="240" w:lineRule="auto"/>
        <w:jc w:val="center"/>
        <w:rPr>
          <w:rFonts w:cs="Calibri"/>
          <w:sz w:val="24"/>
          <w:szCs w:val="24"/>
        </w:rPr>
      </w:pPr>
    </w:p>
    <w:p w14:paraId="33D5A51C" w14:textId="77777777" w:rsidR="00393DDB" w:rsidRPr="00393DDB" w:rsidRDefault="00393DDB" w:rsidP="00955A9E">
      <w:pPr>
        <w:spacing w:after="0" w:line="240" w:lineRule="auto"/>
        <w:jc w:val="center"/>
        <w:rPr>
          <w:rFonts w:cs="Calibri"/>
          <w:b/>
          <w:bCs/>
          <w:sz w:val="28"/>
          <w:szCs w:val="28"/>
        </w:rPr>
      </w:pPr>
      <w:r w:rsidRPr="00393DDB">
        <w:rPr>
          <w:rFonts w:cs="Calibri"/>
          <w:b/>
          <w:bCs/>
          <w:sz w:val="28"/>
          <w:szCs w:val="28"/>
        </w:rPr>
        <w:t>17/09</w:t>
      </w:r>
    </w:p>
    <w:p w14:paraId="262BE808" w14:textId="77777777" w:rsidR="00393DDB" w:rsidRPr="00393DDB" w:rsidRDefault="00393DDB" w:rsidP="00955A9E">
      <w:pPr>
        <w:spacing w:after="0" w:line="240" w:lineRule="auto"/>
        <w:jc w:val="center"/>
        <w:rPr>
          <w:rFonts w:cs="Calibri"/>
          <w:sz w:val="24"/>
          <w:szCs w:val="24"/>
        </w:rPr>
      </w:pPr>
    </w:p>
    <w:p w14:paraId="7D7151F8" w14:textId="77777777" w:rsidR="00393DDB" w:rsidRDefault="00393DDB" w:rsidP="00955A9E">
      <w:pPr>
        <w:spacing w:after="0" w:line="240" w:lineRule="auto"/>
        <w:jc w:val="center"/>
        <w:rPr>
          <w:rFonts w:eastAsia="Times New Roman" w:cs="Calibri"/>
          <w:b/>
          <w:sz w:val="28"/>
          <w:szCs w:val="28"/>
          <w:lang w:eastAsia="cs-CZ"/>
        </w:rPr>
      </w:pPr>
      <w:r w:rsidRPr="00393DDB">
        <w:rPr>
          <w:rFonts w:eastAsia="Times New Roman" w:cs="Calibri"/>
          <w:b/>
          <w:sz w:val="28"/>
          <w:szCs w:val="28"/>
          <w:lang w:eastAsia="cs-CZ"/>
        </w:rPr>
        <w:t>Akce stavebního charakteru prováděné za účelem oprav, modernizace a rozvoje sítě silnic II. a III. tříd na území vybraných krajů, spolufinancované z prostředků Evropské unie a národních zdrojů</w:t>
      </w:r>
    </w:p>
    <w:p w14:paraId="7F6299D7" w14:textId="77777777" w:rsidR="00973A99" w:rsidRPr="00D86736" w:rsidRDefault="00973A99" w:rsidP="00955A9E">
      <w:pPr>
        <w:spacing w:after="0" w:line="240" w:lineRule="auto"/>
        <w:jc w:val="both"/>
        <w:rPr>
          <w:rFonts w:ascii="Calibri" w:eastAsia="Times New Roman" w:hAnsi="Calibri" w:cs="Calibri"/>
          <w:sz w:val="24"/>
          <w:szCs w:val="24"/>
          <w:lang w:eastAsia="cs-CZ"/>
        </w:rPr>
      </w:pPr>
    </w:p>
    <w:p w14:paraId="04B4CBF7" w14:textId="77777777" w:rsidR="00393DDB" w:rsidRPr="00D86736" w:rsidRDefault="00393DDB" w:rsidP="00955A9E">
      <w:pPr>
        <w:spacing w:after="0" w:line="240" w:lineRule="auto"/>
        <w:jc w:val="both"/>
        <w:rPr>
          <w:rFonts w:ascii="Calibri" w:hAnsi="Calibri" w:cs="Calibri"/>
          <w:sz w:val="24"/>
          <w:szCs w:val="24"/>
        </w:rPr>
      </w:pPr>
    </w:p>
    <w:p w14:paraId="270163C7" w14:textId="77777777" w:rsidR="00D86736" w:rsidRDefault="00393DDB" w:rsidP="00955A9E">
      <w:pPr>
        <w:spacing w:after="0" w:line="240" w:lineRule="auto"/>
        <w:jc w:val="both"/>
        <w:rPr>
          <w:rFonts w:ascii="Calibri" w:eastAsia="Times New Roman" w:hAnsi="Calibri" w:cs="Calibri"/>
          <w:sz w:val="24"/>
          <w:szCs w:val="24"/>
        </w:rPr>
      </w:pPr>
      <w:r w:rsidRPr="009566F9">
        <w:rPr>
          <w:rFonts w:ascii="Calibri" w:eastAsia="Times New Roman" w:hAnsi="Calibri" w:cs="Calibri"/>
          <w:sz w:val="24"/>
          <w:szCs w:val="24"/>
        </w:rPr>
        <w:t>Kontrolní akce byla zařazena do plánu kontrolní činnosti Nejvyššího kontrolního úřadu (dále také „NKÚ“) na rok 2017 pod číslem 17/09. Kontrolní akci řídil a kontrolní závěr vypracoval člen NKÚ Ing. Jan Málek.</w:t>
      </w:r>
    </w:p>
    <w:p w14:paraId="7B5D80BD" w14:textId="77777777" w:rsidR="00D86736" w:rsidRDefault="00D86736" w:rsidP="00955A9E">
      <w:pPr>
        <w:spacing w:after="0" w:line="240" w:lineRule="auto"/>
        <w:jc w:val="both"/>
        <w:rPr>
          <w:rFonts w:ascii="Calibri" w:eastAsia="Times New Roman" w:hAnsi="Calibri" w:cs="Calibri"/>
          <w:sz w:val="24"/>
          <w:szCs w:val="24"/>
        </w:rPr>
      </w:pPr>
    </w:p>
    <w:p w14:paraId="4D20BC62" w14:textId="77777777" w:rsidR="00393DDB" w:rsidRDefault="00393DDB" w:rsidP="00955A9E">
      <w:pPr>
        <w:spacing w:after="0" w:line="240" w:lineRule="auto"/>
        <w:jc w:val="both"/>
        <w:rPr>
          <w:rFonts w:ascii="Calibri" w:eastAsia="Times New Roman" w:hAnsi="Calibri" w:cs="Calibri"/>
          <w:sz w:val="24"/>
          <w:szCs w:val="24"/>
        </w:rPr>
      </w:pPr>
      <w:r w:rsidRPr="009566F9">
        <w:rPr>
          <w:rFonts w:ascii="Calibri" w:eastAsia="Times New Roman" w:hAnsi="Calibri" w:cs="Calibri"/>
          <w:sz w:val="24"/>
          <w:szCs w:val="24"/>
        </w:rPr>
        <w:t>Cílem kontroly bylo prověřit, zda byly opravy, modernizace a rozvoj silnic II. a III. třídy prováděny hospodárně, účelně a efektivně a zda byla dodržena pravidla a podmínky pro použití prostředků z Evropské unie a národních zdrojů.</w:t>
      </w:r>
    </w:p>
    <w:p w14:paraId="7BE7E0D4" w14:textId="77777777" w:rsidR="00D86736" w:rsidRPr="009566F9" w:rsidRDefault="00D86736" w:rsidP="00955A9E">
      <w:pPr>
        <w:spacing w:after="0" w:line="240" w:lineRule="auto"/>
        <w:jc w:val="both"/>
        <w:rPr>
          <w:rFonts w:ascii="Calibri" w:eastAsia="Times New Roman" w:hAnsi="Calibri" w:cs="Calibri"/>
          <w:sz w:val="24"/>
          <w:szCs w:val="24"/>
        </w:rPr>
      </w:pPr>
    </w:p>
    <w:p w14:paraId="09A90E12" w14:textId="77777777" w:rsidR="00393DDB" w:rsidRPr="009566F9" w:rsidRDefault="00393DDB" w:rsidP="00955A9E">
      <w:pPr>
        <w:spacing w:after="0" w:line="240" w:lineRule="auto"/>
        <w:jc w:val="both"/>
        <w:rPr>
          <w:rFonts w:ascii="Calibri" w:eastAsia="Times New Roman" w:hAnsi="Calibri" w:cs="Calibri"/>
          <w:sz w:val="24"/>
          <w:szCs w:val="24"/>
          <w:lang w:eastAsia="cs-CZ"/>
        </w:rPr>
      </w:pPr>
      <w:r w:rsidRPr="009566F9">
        <w:rPr>
          <w:rFonts w:ascii="Calibri" w:eastAsia="Times New Roman" w:hAnsi="Calibri" w:cs="Calibri"/>
          <w:sz w:val="24"/>
          <w:szCs w:val="24"/>
          <w:lang w:eastAsia="cs-CZ"/>
        </w:rPr>
        <w:t>Kontrolováno bylo období od roku 2014 do roku 2016, v případě věcných souvislostí i období předcházející a následující. Kontrola byla prováděna u kontrolovaných osob od února 2017 do srpna 2017.</w:t>
      </w:r>
    </w:p>
    <w:p w14:paraId="358D6F21" w14:textId="77777777" w:rsidR="00393DDB" w:rsidRPr="009566F9" w:rsidRDefault="00393DDB" w:rsidP="00955A9E">
      <w:pPr>
        <w:spacing w:after="0" w:line="240" w:lineRule="auto"/>
        <w:jc w:val="both"/>
        <w:rPr>
          <w:rFonts w:ascii="Calibri" w:eastAsia="Times New Roman" w:hAnsi="Calibri" w:cs="Calibri"/>
          <w:sz w:val="24"/>
          <w:szCs w:val="24"/>
          <w:lang w:eastAsia="cs-CZ"/>
        </w:rPr>
      </w:pPr>
    </w:p>
    <w:p w14:paraId="0DED0D5F" w14:textId="77777777" w:rsidR="00393DDB" w:rsidRPr="009566F9" w:rsidRDefault="00393DDB" w:rsidP="00955A9E">
      <w:pPr>
        <w:spacing w:after="0" w:line="240" w:lineRule="auto"/>
        <w:jc w:val="both"/>
        <w:rPr>
          <w:rFonts w:ascii="Calibri" w:eastAsia="Times New Roman" w:hAnsi="Calibri" w:cs="Calibri"/>
          <w:b/>
          <w:sz w:val="24"/>
          <w:szCs w:val="24"/>
        </w:rPr>
      </w:pPr>
      <w:r w:rsidRPr="009566F9">
        <w:rPr>
          <w:rFonts w:ascii="Calibri" w:eastAsia="Times New Roman" w:hAnsi="Calibri" w:cs="Calibri"/>
          <w:b/>
          <w:sz w:val="24"/>
          <w:szCs w:val="24"/>
        </w:rPr>
        <w:t>Kontrolované osoby:</w:t>
      </w:r>
    </w:p>
    <w:p w14:paraId="5A26BAD2" w14:textId="0AE24A1D" w:rsidR="00393DDB" w:rsidRPr="009566F9" w:rsidRDefault="00393DDB" w:rsidP="00955A9E">
      <w:pPr>
        <w:spacing w:after="0" w:line="240" w:lineRule="auto"/>
        <w:jc w:val="both"/>
        <w:rPr>
          <w:rFonts w:ascii="Calibri" w:eastAsia="Times New Roman" w:hAnsi="Calibri" w:cs="Calibri"/>
          <w:sz w:val="24"/>
          <w:szCs w:val="24"/>
          <w:lang w:eastAsia="cs-CZ"/>
        </w:rPr>
      </w:pPr>
      <w:r w:rsidRPr="009566F9">
        <w:rPr>
          <w:rFonts w:ascii="Calibri" w:eastAsia="Times New Roman" w:hAnsi="Calibri" w:cs="Calibri"/>
          <w:sz w:val="24"/>
          <w:szCs w:val="24"/>
          <w:lang w:eastAsia="cs-CZ"/>
        </w:rPr>
        <w:t>Státní</w:t>
      </w:r>
      <w:r w:rsidR="00E16FAF">
        <w:rPr>
          <w:rFonts w:ascii="Calibri" w:eastAsia="Times New Roman" w:hAnsi="Calibri" w:cs="Calibri"/>
          <w:sz w:val="24"/>
          <w:szCs w:val="24"/>
          <w:lang w:eastAsia="cs-CZ"/>
        </w:rPr>
        <w:t xml:space="preserve"> </w:t>
      </w:r>
      <w:r w:rsidRPr="009566F9">
        <w:rPr>
          <w:rFonts w:ascii="Calibri" w:eastAsia="Times New Roman" w:hAnsi="Calibri" w:cs="Calibri"/>
          <w:sz w:val="24"/>
          <w:szCs w:val="24"/>
          <w:lang w:eastAsia="cs-CZ"/>
        </w:rPr>
        <w:t>fond</w:t>
      </w:r>
      <w:r w:rsidR="00E16FAF">
        <w:rPr>
          <w:rFonts w:ascii="Calibri" w:eastAsia="Times New Roman" w:hAnsi="Calibri" w:cs="Calibri"/>
          <w:sz w:val="24"/>
          <w:szCs w:val="24"/>
          <w:lang w:eastAsia="cs-CZ"/>
        </w:rPr>
        <w:t xml:space="preserve"> </w:t>
      </w:r>
      <w:r w:rsidRPr="009566F9">
        <w:rPr>
          <w:rFonts w:ascii="Calibri" w:eastAsia="Times New Roman" w:hAnsi="Calibri" w:cs="Calibri"/>
          <w:sz w:val="24"/>
          <w:szCs w:val="24"/>
          <w:lang w:eastAsia="cs-CZ"/>
        </w:rPr>
        <w:t>dopravní</w:t>
      </w:r>
      <w:r w:rsidR="00E16FAF">
        <w:rPr>
          <w:rFonts w:ascii="Calibri" w:eastAsia="Times New Roman" w:hAnsi="Calibri" w:cs="Calibri"/>
          <w:sz w:val="24"/>
          <w:szCs w:val="24"/>
          <w:lang w:eastAsia="cs-CZ"/>
        </w:rPr>
        <w:t xml:space="preserve"> </w:t>
      </w:r>
      <w:r w:rsidRPr="009566F9">
        <w:rPr>
          <w:rFonts w:ascii="Calibri" w:eastAsia="Times New Roman" w:hAnsi="Calibri" w:cs="Calibri"/>
          <w:sz w:val="24"/>
          <w:szCs w:val="24"/>
          <w:lang w:eastAsia="cs-CZ"/>
        </w:rPr>
        <w:t>infrastruktury, Praha (dále také „SFDI“)</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Regionální rada regionu soudržnosti Jihozápad, České Budějovice (dále také „RRJZ“)</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Jihočeský kraj, České Budějovice (dále také „</w:t>
      </w:r>
      <w:r w:rsidR="001C0690" w:rsidRPr="009566F9">
        <w:rPr>
          <w:rFonts w:ascii="Calibri" w:eastAsia="Times New Roman" w:hAnsi="Calibri" w:cs="Calibri"/>
          <w:sz w:val="24"/>
          <w:szCs w:val="24"/>
          <w:lang w:eastAsia="cs-CZ"/>
        </w:rPr>
        <w:t>JHČ</w:t>
      </w:r>
      <w:r w:rsidRPr="009566F9">
        <w:rPr>
          <w:rFonts w:ascii="Calibri" w:eastAsia="Times New Roman" w:hAnsi="Calibri" w:cs="Calibri"/>
          <w:sz w:val="24"/>
          <w:szCs w:val="24"/>
          <w:lang w:eastAsia="cs-CZ"/>
        </w:rPr>
        <w:t>“)</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Liberecký kraj, Liberec (dále také „</w:t>
      </w:r>
      <w:r w:rsidR="001C0690" w:rsidRPr="009566F9">
        <w:rPr>
          <w:rFonts w:ascii="Calibri" w:eastAsia="Times New Roman" w:hAnsi="Calibri" w:cs="Calibri"/>
          <w:sz w:val="24"/>
          <w:szCs w:val="24"/>
          <w:lang w:eastAsia="cs-CZ"/>
        </w:rPr>
        <w:t>LBK</w:t>
      </w:r>
      <w:r w:rsidRPr="009566F9">
        <w:rPr>
          <w:rFonts w:ascii="Calibri" w:eastAsia="Times New Roman" w:hAnsi="Calibri" w:cs="Calibri"/>
          <w:sz w:val="24"/>
          <w:szCs w:val="24"/>
          <w:lang w:eastAsia="cs-CZ"/>
        </w:rPr>
        <w:t>“)</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Moravskoslezský kraj, Ostrava (dále také „MSK“)</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Pardubický kraj, Pardubice (dále také „</w:t>
      </w:r>
      <w:r w:rsidR="001C0690" w:rsidRPr="009566F9">
        <w:rPr>
          <w:rFonts w:ascii="Calibri" w:eastAsia="Times New Roman" w:hAnsi="Calibri" w:cs="Calibri"/>
          <w:sz w:val="24"/>
          <w:szCs w:val="24"/>
          <w:lang w:eastAsia="cs-CZ"/>
        </w:rPr>
        <w:t>PAK</w:t>
      </w:r>
      <w:r w:rsidRPr="009566F9">
        <w:rPr>
          <w:rFonts w:ascii="Calibri" w:eastAsia="Times New Roman" w:hAnsi="Calibri" w:cs="Calibri"/>
          <w:sz w:val="24"/>
          <w:szCs w:val="24"/>
          <w:lang w:eastAsia="cs-CZ"/>
        </w:rPr>
        <w:t>“)</w:t>
      </w:r>
      <w:r w:rsidR="00E16FAF">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Správa silnic Moravskoslezského kraje, příspěvková organizace, Ostrava (dále také „SSMSK“)</w:t>
      </w:r>
      <w:r w:rsidR="00610162">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Správa a</w:t>
      </w:r>
      <w:r w:rsidR="00610162">
        <w:rPr>
          <w:rFonts w:ascii="Calibri" w:eastAsia="Times New Roman" w:hAnsi="Calibri" w:cs="Calibri"/>
          <w:sz w:val="24"/>
          <w:szCs w:val="24"/>
          <w:lang w:eastAsia="cs-CZ"/>
        </w:rPr>
        <w:t> </w:t>
      </w:r>
      <w:r w:rsidRPr="009566F9">
        <w:rPr>
          <w:rFonts w:ascii="Calibri" w:eastAsia="Times New Roman" w:hAnsi="Calibri" w:cs="Calibri"/>
          <w:sz w:val="24"/>
          <w:szCs w:val="24"/>
          <w:lang w:eastAsia="cs-CZ"/>
        </w:rPr>
        <w:t>údržba silnic Pardubického kraje, příspěvková organizace, Pardubice (dále také „SÚS</w:t>
      </w:r>
      <w:r w:rsidR="001C0690" w:rsidRPr="009566F9">
        <w:rPr>
          <w:rFonts w:ascii="Calibri" w:eastAsia="Times New Roman" w:hAnsi="Calibri" w:cs="Calibri"/>
          <w:sz w:val="24"/>
          <w:szCs w:val="24"/>
          <w:lang w:eastAsia="cs-CZ"/>
        </w:rPr>
        <w:t>PAK</w:t>
      </w:r>
      <w:r w:rsidRPr="009566F9">
        <w:rPr>
          <w:rFonts w:ascii="Calibri" w:eastAsia="Times New Roman" w:hAnsi="Calibri" w:cs="Calibri"/>
          <w:sz w:val="24"/>
          <w:szCs w:val="24"/>
          <w:lang w:eastAsia="cs-CZ"/>
        </w:rPr>
        <w:t>“)</w:t>
      </w:r>
      <w:r w:rsidR="00610162">
        <w:rPr>
          <w:rFonts w:ascii="Calibri" w:eastAsia="Times New Roman" w:hAnsi="Calibri" w:cs="Calibri"/>
          <w:sz w:val="24"/>
          <w:szCs w:val="24"/>
          <w:lang w:eastAsia="cs-CZ"/>
        </w:rPr>
        <w:t>;</w:t>
      </w:r>
      <w:r w:rsidRPr="009566F9">
        <w:rPr>
          <w:rFonts w:ascii="Calibri" w:eastAsia="Times New Roman" w:hAnsi="Calibri" w:cs="Calibri"/>
          <w:sz w:val="24"/>
          <w:szCs w:val="24"/>
          <w:lang w:eastAsia="cs-CZ"/>
        </w:rPr>
        <w:t xml:space="preserve"> Správa a údržba silnic Plzeňského kraje, příspěvková organizace (dále také „SÚSPK“).</w:t>
      </w:r>
    </w:p>
    <w:p w14:paraId="1AD9E4CE" w14:textId="77777777" w:rsidR="00393DDB" w:rsidRPr="009566F9" w:rsidRDefault="00393DDB" w:rsidP="00955A9E">
      <w:pPr>
        <w:spacing w:after="0" w:line="240" w:lineRule="auto"/>
        <w:jc w:val="both"/>
        <w:rPr>
          <w:rFonts w:ascii="Calibri" w:eastAsia="Times New Roman" w:hAnsi="Calibri" w:cs="Calibri"/>
          <w:sz w:val="24"/>
          <w:szCs w:val="24"/>
        </w:rPr>
      </w:pPr>
    </w:p>
    <w:p w14:paraId="342B767F" w14:textId="77777777" w:rsidR="00393DDB" w:rsidRPr="009566F9" w:rsidRDefault="00393DDB" w:rsidP="00955A9E">
      <w:pPr>
        <w:spacing w:after="0" w:line="240" w:lineRule="auto"/>
        <w:jc w:val="both"/>
        <w:rPr>
          <w:rFonts w:ascii="Calibri" w:eastAsia="Times New Roman" w:hAnsi="Calibri" w:cs="Calibri"/>
          <w:sz w:val="24"/>
          <w:szCs w:val="24"/>
        </w:rPr>
      </w:pPr>
      <w:r w:rsidRPr="009566F9">
        <w:rPr>
          <w:rFonts w:ascii="Calibri" w:eastAsia="Times New Roman" w:hAnsi="Calibri" w:cs="Calibri"/>
          <w:sz w:val="24"/>
          <w:szCs w:val="24"/>
        </w:rPr>
        <w:t xml:space="preserve">Námitky proti kontrolnímu protokolu, které podaly kontrolované osoby – SFDI a RRJZ </w:t>
      </w:r>
      <w:r w:rsidR="00973A99" w:rsidRPr="009566F9">
        <w:rPr>
          <w:rFonts w:ascii="Calibri" w:eastAsia="Times New Roman" w:hAnsi="Calibri" w:cs="Calibri"/>
          <w:sz w:val="24"/>
          <w:szCs w:val="24"/>
        </w:rPr>
        <w:t>–</w:t>
      </w:r>
      <w:r w:rsidR="00610162">
        <w:rPr>
          <w:rFonts w:ascii="Calibri" w:eastAsia="Times New Roman" w:hAnsi="Calibri" w:cs="Calibri"/>
          <w:sz w:val="24"/>
          <w:szCs w:val="24"/>
        </w:rPr>
        <w:t>,</w:t>
      </w:r>
      <w:r w:rsidRPr="009566F9">
        <w:rPr>
          <w:rFonts w:ascii="Calibri" w:eastAsia="Times New Roman" w:hAnsi="Calibri" w:cs="Calibri"/>
          <w:sz w:val="24"/>
          <w:szCs w:val="24"/>
        </w:rPr>
        <w:t xml:space="preserve"> vypořádali jednotliví vedoucí skupin kontrolujících rozhodnutími o námitkách. Odvolání proti rozhodnutí o námitkách kontrolované osoby nepodaly.</w:t>
      </w:r>
    </w:p>
    <w:p w14:paraId="026DC0CE" w14:textId="77777777" w:rsidR="00393DDB" w:rsidRPr="009566F9" w:rsidRDefault="00393DDB" w:rsidP="00955A9E">
      <w:pPr>
        <w:spacing w:after="0" w:line="240" w:lineRule="auto"/>
        <w:ind w:right="68"/>
        <w:jc w:val="both"/>
        <w:rPr>
          <w:rFonts w:ascii="Calibri" w:hAnsi="Calibri" w:cs="Calibri"/>
          <w:sz w:val="24"/>
          <w:szCs w:val="24"/>
        </w:rPr>
      </w:pPr>
    </w:p>
    <w:p w14:paraId="1F4866F7" w14:textId="77777777" w:rsidR="00393DDB" w:rsidRPr="009566F9" w:rsidRDefault="00393DDB" w:rsidP="00955A9E">
      <w:pPr>
        <w:spacing w:after="0" w:line="240" w:lineRule="auto"/>
        <w:ind w:right="68"/>
        <w:jc w:val="both"/>
        <w:rPr>
          <w:rFonts w:ascii="Calibri" w:hAnsi="Calibri" w:cs="Calibri"/>
          <w:sz w:val="24"/>
          <w:szCs w:val="24"/>
        </w:rPr>
      </w:pPr>
    </w:p>
    <w:p w14:paraId="37A2D4B8" w14:textId="77777777" w:rsidR="00393DDB" w:rsidRPr="009566F9" w:rsidRDefault="00393DDB" w:rsidP="00955A9E">
      <w:pPr>
        <w:spacing w:after="120" w:line="240" w:lineRule="auto"/>
        <w:ind w:right="70"/>
        <w:jc w:val="both"/>
        <w:rPr>
          <w:rFonts w:ascii="Calibri" w:hAnsi="Calibri" w:cs="Calibri"/>
          <w:sz w:val="24"/>
          <w:szCs w:val="24"/>
        </w:rPr>
      </w:pPr>
      <w:r w:rsidRPr="009566F9">
        <w:rPr>
          <w:rFonts w:ascii="Calibri" w:hAnsi="Calibri" w:cs="Calibri"/>
          <w:b/>
          <w:bCs/>
          <w:i/>
          <w:iCs/>
          <w:sz w:val="24"/>
          <w:szCs w:val="24"/>
        </w:rPr>
        <w:t>K o l e g i u m</w:t>
      </w:r>
      <w:r w:rsidRPr="009566F9">
        <w:rPr>
          <w:rFonts w:ascii="Calibri" w:hAnsi="Calibri" w:cs="Calibri"/>
          <w:sz w:val="24"/>
          <w:szCs w:val="24"/>
        </w:rPr>
        <w:t xml:space="preserve">   </w:t>
      </w:r>
      <w:r w:rsidRPr="009566F9">
        <w:rPr>
          <w:rFonts w:ascii="Calibri" w:hAnsi="Calibri" w:cs="Calibri"/>
          <w:b/>
          <w:bCs/>
          <w:i/>
          <w:iCs/>
          <w:sz w:val="24"/>
          <w:szCs w:val="24"/>
        </w:rPr>
        <w:t>N K Ú</w:t>
      </w:r>
      <w:r w:rsidRPr="00955A9E">
        <w:rPr>
          <w:rFonts w:ascii="Calibri" w:hAnsi="Calibri" w:cs="Calibri"/>
          <w:bCs/>
          <w:i/>
          <w:iCs/>
          <w:sz w:val="24"/>
          <w:szCs w:val="24"/>
        </w:rPr>
        <w:t xml:space="preserve">  </w:t>
      </w:r>
      <w:r w:rsidRPr="00955A9E">
        <w:rPr>
          <w:rFonts w:ascii="Calibri" w:hAnsi="Calibri" w:cs="Calibri"/>
          <w:bCs/>
          <w:iCs/>
          <w:sz w:val="24"/>
          <w:szCs w:val="24"/>
        </w:rPr>
        <w:t xml:space="preserve"> </w:t>
      </w:r>
      <w:r w:rsidRPr="009566F9">
        <w:rPr>
          <w:rFonts w:ascii="Calibri" w:hAnsi="Calibri" w:cs="Calibri"/>
          <w:sz w:val="24"/>
          <w:szCs w:val="24"/>
        </w:rPr>
        <w:t xml:space="preserve">na svém </w:t>
      </w:r>
      <w:r w:rsidR="00973A99" w:rsidRPr="009566F9">
        <w:rPr>
          <w:rFonts w:ascii="Calibri" w:hAnsi="Calibri" w:cs="Calibri"/>
          <w:sz w:val="24"/>
          <w:szCs w:val="24"/>
        </w:rPr>
        <w:t xml:space="preserve">II. </w:t>
      </w:r>
      <w:r w:rsidRPr="009566F9">
        <w:rPr>
          <w:rFonts w:ascii="Calibri" w:hAnsi="Calibri" w:cs="Calibri"/>
          <w:sz w:val="24"/>
          <w:szCs w:val="24"/>
        </w:rPr>
        <w:t xml:space="preserve">jednání, které se konalo dne </w:t>
      </w:r>
      <w:r w:rsidR="00973A99" w:rsidRPr="009566F9">
        <w:rPr>
          <w:rFonts w:ascii="Calibri" w:hAnsi="Calibri" w:cs="Calibri"/>
          <w:sz w:val="24"/>
          <w:szCs w:val="24"/>
        </w:rPr>
        <w:t xml:space="preserve">19. února </w:t>
      </w:r>
      <w:r w:rsidRPr="009566F9">
        <w:rPr>
          <w:rFonts w:ascii="Calibri" w:hAnsi="Calibri" w:cs="Calibri"/>
          <w:sz w:val="24"/>
          <w:szCs w:val="24"/>
        </w:rPr>
        <w:t>201</w:t>
      </w:r>
      <w:r w:rsidR="00973A99" w:rsidRPr="009566F9">
        <w:rPr>
          <w:rFonts w:ascii="Calibri" w:hAnsi="Calibri" w:cs="Calibri"/>
          <w:sz w:val="24"/>
          <w:szCs w:val="24"/>
        </w:rPr>
        <w:t>8</w:t>
      </w:r>
      <w:r w:rsidRPr="009566F9">
        <w:rPr>
          <w:rFonts w:ascii="Calibri" w:hAnsi="Calibri" w:cs="Calibri"/>
          <w:sz w:val="24"/>
          <w:szCs w:val="24"/>
        </w:rPr>
        <w:t xml:space="preserve">, </w:t>
      </w:r>
    </w:p>
    <w:p w14:paraId="7CC75927" w14:textId="77777777" w:rsidR="00393DDB" w:rsidRPr="009566F9" w:rsidRDefault="00393DDB" w:rsidP="00955A9E">
      <w:pPr>
        <w:spacing w:after="120" w:line="240" w:lineRule="auto"/>
        <w:ind w:right="68"/>
        <w:jc w:val="both"/>
        <w:rPr>
          <w:rFonts w:ascii="Calibri" w:hAnsi="Calibri" w:cs="Calibri"/>
          <w:sz w:val="24"/>
          <w:szCs w:val="24"/>
        </w:rPr>
      </w:pPr>
      <w:proofErr w:type="gramStart"/>
      <w:r w:rsidRPr="009566F9">
        <w:rPr>
          <w:rFonts w:ascii="Calibri" w:hAnsi="Calibri" w:cs="Calibri"/>
          <w:b/>
          <w:bCs/>
          <w:i/>
          <w:iCs/>
          <w:sz w:val="24"/>
          <w:szCs w:val="24"/>
        </w:rPr>
        <w:t>s c h v á l i l o</w:t>
      </w:r>
      <w:r w:rsidRPr="009566F9">
        <w:rPr>
          <w:rFonts w:ascii="Calibri" w:hAnsi="Calibri" w:cs="Calibri"/>
          <w:sz w:val="24"/>
          <w:szCs w:val="24"/>
        </w:rPr>
        <w:t xml:space="preserve">   usnesením č.</w:t>
      </w:r>
      <w:proofErr w:type="gramEnd"/>
      <w:r w:rsidRPr="009566F9">
        <w:rPr>
          <w:rFonts w:ascii="Calibri" w:hAnsi="Calibri" w:cs="Calibri"/>
          <w:sz w:val="24"/>
          <w:szCs w:val="24"/>
        </w:rPr>
        <w:t xml:space="preserve"> </w:t>
      </w:r>
      <w:r w:rsidR="00D47CDC" w:rsidRPr="009566F9">
        <w:rPr>
          <w:rFonts w:ascii="Calibri" w:hAnsi="Calibri" w:cs="Calibri"/>
          <w:sz w:val="24"/>
          <w:szCs w:val="24"/>
        </w:rPr>
        <w:t>9</w:t>
      </w:r>
      <w:r w:rsidRPr="009566F9">
        <w:rPr>
          <w:rFonts w:ascii="Calibri" w:hAnsi="Calibri" w:cs="Calibri"/>
          <w:sz w:val="24"/>
          <w:szCs w:val="24"/>
        </w:rPr>
        <w:t>/</w:t>
      </w:r>
      <w:r w:rsidR="00973A99" w:rsidRPr="009566F9">
        <w:rPr>
          <w:rFonts w:ascii="Calibri" w:hAnsi="Calibri" w:cs="Calibri"/>
          <w:sz w:val="24"/>
          <w:szCs w:val="24"/>
        </w:rPr>
        <w:t>II</w:t>
      </w:r>
      <w:r w:rsidRPr="009566F9">
        <w:rPr>
          <w:rFonts w:ascii="Calibri" w:hAnsi="Calibri" w:cs="Calibri"/>
          <w:sz w:val="24"/>
          <w:szCs w:val="24"/>
        </w:rPr>
        <w:t>/201</w:t>
      </w:r>
      <w:r w:rsidR="00165739" w:rsidRPr="009566F9">
        <w:rPr>
          <w:rFonts w:ascii="Calibri" w:hAnsi="Calibri" w:cs="Calibri"/>
          <w:sz w:val="24"/>
          <w:szCs w:val="24"/>
        </w:rPr>
        <w:t>8</w:t>
      </w:r>
      <w:r w:rsidRPr="009566F9">
        <w:rPr>
          <w:rFonts w:ascii="Calibri" w:hAnsi="Calibri" w:cs="Calibri"/>
          <w:sz w:val="24"/>
          <w:szCs w:val="24"/>
        </w:rPr>
        <w:t xml:space="preserve"> </w:t>
      </w:r>
    </w:p>
    <w:p w14:paraId="06B423DC" w14:textId="77777777" w:rsidR="00D86736" w:rsidRDefault="00393DDB" w:rsidP="00955A9E">
      <w:pPr>
        <w:spacing w:after="120" w:line="240" w:lineRule="auto"/>
        <w:ind w:right="70"/>
        <w:jc w:val="both"/>
        <w:rPr>
          <w:rFonts w:ascii="Calibri" w:hAnsi="Calibri" w:cs="Calibri"/>
          <w:sz w:val="24"/>
          <w:szCs w:val="24"/>
        </w:rPr>
      </w:pPr>
      <w:r w:rsidRPr="009566F9">
        <w:rPr>
          <w:rFonts w:ascii="Calibri" w:hAnsi="Calibri" w:cs="Calibri"/>
          <w:b/>
          <w:bCs/>
          <w:i/>
          <w:iCs/>
          <w:sz w:val="24"/>
          <w:szCs w:val="24"/>
        </w:rPr>
        <w:t>k o n t r o l n í   z á v ě r</w:t>
      </w:r>
      <w:r w:rsidRPr="009566F9">
        <w:rPr>
          <w:rFonts w:ascii="Calibri" w:hAnsi="Calibri" w:cs="Calibri"/>
          <w:sz w:val="24"/>
          <w:szCs w:val="24"/>
        </w:rPr>
        <w:t xml:space="preserve">   v tomto znění:</w:t>
      </w:r>
      <w:r w:rsidR="00D86736">
        <w:rPr>
          <w:rFonts w:ascii="Calibri" w:hAnsi="Calibri" w:cs="Calibri"/>
          <w:sz w:val="24"/>
          <w:szCs w:val="24"/>
        </w:rPr>
        <w:br w:type="page"/>
      </w:r>
    </w:p>
    <w:p w14:paraId="47D0579C" w14:textId="77777777" w:rsidR="00393DDB" w:rsidRPr="00393DDB" w:rsidRDefault="00955A9E" w:rsidP="00393DDB">
      <w:pPr>
        <w:jc w:val="center"/>
        <w:rPr>
          <w:rFonts w:cstheme="minorHAnsi"/>
          <w:b/>
          <w:sz w:val="28"/>
          <w:szCs w:val="28"/>
        </w:rPr>
      </w:pPr>
      <w:r>
        <w:rPr>
          <w:rFonts w:cstheme="minorHAnsi"/>
          <w:b/>
          <w:sz w:val="28"/>
          <w:szCs w:val="28"/>
        </w:rPr>
        <w:lastRenderedPageBreak/>
        <w:t xml:space="preserve">I. </w:t>
      </w:r>
      <w:r w:rsidR="00393DDB" w:rsidRPr="00393DDB">
        <w:rPr>
          <w:rFonts w:cstheme="minorHAnsi"/>
          <w:b/>
          <w:sz w:val="28"/>
          <w:szCs w:val="28"/>
        </w:rPr>
        <w:t>Úvod</w:t>
      </w:r>
    </w:p>
    <w:p w14:paraId="1EBDC75A" w14:textId="77777777" w:rsidR="00393DDB" w:rsidRPr="00D86736" w:rsidRDefault="00393DDB" w:rsidP="00D86736">
      <w:pPr>
        <w:spacing w:after="0" w:line="240" w:lineRule="auto"/>
        <w:jc w:val="both"/>
        <w:rPr>
          <w:rFonts w:ascii="Calibri" w:eastAsia="Times New Roman" w:hAnsi="Calibri" w:cs="Calibri"/>
          <w:sz w:val="24"/>
          <w:szCs w:val="24"/>
          <w:lang w:eastAsia="cs-CZ"/>
        </w:rPr>
      </w:pPr>
    </w:p>
    <w:p w14:paraId="71958CB4" w14:textId="6531DC1D" w:rsidR="00393DDB" w:rsidRPr="00D86736" w:rsidRDefault="00393DDB" w:rsidP="00D86736">
      <w:pPr>
        <w:spacing w:after="0" w:line="240" w:lineRule="auto"/>
        <w:jc w:val="both"/>
        <w:rPr>
          <w:rFonts w:ascii="Calibri" w:eastAsia="Times New Roman" w:hAnsi="Calibri" w:cs="Calibri"/>
          <w:bCs/>
          <w:sz w:val="24"/>
          <w:szCs w:val="24"/>
          <w:lang w:eastAsia="cs-CZ"/>
        </w:rPr>
      </w:pPr>
      <w:r w:rsidRPr="00D86736">
        <w:rPr>
          <w:rFonts w:ascii="Calibri" w:eastAsia="Times New Roman" w:hAnsi="Calibri" w:cs="Calibri"/>
          <w:bCs/>
          <w:sz w:val="24"/>
          <w:szCs w:val="24"/>
          <w:lang w:eastAsia="cs-CZ"/>
        </w:rPr>
        <w:t xml:space="preserve">NKÚ provedl kontrolu poskytování, čerpání a užití peněžních prostředků Evropské unie (dále také „EU“) a </w:t>
      </w:r>
      <w:r w:rsidR="00EA1424" w:rsidRPr="00D86736">
        <w:rPr>
          <w:rFonts w:ascii="Calibri" w:eastAsia="Times New Roman" w:hAnsi="Calibri" w:cs="Calibri"/>
          <w:bCs/>
          <w:sz w:val="24"/>
          <w:szCs w:val="24"/>
          <w:lang w:eastAsia="cs-CZ"/>
        </w:rPr>
        <w:t xml:space="preserve">finančních prostředků </w:t>
      </w:r>
      <w:r w:rsidRPr="00D86736">
        <w:rPr>
          <w:rFonts w:ascii="Calibri" w:eastAsia="Times New Roman" w:hAnsi="Calibri" w:cs="Calibri"/>
          <w:bCs/>
          <w:sz w:val="24"/>
          <w:szCs w:val="24"/>
          <w:lang w:eastAsia="cs-CZ"/>
        </w:rPr>
        <w:t>státu určených na</w:t>
      </w:r>
      <w:r w:rsidR="00443395">
        <w:rPr>
          <w:rFonts w:ascii="Calibri" w:eastAsia="Times New Roman" w:hAnsi="Calibri" w:cs="Calibri"/>
          <w:bCs/>
          <w:sz w:val="24"/>
          <w:szCs w:val="24"/>
          <w:lang w:eastAsia="cs-CZ"/>
        </w:rPr>
        <w:t xml:space="preserve"> </w:t>
      </w:r>
      <w:r w:rsidRPr="00D86736">
        <w:rPr>
          <w:rFonts w:ascii="Calibri" w:eastAsia="Times New Roman" w:hAnsi="Calibri" w:cs="Calibri"/>
          <w:bCs/>
          <w:sz w:val="24"/>
          <w:szCs w:val="24"/>
          <w:lang w:eastAsia="cs-CZ"/>
        </w:rPr>
        <w:t>akce stavebního charakteru prováděné za účelem oprav, modernizace a rozvoje sítě silnic II. a III. třídy na území vybraných krajů (dále také „silnice krajů“).</w:t>
      </w:r>
    </w:p>
    <w:p w14:paraId="1143BA66" w14:textId="77777777" w:rsidR="00393DDB" w:rsidRPr="00D86736" w:rsidRDefault="00393DDB" w:rsidP="00D86736">
      <w:pPr>
        <w:spacing w:after="0" w:line="240" w:lineRule="auto"/>
        <w:jc w:val="both"/>
        <w:rPr>
          <w:rFonts w:ascii="Calibri" w:eastAsia="Times New Roman" w:hAnsi="Calibri" w:cs="Calibri"/>
          <w:sz w:val="24"/>
          <w:szCs w:val="24"/>
          <w:lang w:eastAsia="cs-CZ"/>
        </w:rPr>
      </w:pPr>
    </w:p>
    <w:p w14:paraId="6E5288D5" w14:textId="77777777" w:rsidR="00393DDB" w:rsidRPr="00D86736" w:rsidRDefault="00393DDB" w:rsidP="00D86736">
      <w:pPr>
        <w:spacing w:after="0" w:line="240" w:lineRule="auto"/>
        <w:jc w:val="both"/>
        <w:rPr>
          <w:rFonts w:ascii="Calibri" w:eastAsia="Times New Roman" w:hAnsi="Calibri" w:cs="Calibri"/>
          <w:b/>
          <w:sz w:val="24"/>
          <w:szCs w:val="24"/>
          <w:lang w:eastAsia="cs-CZ"/>
        </w:rPr>
      </w:pPr>
      <w:r w:rsidRPr="00D86736">
        <w:rPr>
          <w:rFonts w:ascii="Calibri" w:eastAsia="Times New Roman" w:hAnsi="Calibri" w:cs="Calibri"/>
          <w:b/>
          <w:sz w:val="24"/>
          <w:szCs w:val="24"/>
          <w:lang w:eastAsia="cs-CZ"/>
        </w:rPr>
        <w:t>SFDI</w:t>
      </w:r>
    </w:p>
    <w:p w14:paraId="6F5852E8" w14:textId="77777777" w:rsidR="00D86736" w:rsidRPr="00D86736" w:rsidRDefault="00D86736" w:rsidP="00D86736">
      <w:pPr>
        <w:spacing w:after="0" w:line="240" w:lineRule="auto"/>
        <w:jc w:val="both"/>
        <w:rPr>
          <w:rFonts w:ascii="Calibri" w:eastAsia="Times New Roman" w:hAnsi="Calibri" w:cs="Calibri"/>
          <w:bCs/>
          <w:sz w:val="24"/>
          <w:szCs w:val="24"/>
          <w:lang w:eastAsia="cs-CZ"/>
        </w:rPr>
      </w:pPr>
    </w:p>
    <w:p w14:paraId="2A716E1E" w14:textId="19A6ED89" w:rsidR="00393DDB" w:rsidRDefault="00393DDB" w:rsidP="00D86736">
      <w:pPr>
        <w:spacing w:after="0" w:line="240" w:lineRule="auto"/>
        <w:jc w:val="both"/>
        <w:rPr>
          <w:rFonts w:ascii="Calibri" w:eastAsia="Times New Roman" w:hAnsi="Calibri" w:cs="Calibri"/>
          <w:bCs/>
          <w:sz w:val="24"/>
          <w:szCs w:val="24"/>
          <w:lang w:eastAsia="cs-CZ"/>
        </w:rPr>
      </w:pPr>
      <w:r w:rsidRPr="00D86736">
        <w:rPr>
          <w:rFonts w:ascii="Calibri" w:eastAsia="Times New Roman" w:hAnsi="Calibri" w:cs="Calibri"/>
          <w:bCs/>
          <w:sz w:val="24"/>
          <w:szCs w:val="24"/>
          <w:lang w:eastAsia="cs-CZ"/>
        </w:rPr>
        <w:t>SFDI byl zřízen zákonem č. 104/2000 Sb.</w:t>
      </w:r>
      <w:r w:rsidR="00B35C52" w:rsidRPr="00D86736">
        <w:rPr>
          <w:rStyle w:val="Znakapoznpodarou"/>
          <w:rFonts w:ascii="Calibri" w:eastAsia="Times New Roman" w:hAnsi="Calibri" w:cs="Calibri"/>
          <w:bCs/>
          <w:sz w:val="24"/>
          <w:szCs w:val="24"/>
          <w:lang w:eastAsia="cs-CZ"/>
        </w:rPr>
        <w:footnoteReference w:id="1"/>
      </w:r>
      <w:r w:rsidR="00AB01E4" w:rsidRPr="00D86736">
        <w:rPr>
          <w:rFonts w:ascii="Calibri" w:eastAsia="Times New Roman" w:hAnsi="Calibri" w:cs="Calibri"/>
          <w:bCs/>
          <w:sz w:val="24"/>
          <w:szCs w:val="24"/>
          <w:lang w:eastAsia="cs-CZ"/>
        </w:rPr>
        <w:t xml:space="preserve"> </w:t>
      </w:r>
      <w:r w:rsidRPr="00D86736">
        <w:rPr>
          <w:rFonts w:ascii="Calibri" w:eastAsia="Times New Roman" w:hAnsi="Calibri" w:cs="Calibri"/>
          <w:bCs/>
          <w:sz w:val="24"/>
          <w:szCs w:val="24"/>
          <w:lang w:eastAsia="cs-CZ"/>
        </w:rPr>
        <w:t xml:space="preserve">s účinností k 1. červenci 2000. SFDI je účetní jednotkou a právnickou osobou </w:t>
      </w:r>
      <w:r w:rsidR="004A11B8" w:rsidRPr="00D86736">
        <w:rPr>
          <w:rFonts w:ascii="Calibri" w:eastAsia="Times New Roman" w:hAnsi="Calibri" w:cs="Calibri"/>
          <w:bCs/>
          <w:sz w:val="24"/>
          <w:szCs w:val="24"/>
          <w:lang w:eastAsia="cs-CZ"/>
        </w:rPr>
        <w:t>v působnosti</w:t>
      </w:r>
      <w:r w:rsidRPr="00D86736">
        <w:rPr>
          <w:rFonts w:ascii="Calibri" w:eastAsia="Times New Roman" w:hAnsi="Calibri" w:cs="Calibri"/>
          <w:bCs/>
          <w:sz w:val="24"/>
          <w:szCs w:val="24"/>
          <w:lang w:eastAsia="cs-CZ"/>
        </w:rPr>
        <w:t xml:space="preserve"> Ministerstv</w:t>
      </w:r>
      <w:r w:rsidR="004A11B8" w:rsidRPr="00D86736">
        <w:rPr>
          <w:rFonts w:ascii="Calibri" w:eastAsia="Times New Roman" w:hAnsi="Calibri" w:cs="Calibri"/>
          <w:bCs/>
          <w:sz w:val="24"/>
          <w:szCs w:val="24"/>
          <w:lang w:eastAsia="cs-CZ"/>
        </w:rPr>
        <w:t>a</w:t>
      </w:r>
      <w:r w:rsidRPr="00D86736">
        <w:rPr>
          <w:rFonts w:ascii="Calibri" w:eastAsia="Times New Roman" w:hAnsi="Calibri" w:cs="Calibri"/>
          <w:bCs/>
          <w:sz w:val="24"/>
          <w:szCs w:val="24"/>
          <w:lang w:eastAsia="cs-CZ"/>
        </w:rPr>
        <w:t xml:space="preserve"> dopravy. Účelem SFDI je financování výstavby, modernizace, oprav a údržby silnic a dálnic, celostátních a regionálních drah, dopravně významných vnitrozemských vodních cest a vybavení letišť v rozsahu stanoveném uvedeným zákonem. SFDI uzavírá s příjemci finančních prostředků smlouvy a</w:t>
      </w:r>
      <w:r w:rsidR="00973A99" w:rsidRPr="00D86736">
        <w:rPr>
          <w:rFonts w:ascii="Calibri" w:eastAsia="Times New Roman" w:hAnsi="Calibri" w:cs="Calibri"/>
          <w:bCs/>
          <w:sz w:val="24"/>
          <w:szCs w:val="24"/>
          <w:lang w:eastAsia="cs-CZ"/>
        </w:rPr>
        <w:t> </w:t>
      </w:r>
      <w:r w:rsidRPr="00D86736">
        <w:rPr>
          <w:rFonts w:ascii="Calibri" w:eastAsia="Times New Roman" w:hAnsi="Calibri" w:cs="Calibri"/>
          <w:bCs/>
          <w:sz w:val="24"/>
          <w:szCs w:val="24"/>
          <w:lang w:eastAsia="cs-CZ"/>
        </w:rPr>
        <w:t xml:space="preserve">odpovídá za </w:t>
      </w:r>
      <w:r w:rsidR="00E5449A" w:rsidRPr="00D86736">
        <w:rPr>
          <w:rFonts w:ascii="Calibri" w:eastAsia="Times New Roman" w:hAnsi="Calibri" w:cs="Calibri"/>
          <w:bCs/>
          <w:sz w:val="24"/>
          <w:szCs w:val="24"/>
          <w:lang w:eastAsia="cs-CZ"/>
        </w:rPr>
        <w:t xml:space="preserve">zajištění </w:t>
      </w:r>
      <w:r w:rsidRPr="00D86736">
        <w:rPr>
          <w:rFonts w:ascii="Calibri" w:eastAsia="Times New Roman" w:hAnsi="Calibri" w:cs="Calibri"/>
          <w:bCs/>
          <w:sz w:val="24"/>
          <w:szCs w:val="24"/>
          <w:lang w:eastAsia="cs-CZ"/>
        </w:rPr>
        <w:t>efektivní</w:t>
      </w:r>
      <w:r w:rsidR="00E5449A" w:rsidRPr="00D86736">
        <w:rPr>
          <w:rFonts w:ascii="Calibri" w:eastAsia="Times New Roman" w:hAnsi="Calibri" w:cs="Calibri"/>
          <w:bCs/>
          <w:sz w:val="24"/>
          <w:szCs w:val="24"/>
          <w:lang w:eastAsia="cs-CZ"/>
        </w:rPr>
        <w:t>ho</w:t>
      </w:r>
      <w:r w:rsidRPr="00D86736">
        <w:rPr>
          <w:rFonts w:ascii="Calibri" w:eastAsia="Times New Roman" w:hAnsi="Calibri" w:cs="Calibri"/>
          <w:bCs/>
          <w:sz w:val="24"/>
          <w:szCs w:val="24"/>
          <w:lang w:eastAsia="cs-CZ"/>
        </w:rPr>
        <w:t xml:space="preserve"> využití prostředků podle schváleného rozpočtu SFDI. Je oprávněn kontrolovat užití prostředků u příjemců a činit nezbytná opatření k zabezpečení předpokládané efektivnosti.</w:t>
      </w:r>
    </w:p>
    <w:p w14:paraId="5C9A34A9" w14:textId="77777777" w:rsidR="00D86736" w:rsidRPr="00D86736" w:rsidRDefault="00D86736" w:rsidP="00D86736">
      <w:pPr>
        <w:spacing w:after="0" w:line="240" w:lineRule="auto"/>
        <w:jc w:val="both"/>
        <w:rPr>
          <w:rFonts w:ascii="Calibri" w:eastAsia="Times New Roman" w:hAnsi="Calibri" w:cs="Calibri"/>
          <w:bCs/>
          <w:sz w:val="24"/>
          <w:szCs w:val="24"/>
          <w:lang w:eastAsia="cs-CZ"/>
        </w:rPr>
      </w:pPr>
    </w:p>
    <w:p w14:paraId="22E32757" w14:textId="35EECEB3" w:rsidR="00393DDB" w:rsidRDefault="00393DDB" w:rsidP="00D86736">
      <w:pPr>
        <w:spacing w:after="0" w:line="240" w:lineRule="auto"/>
        <w:jc w:val="both"/>
        <w:rPr>
          <w:rFonts w:ascii="Calibri" w:eastAsia="Times New Roman" w:hAnsi="Calibri" w:cs="Calibri"/>
          <w:sz w:val="24"/>
          <w:szCs w:val="24"/>
          <w:lang w:eastAsia="cs-CZ"/>
        </w:rPr>
      </w:pPr>
      <w:r w:rsidRPr="00D86736">
        <w:rPr>
          <w:rFonts w:ascii="Calibri" w:eastAsia="Times New Roman" w:hAnsi="Calibri" w:cs="Calibri"/>
          <w:sz w:val="24"/>
          <w:szCs w:val="24"/>
          <w:lang w:eastAsia="cs-CZ"/>
        </w:rPr>
        <w:t>Na základě zákona č. 132/2000 Sb.</w:t>
      </w:r>
      <w:r w:rsidRPr="00D86736">
        <w:rPr>
          <w:rFonts w:ascii="Calibri" w:eastAsia="Times New Roman" w:hAnsi="Calibri" w:cs="Calibri"/>
          <w:sz w:val="24"/>
          <w:szCs w:val="24"/>
          <w:vertAlign w:val="superscript"/>
          <w:lang w:eastAsia="cs-CZ"/>
        </w:rPr>
        <w:footnoteReference w:id="2"/>
      </w:r>
      <w:r w:rsidRPr="00D86736">
        <w:rPr>
          <w:rFonts w:ascii="Calibri" w:eastAsia="Times New Roman" w:hAnsi="Calibri" w:cs="Calibri"/>
          <w:sz w:val="24"/>
          <w:szCs w:val="24"/>
          <w:lang w:eastAsia="cs-CZ"/>
        </w:rPr>
        <w:t xml:space="preserve"> jsou </w:t>
      </w:r>
      <w:r w:rsidR="000B7E29">
        <w:rPr>
          <w:rFonts w:ascii="Calibri" w:eastAsia="Times New Roman" w:hAnsi="Calibri" w:cs="Calibri"/>
          <w:sz w:val="24"/>
          <w:szCs w:val="24"/>
          <w:lang w:eastAsia="cs-CZ"/>
        </w:rPr>
        <w:t>od roku</w:t>
      </w:r>
      <w:r w:rsidRPr="00D86736">
        <w:rPr>
          <w:rFonts w:ascii="Calibri" w:eastAsia="Times New Roman" w:hAnsi="Calibri" w:cs="Calibri"/>
          <w:sz w:val="24"/>
          <w:szCs w:val="24"/>
          <w:lang w:eastAsia="cs-CZ"/>
        </w:rPr>
        <w:t xml:space="preserve"> 2001 vlastníkem silnic II.</w:t>
      </w:r>
      <w:r w:rsidR="000B7E29">
        <w:rPr>
          <w:rFonts w:ascii="Calibri" w:eastAsia="Times New Roman" w:hAnsi="Calibri" w:cs="Calibri"/>
          <w:sz w:val="24"/>
          <w:szCs w:val="24"/>
          <w:lang w:eastAsia="cs-CZ"/>
        </w:rPr>
        <w:t> </w:t>
      </w:r>
      <w:r w:rsidRPr="00D86736">
        <w:rPr>
          <w:rFonts w:ascii="Calibri" w:eastAsia="Times New Roman" w:hAnsi="Calibri" w:cs="Calibri"/>
          <w:sz w:val="24"/>
          <w:szCs w:val="24"/>
          <w:lang w:eastAsia="cs-CZ"/>
        </w:rPr>
        <w:t>a</w:t>
      </w:r>
      <w:r w:rsidR="000B7E29">
        <w:rPr>
          <w:rFonts w:ascii="Calibri" w:eastAsia="Times New Roman" w:hAnsi="Calibri" w:cs="Calibri"/>
          <w:sz w:val="24"/>
          <w:szCs w:val="24"/>
          <w:lang w:eastAsia="cs-CZ"/>
        </w:rPr>
        <w:t> </w:t>
      </w:r>
      <w:r w:rsidRPr="00D86736">
        <w:rPr>
          <w:rFonts w:ascii="Calibri" w:eastAsia="Times New Roman" w:hAnsi="Calibri" w:cs="Calibri"/>
          <w:sz w:val="24"/>
          <w:szCs w:val="24"/>
          <w:lang w:eastAsia="cs-CZ"/>
        </w:rPr>
        <w:t>III.</w:t>
      </w:r>
      <w:r w:rsidR="000B7E29">
        <w:rPr>
          <w:rFonts w:ascii="Calibri" w:eastAsia="Times New Roman" w:hAnsi="Calibri" w:cs="Calibri"/>
          <w:sz w:val="24"/>
          <w:szCs w:val="24"/>
          <w:lang w:eastAsia="cs-CZ"/>
        </w:rPr>
        <w:t> </w:t>
      </w:r>
      <w:r w:rsidRPr="00D86736">
        <w:rPr>
          <w:rFonts w:ascii="Calibri" w:eastAsia="Times New Roman" w:hAnsi="Calibri" w:cs="Calibri"/>
          <w:sz w:val="24"/>
          <w:szCs w:val="24"/>
          <w:lang w:eastAsia="cs-CZ"/>
        </w:rPr>
        <w:t>třídy kraje, na jejichž území se tyto silnice nacházejí. Tyto silnice zůstávají součástí systému pozemních komunikací ve smyslu zákona č. 13/1997 Sb.</w:t>
      </w:r>
      <w:r w:rsidRPr="00D86736">
        <w:rPr>
          <w:rFonts w:ascii="Calibri" w:eastAsia="Times New Roman" w:hAnsi="Calibri" w:cs="Calibri"/>
          <w:sz w:val="24"/>
          <w:szCs w:val="24"/>
          <w:vertAlign w:val="superscript"/>
          <w:lang w:eastAsia="cs-CZ"/>
        </w:rPr>
        <w:footnoteReference w:id="3"/>
      </w:r>
      <w:r w:rsidRPr="00D86736">
        <w:rPr>
          <w:rFonts w:ascii="Calibri" w:eastAsia="Times New Roman" w:hAnsi="Calibri" w:cs="Calibri"/>
          <w:sz w:val="24"/>
          <w:szCs w:val="24"/>
          <w:lang w:eastAsia="cs-CZ"/>
        </w:rPr>
        <w:t xml:space="preserve"> a nadále je zachována jejich veřejnoprávní povaha, která je určující i pro systém jejich financování. Z tohoto důvodu jsou i tyto silnice předmětem financování SFDI, jak to vyplývá z účelu, pro který byl SFDI zřízen.</w:t>
      </w:r>
    </w:p>
    <w:p w14:paraId="7F68F650" w14:textId="77777777" w:rsidR="00D86736" w:rsidRPr="00D86736" w:rsidRDefault="00D86736" w:rsidP="00D86736">
      <w:pPr>
        <w:spacing w:after="0" w:line="240" w:lineRule="auto"/>
        <w:jc w:val="both"/>
        <w:rPr>
          <w:rFonts w:ascii="Calibri" w:eastAsia="Times New Roman" w:hAnsi="Calibri" w:cs="Calibri"/>
          <w:sz w:val="24"/>
          <w:szCs w:val="24"/>
          <w:lang w:eastAsia="cs-CZ"/>
        </w:rPr>
      </w:pPr>
    </w:p>
    <w:p w14:paraId="78BE66BA" w14:textId="568D4EF5" w:rsidR="00393DDB" w:rsidRPr="00D86736" w:rsidRDefault="00393DDB" w:rsidP="00D86736">
      <w:pPr>
        <w:spacing w:after="0" w:line="240" w:lineRule="auto"/>
        <w:jc w:val="both"/>
        <w:rPr>
          <w:rFonts w:ascii="Calibri" w:eastAsia="Times New Roman" w:hAnsi="Calibri" w:cs="Calibri"/>
          <w:bCs/>
          <w:sz w:val="24"/>
          <w:szCs w:val="24"/>
          <w:lang w:eastAsia="cs-CZ"/>
        </w:rPr>
      </w:pPr>
      <w:r w:rsidRPr="00D86736">
        <w:rPr>
          <w:rFonts w:ascii="Calibri" w:eastAsia="Times New Roman" w:hAnsi="Calibri" w:cs="Calibri"/>
          <w:bCs/>
          <w:sz w:val="24"/>
          <w:szCs w:val="24"/>
          <w:lang w:eastAsia="cs-CZ"/>
        </w:rPr>
        <w:t xml:space="preserve">SFDI poskytoval od roku 2015 část </w:t>
      </w:r>
      <w:r w:rsidRPr="00D86736">
        <w:rPr>
          <w:rFonts w:ascii="Calibri" w:eastAsia="Times New Roman" w:hAnsi="Calibri" w:cs="Calibri"/>
          <w:sz w:val="24"/>
          <w:szCs w:val="24"/>
        </w:rPr>
        <w:t>disponibilních finančních prostředků ze svého rozpočtu na financování oprav, rekonstrukce a modernizace silnic krajů. Z</w:t>
      </w:r>
      <w:r w:rsidR="00E5449A" w:rsidRPr="00D86736">
        <w:rPr>
          <w:rFonts w:ascii="Calibri" w:eastAsia="Times New Roman" w:hAnsi="Calibri" w:cs="Calibri"/>
          <w:sz w:val="24"/>
          <w:szCs w:val="24"/>
        </w:rPr>
        <w:t>a</w:t>
      </w:r>
      <w:r w:rsidR="00A3229D">
        <w:rPr>
          <w:rFonts w:ascii="Calibri" w:eastAsia="Times New Roman" w:hAnsi="Calibri" w:cs="Calibri"/>
          <w:sz w:val="24"/>
          <w:szCs w:val="24"/>
        </w:rPr>
        <w:t xml:space="preserve"> </w:t>
      </w:r>
      <w:r w:rsidRPr="00D86736">
        <w:rPr>
          <w:rFonts w:ascii="Calibri" w:eastAsia="Times New Roman" w:hAnsi="Calibri" w:cs="Calibri"/>
          <w:sz w:val="24"/>
          <w:szCs w:val="24"/>
        </w:rPr>
        <w:t>tímto účelem</w:t>
      </w:r>
      <w:r w:rsidRPr="00D86736">
        <w:rPr>
          <w:rFonts w:ascii="Calibri" w:eastAsia="Times New Roman" w:hAnsi="Calibri" w:cs="Calibri"/>
          <w:bCs/>
          <w:sz w:val="24"/>
          <w:szCs w:val="24"/>
          <w:lang w:eastAsia="cs-CZ"/>
        </w:rPr>
        <w:t xml:space="preserve"> vyhradil pro roky 2015 a 2016 část svého rozpočtu v celkové výši 7,4 mld. Kč.</w:t>
      </w:r>
    </w:p>
    <w:p w14:paraId="3B77DD97" w14:textId="77777777" w:rsidR="00393DDB" w:rsidRPr="00D86736" w:rsidRDefault="00393DDB" w:rsidP="00D86736">
      <w:pPr>
        <w:spacing w:after="0" w:line="240" w:lineRule="auto"/>
        <w:jc w:val="both"/>
        <w:rPr>
          <w:rFonts w:ascii="Calibri" w:eastAsia="Times New Roman" w:hAnsi="Calibri" w:cs="Calibri"/>
          <w:bCs/>
          <w:sz w:val="24"/>
          <w:szCs w:val="24"/>
          <w:lang w:eastAsia="cs-CZ"/>
        </w:rPr>
      </w:pPr>
    </w:p>
    <w:p w14:paraId="007CB29D" w14:textId="704CAEF7" w:rsidR="00393DDB" w:rsidRPr="00D86736" w:rsidRDefault="00393DDB" w:rsidP="00D86736">
      <w:pPr>
        <w:spacing w:after="0" w:line="240" w:lineRule="auto"/>
        <w:jc w:val="both"/>
        <w:rPr>
          <w:rFonts w:ascii="Calibri" w:eastAsia="Times New Roman" w:hAnsi="Calibri" w:cs="Calibri"/>
          <w:b/>
          <w:sz w:val="24"/>
          <w:szCs w:val="24"/>
          <w:lang w:eastAsia="cs-CZ"/>
        </w:rPr>
      </w:pPr>
      <w:r w:rsidRPr="00D86736">
        <w:rPr>
          <w:rFonts w:ascii="Calibri" w:eastAsia="Times New Roman" w:hAnsi="Calibri" w:cs="Calibri"/>
          <w:b/>
          <w:sz w:val="24"/>
          <w:szCs w:val="24"/>
          <w:lang w:eastAsia="cs-CZ"/>
        </w:rPr>
        <w:t>Regionální operační program</w:t>
      </w:r>
      <w:r w:rsidR="000B7E29">
        <w:rPr>
          <w:rFonts w:ascii="Calibri" w:eastAsia="Times New Roman" w:hAnsi="Calibri" w:cs="Calibri"/>
          <w:b/>
          <w:sz w:val="24"/>
          <w:szCs w:val="24"/>
          <w:lang w:eastAsia="cs-CZ"/>
        </w:rPr>
        <w:t>y</w:t>
      </w:r>
    </w:p>
    <w:p w14:paraId="4ADCF2D2" w14:textId="77777777" w:rsidR="00D86736" w:rsidRPr="00D86736" w:rsidRDefault="00D86736" w:rsidP="00D86736">
      <w:pPr>
        <w:spacing w:after="0" w:line="240" w:lineRule="auto"/>
        <w:jc w:val="both"/>
        <w:rPr>
          <w:rFonts w:ascii="Calibri" w:hAnsi="Calibri" w:cs="Calibri"/>
          <w:sz w:val="24"/>
          <w:szCs w:val="24"/>
        </w:rPr>
      </w:pPr>
    </w:p>
    <w:p w14:paraId="195C4E90" w14:textId="364B1480" w:rsidR="00393DDB"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 xml:space="preserve">V ČR bylo celkem 7 </w:t>
      </w:r>
      <w:r w:rsidR="000B7E29">
        <w:rPr>
          <w:rFonts w:ascii="Calibri" w:hAnsi="Calibri" w:cs="Calibri"/>
          <w:sz w:val="24"/>
          <w:szCs w:val="24"/>
        </w:rPr>
        <w:t>r</w:t>
      </w:r>
      <w:r w:rsidRPr="00D86736">
        <w:rPr>
          <w:rFonts w:ascii="Calibri" w:hAnsi="Calibri" w:cs="Calibri"/>
          <w:sz w:val="24"/>
          <w:szCs w:val="24"/>
        </w:rPr>
        <w:t xml:space="preserve">egionálních operačních programů (dále také „ROP“), které v programovém období let 2007–2013 sloužily k podpoře hospodářského a sociálního </w:t>
      </w:r>
      <w:r w:rsidRPr="00D86736">
        <w:rPr>
          <w:rFonts w:ascii="Calibri" w:hAnsi="Calibri" w:cs="Calibri"/>
          <w:bCs/>
          <w:sz w:val="24"/>
          <w:szCs w:val="24"/>
        </w:rPr>
        <w:t>rozvoje. Programy ROP byly schváleny Evropskou komisí. Programy po</w:t>
      </w:r>
      <w:r w:rsidRPr="00D86736">
        <w:rPr>
          <w:rFonts w:ascii="Calibri" w:hAnsi="Calibri" w:cs="Calibri"/>
          <w:sz w:val="24"/>
          <w:szCs w:val="24"/>
        </w:rPr>
        <w:t>dporovaly dotacemi z </w:t>
      </w:r>
      <w:r w:rsidRPr="00D86736">
        <w:rPr>
          <w:rFonts w:ascii="Calibri" w:hAnsi="Calibri" w:cs="Calibri"/>
          <w:bCs/>
          <w:sz w:val="24"/>
          <w:szCs w:val="24"/>
        </w:rPr>
        <w:t>Evropského fondu pro regionální rozvoj</w:t>
      </w:r>
      <w:r w:rsidRPr="00D86736">
        <w:rPr>
          <w:rFonts w:ascii="Calibri" w:hAnsi="Calibri" w:cs="Calibri"/>
          <w:sz w:val="24"/>
          <w:szCs w:val="24"/>
        </w:rPr>
        <w:t xml:space="preserve"> projekty realizované na území regionů soudržnosti.</w:t>
      </w:r>
    </w:p>
    <w:p w14:paraId="053EBB50" w14:textId="77777777" w:rsidR="00D86736" w:rsidRPr="00D86736" w:rsidRDefault="00D86736" w:rsidP="00D86736">
      <w:pPr>
        <w:spacing w:after="0" w:line="240" w:lineRule="auto"/>
        <w:jc w:val="both"/>
        <w:rPr>
          <w:rFonts w:ascii="Calibri" w:hAnsi="Calibri" w:cs="Calibri"/>
          <w:sz w:val="24"/>
          <w:szCs w:val="24"/>
          <w:u w:val="single"/>
        </w:rPr>
      </w:pPr>
    </w:p>
    <w:p w14:paraId="52A4AD19" w14:textId="77777777" w:rsidR="00393DDB"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 xml:space="preserve">Programy ROP obsahovaly </w:t>
      </w:r>
      <w:r w:rsidRPr="00D86736">
        <w:rPr>
          <w:rFonts w:ascii="Calibri" w:hAnsi="Calibri" w:cs="Calibri"/>
          <w:b/>
          <w:bCs/>
          <w:sz w:val="24"/>
          <w:szCs w:val="24"/>
        </w:rPr>
        <w:t>prioritní osy</w:t>
      </w:r>
      <w:r w:rsidRPr="00D86736">
        <w:rPr>
          <w:rFonts w:ascii="Calibri" w:hAnsi="Calibri" w:cs="Calibri"/>
          <w:sz w:val="24"/>
          <w:szCs w:val="24"/>
        </w:rPr>
        <w:t xml:space="preserve"> rozdělující operační program na logické celky</w:t>
      </w:r>
      <w:r w:rsidR="00EA1424" w:rsidRPr="00D86736">
        <w:rPr>
          <w:rFonts w:ascii="Calibri" w:hAnsi="Calibri" w:cs="Calibri"/>
          <w:sz w:val="24"/>
          <w:szCs w:val="24"/>
        </w:rPr>
        <w:t>.</w:t>
      </w:r>
      <w:r w:rsidRPr="00D86736">
        <w:rPr>
          <w:rFonts w:ascii="Calibri" w:hAnsi="Calibri" w:cs="Calibri"/>
          <w:sz w:val="24"/>
          <w:szCs w:val="24"/>
        </w:rPr>
        <w:t xml:space="preserve"> </w:t>
      </w:r>
      <w:r w:rsidR="00EA1424" w:rsidRPr="00D86736">
        <w:rPr>
          <w:rFonts w:ascii="Calibri" w:hAnsi="Calibri" w:cs="Calibri"/>
          <w:sz w:val="24"/>
          <w:szCs w:val="24"/>
        </w:rPr>
        <w:t>T</w:t>
      </w:r>
      <w:r w:rsidRPr="00D86736">
        <w:rPr>
          <w:rFonts w:ascii="Calibri" w:hAnsi="Calibri" w:cs="Calibri"/>
          <w:sz w:val="24"/>
          <w:szCs w:val="24"/>
        </w:rPr>
        <w:t>y</w:t>
      </w:r>
      <w:r w:rsidR="00EA1424" w:rsidRPr="00D86736">
        <w:rPr>
          <w:rFonts w:ascii="Calibri" w:hAnsi="Calibri" w:cs="Calibri"/>
          <w:sz w:val="24"/>
          <w:szCs w:val="24"/>
        </w:rPr>
        <w:t>to logické celky</w:t>
      </w:r>
      <w:r w:rsidRPr="00D86736">
        <w:rPr>
          <w:rFonts w:ascii="Calibri" w:hAnsi="Calibri" w:cs="Calibri"/>
          <w:sz w:val="24"/>
          <w:szCs w:val="24"/>
        </w:rPr>
        <w:t xml:space="preserve"> byly dále konkretizovány prostřednictvím tzv</w:t>
      </w:r>
      <w:r w:rsidRPr="00D86736">
        <w:rPr>
          <w:rFonts w:ascii="Calibri" w:hAnsi="Calibri" w:cs="Calibri"/>
          <w:b/>
          <w:sz w:val="24"/>
          <w:szCs w:val="24"/>
        </w:rPr>
        <w:t xml:space="preserve">. </w:t>
      </w:r>
      <w:r w:rsidRPr="00D86736">
        <w:rPr>
          <w:rFonts w:ascii="Calibri" w:hAnsi="Calibri" w:cs="Calibri"/>
          <w:b/>
          <w:bCs/>
          <w:sz w:val="24"/>
          <w:szCs w:val="24"/>
        </w:rPr>
        <w:t>oblastí podpory</w:t>
      </w:r>
      <w:r w:rsidR="00EA1424" w:rsidRPr="00E574E9">
        <w:rPr>
          <w:rFonts w:ascii="Calibri" w:hAnsi="Calibri" w:cs="Calibri"/>
          <w:b/>
          <w:sz w:val="24"/>
          <w:szCs w:val="24"/>
        </w:rPr>
        <w:t>.</w:t>
      </w:r>
      <w:r w:rsidRPr="00D86736">
        <w:rPr>
          <w:rFonts w:ascii="Calibri" w:hAnsi="Calibri" w:cs="Calibri"/>
          <w:sz w:val="24"/>
          <w:szCs w:val="24"/>
        </w:rPr>
        <w:t xml:space="preserve"> </w:t>
      </w:r>
      <w:r w:rsidR="00EA1424" w:rsidRPr="00D86736">
        <w:rPr>
          <w:rFonts w:ascii="Calibri" w:hAnsi="Calibri" w:cs="Calibri"/>
          <w:sz w:val="24"/>
          <w:szCs w:val="24"/>
        </w:rPr>
        <w:t>Oblasti podpory</w:t>
      </w:r>
      <w:r w:rsidRPr="00D86736">
        <w:rPr>
          <w:rFonts w:ascii="Calibri" w:hAnsi="Calibri" w:cs="Calibri"/>
          <w:sz w:val="24"/>
          <w:szCs w:val="24"/>
        </w:rPr>
        <w:t xml:space="preserve"> vymezovaly, jaké typy projektů mohly být v rámci příslušné prioritní osy </w:t>
      </w:r>
      <w:r w:rsidR="00EA1424" w:rsidRPr="00D86736">
        <w:rPr>
          <w:rFonts w:ascii="Calibri" w:hAnsi="Calibri" w:cs="Calibri"/>
          <w:sz w:val="24"/>
          <w:szCs w:val="24"/>
        </w:rPr>
        <w:t>odsouhlaseny.</w:t>
      </w:r>
    </w:p>
    <w:p w14:paraId="12918B66" w14:textId="77777777" w:rsidR="00D86736" w:rsidRPr="00D86736" w:rsidRDefault="00D86736" w:rsidP="00D86736">
      <w:pPr>
        <w:spacing w:after="0" w:line="240" w:lineRule="auto"/>
        <w:jc w:val="both"/>
        <w:rPr>
          <w:rFonts w:ascii="Calibri" w:hAnsi="Calibri" w:cs="Calibri"/>
          <w:sz w:val="24"/>
          <w:szCs w:val="24"/>
        </w:rPr>
      </w:pPr>
    </w:p>
    <w:p w14:paraId="749D906F" w14:textId="548B096C" w:rsidR="00393DDB"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Regionální rada regionu soudržnosti (dále také „RR“) je ve smyslu ustanovení § 16 zákona č. 248/2000 Sb.</w:t>
      </w:r>
      <w:r w:rsidR="008A60CF" w:rsidRPr="00D86736">
        <w:rPr>
          <w:rStyle w:val="Znakapoznpodarou"/>
          <w:rFonts w:ascii="Calibri" w:hAnsi="Calibri" w:cs="Calibri"/>
          <w:sz w:val="24"/>
          <w:szCs w:val="24"/>
        </w:rPr>
        <w:footnoteReference w:id="4"/>
      </w:r>
      <w:r w:rsidRPr="00D86736">
        <w:rPr>
          <w:rFonts w:ascii="Calibri" w:hAnsi="Calibri" w:cs="Calibri"/>
          <w:sz w:val="24"/>
          <w:szCs w:val="24"/>
        </w:rPr>
        <w:t xml:space="preserve"> říd</w:t>
      </w:r>
      <w:r w:rsidR="000B7E29">
        <w:rPr>
          <w:rFonts w:ascii="Calibri" w:hAnsi="Calibri" w:cs="Calibri"/>
          <w:sz w:val="24"/>
          <w:szCs w:val="24"/>
        </w:rPr>
        <w:t>i</w:t>
      </w:r>
      <w:r w:rsidRPr="00D86736">
        <w:rPr>
          <w:rFonts w:ascii="Calibri" w:hAnsi="Calibri" w:cs="Calibri"/>
          <w:sz w:val="24"/>
          <w:szCs w:val="24"/>
        </w:rPr>
        <w:t xml:space="preserve">cím orgánem pro </w:t>
      </w:r>
      <w:proofErr w:type="gramStart"/>
      <w:r w:rsidRPr="00D86736">
        <w:rPr>
          <w:rFonts w:ascii="Calibri" w:hAnsi="Calibri" w:cs="Calibri"/>
          <w:sz w:val="24"/>
          <w:szCs w:val="24"/>
        </w:rPr>
        <w:t>ROP</w:t>
      </w:r>
      <w:proofErr w:type="gramEnd"/>
      <w:r w:rsidRPr="00D86736">
        <w:rPr>
          <w:rFonts w:ascii="Calibri" w:hAnsi="Calibri" w:cs="Calibri"/>
          <w:sz w:val="24"/>
          <w:szCs w:val="24"/>
        </w:rPr>
        <w:t xml:space="preserve"> a je účetní jednotkou. Hospodaření RR je stanoveno </w:t>
      </w:r>
      <w:r w:rsidRPr="00D86736">
        <w:rPr>
          <w:rFonts w:ascii="Calibri" w:hAnsi="Calibri" w:cs="Calibri"/>
          <w:sz w:val="24"/>
          <w:szCs w:val="24"/>
        </w:rPr>
        <w:lastRenderedPageBreak/>
        <w:t>zákonem č. 250/2000 Sb.</w:t>
      </w:r>
      <w:r w:rsidR="008A60CF" w:rsidRPr="00D86736">
        <w:rPr>
          <w:rStyle w:val="Znakapoznpodarou"/>
          <w:rFonts w:ascii="Calibri" w:hAnsi="Calibri" w:cs="Calibri"/>
          <w:sz w:val="24"/>
          <w:szCs w:val="24"/>
        </w:rPr>
        <w:footnoteReference w:id="5"/>
      </w:r>
      <w:r w:rsidRPr="00D86736">
        <w:rPr>
          <w:rFonts w:ascii="Calibri" w:hAnsi="Calibri" w:cs="Calibri"/>
          <w:sz w:val="24"/>
          <w:szCs w:val="24"/>
        </w:rPr>
        <w:t xml:space="preserve"> Statutárním orgánem </w:t>
      </w:r>
      <w:r w:rsidR="000B7E29">
        <w:rPr>
          <w:rFonts w:ascii="Calibri" w:hAnsi="Calibri" w:cs="Calibri"/>
          <w:sz w:val="24"/>
          <w:szCs w:val="24"/>
        </w:rPr>
        <w:t>r</w:t>
      </w:r>
      <w:r w:rsidRPr="00D86736">
        <w:rPr>
          <w:rFonts w:ascii="Calibri" w:hAnsi="Calibri" w:cs="Calibri"/>
          <w:sz w:val="24"/>
          <w:szCs w:val="24"/>
        </w:rPr>
        <w:t xml:space="preserve">egionální rady je předseda RR. Výkonným orgánem RR je </w:t>
      </w:r>
      <w:r w:rsidR="000B7E29">
        <w:rPr>
          <w:rFonts w:ascii="Calibri" w:hAnsi="Calibri" w:cs="Calibri"/>
          <w:sz w:val="24"/>
          <w:szCs w:val="24"/>
        </w:rPr>
        <w:t>ú</w:t>
      </w:r>
      <w:r w:rsidRPr="00D86736">
        <w:rPr>
          <w:rFonts w:ascii="Calibri" w:hAnsi="Calibri" w:cs="Calibri"/>
          <w:sz w:val="24"/>
          <w:szCs w:val="24"/>
        </w:rPr>
        <w:t xml:space="preserve">řad </w:t>
      </w:r>
      <w:r w:rsidR="000B7E29">
        <w:rPr>
          <w:rFonts w:ascii="Calibri" w:hAnsi="Calibri" w:cs="Calibri"/>
          <w:sz w:val="24"/>
          <w:szCs w:val="24"/>
        </w:rPr>
        <w:t>r</w:t>
      </w:r>
      <w:r w:rsidRPr="00D86736">
        <w:rPr>
          <w:rFonts w:ascii="Calibri" w:hAnsi="Calibri" w:cs="Calibri"/>
          <w:sz w:val="24"/>
          <w:szCs w:val="24"/>
        </w:rPr>
        <w:t>egionální rady, který zabezpečuje úkoly spojené s funkcí řídícího orgánu ROP.</w:t>
      </w:r>
    </w:p>
    <w:p w14:paraId="5BBADDFF" w14:textId="77777777" w:rsidR="007765FC" w:rsidRPr="00D86736" w:rsidRDefault="007765FC" w:rsidP="00D86736">
      <w:pPr>
        <w:spacing w:after="0" w:line="240" w:lineRule="auto"/>
        <w:jc w:val="both"/>
        <w:rPr>
          <w:rFonts w:ascii="Calibri" w:hAnsi="Calibri" w:cs="Calibri"/>
          <w:sz w:val="24"/>
          <w:szCs w:val="24"/>
        </w:rPr>
      </w:pPr>
    </w:p>
    <w:p w14:paraId="2AE35A3A" w14:textId="77777777" w:rsidR="00393DDB"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Regionální rada regionu soudržnosti Jihozápad vyhlásila poslední výzvu k předkládání projektů v rámci kontrolované oblasti v květnu 2014 s tím, že projekty musely být fyzicky realizovány nejpozději do 30. 7. 2015. Financování z prostředků EU prostřednictvím ROP již bylo ukončeno. RRJZ poté prováděla pouze monitoring v souvislosti se zajištěním udržitelnosti projektů.</w:t>
      </w:r>
    </w:p>
    <w:p w14:paraId="6F092DB2" w14:textId="77777777" w:rsidR="00D86736" w:rsidRPr="00D86736" w:rsidRDefault="00D86736" w:rsidP="00D86736">
      <w:pPr>
        <w:spacing w:after="0" w:line="240" w:lineRule="auto"/>
        <w:jc w:val="both"/>
        <w:rPr>
          <w:rFonts w:ascii="Calibri" w:hAnsi="Calibri" w:cs="Calibri"/>
          <w:sz w:val="24"/>
          <w:szCs w:val="24"/>
        </w:rPr>
      </w:pPr>
    </w:p>
    <w:p w14:paraId="4E2B0292" w14:textId="77777777" w:rsidR="00393DDB" w:rsidRPr="00D86736" w:rsidRDefault="00393DDB" w:rsidP="00D86736">
      <w:pPr>
        <w:spacing w:after="0" w:line="240" w:lineRule="auto"/>
        <w:jc w:val="both"/>
        <w:rPr>
          <w:rFonts w:ascii="Calibri" w:eastAsia="Times New Roman" w:hAnsi="Calibri" w:cs="Calibri"/>
          <w:b/>
          <w:sz w:val="24"/>
          <w:szCs w:val="24"/>
          <w:lang w:eastAsia="cs-CZ"/>
        </w:rPr>
      </w:pPr>
      <w:r w:rsidRPr="00D86736">
        <w:rPr>
          <w:rFonts w:ascii="Calibri" w:eastAsia="Times New Roman" w:hAnsi="Calibri" w:cs="Calibri"/>
          <w:b/>
          <w:sz w:val="24"/>
          <w:szCs w:val="24"/>
          <w:lang w:eastAsia="cs-CZ"/>
        </w:rPr>
        <w:t>Příjemci dotací</w:t>
      </w:r>
    </w:p>
    <w:p w14:paraId="630E6D15" w14:textId="77777777" w:rsidR="00D86736" w:rsidRDefault="00D86736" w:rsidP="00D86736">
      <w:pPr>
        <w:spacing w:after="0" w:line="240" w:lineRule="auto"/>
        <w:jc w:val="both"/>
        <w:rPr>
          <w:rFonts w:ascii="Calibri" w:hAnsi="Calibri" w:cs="Calibri"/>
          <w:sz w:val="24"/>
          <w:szCs w:val="24"/>
        </w:rPr>
      </w:pPr>
    </w:p>
    <w:p w14:paraId="3B7BBADC" w14:textId="77777777" w:rsidR="00393DDB" w:rsidRPr="00D86736"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Příjemci dotací byly buď kraje, nebo jimi pověřené příspěvkové organizace, zřízené za účelem správy a údržby silnic krajů.</w:t>
      </w:r>
    </w:p>
    <w:p w14:paraId="14BC69E8" w14:textId="77777777" w:rsidR="00D86736" w:rsidRDefault="00D86736" w:rsidP="00D86736">
      <w:pPr>
        <w:spacing w:after="0" w:line="240" w:lineRule="auto"/>
        <w:jc w:val="both"/>
        <w:rPr>
          <w:rFonts w:ascii="Calibri" w:hAnsi="Calibri" w:cs="Calibri"/>
          <w:sz w:val="24"/>
          <w:szCs w:val="24"/>
        </w:rPr>
      </w:pPr>
    </w:p>
    <w:p w14:paraId="1B37B6E9" w14:textId="77777777" w:rsidR="00393DDB" w:rsidRPr="00D86736"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 xml:space="preserve">Kontrolou bylo zejména prověřováno, zda byly opravy, modernizace a rozvoj silnic II. a III. třídy </w:t>
      </w:r>
      <w:r w:rsidR="006825D6" w:rsidRPr="00D86736">
        <w:rPr>
          <w:rFonts w:ascii="Calibri" w:hAnsi="Calibri" w:cs="Calibri"/>
          <w:sz w:val="24"/>
          <w:szCs w:val="24"/>
        </w:rPr>
        <w:t>prováděny</w:t>
      </w:r>
      <w:r w:rsidRPr="00D86736">
        <w:rPr>
          <w:rFonts w:ascii="Calibri" w:hAnsi="Calibri" w:cs="Calibri"/>
          <w:sz w:val="24"/>
          <w:szCs w:val="24"/>
        </w:rPr>
        <w:t xml:space="preserve"> účelně, hospodárně a efektivně (dále „3E“). Současně bylo prověřeno dodržování právních předpisů souvisejících s kontrolovanou problematikou.</w:t>
      </w:r>
    </w:p>
    <w:p w14:paraId="4370C304" w14:textId="77777777" w:rsidR="00D86736" w:rsidRDefault="00D86736" w:rsidP="00D86736">
      <w:pPr>
        <w:spacing w:after="0" w:line="240" w:lineRule="auto"/>
        <w:jc w:val="both"/>
        <w:rPr>
          <w:rFonts w:ascii="Calibri" w:hAnsi="Calibri" w:cs="Calibri"/>
          <w:sz w:val="24"/>
          <w:szCs w:val="24"/>
        </w:rPr>
      </w:pPr>
    </w:p>
    <w:p w14:paraId="57F63709" w14:textId="77777777" w:rsidR="00393DDB" w:rsidRPr="00D86736" w:rsidRDefault="00393DDB" w:rsidP="00D86736">
      <w:pPr>
        <w:spacing w:after="0" w:line="240" w:lineRule="auto"/>
        <w:jc w:val="both"/>
        <w:rPr>
          <w:rFonts w:ascii="Calibri" w:hAnsi="Calibri" w:cs="Calibri"/>
          <w:sz w:val="24"/>
          <w:szCs w:val="24"/>
        </w:rPr>
      </w:pPr>
      <w:r w:rsidRPr="00D86736">
        <w:rPr>
          <w:rFonts w:ascii="Calibri" w:hAnsi="Calibri" w:cs="Calibri"/>
          <w:sz w:val="24"/>
          <w:szCs w:val="24"/>
        </w:rPr>
        <w:t>NKÚ provedl kontrolu u dvou poskytovatelů peněžních prostředků – SFDI a RRJZ – a u 7 příjemců podpory, u nichž prověřil 39 projektů v celkovém finančním objemu 741 323 197 Kč.</w:t>
      </w:r>
    </w:p>
    <w:p w14:paraId="1BAA3228" w14:textId="77777777" w:rsidR="00D86736" w:rsidRDefault="00D86736" w:rsidP="00D86736">
      <w:pPr>
        <w:spacing w:after="0" w:line="240" w:lineRule="auto"/>
        <w:jc w:val="both"/>
        <w:rPr>
          <w:rFonts w:ascii="Calibri" w:hAnsi="Calibri" w:cs="Calibri"/>
          <w:bCs/>
          <w:iCs/>
          <w:sz w:val="24"/>
          <w:szCs w:val="24"/>
        </w:rPr>
      </w:pPr>
    </w:p>
    <w:p w14:paraId="6B52F2DC" w14:textId="77777777" w:rsidR="00D337BC" w:rsidRPr="00D86736" w:rsidRDefault="00D337BC" w:rsidP="00D86736">
      <w:pPr>
        <w:spacing w:after="0" w:line="240" w:lineRule="auto"/>
        <w:jc w:val="both"/>
        <w:rPr>
          <w:rFonts w:ascii="Calibri" w:hAnsi="Calibri" w:cs="Calibri"/>
          <w:bCs/>
          <w:iCs/>
          <w:sz w:val="24"/>
          <w:szCs w:val="24"/>
        </w:rPr>
      </w:pPr>
      <w:r w:rsidRPr="00D86736">
        <w:rPr>
          <w:rFonts w:ascii="Calibri" w:hAnsi="Calibri" w:cs="Calibri"/>
          <w:bCs/>
          <w:iCs/>
          <w:sz w:val="24"/>
          <w:szCs w:val="24"/>
        </w:rPr>
        <w:t xml:space="preserve">Kontrola NKÚ zjistila </w:t>
      </w:r>
      <w:r w:rsidR="00165739" w:rsidRPr="00D86736">
        <w:rPr>
          <w:rFonts w:ascii="Calibri" w:hAnsi="Calibri" w:cs="Calibri"/>
          <w:bCs/>
          <w:iCs/>
          <w:sz w:val="24"/>
          <w:szCs w:val="24"/>
        </w:rPr>
        <w:t xml:space="preserve">i </w:t>
      </w:r>
      <w:r w:rsidRPr="00D86736">
        <w:rPr>
          <w:rFonts w:ascii="Calibri" w:hAnsi="Calibri" w:cs="Calibri"/>
          <w:bCs/>
          <w:iCs/>
          <w:sz w:val="24"/>
          <w:szCs w:val="24"/>
        </w:rPr>
        <w:t xml:space="preserve">výši podílů finančních prostředků některých krajů na financování </w:t>
      </w:r>
      <w:r w:rsidR="00165739" w:rsidRPr="00D86736">
        <w:rPr>
          <w:rFonts w:ascii="Calibri" w:hAnsi="Calibri" w:cs="Calibri"/>
          <w:bCs/>
          <w:iCs/>
          <w:sz w:val="24"/>
          <w:szCs w:val="24"/>
        </w:rPr>
        <w:t>oprav, modernizaci a rozvoj</w:t>
      </w:r>
      <w:r w:rsidRPr="00D86736">
        <w:rPr>
          <w:rFonts w:ascii="Calibri" w:hAnsi="Calibri" w:cs="Calibri"/>
          <w:bCs/>
          <w:iCs/>
          <w:sz w:val="24"/>
          <w:szCs w:val="24"/>
        </w:rPr>
        <w:t xml:space="preserve"> silnic II. a III. třídy, nemohla však tyto informace prověřit, neboť působnost NKÚ neumožňuje ověřovat hospodaření s finančními prostředky krajů.</w:t>
      </w:r>
    </w:p>
    <w:p w14:paraId="683BC2F4" w14:textId="77777777" w:rsidR="00D337BC" w:rsidRPr="00D86736" w:rsidRDefault="00D337BC" w:rsidP="00D86736">
      <w:pPr>
        <w:spacing w:after="0" w:line="240" w:lineRule="auto"/>
        <w:jc w:val="both"/>
        <w:rPr>
          <w:rFonts w:ascii="Calibri" w:eastAsia="Times New Roman" w:hAnsi="Calibri" w:cs="Calibri"/>
          <w:sz w:val="24"/>
          <w:szCs w:val="24"/>
          <w:lang w:eastAsia="cs-CZ"/>
        </w:rPr>
      </w:pPr>
    </w:p>
    <w:p w14:paraId="57B2ED2C" w14:textId="77777777" w:rsidR="00393DDB" w:rsidRPr="00D86736" w:rsidRDefault="00393DDB" w:rsidP="00D86736">
      <w:pPr>
        <w:spacing w:after="0" w:line="240" w:lineRule="auto"/>
        <w:jc w:val="both"/>
        <w:rPr>
          <w:rFonts w:ascii="Calibri" w:eastAsia="Times New Roman" w:hAnsi="Calibri" w:cs="Calibri"/>
          <w:b/>
          <w:sz w:val="24"/>
          <w:szCs w:val="24"/>
          <w:lang w:eastAsia="cs-CZ"/>
        </w:rPr>
      </w:pPr>
      <w:r w:rsidRPr="00D86736">
        <w:rPr>
          <w:rFonts w:ascii="Calibri" w:eastAsia="Times New Roman" w:hAnsi="Calibri" w:cs="Calibri"/>
          <w:b/>
          <w:sz w:val="24"/>
          <w:szCs w:val="24"/>
          <w:lang w:eastAsia="cs-CZ"/>
        </w:rPr>
        <w:t xml:space="preserve">Porovnání </w:t>
      </w:r>
      <w:r w:rsidR="006825D6" w:rsidRPr="00D86736">
        <w:rPr>
          <w:rFonts w:ascii="Calibri" w:eastAsia="Times New Roman" w:hAnsi="Calibri" w:cs="Calibri"/>
          <w:b/>
          <w:sz w:val="24"/>
          <w:szCs w:val="24"/>
          <w:lang w:eastAsia="cs-CZ"/>
        </w:rPr>
        <w:t xml:space="preserve">některých parametrů z </w:t>
      </w:r>
      <w:r w:rsidRPr="00D86736">
        <w:rPr>
          <w:rFonts w:ascii="Calibri" w:eastAsia="Times New Roman" w:hAnsi="Calibri" w:cs="Calibri"/>
          <w:b/>
          <w:sz w:val="24"/>
          <w:szCs w:val="24"/>
          <w:lang w:eastAsia="cs-CZ"/>
        </w:rPr>
        <w:t>obdobn</w:t>
      </w:r>
      <w:r w:rsidR="006825D6" w:rsidRPr="00D86736">
        <w:rPr>
          <w:rFonts w:ascii="Calibri" w:eastAsia="Times New Roman" w:hAnsi="Calibri" w:cs="Calibri"/>
          <w:b/>
          <w:sz w:val="24"/>
          <w:szCs w:val="24"/>
          <w:lang w:eastAsia="cs-CZ"/>
        </w:rPr>
        <w:t>é</w:t>
      </w:r>
      <w:r w:rsidRPr="00D86736">
        <w:rPr>
          <w:rFonts w:ascii="Calibri" w:eastAsia="Times New Roman" w:hAnsi="Calibri" w:cs="Calibri"/>
          <w:b/>
          <w:sz w:val="24"/>
          <w:szCs w:val="24"/>
          <w:lang w:eastAsia="cs-CZ"/>
        </w:rPr>
        <w:t xml:space="preserve"> kontrol</w:t>
      </w:r>
      <w:r w:rsidR="006825D6" w:rsidRPr="00D86736">
        <w:rPr>
          <w:rFonts w:ascii="Calibri" w:eastAsia="Times New Roman" w:hAnsi="Calibri" w:cs="Calibri"/>
          <w:b/>
          <w:sz w:val="24"/>
          <w:szCs w:val="24"/>
          <w:lang w:eastAsia="cs-CZ"/>
        </w:rPr>
        <w:t>y</w:t>
      </w:r>
      <w:r w:rsidRPr="00D86736">
        <w:rPr>
          <w:rFonts w:ascii="Calibri" w:eastAsia="Times New Roman" w:hAnsi="Calibri" w:cs="Calibri"/>
          <w:b/>
          <w:sz w:val="24"/>
          <w:szCs w:val="24"/>
          <w:lang w:eastAsia="cs-CZ"/>
        </w:rPr>
        <w:t xml:space="preserve"> </w:t>
      </w:r>
    </w:p>
    <w:p w14:paraId="0641855C" w14:textId="77777777" w:rsidR="00D86736" w:rsidRDefault="00D86736" w:rsidP="00D86736">
      <w:pPr>
        <w:spacing w:after="0" w:line="240" w:lineRule="auto"/>
        <w:jc w:val="both"/>
        <w:rPr>
          <w:rFonts w:ascii="Calibri" w:eastAsia="Times New Roman" w:hAnsi="Calibri" w:cs="Calibri"/>
          <w:sz w:val="24"/>
          <w:szCs w:val="24"/>
          <w:lang w:eastAsia="cs-CZ"/>
        </w:rPr>
      </w:pPr>
    </w:p>
    <w:p w14:paraId="1AA5BBC4" w14:textId="0131B1C3" w:rsidR="00393DDB" w:rsidRDefault="00393DDB" w:rsidP="00D86736">
      <w:pPr>
        <w:spacing w:after="0" w:line="240" w:lineRule="auto"/>
        <w:jc w:val="both"/>
        <w:rPr>
          <w:rFonts w:ascii="Calibri" w:eastAsia="Times New Roman" w:hAnsi="Calibri" w:cs="Calibri"/>
          <w:sz w:val="24"/>
          <w:szCs w:val="24"/>
          <w:lang w:eastAsia="cs-CZ"/>
        </w:rPr>
      </w:pPr>
      <w:r w:rsidRPr="00D86736">
        <w:rPr>
          <w:rFonts w:ascii="Calibri" w:eastAsia="Times New Roman" w:hAnsi="Calibri" w:cs="Calibri"/>
          <w:sz w:val="24"/>
          <w:szCs w:val="24"/>
          <w:lang w:eastAsia="cs-CZ"/>
        </w:rPr>
        <w:t>NKÚ využil skutečnosti, že Nejvyšší kontrolní úřad Slovenské republiky (dále</w:t>
      </w:r>
      <w:r w:rsidR="00313B7C" w:rsidRPr="00D86736">
        <w:rPr>
          <w:rFonts w:ascii="Calibri" w:eastAsia="Times New Roman" w:hAnsi="Calibri" w:cs="Calibri"/>
          <w:sz w:val="24"/>
          <w:szCs w:val="24"/>
          <w:lang w:eastAsia="cs-CZ"/>
        </w:rPr>
        <w:t xml:space="preserve"> také</w:t>
      </w:r>
      <w:r w:rsidRPr="00D86736">
        <w:rPr>
          <w:rFonts w:ascii="Calibri" w:eastAsia="Times New Roman" w:hAnsi="Calibri" w:cs="Calibri"/>
          <w:sz w:val="24"/>
          <w:szCs w:val="24"/>
          <w:lang w:eastAsia="cs-CZ"/>
        </w:rPr>
        <w:t xml:space="preserve"> „NKÚ SR“) provedl v roce 2014 kontrolu zaměřenou na procesy spojené s údržbou, opravami a rozvojem sítí silnic II. a III. třídy, které spravují vyšší územn</w:t>
      </w:r>
      <w:r w:rsidR="007D788C">
        <w:rPr>
          <w:rFonts w:ascii="Calibri" w:eastAsia="Times New Roman" w:hAnsi="Calibri" w:cs="Calibri"/>
          <w:sz w:val="24"/>
          <w:szCs w:val="24"/>
          <w:lang w:eastAsia="cs-CZ"/>
        </w:rPr>
        <w:t>í samo</w:t>
      </w:r>
      <w:r w:rsidRPr="00D86736">
        <w:rPr>
          <w:rFonts w:ascii="Calibri" w:eastAsia="Times New Roman" w:hAnsi="Calibri" w:cs="Calibri"/>
          <w:sz w:val="24"/>
          <w:szCs w:val="24"/>
          <w:lang w:eastAsia="cs-CZ"/>
        </w:rPr>
        <w:t>správn</w:t>
      </w:r>
      <w:r w:rsidR="007D788C">
        <w:rPr>
          <w:rFonts w:ascii="Calibri" w:eastAsia="Times New Roman" w:hAnsi="Calibri" w:cs="Calibri"/>
          <w:sz w:val="24"/>
          <w:szCs w:val="24"/>
          <w:lang w:eastAsia="cs-CZ"/>
        </w:rPr>
        <w:t>é</w:t>
      </w:r>
      <w:r w:rsidRPr="00D86736">
        <w:rPr>
          <w:rFonts w:ascii="Calibri" w:eastAsia="Times New Roman" w:hAnsi="Calibri" w:cs="Calibri"/>
          <w:sz w:val="24"/>
          <w:szCs w:val="24"/>
          <w:lang w:eastAsia="cs-CZ"/>
        </w:rPr>
        <w:t xml:space="preserve"> celky na Slovensku</w:t>
      </w:r>
      <w:r w:rsidR="006B5108">
        <w:rPr>
          <w:rFonts w:ascii="Calibri" w:eastAsia="Times New Roman" w:hAnsi="Calibri" w:cs="Calibri"/>
          <w:sz w:val="24"/>
          <w:szCs w:val="24"/>
          <w:lang w:eastAsia="cs-CZ"/>
        </w:rPr>
        <w:t xml:space="preserve"> (dále také „VÚC“)</w:t>
      </w:r>
      <w:r w:rsidRPr="00D86736">
        <w:rPr>
          <w:rFonts w:ascii="Calibri" w:eastAsia="Times New Roman" w:hAnsi="Calibri" w:cs="Calibri"/>
          <w:sz w:val="24"/>
          <w:szCs w:val="24"/>
          <w:lang w:eastAsia="cs-CZ"/>
        </w:rPr>
        <w:t>. Výsledky kontroly byly publikovány v souhrnné zprávě</w:t>
      </w:r>
      <w:r w:rsidRPr="00D86736">
        <w:rPr>
          <w:rFonts w:ascii="Calibri" w:eastAsia="Times New Roman" w:hAnsi="Calibri" w:cs="Calibri"/>
          <w:sz w:val="24"/>
          <w:szCs w:val="24"/>
          <w:vertAlign w:val="superscript"/>
          <w:lang w:eastAsia="cs-CZ"/>
        </w:rPr>
        <w:footnoteReference w:id="6"/>
      </w:r>
      <w:r w:rsidRPr="00D86736">
        <w:rPr>
          <w:rFonts w:ascii="Calibri" w:eastAsia="Times New Roman" w:hAnsi="Calibri" w:cs="Calibri"/>
          <w:sz w:val="24"/>
          <w:szCs w:val="24"/>
          <w:lang w:eastAsia="cs-CZ"/>
        </w:rPr>
        <w:t xml:space="preserve"> </w:t>
      </w:r>
      <w:r w:rsidR="00313B7C" w:rsidRPr="00D86736">
        <w:rPr>
          <w:rFonts w:ascii="Calibri" w:eastAsia="Times New Roman" w:hAnsi="Calibri" w:cs="Calibri"/>
          <w:sz w:val="24"/>
          <w:szCs w:val="24"/>
          <w:lang w:eastAsia="cs-CZ"/>
        </w:rPr>
        <w:t xml:space="preserve">s názvem </w:t>
      </w:r>
      <w:r w:rsidR="00313B7C" w:rsidRPr="00D86736">
        <w:rPr>
          <w:rFonts w:ascii="Calibri" w:hAnsi="Calibri" w:cs="Calibri"/>
          <w:i/>
          <w:color w:val="000000"/>
          <w:sz w:val="24"/>
          <w:szCs w:val="24"/>
        </w:rPr>
        <w:t>„</w:t>
      </w:r>
      <w:proofErr w:type="spellStart"/>
      <w:r w:rsidR="00313B7C" w:rsidRPr="00D86736">
        <w:rPr>
          <w:rFonts w:ascii="Calibri" w:hAnsi="Calibri" w:cs="Calibri"/>
          <w:i/>
          <w:color w:val="000000"/>
          <w:sz w:val="24"/>
          <w:szCs w:val="24"/>
        </w:rPr>
        <w:t>Súhrnná</w:t>
      </w:r>
      <w:proofErr w:type="spellEnd"/>
      <w:r w:rsidR="00313B7C" w:rsidRPr="00D86736">
        <w:rPr>
          <w:rFonts w:ascii="Calibri" w:hAnsi="Calibri" w:cs="Calibri"/>
          <w:i/>
          <w:color w:val="000000"/>
          <w:sz w:val="24"/>
          <w:szCs w:val="24"/>
        </w:rPr>
        <w:t xml:space="preserve"> správa o</w:t>
      </w:r>
      <w:r w:rsidR="006B5108">
        <w:rPr>
          <w:rFonts w:ascii="Calibri" w:hAnsi="Calibri" w:cs="Calibri"/>
          <w:i/>
          <w:color w:val="000000"/>
          <w:sz w:val="24"/>
          <w:szCs w:val="24"/>
        </w:rPr>
        <w:t> </w:t>
      </w:r>
      <w:r w:rsidR="00313B7C" w:rsidRPr="00D86736">
        <w:rPr>
          <w:rFonts w:ascii="Calibri" w:hAnsi="Calibri" w:cs="Calibri"/>
          <w:i/>
          <w:color w:val="000000"/>
          <w:sz w:val="24"/>
          <w:szCs w:val="24"/>
        </w:rPr>
        <w:t xml:space="preserve">výsledku kontroly hospodárnosti, </w:t>
      </w:r>
      <w:proofErr w:type="spellStart"/>
      <w:r w:rsidR="00313B7C" w:rsidRPr="00D86736">
        <w:rPr>
          <w:rFonts w:ascii="Calibri" w:hAnsi="Calibri" w:cs="Calibri"/>
          <w:i/>
          <w:color w:val="000000"/>
          <w:sz w:val="24"/>
          <w:szCs w:val="24"/>
        </w:rPr>
        <w:t>efektívnosti</w:t>
      </w:r>
      <w:proofErr w:type="spellEnd"/>
      <w:r w:rsidR="00313B7C" w:rsidRPr="00D86736">
        <w:rPr>
          <w:rFonts w:ascii="Calibri" w:hAnsi="Calibri" w:cs="Calibri"/>
          <w:i/>
          <w:color w:val="000000"/>
          <w:sz w:val="24"/>
          <w:szCs w:val="24"/>
        </w:rPr>
        <w:t xml:space="preserve"> a účinnosti vynaložených </w:t>
      </w:r>
      <w:proofErr w:type="spellStart"/>
      <w:r w:rsidR="00313B7C" w:rsidRPr="00D86736">
        <w:rPr>
          <w:rFonts w:ascii="Calibri" w:hAnsi="Calibri" w:cs="Calibri"/>
          <w:i/>
          <w:color w:val="000000"/>
          <w:sz w:val="24"/>
          <w:szCs w:val="24"/>
        </w:rPr>
        <w:t>prostriedkov</w:t>
      </w:r>
      <w:proofErr w:type="spellEnd"/>
      <w:r w:rsidR="00313B7C" w:rsidRPr="00D86736">
        <w:rPr>
          <w:rFonts w:ascii="Calibri" w:hAnsi="Calibri" w:cs="Calibri"/>
          <w:i/>
          <w:color w:val="000000"/>
          <w:sz w:val="24"/>
          <w:szCs w:val="24"/>
        </w:rPr>
        <w:t xml:space="preserve"> na výstavbu, opravu a</w:t>
      </w:r>
      <w:r w:rsidR="00ED7321" w:rsidRPr="00D86736">
        <w:rPr>
          <w:rFonts w:ascii="Calibri" w:hAnsi="Calibri" w:cs="Calibri"/>
          <w:i/>
          <w:color w:val="000000"/>
          <w:sz w:val="24"/>
          <w:szCs w:val="24"/>
        </w:rPr>
        <w:t> </w:t>
      </w:r>
      <w:r w:rsidR="00313B7C" w:rsidRPr="00D86736">
        <w:rPr>
          <w:rFonts w:ascii="Calibri" w:hAnsi="Calibri" w:cs="Calibri"/>
          <w:i/>
          <w:color w:val="000000"/>
          <w:sz w:val="24"/>
          <w:szCs w:val="24"/>
        </w:rPr>
        <w:t xml:space="preserve">údržbu </w:t>
      </w:r>
      <w:proofErr w:type="spellStart"/>
      <w:r w:rsidR="00313B7C" w:rsidRPr="00D86736">
        <w:rPr>
          <w:rFonts w:ascii="Calibri" w:hAnsi="Calibri" w:cs="Calibri"/>
          <w:i/>
          <w:color w:val="000000"/>
          <w:sz w:val="24"/>
          <w:szCs w:val="24"/>
        </w:rPr>
        <w:t>pozemných</w:t>
      </w:r>
      <w:proofErr w:type="spellEnd"/>
      <w:r w:rsidR="00313B7C" w:rsidRPr="00D86736">
        <w:rPr>
          <w:rFonts w:ascii="Calibri" w:hAnsi="Calibri" w:cs="Calibri"/>
          <w:i/>
          <w:color w:val="000000"/>
          <w:sz w:val="24"/>
          <w:szCs w:val="24"/>
        </w:rPr>
        <w:t xml:space="preserve"> </w:t>
      </w:r>
      <w:proofErr w:type="spellStart"/>
      <w:r w:rsidR="00313B7C" w:rsidRPr="00D86736">
        <w:rPr>
          <w:rFonts w:ascii="Calibri" w:hAnsi="Calibri" w:cs="Calibri"/>
          <w:i/>
          <w:color w:val="000000"/>
          <w:sz w:val="24"/>
          <w:szCs w:val="24"/>
        </w:rPr>
        <w:t>komunikácií</w:t>
      </w:r>
      <w:proofErr w:type="spellEnd"/>
      <w:r w:rsidR="00313B7C" w:rsidRPr="00D86736">
        <w:rPr>
          <w:rFonts w:ascii="Calibri" w:hAnsi="Calibri" w:cs="Calibri"/>
          <w:i/>
          <w:color w:val="000000"/>
          <w:sz w:val="24"/>
          <w:szCs w:val="24"/>
        </w:rPr>
        <w:t xml:space="preserve"> v </w:t>
      </w:r>
      <w:proofErr w:type="spellStart"/>
      <w:r w:rsidR="00313B7C" w:rsidRPr="00D86736">
        <w:rPr>
          <w:rFonts w:ascii="Calibri" w:hAnsi="Calibri" w:cs="Calibri"/>
          <w:i/>
          <w:color w:val="000000"/>
          <w:sz w:val="24"/>
          <w:szCs w:val="24"/>
        </w:rPr>
        <w:t>správe</w:t>
      </w:r>
      <w:proofErr w:type="spellEnd"/>
      <w:r w:rsidR="00313B7C" w:rsidRPr="00D86736">
        <w:rPr>
          <w:rFonts w:ascii="Calibri" w:hAnsi="Calibri" w:cs="Calibri"/>
          <w:i/>
          <w:color w:val="000000"/>
          <w:sz w:val="24"/>
          <w:szCs w:val="24"/>
        </w:rPr>
        <w:t xml:space="preserve"> VÚC a úlohy z toho </w:t>
      </w:r>
      <w:proofErr w:type="spellStart"/>
      <w:r w:rsidR="00313B7C" w:rsidRPr="00D86736">
        <w:rPr>
          <w:rFonts w:ascii="Calibri" w:hAnsi="Calibri" w:cs="Calibri"/>
          <w:i/>
          <w:color w:val="000000"/>
          <w:sz w:val="24"/>
          <w:szCs w:val="24"/>
        </w:rPr>
        <w:t>vyplývajúce</w:t>
      </w:r>
      <w:proofErr w:type="spellEnd"/>
      <w:r w:rsidR="00313B7C" w:rsidRPr="00D86736">
        <w:rPr>
          <w:rFonts w:ascii="Calibri" w:hAnsi="Calibri" w:cs="Calibri"/>
          <w:i/>
          <w:color w:val="000000"/>
          <w:sz w:val="24"/>
          <w:szCs w:val="24"/>
        </w:rPr>
        <w:t xml:space="preserve"> </w:t>
      </w:r>
      <w:proofErr w:type="spellStart"/>
      <w:r w:rsidR="00313B7C" w:rsidRPr="00D86736">
        <w:rPr>
          <w:rFonts w:ascii="Calibri" w:hAnsi="Calibri" w:cs="Calibri"/>
          <w:i/>
          <w:color w:val="000000"/>
          <w:sz w:val="24"/>
          <w:szCs w:val="24"/>
        </w:rPr>
        <w:t>pre</w:t>
      </w:r>
      <w:proofErr w:type="spellEnd"/>
      <w:r w:rsidR="00313B7C" w:rsidRPr="00D86736">
        <w:rPr>
          <w:rFonts w:ascii="Calibri" w:hAnsi="Calibri" w:cs="Calibri"/>
          <w:i/>
          <w:color w:val="000000"/>
          <w:sz w:val="24"/>
          <w:szCs w:val="24"/>
        </w:rPr>
        <w:t xml:space="preserve"> VÚC“</w:t>
      </w:r>
      <w:r w:rsidR="00313B7C" w:rsidRPr="00D86736">
        <w:rPr>
          <w:rFonts w:ascii="Calibri" w:hAnsi="Calibri" w:cs="Calibri"/>
          <w:color w:val="000000"/>
          <w:sz w:val="24"/>
          <w:szCs w:val="24"/>
        </w:rPr>
        <w:t xml:space="preserve"> (dále </w:t>
      </w:r>
      <w:r w:rsidR="00B8583C" w:rsidRPr="00D86736">
        <w:rPr>
          <w:rFonts w:ascii="Calibri" w:hAnsi="Calibri" w:cs="Calibri"/>
          <w:color w:val="000000"/>
          <w:sz w:val="24"/>
          <w:szCs w:val="24"/>
        </w:rPr>
        <w:t>také</w:t>
      </w:r>
      <w:r w:rsidR="00313B7C" w:rsidRPr="00D86736">
        <w:rPr>
          <w:rFonts w:ascii="Calibri" w:hAnsi="Calibri" w:cs="Calibri"/>
          <w:color w:val="000000"/>
          <w:sz w:val="24"/>
          <w:szCs w:val="24"/>
        </w:rPr>
        <w:t xml:space="preserve"> „souhrnná zpráva“) </w:t>
      </w:r>
      <w:r w:rsidRPr="00D86736">
        <w:rPr>
          <w:rFonts w:ascii="Calibri" w:eastAsia="Times New Roman" w:hAnsi="Calibri" w:cs="Calibri"/>
          <w:sz w:val="24"/>
          <w:szCs w:val="24"/>
          <w:lang w:eastAsia="cs-CZ"/>
        </w:rPr>
        <w:t>a některé ze zjištěných skutečností byly porovnány s výsledky kontrol</w:t>
      </w:r>
      <w:r w:rsidR="000B7E29">
        <w:rPr>
          <w:rFonts w:ascii="Calibri" w:eastAsia="Times New Roman" w:hAnsi="Calibri" w:cs="Calibri"/>
          <w:sz w:val="24"/>
          <w:szCs w:val="24"/>
          <w:lang w:eastAsia="cs-CZ"/>
        </w:rPr>
        <w:t>ní akce</w:t>
      </w:r>
      <w:r w:rsidRPr="00D86736">
        <w:rPr>
          <w:rFonts w:ascii="Calibri" w:eastAsia="Times New Roman" w:hAnsi="Calibri" w:cs="Calibri"/>
          <w:sz w:val="24"/>
          <w:szCs w:val="24"/>
          <w:lang w:eastAsia="cs-CZ"/>
        </w:rPr>
        <w:t xml:space="preserve"> č.</w:t>
      </w:r>
      <w:r w:rsidR="00ED7321" w:rsidRPr="00D86736">
        <w:rPr>
          <w:rFonts w:ascii="Calibri" w:eastAsia="Times New Roman" w:hAnsi="Calibri" w:cs="Calibri"/>
          <w:sz w:val="24"/>
          <w:szCs w:val="24"/>
          <w:lang w:eastAsia="cs-CZ"/>
        </w:rPr>
        <w:t> </w:t>
      </w:r>
      <w:r w:rsidRPr="00D86736">
        <w:rPr>
          <w:rFonts w:ascii="Calibri" w:eastAsia="Times New Roman" w:hAnsi="Calibri" w:cs="Calibri"/>
          <w:sz w:val="24"/>
          <w:szCs w:val="24"/>
          <w:lang w:eastAsia="cs-CZ"/>
        </w:rPr>
        <w:t>17/09.</w:t>
      </w:r>
    </w:p>
    <w:p w14:paraId="63212186" w14:textId="77777777" w:rsidR="00D86736" w:rsidRPr="00D86736" w:rsidRDefault="00D86736" w:rsidP="00D86736">
      <w:pPr>
        <w:spacing w:after="0" w:line="240" w:lineRule="auto"/>
        <w:jc w:val="both"/>
        <w:rPr>
          <w:rFonts w:ascii="Calibri" w:eastAsia="Times New Roman" w:hAnsi="Calibri" w:cs="Calibri"/>
          <w:sz w:val="24"/>
          <w:szCs w:val="24"/>
          <w:lang w:eastAsia="cs-CZ"/>
        </w:rPr>
      </w:pPr>
    </w:p>
    <w:p w14:paraId="090FEAEC" w14:textId="6088700C" w:rsidR="00393DDB" w:rsidRPr="00D86736" w:rsidRDefault="00393DDB" w:rsidP="00D86736">
      <w:pPr>
        <w:spacing w:after="0" w:line="240" w:lineRule="auto"/>
        <w:jc w:val="both"/>
        <w:rPr>
          <w:rFonts w:ascii="Calibri" w:hAnsi="Calibri" w:cs="Calibri"/>
          <w:b/>
          <w:sz w:val="24"/>
          <w:szCs w:val="24"/>
        </w:rPr>
      </w:pPr>
      <w:r w:rsidRPr="00D86736">
        <w:rPr>
          <w:rFonts w:ascii="Calibri" w:hAnsi="Calibri" w:cs="Calibri"/>
          <w:b/>
          <w:sz w:val="24"/>
          <w:szCs w:val="24"/>
        </w:rPr>
        <w:t xml:space="preserve">Ze srovnání vyplynulo rozdílné zapojení zdrojů finančních prostředků i </w:t>
      </w:r>
      <w:r w:rsidR="009B113F" w:rsidRPr="00D86736">
        <w:rPr>
          <w:rFonts w:ascii="Calibri" w:hAnsi="Calibri" w:cs="Calibri"/>
          <w:b/>
          <w:sz w:val="24"/>
          <w:szCs w:val="24"/>
        </w:rPr>
        <w:t xml:space="preserve">průměrná </w:t>
      </w:r>
      <w:r w:rsidRPr="00D86736">
        <w:rPr>
          <w:rFonts w:ascii="Calibri" w:hAnsi="Calibri" w:cs="Calibri"/>
          <w:b/>
          <w:sz w:val="24"/>
          <w:szCs w:val="24"/>
        </w:rPr>
        <w:t xml:space="preserve">výše nákladů na 1 km rekonstruovaných silnic II. a III. třídy. Zatímco spodní hranice cenového rozpětí </w:t>
      </w:r>
      <w:r w:rsidR="006825D6" w:rsidRPr="00D86736">
        <w:rPr>
          <w:rFonts w:ascii="Calibri" w:hAnsi="Calibri" w:cs="Calibri"/>
          <w:b/>
          <w:sz w:val="24"/>
          <w:szCs w:val="24"/>
        </w:rPr>
        <w:t>nabídnutých cen</w:t>
      </w:r>
      <w:r w:rsidRPr="00D86736">
        <w:rPr>
          <w:rFonts w:ascii="Calibri" w:hAnsi="Calibri" w:cs="Calibri"/>
          <w:b/>
          <w:sz w:val="24"/>
          <w:szCs w:val="24"/>
        </w:rPr>
        <w:t xml:space="preserve"> na 1 km je v obou případech srovnatelná, horní hranice byla u</w:t>
      </w:r>
      <w:r w:rsidR="00ED7321" w:rsidRPr="00D86736">
        <w:rPr>
          <w:rFonts w:ascii="Calibri" w:hAnsi="Calibri" w:cs="Calibri"/>
          <w:b/>
          <w:sz w:val="24"/>
          <w:szCs w:val="24"/>
        </w:rPr>
        <w:t> </w:t>
      </w:r>
      <w:r w:rsidRPr="00D86736">
        <w:rPr>
          <w:rFonts w:ascii="Calibri" w:hAnsi="Calibri" w:cs="Calibri"/>
          <w:b/>
          <w:sz w:val="24"/>
          <w:szCs w:val="24"/>
        </w:rPr>
        <w:t xml:space="preserve">českých příjemců více než </w:t>
      </w:r>
      <w:r w:rsidR="007D2BF7">
        <w:rPr>
          <w:rFonts w:ascii="Calibri" w:hAnsi="Calibri" w:cs="Calibri"/>
          <w:b/>
          <w:sz w:val="24"/>
          <w:szCs w:val="24"/>
        </w:rPr>
        <w:t>dvojnásobná</w:t>
      </w:r>
      <w:r w:rsidRPr="00D86736">
        <w:rPr>
          <w:rFonts w:ascii="Calibri" w:hAnsi="Calibri" w:cs="Calibri"/>
          <w:b/>
          <w:sz w:val="24"/>
          <w:szCs w:val="24"/>
        </w:rPr>
        <w:t>.</w:t>
      </w:r>
    </w:p>
    <w:p w14:paraId="42B42006" w14:textId="77777777" w:rsidR="00D86736" w:rsidRDefault="00D86736" w:rsidP="00D86736">
      <w:pPr>
        <w:spacing w:after="0" w:line="240" w:lineRule="auto"/>
        <w:jc w:val="both"/>
        <w:rPr>
          <w:rFonts w:ascii="Calibri" w:hAnsi="Calibri" w:cs="Calibri"/>
          <w:bCs/>
          <w:iCs/>
          <w:sz w:val="24"/>
          <w:szCs w:val="24"/>
        </w:rPr>
      </w:pPr>
    </w:p>
    <w:p w14:paraId="133D5A2D" w14:textId="77777777" w:rsidR="00D86736" w:rsidRDefault="00393DDB" w:rsidP="00D86736">
      <w:pPr>
        <w:spacing w:after="0" w:line="240" w:lineRule="auto"/>
        <w:jc w:val="both"/>
        <w:rPr>
          <w:rFonts w:ascii="Calibri" w:hAnsi="Calibri" w:cs="Calibri"/>
          <w:bCs/>
          <w:iCs/>
          <w:sz w:val="24"/>
          <w:szCs w:val="24"/>
        </w:rPr>
      </w:pPr>
      <w:r w:rsidRPr="00D86736">
        <w:rPr>
          <w:rFonts w:ascii="Calibri" w:hAnsi="Calibri" w:cs="Calibri"/>
          <w:bCs/>
          <w:iCs/>
          <w:sz w:val="24"/>
          <w:szCs w:val="24"/>
        </w:rPr>
        <w:lastRenderedPageBreak/>
        <w:t xml:space="preserve">Hlavním zdrojem financování </w:t>
      </w:r>
      <w:r w:rsidRPr="00D86736">
        <w:rPr>
          <w:rFonts w:ascii="Calibri" w:eastAsia="Times New Roman" w:hAnsi="Calibri" w:cs="Calibri"/>
          <w:sz w:val="24"/>
          <w:szCs w:val="24"/>
          <w:lang w:eastAsia="cs-CZ"/>
        </w:rPr>
        <w:t xml:space="preserve">údržby, oprav a rozvoj sítí </w:t>
      </w:r>
      <w:r w:rsidRPr="00D86736">
        <w:rPr>
          <w:rFonts w:ascii="Calibri" w:hAnsi="Calibri" w:cs="Calibri"/>
          <w:bCs/>
          <w:iCs/>
          <w:sz w:val="24"/>
          <w:szCs w:val="24"/>
        </w:rPr>
        <w:t xml:space="preserve">silnic II. a III. třídy ve Slovenské republice je </w:t>
      </w:r>
      <w:r w:rsidR="006825D6" w:rsidRPr="00D86736">
        <w:rPr>
          <w:rFonts w:ascii="Calibri" w:hAnsi="Calibri" w:cs="Calibri"/>
          <w:bCs/>
          <w:iCs/>
          <w:sz w:val="24"/>
          <w:szCs w:val="24"/>
        </w:rPr>
        <w:t>příjem z daně</w:t>
      </w:r>
      <w:r w:rsidRPr="00D86736">
        <w:rPr>
          <w:rFonts w:ascii="Calibri" w:hAnsi="Calibri" w:cs="Calibri"/>
          <w:bCs/>
          <w:iCs/>
          <w:sz w:val="24"/>
          <w:szCs w:val="24"/>
        </w:rPr>
        <w:t xml:space="preserve"> z motorových vozidel, která je příjmem jednotlivých krajů. Nakládání s těmito prostředky podléhá kontrole NKÚ SR.</w:t>
      </w:r>
    </w:p>
    <w:p w14:paraId="33B93B94" w14:textId="77777777" w:rsidR="00D86736" w:rsidRDefault="00D86736" w:rsidP="00D86736">
      <w:pPr>
        <w:spacing w:after="0" w:line="240" w:lineRule="auto"/>
        <w:jc w:val="both"/>
        <w:rPr>
          <w:rFonts w:ascii="Calibri" w:hAnsi="Calibri" w:cs="Calibri"/>
          <w:bCs/>
          <w:iCs/>
          <w:sz w:val="24"/>
          <w:szCs w:val="24"/>
        </w:rPr>
      </w:pPr>
    </w:p>
    <w:p w14:paraId="642F5E53" w14:textId="77777777" w:rsidR="00393DDB" w:rsidRPr="00D86736" w:rsidRDefault="00393DDB" w:rsidP="00D86736">
      <w:pPr>
        <w:spacing w:after="0" w:line="240" w:lineRule="auto"/>
        <w:jc w:val="both"/>
        <w:rPr>
          <w:rFonts w:ascii="Calibri" w:eastAsia="Times New Roman" w:hAnsi="Calibri" w:cs="Calibri"/>
          <w:sz w:val="24"/>
          <w:szCs w:val="24"/>
          <w:lang w:eastAsia="cs-CZ"/>
        </w:rPr>
      </w:pPr>
      <w:r w:rsidRPr="00D86736">
        <w:rPr>
          <w:rFonts w:ascii="Calibri" w:eastAsia="Times New Roman" w:hAnsi="Calibri" w:cs="Calibri"/>
          <w:sz w:val="24"/>
          <w:szCs w:val="24"/>
          <w:lang w:eastAsia="cs-CZ"/>
        </w:rPr>
        <w:t xml:space="preserve">Podrobnější informace o výsledcích kontroly NKÚ SR a jejich </w:t>
      </w:r>
      <w:r w:rsidR="000B48FB" w:rsidRPr="00D86736">
        <w:rPr>
          <w:rFonts w:ascii="Calibri" w:eastAsia="Times New Roman" w:hAnsi="Calibri" w:cs="Calibri"/>
          <w:sz w:val="24"/>
          <w:szCs w:val="24"/>
          <w:lang w:eastAsia="cs-CZ"/>
        </w:rPr>
        <w:t xml:space="preserve">částečné </w:t>
      </w:r>
      <w:r w:rsidRPr="00D86736">
        <w:rPr>
          <w:rFonts w:ascii="Calibri" w:eastAsia="Times New Roman" w:hAnsi="Calibri" w:cs="Calibri"/>
          <w:sz w:val="24"/>
          <w:szCs w:val="24"/>
          <w:lang w:eastAsia="cs-CZ"/>
        </w:rPr>
        <w:t>porovnání s výsledky kontroly č. 17/09 jsou uvedeny v příloze č. 1.</w:t>
      </w:r>
    </w:p>
    <w:p w14:paraId="084293E3" w14:textId="77777777" w:rsidR="00421AF7" w:rsidRPr="00D86736" w:rsidRDefault="00421AF7" w:rsidP="00D86736">
      <w:pPr>
        <w:spacing w:after="0" w:line="240" w:lineRule="auto"/>
        <w:rPr>
          <w:rFonts w:ascii="Calibri" w:hAnsi="Calibri" w:cs="Calibri"/>
          <w:sz w:val="24"/>
          <w:szCs w:val="24"/>
        </w:rPr>
      </w:pPr>
    </w:p>
    <w:p w14:paraId="7D3016FF" w14:textId="77777777" w:rsidR="00D86736" w:rsidRPr="00D86736" w:rsidRDefault="00D86736" w:rsidP="00610162">
      <w:pPr>
        <w:spacing w:after="0" w:line="240" w:lineRule="auto"/>
        <w:rPr>
          <w:sz w:val="24"/>
          <w:szCs w:val="24"/>
        </w:rPr>
      </w:pPr>
    </w:p>
    <w:p w14:paraId="38EF22EF" w14:textId="77777777" w:rsidR="00610162" w:rsidRPr="00610162" w:rsidRDefault="00610162" w:rsidP="00610162">
      <w:pPr>
        <w:spacing w:after="0" w:line="240" w:lineRule="auto"/>
        <w:ind w:left="567" w:hanging="567"/>
        <w:rPr>
          <w:sz w:val="20"/>
          <w:szCs w:val="28"/>
        </w:rPr>
      </w:pPr>
      <w:r>
        <w:rPr>
          <w:b/>
          <w:sz w:val="20"/>
          <w:szCs w:val="28"/>
        </w:rPr>
        <w:t>Pozn.:</w:t>
      </w:r>
      <w:r>
        <w:rPr>
          <w:b/>
          <w:sz w:val="20"/>
          <w:szCs w:val="28"/>
        </w:rPr>
        <w:tab/>
      </w:r>
      <w:r w:rsidRPr="00610162">
        <w:rPr>
          <w:sz w:val="20"/>
          <w:szCs w:val="28"/>
        </w:rPr>
        <w:t>Právní předpisy jsou v textu kontrolního závěru aplikovány ve znění účinném pro kontrolované období.</w:t>
      </w:r>
    </w:p>
    <w:p w14:paraId="491BECB0" w14:textId="77777777" w:rsidR="00610162" w:rsidRPr="00D86736" w:rsidRDefault="00610162" w:rsidP="00610162">
      <w:pPr>
        <w:spacing w:after="0" w:line="240" w:lineRule="auto"/>
        <w:rPr>
          <w:rFonts w:ascii="Calibri" w:hAnsi="Calibri" w:cs="Calibri"/>
          <w:sz w:val="24"/>
          <w:szCs w:val="24"/>
        </w:rPr>
      </w:pPr>
    </w:p>
    <w:p w14:paraId="4F53E8D0" w14:textId="77777777" w:rsidR="00610162" w:rsidRPr="00D86736" w:rsidRDefault="00610162" w:rsidP="00610162">
      <w:pPr>
        <w:spacing w:after="0" w:line="240" w:lineRule="auto"/>
        <w:rPr>
          <w:sz w:val="24"/>
          <w:szCs w:val="24"/>
        </w:rPr>
      </w:pPr>
    </w:p>
    <w:p w14:paraId="61175B56" w14:textId="77777777" w:rsidR="00B95AC4" w:rsidRPr="00393DDB" w:rsidRDefault="00B95AC4" w:rsidP="00B95AC4">
      <w:pPr>
        <w:spacing w:after="0" w:line="240" w:lineRule="auto"/>
        <w:jc w:val="center"/>
        <w:rPr>
          <w:b/>
          <w:sz w:val="28"/>
          <w:szCs w:val="28"/>
        </w:rPr>
      </w:pPr>
      <w:r w:rsidRPr="00393DDB">
        <w:rPr>
          <w:b/>
          <w:sz w:val="28"/>
          <w:szCs w:val="28"/>
        </w:rPr>
        <w:t>I</w:t>
      </w:r>
      <w:r w:rsidR="00AC3F93">
        <w:rPr>
          <w:b/>
          <w:sz w:val="28"/>
          <w:szCs w:val="28"/>
        </w:rPr>
        <w:t>I</w:t>
      </w:r>
      <w:r w:rsidRPr="00393DDB">
        <w:rPr>
          <w:b/>
          <w:sz w:val="28"/>
          <w:szCs w:val="28"/>
        </w:rPr>
        <w:t>. Shrnutí a vyhodnocení skutečností zjištěných při kontrole</w:t>
      </w:r>
    </w:p>
    <w:p w14:paraId="5817E209" w14:textId="77777777" w:rsidR="00B95AC4" w:rsidRPr="00393DDB" w:rsidRDefault="00B95AC4" w:rsidP="00B95AC4">
      <w:pPr>
        <w:spacing w:after="0" w:line="240" w:lineRule="auto"/>
        <w:rPr>
          <w:sz w:val="24"/>
          <w:szCs w:val="24"/>
        </w:rPr>
      </w:pPr>
    </w:p>
    <w:p w14:paraId="27474D69" w14:textId="77777777" w:rsidR="00FE38AD" w:rsidRPr="00E574E9" w:rsidRDefault="009B113F" w:rsidP="00F12A91">
      <w:pPr>
        <w:pStyle w:val="Bezmezer"/>
        <w:jc w:val="both"/>
        <w:rPr>
          <w:sz w:val="24"/>
          <w:szCs w:val="24"/>
        </w:rPr>
      </w:pPr>
      <w:r w:rsidRPr="00E574E9">
        <w:rPr>
          <w:sz w:val="24"/>
          <w:szCs w:val="24"/>
        </w:rPr>
        <w:t>F</w:t>
      </w:r>
      <w:r w:rsidR="002C585D" w:rsidRPr="00E574E9">
        <w:rPr>
          <w:sz w:val="24"/>
          <w:szCs w:val="24"/>
        </w:rPr>
        <w:t>inancování</w:t>
      </w:r>
      <w:r w:rsidR="00B95AC4" w:rsidRPr="00E574E9">
        <w:rPr>
          <w:sz w:val="24"/>
          <w:szCs w:val="24"/>
        </w:rPr>
        <w:t xml:space="preserve"> </w:t>
      </w:r>
      <w:r w:rsidR="005472FA" w:rsidRPr="00E574E9">
        <w:rPr>
          <w:sz w:val="24"/>
          <w:szCs w:val="24"/>
        </w:rPr>
        <w:t xml:space="preserve">oprav, </w:t>
      </w:r>
      <w:r w:rsidR="00B95AC4" w:rsidRPr="00E574E9">
        <w:rPr>
          <w:sz w:val="24"/>
          <w:szCs w:val="24"/>
        </w:rPr>
        <w:t xml:space="preserve">modernizace a rozvoj silnic II. a III. </w:t>
      </w:r>
      <w:r w:rsidR="009E2571" w:rsidRPr="00E574E9">
        <w:rPr>
          <w:sz w:val="24"/>
          <w:szCs w:val="24"/>
        </w:rPr>
        <w:t>třídy</w:t>
      </w:r>
      <w:r w:rsidR="00B95AC4" w:rsidRPr="00E574E9">
        <w:rPr>
          <w:sz w:val="24"/>
          <w:szCs w:val="24"/>
        </w:rPr>
        <w:t xml:space="preserve"> </w:t>
      </w:r>
      <w:r w:rsidR="00155546" w:rsidRPr="00E574E9">
        <w:rPr>
          <w:sz w:val="24"/>
          <w:szCs w:val="24"/>
        </w:rPr>
        <w:t xml:space="preserve">ze SFDI </w:t>
      </w:r>
      <w:r w:rsidR="00B95AC4" w:rsidRPr="00E574E9">
        <w:rPr>
          <w:sz w:val="24"/>
          <w:szCs w:val="24"/>
        </w:rPr>
        <w:t>byl</w:t>
      </w:r>
      <w:r w:rsidR="00610162" w:rsidRPr="00E574E9">
        <w:rPr>
          <w:sz w:val="24"/>
          <w:szCs w:val="24"/>
        </w:rPr>
        <w:t>o</w:t>
      </w:r>
      <w:r w:rsidR="00B95AC4" w:rsidRPr="00E574E9">
        <w:rPr>
          <w:sz w:val="24"/>
          <w:szCs w:val="24"/>
        </w:rPr>
        <w:t xml:space="preserve"> </w:t>
      </w:r>
      <w:r w:rsidR="00155546" w:rsidRPr="00E574E9">
        <w:rPr>
          <w:sz w:val="24"/>
          <w:szCs w:val="24"/>
        </w:rPr>
        <w:t xml:space="preserve">na rozdíl od </w:t>
      </w:r>
      <w:r w:rsidRPr="00E574E9">
        <w:rPr>
          <w:sz w:val="24"/>
          <w:szCs w:val="24"/>
        </w:rPr>
        <w:t xml:space="preserve">způsobu </w:t>
      </w:r>
      <w:r w:rsidR="00155546" w:rsidRPr="00E574E9">
        <w:rPr>
          <w:sz w:val="24"/>
          <w:szCs w:val="24"/>
        </w:rPr>
        <w:t xml:space="preserve">financování ze zdrojů EU </w:t>
      </w:r>
      <w:r w:rsidR="00B95AC4" w:rsidRPr="00E574E9">
        <w:rPr>
          <w:sz w:val="24"/>
          <w:szCs w:val="24"/>
        </w:rPr>
        <w:t>nesystémovým řešením, zpočátku určeným na jeden rok.</w:t>
      </w:r>
      <w:r w:rsidR="005472FA" w:rsidRPr="00E574E9">
        <w:rPr>
          <w:sz w:val="24"/>
          <w:szCs w:val="24"/>
        </w:rPr>
        <w:t xml:space="preserve"> </w:t>
      </w:r>
    </w:p>
    <w:p w14:paraId="75717C53" w14:textId="77777777" w:rsidR="00FE38AD" w:rsidRPr="00E574E9" w:rsidRDefault="00FE38AD" w:rsidP="00F12A91">
      <w:pPr>
        <w:pStyle w:val="Bezmezer"/>
        <w:jc w:val="both"/>
        <w:rPr>
          <w:sz w:val="24"/>
          <w:szCs w:val="24"/>
        </w:rPr>
      </w:pPr>
    </w:p>
    <w:p w14:paraId="1DBB6B6C" w14:textId="77777777" w:rsidR="005472FA" w:rsidRPr="008E5A48" w:rsidRDefault="00AC006D" w:rsidP="00F12A91">
      <w:pPr>
        <w:pStyle w:val="Bezmezer"/>
        <w:jc w:val="both"/>
        <w:rPr>
          <w:sz w:val="24"/>
          <w:szCs w:val="24"/>
        </w:rPr>
      </w:pPr>
      <w:r w:rsidRPr="00E574E9">
        <w:rPr>
          <w:sz w:val="24"/>
          <w:szCs w:val="24"/>
        </w:rPr>
        <w:t>Kontrola neprokázala, že by byly f</w:t>
      </w:r>
      <w:r w:rsidR="005472FA" w:rsidRPr="00E574E9">
        <w:rPr>
          <w:sz w:val="24"/>
          <w:szCs w:val="24"/>
        </w:rPr>
        <w:t xml:space="preserve">inanční prostředky v kontrolovaném vzorku vynakládány </w:t>
      </w:r>
      <w:r w:rsidRPr="00E574E9">
        <w:rPr>
          <w:sz w:val="24"/>
          <w:szCs w:val="24"/>
        </w:rPr>
        <w:t>ne</w:t>
      </w:r>
      <w:r w:rsidR="005472FA" w:rsidRPr="00E574E9">
        <w:rPr>
          <w:sz w:val="24"/>
          <w:szCs w:val="24"/>
        </w:rPr>
        <w:t xml:space="preserve">účelně. </w:t>
      </w:r>
      <w:r w:rsidR="00346D38" w:rsidRPr="00E574E9">
        <w:rPr>
          <w:sz w:val="24"/>
          <w:szCs w:val="24"/>
        </w:rPr>
        <w:t>V některých případech však p</w:t>
      </w:r>
      <w:r w:rsidR="00FD090D" w:rsidRPr="00E574E9">
        <w:rPr>
          <w:sz w:val="24"/>
          <w:szCs w:val="24"/>
        </w:rPr>
        <w:t>rojektům</w:t>
      </w:r>
      <w:r w:rsidRPr="00E574E9">
        <w:rPr>
          <w:sz w:val="24"/>
          <w:szCs w:val="24"/>
        </w:rPr>
        <w:t xml:space="preserve"> chyběly </w:t>
      </w:r>
      <w:r w:rsidR="00F12A91" w:rsidRPr="00E574E9">
        <w:rPr>
          <w:sz w:val="24"/>
          <w:szCs w:val="24"/>
        </w:rPr>
        <w:t xml:space="preserve">objektivně </w:t>
      </w:r>
      <w:r w:rsidR="00FD090D" w:rsidRPr="00E574E9">
        <w:rPr>
          <w:sz w:val="24"/>
          <w:szCs w:val="24"/>
        </w:rPr>
        <w:t>měřitelné a ověřitelné</w:t>
      </w:r>
      <w:r w:rsidR="00F12A91" w:rsidRPr="00E574E9">
        <w:rPr>
          <w:sz w:val="24"/>
          <w:szCs w:val="24"/>
        </w:rPr>
        <w:t xml:space="preserve"> cíle. </w:t>
      </w:r>
      <w:r w:rsidR="005472FA" w:rsidRPr="00E574E9">
        <w:rPr>
          <w:sz w:val="24"/>
          <w:szCs w:val="24"/>
        </w:rPr>
        <w:t xml:space="preserve">Příjemci dotací ve většině případů dodrželi pravidla a podmínky pro použití </w:t>
      </w:r>
      <w:r w:rsidR="00FD090D" w:rsidRPr="00E574E9">
        <w:rPr>
          <w:sz w:val="24"/>
          <w:szCs w:val="24"/>
        </w:rPr>
        <w:t xml:space="preserve">finančních </w:t>
      </w:r>
      <w:r w:rsidR="005472FA" w:rsidRPr="00E574E9">
        <w:rPr>
          <w:sz w:val="24"/>
          <w:szCs w:val="24"/>
        </w:rPr>
        <w:t>prostředků z EU a národních zdrojů</w:t>
      </w:r>
      <w:r w:rsidR="005472FA" w:rsidRPr="008E5A48">
        <w:rPr>
          <w:sz w:val="24"/>
          <w:szCs w:val="24"/>
        </w:rPr>
        <w:t>.</w:t>
      </w:r>
    </w:p>
    <w:p w14:paraId="3A14DE09" w14:textId="77777777" w:rsidR="005472FA" w:rsidRPr="00E574E9" w:rsidRDefault="005472FA" w:rsidP="00B95AC4">
      <w:pPr>
        <w:pStyle w:val="Bezmezer"/>
        <w:jc w:val="both"/>
        <w:rPr>
          <w:sz w:val="24"/>
          <w:szCs w:val="24"/>
        </w:rPr>
      </w:pPr>
    </w:p>
    <w:p w14:paraId="4D96C3E7" w14:textId="20291BF0" w:rsidR="00B95AC4" w:rsidRPr="00E574E9" w:rsidRDefault="00B95AC4" w:rsidP="00B95239">
      <w:pPr>
        <w:pStyle w:val="Bezmezer"/>
        <w:jc w:val="both"/>
        <w:rPr>
          <w:sz w:val="24"/>
          <w:szCs w:val="24"/>
        </w:rPr>
      </w:pPr>
      <w:r w:rsidRPr="00E574E9">
        <w:rPr>
          <w:sz w:val="24"/>
          <w:szCs w:val="24"/>
        </w:rPr>
        <w:t>SFDI</w:t>
      </w:r>
      <w:r w:rsidR="00D47CDC" w:rsidRPr="00E574E9">
        <w:rPr>
          <w:sz w:val="24"/>
          <w:szCs w:val="24"/>
        </w:rPr>
        <w:t xml:space="preserve"> nestanovil v rámci financování oprav, </w:t>
      </w:r>
      <w:r w:rsidRPr="00E574E9">
        <w:rPr>
          <w:sz w:val="24"/>
          <w:szCs w:val="24"/>
        </w:rPr>
        <w:t xml:space="preserve">modernizace </w:t>
      </w:r>
      <w:r w:rsidR="00F87EC0" w:rsidRPr="00E574E9">
        <w:rPr>
          <w:sz w:val="24"/>
          <w:szCs w:val="24"/>
        </w:rPr>
        <w:t xml:space="preserve">a rozvoj </w:t>
      </w:r>
      <w:r w:rsidR="00B95239" w:rsidRPr="00E574E9">
        <w:rPr>
          <w:sz w:val="24"/>
          <w:szCs w:val="24"/>
        </w:rPr>
        <w:t xml:space="preserve">silnic II. a III. třídy </w:t>
      </w:r>
      <w:r w:rsidRPr="00E574E9">
        <w:rPr>
          <w:sz w:val="24"/>
          <w:szCs w:val="24"/>
        </w:rPr>
        <w:t>konkrétní měřitelné cíle, vymezil pouze účel financování, kterým byly opravy, rekonstrukce a modernizace těchto silnic.</w:t>
      </w:r>
      <w:r w:rsidR="00B95239" w:rsidRPr="00E574E9">
        <w:rPr>
          <w:sz w:val="24"/>
          <w:szCs w:val="24"/>
        </w:rPr>
        <w:t xml:space="preserve"> </w:t>
      </w:r>
      <w:r w:rsidR="00C178CF" w:rsidRPr="00E574E9">
        <w:rPr>
          <w:bCs/>
          <w:sz w:val="24"/>
          <w:szCs w:val="24"/>
        </w:rPr>
        <w:t>SFDI</w:t>
      </w:r>
      <w:r w:rsidRPr="00E574E9">
        <w:rPr>
          <w:bCs/>
          <w:sz w:val="24"/>
          <w:szCs w:val="24"/>
        </w:rPr>
        <w:t xml:space="preserve"> ne</w:t>
      </w:r>
      <w:r w:rsidRPr="00E574E9">
        <w:rPr>
          <w:sz w:val="24"/>
          <w:szCs w:val="24"/>
        </w:rPr>
        <w:t>vyhodnocoval</w:t>
      </w:r>
      <w:r w:rsidRPr="00E574E9">
        <w:rPr>
          <w:bCs/>
          <w:sz w:val="24"/>
          <w:szCs w:val="24"/>
        </w:rPr>
        <w:t xml:space="preserve"> celkový </w:t>
      </w:r>
      <w:r w:rsidRPr="00E574E9">
        <w:rPr>
          <w:sz w:val="24"/>
          <w:szCs w:val="24"/>
        </w:rPr>
        <w:t>přínos financování, rozsah zlepšení kvality silnic II. a III. třídy ani efektivnost realizovaných akcí.</w:t>
      </w:r>
    </w:p>
    <w:p w14:paraId="2BE65D72" w14:textId="77777777" w:rsidR="00B95AC4" w:rsidRPr="00E574E9" w:rsidRDefault="00B95AC4" w:rsidP="00B95AC4">
      <w:pPr>
        <w:spacing w:after="0" w:line="240" w:lineRule="auto"/>
        <w:jc w:val="both"/>
        <w:rPr>
          <w:sz w:val="24"/>
          <w:szCs w:val="24"/>
        </w:rPr>
      </w:pPr>
    </w:p>
    <w:p w14:paraId="3F9BA0CD" w14:textId="77777777" w:rsidR="00FE38AD" w:rsidRPr="00E574E9" w:rsidRDefault="00B95AC4" w:rsidP="00AC006D">
      <w:pPr>
        <w:spacing w:after="0" w:line="240" w:lineRule="auto"/>
        <w:jc w:val="both"/>
        <w:rPr>
          <w:sz w:val="24"/>
          <w:szCs w:val="24"/>
        </w:rPr>
      </w:pPr>
      <w:r w:rsidRPr="00E574E9">
        <w:rPr>
          <w:sz w:val="24"/>
          <w:szCs w:val="24"/>
        </w:rPr>
        <w:t xml:space="preserve">Příjemci dotací nevyhodnocovali systematicky jednotkové náklady na prováděné opravy, modernizace a rozvoj silnic II. a III. třídy. </w:t>
      </w:r>
      <w:r w:rsidR="00217EEC" w:rsidRPr="00E574E9">
        <w:rPr>
          <w:sz w:val="24"/>
          <w:szCs w:val="24"/>
        </w:rPr>
        <w:t>Kontrolované osoby n</w:t>
      </w:r>
      <w:r w:rsidR="003841C6" w:rsidRPr="00E574E9">
        <w:rPr>
          <w:sz w:val="24"/>
          <w:szCs w:val="24"/>
        </w:rPr>
        <w:t>eměly</w:t>
      </w:r>
      <w:r w:rsidRPr="00E574E9">
        <w:rPr>
          <w:sz w:val="24"/>
          <w:szCs w:val="24"/>
        </w:rPr>
        <w:t xml:space="preserve"> </w:t>
      </w:r>
      <w:r w:rsidR="00397591" w:rsidRPr="00E574E9">
        <w:rPr>
          <w:sz w:val="24"/>
          <w:szCs w:val="24"/>
        </w:rPr>
        <w:t xml:space="preserve">vytvořen </w:t>
      </w:r>
      <w:r w:rsidRPr="00E574E9">
        <w:rPr>
          <w:rFonts w:cstheme="minorHAnsi"/>
          <w:sz w:val="24"/>
          <w:szCs w:val="24"/>
        </w:rPr>
        <w:t>spolehlivý a</w:t>
      </w:r>
      <w:r w:rsidR="00A34605" w:rsidRPr="00E574E9">
        <w:rPr>
          <w:rFonts w:cstheme="minorHAnsi"/>
          <w:sz w:val="24"/>
          <w:szCs w:val="24"/>
        </w:rPr>
        <w:t> </w:t>
      </w:r>
      <w:r w:rsidRPr="00E574E9">
        <w:rPr>
          <w:rFonts w:cstheme="minorHAnsi"/>
          <w:sz w:val="24"/>
          <w:szCs w:val="24"/>
        </w:rPr>
        <w:t>účinný nástroj pro</w:t>
      </w:r>
      <w:r w:rsidR="005472FA" w:rsidRPr="00E574E9">
        <w:rPr>
          <w:rFonts w:cstheme="minorHAnsi"/>
          <w:sz w:val="24"/>
          <w:szCs w:val="24"/>
        </w:rPr>
        <w:t xml:space="preserve"> </w:t>
      </w:r>
      <w:r w:rsidRPr="00E574E9">
        <w:rPr>
          <w:sz w:val="24"/>
          <w:szCs w:val="24"/>
        </w:rPr>
        <w:t>posuzování předpoklád</w:t>
      </w:r>
      <w:r w:rsidR="005472FA" w:rsidRPr="00E574E9">
        <w:rPr>
          <w:sz w:val="24"/>
          <w:szCs w:val="24"/>
        </w:rPr>
        <w:t>aných hodnot veřejných zakázek</w:t>
      </w:r>
      <w:r w:rsidRPr="00E574E9">
        <w:rPr>
          <w:sz w:val="24"/>
          <w:szCs w:val="24"/>
        </w:rPr>
        <w:t xml:space="preserve">. </w:t>
      </w:r>
      <w:r w:rsidR="00217EEC" w:rsidRPr="00E574E9">
        <w:rPr>
          <w:sz w:val="24"/>
          <w:szCs w:val="24"/>
        </w:rPr>
        <w:t>S</w:t>
      </w:r>
      <w:r w:rsidRPr="00E574E9">
        <w:rPr>
          <w:sz w:val="24"/>
          <w:szCs w:val="24"/>
        </w:rPr>
        <w:t>tanovení předpokládaných hodnot veřejných</w:t>
      </w:r>
      <w:r w:rsidR="00FD090D" w:rsidRPr="00E574E9">
        <w:rPr>
          <w:sz w:val="24"/>
          <w:szCs w:val="24"/>
        </w:rPr>
        <w:t xml:space="preserve"> zakázek </w:t>
      </w:r>
      <w:r w:rsidR="00217EEC" w:rsidRPr="00E574E9">
        <w:rPr>
          <w:sz w:val="24"/>
          <w:szCs w:val="24"/>
        </w:rPr>
        <w:t>ponechal</w:t>
      </w:r>
      <w:r w:rsidR="009B113F" w:rsidRPr="00E574E9">
        <w:rPr>
          <w:sz w:val="24"/>
          <w:szCs w:val="24"/>
        </w:rPr>
        <w:t>y</w:t>
      </w:r>
      <w:r w:rsidR="00217EEC" w:rsidRPr="00E574E9">
        <w:rPr>
          <w:sz w:val="24"/>
          <w:szCs w:val="24"/>
        </w:rPr>
        <w:t xml:space="preserve"> </w:t>
      </w:r>
      <w:r w:rsidR="00FD090D" w:rsidRPr="00E574E9">
        <w:rPr>
          <w:sz w:val="24"/>
          <w:szCs w:val="24"/>
        </w:rPr>
        <w:t>na externích dodavatelí</w:t>
      </w:r>
      <w:r w:rsidRPr="00E574E9">
        <w:rPr>
          <w:sz w:val="24"/>
          <w:szCs w:val="24"/>
        </w:rPr>
        <w:t>ch projektové dokumentace a neověřoval</w:t>
      </w:r>
      <w:r w:rsidR="009B113F" w:rsidRPr="00E574E9">
        <w:rPr>
          <w:sz w:val="24"/>
          <w:szCs w:val="24"/>
        </w:rPr>
        <w:t>y</w:t>
      </w:r>
      <w:r w:rsidRPr="00E574E9">
        <w:rPr>
          <w:sz w:val="24"/>
          <w:szCs w:val="24"/>
        </w:rPr>
        <w:t xml:space="preserve"> si, jak reálně byla předpokládaná hodnota zakázky stanovena. </w:t>
      </w:r>
    </w:p>
    <w:p w14:paraId="5074AFC3" w14:textId="77777777" w:rsidR="00FE38AD" w:rsidRPr="00E574E9" w:rsidRDefault="00FE38AD" w:rsidP="00AC006D">
      <w:pPr>
        <w:spacing w:after="0" w:line="240" w:lineRule="auto"/>
        <w:jc w:val="both"/>
        <w:rPr>
          <w:sz w:val="24"/>
          <w:szCs w:val="24"/>
        </w:rPr>
      </w:pPr>
    </w:p>
    <w:p w14:paraId="2787BD22" w14:textId="64219C5A" w:rsidR="00AC006D" w:rsidRPr="00E574E9" w:rsidRDefault="00AC006D" w:rsidP="00AC006D">
      <w:pPr>
        <w:spacing w:after="0" w:line="240" w:lineRule="auto"/>
        <w:jc w:val="both"/>
        <w:rPr>
          <w:sz w:val="24"/>
          <w:szCs w:val="24"/>
        </w:rPr>
      </w:pPr>
      <w:r w:rsidRPr="00E574E9">
        <w:rPr>
          <w:rFonts w:eastAsia="Times New Roman" w:cs="Calibri"/>
          <w:sz w:val="24"/>
          <w:szCs w:val="24"/>
          <w:lang w:eastAsia="cs-CZ"/>
        </w:rPr>
        <w:t xml:space="preserve">Případy velkého poklesu nabídkových cen oproti předpokládaným hodnotám veřejné zakázky nemusí </w:t>
      </w:r>
      <w:r w:rsidR="00217EEC" w:rsidRPr="00E574E9">
        <w:rPr>
          <w:rFonts w:eastAsia="Times New Roman" w:cs="Calibri"/>
          <w:sz w:val="24"/>
          <w:szCs w:val="24"/>
          <w:lang w:eastAsia="cs-CZ"/>
        </w:rPr>
        <w:t xml:space="preserve">ve všech případech </w:t>
      </w:r>
      <w:r w:rsidRPr="00E574E9">
        <w:rPr>
          <w:rFonts w:eastAsia="Times New Roman" w:cs="Calibri"/>
          <w:sz w:val="24"/>
          <w:szCs w:val="24"/>
          <w:lang w:eastAsia="cs-CZ"/>
        </w:rPr>
        <w:t>znamenat hospodárné využití peněžních prostředků, ale může i</w:t>
      </w:r>
      <w:r w:rsidR="008E5A48">
        <w:rPr>
          <w:rFonts w:eastAsia="Times New Roman" w:cs="Calibri"/>
          <w:sz w:val="24"/>
          <w:szCs w:val="24"/>
          <w:lang w:eastAsia="cs-CZ"/>
        </w:rPr>
        <w:t> </w:t>
      </w:r>
      <w:r w:rsidRPr="00E574E9">
        <w:rPr>
          <w:rFonts w:eastAsia="Times New Roman" w:cs="Calibri"/>
          <w:sz w:val="24"/>
          <w:szCs w:val="24"/>
          <w:lang w:eastAsia="cs-CZ"/>
        </w:rPr>
        <w:t>poukazovat na nesprávně stanovenou výši předpokládané hodnoty veřejné zakázky</w:t>
      </w:r>
      <w:r w:rsidRPr="008E5A48">
        <w:rPr>
          <w:rFonts w:eastAsia="Times New Roman" w:cs="Calibri"/>
          <w:sz w:val="24"/>
          <w:szCs w:val="24"/>
          <w:lang w:eastAsia="cs-CZ"/>
        </w:rPr>
        <w:t>.</w:t>
      </w:r>
    </w:p>
    <w:p w14:paraId="1D6F8D68" w14:textId="77777777" w:rsidR="00B95AC4" w:rsidRDefault="00B95AC4" w:rsidP="00B95AC4">
      <w:pPr>
        <w:spacing w:after="0" w:line="240" w:lineRule="auto"/>
        <w:jc w:val="both"/>
        <w:rPr>
          <w:sz w:val="24"/>
          <w:szCs w:val="24"/>
        </w:rPr>
      </w:pPr>
    </w:p>
    <w:p w14:paraId="5B909044" w14:textId="77777777" w:rsidR="00B95AC4" w:rsidRPr="00D86736" w:rsidRDefault="00B95AC4" w:rsidP="00D86736">
      <w:pPr>
        <w:spacing w:after="0" w:line="240" w:lineRule="auto"/>
        <w:jc w:val="center"/>
        <w:rPr>
          <w:rFonts w:ascii="Calibri" w:hAnsi="Calibri" w:cs="Calibri"/>
          <w:b/>
          <w:sz w:val="24"/>
          <w:szCs w:val="24"/>
        </w:rPr>
      </w:pPr>
      <w:r w:rsidRPr="00D86736">
        <w:rPr>
          <w:rFonts w:ascii="Calibri" w:hAnsi="Calibri" w:cs="Calibri"/>
          <w:b/>
          <w:sz w:val="24"/>
          <w:szCs w:val="24"/>
        </w:rPr>
        <w:t>Identifikovaná rizika</w:t>
      </w:r>
    </w:p>
    <w:p w14:paraId="53FB7777" w14:textId="77777777" w:rsidR="00B95AC4" w:rsidRPr="00D86736" w:rsidRDefault="00B95AC4" w:rsidP="00D86736">
      <w:pPr>
        <w:spacing w:after="0" w:line="240" w:lineRule="auto"/>
        <w:rPr>
          <w:rFonts w:ascii="Calibri" w:hAnsi="Calibri" w:cs="Calibri"/>
          <w:b/>
          <w:sz w:val="24"/>
          <w:szCs w:val="24"/>
        </w:rPr>
      </w:pPr>
    </w:p>
    <w:p w14:paraId="7122E63F" w14:textId="02312180" w:rsidR="00B95AC4" w:rsidRPr="00D86736" w:rsidRDefault="00FC2EC8" w:rsidP="00D86736">
      <w:pPr>
        <w:pStyle w:val="Odstavecseseznamem"/>
        <w:numPr>
          <w:ilvl w:val="0"/>
          <w:numId w:val="22"/>
        </w:numPr>
        <w:tabs>
          <w:tab w:val="left" w:pos="284"/>
        </w:tabs>
        <w:ind w:left="0" w:firstLine="0"/>
        <w:jc w:val="both"/>
        <w:rPr>
          <w:rFonts w:ascii="Calibri" w:hAnsi="Calibri" w:cs="Calibri"/>
          <w:b/>
        </w:rPr>
      </w:pPr>
      <w:r w:rsidRPr="00D86736">
        <w:rPr>
          <w:rFonts w:ascii="Calibri" w:hAnsi="Calibri" w:cs="Calibri"/>
          <w:b/>
        </w:rPr>
        <w:t>F</w:t>
      </w:r>
      <w:r w:rsidR="00B95AC4" w:rsidRPr="00D86736">
        <w:rPr>
          <w:rFonts w:ascii="Calibri" w:hAnsi="Calibri" w:cs="Calibri"/>
          <w:b/>
        </w:rPr>
        <w:t xml:space="preserve">inancování oprav, modernizace a rozvoj silnic II. a III. třídy </w:t>
      </w:r>
      <w:r w:rsidRPr="00D86736">
        <w:rPr>
          <w:rFonts w:ascii="Calibri" w:hAnsi="Calibri" w:cs="Calibri"/>
          <w:b/>
        </w:rPr>
        <w:t>může</w:t>
      </w:r>
      <w:r w:rsidR="00B95AC4" w:rsidRPr="00D86736">
        <w:rPr>
          <w:rFonts w:ascii="Calibri" w:hAnsi="Calibri" w:cs="Calibri"/>
          <w:b/>
        </w:rPr>
        <w:t xml:space="preserve"> pokračovat i v dalších letech</w:t>
      </w:r>
      <w:r w:rsidRPr="00D86736">
        <w:rPr>
          <w:rFonts w:ascii="Calibri" w:hAnsi="Calibri" w:cs="Calibri"/>
          <w:b/>
        </w:rPr>
        <w:t xml:space="preserve"> nesystémově</w:t>
      </w:r>
      <w:r w:rsidR="00713130" w:rsidRPr="00D86736">
        <w:rPr>
          <w:rFonts w:ascii="Calibri" w:hAnsi="Calibri" w:cs="Calibri"/>
          <w:b/>
        </w:rPr>
        <w:t>,</w:t>
      </w:r>
      <w:r w:rsidR="005D6C59" w:rsidRPr="00D86736">
        <w:rPr>
          <w:rFonts w:ascii="Calibri" w:hAnsi="Calibri" w:cs="Calibri"/>
          <w:b/>
        </w:rPr>
        <w:t xml:space="preserve"> </w:t>
      </w:r>
      <w:r w:rsidRPr="00D86736">
        <w:rPr>
          <w:rFonts w:ascii="Calibri" w:hAnsi="Calibri" w:cs="Calibri"/>
          <w:b/>
        </w:rPr>
        <w:t>protože</w:t>
      </w:r>
      <w:r w:rsidR="00713130" w:rsidRPr="00D86736">
        <w:rPr>
          <w:rFonts w:ascii="Calibri" w:hAnsi="Calibri" w:cs="Calibri"/>
          <w:b/>
        </w:rPr>
        <w:t xml:space="preserve"> </w:t>
      </w:r>
      <w:r w:rsidR="00FE38AD" w:rsidRPr="00D86736">
        <w:rPr>
          <w:rFonts w:ascii="Calibri" w:hAnsi="Calibri" w:cs="Calibri"/>
          <w:b/>
        </w:rPr>
        <w:t xml:space="preserve">dosud </w:t>
      </w:r>
      <w:r w:rsidRPr="00D86736">
        <w:rPr>
          <w:rFonts w:ascii="Calibri" w:hAnsi="Calibri" w:cs="Calibri"/>
          <w:b/>
        </w:rPr>
        <w:t>ne</w:t>
      </w:r>
      <w:r w:rsidR="00713130" w:rsidRPr="00D86736">
        <w:rPr>
          <w:rFonts w:ascii="Calibri" w:hAnsi="Calibri" w:cs="Calibri"/>
          <w:b/>
        </w:rPr>
        <w:t>b</w:t>
      </w:r>
      <w:r w:rsidRPr="00D86736">
        <w:rPr>
          <w:rFonts w:ascii="Calibri" w:hAnsi="Calibri" w:cs="Calibri"/>
          <w:b/>
        </w:rPr>
        <w:t>yla</w:t>
      </w:r>
      <w:r w:rsidR="005D6C59" w:rsidRPr="00D86736">
        <w:rPr>
          <w:rFonts w:ascii="Calibri" w:hAnsi="Calibri" w:cs="Calibri"/>
          <w:b/>
        </w:rPr>
        <w:t xml:space="preserve"> komplexně posou</w:t>
      </w:r>
      <w:r w:rsidR="00713130" w:rsidRPr="00D86736">
        <w:rPr>
          <w:rFonts w:ascii="Calibri" w:hAnsi="Calibri" w:cs="Calibri"/>
          <w:b/>
        </w:rPr>
        <w:t>zena</w:t>
      </w:r>
      <w:r w:rsidR="005D6C59" w:rsidRPr="00D86736">
        <w:rPr>
          <w:rFonts w:ascii="Calibri" w:hAnsi="Calibri" w:cs="Calibri"/>
          <w:b/>
        </w:rPr>
        <w:t xml:space="preserve"> a vymez</w:t>
      </w:r>
      <w:r w:rsidR="00713130" w:rsidRPr="00D86736">
        <w:rPr>
          <w:rFonts w:ascii="Calibri" w:hAnsi="Calibri" w:cs="Calibri"/>
          <w:b/>
        </w:rPr>
        <w:t>ena</w:t>
      </w:r>
      <w:r w:rsidR="005D6C59" w:rsidRPr="00D86736">
        <w:rPr>
          <w:rFonts w:ascii="Calibri" w:hAnsi="Calibri" w:cs="Calibri"/>
          <w:b/>
        </w:rPr>
        <w:t xml:space="preserve"> účast prostředků </w:t>
      </w:r>
      <w:r w:rsidR="00713130" w:rsidRPr="00D86736">
        <w:rPr>
          <w:rFonts w:ascii="Calibri" w:hAnsi="Calibri" w:cs="Calibri"/>
          <w:b/>
        </w:rPr>
        <w:t xml:space="preserve">státu </w:t>
      </w:r>
      <w:r w:rsidR="005D6C59" w:rsidRPr="00D86736">
        <w:rPr>
          <w:rFonts w:ascii="Calibri" w:hAnsi="Calibri" w:cs="Calibri"/>
          <w:b/>
        </w:rPr>
        <w:t>v této oblasti.</w:t>
      </w:r>
    </w:p>
    <w:p w14:paraId="62E7ECCE" w14:textId="77777777" w:rsidR="00B95AC4" w:rsidRPr="00D86736" w:rsidRDefault="00B95AC4" w:rsidP="00D86736">
      <w:pPr>
        <w:spacing w:after="0" w:line="240" w:lineRule="auto"/>
        <w:jc w:val="both"/>
        <w:rPr>
          <w:rFonts w:ascii="Calibri" w:hAnsi="Calibri" w:cs="Calibri"/>
          <w:b/>
          <w:sz w:val="24"/>
          <w:szCs w:val="24"/>
        </w:rPr>
      </w:pPr>
    </w:p>
    <w:p w14:paraId="767486A8" w14:textId="31DEE2E0" w:rsidR="00397591" w:rsidRPr="00D86736" w:rsidRDefault="00B95AC4" w:rsidP="00D86736">
      <w:pPr>
        <w:pStyle w:val="Odstavecseseznamem"/>
        <w:numPr>
          <w:ilvl w:val="0"/>
          <w:numId w:val="22"/>
        </w:numPr>
        <w:tabs>
          <w:tab w:val="left" w:pos="284"/>
        </w:tabs>
        <w:ind w:left="0" w:firstLine="0"/>
        <w:jc w:val="both"/>
        <w:rPr>
          <w:rFonts w:ascii="Calibri" w:hAnsi="Calibri" w:cs="Calibri"/>
          <w:b/>
        </w:rPr>
      </w:pPr>
      <w:r w:rsidRPr="00D86736">
        <w:rPr>
          <w:rFonts w:ascii="Calibri" w:hAnsi="Calibri" w:cs="Calibri"/>
          <w:b/>
        </w:rPr>
        <w:t xml:space="preserve">Výpadek finančních zdrojů po skončení </w:t>
      </w:r>
      <w:r w:rsidR="00610162">
        <w:rPr>
          <w:rFonts w:ascii="Calibri" w:hAnsi="Calibri" w:cs="Calibri"/>
          <w:b/>
        </w:rPr>
        <w:t>p</w:t>
      </w:r>
      <w:r w:rsidRPr="00D86736">
        <w:rPr>
          <w:rFonts w:ascii="Calibri" w:hAnsi="Calibri" w:cs="Calibri"/>
          <w:b/>
        </w:rPr>
        <w:t>rogramového období 2014–2020</w:t>
      </w:r>
      <w:r w:rsidR="00686A7F" w:rsidRPr="00D86736">
        <w:rPr>
          <w:rFonts w:ascii="Calibri" w:hAnsi="Calibri" w:cs="Calibri"/>
          <w:b/>
        </w:rPr>
        <w:t xml:space="preserve"> </w:t>
      </w:r>
      <w:r w:rsidR="009B113F" w:rsidRPr="00D86736">
        <w:rPr>
          <w:rFonts w:ascii="Calibri" w:hAnsi="Calibri" w:cs="Calibri"/>
          <w:b/>
        </w:rPr>
        <w:t>může</w:t>
      </w:r>
      <w:r w:rsidR="00686A7F" w:rsidRPr="00D86736">
        <w:rPr>
          <w:rFonts w:ascii="Calibri" w:hAnsi="Calibri" w:cs="Calibri"/>
          <w:b/>
        </w:rPr>
        <w:t xml:space="preserve"> vytvářet další tlak na nesystémová řešení</w:t>
      </w:r>
      <w:r w:rsidR="00397591" w:rsidRPr="00D86736">
        <w:rPr>
          <w:rFonts w:ascii="Calibri" w:hAnsi="Calibri" w:cs="Calibri"/>
          <w:b/>
        </w:rPr>
        <w:t>.</w:t>
      </w:r>
    </w:p>
    <w:p w14:paraId="6F5EC37B" w14:textId="77777777" w:rsidR="00236761" w:rsidRPr="00D86736" w:rsidRDefault="00236761" w:rsidP="00D86736">
      <w:pPr>
        <w:pStyle w:val="Odstavecseseznamem"/>
        <w:ind w:left="0"/>
        <w:jc w:val="both"/>
        <w:rPr>
          <w:rFonts w:ascii="Calibri" w:hAnsi="Calibri" w:cs="Calibri"/>
          <w:b/>
        </w:rPr>
      </w:pPr>
    </w:p>
    <w:p w14:paraId="217E279E" w14:textId="77777777" w:rsidR="00D86736" w:rsidRDefault="00D86736">
      <w:pPr>
        <w:rPr>
          <w:rFonts w:eastAsia="Times New Roman" w:cs="Calibri"/>
          <w:b/>
          <w:sz w:val="28"/>
          <w:szCs w:val="28"/>
          <w:lang w:eastAsia="cs-CZ"/>
        </w:rPr>
      </w:pPr>
      <w:r>
        <w:rPr>
          <w:rFonts w:eastAsia="Times New Roman" w:cs="Calibri"/>
          <w:b/>
          <w:sz w:val="28"/>
          <w:szCs w:val="28"/>
          <w:lang w:eastAsia="cs-CZ"/>
        </w:rPr>
        <w:br w:type="page"/>
      </w:r>
    </w:p>
    <w:p w14:paraId="7FC29B75" w14:textId="77777777" w:rsidR="00393DDB" w:rsidRPr="00393DDB" w:rsidRDefault="00393DDB" w:rsidP="00393DDB">
      <w:pPr>
        <w:spacing w:after="0" w:line="240" w:lineRule="auto"/>
        <w:jc w:val="center"/>
        <w:rPr>
          <w:rFonts w:eastAsia="Times New Roman" w:cs="Calibri"/>
          <w:b/>
          <w:sz w:val="28"/>
          <w:szCs w:val="28"/>
          <w:lang w:eastAsia="cs-CZ"/>
        </w:rPr>
      </w:pPr>
      <w:r w:rsidRPr="00393DDB">
        <w:rPr>
          <w:rFonts w:eastAsia="Times New Roman" w:cs="Calibri"/>
          <w:b/>
          <w:sz w:val="28"/>
          <w:szCs w:val="28"/>
          <w:lang w:eastAsia="cs-CZ"/>
        </w:rPr>
        <w:lastRenderedPageBreak/>
        <w:t>II</w:t>
      </w:r>
      <w:r w:rsidR="00AC3F93">
        <w:rPr>
          <w:rFonts w:eastAsia="Times New Roman" w:cs="Calibri"/>
          <w:b/>
          <w:sz w:val="28"/>
          <w:szCs w:val="28"/>
          <w:lang w:eastAsia="cs-CZ"/>
        </w:rPr>
        <w:t>I</w:t>
      </w:r>
      <w:r w:rsidRPr="00393DDB">
        <w:rPr>
          <w:rFonts w:eastAsia="Times New Roman" w:cs="Calibri"/>
          <w:b/>
          <w:sz w:val="28"/>
          <w:szCs w:val="28"/>
          <w:lang w:eastAsia="cs-CZ"/>
        </w:rPr>
        <w:t>. Podrobnosti ke zjištěným skutečnostem</w:t>
      </w:r>
    </w:p>
    <w:p w14:paraId="67D2C725" w14:textId="77777777" w:rsidR="00393DDB" w:rsidRPr="00393DDB" w:rsidRDefault="00393DDB" w:rsidP="00D86736">
      <w:pPr>
        <w:spacing w:after="0" w:line="240" w:lineRule="auto"/>
        <w:jc w:val="both"/>
        <w:rPr>
          <w:rFonts w:eastAsia="Times New Roman" w:cs="Calibri"/>
          <w:sz w:val="24"/>
          <w:szCs w:val="24"/>
          <w:lang w:eastAsia="cs-CZ"/>
        </w:rPr>
      </w:pPr>
    </w:p>
    <w:p w14:paraId="1C2EC929" w14:textId="77777777" w:rsidR="00393DDB" w:rsidRPr="00677716" w:rsidRDefault="00393DDB" w:rsidP="00D86736">
      <w:pPr>
        <w:spacing w:after="0" w:line="240" w:lineRule="auto"/>
        <w:rPr>
          <w:rFonts w:eastAsia="Times New Roman" w:cs="Times New Roman"/>
          <w:b/>
          <w:sz w:val="24"/>
          <w:szCs w:val="24"/>
        </w:rPr>
      </w:pPr>
      <w:r w:rsidRPr="00677716">
        <w:rPr>
          <w:rFonts w:eastAsia="Times New Roman" w:cs="Times New Roman"/>
          <w:b/>
          <w:sz w:val="24"/>
          <w:szCs w:val="24"/>
        </w:rPr>
        <w:t>1. Vyhodnocení postupu poskytovatelů dotací</w:t>
      </w:r>
    </w:p>
    <w:p w14:paraId="49E7E0E4" w14:textId="77777777" w:rsidR="00D86736" w:rsidRDefault="00D86736" w:rsidP="00D86736">
      <w:pPr>
        <w:spacing w:after="0" w:line="240" w:lineRule="auto"/>
        <w:rPr>
          <w:rFonts w:eastAsia="Times New Roman" w:cs="Times New Roman"/>
          <w:b/>
          <w:sz w:val="24"/>
          <w:szCs w:val="24"/>
        </w:rPr>
      </w:pPr>
    </w:p>
    <w:p w14:paraId="5FAB711B" w14:textId="77777777" w:rsidR="00393DDB" w:rsidRPr="00393DDB" w:rsidRDefault="00393DDB" w:rsidP="00D86736">
      <w:pPr>
        <w:spacing w:after="0" w:line="240" w:lineRule="auto"/>
        <w:rPr>
          <w:rFonts w:eastAsia="Times New Roman" w:cs="Times New Roman"/>
          <w:b/>
          <w:sz w:val="24"/>
          <w:szCs w:val="24"/>
        </w:rPr>
      </w:pPr>
      <w:r w:rsidRPr="00393DDB">
        <w:rPr>
          <w:rFonts w:eastAsia="Times New Roman" w:cs="Times New Roman"/>
          <w:b/>
          <w:sz w:val="24"/>
          <w:szCs w:val="24"/>
        </w:rPr>
        <w:t>1.1 SFDI</w:t>
      </w:r>
    </w:p>
    <w:p w14:paraId="4F1EF053" w14:textId="77777777" w:rsidR="00D86736" w:rsidRDefault="00D86736" w:rsidP="00D86736">
      <w:pPr>
        <w:spacing w:after="0" w:line="240" w:lineRule="auto"/>
        <w:rPr>
          <w:b/>
          <w:sz w:val="24"/>
          <w:szCs w:val="24"/>
        </w:rPr>
      </w:pPr>
    </w:p>
    <w:p w14:paraId="70F67FFC" w14:textId="203C44D2" w:rsidR="00393DDB" w:rsidRPr="00393DDB" w:rsidRDefault="00393DDB" w:rsidP="00D86736">
      <w:pPr>
        <w:spacing w:after="0" w:line="240" w:lineRule="auto"/>
        <w:rPr>
          <w:b/>
          <w:sz w:val="24"/>
          <w:szCs w:val="24"/>
        </w:rPr>
      </w:pPr>
      <w:r w:rsidRPr="00393DDB">
        <w:rPr>
          <w:b/>
          <w:sz w:val="24"/>
          <w:szCs w:val="24"/>
        </w:rPr>
        <w:t>1.1a Rozhodnutí o financování, odůvodnění, podklady</w:t>
      </w:r>
    </w:p>
    <w:p w14:paraId="3B98CC9A" w14:textId="77777777" w:rsidR="00D86736" w:rsidRDefault="00D86736" w:rsidP="00D86736">
      <w:pPr>
        <w:spacing w:after="0" w:line="240" w:lineRule="auto"/>
        <w:jc w:val="both"/>
        <w:rPr>
          <w:rFonts w:eastAsia="Times New Roman" w:cs="Calibri"/>
          <w:sz w:val="24"/>
          <w:szCs w:val="24"/>
        </w:rPr>
      </w:pPr>
    </w:p>
    <w:p w14:paraId="6FEDF2B4" w14:textId="6B417390" w:rsidR="002B6DF3" w:rsidRDefault="002B6DF3" w:rsidP="00D86736">
      <w:pPr>
        <w:spacing w:after="0" w:line="240" w:lineRule="auto"/>
        <w:jc w:val="both"/>
        <w:rPr>
          <w:rFonts w:eastAsia="Times New Roman" w:cs="Times New Roman"/>
          <w:sz w:val="24"/>
          <w:szCs w:val="24"/>
        </w:rPr>
      </w:pPr>
      <w:r w:rsidRPr="00393DDB">
        <w:rPr>
          <w:rFonts w:eastAsia="Times New Roman" w:cs="Calibri"/>
          <w:sz w:val="24"/>
          <w:szCs w:val="24"/>
        </w:rPr>
        <w:t>SFDI od roku 2015 poskytoval</w:t>
      </w:r>
      <w:r w:rsidR="007D2BF7">
        <w:rPr>
          <w:rFonts w:eastAsia="Times New Roman" w:cs="Calibri"/>
          <w:sz w:val="24"/>
          <w:szCs w:val="24"/>
        </w:rPr>
        <w:t xml:space="preserve"> </w:t>
      </w:r>
      <w:r w:rsidRPr="00393DDB">
        <w:rPr>
          <w:rFonts w:eastAsia="Times New Roman" w:cs="Calibri"/>
          <w:sz w:val="24"/>
          <w:szCs w:val="24"/>
        </w:rPr>
        <w:t>část disponibilních finančních prostředků ze svého rozpočtu na financování oprav, rekonstrukce a modernizace silnic krajů. Příjemcem finančních prostředků byly kraje nebo krajem pověřené správy a údržby silnic (dále také „SÚS“)</w:t>
      </w:r>
      <w:r w:rsidR="00FE6F49">
        <w:rPr>
          <w:rFonts w:eastAsia="Times New Roman" w:cs="Calibri"/>
          <w:sz w:val="24"/>
          <w:szCs w:val="24"/>
        </w:rPr>
        <w:t>,</w:t>
      </w:r>
      <w:r w:rsidRPr="00393DDB">
        <w:rPr>
          <w:rFonts w:eastAsia="Times New Roman" w:cs="Calibri"/>
          <w:sz w:val="24"/>
          <w:szCs w:val="24"/>
        </w:rPr>
        <w:t xml:space="preserve"> resp. správy silnic (dále také „SS“). </w:t>
      </w:r>
      <w:r w:rsidRPr="00393DDB">
        <w:rPr>
          <w:rFonts w:eastAsia="Times New Roman" w:cs="Times New Roman"/>
          <w:sz w:val="24"/>
          <w:szCs w:val="24"/>
        </w:rPr>
        <w:t>Z posuzovaných variant rozdělování finančních prostředků jednotlivým krajům byla zvolena varianta podle délky silnic II. a III. třídy v kraji.</w:t>
      </w:r>
    </w:p>
    <w:p w14:paraId="1684DD87" w14:textId="77777777" w:rsidR="00D86736" w:rsidRDefault="00D86736" w:rsidP="00D86736">
      <w:pPr>
        <w:spacing w:after="0" w:line="240" w:lineRule="auto"/>
        <w:jc w:val="both"/>
        <w:rPr>
          <w:rFonts w:eastAsia="Times New Roman" w:cs="Times New Roman"/>
          <w:sz w:val="24"/>
          <w:szCs w:val="24"/>
        </w:rPr>
      </w:pPr>
    </w:p>
    <w:p w14:paraId="02333A85" w14:textId="68E58B7E" w:rsidR="002B6DF3" w:rsidRDefault="002B6DF3" w:rsidP="00D86736">
      <w:pPr>
        <w:spacing w:after="0" w:line="240" w:lineRule="auto"/>
        <w:jc w:val="both"/>
        <w:rPr>
          <w:rFonts w:cs="Calibri"/>
          <w:sz w:val="24"/>
          <w:szCs w:val="24"/>
        </w:rPr>
      </w:pPr>
      <w:r w:rsidRPr="00393DDB">
        <w:rPr>
          <w:rFonts w:eastAsia="Times New Roman" w:cs="Times New Roman"/>
          <w:sz w:val="24"/>
          <w:szCs w:val="24"/>
        </w:rPr>
        <w:t>O financování silnic krajů z rozpočtu SFDI v letech</w:t>
      </w:r>
      <w:r w:rsidR="000C1139">
        <w:rPr>
          <w:rFonts w:eastAsia="Times New Roman" w:cs="Times New Roman"/>
          <w:sz w:val="24"/>
          <w:szCs w:val="24"/>
        </w:rPr>
        <w:t xml:space="preserve"> </w:t>
      </w:r>
      <w:r w:rsidRPr="00393DDB">
        <w:rPr>
          <w:rFonts w:eastAsia="Times New Roman" w:cs="Times New Roman"/>
          <w:sz w:val="24"/>
          <w:szCs w:val="24"/>
        </w:rPr>
        <w:t xml:space="preserve">2015–2017 </w:t>
      </w:r>
      <w:r w:rsidR="00FE6F49">
        <w:rPr>
          <w:rFonts w:eastAsia="Times New Roman" w:cs="Times New Roman"/>
          <w:sz w:val="24"/>
          <w:szCs w:val="24"/>
        </w:rPr>
        <w:t>rozhodovala</w:t>
      </w:r>
      <w:r w:rsidRPr="00393DDB">
        <w:rPr>
          <w:rFonts w:eastAsia="Times New Roman" w:cs="Times New Roman"/>
          <w:sz w:val="24"/>
          <w:szCs w:val="24"/>
        </w:rPr>
        <w:t xml:space="preserve"> PSP ČR. Výborem SFDI byla alokována částka dle zůstatku disponibilních finančních prostředků v rozpočtu SFDI schváleného PSP ČR. </w:t>
      </w:r>
      <w:r w:rsidRPr="00393DDB">
        <w:rPr>
          <w:sz w:val="24"/>
          <w:szCs w:val="24"/>
        </w:rPr>
        <w:t>SFDI schválil ze svého</w:t>
      </w:r>
      <w:r w:rsidR="00FE6F49">
        <w:rPr>
          <w:sz w:val="24"/>
          <w:szCs w:val="24"/>
        </w:rPr>
        <w:t xml:space="preserve"> </w:t>
      </w:r>
      <w:r w:rsidRPr="00393DDB">
        <w:rPr>
          <w:sz w:val="24"/>
          <w:szCs w:val="24"/>
        </w:rPr>
        <w:t xml:space="preserve">rozpočtu na financování silnic krajů </w:t>
      </w:r>
      <w:r w:rsidRPr="00393DDB">
        <w:rPr>
          <w:rFonts w:eastAsia="Times New Roman" w:cs="Times New Roman"/>
          <w:sz w:val="24"/>
          <w:szCs w:val="24"/>
        </w:rPr>
        <w:t xml:space="preserve">v roce 2015 </w:t>
      </w:r>
      <w:r w:rsidRPr="00393DDB">
        <w:rPr>
          <w:sz w:val="24"/>
          <w:szCs w:val="24"/>
        </w:rPr>
        <w:t xml:space="preserve">alokaci ve výši 4,4 mld. Kč a v roce 2016 ve výši 3 mld. Kč. Pro rok 2017 byla schválena alokace ve výši 2,4 </w:t>
      </w:r>
      <w:r w:rsidR="000B48FB">
        <w:rPr>
          <w:sz w:val="24"/>
          <w:szCs w:val="24"/>
        </w:rPr>
        <w:t>mld</w:t>
      </w:r>
      <w:r w:rsidRPr="00393DDB">
        <w:rPr>
          <w:sz w:val="24"/>
          <w:szCs w:val="24"/>
        </w:rPr>
        <w:t xml:space="preserve">. Kč za podmínky vypořádání pohledávek SFDI ve výši potřebné pro pokrytí tohoto rozpočtového opatření. </w:t>
      </w:r>
      <w:r w:rsidRPr="00393DDB">
        <w:rPr>
          <w:rFonts w:cs="Calibri"/>
          <w:sz w:val="24"/>
          <w:szCs w:val="24"/>
        </w:rPr>
        <w:t>V roce 2018 se dle sdělení SFDI s ohledem na stanovené výdajové rámce financování krajských silnic nepředpokládá.</w:t>
      </w:r>
    </w:p>
    <w:p w14:paraId="0258B5D2" w14:textId="77777777" w:rsidR="00D86736" w:rsidRDefault="00D86736" w:rsidP="00D86736">
      <w:pPr>
        <w:spacing w:after="0" w:line="240" w:lineRule="auto"/>
        <w:jc w:val="both"/>
        <w:rPr>
          <w:rFonts w:cs="Calibri"/>
          <w:sz w:val="24"/>
          <w:szCs w:val="24"/>
        </w:rPr>
      </w:pPr>
    </w:p>
    <w:p w14:paraId="2043E0EE" w14:textId="02982E82" w:rsidR="00393DDB" w:rsidRPr="00393DDB" w:rsidRDefault="00393DDB" w:rsidP="00D86736">
      <w:pPr>
        <w:spacing w:after="0" w:line="240" w:lineRule="auto"/>
        <w:jc w:val="both"/>
        <w:rPr>
          <w:rFonts w:eastAsia="Times New Roman" w:cs="Times New Roman"/>
          <w:sz w:val="24"/>
          <w:szCs w:val="24"/>
        </w:rPr>
      </w:pPr>
      <w:r w:rsidRPr="00393DDB">
        <w:rPr>
          <w:rFonts w:eastAsia="Times New Roman" w:cs="Times New Roman"/>
          <w:sz w:val="24"/>
          <w:szCs w:val="24"/>
        </w:rPr>
        <w:t>Přehled přidělených finančních prostředků jednotlivým krajům z rozpočtu SFDI a jejich čerpání v roce 2015 a 2016 uvádí tabulka č. 1</w:t>
      </w:r>
      <w:r w:rsidR="00FE6F49">
        <w:rPr>
          <w:rFonts w:eastAsia="Times New Roman" w:cs="Times New Roman"/>
          <w:sz w:val="24"/>
          <w:szCs w:val="24"/>
        </w:rPr>
        <w:t>:</w:t>
      </w:r>
    </w:p>
    <w:p w14:paraId="6718D84E" w14:textId="77777777" w:rsidR="009C44B0" w:rsidRDefault="009C44B0" w:rsidP="00D86736">
      <w:pPr>
        <w:spacing w:after="0" w:line="240" w:lineRule="auto"/>
        <w:jc w:val="both"/>
        <w:rPr>
          <w:rFonts w:eastAsia="Times New Roman" w:cs="Times New Roman"/>
          <w:sz w:val="24"/>
          <w:szCs w:val="24"/>
        </w:rPr>
      </w:pPr>
    </w:p>
    <w:p w14:paraId="3F2F1655" w14:textId="77777777" w:rsidR="00393DDB" w:rsidRPr="00E574E9" w:rsidRDefault="00393DDB" w:rsidP="00AB01E4">
      <w:pPr>
        <w:tabs>
          <w:tab w:val="right" w:pos="9356"/>
        </w:tabs>
        <w:autoSpaceDE w:val="0"/>
        <w:autoSpaceDN w:val="0"/>
        <w:adjustRightInd w:val="0"/>
        <w:spacing w:after="0" w:line="240" w:lineRule="auto"/>
        <w:ind w:left="1418" w:hanging="1418"/>
        <w:jc w:val="both"/>
        <w:rPr>
          <w:rFonts w:cs="Calibri"/>
          <w:b/>
          <w:sz w:val="24"/>
          <w:szCs w:val="24"/>
        </w:rPr>
      </w:pPr>
      <w:r w:rsidRPr="00E574E9">
        <w:rPr>
          <w:rFonts w:cs="Calibri"/>
          <w:b/>
          <w:sz w:val="24"/>
          <w:szCs w:val="24"/>
        </w:rPr>
        <w:t>Tabulka č. 1</w:t>
      </w:r>
      <w:r w:rsidR="00AB01E4" w:rsidRPr="00E574E9">
        <w:rPr>
          <w:rFonts w:cs="Calibri"/>
          <w:b/>
          <w:sz w:val="24"/>
          <w:szCs w:val="24"/>
        </w:rPr>
        <w:t xml:space="preserve"> – </w:t>
      </w:r>
      <w:r w:rsidRPr="00E574E9">
        <w:rPr>
          <w:rFonts w:cs="Calibri"/>
          <w:b/>
          <w:sz w:val="24"/>
          <w:szCs w:val="24"/>
        </w:rPr>
        <w:tab/>
        <w:t>Přehled finančních prostředků z rozpočtu SFDI na financování silnic II.</w:t>
      </w:r>
      <w:r w:rsidR="00725652">
        <w:rPr>
          <w:rFonts w:cs="Calibri"/>
          <w:b/>
          <w:sz w:val="24"/>
          <w:szCs w:val="24"/>
        </w:rPr>
        <w:t> </w:t>
      </w:r>
      <w:r w:rsidRPr="00E574E9">
        <w:rPr>
          <w:rFonts w:cs="Calibri"/>
          <w:b/>
          <w:sz w:val="24"/>
          <w:szCs w:val="24"/>
        </w:rPr>
        <w:t>a</w:t>
      </w:r>
      <w:r w:rsidR="00725652">
        <w:rPr>
          <w:rFonts w:cs="Calibri"/>
          <w:b/>
          <w:sz w:val="24"/>
          <w:szCs w:val="24"/>
        </w:rPr>
        <w:t> </w:t>
      </w:r>
      <w:r w:rsidRPr="00E574E9">
        <w:rPr>
          <w:rFonts w:cs="Calibri"/>
          <w:b/>
          <w:sz w:val="24"/>
          <w:szCs w:val="24"/>
        </w:rPr>
        <w:t>III.</w:t>
      </w:r>
      <w:r w:rsidR="00725652">
        <w:rPr>
          <w:rFonts w:cs="Calibri"/>
          <w:b/>
          <w:sz w:val="24"/>
          <w:szCs w:val="24"/>
        </w:rPr>
        <w:t> </w:t>
      </w:r>
      <w:r w:rsidRPr="00E574E9">
        <w:rPr>
          <w:rFonts w:cs="Calibri"/>
          <w:b/>
          <w:sz w:val="24"/>
          <w:szCs w:val="24"/>
        </w:rPr>
        <w:t>třídy ve vlastnictví krajů a jejich čerpání v roce 2015 a 2016</w:t>
      </w:r>
      <w:r w:rsidRPr="00E574E9">
        <w:rPr>
          <w:rFonts w:cs="Calibri"/>
          <w:b/>
          <w:sz w:val="24"/>
          <w:szCs w:val="24"/>
        </w:rPr>
        <w:tab/>
        <w:t>(v Kč)</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764"/>
        <w:gridCol w:w="1766"/>
        <w:gridCol w:w="1766"/>
        <w:gridCol w:w="1764"/>
      </w:tblGrid>
      <w:tr w:rsidR="00393DDB" w:rsidRPr="00D86736" w14:paraId="2AB77EB3" w14:textId="77777777" w:rsidTr="00725652">
        <w:trPr>
          <w:trHeight w:val="227"/>
        </w:trPr>
        <w:tc>
          <w:tcPr>
            <w:tcW w:w="1106" w:type="pct"/>
            <w:vMerge w:val="restart"/>
            <w:shd w:val="clear" w:color="auto" w:fill="E5F1FF"/>
            <w:noWrap/>
            <w:vAlign w:val="center"/>
            <w:hideMark/>
          </w:tcPr>
          <w:p w14:paraId="0C78873C" w14:textId="77777777" w:rsidR="00393DDB" w:rsidRPr="00725652" w:rsidRDefault="00393DDB" w:rsidP="00D86736">
            <w:pPr>
              <w:autoSpaceDE w:val="0"/>
              <w:autoSpaceDN w:val="0"/>
              <w:adjustRightInd w:val="0"/>
              <w:spacing w:after="0" w:line="240" w:lineRule="auto"/>
              <w:jc w:val="center"/>
              <w:rPr>
                <w:rFonts w:ascii="Calibri" w:hAnsi="Calibri" w:cs="Calibri"/>
                <w:b/>
                <w:bCs/>
                <w:sz w:val="20"/>
                <w:szCs w:val="20"/>
              </w:rPr>
            </w:pPr>
            <w:r w:rsidRPr="00725652">
              <w:rPr>
                <w:rFonts w:ascii="Calibri" w:hAnsi="Calibri" w:cs="Calibri"/>
                <w:b/>
                <w:bCs/>
                <w:sz w:val="20"/>
                <w:szCs w:val="20"/>
              </w:rPr>
              <w:t>Kraje České republiky</w:t>
            </w:r>
          </w:p>
        </w:tc>
        <w:tc>
          <w:tcPr>
            <w:tcW w:w="1947" w:type="pct"/>
            <w:gridSpan w:val="2"/>
            <w:shd w:val="clear" w:color="auto" w:fill="E5F1FF"/>
            <w:vAlign w:val="center"/>
          </w:tcPr>
          <w:p w14:paraId="06E8BFCC" w14:textId="77777777" w:rsidR="00393DDB" w:rsidRPr="00725652" w:rsidRDefault="00393DDB" w:rsidP="00D86736">
            <w:pPr>
              <w:autoSpaceDE w:val="0"/>
              <w:autoSpaceDN w:val="0"/>
              <w:adjustRightInd w:val="0"/>
              <w:spacing w:after="0" w:line="240" w:lineRule="auto"/>
              <w:ind w:right="57"/>
              <w:jc w:val="center"/>
              <w:rPr>
                <w:rFonts w:ascii="Calibri" w:hAnsi="Calibri" w:cs="Calibri"/>
                <w:b/>
                <w:strike/>
                <w:sz w:val="20"/>
                <w:szCs w:val="20"/>
                <w:highlight w:val="yellow"/>
              </w:rPr>
            </w:pPr>
            <w:r w:rsidRPr="00725652">
              <w:rPr>
                <w:rFonts w:ascii="Calibri" w:hAnsi="Calibri" w:cs="Calibri"/>
                <w:b/>
                <w:sz w:val="20"/>
                <w:szCs w:val="20"/>
              </w:rPr>
              <w:t>Finanční prostředky rok 2015</w:t>
            </w:r>
          </w:p>
        </w:tc>
        <w:tc>
          <w:tcPr>
            <w:tcW w:w="1948" w:type="pct"/>
            <w:gridSpan w:val="2"/>
            <w:shd w:val="clear" w:color="auto" w:fill="E5F1FF"/>
            <w:vAlign w:val="center"/>
          </w:tcPr>
          <w:p w14:paraId="2A12B506" w14:textId="77777777" w:rsidR="00393DDB" w:rsidRPr="00725652" w:rsidRDefault="00393DDB" w:rsidP="00D86736">
            <w:pPr>
              <w:autoSpaceDE w:val="0"/>
              <w:autoSpaceDN w:val="0"/>
              <w:adjustRightInd w:val="0"/>
              <w:spacing w:after="0" w:line="240" w:lineRule="auto"/>
              <w:ind w:right="57"/>
              <w:jc w:val="center"/>
              <w:rPr>
                <w:rFonts w:ascii="Calibri" w:hAnsi="Calibri" w:cs="Calibri"/>
                <w:b/>
                <w:strike/>
                <w:sz w:val="20"/>
                <w:szCs w:val="20"/>
                <w:highlight w:val="yellow"/>
              </w:rPr>
            </w:pPr>
            <w:r w:rsidRPr="00725652">
              <w:rPr>
                <w:rFonts w:ascii="Calibri" w:hAnsi="Calibri" w:cs="Calibri"/>
                <w:b/>
                <w:sz w:val="20"/>
                <w:szCs w:val="20"/>
              </w:rPr>
              <w:t>Finanční prostředky rok 2016</w:t>
            </w:r>
          </w:p>
        </w:tc>
      </w:tr>
      <w:tr w:rsidR="00393DDB" w:rsidRPr="00D86736" w14:paraId="0CA86CF3" w14:textId="77777777" w:rsidTr="00725652">
        <w:trPr>
          <w:trHeight w:val="227"/>
        </w:trPr>
        <w:tc>
          <w:tcPr>
            <w:tcW w:w="1106" w:type="pct"/>
            <w:vMerge/>
            <w:shd w:val="clear" w:color="auto" w:fill="E5F1FF"/>
            <w:noWrap/>
            <w:vAlign w:val="center"/>
          </w:tcPr>
          <w:p w14:paraId="5C84527F" w14:textId="77777777" w:rsidR="00393DDB" w:rsidRPr="00725652" w:rsidRDefault="00393DDB" w:rsidP="00D86736">
            <w:pPr>
              <w:autoSpaceDE w:val="0"/>
              <w:autoSpaceDN w:val="0"/>
              <w:adjustRightInd w:val="0"/>
              <w:spacing w:after="0" w:line="240" w:lineRule="auto"/>
              <w:jc w:val="center"/>
              <w:rPr>
                <w:rFonts w:ascii="Calibri" w:hAnsi="Calibri" w:cs="Calibri"/>
                <w:b/>
                <w:bCs/>
                <w:sz w:val="20"/>
                <w:szCs w:val="20"/>
              </w:rPr>
            </w:pPr>
          </w:p>
        </w:tc>
        <w:tc>
          <w:tcPr>
            <w:tcW w:w="973" w:type="pct"/>
            <w:shd w:val="clear" w:color="auto" w:fill="E5F1FF"/>
            <w:vAlign w:val="center"/>
          </w:tcPr>
          <w:p w14:paraId="5B5DB830" w14:textId="0E501011" w:rsidR="00393DDB" w:rsidRPr="00725652" w:rsidRDefault="00725652" w:rsidP="00D86736">
            <w:pPr>
              <w:autoSpaceDE w:val="0"/>
              <w:autoSpaceDN w:val="0"/>
              <w:adjustRightInd w:val="0"/>
              <w:spacing w:after="0" w:line="240" w:lineRule="auto"/>
              <w:ind w:left="-93" w:right="-84"/>
              <w:jc w:val="center"/>
              <w:rPr>
                <w:rFonts w:ascii="Calibri" w:hAnsi="Calibri" w:cs="Calibri"/>
                <w:b/>
                <w:strike/>
                <w:sz w:val="20"/>
                <w:szCs w:val="20"/>
                <w:highlight w:val="yellow"/>
              </w:rPr>
            </w:pPr>
            <w:r>
              <w:rPr>
                <w:rFonts w:ascii="Calibri" w:hAnsi="Calibri" w:cs="Calibri"/>
                <w:b/>
                <w:sz w:val="20"/>
                <w:szCs w:val="20"/>
              </w:rPr>
              <w:t>P</w:t>
            </w:r>
            <w:r w:rsidR="00393DDB" w:rsidRPr="00725652">
              <w:rPr>
                <w:rFonts w:ascii="Calibri" w:hAnsi="Calibri" w:cs="Calibri"/>
                <w:b/>
                <w:sz w:val="20"/>
                <w:szCs w:val="20"/>
              </w:rPr>
              <w:t xml:space="preserve">řidělené </w:t>
            </w:r>
          </w:p>
        </w:tc>
        <w:tc>
          <w:tcPr>
            <w:tcW w:w="974" w:type="pct"/>
            <w:shd w:val="clear" w:color="auto" w:fill="E5F1FF"/>
            <w:vAlign w:val="center"/>
          </w:tcPr>
          <w:p w14:paraId="356FF26A" w14:textId="6EB2D95B" w:rsidR="00393DDB" w:rsidRPr="00725652" w:rsidRDefault="00725652" w:rsidP="00D86736">
            <w:pPr>
              <w:autoSpaceDE w:val="0"/>
              <w:autoSpaceDN w:val="0"/>
              <w:adjustRightInd w:val="0"/>
              <w:spacing w:after="0" w:line="240" w:lineRule="auto"/>
              <w:ind w:right="57"/>
              <w:jc w:val="center"/>
              <w:rPr>
                <w:rFonts w:ascii="Calibri" w:hAnsi="Calibri" w:cs="Calibri"/>
                <w:b/>
                <w:strike/>
                <w:sz w:val="20"/>
                <w:szCs w:val="20"/>
                <w:highlight w:val="yellow"/>
              </w:rPr>
            </w:pPr>
            <w:r>
              <w:rPr>
                <w:rFonts w:ascii="Calibri" w:hAnsi="Calibri" w:cs="Calibri"/>
                <w:b/>
                <w:sz w:val="20"/>
                <w:szCs w:val="20"/>
              </w:rPr>
              <w:t>Č</w:t>
            </w:r>
            <w:r w:rsidR="00393DDB" w:rsidRPr="00725652">
              <w:rPr>
                <w:rFonts w:ascii="Calibri" w:hAnsi="Calibri" w:cs="Calibri"/>
                <w:b/>
                <w:sz w:val="20"/>
                <w:szCs w:val="20"/>
              </w:rPr>
              <w:t>erpané</w:t>
            </w:r>
          </w:p>
        </w:tc>
        <w:tc>
          <w:tcPr>
            <w:tcW w:w="974" w:type="pct"/>
            <w:shd w:val="clear" w:color="auto" w:fill="E5F1FF"/>
            <w:vAlign w:val="center"/>
          </w:tcPr>
          <w:p w14:paraId="22B39258" w14:textId="699A10F6" w:rsidR="00393DDB" w:rsidRPr="00725652" w:rsidRDefault="00725652" w:rsidP="00D86736">
            <w:pPr>
              <w:autoSpaceDE w:val="0"/>
              <w:autoSpaceDN w:val="0"/>
              <w:adjustRightInd w:val="0"/>
              <w:spacing w:after="0" w:line="240" w:lineRule="auto"/>
              <w:ind w:left="-93" w:right="-163"/>
              <w:jc w:val="center"/>
              <w:rPr>
                <w:rFonts w:ascii="Calibri" w:hAnsi="Calibri" w:cs="Calibri"/>
                <w:b/>
                <w:strike/>
                <w:sz w:val="20"/>
                <w:szCs w:val="20"/>
                <w:highlight w:val="yellow"/>
              </w:rPr>
            </w:pPr>
            <w:r>
              <w:rPr>
                <w:rFonts w:ascii="Calibri" w:hAnsi="Calibri" w:cs="Calibri"/>
                <w:b/>
                <w:sz w:val="20"/>
                <w:szCs w:val="20"/>
              </w:rPr>
              <w:t>P</w:t>
            </w:r>
            <w:r w:rsidR="00393DDB" w:rsidRPr="00725652">
              <w:rPr>
                <w:rFonts w:ascii="Calibri" w:hAnsi="Calibri" w:cs="Calibri"/>
                <w:b/>
                <w:sz w:val="20"/>
                <w:szCs w:val="20"/>
              </w:rPr>
              <w:t xml:space="preserve">řidělené </w:t>
            </w:r>
          </w:p>
        </w:tc>
        <w:tc>
          <w:tcPr>
            <w:tcW w:w="974" w:type="pct"/>
            <w:shd w:val="clear" w:color="auto" w:fill="E5F1FF"/>
            <w:vAlign w:val="center"/>
          </w:tcPr>
          <w:p w14:paraId="5E01F888" w14:textId="54F92A29" w:rsidR="00393DDB" w:rsidRPr="00725652" w:rsidRDefault="00725652" w:rsidP="00D86736">
            <w:pPr>
              <w:autoSpaceDE w:val="0"/>
              <w:autoSpaceDN w:val="0"/>
              <w:adjustRightInd w:val="0"/>
              <w:spacing w:after="0" w:line="240" w:lineRule="auto"/>
              <w:ind w:right="57"/>
              <w:jc w:val="center"/>
              <w:rPr>
                <w:rFonts w:ascii="Calibri" w:hAnsi="Calibri" w:cs="Calibri"/>
                <w:b/>
                <w:strike/>
                <w:sz w:val="20"/>
                <w:szCs w:val="20"/>
                <w:highlight w:val="yellow"/>
              </w:rPr>
            </w:pPr>
            <w:r>
              <w:rPr>
                <w:rFonts w:ascii="Calibri" w:hAnsi="Calibri" w:cs="Calibri"/>
                <w:b/>
                <w:sz w:val="20"/>
                <w:szCs w:val="20"/>
              </w:rPr>
              <w:t>Č</w:t>
            </w:r>
            <w:r w:rsidR="00393DDB" w:rsidRPr="00725652">
              <w:rPr>
                <w:rFonts w:ascii="Calibri" w:hAnsi="Calibri" w:cs="Calibri"/>
                <w:b/>
                <w:sz w:val="20"/>
                <w:szCs w:val="20"/>
              </w:rPr>
              <w:t>erpané</w:t>
            </w:r>
          </w:p>
        </w:tc>
      </w:tr>
      <w:tr w:rsidR="00393DDB" w:rsidRPr="00D86736" w14:paraId="22AB12DF" w14:textId="77777777" w:rsidTr="00725652">
        <w:trPr>
          <w:trHeight w:val="227"/>
        </w:trPr>
        <w:tc>
          <w:tcPr>
            <w:tcW w:w="1106" w:type="pct"/>
            <w:noWrap/>
            <w:vAlign w:val="center"/>
            <w:hideMark/>
          </w:tcPr>
          <w:p w14:paraId="34685D33"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Středočeský kraj</w:t>
            </w:r>
          </w:p>
        </w:tc>
        <w:tc>
          <w:tcPr>
            <w:tcW w:w="973" w:type="pct"/>
            <w:noWrap/>
            <w:vAlign w:val="center"/>
          </w:tcPr>
          <w:p w14:paraId="22CC4CD7"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778 800 000</w:t>
            </w:r>
          </w:p>
        </w:tc>
        <w:tc>
          <w:tcPr>
            <w:tcW w:w="974" w:type="pct"/>
            <w:noWrap/>
            <w:vAlign w:val="center"/>
          </w:tcPr>
          <w:p w14:paraId="12AC8962"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777 815 324</w:t>
            </w:r>
          </w:p>
        </w:tc>
        <w:tc>
          <w:tcPr>
            <w:tcW w:w="974" w:type="pct"/>
            <w:noWrap/>
            <w:vAlign w:val="center"/>
          </w:tcPr>
          <w:p w14:paraId="001F2DB3"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531 596 000</w:t>
            </w:r>
          </w:p>
          <w:p w14:paraId="4728EF3D" w14:textId="77777777" w:rsidR="00393DDB" w:rsidRPr="00D86736" w:rsidRDefault="00393DDB" w:rsidP="00831687">
            <w:pPr>
              <w:autoSpaceDE w:val="0"/>
              <w:autoSpaceDN w:val="0"/>
              <w:adjustRightInd w:val="0"/>
              <w:spacing w:after="0" w:line="240" w:lineRule="auto"/>
              <w:ind w:right="170"/>
              <w:jc w:val="right"/>
              <w:rPr>
                <w:rFonts w:ascii="Calibri" w:hAnsi="Calibri" w:cs="Calibri"/>
                <w:bCs/>
                <w:sz w:val="20"/>
                <w:szCs w:val="20"/>
              </w:rPr>
            </w:pPr>
            <w:r w:rsidRPr="00D86736">
              <w:rPr>
                <w:rFonts w:ascii="Calibri" w:hAnsi="Calibri" w:cs="Calibri"/>
                <w:bCs/>
                <w:sz w:val="20"/>
                <w:szCs w:val="20"/>
              </w:rPr>
              <w:t>984 675*</w:t>
            </w:r>
          </w:p>
        </w:tc>
        <w:tc>
          <w:tcPr>
            <w:tcW w:w="974" w:type="pct"/>
            <w:noWrap/>
            <w:vAlign w:val="center"/>
          </w:tcPr>
          <w:p w14:paraId="086ECE62"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531 596 000</w:t>
            </w:r>
          </w:p>
          <w:p w14:paraId="1DF03196" w14:textId="77777777" w:rsidR="00393DDB" w:rsidRPr="00D86736" w:rsidRDefault="00393DDB" w:rsidP="00831687">
            <w:pPr>
              <w:autoSpaceDE w:val="0"/>
              <w:autoSpaceDN w:val="0"/>
              <w:adjustRightInd w:val="0"/>
              <w:spacing w:after="0" w:line="240" w:lineRule="auto"/>
              <w:ind w:right="165"/>
              <w:jc w:val="right"/>
              <w:rPr>
                <w:rFonts w:ascii="Calibri" w:hAnsi="Calibri" w:cs="Calibri"/>
                <w:bCs/>
                <w:sz w:val="20"/>
                <w:szCs w:val="20"/>
              </w:rPr>
            </w:pPr>
            <w:r w:rsidRPr="00D86736">
              <w:rPr>
                <w:rFonts w:ascii="Calibri" w:hAnsi="Calibri" w:cs="Calibri"/>
                <w:bCs/>
                <w:sz w:val="20"/>
                <w:szCs w:val="20"/>
              </w:rPr>
              <w:t>984 675*</w:t>
            </w:r>
          </w:p>
        </w:tc>
      </w:tr>
      <w:tr w:rsidR="00393DDB" w:rsidRPr="00D86736" w14:paraId="5C227BBC" w14:textId="77777777" w:rsidTr="00725652">
        <w:trPr>
          <w:trHeight w:val="227"/>
        </w:trPr>
        <w:tc>
          <w:tcPr>
            <w:tcW w:w="1106" w:type="pct"/>
            <w:shd w:val="clear" w:color="auto" w:fill="auto"/>
            <w:noWrap/>
            <w:vAlign w:val="center"/>
            <w:hideMark/>
          </w:tcPr>
          <w:p w14:paraId="17FFC483"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Jihočeský kraj</w:t>
            </w:r>
          </w:p>
        </w:tc>
        <w:tc>
          <w:tcPr>
            <w:tcW w:w="973" w:type="pct"/>
            <w:shd w:val="clear" w:color="auto" w:fill="auto"/>
            <w:noWrap/>
            <w:vAlign w:val="center"/>
          </w:tcPr>
          <w:p w14:paraId="4A22A4B7"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492 360 000</w:t>
            </w:r>
          </w:p>
        </w:tc>
        <w:tc>
          <w:tcPr>
            <w:tcW w:w="974" w:type="pct"/>
            <w:shd w:val="clear" w:color="auto" w:fill="auto"/>
            <w:noWrap/>
            <w:vAlign w:val="center"/>
          </w:tcPr>
          <w:p w14:paraId="2E15D32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492 360 000</w:t>
            </w:r>
          </w:p>
        </w:tc>
        <w:tc>
          <w:tcPr>
            <w:tcW w:w="974" w:type="pct"/>
            <w:shd w:val="clear" w:color="auto" w:fill="auto"/>
            <w:noWrap/>
            <w:vAlign w:val="center"/>
          </w:tcPr>
          <w:p w14:paraId="165159E1"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335 874 000</w:t>
            </w:r>
          </w:p>
        </w:tc>
        <w:tc>
          <w:tcPr>
            <w:tcW w:w="974" w:type="pct"/>
            <w:shd w:val="clear" w:color="auto" w:fill="auto"/>
            <w:noWrap/>
            <w:vAlign w:val="center"/>
          </w:tcPr>
          <w:p w14:paraId="49F1CBC1"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335 874 000</w:t>
            </w:r>
          </w:p>
        </w:tc>
      </w:tr>
      <w:tr w:rsidR="00393DDB" w:rsidRPr="00D86736" w14:paraId="101FD8BF" w14:textId="77777777" w:rsidTr="00725652">
        <w:trPr>
          <w:trHeight w:val="227"/>
        </w:trPr>
        <w:tc>
          <w:tcPr>
            <w:tcW w:w="1106" w:type="pct"/>
            <w:shd w:val="clear" w:color="auto" w:fill="auto"/>
            <w:noWrap/>
            <w:vAlign w:val="center"/>
            <w:hideMark/>
          </w:tcPr>
          <w:p w14:paraId="31F1C639"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Plzeňský kraj</w:t>
            </w:r>
          </w:p>
        </w:tc>
        <w:tc>
          <w:tcPr>
            <w:tcW w:w="973" w:type="pct"/>
            <w:shd w:val="clear" w:color="auto" w:fill="auto"/>
            <w:noWrap/>
            <w:vAlign w:val="center"/>
          </w:tcPr>
          <w:p w14:paraId="234E33E7"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415 800 000</w:t>
            </w:r>
          </w:p>
        </w:tc>
        <w:tc>
          <w:tcPr>
            <w:tcW w:w="974" w:type="pct"/>
            <w:shd w:val="clear" w:color="auto" w:fill="auto"/>
            <w:noWrap/>
            <w:vAlign w:val="center"/>
          </w:tcPr>
          <w:p w14:paraId="0A29EB6E"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393 958 348</w:t>
            </w:r>
          </w:p>
        </w:tc>
        <w:tc>
          <w:tcPr>
            <w:tcW w:w="974" w:type="pct"/>
            <w:shd w:val="clear" w:color="auto" w:fill="auto"/>
            <w:noWrap/>
            <w:vAlign w:val="center"/>
          </w:tcPr>
          <w:p w14:paraId="05398B85"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283 703 000</w:t>
            </w:r>
          </w:p>
          <w:p w14:paraId="0BAA1568" w14:textId="77777777" w:rsidR="00393DDB" w:rsidRPr="00D86736" w:rsidRDefault="00393DDB" w:rsidP="007765FC">
            <w:pPr>
              <w:autoSpaceDE w:val="0"/>
              <w:autoSpaceDN w:val="0"/>
              <w:adjustRightInd w:val="0"/>
              <w:spacing w:after="0" w:line="240" w:lineRule="auto"/>
              <w:ind w:right="170"/>
              <w:jc w:val="right"/>
              <w:rPr>
                <w:rFonts w:ascii="Calibri" w:hAnsi="Calibri" w:cs="Calibri"/>
                <w:bCs/>
                <w:sz w:val="20"/>
                <w:szCs w:val="20"/>
              </w:rPr>
            </w:pPr>
            <w:r w:rsidRPr="00D86736">
              <w:rPr>
                <w:rFonts w:ascii="Calibri" w:hAnsi="Calibri" w:cs="Calibri"/>
                <w:bCs/>
                <w:sz w:val="20"/>
                <w:szCs w:val="20"/>
              </w:rPr>
              <w:t>21 411 327*</w:t>
            </w:r>
          </w:p>
        </w:tc>
        <w:tc>
          <w:tcPr>
            <w:tcW w:w="974" w:type="pct"/>
            <w:shd w:val="clear" w:color="auto" w:fill="auto"/>
            <w:noWrap/>
            <w:vAlign w:val="center"/>
          </w:tcPr>
          <w:p w14:paraId="1703F114"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283 703 000</w:t>
            </w:r>
          </w:p>
          <w:p w14:paraId="0D444BE2" w14:textId="77777777" w:rsidR="00393DDB" w:rsidRPr="00D86736" w:rsidRDefault="00393DDB" w:rsidP="00831687">
            <w:pPr>
              <w:autoSpaceDE w:val="0"/>
              <w:autoSpaceDN w:val="0"/>
              <w:adjustRightInd w:val="0"/>
              <w:spacing w:after="0" w:line="240" w:lineRule="auto"/>
              <w:ind w:right="165"/>
              <w:jc w:val="right"/>
              <w:rPr>
                <w:rFonts w:ascii="Calibri" w:hAnsi="Calibri" w:cs="Calibri"/>
                <w:bCs/>
                <w:sz w:val="20"/>
                <w:szCs w:val="20"/>
              </w:rPr>
            </w:pPr>
            <w:r w:rsidRPr="00D86736">
              <w:rPr>
                <w:rFonts w:ascii="Calibri" w:hAnsi="Calibri" w:cs="Calibri"/>
                <w:bCs/>
                <w:sz w:val="20"/>
                <w:szCs w:val="20"/>
              </w:rPr>
              <w:t>21 411 327*</w:t>
            </w:r>
          </w:p>
        </w:tc>
      </w:tr>
      <w:tr w:rsidR="00393DDB" w:rsidRPr="00D86736" w14:paraId="3B66E16D" w14:textId="77777777" w:rsidTr="00725652">
        <w:trPr>
          <w:trHeight w:val="227"/>
        </w:trPr>
        <w:tc>
          <w:tcPr>
            <w:tcW w:w="1106" w:type="pct"/>
            <w:shd w:val="clear" w:color="auto" w:fill="auto"/>
            <w:noWrap/>
            <w:vAlign w:val="center"/>
            <w:hideMark/>
          </w:tcPr>
          <w:p w14:paraId="30CAE158"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Karlovarský kraj</w:t>
            </w:r>
          </w:p>
        </w:tc>
        <w:tc>
          <w:tcPr>
            <w:tcW w:w="973" w:type="pct"/>
            <w:shd w:val="clear" w:color="auto" w:fill="auto"/>
            <w:noWrap/>
            <w:vAlign w:val="center"/>
          </w:tcPr>
          <w:p w14:paraId="7233AB28"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164 560 000</w:t>
            </w:r>
          </w:p>
        </w:tc>
        <w:tc>
          <w:tcPr>
            <w:tcW w:w="974" w:type="pct"/>
            <w:shd w:val="clear" w:color="auto" w:fill="auto"/>
            <w:noWrap/>
            <w:vAlign w:val="center"/>
          </w:tcPr>
          <w:p w14:paraId="433A1498"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164 560 000</w:t>
            </w:r>
          </w:p>
        </w:tc>
        <w:tc>
          <w:tcPr>
            <w:tcW w:w="974" w:type="pct"/>
            <w:shd w:val="clear" w:color="auto" w:fill="auto"/>
            <w:noWrap/>
            <w:vAlign w:val="center"/>
          </w:tcPr>
          <w:p w14:paraId="2634D6D3"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112 188 000</w:t>
            </w:r>
          </w:p>
        </w:tc>
        <w:tc>
          <w:tcPr>
            <w:tcW w:w="974" w:type="pct"/>
            <w:shd w:val="clear" w:color="auto" w:fill="auto"/>
            <w:noWrap/>
            <w:vAlign w:val="center"/>
          </w:tcPr>
          <w:p w14:paraId="54221AB1"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112 188 000</w:t>
            </w:r>
          </w:p>
        </w:tc>
      </w:tr>
      <w:tr w:rsidR="00393DDB" w:rsidRPr="00D86736" w14:paraId="78243D8C" w14:textId="77777777" w:rsidTr="00725652">
        <w:trPr>
          <w:trHeight w:val="227"/>
        </w:trPr>
        <w:tc>
          <w:tcPr>
            <w:tcW w:w="1106" w:type="pct"/>
            <w:shd w:val="clear" w:color="auto" w:fill="auto"/>
            <w:noWrap/>
            <w:vAlign w:val="center"/>
            <w:hideMark/>
          </w:tcPr>
          <w:p w14:paraId="74E2E65D"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Ústecký kraj</w:t>
            </w:r>
          </w:p>
        </w:tc>
        <w:tc>
          <w:tcPr>
            <w:tcW w:w="973" w:type="pct"/>
            <w:shd w:val="clear" w:color="auto" w:fill="auto"/>
            <w:noWrap/>
            <w:vAlign w:val="center"/>
          </w:tcPr>
          <w:p w14:paraId="3FAC80D6"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330 000 000</w:t>
            </w:r>
          </w:p>
        </w:tc>
        <w:tc>
          <w:tcPr>
            <w:tcW w:w="974" w:type="pct"/>
            <w:shd w:val="clear" w:color="auto" w:fill="auto"/>
            <w:noWrap/>
            <w:vAlign w:val="center"/>
          </w:tcPr>
          <w:p w14:paraId="57D75FBE"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330 000 000</w:t>
            </w:r>
          </w:p>
        </w:tc>
        <w:tc>
          <w:tcPr>
            <w:tcW w:w="974" w:type="pct"/>
            <w:shd w:val="clear" w:color="auto" w:fill="auto"/>
            <w:noWrap/>
            <w:vAlign w:val="center"/>
          </w:tcPr>
          <w:p w14:paraId="7C80D93B"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225 016 000</w:t>
            </w:r>
          </w:p>
        </w:tc>
        <w:tc>
          <w:tcPr>
            <w:tcW w:w="974" w:type="pct"/>
            <w:shd w:val="clear" w:color="auto" w:fill="auto"/>
            <w:noWrap/>
            <w:vAlign w:val="center"/>
          </w:tcPr>
          <w:p w14:paraId="761AAB22"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225 016 000</w:t>
            </w:r>
          </w:p>
        </w:tc>
      </w:tr>
      <w:tr w:rsidR="00393DDB" w:rsidRPr="00D86736" w14:paraId="1EC8FBBF" w14:textId="77777777" w:rsidTr="00725652">
        <w:trPr>
          <w:trHeight w:val="227"/>
        </w:trPr>
        <w:tc>
          <w:tcPr>
            <w:tcW w:w="1106" w:type="pct"/>
            <w:shd w:val="clear" w:color="auto" w:fill="auto"/>
            <w:noWrap/>
            <w:vAlign w:val="center"/>
            <w:hideMark/>
          </w:tcPr>
          <w:p w14:paraId="215A09FD"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Liberecký kraj</w:t>
            </w:r>
          </w:p>
        </w:tc>
        <w:tc>
          <w:tcPr>
            <w:tcW w:w="973" w:type="pct"/>
            <w:shd w:val="clear" w:color="auto" w:fill="auto"/>
            <w:noWrap/>
            <w:vAlign w:val="center"/>
          </w:tcPr>
          <w:p w14:paraId="163DF89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187 440 000</w:t>
            </w:r>
          </w:p>
        </w:tc>
        <w:tc>
          <w:tcPr>
            <w:tcW w:w="974" w:type="pct"/>
            <w:shd w:val="clear" w:color="auto" w:fill="auto"/>
            <w:noWrap/>
            <w:vAlign w:val="center"/>
          </w:tcPr>
          <w:p w14:paraId="62759B5B"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187 440 000</w:t>
            </w:r>
          </w:p>
        </w:tc>
        <w:tc>
          <w:tcPr>
            <w:tcW w:w="974" w:type="pct"/>
            <w:shd w:val="clear" w:color="auto" w:fill="auto"/>
            <w:noWrap/>
            <w:vAlign w:val="center"/>
          </w:tcPr>
          <w:p w14:paraId="54D5D33D"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127 894 000</w:t>
            </w:r>
          </w:p>
        </w:tc>
        <w:tc>
          <w:tcPr>
            <w:tcW w:w="974" w:type="pct"/>
            <w:shd w:val="clear" w:color="auto" w:fill="auto"/>
            <w:noWrap/>
            <w:vAlign w:val="center"/>
          </w:tcPr>
          <w:p w14:paraId="2A15BB8E"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127 894 000</w:t>
            </w:r>
          </w:p>
        </w:tc>
      </w:tr>
      <w:tr w:rsidR="00393DDB" w:rsidRPr="00D86736" w14:paraId="3D100869" w14:textId="77777777" w:rsidTr="00725652">
        <w:trPr>
          <w:trHeight w:val="227"/>
        </w:trPr>
        <w:tc>
          <w:tcPr>
            <w:tcW w:w="1106" w:type="pct"/>
            <w:shd w:val="clear" w:color="auto" w:fill="auto"/>
            <w:noWrap/>
            <w:vAlign w:val="center"/>
            <w:hideMark/>
          </w:tcPr>
          <w:p w14:paraId="1F6E9AF7"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Královéhradecký kraj</w:t>
            </w:r>
          </w:p>
        </w:tc>
        <w:tc>
          <w:tcPr>
            <w:tcW w:w="973" w:type="pct"/>
            <w:shd w:val="clear" w:color="auto" w:fill="auto"/>
            <w:noWrap/>
            <w:vAlign w:val="center"/>
          </w:tcPr>
          <w:p w14:paraId="713BC1A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299 200 000</w:t>
            </w:r>
          </w:p>
        </w:tc>
        <w:tc>
          <w:tcPr>
            <w:tcW w:w="974" w:type="pct"/>
            <w:shd w:val="clear" w:color="auto" w:fill="auto"/>
            <w:noWrap/>
            <w:vAlign w:val="center"/>
          </w:tcPr>
          <w:p w14:paraId="1C803DC5"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294 284 683</w:t>
            </w:r>
          </w:p>
        </w:tc>
        <w:tc>
          <w:tcPr>
            <w:tcW w:w="974" w:type="pct"/>
            <w:shd w:val="clear" w:color="auto" w:fill="auto"/>
            <w:noWrap/>
            <w:vAlign w:val="center"/>
          </w:tcPr>
          <w:p w14:paraId="7ECE60D7"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203 649 000</w:t>
            </w:r>
          </w:p>
        </w:tc>
        <w:tc>
          <w:tcPr>
            <w:tcW w:w="974" w:type="pct"/>
            <w:shd w:val="clear" w:color="auto" w:fill="auto"/>
            <w:noWrap/>
            <w:vAlign w:val="center"/>
          </w:tcPr>
          <w:p w14:paraId="4E6613BD"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203 649 000</w:t>
            </w:r>
          </w:p>
        </w:tc>
      </w:tr>
      <w:tr w:rsidR="00393DDB" w:rsidRPr="00D86736" w14:paraId="2BBDD8E3" w14:textId="77777777" w:rsidTr="00725652">
        <w:trPr>
          <w:trHeight w:val="227"/>
        </w:trPr>
        <w:tc>
          <w:tcPr>
            <w:tcW w:w="1106" w:type="pct"/>
            <w:shd w:val="clear" w:color="auto" w:fill="auto"/>
            <w:noWrap/>
            <w:vAlign w:val="center"/>
            <w:hideMark/>
          </w:tcPr>
          <w:p w14:paraId="2B1F7A50"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Pardubický kraj</w:t>
            </w:r>
          </w:p>
        </w:tc>
        <w:tc>
          <w:tcPr>
            <w:tcW w:w="973" w:type="pct"/>
            <w:shd w:val="clear" w:color="auto" w:fill="auto"/>
            <w:noWrap/>
            <w:vAlign w:val="center"/>
          </w:tcPr>
          <w:p w14:paraId="71A4248E"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282 920 000</w:t>
            </w:r>
          </w:p>
        </w:tc>
        <w:tc>
          <w:tcPr>
            <w:tcW w:w="974" w:type="pct"/>
            <w:shd w:val="clear" w:color="auto" w:fill="auto"/>
            <w:noWrap/>
            <w:vAlign w:val="center"/>
          </w:tcPr>
          <w:p w14:paraId="411B3F17"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282 920 000</w:t>
            </w:r>
          </w:p>
        </w:tc>
        <w:tc>
          <w:tcPr>
            <w:tcW w:w="974" w:type="pct"/>
            <w:shd w:val="clear" w:color="auto" w:fill="auto"/>
            <w:noWrap/>
            <w:vAlign w:val="center"/>
          </w:tcPr>
          <w:p w14:paraId="4D503796"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192 864 000</w:t>
            </w:r>
          </w:p>
        </w:tc>
        <w:tc>
          <w:tcPr>
            <w:tcW w:w="974" w:type="pct"/>
            <w:shd w:val="clear" w:color="auto" w:fill="auto"/>
            <w:noWrap/>
            <w:vAlign w:val="center"/>
          </w:tcPr>
          <w:p w14:paraId="1971545B"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192 864 000</w:t>
            </w:r>
          </w:p>
        </w:tc>
      </w:tr>
      <w:tr w:rsidR="00393DDB" w:rsidRPr="00D86736" w14:paraId="491A8556" w14:textId="77777777" w:rsidTr="00725652">
        <w:trPr>
          <w:trHeight w:val="227"/>
        </w:trPr>
        <w:tc>
          <w:tcPr>
            <w:tcW w:w="1106" w:type="pct"/>
            <w:shd w:val="clear" w:color="auto" w:fill="auto"/>
            <w:noWrap/>
            <w:vAlign w:val="center"/>
            <w:hideMark/>
          </w:tcPr>
          <w:p w14:paraId="2D364E4A"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Kraj Vysočina</w:t>
            </w:r>
          </w:p>
        </w:tc>
        <w:tc>
          <w:tcPr>
            <w:tcW w:w="973" w:type="pct"/>
            <w:shd w:val="clear" w:color="auto" w:fill="auto"/>
            <w:noWrap/>
            <w:vAlign w:val="center"/>
          </w:tcPr>
          <w:p w14:paraId="17662DD9"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412 280 000</w:t>
            </w:r>
          </w:p>
        </w:tc>
        <w:tc>
          <w:tcPr>
            <w:tcW w:w="974" w:type="pct"/>
            <w:shd w:val="clear" w:color="auto" w:fill="auto"/>
            <w:noWrap/>
            <w:vAlign w:val="center"/>
          </w:tcPr>
          <w:p w14:paraId="45F9A3D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412 280 000</w:t>
            </w:r>
          </w:p>
        </w:tc>
        <w:tc>
          <w:tcPr>
            <w:tcW w:w="974" w:type="pct"/>
            <w:shd w:val="clear" w:color="auto" w:fill="auto"/>
            <w:noWrap/>
            <w:vAlign w:val="center"/>
          </w:tcPr>
          <w:p w14:paraId="150E556E"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281 049 000</w:t>
            </w:r>
          </w:p>
        </w:tc>
        <w:tc>
          <w:tcPr>
            <w:tcW w:w="974" w:type="pct"/>
            <w:shd w:val="clear" w:color="auto" w:fill="auto"/>
            <w:noWrap/>
            <w:vAlign w:val="center"/>
          </w:tcPr>
          <w:p w14:paraId="61F021E5"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281 049 000</w:t>
            </w:r>
          </w:p>
          <w:p w14:paraId="54512C3A" w14:textId="77777777" w:rsidR="00393DDB" w:rsidRPr="00D86736" w:rsidRDefault="00393DDB" w:rsidP="00831687">
            <w:pPr>
              <w:autoSpaceDE w:val="0"/>
              <w:autoSpaceDN w:val="0"/>
              <w:adjustRightInd w:val="0"/>
              <w:spacing w:after="0" w:line="240" w:lineRule="auto"/>
              <w:ind w:right="57"/>
              <w:jc w:val="right"/>
              <w:rPr>
                <w:rFonts w:ascii="Calibri" w:hAnsi="Calibri" w:cs="Calibri"/>
                <w:bCs/>
                <w:sz w:val="20"/>
                <w:szCs w:val="20"/>
                <w:vertAlign w:val="superscript"/>
              </w:rPr>
            </w:pPr>
            <w:r w:rsidRPr="00D86736">
              <w:rPr>
                <w:rFonts w:ascii="Calibri" w:hAnsi="Calibri" w:cs="Calibri"/>
                <w:bCs/>
                <w:sz w:val="20"/>
                <w:szCs w:val="20"/>
              </w:rPr>
              <w:t>-12 071 173**</w:t>
            </w:r>
          </w:p>
        </w:tc>
      </w:tr>
      <w:tr w:rsidR="00393DDB" w:rsidRPr="00D86736" w14:paraId="75A72BA5" w14:textId="77777777" w:rsidTr="00725652">
        <w:trPr>
          <w:trHeight w:val="227"/>
        </w:trPr>
        <w:tc>
          <w:tcPr>
            <w:tcW w:w="1106" w:type="pct"/>
            <w:shd w:val="clear" w:color="auto" w:fill="auto"/>
            <w:noWrap/>
            <w:vAlign w:val="center"/>
            <w:hideMark/>
          </w:tcPr>
          <w:p w14:paraId="197A0D09"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Jihomoravský kraj</w:t>
            </w:r>
          </w:p>
        </w:tc>
        <w:tc>
          <w:tcPr>
            <w:tcW w:w="973" w:type="pct"/>
            <w:shd w:val="clear" w:color="auto" w:fill="auto"/>
            <w:noWrap/>
            <w:vAlign w:val="center"/>
          </w:tcPr>
          <w:p w14:paraId="7A52CF1C"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349 800 000</w:t>
            </w:r>
          </w:p>
        </w:tc>
        <w:tc>
          <w:tcPr>
            <w:tcW w:w="974" w:type="pct"/>
            <w:shd w:val="clear" w:color="auto" w:fill="auto"/>
            <w:noWrap/>
            <w:vAlign w:val="center"/>
          </w:tcPr>
          <w:p w14:paraId="55E051E4"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349 800 000</w:t>
            </w:r>
          </w:p>
        </w:tc>
        <w:tc>
          <w:tcPr>
            <w:tcW w:w="974" w:type="pct"/>
            <w:shd w:val="clear" w:color="auto" w:fill="auto"/>
            <w:noWrap/>
            <w:vAlign w:val="center"/>
          </w:tcPr>
          <w:p w14:paraId="19B28740"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238 475 000</w:t>
            </w:r>
          </w:p>
        </w:tc>
        <w:tc>
          <w:tcPr>
            <w:tcW w:w="974" w:type="pct"/>
            <w:shd w:val="clear" w:color="auto" w:fill="auto"/>
            <w:noWrap/>
            <w:vAlign w:val="center"/>
          </w:tcPr>
          <w:p w14:paraId="70FB598B"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238 475 000</w:t>
            </w:r>
          </w:p>
        </w:tc>
      </w:tr>
      <w:tr w:rsidR="00393DDB" w:rsidRPr="00D86736" w14:paraId="18292905" w14:textId="77777777" w:rsidTr="00725652">
        <w:trPr>
          <w:trHeight w:val="227"/>
        </w:trPr>
        <w:tc>
          <w:tcPr>
            <w:tcW w:w="1106" w:type="pct"/>
            <w:shd w:val="clear" w:color="auto" w:fill="auto"/>
            <w:noWrap/>
            <w:vAlign w:val="center"/>
            <w:hideMark/>
          </w:tcPr>
          <w:p w14:paraId="2942466A"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Olomoucký kraj</w:t>
            </w:r>
          </w:p>
        </w:tc>
        <w:tc>
          <w:tcPr>
            <w:tcW w:w="973" w:type="pct"/>
            <w:shd w:val="clear" w:color="auto" w:fill="auto"/>
            <w:noWrap/>
            <w:vAlign w:val="center"/>
          </w:tcPr>
          <w:p w14:paraId="6E941284"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279 840 000</w:t>
            </w:r>
          </w:p>
        </w:tc>
        <w:tc>
          <w:tcPr>
            <w:tcW w:w="974" w:type="pct"/>
            <w:shd w:val="clear" w:color="auto" w:fill="auto"/>
            <w:noWrap/>
            <w:vAlign w:val="center"/>
          </w:tcPr>
          <w:p w14:paraId="4197532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279 567 390</w:t>
            </w:r>
          </w:p>
        </w:tc>
        <w:tc>
          <w:tcPr>
            <w:tcW w:w="974" w:type="pct"/>
            <w:shd w:val="clear" w:color="auto" w:fill="auto"/>
            <w:noWrap/>
            <w:vAlign w:val="center"/>
          </w:tcPr>
          <w:p w14:paraId="655CF885"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190 530 000</w:t>
            </w:r>
          </w:p>
        </w:tc>
        <w:tc>
          <w:tcPr>
            <w:tcW w:w="974" w:type="pct"/>
            <w:shd w:val="clear" w:color="auto" w:fill="auto"/>
            <w:noWrap/>
            <w:vAlign w:val="center"/>
          </w:tcPr>
          <w:p w14:paraId="3AB6F6DC"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190 528 326</w:t>
            </w:r>
          </w:p>
        </w:tc>
      </w:tr>
      <w:tr w:rsidR="00393DDB" w:rsidRPr="00D86736" w14:paraId="70F6E496" w14:textId="77777777" w:rsidTr="00725652">
        <w:trPr>
          <w:trHeight w:val="227"/>
        </w:trPr>
        <w:tc>
          <w:tcPr>
            <w:tcW w:w="1106" w:type="pct"/>
            <w:shd w:val="clear" w:color="auto" w:fill="auto"/>
            <w:noWrap/>
            <w:vAlign w:val="center"/>
            <w:hideMark/>
          </w:tcPr>
          <w:p w14:paraId="7E176926"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Zlínský kraj</w:t>
            </w:r>
          </w:p>
        </w:tc>
        <w:tc>
          <w:tcPr>
            <w:tcW w:w="973" w:type="pct"/>
            <w:shd w:val="clear" w:color="auto" w:fill="auto"/>
            <w:noWrap/>
            <w:vAlign w:val="center"/>
          </w:tcPr>
          <w:p w14:paraId="6329C9D1"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159 720 000</w:t>
            </w:r>
          </w:p>
        </w:tc>
        <w:tc>
          <w:tcPr>
            <w:tcW w:w="974" w:type="pct"/>
            <w:shd w:val="clear" w:color="auto" w:fill="auto"/>
            <w:noWrap/>
            <w:vAlign w:val="center"/>
          </w:tcPr>
          <w:p w14:paraId="5530503C"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159 720 000</w:t>
            </w:r>
          </w:p>
        </w:tc>
        <w:tc>
          <w:tcPr>
            <w:tcW w:w="974" w:type="pct"/>
            <w:shd w:val="clear" w:color="auto" w:fill="auto"/>
            <w:noWrap/>
            <w:vAlign w:val="center"/>
          </w:tcPr>
          <w:p w14:paraId="3982EA8F"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108 745 000</w:t>
            </w:r>
          </w:p>
        </w:tc>
        <w:tc>
          <w:tcPr>
            <w:tcW w:w="974" w:type="pct"/>
            <w:shd w:val="clear" w:color="auto" w:fill="auto"/>
            <w:noWrap/>
            <w:vAlign w:val="center"/>
          </w:tcPr>
          <w:p w14:paraId="6E6D44D7"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108 745 000</w:t>
            </w:r>
          </w:p>
        </w:tc>
      </w:tr>
      <w:tr w:rsidR="00393DDB" w:rsidRPr="00D86736" w14:paraId="0E42D36C" w14:textId="77777777" w:rsidTr="00725652">
        <w:trPr>
          <w:trHeight w:val="227"/>
        </w:trPr>
        <w:tc>
          <w:tcPr>
            <w:tcW w:w="1106" w:type="pct"/>
            <w:shd w:val="clear" w:color="auto" w:fill="auto"/>
            <w:noWrap/>
            <w:vAlign w:val="center"/>
            <w:hideMark/>
          </w:tcPr>
          <w:p w14:paraId="4AAC51B1" w14:textId="77777777" w:rsidR="00393DDB" w:rsidRPr="00D86736" w:rsidRDefault="00393DDB" w:rsidP="007765FC">
            <w:pPr>
              <w:autoSpaceDE w:val="0"/>
              <w:autoSpaceDN w:val="0"/>
              <w:adjustRightInd w:val="0"/>
              <w:spacing w:after="0" w:line="240" w:lineRule="auto"/>
              <w:rPr>
                <w:rFonts w:ascii="Calibri" w:hAnsi="Calibri" w:cs="Calibri"/>
                <w:sz w:val="20"/>
                <w:szCs w:val="20"/>
              </w:rPr>
            </w:pPr>
            <w:r w:rsidRPr="00D86736">
              <w:rPr>
                <w:rFonts w:ascii="Calibri" w:hAnsi="Calibri" w:cs="Calibri"/>
                <w:sz w:val="20"/>
                <w:szCs w:val="20"/>
              </w:rPr>
              <w:t>Moravskoslezský kraj</w:t>
            </w:r>
          </w:p>
        </w:tc>
        <w:tc>
          <w:tcPr>
            <w:tcW w:w="973" w:type="pct"/>
            <w:shd w:val="clear" w:color="auto" w:fill="auto"/>
            <w:noWrap/>
            <w:vAlign w:val="center"/>
          </w:tcPr>
          <w:p w14:paraId="4FC6CF3D"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247 280 000</w:t>
            </w:r>
          </w:p>
        </w:tc>
        <w:tc>
          <w:tcPr>
            <w:tcW w:w="974" w:type="pct"/>
            <w:shd w:val="clear" w:color="auto" w:fill="auto"/>
            <w:noWrap/>
            <w:vAlign w:val="center"/>
          </w:tcPr>
          <w:p w14:paraId="19092C22" w14:textId="77777777" w:rsidR="00393DDB" w:rsidRPr="00D86736" w:rsidRDefault="00393DDB" w:rsidP="00831687">
            <w:pPr>
              <w:autoSpaceDE w:val="0"/>
              <w:autoSpaceDN w:val="0"/>
              <w:adjustRightInd w:val="0"/>
              <w:spacing w:after="0" w:line="240" w:lineRule="auto"/>
              <w:ind w:right="283"/>
              <w:jc w:val="right"/>
              <w:rPr>
                <w:rFonts w:ascii="Calibri" w:hAnsi="Calibri" w:cs="Calibri"/>
                <w:sz w:val="20"/>
                <w:szCs w:val="20"/>
              </w:rPr>
            </w:pPr>
            <w:r w:rsidRPr="00D86736">
              <w:rPr>
                <w:rFonts w:ascii="Calibri" w:hAnsi="Calibri" w:cs="Calibri"/>
                <w:sz w:val="20"/>
                <w:szCs w:val="20"/>
              </w:rPr>
              <w:t>247 280 000</w:t>
            </w:r>
          </w:p>
        </w:tc>
        <w:tc>
          <w:tcPr>
            <w:tcW w:w="974" w:type="pct"/>
            <w:shd w:val="clear" w:color="auto" w:fill="auto"/>
            <w:noWrap/>
            <w:vAlign w:val="center"/>
          </w:tcPr>
          <w:p w14:paraId="0FEEC715"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168 417 000</w:t>
            </w:r>
          </w:p>
        </w:tc>
        <w:tc>
          <w:tcPr>
            <w:tcW w:w="974" w:type="pct"/>
            <w:shd w:val="clear" w:color="auto" w:fill="auto"/>
            <w:noWrap/>
            <w:vAlign w:val="center"/>
          </w:tcPr>
          <w:p w14:paraId="565822FB" w14:textId="77777777" w:rsidR="00393DDB" w:rsidRPr="00D86736" w:rsidRDefault="00393DDB" w:rsidP="00831687">
            <w:pPr>
              <w:autoSpaceDE w:val="0"/>
              <w:autoSpaceDN w:val="0"/>
              <w:adjustRightInd w:val="0"/>
              <w:spacing w:after="0" w:line="240" w:lineRule="auto"/>
              <w:ind w:right="283"/>
              <w:jc w:val="right"/>
              <w:rPr>
                <w:rFonts w:ascii="Calibri" w:hAnsi="Calibri" w:cs="Calibri"/>
                <w:bCs/>
                <w:sz w:val="20"/>
                <w:szCs w:val="20"/>
              </w:rPr>
            </w:pPr>
            <w:r w:rsidRPr="00D86736">
              <w:rPr>
                <w:rFonts w:ascii="Calibri" w:hAnsi="Calibri" w:cs="Calibri"/>
                <w:bCs/>
                <w:sz w:val="20"/>
                <w:szCs w:val="20"/>
              </w:rPr>
              <w:t>168 417 000</w:t>
            </w:r>
          </w:p>
        </w:tc>
      </w:tr>
      <w:tr w:rsidR="00393DDB" w:rsidRPr="00D86736" w14:paraId="1CE456C7" w14:textId="77777777" w:rsidTr="00725652">
        <w:trPr>
          <w:trHeight w:val="227"/>
        </w:trPr>
        <w:tc>
          <w:tcPr>
            <w:tcW w:w="1106" w:type="pct"/>
            <w:shd w:val="clear" w:color="auto" w:fill="auto"/>
            <w:noWrap/>
            <w:vAlign w:val="center"/>
            <w:hideMark/>
          </w:tcPr>
          <w:p w14:paraId="34B5A0B7" w14:textId="77777777" w:rsidR="00393DDB" w:rsidRPr="00D86736" w:rsidRDefault="00393DDB" w:rsidP="007765FC">
            <w:pPr>
              <w:autoSpaceDE w:val="0"/>
              <w:autoSpaceDN w:val="0"/>
              <w:adjustRightInd w:val="0"/>
              <w:spacing w:after="0" w:line="240" w:lineRule="auto"/>
              <w:rPr>
                <w:rFonts w:ascii="Calibri" w:hAnsi="Calibri" w:cs="Calibri"/>
                <w:b/>
                <w:sz w:val="20"/>
                <w:szCs w:val="20"/>
              </w:rPr>
            </w:pPr>
            <w:r w:rsidRPr="00D86736">
              <w:rPr>
                <w:rFonts w:ascii="Calibri" w:hAnsi="Calibri" w:cs="Calibri"/>
                <w:b/>
                <w:sz w:val="20"/>
                <w:szCs w:val="20"/>
              </w:rPr>
              <w:t>Celkem kraje</w:t>
            </w:r>
          </w:p>
        </w:tc>
        <w:tc>
          <w:tcPr>
            <w:tcW w:w="973" w:type="pct"/>
            <w:shd w:val="clear" w:color="auto" w:fill="auto"/>
            <w:noWrap/>
            <w:vAlign w:val="center"/>
          </w:tcPr>
          <w:p w14:paraId="36E35516" w14:textId="77777777" w:rsidR="00393DDB" w:rsidRPr="00D86736" w:rsidRDefault="00393DDB" w:rsidP="00831687">
            <w:pPr>
              <w:autoSpaceDE w:val="0"/>
              <w:autoSpaceDN w:val="0"/>
              <w:adjustRightInd w:val="0"/>
              <w:spacing w:after="0" w:line="240" w:lineRule="auto"/>
              <w:ind w:right="283"/>
              <w:jc w:val="right"/>
              <w:rPr>
                <w:rFonts w:ascii="Calibri" w:hAnsi="Calibri" w:cs="Calibri"/>
                <w:b/>
                <w:sz w:val="20"/>
                <w:szCs w:val="20"/>
              </w:rPr>
            </w:pPr>
            <w:r w:rsidRPr="00D86736">
              <w:rPr>
                <w:rFonts w:ascii="Calibri" w:hAnsi="Calibri" w:cs="Calibri"/>
                <w:b/>
                <w:sz w:val="20"/>
                <w:szCs w:val="20"/>
              </w:rPr>
              <w:t>4 400 000 000</w:t>
            </w:r>
          </w:p>
        </w:tc>
        <w:tc>
          <w:tcPr>
            <w:tcW w:w="974" w:type="pct"/>
            <w:shd w:val="clear" w:color="auto" w:fill="auto"/>
            <w:noWrap/>
            <w:vAlign w:val="center"/>
          </w:tcPr>
          <w:p w14:paraId="4A440735" w14:textId="77777777" w:rsidR="00393DDB" w:rsidRPr="00D86736" w:rsidRDefault="00393DDB" w:rsidP="00831687">
            <w:pPr>
              <w:autoSpaceDE w:val="0"/>
              <w:autoSpaceDN w:val="0"/>
              <w:adjustRightInd w:val="0"/>
              <w:spacing w:after="0" w:line="240" w:lineRule="auto"/>
              <w:ind w:right="283"/>
              <w:jc w:val="right"/>
              <w:rPr>
                <w:rFonts w:ascii="Calibri" w:hAnsi="Calibri" w:cs="Calibri"/>
                <w:b/>
                <w:sz w:val="20"/>
                <w:szCs w:val="20"/>
              </w:rPr>
            </w:pPr>
            <w:r w:rsidRPr="00D86736">
              <w:rPr>
                <w:rFonts w:ascii="Calibri" w:hAnsi="Calibri" w:cs="Calibri"/>
                <w:b/>
                <w:sz w:val="20"/>
                <w:szCs w:val="20"/>
              </w:rPr>
              <w:t>4 371 985 746</w:t>
            </w:r>
          </w:p>
        </w:tc>
        <w:tc>
          <w:tcPr>
            <w:tcW w:w="974" w:type="pct"/>
            <w:shd w:val="clear" w:color="auto" w:fill="auto"/>
            <w:noWrap/>
            <w:vAlign w:val="center"/>
          </w:tcPr>
          <w:p w14:paraId="2ED54A68" w14:textId="77777777" w:rsidR="00393DDB" w:rsidRPr="00D86736" w:rsidRDefault="00393DDB" w:rsidP="00831687">
            <w:pPr>
              <w:autoSpaceDE w:val="0"/>
              <w:autoSpaceDN w:val="0"/>
              <w:adjustRightInd w:val="0"/>
              <w:spacing w:after="0" w:line="240" w:lineRule="auto"/>
              <w:ind w:right="283"/>
              <w:jc w:val="right"/>
              <w:rPr>
                <w:rFonts w:ascii="Calibri" w:hAnsi="Calibri" w:cs="Calibri"/>
                <w:b/>
                <w:bCs/>
                <w:sz w:val="20"/>
                <w:szCs w:val="20"/>
              </w:rPr>
            </w:pPr>
            <w:r w:rsidRPr="00D86736">
              <w:rPr>
                <w:rFonts w:ascii="Calibri" w:hAnsi="Calibri" w:cs="Calibri"/>
                <w:b/>
                <w:bCs/>
                <w:sz w:val="20"/>
                <w:szCs w:val="20"/>
              </w:rPr>
              <w:t>3 022 396 002</w:t>
            </w:r>
          </w:p>
        </w:tc>
        <w:tc>
          <w:tcPr>
            <w:tcW w:w="974" w:type="pct"/>
            <w:shd w:val="clear" w:color="auto" w:fill="auto"/>
            <w:noWrap/>
            <w:vAlign w:val="center"/>
          </w:tcPr>
          <w:p w14:paraId="47943C91" w14:textId="77777777" w:rsidR="00393DDB" w:rsidRPr="00D86736" w:rsidRDefault="00393DDB" w:rsidP="00831687">
            <w:pPr>
              <w:autoSpaceDE w:val="0"/>
              <w:autoSpaceDN w:val="0"/>
              <w:adjustRightInd w:val="0"/>
              <w:spacing w:after="0" w:line="240" w:lineRule="auto"/>
              <w:ind w:right="283"/>
              <w:jc w:val="right"/>
              <w:rPr>
                <w:rFonts w:ascii="Calibri" w:hAnsi="Calibri" w:cs="Calibri"/>
                <w:b/>
                <w:bCs/>
                <w:sz w:val="20"/>
                <w:szCs w:val="20"/>
              </w:rPr>
            </w:pPr>
            <w:r w:rsidRPr="00D86736">
              <w:rPr>
                <w:rFonts w:ascii="Calibri" w:hAnsi="Calibri" w:cs="Calibri"/>
                <w:b/>
                <w:bCs/>
                <w:sz w:val="20"/>
                <w:szCs w:val="20"/>
              </w:rPr>
              <w:t>3 010 323 155</w:t>
            </w:r>
          </w:p>
        </w:tc>
      </w:tr>
    </w:tbl>
    <w:p w14:paraId="7EE1CA6F" w14:textId="7B8BA1CD" w:rsidR="00393DDB" w:rsidRPr="00393DDB" w:rsidRDefault="00393DDB" w:rsidP="00393DDB">
      <w:pPr>
        <w:autoSpaceDE w:val="0"/>
        <w:autoSpaceDN w:val="0"/>
        <w:adjustRightInd w:val="0"/>
        <w:spacing w:before="40" w:after="0" w:line="240" w:lineRule="auto"/>
        <w:ind w:left="567" w:hanging="567"/>
        <w:jc w:val="both"/>
        <w:rPr>
          <w:rFonts w:cs="Calibri"/>
          <w:sz w:val="20"/>
          <w:szCs w:val="20"/>
        </w:rPr>
      </w:pPr>
      <w:r w:rsidRPr="00393DDB">
        <w:rPr>
          <w:rFonts w:cs="Calibri"/>
          <w:b/>
          <w:sz w:val="20"/>
          <w:szCs w:val="20"/>
        </w:rPr>
        <w:t>Zdroj:</w:t>
      </w:r>
      <w:r w:rsidRPr="00393DDB">
        <w:rPr>
          <w:rFonts w:cs="Calibri"/>
          <w:sz w:val="20"/>
          <w:szCs w:val="20"/>
        </w:rPr>
        <w:tab/>
      </w:r>
      <w:r w:rsidR="00725652">
        <w:rPr>
          <w:rFonts w:cs="Calibri"/>
          <w:sz w:val="20"/>
          <w:szCs w:val="20"/>
        </w:rPr>
        <w:t>i</w:t>
      </w:r>
      <w:r w:rsidRPr="00393DDB">
        <w:rPr>
          <w:rFonts w:cs="Calibri"/>
          <w:sz w:val="20"/>
          <w:szCs w:val="20"/>
        </w:rPr>
        <w:t>nformace SFDI.</w:t>
      </w:r>
    </w:p>
    <w:p w14:paraId="372002BB" w14:textId="77777777" w:rsidR="00393DDB" w:rsidRPr="00393DDB" w:rsidRDefault="00393DDB" w:rsidP="00393DDB">
      <w:pPr>
        <w:tabs>
          <w:tab w:val="left" w:pos="284"/>
        </w:tabs>
        <w:autoSpaceDE w:val="0"/>
        <w:autoSpaceDN w:val="0"/>
        <w:adjustRightInd w:val="0"/>
        <w:spacing w:after="0" w:line="240" w:lineRule="auto"/>
        <w:ind w:left="28"/>
        <w:jc w:val="both"/>
        <w:rPr>
          <w:rFonts w:cs="Calibri"/>
          <w:bCs/>
          <w:sz w:val="20"/>
          <w:szCs w:val="20"/>
        </w:rPr>
      </w:pPr>
      <w:r w:rsidRPr="00393DDB">
        <w:rPr>
          <w:rFonts w:cs="Calibri"/>
          <w:bCs/>
          <w:sz w:val="20"/>
          <w:szCs w:val="20"/>
        </w:rPr>
        <w:t>*</w:t>
      </w:r>
      <w:r w:rsidRPr="00393DDB">
        <w:rPr>
          <w:rFonts w:cs="Calibri"/>
          <w:bCs/>
          <w:sz w:val="20"/>
          <w:szCs w:val="20"/>
        </w:rPr>
        <w:tab/>
        <w:t>Převod nevyčerpaných prostředků z roku 2015.</w:t>
      </w:r>
    </w:p>
    <w:p w14:paraId="621583E4" w14:textId="77777777" w:rsidR="00393DDB" w:rsidRPr="00393DDB" w:rsidRDefault="00393DDB" w:rsidP="00393DDB">
      <w:pPr>
        <w:tabs>
          <w:tab w:val="left" w:pos="284"/>
        </w:tabs>
        <w:autoSpaceDE w:val="0"/>
        <w:autoSpaceDN w:val="0"/>
        <w:adjustRightInd w:val="0"/>
        <w:spacing w:after="240" w:line="240" w:lineRule="auto"/>
        <w:ind w:left="28"/>
        <w:jc w:val="both"/>
        <w:rPr>
          <w:rFonts w:cs="Calibri"/>
          <w:sz w:val="20"/>
          <w:szCs w:val="20"/>
        </w:rPr>
      </w:pPr>
      <w:r w:rsidRPr="00393DDB">
        <w:rPr>
          <w:rFonts w:cs="Calibri"/>
          <w:bCs/>
          <w:sz w:val="20"/>
          <w:szCs w:val="20"/>
        </w:rPr>
        <w:t>**</w:t>
      </w:r>
      <w:r w:rsidRPr="00393DDB">
        <w:rPr>
          <w:rFonts w:cs="Calibri"/>
          <w:bCs/>
          <w:sz w:val="20"/>
          <w:szCs w:val="20"/>
        </w:rPr>
        <w:tab/>
        <w:t>Vrácení nevyčerpaných finančních prostředků roku 2016.</w:t>
      </w:r>
    </w:p>
    <w:p w14:paraId="1BBAAF44" w14:textId="6E96A0FE" w:rsidR="00393DDB" w:rsidRDefault="00393DDB" w:rsidP="007E14F9">
      <w:pPr>
        <w:tabs>
          <w:tab w:val="left" w:pos="3544"/>
        </w:tabs>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lastRenderedPageBreak/>
        <w:t>SFDI ne</w:t>
      </w:r>
      <w:r w:rsidR="0031027A" w:rsidRPr="007E14F9">
        <w:rPr>
          <w:rFonts w:ascii="Calibri" w:eastAsia="Times New Roman" w:hAnsi="Calibri" w:cs="Calibri"/>
          <w:b/>
          <w:sz w:val="24"/>
          <w:szCs w:val="24"/>
        </w:rPr>
        <w:t>mě</w:t>
      </w:r>
      <w:r w:rsidRPr="007E14F9">
        <w:rPr>
          <w:rFonts w:ascii="Calibri" w:eastAsia="Times New Roman" w:hAnsi="Calibri" w:cs="Calibri"/>
          <w:b/>
          <w:sz w:val="24"/>
          <w:szCs w:val="24"/>
        </w:rPr>
        <w:t>l a ani nepožadoval informaci, kolik finančních prostředků by kraje potřebovaly na obnovu silnic II. a III. třídy a v jakém časovém horizontu.</w:t>
      </w:r>
      <w:r w:rsidRPr="007E14F9">
        <w:rPr>
          <w:rFonts w:ascii="Calibri" w:eastAsia="Times New Roman" w:hAnsi="Calibri" w:cs="Calibri"/>
          <w:sz w:val="24"/>
          <w:szCs w:val="24"/>
        </w:rPr>
        <w:t xml:space="preserve"> Pro účely financování ze SFDI kraje dokládaly přehledy konkrétních akcí, které chtějí v daném roce financovat (rozpisy akcí). SFDI v </w:t>
      </w:r>
      <w:r w:rsidR="00FE6F49">
        <w:rPr>
          <w:rFonts w:ascii="Calibri" w:eastAsia="Times New Roman" w:hAnsi="Calibri" w:cs="Calibri"/>
          <w:sz w:val="24"/>
          <w:szCs w:val="24"/>
        </w:rPr>
        <w:t>m</w:t>
      </w:r>
      <w:r w:rsidRPr="007E14F9">
        <w:rPr>
          <w:rFonts w:ascii="Calibri" w:eastAsia="Times New Roman" w:hAnsi="Calibri" w:cs="Calibri"/>
          <w:sz w:val="24"/>
          <w:szCs w:val="24"/>
        </w:rPr>
        <w:t xml:space="preserve">etodickém pokynu, resp. </w:t>
      </w:r>
      <w:r w:rsidR="00FE6F49">
        <w:rPr>
          <w:rFonts w:ascii="Calibri" w:eastAsia="Times New Roman" w:hAnsi="Calibri" w:cs="Calibri"/>
          <w:b/>
          <w:sz w:val="24"/>
          <w:szCs w:val="24"/>
        </w:rPr>
        <w:t>v</w:t>
      </w:r>
      <w:r w:rsidR="0031027A" w:rsidRPr="007E14F9">
        <w:rPr>
          <w:rFonts w:ascii="Calibri" w:eastAsia="Times New Roman" w:hAnsi="Calibri" w:cs="Calibri"/>
          <w:b/>
          <w:sz w:val="24"/>
          <w:szCs w:val="24"/>
        </w:rPr>
        <w:t xml:space="preserve"> p</w:t>
      </w:r>
      <w:r w:rsidRPr="007E14F9">
        <w:rPr>
          <w:rFonts w:ascii="Calibri" w:eastAsia="Times New Roman" w:hAnsi="Calibri" w:cs="Calibri"/>
          <w:b/>
          <w:sz w:val="24"/>
          <w:szCs w:val="24"/>
        </w:rPr>
        <w:t xml:space="preserve">ravidlech pro financování silnic krajů z rozpočtu SFDI v roce 2015 a 2016 </w:t>
      </w:r>
      <w:r w:rsidR="002B6DF3" w:rsidRPr="007E14F9">
        <w:rPr>
          <w:rFonts w:ascii="Calibri" w:eastAsia="Times New Roman" w:hAnsi="Calibri" w:cs="Calibri"/>
          <w:b/>
          <w:sz w:val="24"/>
          <w:szCs w:val="24"/>
        </w:rPr>
        <w:t xml:space="preserve">tak </w:t>
      </w:r>
      <w:r w:rsidRPr="007E14F9">
        <w:rPr>
          <w:rFonts w:ascii="Calibri" w:eastAsia="Times New Roman" w:hAnsi="Calibri" w:cs="Calibri"/>
          <w:b/>
          <w:sz w:val="24"/>
          <w:szCs w:val="24"/>
        </w:rPr>
        <w:t>nestanovil cíl, ale stanovil účel financování, kterým bylo</w:t>
      </w:r>
      <w:r w:rsidR="00FE6F49">
        <w:rPr>
          <w:rFonts w:ascii="Calibri" w:eastAsia="Times New Roman" w:hAnsi="Calibri" w:cs="Calibri"/>
          <w:b/>
          <w:sz w:val="24"/>
          <w:szCs w:val="24"/>
        </w:rPr>
        <w:t xml:space="preserve"> </w:t>
      </w:r>
      <w:r w:rsidRPr="007E14F9">
        <w:rPr>
          <w:rFonts w:ascii="Calibri" w:eastAsia="Times New Roman" w:hAnsi="Calibri" w:cs="Calibri"/>
          <w:b/>
          <w:sz w:val="24"/>
          <w:szCs w:val="24"/>
        </w:rPr>
        <w:t>poskytování finančních prostředků na opravy, rekonstrukce a modernizace těchto silnic.</w:t>
      </w:r>
      <w:r w:rsidRPr="007E14F9">
        <w:rPr>
          <w:rFonts w:ascii="Calibri" w:eastAsia="Times New Roman" w:hAnsi="Calibri" w:cs="Calibri"/>
          <w:sz w:val="24"/>
          <w:szCs w:val="24"/>
        </w:rPr>
        <w:t xml:space="preserve"> O výši finančních prostředků pro financování silnic II. a III. třídy rozhodoval </w:t>
      </w:r>
      <w:r w:rsidR="00FE6F49">
        <w:rPr>
          <w:rFonts w:ascii="Calibri" w:eastAsia="Times New Roman" w:hAnsi="Calibri" w:cs="Calibri"/>
          <w:sz w:val="24"/>
          <w:szCs w:val="24"/>
        </w:rPr>
        <w:t>v</w:t>
      </w:r>
      <w:r w:rsidRPr="007E14F9">
        <w:rPr>
          <w:rFonts w:ascii="Calibri" w:eastAsia="Times New Roman" w:hAnsi="Calibri" w:cs="Calibri"/>
          <w:sz w:val="24"/>
          <w:szCs w:val="24"/>
        </w:rPr>
        <w:t xml:space="preserve">ýbor SFDI na základě disponibilních částek v rezervě SFDI. </w:t>
      </w:r>
      <w:r w:rsidRPr="007E14F9">
        <w:rPr>
          <w:rFonts w:ascii="Calibri" w:eastAsia="Times New Roman" w:hAnsi="Calibri" w:cs="Calibri"/>
          <w:b/>
          <w:sz w:val="24"/>
          <w:szCs w:val="24"/>
        </w:rPr>
        <w:t>Systémové financování</w:t>
      </w:r>
      <w:r w:rsidRPr="007E14F9">
        <w:rPr>
          <w:rFonts w:ascii="Calibri" w:eastAsia="Times New Roman" w:hAnsi="Calibri" w:cs="Calibri"/>
          <w:sz w:val="24"/>
          <w:szCs w:val="24"/>
        </w:rPr>
        <w:t xml:space="preserve"> (např. v podobě pravidelného příspěvku z rozpočtu SFDI nebo prostřednictvím rozpočtového určení daní) </w:t>
      </w:r>
      <w:r w:rsidRPr="007E14F9">
        <w:rPr>
          <w:rFonts w:ascii="Calibri" w:eastAsia="Times New Roman" w:hAnsi="Calibri" w:cs="Calibri"/>
          <w:b/>
          <w:sz w:val="24"/>
          <w:szCs w:val="24"/>
        </w:rPr>
        <w:t>se v současné době nepřipravuje</w:t>
      </w:r>
      <w:r w:rsidRPr="00E574E9">
        <w:rPr>
          <w:rFonts w:ascii="Calibri" w:eastAsia="Times New Roman" w:hAnsi="Calibri" w:cs="Calibri"/>
          <w:b/>
          <w:sz w:val="24"/>
          <w:szCs w:val="24"/>
        </w:rPr>
        <w:t>.</w:t>
      </w:r>
    </w:p>
    <w:p w14:paraId="63E27155" w14:textId="77777777" w:rsidR="007E14F9" w:rsidRPr="007E14F9" w:rsidRDefault="007E14F9" w:rsidP="007E14F9">
      <w:pPr>
        <w:tabs>
          <w:tab w:val="left" w:pos="3544"/>
        </w:tabs>
        <w:spacing w:after="0" w:line="240" w:lineRule="auto"/>
        <w:jc w:val="both"/>
        <w:rPr>
          <w:rFonts w:ascii="Calibri" w:eastAsia="Times New Roman" w:hAnsi="Calibri" w:cs="Calibri"/>
          <w:sz w:val="24"/>
          <w:szCs w:val="24"/>
        </w:rPr>
      </w:pPr>
    </w:p>
    <w:p w14:paraId="0122BB79" w14:textId="07F0298A"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1.1b Nastavení podmínek s ohledem na 3E</w:t>
      </w:r>
    </w:p>
    <w:p w14:paraId="2C7ED285" w14:textId="77777777" w:rsidR="00D86736" w:rsidRPr="007E14F9" w:rsidRDefault="00D86736" w:rsidP="007E14F9">
      <w:pPr>
        <w:tabs>
          <w:tab w:val="left" w:pos="3544"/>
        </w:tabs>
        <w:spacing w:after="0" w:line="240" w:lineRule="auto"/>
        <w:jc w:val="both"/>
        <w:rPr>
          <w:rFonts w:ascii="Calibri" w:eastAsia="Times New Roman" w:hAnsi="Calibri" w:cs="Calibri"/>
          <w:iCs/>
          <w:sz w:val="24"/>
          <w:szCs w:val="24"/>
          <w:lang w:eastAsia="cs-CZ"/>
        </w:rPr>
      </w:pPr>
    </w:p>
    <w:p w14:paraId="185F0FB0" w14:textId="23764530" w:rsidR="00393DDB" w:rsidRDefault="00393DDB" w:rsidP="007E14F9">
      <w:pPr>
        <w:tabs>
          <w:tab w:val="left" w:pos="3544"/>
        </w:tabs>
        <w:spacing w:after="0" w:line="240" w:lineRule="auto"/>
        <w:jc w:val="both"/>
        <w:rPr>
          <w:rFonts w:ascii="Calibri" w:hAnsi="Calibri" w:cs="Calibri"/>
          <w:sz w:val="24"/>
          <w:szCs w:val="24"/>
          <w:lang w:eastAsia="cs-CZ"/>
        </w:rPr>
      </w:pPr>
      <w:r w:rsidRPr="007E14F9">
        <w:rPr>
          <w:rFonts w:ascii="Calibri" w:eastAsia="Times New Roman" w:hAnsi="Calibri" w:cs="Calibri"/>
          <w:iCs/>
          <w:sz w:val="24"/>
          <w:szCs w:val="24"/>
          <w:lang w:eastAsia="cs-CZ"/>
        </w:rPr>
        <w:t xml:space="preserve">SFDI </w:t>
      </w:r>
      <w:r w:rsidRPr="007E14F9">
        <w:rPr>
          <w:rFonts w:ascii="Calibri" w:eastAsia="Times New Roman" w:hAnsi="Calibri" w:cs="Calibri"/>
          <w:sz w:val="24"/>
          <w:szCs w:val="24"/>
          <w:lang w:eastAsia="cs-CZ"/>
        </w:rPr>
        <w:t>k zajištění účelu vymezeného v ustanovení § 2 zákona č. 104/2000 Sb.</w:t>
      </w:r>
      <w:r w:rsidRPr="007E14F9">
        <w:rPr>
          <w:rFonts w:ascii="Calibri" w:eastAsia="Times New Roman" w:hAnsi="Calibri" w:cs="Calibri"/>
          <w:iCs/>
          <w:sz w:val="24"/>
          <w:szCs w:val="24"/>
          <w:lang w:eastAsia="cs-CZ"/>
        </w:rPr>
        <w:t xml:space="preserve"> a v souladu se </w:t>
      </w:r>
      <w:r w:rsidR="00BF76AB">
        <w:rPr>
          <w:rFonts w:ascii="Calibri" w:eastAsia="Times New Roman" w:hAnsi="Calibri" w:cs="Calibri"/>
          <w:iCs/>
          <w:sz w:val="24"/>
          <w:szCs w:val="24"/>
          <w:lang w:eastAsia="cs-CZ"/>
        </w:rPr>
        <w:t>s</w:t>
      </w:r>
      <w:r w:rsidRPr="007E14F9">
        <w:rPr>
          <w:rFonts w:ascii="Calibri" w:eastAsia="Times New Roman" w:hAnsi="Calibri" w:cs="Calibri"/>
          <w:iCs/>
          <w:sz w:val="24"/>
          <w:szCs w:val="24"/>
          <w:lang w:eastAsia="cs-CZ"/>
        </w:rPr>
        <w:t xml:space="preserve">tatutem SFDI vydal </w:t>
      </w:r>
      <w:r w:rsidRPr="007E14F9">
        <w:rPr>
          <w:rFonts w:ascii="Calibri" w:eastAsia="Times New Roman" w:hAnsi="Calibri" w:cs="Calibri"/>
          <w:i/>
          <w:iCs/>
          <w:sz w:val="24"/>
          <w:szCs w:val="24"/>
          <w:lang w:eastAsia="cs-CZ"/>
        </w:rPr>
        <w:t xml:space="preserve">Pravidla </w:t>
      </w:r>
      <w:r w:rsidRPr="007E14F9">
        <w:rPr>
          <w:rFonts w:ascii="Calibri" w:eastAsia="Times New Roman" w:hAnsi="Calibri" w:cs="Calibri"/>
          <w:i/>
          <w:sz w:val="24"/>
          <w:szCs w:val="24"/>
          <w:lang w:eastAsia="cs-CZ"/>
        </w:rPr>
        <w:t>pro financování programů, staveb a akcí z rozpočtu Státního fondu dopravní infrastruktury</w:t>
      </w:r>
      <w:r w:rsidRPr="007E14F9">
        <w:rPr>
          <w:rFonts w:ascii="Calibri" w:eastAsia="Times New Roman" w:hAnsi="Calibri" w:cs="Calibri"/>
          <w:sz w:val="24"/>
          <w:szCs w:val="24"/>
          <w:lang w:eastAsia="cs-CZ"/>
        </w:rPr>
        <w:t xml:space="preserve"> (dále také „Pravidla SFDI“), v nichž nastavil pro poskytovatele a příjemce </w:t>
      </w:r>
      <w:r w:rsidRPr="007E14F9">
        <w:rPr>
          <w:rFonts w:ascii="Calibri" w:eastAsia="Times New Roman" w:hAnsi="Calibri" w:cs="Calibri"/>
          <w:iCs/>
          <w:sz w:val="24"/>
          <w:szCs w:val="24"/>
          <w:lang w:eastAsia="cs-CZ"/>
        </w:rPr>
        <w:t xml:space="preserve">podmínky pro užití </w:t>
      </w:r>
      <w:r w:rsidRPr="007E14F9">
        <w:rPr>
          <w:rFonts w:ascii="Calibri" w:eastAsia="Times New Roman" w:hAnsi="Calibri" w:cs="Calibri"/>
          <w:sz w:val="24"/>
          <w:szCs w:val="24"/>
          <w:lang w:eastAsia="cs-CZ"/>
        </w:rPr>
        <w:t>finančních prostředků</w:t>
      </w:r>
      <w:r w:rsidRPr="007E14F9">
        <w:rPr>
          <w:rFonts w:ascii="Calibri" w:eastAsia="Times New Roman" w:hAnsi="Calibri" w:cs="Calibri"/>
          <w:iCs/>
          <w:sz w:val="24"/>
          <w:szCs w:val="24"/>
          <w:lang w:eastAsia="cs-CZ"/>
        </w:rPr>
        <w:t xml:space="preserve"> SFDI při dodržení zásad 3E</w:t>
      </w:r>
      <w:r w:rsidRPr="007E14F9">
        <w:rPr>
          <w:rFonts w:ascii="Calibri" w:hAnsi="Calibri" w:cs="Calibri"/>
          <w:sz w:val="24"/>
          <w:szCs w:val="24"/>
          <w:lang w:eastAsia="cs-CZ"/>
        </w:rPr>
        <w:t>.</w:t>
      </w:r>
    </w:p>
    <w:p w14:paraId="11E989FA" w14:textId="77777777" w:rsidR="007E14F9" w:rsidRPr="007E14F9" w:rsidRDefault="007E14F9" w:rsidP="007E14F9">
      <w:pPr>
        <w:tabs>
          <w:tab w:val="left" w:pos="3544"/>
        </w:tabs>
        <w:spacing w:after="0" w:line="240" w:lineRule="auto"/>
        <w:jc w:val="both"/>
        <w:rPr>
          <w:rFonts w:ascii="Calibri" w:eastAsia="Times New Roman" w:hAnsi="Calibri" w:cs="Calibri"/>
          <w:sz w:val="24"/>
          <w:szCs w:val="24"/>
          <w:lang w:eastAsia="cs-CZ"/>
        </w:rPr>
      </w:pPr>
    </w:p>
    <w:p w14:paraId="475EEC09" w14:textId="7A472688" w:rsidR="00393DDB" w:rsidRDefault="00393DDB" w:rsidP="007E14F9">
      <w:pPr>
        <w:tabs>
          <w:tab w:val="left" w:pos="3544"/>
        </w:tabs>
        <w:spacing w:after="0" w:line="240" w:lineRule="auto"/>
        <w:jc w:val="both"/>
        <w:rPr>
          <w:rFonts w:ascii="Calibri" w:hAnsi="Calibri" w:cs="Calibri"/>
          <w:sz w:val="24"/>
          <w:szCs w:val="24"/>
          <w:lang w:eastAsia="cs-CZ"/>
        </w:rPr>
      </w:pPr>
      <w:r w:rsidRPr="007E14F9">
        <w:rPr>
          <w:rFonts w:ascii="Calibri" w:eastAsia="Times New Roman" w:hAnsi="Calibri" w:cs="Calibri"/>
          <w:sz w:val="24"/>
          <w:szCs w:val="24"/>
          <w:lang w:eastAsia="cs-CZ"/>
        </w:rPr>
        <w:t xml:space="preserve">Pro roky 2015 a 2016 </w:t>
      </w:r>
      <w:r w:rsidRPr="007E14F9">
        <w:rPr>
          <w:rFonts w:ascii="Calibri" w:eastAsia="Arial" w:hAnsi="Calibri" w:cs="Calibri"/>
          <w:sz w:val="24"/>
          <w:szCs w:val="24"/>
          <w:lang w:eastAsia="cs-CZ"/>
        </w:rPr>
        <w:t>vydal SFDI dva metodické materiály,</w:t>
      </w:r>
      <w:r w:rsidR="00BF76AB">
        <w:rPr>
          <w:rFonts w:ascii="Calibri" w:eastAsia="Arial" w:hAnsi="Calibri" w:cs="Calibri"/>
          <w:sz w:val="24"/>
          <w:szCs w:val="24"/>
          <w:lang w:eastAsia="cs-CZ"/>
        </w:rPr>
        <w:t xml:space="preserve"> a to</w:t>
      </w:r>
      <w:r w:rsidRPr="007E14F9">
        <w:rPr>
          <w:rFonts w:ascii="Calibri" w:eastAsia="Arial" w:hAnsi="Calibri" w:cs="Calibri"/>
          <w:sz w:val="24"/>
          <w:szCs w:val="24"/>
          <w:lang w:eastAsia="cs-CZ"/>
        </w:rPr>
        <w:t xml:space="preserve"> </w:t>
      </w:r>
      <w:r w:rsidRPr="007E14F9">
        <w:rPr>
          <w:rFonts w:ascii="Calibri" w:eastAsia="Times New Roman" w:hAnsi="Calibri" w:cs="Calibri"/>
          <w:i/>
          <w:sz w:val="24"/>
          <w:szCs w:val="24"/>
          <w:lang w:eastAsia="cs-CZ"/>
        </w:rPr>
        <w:t>Metodický pokyn pro poskytování finančních prostředků z rozpočtu Státního fondu dopravní infrastruktury (dále jen SFDI) na financování silnic II. a III. třídy ve vlastnictví krajů v roce 2015</w:t>
      </w:r>
      <w:r w:rsidRPr="007E14F9">
        <w:rPr>
          <w:rFonts w:ascii="Calibri" w:eastAsia="Times New Roman" w:hAnsi="Calibri" w:cs="Calibri"/>
          <w:sz w:val="24"/>
          <w:szCs w:val="24"/>
          <w:lang w:eastAsia="cs-CZ"/>
        </w:rPr>
        <w:t xml:space="preserve"> </w:t>
      </w:r>
      <w:r w:rsidRPr="007E14F9">
        <w:rPr>
          <w:rFonts w:ascii="Calibri" w:eastAsia="Arial" w:hAnsi="Calibri" w:cs="Calibri"/>
          <w:sz w:val="24"/>
          <w:szCs w:val="24"/>
          <w:lang w:eastAsia="cs-CZ"/>
        </w:rPr>
        <w:t xml:space="preserve">a </w:t>
      </w:r>
      <w:r w:rsidRPr="007E14F9">
        <w:rPr>
          <w:rFonts w:ascii="Calibri" w:eastAsia="Arial" w:hAnsi="Calibri" w:cs="Calibri"/>
          <w:i/>
          <w:sz w:val="24"/>
          <w:szCs w:val="24"/>
          <w:lang w:eastAsia="cs-CZ"/>
        </w:rPr>
        <w:t>Pravidla pro poskytování finančních prostředků z rozpočtu Státního fondu dopravní infrastruktury (dále jen SFDI) na financování silnic II. a III. třídy ve vlastnictví krajů v roce 2016</w:t>
      </w:r>
      <w:r w:rsidRPr="007E14F9">
        <w:rPr>
          <w:rFonts w:ascii="Calibri" w:eastAsia="Arial" w:hAnsi="Calibri" w:cs="Calibri"/>
          <w:sz w:val="24"/>
          <w:szCs w:val="24"/>
          <w:lang w:eastAsia="cs-CZ"/>
        </w:rPr>
        <w:t xml:space="preserve">, ve kterých příjemcům stanovil povinnost dodržení zásad 3E při výběru akcí k financování z rozpočtu SFDI </w:t>
      </w:r>
      <w:r w:rsidRPr="007E14F9">
        <w:rPr>
          <w:rFonts w:ascii="Calibri" w:hAnsi="Calibri" w:cs="Calibri"/>
          <w:sz w:val="24"/>
          <w:szCs w:val="24"/>
          <w:lang w:eastAsia="cs-CZ"/>
        </w:rPr>
        <w:t>dle vnitřních pravidel příjemce, přičemž vymezil potřebné minimum k prokázání dodržení zásad 3E (např. odůvodnění výběru akce na základě schválené koncepce oprav, provedení diagnostiky, definovaní variantních řešení, ekonomické odůvodnění výběru konečného řešení s ohl</w:t>
      </w:r>
      <w:r w:rsidR="001673DE" w:rsidRPr="007E14F9">
        <w:rPr>
          <w:rFonts w:ascii="Calibri" w:hAnsi="Calibri" w:cs="Calibri"/>
          <w:sz w:val="24"/>
          <w:szCs w:val="24"/>
          <w:lang w:eastAsia="cs-CZ"/>
        </w:rPr>
        <w:t>edem na životní cyklus projektu</w:t>
      </w:r>
      <w:r w:rsidRPr="007E14F9">
        <w:rPr>
          <w:rFonts w:ascii="Calibri" w:hAnsi="Calibri" w:cs="Calibri"/>
          <w:sz w:val="24"/>
          <w:szCs w:val="24"/>
          <w:lang w:eastAsia="cs-CZ"/>
        </w:rPr>
        <w:t>).</w:t>
      </w:r>
      <w:r w:rsidRPr="007E14F9">
        <w:rPr>
          <w:rFonts w:ascii="Calibri" w:eastAsia="Times New Roman" w:hAnsi="Calibri" w:cs="Calibri"/>
          <w:sz w:val="24"/>
          <w:szCs w:val="24"/>
          <w:lang w:eastAsia="cs-CZ"/>
        </w:rPr>
        <w:t xml:space="preserve"> V pravidlech</w:t>
      </w:r>
      <w:r w:rsidR="00BF76AB">
        <w:rPr>
          <w:rFonts w:ascii="Calibri" w:eastAsia="Times New Roman" w:hAnsi="Calibri" w:cs="Calibri"/>
          <w:sz w:val="24"/>
          <w:szCs w:val="24"/>
          <w:lang w:eastAsia="cs-CZ"/>
        </w:rPr>
        <w:t xml:space="preserve"> </w:t>
      </w:r>
      <w:r w:rsidRPr="007E14F9">
        <w:rPr>
          <w:rFonts w:ascii="Calibri" w:eastAsia="Times New Roman" w:hAnsi="Calibri" w:cs="Calibri"/>
          <w:sz w:val="24"/>
          <w:szCs w:val="24"/>
          <w:lang w:eastAsia="cs-CZ"/>
        </w:rPr>
        <w:t>pro rok 2017 SFDI</w:t>
      </w:r>
      <w:r w:rsidRPr="007E14F9">
        <w:rPr>
          <w:rFonts w:ascii="Calibri" w:eastAsia="Times New Roman" w:hAnsi="Calibri" w:cs="Calibri"/>
          <w:i/>
          <w:iCs/>
          <w:sz w:val="24"/>
          <w:szCs w:val="24"/>
          <w:lang w:eastAsia="cs-CZ"/>
        </w:rPr>
        <w:t xml:space="preserve"> </w:t>
      </w:r>
      <w:r w:rsidRPr="007E14F9">
        <w:rPr>
          <w:rFonts w:ascii="Calibri" w:eastAsia="Times New Roman" w:hAnsi="Calibri" w:cs="Calibri"/>
          <w:iCs/>
          <w:sz w:val="24"/>
          <w:szCs w:val="24"/>
          <w:lang w:eastAsia="cs-CZ"/>
        </w:rPr>
        <w:t xml:space="preserve">nově zavedl </w:t>
      </w:r>
      <w:r w:rsidRPr="007E14F9">
        <w:rPr>
          <w:rFonts w:ascii="Calibri" w:hAnsi="Calibri" w:cs="Calibri"/>
          <w:sz w:val="24"/>
          <w:szCs w:val="24"/>
          <w:lang w:eastAsia="cs-CZ"/>
        </w:rPr>
        <w:t>povinný</w:t>
      </w:r>
      <w:r w:rsidR="00BF76AB">
        <w:rPr>
          <w:rFonts w:ascii="Calibri" w:hAnsi="Calibri" w:cs="Calibri"/>
          <w:sz w:val="24"/>
          <w:szCs w:val="24"/>
          <w:lang w:eastAsia="cs-CZ"/>
        </w:rPr>
        <w:t xml:space="preserve"> </w:t>
      </w:r>
      <w:r w:rsidRPr="007E14F9">
        <w:rPr>
          <w:rFonts w:ascii="Calibri" w:hAnsi="Calibri" w:cs="Calibri"/>
          <w:sz w:val="24"/>
          <w:szCs w:val="24"/>
          <w:lang w:eastAsia="cs-CZ"/>
        </w:rPr>
        <w:t xml:space="preserve">výběr akcí k financování z rozpočtu SFDI podle výsledků hodnocení </w:t>
      </w:r>
      <w:r w:rsidR="000C3CC7">
        <w:rPr>
          <w:rFonts w:ascii="Calibri" w:hAnsi="Calibri" w:cs="Calibri"/>
          <w:sz w:val="24"/>
          <w:szCs w:val="24"/>
          <w:lang w:eastAsia="cs-CZ"/>
        </w:rPr>
        <w:t>„s</w:t>
      </w:r>
      <w:r w:rsidRPr="000C3CC7">
        <w:rPr>
          <w:rFonts w:ascii="Calibri" w:hAnsi="Calibri" w:cs="Calibri"/>
          <w:sz w:val="24"/>
          <w:szCs w:val="24"/>
          <w:lang w:eastAsia="cs-CZ"/>
        </w:rPr>
        <w:t>ystémem hospodaření s vozovkou</w:t>
      </w:r>
      <w:r w:rsidR="000C3CC7">
        <w:rPr>
          <w:rFonts w:ascii="Calibri" w:hAnsi="Calibri" w:cs="Calibri"/>
          <w:sz w:val="24"/>
          <w:szCs w:val="24"/>
          <w:lang w:eastAsia="cs-CZ"/>
        </w:rPr>
        <w:t>“</w:t>
      </w:r>
      <w:r w:rsidRPr="007E14F9">
        <w:rPr>
          <w:rFonts w:ascii="Calibri" w:hAnsi="Calibri" w:cs="Calibri"/>
          <w:sz w:val="24"/>
          <w:szCs w:val="24"/>
          <w:vertAlign w:val="superscript"/>
          <w:lang w:eastAsia="cs-CZ"/>
        </w:rPr>
        <w:footnoteReference w:id="7"/>
      </w:r>
      <w:r w:rsidRPr="007E14F9">
        <w:rPr>
          <w:rFonts w:ascii="Calibri" w:hAnsi="Calibri" w:cs="Calibri"/>
          <w:sz w:val="24"/>
          <w:szCs w:val="24"/>
          <w:lang w:eastAsia="cs-CZ"/>
        </w:rPr>
        <w:t xml:space="preserve"> s cílem </w:t>
      </w:r>
      <w:r w:rsidR="00BF76AB">
        <w:rPr>
          <w:rFonts w:ascii="Calibri" w:hAnsi="Calibri" w:cs="Calibri"/>
          <w:sz w:val="24"/>
          <w:szCs w:val="24"/>
          <w:lang w:eastAsia="cs-CZ"/>
        </w:rPr>
        <w:t>zvýšit transparentnost</w:t>
      </w:r>
      <w:r w:rsidRPr="007E14F9">
        <w:rPr>
          <w:rFonts w:ascii="Calibri" w:hAnsi="Calibri" w:cs="Calibri"/>
          <w:sz w:val="24"/>
          <w:szCs w:val="24"/>
          <w:lang w:eastAsia="cs-CZ"/>
        </w:rPr>
        <w:t xml:space="preserve"> výběru akcí k financování a </w:t>
      </w:r>
      <w:r w:rsidR="00BF76AB">
        <w:rPr>
          <w:rFonts w:ascii="Calibri" w:hAnsi="Calibri" w:cs="Calibri"/>
          <w:sz w:val="24"/>
          <w:szCs w:val="24"/>
          <w:lang w:eastAsia="cs-CZ"/>
        </w:rPr>
        <w:t>zvýšit</w:t>
      </w:r>
      <w:r w:rsidR="00BF76AB" w:rsidRPr="007E14F9">
        <w:rPr>
          <w:rFonts w:ascii="Calibri" w:hAnsi="Calibri" w:cs="Calibri"/>
          <w:sz w:val="24"/>
          <w:szCs w:val="24"/>
          <w:lang w:eastAsia="cs-CZ"/>
        </w:rPr>
        <w:t xml:space="preserve"> </w:t>
      </w:r>
      <w:r w:rsidRPr="007E14F9">
        <w:rPr>
          <w:rFonts w:ascii="Calibri" w:hAnsi="Calibri" w:cs="Calibri"/>
          <w:sz w:val="24"/>
          <w:szCs w:val="24"/>
          <w:lang w:eastAsia="cs-CZ"/>
        </w:rPr>
        <w:t xml:space="preserve">hospodárnost a efektivnost poskytovaných finančních prostředků z rozpočtu SFDI. </w:t>
      </w:r>
    </w:p>
    <w:p w14:paraId="1F91FDE9" w14:textId="77777777" w:rsidR="007E14F9" w:rsidRPr="007E14F9" w:rsidRDefault="007E14F9" w:rsidP="007E14F9">
      <w:pPr>
        <w:tabs>
          <w:tab w:val="left" w:pos="3544"/>
        </w:tabs>
        <w:spacing w:after="0" w:line="240" w:lineRule="auto"/>
        <w:jc w:val="both"/>
        <w:rPr>
          <w:rFonts w:ascii="Calibri" w:hAnsi="Calibri" w:cs="Calibri"/>
          <w:sz w:val="24"/>
          <w:szCs w:val="24"/>
          <w:lang w:eastAsia="cs-CZ"/>
        </w:rPr>
      </w:pPr>
    </w:p>
    <w:p w14:paraId="3EC68D57" w14:textId="24085611"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1.1c Poskytování dotací s ohledem na 3E</w:t>
      </w:r>
    </w:p>
    <w:p w14:paraId="62291733" w14:textId="77777777" w:rsidR="007E14F9" w:rsidRDefault="007E14F9" w:rsidP="007E14F9">
      <w:pPr>
        <w:tabs>
          <w:tab w:val="left" w:pos="3544"/>
        </w:tabs>
        <w:spacing w:after="0" w:line="240" w:lineRule="auto"/>
        <w:jc w:val="both"/>
        <w:rPr>
          <w:rFonts w:ascii="Calibri" w:hAnsi="Calibri" w:cs="Calibri"/>
          <w:sz w:val="24"/>
          <w:szCs w:val="24"/>
        </w:rPr>
      </w:pPr>
    </w:p>
    <w:p w14:paraId="5D6BDC23" w14:textId="482CC25F" w:rsidR="00393DDB" w:rsidRPr="007E14F9" w:rsidRDefault="00393DDB" w:rsidP="007E14F9">
      <w:pPr>
        <w:tabs>
          <w:tab w:val="left" w:pos="3544"/>
        </w:tabs>
        <w:spacing w:after="0" w:line="240" w:lineRule="auto"/>
        <w:jc w:val="both"/>
        <w:rPr>
          <w:rFonts w:ascii="Calibri" w:hAnsi="Calibri" w:cs="Calibri"/>
          <w:sz w:val="24"/>
          <w:szCs w:val="24"/>
        </w:rPr>
      </w:pPr>
      <w:r w:rsidRPr="007E14F9">
        <w:rPr>
          <w:rFonts w:ascii="Calibri" w:hAnsi="Calibri" w:cs="Calibri"/>
          <w:sz w:val="24"/>
          <w:szCs w:val="24"/>
        </w:rPr>
        <w:t xml:space="preserve">SFDI poskytoval dotace příjemcům na základě </w:t>
      </w:r>
      <w:r w:rsidR="00BF76AB">
        <w:rPr>
          <w:rFonts w:ascii="Calibri" w:hAnsi="Calibri" w:cs="Calibri"/>
          <w:sz w:val="24"/>
          <w:szCs w:val="24"/>
        </w:rPr>
        <w:t>s</w:t>
      </w:r>
      <w:r w:rsidRPr="007E14F9">
        <w:rPr>
          <w:rFonts w:ascii="Calibri" w:hAnsi="Calibri" w:cs="Calibri"/>
          <w:sz w:val="24"/>
          <w:szCs w:val="24"/>
        </w:rPr>
        <w:t>mlouvy o poskytnutí finančních prostředků z rozpočtu SFDI na příslušný rok (dále také „Smlouva“). Podkladem pro uzavření Smlouvy byly žádosti příjemců v podobě rozpisů akcí, které předpokládali v daném roce za</w:t>
      </w:r>
      <w:r w:rsidR="00BF76AB">
        <w:rPr>
          <w:rFonts w:ascii="Calibri" w:hAnsi="Calibri" w:cs="Calibri"/>
          <w:sz w:val="24"/>
          <w:szCs w:val="24"/>
        </w:rPr>
        <w:t xml:space="preserve"> </w:t>
      </w:r>
      <w:r w:rsidRPr="007E14F9">
        <w:rPr>
          <w:rFonts w:ascii="Calibri" w:hAnsi="Calibri" w:cs="Calibri"/>
          <w:sz w:val="24"/>
          <w:szCs w:val="24"/>
        </w:rPr>
        <w:t xml:space="preserve">účasti spolufinancování z rozpočtu SFDI realizovat. Rozpisy akcí schvalovala </w:t>
      </w:r>
      <w:r w:rsidR="00BF76AB">
        <w:rPr>
          <w:rFonts w:ascii="Calibri" w:hAnsi="Calibri" w:cs="Calibri"/>
          <w:sz w:val="24"/>
          <w:szCs w:val="24"/>
        </w:rPr>
        <w:t>c</w:t>
      </w:r>
      <w:r w:rsidRPr="007E14F9">
        <w:rPr>
          <w:rFonts w:ascii="Calibri" w:hAnsi="Calibri" w:cs="Calibri"/>
          <w:sz w:val="24"/>
          <w:szCs w:val="24"/>
        </w:rPr>
        <w:t>entrální komise Ministerstva dopravy (dále také „CK MD“). Rozpisy obsahovaly u každé akce mj. měřitelné parametry (délku opravovaného úseku, výši a druh předpokládaných nákladů a termín realizace akce), k jejichž dodržení byli příjemci zavázáni. Rozpisy akcí dále obsahovaly čestné prohlášení statutárního zástupce příjemce, že při výběru akcí k realizaci bude dodržen princip 3E.</w:t>
      </w:r>
    </w:p>
    <w:p w14:paraId="0DE9180A" w14:textId="77777777" w:rsidR="007E14F9" w:rsidRDefault="007E14F9" w:rsidP="007E14F9">
      <w:pPr>
        <w:tabs>
          <w:tab w:val="left" w:pos="3544"/>
        </w:tabs>
        <w:autoSpaceDE w:val="0"/>
        <w:autoSpaceDN w:val="0"/>
        <w:adjustRightInd w:val="0"/>
        <w:spacing w:after="0" w:line="240" w:lineRule="auto"/>
        <w:jc w:val="both"/>
        <w:rPr>
          <w:rFonts w:ascii="Calibri" w:eastAsia="Times New Roman" w:hAnsi="Calibri" w:cs="Calibri"/>
          <w:sz w:val="24"/>
          <w:szCs w:val="24"/>
        </w:rPr>
      </w:pPr>
    </w:p>
    <w:p w14:paraId="424BEBA2" w14:textId="6D238369" w:rsidR="00393DDB" w:rsidRPr="007E14F9" w:rsidRDefault="00BF76AB" w:rsidP="007E14F9">
      <w:pPr>
        <w:tabs>
          <w:tab w:val="left" w:pos="3544"/>
        </w:tabs>
        <w:autoSpaceDE w:val="0"/>
        <w:autoSpaceDN w:val="0"/>
        <w:adjustRightInd w:val="0"/>
        <w:spacing w:after="0" w:line="240" w:lineRule="auto"/>
        <w:jc w:val="both"/>
        <w:rPr>
          <w:rFonts w:ascii="Calibri" w:eastAsia="Times New Roman" w:hAnsi="Calibri" w:cs="Calibri"/>
          <w:sz w:val="24"/>
          <w:szCs w:val="24"/>
        </w:rPr>
      </w:pPr>
      <w:r w:rsidRPr="007E14F9">
        <w:rPr>
          <w:rFonts w:ascii="Calibri" w:eastAsia="Times New Roman" w:hAnsi="Calibri" w:cs="Calibri"/>
          <w:sz w:val="24"/>
          <w:szCs w:val="24"/>
        </w:rPr>
        <w:t xml:space="preserve">SFDI </w:t>
      </w:r>
      <w:r>
        <w:rPr>
          <w:rFonts w:ascii="Calibri" w:eastAsia="Times New Roman" w:hAnsi="Calibri" w:cs="Calibri"/>
          <w:sz w:val="24"/>
          <w:szCs w:val="24"/>
        </w:rPr>
        <w:t>v</w:t>
      </w:r>
      <w:r w:rsidR="00393DDB" w:rsidRPr="007E14F9">
        <w:rPr>
          <w:rFonts w:ascii="Calibri" w:eastAsia="Times New Roman" w:hAnsi="Calibri" w:cs="Calibri"/>
          <w:sz w:val="24"/>
          <w:szCs w:val="24"/>
        </w:rPr>
        <w:t>e Smlouvě zavázal příjemce postupovat při přípravě a realizaci akcí dle Pravidel SFDI a stanovil jim některé další povinnosti, mj.:</w:t>
      </w:r>
    </w:p>
    <w:p w14:paraId="759B81EF" w14:textId="77777777" w:rsidR="00393DDB" w:rsidRPr="007E14F9" w:rsidRDefault="00393DDB" w:rsidP="00E574E9">
      <w:pPr>
        <w:numPr>
          <w:ilvl w:val="0"/>
          <w:numId w:val="27"/>
        </w:numPr>
        <w:tabs>
          <w:tab w:val="left" w:pos="3544"/>
        </w:tabs>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nakládat s finančními prostředky efektivně a hospodárně dle účelu jejich užití a s péčí řádného hospodáře;</w:t>
      </w:r>
    </w:p>
    <w:p w14:paraId="69D4B717" w14:textId="77777777" w:rsidR="00393DDB" w:rsidRPr="007E14F9" w:rsidRDefault="00393DDB" w:rsidP="00E574E9">
      <w:pPr>
        <w:numPr>
          <w:ilvl w:val="0"/>
          <w:numId w:val="27"/>
        </w:numPr>
        <w:tabs>
          <w:tab w:val="left" w:pos="1080"/>
          <w:tab w:val="left" w:pos="3544"/>
        </w:tabs>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 xml:space="preserve">oslovit při zadání veřejné zakázky malého rozsahu a u zjednodušeného podlimitního řízení minimálně pět kvalifikovaných dodavatelů; </w:t>
      </w:r>
    </w:p>
    <w:p w14:paraId="2080E492" w14:textId="77777777" w:rsidR="00393DDB" w:rsidRPr="007E14F9" w:rsidRDefault="00393DDB" w:rsidP="00E574E9">
      <w:pPr>
        <w:numPr>
          <w:ilvl w:val="0"/>
          <w:numId w:val="27"/>
        </w:numPr>
        <w:tabs>
          <w:tab w:val="left" w:pos="3544"/>
        </w:tabs>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zveřejnit u všech veřejných zakázek financovaných nebo spolufinancovaných z prostředků SFDI informace o zadané zakázce;</w:t>
      </w:r>
    </w:p>
    <w:p w14:paraId="0BCD6825" w14:textId="77777777" w:rsidR="00393DDB" w:rsidRPr="007E14F9" w:rsidRDefault="00393DDB" w:rsidP="00E574E9">
      <w:pPr>
        <w:numPr>
          <w:ilvl w:val="0"/>
          <w:numId w:val="27"/>
        </w:numPr>
        <w:tabs>
          <w:tab w:val="left" w:pos="3544"/>
        </w:tabs>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podílet se na úhradě nákladů a spoluúčast na financování doložit (v případě, že příjemce v příslušném roce financoval z vlastních zdrojů výdaje na silnicích II. a III. třídy ve výši minimálně odpovídající průměru vynaložených vlastních zdrojů na silnice II. a III. třídy v předchozích třech letech, nemusel povinnou spoluúčast prokazovat účetními doklady a akce byly ze strany SFDI financovány do výše 100 %).</w:t>
      </w:r>
    </w:p>
    <w:p w14:paraId="62210245" w14:textId="77777777" w:rsidR="007E14F9" w:rsidRDefault="007E14F9" w:rsidP="007E14F9">
      <w:pPr>
        <w:tabs>
          <w:tab w:val="left" w:pos="3544"/>
        </w:tabs>
        <w:spacing w:after="0" w:line="240" w:lineRule="auto"/>
        <w:jc w:val="both"/>
        <w:rPr>
          <w:rFonts w:ascii="Calibri" w:hAnsi="Calibri" w:cs="Calibri"/>
          <w:bCs/>
          <w:sz w:val="24"/>
          <w:szCs w:val="24"/>
        </w:rPr>
      </w:pPr>
    </w:p>
    <w:p w14:paraId="2760FF10" w14:textId="77777777" w:rsidR="00393DDB" w:rsidRDefault="00393DDB" w:rsidP="007E14F9">
      <w:pPr>
        <w:tabs>
          <w:tab w:val="left" w:pos="3544"/>
        </w:tabs>
        <w:spacing w:after="0" w:line="240" w:lineRule="auto"/>
        <w:jc w:val="both"/>
        <w:rPr>
          <w:rFonts w:ascii="Calibri" w:hAnsi="Calibri" w:cs="Calibri"/>
          <w:bCs/>
          <w:sz w:val="24"/>
          <w:szCs w:val="24"/>
        </w:rPr>
      </w:pPr>
      <w:r w:rsidRPr="007E14F9">
        <w:rPr>
          <w:rFonts w:ascii="Calibri" w:hAnsi="Calibri" w:cs="Calibri"/>
          <w:bCs/>
          <w:sz w:val="24"/>
          <w:szCs w:val="24"/>
        </w:rPr>
        <w:t xml:space="preserve">SFDI dále stanovil pravidla pro zúčtování a vypořádání finančních prostředků poskytnutých z rozpočtu SFDI a pro závěrečné vyhodnocení akce. </w:t>
      </w:r>
    </w:p>
    <w:p w14:paraId="4F25D52A" w14:textId="77777777" w:rsidR="007E14F9" w:rsidRPr="007E14F9" w:rsidRDefault="007E14F9" w:rsidP="007E14F9">
      <w:pPr>
        <w:tabs>
          <w:tab w:val="left" w:pos="3544"/>
        </w:tabs>
        <w:spacing w:after="0" w:line="240" w:lineRule="auto"/>
        <w:jc w:val="both"/>
        <w:rPr>
          <w:rFonts w:ascii="Calibri" w:hAnsi="Calibri" w:cs="Calibri"/>
          <w:bCs/>
          <w:sz w:val="24"/>
          <w:szCs w:val="24"/>
        </w:rPr>
      </w:pPr>
    </w:p>
    <w:p w14:paraId="796F899E" w14:textId="77777777" w:rsidR="00393DDB" w:rsidRPr="007E14F9" w:rsidRDefault="00393DDB" w:rsidP="007E14F9">
      <w:pPr>
        <w:tabs>
          <w:tab w:val="left" w:pos="3544"/>
        </w:tabs>
        <w:autoSpaceDE w:val="0"/>
        <w:autoSpaceDN w:val="0"/>
        <w:adjustRightInd w:val="0"/>
        <w:spacing w:after="0" w:line="240" w:lineRule="auto"/>
        <w:jc w:val="both"/>
        <w:rPr>
          <w:rFonts w:ascii="Calibri" w:eastAsia="Times New Roman" w:hAnsi="Calibri" w:cs="Calibri"/>
          <w:b/>
          <w:sz w:val="24"/>
          <w:szCs w:val="24"/>
        </w:rPr>
      </w:pPr>
      <w:r w:rsidRPr="007E14F9">
        <w:rPr>
          <w:rFonts w:ascii="Calibri" w:eastAsia="Times New Roman" w:hAnsi="Calibri" w:cs="Calibri"/>
          <w:b/>
          <w:sz w:val="24"/>
          <w:szCs w:val="24"/>
        </w:rPr>
        <w:t>Kontrolou bylo zjištěno, že:</w:t>
      </w:r>
    </w:p>
    <w:p w14:paraId="46FF58AD" w14:textId="77777777" w:rsidR="00393DDB" w:rsidRPr="007E14F9" w:rsidRDefault="00393DDB" w:rsidP="003D75C0">
      <w:pPr>
        <w:numPr>
          <w:ilvl w:val="0"/>
          <w:numId w:val="5"/>
        </w:numPr>
        <w:tabs>
          <w:tab w:val="left" w:pos="3544"/>
        </w:tabs>
        <w:autoSpaceDE w:val="0"/>
        <w:autoSpaceDN w:val="0"/>
        <w:adjustRightInd w:val="0"/>
        <w:spacing w:after="0" w:line="240" w:lineRule="auto"/>
        <w:ind w:left="284" w:hanging="284"/>
        <w:jc w:val="both"/>
        <w:rPr>
          <w:rFonts w:ascii="Calibri" w:eastAsia="Times New Roman" w:hAnsi="Calibri" w:cs="Calibri"/>
          <w:b/>
          <w:sz w:val="24"/>
          <w:szCs w:val="24"/>
          <w:lang w:eastAsia="cs-CZ"/>
        </w:rPr>
      </w:pPr>
      <w:r w:rsidRPr="007E14F9">
        <w:rPr>
          <w:rFonts w:ascii="Calibri" w:eastAsia="Times New Roman" w:hAnsi="Calibri" w:cs="Calibri"/>
          <w:b/>
          <w:sz w:val="24"/>
          <w:szCs w:val="24"/>
          <w:lang w:eastAsia="cs-CZ"/>
        </w:rPr>
        <w:t xml:space="preserve">SFDI neměl v roce 2015 v elektronické evidenci financování silnic krajů (aplikace MMA) nastaveny kontrolní mechanismy, které by zamezily příjemcům vykázání čerpání finančních prostředků z rozpočtu SFDI na úhradu nákladů jednotlivých akcí nad rámec nákladů schválených CK MD. </w:t>
      </w:r>
    </w:p>
    <w:p w14:paraId="4CF9BC70" w14:textId="33797862" w:rsidR="00393DDB" w:rsidRPr="007E14F9" w:rsidRDefault="00393DDB" w:rsidP="003D75C0">
      <w:pPr>
        <w:tabs>
          <w:tab w:val="left" w:pos="3544"/>
        </w:tabs>
        <w:autoSpaceDE w:val="0"/>
        <w:autoSpaceDN w:val="0"/>
        <w:adjustRightInd w:val="0"/>
        <w:spacing w:after="0" w:line="240" w:lineRule="auto"/>
        <w:ind w:left="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 xml:space="preserve">Tuto skutečnost SFDI </w:t>
      </w:r>
      <w:r w:rsidR="00736C62" w:rsidRPr="007E14F9">
        <w:rPr>
          <w:rFonts w:ascii="Calibri" w:eastAsia="Times New Roman" w:hAnsi="Calibri" w:cs="Calibri"/>
          <w:sz w:val="24"/>
          <w:szCs w:val="24"/>
          <w:lang w:eastAsia="cs-CZ"/>
        </w:rPr>
        <w:t>napravil</w:t>
      </w:r>
      <w:r w:rsidRPr="007E14F9">
        <w:rPr>
          <w:rFonts w:ascii="Calibri" w:eastAsia="Times New Roman" w:hAnsi="Calibri" w:cs="Calibri"/>
          <w:sz w:val="24"/>
          <w:szCs w:val="24"/>
          <w:lang w:eastAsia="cs-CZ"/>
        </w:rPr>
        <w:t xml:space="preserve"> v roce 2016 při kontrole čerpání finančních prostředků v rámci ZVA za rok 2015, kdy </w:t>
      </w:r>
      <w:r w:rsidR="00BF76AB" w:rsidRPr="007E14F9">
        <w:rPr>
          <w:rFonts w:ascii="Calibri" w:eastAsia="Times New Roman" w:hAnsi="Calibri" w:cs="Calibri"/>
          <w:sz w:val="24"/>
          <w:szCs w:val="24"/>
          <w:lang w:eastAsia="cs-CZ"/>
        </w:rPr>
        <w:t xml:space="preserve">bylo </w:t>
      </w:r>
      <w:r w:rsidRPr="007E14F9">
        <w:rPr>
          <w:rFonts w:ascii="Calibri" w:eastAsia="Times New Roman" w:hAnsi="Calibri" w:cs="Calibri"/>
          <w:sz w:val="24"/>
          <w:szCs w:val="24"/>
          <w:lang w:eastAsia="cs-CZ"/>
        </w:rPr>
        <w:t>u více příjemců zjištěno vykázání čerpání prostředků SFDI nad rámec schválených výdajů. Na základě výzvy SFDI vrátili příjemci tyto neoprávněně čerpané prostředky na účet SFDI.</w:t>
      </w:r>
    </w:p>
    <w:p w14:paraId="23BEFB7E" w14:textId="271EA3BF" w:rsidR="00393DDB" w:rsidRPr="007E14F9" w:rsidRDefault="00393DDB" w:rsidP="003D75C0">
      <w:pPr>
        <w:numPr>
          <w:ilvl w:val="0"/>
          <w:numId w:val="5"/>
        </w:numPr>
        <w:tabs>
          <w:tab w:val="left" w:pos="3544"/>
        </w:tabs>
        <w:spacing w:after="0" w:line="240" w:lineRule="auto"/>
        <w:ind w:left="284" w:hanging="284"/>
        <w:jc w:val="both"/>
        <w:rPr>
          <w:rFonts w:ascii="Calibri" w:eastAsia="Times New Roman" w:hAnsi="Calibri" w:cs="Calibri"/>
          <w:b/>
          <w:sz w:val="24"/>
          <w:szCs w:val="24"/>
          <w:lang w:eastAsia="cs-CZ"/>
        </w:rPr>
      </w:pPr>
      <w:r w:rsidRPr="007E14F9">
        <w:rPr>
          <w:rFonts w:ascii="Calibri" w:eastAsia="Times New Roman" w:hAnsi="Calibri" w:cs="Calibri"/>
          <w:b/>
          <w:sz w:val="24"/>
          <w:szCs w:val="24"/>
          <w:lang w:eastAsia="cs-CZ"/>
        </w:rPr>
        <w:t xml:space="preserve">SFDI stanovil ve </w:t>
      </w:r>
      <w:r w:rsidR="00BF76AB">
        <w:rPr>
          <w:rFonts w:ascii="Calibri" w:eastAsia="Times New Roman" w:hAnsi="Calibri" w:cs="Calibri"/>
          <w:b/>
          <w:sz w:val="24"/>
          <w:szCs w:val="24"/>
          <w:lang w:eastAsia="cs-CZ"/>
        </w:rPr>
        <w:t>s</w:t>
      </w:r>
      <w:r w:rsidRPr="007E14F9">
        <w:rPr>
          <w:rFonts w:ascii="Calibri" w:eastAsia="Times New Roman" w:hAnsi="Calibri" w:cs="Calibri"/>
          <w:b/>
          <w:sz w:val="24"/>
          <w:szCs w:val="24"/>
          <w:lang w:eastAsia="cs-CZ"/>
        </w:rPr>
        <w:t>mlouvách a v </w:t>
      </w:r>
      <w:r w:rsidR="00BF76AB">
        <w:rPr>
          <w:rFonts w:ascii="Calibri" w:eastAsia="Times New Roman" w:hAnsi="Calibri" w:cs="Calibri"/>
          <w:b/>
          <w:sz w:val="24"/>
          <w:szCs w:val="24"/>
          <w:lang w:eastAsia="cs-CZ"/>
        </w:rPr>
        <w:t>m</w:t>
      </w:r>
      <w:r w:rsidRPr="007E14F9">
        <w:rPr>
          <w:rFonts w:ascii="Calibri" w:eastAsia="Times New Roman" w:hAnsi="Calibri" w:cs="Calibri"/>
          <w:b/>
          <w:sz w:val="24"/>
          <w:szCs w:val="24"/>
          <w:lang w:eastAsia="cs-CZ"/>
        </w:rPr>
        <w:t>etodických pokynech k zúčtování a finančnímu vypořádání prostředků poskytnutých z rozpočtu SFDI rozdílný termín pro vrácení zálohově uvolněných finančních prostředků.</w:t>
      </w:r>
    </w:p>
    <w:p w14:paraId="70C2CC57" w14:textId="5D7C9FBD" w:rsidR="00393DDB" w:rsidRPr="007E14F9" w:rsidRDefault="00393DDB" w:rsidP="003D75C0">
      <w:pPr>
        <w:numPr>
          <w:ilvl w:val="0"/>
          <w:numId w:val="5"/>
        </w:numPr>
        <w:tabs>
          <w:tab w:val="left" w:pos="3544"/>
        </w:tabs>
        <w:spacing w:after="0" w:line="240" w:lineRule="auto"/>
        <w:ind w:left="284" w:hanging="284"/>
        <w:jc w:val="both"/>
        <w:rPr>
          <w:rFonts w:ascii="Calibri" w:eastAsia="Times New Roman" w:hAnsi="Calibri" w:cs="Calibri"/>
          <w:b/>
          <w:sz w:val="24"/>
          <w:szCs w:val="24"/>
          <w:lang w:eastAsia="cs-CZ"/>
        </w:rPr>
      </w:pPr>
      <w:r w:rsidRPr="007E14F9">
        <w:rPr>
          <w:rFonts w:ascii="Calibri" w:eastAsia="Times New Roman" w:hAnsi="Calibri" w:cs="Calibri"/>
          <w:b/>
          <w:sz w:val="24"/>
          <w:szCs w:val="24"/>
          <w:lang w:eastAsia="cs-CZ"/>
        </w:rPr>
        <w:t>zúčtování za rok 2015 od příjemců Jihočeský kraj, SÚS Pardubického kraje a SS Moravskoslezského kraje a za rok 2016 od příjemců Jihočeský kraj a SS Moravskoslezského kraje neobsahovala údaje ve struktuře stanovené v </w:t>
      </w:r>
      <w:r w:rsidR="000C3CC7">
        <w:rPr>
          <w:rFonts w:ascii="Calibri" w:eastAsia="Times New Roman" w:hAnsi="Calibri" w:cs="Calibri"/>
          <w:b/>
          <w:sz w:val="24"/>
          <w:szCs w:val="24"/>
          <w:lang w:eastAsia="cs-CZ"/>
        </w:rPr>
        <w:t>m</w:t>
      </w:r>
      <w:r w:rsidRPr="007E14F9">
        <w:rPr>
          <w:rFonts w:ascii="Calibri" w:eastAsia="Times New Roman" w:hAnsi="Calibri" w:cs="Calibri"/>
          <w:b/>
          <w:sz w:val="24"/>
          <w:szCs w:val="24"/>
          <w:lang w:eastAsia="cs-CZ"/>
        </w:rPr>
        <w:t>etodickém pokynu k zúčtování a finančnímu vypořádání, zejména údaje o vzniku a nakládání s</w:t>
      </w:r>
      <w:r w:rsidR="007E14F9">
        <w:rPr>
          <w:rFonts w:ascii="Calibri" w:eastAsia="Times New Roman" w:hAnsi="Calibri" w:cs="Calibri"/>
          <w:b/>
          <w:sz w:val="24"/>
          <w:szCs w:val="24"/>
          <w:lang w:eastAsia="cs-CZ"/>
        </w:rPr>
        <w:t> </w:t>
      </w:r>
      <w:proofErr w:type="spellStart"/>
      <w:r w:rsidRPr="007E14F9">
        <w:rPr>
          <w:rFonts w:ascii="Calibri" w:eastAsia="Times New Roman" w:hAnsi="Calibri" w:cs="Calibri"/>
          <w:b/>
          <w:sz w:val="24"/>
          <w:szCs w:val="24"/>
          <w:lang w:eastAsia="cs-CZ"/>
        </w:rPr>
        <w:t>výzisky</w:t>
      </w:r>
      <w:proofErr w:type="spellEnd"/>
      <w:r w:rsidRPr="007E14F9">
        <w:rPr>
          <w:rFonts w:ascii="Calibri" w:eastAsia="Times New Roman" w:hAnsi="Calibri" w:cs="Calibri"/>
          <w:b/>
          <w:sz w:val="24"/>
          <w:szCs w:val="24"/>
          <w:lang w:eastAsia="cs-CZ"/>
        </w:rPr>
        <w:t>. SFDI nevyzval uvedené příjemce k doplnění chybějících údajů.</w:t>
      </w:r>
    </w:p>
    <w:p w14:paraId="7C260EF4" w14:textId="77777777" w:rsidR="007E14F9" w:rsidRPr="007E14F9" w:rsidRDefault="007E14F9" w:rsidP="007E14F9">
      <w:pPr>
        <w:tabs>
          <w:tab w:val="left" w:pos="3544"/>
        </w:tabs>
        <w:spacing w:after="0" w:line="240" w:lineRule="auto"/>
        <w:rPr>
          <w:rFonts w:ascii="Calibri" w:hAnsi="Calibri" w:cs="Calibri"/>
          <w:sz w:val="24"/>
          <w:szCs w:val="24"/>
        </w:rPr>
      </w:pPr>
    </w:p>
    <w:p w14:paraId="5B188F77" w14:textId="24613EFA"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1.1d Kontrolní činnost SFDI</w:t>
      </w:r>
    </w:p>
    <w:p w14:paraId="5844A690" w14:textId="77777777" w:rsidR="007E14F9" w:rsidRDefault="007E14F9" w:rsidP="007E14F9">
      <w:pPr>
        <w:tabs>
          <w:tab w:val="left" w:pos="3544"/>
        </w:tabs>
        <w:autoSpaceDE w:val="0"/>
        <w:autoSpaceDN w:val="0"/>
        <w:adjustRightInd w:val="0"/>
        <w:spacing w:after="0" w:line="240" w:lineRule="auto"/>
        <w:jc w:val="both"/>
        <w:rPr>
          <w:rFonts w:ascii="Calibri" w:hAnsi="Calibri" w:cs="Calibri"/>
          <w:sz w:val="24"/>
          <w:szCs w:val="24"/>
        </w:rPr>
      </w:pPr>
    </w:p>
    <w:p w14:paraId="5CB6D673" w14:textId="77777777" w:rsidR="00393DDB" w:rsidRPr="007E14F9" w:rsidRDefault="00393DDB" w:rsidP="007E14F9">
      <w:pPr>
        <w:tabs>
          <w:tab w:val="left" w:pos="3544"/>
        </w:tabs>
        <w:autoSpaceDE w:val="0"/>
        <w:autoSpaceDN w:val="0"/>
        <w:adjustRightInd w:val="0"/>
        <w:spacing w:after="0" w:line="240" w:lineRule="auto"/>
        <w:jc w:val="both"/>
        <w:rPr>
          <w:rFonts w:ascii="Calibri" w:hAnsi="Calibri" w:cs="Calibri"/>
          <w:sz w:val="24"/>
          <w:szCs w:val="24"/>
        </w:rPr>
      </w:pPr>
      <w:r w:rsidRPr="007E14F9">
        <w:rPr>
          <w:rFonts w:ascii="Calibri" w:hAnsi="Calibri" w:cs="Calibri"/>
          <w:sz w:val="24"/>
          <w:szCs w:val="24"/>
        </w:rPr>
        <w:t>SFDI je oprávněn kontrolovat u příjemců finančních prostředků z rozpočt</w:t>
      </w:r>
      <w:r w:rsidR="00DD1B74" w:rsidRPr="007E14F9">
        <w:rPr>
          <w:rFonts w:ascii="Calibri" w:hAnsi="Calibri" w:cs="Calibri"/>
          <w:sz w:val="24"/>
          <w:szCs w:val="24"/>
        </w:rPr>
        <w:t>u SFDI jejich užití podle smluv</w:t>
      </w:r>
      <w:r w:rsidRPr="007E14F9">
        <w:rPr>
          <w:rFonts w:ascii="Calibri" w:hAnsi="Calibri" w:cs="Calibri"/>
          <w:sz w:val="24"/>
          <w:szCs w:val="24"/>
        </w:rPr>
        <w:t>. Na základě plánu kontrolní činnosti pro rok 2016 provedl SFDI celkem pět kontrol zaměřených na užití finančních prostředků poskytnutých SFDI na financování silnic krajů v roce 2015. Kontroly financování silnic krajů zařazené do plánu kontrolní činnosti na rok 2017 (dvě kontroly) nebyly k datu kontroly NKÚ ukončeny.</w:t>
      </w:r>
    </w:p>
    <w:p w14:paraId="6D4DE872" w14:textId="77777777" w:rsidR="007E14F9" w:rsidRDefault="007E14F9" w:rsidP="007E14F9">
      <w:pPr>
        <w:tabs>
          <w:tab w:val="left" w:pos="3544"/>
        </w:tabs>
        <w:spacing w:after="0" w:line="240" w:lineRule="auto"/>
        <w:jc w:val="both"/>
        <w:rPr>
          <w:rFonts w:ascii="Calibri" w:hAnsi="Calibri" w:cs="Calibri"/>
          <w:sz w:val="24"/>
          <w:szCs w:val="24"/>
        </w:rPr>
      </w:pPr>
    </w:p>
    <w:p w14:paraId="60DB421E" w14:textId="77777777" w:rsidR="00393DDB" w:rsidRDefault="00393DDB" w:rsidP="007E14F9">
      <w:pPr>
        <w:tabs>
          <w:tab w:val="left" w:pos="3544"/>
        </w:tabs>
        <w:spacing w:after="0" w:line="240" w:lineRule="auto"/>
        <w:jc w:val="both"/>
        <w:rPr>
          <w:rFonts w:ascii="Calibri" w:hAnsi="Calibri" w:cs="Calibri"/>
          <w:sz w:val="24"/>
          <w:szCs w:val="24"/>
        </w:rPr>
      </w:pPr>
      <w:r w:rsidRPr="007E14F9">
        <w:rPr>
          <w:rFonts w:ascii="Calibri" w:hAnsi="Calibri" w:cs="Calibri"/>
          <w:sz w:val="24"/>
          <w:szCs w:val="24"/>
        </w:rPr>
        <w:t>V rámci pěti kontrol (u pěti příjemců) provedených v roce 2016 zkontroloval SFDI celkem 21 akcí v celkové hodnotě 200 573 821,95 Kč, tj. 4,59 % z celkové hodnoty finančních prostředků čerpaných příjemci na financování silnic krajů v roce 2015.</w:t>
      </w:r>
    </w:p>
    <w:p w14:paraId="56845788" w14:textId="77777777" w:rsidR="007E14F9" w:rsidRPr="007E14F9" w:rsidRDefault="007E14F9" w:rsidP="007E14F9">
      <w:pPr>
        <w:tabs>
          <w:tab w:val="left" w:pos="3544"/>
        </w:tabs>
        <w:spacing w:after="0" w:line="240" w:lineRule="auto"/>
        <w:jc w:val="both"/>
        <w:rPr>
          <w:rFonts w:ascii="Calibri" w:hAnsi="Calibri" w:cs="Calibri"/>
          <w:sz w:val="24"/>
          <w:szCs w:val="24"/>
        </w:rPr>
      </w:pPr>
    </w:p>
    <w:p w14:paraId="2E1EE60E" w14:textId="54AF7AC9" w:rsidR="00393DDB" w:rsidRDefault="00393DDB" w:rsidP="007E14F9">
      <w:pPr>
        <w:tabs>
          <w:tab w:val="left" w:pos="3544"/>
        </w:tabs>
        <w:autoSpaceDE w:val="0"/>
        <w:autoSpaceDN w:val="0"/>
        <w:adjustRightInd w:val="0"/>
        <w:spacing w:after="0" w:line="240" w:lineRule="auto"/>
        <w:jc w:val="both"/>
        <w:rPr>
          <w:rFonts w:ascii="Calibri" w:hAnsi="Calibri" w:cs="Calibri"/>
          <w:bCs/>
          <w:sz w:val="24"/>
          <w:szCs w:val="24"/>
        </w:rPr>
      </w:pPr>
      <w:r w:rsidRPr="007E14F9">
        <w:rPr>
          <w:rFonts w:ascii="Calibri" w:hAnsi="Calibri" w:cs="Calibri"/>
          <w:sz w:val="24"/>
          <w:szCs w:val="24"/>
        </w:rPr>
        <w:t xml:space="preserve">SFDI kontrolami prověřoval hospodárné a efektivní užití finančních prostředků v souladu s účelem stanoveným ve Smlouvě a zda postupy při přípravě a realizaci akcí a užití finančních prostředků příjemce prováděl v souladu se Smlouvou, </w:t>
      </w:r>
      <w:r w:rsidR="00BF76AB">
        <w:rPr>
          <w:rFonts w:ascii="Calibri" w:hAnsi="Calibri" w:cs="Calibri"/>
          <w:sz w:val="24"/>
          <w:szCs w:val="24"/>
        </w:rPr>
        <w:t>m</w:t>
      </w:r>
      <w:r w:rsidRPr="007E14F9">
        <w:rPr>
          <w:rFonts w:ascii="Calibri" w:hAnsi="Calibri" w:cs="Calibri"/>
          <w:sz w:val="24"/>
          <w:szCs w:val="24"/>
        </w:rPr>
        <w:t xml:space="preserve">etodickými pokyny SFDI a právními předpisy. Z pěti kontrolovaných příjemců byly zjištěny nedostatky u dvou příjemců. U jednoho z nich </w:t>
      </w:r>
      <w:r w:rsidRPr="007E14F9">
        <w:rPr>
          <w:rFonts w:ascii="Calibri" w:hAnsi="Calibri" w:cs="Calibri"/>
          <w:bCs/>
          <w:sz w:val="24"/>
          <w:szCs w:val="24"/>
        </w:rPr>
        <w:t xml:space="preserve">(SS Moravskoslezského kraje) podal SFDI na Úřad pro ochranu hospodářské soutěže (dále také „ÚOHS“) podnět na prošetření možného porušení zákona o veřejných zakázkách – ÚOHS </w:t>
      </w:r>
      <w:r w:rsidR="002F06E3" w:rsidRPr="007E14F9">
        <w:rPr>
          <w:rFonts w:ascii="Calibri" w:hAnsi="Calibri" w:cs="Calibri"/>
          <w:bCs/>
          <w:sz w:val="24"/>
          <w:szCs w:val="24"/>
        </w:rPr>
        <w:t xml:space="preserve">však </w:t>
      </w:r>
      <w:r w:rsidRPr="007E14F9">
        <w:rPr>
          <w:rFonts w:ascii="Calibri" w:hAnsi="Calibri" w:cs="Calibri"/>
          <w:bCs/>
          <w:sz w:val="24"/>
          <w:szCs w:val="24"/>
        </w:rPr>
        <w:t xml:space="preserve">neshledal důvody k zahájení správního řízení. Druhému příjemci pak bylo uloženo vrátit neoprávněně čerpané prostředky v celkové výši 163 460,71 Kč na účet SFDI a zjednat </w:t>
      </w:r>
      <w:r w:rsidR="00131517" w:rsidRPr="007E14F9">
        <w:rPr>
          <w:rFonts w:ascii="Calibri" w:hAnsi="Calibri" w:cs="Calibri"/>
          <w:bCs/>
          <w:sz w:val="24"/>
          <w:szCs w:val="24"/>
        </w:rPr>
        <w:t>nápravu zjištěných nedostatků</w:t>
      </w:r>
      <w:r w:rsidRPr="007E14F9">
        <w:rPr>
          <w:rFonts w:ascii="Calibri" w:hAnsi="Calibri" w:cs="Calibri"/>
          <w:bCs/>
          <w:sz w:val="24"/>
          <w:szCs w:val="24"/>
        </w:rPr>
        <w:t>.</w:t>
      </w:r>
    </w:p>
    <w:p w14:paraId="726C8545" w14:textId="77777777" w:rsidR="007E14F9" w:rsidRPr="007E14F9" w:rsidRDefault="007E14F9" w:rsidP="007E14F9">
      <w:pPr>
        <w:tabs>
          <w:tab w:val="left" w:pos="3544"/>
        </w:tabs>
        <w:autoSpaceDE w:val="0"/>
        <w:autoSpaceDN w:val="0"/>
        <w:adjustRightInd w:val="0"/>
        <w:spacing w:after="0" w:line="240" w:lineRule="auto"/>
        <w:jc w:val="both"/>
        <w:rPr>
          <w:rFonts w:ascii="Calibri" w:hAnsi="Calibri" w:cs="Calibri"/>
          <w:bCs/>
          <w:sz w:val="24"/>
          <w:szCs w:val="24"/>
        </w:rPr>
      </w:pPr>
    </w:p>
    <w:p w14:paraId="48418E45" w14:textId="77777777" w:rsidR="00393DDB" w:rsidRDefault="00393DDB" w:rsidP="007E14F9">
      <w:pPr>
        <w:tabs>
          <w:tab w:val="left" w:pos="3544"/>
        </w:tabs>
        <w:spacing w:after="0" w:line="240" w:lineRule="auto"/>
        <w:jc w:val="both"/>
        <w:rPr>
          <w:rFonts w:ascii="Calibri" w:hAnsi="Calibri" w:cs="Calibri"/>
          <w:sz w:val="24"/>
          <w:szCs w:val="24"/>
        </w:rPr>
      </w:pPr>
      <w:r w:rsidRPr="007E14F9">
        <w:rPr>
          <w:rFonts w:ascii="Calibri" w:hAnsi="Calibri" w:cs="Calibri"/>
          <w:sz w:val="24"/>
          <w:szCs w:val="24"/>
        </w:rPr>
        <w:t>SFDI na vzorku akcí ověřoval rovněž odůvodnění výběru akcí pro financování z prostředků SFDI, zejména dodržení zásad 3E, správnost postupů v zadávacích řízeních a dodržování postupů příjemce podle vnitřních směrnic příjemce. Jedním z výsledků kontrolní činnosti SFDI bylo, že počínaje rokem 2017 stanovil příjemcům povinnost vycházet při výběru akcí spolufinancovaných z prostředků SFDI z výstupů systému hospodaření s vozovkou pro zvýšení průkaznosti dodržení zásad 3E.</w:t>
      </w:r>
    </w:p>
    <w:p w14:paraId="15FBBD9E" w14:textId="77777777" w:rsidR="007E14F9" w:rsidRPr="007E14F9" w:rsidRDefault="007E14F9" w:rsidP="007E14F9">
      <w:pPr>
        <w:tabs>
          <w:tab w:val="left" w:pos="3544"/>
        </w:tabs>
        <w:spacing w:after="0" w:line="240" w:lineRule="auto"/>
        <w:jc w:val="both"/>
        <w:rPr>
          <w:rFonts w:ascii="Calibri" w:hAnsi="Calibri" w:cs="Calibri"/>
          <w:sz w:val="24"/>
          <w:szCs w:val="24"/>
        </w:rPr>
      </w:pPr>
    </w:p>
    <w:p w14:paraId="75A613FD" w14:textId="462BB4BE"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1.1e Vyhodnocení předpokládaných přínosů</w:t>
      </w:r>
    </w:p>
    <w:p w14:paraId="7F59B696" w14:textId="77777777" w:rsidR="007E14F9" w:rsidRDefault="007E14F9" w:rsidP="007E14F9">
      <w:pPr>
        <w:tabs>
          <w:tab w:val="left" w:pos="3544"/>
        </w:tabs>
        <w:spacing w:after="0" w:line="240" w:lineRule="auto"/>
        <w:jc w:val="both"/>
        <w:rPr>
          <w:rFonts w:ascii="Calibri" w:eastAsia="Times New Roman" w:hAnsi="Calibri" w:cs="Calibri"/>
          <w:bCs/>
          <w:sz w:val="24"/>
          <w:szCs w:val="24"/>
          <w:lang w:eastAsia="cs-CZ"/>
        </w:rPr>
      </w:pPr>
    </w:p>
    <w:p w14:paraId="2FBE8511" w14:textId="77777777" w:rsidR="00393DDB" w:rsidRDefault="00393DDB" w:rsidP="007E14F9">
      <w:pPr>
        <w:tabs>
          <w:tab w:val="left" w:pos="3544"/>
        </w:tabs>
        <w:spacing w:after="0" w:line="240" w:lineRule="auto"/>
        <w:jc w:val="both"/>
        <w:rPr>
          <w:rFonts w:ascii="Calibri" w:eastAsia="Times New Roman" w:hAnsi="Calibri" w:cs="Calibri"/>
          <w:bCs/>
          <w:sz w:val="24"/>
          <w:szCs w:val="24"/>
          <w:lang w:eastAsia="cs-CZ"/>
        </w:rPr>
      </w:pPr>
      <w:r w:rsidRPr="007E14F9">
        <w:rPr>
          <w:rFonts w:ascii="Calibri" w:eastAsia="Times New Roman" w:hAnsi="Calibri" w:cs="Calibri"/>
          <w:bCs/>
          <w:sz w:val="24"/>
          <w:szCs w:val="24"/>
          <w:lang w:eastAsia="cs-CZ"/>
        </w:rPr>
        <w:t xml:space="preserve">SFDI prováděl vyhodnocení jednotlivých akcí v rámci ZVA a při hodnocení 3E se omezil na způsob výběru akcí příjemci. </w:t>
      </w:r>
      <w:r w:rsidRPr="007E14F9">
        <w:rPr>
          <w:rFonts w:ascii="Calibri" w:eastAsia="Times New Roman" w:hAnsi="Calibri" w:cs="Calibri"/>
          <w:b/>
          <w:bCs/>
          <w:sz w:val="24"/>
          <w:szCs w:val="24"/>
          <w:lang w:eastAsia="cs-CZ"/>
        </w:rPr>
        <w:t xml:space="preserve">Celkové přínosy akcí realizovaných v rámci financování </w:t>
      </w:r>
      <w:r w:rsidRPr="007E14F9">
        <w:rPr>
          <w:rFonts w:ascii="Calibri" w:eastAsia="Times New Roman" w:hAnsi="Calibri" w:cs="Calibri"/>
          <w:b/>
          <w:sz w:val="24"/>
          <w:szCs w:val="24"/>
          <w:lang w:eastAsia="cs-CZ"/>
        </w:rPr>
        <w:t xml:space="preserve">silnic </w:t>
      </w:r>
      <w:r w:rsidRPr="007E14F9">
        <w:rPr>
          <w:rFonts w:ascii="Calibri" w:eastAsia="Times New Roman" w:hAnsi="Calibri" w:cs="Calibri"/>
          <w:b/>
          <w:bCs/>
          <w:sz w:val="24"/>
          <w:szCs w:val="24"/>
          <w:lang w:eastAsia="cs-CZ"/>
        </w:rPr>
        <w:t>krajů SFDI nevyhodnocoval</w:t>
      </w:r>
      <w:r w:rsidRPr="007E14F9">
        <w:rPr>
          <w:rFonts w:ascii="Calibri" w:eastAsia="Times New Roman" w:hAnsi="Calibri" w:cs="Calibri"/>
          <w:bCs/>
          <w:sz w:val="24"/>
          <w:szCs w:val="24"/>
          <w:lang w:eastAsia="cs-CZ"/>
        </w:rPr>
        <w:t xml:space="preserve"> (např. procento rekonstruovaných silnic, návaznost na další infrastrukturu, </w:t>
      </w:r>
      <w:r w:rsidRPr="007E14F9">
        <w:rPr>
          <w:rFonts w:ascii="Calibri" w:eastAsia="Times New Roman" w:hAnsi="Calibri" w:cs="Calibri"/>
          <w:sz w:val="24"/>
          <w:szCs w:val="24"/>
          <w:lang w:eastAsia="cs-CZ"/>
        </w:rPr>
        <w:t>rozsah zlepšení kvality silnic II. a III. třídy</w:t>
      </w:r>
      <w:r w:rsidRPr="007E14F9">
        <w:rPr>
          <w:rFonts w:ascii="Calibri" w:eastAsia="Times New Roman" w:hAnsi="Calibri" w:cs="Calibri"/>
          <w:bCs/>
          <w:sz w:val="24"/>
          <w:szCs w:val="24"/>
          <w:lang w:eastAsia="cs-CZ"/>
        </w:rPr>
        <w:t xml:space="preserve">, </w:t>
      </w:r>
      <w:r w:rsidRPr="007E14F9">
        <w:rPr>
          <w:rFonts w:ascii="Calibri" w:eastAsia="Times New Roman" w:hAnsi="Calibri" w:cs="Calibri"/>
          <w:sz w:val="24"/>
          <w:szCs w:val="24"/>
          <w:lang w:eastAsia="cs-CZ"/>
        </w:rPr>
        <w:t>porovnání cen opravovaných úseků komunikací</w:t>
      </w:r>
      <w:r w:rsidRPr="007E14F9">
        <w:rPr>
          <w:rFonts w:ascii="Calibri" w:eastAsia="Times New Roman" w:hAnsi="Calibri" w:cs="Calibri"/>
          <w:bCs/>
          <w:sz w:val="24"/>
          <w:szCs w:val="24"/>
          <w:lang w:eastAsia="cs-CZ"/>
        </w:rPr>
        <w:t xml:space="preserve"> apod.).</w:t>
      </w:r>
    </w:p>
    <w:p w14:paraId="3B03984B" w14:textId="77777777" w:rsidR="007E14F9" w:rsidRPr="007E14F9" w:rsidRDefault="007E14F9" w:rsidP="007E14F9">
      <w:pPr>
        <w:tabs>
          <w:tab w:val="left" w:pos="3544"/>
        </w:tabs>
        <w:spacing w:after="0" w:line="240" w:lineRule="auto"/>
        <w:jc w:val="both"/>
        <w:rPr>
          <w:rFonts w:ascii="Calibri" w:eastAsia="Times New Roman" w:hAnsi="Calibri" w:cs="Calibri"/>
          <w:bCs/>
          <w:sz w:val="24"/>
          <w:szCs w:val="24"/>
          <w:lang w:eastAsia="cs-CZ"/>
        </w:rPr>
      </w:pPr>
    </w:p>
    <w:p w14:paraId="13F65B27" w14:textId="77777777" w:rsidR="00393DDB" w:rsidRDefault="00393DDB" w:rsidP="007E14F9">
      <w:pPr>
        <w:tabs>
          <w:tab w:val="left" w:pos="3544"/>
        </w:tabs>
        <w:spacing w:after="0" w:line="240" w:lineRule="auto"/>
        <w:rPr>
          <w:rFonts w:ascii="Calibri" w:eastAsia="Times New Roman" w:hAnsi="Calibri" w:cs="Calibri"/>
          <w:b/>
          <w:sz w:val="24"/>
          <w:szCs w:val="24"/>
        </w:rPr>
      </w:pPr>
      <w:r w:rsidRPr="007E14F9">
        <w:rPr>
          <w:rFonts w:ascii="Calibri" w:eastAsia="Times New Roman" w:hAnsi="Calibri" w:cs="Calibri"/>
          <w:b/>
          <w:sz w:val="24"/>
          <w:szCs w:val="24"/>
        </w:rPr>
        <w:t>1.2 RRJZ</w:t>
      </w:r>
    </w:p>
    <w:p w14:paraId="6D139BD7" w14:textId="77777777" w:rsidR="007E14F9" w:rsidRPr="007E14F9" w:rsidRDefault="007E14F9" w:rsidP="007E14F9">
      <w:pPr>
        <w:tabs>
          <w:tab w:val="left" w:pos="3544"/>
        </w:tabs>
        <w:spacing w:after="0" w:line="240" w:lineRule="auto"/>
        <w:rPr>
          <w:rFonts w:ascii="Calibri" w:eastAsia="Times New Roman" w:hAnsi="Calibri" w:cs="Calibri"/>
          <w:sz w:val="24"/>
          <w:szCs w:val="24"/>
        </w:rPr>
      </w:pPr>
    </w:p>
    <w:p w14:paraId="244E7B8C" w14:textId="42832ACE"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1.2a Posuzování projektů</w:t>
      </w:r>
    </w:p>
    <w:p w14:paraId="71E667D3" w14:textId="77777777" w:rsidR="007E14F9" w:rsidRDefault="007E14F9" w:rsidP="007E14F9">
      <w:pPr>
        <w:tabs>
          <w:tab w:val="left" w:pos="3544"/>
        </w:tabs>
        <w:spacing w:after="0" w:line="240" w:lineRule="auto"/>
        <w:jc w:val="both"/>
        <w:rPr>
          <w:rFonts w:ascii="Calibri" w:hAnsi="Calibri" w:cs="Calibri"/>
          <w:bCs/>
          <w:sz w:val="24"/>
          <w:szCs w:val="24"/>
        </w:rPr>
      </w:pPr>
    </w:p>
    <w:p w14:paraId="2F29EBCF" w14:textId="597261C8" w:rsidR="00393DDB" w:rsidRDefault="00393DDB" w:rsidP="007E14F9">
      <w:pPr>
        <w:tabs>
          <w:tab w:val="left" w:pos="3544"/>
        </w:tabs>
        <w:spacing w:after="0" w:line="240" w:lineRule="auto"/>
        <w:jc w:val="both"/>
        <w:rPr>
          <w:rFonts w:ascii="Calibri" w:hAnsi="Calibri" w:cs="Calibri"/>
          <w:bCs/>
          <w:sz w:val="24"/>
          <w:szCs w:val="24"/>
        </w:rPr>
      </w:pPr>
      <w:r w:rsidRPr="007E14F9">
        <w:rPr>
          <w:rFonts w:ascii="Calibri" w:hAnsi="Calibri" w:cs="Calibri"/>
          <w:bCs/>
          <w:sz w:val="24"/>
          <w:szCs w:val="24"/>
        </w:rPr>
        <w:t>RRJZ prováděla posuzování a hodnocení projektů ve</w:t>
      </w:r>
      <w:r w:rsidR="00A379BE">
        <w:rPr>
          <w:rFonts w:ascii="Calibri" w:hAnsi="Calibri" w:cs="Calibri"/>
          <w:bCs/>
          <w:sz w:val="24"/>
          <w:szCs w:val="24"/>
        </w:rPr>
        <w:t xml:space="preserve"> </w:t>
      </w:r>
      <w:r w:rsidRPr="007E14F9">
        <w:rPr>
          <w:rFonts w:ascii="Calibri" w:hAnsi="Calibri" w:cs="Calibri"/>
          <w:bCs/>
          <w:sz w:val="24"/>
          <w:szCs w:val="24"/>
        </w:rPr>
        <w:t xml:space="preserve">třech stupních. </w:t>
      </w:r>
      <w:r w:rsidRPr="007E14F9">
        <w:rPr>
          <w:rFonts w:ascii="Calibri" w:hAnsi="Calibri" w:cs="Calibri"/>
          <w:b/>
          <w:bCs/>
          <w:sz w:val="24"/>
          <w:szCs w:val="24"/>
        </w:rPr>
        <w:t>V prvním stupni</w:t>
      </w:r>
      <w:r w:rsidRPr="007E14F9">
        <w:rPr>
          <w:rFonts w:ascii="Calibri" w:hAnsi="Calibri" w:cs="Calibri"/>
          <w:bCs/>
          <w:sz w:val="24"/>
          <w:szCs w:val="24"/>
        </w:rPr>
        <w:t xml:space="preserve"> RRJZ hodnotila formální náležitosti projektu, při kterých posuzovala, zda žádost o podporu obsahuje veškeré požadované náležitosti stanovené metodikou. RRJZ dále hodnotila tzv. přijatelnost projektu, při které </w:t>
      </w:r>
      <w:r w:rsidR="00A379BE" w:rsidRPr="007E14F9">
        <w:rPr>
          <w:rFonts w:ascii="Calibri" w:hAnsi="Calibri" w:cs="Calibri"/>
          <w:bCs/>
          <w:sz w:val="24"/>
          <w:szCs w:val="24"/>
        </w:rPr>
        <w:t xml:space="preserve">zejména </w:t>
      </w:r>
      <w:r w:rsidRPr="007E14F9">
        <w:rPr>
          <w:rFonts w:ascii="Calibri" w:hAnsi="Calibri" w:cs="Calibri"/>
          <w:bCs/>
          <w:sz w:val="24"/>
          <w:szCs w:val="24"/>
        </w:rPr>
        <w:t>posuzovala</w:t>
      </w:r>
      <w:r w:rsidR="00A379BE">
        <w:rPr>
          <w:rFonts w:ascii="Calibri" w:hAnsi="Calibri" w:cs="Calibri"/>
          <w:bCs/>
          <w:sz w:val="24"/>
          <w:szCs w:val="24"/>
        </w:rPr>
        <w:t>,</w:t>
      </w:r>
      <w:r w:rsidRPr="007E14F9">
        <w:rPr>
          <w:rFonts w:ascii="Calibri" w:hAnsi="Calibri" w:cs="Calibri"/>
          <w:bCs/>
          <w:sz w:val="24"/>
          <w:szCs w:val="24"/>
        </w:rPr>
        <w:t xml:space="preserve"> zda je projekt v souladu s podmínkami ROP NUTS II Jihozápad, legislativou ČR a EU a dalšími podmínkami stanovenými metodikou. </w:t>
      </w:r>
      <w:r w:rsidRPr="007E14F9">
        <w:rPr>
          <w:rFonts w:ascii="Calibri" w:hAnsi="Calibri" w:cs="Calibri"/>
          <w:b/>
          <w:bCs/>
          <w:sz w:val="24"/>
          <w:szCs w:val="24"/>
        </w:rPr>
        <w:t>NKÚ ověřil, že kontrolované projekty obsahovaly veškeré požadované formální náležitosti a ve všech případech vyhověly kritériím přijatelnosti</w:t>
      </w:r>
      <w:r w:rsidRPr="007E14F9">
        <w:rPr>
          <w:rFonts w:ascii="Calibri" w:hAnsi="Calibri" w:cs="Calibri"/>
          <w:bCs/>
          <w:sz w:val="24"/>
          <w:szCs w:val="24"/>
        </w:rPr>
        <w:t>.</w:t>
      </w:r>
    </w:p>
    <w:p w14:paraId="76483C3D" w14:textId="77777777" w:rsidR="007E14F9" w:rsidRPr="007E14F9" w:rsidRDefault="007E14F9" w:rsidP="007E14F9">
      <w:pPr>
        <w:tabs>
          <w:tab w:val="left" w:pos="3544"/>
        </w:tabs>
        <w:spacing w:after="0" w:line="240" w:lineRule="auto"/>
        <w:jc w:val="both"/>
        <w:rPr>
          <w:rFonts w:ascii="Calibri" w:hAnsi="Calibri" w:cs="Calibri"/>
          <w:bCs/>
          <w:sz w:val="24"/>
          <w:szCs w:val="24"/>
        </w:rPr>
      </w:pPr>
    </w:p>
    <w:p w14:paraId="4C3BDA68" w14:textId="141E24EE" w:rsidR="007C099E" w:rsidRPr="007E14F9" w:rsidRDefault="00393DDB" w:rsidP="007E14F9">
      <w:pPr>
        <w:tabs>
          <w:tab w:val="left" w:pos="3544"/>
        </w:tabs>
        <w:spacing w:after="0" w:line="240" w:lineRule="auto"/>
        <w:jc w:val="both"/>
        <w:rPr>
          <w:rFonts w:ascii="Calibri" w:hAnsi="Calibri" w:cs="Calibri"/>
          <w:bCs/>
          <w:sz w:val="24"/>
          <w:szCs w:val="24"/>
        </w:rPr>
      </w:pPr>
      <w:r w:rsidRPr="007E14F9">
        <w:rPr>
          <w:rFonts w:ascii="Calibri" w:hAnsi="Calibri" w:cs="Calibri"/>
          <w:b/>
          <w:bCs/>
          <w:sz w:val="24"/>
          <w:szCs w:val="24"/>
        </w:rPr>
        <w:t>Ve</w:t>
      </w:r>
      <w:r w:rsidR="00A379BE">
        <w:rPr>
          <w:rFonts w:ascii="Calibri" w:hAnsi="Calibri" w:cs="Calibri"/>
          <w:b/>
          <w:bCs/>
          <w:sz w:val="24"/>
          <w:szCs w:val="24"/>
        </w:rPr>
        <w:t xml:space="preserve"> </w:t>
      </w:r>
      <w:r w:rsidRPr="007E14F9">
        <w:rPr>
          <w:rFonts w:ascii="Calibri" w:hAnsi="Calibri" w:cs="Calibri"/>
          <w:b/>
          <w:bCs/>
          <w:sz w:val="24"/>
          <w:szCs w:val="24"/>
        </w:rPr>
        <w:t>druhém stupni</w:t>
      </w:r>
      <w:r w:rsidRPr="007E14F9">
        <w:rPr>
          <w:rFonts w:ascii="Calibri" w:hAnsi="Calibri" w:cs="Calibri"/>
          <w:bCs/>
          <w:sz w:val="24"/>
          <w:szCs w:val="24"/>
        </w:rPr>
        <w:t xml:space="preserve"> RRJZ prováděla věcná hodnocení projektů. Věcné hodnocení bylo založeno na čtyř</w:t>
      </w:r>
      <w:r w:rsidR="00131517" w:rsidRPr="007E14F9">
        <w:rPr>
          <w:rFonts w:ascii="Calibri" w:hAnsi="Calibri" w:cs="Calibri"/>
          <w:bCs/>
          <w:sz w:val="24"/>
          <w:szCs w:val="24"/>
        </w:rPr>
        <w:t>ech</w:t>
      </w:r>
      <w:r w:rsidRPr="007E14F9">
        <w:rPr>
          <w:rFonts w:ascii="Calibri" w:hAnsi="Calibri" w:cs="Calibri"/>
          <w:bCs/>
          <w:sz w:val="24"/>
          <w:szCs w:val="24"/>
        </w:rPr>
        <w:t xml:space="preserve"> </w:t>
      </w:r>
      <w:r w:rsidR="00131517" w:rsidRPr="007E14F9">
        <w:rPr>
          <w:rFonts w:ascii="Calibri" w:hAnsi="Calibri" w:cs="Calibri"/>
          <w:bCs/>
          <w:sz w:val="24"/>
          <w:szCs w:val="24"/>
        </w:rPr>
        <w:t>kategoriích</w:t>
      </w:r>
      <w:r w:rsidRPr="007E14F9">
        <w:rPr>
          <w:rFonts w:ascii="Calibri" w:hAnsi="Calibri" w:cs="Calibri"/>
          <w:bCs/>
          <w:sz w:val="24"/>
          <w:szCs w:val="24"/>
        </w:rPr>
        <w:t xml:space="preserve"> kritérií</w:t>
      </w:r>
      <w:r w:rsidR="00131517" w:rsidRPr="007E14F9">
        <w:rPr>
          <w:rFonts w:ascii="Calibri" w:hAnsi="Calibri" w:cs="Calibri"/>
          <w:bCs/>
          <w:sz w:val="24"/>
          <w:szCs w:val="24"/>
        </w:rPr>
        <w:t>.</w:t>
      </w:r>
      <w:r w:rsidRPr="007E14F9">
        <w:rPr>
          <w:rFonts w:ascii="Calibri" w:hAnsi="Calibri" w:cs="Calibri"/>
          <w:bCs/>
          <w:sz w:val="24"/>
          <w:szCs w:val="24"/>
        </w:rPr>
        <w:t xml:space="preserve"> </w:t>
      </w:r>
      <w:r w:rsidR="00131517" w:rsidRPr="007E14F9">
        <w:rPr>
          <w:rFonts w:ascii="Calibri" w:hAnsi="Calibri" w:cs="Calibri"/>
          <w:bCs/>
          <w:sz w:val="24"/>
          <w:szCs w:val="24"/>
        </w:rPr>
        <w:t>RRJZ prověřovala</w:t>
      </w:r>
      <w:r w:rsidR="007C099E" w:rsidRPr="007E14F9">
        <w:rPr>
          <w:rFonts w:ascii="Calibri" w:hAnsi="Calibri" w:cs="Calibri"/>
          <w:bCs/>
          <w:sz w:val="24"/>
          <w:szCs w:val="24"/>
        </w:rPr>
        <w:t xml:space="preserve"> podstatné aspekty projektů,</w:t>
      </w:r>
      <w:r w:rsidRPr="007E14F9">
        <w:rPr>
          <w:rFonts w:ascii="Calibri" w:hAnsi="Calibri" w:cs="Calibri"/>
          <w:bCs/>
          <w:sz w:val="24"/>
          <w:szCs w:val="24"/>
        </w:rPr>
        <w:t xml:space="preserve"> </w:t>
      </w:r>
      <w:r w:rsidR="007C099E" w:rsidRPr="007E14F9">
        <w:rPr>
          <w:rFonts w:ascii="Calibri" w:hAnsi="Calibri" w:cs="Calibri"/>
          <w:bCs/>
          <w:sz w:val="24"/>
          <w:szCs w:val="24"/>
        </w:rPr>
        <w:t>t</w:t>
      </w:r>
      <w:r w:rsidRPr="007E14F9">
        <w:rPr>
          <w:rFonts w:ascii="Calibri" w:hAnsi="Calibri" w:cs="Calibri"/>
          <w:bCs/>
          <w:sz w:val="24"/>
          <w:szCs w:val="24"/>
        </w:rPr>
        <w:t>ěmi byly</w:t>
      </w:r>
      <w:r w:rsidR="007C099E" w:rsidRPr="007E14F9">
        <w:rPr>
          <w:rFonts w:ascii="Calibri" w:hAnsi="Calibri" w:cs="Calibri"/>
          <w:bCs/>
          <w:sz w:val="24"/>
          <w:szCs w:val="24"/>
        </w:rPr>
        <w:t>:</w:t>
      </w:r>
      <w:r w:rsidRPr="007E14F9">
        <w:rPr>
          <w:rFonts w:ascii="Calibri" w:hAnsi="Calibri" w:cs="Calibri"/>
          <w:bCs/>
          <w:sz w:val="24"/>
          <w:szCs w:val="24"/>
        </w:rPr>
        <w:t xml:space="preserve"> </w:t>
      </w:r>
    </w:p>
    <w:p w14:paraId="2F36B780" w14:textId="77777777" w:rsidR="00B2286A" w:rsidRPr="007E14F9" w:rsidRDefault="00393DDB" w:rsidP="00E574E9">
      <w:pPr>
        <w:pStyle w:val="Odstavecseseznamem"/>
        <w:numPr>
          <w:ilvl w:val="0"/>
          <w:numId w:val="26"/>
        </w:numPr>
        <w:tabs>
          <w:tab w:val="left" w:pos="3544"/>
        </w:tabs>
        <w:ind w:left="284" w:hanging="284"/>
        <w:jc w:val="both"/>
        <w:rPr>
          <w:rFonts w:ascii="Calibri" w:hAnsi="Calibri" w:cs="Calibri"/>
          <w:bCs/>
        </w:rPr>
      </w:pPr>
      <w:r w:rsidRPr="007E14F9">
        <w:rPr>
          <w:rFonts w:ascii="Calibri" w:hAnsi="Calibri" w:cs="Calibri"/>
          <w:bCs/>
        </w:rPr>
        <w:t xml:space="preserve">předkladatel </w:t>
      </w:r>
      <w:r w:rsidR="007C099E" w:rsidRPr="007E14F9">
        <w:rPr>
          <w:rFonts w:ascii="Calibri" w:hAnsi="Calibri" w:cs="Calibri"/>
          <w:bCs/>
        </w:rPr>
        <w:t xml:space="preserve">– </w:t>
      </w:r>
      <w:r w:rsidRPr="007E14F9">
        <w:rPr>
          <w:rFonts w:ascii="Calibri" w:hAnsi="Calibri" w:cs="Calibri"/>
          <w:bCs/>
        </w:rPr>
        <w:t>hodnoceno finanční zdraví žadatele, kompetence a zkušenost</w:t>
      </w:r>
      <w:r w:rsidR="007C099E" w:rsidRPr="007E14F9">
        <w:rPr>
          <w:rFonts w:ascii="Calibri" w:hAnsi="Calibri" w:cs="Calibri"/>
          <w:bCs/>
        </w:rPr>
        <w:t>i, formální zpracování projektu</w:t>
      </w:r>
      <w:r w:rsidRPr="007E14F9">
        <w:rPr>
          <w:rFonts w:ascii="Calibri" w:hAnsi="Calibri" w:cs="Calibri"/>
          <w:bCs/>
        </w:rPr>
        <w:t xml:space="preserve">, </w:t>
      </w:r>
    </w:p>
    <w:p w14:paraId="612A7CAB" w14:textId="77777777" w:rsidR="007C099E" w:rsidRPr="007E14F9" w:rsidRDefault="00393DDB" w:rsidP="00E574E9">
      <w:pPr>
        <w:pStyle w:val="Odstavecseseznamem"/>
        <w:numPr>
          <w:ilvl w:val="0"/>
          <w:numId w:val="26"/>
        </w:numPr>
        <w:tabs>
          <w:tab w:val="left" w:pos="3544"/>
        </w:tabs>
        <w:ind w:left="284" w:hanging="284"/>
        <w:jc w:val="both"/>
        <w:rPr>
          <w:rFonts w:ascii="Calibri" w:hAnsi="Calibri" w:cs="Calibri"/>
          <w:bCs/>
        </w:rPr>
      </w:pPr>
      <w:r w:rsidRPr="007E14F9">
        <w:rPr>
          <w:rFonts w:ascii="Calibri" w:hAnsi="Calibri" w:cs="Calibri"/>
          <w:bCs/>
        </w:rPr>
        <w:t xml:space="preserve">kvalita projektu </w:t>
      </w:r>
      <w:r w:rsidR="007C099E" w:rsidRPr="007E14F9">
        <w:rPr>
          <w:rFonts w:ascii="Calibri" w:hAnsi="Calibri" w:cs="Calibri"/>
          <w:bCs/>
        </w:rPr>
        <w:t xml:space="preserve">– </w:t>
      </w:r>
      <w:r w:rsidRPr="007E14F9">
        <w:rPr>
          <w:rFonts w:ascii="Calibri" w:hAnsi="Calibri" w:cs="Calibri"/>
          <w:bCs/>
        </w:rPr>
        <w:t xml:space="preserve">hodnocena realizovatelnost projektu, věcný a technický popis projektu, udržitelnost a řízení rizik, </w:t>
      </w:r>
    </w:p>
    <w:p w14:paraId="35FD9DCA" w14:textId="70B85105" w:rsidR="007C099E" w:rsidRPr="007E14F9" w:rsidRDefault="00393DDB" w:rsidP="00E574E9">
      <w:pPr>
        <w:pStyle w:val="Odstavecseseznamem"/>
        <w:numPr>
          <w:ilvl w:val="0"/>
          <w:numId w:val="26"/>
        </w:numPr>
        <w:tabs>
          <w:tab w:val="left" w:pos="3544"/>
        </w:tabs>
        <w:ind w:left="284" w:hanging="284"/>
        <w:jc w:val="both"/>
        <w:rPr>
          <w:rFonts w:ascii="Calibri" w:hAnsi="Calibri" w:cs="Calibri"/>
          <w:bCs/>
        </w:rPr>
      </w:pPr>
      <w:r w:rsidRPr="007E14F9">
        <w:rPr>
          <w:rFonts w:ascii="Calibri" w:hAnsi="Calibri" w:cs="Calibri"/>
          <w:bCs/>
        </w:rPr>
        <w:t>význam projektu</w:t>
      </w:r>
      <w:r w:rsidR="007C099E" w:rsidRPr="007E14F9">
        <w:rPr>
          <w:rFonts w:ascii="Calibri" w:hAnsi="Calibri" w:cs="Calibri"/>
          <w:bCs/>
        </w:rPr>
        <w:t xml:space="preserve"> –</w:t>
      </w:r>
      <w:r w:rsidRPr="007E14F9">
        <w:rPr>
          <w:rFonts w:ascii="Calibri" w:hAnsi="Calibri" w:cs="Calibri"/>
          <w:bCs/>
        </w:rPr>
        <w:t xml:space="preserve"> hodnoceno naplňování závazných indikátorů programu, soulad projektu s rozvojovými dokumenty, specifika území, výsledky projektu</w:t>
      </w:r>
      <w:r w:rsidR="00A379BE">
        <w:rPr>
          <w:rFonts w:ascii="Calibri" w:hAnsi="Calibri" w:cs="Calibri"/>
          <w:bCs/>
        </w:rPr>
        <w:t>,</w:t>
      </w:r>
      <w:r w:rsidRPr="007E14F9">
        <w:rPr>
          <w:rFonts w:ascii="Calibri" w:hAnsi="Calibri" w:cs="Calibri"/>
          <w:bCs/>
        </w:rPr>
        <w:t xml:space="preserve"> </w:t>
      </w:r>
    </w:p>
    <w:p w14:paraId="5D9B16E9" w14:textId="77777777" w:rsidR="007C099E" w:rsidRPr="007E14F9" w:rsidRDefault="00393DDB" w:rsidP="00E574E9">
      <w:pPr>
        <w:pStyle w:val="Odstavecseseznamem"/>
        <w:numPr>
          <w:ilvl w:val="0"/>
          <w:numId w:val="26"/>
        </w:numPr>
        <w:tabs>
          <w:tab w:val="left" w:pos="3544"/>
        </w:tabs>
        <w:ind w:left="284" w:hanging="284"/>
        <w:jc w:val="both"/>
        <w:rPr>
          <w:rFonts w:ascii="Calibri" w:hAnsi="Calibri" w:cs="Calibri"/>
          <w:bCs/>
        </w:rPr>
      </w:pPr>
      <w:r w:rsidRPr="007E14F9">
        <w:rPr>
          <w:rFonts w:ascii="Calibri" w:hAnsi="Calibri" w:cs="Calibri"/>
          <w:bCs/>
        </w:rPr>
        <w:t xml:space="preserve">horizontální kritéria </w:t>
      </w:r>
      <w:r w:rsidR="007C099E" w:rsidRPr="007E14F9">
        <w:rPr>
          <w:rFonts w:ascii="Calibri" w:hAnsi="Calibri" w:cs="Calibri"/>
          <w:bCs/>
        </w:rPr>
        <w:t xml:space="preserve">– </w:t>
      </w:r>
      <w:r w:rsidRPr="007E14F9">
        <w:rPr>
          <w:rFonts w:ascii="Calibri" w:hAnsi="Calibri" w:cs="Calibri"/>
          <w:bCs/>
        </w:rPr>
        <w:t xml:space="preserve">hodnocen udržitelný rozvoj, rovné příležitosti. </w:t>
      </w:r>
    </w:p>
    <w:p w14:paraId="21CAE241" w14:textId="77777777" w:rsidR="007E14F9" w:rsidRDefault="007E14F9" w:rsidP="007E14F9">
      <w:pPr>
        <w:tabs>
          <w:tab w:val="left" w:pos="3544"/>
        </w:tabs>
        <w:spacing w:after="0" w:line="240" w:lineRule="auto"/>
        <w:jc w:val="both"/>
        <w:rPr>
          <w:rFonts w:ascii="Calibri" w:hAnsi="Calibri" w:cs="Calibri"/>
          <w:bCs/>
          <w:sz w:val="24"/>
          <w:szCs w:val="24"/>
        </w:rPr>
      </w:pPr>
    </w:p>
    <w:p w14:paraId="7F56A9E2" w14:textId="77777777" w:rsidR="00393DDB" w:rsidRDefault="00393DDB" w:rsidP="007E14F9">
      <w:pPr>
        <w:tabs>
          <w:tab w:val="left" w:pos="3544"/>
        </w:tabs>
        <w:spacing w:after="0" w:line="240" w:lineRule="auto"/>
        <w:jc w:val="both"/>
        <w:rPr>
          <w:rFonts w:ascii="Calibri" w:hAnsi="Calibri" w:cs="Calibri"/>
          <w:bCs/>
          <w:sz w:val="24"/>
          <w:szCs w:val="24"/>
        </w:rPr>
      </w:pPr>
      <w:r w:rsidRPr="007E14F9">
        <w:rPr>
          <w:rFonts w:ascii="Calibri" w:hAnsi="Calibri" w:cs="Calibri"/>
          <w:bCs/>
          <w:sz w:val="24"/>
          <w:szCs w:val="24"/>
        </w:rPr>
        <w:t>Věcné posouzení projektů bylo provedeno dvěma nezávislými hodnotiteli podle předem schválených výběrových kritérií.</w:t>
      </w:r>
    </w:p>
    <w:p w14:paraId="3AC02DE0" w14:textId="77777777" w:rsidR="007E14F9" w:rsidRPr="007E14F9" w:rsidRDefault="007E14F9" w:rsidP="007E14F9">
      <w:pPr>
        <w:tabs>
          <w:tab w:val="left" w:pos="3544"/>
        </w:tabs>
        <w:spacing w:after="0" w:line="240" w:lineRule="auto"/>
        <w:jc w:val="both"/>
        <w:rPr>
          <w:rFonts w:ascii="Calibri" w:hAnsi="Calibri" w:cs="Calibri"/>
          <w:bCs/>
          <w:sz w:val="24"/>
          <w:szCs w:val="24"/>
        </w:rPr>
      </w:pPr>
    </w:p>
    <w:p w14:paraId="79ACBE11" w14:textId="34E92CCC" w:rsidR="00B2286A"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sz w:val="24"/>
          <w:szCs w:val="24"/>
        </w:rPr>
        <w:t>NKÚ nezjistil nedostatky při ověřování opodstatněnosti a věcné správnosti při přidělování bodů v rámci jednotlivých kritérií věcného hodnocení projektů.</w:t>
      </w:r>
      <w:r w:rsidRPr="007E14F9">
        <w:rPr>
          <w:rFonts w:ascii="Calibri" w:hAnsi="Calibri" w:cs="Calibri"/>
          <w:b/>
          <w:bCs/>
          <w:iCs/>
          <w:sz w:val="24"/>
          <w:szCs w:val="24"/>
        </w:rPr>
        <w:t xml:space="preserve"> Kontrola NKÚ ověřila, že výběr projektů k financování provedl </w:t>
      </w:r>
      <w:r w:rsidR="00563345">
        <w:rPr>
          <w:rFonts w:ascii="Calibri" w:hAnsi="Calibri" w:cs="Calibri"/>
          <w:b/>
          <w:bCs/>
          <w:iCs/>
          <w:sz w:val="24"/>
          <w:szCs w:val="24"/>
        </w:rPr>
        <w:t>v</w:t>
      </w:r>
      <w:r w:rsidRPr="007E14F9">
        <w:rPr>
          <w:rFonts w:ascii="Calibri" w:hAnsi="Calibri" w:cs="Calibri"/>
          <w:b/>
          <w:bCs/>
          <w:iCs/>
          <w:sz w:val="24"/>
          <w:szCs w:val="24"/>
        </w:rPr>
        <w:t>ýbor RRJZ podle předloženého seznamu a podle stanoveného bodového hodnocení jednotlivých projektů</w:t>
      </w:r>
      <w:r w:rsidRPr="00E574E9">
        <w:rPr>
          <w:rFonts w:ascii="Calibri" w:hAnsi="Calibri" w:cs="Calibri"/>
          <w:b/>
          <w:bCs/>
          <w:iCs/>
          <w:sz w:val="24"/>
          <w:szCs w:val="24"/>
        </w:rPr>
        <w:t>.</w:t>
      </w:r>
    </w:p>
    <w:p w14:paraId="73048E41"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10D24C07" w14:textId="77777777" w:rsidR="00B2286A" w:rsidRDefault="00393DDB" w:rsidP="007E14F9">
      <w:pPr>
        <w:tabs>
          <w:tab w:val="left" w:pos="3544"/>
        </w:tabs>
        <w:spacing w:after="0" w:line="240" w:lineRule="auto"/>
        <w:jc w:val="both"/>
        <w:rPr>
          <w:rFonts w:ascii="Calibri" w:hAnsi="Calibri" w:cs="Calibri"/>
          <w:bCs/>
          <w:sz w:val="24"/>
          <w:szCs w:val="24"/>
        </w:rPr>
      </w:pPr>
      <w:r w:rsidRPr="007E14F9">
        <w:rPr>
          <w:rFonts w:ascii="Calibri" w:hAnsi="Calibri" w:cs="Calibri"/>
          <w:b/>
          <w:bCs/>
          <w:sz w:val="24"/>
          <w:szCs w:val="24"/>
        </w:rPr>
        <w:t>Třetím stupněm</w:t>
      </w:r>
      <w:r w:rsidRPr="007E14F9">
        <w:rPr>
          <w:rFonts w:ascii="Calibri" w:hAnsi="Calibri" w:cs="Calibri"/>
          <w:bCs/>
          <w:sz w:val="24"/>
          <w:szCs w:val="24"/>
        </w:rPr>
        <w:t xml:space="preserve"> hodnocení byla prováděná analýza rizik projektů. V rámci kritérií pro hodnocení rizik RRJZ sledovala především uskutečněná výběrová řízení, rizikovost projektů, typ a zkušenosti žadatele. V případě nepříznivého výsledku analýzy rizik prováděla RRJZ fyzické kontroly případně byly projekty podrobeny zvýšené kontrole. Všechny kontrolované projekty byly po provedené analýze rizik doporučeny k financování. </w:t>
      </w:r>
    </w:p>
    <w:p w14:paraId="6EBB581F" w14:textId="77777777" w:rsidR="007E14F9" w:rsidRPr="007E14F9" w:rsidRDefault="007E14F9" w:rsidP="007E14F9">
      <w:pPr>
        <w:tabs>
          <w:tab w:val="left" w:pos="3544"/>
        </w:tabs>
        <w:spacing w:after="0" w:line="240" w:lineRule="auto"/>
        <w:jc w:val="both"/>
        <w:rPr>
          <w:rFonts w:ascii="Calibri" w:hAnsi="Calibri" w:cs="Calibri"/>
          <w:bCs/>
          <w:sz w:val="24"/>
          <w:szCs w:val="24"/>
        </w:rPr>
      </w:pPr>
    </w:p>
    <w:p w14:paraId="24308437" w14:textId="77777777"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sz w:val="24"/>
          <w:szCs w:val="24"/>
        </w:rPr>
        <w:t>NKÚ nezjistil při provádění analýz rizik nedostatky.</w:t>
      </w:r>
      <w:r w:rsidR="00B2286A" w:rsidRPr="007E14F9">
        <w:rPr>
          <w:rFonts w:ascii="Calibri" w:hAnsi="Calibri" w:cs="Calibri"/>
          <w:b/>
          <w:bCs/>
          <w:sz w:val="24"/>
          <w:szCs w:val="24"/>
        </w:rPr>
        <w:t xml:space="preserve"> </w:t>
      </w:r>
      <w:r w:rsidRPr="007E14F9">
        <w:rPr>
          <w:rFonts w:ascii="Calibri" w:hAnsi="Calibri" w:cs="Calibri"/>
          <w:b/>
          <w:bCs/>
          <w:iCs/>
          <w:sz w:val="24"/>
          <w:szCs w:val="24"/>
        </w:rPr>
        <w:t>V procesu posuzování a schvalování projektů NKÚ nezjistil nedostatky</w:t>
      </w:r>
      <w:r w:rsidRPr="00E574E9">
        <w:rPr>
          <w:rFonts w:ascii="Calibri" w:hAnsi="Calibri" w:cs="Calibri"/>
          <w:b/>
          <w:bCs/>
          <w:iCs/>
          <w:sz w:val="24"/>
          <w:szCs w:val="24"/>
        </w:rPr>
        <w:t>.</w:t>
      </w:r>
    </w:p>
    <w:p w14:paraId="744CFBA2"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485E64E5" w14:textId="113F6D28"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1.2b Smluvní zajištění dotací s ohledem na 3E</w:t>
      </w:r>
    </w:p>
    <w:p w14:paraId="68518685" w14:textId="77777777" w:rsidR="007E14F9" w:rsidRDefault="007E14F9" w:rsidP="007E14F9">
      <w:pPr>
        <w:tabs>
          <w:tab w:val="left" w:pos="3544"/>
        </w:tabs>
        <w:spacing w:after="0" w:line="240" w:lineRule="auto"/>
        <w:jc w:val="both"/>
        <w:rPr>
          <w:rFonts w:ascii="Calibri" w:hAnsi="Calibri" w:cs="Calibri"/>
          <w:bCs/>
          <w:iCs/>
          <w:sz w:val="24"/>
          <w:szCs w:val="24"/>
        </w:rPr>
      </w:pPr>
    </w:p>
    <w:p w14:paraId="1AA29AA6" w14:textId="3A6D94E5"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Cs/>
          <w:iCs/>
          <w:sz w:val="24"/>
          <w:szCs w:val="24"/>
        </w:rPr>
        <w:t>RRJZ uzavírala s příjemci podpory smlouvy o podmínkách poskytnutí dotace, které obsahovaly podrobná pravidla poskytování a čerpání peněžních prostředků. Smlouva stanovila hlavní cíl projektu, závazný rozpočet projektu, harmonogram projektu a monitorovací ukazatel. Smlouva stanovila, že dotace bude příjemci poskytnuta na základě skutečně vynaložených, odůvodněných a řádně prokázaných způsobilých výdajů. RRJZ ve smlouvě zavázala příjemce k dodržení pravidel pro zadávání veřejných zakázek, a to odkazem na zákon č. 137/2006 Sb.</w:t>
      </w:r>
      <w:r w:rsidR="00162FB4" w:rsidRPr="007E14F9">
        <w:rPr>
          <w:rStyle w:val="Znakapoznpodarou"/>
          <w:rFonts w:ascii="Calibri" w:hAnsi="Calibri" w:cs="Calibri"/>
          <w:bCs/>
          <w:iCs/>
          <w:sz w:val="24"/>
          <w:szCs w:val="24"/>
        </w:rPr>
        <w:footnoteReference w:id="8"/>
      </w:r>
      <w:r w:rsidRPr="007E14F9">
        <w:rPr>
          <w:rFonts w:ascii="Calibri" w:hAnsi="Calibri" w:cs="Calibri"/>
          <w:bCs/>
          <w:iCs/>
          <w:sz w:val="24"/>
          <w:szCs w:val="24"/>
        </w:rPr>
        <w:t xml:space="preserve"> </w:t>
      </w:r>
      <w:r w:rsidR="007720C8" w:rsidRPr="007E14F9">
        <w:rPr>
          <w:rFonts w:ascii="Calibri" w:hAnsi="Calibri" w:cs="Calibri"/>
          <w:bCs/>
          <w:iCs/>
          <w:sz w:val="24"/>
          <w:szCs w:val="24"/>
        </w:rPr>
        <w:t xml:space="preserve">(dále také „ZVZ“) </w:t>
      </w:r>
      <w:r w:rsidRPr="007E14F9">
        <w:rPr>
          <w:rFonts w:ascii="Calibri" w:hAnsi="Calibri" w:cs="Calibri"/>
          <w:bCs/>
          <w:iCs/>
          <w:sz w:val="24"/>
          <w:szCs w:val="24"/>
        </w:rPr>
        <w:t>případně na pokyny pro zadávání veřejných zakázek obsažené v metodice. Smlouva dále stanovila další podmínky týkající se pravidel účtování, zajištění udržitelnosti, platebních podmínek, pojištění majetku. Smlouva stanovila odpovídající sankční ujednání pro případ porušení smluvních podmínek či vznik nesrovnalosti.</w:t>
      </w:r>
    </w:p>
    <w:p w14:paraId="6B138F38"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686A4B08" w14:textId="77777777"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iCs/>
          <w:sz w:val="24"/>
          <w:szCs w:val="24"/>
        </w:rPr>
        <w:t>NKÚ vyhodnotil, že smlouva o podmínkách poskytnutí dotace obsahovala podrobná pravidla a </w:t>
      </w:r>
      <w:r w:rsidR="001B0B37" w:rsidRPr="007E14F9">
        <w:rPr>
          <w:rFonts w:ascii="Calibri" w:hAnsi="Calibri" w:cs="Calibri"/>
          <w:b/>
          <w:bCs/>
          <w:iCs/>
          <w:sz w:val="24"/>
          <w:szCs w:val="24"/>
        </w:rPr>
        <w:t xml:space="preserve">ukládala </w:t>
      </w:r>
      <w:r w:rsidRPr="007E14F9">
        <w:rPr>
          <w:rFonts w:ascii="Calibri" w:hAnsi="Calibri" w:cs="Calibri"/>
          <w:b/>
          <w:bCs/>
          <w:iCs/>
          <w:sz w:val="24"/>
          <w:szCs w:val="24"/>
        </w:rPr>
        <w:t>podmínky pro příjemce podpory zaji</w:t>
      </w:r>
      <w:r w:rsidR="001B0B37" w:rsidRPr="007E14F9">
        <w:rPr>
          <w:rFonts w:ascii="Calibri" w:hAnsi="Calibri" w:cs="Calibri"/>
          <w:b/>
          <w:bCs/>
          <w:iCs/>
          <w:sz w:val="24"/>
          <w:szCs w:val="24"/>
        </w:rPr>
        <w:t xml:space="preserve">stit </w:t>
      </w:r>
      <w:r w:rsidRPr="007E14F9">
        <w:rPr>
          <w:rFonts w:ascii="Calibri" w:hAnsi="Calibri" w:cs="Calibri"/>
          <w:b/>
          <w:bCs/>
          <w:iCs/>
          <w:sz w:val="24"/>
          <w:szCs w:val="24"/>
        </w:rPr>
        <w:t>hospodárné, účelné a efektivní čerpání peněžních prostředků</w:t>
      </w:r>
      <w:r w:rsidRPr="00BE44A0">
        <w:rPr>
          <w:rFonts w:ascii="Calibri" w:hAnsi="Calibri" w:cs="Calibri"/>
          <w:b/>
          <w:bCs/>
          <w:iCs/>
          <w:sz w:val="24"/>
          <w:szCs w:val="24"/>
        </w:rPr>
        <w:t>.</w:t>
      </w:r>
    </w:p>
    <w:p w14:paraId="50CD5D21"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717A920D" w14:textId="6EC4D83A"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1.2c Kontrolní činnost RRJZ</w:t>
      </w:r>
    </w:p>
    <w:p w14:paraId="0641FF7A" w14:textId="77777777" w:rsidR="007E14F9" w:rsidRDefault="007E14F9" w:rsidP="007E14F9">
      <w:pPr>
        <w:tabs>
          <w:tab w:val="left" w:pos="3544"/>
        </w:tabs>
        <w:spacing w:after="0" w:line="240" w:lineRule="auto"/>
        <w:jc w:val="both"/>
        <w:rPr>
          <w:rFonts w:ascii="Calibri" w:hAnsi="Calibri" w:cs="Calibri"/>
          <w:bCs/>
          <w:iCs/>
          <w:sz w:val="24"/>
          <w:szCs w:val="24"/>
        </w:rPr>
      </w:pPr>
    </w:p>
    <w:p w14:paraId="2CF29D73" w14:textId="1C5B8A2A"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Cs/>
          <w:iCs/>
          <w:sz w:val="24"/>
          <w:szCs w:val="24"/>
        </w:rPr>
        <w:t>RRJZ vykonávala v jednotlivých fázích realizace projektů několik kontrol. Jednalo se o administrativní kontrolu žádosti o podporu, administrativní kontrolu dokladů předložených v rámci závěrečné monitorovací zprávy, podrobnou kontrolu zadávacího řízení, fyzickou kontrolu na místě, podrobnou říd</w:t>
      </w:r>
      <w:r w:rsidR="00563345">
        <w:rPr>
          <w:rFonts w:ascii="Calibri" w:hAnsi="Calibri" w:cs="Calibri"/>
          <w:bCs/>
          <w:iCs/>
          <w:sz w:val="24"/>
          <w:szCs w:val="24"/>
        </w:rPr>
        <w:t>i</w:t>
      </w:r>
      <w:r w:rsidRPr="007E14F9">
        <w:rPr>
          <w:rFonts w:ascii="Calibri" w:hAnsi="Calibri" w:cs="Calibri"/>
          <w:bCs/>
          <w:iCs/>
          <w:sz w:val="24"/>
          <w:szCs w:val="24"/>
        </w:rPr>
        <w:t xml:space="preserve">cí kontrolu dle čl. 13 nařízení komise (ES) 1828/2006 ze dne </w:t>
      </w:r>
      <w:r w:rsidR="00621ACD" w:rsidRPr="007E14F9">
        <w:rPr>
          <w:rFonts w:ascii="Calibri" w:hAnsi="Calibri" w:cs="Calibri"/>
          <w:bCs/>
          <w:iCs/>
          <w:sz w:val="24"/>
          <w:szCs w:val="24"/>
        </w:rPr>
        <w:t>8</w:t>
      </w:r>
      <w:r w:rsidRPr="007E14F9">
        <w:rPr>
          <w:rFonts w:ascii="Calibri" w:hAnsi="Calibri" w:cs="Calibri"/>
          <w:bCs/>
          <w:iCs/>
          <w:sz w:val="24"/>
          <w:szCs w:val="24"/>
        </w:rPr>
        <w:t xml:space="preserve">. 12. 2006 a administrativní kontrolu monitorovací zprávy o zajištění udržitelnosti projektu. RRJZ prováděla kontrolu hospodárnosti projektu na vzorku, </w:t>
      </w:r>
      <w:r w:rsidR="00563345">
        <w:rPr>
          <w:rFonts w:ascii="Calibri" w:hAnsi="Calibri" w:cs="Calibri"/>
          <w:bCs/>
          <w:iCs/>
          <w:sz w:val="24"/>
          <w:szCs w:val="24"/>
        </w:rPr>
        <w:t>jejímž</w:t>
      </w:r>
      <w:r w:rsidRPr="007E14F9">
        <w:rPr>
          <w:rFonts w:ascii="Calibri" w:hAnsi="Calibri" w:cs="Calibri"/>
          <w:bCs/>
          <w:iCs/>
          <w:sz w:val="24"/>
          <w:szCs w:val="24"/>
        </w:rPr>
        <w:t xml:space="preserve"> předmětem bylo porovnání několika položek rozpočtu projektu s položkami stanovenými ÚRS. RRJZ dále prováděla porovnání stavebního rozpočtu projektu k žádosti o dotaci a stavebního rozpočtu dokumentace pro provedení stavby. </w:t>
      </w:r>
    </w:p>
    <w:p w14:paraId="728F0C1B"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74D06503" w14:textId="77777777"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iCs/>
          <w:sz w:val="24"/>
          <w:szCs w:val="24"/>
        </w:rPr>
        <w:t>NKÚ zjistil, že RRJZ vykonávala kontroly podle pravidel stanovených EU, národními předpisy i vnitřními předpisy. Vykonávané kontroly vytvořily předpoklad pro hospodárné a účelné čerpání podpory</w:t>
      </w:r>
      <w:r w:rsidRPr="00BE44A0">
        <w:rPr>
          <w:rFonts w:ascii="Calibri" w:hAnsi="Calibri" w:cs="Calibri"/>
          <w:b/>
          <w:bCs/>
          <w:iCs/>
          <w:sz w:val="24"/>
          <w:szCs w:val="24"/>
        </w:rPr>
        <w:t>.</w:t>
      </w:r>
    </w:p>
    <w:p w14:paraId="79C01202"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587FC28C" w14:textId="3A8799FC"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1.2d Postup v případě zjištění nesrovnalostí</w:t>
      </w:r>
    </w:p>
    <w:p w14:paraId="38575D63" w14:textId="77777777" w:rsidR="007E14F9" w:rsidRDefault="007E14F9" w:rsidP="007E14F9">
      <w:pPr>
        <w:tabs>
          <w:tab w:val="left" w:pos="3544"/>
        </w:tabs>
        <w:spacing w:after="0" w:line="240" w:lineRule="auto"/>
        <w:jc w:val="both"/>
        <w:rPr>
          <w:rFonts w:ascii="Calibri" w:hAnsi="Calibri" w:cs="Calibri"/>
          <w:bCs/>
          <w:iCs/>
          <w:sz w:val="24"/>
          <w:szCs w:val="24"/>
        </w:rPr>
      </w:pPr>
    </w:p>
    <w:p w14:paraId="0AA6615B" w14:textId="3168F537"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Cs/>
          <w:iCs/>
          <w:sz w:val="24"/>
          <w:szCs w:val="24"/>
        </w:rPr>
        <w:t>Problematiku nesrovnalostí měla RRJZ upravenu ve smyslu rozhodnutí Komise C(2013)</w:t>
      </w:r>
      <w:r w:rsidR="00563345">
        <w:rPr>
          <w:rFonts w:ascii="Calibri" w:hAnsi="Calibri" w:cs="Calibri"/>
          <w:bCs/>
          <w:iCs/>
          <w:sz w:val="24"/>
          <w:szCs w:val="24"/>
        </w:rPr>
        <w:t> </w:t>
      </w:r>
      <w:r w:rsidR="00266D26">
        <w:rPr>
          <w:rFonts w:ascii="Calibri" w:hAnsi="Calibri" w:cs="Calibri"/>
          <w:bCs/>
          <w:iCs/>
          <w:sz w:val="24"/>
          <w:szCs w:val="24"/>
        </w:rPr>
        <w:t>č. </w:t>
      </w:r>
      <w:r w:rsidRPr="007E14F9">
        <w:rPr>
          <w:rFonts w:ascii="Calibri" w:hAnsi="Calibri" w:cs="Calibri"/>
          <w:bCs/>
          <w:iCs/>
          <w:sz w:val="24"/>
          <w:szCs w:val="24"/>
        </w:rPr>
        <w:t xml:space="preserve">9527 ze dne 19. prosince 2013, kterým se stanoví a schvalují pokyny ke stanovení finančních oprav, jež má Komise provést u výdajů financovaných </w:t>
      </w:r>
      <w:r w:rsidR="001B0B37" w:rsidRPr="007E14F9">
        <w:rPr>
          <w:rFonts w:ascii="Calibri" w:hAnsi="Calibri" w:cs="Calibri"/>
          <w:bCs/>
          <w:iCs/>
          <w:sz w:val="24"/>
          <w:szCs w:val="24"/>
        </w:rPr>
        <w:t xml:space="preserve">Evropskou </w:t>
      </w:r>
      <w:r w:rsidR="00266D26">
        <w:rPr>
          <w:rFonts w:ascii="Calibri" w:hAnsi="Calibri" w:cs="Calibri"/>
          <w:bCs/>
          <w:iCs/>
          <w:sz w:val="24"/>
          <w:szCs w:val="24"/>
        </w:rPr>
        <w:t>u</w:t>
      </w:r>
      <w:r w:rsidRPr="007E14F9">
        <w:rPr>
          <w:rFonts w:ascii="Calibri" w:hAnsi="Calibri" w:cs="Calibri"/>
          <w:bCs/>
          <w:iCs/>
          <w:sz w:val="24"/>
          <w:szCs w:val="24"/>
        </w:rPr>
        <w:t>nií v</w:t>
      </w:r>
      <w:r w:rsidR="00266D26">
        <w:rPr>
          <w:rFonts w:ascii="Calibri" w:hAnsi="Calibri" w:cs="Calibri"/>
          <w:bCs/>
          <w:iCs/>
          <w:sz w:val="24"/>
          <w:szCs w:val="24"/>
        </w:rPr>
        <w:t> </w:t>
      </w:r>
      <w:r w:rsidRPr="007E14F9">
        <w:rPr>
          <w:rFonts w:ascii="Calibri" w:hAnsi="Calibri" w:cs="Calibri"/>
          <w:bCs/>
          <w:iCs/>
          <w:sz w:val="24"/>
          <w:szCs w:val="24"/>
        </w:rPr>
        <w:t xml:space="preserve">rámci sdíleného řízení v případě nedodržení pravidel pro zadávání veřejných zakázek, a dále vlastní metodikou. Jednalo se o dokumenty vymezující výši korekcí v případě pochybení příjemce před proplacením dotace a výši odvodu/prominutí odvodu v případě porušení rozpočtové kázně příjemcem (pochybení po proplacení dotace) aplikované ROP JZ. </w:t>
      </w:r>
    </w:p>
    <w:p w14:paraId="2BF190FD"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6D5404D6" w14:textId="22941081" w:rsidR="00393DDB"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iCs/>
          <w:sz w:val="24"/>
          <w:szCs w:val="24"/>
        </w:rPr>
        <w:t xml:space="preserve">NKÚ zjistil, že RRJZ vykonávala kontrolní činnost v souladu s pravidly ROP. </w:t>
      </w:r>
      <w:r w:rsidRPr="00BE44A0">
        <w:rPr>
          <w:rFonts w:ascii="Calibri" w:hAnsi="Calibri" w:cs="Calibri"/>
          <w:bCs/>
          <w:iCs/>
          <w:sz w:val="24"/>
          <w:szCs w:val="24"/>
        </w:rPr>
        <w:t>Při těchto kontrolách byla odhalena některá méně závažná pochybení, která nevyžadovala použití nápravných opatření. V případě nedostatků v oznamování změn projektu ze strany příjemce bylo zjištěno, že uvedené změny byly buď nepodstatné, nebo podstatné menšího rozsahu, a za takové nedostatky nebylo nutné stanovovat finanční opravu. Nejčastěji se jednalo o</w:t>
      </w:r>
      <w:r w:rsidR="00FA6C67" w:rsidRPr="00BE44A0">
        <w:rPr>
          <w:rFonts w:ascii="Calibri" w:hAnsi="Calibri" w:cs="Calibri"/>
          <w:bCs/>
          <w:iCs/>
          <w:sz w:val="24"/>
          <w:szCs w:val="24"/>
        </w:rPr>
        <w:t> </w:t>
      </w:r>
      <w:r w:rsidRPr="00BE44A0">
        <w:rPr>
          <w:rFonts w:ascii="Calibri" w:hAnsi="Calibri" w:cs="Calibri"/>
          <w:bCs/>
          <w:iCs/>
          <w:sz w:val="24"/>
          <w:szCs w:val="24"/>
        </w:rPr>
        <w:t xml:space="preserve">změny v termínech realizace projektů či </w:t>
      </w:r>
      <w:r w:rsidR="008A3DAA" w:rsidRPr="00BE44A0">
        <w:rPr>
          <w:rFonts w:ascii="Calibri" w:hAnsi="Calibri" w:cs="Calibri"/>
          <w:bCs/>
          <w:iCs/>
          <w:sz w:val="24"/>
          <w:szCs w:val="24"/>
        </w:rPr>
        <w:t>o </w:t>
      </w:r>
      <w:r w:rsidRPr="00BE44A0">
        <w:rPr>
          <w:rFonts w:ascii="Calibri" w:hAnsi="Calibri" w:cs="Calibri"/>
          <w:bCs/>
          <w:iCs/>
          <w:sz w:val="24"/>
          <w:szCs w:val="24"/>
        </w:rPr>
        <w:t>změn</w:t>
      </w:r>
      <w:r w:rsidR="008A3DAA" w:rsidRPr="00BE44A0">
        <w:rPr>
          <w:rFonts w:ascii="Calibri" w:hAnsi="Calibri" w:cs="Calibri"/>
          <w:bCs/>
          <w:iCs/>
          <w:sz w:val="24"/>
          <w:szCs w:val="24"/>
        </w:rPr>
        <w:t>y</w:t>
      </w:r>
      <w:r w:rsidRPr="00BE44A0">
        <w:rPr>
          <w:rFonts w:ascii="Calibri" w:hAnsi="Calibri" w:cs="Calibri"/>
          <w:bCs/>
          <w:iCs/>
          <w:sz w:val="24"/>
          <w:szCs w:val="24"/>
        </w:rPr>
        <w:t xml:space="preserve"> v rozpočtu projektu. </w:t>
      </w:r>
      <w:r w:rsidRPr="007E14F9">
        <w:rPr>
          <w:rFonts w:ascii="Calibri" w:hAnsi="Calibri" w:cs="Calibri"/>
          <w:b/>
          <w:bCs/>
          <w:iCs/>
          <w:sz w:val="24"/>
          <w:szCs w:val="24"/>
        </w:rPr>
        <w:t>V procesu zjišťování nesrovnalostí a stanovení korekcí NKÚ nezjistil nedostatky</w:t>
      </w:r>
      <w:r w:rsidRPr="00BE44A0">
        <w:rPr>
          <w:rFonts w:ascii="Calibri" w:hAnsi="Calibri" w:cs="Calibri"/>
          <w:b/>
          <w:bCs/>
          <w:iCs/>
          <w:sz w:val="24"/>
          <w:szCs w:val="24"/>
        </w:rPr>
        <w:t>.</w:t>
      </w:r>
    </w:p>
    <w:p w14:paraId="4B4A7828"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02F07E76" w14:textId="0058FB96" w:rsidR="00393DDB" w:rsidRPr="007E14F9" w:rsidRDefault="00393DDB" w:rsidP="007E14F9">
      <w:pPr>
        <w:tabs>
          <w:tab w:val="left" w:pos="3544"/>
        </w:tabs>
        <w:spacing w:after="0" w:line="240" w:lineRule="auto"/>
        <w:rPr>
          <w:rFonts w:ascii="Calibri" w:hAnsi="Calibri" w:cs="Calibri"/>
          <w:b/>
          <w:sz w:val="24"/>
          <w:szCs w:val="24"/>
        </w:rPr>
      </w:pPr>
      <w:r w:rsidRPr="007E14F9">
        <w:rPr>
          <w:rFonts w:ascii="Calibri" w:hAnsi="Calibri" w:cs="Calibri"/>
          <w:b/>
          <w:sz w:val="24"/>
          <w:szCs w:val="24"/>
        </w:rPr>
        <w:t>1.2e Opatření k nápravě nedostatků zjištěných kontrolní akcí č. 09/26</w:t>
      </w:r>
    </w:p>
    <w:p w14:paraId="5F3025DE" w14:textId="77777777" w:rsidR="007E14F9" w:rsidRDefault="007E14F9" w:rsidP="007E14F9">
      <w:pPr>
        <w:tabs>
          <w:tab w:val="left" w:pos="3544"/>
        </w:tabs>
        <w:spacing w:after="0" w:line="240" w:lineRule="auto"/>
        <w:jc w:val="both"/>
        <w:rPr>
          <w:rFonts w:ascii="Calibri" w:hAnsi="Calibri" w:cs="Calibri"/>
          <w:bCs/>
          <w:iCs/>
          <w:sz w:val="24"/>
          <w:szCs w:val="24"/>
        </w:rPr>
      </w:pPr>
    </w:p>
    <w:p w14:paraId="5529ADE9" w14:textId="0D9B9880" w:rsidR="001B0B37" w:rsidRPr="007E14F9"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Cs/>
          <w:iCs/>
          <w:sz w:val="24"/>
          <w:szCs w:val="24"/>
        </w:rPr>
        <w:t>Kontrole byla podrobena náprava nedostatků zjištěných v rámci KA č. 09/26</w:t>
      </w:r>
      <w:r w:rsidR="00730706" w:rsidRPr="007E14F9">
        <w:rPr>
          <w:rStyle w:val="Znakapoznpodarou"/>
          <w:rFonts w:ascii="Calibri" w:hAnsi="Calibri" w:cs="Calibri"/>
          <w:bCs/>
          <w:iCs/>
          <w:sz w:val="24"/>
          <w:szCs w:val="24"/>
        </w:rPr>
        <w:footnoteReference w:id="9"/>
      </w:r>
      <w:r w:rsidRPr="007E14F9">
        <w:rPr>
          <w:rFonts w:ascii="Calibri" w:hAnsi="Calibri" w:cs="Calibri"/>
          <w:bCs/>
          <w:iCs/>
          <w:sz w:val="24"/>
          <w:szCs w:val="24"/>
        </w:rPr>
        <w:t xml:space="preserve">. Mezi nejzávažnější patřila zjištění v oblasti poskytování jasných a podrobných informací příjemcům podpory, věcného hodnocení projektů (hodnocení dvěma nezávislými hodnotiteli), stanovování monitorovacích ukazatelů a v oblasti výkonu kontrolní činnosti. NKÚ u RRJZ </w:t>
      </w:r>
      <w:r w:rsidR="008A3DAA">
        <w:rPr>
          <w:rFonts w:ascii="Calibri" w:hAnsi="Calibri" w:cs="Calibri"/>
          <w:bCs/>
          <w:iCs/>
          <w:sz w:val="24"/>
          <w:szCs w:val="24"/>
        </w:rPr>
        <w:t>pr</w:t>
      </w:r>
      <w:r w:rsidRPr="007E14F9">
        <w:rPr>
          <w:rFonts w:ascii="Calibri" w:hAnsi="Calibri" w:cs="Calibri"/>
          <w:bCs/>
          <w:iCs/>
          <w:sz w:val="24"/>
          <w:szCs w:val="24"/>
        </w:rPr>
        <w:t xml:space="preserve">ověřoval i nedostatky, které v předchozí KA zjistil u jiných RR. </w:t>
      </w:r>
    </w:p>
    <w:p w14:paraId="3B01A294" w14:textId="77777777" w:rsidR="004500FC" w:rsidRPr="007E14F9" w:rsidRDefault="004500FC" w:rsidP="007E14F9">
      <w:pPr>
        <w:tabs>
          <w:tab w:val="left" w:pos="3544"/>
        </w:tabs>
        <w:spacing w:after="0" w:line="240" w:lineRule="auto"/>
        <w:jc w:val="both"/>
        <w:rPr>
          <w:rFonts w:ascii="Calibri" w:hAnsi="Calibri" w:cs="Calibri"/>
          <w:bCs/>
          <w:iCs/>
          <w:sz w:val="24"/>
          <w:szCs w:val="24"/>
        </w:rPr>
      </w:pPr>
    </w:p>
    <w:p w14:paraId="48C6E6ED" w14:textId="6BED469A" w:rsidR="00393DDB" w:rsidRPr="008E5A48" w:rsidRDefault="00393DDB" w:rsidP="007E14F9">
      <w:pPr>
        <w:tabs>
          <w:tab w:val="left" w:pos="3544"/>
        </w:tabs>
        <w:spacing w:after="0" w:line="240" w:lineRule="auto"/>
        <w:jc w:val="both"/>
        <w:rPr>
          <w:rFonts w:ascii="Calibri" w:hAnsi="Calibri" w:cs="Calibri"/>
          <w:bCs/>
          <w:iCs/>
          <w:sz w:val="24"/>
          <w:szCs w:val="24"/>
        </w:rPr>
      </w:pPr>
      <w:r w:rsidRPr="007E14F9">
        <w:rPr>
          <w:rFonts w:ascii="Calibri" w:hAnsi="Calibri" w:cs="Calibri"/>
          <w:b/>
          <w:bCs/>
          <w:iCs/>
          <w:sz w:val="24"/>
          <w:szCs w:val="24"/>
        </w:rPr>
        <w:t xml:space="preserve">NKÚ zjistil, že RRJZ poskytovala příjemcům podpory jasné a podrobné informace prostřednictvím metodických materiálů a prostřednictvím vzájemné komunikace. Věcná hodnocení projektů byla prováděna v souladu s pravidly ROP, která byla schválena Evropskou komisí. </w:t>
      </w:r>
      <w:r w:rsidRPr="00BE44A0">
        <w:rPr>
          <w:rFonts w:ascii="Calibri" w:hAnsi="Calibri" w:cs="Calibri"/>
          <w:bCs/>
          <w:iCs/>
          <w:sz w:val="24"/>
          <w:szCs w:val="24"/>
        </w:rPr>
        <w:t xml:space="preserve">Hodnocení byla prováděna dvěma nezávislými hodnotiteli. Monitorovací ukazatel projektů </w:t>
      </w:r>
      <w:r w:rsidR="008A3DAA" w:rsidRPr="00BE44A0">
        <w:rPr>
          <w:rFonts w:ascii="Calibri" w:hAnsi="Calibri" w:cs="Calibri"/>
          <w:bCs/>
          <w:iCs/>
          <w:sz w:val="24"/>
          <w:szCs w:val="24"/>
        </w:rPr>
        <w:t>–</w:t>
      </w:r>
      <w:r w:rsidRPr="00BE44A0">
        <w:rPr>
          <w:rFonts w:ascii="Calibri" w:hAnsi="Calibri" w:cs="Calibri"/>
          <w:bCs/>
          <w:iCs/>
          <w:sz w:val="24"/>
          <w:szCs w:val="24"/>
        </w:rPr>
        <w:t xml:space="preserve"> </w:t>
      </w:r>
      <w:r w:rsidRPr="00BE44A0">
        <w:rPr>
          <w:rFonts w:ascii="Calibri" w:hAnsi="Calibri" w:cs="Calibri"/>
          <w:bCs/>
          <w:i/>
          <w:iCs/>
          <w:sz w:val="24"/>
          <w:szCs w:val="24"/>
        </w:rPr>
        <w:t>délka rekonstruovaných silnic II. a III. třídy</w:t>
      </w:r>
      <w:r w:rsidRPr="00BE44A0">
        <w:rPr>
          <w:rFonts w:ascii="Calibri" w:hAnsi="Calibri" w:cs="Calibri"/>
          <w:bCs/>
          <w:iCs/>
          <w:sz w:val="24"/>
          <w:szCs w:val="24"/>
        </w:rPr>
        <w:t xml:space="preserve"> </w:t>
      </w:r>
      <w:r w:rsidR="008A3DAA" w:rsidRPr="00BE44A0">
        <w:rPr>
          <w:rFonts w:ascii="Calibri" w:hAnsi="Calibri" w:cs="Calibri"/>
          <w:bCs/>
          <w:iCs/>
          <w:sz w:val="24"/>
          <w:szCs w:val="24"/>
        </w:rPr>
        <w:t xml:space="preserve">– </w:t>
      </w:r>
      <w:r w:rsidRPr="00BE44A0">
        <w:rPr>
          <w:rFonts w:ascii="Calibri" w:hAnsi="Calibri" w:cs="Calibri"/>
          <w:bCs/>
          <w:iCs/>
          <w:sz w:val="24"/>
          <w:szCs w:val="24"/>
        </w:rPr>
        <w:t>byl měřitelný a byl stanoven v souladu s pravidly ROP. NKÚ nezjistil, že by kontroly RRJZ selhávaly v oblasti zadávání veřejných zakázek a věcné realizace projektu</w:t>
      </w:r>
      <w:r w:rsidRPr="008E5A48">
        <w:rPr>
          <w:rFonts w:ascii="Calibri" w:hAnsi="Calibri" w:cs="Calibri"/>
          <w:bCs/>
          <w:iCs/>
          <w:sz w:val="24"/>
          <w:szCs w:val="24"/>
        </w:rPr>
        <w:t>.</w:t>
      </w:r>
    </w:p>
    <w:p w14:paraId="1195DFCD" w14:textId="77777777" w:rsidR="007E14F9" w:rsidRPr="007E14F9" w:rsidRDefault="007E14F9" w:rsidP="007E14F9">
      <w:pPr>
        <w:tabs>
          <w:tab w:val="left" w:pos="3544"/>
        </w:tabs>
        <w:spacing w:after="0" w:line="240" w:lineRule="auto"/>
        <w:jc w:val="both"/>
        <w:rPr>
          <w:rFonts w:ascii="Calibri" w:hAnsi="Calibri" w:cs="Calibri"/>
          <w:bCs/>
          <w:iCs/>
          <w:sz w:val="24"/>
          <w:szCs w:val="24"/>
        </w:rPr>
      </w:pPr>
    </w:p>
    <w:p w14:paraId="3DB77CD0" w14:textId="77777777" w:rsidR="00393DDB" w:rsidRPr="007E14F9" w:rsidRDefault="00393DDB" w:rsidP="008A3DAA">
      <w:pPr>
        <w:keepNext/>
        <w:keepLines/>
        <w:tabs>
          <w:tab w:val="left" w:pos="3544"/>
        </w:tabs>
        <w:spacing w:after="0" w:line="240" w:lineRule="auto"/>
        <w:rPr>
          <w:rFonts w:ascii="Calibri" w:eastAsia="Times New Roman" w:hAnsi="Calibri" w:cs="Calibri"/>
          <w:b/>
          <w:sz w:val="24"/>
          <w:szCs w:val="24"/>
        </w:rPr>
      </w:pPr>
      <w:r w:rsidRPr="007E14F9">
        <w:rPr>
          <w:rFonts w:ascii="Calibri" w:eastAsia="Times New Roman" w:hAnsi="Calibri" w:cs="Calibri"/>
          <w:b/>
          <w:sz w:val="24"/>
          <w:szCs w:val="24"/>
        </w:rPr>
        <w:t>2. Vyhodnocení postupu příjemců dotací</w:t>
      </w:r>
    </w:p>
    <w:p w14:paraId="433BFA06" w14:textId="77777777" w:rsidR="007E14F9" w:rsidRDefault="007E14F9" w:rsidP="008A3DAA">
      <w:pPr>
        <w:keepNext/>
        <w:keepLines/>
        <w:tabs>
          <w:tab w:val="left" w:pos="3544"/>
        </w:tabs>
        <w:spacing w:after="0" w:line="240" w:lineRule="auto"/>
        <w:jc w:val="both"/>
        <w:rPr>
          <w:rFonts w:ascii="Calibri" w:hAnsi="Calibri" w:cs="Calibri"/>
          <w:sz w:val="24"/>
          <w:szCs w:val="24"/>
        </w:rPr>
      </w:pPr>
    </w:p>
    <w:p w14:paraId="6EF39670" w14:textId="77777777" w:rsidR="00393DDB" w:rsidRDefault="00393DDB" w:rsidP="008A3DAA">
      <w:pPr>
        <w:keepNext/>
        <w:keepLines/>
        <w:tabs>
          <w:tab w:val="left" w:pos="3544"/>
        </w:tabs>
        <w:spacing w:after="0" w:line="240" w:lineRule="auto"/>
        <w:jc w:val="both"/>
        <w:rPr>
          <w:rFonts w:ascii="Calibri" w:hAnsi="Calibri" w:cs="Calibri"/>
          <w:sz w:val="24"/>
          <w:szCs w:val="24"/>
        </w:rPr>
      </w:pPr>
      <w:r w:rsidRPr="007E14F9">
        <w:rPr>
          <w:rFonts w:ascii="Calibri" w:hAnsi="Calibri" w:cs="Calibri"/>
          <w:sz w:val="24"/>
          <w:szCs w:val="24"/>
        </w:rPr>
        <w:t>Kontrole NKÚ bylo podrobeno celkem 39 projektů financovaných nebo spolufinancovaných ze zdrojů EU a SFDI. Počty kontrolovaných projektů a jejich finanční objemy podle jednotlivých poskytovatelů dotací v rozdělení na jednotlivé kontrolované osoby uvádí tabulka č. 2.</w:t>
      </w:r>
    </w:p>
    <w:p w14:paraId="11DF33DC" w14:textId="77777777" w:rsidR="007E14F9" w:rsidRPr="007E14F9" w:rsidRDefault="007E14F9" w:rsidP="007E14F9">
      <w:pPr>
        <w:tabs>
          <w:tab w:val="left" w:pos="3544"/>
        </w:tabs>
        <w:spacing w:after="0" w:line="240" w:lineRule="auto"/>
        <w:jc w:val="both"/>
        <w:rPr>
          <w:rFonts w:ascii="Calibri" w:hAnsi="Calibri" w:cs="Calibri"/>
          <w:sz w:val="24"/>
          <w:szCs w:val="24"/>
        </w:rPr>
      </w:pPr>
    </w:p>
    <w:p w14:paraId="3AD54B6D" w14:textId="77777777" w:rsidR="00393DDB" w:rsidRPr="00BE44A0" w:rsidRDefault="00393DDB" w:rsidP="00725652">
      <w:pPr>
        <w:keepNext/>
        <w:spacing w:after="40" w:line="240" w:lineRule="auto"/>
        <w:ind w:left="1418" w:hanging="1418"/>
        <w:jc w:val="both"/>
        <w:rPr>
          <w:b/>
          <w:spacing w:val="-4"/>
          <w:sz w:val="24"/>
          <w:szCs w:val="24"/>
        </w:rPr>
      </w:pPr>
      <w:r w:rsidRPr="00BE44A0">
        <w:rPr>
          <w:rFonts w:cs="Calibri"/>
          <w:b/>
          <w:spacing w:val="-4"/>
          <w:sz w:val="24"/>
          <w:szCs w:val="24"/>
        </w:rPr>
        <w:lastRenderedPageBreak/>
        <w:t>Tabulka č. 2</w:t>
      </w:r>
      <w:r w:rsidR="007E14F9" w:rsidRPr="00BE44A0">
        <w:rPr>
          <w:rFonts w:cs="Calibri"/>
          <w:b/>
          <w:spacing w:val="-4"/>
          <w:sz w:val="24"/>
          <w:szCs w:val="24"/>
        </w:rPr>
        <w:t xml:space="preserve"> </w:t>
      </w:r>
      <w:r w:rsidR="005A15D3" w:rsidRPr="00BE44A0">
        <w:rPr>
          <w:rFonts w:cs="Calibri"/>
          <w:b/>
          <w:spacing w:val="-4"/>
          <w:sz w:val="24"/>
          <w:szCs w:val="24"/>
        </w:rPr>
        <w:t>–</w:t>
      </w:r>
      <w:r w:rsidR="007E14F9" w:rsidRPr="00BE44A0">
        <w:rPr>
          <w:rFonts w:cs="Calibri"/>
          <w:b/>
          <w:spacing w:val="-4"/>
          <w:sz w:val="24"/>
          <w:szCs w:val="24"/>
        </w:rPr>
        <w:tab/>
      </w:r>
      <w:r w:rsidRPr="00BE44A0">
        <w:rPr>
          <w:rFonts w:cs="Calibri"/>
          <w:b/>
          <w:spacing w:val="-4"/>
          <w:sz w:val="24"/>
          <w:szCs w:val="24"/>
        </w:rPr>
        <w:t>Počet projektů vybraných ke kontrole a kontrolovaný objem finančních prostředků</w:t>
      </w:r>
    </w:p>
    <w:tbl>
      <w:tblPr>
        <w:tblStyle w:val="Mkatabulky"/>
        <w:tblW w:w="9067" w:type="dxa"/>
        <w:tblLook w:val="04A0" w:firstRow="1" w:lastRow="0" w:firstColumn="1" w:lastColumn="0" w:noHBand="0" w:noVBand="1"/>
      </w:tblPr>
      <w:tblGrid>
        <w:gridCol w:w="3681"/>
        <w:gridCol w:w="1063"/>
        <w:gridCol w:w="1063"/>
        <w:gridCol w:w="1630"/>
        <w:gridCol w:w="1630"/>
      </w:tblGrid>
      <w:tr w:rsidR="00393DDB" w:rsidRPr="008376EB" w14:paraId="25427B38" w14:textId="77777777" w:rsidTr="00675B8E">
        <w:trPr>
          <w:trHeight w:val="227"/>
        </w:trPr>
        <w:tc>
          <w:tcPr>
            <w:tcW w:w="3681" w:type="dxa"/>
            <w:vMerge w:val="restart"/>
            <w:shd w:val="clear" w:color="auto" w:fill="E5F1FF"/>
            <w:vAlign w:val="center"/>
          </w:tcPr>
          <w:p w14:paraId="23BB5989" w14:textId="77777777" w:rsidR="00393DDB" w:rsidRPr="00675B8E" w:rsidRDefault="00393DDB" w:rsidP="00725652">
            <w:pPr>
              <w:keepNext/>
              <w:jc w:val="center"/>
              <w:rPr>
                <w:rFonts w:ascii="Calibri" w:hAnsi="Calibri" w:cs="Calibri"/>
                <w:b/>
                <w:sz w:val="20"/>
                <w:szCs w:val="20"/>
              </w:rPr>
            </w:pPr>
            <w:r w:rsidRPr="00675B8E">
              <w:rPr>
                <w:rFonts w:ascii="Calibri" w:hAnsi="Calibri" w:cs="Calibri"/>
                <w:b/>
                <w:sz w:val="20"/>
                <w:szCs w:val="20"/>
              </w:rPr>
              <w:t>Kontrolovaná osoba</w:t>
            </w:r>
          </w:p>
        </w:tc>
        <w:tc>
          <w:tcPr>
            <w:tcW w:w="2126" w:type="dxa"/>
            <w:gridSpan w:val="2"/>
            <w:shd w:val="clear" w:color="auto" w:fill="E5F1FF"/>
            <w:vAlign w:val="center"/>
          </w:tcPr>
          <w:p w14:paraId="65669470" w14:textId="77777777" w:rsidR="00393DDB" w:rsidRPr="00675B8E" w:rsidRDefault="00393DDB" w:rsidP="00725652">
            <w:pPr>
              <w:keepNext/>
              <w:jc w:val="center"/>
              <w:rPr>
                <w:rFonts w:ascii="Calibri" w:hAnsi="Calibri" w:cs="Calibri"/>
                <w:b/>
                <w:sz w:val="20"/>
                <w:szCs w:val="20"/>
              </w:rPr>
            </w:pPr>
            <w:r w:rsidRPr="00675B8E">
              <w:rPr>
                <w:rFonts w:ascii="Calibri" w:hAnsi="Calibri" w:cs="Calibri"/>
                <w:b/>
                <w:sz w:val="20"/>
                <w:szCs w:val="20"/>
              </w:rPr>
              <w:t>Počet projektů (akcí) vybraných ke kontrole</w:t>
            </w:r>
          </w:p>
        </w:tc>
        <w:tc>
          <w:tcPr>
            <w:tcW w:w="3260" w:type="dxa"/>
            <w:gridSpan w:val="2"/>
            <w:shd w:val="clear" w:color="auto" w:fill="E5F1FF"/>
            <w:vAlign w:val="center"/>
          </w:tcPr>
          <w:p w14:paraId="2B598B51" w14:textId="77777777" w:rsidR="00393DDB" w:rsidRPr="00675B8E" w:rsidRDefault="00393DDB" w:rsidP="00725652">
            <w:pPr>
              <w:keepNext/>
              <w:jc w:val="center"/>
              <w:rPr>
                <w:rFonts w:ascii="Calibri" w:hAnsi="Calibri" w:cs="Calibri"/>
                <w:b/>
                <w:sz w:val="20"/>
                <w:szCs w:val="20"/>
              </w:rPr>
            </w:pPr>
            <w:r w:rsidRPr="00675B8E">
              <w:rPr>
                <w:rFonts w:ascii="Calibri" w:hAnsi="Calibri" w:cs="Calibri"/>
                <w:b/>
                <w:sz w:val="20"/>
                <w:szCs w:val="20"/>
              </w:rPr>
              <w:t>Kontrolovaný objem finančních prostředků</w:t>
            </w:r>
            <w:r w:rsidR="00675B8E">
              <w:rPr>
                <w:rFonts w:ascii="Calibri" w:hAnsi="Calibri" w:cs="Calibri"/>
                <w:b/>
                <w:sz w:val="20"/>
                <w:szCs w:val="20"/>
              </w:rPr>
              <w:t xml:space="preserve"> </w:t>
            </w:r>
            <w:r w:rsidRPr="00675B8E">
              <w:rPr>
                <w:rFonts w:ascii="Calibri" w:hAnsi="Calibri" w:cs="Calibri"/>
                <w:b/>
                <w:sz w:val="20"/>
                <w:szCs w:val="20"/>
              </w:rPr>
              <w:t>(v Kč)</w:t>
            </w:r>
          </w:p>
        </w:tc>
      </w:tr>
      <w:tr w:rsidR="00393DDB" w:rsidRPr="008376EB" w14:paraId="16EAE53C" w14:textId="77777777" w:rsidTr="00675B8E">
        <w:trPr>
          <w:trHeight w:val="227"/>
        </w:trPr>
        <w:tc>
          <w:tcPr>
            <w:tcW w:w="3681" w:type="dxa"/>
            <w:vMerge/>
            <w:shd w:val="clear" w:color="auto" w:fill="E5F1FF"/>
          </w:tcPr>
          <w:p w14:paraId="027DD031" w14:textId="77777777" w:rsidR="00393DDB" w:rsidRPr="00675B8E" w:rsidRDefault="00393DDB" w:rsidP="00725652">
            <w:pPr>
              <w:keepNext/>
              <w:jc w:val="center"/>
              <w:rPr>
                <w:rFonts w:ascii="Calibri" w:hAnsi="Calibri" w:cs="Calibri"/>
                <w:b/>
                <w:sz w:val="20"/>
                <w:szCs w:val="20"/>
              </w:rPr>
            </w:pPr>
          </w:p>
        </w:tc>
        <w:tc>
          <w:tcPr>
            <w:tcW w:w="1063" w:type="dxa"/>
            <w:shd w:val="clear" w:color="auto" w:fill="E5F1FF"/>
          </w:tcPr>
          <w:p w14:paraId="2FA887CC" w14:textId="77777777" w:rsidR="00393DDB" w:rsidRPr="00675B8E" w:rsidRDefault="00393DDB" w:rsidP="00725652">
            <w:pPr>
              <w:keepNext/>
              <w:jc w:val="center"/>
              <w:rPr>
                <w:rFonts w:ascii="Calibri" w:hAnsi="Calibri" w:cs="Calibri"/>
                <w:b/>
                <w:sz w:val="20"/>
                <w:szCs w:val="20"/>
              </w:rPr>
            </w:pPr>
            <w:r w:rsidRPr="00675B8E">
              <w:rPr>
                <w:rFonts w:ascii="Calibri" w:hAnsi="Calibri" w:cs="Calibri"/>
                <w:b/>
                <w:sz w:val="20"/>
                <w:szCs w:val="20"/>
              </w:rPr>
              <w:t>SFDI</w:t>
            </w:r>
          </w:p>
        </w:tc>
        <w:tc>
          <w:tcPr>
            <w:tcW w:w="1063" w:type="dxa"/>
            <w:shd w:val="clear" w:color="auto" w:fill="E5F1FF"/>
          </w:tcPr>
          <w:p w14:paraId="6F6E6617" w14:textId="77777777" w:rsidR="00393DDB" w:rsidRPr="00675B8E" w:rsidRDefault="00393DDB" w:rsidP="00725652">
            <w:pPr>
              <w:keepNext/>
              <w:jc w:val="center"/>
              <w:rPr>
                <w:rFonts w:ascii="Calibri" w:hAnsi="Calibri" w:cs="Calibri"/>
                <w:b/>
                <w:sz w:val="20"/>
                <w:szCs w:val="20"/>
              </w:rPr>
            </w:pPr>
            <w:r w:rsidRPr="00675B8E">
              <w:rPr>
                <w:rFonts w:ascii="Calibri" w:hAnsi="Calibri" w:cs="Calibri"/>
                <w:b/>
                <w:sz w:val="20"/>
                <w:szCs w:val="20"/>
              </w:rPr>
              <w:t>EU</w:t>
            </w:r>
          </w:p>
        </w:tc>
        <w:tc>
          <w:tcPr>
            <w:tcW w:w="1630" w:type="dxa"/>
            <w:shd w:val="clear" w:color="auto" w:fill="E5F1FF"/>
          </w:tcPr>
          <w:p w14:paraId="794F6E0C" w14:textId="77777777" w:rsidR="00393DDB" w:rsidRPr="00675B8E" w:rsidRDefault="00393DDB" w:rsidP="00725652">
            <w:pPr>
              <w:keepNext/>
              <w:ind w:right="107"/>
              <w:jc w:val="center"/>
              <w:rPr>
                <w:rFonts w:ascii="Calibri" w:hAnsi="Calibri" w:cs="Calibri"/>
                <w:b/>
                <w:sz w:val="20"/>
                <w:szCs w:val="20"/>
              </w:rPr>
            </w:pPr>
            <w:r w:rsidRPr="00675B8E">
              <w:rPr>
                <w:rFonts w:ascii="Calibri" w:hAnsi="Calibri" w:cs="Calibri"/>
                <w:b/>
                <w:sz w:val="20"/>
                <w:szCs w:val="20"/>
              </w:rPr>
              <w:t>SFDI</w:t>
            </w:r>
          </w:p>
        </w:tc>
        <w:tc>
          <w:tcPr>
            <w:tcW w:w="1630" w:type="dxa"/>
            <w:shd w:val="clear" w:color="auto" w:fill="E5F1FF"/>
          </w:tcPr>
          <w:p w14:paraId="773DBF90" w14:textId="77777777" w:rsidR="00393DDB" w:rsidRPr="00675B8E" w:rsidRDefault="00393DDB" w:rsidP="00725652">
            <w:pPr>
              <w:keepNext/>
              <w:ind w:right="107"/>
              <w:jc w:val="center"/>
              <w:rPr>
                <w:rFonts w:ascii="Calibri" w:hAnsi="Calibri" w:cs="Calibri"/>
                <w:b/>
                <w:sz w:val="20"/>
                <w:szCs w:val="20"/>
              </w:rPr>
            </w:pPr>
            <w:r w:rsidRPr="00675B8E">
              <w:rPr>
                <w:rFonts w:ascii="Calibri" w:hAnsi="Calibri" w:cs="Calibri"/>
                <w:b/>
                <w:sz w:val="20"/>
                <w:szCs w:val="20"/>
              </w:rPr>
              <w:t>EU</w:t>
            </w:r>
          </w:p>
        </w:tc>
      </w:tr>
      <w:tr w:rsidR="00393DDB" w:rsidRPr="008376EB" w14:paraId="0059FB40" w14:textId="77777777" w:rsidTr="00675B8E">
        <w:trPr>
          <w:trHeight w:val="227"/>
        </w:trPr>
        <w:tc>
          <w:tcPr>
            <w:tcW w:w="3681" w:type="dxa"/>
          </w:tcPr>
          <w:p w14:paraId="4C68F441" w14:textId="77777777" w:rsidR="00393DDB" w:rsidRPr="008376EB" w:rsidRDefault="00393DDB" w:rsidP="00725652">
            <w:pPr>
              <w:keepNext/>
              <w:rPr>
                <w:rFonts w:ascii="Calibri" w:hAnsi="Calibri" w:cs="Calibri"/>
                <w:sz w:val="20"/>
                <w:szCs w:val="20"/>
              </w:rPr>
            </w:pPr>
            <w:r w:rsidRPr="008376EB">
              <w:rPr>
                <w:rFonts w:ascii="Calibri" w:hAnsi="Calibri" w:cs="Calibri"/>
                <w:sz w:val="20"/>
                <w:szCs w:val="20"/>
              </w:rPr>
              <w:t>Jihočeský kraj</w:t>
            </w:r>
          </w:p>
        </w:tc>
        <w:tc>
          <w:tcPr>
            <w:tcW w:w="1063" w:type="dxa"/>
          </w:tcPr>
          <w:p w14:paraId="716F4A10"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10</w:t>
            </w:r>
          </w:p>
        </w:tc>
        <w:tc>
          <w:tcPr>
            <w:tcW w:w="1063" w:type="dxa"/>
            <w:vAlign w:val="center"/>
          </w:tcPr>
          <w:p w14:paraId="55792998"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3</w:t>
            </w:r>
          </w:p>
        </w:tc>
        <w:tc>
          <w:tcPr>
            <w:tcW w:w="1630" w:type="dxa"/>
          </w:tcPr>
          <w:p w14:paraId="243D87B5"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57 748 598,72</w:t>
            </w:r>
          </w:p>
        </w:tc>
        <w:tc>
          <w:tcPr>
            <w:tcW w:w="1630" w:type="dxa"/>
          </w:tcPr>
          <w:p w14:paraId="678BFC46"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71 634 598,67</w:t>
            </w:r>
          </w:p>
        </w:tc>
      </w:tr>
      <w:tr w:rsidR="00393DDB" w:rsidRPr="008376EB" w14:paraId="1A0628C4" w14:textId="77777777" w:rsidTr="00675B8E">
        <w:trPr>
          <w:trHeight w:val="227"/>
        </w:trPr>
        <w:tc>
          <w:tcPr>
            <w:tcW w:w="3681" w:type="dxa"/>
          </w:tcPr>
          <w:p w14:paraId="1708765B" w14:textId="77777777" w:rsidR="00393DDB" w:rsidRPr="008376EB" w:rsidRDefault="00393DDB" w:rsidP="00725652">
            <w:pPr>
              <w:keepNext/>
              <w:rPr>
                <w:rFonts w:ascii="Calibri" w:hAnsi="Calibri" w:cs="Calibri"/>
                <w:sz w:val="20"/>
                <w:szCs w:val="20"/>
              </w:rPr>
            </w:pPr>
            <w:r w:rsidRPr="008376EB">
              <w:rPr>
                <w:rFonts w:ascii="Calibri" w:hAnsi="Calibri" w:cs="Calibri"/>
                <w:sz w:val="20"/>
                <w:szCs w:val="20"/>
              </w:rPr>
              <w:t>Liberecký kraj</w:t>
            </w:r>
          </w:p>
        </w:tc>
        <w:tc>
          <w:tcPr>
            <w:tcW w:w="1063" w:type="dxa"/>
          </w:tcPr>
          <w:p w14:paraId="3AB14C10"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2</w:t>
            </w:r>
          </w:p>
        </w:tc>
        <w:tc>
          <w:tcPr>
            <w:tcW w:w="1063" w:type="dxa"/>
            <w:vAlign w:val="center"/>
          </w:tcPr>
          <w:p w14:paraId="3EBFE333"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3</w:t>
            </w:r>
          </w:p>
        </w:tc>
        <w:tc>
          <w:tcPr>
            <w:tcW w:w="1630" w:type="dxa"/>
          </w:tcPr>
          <w:p w14:paraId="627C0254"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16 396 734,44</w:t>
            </w:r>
          </w:p>
        </w:tc>
        <w:tc>
          <w:tcPr>
            <w:tcW w:w="1630" w:type="dxa"/>
          </w:tcPr>
          <w:p w14:paraId="4A723272"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53 961 047,55</w:t>
            </w:r>
          </w:p>
        </w:tc>
      </w:tr>
      <w:tr w:rsidR="00393DDB" w:rsidRPr="008376EB" w14:paraId="1B7CAF92" w14:textId="77777777" w:rsidTr="00675B8E">
        <w:trPr>
          <w:trHeight w:val="227"/>
        </w:trPr>
        <w:tc>
          <w:tcPr>
            <w:tcW w:w="3681" w:type="dxa"/>
          </w:tcPr>
          <w:p w14:paraId="7956A983" w14:textId="77777777" w:rsidR="00393DDB" w:rsidRPr="008376EB" w:rsidRDefault="00393DDB" w:rsidP="00725652">
            <w:pPr>
              <w:keepNext/>
              <w:rPr>
                <w:rFonts w:ascii="Calibri" w:hAnsi="Calibri" w:cs="Calibri"/>
                <w:sz w:val="20"/>
                <w:szCs w:val="20"/>
              </w:rPr>
            </w:pPr>
            <w:r w:rsidRPr="008376EB">
              <w:rPr>
                <w:rFonts w:ascii="Calibri" w:hAnsi="Calibri" w:cs="Calibri"/>
                <w:sz w:val="20"/>
                <w:szCs w:val="20"/>
              </w:rPr>
              <w:t>Moravskoslezský kraj</w:t>
            </w:r>
          </w:p>
        </w:tc>
        <w:tc>
          <w:tcPr>
            <w:tcW w:w="1063" w:type="dxa"/>
          </w:tcPr>
          <w:p w14:paraId="0CB1FD48"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0</w:t>
            </w:r>
          </w:p>
        </w:tc>
        <w:tc>
          <w:tcPr>
            <w:tcW w:w="1063" w:type="dxa"/>
            <w:vAlign w:val="center"/>
          </w:tcPr>
          <w:p w14:paraId="234E5BD8" w14:textId="74847BAD" w:rsidR="00393DDB" w:rsidRPr="008376EB" w:rsidRDefault="00393DDB" w:rsidP="00725652">
            <w:pPr>
              <w:keepNext/>
              <w:ind w:right="227"/>
              <w:jc w:val="right"/>
              <w:rPr>
                <w:rFonts w:ascii="Calibri" w:hAnsi="Calibri" w:cs="Calibri"/>
                <w:sz w:val="20"/>
                <w:szCs w:val="20"/>
              </w:rPr>
            </w:pPr>
            <w:r w:rsidRPr="008376EB">
              <w:rPr>
                <w:rFonts w:ascii="Calibri" w:hAnsi="Calibri" w:cs="Calibri"/>
                <w:sz w:val="20"/>
                <w:szCs w:val="20"/>
              </w:rPr>
              <w:t>4</w:t>
            </w:r>
            <w:r w:rsidRPr="00831687">
              <w:rPr>
                <w:rFonts w:ascii="Calibri" w:hAnsi="Calibri" w:cs="Calibri"/>
                <w:sz w:val="20"/>
                <w:szCs w:val="20"/>
              </w:rPr>
              <w:t>*</w:t>
            </w:r>
          </w:p>
        </w:tc>
        <w:tc>
          <w:tcPr>
            <w:tcW w:w="1630" w:type="dxa"/>
          </w:tcPr>
          <w:p w14:paraId="10263926"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0,00</w:t>
            </w:r>
          </w:p>
        </w:tc>
        <w:tc>
          <w:tcPr>
            <w:tcW w:w="1630" w:type="dxa"/>
          </w:tcPr>
          <w:p w14:paraId="256B2BD1"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195 333 863,19</w:t>
            </w:r>
          </w:p>
        </w:tc>
      </w:tr>
      <w:tr w:rsidR="00393DDB" w:rsidRPr="008376EB" w14:paraId="4129ABC8" w14:textId="77777777" w:rsidTr="00675B8E">
        <w:trPr>
          <w:trHeight w:val="227"/>
        </w:trPr>
        <w:tc>
          <w:tcPr>
            <w:tcW w:w="3681" w:type="dxa"/>
          </w:tcPr>
          <w:p w14:paraId="196821D3" w14:textId="77777777" w:rsidR="00393DDB" w:rsidRPr="008376EB" w:rsidRDefault="00393DDB" w:rsidP="00725652">
            <w:pPr>
              <w:keepNext/>
              <w:rPr>
                <w:rFonts w:ascii="Calibri" w:hAnsi="Calibri" w:cs="Calibri"/>
                <w:sz w:val="20"/>
                <w:szCs w:val="20"/>
              </w:rPr>
            </w:pPr>
            <w:r w:rsidRPr="008376EB">
              <w:rPr>
                <w:rFonts w:ascii="Calibri" w:hAnsi="Calibri" w:cs="Calibri"/>
                <w:sz w:val="20"/>
                <w:szCs w:val="20"/>
              </w:rPr>
              <w:t>Pardubický kraj</w:t>
            </w:r>
          </w:p>
        </w:tc>
        <w:tc>
          <w:tcPr>
            <w:tcW w:w="1063" w:type="dxa"/>
          </w:tcPr>
          <w:p w14:paraId="4AE64E74"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0</w:t>
            </w:r>
          </w:p>
        </w:tc>
        <w:tc>
          <w:tcPr>
            <w:tcW w:w="1063" w:type="dxa"/>
            <w:vAlign w:val="center"/>
          </w:tcPr>
          <w:p w14:paraId="005C97D4"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2</w:t>
            </w:r>
          </w:p>
        </w:tc>
        <w:tc>
          <w:tcPr>
            <w:tcW w:w="1630" w:type="dxa"/>
          </w:tcPr>
          <w:p w14:paraId="7B3951C4"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0,00</w:t>
            </w:r>
          </w:p>
        </w:tc>
        <w:tc>
          <w:tcPr>
            <w:tcW w:w="1630" w:type="dxa"/>
          </w:tcPr>
          <w:p w14:paraId="6102BD6B"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74 120 933,38</w:t>
            </w:r>
          </w:p>
        </w:tc>
      </w:tr>
      <w:tr w:rsidR="00393DDB" w:rsidRPr="008376EB" w14:paraId="31F11F55" w14:textId="77777777" w:rsidTr="00675B8E">
        <w:trPr>
          <w:trHeight w:val="227"/>
        </w:trPr>
        <w:tc>
          <w:tcPr>
            <w:tcW w:w="3681" w:type="dxa"/>
          </w:tcPr>
          <w:p w14:paraId="76AFDF6F" w14:textId="77777777" w:rsidR="00393DDB" w:rsidRPr="008376EB" w:rsidRDefault="00393DDB" w:rsidP="00725652">
            <w:pPr>
              <w:keepNext/>
              <w:autoSpaceDE w:val="0"/>
              <w:autoSpaceDN w:val="0"/>
              <w:adjustRightInd w:val="0"/>
              <w:rPr>
                <w:rFonts w:ascii="Calibri" w:hAnsi="Calibri" w:cs="Calibri"/>
                <w:sz w:val="20"/>
                <w:szCs w:val="20"/>
              </w:rPr>
            </w:pPr>
            <w:r w:rsidRPr="008376EB">
              <w:rPr>
                <w:rFonts w:ascii="Calibri" w:hAnsi="Calibri" w:cs="Calibri"/>
                <w:sz w:val="20"/>
                <w:szCs w:val="20"/>
              </w:rPr>
              <w:t>Správa silnic Moravskoslezského kraje</w:t>
            </w:r>
          </w:p>
        </w:tc>
        <w:tc>
          <w:tcPr>
            <w:tcW w:w="1063" w:type="dxa"/>
          </w:tcPr>
          <w:p w14:paraId="541BA5FA"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3</w:t>
            </w:r>
          </w:p>
        </w:tc>
        <w:tc>
          <w:tcPr>
            <w:tcW w:w="1063" w:type="dxa"/>
            <w:vAlign w:val="center"/>
          </w:tcPr>
          <w:p w14:paraId="43BB3D04"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0</w:t>
            </w:r>
          </w:p>
        </w:tc>
        <w:tc>
          <w:tcPr>
            <w:tcW w:w="1630" w:type="dxa"/>
          </w:tcPr>
          <w:p w14:paraId="01208A17"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12 372 745,62</w:t>
            </w:r>
          </w:p>
        </w:tc>
        <w:tc>
          <w:tcPr>
            <w:tcW w:w="1630" w:type="dxa"/>
          </w:tcPr>
          <w:p w14:paraId="585E3A58"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0,00</w:t>
            </w:r>
          </w:p>
        </w:tc>
      </w:tr>
      <w:tr w:rsidR="00393DDB" w:rsidRPr="008376EB" w14:paraId="376F3368" w14:textId="77777777" w:rsidTr="00675B8E">
        <w:trPr>
          <w:trHeight w:val="227"/>
        </w:trPr>
        <w:tc>
          <w:tcPr>
            <w:tcW w:w="3681" w:type="dxa"/>
          </w:tcPr>
          <w:p w14:paraId="0A4BCB43" w14:textId="77777777" w:rsidR="00393DDB" w:rsidRPr="008376EB" w:rsidRDefault="00393DDB" w:rsidP="00725652">
            <w:pPr>
              <w:keepNext/>
              <w:autoSpaceDE w:val="0"/>
              <w:autoSpaceDN w:val="0"/>
              <w:adjustRightInd w:val="0"/>
              <w:rPr>
                <w:rFonts w:ascii="Calibri" w:hAnsi="Calibri" w:cs="Calibri"/>
                <w:sz w:val="20"/>
                <w:szCs w:val="20"/>
              </w:rPr>
            </w:pPr>
            <w:r w:rsidRPr="008376EB">
              <w:rPr>
                <w:rFonts w:ascii="Calibri" w:hAnsi="Calibri" w:cs="Calibri"/>
                <w:sz w:val="20"/>
                <w:szCs w:val="20"/>
              </w:rPr>
              <w:t>Správa a údržba silnic Pardubického kraje</w:t>
            </w:r>
          </w:p>
        </w:tc>
        <w:tc>
          <w:tcPr>
            <w:tcW w:w="1063" w:type="dxa"/>
          </w:tcPr>
          <w:p w14:paraId="18C1727A"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3</w:t>
            </w:r>
          </w:p>
        </w:tc>
        <w:tc>
          <w:tcPr>
            <w:tcW w:w="1063" w:type="dxa"/>
            <w:vAlign w:val="center"/>
          </w:tcPr>
          <w:p w14:paraId="50518172"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0</w:t>
            </w:r>
          </w:p>
        </w:tc>
        <w:tc>
          <w:tcPr>
            <w:tcW w:w="1630" w:type="dxa"/>
          </w:tcPr>
          <w:p w14:paraId="61DFC50F"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85 338 107,79</w:t>
            </w:r>
          </w:p>
        </w:tc>
        <w:tc>
          <w:tcPr>
            <w:tcW w:w="1630" w:type="dxa"/>
          </w:tcPr>
          <w:p w14:paraId="6097B7B3"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0,00</w:t>
            </w:r>
          </w:p>
        </w:tc>
      </w:tr>
      <w:tr w:rsidR="00393DDB" w:rsidRPr="008376EB" w14:paraId="0EE3FBB8" w14:textId="77777777" w:rsidTr="00675B8E">
        <w:trPr>
          <w:trHeight w:val="227"/>
        </w:trPr>
        <w:tc>
          <w:tcPr>
            <w:tcW w:w="3681" w:type="dxa"/>
          </w:tcPr>
          <w:p w14:paraId="4013ED68" w14:textId="77777777" w:rsidR="00393DDB" w:rsidRPr="008376EB" w:rsidRDefault="00393DDB" w:rsidP="00725652">
            <w:pPr>
              <w:keepNext/>
              <w:rPr>
                <w:rFonts w:ascii="Calibri" w:hAnsi="Calibri" w:cs="Calibri"/>
                <w:sz w:val="20"/>
                <w:szCs w:val="20"/>
              </w:rPr>
            </w:pPr>
            <w:r w:rsidRPr="008376EB">
              <w:rPr>
                <w:rFonts w:ascii="Calibri" w:hAnsi="Calibri" w:cs="Calibri"/>
                <w:sz w:val="20"/>
                <w:szCs w:val="20"/>
              </w:rPr>
              <w:t>Správa a údržba silnic Plzeňského kraje</w:t>
            </w:r>
          </w:p>
        </w:tc>
        <w:tc>
          <w:tcPr>
            <w:tcW w:w="1063" w:type="dxa"/>
          </w:tcPr>
          <w:p w14:paraId="57877357" w14:textId="77777777" w:rsidR="00393DDB" w:rsidRPr="008376EB" w:rsidRDefault="00393DDB" w:rsidP="00725652">
            <w:pPr>
              <w:keepNext/>
              <w:jc w:val="center"/>
              <w:rPr>
                <w:rFonts w:ascii="Calibri" w:hAnsi="Calibri" w:cs="Calibri"/>
                <w:sz w:val="20"/>
                <w:szCs w:val="20"/>
              </w:rPr>
            </w:pPr>
            <w:r w:rsidRPr="008376EB">
              <w:rPr>
                <w:rFonts w:ascii="Calibri" w:hAnsi="Calibri" w:cs="Calibri"/>
                <w:sz w:val="20"/>
                <w:szCs w:val="20"/>
              </w:rPr>
              <w:t>5</w:t>
            </w:r>
          </w:p>
        </w:tc>
        <w:tc>
          <w:tcPr>
            <w:tcW w:w="1063" w:type="dxa"/>
            <w:vAlign w:val="center"/>
          </w:tcPr>
          <w:p w14:paraId="0260B22B" w14:textId="77777777" w:rsidR="00393DDB" w:rsidRPr="008376EB" w:rsidRDefault="00393DDB" w:rsidP="00725652">
            <w:pPr>
              <w:keepNext/>
              <w:ind w:right="397"/>
              <w:jc w:val="right"/>
              <w:rPr>
                <w:rFonts w:ascii="Calibri" w:hAnsi="Calibri" w:cs="Calibri"/>
                <w:sz w:val="20"/>
                <w:szCs w:val="20"/>
              </w:rPr>
            </w:pPr>
            <w:r w:rsidRPr="008376EB">
              <w:rPr>
                <w:rFonts w:ascii="Calibri" w:hAnsi="Calibri" w:cs="Calibri"/>
                <w:sz w:val="20"/>
                <w:szCs w:val="20"/>
              </w:rPr>
              <w:t>4</w:t>
            </w:r>
          </w:p>
        </w:tc>
        <w:tc>
          <w:tcPr>
            <w:tcW w:w="1630" w:type="dxa"/>
          </w:tcPr>
          <w:p w14:paraId="529FBBC4"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48 368 566,71</w:t>
            </w:r>
          </w:p>
        </w:tc>
        <w:tc>
          <w:tcPr>
            <w:tcW w:w="1630" w:type="dxa"/>
          </w:tcPr>
          <w:p w14:paraId="54F3251F" w14:textId="77777777" w:rsidR="00393DDB" w:rsidRPr="008376EB" w:rsidRDefault="00393DDB" w:rsidP="00725652">
            <w:pPr>
              <w:keepNext/>
              <w:ind w:right="107"/>
              <w:jc w:val="right"/>
              <w:rPr>
                <w:rFonts w:ascii="Calibri" w:hAnsi="Calibri" w:cs="Calibri"/>
                <w:sz w:val="20"/>
                <w:szCs w:val="20"/>
              </w:rPr>
            </w:pPr>
            <w:r w:rsidRPr="008376EB">
              <w:rPr>
                <w:rFonts w:ascii="Calibri" w:hAnsi="Calibri" w:cs="Calibri"/>
                <w:sz w:val="20"/>
                <w:szCs w:val="20"/>
              </w:rPr>
              <w:t>126 048 000,91</w:t>
            </w:r>
          </w:p>
        </w:tc>
      </w:tr>
      <w:tr w:rsidR="00393DDB" w:rsidRPr="008376EB" w14:paraId="4E3CF2BA" w14:textId="77777777" w:rsidTr="00675B8E">
        <w:trPr>
          <w:trHeight w:val="227"/>
        </w:trPr>
        <w:tc>
          <w:tcPr>
            <w:tcW w:w="3681" w:type="dxa"/>
          </w:tcPr>
          <w:p w14:paraId="5B3C7312" w14:textId="77777777" w:rsidR="00393DDB" w:rsidRPr="008376EB" w:rsidRDefault="00393DDB" w:rsidP="00725652">
            <w:pPr>
              <w:keepNext/>
              <w:rPr>
                <w:rFonts w:ascii="Calibri" w:hAnsi="Calibri" w:cs="Calibri"/>
                <w:b/>
                <w:sz w:val="20"/>
                <w:szCs w:val="20"/>
              </w:rPr>
            </w:pPr>
            <w:r w:rsidRPr="008376EB">
              <w:rPr>
                <w:rFonts w:ascii="Calibri" w:hAnsi="Calibri" w:cs="Calibri"/>
                <w:b/>
                <w:sz w:val="20"/>
                <w:szCs w:val="20"/>
              </w:rPr>
              <w:t>Celkem</w:t>
            </w:r>
          </w:p>
        </w:tc>
        <w:tc>
          <w:tcPr>
            <w:tcW w:w="1063" w:type="dxa"/>
          </w:tcPr>
          <w:p w14:paraId="39176057" w14:textId="77777777" w:rsidR="00393DDB" w:rsidRPr="008376EB" w:rsidRDefault="00393DDB" w:rsidP="00725652">
            <w:pPr>
              <w:keepNext/>
              <w:jc w:val="center"/>
              <w:rPr>
                <w:rFonts w:ascii="Calibri" w:hAnsi="Calibri" w:cs="Calibri"/>
                <w:b/>
                <w:sz w:val="20"/>
                <w:szCs w:val="20"/>
              </w:rPr>
            </w:pPr>
            <w:r w:rsidRPr="008376EB">
              <w:rPr>
                <w:rFonts w:ascii="Calibri" w:hAnsi="Calibri" w:cs="Calibri"/>
                <w:b/>
                <w:sz w:val="20"/>
                <w:szCs w:val="20"/>
              </w:rPr>
              <w:t>23</w:t>
            </w:r>
          </w:p>
        </w:tc>
        <w:tc>
          <w:tcPr>
            <w:tcW w:w="1063" w:type="dxa"/>
            <w:vAlign w:val="center"/>
          </w:tcPr>
          <w:p w14:paraId="50D7CB89" w14:textId="77777777" w:rsidR="00393DDB" w:rsidRPr="008376EB" w:rsidRDefault="00393DDB" w:rsidP="00725652">
            <w:pPr>
              <w:keepNext/>
              <w:ind w:right="397"/>
              <w:jc w:val="right"/>
              <w:rPr>
                <w:rFonts w:ascii="Calibri" w:hAnsi="Calibri" w:cs="Calibri"/>
                <w:b/>
                <w:sz w:val="20"/>
                <w:szCs w:val="20"/>
              </w:rPr>
            </w:pPr>
            <w:r w:rsidRPr="008376EB">
              <w:rPr>
                <w:rFonts w:ascii="Calibri" w:hAnsi="Calibri" w:cs="Calibri"/>
                <w:b/>
                <w:sz w:val="20"/>
                <w:szCs w:val="20"/>
              </w:rPr>
              <w:t>16</w:t>
            </w:r>
          </w:p>
        </w:tc>
        <w:tc>
          <w:tcPr>
            <w:tcW w:w="1630" w:type="dxa"/>
          </w:tcPr>
          <w:p w14:paraId="01A8301F" w14:textId="77777777" w:rsidR="00393DDB" w:rsidRPr="008376EB" w:rsidRDefault="00393DDB" w:rsidP="00725652">
            <w:pPr>
              <w:keepNext/>
              <w:ind w:right="107"/>
              <w:jc w:val="right"/>
              <w:rPr>
                <w:rFonts w:ascii="Calibri" w:hAnsi="Calibri" w:cs="Calibri"/>
                <w:b/>
                <w:sz w:val="20"/>
                <w:szCs w:val="20"/>
              </w:rPr>
            </w:pPr>
            <w:r w:rsidRPr="008376EB">
              <w:rPr>
                <w:rFonts w:ascii="Calibri" w:hAnsi="Calibri" w:cs="Calibri"/>
                <w:b/>
                <w:sz w:val="20"/>
                <w:szCs w:val="20"/>
              </w:rPr>
              <w:t>220 224 753,28</w:t>
            </w:r>
          </w:p>
        </w:tc>
        <w:tc>
          <w:tcPr>
            <w:tcW w:w="1630" w:type="dxa"/>
          </w:tcPr>
          <w:p w14:paraId="2C4AD793" w14:textId="77777777" w:rsidR="00393DDB" w:rsidRPr="008376EB" w:rsidRDefault="00393DDB" w:rsidP="00725652">
            <w:pPr>
              <w:keepNext/>
              <w:ind w:right="107"/>
              <w:jc w:val="right"/>
              <w:rPr>
                <w:rFonts w:ascii="Calibri" w:hAnsi="Calibri" w:cs="Calibri"/>
                <w:b/>
                <w:sz w:val="20"/>
                <w:szCs w:val="20"/>
              </w:rPr>
            </w:pPr>
            <w:r w:rsidRPr="008376EB">
              <w:rPr>
                <w:rFonts w:ascii="Calibri" w:hAnsi="Calibri" w:cs="Calibri"/>
                <w:b/>
                <w:sz w:val="20"/>
                <w:szCs w:val="20"/>
              </w:rPr>
              <w:t>521 098 443,70</w:t>
            </w:r>
          </w:p>
        </w:tc>
      </w:tr>
    </w:tbl>
    <w:p w14:paraId="1338A420" w14:textId="4C3D929C" w:rsidR="00393DDB" w:rsidRPr="00393DDB" w:rsidRDefault="00393DDB" w:rsidP="00725652">
      <w:pPr>
        <w:keepNext/>
        <w:spacing w:before="40" w:after="0" w:line="240" w:lineRule="auto"/>
        <w:jc w:val="both"/>
        <w:rPr>
          <w:sz w:val="20"/>
          <w:szCs w:val="20"/>
        </w:rPr>
      </w:pPr>
      <w:r w:rsidRPr="00393DDB">
        <w:rPr>
          <w:b/>
          <w:sz w:val="20"/>
          <w:szCs w:val="20"/>
        </w:rPr>
        <w:t>Zdroj:</w:t>
      </w:r>
      <w:r w:rsidRPr="00393DDB">
        <w:rPr>
          <w:sz w:val="20"/>
          <w:szCs w:val="20"/>
        </w:rPr>
        <w:t xml:space="preserve"> </w:t>
      </w:r>
      <w:r w:rsidR="00725652">
        <w:rPr>
          <w:sz w:val="20"/>
          <w:szCs w:val="20"/>
        </w:rPr>
        <w:t>k</w:t>
      </w:r>
      <w:r w:rsidRPr="00393DDB">
        <w:rPr>
          <w:sz w:val="20"/>
          <w:szCs w:val="20"/>
        </w:rPr>
        <w:t>ontrolní protokoly o kontrol</w:t>
      </w:r>
      <w:r w:rsidR="00725652">
        <w:rPr>
          <w:sz w:val="20"/>
          <w:szCs w:val="20"/>
        </w:rPr>
        <w:t>ní akci</w:t>
      </w:r>
      <w:r w:rsidRPr="00393DDB">
        <w:rPr>
          <w:sz w:val="20"/>
          <w:szCs w:val="20"/>
        </w:rPr>
        <w:t xml:space="preserve"> č. 17/09.</w:t>
      </w:r>
    </w:p>
    <w:p w14:paraId="7EFD139F" w14:textId="712E58D0" w:rsidR="00393DDB" w:rsidRPr="00393DDB" w:rsidRDefault="00393DDB" w:rsidP="008376EB">
      <w:pPr>
        <w:spacing w:after="0" w:line="240" w:lineRule="auto"/>
        <w:jc w:val="both"/>
        <w:rPr>
          <w:sz w:val="20"/>
          <w:szCs w:val="20"/>
        </w:rPr>
      </w:pPr>
      <w:r w:rsidRPr="00831687">
        <w:rPr>
          <w:sz w:val="20"/>
          <w:szCs w:val="20"/>
        </w:rPr>
        <w:t xml:space="preserve">* </w:t>
      </w:r>
      <w:r w:rsidRPr="00393DDB">
        <w:rPr>
          <w:sz w:val="20"/>
          <w:szCs w:val="20"/>
        </w:rPr>
        <w:t>Kontrole NKÚ byly podrobeny tři vybrané projekty a jedna stavba v rámci čtvrtého vybraného projektu.</w:t>
      </w:r>
    </w:p>
    <w:p w14:paraId="4DE6BD36" w14:textId="77777777" w:rsidR="008376EB" w:rsidRDefault="008376EB" w:rsidP="007E14F9">
      <w:pPr>
        <w:spacing w:after="0" w:line="240" w:lineRule="auto"/>
        <w:jc w:val="both"/>
        <w:rPr>
          <w:rFonts w:ascii="Calibri" w:hAnsi="Calibri" w:cs="Calibri"/>
          <w:sz w:val="24"/>
          <w:szCs w:val="24"/>
        </w:rPr>
      </w:pPr>
    </w:p>
    <w:p w14:paraId="27F5A399" w14:textId="1B18BA22" w:rsidR="00393DDB" w:rsidRPr="007E14F9"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Výběr projektů ke kontrole NKÚ byl proveden na základě vyhodnocení údajů</w:t>
      </w:r>
      <w:r w:rsidR="001B0B37" w:rsidRPr="007E14F9">
        <w:rPr>
          <w:rFonts w:ascii="Calibri" w:hAnsi="Calibri" w:cs="Calibri"/>
          <w:sz w:val="24"/>
          <w:szCs w:val="24"/>
        </w:rPr>
        <w:t>, které byly</w:t>
      </w:r>
      <w:r w:rsidRPr="007E14F9">
        <w:rPr>
          <w:rFonts w:ascii="Calibri" w:hAnsi="Calibri" w:cs="Calibri"/>
          <w:sz w:val="24"/>
          <w:szCs w:val="24"/>
        </w:rPr>
        <w:t xml:space="preserve"> </w:t>
      </w:r>
      <w:r w:rsidR="001B0B37" w:rsidRPr="007E14F9">
        <w:rPr>
          <w:rFonts w:ascii="Calibri" w:hAnsi="Calibri" w:cs="Calibri"/>
          <w:sz w:val="24"/>
          <w:szCs w:val="24"/>
        </w:rPr>
        <w:t>získány</w:t>
      </w:r>
      <w:r w:rsidRPr="007E14F9">
        <w:rPr>
          <w:rFonts w:ascii="Calibri" w:hAnsi="Calibri" w:cs="Calibri"/>
          <w:sz w:val="24"/>
          <w:szCs w:val="24"/>
        </w:rPr>
        <w:t xml:space="preserve"> v rámci přípravy kontrolní akce</w:t>
      </w:r>
      <w:r w:rsidR="001B0B37" w:rsidRPr="007E14F9">
        <w:rPr>
          <w:rFonts w:ascii="Calibri" w:hAnsi="Calibri" w:cs="Calibri"/>
          <w:sz w:val="24"/>
          <w:szCs w:val="24"/>
        </w:rPr>
        <w:t>.</w:t>
      </w:r>
      <w:r w:rsidRPr="007E14F9">
        <w:rPr>
          <w:rFonts w:ascii="Calibri" w:hAnsi="Calibri" w:cs="Calibri"/>
          <w:sz w:val="24"/>
          <w:szCs w:val="24"/>
        </w:rPr>
        <w:t xml:space="preserve"> </w:t>
      </w:r>
      <w:r w:rsidR="001B0B37" w:rsidRPr="007E14F9">
        <w:rPr>
          <w:rFonts w:ascii="Calibri" w:hAnsi="Calibri" w:cs="Calibri"/>
          <w:sz w:val="24"/>
          <w:szCs w:val="24"/>
        </w:rPr>
        <w:t xml:space="preserve">Vybrány byly projekty </w:t>
      </w:r>
      <w:r w:rsidRPr="007E14F9">
        <w:rPr>
          <w:rFonts w:ascii="Calibri" w:hAnsi="Calibri" w:cs="Calibri"/>
          <w:sz w:val="24"/>
          <w:szCs w:val="24"/>
        </w:rPr>
        <w:t>financov</w:t>
      </w:r>
      <w:r w:rsidR="004356B4">
        <w:rPr>
          <w:rFonts w:ascii="Calibri" w:hAnsi="Calibri" w:cs="Calibri"/>
          <w:sz w:val="24"/>
          <w:szCs w:val="24"/>
        </w:rPr>
        <w:t>ané</w:t>
      </w:r>
      <w:r w:rsidR="001B0B37" w:rsidRPr="007E14F9">
        <w:rPr>
          <w:rFonts w:ascii="Calibri" w:hAnsi="Calibri" w:cs="Calibri"/>
          <w:sz w:val="24"/>
          <w:szCs w:val="24"/>
        </w:rPr>
        <w:t xml:space="preserve"> a</w:t>
      </w:r>
      <w:r w:rsidR="004356B4">
        <w:rPr>
          <w:rFonts w:ascii="Calibri" w:hAnsi="Calibri" w:cs="Calibri"/>
          <w:sz w:val="24"/>
          <w:szCs w:val="24"/>
        </w:rPr>
        <w:t> </w:t>
      </w:r>
      <w:r w:rsidR="001B0B37" w:rsidRPr="007E14F9">
        <w:rPr>
          <w:rFonts w:ascii="Calibri" w:hAnsi="Calibri" w:cs="Calibri"/>
          <w:sz w:val="24"/>
          <w:szCs w:val="24"/>
        </w:rPr>
        <w:t>spolufinancov</w:t>
      </w:r>
      <w:r w:rsidR="004356B4">
        <w:rPr>
          <w:rFonts w:ascii="Calibri" w:hAnsi="Calibri" w:cs="Calibri"/>
          <w:sz w:val="24"/>
          <w:szCs w:val="24"/>
        </w:rPr>
        <w:t>ané</w:t>
      </w:r>
      <w:r w:rsidRPr="007E14F9">
        <w:rPr>
          <w:rFonts w:ascii="Calibri" w:hAnsi="Calibri" w:cs="Calibri"/>
          <w:sz w:val="24"/>
          <w:szCs w:val="24"/>
        </w:rPr>
        <w:t xml:space="preserve"> </w:t>
      </w:r>
      <w:r w:rsidR="004356B4">
        <w:rPr>
          <w:rFonts w:ascii="Calibri" w:hAnsi="Calibri" w:cs="Calibri"/>
          <w:sz w:val="24"/>
          <w:szCs w:val="24"/>
        </w:rPr>
        <w:t xml:space="preserve">oběma </w:t>
      </w:r>
      <w:r w:rsidRPr="007E14F9">
        <w:rPr>
          <w:rFonts w:ascii="Calibri" w:hAnsi="Calibri" w:cs="Calibri"/>
          <w:sz w:val="24"/>
          <w:szCs w:val="24"/>
        </w:rPr>
        <w:t>poskytovatel</w:t>
      </w:r>
      <w:r w:rsidR="00504990">
        <w:rPr>
          <w:rFonts w:ascii="Calibri" w:hAnsi="Calibri" w:cs="Calibri"/>
          <w:sz w:val="24"/>
          <w:szCs w:val="24"/>
        </w:rPr>
        <w:t>i</w:t>
      </w:r>
      <w:r w:rsidRPr="007E14F9">
        <w:rPr>
          <w:rFonts w:ascii="Calibri" w:hAnsi="Calibri" w:cs="Calibri"/>
          <w:sz w:val="24"/>
          <w:szCs w:val="24"/>
        </w:rPr>
        <w:t xml:space="preserve"> dotací. Hodnoceny byly 3 parametry:</w:t>
      </w:r>
    </w:p>
    <w:p w14:paraId="1591FC67" w14:textId="77777777" w:rsidR="00393DDB" w:rsidRPr="007E14F9" w:rsidRDefault="00393DDB" w:rsidP="00BE44A0">
      <w:pPr>
        <w:numPr>
          <w:ilvl w:val="0"/>
          <w:numId w:val="25"/>
        </w:numPr>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počet podaných nabídek (minimální hodnota),</w:t>
      </w:r>
    </w:p>
    <w:p w14:paraId="1C8CAA67" w14:textId="77777777" w:rsidR="00393DDB" w:rsidRPr="007E14F9" w:rsidRDefault="00393DDB" w:rsidP="00BE44A0">
      <w:pPr>
        <w:numPr>
          <w:ilvl w:val="0"/>
          <w:numId w:val="25"/>
        </w:numPr>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porovnání předpokládané hodnoty nabídky a dosažené vítězné ceny,</w:t>
      </w:r>
    </w:p>
    <w:p w14:paraId="5B71E09F" w14:textId="77777777" w:rsidR="00393DDB" w:rsidRPr="007E14F9" w:rsidRDefault="00393DDB" w:rsidP="00BE44A0">
      <w:pPr>
        <w:numPr>
          <w:ilvl w:val="0"/>
          <w:numId w:val="25"/>
        </w:numPr>
        <w:spacing w:after="0" w:line="240" w:lineRule="auto"/>
        <w:ind w:left="284" w:hanging="284"/>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změna ceny vítězné nabídky v průběhu realizace (maximální hodnota).</w:t>
      </w:r>
    </w:p>
    <w:p w14:paraId="3AC31E3C" w14:textId="77777777" w:rsidR="008376EB" w:rsidRPr="008376EB" w:rsidRDefault="008376EB" w:rsidP="007E14F9">
      <w:pPr>
        <w:spacing w:after="0" w:line="240" w:lineRule="auto"/>
        <w:jc w:val="both"/>
        <w:rPr>
          <w:rFonts w:ascii="Calibri" w:hAnsi="Calibri" w:cs="Calibri"/>
          <w:sz w:val="24"/>
          <w:szCs w:val="24"/>
        </w:rPr>
      </w:pPr>
    </w:p>
    <w:p w14:paraId="6A6BC1E8"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 xml:space="preserve">Uvedená kritéria výběru byla zvolena s ohledem na možná rizika především nehospodárné </w:t>
      </w:r>
      <w:r w:rsidR="001A445D" w:rsidRPr="007E14F9">
        <w:rPr>
          <w:rFonts w:ascii="Calibri" w:hAnsi="Calibri" w:cs="Calibri"/>
          <w:b/>
          <w:sz w:val="24"/>
          <w:szCs w:val="24"/>
        </w:rPr>
        <w:t>realizace konkrétního projektu</w:t>
      </w:r>
      <w:r w:rsidRPr="00BE44A0">
        <w:rPr>
          <w:rFonts w:ascii="Calibri" w:hAnsi="Calibri" w:cs="Calibri"/>
          <w:b/>
          <w:sz w:val="24"/>
          <w:szCs w:val="24"/>
        </w:rPr>
        <w:t>.</w:t>
      </w:r>
    </w:p>
    <w:p w14:paraId="42FAC084" w14:textId="77777777" w:rsidR="008376EB" w:rsidRPr="007E14F9" w:rsidRDefault="008376EB" w:rsidP="007E14F9">
      <w:pPr>
        <w:spacing w:after="0" w:line="240" w:lineRule="auto"/>
        <w:jc w:val="both"/>
        <w:rPr>
          <w:rFonts w:ascii="Calibri" w:hAnsi="Calibri" w:cs="Calibri"/>
          <w:sz w:val="24"/>
          <w:szCs w:val="24"/>
        </w:rPr>
      </w:pPr>
    </w:p>
    <w:p w14:paraId="28B85CA0" w14:textId="77777777" w:rsidR="00393DDB" w:rsidRPr="007E14F9" w:rsidRDefault="00393DDB" w:rsidP="007E14F9">
      <w:pPr>
        <w:spacing w:after="0" w:line="240" w:lineRule="auto"/>
        <w:rPr>
          <w:rFonts w:ascii="Calibri" w:hAnsi="Calibri" w:cs="Calibri"/>
          <w:b/>
          <w:sz w:val="24"/>
          <w:szCs w:val="24"/>
        </w:rPr>
      </w:pPr>
      <w:r w:rsidRPr="007E14F9">
        <w:rPr>
          <w:rFonts w:ascii="Calibri" w:hAnsi="Calibri" w:cs="Calibri"/>
          <w:b/>
          <w:sz w:val="24"/>
          <w:szCs w:val="24"/>
        </w:rPr>
        <w:t>2.1 Výběr projektů k realizaci</w:t>
      </w:r>
    </w:p>
    <w:p w14:paraId="43C62357" w14:textId="77777777" w:rsidR="008376EB" w:rsidRDefault="008376EB" w:rsidP="007E14F9">
      <w:pPr>
        <w:spacing w:after="0" w:line="240" w:lineRule="auto"/>
        <w:jc w:val="both"/>
        <w:rPr>
          <w:rFonts w:ascii="Calibri" w:hAnsi="Calibri" w:cs="Calibri"/>
          <w:sz w:val="24"/>
          <w:szCs w:val="24"/>
        </w:rPr>
      </w:pPr>
    </w:p>
    <w:p w14:paraId="2346A9CF" w14:textId="77777777" w:rsidR="00570729" w:rsidRDefault="001A445D" w:rsidP="007E14F9">
      <w:pPr>
        <w:spacing w:after="0" w:line="240" w:lineRule="auto"/>
        <w:jc w:val="both"/>
        <w:rPr>
          <w:rFonts w:ascii="Calibri" w:hAnsi="Calibri" w:cs="Calibri"/>
          <w:sz w:val="24"/>
          <w:szCs w:val="24"/>
        </w:rPr>
      </w:pPr>
      <w:r w:rsidRPr="007E14F9">
        <w:rPr>
          <w:rFonts w:ascii="Calibri" w:hAnsi="Calibri" w:cs="Calibri"/>
          <w:sz w:val="24"/>
          <w:szCs w:val="24"/>
        </w:rPr>
        <w:t>Příjemci prováděli v</w:t>
      </w:r>
      <w:r w:rsidR="00393DDB" w:rsidRPr="007E14F9">
        <w:rPr>
          <w:rFonts w:ascii="Calibri" w:hAnsi="Calibri" w:cs="Calibri"/>
          <w:sz w:val="24"/>
          <w:szCs w:val="24"/>
        </w:rPr>
        <w:t xml:space="preserve">ýběr projektů k realizaci na základě více kritérií, která zohledňovala zejména technický stav silnic, splnění podmínek poskytovatelů peněžních prostředků, důležitost konkrétního úseku silnice pro dopravní obslužnost určité lokality, požadavky vnějších subjektů na opravy konkrétních úseků silnic a další hlediska. </w:t>
      </w:r>
    </w:p>
    <w:p w14:paraId="68ED1E92" w14:textId="77777777" w:rsidR="008376EB" w:rsidRPr="007E14F9" w:rsidRDefault="008376EB" w:rsidP="007E14F9">
      <w:pPr>
        <w:spacing w:after="0" w:line="240" w:lineRule="auto"/>
        <w:jc w:val="both"/>
        <w:rPr>
          <w:rFonts w:ascii="Calibri" w:hAnsi="Calibri" w:cs="Calibri"/>
          <w:sz w:val="24"/>
          <w:szCs w:val="24"/>
        </w:rPr>
      </w:pPr>
    </w:p>
    <w:p w14:paraId="6BBAC5F7" w14:textId="77777777" w:rsidR="00393DDB" w:rsidRPr="007E14F9"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 xml:space="preserve">Kontrola zjistila, že výběr projektů k realizaci probíhal u MSK, </w:t>
      </w:r>
      <w:r w:rsidR="001C0690" w:rsidRPr="007E14F9">
        <w:rPr>
          <w:rFonts w:ascii="Calibri" w:hAnsi="Calibri" w:cs="Calibri"/>
          <w:b/>
          <w:sz w:val="24"/>
          <w:szCs w:val="24"/>
        </w:rPr>
        <w:t>LBK</w:t>
      </w:r>
      <w:r w:rsidRPr="007E14F9">
        <w:rPr>
          <w:rFonts w:ascii="Calibri" w:hAnsi="Calibri" w:cs="Calibri"/>
          <w:b/>
          <w:sz w:val="24"/>
          <w:szCs w:val="24"/>
        </w:rPr>
        <w:t xml:space="preserve">, </w:t>
      </w:r>
      <w:r w:rsidR="001C0690" w:rsidRPr="007E14F9">
        <w:rPr>
          <w:rFonts w:ascii="Calibri" w:hAnsi="Calibri" w:cs="Calibri"/>
          <w:b/>
          <w:sz w:val="24"/>
          <w:szCs w:val="24"/>
        </w:rPr>
        <w:t>PAK</w:t>
      </w:r>
      <w:r w:rsidRPr="007E14F9">
        <w:rPr>
          <w:rFonts w:ascii="Calibri" w:hAnsi="Calibri" w:cs="Calibri"/>
          <w:b/>
          <w:sz w:val="24"/>
          <w:szCs w:val="24"/>
        </w:rPr>
        <w:t>, SÚS</w:t>
      </w:r>
      <w:r w:rsidR="001C0690" w:rsidRPr="007E14F9">
        <w:rPr>
          <w:rFonts w:ascii="Calibri" w:hAnsi="Calibri" w:cs="Calibri"/>
          <w:b/>
          <w:sz w:val="24"/>
          <w:szCs w:val="24"/>
        </w:rPr>
        <w:t>PAK</w:t>
      </w:r>
      <w:r w:rsidRPr="007E14F9">
        <w:rPr>
          <w:rFonts w:ascii="Calibri" w:hAnsi="Calibri" w:cs="Calibri"/>
          <w:b/>
          <w:sz w:val="24"/>
          <w:szCs w:val="24"/>
        </w:rPr>
        <w:t xml:space="preserve"> a </w:t>
      </w:r>
      <w:r w:rsidR="001C0690" w:rsidRPr="007E14F9">
        <w:rPr>
          <w:rFonts w:ascii="Calibri" w:hAnsi="Calibri" w:cs="Calibri"/>
          <w:b/>
          <w:sz w:val="24"/>
          <w:szCs w:val="24"/>
        </w:rPr>
        <w:t>JHČ</w:t>
      </w:r>
      <w:r w:rsidRPr="007E14F9">
        <w:rPr>
          <w:rFonts w:ascii="Calibri" w:hAnsi="Calibri" w:cs="Calibri"/>
          <w:b/>
          <w:sz w:val="24"/>
          <w:szCs w:val="24"/>
        </w:rPr>
        <w:t xml:space="preserve"> na základě kritérií obecného charakteru bez podrobnější specifikace a měřitelných údajů. </w:t>
      </w:r>
      <w:r w:rsidRPr="00BE44A0">
        <w:rPr>
          <w:rFonts w:ascii="Calibri" w:hAnsi="Calibri" w:cs="Calibri"/>
          <w:b/>
          <w:sz w:val="24"/>
          <w:szCs w:val="24"/>
        </w:rPr>
        <w:t>Výběr projektů k realizaci byl</w:t>
      </w:r>
      <w:r w:rsidRPr="006D1BC4">
        <w:rPr>
          <w:rFonts w:ascii="Calibri" w:hAnsi="Calibri" w:cs="Calibri"/>
          <w:b/>
          <w:sz w:val="24"/>
          <w:szCs w:val="24"/>
        </w:rPr>
        <w:t xml:space="preserve"> u těchto kontrolovaných osob </w:t>
      </w:r>
      <w:r w:rsidRPr="00BE44A0">
        <w:rPr>
          <w:rFonts w:ascii="Calibri" w:hAnsi="Calibri" w:cs="Calibri"/>
          <w:b/>
          <w:sz w:val="24"/>
          <w:szCs w:val="24"/>
        </w:rPr>
        <w:t>nepřezkoumatelný.</w:t>
      </w:r>
    </w:p>
    <w:p w14:paraId="77498964" w14:textId="77777777" w:rsidR="008376EB" w:rsidRDefault="008376EB" w:rsidP="007E14F9">
      <w:pPr>
        <w:spacing w:after="0" w:line="240" w:lineRule="auto"/>
        <w:jc w:val="both"/>
        <w:rPr>
          <w:rFonts w:ascii="Calibri" w:hAnsi="Calibri" w:cs="Calibri"/>
          <w:sz w:val="24"/>
          <w:szCs w:val="24"/>
        </w:rPr>
      </w:pPr>
    </w:p>
    <w:p w14:paraId="5B28BA7C" w14:textId="77777777" w:rsidR="00190725"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 xml:space="preserve">Všichni kontrolovaní vlastníci silnic II. a III. třídy prováděli monitoring stavu silnic vlastními pracovníky nebo externími dodavateli. Technický stav silnic byl základním vstupním parametrem pro přípravu a výběr akcí k realizaci. </w:t>
      </w:r>
    </w:p>
    <w:p w14:paraId="44871C4F" w14:textId="77777777" w:rsidR="008376EB" w:rsidRPr="007E14F9" w:rsidRDefault="008376EB" w:rsidP="007E14F9">
      <w:pPr>
        <w:spacing w:after="0" w:line="240" w:lineRule="auto"/>
        <w:jc w:val="both"/>
        <w:rPr>
          <w:rFonts w:ascii="Calibri" w:hAnsi="Calibri" w:cs="Calibri"/>
          <w:sz w:val="24"/>
          <w:szCs w:val="24"/>
        </w:rPr>
      </w:pPr>
    </w:p>
    <w:p w14:paraId="0E55E6CF"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NKÚ zjistil, že podle údajů kontrolovaných osob bylo k roku 2016 vysoké procento silnic II.</w:t>
      </w:r>
      <w:r w:rsidR="00A34605" w:rsidRPr="007E14F9">
        <w:rPr>
          <w:rFonts w:ascii="Calibri" w:hAnsi="Calibri" w:cs="Calibri"/>
          <w:b/>
          <w:sz w:val="24"/>
          <w:szCs w:val="24"/>
        </w:rPr>
        <w:t> </w:t>
      </w:r>
      <w:r w:rsidRPr="007E14F9">
        <w:rPr>
          <w:rFonts w:ascii="Calibri" w:hAnsi="Calibri" w:cs="Calibri"/>
          <w:b/>
          <w:sz w:val="24"/>
          <w:szCs w:val="24"/>
        </w:rPr>
        <w:t>a</w:t>
      </w:r>
      <w:r w:rsidR="00A34605" w:rsidRPr="007E14F9">
        <w:rPr>
          <w:rFonts w:ascii="Calibri" w:hAnsi="Calibri" w:cs="Calibri"/>
          <w:b/>
          <w:sz w:val="24"/>
          <w:szCs w:val="24"/>
        </w:rPr>
        <w:t> </w:t>
      </w:r>
      <w:r w:rsidRPr="007E14F9">
        <w:rPr>
          <w:rFonts w:ascii="Calibri" w:hAnsi="Calibri" w:cs="Calibri"/>
          <w:b/>
          <w:sz w:val="24"/>
          <w:szCs w:val="24"/>
        </w:rPr>
        <w:t>III. třídy v havarijním nebo nevyhovujícím stavu</w:t>
      </w:r>
      <w:r w:rsidR="00190725" w:rsidRPr="007E14F9">
        <w:rPr>
          <w:rFonts w:ascii="Calibri" w:hAnsi="Calibri" w:cs="Calibri"/>
          <w:b/>
          <w:sz w:val="24"/>
          <w:szCs w:val="24"/>
        </w:rPr>
        <w:t>,</w:t>
      </w:r>
      <w:r w:rsidRPr="007E14F9">
        <w:rPr>
          <w:rFonts w:ascii="Calibri" w:hAnsi="Calibri" w:cs="Calibri"/>
          <w:sz w:val="24"/>
          <w:szCs w:val="24"/>
        </w:rPr>
        <w:t xml:space="preserve"> např. 43 % silnic v PK, 48 %</w:t>
      </w:r>
      <w:r w:rsidR="00190725" w:rsidRPr="007E14F9">
        <w:rPr>
          <w:rFonts w:ascii="Calibri" w:hAnsi="Calibri" w:cs="Calibri"/>
          <w:sz w:val="24"/>
          <w:szCs w:val="24"/>
        </w:rPr>
        <w:t xml:space="preserve"> v </w:t>
      </w:r>
      <w:r w:rsidR="001C0690" w:rsidRPr="007E14F9">
        <w:rPr>
          <w:rFonts w:ascii="Calibri" w:hAnsi="Calibri" w:cs="Calibri"/>
          <w:sz w:val="24"/>
          <w:szCs w:val="24"/>
        </w:rPr>
        <w:t>LBK</w:t>
      </w:r>
      <w:r w:rsidR="00190725" w:rsidRPr="007E14F9">
        <w:rPr>
          <w:rFonts w:ascii="Calibri" w:hAnsi="Calibri" w:cs="Calibri"/>
          <w:sz w:val="24"/>
          <w:szCs w:val="24"/>
        </w:rPr>
        <w:t xml:space="preserve"> nebo až 60 % v </w:t>
      </w:r>
      <w:r w:rsidR="001C0690" w:rsidRPr="007E14F9">
        <w:rPr>
          <w:rFonts w:ascii="Calibri" w:hAnsi="Calibri" w:cs="Calibri"/>
          <w:sz w:val="24"/>
          <w:szCs w:val="24"/>
        </w:rPr>
        <w:t>PAK</w:t>
      </w:r>
      <w:r w:rsidRPr="007E14F9">
        <w:rPr>
          <w:rFonts w:ascii="Calibri" w:hAnsi="Calibri" w:cs="Calibri"/>
          <w:sz w:val="24"/>
          <w:szCs w:val="24"/>
        </w:rPr>
        <w:t>.</w:t>
      </w:r>
    </w:p>
    <w:p w14:paraId="10843A17" w14:textId="77777777" w:rsidR="008376EB" w:rsidRPr="007E14F9" w:rsidRDefault="008376EB" w:rsidP="007E14F9">
      <w:pPr>
        <w:spacing w:after="0" w:line="240" w:lineRule="auto"/>
        <w:jc w:val="both"/>
        <w:rPr>
          <w:rFonts w:ascii="Calibri" w:hAnsi="Calibri" w:cs="Calibri"/>
          <w:sz w:val="24"/>
          <w:szCs w:val="24"/>
        </w:rPr>
      </w:pPr>
    </w:p>
    <w:p w14:paraId="3BB5423F" w14:textId="77777777" w:rsidR="00393DDB" w:rsidRPr="008E5A48"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 xml:space="preserve">Všechny kontrolované osoby evidovaly požadavky na opravy, rekonstrukce, modernizaci a rozvoj silnic. Z hlediska monitorování intenzity dopravy bylo zjištěno, že všechny kontrolované osoby vycházely z výsledků celostátního sčítání dopravy nebo z informací </w:t>
      </w:r>
      <w:r w:rsidRPr="007E14F9">
        <w:rPr>
          <w:rFonts w:ascii="Calibri" w:hAnsi="Calibri" w:cs="Calibri"/>
          <w:sz w:val="24"/>
          <w:szCs w:val="24"/>
        </w:rPr>
        <w:lastRenderedPageBreak/>
        <w:t xml:space="preserve">zpracovávaných Ředitelstvím silnic a dálnic. </w:t>
      </w:r>
      <w:r w:rsidRPr="00BE44A0">
        <w:rPr>
          <w:rFonts w:ascii="Calibri" w:hAnsi="Calibri" w:cs="Calibri"/>
          <w:sz w:val="24"/>
          <w:szCs w:val="24"/>
        </w:rPr>
        <w:t>Vlastní monitoring intenzity dopravy kontrolované osoby buď neprováděly, nebo ho nahrazovaly odborným odhadem</w:t>
      </w:r>
      <w:r w:rsidRPr="008E5A48">
        <w:rPr>
          <w:rFonts w:ascii="Calibri" w:hAnsi="Calibri" w:cs="Calibri"/>
          <w:sz w:val="24"/>
          <w:szCs w:val="24"/>
        </w:rPr>
        <w:t>.</w:t>
      </w:r>
    </w:p>
    <w:p w14:paraId="33BB4613" w14:textId="77777777" w:rsidR="008376EB" w:rsidRPr="008E5A48" w:rsidRDefault="008376EB" w:rsidP="007E14F9">
      <w:pPr>
        <w:spacing w:after="0" w:line="240" w:lineRule="auto"/>
        <w:jc w:val="both"/>
        <w:rPr>
          <w:rFonts w:ascii="Calibri" w:hAnsi="Calibri" w:cs="Calibri"/>
          <w:sz w:val="24"/>
          <w:szCs w:val="24"/>
        </w:rPr>
      </w:pPr>
    </w:p>
    <w:p w14:paraId="327C22EA" w14:textId="31ABC957" w:rsidR="00393DDB" w:rsidRPr="00BE44A0" w:rsidRDefault="00393DDB" w:rsidP="007E14F9">
      <w:pPr>
        <w:spacing w:after="0" w:line="240" w:lineRule="auto"/>
        <w:jc w:val="both"/>
        <w:rPr>
          <w:rFonts w:ascii="Calibri" w:hAnsi="Calibri" w:cs="Calibri"/>
          <w:sz w:val="24"/>
          <w:szCs w:val="24"/>
        </w:rPr>
      </w:pPr>
      <w:r w:rsidRPr="008E5A48">
        <w:rPr>
          <w:rFonts w:ascii="Calibri" w:hAnsi="Calibri" w:cs="Calibri"/>
          <w:b/>
          <w:sz w:val="24"/>
          <w:szCs w:val="24"/>
        </w:rPr>
        <w:t xml:space="preserve">NKÚ zjistil, že někteří vlastníci silnic II. a III. třídy nemají zpracovány aktuální strategické nebo koncepční materiály týkající se oprav, modernizace a rozvoje těchto silnic. </w:t>
      </w:r>
      <w:r w:rsidRPr="00BE44A0">
        <w:rPr>
          <w:rFonts w:ascii="Calibri" w:hAnsi="Calibri" w:cs="Calibri"/>
          <w:sz w:val="24"/>
          <w:szCs w:val="24"/>
        </w:rPr>
        <w:t xml:space="preserve">MSK měl zpracovanou koncepci rozvoje dopravní infrastruktury z roku 2008, která však již nebyla aktualizována. </w:t>
      </w:r>
      <w:r w:rsidR="001C0690" w:rsidRPr="00BE44A0">
        <w:rPr>
          <w:rFonts w:ascii="Calibri" w:hAnsi="Calibri" w:cs="Calibri"/>
          <w:sz w:val="24"/>
          <w:szCs w:val="24"/>
        </w:rPr>
        <w:t>LBK</w:t>
      </w:r>
      <w:r w:rsidRPr="00BE44A0">
        <w:rPr>
          <w:rFonts w:ascii="Calibri" w:hAnsi="Calibri" w:cs="Calibri"/>
          <w:sz w:val="24"/>
          <w:szCs w:val="24"/>
        </w:rPr>
        <w:t xml:space="preserve"> měl zpracovaný pouze plán, který zahrnoval seznam nejvíce poškozených úseků silnic II. a III. třídy, které nesplňovaly podmínky provozní způsobilosti a</w:t>
      </w:r>
      <w:r w:rsidR="006D1BC4" w:rsidRPr="00BE44A0">
        <w:rPr>
          <w:rFonts w:ascii="Calibri" w:hAnsi="Calibri" w:cs="Calibri"/>
          <w:sz w:val="24"/>
          <w:szCs w:val="24"/>
        </w:rPr>
        <w:t> na nichž</w:t>
      </w:r>
      <w:r w:rsidRPr="00BE44A0">
        <w:rPr>
          <w:rFonts w:ascii="Calibri" w:hAnsi="Calibri" w:cs="Calibri"/>
          <w:sz w:val="24"/>
          <w:szCs w:val="24"/>
        </w:rPr>
        <w:t xml:space="preserve"> bylo nutné provést celoplošnou opravu.</w:t>
      </w:r>
    </w:p>
    <w:p w14:paraId="5F5446F1" w14:textId="77777777" w:rsidR="008376EB" w:rsidRPr="007E14F9" w:rsidRDefault="008376EB" w:rsidP="007E14F9">
      <w:pPr>
        <w:spacing w:after="0" w:line="240" w:lineRule="auto"/>
        <w:jc w:val="both"/>
        <w:rPr>
          <w:rFonts w:ascii="Calibri" w:hAnsi="Calibri" w:cs="Calibri"/>
          <w:b/>
          <w:sz w:val="24"/>
          <w:szCs w:val="24"/>
        </w:rPr>
      </w:pPr>
    </w:p>
    <w:p w14:paraId="3F3286E2" w14:textId="77777777" w:rsidR="00393DDB" w:rsidRPr="007E14F9" w:rsidRDefault="00393DDB" w:rsidP="007E14F9">
      <w:pPr>
        <w:spacing w:after="0" w:line="240" w:lineRule="auto"/>
        <w:rPr>
          <w:rFonts w:ascii="Calibri" w:hAnsi="Calibri" w:cs="Calibri"/>
          <w:b/>
          <w:sz w:val="24"/>
          <w:szCs w:val="24"/>
        </w:rPr>
      </w:pPr>
      <w:r w:rsidRPr="007E14F9">
        <w:rPr>
          <w:rFonts w:ascii="Calibri" w:hAnsi="Calibri" w:cs="Calibri"/>
          <w:b/>
          <w:sz w:val="24"/>
          <w:szCs w:val="24"/>
        </w:rPr>
        <w:t>2.2 Příprava projektů v souladu s pravidly poskytovatele</w:t>
      </w:r>
    </w:p>
    <w:p w14:paraId="106D6532" w14:textId="77777777" w:rsidR="008376EB" w:rsidRDefault="008376EB" w:rsidP="007E14F9">
      <w:pPr>
        <w:spacing w:after="0" w:line="240" w:lineRule="auto"/>
        <w:jc w:val="both"/>
        <w:rPr>
          <w:rFonts w:ascii="Calibri" w:hAnsi="Calibri" w:cs="Calibri"/>
          <w:b/>
          <w:sz w:val="24"/>
          <w:szCs w:val="24"/>
        </w:rPr>
      </w:pPr>
    </w:p>
    <w:p w14:paraId="4FCFE184" w14:textId="2258195C" w:rsidR="00393DDB" w:rsidRPr="007E14F9"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2.2a Projekty spolufinancované ze SFDI</w:t>
      </w:r>
    </w:p>
    <w:p w14:paraId="750B6130" w14:textId="77777777" w:rsidR="008376EB" w:rsidRDefault="008376EB" w:rsidP="007E14F9">
      <w:pPr>
        <w:spacing w:after="0" w:line="240" w:lineRule="auto"/>
        <w:jc w:val="both"/>
        <w:rPr>
          <w:rFonts w:ascii="Calibri" w:hAnsi="Calibri" w:cs="Calibri"/>
          <w:sz w:val="24"/>
          <w:szCs w:val="24"/>
          <w:lang w:eastAsia="cs-CZ"/>
        </w:rPr>
      </w:pPr>
    </w:p>
    <w:p w14:paraId="509C5F47"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sz w:val="24"/>
          <w:szCs w:val="24"/>
          <w:lang w:eastAsia="cs-CZ"/>
        </w:rPr>
        <w:t xml:space="preserve">Kontrole NKÚ bylo podrobeno celkem 23 projektů, u nichž </w:t>
      </w:r>
      <w:r w:rsidRPr="007E14F9">
        <w:rPr>
          <w:rFonts w:ascii="Calibri" w:hAnsi="Calibri" w:cs="Calibri"/>
          <w:sz w:val="24"/>
          <w:szCs w:val="24"/>
        </w:rPr>
        <w:t>byl kontrolován soulad postupu kontrolovaných osob při jejich přípravě s podmínkami poskytnutí dotace z rozpočtu SFDI stanovenými v metodických pokynech SFDI na jednotlivé roky kontrolovaného období.</w:t>
      </w:r>
    </w:p>
    <w:p w14:paraId="1A0015EA" w14:textId="77777777" w:rsidR="008376EB" w:rsidRPr="007E14F9" w:rsidRDefault="008376EB" w:rsidP="007E14F9">
      <w:pPr>
        <w:spacing w:after="0" w:line="240" w:lineRule="auto"/>
        <w:jc w:val="both"/>
        <w:rPr>
          <w:rFonts w:ascii="Calibri" w:hAnsi="Calibri" w:cs="Calibri"/>
          <w:sz w:val="24"/>
          <w:szCs w:val="24"/>
        </w:rPr>
      </w:pPr>
    </w:p>
    <w:p w14:paraId="105573CC" w14:textId="77777777" w:rsidR="00393DDB"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Kontrolou bylo zjištěno, že všichni příjemci splnili podmínky pro získání finančních prostředků ze SFDI. Všechny kontrolované projekty byly schváleny radou příslušného kraje a byly obsaženy v rozpisech akcí schválených CK MD.</w:t>
      </w:r>
    </w:p>
    <w:p w14:paraId="39481F05" w14:textId="77777777" w:rsidR="008376EB" w:rsidRPr="007E14F9" w:rsidRDefault="008376EB" w:rsidP="007E14F9">
      <w:pPr>
        <w:spacing w:after="0" w:line="240" w:lineRule="auto"/>
        <w:jc w:val="both"/>
        <w:rPr>
          <w:rFonts w:ascii="Calibri" w:hAnsi="Calibri" w:cs="Calibri"/>
          <w:b/>
          <w:sz w:val="24"/>
          <w:szCs w:val="24"/>
        </w:rPr>
      </w:pPr>
    </w:p>
    <w:p w14:paraId="1EDAC85A" w14:textId="0CB04E1C" w:rsidR="00393DDB"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Rozpis akcí, který zároveň sloužil jako žádost o dotaci, obsahoval mj. stručný popis akce vč</w:t>
      </w:r>
      <w:r w:rsidR="00F54301">
        <w:rPr>
          <w:rFonts w:ascii="Calibri" w:hAnsi="Calibri" w:cs="Calibri"/>
          <w:sz w:val="24"/>
          <w:szCs w:val="24"/>
        </w:rPr>
        <w:t>etně</w:t>
      </w:r>
      <w:r w:rsidRPr="007E14F9">
        <w:rPr>
          <w:rFonts w:ascii="Calibri" w:hAnsi="Calibri" w:cs="Calibri"/>
          <w:sz w:val="24"/>
          <w:szCs w:val="24"/>
        </w:rPr>
        <w:t xml:space="preserve"> ekonomického odůvodnění realizace akce a prohlášení o dodržení zásad 3E při výběru akce k realizaci. Cílem projektů, vyplývajícím z popisu v uvedeném rozpisu akcí, byla u všech vybraných projektů oprava špatného až havarijního stavu silnice II. nebo III. třídy, resp. most</w:t>
      </w:r>
      <w:r w:rsidR="00F54301">
        <w:rPr>
          <w:rFonts w:ascii="Calibri" w:hAnsi="Calibri" w:cs="Calibri"/>
          <w:sz w:val="24"/>
          <w:szCs w:val="24"/>
        </w:rPr>
        <w:t>ů</w:t>
      </w:r>
      <w:r w:rsidRPr="007E14F9">
        <w:rPr>
          <w:rFonts w:ascii="Calibri" w:hAnsi="Calibri" w:cs="Calibri"/>
          <w:sz w:val="24"/>
          <w:szCs w:val="24"/>
        </w:rPr>
        <w:t xml:space="preserve"> na těchto silnicích. Přestože pravidla SFDI nepožadovala, aby rozpis akcí obsahoval přesné cíle (výsledky) projektu a kritéria pro hodnocení jejich dosažení, formulovali příjemci cíle, resp. popisy akcí v rozpisu akcí jednoznačně a</w:t>
      </w:r>
      <w:r w:rsidR="00F54301">
        <w:rPr>
          <w:rFonts w:ascii="Calibri" w:hAnsi="Calibri" w:cs="Calibri"/>
          <w:sz w:val="24"/>
          <w:szCs w:val="24"/>
        </w:rPr>
        <w:t xml:space="preserve"> cíle</w:t>
      </w:r>
      <w:r w:rsidRPr="007E14F9">
        <w:rPr>
          <w:rFonts w:ascii="Calibri" w:hAnsi="Calibri" w:cs="Calibri"/>
          <w:sz w:val="24"/>
          <w:szCs w:val="24"/>
        </w:rPr>
        <w:t xml:space="preserve"> obsahovaly měřitelný ukazatel v podobě délky opravovaného úseku. Úseky byly jednoznačně vymezeny označením a staničením příslušné komunikace.</w:t>
      </w:r>
    </w:p>
    <w:p w14:paraId="4A44EDC0" w14:textId="77777777" w:rsidR="008376EB" w:rsidRPr="007E14F9" w:rsidRDefault="008376EB" w:rsidP="007E14F9">
      <w:pPr>
        <w:spacing w:after="0" w:line="240" w:lineRule="auto"/>
        <w:jc w:val="both"/>
        <w:rPr>
          <w:rFonts w:ascii="Calibri" w:hAnsi="Calibri" w:cs="Calibri"/>
          <w:sz w:val="24"/>
          <w:szCs w:val="24"/>
        </w:rPr>
      </w:pPr>
    </w:p>
    <w:p w14:paraId="5161BC69" w14:textId="62B14875" w:rsidR="00393DDB"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 xml:space="preserve">Žádosti o poskytnutí finančních prostředků z rozpočtu SFDI, resp. žádosti o odsouhlasení akcí pro CK MD </w:t>
      </w:r>
      <w:r w:rsidRPr="007E14F9">
        <w:rPr>
          <w:rFonts w:ascii="Calibri" w:hAnsi="Calibri" w:cs="Calibri"/>
          <w:sz w:val="24"/>
          <w:szCs w:val="24"/>
        </w:rPr>
        <w:t>(rozpisy akcí)</w:t>
      </w:r>
      <w:r w:rsidRPr="007E14F9">
        <w:rPr>
          <w:rFonts w:ascii="Calibri" w:hAnsi="Calibri" w:cs="Calibri"/>
          <w:b/>
          <w:sz w:val="24"/>
          <w:szCs w:val="24"/>
        </w:rPr>
        <w:t xml:space="preserve"> vč</w:t>
      </w:r>
      <w:r w:rsidR="00F54301">
        <w:rPr>
          <w:rFonts w:ascii="Calibri" w:hAnsi="Calibri" w:cs="Calibri"/>
          <w:b/>
          <w:sz w:val="24"/>
          <w:szCs w:val="24"/>
        </w:rPr>
        <w:t>etně</w:t>
      </w:r>
      <w:r w:rsidRPr="007E14F9">
        <w:rPr>
          <w:rFonts w:ascii="Calibri" w:hAnsi="Calibri" w:cs="Calibri"/>
          <w:b/>
          <w:sz w:val="24"/>
          <w:szCs w:val="24"/>
        </w:rPr>
        <w:t xml:space="preserve"> jejich aktualizací obsahovaly veškeré náležitosti požadované metodickými materiály SFDI.</w:t>
      </w:r>
    </w:p>
    <w:p w14:paraId="2D85E3EF" w14:textId="77777777" w:rsidR="008376EB" w:rsidRPr="007E14F9" w:rsidRDefault="008376EB" w:rsidP="007E14F9">
      <w:pPr>
        <w:spacing w:after="0" w:line="240" w:lineRule="auto"/>
        <w:jc w:val="both"/>
        <w:rPr>
          <w:rFonts w:ascii="Calibri" w:hAnsi="Calibri" w:cs="Calibri"/>
          <w:b/>
          <w:sz w:val="24"/>
          <w:szCs w:val="24"/>
        </w:rPr>
      </w:pPr>
    </w:p>
    <w:p w14:paraId="04860EDC"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Smlouvy o poskytnutí dotace, uzavřené na roky 2015 a 2016, byly s příjemci uzavřeny v souladu s rozpisy akcí, resp. žádostmi předloženými SFDI. Finanční prostředky z rozpočtu SFDI byly určeny na financování akcí uvedených v rozpisech akcí odsouhlasených CK MD</w:t>
      </w:r>
      <w:r w:rsidRPr="00BE44A0">
        <w:rPr>
          <w:rFonts w:ascii="Calibri" w:hAnsi="Calibri" w:cs="Calibri"/>
          <w:b/>
          <w:sz w:val="24"/>
          <w:szCs w:val="24"/>
        </w:rPr>
        <w:t>.</w:t>
      </w:r>
    </w:p>
    <w:p w14:paraId="25F4C8E4" w14:textId="77777777" w:rsidR="008376EB" w:rsidRPr="007E14F9" w:rsidRDefault="008376EB" w:rsidP="007E14F9">
      <w:pPr>
        <w:spacing w:after="0" w:line="240" w:lineRule="auto"/>
        <w:jc w:val="both"/>
        <w:rPr>
          <w:rFonts w:ascii="Calibri" w:hAnsi="Calibri" w:cs="Calibri"/>
          <w:sz w:val="24"/>
          <w:szCs w:val="24"/>
        </w:rPr>
      </w:pPr>
    </w:p>
    <w:p w14:paraId="3ACBAACB" w14:textId="13E8AB84" w:rsidR="00393DDB" w:rsidRDefault="00393DDB" w:rsidP="007E14F9">
      <w:pPr>
        <w:spacing w:after="0" w:line="240" w:lineRule="auto"/>
        <w:jc w:val="both"/>
        <w:rPr>
          <w:rFonts w:ascii="Calibri" w:hAnsi="Calibri" w:cs="Calibri"/>
          <w:b/>
          <w:sz w:val="24"/>
          <w:szCs w:val="24"/>
          <w:lang w:eastAsia="cs-CZ"/>
        </w:rPr>
      </w:pPr>
      <w:r w:rsidRPr="007E14F9">
        <w:rPr>
          <w:rFonts w:ascii="Calibri" w:hAnsi="Calibri" w:cs="Calibri"/>
          <w:b/>
          <w:sz w:val="24"/>
          <w:szCs w:val="24"/>
          <w:lang w:eastAsia="cs-CZ"/>
        </w:rPr>
        <w:t>2.2b Projekty spolufinancované z</w:t>
      </w:r>
      <w:r w:rsidR="008376EB">
        <w:rPr>
          <w:rFonts w:ascii="Calibri" w:hAnsi="Calibri" w:cs="Calibri"/>
          <w:b/>
          <w:sz w:val="24"/>
          <w:szCs w:val="24"/>
          <w:lang w:eastAsia="cs-CZ"/>
        </w:rPr>
        <w:t> </w:t>
      </w:r>
      <w:r w:rsidRPr="007E14F9">
        <w:rPr>
          <w:rFonts w:ascii="Calibri" w:hAnsi="Calibri" w:cs="Calibri"/>
          <w:b/>
          <w:sz w:val="24"/>
          <w:szCs w:val="24"/>
          <w:lang w:eastAsia="cs-CZ"/>
        </w:rPr>
        <w:t>EU</w:t>
      </w:r>
    </w:p>
    <w:p w14:paraId="32641107" w14:textId="77777777" w:rsidR="008376EB" w:rsidRPr="007E14F9" w:rsidRDefault="008376EB" w:rsidP="007E14F9">
      <w:pPr>
        <w:spacing w:after="0" w:line="240" w:lineRule="auto"/>
        <w:jc w:val="both"/>
        <w:rPr>
          <w:rFonts w:ascii="Calibri" w:hAnsi="Calibri" w:cs="Calibri"/>
          <w:b/>
          <w:sz w:val="24"/>
          <w:szCs w:val="24"/>
          <w:lang w:eastAsia="cs-CZ"/>
        </w:rPr>
      </w:pPr>
    </w:p>
    <w:p w14:paraId="43EE06DE"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sz w:val="24"/>
          <w:szCs w:val="24"/>
          <w:lang w:eastAsia="cs-CZ"/>
        </w:rPr>
        <w:t xml:space="preserve">Kontrole NKÚ bylo podrobeno celkem 16 projektů, u nichž </w:t>
      </w:r>
      <w:r w:rsidRPr="007E14F9">
        <w:rPr>
          <w:rFonts w:ascii="Calibri" w:hAnsi="Calibri" w:cs="Calibri"/>
          <w:sz w:val="24"/>
          <w:szCs w:val="24"/>
        </w:rPr>
        <w:t>byl kontrolován soulad postupu kontrolovaných osob při jejich přípravě s podmínkami poskytnutí dotace z příslušného ROP stanovenými ve výzvách, příručkách pro žadatele a příjemce, metodických pokynech a dalších dokumentech ROP.</w:t>
      </w:r>
    </w:p>
    <w:p w14:paraId="1D8A5DE0" w14:textId="77777777" w:rsidR="008376EB" w:rsidRPr="007E14F9" w:rsidRDefault="008376EB" w:rsidP="007E14F9">
      <w:pPr>
        <w:spacing w:after="0" w:line="240" w:lineRule="auto"/>
        <w:jc w:val="both"/>
        <w:rPr>
          <w:rFonts w:ascii="Calibri" w:hAnsi="Calibri" w:cs="Calibri"/>
          <w:sz w:val="24"/>
          <w:szCs w:val="24"/>
        </w:rPr>
      </w:pPr>
    </w:p>
    <w:p w14:paraId="60400B14" w14:textId="77777777" w:rsidR="00393DDB" w:rsidRPr="007E14F9"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lastRenderedPageBreak/>
        <w:t>Kontrolou bylo zjištěno, že všichni příjemci splnili podmínky pro získání finančních prostředků z ROP.</w:t>
      </w:r>
    </w:p>
    <w:p w14:paraId="13F5DAA8" w14:textId="77777777" w:rsidR="00895164" w:rsidRDefault="00895164" w:rsidP="007E14F9">
      <w:pPr>
        <w:spacing w:after="0" w:line="240" w:lineRule="auto"/>
        <w:jc w:val="both"/>
        <w:rPr>
          <w:rFonts w:ascii="Calibri" w:hAnsi="Calibri" w:cs="Calibri"/>
          <w:sz w:val="24"/>
          <w:szCs w:val="24"/>
        </w:rPr>
      </w:pPr>
    </w:p>
    <w:p w14:paraId="59D21115" w14:textId="77777777" w:rsidR="0090171D"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 xml:space="preserve">Příjemci předkládali žádosti o poskytnutí dotace v rámci vyhlášených výzev příslušných ROP v souladu s předpisy RR. </w:t>
      </w:r>
    </w:p>
    <w:p w14:paraId="6AE6395A" w14:textId="77777777" w:rsidR="00895164" w:rsidRPr="007E14F9" w:rsidRDefault="00895164" w:rsidP="007E14F9">
      <w:pPr>
        <w:spacing w:after="0" w:line="240" w:lineRule="auto"/>
        <w:jc w:val="both"/>
        <w:rPr>
          <w:rFonts w:ascii="Calibri" w:hAnsi="Calibri" w:cs="Calibri"/>
          <w:sz w:val="24"/>
          <w:szCs w:val="24"/>
        </w:rPr>
      </w:pPr>
    </w:p>
    <w:p w14:paraId="1D333306" w14:textId="77777777" w:rsidR="00393DDB" w:rsidRPr="007E14F9"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Kontrolou NKÚ bylo ověřeno, že žádosti, resp. finální návrhy projektů obsahovaly všechny předepsané náležitosti v souladu s pravidly RR.</w:t>
      </w:r>
    </w:p>
    <w:p w14:paraId="50393470" w14:textId="77777777" w:rsidR="00895164" w:rsidRDefault="00895164" w:rsidP="007E14F9">
      <w:pPr>
        <w:spacing w:after="0" w:line="240" w:lineRule="auto"/>
        <w:jc w:val="both"/>
        <w:rPr>
          <w:rFonts w:ascii="Calibri" w:hAnsi="Calibri" w:cs="Calibri"/>
          <w:color w:val="000000"/>
          <w:sz w:val="24"/>
          <w:szCs w:val="24"/>
        </w:rPr>
      </w:pPr>
    </w:p>
    <w:p w14:paraId="3D9D7C90" w14:textId="77777777" w:rsidR="00393DDB" w:rsidRDefault="00393DDB" w:rsidP="007E14F9">
      <w:pPr>
        <w:spacing w:after="0" w:line="240" w:lineRule="auto"/>
        <w:jc w:val="both"/>
        <w:rPr>
          <w:rFonts w:ascii="Calibri" w:hAnsi="Calibri" w:cs="Calibri"/>
          <w:bCs/>
          <w:iCs/>
          <w:sz w:val="24"/>
          <w:szCs w:val="24"/>
        </w:rPr>
      </w:pPr>
      <w:r w:rsidRPr="007E14F9">
        <w:rPr>
          <w:rFonts w:ascii="Calibri" w:hAnsi="Calibri" w:cs="Calibri"/>
          <w:color w:val="000000"/>
          <w:sz w:val="24"/>
          <w:szCs w:val="24"/>
        </w:rPr>
        <w:t xml:space="preserve">Smlouvy o poskytnutí dotace odpovídaly žádostem o podporu a obsahovaly mj. </w:t>
      </w:r>
      <w:r w:rsidRPr="007E14F9">
        <w:rPr>
          <w:rFonts w:ascii="Calibri" w:hAnsi="Calibri" w:cs="Calibri"/>
          <w:bCs/>
          <w:iCs/>
          <w:sz w:val="24"/>
          <w:szCs w:val="24"/>
        </w:rPr>
        <w:t>základní pravidla a podmínky pro příjemce podpory zajišťující hospodárné, účelné a efektivní čerpání podpory.</w:t>
      </w:r>
    </w:p>
    <w:p w14:paraId="5DC06BEA" w14:textId="77777777" w:rsidR="00895164" w:rsidRPr="007E14F9" w:rsidRDefault="00895164" w:rsidP="007E14F9">
      <w:pPr>
        <w:spacing w:after="0" w:line="240" w:lineRule="auto"/>
        <w:jc w:val="both"/>
        <w:rPr>
          <w:rFonts w:ascii="Calibri" w:hAnsi="Calibri" w:cs="Calibri"/>
          <w:sz w:val="24"/>
          <w:szCs w:val="24"/>
          <w:highlight w:val="yellow"/>
          <w:lang w:eastAsia="cs-CZ"/>
        </w:rPr>
      </w:pPr>
    </w:p>
    <w:p w14:paraId="39F8D46A" w14:textId="37B11439" w:rsidR="00393DDB"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Cíle projektů byly ve všech případech v souladu s cílem příslušného ROP, prioritní osy i oblasti podpory a byly řádně odůvodněn</w:t>
      </w:r>
      <w:r w:rsidR="007F3405">
        <w:rPr>
          <w:rFonts w:ascii="Calibri" w:hAnsi="Calibri" w:cs="Calibri"/>
          <w:sz w:val="24"/>
          <w:szCs w:val="24"/>
        </w:rPr>
        <w:t>y</w:t>
      </w:r>
      <w:r w:rsidRPr="007E14F9">
        <w:rPr>
          <w:rFonts w:ascii="Calibri" w:hAnsi="Calibri" w:cs="Calibri"/>
          <w:sz w:val="24"/>
          <w:szCs w:val="24"/>
        </w:rPr>
        <w:t>.</w:t>
      </w:r>
    </w:p>
    <w:p w14:paraId="19F9A946" w14:textId="77777777" w:rsidR="00895164" w:rsidRPr="007E14F9" w:rsidRDefault="00895164" w:rsidP="007E14F9">
      <w:pPr>
        <w:spacing w:after="0" w:line="240" w:lineRule="auto"/>
        <w:jc w:val="both"/>
        <w:rPr>
          <w:rFonts w:ascii="Calibri" w:hAnsi="Calibri" w:cs="Calibri"/>
          <w:sz w:val="24"/>
          <w:szCs w:val="24"/>
        </w:rPr>
      </w:pPr>
    </w:p>
    <w:p w14:paraId="19DF8FD7" w14:textId="2EAD4B91" w:rsidR="00393DDB" w:rsidRPr="007E14F9"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 xml:space="preserve">Kontrolou NKÚ bylo zjištěno, že někteří příjemci nekvantifikovali některé cíle projektů tak, aby byly měřitelné a bylo možné vyhodnotit všechny skutečné přínosy projektů, </w:t>
      </w:r>
      <w:r w:rsidRPr="007E14F9">
        <w:rPr>
          <w:rFonts w:ascii="Calibri" w:hAnsi="Calibri" w:cs="Calibri"/>
          <w:sz w:val="24"/>
          <w:szCs w:val="24"/>
        </w:rPr>
        <w:t>např.</w:t>
      </w:r>
      <w:r w:rsidRPr="007E14F9">
        <w:rPr>
          <w:rFonts w:ascii="Calibri" w:hAnsi="Calibri" w:cs="Calibri"/>
          <w:b/>
          <w:sz w:val="24"/>
          <w:szCs w:val="24"/>
        </w:rPr>
        <w:t>:</w:t>
      </w:r>
    </w:p>
    <w:p w14:paraId="309DE16E" w14:textId="77777777" w:rsidR="00393DDB" w:rsidRPr="00BE44A0" w:rsidRDefault="00393DDB" w:rsidP="00BE44A0">
      <w:pPr>
        <w:numPr>
          <w:ilvl w:val="0"/>
          <w:numId w:val="28"/>
        </w:numPr>
        <w:spacing w:after="0" w:line="240" w:lineRule="auto"/>
        <w:ind w:left="284" w:hanging="284"/>
        <w:jc w:val="both"/>
        <w:rPr>
          <w:rFonts w:ascii="Calibri" w:eastAsia="Times New Roman" w:hAnsi="Calibri" w:cs="Calibri"/>
          <w:sz w:val="24"/>
          <w:szCs w:val="24"/>
          <w:lang w:eastAsia="cs-CZ"/>
        </w:rPr>
      </w:pPr>
      <w:r w:rsidRPr="00BE44A0">
        <w:rPr>
          <w:rFonts w:ascii="Calibri" w:eastAsia="Times New Roman" w:hAnsi="Calibri" w:cs="Calibri"/>
          <w:sz w:val="24"/>
          <w:szCs w:val="24"/>
          <w:lang w:eastAsia="cs-CZ"/>
        </w:rPr>
        <w:t>SÚS Plzeňského kraje stanovila u projektů např. cíle „</w:t>
      </w:r>
      <w:r w:rsidRPr="00BE44A0">
        <w:rPr>
          <w:rFonts w:ascii="Calibri" w:eastAsia="Times New Roman" w:hAnsi="Calibri" w:cs="Calibri"/>
          <w:i/>
          <w:sz w:val="24"/>
          <w:szCs w:val="24"/>
          <w:lang w:eastAsia="cs-CZ"/>
        </w:rPr>
        <w:t>zvýšení úrovně kvality života obyvatel přilehlé městské části</w:t>
      </w:r>
      <w:r w:rsidRPr="00BE44A0">
        <w:rPr>
          <w:rFonts w:ascii="Calibri" w:eastAsia="Times New Roman" w:hAnsi="Calibri" w:cs="Calibri"/>
          <w:sz w:val="24"/>
          <w:szCs w:val="24"/>
          <w:lang w:eastAsia="cs-CZ"/>
        </w:rPr>
        <w:t>“,</w:t>
      </w:r>
      <w:r w:rsidRPr="00BE44A0">
        <w:rPr>
          <w:rFonts w:ascii="Calibri" w:eastAsia="Times New Roman" w:hAnsi="Calibri" w:cs="Calibri"/>
          <w:i/>
          <w:sz w:val="24"/>
          <w:szCs w:val="24"/>
          <w:lang w:eastAsia="cs-CZ"/>
        </w:rPr>
        <w:t xml:space="preserve"> </w:t>
      </w:r>
      <w:r w:rsidRPr="00BE44A0">
        <w:rPr>
          <w:rFonts w:ascii="Calibri" w:eastAsia="Times New Roman" w:hAnsi="Calibri" w:cs="Calibri"/>
          <w:sz w:val="24"/>
          <w:szCs w:val="24"/>
          <w:lang w:eastAsia="cs-CZ"/>
        </w:rPr>
        <w:t>„</w:t>
      </w:r>
      <w:r w:rsidRPr="00BE44A0">
        <w:rPr>
          <w:rFonts w:ascii="Calibri" w:eastAsia="Times New Roman" w:hAnsi="Calibri" w:cs="Calibri"/>
          <w:i/>
          <w:sz w:val="24"/>
          <w:szCs w:val="24"/>
          <w:lang w:eastAsia="cs-CZ"/>
        </w:rPr>
        <w:t>zlepšení kvality životního prostředí v dotčené lokalitě</w:t>
      </w:r>
      <w:r w:rsidRPr="00BE44A0">
        <w:rPr>
          <w:rFonts w:ascii="Calibri" w:eastAsia="Times New Roman" w:hAnsi="Calibri" w:cs="Calibri"/>
          <w:sz w:val="24"/>
          <w:szCs w:val="24"/>
          <w:lang w:eastAsia="cs-CZ"/>
        </w:rPr>
        <w:t>“, „</w:t>
      </w:r>
      <w:r w:rsidRPr="00BE44A0">
        <w:rPr>
          <w:rFonts w:ascii="Calibri" w:eastAsia="Times New Roman" w:hAnsi="Calibri" w:cs="Calibri"/>
          <w:i/>
          <w:sz w:val="24"/>
          <w:szCs w:val="24"/>
          <w:lang w:eastAsia="cs-CZ"/>
        </w:rPr>
        <w:t>zlepšení propustnosti komunikací využívaných tranzitní dopravou</w:t>
      </w:r>
      <w:r w:rsidRPr="00BE44A0">
        <w:rPr>
          <w:rFonts w:ascii="Calibri" w:eastAsia="Times New Roman" w:hAnsi="Calibri" w:cs="Calibri"/>
          <w:sz w:val="24"/>
          <w:szCs w:val="24"/>
          <w:lang w:eastAsia="cs-CZ"/>
        </w:rPr>
        <w:t>“, „</w:t>
      </w:r>
      <w:r w:rsidRPr="00BE44A0">
        <w:rPr>
          <w:rFonts w:ascii="Calibri" w:eastAsia="Times New Roman" w:hAnsi="Calibri" w:cs="Calibri"/>
          <w:i/>
          <w:sz w:val="24"/>
          <w:szCs w:val="24"/>
          <w:lang w:eastAsia="cs-CZ"/>
        </w:rPr>
        <w:t>vyšší kvalita života obyvatel přilehlých obcí</w:t>
      </w:r>
      <w:r w:rsidRPr="00BE44A0">
        <w:rPr>
          <w:rFonts w:ascii="Calibri" w:eastAsia="Times New Roman" w:hAnsi="Calibri" w:cs="Calibri"/>
          <w:sz w:val="24"/>
          <w:szCs w:val="24"/>
          <w:lang w:eastAsia="cs-CZ"/>
        </w:rPr>
        <w:t>“, „</w:t>
      </w:r>
      <w:r w:rsidRPr="00BE44A0">
        <w:rPr>
          <w:rFonts w:ascii="Calibri" w:eastAsia="Times New Roman" w:hAnsi="Calibri" w:cs="Calibri"/>
          <w:i/>
          <w:sz w:val="24"/>
          <w:szCs w:val="24"/>
          <w:lang w:eastAsia="cs-CZ"/>
        </w:rPr>
        <w:t>nižší hluková a emisní zátěž</w:t>
      </w:r>
      <w:r w:rsidRPr="00BE44A0">
        <w:rPr>
          <w:rFonts w:ascii="Calibri" w:eastAsia="Times New Roman" w:hAnsi="Calibri" w:cs="Calibri"/>
          <w:sz w:val="24"/>
          <w:szCs w:val="24"/>
          <w:lang w:eastAsia="cs-CZ"/>
        </w:rPr>
        <w:t>“, „</w:t>
      </w:r>
      <w:r w:rsidRPr="00BE44A0">
        <w:rPr>
          <w:rFonts w:ascii="Calibri" w:eastAsia="Times New Roman" w:hAnsi="Calibri" w:cs="Calibri"/>
          <w:bCs/>
          <w:i/>
          <w:iCs/>
          <w:sz w:val="24"/>
          <w:szCs w:val="24"/>
          <w:lang w:eastAsia="cs-CZ"/>
        </w:rPr>
        <w:t>zkrácení cestovní doby</w:t>
      </w:r>
      <w:r w:rsidRPr="00BE44A0">
        <w:rPr>
          <w:rFonts w:ascii="Calibri" w:eastAsia="Times New Roman" w:hAnsi="Calibri" w:cs="Calibri"/>
          <w:bCs/>
          <w:iCs/>
          <w:sz w:val="24"/>
          <w:szCs w:val="24"/>
          <w:lang w:eastAsia="cs-CZ"/>
        </w:rPr>
        <w:t>“, nebo „</w:t>
      </w:r>
      <w:r w:rsidRPr="00BE44A0">
        <w:rPr>
          <w:rFonts w:ascii="Calibri" w:eastAsia="Times New Roman" w:hAnsi="Calibri" w:cs="Calibri"/>
          <w:bCs/>
          <w:i/>
          <w:iCs/>
          <w:sz w:val="24"/>
          <w:szCs w:val="24"/>
          <w:lang w:eastAsia="cs-CZ"/>
        </w:rPr>
        <w:t>zlepšení bezpečnosti, plynulosti, bezprašnosti apod. silničního provozu</w:t>
      </w:r>
      <w:r w:rsidRPr="00BE44A0">
        <w:rPr>
          <w:rFonts w:ascii="Calibri" w:eastAsia="Times New Roman" w:hAnsi="Calibri" w:cs="Calibri"/>
          <w:bCs/>
          <w:iCs/>
          <w:sz w:val="24"/>
          <w:szCs w:val="24"/>
          <w:lang w:eastAsia="cs-CZ"/>
        </w:rPr>
        <w:t xml:space="preserve">“. </w:t>
      </w:r>
      <w:r w:rsidRPr="00BE44A0">
        <w:rPr>
          <w:rFonts w:ascii="Calibri" w:eastAsia="Times New Roman" w:hAnsi="Calibri" w:cs="Calibri"/>
          <w:bCs/>
          <w:sz w:val="24"/>
          <w:szCs w:val="24"/>
          <w:lang w:eastAsia="cs-CZ"/>
        </w:rPr>
        <w:t xml:space="preserve">U takto specifikovaných cílů projektů nestanovila SÚS </w:t>
      </w:r>
      <w:r w:rsidRPr="00BE44A0">
        <w:rPr>
          <w:rFonts w:ascii="Calibri" w:eastAsia="Times New Roman" w:hAnsi="Calibri" w:cs="Calibri"/>
          <w:sz w:val="24"/>
          <w:szCs w:val="24"/>
          <w:lang w:eastAsia="cs-CZ"/>
        </w:rPr>
        <w:t xml:space="preserve">Plzeňského kraje </w:t>
      </w:r>
      <w:r w:rsidRPr="00BE44A0">
        <w:rPr>
          <w:rFonts w:ascii="Calibri" w:eastAsia="Times New Roman" w:hAnsi="Calibri" w:cs="Calibri"/>
          <w:bCs/>
          <w:sz w:val="24"/>
          <w:szCs w:val="24"/>
          <w:lang w:eastAsia="cs-CZ"/>
        </w:rPr>
        <w:t>kritéria pro jejich hodnocení.</w:t>
      </w:r>
    </w:p>
    <w:p w14:paraId="33DE06E3" w14:textId="23651FA6" w:rsidR="00393DDB" w:rsidRPr="00BE44A0" w:rsidRDefault="00393DDB" w:rsidP="00BE44A0">
      <w:pPr>
        <w:numPr>
          <w:ilvl w:val="0"/>
          <w:numId w:val="28"/>
        </w:numPr>
        <w:spacing w:after="0" w:line="240" w:lineRule="auto"/>
        <w:ind w:left="284" w:hanging="284"/>
        <w:jc w:val="both"/>
        <w:rPr>
          <w:rFonts w:ascii="Calibri" w:eastAsia="Times New Roman" w:hAnsi="Calibri" w:cs="Calibri"/>
          <w:sz w:val="24"/>
          <w:szCs w:val="24"/>
          <w:lang w:eastAsia="cs-CZ"/>
        </w:rPr>
      </w:pPr>
      <w:r w:rsidRPr="00BE44A0">
        <w:rPr>
          <w:rFonts w:ascii="Calibri" w:eastAsia="Times New Roman" w:hAnsi="Calibri" w:cs="Calibri"/>
          <w:sz w:val="24"/>
          <w:szCs w:val="24"/>
          <w:lang w:eastAsia="cs-CZ"/>
        </w:rPr>
        <w:t>Pardubický kraj stanovil některé cíle např. „</w:t>
      </w:r>
      <w:r w:rsidRPr="00BE44A0">
        <w:rPr>
          <w:rFonts w:ascii="Calibri" w:eastAsia="Times New Roman" w:hAnsi="Calibri" w:cs="Calibri"/>
          <w:i/>
          <w:sz w:val="24"/>
          <w:szCs w:val="24"/>
          <w:lang w:eastAsia="cs-CZ"/>
        </w:rPr>
        <w:t>zvýšení komfortu pro místní obyvatele a návštěvníky</w:t>
      </w:r>
      <w:r w:rsidRPr="00BE44A0">
        <w:rPr>
          <w:rFonts w:ascii="Calibri" w:eastAsia="Times New Roman" w:hAnsi="Calibri" w:cs="Calibri"/>
          <w:sz w:val="24"/>
          <w:szCs w:val="24"/>
          <w:lang w:eastAsia="cs-CZ"/>
        </w:rPr>
        <w:t>“, „</w:t>
      </w:r>
      <w:r w:rsidRPr="00BE44A0">
        <w:rPr>
          <w:rFonts w:ascii="Calibri" w:eastAsia="Times New Roman" w:hAnsi="Calibri" w:cs="Calibri"/>
          <w:i/>
          <w:sz w:val="24"/>
          <w:szCs w:val="24"/>
          <w:lang w:eastAsia="cs-CZ"/>
        </w:rPr>
        <w:t>zvýšení atraktivity území</w:t>
      </w:r>
      <w:r w:rsidRPr="00BE44A0">
        <w:rPr>
          <w:rFonts w:ascii="Calibri" w:eastAsia="Times New Roman" w:hAnsi="Calibri" w:cs="Calibri"/>
          <w:sz w:val="24"/>
          <w:szCs w:val="24"/>
          <w:lang w:eastAsia="cs-CZ"/>
        </w:rPr>
        <w:t>“, „</w:t>
      </w:r>
      <w:r w:rsidRPr="00BE44A0">
        <w:rPr>
          <w:rFonts w:ascii="Calibri" w:eastAsia="Times New Roman" w:hAnsi="Calibri" w:cs="Calibri"/>
          <w:i/>
          <w:sz w:val="24"/>
          <w:szCs w:val="24"/>
          <w:lang w:eastAsia="cs-CZ"/>
        </w:rPr>
        <w:t>snížení negativních vlivů dopravy na ŽP a veřejné zdraví obyvatel</w:t>
      </w:r>
      <w:r w:rsidRPr="00BE44A0">
        <w:rPr>
          <w:rFonts w:ascii="Calibri" w:eastAsia="Times New Roman" w:hAnsi="Calibri" w:cs="Calibri"/>
          <w:sz w:val="24"/>
          <w:szCs w:val="24"/>
          <w:lang w:eastAsia="cs-CZ"/>
        </w:rPr>
        <w:t>“ obecně bez bližší specifikace, bez měřitelných hodnot a kvalitativně nevyhodnotitelné. U cíle „</w:t>
      </w:r>
      <w:r w:rsidRPr="00BE44A0">
        <w:rPr>
          <w:rFonts w:ascii="Calibri" w:eastAsia="Times New Roman" w:hAnsi="Calibri" w:cs="Calibri"/>
          <w:i/>
          <w:sz w:val="24"/>
          <w:szCs w:val="24"/>
          <w:lang w:eastAsia="cs-CZ"/>
        </w:rPr>
        <w:t>zvýšení plynulosti dopravy a tím snížení hlučnosti, prašnosti a exhalací z dopravy</w:t>
      </w:r>
      <w:r w:rsidRPr="00BE44A0">
        <w:rPr>
          <w:rFonts w:ascii="Calibri" w:eastAsia="Times New Roman" w:hAnsi="Calibri" w:cs="Calibri"/>
          <w:sz w:val="24"/>
          <w:szCs w:val="24"/>
          <w:lang w:eastAsia="cs-CZ"/>
        </w:rPr>
        <w:t>“</w:t>
      </w:r>
      <w:r w:rsidRPr="00BE44A0">
        <w:rPr>
          <w:rFonts w:ascii="Calibri" w:eastAsia="Times New Roman" w:hAnsi="Calibri" w:cs="Calibri"/>
          <w:i/>
          <w:sz w:val="24"/>
          <w:szCs w:val="24"/>
          <w:lang w:eastAsia="cs-CZ"/>
        </w:rPr>
        <w:t xml:space="preserve"> </w:t>
      </w:r>
      <w:r w:rsidRPr="00BE44A0">
        <w:rPr>
          <w:rFonts w:ascii="Calibri" w:eastAsia="Times New Roman" w:hAnsi="Calibri" w:cs="Calibri"/>
          <w:sz w:val="24"/>
          <w:szCs w:val="24"/>
          <w:lang w:eastAsia="cs-CZ"/>
        </w:rPr>
        <w:t>nestanovil Pardubický kraj</w:t>
      </w:r>
      <w:r w:rsidRPr="00BE44A0">
        <w:rPr>
          <w:rFonts w:ascii="Calibri" w:eastAsia="Times New Roman" w:hAnsi="Calibri" w:cs="Calibri"/>
          <w:i/>
          <w:sz w:val="24"/>
          <w:szCs w:val="24"/>
          <w:lang w:eastAsia="cs-CZ"/>
        </w:rPr>
        <w:t xml:space="preserve"> </w:t>
      </w:r>
      <w:r w:rsidRPr="00BE44A0">
        <w:rPr>
          <w:rFonts w:ascii="Calibri" w:eastAsia="Times New Roman" w:hAnsi="Calibri" w:cs="Calibri"/>
          <w:sz w:val="24"/>
          <w:szCs w:val="24"/>
          <w:lang w:eastAsia="cs-CZ"/>
        </w:rPr>
        <w:t>výchozí hodnotu a</w:t>
      </w:r>
      <w:r w:rsidR="000E77A1" w:rsidRPr="00BE44A0">
        <w:rPr>
          <w:rFonts w:ascii="Calibri" w:eastAsia="Times New Roman" w:hAnsi="Calibri" w:cs="Calibri"/>
          <w:sz w:val="24"/>
          <w:szCs w:val="24"/>
          <w:lang w:eastAsia="cs-CZ"/>
        </w:rPr>
        <w:t> </w:t>
      </w:r>
      <w:r w:rsidRPr="00BE44A0">
        <w:rPr>
          <w:rFonts w:ascii="Calibri" w:eastAsia="Times New Roman" w:hAnsi="Calibri" w:cs="Calibri"/>
          <w:sz w:val="24"/>
          <w:szCs w:val="24"/>
          <w:lang w:eastAsia="cs-CZ"/>
        </w:rPr>
        <w:t>hodnotu, kterou předpokládal, že realizací projektu dosáhne.</w:t>
      </w:r>
      <w:r w:rsidRPr="00BE44A0">
        <w:rPr>
          <w:rFonts w:ascii="Calibri" w:eastAsia="Times New Roman" w:hAnsi="Calibri" w:cs="Calibri"/>
          <w:bCs/>
          <w:sz w:val="24"/>
          <w:szCs w:val="24"/>
          <w:lang w:eastAsia="cs-CZ"/>
        </w:rPr>
        <w:t xml:space="preserve"> Z takto nastavených cílů, které v sobě nezahrnovaly kritéria pro hodnocení jejich dosažení, nemohl </w:t>
      </w:r>
      <w:r w:rsidRPr="00BE44A0">
        <w:rPr>
          <w:rFonts w:ascii="Calibri" w:eastAsia="Times New Roman" w:hAnsi="Calibri" w:cs="Calibri"/>
          <w:sz w:val="24"/>
          <w:szCs w:val="24"/>
          <w:lang w:eastAsia="cs-CZ"/>
        </w:rPr>
        <w:t>Pardubický kraj</w:t>
      </w:r>
      <w:r w:rsidRPr="00BE44A0">
        <w:rPr>
          <w:rFonts w:ascii="Calibri" w:eastAsia="Times New Roman" w:hAnsi="Calibri" w:cs="Calibri"/>
          <w:bCs/>
          <w:sz w:val="24"/>
          <w:szCs w:val="24"/>
          <w:lang w:eastAsia="cs-CZ"/>
        </w:rPr>
        <w:t xml:space="preserve"> vyhodnotit splnění cílů/přínosů projektu, které si v žádosti o dotaci stanovil.</w:t>
      </w:r>
    </w:p>
    <w:p w14:paraId="67BB08B5" w14:textId="77777777" w:rsidR="00393DDB" w:rsidRPr="00BE44A0" w:rsidRDefault="00393DDB" w:rsidP="00BE44A0">
      <w:pPr>
        <w:numPr>
          <w:ilvl w:val="0"/>
          <w:numId w:val="28"/>
        </w:numPr>
        <w:spacing w:after="0" w:line="240" w:lineRule="auto"/>
        <w:ind w:left="284" w:hanging="284"/>
        <w:jc w:val="both"/>
        <w:rPr>
          <w:rFonts w:ascii="Calibri" w:eastAsia="Times New Roman" w:hAnsi="Calibri" w:cs="Calibri"/>
          <w:sz w:val="24"/>
          <w:szCs w:val="24"/>
          <w:lang w:eastAsia="cs-CZ"/>
        </w:rPr>
      </w:pPr>
      <w:r w:rsidRPr="00BE44A0">
        <w:rPr>
          <w:rFonts w:ascii="Calibri" w:eastAsia="Times New Roman" w:hAnsi="Calibri" w:cs="Calibri"/>
          <w:sz w:val="24"/>
          <w:szCs w:val="24"/>
          <w:lang w:eastAsia="cs-CZ"/>
        </w:rPr>
        <w:t>Moravskoslezský kraj u jednoho projektu u cíle „</w:t>
      </w:r>
      <w:r w:rsidRPr="00BE44A0">
        <w:rPr>
          <w:rFonts w:ascii="Calibri" w:eastAsia="Calibri" w:hAnsi="Calibri" w:cs="Calibri"/>
          <w:i/>
          <w:sz w:val="24"/>
          <w:szCs w:val="24"/>
          <w:lang w:eastAsia="cs-CZ"/>
        </w:rPr>
        <w:t>snížení emisní a hlukové zátěže na okolí</w:t>
      </w:r>
      <w:r w:rsidRPr="00BE44A0">
        <w:rPr>
          <w:rFonts w:ascii="Calibri" w:eastAsia="Calibri" w:hAnsi="Calibri" w:cs="Calibri"/>
          <w:sz w:val="24"/>
          <w:szCs w:val="24"/>
          <w:lang w:eastAsia="cs-CZ"/>
        </w:rPr>
        <w:t xml:space="preserve">“ nestanovil žádné výchozí hodnoty. U ostatních cílů projektu výchozí hodnoty stanoveny byly. </w:t>
      </w:r>
      <w:r w:rsidR="00525849" w:rsidRPr="00BE44A0">
        <w:rPr>
          <w:rFonts w:ascii="Calibri" w:eastAsia="Calibri" w:hAnsi="Calibri" w:cs="Calibri"/>
          <w:sz w:val="24"/>
          <w:szCs w:val="24"/>
          <w:lang w:eastAsia="cs-CZ"/>
        </w:rPr>
        <w:t>H</w:t>
      </w:r>
      <w:r w:rsidRPr="00BE44A0">
        <w:rPr>
          <w:rFonts w:ascii="Calibri" w:eastAsia="Calibri" w:hAnsi="Calibri" w:cs="Calibri"/>
          <w:sz w:val="24"/>
          <w:szCs w:val="24"/>
          <w:lang w:eastAsia="cs-CZ"/>
        </w:rPr>
        <w:t>odnoty pro jednotlivé cíle stanoveny nebyly, kritériem pro jejich vyhodnocení byla prostá změna naměřených hodnot znamenající zlepšení výchozího stavu.</w:t>
      </w:r>
      <w:r w:rsidRPr="00BE44A0">
        <w:rPr>
          <w:rFonts w:ascii="Calibri" w:eastAsia="Times New Roman" w:hAnsi="Calibri" w:cs="Calibri"/>
          <w:sz w:val="24"/>
          <w:szCs w:val="24"/>
          <w:lang w:eastAsia="cs-CZ"/>
        </w:rPr>
        <w:t xml:space="preserve"> </w:t>
      </w:r>
      <w:r w:rsidRPr="00BE44A0">
        <w:rPr>
          <w:rFonts w:ascii="Calibri" w:eastAsia="Calibri" w:hAnsi="Calibri" w:cs="Calibri"/>
          <w:sz w:val="24"/>
          <w:szCs w:val="24"/>
          <w:lang w:eastAsia="cs-CZ"/>
        </w:rPr>
        <w:t>U cíle „</w:t>
      </w:r>
      <w:r w:rsidRPr="00BE44A0">
        <w:rPr>
          <w:rFonts w:ascii="Calibri" w:eastAsia="Calibri" w:hAnsi="Calibri" w:cs="Calibri"/>
          <w:i/>
          <w:sz w:val="24"/>
          <w:szCs w:val="24"/>
          <w:lang w:eastAsia="cs-CZ"/>
        </w:rPr>
        <w:t>vytvoření podmínek pro ekonomický rozvoj</w:t>
      </w:r>
      <w:r w:rsidRPr="00BE44A0">
        <w:rPr>
          <w:rFonts w:ascii="Calibri" w:eastAsia="Calibri" w:hAnsi="Calibri" w:cs="Calibri"/>
          <w:sz w:val="24"/>
          <w:szCs w:val="24"/>
          <w:lang w:eastAsia="cs-CZ"/>
        </w:rPr>
        <w:t>“ nebyly stanoveny žádné měřitelné a srovnatelné hodnoty. Obdobně u jiného projektu u cíle „</w:t>
      </w:r>
      <w:r w:rsidRPr="00BE44A0">
        <w:rPr>
          <w:rFonts w:ascii="Calibri" w:eastAsia="Calibri" w:hAnsi="Calibri" w:cs="Calibri"/>
          <w:i/>
          <w:sz w:val="24"/>
          <w:szCs w:val="24"/>
          <w:lang w:eastAsia="cs-CZ"/>
        </w:rPr>
        <w:t>oživení regionální ekonomiky a růstu atraktivity regionu uplatňováním strukturálních změn</w:t>
      </w:r>
      <w:r w:rsidRPr="00BE44A0">
        <w:rPr>
          <w:rFonts w:ascii="Calibri" w:eastAsia="Calibri" w:hAnsi="Calibri" w:cs="Calibri"/>
          <w:sz w:val="24"/>
          <w:szCs w:val="24"/>
          <w:lang w:eastAsia="cs-CZ"/>
        </w:rPr>
        <w:t xml:space="preserve">“ nestanovil </w:t>
      </w:r>
      <w:r w:rsidRPr="00BE44A0">
        <w:rPr>
          <w:rFonts w:ascii="Calibri" w:eastAsia="Times New Roman" w:hAnsi="Calibri" w:cs="Calibri"/>
          <w:sz w:val="24"/>
          <w:szCs w:val="24"/>
          <w:lang w:eastAsia="cs-CZ"/>
        </w:rPr>
        <w:t>Moravskoslezský kraj</w:t>
      </w:r>
      <w:r w:rsidRPr="00BE44A0">
        <w:rPr>
          <w:rFonts w:ascii="Calibri" w:eastAsia="Calibri" w:hAnsi="Calibri" w:cs="Calibri"/>
          <w:sz w:val="24"/>
          <w:szCs w:val="24"/>
          <w:lang w:eastAsia="cs-CZ"/>
        </w:rPr>
        <w:t xml:space="preserve"> žádné měřitelné hodnoty výchozího nebo cílového stavu.</w:t>
      </w:r>
    </w:p>
    <w:p w14:paraId="0D49E438" w14:textId="77777777" w:rsidR="00393DDB" w:rsidRPr="00BE44A0" w:rsidRDefault="00393DDB" w:rsidP="00BE44A0">
      <w:pPr>
        <w:numPr>
          <w:ilvl w:val="0"/>
          <w:numId w:val="28"/>
        </w:numPr>
        <w:spacing w:after="0" w:line="240" w:lineRule="auto"/>
        <w:ind w:left="284" w:hanging="284"/>
        <w:jc w:val="both"/>
        <w:rPr>
          <w:rFonts w:ascii="Calibri" w:eastAsia="Times New Roman" w:hAnsi="Calibri" w:cs="Calibri"/>
          <w:sz w:val="24"/>
          <w:szCs w:val="24"/>
          <w:lang w:eastAsia="cs-CZ"/>
        </w:rPr>
      </w:pPr>
      <w:r w:rsidRPr="00BE44A0">
        <w:rPr>
          <w:rFonts w:ascii="Calibri" w:eastAsia="Times New Roman" w:hAnsi="Calibri" w:cs="Calibri"/>
          <w:sz w:val="24"/>
          <w:szCs w:val="24"/>
          <w:lang w:eastAsia="cs-CZ"/>
        </w:rPr>
        <w:t>Jihočeský kraj stanovil u projektů mj. cíl „</w:t>
      </w:r>
      <w:r w:rsidRPr="00BE44A0">
        <w:rPr>
          <w:rFonts w:ascii="Calibri" w:eastAsia="Times New Roman" w:hAnsi="Calibri" w:cs="Calibri"/>
          <w:i/>
          <w:sz w:val="24"/>
          <w:szCs w:val="24"/>
          <w:lang w:eastAsia="cs-CZ"/>
        </w:rPr>
        <w:t>snížení hlukové a emisní zátěže</w:t>
      </w:r>
      <w:r w:rsidRPr="00BE44A0">
        <w:rPr>
          <w:rFonts w:ascii="Calibri" w:eastAsia="Times New Roman" w:hAnsi="Calibri" w:cs="Calibri"/>
          <w:sz w:val="24"/>
          <w:szCs w:val="24"/>
          <w:lang w:eastAsia="cs-CZ"/>
        </w:rPr>
        <w:t>“, přičemž měření hlučnosti a emisí před a po realizaci projektu neprováděl.</w:t>
      </w:r>
    </w:p>
    <w:p w14:paraId="66C4F15D" w14:textId="77777777" w:rsidR="00895164" w:rsidRPr="00895164" w:rsidRDefault="00895164" w:rsidP="007E14F9">
      <w:pPr>
        <w:spacing w:after="0" w:line="240" w:lineRule="auto"/>
        <w:rPr>
          <w:rFonts w:ascii="Calibri" w:hAnsi="Calibri" w:cs="Calibri"/>
          <w:sz w:val="24"/>
          <w:szCs w:val="24"/>
        </w:rPr>
      </w:pPr>
    </w:p>
    <w:p w14:paraId="2C6C5F64" w14:textId="77777777" w:rsidR="00393DDB" w:rsidRPr="007E14F9" w:rsidRDefault="00393DDB" w:rsidP="00895164">
      <w:pPr>
        <w:keepNext/>
        <w:spacing w:after="0" w:line="240" w:lineRule="auto"/>
        <w:rPr>
          <w:rFonts w:ascii="Calibri" w:hAnsi="Calibri" w:cs="Calibri"/>
          <w:b/>
          <w:sz w:val="24"/>
          <w:szCs w:val="24"/>
        </w:rPr>
      </w:pPr>
      <w:r w:rsidRPr="007E14F9">
        <w:rPr>
          <w:rFonts w:ascii="Calibri" w:hAnsi="Calibri" w:cs="Calibri"/>
          <w:b/>
          <w:sz w:val="24"/>
          <w:szCs w:val="24"/>
        </w:rPr>
        <w:t>2.3 Realizace projektů</w:t>
      </w:r>
    </w:p>
    <w:p w14:paraId="54945AAA" w14:textId="77777777" w:rsidR="00831687" w:rsidRDefault="00831687" w:rsidP="00895164">
      <w:pPr>
        <w:keepNext/>
        <w:spacing w:after="0" w:line="240" w:lineRule="auto"/>
        <w:jc w:val="both"/>
        <w:rPr>
          <w:rFonts w:ascii="Calibri" w:hAnsi="Calibri" w:cs="Calibri"/>
          <w:color w:val="000000"/>
          <w:sz w:val="24"/>
          <w:szCs w:val="24"/>
        </w:rPr>
      </w:pPr>
    </w:p>
    <w:p w14:paraId="5A6715B5" w14:textId="221B9F1C" w:rsidR="00393DDB" w:rsidRPr="007E14F9" w:rsidRDefault="00393DDB" w:rsidP="00895164">
      <w:pPr>
        <w:keepNext/>
        <w:spacing w:after="0" w:line="240" w:lineRule="auto"/>
        <w:jc w:val="both"/>
        <w:rPr>
          <w:rFonts w:ascii="Calibri" w:hAnsi="Calibri" w:cs="Calibri"/>
          <w:color w:val="000000"/>
          <w:sz w:val="24"/>
          <w:szCs w:val="24"/>
        </w:rPr>
      </w:pPr>
      <w:r w:rsidRPr="007E14F9">
        <w:rPr>
          <w:rFonts w:ascii="Calibri" w:hAnsi="Calibri" w:cs="Calibri"/>
          <w:color w:val="000000"/>
          <w:sz w:val="24"/>
          <w:szCs w:val="24"/>
        </w:rPr>
        <w:t xml:space="preserve">Kontrole NKÚ byl podroben postup příjemců v oblasti zadávání veřejných zakázek na zhotovitele stavby. Kontrola ověřovala zejména stanovení příslušného typu veřejné zakázky </w:t>
      </w:r>
      <w:r w:rsidRPr="007E14F9">
        <w:rPr>
          <w:rFonts w:ascii="Calibri" w:hAnsi="Calibri" w:cs="Calibri"/>
          <w:color w:val="000000"/>
          <w:sz w:val="24"/>
          <w:szCs w:val="24"/>
        </w:rPr>
        <w:lastRenderedPageBreak/>
        <w:t>a</w:t>
      </w:r>
      <w:r w:rsidR="005A15D3" w:rsidRPr="007E14F9">
        <w:rPr>
          <w:rFonts w:ascii="Calibri" w:hAnsi="Calibri" w:cs="Calibri"/>
          <w:color w:val="000000"/>
          <w:sz w:val="24"/>
          <w:szCs w:val="24"/>
        </w:rPr>
        <w:t> </w:t>
      </w:r>
      <w:r w:rsidRPr="007E14F9">
        <w:rPr>
          <w:rFonts w:ascii="Calibri" w:hAnsi="Calibri" w:cs="Calibri"/>
          <w:color w:val="000000"/>
          <w:sz w:val="24"/>
          <w:szCs w:val="24"/>
        </w:rPr>
        <w:t>navazujících postupů podle zákona č. 137/2006 Sb.</w:t>
      </w:r>
      <w:r w:rsidR="000E77A1">
        <w:rPr>
          <w:rFonts w:ascii="Calibri" w:hAnsi="Calibri" w:cs="Calibri"/>
          <w:color w:val="000000"/>
          <w:sz w:val="24"/>
          <w:szCs w:val="24"/>
        </w:rPr>
        <w:t>,</w:t>
      </w:r>
      <w:r w:rsidRPr="007E14F9">
        <w:rPr>
          <w:rFonts w:ascii="Calibri" w:hAnsi="Calibri" w:cs="Calibri"/>
          <w:color w:val="000000"/>
          <w:sz w:val="24"/>
          <w:szCs w:val="24"/>
        </w:rPr>
        <w:t xml:space="preserve"> případ</w:t>
      </w:r>
      <w:r w:rsidR="000E77A1">
        <w:rPr>
          <w:rFonts w:ascii="Calibri" w:hAnsi="Calibri" w:cs="Calibri"/>
          <w:color w:val="000000"/>
          <w:sz w:val="24"/>
          <w:szCs w:val="24"/>
        </w:rPr>
        <w:t>n</w:t>
      </w:r>
      <w:r w:rsidRPr="007E14F9">
        <w:rPr>
          <w:rFonts w:ascii="Calibri" w:hAnsi="Calibri" w:cs="Calibri"/>
          <w:color w:val="000000"/>
          <w:sz w:val="24"/>
          <w:szCs w:val="24"/>
        </w:rPr>
        <w:t>ě podle metodických postupů a</w:t>
      </w:r>
      <w:r w:rsidR="005A15D3" w:rsidRPr="007E14F9">
        <w:rPr>
          <w:rFonts w:ascii="Calibri" w:hAnsi="Calibri" w:cs="Calibri"/>
          <w:color w:val="000000"/>
          <w:sz w:val="24"/>
          <w:szCs w:val="24"/>
        </w:rPr>
        <w:t> </w:t>
      </w:r>
      <w:r w:rsidRPr="007E14F9">
        <w:rPr>
          <w:rFonts w:ascii="Calibri" w:hAnsi="Calibri" w:cs="Calibri"/>
          <w:color w:val="000000"/>
          <w:sz w:val="24"/>
          <w:szCs w:val="24"/>
        </w:rPr>
        <w:t>interních předpisů.</w:t>
      </w:r>
    </w:p>
    <w:p w14:paraId="3FB89473" w14:textId="77777777" w:rsidR="00895164" w:rsidRDefault="00895164" w:rsidP="007E14F9">
      <w:pPr>
        <w:spacing w:after="0" w:line="240" w:lineRule="auto"/>
        <w:jc w:val="both"/>
        <w:rPr>
          <w:rFonts w:ascii="Calibri" w:hAnsi="Calibri" w:cs="Calibri"/>
          <w:color w:val="000000"/>
          <w:sz w:val="24"/>
          <w:szCs w:val="24"/>
        </w:rPr>
      </w:pPr>
    </w:p>
    <w:p w14:paraId="2723D57F" w14:textId="77777777" w:rsidR="00393DDB" w:rsidRDefault="00393DDB" w:rsidP="007E14F9">
      <w:pPr>
        <w:spacing w:after="0" w:line="240" w:lineRule="auto"/>
        <w:jc w:val="both"/>
        <w:rPr>
          <w:rFonts w:ascii="Calibri" w:hAnsi="Calibri" w:cs="Calibri"/>
          <w:color w:val="000000"/>
          <w:sz w:val="24"/>
          <w:szCs w:val="24"/>
        </w:rPr>
      </w:pPr>
      <w:r w:rsidRPr="007E14F9">
        <w:rPr>
          <w:rFonts w:ascii="Calibri" w:hAnsi="Calibri" w:cs="Calibri"/>
          <w:color w:val="000000"/>
          <w:sz w:val="24"/>
          <w:szCs w:val="24"/>
        </w:rPr>
        <w:t>NKÚ dále kontrolov</w:t>
      </w:r>
      <w:r w:rsidR="00525849" w:rsidRPr="007E14F9">
        <w:rPr>
          <w:rFonts w:ascii="Calibri" w:hAnsi="Calibri" w:cs="Calibri"/>
          <w:color w:val="000000"/>
          <w:sz w:val="24"/>
          <w:szCs w:val="24"/>
        </w:rPr>
        <w:t>al</w:t>
      </w:r>
      <w:r w:rsidRPr="007E14F9">
        <w:rPr>
          <w:rFonts w:ascii="Calibri" w:hAnsi="Calibri" w:cs="Calibri"/>
          <w:color w:val="000000"/>
          <w:sz w:val="24"/>
          <w:szCs w:val="24"/>
        </w:rPr>
        <w:t xml:space="preserve"> realizace projektů, postup v souladu s právními předpisy, metodickými pokyny a smluvními podmínkami.</w:t>
      </w:r>
    </w:p>
    <w:p w14:paraId="24C23B2F" w14:textId="77777777" w:rsidR="00895164" w:rsidRPr="007E14F9" w:rsidRDefault="00895164" w:rsidP="007E14F9">
      <w:pPr>
        <w:spacing w:after="0" w:line="240" w:lineRule="auto"/>
        <w:jc w:val="both"/>
        <w:rPr>
          <w:rFonts w:ascii="Calibri" w:hAnsi="Calibri" w:cs="Calibri"/>
          <w:color w:val="000000"/>
          <w:sz w:val="24"/>
          <w:szCs w:val="24"/>
        </w:rPr>
      </w:pPr>
    </w:p>
    <w:p w14:paraId="4A654FF1" w14:textId="77777777" w:rsidR="00393DDB" w:rsidRDefault="00393DDB" w:rsidP="007E14F9">
      <w:pPr>
        <w:spacing w:after="0" w:line="240" w:lineRule="auto"/>
        <w:jc w:val="both"/>
        <w:rPr>
          <w:rFonts w:ascii="Calibri" w:hAnsi="Calibri" w:cs="Calibri"/>
          <w:b/>
          <w:color w:val="000000"/>
          <w:sz w:val="24"/>
          <w:szCs w:val="24"/>
        </w:rPr>
      </w:pPr>
      <w:r w:rsidRPr="007E14F9">
        <w:rPr>
          <w:rFonts w:ascii="Calibri" w:hAnsi="Calibri" w:cs="Calibri"/>
          <w:b/>
          <w:color w:val="000000"/>
          <w:sz w:val="24"/>
          <w:szCs w:val="24"/>
        </w:rPr>
        <w:t>Kontrolou NKÚ bylo ověřeno, že ve všech kontrolovaných případech určily kontrolované osoby správný postup pro zadání</w:t>
      </w:r>
      <w:r w:rsidR="007720C8" w:rsidRPr="007E14F9">
        <w:rPr>
          <w:rFonts w:ascii="Calibri" w:hAnsi="Calibri" w:cs="Calibri"/>
          <w:b/>
          <w:color w:val="000000"/>
          <w:sz w:val="24"/>
          <w:szCs w:val="24"/>
        </w:rPr>
        <w:t xml:space="preserve"> veřejné</w:t>
      </w:r>
      <w:r w:rsidRPr="007E14F9">
        <w:rPr>
          <w:rFonts w:ascii="Calibri" w:hAnsi="Calibri" w:cs="Calibri"/>
          <w:b/>
          <w:color w:val="000000"/>
          <w:sz w:val="24"/>
          <w:szCs w:val="24"/>
        </w:rPr>
        <w:t xml:space="preserve"> zakázky s ohledem na </w:t>
      </w:r>
      <w:r w:rsidR="007720C8" w:rsidRPr="007E14F9">
        <w:rPr>
          <w:rFonts w:ascii="Calibri" w:hAnsi="Calibri" w:cs="Calibri"/>
          <w:b/>
          <w:color w:val="000000"/>
          <w:sz w:val="24"/>
          <w:szCs w:val="24"/>
        </w:rPr>
        <w:t>její předpokládanou hodnotu</w:t>
      </w:r>
      <w:r w:rsidRPr="007E14F9">
        <w:rPr>
          <w:rFonts w:ascii="Calibri" w:hAnsi="Calibri" w:cs="Calibri"/>
          <w:b/>
          <w:color w:val="000000"/>
          <w:sz w:val="24"/>
          <w:szCs w:val="24"/>
        </w:rPr>
        <w:t>.</w:t>
      </w:r>
    </w:p>
    <w:p w14:paraId="2BB8B089" w14:textId="77777777" w:rsidR="00895164" w:rsidRPr="007E14F9" w:rsidRDefault="00895164" w:rsidP="007E14F9">
      <w:pPr>
        <w:spacing w:after="0" w:line="240" w:lineRule="auto"/>
        <w:jc w:val="both"/>
        <w:rPr>
          <w:rFonts w:ascii="Calibri" w:hAnsi="Calibri" w:cs="Calibri"/>
          <w:b/>
          <w:color w:val="000000"/>
          <w:sz w:val="24"/>
          <w:szCs w:val="24"/>
        </w:rPr>
      </w:pPr>
    </w:p>
    <w:p w14:paraId="67594565" w14:textId="18B3A6DA" w:rsidR="00393DDB" w:rsidRPr="00BE44A0" w:rsidRDefault="00393DDB" w:rsidP="007E14F9">
      <w:pPr>
        <w:spacing w:after="0" w:line="240" w:lineRule="auto"/>
        <w:jc w:val="both"/>
        <w:rPr>
          <w:rFonts w:ascii="Calibri" w:hAnsi="Calibri" w:cs="Calibri"/>
          <w:color w:val="000000"/>
          <w:sz w:val="24"/>
          <w:szCs w:val="24"/>
        </w:rPr>
      </w:pPr>
      <w:r w:rsidRPr="00BE44A0">
        <w:rPr>
          <w:rFonts w:ascii="Calibri" w:hAnsi="Calibri" w:cs="Calibri"/>
          <w:color w:val="000000"/>
          <w:sz w:val="24"/>
          <w:szCs w:val="24"/>
        </w:rPr>
        <w:t xml:space="preserve">Kontrolou NKÚ bylo ověřeno, že kromě </w:t>
      </w:r>
      <w:r w:rsidR="000E77A1" w:rsidRPr="00BE44A0">
        <w:rPr>
          <w:rFonts w:ascii="Calibri" w:hAnsi="Calibri" w:cs="Calibri"/>
          <w:color w:val="000000"/>
          <w:sz w:val="24"/>
          <w:szCs w:val="24"/>
        </w:rPr>
        <w:t>jednoho</w:t>
      </w:r>
      <w:r w:rsidRPr="00BE44A0">
        <w:rPr>
          <w:rFonts w:ascii="Calibri" w:hAnsi="Calibri" w:cs="Calibri"/>
          <w:color w:val="000000"/>
          <w:sz w:val="24"/>
          <w:szCs w:val="24"/>
        </w:rPr>
        <w:t xml:space="preserve"> případu uveřejnily kontrolované osoby odůvodnění veřejných zakázek ve smyslu ustanovení § 156 ZVZ, v nichž uvedly důvody výběru zakázek k realizaci, odůvodnění účelnosti zakázek a další údaje ve smyslu uvedeného ustanovení ZVZ.</w:t>
      </w:r>
    </w:p>
    <w:p w14:paraId="66C8146C" w14:textId="77777777" w:rsidR="00895164" w:rsidRPr="00BE44A0" w:rsidRDefault="00895164" w:rsidP="007E14F9">
      <w:pPr>
        <w:spacing w:after="0" w:line="240" w:lineRule="auto"/>
        <w:jc w:val="both"/>
        <w:rPr>
          <w:rFonts w:ascii="Calibri" w:hAnsi="Calibri" w:cs="Calibri"/>
          <w:color w:val="000000"/>
          <w:sz w:val="24"/>
          <w:szCs w:val="24"/>
        </w:rPr>
      </w:pPr>
    </w:p>
    <w:p w14:paraId="24C4602F" w14:textId="77777777" w:rsidR="00393DDB" w:rsidRDefault="00393DDB" w:rsidP="007E14F9">
      <w:pPr>
        <w:spacing w:after="0" w:line="240" w:lineRule="auto"/>
        <w:jc w:val="both"/>
        <w:rPr>
          <w:rFonts w:ascii="Calibri" w:hAnsi="Calibri" w:cs="Calibri"/>
          <w:b/>
          <w:color w:val="000000"/>
          <w:sz w:val="24"/>
          <w:szCs w:val="24"/>
        </w:rPr>
      </w:pPr>
      <w:r w:rsidRPr="007E14F9">
        <w:rPr>
          <w:rFonts w:ascii="Calibri" w:hAnsi="Calibri" w:cs="Calibri"/>
          <w:b/>
          <w:color w:val="000000"/>
          <w:sz w:val="24"/>
          <w:szCs w:val="24"/>
        </w:rPr>
        <w:t xml:space="preserve">Kontrolou NKÚ bylo rovněž ověřeno, že kontrolované osoby vypracovaly u všech kontrolovaných </w:t>
      </w:r>
      <w:r w:rsidR="007720C8" w:rsidRPr="007E14F9">
        <w:rPr>
          <w:rFonts w:ascii="Calibri" w:hAnsi="Calibri" w:cs="Calibri"/>
          <w:b/>
          <w:color w:val="000000"/>
          <w:sz w:val="24"/>
          <w:szCs w:val="24"/>
        </w:rPr>
        <w:t xml:space="preserve">veřejných </w:t>
      </w:r>
      <w:r w:rsidRPr="007E14F9">
        <w:rPr>
          <w:rFonts w:ascii="Calibri" w:hAnsi="Calibri" w:cs="Calibri"/>
          <w:b/>
          <w:color w:val="000000"/>
          <w:sz w:val="24"/>
          <w:szCs w:val="24"/>
        </w:rPr>
        <w:t>zakázek zadávací dokumentaci, jejíž obsah odpovídal požadavkům ustanovení § 44 ZVZ.</w:t>
      </w:r>
    </w:p>
    <w:p w14:paraId="1CAAA299" w14:textId="77777777" w:rsidR="00895164" w:rsidRPr="00BE44A0" w:rsidRDefault="00895164" w:rsidP="007E14F9">
      <w:pPr>
        <w:spacing w:after="0" w:line="240" w:lineRule="auto"/>
        <w:jc w:val="both"/>
        <w:rPr>
          <w:rFonts w:ascii="Calibri" w:hAnsi="Calibri" w:cs="Calibri"/>
          <w:color w:val="000000"/>
          <w:sz w:val="24"/>
          <w:szCs w:val="24"/>
        </w:rPr>
      </w:pPr>
    </w:p>
    <w:p w14:paraId="592C91E9" w14:textId="77777777" w:rsidR="00393DDB" w:rsidRPr="00BE44A0" w:rsidRDefault="00393DDB" w:rsidP="007E14F9">
      <w:pPr>
        <w:spacing w:after="0" w:line="240" w:lineRule="auto"/>
        <w:jc w:val="both"/>
        <w:rPr>
          <w:rFonts w:ascii="Calibri" w:hAnsi="Calibri" w:cs="Calibri"/>
          <w:color w:val="000000"/>
          <w:sz w:val="24"/>
          <w:szCs w:val="24"/>
        </w:rPr>
      </w:pPr>
      <w:r w:rsidRPr="00BE44A0">
        <w:rPr>
          <w:rFonts w:ascii="Calibri" w:hAnsi="Calibri" w:cs="Calibri"/>
          <w:color w:val="000000"/>
          <w:sz w:val="24"/>
          <w:szCs w:val="24"/>
        </w:rPr>
        <w:t>V jednom případě (SÚS</w:t>
      </w:r>
      <w:r w:rsidR="001C0690" w:rsidRPr="00BE44A0">
        <w:rPr>
          <w:rFonts w:ascii="Calibri" w:hAnsi="Calibri" w:cs="Calibri"/>
          <w:color w:val="000000"/>
          <w:sz w:val="24"/>
          <w:szCs w:val="24"/>
        </w:rPr>
        <w:t>PAK</w:t>
      </w:r>
      <w:r w:rsidRPr="00BE44A0">
        <w:rPr>
          <w:rFonts w:ascii="Calibri" w:hAnsi="Calibri" w:cs="Calibri"/>
          <w:color w:val="000000"/>
          <w:sz w:val="24"/>
          <w:szCs w:val="24"/>
        </w:rPr>
        <w:t>) byla chybou projektanta zadávací dokumentace opatřena chybným výkazem výměr, což způsobilo potřebu víceprací a nárůst ceny zakázky o 25 %.</w:t>
      </w:r>
    </w:p>
    <w:p w14:paraId="1DE678AE" w14:textId="77777777" w:rsidR="00895164" w:rsidRDefault="00895164" w:rsidP="007E14F9">
      <w:pPr>
        <w:spacing w:after="0" w:line="240" w:lineRule="auto"/>
        <w:jc w:val="both"/>
        <w:rPr>
          <w:rFonts w:ascii="Calibri" w:hAnsi="Calibri" w:cs="Calibri"/>
          <w:color w:val="000000"/>
          <w:sz w:val="24"/>
          <w:szCs w:val="24"/>
        </w:rPr>
      </w:pPr>
    </w:p>
    <w:p w14:paraId="2DB0674E" w14:textId="77777777" w:rsidR="00393DDB" w:rsidRDefault="00393DDB" w:rsidP="007E14F9">
      <w:pPr>
        <w:spacing w:after="0" w:line="240" w:lineRule="auto"/>
        <w:jc w:val="both"/>
        <w:rPr>
          <w:rFonts w:ascii="Calibri" w:hAnsi="Calibri" w:cs="Calibri"/>
          <w:color w:val="000000"/>
          <w:sz w:val="24"/>
          <w:szCs w:val="24"/>
        </w:rPr>
      </w:pPr>
      <w:r w:rsidRPr="007E14F9">
        <w:rPr>
          <w:rFonts w:ascii="Calibri" w:hAnsi="Calibri" w:cs="Calibri"/>
          <w:color w:val="000000"/>
          <w:sz w:val="24"/>
          <w:szCs w:val="24"/>
        </w:rPr>
        <w:t xml:space="preserve">V případě </w:t>
      </w:r>
      <w:r w:rsidR="00101158" w:rsidRPr="007E14F9">
        <w:rPr>
          <w:rFonts w:ascii="Calibri" w:hAnsi="Calibri" w:cs="Calibri"/>
          <w:color w:val="000000"/>
          <w:sz w:val="24"/>
          <w:szCs w:val="24"/>
        </w:rPr>
        <w:t xml:space="preserve">veřejných </w:t>
      </w:r>
      <w:r w:rsidRPr="007E14F9">
        <w:rPr>
          <w:rFonts w:ascii="Calibri" w:hAnsi="Calibri" w:cs="Calibri"/>
          <w:color w:val="000000"/>
          <w:sz w:val="24"/>
          <w:szCs w:val="24"/>
        </w:rPr>
        <w:t>zakázek malého rozsahu byla zadávací dokumentace postačující pro zpracování nabídky uchazečem o zakázku.</w:t>
      </w:r>
    </w:p>
    <w:p w14:paraId="6377E8BC" w14:textId="77777777" w:rsidR="00895164" w:rsidRPr="007E14F9" w:rsidRDefault="00895164" w:rsidP="007E14F9">
      <w:pPr>
        <w:spacing w:after="0" w:line="240" w:lineRule="auto"/>
        <w:jc w:val="both"/>
        <w:rPr>
          <w:rFonts w:ascii="Calibri" w:hAnsi="Calibri" w:cs="Calibri"/>
          <w:color w:val="000000"/>
          <w:sz w:val="24"/>
          <w:szCs w:val="24"/>
        </w:rPr>
      </w:pPr>
    </w:p>
    <w:p w14:paraId="0A28667E" w14:textId="19A697D6" w:rsidR="00393DDB" w:rsidRDefault="00393DDB" w:rsidP="007E14F9">
      <w:pPr>
        <w:spacing w:after="0" w:line="240" w:lineRule="auto"/>
        <w:jc w:val="both"/>
        <w:rPr>
          <w:rFonts w:ascii="Calibri" w:hAnsi="Calibri" w:cs="Calibri"/>
          <w:color w:val="000000"/>
          <w:sz w:val="24"/>
          <w:szCs w:val="24"/>
        </w:rPr>
      </w:pPr>
      <w:r w:rsidRPr="007E14F9">
        <w:rPr>
          <w:rFonts w:ascii="Calibri" w:hAnsi="Calibri" w:cs="Calibri"/>
          <w:color w:val="000000"/>
          <w:sz w:val="24"/>
          <w:szCs w:val="24"/>
        </w:rPr>
        <w:t>Kontrolované osoby stanovily u většiny kontrolovaných akcí jediné hodnot</w:t>
      </w:r>
      <w:r w:rsidR="000E77A1">
        <w:rPr>
          <w:rFonts w:ascii="Calibri" w:hAnsi="Calibri" w:cs="Calibri"/>
          <w:color w:val="000000"/>
          <w:sz w:val="24"/>
          <w:szCs w:val="24"/>
        </w:rPr>
        <w:t>i</w:t>
      </w:r>
      <w:r w:rsidRPr="007E14F9">
        <w:rPr>
          <w:rFonts w:ascii="Calibri" w:hAnsi="Calibri" w:cs="Calibri"/>
          <w:color w:val="000000"/>
          <w:sz w:val="24"/>
          <w:szCs w:val="24"/>
        </w:rPr>
        <w:t>cí kritérium</w:t>
      </w:r>
      <w:r w:rsidR="000E77A1">
        <w:rPr>
          <w:rFonts w:ascii="Calibri" w:hAnsi="Calibri" w:cs="Calibri"/>
          <w:color w:val="000000"/>
          <w:sz w:val="24"/>
          <w:szCs w:val="24"/>
        </w:rPr>
        <w:t>, a to</w:t>
      </w:r>
      <w:r w:rsidRPr="007E14F9">
        <w:rPr>
          <w:rFonts w:ascii="Calibri" w:hAnsi="Calibri" w:cs="Calibri"/>
          <w:color w:val="000000"/>
          <w:sz w:val="24"/>
          <w:szCs w:val="24"/>
        </w:rPr>
        <w:t xml:space="preserve"> výši nabídkové ceny.</w:t>
      </w:r>
    </w:p>
    <w:p w14:paraId="4AF09C5B" w14:textId="77777777" w:rsidR="00895164" w:rsidRPr="007E14F9" w:rsidRDefault="00895164" w:rsidP="007E14F9">
      <w:pPr>
        <w:spacing w:after="0" w:line="240" w:lineRule="auto"/>
        <w:jc w:val="both"/>
        <w:rPr>
          <w:rFonts w:ascii="Calibri" w:hAnsi="Calibri" w:cs="Calibri"/>
          <w:color w:val="000000"/>
          <w:sz w:val="24"/>
          <w:szCs w:val="24"/>
        </w:rPr>
      </w:pPr>
    </w:p>
    <w:p w14:paraId="0BAB2BD3" w14:textId="77777777" w:rsidR="00393DDB" w:rsidRDefault="00393DDB" w:rsidP="007E14F9">
      <w:pPr>
        <w:spacing w:after="0" w:line="240" w:lineRule="auto"/>
        <w:jc w:val="both"/>
        <w:rPr>
          <w:rFonts w:ascii="Calibri" w:hAnsi="Calibri" w:cs="Calibri"/>
          <w:color w:val="000000"/>
          <w:sz w:val="24"/>
          <w:szCs w:val="24"/>
        </w:rPr>
      </w:pPr>
      <w:r w:rsidRPr="007E14F9">
        <w:rPr>
          <w:rFonts w:ascii="Calibri" w:hAnsi="Calibri" w:cs="Calibri"/>
          <w:color w:val="000000"/>
          <w:sz w:val="24"/>
          <w:szCs w:val="24"/>
        </w:rPr>
        <w:t xml:space="preserve">Kontrole NKÚ byly podrobeny úkony v zadávacích řízeních u všech kontrolovaných projektů, včetně postupu zadavatele v případě změn v rozsahu </w:t>
      </w:r>
      <w:r w:rsidR="00101158" w:rsidRPr="007E14F9">
        <w:rPr>
          <w:rFonts w:ascii="Calibri" w:hAnsi="Calibri" w:cs="Calibri"/>
          <w:color w:val="000000"/>
          <w:sz w:val="24"/>
          <w:szCs w:val="24"/>
        </w:rPr>
        <w:t xml:space="preserve">veřejných </w:t>
      </w:r>
      <w:r w:rsidRPr="007E14F9">
        <w:rPr>
          <w:rFonts w:ascii="Calibri" w:hAnsi="Calibri" w:cs="Calibri"/>
          <w:color w:val="000000"/>
          <w:sz w:val="24"/>
          <w:szCs w:val="24"/>
        </w:rPr>
        <w:t>zakázek.</w:t>
      </w:r>
    </w:p>
    <w:p w14:paraId="40BCEC2F" w14:textId="77777777" w:rsidR="00895164" w:rsidRPr="007E14F9" w:rsidRDefault="00895164" w:rsidP="007E14F9">
      <w:pPr>
        <w:spacing w:after="0" w:line="240" w:lineRule="auto"/>
        <w:jc w:val="both"/>
        <w:rPr>
          <w:rFonts w:ascii="Calibri" w:hAnsi="Calibri" w:cs="Calibri"/>
          <w:color w:val="000000"/>
          <w:sz w:val="24"/>
          <w:szCs w:val="24"/>
        </w:rPr>
      </w:pPr>
    </w:p>
    <w:p w14:paraId="2ABD9932" w14:textId="77777777" w:rsidR="00393DDB" w:rsidRPr="007E14F9" w:rsidRDefault="00393DDB" w:rsidP="007E14F9">
      <w:pPr>
        <w:spacing w:after="0" w:line="240" w:lineRule="auto"/>
        <w:jc w:val="both"/>
        <w:rPr>
          <w:rFonts w:ascii="Calibri" w:hAnsi="Calibri" w:cs="Calibri"/>
          <w:color w:val="000000"/>
          <w:sz w:val="24"/>
          <w:szCs w:val="24"/>
        </w:rPr>
      </w:pPr>
      <w:r w:rsidRPr="007E14F9">
        <w:rPr>
          <w:rFonts w:ascii="Calibri" w:hAnsi="Calibri" w:cs="Calibri"/>
          <w:b/>
          <w:color w:val="000000"/>
          <w:sz w:val="24"/>
          <w:szCs w:val="24"/>
        </w:rPr>
        <w:t>Kontrolou NKÚ bylo zjištěno</w:t>
      </w:r>
      <w:r w:rsidRPr="007E14F9">
        <w:rPr>
          <w:rFonts w:ascii="Calibri" w:hAnsi="Calibri" w:cs="Calibri"/>
          <w:color w:val="000000"/>
          <w:sz w:val="24"/>
          <w:szCs w:val="24"/>
        </w:rPr>
        <w:t>:</w:t>
      </w:r>
    </w:p>
    <w:p w14:paraId="46AAF000" w14:textId="12640F31" w:rsidR="00393DDB" w:rsidRPr="007E14F9" w:rsidRDefault="00393DDB" w:rsidP="00895164">
      <w:pPr>
        <w:pStyle w:val="Bezmezer"/>
        <w:numPr>
          <w:ilvl w:val="0"/>
          <w:numId w:val="23"/>
        </w:numPr>
        <w:ind w:left="284" w:hanging="284"/>
        <w:jc w:val="both"/>
        <w:rPr>
          <w:rFonts w:ascii="Calibri" w:hAnsi="Calibri" w:cs="Calibri"/>
          <w:b/>
          <w:sz w:val="24"/>
          <w:szCs w:val="24"/>
          <w:lang w:eastAsia="cs-CZ"/>
        </w:rPr>
      </w:pPr>
      <w:r w:rsidRPr="007E14F9">
        <w:rPr>
          <w:rFonts w:ascii="Calibri" w:hAnsi="Calibri" w:cs="Calibri"/>
          <w:b/>
          <w:sz w:val="24"/>
          <w:szCs w:val="24"/>
          <w:lang w:eastAsia="cs-CZ"/>
        </w:rPr>
        <w:t xml:space="preserve">v 7 případech u kontrolovaných osob </w:t>
      </w:r>
      <w:r w:rsidR="001C0690" w:rsidRPr="007E14F9">
        <w:rPr>
          <w:rFonts w:ascii="Calibri" w:hAnsi="Calibri" w:cs="Calibri"/>
          <w:b/>
          <w:sz w:val="24"/>
          <w:szCs w:val="24"/>
          <w:lang w:eastAsia="cs-CZ"/>
        </w:rPr>
        <w:t>JHČ</w:t>
      </w:r>
      <w:r w:rsidRPr="007E14F9">
        <w:rPr>
          <w:rFonts w:ascii="Calibri" w:hAnsi="Calibri" w:cs="Calibri"/>
          <w:b/>
          <w:sz w:val="24"/>
          <w:szCs w:val="24"/>
          <w:lang w:eastAsia="cs-CZ"/>
        </w:rPr>
        <w:t xml:space="preserve">, </w:t>
      </w:r>
      <w:r w:rsidR="001C0690" w:rsidRPr="007E14F9">
        <w:rPr>
          <w:rFonts w:ascii="Calibri" w:hAnsi="Calibri" w:cs="Calibri"/>
          <w:b/>
          <w:sz w:val="24"/>
          <w:szCs w:val="24"/>
          <w:lang w:eastAsia="cs-CZ"/>
        </w:rPr>
        <w:t>LBK</w:t>
      </w:r>
      <w:r w:rsidRPr="007E14F9">
        <w:rPr>
          <w:rFonts w:ascii="Calibri" w:hAnsi="Calibri" w:cs="Calibri"/>
          <w:b/>
          <w:sz w:val="24"/>
          <w:szCs w:val="24"/>
          <w:lang w:eastAsia="cs-CZ"/>
        </w:rPr>
        <w:t xml:space="preserve">, MSK nebyla smlouva s vybraným uchazečem o </w:t>
      </w:r>
      <w:r w:rsidR="00101158" w:rsidRPr="007E14F9">
        <w:rPr>
          <w:rFonts w:ascii="Calibri" w:hAnsi="Calibri" w:cs="Calibri"/>
          <w:b/>
          <w:sz w:val="24"/>
          <w:szCs w:val="24"/>
          <w:lang w:eastAsia="cs-CZ"/>
        </w:rPr>
        <w:t xml:space="preserve">veřejnou </w:t>
      </w:r>
      <w:r w:rsidRPr="007E14F9">
        <w:rPr>
          <w:rFonts w:ascii="Calibri" w:hAnsi="Calibri" w:cs="Calibri"/>
          <w:b/>
          <w:sz w:val="24"/>
          <w:szCs w:val="24"/>
          <w:lang w:eastAsia="cs-CZ"/>
        </w:rPr>
        <w:t xml:space="preserve">zakázku </w:t>
      </w:r>
      <w:r w:rsidR="000E77A1" w:rsidRPr="007E14F9">
        <w:rPr>
          <w:rFonts w:ascii="Calibri" w:hAnsi="Calibri" w:cs="Calibri"/>
          <w:b/>
          <w:sz w:val="24"/>
          <w:szCs w:val="24"/>
          <w:lang w:eastAsia="cs-CZ"/>
        </w:rPr>
        <w:t xml:space="preserve">uzavřena </w:t>
      </w:r>
      <w:r w:rsidRPr="007E14F9">
        <w:rPr>
          <w:rFonts w:ascii="Calibri" w:hAnsi="Calibri" w:cs="Calibri"/>
          <w:b/>
          <w:sz w:val="24"/>
          <w:szCs w:val="24"/>
          <w:lang w:eastAsia="cs-CZ"/>
        </w:rPr>
        <w:t>v zákonné lhůtě, kterou stanoví § 82 odst. 2 ZVZ.</w:t>
      </w:r>
    </w:p>
    <w:p w14:paraId="26C60BDD" w14:textId="23A77E81" w:rsidR="00393DDB" w:rsidRPr="007E14F9" w:rsidRDefault="00393DDB" w:rsidP="00895164">
      <w:pPr>
        <w:pStyle w:val="Bezmezer"/>
        <w:numPr>
          <w:ilvl w:val="0"/>
          <w:numId w:val="23"/>
        </w:numPr>
        <w:ind w:left="284" w:hanging="284"/>
        <w:jc w:val="both"/>
        <w:rPr>
          <w:rFonts w:ascii="Calibri" w:hAnsi="Calibri" w:cs="Calibri"/>
          <w:b/>
          <w:sz w:val="24"/>
          <w:szCs w:val="24"/>
          <w:lang w:eastAsia="cs-CZ"/>
        </w:rPr>
      </w:pPr>
      <w:r w:rsidRPr="007E14F9">
        <w:rPr>
          <w:rFonts w:ascii="Calibri" w:hAnsi="Calibri" w:cs="Calibri"/>
          <w:b/>
          <w:sz w:val="24"/>
          <w:szCs w:val="24"/>
          <w:lang w:eastAsia="cs-CZ"/>
        </w:rPr>
        <w:t xml:space="preserve">v jednom případě (SÚSPK) nebyl uzavřen dodatek ke smlouvě o dílo na </w:t>
      </w:r>
      <w:proofErr w:type="spellStart"/>
      <w:r w:rsidR="00B95AC4" w:rsidRPr="007E14F9">
        <w:rPr>
          <w:rFonts w:ascii="Calibri" w:hAnsi="Calibri" w:cs="Calibri"/>
          <w:b/>
          <w:sz w:val="24"/>
          <w:szCs w:val="24"/>
          <w:lang w:eastAsia="cs-CZ"/>
        </w:rPr>
        <w:t>méněpráce</w:t>
      </w:r>
      <w:proofErr w:type="spellEnd"/>
      <w:r w:rsidRPr="007E14F9">
        <w:rPr>
          <w:rFonts w:ascii="Calibri" w:hAnsi="Calibri" w:cs="Calibri"/>
          <w:b/>
          <w:sz w:val="24"/>
          <w:szCs w:val="24"/>
          <w:lang w:eastAsia="cs-CZ"/>
        </w:rPr>
        <w:t>.</w:t>
      </w:r>
    </w:p>
    <w:p w14:paraId="16C1EB4A" w14:textId="77777777" w:rsidR="00895164" w:rsidRDefault="00895164" w:rsidP="007E14F9">
      <w:pPr>
        <w:spacing w:after="0" w:line="240" w:lineRule="auto"/>
        <w:jc w:val="both"/>
        <w:rPr>
          <w:rFonts w:ascii="Calibri" w:eastAsia="Times New Roman" w:hAnsi="Calibri" w:cs="Calibri"/>
          <w:sz w:val="24"/>
          <w:szCs w:val="24"/>
          <w:lang w:eastAsia="cs-CZ"/>
        </w:rPr>
      </w:pPr>
    </w:p>
    <w:p w14:paraId="286C2CBB" w14:textId="6BACDB13" w:rsidR="00393DDB" w:rsidRPr="007E14F9" w:rsidRDefault="00393DDB" w:rsidP="007E14F9">
      <w:pPr>
        <w:spacing w:after="0" w:line="240" w:lineRule="auto"/>
        <w:jc w:val="both"/>
        <w:rPr>
          <w:rFonts w:ascii="Calibri" w:eastAsia="Times New Roman" w:hAnsi="Calibri" w:cs="Calibri"/>
          <w:sz w:val="24"/>
          <w:szCs w:val="24"/>
          <w:lang w:eastAsia="cs-CZ"/>
        </w:rPr>
      </w:pPr>
      <w:r w:rsidRPr="007E14F9">
        <w:rPr>
          <w:rFonts w:ascii="Calibri" w:eastAsia="Times New Roman" w:hAnsi="Calibri" w:cs="Calibri"/>
          <w:sz w:val="24"/>
          <w:szCs w:val="24"/>
          <w:lang w:eastAsia="cs-CZ"/>
        </w:rPr>
        <w:t xml:space="preserve">Kromě uvedených případů byl postup zadavatelů v případě víceprací a </w:t>
      </w:r>
      <w:proofErr w:type="spellStart"/>
      <w:r w:rsidR="00B95AC4" w:rsidRPr="007E14F9">
        <w:rPr>
          <w:rFonts w:ascii="Calibri" w:eastAsia="Times New Roman" w:hAnsi="Calibri" w:cs="Calibri"/>
          <w:sz w:val="24"/>
          <w:szCs w:val="24"/>
          <w:lang w:eastAsia="cs-CZ"/>
        </w:rPr>
        <w:t>méněprací</w:t>
      </w:r>
      <w:proofErr w:type="spellEnd"/>
      <w:r w:rsidRPr="007E14F9">
        <w:rPr>
          <w:rFonts w:ascii="Calibri" w:eastAsia="Times New Roman" w:hAnsi="Calibri" w:cs="Calibri"/>
          <w:sz w:val="24"/>
          <w:szCs w:val="24"/>
          <w:lang w:eastAsia="cs-CZ"/>
        </w:rPr>
        <w:t xml:space="preserve"> v souladu s požadavky ZVZ.</w:t>
      </w:r>
    </w:p>
    <w:p w14:paraId="58FCDA46" w14:textId="77777777" w:rsidR="00C178CF" w:rsidRPr="007E14F9" w:rsidRDefault="00C178CF" w:rsidP="007E14F9">
      <w:pPr>
        <w:spacing w:after="0" w:line="240" w:lineRule="auto"/>
        <w:jc w:val="both"/>
        <w:rPr>
          <w:rFonts w:ascii="Calibri" w:eastAsia="Times New Roman" w:hAnsi="Calibri" w:cs="Calibri"/>
          <w:sz w:val="24"/>
          <w:szCs w:val="24"/>
          <w:lang w:eastAsia="cs-CZ"/>
        </w:rPr>
      </w:pPr>
    </w:p>
    <w:p w14:paraId="774E8F2F" w14:textId="4287E905" w:rsidR="00393DDB" w:rsidRPr="007E14F9" w:rsidRDefault="00393DDB" w:rsidP="007E14F9">
      <w:pPr>
        <w:spacing w:after="0" w:line="240" w:lineRule="auto"/>
        <w:rPr>
          <w:rFonts w:ascii="Calibri" w:hAnsi="Calibri" w:cs="Calibri"/>
          <w:b/>
          <w:sz w:val="24"/>
          <w:szCs w:val="24"/>
        </w:rPr>
      </w:pPr>
      <w:r w:rsidRPr="007E14F9">
        <w:rPr>
          <w:rFonts w:ascii="Calibri" w:hAnsi="Calibri" w:cs="Calibri"/>
          <w:b/>
          <w:sz w:val="24"/>
          <w:szCs w:val="24"/>
        </w:rPr>
        <w:t xml:space="preserve">2.4 Řízení projektů </w:t>
      </w:r>
      <w:r w:rsidR="00F03690">
        <w:rPr>
          <w:rFonts w:ascii="Calibri" w:hAnsi="Calibri" w:cs="Calibri"/>
          <w:b/>
          <w:sz w:val="24"/>
          <w:szCs w:val="24"/>
        </w:rPr>
        <w:t>a</w:t>
      </w:r>
      <w:r w:rsidRPr="007E14F9">
        <w:rPr>
          <w:rFonts w:ascii="Calibri" w:hAnsi="Calibri" w:cs="Calibri"/>
          <w:b/>
          <w:sz w:val="24"/>
          <w:szCs w:val="24"/>
        </w:rPr>
        <w:t> soulad s podmínkami poskytovatele</w:t>
      </w:r>
    </w:p>
    <w:p w14:paraId="1BD80386" w14:textId="77777777" w:rsidR="00895164" w:rsidRDefault="00895164" w:rsidP="007E14F9">
      <w:pPr>
        <w:spacing w:after="0" w:line="240" w:lineRule="auto"/>
        <w:jc w:val="both"/>
        <w:rPr>
          <w:rFonts w:ascii="Calibri" w:hAnsi="Calibri" w:cs="Calibri"/>
          <w:sz w:val="24"/>
          <w:szCs w:val="24"/>
        </w:rPr>
      </w:pPr>
    </w:p>
    <w:p w14:paraId="490BF27D"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sz w:val="24"/>
          <w:szCs w:val="24"/>
        </w:rPr>
        <w:t>Kontrolou NKÚ bylo ověřeno, že příjemci dotací postupovali v případě změn způsobem předepsaným poskytovateli. Součástí oznámení o změnách bylo zdůvodnění, změnové listy s dopady do rozpočtů akcí, aktualizované rozpisy akcí a další nezbytné podklady. Kromě jednoho příjemce byly změny oznamovány v termínech stanovených smlouvami a metodickými materiály poskytovatelů dotací.</w:t>
      </w:r>
    </w:p>
    <w:p w14:paraId="6A6271D6" w14:textId="77777777" w:rsidR="00895164" w:rsidRPr="007E14F9" w:rsidRDefault="00895164" w:rsidP="007E14F9">
      <w:pPr>
        <w:spacing w:after="0" w:line="240" w:lineRule="auto"/>
        <w:jc w:val="both"/>
        <w:rPr>
          <w:rFonts w:ascii="Calibri" w:hAnsi="Calibri" w:cs="Calibri"/>
          <w:sz w:val="24"/>
          <w:szCs w:val="24"/>
        </w:rPr>
      </w:pPr>
    </w:p>
    <w:p w14:paraId="5DB60312" w14:textId="5F031F24" w:rsidR="00393DDB" w:rsidRPr="008E5A48" w:rsidRDefault="00393DDB" w:rsidP="007E14F9">
      <w:pPr>
        <w:spacing w:after="0" w:line="240" w:lineRule="auto"/>
        <w:jc w:val="both"/>
        <w:rPr>
          <w:rFonts w:ascii="Calibri" w:hAnsi="Calibri" w:cs="Calibri"/>
          <w:sz w:val="24"/>
          <w:szCs w:val="24"/>
        </w:rPr>
      </w:pPr>
      <w:r w:rsidRPr="00BE44A0">
        <w:rPr>
          <w:rFonts w:ascii="Calibri" w:hAnsi="Calibri" w:cs="Calibri"/>
          <w:sz w:val="24"/>
          <w:szCs w:val="24"/>
        </w:rPr>
        <w:lastRenderedPageBreak/>
        <w:t xml:space="preserve">Příjemce SÚSPK nedodržel termíny stanovené pro oznamování změn </w:t>
      </w:r>
      <w:r w:rsidR="00F03690" w:rsidRPr="00BE44A0">
        <w:rPr>
          <w:rFonts w:ascii="Calibri" w:hAnsi="Calibri" w:cs="Calibri"/>
          <w:sz w:val="24"/>
          <w:szCs w:val="24"/>
        </w:rPr>
        <w:t>p</w:t>
      </w:r>
      <w:r w:rsidRPr="00BE44A0">
        <w:rPr>
          <w:rFonts w:ascii="Calibri" w:hAnsi="Calibri" w:cs="Calibri"/>
          <w:sz w:val="24"/>
          <w:szCs w:val="24"/>
        </w:rPr>
        <w:t xml:space="preserve">říručkou pro příjemce, k jejímuž dodržování byl zavázán </w:t>
      </w:r>
      <w:r w:rsidR="00F03690" w:rsidRPr="00BE44A0">
        <w:rPr>
          <w:rFonts w:ascii="Calibri" w:hAnsi="Calibri" w:cs="Calibri"/>
          <w:sz w:val="24"/>
          <w:szCs w:val="24"/>
        </w:rPr>
        <w:t>s</w:t>
      </w:r>
      <w:r w:rsidRPr="00BE44A0">
        <w:rPr>
          <w:rFonts w:ascii="Calibri" w:hAnsi="Calibri" w:cs="Calibri"/>
          <w:sz w:val="24"/>
          <w:szCs w:val="24"/>
        </w:rPr>
        <w:t xml:space="preserve">mlouvou o podmínkách poskytnutí dotace z ROP NUTS II JZ, </w:t>
      </w:r>
      <w:r w:rsidR="00F03690" w:rsidRPr="00BE44A0">
        <w:rPr>
          <w:rFonts w:ascii="Calibri" w:hAnsi="Calibri" w:cs="Calibri"/>
          <w:sz w:val="24"/>
          <w:szCs w:val="24"/>
        </w:rPr>
        <w:t xml:space="preserve">a to </w:t>
      </w:r>
      <w:r w:rsidRPr="00BE44A0">
        <w:rPr>
          <w:rFonts w:ascii="Calibri" w:hAnsi="Calibri" w:cs="Calibri"/>
          <w:sz w:val="24"/>
          <w:szCs w:val="24"/>
        </w:rPr>
        <w:t xml:space="preserve">u 4 kontrolovaných projektů, celkem ve 14 případech změn. SÚSPK oznamovala změny se zpožděním od 1 týdne do 10 měsíců. V jednom případě SÚSPK neoznámila změnu rozpočtu projektu po provedeném </w:t>
      </w:r>
      <w:r w:rsidR="00101158" w:rsidRPr="00BE44A0">
        <w:rPr>
          <w:rFonts w:ascii="Calibri" w:hAnsi="Calibri" w:cs="Calibri"/>
          <w:sz w:val="24"/>
          <w:szCs w:val="24"/>
        </w:rPr>
        <w:t>zadávacím</w:t>
      </w:r>
      <w:r w:rsidRPr="00BE44A0">
        <w:rPr>
          <w:rFonts w:ascii="Calibri" w:hAnsi="Calibri" w:cs="Calibri"/>
          <w:sz w:val="24"/>
          <w:szCs w:val="24"/>
        </w:rPr>
        <w:t xml:space="preserve"> řízení na zhotovitele stavby</w:t>
      </w:r>
      <w:r w:rsidRPr="008E5A48">
        <w:rPr>
          <w:rFonts w:ascii="Calibri" w:hAnsi="Calibri" w:cs="Calibri"/>
          <w:sz w:val="24"/>
          <w:szCs w:val="24"/>
        </w:rPr>
        <w:t>.</w:t>
      </w:r>
    </w:p>
    <w:p w14:paraId="2AA0ABB2" w14:textId="77777777" w:rsidR="00895164" w:rsidRPr="007E14F9" w:rsidRDefault="00895164" w:rsidP="007E14F9">
      <w:pPr>
        <w:spacing w:after="0" w:line="240" w:lineRule="auto"/>
        <w:jc w:val="both"/>
        <w:rPr>
          <w:rFonts w:ascii="Calibri" w:hAnsi="Calibri" w:cs="Calibri"/>
          <w:sz w:val="24"/>
          <w:szCs w:val="24"/>
        </w:rPr>
      </w:pPr>
    </w:p>
    <w:p w14:paraId="70E7A38D" w14:textId="77777777" w:rsidR="00393DDB" w:rsidRDefault="00393DDB" w:rsidP="007E14F9">
      <w:pPr>
        <w:autoSpaceDE w:val="0"/>
        <w:autoSpaceDN w:val="0"/>
        <w:adjustRightInd w:val="0"/>
        <w:spacing w:after="0" w:line="240" w:lineRule="auto"/>
        <w:jc w:val="both"/>
        <w:rPr>
          <w:rFonts w:ascii="Calibri" w:hAnsi="Calibri" w:cs="Calibri"/>
          <w:sz w:val="24"/>
          <w:szCs w:val="24"/>
        </w:rPr>
      </w:pPr>
      <w:r w:rsidRPr="007E14F9">
        <w:rPr>
          <w:rFonts w:ascii="Calibri" w:hAnsi="Calibri" w:cs="Calibri"/>
          <w:b/>
          <w:sz w:val="24"/>
          <w:szCs w:val="24"/>
        </w:rPr>
        <w:t>Kontrolou NKÚ bylo ověřeno, že příjemci dotace zaúčtovali všechny účetní operace související s projektem a dodrželi pravidla týkající se oddělené účetní evidence projektu a</w:t>
      </w:r>
      <w:r w:rsidR="005A15D3" w:rsidRPr="007E14F9">
        <w:rPr>
          <w:rFonts w:ascii="Calibri" w:hAnsi="Calibri" w:cs="Calibri"/>
          <w:b/>
          <w:sz w:val="24"/>
          <w:szCs w:val="24"/>
        </w:rPr>
        <w:t> </w:t>
      </w:r>
      <w:r w:rsidRPr="007E14F9">
        <w:rPr>
          <w:rFonts w:ascii="Calibri" w:hAnsi="Calibri" w:cs="Calibri"/>
          <w:b/>
          <w:sz w:val="24"/>
          <w:szCs w:val="24"/>
        </w:rPr>
        <w:t>monitoringu projektu. Příjemci dotace realizovali projekt v souladu se schválenými podmínkami financování a platnou právní úpravou</w:t>
      </w:r>
      <w:r w:rsidRPr="00BE44A0">
        <w:rPr>
          <w:rFonts w:ascii="Calibri" w:hAnsi="Calibri" w:cs="Calibri"/>
          <w:b/>
          <w:sz w:val="24"/>
          <w:szCs w:val="24"/>
        </w:rPr>
        <w:t>.</w:t>
      </w:r>
    </w:p>
    <w:p w14:paraId="017A5AE7" w14:textId="77777777" w:rsidR="00895164" w:rsidRPr="007E14F9" w:rsidRDefault="00895164" w:rsidP="007E14F9">
      <w:pPr>
        <w:autoSpaceDE w:val="0"/>
        <w:autoSpaceDN w:val="0"/>
        <w:adjustRightInd w:val="0"/>
        <w:spacing w:after="0" w:line="240" w:lineRule="auto"/>
        <w:jc w:val="both"/>
        <w:rPr>
          <w:rFonts w:ascii="Calibri" w:hAnsi="Calibri" w:cs="Calibri"/>
          <w:sz w:val="24"/>
          <w:szCs w:val="24"/>
        </w:rPr>
      </w:pPr>
    </w:p>
    <w:p w14:paraId="4DFDFB00" w14:textId="2A71C4AA" w:rsidR="00393DDB" w:rsidRDefault="00393DDB" w:rsidP="007E14F9">
      <w:pPr>
        <w:spacing w:after="0" w:line="240" w:lineRule="auto"/>
        <w:jc w:val="both"/>
        <w:rPr>
          <w:rFonts w:ascii="Calibri" w:hAnsi="Calibri" w:cs="Calibri"/>
          <w:sz w:val="24"/>
          <w:szCs w:val="24"/>
        </w:rPr>
      </w:pPr>
      <w:r w:rsidRPr="00BE44A0">
        <w:rPr>
          <w:rFonts w:ascii="Calibri" w:hAnsi="Calibri" w:cs="Calibri"/>
          <w:sz w:val="24"/>
          <w:szCs w:val="24"/>
        </w:rPr>
        <w:t>Kontrolou NKÚ bylo rovněž ověřeno provádění kontrolní činnosti zaměřené na projekty spolufinancované z prostředků EU a SFDI.</w:t>
      </w:r>
      <w:r w:rsidRPr="00F03690">
        <w:rPr>
          <w:rFonts w:ascii="Calibri" w:hAnsi="Calibri" w:cs="Calibri"/>
          <w:sz w:val="24"/>
          <w:szCs w:val="24"/>
        </w:rPr>
        <w:t xml:space="preserve"> </w:t>
      </w:r>
      <w:r w:rsidRPr="007E14F9">
        <w:rPr>
          <w:rFonts w:ascii="Calibri" w:hAnsi="Calibri" w:cs="Calibri"/>
          <w:sz w:val="24"/>
          <w:szCs w:val="24"/>
        </w:rPr>
        <w:t>Výsledky této části kontroly jsou uvedeny v část</w:t>
      </w:r>
      <w:r w:rsidR="007225B6">
        <w:rPr>
          <w:rFonts w:ascii="Calibri" w:hAnsi="Calibri" w:cs="Calibri"/>
          <w:sz w:val="24"/>
          <w:szCs w:val="24"/>
        </w:rPr>
        <w:t>ech</w:t>
      </w:r>
      <w:r w:rsidRPr="007E14F9">
        <w:rPr>
          <w:rFonts w:ascii="Calibri" w:hAnsi="Calibri" w:cs="Calibri"/>
          <w:sz w:val="24"/>
          <w:szCs w:val="24"/>
        </w:rPr>
        <w:t xml:space="preserve"> 1.1d a 1.2c </w:t>
      </w:r>
      <w:r w:rsidR="007225B6">
        <w:rPr>
          <w:rFonts w:ascii="Calibri" w:hAnsi="Calibri" w:cs="Calibri"/>
          <w:sz w:val="24"/>
          <w:szCs w:val="24"/>
        </w:rPr>
        <w:t xml:space="preserve">tohoto </w:t>
      </w:r>
      <w:r w:rsidRPr="007E14F9">
        <w:rPr>
          <w:rFonts w:ascii="Calibri" w:hAnsi="Calibri" w:cs="Calibri"/>
          <w:sz w:val="24"/>
          <w:szCs w:val="24"/>
        </w:rPr>
        <w:t>kontrolního závěru.</w:t>
      </w:r>
    </w:p>
    <w:p w14:paraId="239319DA" w14:textId="77777777" w:rsidR="00895164" w:rsidRPr="007E14F9" w:rsidRDefault="00895164" w:rsidP="007E14F9">
      <w:pPr>
        <w:spacing w:after="0" w:line="240" w:lineRule="auto"/>
        <w:jc w:val="both"/>
        <w:rPr>
          <w:rFonts w:ascii="Calibri" w:hAnsi="Calibri" w:cs="Calibri"/>
          <w:sz w:val="24"/>
          <w:szCs w:val="24"/>
        </w:rPr>
      </w:pPr>
    </w:p>
    <w:p w14:paraId="5D537FE2" w14:textId="77777777" w:rsidR="00393DDB" w:rsidRPr="007E14F9"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Kontrolou NKÚ bylo ověřeno, že příjemci realizovali kontrolované projekty v souladu se schválenými podmínkami financování poskytovatelů dotací a v souladu s platnou právní úpravou. Příjemci vynaložili finanční prostředky v</w:t>
      </w:r>
      <w:r w:rsidR="005A15D3" w:rsidRPr="007E14F9">
        <w:rPr>
          <w:rFonts w:ascii="Calibri" w:hAnsi="Calibri" w:cs="Calibri"/>
          <w:b/>
          <w:sz w:val="24"/>
          <w:szCs w:val="24"/>
        </w:rPr>
        <w:t xml:space="preserve"> </w:t>
      </w:r>
      <w:r w:rsidRPr="007E14F9">
        <w:rPr>
          <w:rFonts w:ascii="Calibri" w:hAnsi="Calibri" w:cs="Calibri"/>
          <w:b/>
          <w:sz w:val="24"/>
          <w:szCs w:val="24"/>
        </w:rPr>
        <w:t>souladu s</w:t>
      </w:r>
      <w:r w:rsidR="005A15D3" w:rsidRPr="007E14F9">
        <w:rPr>
          <w:rFonts w:ascii="Calibri" w:hAnsi="Calibri" w:cs="Calibri"/>
          <w:b/>
          <w:sz w:val="24"/>
          <w:szCs w:val="24"/>
        </w:rPr>
        <w:t xml:space="preserve"> </w:t>
      </w:r>
      <w:r w:rsidRPr="007E14F9">
        <w:rPr>
          <w:rFonts w:ascii="Calibri" w:hAnsi="Calibri" w:cs="Calibri"/>
          <w:b/>
          <w:sz w:val="24"/>
          <w:szCs w:val="24"/>
        </w:rPr>
        <w:t>podmínkami, které poskytovatelé dotací nastavili ve smlouvách a metodických materiálech</w:t>
      </w:r>
      <w:r w:rsidRPr="00BE44A0">
        <w:rPr>
          <w:rFonts w:ascii="Calibri" w:hAnsi="Calibri" w:cs="Calibri"/>
          <w:b/>
          <w:sz w:val="24"/>
          <w:szCs w:val="24"/>
        </w:rPr>
        <w:t>.</w:t>
      </w:r>
    </w:p>
    <w:p w14:paraId="675DEA13" w14:textId="77777777" w:rsidR="00393DDB" w:rsidRPr="007E14F9" w:rsidRDefault="00393DDB" w:rsidP="007E14F9">
      <w:pPr>
        <w:spacing w:after="0" w:line="240" w:lineRule="auto"/>
        <w:jc w:val="both"/>
        <w:rPr>
          <w:rFonts w:ascii="Calibri" w:eastAsia="Times New Roman" w:hAnsi="Calibri" w:cs="Calibri"/>
          <w:sz w:val="24"/>
          <w:szCs w:val="24"/>
          <w:lang w:eastAsia="cs-CZ"/>
        </w:rPr>
      </w:pPr>
    </w:p>
    <w:p w14:paraId="18E9C71A" w14:textId="77777777" w:rsidR="00393DDB" w:rsidRPr="007E14F9" w:rsidRDefault="00393DDB" w:rsidP="007E14F9">
      <w:pPr>
        <w:spacing w:after="0" w:line="240" w:lineRule="auto"/>
        <w:rPr>
          <w:rFonts w:ascii="Calibri" w:hAnsi="Calibri" w:cs="Calibri"/>
          <w:b/>
          <w:sz w:val="24"/>
          <w:szCs w:val="24"/>
        </w:rPr>
      </w:pPr>
      <w:r w:rsidRPr="007E14F9">
        <w:rPr>
          <w:rFonts w:ascii="Calibri" w:hAnsi="Calibri" w:cs="Calibri"/>
          <w:b/>
          <w:sz w:val="24"/>
          <w:szCs w:val="24"/>
        </w:rPr>
        <w:t xml:space="preserve">2.5 Naplnění </w:t>
      </w:r>
      <w:r w:rsidRPr="00BE44A0">
        <w:rPr>
          <w:rFonts w:ascii="Calibri" w:hAnsi="Calibri" w:cs="Calibri"/>
          <w:b/>
          <w:sz w:val="24"/>
          <w:szCs w:val="24"/>
        </w:rPr>
        <w:t>(dosažení)</w:t>
      </w:r>
      <w:r w:rsidRPr="007E14F9">
        <w:rPr>
          <w:rFonts w:ascii="Calibri" w:hAnsi="Calibri" w:cs="Calibri"/>
          <w:b/>
          <w:sz w:val="24"/>
          <w:szCs w:val="24"/>
        </w:rPr>
        <w:t xml:space="preserve"> cílů příjemce stanovených v žádostech a smlouvách</w:t>
      </w:r>
    </w:p>
    <w:p w14:paraId="5B87EF02" w14:textId="77777777" w:rsidR="00895164" w:rsidRDefault="00895164" w:rsidP="007E14F9">
      <w:pPr>
        <w:spacing w:after="0" w:line="240" w:lineRule="auto"/>
        <w:jc w:val="both"/>
        <w:rPr>
          <w:rFonts w:ascii="Calibri" w:hAnsi="Calibri" w:cs="Calibri"/>
          <w:b/>
          <w:sz w:val="24"/>
          <w:szCs w:val="24"/>
        </w:rPr>
      </w:pPr>
    </w:p>
    <w:p w14:paraId="08E91345" w14:textId="24FF1EB9" w:rsidR="00393DDB" w:rsidRPr="007E14F9" w:rsidRDefault="00393DDB" w:rsidP="007E14F9">
      <w:pPr>
        <w:spacing w:after="0" w:line="240" w:lineRule="auto"/>
        <w:jc w:val="both"/>
        <w:rPr>
          <w:rFonts w:ascii="Calibri" w:hAnsi="Calibri" w:cs="Calibri"/>
          <w:b/>
          <w:sz w:val="24"/>
          <w:szCs w:val="24"/>
        </w:rPr>
      </w:pPr>
      <w:r w:rsidRPr="007E14F9">
        <w:rPr>
          <w:rFonts w:ascii="Calibri" w:hAnsi="Calibri" w:cs="Calibri"/>
          <w:b/>
          <w:sz w:val="24"/>
          <w:szCs w:val="24"/>
        </w:rPr>
        <w:t>2.5a Projekty financované ze SFDI</w:t>
      </w:r>
    </w:p>
    <w:p w14:paraId="7094F4FC" w14:textId="77777777" w:rsidR="00895164" w:rsidRDefault="00895164" w:rsidP="007E14F9">
      <w:pPr>
        <w:spacing w:after="0" w:line="240" w:lineRule="auto"/>
        <w:jc w:val="both"/>
        <w:rPr>
          <w:rFonts w:ascii="Calibri" w:hAnsi="Calibri" w:cs="Calibri"/>
          <w:b/>
          <w:sz w:val="24"/>
          <w:szCs w:val="24"/>
        </w:rPr>
      </w:pPr>
    </w:p>
    <w:p w14:paraId="1D876D39" w14:textId="77777777" w:rsidR="00393DDB" w:rsidRDefault="00393DDB" w:rsidP="007E14F9">
      <w:pPr>
        <w:spacing w:after="0" w:line="240" w:lineRule="auto"/>
        <w:jc w:val="both"/>
        <w:rPr>
          <w:rFonts w:ascii="Calibri" w:hAnsi="Calibri" w:cs="Calibri"/>
          <w:sz w:val="24"/>
          <w:szCs w:val="24"/>
        </w:rPr>
      </w:pPr>
      <w:r w:rsidRPr="007E14F9">
        <w:rPr>
          <w:rFonts w:ascii="Calibri" w:hAnsi="Calibri" w:cs="Calibri"/>
          <w:b/>
          <w:sz w:val="24"/>
          <w:szCs w:val="24"/>
        </w:rPr>
        <w:t>SFDI jako poskytovatel dotace netrval ve svých podmínkách na závazném stanovení měřitelných cílů.</w:t>
      </w:r>
      <w:r w:rsidRPr="007E14F9">
        <w:rPr>
          <w:rFonts w:ascii="Calibri" w:hAnsi="Calibri" w:cs="Calibri"/>
          <w:sz w:val="24"/>
          <w:szCs w:val="24"/>
        </w:rPr>
        <w:t xml:space="preserve"> Cíle projektů vyplývaly z popisů akcí, které příjemci uvedli v rozpisech akcí spolu s dalšími indikativními parametry akcí.</w:t>
      </w:r>
    </w:p>
    <w:p w14:paraId="6F75D8FA" w14:textId="77777777" w:rsidR="00895164" w:rsidRPr="007E14F9" w:rsidRDefault="00895164" w:rsidP="007E14F9">
      <w:pPr>
        <w:spacing w:after="0" w:line="240" w:lineRule="auto"/>
        <w:jc w:val="both"/>
        <w:rPr>
          <w:rFonts w:ascii="Calibri" w:hAnsi="Calibri" w:cs="Calibri"/>
          <w:sz w:val="24"/>
          <w:szCs w:val="24"/>
        </w:rPr>
      </w:pPr>
    </w:p>
    <w:p w14:paraId="26E3214E" w14:textId="4191E6E4" w:rsidR="00393DDB" w:rsidRDefault="00393DDB" w:rsidP="00F03690">
      <w:pPr>
        <w:spacing w:after="0" w:line="240" w:lineRule="auto"/>
        <w:jc w:val="both"/>
        <w:rPr>
          <w:rFonts w:ascii="Calibri" w:hAnsi="Calibri" w:cs="Calibri"/>
          <w:sz w:val="24"/>
          <w:szCs w:val="24"/>
        </w:rPr>
      </w:pPr>
      <w:r w:rsidRPr="007E14F9">
        <w:rPr>
          <w:rFonts w:ascii="Calibri" w:hAnsi="Calibri" w:cs="Calibri"/>
          <w:b/>
          <w:sz w:val="24"/>
          <w:szCs w:val="24"/>
        </w:rPr>
        <w:t>Kontrolou bylo ověřeno, že u všech kontrolovaných projektů byl naplněn cíl, kterým byla oprava, resp. rekonstrukce či modernizace příslušného úseku silnice II. a III. třídy nebo mostu v majetku kraje, při současném dodržení časových i finančních parametrů akcí</w:t>
      </w:r>
      <w:r w:rsidRPr="007E14F9">
        <w:rPr>
          <w:rFonts w:ascii="Calibri" w:hAnsi="Calibri" w:cs="Calibri"/>
          <w:sz w:val="24"/>
          <w:szCs w:val="24"/>
        </w:rPr>
        <w:t>.</w:t>
      </w:r>
      <w:r w:rsidR="00F03690">
        <w:rPr>
          <w:rFonts w:ascii="Calibri" w:hAnsi="Calibri" w:cs="Calibri"/>
          <w:sz w:val="24"/>
          <w:szCs w:val="24"/>
        </w:rPr>
        <w:t xml:space="preserve"> </w:t>
      </w:r>
      <w:r w:rsidRPr="007E14F9">
        <w:rPr>
          <w:rFonts w:ascii="Calibri" w:hAnsi="Calibri" w:cs="Calibri"/>
          <w:b/>
          <w:sz w:val="24"/>
          <w:szCs w:val="24"/>
        </w:rPr>
        <w:t>Kontrolou bylo rovněž ověřeno, že po dokončení kontrolovaných akcí nedošlo k jejich úpravám v tom smyslu, že by se změnil účel jejich využití, a výsledky projektu jsou stále využívány jako silnice, popř. mosty v majetku kraje</w:t>
      </w:r>
      <w:r w:rsidRPr="00BE44A0">
        <w:rPr>
          <w:rFonts w:ascii="Calibri" w:hAnsi="Calibri" w:cs="Calibri"/>
          <w:b/>
          <w:sz w:val="24"/>
          <w:szCs w:val="24"/>
        </w:rPr>
        <w:t>.</w:t>
      </w:r>
      <w:r w:rsidRPr="007E14F9">
        <w:rPr>
          <w:rFonts w:ascii="Calibri" w:hAnsi="Calibri" w:cs="Calibri"/>
          <w:sz w:val="24"/>
          <w:szCs w:val="24"/>
        </w:rPr>
        <w:t xml:space="preserve"> Příjemci formou pravidelných prohlídek, údržby a oprav silnic a mostů, vyplývajících z předmětu</w:t>
      </w:r>
      <w:r w:rsidR="00CF58E7">
        <w:rPr>
          <w:rFonts w:ascii="Calibri" w:hAnsi="Calibri" w:cs="Calibri"/>
          <w:sz w:val="24"/>
          <w:szCs w:val="24"/>
        </w:rPr>
        <w:t xml:space="preserve"> </w:t>
      </w:r>
      <w:r w:rsidRPr="007E14F9">
        <w:rPr>
          <w:rFonts w:ascii="Calibri" w:hAnsi="Calibri" w:cs="Calibri"/>
          <w:sz w:val="24"/>
          <w:szCs w:val="24"/>
        </w:rPr>
        <w:t>jejich činnosti, zajišťují zachování funkčnosti výsledků projektů.</w:t>
      </w:r>
    </w:p>
    <w:p w14:paraId="72816C20" w14:textId="77777777" w:rsidR="00895164" w:rsidRPr="007E14F9" w:rsidRDefault="00895164" w:rsidP="007E14F9">
      <w:pPr>
        <w:autoSpaceDE w:val="0"/>
        <w:autoSpaceDN w:val="0"/>
        <w:adjustRightInd w:val="0"/>
        <w:spacing w:after="0" w:line="240" w:lineRule="auto"/>
        <w:jc w:val="both"/>
        <w:rPr>
          <w:rFonts w:ascii="Calibri" w:hAnsi="Calibri" w:cs="Calibri"/>
          <w:sz w:val="24"/>
          <w:szCs w:val="24"/>
        </w:rPr>
      </w:pPr>
    </w:p>
    <w:p w14:paraId="6A1DE9B4" w14:textId="5C5A94A4" w:rsidR="00393DDB" w:rsidRPr="007E14F9" w:rsidRDefault="00393DDB" w:rsidP="008E5A48">
      <w:pPr>
        <w:keepNext/>
        <w:keepLines/>
        <w:spacing w:after="0" w:line="240" w:lineRule="auto"/>
        <w:jc w:val="both"/>
        <w:rPr>
          <w:rFonts w:ascii="Calibri" w:hAnsi="Calibri" w:cs="Calibri"/>
          <w:b/>
          <w:sz w:val="24"/>
          <w:szCs w:val="24"/>
          <w:lang w:eastAsia="cs-CZ"/>
        </w:rPr>
      </w:pPr>
      <w:r w:rsidRPr="007E14F9">
        <w:rPr>
          <w:rFonts w:ascii="Calibri" w:hAnsi="Calibri" w:cs="Calibri"/>
          <w:b/>
          <w:sz w:val="24"/>
          <w:szCs w:val="24"/>
          <w:lang w:eastAsia="cs-CZ"/>
        </w:rPr>
        <w:t>2.5b Projekty spolufinancované z EU</w:t>
      </w:r>
    </w:p>
    <w:p w14:paraId="189B95C1" w14:textId="77777777" w:rsidR="00895164" w:rsidRDefault="00895164" w:rsidP="008E5A48">
      <w:pPr>
        <w:keepNext/>
        <w:keepLines/>
        <w:autoSpaceDE w:val="0"/>
        <w:autoSpaceDN w:val="0"/>
        <w:adjustRightInd w:val="0"/>
        <w:spacing w:after="0" w:line="240" w:lineRule="auto"/>
        <w:jc w:val="both"/>
        <w:rPr>
          <w:rFonts w:ascii="Calibri" w:hAnsi="Calibri" w:cs="Calibri"/>
          <w:sz w:val="24"/>
          <w:szCs w:val="24"/>
        </w:rPr>
      </w:pPr>
    </w:p>
    <w:p w14:paraId="23CCCE27" w14:textId="77777777" w:rsidR="00393DDB" w:rsidRDefault="00393DDB" w:rsidP="008E5A48">
      <w:pPr>
        <w:keepNext/>
        <w:keepLines/>
        <w:autoSpaceDE w:val="0"/>
        <w:autoSpaceDN w:val="0"/>
        <w:adjustRightInd w:val="0"/>
        <w:spacing w:after="0" w:line="240" w:lineRule="auto"/>
        <w:jc w:val="both"/>
        <w:rPr>
          <w:rFonts w:ascii="Calibri" w:hAnsi="Calibri" w:cs="Calibri"/>
          <w:sz w:val="24"/>
          <w:szCs w:val="24"/>
        </w:rPr>
      </w:pPr>
      <w:r w:rsidRPr="007E14F9">
        <w:rPr>
          <w:rFonts w:ascii="Calibri" w:hAnsi="Calibri" w:cs="Calibri"/>
          <w:sz w:val="24"/>
          <w:szCs w:val="24"/>
        </w:rPr>
        <w:t>Jednotlivé cíle projektů uvedli příjemci v žádostech o dotaci. Smlouvou o poskytnutí dotace pak byly příjemcům (v souladu s žádostí) stanoveny monitorovací ukazatele projektů, kterými byly délka nových, resp. délka rekonstruovaných silnic II. a III. třídy, příp. odstranění bodových závad.</w:t>
      </w:r>
    </w:p>
    <w:p w14:paraId="030D7B20" w14:textId="77777777" w:rsidR="00895164" w:rsidRPr="007E14F9" w:rsidRDefault="00895164" w:rsidP="007E14F9">
      <w:pPr>
        <w:autoSpaceDE w:val="0"/>
        <w:autoSpaceDN w:val="0"/>
        <w:adjustRightInd w:val="0"/>
        <w:spacing w:after="0" w:line="240" w:lineRule="auto"/>
        <w:jc w:val="both"/>
        <w:rPr>
          <w:rFonts w:ascii="Calibri" w:hAnsi="Calibri" w:cs="Calibri"/>
          <w:sz w:val="24"/>
          <w:szCs w:val="24"/>
        </w:rPr>
      </w:pPr>
    </w:p>
    <w:p w14:paraId="37391CA5" w14:textId="77777777" w:rsidR="00393DDB" w:rsidRDefault="00393DDB" w:rsidP="007E14F9">
      <w:pPr>
        <w:spacing w:after="0" w:line="240" w:lineRule="auto"/>
        <w:jc w:val="both"/>
        <w:rPr>
          <w:rFonts w:ascii="Calibri" w:hAnsi="Calibri" w:cs="Calibri"/>
          <w:sz w:val="24"/>
          <w:szCs w:val="24"/>
          <w:lang w:eastAsia="cs-CZ"/>
        </w:rPr>
      </w:pPr>
      <w:r w:rsidRPr="007E14F9">
        <w:rPr>
          <w:rFonts w:ascii="Calibri" w:hAnsi="Calibri" w:cs="Calibri"/>
          <w:b/>
          <w:sz w:val="24"/>
          <w:szCs w:val="24"/>
        </w:rPr>
        <w:t>Kontrolou bylo ověřeno, že příjemci u všech kontrolovaných projektů splnili monitorovací ukazatele</w:t>
      </w:r>
      <w:r w:rsidRPr="007E14F9">
        <w:rPr>
          <w:rFonts w:ascii="Calibri" w:hAnsi="Calibri" w:cs="Calibri"/>
          <w:b/>
          <w:sz w:val="24"/>
          <w:szCs w:val="24"/>
          <w:lang w:eastAsia="cs-CZ"/>
        </w:rPr>
        <w:t xml:space="preserve"> při dodržení časových a finančních parametrů projektu</w:t>
      </w:r>
      <w:r w:rsidRPr="00BE44A0">
        <w:rPr>
          <w:rFonts w:ascii="Calibri" w:hAnsi="Calibri" w:cs="Calibri"/>
          <w:b/>
          <w:sz w:val="24"/>
          <w:szCs w:val="24"/>
          <w:lang w:eastAsia="cs-CZ"/>
        </w:rPr>
        <w:t>.</w:t>
      </w:r>
    </w:p>
    <w:p w14:paraId="250CAB41" w14:textId="77777777" w:rsidR="00895164" w:rsidRPr="007E14F9" w:rsidRDefault="00895164" w:rsidP="007E14F9">
      <w:pPr>
        <w:spacing w:after="0" w:line="240" w:lineRule="auto"/>
        <w:jc w:val="both"/>
        <w:rPr>
          <w:rFonts w:ascii="Calibri" w:hAnsi="Calibri" w:cs="Calibri"/>
          <w:sz w:val="24"/>
          <w:szCs w:val="24"/>
          <w:lang w:eastAsia="cs-CZ"/>
        </w:rPr>
      </w:pPr>
    </w:p>
    <w:p w14:paraId="7212A7C3" w14:textId="77777777" w:rsidR="00393DDB" w:rsidRPr="008E5A48" w:rsidRDefault="00393DDB" w:rsidP="007E14F9">
      <w:pPr>
        <w:spacing w:after="0" w:line="240" w:lineRule="auto"/>
        <w:jc w:val="both"/>
        <w:rPr>
          <w:rFonts w:ascii="Calibri" w:hAnsi="Calibri" w:cs="Calibri"/>
          <w:sz w:val="24"/>
          <w:szCs w:val="24"/>
        </w:rPr>
      </w:pPr>
      <w:r w:rsidRPr="00BE44A0">
        <w:rPr>
          <w:rFonts w:ascii="Calibri" w:hAnsi="Calibri" w:cs="Calibri"/>
          <w:sz w:val="24"/>
          <w:szCs w:val="24"/>
        </w:rPr>
        <w:lastRenderedPageBreak/>
        <w:t>Příjemci ve zprávách o projektu uvedli, že všechny cíle projektů byly splněny. Vzhledem k tomu, že někteří příjemci nedefinovali některé cíle projektů tak, aby byly měřitelné, nebo nestanovili jejich výchozí, příp. i cílové hodnoty, nebylo možné splnění těchto cílů kontrolou posoudit a vyhodnotit tak všechny skutečné přínosy projektů. Příjemci i u takto definovaných cílů uvedli, že cíle byly splněny, přestože nestanovili kritéria pro hodnocení jejich dosažení, nebo neprováděli měření těchto veličin před realizaci ani po realizaci projektu</w:t>
      </w:r>
      <w:r w:rsidRPr="008E5A48">
        <w:rPr>
          <w:rFonts w:ascii="Calibri" w:hAnsi="Calibri" w:cs="Calibri"/>
          <w:sz w:val="24"/>
          <w:szCs w:val="24"/>
        </w:rPr>
        <w:t>.</w:t>
      </w:r>
    </w:p>
    <w:p w14:paraId="50BAEB29" w14:textId="77777777" w:rsidR="00895164" w:rsidRPr="007E14F9" w:rsidRDefault="00895164" w:rsidP="007E14F9">
      <w:pPr>
        <w:spacing w:after="0" w:line="240" w:lineRule="auto"/>
        <w:jc w:val="both"/>
        <w:rPr>
          <w:rFonts w:ascii="Calibri" w:hAnsi="Calibri" w:cs="Calibri"/>
          <w:sz w:val="24"/>
          <w:szCs w:val="24"/>
        </w:rPr>
      </w:pPr>
    </w:p>
    <w:p w14:paraId="2DDC5F89" w14:textId="77777777" w:rsidR="00393DDB" w:rsidRPr="007E14F9" w:rsidRDefault="00393DDB" w:rsidP="007E14F9">
      <w:pPr>
        <w:autoSpaceDE w:val="0"/>
        <w:autoSpaceDN w:val="0"/>
        <w:adjustRightInd w:val="0"/>
        <w:spacing w:after="0" w:line="240" w:lineRule="auto"/>
        <w:jc w:val="both"/>
        <w:rPr>
          <w:rFonts w:ascii="Calibri" w:eastAsia="Calibri" w:hAnsi="Calibri" w:cs="Calibri"/>
          <w:b/>
          <w:sz w:val="24"/>
          <w:szCs w:val="24"/>
        </w:rPr>
      </w:pPr>
      <w:r w:rsidRPr="007E14F9">
        <w:rPr>
          <w:rFonts w:ascii="Calibri" w:hAnsi="Calibri" w:cs="Calibri"/>
          <w:b/>
          <w:sz w:val="24"/>
          <w:szCs w:val="24"/>
        </w:rPr>
        <w:t xml:space="preserve">Kontrolou bylo rovněž ověřeno, že </w:t>
      </w:r>
      <w:r w:rsidRPr="007E14F9">
        <w:rPr>
          <w:rFonts w:ascii="Calibri" w:eastAsia="Calibri" w:hAnsi="Calibri" w:cs="Calibri"/>
          <w:b/>
          <w:sz w:val="24"/>
          <w:szCs w:val="24"/>
        </w:rPr>
        <w:t xml:space="preserve">příjemci dotace dodržují podmínky udržitelnosti projektů, </w:t>
      </w:r>
      <w:r w:rsidRPr="007E14F9">
        <w:rPr>
          <w:rFonts w:ascii="Calibri" w:hAnsi="Calibri" w:cs="Calibri"/>
          <w:b/>
          <w:bCs/>
          <w:sz w:val="24"/>
          <w:szCs w:val="24"/>
        </w:rPr>
        <w:t>výsledky realizace projektů jsou využívány v souladu s účelem, na který byly určeny, a příjemci vyvíjejí činnosti k zachování jejich funkčnosti.</w:t>
      </w:r>
    </w:p>
    <w:p w14:paraId="7A49C3DD" w14:textId="77777777" w:rsidR="00393DDB" w:rsidRPr="007E14F9" w:rsidRDefault="00393DDB" w:rsidP="007E14F9">
      <w:pPr>
        <w:spacing w:after="0" w:line="240" w:lineRule="auto"/>
        <w:jc w:val="both"/>
        <w:rPr>
          <w:rFonts w:ascii="Calibri" w:eastAsia="Times New Roman" w:hAnsi="Calibri" w:cs="Calibri"/>
          <w:sz w:val="24"/>
          <w:szCs w:val="24"/>
          <w:lang w:eastAsia="cs-CZ"/>
        </w:rPr>
      </w:pPr>
    </w:p>
    <w:p w14:paraId="7AEBDEDB" w14:textId="77777777" w:rsidR="00393DDB" w:rsidRPr="00BE44A0" w:rsidRDefault="00393DDB" w:rsidP="007E14F9">
      <w:pPr>
        <w:spacing w:after="0" w:line="240" w:lineRule="auto"/>
        <w:rPr>
          <w:rFonts w:ascii="Calibri" w:hAnsi="Calibri" w:cs="Calibri"/>
          <w:b/>
          <w:sz w:val="24"/>
          <w:szCs w:val="24"/>
        </w:rPr>
      </w:pPr>
      <w:r w:rsidRPr="007E14F9">
        <w:rPr>
          <w:rFonts w:ascii="Calibri" w:hAnsi="Calibri" w:cs="Calibri"/>
          <w:b/>
          <w:sz w:val="24"/>
          <w:szCs w:val="24"/>
        </w:rPr>
        <w:t xml:space="preserve">2.6 Vyhodnocení postupu příjemců z hlediska 3E </w:t>
      </w:r>
      <w:r w:rsidRPr="00BE44A0">
        <w:rPr>
          <w:rFonts w:ascii="Calibri" w:hAnsi="Calibri" w:cs="Calibri"/>
          <w:b/>
          <w:sz w:val="24"/>
          <w:szCs w:val="24"/>
        </w:rPr>
        <w:t>– využití poskytnutých prostředků</w:t>
      </w:r>
    </w:p>
    <w:p w14:paraId="45D17537" w14:textId="77777777" w:rsidR="00895164" w:rsidRPr="007E14F9" w:rsidRDefault="00895164" w:rsidP="007E14F9">
      <w:pPr>
        <w:spacing w:after="0" w:line="240" w:lineRule="auto"/>
        <w:rPr>
          <w:rFonts w:ascii="Calibri" w:hAnsi="Calibri" w:cs="Calibri"/>
          <w:sz w:val="24"/>
          <w:szCs w:val="24"/>
        </w:rPr>
      </w:pPr>
    </w:p>
    <w:p w14:paraId="0F8A89FD" w14:textId="77777777" w:rsidR="00B95AC4"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NKÚ nezjistil případy financování projektů, které by byly v rozporu se strategickými či koncepčními materiály nebo zpracovanými plány, pokud je příjemce vypracoval a udržoval v aktuálním stavu</w:t>
      </w:r>
      <w:r w:rsidRPr="00BE44A0">
        <w:rPr>
          <w:rFonts w:ascii="Calibri" w:eastAsia="Times New Roman" w:hAnsi="Calibri" w:cs="Calibri"/>
          <w:b/>
          <w:sz w:val="24"/>
          <w:szCs w:val="24"/>
        </w:rPr>
        <w:t>.</w:t>
      </w:r>
      <w:r w:rsidRPr="007E14F9">
        <w:rPr>
          <w:rFonts w:ascii="Calibri" w:eastAsia="Times New Roman" w:hAnsi="Calibri" w:cs="Calibri"/>
          <w:sz w:val="24"/>
          <w:szCs w:val="24"/>
        </w:rPr>
        <w:t xml:space="preserve"> Prioritním kritériem pro výběr projektů byl technický stav silnic, většina příjemců dotací však</w:t>
      </w:r>
      <w:r w:rsidR="00B95AC4" w:rsidRPr="007E14F9">
        <w:rPr>
          <w:rFonts w:ascii="Calibri" w:eastAsia="Times New Roman" w:hAnsi="Calibri" w:cs="Calibri"/>
          <w:sz w:val="24"/>
          <w:szCs w:val="24"/>
        </w:rPr>
        <w:t xml:space="preserve"> zohledňovala i další hlediska.</w:t>
      </w:r>
    </w:p>
    <w:p w14:paraId="50DC5B91" w14:textId="77777777" w:rsidR="00895164" w:rsidRPr="007E14F9" w:rsidRDefault="00895164" w:rsidP="007E14F9">
      <w:pPr>
        <w:spacing w:after="0" w:line="240" w:lineRule="auto"/>
        <w:jc w:val="both"/>
        <w:rPr>
          <w:rFonts w:ascii="Calibri" w:eastAsia="Times New Roman" w:hAnsi="Calibri" w:cs="Calibri"/>
          <w:sz w:val="24"/>
          <w:szCs w:val="24"/>
        </w:rPr>
      </w:pPr>
    </w:p>
    <w:p w14:paraId="30B1AD68" w14:textId="77777777" w:rsidR="00FE308F"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Hospodárnost</w:t>
      </w:r>
      <w:r w:rsidRPr="007E14F9">
        <w:rPr>
          <w:rFonts w:ascii="Calibri" w:eastAsia="Times New Roman" w:hAnsi="Calibri" w:cs="Calibri"/>
          <w:sz w:val="24"/>
          <w:szCs w:val="24"/>
        </w:rPr>
        <w:t xml:space="preserve"> hodnotil NKÚ především v souvislosti se zadáváním veřejných zakázek, se zajištěním odpovídajícího smluvního zabezpečení projektů a se zajištěním realizace projektů podle stanovených pravidel a postupů. </w:t>
      </w:r>
    </w:p>
    <w:p w14:paraId="2B563F8E" w14:textId="77777777" w:rsidR="00895164" w:rsidRPr="007E14F9" w:rsidRDefault="00895164" w:rsidP="007E14F9">
      <w:pPr>
        <w:spacing w:after="0" w:line="240" w:lineRule="auto"/>
        <w:jc w:val="both"/>
        <w:rPr>
          <w:rFonts w:ascii="Calibri" w:eastAsia="Times New Roman" w:hAnsi="Calibri" w:cs="Calibri"/>
          <w:sz w:val="24"/>
          <w:szCs w:val="24"/>
        </w:rPr>
      </w:pPr>
    </w:p>
    <w:p w14:paraId="26D0FD15" w14:textId="77777777" w:rsidR="00393DDB" w:rsidRDefault="00393DDB" w:rsidP="007E14F9">
      <w:pPr>
        <w:spacing w:after="0" w:line="240" w:lineRule="auto"/>
        <w:jc w:val="both"/>
        <w:rPr>
          <w:rFonts w:ascii="Calibri" w:eastAsia="Times New Roman" w:hAnsi="Calibri" w:cs="Calibri"/>
          <w:b/>
          <w:sz w:val="24"/>
          <w:szCs w:val="24"/>
        </w:rPr>
      </w:pPr>
      <w:r w:rsidRPr="007E14F9">
        <w:rPr>
          <w:rFonts w:ascii="Calibri" w:eastAsia="Times New Roman" w:hAnsi="Calibri" w:cs="Calibri"/>
          <w:b/>
          <w:sz w:val="24"/>
          <w:szCs w:val="24"/>
        </w:rPr>
        <w:t xml:space="preserve">NKÚ nezjistil případy závažných nedostatků v hospodárnosti postupu jednotlivých příjemců dotací. </w:t>
      </w:r>
    </w:p>
    <w:p w14:paraId="3A89E7F2" w14:textId="77777777" w:rsidR="00895164" w:rsidRPr="00895164" w:rsidRDefault="00895164" w:rsidP="007E14F9">
      <w:pPr>
        <w:spacing w:after="0" w:line="240" w:lineRule="auto"/>
        <w:jc w:val="both"/>
        <w:rPr>
          <w:rFonts w:ascii="Calibri" w:eastAsia="Times New Roman" w:hAnsi="Calibri" w:cs="Calibri"/>
          <w:sz w:val="24"/>
          <w:szCs w:val="24"/>
        </w:rPr>
      </w:pPr>
    </w:p>
    <w:p w14:paraId="5793F62B" w14:textId="77777777" w:rsidR="00FE308F"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Účelnost</w:t>
      </w:r>
      <w:r w:rsidRPr="007E14F9">
        <w:rPr>
          <w:rFonts w:ascii="Calibri" w:eastAsia="Times New Roman" w:hAnsi="Calibri" w:cs="Calibri"/>
          <w:sz w:val="24"/>
          <w:szCs w:val="24"/>
        </w:rPr>
        <w:t xml:space="preserve"> byla kontrolou NKÚ hodnocena v souvislosti s naplněním cílů plánovaných u jednotlivých akcí a v souvislosti s využíváním výsledků realizovaných projektů. V této oblasti nebylo konstatováno porušení pravidel stanovených poskytovateli peněžních prostředků. </w:t>
      </w:r>
    </w:p>
    <w:p w14:paraId="6257C5DB" w14:textId="77777777" w:rsidR="00895164" w:rsidRPr="007E14F9" w:rsidRDefault="00895164" w:rsidP="007E14F9">
      <w:pPr>
        <w:spacing w:after="0" w:line="240" w:lineRule="auto"/>
        <w:jc w:val="both"/>
        <w:rPr>
          <w:rFonts w:ascii="Calibri" w:eastAsia="Times New Roman" w:hAnsi="Calibri" w:cs="Calibri"/>
          <w:sz w:val="24"/>
          <w:szCs w:val="24"/>
        </w:rPr>
      </w:pPr>
    </w:p>
    <w:p w14:paraId="5C4E5486" w14:textId="5445A78B" w:rsidR="00393DDB"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 xml:space="preserve">NKÚ zjistil </w:t>
      </w:r>
      <w:r w:rsidR="001E32BF" w:rsidRPr="007E14F9">
        <w:rPr>
          <w:rFonts w:ascii="Calibri" w:eastAsia="Times New Roman" w:hAnsi="Calibri" w:cs="Calibri"/>
          <w:b/>
          <w:sz w:val="24"/>
          <w:szCs w:val="24"/>
        </w:rPr>
        <w:t xml:space="preserve">v kontrolovaném vzorku </w:t>
      </w:r>
      <w:r w:rsidRPr="007E14F9">
        <w:rPr>
          <w:rFonts w:ascii="Calibri" w:eastAsia="Times New Roman" w:hAnsi="Calibri" w:cs="Calibri"/>
          <w:b/>
          <w:sz w:val="24"/>
          <w:szCs w:val="24"/>
        </w:rPr>
        <w:t>značné rozdíly v</w:t>
      </w:r>
      <w:r w:rsidR="001E32BF" w:rsidRPr="007E14F9">
        <w:rPr>
          <w:rFonts w:ascii="Calibri" w:eastAsia="Times New Roman" w:hAnsi="Calibri" w:cs="Calibri"/>
          <w:b/>
          <w:sz w:val="24"/>
          <w:szCs w:val="24"/>
        </w:rPr>
        <w:t> přístupu k</w:t>
      </w:r>
      <w:r w:rsidRPr="007E14F9">
        <w:rPr>
          <w:rFonts w:ascii="Calibri" w:eastAsia="Times New Roman" w:hAnsi="Calibri" w:cs="Calibri"/>
          <w:b/>
          <w:sz w:val="24"/>
          <w:szCs w:val="24"/>
        </w:rPr>
        <w:t xml:space="preserve"> oprav</w:t>
      </w:r>
      <w:r w:rsidR="001E32BF" w:rsidRPr="007E14F9">
        <w:rPr>
          <w:rFonts w:ascii="Calibri" w:eastAsia="Times New Roman" w:hAnsi="Calibri" w:cs="Calibri"/>
          <w:b/>
          <w:sz w:val="24"/>
          <w:szCs w:val="24"/>
        </w:rPr>
        <w:t>ám</w:t>
      </w:r>
      <w:r w:rsidRPr="007E14F9">
        <w:rPr>
          <w:rFonts w:ascii="Calibri" w:eastAsia="Times New Roman" w:hAnsi="Calibri" w:cs="Calibri"/>
          <w:b/>
          <w:sz w:val="24"/>
          <w:szCs w:val="24"/>
        </w:rPr>
        <w:t>, modernizací</w:t>
      </w:r>
      <w:r w:rsidR="001E32BF" w:rsidRPr="007E14F9">
        <w:rPr>
          <w:rFonts w:ascii="Calibri" w:eastAsia="Times New Roman" w:hAnsi="Calibri" w:cs="Calibri"/>
          <w:b/>
          <w:sz w:val="24"/>
          <w:szCs w:val="24"/>
        </w:rPr>
        <w:t>m</w:t>
      </w:r>
      <w:r w:rsidRPr="007E14F9">
        <w:rPr>
          <w:rFonts w:ascii="Calibri" w:eastAsia="Times New Roman" w:hAnsi="Calibri" w:cs="Calibri"/>
          <w:b/>
          <w:sz w:val="24"/>
          <w:szCs w:val="24"/>
        </w:rPr>
        <w:t xml:space="preserve"> a</w:t>
      </w:r>
      <w:r w:rsidR="00A34605" w:rsidRPr="007E14F9">
        <w:rPr>
          <w:rFonts w:ascii="Calibri" w:eastAsia="Times New Roman" w:hAnsi="Calibri" w:cs="Calibri"/>
          <w:b/>
          <w:sz w:val="24"/>
          <w:szCs w:val="24"/>
        </w:rPr>
        <w:t> </w:t>
      </w:r>
      <w:r w:rsidR="001E32BF" w:rsidRPr="007E14F9">
        <w:rPr>
          <w:rFonts w:ascii="Calibri" w:eastAsia="Times New Roman" w:hAnsi="Calibri" w:cs="Calibri"/>
          <w:b/>
          <w:sz w:val="24"/>
          <w:szCs w:val="24"/>
        </w:rPr>
        <w:t>k</w:t>
      </w:r>
      <w:r w:rsidR="00A34605" w:rsidRPr="007E14F9">
        <w:rPr>
          <w:rFonts w:ascii="Calibri" w:eastAsia="Times New Roman" w:hAnsi="Calibri" w:cs="Calibri"/>
          <w:b/>
          <w:sz w:val="24"/>
          <w:szCs w:val="24"/>
        </w:rPr>
        <w:t> </w:t>
      </w:r>
      <w:r w:rsidRPr="007E14F9">
        <w:rPr>
          <w:rFonts w:ascii="Calibri" w:eastAsia="Times New Roman" w:hAnsi="Calibri" w:cs="Calibri"/>
          <w:b/>
          <w:sz w:val="24"/>
          <w:szCs w:val="24"/>
        </w:rPr>
        <w:t>rozvoj</w:t>
      </w:r>
      <w:r w:rsidR="001E32BF" w:rsidRPr="007E14F9">
        <w:rPr>
          <w:rFonts w:ascii="Calibri" w:eastAsia="Times New Roman" w:hAnsi="Calibri" w:cs="Calibri"/>
          <w:b/>
          <w:sz w:val="24"/>
          <w:szCs w:val="24"/>
        </w:rPr>
        <w:t>i</w:t>
      </w:r>
      <w:r w:rsidRPr="007E14F9">
        <w:rPr>
          <w:rFonts w:ascii="Calibri" w:eastAsia="Times New Roman" w:hAnsi="Calibri" w:cs="Calibri"/>
          <w:b/>
          <w:sz w:val="24"/>
          <w:szCs w:val="24"/>
        </w:rPr>
        <w:t xml:space="preserve"> silnic krajů. Ve stejném časovém období byly vyhodnoceny především změny (úbytky) úseků silnic ve stavu „nevyhovujícím“ a „havarijním“ a nárůst ve stavech „výborný“, „dobrý“ a „vyhovující“. </w:t>
      </w:r>
      <w:r w:rsidR="00D677E0" w:rsidRPr="007E14F9">
        <w:rPr>
          <w:rFonts w:ascii="Calibri" w:eastAsia="Times New Roman" w:hAnsi="Calibri" w:cs="Calibri"/>
          <w:b/>
          <w:sz w:val="24"/>
          <w:szCs w:val="24"/>
        </w:rPr>
        <w:t xml:space="preserve">Odlišně se vyvíjel stav u příjemce </w:t>
      </w:r>
      <w:r w:rsidR="001C0690" w:rsidRPr="007E14F9">
        <w:rPr>
          <w:rFonts w:ascii="Calibri" w:eastAsia="Times New Roman" w:hAnsi="Calibri" w:cs="Calibri"/>
          <w:b/>
          <w:sz w:val="24"/>
          <w:szCs w:val="24"/>
        </w:rPr>
        <w:t>LBK</w:t>
      </w:r>
      <w:r w:rsidR="00D677E0" w:rsidRPr="007E14F9">
        <w:rPr>
          <w:rFonts w:ascii="Calibri" w:eastAsia="Times New Roman" w:hAnsi="Calibri" w:cs="Calibri"/>
          <w:b/>
          <w:sz w:val="24"/>
          <w:szCs w:val="24"/>
        </w:rPr>
        <w:t xml:space="preserve">, kde byl i přes vložené finanční prostředky zjištěn nárůst úseků silnic ve stavu nevyhovujícím. </w:t>
      </w:r>
      <w:r w:rsidRPr="007E14F9">
        <w:rPr>
          <w:rFonts w:ascii="Calibri" w:eastAsia="Times New Roman" w:hAnsi="Calibri" w:cs="Calibri"/>
          <w:sz w:val="24"/>
          <w:szCs w:val="24"/>
        </w:rPr>
        <w:t>Podrobnosti k tomuto hodnocení jsou uvedeny v části I</w:t>
      </w:r>
      <w:r w:rsidR="00BB74C0">
        <w:rPr>
          <w:rFonts w:ascii="Calibri" w:eastAsia="Times New Roman" w:hAnsi="Calibri" w:cs="Calibri"/>
          <w:sz w:val="24"/>
          <w:szCs w:val="24"/>
        </w:rPr>
        <w:t>V</w:t>
      </w:r>
      <w:r w:rsidRPr="007E14F9">
        <w:rPr>
          <w:rFonts w:ascii="Calibri" w:eastAsia="Times New Roman" w:hAnsi="Calibri" w:cs="Calibri"/>
          <w:sz w:val="24"/>
          <w:szCs w:val="24"/>
        </w:rPr>
        <w:t xml:space="preserve">. </w:t>
      </w:r>
      <w:r w:rsidR="00BB74C0">
        <w:rPr>
          <w:rFonts w:ascii="Calibri" w:eastAsia="Times New Roman" w:hAnsi="Calibri" w:cs="Calibri"/>
          <w:i/>
          <w:sz w:val="24"/>
          <w:szCs w:val="24"/>
        </w:rPr>
        <w:t>Údaje zjištěné z</w:t>
      </w:r>
      <w:r w:rsidRPr="00BE44A0">
        <w:rPr>
          <w:rFonts w:ascii="Calibri" w:eastAsia="Times New Roman" w:hAnsi="Calibri" w:cs="Calibri"/>
          <w:i/>
          <w:sz w:val="24"/>
          <w:szCs w:val="24"/>
        </w:rPr>
        <w:t xml:space="preserve"> datových podkladů</w:t>
      </w:r>
      <w:r w:rsidRPr="007E14F9">
        <w:rPr>
          <w:rFonts w:ascii="Calibri" w:eastAsia="Times New Roman" w:hAnsi="Calibri" w:cs="Calibri"/>
          <w:sz w:val="24"/>
          <w:szCs w:val="24"/>
        </w:rPr>
        <w:t>.</w:t>
      </w:r>
    </w:p>
    <w:p w14:paraId="440D7D15" w14:textId="77777777" w:rsidR="00895164" w:rsidRPr="007E14F9" w:rsidRDefault="00895164" w:rsidP="007E14F9">
      <w:pPr>
        <w:spacing w:after="0" w:line="240" w:lineRule="auto"/>
        <w:jc w:val="both"/>
        <w:rPr>
          <w:rFonts w:ascii="Calibri" w:eastAsia="Times New Roman" w:hAnsi="Calibri" w:cs="Calibri"/>
          <w:sz w:val="24"/>
          <w:szCs w:val="24"/>
        </w:rPr>
      </w:pPr>
    </w:p>
    <w:p w14:paraId="548477C1" w14:textId="0F3958E4" w:rsidR="00FE308F"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Efektivnost</w:t>
      </w:r>
      <w:r w:rsidRPr="007E14F9">
        <w:rPr>
          <w:rFonts w:ascii="Calibri" w:eastAsia="Times New Roman" w:hAnsi="Calibri" w:cs="Calibri"/>
          <w:sz w:val="24"/>
          <w:szCs w:val="24"/>
        </w:rPr>
        <w:t xml:space="preserve"> byla kontrolou NKÚ hodnocena ve smyslu postupu příjemců ve shodě se</w:t>
      </w:r>
      <w:r w:rsidR="00964BDA">
        <w:rPr>
          <w:rFonts w:ascii="Calibri" w:eastAsia="Times New Roman" w:hAnsi="Calibri" w:cs="Calibri"/>
          <w:sz w:val="24"/>
          <w:szCs w:val="24"/>
        </w:rPr>
        <w:t xml:space="preserve"> </w:t>
      </w:r>
      <w:r w:rsidRPr="007E14F9">
        <w:rPr>
          <w:rFonts w:ascii="Calibri" w:eastAsia="Times New Roman" w:hAnsi="Calibri" w:cs="Calibri"/>
          <w:sz w:val="24"/>
          <w:szCs w:val="24"/>
        </w:rPr>
        <w:t>strategickými a koncepčními materiály, nebo ve smyslu postupu oprav, rekonstrukcí a budování nových úseků ve snaze uvést do dobrého technického stavu páteřní a</w:t>
      </w:r>
      <w:r w:rsidR="00A34605" w:rsidRPr="007E14F9">
        <w:rPr>
          <w:rFonts w:ascii="Calibri" w:eastAsia="Times New Roman" w:hAnsi="Calibri" w:cs="Calibri"/>
          <w:sz w:val="24"/>
          <w:szCs w:val="24"/>
        </w:rPr>
        <w:t> </w:t>
      </w:r>
      <w:r w:rsidRPr="007E14F9">
        <w:rPr>
          <w:rFonts w:ascii="Calibri" w:eastAsia="Times New Roman" w:hAnsi="Calibri" w:cs="Calibri"/>
          <w:sz w:val="24"/>
          <w:szCs w:val="24"/>
        </w:rPr>
        <w:t xml:space="preserve">nejzatíženější části silniční sítě v kontrolovaných krajích. </w:t>
      </w:r>
    </w:p>
    <w:p w14:paraId="78F2FAE1" w14:textId="77777777" w:rsidR="00895164" w:rsidRPr="007E14F9" w:rsidRDefault="00895164" w:rsidP="007E14F9">
      <w:pPr>
        <w:spacing w:after="0" w:line="240" w:lineRule="auto"/>
        <w:jc w:val="both"/>
        <w:rPr>
          <w:rFonts w:ascii="Calibri" w:eastAsia="Times New Roman" w:hAnsi="Calibri" w:cs="Calibri"/>
          <w:sz w:val="24"/>
          <w:szCs w:val="24"/>
        </w:rPr>
      </w:pPr>
    </w:p>
    <w:p w14:paraId="1C8F8CCA" w14:textId="6053B40D" w:rsidR="00393DDB" w:rsidRDefault="00393DDB" w:rsidP="007E14F9">
      <w:pPr>
        <w:spacing w:after="0" w:line="240" w:lineRule="auto"/>
        <w:jc w:val="both"/>
        <w:rPr>
          <w:rFonts w:ascii="Calibri" w:eastAsia="Times New Roman" w:hAnsi="Calibri" w:cs="Calibri"/>
          <w:b/>
          <w:sz w:val="24"/>
          <w:szCs w:val="24"/>
        </w:rPr>
      </w:pPr>
      <w:r w:rsidRPr="007E14F9">
        <w:rPr>
          <w:rFonts w:ascii="Calibri" w:eastAsia="Times New Roman" w:hAnsi="Calibri" w:cs="Calibri"/>
          <w:b/>
          <w:sz w:val="24"/>
          <w:szCs w:val="24"/>
        </w:rPr>
        <w:t>Kontrolou bylo zjištěno, že příjemci při výběru a přípravě úseků silnic postupovali v souladu s uvedenými materiály, pokud tomu nebránily některé objektivní vlivy</w:t>
      </w:r>
      <w:r w:rsidR="004D44EB">
        <w:rPr>
          <w:rFonts w:ascii="Calibri" w:eastAsia="Times New Roman" w:hAnsi="Calibri" w:cs="Calibri"/>
          <w:b/>
          <w:sz w:val="24"/>
          <w:szCs w:val="24"/>
        </w:rPr>
        <w:t>,</w:t>
      </w:r>
      <w:r w:rsidRPr="007E14F9">
        <w:rPr>
          <w:rFonts w:ascii="Calibri" w:eastAsia="Times New Roman" w:hAnsi="Calibri" w:cs="Calibri"/>
          <w:b/>
          <w:sz w:val="24"/>
          <w:szCs w:val="24"/>
        </w:rPr>
        <w:t xml:space="preserve"> </w:t>
      </w:r>
      <w:r w:rsidR="004D44EB">
        <w:rPr>
          <w:rFonts w:ascii="Calibri" w:eastAsia="Times New Roman" w:hAnsi="Calibri" w:cs="Calibri"/>
          <w:b/>
          <w:sz w:val="24"/>
          <w:szCs w:val="24"/>
        </w:rPr>
        <w:t>m</w:t>
      </w:r>
      <w:r w:rsidRPr="007E14F9">
        <w:rPr>
          <w:rFonts w:ascii="Calibri" w:eastAsia="Times New Roman" w:hAnsi="Calibri" w:cs="Calibri"/>
          <w:b/>
          <w:sz w:val="24"/>
          <w:szCs w:val="24"/>
        </w:rPr>
        <w:t>ezi ně</w:t>
      </w:r>
      <w:r w:rsidR="004D44EB">
        <w:rPr>
          <w:rFonts w:ascii="Calibri" w:eastAsia="Times New Roman" w:hAnsi="Calibri" w:cs="Calibri"/>
          <w:b/>
          <w:sz w:val="24"/>
          <w:szCs w:val="24"/>
        </w:rPr>
        <w:t>ž</w:t>
      </w:r>
      <w:r w:rsidRPr="007E14F9">
        <w:rPr>
          <w:rFonts w:ascii="Calibri" w:eastAsia="Times New Roman" w:hAnsi="Calibri" w:cs="Calibri"/>
          <w:b/>
          <w:sz w:val="24"/>
          <w:szCs w:val="24"/>
        </w:rPr>
        <w:t xml:space="preserve"> patřily zejména problémy s vlastnictvím pozemků pod silnicemi</w:t>
      </w:r>
      <w:r w:rsidR="00D63525" w:rsidRPr="007E14F9">
        <w:rPr>
          <w:rFonts w:ascii="Calibri" w:eastAsia="Times New Roman" w:hAnsi="Calibri" w:cs="Calibri"/>
          <w:b/>
          <w:sz w:val="24"/>
          <w:szCs w:val="24"/>
        </w:rPr>
        <w:t xml:space="preserve">. </w:t>
      </w:r>
    </w:p>
    <w:p w14:paraId="4A18EF62" w14:textId="77777777" w:rsidR="00895164" w:rsidRPr="007E14F9" w:rsidRDefault="00895164" w:rsidP="007E14F9">
      <w:pPr>
        <w:spacing w:after="0" w:line="240" w:lineRule="auto"/>
        <w:jc w:val="both"/>
        <w:rPr>
          <w:rFonts w:ascii="Calibri" w:eastAsia="Times New Roman" w:hAnsi="Calibri" w:cs="Calibri"/>
          <w:sz w:val="24"/>
          <w:szCs w:val="24"/>
        </w:rPr>
      </w:pPr>
    </w:p>
    <w:p w14:paraId="6CB46A76" w14:textId="77777777" w:rsidR="005651D3" w:rsidRDefault="005651D3">
      <w:pPr>
        <w:rPr>
          <w:rFonts w:ascii="Calibri" w:hAnsi="Calibri" w:cs="Calibri"/>
          <w:b/>
          <w:sz w:val="24"/>
          <w:szCs w:val="24"/>
        </w:rPr>
      </w:pPr>
      <w:r>
        <w:rPr>
          <w:rFonts w:ascii="Calibri" w:hAnsi="Calibri" w:cs="Calibri"/>
          <w:b/>
          <w:sz w:val="24"/>
          <w:szCs w:val="24"/>
        </w:rPr>
        <w:br w:type="page"/>
      </w:r>
    </w:p>
    <w:p w14:paraId="39A45FD0" w14:textId="4A063F3A" w:rsidR="00393DDB" w:rsidRPr="007E14F9" w:rsidRDefault="00393DDB" w:rsidP="007E14F9">
      <w:pPr>
        <w:spacing w:after="0" w:line="240" w:lineRule="auto"/>
        <w:rPr>
          <w:rFonts w:ascii="Calibri" w:hAnsi="Calibri" w:cs="Calibri"/>
          <w:b/>
          <w:sz w:val="24"/>
          <w:szCs w:val="24"/>
        </w:rPr>
      </w:pPr>
      <w:r w:rsidRPr="007E14F9">
        <w:rPr>
          <w:rFonts w:ascii="Calibri" w:hAnsi="Calibri" w:cs="Calibri"/>
          <w:b/>
          <w:sz w:val="24"/>
          <w:szCs w:val="24"/>
        </w:rPr>
        <w:lastRenderedPageBreak/>
        <w:t xml:space="preserve">2.7 Srovnání postupu příjemců z hlediska podmínek nastavených poskytovateli </w:t>
      </w:r>
    </w:p>
    <w:p w14:paraId="71FC86E6" w14:textId="77777777" w:rsidR="00895164" w:rsidRDefault="00895164" w:rsidP="007E14F9">
      <w:pPr>
        <w:spacing w:after="0" w:line="240" w:lineRule="auto"/>
        <w:jc w:val="both"/>
        <w:rPr>
          <w:rFonts w:ascii="Calibri" w:eastAsia="Times New Roman" w:hAnsi="Calibri" w:cs="Calibri"/>
          <w:b/>
          <w:sz w:val="24"/>
          <w:szCs w:val="24"/>
        </w:rPr>
      </w:pPr>
    </w:p>
    <w:p w14:paraId="59A0D95F" w14:textId="3F65F19E" w:rsidR="00FE308F"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Financování projektů prostřednictvím ROP bylo pro příjemce dotací administrativně náročnější než prostřednictvím SFDI.</w:t>
      </w:r>
      <w:r w:rsidRPr="007E14F9">
        <w:rPr>
          <w:rFonts w:ascii="Calibri" w:eastAsia="Times New Roman" w:hAnsi="Calibri" w:cs="Calibri"/>
          <w:sz w:val="24"/>
          <w:szCs w:val="24"/>
        </w:rPr>
        <w:t xml:space="preserve"> Vyšší administrativní náročnost byla dána zejména požadavky na zpracování podrobné žádosti o podporu, kterou RRJZ posuzovala a hodnotila ve třech stupních, povinnostmi vyplývajícími z dodržování pravidel výběru dodavatelů, způsobilosti výdajů, publicity projektu, zajištění udržitelnosti projektu, splnění monitorovacích indikátorů apod. Administrativní náročnost spočívala </w:t>
      </w:r>
      <w:r w:rsidR="00FE308F" w:rsidRPr="007E14F9">
        <w:rPr>
          <w:rFonts w:ascii="Calibri" w:eastAsia="Times New Roman" w:hAnsi="Calibri" w:cs="Calibri"/>
          <w:sz w:val="24"/>
          <w:szCs w:val="24"/>
        </w:rPr>
        <w:t xml:space="preserve">i </w:t>
      </w:r>
      <w:r w:rsidRPr="007E14F9">
        <w:rPr>
          <w:rFonts w:ascii="Calibri" w:eastAsia="Times New Roman" w:hAnsi="Calibri" w:cs="Calibri"/>
          <w:sz w:val="24"/>
          <w:szCs w:val="24"/>
        </w:rPr>
        <w:t xml:space="preserve">v pravidelném monitorování projektu a hlášení veškerých změn při realizaci projektu, které podléhaly schvalovacímu procesu u RRJZ. </w:t>
      </w:r>
    </w:p>
    <w:p w14:paraId="0ABFFC23" w14:textId="77777777" w:rsidR="00895164" w:rsidRPr="007E14F9" w:rsidRDefault="00895164" w:rsidP="007E14F9">
      <w:pPr>
        <w:spacing w:after="0" w:line="240" w:lineRule="auto"/>
        <w:jc w:val="both"/>
        <w:rPr>
          <w:rFonts w:ascii="Calibri" w:eastAsia="Times New Roman" w:hAnsi="Calibri" w:cs="Calibri"/>
          <w:sz w:val="24"/>
          <w:szCs w:val="24"/>
        </w:rPr>
      </w:pPr>
    </w:p>
    <w:p w14:paraId="02389067" w14:textId="77777777" w:rsidR="00393DDB" w:rsidRPr="007E14F9" w:rsidRDefault="00393DDB" w:rsidP="007E14F9">
      <w:pPr>
        <w:spacing w:after="0" w:line="240" w:lineRule="auto"/>
        <w:jc w:val="both"/>
        <w:rPr>
          <w:rFonts w:ascii="Calibri" w:eastAsia="Times New Roman" w:hAnsi="Calibri" w:cs="Calibri"/>
          <w:sz w:val="24"/>
          <w:szCs w:val="24"/>
        </w:rPr>
      </w:pPr>
      <w:r w:rsidRPr="007E14F9">
        <w:rPr>
          <w:rFonts w:ascii="Calibri" w:eastAsia="Times New Roman" w:hAnsi="Calibri" w:cs="Calibri"/>
          <w:b/>
          <w:sz w:val="24"/>
          <w:szCs w:val="24"/>
        </w:rPr>
        <w:t>Samostatnou kapitolu tvořila kontrolní činnost RRJZ, která byla v porovnání s kontrolní činností vykonávanou SFDI podstatně rozsáhlejší</w:t>
      </w:r>
      <w:r w:rsidRPr="00BE44A0">
        <w:rPr>
          <w:rFonts w:ascii="Calibri" w:eastAsia="Times New Roman" w:hAnsi="Calibri" w:cs="Calibri"/>
          <w:b/>
          <w:sz w:val="24"/>
          <w:szCs w:val="24"/>
        </w:rPr>
        <w:t>.</w:t>
      </w:r>
      <w:r w:rsidRPr="007E14F9">
        <w:rPr>
          <w:rFonts w:ascii="Calibri" w:eastAsia="Times New Roman" w:hAnsi="Calibri" w:cs="Calibri"/>
          <w:sz w:val="24"/>
          <w:szCs w:val="24"/>
        </w:rPr>
        <w:t xml:space="preserve"> SFDI provedl například v roce 2016 pět kontrol, při kterých zkontroloval 21 akcí. Naproti tomu RRJZ vykonávala velmi podrobnou kontrolu každého projektu, a to v několika úrovních.</w:t>
      </w:r>
    </w:p>
    <w:p w14:paraId="4F08700C" w14:textId="77777777" w:rsidR="00DD1B74" w:rsidRDefault="00DD1B74" w:rsidP="007E14F9">
      <w:pPr>
        <w:spacing w:after="0" w:line="240" w:lineRule="auto"/>
        <w:jc w:val="both"/>
        <w:rPr>
          <w:rFonts w:ascii="Calibri" w:eastAsia="Times New Roman" w:hAnsi="Calibri" w:cs="Calibri"/>
          <w:sz w:val="24"/>
          <w:szCs w:val="24"/>
        </w:rPr>
      </w:pPr>
    </w:p>
    <w:p w14:paraId="11BF51C8" w14:textId="77777777" w:rsidR="007E14F9" w:rsidRPr="007E14F9" w:rsidRDefault="007E14F9" w:rsidP="007E14F9">
      <w:pPr>
        <w:spacing w:after="0" w:line="240" w:lineRule="auto"/>
        <w:jc w:val="both"/>
        <w:rPr>
          <w:rFonts w:ascii="Calibri" w:eastAsia="Times New Roman" w:hAnsi="Calibri" w:cs="Calibri"/>
          <w:sz w:val="24"/>
          <w:szCs w:val="24"/>
        </w:rPr>
      </w:pPr>
    </w:p>
    <w:p w14:paraId="73B132D4" w14:textId="24738ACE" w:rsidR="00393DDB" w:rsidRPr="00393DDB" w:rsidRDefault="00393DDB" w:rsidP="00F3106C">
      <w:pPr>
        <w:spacing w:after="0" w:line="240" w:lineRule="auto"/>
        <w:jc w:val="center"/>
        <w:rPr>
          <w:rFonts w:eastAsia="Times New Roman" w:cs="Calibri"/>
          <w:b/>
          <w:sz w:val="28"/>
          <w:szCs w:val="28"/>
          <w:lang w:eastAsia="cs-CZ"/>
        </w:rPr>
      </w:pPr>
      <w:r w:rsidRPr="00393DDB">
        <w:rPr>
          <w:rFonts w:eastAsia="Times New Roman" w:cs="Calibri"/>
          <w:b/>
          <w:sz w:val="28"/>
          <w:szCs w:val="28"/>
          <w:lang w:eastAsia="cs-CZ"/>
        </w:rPr>
        <w:t>I</w:t>
      </w:r>
      <w:r w:rsidR="00AC3F93">
        <w:rPr>
          <w:rFonts w:eastAsia="Times New Roman" w:cs="Calibri"/>
          <w:b/>
          <w:sz w:val="28"/>
          <w:szCs w:val="28"/>
          <w:lang w:eastAsia="cs-CZ"/>
        </w:rPr>
        <w:t>V</w:t>
      </w:r>
      <w:r w:rsidRPr="00393DDB">
        <w:rPr>
          <w:rFonts w:eastAsia="Times New Roman" w:cs="Calibri"/>
          <w:b/>
          <w:sz w:val="28"/>
          <w:szCs w:val="28"/>
          <w:lang w:eastAsia="cs-CZ"/>
        </w:rPr>
        <w:t>. Údaje zjištěné z datových podkladů</w:t>
      </w:r>
    </w:p>
    <w:p w14:paraId="6FF7F2A9" w14:textId="77777777" w:rsidR="00831687" w:rsidRDefault="00831687" w:rsidP="00F3106C">
      <w:pPr>
        <w:spacing w:after="0" w:line="240" w:lineRule="auto"/>
        <w:jc w:val="both"/>
        <w:rPr>
          <w:rFonts w:eastAsia="Times New Roman" w:cs="Calibri"/>
          <w:sz w:val="24"/>
          <w:szCs w:val="24"/>
          <w:lang w:eastAsia="cs-CZ"/>
        </w:rPr>
      </w:pPr>
    </w:p>
    <w:p w14:paraId="16254325" w14:textId="7FA0C82A" w:rsidR="00393DDB" w:rsidRP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V rámci kontrolní akce č. 17/09 bylo provedeno vyhodnocení získaných cenových a nákladových údajů</w:t>
      </w:r>
      <w:r w:rsidR="00144778">
        <w:rPr>
          <w:rFonts w:eastAsia="Times New Roman" w:cs="Calibri"/>
          <w:sz w:val="24"/>
          <w:szCs w:val="24"/>
          <w:lang w:eastAsia="cs-CZ"/>
        </w:rPr>
        <w:t xml:space="preserve"> </w:t>
      </w:r>
      <w:r w:rsidR="00144778" w:rsidRPr="00627A9E">
        <w:rPr>
          <w:rFonts w:eastAsia="Times New Roman" w:cs="Calibri"/>
          <w:sz w:val="24"/>
          <w:szCs w:val="24"/>
          <w:lang w:eastAsia="cs-CZ"/>
        </w:rPr>
        <w:t>a vyhodnocení přínosu poskytnutých dotací k uvedení silnic krajů do lepšího technického stavu.</w:t>
      </w:r>
      <w:r w:rsidRPr="00627A9E">
        <w:rPr>
          <w:rFonts w:eastAsia="Times New Roman" w:cs="Calibri"/>
          <w:sz w:val="24"/>
          <w:szCs w:val="24"/>
          <w:lang w:eastAsia="cs-CZ"/>
        </w:rPr>
        <w:t xml:space="preserve"> </w:t>
      </w:r>
      <w:r w:rsidRPr="00393DDB">
        <w:rPr>
          <w:rFonts w:eastAsia="Times New Roman" w:cs="Calibri"/>
          <w:sz w:val="24"/>
          <w:szCs w:val="24"/>
          <w:lang w:eastAsia="cs-CZ"/>
        </w:rPr>
        <w:t xml:space="preserve">Některá vyhodnocení byla provedena pouze v omezené míře z důvodu nedostupnosti údajů, pro jejichž získání nemá NKÚ </w:t>
      </w:r>
      <w:r w:rsidRPr="00286677">
        <w:rPr>
          <w:rFonts w:eastAsia="Times New Roman" w:cs="Calibri"/>
          <w:sz w:val="24"/>
          <w:szCs w:val="24"/>
          <w:lang w:eastAsia="cs-CZ"/>
        </w:rPr>
        <w:t>působnost</w:t>
      </w:r>
      <w:r w:rsidR="00164C0E">
        <w:rPr>
          <w:rFonts w:eastAsia="Times New Roman" w:cs="Calibri"/>
          <w:sz w:val="24"/>
          <w:szCs w:val="24"/>
          <w:lang w:eastAsia="cs-CZ"/>
        </w:rPr>
        <w:t>. Dalším</w:t>
      </w:r>
      <w:r w:rsidR="004D44EB">
        <w:rPr>
          <w:rFonts w:eastAsia="Times New Roman" w:cs="Calibri"/>
          <w:sz w:val="24"/>
          <w:szCs w:val="24"/>
          <w:lang w:eastAsia="cs-CZ"/>
        </w:rPr>
        <w:t xml:space="preserve"> </w:t>
      </w:r>
      <w:r w:rsidRPr="00393DDB">
        <w:rPr>
          <w:rFonts w:eastAsia="Times New Roman" w:cs="Calibri"/>
          <w:sz w:val="24"/>
          <w:szCs w:val="24"/>
          <w:lang w:eastAsia="cs-CZ"/>
        </w:rPr>
        <w:t>důvod</w:t>
      </w:r>
      <w:r w:rsidR="00164C0E">
        <w:rPr>
          <w:rFonts w:eastAsia="Times New Roman" w:cs="Calibri"/>
          <w:sz w:val="24"/>
          <w:szCs w:val="24"/>
          <w:lang w:eastAsia="cs-CZ"/>
        </w:rPr>
        <w:t>em bylo</w:t>
      </w:r>
      <w:r w:rsidRPr="00393DDB">
        <w:rPr>
          <w:rFonts w:eastAsia="Times New Roman" w:cs="Calibri"/>
          <w:sz w:val="24"/>
          <w:szCs w:val="24"/>
          <w:lang w:eastAsia="cs-CZ"/>
        </w:rPr>
        <w:t>, že kontrolované osoby neprováděly potřebná vyhodnocení. Jednalo se především o</w:t>
      </w:r>
      <w:r w:rsidR="00A34605">
        <w:rPr>
          <w:rFonts w:eastAsia="Times New Roman" w:cs="Calibri"/>
          <w:sz w:val="24"/>
          <w:szCs w:val="24"/>
          <w:lang w:eastAsia="cs-CZ"/>
        </w:rPr>
        <w:t> </w:t>
      </w:r>
      <w:r w:rsidRPr="00393DDB">
        <w:rPr>
          <w:rFonts w:eastAsia="Times New Roman" w:cs="Calibri"/>
          <w:sz w:val="24"/>
          <w:szCs w:val="24"/>
          <w:lang w:eastAsia="cs-CZ"/>
        </w:rPr>
        <w:t>peněžní prostředky krajů, které byly pro účely oprav silnic krajů použity sou</w:t>
      </w:r>
      <w:r w:rsidR="00164C0E">
        <w:rPr>
          <w:rFonts w:eastAsia="Times New Roman" w:cs="Calibri"/>
          <w:sz w:val="24"/>
          <w:szCs w:val="24"/>
          <w:lang w:eastAsia="cs-CZ"/>
        </w:rPr>
        <w:t>běžně s dotacemi ze SFDI a EU</w:t>
      </w:r>
      <w:r w:rsidRPr="00393DDB">
        <w:rPr>
          <w:rFonts w:eastAsia="Times New Roman" w:cs="Calibri"/>
          <w:sz w:val="24"/>
          <w:szCs w:val="24"/>
          <w:lang w:eastAsia="cs-CZ"/>
        </w:rPr>
        <w:t xml:space="preserve">. Kritéria pro výběr akcí, jejichž parametry byly </w:t>
      </w:r>
      <w:r w:rsidR="00144778">
        <w:rPr>
          <w:rFonts w:eastAsia="Times New Roman" w:cs="Calibri"/>
          <w:sz w:val="24"/>
          <w:szCs w:val="24"/>
          <w:lang w:eastAsia="cs-CZ"/>
        </w:rPr>
        <w:t>vyhodnoceny</w:t>
      </w:r>
      <w:r w:rsidRPr="00393DDB">
        <w:rPr>
          <w:rFonts w:eastAsia="Times New Roman" w:cs="Calibri"/>
          <w:sz w:val="24"/>
          <w:szCs w:val="24"/>
          <w:lang w:eastAsia="cs-CZ"/>
        </w:rPr>
        <w:t>, byla volena tak, aby byly vybrány akce srovnatelného technického a technologického charakteru.</w:t>
      </w:r>
    </w:p>
    <w:p w14:paraId="2E8D9EC3" w14:textId="77777777" w:rsidR="00393DDB" w:rsidRPr="00393DDB" w:rsidRDefault="00393DDB" w:rsidP="00F3106C">
      <w:pPr>
        <w:spacing w:after="0" w:line="240" w:lineRule="auto"/>
        <w:jc w:val="both"/>
        <w:rPr>
          <w:rFonts w:eastAsia="Times New Roman" w:cs="Calibri"/>
          <w:sz w:val="24"/>
          <w:szCs w:val="24"/>
          <w:lang w:eastAsia="cs-CZ"/>
        </w:rPr>
      </w:pPr>
    </w:p>
    <w:p w14:paraId="0A105AC9" w14:textId="77777777" w:rsidR="00393DDB" w:rsidRPr="00393DDB" w:rsidRDefault="00393DDB" w:rsidP="00F3106C">
      <w:pPr>
        <w:spacing w:after="0" w:line="240" w:lineRule="auto"/>
        <w:jc w:val="both"/>
        <w:rPr>
          <w:rFonts w:eastAsia="Times New Roman" w:cs="Calibri"/>
          <w:b/>
          <w:sz w:val="24"/>
          <w:szCs w:val="24"/>
          <w:lang w:eastAsia="cs-CZ"/>
        </w:rPr>
      </w:pPr>
      <w:r w:rsidRPr="00393DDB">
        <w:rPr>
          <w:rFonts w:eastAsia="Times New Roman" w:cs="Calibri"/>
          <w:b/>
          <w:sz w:val="24"/>
          <w:szCs w:val="24"/>
          <w:lang w:eastAsia="cs-CZ"/>
        </w:rPr>
        <w:t xml:space="preserve">1. </w:t>
      </w:r>
      <w:r w:rsidR="00144778" w:rsidRPr="00627A9E">
        <w:rPr>
          <w:rFonts w:eastAsia="Times New Roman" w:cs="Calibri"/>
          <w:b/>
          <w:sz w:val="24"/>
          <w:szCs w:val="24"/>
          <w:lang w:eastAsia="cs-CZ"/>
        </w:rPr>
        <w:t xml:space="preserve">Vyhodnocení </w:t>
      </w:r>
      <w:r w:rsidRPr="00393DDB">
        <w:rPr>
          <w:rFonts w:eastAsia="Times New Roman" w:cs="Calibri"/>
          <w:b/>
          <w:sz w:val="24"/>
          <w:szCs w:val="24"/>
          <w:lang w:eastAsia="cs-CZ"/>
        </w:rPr>
        <w:t>jednotkových nákladů na opravy silnic krajů</w:t>
      </w:r>
    </w:p>
    <w:p w14:paraId="3077907C" w14:textId="77777777" w:rsidR="00831687" w:rsidRDefault="00831687" w:rsidP="00F3106C">
      <w:pPr>
        <w:spacing w:after="0" w:line="240" w:lineRule="auto"/>
        <w:jc w:val="both"/>
        <w:rPr>
          <w:rFonts w:eastAsia="Times New Roman" w:cs="Calibri"/>
          <w:sz w:val="24"/>
          <w:szCs w:val="24"/>
          <w:lang w:eastAsia="cs-CZ"/>
        </w:rPr>
      </w:pPr>
    </w:p>
    <w:p w14:paraId="75EEB91D" w14:textId="77777777" w:rsidR="00393DDB" w:rsidRP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Pro účely </w:t>
      </w:r>
      <w:r w:rsidR="00144778" w:rsidRPr="00627A9E">
        <w:rPr>
          <w:rFonts w:eastAsia="Times New Roman" w:cs="Calibri"/>
          <w:sz w:val="24"/>
          <w:szCs w:val="24"/>
          <w:lang w:eastAsia="cs-CZ"/>
        </w:rPr>
        <w:t>vyhodnocení</w:t>
      </w:r>
      <w:r w:rsidR="00144778">
        <w:rPr>
          <w:rFonts w:eastAsia="Times New Roman" w:cs="Calibri"/>
          <w:sz w:val="24"/>
          <w:szCs w:val="24"/>
          <w:lang w:eastAsia="cs-CZ"/>
        </w:rPr>
        <w:t xml:space="preserve"> </w:t>
      </w:r>
      <w:r w:rsidRPr="00393DDB">
        <w:rPr>
          <w:rFonts w:eastAsia="Times New Roman" w:cs="Calibri"/>
          <w:sz w:val="24"/>
          <w:szCs w:val="24"/>
          <w:lang w:eastAsia="cs-CZ"/>
        </w:rPr>
        <w:t xml:space="preserve">nákladů na opravy a rekonstrukce 1 km silnic krajů byly z kontrolovaných projektů vybrány případy celoplošných oprav povrchů silnic, zahrnující mj. odstranění celého krytu vozovky, opravy podkladu, odvodňovacích prvků, položení nové podkladní a obrusné vrstvy a nové vodorovné a svislé značení. Dále byly vybrány opravy, popř. rekonstrukce mostních objektů na těchto silnicích. </w:t>
      </w:r>
      <w:r w:rsidR="009578DF" w:rsidRPr="00627A9E">
        <w:rPr>
          <w:rFonts w:eastAsia="Times New Roman" w:cs="Calibri"/>
          <w:sz w:val="24"/>
          <w:szCs w:val="24"/>
          <w:lang w:eastAsia="cs-CZ"/>
        </w:rPr>
        <w:t xml:space="preserve">Stanoveny </w:t>
      </w:r>
      <w:r w:rsidRPr="00393DDB">
        <w:rPr>
          <w:rFonts w:eastAsia="Times New Roman" w:cs="Calibri"/>
          <w:sz w:val="24"/>
          <w:szCs w:val="24"/>
          <w:lang w:eastAsia="cs-CZ"/>
        </w:rPr>
        <w:t>byly celkové náklady na opravu 1 km silnic a náklady na opravu 1 m</w:t>
      </w:r>
      <w:r w:rsidRPr="00393DDB">
        <w:rPr>
          <w:rFonts w:eastAsia="Times New Roman" w:cs="Calibri"/>
          <w:sz w:val="24"/>
          <w:szCs w:val="24"/>
          <w:vertAlign w:val="superscript"/>
          <w:lang w:eastAsia="cs-CZ"/>
        </w:rPr>
        <w:t>2</w:t>
      </w:r>
      <w:r w:rsidRPr="00393DDB">
        <w:rPr>
          <w:rFonts w:eastAsia="Times New Roman" w:cs="Calibri"/>
          <w:sz w:val="24"/>
          <w:szCs w:val="24"/>
          <w:lang w:eastAsia="cs-CZ"/>
        </w:rPr>
        <w:t xml:space="preserve"> mostního objektu, vztaženého na plochu silnice na daném mostu. Údaje jednotkových nákladů jsou uvedeny v tabulkách č. 3 a 4 v Kč bez DPH. V případě celoplošných oprav silnic je v tabulce uvedena minimální a maximální hodnota, zjištěná u kontrolovaných projektů. Údaje o nákladech na 1 km v případě celoplošných oprav silnic jsou rovněž zobrazeny v grafu č. 1.</w:t>
      </w:r>
    </w:p>
    <w:p w14:paraId="62408618" w14:textId="77777777" w:rsidR="00393DDB" w:rsidRDefault="00393DDB" w:rsidP="00F3106C">
      <w:pPr>
        <w:spacing w:after="0" w:line="240" w:lineRule="auto"/>
        <w:jc w:val="both"/>
        <w:rPr>
          <w:rFonts w:eastAsia="Times New Roman" w:cs="Calibri"/>
          <w:sz w:val="24"/>
          <w:szCs w:val="24"/>
          <w:lang w:eastAsia="cs-CZ"/>
        </w:rPr>
      </w:pPr>
    </w:p>
    <w:p w14:paraId="60652A99" w14:textId="77777777" w:rsidR="00393DDB" w:rsidRPr="00BE44A0" w:rsidRDefault="00393DDB" w:rsidP="00F3106C">
      <w:pPr>
        <w:keepNext/>
        <w:spacing w:after="40" w:line="240" w:lineRule="auto"/>
        <w:jc w:val="both"/>
        <w:rPr>
          <w:rFonts w:eastAsia="Times New Roman" w:cs="Calibri"/>
          <w:b/>
          <w:sz w:val="24"/>
          <w:szCs w:val="24"/>
          <w:lang w:eastAsia="cs-CZ"/>
        </w:rPr>
      </w:pPr>
      <w:r w:rsidRPr="00BE44A0">
        <w:rPr>
          <w:rFonts w:eastAsia="Times New Roman" w:cs="Calibri"/>
          <w:b/>
          <w:sz w:val="24"/>
          <w:szCs w:val="24"/>
          <w:lang w:eastAsia="cs-CZ"/>
        </w:rPr>
        <w:lastRenderedPageBreak/>
        <w:t>Tabulka č. 3 – Náklady na 1 km opravených silnic</w:t>
      </w:r>
    </w:p>
    <w:tbl>
      <w:tblPr>
        <w:tblW w:w="9092" w:type="dxa"/>
        <w:tblInd w:w="-5" w:type="dxa"/>
        <w:tblLayout w:type="fixed"/>
        <w:tblCellMar>
          <w:left w:w="70" w:type="dxa"/>
          <w:right w:w="70" w:type="dxa"/>
        </w:tblCellMar>
        <w:tblLook w:val="04A0" w:firstRow="1" w:lastRow="0" w:firstColumn="1" w:lastColumn="0" w:noHBand="0" w:noVBand="1"/>
      </w:tblPr>
      <w:tblGrid>
        <w:gridCol w:w="2631"/>
        <w:gridCol w:w="3229"/>
        <w:gridCol w:w="3232"/>
      </w:tblGrid>
      <w:tr w:rsidR="00675B8E" w:rsidRPr="00F3106C" w14:paraId="7D65918F" w14:textId="77777777" w:rsidTr="00675B8E">
        <w:trPr>
          <w:trHeight w:val="227"/>
        </w:trPr>
        <w:tc>
          <w:tcPr>
            <w:tcW w:w="2631" w:type="dxa"/>
            <w:vMerge w:val="restart"/>
            <w:tcBorders>
              <w:top w:val="single" w:sz="4" w:space="0" w:color="auto"/>
              <w:left w:val="single" w:sz="4" w:space="0" w:color="auto"/>
              <w:right w:val="single" w:sz="4" w:space="0" w:color="auto"/>
            </w:tcBorders>
            <w:shd w:val="clear" w:color="auto" w:fill="E5F1FF"/>
            <w:noWrap/>
            <w:vAlign w:val="center"/>
            <w:hideMark/>
          </w:tcPr>
          <w:p w14:paraId="24200E4B" w14:textId="77777777" w:rsidR="00675B8E" w:rsidRPr="00675B8E" w:rsidRDefault="00675B8E" w:rsidP="00675B8E">
            <w:pPr>
              <w:keepNext/>
              <w:spacing w:after="0" w:line="240" w:lineRule="auto"/>
              <w:jc w:val="center"/>
              <w:rPr>
                <w:rFonts w:ascii="Calibri" w:eastAsia="Times New Roman" w:hAnsi="Calibri" w:cs="Calibri"/>
                <w:b/>
                <w:bCs/>
                <w:color w:val="000000"/>
                <w:sz w:val="20"/>
                <w:szCs w:val="20"/>
                <w:lang w:eastAsia="cs-CZ"/>
              </w:rPr>
            </w:pPr>
            <w:r w:rsidRPr="00675B8E">
              <w:rPr>
                <w:rFonts w:ascii="Calibri" w:eastAsia="Times New Roman" w:hAnsi="Calibri" w:cs="Calibri"/>
                <w:b/>
                <w:bCs/>
                <w:color w:val="000000"/>
                <w:sz w:val="20"/>
                <w:szCs w:val="20"/>
                <w:lang w:eastAsia="cs-CZ"/>
              </w:rPr>
              <w:t>Příjemce</w:t>
            </w:r>
          </w:p>
        </w:tc>
        <w:tc>
          <w:tcPr>
            <w:tcW w:w="6461" w:type="dxa"/>
            <w:gridSpan w:val="2"/>
            <w:tcBorders>
              <w:top w:val="single" w:sz="4" w:space="0" w:color="auto"/>
              <w:left w:val="nil"/>
              <w:bottom w:val="single" w:sz="4" w:space="0" w:color="auto"/>
              <w:right w:val="single" w:sz="4" w:space="0" w:color="000000"/>
            </w:tcBorders>
            <w:shd w:val="clear" w:color="auto" w:fill="E5F1FF"/>
            <w:vAlign w:val="center"/>
            <w:hideMark/>
          </w:tcPr>
          <w:p w14:paraId="7CD11D7F" w14:textId="77777777" w:rsidR="00675B8E" w:rsidRPr="00675B8E" w:rsidRDefault="00675B8E" w:rsidP="00675B8E">
            <w:pPr>
              <w:keepNext/>
              <w:spacing w:after="0" w:line="240" w:lineRule="auto"/>
              <w:jc w:val="center"/>
              <w:rPr>
                <w:rFonts w:ascii="Calibri" w:eastAsia="Times New Roman" w:hAnsi="Calibri" w:cs="Calibri"/>
                <w:b/>
                <w:bCs/>
                <w:color w:val="000000"/>
                <w:sz w:val="20"/>
                <w:szCs w:val="20"/>
                <w:lang w:eastAsia="cs-CZ"/>
              </w:rPr>
            </w:pPr>
            <w:r w:rsidRPr="00675B8E">
              <w:rPr>
                <w:rFonts w:ascii="Calibri" w:eastAsia="Times New Roman" w:hAnsi="Calibri" w:cs="Calibri"/>
                <w:b/>
                <w:bCs/>
                <w:color w:val="000000"/>
                <w:sz w:val="20"/>
                <w:szCs w:val="20"/>
                <w:lang w:eastAsia="cs-CZ"/>
              </w:rPr>
              <w:t>Náklady na 1 km celoplošné opravy silnic (</w:t>
            </w:r>
            <w:r w:rsidR="00725652">
              <w:rPr>
                <w:rFonts w:ascii="Calibri" w:eastAsia="Times New Roman" w:hAnsi="Calibri" w:cs="Calibri"/>
                <w:b/>
                <w:bCs/>
                <w:color w:val="000000"/>
                <w:sz w:val="20"/>
                <w:szCs w:val="20"/>
                <w:lang w:eastAsia="cs-CZ"/>
              </w:rPr>
              <w:t>v </w:t>
            </w:r>
            <w:r w:rsidRPr="00675B8E">
              <w:rPr>
                <w:rFonts w:ascii="Calibri" w:eastAsia="Times New Roman" w:hAnsi="Calibri" w:cs="Calibri"/>
                <w:b/>
                <w:bCs/>
                <w:color w:val="000000"/>
                <w:sz w:val="20"/>
                <w:szCs w:val="20"/>
                <w:lang w:eastAsia="cs-CZ"/>
              </w:rPr>
              <w:t>Kč bez DPH)</w:t>
            </w:r>
          </w:p>
        </w:tc>
      </w:tr>
      <w:tr w:rsidR="00675B8E" w:rsidRPr="00F3106C" w14:paraId="64DB8820" w14:textId="77777777" w:rsidTr="00675B8E">
        <w:trPr>
          <w:trHeight w:val="227"/>
        </w:trPr>
        <w:tc>
          <w:tcPr>
            <w:tcW w:w="2631" w:type="dxa"/>
            <w:vMerge/>
            <w:tcBorders>
              <w:left w:val="single" w:sz="4" w:space="0" w:color="auto"/>
              <w:bottom w:val="single" w:sz="4" w:space="0" w:color="auto"/>
              <w:right w:val="single" w:sz="4" w:space="0" w:color="auto"/>
            </w:tcBorders>
            <w:shd w:val="clear" w:color="auto" w:fill="E5F1FF"/>
            <w:noWrap/>
            <w:vAlign w:val="bottom"/>
            <w:hideMark/>
          </w:tcPr>
          <w:p w14:paraId="3C8E280A" w14:textId="77777777" w:rsidR="00675B8E" w:rsidRPr="00675B8E" w:rsidRDefault="00675B8E" w:rsidP="00F3106C">
            <w:pPr>
              <w:keepNext/>
              <w:spacing w:after="0" w:line="240" w:lineRule="auto"/>
              <w:jc w:val="center"/>
              <w:rPr>
                <w:rFonts w:ascii="Calibri" w:eastAsia="Times New Roman" w:hAnsi="Calibri" w:cs="Calibri"/>
                <w:b/>
                <w:bCs/>
                <w:color w:val="000000"/>
                <w:sz w:val="20"/>
                <w:szCs w:val="20"/>
                <w:lang w:eastAsia="cs-CZ"/>
              </w:rPr>
            </w:pPr>
          </w:p>
        </w:tc>
        <w:tc>
          <w:tcPr>
            <w:tcW w:w="3229" w:type="dxa"/>
            <w:tcBorders>
              <w:top w:val="nil"/>
              <w:left w:val="nil"/>
              <w:bottom w:val="single" w:sz="4" w:space="0" w:color="auto"/>
              <w:right w:val="single" w:sz="4" w:space="0" w:color="auto"/>
            </w:tcBorders>
            <w:shd w:val="clear" w:color="auto" w:fill="E5F1FF"/>
            <w:noWrap/>
            <w:vAlign w:val="center"/>
            <w:hideMark/>
          </w:tcPr>
          <w:p w14:paraId="34A2E2AC" w14:textId="096D2D31" w:rsidR="00675B8E" w:rsidRPr="00675B8E" w:rsidRDefault="00725652" w:rsidP="00675B8E">
            <w:pPr>
              <w:keepNext/>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00675B8E" w:rsidRPr="00675B8E">
              <w:rPr>
                <w:rFonts w:ascii="Calibri" w:eastAsia="Times New Roman" w:hAnsi="Calibri" w:cs="Calibri"/>
                <w:b/>
                <w:bCs/>
                <w:color w:val="000000"/>
                <w:sz w:val="20"/>
                <w:szCs w:val="20"/>
                <w:lang w:eastAsia="cs-CZ"/>
              </w:rPr>
              <w:t>in.</w:t>
            </w:r>
          </w:p>
        </w:tc>
        <w:tc>
          <w:tcPr>
            <w:tcW w:w="3232" w:type="dxa"/>
            <w:tcBorders>
              <w:top w:val="nil"/>
              <w:left w:val="nil"/>
              <w:bottom w:val="single" w:sz="4" w:space="0" w:color="auto"/>
              <w:right w:val="single" w:sz="4" w:space="0" w:color="auto"/>
            </w:tcBorders>
            <w:shd w:val="clear" w:color="auto" w:fill="E5F1FF"/>
            <w:noWrap/>
            <w:vAlign w:val="center"/>
            <w:hideMark/>
          </w:tcPr>
          <w:p w14:paraId="67DEAE8F" w14:textId="3C6B5990" w:rsidR="00675B8E" w:rsidRPr="00675B8E" w:rsidRDefault="00725652" w:rsidP="00675B8E">
            <w:pPr>
              <w:keepNext/>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00675B8E" w:rsidRPr="00675B8E">
              <w:rPr>
                <w:rFonts w:ascii="Calibri" w:eastAsia="Times New Roman" w:hAnsi="Calibri" w:cs="Calibri"/>
                <w:b/>
                <w:bCs/>
                <w:color w:val="000000"/>
                <w:sz w:val="20"/>
                <w:szCs w:val="20"/>
                <w:lang w:eastAsia="cs-CZ"/>
              </w:rPr>
              <w:t>ax.</w:t>
            </w:r>
          </w:p>
        </w:tc>
      </w:tr>
      <w:tr w:rsidR="00393DDB" w:rsidRPr="00F3106C" w14:paraId="68165F8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5022E35" w14:textId="77777777" w:rsidR="00393DDB" w:rsidRPr="00F3106C" w:rsidRDefault="001C0690"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JHČ</w:t>
            </w:r>
          </w:p>
        </w:tc>
        <w:tc>
          <w:tcPr>
            <w:tcW w:w="3229" w:type="dxa"/>
            <w:tcBorders>
              <w:top w:val="nil"/>
              <w:left w:val="nil"/>
              <w:bottom w:val="single" w:sz="4" w:space="0" w:color="auto"/>
              <w:right w:val="single" w:sz="4" w:space="0" w:color="auto"/>
            </w:tcBorders>
            <w:shd w:val="clear" w:color="auto" w:fill="auto"/>
            <w:noWrap/>
            <w:vAlign w:val="bottom"/>
            <w:hideMark/>
          </w:tcPr>
          <w:p w14:paraId="4FB38763"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1 227 844,76</w:t>
            </w:r>
          </w:p>
        </w:tc>
        <w:tc>
          <w:tcPr>
            <w:tcW w:w="3232" w:type="dxa"/>
            <w:tcBorders>
              <w:top w:val="nil"/>
              <w:left w:val="nil"/>
              <w:bottom w:val="single" w:sz="4" w:space="0" w:color="auto"/>
              <w:right w:val="single" w:sz="4" w:space="0" w:color="auto"/>
            </w:tcBorders>
            <w:shd w:val="clear" w:color="auto" w:fill="auto"/>
            <w:noWrap/>
            <w:vAlign w:val="bottom"/>
            <w:hideMark/>
          </w:tcPr>
          <w:p w14:paraId="355DBC87"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1 687 526,60</w:t>
            </w:r>
          </w:p>
        </w:tc>
      </w:tr>
      <w:tr w:rsidR="00393DDB" w:rsidRPr="00F3106C" w14:paraId="61853090"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3D5BD21A" w14:textId="77777777" w:rsidR="00393DDB" w:rsidRPr="00F3106C" w:rsidRDefault="001C0690"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LBK</w:t>
            </w:r>
          </w:p>
        </w:tc>
        <w:tc>
          <w:tcPr>
            <w:tcW w:w="3229" w:type="dxa"/>
            <w:tcBorders>
              <w:top w:val="nil"/>
              <w:left w:val="nil"/>
              <w:bottom w:val="single" w:sz="4" w:space="0" w:color="auto"/>
              <w:right w:val="single" w:sz="4" w:space="0" w:color="auto"/>
            </w:tcBorders>
            <w:shd w:val="clear" w:color="auto" w:fill="auto"/>
            <w:noWrap/>
            <w:vAlign w:val="bottom"/>
            <w:hideMark/>
          </w:tcPr>
          <w:p w14:paraId="0698064B"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6 872 612,18</w:t>
            </w:r>
          </w:p>
        </w:tc>
        <w:tc>
          <w:tcPr>
            <w:tcW w:w="3232" w:type="dxa"/>
            <w:tcBorders>
              <w:top w:val="nil"/>
              <w:left w:val="nil"/>
              <w:bottom w:val="single" w:sz="4" w:space="0" w:color="auto"/>
              <w:right w:val="single" w:sz="4" w:space="0" w:color="auto"/>
            </w:tcBorders>
            <w:shd w:val="clear" w:color="auto" w:fill="auto"/>
            <w:noWrap/>
            <w:vAlign w:val="bottom"/>
            <w:hideMark/>
          </w:tcPr>
          <w:p w14:paraId="11360C5E"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9 987 354,43</w:t>
            </w:r>
          </w:p>
        </w:tc>
      </w:tr>
      <w:tr w:rsidR="00393DDB" w:rsidRPr="00F3106C" w14:paraId="1BE63A33"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DA4E9EA" w14:textId="77777777" w:rsidR="00393DDB" w:rsidRPr="00F3106C" w:rsidRDefault="00393DDB"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MSK</w:t>
            </w:r>
          </w:p>
        </w:tc>
        <w:tc>
          <w:tcPr>
            <w:tcW w:w="3229" w:type="dxa"/>
            <w:tcBorders>
              <w:top w:val="nil"/>
              <w:left w:val="nil"/>
              <w:bottom w:val="single" w:sz="4" w:space="0" w:color="auto"/>
              <w:right w:val="single" w:sz="4" w:space="0" w:color="auto"/>
            </w:tcBorders>
            <w:shd w:val="clear" w:color="auto" w:fill="auto"/>
            <w:noWrap/>
            <w:vAlign w:val="bottom"/>
            <w:hideMark/>
          </w:tcPr>
          <w:p w14:paraId="4AAE9B89"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10 025 919,32</w:t>
            </w:r>
          </w:p>
        </w:tc>
        <w:tc>
          <w:tcPr>
            <w:tcW w:w="3232" w:type="dxa"/>
            <w:tcBorders>
              <w:top w:val="nil"/>
              <w:left w:val="nil"/>
              <w:bottom w:val="single" w:sz="4" w:space="0" w:color="auto"/>
              <w:right w:val="single" w:sz="4" w:space="0" w:color="auto"/>
            </w:tcBorders>
            <w:shd w:val="clear" w:color="auto" w:fill="auto"/>
            <w:noWrap/>
            <w:vAlign w:val="bottom"/>
            <w:hideMark/>
          </w:tcPr>
          <w:p w14:paraId="2791B555"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17 965 641,85</w:t>
            </w:r>
          </w:p>
        </w:tc>
      </w:tr>
      <w:tr w:rsidR="00393DDB" w:rsidRPr="00F3106C" w14:paraId="74217C8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A537278" w14:textId="77777777" w:rsidR="00393DDB" w:rsidRPr="00F3106C" w:rsidRDefault="001C0690"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PAK</w:t>
            </w:r>
          </w:p>
        </w:tc>
        <w:tc>
          <w:tcPr>
            <w:tcW w:w="3229" w:type="dxa"/>
            <w:tcBorders>
              <w:top w:val="nil"/>
              <w:left w:val="nil"/>
              <w:bottom w:val="single" w:sz="4" w:space="0" w:color="auto"/>
              <w:right w:val="single" w:sz="4" w:space="0" w:color="auto"/>
            </w:tcBorders>
            <w:shd w:val="clear" w:color="auto" w:fill="auto"/>
            <w:noWrap/>
            <w:vAlign w:val="bottom"/>
            <w:hideMark/>
          </w:tcPr>
          <w:p w14:paraId="1E5B4B6C"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7 643 007,25</w:t>
            </w:r>
          </w:p>
        </w:tc>
        <w:tc>
          <w:tcPr>
            <w:tcW w:w="3232" w:type="dxa"/>
            <w:tcBorders>
              <w:top w:val="nil"/>
              <w:left w:val="nil"/>
              <w:bottom w:val="single" w:sz="4" w:space="0" w:color="auto"/>
              <w:right w:val="single" w:sz="4" w:space="0" w:color="auto"/>
            </w:tcBorders>
            <w:shd w:val="clear" w:color="auto" w:fill="auto"/>
            <w:noWrap/>
            <w:vAlign w:val="bottom"/>
            <w:hideMark/>
          </w:tcPr>
          <w:p w14:paraId="2F69424E"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10 216 177,78</w:t>
            </w:r>
          </w:p>
        </w:tc>
      </w:tr>
      <w:tr w:rsidR="00393DDB" w:rsidRPr="00F3106C" w14:paraId="1BE982CD"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3B35136" w14:textId="77777777" w:rsidR="00393DDB" w:rsidRPr="00F3106C" w:rsidRDefault="00393DDB"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SSMSK</w:t>
            </w:r>
          </w:p>
        </w:tc>
        <w:tc>
          <w:tcPr>
            <w:tcW w:w="3229" w:type="dxa"/>
            <w:tcBorders>
              <w:top w:val="nil"/>
              <w:left w:val="nil"/>
              <w:bottom w:val="single" w:sz="4" w:space="0" w:color="auto"/>
              <w:right w:val="single" w:sz="4" w:space="0" w:color="auto"/>
            </w:tcBorders>
            <w:shd w:val="clear" w:color="auto" w:fill="auto"/>
            <w:noWrap/>
            <w:vAlign w:val="bottom"/>
            <w:hideMark/>
          </w:tcPr>
          <w:p w14:paraId="513F5C5C"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1 425 266,16</w:t>
            </w:r>
          </w:p>
        </w:tc>
        <w:tc>
          <w:tcPr>
            <w:tcW w:w="3232" w:type="dxa"/>
            <w:tcBorders>
              <w:top w:val="nil"/>
              <w:left w:val="nil"/>
              <w:bottom w:val="single" w:sz="4" w:space="0" w:color="auto"/>
              <w:right w:val="single" w:sz="4" w:space="0" w:color="auto"/>
            </w:tcBorders>
            <w:shd w:val="clear" w:color="auto" w:fill="auto"/>
            <w:noWrap/>
            <w:vAlign w:val="bottom"/>
            <w:hideMark/>
          </w:tcPr>
          <w:p w14:paraId="06C703CD"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2 407 256,41</w:t>
            </w:r>
          </w:p>
        </w:tc>
      </w:tr>
      <w:tr w:rsidR="00393DDB" w:rsidRPr="00F3106C" w14:paraId="70464D5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84BB635" w14:textId="77777777" w:rsidR="00393DDB" w:rsidRPr="00F3106C" w:rsidRDefault="00393DDB"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w:t>
            </w:r>
            <w:r w:rsidR="001C0690" w:rsidRPr="00F3106C">
              <w:rPr>
                <w:rFonts w:ascii="Calibri" w:eastAsia="Times New Roman" w:hAnsi="Calibri" w:cs="Calibri"/>
                <w:color w:val="000000"/>
                <w:sz w:val="20"/>
                <w:szCs w:val="20"/>
                <w:lang w:eastAsia="cs-CZ"/>
              </w:rPr>
              <w:t>PAK</w:t>
            </w:r>
          </w:p>
        </w:tc>
        <w:tc>
          <w:tcPr>
            <w:tcW w:w="3229" w:type="dxa"/>
            <w:tcBorders>
              <w:top w:val="nil"/>
              <w:left w:val="nil"/>
              <w:bottom w:val="single" w:sz="4" w:space="0" w:color="auto"/>
              <w:right w:val="single" w:sz="4" w:space="0" w:color="auto"/>
            </w:tcBorders>
            <w:shd w:val="clear" w:color="auto" w:fill="auto"/>
            <w:noWrap/>
            <w:vAlign w:val="bottom"/>
            <w:hideMark/>
          </w:tcPr>
          <w:p w14:paraId="3B99F0E3"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5 379 030,37</w:t>
            </w:r>
          </w:p>
        </w:tc>
        <w:tc>
          <w:tcPr>
            <w:tcW w:w="3232" w:type="dxa"/>
            <w:tcBorders>
              <w:top w:val="nil"/>
              <w:left w:val="nil"/>
              <w:bottom w:val="single" w:sz="4" w:space="0" w:color="auto"/>
              <w:right w:val="single" w:sz="4" w:space="0" w:color="auto"/>
            </w:tcBorders>
            <w:shd w:val="clear" w:color="auto" w:fill="auto"/>
            <w:noWrap/>
            <w:vAlign w:val="bottom"/>
            <w:hideMark/>
          </w:tcPr>
          <w:p w14:paraId="1BBB01F1"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5 379 030,37</w:t>
            </w:r>
          </w:p>
        </w:tc>
      </w:tr>
      <w:tr w:rsidR="00393DDB" w:rsidRPr="00F3106C" w14:paraId="45245BA7"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4121E28" w14:textId="77777777" w:rsidR="00393DDB" w:rsidRPr="00F3106C" w:rsidRDefault="00393DDB" w:rsidP="00F3106C">
            <w:pPr>
              <w:keepNext/>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SÚSPK</w:t>
            </w:r>
          </w:p>
        </w:tc>
        <w:tc>
          <w:tcPr>
            <w:tcW w:w="3229" w:type="dxa"/>
            <w:tcBorders>
              <w:top w:val="nil"/>
              <w:left w:val="nil"/>
              <w:bottom w:val="single" w:sz="4" w:space="0" w:color="auto"/>
              <w:right w:val="single" w:sz="4" w:space="0" w:color="auto"/>
            </w:tcBorders>
            <w:shd w:val="clear" w:color="auto" w:fill="auto"/>
            <w:noWrap/>
            <w:vAlign w:val="bottom"/>
            <w:hideMark/>
          </w:tcPr>
          <w:p w14:paraId="561BC1AB"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2 455 476,86</w:t>
            </w:r>
          </w:p>
        </w:tc>
        <w:tc>
          <w:tcPr>
            <w:tcW w:w="3232" w:type="dxa"/>
            <w:tcBorders>
              <w:top w:val="nil"/>
              <w:left w:val="nil"/>
              <w:bottom w:val="single" w:sz="4" w:space="0" w:color="auto"/>
              <w:right w:val="single" w:sz="4" w:space="0" w:color="auto"/>
            </w:tcBorders>
            <w:shd w:val="clear" w:color="auto" w:fill="auto"/>
            <w:noWrap/>
            <w:vAlign w:val="bottom"/>
            <w:hideMark/>
          </w:tcPr>
          <w:p w14:paraId="01E18E7F" w14:textId="77777777" w:rsidR="00393DDB" w:rsidRPr="00F3106C" w:rsidRDefault="00393DDB" w:rsidP="00725652">
            <w:pPr>
              <w:keepNext/>
              <w:spacing w:after="0" w:line="240" w:lineRule="auto"/>
              <w:ind w:right="965"/>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8 274 386,76</w:t>
            </w:r>
          </w:p>
        </w:tc>
      </w:tr>
    </w:tbl>
    <w:p w14:paraId="1EDCF462" w14:textId="7D57BBF4" w:rsidR="00393DDB" w:rsidRPr="00393DDB" w:rsidRDefault="00393DDB" w:rsidP="00064D6C">
      <w:pPr>
        <w:keepNext/>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725652">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1D980E7F" w14:textId="77777777" w:rsidR="00115EEF" w:rsidRDefault="00115EEF" w:rsidP="00393DDB">
      <w:pPr>
        <w:spacing w:after="0" w:line="240" w:lineRule="auto"/>
        <w:jc w:val="both"/>
        <w:rPr>
          <w:rFonts w:eastAsia="Times New Roman" w:cs="Calibri"/>
          <w:sz w:val="24"/>
          <w:szCs w:val="24"/>
          <w:lang w:eastAsia="cs-CZ"/>
        </w:rPr>
      </w:pPr>
    </w:p>
    <w:p w14:paraId="6D70EF22" w14:textId="77777777" w:rsidR="00393DDB" w:rsidRPr="00BE44A0" w:rsidRDefault="00393DDB" w:rsidP="007922CB">
      <w:pPr>
        <w:tabs>
          <w:tab w:val="right" w:pos="9072"/>
        </w:tabs>
        <w:spacing w:after="40" w:line="240" w:lineRule="auto"/>
        <w:jc w:val="both"/>
        <w:rPr>
          <w:rFonts w:eastAsia="Times New Roman" w:cs="Calibri"/>
          <w:b/>
          <w:sz w:val="24"/>
          <w:szCs w:val="24"/>
          <w:lang w:eastAsia="cs-CZ"/>
        </w:rPr>
      </w:pPr>
      <w:r w:rsidRPr="00BE44A0">
        <w:rPr>
          <w:rFonts w:eastAsia="Times New Roman" w:cs="Calibri"/>
          <w:b/>
          <w:sz w:val="24"/>
          <w:szCs w:val="24"/>
          <w:lang w:eastAsia="cs-CZ"/>
        </w:rPr>
        <w:t>Graf č. 1 – Náklady na 1 km opravených silnic</w:t>
      </w:r>
      <w:r w:rsidR="007922CB">
        <w:rPr>
          <w:rFonts w:eastAsia="Times New Roman" w:cs="Calibri"/>
          <w:b/>
          <w:sz w:val="24"/>
          <w:szCs w:val="24"/>
          <w:lang w:eastAsia="cs-CZ"/>
        </w:rPr>
        <w:tab/>
        <w:t>(v Kč)</w:t>
      </w:r>
    </w:p>
    <w:p w14:paraId="2092D2C1" w14:textId="77777777" w:rsidR="00393DDB" w:rsidRPr="00393DDB" w:rsidRDefault="001A4511" w:rsidP="00393DDB">
      <w:pPr>
        <w:spacing w:after="0" w:line="240" w:lineRule="auto"/>
        <w:jc w:val="both"/>
        <w:rPr>
          <w:rFonts w:eastAsia="Times New Roman" w:cs="Calibri"/>
          <w:sz w:val="24"/>
          <w:szCs w:val="24"/>
          <w:lang w:eastAsia="cs-CZ"/>
        </w:rPr>
      </w:pPr>
      <w:r w:rsidRPr="001A4511">
        <w:rPr>
          <w:rFonts w:eastAsia="Times New Roman" w:cs="Calibri"/>
          <w:noProof/>
          <w:sz w:val="24"/>
          <w:szCs w:val="24"/>
          <w:lang w:eastAsia="cs-CZ"/>
        </w:rPr>
        <w:drawing>
          <wp:inline distT="0" distB="0" distL="0" distR="0" wp14:anchorId="0B273BF5" wp14:editId="7B33D67B">
            <wp:extent cx="5748655" cy="2774950"/>
            <wp:effectExtent l="0" t="0" r="4445" b="6350"/>
            <wp:docPr id="17" name="Obrázek 17" descr="H:\KOREKTURY\gra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OREKTURY\graf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p>
    <w:p w14:paraId="3BAC0311" w14:textId="77777777" w:rsidR="00393DDB" w:rsidRPr="00393DDB" w:rsidRDefault="00393DDB" w:rsidP="00F3106C">
      <w:pPr>
        <w:spacing w:after="0" w:line="240" w:lineRule="auto"/>
        <w:jc w:val="both"/>
        <w:rPr>
          <w:rFonts w:eastAsia="Times New Roman" w:cs="Calibri"/>
          <w:sz w:val="24"/>
          <w:szCs w:val="24"/>
          <w:lang w:eastAsia="cs-CZ"/>
        </w:rPr>
      </w:pPr>
    </w:p>
    <w:p w14:paraId="4B711242" w14:textId="29D28D42" w:rsidR="00D63525" w:rsidRDefault="00891EDB" w:rsidP="00F3106C">
      <w:pPr>
        <w:spacing w:after="0" w:line="240" w:lineRule="auto"/>
        <w:jc w:val="both"/>
        <w:rPr>
          <w:rFonts w:eastAsia="Times New Roman" w:cs="Calibri"/>
          <w:sz w:val="24"/>
          <w:szCs w:val="24"/>
          <w:lang w:eastAsia="cs-CZ"/>
        </w:rPr>
      </w:pPr>
      <w:r w:rsidRPr="00624159">
        <w:rPr>
          <w:rFonts w:ascii="Calibri" w:eastAsia="Times New Roman" w:hAnsi="Calibri" w:cs="Calibri"/>
          <w:sz w:val="24"/>
          <w:szCs w:val="24"/>
          <w:lang w:eastAsia="cs-CZ"/>
        </w:rPr>
        <w:t xml:space="preserve">Jak z tabulky č. </w:t>
      </w:r>
      <w:r w:rsidR="00784108" w:rsidRPr="00624159">
        <w:rPr>
          <w:rFonts w:ascii="Calibri" w:eastAsia="Times New Roman" w:hAnsi="Calibri" w:cs="Calibri"/>
          <w:sz w:val="24"/>
          <w:szCs w:val="24"/>
          <w:lang w:eastAsia="cs-CZ"/>
        </w:rPr>
        <w:t>3</w:t>
      </w:r>
      <w:r w:rsidRPr="00624159">
        <w:rPr>
          <w:rFonts w:ascii="Calibri" w:eastAsia="Times New Roman" w:hAnsi="Calibri" w:cs="Calibri"/>
          <w:sz w:val="24"/>
          <w:szCs w:val="24"/>
          <w:lang w:eastAsia="cs-CZ"/>
        </w:rPr>
        <w:t xml:space="preserve"> a grafu č. 1 vyplývá, byly kontrolou NKÚ zjištěny rozdíly v jednotkových nákladech u </w:t>
      </w:r>
      <w:r w:rsidR="00D63525">
        <w:rPr>
          <w:rFonts w:ascii="Calibri" w:eastAsia="Times New Roman" w:hAnsi="Calibri" w:cs="Calibri"/>
          <w:sz w:val="24"/>
          <w:szCs w:val="24"/>
          <w:lang w:eastAsia="cs-CZ"/>
        </w:rPr>
        <w:t xml:space="preserve">silnic </w:t>
      </w:r>
      <w:r w:rsidRPr="00624159">
        <w:rPr>
          <w:rFonts w:ascii="Calibri" w:eastAsia="Times New Roman" w:hAnsi="Calibri" w:cs="Calibri"/>
          <w:sz w:val="24"/>
          <w:szCs w:val="24"/>
          <w:lang w:eastAsia="cs-CZ"/>
        </w:rPr>
        <w:t>s celoplošnými opravami povrchů.</w:t>
      </w:r>
      <w:r w:rsidR="00624159">
        <w:rPr>
          <w:rFonts w:ascii="Calibri" w:eastAsia="Times New Roman" w:hAnsi="Calibri" w:cs="Calibri"/>
          <w:sz w:val="24"/>
          <w:szCs w:val="24"/>
          <w:lang w:eastAsia="cs-CZ"/>
        </w:rPr>
        <w:t xml:space="preserve"> </w:t>
      </w:r>
      <w:r w:rsidR="00393DDB" w:rsidRPr="00393DDB">
        <w:rPr>
          <w:rFonts w:eastAsia="Times New Roman" w:cs="Calibri"/>
          <w:sz w:val="24"/>
          <w:szCs w:val="24"/>
          <w:lang w:eastAsia="cs-CZ"/>
        </w:rPr>
        <w:t>Mezi vlivy, které tyto rozdíly způsobily, patřily podmínky spojené s prováděním prací</w:t>
      </w:r>
      <w:r w:rsidR="00520B51">
        <w:rPr>
          <w:rFonts w:eastAsia="Times New Roman" w:cs="Calibri"/>
          <w:sz w:val="24"/>
          <w:szCs w:val="24"/>
          <w:lang w:eastAsia="cs-CZ"/>
        </w:rPr>
        <w:t xml:space="preserve">, kam patří např. </w:t>
      </w:r>
      <w:r w:rsidR="00393DDB" w:rsidRPr="00393DDB">
        <w:rPr>
          <w:rFonts w:eastAsia="Times New Roman" w:cs="Calibri"/>
          <w:sz w:val="24"/>
          <w:szCs w:val="24"/>
          <w:lang w:eastAsia="cs-CZ"/>
        </w:rPr>
        <w:t>dostupnost opravovaného úseku, technický stav před zahájením prací, rozsah prováděných prací, charakter prací, období, v němž byly práce prováděny, konkurenční p</w:t>
      </w:r>
      <w:r w:rsidR="00520B51">
        <w:rPr>
          <w:rFonts w:eastAsia="Times New Roman" w:cs="Calibri"/>
          <w:sz w:val="24"/>
          <w:szCs w:val="24"/>
          <w:lang w:eastAsia="cs-CZ"/>
        </w:rPr>
        <w:t>rostředí v dané lokalitě</w:t>
      </w:r>
      <w:r w:rsidR="00393DDB" w:rsidRPr="00393DDB">
        <w:rPr>
          <w:rFonts w:eastAsia="Times New Roman" w:cs="Calibri"/>
          <w:sz w:val="24"/>
          <w:szCs w:val="24"/>
          <w:lang w:eastAsia="cs-CZ"/>
        </w:rPr>
        <w:t xml:space="preserve">. Příjemci MSK a </w:t>
      </w:r>
      <w:r w:rsidR="001C0690">
        <w:rPr>
          <w:rFonts w:eastAsia="Times New Roman" w:cs="Calibri"/>
          <w:sz w:val="24"/>
          <w:szCs w:val="24"/>
          <w:lang w:eastAsia="cs-CZ"/>
        </w:rPr>
        <w:t>PAK</w:t>
      </w:r>
      <w:r w:rsidR="00393DDB" w:rsidRPr="00393DDB">
        <w:rPr>
          <w:rFonts w:eastAsia="Times New Roman" w:cs="Calibri"/>
          <w:sz w:val="24"/>
          <w:szCs w:val="24"/>
          <w:lang w:eastAsia="cs-CZ"/>
        </w:rPr>
        <w:t xml:space="preserve"> realizovali akce</w:t>
      </w:r>
      <w:r w:rsidR="006826FA">
        <w:rPr>
          <w:rFonts w:eastAsia="Times New Roman" w:cs="Calibri"/>
          <w:sz w:val="24"/>
          <w:szCs w:val="24"/>
          <w:lang w:eastAsia="cs-CZ"/>
        </w:rPr>
        <w:t>, kde docházelo</w:t>
      </w:r>
      <w:r w:rsidR="007C1871">
        <w:rPr>
          <w:rFonts w:eastAsia="Times New Roman" w:cs="Calibri"/>
          <w:sz w:val="24"/>
          <w:szCs w:val="24"/>
          <w:lang w:eastAsia="cs-CZ"/>
        </w:rPr>
        <w:t xml:space="preserve"> k většímu objemu zemních prací.</w:t>
      </w:r>
      <w:r w:rsidR="006826FA">
        <w:rPr>
          <w:rFonts w:eastAsia="Times New Roman" w:cs="Calibri"/>
          <w:sz w:val="24"/>
          <w:szCs w:val="24"/>
          <w:lang w:eastAsia="cs-CZ"/>
        </w:rPr>
        <w:t xml:space="preserve"> </w:t>
      </w:r>
    </w:p>
    <w:p w14:paraId="4BD6487D" w14:textId="77777777" w:rsidR="00624159" w:rsidRDefault="00624159" w:rsidP="00F3106C">
      <w:pPr>
        <w:spacing w:after="0" w:line="240" w:lineRule="auto"/>
        <w:jc w:val="both"/>
        <w:rPr>
          <w:rFonts w:eastAsia="Times New Roman" w:cs="Calibri"/>
          <w:sz w:val="24"/>
          <w:szCs w:val="24"/>
          <w:lang w:eastAsia="cs-CZ"/>
        </w:rPr>
      </w:pPr>
    </w:p>
    <w:p w14:paraId="76A7CD6E" w14:textId="77777777" w:rsidR="00393DDB" w:rsidRPr="00054EE5" w:rsidRDefault="00393DDB" w:rsidP="00F3106C">
      <w:pPr>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 xml:space="preserve">Tabulka č. </w:t>
      </w:r>
      <w:r w:rsidR="00286677" w:rsidRPr="00054EE5">
        <w:rPr>
          <w:rFonts w:eastAsia="Times New Roman" w:cs="Calibri"/>
          <w:b/>
          <w:sz w:val="24"/>
          <w:szCs w:val="24"/>
          <w:lang w:eastAsia="cs-CZ"/>
        </w:rPr>
        <w:t>4</w:t>
      </w:r>
      <w:r w:rsidRPr="00054EE5">
        <w:rPr>
          <w:rFonts w:eastAsia="Times New Roman" w:cs="Calibri"/>
          <w:b/>
          <w:sz w:val="24"/>
          <w:szCs w:val="24"/>
          <w:lang w:eastAsia="cs-CZ"/>
        </w:rPr>
        <w:t xml:space="preserve"> – Náklady na 1 m</w:t>
      </w:r>
      <w:r w:rsidRPr="00054EE5">
        <w:rPr>
          <w:rFonts w:eastAsia="Times New Roman" w:cs="Calibri"/>
          <w:b/>
          <w:sz w:val="24"/>
          <w:szCs w:val="24"/>
          <w:vertAlign w:val="superscript"/>
          <w:lang w:eastAsia="cs-CZ"/>
        </w:rPr>
        <w:t>2</w:t>
      </w:r>
      <w:r w:rsidRPr="00054EE5">
        <w:rPr>
          <w:rFonts w:eastAsia="Times New Roman" w:cs="Calibri"/>
          <w:b/>
          <w:sz w:val="24"/>
          <w:szCs w:val="24"/>
          <w:lang w:eastAsia="cs-CZ"/>
        </w:rPr>
        <w:t xml:space="preserve"> při opravách a rekonstrukcích mostů</w:t>
      </w:r>
    </w:p>
    <w:tbl>
      <w:tblPr>
        <w:tblW w:w="9024" w:type="dxa"/>
        <w:tblCellMar>
          <w:left w:w="70" w:type="dxa"/>
          <w:right w:w="70" w:type="dxa"/>
        </w:tblCellMar>
        <w:tblLook w:val="04A0" w:firstRow="1" w:lastRow="0" w:firstColumn="1" w:lastColumn="0" w:noHBand="0" w:noVBand="1"/>
      </w:tblPr>
      <w:tblGrid>
        <w:gridCol w:w="3564"/>
        <w:gridCol w:w="5460"/>
      </w:tblGrid>
      <w:tr w:rsidR="00393DDB" w:rsidRPr="00F3106C" w14:paraId="77775963" w14:textId="77777777" w:rsidTr="00995C79">
        <w:trPr>
          <w:trHeight w:val="227"/>
        </w:trPr>
        <w:tc>
          <w:tcPr>
            <w:tcW w:w="3564" w:type="dxa"/>
            <w:tcBorders>
              <w:top w:val="single" w:sz="4" w:space="0" w:color="auto"/>
              <w:left w:val="single" w:sz="4" w:space="0" w:color="auto"/>
              <w:bottom w:val="single" w:sz="4" w:space="0" w:color="auto"/>
              <w:right w:val="single" w:sz="4" w:space="0" w:color="auto"/>
            </w:tcBorders>
            <w:shd w:val="clear" w:color="auto" w:fill="E5F1FF"/>
            <w:noWrap/>
            <w:vAlign w:val="bottom"/>
            <w:hideMark/>
          </w:tcPr>
          <w:p w14:paraId="1E80F5FD" w14:textId="77777777" w:rsidR="00393DDB" w:rsidRPr="00995C79" w:rsidRDefault="00393DDB" w:rsidP="00F3106C">
            <w:pPr>
              <w:spacing w:after="0" w:line="240" w:lineRule="auto"/>
              <w:jc w:val="center"/>
              <w:rPr>
                <w:rFonts w:ascii="Calibri" w:eastAsia="Times New Roman" w:hAnsi="Calibri" w:cs="Calibri"/>
                <w:b/>
                <w:bCs/>
                <w:color w:val="000000"/>
                <w:sz w:val="20"/>
                <w:szCs w:val="20"/>
                <w:lang w:eastAsia="cs-CZ"/>
              </w:rPr>
            </w:pPr>
            <w:r w:rsidRPr="00995C79">
              <w:rPr>
                <w:rFonts w:ascii="Calibri" w:eastAsia="Times New Roman" w:hAnsi="Calibri" w:cs="Calibri"/>
                <w:b/>
                <w:bCs/>
                <w:color w:val="000000"/>
                <w:sz w:val="20"/>
                <w:szCs w:val="20"/>
                <w:lang w:eastAsia="cs-CZ"/>
              </w:rPr>
              <w:t>Příjemce</w:t>
            </w:r>
          </w:p>
        </w:tc>
        <w:tc>
          <w:tcPr>
            <w:tcW w:w="5460" w:type="dxa"/>
            <w:tcBorders>
              <w:top w:val="single" w:sz="4" w:space="0" w:color="auto"/>
              <w:left w:val="nil"/>
              <w:bottom w:val="single" w:sz="4" w:space="0" w:color="auto"/>
              <w:right w:val="single" w:sz="4" w:space="0" w:color="000000"/>
            </w:tcBorders>
            <w:shd w:val="clear" w:color="auto" w:fill="E5F1FF"/>
            <w:vAlign w:val="bottom"/>
            <w:hideMark/>
          </w:tcPr>
          <w:p w14:paraId="5469BCA8" w14:textId="77777777" w:rsidR="00393DDB" w:rsidRPr="00995C79" w:rsidRDefault="00393DDB" w:rsidP="00F3106C">
            <w:pPr>
              <w:spacing w:after="0" w:line="240" w:lineRule="auto"/>
              <w:jc w:val="center"/>
              <w:rPr>
                <w:rFonts w:ascii="Calibri" w:eastAsia="Times New Roman" w:hAnsi="Calibri" w:cs="Calibri"/>
                <w:b/>
                <w:bCs/>
                <w:color w:val="000000"/>
                <w:sz w:val="20"/>
                <w:szCs w:val="20"/>
                <w:highlight w:val="yellow"/>
                <w:lang w:eastAsia="cs-CZ"/>
              </w:rPr>
            </w:pPr>
            <w:r w:rsidRPr="00995C79">
              <w:rPr>
                <w:rFonts w:ascii="Calibri" w:eastAsia="Times New Roman" w:hAnsi="Calibri" w:cs="Calibri"/>
                <w:b/>
                <w:bCs/>
                <w:color w:val="000000"/>
                <w:sz w:val="20"/>
                <w:szCs w:val="20"/>
                <w:lang w:eastAsia="cs-CZ"/>
              </w:rPr>
              <w:t>Náklady na 1 m</w:t>
            </w:r>
            <w:r w:rsidRPr="00995C79">
              <w:rPr>
                <w:rFonts w:ascii="Calibri" w:eastAsia="Times New Roman" w:hAnsi="Calibri" w:cs="Calibri"/>
                <w:b/>
                <w:bCs/>
                <w:color w:val="000000"/>
                <w:sz w:val="20"/>
                <w:szCs w:val="20"/>
                <w:vertAlign w:val="superscript"/>
                <w:lang w:eastAsia="cs-CZ"/>
              </w:rPr>
              <w:t>2</w:t>
            </w:r>
            <w:r w:rsidRPr="00995C79">
              <w:rPr>
                <w:rFonts w:ascii="Calibri" w:eastAsia="Times New Roman" w:hAnsi="Calibri" w:cs="Calibri"/>
                <w:b/>
                <w:bCs/>
                <w:color w:val="000000"/>
                <w:sz w:val="20"/>
                <w:szCs w:val="20"/>
                <w:lang w:eastAsia="cs-CZ"/>
              </w:rPr>
              <w:t xml:space="preserve"> opravy mostů (</w:t>
            </w:r>
            <w:r w:rsidR="00995C79">
              <w:rPr>
                <w:rFonts w:ascii="Calibri" w:eastAsia="Times New Roman" w:hAnsi="Calibri" w:cs="Calibri"/>
                <w:b/>
                <w:bCs/>
                <w:color w:val="000000"/>
                <w:sz w:val="20"/>
                <w:szCs w:val="20"/>
                <w:lang w:eastAsia="cs-CZ"/>
              </w:rPr>
              <w:t>v </w:t>
            </w:r>
            <w:r w:rsidRPr="00995C79">
              <w:rPr>
                <w:rFonts w:ascii="Calibri" w:eastAsia="Times New Roman" w:hAnsi="Calibri" w:cs="Calibri"/>
                <w:b/>
                <w:bCs/>
                <w:color w:val="000000"/>
                <w:sz w:val="20"/>
                <w:szCs w:val="20"/>
                <w:lang w:eastAsia="cs-CZ"/>
              </w:rPr>
              <w:t>Kč bez DPH)</w:t>
            </w:r>
          </w:p>
        </w:tc>
      </w:tr>
      <w:tr w:rsidR="00393DDB" w:rsidRPr="00F3106C" w14:paraId="44FF3378"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38AD1B6F" w14:textId="77777777" w:rsidR="00393DDB" w:rsidRPr="00F3106C" w:rsidRDefault="001C0690"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LBK</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64023D86"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22 759,33</w:t>
            </w:r>
          </w:p>
        </w:tc>
      </w:tr>
      <w:tr w:rsidR="00393DDB" w:rsidRPr="00F3106C" w14:paraId="665874D4"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0D664AC1"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w:t>
            </w:r>
            <w:r w:rsidR="001C0690" w:rsidRPr="00F3106C">
              <w:rPr>
                <w:rFonts w:ascii="Calibri" w:eastAsia="Times New Roman" w:hAnsi="Calibri" w:cs="Calibri"/>
                <w:color w:val="000000"/>
                <w:sz w:val="20"/>
                <w:szCs w:val="20"/>
                <w:lang w:eastAsia="cs-CZ"/>
              </w:rPr>
              <w:t>PAK</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284E7E85"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58 811,60</w:t>
            </w:r>
          </w:p>
        </w:tc>
      </w:tr>
      <w:tr w:rsidR="00393DDB" w:rsidRPr="00F3106C" w14:paraId="352D5DD9"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6A86D1EA"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SÚSPK</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512FE33C"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12 936,80</w:t>
            </w:r>
          </w:p>
        </w:tc>
      </w:tr>
    </w:tbl>
    <w:p w14:paraId="28761AA3" w14:textId="0690BBBD" w:rsidR="00393DDB" w:rsidRPr="00393DDB" w:rsidRDefault="00393DDB" w:rsidP="00F3106C">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995C79">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55E899A8" w14:textId="77777777" w:rsidR="00393DDB" w:rsidRPr="00393DDB" w:rsidRDefault="00393DDB" w:rsidP="00F3106C">
      <w:pPr>
        <w:spacing w:after="0" w:line="240" w:lineRule="auto"/>
        <w:jc w:val="both"/>
        <w:rPr>
          <w:rFonts w:eastAsia="Times New Roman" w:cs="Calibri"/>
          <w:sz w:val="24"/>
          <w:szCs w:val="24"/>
          <w:lang w:eastAsia="cs-CZ"/>
        </w:rPr>
      </w:pPr>
    </w:p>
    <w:p w14:paraId="575BB5F2" w14:textId="77777777" w:rsid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Velké rozdíly v jednotkových nákladech v případě mostů byly zapříčiněny různým rozsahem prováděných oprav a rekonstrukcí a různým typem konstrukce mostů.</w:t>
      </w:r>
    </w:p>
    <w:p w14:paraId="745FDEAD" w14:textId="77777777" w:rsidR="00F3106C" w:rsidRPr="00393DDB" w:rsidRDefault="00F3106C" w:rsidP="00F3106C">
      <w:pPr>
        <w:spacing w:after="0" w:line="240" w:lineRule="auto"/>
        <w:jc w:val="both"/>
        <w:rPr>
          <w:rFonts w:eastAsia="Times New Roman" w:cs="Calibri"/>
          <w:sz w:val="24"/>
          <w:szCs w:val="24"/>
          <w:lang w:eastAsia="cs-CZ"/>
        </w:rPr>
      </w:pPr>
    </w:p>
    <w:p w14:paraId="1CEE83EB" w14:textId="77777777" w:rsid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Součástí kontrolovaných projektů byly rovněž případy budování nových silnic II. a III. třídy. Náklady na 1 km nově vybudovaných silnic krajů jsou uvedeny v tabulce č. </w:t>
      </w:r>
      <w:r w:rsidR="00BE07FA">
        <w:rPr>
          <w:rFonts w:eastAsia="Times New Roman" w:cs="Calibri"/>
          <w:sz w:val="24"/>
          <w:szCs w:val="24"/>
          <w:lang w:eastAsia="cs-CZ"/>
        </w:rPr>
        <w:t>5</w:t>
      </w:r>
      <w:r w:rsidRPr="00393DDB">
        <w:rPr>
          <w:rFonts w:eastAsia="Times New Roman" w:cs="Calibri"/>
          <w:sz w:val="24"/>
          <w:szCs w:val="24"/>
          <w:lang w:eastAsia="cs-CZ"/>
        </w:rPr>
        <w:t>.</w:t>
      </w:r>
    </w:p>
    <w:p w14:paraId="05478599" w14:textId="77777777" w:rsidR="00F3106C" w:rsidRDefault="00F3106C" w:rsidP="00F3106C">
      <w:pPr>
        <w:spacing w:after="0" w:line="240" w:lineRule="auto"/>
        <w:jc w:val="both"/>
        <w:rPr>
          <w:rFonts w:eastAsia="Times New Roman" w:cs="Calibri"/>
          <w:sz w:val="24"/>
          <w:szCs w:val="24"/>
          <w:lang w:eastAsia="cs-CZ"/>
        </w:rPr>
      </w:pPr>
    </w:p>
    <w:p w14:paraId="23DCED0A" w14:textId="77777777" w:rsidR="00393DDB" w:rsidRPr="00054EE5" w:rsidRDefault="00393DDB" w:rsidP="00F3106C">
      <w:pPr>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lastRenderedPageBreak/>
        <w:t xml:space="preserve">Tabulka č. </w:t>
      </w:r>
      <w:r w:rsidR="00BE07FA" w:rsidRPr="00054EE5">
        <w:rPr>
          <w:rFonts w:eastAsia="Times New Roman" w:cs="Calibri"/>
          <w:b/>
          <w:sz w:val="24"/>
          <w:szCs w:val="24"/>
          <w:lang w:eastAsia="cs-CZ"/>
        </w:rPr>
        <w:t>5</w:t>
      </w:r>
      <w:r w:rsidRPr="00054EE5">
        <w:rPr>
          <w:rFonts w:eastAsia="Times New Roman" w:cs="Calibri"/>
          <w:b/>
          <w:sz w:val="24"/>
          <w:szCs w:val="24"/>
          <w:lang w:eastAsia="cs-CZ"/>
        </w:rPr>
        <w:t xml:space="preserve"> – Náklady na 1 km nových silnic krajů</w:t>
      </w:r>
    </w:p>
    <w:tbl>
      <w:tblPr>
        <w:tblW w:w="9090" w:type="dxa"/>
        <w:tblInd w:w="-5" w:type="dxa"/>
        <w:tblCellMar>
          <w:left w:w="70" w:type="dxa"/>
          <w:right w:w="70" w:type="dxa"/>
        </w:tblCellMar>
        <w:tblLook w:val="04A0" w:firstRow="1" w:lastRow="0" w:firstColumn="1" w:lastColumn="0" w:noHBand="0" w:noVBand="1"/>
      </w:tblPr>
      <w:tblGrid>
        <w:gridCol w:w="2630"/>
        <w:gridCol w:w="3320"/>
        <w:gridCol w:w="3140"/>
      </w:tblGrid>
      <w:tr w:rsidR="00995C79" w:rsidRPr="00F3106C" w14:paraId="7FFDB074" w14:textId="77777777" w:rsidTr="00995C79">
        <w:trPr>
          <w:trHeight w:val="227"/>
        </w:trPr>
        <w:tc>
          <w:tcPr>
            <w:tcW w:w="2630" w:type="dxa"/>
            <w:vMerge w:val="restart"/>
            <w:tcBorders>
              <w:top w:val="single" w:sz="4" w:space="0" w:color="auto"/>
              <w:left w:val="single" w:sz="4" w:space="0" w:color="auto"/>
              <w:right w:val="single" w:sz="4" w:space="0" w:color="auto"/>
            </w:tcBorders>
            <w:shd w:val="clear" w:color="auto" w:fill="E5F1FF"/>
            <w:noWrap/>
            <w:vAlign w:val="center"/>
            <w:hideMark/>
          </w:tcPr>
          <w:p w14:paraId="6D7E63C9" w14:textId="77777777" w:rsidR="00995C79" w:rsidRPr="00995C79" w:rsidRDefault="00995C79" w:rsidP="00995C79">
            <w:pPr>
              <w:spacing w:after="0" w:line="240" w:lineRule="auto"/>
              <w:jc w:val="center"/>
              <w:rPr>
                <w:rFonts w:ascii="Calibri" w:eastAsia="Times New Roman" w:hAnsi="Calibri" w:cs="Calibri"/>
                <w:b/>
                <w:bCs/>
                <w:color w:val="000000"/>
                <w:sz w:val="20"/>
                <w:szCs w:val="20"/>
                <w:lang w:eastAsia="cs-CZ"/>
              </w:rPr>
            </w:pPr>
            <w:r w:rsidRPr="00995C79">
              <w:rPr>
                <w:rFonts w:ascii="Calibri" w:eastAsia="Times New Roman" w:hAnsi="Calibri" w:cs="Calibri"/>
                <w:b/>
                <w:bCs/>
                <w:color w:val="000000"/>
                <w:sz w:val="20"/>
                <w:szCs w:val="20"/>
                <w:lang w:eastAsia="cs-CZ"/>
              </w:rPr>
              <w:t>Příjemce</w:t>
            </w:r>
          </w:p>
        </w:tc>
        <w:tc>
          <w:tcPr>
            <w:tcW w:w="6460" w:type="dxa"/>
            <w:gridSpan w:val="2"/>
            <w:tcBorders>
              <w:top w:val="single" w:sz="4" w:space="0" w:color="auto"/>
              <w:left w:val="nil"/>
              <w:bottom w:val="single" w:sz="4" w:space="0" w:color="auto"/>
              <w:right w:val="single" w:sz="4" w:space="0" w:color="000000"/>
            </w:tcBorders>
            <w:shd w:val="clear" w:color="auto" w:fill="E5F1FF"/>
            <w:vAlign w:val="center"/>
            <w:hideMark/>
          </w:tcPr>
          <w:p w14:paraId="24C6F6FB" w14:textId="77777777" w:rsidR="00995C79" w:rsidRPr="00995C79" w:rsidRDefault="00995C79" w:rsidP="00995C79">
            <w:pPr>
              <w:spacing w:after="0" w:line="240" w:lineRule="auto"/>
              <w:jc w:val="center"/>
              <w:rPr>
                <w:rFonts w:ascii="Calibri" w:eastAsia="Times New Roman" w:hAnsi="Calibri" w:cs="Calibri"/>
                <w:b/>
                <w:bCs/>
                <w:color w:val="000000"/>
                <w:sz w:val="20"/>
                <w:szCs w:val="20"/>
                <w:lang w:eastAsia="cs-CZ"/>
              </w:rPr>
            </w:pPr>
            <w:r w:rsidRPr="00995C79">
              <w:rPr>
                <w:rFonts w:ascii="Calibri" w:eastAsia="Times New Roman" w:hAnsi="Calibri" w:cs="Calibri"/>
                <w:b/>
                <w:bCs/>
                <w:color w:val="000000"/>
                <w:sz w:val="20"/>
                <w:szCs w:val="20"/>
                <w:lang w:eastAsia="cs-CZ"/>
              </w:rPr>
              <w:t>Náklady na 1 km nově budovaných silnic (</w:t>
            </w:r>
            <w:r>
              <w:rPr>
                <w:rFonts w:ascii="Calibri" w:eastAsia="Times New Roman" w:hAnsi="Calibri" w:cs="Calibri"/>
                <w:b/>
                <w:bCs/>
                <w:color w:val="000000"/>
                <w:sz w:val="20"/>
                <w:szCs w:val="20"/>
                <w:lang w:eastAsia="cs-CZ"/>
              </w:rPr>
              <w:t>v </w:t>
            </w:r>
            <w:r w:rsidRPr="00995C79">
              <w:rPr>
                <w:rFonts w:ascii="Calibri" w:eastAsia="Times New Roman" w:hAnsi="Calibri" w:cs="Calibri"/>
                <w:b/>
                <w:bCs/>
                <w:color w:val="000000"/>
                <w:sz w:val="20"/>
                <w:szCs w:val="20"/>
                <w:lang w:eastAsia="cs-CZ"/>
              </w:rPr>
              <w:t>Kč bez DPH)</w:t>
            </w:r>
          </w:p>
        </w:tc>
      </w:tr>
      <w:tr w:rsidR="00995C79" w:rsidRPr="00F3106C" w14:paraId="2CF6EA4F" w14:textId="77777777" w:rsidTr="00995C79">
        <w:trPr>
          <w:trHeight w:val="227"/>
        </w:trPr>
        <w:tc>
          <w:tcPr>
            <w:tcW w:w="2630" w:type="dxa"/>
            <w:vMerge/>
            <w:tcBorders>
              <w:left w:val="single" w:sz="4" w:space="0" w:color="auto"/>
              <w:bottom w:val="single" w:sz="4" w:space="0" w:color="auto"/>
              <w:right w:val="single" w:sz="4" w:space="0" w:color="auto"/>
            </w:tcBorders>
            <w:shd w:val="clear" w:color="auto" w:fill="E5F1FF"/>
            <w:noWrap/>
            <w:vAlign w:val="center"/>
            <w:hideMark/>
          </w:tcPr>
          <w:p w14:paraId="426757F6" w14:textId="77777777" w:rsidR="00995C79" w:rsidRPr="00995C79" w:rsidRDefault="00995C79" w:rsidP="00995C79">
            <w:pPr>
              <w:spacing w:after="0" w:line="240" w:lineRule="auto"/>
              <w:jc w:val="center"/>
              <w:rPr>
                <w:rFonts w:ascii="Calibri" w:eastAsia="Times New Roman" w:hAnsi="Calibri" w:cs="Calibri"/>
                <w:b/>
                <w:bCs/>
                <w:color w:val="000000"/>
                <w:sz w:val="20"/>
                <w:szCs w:val="20"/>
                <w:lang w:eastAsia="cs-CZ"/>
              </w:rPr>
            </w:pPr>
          </w:p>
        </w:tc>
        <w:tc>
          <w:tcPr>
            <w:tcW w:w="3320" w:type="dxa"/>
            <w:tcBorders>
              <w:top w:val="nil"/>
              <w:left w:val="nil"/>
              <w:bottom w:val="single" w:sz="4" w:space="0" w:color="auto"/>
              <w:right w:val="single" w:sz="4" w:space="0" w:color="auto"/>
            </w:tcBorders>
            <w:shd w:val="clear" w:color="auto" w:fill="E5F1FF"/>
            <w:noWrap/>
            <w:vAlign w:val="center"/>
            <w:hideMark/>
          </w:tcPr>
          <w:p w14:paraId="11A66218" w14:textId="17B9DB83" w:rsidR="00995C79" w:rsidRPr="00995C79" w:rsidRDefault="00995C79" w:rsidP="00995C79">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Pr="00995C79">
              <w:rPr>
                <w:rFonts w:ascii="Calibri" w:eastAsia="Times New Roman" w:hAnsi="Calibri" w:cs="Calibri"/>
                <w:b/>
                <w:bCs/>
                <w:color w:val="000000"/>
                <w:sz w:val="20"/>
                <w:szCs w:val="20"/>
                <w:lang w:eastAsia="cs-CZ"/>
              </w:rPr>
              <w:t>in.</w:t>
            </w:r>
          </w:p>
        </w:tc>
        <w:tc>
          <w:tcPr>
            <w:tcW w:w="3140" w:type="dxa"/>
            <w:tcBorders>
              <w:top w:val="nil"/>
              <w:left w:val="nil"/>
              <w:bottom w:val="single" w:sz="4" w:space="0" w:color="auto"/>
              <w:right w:val="single" w:sz="4" w:space="0" w:color="auto"/>
            </w:tcBorders>
            <w:shd w:val="clear" w:color="auto" w:fill="E5F1FF"/>
            <w:noWrap/>
            <w:vAlign w:val="center"/>
            <w:hideMark/>
          </w:tcPr>
          <w:p w14:paraId="370DF182" w14:textId="5026FDFD" w:rsidR="00995C79" w:rsidRPr="00995C79" w:rsidRDefault="00995C79" w:rsidP="00995C79">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Pr="00995C79">
              <w:rPr>
                <w:rFonts w:ascii="Calibri" w:eastAsia="Times New Roman" w:hAnsi="Calibri" w:cs="Calibri"/>
                <w:b/>
                <w:bCs/>
                <w:color w:val="000000"/>
                <w:sz w:val="20"/>
                <w:szCs w:val="20"/>
                <w:lang w:eastAsia="cs-CZ"/>
              </w:rPr>
              <w:t>ax.</w:t>
            </w:r>
          </w:p>
        </w:tc>
      </w:tr>
      <w:tr w:rsidR="00393DDB" w:rsidRPr="00F3106C" w14:paraId="6694402A" w14:textId="77777777" w:rsidTr="00F3106C">
        <w:trPr>
          <w:trHeight w:val="227"/>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1787A9A0" w14:textId="77777777" w:rsidR="00393DDB" w:rsidRPr="00F3106C" w:rsidRDefault="001C0690"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JHČ</w:t>
            </w:r>
          </w:p>
        </w:tc>
        <w:tc>
          <w:tcPr>
            <w:tcW w:w="3320" w:type="dxa"/>
            <w:tcBorders>
              <w:top w:val="nil"/>
              <w:left w:val="nil"/>
              <w:bottom w:val="single" w:sz="4" w:space="0" w:color="auto"/>
              <w:right w:val="single" w:sz="4" w:space="0" w:color="auto"/>
            </w:tcBorders>
            <w:shd w:val="clear" w:color="auto" w:fill="auto"/>
            <w:noWrap/>
            <w:vAlign w:val="bottom"/>
            <w:hideMark/>
          </w:tcPr>
          <w:p w14:paraId="4A831932"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17 951 702,92</w:t>
            </w:r>
          </w:p>
        </w:tc>
        <w:tc>
          <w:tcPr>
            <w:tcW w:w="3140" w:type="dxa"/>
            <w:tcBorders>
              <w:top w:val="nil"/>
              <w:left w:val="nil"/>
              <w:bottom w:val="single" w:sz="4" w:space="0" w:color="auto"/>
              <w:right w:val="single" w:sz="4" w:space="0" w:color="auto"/>
            </w:tcBorders>
            <w:shd w:val="clear" w:color="auto" w:fill="auto"/>
            <w:noWrap/>
            <w:vAlign w:val="bottom"/>
            <w:hideMark/>
          </w:tcPr>
          <w:p w14:paraId="226A643D"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50 662 798,10</w:t>
            </w:r>
          </w:p>
        </w:tc>
      </w:tr>
      <w:tr w:rsidR="00393DDB" w:rsidRPr="00F3106C" w14:paraId="3C304558" w14:textId="77777777" w:rsidTr="00F3106C">
        <w:trPr>
          <w:trHeight w:val="227"/>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606E7A73"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MSK</w:t>
            </w:r>
          </w:p>
        </w:tc>
        <w:tc>
          <w:tcPr>
            <w:tcW w:w="6460" w:type="dxa"/>
            <w:gridSpan w:val="2"/>
            <w:tcBorders>
              <w:top w:val="nil"/>
              <w:left w:val="nil"/>
              <w:bottom w:val="single" w:sz="4" w:space="0" w:color="auto"/>
              <w:right w:val="single" w:sz="4" w:space="0" w:color="auto"/>
            </w:tcBorders>
            <w:shd w:val="clear" w:color="auto" w:fill="auto"/>
            <w:noWrap/>
            <w:vAlign w:val="bottom"/>
            <w:hideMark/>
          </w:tcPr>
          <w:p w14:paraId="095C7CE6"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50 918 542,86</w:t>
            </w:r>
          </w:p>
        </w:tc>
      </w:tr>
    </w:tbl>
    <w:p w14:paraId="22E106E1" w14:textId="02EAC51B" w:rsidR="00393DDB" w:rsidRPr="00393DDB" w:rsidRDefault="00393DDB" w:rsidP="00064D6C">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995C79">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2DD1AB46" w14:textId="77777777" w:rsidR="00393DDB" w:rsidRPr="00393DDB" w:rsidRDefault="00393DDB" w:rsidP="00393DDB">
      <w:pPr>
        <w:spacing w:after="0" w:line="240" w:lineRule="auto"/>
        <w:jc w:val="both"/>
        <w:rPr>
          <w:rFonts w:eastAsia="Times New Roman" w:cs="Calibri"/>
          <w:sz w:val="20"/>
          <w:szCs w:val="20"/>
          <w:lang w:eastAsia="cs-CZ"/>
        </w:rPr>
      </w:pPr>
      <w:r w:rsidRPr="00054EE5">
        <w:rPr>
          <w:rFonts w:eastAsia="Times New Roman" w:cs="Calibri"/>
          <w:b/>
          <w:sz w:val="20"/>
          <w:szCs w:val="20"/>
          <w:lang w:eastAsia="cs-CZ"/>
        </w:rPr>
        <w:t>Pozn.</w:t>
      </w:r>
      <w:r w:rsidRPr="00054EE5">
        <w:rPr>
          <w:rFonts w:cstheme="minorHAnsi"/>
          <w:b/>
          <w:color w:val="000000"/>
          <w:sz w:val="20"/>
          <w:szCs w:val="20"/>
          <w:lang w:eastAsia="cs-CZ"/>
        </w:rPr>
        <w:t>:</w:t>
      </w:r>
      <w:r w:rsidRPr="00BE07FA">
        <w:rPr>
          <w:rFonts w:cstheme="minorHAnsi"/>
          <w:color w:val="000000"/>
          <w:sz w:val="20"/>
          <w:szCs w:val="20"/>
          <w:lang w:eastAsia="cs-CZ"/>
        </w:rPr>
        <w:t xml:space="preserve"> V rámci MSK byl kontrolován jeden projekt.</w:t>
      </w:r>
    </w:p>
    <w:p w14:paraId="5FA4657C" w14:textId="77777777" w:rsidR="00F3106C" w:rsidRDefault="00F3106C" w:rsidP="00F3106C">
      <w:pPr>
        <w:spacing w:after="0" w:line="240" w:lineRule="auto"/>
        <w:jc w:val="both"/>
        <w:rPr>
          <w:rFonts w:eastAsia="Times New Roman" w:cs="Calibri"/>
          <w:sz w:val="24"/>
          <w:szCs w:val="24"/>
          <w:lang w:eastAsia="cs-CZ"/>
        </w:rPr>
      </w:pPr>
    </w:p>
    <w:p w14:paraId="40D623B5" w14:textId="03984965" w:rsid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Jednotkové náklady</w:t>
      </w:r>
      <w:r w:rsidR="00A343AE">
        <w:rPr>
          <w:rFonts w:eastAsia="Times New Roman" w:cs="Calibri"/>
          <w:sz w:val="24"/>
          <w:szCs w:val="24"/>
          <w:lang w:eastAsia="cs-CZ"/>
        </w:rPr>
        <w:t xml:space="preserve"> </w:t>
      </w:r>
      <w:r w:rsidRPr="00393DDB">
        <w:rPr>
          <w:rFonts w:eastAsia="Times New Roman" w:cs="Calibri"/>
          <w:sz w:val="24"/>
          <w:szCs w:val="24"/>
          <w:lang w:eastAsia="cs-CZ"/>
        </w:rPr>
        <w:t xml:space="preserve">u staveb nových silnic byly ovlivněny více vlivy než v případě </w:t>
      </w:r>
      <w:r w:rsidR="007323B0">
        <w:rPr>
          <w:rFonts w:eastAsia="Times New Roman" w:cs="Calibri"/>
          <w:sz w:val="24"/>
          <w:szCs w:val="24"/>
          <w:lang w:eastAsia="cs-CZ"/>
        </w:rPr>
        <w:t xml:space="preserve">celoplošných </w:t>
      </w:r>
      <w:r w:rsidRPr="00393DDB">
        <w:rPr>
          <w:rFonts w:eastAsia="Times New Roman" w:cs="Calibri"/>
          <w:sz w:val="24"/>
          <w:szCs w:val="24"/>
          <w:lang w:eastAsia="cs-CZ"/>
        </w:rPr>
        <w:t xml:space="preserve">oprav, neboť zahrnovaly vybudování nového tělesa silnice včetně činností, které </w:t>
      </w:r>
      <w:r w:rsidR="00BE3971">
        <w:rPr>
          <w:rFonts w:eastAsia="Times New Roman" w:cs="Calibri"/>
          <w:sz w:val="24"/>
          <w:szCs w:val="24"/>
          <w:lang w:eastAsia="cs-CZ"/>
        </w:rPr>
        <w:t xml:space="preserve">celoplošné </w:t>
      </w:r>
      <w:r w:rsidRPr="00393DDB">
        <w:rPr>
          <w:rFonts w:eastAsia="Times New Roman" w:cs="Calibri"/>
          <w:sz w:val="24"/>
          <w:szCs w:val="24"/>
          <w:lang w:eastAsia="cs-CZ"/>
        </w:rPr>
        <w:t>opravy nezahrnovaly, jako bylo vytyčení, zaměření, prác</w:t>
      </w:r>
      <w:r w:rsidR="00DD1B74">
        <w:rPr>
          <w:rFonts w:eastAsia="Times New Roman" w:cs="Calibri"/>
          <w:sz w:val="24"/>
          <w:szCs w:val="24"/>
          <w:lang w:eastAsia="cs-CZ"/>
        </w:rPr>
        <w:t xml:space="preserve">e s ornicí, </w:t>
      </w:r>
      <w:r w:rsidR="00A343AE">
        <w:rPr>
          <w:rFonts w:eastAsia="Times New Roman" w:cs="Calibri"/>
          <w:sz w:val="24"/>
          <w:szCs w:val="24"/>
          <w:lang w:eastAsia="cs-CZ"/>
        </w:rPr>
        <w:t xml:space="preserve">výstavba </w:t>
      </w:r>
      <w:r w:rsidR="00DD1B74">
        <w:rPr>
          <w:rFonts w:eastAsia="Times New Roman" w:cs="Calibri"/>
          <w:sz w:val="24"/>
          <w:szCs w:val="24"/>
          <w:lang w:eastAsia="cs-CZ"/>
        </w:rPr>
        <w:t>obslužné komunikace</w:t>
      </w:r>
      <w:r w:rsidR="00A343AE">
        <w:rPr>
          <w:rFonts w:eastAsia="Times New Roman" w:cs="Calibri"/>
          <w:sz w:val="24"/>
          <w:szCs w:val="24"/>
          <w:lang w:eastAsia="cs-CZ"/>
        </w:rPr>
        <w:t>.</w:t>
      </w:r>
    </w:p>
    <w:p w14:paraId="7224B28A" w14:textId="77777777" w:rsidR="00F3106C" w:rsidRPr="00393DDB" w:rsidRDefault="00F3106C" w:rsidP="00F3106C">
      <w:pPr>
        <w:spacing w:after="0" w:line="240" w:lineRule="auto"/>
        <w:jc w:val="both"/>
        <w:rPr>
          <w:rFonts w:eastAsia="Times New Roman" w:cs="Calibri"/>
          <w:sz w:val="24"/>
          <w:szCs w:val="24"/>
          <w:lang w:eastAsia="cs-CZ"/>
        </w:rPr>
      </w:pPr>
    </w:p>
    <w:p w14:paraId="04E24588" w14:textId="4DDA843E" w:rsidR="00393DDB" w:rsidRP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Nejvyšší hodnota nákladů na rekonstrukci silnice spojená s likvidací povodňové škody byla kontrolou NKÚ zjištěna u kontrolované osoby SÚS</w:t>
      </w:r>
      <w:r w:rsidR="001C0690">
        <w:rPr>
          <w:rFonts w:eastAsia="Times New Roman" w:cs="Calibri"/>
          <w:sz w:val="24"/>
          <w:szCs w:val="24"/>
          <w:lang w:eastAsia="cs-CZ"/>
        </w:rPr>
        <w:t>PAK</w:t>
      </w:r>
      <w:r w:rsidRPr="00393DDB">
        <w:rPr>
          <w:rFonts w:eastAsia="Times New Roman" w:cs="Calibri"/>
          <w:sz w:val="24"/>
          <w:szCs w:val="24"/>
          <w:lang w:eastAsia="cs-CZ"/>
        </w:rPr>
        <w:t xml:space="preserve">, kde </w:t>
      </w:r>
      <w:r w:rsidR="00A343AE" w:rsidRPr="00393DDB">
        <w:rPr>
          <w:rFonts w:eastAsia="Times New Roman" w:cs="Calibri"/>
          <w:sz w:val="24"/>
          <w:szCs w:val="24"/>
          <w:lang w:eastAsia="cs-CZ"/>
        </w:rPr>
        <w:t xml:space="preserve">byl </w:t>
      </w:r>
      <w:r w:rsidRPr="00393DDB">
        <w:rPr>
          <w:rFonts w:eastAsia="Times New Roman" w:cs="Calibri"/>
          <w:sz w:val="24"/>
          <w:szCs w:val="24"/>
          <w:lang w:eastAsia="cs-CZ"/>
        </w:rPr>
        <w:t>úsek silnice II. třídy v délce 489</w:t>
      </w:r>
      <w:r w:rsidR="00A343AE">
        <w:rPr>
          <w:rFonts w:eastAsia="Times New Roman" w:cs="Calibri"/>
          <w:sz w:val="24"/>
          <w:szCs w:val="24"/>
          <w:lang w:eastAsia="cs-CZ"/>
        </w:rPr>
        <w:t> </w:t>
      </w:r>
      <w:r w:rsidRPr="00393DDB">
        <w:rPr>
          <w:rFonts w:eastAsia="Times New Roman" w:cs="Calibri"/>
          <w:sz w:val="24"/>
          <w:szCs w:val="24"/>
          <w:lang w:eastAsia="cs-CZ"/>
        </w:rPr>
        <w:t>m rekonstruován s náklady ve výši 50 859 609,70 Kč bez DPH, což odpovídá nákladům na 1 km ve výši 104 007 381,80 Kč bez DPH.</w:t>
      </w:r>
    </w:p>
    <w:p w14:paraId="77922D5F" w14:textId="77777777" w:rsidR="00393DDB" w:rsidRPr="00393DDB" w:rsidRDefault="00393DDB" w:rsidP="00F3106C">
      <w:pPr>
        <w:spacing w:after="0" w:line="240" w:lineRule="auto"/>
        <w:jc w:val="both"/>
        <w:rPr>
          <w:rFonts w:eastAsia="Times New Roman" w:cs="Calibri"/>
          <w:sz w:val="24"/>
          <w:szCs w:val="24"/>
          <w:lang w:eastAsia="cs-CZ"/>
        </w:rPr>
      </w:pPr>
    </w:p>
    <w:p w14:paraId="3DE393D7" w14:textId="77777777" w:rsidR="00393DDB" w:rsidRPr="00393DDB" w:rsidRDefault="00393DDB" w:rsidP="00F3106C">
      <w:pPr>
        <w:spacing w:after="0" w:line="240" w:lineRule="auto"/>
        <w:jc w:val="both"/>
        <w:rPr>
          <w:rFonts w:eastAsia="Times New Roman" w:cs="Calibri"/>
          <w:b/>
          <w:sz w:val="24"/>
          <w:szCs w:val="24"/>
          <w:lang w:eastAsia="cs-CZ"/>
        </w:rPr>
      </w:pPr>
      <w:r w:rsidRPr="00393DDB">
        <w:rPr>
          <w:rFonts w:eastAsia="Times New Roman" w:cs="Calibri"/>
          <w:b/>
          <w:sz w:val="24"/>
          <w:szCs w:val="24"/>
          <w:lang w:eastAsia="cs-CZ"/>
        </w:rPr>
        <w:t xml:space="preserve">3. Srovnání předpokládaných hodnot </w:t>
      </w:r>
      <w:r w:rsidR="00101158">
        <w:rPr>
          <w:rFonts w:eastAsia="Times New Roman" w:cs="Calibri"/>
          <w:b/>
          <w:sz w:val="24"/>
          <w:szCs w:val="24"/>
          <w:lang w:eastAsia="cs-CZ"/>
        </w:rPr>
        <w:t xml:space="preserve">veřejných </w:t>
      </w:r>
      <w:r w:rsidRPr="00393DDB">
        <w:rPr>
          <w:rFonts w:eastAsia="Times New Roman" w:cs="Calibri"/>
          <w:b/>
          <w:sz w:val="24"/>
          <w:szCs w:val="24"/>
          <w:lang w:eastAsia="cs-CZ"/>
        </w:rPr>
        <w:t>zakázek a cen vítězných nabídek</w:t>
      </w:r>
    </w:p>
    <w:p w14:paraId="5EAB8289" w14:textId="77777777" w:rsidR="00F3106C" w:rsidRDefault="00F3106C" w:rsidP="00F3106C">
      <w:pPr>
        <w:spacing w:after="0" w:line="240" w:lineRule="auto"/>
        <w:jc w:val="both"/>
        <w:rPr>
          <w:rFonts w:eastAsia="Times New Roman" w:cs="Calibri"/>
          <w:sz w:val="24"/>
          <w:szCs w:val="24"/>
          <w:lang w:eastAsia="cs-CZ"/>
        </w:rPr>
      </w:pPr>
    </w:p>
    <w:p w14:paraId="74BB9D08" w14:textId="39647ED5" w:rsidR="00393DDB" w:rsidRP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Kontrolou NKÚ byly porovnávány předpokládané hodnoty </w:t>
      </w:r>
      <w:r w:rsidR="00101158">
        <w:rPr>
          <w:rFonts w:eastAsia="Times New Roman" w:cs="Calibri"/>
          <w:sz w:val="24"/>
          <w:szCs w:val="24"/>
          <w:lang w:eastAsia="cs-CZ"/>
        </w:rPr>
        <w:t xml:space="preserve">veřejných </w:t>
      </w:r>
      <w:r w:rsidRPr="00393DDB">
        <w:rPr>
          <w:rFonts w:eastAsia="Times New Roman" w:cs="Calibri"/>
          <w:sz w:val="24"/>
          <w:szCs w:val="24"/>
          <w:lang w:eastAsia="cs-CZ"/>
        </w:rPr>
        <w:t xml:space="preserve">zakázek, stanovené v kontrolních rozpočtech </w:t>
      </w:r>
      <w:r w:rsidR="00101158">
        <w:rPr>
          <w:rFonts w:eastAsia="Times New Roman" w:cs="Calibri"/>
          <w:sz w:val="24"/>
          <w:szCs w:val="24"/>
          <w:lang w:eastAsia="cs-CZ"/>
        </w:rPr>
        <w:t xml:space="preserve">veřejných </w:t>
      </w:r>
      <w:r w:rsidRPr="00393DDB">
        <w:rPr>
          <w:rFonts w:eastAsia="Times New Roman" w:cs="Calibri"/>
          <w:sz w:val="24"/>
          <w:szCs w:val="24"/>
          <w:lang w:eastAsia="cs-CZ"/>
        </w:rPr>
        <w:t xml:space="preserve">zakázek obvykle s využitím cenových databází a číselníků ÚRS a dalších, s cenami nabídek vítězných uchazečů. V tabulce č. </w:t>
      </w:r>
      <w:r w:rsidR="00BE07FA">
        <w:rPr>
          <w:rFonts w:eastAsia="Times New Roman" w:cs="Calibri"/>
          <w:sz w:val="24"/>
          <w:szCs w:val="24"/>
          <w:lang w:eastAsia="cs-CZ"/>
        </w:rPr>
        <w:t>6</w:t>
      </w:r>
      <w:r w:rsidRPr="00393DDB">
        <w:rPr>
          <w:rFonts w:eastAsia="Times New Roman" w:cs="Calibri"/>
          <w:sz w:val="24"/>
          <w:szCs w:val="24"/>
          <w:lang w:eastAsia="cs-CZ"/>
        </w:rPr>
        <w:t> jsou uvedeny minimální a</w:t>
      </w:r>
      <w:r w:rsidR="00A34605">
        <w:rPr>
          <w:rFonts w:eastAsia="Times New Roman" w:cs="Calibri"/>
          <w:sz w:val="24"/>
          <w:szCs w:val="24"/>
          <w:lang w:eastAsia="cs-CZ"/>
        </w:rPr>
        <w:t> </w:t>
      </w:r>
      <w:r w:rsidRPr="00393DDB">
        <w:rPr>
          <w:rFonts w:eastAsia="Times New Roman" w:cs="Calibri"/>
          <w:sz w:val="24"/>
          <w:szCs w:val="24"/>
          <w:lang w:eastAsia="cs-CZ"/>
        </w:rPr>
        <w:t xml:space="preserve">maximální zjištěné poměry cen vítězných nabídek k předpokládaným hodnotám </w:t>
      </w:r>
      <w:r w:rsidR="00F82943">
        <w:rPr>
          <w:rFonts w:eastAsia="Times New Roman" w:cs="Calibri"/>
          <w:sz w:val="24"/>
          <w:szCs w:val="24"/>
          <w:lang w:eastAsia="cs-CZ"/>
        </w:rPr>
        <w:t xml:space="preserve">veřejných </w:t>
      </w:r>
      <w:r w:rsidRPr="00393DDB">
        <w:rPr>
          <w:rFonts w:eastAsia="Times New Roman" w:cs="Calibri"/>
          <w:sz w:val="24"/>
          <w:szCs w:val="24"/>
          <w:lang w:eastAsia="cs-CZ"/>
        </w:rPr>
        <w:t>zakázek u jednotlivých kontrolovaných osob.</w:t>
      </w:r>
    </w:p>
    <w:p w14:paraId="5C841EE3" w14:textId="77777777" w:rsidR="00215589" w:rsidRPr="00393DDB" w:rsidRDefault="00215589" w:rsidP="00F3106C">
      <w:pPr>
        <w:spacing w:after="0" w:line="240" w:lineRule="auto"/>
        <w:jc w:val="both"/>
        <w:rPr>
          <w:rFonts w:eastAsia="Times New Roman" w:cs="Calibri"/>
          <w:sz w:val="24"/>
          <w:szCs w:val="24"/>
          <w:lang w:eastAsia="cs-CZ"/>
        </w:rPr>
      </w:pPr>
    </w:p>
    <w:p w14:paraId="53A1C25B" w14:textId="77777777" w:rsidR="00393DDB" w:rsidRPr="00054EE5" w:rsidRDefault="00393DDB" w:rsidP="00F3106C">
      <w:pPr>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 xml:space="preserve">Tabulka č. </w:t>
      </w:r>
      <w:r w:rsidR="00BE07FA" w:rsidRPr="00054EE5">
        <w:rPr>
          <w:rFonts w:eastAsia="Times New Roman" w:cs="Calibri"/>
          <w:b/>
          <w:sz w:val="24"/>
          <w:szCs w:val="24"/>
          <w:lang w:eastAsia="cs-CZ"/>
        </w:rPr>
        <w:t>6</w:t>
      </w:r>
      <w:r w:rsidRPr="00054EE5">
        <w:rPr>
          <w:rFonts w:eastAsia="Times New Roman" w:cs="Calibri"/>
          <w:b/>
          <w:sz w:val="24"/>
          <w:szCs w:val="24"/>
          <w:lang w:eastAsia="cs-CZ"/>
        </w:rPr>
        <w:t xml:space="preserve"> – Poměry vítězných cen k předpokládaným hodnotám </w:t>
      </w:r>
      <w:r w:rsidR="006D4D80" w:rsidRPr="00054EE5">
        <w:rPr>
          <w:rFonts w:eastAsia="Times New Roman" w:cs="Calibri"/>
          <w:b/>
          <w:sz w:val="24"/>
          <w:szCs w:val="24"/>
          <w:lang w:eastAsia="cs-CZ"/>
        </w:rPr>
        <w:t xml:space="preserve">veřejných </w:t>
      </w:r>
      <w:r w:rsidRPr="00054EE5">
        <w:rPr>
          <w:rFonts w:eastAsia="Times New Roman" w:cs="Calibri"/>
          <w:b/>
          <w:sz w:val="24"/>
          <w:szCs w:val="24"/>
          <w:lang w:eastAsia="cs-CZ"/>
        </w:rPr>
        <w:t>zakázek</w:t>
      </w:r>
    </w:p>
    <w:tbl>
      <w:tblPr>
        <w:tblW w:w="8895" w:type="dxa"/>
        <w:tblCellMar>
          <w:left w:w="70" w:type="dxa"/>
          <w:right w:w="70" w:type="dxa"/>
        </w:tblCellMar>
        <w:tblLook w:val="04A0" w:firstRow="1" w:lastRow="0" w:firstColumn="1" w:lastColumn="0" w:noHBand="0" w:noVBand="1"/>
      </w:tblPr>
      <w:tblGrid>
        <w:gridCol w:w="2965"/>
        <w:gridCol w:w="2965"/>
        <w:gridCol w:w="2965"/>
      </w:tblGrid>
      <w:tr w:rsidR="00393DDB" w:rsidRPr="00F3106C" w14:paraId="51CDF4A7" w14:textId="77777777" w:rsidTr="00995C79">
        <w:trPr>
          <w:trHeight w:val="227"/>
        </w:trPr>
        <w:tc>
          <w:tcPr>
            <w:tcW w:w="2965"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14:paraId="7FA9F95E" w14:textId="77777777" w:rsidR="00393DDB" w:rsidRPr="00995C79" w:rsidRDefault="00393DDB" w:rsidP="00995C79">
            <w:pPr>
              <w:spacing w:after="0" w:line="240" w:lineRule="auto"/>
              <w:jc w:val="center"/>
              <w:rPr>
                <w:rFonts w:ascii="Calibri" w:eastAsia="Times New Roman" w:hAnsi="Calibri" w:cs="Calibri"/>
                <w:b/>
                <w:bCs/>
                <w:color w:val="000000"/>
                <w:sz w:val="20"/>
                <w:szCs w:val="20"/>
                <w:lang w:eastAsia="cs-CZ"/>
              </w:rPr>
            </w:pPr>
            <w:r w:rsidRPr="00995C79">
              <w:rPr>
                <w:rFonts w:ascii="Calibri" w:eastAsia="Times New Roman" w:hAnsi="Calibri" w:cs="Calibri"/>
                <w:b/>
                <w:bCs/>
                <w:color w:val="000000"/>
                <w:sz w:val="20"/>
                <w:szCs w:val="20"/>
                <w:lang w:eastAsia="cs-CZ"/>
              </w:rPr>
              <w:t>Příjemce</w:t>
            </w:r>
          </w:p>
        </w:tc>
        <w:tc>
          <w:tcPr>
            <w:tcW w:w="2965" w:type="dxa"/>
            <w:tcBorders>
              <w:top w:val="single" w:sz="4" w:space="0" w:color="auto"/>
              <w:left w:val="nil"/>
              <w:bottom w:val="single" w:sz="4" w:space="0" w:color="auto"/>
              <w:right w:val="single" w:sz="4" w:space="0" w:color="auto"/>
            </w:tcBorders>
            <w:shd w:val="clear" w:color="auto" w:fill="E5F1FF"/>
            <w:noWrap/>
            <w:vAlign w:val="center"/>
            <w:hideMark/>
          </w:tcPr>
          <w:p w14:paraId="36D082F6" w14:textId="6D3910C5" w:rsidR="00393DDB" w:rsidRPr="00995C79" w:rsidRDefault="00995C79" w:rsidP="00995C79">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00393DDB" w:rsidRPr="00995C79">
              <w:rPr>
                <w:rFonts w:ascii="Calibri" w:eastAsia="Times New Roman" w:hAnsi="Calibri" w:cs="Calibri"/>
                <w:b/>
                <w:bCs/>
                <w:color w:val="000000"/>
                <w:sz w:val="20"/>
                <w:szCs w:val="20"/>
                <w:lang w:eastAsia="cs-CZ"/>
              </w:rPr>
              <w:t>in.</w:t>
            </w:r>
          </w:p>
        </w:tc>
        <w:tc>
          <w:tcPr>
            <w:tcW w:w="2965" w:type="dxa"/>
            <w:tcBorders>
              <w:top w:val="single" w:sz="4" w:space="0" w:color="auto"/>
              <w:left w:val="nil"/>
              <w:bottom w:val="single" w:sz="4" w:space="0" w:color="auto"/>
              <w:right w:val="single" w:sz="4" w:space="0" w:color="auto"/>
            </w:tcBorders>
            <w:shd w:val="clear" w:color="auto" w:fill="E5F1FF"/>
            <w:noWrap/>
            <w:vAlign w:val="center"/>
            <w:hideMark/>
          </w:tcPr>
          <w:p w14:paraId="783CDBEC" w14:textId="41454B34" w:rsidR="00393DDB" w:rsidRPr="00995C79" w:rsidRDefault="00995C79" w:rsidP="00995C79">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00393DDB" w:rsidRPr="00995C79">
              <w:rPr>
                <w:rFonts w:ascii="Calibri" w:eastAsia="Times New Roman" w:hAnsi="Calibri" w:cs="Calibri"/>
                <w:b/>
                <w:bCs/>
                <w:color w:val="000000"/>
                <w:sz w:val="20"/>
                <w:szCs w:val="20"/>
                <w:lang w:eastAsia="cs-CZ"/>
              </w:rPr>
              <w:t>ax.</w:t>
            </w:r>
          </w:p>
        </w:tc>
      </w:tr>
      <w:tr w:rsidR="00393DDB" w:rsidRPr="00F3106C" w14:paraId="0B169620"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52F97B0" w14:textId="77777777" w:rsidR="00393DDB" w:rsidRPr="00F3106C" w:rsidRDefault="001C0690"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JHČ</w:t>
            </w:r>
          </w:p>
        </w:tc>
        <w:tc>
          <w:tcPr>
            <w:tcW w:w="2965" w:type="dxa"/>
            <w:tcBorders>
              <w:top w:val="nil"/>
              <w:left w:val="nil"/>
              <w:bottom w:val="single" w:sz="4" w:space="0" w:color="auto"/>
              <w:right w:val="single" w:sz="4" w:space="0" w:color="auto"/>
            </w:tcBorders>
            <w:shd w:val="clear" w:color="auto" w:fill="auto"/>
            <w:noWrap/>
            <w:vAlign w:val="bottom"/>
            <w:hideMark/>
          </w:tcPr>
          <w:p w14:paraId="6DDB1FCA"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46</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0A5F74F5"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118</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7A0ACD9F"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C8A0929" w14:textId="77777777" w:rsidR="00393DDB" w:rsidRPr="00F3106C" w:rsidRDefault="001C0690"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LBK</w:t>
            </w:r>
          </w:p>
        </w:tc>
        <w:tc>
          <w:tcPr>
            <w:tcW w:w="2965" w:type="dxa"/>
            <w:tcBorders>
              <w:top w:val="nil"/>
              <w:left w:val="nil"/>
              <w:bottom w:val="single" w:sz="4" w:space="0" w:color="auto"/>
              <w:right w:val="single" w:sz="4" w:space="0" w:color="auto"/>
            </w:tcBorders>
            <w:shd w:val="clear" w:color="auto" w:fill="auto"/>
            <w:noWrap/>
            <w:vAlign w:val="bottom"/>
            <w:hideMark/>
          </w:tcPr>
          <w:p w14:paraId="568E6B4B"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72</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30B710C3"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99</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48E563F5"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B7F433A"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MSK</w:t>
            </w:r>
          </w:p>
        </w:tc>
        <w:tc>
          <w:tcPr>
            <w:tcW w:w="2965" w:type="dxa"/>
            <w:tcBorders>
              <w:top w:val="nil"/>
              <w:left w:val="nil"/>
              <w:bottom w:val="single" w:sz="4" w:space="0" w:color="auto"/>
              <w:right w:val="single" w:sz="4" w:space="0" w:color="auto"/>
            </w:tcBorders>
            <w:shd w:val="clear" w:color="auto" w:fill="auto"/>
            <w:noWrap/>
            <w:vAlign w:val="bottom"/>
            <w:hideMark/>
          </w:tcPr>
          <w:p w14:paraId="2C42C24B"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38</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18246FE5"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94</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7BC0A6D1"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3387796" w14:textId="77777777" w:rsidR="00393DDB" w:rsidRPr="00F3106C" w:rsidRDefault="001C0690"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PAK</w:t>
            </w:r>
          </w:p>
        </w:tc>
        <w:tc>
          <w:tcPr>
            <w:tcW w:w="2965" w:type="dxa"/>
            <w:tcBorders>
              <w:top w:val="nil"/>
              <w:left w:val="nil"/>
              <w:bottom w:val="single" w:sz="4" w:space="0" w:color="auto"/>
              <w:right w:val="single" w:sz="4" w:space="0" w:color="auto"/>
            </w:tcBorders>
            <w:shd w:val="clear" w:color="auto" w:fill="auto"/>
            <w:noWrap/>
            <w:vAlign w:val="bottom"/>
            <w:hideMark/>
          </w:tcPr>
          <w:p w14:paraId="48507734"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85</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51F9EB31"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97</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6FC23997"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8CC8EF9"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SSMSK</w:t>
            </w:r>
          </w:p>
        </w:tc>
        <w:tc>
          <w:tcPr>
            <w:tcW w:w="2965" w:type="dxa"/>
            <w:tcBorders>
              <w:top w:val="nil"/>
              <w:left w:val="nil"/>
              <w:bottom w:val="single" w:sz="4" w:space="0" w:color="auto"/>
              <w:right w:val="single" w:sz="4" w:space="0" w:color="auto"/>
            </w:tcBorders>
            <w:shd w:val="clear" w:color="auto" w:fill="auto"/>
            <w:noWrap/>
            <w:vAlign w:val="bottom"/>
            <w:hideMark/>
          </w:tcPr>
          <w:p w14:paraId="4A95A16D"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41</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695EAA90"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101</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02C75009"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928498C"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w:t>
            </w:r>
            <w:r w:rsidR="001C0690" w:rsidRPr="00F3106C">
              <w:rPr>
                <w:rFonts w:ascii="Calibri" w:eastAsia="Times New Roman" w:hAnsi="Calibri" w:cs="Calibri"/>
                <w:color w:val="000000"/>
                <w:sz w:val="20"/>
                <w:szCs w:val="20"/>
                <w:lang w:eastAsia="cs-CZ"/>
              </w:rPr>
              <w:t>PAK</w:t>
            </w:r>
          </w:p>
        </w:tc>
        <w:tc>
          <w:tcPr>
            <w:tcW w:w="2965" w:type="dxa"/>
            <w:tcBorders>
              <w:top w:val="nil"/>
              <w:left w:val="nil"/>
              <w:bottom w:val="single" w:sz="4" w:space="0" w:color="auto"/>
              <w:right w:val="single" w:sz="4" w:space="0" w:color="auto"/>
            </w:tcBorders>
            <w:shd w:val="clear" w:color="auto" w:fill="auto"/>
            <w:noWrap/>
            <w:vAlign w:val="bottom"/>
            <w:hideMark/>
          </w:tcPr>
          <w:p w14:paraId="699A44B7"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94</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5E4B1DE9"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100</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r w:rsidR="00393DDB" w:rsidRPr="00F3106C" w14:paraId="078687C7"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3561B53" w14:textId="77777777" w:rsidR="00393DDB" w:rsidRPr="00F3106C" w:rsidRDefault="00393DDB" w:rsidP="00F3106C">
            <w:pPr>
              <w:spacing w:after="0" w:line="240" w:lineRule="auto"/>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SÚSPK</w:t>
            </w:r>
          </w:p>
        </w:tc>
        <w:tc>
          <w:tcPr>
            <w:tcW w:w="2965" w:type="dxa"/>
            <w:tcBorders>
              <w:top w:val="nil"/>
              <w:left w:val="nil"/>
              <w:bottom w:val="single" w:sz="4" w:space="0" w:color="auto"/>
              <w:right w:val="single" w:sz="4" w:space="0" w:color="auto"/>
            </w:tcBorders>
            <w:shd w:val="clear" w:color="auto" w:fill="auto"/>
            <w:noWrap/>
            <w:vAlign w:val="bottom"/>
            <w:hideMark/>
          </w:tcPr>
          <w:p w14:paraId="0962FF86" w14:textId="77777777" w:rsidR="00393DDB" w:rsidRPr="00F3106C" w:rsidRDefault="00393DDB" w:rsidP="00F3106C">
            <w:pPr>
              <w:spacing w:after="0" w:line="240" w:lineRule="auto"/>
              <w:jc w:val="center"/>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48</w:t>
            </w:r>
            <w:r w:rsidR="00995C79">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c>
          <w:tcPr>
            <w:tcW w:w="2965" w:type="dxa"/>
            <w:tcBorders>
              <w:top w:val="nil"/>
              <w:left w:val="nil"/>
              <w:bottom w:val="single" w:sz="4" w:space="0" w:color="auto"/>
              <w:right w:val="single" w:sz="4" w:space="0" w:color="auto"/>
            </w:tcBorders>
            <w:shd w:val="clear" w:color="auto" w:fill="auto"/>
            <w:noWrap/>
            <w:vAlign w:val="center"/>
            <w:hideMark/>
          </w:tcPr>
          <w:p w14:paraId="35F15CEC" w14:textId="77777777" w:rsidR="00393DDB" w:rsidRPr="00F3106C" w:rsidRDefault="00393DDB" w:rsidP="00995C79">
            <w:pPr>
              <w:spacing w:after="0" w:line="240" w:lineRule="auto"/>
              <w:ind w:right="1173"/>
              <w:jc w:val="right"/>
              <w:rPr>
                <w:rFonts w:ascii="Calibri" w:eastAsia="Times New Roman" w:hAnsi="Calibri" w:cs="Calibri"/>
                <w:color w:val="000000"/>
                <w:sz w:val="20"/>
                <w:szCs w:val="20"/>
                <w:lang w:eastAsia="cs-CZ"/>
              </w:rPr>
            </w:pPr>
            <w:r w:rsidRPr="00F3106C">
              <w:rPr>
                <w:rFonts w:ascii="Calibri" w:eastAsia="Times New Roman" w:hAnsi="Calibri" w:cs="Calibri"/>
                <w:color w:val="000000"/>
                <w:sz w:val="20"/>
                <w:szCs w:val="20"/>
                <w:lang w:eastAsia="cs-CZ"/>
              </w:rPr>
              <w:t>98</w:t>
            </w:r>
            <w:r w:rsidR="008A7C1F">
              <w:rPr>
                <w:rFonts w:ascii="Calibri" w:eastAsia="Times New Roman" w:hAnsi="Calibri" w:cs="Calibri"/>
                <w:color w:val="000000"/>
                <w:sz w:val="20"/>
                <w:szCs w:val="20"/>
                <w:lang w:eastAsia="cs-CZ"/>
              </w:rPr>
              <w:t> </w:t>
            </w:r>
            <w:r w:rsidRPr="00F3106C">
              <w:rPr>
                <w:rFonts w:ascii="Calibri" w:eastAsia="Times New Roman" w:hAnsi="Calibri" w:cs="Calibri"/>
                <w:color w:val="000000"/>
                <w:sz w:val="20"/>
                <w:szCs w:val="20"/>
                <w:lang w:eastAsia="cs-CZ"/>
              </w:rPr>
              <w:t>%</w:t>
            </w:r>
          </w:p>
        </w:tc>
      </w:tr>
    </w:tbl>
    <w:p w14:paraId="4F13A00E" w14:textId="1A62EAA0" w:rsidR="00393DDB" w:rsidRPr="00393DDB" w:rsidRDefault="00393DDB" w:rsidP="00064D6C">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995C79">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3EF00CDB" w14:textId="77777777" w:rsidR="00393DDB" w:rsidRDefault="00393DDB" w:rsidP="00F3106C">
      <w:pPr>
        <w:spacing w:after="0" w:line="240" w:lineRule="auto"/>
        <w:jc w:val="both"/>
        <w:rPr>
          <w:rFonts w:eastAsia="Times New Roman" w:cs="Calibri"/>
          <w:sz w:val="24"/>
          <w:szCs w:val="24"/>
          <w:lang w:eastAsia="cs-CZ"/>
        </w:rPr>
      </w:pPr>
    </w:p>
    <w:p w14:paraId="1A2A0A3F" w14:textId="77777777" w:rsidR="00393DDB" w:rsidRPr="00393DDB" w:rsidRDefault="00393DDB" w:rsidP="00F3106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Situaci ilustruje rovněž graf č. 2.</w:t>
      </w:r>
    </w:p>
    <w:p w14:paraId="59D7E0D0" w14:textId="77777777" w:rsidR="00D63525" w:rsidRDefault="00D63525" w:rsidP="00F3106C">
      <w:pPr>
        <w:spacing w:after="0" w:line="240" w:lineRule="auto"/>
        <w:jc w:val="both"/>
        <w:rPr>
          <w:rFonts w:eastAsia="Times New Roman" w:cs="Calibri"/>
          <w:sz w:val="24"/>
          <w:szCs w:val="24"/>
          <w:lang w:eastAsia="cs-CZ"/>
        </w:rPr>
      </w:pPr>
    </w:p>
    <w:p w14:paraId="49D861CE" w14:textId="77777777" w:rsidR="00393DDB" w:rsidRPr="001A4511" w:rsidRDefault="001A4511" w:rsidP="00F3106C">
      <w:pPr>
        <w:keepNext/>
        <w:spacing w:after="0" w:line="240" w:lineRule="auto"/>
        <w:jc w:val="both"/>
        <w:rPr>
          <w:rFonts w:eastAsia="Times New Roman" w:cs="Calibri"/>
          <w:b/>
          <w:sz w:val="24"/>
          <w:szCs w:val="24"/>
          <w:lang w:eastAsia="cs-CZ"/>
        </w:rPr>
      </w:pPr>
      <w:r w:rsidRPr="001A4511">
        <w:rPr>
          <w:rFonts w:eastAsia="Times New Roman" w:cs="Calibri"/>
          <w:noProof/>
          <w:sz w:val="24"/>
          <w:szCs w:val="24"/>
          <w:lang w:eastAsia="cs-CZ"/>
        </w:rPr>
        <w:lastRenderedPageBreak/>
        <w:drawing>
          <wp:anchor distT="0" distB="0" distL="114300" distR="114300" simplePos="0" relativeHeight="251662336" behindDoc="0" locked="0" layoutInCell="1" allowOverlap="1" wp14:anchorId="245A1A7D" wp14:editId="2FB6FB43">
            <wp:simplePos x="0" y="0"/>
            <wp:positionH relativeFrom="column">
              <wp:posOffset>-1270</wp:posOffset>
            </wp:positionH>
            <wp:positionV relativeFrom="paragraph">
              <wp:posOffset>249665</wp:posOffset>
            </wp:positionV>
            <wp:extent cx="5701086" cy="2699385"/>
            <wp:effectExtent l="0" t="0" r="0" b="5715"/>
            <wp:wrapTopAndBottom/>
            <wp:docPr id="18" name="Obrázek 18" descr="H:\KOREKTURY\graf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OREKTURY\graf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1086"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DDB" w:rsidRPr="00054EE5">
        <w:rPr>
          <w:rFonts w:eastAsia="Times New Roman" w:cs="Calibri"/>
          <w:b/>
          <w:sz w:val="24"/>
          <w:szCs w:val="24"/>
          <w:lang w:eastAsia="cs-CZ"/>
        </w:rPr>
        <w:t>Graf č. 2</w:t>
      </w:r>
      <w:r w:rsidR="001C4C5F">
        <w:rPr>
          <w:rFonts w:eastAsia="Times New Roman" w:cs="Calibri"/>
          <w:b/>
          <w:sz w:val="24"/>
          <w:szCs w:val="24"/>
          <w:lang w:eastAsia="cs-CZ"/>
        </w:rPr>
        <w:t xml:space="preserve"> – Poměr nabídkové a předpokládané ceny veřejné zakázky</w:t>
      </w:r>
    </w:p>
    <w:p w14:paraId="0D2CF84D" w14:textId="77777777" w:rsidR="00393DDB" w:rsidRPr="00393DDB" w:rsidRDefault="00393DDB" w:rsidP="00393DDB">
      <w:pPr>
        <w:spacing w:after="0" w:line="240" w:lineRule="auto"/>
        <w:jc w:val="both"/>
        <w:rPr>
          <w:rFonts w:eastAsia="Times New Roman" w:cs="Calibri"/>
          <w:sz w:val="24"/>
          <w:szCs w:val="24"/>
          <w:lang w:eastAsia="cs-CZ"/>
        </w:rPr>
      </w:pPr>
    </w:p>
    <w:p w14:paraId="113E5AFF" w14:textId="4D5F8505" w:rsidR="00393DDB" w:rsidRPr="00393DDB" w:rsidRDefault="00F1386D" w:rsidP="00393DDB">
      <w:pPr>
        <w:spacing w:after="0" w:line="240" w:lineRule="auto"/>
        <w:jc w:val="both"/>
        <w:rPr>
          <w:rFonts w:eastAsia="Times New Roman" w:cs="Calibri"/>
          <w:sz w:val="24"/>
          <w:szCs w:val="24"/>
          <w:lang w:eastAsia="cs-CZ"/>
        </w:rPr>
      </w:pPr>
      <w:r>
        <w:rPr>
          <w:rFonts w:eastAsia="Times New Roman" w:cs="Calibri"/>
          <w:sz w:val="24"/>
          <w:szCs w:val="24"/>
          <w:lang w:eastAsia="cs-CZ"/>
        </w:rPr>
        <w:t>V</w:t>
      </w:r>
      <w:r w:rsidR="00393DDB" w:rsidRPr="00393DDB">
        <w:rPr>
          <w:rFonts w:eastAsia="Times New Roman" w:cs="Calibri"/>
          <w:sz w:val="24"/>
          <w:szCs w:val="24"/>
          <w:lang w:eastAsia="cs-CZ"/>
        </w:rPr>
        <w:t>ýrazně nižší cen</w:t>
      </w:r>
      <w:r>
        <w:rPr>
          <w:rFonts w:eastAsia="Times New Roman" w:cs="Calibri"/>
          <w:sz w:val="24"/>
          <w:szCs w:val="24"/>
          <w:lang w:eastAsia="cs-CZ"/>
        </w:rPr>
        <w:t>y</w:t>
      </w:r>
      <w:r w:rsidR="00393DDB" w:rsidRPr="00393DDB">
        <w:rPr>
          <w:rFonts w:eastAsia="Times New Roman" w:cs="Calibri"/>
          <w:sz w:val="24"/>
          <w:szCs w:val="24"/>
          <w:lang w:eastAsia="cs-CZ"/>
        </w:rPr>
        <w:t xml:space="preserve"> vítězných nabídek oproti předpokládaným hodnotám </w:t>
      </w:r>
      <w:r w:rsidR="006D4D80">
        <w:rPr>
          <w:rFonts w:eastAsia="Times New Roman" w:cs="Calibri"/>
          <w:sz w:val="24"/>
          <w:szCs w:val="24"/>
          <w:lang w:eastAsia="cs-CZ"/>
        </w:rPr>
        <w:t xml:space="preserve">veřejné </w:t>
      </w:r>
      <w:r w:rsidR="00393DDB" w:rsidRPr="00393DDB">
        <w:rPr>
          <w:rFonts w:eastAsia="Times New Roman" w:cs="Calibri"/>
          <w:sz w:val="24"/>
          <w:szCs w:val="24"/>
          <w:lang w:eastAsia="cs-CZ"/>
        </w:rPr>
        <w:t xml:space="preserve">zakázky (v některých případech o více než 50 %) měly svou příčinu mj. v konkurenčním prostředí v oblasti stavebních prací. Z tohoto výsledku se vymykalo porovnání u kontrolovaných osob </w:t>
      </w:r>
      <w:r w:rsidR="001C0690">
        <w:rPr>
          <w:rFonts w:eastAsia="Times New Roman" w:cs="Calibri"/>
          <w:sz w:val="24"/>
          <w:szCs w:val="24"/>
          <w:lang w:eastAsia="cs-CZ"/>
        </w:rPr>
        <w:t>PAK</w:t>
      </w:r>
      <w:r w:rsidR="00393DDB" w:rsidRPr="00393DDB">
        <w:rPr>
          <w:rFonts w:eastAsia="Times New Roman" w:cs="Calibri"/>
          <w:sz w:val="24"/>
          <w:szCs w:val="24"/>
          <w:lang w:eastAsia="cs-CZ"/>
        </w:rPr>
        <w:t xml:space="preserve"> a SÚS</w:t>
      </w:r>
      <w:r w:rsidR="001C0690">
        <w:rPr>
          <w:rFonts w:eastAsia="Times New Roman" w:cs="Calibri"/>
          <w:sz w:val="24"/>
          <w:szCs w:val="24"/>
          <w:lang w:eastAsia="cs-CZ"/>
        </w:rPr>
        <w:t>PAK</w:t>
      </w:r>
      <w:r w:rsidR="00393DDB" w:rsidRPr="00393DDB">
        <w:rPr>
          <w:rFonts w:eastAsia="Times New Roman" w:cs="Calibri"/>
          <w:sz w:val="24"/>
          <w:szCs w:val="24"/>
          <w:lang w:eastAsia="cs-CZ"/>
        </w:rPr>
        <w:t xml:space="preserve">, kde ceny vítězných nabídek u stavebních </w:t>
      </w:r>
      <w:r w:rsidR="006D4D80">
        <w:rPr>
          <w:rFonts w:eastAsia="Times New Roman" w:cs="Calibri"/>
          <w:sz w:val="24"/>
          <w:szCs w:val="24"/>
          <w:lang w:eastAsia="cs-CZ"/>
        </w:rPr>
        <w:t xml:space="preserve">veřejných </w:t>
      </w:r>
      <w:r w:rsidR="00393DDB" w:rsidRPr="00393DDB">
        <w:rPr>
          <w:rFonts w:eastAsia="Times New Roman" w:cs="Calibri"/>
          <w:sz w:val="24"/>
          <w:szCs w:val="24"/>
          <w:lang w:eastAsia="cs-CZ"/>
        </w:rPr>
        <w:t xml:space="preserve">zakázek dosahovaly 85 % předpokládaných hodnot. V jednom případě stavební </w:t>
      </w:r>
      <w:r w:rsidR="006D4D80">
        <w:rPr>
          <w:rFonts w:eastAsia="Times New Roman" w:cs="Calibri"/>
          <w:sz w:val="24"/>
          <w:szCs w:val="24"/>
          <w:lang w:eastAsia="cs-CZ"/>
        </w:rPr>
        <w:t xml:space="preserve">veřejné </w:t>
      </w:r>
      <w:r w:rsidR="00393DDB" w:rsidRPr="00393DDB">
        <w:rPr>
          <w:rFonts w:eastAsia="Times New Roman" w:cs="Calibri"/>
          <w:sz w:val="24"/>
          <w:szCs w:val="24"/>
          <w:lang w:eastAsia="cs-CZ"/>
        </w:rPr>
        <w:t xml:space="preserve">zakázky na opravu mostu se ceny všech podaných nabídek (celkem 6) pohybovaly nad 99 % předpokládané hodnoty </w:t>
      </w:r>
      <w:r w:rsidR="006D4D80">
        <w:rPr>
          <w:rFonts w:eastAsia="Times New Roman" w:cs="Calibri"/>
          <w:sz w:val="24"/>
          <w:szCs w:val="24"/>
          <w:lang w:eastAsia="cs-CZ"/>
        </w:rPr>
        <w:t xml:space="preserve">veřejné </w:t>
      </w:r>
      <w:r w:rsidR="00393DDB" w:rsidRPr="00393DDB">
        <w:rPr>
          <w:rFonts w:eastAsia="Times New Roman" w:cs="Calibri"/>
          <w:sz w:val="24"/>
          <w:szCs w:val="24"/>
          <w:lang w:eastAsia="cs-CZ"/>
        </w:rPr>
        <w:t xml:space="preserve">zakázky. Naproti tomu u příjemce </w:t>
      </w:r>
      <w:r w:rsidR="001C0690">
        <w:rPr>
          <w:rFonts w:eastAsia="Times New Roman" w:cs="Calibri"/>
          <w:sz w:val="24"/>
          <w:szCs w:val="24"/>
          <w:lang w:eastAsia="cs-CZ"/>
        </w:rPr>
        <w:t>PAK</w:t>
      </w:r>
      <w:r w:rsidR="00393DDB" w:rsidRPr="00393DDB">
        <w:rPr>
          <w:rFonts w:eastAsia="Times New Roman" w:cs="Calibri"/>
          <w:sz w:val="24"/>
          <w:szCs w:val="24"/>
          <w:lang w:eastAsia="cs-CZ"/>
        </w:rPr>
        <w:t xml:space="preserve"> byly kontrolovány 2 </w:t>
      </w:r>
      <w:r w:rsidR="006D4D80">
        <w:rPr>
          <w:rFonts w:eastAsia="Times New Roman" w:cs="Calibri"/>
          <w:sz w:val="24"/>
          <w:szCs w:val="24"/>
          <w:lang w:eastAsia="cs-CZ"/>
        </w:rPr>
        <w:t xml:space="preserve">veřejné </w:t>
      </w:r>
      <w:r w:rsidR="00393DDB" w:rsidRPr="00393DDB">
        <w:rPr>
          <w:rFonts w:eastAsia="Times New Roman" w:cs="Calibri"/>
          <w:sz w:val="24"/>
          <w:szCs w:val="24"/>
          <w:lang w:eastAsia="cs-CZ"/>
        </w:rPr>
        <w:t xml:space="preserve">zakázky nestavebního charakteru na poskytování služeb spojených s administrací výběrových řízení, u nichž dosáhly ceny vítězných nabídek úrovně 32 % a 29,5 % předpokládaných hodnot </w:t>
      </w:r>
      <w:r w:rsidR="006D4D80">
        <w:rPr>
          <w:rFonts w:eastAsia="Times New Roman" w:cs="Calibri"/>
          <w:sz w:val="24"/>
          <w:szCs w:val="24"/>
          <w:lang w:eastAsia="cs-CZ"/>
        </w:rPr>
        <w:t xml:space="preserve">veřejné </w:t>
      </w:r>
      <w:r w:rsidR="00393DDB" w:rsidRPr="00393DDB">
        <w:rPr>
          <w:rFonts w:eastAsia="Times New Roman" w:cs="Calibri"/>
          <w:sz w:val="24"/>
          <w:szCs w:val="24"/>
          <w:lang w:eastAsia="cs-CZ"/>
        </w:rPr>
        <w:t>zakáz</w:t>
      </w:r>
      <w:r>
        <w:rPr>
          <w:rFonts w:eastAsia="Times New Roman" w:cs="Calibri"/>
          <w:sz w:val="24"/>
          <w:szCs w:val="24"/>
          <w:lang w:eastAsia="cs-CZ"/>
        </w:rPr>
        <w:t>ky</w:t>
      </w:r>
      <w:r w:rsidR="00393DDB" w:rsidRPr="00393DDB">
        <w:rPr>
          <w:rFonts w:eastAsia="Times New Roman" w:cs="Calibri"/>
          <w:sz w:val="24"/>
          <w:szCs w:val="24"/>
          <w:lang w:eastAsia="cs-CZ"/>
        </w:rPr>
        <w:t xml:space="preserve"> a rozdíl mezi nejvyšší a nejnižší nabídkovou cenou dosáhl 253 %, resp. 436 %.</w:t>
      </w:r>
    </w:p>
    <w:p w14:paraId="2035A4E2" w14:textId="77777777" w:rsidR="00393DDB" w:rsidRPr="00393DDB" w:rsidRDefault="00393DDB" w:rsidP="00393DDB">
      <w:pPr>
        <w:spacing w:after="0" w:line="240" w:lineRule="auto"/>
        <w:jc w:val="both"/>
        <w:rPr>
          <w:rFonts w:eastAsia="Times New Roman" w:cs="Calibri"/>
          <w:sz w:val="24"/>
          <w:szCs w:val="24"/>
          <w:lang w:eastAsia="cs-CZ"/>
        </w:rPr>
      </w:pPr>
    </w:p>
    <w:p w14:paraId="45032713" w14:textId="77777777" w:rsidR="00393DDB" w:rsidRPr="00054EE5" w:rsidRDefault="00393DDB" w:rsidP="00393DDB">
      <w:pPr>
        <w:spacing w:after="0" w:line="240" w:lineRule="auto"/>
        <w:jc w:val="both"/>
        <w:rPr>
          <w:rFonts w:eastAsia="Times New Roman" w:cs="Calibri"/>
          <w:sz w:val="24"/>
          <w:szCs w:val="24"/>
          <w:lang w:eastAsia="cs-CZ"/>
        </w:rPr>
      </w:pPr>
      <w:r w:rsidRPr="00054EE5">
        <w:rPr>
          <w:rFonts w:eastAsia="Times New Roman" w:cs="Calibri"/>
          <w:sz w:val="24"/>
          <w:szCs w:val="24"/>
          <w:lang w:eastAsia="cs-CZ"/>
        </w:rPr>
        <w:t xml:space="preserve">Kontrolou NKÚ bylo zjištěno, že v převážné většině případů byla předpokládaná hodnota </w:t>
      </w:r>
      <w:r w:rsidR="006D4D80" w:rsidRPr="00054EE5">
        <w:rPr>
          <w:rFonts w:eastAsia="Times New Roman" w:cs="Calibri"/>
          <w:sz w:val="24"/>
          <w:szCs w:val="24"/>
          <w:lang w:eastAsia="cs-CZ"/>
        </w:rPr>
        <w:t xml:space="preserve">veřejných </w:t>
      </w:r>
      <w:r w:rsidRPr="00054EE5">
        <w:rPr>
          <w:rFonts w:eastAsia="Times New Roman" w:cs="Calibri"/>
          <w:sz w:val="24"/>
          <w:szCs w:val="24"/>
          <w:lang w:eastAsia="cs-CZ"/>
        </w:rPr>
        <w:t>zakázek stanovena projektantem s využitím cenových databází a číselníků ÚRS a</w:t>
      </w:r>
      <w:r w:rsidR="00115EEF" w:rsidRPr="00054EE5">
        <w:rPr>
          <w:rFonts w:eastAsia="Times New Roman" w:cs="Calibri"/>
          <w:sz w:val="24"/>
          <w:szCs w:val="24"/>
          <w:lang w:eastAsia="cs-CZ"/>
        </w:rPr>
        <w:t> </w:t>
      </w:r>
      <w:r w:rsidRPr="00054EE5">
        <w:rPr>
          <w:rFonts w:eastAsia="Times New Roman" w:cs="Calibri"/>
          <w:sz w:val="24"/>
          <w:szCs w:val="24"/>
          <w:lang w:eastAsia="cs-CZ"/>
        </w:rPr>
        <w:t xml:space="preserve">dalších zpracovatelů. Vzhledem k tomu, že uvedené číselníky a cenové databáze obvykle obsahují cenové rozsahy pro ocenění materiálů a prací, nevypovídá o dostatečně konkurenčním prostředí pouze hodnota rozdílu mezi předpokládanou hodnotou </w:t>
      </w:r>
      <w:r w:rsidR="006D4D80" w:rsidRPr="00054EE5">
        <w:rPr>
          <w:rFonts w:eastAsia="Times New Roman" w:cs="Calibri"/>
          <w:sz w:val="24"/>
          <w:szCs w:val="24"/>
          <w:lang w:eastAsia="cs-CZ"/>
        </w:rPr>
        <w:t xml:space="preserve">veřejné </w:t>
      </w:r>
      <w:r w:rsidRPr="00054EE5">
        <w:rPr>
          <w:rFonts w:eastAsia="Times New Roman" w:cs="Calibri"/>
          <w:sz w:val="24"/>
          <w:szCs w:val="24"/>
          <w:lang w:eastAsia="cs-CZ"/>
        </w:rPr>
        <w:t>zakázky a vítěznou nabídkovou cenou, ale rovněž rozptyl v cenách všech podaných nabídek.</w:t>
      </w:r>
    </w:p>
    <w:p w14:paraId="24FEEDDA" w14:textId="77777777" w:rsidR="00393DDB" w:rsidRPr="00F1386D" w:rsidRDefault="00393DDB" w:rsidP="00393DDB">
      <w:pPr>
        <w:spacing w:after="0" w:line="240" w:lineRule="auto"/>
        <w:jc w:val="both"/>
        <w:rPr>
          <w:rFonts w:eastAsia="Times New Roman" w:cs="Calibri"/>
          <w:sz w:val="24"/>
          <w:szCs w:val="24"/>
          <w:lang w:eastAsia="cs-CZ"/>
        </w:rPr>
      </w:pPr>
    </w:p>
    <w:p w14:paraId="62F797E3" w14:textId="62A524A2" w:rsidR="00393DDB" w:rsidRPr="00054EE5" w:rsidRDefault="00393DDB" w:rsidP="00393DDB">
      <w:pPr>
        <w:spacing w:after="0" w:line="240" w:lineRule="auto"/>
        <w:jc w:val="both"/>
        <w:rPr>
          <w:rFonts w:eastAsia="Times New Roman" w:cs="Calibri"/>
          <w:sz w:val="24"/>
          <w:szCs w:val="24"/>
          <w:lang w:eastAsia="cs-CZ"/>
        </w:rPr>
      </w:pPr>
      <w:r w:rsidRPr="00054EE5">
        <w:rPr>
          <w:rFonts w:eastAsia="Times New Roman" w:cs="Calibri"/>
          <w:sz w:val="24"/>
          <w:szCs w:val="24"/>
          <w:lang w:eastAsia="cs-CZ"/>
        </w:rPr>
        <w:t xml:space="preserve">Velké rozdíly </w:t>
      </w:r>
      <w:r w:rsidR="00F1386D">
        <w:rPr>
          <w:rFonts w:eastAsia="Times New Roman" w:cs="Calibri"/>
          <w:sz w:val="24"/>
          <w:szCs w:val="24"/>
          <w:lang w:eastAsia="cs-CZ"/>
        </w:rPr>
        <w:t>mezi</w:t>
      </w:r>
      <w:r w:rsidRPr="00054EE5">
        <w:rPr>
          <w:rFonts w:eastAsia="Times New Roman" w:cs="Calibri"/>
          <w:sz w:val="24"/>
          <w:szCs w:val="24"/>
          <w:lang w:eastAsia="cs-CZ"/>
        </w:rPr>
        <w:t xml:space="preserve"> </w:t>
      </w:r>
      <w:r w:rsidR="00DC7BB1" w:rsidRPr="00054EE5">
        <w:rPr>
          <w:rFonts w:eastAsia="Times New Roman" w:cs="Calibri"/>
          <w:sz w:val="24"/>
          <w:szCs w:val="24"/>
          <w:lang w:eastAsia="cs-CZ"/>
        </w:rPr>
        <w:t>min</w:t>
      </w:r>
      <w:r w:rsidR="00624159" w:rsidRPr="00054EE5">
        <w:rPr>
          <w:rFonts w:eastAsia="Times New Roman" w:cs="Calibri"/>
          <w:sz w:val="24"/>
          <w:szCs w:val="24"/>
          <w:lang w:eastAsia="cs-CZ"/>
        </w:rPr>
        <w:t>.</w:t>
      </w:r>
      <w:r w:rsidRPr="00054EE5">
        <w:rPr>
          <w:rFonts w:eastAsia="Times New Roman" w:cs="Calibri"/>
          <w:sz w:val="24"/>
          <w:szCs w:val="24"/>
          <w:lang w:eastAsia="cs-CZ"/>
        </w:rPr>
        <w:t xml:space="preserve"> a </w:t>
      </w:r>
      <w:r w:rsidR="00DC7BB1" w:rsidRPr="00054EE5">
        <w:rPr>
          <w:rFonts w:eastAsia="Times New Roman" w:cs="Calibri"/>
          <w:sz w:val="24"/>
          <w:szCs w:val="24"/>
          <w:lang w:eastAsia="cs-CZ"/>
        </w:rPr>
        <w:t>max</w:t>
      </w:r>
      <w:r w:rsidR="00624159" w:rsidRPr="00054EE5">
        <w:rPr>
          <w:rFonts w:eastAsia="Times New Roman" w:cs="Calibri"/>
          <w:sz w:val="24"/>
          <w:szCs w:val="24"/>
          <w:lang w:eastAsia="cs-CZ"/>
        </w:rPr>
        <w:t>.</w:t>
      </w:r>
      <w:r w:rsidR="00F1386D">
        <w:rPr>
          <w:rFonts w:eastAsia="Times New Roman" w:cs="Calibri"/>
          <w:sz w:val="24"/>
          <w:szCs w:val="24"/>
          <w:lang w:eastAsia="cs-CZ"/>
        </w:rPr>
        <w:t xml:space="preserve"> hodnotami</w:t>
      </w:r>
      <w:r w:rsidRPr="00054EE5">
        <w:rPr>
          <w:rFonts w:eastAsia="Times New Roman" w:cs="Calibri"/>
          <w:sz w:val="24"/>
          <w:szCs w:val="24"/>
          <w:lang w:eastAsia="cs-CZ"/>
        </w:rPr>
        <w:t xml:space="preserve"> ukazují také na nesystematickou práci s předpokládanými hodnotami </w:t>
      </w:r>
      <w:r w:rsidR="006D4D80" w:rsidRPr="00054EE5">
        <w:rPr>
          <w:rFonts w:eastAsia="Times New Roman" w:cs="Calibri"/>
          <w:sz w:val="24"/>
          <w:szCs w:val="24"/>
          <w:lang w:eastAsia="cs-CZ"/>
        </w:rPr>
        <w:t xml:space="preserve">veřejných </w:t>
      </w:r>
      <w:r w:rsidRPr="00054EE5">
        <w:rPr>
          <w:rFonts w:eastAsia="Times New Roman" w:cs="Calibri"/>
          <w:sz w:val="24"/>
          <w:szCs w:val="24"/>
          <w:lang w:eastAsia="cs-CZ"/>
        </w:rPr>
        <w:t xml:space="preserve">zakázek. Protože kontrolované osoby ve většině kontrolovaných případů ponechaly stanovení předpokládané hodnoty na zpracovatelích projektové dokumentace, vedla tato praxe k tomu, že ke stanovení předpokládané hodnoty </w:t>
      </w:r>
      <w:r w:rsidR="006D4D80" w:rsidRPr="00054EE5">
        <w:rPr>
          <w:rFonts w:eastAsia="Times New Roman" w:cs="Calibri"/>
          <w:sz w:val="24"/>
          <w:szCs w:val="24"/>
          <w:lang w:eastAsia="cs-CZ"/>
        </w:rPr>
        <w:t xml:space="preserve">veřejné </w:t>
      </w:r>
      <w:r w:rsidRPr="00054EE5">
        <w:rPr>
          <w:rFonts w:eastAsia="Times New Roman" w:cs="Calibri"/>
          <w:sz w:val="24"/>
          <w:szCs w:val="24"/>
          <w:lang w:eastAsia="cs-CZ"/>
        </w:rPr>
        <w:t xml:space="preserve">zakázky byly použity různé ceny v rámci rozsahu daného číselníku. Případy velkého poklesu nabídkových cen oproti předpokládaným hodnotám </w:t>
      </w:r>
      <w:r w:rsidR="006D4D80" w:rsidRPr="00054EE5">
        <w:rPr>
          <w:rFonts w:eastAsia="Times New Roman" w:cs="Calibri"/>
          <w:sz w:val="24"/>
          <w:szCs w:val="24"/>
          <w:lang w:eastAsia="cs-CZ"/>
        </w:rPr>
        <w:t xml:space="preserve">veřejné </w:t>
      </w:r>
      <w:r w:rsidRPr="00054EE5">
        <w:rPr>
          <w:rFonts w:eastAsia="Times New Roman" w:cs="Calibri"/>
          <w:sz w:val="24"/>
          <w:szCs w:val="24"/>
          <w:lang w:eastAsia="cs-CZ"/>
        </w:rPr>
        <w:t>zakázky pak nemusí znamenat hospodárné využití peněžních prostředků, ale pouze nesprávně stanovenou hodnot</w:t>
      </w:r>
      <w:r w:rsidR="007323B0" w:rsidRPr="00054EE5">
        <w:rPr>
          <w:rFonts w:eastAsia="Times New Roman" w:cs="Calibri"/>
          <w:sz w:val="24"/>
          <w:szCs w:val="24"/>
          <w:lang w:eastAsia="cs-CZ"/>
        </w:rPr>
        <w:t>o</w:t>
      </w:r>
      <w:r w:rsidRPr="00054EE5">
        <w:rPr>
          <w:rFonts w:eastAsia="Times New Roman" w:cs="Calibri"/>
          <w:sz w:val="24"/>
          <w:szCs w:val="24"/>
          <w:lang w:eastAsia="cs-CZ"/>
        </w:rPr>
        <w:t>u</w:t>
      </w:r>
      <w:r w:rsidR="007323B0" w:rsidRPr="00054EE5">
        <w:rPr>
          <w:rFonts w:eastAsia="Times New Roman" w:cs="Calibri"/>
          <w:sz w:val="24"/>
          <w:szCs w:val="24"/>
          <w:lang w:eastAsia="cs-CZ"/>
        </w:rPr>
        <w:t xml:space="preserve"> veřejné zakázky</w:t>
      </w:r>
      <w:r w:rsidRPr="00054EE5">
        <w:rPr>
          <w:rFonts w:eastAsia="Times New Roman" w:cs="Calibri"/>
          <w:sz w:val="24"/>
          <w:szCs w:val="24"/>
          <w:lang w:eastAsia="cs-CZ"/>
        </w:rPr>
        <w:t>.</w:t>
      </w:r>
    </w:p>
    <w:p w14:paraId="4F8ADB8C" w14:textId="77777777" w:rsidR="00BE07FA" w:rsidRPr="00393DDB" w:rsidRDefault="00BE07FA" w:rsidP="00393DDB">
      <w:pPr>
        <w:spacing w:after="0" w:line="240" w:lineRule="auto"/>
        <w:jc w:val="both"/>
        <w:rPr>
          <w:rFonts w:eastAsia="Times New Roman" w:cs="Calibri"/>
          <w:sz w:val="24"/>
          <w:szCs w:val="24"/>
          <w:lang w:eastAsia="cs-CZ"/>
        </w:rPr>
      </w:pPr>
    </w:p>
    <w:p w14:paraId="1D155BE9" w14:textId="77777777" w:rsidR="00393DDB" w:rsidRPr="00393DDB" w:rsidRDefault="00393DDB" w:rsidP="00064D6C">
      <w:pPr>
        <w:keepNext/>
        <w:spacing w:after="0" w:line="240" w:lineRule="auto"/>
        <w:jc w:val="both"/>
        <w:rPr>
          <w:rFonts w:eastAsia="Times New Roman" w:cs="Calibri"/>
          <w:b/>
          <w:sz w:val="24"/>
          <w:szCs w:val="24"/>
          <w:lang w:eastAsia="cs-CZ"/>
        </w:rPr>
      </w:pPr>
      <w:r w:rsidRPr="00393DDB">
        <w:rPr>
          <w:rFonts w:eastAsia="Times New Roman" w:cs="Calibri"/>
          <w:b/>
          <w:sz w:val="24"/>
          <w:szCs w:val="24"/>
          <w:lang w:eastAsia="cs-CZ"/>
        </w:rPr>
        <w:lastRenderedPageBreak/>
        <w:t>4. Postup oprav silnic krajů</w:t>
      </w:r>
    </w:p>
    <w:p w14:paraId="5773A926" w14:textId="77777777" w:rsidR="00064D6C" w:rsidRDefault="00064D6C" w:rsidP="00064D6C">
      <w:pPr>
        <w:keepNext/>
        <w:spacing w:after="0" w:line="240" w:lineRule="auto"/>
        <w:jc w:val="both"/>
        <w:rPr>
          <w:rFonts w:eastAsia="Times New Roman" w:cs="Calibri"/>
          <w:sz w:val="24"/>
          <w:szCs w:val="24"/>
          <w:lang w:eastAsia="cs-CZ"/>
        </w:rPr>
      </w:pPr>
    </w:p>
    <w:p w14:paraId="0B2CF6CB" w14:textId="61AF593A" w:rsidR="00393DDB" w:rsidRPr="00393DDB" w:rsidRDefault="00393DDB" w:rsidP="00064D6C">
      <w:pPr>
        <w:keepNext/>
        <w:spacing w:after="0" w:line="240" w:lineRule="auto"/>
        <w:jc w:val="both"/>
        <w:rPr>
          <w:rFonts w:eastAsia="Times New Roman" w:cs="Calibri"/>
          <w:sz w:val="24"/>
          <w:szCs w:val="24"/>
          <w:lang w:eastAsia="cs-CZ"/>
        </w:rPr>
      </w:pPr>
      <w:r w:rsidRPr="00393DDB">
        <w:rPr>
          <w:rFonts w:eastAsia="Times New Roman" w:cs="Calibri"/>
          <w:sz w:val="24"/>
          <w:szCs w:val="24"/>
          <w:lang w:eastAsia="cs-CZ"/>
        </w:rPr>
        <w:t>Kontrolou NKÚ byl v případech, kdy byla data k dispozici, vyhodnocen postup oprav silnic krajů v kontrolovaném období a jeho návaznost na období předcházející.</w:t>
      </w:r>
    </w:p>
    <w:p w14:paraId="57047102" w14:textId="77777777" w:rsidR="00393DDB" w:rsidRPr="00393DDB" w:rsidRDefault="00393DDB" w:rsidP="00393DDB">
      <w:pPr>
        <w:spacing w:after="0" w:line="240" w:lineRule="auto"/>
        <w:jc w:val="both"/>
        <w:rPr>
          <w:rFonts w:eastAsia="Times New Roman" w:cs="Calibri"/>
          <w:sz w:val="24"/>
          <w:szCs w:val="24"/>
          <w:lang w:eastAsia="cs-CZ"/>
        </w:rPr>
      </w:pPr>
    </w:p>
    <w:p w14:paraId="60703A75" w14:textId="5FC41A5C" w:rsidR="00393DDB" w:rsidRPr="00393DDB" w:rsidRDefault="00393DDB" w:rsidP="00393DDB">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V případě silnic II. a III. třídy v Plzeňském kraji byly dostupné údaje od roku 2013, kdy SÚSPK vyhodnotila, že na území Plzeňského kraje bylo v nevyhovujícím a havarijním stavu 69 % z celkových 4</w:t>
      </w:r>
      <w:r w:rsidR="00844F28">
        <w:rPr>
          <w:rFonts w:eastAsia="Times New Roman" w:cs="Calibri"/>
          <w:sz w:val="24"/>
          <w:szCs w:val="24"/>
          <w:lang w:eastAsia="cs-CZ"/>
        </w:rPr>
        <w:t> </w:t>
      </w:r>
      <w:r w:rsidRPr="00393DDB">
        <w:rPr>
          <w:rFonts w:eastAsia="Times New Roman" w:cs="Calibri"/>
          <w:sz w:val="24"/>
          <w:szCs w:val="24"/>
          <w:lang w:eastAsia="cs-CZ"/>
        </w:rPr>
        <w:t xml:space="preserve">616 km silnic. Postupné úbytky silnic v nevyhovujícím a havarijním stavu uvádí tabulky č. </w:t>
      </w:r>
      <w:r w:rsidR="00173329">
        <w:rPr>
          <w:rFonts w:eastAsia="Times New Roman" w:cs="Calibri"/>
          <w:sz w:val="24"/>
          <w:szCs w:val="24"/>
          <w:lang w:eastAsia="cs-CZ"/>
        </w:rPr>
        <w:t>7</w:t>
      </w:r>
      <w:r w:rsidRPr="00393DDB">
        <w:rPr>
          <w:rFonts w:eastAsia="Times New Roman" w:cs="Calibri"/>
          <w:sz w:val="24"/>
          <w:szCs w:val="24"/>
          <w:lang w:eastAsia="cs-CZ"/>
        </w:rPr>
        <w:t xml:space="preserve"> a </w:t>
      </w:r>
      <w:r w:rsidR="00173329">
        <w:rPr>
          <w:rFonts w:eastAsia="Times New Roman" w:cs="Calibri"/>
          <w:sz w:val="24"/>
          <w:szCs w:val="24"/>
          <w:lang w:eastAsia="cs-CZ"/>
        </w:rPr>
        <w:t>8</w:t>
      </w:r>
      <w:r w:rsidRPr="00393DDB">
        <w:rPr>
          <w:rFonts w:eastAsia="Times New Roman" w:cs="Calibri"/>
          <w:sz w:val="24"/>
          <w:szCs w:val="24"/>
          <w:lang w:eastAsia="cs-CZ"/>
        </w:rPr>
        <w:t>, v nichž jsou uvedeny jak procentní, tak délkové údaje v km.</w:t>
      </w:r>
    </w:p>
    <w:p w14:paraId="4C7F8773" w14:textId="77777777" w:rsidR="00393DDB" w:rsidRPr="00393DDB" w:rsidRDefault="00393DDB" w:rsidP="00393DDB">
      <w:pPr>
        <w:spacing w:after="0" w:line="240" w:lineRule="auto"/>
        <w:jc w:val="both"/>
        <w:rPr>
          <w:rFonts w:eastAsia="Times New Roman" w:cs="Calibri"/>
          <w:sz w:val="24"/>
          <w:szCs w:val="24"/>
          <w:lang w:eastAsia="cs-CZ"/>
        </w:rPr>
      </w:pPr>
    </w:p>
    <w:p w14:paraId="537C24A9" w14:textId="5E76FF01" w:rsidR="00393DDB" w:rsidRPr="00054EE5" w:rsidRDefault="00393DDB" w:rsidP="000C7FB7">
      <w:pPr>
        <w:tabs>
          <w:tab w:val="right" w:pos="9072"/>
        </w:tabs>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 xml:space="preserve">Tabulka č. </w:t>
      </w:r>
      <w:r w:rsidR="00173329" w:rsidRPr="00054EE5">
        <w:rPr>
          <w:rFonts w:eastAsia="Times New Roman" w:cs="Calibri"/>
          <w:b/>
          <w:sz w:val="24"/>
          <w:szCs w:val="24"/>
          <w:lang w:eastAsia="cs-CZ"/>
        </w:rPr>
        <w:t>7</w:t>
      </w:r>
      <w:r w:rsidRPr="00054EE5">
        <w:rPr>
          <w:rFonts w:eastAsia="Times New Roman" w:cs="Calibri"/>
          <w:b/>
          <w:sz w:val="24"/>
          <w:szCs w:val="24"/>
          <w:lang w:eastAsia="cs-CZ"/>
        </w:rPr>
        <w:t xml:space="preserve"> – Silnice II. a III. třídy podle stavu v Plzeňském kraji </w:t>
      </w:r>
      <w:r w:rsidR="000C7FB7">
        <w:rPr>
          <w:rFonts w:eastAsia="Times New Roman" w:cs="Calibri"/>
          <w:b/>
          <w:sz w:val="24"/>
          <w:szCs w:val="24"/>
          <w:lang w:eastAsia="cs-CZ"/>
        </w:rPr>
        <w:tab/>
      </w:r>
      <w:r w:rsidRPr="00054EE5">
        <w:rPr>
          <w:rFonts w:eastAsia="Times New Roman" w:cs="Calibri"/>
          <w:b/>
          <w:sz w:val="24"/>
          <w:szCs w:val="24"/>
          <w:lang w:eastAsia="cs-CZ"/>
        </w:rPr>
        <w:t>(v %)</w:t>
      </w:r>
    </w:p>
    <w:tbl>
      <w:tblPr>
        <w:tblW w:w="9048" w:type="dxa"/>
        <w:tblCellMar>
          <w:left w:w="70" w:type="dxa"/>
          <w:right w:w="70" w:type="dxa"/>
        </w:tblCellMar>
        <w:tblLook w:val="04A0" w:firstRow="1" w:lastRow="0" w:firstColumn="1" w:lastColumn="0" w:noHBand="0" w:noVBand="1"/>
      </w:tblPr>
      <w:tblGrid>
        <w:gridCol w:w="1134"/>
        <w:gridCol w:w="1282"/>
        <w:gridCol w:w="1111"/>
        <w:gridCol w:w="1370"/>
        <w:gridCol w:w="1672"/>
        <w:gridCol w:w="1224"/>
        <w:gridCol w:w="1255"/>
      </w:tblGrid>
      <w:tr w:rsidR="00393DDB" w:rsidRPr="00926413" w14:paraId="5277EF9D" w14:textId="77777777" w:rsidTr="000C7FB7">
        <w:trPr>
          <w:trHeight w:val="227"/>
        </w:trPr>
        <w:tc>
          <w:tcPr>
            <w:tcW w:w="1134"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5C975816"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Rok</w:t>
            </w:r>
          </w:p>
        </w:tc>
        <w:tc>
          <w:tcPr>
            <w:tcW w:w="6659" w:type="dxa"/>
            <w:gridSpan w:val="5"/>
            <w:tcBorders>
              <w:top w:val="single" w:sz="4" w:space="0" w:color="auto"/>
              <w:left w:val="nil"/>
              <w:bottom w:val="single" w:sz="4" w:space="0" w:color="auto"/>
              <w:right w:val="single" w:sz="4" w:space="0" w:color="auto"/>
            </w:tcBorders>
            <w:shd w:val="clear" w:color="auto" w:fill="E5F1FF"/>
            <w:vAlign w:val="center"/>
            <w:hideMark/>
          </w:tcPr>
          <w:p w14:paraId="351B2506"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Stav povrchu silnic</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6D6839A2"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Celkem</w:t>
            </w:r>
          </w:p>
        </w:tc>
      </w:tr>
      <w:tr w:rsidR="00393DDB" w:rsidRPr="00926413" w14:paraId="607D9B14" w14:textId="77777777" w:rsidTr="000C7FB7">
        <w:trPr>
          <w:trHeight w:val="227"/>
        </w:trPr>
        <w:tc>
          <w:tcPr>
            <w:tcW w:w="1134"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5E304C4D" w14:textId="77777777" w:rsidR="00393DDB" w:rsidRPr="000C7FB7" w:rsidRDefault="00393DDB" w:rsidP="00393DDB">
            <w:pPr>
              <w:spacing w:after="0" w:line="240" w:lineRule="auto"/>
              <w:rPr>
                <w:rFonts w:ascii="Calibri" w:eastAsia="Times New Roman" w:hAnsi="Calibri" w:cs="Calibri"/>
                <w:b/>
                <w:bCs/>
                <w:color w:val="000000"/>
                <w:sz w:val="20"/>
                <w:szCs w:val="20"/>
                <w:lang w:eastAsia="cs-CZ"/>
              </w:rPr>
            </w:pPr>
          </w:p>
        </w:tc>
        <w:tc>
          <w:tcPr>
            <w:tcW w:w="1282" w:type="dxa"/>
            <w:tcBorders>
              <w:top w:val="nil"/>
              <w:left w:val="nil"/>
              <w:bottom w:val="single" w:sz="4" w:space="0" w:color="auto"/>
              <w:right w:val="single" w:sz="4" w:space="0" w:color="auto"/>
            </w:tcBorders>
            <w:shd w:val="clear" w:color="auto" w:fill="E5F1FF"/>
            <w:vAlign w:val="center"/>
            <w:hideMark/>
          </w:tcPr>
          <w:p w14:paraId="7DEBFFE2" w14:textId="2ADAC094"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0C7FB7">
              <w:rPr>
                <w:rFonts w:ascii="Calibri" w:eastAsia="Times New Roman" w:hAnsi="Calibri" w:cs="Calibri"/>
                <w:b/>
                <w:bCs/>
                <w:color w:val="000000"/>
                <w:sz w:val="20"/>
                <w:szCs w:val="20"/>
                <w:lang w:eastAsia="cs-CZ"/>
              </w:rPr>
              <w:t>ýborný</w:t>
            </w:r>
          </w:p>
        </w:tc>
        <w:tc>
          <w:tcPr>
            <w:tcW w:w="1111" w:type="dxa"/>
            <w:tcBorders>
              <w:top w:val="nil"/>
              <w:left w:val="nil"/>
              <w:bottom w:val="single" w:sz="4" w:space="0" w:color="auto"/>
              <w:right w:val="single" w:sz="4" w:space="0" w:color="auto"/>
            </w:tcBorders>
            <w:shd w:val="clear" w:color="auto" w:fill="E5F1FF"/>
            <w:vAlign w:val="center"/>
            <w:hideMark/>
          </w:tcPr>
          <w:p w14:paraId="61C4801A" w14:textId="67751554"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D</w:t>
            </w:r>
            <w:r w:rsidR="00393DDB" w:rsidRPr="000C7FB7">
              <w:rPr>
                <w:rFonts w:ascii="Calibri" w:eastAsia="Times New Roman" w:hAnsi="Calibri" w:cs="Calibri"/>
                <w:b/>
                <w:bCs/>
                <w:color w:val="000000"/>
                <w:sz w:val="20"/>
                <w:szCs w:val="20"/>
                <w:lang w:eastAsia="cs-CZ"/>
              </w:rPr>
              <w:t>obrý</w:t>
            </w:r>
          </w:p>
        </w:tc>
        <w:tc>
          <w:tcPr>
            <w:tcW w:w="1370" w:type="dxa"/>
            <w:tcBorders>
              <w:top w:val="nil"/>
              <w:left w:val="nil"/>
              <w:bottom w:val="single" w:sz="4" w:space="0" w:color="auto"/>
              <w:right w:val="single" w:sz="4" w:space="0" w:color="auto"/>
            </w:tcBorders>
            <w:shd w:val="clear" w:color="auto" w:fill="E5F1FF"/>
            <w:vAlign w:val="center"/>
            <w:hideMark/>
          </w:tcPr>
          <w:p w14:paraId="4A736127" w14:textId="7CC5C0B8"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0C7FB7">
              <w:rPr>
                <w:rFonts w:ascii="Calibri" w:eastAsia="Times New Roman" w:hAnsi="Calibri" w:cs="Calibri"/>
                <w:b/>
                <w:bCs/>
                <w:color w:val="000000"/>
                <w:sz w:val="20"/>
                <w:szCs w:val="20"/>
                <w:lang w:eastAsia="cs-CZ"/>
              </w:rPr>
              <w:t>yhovující</w:t>
            </w:r>
          </w:p>
        </w:tc>
        <w:tc>
          <w:tcPr>
            <w:tcW w:w="1672" w:type="dxa"/>
            <w:tcBorders>
              <w:top w:val="nil"/>
              <w:left w:val="nil"/>
              <w:bottom w:val="single" w:sz="4" w:space="0" w:color="auto"/>
              <w:right w:val="single" w:sz="4" w:space="0" w:color="auto"/>
            </w:tcBorders>
            <w:shd w:val="clear" w:color="auto" w:fill="E5F1FF"/>
            <w:vAlign w:val="center"/>
            <w:hideMark/>
          </w:tcPr>
          <w:p w14:paraId="4762EABC" w14:textId="073C6F13"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N</w:t>
            </w:r>
            <w:r w:rsidR="00393DDB" w:rsidRPr="000C7FB7">
              <w:rPr>
                <w:rFonts w:ascii="Calibri" w:eastAsia="Times New Roman" w:hAnsi="Calibri" w:cs="Calibri"/>
                <w:b/>
                <w:bCs/>
                <w:color w:val="000000"/>
                <w:sz w:val="20"/>
                <w:szCs w:val="20"/>
                <w:lang w:eastAsia="cs-CZ"/>
              </w:rPr>
              <w:t>evyhovující</w:t>
            </w:r>
          </w:p>
        </w:tc>
        <w:tc>
          <w:tcPr>
            <w:tcW w:w="1224" w:type="dxa"/>
            <w:tcBorders>
              <w:top w:val="nil"/>
              <w:left w:val="nil"/>
              <w:bottom w:val="single" w:sz="4" w:space="0" w:color="auto"/>
              <w:right w:val="single" w:sz="4" w:space="0" w:color="auto"/>
            </w:tcBorders>
            <w:shd w:val="clear" w:color="auto" w:fill="E5F1FF"/>
            <w:vAlign w:val="center"/>
            <w:hideMark/>
          </w:tcPr>
          <w:p w14:paraId="38D418C5" w14:textId="5B10208F"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H</w:t>
            </w:r>
            <w:r w:rsidR="00393DDB" w:rsidRPr="000C7FB7">
              <w:rPr>
                <w:rFonts w:ascii="Calibri" w:eastAsia="Times New Roman" w:hAnsi="Calibri" w:cs="Calibri"/>
                <w:b/>
                <w:bCs/>
                <w:color w:val="000000"/>
                <w:sz w:val="20"/>
                <w:szCs w:val="20"/>
                <w:lang w:eastAsia="cs-CZ"/>
              </w:rPr>
              <w:t>avarijní</w:t>
            </w:r>
          </w:p>
        </w:tc>
        <w:tc>
          <w:tcPr>
            <w:tcW w:w="1255"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3BC71BAD" w14:textId="77777777" w:rsidR="00393DDB" w:rsidRPr="00926413" w:rsidRDefault="00393DDB" w:rsidP="00393DDB">
            <w:pPr>
              <w:spacing w:after="0" w:line="240" w:lineRule="auto"/>
              <w:rPr>
                <w:rFonts w:ascii="Calibri" w:eastAsia="Times New Roman" w:hAnsi="Calibri" w:cs="Calibri"/>
                <w:bCs/>
                <w:color w:val="000000"/>
                <w:sz w:val="20"/>
                <w:szCs w:val="20"/>
                <w:lang w:eastAsia="cs-CZ"/>
              </w:rPr>
            </w:pPr>
          </w:p>
        </w:tc>
      </w:tr>
      <w:tr w:rsidR="00393DDB" w:rsidRPr="00926413" w14:paraId="47A3098E"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DB3494C"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2013</w:t>
            </w:r>
          </w:p>
        </w:tc>
        <w:tc>
          <w:tcPr>
            <w:tcW w:w="1282" w:type="dxa"/>
            <w:tcBorders>
              <w:top w:val="nil"/>
              <w:left w:val="nil"/>
              <w:bottom w:val="single" w:sz="4" w:space="0" w:color="auto"/>
              <w:right w:val="single" w:sz="4" w:space="0" w:color="auto"/>
            </w:tcBorders>
            <w:shd w:val="clear" w:color="auto" w:fill="auto"/>
            <w:vAlign w:val="center"/>
            <w:hideMark/>
          </w:tcPr>
          <w:p w14:paraId="720FCC30"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10,0</w:t>
            </w:r>
          </w:p>
        </w:tc>
        <w:tc>
          <w:tcPr>
            <w:tcW w:w="1111" w:type="dxa"/>
            <w:tcBorders>
              <w:top w:val="nil"/>
              <w:left w:val="nil"/>
              <w:bottom w:val="single" w:sz="4" w:space="0" w:color="auto"/>
              <w:right w:val="single" w:sz="4" w:space="0" w:color="auto"/>
            </w:tcBorders>
            <w:shd w:val="clear" w:color="auto" w:fill="auto"/>
            <w:vAlign w:val="center"/>
            <w:hideMark/>
          </w:tcPr>
          <w:p w14:paraId="631936A3"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9,0</w:t>
            </w:r>
          </w:p>
        </w:tc>
        <w:tc>
          <w:tcPr>
            <w:tcW w:w="1370" w:type="dxa"/>
            <w:tcBorders>
              <w:top w:val="nil"/>
              <w:left w:val="nil"/>
              <w:bottom w:val="single" w:sz="4" w:space="0" w:color="auto"/>
              <w:right w:val="single" w:sz="4" w:space="0" w:color="auto"/>
            </w:tcBorders>
            <w:shd w:val="clear" w:color="auto" w:fill="auto"/>
            <w:vAlign w:val="center"/>
            <w:hideMark/>
          </w:tcPr>
          <w:p w14:paraId="5951E5F4"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12,0</w:t>
            </w:r>
          </w:p>
        </w:tc>
        <w:tc>
          <w:tcPr>
            <w:tcW w:w="1672" w:type="dxa"/>
            <w:tcBorders>
              <w:top w:val="nil"/>
              <w:left w:val="nil"/>
              <w:bottom w:val="single" w:sz="4" w:space="0" w:color="auto"/>
              <w:right w:val="single" w:sz="4" w:space="0" w:color="auto"/>
            </w:tcBorders>
            <w:shd w:val="clear" w:color="auto" w:fill="auto"/>
            <w:vAlign w:val="center"/>
            <w:hideMark/>
          </w:tcPr>
          <w:p w14:paraId="35EF9A35"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23,0</w:t>
            </w:r>
          </w:p>
        </w:tc>
        <w:tc>
          <w:tcPr>
            <w:tcW w:w="1224" w:type="dxa"/>
            <w:tcBorders>
              <w:top w:val="nil"/>
              <w:left w:val="nil"/>
              <w:bottom w:val="single" w:sz="4" w:space="0" w:color="auto"/>
              <w:right w:val="single" w:sz="4" w:space="0" w:color="auto"/>
            </w:tcBorders>
            <w:shd w:val="clear" w:color="auto" w:fill="auto"/>
            <w:vAlign w:val="center"/>
            <w:hideMark/>
          </w:tcPr>
          <w:p w14:paraId="43FBB18E"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46,0</w:t>
            </w:r>
          </w:p>
        </w:tc>
        <w:tc>
          <w:tcPr>
            <w:tcW w:w="1255" w:type="dxa"/>
            <w:tcBorders>
              <w:top w:val="nil"/>
              <w:left w:val="nil"/>
              <w:bottom w:val="single" w:sz="4" w:space="0" w:color="auto"/>
              <w:right w:val="single" w:sz="4" w:space="0" w:color="auto"/>
            </w:tcBorders>
            <w:shd w:val="clear" w:color="auto" w:fill="auto"/>
            <w:vAlign w:val="center"/>
            <w:hideMark/>
          </w:tcPr>
          <w:p w14:paraId="29D7674F" w14:textId="77777777" w:rsidR="00393DDB" w:rsidRPr="00A660F0" w:rsidRDefault="00393DDB" w:rsidP="00831687">
            <w:pPr>
              <w:spacing w:after="0" w:line="240" w:lineRule="auto"/>
              <w:ind w:right="269"/>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0CBE16BD"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4B26DD8"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2014</w:t>
            </w:r>
          </w:p>
        </w:tc>
        <w:tc>
          <w:tcPr>
            <w:tcW w:w="1282" w:type="dxa"/>
            <w:tcBorders>
              <w:top w:val="nil"/>
              <w:left w:val="nil"/>
              <w:bottom w:val="single" w:sz="4" w:space="0" w:color="auto"/>
              <w:right w:val="single" w:sz="4" w:space="0" w:color="auto"/>
            </w:tcBorders>
            <w:shd w:val="clear" w:color="auto" w:fill="auto"/>
            <w:vAlign w:val="center"/>
            <w:hideMark/>
          </w:tcPr>
          <w:p w14:paraId="5C2CC877"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13,0</w:t>
            </w:r>
          </w:p>
        </w:tc>
        <w:tc>
          <w:tcPr>
            <w:tcW w:w="1111" w:type="dxa"/>
            <w:tcBorders>
              <w:top w:val="nil"/>
              <w:left w:val="nil"/>
              <w:bottom w:val="single" w:sz="4" w:space="0" w:color="auto"/>
              <w:right w:val="single" w:sz="4" w:space="0" w:color="auto"/>
            </w:tcBorders>
            <w:shd w:val="clear" w:color="auto" w:fill="auto"/>
            <w:vAlign w:val="center"/>
            <w:hideMark/>
          </w:tcPr>
          <w:p w14:paraId="3D1364A2"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11,0</w:t>
            </w:r>
          </w:p>
        </w:tc>
        <w:tc>
          <w:tcPr>
            <w:tcW w:w="1370" w:type="dxa"/>
            <w:tcBorders>
              <w:top w:val="nil"/>
              <w:left w:val="nil"/>
              <w:bottom w:val="single" w:sz="4" w:space="0" w:color="auto"/>
              <w:right w:val="single" w:sz="4" w:space="0" w:color="auto"/>
            </w:tcBorders>
            <w:shd w:val="clear" w:color="auto" w:fill="auto"/>
            <w:vAlign w:val="center"/>
            <w:hideMark/>
          </w:tcPr>
          <w:p w14:paraId="2C0867CE"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14,5</w:t>
            </w:r>
          </w:p>
        </w:tc>
        <w:tc>
          <w:tcPr>
            <w:tcW w:w="1672" w:type="dxa"/>
            <w:tcBorders>
              <w:top w:val="nil"/>
              <w:left w:val="nil"/>
              <w:bottom w:val="single" w:sz="4" w:space="0" w:color="auto"/>
              <w:right w:val="single" w:sz="4" w:space="0" w:color="auto"/>
            </w:tcBorders>
            <w:shd w:val="clear" w:color="auto" w:fill="auto"/>
            <w:vAlign w:val="center"/>
            <w:hideMark/>
          </w:tcPr>
          <w:p w14:paraId="59831237"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24,0</w:t>
            </w:r>
          </w:p>
        </w:tc>
        <w:tc>
          <w:tcPr>
            <w:tcW w:w="1224" w:type="dxa"/>
            <w:tcBorders>
              <w:top w:val="nil"/>
              <w:left w:val="nil"/>
              <w:bottom w:val="single" w:sz="4" w:space="0" w:color="auto"/>
              <w:right w:val="single" w:sz="4" w:space="0" w:color="auto"/>
            </w:tcBorders>
            <w:shd w:val="clear" w:color="auto" w:fill="auto"/>
            <w:vAlign w:val="center"/>
            <w:hideMark/>
          </w:tcPr>
          <w:p w14:paraId="145EB3A8"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37,5</w:t>
            </w:r>
          </w:p>
        </w:tc>
        <w:tc>
          <w:tcPr>
            <w:tcW w:w="1255" w:type="dxa"/>
            <w:tcBorders>
              <w:top w:val="nil"/>
              <w:left w:val="nil"/>
              <w:bottom w:val="single" w:sz="4" w:space="0" w:color="auto"/>
              <w:right w:val="single" w:sz="4" w:space="0" w:color="auto"/>
            </w:tcBorders>
            <w:shd w:val="clear" w:color="auto" w:fill="auto"/>
            <w:vAlign w:val="center"/>
            <w:hideMark/>
          </w:tcPr>
          <w:p w14:paraId="101EE82F" w14:textId="77777777" w:rsidR="00393DDB" w:rsidRPr="00A660F0" w:rsidRDefault="00393DDB" w:rsidP="00831687">
            <w:pPr>
              <w:spacing w:after="0" w:line="240" w:lineRule="auto"/>
              <w:ind w:right="269"/>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77E6C227"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37B04F5"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2015</w:t>
            </w:r>
          </w:p>
        </w:tc>
        <w:tc>
          <w:tcPr>
            <w:tcW w:w="1282" w:type="dxa"/>
            <w:tcBorders>
              <w:top w:val="nil"/>
              <w:left w:val="nil"/>
              <w:bottom w:val="single" w:sz="4" w:space="0" w:color="auto"/>
              <w:right w:val="single" w:sz="4" w:space="0" w:color="auto"/>
            </w:tcBorders>
            <w:shd w:val="clear" w:color="auto" w:fill="auto"/>
            <w:vAlign w:val="center"/>
            <w:hideMark/>
          </w:tcPr>
          <w:p w14:paraId="517A22F7"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16,0</w:t>
            </w:r>
          </w:p>
        </w:tc>
        <w:tc>
          <w:tcPr>
            <w:tcW w:w="1111" w:type="dxa"/>
            <w:tcBorders>
              <w:top w:val="nil"/>
              <w:left w:val="nil"/>
              <w:bottom w:val="single" w:sz="4" w:space="0" w:color="auto"/>
              <w:right w:val="single" w:sz="4" w:space="0" w:color="auto"/>
            </w:tcBorders>
            <w:shd w:val="clear" w:color="auto" w:fill="auto"/>
            <w:vAlign w:val="center"/>
            <w:hideMark/>
          </w:tcPr>
          <w:p w14:paraId="559C303A"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13,0</w:t>
            </w:r>
          </w:p>
        </w:tc>
        <w:tc>
          <w:tcPr>
            <w:tcW w:w="1370" w:type="dxa"/>
            <w:tcBorders>
              <w:top w:val="nil"/>
              <w:left w:val="nil"/>
              <w:bottom w:val="single" w:sz="4" w:space="0" w:color="auto"/>
              <w:right w:val="single" w:sz="4" w:space="0" w:color="auto"/>
            </w:tcBorders>
            <w:shd w:val="clear" w:color="auto" w:fill="auto"/>
            <w:vAlign w:val="center"/>
            <w:hideMark/>
          </w:tcPr>
          <w:p w14:paraId="63F2FA62"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17,0</w:t>
            </w:r>
          </w:p>
        </w:tc>
        <w:tc>
          <w:tcPr>
            <w:tcW w:w="1672" w:type="dxa"/>
            <w:tcBorders>
              <w:top w:val="nil"/>
              <w:left w:val="nil"/>
              <w:bottom w:val="single" w:sz="4" w:space="0" w:color="auto"/>
              <w:right w:val="single" w:sz="4" w:space="0" w:color="auto"/>
            </w:tcBorders>
            <w:shd w:val="clear" w:color="auto" w:fill="auto"/>
            <w:vAlign w:val="center"/>
            <w:hideMark/>
          </w:tcPr>
          <w:p w14:paraId="7B7C6F38"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25,0</w:t>
            </w:r>
          </w:p>
        </w:tc>
        <w:tc>
          <w:tcPr>
            <w:tcW w:w="1224" w:type="dxa"/>
            <w:tcBorders>
              <w:top w:val="nil"/>
              <w:left w:val="nil"/>
              <w:bottom w:val="single" w:sz="4" w:space="0" w:color="auto"/>
              <w:right w:val="single" w:sz="4" w:space="0" w:color="auto"/>
            </w:tcBorders>
            <w:shd w:val="clear" w:color="auto" w:fill="auto"/>
            <w:vAlign w:val="center"/>
            <w:hideMark/>
          </w:tcPr>
          <w:p w14:paraId="6FC3AD94"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29,0</w:t>
            </w:r>
          </w:p>
        </w:tc>
        <w:tc>
          <w:tcPr>
            <w:tcW w:w="1255" w:type="dxa"/>
            <w:tcBorders>
              <w:top w:val="nil"/>
              <w:left w:val="nil"/>
              <w:bottom w:val="single" w:sz="4" w:space="0" w:color="auto"/>
              <w:right w:val="single" w:sz="4" w:space="0" w:color="auto"/>
            </w:tcBorders>
            <w:shd w:val="clear" w:color="auto" w:fill="auto"/>
            <w:vAlign w:val="center"/>
            <w:hideMark/>
          </w:tcPr>
          <w:p w14:paraId="40E6F8E2" w14:textId="77777777" w:rsidR="00393DDB" w:rsidRPr="00A660F0" w:rsidRDefault="00393DDB" w:rsidP="00831687">
            <w:pPr>
              <w:spacing w:after="0" w:line="240" w:lineRule="auto"/>
              <w:ind w:right="269"/>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1015E73E"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AB33A04"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2016</w:t>
            </w:r>
          </w:p>
        </w:tc>
        <w:tc>
          <w:tcPr>
            <w:tcW w:w="1282" w:type="dxa"/>
            <w:tcBorders>
              <w:top w:val="nil"/>
              <w:left w:val="nil"/>
              <w:bottom w:val="single" w:sz="4" w:space="0" w:color="auto"/>
              <w:right w:val="single" w:sz="4" w:space="0" w:color="auto"/>
            </w:tcBorders>
            <w:shd w:val="clear" w:color="auto" w:fill="auto"/>
            <w:vAlign w:val="center"/>
            <w:hideMark/>
          </w:tcPr>
          <w:p w14:paraId="78C5A25C"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16,4</w:t>
            </w:r>
          </w:p>
        </w:tc>
        <w:tc>
          <w:tcPr>
            <w:tcW w:w="1111" w:type="dxa"/>
            <w:tcBorders>
              <w:top w:val="nil"/>
              <w:left w:val="nil"/>
              <w:bottom w:val="single" w:sz="4" w:space="0" w:color="auto"/>
              <w:right w:val="single" w:sz="4" w:space="0" w:color="auto"/>
            </w:tcBorders>
            <w:shd w:val="clear" w:color="auto" w:fill="auto"/>
            <w:vAlign w:val="center"/>
            <w:hideMark/>
          </w:tcPr>
          <w:p w14:paraId="50F2ADBD"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17,6</w:t>
            </w:r>
          </w:p>
        </w:tc>
        <w:tc>
          <w:tcPr>
            <w:tcW w:w="1370" w:type="dxa"/>
            <w:tcBorders>
              <w:top w:val="nil"/>
              <w:left w:val="nil"/>
              <w:bottom w:val="single" w:sz="4" w:space="0" w:color="auto"/>
              <w:right w:val="single" w:sz="4" w:space="0" w:color="auto"/>
            </w:tcBorders>
            <w:shd w:val="clear" w:color="auto" w:fill="auto"/>
            <w:vAlign w:val="center"/>
            <w:hideMark/>
          </w:tcPr>
          <w:p w14:paraId="0900117E"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22,5</w:t>
            </w:r>
          </w:p>
        </w:tc>
        <w:tc>
          <w:tcPr>
            <w:tcW w:w="1672" w:type="dxa"/>
            <w:tcBorders>
              <w:top w:val="nil"/>
              <w:left w:val="nil"/>
              <w:bottom w:val="single" w:sz="4" w:space="0" w:color="auto"/>
              <w:right w:val="single" w:sz="4" w:space="0" w:color="auto"/>
            </w:tcBorders>
            <w:shd w:val="clear" w:color="auto" w:fill="auto"/>
            <w:vAlign w:val="center"/>
            <w:hideMark/>
          </w:tcPr>
          <w:p w14:paraId="62ABBC7A"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11,8</w:t>
            </w:r>
          </w:p>
        </w:tc>
        <w:tc>
          <w:tcPr>
            <w:tcW w:w="1224" w:type="dxa"/>
            <w:tcBorders>
              <w:top w:val="nil"/>
              <w:left w:val="nil"/>
              <w:bottom w:val="single" w:sz="4" w:space="0" w:color="auto"/>
              <w:right w:val="single" w:sz="4" w:space="0" w:color="auto"/>
            </w:tcBorders>
            <w:shd w:val="clear" w:color="auto" w:fill="auto"/>
            <w:vAlign w:val="center"/>
            <w:hideMark/>
          </w:tcPr>
          <w:p w14:paraId="716A8CE1" w14:textId="77777777" w:rsidR="00393DDB" w:rsidRPr="00926413" w:rsidRDefault="00393DDB" w:rsidP="00831687">
            <w:pPr>
              <w:spacing w:after="0" w:line="240" w:lineRule="auto"/>
              <w:ind w:right="269"/>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31,7</w:t>
            </w:r>
          </w:p>
        </w:tc>
        <w:tc>
          <w:tcPr>
            <w:tcW w:w="1255" w:type="dxa"/>
            <w:tcBorders>
              <w:top w:val="nil"/>
              <w:left w:val="nil"/>
              <w:bottom w:val="single" w:sz="4" w:space="0" w:color="auto"/>
              <w:right w:val="single" w:sz="4" w:space="0" w:color="auto"/>
            </w:tcBorders>
            <w:shd w:val="clear" w:color="auto" w:fill="auto"/>
            <w:vAlign w:val="center"/>
            <w:hideMark/>
          </w:tcPr>
          <w:p w14:paraId="1FAB778C" w14:textId="77777777" w:rsidR="00393DDB" w:rsidRPr="00A660F0" w:rsidRDefault="00393DDB" w:rsidP="00831687">
            <w:pPr>
              <w:spacing w:after="0" w:line="240" w:lineRule="auto"/>
              <w:ind w:right="269"/>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bl>
    <w:p w14:paraId="3354DD89" w14:textId="71C82E45" w:rsidR="00393DDB" w:rsidRPr="00393DDB" w:rsidRDefault="00393DDB" w:rsidP="00926413">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0C7FB7">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59C3AA75" w14:textId="77777777" w:rsidR="00393DDB" w:rsidRDefault="00393DDB" w:rsidP="00393DDB">
      <w:pPr>
        <w:spacing w:after="0" w:line="240" w:lineRule="auto"/>
        <w:jc w:val="both"/>
        <w:rPr>
          <w:rFonts w:eastAsia="Times New Roman" w:cs="Calibri"/>
          <w:sz w:val="24"/>
          <w:szCs w:val="24"/>
          <w:lang w:eastAsia="cs-CZ"/>
        </w:rPr>
      </w:pPr>
    </w:p>
    <w:p w14:paraId="426F349A" w14:textId="49F1D8BB" w:rsidR="00393DDB" w:rsidRPr="00054EE5" w:rsidRDefault="00393DDB" w:rsidP="000C7FB7">
      <w:pPr>
        <w:tabs>
          <w:tab w:val="right" w:pos="9072"/>
        </w:tabs>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 xml:space="preserve">Tabulka č. </w:t>
      </w:r>
      <w:r w:rsidR="00173329" w:rsidRPr="00054EE5">
        <w:rPr>
          <w:rFonts w:eastAsia="Times New Roman" w:cs="Calibri"/>
          <w:b/>
          <w:sz w:val="24"/>
          <w:szCs w:val="24"/>
          <w:lang w:eastAsia="cs-CZ"/>
        </w:rPr>
        <w:t>8</w:t>
      </w:r>
      <w:r w:rsidRPr="00054EE5">
        <w:rPr>
          <w:rFonts w:eastAsia="Times New Roman" w:cs="Calibri"/>
          <w:b/>
          <w:sz w:val="24"/>
          <w:szCs w:val="24"/>
          <w:lang w:eastAsia="cs-CZ"/>
        </w:rPr>
        <w:t xml:space="preserve"> – Silnice II. a III. třídy podle stavu v Plzeňském kraji </w:t>
      </w:r>
      <w:r w:rsidR="000C7FB7">
        <w:rPr>
          <w:rFonts w:eastAsia="Times New Roman" w:cs="Calibri"/>
          <w:b/>
          <w:sz w:val="24"/>
          <w:szCs w:val="24"/>
          <w:lang w:eastAsia="cs-CZ"/>
        </w:rPr>
        <w:tab/>
      </w:r>
      <w:r w:rsidRPr="00054EE5">
        <w:rPr>
          <w:rFonts w:eastAsia="Times New Roman" w:cs="Calibri"/>
          <w:b/>
          <w:sz w:val="24"/>
          <w:szCs w:val="24"/>
          <w:lang w:eastAsia="cs-CZ"/>
        </w:rPr>
        <w:t>(v km)</w:t>
      </w:r>
    </w:p>
    <w:tbl>
      <w:tblPr>
        <w:tblW w:w="9049" w:type="dxa"/>
        <w:tblCellMar>
          <w:left w:w="70" w:type="dxa"/>
          <w:right w:w="70" w:type="dxa"/>
        </w:tblCellMar>
        <w:tblLook w:val="04A0" w:firstRow="1" w:lastRow="0" w:firstColumn="1" w:lastColumn="0" w:noHBand="0" w:noVBand="1"/>
      </w:tblPr>
      <w:tblGrid>
        <w:gridCol w:w="850"/>
        <w:gridCol w:w="1184"/>
        <w:gridCol w:w="1184"/>
        <w:gridCol w:w="1419"/>
        <w:gridCol w:w="1731"/>
        <w:gridCol w:w="1341"/>
        <w:gridCol w:w="1340"/>
      </w:tblGrid>
      <w:tr w:rsidR="00393DDB" w:rsidRPr="00926413" w14:paraId="2A06F19E" w14:textId="77777777" w:rsidTr="000C7FB7">
        <w:trPr>
          <w:trHeight w:val="227"/>
        </w:trPr>
        <w:tc>
          <w:tcPr>
            <w:tcW w:w="850"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3F41D994"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Rok</w:t>
            </w:r>
          </w:p>
        </w:tc>
        <w:tc>
          <w:tcPr>
            <w:tcW w:w="6859" w:type="dxa"/>
            <w:gridSpan w:val="5"/>
            <w:tcBorders>
              <w:top w:val="single" w:sz="4" w:space="0" w:color="auto"/>
              <w:left w:val="nil"/>
              <w:bottom w:val="single" w:sz="4" w:space="0" w:color="auto"/>
              <w:right w:val="single" w:sz="4" w:space="0" w:color="000000"/>
            </w:tcBorders>
            <w:shd w:val="clear" w:color="auto" w:fill="E5F1FF"/>
            <w:vAlign w:val="center"/>
            <w:hideMark/>
          </w:tcPr>
          <w:p w14:paraId="5C44D03D"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Stav povrchu silnic</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56F5AD51" w14:textId="77777777" w:rsidR="00393DDB" w:rsidRPr="000C7FB7" w:rsidRDefault="00393DDB" w:rsidP="00393DDB">
            <w:pPr>
              <w:spacing w:after="0" w:line="240" w:lineRule="auto"/>
              <w:jc w:val="center"/>
              <w:rPr>
                <w:rFonts w:ascii="Calibri" w:eastAsia="Times New Roman" w:hAnsi="Calibri" w:cs="Calibri"/>
                <w:b/>
                <w:bCs/>
                <w:color w:val="000000"/>
                <w:sz w:val="20"/>
                <w:szCs w:val="20"/>
                <w:lang w:eastAsia="cs-CZ"/>
              </w:rPr>
            </w:pPr>
            <w:r w:rsidRPr="000C7FB7">
              <w:rPr>
                <w:rFonts w:ascii="Calibri" w:eastAsia="Times New Roman" w:hAnsi="Calibri" w:cs="Calibri"/>
                <w:b/>
                <w:bCs/>
                <w:color w:val="000000"/>
                <w:sz w:val="20"/>
                <w:szCs w:val="20"/>
                <w:lang w:eastAsia="cs-CZ"/>
              </w:rPr>
              <w:t>Celkem</w:t>
            </w:r>
          </w:p>
        </w:tc>
      </w:tr>
      <w:tr w:rsidR="00393DDB" w:rsidRPr="00926413" w14:paraId="0581D32A" w14:textId="77777777" w:rsidTr="000C7FB7">
        <w:trPr>
          <w:trHeight w:val="227"/>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76FF12B" w14:textId="77777777" w:rsidR="00393DDB" w:rsidRPr="000C7FB7" w:rsidRDefault="00393DDB" w:rsidP="00393DDB">
            <w:pPr>
              <w:spacing w:after="0" w:line="240" w:lineRule="auto"/>
              <w:rPr>
                <w:rFonts w:ascii="Calibri" w:eastAsia="Times New Roman" w:hAnsi="Calibri" w:cs="Calibri"/>
                <w:b/>
                <w:bCs/>
                <w:color w:val="000000"/>
                <w:sz w:val="20"/>
                <w:szCs w:val="20"/>
                <w:lang w:eastAsia="cs-CZ"/>
              </w:rPr>
            </w:pPr>
          </w:p>
        </w:tc>
        <w:tc>
          <w:tcPr>
            <w:tcW w:w="1184" w:type="dxa"/>
            <w:tcBorders>
              <w:top w:val="nil"/>
              <w:left w:val="nil"/>
              <w:bottom w:val="single" w:sz="4" w:space="0" w:color="auto"/>
              <w:right w:val="single" w:sz="4" w:space="0" w:color="auto"/>
            </w:tcBorders>
            <w:shd w:val="clear" w:color="auto" w:fill="E5F1FF"/>
            <w:vAlign w:val="center"/>
            <w:hideMark/>
          </w:tcPr>
          <w:p w14:paraId="4C83F65B" w14:textId="2BD05BA4"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0C7FB7">
              <w:rPr>
                <w:rFonts w:ascii="Calibri" w:eastAsia="Times New Roman" w:hAnsi="Calibri" w:cs="Calibri"/>
                <w:b/>
                <w:bCs/>
                <w:color w:val="000000"/>
                <w:sz w:val="20"/>
                <w:szCs w:val="20"/>
                <w:lang w:eastAsia="cs-CZ"/>
              </w:rPr>
              <w:t>ýborný</w:t>
            </w:r>
          </w:p>
        </w:tc>
        <w:tc>
          <w:tcPr>
            <w:tcW w:w="1184" w:type="dxa"/>
            <w:tcBorders>
              <w:top w:val="nil"/>
              <w:left w:val="nil"/>
              <w:bottom w:val="single" w:sz="4" w:space="0" w:color="auto"/>
              <w:right w:val="single" w:sz="4" w:space="0" w:color="auto"/>
            </w:tcBorders>
            <w:shd w:val="clear" w:color="auto" w:fill="E5F1FF"/>
            <w:vAlign w:val="center"/>
            <w:hideMark/>
          </w:tcPr>
          <w:p w14:paraId="7D8EE4EF" w14:textId="1AA05527"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D</w:t>
            </w:r>
            <w:r w:rsidR="00393DDB" w:rsidRPr="000C7FB7">
              <w:rPr>
                <w:rFonts w:ascii="Calibri" w:eastAsia="Times New Roman" w:hAnsi="Calibri" w:cs="Calibri"/>
                <w:b/>
                <w:bCs/>
                <w:color w:val="000000"/>
                <w:sz w:val="20"/>
                <w:szCs w:val="20"/>
                <w:lang w:eastAsia="cs-CZ"/>
              </w:rPr>
              <w:t>obrý</w:t>
            </w:r>
          </w:p>
        </w:tc>
        <w:tc>
          <w:tcPr>
            <w:tcW w:w="1419" w:type="dxa"/>
            <w:tcBorders>
              <w:top w:val="nil"/>
              <w:left w:val="nil"/>
              <w:bottom w:val="single" w:sz="4" w:space="0" w:color="auto"/>
              <w:right w:val="single" w:sz="4" w:space="0" w:color="auto"/>
            </w:tcBorders>
            <w:shd w:val="clear" w:color="auto" w:fill="E5F1FF"/>
            <w:vAlign w:val="center"/>
            <w:hideMark/>
          </w:tcPr>
          <w:p w14:paraId="6DF1A9E5" w14:textId="643C7674"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0C7FB7">
              <w:rPr>
                <w:rFonts w:ascii="Calibri" w:eastAsia="Times New Roman" w:hAnsi="Calibri" w:cs="Calibri"/>
                <w:b/>
                <w:bCs/>
                <w:color w:val="000000"/>
                <w:sz w:val="20"/>
                <w:szCs w:val="20"/>
                <w:lang w:eastAsia="cs-CZ"/>
              </w:rPr>
              <w:t>yhovující</w:t>
            </w:r>
          </w:p>
        </w:tc>
        <w:tc>
          <w:tcPr>
            <w:tcW w:w="1731" w:type="dxa"/>
            <w:tcBorders>
              <w:top w:val="nil"/>
              <w:left w:val="nil"/>
              <w:bottom w:val="single" w:sz="4" w:space="0" w:color="auto"/>
              <w:right w:val="single" w:sz="4" w:space="0" w:color="auto"/>
            </w:tcBorders>
            <w:shd w:val="clear" w:color="auto" w:fill="E5F1FF"/>
            <w:vAlign w:val="center"/>
            <w:hideMark/>
          </w:tcPr>
          <w:p w14:paraId="6B0FA6CE" w14:textId="40666E82"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N</w:t>
            </w:r>
            <w:r w:rsidR="00393DDB" w:rsidRPr="000C7FB7">
              <w:rPr>
                <w:rFonts w:ascii="Calibri" w:eastAsia="Times New Roman" w:hAnsi="Calibri" w:cs="Calibri"/>
                <w:b/>
                <w:bCs/>
                <w:color w:val="000000"/>
                <w:sz w:val="20"/>
                <w:szCs w:val="20"/>
                <w:lang w:eastAsia="cs-CZ"/>
              </w:rPr>
              <w:t>evyhovující</w:t>
            </w:r>
          </w:p>
        </w:tc>
        <w:tc>
          <w:tcPr>
            <w:tcW w:w="1341" w:type="dxa"/>
            <w:tcBorders>
              <w:top w:val="nil"/>
              <w:left w:val="nil"/>
              <w:bottom w:val="single" w:sz="4" w:space="0" w:color="auto"/>
              <w:right w:val="single" w:sz="4" w:space="0" w:color="auto"/>
            </w:tcBorders>
            <w:shd w:val="clear" w:color="auto" w:fill="E5F1FF"/>
            <w:vAlign w:val="center"/>
            <w:hideMark/>
          </w:tcPr>
          <w:p w14:paraId="527F2D56" w14:textId="2BCF5219" w:rsidR="00393DDB" w:rsidRPr="000C7FB7" w:rsidRDefault="000C7FB7"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H</w:t>
            </w:r>
            <w:r w:rsidR="00393DDB" w:rsidRPr="000C7FB7">
              <w:rPr>
                <w:rFonts w:ascii="Calibri" w:eastAsia="Times New Roman" w:hAnsi="Calibri" w:cs="Calibri"/>
                <w:b/>
                <w:bCs/>
                <w:color w:val="000000"/>
                <w:sz w:val="20"/>
                <w:szCs w:val="20"/>
                <w:lang w:eastAsia="cs-CZ"/>
              </w:rPr>
              <w:t>avarijní</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73FB29DC" w14:textId="77777777" w:rsidR="00393DDB" w:rsidRPr="00926413" w:rsidRDefault="00393DDB" w:rsidP="00393DDB">
            <w:pPr>
              <w:spacing w:after="0" w:line="240" w:lineRule="auto"/>
              <w:rPr>
                <w:rFonts w:ascii="Calibri" w:eastAsia="Times New Roman" w:hAnsi="Calibri" w:cs="Calibri"/>
                <w:bCs/>
                <w:color w:val="000000"/>
                <w:sz w:val="20"/>
                <w:szCs w:val="20"/>
                <w:lang w:eastAsia="cs-CZ"/>
              </w:rPr>
            </w:pPr>
          </w:p>
        </w:tc>
      </w:tr>
      <w:tr w:rsidR="00393DDB" w:rsidRPr="00926413" w14:paraId="2545CC49"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08E97A5"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2013</w:t>
            </w:r>
          </w:p>
        </w:tc>
        <w:tc>
          <w:tcPr>
            <w:tcW w:w="1184" w:type="dxa"/>
            <w:tcBorders>
              <w:top w:val="nil"/>
              <w:left w:val="nil"/>
              <w:bottom w:val="single" w:sz="4" w:space="0" w:color="auto"/>
              <w:right w:val="single" w:sz="4" w:space="0" w:color="auto"/>
            </w:tcBorders>
            <w:shd w:val="clear" w:color="auto" w:fill="auto"/>
            <w:vAlign w:val="center"/>
            <w:hideMark/>
          </w:tcPr>
          <w:p w14:paraId="595C8748"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461,700</w:t>
            </w:r>
          </w:p>
        </w:tc>
        <w:tc>
          <w:tcPr>
            <w:tcW w:w="1184" w:type="dxa"/>
            <w:tcBorders>
              <w:top w:val="nil"/>
              <w:left w:val="nil"/>
              <w:bottom w:val="single" w:sz="4" w:space="0" w:color="auto"/>
              <w:right w:val="single" w:sz="4" w:space="0" w:color="auto"/>
            </w:tcBorders>
            <w:shd w:val="clear" w:color="auto" w:fill="auto"/>
            <w:vAlign w:val="center"/>
            <w:hideMark/>
          </w:tcPr>
          <w:p w14:paraId="4DBEB60A"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415,530</w:t>
            </w:r>
          </w:p>
        </w:tc>
        <w:tc>
          <w:tcPr>
            <w:tcW w:w="1419" w:type="dxa"/>
            <w:tcBorders>
              <w:top w:val="nil"/>
              <w:left w:val="nil"/>
              <w:bottom w:val="single" w:sz="4" w:space="0" w:color="auto"/>
              <w:right w:val="single" w:sz="4" w:space="0" w:color="auto"/>
            </w:tcBorders>
            <w:shd w:val="clear" w:color="auto" w:fill="auto"/>
            <w:vAlign w:val="center"/>
            <w:hideMark/>
          </w:tcPr>
          <w:p w14:paraId="285A7227"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554,040</w:t>
            </w:r>
          </w:p>
        </w:tc>
        <w:tc>
          <w:tcPr>
            <w:tcW w:w="1731" w:type="dxa"/>
            <w:tcBorders>
              <w:top w:val="nil"/>
              <w:left w:val="nil"/>
              <w:bottom w:val="single" w:sz="4" w:space="0" w:color="auto"/>
              <w:right w:val="single" w:sz="4" w:space="0" w:color="auto"/>
            </w:tcBorders>
            <w:shd w:val="clear" w:color="auto" w:fill="auto"/>
            <w:vAlign w:val="center"/>
            <w:hideMark/>
          </w:tcPr>
          <w:p w14:paraId="30DA17D0" w14:textId="15699B23"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061,910</w:t>
            </w:r>
          </w:p>
        </w:tc>
        <w:tc>
          <w:tcPr>
            <w:tcW w:w="1341" w:type="dxa"/>
            <w:tcBorders>
              <w:top w:val="nil"/>
              <w:left w:val="nil"/>
              <w:bottom w:val="single" w:sz="4" w:space="0" w:color="auto"/>
              <w:right w:val="single" w:sz="4" w:space="0" w:color="auto"/>
            </w:tcBorders>
            <w:shd w:val="clear" w:color="auto" w:fill="auto"/>
            <w:vAlign w:val="center"/>
            <w:hideMark/>
          </w:tcPr>
          <w:p w14:paraId="39D051A4" w14:textId="59A810EB"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123,820</w:t>
            </w:r>
          </w:p>
        </w:tc>
        <w:tc>
          <w:tcPr>
            <w:tcW w:w="1340" w:type="dxa"/>
            <w:tcBorders>
              <w:top w:val="nil"/>
              <w:left w:val="nil"/>
              <w:bottom w:val="single" w:sz="4" w:space="0" w:color="auto"/>
              <w:right w:val="single" w:sz="4" w:space="0" w:color="auto"/>
            </w:tcBorders>
            <w:shd w:val="clear" w:color="auto" w:fill="auto"/>
            <w:vAlign w:val="center"/>
            <w:hideMark/>
          </w:tcPr>
          <w:p w14:paraId="07D8DA92" w14:textId="097E7655" w:rsidR="00393DDB" w:rsidRPr="00A660F0" w:rsidRDefault="00393DDB" w:rsidP="00831687">
            <w:pPr>
              <w:spacing w:after="0" w:line="240" w:lineRule="auto"/>
              <w:ind w:right="214"/>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4</w:t>
            </w:r>
            <w:r w:rsid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617,000</w:t>
            </w:r>
          </w:p>
        </w:tc>
      </w:tr>
      <w:tr w:rsidR="00393DDB" w:rsidRPr="00926413" w14:paraId="05236229"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BADDAC"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2014</w:t>
            </w:r>
          </w:p>
        </w:tc>
        <w:tc>
          <w:tcPr>
            <w:tcW w:w="1184" w:type="dxa"/>
            <w:tcBorders>
              <w:top w:val="nil"/>
              <w:left w:val="nil"/>
              <w:bottom w:val="single" w:sz="4" w:space="0" w:color="auto"/>
              <w:right w:val="single" w:sz="4" w:space="0" w:color="auto"/>
            </w:tcBorders>
            <w:shd w:val="clear" w:color="auto" w:fill="auto"/>
            <w:vAlign w:val="center"/>
            <w:hideMark/>
          </w:tcPr>
          <w:p w14:paraId="78D6B818"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600,210</w:t>
            </w:r>
          </w:p>
        </w:tc>
        <w:tc>
          <w:tcPr>
            <w:tcW w:w="1184" w:type="dxa"/>
            <w:tcBorders>
              <w:top w:val="nil"/>
              <w:left w:val="nil"/>
              <w:bottom w:val="single" w:sz="4" w:space="0" w:color="auto"/>
              <w:right w:val="single" w:sz="4" w:space="0" w:color="auto"/>
            </w:tcBorders>
            <w:shd w:val="clear" w:color="auto" w:fill="auto"/>
            <w:vAlign w:val="center"/>
            <w:hideMark/>
          </w:tcPr>
          <w:p w14:paraId="60615BCB"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507,870</w:t>
            </w:r>
          </w:p>
        </w:tc>
        <w:tc>
          <w:tcPr>
            <w:tcW w:w="1419" w:type="dxa"/>
            <w:tcBorders>
              <w:top w:val="nil"/>
              <w:left w:val="nil"/>
              <w:bottom w:val="single" w:sz="4" w:space="0" w:color="auto"/>
              <w:right w:val="single" w:sz="4" w:space="0" w:color="auto"/>
            </w:tcBorders>
            <w:shd w:val="clear" w:color="auto" w:fill="auto"/>
            <w:vAlign w:val="center"/>
            <w:hideMark/>
          </w:tcPr>
          <w:p w14:paraId="120B5AE2"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669,465</w:t>
            </w:r>
          </w:p>
        </w:tc>
        <w:tc>
          <w:tcPr>
            <w:tcW w:w="1731" w:type="dxa"/>
            <w:tcBorders>
              <w:top w:val="nil"/>
              <w:left w:val="nil"/>
              <w:bottom w:val="single" w:sz="4" w:space="0" w:color="auto"/>
              <w:right w:val="single" w:sz="4" w:space="0" w:color="auto"/>
            </w:tcBorders>
            <w:shd w:val="clear" w:color="auto" w:fill="auto"/>
            <w:vAlign w:val="center"/>
            <w:hideMark/>
          </w:tcPr>
          <w:p w14:paraId="58AA454D" w14:textId="3EC15960"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108,080</w:t>
            </w:r>
          </w:p>
        </w:tc>
        <w:tc>
          <w:tcPr>
            <w:tcW w:w="1341" w:type="dxa"/>
            <w:tcBorders>
              <w:top w:val="nil"/>
              <w:left w:val="nil"/>
              <w:bottom w:val="single" w:sz="4" w:space="0" w:color="auto"/>
              <w:right w:val="single" w:sz="4" w:space="0" w:color="auto"/>
            </w:tcBorders>
            <w:shd w:val="clear" w:color="auto" w:fill="auto"/>
            <w:vAlign w:val="center"/>
            <w:hideMark/>
          </w:tcPr>
          <w:p w14:paraId="17317377" w14:textId="4D28E442"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731,375</w:t>
            </w:r>
          </w:p>
        </w:tc>
        <w:tc>
          <w:tcPr>
            <w:tcW w:w="1340" w:type="dxa"/>
            <w:tcBorders>
              <w:top w:val="nil"/>
              <w:left w:val="nil"/>
              <w:bottom w:val="single" w:sz="4" w:space="0" w:color="auto"/>
              <w:right w:val="single" w:sz="4" w:space="0" w:color="auto"/>
            </w:tcBorders>
            <w:shd w:val="clear" w:color="auto" w:fill="auto"/>
            <w:vAlign w:val="center"/>
            <w:hideMark/>
          </w:tcPr>
          <w:p w14:paraId="5F276390" w14:textId="74AD9F16" w:rsidR="00393DDB" w:rsidRPr="00A660F0" w:rsidRDefault="00393DDB" w:rsidP="00831687">
            <w:pPr>
              <w:spacing w:after="0" w:line="240" w:lineRule="auto"/>
              <w:ind w:right="214"/>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4</w:t>
            </w:r>
            <w:r w:rsid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617,000</w:t>
            </w:r>
          </w:p>
        </w:tc>
      </w:tr>
      <w:tr w:rsidR="00393DDB" w:rsidRPr="00926413" w14:paraId="14F068D8"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9796003"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2015</w:t>
            </w:r>
          </w:p>
        </w:tc>
        <w:tc>
          <w:tcPr>
            <w:tcW w:w="1184" w:type="dxa"/>
            <w:tcBorders>
              <w:top w:val="nil"/>
              <w:left w:val="nil"/>
              <w:bottom w:val="single" w:sz="4" w:space="0" w:color="auto"/>
              <w:right w:val="single" w:sz="4" w:space="0" w:color="auto"/>
            </w:tcBorders>
            <w:shd w:val="clear" w:color="auto" w:fill="auto"/>
            <w:vAlign w:val="center"/>
            <w:hideMark/>
          </w:tcPr>
          <w:p w14:paraId="006537DF"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738,560</w:t>
            </w:r>
          </w:p>
        </w:tc>
        <w:tc>
          <w:tcPr>
            <w:tcW w:w="1184" w:type="dxa"/>
            <w:tcBorders>
              <w:top w:val="nil"/>
              <w:left w:val="nil"/>
              <w:bottom w:val="single" w:sz="4" w:space="0" w:color="auto"/>
              <w:right w:val="single" w:sz="4" w:space="0" w:color="auto"/>
            </w:tcBorders>
            <w:shd w:val="clear" w:color="auto" w:fill="auto"/>
            <w:vAlign w:val="center"/>
            <w:hideMark/>
          </w:tcPr>
          <w:p w14:paraId="461D2540"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600,080</w:t>
            </w:r>
          </w:p>
        </w:tc>
        <w:tc>
          <w:tcPr>
            <w:tcW w:w="1419" w:type="dxa"/>
            <w:tcBorders>
              <w:top w:val="nil"/>
              <w:left w:val="nil"/>
              <w:bottom w:val="single" w:sz="4" w:space="0" w:color="auto"/>
              <w:right w:val="single" w:sz="4" w:space="0" w:color="auto"/>
            </w:tcBorders>
            <w:shd w:val="clear" w:color="auto" w:fill="auto"/>
            <w:vAlign w:val="center"/>
            <w:hideMark/>
          </w:tcPr>
          <w:p w14:paraId="672AEDC7"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784,720</w:t>
            </w:r>
          </w:p>
        </w:tc>
        <w:tc>
          <w:tcPr>
            <w:tcW w:w="1731" w:type="dxa"/>
            <w:tcBorders>
              <w:top w:val="nil"/>
              <w:left w:val="nil"/>
              <w:bottom w:val="single" w:sz="4" w:space="0" w:color="auto"/>
              <w:right w:val="single" w:sz="4" w:space="0" w:color="auto"/>
            </w:tcBorders>
            <w:shd w:val="clear" w:color="auto" w:fill="auto"/>
            <w:vAlign w:val="center"/>
            <w:hideMark/>
          </w:tcPr>
          <w:p w14:paraId="74F0D83C" w14:textId="58AF3FCA"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154,000</w:t>
            </w:r>
          </w:p>
        </w:tc>
        <w:tc>
          <w:tcPr>
            <w:tcW w:w="1341" w:type="dxa"/>
            <w:tcBorders>
              <w:top w:val="nil"/>
              <w:left w:val="nil"/>
              <w:bottom w:val="single" w:sz="4" w:space="0" w:color="auto"/>
              <w:right w:val="single" w:sz="4" w:space="0" w:color="auto"/>
            </w:tcBorders>
            <w:shd w:val="clear" w:color="auto" w:fill="auto"/>
            <w:vAlign w:val="center"/>
            <w:hideMark/>
          </w:tcPr>
          <w:p w14:paraId="56A47A0B" w14:textId="79309CF9"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338,640</w:t>
            </w:r>
          </w:p>
        </w:tc>
        <w:tc>
          <w:tcPr>
            <w:tcW w:w="1340" w:type="dxa"/>
            <w:tcBorders>
              <w:top w:val="nil"/>
              <w:left w:val="nil"/>
              <w:bottom w:val="single" w:sz="4" w:space="0" w:color="auto"/>
              <w:right w:val="single" w:sz="4" w:space="0" w:color="auto"/>
            </w:tcBorders>
            <w:shd w:val="clear" w:color="auto" w:fill="auto"/>
            <w:vAlign w:val="center"/>
            <w:hideMark/>
          </w:tcPr>
          <w:p w14:paraId="7EEAE8C2" w14:textId="7571BFBA" w:rsidR="00393DDB" w:rsidRPr="00A660F0" w:rsidRDefault="00393DDB" w:rsidP="00831687">
            <w:pPr>
              <w:spacing w:after="0" w:line="240" w:lineRule="auto"/>
              <w:ind w:right="214"/>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4</w:t>
            </w:r>
            <w:r w:rsid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616,000</w:t>
            </w:r>
          </w:p>
        </w:tc>
      </w:tr>
      <w:tr w:rsidR="00393DDB" w:rsidRPr="00926413" w14:paraId="7ACA43A4"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5F2DE70"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2016</w:t>
            </w:r>
          </w:p>
        </w:tc>
        <w:tc>
          <w:tcPr>
            <w:tcW w:w="1184" w:type="dxa"/>
            <w:tcBorders>
              <w:top w:val="nil"/>
              <w:left w:val="nil"/>
              <w:bottom w:val="single" w:sz="4" w:space="0" w:color="auto"/>
              <w:right w:val="single" w:sz="4" w:space="0" w:color="auto"/>
            </w:tcBorders>
            <w:shd w:val="clear" w:color="auto" w:fill="auto"/>
            <w:vAlign w:val="center"/>
            <w:hideMark/>
          </w:tcPr>
          <w:p w14:paraId="314C62D4"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758,009</w:t>
            </w:r>
          </w:p>
        </w:tc>
        <w:tc>
          <w:tcPr>
            <w:tcW w:w="1184" w:type="dxa"/>
            <w:tcBorders>
              <w:top w:val="nil"/>
              <w:left w:val="nil"/>
              <w:bottom w:val="single" w:sz="4" w:space="0" w:color="auto"/>
              <w:right w:val="single" w:sz="4" w:space="0" w:color="auto"/>
            </w:tcBorders>
            <w:shd w:val="clear" w:color="auto" w:fill="auto"/>
            <w:vAlign w:val="center"/>
            <w:hideMark/>
          </w:tcPr>
          <w:p w14:paraId="5A782752"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813,438</w:t>
            </w:r>
          </w:p>
        </w:tc>
        <w:tc>
          <w:tcPr>
            <w:tcW w:w="1419" w:type="dxa"/>
            <w:tcBorders>
              <w:top w:val="nil"/>
              <w:left w:val="nil"/>
              <w:bottom w:val="single" w:sz="4" w:space="0" w:color="auto"/>
              <w:right w:val="single" w:sz="4" w:space="0" w:color="auto"/>
            </w:tcBorders>
            <w:shd w:val="clear" w:color="auto" w:fill="auto"/>
            <w:vAlign w:val="center"/>
            <w:hideMark/>
          </w:tcPr>
          <w:p w14:paraId="4E89597E" w14:textId="04A7F6D9"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038,527</w:t>
            </w:r>
          </w:p>
        </w:tc>
        <w:tc>
          <w:tcPr>
            <w:tcW w:w="1731" w:type="dxa"/>
            <w:tcBorders>
              <w:top w:val="nil"/>
              <w:left w:val="nil"/>
              <w:bottom w:val="single" w:sz="4" w:space="0" w:color="auto"/>
              <w:right w:val="single" w:sz="4" w:space="0" w:color="auto"/>
            </w:tcBorders>
            <w:shd w:val="clear" w:color="auto" w:fill="auto"/>
            <w:vAlign w:val="center"/>
            <w:hideMark/>
          </w:tcPr>
          <w:p w14:paraId="063B1569" w14:textId="77777777"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544,059</w:t>
            </w:r>
          </w:p>
        </w:tc>
        <w:tc>
          <w:tcPr>
            <w:tcW w:w="1341" w:type="dxa"/>
            <w:tcBorders>
              <w:top w:val="nil"/>
              <w:left w:val="nil"/>
              <w:bottom w:val="single" w:sz="4" w:space="0" w:color="auto"/>
              <w:right w:val="single" w:sz="4" w:space="0" w:color="auto"/>
            </w:tcBorders>
            <w:shd w:val="clear" w:color="auto" w:fill="auto"/>
            <w:vAlign w:val="center"/>
            <w:hideMark/>
          </w:tcPr>
          <w:p w14:paraId="23B1206F" w14:textId="06CBB94B" w:rsidR="00393DDB" w:rsidRPr="00926413" w:rsidRDefault="00393DDB" w:rsidP="00831687">
            <w:pPr>
              <w:spacing w:after="0" w:line="240" w:lineRule="auto"/>
              <w:ind w:right="214"/>
              <w:jc w:val="right"/>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w:t>
            </w:r>
            <w:r w:rsidR="00A660F0">
              <w:rPr>
                <w:rFonts w:ascii="Calibri" w:eastAsia="Times New Roman" w:hAnsi="Calibri" w:cs="Calibri"/>
                <w:color w:val="000000"/>
                <w:sz w:val="20"/>
                <w:szCs w:val="20"/>
                <w:lang w:eastAsia="cs-CZ"/>
              </w:rPr>
              <w:t> </w:t>
            </w:r>
            <w:r w:rsidRPr="00926413">
              <w:rPr>
                <w:rFonts w:ascii="Calibri" w:eastAsia="Times New Roman" w:hAnsi="Calibri" w:cs="Calibri"/>
                <w:color w:val="000000"/>
                <w:sz w:val="20"/>
                <w:szCs w:val="20"/>
                <w:lang w:eastAsia="cs-CZ"/>
              </w:rPr>
              <w:t>461,968</w:t>
            </w:r>
          </w:p>
        </w:tc>
        <w:tc>
          <w:tcPr>
            <w:tcW w:w="1340" w:type="dxa"/>
            <w:tcBorders>
              <w:top w:val="nil"/>
              <w:left w:val="nil"/>
              <w:bottom w:val="single" w:sz="4" w:space="0" w:color="auto"/>
              <w:right w:val="single" w:sz="4" w:space="0" w:color="auto"/>
            </w:tcBorders>
            <w:shd w:val="clear" w:color="auto" w:fill="auto"/>
            <w:vAlign w:val="center"/>
            <w:hideMark/>
          </w:tcPr>
          <w:p w14:paraId="5D35FA25" w14:textId="01C01C66" w:rsidR="00393DDB" w:rsidRPr="00A660F0" w:rsidRDefault="00393DDB" w:rsidP="00831687">
            <w:pPr>
              <w:spacing w:after="0" w:line="240" w:lineRule="auto"/>
              <w:ind w:right="214"/>
              <w:jc w:val="right"/>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4</w:t>
            </w:r>
            <w:r w:rsid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616,000</w:t>
            </w:r>
          </w:p>
        </w:tc>
      </w:tr>
    </w:tbl>
    <w:p w14:paraId="3C91E17D" w14:textId="7ED5BAE3" w:rsidR="00393DDB" w:rsidRPr="00393DDB" w:rsidRDefault="00393DDB" w:rsidP="00926413">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0C7FB7">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43845C71" w14:textId="77777777" w:rsidR="00393DDB" w:rsidRPr="00393DDB" w:rsidRDefault="00393DDB" w:rsidP="00393DDB">
      <w:pPr>
        <w:spacing w:after="0" w:line="240" w:lineRule="auto"/>
        <w:jc w:val="both"/>
        <w:rPr>
          <w:rFonts w:eastAsia="Times New Roman" w:cs="Calibri"/>
          <w:sz w:val="24"/>
          <w:szCs w:val="24"/>
          <w:lang w:eastAsia="cs-CZ"/>
        </w:rPr>
      </w:pPr>
    </w:p>
    <w:p w14:paraId="47DB2155" w14:textId="609D3A7E" w:rsidR="00393DDB" w:rsidRPr="00393DDB" w:rsidRDefault="00393DDB" w:rsidP="00393DDB">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Z tabulky č. </w:t>
      </w:r>
      <w:r w:rsidR="00286878">
        <w:rPr>
          <w:rFonts w:eastAsia="Times New Roman" w:cs="Calibri"/>
          <w:sz w:val="24"/>
          <w:szCs w:val="24"/>
          <w:lang w:eastAsia="cs-CZ"/>
        </w:rPr>
        <w:t>7</w:t>
      </w:r>
      <w:r w:rsidRPr="00393DDB">
        <w:rPr>
          <w:rFonts w:eastAsia="Times New Roman" w:cs="Calibri"/>
          <w:sz w:val="24"/>
          <w:szCs w:val="24"/>
          <w:lang w:eastAsia="cs-CZ"/>
        </w:rPr>
        <w:t xml:space="preserve"> a </w:t>
      </w:r>
      <w:r w:rsidR="00286878">
        <w:rPr>
          <w:rFonts w:eastAsia="Times New Roman" w:cs="Calibri"/>
          <w:sz w:val="24"/>
          <w:szCs w:val="24"/>
          <w:lang w:eastAsia="cs-CZ"/>
        </w:rPr>
        <w:t>8</w:t>
      </w:r>
      <w:r w:rsidRPr="00393DDB">
        <w:rPr>
          <w:rFonts w:eastAsia="Times New Roman" w:cs="Calibri"/>
          <w:sz w:val="24"/>
          <w:szCs w:val="24"/>
          <w:lang w:eastAsia="cs-CZ"/>
        </w:rPr>
        <w:t xml:space="preserve"> vyplývá, že v období let 2013 až 2016 se snížila délka silnic v nevyhovujícím a havarijním stavu v Plzeňském kraji o 1</w:t>
      </w:r>
      <w:r w:rsidR="00844F28">
        <w:rPr>
          <w:rFonts w:eastAsia="Times New Roman" w:cs="Calibri"/>
          <w:sz w:val="24"/>
          <w:szCs w:val="24"/>
          <w:lang w:eastAsia="cs-CZ"/>
        </w:rPr>
        <w:t> </w:t>
      </w:r>
      <w:r w:rsidRPr="00393DDB">
        <w:rPr>
          <w:rFonts w:eastAsia="Times New Roman" w:cs="Calibri"/>
          <w:sz w:val="24"/>
          <w:szCs w:val="24"/>
          <w:lang w:eastAsia="cs-CZ"/>
        </w:rPr>
        <w:t>177 km, tj. o 25,5 % celkové délky silnic II. a III. třídy na území Plzeňského kraje. Situaci ilustruje graf č. 3.</w:t>
      </w:r>
    </w:p>
    <w:p w14:paraId="3C9AA241" w14:textId="77777777" w:rsidR="00FD2EBA" w:rsidRDefault="00FD2EBA" w:rsidP="00393DDB">
      <w:pPr>
        <w:spacing w:after="0" w:line="240" w:lineRule="auto"/>
        <w:jc w:val="both"/>
        <w:rPr>
          <w:rFonts w:eastAsia="Times New Roman" w:cs="Calibri"/>
          <w:sz w:val="24"/>
          <w:szCs w:val="24"/>
          <w:lang w:eastAsia="cs-CZ"/>
        </w:rPr>
      </w:pPr>
    </w:p>
    <w:p w14:paraId="134F726E" w14:textId="685BB186" w:rsidR="00393DDB" w:rsidRPr="001A4511" w:rsidRDefault="00393DDB" w:rsidP="001A4511">
      <w:pPr>
        <w:keepNext/>
        <w:tabs>
          <w:tab w:val="right" w:pos="9072"/>
        </w:tabs>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Graf č. 3</w:t>
      </w:r>
      <w:r w:rsidR="001C4C5F">
        <w:rPr>
          <w:rFonts w:eastAsia="Times New Roman" w:cs="Calibri"/>
          <w:b/>
          <w:sz w:val="24"/>
          <w:szCs w:val="24"/>
          <w:lang w:eastAsia="cs-CZ"/>
        </w:rPr>
        <w:t xml:space="preserve"> – Stav silnic II. a III. třídy v Plzeňském kraji</w:t>
      </w:r>
      <w:r w:rsidR="001C4C5F">
        <w:rPr>
          <w:rFonts w:eastAsia="Times New Roman" w:cs="Calibri"/>
          <w:b/>
          <w:sz w:val="24"/>
          <w:szCs w:val="24"/>
          <w:lang w:eastAsia="cs-CZ"/>
        </w:rPr>
        <w:tab/>
        <w:t>(v </w:t>
      </w:r>
      <w:r w:rsidR="00844F28">
        <w:rPr>
          <w:rFonts w:eastAsia="Times New Roman" w:cs="Calibri"/>
          <w:b/>
          <w:sz w:val="24"/>
          <w:szCs w:val="24"/>
          <w:lang w:eastAsia="cs-CZ"/>
        </w:rPr>
        <w:t>%</w:t>
      </w:r>
      <w:r w:rsidR="001C4C5F">
        <w:rPr>
          <w:rFonts w:eastAsia="Times New Roman" w:cs="Calibri"/>
          <w:b/>
          <w:sz w:val="24"/>
          <w:szCs w:val="24"/>
          <w:lang w:eastAsia="cs-CZ"/>
        </w:rPr>
        <w:t>)</w:t>
      </w:r>
    </w:p>
    <w:p w14:paraId="69E59F21" w14:textId="77777777" w:rsidR="00393DDB" w:rsidRPr="00393DDB" w:rsidRDefault="001A4511" w:rsidP="00393DDB">
      <w:pPr>
        <w:spacing w:after="0" w:line="240" w:lineRule="auto"/>
        <w:jc w:val="both"/>
        <w:rPr>
          <w:rFonts w:eastAsia="Times New Roman" w:cs="Calibri"/>
          <w:sz w:val="24"/>
          <w:szCs w:val="24"/>
          <w:lang w:eastAsia="cs-CZ"/>
        </w:rPr>
      </w:pPr>
      <w:r w:rsidRPr="001A4511">
        <w:rPr>
          <w:rFonts w:eastAsia="Times New Roman" w:cs="Calibri"/>
          <w:noProof/>
          <w:sz w:val="24"/>
          <w:szCs w:val="24"/>
          <w:lang w:eastAsia="cs-CZ"/>
        </w:rPr>
        <w:drawing>
          <wp:inline distT="0" distB="0" distL="0" distR="0" wp14:anchorId="4092CAA2" wp14:editId="5A748623">
            <wp:extent cx="5780599" cy="2877778"/>
            <wp:effectExtent l="0" t="0" r="0" b="0"/>
            <wp:docPr id="19" name="Obrázek 19" descr="H:\KOREKTURY\graf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OREKTURY\graf_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64" b="-1"/>
                    <a:stretch/>
                  </pic:blipFill>
                  <pic:spPr bwMode="auto">
                    <a:xfrm>
                      <a:off x="0" y="0"/>
                      <a:ext cx="5790110" cy="2882513"/>
                    </a:xfrm>
                    <a:prstGeom prst="rect">
                      <a:avLst/>
                    </a:prstGeom>
                    <a:noFill/>
                    <a:ln>
                      <a:noFill/>
                    </a:ln>
                    <a:extLst>
                      <a:ext uri="{53640926-AAD7-44D8-BBD7-CCE9431645EC}">
                        <a14:shadowObscured xmlns:a14="http://schemas.microsoft.com/office/drawing/2010/main"/>
                      </a:ext>
                    </a:extLst>
                  </pic:spPr>
                </pic:pic>
              </a:graphicData>
            </a:graphic>
          </wp:inline>
        </w:drawing>
      </w:r>
    </w:p>
    <w:p w14:paraId="2916A588" w14:textId="3DF36066" w:rsidR="00393DDB" w:rsidRPr="00393DDB" w:rsidRDefault="00393DDB" w:rsidP="00393DDB">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lastRenderedPageBreak/>
        <w:t xml:space="preserve">Situaci v Libereckém kraji ve stejném období 2013 až 2016 dokumentují tabulky č. </w:t>
      </w:r>
      <w:r w:rsidR="00286878">
        <w:rPr>
          <w:rFonts w:eastAsia="Times New Roman" w:cs="Calibri"/>
          <w:sz w:val="24"/>
          <w:szCs w:val="24"/>
          <w:lang w:eastAsia="cs-CZ"/>
        </w:rPr>
        <w:t>9</w:t>
      </w:r>
      <w:r w:rsidRPr="00393DDB">
        <w:rPr>
          <w:rFonts w:eastAsia="Times New Roman" w:cs="Calibri"/>
          <w:sz w:val="24"/>
          <w:szCs w:val="24"/>
          <w:lang w:eastAsia="cs-CZ"/>
        </w:rPr>
        <w:t xml:space="preserve"> a 1</w:t>
      </w:r>
      <w:r w:rsidR="00286878">
        <w:rPr>
          <w:rFonts w:eastAsia="Times New Roman" w:cs="Calibri"/>
          <w:sz w:val="24"/>
          <w:szCs w:val="24"/>
          <w:lang w:eastAsia="cs-CZ"/>
        </w:rPr>
        <w:t>0</w:t>
      </w:r>
      <w:r w:rsidRPr="00393DDB">
        <w:rPr>
          <w:rFonts w:eastAsia="Times New Roman" w:cs="Calibri"/>
          <w:sz w:val="24"/>
          <w:szCs w:val="24"/>
          <w:lang w:eastAsia="cs-CZ"/>
        </w:rPr>
        <w:t>, v nichž jsou uvedeny výsledky monitoringu stavu silnic jak v délkových jednotkách (km), tak v procentech celkové délky silnic II. a III. třídy (zhruba 2</w:t>
      </w:r>
      <w:r w:rsidR="00844F28">
        <w:rPr>
          <w:rFonts w:eastAsia="Times New Roman" w:cs="Calibri"/>
          <w:sz w:val="24"/>
          <w:szCs w:val="24"/>
          <w:lang w:eastAsia="cs-CZ"/>
        </w:rPr>
        <w:t> </w:t>
      </w:r>
      <w:r w:rsidRPr="00393DDB">
        <w:rPr>
          <w:rFonts w:eastAsia="Times New Roman" w:cs="Calibri"/>
          <w:sz w:val="24"/>
          <w:szCs w:val="24"/>
          <w:lang w:eastAsia="cs-CZ"/>
        </w:rPr>
        <w:t>077 km).</w:t>
      </w:r>
    </w:p>
    <w:p w14:paraId="64D92580" w14:textId="77777777" w:rsidR="00393DDB" w:rsidRPr="00393DDB" w:rsidRDefault="00393DDB" w:rsidP="00926413">
      <w:pPr>
        <w:spacing w:after="0" w:line="240" w:lineRule="auto"/>
        <w:jc w:val="both"/>
        <w:rPr>
          <w:rFonts w:eastAsia="Times New Roman" w:cs="Calibri"/>
          <w:sz w:val="24"/>
          <w:szCs w:val="24"/>
          <w:lang w:eastAsia="cs-CZ"/>
        </w:rPr>
      </w:pPr>
    </w:p>
    <w:p w14:paraId="79808A32" w14:textId="1996BA9A" w:rsidR="00393DDB" w:rsidRPr="00054EE5" w:rsidRDefault="00393DDB" w:rsidP="00926413">
      <w:pPr>
        <w:tabs>
          <w:tab w:val="right" w:pos="9072"/>
        </w:tabs>
        <w:spacing w:after="40" w:line="240" w:lineRule="auto"/>
        <w:rPr>
          <w:rFonts w:cstheme="minorHAnsi"/>
          <w:b/>
          <w:sz w:val="24"/>
          <w:szCs w:val="24"/>
        </w:rPr>
      </w:pPr>
      <w:r w:rsidRPr="00054EE5">
        <w:rPr>
          <w:rFonts w:cstheme="minorHAnsi"/>
          <w:b/>
          <w:sz w:val="24"/>
          <w:szCs w:val="24"/>
        </w:rPr>
        <w:t xml:space="preserve">Tabulka č. </w:t>
      </w:r>
      <w:r w:rsidR="00286878" w:rsidRPr="00054EE5">
        <w:rPr>
          <w:rFonts w:cstheme="minorHAnsi"/>
          <w:b/>
          <w:sz w:val="24"/>
          <w:szCs w:val="24"/>
        </w:rPr>
        <w:t>9</w:t>
      </w:r>
      <w:r w:rsidRPr="00054EE5">
        <w:rPr>
          <w:rFonts w:cstheme="minorHAnsi"/>
          <w:b/>
          <w:sz w:val="24"/>
          <w:szCs w:val="24"/>
        </w:rPr>
        <w:t xml:space="preserve"> – </w:t>
      </w:r>
      <w:r w:rsidRPr="00054EE5">
        <w:rPr>
          <w:rFonts w:cs="Calibri"/>
          <w:b/>
          <w:sz w:val="24"/>
          <w:szCs w:val="24"/>
        </w:rPr>
        <w:t xml:space="preserve">Silnice II. a III. třídy podle stavu v Libereckém kraji </w:t>
      </w:r>
      <w:r w:rsidR="00EF6745">
        <w:rPr>
          <w:rFonts w:cs="Calibri"/>
          <w:b/>
          <w:sz w:val="24"/>
          <w:szCs w:val="24"/>
        </w:rPr>
        <w:tab/>
      </w:r>
      <w:r w:rsidRPr="00054EE5">
        <w:rPr>
          <w:rFonts w:cs="Calibri"/>
          <w:b/>
          <w:sz w:val="24"/>
          <w:szCs w:val="24"/>
        </w:rPr>
        <w:t>(v %)</w:t>
      </w:r>
    </w:p>
    <w:tbl>
      <w:tblPr>
        <w:tblW w:w="9046" w:type="dxa"/>
        <w:tblCellMar>
          <w:left w:w="70" w:type="dxa"/>
          <w:right w:w="70" w:type="dxa"/>
        </w:tblCellMar>
        <w:tblLook w:val="04A0" w:firstRow="1" w:lastRow="0" w:firstColumn="1" w:lastColumn="0" w:noHBand="0" w:noVBand="1"/>
      </w:tblPr>
      <w:tblGrid>
        <w:gridCol w:w="1056"/>
        <w:gridCol w:w="1294"/>
        <w:gridCol w:w="1124"/>
        <w:gridCol w:w="1384"/>
        <w:gridCol w:w="1688"/>
        <w:gridCol w:w="1233"/>
        <w:gridCol w:w="1267"/>
      </w:tblGrid>
      <w:tr w:rsidR="00393DDB" w:rsidRPr="00926413" w14:paraId="430D13A4" w14:textId="77777777" w:rsidTr="00EF6745">
        <w:trPr>
          <w:trHeight w:val="227"/>
        </w:trPr>
        <w:tc>
          <w:tcPr>
            <w:tcW w:w="1056"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5342932E" w14:textId="77777777" w:rsidR="00393DDB" w:rsidRPr="00EF6745" w:rsidRDefault="00393DDB" w:rsidP="00393DDB">
            <w:pPr>
              <w:spacing w:after="0" w:line="240" w:lineRule="auto"/>
              <w:jc w:val="center"/>
              <w:rPr>
                <w:rFonts w:ascii="Calibri" w:eastAsia="Times New Roman" w:hAnsi="Calibri" w:cs="Calibri"/>
                <w:b/>
                <w:bCs/>
                <w:color w:val="000000"/>
                <w:sz w:val="20"/>
                <w:szCs w:val="20"/>
                <w:lang w:eastAsia="cs-CZ"/>
              </w:rPr>
            </w:pPr>
            <w:r w:rsidRPr="00EF6745">
              <w:rPr>
                <w:rFonts w:ascii="Calibri" w:eastAsia="Times New Roman" w:hAnsi="Calibri" w:cs="Calibri"/>
                <w:b/>
                <w:bCs/>
                <w:color w:val="000000"/>
                <w:sz w:val="20"/>
                <w:szCs w:val="20"/>
                <w:lang w:eastAsia="cs-CZ"/>
              </w:rPr>
              <w:t>Rok</w:t>
            </w:r>
          </w:p>
        </w:tc>
        <w:tc>
          <w:tcPr>
            <w:tcW w:w="6723" w:type="dxa"/>
            <w:gridSpan w:val="5"/>
            <w:tcBorders>
              <w:top w:val="single" w:sz="4" w:space="0" w:color="auto"/>
              <w:left w:val="nil"/>
              <w:bottom w:val="single" w:sz="4" w:space="0" w:color="auto"/>
              <w:right w:val="single" w:sz="4" w:space="0" w:color="000000"/>
            </w:tcBorders>
            <w:shd w:val="clear" w:color="auto" w:fill="E5F1FF"/>
            <w:vAlign w:val="center"/>
            <w:hideMark/>
          </w:tcPr>
          <w:p w14:paraId="3C151EA8" w14:textId="77777777" w:rsidR="00393DDB" w:rsidRPr="00EF6745" w:rsidRDefault="00393DDB" w:rsidP="00393DDB">
            <w:pPr>
              <w:spacing w:after="0" w:line="240" w:lineRule="auto"/>
              <w:jc w:val="center"/>
              <w:rPr>
                <w:rFonts w:ascii="Calibri" w:eastAsia="Times New Roman" w:hAnsi="Calibri" w:cs="Calibri"/>
                <w:b/>
                <w:bCs/>
                <w:color w:val="000000"/>
                <w:sz w:val="20"/>
                <w:szCs w:val="20"/>
                <w:lang w:eastAsia="cs-CZ"/>
              </w:rPr>
            </w:pPr>
            <w:r w:rsidRPr="00EF6745">
              <w:rPr>
                <w:rFonts w:ascii="Calibri" w:eastAsia="Times New Roman" w:hAnsi="Calibri" w:cs="Calibri"/>
                <w:b/>
                <w:bCs/>
                <w:color w:val="000000"/>
                <w:sz w:val="20"/>
                <w:szCs w:val="20"/>
                <w:lang w:eastAsia="cs-CZ"/>
              </w:rPr>
              <w:t>Stav povrchu silnic</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1145EFCC" w14:textId="77777777" w:rsidR="00393DDB" w:rsidRPr="00EF6745" w:rsidRDefault="00393DDB" w:rsidP="00393DDB">
            <w:pPr>
              <w:spacing w:after="0" w:line="240" w:lineRule="auto"/>
              <w:jc w:val="center"/>
              <w:rPr>
                <w:rFonts w:ascii="Calibri" w:eastAsia="Times New Roman" w:hAnsi="Calibri" w:cs="Calibri"/>
                <w:b/>
                <w:bCs/>
                <w:color w:val="000000"/>
                <w:sz w:val="20"/>
                <w:szCs w:val="20"/>
                <w:lang w:eastAsia="cs-CZ"/>
              </w:rPr>
            </w:pPr>
            <w:r w:rsidRPr="00EF6745">
              <w:rPr>
                <w:rFonts w:ascii="Calibri" w:eastAsia="Times New Roman" w:hAnsi="Calibri" w:cs="Calibri"/>
                <w:b/>
                <w:bCs/>
                <w:color w:val="000000"/>
                <w:sz w:val="20"/>
                <w:szCs w:val="20"/>
                <w:lang w:eastAsia="cs-CZ"/>
              </w:rPr>
              <w:t>Celkem</w:t>
            </w:r>
          </w:p>
        </w:tc>
      </w:tr>
      <w:tr w:rsidR="00393DDB" w:rsidRPr="00926413" w14:paraId="217A3AD8" w14:textId="77777777" w:rsidTr="00EF6745">
        <w:trPr>
          <w:trHeight w:val="227"/>
        </w:trPr>
        <w:tc>
          <w:tcPr>
            <w:tcW w:w="1056" w:type="dxa"/>
            <w:vMerge/>
            <w:tcBorders>
              <w:top w:val="single" w:sz="4" w:space="0" w:color="auto"/>
              <w:left w:val="single" w:sz="4" w:space="0" w:color="auto"/>
              <w:bottom w:val="single" w:sz="4" w:space="0" w:color="000000"/>
              <w:right w:val="single" w:sz="4" w:space="0" w:color="auto"/>
            </w:tcBorders>
            <w:vAlign w:val="center"/>
            <w:hideMark/>
          </w:tcPr>
          <w:p w14:paraId="67B74CB3" w14:textId="77777777" w:rsidR="00393DDB" w:rsidRPr="00926413" w:rsidRDefault="00393DDB" w:rsidP="00393DDB">
            <w:pPr>
              <w:spacing w:after="0" w:line="240" w:lineRule="auto"/>
              <w:rPr>
                <w:rFonts w:ascii="Calibri" w:eastAsia="Times New Roman" w:hAnsi="Calibri" w:cs="Calibri"/>
                <w:bCs/>
                <w:color w:val="000000"/>
                <w:sz w:val="20"/>
                <w:szCs w:val="20"/>
                <w:lang w:eastAsia="cs-CZ"/>
              </w:rPr>
            </w:pPr>
          </w:p>
        </w:tc>
        <w:tc>
          <w:tcPr>
            <w:tcW w:w="1294" w:type="dxa"/>
            <w:tcBorders>
              <w:top w:val="nil"/>
              <w:left w:val="nil"/>
              <w:bottom w:val="single" w:sz="4" w:space="0" w:color="auto"/>
              <w:right w:val="single" w:sz="4" w:space="0" w:color="auto"/>
            </w:tcBorders>
            <w:shd w:val="clear" w:color="auto" w:fill="E5F1FF"/>
            <w:vAlign w:val="center"/>
            <w:hideMark/>
          </w:tcPr>
          <w:p w14:paraId="7E064BDC" w14:textId="6F7C3097" w:rsidR="00393DDB" w:rsidRPr="00EF6745" w:rsidRDefault="00EF6745"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EF6745">
              <w:rPr>
                <w:rFonts w:ascii="Calibri" w:eastAsia="Times New Roman" w:hAnsi="Calibri" w:cs="Calibri"/>
                <w:b/>
                <w:bCs/>
                <w:color w:val="000000"/>
                <w:sz w:val="20"/>
                <w:szCs w:val="20"/>
                <w:lang w:eastAsia="cs-CZ"/>
              </w:rPr>
              <w:t>ýborný</w:t>
            </w:r>
          </w:p>
        </w:tc>
        <w:tc>
          <w:tcPr>
            <w:tcW w:w="1124" w:type="dxa"/>
            <w:tcBorders>
              <w:top w:val="nil"/>
              <w:left w:val="nil"/>
              <w:bottom w:val="single" w:sz="4" w:space="0" w:color="auto"/>
              <w:right w:val="single" w:sz="4" w:space="0" w:color="auto"/>
            </w:tcBorders>
            <w:shd w:val="clear" w:color="auto" w:fill="E5F1FF"/>
            <w:vAlign w:val="center"/>
            <w:hideMark/>
          </w:tcPr>
          <w:p w14:paraId="52993925" w14:textId="0A60FAA8" w:rsidR="00393DDB" w:rsidRPr="00EF6745" w:rsidRDefault="00EF6745"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D</w:t>
            </w:r>
            <w:r w:rsidR="00393DDB" w:rsidRPr="00EF6745">
              <w:rPr>
                <w:rFonts w:ascii="Calibri" w:eastAsia="Times New Roman" w:hAnsi="Calibri" w:cs="Calibri"/>
                <w:b/>
                <w:bCs/>
                <w:color w:val="000000"/>
                <w:sz w:val="20"/>
                <w:szCs w:val="20"/>
                <w:lang w:eastAsia="cs-CZ"/>
              </w:rPr>
              <w:t>obrý</w:t>
            </w:r>
          </w:p>
        </w:tc>
        <w:tc>
          <w:tcPr>
            <w:tcW w:w="1384" w:type="dxa"/>
            <w:tcBorders>
              <w:top w:val="nil"/>
              <w:left w:val="nil"/>
              <w:bottom w:val="single" w:sz="4" w:space="0" w:color="auto"/>
              <w:right w:val="single" w:sz="4" w:space="0" w:color="auto"/>
            </w:tcBorders>
            <w:shd w:val="clear" w:color="auto" w:fill="E5F1FF"/>
            <w:vAlign w:val="center"/>
            <w:hideMark/>
          </w:tcPr>
          <w:p w14:paraId="5B3234F4" w14:textId="457CC4CA" w:rsidR="00393DDB" w:rsidRPr="00EF6745" w:rsidRDefault="00EF6745"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EF6745">
              <w:rPr>
                <w:rFonts w:ascii="Calibri" w:eastAsia="Times New Roman" w:hAnsi="Calibri" w:cs="Calibri"/>
                <w:b/>
                <w:bCs/>
                <w:color w:val="000000"/>
                <w:sz w:val="20"/>
                <w:szCs w:val="20"/>
                <w:lang w:eastAsia="cs-CZ"/>
              </w:rPr>
              <w:t>yhovující</w:t>
            </w:r>
          </w:p>
        </w:tc>
        <w:tc>
          <w:tcPr>
            <w:tcW w:w="1688" w:type="dxa"/>
            <w:tcBorders>
              <w:top w:val="nil"/>
              <w:left w:val="nil"/>
              <w:bottom w:val="single" w:sz="4" w:space="0" w:color="auto"/>
              <w:right w:val="single" w:sz="4" w:space="0" w:color="auto"/>
            </w:tcBorders>
            <w:shd w:val="clear" w:color="auto" w:fill="E5F1FF"/>
            <w:vAlign w:val="center"/>
            <w:hideMark/>
          </w:tcPr>
          <w:p w14:paraId="30265FCA" w14:textId="5E965757" w:rsidR="00393DDB" w:rsidRPr="00EF6745" w:rsidRDefault="00EF6745"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N</w:t>
            </w:r>
            <w:r w:rsidR="00393DDB" w:rsidRPr="00EF6745">
              <w:rPr>
                <w:rFonts w:ascii="Calibri" w:eastAsia="Times New Roman" w:hAnsi="Calibri" w:cs="Calibri"/>
                <w:b/>
                <w:bCs/>
                <w:color w:val="000000"/>
                <w:sz w:val="20"/>
                <w:szCs w:val="20"/>
                <w:lang w:eastAsia="cs-CZ"/>
              </w:rPr>
              <w:t>evyhovující</w:t>
            </w:r>
          </w:p>
        </w:tc>
        <w:tc>
          <w:tcPr>
            <w:tcW w:w="1230" w:type="dxa"/>
            <w:tcBorders>
              <w:top w:val="nil"/>
              <w:left w:val="nil"/>
              <w:bottom w:val="single" w:sz="4" w:space="0" w:color="auto"/>
              <w:right w:val="single" w:sz="4" w:space="0" w:color="auto"/>
            </w:tcBorders>
            <w:shd w:val="clear" w:color="auto" w:fill="E5F1FF"/>
            <w:vAlign w:val="center"/>
            <w:hideMark/>
          </w:tcPr>
          <w:p w14:paraId="4B35987B" w14:textId="48A19C44" w:rsidR="00393DDB" w:rsidRPr="00EF6745" w:rsidRDefault="00EF6745"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H</w:t>
            </w:r>
            <w:r w:rsidR="00393DDB" w:rsidRPr="00EF6745">
              <w:rPr>
                <w:rFonts w:ascii="Calibri" w:eastAsia="Times New Roman" w:hAnsi="Calibri" w:cs="Calibri"/>
                <w:b/>
                <w:bCs/>
                <w:color w:val="000000"/>
                <w:sz w:val="20"/>
                <w:szCs w:val="20"/>
                <w:lang w:eastAsia="cs-CZ"/>
              </w:rPr>
              <w:t>avarijní</w:t>
            </w: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62278731" w14:textId="77777777" w:rsidR="00393DDB" w:rsidRPr="00926413" w:rsidRDefault="00393DDB" w:rsidP="00393DDB">
            <w:pPr>
              <w:spacing w:after="0" w:line="240" w:lineRule="auto"/>
              <w:rPr>
                <w:rFonts w:ascii="Calibri" w:eastAsia="Times New Roman" w:hAnsi="Calibri" w:cs="Calibri"/>
                <w:bCs/>
                <w:color w:val="000000"/>
                <w:sz w:val="20"/>
                <w:szCs w:val="20"/>
                <w:lang w:eastAsia="cs-CZ"/>
              </w:rPr>
            </w:pPr>
          </w:p>
        </w:tc>
      </w:tr>
      <w:tr w:rsidR="00393DDB" w:rsidRPr="00926413" w14:paraId="4763BC6B"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6930345A"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2013</w:t>
            </w:r>
          </w:p>
        </w:tc>
        <w:tc>
          <w:tcPr>
            <w:tcW w:w="1294" w:type="dxa"/>
            <w:tcBorders>
              <w:top w:val="nil"/>
              <w:left w:val="nil"/>
              <w:bottom w:val="single" w:sz="4" w:space="0" w:color="auto"/>
              <w:right w:val="single" w:sz="4" w:space="0" w:color="auto"/>
            </w:tcBorders>
            <w:shd w:val="clear" w:color="auto" w:fill="auto"/>
            <w:vAlign w:val="center"/>
            <w:hideMark/>
          </w:tcPr>
          <w:p w14:paraId="79555043"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9,2</w:t>
            </w:r>
          </w:p>
        </w:tc>
        <w:tc>
          <w:tcPr>
            <w:tcW w:w="1124" w:type="dxa"/>
            <w:tcBorders>
              <w:top w:val="nil"/>
              <w:left w:val="nil"/>
              <w:bottom w:val="single" w:sz="4" w:space="0" w:color="auto"/>
              <w:right w:val="single" w:sz="4" w:space="0" w:color="auto"/>
            </w:tcBorders>
            <w:shd w:val="clear" w:color="auto" w:fill="auto"/>
            <w:vAlign w:val="center"/>
            <w:hideMark/>
          </w:tcPr>
          <w:p w14:paraId="58F505F0"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26,7</w:t>
            </w:r>
          </w:p>
        </w:tc>
        <w:tc>
          <w:tcPr>
            <w:tcW w:w="1384" w:type="dxa"/>
            <w:tcBorders>
              <w:top w:val="nil"/>
              <w:left w:val="nil"/>
              <w:bottom w:val="single" w:sz="4" w:space="0" w:color="auto"/>
              <w:right w:val="single" w:sz="4" w:space="0" w:color="auto"/>
            </w:tcBorders>
            <w:shd w:val="clear" w:color="auto" w:fill="auto"/>
            <w:vAlign w:val="center"/>
            <w:hideMark/>
          </w:tcPr>
          <w:p w14:paraId="4AF19BBB"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11,8</w:t>
            </w:r>
          </w:p>
        </w:tc>
        <w:tc>
          <w:tcPr>
            <w:tcW w:w="1688" w:type="dxa"/>
            <w:tcBorders>
              <w:top w:val="nil"/>
              <w:left w:val="nil"/>
              <w:bottom w:val="single" w:sz="4" w:space="0" w:color="auto"/>
              <w:right w:val="single" w:sz="4" w:space="0" w:color="auto"/>
            </w:tcBorders>
            <w:shd w:val="clear" w:color="auto" w:fill="auto"/>
            <w:vAlign w:val="center"/>
            <w:hideMark/>
          </w:tcPr>
          <w:p w14:paraId="31F04314"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14,8</w:t>
            </w:r>
          </w:p>
        </w:tc>
        <w:tc>
          <w:tcPr>
            <w:tcW w:w="1230" w:type="dxa"/>
            <w:tcBorders>
              <w:top w:val="nil"/>
              <w:left w:val="nil"/>
              <w:bottom w:val="single" w:sz="4" w:space="0" w:color="auto"/>
              <w:right w:val="single" w:sz="4" w:space="0" w:color="auto"/>
            </w:tcBorders>
            <w:shd w:val="clear" w:color="auto" w:fill="auto"/>
            <w:vAlign w:val="center"/>
            <w:hideMark/>
          </w:tcPr>
          <w:p w14:paraId="694A308D"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37,5</w:t>
            </w:r>
          </w:p>
        </w:tc>
        <w:tc>
          <w:tcPr>
            <w:tcW w:w="1267" w:type="dxa"/>
            <w:tcBorders>
              <w:top w:val="nil"/>
              <w:left w:val="nil"/>
              <w:bottom w:val="single" w:sz="4" w:space="0" w:color="auto"/>
              <w:right w:val="single" w:sz="4" w:space="0" w:color="auto"/>
            </w:tcBorders>
            <w:shd w:val="clear" w:color="auto" w:fill="auto"/>
            <w:vAlign w:val="center"/>
            <w:hideMark/>
          </w:tcPr>
          <w:p w14:paraId="5E358CB4" w14:textId="77777777"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3FF6BCF3"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8402558"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2014</w:t>
            </w:r>
          </w:p>
        </w:tc>
        <w:tc>
          <w:tcPr>
            <w:tcW w:w="1294" w:type="dxa"/>
            <w:tcBorders>
              <w:top w:val="nil"/>
              <w:left w:val="nil"/>
              <w:bottom w:val="single" w:sz="4" w:space="0" w:color="auto"/>
              <w:right w:val="single" w:sz="4" w:space="0" w:color="auto"/>
            </w:tcBorders>
            <w:shd w:val="clear" w:color="auto" w:fill="auto"/>
            <w:vAlign w:val="center"/>
            <w:hideMark/>
          </w:tcPr>
          <w:p w14:paraId="2FE57DF5"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7,9</w:t>
            </w:r>
          </w:p>
        </w:tc>
        <w:tc>
          <w:tcPr>
            <w:tcW w:w="1124" w:type="dxa"/>
            <w:tcBorders>
              <w:top w:val="nil"/>
              <w:left w:val="nil"/>
              <w:bottom w:val="single" w:sz="4" w:space="0" w:color="auto"/>
              <w:right w:val="single" w:sz="4" w:space="0" w:color="auto"/>
            </w:tcBorders>
            <w:shd w:val="clear" w:color="auto" w:fill="auto"/>
            <w:vAlign w:val="center"/>
            <w:hideMark/>
          </w:tcPr>
          <w:p w14:paraId="121DE371"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28,0</w:t>
            </w:r>
          </w:p>
        </w:tc>
        <w:tc>
          <w:tcPr>
            <w:tcW w:w="1384" w:type="dxa"/>
            <w:tcBorders>
              <w:top w:val="nil"/>
              <w:left w:val="nil"/>
              <w:bottom w:val="single" w:sz="4" w:space="0" w:color="auto"/>
              <w:right w:val="single" w:sz="4" w:space="0" w:color="auto"/>
            </w:tcBorders>
            <w:shd w:val="clear" w:color="auto" w:fill="auto"/>
            <w:vAlign w:val="center"/>
            <w:hideMark/>
          </w:tcPr>
          <w:p w14:paraId="1FAB2BD0"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12,7</w:t>
            </w:r>
          </w:p>
        </w:tc>
        <w:tc>
          <w:tcPr>
            <w:tcW w:w="1688" w:type="dxa"/>
            <w:tcBorders>
              <w:top w:val="nil"/>
              <w:left w:val="nil"/>
              <w:bottom w:val="single" w:sz="4" w:space="0" w:color="auto"/>
              <w:right w:val="single" w:sz="4" w:space="0" w:color="auto"/>
            </w:tcBorders>
            <w:shd w:val="clear" w:color="auto" w:fill="auto"/>
            <w:vAlign w:val="center"/>
            <w:hideMark/>
          </w:tcPr>
          <w:p w14:paraId="04BC822A"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14,2</w:t>
            </w:r>
          </w:p>
        </w:tc>
        <w:tc>
          <w:tcPr>
            <w:tcW w:w="1230" w:type="dxa"/>
            <w:tcBorders>
              <w:top w:val="nil"/>
              <w:left w:val="nil"/>
              <w:bottom w:val="single" w:sz="4" w:space="0" w:color="auto"/>
              <w:right w:val="single" w:sz="4" w:space="0" w:color="auto"/>
            </w:tcBorders>
            <w:shd w:val="clear" w:color="auto" w:fill="auto"/>
            <w:vAlign w:val="center"/>
            <w:hideMark/>
          </w:tcPr>
          <w:p w14:paraId="4EDA3031"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37,2</w:t>
            </w:r>
          </w:p>
        </w:tc>
        <w:tc>
          <w:tcPr>
            <w:tcW w:w="1267" w:type="dxa"/>
            <w:tcBorders>
              <w:top w:val="nil"/>
              <w:left w:val="nil"/>
              <w:bottom w:val="single" w:sz="4" w:space="0" w:color="auto"/>
              <w:right w:val="single" w:sz="4" w:space="0" w:color="auto"/>
            </w:tcBorders>
            <w:shd w:val="clear" w:color="auto" w:fill="auto"/>
            <w:vAlign w:val="center"/>
            <w:hideMark/>
          </w:tcPr>
          <w:p w14:paraId="2377A4B7" w14:textId="77777777"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45C87B85"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77BB8027"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2015</w:t>
            </w:r>
          </w:p>
        </w:tc>
        <w:tc>
          <w:tcPr>
            <w:tcW w:w="1294" w:type="dxa"/>
            <w:tcBorders>
              <w:top w:val="nil"/>
              <w:left w:val="nil"/>
              <w:bottom w:val="single" w:sz="4" w:space="0" w:color="auto"/>
              <w:right w:val="single" w:sz="4" w:space="0" w:color="auto"/>
            </w:tcBorders>
            <w:shd w:val="clear" w:color="auto" w:fill="auto"/>
            <w:vAlign w:val="center"/>
            <w:hideMark/>
          </w:tcPr>
          <w:p w14:paraId="6F305C1D"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10,4</w:t>
            </w:r>
          </w:p>
        </w:tc>
        <w:tc>
          <w:tcPr>
            <w:tcW w:w="1124" w:type="dxa"/>
            <w:tcBorders>
              <w:top w:val="nil"/>
              <w:left w:val="nil"/>
              <w:bottom w:val="single" w:sz="4" w:space="0" w:color="auto"/>
              <w:right w:val="single" w:sz="4" w:space="0" w:color="auto"/>
            </w:tcBorders>
            <w:shd w:val="clear" w:color="auto" w:fill="auto"/>
            <w:vAlign w:val="center"/>
            <w:hideMark/>
          </w:tcPr>
          <w:p w14:paraId="2D4ABFCB"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27,5</w:t>
            </w:r>
          </w:p>
        </w:tc>
        <w:tc>
          <w:tcPr>
            <w:tcW w:w="1384" w:type="dxa"/>
            <w:tcBorders>
              <w:top w:val="nil"/>
              <w:left w:val="nil"/>
              <w:bottom w:val="single" w:sz="4" w:space="0" w:color="auto"/>
              <w:right w:val="single" w:sz="4" w:space="0" w:color="auto"/>
            </w:tcBorders>
            <w:shd w:val="clear" w:color="auto" w:fill="auto"/>
            <w:vAlign w:val="center"/>
            <w:hideMark/>
          </w:tcPr>
          <w:p w14:paraId="27ACA0F2"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11,9</w:t>
            </w:r>
          </w:p>
        </w:tc>
        <w:tc>
          <w:tcPr>
            <w:tcW w:w="1688" w:type="dxa"/>
            <w:tcBorders>
              <w:top w:val="nil"/>
              <w:left w:val="nil"/>
              <w:bottom w:val="single" w:sz="4" w:space="0" w:color="auto"/>
              <w:right w:val="single" w:sz="4" w:space="0" w:color="auto"/>
            </w:tcBorders>
            <w:shd w:val="clear" w:color="auto" w:fill="auto"/>
            <w:vAlign w:val="center"/>
            <w:hideMark/>
          </w:tcPr>
          <w:p w14:paraId="24A7215B"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12,9</w:t>
            </w:r>
          </w:p>
        </w:tc>
        <w:tc>
          <w:tcPr>
            <w:tcW w:w="1230" w:type="dxa"/>
            <w:tcBorders>
              <w:top w:val="nil"/>
              <w:left w:val="nil"/>
              <w:bottom w:val="single" w:sz="4" w:space="0" w:color="auto"/>
              <w:right w:val="single" w:sz="4" w:space="0" w:color="auto"/>
            </w:tcBorders>
            <w:shd w:val="clear" w:color="auto" w:fill="auto"/>
            <w:vAlign w:val="center"/>
            <w:hideMark/>
          </w:tcPr>
          <w:p w14:paraId="3AB777CD"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37,3</w:t>
            </w:r>
          </w:p>
        </w:tc>
        <w:tc>
          <w:tcPr>
            <w:tcW w:w="1267" w:type="dxa"/>
            <w:tcBorders>
              <w:top w:val="nil"/>
              <w:left w:val="nil"/>
              <w:bottom w:val="single" w:sz="4" w:space="0" w:color="auto"/>
              <w:right w:val="single" w:sz="4" w:space="0" w:color="auto"/>
            </w:tcBorders>
            <w:shd w:val="clear" w:color="auto" w:fill="auto"/>
            <w:vAlign w:val="center"/>
            <w:hideMark/>
          </w:tcPr>
          <w:p w14:paraId="2B7BC1D9" w14:textId="77777777"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r w:rsidR="00393DDB" w:rsidRPr="00926413" w14:paraId="1B8BE001"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737876A" w14:textId="77777777" w:rsidR="00393DDB" w:rsidRPr="00926413" w:rsidRDefault="00393DDB" w:rsidP="00393DDB">
            <w:pPr>
              <w:spacing w:after="0" w:line="240" w:lineRule="auto"/>
              <w:jc w:val="center"/>
              <w:rPr>
                <w:rFonts w:ascii="Calibri" w:eastAsia="Times New Roman" w:hAnsi="Calibri" w:cs="Calibri"/>
                <w:bCs/>
                <w:color w:val="000000"/>
                <w:sz w:val="20"/>
                <w:szCs w:val="20"/>
                <w:lang w:eastAsia="cs-CZ"/>
              </w:rPr>
            </w:pPr>
            <w:r w:rsidRPr="00926413">
              <w:rPr>
                <w:rFonts w:ascii="Calibri" w:eastAsia="Times New Roman" w:hAnsi="Calibri" w:cs="Calibri"/>
                <w:bCs/>
                <w:color w:val="000000"/>
                <w:sz w:val="20"/>
                <w:szCs w:val="20"/>
                <w:lang w:eastAsia="cs-CZ"/>
              </w:rPr>
              <w:t>2016</w:t>
            </w:r>
          </w:p>
        </w:tc>
        <w:tc>
          <w:tcPr>
            <w:tcW w:w="1294" w:type="dxa"/>
            <w:tcBorders>
              <w:top w:val="nil"/>
              <w:left w:val="nil"/>
              <w:bottom w:val="single" w:sz="4" w:space="0" w:color="auto"/>
              <w:right w:val="single" w:sz="4" w:space="0" w:color="auto"/>
            </w:tcBorders>
            <w:shd w:val="clear" w:color="auto" w:fill="auto"/>
            <w:vAlign w:val="center"/>
            <w:hideMark/>
          </w:tcPr>
          <w:p w14:paraId="6852CF23"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13,0</w:t>
            </w:r>
          </w:p>
        </w:tc>
        <w:tc>
          <w:tcPr>
            <w:tcW w:w="1124" w:type="dxa"/>
            <w:tcBorders>
              <w:top w:val="nil"/>
              <w:left w:val="nil"/>
              <w:bottom w:val="single" w:sz="4" w:space="0" w:color="auto"/>
              <w:right w:val="single" w:sz="4" w:space="0" w:color="auto"/>
            </w:tcBorders>
            <w:shd w:val="clear" w:color="auto" w:fill="auto"/>
            <w:vAlign w:val="center"/>
            <w:hideMark/>
          </w:tcPr>
          <w:p w14:paraId="4BE1658E"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26,7</w:t>
            </w:r>
          </w:p>
        </w:tc>
        <w:tc>
          <w:tcPr>
            <w:tcW w:w="1384" w:type="dxa"/>
            <w:tcBorders>
              <w:top w:val="nil"/>
              <w:left w:val="nil"/>
              <w:bottom w:val="single" w:sz="4" w:space="0" w:color="auto"/>
              <w:right w:val="single" w:sz="4" w:space="0" w:color="auto"/>
            </w:tcBorders>
            <w:shd w:val="clear" w:color="auto" w:fill="auto"/>
            <w:vAlign w:val="center"/>
            <w:hideMark/>
          </w:tcPr>
          <w:p w14:paraId="2101CB62"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12,7</w:t>
            </w:r>
          </w:p>
        </w:tc>
        <w:tc>
          <w:tcPr>
            <w:tcW w:w="1688" w:type="dxa"/>
            <w:tcBorders>
              <w:top w:val="nil"/>
              <w:left w:val="nil"/>
              <w:bottom w:val="single" w:sz="4" w:space="0" w:color="auto"/>
              <w:right w:val="single" w:sz="4" w:space="0" w:color="auto"/>
            </w:tcBorders>
            <w:shd w:val="clear" w:color="auto" w:fill="auto"/>
            <w:vAlign w:val="center"/>
            <w:hideMark/>
          </w:tcPr>
          <w:p w14:paraId="5CE43D6D"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17,2</w:t>
            </w:r>
          </w:p>
        </w:tc>
        <w:tc>
          <w:tcPr>
            <w:tcW w:w="1230" w:type="dxa"/>
            <w:tcBorders>
              <w:top w:val="nil"/>
              <w:left w:val="nil"/>
              <w:bottom w:val="single" w:sz="4" w:space="0" w:color="auto"/>
              <w:right w:val="single" w:sz="4" w:space="0" w:color="auto"/>
            </w:tcBorders>
            <w:shd w:val="clear" w:color="auto" w:fill="auto"/>
            <w:vAlign w:val="center"/>
            <w:hideMark/>
          </w:tcPr>
          <w:p w14:paraId="3B155BBC" w14:textId="77777777" w:rsidR="00393DDB" w:rsidRPr="00926413" w:rsidRDefault="00393DDB" w:rsidP="00393DDB">
            <w:pPr>
              <w:spacing w:after="0" w:line="240" w:lineRule="auto"/>
              <w:jc w:val="center"/>
              <w:rPr>
                <w:rFonts w:ascii="Calibri" w:eastAsia="Times New Roman" w:hAnsi="Calibri" w:cs="Calibri"/>
                <w:color w:val="000000"/>
                <w:sz w:val="20"/>
                <w:szCs w:val="20"/>
                <w:lang w:eastAsia="cs-CZ"/>
              </w:rPr>
            </w:pPr>
            <w:r w:rsidRPr="00926413">
              <w:rPr>
                <w:rFonts w:ascii="Calibri" w:eastAsia="Times New Roman" w:hAnsi="Calibri" w:cs="Calibri"/>
                <w:color w:val="000000"/>
                <w:sz w:val="20"/>
                <w:szCs w:val="20"/>
                <w:lang w:eastAsia="cs-CZ"/>
              </w:rPr>
              <w:t>30,4</w:t>
            </w:r>
          </w:p>
        </w:tc>
        <w:tc>
          <w:tcPr>
            <w:tcW w:w="1267" w:type="dxa"/>
            <w:tcBorders>
              <w:top w:val="nil"/>
              <w:left w:val="nil"/>
              <w:bottom w:val="single" w:sz="4" w:space="0" w:color="auto"/>
              <w:right w:val="single" w:sz="4" w:space="0" w:color="auto"/>
            </w:tcBorders>
            <w:shd w:val="clear" w:color="auto" w:fill="auto"/>
            <w:vAlign w:val="center"/>
            <w:hideMark/>
          </w:tcPr>
          <w:p w14:paraId="3D6D0CAB" w14:textId="77777777"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100,00</w:t>
            </w:r>
          </w:p>
        </w:tc>
      </w:tr>
    </w:tbl>
    <w:p w14:paraId="601D3EB5" w14:textId="7AF4B99C" w:rsidR="00393DDB" w:rsidRPr="00393DDB" w:rsidRDefault="00393DDB" w:rsidP="00926413">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EF6745">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5CFB965F" w14:textId="77777777" w:rsidR="00393DDB" w:rsidRDefault="00393DDB" w:rsidP="00607164">
      <w:pPr>
        <w:spacing w:after="0" w:line="240" w:lineRule="auto"/>
        <w:jc w:val="both"/>
        <w:rPr>
          <w:rFonts w:eastAsia="Times New Roman" w:cs="Calibri"/>
          <w:sz w:val="24"/>
          <w:szCs w:val="24"/>
          <w:lang w:eastAsia="cs-CZ"/>
        </w:rPr>
      </w:pPr>
    </w:p>
    <w:p w14:paraId="3AC49493" w14:textId="698DF14C" w:rsidR="00393DDB" w:rsidRPr="00054EE5" w:rsidRDefault="00393DDB" w:rsidP="00607164">
      <w:pPr>
        <w:tabs>
          <w:tab w:val="right" w:pos="9072"/>
        </w:tabs>
        <w:spacing w:after="40" w:line="240" w:lineRule="auto"/>
        <w:rPr>
          <w:rFonts w:cs="Calibri"/>
          <w:b/>
          <w:sz w:val="24"/>
          <w:szCs w:val="24"/>
        </w:rPr>
      </w:pPr>
      <w:r w:rsidRPr="00054EE5">
        <w:rPr>
          <w:rFonts w:cstheme="minorHAnsi"/>
          <w:b/>
          <w:sz w:val="24"/>
          <w:szCs w:val="24"/>
        </w:rPr>
        <w:t>Tabulka č. 1</w:t>
      </w:r>
      <w:r w:rsidR="00286878" w:rsidRPr="00054EE5">
        <w:rPr>
          <w:rFonts w:cstheme="minorHAnsi"/>
          <w:b/>
          <w:sz w:val="24"/>
          <w:szCs w:val="24"/>
        </w:rPr>
        <w:t>0</w:t>
      </w:r>
      <w:r w:rsidRPr="00054EE5">
        <w:rPr>
          <w:rFonts w:cstheme="minorHAnsi"/>
          <w:b/>
          <w:sz w:val="24"/>
          <w:szCs w:val="24"/>
        </w:rPr>
        <w:t xml:space="preserve"> – </w:t>
      </w:r>
      <w:r w:rsidRPr="00054EE5">
        <w:rPr>
          <w:rFonts w:cs="Calibri"/>
          <w:b/>
          <w:sz w:val="24"/>
          <w:szCs w:val="24"/>
        </w:rPr>
        <w:t xml:space="preserve">Silnice II. a III. třídy podle stavu v Libereckém kraji </w:t>
      </w:r>
      <w:r w:rsidR="00AD20F6">
        <w:rPr>
          <w:rFonts w:cs="Calibri"/>
          <w:b/>
          <w:sz w:val="24"/>
          <w:szCs w:val="24"/>
        </w:rPr>
        <w:tab/>
      </w:r>
      <w:r w:rsidRPr="00054EE5">
        <w:rPr>
          <w:rFonts w:cs="Calibri"/>
          <w:b/>
          <w:sz w:val="24"/>
          <w:szCs w:val="24"/>
        </w:rPr>
        <w:t>(v km)</w:t>
      </w:r>
    </w:p>
    <w:tbl>
      <w:tblPr>
        <w:tblW w:w="9054" w:type="dxa"/>
        <w:tblLayout w:type="fixed"/>
        <w:tblCellMar>
          <w:left w:w="70" w:type="dxa"/>
          <w:right w:w="70" w:type="dxa"/>
        </w:tblCellMar>
        <w:tblLook w:val="04A0" w:firstRow="1" w:lastRow="0" w:firstColumn="1" w:lastColumn="0" w:noHBand="0" w:noVBand="1"/>
      </w:tblPr>
      <w:tblGrid>
        <w:gridCol w:w="1132"/>
        <w:gridCol w:w="1301"/>
        <w:gridCol w:w="1219"/>
        <w:gridCol w:w="1219"/>
        <w:gridCol w:w="1568"/>
        <w:gridCol w:w="1221"/>
        <w:gridCol w:w="1394"/>
      </w:tblGrid>
      <w:tr w:rsidR="00393DDB" w:rsidRPr="00607164" w14:paraId="6EA42847" w14:textId="77777777" w:rsidTr="00AD20F6">
        <w:trPr>
          <w:trHeight w:val="227"/>
        </w:trPr>
        <w:tc>
          <w:tcPr>
            <w:tcW w:w="1132"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2284B1FB" w14:textId="77777777" w:rsidR="00393DDB" w:rsidRPr="00AD20F6" w:rsidRDefault="00393DDB" w:rsidP="00393DDB">
            <w:pPr>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Rok</w:t>
            </w:r>
          </w:p>
        </w:tc>
        <w:tc>
          <w:tcPr>
            <w:tcW w:w="6528" w:type="dxa"/>
            <w:gridSpan w:val="5"/>
            <w:tcBorders>
              <w:top w:val="single" w:sz="4" w:space="0" w:color="auto"/>
              <w:left w:val="nil"/>
              <w:bottom w:val="single" w:sz="4" w:space="0" w:color="auto"/>
              <w:right w:val="single" w:sz="4" w:space="0" w:color="000000"/>
            </w:tcBorders>
            <w:shd w:val="clear" w:color="auto" w:fill="E5F1FF"/>
            <w:vAlign w:val="center"/>
            <w:hideMark/>
          </w:tcPr>
          <w:p w14:paraId="57ACB735" w14:textId="77777777" w:rsidR="00393DDB" w:rsidRPr="00AD20F6" w:rsidRDefault="00393DDB" w:rsidP="00393DDB">
            <w:pPr>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Stav povrchu silnic</w:t>
            </w:r>
          </w:p>
        </w:tc>
        <w:tc>
          <w:tcPr>
            <w:tcW w:w="1394"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17FD61F8" w14:textId="77777777" w:rsidR="00393DDB" w:rsidRPr="00AD20F6" w:rsidRDefault="00393DDB" w:rsidP="00393DDB">
            <w:pPr>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Celkem</w:t>
            </w:r>
          </w:p>
        </w:tc>
      </w:tr>
      <w:tr w:rsidR="00393DDB" w:rsidRPr="00607164" w14:paraId="26768356" w14:textId="77777777" w:rsidTr="00AD20F6">
        <w:trPr>
          <w:trHeight w:val="227"/>
        </w:trPr>
        <w:tc>
          <w:tcPr>
            <w:tcW w:w="1132" w:type="dxa"/>
            <w:vMerge/>
            <w:tcBorders>
              <w:top w:val="single" w:sz="4" w:space="0" w:color="auto"/>
              <w:left w:val="single" w:sz="4" w:space="0" w:color="auto"/>
              <w:bottom w:val="single" w:sz="4" w:space="0" w:color="000000"/>
              <w:right w:val="single" w:sz="4" w:space="0" w:color="auto"/>
            </w:tcBorders>
            <w:shd w:val="clear" w:color="auto" w:fill="E5F1FF"/>
            <w:vAlign w:val="center"/>
            <w:hideMark/>
          </w:tcPr>
          <w:p w14:paraId="2AAA2D0C" w14:textId="77777777" w:rsidR="00393DDB" w:rsidRPr="00AD20F6" w:rsidRDefault="00393DDB" w:rsidP="00393DDB">
            <w:pPr>
              <w:spacing w:after="0" w:line="240" w:lineRule="auto"/>
              <w:rPr>
                <w:rFonts w:ascii="Calibri" w:eastAsia="Times New Roman" w:hAnsi="Calibri" w:cs="Calibri"/>
                <w:b/>
                <w:bCs/>
                <w:color w:val="000000"/>
                <w:sz w:val="20"/>
                <w:szCs w:val="20"/>
                <w:lang w:eastAsia="cs-CZ"/>
              </w:rPr>
            </w:pPr>
          </w:p>
        </w:tc>
        <w:tc>
          <w:tcPr>
            <w:tcW w:w="1301" w:type="dxa"/>
            <w:tcBorders>
              <w:top w:val="nil"/>
              <w:left w:val="nil"/>
              <w:bottom w:val="single" w:sz="4" w:space="0" w:color="auto"/>
              <w:right w:val="single" w:sz="4" w:space="0" w:color="auto"/>
            </w:tcBorders>
            <w:shd w:val="clear" w:color="auto" w:fill="E5F1FF"/>
            <w:vAlign w:val="center"/>
            <w:hideMark/>
          </w:tcPr>
          <w:p w14:paraId="5D8EE592" w14:textId="19819EDE" w:rsidR="00393DDB" w:rsidRPr="00AD20F6" w:rsidRDefault="00AD20F6"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AD20F6">
              <w:rPr>
                <w:rFonts w:ascii="Calibri" w:eastAsia="Times New Roman" w:hAnsi="Calibri" w:cs="Calibri"/>
                <w:b/>
                <w:bCs/>
                <w:color w:val="000000"/>
                <w:sz w:val="20"/>
                <w:szCs w:val="20"/>
                <w:lang w:eastAsia="cs-CZ"/>
              </w:rPr>
              <w:t>ýborný</w:t>
            </w:r>
          </w:p>
        </w:tc>
        <w:tc>
          <w:tcPr>
            <w:tcW w:w="1219" w:type="dxa"/>
            <w:tcBorders>
              <w:top w:val="nil"/>
              <w:left w:val="nil"/>
              <w:bottom w:val="single" w:sz="4" w:space="0" w:color="auto"/>
              <w:right w:val="single" w:sz="4" w:space="0" w:color="auto"/>
            </w:tcBorders>
            <w:shd w:val="clear" w:color="auto" w:fill="E5F1FF"/>
            <w:vAlign w:val="center"/>
            <w:hideMark/>
          </w:tcPr>
          <w:p w14:paraId="4E0A056E" w14:textId="1CB8749B" w:rsidR="00393DDB" w:rsidRPr="00AD20F6" w:rsidRDefault="00AD20F6"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D</w:t>
            </w:r>
            <w:r w:rsidR="00393DDB" w:rsidRPr="00AD20F6">
              <w:rPr>
                <w:rFonts w:ascii="Calibri" w:eastAsia="Times New Roman" w:hAnsi="Calibri" w:cs="Calibri"/>
                <w:b/>
                <w:bCs/>
                <w:color w:val="000000"/>
                <w:sz w:val="20"/>
                <w:szCs w:val="20"/>
                <w:lang w:eastAsia="cs-CZ"/>
              </w:rPr>
              <w:t>obrý</w:t>
            </w:r>
          </w:p>
        </w:tc>
        <w:tc>
          <w:tcPr>
            <w:tcW w:w="1219" w:type="dxa"/>
            <w:tcBorders>
              <w:top w:val="nil"/>
              <w:left w:val="nil"/>
              <w:bottom w:val="single" w:sz="4" w:space="0" w:color="auto"/>
              <w:right w:val="single" w:sz="4" w:space="0" w:color="auto"/>
            </w:tcBorders>
            <w:shd w:val="clear" w:color="auto" w:fill="E5F1FF"/>
            <w:vAlign w:val="center"/>
            <w:hideMark/>
          </w:tcPr>
          <w:p w14:paraId="717F1C4F" w14:textId="6B5E1C7F" w:rsidR="00393DDB" w:rsidRPr="00AD20F6" w:rsidRDefault="00AD20F6"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V</w:t>
            </w:r>
            <w:r w:rsidR="00393DDB" w:rsidRPr="00AD20F6">
              <w:rPr>
                <w:rFonts w:ascii="Calibri" w:eastAsia="Times New Roman" w:hAnsi="Calibri" w:cs="Calibri"/>
                <w:b/>
                <w:bCs/>
                <w:color w:val="000000"/>
                <w:sz w:val="20"/>
                <w:szCs w:val="20"/>
                <w:lang w:eastAsia="cs-CZ"/>
              </w:rPr>
              <w:t>yhovující</w:t>
            </w:r>
          </w:p>
        </w:tc>
        <w:tc>
          <w:tcPr>
            <w:tcW w:w="1568" w:type="dxa"/>
            <w:tcBorders>
              <w:top w:val="nil"/>
              <w:left w:val="nil"/>
              <w:bottom w:val="single" w:sz="4" w:space="0" w:color="auto"/>
              <w:right w:val="single" w:sz="4" w:space="0" w:color="auto"/>
            </w:tcBorders>
            <w:shd w:val="clear" w:color="auto" w:fill="E5F1FF"/>
            <w:vAlign w:val="center"/>
            <w:hideMark/>
          </w:tcPr>
          <w:p w14:paraId="346DEA40" w14:textId="14782B33" w:rsidR="00393DDB" w:rsidRPr="00AD20F6" w:rsidRDefault="00AD20F6"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N</w:t>
            </w:r>
            <w:r w:rsidR="00393DDB" w:rsidRPr="00AD20F6">
              <w:rPr>
                <w:rFonts w:ascii="Calibri" w:eastAsia="Times New Roman" w:hAnsi="Calibri" w:cs="Calibri"/>
                <w:b/>
                <w:bCs/>
                <w:color w:val="000000"/>
                <w:sz w:val="20"/>
                <w:szCs w:val="20"/>
                <w:lang w:eastAsia="cs-CZ"/>
              </w:rPr>
              <w:t>evyhovující</w:t>
            </w:r>
          </w:p>
        </w:tc>
        <w:tc>
          <w:tcPr>
            <w:tcW w:w="1219" w:type="dxa"/>
            <w:tcBorders>
              <w:top w:val="nil"/>
              <w:left w:val="nil"/>
              <w:bottom w:val="single" w:sz="4" w:space="0" w:color="auto"/>
              <w:right w:val="single" w:sz="4" w:space="0" w:color="auto"/>
            </w:tcBorders>
            <w:shd w:val="clear" w:color="auto" w:fill="E5F1FF"/>
            <w:vAlign w:val="center"/>
            <w:hideMark/>
          </w:tcPr>
          <w:p w14:paraId="77C07449" w14:textId="611E0F21" w:rsidR="00393DDB" w:rsidRPr="00AD20F6" w:rsidRDefault="00AD20F6" w:rsidP="00393DDB">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H</w:t>
            </w:r>
            <w:r w:rsidR="00393DDB" w:rsidRPr="00AD20F6">
              <w:rPr>
                <w:rFonts w:ascii="Calibri" w:eastAsia="Times New Roman" w:hAnsi="Calibri" w:cs="Calibri"/>
                <w:b/>
                <w:bCs/>
                <w:color w:val="000000"/>
                <w:sz w:val="20"/>
                <w:szCs w:val="20"/>
                <w:lang w:eastAsia="cs-CZ"/>
              </w:rPr>
              <w:t>avarijní</w:t>
            </w:r>
          </w:p>
        </w:tc>
        <w:tc>
          <w:tcPr>
            <w:tcW w:w="1394" w:type="dxa"/>
            <w:vMerge/>
            <w:tcBorders>
              <w:top w:val="single" w:sz="4" w:space="0" w:color="auto"/>
              <w:left w:val="single" w:sz="4" w:space="0" w:color="auto"/>
              <w:bottom w:val="single" w:sz="4" w:space="0" w:color="000000"/>
              <w:right w:val="single" w:sz="4" w:space="0" w:color="auto"/>
            </w:tcBorders>
            <w:shd w:val="clear" w:color="auto" w:fill="E5F1FF"/>
            <w:vAlign w:val="center"/>
            <w:hideMark/>
          </w:tcPr>
          <w:p w14:paraId="2D3A08F6" w14:textId="77777777" w:rsidR="00393DDB" w:rsidRPr="00607164" w:rsidRDefault="00393DDB" w:rsidP="00393DDB">
            <w:pPr>
              <w:spacing w:after="0" w:line="240" w:lineRule="auto"/>
              <w:rPr>
                <w:rFonts w:ascii="Calibri" w:eastAsia="Times New Roman" w:hAnsi="Calibri" w:cs="Calibri"/>
                <w:bCs/>
                <w:color w:val="000000"/>
                <w:sz w:val="20"/>
                <w:szCs w:val="20"/>
                <w:lang w:eastAsia="cs-CZ"/>
              </w:rPr>
            </w:pPr>
          </w:p>
        </w:tc>
      </w:tr>
      <w:tr w:rsidR="00393DDB" w:rsidRPr="00607164" w14:paraId="1268AFF8"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2B993609" w14:textId="77777777" w:rsidR="00393DDB" w:rsidRPr="00607164" w:rsidRDefault="00393DDB" w:rsidP="00393DDB">
            <w:pPr>
              <w:spacing w:after="0" w:line="240" w:lineRule="auto"/>
              <w:jc w:val="center"/>
              <w:rPr>
                <w:rFonts w:ascii="Calibri" w:eastAsia="Times New Roman" w:hAnsi="Calibri" w:cs="Calibri"/>
                <w:bCs/>
                <w:color w:val="000000"/>
                <w:sz w:val="20"/>
                <w:szCs w:val="20"/>
                <w:lang w:eastAsia="cs-CZ"/>
              </w:rPr>
            </w:pPr>
            <w:r w:rsidRPr="00607164">
              <w:rPr>
                <w:rFonts w:ascii="Calibri" w:eastAsia="Times New Roman" w:hAnsi="Calibri" w:cs="Calibri"/>
                <w:bCs/>
                <w:color w:val="000000"/>
                <w:sz w:val="20"/>
                <w:szCs w:val="20"/>
                <w:lang w:eastAsia="cs-CZ"/>
              </w:rPr>
              <w:t>2013</w:t>
            </w:r>
          </w:p>
        </w:tc>
        <w:tc>
          <w:tcPr>
            <w:tcW w:w="1301" w:type="dxa"/>
            <w:tcBorders>
              <w:top w:val="nil"/>
              <w:left w:val="nil"/>
              <w:bottom w:val="single" w:sz="4" w:space="0" w:color="auto"/>
              <w:right w:val="single" w:sz="4" w:space="0" w:color="auto"/>
            </w:tcBorders>
            <w:shd w:val="clear" w:color="auto" w:fill="auto"/>
            <w:vAlign w:val="center"/>
            <w:hideMark/>
          </w:tcPr>
          <w:p w14:paraId="2FBACF29"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190,748</w:t>
            </w:r>
          </w:p>
        </w:tc>
        <w:tc>
          <w:tcPr>
            <w:tcW w:w="1219" w:type="dxa"/>
            <w:tcBorders>
              <w:top w:val="nil"/>
              <w:left w:val="nil"/>
              <w:bottom w:val="single" w:sz="4" w:space="0" w:color="auto"/>
              <w:right w:val="single" w:sz="4" w:space="0" w:color="auto"/>
            </w:tcBorders>
            <w:shd w:val="clear" w:color="auto" w:fill="auto"/>
            <w:vAlign w:val="center"/>
            <w:hideMark/>
          </w:tcPr>
          <w:p w14:paraId="2CAA3435"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554,159</w:t>
            </w:r>
          </w:p>
        </w:tc>
        <w:tc>
          <w:tcPr>
            <w:tcW w:w="1219" w:type="dxa"/>
            <w:tcBorders>
              <w:top w:val="nil"/>
              <w:left w:val="nil"/>
              <w:bottom w:val="single" w:sz="4" w:space="0" w:color="auto"/>
              <w:right w:val="single" w:sz="4" w:space="0" w:color="auto"/>
            </w:tcBorders>
            <w:shd w:val="clear" w:color="auto" w:fill="auto"/>
            <w:vAlign w:val="center"/>
            <w:hideMark/>
          </w:tcPr>
          <w:p w14:paraId="18A1A6B4"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245,938</w:t>
            </w:r>
          </w:p>
        </w:tc>
        <w:tc>
          <w:tcPr>
            <w:tcW w:w="1568" w:type="dxa"/>
            <w:tcBorders>
              <w:top w:val="nil"/>
              <w:left w:val="nil"/>
              <w:bottom w:val="single" w:sz="4" w:space="0" w:color="auto"/>
              <w:right w:val="single" w:sz="4" w:space="0" w:color="auto"/>
            </w:tcBorders>
            <w:shd w:val="clear" w:color="auto" w:fill="auto"/>
            <w:vAlign w:val="center"/>
            <w:hideMark/>
          </w:tcPr>
          <w:p w14:paraId="0C850BE1"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306,471</w:t>
            </w:r>
          </w:p>
        </w:tc>
        <w:tc>
          <w:tcPr>
            <w:tcW w:w="1219" w:type="dxa"/>
            <w:tcBorders>
              <w:top w:val="nil"/>
              <w:left w:val="nil"/>
              <w:bottom w:val="single" w:sz="4" w:space="0" w:color="auto"/>
              <w:right w:val="single" w:sz="4" w:space="0" w:color="auto"/>
            </w:tcBorders>
            <w:shd w:val="clear" w:color="auto" w:fill="auto"/>
            <w:vAlign w:val="center"/>
            <w:hideMark/>
          </w:tcPr>
          <w:p w14:paraId="67256AF6"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779,823</w:t>
            </w:r>
          </w:p>
        </w:tc>
        <w:tc>
          <w:tcPr>
            <w:tcW w:w="1394" w:type="dxa"/>
            <w:tcBorders>
              <w:top w:val="nil"/>
              <w:left w:val="nil"/>
              <w:bottom w:val="single" w:sz="4" w:space="0" w:color="auto"/>
              <w:right w:val="single" w:sz="4" w:space="0" w:color="auto"/>
            </w:tcBorders>
            <w:shd w:val="clear" w:color="auto" w:fill="auto"/>
            <w:vAlign w:val="center"/>
            <w:hideMark/>
          </w:tcPr>
          <w:p w14:paraId="2185505C" w14:textId="3D0560CF"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2</w:t>
            </w:r>
            <w:r w:rsidR="00AD20F6" w:rsidRP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077,139</w:t>
            </w:r>
          </w:p>
        </w:tc>
      </w:tr>
      <w:tr w:rsidR="00393DDB" w:rsidRPr="00607164" w14:paraId="75045E3C"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553368B3" w14:textId="77777777" w:rsidR="00393DDB" w:rsidRPr="00607164" w:rsidRDefault="00393DDB" w:rsidP="00393DDB">
            <w:pPr>
              <w:spacing w:after="0" w:line="240" w:lineRule="auto"/>
              <w:jc w:val="center"/>
              <w:rPr>
                <w:rFonts w:ascii="Calibri" w:eastAsia="Times New Roman" w:hAnsi="Calibri" w:cs="Calibri"/>
                <w:bCs/>
                <w:color w:val="000000"/>
                <w:sz w:val="20"/>
                <w:szCs w:val="20"/>
                <w:lang w:eastAsia="cs-CZ"/>
              </w:rPr>
            </w:pPr>
            <w:r w:rsidRPr="00607164">
              <w:rPr>
                <w:rFonts w:ascii="Calibri" w:eastAsia="Times New Roman" w:hAnsi="Calibri" w:cs="Calibri"/>
                <w:bCs/>
                <w:color w:val="000000"/>
                <w:sz w:val="20"/>
                <w:szCs w:val="20"/>
                <w:lang w:eastAsia="cs-CZ"/>
              </w:rPr>
              <w:t>2014</w:t>
            </w:r>
          </w:p>
        </w:tc>
        <w:tc>
          <w:tcPr>
            <w:tcW w:w="1301" w:type="dxa"/>
            <w:tcBorders>
              <w:top w:val="nil"/>
              <w:left w:val="nil"/>
              <w:bottom w:val="single" w:sz="4" w:space="0" w:color="auto"/>
              <w:right w:val="single" w:sz="4" w:space="0" w:color="auto"/>
            </w:tcBorders>
            <w:shd w:val="clear" w:color="auto" w:fill="auto"/>
            <w:vAlign w:val="center"/>
            <w:hideMark/>
          </w:tcPr>
          <w:p w14:paraId="3044904B"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164,797</w:t>
            </w:r>
          </w:p>
        </w:tc>
        <w:tc>
          <w:tcPr>
            <w:tcW w:w="1219" w:type="dxa"/>
            <w:tcBorders>
              <w:top w:val="nil"/>
              <w:left w:val="nil"/>
              <w:bottom w:val="single" w:sz="4" w:space="0" w:color="auto"/>
              <w:right w:val="single" w:sz="4" w:space="0" w:color="auto"/>
            </w:tcBorders>
            <w:shd w:val="clear" w:color="auto" w:fill="auto"/>
            <w:vAlign w:val="center"/>
            <w:hideMark/>
          </w:tcPr>
          <w:p w14:paraId="51604AFC"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580,211</w:t>
            </w:r>
          </w:p>
        </w:tc>
        <w:tc>
          <w:tcPr>
            <w:tcW w:w="1219" w:type="dxa"/>
            <w:tcBorders>
              <w:top w:val="nil"/>
              <w:left w:val="nil"/>
              <w:bottom w:val="single" w:sz="4" w:space="0" w:color="auto"/>
              <w:right w:val="single" w:sz="4" w:space="0" w:color="auto"/>
            </w:tcBorders>
            <w:shd w:val="clear" w:color="auto" w:fill="auto"/>
            <w:vAlign w:val="center"/>
            <w:hideMark/>
          </w:tcPr>
          <w:p w14:paraId="76299929"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264,481</w:t>
            </w:r>
          </w:p>
        </w:tc>
        <w:tc>
          <w:tcPr>
            <w:tcW w:w="1568" w:type="dxa"/>
            <w:tcBorders>
              <w:top w:val="nil"/>
              <w:left w:val="nil"/>
              <w:bottom w:val="single" w:sz="4" w:space="0" w:color="auto"/>
              <w:right w:val="single" w:sz="4" w:space="0" w:color="auto"/>
            </w:tcBorders>
            <w:shd w:val="clear" w:color="auto" w:fill="auto"/>
            <w:vAlign w:val="center"/>
            <w:hideMark/>
          </w:tcPr>
          <w:p w14:paraId="34E59E26"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294,304</w:t>
            </w:r>
          </w:p>
        </w:tc>
        <w:tc>
          <w:tcPr>
            <w:tcW w:w="1219" w:type="dxa"/>
            <w:tcBorders>
              <w:top w:val="nil"/>
              <w:left w:val="nil"/>
              <w:bottom w:val="single" w:sz="4" w:space="0" w:color="auto"/>
              <w:right w:val="single" w:sz="4" w:space="0" w:color="auto"/>
            </w:tcBorders>
            <w:shd w:val="clear" w:color="auto" w:fill="auto"/>
            <w:vAlign w:val="center"/>
            <w:hideMark/>
          </w:tcPr>
          <w:p w14:paraId="67F0F324"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771,814</w:t>
            </w:r>
          </w:p>
        </w:tc>
        <w:tc>
          <w:tcPr>
            <w:tcW w:w="1394" w:type="dxa"/>
            <w:tcBorders>
              <w:top w:val="nil"/>
              <w:left w:val="nil"/>
              <w:bottom w:val="single" w:sz="4" w:space="0" w:color="auto"/>
              <w:right w:val="single" w:sz="4" w:space="0" w:color="auto"/>
            </w:tcBorders>
            <w:shd w:val="clear" w:color="auto" w:fill="auto"/>
            <w:vAlign w:val="center"/>
            <w:hideMark/>
          </w:tcPr>
          <w:p w14:paraId="21AC9607" w14:textId="77745FC4"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2</w:t>
            </w:r>
            <w:r w:rsidR="00AD20F6" w:rsidRP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075,607</w:t>
            </w:r>
          </w:p>
        </w:tc>
      </w:tr>
      <w:tr w:rsidR="00393DDB" w:rsidRPr="00607164" w14:paraId="3E12A960"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43A01FE1" w14:textId="77777777" w:rsidR="00393DDB" w:rsidRPr="00607164" w:rsidRDefault="00393DDB" w:rsidP="00393DDB">
            <w:pPr>
              <w:spacing w:after="0" w:line="240" w:lineRule="auto"/>
              <w:jc w:val="center"/>
              <w:rPr>
                <w:rFonts w:ascii="Calibri" w:eastAsia="Times New Roman" w:hAnsi="Calibri" w:cs="Calibri"/>
                <w:bCs/>
                <w:color w:val="000000"/>
                <w:sz w:val="20"/>
                <w:szCs w:val="20"/>
                <w:lang w:eastAsia="cs-CZ"/>
              </w:rPr>
            </w:pPr>
            <w:r w:rsidRPr="00607164">
              <w:rPr>
                <w:rFonts w:ascii="Calibri" w:eastAsia="Times New Roman" w:hAnsi="Calibri" w:cs="Calibri"/>
                <w:bCs/>
                <w:color w:val="000000"/>
                <w:sz w:val="20"/>
                <w:szCs w:val="20"/>
                <w:lang w:eastAsia="cs-CZ"/>
              </w:rPr>
              <w:t>2015</w:t>
            </w:r>
          </w:p>
        </w:tc>
        <w:tc>
          <w:tcPr>
            <w:tcW w:w="1301" w:type="dxa"/>
            <w:tcBorders>
              <w:top w:val="nil"/>
              <w:left w:val="nil"/>
              <w:bottom w:val="single" w:sz="4" w:space="0" w:color="auto"/>
              <w:right w:val="single" w:sz="4" w:space="0" w:color="auto"/>
            </w:tcBorders>
            <w:shd w:val="clear" w:color="auto" w:fill="auto"/>
            <w:vAlign w:val="center"/>
            <w:hideMark/>
          </w:tcPr>
          <w:p w14:paraId="70F3CCC8"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214,904</w:t>
            </w:r>
          </w:p>
        </w:tc>
        <w:tc>
          <w:tcPr>
            <w:tcW w:w="1219" w:type="dxa"/>
            <w:tcBorders>
              <w:top w:val="nil"/>
              <w:left w:val="nil"/>
              <w:bottom w:val="single" w:sz="4" w:space="0" w:color="auto"/>
              <w:right w:val="single" w:sz="4" w:space="0" w:color="auto"/>
            </w:tcBorders>
            <w:shd w:val="clear" w:color="auto" w:fill="auto"/>
            <w:vAlign w:val="center"/>
            <w:hideMark/>
          </w:tcPr>
          <w:p w14:paraId="540410E3"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570,792</w:t>
            </w:r>
          </w:p>
        </w:tc>
        <w:tc>
          <w:tcPr>
            <w:tcW w:w="1219" w:type="dxa"/>
            <w:tcBorders>
              <w:top w:val="nil"/>
              <w:left w:val="nil"/>
              <w:bottom w:val="single" w:sz="4" w:space="0" w:color="auto"/>
              <w:right w:val="single" w:sz="4" w:space="0" w:color="auto"/>
            </w:tcBorders>
            <w:shd w:val="clear" w:color="auto" w:fill="auto"/>
            <w:vAlign w:val="center"/>
            <w:hideMark/>
          </w:tcPr>
          <w:p w14:paraId="3B08B499"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247,702</w:t>
            </w:r>
          </w:p>
        </w:tc>
        <w:tc>
          <w:tcPr>
            <w:tcW w:w="1568" w:type="dxa"/>
            <w:tcBorders>
              <w:top w:val="nil"/>
              <w:left w:val="nil"/>
              <w:bottom w:val="single" w:sz="4" w:space="0" w:color="auto"/>
              <w:right w:val="single" w:sz="4" w:space="0" w:color="auto"/>
            </w:tcBorders>
            <w:shd w:val="clear" w:color="auto" w:fill="auto"/>
            <w:vAlign w:val="center"/>
            <w:hideMark/>
          </w:tcPr>
          <w:p w14:paraId="58052D25"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267,731</w:t>
            </w:r>
          </w:p>
        </w:tc>
        <w:tc>
          <w:tcPr>
            <w:tcW w:w="1219" w:type="dxa"/>
            <w:tcBorders>
              <w:top w:val="nil"/>
              <w:left w:val="nil"/>
              <w:bottom w:val="single" w:sz="4" w:space="0" w:color="auto"/>
              <w:right w:val="single" w:sz="4" w:space="0" w:color="auto"/>
            </w:tcBorders>
            <w:shd w:val="clear" w:color="auto" w:fill="auto"/>
            <w:vAlign w:val="center"/>
            <w:hideMark/>
          </w:tcPr>
          <w:p w14:paraId="59A1BCEE"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775,521</w:t>
            </w:r>
          </w:p>
        </w:tc>
        <w:tc>
          <w:tcPr>
            <w:tcW w:w="1394" w:type="dxa"/>
            <w:tcBorders>
              <w:top w:val="nil"/>
              <w:left w:val="nil"/>
              <w:bottom w:val="single" w:sz="4" w:space="0" w:color="auto"/>
              <w:right w:val="single" w:sz="4" w:space="0" w:color="auto"/>
            </w:tcBorders>
            <w:shd w:val="clear" w:color="auto" w:fill="auto"/>
            <w:vAlign w:val="center"/>
            <w:hideMark/>
          </w:tcPr>
          <w:p w14:paraId="2CD9E428" w14:textId="2FF89961"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2</w:t>
            </w:r>
            <w:r w:rsidR="00AD20F6" w:rsidRP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076,650</w:t>
            </w:r>
          </w:p>
        </w:tc>
      </w:tr>
      <w:tr w:rsidR="00393DDB" w:rsidRPr="00607164" w14:paraId="0F6BF901"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6CF88F5B" w14:textId="77777777" w:rsidR="00393DDB" w:rsidRPr="00607164" w:rsidRDefault="00393DDB" w:rsidP="00393DDB">
            <w:pPr>
              <w:spacing w:after="0" w:line="240" w:lineRule="auto"/>
              <w:jc w:val="center"/>
              <w:rPr>
                <w:rFonts w:ascii="Calibri" w:eastAsia="Times New Roman" w:hAnsi="Calibri" w:cs="Calibri"/>
                <w:bCs/>
                <w:color w:val="000000"/>
                <w:sz w:val="20"/>
                <w:szCs w:val="20"/>
                <w:lang w:eastAsia="cs-CZ"/>
              </w:rPr>
            </w:pPr>
            <w:r w:rsidRPr="00607164">
              <w:rPr>
                <w:rFonts w:ascii="Calibri" w:eastAsia="Times New Roman" w:hAnsi="Calibri" w:cs="Calibri"/>
                <w:bCs/>
                <w:color w:val="000000"/>
                <w:sz w:val="20"/>
                <w:szCs w:val="20"/>
                <w:lang w:eastAsia="cs-CZ"/>
              </w:rPr>
              <w:t>2016</w:t>
            </w:r>
          </w:p>
        </w:tc>
        <w:tc>
          <w:tcPr>
            <w:tcW w:w="1301" w:type="dxa"/>
            <w:tcBorders>
              <w:top w:val="nil"/>
              <w:left w:val="nil"/>
              <w:bottom w:val="single" w:sz="4" w:space="0" w:color="auto"/>
              <w:right w:val="single" w:sz="4" w:space="0" w:color="auto"/>
            </w:tcBorders>
            <w:shd w:val="clear" w:color="auto" w:fill="auto"/>
            <w:vAlign w:val="center"/>
            <w:hideMark/>
          </w:tcPr>
          <w:p w14:paraId="16A07AD7"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268,853</w:t>
            </w:r>
          </w:p>
        </w:tc>
        <w:tc>
          <w:tcPr>
            <w:tcW w:w="1219" w:type="dxa"/>
            <w:tcBorders>
              <w:top w:val="nil"/>
              <w:left w:val="nil"/>
              <w:bottom w:val="single" w:sz="4" w:space="0" w:color="auto"/>
              <w:right w:val="single" w:sz="4" w:space="0" w:color="auto"/>
            </w:tcBorders>
            <w:shd w:val="clear" w:color="auto" w:fill="auto"/>
            <w:vAlign w:val="center"/>
            <w:hideMark/>
          </w:tcPr>
          <w:p w14:paraId="2595496C"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554,534</w:t>
            </w:r>
          </w:p>
        </w:tc>
        <w:tc>
          <w:tcPr>
            <w:tcW w:w="1219" w:type="dxa"/>
            <w:tcBorders>
              <w:top w:val="nil"/>
              <w:left w:val="nil"/>
              <w:bottom w:val="single" w:sz="4" w:space="0" w:color="auto"/>
              <w:right w:val="single" w:sz="4" w:space="0" w:color="auto"/>
            </w:tcBorders>
            <w:shd w:val="clear" w:color="auto" w:fill="auto"/>
            <w:vAlign w:val="center"/>
            <w:hideMark/>
          </w:tcPr>
          <w:p w14:paraId="6B2E7A5D"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264,000</w:t>
            </w:r>
          </w:p>
        </w:tc>
        <w:tc>
          <w:tcPr>
            <w:tcW w:w="1568" w:type="dxa"/>
            <w:tcBorders>
              <w:top w:val="nil"/>
              <w:left w:val="nil"/>
              <w:bottom w:val="single" w:sz="4" w:space="0" w:color="auto"/>
              <w:right w:val="single" w:sz="4" w:space="0" w:color="auto"/>
            </w:tcBorders>
            <w:shd w:val="clear" w:color="auto" w:fill="auto"/>
            <w:vAlign w:val="center"/>
            <w:hideMark/>
          </w:tcPr>
          <w:p w14:paraId="71194296"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357,949</w:t>
            </w:r>
          </w:p>
        </w:tc>
        <w:tc>
          <w:tcPr>
            <w:tcW w:w="1219" w:type="dxa"/>
            <w:tcBorders>
              <w:top w:val="nil"/>
              <w:left w:val="nil"/>
              <w:bottom w:val="single" w:sz="4" w:space="0" w:color="auto"/>
              <w:right w:val="single" w:sz="4" w:space="0" w:color="auto"/>
            </w:tcBorders>
            <w:shd w:val="clear" w:color="auto" w:fill="auto"/>
            <w:vAlign w:val="center"/>
            <w:hideMark/>
          </w:tcPr>
          <w:p w14:paraId="711C579F" w14:textId="77777777" w:rsidR="00393DDB" w:rsidRPr="00607164" w:rsidRDefault="00393DDB" w:rsidP="00393DDB">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631,475</w:t>
            </w:r>
          </w:p>
        </w:tc>
        <w:tc>
          <w:tcPr>
            <w:tcW w:w="1394" w:type="dxa"/>
            <w:tcBorders>
              <w:top w:val="nil"/>
              <w:left w:val="nil"/>
              <w:bottom w:val="single" w:sz="4" w:space="0" w:color="auto"/>
              <w:right w:val="single" w:sz="4" w:space="0" w:color="auto"/>
            </w:tcBorders>
            <w:shd w:val="clear" w:color="auto" w:fill="auto"/>
            <w:vAlign w:val="center"/>
            <w:hideMark/>
          </w:tcPr>
          <w:p w14:paraId="675A5496" w14:textId="1748F0A1" w:rsidR="00393DDB" w:rsidRPr="00A660F0" w:rsidRDefault="00393DDB" w:rsidP="00393DDB">
            <w:pPr>
              <w:spacing w:after="0" w:line="240" w:lineRule="auto"/>
              <w:jc w:val="center"/>
              <w:rPr>
                <w:rFonts w:ascii="Calibri" w:eastAsia="Times New Roman" w:hAnsi="Calibri" w:cs="Calibri"/>
                <w:b/>
                <w:color w:val="000000"/>
                <w:sz w:val="20"/>
                <w:szCs w:val="20"/>
                <w:lang w:eastAsia="cs-CZ"/>
              </w:rPr>
            </w:pPr>
            <w:r w:rsidRPr="00A660F0">
              <w:rPr>
                <w:rFonts w:ascii="Calibri" w:eastAsia="Times New Roman" w:hAnsi="Calibri" w:cs="Calibri"/>
                <w:b/>
                <w:color w:val="000000"/>
                <w:sz w:val="20"/>
                <w:szCs w:val="20"/>
                <w:lang w:eastAsia="cs-CZ"/>
              </w:rPr>
              <w:t>2</w:t>
            </w:r>
            <w:r w:rsidR="00AD20F6" w:rsidRPr="00A660F0">
              <w:rPr>
                <w:rFonts w:ascii="Calibri" w:eastAsia="Times New Roman" w:hAnsi="Calibri" w:cs="Calibri"/>
                <w:b/>
                <w:color w:val="000000"/>
                <w:sz w:val="20"/>
                <w:szCs w:val="20"/>
                <w:lang w:eastAsia="cs-CZ"/>
              </w:rPr>
              <w:t> </w:t>
            </w:r>
            <w:r w:rsidRPr="00A660F0">
              <w:rPr>
                <w:rFonts w:ascii="Calibri" w:eastAsia="Times New Roman" w:hAnsi="Calibri" w:cs="Calibri"/>
                <w:b/>
                <w:color w:val="000000"/>
                <w:sz w:val="20"/>
                <w:szCs w:val="20"/>
                <w:lang w:eastAsia="cs-CZ"/>
              </w:rPr>
              <w:t>076,811</w:t>
            </w:r>
          </w:p>
        </w:tc>
      </w:tr>
    </w:tbl>
    <w:p w14:paraId="3C3C4E2A" w14:textId="59374964" w:rsidR="00393DDB" w:rsidRPr="00393DDB" w:rsidRDefault="00393DDB" w:rsidP="00607164">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AD20F6">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708F80F0" w14:textId="77777777" w:rsidR="00393DDB" w:rsidRPr="00393DDB" w:rsidRDefault="00393DDB" w:rsidP="00607164">
      <w:pPr>
        <w:spacing w:after="0" w:line="240" w:lineRule="auto"/>
        <w:jc w:val="both"/>
        <w:rPr>
          <w:rFonts w:eastAsia="Times New Roman" w:cs="Calibri"/>
          <w:sz w:val="24"/>
          <w:szCs w:val="24"/>
          <w:lang w:eastAsia="cs-CZ"/>
        </w:rPr>
      </w:pPr>
    </w:p>
    <w:p w14:paraId="4C5275AB" w14:textId="77777777" w:rsidR="00393DDB" w:rsidRDefault="00393DDB" w:rsidP="00607164">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Z údajů v tabulkách vyplývá, že v období let 2013 až 2016 bylo opraveno zhruba 7 % silnic (145 km) klasifikovaných jako havarijní. Naproti tomu délka silnic v nevyhovujícím stavu narostla o zhruba 2,5 %, tj. o 52 km. V celkovém součtu silnic v nevyhovujícím a havarijním stavu došlo ke zlepšení o 4,6 %, tj. o zhruba 96 km. Situaci ilustruje graf č. 4.</w:t>
      </w:r>
    </w:p>
    <w:p w14:paraId="1278EBFA" w14:textId="77777777" w:rsidR="00520B51" w:rsidRPr="00393DDB" w:rsidRDefault="00520B51" w:rsidP="00607164">
      <w:pPr>
        <w:spacing w:after="0" w:line="240" w:lineRule="auto"/>
        <w:jc w:val="both"/>
        <w:rPr>
          <w:rFonts w:eastAsia="Times New Roman" w:cs="Calibri"/>
          <w:sz w:val="24"/>
          <w:szCs w:val="24"/>
          <w:lang w:eastAsia="cs-CZ"/>
        </w:rPr>
      </w:pPr>
    </w:p>
    <w:p w14:paraId="44019AE7" w14:textId="048F3EBF" w:rsidR="00393DDB" w:rsidRPr="003E78A5" w:rsidRDefault="00393DDB" w:rsidP="003E78A5">
      <w:pPr>
        <w:keepNext/>
        <w:tabs>
          <w:tab w:val="right" w:pos="9072"/>
        </w:tabs>
        <w:spacing w:after="40" w:line="240" w:lineRule="auto"/>
        <w:jc w:val="both"/>
        <w:rPr>
          <w:rFonts w:eastAsia="Times New Roman" w:cs="Calibri"/>
          <w:b/>
          <w:sz w:val="24"/>
          <w:szCs w:val="24"/>
          <w:lang w:eastAsia="cs-CZ"/>
        </w:rPr>
      </w:pPr>
      <w:r w:rsidRPr="00054EE5">
        <w:rPr>
          <w:rFonts w:eastAsia="Times New Roman" w:cs="Calibri"/>
          <w:b/>
          <w:sz w:val="24"/>
          <w:szCs w:val="24"/>
          <w:lang w:eastAsia="cs-CZ"/>
        </w:rPr>
        <w:t>Graf č. 4</w:t>
      </w:r>
      <w:r w:rsidR="001C4C5F">
        <w:rPr>
          <w:rFonts w:eastAsia="Times New Roman" w:cs="Calibri"/>
          <w:b/>
          <w:sz w:val="24"/>
          <w:szCs w:val="24"/>
          <w:lang w:eastAsia="cs-CZ"/>
        </w:rPr>
        <w:t xml:space="preserve"> – Stav silnic II. a III. třídy v Libereckém kraji</w:t>
      </w:r>
      <w:r w:rsidR="001C4C5F">
        <w:rPr>
          <w:rFonts w:eastAsia="Times New Roman" w:cs="Calibri"/>
          <w:b/>
          <w:sz w:val="24"/>
          <w:szCs w:val="24"/>
          <w:lang w:eastAsia="cs-CZ"/>
        </w:rPr>
        <w:tab/>
        <w:t>(v </w:t>
      </w:r>
      <w:r w:rsidR="00844F28">
        <w:rPr>
          <w:rFonts w:eastAsia="Times New Roman" w:cs="Calibri"/>
          <w:b/>
          <w:sz w:val="24"/>
          <w:szCs w:val="24"/>
          <w:lang w:eastAsia="cs-CZ"/>
        </w:rPr>
        <w:t>%</w:t>
      </w:r>
      <w:r w:rsidR="001C4C5F">
        <w:rPr>
          <w:rFonts w:eastAsia="Times New Roman" w:cs="Calibri"/>
          <w:b/>
          <w:sz w:val="24"/>
          <w:szCs w:val="24"/>
          <w:lang w:eastAsia="cs-CZ"/>
        </w:rPr>
        <w:t>)</w:t>
      </w:r>
    </w:p>
    <w:p w14:paraId="0CA07BE5" w14:textId="77777777" w:rsidR="00393DDB" w:rsidRPr="00607164" w:rsidRDefault="003E78A5" w:rsidP="00607164">
      <w:pPr>
        <w:spacing w:after="0" w:line="240" w:lineRule="auto"/>
        <w:jc w:val="both"/>
        <w:rPr>
          <w:rFonts w:ascii="Calibri" w:eastAsia="Times New Roman" w:hAnsi="Calibri" w:cs="Calibri"/>
          <w:sz w:val="24"/>
          <w:szCs w:val="24"/>
          <w:lang w:eastAsia="cs-CZ"/>
        </w:rPr>
      </w:pPr>
      <w:r w:rsidRPr="003E78A5">
        <w:rPr>
          <w:rFonts w:ascii="Calibri" w:eastAsia="Times New Roman" w:hAnsi="Calibri" w:cs="Calibri"/>
          <w:noProof/>
          <w:sz w:val="24"/>
          <w:szCs w:val="24"/>
          <w:lang w:eastAsia="cs-CZ"/>
        </w:rPr>
        <w:drawing>
          <wp:inline distT="0" distB="0" distL="0" distR="0" wp14:anchorId="434ACC06" wp14:editId="2781DDD2">
            <wp:extent cx="5701086" cy="2879685"/>
            <wp:effectExtent l="0" t="0" r="0" b="0"/>
            <wp:docPr id="20" name="Obrázek 20" descr="H:\KOREKTURY\graf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OREKTURY\graf_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78" r="-837" b="-1"/>
                    <a:stretch/>
                  </pic:blipFill>
                  <pic:spPr bwMode="auto">
                    <a:xfrm>
                      <a:off x="0" y="0"/>
                      <a:ext cx="570171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3BDA9DB" w14:textId="49825980" w:rsidR="00393DDB" w:rsidRDefault="00393DDB" w:rsidP="00607164">
      <w:pPr>
        <w:spacing w:after="0" w:line="240" w:lineRule="auto"/>
        <w:jc w:val="both"/>
        <w:rPr>
          <w:rFonts w:ascii="Calibri" w:hAnsi="Calibri" w:cs="Calibri"/>
          <w:bCs/>
          <w:sz w:val="24"/>
          <w:szCs w:val="24"/>
        </w:rPr>
      </w:pPr>
      <w:r w:rsidRPr="00607164">
        <w:rPr>
          <w:rFonts w:ascii="Calibri" w:hAnsi="Calibri" w:cs="Calibri"/>
          <w:bCs/>
          <w:sz w:val="24"/>
          <w:szCs w:val="24"/>
        </w:rPr>
        <w:t>Stav silnic II. a III. třídy v Pardubickém kraji monitor</w:t>
      </w:r>
      <w:r w:rsidR="009578DF" w:rsidRPr="00607164">
        <w:rPr>
          <w:rFonts w:ascii="Calibri" w:hAnsi="Calibri" w:cs="Calibri"/>
          <w:bCs/>
          <w:sz w:val="24"/>
          <w:szCs w:val="24"/>
        </w:rPr>
        <w:t>ovala</w:t>
      </w:r>
      <w:r w:rsidRPr="00607164">
        <w:rPr>
          <w:rFonts w:ascii="Calibri" w:hAnsi="Calibri" w:cs="Calibri"/>
          <w:bCs/>
          <w:sz w:val="24"/>
          <w:szCs w:val="24"/>
        </w:rPr>
        <w:t xml:space="preserve"> SÚS</w:t>
      </w:r>
      <w:r w:rsidR="001C0690" w:rsidRPr="00607164">
        <w:rPr>
          <w:rFonts w:ascii="Calibri" w:hAnsi="Calibri" w:cs="Calibri"/>
          <w:bCs/>
          <w:sz w:val="24"/>
          <w:szCs w:val="24"/>
        </w:rPr>
        <w:t>PAK</w:t>
      </w:r>
      <w:r w:rsidRPr="00607164">
        <w:rPr>
          <w:rFonts w:ascii="Calibri" w:hAnsi="Calibri" w:cs="Calibri"/>
          <w:bCs/>
          <w:sz w:val="24"/>
          <w:szCs w:val="24"/>
        </w:rPr>
        <w:t xml:space="preserve">. Koncepčním materiálem </w:t>
      </w:r>
      <w:r w:rsidR="001C0690" w:rsidRPr="00607164">
        <w:rPr>
          <w:rFonts w:ascii="Calibri" w:hAnsi="Calibri" w:cs="Calibri"/>
          <w:bCs/>
          <w:sz w:val="24"/>
          <w:szCs w:val="24"/>
        </w:rPr>
        <w:t>PAK</w:t>
      </w:r>
      <w:r w:rsidRPr="00607164">
        <w:rPr>
          <w:rFonts w:ascii="Calibri" w:hAnsi="Calibri" w:cs="Calibri"/>
          <w:bCs/>
          <w:sz w:val="24"/>
          <w:szCs w:val="24"/>
        </w:rPr>
        <w:t xml:space="preserve"> je</w:t>
      </w:r>
      <w:r w:rsidR="00844F28">
        <w:rPr>
          <w:rFonts w:ascii="Calibri" w:hAnsi="Calibri" w:cs="Calibri"/>
          <w:bCs/>
          <w:sz w:val="24"/>
          <w:szCs w:val="24"/>
        </w:rPr>
        <w:t xml:space="preserve"> dokument</w:t>
      </w:r>
      <w:r w:rsidRPr="00607164">
        <w:rPr>
          <w:rFonts w:ascii="Calibri" w:hAnsi="Calibri" w:cs="Calibri"/>
          <w:bCs/>
          <w:sz w:val="24"/>
          <w:szCs w:val="24"/>
        </w:rPr>
        <w:t xml:space="preserve"> </w:t>
      </w:r>
      <w:r w:rsidR="00E16FAF">
        <w:rPr>
          <w:rFonts w:ascii="Calibri" w:hAnsi="Calibri" w:cs="Calibri"/>
          <w:bCs/>
          <w:sz w:val="24"/>
          <w:szCs w:val="24"/>
        </w:rPr>
        <w:t>„</w:t>
      </w:r>
      <w:r w:rsidRPr="00607164">
        <w:rPr>
          <w:rFonts w:ascii="Calibri" w:hAnsi="Calibri" w:cs="Calibri"/>
          <w:bCs/>
          <w:i/>
          <w:sz w:val="24"/>
          <w:szCs w:val="24"/>
        </w:rPr>
        <w:t>Programy údržby a rozvoje nemovitého majetku v oblastech dopravy, školství, zdravotnictví, sociálních věcí, kultury a ostatní</w:t>
      </w:r>
      <w:r w:rsidR="00E16FAF" w:rsidRPr="00054EE5">
        <w:rPr>
          <w:rFonts w:ascii="Calibri" w:hAnsi="Calibri" w:cs="Calibri"/>
          <w:bCs/>
          <w:sz w:val="24"/>
          <w:szCs w:val="24"/>
        </w:rPr>
        <w:t>“</w:t>
      </w:r>
      <w:r w:rsidRPr="00607164">
        <w:rPr>
          <w:rFonts w:ascii="Calibri" w:hAnsi="Calibri" w:cs="Calibri"/>
          <w:bCs/>
          <w:i/>
          <w:sz w:val="24"/>
          <w:szCs w:val="24"/>
        </w:rPr>
        <w:t xml:space="preserve"> </w:t>
      </w:r>
      <w:r w:rsidRPr="00607164">
        <w:rPr>
          <w:rFonts w:ascii="Calibri" w:hAnsi="Calibri" w:cs="Calibri"/>
          <w:bCs/>
          <w:sz w:val="24"/>
          <w:szCs w:val="24"/>
        </w:rPr>
        <w:t xml:space="preserve">(dále také </w:t>
      </w:r>
      <w:r w:rsidR="00E16FAF">
        <w:rPr>
          <w:rFonts w:ascii="Calibri" w:hAnsi="Calibri" w:cs="Calibri"/>
          <w:bCs/>
          <w:sz w:val="24"/>
          <w:szCs w:val="24"/>
        </w:rPr>
        <w:t>„</w:t>
      </w:r>
      <w:r w:rsidRPr="00607164">
        <w:rPr>
          <w:rFonts w:ascii="Calibri" w:hAnsi="Calibri" w:cs="Calibri"/>
          <w:bCs/>
          <w:sz w:val="24"/>
          <w:szCs w:val="24"/>
        </w:rPr>
        <w:t>PUR v dopravě</w:t>
      </w:r>
      <w:r w:rsidR="00E16FAF">
        <w:rPr>
          <w:rFonts w:ascii="Calibri" w:hAnsi="Calibri" w:cs="Calibri"/>
          <w:bCs/>
          <w:sz w:val="24"/>
          <w:szCs w:val="24"/>
        </w:rPr>
        <w:t>“</w:t>
      </w:r>
      <w:r w:rsidRPr="00607164">
        <w:rPr>
          <w:rFonts w:ascii="Calibri" w:hAnsi="Calibri" w:cs="Calibri"/>
          <w:bCs/>
          <w:sz w:val="24"/>
          <w:szCs w:val="24"/>
        </w:rPr>
        <w:t>)</w:t>
      </w:r>
      <w:r w:rsidRPr="00607164">
        <w:rPr>
          <w:rFonts w:ascii="Calibri" w:hAnsi="Calibri" w:cs="Calibri"/>
          <w:color w:val="000000"/>
          <w:sz w:val="24"/>
          <w:szCs w:val="24"/>
        </w:rPr>
        <w:t xml:space="preserve">, který stanovil základní cíle v procesu údržby a rozvoje nemovitého majetku </w:t>
      </w:r>
      <w:r w:rsidR="001C0690" w:rsidRPr="00607164">
        <w:rPr>
          <w:rFonts w:ascii="Calibri" w:hAnsi="Calibri" w:cs="Calibri"/>
          <w:color w:val="000000"/>
          <w:sz w:val="24"/>
          <w:szCs w:val="24"/>
        </w:rPr>
        <w:t>PAK</w:t>
      </w:r>
      <w:r w:rsidRPr="00607164">
        <w:rPr>
          <w:rFonts w:ascii="Calibri" w:hAnsi="Calibri" w:cs="Calibri"/>
          <w:color w:val="000000"/>
          <w:sz w:val="24"/>
          <w:szCs w:val="24"/>
        </w:rPr>
        <w:t xml:space="preserve"> na léta 2013</w:t>
      </w:r>
      <w:r w:rsidR="001C4C5F">
        <w:rPr>
          <w:rFonts w:ascii="Calibri" w:hAnsi="Calibri" w:cs="Calibri"/>
          <w:color w:val="000000"/>
          <w:sz w:val="24"/>
          <w:szCs w:val="24"/>
        </w:rPr>
        <w:t>–</w:t>
      </w:r>
      <w:r w:rsidRPr="00607164">
        <w:rPr>
          <w:rFonts w:ascii="Calibri" w:hAnsi="Calibri" w:cs="Calibri"/>
          <w:color w:val="000000"/>
          <w:sz w:val="24"/>
          <w:szCs w:val="24"/>
        </w:rPr>
        <w:t xml:space="preserve">2017. Cílovým stavem bylo do roku 2016 stabilizovat rozhodující část páteřní silniční sítě </w:t>
      </w:r>
      <w:r w:rsidRPr="00607164">
        <w:rPr>
          <w:rFonts w:ascii="Calibri" w:hAnsi="Calibri" w:cs="Calibri"/>
          <w:color w:val="000000"/>
          <w:sz w:val="24"/>
          <w:szCs w:val="24"/>
        </w:rPr>
        <w:lastRenderedPageBreak/>
        <w:t xml:space="preserve">Pardubického kraje. </w:t>
      </w:r>
      <w:r w:rsidR="001C0690" w:rsidRPr="00607164">
        <w:rPr>
          <w:rFonts w:ascii="Calibri" w:hAnsi="Calibri" w:cs="Calibri"/>
          <w:color w:val="000000"/>
          <w:sz w:val="24"/>
          <w:szCs w:val="24"/>
        </w:rPr>
        <w:t>PAK</w:t>
      </w:r>
      <w:r w:rsidRPr="00607164">
        <w:rPr>
          <w:rFonts w:ascii="Calibri" w:hAnsi="Calibri" w:cs="Calibri"/>
          <w:color w:val="000000"/>
          <w:sz w:val="24"/>
          <w:szCs w:val="24"/>
        </w:rPr>
        <w:t xml:space="preserve"> si nestanovil předpokládaný počet km páteřní sítě, který chce stabilizovat do roku 2016</w:t>
      </w:r>
      <w:r w:rsidR="00844F28">
        <w:rPr>
          <w:rFonts w:ascii="Calibri" w:hAnsi="Calibri" w:cs="Calibri"/>
          <w:color w:val="000000"/>
          <w:sz w:val="24"/>
          <w:szCs w:val="24"/>
        </w:rPr>
        <w:t>,</w:t>
      </w:r>
      <w:r w:rsidRPr="00607164">
        <w:rPr>
          <w:rFonts w:ascii="Calibri" w:hAnsi="Calibri" w:cs="Calibri"/>
          <w:color w:val="000000"/>
          <w:sz w:val="24"/>
          <w:szCs w:val="24"/>
        </w:rPr>
        <w:t xml:space="preserve"> a</w:t>
      </w:r>
      <w:r w:rsidR="003F714E" w:rsidRPr="00607164">
        <w:rPr>
          <w:rFonts w:ascii="Calibri" w:hAnsi="Calibri" w:cs="Calibri"/>
          <w:color w:val="000000"/>
          <w:sz w:val="24"/>
          <w:szCs w:val="24"/>
        </w:rPr>
        <w:t> </w:t>
      </w:r>
      <w:r w:rsidRPr="00607164">
        <w:rPr>
          <w:rFonts w:ascii="Calibri" w:hAnsi="Calibri" w:cs="Calibri"/>
          <w:color w:val="000000"/>
          <w:sz w:val="24"/>
          <w:szCs w:val="24"/>
        </w:rPr>
        <w:t xml:space="preserve">nemohl tak vyhodnotit, zda splnil stanovený cíl. </w:t>
      </w:r>
      <w:r w:rsidR="001C0690" w:rsidRPr="00607164">
        <w:rPr>
          <w:rFonts w:ascii="Calibri" w:hAnsi="Calibri" w:cs="Calibri"/>
          <w:color w:val="000000"/>
          <w:sz w:val="24"/>
          <w:szCs w:val="24"/>
        </w:rPr>
        <w:t>PAK</w:t>
      </w:r>
      <w:r w:rsidRPr="00607164">
        <w:rPr>
          <w:rFonts w:ascii="Calibri" w:hAnsi="Calibri" w:cs="Calibri"/>
          <w:color w:val="000000"/>
          <w:sz w:val="24"/>
          <w:szCs w:val="24"/>
        </w:rPr>
        <w:t xml:space="preserve"> má dále zpracovány dokumenty, které</w:t>
      </w:r>
      <w:r w:rsidRPr="00607164">
        <w:rPr>
          <w:rFonts w:ascii="Calibri" w:hAnsi="Calibri" w:cs="Calibri"/>
          <w:bCs/>
          <w:sz w:val="24"/>
          <w:szCs w:val="24"/>
        </w:rPr>
        <w:t xml:space="preserve"> dokládají vzrůstající počet havarijních a nevyhovujících silnic II.</w:t>
      </w:r>
      <w:r w:rsidR="00844F28">
        <w:rPr>
          <w:rFonts w:ascii="Calibri" w:hAnsi="Calibri" w:cs="Calibri"/>
          <w:bCs/>
          <w:sz w:val="24"/>
          <w:szCs w:val="24"/>
        </w:rPr>
        <w:t> </w:t>
      </w:r>
      <w:r w:rsidRPr="00607164">
        <w:rPr>
          <w:rFonts w:ascii="Calibri" w:hAnsi="Calibri" w:cs="Calibri"/>
          <w:bCs/>
          <w:sz w:val="24"/>
          <w:szCs w:val="24"/>
        </w:rPr>
        <w:t xml:space="preserve">a III. třídy </w:t>
      </w:r>
      <w:r w:rsidR="001C0690" w:rsidRPr="00607164">
        <w:rPr>
          <w:rFonts w:ascii="Calibri" w:hAnsi="Calibri" w:cs="Calibri"/>
          <w:bCs/>
          <w:sz w:val="24"/>
          <w:szCs w:val="24"/>
        </w:rPr>
        <w:t>PAK</w:t>
      </w:r>
      <w:r w:rsidRPr="00607164">
        <w:rPr>
          <w:rFonts w:ascii="Calibri" w:hAnsi="Calibri" w:cs="Calibri"/>
          <w:bCs/>
          <w:sz w:val="24"/>
          <w:szCs w:val="24"/>
        </w:rPr>
        <w:t xml:space="preserve"> a vyčíslují finanční náročnost pro uvedení těchto silnic do dobrého </w:t>
      </w:r>
      <w:r w:rsidR="00844F28">
        <w:rPr>
          <w:rFonts w:ascii="Calibri" w:hAnsi="Calibri" w:cs="Calibri"/>
          <w:bCs/>
          <w:sz w:val="24"/>
          <w:szCs w:val="24"/>
        </w:rPr>
        <w:br/>
      </w:r>
      <w:r w:rsidRPr="00607164">
        <w:rPr>
          <w:rFonts w:ascii="Calibri" w:hAnsi="Calibri" w:cs="Calibri"/>
          <w:bCs/>
          <w:sz w:val="24"/>
          <w:szCs w:val="24"/>
        </w:rPr>
        <w:t xml:space="preserve">stavebně-technického stavu. Z údajů z roku 2016 vyplývá, že kompletní obnova silniční sítě včetně zahrnutí cyklických oprav v rámci </w:t>
      </w:r>
      <w:r w:rsidR="00B64F63" w:rsidRPr="00607164">
        <w:rPr>
          <w:rFonts w:ascii="Calibri" w:hAnsi="Calibri" w:cs="Calibri"/>
          <w:bCs/>
          <w:sz w:val="24"/>
          <w:szCs w:val="24"/>
        </w:rPr>
        <w:t>deseti</w:t>
      </w:r>
      <w:r w:rsidRPr="00607164">
        <w:rPr>
          <w:rFonts w:ascii="Calibri" w:hAnsi="Calibri" w:cs="Calibri"/>
          <w:bCs/>
          <w:sz w:val="24"/>
          <w:szCs w:val="24"/>
        </w:rPr>
        <w:t>letého plánovacího období by zahrnovala finanční potřebu pro silnice II. třídy v </w:t>
      </w:r>
      <w:r w:rsidR="001C0690" w:rsidRPr="00607164">
        <w:rPr>
          <w:rFonts w:ascii="Calibri" w:hAnsi="Calibri" w:cs="Calibri"/>
          <w:bCs/>
          <w:sz w:val="24"/>
          <w:szCs w:val="24"/>
        </w:rPr>
        <w:t>PAK</w:t>
      </w:r>
      <w:r w:rsidRPr="00607164">
        <w:rPr>
          <w:rFonts w:ascii="Calibri" w:hAnsi="Calibri" w:cs="Calibri"/>
          <w:bCs/>
          <w:sz w:val="24"/>
          <w:szCs w:val="24"/>
        </w:rPr>
        <w:t xml:space="preserve"> ve výši 1,488 mld. Kč a na silnice III. třídy částku ve výši 7,092 mld. Kč.</w:t>
      </w:r>
    </w:p>
    <w:p w14:paraId="1E29E9BD" w14:textId="1B65BA6A" w:rsidR="00607164" w:rsidRPr="00607164" w:rsidRDefault="00607164" w:rsidP="00607164">
      <w:pPr>
        <w:spacing w:after="0" w:line="240" w:lineRule="auto"/>
        <w:jc w:val="both"/>
        <w:rPr>
          <w:rFonts w:ascii="Calibri" w:hAnsi="Calibri" w:cs="Calibri"/>
          <w:bCs/>
          <w:sz w:val="24"/>
          <w:szCs w:val="24"/>
        </w:rPr>
      </w:pPr>
    </w:p>
    <w:p w14:paraId="48F8AD75" w14:textId="05732F16" w:rsidR="00393DDB" w:rsidRPr="00607164" w:rsidRDefault="00393DDB" w:rsidP="00607164">
      <w:pPr>
        <w:spacing w:after="0" w:line="240" w:lineRule="auto"/>
        <w:jc w:val="both"/>
        <w:rPr>
          <w:rFonts w:ascii="Calibri" w:eastAsia="Times New Roman" w:hAnsi="Calibri" w:cs="Calibri"/>
          <w:b/>
          <w:sz w:val="24"/>
          <w:szCs w:val="24"/>
          <w:lang w:eastAsia="cs-CZ"/>
        </w:rPr>
      </w:pPr>
      <w:r w:rsidRPr="00607164">
        <w:rPr>
          <w:rFonts w:ascii="Calibri" w:eastAsia="Times New Roman" w:hAnsi="Calibri" w:cs="Calibri"/>
          <w:b/>
          <w:sz w:val="24"/>
          <w:szCs w:val="24"/>
          <w:lang w:eastAsia="cs-CZ"/>
        </w:rPr>
        <w:t>5. Skladba peněžních zdrojů</w:t>
      </w:r>
    </w:p>
    <w:p w14:paraId="07234B62" w14:textId="312484C5" w:rsidR="00064D6C" w:rsidRPr="00607164" w:rsidRDefault="00064D6C" w:rsidP="00607164">
      <w:pPr>
        <w:spacing w:after="0" w:line="240" w:lineRule="auto"/>
        <w:jc w:val="both"/>
        <w:rPr>
          <w:rFonts w:ascii="Calibri" w:eastAsia="Times New Roman" w:hAnsi="Calibri" w:cs="Calibri"/>
          <w:sz w:val="24"/>
          <w:szCs w:val="24"/>
          <w:lang w:eastAsia="cs-CZ"/>
        </w:rPr>
      </w:pPr>
    </w:p>
    <w:p w14:paraId="700F94F6" w14:textId="28B06D13" w:rsidR="00393DDB" w:rsidRPr="00607164" w:rsidRDefault="00393DDB" w:rsidP="00607164">
      <w:pPr>
        <w:spacing w:after="0" w:line="240" w:lineRule="auto"/>
        <w:jc w:val="both"/>
        <w:rPr>
          <w:rFonts w:ascii="Calibri" w:eastAsia="Times New Roman" w:hAnsi="Calibri" w:cs="Calibri"/>
          <w:sz w:val="24"/>
          <w:szCs w:val="24"/>
          <w:lang w:eastAsia="cs-CZ"/>
        </w:rPr>
      </w:pPr>
      <w:r w:rsidRPr="00607164">
        <w:rPr>
          <w:rFonts w:ascii="Calibri" w:eastAsia="Times New Roman" w:hAnsi="Calibri" w:cs="Calibri"/>
          <w:sz w:val="24"/>
          <w:szCs w:val="24"/>
          <w:lang w:eastAsia="cs-CZ"/>
        </w:rPr>
        <w:t>Kontrolou NKÚ byla v případech, kdy byla data k dispozici, vyhodnocena výše peněžních prostředků ze zdrojů použitých na opravy silnic krajů v kontrolovaném období a v obdobích předcházejících, celkem za období 2012 až 2016. Údaje jsou uvedeny v tabulkách a grafech pro Liberecký, Moravskoslezský, Pardubický a Plzeňský kraj.</w:t>
      </w:r>
    </w:p>
    <w:p w14:paraId="20D2A192" w14:textId="77777777" w:rsidR="00C6393E" w:rsidRPr="00607164" w:rsidRDefault="00C6393E" w:rsidP="00607164">
      <w:pPr>
        <w:spacing w:after="0" w:line="240" w:lineRule="auto"/>
        <w:jc w:val="both"/>
        <w:rPr>
          <w:rFonts w:ascii="Calibri" w:eastAsia="Times New Roman" w:hAnsi="Calibri" w:cs="Calibri"/>
          <w:sz w:val="24"/>
          <w:szCs w:val="24"/>
          <w:lang w:eastAsia="cs-CZ"/>
        </w:rPr>
      </w:pPr>
    </w:p>
    <w:p w14:paraId="4B8D2FC9" w14:textId="055E0622" w:rsidR="00393DDB" w:rsidRPr="00607164" w:rsidRDefault="00393DDB" w:rsidP="00607164">
      <w:pPr>
        <w:keepNext/>
        <w:spacing w:after="0" w:line="240" w:lineRule="auto"/>
        <w:jc w:val="both"/>
        <w:rPr>
          <w:rFonts w:ascii="Calibri" w:eastAsia="Times New Roman" w:hAnsi="Calibri" w:cs="Calibri"/>
          <w:b/>
          <w:sz w:val="24"/>
          <w:szCs w:val="24"/>
          <w:lang w:eastAsia="cs-CZ"/>
        </w:rPr>
      </w:pPr>
      <w:r w:rsidRPr="00607164">
        <w:rPr>
          <w:rFonts w:ascii="Calibri" w:eastAsia="Times New Roman" w:hAnsi="Calibri" w:cs="Calibri"/>
          <w:b/>
          <w:sz w:val="24"/>
          <w:szCs w:val="24"/>
          <w:lang w:eastAsia="cs-CZ"/>
        </w:rPr>
        <w:t>Liberecký kraj</w:t>
      </w:r>
    </w:p>
    <w:p w14:paraId="026F1262" w14:textId="77777777" w:rsidR="00677716" w:rsidRPr="00607164" w:rsidRDefault="00677716" w:rsidP="00607164">
      <w:pPr>
        <w:keepNext/>
        <w:spacing w:after="0" w:line="240" w:lineRule="auto"/>
        <w:jc w:val="both"/>
        <w:rPr>
          <w:rFonts w:ascii="Calibri" w:eastAsia="Times New Roman" w:hAnsi="Calibri" w:cs="Calibri"/>
          <w:b/>
          <w:sz w:val="24"/>
          <w:szCs w:val="24"/>
          <w:u w:val="single"/>
          <w:lang w:eastAsia="cs-CZ"/>
        </w:rPr>
      </w:pPr>
    </w:p>
    <w:p w14:paraId="7A20DD57" w14:textId="6BB453B8" w:rsidR="00393DDB" w:rsidRPr="00054EE5" w:rsidRDefault="00393DDB" w:rsidP="00AD20F6">
      <w:pPr>
        <w:keepNext/>
        <w:tabs>
          <w:tab w:val="right" w:pos="9072"/>
        </w:tabs>
        <w:spacing w:after="40" w:line="240" w:lineRule="auto"/>
        <w:ind w:left="1560" w:hanging="1560"/>
        <w:jc w:val="both"/>
        <w:rPr>
          <w:rFonts w:eastAsia="Times New Roman" w:cs="Calibri"/>
          <w:b/>
          <w:sz w:val="24"/>
          <w:szCs w:val="24"/>
          <w:lang w:eastAsia="cs-CZ"/>
        </w:rPr>
      </w:pPr>
      <w:r w:rsidRPr="00054EE5">
        <w:rPr>
          <w:rFonts w:eastAsia="Times New Roman" w:cs="Calibri"/>
          <w:b/>
          <w:sz w:val="24"/>
          <w:szCs w:val="24"/>
          <w:lang w:eastAsia="cs-CZ"/>
        </w:rPr>
        <w:t>Tabulka č. 1</w:t>
      </w:r>
      <w:r w:rsidR="00286878" w:rsidRPr="00054EE5">
        <w:rPr>
          <w:rFonts w:eastAsia="Times New Roman" w:cs="Calibri"/>
          <w:b/>
          <w:sz w:val="24"/>
          <w:szCs w:val="24"/>
          <w:lang w:eastAsia="cs-CZ"/>
        </w:rPr>
        <w:t>1</w:t>
      </w:r>
      <w:r w:rsidRPr="00054EE5">
        <w:rPr>
          <w:rFonts w:eastAsia="Times New Roman" w:cs="Calibri"/>
          <w:b/>
          <w:sz w:val="24"/>
          <w:szCs w:val="24"/>
          <w:lang w:eastAsia="cs-CZ"/>
        </w:rPr>
        <w:t xml:space="preserve"> – </w:t>
      </w:r>
      <w:r w:rsidR="00AD20F6">
        <w:rPr>
          <w:rFonts w:eastAsia="Times New Roman" w:cs="Calibri"/>
          <w:b/>
          <w:sz w:val="24"/>
          <w:szCs w:val="24"/>
          <w:lang w:eastAsia="cs-CZ"/>
        </w:rPr>
        <w:tab/>
      </w:r>
      <w:r w:rsidRPr="00054EE5">
        <w:rPr>
          <w:rFonts w:eastAsia="Times New Roman" w:cs="Calibri"/>
          <w:b/>
          <w:sz w:val="24"/>
          <w:szCs w:val="24"/>
          <w:lang w:eastAsia="cs-CZ"/>
        </w:rPr>
        <w:t xml:space="preserve">Peněžní prostředky vložené do silnic II. a III. třídy za roky 2012 až 2016 </w:t>
      </w:r>
      <w:r w:rsidR="00AD20F6">
        <w:rPr>
          <w:rFonts w:eastAsia="Times New Roman" w:cs="Calibri"/>
          <w:b/>
          <w:sz w:val="24"/>
          <w:szCs w:val="24"/>
          <w:lang w:eastAsia="cs-CZ"/>
        </w:rPr>
        <w:tab/>
      </w:r>
      <w:r w:rsidRPr="00054EE5">
        <w:rPr>
          <w:rFonts w:eastAsia="Times New Roman" w:cs="Calibri"/>
          <w:b/>
          <w:sz w:val="24"/>
          <w:szCs w:val="24"/>
          <w:lang w:eastAsia="cs-CZ"/>
        </w:rPr>
        <w:t>(</w:t>
      </w:r>
      <w:r w:rsidR="00AD20F6">
        <w:rPr>
          <w:rFonts w:eastAsia="Times New Roman" w:cs="Calibri"/>
          <w:b/>
          <w:sz w:val="24"/>
          <w:szCs w:val="24"/>
          <w:lang w:eastAsia="cs-CZ"/>
        </w:rPr>
        <w:t>v </w:t>
      </w:r>
      <w:r w:rsidRPr="00054EE5">
        <w:rPr>
          <w:rFonts w:eastAsia="Times New Roman" w:cs="Calibri"/>
          <w:b/>
          <w:sz w:val="24"/>
          <w:szCs w:val="24"/>
          <w:lang w:eastAsia="cs-CZ"/>
        </w:rPr>
        <w:t>mil. Kč)</w:t>
      </w:r>
    </w:p>
    <w:tbl>
      <w:tblPr>
        <w:tblW w:w="9059" w:type="dxa"/>
        <w:tblCellMar>
          <w:left w:w="70" w:type="dxa"/>
          <w:right w:w="70" w:type="dxa"/>
        </w:tblCellMar>
        <w:tblLook w:val="04A0" w:firstRow="1" w:lastRow="0" w:firstColumn="1" w:lastColumn="0" w:noHBand="0" w:noVBand="1"/>
      </w:tblPr>
      <w:tblGrid>
        <w:gridCol w:w="1382"/>
        <w:gridCol w:w="2016"/>
        <w:gridCol w:w="1773"/>
        <w:gridCol w:w="1757"/>
        <w:gridCol w:w="2131"/>
      </w:tblGrid>
      <w:tr w:rsidR="00393DDB" w:rsidRPr="00064D6C" w14:paraId="778BEC69" w14:textId="77777777" w:rsidTr="00675B8E">
        <w:trPr>
          <w:trHeight w:val="227"/>
        </w:trPr>
        <w:tc>
          <w:tcPr>
            <w:tcW w:w="1382"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59D84519" w14:textId="77777777" w:rsidR="00393DDB" w:rsidRPr="00AD20F6" w:rsidRDefault="00393DDB" w:rsidP="005D6760">
            <w:pPr>
              <w:keepNext/>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Rok</w:t>
            </w:r>
          </w:p>
        </w:tc>
        <w:tc>
          <w:tcPr>
            <w:tcW w:w="2016" w:type="dxa"/>
            <w:tcBorders>
              <w:top w:val="single" w:sz="4" w:space="0" w:color="auto"/>
              <w:left w:val="nil"/>
              <w:bottom w:val="single" w:sz="4" w:space="0" w:color="auto"/>
              <w:right w:val="single" w:sz="4" w:space="0" w:color="auto"/>
            </w:tcBorders>
            <w:shd w:val="clear" w:color="auto" w:fill="E5F1FF"/>
            <w:vAlign w:val="center"/>
            <w:hideMark/>
          </w:tcPr>
          <w:p w14:paraId="58DFAF9D" w14:textId="77777777" w:rsidR="00393DDB" w:rsidRPr="00AD20F6" w:rsidRDefault="00393DDB" w:rsidP="005D6760">
            <w:pPr>
              <w:keepNext/>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Prostředky kraje celkem</w:t>
            </w:r>
          </w:p>
        </w:tc>
        <w:tc>
          <w:tcPr>
            <w:tcW w:w="1773" w:type="dxa"/>
            <w:tcBorders>
              <w:top w:val="single" w:sz="4" w:space="0" w:color="auto"/>
              <w:left w:val="nil"/>
              <w:bottom w:val="single" w:sz="4" w:space="0" w:color="auto"/>
              <w:right w:val="single" w:sz="4" w:space="0" w:color="auto"/>
            </w:tcBorders>
            <w:shd w:val="clear" w:color="auto" w:fill="E5F1FF"/>
            <w:vAlign w:val="center"/>
            <w:hideMark/>
          </w:tcPr>
          <w:p w14:paraId="18610A95" w14:textId="77777777" w:rsidR="00393DDB" w:rsidRPr="00AD20F6" w:rsidRDefault="00393DDB" w:rsidP="005D6760">
            <w:pPr>
              <w:keepNext/>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Poskytnutá dotace EU</w:t>
            </w:r>
          </w:p>
        </w:tc>
        <w:tc>
          <w:tcPr>
            <w:tcW w:w="1757" w:type="dxa"/>
            <w:tcBorders>
              <w:top w:val="single" w:sz="4" w:space="0" w:color="auto"/>
              <w:left w:val="nil"/>
              <w:bottom w:val="single" w:sz="4" w:space="0" w:color="auto"/>
              <w:right w:val="single" w:sz="4" w:space="0" w:color="auto"/>
            </w:tcBorders>
            <w:shd w:val="clear" w:color="auto" w:fill="E5F1FF"/>
            <w:vAlign w:val="center"/>
            <w:hideMark/>
          </w:tcPr>
          <w:p w14:paraId="5DDFA2DC" w14:textId="77777777" w:rsidR="00393DDB" w:rsidRPr="00AD20F6" w:rsidRDefault="00393DDB" w:rsidP="005D6760">
            <w:pPr>
              <w:keepNext/>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SFDI dotace</w:t>
            </w:r>
          </w:p>
        </w:tc>
        <w:tc>
          <w:tcPr>
            <w:tcW w:w="2131" w:type="dxa"/>
            <w:tcBorders>
              <w:top w:val="single" w:sz="4" w:space="0" w:color="auto"/>
              <w:left w:val="nil"/>
              <w:bottom w:val="single" w:sz="4" w:space="0" w:color="auto"/>
              <w:right w:val="single" w:sz="4" w:space="0" w:color="auto"/>
            </w:tcBorders>
            <w:shd w:val="clear" w:color="auto" w:fill="E5F1FF"/>
            <w:vAlign w:val="center"/>
            <w:hideMark/>
          </w:tcPr>
          <w:p w14:paraId="6777BC9E" w14:textId="77777777" w:rsidR="00393DDB" w:rsidRPr="00AD20F6" w:rsidRDefault="00393DDB" w:rsidP="005D6760">
            <w:pPr>
              <w:keepNext/>
              <w:spacing w:after="0" w:line="240" w:lineRule="auto"/>
              <w:jc w:val="center"/>
              <w:rPr>
                <w:rFonts w:ascii="Calibri" w:eastAsia="Times New Roman" w:hAnsi="Calibri" w:cs="Calibri"/>
                <w:b/>
                <w:bCs/>
                <w:color w:val="000000"/>
                <w:sz w:val="20"/>
                <w:szCs w:val="20"/>
                <w:lang w:eastAsia="cs-CZ"/>
              </w:rPr>
            </w:pPr>
            <w:r w:rsidRPr="00AD20F6">
              <w:rPr>
                <w:rFonts w:ascii="Calibri" w:eastAsia="Times New Roman" w:hAnsi="Calibri" w:cs="Calibri"/>
                <w:b/>
                <w:bCs/>
                <w:color w:val="000000"/>
                <w:sz w:val="20"/>
                <w:szCs w:val="20"/>
                <w:lang w:eastAsia="cs-CZ"/>
              </w:rPr>
              <w:t>Celkem za rok</w:t>
            </w:r>
          </w:p>
        </w:tc>
      </w:tr>
      <w:tr w:rsidR="00393DDB" w:rsidRPr="00064D6C" w14:paraId="43D7EF9F"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F97161" w14:textId="77777777" w:rsidR="00393DDB" w:rsidRPr="00064D6C" w:rsidRDefault="00393DDB" w:rsidP="00064D6C">
            <w:pPr>
              <w:keepNext/>
              <w:spacing w:after="0" w:line="240" w:lineRule="auto"/>
              <w:jc w:val="center"/>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2012</w:t>
            </w:r>
          </w:p>
        </w:tc>
        <w:tc>
          <w:tcPr>
            <w:tcW w:w="2016" w:type="dxa"/>
            <w:tcBorders>
              <w:top w:val="nil"/>
              <w:left w:val="nil"/>
              <w:bottom w:val="single" w:sz="4" w:space="0" w:color="auto"/>
              <w:right w:val="single" w:sz="4" w:space="0" w:color="auto"/>
            </w:tcBorders>
            <w:shd w:val="clear" w:color="auto" w:fill="auto"/>
            <w:noWrap/>
            <w:vAlign w:val="center"/>
            <w:hideMark/>
          </w:tcPr>
          <w:p w14:paraId="757F6C2E"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249,943</w:t>
            </w:r>
          </w:p>
        </w:tc>
        <w:tc>
          <w:tcPr>
            <w:tcW w:w="1773" w:type="dxa"/>
            <w:tcBorders>
              <w:top w:val="nil"/>
              <w:left w:val="nil"/>
              <w:bottom w:val="single" w:sz="4" w:space="0" w:color="auto"/>
              <w:right w:val="single" w:sz="4" w:space="0" w:color="auto"/>
            </w:tcBorders>
            <w:shd w:val="clear" w:color="auto" w:fill="auto"/>
            <w:noWrap/>
            <w:vAlign w:val="center"/>
            <w:hideMark/>
          </w:tcPr>
          <w:p w14:paraId="346607AA"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212,287</w:t>
            </w:r>
          </w:p>
        </w:tc>
        <w:tc>
          <w:tcPr>
            <w:tcW w:w="1757" w:type="dxa"/>
            <w:tcBorders>
              <w:top w:val="nil"/>
              <w:left w:val="nil"/>
              <w:bottom w:val="single" w:sz="4" w:space="0" w:color="auto"/>
              <w:right w:val="single" w:sz="4" w:space="0" w:color="auto"/>
            </w:tcBorders>
            <w:shd w:val="clear" w:color="auto" w:fill="auto"/>
            <w:noWrap/>
            <w:vAlign w:val="center"/>
            <w:hideMark/>
          </w:tcPr>
          <w:p w14:paraId="4940CE69"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0,000</w:t>
            </w:r>
          </w:p>
        </w:tc>
        <w:tc>
          <w:tcPr>
            <w:tcW w:w="2131" w:type="dxa"/>
            <w:tcBorders>
              <w:top w:val="nil"/>
              <w:left w:val="nil"/>
              <w:bottom w:val="single" w:sz="4" w:space="0" w:color="auto"/>
              <w:right w:val="single" w:sz="4" w:space="0" w:color="auto"/>
            </w:tcBorders>
            <w:shd w:val="clear" w:color="auto" w:fill="auto"/>
            <w:noWrap/>
            <w:vAlign w:val="center"/>
            <w:hideMark/>
          </w:tcPr>
          <w:p w14:paraId="563B8130"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462,230</w:t>
            </w:r>
          </w:p>
        </w:tc>
      </w:tr>
      <w:tr w:rsidR="00393DDB" w:rsidRPr="00064D6C" w14:paraId="1776F652"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E1070CA" w14:textId="77777777" w:rsidR="00393DDB" w:rsidRPr="00064D6C" w:rsidRDefault="00393DDB" w:rsidP="00064D6C">
            <w:pPr>
              <w:keepNext/>
              <w:spacing w:after="0" w:line="240" w:lineRule="auto"/>
              <w:jc w:val="center"/>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2013</w:t>
            </w:r>
          </w:p>
        </w:tc>
        <w:tc>
          <w:tcPr>
            <w:tcW w:w="2016" w:type="dxa"/>
            <w:tcBorders>
              <w:top w:val="nil"/>
              <w:left w:val="nil"/>
              <w:bottom w:val="single" w:sz="4" w:space="0" w:color="auto"/>
              <w:right w:val="single" w:sz="4" w:space="0" w:color="auto"/>
            </w:tcBorders>
            <w:shd w:val="clear" w:color="auto" w:fill="auto"/>
            <w:noWrap/>
            <w:vAlign w:val="center"/>
            <w:hideMark/>
          </w:tcPr>
          <w:p w14:paraId="67C3E0E7"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310,457</w:t>
            </w:r>
          </w:p>
        </w:tc>
        <w:tc>
          <w:tcPr>
            <w:tcW w:w="1773" w:type="dxa"/>
            <w:tcBorders>
              <w:top w:val="nil"/>
              <w:left w:val="nil"/>
              <w:bottom w:val="single" w:sz="4" w:space="0" w:color="auto"/>
              <w:right w:val="single" w:sz="4" w:space="0" w:color="auto"/>
            </w:tcBorders>
            <w:shd w:val="clear" w:color="auto" w:fill="auto"/>
            <w:noWrap/>
            <w:vAlign w:val="center"/>
            <w:hideMark/>
          </w:tcPr>
          <w:p w14:paraId="6097F0DB"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307,107</w:t>
            </w:r>
          </w:p>
        </w:tc>
        <w:tc>
          <w:tcPr>
            <w:tcW w:w="1757" w:type="dxa"/>
            <w:tcBorders>
              <w:top w:val="nil"/>
              <w:left w:val="nil"/>
              <w:bottom w:val="single" w:sz="4" w:space="0" w:color="auto"/>
              <w:right w:val="single" w:sz="4" w:space="0" w:color="auto"/>
            </w:tcBorders>
            <w:shd w:val="clear" w:color="auto" w:fill="auto"/>
            <w:noWrap/>
            <w:vAlign w:val="center"/>
            <w:hideMark/>
          </w:tcPr>
          <w:p w14:paraId="3FFFF3D3"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36,370</w:t>
            </w:r>
          </w:p>
        </w:tc>
        <w:tc>
          <w:tcPr>
            <w:tcW w:w="2131" w:type="dxa"/>
            <w:tcBorders>
              <w:top w:val="nil"/>
              <w:left w:val="nil"/>
              <w:bottom w:val="single" w:sz="4" w:space="0" w:color="auto"/>
              <w:right w:val="single" w:sz="4" w:space="0" w:color="auto"/>
            </w:tcBorders>
            <w:shd w:val="clear" w:color="auto" w:fill="auto"/>
            <w:noWrap/>
            <w:vAlign w:val="center"/>
            <w:hideMark/>
          </w:tcPr>
          <w:p w14:paraId="5939BF91"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653,934</w:t>
            </w:r>
          </w:p>
        </w:tc>
      </w:tr>
      <w:tr w:rsidR="00393DDB" w:rsidRPr="00064D6C" w14:paraId="35D471AA"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9D456B2" w14:textId="77777777" w:rsidR="00393DDB" w:rsidRPr="00064D6C" w:rsidRDefault="00393DDB" w:rsidP="00064D6C">
            <w:pPr>
              <w:keepNext/>
              <w:spacing w:after="0" w:line="240" w:lineRule="auto"/>
              <w:jc w:val="center"/>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2014</w:t>
            </w:r>
          </w:p>
        </w:tc>
        <w:tc>
          <w:tcPr>
            <w:tcW w:w="2016" w:type="dxa"/>
            <w:tcBorders>
              <w:top w:val="nil"/>
              <w:left w:val="nil"/>
              <w:bottom w:val="single" w:sz="4" w:space="0" w:color="auto"/>
              <w:right w:val="single" w:sz="4" w:space="0" w:color="auto"/>
            </w:tcBorders>
            <w:shd w:val="clear" w:color="auto" w:fill="auto"/>
            <w:noWrap/>
            <w:vAlign w:val="center"/>
            <w:hideMark/>
          </w:tcPr>
          <w:p w14:paraId="720EB943"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327,378</w:t>
            </w:r>
          </w:p>
        </w:tc>
        <w:tc>
          <w:tcPr>
            <w:tcW w:w="1773" w:type="dxa"/>
            <w:tcBorders>
              <w:top w:val="nil"/>
              <w:left w:val="nil"/>
              <w:bottom w:val="single" w:sz="4" w:space="0" w:color="auto"/>
              <w:right w:val="single" w:sz="4" w:space="0" w:color="auto"/>
            </w:tcBorders>
            <w:shd w:val="clear" w:color="auto" w:fill="auto"/>
            <w:noWrap/>
            <w:vAlign w:val="center"/>
            <w:hideMark/>
          </w:tcPr>
          <w:p w14:paraId="39E62DEF"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224,287</w:t>
            </w:r>
          </w:p>
        </w:tc>
        <w:tc>
          <w:tcPr>
            <w:tcW w:w="1757" w:type="dxa"/>
            <w:tcBorders>
              <w:top w:val="nil"/>
              <w:left w:val="nil"/>
              <w:bottom w:val="single" w:sz="4" w:space="0" w:color="auto"/>
              <w:right w:val="single" w:sz="4" w:space="0" w:color="auto"/>
            </w:tcBorders>
            <w:shd w:val="clear" w:color="auto" w:fill="auto"/>
            <w:noWrap/>
            <w:vAlign w:val="center"/>
            <w:hideMark/>
          </w:tcPr>
          <w:p w14:paraId="4E7D078F" w14:textId="60EE2C0A" w:rsidR="00393DDB" w:rsidRPr="00064D6C" w:rsidRDefault="00393DDB" w:rsidP="00AD20F6">
            <w:pPr>
              <w:keepNext/>
              <w:spacing w:after="0" w:line="240" w:lineRule="auto"/>
              <w:ind w:right="510"/>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135,982</w:t>
            </w:r>
            <w:r w:rsidRPr="005D6760">
              <w:rPr>
                <w:rFonts w:ascii="Calibri" w:eastAsia="Times New Roman" w:hAnsi="Calibri" w:cs="Calibri"/>
                <w:color w:val="000000"/>
                <w:sz w:val="20"/>
                <w:szCs w:val="20"/>
                <w:lang w:eastAsia="cs-CZ"/>
              </w:rPr>
              <w:t>*</w:t>
            </w:r>
          </w:p>
        </w:tc>
        <w:tc>
          <w:tcPr>
            <w:tcW w:w="2131" w:type="dxa"/>
            <w:tcBorders>
              <w:top w:val="nil"/>
              <w:left w:val="nil"/>
              <w:bottom w:val="single" w:sz="4" w:space="0" w:color="auto"/>
              <w:right w:val="single" w:sz="4" w:space="0" w:color="auto"/>
            </w:tcBorders>
            <w:shd w:val="clear" w:color="auto" w:fill="auto"/>
            <w:noWrap/>
            <w:vAlign w:val="center"/>
            <w:hideMark/>
          </w:tcPr>
          <w:p w14:paraId="2D97DBB5"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687,647</w:t>
            </w:r>
          </w:p>
        </w:tc>
      </w:tr>
      <w:tr w:rsidR="00393DDB" w:rsidRPr="00064D6C" w14:paraId="14BA2FD4"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2196877" w14:textId="77777777" w:rsidR="00393DDB" w:rsidRPr="00064D6C" w:rsidRDefault="00393DDB" w:rsidP="00064D6C">
            <w:pPr>
              <w:keepNext/>
              <w:spacing w:after="0" w:line="240" w:lineRule="auto"/>
              <w:jc w:val="center"/>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2015</w:t>
            </w:r>
          </w:p>
        </w:tc>
        <w:tc>
          <w:tcPr>
            <w:tcW w:w="2016" w:type="dxa"/>
            <w:tcBorders>
              <w:top w:val="nil"/>
              <w:left w:val="nil"/>
              <w:bottom w:val="single" w:sz="4" w:space="0" w:color="auto"/>
              <w:right w:val="single" w:sz="4" w:space="0" w:color="auto"/>
            </w:tcBorders>
            <w:shd w:val="clear" w:color="auto" w:fill="auto"/>
            <w:noWrap/>
            <w:vAlign w:val="center"/>
            <w:hideMark/>
          </w:tcPr>
          <w:p w14:paraId="13C971AD"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195,892</w:t>
            </w:r>
          </w:p>
        </w:tc>
        <w:tc>
          <w:tcPr>
            <w:tcW w:w="1773" w:type="dxa"/>
            <w:tcBorders>
              <w:top w:val="nil"/>
              <w:left w:val="nil"/>
              <w:bottom w:val="single" w:sz="4" w:space="0" w:color="auto"/>
              <w:right w:val="single" w:sz="4" w:space="0" w:color="auto"/>
            </w:tcBorders>
            <w:shd w:val="clear" w:color="auto" w:fill="auto"/>
            <w:noWrap/>
            <w:vAlign w:val="center"/>
            <w:hideMark/>
          </w:tcPr>
          <w:p w14:paraId="321AC886"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704,767</w:t>
            </w:r>
          </w:p>
        </w:tc>
        <w:tc>
          <w:tcPr>
            <w:tcW w:w="1757" w:type="dxa"/>
            <w:tcBorders>
              <w:top w:val="nil"/>
              <w:left w:val="nil"/>
              <w:bottom w:val="single" w:sz="4" w:space="0" w:color="auto"/>
              <w:right w:val="single" w:sz="4" w:space="0" w:color="auto"/>
            </w:tcBorders>
            <w:shd w:val="clear" w:color="auto" w:fill="auto"/>
            <w:noWrap/>
            <w:vAlign w:val="center"/>
            <w:hideMark/>
          </w:tcPr>
          <w:p w14:paraId="488B8BE1" w14:textId="2C1C54CD" w:rsidR="00393DDB" w:rsidRPr="00064D6C" w:rsidRDefault="00393DDB" w:rsidP="00AD20F6">
            <w:pPr>
              <w:keepNext/>
              <w:spacing w:after="0" w:line="240" w:lineRule="auto"/>
              <w:ind w:right="510"/>
              <w:jc w:val="right"/>
              <w:rPr>
                <w:rFonts w:ascii="Calibri" w:eastAsia="Times New Roman" w:hAnsi="Calibri" w:cs="Calibri"/>
                <w:color w:val="000000"/>
                <w:sz w:val="20"/>
                <w:szCs w:val="20"/>
                <w:vertAlign w:val="superscript"/>
                <w:lang w:eastAsia="cs-CZ"/>
              </w:rPr>
            </w:pPr>
            <w:r w:rsidRPr="00064D6C">
              <w:rPr>
                <w:rFonts w:ascii="Calibri" w:eastAsia="Times New Roman" w:hAnsi="Calibri" w:cs="Calibri"/>
                <w:color w:val="000000"/>
                <w:sz w:val="20"/>
                <w:szCs w:val="20"/>
                <w:lang w:eastAsia="cs-CZ"/>
              </w:rPr>
              <w:t>197,996</w:t>
            </w:r>
            <w:r w:rsidRPr="005D6760">
              <w:rPr>
                <w:rFonts w:ascii="Calibri" w:eastAsia="Times New Roman" w:hAnsi="Calibri" w:cs="Calibri"/>
                <w:color w:val="000000"/>
                <w:sz w:val="20"/>
                <w:szCs w:val="20"/>
                <w:lang w:eastAsia="cs-CZ"/>
              </w:rPr>
              <w:t>*</w:t>
            </w:r>
          </w:p>
        </w:tc>
        <w:tc>
          <w:tcPr>
            <w:tcW w:w="2131" w:type="dxa"/>
            <w:tcBorders>
              <w:top w:val="nil"/>
              <w:left w:val="nil"/>
              <w:bottom w:val="single" w:sz="4" w:space="0" w:color="auto"/>
              <w:right w:val="single" w:sz="4" w:space="0" w:color="auto"/>
            </w:tcBorders>
            <w:shd w:val="clear" w:color="auto" w:fill="auto"/>
            <w:noWrap/>
            <w:vAlign w:val="center"/>
            <w:hideMark/>
          </w:tcPr>
          <w:p w14:paraId="2C82105B"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1 098,655</w:t>
            </w:r>
          </w:p>
        </w:tc>
      </w:tr>
      <w:tr w:rsidR="00393DDB" w:rsidRPr="00064D6C" w14:paraId="408D0EA6"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5C99768" w14:textId="77777777" w:rsidR="00393DDB" w:rsidRPr="00064D6C" w:rsidRDefault="00393DDB" w:rsidP="00064D6C">
            <w:pPr>
              <w:keepNext/>
              <w:spacing w:after="0" w:line="240" w:lineRule="auto"/>
              <w:jc w:val="center"/>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2016</w:t>
            </w:r>
          </w:p>
        </w:tc>
        <w:tc>
          <w:tcPr>
            <w:tcW w:w="2016" w:type="dxa"/>
            <w:tcBorders>
              <w:top w:val="nil"/>
              <w:left w:val="nil"/>
              <w:bottom w:val="single" w:sz="4" w:space="0" w:color="auto"/>
              <w:right w:val="single" w:sz="4" w:space="0" w:color="auto"/>
            </w:tcBorders>
            <w:shd w:val="clear" w:color="auto" w:fill="auto"/>
            <w:noWrap/>
            <w:vAlign w:val="center"/>
            <w:hideMark/>
          </w:tcPr>
          <w:p w14:paraId="61C23DE1"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275,809</w:t>
            </w:r>
          </w:p>
        </w:tc>
        <w:tc>
          <w:tcPr>
            <w:tcW w:w="1773" w:type="dxa"/>
            <w:tcBorders>
              <w:top w:val="nil"/>
              <w:left w:val="nil"/>
              <w:bottom w:val="single" w:sz="4" w:space="0" w:color="auto"/>
              <w:right w:val="single" w:sz="4" w:space="0" w:color="auto"/>
            </w:tcBorders>
            <w:shd w:val="clear" w:color="auto" w:fill="auto"/>
            <w:noWrap/>
            <w:vAlign w:val="center"/>
            <w:hideMark/>
          </w:tcPr>
          <w:p w14:paraId="73CCDD6B"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0,000</w:t>
            </w:r>
          </w:p>
        </w:tc>
        <w:tc>
          <w:tcPr>
            <w:tcW w:w="1757" w:type="dxa"/>
            <w:tcBorders>
              <w:top w:val="nil"/>
              <w:left w:val="nil"/>
              <w:bottom w:val="single" w:sz="4" w:space="0" w:color="auto"/>
              <w:right w:val="single" w:sz="4" w:space="0" w:color="auto"/>
            </w:tcBorders>
            <w:shd w:val="clear" w:color="auto" w:fill="auto"/>
            <w:noWrap/>
            <w:vAlign w:val="center"/>
            <w:hideMark/>
          </w:tcPr>
          <w:p w14:paraId="1557354E" w14:textId="77777777" w:rsidR="00393DDB" w:rsidRPr="00064D6C" w:rsidRDefault="00393DDB" w:rsidP="005D6760">
            <w:pPr>
              <w:keepNext/>
              <w:spacing w:after="0" w:line="240" w:lineRule="auto"/>
              <w:ind w:right="636"/>
              <w:jc w:val="right"/>
              <w:rPr>
                <w:rFonts w:ascii="Calibri" w:eastAsia="Times New Roman" w:hAnsi="Calibri" w:cs="Calibri"/>
                <w:color w:val="000000"/>
                <w:sz w:val="20"/>
                <w:szCs w:val="20"/>
                <w:lang w:eastAsia="cs-CZ"/>
              </w:rPr>
            </w:pPr>
            <w:r w:rsidRPr="00064D6C">
              <w:rPr>
                <w:rFonts w:ascii="Calibri" w:eastAsia="Times New Roman" w:hAnsi="Calibri" w:cs="Calibri"/>
                <w:color w:val="000000"/>
                <w:sz w:val="20"/>
                <w:szCs w:val="20"/>
                <w:lang w:eastAsia="cs-CZ"/>
              </w:rPr>
              <w:t>128,764</w:t>
            </w:r>
          </w:p>
        </w:tc>
        <w:tc>
          <w:tcPr>
            <w:tcW w:w="2131" w:type="dxa"/>
            <w:tcBorders>
              <w:top w:val="nil"/>
              <w:left w:val="nil"/>
              <w:bottom w:val="single" w:sz="4" w:space="0" w:color="auto"/>
              <w:right w:val="single" w:sz="4" w:space="0" w:color="auto"/>
            </w:tcBorders>
            <w:shd w:val="clear" w:color="auto" w:fill="auto"/>
            <w:noWrap/>
            <w:vAlign w:val="center"/>
            <w:hideMark/>
          </w:tcPr>
          <w:p w14:paraId="4DA4A64F"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404,573</w:t>
            </w:r>
          </w:p>
        </w:tc>
      </w:tr>
      <w:tr w:rsidR="00393DDB" w:rsidRPr="00064D6C" w14:paraId="1C8764EF"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E77C9FF" w14:textId="77777777" w:rsidR="00393DDB" w:rsidRPr="00054EE5" w:rsidRDefault="00393DDB" w:rsidP="00064D6C">
            <w:pPr>
              <w:keepNext/>
              <w:spacing w:after="0" w:line="240" w:lineRule="auto"/>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Celkem</w:t>
            </w:r>
          </w:p>
        </w:tc>
        <w:tc>
          <w:tcPr>
            <w:tcW w:w="2016" w:type="dxa"/>
            <w:tcBorders>
              <w:top w:val="nil"/>
              <w:left w:val="nil"/>
              <w:bottom w:val="single" w:sz="4" w:space="0" w:color="auto"/>
              <w:right w:val="single" w:sz="4" w:space="0" w:color="auto"/>
            </w:tcBorders>
            <w:shd w:val="clear" w:color="auto" w:fill="auto"/>
            <w:noWrap/>
            <w:vAlign w:val="center"/>
            <w:hideMark/>
          </w:tcPr>
          <w:p w14:paraId="548D37B8"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1 359,479</w:t>
            </w:r>
          </w:p>
        </w:tc>
        <w:tc>
          <w:tcPr>
            <w:tcW w:w="1773" w:type="dxa"/>
            <w:tcBorders>
              <w:top w:val="nil"/>
              <w:left w:val="nil"/>
              <w:bottom w:val="single" w:sz="4" w:space="0" w:color="auto"/>
              <w:right w:val="single" w:sz="4" w:space="0" w:color="auto"/>
            </w:tcBorders>
            <w:shd w:val="clear" w:color="auto" w:fill="auto"/>
            <w:noWrap/>
            <w:vAlign w:val="center"/>
            <w:hideMark/>
          </w:tcPr>
          <w:p w14:paraId="489F5FE4"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1 448,448</w:t>
            </w:r>
          </w:p>
        </w:tc>
        <w:tc>
          <w:tcPr>
            <w:tcW w:w="1757" w:type="dxa"/>
            <w:tcBorders>
              <w:top w:val="nil"/>
              <w:left w:val="nil"/>
              <w:bottom w:val="single" w:sz="4" w:space="0" w:color="auto"/>
              <w:right w:val="single" w:sz="4" w:space="0" w:color="auto"/>
            </w:tcBorders>
            <w:shd w:val="clear" w:color="auto" w:fill="auto"/>
            <w:noWrap/>
            <w:vAlign w:val="center"/>
            <w:hideMark/>
          </w:tcPr>
          <w:p w14:paraId="252E83B3"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499,112</w:t>
            </w:r>
          </w:p>
        </w:tc>
        <w:tc>
          <w:tcPr>
            <w:tcW w:w="2131" w:type="dxa"/>
            <w:tcBorders>
              <w:top w:val="nil"/>
              <w:left w:val="nil"/>
              <w:bottom w:val="single" w:sz="4" w:space="0" w:color="auto"/>
              <w:right w:val="single" w:sz="4" w:space="0" w:color="auto"/>
            </w:tcBorders>
            <w:shd w:val="clear" w:color="auto" w:fill="auto"/>
            <w:noWrap/>
            <w:vAlign w:val="center"/>
            <w:hideMark/>
          </w:tcPr>
          <w:p w14:paraId="047F23A7" w14:textId="77777777" w:rsidR="00393DDB" w:rsidRPr="00054EE5" w:rsidRDefault="00393DDB" w:rsidP="005D6760">
            <w:pPr>
              <w:keepNext/>
              <w:spacing w:after="0" w:line="240" w:lineRule="auto"/>
              <w:ind w:right="636"/>
              <w:jc w:val="right"/>
              <w:rPr>
                <w:rFonts w:ascii="Calibri" w:eastAsia="Times New Roman" w:hAnsi="Calibri" w:cs="Calibri"/>
                <w:b/>
                <w:color w:val="000000"/>
                <w:sz w:val="20"/>
                <w:szCs w:val="20"/>
                <w:lang w:eastAsia="cs-CZ"/>
              </w:rPr>
            </w:pPr>
            <w:r w:rsidRPr="00054EE5">
              <w:rPr>
                <w:rFonts w:ascii="Calibri" w:eastAsia="Times New Roman" w:hAnsi="Calibri" w:cs="Calibri"/>
                <w:b/>
                <w:color w:val="000000"/>
                <w:sz w:val="20"/>
                <w:szCs w:val="20"/>
                <w:lang w:eastAsia="cs-CZ"/>
              </w:rPr>
              <w:t>3 307,039</w:t>
            </w:r>
          </w:p>
        </w:tc>
      </w:tr>
    </w:tbl>
    <w:p w14:paraId="1137DF32" w14:textId="55EDF5CB" w:rsidR="00393DDB" w:rsidRPr="00393DDB" w:rsidRDefault="00393DDB" w:rsidP="00607164">
      <w:pPr>
        <w:keepNext/>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AD20F6">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277A47C0" w14:textId="24FB44DD" w:rsidR="00393DDB" w:rsidRPr="00393DDB" w:rsidRDefault="00393DDB" w:rsidP="00607164">
      <w:pPr>
        <w:keepNext/>
        <w:spacing w:after="0" w:line="240" w:lineRule="auto"/>
        <w:jc w:val="both"/>
        <w:rPr>
          <w:rFonts w:eastAsia="Times New Roman" w:cs="Calibri"/>
          <w:sz w:val="20"/>
          <w:szCs w:val="20"/>
          <w:lang w:eastAsia="cs-CZ"/>
        </w:rPr>
      </w:pPr>
      <w:r w:rsidRPr="00607164">
        <w:rPr>
          <w:rFonts w:eastAsia="Times New Roman" w:cs="Calibri"/>
          <w:sz w:val="20"/>
          <w:szCs w:val="20"/>
          <w:lang w:eastAsia="cs-CZ"/>
        </w:rPr>
        <w:t>* J</w:t>
      </w:r>
      <w:r w:rsidRPr="00BE07FA">
        <w:rPr>
          <w:rFonts w:eastAsia="Times New Roman" w:cs="Calibri"/>
          <w:sz w:val="20"/>
          <w:szCs w:val="20"/>
          <w:lang w:eastAsia="cs-CZ"/>
        </w:rPr>
        <w:t>ednalo se o účelově poskytnuté prostředky na odstranění povodňových škod.</w:t>
      </w:r>
      <w:r w:rsidRPr="00393DDB">
        <w:rPr>
          <w:rFonts w:eastAsia="Times New Roman" w:cs="Calibri"/>
          <w:sz w:val="20"/>
          <w:szCs w:val="20"/>
          <w:lang w:eastAsia="cs-CZ"/>
        </w:rPr>
        <w:t xml:space="preserve"> </w:t>
      </w:r>
    </w:p>
    <w:p w14:paraId="191F4846" w14:textId="15EA062E" w:rsidR="00C6393E" w:rsidRPr="00393DDB" w:rsidRDefault="00C6393E" w:rsidP="00393DDB">
      <w:pPr>
        <w:spacing w:after="0" w:line="240" w:lineRule="auto"/>
        <w:jc w:val="both"/>
        <w:rPr>
          <w:rFonts w:eastAsia="Times New Roman" w:cs="Calibri"/>
          <w:sz w:val="24"/>
          <w:szCs w:val="24"/>
          <w:lang w:eastAsia="cs-CZ"/>
        </w:rPr>
      </w:pPr>
    </w:p>
    <w:p w14:paraId="60246FC2" w14:textId="3957733B" w:rsidR="00393DDB" w:rsidRPr="00054EE5" w:rsidRDefault="00FD7FFD" w:rsidP="001C4C5F">
      <w:pPr>
        <w:tabs>
          <w:tab w:val="right" w:pos="9072"/>
        </w:tabs>
        <w:spacing w:after="40" w:line="240" w:lineRule="auto"/>
        <w:jc w:val="both"/>
        <w:rPr>
          <w:rFonts w:eastAsia="Times New Roman" w:cs="Calibri"/>
          <w:b/>
          <w:sz w:val="24"/>
          <w:szCs w:val="24"/>
          <w:lang w:eastAsia="cs-CZ"/>
        </w:rPr>
      </w:pPr>
      <w:r w:rsidRPr="00AF5802">
        <w:rPr>
          <w:rFonts w:eastAsia="Times New Roman" w:cs="Times New Roman"/>
          <w:noProof/>
          <w:sz w:val="24"/>
          <w:szCs w:val="24"/>
          <w:lang w:eastAsia="cs-CZ"/>
        </w:rPr>
        <w:drawing>
          <wp:anchor distT="0" distB="0" distL="114300" distR="114300" simplePos="0" relativeHeight="251663360" behindDoc="0" locked="0" layoutInCell="1" allowOverlap="1" wp14:anchorId="08029E5F" wp14:editId="085D4E20">
            <wp:simplePos x="0" y="0"/>
            <wp:positionH relativeFrom="margin">
              <wp:align>center</wp:align>
            </wp:positionH>
            <wp:positionV relativeFrom="paragraph">
              <wp:posOffset>262890</wp:posOffset>
            </wp:positionV>
            <wp:extent cx="5772150" cy="2941955"/>
            <wp:effectExtent l="0" t="0" r="0" b="0"/>
            <wp:wrapTopAndBottom/>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93DDB" w:rsidRPr="00054EE5">
        <w:rPr>
          <w:rFonts w:eastAsia="Times New Roman" w:cs="Calibri"/>
          <w:b/>
          <w:sz w:val="24"/>
          <w:szCs w:val="24"/>
          <w:lang w:eastAsia="cs-CZ"/>
        </w:rPr>
        <w:t>Graf č. 5</w:t>
      </w:r>
      <w:r w:rsidR="001C4C5F">
        <w:rPr>
          <w:rFonts w:eastAsia="Times New Roman" w:cs="Calibri"/>
          <w:b/>
          <w:sz w:val="24"/>
          <w:szCs w:val="24"/>
          <w:lang w:eastAsia="cs-CZ"/>
        </w:rPr>
        <w:t xml:space="preserve"> – Přehled peněžních prostředků podle zdrojů – Liberecký kraj</w:t>
      </w:r>
      <w:r w:rsidR="001C4C5F">
        <w:rPr>
          <w:rFonts w:eastAsia="Times New Roman" w:cs="Calibri"/>
          <w:b/>
          <w:sz w:val="24"/>
          <w:szCs w:val="24"/>
          <w:lang w:eastAsia="cs-CZ"/>
        </w:rPr>
        <w:tab/>
        <w:t>(v mil. Kč)</w:t>
      </w:r>
    </w:p>
    <w:p w14:paraId="317BC620" w14:textId="21A13257" w:rsidR="00393DDB" w:rsidRPr="00677716" w:rsidRDefault="00393DDB" w:rsidP="00607164">
      <w:pPr>
        <w:keepNext/>
        <w:spacing w:after="0" w:line="240" w:lineRule="auto"/>
        <w:jc w:val="both"/>
        <w:rPr>
          <w:rFonts w:eastAsia="Times New Roman" w:cs="Calibri"/>
          <w:b/>
          <w:sz w:val="24"/>
          <w:szCs w:val="24"/>
          <w:lang w:eastAsia="cs-CZ"/>
        </w:rPr>
      </w:pPr>
      <w:r w:rsidRPr="00677716">
        <w:rPr>
          <w:rFonts w:eastAsia="Times New Roman" w:cs="Calibri"/>
          <w:b/>
          <w:sz w:val="24"/>
          <w:szCs w:val="24"/>
          <w:lang w:eastAsia="cs-CZ"/>
        </w:rPr>
        <w:lastRenderedPageBreak/>
        <w:t>Moravskoslezský kraj</w:t>
      </w:r>
    </w:p>
    <w:p w14:paraId="746C9363" w14:textId="77777777" w:rsidR="00677716" w:rsidRPr="00677716" w:rsidRDefault="00677716" w:rsidP="00607164">
      <w:pPr>
        <w:keepNext/>
        <w:spacing w:after="0" w:line="240" w:lineRule="auto"/>
        <w:jc w:val="both"/>
        <w:rPr>
          <w:rFonts w:eastAsia="Times New Roman" w:cs="Calibri"/>
          <w:b/>
          <w:sz w:val="24"/>
          <w:szCs w:val="24"/>
          <w:u w:val="single"/>
          <w:lang w:eastAsia="cs-CZ"/>
        </w:rPr>
      </w:pPr>
    </w:p>
    <w:p w14:paraId="045F2E09" w14:textId="40AF8ECE" w:rsidR="00393DDB" w:rsidRPr="00054EE5" w:rsidRDefault="00286878" w:rsidP="0011424E">
      <w:pPr>
        <w:keepNext/>
        <w:tabs>
          <w:tab w:val="right" w:pos="9072"/>
        </w:tabs>
        <w:spacing w:after="0" w:line="240" w:lineRule="auto"/>
        <w:ind w:left="1560" w:hanging="1560"/>
        <w:jc w:val="both"/>
        <w:rPr>
          <w:rFonts w:eastAsia="Times New Roman" w:cs="Calibri"/>
          <w:b/>
          <w:sz w:val="24"/>
          <w:szCs w:val="24"/>
          <w:lang w:eastAsia="cs-CZ"/>
        </w:rPr>
      </w:pPr>
      <w:r w:rsidRPr="00054EE5">
        <w:rPr>
          <w:rFonts w:eastAsia="Times New Roman" w:cs="Calibri"/>
          <w:b/>
          <w:sz w:val="24"/>
          <w:szCs w:val="24"/>
          <w:lang w:eastAsia="cs-CZ"/>
        </w:rPr>
        <w:t>Tabulka č. 12</w:t>
      </w:r>
      <w:r w:rsidR="00393DDB" w:rsidRPr="00054EE5">
        <w:rPr>
          <w:rFonts w:eastAsia="Times New Roman" w:cs="Calibri"/>
          <w:b/>
          <w:sz w:val="24"/>
          <w:szCs w:val="24"/>
          <w:lang w:eastAsia="cs-CZ"/>
        </w:rPr>
        <w:t xml:space="preserve"> – </w:t>
      </w:r>
      <w:r w:rsidR="0011424E">
        <w:rPr>
          <w:rFonts w:eastAsia="Times New Roman" w:cs="Calibri"/>
          <w:b/>
          <w:sz w:val="24"/>
          <w:szCs w:val="24"/>
          <w:lang w:eastAsia="cs-CZ"/>
        </w:rPr>
        <w:tab/>
      </w:r>
      <w:r w:rsidR="00393DDB" w:rsidRPr="00054EE5">
        <w:rPr>
          <w:rFonts w:eastAsia="Times New Roman" w:cs="Calibri"/>
          <w:b/>
          <w:sz w:val="24"/>
          <w:szCs w:val="24"/>
          <w:lang w:eastAsia="cs-CZ"/>
        </w:rPr>
        <w:t>Peněžní prostředky vložené do silnic II. a III. třídy za roky 2012 až 2016</w:t>
      </w:r>
      <w:r w:rsidR="0011424E">
        <w:rPr>
          <w:rFonts w:eastAsia="Times New Roman" w:cs="Calibri"/>
          <w:b/>
          <w:sz w:val="24"/>
          <w:szCs w:val="24"/>
          <w:lang w:eastAsia="cs-CZ"/>
        </w:rPr>
        <w:tab/>
      </w:r>
      <w:r w:rsidR="00393DDB" w:rsidRPr="00054EE5">
        <w:rPr>
          <w:rFonts w:eastAsia="Times New Roman" w:cs="Calibri"/>
          <w:b/>
          <w:sz w:val="24"/>
          <w:szCs w:val="24"/>
          <w:lang w:eastAsia="cs-CZ"/>
        </w:rPr>
        <w:t>(</w:t>
      </w:r>
      <w:r w:rsidR="0011424E">
        <w:rPr>
          <w:rFonts w:eastAsia="Times New Roman" w:cs="Calibri"/>
          <w:b/>
          <w:sz w:val="24"/>
          <w:szCs w:val="24"/>
          <w:lang w:eastAsia="cs-CZ"/>
        </w:rPr>
        <w:t>v </w:t>
      </w:r>
      <w:r w:rsidR="00393DDB" w:rsidRPr="00054EE5">
        <w:rPr>
          <w:rFonts w:eastAsia="Times New Roman" w:cs="Calibri"/>
          <w:b/>
          <w:sz w:val="24"/>
          <w:szCs w:val="24"/>
          <w:lang w:eastAsia="cs-CZ"/>
        </w:rPr>
        <w:t>mil. Kč)</w:t>
      </w:r>
    </w:p>
    <w:tbl>
      <w:tblPr>
        <w:tblW w:w="9100" w:type="dxa"/>
        <w:tblCellMar>
          <w:left w:w="70" w:type="dxa"/>
          <w:right w:w="70" w:type="dxa"/>
        </w:tblCellMar>
        <w:tblLook w:val="04A0" w:firstRow="1" w:lastRow="0" w:firstColumn="1" w:lastColumn="0" w:noHBand="0" w:noVBand="1"/>
      </w:tblPr>
      <w:tblGrid>
        <w:gridCol w:w="1166"/>
        <w:gridCol w:w="1701"/>
        <w:gridCol w:w="1496"/>
        <w:gridCol w:w="1457"/>
        <w:gridCol w:w="1482"/>
        <w:gridCol w:w="1798"/>
      </w:tblGrid>
      <w:tr w:rsidR="00393DDB" w:rsidRPr="00607164" w14:paraId="52D6C49F" w14:textId="77777777" w:rsidTr="0011424E">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5275C67E"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Rok</w:t>
            </w:r>
          </w:p>
        </w:tc>
        <w:tc>
          <w:tcPr>
            <w:tcW w:w="1701" w:type="dxa"/>
            <w:tcBorders>
              <w:top w:val="single" w:sz="4" w:space="0" w:color="auto"/>
              <w:left w:val="nil"/>
              <w:bottom w:val="single" w:sz="4" w:space="0" w:color="auto"/>
              <w:right w:val="single" w:sz="4" w:space="0" w:color="auto"/>
            </w:tcBorders>
            <w:shd w:val="clear" w:color="auto" w:fill="E5F1FF"/>
            <w:vAlign w:val="center"/>
            <w:hideMark/>
          </w:tcPr>
          <w:p w14:paraId="0B4CA499"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Prostředky kraje celkem</w:t>
            </w:r>
          </w:p>
        </w:tc>
        <w:tc>
          <w:tcPr>
            <w:tcW w:w="1496" w:type="dxa"/>
            <w:tcBorders>
              <w:top w:val="single" w:sz="4" w:space="0" w:color="auto"/>
              <w:left w:val="nil"/>
              <w:bottom w:val="single" w:sz="4" w:space="0" w:color="auto"/>
              <w:right w:val="single" w:sz="4" w:space="0" w:color="auto"/>
            </w:tcBorders>
            <w:shd w:val="clear" w:color="auto" w:fill="E5F1FF"/>
            <w:vAlign w:val="center"/>
            <w:hideMark/>
          </w:tcPr>
          <w:p w14:paraId="16532660"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Poskytnutá dotace EU</w:t>
            </w:r>
          </w:p>
        </w:tc>
        <w:tc>
          <w:tcPr>
            <w:tcW w:w="1457" w:type="dxa"/>
            <w:tcBorders>
              <w:top w:val="single" w:sz="4" w:space="0" w:color="auto"/>
              <w:left w:val="nil"/>
              <w:bottom w:val="single" w:sz="4" w:space="0" w:color="auto"/>
              <w:right w:val="single" w:sz="4" w:space="0" w:color="auto"/>
            </w:tcBorders>
            <w:shd w:val="clear" w:color="auto" w:fill="E5F1FF"/>
            <w:vAlign w:val="center"/>
            <w:hideMark/>
          </w:tcPr>
          <w:p w14:paraId="0EF3EB79"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SFDI dotace</w:t>
            </w:r>
          </w:p>
        </w:tc>
        <w:tc>
          <w:tcPr>
            <w:tcW w:w="1482" w:type="dxa"/>
            <w:tcBorders>
              <w:top w:val="single" w:sz="4" w:space="0" w:color="auto"/>
              <w:left w:val="nil"/>
              <w:bottom w:val="single" w:sz="4" w:space="0" w:color="auto"/>
              <w:right w:val="single" w:sz="4" w:space="0" w:color="auto"/>
            </w:tcBorders>
            <w:shd w:val="clear" w:color="auto" w:fill="E5F1FF"/>
            <w:vAlign w:val="center"/>
            <w:hideMark/>
          </w:tcPr>
          <w:p w14:paraId="3E9D3615"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Dotace MMR</w:t>
            </w:r>
          </w:p>
        </w:tc>
        <w:tc>
          <w:tcPr>
            <w:tcW w:w="1798" w:type="dxa"/>
            <w:tcBorders>
              <w:top w:val="single" w:sz="4" w:space="0" w:color="auto"/>
              <w:left w:val="nil"/>
              <w:bottom w:val="single" w:sz="4" w:space="0" w:color="auto"/>
              <w:right w:val="single" w:sz="4" w:space="0" w:color="auto"/>
            </w:tcBorders>
            <w:shd w:val="clear" w:color="auto" w:fill="E5F1FF"/>
            <w:vAlign w:val="center"/>
            <w:hideMark/>
          </w:tcPr>
          <w:p w14:paraId="30309527" w14:textId="77777777" w:rsidR="00393DDB" w:rsidRPr="0011424E" w:rsidRDefault="00393DDB" w:rsidP="00607164">
            <w:pPr>
              <w:keepNext/>
              <w:spacing w:after="0" w:line="240" w:lineRule="auto"/>
              <w:jc w:val="center"/>
              <w:rPr>
                <w:rFonts w:ascii="Calibri" w:eastAsia="Times New Roman" w:hAnsi="Calibri" w:cs="Calibri"/>
                <w:b/>
                <w:bCs/>
                <w:color w:val="000000"/>
                <w:sz w:val="20"/>
                <w:szCs w:val="20"/>
                <w:lang w:eastAsia="cs-CZ"/>
              </w:rPr>
            </w:pPr>
            <w:r w:rsidRPr="0011424E">
              <w:rPr>
                <w:rFonts w:ascii="Calibri" w:eastAsia="Times New Roman" w:hAnsi="Calibri" w:cs="Calibri"/>
                <w:b/>
                <w:bCs/>
                <w:color w:val="000000"/>
                <w:sz w:val="20"/>
                <w:szCs w:val="20"/>
                <w:lang w:eastAsia="cs-CZ"/>
              </w:rPr>
              <w:t>Celkem za rok</w:t>
            </w:r>
          </w:p>
        </w:tc>
      </w:tr>
      <w:tr w:rsidR="00393DDB" w:rsidRPr="00607164" w14:paraId="77EB6968"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1441DE3B" w14:textId="77777777" w:rsidR="00393DDB" w:rsidRPr="00607164" w:rsidRDefault="00393DDB" w:rsidP="00607164">
            <w:pPr>
              <w:keepNext/>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DF74870"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314,791</w:t>
            </w:r>
          </w:p>
        </w:tc>
        <w:tc>
          <w:tcPr>
            <w:tcW w:w="1496" w:type="dxa"/>
            <w:tcBorders>
              <w:top w:val="nil"/>
              <w:left w:val="nil"/>
              <w:bottom w:val="single" w:sz="4" w:space="0" w:color="auto"/>
              <w:right w:val="single" w:sz="4" w:space="0" w:color="auto"/>
            </w:tcBorders>
            <w:shd w:val="clear" w:color="auto" w:fill="auto"/>
            <w:noWrap/>
            <w:vAlign w:val="bottom"/>
            <w:hideMark/>
          </w:tcPr>
          <w:p w14:paraId="52A2C3B5"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767,297</w:t>
            </w:r>
          </w:p>
        </w:tc>
        <w:tc>
          <w:tcPr>
            <w:tcW w:w="1457" w:type="dxa"/>
            <w:tcBorders>
              <w:top w:val="nil"/>
              <w:left w:val="nil"/>
              <w:bottom w:val="single" w:sz="4" w:space="0" w:color="auto"/>
              <w:right w:val="single" w:sz="4" w:space="0" w:color="auto"/>
            </w:tcBorders>
            <w:shd w:val="clear" w:color="auto" w:fill="auto"/>
            <w:noWrap/>
            <w:vAlign w:val="bottom"/>
            <w:hideMark/>
          </w:tcPr>
          <w:p w14:paraId="493ADA7C"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4,260</w:t>
            </w:r>
          </w:p>
        </w:tc>
        <w:tc>
          <w:tcPr>
            <w:tcW w:w="1482" w:type="dxa"/>
            <w:tcBorders>
              <w:top w:val="nil"/>
              <w:left w:val="nil"/>
              <w:bottom w:val="single" w:sz="4" w:space="0" w:color="auto"/>
              <w:right w:val="single" w:sz="4" w:space="0" w:color="auto"/>
            </w:tcBorders>
            <w:shd w:val="clear" w:color="auto" w:fill="auto"/>
            <w:noWrap/>
            <w:vAlign w:val="bottom"/>
            <w:hideMark/>
          </w:tcPr>
          <w:p w14:paraId="71DC97D1"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8,587</w:t>
            </w:r>
          </w:p>
        </w:tc>
        <w:tc>
          <w:tcPr>
            <w:tcW w:w="1798" w:type="dxa"/>
            <w:tcBorders>
              <w:top w:val="nil"/>
              <w:left w:val="nil"/>
              <w:bottom w:val="single" w:sz="4" w:space="0" w:color="auto"/>
              <w:right w:val="single" w:sz="4" w:space="0" w:color="auto"/>
            </w:tcBorders>
            <w:shd w:val="clear" w:color="auto" w:fill="auto"/>
            <w:noWrap/>
            <w:vAlign w:val="bottom"/>
            <w:hideMark/>
          </w:tcPr>
          <w:p w14:paraId="36B925C9"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1 094,935</w:t>
            </w:r>
          </w:p>
        </w:tc>
      </w:tr>
      <w:tr w:rsidR="00393DDB" w:rsidRPr="00607164" w14:paraId="44255352"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1D37AF5F" w14:textId="77777777" w:rsidR="00393DDB" w:rsidRPr="00607164" w:rsidRDefault="00393DDB" w:rsidP="00607164">
            <w:pPr>
              <w:keepNext/>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C4F9B43"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284,877</w:t>
            </w:r>
          </w:p>
        </w:tc>
        <w:tc>
          <w:tcPr>
            <w:tcW w:w="1496" w:type="dxa"/>
            <w:tcBorders>
              <w:top w:val="nil"/>
              <w:left w:val="nil"/>
              <w:bottom w:val="single" w:sz="4" w:space="0" w:color="auto"/>
              <w:right w:val="single" w:sz="4" w:space="0" w:color="auto"/>
            </w:tcBorders>
            <w:shd w:val="clear" w:color="auto" w:fill="auto"/>
            <w:noWrap/>
            <w:vAlign w:val="bottom"/>
            <w:hideMark/>
          </w:tcPr>
          <w:p w14:paraId="15044BAF"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602,527</w:t>
            </w:r>
          </w:p>
        </w:tc>
        <w:tc>
          <w:tcPr>
            <w:tcW w:w="1457" w:type="dxa"/>
            <w:tcBorders>
              <w:top w:val="nil"/>
              <w:left w:val="nil"/>
              <w:bottom w:val="single" w:sz="4" w:space="0" w:color="auto"/>
              <w:right w:val="single" w:sz="4" w:space="0" w:color="auto"/>
            </w:tcBorders>
            <w:shd w:val="clear" w:color="auto" w:fill="auto"/>
            <w:noWrap/>
            <w:vAlign w:val="bottom"/>
            <w:hideMark/>
          </w:tcPr>
          <w:p w14:paraId="60D8333E"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37,651</w:t>
            </w:r>
          </w:p>
        </w:tc>
        <w:tc>
          <w:tcPr>
            <w:tcW w:w="1482" w:type="dxa"/>
            <w:tcBorders>
              <w:top w:val="nil"/>
              <w:left w:val="nil"/>
              <w:bottom w:val="single" w:sz="4" w:space="0" w:color="auto"/>
              <w:right w:val="single" w:sz="4" w:space="0" w:color="auto"/>
            </w:tcBorders>
            <w:shd w:val="clear" w:color="auto" w:fill="auto"/>
            <w:noWrap/>
            <w:vAlign w:val="bottom"/>
            <w:hideMark/>
          </w:tcPr>
          <w:p w14:paraId="6132B3FA"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712F7195"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925,055</w:t>
            </w:r>
          </w:p>
        </w:tc>
      </w:tr>
      <w:tr w:rsidR="00393DDB" w:rsidRPr="00607164" w14:paraId="6D1713C1"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66FA43BC" w14:textId="77777777" w:rsidR="00393DDB" w:rsidRPr="00607164" w:rsidRDefault="00393DDB" w:rsidP="00607164">
            <w:pPr>
              <w:keepNext/>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A05600F"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149,376</w:t>
            </w:r>
          </w:p>
        </w:tc>
        <w:tc>
          <w:tcPr>
            <w:tcW w:w="1496" w:type="dxa"/>
            <w:tcBorders>
              <w:top w:val="nil"/>
              <w:left w:val="nil"/>
              <w:bottom w:val="single" w:sz="4" w:space="0" w:color="auto"/>
              <w:right w:val="single" w:sz="4" w:space="0" w:color="auto"/>
            </w:tcBorders>
            <w:shd w:val="clear" w:color="auto" w:fill="auto"/>
            <w:noWrap/>
            <w:vAlign w:val="bottom"/>
            <w:hideMark/>
          </w:tcPr>
          <w:p w14:paraId="2B42F458"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831,498</w:t>
            </w:r>
          </w:p>
        </w:tc>
        <w:tc>
          <w:tcPr>
            <w:tcW w:w="1457" w:type="dxa"/>
            <w:tcBorders>
              <w:top w:val="nil"/>
              <w:left w:val="nil"/>
              <w:bottom w:val="single" w:sz="4" w:space="0" w:color="auto"/>
              <w:right w:val="single" w:sz="4" w:space="0" w:color="auto"/>
            </w:tcBorders>
            <w:shd w:val="clear" w:color="auto" w:fill="auto"/>
            <w:noWrap/>
            <w:vAlign w:val="bottom"/>
            <w:hideMark/>
          </w:tcPr>
          <w:p w14:paraId="42A4A617"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482" w:type="dxa"/>
            <w:tcBorders>
              <w:top w:val="nil"/>
              <w:left w:val="nil"/>
              <w:bottom w:val="single" w:sz="4" w:space="0" w:color="auto"/>
              <w:right w:val="single" w:sz="4" w:space="0" w:color="auto"/>
            </w:tcBorders>
            <w:shd w:val="clear" w:color="auto" w:fill="auto"/>
            <w:noWrap/>
            <w:vAlign w:val="bottom"/>
            <w:hideMark/>
          </w:tcPr>
          <w:p w14:paraId="41849D31"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178F3CAA"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980,874</w:t>
            </w:r>
          </w:p>
        </w:tc>
      </w:tr>
      <w:tr w:rsidR="00393DDB" w:rsidRPr="00607164" w14:paraId="6969422E"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295DD6B0" w14:textId="77777777" w:rsidR="00393DDB" w:rsidRPr="00607164" w:rsidRDefault="00393DDB" w:rsidP="00607164">
            <w:pPr>
              <w:keepNext/>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001F648"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199,795</w:t>
            </w:r>
          </w:p>
        </w:tc>
        <w:tc>
          <w:tcPr>
            <w:tcW w:w="1496" w:type="dxa"/>
            <w:tcBorders>
              <w:top w:val="nil"/>
              <w:left w:val="nil"/>
              <w:bottom w:val="single" w:sz="4" w:space="0" w:color="auto"/>
              <w:right w:val="single" w:sz="4" w:space="0" w:color="auto"/>
            </w:tcBorders>
            <w:shd w:val="clear" w:color="auto" w:fill="auto"/>
            <w:noWrap/>
            <w:vAlign w:val="bottom"/>
            <w:hideMark/>
          </w:tcPr>
          <w:p w14:paraId="3651E18D"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970,454</w:t>
            </w:r>
          </w:p>
        </w:tc>
        <w:tc>
          <w:tcPr>
            <w:tcW w:w="1457" w:type="dxa"/>
            <w:tcBorders>
              <w:top w:val="nil"/>
              <w:left w:val="nil"/>
              <w:bottom w:val="single" w:sz="4" w:space="0" w:color="auto"/>
              <w:right w:val="single" w:sz="4" w:space="0" w:color="auto"/>
            </w:tcBorders>
            <w:shd w:val="clear" w:color="auto" w:fill="auto"/>
            <w:noWrap/>
            <w:vAlign w:val="bottom"/>
            <w:hideMark/>
          </w:tcPr>
          <w:p w14:paraId="7E46BD4E"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247,280</w:t>
            </w:r>
          </w:p>
        </w:tc>
        <w:tc>
          <w:tcPr>
            <w:tcW w:w="1482" w:type="dxa"/>
            <w:tcBorders>
              <w:top w:val="nil"/>
              <w:left w:val="nil"/>
              <w:bottom w:val="single" w:sz="4" w:space="0" w:color="auto"/>
              <w:right w:val="single" w:sz="4" w:space="0" w:color="auto"/>
            </w:tcBorders>
            <w:shd w:val="clear" w:color="auto" w:fill="auto"/>
            <w:noWrap/>
            <w:vAlign w:val="bottom"/>
            <w:hideMark/>
          </w:tcPr>
          <w:p w14:paraId="7AD9466E"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7C6FD5C8"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1 417,529</w:t>
            </w:r>
          </w:p>
        </w:tc>
      </w:tr>
      <w:tr w:rsidR="00393DDB" w:rsidRPr="00607164" w14:paraId="000ABCE9"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061CC78A" w14:textId="77777777" w:rsidR="00393DDB" w:rsidRPr="00607164" w:rsidRDefault="00393DDB" w:rsidP="00607164">
            <w:pPr>
              <w:keepNext/>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91FB108"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287,814</w:t>
            </w:r>
          </w:p>
        </w:tc>
        <w:tc>
          <w:tcPr>
            <w:tcW w:w="1496" w:type="dxa"/>
            <w:tcBorders>
              <w:top w:val="nil"/>
              <w:left w:val="nil"/>
              <w:bottom w:val="single" w:sz="4" w:space="0" w:color="auto"/>
              <w:right w:val="single" w:sz="4" w:space="0" w:color="auto"/>
            </w:tcBorders>
            <w:shd w:val="clear" w:color="auto" w:fill="auto"/>
            <w:noWrap/>
            <w:vAlign w:val="bottom"/>
            <w:hideMark/>
          </w:tcPr>
          <w:p w14:paraId="6FD746B6"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0,100</w:t>
            </w:r>
          </w:p>
        </w:tc>
        <w:tc>
          <w:tcPr>
            <w:tcW w:w="1457" w:type="dxa"/>
            <w:tcBorders>
              <w:top w:val="nil"/>
              <w:left w:val="nil"/>
              <w:bottom w:val="single" w:sz="4" w:space="0" w:color="auto"/>
              <w:right w:val="single" w:sz="4" w:space="0" w:color="auto"/>
            </w:tcBorders>
            <w:shd w:val="clear" w:color="auto" w:fill="auto"/>
            <w:noWrap/>
            <w:vAlign w:val="bottom"/>
            <w:hideMark/>
          </w:tcPr>
          <w:p w14:paraId="30C0A6E9"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168,417</w:t>
            </w:r>
          </w:p>
        </w:tc>
        <w:tc>
          <w:tcPr>
            <w:tcW w:w="1482" w:type="dxa"/>
            <w:tcBorders>
              <w:top w:val="nil"/>
              <w:left w:val="nil"/>
              <w:bottom w:val="single" w:sz="4" w:space="0" w:color="auto"/>
              <w:right w:val="single" w:sz="4" w:space="0" w:color="auto"/>
            </w:tcBorders>
            <w:shd w:val="clear" w:color="auto" w:fill="auto"/>
            <w:noWrap/>
            <w:vAlign w:val="bottom"/>
            <w:hideMark/>
          </w:tcPr>
          <w:p w14:paraId="69CFF69C" w14:textId="77777777" w:rsidR="00393DDB" w:rsidRPr="00607164" w:rsidRDefault="00393DDB" w:rsidP="0011424E">
            <w:pPr>
              <w:keepNext/>
              <w:spacing w:after="0" w:line="240" w:lineRule="auto"/>
              <w:ind w:right="395"/>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6A34A0D3"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456,331</w:t>
            </w:r>
          </w:p>
        </w:tc>
      </w:tr>
      <w:tr w:rsidR="00393DDB" w:rsidRPr="00607164" w14:paraId="313F616B"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36FDEC98" w14:textId="77777777" w:rsidR="00393DDB" w:rsidRPr="0011424E" w:rsidRDefault="00393DDB" w:rsidP="00607164">
            <w:pPr>
              <w:keepNext/>
              <w:spacing w:after="0" w:line="240" w:lineRule="auto"/>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Celkem</w:t>
            </w:r>
          </w:p>
        </w:tc>
        <w:tc>
          <w:tcPr>
            <w:tcW w:w="1701" w:type="dxa"/>
            <w:tcBorders>
              <w:top w:val="nil"/>
              <w:left w:val="nil"/>
              <w:bottom w:val="single" w:sz="4" w:space="0" w:color="auto"/>
              <w:right w:val="single" w:sz="4" w:space="0" w:color="auto"/>
            </w:tcBorders>
            <w:shd w:val="clear" w:color="auto" w:fill="auto"/>
            <w:noWrap/>
            <w:vAlign w:val="bottom"/>
            <w:hideMark/>
          </w:tcPr>
          <w:p w14:paraId="466A54AB" w14:textId="77777777" w:rsidR="00393DDB" w:rsidRPr="0011424E" w:rsidRDefault="00393DDB" w:rsidP="0011424E">
            <w:pPr>
              <w:keepNext/>
              <w:spacing w:after="0" w:line="240" w:lineRule="auto"/>
              <w:ind w:right="395"/>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1 236,653</w:t>
            </w:r>
          </w:p>
        </w:tc>
        <w:tc>
          <w:tcPr>
            <w:tcW w:w="1496" w:type="dxa"/>
            <w:tcBorders>
              <w:top w:val="nil"/>
              <w:left w:val="nil"/>
              <w:bottom w:val="single" w:sz="4" w:space="0" w:color="auto"/>
              <w:right w:val="single" w:sz="4" w:space="0" w:color="auto"/>
            </w:tcBorders>
            <w:shd w:val="clear" w:color="auto" w:fill="auto"/>
            <w:noWrap/>
            <w:vAlign w:val="bottom"/>
            <w:hideMark/>
          </w:tcPr>
          <w:p w14:paraId="783EF63D" w14:textId="77777777" w:rsidR="00393DDB" w:rsidRPr="0011424E" w:rsidRDefault="00393DDB" w:rsidP="0011424E">
            <w:pPr>
              <w:keepNext/>
              <w:spacing w:after="0" w:line="240" w:lineRule="auto"/>
              <w:ind w:right="395"/>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3 171,876</w:t>
            </w:r>
          </w:p>
        </w:tc>
        <w:tc>
          <w:tcPr>
            <w:tcW w:w="1457" w:type="dxa"/>
            <w:tcBorders>
              <w:top w:val="nil"/>
              <w:left w:val="nil"/>
              <w:bottom w:val="single" w:sz="4" w:space="0" w:color="auto"/>
              <w:right w:val="single" w:sz="4" w:space="0" w:color="auto"/>
            </w:tcBorders>
            <w:shd w:val="clear" w:color="auto" w:fill="auto"/>
            <w:noWrap/>
            <w:vAlign w:val="bottom"/>
            <w:hideMark/>
          </w:tcPr>
          <w:p w14:paraId="2279855D" w14:textId="77777777" w:rsidR="00393DDB" w:rsidRPr="0011424E" w:rsidRDefault="00393DDB" w:rsidP="0011424E">
            <w:pPr>
              <w:keepNext/>
              <w:spacing w:after="0" w:line="240" w:lineRule="auto"/>
              <w:ind w:right="395"/>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457,608</w:t>
            </w:r>
          </w:p>
        </w:tc>
        <w:tc>
          <w:tcPr>
            <w:tcW w:w="1482" w:type="dxa"/>
            <w:tcBorders>
              <w:top w:val="nil"/>
              <w:left w:val="nil"/>
              <w:bottom w:val="single" w:sz="4" w:space="0" w:color="auto"/>
              <w:right w:val="single" w:sz="4" w:space="0" w:color="auto"/>
            </w:tcBorders>
            <w:shd w:val="clear" w:color="auto" w:fill="auto"/>
            <w:noWrap/>
            <w:vAlign w:val="bottom"/>
            <w:hideMark/>
          </w:tcPr>
          <w:p w14:paraId="2AFDF65C" w14:textId="77777777" w:rsidR="00393DDB" w:rsidRPr="0011424E" w:rsidRDefault="00393DDB" w:rsidP="0011424E">
            <w:pPr>
              <w:keepNext/>
              <w:spacing w:after="0" w:line="240" w:lineRule="auto"/>
              <w:ind w:right="395"/>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8,587</w:t>
            </w:r>
          </w:p>
        </w:tc>
        <w:tc>
          <w:tcPr>
            <w:tcW w:w="1798" w:type="dxa"/>
            <w:tcBorders>
              <w:top w:val="nil"/>
              <w:left w:val="nil"/>
              <w:bottom w:val="single" w:sz="4" w:space="0" w:color="auto"/>
              <w:right w:val="single" w:sz="4" w:space="0" w:color="auto"/>
            </w:tcBorders>
            <w:shd w:val="clear" w:color="auto" w:fill="auto"/>
            <w:noWrap/>
            <w:vAlign w:val="bottom"/>
            <w:hideMark/>
          </w:tcPr>
          <w:p w14:paraId="6BE0FC63" w14:textId="77777777" w:rsidR="00393DDB" w:rsidRPr="0011424E" w:rsidRDefault="00393DDB" w:rsidP="0011424E">
            <w:pPr>
              <w:keepNext/>
              <w:spacing w:after="0" w:line="240" w:lineRule="auto"/>
              <w:ind w:right="394"/>
              <w:jc w:val="right"/>
              <w:rPr>
                <w:rFonts w:ascii="Calibri" w:eastAsia="Times New Roman" w:hAnsi="Calibri" w:cs="Calibri"/>
                <w:b/>
                <w:color w:val="000000"/>
                <w:sz w:val="20"/>
                <w:szCs w:val="20"/>
                <w:lang w:eastAsia="cs-CZ"/>
              </w:rPr>
            </w:pPr>
            <w:r w:rsidRPr="0011424E">
              <w:rPr>
                <w:rFonts w:ascii="Calibri" w:eastAsia="Times New Roman" w:hAnsi="Calibri" w:cs="Calibri"/>
                <w:b/>
                <w:color w:val="000000"/>
                <w:sz w:val="20"/>
                <w:szCs w:val="20"/>
                <w:lang w:eastAsia="cs-CZ"/>
              </w:rPr>
              <w:t>4 874,724</w:t>
            </w:r>
          </w:p>
        </w:tc>
      </w:tr>
    </w:tbl>
    <w:p w14:paraId="67891EA9" w14:textId="16C78959" w:rsidR="00393DDB" w:rsidRPr="00393DDB" w:rsidRDefault="00393DDB" w:rsidP="00607164">
      <w:pPr>
        <w:keepNext/>
        <w:spacing w:before="40" w:after="0" w:line="240" w:lineRule="auto"/>
        <w:ind w:left="567" w:hanging="567"/>
        <w:jc w:val="both"/>
        <w:rPr>
          <w:rFonts w:eastAsia="Times New Roman" w:cs="Calibri"/>
          <w:sz w:val="20"/>
          <w:szCs w:val="20"/>
          <w:lang w:eastAsia="cs-CZ"/>
        </w:rPr>
      </w:pPr>
      <w:r w:rsidRPr="00BE07FA">
        <w:rPr>
          <w:rFonts w:eastAsia="Times New Roman" w:cs="Calibri"/>
          <w:b/>
          <w:sz w:val="20"/>
          <w:szCs w:val="20"/>
          <w:lang w:eastAsia="cs-CZ"/>
        </w:rPr>
        <w:t>Zdroj:</w:t>
      </w:r>
      <w:r w:rsidRPr="00BE07FA">
        <w:rPr>
          <w:rFonts w:eastAsia="Times New Roman" w:cs="Calibri"/>
          <w:sz w:val="20"/>
          <w:szCs w:val="20"/>
          <w:lang w:eastAsia="cs-CZ"/>
        </w:rPr>
        <w:t xml:space="preserve"> </w:t>
      </w:r>
      <w:r w:rsidR="00607164">
        <w:rPr>
          <w:rFonts w:eastAsia="Times New Roman" w:cs="Calibri"/>
          <w:sz w:val="20"/>
          <w:szCs w:val="20"/>
          <w:lang w:eastAsia="cs-CZ"/>
        </w:rPr>
        <w:tab/>
      </w:r>
      <w:r w:rsidR="0011424E">
        <w:rPr>
          <w:rFonts w:eastAsia="Times New Roman" w:cs="Calibri"/>
          <w:sz w:val="20"/>
          <w:szCs w:val="20"/>
          <w:lang w:eastAsia="cs-CZ"/>
        </w:rPr>
        <w:t>ú</w:t>
      </w:r>
      <w:r w:rsidRPr="00BE07FA">
        <w:rPr>
          <w:rFonts w:eastAsia="Times New Roman" w:cs="Calibri"/>
          <w:sz w:val="20"/>
          <w:szCs w:val="20"/>
          <w:lang w:eastAsia="cs-CZ"/>
        </w:rPr>
        <w:t xml:space="preserve">daje získané u kontrolovaných osob, údaje </w:t>
      </w:r>
      <w:r w:rsidR="0011424E">
        <w:rPr>
          <w:rFonts w:eastAsia="Times New Roman" w:cs="Calibri"/>
          <w:sz w:val="20"/>
          <w:szCs w:val="20"/>
          <w:lang w:eastAsia="cs-CZ"/>
        </w:rPr>
        <w:t>o </w:t>
      </w:r>
      <w:r w:rsidR="0011424E">
        <w:rPr>
          <w:rFonts w:eastAsia="Arial" w:cstheme="minorHAnsi"/>
          <w:color w:val="000000"/>
          <w:sz w:val="20"/>
          <w:szCs w:val="20"/>
          <w:lang w:eastAsia="cs-CZ" w:bidi="cs-CZ"/>
        </w:rPr>
        <w:t>p</w:t>
      </w:r>
      <w:r w:rsidRPr="00BE07FA">
        <w:rPr>
          <w:rFonts w:eastAsia="Arial" w:cstheme="minorHAnsi"/>
          <w:color w:val="000000"/>
          <w:sz w:val="20"/>
          <w:szCs w:val="20"/>
          <w:lang w:eastAsia="cs-CZ" w:bidi="cs-CZ"/>
        </w:rPr>
        <w:t>oskytnut</w:t>
      </w:r>
      <w:r w:rsidR="0011424E">
        <w:rPr>
          <w:rFonts w:eastAsia="Arial" w:cstheme="minorHAnsi"/>
          <w:color w:val="000000"/>
          <w:sz w:val="20"/>
          <w:szCs w:val="20"/>
          <w:lang w:eastAsia="cs-CZ" w:bidi="cs-CZ"/>
        </w:rPr>
        <w:t>ých</w:t>
      </w:r>
      <w:r w:rsidRPr="00BE07FA">
        <w:rPr>
          <w:rFonts w:eastAsia="Arial" w:cstheme="minorHAnsi"/>
          <w:color w:val="000000"/>
          <w:sz w:val="20"/>
          <w:szCs w:val="20"/>
          <w:lang w:eastAsia="cs-CZ" w:bidi="cs-CZ"/>
        </w:rPr>
        <w:t xml:space="preserve"> dotac</w:t>
      </w:r>
      <w:r w:rsidR="0011424E">
        <w:rPr>
          <w:rFonts w:eastAsia="Arial" w:cstheme="minorHAnsi"/>
          <w:color w:val="000000"/>
          <w:sz w:val="20"/>
          <w:szCs w:val="20"/>
          <w:lang w:eastAsia="cs-CZ" w:bidi="cs-CZ"/>
        </w:rPr>
        <w:t>ích</w:t>
      </w:r>
      <w:r w:rsidRPr="00BE07FA">
        <w:rPr>
          <w:rFonts w:eastAsia="Arial" w:cstheme="minorHAnsi"/>
          <w:color w:val="000000"/>
          <w:sz w:val="20"/>
          <w:szCs w:val="20"/>
          <w:lang w:eastAsia="cs-CZ" w:bidi="cs-CZ"/>
        </w:rPr>
        <w:t xml:space="preserve"> </w:t>
      </w:r>
      <w:r w:rsidR="0011424E">
        <w:rPr>
          <w:rFonts w:eastAsia="Arial" w:cstheme="minorHAnsi"/>
          <w:color w:val="000000"/>
          <w:sz w:val="20"/>
          <w:szCs w:val="20"/>
          <w:lang w:eastAsia="cs-CZ" w:bidi="cs-CZ"/>
        </w:rPr>
        <w:t>z </w:t>
      </w:r>
      <w:r w:rsidRPr="00BE07FA">
        <w:rPr>
          <w:rFonts w:eastAsia="Arial" w:cstheme="minorHAnsi"/>
          <w:color w:val="000000"/>
          <w:sz w:val="20"/>
          <w:szCs w:val="20"/>
          <w:lang w:eastAsia="cs-CZ" w:bidi="cs-CZ"/>
        </w:rPr>
        <w:t>EU byly čerpány z webových stránek Regionální rady regionu soudržnosti Severovýchod</w:t>
      </w:r>
      <w:r w:rsidR="0011424E">
        <w:rPr>
          <w:rFonts w:eastAsia="Arial" w:cstheme="minorHAnsi"/>
          <w:color w:val="000000"/>
          <w:sz w:val="20"/>
          <w:szCs w:val="20"/>
          <w:lang w:eastAsia="cs-CZ" w:bidi="cs-CZ"/>
        </w:rPr>
        <w:t>.</w:t>
      </w:r>
    </w:p>
    <w:p w14:paraId="126A1C9A" w14:textId="4DDD0F75" w:rsidR="00064D6C" w:rsidRDefault="00064D6C" w:rsidP="00393DDB">
      <w:pPr>
        <w:spacing w:after="0" w:line="240" w:lineRule="auto"/>
        <w:jc w:val="both"/>
        <w:rPr>
          <w:rFonts w:eastAsia="Times New Roman" w:cs="Calibri"/>
          <w:sz w:val="24"/>
          <w:szCs w:val="24"/>
          <w:lang w:eastAsia="cs-CZ"/>
        </w:rPr>
      </w:pPr>
    </w:p>
    <w:p w14:paraId="0BD8064E" w14:textId="7AAE7967" w:rsidR="00393DDB" w:rsidRPr="00054EE5" w:rsidRDefault="00BF34F6" w:rsidP="007225B6">
      <w:pPr>
        <w:keepNext/>
        <w:tabs>
          <w:tab w:val="right" w:pos="9072"/>
        </w:tabs>
        <w:spacing w:after="0" w:line="240" w:lineRule="auto"/>
        <w:ind w:left="1134" w:hanging="1134"/>
        <w:jc w:val="both"/>
        <w:rPr>
          <w:rFonts w:eastAsia="Times New Roman" w:cs="Calibri"/>
          <w:b/>
          <w:sz w:val="24"/>
          <w:szCs w:val="24"/>
          <w:lang w:eastAsia="cs-CZ"/>
        </w:rPr>
      </w:pPr>
      <w:r w:rsidRPr="00AF5802">
        <w:rPr>
          <w:rFonts w:eastAsia="Times New Roman" w:cs="Times New Roman"/>
          <w:noProof/>
          <w:sz w:val="24"/>
          <w:szCs w:val="24"/>
          <w:lang w:eastAsia="cs-CZ"/>
        </w:rPr>
        <w:drawing>
          <wp:anchor distT="0" distB="0" distL="114300" distR="114300" simplePos="0" relativeHeight="251664384" behindDoc="0" locked="0" layoutInCell="1" allowOverlap="1" wp14:anchorId="5B27688E" wp14:editId="759B4906">
            <wp:simplePos x="0" y="0"/>
            <wp:positionH relativeFrom="margin">
              <wp:align>center</wp:align>
            </wp:positionH>
            <wp:positionV relativeFrom="paragraph">
              <wp:posOffset>256982</wp:posOffset>
            </wp:positionV>
            <wp:extent cx="5760720" cy="2880000"/>
            <wp:effectExtent l="0" t="0" r="0" b="0"/>
            <wp:wrapTopAndBottom/>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93DDB" w:rsidRPr="00054EE5">
        <w:rPr>
          <w:rFonts w:eastAsia="Times New Roman" w:cs="Calibri"/>
          <w:b/>
          <w:sz w:val="24"/>
          <w:szCs w:val="24"/>
          <w:lang w:eastAsia="cs-CZ"/>
        </w:rPr>
        <w:t>Graf č. 6</w:t>
      </w:r>
      <w:r w:rsidR="007225B6">
        <w:rPr>
          <w:rFonts w:eastAsia="Times New Roman" w:cs="Calibri"/>
          <w:b/>
          <w:sz w:val="24"/>
          <w:szCs w:val="24"/>
          <w:lang w:eastAsia="cs-CZ"/>
        </w:rPr>
        <w:t xml:space="preserve"> – </w:t>
      </w:r>
      <w:r w:rsidR="007225B6">
        <w:rPr>
          <w:rFonts w:eastAsia="Times New Roman" w:cs="Calibri"/>
          <w:b/>
          <w:sz w:val="24"/>
          <w:szCs w:val="24"/>
          <w:lang w:eastAsia="cs-CZ"/>
        </w:rPr>
        <w:tab/>
        <w:t>Přehled peněžních prostředků podle zdrojů – Moravskoslezský kraj</w:t>
      </w:r>
      <w:r w:rsidR="007225B6">
        <w:rPr>
          <w:rFonts w:eastAsia="Times New Roman" w:cs="Calibri"/>
          <w:b/>
          <w:sz w:val="24"/>
          <w:szCs w:val="24"/>
          <w:lang w:eastAsia="cs-CZ"/>
        </w:rPr>
        <w:tab/>
        <w:t>(v mil. Kč)</w:t>
      </w:r>
    </w:p>
    <w:p w14:paraId="7976A750" w14:textId="40F10DE2" w:rsidR="00393DDB" w:rsidRPr="00393DDB" w:rsidRDefault="00393DDB" w:rsidP="00607164">
      <w:pPr>
        <w:keepNext/>
        <w:spacing w:after="0" w:line="240" w:lineRule="auto"/>
        <w:jc w:val="both"/>
        <w:rPr>
          <w:rFonts w:eastAsia="Times New Roman" w:cs="Calibri"/>
          <w:sz w:val="24"/>
          <w:szCs w:val="24"/>
          <w:lang w:eastAsia="cs-CZ"/>
        </w:rPr>
      </w:pPr>
    </w:p>
    <w:p w14:paraId="38B44FE2" w14:textId="77777777" w:rsidR="00393DDB" w:rsidRPr="00677716" w:rsidRDefault="00393DDB" w:rsidP="00607164">
      <w:pPr>
        <w:spacing w:after="0" w:line="240" w:lineRule="auto"/>
        <w:jc w:val="both"/>
        <w:rPr>
          <w:rFonts w:eastAsia="Times New Roman" w:cs="Calibri"/>
          <w:b/>
          <w:sz w:val="24"/>
          <w:szCs w:val="24"/>
          <w:lang w:eastAsia="cs-CZ"/>
        </w:rPr>
      </w:pPr>
      <w:r w:rsidRPr="00677716">
        <w:rPr>
          <w:rFonts w:eastAsia="Times New Roman" w:cs="Calibri"/>
          <w:b/>
          <w:sz w:val="24"/>
          <w:szCs w:val="24"/>
          <w:lang w:eastAsia="cs-CZ"/>
        </w:rPr>
        <w:t>Pardubický kraj</w:t>
      </w:r>
    </w:p>
    <w:p w14:paraId="78695EB9" w14:textId="77777777" w:rsidR="00677716" w:rsidRPr="00677716" w:rsidRDefault="00677716" w:rsidP="00607164">
      <w:pPr>
        <w:spacing w:after="0" w:line="240" w:lineRule="auto"/>
        <w:jc w:val="both"/>
        <w:rPr>
          <w:rFonts w:eastAsia="Times New Roman" w:cs="Calibri"/>
          <w:b/>
          <w:sz w:val="24"/>
          <w:szCs w:val="24"/>
          <w:u w:val="single"/>
          <w:lang w:eastAsia="cs-CZ"/>
        </w:rPr>
      </w:pPr>
    </w:p>
    <w:p w14:paraId="7D63E64D" w14:textId="1AE165B2" w:rsidR="00393DDB" w:rsidRPr="00054EE5" w:rsidRDefault="00286878" w:rsidP="00BF34F6">
      <w:pPr>
        <w:tabs>
          <w:tab w:val="right" w:pos="9072"/>
        </w:tabs>
        <w:spacing w:after="40" w:line="240" w:lineRule="auto"/>
        <w:ind w:left="1560" w:hanging="1560"/>
        <w:jc w:val="both"/>
        <w:rPr>
          <w:rFonts w:eastAsia="Times New Roman" w:cs="Calibri"/>
          <w:b/>
          <w:sz w:val="24"/>
          <w:szCs w:val="24"/>
          <w:lang w:eastAsia="cs-CZ"/>
        </w:rPr>
      </w:pPr>
      <w:r w:rsidRPr="00054EE5">
        <w:rPr>
          <w:rFonts w:eastAsia="Times New Roman" w:cs="Calibri"/>
          <w:b/>
          <w:sz w:val="24"/>
          <w:szCs w:val="24"/>
          <w:lang w:eastAsia="cs-CZ"/>
        </w:rPr>
        <w:t>Tabulka č. 13</w:t>
      </w:r>
      <w:r w:rsidR="00393DDB" w:rsidRPr="00054EE5">
        <w:rPr>
          <w:rFonts w:eastAsia="Times New Roman" w:cs="Calibri"/>
          <w:b/>
          <w:sz w:val="24"/>
          <w:szCs w:val="24"/>
          <w:lang w:eastAsia="cs-CZ"/>
        </w:rPr>
        <w:t xml:space="preserve"> – </w:t>
      </w:r>
      <w:r w:rsidR="00BF34F6">
        <w:rPr>
          <w:rFonts w:eastAsia="Times New Roman" w:cs="Calibri"/>
          <w:b/>
          <w:sz w:val="24"/>
          <w:szCs w:val="24"/>
          <w:lang w:eastAsia="cs-CZ"/>
        </w:rPr>
        <w:tab/>
      </w:r>
      <w:r w:rsidR="00393DDB" w:rsidRPr="00054EE5">
        <w:rPr>
          <w:rFonts w:eastAsia="Times New Roman" w:cs="Calibri"/>
          <w:b/>
          <w:sz w:val="24"/>
          <w:szCs w:val="24"/>
          <w:lang w:eastAsia="cs-CZ"/>
        </w:rPr>
        <w:t xml:space="preserve">Peněžní prostředky vložené do silnic II. a III. třídy za roky 2012 až 2016 </w:t>
      </w:r>
      <w:r w:rsidR="00BF34F6">
        <w:rPr>
          <w:rFonts w:eastAsia="Times New Roman" w:cs="Calibri"/>
          <w:b/>
          <w:sz w:val="24"/>
          <w:szCs w:val="24"/>
          <w:lang w:eastAsia="cs-CZ"/>
        </w:rPr>
        <w:tab/>
      </w:r>
      <w:r w:rsidR="00393DDB" w:rsidRPr="00054EE5">
        <w:rPr>
          <w:rFonts w:eastAsia="Times New Roman" w:cs="Calibri"/>
          <w:b/>
          <w:sz w:val="24"/>
          <w:szCs w:val="24"/>
          <w:lang w:eastAsia="cs-CZ"/>
        </w:rPr>
        <w:t>(</w:t>
      </w:r>
      <w:r w:rsidR="00BF34F6">
        <w:rPr>
          <w:rFonts w:eastAsia="Times New Roman" w:cs="Calibri"/>
          <w:b/>
          <w:sz w:val="24"/>
          <w:szCs w:val="24"/>
          <w:lang w:eastAsia="cs-CZ"/>
        </w:rPr>
        <w:t>v </w:t>
      </w:r>
      <w:r w:rsidR="00393DDB" w:rsidRPr="00054EE5">
        <w:rPr>
          <w:rFonts w:eastAsia="Times New Roman" w:cs="Calibri"/>
          <w:b/>
          <w:sz w:val="24"/>
          <w:szCs w:val="24"/>
          <w:lang w:eastAsia="cs-CZ"/>
        </w:rPr>
        <w:t>mil.</w:t>
      </w:r>
      <w:r w:rsidR="00BF34F6">
        <w:rPr>
          <w:rFonts w:eastAsia="Times New Roman" w:cs="Calibri"/>
          <w:b/>
          <w:sz w:val="24"/>
          <w:szCs w:val="24"/>
          <w:lang w:eastAsia="cs-CZ"/>
        </w:rPr>
        <w:t> </w:t>
      </w:r>
      <w:r w:rsidR="00393DDB" w:rsidRPr="00054EE5">
        <w:rPr>
          <w:rFonts w:eastAsia="Times New Roman" w:cs="Calibri"/>
          <w:b/>
          <w:sz w:val="24"/>
          <w:szCs w:val="24"/>
          <w:lang w:eastAsia="cs-CZ"/>
        </w:rPr>
        <w:t>Kč)</w:t>
      </w:r>
    </w:p>
    <w:tbl>
      <w:tblPr>
        <w:tblW w:w="9051" w:type="dxa"/>
        <w:tblCellMar>
          <w:left w:w="70" w:type="dxa"/>
          <w:right w:w="70" w:type="dxa"/>
        </w:tblCellMar>
        <w:tblLook w:val="04A0" w:firstRow="1" w:lastRow="0" w:firstColumn="1" w:lastColumn="0" w:noHBand="0" w:noVBand="1"/>
      </w:tblPr>
      <w:tblGrid>
        <w:gridCol w:w="1316"/>
        <w:gridCol w:w="1920"/>
        <w:gridCol w:w="2112"/>
        <w:gridCol w:w="1673"/>
        <w:gridCol w:w="2030"/>
      </w:tblGrid>
      <w:tr w:rsidR="00393DDB" w:rsidRPr="00607164" w14:paraId="5B746201" w14:textId="77777777" w:rsidTr="00BF34F6">
        <w:trPr>
          <w:trHeight w:val="227"/>
        </w:trPr>
        <w:tc>
          <w:tcPr>
            <w:tcW w:w="1316"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7C8704FD" w14:textId="77777777" w:rsidR="00393DDB" w:rsidRPr="00BF34F6" w:rsidRDefault="00393DDB" w:rsidP="00607164">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Rok</w:t>
            </w:r>
          </w:p>
        </w:tc>
        <w:tc>
          <w:tcPr>
            <w:tcW w:w="1920" w:type="dxa"/>
            <w:tcBorders>
              <w:top w:val="single" w:sz="4" w:space="0" w:color="auto"/>
              <w:left w:val="nil"/>
              <w:bottom w:val="single" w:sz="4" w:space="0" w:color="auto"/>
              <w:right w:val="single" w:sz="4" w:space="0" w:color="auto"/>
            </w:tcBorders>
            <w:shd w:val="clear" w:color="auto" w:fill="E5F1FF"/>
            <w:vAlign w:val="center"/>
            <w:hideMark/>
          </w:tcPr>
          <w:p w14:paraId="62D76933" w14:textId="77777777" w:rsidR="00393DDB" w:rsidRPr="00BF34F6" w:rsidRDefault="00393DDB" w:rsidP="00607164">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Prostředky kraje celkem</w:t>
            </w:r>
          </w:p>
        </w:tc>
        <w:tc>
          <w:tcPr>
            <w:tcW w:w="2112" w:type="dxa"/>
            <w:tcBorders>
              <w:top w:val="single" w:sz="4" w:space="0" w:color="auto"/>
              <w:left w:val="nil"/>
              <w:bottom w:val="single" w:sz="4" w:space="0" w:color="auto"/>
              <w:right w:val="single" w:sz="4" w:space="0" w:color="auto"/>
            </w:tcBorders>
            <w:shd w:val="clear" w:color="auto" w:fill="E5F1FF"/>
            <w:vAlign w:val="center"/>
            <w:hideMark/>
          </w:tcPr>
          <w:p w14:paraId="7CEBBD23" w14:textId="77777777" w:rsidR="00393DDB" w:rsidRPr="00BF34F6" w:rsidRDefault="00393DDB" w:rsidP="00607164">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Poskytnutá dotace EU</w:t>
            </w:r>
          </w:p>
        </w:tc>
        <w:tc>
          <w:tcPr>
            <w:tcW w:w="1673" w:type="dxa"/>
            <w:tcBorders>
              <w:top w:val="single" w:sz="4" w:space="0" w:color="auto"/>
              <w:left w:val="nil"/>
              <w:bottom w:val="single" w:sz="4" w:space="0" w:color="auto"/>
              <w:right w:val="single" w:sz="4" w:space="0" w:color="auto"/>
            </w:tcBorders>
            <w:shd w:val="clear" w:color="auto" w:fill="E5F1FF"/>
            <w:vAlign w:val="center"/>
            <w:hideMark/>
          </w:tcPr>
          <w:p w14:paraId="7AC3F254" w14:textId="77777777" w:rsidR="00393DDB" w:rsidRPr="00BF34F6" w:rsidRDefault="00393DDB" w:rsidP="00607164">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SFDI dotace</w:t>
            </w:r>
          </w:p>
        </w:tc>
        <w:tc>
          <w:tcPr>
            <w:tcW w:w="2030" w:type="dxa"/>
            <w:tcBorders>
              <w:top w:val="single" w:sz="4" w:space="0" w:color="auto"/>
              <w:left w:val="nil"/>
              <w:bottom w:val="single" w:sz="4" w:space="0" w:color="auto"/>
              <w:right w:val="single" w:sz="4" w:space="0" w:color="auto"/>
            </w:tcBorders>
            <w:shd w:val="clear" w:color="auto" w:fill="E5F1FF"/>
            <w:vAlign w:val="center"/>
            <w:hideMark/>
          </w:tcPr>
          <w:p w14:paraId="4A348237" w14:textId="77777777" w:rsidR="00393DDB" w:rsidRPr="00BF34F6" w:rsidRDefault="00393DDB" w:rsidP="00607164">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Celkem za rok</w:t>
            </w:r>
          </w:p>
        </w:tc>
      </w:tr>
      <w:tr w:rsidR="00393DDB" w:rsidRPr="00607164" w14:paraId="5045C71E"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AE09B07" w14:textId="77777777" w:rsidR="00393DDB" w:rsidRPr="00607164" w:rsidRDefault="00393DDB" w:rsidP="007C0B10">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2012</w:t>
            </w:r>
          </w:p>
        </w:tc>
        <w:tc>
          <w:tcPr>
            <w:tcW w:w="1920" w:type="dxa"/>
            <w:tcBorders>
              <w:top w:val="nil"/>
              <w:left w:val="nil"/>
              <w:bottom w:val="single" w:sz="4" w:space="0" w:color="auto"/>
              <w:right w:val="single" w:sz="4" w:space="0" w:color="auto"/>
            </w:tcBorders>
            <w:shd w:val="clear" w:color="auto" w:fill="auto"/>
            <w:noWrap/>
            <w:vAlign w:val="center"/>
            <w:hideMark/>
          </w:tcPr>
          <w:p w14:paraId="35A82D24"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383,737</w:t>
            </w:r>
          </w:p>
        </w:tc>
        <w:tc>
          <w:tcPr>
            <w:tcW w:w="2112" w:type="dxa"/>
            <w:tcBorders>
              <w:top w:val="nil"/>
              <w:left w:val="nil"/>
              <w:bottom w:val="single" w:sz="4" w:space="0" w:color="auto"/>
              <w:right w:val="single" w:sz="4" w:space="0" w:color="auto"/>
            </w:tcBorders>
            <w:shd w:val="clear" w:color="auto" w:fill="auto"/>
            <w:noWrap/>
            <w:vAlign w:val="center"/>
            <w:hideMark/>
          </w:tcPr>
          <w:p w14:paraId="0FD89081"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255,916</w:t>
            </w:r>
          </w:p>
        </w:tc>
        <w:tc>
          <w:tcPr>
            <w:tcW w:w="1673" w:type="dxa"/>
            <w:tcBorders>
              <w:top w:val="nil"/>
              <w:left w:val="nil"/>
              <w:bottom w:val="single" w:sz="4" w:space="0" w:color="auto"/>
              <w:right w:val="single" w:sz="4" w:space="0" w:color="auto"/>
            </w:tcBorders>
            <w:shd w:val="clear" w:color="auto" w:fill="auto"/>
            <w:noWrap/>
            <w:vAlign w:val="center"/>
            <w:hideMark/>
          </w:tcPr>
          <w:p w14:paraId="022C50DA"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79266035"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639,653</w:t>
            </w:r>
          </w:p>
        </w:tc>
      </w:tr>
      <w:tr w:rsidR="00393DDB" w:rsidRPr="00607164" w14:paraId="440F33A2"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FF4B007" w14:textId="77777777" w:rsidR="00393DDB" w:rsidRPr="00607164" w:rsidRDefault="00393DDB" w:rsidP="007C0B10">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2013</w:t>
            </w:r>
          </w:p>
        </w:tc>
        <w:tc>
          <w:tcPr>
            <w:tcW w:w="1920" w:type="dxa"/>
            <w:tcBorders>
              <w:top w:val="nil"/>
              <w:left w:val="nil"/>
              <w:bottom w:val="single" w:sz="4" w:space="0" w:color="auto"/>
              <w:right w:val="single" w:sz="4" w:space="0" w:color="auto"/>
            </w:tcBorders>
            <w:shd w:val="clear" w:color="auto" w:fill="auto"/>
            <w:noWrap/>
            <w:vAlign w:val="center"/>
            <w:hideMark/>
          </w:tcPr>
          <w:p w14:paraId="0911C620"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393,886</w:t>
            </w:r>
          </w:p>
        </w:tc>
        <w:tc>
          <w:tcPr>
            <w:tcW w:w="2112" w:type="dxa"/>
            <w:tcBorders>
              <w:top w:val="nil"/>
              <w:left w:val="nil"/>
              <w:bottom w:val="single" w:sz="4" w:space="0" w:color="auto"/>
              <w:right w:val="single" w:sz="4" w:space="0" w:color="auto"/>
            </w:tcBorders>
            <w:shd w:val="clear" w:color="auto" w:fill="auto"/>
            <w:noWrap/>
            <w:vAlign w:val="center"/>
            <w:hideMark/>
          </w:tcPr>
          <w:p w14:paraId="09EA7B57"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673" w:type="dxa"/>
            <w:tcBorders>
              <w:top w:val="nil"/>
              <w:left w:val="nil"/>
              <w:bottom w:val="single" w:sz="4" w:space="0" w:color="auto"/>
              <w:right w:val="single" w:sz="4" w:space="0" w:color="auto"/>
            </w:tcBorders>
            <w:shd w:val="clear" w:color="auto" w:fill="auto"/>
            <w:noWrap/>
            <w:vAlign w:val="center"/>
            <w:hideMark/>
          </w:tcPr>
          <w:p w14:paraId="038A778D"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7218FF83"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393,886</w:t>
            </w:r>
          </w:p>
        </w:tc>
      </w:tr>
      <w:tr w:rsidR="00393DDB" w:rsidRPr="00607164" w14:paraId="31E95297"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63CAF30" w14:textId="77777777" w:rsidR="00393DDB" w:rsidRPr="00607164" w:rsidRDefault="00393DDB" w:rsidP="007C0B10">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2014</w:t>
            </w:r>
          </w:p>
        </w:tc>
        <w:tc>
          <w:tcPr>
            <w:tcW w:w="1920" w:type="dxa"/>
            <w:tcBorders>
              <w:top w:val="nil"/>
              <w:left w:val="nil"/>
              <w:bottom w:val="single" w:sz="4" w:space="0" w:color="auto"/>
              <w:right w:val="single" w:sz="4" w:space="0" w:color="auto"/>
            </w:tcBorders>
            <w:shd w:val="clear" w:color="auto" w:fill="auto"/>
            <w:noWrap/>
            <w:vAlign w:val="center"/>
            <w:hideMark/>
          </w:tcPr>
          <w:p w14:paraId="3119760B"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439,862</w:t>
            </w:r>
          </w:p>
        </w:tc>
        <w:tc>
          <w:tcPr>
            <w:tcW w:w="2112" w:type="dxa"/>
            <w:tcBorders>
              <w:top w:val="nil"/>
              <w:left w:val="nil"/>
              <w:bottom w:val="single" w:sz="4" w:space="0" w:color="auto"/>
              <w:right w:val="single" w:sz="4" w:space="0" w:color="auto"/>
            </w:tcBorders>
            <w:shd w:val="clear" w:color="auto" w:fill="auto"/>
            <w:noWrap/>
            <w:vAlign w:val="center"/>
            <w:hideMark/>
          </w:tcPr>
          <w:p w14:paraId="38D240EA"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544,709</w:t>
            </w:r>
          </w:p>
        </w:tc>
        <w:tc>
          <w:tcPr>
            <w:tcW w:w="1673" w:type="dxa"/>
            <w:tcBorders>
              <w:top w:val="nil"/>
              <w:left w:val="nil"/>
              <w:bottom w:val="single" w:sz="4" w:space="0" w:color="auto"/>
              <w:right w:val="single" w:sz="4" w:space="0" w:color="auto"/>
            </w:tcBorders>
            <w:shd w:val="clear" w:color="auto" w:fill="auto"/>
            <w:noWrap/>
            <w:vAlign w:val="center"/>
            <w:hideMark/>
          </w:tcPr>
          <w:p w14:paraId="75111E55"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2CC58E1A"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984,571</w:t>
            </w:r>
          </w:p>
        </w:tc>
      </w:tr>
      <w:tr w:rsidR="00393DDB" w:rsidRPr="00607164" w14:paraId="4CE9A6F7"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5F1227D8" w14:textId="77777777" w:rsidR="00393DDB" w:rsidRPr="00607164" w:rsidRDefault="00393DDB" w:rsidP="007C0B10">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2015</w:t>
            </w:r>
          </w:p>
        </w:tc>
        <w:tc>
          <w:tcPr>
            <w:tcW w:w="1920" w:type="dxa"/>
            <w:tcBorders>
              <w:top w:val="nil"/>
              <w:left w:val="nil"/>
              <w:bottom w:val="single" w:sz="4" w:space="0" w:color="auto"/>
              <w:right w:val="single" w:sz="4" w:space="0" w:color="auto"/>
            </w:tcBorders>
            <w:shd w:val="clear" w:color="auto" w:fill="auto"/>
            <w:noWrap/>
            <w:vAlign w:val="center"/>
            <w:hideMark/>
          </w:tcPr>
          <w:p w14:paraId="568F8420"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447,937</w:t>
            </w:r>
          </w:p>
        </w:tc>
        <w:tc>
          <w:tcPr>
            <w:tcW w:w="2112" w:type="dxa"/>
            <w:tcBorders>
              <w:top w:val="nil"/>
              <w:left w:val="nil"/>
              <w:bottom w:val="single" w:sz="4" w:space="0" w:color="auto"/>
              <w:right w:val="single" w:sz="4" w:space="0" w:color="auto"/>
            </w:tcBorders>
            <w:shd w:val="clear" w:color="auto" w:fill="auto"/>
            <w:noWrap/>
            <w:vAlign w:val="center"/>
            <w:hideMark/>
          </w:tcPr>
          <w:p w14:paraId="5ACCA6BA"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186,063</w:t>
            </w:r>
          </w:p>
        </w:tc>
        <w:tc>
          <w:tcPr>
            <w:tcW w:w="1673" w:type="dxa"/>
            <w:tcBorders>
              <w:top w:val="nil"/>
              <w:left w:val="nil"/>
              <w:bottom w:val="single" w:sz="4" w:space="0" w:color="auto"/>
              <w:right w:val="single" w:sz="4" w:space="0" w:color="auto"/>
            </w:tcBorders>
            <w:shd w:val="clear" w:color="auto" w:fill="auto"/>
            <w:noWrap/>
            <w:vAlign w:val="center"/>
            <w:hideMark/>
          </w:tcPr>
          <w:p w14:paraId="78250502"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285,068</w:t>
            </w:r>
          </w:p>
        </w:tc>
        <w:tc>
          <w:tcPr>
            <w:tcW w:w="2030" w:type="dxa"/>
            <w:tcBorders>
              <w:top w:val="nil"/>
              <w:left w:val="nil"/>
              <w:bottom w:val="single" w:sz="4" w:space="0" w:color="auto"/>
              <w:right w:val="single" w:sz="4" w:space="0" w:color="auto"/>
            </w:tcBorders>
            <w:shd w:val="clear" w:color="auto" w:fill="auto"/>
            <w:noWrap/>
            <w:vAlign w:val="center"/>
            <w:hideMark/>
          </w:tcPr>
          <w:p w14:paraId="3F3E1CF5"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919,068</w:t>
            </w:r>
          </w:p>
        </w:tc>
      </w:tr>
      <w:tr w:rsidR="00393DDB" w:rsidRPr="00607164" w14:paraId="70A5AC1B"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3AB721E8" w14:textId="77777777" w:rsidR="00393DDB" w:rsidRPr="00607164" w:rsidRDefault="00393DDB" w:rsidP="007C0B10">
            <w:pPr>
              <w:spacing w:after="0" w:line="240" w:lineRule="auto"/>
              <w:jc w:val="center"/>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2016</w:t>
            </w:r>
          </w:p>
        </w:tc>
        <w:tc>
          <w:tcPr>
            <w:tcW w:w="1920" w:type="dxa"/>
            <w:tcBorders>
              <w:top w:val="nil"/>
              <w:left w:val="nil"/>
              <w:bottom w:val="single" w:sz="4" w:space="0" w:color="auto"/>
              <w:right w:val="single" w:sz="4" w:space="0" w:color="auto"/>
            </w:tcBorders>
            <w:shd w:val="clear" w:color="auto" w:fill="auto"/>
            <w:noWrap/>
            <w:vAlign w:val="center"/>
            <w:hideMark/>
          </w:tcPr>
          <w:p w14:paraId="1E9C8265"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554,762</w:t>
            </w:r>
          </w:p>
        </w:tc>
        <w:tc>
          <w:tcPr>
            <w:tcW w:w="2112" w:type="dxa"/>
            <w:tcBorders>
              <w:top w:val="nil"/>
              <w:left w:val="nil"/>
              <w:bottom w:val="single" w:sz="4" w:space="0" w:color="auto"/>
              <w:right w:val="single" w:sz="4" w:space="0" w:color="auto"/>
            </w:tcBorders>
            <w:shd w:val="clear" w:color="auto" w:fill="auto"/>
            <w:noWrap/>
            <w:vAlign w:val="center"/>
            <w:hideMark/>
          </w:tcPr>
          <w:p w14:paraId="7543309C"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0,000</w:t>
            </w:r>
          </w:p>
        </w:tc>
        <w:tc>
          <w:tcPr>
            <w:tcW w:w="1673" w:type="dxa"/>
            <w:tcBorders>
              <w:top w:val="nil"/>
              <w:left w:val="nil"/>
              <w:bottom w:val="single" w:sz="4" w:space="0" w:color="auto"/>
              <w:right w:val="single" w:sz="4" w:space="0" w:color="auto"/>
            </w:tcBorders>
            <w:shd w:val="clear" w:color="auto" w:fill="auto"/>
            <w:noWrap/>
            <w:vAlign w:val="center"/>
            <w:hideMark/>
          </w:tcPr>
          <w:p w14:paraId="2DACBB4C" w14:textId="77777777" w:rsidR="00393DDB" w:rsidRPr="00607164" w:rsidRDefault="00393DDB" w:rsidP="007C0B10">
            <w:pPr>
              <w:spacing w:after="0" w:line="240" w:lineRule="auto"/>
              <w:ind w:right="474"/>
              <w:jc w:val="right"/>
              <w:rPr>
                <w:rFonts w:ascii="Calibri" w:eastAsia="Times New Roman" w:hAnsi="Calibri" w:cs="Calibri"/>
                <w:color w:val="000000"/>
                <w:sz w:val="20"/>
                <w:szCs w:val="20"/>
                <w:lang w:eastAsia="cs-CZ"/>
              </w:rPr>
            </w:pPr>
            <w:r w:rsidRPr="00607164">
              <w:rPr>
                <w:rFonts w:ascii="Calibri" w:eastAsia="Times New Roman" w:hAnsi="Calibri" w:cs="Calibri"/>
                <w:color w:val="000000"/>
                <w:sz w:val="20"/>
                <w:szCs w:val="20"/>
                <w:lang w:eastAsia="cs-CZ"/>
              </w:rPr>
              <w:t>196,696</w:t>
            </w:r>
          </w:p>
        </w:tc>
        <w:tc>
          <w:tcPr>
            <w:tcW w:w="2030" w:type="dxa"/>
            <w:tcBorders>
              <w:top w:val="nil"/>
              <w:left w:val="nil"/>
              <w:bottom w:val="single" w:sz="4" w:space="0" w:color="auto"/>
              <w:right w:val="single" w:sz="4" w:space="0" w:color="auto"/>
            </w:tcBorders>
            <w:shd w:val="clear" w:color="auto" w:fill="auto"/>
            <w:noWrap/>
            <w:vAlign w:val="center"/>
            <w:hideMark/>
          </w:tcPr>
          <w:p w14:paraId="569A185E"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751,458</w:t>
            </w:r>
          </w:p>
        </w:tc>
      </w:tr>
      <w:tr w:rsidR="00393DDB" w:rsidRPr="00607164" w14:paraId="1F07FFB1"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EC87F79" w14:textId="77777777" w:rsidR="00393DDB" w:rsidRPr="00BF34F6" w:rsidRDefault="00393DDB" w:rsidP="007C0B10">
            <w:pPr>
              <w:spacing w:after="0" w:line="240" w:lineRule="auto"/>
              <w:jc w:val="center"/>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Celkem</w:t>
            </w:r>
          </w:p>
        </w:tc>
        <w:tc>
          <w:tcPr>
            <w:tcW w:w="1920" w:type="dxa"/>
            <w:tcBorders>
              <w:top w:val="nil"/>
              <w:left w:val="nil"/>
              <w:bottom w:val="single" w:sz="4" w:space="0" w:color="auto"/>
              <w:right w:val="single" w:sz="4" w:space="0" w:color="auto"/>
            </w:tcBorders>
            <w:shd w:val="clear" w:color="auto" w:fill="auto"/>
            <w:noWrap/>
            <w:vAlign w:val="center"/>
            <w:hideMark/>
          </w:tcPr>
          <w:p w14:paraId="0CCEFB95"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2 220,184</w:t>
            </w:r>
          </w:p>
        </w:tc>
        <w:tc>
          <w:tcPr>
            <w:tcW w:w="2112" w:type="dxa"/>
            <w:tcBorders>
              <w:top w:val="nil"/>
              <w:left w:val="nil"/>
              <w:bottom w:val="single" w:sz="4" w:space="0" w:color="auto"/>
              <w:right w:val="single" w:sz="4" w:space="0" w:color="auto"/>
            </w:tcBorders>
            <w:shd w:val="clear" w:color="auto" w:fill="auto"/>
            <w:noWrap/>
            <w:vAlign w:val="center"/>
            <w:hideMark/>
          </w:tcPr>
          <w:p w14:paraId="7B964690"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986,688</w:t>
            </w:r>
          </w:p>
        </w:tc>
        <w:tc>
          <w:tcPr>
            <w:tcW w:w="1673" w:type="dxa"/>
            <w:tcBorders>
              <w:top w:val="nil"/>
              <w:left w:val="nil"/>
              <w:bottom w:val="single" w:sz="4" w:space="0" w:color="auto"/>
              <w:right w:val="single" w:sz="4" w:space="0" w:color="auto"/>
            </w:tcBorders>
            <w:shd w:val="clear" w:color="auto" w:fill="auto"/>
            <w:noWrap/>
            <w:vAlign w:val="center"/>
            <w:hideMark/>
          </w:tcPr>
          <w:p w14:paraId="4F1DEE6F"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481,764</w:t>
            </w:r>
          </w:p>
        </w:tc>
        <w:tc>
          <w:tcPr>
            <w:tcW w:w="2030" w:type="dxa"/>
            <w:tcBorders>
              <w:top w:val="nil"/>
              <w:left w:val="nil"/>
              <w:bottom w:val="single" w:sz="4" w:space="0" w:color="auto"/>
              <w:right w:val="single" w:sz="4" w:space="0" w:color="auto"/>
            </w:tcBorders>
            <w:shd w:val="clear" w:color="auto" w:fill="auto"/>
            <w:noWrap/>
            <w:vAlign w:val="center"/>
            <w:hideMark/>
          </w:tcPr>
          <w:p w14:paraId="4A50F65C" w14:textId="77777777" w:rsidR="00393DDB" w:rsidRPr="00BF34F6" w:rsidRDefault="00393DDB" w:rsidP="007C0B10">
            <w:pPr>
              <w:spacing w:after="0" w:line="240" w:lineRule="auto"/>
              <w:ind w:right="474"/>
              <w:jc w:val="right"/>
              <w:rPr>
                <w:rFonts w:ascii="Calibri" w:eastAsia="Times New Roman" w:hAnsi="Calibri" w:cs="Calibri"/>
                <w:b/>
                <w:color w:val="000000"/>
                <w:sz w:val="20"/>
                <w:szCs w:val="20"/>
                <w:lang w:eastAsia="cs-CZ"/>
              </w:rPr>
            </w:pPr>
            <w:r w:rsidRPr="00BF34F6">
              <w:rPr>
                <w:rFonts w:ascii="Calibri" w:eastAsia="Times New Roman" w:hAnsi="Calibri" w:cs="Calibri"/>
                <w:b/>
                <w:color w:val="000000"/>
                <w:sz w:val="20"/>
                <w:szCs w:val="20"/>
                <w:lang w:eastAsia="cs-CZ"/>
              </w:rPr>
              <w:t>3 688,636</w:t>
            </w:r>
          </w:p>
        </w:tc>
      </w:tr>
    </w:tbl>
    <w:p w14:paraId="10E8DBBB" w14:textId="7B2BCBEA" w:rsidR="00393DDB" w:rsidRPr="00393DDB" w:rsidRDefault="00393DDB" w:rsidP="007C0B10">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BF34F6">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504251C6" w14:textId="77777777" w:rsidR="00393DDB" w:rsidRDefault="00393DDB" w:rsidP="00393DDB">
      <w:pPr>
        <w:spacing w:after="0" w:line="240" w:lineRule="auto"/>
        <w:jc w:val="both"/>
        <w:rPr>
          <w:rFonts w:eastAsia="Times New Roman" w:cs="Calibri"/>
          <w:sz w:val="24"/>
          <w:szCs w:val="24"/>
          <w:lang w:eastAsia="cs-CZ"/>
        </w:rPr>
      </w:pPr>
    </w:p>
    <w:p w14:paraId="1B4805A7" w14:textId="77777777" w:rsidR="00393DDB" w:rsidRPr="00054EE5" w:rsidRDefault="00393DDB" w:rsidP="007225B6">
      <w:pPr>
        <w:keepNext/>
        <w:tabs>
          <w:tab w:val="right" w:pos="9072"/>
        </w:tabs>
        <w:spacing w:after="0" w:line="240" w:lineRule="auto"/>
        <w:ind w:left="1134" w:hanging="1134"/>
        <w:jc w:val="both"/>
        <w:rPr>
          <w:rFonts w:eastAsia="Times New Roman" w:cs="Calibri"/>
          <w:b/>
          <w:sz w:val="24"/>
          <w:szCs w:val="24"/>
          <w:lang w:eastAsia="cs-CZ"/>
        </w:rPr>
      </w:pPr>
      <w:r w:rsidRPr="00054EE5">
        <w:rPr>
          <w:rFonts w:eastAsia="Times New Roman" w:cs="Calibri"/>
          <w:b/>
          <w:sz w:val="24"/>
          <w:szCs w:val="24"/>
          <w:lang w:eastAsia="cs-CZ"/>
        </w:rPr>
        <w:lastRenderedPageBreak/>
        <w:t>Graf č. 7</w:t>
      </w:r>
      <w:r w:rsidR="007225B6">
        <w:rPr>
          <w:rFonts w:eastAsia="Times New Roman" w:cs="Calibri"/>
          <w:b/>
          <w:sz w:val="24"/>
          <w:szCs w:val="24"/>
          <w:lang w:eastAsia="cs-CZ"/>
        </w:rPr>
        <w:t xml:space="preserve"> –</w:t>
      </w:r>
      <w:r w:rsidR="007225B6">
        <w:rPr>
          <w:rFonts w:eastAsia="Times New Roman" w:cs="Calibri"/>
          <w:b/>
          <w:sz w:val="24"/>
          <w:szCs w:val="24"/>
          <w:lang w:eastAsia="cs-CZ"/>
        </w:rPr>
        <w:tab/>
        <w:t>Přehled peněžních prostředků podle zdrojů – Pardubický kraj</w:t>
      </w:r>
      <w:r w:rsidR="007225B6">
        <w:rPr>
          <w:rFonts w:eastAsia="Times New Roman" w:cs="Calibri"/>
          <w:b/>
          <w:sz w:val="24"/>
          <w:szCs w:val="24"/>
          <w:lang w:eastAsia="cs-CZ"/>
        </w:rPr>
        <w:tab/>
        <w:t>(v mil. Kč)</w:t>
      </w:r>
    </w:p>
    <w:p w14:paraId="350DA0A6" w14:textId="77777777" w:rsidR="00393DDB" w:rsidRPr="00393DDB" w:rsidRDefault="00FC2838" w:rsidP="00FC2838">
      <w:pPr>
        <w:keepNext/>
        <w:spacing w:after="0" w:line="240" w:lineRule="auto"/>
        <w:jc w:val="center"/>
        <w:rPr>
          <w:rFonts w:eastAsia="Times New Roman" w:cs="Calibri"/>
          <w:sz w:val="24"/>
          <w:szCs w:val="24"/>
          <w:lang w:eastAsia="cs-CZ"/>
        </w:rPr>
      </w:pPr>
      <w:r w:rsidRPr="00AF5802">
        <w:rPr>
          <w:rFonts w:eastAsia="Times New Roman" w:cs="Times New Roman"/>
          <w:noProof/>
          <w:sz w:val="24"/>
          <w:szCs w:val="24"/>
          <w:lang w:eastAsia="cs-CZ"/>
        </w:rPr>
        <w:drawing>
          <wp:inline distT="0" distB="0" distL="0" distR="0" wp14:anchorId="68249776" wp14:editId="5ED3784F">
            <wp:extent cx="5791200" cy="286448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D8D6FF" w14:textId="77777777" w:rsidR="00393DDB" w:rsidRDefault="00393DDB" w:rsidP="00393DDB">
      <w:pPr>
        <w:spacing w:after="0" w:line="240" w:lineRule="auto"/>
        <w:jc w:val="both"/>
        <w:rPr>
          <w:rFonts w:eastAsia="Times New Roman" w:cs="Calibri"/>
          <w:sz w:val="24"/>
          <w:szCs w:val="24"/>
          <w:lang w:eastAsia="cs-CZ"/>
        </w:rPr>
      </w:pPr>
    </w:p>
    <w:p w14:paraId="27BCD48C" w14:textId="77777777" w:rsidR="00393DDB" w:rsidRDefault="00393DDB" w:rsidP="007C0B10">
      <w:pPr>
        <w:keepNext/>
        <w:spacing w:after="0" w:line="240" w:lineRule="auto"/>
        <w:jc w:val="both"/>
        <w:rPr>
          <w:rFonts w:eastAsia="Times New Roman" w:cs="Calibri"/>
          <w:b/>
          <w:sz w:val="24"/>
          <w:szCs w:val="24"/>
          <w:lang w:eastAsia="cs-CZ"/>
        </w:rPr>
      </w:pPr>
      <w:r w:rsidRPr="00677716">
        <w:rPr>
          <w:rFonts w:eastAsia="Times New Roman" w:cs="Calibri"/>
          <w:b/>
          <w:sz w:val="24"/>
          <w:szCs w:val="24"/>
          <w:lang w:eastAsia="cs-CZ"/>
        </w:rPr>
        <w:t>Plzeňský kraj</w:t>
      </w:r>
    </w:p>
    <w:p w14:paraId="1232C585" w14:textId="77777777" w:rsidR="003F714E" w:rsidRPr="00677716" w:rsidRDefault="003F714E" w:rsidP="007C0B10">
      <w:pPr>
        <w:keepNext/>
        <w:spacing w:after="0" w:line="240" w:lineRule="auto"/>
        <w:jc w:val="both"/>
        <w:rPr>
          <w:rFonts w:eastAsia="Times New Roman" w:cs="Calibri"/>
          <w:b/>
          <w:sz w:val="24"/>
          <w:szCs w:val="24"/>
          <w:lang w:eastAsia="cs-CZ"/>
        </w:rPr>
      </w:pPr>
    </w:p>
    <w:p w14:paraId="40D03DCF" w14:textId="7951DC85" w:rsidR="00393DDB" w:rsidRPr="00054EE5" w:rsidRDefault="00286878" w:rsidP="00BF34F6">
      <w:pPr>
        <w:keepNext/>
        <w:tabs>
          <w:tab w:val="right" w:pos="9072"/>
        </w:tabs>
        <w:spacing w:after="40" w:line="240" w:lineRule="auto"/>
        <w:ind w:left="1560" w:hanging="1560"/>
        <w:jc w:val="both"/>
        <w:rPr>
          <w:rFonts w:eastAsia="Times New Roman" w:cs="Calibri"/>
          <w:b/>
          <w:sz w:val="24"/>
          <w:szCs w:val="24"/>
          <w:lang w:eastAsia="cs-CZ"/>
        </w:rPr>
      </w:pPr>
      <w:r w:rsidRPr="00054EE5">
        <w:rPr>
          <w:rFonts w:eastAsia="Times New Roman" w:cs="Calibri"/>
          <w:b/>
          <w:sz w:val="24"/>
          <w:szCs w:val="24"/>
          <w:lang w:eastAsia="cs-CZ"/>
        </w:rPr>
        <w:t>Tabulka č. 14</w:t>
      </w:r>
      <w:r w:rsidR="00393DDB" w:rsidRPr="00054EE5">
        <w:rPr>
          <w:rFonts w:eastAsia="Times New Roman" w:cs="Calibri"/>
          <w:b/>
          <w:sz w:val="24"/>
          <w:szCs w:val="24"/>
          <w:lang w:eastAsia="cs-CZ"/>
        </w:rPr>
        <w:t xml:space="preserve"> – </w:t>
      </w:r>
      <w:r w:rsidR="00BF34F6">
        <w:rPr>
          <w:rFonts w:eastAsia="Times New Roman" w:cs="Calibri"/>
          <w:b/>
          <w:sz w:val="24"/>
          <w:szCs w:val="24"/>
          <w:lang w:eastAsia="cs-CZ"/>
        </w:rPr>
        <w:tab/>
      </w:r>
      <w:r w:rsidR="00393DDB" w:rsidRPr="00054EE5">
        <w:rPr>
          <w:rFonts w:eastAsia="Times New Roman" w:cs="Calibri"/>
          <w:b/>
          <w:sz w:val="24"/>
          <w:szCs w:val="24"/>
          <w:lang w:eastAsia="cs-CZ"/>
        </w:rPr>
        <w:t xml:space="preserve">Peněžní prostředky vložené do silnic II. a III. třídy za roky 2012 až 2016 </w:t>
      </w:r>
      <w:r w:rsidR="00BF34F6">
        <w:rPr>
          <w:rFonts w:eastAsia="Times New Roman" w:cs="Calibri"/>
          <w:b/>
          <w:sz w:val="24"/>
          <w:szCs w:val="24"/>
          <w:lang w:eastAsia="cs-CZ"/>
        </w:rPr>
        <w:tab/>
      </w:r>
      <w:r w:rsidR="00393DDB" w:rsidRPr="00054EE5">
        <w:rPr>
          <w:rFonts w:eastAsia="Times New Roman" w:cs="Calibri"/>
          <w:b/>
          <w:sz w:val="24"/>
          <w:szCs w:val="24"/>
          <w:lang w:eastAsia="cs-CZ"/>
        </w:rPr>
        <w:t>(</w:t>
      </w:r>
      <w:r w:rsidR="00BF34F6">
        <w:rPr>
          <w:rFonts w:eastAsia="Times New Roman" w:cs="Calibri"/>
          <w:b/>
          <w:sz w:val="24"/>
          <w:szCs w:val="24"/>
          <w:lang w:eastAsia="cs-CZ"/>
        </w:rPr>
        <w:t>v </w:t>
      </w:r>
      <w:r w:rsidR="00393DDB" w:rsidRPr="00054EE5">
        <w:rPr>
          <w:rFonts w:eastAsia="Times New Roman" w:cs="Calibri"/>
          <w:b/>
          <w:sz w:val="24"/>
          <w:szCs w:val="24"/>
          <w:lang w:eastAsia="cs-CZ"/>
        </w:rPr>
        <w:t>mil.</w:t>
      </w:r>
      <w:r w:rsidR="00BF34F6">
        <w:rPr>
          <w:rFonts w:eastAsia="Times New Roman" w:cs="Calibri"/>
          <w:b/>
          <w:sz w:val="24"/>
          <w:szCs w:val="24"/>
          <w:lang w:eastAsia="cs-CZ"/>
        </w:rPr>
        <w:t> </w:t>
      </w:r>
      <w:r w:rsidR="00393DDB" w:rsidRPr="00054EE5">
        <w:rPr>
          <w:rFonts w:eastAsia="Times New Roman" w:cs="Calibri"/>
          <w:b/>
          <w:sz w:val="24"/>
          <w:szCs w:val="24"/>
          <w:lang w:eastAsia="cs-CZ"/>
        </w:rPr>
        <w:t>Kč)</w:t>
      </w:r>
    </w:p>
    <w:tbl>
      <w:tblPr>
        <w:tblW w:w="9237" w:type="dxa"/>
        <w:tblCellMar>
          <w:left w:w="70" w:type="dxa"/>
          <w:right w:w="70" w:type="dxa"/>
        </w:tblCellMar>
        <w:tblLook w:val="04A0" w:firstRow="1" w:lastRow="0" w:firstColumn="1" w:lastColumn="0" w:noHBand="0" w:noVBand="1"/>
      </w:tblPr>
      <w:tblGrid>
        <w:gridCol w:w="1637"/>
        <w:gridCol w:w="1900"/>
        <w:gridCol w:w="1900"/>
        <w:gridCol w:w="1900"/>
        <w:gridCol w:w="1900"/>
      </w:tblGrid>
      <w:tr w:rsidR="00393DDB" w:rsidRPr="007C0B10" w14:paraId="7DCE44C6" w14:textId="77777777" w:rsidTr="00BF34F6">
        <w:trPr>
          <w:trHeight w:val="227"/>
        </w:trPr>
        <w:tc>
          <w:tcPr>
            <w:tcW w:w="1637"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0FDFF469" w14:textId="77777777" w:rsidR="00393DDB" w:rsidRPr="00BF34F6" w:rsidRDefault="00393DDB" w:rsidP="007C0B10">
            <w:pPr>
              <w:keepNext/>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Rok</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1DB01B31" w14:textId="77777777" w:rsidR="00393DDB" w:rsidRPr="00BF34F6" w:rsidRDefault="00393DDB" w:rsidP="007C0B10">
            <w:pPr>
              <w:keepNext/>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Prostředky kraje celkem</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080FDF60" w14:textId="77777777" w:rsidR="00393DDB" w:rsidRPr="00BF34F6" w:rsidRDefault="00393DDB" w:rsidP="007C0B10">
            <w:pPr>
              <w:keepNext/>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Poskytnutá dotace EU</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63F91EAB" w14:textId="77777777" w:rsidR="00393DDB" w:rsidRPr="00BF34F6" w:rsidRDefault="00393DDB" w:rsidP="007C0B10">
            <w:pPr>
              <w:keepNext/>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SFDI dotace</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671A7A2F" w14:textId="77777777" w:rsidR="00393DDB" w:rsidRPr="00BF34F6" w:rsidRDefault="00393DDB" w:rsidP="007C0B10">
            <w:pPr>
              <w:keepNext/>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Celkem za rok</w:t>
            </w:r>
          </w:p>
        </w:tc>
      </w:tr>
      <w:tr w:rsidR="00393DDB" w:rsidRPr="007C0B10" w14:paraId="7D12A03E"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6D3148C0"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2012</w:t>
            </w:r>
          </w:p>
        </w:tc>
        <w:tc>
          <w:tcPr>
            <w:tcW w:w="1900" w:type="dxa"/>
            <w:tcBorders>
              <w:top w:val="nil"/>
              <w:left w:val="nil"/>
              <w:bottom w:val="single" w:sz="4" w:space="0" w:color="auto"/>
              <w:right w:val="single" w:sz="4" w:space="0" w:color="auto"/>
            </w:tcBorders>
            <w:shd w:val="clear" w:color="auto" w:fill="auto"/>
            <w:noWrap/>
            <w:vAlign w:val="center"/>
            <w:hideMark/>
          </w:tcPr>
          <w:p w14:paraId="16C0F273"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259,000</w:t>
            </w:r>
          </w:p>
        </w:tc>
        <w:tc>
          <w:tcPr>
            <w:tcW w:w="1900" w:type="dxa"/>
            <w:tcBorders>
              <w:top w:val="nil"/>
              <w:left w:val="nil"/>
              <w:bottom w:val="single" w:sz="4" w:space="0" w:color="auto"/>
              <w:right w:val="single" w:sz="4" w:space="0" w:color="auto"/>
            </w:tcBorders>
            <w:shd w:val="clear" w:color="auto" w:fill="auto"/>
            <w:noWrap/>
            <w:vAlign w:val="center"/>
            <w:hideMark/>
          </w:tcPr>
          <w:p w14:paraId="0321F3A2"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764,000</w:t>
            </w:r>
          </w:p>
        </w:tc>
        <w:tc>
          <w:tcPr>
            <w:tcW w:w="1900" w:type="dxa"/>
            <w:tcBorders>
              <w:top w:val="nil"/>
              <w:left w:val="nil"/>
              <w:bottom w:val="single" w:sz="4" w:space="0" w:color="auto"/>
              <w:right w:val="single" w:sz="4" w:space="0" w:color="auto"/>
            </w:tcBorders>
            <w:shd w:val="clear" w:color="auto" w:fill="auto"/>
            <w:noWrap/>
            <w:vAlign w:val="center"/>
            <w:hideMark/>
          </w:tcPr>
          <w:p w14:paraId="488C36C3"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461DB76D"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1 023,000</w:t>
            </w:r>
          </w:p>
        </w:tc>
      </w:tr>
      <w:tr w:rsidR="00393DDB" w:rsidRPr="007C0B10" w14:paraId="038C46EB"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E9A6DF2"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2013</w:t>
            </w:r>
          </w:p>
        </w:tc>
        <w:tc>
          <w:tcPr>
            <w:tcW w:w="1900" w:type="dxa"/>
            <w:tcBorders>
              <w:top w:val="nil"/>
              <w:left w:val="nil"/>
              <w:bottom w:val="single" w:sz="4" w:space="0" w:color="auto"/>
              <w:right w:val="single" w:sz="4" w:space="0" w:color="auto"/>
            </w:tcBorders>
            <w:shd w:val="clear" w:color="auto" w:fill="auto"/>
            <w:noWrap/>
            <w:vAlign w:val="center"/>
            <w:hideMark/>
          </w:tcPr>
          <w:p w14:paraId="1578CDD5"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68,000</w:t>
            </w:r>
          </w:p>
        </w:tc>
        <w:tc>
          <w:tcPr>
            <w:tcW w:w="1900" w:type="dxa"/>
            <w:tcBorders>
              <w:top w:val="nil"/>
              <w:left w:val="nil"/>
              <w:bottom w:val="single" w:sz="4" w:space="0" w:color="auto"/>
              <w:right w:val="single" w:sz="4" w:space="0" w:color="auto"/>
            </w:tcBorders>
            <w:shd w:val="clear" w:color="auto" w:fill="auto"/>
            <w:noWrap/>
            <w:vAlign w:val="center"/>
            <w:hideMark/>
          </w:tcPr>
          <w:p w14:paraId="567D33F4"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939,000</w:t>
            </w:r>
          </w:p>
        </w:tc>
        <w:tc>
          <w:tcPr>
            <w:tcW w:w="1900" w:type="dxa"/>
            <w:tcBorders>
              <w:top w:val="nil"/>
              <w:left w:val="nil"/>
              <w:bottom w:val="single" w:sz="4" w:space="0" w:color="auto"/>
              <w:right w:val="single" w:sz="4" w:space="0" w:color="auto"/>
            </w:tcBorders>
            <w:shd w:val="clear" w:color="auto" w:fill="auto"/>
            <w:noWrap/>
            <w:vAlign w:val="center"/>
            <w:hideMark/>
          </w:tcPr>
          <w:p w14:paraId="1C3EEDBC"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92,000</w:t>
            </w:r>
          </w:p>
        </w:tc>
        <w:tc>
          <w:tcPr>
            <w:tcW w:w="1900" w:type="dxa"/>
            <w:tcBorders>
              <w:top w:val="nil"/>
              <w:left w:val="nil"/>
              <w:bottom w:val="single" w:sz="4" w:space="0" w:color="auto"/>
              <w:right w:val="single" w:sz="4" w:space="0" w:color="auto"/>
            </w:tcBorders>
            <w:shd w:val="clear" w:color="auto" w:fill="auto"/>
            <w:noWrap/>
            <w:vAlign w:val="center"/>
            <w:hideMark/>
          </w:tcPr>
          <w:p w14:paraId="353313D3"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1 099,000</w:t>
            </w:r>
          </w:p>
        </w:tc>
      </w:tr>
      <w:tr w:rsidR="00393DDB" w:rsidRPr="007C0B10" w14:paraId="640168C2"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378960DD"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2014</w:t>
            </w:r>
          </w:p>
        </w:tc>
        <w:tc>
          <w:tcPr>
            <w:tcW w:w="1900" w:type="dxa"/>
            <w:tcBorders>
              <w:top w:val="nil"/>
              <w:left w:val="nil"/>
              <w:bottom w:val="single" w:sz="4" w:space="0" w:color="auto"/>
              <w:right w:val="single" w:sz="4" w:space="0" w:color="auto"/>
            </w:tcBorders>
            <w:shd w:val="clear" w:color="auto" w:fill="auto"/>
            <w:noWrap/>
            <w:vAlign w:val="center"/>
            <w:hideMark/>
          </w:tcPr>
          <w:p w14:paraId="2C55E0AB"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77,000</w:t>
            </w:r>
          </w:p>
        </w:tc>
        <w:tc>
          <w:tcPr>
            <w:tcW w:w="1900" w:type="dxa"/>
            <w:tcBorders>
              <w:top w:val="nil"/>
              <w:left w:val="nil"/>
              <w:bottom w:val="single" w:sz="4" w:space="0" w:color="auto"/>
              <w:right w:val="single" w:sz="4" w:space="0" w:color="auto"/>
            </w:tcBorders>
            <w:shd w:val="clear" w:color="auto" w:fill="auto"/>
            <w:noWrap/>
            <w:vAlign w:val="center"/>
            <w:hideMark/>
          </w:tcPr>
          <w:p w14:paraId="7598C68D"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773,000</w:t>
            </w:r>
          </w:p>
        </w:tc>
        <w:tc>
          <w:tcPr>
            <w:tcW w:w="1900" w:type="dxa"/>
            <w:tcBorders>
              <w:top w:val="nil"/>
              <w:left w:val="nil"/>
              <w:bottom w:val="single" w:sz="4" w:space="0" w:color="auto"/>
              <w:right w:val="single" w:sz="4" w:space="0" w:color="auto"/>
            </w:tcBorders>
            <w:shd w:val="clear" w:color="auto" w:fill="auto"/>
            <w:noWrap/>
            <w:vAlign w:val="center"/>
            <w:hideMark/>
          </w:tcPr>
          <w:p w14:paraId="0106058A"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5F0F2B6A"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850,000</w:t>
            </w:r>
          </w:p>
        </w:tc>
      </w:tr>
      <w:tr w:rsidR="00393DDB" w:rsidRPr="007C0B10" w14:paraId="400A9C45"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251CCB52"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2015</w:t>
            </w:r>
          </w:p>
        </w:tc>
        <w:tc>
          <w:tcPr>
            <w:tcW w:w="1900" w:type="dxa"/>
            <w:tcBorders>
              <w:top w:val="nil"/>
              <w:left w:val="nil"/>
              <w:bottom w:val="single" w:sz="4" w:space="0" w:color="auto"/>
              <w:right w:val="single" w:sz="4" w:space="0" w:color="auto"/>
            </w:tcBorders>
            <w:shd w:val="clear" w:color="auto" w:fill="auto"/>
            <w:noWrap/>
            <w:vAlign w:val="center"/>
            <w:hideMark/>
          </w:tcPr>
          <w:p w14:paraId="5CB0D165"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129,000</w:t>
            </w:r>
          </w:p>
        </w:tc>
        <w:tc>
          <w:tcPr>
            <w:tcW w:w="1900" w:type="dxa"/>
            <w:tcBorders>
              <w:top w:val="nil"/>
              <w:left w:val="nil"/>
              <w:bottom w:val="single" w:sz="4" w:space="0" w:color="auto"/>
              <w:right w:val="single" w:sz="4" w:space="0" w:color="auto"/>
            </w:tcBorders>
            <w:shd w:val="clear" w:color="auto" w:fill="auto"/>
            <w:noWrap/>
            <w:vAlign w:val="center"/>
            <w:hideMark/>
          </w:tcPr>
          <w:p w14:paraId="065DE9E9"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449,000</w:t>
            </w:r>
          </w:p>
        </w:tc>
        <w:tc>
          <w:tcPr>
            <w:tcW w:w="1900" w:type="dxa"/>
            <w:tcBorders>
              <w:top w:val="nil"/>
              <w:left w:val="nil"/>
              <w:bottom w:val="single" w:sz="4" w:space="0" w:color="auto"/>
              <w:right w:val="single" w:sz="4" w:space="0" w:color="auto"/>
            </w:tcBorders>
            <w:shd w:val="clear" w:color="auto" w:fill="auto"/>
            <w:noWrap/>
            <w:vAlign w:val="center"/>
            <w:hideMark/>
          </w:tcPr>
          <w:p w14:paraId="5BE3376E"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394,000</w:t>
            </w:r>
          </w:p>
        </w:tc>
        <w:tc>
          <w:tcPr>
            <w:tcW w:w="1900" w:type="dxa"/>
            <w:tcBorders>
              <w:top w:val="nil"/>
              <w:left w:val="nil"/>
              <w:bottom w:val="single" w:sz="4" w:space="0" w:color="auto"/>
              <w:right w:val="single" w:sz="4" w:space="0" w:color="auto"/>
            </w:tcBorders>
            <w:shd w:val="clear" w:color="auto" w:fill="auto"/>
            <w:noWrap/>
            <w:vAlign w:val="center"/>
            <w:hideMark/>
          </w:tcPr>
          <w:p w14:paraId="36D2621C"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972,000</w:t>
            </w:r>
          </w:p>
        </w:tc>
      </w:tr>
      <w:tr w:rsidR="00393DDB" w:rsidRPr="007C0B10" w14:paraId="3A116AAA"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7219E392"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2016</w:t>
            </w:r>
          </w:p>
        </w:tc>
        <w:tc>
          <w:tcPr>
            <w:tcW w:w="1900" w:type="dxa"/>
            <w:tcBorders>
              <w:top w:val="nil"/>
              <w:left w:val="nil"/>
              <w:bottom w:val="single" w:sz="4" w:space="0" w:color="auto"/>
              <w:right w:val="single" w:sz="4" w:space="0" w:color="auto"/>
            </w:tcBorders>
            <w:shd w:val="clear" w:color="auto" w:fill="auto"/>
            <w:noWrap/>
            <w:vAlign w:val="center"/>
            <w:hideMark/>
          </w:tcPr>
          <w:p w14:paraId="663C5671"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395,000</w:t>
            </w:r>
          </w:p>
        </w:tc>
        <w:tc>
          <w:tcPr>
            <w:tcW w:w="1900" w:type="dxa"/>
            <w:tcBorders>
              <w:top w:val="nil"/>
              <w:left w:val="nil"/>
              <w:bottom w:val="single" w:sz="4" w:space="0" w:color="auto"/>
              <w:right w:val="single" w:sz="4" w:space="0" w:color="auto"/>
            </w:tcBorders>
            <w:shd w:val="clear" w:color="auto" w:fill="auto"/>
            <w:noWrap/>
            <w:vAlign w:val="center"/>
            <w:hideMark/>
          </w:tcPr>
          <w:p w14:paraId="33CD1760"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5E068E0C"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317,000</w:t>
            </w:r>
          </w:p>
        </w:tc>
        <w:tc>
          <w:tcPr>
            <w:tcW w:w="1900" w:type="dxa"/>
            <w:tcBorders>
              <w:top w:val="nil"/>
              <w:left w:val="nil"/>
              <w:bottom w:val="single" w:sz="4" w:space="0" w:color="auto"/>
              <w:right w:val="single" w:sz="4" w:space="0" w:color="auto"/>
            </w:tcBorders>
            <w:shd w:val="clear" w:color="auto" w:fill="auto"/>
            <w:noWrap/>
            <w:vAlign w:val="center"/>
            <w:hideMark/>
          </w:tcPr>
          <w:p w14:paraId="3C8449D6"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712,000</w:t>
            </w:r>
          </w:p>
        </w:tc>
      </w:tr>
      <w:tr w:rsidR="00393DDB" w:rsidRPr="007C0B10" w14:paraId="4101CA98"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935C004" w14:textId="77777777" w:rsidR="00393DDB" w:rsidRPr="007C0B10" w:rsidRDefault="00393DDB" w:rsidP="007C0B10">
            <w:pPr>
              <w:keepNext/>
              <w:spacing w:after="0" w:line="240" w:lineRule="auto"/>
              <w:jc w:val="center"/>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Celkem</w:t>
            </w:r>
          </w:p>
        </w:tc>
        <w:tc>
          <w:tcPr>
            <w:tcW w:w="1900" w:type="dxa"/>
            <w:tcBorders>
              <w:top w:val="nil"/>
              <w:left w:val="nil"/>
              <w:bottom w:val="single" w:sz="4" w:space="0" w:color="auto"/>
              <w:right w:val="single" w:sz="4" w:space="0" w:color="auto"/>
            </w:tcBorders>
            <w:shd w:val="clear" w:color="auto" w:fill="auto"/>
            <w:noWrap/>
            <w:vAlign w:val="center"/>
            <w:hideMark/>
          </w:tcPr>
          <w:p w14:paraId="2E144580"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928,000</w:t>
            </w:r>
          </w:p>
        </w:tc>
        <w:tc>
          <w:tcPr>
            <w:tcW w:w="1900" w:type="dxa"/>
            <w:tcBorders>
              <w:top w:val="nil"/>
              <w:left w:val="nil"/>
              <w:bottom w:val="single" w:sz="4" w:space="0" w:color="auto"/>
              <w:right w:val="single" w:sz="4" w:space="0" w:color="auto"/>
            </w:tcBorders>
            <w:shd w:val="clear" w:color="auto" w:fill="auto"/>
            <w:noWrap/>
            <w:vAlign w:val="center"/>
            <w:hideMark/>
          </w:tcPr>
          <w:p w14:paraId="5ABB167E"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2 925,000</w:t>
            </w:r>
          </w:p>
        </w:tc>
        <w:tc>
          <w:tcPr>
            <w:tcW w:w="1900" w:type="dxa"/>
            <w:tcBorders>
              <w:top w:val="nil"/>
              <w:left w:val="nil"/>
              <w:bottom w:val="single" w:sz="4" w:space="0" w:color="auto"/>
              <w:right w:val="single" w:sz="4" w:space="0" w:color="auto"/>
            </w:tcBorders>
            <w:shd w:val="clear" w:color="auto" w:fill="auto"/>
            <w:noWrap/>
            <w:vAlign w:val="center"/>
            <w:hideMark/>
          </w:tcPr>
          <w:p w14:paraId="565AB531"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803,000</w:t>
            </w:r>
          </w:p>
        </w:tc>
        <w:tc>
          <w:tcPr>
            <w:tcW w:w="1900" w:type="dxa"/>
            <w:tcBorders>
              <w:top w:val="nil"/>
              <w:left w:val="nil"/>
              <w:bottom w:val="single" w:sz="4" w:space="0" w:color="auto"/>
              <w:right w:val="single" w:sz="4" w:space="0" w:color="auto"/>
            </w:tcBorders>
            <w:shd w:val="clear" w:color="auto" w:fill="auto"/>
            <w:noWrap/>
            <w:vAlign w:val="center"/>
            <w:hideMark/>
          </w:tcPr>
          <w:p w14:paraId="70E5F556" w14:textId="77777777" w:rsidR="00393DDB" w:rsidRPr="007C0B10" w:rsidRDefault="00393DDB" w:rsidP="007C0B10">
            <w:pPr>
              <w:keepNext/>
              <w:spacing w:after="0" w:line="240" w:lineRule="auto"/>
              <w:ind w:right="349"/>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4 656,000</w:t>
            </w:r>
          </w:p>
        </w:tc>
      </w:tr>
    </w:tbl>
    <w:p w14:paraId="7CC607DA" w14:textId="20736B35" w:rsidR="00393DDB" w:rsidRPr="00393DDB" w:rsidRDefault="00393DDB" w:rsidP="007C0B10">
      <w:pPr>
        <w:keepNext/>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BF34F6">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54281FD8" w14:textId="77777777" w:rsidR="00C6393E" w:rsidRDefault="00C6393E" w:rsidP="00393DDB">
      <w:pPr>
        <w:spacing w:after="0" w:line="240" w:lineRule="auto"/>
        <w:jc w:val="both"/>
        <w:rPr>
          <w:rFonts w:eastAsia="Times New Roman" w:cs="Calibri"/>
          <w:sz w:val="24"/>
          <w:szCs w:val="24"/>
          <w:lang w:eastAsia="cs-CZ"/>
        </w:rPr>
      </w:pPr>
    </w:p>
    <w:p w14:paraId="225A7FCE" w14:textId="77777777" w:rsidR="00393DDB" w:rsidRPr="00054EE5" w:rsidRDefault="00393DDB" w:rsidP="00AC3F93">
      <w:pPr>
        <w:keepNext/>
        <w:tabs>
          <w:tab w:val="right" w:pos="9072"/>
        </w:tabs>
        <w:spacing w:after="0" w:line="240" w:lineRule="auto"/>
        <w:jc w:val="both"/>
        <w:rPr>
          <w:rFonts w:eastAsia="Times New Roman" w:cs="Calibri"/>
          <w:b/>
          <w:sz w:val="24"/>
          <w:szCs w:val="24"/>
          <w:lang w:eastAsia="cs-CZ"/>
        </w:rPr>
      </w:pPr>
      <w:r w:rsidRPr="00054EE5">
        <w:rPr>
          <w:rFonts w:eastAsia="Times New Roman" w:cs="Calibri"/>
          <w:b/>
          <w:sz w:val="24"/>
          <w:szCs w:val="24"/>
          <w:lang w:eastAsia="cs-CZ"/>
        </w:rPr>
        <w:t>Graf č. 8</w:t>
      </w:r>
      <w:r w:rsidR="00AC3F93">
        <w:rPr>
          <w:rFonts w:eastAsia="Times New Roman" w:cs="Calibri"/>
          <w:b/>
          <w:sz w:val="24"/>
          <w:szCs w:val="24"/>
          <w:lang w:eastAsia="cs-CZ"/>
        </w:rPr>
        <w:t xml:space="preserve"> – Přehled peněžních prostředků podle zdrojů – P</w:t>
      </w:r>
      <w:r w:rsidR="007225B6">
        <w:rPr>
          <w:rFonts w:eastAsia="Times New Roman" w:cs="Calibri"/>
          <w:b/>
          <w:sz w:val="24"/>
          <w:szCs w:val="24"/>
          <w:lang w:eastAsia="cs-CZ"/>
        </w:rPr>
        <w:t>lzeňs</w:t>
      </w:r>
      <w:r w:rsidR="00AC3F93">
        <w:rPr>
          <w:rFonts w:eastAsia="Times New Roman" w:cs="Calibri"/>
          <w:b/>
          <w:sz w:val="24"/>
          <w:szCs w:val="24"/>
          <w:lang w:eastAsia="cs-CZ"/>
        </w:rPr>
        <w:t>ký kraj</w:t>
      </w:r>
      <w:r w:rsidR="00AC3F93">
        <w:rPr>
          <w:rFonts w:eastAsia="Times New Roman" w:cs="Calibri"/>
          <w:b/>
          <w:sz w:val="24"/>
          <w:szCs w:val="24"/>
          <w:lang w:eastAsia="cs-CZ"/>
        </w:rPr>
        <w:tab/>
        <w:t>(v mil. Kč)</w:t>
      </w:r>
    </w:p>
    <w:p w14:paraId="04E5CF9E" w14:textId="77777777" w:rsidR="00393DDB" w:rsidRPr="00393DDB" w:rsidRDefault="00FC2838" w:rsidP="00032477">
      <w:pPr>
        <w:keepNext/>
        <w:spacing w:after="0" w:line="240" w:lineRule="auto"/>
        <w:jc w:val="center"/>
        <w:rPr>
          <w:rFonts w:eastAsia="Times New Roman" w:cs="Calibri"/>
          <w:sz w:val="24"/>
          <w:szCs w:val="24"/>
          <w:lang w:eastAsia="cs-CZ"/>
        </w:rPr>
      </w:pPr>
      <w:r w:rsidRPr="00AF5802">
        <w:rPr>
          <w:rFonts w:eastAsia="Times New Roman" w:cs="Times New Roman"/>
          <w:noProof/>
          <w:sz w:val="24"/>
          <w:szCs w:val="24"/>
          <w:lang w:eastAsia="cs-CZ"/>
        </w:rPr>
        <w:drawing>
          <wp:inline distT="0" distB="0" distL="0" distR="0" wp14:anchorId="71BB64DC" wp14:editId="3EA0AA33">
            <wp:extent cx="5621573" cy="2647315"/>
            <wp:effectExtent l="0" t="0" r="0" b="63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5A8256" w14:textId="77777777" w:rsidR="007C0B10" w:rsidRDefault="007C0B10" w:rsidP="00393DDB">
      <w:pPr>
        <w:spacing w:after="0" w:line="240" w:lineRule="auto"/>
        <w:jc w:val="both"/>
        <w:rPr>
          <w:rFonts w:eastAsia="Times New Roman" w:cs="Calibri"/>
          <w:sz w:val="24"/>
          <w:szCs w:val="24"/>
          <w:lang w:eastAsia="cs-CZ"/>
        </w:rPr>
      </w:pPr>
    </w:p>
    <w:p w14:paraId="4E47284F" w14:textId="2C00715C" w:rsidR="00393DDB" w:rsidRPr="00393DDB" w:rsidRDefault="00393DDB" w:rsidP="007C0B1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lastRenderedPageBreak/>
        <w:t xml:space="preserve">Z uvedených údajů vyplývá, že za období 2012 až 2016 vložil nejvíce peněžních prostředků do svých silnic Moravskoslezský kraj, </w:t>
      </w:r>
      <w:r w:rsidR="005C1A7D">
        <w:rPr>
          <w:rFonts w:eastAsia="Times New Roman" w:cs="Calibri"/>
          <w:sz w:val="24"/>
          <w:szCs w:val="24"/>
          <w:lang w:eastAsia="cs-CZ"/>
        </w:rPr>
        <w:t xml:space="preserve">a to </w:t>
      </w:r>
      <w:r w:rsidRPr="00393DDB">
        <w:rPr>
          <w:rFonts w:eastAsia="Times New Roman" w:cs="Calibri"/>
          <w:sz w:val="24"/>
          <w:szCs w:val="24"/>
          <w:lang w:eastAsia="cs-CZ"/>
        </w:rPr>
        <w:t xml:space="preserve">celkem 4,87 mld. Kč, z toho 1,24 mld. Kč </w:t>
      </w:r>
      <w:r w:rsidR="005C1A7D">
        <w:rPr>
          <w:rFonts w:eastAsia="Times New Roman" w:cs="Calibri"/>
          <w:sz w:val="24"/>
          <w:szCs w:val="24"/>
          <w:lang w:eastAsia="cs-CZ"/>
        </w:rPr>
        <w:t>(</w:t>
      </w:r>
      <w:r w:rsidRPr="00393DDB">
        <w:rPr>
          <w:rFonts w:eastAsia="Times New Roman" w:cs="Calibri"/>
          <w:sz w:val="24"/>
          <w:szCs w:val="24"/>
          <w:lang w:eastAsia="cs-CZ"/>
        </w:rPr>
        <w:t>tj. 25,5 %</w:t>
      </w:r>
      <w:r w:rsidR="005C1A7D">
        <w:rPr>
          <w:rFonts w:eastAsia="Times New Roman" w:cs="Calibri"/>
          <w:sz w:val="24"/>
          <w:szCs w:val="24"/>
          <w:lang w:eastAsia="cs-CZ"/>
        </w:rPr>
        <w:t>)</w:t>
      </w:r>
      <w:r w:rsidRPr="00393DDB">
        <w:rPr>
          <w:rFonts w:eastAsia="Times New Roman" w:cs="Calibri"/>
          <w:sz w:val="24"/>
          <w:szCs w:val="24"/>
          <w:lang w:eastAsia="cs-CZ"/>
        </w:rPr>
        <w:t xml:space="preserve"> </w:t>
      </w:r>
      <w:r w:rsidR="005C1A7D">
        <w:rPr>
          <w:rFonts w:eastAsia="Times New Roman" w:cs="Calibri"/>
          <w:sz w:val="24"/>
          <w:szCs w:val="24"/>
          <w:lang w:eastAsia="cs-CZ"/>
        </w:rPr>
        <w:t>pocházelo z</w:t>
      </w:r>
      <w:r w:rsidRPr="00393DDB">
        <w:rPr>
          <w:rFonts w:eastAsia="Times New Roman" w:cs="Calibri"/>
          <w:sz w:val="24"/>
          <w:szCs w:val="24"/>
          <w:lang w:eastAsia="cs-CZ"/>
        </w:rPr>
        <w:t xml:space="preserve"> peněžních prostředků kraje. Nejméně prostředků vložil za stejné období do svých silnic Liberecký kraj, </w:t>
      </w:r>
      <w:r w:rsidR="005C1A7D">
        <w:rPr>
          <w:rFonts w:eastAsia="Times New Roman" w:cs="Calibri"/>
          <w:sz w:val="24"/>
          <w:szCs w:val="24"/>
          <w:lang w:eastAsia="cs-CZ"/>
        </w:rPr>
        <w:t xml:space="preserve">a to </w:t>
      </w:r>
      <w:r w:rsidRPr="00393DDB">
        <w:rPr>
          <w:rFonts w:eastAsia="Times New Roman" w:cs="Calibri"/>
          <w:sz w:val="24"/>
          <w:szCs w:val="24"/>
          <w:lang w:eastAsia="cs-CZ"/>
        </w:rPr>
        <w:t xml:space="preserve">celkem 3,31 mld. Kč. Podíl </w:t>
      </w:r>
      <w:r w:rsidR="005C1A7D">
        <w:rPr>
          <w:rFonts w:eastAsia="Times New Roman" w:cs="Calibri"/>
          <w:sz w:val="24"/>
          <w:szCs w:val="24"/>
          <w:lang w:eastAsia="cs-CZ"/>
        </w:rPr>
        <w:t xml:space="preserve">vlastních </w:t>
      </w:r>
      <w:r w:rsidRPr="00393DDB">
        <w:rPr>
          <w:rFonts w:eastAsia="Times New Roman" w:cs="Calibri"/>
          <w:sz w:val="24"/>
          <w:szCs w:val="24"/>
          <w:lang w:eastAsia="cs-CZ"/>
        </w:rPr>
        <w:t>prostředků kraje ve výši 1,36</w:t>
      </w:r>
      <w:r w:rsidR="005C1A7D">
        <w:rPr>
          <w:rFonts w:eastAsia="Times New Roman" w:cs="Calibri"/>
          <w:sz w:val="24"/>
          <w:szCs w:val="24"/>
          <w:lang w:eastAsia="cs-CZ"/>
        </w:rPr>
        <w:t> </w:t>
      </w:r>
      <w:r w:rsidRPr="00393DDB">
        <w:rPr>
          <w:rFonts w:eastAsia="Times New Roman" w:cs="Calibri"/>
          <w:sz w:val="24"/>
          <w:szCs w:val="24"/>
          <w:lang w:eastAsia="cs-CZ"/>
        </w:rPr>
        <w:t>mld.</w:t>
      </w:r>
      <w:r w:rsidR="005C1A7D">
        <w:rPr>
          <w:rFonts w:eastAsia="Times New Roman" w:cs="Calibri"/>
          <w:sz w:val="24"/>
          <w:szCs w:val="24"/>
          <w:lang w:eastAsia="cs-CZ"/>
        </w:rPr>
        <w:t> </w:t>
      </w:r>
      <w:r w:rsidRPr="00393DDB">
        <w:rPr>
          <w:rFonts w:eastAsia="Times New Roman" w:cs="Calibri"/>
          <w:sz w:val="24"/>
          <w:szCs w:val="24"/>
          <w:lang w:eastAsia="cs-CZ"/>
        </w:rPr>
        <w:t>Kč tvořil v případě Libereckého kraje 41,1 %.</w:t>
      </w:r>
    </w:p>
    <w:p w14:paraId="1AE23D56" w14:textId="77777777" w:rsidR="005E4B02" w:rsidRDefault="005E4B02" w:rsidP="007C0B10">
      <w:pPr>
        <w:spacing w:after="0" w:line="240" w:lineRule="auto"/>
        <w:jc w:val="both"/>
        <w:rPr>
          <w:rFonts w:eastAsia="Times New Roman" w:cs="Calibri"/>
          <w:sz w:val="24"/>
          <w:szCs w:val="24"/>
          <w:lang w:eastAsia="cs-CZ"/>
        </w:rPr>
      </w:pPr>
    </w:p>
    <w:p w14:paraId="7457CF86" w14:textId="28099F54" w:rsidR="00393DDB" w:rsidRDefault="00393DDB" w:rsidP="007C0B1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Největší podíl vlastních prostředků vložil do silnic II. a III. třídy Pardubický kraj. V uvedeném období činil jeho podíl 60,2 %. Naproti tomu nejmenší podíl vlastních prostředků vynaložil v období 2012 až 2016 Plzeňský kraj, </w:t>
      </w:r>
      <w:r w:rsidR="005C1A7D">
        <w:rPr>
          <w:rFonts w:eastAsia="Times New Roman" w:cs="Calibri"/>
          <w:sz w:val="24"/>
          <w:szCs w:val="24"/>
          <w:lang w:eastAsia="cs-CZ"/>
        </w:rPr>
        <w:t xml:space="preserve">a to </w:t>
      </w:r>
      <w:r w:rsidRPr="00393DDB">
        <w:rPr>
          <w:rFonts w:eastAsia="Times New Roman" w:cs="Calibri"/>
          <w:sz w:val="24"/>
          <w:szCs w:val="24"/>
          <w:lang w:eastAsia="cs-CZ"/>
        </w:rPr>
        <w:t>19,9 %.</w:t>
      </w:r>
    </w:p>
    <w:p w14:paraId="67C14C3A" w14:textId="77777777" w:rsidR="00B64F63" w:rsidRDefault="00B64F63" w:rsidP="007C0B10">
      <w:pPr>
        <w:spacing w:after="0" w:line="240" w:lineRule="auto"/>
        <w:jc w:val="both"/>
        <w:rPr>
          <w:rFonts w:eastAsia="Times New Roman" w:cs="Calibri"/>
          <w:sz w:val="24"/>
          <w:szCs w:val="24"/>
          <w:lang w:eastAsia="cs-CZ"/>
        </w:rPr>
      </w:pPr>
    </w:p>
    <w:p w14:paraId="7D963358" w14:textId="77777777" w:rsidR="000C6DE3" w:rsidRDefault="000C6DE3" w:rsidP="007C0B10">
      <w:pPr>
        <w:spacing w:after="0" w:line="240" w:lineRule="auto"/>
        <w:rPr>
          <w:rFonts w:eastAsia="Times New Roman" w:cs="Calibri"/>
          <w:sz w:val="24"/>
          <w:szCs w:val="24"/>
          <w:lang w:eastAsia="cs-CZ"/>
        </w:rPr>
      </w:pPr>
      <w:r>
        <w:rPr>
          <w:rFonts w:eastAsia="Times New Roman" w:cs="Calibri"/>
          <w:sz w:val="24"/>
          <w:szCs w:val="24"/>
          <w:lang w:eastAsia="cs-CZ"/>
        </w:rPr>
        <w:br w:type="page"/>
      </w:r>
    </w:p>
    <w:p w14:paraId="063CB4DA" w14:textId="77777777" w:rsidR="00393DDB" w:rsidRDefault="00393DDB" w:rsidP="006826FA">
      <w:pPr>
        <w:spacing w:after="0" w:line="240" w:lineRule="auto"/>
        <w:jc w:val="right"/>
        <w:rPr>
          <w:rFonts w:eastAsia="Times New Roman" w:cs="Calibri"/>
          <w:b/>
          <w:sz w:val="24"/>
          <w:szCs w:val="24"/>
          <w:lang w:eastAsia="cs-CZ"/>
        </w:rPr>
      </w:pPr>
      <w:r w:rsidRPr="00393DDB">
        <w:rPr>
          <w:rFonts w:eastAsia="Times New Roman" w:cs="Calibri"/>
          <w:b/>
          <w:sz w:val="24"/>
          <w:szCs w:val="24"/>
          <w:lang w:eastAsia="cs-CZ"/>
        </w:rPr>
        <w:lastRenderedPageBreak/>
        <w:t>Příloha č. 1</w:t>
      </w:r>
    </w:p>
    <w:p w14:paraId="61F2C8AA" w14:textId="77777777" w:rsidR="003F714E" w:rsidRPr="00393DDB" w:rsidRDefault="003F714E" w:rsidP="006826FA">
      <w:pPr>
        <w:spacing w:after="0" w:line="240" w:lineRule="auto"/>
        <w:jc w:val="right"/>
        <w:rPr>
          <w:rFonts w:eastAsia="Times New Roman" w:cs="Calibri"/>
          <w:b/>
          <w:sz w:val="24"/>
          <w:szCs w:val="24"/>
          <w:lang w:eastAsia="cs-CZ"/>
        </w:rPr>
      </w:pPr>
    </w:p>
    <w:p w14:paraId="3A0907D0" w14:textId="5F0F5640" w:rsidR="00393DDB" w:rsidRPr="005E4B02" w:rsidRDefault="00393DDB" w:rsidP="005E4B02">
      <w:pPr>
        <w:spacing w:after="0" w:line="240" w:lineRule="auto"/>
        <w:jc w:val="both"/>
        <w:rPr>
          <w:rFonts w:eastAsia="Times New Roman" w:cs="Calibri"/>
          <w:b/>
          <w:sz w:val="24"/>
          <w:szCs w:val="32"/>
          <w:lang w:eastAsia="cs-CZ"/>
        </w:rPr>
      </w:pPr>
      <w:r w:rsidRPr="005E4B02">
        <w:rPr>
          <w:rFonts w:eastAsia="Times New Roman" w:cs="Calibri"/>
          <w:b/>
          <w:sz w:val="24"/>
          <w:szCs w:val="32"/>
          <w:lang w:eastAsia="cs-CZ"/>
        </w:rPr>
        <w:t>Porovnání s výsledky obdobně zaměřené kontroly provedené NKÚ SR v roce 2014</w:t>
      </w:r>
    </w:p>
    <w:p w14:paraId="077D792D" w14:textId="77777777" w:rsidR="005E4B02" w:rsidRDefault="005E4B02" w:rsidP="005E4B02">
      <w:pPr>
        <w:autoSpaceDE w:val="0"/>
        <w:autoSpaceDN w:val="0"/>
        <w:adjustRightInd w:val="0"/>
        <w:spacing w:after="0" w:line="240" w:lineRule="auto"/>
        <w:jc w:val="both"/>
        <w:rPr>
          <w:rFonts w:cs="Calibri"/>
          <w:color w:val="000000"/>
          <w:sz w:val="24"/>
          <w:szCs w:val="24"/>
        </w:rPr>
      </w:pPr>
    </w:p>
    <w:p w14:paraId="739E792E" w14:textId="36402E7B" w:rsidR="00393DDB" w:rsidRPr="00393DDB" w:rsidRDefault="00393DDB" w:rsidP="005E4B02">
      <w:pPr>
        <w:autoSpaceDE w:val="0"/>
        <w:autoSpaceDN w:val="0"/>
        <w:adjustRightInd w:val="0"/>
        <w:spacing w:after="0" w:line="240" w:lineRule="auto"/>
        <w:jc w:val="both"/>
        <w:rPr>
          <w:rFonts w:cs="Calibri"/>
          <w:color w:val="000000"/>
          <w:sz w:val="24"/>
          <w:szCs w:val="24"/>
        </w:rPr>
      </w:pPr>
      <w:r w:rsidRPr="00393DDB">
        <w:rPr>
          <w:rFonts w:cs="Calibri"/>
          <w:color w:val="000000"/>
          <w:sz w:val="24"/>
          <w:szCs w:val="24"/>
        </w:rPr>
        <w:t>Nejvyšší kontrolní úřad Slovenské republiky provedl v roce 2014 kontrolu zaměřenou na procesy spojené s údržbou, opravami a rozvojem sítí silnic II. a III. třídy, které spravují vyšší územn</w:t>
      </w:r>
      <w:r w:rsidR="007D788C">
        <w:rPr>
          <w:rFonts w:cs="Calibri"/>
          <w:color w:val="000000"/>
          <w:sz w:val="24"/>
          <w:szCs w:val="24"/>
        </w:rPr>
        <w:t>í samo</w:t>
      </w:r>
      <w:r w:rsidRPr="00393DDB">
        <w:rPr>
          <w:rFonts w:cs="Calibri"/>
          <w:color w:val="000000"/>
          <w:sz w:val="24"/>
          <w:szCs w:val="24"/>
        </w:rPr>
        <w:t>správn</w:t>
      </w:r>
      <w:r w:rsidR="007D788C">
        <w:rPr>
          <w:rFonts w:cs="Calibri"/>
          <w:color w:val="000000"/>
          <w:sz w:val="24"/>
          <w:szCs w:val="24"/>
        </w:rPr>
        <w:t>é</w:t>
      </w:r>
      <w:r w:rsidRPr="00393DDB">
        <w:rPr>
          <w:rFonts w:cs="Calibri"/>
          <w:color w:val="000000"/>
          <w:sz w:val="24"/>
          <w:szCs w:val="24"/>
        </w:rPr>
        <w:t xml:space="preserve"> celky</w:t>
      </w:r>
      <w:r w:rsidR="000854FB" w:rsidRPr="000854FB">
        <w:rPr>
          <w:rFonts w:cs="Calibri"/>
          <w:color w:val="000000"/>
          <w:sz w:val="24"/>
          <w:szCs w:val="24"/>
        </w:rPr>
        <w:t xml:space="preserve"> </w:t>
      </w:r>
      <w:r w:rsidR="000854FB">
        <w:rPr>
          <w:rFonts w:cs="Calibri"/>
          <w:color w:val="000000"/>
          <w:sz w:val="24"/>
          <w:szCs w:val="24"/>
        </w:rPr>
        <w:t>ve Slovenské republice (dále také „SR“)</w:t>
      </w:r>
      <w:r w:rsidRPr="00393DDB">
        <w:rPr>
          <w:rFonts w:cs="Calibri"/>
          <w:color w:val="000000"/>
          <w:sz w:val="24"/>
          <w:szCs w:val="24"/>
        </w:rPr>
        <w:t>. Kontrolovaným obdobím byly roky 2010 až 2012 s možným přesahem</w:t>
      </w:r>
      <w:r w:rsidR="00A9622B" w:rsidRPr="00A9622B">
        <w:rPr>
          <w:rFonts w:cs="Calibri"/>
          <w:color w:val="000000"/>
          <w:sz w:val="24"/>
          <w:szCs w:val="24"/>
        </w:rPr>
        <w:t xml:space="preserve"> </w:t>
      </w:r>
      <w:r w:rsidR="00A9622B">
        <w:rPr>
          <w:rFonts w:cs="Calibri"/>
          <w:color w:val="000000"/>
          <w:sz w:val="24"/>
          <w:szCs w:val="24"/>
        </w:rPr>
        <w:t>v případě souvislostí</w:t>
      </w:r>
      <w:r w:rsidRPr="00393DDB">
        <w:rPr>
          <w:rFonts w:cs="Calibri"/>
          <w:color w:val="000000"/>
          <w:sz w:val="24"/>
          <w:szCs w:val="24"/>
        </w:rPr>
        <w:t xml:space="preserve"> do předchozích nebo následujících období</w:t>
      </w:r>
      <w:r w:rsidR="00A9622B">
        <w:rPr>
          <w:rFonts w:cs="Calibri"/>
          <w:color w:val="000000"/>
          <w:sz w:val="24"/>
          <w:szCs w:val="24"/>
        </w:rPr>
        <w:t>.</w:t>
      </w:r>
      <w:r w:rsidRPr="00393DDB">
        <w:rPr>
          <w:rFonts w:cs="Calibri"/>
          <w:color w:val="000000"/>
          <w:sz w:val="24"/>
          <w:szCs w:val="24"/>
        </w:rPr>
        <w:t xml:space="preserve"> Kontrolovanými osobami byly všechny kraje a jimi zřízené organizace, které vykonávaly údržbu, opravy a rozvoj silnic II. a III. třídy. Z kontroly byla vypracována a</w:t>
      </w:r>
      <w:r w:rsidR="003F714E">
        <w:rPr>
          <w:rFonts w:cs="Calibri"/>
          <w:color w:val="000000"/>
          <w:sz w:val="24"/>
          <w:szCs w:val="24"/>
        </w:rPr>
        <w:t> </w:t>
      </w:r>
      <w:r w:rsidRPr="00393DDB">
        <w:rPr>
          <w:rFonts w:cs="Calibri"/>
          <w:color w:val="000000"/>
          <w:sz w:val="24"/>
          <w:szCs w:val="24"/>
        </w:rPr>
        <w:t>publikována souhrnná zpráva</w:t>
      </w:r>
      <w:r w:rsidR="007D788C">
        <w:rPr>
          <w:rFonts w:cs="Calibri"/>
          <w:color w:val="000000"/>
          <w:sz w:val="24"/>
          <w:szCs w:val="24"/>
        </w:rPr>
        <w:t xml:space="preserve"> s názvem</w:t>
      </w:r>
      <w:r w:rsidRPr="00393DDB">
        <w:rPr>
          <w:rFonts w:cs="Calibri"/>
          <w:color w:val="000000"/>
          <w:sz w:val="24"/>
          <w:szCs w:val="24"/>
        </w:rPr>
        <w:t xml:space="preserve"> </w:t>
      </w:r>
      <w:proofErr w:type="spellStart"/>
      <w:r w:rsidRPr="00393DDB">
        <w:rPr>
          <w:rFonts w:cs="Calibri"/>
          <w:i/>
          <w:color w:val="000000"/>
          <w:sz w:val="24"/>
          <w:szCs w:val="24"/>
        </w:rPr>
        <w:t>Súhrnná</w:t>
      </w:r>
      <w:proofErr w:type="spellEnd"/>
      <w:r w:rsidRPr="00393DDB">
        <w:rPr>
          <w:rFonts w:cs="Calibri"/>
          <w:i/>
          <w:color w:val="000000"/>
          <w:sz w:val="24"/>
          <w:szCs w:val="24"/>
        </w:rPr>
        <w:t xml:space="preserve"> správa o výsledku kontroly hospodárnosti, </w:t>
      </w:r>
      <w:proofErr w:type="spellStart"/>
      <w:r w:rsidRPr="00393DDB">
        <w:rPr>
          <w:rFonts w:cs="Calibri"/>
          <w:i/>
          <w:color w:val="000000"/>
          <w:sz w:val="24"/>
          <w:szCs w:val="24"/>
        </w:rPr>
        <w:t>efektívnosti</w:t>
      </w:r>
      <w:proofErr w:type="spellEnd"/>
      <w:r w:rsidRPr="00393DDB">
        <w:rPr>
          <w:rFonts w:cs="Calibri"/>
          <w:i/>
          <w:color w:val="000000"/>
          <w:sz w:val="24"/>
          <w:szCs w:val="24"/>
        </w:rPr>
        <w:t xml:space="preserve"> a účinnosti vynaložených </w:t>
      </w:r>
      <w:proofErr w:type="spellStart"/>
      <w:r w:rsidRPr="00393DDB">
        <w:rPr>
          <w:rFonts w:cs="Calibri"/>
          <w:i/>
          <w:color w:val="000000"/>
          <w:sz w:val="24"/>
          <w:szCs w:val="24"/>
        </w:rPr>
        <w:t>prostriedkov</w:t>
      </w:r>
      <w:proofErr w:type="spellEnd"/>
      <w:r w:rsidRPr="00393DDB">
        <w:rPr>
          <w:rFonts w:cs="Calibri"/>
          <w:i/>
          <w:color w:val="000000"/>
          <w:sz w:val="24"/>
          <w:szCs w:val="24"/>
        </w:rPr>
        <w:t xml:space="preserve"> na výstavbu, opravu a údržbu </w:t>
      </w:r>
      <w:proofErr w:type="spellStart"/>
      <w:r w:rsidRPr="00393DDB">
        <w:rPr>
          <w:rFonts w:cs="Calibri"/>
          <w:i/>
          <w:color w:val="000000"/>
          <w:sz w:val="24"/>
          <w:szCs w:val="24"/>
        </w:rPr>
        <w:t>pozemných</w:t>
      </w:r>
      <w:proofErr w:type="spellEnd"/>
      <w:r w:rsidRPr="00393DDB">
        <w:rPr>
          <w:rFonts w:cs="Calibri"/>
          <w:i/>
          <w:color w:val="000000"/>
          <w:sz w:val="24"/>
          <w:szCs w:val="24"/>
        </w:rPr>
        <w:t xml:space="preserve"> </w:t>
      </w:r>
      <w:proofErr w:type="spellStart"/>
      <w:r w:rsidRPr="00393DDB">
        <w:rPr>
          <w:rFonts w:cs="Calibri"/>
          <w:i/>
          <w:color w:val="000000"/>
          <w:sz w:val="24"/>
          <w:szCs w:val="24"/>
        </w:rPr>
        <w:t>komunikácií</w:t>
      </w:r>
      <w:proofErr w:type="spellEnd"/>
      <w:r w:rsidRPr="00393DDB">
        <w:rPr>
          <w:rFonts w:cs="Calibri"/>
          <w:i/>
          <w:color w:val="000000"/>
          <w:sz w:val="24"/>
          <w:szCs w:val="24"/>
        </w:rPr>
        <w:t xml:space="preserve"> v </w:t>
      </w:r>
      <w:proofErr w:type="spellStart"/>
      <w:r w:rsidRPr="00393DDB">
        <w:rPr>
          <w:rFonts w:cs="Calibri"/>
          <w:i/>
          <w:color w:val="000000"/>
          <w:sz w:val="24"/>
          <w:szCs w:val="24"/>
        </w:rPr>
        <w:t>správe</w:t>
      </w:r>
      <w:proofErr w:type="spellEnd"/>
      <w:r w:rsidRPr="00393DDB">
        <w:rPr>
          <w:rFonts w:cs="Calibri"/>
          <w:i/>
          <w:color w:val="000000"/>
          <w:sz w:val="24"/>
          <w:szCs w:val="24"/>
        </w:rPr>
        <w:t xml:space="preserve"> VÚC a úlohy z toho </w:t>
      </w:r>
      <w:proofErr w:type="spellStart"/>
      <w:r w:rsidRPr="00393DDB">
        <w:rPr>
          <w:rFonts w:cs="Calibri"/>
          <w:i/>
          <w:color w:val="000000"/>
          <w:sz w:val="24"/>
          <w:szCs w:val="24"/>
        </w:rPr>
        <w:t>vyplývajúce</w:t>
      </w:r>
      <w:proofErr w:type="spellEnd"/>
      <w:r w:rsidRPr="00393DDB">
        <w:rPr>
          <w:rFonts w:cs="Calibri"/>
          <w:i/>
          <w:color w:val="000000"/>
          <w:sz w:val="24"/>
          <w:szCs w:val="24"/>
        </w:rPr>
        <w:t xml:space="preserve"> </w:t>
      </w:r>
      <w:proofErr w:type="spellStart"/>
      <w:r w:rsidRPr="00393DDB">
        <w:rPr>
          <w:rFonts w:cs="Calibri"/>
          <w:i/>
          <w:color w:val="000000"/>
          <w:sz w:val="24"/>
          <w:szCs w:val="24"/>
        </w:rPr>
        <w:t>pre</w:t>
      </w:r>
      <w:proofErr w:type="spellEnd"/>
      <w:r w:rsidRPr="00393DDB">
        <w:rPr>
          <w:rFonts w:cs="Calibri"/>
          <w:i/>
          <w:color w:val="000000"/>
          <w:sz w:val="24"/>
          <w:szCs w:val="24"/>
        </w:rPr>
        <w:t xml:space="preserve"> VÚC</w:t>
      </w:r>
      <w:r w:rsidRPr="00054EE5">
        <w:rPr>
          <w:rFonts w:cs="Calibri"/>
          <w:color w:val="000000"/>
          <w:sz w:val="24"/>
          <w:szCs w:val="24"/>
        </w:rPr>
        <w:t>,</w:t>
      </w:r>
      <w:r w:rsidRPr="00393DDB">
        <w:rPr>
          <w:rFonts w:cs="Calibri"/>
          <w:i/>
          <w:color w:val="000000"/>
          <w:sz w:val="24"/>
          <w:szCs w:val="24"/>
        </w:rPr>
        <w:t xml:space="preserve"> </w:t>
      </w:r>
      <w:r w:rsidRPr="00393DDB">
        <w:rPr>
          <w:rFonts w:cs="Calibri"/>
          <w:color w:val="000000"/>
          <w:sz w:val="24"/>
          <w:szCs w:val="24"/>
        </w:rPr>
        <w:t>z jejíchž údajů srovnání vychází.</w:t>
      </w:r>
    </w:p>
    <w:p w14:paraId="219BBEA4" w14:textId="77777777" w:rsidR="006826FA" w:rsidRDefault="006826FA" w:rsidP="005E4B02">
      <w:pPr>
        <w:autoSpaceDE w:val="0"/>
        <w:autoSpaceDN w:val="0"/>
        <w:adjustRightInd w:val="0"/>
        <w:spacing w:after="0" w:line="240" w:lineRule="auto"/>
        <w:jc w:val="both"/>
        <w:rPr>
          <w:rFonts w:cs="Calibri"/>
          <w:color w:val="000000"/>
          <w:sz w:val="24"/>
          <w:szCs w:val="24"/>
          <w:u w:val="single"/>
        </w:rPr>
      </w:pPr>
    </w:p>
    <w:p w14:paraId="6EED66D4" w14:textId="77777777" w:rsidR="00393DDB" w:rsidRPr="00677716" w:rsidRDefault="00393DDB" w:rsidP="005E4B02">
      <w:pPr>
        <w:autoSpaceDE w:val="0"/>
        <w:autoSpaceDN w:val="0"/>
        <w:adjustRightInd w:val="0"/>
        <w:spacing w:after="0" w:line="240" w:lineRule="auto"/>
        <w:jc w:val="both"/>
        <w:rPr>
          <w:rFonts w:cs="Times New Roman"/>
          <w:b/>
          <w:color w:val="000000"/>
          <w:sz w:val="24"/>
          <w:szCs w:val="24"/>
        </w:rPr>
      </w:pPr>
      <w:r w:rsidRPr="00677716">
        <w:rPr>
          <w:rFonts w:cs="Calibri"/>
          <w:b/>
          <w:color w:val="000000"/>
          <w:sz w:val="24"/>
          <w:szCs w:val="24"/>
        </w:rPr>
        <w:t>1. Oblast výdajů a nákladů na silnice II. a III. třídy</w:t>
      </w:r>
    </w:p>
    <w:p w14:paraId="248EB746" w14:textId="77777777" w:rsidR="005E4B02" w:rsidRDefault="005E4B02" w:rsidP="005E4B02">
      <w:pPr>
        <w:spacing w:after="0" w:line="240" w:lineRule="auto"/>
        <w:jc w:val="both"/>
        <w:rPr>
          <w:rFonts w:eastAsia="Times New Roman" w:cs="Calibri"/>
          <w:sz w:val="24"/>
          <w:szCs w:val="24"/>
          <w:lang w:eastAsia="cs-CZ"/>
        </w:rPr>
      </w:pPr>
    </w:p>
    <w:p w14:paraId="1219AD68" w14:textId="4F2CA693" w:rsidR="008379DC" w:rsidRDefault="00393DDB" w:rsidP="005E4B02">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Hlavním srovnávacím kritériem byly náklady na opravy a rekonstrukce 1 km silnic krajů, které podle </w:t>
      </w:r>
      <w:r w:rsidR="008379DC">
        <w:rPr>
          <w:rFonts w:eastAsia="Times New Roman" w:cs="Calibri"/>
          <w:sz w:val="24"/>
          <w:szCs w:val="24"/>
          <w:lang w:eastAsia="cs-CZ"/>
        </w:rPr>
        <w:t>s</w:t>
      </w:r>
      <w:r w:rsidRPr="00393DDB">
        <w:rPr>
          <w:rFonts w:eastAsia="Times New Roman" w:cs="Calibri"/>
          <w:sz w:val="24"/>
          <w:szCs w:val="24"/>
          <w:lang w:eastAsia="cs-CZ"/>
        </w:rPr>
        <w:t xml:space="preserve">ouhrnné zprávy dosahovaly u slovenských krajů hodnot přibližně od 70 000 </w:t>
      </w:r>
      <w:r w:rsidR="007D788C">
        <w:rPr>
          <w:rFonts w:eastAsia="Times New Roman" w:cs="Calibri"/>
          <w:sz w:val="24"/>
          <w:szCs w:val="24"/>
          <w:lang w:eastAsia="cs-CZ"/>
        </w:rPr>
        <w:t>eur</w:t>
      </w:r>
      <w:r w:rsidRPr="00393DDB">
        <w:rPr>
          <w:rFonts w:eastAsia="Times New Roman" w:cs="Calibri"/>
          <w:sz w:val="24"/>
          <w:szCs w:val="24"/>
          <w:lang w:eastAsia="cs-CZ"/>
        </w:rPr>
        <w:t xml:space="preserve"> do 230 000 </w:t>
      </w:r>
      <w:r w:rsidR="007D788C">
        <w:rPr>
          <w:rFonts w:eastAsia="Times New Roman" w:cs="Calibri"/>
          <w:sz w:val="24"/>
          <w:szCs w:val="24"/>
          <w:lang w:eastAsia="cs-CZ"/>
        </w:rPr>
        <w:t>eur</w:t>
      </w:r>
      <w:r w:rsidR="008379DC">
        <w:rPr>
          <w:rFonts w:eastAsia="Times New Roman" w:cs="Calibri"/>
          <w:sz w:val="24"/>
          <w:szCs w:val="24"/>
          <w:lang w:eastAsia="cs-CZ"/>
        </w:rPr>
        <w:t>, jak je vidět z grafu č. 9</w:t>
      </w:r>
      <w:r w:rsidRPr="00393DDB">
        <w:rPr>
          <w:rFonts w:eastAsia="Times New Roman" w:cs="Calibri"/>
          <w:sz w:val="24"/>
          <w:szCs w:val="24"/>
          <w:lang w:eastAsia="cs-CZ"/>
        </w:rPr>
        <w:t xml:space="preserve">. Při kursu 25 Kč/1 </w:t>
      </w:r>
      <w:r w:rsidR="007D788C">
        <w:rPr>
          <w:rFonts w:eastAsia="Times New Roman" w:cs="Calibri"/>
          <w:sz w:val="24"/>
          <w:szCs w:val="24"/>
          <w:lang w:eastAsia="cs-CZ"/>
        </w:rPr>
        <w:t>€</w:t>
      </w:r>
      <w:r w:rsidRPr="00393DDB">
        <w:rPr>
          <w:rFonts w:eastAsia="Times New Roman" w:cs="Calibri"/>
          <w:sz w:val="24"/>
          <w:szCs w:val="24"/>
          <w:lang w:eastAsia="cs-CZ"/>
        </w:rPr>
        <w:t xml:space="preserve"> vychází tyto ceny v korunovém vyjádření mezi hodnotami 1 750 000 Kč a 5 750 000 Kč. </w:t>
      </w:r>
    </w:p>
    <w:p w14:paraId="7E1E325D" w14:textId="77777777" w:rsidR="008379DC" w:rsidRDefault="008379DC" w:rsidP="005E4B02">
      <w:pPr>
        <w:spacing w:after="0" w:line="240" w:lineRule="auto"/>
        <w:jc w:val="both"/>
        <w:rPr>
          <w:rFonts w:eastAsia="Times New Roman" w:cs="Calibri"/>
          <w:sz w:val="24"/>
          <w:szCs w:val="24"/>
          <w:lang w:eastAsia="cs-CZ"/>
        </w:rPr>
      </w:pPr>
    </w:p>
    <w:p w14:paraId="677F13D7" w14:textId="6F97744B" w:rsidR="008379DC" w:rsidRPr="00054EE5" w:rsidRDefault="008379DC" w:rsidP="00032477">
      <w:pPr>
        <w:tabs>
          <w:tab w:val="left" w:pos="1134"/>
          <w:tab w:val="right" w:pos="9072"/>
        </w:tabs>
        <w:spacing w:after="120" w:line="240" w:lineRule="auto"/>
        <w:jc w:val="both"/>
        <w:rPr>
          <w:rFonts w:eastAsia="Times New Roman" w:cs="Calibri"/>
          <w:b/>
          <w:sz w:val="24"/>
          <w:szCs w:val="24"/>
          <w:lang w:eastAsia="cs-CZ"/>
        </w:rPr>
      </w:pPr>
      <w:r w:rsidRPr="00054EE5">
        <w:rPr>
          <w:rFonts w:eastAsia="Times New Roman" w:cs="Calibri"/>
          <w:b/>
          <w:sz w:val="24"/>
          <w:szCs w:val="24"/>
          <w:lang w:eastAsia="cs-CZ"/>
        </w:rPr>
        <w:t>Graf č. 9</w:t>
      </w:r>
      <w:r w:rsidR="00032477">
        <w:rPr>
          <w:rFonts w:eastAsia="Times New Roman" w:cs="Calibri"/>
          <w:b/>
          <w:sz w:val="24"/>
          <w:szCs w:val="24"/>
          <w:lang w:eastAsia="cs-CZ"/>
        </w:rPr>
        <w:t xml:space="preserve"> –</w:t>
      </w:r>
      <w:r w:rsidR="00032477">
        <w:rPr>
          <w:rFonts w:eastAsia="Times New Roman" w:cs="Calibri"/>
          <w:b/>
          <w:sz w:val="24"/>
          <w:szCs w:val="24"/>
          <w:lang w:eastAsia="cs-CZ"/>
        </w:rPr>
        <w:tab/>
        <w:t xml:space="preserve">Průměrné náklady na rekonstrukci 1 km </w:t>
      </w:r>
      <w:r w:rsidR="00054EE5">
        <w:rPr>
          <w:rFonts w:eastAsia="Times New Roman" w:cs="Calibri"/>
          <w:b/>
          <w:sz w:val="24"/>
          <w:szCs w:val="24"/>
          <w:lang w:eastAsia="cs-CZ"/>
        </w:rPr>
        <w:t xml:space="preserve">silnic </w:t>
      </w:r>
      <w:r w:rsidR="00032477">
        <w:rPr>
          <w:rFonts w:eastAsia="Times New Roman" w:cs="Calibri"/>
          <w:b/>
          <w:sz w:val="24"/>
          <w:szCs w:val="24"/>
          <w:lang w:eastAsia="cs-CZ"/>
        </w:rPr>
        <w:t>II. a III. tříd – Slovensko</w:t>
      </w:r>
      <w:r w:rsidR="00032477">
        <w:rPr>
          <w:rFonts w:eastAsia="Times New Roman" w:cs="Calibri"/>
          <w:b/>
          <w:sz w:val="24"/>
          <w:szCs w:val="24"/>
          <w:lang w:eastAsia="cs-CZ"/>
        </w:rPr>
        <w:tab/>
      </w:r>
    </w:p>
    <w:p w14:paraId="11291B44" w14:textId="77777777" w:rsidR="008379DC" w:rsidRDefault="008379DC" w:rsidP="00393DDB">
      <w:pPr>
        <w:spacing w:after="120" w:line="240" w:lineRule="auto"/>
        <w:jc w:val="both"/>
        <w:rPr>
          <w:rFonts w:eastAsia="Times New Roman" w:cs="Calibri"/>
          <w:sz w:val="24"/>
          <w:szCs w:val="24"/>
          <w:lang w:eastAsia="cs-CZ"/>
        </w:rPr>
      </w:pPr>
      <w:r>
        <w:rPr>
          <w:noProof/>
          <w:lang w:eastAsia="cs-CZ"/>
        </w:rPr>
        <w:drawing>
          <wp:inline distT="0" distB="0" distL="0" distR="0" wp14:anchorId="0B5CBDE6" wp14:editId="7FEDE2F0">
            <wp:extent cx="5760720" cy="29432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5760720" cy="2943225"/>
                    </a:xfrm>
                    <a:prstGeom prst="rect">
                      <a:avLst/>
                    </a:prstGeom>
                    <a:ln>
                      <a:noFill/>
                    </a:ln>
                    <a:effectLst>
                      <a:softEdge rad="112500"/>
                    </a:effectLst>
                  </pic:spPr>
                </pic:pic>
              </a:graphicData>
            </a:graphic>
          </wp:inline>
        </w:drawing>
      </w:r>
    </w:p>
    <w:p w14:paraId="7107B25A" w14:textId="3D474176" w:rsidR="008379DC" w:rsidRPr="002E05ED" w:rsidRDefault="008379DC" w:rsidP="005E4B02">
      <w:pPr>
        <w:spacing w:after="0" w:line="240" w:lineRule="auto"/>
        <w:ind w:left="567" w:hanging="567"/>
        <w:jc w:val="both"/>
        <w:rPr>
          <w:rFonts w:ascii="Calibri" w:hAnsi="Calibri" w:cs="Calibri"/>
          <w:color w:val="000000"/>
          <w:sz w:val="20"/>
          <w:szCs w:val="20"/>
        </w:rPr>
      </w:pPr>
      <w:r w:rsidRPr="007C0B10">
        <w:rPr>
          <w:rFonts w:ascii="Calibri" w:hAnsi="Calibri" w:cs="Calibri"/>
          <w:b/>
          <w:color w:val="000000"/>
          <w:sz w:val="20"/>
          <w:szCs w:val="20"/>
        </w:rPr>
        <w:t xml:space="preserve">Zdroj: </w:t>
      </w:r>
      <w:r w:rsidR="005E4B02">
        <w:rPr>
          <w:rFonts w:ascii="Calibri" w:hAnsi="Calibri" w:cs="Calibri"/>
          <w:color w:val="000000"/>
          <w:sz w:val="20"/>
          <w:szCs w:val="20"/>
        </w:rPr>
        <w:tab/>
      </w:r>
      <w:proofErr w:type="spellStart"/>
      <w:r w:rsidRPr="00054EE5">
        <w:rPr>
          <w:rFonts w:ascii="Calibri" w:hAnsi="Calibri" w:cs="Calibri"/>
          <w:i/>
          <w:color w:val="000000"/>
          <w:sz w:val="20"/>
          <w:szCs w:val="20"/>
        </w:rPr>
        <w:t>Súhrnná</w:t>
      </w:r>
      <w:proofErr w:type="spellEnd"/>
      <w:r w:rsidRPr="00054EE5">
        <w:rPr>
          <w:rFonts w:ascii="Calibri" w:hAnsi="Calibri" w:cs="Calibri"/>
          <w:i/>
          <w:color w:val="000000"/>
          <w:sz w:val="20"/>
          <w:szCs w:val="20"/>
        </w:rPr>
        <w:t xml:space="preserve"> správa o výsledku kontroly hospodárnosti, </w:t>
      </w:r>
      <w:proofErr w:type="spellStart"/>
      <w:r w:rsidRPr="00054EE5">
        <w:rPr>
          <w:rFonts w:ascii="Calibri" w:hAnsi="Calibri" w:cs="Calibri"/>
          <w:i/>
          <w:color w:val="000000"/>
          <w:sz w:val="20"/>
          <w:szCs w:val="20"/>
        </w:rPr>
        <w:t>efektívnosti</w:t>
      </w:r>
      <w:proofErr w:type="spellEnd"/>
      <w:r w:rsidRPr="00054EE5">
        <w:rPr>
          <w:rFonts w:ascii="Calibri" w:hAnsi="Calibri" w:cs="Calibri"/>
          <w:i/>
          <w:color w:val="000000"/>
          <w:sz w:val="20"/>
          <w:szCs w:val="20"/>
        </w:rPr>
        <w:t xml:space="preserve"> a účinnosti vynaložených </w:t>
      </w:r>
      <w:proofErr w:type="spellStart"/>
      <w:r w:rsidRPr="00054EE5">
        <w:rPr>
          <w:rFonts w:ascii="Calibri" w:hAnsi="Calibri" w:cs="Calibri"/>
          <w:i/>
          <w:color w:val="000000"/>
          <w:sz w:val="20"/>
          <w:szCs w:val="20"/>
        </w:rPr>
        <w:t>prostriedkov</w:t>
      </w:r>
      <w:proofErr w:type="spellEnd"/>
      <w:r w:rsidRPr="00054EE5">
        <w:rPr>
          <w:rFonts w:ascii="Calibri" w:hAnsi="Calibri" w:cs="Calibri"/>
          <w:i/>
          <w:color w:val="000000"/>
          <w:sz w:val="20"/>
          <w:szCs w:val="20"/>
        </w:rPr>
        <w:t xml:space="preserve"> na výstavbu, opravu a údržbu </w:t>
      </w:r>
      <w:proofErr w:type="spellStart"/>
      <w:r w:rsidRPr="00054EE5">
        <w:rPr>
          <w:rFonts w:ascii="Calibri" w:hAnsi="Calibri" w:cs="Calibri"/>
          <w:i/>
          <w:color w:val="000000"/>
          <w:sz w:val="20"/>
          <w:szCs w:val="20"/>
        </w:rPr>
        <w:t>pozemných</w:t>
      </w:r>
      <w:proofErr w:type="spellEnd"/>
      <w:r w:rsidRPr="00054EE5">
        <w:rPr>
          <w:rFonts w:ascii="Calibri" w:hAnsi="Calibri" w:cs="Calibri"/>
          <w:i/>
          <w:color w:val="000000"/>
          <w:sz w:val="20"/>
          <w:szCs w:val="20"/>
        </w:rPr>
        <w:t xml:space="preserve"> </w:t>
      </w:r>
      <w:proofErr w:type="spellStart"/>
      <w:r w:rsidRPr="00054EE5">
        <w:rPr>
          <w:rFonts w:ascii="Calibri" w:hAnsi="Calibri" w:cs="Calibri"/>
          <w:i/>
          <w:color w:val="000000"/>
          <w:sz w:val="20"/>
          <w:szCs w:val="20"/>
        </w:rPr>
        <w:t>komunikácií</w:t>
      </w:r>
      <w:proofErr w:type="spellEnd"/>
      <w:r w:rsidRPr="00054EE5">
        <w:rPr>
          <w:rFonts w:ascii="Calibri" w:hAnsi="Calibri" w:cs="Calibri"/>
          <w:i/>
          <w:color w:val="000000"/>
          <w:sz w:val="20"/>
          <w:szCs w:val="20"/>
        </w:rPr>
        <w:t xml:space="preserve"> v </w:t>
      </w:r>
      <w:proofErr w:type="spellStart"/>
      <w:r w:rsidRPr="00054EE5">
        <w:rPr>
          <w:rFonts w:ascii="Calibri" w:hAnsi="Calibri" w:cs="Calibri"/>
          <w:i/>
          <w:color w:val="000000"/>
          <w:sz w:val="20"/>
          <w:szCs w:val="20"/>
        </w:rPr>
        <w:t>správe</w:t>
      </w:r>
      <w:proofErr w:type="spellEnd"/>
      <w:r w:rsidRPr="00054EE5">
        <w:rPr>
          <w:rFonts w:ascii="Calibri" w:hAnsi="Calibri" w:cs="Calibri"/>
          <w:i/>
          <w:color w:val="000000"/>
          <w:sz w:val="20"/>
          <w:szCs w:val="20"/>
        </w:rPr>
        <w:t xml:space="preserve"> VÚC a úlohy z toho </w:t>
      </w:r>
      <w:proofErr w:type="spellStart"/>
      <w:r w:rsidRPr="00054EE5">
        <w:rPr>
          <w:rFonts w:ascii="Calibri" w:hAnsi="Calibri" w:cs="Calibri"/>
          <w:i/>
          <w:color w:val="000000"/>
          <w:sz w:val="20"/>
          <w:szCs w:val="20"/>
        </w:rPr>
        <w:t>vyplývajúce</w:t>
      </w:r>
      <w:proofErr w:type="spellEnd"/>
      <w:r w:rsidRPr="00054EE5">
        <w:rPr>
          <w:rFonts w:ascii="Calibri" w:hAnsi="Calibri" w:cs="Calibri"/>
          <w:i/>
          <w:color w:val="000000"/>
          <w:sz w:val="20"/>
          <w:szCs w:val="20"/>
        </w:rPr>
        <w:t xml:space="preserve"> </w:t>
      </w:r>
      <w:proofErr w:type="spellStart"/>
      <w:r w:rsidRPr="00054EE5">
        <w:rPr>
          <w:rFonts w:ascii="Calibri" w:hAnsi="Calibri" w:cs="Calibri"/>
          <w:i/>
          <w:color w:val="000000"/>
          <w:sz w:val="20"/>
          <w:szCs w:val="20"/>
        </w:rPr>
        <w:t>pre</w:t>
      </w:r>
      <w:proofErr w:type="spellEnd"/>
      <w:r w:rsidRPr="00054EE5">
        <w:rPr>
          <w:rFonts w:ascii="Calibri" w:hAnsi="Calibri" w:cs="Calibri"/>
          <w:i/>
          <w:color w:val="000000"/>
          <w:sz w:val="20"/>
          <w:szCs w:val="20"/>
        </w:rPr>
        <w:t xml:space="preserve"> VÚC</w:t>
      </w:r>
      <w:r w:rsidR="002E05ED">
        <w:rPr>
          <w:rFonts w:ascii="Calibri" w:hAnsi="Calibri" w:cs="Calibri"/>
          <w:color w:val="000000"/>
          <w:sz w:val="20"/>
          <w:szCs w:val="20"/>
        </w:rPr>
        <w:t xml:space="preserve">, </w:t>
      </w:r>
      <w:r w:rsidR="002E05ED">
        <w:rPr>
          <w:rFonts w:cs="Calibri"/>
          <w:color w:val="000000"/>
          <w:sz w:val="20"/>
          <w:szCs w:val="16"/>
        </w:rPr>
        <w:t>NKÚ Slovenské republiky 2014.</w:t>
      </w:r>
    </w:p>
    <w:p w14:paraId="4F521ECE" w14:textId="4C90E1B6" w:rsidR="008379DC" w:rsidRPr="005E4B02" w:rsidRDefault="002E05ED" w:rsidP="008379DC">
      <w:pPr>
        <w:spacing w:after="0" w:line="240" w:lineRule="auto"/>
        <w:jc w:val="both"/>
        <w:rPr>
          <w:rFonts w:ascii="Calibri" w:hAnsi="Calibri" w:cs="Calibri"/>
          <w:color w:val="000000"/>
          <w:sz w:val="20"/>
          <w:szCs w:val="20"/>
        </w:rPr>
      </w:pPr>
      <w:r>
        <w:rPr>
          <w:rFonts w:ascii="Calibri" w:hAnsi="Calibri" w:cs="Calibri"/>
          <w:color w:val="000000"/>
          <w:sz w:val="20"/>
          <w:szCs w:val="20"/>
        </w:rPr>
        <w:t>Vysvětlivky:</w:t>
      </w:r>
    </w:p>
    <w:p w14:paraId="1C74A545" w14:textId="1FACF782" w:rsidR="008379DC" w:rsidRPr="005E4B02" w:rsidRDefault="008379DC" w:rsidP="008379DC">
      <w:pPr>
        <w:spacing w:after="0" w:line="240" w:lineRule="auto"/>
        <w:jc w:val="both"/>
        <w:rPr>
          <w:rFonts w:ascii="Calibri" w:eastAsia="Times New Roman" w:hAnsi="Calibri" w:cs="Calibri"/>
          <w:sz w:val="20"/>
          <w:szCs w:val="20"/>
          <w:lang w:eastAsia="cs-CZ"/>
        </w:rPr>
      </w:pPr>
      <w:r w:rsidRPr="005E4B02">
        <w:rPr>
          <w:rFonts w:ascii="Calibri" w:hAnsi="Calibri" w:cs="Calibri"/>
          <w:color w:val="000000"/>
          <w:sz w:val="20"/>
          <w:szCs w:val="20"/>
        </w:rPr>
        <w:t xml:space="preserve">BSK – Bratislavský samosprávný kraj, TTSK – Trnavský samosprávný kraj, TSK – Trenčianský samosprávný kraj, NSK – </w:t>
      </w:r>
      <w:proofErr w:type="spellStart"/>
      <w:r w:rsidRPr="005E4B02">
        <w:rPr>
          <w:rFonts w:ascii="Calibri" w:hAnsi="Calibri" w:cs="Calibri"/>
          <w:color w:val="000000"/>
          <w:sz w:val="20"/>
          <w:szCs w:val="20"/>
        </w:rPr>
        <w:t>Nitrianský</w:t>
      </w:r>
      <w:proofErr w:type="spellEnd"/>
      <w:r w:rsidRPr="005E4B02">
        <w:rPr>
          <w:rFonts w:ascii="Calibri" w:hAnsi="Calibri" w:cs="Calibri"/>
          <w:color w:val="000000"/>
          <w:sz w:val="20"/>
          <w:szCs w:val="20"/>
        </w:rPr>
        <w:t xml:space="preserve"> samosprávný kraj, ŽSK – Žilinský samosprávný kraj, BBSK – Banskobystrický samosprávný kraj, KSK – Košický samosprávný kraj, PSK – Prešovský samosprávný kraj</w:t>
      </w:r>
      <w:r w:rsidR="002E05ED">
        <w:rPr>
          <w:rFonts w:ascii="Calibri" w:hAnsi="Calibri" w:cs="Calibri"/>
          <w:color w:val="000000"/>
          <w:sz w:val="20"/>
          <w:szCs w:val="20"/>
        </w:rPr>
        <w:t>.</w:t>
      </w:r>
    </w:p>
    <w:p w14:paraId="41F51924" w14:textId="77777777" w:rsidR="008379DC" w:rsidRPr="005E4B02" w:rsidRDefault="008379DC" w:rsidP="005D6760">
      <w:pPr>
        <w:spacing w:after="0" w:line="240" w:lineRule="auto"/>
        <w:jc w:val="both"/>
        <w:rPr>
          <w:rFonts w:ascii="Calibri" w:eastAsia="Times New Roman" w:hAnsi="Calibri" w:cs="Calibri"/>
          <w:sz w:val="24"/>
          <w:szCs w:val="24"/>
          <w:lang w:eastAsia="cs-CZ"/>
        </w:rPr>
      </w:pPr>
    </w:p>
    <w:p w14:paraId="72D24215" w14:textId="3135987C" w:rsidR="006826FA" w:rsidRPr="005E4B02" w:rsidRDefault="00393DDB" w:rsidP="005D6760">
      <w:pPr>
        <w:spacing w:after="0" w:line="240" w:lineRule="auto"/>
        <w:jc w:val="both"/>
        <w:rPr>
          <w:rFonts w:eastAsia="Times New Roman" w:cs="Calibri"/>
          <w:sz w:val="24"/>
          <w:szCs w:val="24"/>
          <w:lang w:eastAsia="cs-CZ"/>
        </w:rPr>
      </w:pPr>
      <w:r w:rsidRPr="005E4B02">
        <w:rPr>
          <w:rFonts w:eastAsia="Times New Roman" w:cs="Calibri"/>
          <w:sz w:val="24"/>
          <w:szCs w:val="24"/>
          <w:lang w:eastAsia="cs-CZ"/>
        </w:rPr>
        <w:t xml:space="preserve">Kontrolou NKÚ </w:t>
      </w:r>
      <w:r w:rsidR="00227F69" w:rsidRPr="005E4B02">
        <w:rPr>
          <w:rFonts w:eastAsia="Times New Roman" w:cs="Calibri"/>
          <w:sz w:val="24"/>
          <w:szCs w:val="24"/>
          <w:lang w:eastAsia="cs-CZ"/>
        </w:rPr>
        <w:t>ČR </w:t>
      </w:r>
      <w:r w:rsidRPr="005E4B02">
        <w:rPr>
          <w:rFonts w:eastAsia="Times New Roman" w:cs="Calibri"/>
          <w:sz w:val="24"/>
          <w:szCs w:val="24"/>
          <w:lang w:eastAsia="cs-CZ"/>
        </w:rPr>
        <w:t xml:space="preserve">byly </w:t>
      </w:r>
      <w:r w:rsidR="00227F69" w:rsidRPr="005E4B02">
        <w:rPr>
          <w:rFonts w:eastAsia="Times New Roman" w:cs="Calibri"/>
          <w:sz w:val="24"/>
          <w:szCs w:val="24"/>
          <w:lang w:eastAsia="cs-CZ"/>
        </w:rPr>
        <w:t xml:space="preserve">u kontrolovaných osob </w:t>
      </w:r>
      <w:r w:rsidRPr="005E4B02">
        <w:rPr>
          <w:rFonts w:eastAsia="Times New Roman" w:cs="Calibri"/>
          <w:sz w:val="24"/>
          <w:szCs w:val="24"/>
          <w:lang w:eastAsia="cs-CZ"/>
        </w:rPr>
        <w:t xml:space="preserve">v kontrolovaném období zjištěny </w:t>
      </w:r>
      <w:r w:rsidR="007C1871" w:rsidRPr="005E4B02">
        <w:rPr>
          <w:rFonts w:eastAsia="Times New Roman" w:cs="Calibri"/>
          <w:sz w:val="24"/>
          <w:szCs w:val="24"/>
          <w:lang w:eastAsia="cs-CZ"/>
        </w:rPr>
        <w:t xml:space="preserve">průměrné </w:t>
      </w:r>
      <w:r w:rsidRPr="005E4B02">
        <w:rPr>
          <w:rFonts w:eastAsia="Times New Roman" w:cs="Calibri"/>
          <w:sz w:val="24"/>
          <w:szCs w:val="24"/>
          <w:lang w:eastAsia="cs-CZ"/>
        </w:rPr>
        <w:t>hodnoty od přibližně 1 </w:t>
      </w:r>
      <w:r w:rsidR="007C1871" w:rsidRPr="005E4B02">
        <w:rPr>
          <w:rFonts w:eastAsia="Times New Roman" w:cs="Calibri"/>
          <w:sz w:val="24"/>
          <w:szCs w:val="24"/>
          <w:lang w:eastAsia="cs-CZ"/>
        </w:rPr>
        <w:t>47</w:t>
      </w:r>
      <w:r w:rsidRPr="005E4B02">
        <w:rPr>
          <w:rFonts w:eastAsia="Times New Roman" w:cs="Calibri"/>
          <w:sz w:val="24"/>
          <w:szCs w:val="24"/>
          <w:lang w:eastAsia="cs-CZ"/>
        </w:rPr>
        <w:t>0 000 Kč do 1</w:t>
      </w:r>
      <w:r w:rsidR="007C1871" w:rsidRPr="005E4B02">
        <w:rPr>
          <w:rFonts w:eastAsia="Times New Roman" w:cs="Calibri"/>
          <w:sz w:val="24"/>
          <w:szCs w:val="24"/>
          <w:lang w:eastAsia="cs-CZ"/>
        </w:rPr>
        <w:t>4</w:t>
      </w:r>
      <w:r w:rsidRPr="005E4B02">
        <w:rPr>
          <w:rFonts w:eastAsia="Times New Roman" w:cs="Calibri"/>
          <w:sz w:val="24"/>
          <w:szCs w:val="24"/>
          <w:lang w:eastAsia="cs-CZ"/>
        </w:rPr>
        <w:t> 000 000 Kč</w:t>
      </w:r>
      <w:r w:rsidR="00306E8F" w:rsidRPr="005E4B02">
        <w:rPr>
          <w:rFonts w:eastAsia="Times New Roman" w:cs="Calibri"/>
          <w:sz w:val="24"/>
          <w:szCs w:val="24"/>
          <w:lang w:eastAsia="cs-CZ"/>
        </w:rPr>
        <w:t xml:space="preserve">, viz tab. </w:t>
      </w:r>
      <w:proofErr w:type="gramStart"/>
      <w:r w:rsidR="00306E8F" w:rsidRPr="005E4B02">
        <w:rPr>
          <w:rFonts w:eastAsia="Times New Roman" w:cs="Calibri"/>
          <w:sz w:val="24"/>
          <w:szCs w:val="24"/>
          <w:lang w:eastAsia="cs-CZ"/>
        </w:rPr>
        <w:t>č.</w:t>
      </w:r>
      <w:proofErr w:type="gramEnd"/>
      <w:r w:rsidR="00306E8F" w:rsidRPr="005E4B02">
        <w:rPr>
          <w:rFonts w:eastAsia="Times New Roman" w:cs="Calibri"/>
          <w:sz w:val="24"/>
          <w:szCs w:val="24"/>
          <w:lang w:eastAsia="cs-CZ"/>
        </w:rPr>
        <w:t xml:space="preserve"> 15</w:t>
      </w:r>
      <w:r w:rsidRPr="005E4B02">
        <w:rPr>
          <w:rFonts w:eastAsia="Times New Roman" w:cs="Calibri"/>
          <w:sz w:val="24"/>
          <w:szCs w:val="24"/>
          <w:lang w:eastAsia="cs-CZ"/>
        </w:rPr>
        <w:t xml:space="preserve">. </w:t>
      </w:r>
    </w:p>
    <w:p w14:paraId="72CB7D68" w14:textId="6A71FC66" w:rsidR="007950F9" w:rsidRPr="00196D71" w:rsidRDefault="007950F9" w:rsidP="005D6760">
      <w:pPr>
        <w:spacing w:after="40" w:line="240" w:lineRule="auto"/>
        <w:jc w:val="both"/>
        <w:rPr>
          <w:rFonts w:eastAsia="Times New Roman" w:cs="Calibri"/>
          <w:b/>
          <w:sz w:val="24"/>
          <w:szCs w:val="24"/>
          <w:lang w:eastAsia="cs-CZ"/>
        </w:rPr>
      </w:pPr>
      <w:r w:rsidRPr="00196D71">
        <w:rPr>
          <w:rFonts w:eastAsia="Times New Roman" w:cs="Calibri"/>
          <w:b/>
          <w:sz w:val="24"/>
          <w:szCs w:val="24"/>
          <w:lang w:eastAsia="cs-CZ"/>
        </w:rPr>
        <w:lastRenderedPageBreak/>
        <w:t>Tabulka č. 15 – Náklady na 1 km opravených silnic</w:t>
      </w:r>
    </w:p>
    <w:tbl>
      <w:tblPr>
        <w:tblW w:w="9067" w:type="dxa"/>
        <w:tblCellMar>
          <w:left w:w="70" w:type="dxa"/>
          <w:right w:w="70" w:type="dxa"/>
        </w:tblCellMar>
        <w:tblLook w:val="04A0" w:firstRow="1" w:lastRow="0" w:firstColumn="1" w:lastColumn="0" w:noHBand="0" w:noVBand="1"/>
      </w:tblPr>
      <w:tblGrid>
        <w:gridCol w:w="2405"/>
        <w:gridCol w:w="2268"/>
        <w:gridCol w:w="2268"/>
        <w:gridCol w:w="2126"/>
      </w:tblGrid>
      <w:tr w:rsidR="00BF34F6" w:rsidRPr="007C0B10" w14:paraId="0561C593" w14:textId="77777777" w:rsidTr="005F4712">
        <w:trPr>
          <w:trHeight w:val="227"/>
        </w:trPr>
        <w:tc>
          <w:tcPr>
            <w:tcW w:w="2405" w:type="dxa"/>
            <w:vMerge w:val="restart"/>
            <w:tcBorders>
              <w:top w:val="single" w:sz="4" w:space="0" w:color="auto"/>
              <w:left w:val="single" w:sz="4" w:space="0" w:color="auto"/>
              <w:right w:val="single" w:sz="4" w:space="0" w:color="auto"/>
            </w:tcBorders>
            <w:shd w:val="clear" w:color="auto" w:fill="E5F1FF"/>
            <w:noWrap/>
            <w:vAlign w:val="center"/>
            <w:hideMark/>
          </w:tcPr>
          <w:p w14:paraId="0396E6F0" w14:textId="2268EFB5" w:rsidR="00BF34F6" w:rsidRPr="00BF34F6" w:rsidRDefault="00BF34F6" w:rsidP="007C0B10">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Příjemce</w:t>
            </w:r>
          </w:p>
        </w:tc>
        <w:tc>
          <w:tcPr>
            <w:tcW w:w="6662" w:type="dxa"/>
            <w:gridSpan w:val="3"/>
            <w:tcBorders>
              <w:top w:val="single" w:sz="4" w:space="0" w:color="auto"/>
              <w:left w:val="nil"/>
              <w:bottom w:val="single" w:sz="4" w:space="0" w:color="auto"/>
              <w:right w:val="single" w:sz="4" w:space="0" w:color="000000"/>
            </w:tcBorders>
            <w:shd w:val="clear" w:color="auto" w:fill="E5F1FF"/>
            <w:vAlign w:val="center"/>
            <w:hideMark/>
          </w:tcPr>
          <w:p w14:paraId="4F2624E2" w14:textId="13AB56E4" w:rsidR="00BF34F6" w:rsidRPr="00BF34F6" w:rsidRDefault="00BF34F6" w:rsidP="007C0B10">
            <w:pPr>
              <w:spacing w:after="0" w:line="240" w:lineRule="auto"/>
              <w:jc w:val="center"/>
              <w:rPr>
                <w:rFonts w:ascii="Calibri" w:eastAsia="Times New Roman" w:hAnsi="Calibri" w:cs="Calibri"/>
                <w:b/>
                <w:bCs/>
                <w:color w:val="000000"/>
                <w:sz w:val="20"/>
                <w:szCs w:val="20"/>
                <w:lang w:eastAsia="cs-CZ"/>
              </w:rPr>
            </w:pPr>
            <w:r w:rsidRPr="00BF34F6">
              <w:rPr>
                <w:rFonts w:ascii="Calibri" w:eastAsia="Times New Roman" w:hAnsi="Calibri" w:cs="Calibri"/>
                <w:b/>
                <w:bCs/>
                <w:color w:val="000000"/>
                <w:sz w:val="20"/>
                <w:szCs w:val="20"/>
                <w:lang w:eastAsia="cs-CZ"/>
              </w:rPr>
              <w:t>Náklady na 1 km celoplošné opravy silnic (</w:t>
            </w:r>
            <w:r>
              <w:rPr>
                <w:rFonts w:ascii="Calibri" w:eastAsia="Times New Roman" w:hAnsi="Calibri" w:cs="Calibri"/>
                <w:b/>
                <w:bCs/>
                <w:color w:val="000000"/>
                <w:sz w:val="20"/>
                <w:szCs w:val="20"/>
                <w:lang w:eastAsia="cs-CZ"/>
              </w:rPr>
              <w:t>v </w:t>
            </w:r>
            <w:r w:rsidRPr="00BF34F6">
              <w:rPr>
                <w:rFonts w:ascii="Calibri" w:eastAsia="Times New Roman" w:hAnsi="Calibri" w:cs="Calibri"/>
                <w:b/>
                <w:bCs/>
                <w:color w:val="000000"/>
                <w:sz w:val="20"/>
                <w:szCs w:val="20"/>
                <w:lang w:eastAsia="cs-CZ"/>
              </w:rPr>
              <w:t>Kč bez DPH)</w:t>
            </w:r>
          </w:p>
        </w:tc>
      </w:tr>
      <w:tr w:rsidR="00BF34F6" w:rsidRPr="007C0B10" w14:paraId="6F848811" w14:textId="77777777" w:rsidTr="005F4712">
        <w:trPr>
          <w:trHeight w:val="227"/>
        </w:trPr>
        <w:tc>
          <w:tcPr>
            <w:tcW w:w="2405" w:type="dxa"/>
            <w:vMerge/>
            <w:tcBorders>
              <w:left w:val="single" w:sz="4" w:space="0" w:color="auto"/>
              <w:bottom w:val="single" w:sz="4" w:space="0" w:color="auto"/>
              <w:right w:val="single" w:sz="4" w:space="0" w:color="auto"/>
            </w:tcBorders>
            <w:shd w:val="clear" w:color="auto" w:fill="E5F1FF"/>
            <w:noWrap/>
            <w:vAlign w:val="center"/>
            <w:hideMark/>
          </w:tcPr>
          <w:p w14:paraId="12E55938" w14:textId="178347DF" w:rsidR="00BF34F6" w:rsidRPr="00BF34F6" w:rsidRDefault="00BF34F6" w:rsidP="007C0B10">
            <w:pPr>
              <w:spacing w:after="0" w:line="240" w:lineRule="auto"/>
              <w:jc w:val="center"/>
              <w:rPr>
                <w:rFonts w:ascii="Calibri" w:eastAsia="Times New Roman" w:hAnsi="Calibri" w:cs="Calibri"/>
                <w:b/>
                <w:bCs/>
                <w:color w:val="000000"/>
                <w:sz w:val="20"/>
                <w:szCs w:val="20"/>
                <w:lang w:eastAsia="cs-CZ"/>
              </w:rPr>
            </w:pPr>
          </w:p>
        </w:tc>
        <w:tc>
          <w:tcPr>
            <w:tcW w:w="2268" w:type="dxa"/>
            <w:tcBorders>
              <w:top w:val="nil"/>
              <w:left w:val="nil"/>
              <w:bottom w:val="single" w:sz="4" w:space="0" w:color="auto"/>
              <w:right w:val="single" w:sz="4" w:space="0" w:color="auto"/>
            </w:tcBorders>
            <w:shd w:val="clear" w:color="auto" w:fill="E5F1FF"/>
            <w:noWrap/>
            <w:vAlign w:val="center"/>
            <w:hideMark/>
          </w:tcPr>
          <w:p w14:paraId="039C7165" w14:textId="31ECD2A3" w:rsidR="00BF34F6" w:rsidRPr="00BF34F6" w:rsidRDefault="00BF34F6" w:rsidP="007C0B10">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Pr="00BF34F6">
              <w:rPr>
                <w:rFonts w:ascii="Calibri" w:eastAsia="Times New Roman" w:hAnsi="Calibri" w:cs="Calibri"/>
                <w:b/>
                <w:bCs/>
                <w:color w:val="000000"/>
                <w:sz w:val="20"/>
                <w:szCs w:val="20"/>
                <w:lang w:eastAsia="cs-CZ"/>
              </w:rPr>
              <w:t>in.</w:t>
            </w:r>
          </w:p>
        </w:tc>
        <w:tc>
          <w:tcPr>
            <w:tcW w:w="2268" w:type="dxa"/>
            <w:tcBorders>
              <w:top w:val="nil"/>
              <w:left w:val="nil"/>
              <w:bottom w:val="single" w:sz="4" w:space="0" w:color="auto"/>
              <w:right w:val="single" w:sz="4" w:space="0" w:color="auto"/>
            </w:tcBorders>
            <w:shd w:val="clear" w:color="auto" w:fill="E5F1FF"/>
            <w:noWrap/>
            <w:vAlign w:val="center"/>
            <w:hideMark/>
          </w:tcPr>
          <w:p w14:paraId="23B6DE13" w14:textId="65597B2C" w:rsidR="00BF34F6" w:rsidRPr="00BF34F6" w:rsidRDefault="00BF34F6" w:rsidP="007C0B10">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M</w:t>
            </w:r>
            <w:r w:rsidRPr="00BF34F6">
              <w:rPr>
                <w:rFonts w:ascii="Calibri" w:eastAsia="Times New Roman" w:hAnsi="Calibri" w:cs="Calibri"/>
                <w:b/>
                <w:bCs/>
                <w:color w:val="000000"/>
                <w:sz w:val="20"/>
                <w:szCs w:val="20"/>
                <w:lang w:eastAsia="cs-CZ"/>
              </w:rPr>
              <w:t>ax.</w:t>
            </w:r>
          </w:p>
        </w:tc>
        <w:tc>
          <w:tcPr>
            <w:tcW w:w="2126" w:type="dxa"/>
            <w:tcBorders>
              <w:top w:val="nil"/>
              <w:left w:val="nil"/>
              <w:bottom w:val="single" w:sz="4" w:space="0" w:color="auto"/>
              <w:right w:val="single" w:sz="4" w:space="0" w:color="auto"/>
            </w:tcBorders>
            <w:shd w:val="clear" w:color="auto" w:fill="E5F1FF"/>
            <w:noWrap/>
            <w:vAlign w:val="center"/>
            <w:hideMark/>
          </w:tcPr>
          <w:p w14:paraId="39724316" w14:textId="3DBE85AB" w:rsidR="00BF34F6" w:rsidRPr="00BF34F6" w:rsidRDefault="00BF34F6" w:rsidP="00BF34F6">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P</w:t>
            </w:r>
            <w:r w:rsidRPr="00BF34F6">
              <w:rPr>
                <w:rFonts w:ascii="Calibri" w:eastAsia="Times New Roman" w:hAnsi="Calibri" w:cs="Calibri"/>
                <w:b/>
                <w:bCs/>
                <w:color w:val="000000"/>
                <w:sz w:val="20"/>
                <w:szCs w:val="20"/>
                <w:lang w:eastAsia="cs-CZ"/>
              </w:rPr>
              <w:t>růměr*</w:t>
            </w:r>
          </w:p>
        </w:tc>
      </w:tr>
      <w:tr w:rsidR="007950F9" w:rsidRPr="007C0B10" w14:paraId="4061262A"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64F5A7" w14:textId="77777777" w:rsidR="007950F9" w:rsidRPr="007C0B10" w:rsidRDefault="001C0690"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JHČ</w:t>
            </w:r>
          </w:p>
        </w:tc>
        <w:tc>
          <w:tcPr>
            <w:tcW w:w="2268" w:type="dxa"/>
            <w:tcBorders>
              <w:top w:val="nil"/>
              <w:left w:val="nil"/>
              <w:bottom w:val="single" w:sz="4" w:space="0" w:color="auto"/>
              <w:right w:val="single" w:sz="4" w:space="0" w:color="auto"/>
            </w:tcBorders>
            <w:shd w:val="clear" w:color="auto" w:fill="auto"/>
            <w:noWrap/>
            <w:vAlign w:val="center"/>
            <w:hideMark/>
          </w:tcPr>
          <w:p w14:paraId="1E30DCB7"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1 227 844,76</w:t>
            </w:r>
          </w:p>
        </w:tc>
        <w:tc>
          <w:tcPr>
            <w:tcW w:w="2268" w:type="dxa"/>
            <w:tcBorders>
              <w:top w:val="nil"/>
              <w:left w:val="nil"/>
              <w:bottom w:val="single" w:sz="4" w:space="0" w:color="auto"/>
              <w:right w:val="single" w:sz="4" w:space="0" w:color="auto"/>
            </w:tcBorders>
            <w:shd w:val="clear" w:color="auto" w:fill="auto"/>
            <w:noWrap/>
            <w:vAlign w:val="center"/>
            <w:hideMark/>
          </w:tcPr>
          <w:p w14:paraId="5390122D"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1 687 526,60</w:t>
            </w:r>
          </w:p>
        </w:tc>
        <w:tc>
          <w:tcPr>
            <w:tcW w:w="2126" w:type="dxa"/>
            <w:tcBorders>
              <w:top w:val="nil"/>
              <w:left w:val="nil"/>
              <w:bottom w:val="single" w:sz="4" w:space="0" w:color="auto"/>
              <w:right w:val="single" w:sz="4" w:space="0" w:color="auto"/>
            </w:tcBorders>
            <w:shd w:val="clear" w:color="auto" w:fill="auto"/>
            <w:noWrap/>
            <w:vAlign w:val="center"/>
            <w:hideMark/>
          </w:tcPr>
          <w:p w14:paraId="59161CF1"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1 472 978,41</w:t>
            </w:r>
          </w:p>
        </w:tc>
      </w:tr>
      <w:tr w:rsidR="007950F9" w:rsidRPr="007C0B10" w14:paraId="3606D41F"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01E036" w14:textId="77777777" w:rsidR="007950F9" w:rsidRPr="007C0B10" w:rsidRDefault="001C0690"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LBK</w:t>
            </w:r>
          </w:p>
        </w:tc>
        <w:tc>
          <w:tcPr>
            <w:tcW w:w="2268" w:type="dxa"/>
            <w:tcBorders>
              <w:top w:val="nil"/>
              <w:left w:val="nil"/>
              <w:bottom w:val="single" w:sz="4" w:space="0" w:color="auto"/>
              <w:right w:val="single" w:sz="4" w:space="0" w:color="auto"/>
            </w:tcBorders>
            <w:shd w:val="clear" w:color="auto" w:fill="auto"/>
            <w:noWrap/>
            <w:vAlign w:val="center"/>
            <w:hideMark/>
          </w:tcPr>
          <w:p w14:paraId="65037858"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6 872 612,18</w:t>
            </w:r>
          </w:p>
        </w:tc>
        <w:tc>
          <w:tcPr>
            <w:tcW w:w="2268" w:type="dxa"/>
            <w:tcBorders>
              <w:top w:val="nil"/>
              <w:left w:val="nil"/>
              <w:bottom w:val="single" w:sz="4" w:space="0" w:color="auto"/>
              <w:right w:val="single" w:sz="4" w:space="0" w:color="auto"/>
            </w:tcBorders>
            <w:shd w:val="clear" w:color="auto" w:fill="auto"/>
            <w:noWrap/>
            <w:vAlign w:val="center"/>
            <w:hideMark/>
          </w:tcPr>
          <w:p w14:paraId="512CA40E"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9 987 354,43</w:t>
            </w:r>
          </w:p>
        </w:tc>
        <w:tc>
          <w:tcPr>
            <w:tcW w:w="2126" w:type="dxa"/>
            <w:tcBorders>
              <w:top w:val="nil"/>
              <w:left w:val="nil"/>
              <w:bottom w:val="single" w:sz="4" w:space="0" w:color="auto"/>
              <w:right w:val="single" w:sz="4" w:space="0" w:color="auto"/>
            </w:tcBorders>
            <w:shd w:val="clear" w:color="auto" w:fill="auto"/>
            <w:noWrap/>
            <w:vAlign w:val="center"/>
            <w:hideMark/>
          </w:tcPr>
          <w:p w14:paraId="389E8FFE"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8 357 246,69</w:t>
            </w:r>
          </w:p>
        </w:tc>
      </w:tr>
      <w:tr w:rsidR="007950F9" w:rsidRPr="007C0B10" w14:paraId="22DE9815"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0482BA" w14:textId="77777777" w:rsidR="007950F9" w:rsidRPr="007C0B10" w:rsidRDefault="007950F9"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MSK</w:t>
            </w:r>
          </w:p>
        </w:tc>
        <w:tc>
          <w:tcPr>
            <w:tcW w:w="2268" w:type="dxa"/>
            <w:tcBorders>
              <w:top w:val="nil"/>
              <w:left w:val="nil"/>
              <w:bottom w:val="single" w:sz="4" w:space="0" w:color="auto"/>
              <w:right w:val="single" w:sz="4" w:space="0" w:color="auto"/>
            </w:tcBorders>
            <w:shd w:val="clear" w:color="auto" w:fill="auto"/>
            <w:noWrap/>
            <w:vAlign w:val="center"/>
            <w:hideMark/>
          </w:tcPr>
          <w:p w14:paraId="2B17EEC4"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10 025 919,32</w:t>
            </w:r>
          </w:p>
        </w:tc>
        <w:tc>
          <w:tcPr>
            <w:tcW w:w="2268" w:type="dxa"/>
            <w:tcBorders>
              <w:top w:val="nil"/>
              <w:left w:val="nil"/>
              <w:bottom w:val="single" w:sz="4" w:space="0" w:color="auto"/>
              <w:right w:val="single" w:sz="4" w:space="0" w:color="auto"/>
            </w:tcBorders>
            <w:shd w:val="clear" w:color="auto" w:fill="auto"/>
            <w:noWrap/>
            <w:vAlign w:val="center"/>
            <w:hideMark/>
          </w:tcPr>
          <w:p w14:paraId="502F9CD5"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17 965 641,85</w:t>
            </w:r>
          </w:p>
        </w:tc>
        <w:tc>
          <w:tcPr>
            <w:tcW w:w="2126" w:type="dxa"/>
            <w:tcBorders>
              <w:top w:val="nil"/>
              <w:left w:val="nil"/>
              <w:bottom w:val="single" w:sz="4" w:space="0" w:color="auto"/>
              <w:right w:val="single" w:sz="4" w:space="0" w:color="auto"/>
            </w:tcBorders>
            <w:shd w:val="clear" w:color="auto" w:fill="auto"/>
            <w:noWrap/>
            <w:vAlign w:val="center"/>
            <w:hideMark/>
          </w:tcPr>
          <w:p w14:paraId="4DA08A18"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13 995 780,58</w:t>
            </w:r>
          </w:p>
        </w:tc>
      </w:tr>
      <w:tr w:rsidR="007950F9" w:rsidRPr="007C0B10" w14:paraId="2D7FA9DE"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7D1D8B" w14:textId="77777777" w:rsidR="007950F9" w:rsidRPr="007C0B10" w:rsidRDefault="001C0690"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PAK</w:t>
            </w:r>
          </w:p>
        </w:tc>
        <w:tc>
          <w:tcPr>
            <w:tcW w:w="2268" w:type="dxa"/>
            <w:tcBorders>
              <w:top w:val="nil"/>
              <w:left w:val="nil"/>
              <w:bottom w:val="single" w:sz="4" w:space="0" w:color="auto"/>
              <w:right w:val="single" w:sz="4" w:space="0" w:color="auto"/>
            </w:tcBorders>
            <w:shd w:val="clear" w:color="auto" w:fill="auto"/>
            <w:noWrap/>
            <w:vAlign w:val="center"/>
            <w:hideMark/>
          </w:tcPr>
          <w:p w14:paraId="6AE33503"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7 643 007,25</w:t>
            </w:r>
          </w:p>
        </w:tc>
        <w:tc>
          <w:tcPr>
            <w:tcW w:w="2268" w:type="dxa"/>
            <w:tcBorders>
              <w:top w:val="nil"/>
              <w:left w:val="nil"/>
              <w:bottom w:val="single" w:sz="4" w:space="0" w:color="auto"/>
              <w:right w:val="single" w:sz="4" w:space="0" w:color="auto"/>
            </w:tcBorders>
            <w:shd w:val="clear" w:color="auto" w:fill="auto"/>
            <w:noWrap/>
            <w:vAlign w:val="center"/>
            <w:hideMark/>
          </w:tcPr>
          <w:p w14:paraId="297593ED"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10 216 177,78</w:t>
            </w:r>
          </w:p>
        </w:tc>
        <w:tc>
          <w:tcPr>
            <w:tcW w:w="2126" w:type="dxa"/>
            <w:tcBorders>
              <w:top w:val="nil"/>
              <w:left w:val="nil"/>
              <w:bottom w:val="single" w:sz="4" w:space="0" w:color="auto"/>
              <w:right w:val="single" w:sz="4" w:space="0" w:color="auto"/>
            </w:tcBorders>
            <w:shd w:val="clear" w:color="auto" w:fill="auto"/>
            <w:noWrap/>
            <w:vAlign w:val="center"/>
            <w:hideMark/>
          </w:tcPr>
          <w:p w14:paraId="1EB8AADD"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8 929 592,51</w:t>
            </w:r>
          </w:p>
        </w:tc>
      </w:tr>
      <w:tr w:rsidR="007950F9" w:rsidRPr="007C0B10" w14:paraId="0C5C0DEF"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A46B5D" w14:textId="77777777" w:rsidR="007950F9" w:rsidRPr="007C0B10" w:rsidRDefault="007950F9"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SSMSK</w:t>
            </w:r>
          </w:p>
        </w:tc>
        <w:tc>
          <w:tcPr>
            <w:tcW w:w="2268" w:type="dxa"/>
            <w:tcBorders>
              <w:top w:val="nil"/>
              <w:left w:val="nil"/>
              <w:bottom w:val="single" w:sz="4" w:space="0" w:color="auto"/>
              <w:right w:val="single" w:sz="4" w:space="0" w:color="auto"/>
            </w:tcBorders>
            <w:shd w:val="clear" w:color="auto" w:fill="auto"/>
            <w:noWrap/>
            <w:vAlign w:val="center"/>
            <w:hideMark/>
          </w:tcPr>
          <w:p w14:paraId="5FB78DB9"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1 425 266,16</w:t>
            </w:r>
          </w:p>
        </w:tc>
        <w:tc>
          <w:tcPr>
            <w:tcW w:w="2268" w:type="dxa"/>
            <w:tcBorders>
              <w:top w:val="nil"/>
              <w:left w:val="nil"/>
              <w:bottom w:val="single" w:sz="4" w:space="0" w:color="auto"/>
              <w:right w:val="single" w:sz="4" w:space="0" w:color="auto"/>
            </w:tcBorders>
            <w:shd w:val="clear" w:color="auto" w:fill="auto"/>
            <w:noWrap/>
            <w:vAlign w:val="center"/>
            <w:hideMark/>
          </w:tcPr>
          <w:p w14:paraId="1FC4E23A"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2 407 256,41</w:t>
            </w:r>
          </w:p>
        </w:tc>
        <w:tc>
          <w:tcPr>
            <w:tcW w:w="2126" w:type="dxa"/>
            <w:tcBorders>
              <w:top w:val="nil"/>
              <w:left w:val="nil"/>
              <w:bottom w:val="single" w:sz="4" w:space="0" w:color="auto"/>
              <w:right w:val="single" w:sz="4" w:space="0" w:color="auto"/>
            </w:tcBorders>
            <w:shd w:val="clear" w:color="auto" w:fill="auto"/>
            <w:noWrap/>
            <w:vAlign w:val="center"/>
            <w:hideMark/>
          </w:tcPr>
          <w:p w14:paraId="5F2793C0"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2 039 613,09</w:t>
            </w:r>
          </w:p>
        </w:tc>
      </w:tr>
      <w:tr w:rsidR="007950F9" w:rsidRPr="007C0B10" w14:paraId="6C2C8FA0"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8F53DB" w14:textId="77777777" w:rsidR="007950F9" w:rsidRPr="007C0B10" w:rsidRDefault="007950F9"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SÚS</w:t>
            </w:r>
            <w:r w:rsidR="001C0690" w:rsidRPr="007C0B10">
              <w:rPr>
                <w:rFonts w:ascii="Calibri" w:eastAsia="Times New Roman" w:hAnsi="Calibri" w:cs="Calibri"/>
                <w:color w:val="000000"/>
                <w:sz w:val="20"/>
                <w:szCs w:val="20"/>
                <w:lang w:eastAsia="cs-CZ"/>
              </w:rPr>
              <w:t>PAK</w:t>
            </w:r>
          </w:p>
        </w:tc>
        <w:tc>
          <w:tcPr>
            <w:tcW w:w="2268" w:type="dxa"/>
            <w:tcBorders>
              <w:top w:val="nil"/>
              <w:left w:val="nil"/>
              <w:bottom w:val="single" w:sz="4" w:space="0" w:color="auto"/>
              <w:right w:val="single" w:sz="4" w:space="0" w:color="auto"/>
            </w:tcBorders>
            <w:shd w:val="clear" w:color="auto" w:fill="auto"/>
            <w:noWrap/>
            <w:vAlign w:val="center"/>
            <w:hideMark/>
          </w:tcPr>
          <w:p w14:paraId="0F90BDB8"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5 379 030,37</w:t>
            </w:r>
          </w:p>
        </w:tc>
        <w:tc>
          <w:tcPr>
            <w:tcW w:w="2268" w:type="dxa"/>
            <w:tcBorders>
              <w:top w:val="nil"/>
              <w:left w:val="nil"/>
              <w:bottom w:val="single" w:sz="4" w:space="0" w:color="auto"/>
              <w:right w:val="single" w:sz="4" w:space="0" w:color="auto"/>
            </w:tcBorders>
            <w:shd w:val="clear" w:color="auto" w:fill="auto"/>
            <w:noWrap/>
            <w:vAlign w:val="center"/>
            <w:hideMark/>
          </w:tcPr>
          <w:p w14:paraId="3ECB086C"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5 379 030,37</w:t>
            </w:r>
          </w:p>
        </w:tc>
        <w:tc>
          <w:tcPr>
            <w:tcW w:w="2126" w:type="dxa"/>
            <w:tcBorders>
              <w:top w:val="nil"/>
              <w:left w:val="nil"/>
              <w:bottom w:val="single" w:sz="4" w:space="0" w:color="auto"/>
              <w:right w:val="single" w:sz="4" w:space="0" w:color="auto"/>
            </w:tcBorders>
            <w:shd w:val="clear" w:color="auto" w:fill="auto"/>
            <w:noWrap/>
            <w:vAlign w:val="center"/>
            <w:hideMark/>
          </w:tcPr>
          <w:p w14:paraId="0E0EE324"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5 379 030,37</w:t>
            </w:r>
          </w:p>
        </w:tc>
      </w:tr>
      <w:tr w:rsidR="007950F9" w:rsidRPr="007C0B10" w14:paraId="28457651"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8EEC22" w14:textId="77777777" w:rsidR="007950F9" w:rsidRPr="007C0B10" w:rsidRDefault="007950F9" w:rsidP="007C0B10">
            <w:pPr>
              <w:spacing w:after="0" w:line="240" w:lineRule="auto"/>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SÚSPK</w:t>
            </w:r>
          </w:p>
        </w:tc>
        <w:tc>
          <w:tcPr>
            <w:tcW w:w="2268" w:type="dxa"/>
            <w:tcBorders>
              <w:top w:val="nil"/>
              <w:left w:val="nil"/>
              <w:bottom w:val="single" w:sz="4" w:space="0" w:color="auto"/>
              <w:right w:val="single" w:sz="4" w:space="0" w:color="auto"/>
            </w:tcBorders>
            <w:shd w:val="clear" w:color="auto" w:fill="auto"/>
            <w:noWrap/>
            <w:vAlign w:val="center"/>
            <w:hideMark/>
          </w:tcPr>
          <w:p w14:paraId="7A058354"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2 455 476,86</w:t>
            </w:r>
          </w:p>
        </w:tc>
        <w:tc>
          <w:tcPr>
            <w:tcW w:w="2268" w:type="dxa"/>
            <w:tcBorders>
              <w:top w:val="nil"/>
              <w:left w:val="nil"/>
              <w:bottom w:val="single" w:sz="4" w:space="0" w:color="auto"/>
              <w:right w:val="single" w:sz="4" w:space="0" w:color="auto"/>
            </w:tcBorders>
            <w:shd w:val="clear" w:color="auto" w:fill="auto"/>
            <w:noWrap/>
            <w:vAlign w:val="center"/>
            <w:hideMark/>
          </w:tcPr>
          <w:p w14:paraId="408C2973"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8 274 386,76</w:t>
            </w:r>
          </w:p>
        </w:tc>
        <w:tc>
          <w:tcPr>
            <w:tcW w:w="2126" w:type="dxa"/>
            <w:tcBorders>
              <w:top w:val="nil"/>
              <w:left w:val="nil"/>
              <w:bottom w:val="single" w:sz="4" w:space="0" w:color="auto"/>
              <w:right w:val="single" w:sz="4" w:space="0" w:color="auto"/>
            </w:tcBorders>
            <w:shd w:val="clear" w:color="auto" w:fill="auto"/>
            <w:noWrap/>
            <w:vAlign w:val="center"/>
            <w:hideMark/>
          </w:tcPr>
          <w:p w14:paraId="5C1EE509" w14:textId="77777777" w:rsidR="007950F9" w:rsidRPr="007C0B10" w:rsidRDefault="007950F9" w:rsidP="005D6760">
            <w:pPr>
              <w:spacing w:after="0" w:line="240" w:lineRule="auto"/>
              <w:ind w:right="497"/>
              <w:jc w:val="right"/>
              <w:rPr>
                <w:rFonts w:ascii="Calibri" w:eastAsia="Times New Roman" w:hAnsi="Calibri" w:cs="Calibri"/>
                <w:color w:val="000000"/>
                <w:sz w:val="20"/>
                <w:szCs w:val="20"/>
                <w:lang w:eastAsia="cs-CZ"/>
              </w:rPr>
            </w:pPr>
            <w:r w:rsidRPr="007C0B10">
              <w:rPr>
                <w:rFonts w:ascii="Calibri" w:eastAsia="Times New Roman" w:hAnsi="Calibri" w:cs="Calibri"/>
                <w:color w:val="000000"/>
                <w:sz w:val="20"/>
                <w:szCs w:val="20"/>
                <w:lang w:eastAsia="cs-CZ"/>
              </w:rPr>
              <w:t>5 037 650,71</w:t>
            </w:r>
          </w:p>
        </w:tc>
      </w:tr>
    </w:tbl>
    <w:p w14:paraId="0BD8D86C" w14:textId="511AB561" w:rsidR="007950F9" w:rsidRPr="00393DDB" w:rsidRDefault="007950F9" w:rsidP="007C0B10">
      <w:pPr>
        <w:spacing w:before="40" w:after="0" w:line="240" w:lineRule="auto"/>
        <w:jc w:val="both"/>
        <w:rPr>
          <w:rFonts w:eastAsia="Times New Roman" w:cs="Calibri"/>
          <w:sz w:val="20"/>
          <w:szCs w:val="20"/>
          <w:lang w:eastAsia="cs-CZ"/>
        </w:rPr>
      </w:pPr>
      <w:r w:rsidRPr="00393DDB">
        <w:rPr>
          <w:rFonts w:eastAsia="Times New Roman" w:cs="Calibri"/>
          <w:b/>
          <w:sz w:val="20"/>
          <w:szCs w:val="20"/>
          <w:lang w:eastAsia="cs-CZ"/>
        </w:rPr>
        <w:t>Zdroj:</w:t>
      </w:r>
      <w:r w:rsidRPr="00393DDB">
        <w:rPr>
          <w:rFonts w:eastAsia="Times New Roman" w:cs="Calibri"/>
          <w:sz w:val="20"/>
          <w:szCs w:val="20"/>
          <w:lang w:eastAsia="cs-CZ"/>
        </w:rPr>
        <w:t xml:space="preserve"> </w:t>
      </w:r>
      <w:r w:rsidR="00BF34F6">
        <w:rPr>
          <w:rFonts w:eastAsia="Times New Roman" w:cs="Calibri"/>
          <w:sz w:val="20"/>
          <w:szCs w:val="20"/>
          <w:lang w:eastAsia="cs-CZ"/>
        </w:rPr>
        <w:t>ú</w:t>
      </w:r>
      <w:r w:rsidRPr="00393DDB">
        <w:rPr>
          <w:rFonts w:eastAsia="Times New Roman" w:cs="Calibri"/>
          <w:sz w:val="20"/>
          <w:szCs w:val="20"/>
          <w:lang w:eastAsia="cs-CZ"/>
        </w:rPr>
        <w:t>daje získané u kontrolovaných osob.</w:t>
      </w:r>
    </w:p>
    <w:p w14:paraId="18F3564B" w14:textId="78086582" w:rsidR="007950F9" w:rsidRPr="005F33FE" w:rsidRDefault="007950F9" w:rsidP="007950F9">
      <w:pPr>
        <w:spacing w:after="0" w:line="240" w:lineRule="auto"/>
        <w:jc w:val="both"/>
        <w:rPr>
          <w:rFonts w:eastAsia="Times New Roman" w:cs="Calibri"/>
          <w:sz w:val="20"/>
          <w:szCs w:val="20"/>
          <w:lang w:eastAsia="cs-CZ"/>
        </w:rPr>
      </w:pPr>
      <w:r w:rsidRPr="00211230">
        <w:rPr>
          <w:rFonts w:eastAsia="Times New Roman" w:cs="Calibri"/>
          <w:sz w:val="20"/>
          <w:szCs w:val="20"/>
          <w:lang w:eastAsia="cs-CZ"/>
        </w:rPr>
        <w:t>*</w:t>
      </w:r>
      <w:r w:rsidR="007C0B10">
        <w:rPr>
          <w:rFonts w:eastAsia="Times New Roman" w:cs="Calibri"/>
          <w:sz w:val="20"/>
          <w:szCs w:val="20"/>
          <w:lang w:eastAsia="cs-CZ"/>
        </w:rPr>
        <w:t xml:space="preserve"> </w:t>
      </w:r>
      <w:r w:rsidRPr="00211230">
        <w:rPr>
          <w:rFonts w:eastAsia="Times New Roman" w:cs="Calibri"/>
          <w:sz w:val="20"/>
          <w:szCs w:val="20"/>
          <w:lang w:eastAsia="cs-CZ"/>
        </w:rPr>
        <w:t>Průměrné hodnoty byly vypočítány za všechny kontrolované projekty dané kontrolované osoby.</w:t>
      </w:r>
    </w:p>
    <w:p w14:paraId="4A42316B" w14:textId="77777777" w:rsidR="007950F9" w:rsidRDefault="007950F9" w:rsidP="005D6760">
      <w:pPr>
        <w:spacing w:after="0" w:line="240" w:lineRule="auto"/>
        <w:jc w:val="both"/>
        <w:rPr>
          <w:rFonts w:eastAsia="Times New Roman" w:cs="Calibri"/>
          <w:sz w:val="24"/>
          <w:szCs w:val="24"/>
          <w:lang w:eastAsia="cs-CZ"/>
        </w:rPr>
      </w:pPr>
    </w:p>
    <w:p w14:paraId="686EBC39" w14:textId="165F3DC5" w:rsidR="00227F69" w:rsidRDefault="00211230"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R</w:t>
      </w:r>
      <w:r w:rsidR="00393DDB" w:rsidRPr="00393DDB">
        <w:rPr>
          <w:rFonts w:eastAsia="Times New Roman" w:cs="Calibri"/>
          <w:sz w:val="24"/>
          <w:szCs w:val="24"/>
          <w:lang w:eastAsia="cs-CZ"/>
        </w:rPr>
        <w:t>ozptyl nákladů na opravy a modernizace 1 km silnic krajů v</w:t>
      </w:r>
      <w:r w:rsidR="00156DD9">
        <w:rPr>
          <w:rFonts w:eastAsia="Times New Roman" w:cs="Calibri"/>
          <w:sz w:val="24"/>
          <w:szCs w:val="24"/>
          <w:lang w:eastAsia="cs-CZ"/>
        </w:rPr>
        <w:t> </w:t>
      </w:r>
      <w:r w:rsidR="00393DDB" w:rsidRPr="00393DDB">
        <w:rPr>
          <w:rFonts w:eastAsia="Times New Roman" w:cs="Calibri"/>
          <w:sz w:val="24"/>
          <w:szCs w:val="24"/>
          <w:lang w:eastAsia="cs-CZ"/>
        </w:rPr>
        <w:t>ČR</w:t>
      </w:r>
      <w:r w:rsidR="00156DD9">
        <w:rPr>
          <w:rFonts w:eastAsia="Times New Roman" w:cs="Calibri"/>
          <w:sz w:val="24"/>
          <w:szCs w:val="24"/>
          <w:lang w:eastAsia="cs-CZ"/>
        </w:rPr>
        <w:t xml:space="preserve"> a SR</w:t>
      </w:r>
      <w:r w:rsidR="00393DDB" w:rsidRPr="00393DDB">
        <w:rPr>
          <w:rFonts w:eastAsia="Times New Roman" w:cs="Calibri"/>
          <w:sz w:val="24"/>
          <w:szCs w:val="24"/>
          <w:lang w:eastAsia="cs-CZ"/>
        </w:rPr>
        <w:t xml:space="preserve"> </w:t>
      </w:r>
      <w:r w:rsidR="007D788C">
        <w:rPr>
          <w:rFonts w:eastAsia="Times New Roman" w:cs="Calibri"/>
          <w:sz w:val="24"/>
          <w:szCs w:val="24"/>
          <w:lang w:eastAsia="cs-CZ"/>
        </w:rPr>
        <w:t>je</w:t>
      </w:r>
      <w:r w:rsidR="00393DDB" w:rsidRPr="00393DDB">
        <w:rPr>
          <w:rFonts w:eastAsia="Times New Roman" w:cs="Calibri"/>
          <w:sz w:val="24"/>
          <w:szCs w:val="24"/>
          <w:lang w:eastAsia="cs-CZ"/>
        </w:rPr>
        <w:t xml:space="preserve"> </w:t>
      </w:r>
      <w:r w:rsidR="00677716">
        <w:rPr>
          <w:rFonts w:eastAsia="Times New Roman" w:cs="Calibri"/>
          <w:sz w:val="24"/>
          <w:szCs w:val="24"/>
          <w:lang w:eastAsia="cs-CZ"/>
        </w:rPr>
        <w:t xml:space="preserve">částečně </w:t>
      </w:r>
      <w:r w:rsidR="00393DDB" w:rsidRPr="00393DDB">
        <w:rPr>
          <w:rFonts w:eastAsia="Times New Roman" w:cs="Calibri"/>
          <w:sz w:val="24"/>
          <w:szCs w:val="24"/>
          <w:lang w:eastAsia="cs-CZ"/>
        </w:rPr>
        <w:t xml:space="preserve">zapříčiněn </w:t>
      </w:r>
      <w:r w:rsidR="009578DF" w:rsidRPr="006826FA">
        <w:rPr>
          <w:rFonts w:eastAsia="Times New Roman" w:cs="Calibri"/>
          <w:sz w:val="24"/>
          <w:szCs w:val="24"/>
          <w:lang w:eastAsia="cs-CZ"/>
        </w:rPr>
        <w:t xml:space="preserve">tím, </w:t>
      </w:r>
      <w:r w:rsidR="009578DF" w:rsidRPr="00211230">
        <w:rPr>
          <w:rFonts w:eastAsia="Times New Roman" w:cs="Calibri"/>
          <w:sz w:val="24"/>
          <w:szCs w:val="24"/>
          <w:lang w:eastAsia="cs-CZ"/>
        </w:rPr>
        <w:t xml:space="preserve">že údaje ze SR jsou uváděny v podobě průměrných hodnot za </w:t>
      </w:r>
      <w:r w:rsidR="007950F9" w:rsidRPr="00211230">
        <w:rPr>
          <w:rFonts w:eastAsia="Times New Roman" w:cs="Calibri"/>
          <w:sz w:val="24"/>
          <w:szCs w:val="24"/>
          <w:lang w:eastAsia="cs-CZ"/>
        </w:rPr>
        <w:t xml:space="preserve">celé </w:t>
      </w:r>
      <w:r w:rsidR="009578DF" w:rsidRPr="00211230">
        <w:rPr>
          <w:rFonts w:eastAsia="Times New Roman" w:cs="Calibri"/>
          <w:sz w:val="24"/>
          <w:szCs w:val="24"/>
          <w:lang w:eastAsia="cs-CZ"/>
        </w:rPr>
        <w:t>jednotlivé kraje</w:t>
      </w:r>
      <w:r w:rsidR="007950F9" w:rsidRPr="00211230">
        <w:rPr>
          <w:rFonts w:eastAsia="Times New Roman" w:cs="Calibri"/>
          <w:sz w:val="24"/>
          <w:szCs w:val="24"/>
          <w:lang w:eastAsia="cs-CZ"/>
        </w:rPr>
        <w:t>, zatímco v případě ČR za 23 akcí u 5 krajů</w:t>
      </w:r>
      <w:r w:rsidR="007D788C">
        <w:rPr>
          <w:rFonts w:eastAsia="Times New Roman" w:cs="Calibri"/>
          <w:sz w:val="24"/>
          <w:szCs w:val="24"/>
          <w:lang w:eastAsia="cs-CZ"/>
        </w:rPr>
        <w:t>,</w:t>
      </w:r>
      <w:r w:rsidR="009578DF" w:rsidRPr="00211230">
        <w:rPr>
          <w:rFonts w:eastAsia="Times New Roman" w:cs="Calibri"/>
          <w:sz w:val="24"/>
          <w:szCs w:val="24"/>
          <w:lang w:eastAsia="cs-CZ"/>
        </w:rPr>
        <w:t xml:space="preserve"> a dále</w:t>
      </w:r>
      <w:r w:rsidR="009578DF">
        <w:rPr>
          <w:rFonts w:eastAsia="Times New Roman" w:cs="Calibri"/>
          <w:sz w:val="24"/>
          <w:szCs w:val="24"/>
          <w:lang w:eastAsia="cs-CZ"/>
        </w:rPr>
        <w:t xml:space="preserve"> </w:t>
      </w:r>
      <w:r w:rsidR="00156DD9">
        <w:rPr>
          <w:rFonts w:eastAsia="Times New Roman" w:cs="Calibri"/>
          <w:sz w:val="24"/>
          <w:szCs w:val="24"/>
          <w:lang w:eastAsia="cs-CZ"/>
        </w:rPr>
        <w:t xml:space="preserve">zde hrají roli </w:t>
      </w:r>
      <w:r w:rsidR="00393DDB" w:rsidRPr="00393DDB">
        <w:rPr>
          <w:rFonts w:eastAsia="Times New Roman" w:cs="Calibri"/>
          <w:sz w:val="24"/>
          <w:szCs w:val="24"/>
          <w:lang w:eastAsia="cs-CZ"/>
        </w:rPr>
        <w:t>podobn</w:t>
      </w:r>
      <w:r w:rsidR="00156DD9">
        <w:rPr>
          <w:rFonts w:eastAsia="Times New Roman" w:cs="Calibri"/>
          <w:sz w:val="24"/>
          <w:szCs w:val="24"/>
          <w:lang w:eastAsia="cs-CZ"/>
        </w:rPr>
        <w:t>é</w:t>
      </w:r>
      <w:r w:rsidR="00393DDB" w:rsidRPr="00393DDB">
        <w:rPr>
          <w:rFonts w:eastAsia="Times New Roman" w:cs="Calibri"/>
          <w:sz w:val="24"/>
          <w:szCs w:val="24"/>
          <w:lang w:eastAsia="cs-CZ"/>
        </w:rPr>
        <w:t xml:space="preserve"> vlivy, které konstatovali kolegové z NKÚ SR ve své </w:t>
      </w:r>
      <w:r w:rsidR="00677716">
        <w:rPr>
          <w:rFonts w:eastAsia="Times New Roman" w:cs="Calibri"/>
          <w:sz w:val="24"/>
          <w:szCs w:val="24"/>
          <w:lang w:eastAsia="cs-CZ"/>
        </w:rPr>
        <w:t>s</w:t>
      </w:r>
      <w:r w:rsidR="00393DDB" w:rsidRPr="00393DDB">
        <w:rPr>
          <w:rFonts w:eastAsia="Times New Roman" w:cs="Calibri"/>
          <w:sz w:val="24"/>
          <w:szCs w:val="24"/>
          <w:lang w:eastAsia="cs-CZ"/>
        </w:rPr>
        <w:t>ouhrnné zprávě</w:t>
      </w:r>
      <w:r w:rsidR="00227F69">
        <w:rPr>
          <w:rFonts w:eastAsia="Times New Roman" w:cs="Calibri"/>
          <w:sz w:val="24"/>
          <w:szCs w:val="24"/>
          <w:lang w:eastAsia="cs-CZ"/>
        </w:rPr>
        <w:t>, např.</w:t>
      </w:r>
      <w:r w:rsidR="004B1043">
        <w:rPr>
          <w:rFonts w:eastAsia="Times New Roman" w:cs="Calibri"/>
          <w:sz w:val="24"/>
          <w:szCs w:val="24"/>
          <w:lang w:eastAsia="cs-CZ"/>
        </w:rPr>
        <w:t xml:space="preserve"> </w:t>
      </w:r>
      <w:r w:rsidR="00393DDB" w:rsidRPr="00393DDB">
        <w:rPr>
          <w:rFonts w:eastAsia="Times New Roman" w:cs="Calibri"/>
          <w:sz w:val="24"/>
          <w:szCs w:val="24"/>
          <w:lang w:eastAsia="cs-CZ"/>
        </w:rPr>
        <w:t xml:space="preserve">srovnání </w:t>
      </w:r>
      <w:r w:rsidR="00305177">
        <w:rPr>
          <w:rFonts w:eastAsia="Times New Roman" w:cs="Calibri"/>
          <w:sz w:val="24"/>
          <w:szCs w:val="24"/>
          <w:lang w:eastAsia="cs-CZ"/>
        </w:rPr>
        <w:t>nezohledňuje</w:t>
      </w:r>
      <w:r w:rsidR="00393DDB" w:rsidRPr="00393DDB">
        <w:rPr>
          <w:rFonts w:eastAsia="Times New Roman" w:cs="Calibri"/>
          <w:sz w:val="24"/>
          <w:szCs w:val="24"/>
          <w:lang w:eastAsia="cs-CZ"/>
        </w:rPr>
        <w:t xml:space="preserve"> úseky s různými parametry členitosti, v některých případech s nově budovanými napojeními na stávající komunikace, s rozdílnými požadavky na sanaci podkladních vrstev atd. </w:t>
      </w:r>
    </w:p>
    <w:p w14:paraId="7B37B530" w14:textId="77777777" w:rsidR="007C0B10" w:rsidRDefault="007C0B10" w:rsidP="005D6760">
      <w:pPr>
        <w:spacing w:after="0" w:line="240" w:lineRule="auto"/>
        <w:jc w:val="both"/>
        <w:rPr>
          <w:rFonts w:eastAsia="Times New Roman" w:cs="Calibri"/>
          <w:sz w:val="24"/>
          <w:szCs w:val="24"/>
          <w:lang w:eastAsia="cs-CZ"/>
        </w:rPr>
      </w:pPr>
    </w:p>
    <w:p w14:paraId="232EF484" w14:textId="0F0DAE30" w:rsidR="00393DDB"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Do srovnání nebyly zahrnuty nově budované úseky silnic, sanace povodňových škod a opravy mostních objektů, podobně jako nebyly zahrnuty ve vyčíslení nákladů v</w:t>
      </w:r>
      <w:r w:rsidR="000854FB">
        <w:rPr>
          <w:rFonts w:eastAsia="Times New Roman" w:cs="Calibri"/>
          <w:sz w:val="24"/>
          <w:szCs w:val="24"/>
          <w:lang w:eastAsia="cs-CZ"/>
        </w:rPr>
        <w:t> souhrnné</w:t>
      </w:r>
      <w:r w:rsidRPr="00393DDB">
        <w:rPr>
          <w:rFonts w:eastAsia="Times New Roman" w:cs="Calibri"/>
          <w:sz w:val="24"/>
          <w:szCs w:val="24"/>
          <w:lang w:eastAsia="cs-CZ"/>
        </w:rPr>
        <w:t xml:space="preserve"> zprávě NKÚ SR. Grafické znázornění nákladů je</w:t>
      </w:r>
      <w:r w:rsidR="007D788C">
        <w:rPr>
          <w:rFonts w:eastAsia="Times New Roman" w:cs="Calibri"/>
          <w:sz w:val="24"/>
          <w:szCs w:val="24"/>
          <w:lang w:eastAsia="cs-CZ"/>
        </w:rPr>
        <w:t xml:space="preserve"> vyjádřeno</w:t>
      </w:r>
      <w:r w:rsidRPr="00393DDB">
        <w:rPr>
          <w:rFonts w:eastAsia="Times New Roman" w:cs="Calibri"/>
          <w:sz w:val="24"/>
          <w:szCs w:val="24"/>
          <w:lang w:eastAsia="cs-CZ"/>
        </w:rPr>
        <w:t xml:space="preserve"> v grafu č. </w:t>
      </w:r>
      <w:r w:rsidR="008379DC">
        <w:rPr>
          <w:rFonts w:eastAsia="Times New Roman" w:cs="Calibri"/>
          <w:sz w:val="24"/>
          <w:szCs w:val="24"/>
          <w:lang w:eastAsia="cs-CZ"/>
        </w:rPr>
        <w:t>10</w:t>
      </w:r>
      <w:r w:rsidR="007D788C">
        <w:rPr>
          <w:rFonts w:eastAsia="Times New Roman" w:cs="Calibri"/>
          <w:sz w:val="24"/>
          <w:szCs w:val="24"/>
          <w:lang w:eastAsia="cs-CZ"/>
        </w:rPr>
        <w:t>.</w:t>
      </w:r>
    </w:p>
    <w:p w14:paraId="5B672C04" w14:textId="77777777" w:rsidR="007C0B10" w:rsidRDefault="007C0B10" w:rsidP="005D6760">
      <w:pPr>
        <w:spacing w:after="0" w:line="240" w:lineRule="auto"/>
        <w:jc w:val="both"/>
        <w:rPr>
          <w:rFonts w:eastAsia="Times New Roman" w:cs="Calibri"/>
          <w:sz w:val="24"/>
          <w:szCs w:val="24"/>
          <w:lang w:eastAsia="cs-CZ"/>
        </w:rPr>
      </w:pPr>
    </w:p>
    <w:p w14:paraId="20107AE9" w14:textId="7FABDCA4" w:rsidR="00796121" w:rsidRPr="00196D71" w:rsidRDefault="001A4511" w:rsidP="00032477">
      <w:pPr>
        <w:tabs>
          <w:tab w:val="right" w:pos="9072"/>
        </w:tabs>
        <w:spacing w:after="40" w:line="240" w:lineRule="auto"/>
        <w:ind w:left="1276" w:hanging="1276"/>
        <w:jc w:val="both"/>
        <w:rPr>
          <w:rFonts w:eastAsia="Times New Roman" w:cs="Calibri"/>
          <w:b/>
          <w:sz w:val="24"/>
          <w:szCs w:val="24"/>
          <w:lang w:eastAsia="cs-CZ"/>
        </w:rPr>
      </w:pPr>
      <w:r>
        <w:rPr>
          <w:rFonts w:cs="Calibri"/>
          <w:noProof/>
          <w:color w:val="000000"/>
          <w:sz w:val="24"/>
          <w:szCs w:val="24"/>
          <w:u w:val="single"/>
          <w:lang w:eastAsia="cs-CZ"/>
        </w:rPr>
        <w:drawing>
          <wp:anchor distT="0" distB="0" distL="114300" distR="114300" simplePos="0" relativeHeight="251661312" behindDoc="0" locked="0" layoutInCell="1" allowOverlap="1" wp14:anchorId="43C7EBE2" wp14:editId="67B12254">
            <wp:simplePos x="0" y="0"/>
            <wp:positionH relativeFrom="column">
              <wp:posOffset>-1905</wp:posOffset>
            </wp:positionH>
            <wp:positionV relativeFrom="paragraph">
              <wp:posOffset>396240</wp:posOffset>
            </wp:positionV>
            <wp:extent cx="5780405" cy="251968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040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121" w:rsidRPr="00196D71">
        <w:rPr>
          <w:rFonts w:eastAsia="Times New Roman" w:cs="Calibri"/>
          <w:b/>
          <w:sz w:val="24"/>
          <w:szCs w:val="24"/>
          <w:lang w:eastAsia="cs-CZ"/>
        </w:rPr>
        <w:t xml:space="preserve">Graf č. </w:t>
      </w:r>
      <w:r w:rsidR="008379DC" w:rsidRPr="00196D71">
        <w:rPr>
          <w:rFonts w:eastAsia="Times New Roman" w:cs="Calibri"/>
          <w:b/>
          <w:sz w:val="24"/>
          <w:szCs w:val="24"/>
          <w:lang w:eastAsia="cs-CZ"/>
        </w:rPr>
        <w:t>10</w:t>
      </w:r>
      <w:r w:rsidR="00032477">
        <w:rPr>
          <w:rFonts w:eastAsia="Times New Roman" w:cs="Calibri"/>
          <w:b/>
          <w:sz w:val="24"/>
          <w:szCs w:val="24"/>
          <w:lang w:eastAsia="cs-CZ"/>
        </w:rPr>
        <w:t xml:space="preserve"> –</w:t>
      </w:r>
      <w:r w:rsidR="00032477">
        <w:rPr>
          <w:rFonts w:eastAsia="Times New Roman" w:cs="Calibri"/>
          <w:b/>
          <w:sz w:val="24"/>
          <w:szCs w:val="24"/>
          <w:lang w:eastAsia="cs-CZ"/>
        </w:rPr>
        <w:tab/>
        <w:t xml:space="preserve">Porovnání průměrných nákladů na rekonstrukci 1 km </w:t>
      </w:r>
      <w:r w:rsidR="00196D71">
        <w:rPr>
          <w:rFonts w:eastAsia="Times New Roman" w:cs="Calibri"/>
          <w:b/>
          <w:sz w:val="24"/>
          <w:szCs w:val="24"/>
          <w:lang w:eastAsia="cs-CZ"/>
        </w:rPr>
        <w:t>silnic</w:t>
      </w:r>
      <w:r w:rsidR="00032477">
        <w:rPr>
          <w:rFonts w:eastAsia="Times New Roman" w:cs="Calibri"/>
          <w:b/>
          <w:sz w:val="24"/>
          <w:szCs w:val="24"/>
          <w:lang w:eastAsia="cs-CZ"/>
        </w:rPr>
        <w:t xml:space="preserve"> II. a III. tříd v ČR a SR</w:t>
      </w:r>
    </w:p>
    <w:p w14:paraId="3347EDE0" w14:textId="77777777" w:rsidR="007950F9" w:rsidRDefault="007950F9" w:rsidP="001A4511">
      <w:pPr>
        <w:spacing w:after="120" w:line="240" w:lineRule="auto"/>
        <w:jc w:val="both"/>
        <w:rPr>
          <w:rFonts w:cs="Calibri"/>
          <w:color w:val="000000"/>
          <w:sz w:val="24"/>
          <w:szCs w:val="24"/>
          <w:u w:val="single"/>
        </w:rPr>
      </w:pPr>
    </w:p>
    <w:p w14:paraId="697D6AD0" w14:textId="77777777" w:rsidR="00393DDB" w:rsidRPr="00677716" w:rsidRDefault="00393DDB" w:rsidP="005D6760">
      <w:pPr>
        <w:autoSpaceDE w:val="0"/>
        <w:autoSpaceDN w:val="0"/>
        <w:adjustRightInd w:val="0"/>
        <w:spacing w:after="0" w:line="240" w:lineRule="auto"/>
        <w:jc w:val="both"/>
        <w:rPr>
          <w:rFonts w:cs="Calibri"/>
          <w:b/>
          <w:color w:val="000000"/>
          <w:sz w:val="24"/>
          <w:szCs w:val="24"/>
        </w:rPr>
      </w:pPr>
      <w:r w:rsidRPr="00677716">
        <w:rPr>
          <w:rFonts w:cs="Calibri"/>
          <w:b/>
          <w:color w:val="000000"/>
          <w:sz w:val="24"/>
          <w:szCs w:val="24"/>
        </w:rPr>
        <w:t>2. Oblast zdrojů financování</w:t>
      </w:r>
    </w:p>
    <w:p w14:paraId="0B778F7F" w14:textId="77777777" w:rsidR="005E4B02" w:rsidRDefault="005E4B02" w:rsidP="005D6760">
      <w:pPr>
        <w:spacing w:after="0" w:line="240" w:lineRule="auto"/>
        <w:jc w:val="both"/>
        <w:rPr>
          <w:rFonts w:eastAsia="Times New Roman" w:cs="Calibri"/>
          <w:sz w:val="24"/>
          <w:szCs w:val="24"/>
          <w:lang w:eastAsia="cs-CZ"/>
        </w:rPr>
      </w:pPr>
    </w:p>
    <w:p w14:paraId="04C8BE20" w14:textId="3AD9A1EE" w:rsidR="00393DDB" w:rsidRPr="00393DDB"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Srovnání </w:t>
      </w:r>
      <w:r w:rsidR="007D788C">
        <w:rPr>
          <w:rFonts w:eastAsia="Times New Roman" w:cs="Calibri"/>
          <w:sz w:val="24"/>
          <w:szCs w:val="24"/>
          <w:lang w:eastAsia="cs-CZ"/>
        </w:rPr>
        <w:t>oblastí</w:t>
      </w:r>
      <w:r w:rsidRPr="00393DDB">
        <w:rPr>
          <w:rFonts w:eastAsia="Times New Roman" w:cs="Calibri"/>
          <w:sz w:val="24"/>
          <w:szCs w:val="24"/>
          <w:lang w:eastAsia="cs-CZ"/>
        </w:rPr>
        <w:t xml:space="preserve"> zdrojů financování ukázalo rozdílnou situaci mezi oběma republikami jak v oblasti dotací, tak v oblasti vlastních zdrojů krajů. Situaci v SR zobrazuje graf č. 1</w:t>
      </w:r>
      <w:r w:rsidR="008379DC">
        <w:rPr>
          <w:rFonts w:eastAsia="Times New Roman" w:cs="Calibri"/>
          <w:sz w:val="24"/>
          <w:szCs w:val="24"/>
          <w:lang w:eastAsia="cs-CZ"/>
        </w:rPr>
        <w:t>1</w:t>
      </w:r>
      <w:r w:rsidRPr="00393DDB">
        <w:rPr>
          <w:rFonts w:eastAsia="Times New Roman" w:cs="Calibri"/>
          <w:sz w:val="24"/>
          <w:szCs w:val="24"/>
          <w:lang w:eastAsia="cs-CZ"/>
        </w:rPr>
        <w:t xml:space="preserve">, z něhož je zřejmé, že největší podíl na financování silnic krajů (včetně letní a zimní údržby) mají vlastní </w:t>
      </w:r>
      <w:r w:rsidRPr="00393DDB">
        <w:rPr>
          <w:rFonts w:eastAsia="Times New Roman" w:cs="Calibri"/>
          <w:sz w:val="24"/>
          <w:szCs w:val="24"/>
          <w:lang w:eastAsia="cs-CZ"/>
        </w:rPr>
        <w:lastRenderedPageBreak/>
        <w:t xml:space="preserve">zdroje. Mezi ně patří daň z motorových vozidel, která je </w:t>
      </w:r>
      <w:r w:rsidR="00D10F4A">
        <w:rPr>
          <w:rFonts w:eastAsia="Times New Roman" w:cs="Calibri"/>
          <w:sz w:val="24"/>
          <w:szCs w:val="24"/>
          <w:lang w:eastAsia="cs-CZ"/>
        </w:rPr>
        <w:t>v SR</w:t>
      </w:r>
      <w:r w:rsidRPr="00393DDB">
        <w:rPr>
          <w:rFonts w:eastAsia="Times New Roman" w:cs="Calibri"/>
          <w:sz w:val="24"/>
          <w:szCs w:val="24"/>
          <w:lang w:eastAsia="cs-CZ"/>
        </w:rPr>
        <w:t xml:space="preserve"> příjmem krajů. Dotace z EU tvořily v kontrolovaném období 27 % peněžních prostředků vynaložených na silnice krajů.</w:t>
      </w:r>
    </w:p>
    <w:p w14:paraId="43622E83" w14:textId="50B009F8" w:rsidR="00393DDB" w:rsidRPr="00196D71" w:rsidRDefault="00393DDB" w:rsidP="003B4789">
      <w:pPr>
        <w:keepNext/>
        <w:tabs>
          <w:tab w:val="right" w:pos="9072"/>
        </w:tabs>
        <w:spacing w:after="40" w:line="240" w:lineRule="auto"/>
        <w:ind w:left="1276" w:hanging="1276"/>
        <w:jc w:val="both"/>
        <w:rPr>
          <w:rFonts w:eastAsia="Times New Roman" w:cs="Calibri"/>
          <w:b/>
          <w:sz w:val="24"/>
          <w:szCs w:val="24"/>
          <w:lang w:eastAsia="cs-CZ"/>
        </w:rPr>
      </w:pPr>
      <w:r w:rsidRPr="00196D71">
        <w:rPr>
          <w:rFonts w:eastAsia="Times New Roman" w:cs="Calibri"/>
          <w:b/>
          <w:sz w:val="24"/>
          <w:szCs w:val="24"/>
          <w:lang w:eastAsia="cs-CZ"/>
        </w:rPr>
        <w:t>Graf č. 1</w:t>
      </w:r>
      <w:r w:rsidR="008379DC" w:rsidRPr="00196D71">
        <w:rPr>
          <w:rFonts w:eastAsia="Times New Roman" w:cs="Calibri"/>
          <w:b/>
          <w:sz w:val="24"/>
          <w:szCs w:val="24"/>
          <w:lang w:eastAsia="cs-CZ"/>
        </w:rPr>
        <w:t>1</w:t>
      </w:r>
      <w:r w:rsidR="00032477">
        <w:rPr>
          <w:rFonts w:eastAsia="Times New Roman" w:cs="Calibri"/>
          <w:b/>
          <w:sz w:val="24"/>
          <w:szCs w:val="24"/>
          <w:lang w:eastAsia="cs-CZ"/>
        </w:rPr>
        <w:t xml:space="preserve"> –</w:t>
      </w:r>
      <w:r w:rsidR="00032477">
        <w:rPr>
          <w:rFonts w:eastAsia="Times New Roman" w:cs="Calibri"/>
          <w:b/>
          <w:sz w:val="24"/>
          <w:szCs w:val="24"/>
          <w:lang w:eastAsia="cs-CZ"/>
        </w:rPr>
        <w:tab/>
        <w:t>Skladba zdrojů</w:t>
      </w:r>
      <w:r w:rsidR="003B4789">
        <w:rPr>
          <w:rFonts w:eastAsia="Times New Roman" w:cs="Calibri"/>
          <w:b/>
          <w:sz w:val="24"/>
          <w:szCs w:val="24"/>
          <w:lang w:eastAsia="cs-CZ"/>
        </w:rPr>
        <w:t xml:space="preserve"> financování v SR v období 2010–2012</w:t>
      </w:r>
      <w:r w:rsidR="00032477">
        <w:rPr>
          <w:rFonts w:eastAsia="Times New Roman" w:cs="Calibri"/>
          <w:b/>
          <w:sz w:val="24"/>
          <w:szCs w:val="24"/>
          <w:lang w:eastAsia="cs-CZ"/>
        </w:rPr>
        <w:tab/>
      </w:r>
    </w:p>
    <w:p w14:paraId="289F26A4" w14:textId="77777777" w:rsidR="00393DDB" w:rsidRPr="00393DDB" w:rsidRDefault="00FC2838" w:rsidP="007C0B10">
      <w:pPr>
        <w:keepNext/>
        <w:spacing w:after="0" w:line="240" w:lineRule="auto"/>
        <w:jc w:val="both"/>
        <w:rPr>
          <w:rFonts w:eastAsia="Times New Roman" w:cs="Calibri"/>
          <w:sz w:val="24"/>
          <w:szCs w:val="24"/>
          <w:lang w:eastAsia="cs-CZ"/>
        </w:rPr>
      </w:pPr>
      <w:r w:rsidRPr="00AF5802">
        <w:rPr>
          <w:rFonts w:eastAsia="Times New Roman" w:cs="Times New Roman"/>
          <w:noProof/>
          <w:sz w:val="24"/>
          <w:szCs w:val="24"/>
          <w:lang w:eastAsia="cs-CZ"/>
        </w:rPr>
        <w:drawing>
          <wp:inline distT="0" distB="0" distL="0" distR="0" wp14:anchorId="5665D7FA" wp14:editId="1C1B758D">
            <wp:extent cx="5701086" cy="287972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9A2D41" w14:textId="77777777" w:rsidR="00393DDB" w:rsidRDefault="00393DDB" w:rsidP="005D6760">
      <w:pPr>
        <w:spacing w:after="0" w:line="240" w:lineRule="auto"/>
        <w:jc w:val="both"/>
        <w:rPr>
          <w:rFonts w:eastAsia="Times New Roman" w:cs="Calibri"/>
          <w:sz w:val="24"/>
          <w:szCs w:val="24"/>
          <w:lang w:eastAsia="cs-CZ"/>
        </w:rPr>
      </w:pPr>
    </w:p>
    <w:p w14:paraId="41C701FC" w14:textId="0F7F5889" w:rsidR="008379DC"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Situace v ČR nebyla kontrolována plošně, proto je skladba zdrojů peněžních prostředků vynaložených na opravy a modernizace silnic krajů souhrnem za 4 kraje – Liberecký, Moravskoslezský, Pardubický a Plzeňský</w:t>
      </w:r>
      <w:r w:rsidRPr="00BE07FA">
        <w:rPr>
          <w:rFonts w:eastAsia="Times New Roman" w:cs="Calibri"/>
          <w:sz w:val="24"/>
          <w:szCs w:val="24"/>
          <w:lang w:eastAsia="cs-CZ"/>
        </w:rPr>
        <w:t>, tj. kraje, z nichž byly získány údaje za celý kraj.</w:t>
      </w:r>
      <w:r w:rsidRPr="00393DDB">
        <w:rPr>
          <w:rFonts w:eastAsia="Times New Roman" w:cs="Calibri"/>
          <w:sz w:val="24"/>
          <w:szCs w:val="24"/>
          <w:lang w:eastAsia="cs-CZ"/>
        </w:rPr>
        <w:t xml:space="preserve"> Z grafu č. 1</w:t>
      </w:r>
      <w:r w:rsidR="008379DC">
        <w:rPr>
          <w:rFonts w:eastAsia="Times New Roman" w:cs="Calibri"/>
          <w:sz w:val="24"/>
          <w:szCs w:val="24"/>
          <w:lang w:eastAsia="cs-CZ"/>
        </w:rPr>
        <w:t>2</w:t>
      </w:r>
      <w:r w:rsidRPr="00393DDB">
        <w:rPr>
          <w:rFonts w:eastAsia="Times New Roman" w:cs="Calibri"/>
          <w:sz w:val="24"/>
          <w:szCs w:val="24"/>
          <w:lang w:eastAsia="cs-CZ"/>
        </w:rPr>
        <w:t xml:space="preserve"> je zřejmé, že téměř </w:t>
      </w:r>
      <w:r w:rsidR="008E11C3">
        <w:rPr>
          <w:rFonts w:eastAsia="Times New Roman" w:cstheme="minorHAnsi"/>
          <w:sz w:val="24"/>
          <w:szCs w:val="24"/>
          <w:lang w:eastAsia="cs-CZ"/>
        </w:rPr>
        <w:t>⅔</w:t>
      </w:r>
      <w:r w:rsidRPr="00393DDB">
        <w:rPr>
          <w:rFonts w:eastAsia="Times New Roman" w:cs="Calibri"/>
          <w:sz w:val="24"/>
          <w:szCs w:val="24"/>
          <w:lang w:eastAsia="cs-CZ"/>
        </w:rPr>
        <w:t xml:space="preserve"> vynaložených prostředků bylo z dotací, a to z EU (51,6 %), SFDI (13,5 %) a MMR (0,1 %). Vlastní zdroje krajů pokryly 34,8 % výdajů. </w:t>
      </w:r>
    </w:p>
    <w:p w14:paraId="0AA405A1" w14:textId="77777777" w:rsidR="007C0B10" w:rsidRDefault="007C0B10" w:rsidP="005D6760">
      <w:pPr>
        <w:spacing w:after="0" w:line="240" w:lineRule="auto"/>
        <w:jc w:val="both"/>
        <w:rPr>
          <w:rFonts w:eastAsia="Times New Roman" w:cs="Calibri"/>
          <w:sz w:val="24"/>
          <w:szCs w:val="24"/>
          <w:lang w:eastAsia="cs-CZ"/>
        </w:rPr>
      </w:pPr>
    </w:p>
    <w:p w14:paraId="5178A63D" w14:textId="77777777" w:rsidR="00393DDB" w:rsidRPr="00393DDB"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Do uvedených přehledů nebyly zahrnuty prostředky vynaložené na letní a zimní údržbu silnic, která nebyla předmětem kontroly č. 17/09.</w:t>
      </w:r>
    </w:p>
    <w:p w14:paraId="1C8E4735" w14:textId="77777777" w:rsidR="00393DDB" w:rsidRPr="00393DDB" w:rsidRDefault="00393DDB" w:rsidP="005D6760">
      <w:pPr>
        <w:spacing w:after="0" w:line="240" w:lineRule="auto"/>
        <w:jc w:val="both"/>
        <w:rPr>
          <w:rFonts w:eastAsia="Times New Roman" w:cs="Calibri"/>
          <w:sz w:val="24"/>
          <w:szCs w:val="24"/>
          <w:lang w:eastAsia="cs-CZ"/>
        </w:rPr>
      </w:pPr>
    </w:p>
    <w:p w14:paraId="194E75F4" w14:textId="4E17CF50" w:rsidR="00393DDB" w:rsidRPr="00196D71" w:rsidRDefault="00393DDB" w:rsidP="003B4789">
      <w:pPr>
        <w:tabs>
          <w:tab w:val="right" w:pos="9072"/>
        </w:tabs>
        <w:spacing w:after="40" w:line="240" w:lineRule="auto"/>
        <w:ind w:left="1276" w:hanging="1276"/>
        <w:jc w:val="both"/>
        <w:rPr>
          <w:rFonts w:eastAsia="Times New Roman" w:cs="Calibri"/>
          <w:b/>
          <w:sz w:val="24"/>
          <w:szCs w:val="24"/>
          <w:lang w:eastAsia="cs-CZ"/>
        </w:rPr>
      </w:pPr>
      <w:r w:rsidRPr="00196D71">
        <w:rPr>
          <w:rFonts w:eastAsia="Times New Roman" w:cs="Calibri"/>
          <w:b/>
          <w:sz w:val="24"/>
          <w:szCs w:val="24"/>
          <w:lang w:eastAsia="cs-CZ"/>
        </w:rPr>
        <w:t>Graf č. 1</w:t>
      </w:r>
      <w:r w:rsidR="008379DC" w:rsidRPr="00196D71">
        <w:rPr>
          <w:rFonts w:eastAsia="Times New Roman" w:cs="Calibri"/>
          <w:b/>
          <w:sz w:val="24"/>
          <w:szCs w:val="24"/>
          <w:lang w:eastAsia="cs-CZ"/>
        </w:rPr>
        <w:t>2</w:t>
      </w:r>
      <w:r w:rsidR="003B4789">
        <w:rPr>
          <w:rFonts w:eastAsia="Times New Roman" w:cs="Calibri"/>
          <w:b/>
          <w:sz w:val="24"/>
          <w:szCs w:val="24"/>
          <w:lang w:eastAsia="cs-CZ"/>
        </w:rPr>
        <w:t xml:space="preserve"> –</w:t>
      </w:r>
      <w:r w:rsidR="003B4789">
        <w:rPr>
          <w:rFonts w:eastAsia="Times New Roman" w:cs="Calibri"/>
          <w:b/>
          <w:sz w:val="24"/>
          <w:szCs w:val="24"/>
          <w:lang w:eastAsia="cs-CZ"/>
        </w:rPr>
        <w:tab/>
        <w:t>Skladba zdrojů financování</w:t>
      </w:r>
      <w:r w:rsidR="0093316E">
        <w:rPr>
          <w:rFonts w:eastAsia="Times New Roman" w:cs="Calibri"/>
          <w:b/>
          <w:sz w:val="24"/>
          <w:szCs w:val="24"/>
          <w:lang w:eastAsia="cs-CZ"/>
        </w:rPr>
        <w:t xml:space="preserve"> v období 2012–2016</w:t>
      </w:r>
      <w:r w:rsidR="003B4789">
        <w:rPr>
          <w:rFonts w:eastAsia="Times New Roman" w:cs="Calibri"/>
          <w:b/>
          <w:sz w:val="24"/>
          <w:szCs w:val="24"/>
          <w:lang w:eastAsia="cs-CZ"/>
        </w:rPr>
        <w:t xml:space="preserve"> – </w:t>
      </w:r>
      <w:r w:rsidR="0093316E">
        <w:rPr>
          <w:rFonts w:eastAsia="Times New Roman" w:cs="Calibri"/>
          <w:b/>
          <w:sz w:val="24"/>
          <w:szCs w:val="24"/>
          <w:lang w:eastAsia="cs-CZ"/>
        </w:rPr>
        <w:t>vybrané kraje ČR</w:t>
      </w:r>
      <w:r w:rsidR="003B4789">
        <w:rPr>
          <w:rFonts w:eastAsia="Times New Roman" w:cs="Calibri"/>
          <w:b/>
          <w:sz w:val="24"/>
          <w:szCs w:val="24"/>
          <w:lang w:eastAsia="cs-CZ"/>
        </w:rPr>
        <w:tab/>
      </w:r>
    </w:p>
    <w:p w14:paraId="720FBFDE" w14:textId="77777777" w:rsidR="00393DDB" w:rsidRDefault="00BE61C5" w:rsidP="00393DDB">
      <w:pPr>
        <w:spacing w:after="0" w:line="240" w:lineRule="auto"/>
        <w:jc w:val="both"/>
        <w:rPr>
          <w:rFonts w:eastAsia="Times New Roman" w:cs="Calibri"/>
          <w:sz w:val="24"/>
          <w:szCs w:val="24"/>
          <w:lang w:eastAsia="cs-CZ"/>
        </w:rPr>
      </w:pPr>
      <w:r w:rsidRPr="00AF5802">
        <w:rPr>
          <w:rFonts w:eastAsia="Times New Roman" w:cs="Times New Roman"/>
          <w:noProof/>
          <w:sz w:val="24"/>
          <w:szCs w:val="24"/>
          <w:lang w:eastAsia="cs-CZ"/>
        </w:rPr>
        <w:drawing>
          <wp:inline distT="0" distB="0" distL="0" distR="0" wp14:anchorId="647972FE" wp14:editId="223D7323">
            <wp:extent cx="5852160" cy="29178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40AA9F" w14:textId="77777777" w:rsidR="007C0B10" w:rsidRPr="00393DDB" w:rsidRDefault="007C0B10" w:rsidP="005D6760">
      <w:pPr>
        <w:spacing w:after="0" w:line="240" w:lineRule="auto"/>
        <w:jc w:val="both"/>
        <w:rPr>
          <w:rFonts w:eastAsia="Times New Roman" w:cs="Calibri"/>
          <w:sz w:val="24"/>
          <w:szCs w:val="24"/>
          <w:lang w:eastAsia="cs-CZ"/>
        </w:rPr>
      </w:pPr>
    </w:p>
    <w:p w14:paraId="08DE8316" w14:textId="77777777" w:rsidR="00393DDB" w:rsidRPr="00677716" w:rsidRDefault="00393DDB" w:rsidP="00FC2838">
      <w:pPr>
        <w:keepNext/>
        <w:autoSpaceDE w:val="0"/>
        <w:autoSpaceDN w:val="0"/>
        <w:adjustRightInd w:val="0"/>
        <w:spacing w:after="0" w:line="240" w:lineRule="auto"/>
        <w:jc w:val="both"/>
        <w:rPr>
          <w:rFonts w:cs="Calibri"/>
          <w:b/>
          <w:color w:val="000000"/>
          <w:sz w:val="24"/>
          <w:szCs w:val="24"/>
        </w:rPr>
      </w:pPr>
      <w:r w:rsidRPr="00677716">
        <w:rPr>
          <w:rFonts w:cs="Calibri"/>
          <w:b/>
          <w:color w:val="000000"/>
          <w:sz w:val="24"/>
          <w:szCs w:val="24"/>
        </w:rPr>
        <w:lastRenderedPageBreak/>
        <w:t>3. Oblast stavu silnic II. a III. třídy</w:t>
      </w:r>
    </w:p>
    <w:p w14:paraId="5B5796FE" w14:textId="77777777" w:rsidR="005D6760" w:rsidRDefault="005D6760" w:rsidP="00FC2838">
      <w:pPr>
        <w:keepNext/>
        <w:spacing w:after="0" w:line="240" w:lineRule="auto"/>
        <w:jc w:val="both"/>
        <w:rPr>
          <w:rFonts w:eastAsia="Times New Roman" w:cs="Calibri"/>
          <w:sz w:val="24"/>
          <w:szCs w:val="24"/>
          <w:lang w:eastAsia="cs-CZ"/>
        </w:rPr>
      </w:pPr>
    </w:p>
    <w:p w14:paraId="4A486A5C" w14:textId="41B2A213" w:rsidR="00EB4966" w:rsidRDefault="00393DDB" w:rsidP="00FC2838">
      <w:pPr>
        <w:keepNext/>
        <w:spacing w:after="0" w:line="240" w:lineRule="auto"/>
        <w:jc w:val="both"/>
        <w:rPr>
          <w:rFonts w:eastAsia="Times New Roman" w:cs="Calibri"/>
          <w:sz w:val="24"/>
          <w:szCs w:val="24"/>
          <w:lang w:eastAsia="cs-CZ"/>
        </w:rPr>
      </w:pPr>
      <w:r w:rsidRPr="00393DDB">
        <w:rPr>
          <w:rFonts w:eastAsia="Times New Roman" w:cs="Calibri"/>
          <w:sz w:val="24"/>
          <w:szCs w:val="24"/>
          <w:lang w:eastAsia="cs-CZ"/>
        </w:rPr>
        <w:t>V období 2010 až 2012 bylo pokryto v SR 60 % výdajů na rekonstrukce a údržbu silnic II.</w:t>
      </w:r>
      <w:r w:rsidR="008E11C3">
        <w:rPr>
          <w:rFonts w:eastAsia="Times New Roman" w:cs="Calibri"/>
          <w:sz w:val="24"/>
          <w:szCs w:val="24"/>
          <w:lang w:eastAsia="cs-CZ"/>
        </w:rPr>
        <w:t> </w:t>
      </w:r>
      <w:r w:rsidRPr="00393DDB">
        <w:rPr>
          <w:rFonts w:eastAsia="Times New Roman" w:cs="Calibri"/>
          <w:sz w:val="24"/>
          <w:szCs w:val="24"/>
          <w:lang w:eastAsia="cs-CZ"/>
        </w:rPr>
        <w:t>a</w:t>
      </w:r>
      <w:r w:rsidR="008E11C3">
        <w:rPr>
          <w:rFonts w:eastAsia="Times New Roman" w:cs="Calibri"/>
          <w:sz w:val="24"/>
          <w:szCs w:val="24"/>
          <w:lang w:eastAsia="cs-CZ"/>
        </w:rPr>
        <w:t> </w:t>
      </w:r>
      <w:r w:rsidRPr="00393DDB">
        <w:rPr>
          <w:rFonts w:eastAsia="Times New Roman" w:cs="Calibri"/>
          <w:sz w:val="24"/>
          <w:szCs w:val="24"/>
          <w:lang w:eastAsia="cs-CZ"/>
        </w:rPr>
        <w:t>III.</w:t>
      </w:r>
      <w:r w:rsidR="008E11C3">
        <w:rPr>
          <w:rFonts w:eastAsia="Times New Roman" w:cs="Calibri"/>
          <w:sz w:val="24"/>
          <w:szCs w:val="24"/>
          <w:lang w:eastAsia="cs-CZ"/>
        </w:rPr>
        <w:t> </w:t>
      </w:r>
      <w:r w:rsidRPr="00393DDB">
        <w:rPr>
          <w:rFonts w:eastAsia="Times New Roman" w:cs="Calibri"/>
          <w:sz w:val="24"/>
          <w:szCs w:val="24"/>
          <w:lang w:eastAsia="cs-CZ"/>
        </w:rPr>
        <w:t xml:space="preserve">třídy z vlastních zdrojů krajů. Prostředky EU pokryly 27 % výdajů a zbývajících 13 % bylo pokryto ze státního rozpočtu a jiných zdrojů. Skladba zdrojů u kontrolovaných krajů v ČR byla odlišná, největší část výdajů ve výši 51,6 % pokryly dotace EU, 13,6 % bylo kryto dotacemi ze státního rozpočtu a vlastní zdroje krajů pokryly 34,8 % výdajů. Dotacemi byly tedy pokryty téměř </w:t>
      </w:r>
      <w:r w:rsidR="00561774">
        <w:rPr>
          <w:rFonts w:eastAsia="Times New Roman" w:cstheme="minorHAnsi"/>
          <w:sz w:val="24"/>
          <w:szCs w:val="24"/>
          <w:lang w:eastAsia="cs-CZ"/>
        </w:rPr>
        <w:t>⅔</w:t>
      </w:r>
      <w:r w:rsidRPr="00393DDB">
        <w:rPr>
          <w:rFonts w:eastAsia="Times New Roman" w:cs="Calibri"/>
          <w:sz w:val="24"/>
          <w:szCs w:val="24"/>
          <w:lang w:eastAsia="cs-CZ"/>
        </w:rPr>
        <w:t xml:space="preserve"> výdajů na opravy a modernizace silnic II. a III. třídy. Uvedený výsledek svědčí o</w:t>
      </w:r>
      <w:r w:rsidR="00561774">
        <w:rPr>
          <w:rFonts w:eastAsia="Times New Roman" w:cs="Calibri"/>
          <w:sz w:val="24"/>
          <w:szCs w:val="24"/>
          <w:lang w:eastAsia="cs-CZ"/>
        </w:rPr>
        <w:t> </w:t>
      </w:r>
      <w:r w:rsidRPr="00393DDB">
        <w:rPr>
          <w:rFonts w:eastAsia="Times New Roman" w:cs="Calibri"/>
          <w:sz w:val="24"/>
          <w:szCs w:val="24"/>
          <w:lang w:eastAsia="cs-CZ"/>
        </w:rPr>
        <w:t xml:space="preserve">snaze krajů v ČR využít zdroje EU ve prospěch zlepšení stavu silnic. </w:t>
      </w:r>
    </w:p>
    <w:p w14:paraId="57252E53" w14:textId="77777777" w:rsidR="006826FA" w:rsidRDefault="006826FA" w:rsidP="005D6760">
      <w:pPr>
        <w:spacing w:after="0" w:line="240" w:lineRule="auto"/>
        <w:jc w:val="both"/>
        <w:rPr>
          <w:rFonts w:eastAsia="Times New Roman" w:cs="Calibri"/>
          <w:sz w:val="24"/>
          <w:szCs w:val="24"/>
          <w:lang w:eastAsia="cs-CZ"/>
        </w:rPr>
      </w:pPr>
    </w:p>
    <w:p w14:paraId="486F1D5D" w14:textId="46FB4681" w:rsidR="00393DDB" w:rsidRPr="00393DDB"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Výsledky kontroly v oblasti zlepšování procenta silnic v dobrém technickém stavu ale nejsou ve všech případech přesvědčivé. </w:t>
      </w:r>
      <w:r w:rsidR="00EB4966" w:rsidRPr="00393DDB">
        <w:rPr>
          <w:rFonts w:eastAsia="Times New Roman" w:cs="Calibri"/>
          <w:sz w:val="24"/>
          <w:szCs w:val="24"/>
          <w:lang w:eastAsia="cs-CZ"/>
        </w:rPr>
        <w:t>P</w:t>
      </w:r>
      <w:r w:rsidRPr="00393DDB">
        <w:rPr>
          <w:rFonts w:eastAsia="Times New Roman" w:cs="Calibri"/>
          <w:sz w:val="24"/>
          <w:szCs w:val="24"/>
          <w:lang w:eastAsia="cs-CZ"/>
        </w:rPr>
        <w:t>okrok byl zjištěn u Plzeňského kraje, naproti tomu u</w:t>
      </w:r>
      <w:r w:rsidR="000C6DE3">
        <w:rPr>
          <w:rFonts w:eastAsia="Times New Roman" w:cs="Calibri"/>
          <w:sz w:val="24"/>
          <w:szCs w:val="24"/>
          <w:lang w:eastAsia="cs-CZ"/>
        </w:rPr>
        <w:t> </w:t>
      </w:r>
      <w:r w:rsidRPr="00393DDB">
        <w:rPr>
          <w:rFonts w:eastAsia="Times New Roman" w:cs="Calibri"/>
          <w:sz w:val="24"/>
          <w:szCs w:val="24"/>
          <w:lang w:eastAsia="cs-CZ"/>
        </w:rPr>
        <w:t>Libereckého kraje bylo zlepšení ve sledovaném období minimální (viz kapitola I</w:t>
      </w:r>
      <w:r w:rsidR="00561774">
        <w:rPr>
          <w:rFonts w:eastAsia="Times New Roman" w:cs="Calibri"/>
          <w:sz w:val="24"/>
          <w:szCs w:val="24"/>
          <w:lang w:eastAsia="cs-CZ"/>
        </w:rPr>
        <w:t>V</w:t>
      </w:r>
      <w:r w:rsidRPr="00393DDB">
        <w:rPr>
          <w:rFonts w:eastAsia="Times New Roman" w:cs="Calibri"/>
          <w:sz w:val="24"/>
          <w:szCs w:val="24"/>
          <w:lang w:eastAsia="cs-CZ"/>
        </w:rPr>
        <w:t xml:space="preserve">. odst. 4 </w:t>
      </w:r>
      <w:r w:rsidR="00561774">
        <w:rPr>
          <w:rFonts w:eastAsia="Times New Roman" w:cs="Calibri"/>
          <w:sz w:val="24"/>
          <w:szCs w:val="24"/>
          <w:lang w:eastAsia="cs-CZ"/>
        </w:rPr>
        <w:t>tohoto kontrolního závěru</w:t>
      </w:r>
      <w:r w:rsidRPr="00393DDB">
        <w:rPr>
          <w:rFonts w:eastAsia="Times New Roman" w:cs="Calibri"/>
          <w:sz w:val="24"/>
          <w:szCs w:val="24"/>
          <w:lang w:eastAsia="cs-CZ"/>
        </w:rPr>
        <w:t>). Vzhledem k tomu, že dotace EU byly a jsou časově omezen</w:t>
      </w:r>
      <w:r w:rsidR="00561774">
        <w:rPr>
          <w:rFonts w:eastAsia="Times New Roman" w:cs="Calibri"/>
          <w:sz w:val="24"/>
          <w:szCs w:val="24"/>
          <w:lang w:eastAsia="cs-CZ"/>
        </w:rPr>
        <w:t>é</w:t>
      </w:r>
      <w:r w:rsidRPr="00393DDB">
        <w:rPr>
          <w:rFonts w:eastAsia="Times New Roman" w:cs="Calibri"/>
          <w:sz w:val="24"/>
          <w:szCs w:val="24"/>
          <w:lang w:eastAsia="cs-CZ"/>
        </w:rPr>
        <w:t xml:space="preserve">, mělo by být v zájmu krajů využít tyto zdroje k uvedení svých silnic do dobrého stavu v co nejkratší době. Omezené vlastní zdroje </w:t>
      </w:r>
      <w:r w:rsidR="00561774">
        <w:rPr>
          <w:rFonts w:eastAsia="Times New Roman" w:cs="Calibri"/>
          <w:sz w:val="24"/>
          <w:szCs w:val="24"/>
          <w:lang w:eastAsia="cs-CZ"/>
        </w:rPr>
        <w:t xml:space="preserve">by </w:t>
      </w:r>
      <w:r w:rsidRPr="00393DDB">
        <w:rPr>
          <w:rFonts w:eastAsia="Times New Roman" w:cs="Calibri"/>
          <w:sz w:val="24"/>
          <w:szCs w:val="24"/>
          <w:lang w:eastAsia="cs-CZ"/>
        </w:rPr>
        <w:t>pak</w:t>
      </w:r>
      <w:r w:rsidR="00561774">
        <w:rPr>
          <w:rFonts w:eastAsia="Times New Roman" w:cs="Calibri"/>
          <w:sz w:val="24"/>
          <w:szCs w:val="24"/>
          <w:lang w:eastAsia="cs-CZ"/>
        </w:rPr>
        <w:t xml:space="preserve"> bylo lepší</w:t>
      </w:r>
      <w:r w:rsidRPr="00393DDB">
        <w:rPr>
          <w:rFonts w:eastAsia="Times New Roman" w:cs="Calibri"/>
          <w:sz w:val="24"/>
          <w:szCs w:val="24"/>
          <w:lang w:eastAsia="cs-CZ"/>
        </w:rPr>
        <w:t xml:space="preserve"> využívat na opravy a údržbu.</w:t>
      </w:r>
    </w:p>
    <w:p w14:paraId="69C6523F" w14:textId="77777777" w:rsidR="006826FA" w:rsidRDefault="006826FA" w:rsidP="005D6760">
      <w:pPr>
        <w:spacing w:after="0" w:line="240" w:lineRule="auto"/>
        <w:jc w:val="both"/>
        <w:rPr>
          <w:rFonts w:eastAsia="Times New Roman" w:cs="Calibri"/>
          <w:sz w:val="24"/>
          <w:szCs w:val="24"/>
          <w:lang w:eastAsia="cs-CZ"/>
        </w:rPr>
      </w:pPr>
    </w:p>
    <w:p w14:paraId="784E3671" w14:textId="77777777" w:rsidR="00393DDB" w:rsidRPr="00393DDB" w:rsidRDefault="00393DDB" w:rsidP="005D6760">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NKÚ SR konstatoval ve své </w:t>
      </w:r>
      <w:r w:rsidR="00D10F4A">
        <w:rPr>
          <w:rFonts w:eastAsia="Times New Roman" w:cs="Calibri"/>
          <w:sz w:val="24"/>
          <w:szCs w:val="24"/>
          <w:lang w:eastAsia="cs-CZ"/>
        </w:rPr>
        <w:t xml:space="preserve">souhrnné </w:t>
      </w:r>
      <w:r w:rsidRPr="00393DDB">
        <w:rPr>
          <w:rFonts w:eastAsia="Times New Roman" w:cs="Calibri"/>
          <w:sz w:val="24"/>
          <w:szCs w:val="24"/>
          <w:lang w:eastAsia="cs-CZ"/>
        </w:rPr>
        <w:t>zprávě, že z celostátního pohledu a v návaznosti na objem vynaložených finančních prostředků na rekonstrukce silnic II. a III. třídy v jednotlivých krajích se nejeví vynakládání těchto peněžních prostředků jako maximálně efektivní, protože se stav silnic v roce 2013 zásadně nelišil od stavu v roce 2004. Situaci v SR dokumentují grafy č. 1</w:t>
      </w:r>
      <w:r w:rsidR="001C45D1">
        <w:rPr>
          <w:rFonts w:eastAsia="Times New Roman" w:cs="Calibri"/>
          <w:sz w:val="24"/>
          <w:szCs w:val="24"/>
          <w:lang w:eastAsia="cs-CZ"/>
        </w:rPr>
        <w:t>3</w:t>
      </w:r>
      <w:r w:rsidRPr="00393DDB">
        <w:rPr>
          <w:rFonts w:eastAsia="Times New Roman" w:cs="Calibri"/>
          <w:sz w:val="24"/>
          <w:szCs w:val="24"/>
          <w:lang w:eastAsia="cs-CZ"/>
        </w:rPr>
        <w:t xml:space="preserve"> a 1</w:t>
      </w:r>
      <w:r w:rsidR="001C45D1">
        <w:rPr>
          <w:rFonts w:eastAsia="Times New Roman" w:cs="Calibri"/>
          <w:sz w:val="24"/>
          <w:szCs w:val="24"/>
          <w:lang w:eastAsia="cs-CZ"/>
        </w:rPr>
        <w:t>4</w:t>
      </w:r>
      <w:r w:rsidRPr="00393DDB">
        <w:rPr>
          <w:rFonts w:eastAsia="Times New Roman" w:cs="Calibri"/>
          <w:sz w:val="24"/>
          <w:szCs w:val="24"/>
          <w:lang w:eastAsia="cs-CZ"/>
        </w:rPr>
        <w:t>, odděleně pro silnice II. a pro silnice III. třídy.</w:t>
      </w:r>
    </w:p>
    <w:p w14:paraId="6B8B7B0B" w14:textId="77777777" w:rsidR="00393DDB" w:rsidRDefault="00393DDB" w:rsidP="005D6760">
      <w:pPr>
        <w:spacing w:after="0" w:line="240" w:lineRule="auto"/>
        <w:jc w:val="both"/>
        <w:rPr>
          <w:rFonts w:eastAsia="Times New Roman" w:cs="Calibri"/>
          <w:sz w:val="24"/>
          <w:szCs w:val="24"/>
          <w:lang w:eastAsia="cs-CZ"/>
        </w:rPr>
      </w:pPr>
    </w:p>
    <w:p w14:paraId="60FC47B6" w14:textId="77777777" w:rsidR="00393DDB" w:rsidRPr="00196D71" w:rsidRDefault="00393DDB" w:rsidP="005D6760">
      <w:pPr>
        <w:spacing w:after="40" w:line="240" w:lineRule="auto"/>
        <w:jc w:val="both"/>
        <w:rPr>
          <w:rFonts w:eastAsia="Times New Roman" w:cs="Calibri"/>
          <w:b/>
          <w:sz w:val="24"/>
          <w:szCs w:val="24"/>
          <w:lang w:eastAsia="cs-CZ"/>
        </w:rPr>
      </w:pPr>
      <w:r w:rsidRPr="00196D71">
        <w:rPr>
          <w:rFonts w:eastAsia="Times New Roman" w:cs="Calibri"/>
          <w:b/>
          <w:sz w:val="24"/>
          <w:szCs w:val="24"/>
          <w:lang w:eastAsia="cs-CZ"/>
        </w:rPr>
        <w:t>Graf č. 1</w:t>
      </w:r>
      <w:r w:rsidR="008379DC" w:rsidRPr="00196D71">
        <w:rPr>
          <w:rFonts w:eastAsia="Times New Roman" w:cs="Calibri"/>
          <w:b/>
          <w:sz w:val="24"/>
          <w:szCs w:val="24"/>
          <w:lang w:eastAsia="cs-CZ"/>
        </w:rPr>
        <w:t>3</w:t>
      </w:r>
      <w:r w:rsidR="0093316E">
        <w:rPr>
          <w:rFonts w:eastAsia="Times New Roman" w:cs="Calibri"/>
          <w:b/>
          <w:sz w:val="24"/>
          <w:szCs w:val="24"/>
          <w:lang w:eastAsia="cs-CZ"/>
        </w:rPr>
        <w:t xml:space="preserve"> – Přehled stavu silnic II. třídy – Slovensko</w:t>
      </w:r>
    </w:p>
    <w:p w14:paraId="4957EE8D" w14:textId="77777777" w:rsidR="00393DDB" w:rsidRPr="00393DDB" w:rsidRDefault="00393DDB" w:rsidP="00393DDB">
      <w:pPr>
        <w:spacing w:after="0" w:line="240" w:lineRule="auto"/>
        <w:jc w:val="both"/>
        <w:rPr>
          <w:rFonts w:eastAsia="Times New Roman" w:cs="Calibri"/>
          <w:sz w:val="24"/>
          <w:szCs w:val="24"/>
          <w:lang w:eastAsia="cs-CZ"/>
        </w:rPr>
      </w:pPr>
      <w:r w:rsidRPr="00393DDB">
        <w:rPr>
          <w:rFonts w:eastAsia="Times New Roman" w:cs="Calibri"/>
          <w:noProof/>
          <w:sz w:val="24"/>
          <w:szCs w:val="24"/>
          <w:lang w:eastAsia="cs-CZ"/>
        </w:rPr>
        <w:drawing>
          <wp:inline distT="0" distB="0" distL="0" distR="0" wp14:anchorId="2A76B8AB" wp14:editId="27973F61">
            <wp:extent cx="5760720" cy="235458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61332" name="2329u.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720" cy="2354580"/>
                    </a:xfrm>
                    <a:prstGeom prst="rect">
                      <a:avLst/>
                    </a:prstGeom>
                  </pic:spPr>
                </pic:pic>
              </a:graphicData>
            </a:graphic>
          </wp:inline>
        </w:drawing>
      </w:r>
    </w:p>
    <w:p w14:paraId="4D678478" w14:textId="55E989AE" w:rsidR="00393DDB" w:rsidRPr="002E05ED" w:rsidRDefault="008C14AF" w:rsidP="005D6760">
      <w:pPr>
        <w:spacing w:after="0" w:line="240" w:lineRule="auto"/>
        <w:ind w:left="567" w:hanging="567"/>
        <w:jc w:val="both"/>
        <w:rPr>
          <w:rFonts w:eastAsia="Times New Roman" w:cs="Calibri"/>
          <w:sz w:val="20"/>
          <w:szCs w:val="16"/>
          <w:lang w:eastAsia="cs-CZ"/>
        </w:rPr>
      </w:pPr>
      <w:r w:rsidRPr="005D6760">
        <w:rPr>
          <w:rFonts w:cs="Calibri"/>
          <w:b/>
          <w:color w:val="000000"/>
          <w:sz w:val="20"/>
          <w:szCs w:val="16"/>
        </w:rPr>
        <w:t>Zdroj:</w:t>
      </w:r>
      <w:r w:rsidRPr="005D6760">
        <w:rPr>
          <w:rFonts w:cs="Calibri"/>
          <w:color w:val="000000"/>
          <w:sz w:val="20"/>
          <w:szCs w:val="16"/>
        </w:rPr>
        <w:t xml:space="preserve"> </w:t>
      </w:r>
      <w:r w:rsidR="005D6760">
        <w:rPr>
          <w:rFonts w:cs="Calibri"/>
          <w:color w:val="000000"/>
          <w:sz w:val="20"/>
          <w:szCs w:val="16"/>
        </w:rPr>
        <w:tab/>
      </w:r>
      <w:proofErr w:type="spellStart"/>
      <w:r w:rsidRPr="00196D71">
        <w:rPr>
          <w:rFonts w:cs="Calibri"/>
          <w:i/>
          <w:color w:val="000000"/>
          <w:sz w:val="20"/>
          <w:szCs w:val="16"/>
        </w:rPr>
        <w:t>Súhrnná</w:t>
      </w:r>
      <w:proofErr w:type="spellEnd"/>
      <w:r w:rsidRPr="00196D71">
        <w:rPr>
          <w:rFonts w:cs="Calibri"/>
          <w:i/>
          <w:color w:val="000000"/>
          <w:sz w:val="20"/>
          <w:szCs w:val="16"/>
        </w:rPr>
        <w:t xml:space="preserve"> správa o výsledku kontroly hospodárnosti, </w:t>
      </w:r>
      <w:proofErr w:type="spellStart"/>
      <w:r w:rsidRPr="00196D71">
        <w:rPr>
          <w:rFonts w:cs="Calibri"/>
          <w:i/>
          <w:color w:val="000000"/>
          <w:sz w:val="20"/>
          <w:szCs w:val="16"/>
        </w:rPr>
        <w:t>efektívnosti</w:t>
      </w:r>
      <w:proofErr w:type="spellEnd"/>
      <w:r w:rsidRPr="00196D71">
        <w:rPr>
          <w:rFonts w:cs="Calibri"/>
          <w:i/>
          <w:color w:val="000000"/>
          <w:sz w:val="20"/>
          <w:szCs w:val="16"/>
        </w:rPr>
        <w:t xml:space="preserve"> a účinnosti vynaložených </w:t>
      </w:r>
      <w:proofErr w:type="spellStart"/>
      <w:r w:rsidRPr="00196D71">
        <w:rPr>
          <w:rFonts w:cs="Calibri"/>
          <w:i/>
          <w:color w:val="000000"/>
          <w:sz w:val="20"/>
          <w:szCs w:val="16"/>
        </w:rPr>
        <w:t>prostriedkov</w:t>
      </w:r>
      <w:proofErr w:type="spellEnd"/>
      <w:r w:rsidRPr="00196D71">
        <w:rPr>
          <w:rFonts w:cs="Calibri"/>
          <w:i/>
          <w:color w:val="000000"/>
          <w:sz w:val="20"/>
          <w:szCs w:val="16"/>
        </w:rPr>
        <w:t xml:space="preserve"> na výstavbu, opravu a údržbu </w:t>
      </w:r>
      <w:proofErr w:type="spellStart"/>
      <w:r w:rsidRPr="00196D71">
        <w:rPr>
          <w:rFonts w:cs="Calibri"/>
          <w:i/>
          <w:color w:val="000000"/>
          <w:sz w:val="20"/>
          <w:szCs w:val="16"/>
        </w:rPr>
        <w:t>pozemných</w:t>
      </w:r>
      <w:proofErr w:type="spellEnd"/>
      <w:r w:rsidRPr="00196D71">
        <w:rPr>
          <w:rFonts w:cs="Calibri"/>
          <w:i/>
          <w:color w:val="000000"/>
          <w:sz w:val="20"/>
          <w:szCs w:val="16"/>
        </w:rPr>
        <w:t xml:space="preserve"> </w:t>
      </w:r>
      <w:proofErr w:type="spellStart"/>
      <w:r w:rsidRPr="00196D71">
        <w:rPr>
          <w:rFonts w:cs="Calibri"/>
          <w:i/>
          <w:color w:val="000000"/>
          <w:sz w:val="20"/>
          <w:szCs w:val="16"/>
        </w:rPr>
        <w:t>komunikácií</w:t>
      </w:r>
      <w:proofErr w:type="spellEnd"/>
      <w:r w:rsidRPr="00196D71">
        <w:rPr>
          <w:rFonts w:cs="Calibri"/>
          <w:i/>
          <w:color w:val="000000"/>
          <w:sz w:val="20"/>
          <w:szCs w:val="16"/>
        </w:rPr>
        <w:t xml:space="preserve"> v </w:t>
      </w:r>
      <w:proofErr w:type="spellStart"/>
      <w:r w:rsidRPr="00196D71">
        <w:rPr>
          <w:rFonts w:cs="Calibri"/>
          <w:i/>
          <w:color w:val="000000"/>
          <w:sz w:val="20"/>
          <w:szCs w:val="16"/>
        </w:rPr>
        <w:t>správe</w:t>
      </w:r>
      <w:proofErr w:type="spellEnd"/>
      <w:r w:rsidRPr="00196D71">
        <w:rPr>
          <w:rFonts w:cs="Calibri"/>
          <w:i/>
          <w:color w:val="000000"/>
          <w:sz w:val="20"/>
          <w:szCs w:val="16"/>
        </w:rPr>
        <w:t xml:space="preserve"> VÚC a úlohy z toho </w:t>
      </w:r>
      <w:proofErr w:type="spellStart"/>
      <w:r w:rsidRPr="00196D71">
        <w:rPr>
          <w:rFonts w:cs="Calibri"/>
          <w:i/>
          <w:color w:val="000000"/>
          <w:sz w:val="20"/>
          <w:szCs w:val="16"/>
        </w:rPr>
        <w:t>vyplývajúce</w:t>
      </w:r>
      <w:proofErr w:type="spellEnd"/>
      <w:r w:rsidRPr="00196D71">
        <w:rPr>
          <w:rFonts w:cs="Calibri"/>
          <w:i/>
          <w:color w:val="000000"/>
          <w:sz w:val="20"/>
          <w:szCs w:val="16"/>
        </w:rPr>
        <w:t xml:space="preserve"> </w:t>
      </w:r>
      <w:proofErr w:type="spellStart"/>
      <w:r w:rsidRPr="00196D71">
        <w:rPr>
          <w:rFonts w:cs="Calibri"/>
          <w:i/>
          <w:color w:val="000000"/>
          <w:sz w:val="20"/>
          <w:szCs w:val="16"/>
        </w:rPr>
        <w:t>pre</w:t>
      </w:r>
      <w:proofErr w:type="spellEnd"/>
      <w:r w:rsidRPr="00196D71">
        <w:rPr>
          <w:rFonts w:cs="Calibri"/>
          <w:i/>
          <w:color w:val="000000"/>
          <w:sz w:val="20"/>
          <w:szCs w:val="16"/>
        </w:rPr>
        <w:t xml:space="preserve"> VÚC</w:t>
      </w:r>
      <w:r w:rsidR="002E05ED">
        <w:rPr>
          <w:rFonts w:cs="Calibri"/>
          <w:color w:val="000000"/>
          <w:sz w:val="20"/>
          <w:szCs w:val="16"/>
        </w:rPr>
        <w:t>, NKÚ Slovenské republiky 2014.</w:t>
      </w:r>
    </w:p>
    <w:p w14:paraId="1751C2FE" w14:textId="77777777" w:rsidR="00393DDB" w:rsidRDefault="00393DDB" w:rsidP="00393DDB">
      <w:pPr>
        <w:spacing w:after="0" w:line="240" w:lineRule="auto"/>
        <w:jc w:val="both"/>
        <w:rPr>
          <w:rFonts w:eastAsia="Times New Roman" w:cs="Calibri"/>
          <w:sz w:val="24"/>
          <w:szCs w:val="24"/>
          <w:lang w:eastAsia="cs-CZ"/>
        </w:rPr>
      </w:pPr>
    </w:p>
    <w:p w14:paraId="36B2441E" w14:textId="77777777" w:rsidR="00393DDB" w:rsidRPr="00196D71" w:rsidRDefault="0093316E" w:rsidP="007765FC">
      <w:pPr>
        <w:keepNext/>
        <w:spacing w:after="0" w:line="240" w:lineRule="auto"/>
        <w:jc w:val="both"/>
        <w:rPr>
          <w:rFonts w:eastAsia="Times New Roman" w:cs="Calibri"/>
          <w:b/>
          <w:sz w:val="24"/>
          <w:szCs w:val="24"/>
          <w:lang w:eastAsia="cs-CZ"/>
        </w:rPr>
      </w:pPr>
      <w:r w:rsidRPr="00393DDB">
        <w:rPr>
          <w:rFonts w:eastAsia="Times New Roman" w:cs="Calibri"/>
          <w:noProof/>
          <w:sz w:val="24"/>
          <w:szCs w:val="24"/>
          <w:lang w:eastAsia="cs-CZ"/>
        </w:rPr>
        <w:lastRenderedPageBreak/>
        <w:drawing>
          <wp:anchor distT="0" distB="0" distL="114300" distR="114300" simplePos="0" relativeHeight="251660288" behindDoc="0" locked="0" layoutInCell="1" allowOverlap="1" wp14:anchorId="77286BEB" wp14:editId="64C102B7">
            <wp:simplePos x="0" y="0"/>
            <wp:positionH relativeFrom="column">
              <wp:posOffset>-1905</wp:posOffset>
            </wp:positionH>
            <wp:positionV relativeFrom="paragraph">
              <wp:posOffset>228489</wp:posOffset>
            </wp:positionV>
            <wp:extent cx="5760720" cy="2608580"/>
            <wp:effectExtent l="0" t="0" r="0" b="127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02055" name="2330u.jpg"/>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t="-3468"/>
                    <a:stretch/>
                  </pic:blipFill>
                  <pic:spPr bwMode="auto">
                    <a:xfrm>
                      <a:off x="0" y="0"/>
                      <a:ext cx="5760720" cy="260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DDB" w:rsidRPr="00196D71">
        <w:rPr>
          <w:rFonts w:eastAsia="Times New Roman" w:cs="Calibri"/>
          <w:b/>
          <w:sz w:val="24"/>
          <w:szCs w:val="24"/>
          <w:lang w:eastAsia="cs-CZ"/>
        </w:rPr>
        <w:t>Graf č. 1</w:t>
      </w:r>
      <w:r w:rsidR="008379DC" w:rsidRPr="00196D71">
        <w:rPr>
          <w:rFonts w:eastAsia="Times New Roman" w:cs="Calibri"/>
          <w:b/>
          <w:sz w:val="24"/>
          <w:szCs w:val="24"/>
          <w:lang w:eastAsia="cs-CZ"/>
        </w:rPr>
        <w:t>4</w:t>
      </w:r>
      <w:r>
        <w:rPr>
          <w:rFonts w:eastAsia="Times New Roman" w:cs="Calibri"/>
          <w:b/>
          <w:sz w:val="24"/>
          <w:szCs w:val="24"/>
          <w:lang w:eastAsia="cs-CZ"/>
        </w:rPr>
        <w:t xml:space="preserve"> – Přehled vývoje stavu silnic III. třídy – Slovensko</w:t>
      </w:r>
    </w:p>
    <w:p w14:paraId="6FEC156D" w14:textId="77777777" w:rsidR="00393DDB" w:rsidRPr="00393DDB" w:rsidRDefault="00393DDB" w:rsidP="007765FC">
      <w:pPr>
        <w:keepNext/>
        <w:spacing w:after="0" w:line="240" w:lineRule="auto"/>
        <w:jc w:val="both"/>
        <w:rPr>
          <w:rFonts w:eastAsia="Times New Roman" w:cs="Calibri"/>
          <w:sz w:val="24"/>
          <w:szCs w:val="24"/>
          <w:lang w:eastAsia="cs-CZ"/>
        </w:rPr>
      </w:pPr>
    </w:p>
    <w:p w14:paraId="4EFEF154" w14:textId="09C4D216" w:rsidR="00393DDB" w:rsidRPr="005F4712" w:rsidRDefault="008C14AF" w:rsidP="007765FC">
      <w:pPr>
        <w:keepNext/>
        <w:spacing w:after="0" w:line="240" w:lineRule="auto"/>
        <w:ind w:left="567" w:hanging="567"/>
        <w:jc w:val="both"/>
        <w:rPr>
          <w:rFonts w:eastAsia="Times New Roman" w:cs="Calibri"/>
          <w:sz w:val="20"/>
          <w:szCs w:val="16"/>
          <w:lang w:eastAsia="cs-CZ"/>
        </w:rPr>
      </w:pPr>
      <w:r w:rsidRPr="007765FC">
        <w:rPr>
          <w:rFonts w:cs="Calibri"/>
          <w:b/>
          <w:color w:val="000000"/>
          <w:sz w:val="20"/>
          <w:szCs w:val="16"/>
        </w:rPr>
        <w:t xml:space="preserve">Zdroj: </w:t>
      </w:r>
      <w:r w:rsidR="007765FC" w:rsidRPr="007765FC">
        <w:rPr>
          <w:rFonts w:cs="Calibri"/>
          <w:b/>
          <w:color w:val="000000"/>
          <w:sz w:val="20"/>
          <w:szCs w:val="16"/>
        </w:rPr>
        <w:tab/>
      </w:r>
      <w:proofErr w:type="spellStart"/>
      <w:r w:rsidRPr="00196D71">
        <w:rPr>
          <w:rFonts w:cs="Calibri"/>
          <w:i/>
          <w:color w:val="000000"/>
          <w:sz w:val="20"/>
          <w:szCs w:val="16"/>
        </w:rPr>
        <w:t>Súhrnná</w:t>
      </w:r>
      <w:proofErr w:type="spellEnd"/>
      <w:r w:rsidRPr="00196D71">
        <w:rPr>
          <w:rFonts w:cs="Calibri"/>
          <w:i/>
          <w:color w:val="000000"/>
          <w:sz w:val="20"/>
          <w:szCs w:val="16"/>
        </w:rPr>
        <w:t xml:space="preserve"> správa o výsledku kontroly hospodárnosti, </w:t>
      </w:r>
      <w:proofErr w:type="spellStart"/>
      <w:r w:rsidRPr="00196D71">
        <w:rPr>
          <w:rFonts w:cs="Calibri"/>
          <w:i/>
          <w:color w:val="000000"/>
          <w:sz w:val="20"/>
          <w:szCs w:val="16"/>
        </w:rPr>
        <w:t>efektívnosti</w:t>
      </w:r>
      <w:proofErr w:type="spellEnd"/>
      <w:r w:rsidRPr="00196D71">
        <w:rPr>
          <w:rFonts w:cs="Calibri"/>
          <w:i/>
          <w:color w:val="000000"/>
          <w:sz w:val="20"/>
          <w:szCs w:val="16"/>
        </w:rPr>
        <w:t xml:space="preserve"> a účinnosti vynaložených </w:t>
      </w:r>
      <w:proofErr w:type="spellStart"/>
      <w:r w:rsidRPr="00196D71">
        <w:rPr>
          <w:rFonts w:cs="Calibri"/>
          <w:i/>
          <w:color w:val="000000"/>
          <w:sz w:val="20"/>
          <w:szCs w:val="16"/>
        </w:rPr>
        <w:t>prostriedkov</w:t>
      </w:r>
      <w:proofErr w:type="spellEnd"/>
      <w:r w:rsidRPr="00196D71">
        <w:rPr>
          <w:rFonts w:cs="Calibri"/>
          <w:i/>
          <w:color w:val="000000"/>
          <w:sz w:val="20"/>
          <w:szCs w:val="16"/>
        </w:rPr>
        <w:t xml:space="preserve"> na výstavbu, opravu a údržbu </w:t>
      </w:r>
      <w:proofErr w:type="spellStart"/>
      <w:r w:rsidRPr="00196D71">
        <w:rPr>
          <w:rFonts w:cs="Calibri"/>
          <w:i/>
          <w:color w:val="000000"/>
          <w:sz w:val="20"/>
          <w:szCs w:val="16"/>
        </w:rPr>
        <w:t>pozemných</w:t>
      </w:r>
      <w:proofErr w:type="spellEnd"/>
      <w:r w:rsidRPr="00196D71">
        <w:rPr>
          <w:rFonts w:cs="Calibri"/>
          <w:i/>
          <w:color w:val="000000"/>
          <w:sz w:val="20"/>
          <w:szCs w:val="16"/>
        </w:rPr>
        <w:t xml:space="preserve"> </w:t>
      </w:r>
      <w:proofErr w:type="spellStart"/>
      <w:r w:rsidRPr="00196D71">
        <w:rPr>
          <w:rFonts w:cs="Calibri"/>
          <w:i/>
          <w:color w:val="000000"/>
          <w:sz w:val="20"/>
          <w:szCs w:val="16"/>
        </w:rPr>
        <w:t>komunikácií</w:t>
      </w:r>
      <w:proofErr w:type="spellEnd"/>
      <w:r w:rsidRPr="00196D71">
        <w:rPr>
          <w:rFonts w:cs="Calibri"/>
          <w:i/>
          <w:color w:val="000000"/>
          <w:sz w:val="20"/>
          <w:szCs w:val="16"/>
        </w:rPr>
        <w:t xml:space="preserve"> v </w:t>
      </w:r>
      <w:proofErr w:type="spellStart"/>
      <w:r w:rsidRPr="00196D71">
        <w:rPr>
          <w:rFonts w:cs="Calibri"/>
          <w:i/>
          <w:color w:val="000000"/>
          <w:sz w:val="20"/>
          <w:szCs w:val="16"/>
        </w:rPr>
        <w:t>správe</w:t>
      </w:r>
      <w:proofErr w:type="spellEnd"/>
      <w:r w:rsidRPr="00196D71">
        <w:rPr>
          <w:rFonts w:cs="Calibri"/>
          <w:i/>
          <w:color w:val="000000"/>
          <w:sz w:val="20"/>
          <w:szCs w:val="16"/>
        </w:rPr>
        <w:t xml:space="preserve"> VÚC a úlohy z toho </w:t>
      </w:r>
      <w:proofErr w:type="spellStart"/>
      <w:r w:rsidRPr="00196D71">
        <w:rPr>
          <w:rFonts w:cs="Calibri"/>
          <w:i/>
          <w:color w:val="000000"/>
          <w:sz w:val="20"/>
          <w:szCs w:val="16"/>
        </w:rPr>
        <w:t>vyplývajúce</w:t>
      </w:r>
      <w:proofErr w:type="spellEnd"/>
      <w:r w:rsidRPr="00196D71">
        <w:rPr>
          <w:rFonts w:cs="Calibri"/>
          <w:i/>
          <w:color w:val="000000"/>
          <w:sz w:val="20"/>
          <w:szCs w:val="16"/>
        </w:rPr>
        <w:t xml:space="preserve"> </w:t>
      </w:r>
      <w:proofErr w:type="spellStart"/>
      <w:r w:rsidRPr="00196D71">
        <w:rPr>
          <w:rFonts w:cs="Calibri"/>
          <w:i/>
          <w:color w:val="000000"/>
          <w:sz w:val="20"/>
          <w:szCs w:val="16"/>
        </w:rPr>
        <w:t>pre</w:t>
      </w:r>
      <w:proofErr w:type="spellEnd"/>
      <w:r w:rsidRPr="00196D71">
        <w:rPr>
          <w:rFonts w:cs="Calibri"/>
          <w:i/>
          <w:color w:val="000000"/>
          <w:sz w:val="20"/>
          <w:szCs w:val="16"/>
        </w:rPr>
        <w:t xml:space="preserve"> VÚC</w:t>
      </w:r>
      <w:r w:rsidR="005F4712">
        <w:rPr>
          <w:rFonts w:cs="Calibri"/>
          <w:color w:val="000000"/>
          <w:sz w:val="20"/>
          <w:szCs w:val="16"/>
        </w:rPr>
        <w:t xml:space="preserve">, </w:t>
      </w:r>
      <w:r w:rsidR="002E05ED">
        <w:rPr>
          <w:rFonts w:cs="Calibri"/>
          <w:color w:val="000000"/>
          <w:sz w:val="20"/>
          <w:szCs w:val="16"/>
        </w:rPr>
        <w:t>NKÚ Slovenské republiky 2014</w:t>
      </w:r>
      <w:r w:rsidR="005F4712">
        <w:rPr>
          <w:rFonts w:cs="Calibri"/>
          <w:color w:val="000000"/>
          <w:sz w:val="20"/>
          <w:szCs w:val="16"/>
        </w:rPr>
        <w:t>.</w:t>
      </w:r>
    </w:p>
    <w:p w14:paraId="257D11BD" w14:textId="77777777" w:rsidR="00393DDB" w:rsidRPr="00393DDB" w:rsidRDefault="00393DDB" w:rsidP="007765FC">
      <w:pPr>
        <w:spacing w:after="0" w:line="240" w:lineRule="auto"/>
        <w:jc w:val="both"/>
        <w:rPr>
          <w:rFonts w:eastAsia="Times New Roman" w:cs="Calibri"/>
          <w:sz w:val="24"/>
          <w:szCs w:val="24"/>
          <w:lang w:eastAsia="cs-CZ"/>
        </w:rPr>
      </w:pPr>
    </w:p>
    <w:p w14:paraId="4A1E3A8E" w14:textId="77777777" w:rsidR="00393DDB" w:rsidRPr="00677716" w:rsidRDefault="00393DDB" w:rsidP="007765FC">
      <w:pPr>
        <w:autoSpaceDE w:val="0"/>
        <w:autoSpaceDN w:val="0"/>
        <w:adjustRightInd w:val="0"/>
        <w:spacing w:after="0" w:line="240" w:lineRule="auto"/>
        <w:jc w:val="both"/>
        <w:rPr>
          <w:rFonts w:cs="Calibri"/>
          <w:b/>
          <w:color w:val="000000"/>
          <w:sz w:val="24"/>
          <w:szCs w:val="24"/>
        </w:rPr>
      </w:pPr>
      <w:r w:rsidRPr="00677716">
        <w:rPr>
          <w:rFonts w:cs="Calibri"/>
          <w:b/>
          <w:color w:val="000000"/>
          <w:sz w:val="24"/>
          <w:szCs w:val="24"/>
        </w:rPr>
        <w:t>4. Oblast zadávání veřejných zakázek</w:t>
      </w:r>
    </w:p>
    <w:p w14:paraId="04B92A96" w14:textId="77777777" w:rsidR="007765FC" w:rsidRDefault="007765FC" w:rsidP="007765FC">
      <w:pPr>
        <w:spacing w:after="0" w:line="240" w:lineRule="auto"/>
        <w:jc w:val="both"/>
        <w:rPr>
          <w:rFonts w:eastAsia="Times New Roman" w:cs="Calibri"/>
          <w:sz w:val="24"/>
          <w:szCs w:val="24"/>
          <w:lang w:eastAsia="cs-CZ"/>
        </w:rPr>
      </w:pPr>
    </w:p>
    <w:p w14:paraId="4EA37D88" w14:textId="77777777" w:rsidR="00393DDB" w:rsidRDefault="00A20C10" w:rsidP="007765F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K</w:t>
      </w:r>
      <w:r w:rsidR="00393DDB" w:rsidRPr="00393DDB">
        <w:rPr>
          <w:rFonts w:eastAsia="Times New Roman" w:cs="Calibri"/>
          <w:sz w:val="24"/>
          <w:szCs w:val="24"/>
          <w:lang w:eastAsia="cs-CZ"/>
        </w:rPr>
        <w:t xml:space="preserve">ontrolou NKÚ </w:t>
      </w:r>
      <w:r>
        <w:rPr>
          <w:rFonts w:eastAsia="Times New Roman" w:cs="Calibri"/>
          <w:sz w:val="24"/>
          <w:szCs w:val="24"/>
          <w:lang w:eastAsia="cs-CZ"/>
        </w:rPr>
        <w:t xml:space="preserve">ČR byly </w:t>
      </w:r>
      <w:r w:rsidR="00393DDB" w:rsidRPr="00393DDB">
        <w:rPr>
          <w:rFonts w:eastAsia="Times New Roman" w:cs="Calibri"/>
          <w:sz w:val="24"/>
          <w:szCs w:val="24"/>
          <w:lang w:eastAsia="cs-CZ"/>
        </w:rPr>
        <w:t xml:space="preserve">zjištěny případy méně závažných pochybení, které souvisely s oblastí zadávání veřejných zakázek. Jednalo se o problematiku stanovení předpokládané hodnoty </w:t>
      </w:r>
      <w:r w:rsidR="00B8583C">
        <w:rPr>
          <w:rFonts w:eastAsia="Times New Roman" w:cs="Calibri"/>
          <w:sz w:val="24"/>
          <w:szCs w:val="24"/>
          <w:lang w:eastAsia="cs-CZ"/>
        </w:rPr>
        <w:t xml:space="preserve">veřejných </w:t>
      </w:r>
      <w:r w:rsidR="00393DDB" w:rsidRPr="00393DDB">
        <w:rPr>
          <w:rFonts w:eastAsia="Times New Roman" w:cs="Calibri"/>
          <w:sz w:val="24"/>
          <w:szCs w:val="24"/>
          <w:lang w:eastAsia="cs-CZ"/>
        </w:rPr>
        <w:t>zakázek a také uzavírání dodatků smluv se zhotoviteli v případě víceprací a</w:t>
      </w:r>
      <w:r w:rsidR="001E56B0">
        <w:rPr>
          <w:rFonts w:eastAsia="Times New Roman" w:cs="Calibri"/>
          <w:sz w:val="24"/>
          <w:szCs w:val="24"/>
          <w:lang w:eastAsia="cs-CZ"/>
        </w:rPr>
        <w:t> </w:t>
      </w:r>
      <w:proofErr w:type="spellStart"/>
      <w:r w:rsidR="00393DDB" w:rsidRPr="00393DDB">
        <w:rPr>
          <w:rFonts w:eastAsia="Times New Roman" w:cs="Calibri"/>
          <w:sz w:val="24"/>
          <w:szCs w:val="24"/>
          <w:lang w:eastAsia="cs-CZ"/>
        </w:rPr>
        <w:t>méněprací</w:t>
      </w:r>
      <w:proofErr w:type="spellEnd"/>
      <w:r w:rsidR="00393DDB" w:rsidRPr="00393DDB">
        <w:rPr>
          <w:rFonts w:eastAsia="Times New Roman" w:cs="Calibri"/>
          <w:sz w:val="24"/>
          <w:szCs w:val="24"/>
          <w:lang w:eastAsia="cs-CZ"/>
        </w:rPr>
        <w:t>.</w:t>
      </w:r>
    </w:p>
    <w:p w14:paraId="7113975B" w14:textId="77777777" w:rsidR="00A20C10" w:rsidRPr="00393DDB" w:rsidRDefault="00A20C10" w:rsidP="007765FC">
      <w:pPr>
        <w:spacing w:after="0" w:line="240" w:lineRule="auto"/>
        <w:jc w:val="both"/>
        <w:rPr>
          <w:rFonts w:eastAsia="Times New Roman" w:cs="Calibri"/>
          <w:sz w:val="24"/>
          <w:szCs w:val="24"/>
          <w:lang w:eastAsia="cs-CZ"/>
        </w:rPr>
      </w:pPr>
    </w:p>
    <w:p w14:paraId="17A26CCE" w14:textId="77777777" w:rsidR="00393DDB" w:rsidRPr="00393DDB" w:rsidRDefault="00393DDB" w:rsidP="007765FC">
      <w:pPr>
        <w:spacing w:after="0" w:line="240" w:lineRule="auto"/>
        <w:jc w:val="both"/>
        <w:rPr>
          <w:rFonts w:eastAsia="Times New Roman" w:cs="Calibri"/>
          <w:sz w:val="24"/>
          <w:szCs w:val="24"/>
          <w:lang w:eastAsia="cs-CZ"/>
        </w:rPr>
      </w:pPr>
      <w:r w:rsidRPr="00393DDB">
        <w:rPr>
          <w:rFonts w:eastAsia="Times New Roman" w:cs="Calibri"/>
          <w:sz w:val="24"/>
          <w:szCs w:val="24"/>
          <w:lang w:eastAsia="cs-CZ"/>
        </w:rPr>
        <w:t xml:space="preserve">Podobná zjištění uvádí NKÚ SR ve své </w:t>
      </w:r>
      <w:r w:rsidR="00B8583C">
        <w:rPr>
          <w:rFonts w:eastAsia="Times New Roman" w:cs="Calibri"/>
          <w:sz w:val="24"/>
          <w:szCs w:val="24"/>
          <w:lang w:eastAsia="cs-CZ"/>
        </w:rPr>
        <w:t xml:space="preserve">souhrnné </w:t>
      </w:r>
      <w:r w:rsidRPr="00393DDB">
        <w:rPr>
          <w:rFonts w:eastAsia="Times New Roman" w:cs="Calibri"/>
          <w:sz w:val="24"/>
          <w:szCs w:val="24"/>
          <w:lang w:eastAsia="cs-CZ"/>
        </w:rPr>
        <w:t xml:space="preserve">zprávě, kromě problémů se stanovením předpokládané hodnoty zakázky byly zjištěny případy uzavření smlouvy s odlišnou cenou, než byla cena vítězné zakázky, vyloučení uchazečů ze soutěže bez uvedení důvodu, pozdní uvolnění jistoty, uzavírání dodatků smluv na činnosti, které nebyly předmětem původní zakázky bez </w:t>
      </w:r>
      <w:r w:rsidR="00B8583C">
        <w:rPr>
          <w:rFonts w:eastAsia="Times New Roman" w:cs="Calibri"/>
          <w:sz w:val="24"/>
          <w:szCs w:val="24"/>
          <w:lang w:eastAsia="cs-CZ"/>
        </w:rPr>
        <w:t>zadávacího</w:t>
      </w:r>
      <w:r w:rsidRPr="00393DDB">
        <w:rPr>
          <w:rFonts w:eastAsia="Times New Roman" w:cs="Calibri"/>
          <w:sz w:val="24"/>
          <w:szCs w:val="24"/>
          <w:lang w:eastAsia="cs-CZ"/>
        </w:rPr>
        <w:t xml:space="preserve"> řízení.</w:t>
      </w:r>
    </w:p>
    <w:p w14:paraId="4D34E04B" w14:textId="77777777" w:rsidR="00393DDB" w:rsidRPr="00393DDB" w:rsidRDefault="00393DDB" w:rsidP="00393DDB">
      <w:pPr>
        <w:spacing w:after="0" w:line="240" w:lineRule="auto"/>
        <w:jc w:val="both"/>
        <w:rPr>
          <w:rFonts w:eastAsia="Times New Roman" w:cs="Calibri"/>
          <w:sz w:val="24"/>
          <w:szCs w:val="24"/>
          <w:lang w:eastAsia="cs-CZ"/>
        </w:rPr>
      </w:pPr>
    </w:p>
    <w:p w14:paraId="008D85B3" w14:textId="77777777" w:rsidR="000C6DE3" w:rsidRDefault="000C6DE3">
      <w:pPr>
        <w:rPr>
          <w:rFonts w:eastAsia="Times New Roman" w:cs="Calibri"/>
          <w:sz w:val="24"/>
          <w:szCs w:val="24"/>
          <w:lang w:eastAsia="cs-CZ"/>
        </w:rPr>
      </w:pPr>
      <w:r>
        <w:rPr>
          <w:rFonts w:eastAsia="Times New Roman" w:cs="Calibri"/>
          <w:sz w:val="24"/>
          <w:szCs w:val="24"/>
          <w:lang w:eastAsia="cs-CZ"/>
        </w:rPr>
        <w:br w:type="page"/>
      </w:r>
    </w:p>
    <w:p w14:paraId="7CDEF3D3" w14:textId="77777777" w:rsidR="00C53E74" w:rsidRPr="00C53E74" w:rsidRDefault="00C53E74" w:rsidP="00C53E74">
      <w:pPr>
        <w:spacing w:line="240" w:lineRule="auto"/>
        <w:contextualSpacing/>
        <w:jc w:val="right"/>
        <w:rPr>
          <w:b/>
          <w:sz w:val="24"/>
          <w:szCs w:val="24"/>
        </w:rPr>
      </w:pPr>
      <w:r w:rsidRPr="00C53E74">
        <w:rPr>
          <w:b/>
          <w:sz w:val="24"/>
          <w:szCs w:val="24"/>
        </w:rPr>
        <w:lastRenderedPageBreak/>
        <w:t>Příloha č. 2</w:t>
      </w:r>
    </w:p>
    <w:p w14:paraId="103CE209" w14:textId="77777777" w:rsidR="00C53E74" w:rsidRPr="00C53E74" w:rsidRDefault="00C53E74" w:rsidP="00C53E74">
      <w:pPr>
        <w:spacing w:line="240" w:lineRule="auto"/>
        <w:contextualSpacing/>
        <w:jc w:val="both"/>
        <w:rPr>
          <w:sz w:val="24"/>
          <w:szCs w:val="24"/>
        </w:rPr>
      </w:pPr>
    </w:p>
    <w:p w14:paraId="0AB83AD4" w14:textId="7948105A" w:rsidR="00C53E74" w:rsidRPr="005E4B02" w:rsidRDefault="00C53E74" w:rsidP="005E4B02">
      <w:pPr>
        <w:spacing w:line="240" w:lineRule="auto"/>
        <w:ind w:right="141"/>
        <w:contextualSpacing/>
        <w:jc w:val="center"/>
        <w:rPr>
          <w:sz w:val="24"/>
          <w:szCs w:val="28"/>
        </w:rPr>
      </w:pPr>
      <w:r w:rsidRPr="005E4B02">
        <w:rPr>
          <w:b/>
          <w:sz w:val="24"/>
          <w:szCs w:val="28"/>
        </w:rPr>
        <w:t xml:space="preserve">Databáze údajů o mostních objektech na silnicích II. a III. třídy </w:t>
      </w:r>
      <w:r w:rsidR="005E4B02">
        <w:rPr>
          <w:b/>
          <w:sz w:val="24"/>
          <w:szCs w:val="28"/>
        </w:rPr>
        <w:br/>
      </w:r>
      <w:r w:rsidRPr="005E4B02">
        <w:rPr>
          <w:b/>
          <w:sz w:val="24"/>
          <w:szCs w:val="28"/>
        </w:rPr>
        <w:t xml:space="preserve">kontrolovaných v rámci KA </w:t>
      </w:r>
      <w:r w:rsidR="005F4712">
        <w:rPr>
          <w:b/>
          <w:sz w:val="24"/>
          <w:szCs w:val="28"/>
        </w:rPr>
        <w:t>č. </w:t>
      </w:r>
      <w:r w:rsidRPr="005E4B02">
        <w:rPr>
          <w:b/>
          <w:sz w:val="24"/>
          <w:szCs w:val="28"/>
        </w:rPr>
        <w:t>17/09</w:t>
      </w:r>
    </w:p>
    <w:p w14:paraId="58B59C66" w14:textId="77777777" w:rsidR="00C53E74" w:rsidRPr="00C53E74" w:rsidRDefault="00C53E74" w:rsidP="00C53E74">
      <w:pPr>
        <w:spacing w:line="240" w:lineRule="auto"/>
        <w:contextualSpacing/>
        <w:jc w:val="both"/>
        <w:rPr>
          <w:sz w:val="24"/>
          <w:szCs w:val="24"/>
        </w:rPr>
      </w:pPr>
    </w:p>
    <w:p w14:paraId="4A3DD689" w14:textId="34B6281B" w:rsidR="00C53E74" w:rsidRPr="00C53E74" w:rsidRDefault="00C53E74" w:rsidP="00C53E74">
      <w:pPr>
        <w:spacing w:line="240" w:lineRule="auto"/>
        <w:contextualSpacing/>
        <w:jc w:val="both"/>
        <w:rPr>
          <w:sz w:val="24"/>
          <w:szCs w:val="24"/>
        </w:rPr>
      </w:pPr>
      <w:r w:rsidRPr="00C53E74">
        <w:rPr>
          <w:sz w:val="24"/>
          <w:szCs w:val="24"/>
        </w:rPr>
        <w:t xml:space="preserve">Databáze údajů o 5 mostních objektech na silnicích II. a III. třídy, jejichž opravy a rekonstrukce byly kontrolovány v rámci KA </w:t>
      </w:r>
      <w:r w:rsidR="005F4712">
        <w:rPr>
          <w:sz w:val="24"/>
          <w:szCs w:val="24"/>
        </w:rPr>
        <w:t>č. </w:t>
      </w:r>
      <w:r w:rsidRPr="00C53E74">
        <w:rPr>
          <w:sz w:val="24"/>
          <w:szCs w:val="24"/>
        </w:rPr>
        <w:t>17/09 obsahuje údaje o provedených stavebních pracích, finančních nákladech, vybrané technické údaje o daném mostu a 10 nejvýznamnějších položek rozpočtu vítězné nabídky v zadávacím řízení na zhotovitele stavby. Další údaje k uvedeným mostům lze najít v </w:t>
      </w:r>
      <w:r w:rsidR="00664A98">
        <w:rPr>
          <w:sz w:val="24"/>
          <w:szCs w:val="24"/>
        </w:rPr>
        <w:t>s</w:t>
      </w:r>
      <w:r w:rsidRPr="00C53E74">
        <w:rPr>
          <w:sz w:val="24"/>
          <w:szCs w:val="24"/>
        </w:rPr>
        <w:t>ystému hospodaření s mosty (</w:t>
      </w:r>
      <w:proofErr w:type="spellStart"/>
      <w:r w:rsidRPr="00196D71">
        <w:rPr>
          <w:i/>
          <w:sz w:val="24"/>
          <w:szCs w:val="24"/>
        </w:rPr>
        <w:t>Bridge</w:t>
      </w:r>
      <w:proofErr w:type="spellEnd"/>
      <w:r w:rsidRPr="00196D71">
        <w:rPr>
          <w:i/>
          <w:sz w:val="24"/>
          <w:szCs w:val="24"/>
        </w:rPr>
        <w:t xml:space="preserve"> Management </w:t>
      </w:r>
      <w:proofErr w:type="spellStart"/>
      <w:r w:rsidRPr="00196D71">
        <w:rPr>
          <w:i/>
          <w:sz w:val="24"/>
          <w:szCs w:val="24"/>
        </w:rPr>
        <w:t>System</w:t>
      </w:r>
      <w:proofErr w:type="spellEnd"/>
      <w:r w:rsidRPr="00C53E74">
        <w:rPr>
          <w:sz w:val="24"/>
          <w:szCs w:val="24"/>
        </w:rPr>
        <w:t xml:space="preserve">) na internetových stránkách </w:t>
      </w:r>
      <w:r w:rsidR="00664A98" w:rsidRPr="00196D71">
        <w:rPr>
          <w:rFonts w:cs="Calibri"/>
          <w:color w:val="0563C1"/>
          <w:sz w:val="24"/>
          <w:u w:val="single"/>
        </w:rPr>
        <w:t>www.</w:t>
      </w:r>
      <w:r w:rsidRPr="00196D71">
        <w:rPr>
          <w:rFonts w:cs="Calibri"/>
          <w:color w:val="0563C1"/>
          <w:sz w:val="24"/>
          <w:u w:val="single"/>
        </w:rPr>
        <w:t>bms.vars.cz</w:t>
      </w:r>
      <w:r w:rsidRPr="00664A98">
        <w:rPr>
          <w:sz w:val="24"/>
          <w:szCs w:val="24"/>
        </w:rPr>
        <w:t xml:space="preserve">, popř. </w:t>
      </w:r>
      <w:r w:rsidR="00664A98" w:rsidRPr="00196D71">
        <w:rPr>
          <w:rFonts w:cs="Calibri"/>
          <w:color w:val="0563C1"/>
          <w:sz w:val="24"/>
          <w:u w:val="single"/>
        </w:rPr>
        <w:t>www.</w:t>
      </w:r>
      <w:r w:rsidRPr="00196D71">
        <w:rPr>
          <w:rFonts w:cs="Calibri"/>
          <w:color w:val="0563C1"/>
          <w:sz w:val="24"/>
          <w:u w:val="single"/>
        </w:rPr>
        <w:t>bms.clevera.cz</w:t>
      </w:r>
      <w:r w:rsidRPr="00C53E74">
        <w:rPr>
          <w:sz w:val="24"/>
          <w:szCs w:val="24"/>
        </w:rPr>
        <w:t>.</w:t>
      </w:r>
      <w:r w:rsidRPr="00C53E74">
        <w:rPr>
          <w:sz w:val="24"/>
          <w:szCs w:val="24"/>
          <w:vertAlign w:val="superscript"/>
        </w:rPr>
        <w:footnoteReference w:id="10"/>
      </w:r>
    </w:p>
    <w:p w14:paraId="415C2BAC" w14:textId="77777777" w:rsidR="00C53E74" w:rsidRPr="00C53E74" w:rsidRDefault="00C53E74" w:rsidP="00C53E74">
      <w:pPr>
        <w:spacing w:line="240" w:lineRule="auto"/>
        <w:contextualSpacing/>
        <w:jc w:val="both"/>
        <w:rPr>
          <w:sz w:val="24"/>
          <w:szCs w:val="24"/>
        </w:rPr>
      </w:pPr>
    </w:p>
    <w:p w14:paraId="08044087" w14:textId="4B3C58BD" w:rsidR="00C53E74" w:rsidRPr="00C53E74" w:rsidRDefault="00C53E74" w:rsidP="00C53E74">
      <w:pPr>
        <w:spacing w:line="240" w:lineRule="auto"/>
        <w:contextualSpacing/>
        <w:rPr>
          <w:sz w:val="24"/>
          <w:szCs w:val="24"/>
        </w:rPr>
      </w:pPr>
      <w:r w:rsidRPr="00C53E74">
        <w:rPr>
          <w:sz w:val="24"/>
          <w:szCs w:val="24"/>
        </w:rPr>
        <w:t>Databáze je zveřejněna na webových stránkách NKÚ</w:t>
      </w:r>
      <w:r w:rsidR="00BF34F6">
        <w:rPr>
          <w:sz w:val="24"/>
          <w:szCs w:val="24"/>
        </w:rPr>
        <w:t xml:space="preserve"> na adrese</w:t>
      </w:r>
      <w:r w:rsidRPr="00C53E74">
        <w:rPr>
          <w:sz w:val="24"/>
          <w:szCs w:val="24"/>
        </w:rPr>
        <w:t>:</w:t>
      </w:r>
    </w:p>
    <w:p w14:paraId="262C22C2" w14:textId="2BF39873" w:rsidR="00C53E74" w:rsidRPr="00BF34F6" w:rsidRDefault="005C31B1" w:rsidP="00C53E74">
      <w:hyperlink r:id="rId26" w:history="1">
        <w:r w:rsidR="00C53E74" w:rsidRPr="00196D71">
          <w:rPr>
            <w:rFonts w:cs="Calibri"/>
            <w:color w:val="0563C1"/>
            <w:sz w:val="24"/>
            <w:u w:val="single"/>
          </w:rPr>
          <w:t>http://data.nku.cz/download/vystupy-z-kontrol/ka-17-09/databaze-udaju-mosty.xlsx</w:t>
        </w:r>
      </w:hyperlink>
      <w:r w:rsidR="00BF34F6" w:rsidRPr="00196D71">
        <w:rPr>
          <w:rFonts w:cs="Calibri"/>
          <w:color w:val="0563C1"/>
          <w:sz w:val="24"/>
        </w:rPr>
        <w:t>.</w:t>
      </w:r>
    </w:p>
    <w:p w14:paraId="063E2A4C" w14:textId="77777777" w:rsidR="00C53E74" w:rsidRPr="00C53E74" w:rsidRDefault="00C53E74" w:rsidP="00C53E74">
      <w:pPr>
        <w:spacing w:line="240" w:lineRule="auto"/>
        <w:contextualSpacing/>
        <w:jc w:val="both"/>
        <w:rPr>
          <w:sz w:val="24"/>
          <w:szCs w:val="24"/>
        </w:rPr>
      </w:pPr>
    </w:p>
    <w:p w14:paraId="19E95378" w14:textId="77777777" w:rsidR="00C53E74" w:rsidRPr="00C53E74" w:rsidRDefault="00C53E74" w:rsidP="00C53E74">
      <w:pPr>
        <w:spacing w:line="240" w:lineRule="auto"/>
        <w:contextualSpacing/>
        <w:jc w:val="both"/>
        <w:rPr>
          <w:sz w:val="24"/>
          <w:szCs w:val="24"/>
        </w:rPr>
      </w:pPr>
      <w:r w:rsidRPr="00196D71">
        <w:rPr>
          <w:sz w:val="24"/>
          <w:szCs w:val="24"/>
        </w:rPr>
        <w:t>Mostní objekty v databázi</w:t>
      </w:r>
      <w:r w:rsidRPr="00C53E74">
        <w:rPr>
          <w:sz w:val="24"/>
          <w:szCs w:val="24"/>
        </w:rPr>
        <w:t>:</w:t>
      </w:r>
    </w:p>
    <w:p w14:paraId="2733DC5E" w14:textId="77777777" w:rsidR="00C53E74" w:rsidRPr="00C53E74" w:rsidRDefault="00C53E74" w:rsidP="00C53E74">
      <w:pPr>
        <w:spacing w:line="240" w:lineRule="auto"/>
        <w:contextualSpacing/>
        <w:jc w:val="both"/>
        <w:rPr>
          <w:sz w:val="24"/>
          <w:szCs w:val="24"/>
        </w:rPr>
      </w:pPr>
    </w:p>
    <w:p w14:paraId="0B99B75A" w14:textId="77777777" w:rsidR="00C53E74" w:rsidRPr="00C53E74" w:rsidRDefault="00C53E74" w:rsidP="00C53E74">
      <w:pPr>
        <w:spacing w:line="240" w:lineRule="auto"/>
        <w:ind w:left="284" w:hanging="284"/>
        <w:contextualSpacing/>
        <w:jc w:val="both"/>
        <w:rPr>
          <w:b/>
          <w:sz w:val="24"/>
          <w:szCs w:val="24"/>
        </w:rPr>
      </w:pPr>
      <w:r w:rsidRPr="00C53E74">
        <w:rPr>
          <w:b/>
          <w:sz w:val="24"/>
          <w:szCs w:val="24"/>
        </w:rPr>
        <w:t xml:space="preserve">1. </w:t>
      </w:r>
      <w:r w:rsidRPr="00C53E74">
        <w:rPr>
          <w:b/>
          <w:sz w:val="24"/>
          <w:szCs w:val="24"/>
        </w:rPr>
        <w:tab/>
        <w:t xml:space="preserve">Most ev. č. 230-007 Stod na silnici č. </w:t>
      </w:r>
      <w:proofErr w:type="gramStart"/>
      <w:r w:rsidRPr="00C53E74">
        <w:rPr>
          <w:b/>
          <w:sz w:val="24"/>
          <w:szCs w:val="24"/>
        </w:rPr>
        <w:t>II./230</w:t>
      </w:r>
      <w:proofErr w:type="gramEnd"/>
    </w:p>
    <w:p w14:paraId="231BA9D3" w14:textId="00458661" w:rsidR="00C53E74" w:rsidRPr="00C53E74" w:rsidRDefault="00C53E74" w:rsidP="00C53E74">
      <w:pPr>
        <w:spacing w:line="240" w:lineRule="auto"/>
        <w:ind w:left="284"/>
        <w:contextualSpacing/>
        <w:jc w:val="both"/>
        <w:rPr>
          <w:sz w:val="24"/>
          <w:szCs w:val="24"/>
        </w:rPr>
      </w:pPr>
      <w:r w:rsidRPr="00C53E74">
        <w:rPr>
          <w:sz w:val="24"/>
          <w:szCs w:val="24"/>
        </w:rPr>
        <w:t>Celkové náklady na opravu</w:t>
      </w:r>
      <w:r w:rsidR="00664A98">
        <w:rPr>
          <w:sz w:val="24"/>
          <w:szCs w:val="24"/>
        </w:rPr>
        <w:t>:</w:t>
      </w:r>
      <w:r w:rsidRPr="00C53E74">
        <w:rPr>
          <w:sz w:val="24"/>
          <w:szCs w:val="24"/>
        </w:rPr>
        <w:t xml:space="preserve"> 2,3 mil. Kč bez DPH.</w:t>
      </w:r>
    </w:p>
    <w:p w14:paraId="774ECAFB" w14:textId="77777777" w:rsidR="00C53E74" w:rsidRPr="005E4B02" w:rsidRDefault="00C53E74" w:rsidP="00C53E74">
      <w:pPr>
        <w:spacing w:line="240" w:lineRule="auto"/>
        <w:ind w:left="284"/>
        <w:contextualSpacing/>
        <w:jc w:val="both"/>
        <w:rPr>
          <w:color w:val="000000" w:themeColor="text1"/>
          <w:sz w:val="24"/>
          <w:szCs w:val="24"/>
        </w:rPr>
      </w:pPr>
    </w:p>
    <w:p w14:paraId="24CDFC64" w14:textId="77777777" w:rsidR="00C53E74" w:rsidRPr="00C53E74" w:rsidRDefault="00C53E74" w:rsidP="00C53E74">
      <w:pPr>
        <w:spacing w:line="240" w:lineRule="auto"/>
        <w:ind w:left="284" w:hanging="284"/>
        <w:contextualSpacing/>
        <w:jc w:val="both"/>
        <w:rPr>
          <w:b/>
          <w:sz w:val="24"/>
          <w:szCs w:val="24"/>
        </w:rPr>
      </w:pPr>
      <w:r w:rsidRPr="00C53E74">
        <w:rPr>
          <w:b/>
          <w:sz w:val="24"/>
          <w:szCs w:val="24"/>
        </w:rPr>
        <w:t xml:space="preserve">2. Most ev. č. 30516-2 Radhošť – Janovičky na silnici č. </w:t>
      </w:r>
      <w:proofErr w:type="gramStart"/>
      <w:r w:rsidRPr="00C53E74">
        <w:rPr>
          <w:b/>
          <w:sz w:val="24"/>
          <w:szCs w:val="24"/>
        </w:rPr>
        <w:t>III./30516</w:t>
      </w:r>
      <w:proofErr w:type="gramEnd"/>
    </w:p>
    <w:p w14:paraId="0D584FE3" w14:textId="3E382145" w:rsidR="00C53E74" w:rsidRPr="00C53E74" w:rsidRDefault="00C53E74" w:rsidP="00C53E74">
      <w:pPr>
        <w:spacing w:line="240" w:lineRule="auto"/>
        <w:ind w:left="284"/>
        <w:contextualSpacing/>
        <w:jc w:val="both"/>
        <w:rPr>
          <w:sz w:val="24"/>
          <w:szCs w:val="24"/>
        </w:rPr>
      </w:pPr>
      <w:r w:rsidRPr="00C53E74">
        <w:rPr>
          <w:sz w:val="24"/>
          <w:szCs w:val="24"/>
        </w:rPr>
        <w:t>Celkové náklady na opravu</w:t>
      </w:r>
      <w:r w:rsidR="00664A98">
        <w:rPr>
          <w:sz w:val="24"/>
          <w:szCs w:val="24"/>
        </w:rPr>
        <w:t>:</w:t>
      </w:r>
      <w:r w:rsidRPr="00C53E74">
        <w:rPr>
          <w:sz w:val="24"/>
          <w:szCs w:val="24"/>
        </w:rPr>
        <w:t xml:space="preserve"> 8,8 mil. Kč bez DPH.</w:t>
      </w:r>
    </w:p>
    <w:p w14:paraId="0FFD7CDA" w14:textId="77777777" w:rsidR="00C53E74" w:rsidRPr="00C53E74" w:rsidRDefault="00C53E74" w:rsidP="00C53E74">
      <w:pPr>
        <w:spacing w:line="240" w:lineRule="auto"/>
        <w:ind w:left="284"/>
        <w:contextualSpacing/>
        <w:jc w:val="both"/>
        <w:rPr>
          <w:sz w:val="24"/>
          <w:szCs w:val="24"/>
        </w:rPr>
      </w:pPr>
      <w:r w:rsidRPr="00C53E74">
        <w:rPr>
          <w:sz w:val="24"/>
          <w:szCs w:val="24"/>
        </w:rPr>
        <w:t xml:space="preserve"> </w:t>
      </w:r>
    </w:p>
    <w:p w14:paraId="0AAB7251" w14:textId="77777777" w:rsidR="00C53E74" w:rsidRPr="00C53E74" w:rsidRDefault="00C53E74" w:rsidP="00C53E74">
      <w:pPr>
        <w:spacing w:line="240" w:lineRule="auto"/>
        <w:ind w:left="284" w:hanging="284"/>
        <w:contextualSpacing/>
        <w:jc w:val="both"/>
        <w:rPr>
          <w:b/>
          <w:sz w:val="24"/>
          <w:szCs w:val="24"/>
        </w:rPr>
      </w:pPr>
      <w:r w:rsidRPr="00C53E74">
        <w:rPr>
          <w:b/>
          <w:sz w:val="24"/>
          <w:szCs w:val="24"/>
        </w:rPr>
        <w:t xml:space="preserve">3. Most ev. č. 286-027 Vítkovice na silnici č. </w:t>
      </w:r>
      <w:proofErr w:type="gramStart"/>
      <w:r w:rsidRPr="00C53E74">
        <w:rPr>
          <w:b/>
          <w:sz w:val="24"/>
          <w:szCs w:val="24"/>
        </w:rPr>
        <w:t>II./286</w:t>
      </w:r>
      <w:proofErr w:type="gramEnd"/>
    </w:p>
    <w:p w14:paraId="6E4D4CF6" w14:textId="5DEB6309" w:rsidR="00C53E74" w:rsidRPr="00C53E74" w:rsidRDefault="00C53E74" w:rsidP="00C53E74">
      <w:pPr>
        <w:spacing w:line="240" w:lineRule="auto"/>
        <w:ind w:left="284"/>
        <w:contextualSpacing/>
        <w:jc w:val="both"/>
        <w:rPr>
          <w:sz w:val="24"/>
          <w:szCs w:val="24"/>
        </w:rPr>
      </w:pPr>
      <w:r w:rsidRPr="00C53E74">
        <w:rPr>
          <w:sz w:val="24"/>
          <w:szCs w:val="24"/>
        </w:rPr>
        <w:t>Celkové náklady na opravu</w:t>
      </w:r>
      <w:r w:rsidR="00664A98">
        <w:rPr>
          <w:sz w:val="24"/>
          <w:szCs w:val="24"/>
        </w:rPr>
        <w:t>:</w:t>
      </w:r>
      <w:r w:rsidRPr="00C53E74">
        <w:rPr>
          <w:sz w:val="24"/>
          <w:szCs w:val="24"/>
        </w:rPr>
        <w:t xml:space="preserve"> 2,1 mil. Kč bez DPH.</w:t>
      </w:r>
    </w:p>
    <w:p w14:paraId="268E7AC5" w14:textId="77777777" w:rsidR="00C53E74" w:rsidRPr="00C53E74" w:rsidRDefault="00C53E74" w:rsidP="00C53E74">
      <w:pPr>
        <w:spacing w:line="240" w:lineRule="auto"/>
        <w:ind w:left="284"/>
        <w:contextualSpacing/>
        <w:jc w:val="both"/>
        <w:rPr>
          <w:sz w:val="24"/>
          <w:szCs w:val="24"/>
        </w:rPr>
      </w:pPr>
    </w:p>
    <w:p w14:paraId="4308A5B7" w14:textId="77777777" w:rsidR="00C53E74" w:rsidRPr="00C53E74" w:rsidRDefault="00C53E74" w:rsidP="00C53E74">
      <w:pPr>
        <w:spacing w:line="240" w:lineRule="auto"/>
        <w:ind w:left="284" w:hanging="284"/>
        <w:contextualSpacing/>
        <w:jc w:val="both"/>
        <w:rPr>
          <w:b/>
          <w:sz w:val="24"/>
          <w:szCs w:val="24"/>
        </w:rPr>
      </w:pPr>
      <w:r w:rsidRPr="00C53E74">
        <w:rPr>
          <w:b/>
          <w:sz w:val="24"/>
          <w:szCs w:val="24"/>
        </w:rPr>
        <w:t xml:space="preserve">4. Most ev. č. 286-031 Vítkovice na silnici č. </w:t>
      </w:r>
      <w:proofErr w:type="gramStart"/>
      <w:r w:rsidRPr="00C53E74">
        <w:rPr>
          <w:b/>
          <w:sz w:val="24"/>
          <w:szCs w:val="24"/>
        </w:rPr>
        <w:t>II./286</w:t>
      </w:r>
      <w:proofErr w:type="gramEnd"/>
    </w:p>
    <w:p w14:paraId="3DCA48A1" w14:textId="74FF3218" w:rsidR="00C53E74" w:rsidRPr="00C53E74" w:rsidRDefault="00C53E74" w:rsidP="00C53E74">
      <w:pPr>
        <w:spacing w:line="240" w:lineRule="auto"/>
        <w:ind w:left="284"/>
        <w:contextualSpacing/>
        <w:jc w:val="both"/>
        <w:rPr>
          <w:sz w:val="24"/>
          <w:szCs w:val="24"/>
        </w:rPr>
      </w:pPr>
      <w:r w:rsidRPr="00C53E74">
        <w:rPr>
          <w:sz w:val="24"/>
          <w:szCs w:val="24"/>
        </w:rPr>
        <w:t>Celkové náklady na opravu</w:t>
      </w:r>
      <w:r w:rsidR="00664A98">
        <w:rPr>
          <w:sz w:val="24"/>
          <w:szCs w:val="24"/>
        </w:rPr>
        <w:t>:</w:t>
      </w:r>
      <w:r w:rsidRPr="00C53E74">
        <w:rPr>
          <w:sz w:val="24"/>
          <w:szCs w:val="24"/>
        </w:rPr>
        <w:t xml:space="preserve"> 4,4 mil. Kč bez DPH.</w:t>
      </w:r>
    </w:p>
    <w:p w14:paraId="14511897" w14:textId="77777777" w:rsidR="00C53E74" w:rsidRPr="00C53E74" w:rsidRDefault="00C53E74" w:rsidP="00C53E74">
      <w:pPr>
        <w:spacing w:line="240" w:lineRule="auto"/>
        <w:ind w:left="284"/>
        <w:contextualSpacing/>
        <w:jc w:val="both"/>
        <w:rPr>
          <w:sz w:val="24"/>
          <w:szCs w:val="24"/>
        </w:rPr>
      </w:pPr>
    </w:p>
    <w:p w14:paraId="06291301" w14:textId="77777777" w:rsidR="00C53E74" w:rsidRPr="00C53E74" w:rsidRDefault="00C53E74" w:rsidP="00C53E74">
      <w:pPr>
        <w:spacing w:line="240" w:lineRule="auto"/>
        <w:ind w:left="284" w:hanging="284"/>
        <w:contextualSpacing/>
        <w:jc w:val="both"/>
        <w:rPr>
          <w:b/>
          <w:sz w:val="24"/>
          <w:szCs w:val="24"/>
        </w:rPr>
      </w:pPr>
      <w:r w:rsidRPr="00C53E74">
        <w:rPr>
          <w:b/>
          <w:sz w:val="24"/>
          <w:szCs w:val="24"/>
        </w:rPr>
        <w:t xml:space="preserve">5. Most ev. č. 459-006 Krnov na silnici č. </w:t>
      </w:r>
      <w:proofErr w:type="gramStart"/>
      <w:r w:rsidRPr="00C53E74">
        <w:rPr>
          <w:b/>
          <w:sz w:val="24"/>
          <w:szCs w:val="24"/>
        </w:rPr>
        <w:t>II./459</w:t>
      </w:r>
      <w:proofErr w:type="gramEnd"/>
    </w:p>
    <w:p w14:paraId="70CABF0A" w14:textId="7DE1FD2B" w:rsidR="00C53E74" w:rsidRPr="00C53E74" w:rsidRDefault="00C53E74" w:rsidP="00C53E74">
      <w:pPr>
        <w:spacing w:line="240" w:lineRule="auto"/>
        <w:ind w:left="284"/>
        <w:contextualSpacing/>
        <w:jc w:val="both"/>
        <w:rPr>
          <w:sz w:val="24"/>
          <w:szCs w:val="24"/>
        </w:rPr>
      </w:pPr>
      <w:r w:rsidRPr="00C53E74">
        <w:rPr>
          <w:sz w:val="24"/>
          <w:szCs w:val="24"/>
        </w:rPr>
        <w:t>Celkové náklady na opravu</w:t>
      </w:r>
      <w:r w:rsidR="00664A98">
        <w:rPr>
          <w:sz w:val="24"/>
          <w:szCs w:val="24"/>
        </w:rPr>
        <w:t>:</w:t>
      </w:r>
      <w:r w:rsidRPr="00C53E74">
        <w:rPr>
          <w:sz w:val="24"/>
          <w:szCs w:val="24"/>
        </w:rPr>
        <w:t xml:space="preserve"> 6,2 mil. Kč bez DPH.</w:t>
      </w:r>
    </w:p>
    <w:p w14:paraId="2D0FCCE2" w14:textId="77777777" w:rsidR="00C53E74" w:rsidRPr="00C53E74" w:rsidRDefault="00C53E74" w:rsidP="00C53E74">
      <w:pPr>
        <w:spacing w:line="240" w:lineRule="auto"/>
        <w:contextualSpacing/>
        <w:jc w:val="both"/>
        <w:rPr>
          <w:sz w:val="24"/>
          <w:szCs w:val="24"/>
        </w:rPr>
      </w:pPr>
    </w:p>
    <w:p w14:paraId="5233C375" w14:textId="77777777" w:rsidR="000C6DE3" w:rsidRDefault="000C6DE3">
      <w:pPr>
        <w:rPr>
          <w:rFonts w:eastAsia="Times New Roman" w:cs="Calibri"/>
          <w:sz w:val="24"/>
          <w:szCs w:val="24"/>
          <w:lang w:eastAsia="cs-CZ"/>
        </w:rPr>
      </w:pPr>
      <w:r>
        <w:rPr>
          <w:rFonts w:eastAsia="Times New Roman" w:cs="Calibri"/>
          <w:sz w:val="24"/>
          <w:szCs w:val="24"/>
          <w:lang w:eastAsia="cs-CZ"/>
        </w:rPr>
        <w:br w:type="page"/>
      </w:r>
    </w:p>
    <w:p w14:paraId="26DE32AD" w14:textId="77777777" w:rsidR="00393DDB" w:rsidRPr="00393DDB" w:rsidRDefault="00393DDB" w:rsidP="007B2260">
      <w:pPr>
        <w:spacing w:after="0" w:line="240" w:lineRule="auto"/>
        <w:jc w:val="both"/>
        <w:rPr>
          <w:rFonts w:cs="Calibri"/>
          <w:b/>
          <w:sz w:val="28"/>
          <w:szCs w:val="28"/>
        </w:rPr>
      </w:pPr>
      <w:r w:rsidRPr="00393DDB">
        <w:rPr>
          <w:rFonts w:cs="Calibri"/>
          <w:b/>
          <w:sz w:val="28"/>
          <w:szCs w:val="28"/>
        </w:rPr>
        <w:lastRenderedPageBreak/>
        <w:t>Seznam použitých zkratek</w:t>
      </w:r>
    </w:p>
    <w:p w14:paraId="354AE227" w14:textId="77777777" w:rsidR="007B2260" w:rsidRDefault="007B2260" w:rsidP="007B2260">
      <w:pPr>
        <w:tabs>
          <w:tab w:val="left" w:pos="1985"/>
        </w:tabs>
        <w:spacing w:after="0" w:line="240" w:lineRule="auto"/>
        <w:ind w:left="1985" w:hanging="1985"/>
        <w:rPr>
          <w:sz w:val="24"/>
          <w:szCs w:val="24"/>
        </w:rPr>
      </w:pPr>
    </w:p>
    <w:p w14:paraId="034CE34E" w14:textId="77777777" w:rsidR="005F4712" w:rsidRPr="00393DDB" w:rsidRDefault="005F4712" w:rsidP="005F4712">
      <w:pPr>
        <w:tabs>
          <w:tab w:val="left" w:pos="1985"/>
        </w:tabs>
        <w:spacing w:before="40" w:after="40" w:line="240" w:lineRule="auto"/>
        <w:ind w:left="1985" w:hanging="1985"/>
        <w:rPr>
          <w:sz w:val="24"/>
          <w:szCs w:val="24"/>
        </w:rPr>
      </w:pPr>
      <w:r w:rsidRPr="00BE07FA">
        <w:rPr>
          <w:rFonts w:eastAsia="Times New Roman" w:cs="Calibri"/>
          <w:sz w:val="24"/>
          <w:szCs w:val="24"/>
          <w:lang w:eastAsia="cs-CZ"/>
        </w:rPr>
        <w:t>3E</w:t>
      </w:r>
      <w:r w:rsidRPr="00BE07FA">
        <w:rPr>
          <w:rFonts w:eastAsia="Times New Roman" w:cs="Calibri"/>
          <w:sz w:val="24"/>
          <w:szCs w:val="24"/>
          <w:lang w:eastAsia="cs-CZ"/>
        </w:rPr>
        <w:tab/>
      </w:r>
      <w:r>
        <w:rPr>
          <w:rFonts w:eastAsia="Times New Roman" w:cs="Calibri"/>
          <w:sz w:val="24"/>
          <w:szCs w:val="24"/>
          <w:lang w:eastAsia="cs-CZ"/>
        </w:rPr>
        <w:t>z</w:t>
      </w:r>
      <w:r w:rsidRPr="00BE07FA">
        <w:rPr>
          <w:rFonts w:eastAsia="Times New Roman" w:cs="Calibri"/>
          <w:sz w:val="24"/>
          <w:szCs w:val="24"/>
          <w:lang w:eastAsia="cs-CZ"/>
        </w:rPr>
        <w:t>ásady účelnosti, hospodárnosti a efektivnosti</w:t>
      </w:r>
    </w:p>
    <w:p w14:paraId="14D2BAB4"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sz w:val="24"/>
          <w:szCs w:val="24"/>
        </w:rPr>
        <w:t>AK ČR</w:t>
      </w:r>
      <w:r w:rsidRPr="00393DDB">
        <w:rPr>
          <w:sz w:val="24"/>
          <w:szCs w:val="24"/>
        </w:rPr>
        <w:tab/>
      </w:r>
      <w:r w:rsidRPr="00393DDB">
        <w:rPr>
          <w:rFonts w:cs="Calibri"/>
          <w:sz w:val="24"/>
          <w:szCs w:val="24"/>
        </w:rPr>
        <w:t>Asociace krajů České republiky</w:t>
      </w:r>
    </w:p>
    <w:p w14:paraId="73513845" w14:textId="47DD69CA" w:rsidR="00393DDB" w:rsidRPr="00393DDB" w:rsidRDefault="00393DDB" w:rsidP="005F4712">
      <w:pPr>
        <w:tabs>
          <w:tab w:val="left" w:pos="1985"/>
        </w:tabs>
        <w:spacing w:before="40" w:after="40" w:line="240" w:lineRule="auto"/>
        <w:ind w:left="1985" w:hanging="1985"/>
        <w:rPr>
          <w:sz w:val="24"/>
          <w:szCs w:val="24"/>
        </w:rPr>
      </w:pPr>
      <w:r w:rsidRPr="00393DDB">
        <w:rPr>
          <w:rFonts w:cs="Calibri"/>
          <w:sz w:val="24"/>
          <w:szCs w:val="24"/>
        </w:rPr>
        <w:t>CK MD</w:t>
      </w:r>
      <w:r w:rsidRPr="00393DDB">
        <w:rPr>
          <w:rFonts w:cs="Calibri"/>
          <w:sz w:val="24"/>
          <w:szCs w:val="24"/>
        </w:rPr>
        <w:tab/>
      </w:r>
      <w:r w:rsidR="00670859">
        <w:rPr>
          <w:rFonts w:cs="Calibri"/>
          <w:sz w:val="24"/>
          <w:szCs w:val="24"/>
        </w:rPr>
        <w:t>c</w:t>
      </w:r>
      <w:r w:rsidRPr="00393DDB">
        <w:rPr>
          <w:rFonts w:cs="Calibri"/>
          <w:sz w:val="24"/>
          <w:szCs w:val="24"/>
        </w:rPr>
        <w:t>entrální komise Ministerstva dopravy</w:t>
      </w:r>
    </w:p>
    <w:p w14:paraId="0DE8A7B4" w14:textId="77777777" w:rsidR="0093316E" w:rsidRDefault="0093316E" w:rsidP="005F4712">
      <w:pPr>
        <w:tabs>
          <w:tab w:val="left" w:pos="1985"/>
        </w:tabs>
        <w:spacing w:before="40" w:after="40" w:line="240" w:lineRule="auto"/>
        <w:ind w:left="1985" w:hanging="1985"/>
        <w:rPr>
          <w:sz w:val="24"/>
          <w:szCs w:val="24"/>
        </w:rPr>
      </w:pPr>
      <w:r>
        <w:rPr>
          <w:sz w:val="24"/>
          <w:szCs w:val="24"/>
        </w:rPr>
        <w:t>ČR</w:t>
      </w:r>
      <w:r>
        <w:rPr>
          <w:sz w:val="24"/>
          <w:szCs w:val="24"/>
        </w:rPr>
        <w:tab/>
        <w:t>Česká republika</w:t>
      </w:r>
    </w:p>
    <w:p w14:paraId="317668F4" w14:textId="1430560F" w:rsidR="00393DDB" w:rsidRPr="00393DDB" w:rsidRDefault="00393DDB" w:rsidP="005F4712">
      <w:pPr>
        <w:tabs>
          <w:tab w:val="left" w:pos="1985"/>
        </w:tabs>
        <w:spacing w:before="40" w:after="40" w:line="240" w:lineRule="auto"/>
        <w:ind w:left="1985" w:hanging="1985"/>
        <w:rPr>
          <w:sz w:val="24"/>
          <w:szCs w:val="24"/>
        </w:rPr>
      </w:pPr>
      <w:r w:rsidRPr="00393DDB">
        <w:rPr>
          <w:sz w:val="24"/>
          <w:szCs w:val="24"/>
        </w:rPr>
        <w:t>EU</w:t>
      </w:r>
      <w:r w:rsidRPr="00393DDB">
        <w:rPr>
          <w:sz w:val="24"/>
          <w:szCs w:val="24"/>
        </w:rPr>
        <w:tab/>
        <w:t xml:space="preserve">Evropská </w:t>
      </w:r>
      <w:r w:rsidR="0093316E">
        <w:rPr>
          <w:sz w:val="24"/>
          <w:szCs w:val="24"/>
        </w:rPr>
        <w:t>u</w:t>
      </w:r>
      <w:r w:rsidRPr="00393DDB">
        <w:rPr>
          <w:sz w:val="24"/>
          <w:szCs w:val="24"/>
        </w:rPr>
        <w:t>nie</w:t>
      </w:r>
    </w:p>
    <w:p w14:paraId="26A513D6" w14:textId="77777777" w:rsidR="00393DDB" w:rsidRPr="00393DDB" w:rsidRDefault="001C0690" w:rsidP="005F4712">
      <w:pPr>
        <w:tabs>
          <w:tab w:val="left" w:pos="1985"/>
        </w:tabs>
        <w:spacing w:before="40" w:after="40" w:line="240" w:lineRule="auto"/>
        <w:ind w:left="1985" w:hanging="1985"/>
        <w:rPr>
          <w:rFonts w:cs="Calibri"/>
          <w:sz w:val="24"/>
          <w:szCs w:val="24"/>
        </w:rPr>
      </w:pPr>
      <w:r>
        <w:rPr>
          <w:sz w:val="24"/>
          <w:szCs w:val="24"/>
        </w:rPr>
        <w:t>JHČ</w:t>
      </w:r>
      <w:r w:rsidR="00393DDB" w:rsidRPr="00393DDB">
        <w:rPr>
          <w:sz w:val="24"/>
          <w:szCs w:val="24"/>
        </w:rPr>
        <w:tab/>
      </w:r>
      <w:r w:rsidR="00393DDB" w:rsidRPr="00393DDB">
        <w:rPr>
          <w:rFonts w:cs="Calibri"/>
          <w:sz w:val="24"/>
          <w:szCs w:val="24"/>
        </w:rPr>
        <w:t>Jihočeský kraj</w:t>
      </w:r>
    </w:p>
    <w:p w14:paraId="25F6BF40"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KA</w:t>
      </w:r>
      <w:r w:rsidRPr="00393DDB">
        <w:rPr>
          <w:rFonts w:cs="Calibri"/>
          <w:sz w:val="24"/>
          <w:szCs w:val="24"/>
        </w:rPr>
        <w:tab/>
        <w:t>kontrolní akce NKÚ</w:t>
      </w:r>
    </w:p>
    <w:p w14:paraId="0613D12C" w14:textId="77777777" w:rsidR="00393DDB" w:rsidRPr="00393DDB" w:rsidRDefault="001C0690" w:rsidP="005F4712">
      <w:pPr>
        <w:tabs>
          <w:tab w:val="left" w:pos="1985"/>
        </w:tabs>
        <w:spacing w:before="40" w:after="40" w:line="240" w:lineRule="auto"/>
        <w:ind w:left="1985" w:hanging="1985"/>
        <w:rPr>
          <w:rFonts w:cs="Calibri"/>
          <w:sz w:val="24"/>
          <w:szCs w:val="24"/>
        </w:rPr>
      </w:pPr>
      <w:r>
        <w:rPr>
          <w:sz w:val="24"/>
          <w:szCs w:val="24"/>
        </w:rPr>
        <w:t>LBK</w:t>
      </w:r>
      <w:r w:rsidR="00393DDB" w:rsidRPr="00393DDB">
        <w:rPr>
          <w:sz w:val="24"/>
          <w:szCs w:val="24"/>
        </w:rPr>
        <w:tab/>
      </w:r>
      <w:r w:rsidR="00393DDB" w:rsidRPr="00393DDB">
        <w:rPr>
          <w:rFonts w:cs="Calibri"/>
          <w:sz w:val="24"/>
          <w:szCs w:val="24"/>
        </w:rPr>
        <w:t>Liberecký kraj</w:t>
      </w:r>
    </w:p>
    <w:p w14:paraId="414C2D12"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MSK</w:t>
      </w:r>
      <w:r w:rsidRPr="00393DDB">
        <w:rPr>
          <w:rFonts w:cs="Calibri"/>
          <w:sz w:val="24"/>
          <w:szCs w:val="24"/>
        </w:rPr>
        <w:tab/>
        <w:t>Moravskoslezský kraj</w:t>
      </w:r>
    </w:p>
    <w:p w14:paraId="2269EC33" w14:textId="77777777" w:rsidR="00393DDB" w:rsidRPr="00393DDB" w:rsidRDefault="00393DDB" w:rsidP="005F4712">
      <w:pPr>
        <w:tabs>
          <w:tab w:val="left" w:pos="1985"/>
        </w:tabs>
        <w:spacing w:before="40" w:after="40" w:line="240" w:lineRule="auto"/>
        <w:ind w:left="1985" w:hanging="1985"/>
        <w:rPr>
          <w:sz w:val="24"/>
          <w:szCs w:val="24"/>
        </w:rPr>
      </w:pPr>
      <w:r w:rsidRPr="00393DDB">
        <w:rPr>
          <w:sz w:val="24"/>
          <w:szCs w:val="24"/>
        </w:rPr>
        <w:t>NKÚ</w:t>
      </w:r>
      <w:r w:rsidRPr="00393DDB">
        <w:rPr>
          <w:sz w:val="24"/>
          <w:szCs w:val="24"/>
        </w:rPr>
        <w:tab/>
        <w:t>Nejvyšší kontrolní úřad České republiky</w:t>
      </w:r>
    </w:p>
    <w:p w14:paraId="54972024" w14:textId="77777777" w:rsidR="00393DDB" w:rsidRPr="00393DDB" w:rsidRDefault="00393DDB" w:rsidP="005F4712">
      <w:pPr>
        <w:tabs>
          <w:tab w:val="left" w:pos="1985"/>
        </w:tabs>
        <w:spacing w:before="40" w:after="40" w:line="240" w:lineRule="auto"/>
        <w:ind w:left="1985" w:hanging="1985"/>
        <w:rPr>
          <w:sz w:val="24"/>
          <w:szCs w:val="24"/>
        </w:rPr>
      </w:pPr>
      <w:r w:rsidRPr="00393DDB">
        <w:rPr>
          <w:sz w:val="24"/>
          <w:szCs w:val="24"/>
        </w:rPr>
        <w:t>NKÚ SR</w:t>
      </w:r>
      <w:r w:rsidRPr="00393DDB">
        <w:rPr>
          <w:sz w:val="24"/>
          <w:szCs w:val="24"/>
        </w:rPr>
        <w:tab/>
      </w:r>
      <w:r w:rsidRPr="00393DDB">
        <w:rPr>
          <w:rFonts w:cs="Calibri"/>
          <w:sz w:val="24"/>
          <w:szCs w:val="24"/>
        </w:rPr>
        <w:t>Nejvyšší kontrolní úřad Slovenské republiky</w:t>
      </w:r>
    </w:p>
    <w:p w14:paraId="44B8E716" w14:textId="77777777" w:rsidR="00393DDB" w:rsidRPr="00393DDB" w:rsidRDefault="001C0690" w:rsidP="005F4712">
      <w:pPr>
        <w:tabs>
          <w:tab w:val="left" w:pos="1985"/>
        </w:tabs>
        <w:spacing w:before="40" w:after="40" w:line="240" w:lineRule="auto"/>
        <w:ind w:left="1985" w:hanging="1985"/>
        <w:rPr>
          <w:rFonts w:cs="Calibri"/>
          <w:sz w:val="24"/>
          <w:szCs w:val="24"/>
        </w:rPr>
      </w:pPr>
      <w:r>
        <w:rPr>
          <w:rFonts w:cs="Calibri"/>
          <w:sz w:val="24"/>
          <w:szCs w:val="24"/>
        </w:rPr>
        <w:t>PAK</w:t>
      </w:r>
      <w:r w:rsidR="00393DDB" w:rsidRPr="00393DDB">
        <w:rPr>
          <w:rFonts w:cs="Calibri"/>
          <w:sz w:val="24"/>
          <w:szCs w:val="24"/>
        </w:rPr>
        <w:tab/>
        <w:t>Pardubický kraj</w:t>
      </w:r>
    </w:p>
    <w:p w14:paraId="048600F3" w14:textId="77777777" w:rsidR="00393DDB" w:rsidRPr="00393DDB" w:rsidRDefault="00393DDB" w:rsidP="005F4712">
      <w:pPr>
        <w:tabs>
          <w:tab w:val="left" w:pos="1985"/>
        </w:tabs>
        <w:spacing w:before="40" w:after="40" w:line="240" w:lineRule="auto"/>
        <w:ind w:left="1985" w:hanging="1985"/>
        <w:rPr>
          <w:sz w:val="24"/>
          <w:szCs w:val="24"/>
        </w:rPr>
      </w:pPr>
      <w:r w:rsidRPr="00393DDB">
        <w:rPr>
          <w:rFonts w:cs="Calibri"/>
          <w:sz w:val="24"/>
          <w:szCs w:val="24"/>
        </w:rPr>
        <w:t>Pravidla SFDI</w:t>
      </w:r>
      <w:r w:rsidRPr="00393DDB">
        <w:rPr>
          <w:rFonts w:cs="Calibri"/>
          <w:sz w:val="24"/>
          <w:szCs w:val="24"/>
        </w:rPr>
        <w:tab/>
      </w:r>
      <w:r w:rsidRPr="00196D71">
        <w:rPr>
          <w:i/>
          <w:iCs/>
          <w:sz w:val="24"/>
          <w:szCs w:val="24"/>
        </w:rPr>
        <w:t xml:space="preserve">Pravidla </w:t>
      </w:r>
      <w:r w:rsidRPr="00196D71">
        <w:rPr>
          <w:i/>
          <w:sz w:val="24"/>
          <w:szCs w:val="24"/>
        </w:rPr>
        <w:t>pro financování programů, staveb a akcí z rozpočtu Státního fondu dopravní infrastruktury</w:t>
      </w:r>
    </w:p>
    <w:p w14:paraId="23DF2878"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PSP ČR</w:t>
      </w:r>
      <w:r w:rsidRPr="00393DDB">
        <w:rPr>
          <w:rFonts w:cs="Calibri"/>
          <w:sz w:val="24"/>
          <w:szCs w:val="24"/>
        </w:rPr>
        <w:tab/>
        <w:t>Poslanecká sněmovna Parlamentu ČR</w:t>
      </w:r>
    </w:p>
    <w:p w14:paraId="4320544B"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bCs/>
          <w:sz w:val="24"/>
          <w:szCs w:val="24"/>
        </w:rPr>
        <w:t>PUR v dopravě</w:t>
      </w:r>
      <w:r w:rsidRPr="00393DDB">
        <w:rPr>
          <w:bCs/>
          <w:sz w:val="24"/>
          <w:szCs w:val="24"/>
        </w:rPr>
        <w:tab/>
      </w:r>
      <w:r w:rsidRPr="00196D71">
        <w:rPr>
          <w:rFonts w:cs="Calibri"/>
          <w:i/>
          <w:sz w:val="24"/>
          <w:szCs w:val="24"/>
        </w:rPr>
        <w:t>Programy údržby a rozvoje nemovitého majetku v oblastech dopravy, školství, zdravotnictví, sociálních věcí, kultury a ostatní</w:t>
      </w:r>
      <w:r w:rsidRPr="00393DDB">
        <w:rPr>
          <w:rFonts w:cs="Calibri"/>
          <w:sz w:val="24"/>
          <w:szCs w:val="24"/>
        </w:rPr>
        <w:t xml:space="preserve"> (</w:t>
      </w:r>
      <w:r w:rsidRPr="00393DDB">
        <w:rPr>
          <w:bCs/>
          <w:sz w:val="24"/>
          <w:szCs w:val="24"/>
        </w:rPr>
        <w:t>koncepční materiál Pardubického kraje)</w:t>
      </w:r>
    </w:p>
    <w:p w14:paraId="4A4E8CC6" w14:textId="1D62319A"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ROP</w:t>
      </w:r>
      <w:r w:rsidRPr="00393DDB">
        <w:rPr>
          <w:rFonts w:cs="Calibri"/>
          <w:sz w:val="24"/>
          <w:szCs w:val="24"/>
        </w:rPr>
        <w:tab/>
      </w:r>
      <w:r w:rsidR="00A76E58">
        <w:rPr>
          <w:rFonts w:cs="Calibri"/>
          <w:sz w:val="24"/>
          <w:szCs w:val="24"/>
        </w:rPr>
        <w:t>r</w:t>
      </w:r>
      <w:r w:rsidRPr="00A76E58">
        <w:rPr>
          <w:rFonts w:cs="Calibri"/>
          <w:sz w:val="24"/>
          <w:szCs w:val="24"/>
        </w:rPr>
        <w:t xml:space="preserve">egionální operační </w:t>
      </w:r>
      <w:proofErr w:type="gramStart"/>
      <w:r w:rsidRPr="00A76E58">
        <w:rPr>
          <w:rFonts w:cs="Calibri"/>
          <w:sz w:val="24"/>
          <w:szCs w:val="24"/>
        </w:rPr>
        <w:t>program</w:t>
      </w:r>
      <w:r w:rsidR="00D11A07">
        <w:rPr>
          <w:rFonts w:cs="Calibri"/>
          <w:sz w:val="24"/>
          <w:szCs w:val="24"/>
        </w:rPr>
        <w:t>(y)</w:t>
      </w:r>
      <w:proofErr w:type="gramEnd"/>
    </w:p>
    <w:p w14:paraId="427B655E" w14:textId="5B15A49B" w:rsidR="00393DDB" w:rsidRPr="00393DDB" w:rsidRDefault="00393DDB" w:rsidP="005F4712">
      <w:pPr>
        <w:tabs>
          <w:tab w:val="left" w:pos="1985"/>
          <w:tab w:val="left" w:pos="2792"/>
        </w:tabs>
        <w:spacing w:before="40" w:after="40" w:line="240" w:lineRule="auto"/>
        <w:ind w:left="1985" w:hanging="1985"/>
        <w:rPr>
          <w:rFonts w:cs="Calibri"/>
          <w:sz w:val="24"/>
          <w:szCs w:val="24"/>
        </w:rPr>
      </w:pPr>
      <w:r w:rsidRPr="00393DDB">
        <w:rPr>
          <w:rFonts w:cs="Calibri"/>
          <w:sz w:val="24"/>
          <w:szCs w:val="24"/>
        </w:rPr>
        <w:t>RR</w:t>
      </w:r>
      <w:r w:rsidRPr="00393DDB">
        <w:rPr>
          <w:rFonts w:cs="Calibri"/>
          <w:sz w:val="24"/>
          <w:szCs w:val="24"/>
        </w:rPr>
        <w:tab/>
      </w:r>
      <w:r w:rsidR="00E16FAF">
        <w:rPr>
          <w:sz w:val="24"/>
          <w:szCs w:val="24"/>
        </w:rPr>
        <w:t>r</w:t>
      </w:r>
      <w:r w:rsidRPr="00393DDB">
        <w:rPr>
          <w:sz w:val="24"/>
          <w:szCs w:val="24"/>
        </w:rPr>
        <w:t>egionální rada regionu soudržnosti</w:t>
      </w:r>
    </w:p>
    <w:p w14:paraId="12EC8E09"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RRJZ</w:t>
      </w:r>
      <w:r w:rsidRPr="00393DDB">
        <w:rPr>
          <w:rFonts w:cs="Calibri"/>
          <w:sz w:val="24"/>
          <w:szCs w:val="24"/>
        </w:rPr>
        <w:tab/>
        <w:t>Regionální rada regionu soudržnosti Jihozápad</w:t>
      </w:r>
    </w:p>
    <w:p w14:paraId="18119C4E" w14:textId="26F52D82" w:rsidR="00393DDB" w:rsidRPr="00393DDB" w:rsidRDefault="00393DDB" w:rsidP="005F4712">
      <w:pPr>
        <w:tabs>
          <w:tab w:val="left" w:pos="1985"/>
        </w:tabs>
        <w:spacing w:before="40" w:after="40" w:line="240" w:lineRule="auto"/>
        <w:ind w:left="1985" w:hanging="1985"/>
        <w:rPr>
          <w:rFonts w:cs="Calibri"/>
          <w:sz w:val="24"/>
          <w:szCs w:val="24"/>
        </w:rPr>
      </w:pPr>
      <w:r w:rsidRPr="00393DDB">
        <w:rPr>
          <w:sz w:val="24"/>
          <w:szCs w:val="24"/>
        </w:rPr>
        <w:t>SFDI</w:t>
      </w:r>
      <w:r w:rsidRPr="00393DDB">
        <w:rPr>
          <w:sz w:val="24"/>
          <w:szCs w:val="24"/>
        </w:rPr>
        <w:tab/>
      </w:r>
      <w:r w:rsidRPr="00393DDB">
        <w:rPr>
          <w:rFonts w:cs="Calibri"/>
          <w:sz w:val="24"/>
          <w:szCs w:val="24"/>
        </w:rPr>
        <w:t>Státní</w:t>
      </w:r>
      <w:r w:rsidR="00670859">
        <w:rPr>
          <w:rFonts w:cs="Calibri"/>
          <w:sz w:val="24"/>
          <w:szCs w:val="24"/>
        </w:rPr>
        <w:t xml:space="preserve"> </w:t>
      </w:r>
      <w:r w:rsidRPr="00393DDB">
        <w:rPr>
          <w:rFonts w:cs="Calibri"/>
          <w:sz w:val="24"/>
          <w:szCs w:val="24"/>
        </w:rPr>
        <w:t>fond</w:t>
      </w:r>
      <w:r w:rsidR="00670859">
        <w:rPr>
          <w:rFonts w:cs="Calibri"/>
          <w:sz w:val="24"/>
          <w:szCs w:val="24"/>
        </w:rPr>
        <w:t xml:space="preserve"> </w:t>
      </w:r>
      <w:r w:rsidRPr="00393DDB">
        <w:rPr>
          <w:rFonts w:cs="Calibri"/>
          <w:sz w:val="24"/>
          <w:szCs w:val="24"/>
        </w:rPr>
        <w:t>dopravní</w:t>
      </w:r>
      <w:r w:rsidR="00670859">
        <w:rPr>
          <w:rFonts w:cs="Calibri"/>
          <w:sz w:val="24"/>
          <w:szCs w:val="24"/>
        </w:rPr>
        <w:t xml:space="preserve"> </w:t>
      </w:r>
      <w:r w:rsidRPr="00393DDB">
        <w:rPr>
          <w:rFonts w:cs="Calibri"/>
          <w:sz w:val="24"/>
          <w:szCs w:val="24"/>
        </w:rPr>
        <w:t>infrastruktury</w:t>
      </w:r>
    </w:p>
    <w:p w14:paraId="76A6162D" w14:textId="6D0620C7" w:rsidR="00393DDB" w:rsidRPr="00393DDB" w:rsidRDefault="00670859" w:rsidP="005F4712">
      <w:pPr>
        <w:tabs>
          <w:tab w:val="left" w:pos="1985"/>
        </w:tabs>
        <w:spacing w:before="40" w:after="40" w:line="240" w:lineRule="auto"/>
        <w:ind w:left="1985" w:hanging="1985"/>
        <w:rPr>
          <w:bCs/>
          <w:sz w:val="24"/>
          <w:szCs w:val="24"/>
        </w:rPr>
      </w:pPr>
      <w:r>
        <w:rPr>
          <w:rFonts w:cs="Calibri"/>
          <w:sz w:val="24"/>
          <w:szCs w:val="24"/>
        </w:rPr>
        <w:t>s</w:t>
      </w:r>
      <w:r w:rsidR="00393DDB" w:rsidRPr="00393DDB">
        <w:rPr>
          <w:rFonts w:cs="Calibri"/>
          <w:sz w:val="24"/>
          <w:szCs w:val="24"/>
        </w:rPr>
        <w:t>ilnice krajů</w:t>
      </w:r>
      <w:r w:rsidR="00393DDB" w:rsidRPr="00393DDB">
        <w:rPr>
          <w:rFonts w:cs="Calibri"/>
          <w:sz w:val="24"/>
          <w:szCs w:val="24"/>
        </w:rPr>
        <w:tab/>
      </w:r>
      <w:r w:rsidR="00E16FAF">
        <w:rPr>
          <w:bCs/>
          <w:sz w:val="24"/>
          <w:szCs w:val="24"/>
        </w:rPr>
        <w:t>s</w:t>
      </w:r>
      <w:r w:rsidR="00393DDB" w:rsidRPr="00393DDB">
        <w:rPr>
          <w:bCs/>
          <w:sz w:val="24"/>
          <w:szCs w:val="24"/>
        </w:rPr>
        <w:t>ilnice II. a III. třídy na území vybraných krajů</w:t>
      </w:r>
    </w:p>
    <w:p w14:paraId="5CADC53D" w14:textId="1F246828" w:rsidR="00393DDB" w:rsidRPr="00393DDB" w:rsidRDefault="00393DDB" w:rsidP="005F4712">
      <w:pPr>
        <w:tabs>
          <w:tab w:val="left" w:pos="1985"/>
        </w:tabs>
        <w:spacing w:before="40" w:after="40" w:line="240" w:lineRule="auto"/>
        <w:ind w:left="1985" w:hanging="1985"/>
        <w:rPr>
          <w:bCs/>
          <w:sz w:val="24"/>
          <w:szCs w:val="24"/>
        </w:rPr>
      </w:pPr>
      <w:r w:rsidRPr="00393DDB">
        <w:rPr>
          <w:bCs/>
          <w:sz w:val="24"/>
          <w:szCs w:val="24"/>
        </w:rPr>
        <w:t>Smlouva</w:t>
      </w:r>
      <w:r w:rsidRPr="00393DDB">
        <w:rPr>
          <w:bCs/>
          <w:sz w:val="24"/>
          <w:szCs w:val="24"/>
        </w:rPr>
        <w:tab/>
      </w:r>
      <w:proofErr w:type="spellStart"/>
      <w:r w:rsidR="00E16FAF">
        <w:rPr>
          <w:rFonts w:cs="Arial"/>
          <w:sz w:val="24"/>
          <w:szCs w:val="24"/>
        </w:rPr>
        <w:t>s</w:t>
      </w:r>
      <w:r w:rsidRPr="00393DDB">
        <w:rPr>
          <w:rFonts w:cs="Arial"/>
          <w:sz w:val="24"/>
          <w:szCs w:val="24"/>
        </w:rPr>
        <w:t>mlouva</w:t>
      </w:r>
      <w:proofErr w:type="spellEnd"/>
      <w:r w:rsidRPr="00393DDB">
        <w:rPr>
          <w:rFonts w:cs="Arial"/>
          <w:sz w:val="24"/>
          <w:szCs w:val="24"/>
        </w:rPr>
        <w:t xml:space="preserve"> o poskytnutí finančních prostředků z rozpočtu SFDI </w:t>
      </w:r>
    </w:p>
    <w:p w14:paraId="1174AFF9" w14:textId="77777777" w:rsidR="0093316E" w:rsidRDefault="0093316E" w:rsidP="005F4712">
      <w:pPr>
        <w:tabs>
          <w:tab w:val="left" w:pos="1985"/>
        </w:tabs>
        <w:spacing w:before="40" w:after="40" w:line="240" w:lineRule="auto"/>
        <w:ind w:left="1985" w:hanging="1985"/>
        <w:rPr>
          <w:bCs/>
          <w:sz w:val="24"/>
          <w:szCs w:val="24"/>
        </w:rPr>
      </w:pPr>
      <w:r>
        <w:rPr>
          <w:bCs/>
          <w:sz w:val="24"/>
          <w:szCs w:val="24"/>
        </w:rPr>
        <w:t>SR</w:t>
      </w:r>
      <w:r>
        <w:rPr>
          <w:bCs/>
          <w:sz w:val="24"/>
          <w:szCs w:val="24"/>
        </w:rPr>
        <w:tab/>
        <w:t>Slovenská republika</w:t>
      </w:r>
    </w:p>
    <w:p w14:paraId="448F8BC5" w14:textId="52BC95BB" w:rsidR="00393DDB" w:rsidRPr="00393DDB" w:rsidRDefault="00393DDB" w:rsidP="005F4712">
      <w:pPr>
        <w:tabs>
          <w:tab w:val="left" w:pos="1985"/>
        </w:tabs>
        <w:spacing w:before="40" w:after="40" w:line="240" w:lineRule="auto"/>
        <w:ind w:left="1985" w:hanging="1985"/>
        <w:rPr>
          <w:rFonts w:cs="Calibri"/>
          <w:sz w:val="24"/>
          <w:szCs w:val="24"/>
        </w:rPr>
      </w:pPr>
      <w:r w:rsidRPr="00393DDB">
        <w:rPr>
          <w:bCs/>
          <w:sz w:val="24"/>
          <w:szCs w:val="24"/>
        </w:rPr>
        <w:t>SS</w:t>
      </w:r>
      <w:r w:rsidRPr="00393DDB">
        <w:rPr>
          <w:bCs/>
          <w:sz w:val="24"/>
          <w:szCs w:val="24"/>
        </w:rPr>
        <w:tab/>
      </w:r>
      <w:r w:rsidR="00E16FAF">
        <w:rPr>
          <w:bCs/>
          <w:sz w:val="24"/>
          <w:szCs w:val="24"/>
        </w:rPr>
        <w:t>s</w:t>
      </w:r>
      <w:r w:rsidRPr="00393DDB">
        <w:rPr>
          <w:bCs/>
          <w:sz w:val="24"/>
          <w:szCs w:val="24"/>
        </w:rPr>
        <w:t>práva silnic</w:t>
      </w:r>
    </w:p>
    <w:p w14:paraId="51F1D3C4" w14:textId="77777777"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SSMSK</w:t>
      </w:r>
      <w:r w:rsidRPr="00393DDB">
        <w:rPr>
          <w:rFonts w:cs="Calibri"/>
          <w:sz w:val="24"/>
          <w:szCs w:val="24"/>
        </w:rPr>
        <w:tab/>
        <w:t>Správa silnic Moravskoslezského kraje, příspěvková organizace</w:t>
      </w:r>
    </w:p>
    <w:p w14:paraId="4555DFD1" w14:textId="27C9008D"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SÚS</w:t>
      </w:r>
      <w:r w:rsidRPr="00393DDB">
        <w:rPr>
          <w:rFonts w:cs="Calibri"/>
          <w:sz w:val="24"/>
          <w:szCs w:val="24"/>
        </w:rPr>
        <w:tab/>
      </w:r>
      <w:r w:rsidR="00E16FAF">
        <w:rPr>
          <w:rFonts w:cs="Calibri"/>
          <w:sz w:val="24"/>
          <w:szCs w:val="24"/>
        </w:rPr>
        <w:t>s</w:t>
      </w:r>
      <w:r w:rsidRPr="00393DDB">
        <w:rPr>
          <w:rFonts w:cs="Calibri"/>
          <w:sz w:val="24"/>
          <w:szCs w:val="24"/>
        </w:rPr>
        <w:t>práva a údržba silnic</w:t>
      </w:r>
    </w:p>
    <w:p w14:paraId="0A78380F" w14:textId="0701FEDD"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SÚS</w:t>
      </w:r>
      <w:r w:rsidR="001C0690">
        <w:rPr>
          <w:rFonts w:cs="Calibri"/>
          <w:sz w:val="24"/>
          <w:szCs w:val="24"/>
        </w:rPr>
        <w:t>PAK</w:t>
      </w:r>
      <w:r w:rsidRPr="00393DDB">
        <w:rPr>
          <w:rFonts w:cs="Calibri"/>
          <w:sz w:val="24"/>
          <w:szCs w:val="24"/>
        </w:rPr>
        <w:tab/>
        <w:t>Správa</w:t>
      </w:r>
      <w:r w:rsidR="00670859">
        <w:rPr>
          <w:rFonts w:cs="Calibri"/>
          <w:sz w:val="24"/>
          <w:szCs w:val="24"/>
        </w:rPr>
        <w:t xml:space="preserve"> </w:t>
      </w:r>
      <w:r w:rsidRPr="00393DDB">
        <w:rPr>
          <w:rFonts w:cs="Calibri"/>
          <w:sz w:val="24"/>
          <w:szCs w:val="24"/>
        </w:rPr>
        <w:t>a údržba</w:t>
      </w:r>
      <w:r w:rsidR="00670859">
        <w:rPr>
          <w:rFonts w:cs="Calibri"/>
          <w:sz w:val="24"/>
          <w:szCs w:val="24"/>
        </w:rPr>
        <w:t xml:space="preserve"> </w:t>
      </w:r>
      <w:r w:rsidRPr="00393DDB">
        <w:rPr>
          <w:rFonts w:cs="Calibri"/>
          <w:sz w:val="24"/>
          <w:szCs w:val="24"/>
        </w:rPr>
        <w:t>silnic Pardubického kraje, příspěvková organizace</w:t>
      </w:r>
    </w:p>
    <w:p w14:paraId="410B56D7" w14:textId="5C7E30BF"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SÚSPK</w:t>
      </w:r>
      <w:r w:rsidRPr="00393DDB">
        <w:rPr>
          <w:rFonts w:cs="Calibri"/>
          <w:sz w:val="24"/>
          <w:szCs w:val="24"/>
        </w:rPr>
        <w:tab/>
        <w:t>Správa</w:t>
      </w:r>
      <w:r w:rsidR="00670859">
        <w:rPr>
          <w:rFonts w:cs="Calibri"/>
          <w:sz w:val="24"/>
          <w:szCs w:val="24"/>
        </w:rPr>
        <w:t xml:space="preserve"> </w:t>
      </w:r>
      <w:r w:rsidRPr="00393DDB">
        <w:rPr>
          <w:rFonts w:cs="Calibri"/>
          <w:sz w:val="24"/>
          <w:szCs w:val="24"/>
        </w:rPr>
        <w:t>a údržba</w:t>
      </w:r>
      <w:r w:rsidR="00670859">
        <w:rPr>
          <w:rFonts w:cs="Calibri"/>
          <w:sz w:val="24"/>
          <w:szCs w:val="24"/>
        </w:rPr>
        <w:t xml:space="preserve"> </w:t>
      </w:r>
      <w:r w:rsidRPr="00393DDB">
        <w:rPr>
          <w:rFonts w:cs="Calibri"/>
          <w:sz w:val="24"/>
          <w:szCs w:val="24"/>
        </w:rPr>
        <w:t>silnic</w:t>
      </w:r>
      <w:r w:rsidR="00670859">
        <w:rPr>
          <w:rFonts w:cs="Calibri"/>
          <w:sz w:val="24"/>
          <w:szCs w:val="24"/>
        </w:rPr>
        <w:t xml:space="preserve"> </w:t>
      </w:r>
      <w:r w:rsidRPr="00393DDB">
        <w:rPr>
          <w:rFonts w:cs="Calibri"/>
          <w:sz w:val="24"/>
          <w:szCs w:val="24"/>
        </w:rPr>
        <w:t>Plzeňského</w:t>
      </w:r>
      <w:r w:rsidR="00670859">
        <w:rPr>
          <w:rFonts w:cs="Calibri"/>
          <w:sz w:val="24"/>
          <w:szCs w:val="24"/>
        </w:rPr>
        <w:t xml:space="preserve"> </w:t>
      </w:r>
      <w:r w:rsidRPr="00393DDB">
        <w:rPr>
          <w:rFonts w:cs="Calibri"/>
          <w:sz w:val="24"/>
          <w:szCs w:val="24"/>
        </w:rPr>
        <w:t>kraje, příspěvková organizace</w:t>
      </w:r>
    </w:p>
    <w:p w14:paraId="6B0F4334" w14:textId="77777777" w:rsidR="00393DDB" w:rsidRPr="00393DDB" w:rsidRDefault="00393DDB" w:rsidP="005F4712">
      <w:pPr>
        <w:tabs>
          <w:tab w:val="left" w:pos="1985"/>
        </w:tabs>
        <w:spacing w:before="40" w:after="40" w:line="240" w:lineRule="auto"/>
        <w:ind w:left="1985" w:hanging="1985"/>
        <w:rPr>
          <w:rFonts w:cs="Calibri"/>
          <w:sz w:val="24"/>
          <w:szCs w:val="24"/>
        </w:rPr>
      </w:pPr>
      <w:r w:rsidRPr="00BE07FA">
        <w:rPr>
          <w:rFonts w:cs="Calibri"/>
          <w:sz w:val="24"/>
          <w:szCs w:val="24"/>
        </w:rPr>
        <w:t>ÚOHS</w:t>
      </w:r>
      <w:r w:rsidRPr="00BE07FA">
        <w:rPr>
          <w:rFonts w:cs="Calibri"/>
          <w:sz w:val="24"/>
          <w:szCs w:val="24"/>
        </w:rPr>
        <w:tab/>
        <w:t>Úřad pro ochranu hospodářské soutěže</w:t>
      </w:r>
    </w:p>
    <w:p w14:paraId="4C384DF0" w14:textId="3877A86A" w:rsidR="005F4712" w:rsidRPr="005F4712" w:rsidRDefault="005F4712" w:rsidP="005F4712">
      <w:pPr>
        <w:tabs>
          <w:tab w:val="left" w:pos="1985"/>
        </w:tabs>
        <w:spacing w:before="40" w:after="40" w:line="240" w:lineRule="auto"/>
        <w:ind w:left="1985" w:hanging="1985"/>
        <w:rPr>
          <w:rFonts w:cs="Calibri"/>
          <w:sz w:val="24"/>
          <w:szCs w:val="24"/>
        </w:rPr>
      </w:pPr>
      <w:r>
        <w:rPr>
          <w:rFonts w:cs="Calibri"/>
          <w:sz w:val="24"/>
          <w:szCs w:val="24"/>
        </w:rPr>
        <w:t>VÚC</w:t>
      </w:r>
      <w:r>
        <w:rPr>
          <w:rFonts w:cs="Calibri"/>
          <w:sz w:val="24"/>
          <w:szCs w:val="24"/>
        </w:rPr>
        <w:tab/>
        <w:t xml:space="preserve">jednotka územní samosprávy na Slovensku (ze slov. </w:t>
      </w:r>
      <w:proofErr w:type="gramStart"/>
      <w:r>
        <w:rPr>
          <w:rFonts w:cs="Calibri"/>
          <w:i/>
          <w:sz w:val="24"/>
          <w:szCs w:val="24"/>
        </w:rPr>
        <w:t>vyšší</w:t>
      </w:r>
      <w:proofErr w:type="gramEnd"/>
      <w:r>
        <w:rPr>
          <w:rFonts w:cs="Calibri"/>
          <w:i/>
          <w:sz w:val="24"/>
          <w:szCs w:val="24"/>
        </w:rPr>
        <w:t xml:space="preserve"> </w:t>
      </w:r>
      <w:proofErr w:type="spellStart"/>
      <w:r>
        <w:rPr>
          <w:rFonts w:cs="Calibri"/>
          <w:i/>
          <w:sz w:val="24"/>
          <w:szCs w:val="24"/>
        </w:rPr>
        <w:t>územný</w:t>
      </w:r>
      <w:proofErr w:type="spellEnd"/>
      <w:r>
        <w:rPr>
          <w:rFonts w:cs="Calibri"/>
          <w:i/>
          <w:sz w:val="24"/>
          <w:szCs w:val="24"/>
        </w:rPr>
        <w:t xml:space="preserve"> </w:t>
      </w:r>
      <w:proofErr w:type="spellStart"/>
      <w:r>
        <w:rPr>
          <w:rFonts w:cs="Calibri"/>
          <w:i/>
          <w:sz w:val="24"/>
          <w:szCs w:val="24"/>
        </w:rPr>
        <w:t>celok</w:t>
      </w:r>
      <w:proofErr w:type="spellEnd"/>
      <w:r>
        <w:rPr>
          <w:rFonts w:cs="Calibri"/>
          <w:sz w:val="24"/>
          <w:szCs w:val="24"/>
        </w:rPr>
        <w:t>)</w:t>
      </w:r>
    </w:p>
    <w:p w14:paraId="43921E92" w14:textId="4045AE30"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zakázka</w:t>
      </w:r>
      <w:r w:rsidRPr="00393DDB">
        <w:rPr>
          <w:rFonts w:cs="Calibri"/>
          <w:sz w:val="24"/>
          <w:szCs w:val="24"/>
        </w:rPr>
        <w:tab/>
        <w:t xml:space="preserve">veřejná zakázka ve smyslu zákona </w:t>
      </w:r>
      <w:r w:rsidR="007765FC">
        <w:rPr>
          <w:rFonts w:cs="Calibri"/>
          <w:color w:val="000000"/>
          <w:sz w:val="24"/>
          <w:szCs w:val="24"/>
        </w:rPr>
        <w:t xml:space="preserve">č. 137/2006 Sb., o veřejných </w:t>
      </w:r>
      <w:r w:rsidRPr="00393DDB">
        <w:rPr>
          <w:rFonts w:cs="Calibri"/>
          <w:color w:val="000000"/>
          <w:sz w:val="24"/>
          <w:szCs w:val="24"/>
        </w:rPr>
        <w:t>zakázkách</w:t>
      </w:r>
    </w:p>
    <w:p w14:paraId="57ABAA78" w14:textId="059195BA"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ZVA</w:t>
      </w:r>
      <w:r w:rsidRPr="00393DDB">
        <w:rPr>
          <w:rFonts w:cs="Calibri"/>
          <w:sz w:val="24"/>
          <w:szCs w:val="24"/>
        </w:rPr>
        <w:tab/>
      </w:r>
      <w:r w:rsidR="00E16FAF">
        <w:rPr>
          <w:rFonts w:cs="Calibri"/>
          <w:sz w:val="24"/>
          <w:szCs w:val="24"/>
        </w:rPr>
        <w:t>z</w:t>
      </w:r>
      <w:r w:rsidRPr="00393DDB">
        <w:rPr>
          <w:rFonts w:cs="Calibri"/>
          <w:sz w:val="24"/>
          <w:szCs w:val="24"/>
        </w:rPr>
        <w:t>ávěrečné vyhodnocení akce</w:t>
      </w:r>
    </w:p>
    <w:p w14:paraId="6FB798DB" w14:textId="3D29B552" w:rsidR="00393DDB" w:rsidRPr="00393DDB" w:rsidRDefault="00393DDB" w:rsidP="005F4712">
      <w:pPr>
        <w:tabs>
          <w:tab w:val="left" w:pos="1985"/>
        </w:tabs>
        <w:spacing w:before="40" w:after="40" w:line="240" w:lineRule="auto"/>
        <w:ind w:left="1985" w:hanging="1985"/>
        <w:rPr>
          <w:rFonts w:cs="Calibri"/>
          <w:sz w:val="24"/>
          <w:szCs w:val="24"/>
        </w:rPr>
      </w:pPr>
      <w:r w:rsidRPr="00393DDB">
        <w:rPr>
          <w:rFonts w:cs="Calibri"/>
          <w:sz w:val="24"/>
          <w:szCs w:val="24"/>
        </w:rPr>
        <w:t>ZVZ</w:t>
      </w:r>
      <w:r w:rsidRPr="00393DDB">
        <w:rPr>
          <w:rFonts w:cs="Calibri"/>
          <w:sz w:val="24"/>
          <w:szCs w:val="24"/>
        </w:rPr>
        <w:tab/>
      </w:r>
      <w:r w:rsidR="00E16FAF">
        <w:rPr>
          <w:rFonts w:cs="Calibri"/>
          <w:color w:val="000000"/>
          <w:sz w:val="24"/>
          <w:szCs w:val="24"/>
        </w:rPr>
        <w:t>z</w:t>
      </w:r>
      <w:r w:rsidRPr="00393DDB">
        <w:rPr>
          <w:rFonts w:cs="Calibri"/>
          <w:color w:val="000000"/>
          <w:sz w:val="24"/>
          <w:szCs w:val="24"/>
        </w:rPr>
        <w:t>ákon č. 137/2006 Sb., o veřejných zakázkách</w:t>
      </w:r>
    </w:p>
    <w:p w14:paraId="6DD24205" w14:textId="77777777" w:rsidR="00860485" w:rsidRDefault="00860485" w:rsidP="005F4712">
      <w:pPr>
        <w:spacing w:after="0" w:line="240" w:lineRule="auto"/>
      </w:pPr>
    </w:p>
    <w:sectPr w:rsidR="00860485" w:rsidSect="00B227C9">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9CCD7" w14:textId="77777777" w:rsidR="000B7E29" w:rsidRDefault="000B7E29" w:rsidP="00393DDB">
      <w:pPr>
        <w:spacing w:after="0" w:line="240" w:lineRule="auto"/>
      </w:pPr>
      <w:r>
        <w:separator/>
      </w:r>
    </w:p>
  </w:endnote>
  <w:endnote w:type="continuationSeparator" w:id="0">
    <w:p w14:paraId="794A1247" w14:textId="77777777" w:rsidR="000B7E29" w:rsidRDefault="000B7E29" w:rsidP="0039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7811" w14:textId="77777777" w:rsidR="00DA006B" w:rsidRDefault="00DA00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40866"/>
      <w:docPartObj>
        <w:docPartGallery w:val="Page Numbers (Bottom of Page)"/>
        <w:docPartUnique/>
      </w:docPartObj>
    </w:sdtPr>
    <w:sdtEndPr/>
    <w:sdtContent>
      <w:p w14:paraId="4B56B970" w14:textId="6F012424" w:rsidR="000B7E29" w:rsidRDefault="000B7E29">
        <w:pPr>
          <w:pStyle w:val="Zpat"/>
          <w:jc w:val="center"/>
        </w:pPr>
        <w:r>
          <w:fldChar w:fldCharType="begin"/>
        </w:r>
        <w:r>
          <w:instrText>PAGE   \* MERGEFORMAT</w:instrText>
        </w:r>
        <w:r>
          <w:fldChar w:fldCharType="separate"/>
        </w:r>
        <w:r w:rsidR="005C31B1">
          <w:rPr>
            <w:noProof/>
          </w:rPr>
          <w:t>24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E603" w14:textId="77777777" w:rsidR="00DA006B" w:rsidRDefault="00DA00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471F6" w14:textId="77777777" w:rsidR="000B7E29" w:rsidRDefault="000B7E29" w:rsidP="00393DDB">
      <w:pPr>
        <w:spacing w:after="0" w:line="240" w:lineRule="auto"/>
      </w:pPr>
      <w:r>
        <w:separator/>
      </w:r>
    </w:p>
  </w:footnote>
  <w:footnote w:type="continuationSeparator" w:id="0">
    <w:p w14:paraId="3D2B12DC" w14:textId="77777777" w:rsidR="000B7E29" w:rsidRDefault="000B7E29" w:rsidP="00393DDB">
      <w:pPr>
        <w:spacing w:after="0" w:line="240" w:lineRule="auto"/>
      </w:pPr>
      <w:r>
        <w:continuationSeparator/>
      </w:r>
    </w:p>
  </w:footnote>
  <w:footnote w:id="1">
    <w:p w14:paraId="46374A73" w14:textId="77777777" w:rsidR="000B7E29" w:rsidRPr="00ED7321" w:rsidRDefault="000B7E29" w:rsidP="00973A99">
      <w:pPr>
        <w:pStyle w:val="Textpoznpodarou"/>
        <w:ind w:left="284" w:hanging="284"/>
        <w:rPr>
          <w:rFonts w:asciiTheme="minorHAnsi" w:hAnsiTheme="minorHAnsi" w:cstheme="minorHAnsi"/>
        </w:rPr>
      </w:pPr>
      <w:r w:rsidRPr="00ED7321">
        <w:rPr>
          <w:rStyle w:val="Znakapoznpodarou"/>
          <w:rFonts w:asciiTheme="minorHAnsi" w:hAnsiTheme="minorHAnsi" w:cstheme="minorHAnsi"/>
        </w:rPr>
        <w:footnoteRef/>
      </w:r>
      <w:r w:rsidRPr="00ED7321">
        <w:rPr>
          <w:rFonts w:asciiTheme="minorHAnsi" w:hAnsiTheme="minorHAnsi" w:cstheme="minorHAnsi"/>
        </w:rPr>
        <w:t xml:space="preserve"> </w:t>
      </w:r>
      <w:r w:rsidRPr="00ED7321">
        <w:rPr>
          <w:rFonts w:asciiTheme="minorHAnsi" w:hAnsiTheme="minorHAnsi" w:cstheme="minorHAnsi"/>
        </w:rPr>
        <w:tab/>
        <w:t>Zákon č. 104/2000 Sb., o Státním fondu dopravní infrastruktury.</w:t>
      </w:r>
    </w:p>
  </w:footnote>
  <w:footnote w:id="2">
    <w:p w14:paraId="523008D9" w14:textId="77777777" w:rsidR="000B7E29" w:rsidRPr="00ED7321" w:rsidRDefault="000B7E29" w:rsidP="00973A99">
      <w:pPr>
        <w:pStyle w:val="Textpoznpodarou"/>
        <w:ind w:left="284" w:hanging="284"/>
        <w:jc w:val="both"/>
        <w:rPr>
          <w:rFonts w:asciiTheme="minorHAnsi" w:hAnsiTheme="minorHAnsi" w:cstheme="minorHAnsi"/>
        </w:rPr>
      </w:pPr>
      <w:r w:rsidRPr="00ED7321">
        <w:rPr>
          <w:rStyle w:val="Znakapoznpodarou"/>
          <w:rFonts w:asciiTheme="minorHAnsi" w:hAnsiTheme="minorHAnsi" w:cstheme="minorHAnsi"/>
        </w:rPr>
        <w:footnoteRef/>
      </w:r>
      <w:r w:rsidRPr="00ED7321">
        <w:rPr>
          <w:rFonts w:asciiTheme="minorHAnsi" w:hAnsiTheme="minorHAnsi" w:cstheme="minorHAnsi"/>
        </w:rPr>
        <w:t xml:space="preserve"> </w:t>
      </w:r>
      <w:r w:rsidRPr="00ED7321">
        <w:rPr>
          <w:rFonts w:asciiTheme="minorHAnsi" w:hAnsiTheme="minorHAnsi" w:cstheme="minorHAnsi"/>
        </w:rPr>
        <w:tab/>
        <w:t>Zákon č. 132/2000 Sb., o změně a zrušení některých zákonů souvisejících se zákonem o krajích, zákonem o obcích, zákonem o okresních úřadech a zákonem o hlavním městě Praze.</w:t>
      </w:r>
    </w:p>
  </w:footnote>
  <w:footnote w:id="3">
    <w:p w14:paraId="17D05C54" w14:textId="77777777" w:rsidR="000B7E29" w:rsidRPr="00ED7321" w:rsidRDefault="000B7E29" w:rsidP="00973A99">
      <w:pPr>
        <w:pStyle w:val="Textpoznpodarou"/>
        <w:ind w:left="284" w:hanging="284"/>
        <w:jc w:val="both"/>
        <w:rPr>
          <w:rFonts w:asciiTheme="minorHAnsi" w:hAnsiTheme="minorHAnsi" w:cstheme="minorHAnsi"/>
        </w:rPr>
      </w:pPr>
      <w:r w:rsidRPr="00ED7321">
        <w:rPr>
          <w:rStyle w:val="Znakapoznpodarou"/>
          <w:rFonts w:asciiTheme="minorHAnsi" w:hAnsiTheme="minorHAnsi" w:cstheme="minorHAnsi"/>
        </w:rPr>
        <w:footnoteRef/>
      </w:r>
      <w:r w:rsidRPr="00ED7321">
        <w:rPr>
          <w:rFonts w:asciiTheme="minorHAnsi" w:hAnsiTheme="minorHAnsi" w:cstheme="minorHAnsi"/>
        </w:rPr>
        <w:t xml:space="preserve"> </w:t>
      </w:r>
      <w:r w:rsidRPr="00ED7321">
        <w:rPr>
          <w:rFonts w:asciiTheme="minorHAnsi" w:hAnsiTheme="minorHAnsi" w:cstheme="minorHAnsi"/>
        </w:rPr>
        <w:tab/>
      </w:r>
      <w:r w:rsidRPr="00ED7321">
        <w:rPr>
          <w:rStyle w:val="Znakapoznpodarou"/>
          <w:rFonts w:asciiTheme="minorHAnsi" w:hAnsiTheme="minorHAnsi" w:cstheme="minorHAnsi"/>
          <w:bCs/>
          <w:vertAlign w:val="baseline"/>
        </w:rPr>
        <w:t>Zákon č. 13/1997 Sb., o pozemních komunikacích</w:t>
      </w:r>
      <w:r w:rsidRPr="00ED7321">
        <w:rPr>
          <w:rFonts w:asciiTheme="minorHAnsi" w:hAnsiTheme="minorHAnsi" w:cstheme="minorHAnsi"/>
          <w:bCs/>
        </w:rPr>
        <w:t>.</w:t>
      </w:r>
    </w:p>
  </w:footnote>
  <w:footnote w:id="4">
    <w:p w14:paraId="2F72C0C8" w14:textId="77777777" w:rsidR="000B7E29" w:rsidRPr="00ED7321" w:rsidRDefault="000B7E29" w:rsidP="00973A99">
      <w:pPr>
        <w:pStyle w:val="Textpoznpodarou"/>
        <w:ind w:left="284" w:hanging="284"/>
        <w:rPr>
          <w:rFonts w:asciiTheme="minorHAnsi" w:hAnsiTheme="minorHAnsi" w:cstheme="minorHAnsi"/>
        </w:rPr>
      </w:pPr>
      <w:r w:rsidRPr="00ED7321">
        <w:rPr>
          <w:rStyle w:val="Znakapoznpodarou"/>
          <w:rFonts w:asciiTheme="minorHAnsi" w:hAnsiTheme="minorHAnsi" w:cstheme="minorHAnsi"/>
        </w:rPr>
        <w:footnoteRef/>
      </w:r>
      <w:r w:rsidRPr="00ED7321">
        <w:rPr>
          <w:rFonts w:asciiTheme="minorHAnsi" w:hAnsiTheme="minorHAnsi" w:cstheme="minorHAnsi"/>
        </w:rPr>
        <w:t xml:space="preserve"> </w:t>
      </w:r>
      <w:r w:rsidRPr="00ED7321">
        <w:rPr>
          <w:rFonts w:asciiTheme="minorHAnsi" w:hAnsiTheme="minorHAnsi" w:cstheme="minorHAnsi"/>
        </w:rPr>
        <w:tab/>
        <w:t>Zákon č. 248/2000 Sb., o podpoře regionálního rozvoje.</w:t>
      </w:r>
    </w:p>
  </w:footnote>
  <w:footnote w:id="5">
    <w:p w14:paraId="605A9052" w14:textId="0D2591C8" w:rsidR="000B7E29" w:rsidRPr="00D86736" w:rsidRDefault="000B7E29" w:rsidP="00D86736">
      <w:pPr>
        <w:pStyle w:val="Textpoznpodarou"/>
        <w:ind w:left="284" w:hanging="284"/>
        <w:rPr>
          <w:rFonts w:ascii="Calibri" w:hAnsi="Calibri" w:cs="Calibri"/>
        </w:rPr>
      </w:pPr>
      <w:r w:rsidRPr="00D86736">
        <w:rPr>
          <w:rStyle w:val="Znakapoznpodarou"/>
          <w:rFonts w:ascii="Calibri" w:hAnsi="Calibri" w:cs="Calibri"/>
        </w:rPr>
        <w:footnoteRef/>
      </w:r>
      <w:r w:rsidRPr="00D86736">
        <w:rPr>
          <w:rFonts w:ascii="Calibri" w:hAnsi="Calibri" w:cs="Calibri"/>
        </w:rPr>
        <w:t xml:space="preserve"> </w:t>
      </w:r>
      <w:r w:rsidRPr="00D86736">
        <w:rPr>
          <w:rFonts w:ascii="Calibri" w:hAnsi="Calibri" w:cs="Calibri"/>
        </w:rPr>
        <w:tab/>
        <w:t>Zákon č. 250/2000 Sb., o rozpočtových pravidlech územních rozpočtů.</w:t>
      </w:r>
    </w:p>
  </w:footnote>
  <w:footnote w:id="6">
    <w:p w14:paraId="0D5F8790" w14:textId="0CFA348E" w:rsidR="000B7E29" w:rsidRPr="007D2BF7" w:rsidRDefault="000B7E29" w:rsidP="00D86736">
      <w:pPr>
        <w:pStyle w:val="Textpoznpodarou"/>
        <w:ind w:left="284" w:hanging="284"/>
        <w:rPr>
          <w:rFonts w:ascii="Calibri" w:hAnsi="Calibri" w:cs="Calibri"/>
        </w:rPr>
      </w:pPr>
      <w:r w:rsidRPr="00D86736">
        <w:rPr>
          <w:rStyle w:val="Znakapoznpodarou"/>
          <w:rFonts w:ascii="Calibri" w:hAnsi="Calibri" w:cs="Calibri"/>
        </w:rPr>
        <w:footnoteRef/>
      </w:r>
      <w:r w:rsidRPr="00D86736">
        <w:rPr>
          <w:rFonts w:ascii="Calibri" w:hAnsi="Calibri" w:cs="Calibri"/>
        </w:rPr>
        <w:t xml:space="preserve"> </w:t>
      </w:r>
      <w:r w:rsidRPr="00D86736">
        <w:rPr>
          <w:rFonts w:ascii="Calibri" w:hAnsi="Calibri" w:cs="Calibri"/>
        </w:rPr>
        <w:tab/>
      </w:r>
      <w:r w:rsidR="007D2BF7">
        <w:rPr>
          <w:rFonts w:ascii="Calibri" w:hAnsi="Calibri" w:cs="Calibri"/>
        </w:rPr>
        <w:t xml:space="preserve">Viz </w:t>
      </w:r>
      <w:hyperlink r:id="rId1" w:history="1">
        <w:r w:rsidRPr="00D86736">
          <w:rPr>
            <w:rStyle w:val="Hypertextovodkaz"/>
            <w:rFonts w:ascii="Calibri" w:hAnsi="Calibri" w:cs="Calibri"/>
          </w:rPr>
          <w:t>https://www.nku.gov.sk/documents/10157/b4b3b0ec-5056-40ed-9316-0c8b95aaf5f6</w:t>
        </w:r>
      </w:hyperlink>
      <w:r w:rsidR="007D2BF7">
        <w:rPr>
          <w:rStyle w:val="Hypertextovodkaz"/>
          <w:rFonts w:ascii="Calibri" w:hAnsi="Calibri" w:cs="Calibri"/>
          <w:u w:val="none"/>
        </w:rPr>
        <w:t>.</w:t>
      </w:r>
    </w:p>
  </w:footnote>
  <w:footnote w:id="7">
    <w:p w14:paraId="24E056C3" w14:textId="77777777" w:rsidR="000B7E29" w:rsidRPr="00831687" w:rsidRDefault="000B7E29" w:rsidP="00FA6C67">
      <w:pPr>
        <w:pStyle w:val="Textpoznpodarou"/>
        <w:ind w:left="284" w:hanging="284"/>
        <w:jc w:val="both"/>
        <w:rPr>
          <w:rFonts w:ascii="Calibri" w:hAnsi="Calibri"/>
          <w:color w:val="000000" w:themeColor="text1"/>
        </w:rPr>
      </w:pPr>
      <w:r w:rsidRPr="00831687">
        <w:rPr>
          <w:rStyle w:val="Znakapoznpodarou"/>
          <w:rFonts w:ascii="Calibri" w:hAnsi="Calibri"/>
          <w:color w:val="000000" w:themeColor="text1"/>
        </w:rPr>
        <w:footnoteRef/>
      </w:r>
      <w:r w:rsidRPr="00831687">
        <w:rPr>
          <w:rFonts w:ascii="Calibri" w:hAnsi="Calibri"/>
          <w:color w:val="000000" w:themeColor="text1"/>
        </w:rPr>
        <w:t xml:space="preserve"> </w:t>
      </w:r>
      <w:r w:rsidRPr="00831687">
        <w:rPr>
          <w:rFonts w:ascii="Calibri" w:hAnsi="Calibri"/>
          <w:color w:val="000000" w:themeColor="text1"/>
        </w:rPr>
        <w:tab/>
      </w:r>
      <w:r w:rsidRPr="000C3CC7">
        <w:rPr>
          <w:rFonts w:ascii="Calibri" w:hAnsi="Calibri" w:cs="Arial"/>
          <w:color w:val="000000" w:themeColor="text1"/>
          <w:shd w:val="clear" w:color="auto" w:fill="FFFFFF"/>
        </w:rPr>
        <w:t>Systém hospodaření s vozovkou</w:t>
      </w:r>
      <w:r w:rsidRPr="00831687">
        <w:rPr>
          <w:rFonts w:ascii="Calibri" w:hAnsi="Calibri" w:cs="Arial"/>
          <w:color w:val="000000" w:themeColor="text1"/>
          <w:shd w:val="clear" w:color="auto" w:fill="FFFFFF"/>
        </w:rPr>
        <w:t xml:space="preserve"> je systém pro optimalizaci celoživotních nákladů na údržbu komunikací, jehož hlavním přínosem je hospodárnost, průkaznost a kontrola využití finančních prostředků na údržbu a opravy komunikací.</w:t>
      </w:r>
    </w:p>
  </w:footnote>
  <w:footnote w:id="8">
    <w:p w14:paraId="4D6D3A33" w14:textId="1CF36308" w:rsidR="000B7E29" w:rsidRPr="00162FB4" w:rsidRDefault="000B7E29" w:rsidP="00A34605">
      <w:pPr>
        <w:pStyle w:val="Textpoznpodarou"/>
        <w:ind w:left="284" w:hanging="284"/>
        <w:rPr>
          <w:rFonts w:ascii="Calibri" w:hAnsi="Calibri"/>
        </w:rPr>
      </w:pPr>
      <w:r>
        <w:rPr>
          <w:rStyle w:val="Znakapoznpodarou"/>
        </w:rPr>
        <w:footnoteRef/>
      </w:r>
      <w:r w:rsidRPr="00162FB4">
        <w:rPr>
          <w:rFonts w:ascii="Calibri" w:hAnsi="Calibri"/>
        </w:rPr>
        <w:t xml:space="preserve"> </w:t>
      </w:r>
      <w:r>
        <w:rPr>
          <w:rFonts w:ascii="Calibri" w:hAnsi="Calibri"/>
        </w:rPr>
        <w:tab/>
      </w:r>
      <w:r w:rsidRPr="00162FB4">
        <w:rPr>
          <w:rFonts w:ascii="Calibri" w:hAnsi="Calibri"/>
        </w:rPr>
        <w:t>Z</w:t>
      </w:r>
      <w:r w:rsidRPr="00162FB4">
        <w:rPr>
          <w:rFonts w:ascii="Calibri" w:hAnsi="Calibri"/>
          <w:bCs/>
          <w:iCs/>
        </w:rPr>
        <w:t>ákon č. 137/2006 Sb., o veřejných zakázkách</w:t>
      </w:r>
      <w:r w:rsidR="00563345">
        <w:rPr>
          <w:rFonts w:ascii="Calibri" w:hAnsi="Calibri"/>
          <w:bCs/>
          <w:iCs/>
        </w:rPr>
        <w:t>.</w:t>
      </w:r>
    </w:p>
  </w:footnote>
  <w:footnote w:id="9">
    <w:p w14:paraId="725E9BAE" w14:textId="73942DDD" w:rsidR="000B7E29" w:rsidRPr="007E14F9" w:rsidRDefault="000B7E29" w:rsidP="007E14F9">
      <w:pPr>
        <w:spacing w:after="0" w:line="240" w:lineRule="auto"/>
        <w:ind w:left="284" w:hanging="284"/>
        <w:jc w:val="both"/>
        <w:rPr>
          <w:sz w:val="20"/>
          <w:szCs w:val="20"/>
        </w:rPr>
      </w:pPr>
      <w:r w:rsidRPr="007E14F9">
        <w:rPr>
          <w:rStyle w:val="Znakapoznpodarou"/>
          <w:sz w:val="20"/>
          <w:szCs w:val="20"/>
        </w:rPr>
        <w:footnoteRef/>
      </w:r>
      <w:r w:rsidRPr="007E14F9">
        <w:rPr>
          <w:sz w:val="20"/>
          <w:szCs w:val="20"/>
        </w:rPr>
        <w:t xml:space="preserve"> </w:t>
      </w:r>
      <w:r w:rsidRPr="007E14F9">
        <w:rPr>
          <w:sz w:val="20"/>
          <w:szCs w:val="20"/>
        </w:rPr>
        <w:tab/>
      </w:r>
      <w:r w:rsidRPr="007E14F9">
        <w:rPr>
          <w:rFonts w:eastAsia="Times New Roman" w:cstheme="minorHAnsi"/>
          <w:color w:val="000000"/>
          <w:sz w:val="20"/>
          <w:szCs w:val="20"/>
        </w:rPr>
        <w:t xml:space="preserve">Kontrolní závěr z kontrolní akce </w:t>
      </w:r>
      <w:r w:rsidR="008A3DAA">
        <w:rPr>
          <w:rFonts w:eastAsia="Times New Roman" w:cstheme="minorHAnsi"/>
          <w:color w:val="000000"/>
          <w:sz w:val="20"/>
          <w:szCs w:val="20"/>
        </w:rPr>
        <w:t>č. </w:t>
      </w:r>
      <w:r w:rsidRPr="007E14F9">
        <w:rPr>
          <w:rFonts w:eastAsia="Times New Roman" w:cstheme="minorHAnsi"/>
          <w:color w:val="000000"/>
          <w:sz w:val="20"/>
          <w:szCs w:val="20"/>
        </w:rPr>
        <w:t>09/26</w:t>
      </w:r>
      <w:r w:rsidR="008A3DAA">
        <w:rPr>
          <w:rFonts w:eastAsia="Times New Roman" w:cstheme="minorHAnsi"/>
          <w:color w:val="000000"/>
          <w:sz w:val="20"/>
          <w:szCs w:val="20"/>
        </w:rPr>
        <w:t> –</w:t>
      </w:r>
      <w:r w:rsidRPr="007E14F9">
        <w:rPr>
          <w:rFonts w:eastAsia="Times New Roman" w:cstheme="minorHAnsi"/>
          <w:color w:val="000000"/>
          <w:sz w:val="20"/>
          <w:szCs w:val="20"/>
        </w:rPr>
        <w:t xml:space="preserve"> </w:t>
      </w:r>
      <w:r w:rsidRPr="00BE44A0">
        <w:rPr>
          <w:rFonts w:eastAsia="Times New Roman" w:cstheme="minorHAnsi"/>
          <w:i/>
          <w:color w:val="000000"/>
          <w:sz w:val="20"/>
          <w:szCs w:val="20"/>
        </w:rPr>
        <w:t>Peněžní prostředky určené v rámci regionálních operačních programů na projekty dopravní infrastruktury</w:t>
      </w:r>
      <w:r w:rsidRPr="007E14F9">
        <w:rPr>
          <w:rFonts w:eastAsia="Times New Roman" w:cstheme="minorHAnsi"/>
          <w:bCs/>
          <w:color w:val="000000"/>
          <w:sz w:val="20"/>
          <w:szCs w:val="20"/>
        </w:rPr>
        <w:t xml:space="preserve">, </w:t>
      </w:r>
      <w:r w:rsidRPr="007E14F9">
        <w:rPr>
          <w:rFonts w:eastAsia="Times New Roman" w:cstheme="minorHAnsi"/>
          <w:sz w:val="20"/>
          <w:szCs w:val="20"/>
        </w:rPr>
        <w:t xml:space="preserve">zveřejněný v částce 1/2011 </w:t>
      </w:r>
      <w:r w:rsidRPr="00BE44A0">
        <w:rPr>
          <w:rFonts w:eastAsia="Times New Roman" w:cstheme="minorHAnsi"/>
          <w:i/>
          <w:sz w:val="20"/>
          <w:szCs w:val="20"/>
        </w:rPr>
        <w:t>Věstníku NKÚ</w:t>
      </w:r>
      <w:r w:rsidRPr="007E14F9">
        <w:rPr>
          <w:rFonts w:eastAsia="Times New Roman" w:cstheme="minorHAnsi"/>
          <w:sz w:val="20"/>
          <w:szCs w:val="20"/>
        </w:rPr>
        <w:t>.</w:t>
      </w:r>
    </w:p>
  </w:footnote>
  <w:footnote w:id="10">
    <w:p w14:paraId="3287444B" w14:textId="30BA9F9C" w:rsidR="000B7E29" w:rsidRDefault="000B7E29" w:rsidP="005E4B02">
      <w:pPr>
        <w:spacing w:line="240" w:lineRule="auto"/>
        <w:ind w:left="284" w:hanging="284"/>
        <w:contextualSpacing/>
        <w:jc w:val="both"/>
      </w:pPr>
      <w:r>
        <w:rPr>
          <w:rStyle w:val="Znakapoznpodarou"/>
        </w:rPr>
        <w:footnoteRef/>
      </w:r>
      <w:r>
        <w:t xml:space="preserve"> </w:t>
      </w:r>
      <w:r>
        <w:tab/>
      </w:r>
      <w:r w:rsidRPr="00DE5C3B">
        <w:rPr>
          <w:sz w:val="20"/>
          <w:szCs w:val="20"/>
        </w:rPr>
        <w:t>Systém hospodaření s mosty (</w:t>
      </w:r>
      <w:proofErr w:type="spellStart"/>
      <w:r w:rsidRPr="00196D71">
        <w:rPr>
          <w:i/>
          <w:sz w:val="20"/>
          <w:szCs w:val="20"/>
        </w:rPr>
        <w:t>Bridge</w:t>
      </w:r>
      <w:proofErr w:type="spellEnd"/>
      <w:r w:rsidRPr="00196D71">
        <w:rPr>
          <w:i/>
          <w:sz w:val="20"/>
          <w:szCs w:val="20"/>
        </w:rPr>
        <w:t xml:space="preserve"> Management </w:t>
      </w:r>
      <w:proofErr w:type="spellStart"/>
      <w:r w:rsidRPr="00196D71">
        <w:rPr>
          <w:i/>
          <w:sz w:val="20"/>
          <w:szCs w:val="20"/>
        </w:rPr>
        <w:t>System</w:t>
      </w:r>
      <w:proofErr w:type="spellEnd"/>
      <w:r w:rsidRPr="00DE5C3B">
        <w:rPr>
          <w:sz w:val="20"/>
          <w:szCs w:val="20"/>
        </w:rPr>
        <w:t>) je expertní systém s celorepublikovou působností, který slouží k evidenci mostních objektů, propustků (do budoucna i tunelů) pro všechny správce pozemních komunikací, k posuzování mostních objektů z hlediska jejich stavu, zatížitelnosti a použitelnosti a</w:t>
      </w:r>
      <w:r>
        <w:rPr>
          <w:sz w:val="20"/>
          <w:szCs w:val="20"/>
        </w:rPr>
        <w:t> </w:t>
      </w:r>
      <w:r w:rsidRPr="00DE5C3B">
        <w:rPr>
          <w:sz w:val="20"/>
          <w:szCs w:val="20"/>
        </w:rPr>
        <w:t xml:space="preserve">ke stanovení nutné údržby, oprav nebo rekonstrukce. Systém je výsledkem projektu výzkumu a vývoje financovaného z prostředků Ministerstva dopravy a byl vytvořen sdružením </w:t>
      </w:r>
      <w:r>
        <w:rPr>
          <w:sz w:val="20"/>
          <w:szCs w:val="20"/>
        </w:rPr>
        <w:t>„</w:t>
      </w:r>
      <w:r w:rsidRPr="00DE5C3B">
        <w:rPr>
          <w:sz w:val="20"/>
          <w:szCs w:val="20"/>
        </w:rPr>
        <w:t xml:space="preserve">Sdružení PONTEX </w:t>
      </w:r>
      <w:r>
        <w:rPr>
          <w:sz w:val="20"/>
          <w:szCs w:val="20"/>
        </w:rPr>
        <w:br/>
      </w:r>
      <w:r w:rsidRPr="00DE5C3B">
        <w:rPr>
          <w:sz w:val="20"/>
          <w:szCs w:val="20"/>
        </w:rPr>
        <w:t>VARS-</w:t>
      </w:r>
      <w:proofErr w:type="spellStart"/>
      <w:r w:rsidRPr="00DE5C3B">
        <w:rPr>
          <w:sz w:val="20"/>
          <w:szCs w:val="20"/>
        </w:rPr>
        <w:t>Viapont</w:t>
      </w:r>
      <w:proofErr w:type="spellEnd"/>
      <w:r>
        <w:rPr>
          <w:sz w:val="20"/>
          <w:szCs w:val="20"/>
        </w:rPr>
        <w:t>“</w:t>
      </w:r>
      <w:r w:rsidRPr="00DE5C3B">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FD136" w14:textId="77777777" w:rsidR="00DA006B" w:rsidRDefault="00DA006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A4475" w14:textId="77777777" w:rsidR="00DA006B" w:rsidRDefault="00DA006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658B" w14:textId="77777777" w:rsidR="00DA006B" w:rsidRDefault="00DA006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87D"/>
    <w:multiLevelType w:val="hybridMultilevel"/>
    <w:tmpl w:val="E9B8D3FC"/>
    <w:lvl w:ilvl="0" w:tplc="7DAE0F74">
      <w:start w:val="1"/>
      <w:numFmt w:val="bullet"/>
      <w:lvlText w:val=""/>
      <w:lvlJc w:val="left"/>
      <w:pPr>
        <w:ind w:left="360" w:hanging="360"/>
      </w:pPr>
      <w:rPr>
        <w:rFonts w:ascii="Symbol" w:hAnsi="Symbol" w:hint="default"/>
      </w:rPr>
    </w:lvl>
    <w:lvl w:ilvl="1" w:tplc="96CCAD18" w:tentative="1">
      <w:start w:val="1"/>
      <w:numFmt w:val="bullet"/>
      <w:lvlText w:val="o"/>
      <w:lvlJc w:val="left"/>
      <w:pPr>
        <w:ind w:left="1080" w:hanging="360"/>
      </w:pPr>
      <w:rPr>
        <w:rFonts w:ascii="Courier New" w:hAnsi="Courier New" w:cs="Courier New" w:hint="default"/>
      </w:rPr>
    </w:lvl>
    <w:lvl w:ilvl="2" w:tplc="071E636C" w:tentative="1">
      <w:start w:val="1"/>
      <w:numFmt w:val="bullet"/>
      <w:lvlText w:val=""/>
      <w:lvlJc w:val="left"/>
      <w:pPr>
        <w:ind w:left="1800" w:hanging="360"/>
      </w:pPr>
      <w:rPr>
        <w:rFonts w:ascii="Wingdings" w:hAnsi="Wingdings" w:hint="default"/>
      </w:rPr>
    </w:lvl>
    <w:lvl w:ilvl="3" w:tplc="9F783336" w:tentative="1">
      <w:start w:val="1"/>
      <w:numFmt w:val="bullet"/>
      <w:lvlText w:val=""/>
      <w:lvlJc w:val="left"/>
      <w:pPr>
        <w:ind w:left="2520" w:hanging="360"/>
      </w:pPr>
      <w:rPr>
        <w:rFonts w:ascii="Symbol" w:hAnsi="Symbol" w:hint="default"/>
      </w:rPr>
    </w:lvl>
    <w:lvl w:ilvl="4" w:tplc="E6443C0A" w:tentative="1">
      <w:start w:val="1"/>
      <w:numFmt w:val="bullet"/>
      <w:lvlText w:val="o"/>
      <w:lvlJc w:val="left"/>
      <w:pPr>
        <w:ind w:left="3240" w:hanging="360"/>
      </w:pPr>
      <w:rPr>
        <w:rFonts w:ascii="Courier New" w:hAnsi="Courier New" w:cs="Courier New" w:hint="default"/>
      </w:rPr>
    </w:lvl>
    <w:lvl w:ilvl="5" w:tplc="B580A7DC" w:tentative="1">
      <w:start w:val="1"/>
      <w:numFmt w:val="bullet"/>
      <w:lvlText w:val=""/>
      <w:lvlJc w:val="left"/>
      <w:pPr>
        <w:ind w:left="3960" w:hanging="360"/>
      </w:pPr>
      <w:rPr>
        <w:rFonts w:ascii="Wingdings" w:hAnsi="Wingdings" w:hint="default"/>
      </w:rPr>
    </w:lvl>
    <w:lvl w:ilvl="6" w:tplc="37F887D8" w:tentative="1">
      <w:start w:val="1"/>
      <w:numFmt w:val="bullet"/>
      <w:lvlText w:val=""/>
      <w:lvlJc w:val="left"/>
      <w:pPr>
        <w:ind w:left="4680" w:hanging="360"/>
      </w:pPr>
      <w:rPr>
        <w:rFonts w:ascii="Symbol" w:hAnsi="Symbol" w:hint="default"/>
      </w:rPr>
    </w:lvl>
    <w:lvl w:ilvl="7" w:tplc="062ADEAA" w:tentative="1">
      <w:start w:val="1"/>
      <w:numFmt w:val="bullet"/>
      <w:lvlText w:val="o"/>
      <w:lvlJc w:val="left"/>
      <w:pPr>
        <w:ind w:left="5400" w:hanging="360"/>
      </w:pPr>
      <w:rPr>
        <w:rFonts w:ascii="Courier New" w:hAnsi="Courier New" w:cs="Courier New" w:hint="default"/>
      </w:rPr>
    </w:lvl>
    <w:lvl w:ilvl="8" w:tplc="B7E8F276" w:tentative="1">
      <w:start w:val="1"/>
      <w:numFmt w:val="bullet"/>
      <w:lvlText w:val=""/>
      <w:lvlJc w:val="left"/>
      <w:pPr>
        <w:ind w:left="6120" w:hanging="360"/>
      </w:pPr>
      <w:rPr>
        <w:rFonts w:ascii="Wingdings" w:hAnsi="Wingdings" w:hint="default"/>
      </w:rPr>
    </w:lvl>
  </w:abstractNum>
  <w:abstractNum w:abstractNumId="1" w15:restartNumberingAfterBreak="0">
    <w:nsid w:val="026A3862"/>
    <w:multiLevelType w:val="hybridMultilevel"/>
    <w:tmpl w:val="A7585BAA"/>
    <w:lvl w:ilvl="0" w:tplc="91804496">
      <w:start w:val="1"/>
      <w:numFmt w:val="bullet"/>
      <w:lvlText w:val=""/>
      <w:lvlJc w:val="left"/>
      <w:pPr>
        <w:ind w:left="720" w:hanging="360"/>
      </w:pPr>
      <w:rPr>
        <w:rFonts w:ascii="Symbol" w:hAnsi="Symbol" w:hint="default"/>
      </w:rPr>
    </w:lvl>
    <w:lvl w:ilvl="1" w:tplc="C074A130" w:tentative="1">
      <w:start w:val="1"/>
      <w:numFmt w:val="bullet"/>
      <w:lvlText w:val="o"/>
      <w:lvlJc w:val="left"/>
      <w:pPr>
        <w:ind w:left="1440" w:hanging="360"/>
      </w:pPr>
      <w:rPr>
        <w:rFonts w:ascii="Courier New" w:hAnsi="Courier New" w:cs="Courier New" w:hint="default"/>
      </w:rPr>
    </w:lvl>
    <w:lvl w:ilvl="2" w:tplc="5ED0E716" w:tentative="1">
      <w:start w:val="1"/>
      <w:numFmt w:val="bullet"/>
      <w:lvlText w:val=""/>
      <w:lvlJc w:val="left"/>
      <w:pPr>
        <w:ind w:left="2160" w:hanging="360"/>
      </w:pPr>
      <w:rPr>
        <w:rFonts w:ascii="Wingdings" w:hAnsi="Wingdings" w:hint="default"/>
      </w:rPr>
    </w:lvl>
    <w:lvl w:ilvl="3" w:tplc="E31E977A" w:tentative="1">
      <w:start w:val="1"/>
      <w:numFmt w:val="bullet"/>
      <w:lvlText w:val=""/>
      <w:lvlJc w:val="left"/>
      <w:pPr>
        <w:ind w:left="2880" w:hanging="360"/>
      </w:pPr>
      <w:rPr>
        <w:rFonts w:ascii="Symbol" w:hAnsi="Symbol" w:hint="default"/>
      </w:rPr>
    </w:lvl>
    <w:lvl w:ilvl="4" w:tplc="A2FACF18" w:tentative="1">
      <w:start w:val="1"/>
      <w:numFmt w:val="bullet"/>
      <w:lvlText w:val="o"/>
      <w:lvlJc w:val="left"/>
      <w:pPr>
        <w:ind w:left="3600" w:hanging="360"/>
      </w:pPr>
      <w:rPr>
        <w:rFonts w:ascii="Courier New" w:hAnsi="Courier New" w:cs="Courier New" w:hint="default"/>
      </w:rPr>
    </w:lvl>
    <w:lvl w:ilvl="5" w:tplc="878EFA94" w:tentative="1">
      <w:start w:val="1"/>
      <w:numFmt w:val="bullet"/>
      <w:lvlText w:val=""/>
      <w:lvlJc w:val="left"/>
      <w:pPr>
        <w:ind w:left="4320" w:hanging="360"/>
      </w:pPr>
      <w:rPr>
        <w:rFonts w:ascii="Wingdings" w:hAnsi="Wingdings" w:hint="default"/>
      </w:rPr>
    </w:lvl>
    <w:lvl w:ilvl="6" w:tplc="92EAB784" w:tentative="1">
      <w:start w:val="1"/>
      <w:numFmt w:val="bullet"/>
      <w:lvlText w:val=""/>
      <w:lvlJc w:val="left"/>
      <w:pPr>
        <w:ind w:left="5040" w:hanging="360"/>
      </w:pPr>
      <w:rPr>
        <w:rFonts w:ascii="Symbol" w:hAnsi="Symbol" w:hint="default"/>
      </w:rPr>
    </w:lvl>
    <w:lvl w:ilvl="7" w:tplc="D5826D58" w:tentative="1">
      <w:start w:val="1"/>
      <w:numFmt w:val="bullet"/>
      <w:lvlText w:val="o"/>
      <w:lvlJc w:val="left"/>
      <w:pPr>
        <w:ind w:left="5760" w:hanging="360"/>
      </w:pPr>
      <w:rPr>
        <w:rFonts w:ascii="Courier New" w:hAnsi="Courier New" w:cs="Courier New" w:hint="default"/>
      </w:rPr>
    </w:lvl>
    <w:lvl w:ilvl="8" w:tplc="3982C298" w:tentative="1">
      <w:start w:val="1"/>
      <w:numFmt w:val="bullet"/>
      <w:lvlText w:val=""/>
      <w:lvlJc w:val="left"/>
      <w:pPr>
        <w:ind w:left="6480" w:hanging="360"/>
      </w:pPr>
      <w:rPr>
        <w:rFonts w:ascii="Wingdings" w:hAnsi="Wingdings" w:hint="default"/>
      </w:rPr>
    </w:lvl>
  </w:abstractNum>
  <w:abstractNum w:abstractNumId="2" w15:restartNumberingAfterBreak="0">
    <w:nsid w:val="02BB648F"/>
    <w:multiLevelType w:val="multilevel"/>
    <w:tmpl w:val="0050627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3231C"/>
    <w:multiLevelType w:val="hybridMultilevel"/>
    <w:tmpl w:val="298EB67E"/>
    <w:lvl w:ilvl="0" w:tplc="C2525694">
      <w:start w:val="1"/>
      <w:numFmt w:val="bullet"/>
      <w:lvlText w:val=""/>
      <w:lvlJc w:val="left"/>
      <w:pPr>
        <w:ind w:left="720" w:hanging="360"/>
      </w:pPr>
      <w:rPr>
        <w:rFonts w:ascii="Symbol" w:hAnsi="Symbol" w:hint="default"/>
      </w:rPr>
    </w:lvl>
    <w:lvl w:ilvl="1" w:tplc="DC3A3080" w:tentative="1">
      <w:start w:val="1"/>
      <w:numFmt w:val="bullet"/>
      <w:lvlText w:val="o"/>
      <w:lvlJc w:val="left"/>
      <w:pPr>
        <w:ind w:left="1440" w:hanging="360"/>
      </w:pPr>
      <w:rPr>
        <w:rFonts w:ascii="Courier New" w:hAnsi="Courier New" w:cs="Courier New" w:hint="default"/>
      </w:rPr>
    </w:lvl>
    <w:lvl w:ilvl="2" w:tplc="00F899B4" w:tentative="1">
      <w:start w:val="1"/>
      <w:numFmt w:val="bullet"/>
      <w:lvlText w:val=""/>
      <w:lvlJc w:val="left"/>
      <w:pPr>
        <w:ind w:left="2160" w:hanging="360"/>
      </w:pPr>
      <w:rPr>
        <w:rFonts w:ascii="Wingdings" w:hAnsi="Wingdings" w:hint="default"/>
      </w:rPr>
    </w:lvl>
    <w:lvl w:ilvl="3" w:tplc="2F426944" w:tentative="1">
      <w:start w:val="1"/>
      <w:numFmt w:val="bullet"/>
      <w:lvlText w:val=""/>
      <w:lvlJc w:val="left"/>
      <w:pPr>
        <w:ind w:left="2880" w:hanging="360"/>
      </w:pPr>
      <w:rPr>
        <w:rFonts w:ascii="Symbol" w:hAnsi="Symbol" w:hint="default"/>
      </w:rPr>
    </w:lvl>
    <w:lvl w:ilvl="4" w:tplc="B9F68282" w:tentative="1">
      <w:start w:val="1"/>
      <w:numFmt w:val="bullet"/>
      <w:lvlText w:val="o"/>
      <w:lvlJc w:val="left"/>
      <w:pPr>
        <w:ind w:left="3600" w:hanging="360"/>
      </w:pPr>
      <w:rPr>
        <w:rFonts w:ascii="Courier New" w:hAnsi="Courier New" w:cs="Courier New" w:hint="default"/>
      </w:rPr>
    </w:lvl>
    <w:lvl w:ilvl="5" w:tplc="3830E32E" w:tentative="1">
      <w:start w:val="1"/>
      <w:numFmt w:val="bullet"/>
      <w:lvlText w:val=""/>
      <w:lvlJc w:val="left"/>
      <w:pPr>
        <w:ind w:left="4320" w:hanging="360"/>
      </w:pPr>
      <w:rPr>
        <w:rFonts w:ascii="Wingdings" w:hAnsi="Wingdings" w:hint="default"/>
      </w:rPr>
    </w:lvl>
    <w:lvl w:ilvl="6" w:tplc="E5BE51FA" w:tentative="1">
      <w:start w:val="1"/>
      <w:numFmt w:val="bullet"/>
      <w:lvlText w:val=""/>
      <w:lvlJc w:val="left"/>
      <w:pPr>
        <w:ind w:left="5040" w:hanging="360"/>
      </w:pPr>
      <w:rPr>
        <w:rFonts w:ascii="Symbol" w:hAnsi="Symbol" w:hint="default"/>
      </w:rPr>
    </w:lvl>
    <w:lvl w:ilvl="7" w:tplc="6B287BA6" w:tentative="1">
      <w:start w:val="1"/>
      <w:numFmt w:val="bullet"/>
      <w:lvlText w:val="o"/>
      <w:lvlJc w:val="left"/>
      <w:pPr>
        <w:ind w:left="5760" w:hanging="360"/>
      </w:pPr>
      <w:rPr>
        <w:rFonts w:ascii="Courier New" w:hAnsi="Courier New" w:cs="Courier New" w:hint="default"/>
      </w:rPr>
    </w:lvl>
    <w:lvl w:ilvl="8" w:tplc="2EC82ED8" w:tentative="1">
      <w:start w:val="1"/>
      <w:numFmt w:val="bullet"/>
      <w:lvlText w:val=""/>
      <w:lvlJc w:val="left"/>
      <w:pPr>
        <w:ind w:left="6480" w:hanging="360"/>
      </w:pPr>
      <w:rPr>
        <w:rFonts w:ascii="Wingdings" w:hAnsi="Wingdings" w:hint="default"/>
      </w:rPr>
    </w:lvl>
  </w:abstractNum>
  <w:abstractNum w:abstractNumId="4" w15:restartNumberingAfterBreak="0">
    <w:nsid w:val="050840C6"/>
    <w:multiLevelType w:val="hybridMultilevel"/>
    <w:tmpl w:val="36C0B6E8"/>
    <w:lvl w:ilvl="0" w:tplc="D6F2ACD4">
      <w:start w:val="1"/>
      <w:numFmt w:val="bullet"/>
      <w:lvlText w:val=""/>
      <w:lvlJc w:val="left"/>
      <w:pPr>
        <w:ind w:left="720" w:hanging="360"/>
      </w:pPr>
      <w:rPr>
        <w:rFonts w:ascii="Symbol" w:hAnsi="Symbol" w:hint="default"/>
      </w:rPr>
    </w:lvl>
    <w:lvl w:ilvl="1" w:tplc="B838BAA8" w:tentative="1">
      <w:start w:val="1"/>
      <w:numFmt w:val="bullet"/>
      <w:lvlText w:val="o"/>
      <w:lvlJc w:val="left"/>
      <w:pPr>
        <w:ind w:left="1440" w:hanging="360"/>
      </w:pPr>
      <w:rPr>
        <w:rFonts w:ascii="Courier New" w:hAnsi="Courier New" w:cs="Courier New" w:hint="default"/>
      </w:rPr>
    </w:lvl>
    <w:lvl w:ilvl="2" w:tplc="56846FA4" w:tentative="1">
      <w:start w:val="1"/>
      <w:numFmt w:val="bullet"/>
      <w:lvlText w:val=""/>
      <w:lvlJc w:val="left"/>
      <w:pPr>
        <w:ind w:left="2160" w:hanging="360"/>
      </w:pPr>
      <w:rPr>
        <w:rFonts w:ascii="Wingdings" w:hAnsi="Wingdings" w:hint="default"/>
      </w:rPr>
    </w:lvl>
    <w:lvl w:ilvl="3" w:tplc="5022B18E" w:tentative="1">
      <w:start w:val="1"/>
      <w:numFmt w:val="bullet"/>
      <w:lvlText w:val=""/>
      <w:lvlJc w:val="left"/>
      <w:pPr>
        <w:ind w:left="2880" w:hanging="360"/>
      </w:pPr>
      <w:rPr>
        <w:rFonts w:ascii="Symbol" w:hAnsi="Symbol" w:hint="default"/>
      </w:rPr>
    </w:lvl>
    <w:lvl w:ilvl="4" w:tplc="0AFE2BD0" w:tentative="1">
      <w:start w:val="1"/>
      <w:numFmt w:val="bullet"/>
      <w:lvlText w:val="o"/>
      <w:lvlJc w:val="left"/>
      <w:pPr>
        <w:ind w:left="3600" w:hanging="360"/>
      </w:pPr>
      <w:rPr>
        <w:rFonts w:ascii="Courier New" w:hAnsi="Courier New" w:cs="Courier New" w:hint="default"/>
      </w:rPr>
    </w:lvl>
    <w:lvl w:ilvl="5" w:tplc="34B43BD0" w:tentative="1">
      <w:start w:val="1"/>
      <w:numFmt w:val="bullet"/>
      <w:lvlText w:val=""/>
      <w:lvlJc w:val="left"/>
      <w:pPr>
        <w:ind w:left="4320" w:hanging="360"/>
      </w:pPr>
      <w:rPr>
        <w:rFonts w:ascii="Wingdings" w:hAnsi="Wingdings" w:hint="default"/>
      </w:rPr>
    </w:lvl>
    <w:lvl w:ilvl="6" w:tplc="11F2ECA0" w:tentative="1">
      <w:start w:val="1"/>
      <w:numFmt w:val="bullet"/>
      <w:lvlText w:val=""/>
      <w:lvlJc w:val="left"/>
      <w:pPr>
        <w:ind w:left="5040" w:hanging="360"/>
      </w:pPr>
      <w:rPr>
        <w:rFonts w:ascii="Symbol" w:hAnsi="Symbol" w:hint="default"/>
      </w:rPr>
    </w:lvl>
    <w:lvl w:ilvl="7" w:tplc="5618589E" w:tentative="1">
      <w:start w:val="1"/>
      <w:numFmt w:val="bullet"/>
      <w:lvlText w:val="o"/>
      <w:lvlJc w:val="left"/>
      <w:pPr>
        <w:ind w:left="5760" w:hanging="360"/>
      </w:pPr>
      <w:rPr>
        <w:rFonts w:ascii="Courier New" w:hAnsi="Courier New" w:cs="Courier New" w:hint="default"/>
      </w:rPr>
    </w:lvl>
    <w:lvl w:ilvl="8" w:tplc="FDAC4486" w:tentative="1">
      <w:start w:val="1"/>
      <w:numFmt w:val="bullet"/>
      <w:lvlText w:val=""/>
      <w:lvlJc w:val="left"/>
      <w:pPr>
        <w:ind w:left="6480" w:hanging="360"/>
      </w:pPr>
      <w:rPr>
        <w:rFonts w:ascii="Wingdings" w:hAnsi="Wingdings" w:hint="default"/>
      </w:rPr>
    </w:lvl>
  </w:abstractNum>
  <w:abstractNum w:abstractNumId="5" w15:restartNumberingAfterBreak="0">
    <w:nsid w:val="120C0A36"/>
    <w:multiLevelType w:val="hybridMultilevel"/>
    <w:tmpl w:val="6978A642"/>
    <w:lvl w:ilvl="0" w:tplc="E6CEF1FC">
      <w:start w:val="1"/>
      <w:numFmt w:val="upperRoman"/>
      <w:lvlText w:val="%1."/>
      <w:lvlJc w:val="left"/>
      <w:pPr>
        <w:ind w:left="1080" w:hanging="720"/>
      </w:pPr>
      <w:rPr>
        <w:rFonts w:hint="default"/>
      </w:rPr>
    </w:lvl>
    <w:lvl w:ilvl="1" w:tplc="E4AC43DC" w:tentative="1">
      <w:start w:val="1"/>
      <w:numFmt w:val="lowerLetter"/>
      <w:lvlText w:val="%2."/>
      <w:lvlJc w:val="left"/>
      <w:pPr>
        <w:ind w:left="1440" w:hanging="360"/>
      </w:pPr>
    </w:lvl>
    <w:lvl w:ilvl="2" w:tplc="DE7E33FC" w:tentative="1">
      <w:start w:val="1"/>
      <w:numFmt w:val="lowerRoman"/>
      <w:lvlText w:val="%3."/>
      <w:lvlJc w:val="right"/>
      <w:pPr>
        <w:ind w:left="2160" w:hanging="180"/>
      </w:pPr>
    </w:lvl>
    <w:lvl w:ilvl="3" w:tplc="9C120994" w:tentative="1">
      <w:start w:val="1"/>
      <w:numFmt w:val="decimal"/>
      <w:lvlText w:val="%4."/>
      <w:lvlJc w:val="left"/>
      <w:pPr>
        <w:ind w:left="2880" w:hanging="360"/>
      </w:pPr>
    </w:lvl>
    <w:lvl w:ilvl="4" w:tplc="E188B590" w:tentative="1">
      <w:start w:val="1"/>
      <w:numFmt w:val="lowerLetter"/>
      <w:lvlText w:val="%5."/>
      <w:lvlJc w:val="left"/>
      <w:pPr>
        <w:ind w:left="3600" w:hanging="360"/>
      </w:pPr>
    </w:lvl>
    <w:lvl w:ilvl="5" w:tplc="0136C196" w:tentative="1">
      <w:start w:val="1"/>
      <w:numFmt w:val="lowerRoman"/>
      <w:lvlText w:val="%6."/>
      <w:lvlJc w:val="right"/>
      <w:pPr>
        <w:ind w:left="4320" w:hanging="180"/>
      </w:pPr>
    </w:lvl>
    <w:lvl w:ilvl="6" w:tplc="1D746A5A" w:tentative="1">
      <w:start w:val="1"/>
      <w:numFmt w:val="decimal"/>
      <w:lvlText w:val="%7."/>
      <w:lvlJc w:val="left"/>
      <w:pPr>
        <w:ind w:left="5040" w:hanging="360"/>
      </w:pPr>
    </w:lvl>
    <w:lvl w:ilvl="7" w:tplc="8C288644" w:tentative="1">
      <w:start w:val="1"/>
      <w:numFmt w:val="lowerLetter"/>
      <w:lvlText w:val="%8."/>
      <w:lvlJc w:val="left"/>
      <w:pPr>
        <w:ind w:left="5760" w:hanging="360"/>
      </w:pPr>
    </w:lvl>
    <w:lvl w:ilvl="8" w:tplc="759E9454" w:tentative="1">
      <w:start w:val="1"/>
      <w:numFmt w:val="lowerRoman"/>
      <w:lvlText w:val="%9."/>
      <w:lvlJc w:val="right"/>
      <w:pPr>
        <w:ind w:left="6480" w:hanging="180"/>
      </w:pPr>
    </w:lvl>
  </w:abstractNum>
  <w:abstractNum w:abstractNumId="6" w15:restartNumberingAfterBreak="0">
    <w:nsid w:val="15C3214B"/>
    <w:multiLevelType w:val="hybridMultilevel"/>
    <w:tmpl w:val="BF2A584C"/>
    <w:lvl w:ilvl="0" w:tplc="7DAE0F74">
      <w:start w:val="1"/>
      <w:numFmt w:val="bullet"/>
      <w:lvlText w:val=""/>
      <w:lvlJc w:val="left"/>
      <w:pPr>
        <w:ind w:left="360" w:hanging="360"/>
      </w:pPr>
      <w:rPr>
        <w:rFonts w:ascii="Symbol" w:hAnsi="Symbol" w:hint="default"/>
      </w:rPr>
    </w:lvl>
    <w:lvl w:ilvl="1" w:tplc="C07CD7A0" w:tentative="1">
      <w:start w:val="1"/>
      <w:numFmt w:val="bullet"/>
      <w:lvlText w:val="o"/>
      <w:lvlJc w:val="left"/>
      <w:pPr>
        <w:ind w:left="1080" w:hanging="360"/>
      </w:pPr>
      <w:rPr>
        <w:rFonts w:ascii="Courier New" w:hAnsi="Courier New" w:cs="Courier New" w:hint="default"/>
      </w:rPr>
    </w:lvl>
    <w:lvl w:ilvl="2" w:tplc="D5C6A13C" w:tentative="1">
      <w:start w:val="1"/>
      <w:numFmt w:val="bullet"/>
      <w:lvlText w:val=""/>
      <w:lvlJc w:val="left"/>
      <w:pPr>
        <w:ind w:left="1800" w:hanging="360"/>
      </w:pPr>
      <w:rPr>
        <w:rFonts w:ascii="Wingdings" w:hAnsi="Wingdings" w:hint="default"/>
      </w:rPr>
    </w:lvl>
    <w:lvl w:ilvl="3" w:tplc="EFAC27C4" w:tentative="1">
      <w:start w:val="1"/>
      <w:numFmt w:val="bullet"/>
      <w:lvlText w:val=""/>
      <w:lvlJc w:val="left"/>
      <w:pPr>
        <w:ind w:left="2520" w:hanging="360"/>
      </w:pPr>
      <w:rPr>
        <w:rFonts w:ascii="Symbol" w:hAnsi="Symbol" w:hint="default"/>
      </w:rPr>
    </w:lvl>
    <w:lvl w:ilvl="4" w:tplc="FA5C27B2" w:tentative="1">
      <w:start w:val="1"/>
      <w:numFmt w:val="bullet"/>
      <w:lvlText w:val="o"/>
      <w:lvlJc w:val="left"/>
      <w:pPr>
        <w:ind w:left="3240" w:hanging="360"/>
      </w:pPr>
      <w:rPr>
        <w:rFonts w:ascii="Courier New" w:hAnsi="Courier New" w:cs="Courier New" w:hint="default"/>
      </w:rPr>
    </w:lvl>
    <w:lvl w:ilvl="5" w:tplc="4B602E36" w:tentative="1">
      <w:start w:val="1"/>
      <w:numFmt w:val="bullet"/>
      <w:lvlText w:val=""/>
      <w:lvlJc w:val="left"/>
      <w:pPr>
        <w:ind w:left="3960" w:hanging="360"/>
      </w:pPr>
      <w:rPr>
        <w:rFonts w:ascii="Wingdings" w:hAnsi="Wingdings" w:hint="default"/>
      </w:rPr>
    </w:lvl>
    <w:lvl w:ilvl="6" w:tplc="4E6E3006" w:tentative="1">
      <w:start w:val="1"/>
      <w:numFmt w:val="bullet"/>
      <w:lvlText w:val=""/>
      <w:lvlJc w:val="left"/>
      <w:pPr>
        <w:ind w:left="4680" w:hanging="360"/>
      </w:pPr>
      <w:rPr>
        <w:rFonts w:ascii="Symbol" w:hAnsi="Symbol" w:hint="default"/>
      </w:rPr>
    </w:lvl>
    <w:lvl w:ilvl="7" w:tplc="A10AAA02" w:tentative="1">
      <w:start w:val="1"/>
      <w:numFmt w:val="bullet"/>
      <w:lvlText w:val="o"/>
      <w:lvlJc w:val="left"/>
      <w:pPr>
        <w:ind w:left="5400" w:hanging="360"/>
      </w:pPr>
      <w:rPr>
        <w:rFonts w:ascii="Courier New" w:hAnsi="Courier New" w:cs="Courier New" w:hint="default"/>
      </w:rPr>
    </w:lvl>
    <w:lvl w:ilvl="8" w:tplc="8E7C9F50" w:tentative="1">
      <w:start w:val="1"/>
      <w:numFmt w:val="bullet"/>
      <w:lvlText w:val=""/>
      <w:lvlJc w:val="left"/>
      <w:pPr>
        <w:ind w:left="6120" w:hanging="360"/>
      </w:pPr>
      <w:rPr>
        <w:rFonts w:ascii="Wingdings" w:hAnsi="Wingdings" w:hint="default"/>
      </w:rPr>
    </w:lvl>
  </w:abstractNum>
  <w:abstractNum w:abstractNumId="7" w15:restartNumberingAfterBreak="0">
    <w:nsid w:val="1784483C"/>
    <w:multiLevelType w:val="hybridMultilevel"/>
    <w:tmpl w:val="3E9A1C50"/>
    <w:lvl w:ilvl="0" w:tplc="7DAE0F74">
      <w:start w:val="1"/>
      <w:numFmt w:val="bullet"/>
      <w:lvlText w:val=""/>
      <w:lvlJc w:val="left"/>
      <w:pPr>
        <w:ind w:left="360" w:hanging="360"/>
      </w:pPr>
      <w:rPr>
        <w:rFonts w:ascii="Symbol" w:hAnsi="Symbol" w:hint="default"/>
      </w:rPr>
    </w:lvl>
    <w:lvl w:ilvl="1" w:tplc="0ACCB574" w:tentative="1">
      <w:start w:val="1"/>
      <w:numFmt w:val="bullet"/>
      <w:lvlText w:val="o"/>
      <w:lvlJc w:val="left"/>
      <w:pPr>
        <w:ind w:left="1080" w:hanging="360"/>
      </w:pPr>
      <w:rPr>
        <w:rFonts w:ascii="Courier New" w:hAnsi="Courier New" w:cs="Courier New" w:hint="default"/>
      </w:rPr>
    </w:lvl>
    <w:lvl w:ilvl="2" w:tplc="91CCC432" w:tentative="1">
      <w:start w:val="1"/>
      <w:numFmt w:val="bullet"/>
      <w:lvlText w:val=""/>
      <w:lvlJc w:val="left"/>
      <w:pPr>
        <w:ind w:left="1800" w:hanging="360"/>
      </w:pPr>
      <w:rPr>
        <w:rFonts w:ascii="Wingdings" w:hAnsi="Wingdings" w:hint="default"/>
      </w:rPr>
    </w:lvl>
    <w:lvl w:ilvl="3" w:tplc="6D0C0034" w:tentative="1">
      <w:start w:val="1"/>
      <w:numFmt w:val="bullet"/>
      <w:lvlText w:val=""/>
      <w:lvlJc w:val="left"/>
      <w:pPr>
        <w:ind w:left="2520" w:hanging="360"/>
      </w:pPr>
      <w:rPr>
        <w:rFonts w:ascii="Symbol" w:hAnsi="Symbol" w:hint="default"/>
      </w:rPr>
    </w:lvl>
    <w:lvl w:ilvl="4" w:tplc="23EA1A50" w:tentative="1">
      <w:start w:val="1"/>
      <w:numFmt w:val="bullet"/>
      <w:lvlText w:val="o"/>
      <w:lvlJc w:val="left"/>
      <w:pPr>
        <w:ind w:left="3240" w:hanging="360"/>
      </w:pPr>
      <w:rPr>
        <w:rFonts w:ascii="Courier New" w:hAnsi="Courier New" w:cs="Courier New" w:hint="default"/>
      </w:rPr>
    </w:lvl>
    <w:lvl w:ilvl="5" w:tplc="D75A4FF8" w:tentative="1">
      <w:start w:val="1"/>
      <w:numFmt w:val="bullet"/>
      <w:lvlText w:val=""/>
      <w:lvlJc w:val="left"/>
      <w:pPr>
        <w:ind w:left="3960" w:hanging="360"/>
      </w:pPr>
      <w:rPr>
        <w:rFonts w:ascii="Wingdings" w:hAnsi="Wingdings" w:hint="default"/>
      </w:rPr>
    </w:lvl>
    <w:lvl w:ilvl="6" w:tplc="50540B70" w:tentative="1">
      <w:start w:val="1"/>
      <w:numFmt w:val="bullet"/>
      <w:lvlText w:val=""/>
      <w:lvlJc w:val="left"/>
      <w:pPr>
        <w:ind w:left="4680" w:hanging="360"/>
      </w:pPr>
      <w:rPr>
        <w:rFonts w:ascii="Symbol" w:hAnsi="Symbol" w:hint="default"/>
      </w:rPr>
    </w:lvl>
    <w:lvl w:ilvl="7" w:tplc="0902F582" w:tentative="1">
      <w:start w:val="1"/>
      <w:numFmt w:val="bullet"/>
      <w:lvlText w:val="o"/>
      <w:lvlJc w:val="left"/>
      <w:pPr>
        <w:ind w:left="5400" w:hanging="360"/>
      </w:pPr>
      <w:rPr>
        <w:rFonts w:ascii="Courier New" w:hAnsi="Courier New" w:cs="Courier New" w:hint="default"/>
      </w:rPr>
    </w:lvl>
    <w:lvl w:ilvl="8" w:tplc="16841618" w:tentative="1">
      <w:start w:val="1"/>
      <w:numFmt w:val="bullet"/>
      <w:lvlText w:val=""/>
      <w:lvlJc w:val="left"/>
      <w:pPr>
        <w:ind w:left="6120" w:hanging="360"/>
      </w:pPr>
      <w:rPr>
        <w:rFonts w:ascii="Wingdings" w:hAnsi="Wingdings" w:hint="default"/>
      </w:rPr>
    </w:lvl>
  </w:abstractNum>
  <w:abstractNum w:abstractNumId="8" w15:restartNumberingAfterBreak="0">
    <w:nsid w:val="190F7FB0"/>
    <w:multiLevelType w:val="hybridMultilevel"/>
    <w:tmpl w:val="A85C8252"/>
    <w:lvl w:ilvl="0" w:tplc="450C3A9C">
      <w:start w:val="1"/>
      <w:numFmt w:val="decimal"/>
      <w:lvlText w:val="%1."/>
      <w:lvlJc w:val="left"/>
      <w:pPr>
        <w:ind w:left="720" w:hanging="360"/>
      </w:pPr>
      <w:rPr>
        <w:rFonts w:hint="default"/>
      </w:rPr>
    </w:lvl>
    <w:lvl w:ilvl="1" w:tplc="D58C16E8" w:tentative="1">
      <w:start w:val="1"/>
      <w:numFmt w:val="bullet"/>
      <w:lvlText w:val="o"/>
      <w:lvlJc w:val="left"/>
      <w:pPr>
        <w:ind w:left="1440" w:hanging="360"/>
      </w:pPr>
      <w:rPr>
        <w:rFonts w:ascii="Courier New" w:hAnsi="Courier New" w:cs="Courier New" w:hint="default"/>
      </w:rPr>
    </w:lvl>
    <w:lvl w:ilvl="2" w:tplc="07303702" w:tentative="1">
      <w:start w:val="1"/>
      <w:numFmt w:val="bullet"/>
      <w:lvlText w:val=""/>
      <w:lvlJc w:val="left"/>
      <w:pPr>
        <w:ind w:left="2160" w:hanging="360"/>
      </w:pPr>
      <w:rPr>
        <w:rFonts w:ascii="Wingdings" w:hAnsi="Wingdings" w:hint="default"/>
      </w:rPr>
    </w:lvl>
    <w:lvl w:ilvl="3" w:tplc="95B83C9A" w:tentative="1">
      <w:start w:val="1"/>
      <w:numFmt w:val="bullet"/>
      <w:lvlText w:val=""/>
      <w:lvlJc w:val="left"/>
      <w:pPr>
        <w:ind w:left="2880" w:hanging="360"/>
      </w:pPr>
      <w:rPr>
        <w:rFonts w:ascii="Symbol" w:hAnsi="Symbol" w:hint="default"/>
      </w:rPr>
    </w:lvl>
    <w:lvl w:ilvl="4" w:tplc="357C1F58" w:tentative="1">
      <w:start w:val="1"/>
      <w:numFmt w:val="bullet"/>
      <w:lvlText w:val="o"/>
      <w:lvlJc w:val="left"/>
      <w:pPr>
        <w:ind w:left="3600" w:hanging="360"/>
      </w:pPr>
      <w:rPr>
        <w:rFonts w:ascii="Courier New" w:hAnsi="Courier New" w:cs="Courier New" w:hint="default"/>
      </w:rPr>
    </w:lvl>
    <w:lvl w:ilvl="5" w:tplc="BE3A5F94" w:tentative="1">
      <w:start w:val="1"/>
      <w:numFmt w:val="bullet"/>
      <w:lvlText w:val=""/>
      <w:lvlJc w:val="left"/>
      <w:pPr>
        <w:ind w:left="4320" w:hanging="360"/>
      </w:pPr>
      <w:rPr>
        <w:rFonts w:ascii="Wingdings" w:hAnsi="Wingdings" w:hint="default"/>
      </w:rPr>
    </w:lvl>
    <w:lvl w:ilvl="6" w:tplc="4A201F88" w:tentative="1">
      <w:start w:val="1"/>
      <w:numFmt w:val="bullet"/>
      <w:lvlText w:val=""/>
      <w:lvlJc w:val="left"/>
      <w:pPr>
        <w:ind w:left="5040" w:hanging="360"/>
      </w:pPr>
      <w:rPr>
        <w:rFonts w:ascii="Symbol" w:hAnsi="Symbol" w:hint="default"/>
      </w:rPr>
    </w:lvl>
    <w:lvl w:ilvl="7" w:tplc="00A2C0EC" w:tentative="1">
      <w:start w:val="1"/>
      <w:numFmt w:val="bullet"/>
      <w:lvlText w:val="o"/>
      <w:lvlJc w:val="left"/>
      <w:pPr>
        <w:ind w:left="5760" w:hanging="360"/>
      </w:pPr>
      <w:rPr>
        <w:rFonts w:ascii="Courier New" w:hAnsi="Courier New" w:cs="Courier New" w:hint="default"/>
      </w:rPr>
    </w:lvl>
    <w:lvl w:ilvl="8" w:tplc="9EC20646" w:tentative="1">
      <w:start w:val="1"/>
      <w:numFmt w:val="bullet"/>
      <w:lvlText w:val=""/>
      <w:lvlJc w:val="left"/>
      <w:pPr>
        <w:ind w:left="6480" w:hanging="360"/>
      </w:pPr>
      <w:rPr>
        <w:rFonts w:ascii="Wingdings" w:hAnsi="Wingdings" w:hint="default"/>
      </w:rPr>
    </w:lvl>
  </w:abstractNum>
  <w:abstractNum w:abstractNumId="9" w15:restartNumberingAfterBreak="0">
    <w:nsid w:val="218C3FE1"/>
    <w:multiLevelType w:val="hybridMultilevel"/>
    <w:tmpl w:val="A118ABC6"/>
    <w:lvl w:ilvl="0" w:tplc="FF38B038">
      <w:numFmt w:val="bullet"/>
      <w:lvlText w:val="-"/>
      <w:lvlJc w:val="left"/>
      <w:pPr>
        <w:ind w:left="720" w:hanging="360"/>
      </w:pPr>
      <w:rPr>
        <w:rFonts w:ascii="Calibri" w:eastAsia="Times New Roman" w:hAnsi="Calibri" w:cs="Arial" w:hint="default"/>
      </w:rPr>
    </w:lvl>
    <w:lvl w:ilvl="1" w:tplc="E8F48C8C" w:tentative="1">
      <w:start w:val="1"/>
      <w:numFmt w:val="bullet"/>
      <w:lvlText w:val="o"/>
      <w:lvlJc w:val="left"/>
      <w:pPr>
        <w:ind w:left="1440" w:hanging="360"/>
      </w:pPr>
      <w:rPr>
        <w:rFonts w:ascii="Courier New" w:hAnsi="Courier New" w:cs="Courier New" w:hint="default"/>
      </w:rPr>
    </w:lvl>
    <w:lvl w:ilvl="2" w:tplc="402AF1F2" w:tentative="1">
      <w:start w:val="1"/>
      <w:numFmt w:val="bullet"/>
      <w:lvlText w:val=""/>
      <w:lvlJc w:val="left"/>
      <w:pPr>
        <w:ind w:left="2160" w:hanging="360"/>
      </w:pPr>
      <w:rPr>
        <w:rFonts w:ascii="Wingdings" w:hAnsi="Wingdings" w:hint="default"/>
      </w:rPr>
    </w:lvl>
    <w:lvl w:ilvl="3" w:tplc="6E5071FC" w:tentative="1">
      <w:start w:val="1"/>
      <w:numFmt w:val="bullet"/>
      <w:lvlText w:val=""/>
      <w:lvlJc w:val="left"/>
      <w:pPr>
        <w:ind w:left="2880" w:hanging="360"/>
      </w:pPr>
      <w:rPr>
        <w:rFonts w:ascii="Symbol" w:hAnsi="Symbol" w:hint="default"/>
      </w:rPr>
    </w:lvl>
    <w:lvl w:ilvl="4" w:tplc="35D22CB6" w:tentative="1">
      <w:start w:val="1"/>
      <w:numFmt w:val="bullet"/>
      <w:lvlText w:val="o"/>
      <w:lvlJc w:val="left"/>
      <w:pPr>
        <w:ind w:left="3600" w:hanging="360"/>
      </w:pPr>
      <w:rPr>
        <w:rFonts w:ascii="Courier New" w:hAnsi="Courier New" w:cs="Courier New" w:hint="default"/>
      </w:rPr>
    </w:lvl>
    <w:lvl w:ilvl="5" w:tplc="A24E2660" w:tentative="1">
      <w:start w:val="1"/>
      <w:numFmt w:val="bullet"/>
      <w:lvlText w:val=""/>
      <w:lvlJc w:val="left"/>
      <w:pPr>
        <w:ind w:left="4320" w:hanging="360"/>
      </w:pPr>
      <w:rPr>
        <w:rFonts w:ascii="Wingdings" w:hAnsi="Wingdings" w:hint="default"/>
      </w:rPr>
    </w:lvl>
    <w:lvl w:ilvl="6" w:tplc="B44C3DE4" w:tentative="1">
      <w:start w:val="1"/>
      <w:numFmt w:val="bullet"/>
      <w:lvlText w:val=""/>
      <w:lvlJc w:val="left"/>
      <w:pPr>
        <w:ind w:left="5040" w:hanging="360"/>
      </w:pPr>
      <w:rPr>
        <w:rFonts w:ascii="Symbol" w:hAnsi="Symbol" w:hint="default"/>
      </w:rPr>
    </w:lvl>
    <w:lvl w:ilvl="7" w:tplc="A63022E8" w:tentative="1">
      <w:start w:val="1"/>
      <w:numFmt w:val="bullet"/>
      <w:lvlText w:val="o"/>
      <w:lvlJc w:val="left"/>
      <w:pPr>
        <w:ind w:left="5760" w:hanging="360"/>
      </w:pPr>
      <w:rPr>
        <w:rFonts w:ascii="Courier New" w:hAnsi="Courier New" w:cs="Courier New" w:hint="default"/>
      </w:rPr>
    </w:lvl>
    <w:lvl w:ilvl="8" w:tplc="6F6C0896" w:tentative="1">
      <w:start w:val="1"/>
      <w:numFmt w:val="bullet"/>
      <w:lvlText w:val=""/>
      <w:lvlJc w:val="left"/>
      <w:pPr>
        <w:ind w:left="6480" w:hanging="360"/>
      </w:pPr>
      <w:rPr>
        <w:rFonts w:ascii="Wingdings" w:hAnsi="Wingdings" w:hint="default"/>
      </w:rPr>
    </w:lvl>
  </w:abstractNum>
  <w:abstractNum w:abstractNumId="10" w15:restartNumberingAfterBreak="0">
    <w:nsid w:val="28C25B40"/>
    <w:multiLevelType w:val="hybridMultilevel"/>
    <w:tmpl w:val="D3DE75FA"/>
    <w:lvl w:ilvl="0" w:tplc="A9DE582A">
      <w:start w:val="1"/>
      <w:numFmt w:val="bullet"/>
      <w:lvlText w:val=""/>
      <w:lvlJc w:val="left"/>
      <w:pPr>
        <w:ind w:left="360" w:hanging="360"/>
      </w:pPr>
      <w:rPr>
        <w:rFonts w:ascii="Symbol" w:hAnsi="Symbol" w:hint="default"/>
      </w:rPr>
    </w:lvl>
    <w:lvl w:ilvl="1" w:tplc="C07CD7A0" w:tentative="1">
      <w:start w:val="1"/>
      <w:numFmt w:val="bullet"/>
      <w:lvlText w:val="o"/>
      <w:lvlJc w:val="left"/>
      <w:pPr>
        <w:ind w:left="1080" w:hanging="360"/>
      </w:pPr>
      <w:rPr>
        <w:rFonts w:ascii="Courier New" w:hAnsi="Courier New" w:cs="Courier New" w:hint="default"/>
      </w:rPr>
    </w:lvl>
    <w:lvl w:ilvl="2" w:tplc="D5C6A13C" w:tentative="1">
      <w:start w:val="1"/>
      <w:numFmt w:val="bullet"/>
      <w:lvlText w:val=""/>
      <w:lvlJc w:val="left"/>
      <w:pPr>
        <w:ind w:left="1800" w:hanging="360"/>
      </w:pPr>
      <w:rPr>
        <w:rFonts w:ascii="Wingdings" w:hAnsi="Wingdings" w:hint="default"/>
      </w:rPr>
    </w:lvl>
    <w:lvl w:ilvl="3" w:tplc="EFAC27C4" w:tentative="1">
      <w:start w:val="1"/>
      <w:numFmt w:val="bullet"/>
      <w:lvlText w:val=""/>
      <w:lvlJc w:val="left"/>
      <w:pPr>
        <w:ind w:left="2520" w:hanging="360"/>
      </w:pPr>
      <w:rPr>
        <w:rFonts w:ascii="Symbol" w:hAnsi="Symbol" w:hint="default"/>
      </w:rPr>
    </w:lvl>
    <w:lvl w:ilvl="4" w:tplc="FA5C27B2" w:tentative="1">
      <w:start w:val="1"/>
      <w:numFmt w:val="bullet"/>
      <w:lvlText w:val="o"/>
      <w:lvlJc w:val="left"/>
      <w:pPr>
        <w:ind w:left="3240" w:hanging="360"/>
      </w:pPr>
      <w:rPr>
        <w:rFonts w:ascii="Courier New" w:hAnsi="Courier New" w:cs="Courier New" w:hint="default"/>
      </w:rPr>
    </w:lvl>
    <w:lvl w:ilvl="5" w:tplc="4B602E36" w:tentative="1">
      <w:start w:val="1"/>
      <w:numFmt w:val="bullet"/>
      <w:lvlText w:val=""/>
      <w:lvlJc w:val="left"/>
      <w:pPr>
        <w:ind w:left="3960" w:hanging="360"/>
      </w:pPr>
      <w:rPr>
        <w:rFonts w:ascii="Wingdings" w:hAnsi="Wingdings" w:hint="default"/>
      </w:rPr>
    </w:lvl>
    <w:lvl w:ilvl="6" w:tplc="4E6E3006" w:tentative="1">
      <w:start w:val="1"/>
      <w:numFmt w:val="bullet"/>
      <w:lvlText w:val=""/>
      <w:lvlJc w:val="left"/>
      <w:pPr>
        <w:ind w:left="4680" w:hanging="360"/>
      </w:pPr>
      <w:rPr>
        <w:rFonts w:ascii="Symbol" w:hAnsi="Symbol" w:hint="default"/>
      </w:rPr>
    </w:lvl>
    <w:lvl w:ilvl="7" w:tplc="A10AAA02" w:tentative="1">
      <w:start w:val="1"/>
      <w:numFmt w:val="bullet"/>
      <w:lvlText w:val="o"/>
      <w:lvlJc w:val="left"/>
      <w:pPr>
        <w:ind w:left="5400" w:hanging="360"/>
      </w:pPr>
      <w:rPr>
        <w:rFonts w:ascii="Courier New" w:hAnsi="Courier New" w:cs="Courier New" w:hint="default"/>
      </w:rPr>
    </w:lvl>
    <w:lvl w:ilvl="8" w:tplc="8E7C9F50" w:tentative="1">
      <w:start w:val="1"/>
      <w:numFmt w:val="bullet"/>
      <w:lvlText w:val=""/>
      <w:lvlJc w:val="left"/>
      <w:pPr>
        <w:ind w:left="6120" w:hanging="360"/>
      </w:pPr>
      <w:rPr>
        <w:rFonts w:ascii="Wingdings" w:hAnsi="Wingdings" w:hint="default"/>
      </w:rPr>
    </w:lvl>
  </w:abstractNum>
  <w:abstractNum w:abstractNumId="11" w15:restartNumberingAfterBreak="0">
    <w:nsid w:val="2C916444"/>
    <w:multiLevelType w:val="hybridMultilevel"/>
    <w:tmpl w:val="C732415E"/>
    <w:lvl w:ilvl="0" w:tplc="86525F2C">
      <w:start w:val="1"/>
      <w:numFmt w:val="bullet"/>
      <w:lvlText w:val=""/>
      <w:lvlJc w:val="left"/>
      <w:pPr>
        <w:ind w:left="360" w:hanging="360"/>
      </w:pPr>
      <w:rPr>
        <w:rFonts w:ascii="Symbol" w:hAnsi="Symbol" w:hint="default"/>
      </w:rPr>
    </w:lvl>
    <w:lvl w:ilvl="1" w:tplc="96CCAD18" w:tentative="1">
      <w:start w:val="1"/>
      <w:numFmt w:val="bullet"/>
      <w:lvlText w:val="o"/>
      <w:lvlJc w:val="left"/>
      <w:pPr>
        <w:ind w:left="1080" w:hanging="360"/>
      </w:pPr>
      <w:rPr>
        <w:rFonts w:ascii="Courier New" w:hAnsi="Courier New" w:cs="Courier New" w:hint="default"/>
      </w:rPr>
    </w:lvl>
    <w:lvl w:ilvl="2" w:tplc="071E636C" w:tentative="1">
      <w:start w:val="1"/>
      <w:numFmt w:val="bullet"/>
      <w:lvlText w:val=""/>
      <w:lvlJc w:val="left"/>
      <w:pPr>
        <w:ind w:left="1800" w:hanging="360"/>
      </w:pPr>
      <w:rPr>
        <w:rFonts w:ascii="Wingdings" w:hAnsi="Wingdings" w:hint="default"/>
      </w:rPr>
    </w:lvl>
    <w:lvl w:ilvl="3" w:tplc="9F783336" w:tentative="1">
      <w:start w:val="1"/>
      <w:numFmt w:val="bullet"/>
      <w:lvlText w:val=""/>
      <w:lvlJc w:val="left"/>
      <w:pPr>
        <w:ind w:left="2520" w:hanging="360"/>
      </w:pPr>
      <w:rPr>
        <w:rFonts w:ascii="Symbol" w:hAnsi="Symbol" w:hint="default"/>
      </w:rPr>
    </w:lvl>
    <w:lvl w:ilvl="4" w:tplc="E6443C0A" w:tentative="1">
      <w:start w:val="1"/>
      <w:numFmt w:val="bullet"/>
      <w:lvlText w:val="o"/>
      <w:lvlJc w:val="left"/>
      <w:pPr>
        <w:ind w:left="3240" w:hanging="360"/>
      </w:pPr>
      <w:rPr>
        <w:rFonts w:ascii="Courier New" w:hAnsi="Courier New" w:cs="Courier New" w:hint="default"/>
      </w:rPr>
    </w:lvl>
    <w:lvl w:ilvl="5" w:tplc="B580A7DC" w:tentative="1">
      <w:start w:val="1"/>
      <w:numFmt w:val="bullet"/>
      <w:lvlText w:val=""/>
      <w:lvlJc w:val="left"/>
      <w:pPr>
        <w:ind w:left="3960" w:hanging="360"/>
      </w:pPr>
      <w:rPr>
        <w:rFonts w:ascii="Wingdings" w:hAnsi="Wingdings" w:hint="default"/>
      </w:rPr>
    </w:lvl>
    <w:lvl w:ilvl="6" w:tplc="37F887D8" w:tentative="1">
      <w:start w:val="1"/>
      <w:numFmt w:val="bullet"/>
      <w:lvlText w:val=""/>
      <w:lvlJc w:val="left"/>
      <w:pPr>
        <w:ind w:left="4680" w:hanging="360"/>
      </w:pPr>
      <w:rPr>
        <w:rFonts w:ascii="Symbol" w:hAnsi="Symbol" w:hint="default"/>
      </w:rPr>
    </w:lvl>
    <w:lvl w:ilvl="7" w:tplc="062ADEAA" w:tentative="1">
      <w:start w:val="1"/>
      <w:numFmt w:val="bullet"/>
      <w:lvlText w:val="o"/>
      <w:lvlJc w:val="left"/>
      <w:pPr>
        <w:ind w:left="5400" w:hanging="360"/>
      </w:pPr>
      <w:rPr>
        <w:rFonts w:ascii="Courier New" w:hAnsi="Courier New" w:cs="Courier New" w:hint="default"/>
      </w:rPr>
    </w:lvl>
    <w:lvl w:ilvl="8" w:tplc="B7E8F276" w:tentative="1">
      <w:start w:val="1"/>
      <w:numFmt w:val="bullet"/>
      <w:lvlText w:val=""/>
      <w:lvlJc w:val="left"/>
      <w:pPr>
        <w:ind w:left="6120" w:hanging="360"/>
      </w:pPr>
      <w:rPr>
        <w:rFonts w:ascii="Wingdings" w:hAnsi="Wingdings" w:hint="default"/>
      </w:rPr>
    </w:lvl>
  </w:abstractNum>
  <w:abstractNum w:abstractNumId="12" w15:restartNumberingAfterBreak="0">
    <w:nsid w:val="2D3F0195"/>
    <w:multiLevelType w:val="hybridMultilevel"/>
    <w:tmpl w:val="D8BE78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0EB7406"/>
    <w:multiLevelType w:val="hybridMultilevel"/>
    <w:tmpl w:val="A392B176"/>
    <w:lvl w:ilvl="0" w:tplc="7DAE0F7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56A4F67"/>
    <w:multiLevelType w:val="hybridMultilevel"/>
    <w:tmpl w:val="D71C0396"/>
    <w:lvl w:ilvl="0" w:tplc="BD2CB3F6">
      <w:numFmt w:val="bullet"/>
      <w:lvlText w:val="-"/>
      <w:lvlJc w:val="left"/>
      <w:pPr>
        <w:ind w:left="720" w:hanging="360"/>
      </w:pPr>
      <w:rPr>
        <w:rFonts w:ascii="Calibri" w:eastAsia="Times New Roman" w:hAnsi="Calibri" w:cs="Arial" w:hint="default"/>
      </w:rPr>
    </w:lvl>
    <w:lvl w:ilvl="1" w:tplc="6BA4D546" w:tentative="1">
      <w:start w:val="1"/>
      <w:numFmt w:val="bullet"/>
      <w:lvlText w:val="o"/>
      <w:lvlJc w:val="left"/>
      <w:pPr>
        <w:ind w:left="1440" w:hanging="360"/>
      </w:pPr>
      <w:rPr>
        <w:rFonts w:ascii="Courier New" w:hAnsi="Courier New" w:cs="Courier New" w:hint="default"/>
      </w:rPr>
    </w:lvl>
    <w:lvl w:ilvl="2" w:tplc="59101E2C" w:tentative="1">
      <w:start w:val="1"/>
      <w:numFmt w:val="bullet"/>
      <w:lvlText w:val=""/>
      <w:lvlJc w:val="left"/>
      <w:pPr>
        <w:ind w:left="2160" w:hanging="360"/>
      </w:pPr>
      <w:rPr>
        <w:rFonts w:ascii="Wingdings" w:hAnsi="Wingdings" w:hint="default"/>
      </w:rPr>
    </w:lvl>
    <w:lvl w:ilvl="3" w:tplc="CA3C164C" w:tentative="1">
      <w:start w:val="1"/>
      <w:numFmt w:val="bullet"/>
      <w:lvlText w:val=""/>
      <w:lvlJc w:val="left"/>
      <w:pPr>
        <w:ind w:left="2880" w:hanging="360"/>
      </w:pPr>
      <w:rPr>
        <w:rFonts w:ascii="Symbol" w:hAnsi="Symbol" w:hint="default"/>
      </w:rPr>
    </w:lvl>
    <w:lvl w:ilvl="4" w:tplc="B69AC2F0" w:tentative="1">
      <w:start w:val="1"/>
      <w:numFmt w:val="bullet"/>
      <w:lvlText w:val="o"/>
      <w:lvlJc w:val="left"/>
      <w:pPr>
        <w:ind w:left="3600" w:hanging="360"/>
      </w:pPr>
      <w:rPr>
        <w:rFonts w:ascii="Courier New" w:hAnsi="Courier New" w:cs="Courier New" w:hint="default"/>
      </w:rPr>
    </w:lvl>
    <w:lvl w:ilvl="5" w:tplc="22A0A5C0" w:tentative="1">
      <w:start w:val="1"/>
      <w:numFmt w:val="bullet"/>
      <w:lvlText w:val=""/>
      <w:lvlJc w:val="left"/>
      <w:pPr>
        <w:ind w:left="4320" w:hanging="360"/>
      </w:pPr>
      <w:rPr>
        <w:rFonts w:ascii="Wingdings" w:hAnsi="Wingdings" w:hint="default"/>
      </w:rPr>
    </w:lvl>
    <w:lvl w:ilvl="6" w:tplc="3FC00A50" w:tentative="1">
      <w:start w:val="1"/>
      <w:numFmt w:val="bullet"/>
      <w:lvlText w:val=""/>
      <w:lvlJc w:val="left"/>
      <w:pPr>
        <w:ind w:left="5040" w:hanging="360"/>
      </w:pPr>
      <w:rPr>
        <w:rFonts w:ascii="Symbol" w:hAnsi="Symbol" w:hint="default"/>
      </w:rPr>
    </w:lvl>
    <w:lvl w:ilvl="7" w:tplc="E654E1FE" w:tentative="1">
      <w:start w:val="1"/>
      <w:numFmt w:val="bullet"/>
      <w:lvlText w:val="o"/>
      <w:lvlJc w:val="left"/>
      <w:pPr>
        <w:ind w:left="5760" w:hanging="360"/>
      </w:pPr>
      <w:rPr>
        <w:rFonts w:ascii="Courier New" w:hAnsi="Courier New" w:cs="Courier New" w:hint="default"/>
      </w:rPr>
    </w:lvl>
    <w:lvl w:ilvl="8" w:tplc="7122AFA0" w:tentative="1">
      <w:start w:val="1"/>
      <w:numFmt w:val="bullet"/>
      <w:lvlText w:val=""/>
      <w:lvlJc w:val="left"/>
      <w:pPr>
        <w:ind w:left="6480" w:hanging="360"/>
      </w:pPr>
      <w:rPr>
        <w:rFonts w:ascii="Wingdings" w:hAnsi="Wingdings" w:hint="default"/>
      </w:rPr>
    </w:lvl>
  </w:abstractNum>
  <w:abstractNum w:abstractNumId="15" w15:restartNumberingAfterBreak="0">
    <w:nsid w:val="36EA7FF7"/>
    <w:multiLevelType w:val="hybridMultilevel"/>
    <w:tmpl w:val="851AB1FA"/>
    <w:lvl w:ilvl="0" w:tplc="9224DDAC">
      <w:start w:val="1"/>
      <w:numFmt w:val="bullet"/>
      <w:lvlText w:val="-"/>
      <w:lvlJc w:val="left"/>
      <w:pPr>
        <w:ind w:left="502" w:hanging="360"/>
      </w:pPr>
      <w:rPr>
        <w:rFonts w:ascii="Calibri" w:eastAsia="Times New Roman" w:hAnsi="Calibri" w:hint="default"/>
      </w:rPr>
    </w:lvl>
    <w:lvl w:ilvl="1" w:tplc="9DC2916C" w:tentative="1">
      <w:start w:val="1"/>
      <w:numFmt w:val="bullet"/>
      <w:lvlText w:val="o"/>
      <w:lvlJc w:val="left"/>
      <w:pPr>
        <w:ind w:left="1440" w:hanging="360"/>
      </w:pPr>
      <w:rPr>
        <w:rFonts w:ascii="Courier New" w:hAnsi="Courier New" w:hint="default"/>
      </w:rPr>
    </w:lvl>
    <w:lvl w:ilvl="2" w:tplc="3FE45770" w:tentative="1">
      <w:start w:val="1"/>
      <w:numFmt w:val="bullet"/>
      <w:lvlText w:val=""/>
      <w:lvlJc w:val="left"/>
      <w:pPr>
        <w:ind w:left="2160" w:hanging="360"/>
      </w:pPr>
      <w:rPr>
        <w:rFonts w:ascii="Wingdings" w:hAnsi="Wingdings" w:hint="default"/>
      </w:rPr>
    </w:lvl>
    <w:lvl w:ilvl="3" w:tplc="E80EFA4A" w:tentative="1">
      <w:start w:val="1"/>
      <w:numFmt w:val="bullet"/>
      <w:lvlText w:val=""/>
      <w:lvlJc w:val="left"/>
      <w:pPr>
        <w:ind w:left="2880" w:hanging="360"/>
      </w:pPr>
      <w:rPr>
        <w:rFonts w:ascii="Symbol" w:hAnsi="Symbol" w:hint="default"/>
      </w:rPr>
    </w:lvl>
    <w:lvl w:ilvl="4" w:tplc="7DE8C186" w:tentative="1">
      <w:start w:val="1"/>
      <w:numFmt w:val="bullet"/>
      <w:lvlText w:val="o"/>
      <w:lvlJc w:val="left"/>
      <w:pPr>
        <w:ind w:left="3600" w:hanging="360"/>
      </w:pPr>
      <w:rPr>
        <w:rFonts w:ascii="Courier New" w:hAnsi="Courier New" w:hint="default"/>
      </w:rPr>
    </w:lvl>
    <w:lvl w:ilvl="5" w:tplc="C02CF802" w:tentative="1">
      <w:start w:val="1"/>
      <w:numFmt w:val="bullet"/>
      <w:lvlText w:val=""/>
      <w:lvlJc w:val="left"/>
      <w:pPr>
        <w:ind w:left="4320" w:hanging="360"/>
      </w:pPr>
      <w:rPr>
        <w:rFonts w:ascii="Wingdings" w:hAnsi="Wingdings" w:hint="default"/>
      </w:rPr>
    </w:lvl>
    <w:lvl w:ilvl="6" w:tplc="2FF67062" w:tentative="1">
      <w:start w:val="1"/>
      <w:numFmt w:val="bullet"/>
      <w:lvlText w:val=""/>
      <w:lvlJc w:val="left"/>
      <w:pPr>
        <w:ind w:left="5040" w:hanging="360"/>
      </w:pPr>
      <w:rPr>
        <w:rFonts w:ascii="Symbol" w:hAnsi="Symbol" w:hint="default"/>
      </w:rPr>
    </w:lvl>
    <w:lvl w:ilvl="7" w:tplc="D31C62E0" w:tentative="1">
      <w:start w:val="1"/>
      <w:numFmt w:val="bullet"/>
      <w:lvlText w:val="o"/>
      <w:lvlJc w:val="left"/>
      <w:pPr>
        <w:ind w:left="5760" w:hanging="360"/>
      </w:pPr>
      <w:rPr>
        <w:rFonts w:ascii="Courier New" w:hAnsi="Courier New" w:hint="default"/>
      </w:rPr>
    </w:lvl>
    <w:lvl w:ilvl="8" w:tplc="8A707286" w:tentative="1">
      <w:start w:val="1"/>
      <w:numFmt w:val="bullet"/>
      <w:lvlText w:val=""/>
      <w:lvlJc w:val="left"/>
      <w:pPr>
        <w:ind w:left="6480" w:hanging="360"/>
      </w:pPr>
      <w:rPr>
        <w:rFonts w:ascii="Wingdings" w:hAnsi="Wingdings" w:hint="default"/>
      </w:rPr>
    </w:lvl>
  </w:abstractNum>
  <w:abstractNum w:abstractNumId="16" w15:restartNumberingAfterBreak="0">
    <w:nsid w:val="3D953672"/>
    <w:multiLevelType w:val="hybridMultilevel"/>
    <w:tmpl w:val="1AEACCC8"/>
    <w:lvl w:ilvl="0" w:tplc="130ABAE4">
      <w:numFmt w:val="bullet"/>
      <w:lvlText w:val="-"/>
      <w:lvlJc w:val="left"/>
      <w:pPr>
        <w:ind w:left="720" w:hanging="360"/>
      </w:pPr>
      <w:rPr>
        <w:rFonts w:ascii="Calibri" w:eastAsiaTheme="minorHAnsi" w:hAnsi="Calibri" w:cs="Calibri" w:hint="default"/>
      </w:rPr>
    </w:lvl>
    <w:lvl w:ilvl="1" w:tplc="3A740362" w:tentative="1">
      <w:start w:val="1"/>
      <w:numFmt w:val="bullet"/>
      <w:lvlText w:val="o"/>
      <w:lvlJc w:val="left"/>
      <w:pPr>
        <w:ind w:left="1440" w:hanging="360"/>
      </w:pPr>
      <w:rPr>
        <w:rFonts w:ascii="Courier New" w:hAnsi="Courier New" w:cs="Courier New" w:hint="default"/>
      </w:rPr>
    </w:lvl>
    <w:lvl w:ilvl="2" w:tplc="0F884A64" w:tentative="1">
      <w:start w:val="1"/>
      <w:numFmt w:val="bullet"/>
      <w:lvlText w:val=""/>
      <w:lvlJc w:val="left"/>
      <w:pPr>
        <w:ind w:left="2160" w:hanging="360"/>
      </w:pPr>
      <w:rPr>
        <w:rFonts w:ascii="Wingdings" w:hAnsi="Wingdings" w:hint="default"/>
      </w:rPr>
    </w:lvl>
    <w:lvl w:ilvl="3" w:tplc="33466458" w:tentative="1">
      <w:start w:val="1"/>
      <w:numFmt w:val="bullet"/>
      <w:lvlText w:val=""/>
      <w:lvlJc w:val="left"/>
      <w:pPr>
        <w:ind w:left="2880" w:hanging="360"/>
      </w:pPr>
      <w:rPr>
        <w:rFonts w:ascii="Symbol" w:hAnsi="Symbol" w:hint="default"/>
      </w:rPr>
    </w:lvl>
    <w:lvl w:ilvl="4" w:tplc="205CCD58" w:tentative="1">
      <w:start w:val="1"/>
      <w:numFmt w:val="bullet"/>
      <w:lvlText w:val="o"/>
      <w:lvlJc w:val="left"/>
      <w:pPr>
        <w:ind w:left="3600" w:hanging="360"/>
      </w:pPr>
      <w:rPr>
        <w:rFonts w:ascii="Courier New" w:hAnsi="Courier New" w:cs="Courier New" w:hint="default"/>
      </w:rPr>
    </w:lvl>
    <w:lvl w:ilvl="5" w:tplc="43CAF4C6" w:tentative="1">
      <w:start w:val="1"/>
      <w:numFmt w:val="bullet"/>
      <w:lvlText w:val=""/>
      <w:lvlJc w:val="left"/>
      <w:pPr>
        <w:ind w:left="4320" w:hanging="360"/>
      </w:pPr>
      <w:rPr>
        <w:rFonts w:ascii="Wingdings" w:hAnsi="Wingdings" w:hint="default"/>
      </w:rPr>
    </w:lvl>
    <w:lvl w:ilvl="6" w:tplc="0C124AB6" w:tentative="1">
      <w:start w:val="1"/>
      <w:numFmt w:val="bullet"/>
      <w:lvlText w:val=""/>
      <w:lvlJc w:val="left"/>
      <w:pPr>
        <w:ind w:left="5040" w:hanging="360"/>
      </w:pPr>
      <w:rPr>
        <w:rFonts w:ascii="Symbol" w:hAnsi="Symbol" w:hint="default"/>
      </w:rPr>
    </w:lvl>
    <w:lvl w:ilvl="7" w:tplc="8A52F050" w:tentative="1">
      <w:start w:val="1"/>
      <w:numFmt w:val="bullet"/>
      <w:lvlText w:val="o"/>
      <w:lvlJc w:val="left"/>
      <w:pPr>
        <w:ind w:left="5760" w:hanging="360"/>
      </w:pPr>
      <w:rPr>
        <w:rFonts w:ascii="Courier New" w:hAnsi="Courier New" w:cs="Courier New" w:hint="default"/>
      </w:rPr>
    </w:lvl>
    <w:lvl w:ilvl="8" w:tplc="E7E265B6" w:tentative="1">
      <w:start w:val="1"/>
      <w:numFmt w:val="bullet"/>
      <w:lvlText w:val=""/>
      <w:lvlJc w:val="left"/>
      <w:pPr>
        <w:ind w:left="6480" w:hanging="360"/>
      </w:pPr>
      <w:rPr>
        <w:rFonts w:ascii="Wingdings" w:hAnsi="Wingdings" w:hint="default"/>
      </w:rPr>
    </w:lvl>
  </w:abstractNum>
  <w:abstractNum w:abstractNumId="17" w15:restartNumberingAfterBreak="0">
    <w:nsid w:val="4BB10673"/>
    <w:multiLevelType w:val="hybridMultilevel"/>
    <w:tmpl w:val="23A0FC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747A7B"/>
    <w:multiLevelType w:val="hybridMultilevel"/>
    <w:tmpl w:val="3D3A39D4"/>
    <w:lvl w:ilvl="0" w:tplc="450E9382">
      <w:start w:val="1"/>
      <w:numFmt w:val="bullet"/>
      <w:lvlText w:val=""/>
      <w:lvlJc w:val="left"/>
      <w:pPr>
        <w:ind w:left="720" w:hanging="360"/>
      </w:pPr>
      <w:rPr>
        <w:rFonts w:ascii="Symbol" w:hAnsi="Symbol" w:hint="default"/>
      </w:rPr>
    </w:lvl>
    <w:lvl w:ilvl="1" w:tplc="6554A924" w:tentative="1">
      <w:start w:val="1"/>
      <w:numFmt w:val="bullet"/>
      <w:lvlText w:val="o"/>
      <w:lvlJc w:val="left"/>
      <w:pPr>
        <w:ind w:left="1440" w:hanging="360"/>
      </w:pPr>
      <w:rPr>
        <w:rFonts w:ascii="Courier New" w:hAnsi="Courier New" w:cs="Courier New" w:hint="default"/>
      </w:rPr>
    </w:lvl>
    <w:lvl w:ilvl="2" w:tplc="7AD6D9CC" w:tentative="1">
      <w:start w:val="1"/>
      <w:numFmt w:val="bullet"/>
      <w:lvlText w:val=""/>
      <w:lvlJc w:val="left"/>
      <w:pPr>
        <w:ind w:left="2160" w:hanging="360"/>
      </w:pPr>
      <w:rPr>
        <w:rFonts w:ascii="Wingdings" w:hAnsi="Wingdings" w:hint="default"/>
      </w:rPr>
    </w:lvl>
    <w:lvl w:ilvl="3" w:tplc="F72AC9A2" w:tentative="1">
      <w:start w:val="1"/>
      <w:numFmt w:val="bullet"/>
      <w:lvlText w:val=""/>
      <w:lvlJc w:val="left"/>
      <w:pPr>
        <w:ind w:left="2880" w:hanging="360"/>
      </w:pPr>
      <w:rPr>
        <w:rFonts w:ascii="Symbol" w:hAnsi="Symbol" w:hint="default"/>
      </w:rPr>
    </w:lvl>
    <w:lvl w:ilvl="4" w:tplc="DDFCABB4" w:tentative="1">
      <w:start w:val="1"/>
      <w:numFmt w:val="bullet"/>
      <w:lvlText w:val="o"/>
      <w:lvlJc w:val="left"/>
      <w:pPr>
        <w:ind w:left="3600" w:hanging="360"/>
      </w:pPr>
      <w:rPr>
        <w:rFonts w:ascii="Courier New" w:hAnsi="Courier New" w:cs="Courier New" w:hint="default"/>
      </w:rPr>
    </w:lvl>
    <w:lvl w:ilvl="5" w:tplc="C374EDAE" w:tentative="1">
      <w:start w:val="1"/>
      <w:numFmt w:val="bullet"/>
      <w:lvlText w:val=""/>
      <w:lvlJc w:val="left"/>
      <w:pPr>
        <w:ind w:left="4320" w:hanging="360"/>
      </w:pPr>
      <w:rPr>
        <w:rFonts w:ascii="Wingdings" w:hAnsi="Wingdings" w:hint="default"/>
      </w:rPr>
    </w:lvl>
    <w:lvl w:ilvl="6" w:tplc="F3801BE0" w:tentative="1">
      <w:start w:val="1"/>
      <w:numFmt w:val="bullet"/>
      <w:lvlText w:val=""/>
      <w:lvlJc w:val="left"/>
      <w:pPr>
        <w:ind w:left="5040" w:hanging="360"/>
      </w:pPr>
      <w:rPr>
        <w:rFonts w:ascii="Symbol" w:hAnsi="Symbol" w:hint="default"/>
      </w:rPr>
    </w:lvl>
    <w:lvl w:ilvl="7" w:tplc="DEA01FFC" w:tentative="1">
      <w:start w:val="1"/>
      <w:numFmt w:val="bullet"/>
      <w:lvlText w:val="o"/>
      <w:lvlJc w:val="left"/>
      <w:pPr>
        <w:ind w:left="5760" w:hanging="360"/>
      </w:pPr>
      <w:rPr>
        <w:rFonts w:ascii="Courier New" w:hAnsi="Courier New" w:cs="Courier New" w:hint="default"/>
      </w:rPr>
    </w:lvl>
    <w:lvl w:ilvl="8" w:tplc="4726E338" w:tentative="1">
      <w:start w:val="1"/>
      <w:numFmt w:val="bullet"/>
      <w:lvlText w:val=""/>
      <w:lvlJc w:val="left"/>
      <w:pPr>
        <w:ind w:left="6480" w:hanging="360"/>
      </w:pPr>
      <w:rPr>
        <w:rFonts w:ascii="Wingdings" w:hAnsi="Wingdings" w:hint="default"/>
      </w:rPr>
    </w:lvl>
  </w:abstractNum>
  <w:abstractNum w:abstractNumId="19" w15:restartNumberingAfterBreak="0">
    <w:nsid w:val="58B90092"/>
    <w:multiLevelType w:val="hybridMultilevel"/>
    <w:tmpl w:val="3508C4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27A1B24"/>
    <w:multiLevelType w:val="hybridMultilevel"/>
    <w:tmpl w:val="E738F1B4"/>
    <w:lvl w:ilvl="0" w:tplc="010213C0">
      <w:start w:val="1"/>
      <w:numFmt w:val="bullet"/>
      <w:lvlText w:val=""/>
      <w:lvlJc w:val="left"/>
      <w:pPr>
        <w:ind w:left="360" w:hanging="360"/>
      </w:pPr>
      <w:rPr>
        <w:rFonts w:ascii="Symbol" w:hAnsi="Symbol" w:hint="default"/>
      </w:rPr>
    </w:lvl>
    <w:lvl w:ilvl="1" w:tplc="02AA8B06" w:tentative="1">
      <w:start w:val="1"/>
      <w:numFmt w:val="bullet"/>
      <w:lvlText w:val="o"/>
      <w:lvlJc w:val="left"/>
      <w:pPr>
        <w:ind w:left="1080" w:hanging="360"/>
      </w:pPr>
      <w:rPr>
        <w:rFonts w:ascii="Courier New" w:hAnsi="Courier New" w:cs="Courier New" w:hint="default"/>
      </w:rPr>
    </w:lvl>
    <w:lvl w:ilvl="2" w:tplc="D7683180" w:tentative="1">
      <w:start w:val="1"/>
      <w:numFmt w:val="bullet"/>
      <w:lvlText w:val=""/>
      <w:lvlJc w:val="left"/>
      <w:pPr>
        <w:ind w:left="1800" w:hanging="360"/>
      </w:pPr>
      <w:rPr>
        <w:rFonts w:ascii="Wingdings" w:hAnsi="Wingdings" w:hint="default"/>
      </w:rPr>
    </w:lvl>
    <w:lvl w:ilvl="3" w:tplc="63FC2080" w:tentative="1">
      <w:start w:val="1"/>
      <w:numFmt w:val="bullet"/>
      <w:lvlText w:val=""/>
      <w:lvlJc w:val="left"/>
      <w:pPr>
        <w:ind w:left="2520" w:hanging="360"/>
      </w:pPr>
      <w:rPr>
        <w:rFonts w:ascii="Symbol" w:hAnsi="Symbol" w:hint="default"/>
      </w:rPr>
    </w:lvl>
    <w:lvl w:ilvl="4" w:tplc="3210EBCC" w:tentative="1">
      <w:start w:val="1"/>
      <w:numFmt w:val="bullet"/>
      <w:lvlText w:val="o"/>
      <w:lvlJc w:val="left"/>
      <w:pPr>
        <w:ind w:left="3240" w:hanging="360"/>
      </w:pPr>
      <w:rPr>
        <w:rFonts w:ascii="Courier New" w:hAnsi="Courier New" w:cs="Courier New" w:hint="default"/>
      </w:rPr>
    </w:lvl>
    <w:lvl w:ilvl="5" w:tplc="6F9E83CE" w:tentative="1">
      <w:start w:val="1"/>
      <w:numFmt w:val="bullet"/>
      <w:lvlText w:val=""/>
      <w:lvlJc w:val="left"/>
      <w:pPr>
        <w:ind w:left="3960" w:hanging="360"/>
      </w:pPr>
      <w:rPr>
        <w:rFonts w:ascii="Wingdings" w:hAnsi="Wingdings" w:hint="default"/>
      </w:rPr>
    </w:lvl>
    <w:lvl w:ilvl="6" w:tplc="ED1AA1BA" w:tentative="1">
      <w:start w:val="1"/>
      <w:numFmt w:val="bullet"/>
      <w:lvlText w:val=""/>
      <w:lvlJc w:val="left"/>
      <w:pPr>
        <w:ind w:left="4680" w:hanging="360"/>
      </w:pPr>
      <w:rPr>
        <w:rFonts w:ascii="Symbol" w:hAnsi="Symbol" w:hint="default"/>
      </w:rPr>
    </w:lvl>
    <w:lvl w:ilvl="7" w:tplc="F2EE36FA" w:tentative="1">
      <w:start w:val="1"/>
      <w:numFmt w:val="bullet"/>
      <w:lvlText w:val="o"/>
      <w:lvlJc w:val="left"/>
      <w:pPr>
        <w:ind w:left="5400" w:hanging="360"/>
      </w:pPr>
      <w:rPr>
        <w:rFonts w:ascii="Courier New" w:hAnsi="Courier New" w:cs="Courier New" w:hint="default"/>
      </w:rPr>
    </w:lvl>
    <w:lvl w:ilvl="8" w:tplc="6C58F65E" w:tentative="1">
      <w:start w:val="1"/>
      <w:numFmt w:val="bullet"/>
      <w:lvlText w:val=""/>
      <w:lvlJc w:val="left"/>
      <w:pPr>
        <w:ind w:left="6120" w:hanging="360"/>
      </w:pPr>
      <w:rPr>
        <w:rFonts w:ascii="Wingdings" w:hAnsi="Wingdings" w:hint="default"/>
      </w:rPr>
    </w:lvl>
  </w:abstractNum>
  <w:abstractNum w:abstractNumId="21" w15:restartNumberingAfterBreak="0">
    <w:nsid w:val="64B379C3"/>
    <w:multiLevelType w:val="hybridMultilevel"/>
    <w:tmpl w:val="FFD4F082"/>
    <w:lvl w:ilvl="0" w:tplc="7DAE0F74">
      <w:start w:val="1"/>
      <w:numFmt w:val="bullet"/>
      <w:lvlText w:val=""/>
      <w:lvlJc w:val="left"/>
      <w:pPr>
        <w:ind w:left="360" w:hanging="360"/>
      </w:pPr>
      <w:rPr>
        <w:rFonts w:ascii="Symbol" w:hAnsi="Symbol" w:hint="default"/>
      </w:rPr>
    </w:lvl>
    <w:lvl w:ilvl="1" w:tplc="02AA8B06" w:tentative="1">
      <w:start w:val="1"/>
      <w:numFmt w:val="bullet"/>
      <w:lvlText w:val="o"/>
      <w:lvlJc w:val="left"/>
      <w:pPr>
        <w:ind w:left="1080" w:hanging="360"/>
      </w:pPr>
      <w:rPr>
        <w:rFonts w:ascii="Courier New" w:hAnsi="Courier New" w:cs="Courier New" w:hint="default"/>
      </w:rPr>
    </w:lvl>
    <w:lvl w:ilvl="2" w:tplc="D7683180" w:tentative="1">
      <w:start w:val="1"/>
      <w:numFmt w:val="bullet"/>
      <w:lvlText w:val=""/>
      <w:lvlJc w:val="left"/>
      <w:pPr>
        <w:ind w:left="1800" w:hanging="360"/>
      </w:pPr>
      <w:rPr>
        <w:rFonts w:ascii="Wingdings" w:hAnsi="Wingdings" w:hint="default"/>
      </w:rPr>
    </w:lvl>
    <w:lvl w:ilvl="3" w:tplc="63FC2080" w:tentative="1">
      <w:start w:val="1"/>
      <w:numFmt w:val="bullet"/>
      <w:lvlText w:val=""/>
      <w:lvlJc w:val="left"/>
      <w:pPr>
        <w:ind w:left="2520" w:hanging="360"/>
      </w:pPr>
      <w:rPr>
        <w:rFonts w:ascii="Symbol" w:hAnsi="Symbol" w:hint="default"/>
      </w:rPr>
    </w:lvl>
    <w:lvl w:ilvl="4" w:tplc="3210EBCC" w:tentative="1">
      <w:start w:val="1"/>
      <w:numFmt w:val="bullet"/>
      <w:lvlText w:val="o"/>
      <w:lvlJc w:val="left"/>
      <w:pPr>
        <w:ind w:left="3240" w:hanging="360"/>
      </w:pPr>
      <w:rPr>
        <w:rFonts w:ascii="Courier New" w:hAnsi="Courier New" w:cs="Courier New" w:hint="default"/>
      </w:rPr>
    </w:lvl>
    <w:lvl w:ilvl="5" w:tplc="6F9E83CE" w:tentative="1">
      <w:start w:val="1"/>
      <w:numFmt w:val="bullet"/>
      <w:lvlText w:val=""/>
      <w:lvlJc w:val="left"/>
      <w:pPr>
        <w:ind w:left="3960" w:hanging="360"/>
      </w:pPr>
      <w:rPr>
        <w:rFonts w:ascii="Wingdings" w:hAnsi="Wingdings" w:hint="default"/>
      </w:rPr>
    </w:lvl>
    <w:lvl w:ilvl="6" w:tplc="ED1AA1BA" w:tentative="1">
      <w:start w:val="1"/>
      <w:numFmt w:val="bullet"/>
      <w:lvlText w:val=""/>
      <w:lvlJc w:val="left"/>
      <w:pPr>
        <w:ind w:left="4680" w:hanging="360"/>
      </w:pPr>
      <w:rPr>
        <w:rFonts w:ascii="Symbol" w:hAnsi="Symbol" w:hint="default"/>
      </w:rPr>
    </w:lvl>
    <w:lvl w:ilvl="7" w:tplc="F2EE36FA" w:tentative="1">
      <w:start w:val="1"/>
      <w:numFmt w:val="bullet"/>
      <w:lvlText w:val="o"/>
      <w:lvlJc w:val="left"/>
      <w:pPr>
        <w:ind w:left="5400" w:hanging="360"/>
      </w:pPr>
      <w:rPr>
        <w:rFonts w:ascii="Courier New" w:hAnsi="Courier New" w:cs="Courier New" w:hint="default"/>
      </w:rPr>
    </w:lvl>
    <w:lvl w:ilvl="8" w:tplc="6C58F65E" w:tentative="1">
      <w:start w:val="1"/>
      <w:numFmt w:val="bullet"/>
      <w:lvlText w:val=""/>
      <w:lvlJc w:val="left"/>
      <w:pPr>
        <w:ind w:left="6120" w:hanging="360"/>
      </w:pPr>
      <w:rPr>
        <w:rFonts w:ascii="Wingdings" w:hAnsi="Wingdings" w:hint="default"/>
      </w:rPr>
    </w:lvl>
  </w:abstractNum>
  <w:abstractNum w:abstractNumId="22" w15:restartNumberingAfterBreak="0">
    <w:nsid w:val="64F901D8"/>
    <w:multiLevelType w:val="hybridMultilevel"/>
    <w:tmpl w:val="CFE045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6C677B1"/>
    <w:multiLevelType w:val="hybridMultilevel"/>
    <w:tmpl w:val="F536BB90"/>
    <w:lvl w:ilvl="0" w:tplc="4AD67D1C">
      <w:start w:val="1"/>
      <w:numFmt w:val="upperRoman"/>
      <w:lvlText w:val="%1."/>
      <w:lvlJc w:val="left"/>
      <w:pPr>
        <w:ind w:left="1080" w:hanging="720"/>
      </w:pPr>
      <w:rPr>
        <w:rFonts w:hint="default"/>
      </w:rPr>
    </w:lvl>
    <w:lvl w:ilvl="1" w:tplc="3C70F484" w:tentative="1">
      <w:start w:val="1"/>
      <w:numFmt w:val="lowerLetter"/>
      <w:lvlText w:val="%2."/>
      <w:lvlJc w:val="left"/>
      <w:pPr>
        <w:ind w:left="1440" w:hanging="360"/>
      </w:pPr>
    </w:lvl>
    <w:lvl w:ilvl="2" w:tplc="2DC8BBD0" w:tentative="1">
      <w:start w:val="1"/>
      <w:numFmt w:val="lowerRoman"/>
      <w:lvlText w:val="%3."/>
      <w:lvlJc w:val="right"/>
      <w:pPr>
        <w:ind w:left="2160" w:hanging="180"/>
      </w:pPr>
    </w:lvl>
    <w:lvl w:ilvl="3" w:tplc="BB56743C" w:tentative="1">
      <w:start w:val="1"/>
      <w:numFmt w:val="decimal"/>
      <w:lvlText w:val="%4."/>
      <w:lvlJc w:val="left"/>
      <w:pPr>
        <w:ind w:left="2880" w:hanging="360"/>
      </w:pPr>
    </w:lvl>
    <w:lvl w:ilvl="4" w:tplc="83AE2406" w:tentative="1">
      <w:start w:val="1"/>
      <w:numFmt w:val="lowerLetter"/>
      <w:lvlText w:val="%5."/>
      <w:lvlJc w:val="left"/>
      <w:pPr>
        <w:ind w:left="3600" w:hanging="360"/>
      </w:pPr>
    </w:lvl>
    <w:lvl w:ilvl="5" w:tplc="55A289C4" w:tentative="1">
      <w:start w:val="1"/>
      <w:numFmt w:val="lowerRoman"/>
      <w:lvlText w:val="%6."/>
      <w:lvlJc w:val="right"/>
      <w:pPr>
        <w:ind w:left="4320" w:hanging="180"/>
      </w:pPr>
    </w:lvl>
    <w:lvl w:ilvl="6" w:tplc="BBA05BF8" w:tentative="1">
      <w:start w:val="1"/>
      <w:numFmt w:val="decimal"/>
      <w:lvlText w:val="%7."/>
      <w:lvlJc w:val="left"/>
      <w:pPr>
        <w:ind w:left="5040" w:hanging="360"/>
      </w:pPr>
    </w:lvl>
    <w:lvl w:ilvl="7" w:tplc="B41048CC" w:tentative="1">
      <w:start w:val="1"/>
      <w:numFmt w:val="lowerLetter"/>
      <w:lvlText w:val="%8."/>
      <w:lvlJc w:val="left"/>
      <w:pPr>
        <w:ind w:left="5760" w:hanging="360"/>
      </w:pPr>
    </w:lvl>
    <w:lvl w:ilvl="8" w:tplc="12B4CEB4" w:tentative="1">
      <w:start w:val="1"/>
      <w:numFmt w:val="lowerRoman"/>
      <w:lvlText w:val="%9."/>
      <w:lvlJc w:val="right"/>
      <w:pPr>
        <w:ind w:left="6480" w:hanging="180"/>
      </w:pPr>
    </w:lvl>
  </w:abstractNum>
  <w:abstractNum w:abstractNumId="24" w15:restartNumberingAfterBreak="0">
    <w:nsid w:val="6C9971F5"/>
    <w:multiLevelType w:val="hybridMultilevel"/>
    <w:tmpl w:val="2AAEC0CA"/>
    <w:lvl w:ilvl="0" w:tplc="0D748A1A">
      <w:start w:val="1"/>
      <w:numFmt w:val="upperRoman"/>
      <w:lvlText w:val="%1."/>
      <w:lvlJc w:val="left"/>
      <w:pPr>
        <w:ind w:left="720" w:hanging="360"/>
      </w:pPr>
      <w:rPr>
        <w:rFonts w:hint="default"/>
      </w:rPr>
    </w:lvl>
    <w:lvl w:ilvl="1" w:tplc="B21414E0" w:tentative="1">
      <w:start w:val="1"/>
      <w:numFmt w:val="bullet"/>
      <w:lvlText w:val="o"/>
      <w:lvlJc w:val="left"/>
      <w:pPr>
        <w:ind w:left="1440" w:hanging="360"/>
      </w:pPr>
      <w:rPr>
        <w:rFonts w:ascii="Courier New" w:hAnsi="Courier New" w:cs="Courier New" w:hint="default"/>
      </w:rPr>
    </w:lvl>
    <w:lvl w:ilvl="2" w:tplc="38962F6C" w:tentative="1">
      <w:start w:val="1"/>
      <w:numFmt w:val="bullet"/>
      <w:lvlText w:val=""/>
      <w:lvlJc w:val="left"/>
      <w:pPr>
        <w:ind w:left="2160" w:hanging="360"/>
      </w:pPr>
      <w:rPr>
        <w:rFonts w:ascii="Wingdings" w:hAnsi="Wingdings" w:hint="default"/>
      </w:rPr>
    </w:lvl>
    <w:lvl w:ilvl="3" w:tplc="AF5E39A2" w:tentative="1">
      <w:start w:val="1"/>
      <w:numFmt w:val="bullet"/>
      <w:lvlText w:val=""/>
      <w:lvlJc w:val="left"/>
      <w:pPr>
        <w:ind w:left="2880" w:hanging="360"/>
      </w:pPr>
      <w:rPr>
        <w:rFonts w:ascii="Symbol" w:hAnsi="Symbol" w:hint="default"/>
      </w:rPr>
    </w:lvl>
    <w:lvl w:ilvl="4" w:tplc="487AE50A" w:tentative="1">
      <w:start w:val="1"/>
      <w:numFmt w:val="bullet"/>
      <w:lvlText w:val="o"/>
      <w:lvlJc w:val="left"/>
      <w:pPr>
        <w:ind w:left="3600" w:hanging="360"/>
      </w:pPr>
      <w:rPr>
        <w:rFonts w:ascii="Courier New" w:hAnsi="Courier New" w:cs="Courier New" w:hint="default"/>
      </w:rPr>
    </w:lvl>
    <w:lvl w:ilvl="5" w:tplc="5C78CCA2" w:tentative="1">
      <w:start w:val="1"/>
      <w:numFmt w:val="bullet"/>
      <w:lvlText w:val=""/>
      <w:lvlJc w:val="left"/>
      <w:pPr>
        <w:ind w:left="4320" w:hanging="360"/>
      </w:pPr>
      <w:rPr>
        <w:rFonts w:ascii="Wingdings" w:hAnsi="Wingdings" w:hint="default"/>
      </w:rPr>
    </w:lvl>
    <w:lvl w:ilvl="6" w:tplc="E0885550" w:tentative="1">
      <w:start w:val="1"/>
      <w:numFmt w:val="bullet"/>
      <w:lvlText w:val=""/>
      <w:lvlJc w:val="left"/>
      <w:pPr>
        <w:ind w:left="5040" w:hanging="360"/>
      </w:pPr>
      <w:rPr>
        <w:rFonts w:ascii="Symbol" w:hAnsi="Symbol" w:hint="default"/>
      </w:rPr>
    </w:lvl>
    <w:lvl w:ilvl="7" w:tplc="3F04CF32" w:tentative="1">
      <w:start w:val="1"/>
      <w:numFmt w:val="bullet"/>
      <w:lvlText w:val="o"/>
      <w:lvlJc w:val="left"/>
      <w:pPr>
        <w:ind w:left="5760" w:hanging="360"/>
      </w:pPr>
      <w:rPr>
        <w:rFonts w:ascii="Courier New" w:hAnsi="Courier New" w:cs="Courier New" w:hint="default"/>
      </w:rPr>
    </w:lvl>
    <w:lvl w:ilvl="8" w:tplc="3E4688AC" w:tentative="1">
      <w:start w:val="1"/>
      <w:numFmt w:val="bullet"/>
      <w:lvlText w:val=""/>
      <w:lvlJc w:val="left"/>
      <w:pPr>
        <w:ind w:left="6480" w:hanging="360"/>
      </w:pPr>
      <w:rPr>
        <w:rFonts w:ascii="Wingdings" w:hAnsi="Wingdings" w:hint="default"/>
      </w:rPr>
    </w:lvl>
  </w:abstractNum>
  <w:abstractNum w:abstractNumId="25" w15:restartNumberingAfterBreak="0">
    <w:nsid w:val="6FC53428"/>
    <w:multiLevelType w:val="hybridMultilevel"/>
    <w:tmpl w:val="7632D626"/>
    <w:lvl w:ilvl="0" w:tplc="93165034">
      <w:numFmt w:val="bullet"/>
      <w:lvlText w:val="-"/>
      <w:lvlJc w:val="left"/>
      <w:pPr>
        <w:ind w:left="720" w:hanging="360"/>
      </w:pPr>
      <w:rPr>
        <w:rFonts w:ascii="Calibri" w:eastAsia="Times New Roman" w:hAnsi="Calibri" w:cs="Arial" w:hint="default"/>
      </w:rPr>
    </w:lvl>
    <w:lvl w:ilvl="1" w:tplc="359A9C8A" w:tentative="1">
      <w:start w:val="1"/>
      <w:numFmt w:val="bullet"/>
      <w:lvlText w:val="o"/>
      <w:lvlJc w:val="left"/>
      <w:pPr>
        <w:ind w:left="1440" w:hanging="360"/>
      </w:pPr>
      <w:rPr>
        <w:rFonts w:ascii="Courier New" w:hAnsi="Courier New" w:cs="Courier New" w:hint="default"/>
      </w:rPr>
    </w:lvl>
    <w:lvl w:ilvl="2" w:tplc="FFDE8EC0" w:tentative="1">
      <w:start w:val="1"/>
      <w:numFmt w:val="bullet"/>
      <w:lvlText w:val=""/>
      <w:lvlJc w:val="left"/>
      <w:pPr>
        <w:ind w:left="2160" w:hanging="360"/>
      </w:pPr>
      <w:rPr>
        <w:rFonts w:ascii="Wingdings" w:hAnsi="Wingdings" w:hint="default"/>
      </w:rPr>
    </w:lvl>
    <w:lvl w:ilvl="3" w:tplc="F76692FA" w:tentative="1">
      <w:start w:val="1"/>
      <w:numFmt w:val="bullet"/>
      <w:lvlText w:val=""/>
      <w:lvlJc w:val="left"/>
      <w:pPr>
        <w:ind w:left="2880" w:hanging="360"/>
      </w:pPr>
      <w:rPr>
        <w:rFonts w:ascii="Symbol" w:hAnsi="Symbol" w:hint="default"/>
      </w:rPr>
    </w:lvl>
    <w:lvl w:ilvl="4" w:tplc="E7101220" w:tentative="1">
      <w:start w:val="1"/>
      <w:numFmt w:val="bullet"/>
      <w:lvlText w:val="o"/>
      <w:lvlJc w:val="left"/>
      <w:pPr>
        <w:ind w:left="3600" w:hanging="360"/>
      </w:pPr>
      <w:rPr>
        <w:rFonts w:ascii="Courier New" w:hAnsi="Courier New" w:cs="Courier New" w:hint="default"/>
      </w:rPr>
    </w:lvl>
    <w:lvl w:ilvl="5" w:tplc="D09ECDE0" w:tentative="1">
      <w:start w:val="1"/>
      <w:numFmt w:val="bullet"/>
      <w:lvlText w:val=""/>
      <w:lvlJc w:val="left"/>
      <w:pPr>
        <w:ind w:left="4320" w:hanging="360"/>
      </w:pPr>
      <w:rPr>
        <w:rFonts w:ascii="Wingdings" w:hAnsi="Wingdings" w:hint="default"/>
      </w:rPr>
    </w:lvl>
    <w:lvl w:ilvl="6" w:tplc="A09ACAD4" w:tentative="1">
      <w:start w:val="1"/>
      <w:numFmt w:val="bullet"/>
      <w:lvlText w:val=""/>
      <w:lvlJc w:val="left"/>
      <w:pPr>
        <w:ind w:left="5040" w:hanging="360"/>
      </w:pPr>
      <w:rPr>
        <w:rFonts w:ascii="Symbol" w:hAnsi="Symbol" w:hint="default"/>
      </w:rPr>
    </w:lvl>
    <w:lvl w:ilvl="7" w:tplc="ACD86238" w:tentative="1">
      <w:start w:val="1"/>
      <w:numFmt w:val="bullet"/>
      <w:lvlText w:val="o"/>
      <w:lvlJc w:val="left"/>
      <w:pPr>
        <w:ind w:left="5760" w:hanging="360"/>
      </w:pPr>
      <w:rPr>
        <w:rFonts w:ascii="Courier New" w:hAnsi="Courier New" w:cs="Courier New" w:hint="default"/>
      </w:rPr>
    </w:lvl>
    <w:lvl w:ilvl="8" w:tplc="80B06DEC" w:tentative="1">
      <w:start w:val="1"/>
      <w:numFmt w:val="bullet"/>
      <w:lvlText w:val=""/>
      <w:lvlJc w:val="left"/>
      <w:pPr>
        <w:ind w:left="6480" w:hanging="360"/>
      </w:pPr>
      <w:rPr>
        <w:rFonts w:ascii="Wingdings" w:hAnsi="Wingdings" w:hint="default"/>
      </w:rPr>
    </w:lvl>
  </w:abstractNum>
  <w:abstractNum w:abstractNumId="26" w15:restartNumberingAfterBreak="0">
    <w:nsid w:val="70F36DA5"/>
    <w:multiLevelType w:val="hybridMultilevel"/>
    <w:tmpl w:val="49A6B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252869"/>
    <w:multiLevelType w:val="hybridMultilevel"/>
    <w:tmpl w:val="E6C80C50"/>
    <w:lvl w:ilvl="0" w:tplc="B2B0923E">
      <w:numFmt w:val="bullet"/>
      <w:lvlText w:val="-"/>
      <w:lvlJc w:val="left"/>
      <w:pPr>
        <w:ind w:left="720" w:hanging="360"/>
      </w:pPr>
      <w:rPr>
        <w:rFonts w:ascii="Calibri" w:eastAsia="Times New Roman" w:hAnsi="Calibri" w:cs="Arial" w:hint="default"/>
      </w:rPr>
    </w:lvl>
    <w:lvl w:ilvl="1" w:tplc="ECDC51FE" w:tentative="1">
      <w:start w:val="1"/>
      <w:numFmt w:val="bullet"/>
      <w:lvlText w:val="o"/>
      <w:lvlJc w:val="left"/>
      <w:pPr>
        <w:ind w:left="1440" w:hanging="360"/>
      </w:pPr>
      <w:rPr>
        <w:rFonts w:ascii="Courier New" w:hAnsi="Courier New" w:cs="Courier New" w:hint="default"/>
      </w:rPr>
    </w:lvl>
    <w:lvl w:ilvl="2" w:tplc="E214CD56" w:tentative="1">
      <w:start w:val="1"/>
      <w:numFmt w:val="bullet"/>
      <w:lvlText w:val=""/>
      <w:lvlJc w:val="left"/>
      <w:pPr>
        <w:ind w:left="2160" w:hanging="360"/>
      </w:pPr>
      <w:rPr>
        <w:rFonts w:ascii="Wingdings" w:hAnsi="Wingdings" w:hint="default"/>
      </w:rPr>
    </w:lvl>
    <w:lvl w:ilvl="3" w:tplc="F4760264" w:tentative="1">
      <w:start w:val="1"/>
      <w:numFmt w:val="bullet"/>
      <w:lvlText w:val=""/>
      <w:lvlJc w:val="left"/>
      <w:pPr>
        <w:ind w:left="2880" w:hanging="360"/>
      </w:pPr>
      <w:rPr>
        <w:rFonts w:ascii="Symbol" w:hAnsi="Symbol" w:hint="default"/>
      </w:rPr>
    </w:lvl>
    <w:lvl w:ilvl="4" w:tplc="F49238A6" w:tentative="1">
      <w:start w:val="1"/>
      <w:numFmt w:val="bullet"/>
      <w:lvlText w:val="o"/>
      <w:lvlJc w:val="left"/>
      <w:pPr>
        <w:ind w:left="3600" w:hanging="360"/>
      </w:pPr>
      <w:rPr>
        <w:rFonts w:ascii="Courier New" w:hAnsi="Courier New" w:cs="Courier New" w:hint="default"/>
      </w:rPr>
    </w:lvl>
    <w:lvl w:ilvl="5" w:tplc="ABF44836" w:tentative="1">
      <w:start w:val="1"/>
      <w:numFmt w:val="bullet"/>
      <w:lvlText w:val=""/>
      <w:lvlJc w:val="left"/>
      <w:pPr>
        <w:ind w:left="4320" w:hanging="360"/>
      </w:pPr>
      <w:rPr>
        <w:rFonts w:ascii="Wingdings" w:hAnsi="Wingdings" w:hint="default"/>
      </w:rPr>
    </w:lvl>
    <w:lvl w:ilvl="6" w:tplc="C2F0F846" w:tentative="1">
      <w:start w:val="1"/>
      <w:numFmt w:val="bullet"/>
      <w:lvlText w:val=""/>
      <w:lvlJc w:val="left"/>
      <w:pPr>
        <w:ind w:left="5040" w:hanging="360"/>
      </w:pPr>
      <w:rPr>
        <w:rFonts w:ascii="Symbol" w:hAnsi="Symbol" w:hint="default"/>
      </w:rPr>
    </w:lvl>
    <w:lvl w:ilvl="7" w:tplc="55DEB874" w:tentative="1">
      <w:start w:val="1"/>
      <w:numFmt w:val="bullet"/>
      <w:lvlText w:val="o"/>
      <w:lvlJc w:val="left"/>
      <w:pPr>
        <w:ind w:left="5760" w:hanging="360"/>
      </w:pPr>
      <w:rPr>
        <w:rFonts w:ascii="Courier New" w:hAnsi="Courier New" w:cs="Courier New" w:hint="default"/>
      </w:rPr>
    </w:lvl>
    <w:lvl w:ilvl="8" w:tplc="AFCE1CBC"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9"/>
  </w:num>
  <w:num w:numId="4">
    <w:abstractNumId w:val="15"/>
  </w:num>
  <w:num w:numId="5">
    <w:abstractNumId w:val="7"/>
  </w:num>
  <w:num w:numId="6">
    <w:abstractNumId w:val="10"/>
  </w:num>
  <w:num w:numId="7">
    <w:abstractNumId w:val="3"/>
  </w:num>
  <w:num w:numId="8">
    <w:abstractNumId w:val="27"/>
  </w:num>
  <w:num w:numId="9">
    <w:abstractNumId w:val="14"/>
  </w:num>
  <w:num w:numId="10">
    <w:abstractNumId w:val="1"/>
  </w:num>
  <w:num w:numId="11">
    <w:abstractNumId w:val="20"/>
  </w:num>
  <w:num w:numId="12">
    <w:abstractNumId w:val="23"/>
  </w:num>
  <w:num w:numId="13">
    <w:abstractNumId w:val="5"/>
  </w:num>
  <w:num w:numId="14">
    <w:abstractNumId w:val="18"/>
  </w:num>
  <w:num w:numId="15">
    <w:abstractNumId w:val="24"/>
  </w:num>
  <w:num w:numId="16">
    <w:abstractNumId w:val="8"/>
  </w:num>
  <w:num w:numId="17">
    <w:abstractNumId w:val="4"/>
  </w:num>
  <w:num w:numId="18">
    <w:abstractNumId w:val="16"/>
  </w:num>
  <w:num w:numId="19">
    <w:abstractNumId w:val="11"/>
  </w:num>
  <w:num w:numId="20">
    <w:abstractNumId w:val="19"/>
  </w:num>
  <w:num w:numId="21">
    <w:abstractNumId w:val="22"/>
  </w:num>
  <w:num w:numId="22">
    <w:abstractNumId w:val="17"/>
  </w:num>
  <w:num w:numId="23">
    <w:abstractNumId w:val="26"/>
  </w:num>
  <w:num w:numId="24">
    <w:abstractNumId w:val="12"/>
  </w:num>
  <w:num w:numId="25">
    <w:abstractNumId w:val="0"/>
  </w:num>
  <w:num w:numId="26">
    <w:abstractNumId w:val="13"/>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DB"/>
    <w:rsid w:val="0002427C"/>
    <w:rsid w:val="00032477"/>
    <w:rsid w:val="00053E5F"/>
    <w:rsid w:val="00054EE5"/>
    <w:rsid w:val="00064D6C"/>
    <w:rsid w:val="000854FB"/>
    <w:rsid w:val="000B48FB"/>
    <w:rsid w:val="000B497E"/>
    <w:rsid w:val="000B7E29"/>
    <w:rsid w:val="000C1139"/>
    <w:rsid w:val="000C3CC7"/>
    <w:rsid w:val="000C6197"/>
    <w:rsid w:val="000C6DE3"/>
    <w:rsid w:val="000C7FB7"/>
    <w:rsid w:val="000D7A3C"/>
    <w:rsid w:val="000E6D27"/>
    <w:rsid w:val="000E77A1"/>
    <w:rsid w:val="00101158"/>
    <w:rsid w:val="00110E53"/>
    <w:rsid w:val="0011424E"/>
    <w:rsid w:val="00115EEF"/>
    <w:rsid w:val="00131517"/>
    <w:rsid w:val="00144778"/>
    <w:rsid w:val="00155546"/>
    <w:rsid w:val="00156DD9"/>
    <w:rsid w:val="00162FB4"/>
    <w:rsid w:val="00164C0E"/>
    <w:rsid w:val="00165739"/>
    <w:rsid w:val="001673DE"/>
    <w:rsid w:val="00173329"/>
    <w:rsid w:val="0017765E"/>
    <w:rsid w:val="00190725"/>
    <w:rsid w:val="00191E00"/>
    <w:rsid w:val="00192F8A"/>
    <w:rsid w:val="00196D71"/>
    <w:rsid w:val="001A445D"/>
    <w:rsid w:val="001A4511"/>
    <w:rsid w:val="001B0B37"/>
    <w:rsid w:val="001C0690"/>
    <w:rsid w:val="001C45D1"/>
    <w:rsid w:val="001C4C5F"/>
    <w:rsid w:val="001D37E6"/>
    <w:rsid w:val="001E32BF"/>
    <w:rsid w:val="001E56B0"/>
    <w:rsid w:val="00211230"/>
    <w:rsid w:val="00215589"/>
    <w:rsid w:val="00217EEC"/>
    <w:rsid w:val="00227F69"/>
    <w:rsid w:val="0023374F"/>
    <w:rsid w:val="00236761"/>
    <w:rsid w:val="00263E98"/>
    <w:rsid w:val="00266D26"/>
    <w:rsid w:val="00272357"/>
    <w:rsid w:val="00286677"/>
    <w:rsid w:val="00286878"/>
    <w:rsid w:val="0029208B"/>
    <w:rsid w:val="002A138F"/>
    <w:rsid w:val="002B6DF3"/>
    <w:rsid w:val="002C585D"/>
    <w:rsid w:val="002E05ED"/>
    <w:rsid w:val="002F05C3"/>
    <w:rsid w:val="002F06E3"/>
    <w:rsid w:val="002F36C5"/>
    <w:rsid w:val="00300FC8"/>
    <w:rsid w:val="00305177"/>
    <w:rsid w:val="00306E8F"/>
    <w:rsid w:val="0031027A"/>
    <w:rsid w:val="00312C64"/>
    <w:rsid w:val="00313B7C"/>
    <w:rsid w:val="00346D38"/>
    <w:rsid w:val="00352753"/>
    <w:rsid w:val="003602D1"/>
    <w:rsid w:val="003841C6"/>
    <w:rsid w:val="0039334C"/>
    <w:rsid w:val="00393DDB"/>
    <w:rsid w:val="00397591"/>
    <w:rsid w:val="003A3D09"/>
    <w:rsid w:val="003B026E"/>
    <w:rsid w:val="003B4789"/>
    <w:rsid w:val="003C4417"/>
    <w:rsid w:val="003D75C0"/>
    <w:rsid w:val="003E476C"/>
    <w:rsid w:val="003E78A5"/>
    <w:rsid w:val="003F69C6"/>
    <w:rsid w:val="003F714E"/>
    <w:rsid w:val="00403167"/>
    <w:rsid w:val="00421AF7"/>
    <w:rsid w:val="004356B4"/>
    <w:rsid w:val="00443395"/>
    <w:rsid w:val="004500FC"/>
    <w:rsid w:val="00497EA8"/>
    <w:rsid w:val="004A11B8"/>
    <w:rsid w:val="004A7076"/>
    <w:rsid w:val="004B1043"/>
    <w:rsid w:val="004B3641"/>
    <w:rsid w:val="004D44EB"/>
    <w:rsid w:val="00504990"/>
    <w:rsid w:val="00506A2D"/>
    <w:rsid w:val="00520B51"/>
    <w:rsid w:val="00525849"/>
    <w:rsid w:val="005472FA"/>
    <w:rsid w:val="00553847"/>
    <w:rsid w:val="00561774"/>
    <w:rsid w:val="00563345"/>
    <w:rsid w:val="005651D3"/>
    <w:rsid w:val="005700E2"/>
    <w:rsid w:val="00570729"/>
    <w:rsid w:val="00584B22"/>
    <w:rsid w:val="005A15D3"/>
    <w:rsid w:val="005A601C"/>
    <w:rsid w:val="005C1A7D"/>
    <w:rsid w:val="005C31B1"/>
    <w:rsid w:val="005D6760"/>
    <w:rsid w:val="005D6C59"/>
    <w:rsid w:val="005E134D"/>
    <w:rsid w:val="005E1B1A"/>
    <w:rsid w:val="005E4B02"/>
    <w:rsid w:val="005F4712"/>
    <w:rsid w:val="00607164"/>
    <w:rsid w:val="00610162"/>
    <w:rsid w:val="00621ACD"/>
    <w:rsid w:val="00624159"/>
    <w:rsid w:val="00627A9E"/>
    <w:rsid w:val="006329C7"/>
    <w:rsid w:val="006450C6"/>
    <w:rsid w:val="00652634"/>
    <w:rsid w:val="00656A97"/>
    <w:rsid w:val="00664A98"/>
    <w:rsid w:val="00670859"/>
    <w:rsid w:val="00675B8E"/>
    <w:rsid w:val="00677716"/>
    <w:rsid w:val="006825D6"/>
    <w:rsid w:val="006826FA"/>
    <w:rsid w:val="00686A7F"/>
    <w:rsid w:val="006B3E8F"/>
    <w:rsid w:val="006B5108"/>
    <w:rsid w:val="006D1BC4"/>
    <w:rsid w:val="006D4D80"/>
    <w:rsid w:val="006F0A94"/>
    <w:rsid w:val="006F24F6"/>
    <w:rsid w:val="00713130"/>
    <w:rsid w:val="007225B6"/>
    <w:rsid w:val="00725652"/>
    <w:rsid w:val="00730706"/>
    <w:rsid w:val="007323B0"/>
    <w:rsid w:val="00736C62"/>
    <w:rsid w:val="00757908"/>
    <w:rsid w:val="00770713"/>
    <w:rsid w:val="007720C8"/>
    <w:rsid w:val="0077261D"/>
    <w:rsid w:val="007765FC"/>
    <w:rsid w:val="00784108"/>
    <w:rsid w:val="0078514B"/>
    <w:rsid w:val="00791CEE"/>
    <w:rsid w:val="007922CB"/>
    <w:rsid w:val="007950F9"/>
    <w:rsid w:val="00796121"/>
    <w:rsid w:val="007B2260"/>
    <w:rsid w:val="007C099E"/>
    <w:rsid w:val="007C0B10"/>
    <w:rsid w:val="007C1871"/>
    <w:rsid w:val="007C644E"/>
    <w:rsid w:val="007D2658"/>
    <w:rsid w:val="007D2BF7"/>
    <w:rsid w:val="007D788C"/>
    <w:rsid w:val="007E14F9"/>
    <w:rsid w:val="007F3405"/>
    <w:rsid w:val="00831687"/>
    <w:rsid w:val="00831E47"/>
    <w:rsid w:val="008376EB"/>
    <w:rsid w:val="008379DC"/>
    <w:rsid w:val="00844F28"/>
    <w:rsid w:val="00846642"/>
    <w:rsid w:val="00860485"/>
    <w:rsid w:val="00870F74"/>
    <w:rsid w:val="00880897"/>
    <w:rsid w:val="008859CA"/>
    <w:rsid w:val="00890FE4"/>
    <w:rsid w:val="00891EDB"/>
    <w:rsid w:val="00895164"/>
    <w:rsid w:val="008A3DAA"/>
    <w:rsid w:val="008A60CF"/>
    <w:rsid w:val="008A7C1F"/>
    <w:rsid w:val="008B6721"/>
    <w:rsid w:val="008C14AF"/>
    <w:rsid w:val="008E11C3"/>
    <w:rsid w:val="008E5A48"/>
    <w:rsid w:val="008F376F"/>
    <w:rsid w:val="0090171D"/>
    <w:rsid w:val="009073E4"/>
    <w:rsid w:val="00926413"/>
    <w:rsid w:val="009322AB"/>
    <w:rsid w:val="0093316E"/>
    <w:rsid w:val="00943E93"/>
    <w:rsid w:val="00955A9E"/>
    <w:rsid w:val="009566F9"/>
    <w:rsid w:val="009578DF"/>
    <w:rsid w:val="00964917"/>
    <w:rsid w:val="00964BDA"/>
    <w:rsid w:val="00973A99"/>
    <w:rsid w:val="00995C79"/>
    <w:rsid w:val="009A633B"/>
    <w:rsid w:val="009A71F1"/>
    <w:rsid w:val="009B113F"/>
    <w:rsid w:val="009C44B0"/>
    <w:rsid w:val="009D344D"/>
    <w:rsid w:val="009D3901"/>
    <w:rsid w:val="009E2571"/>
    <w:rsid w:val="009F0C1B"/>
    <w:rsid w:val="009F19E6"/>
    <w:rsid w:val="009F40AD"/>
    <w:rsid w:val="00A06BD1"/>
    <w:rsid w:val="00A16154"/>
    <w:rsid w:val="00A20C10"/>
    <w:rsid w:val="00A229AC"/>
    <w:rsid w:val="00A24F62"/>
    <w:rsid w:val="00A3229D"/>
    <w:rsid w:val="00A343AE"/>
    <w:rsid w:val="00A34605"/>
    <w:rsid w:val="00A379BE"/>
    <w:rsid w:val="00A4530D"/>
    <w:rsid w:val="00A660F0"/>
    <w:rsid w:val="00A702DB"/>
    <w:rsid w:val="00A76E58"/>
    <w:rsid w:val="00A9268D"/>
    <w:rsid w:val="00A9622B"/>
    <w:rsid w:val="00AB01E4"/>
    <w:rsid w:val="00AC006D"/>
    <w:rsid w:val="00AC3F93"/>
    <w:rsid w:val="00AD20F6"/>
    <w:rsid w:val="00AD2BB9"/>
    <w:rsid w:val="00AE7A64"/>
    <w:rsid w:val="00B227C9"/>
    <w:rsid w:val="00B2286A"/>
    <w:rsid w:val="00B35C14"/>
    <w:rsid w:val="00B35C52"/>
    <w:rsid w:val="00B36E4E"/>
    <w:rsid w:val="00B53AE4"/>
    <w:rsid w:val="00B5430B"/>
    <w:rsid w:val="00B64F63"/>
    <w:rsid w:val="00B671E2"/>
    <w:rsid w:val="00B8583C"/>
    <w:rsid w:val="00B93284"/>
    <w:rsid w:val="00B95239"/>
    <w:rsid w:val="00B95AC4"/>
    <w:rsid w:val="00BB3965"/>
    <w:rsid w:val="00BB74C0"/>
    <w:rsid w:val="00BC05CB"/>
    <w:rsid w:val="00BC66E0"/>
    <w:rsid w:val="00BD6203"/>
    <w:rsid w:val="00BE07FA"/>
    <w:rsid w:val="00BE3971"/>
    <w:rsid w:val="00BE44A0"/>
    <w:rsid w:val="00BE61C5"/>
    <w:rsid w:val="00BF34F6"/>
    <w:rsid w:val="00BF76AB"/>
    <w:rsid w:val="00C00B6F"/>
    <w:rsid w:val="00C178CF"/>
    <w:rsid w:val="00C4545C"/>
    <w:rsid w:val="00C53E74"/>
    <w:rsid w:val="00C62BEF"/>
    <w:rsid w:val="00C6393E"/>
    <w:rsid w:val="00C806E1"/>
    <w:rsid w:val="00C94B2A"/>
    <w:rsid w:val="00CB548E"/>
    <w:rsid w:val="00CB6E29"/>
    <w:rsid w:val="00CE4183"/>
    <w:rsid w:val="00CE6FEC"/>
    <w:rsid w:val="00CF1647"/>
    <w:rsid w:val="00CF4742"/>
    <w:rsid w:val="00CF58E7"/>
    <w:rsid w:val="00D10F4A"/>
    <w:rsid w:val="00D11A07"/>
    <w:rsid w:val="00D138E5"/>
    <w:rsid w:val="00D337BC"/>
    <w:rsid w:val="00D47CDC"/>
    <w:rsid w:val="00D62FE8"/>
    <w:rsid w:val="00D63525"/>
    <w:rsid w:val="00D677E0"/>
    <w:rsid w:val="00D778FD"/>
    <w:rsid w:val="00D86736"/>
    <w:rsid w:val="00DA006B"/>
    <w:rsid w:val="00DA3445"/>
    <w:rsid w:val="00DC7BB1"/>
    <w:rsid w:val="00DD1B74"/>
    <w:rsid w:val="00DE3C9E"/>
    <w:rsid w:val="00DE5F3D"/>
    <w:rsid w:val="00DF0568"/>
    <w:rsid w:val="00DF7233"/>
    <w:rsid w:val="00E15362"/>
    <w:rsid w:val="00E16FAF"/>
    <w:rsid w:val="00E26B12"/>
    <w:rsid w:val="00E32D07"/>
    <w:rsid w:val="00E5449A"/>
    <w:rsid w:val="00E574E9"/>
    <w:rsid w:val="00E60425"/>
    <w:rsid w:val="00E61691"/>
    <w:rsid w:val="00E973D5"/>
    <w:rsid w:val="00EA1424"/>
    <w:rsid w:val="00EA7BD1"/>
    <w:rsid w:val="00EB4966"/>
    <w:rsid w:val="00ED7321"/>
    <w:rsid w:val="00ED7361"/>
    <w:rsid w:val="00EE1BD4"/>
    <w:rsid w:val="00EF6745"/>
    <w:rsid w:val="00F03690"/>
    <w:rsid w:val="00F12A91"/>
    <w:rsid w:val="00F1386D"/>
    <w:rsid w:val="00F14F9D"/>
    <w:rsid w:val="00F3106C"/>
    <w:rsid w:val="00F54301"/>
    <w:rsid w:val="00F82943"/>
    <w:rsid w:val="00F87EC0"/>
    <w:rsid w:val="00F9549A"/>
    <w:rsid w:val="00FA6C67"/>
    <w:rsid w:val="00FC0708"/>
    <w:rsid w:val="00FC2838"/>
    <w:rsid w:val="00FC2EC8"/>
    <w:rsid w:val="00FD090D"/>
    <w:rsid w:val="00FD2EBA"/>
    <w:rsid w:val="00FD7FFD"/>
    <w:rsid w:val="00FE308F"/>
    <w:rsid w:val="00FE38AD"/>
    <w:rsid w:val="00FE6F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39D26"/>
  <w15:chartTrackingRefBased/>
  <w15:docId w15:val="{32AD2660-3162-44E1-ADAD-E6073CE0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9">
    <w:name w:val="heading 9"/>
    <w:basedOn w:val="Normln"/>
    <w:next w:val="Normln"/>
    <w:link w:val="Nadpis9Char"/>
    <w:qFormat/>
    <w:rsid w:val="00393DDB"/>
    <w:pPr>
      <w:spacing w:before="240" w:after="60" w:line="240" w:lineRule="auto"/>
      <w:outlineLvl w:val="8"/>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9Char">
    <w:name w:val="Nadpis 9 Char"/>
    <w:basedOn w:val="Standardnpsmoodstavce"/>
    <w:link w:val="Nadpis9"/>
    <w:rsid w:val="00393DDB"/>
    <w:rPr>
      <w:rFonts w:ascii="Cambria" w:eastAsia="Times New Roman" w:hAnsi="Cambria" w:cs="Times New Roman"/>
      <w:lang w:eastAsia="cs-CZ"/>
    </w:rPr>
  </w:style>
  <w:style w:type="paragraph" w:styleId="Textpoznpodarou">
    <w:name w:val="footnote text"/>
    <w:basedOn w:val="Normln"/>
    <w:link w:val="TextpoznpodarouChar"/>
    <w:uiPriority w:val="99"/>
    <w:unhideWhenUsed/>
    <w:rsid w:val="00393DDB"/>
    <w:pPr>
      <w:spacing w:after="0" w:line="240" w:lineRule="auto"/>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rsid w:val="00393DDB"/>
    <w:rPr>
      <w:rFonts w:ascii="Arial" w:eastAsia="Times New Roman" w:hAnsi="Arial" w:cs="Times New Roman"/>
      <w:sz w:val="20"/>
      <w:szCs w:val="20"/>
      <w:lang w:eastAsia="cs-CZ"/>
    </w:rPr>
  </w:style>
  <w:style w:type="character" w:styleId="Znakapoznpodarou">
    <w:name w:val="footnote reference"/>
    <w:aliases w:val="Footnote,Footnote call"/>
    <w:basedOn w:val="Standardnpsmoodstavce"/>
    <w:uiPriority w:val="99"/>
    <w:semiHidden/>
    <w:unhideWhenUsed/>
    <w:rsid w:val="00393DDB"/>
    <w:rPr>
      <w:vertAlign w:val="superscript"/>
    </w:rPr>
  </w:style>
  <w:style w:type="paragraph" w:styleId="Bezmezer">
    <w:name w:val="No Spacing"/>
    <w:uiPriority w:val="1"/>
    <w:qFormat/>
    <w:rsid w:val="00393DDB"/>
    <w:pPr>
      <w:spacing w:after="0" w:line="240" w:lineRule="auto"/>
    </w:pPr>
  </w:style>
  <w:style w:type="paragraph" w:styleId="Zkladntextodsazen">
    <w:name w:val="Body Text Indent"/>
    <w:basedOn w:val="Normln"/>
    <w:link w:val="ZkladntextodsazenChar"/>
    <w:uiPriority w:val="99"/>
    <w:unhideWhenUsed/>
    <w:rsid w:val="00393DDB"/>
    <w:pPr>
      <w:spacing w:after="120" w:line="240" w:lineRule="auto"/>
      <w:ind w:left="283"/>
    </w:pPr>
    <w:rPr>
      <w:rFonts w:ascii="Arial" w:eastAsia="Times New Roman" w:hAnsi="Arial" w:cs="Times New Roman"/>
      <w:sz w:val="24"/>
      <w:szCs w:val="24"/>
      <w:lang w:eastAsia="cs-CZ"/>
    </w:rPr>
  </w:style>
  <w:style w:type="character" w:customStyle="1" w:styleId="ZkladntextodsazenChar">
    <w:name w:val="Základní text odsazený Char"/>
    <w:basedOn w:val="Standardnpsmoodstavce"/>
    <w:link w:val="Zkladntextodsazen"/>
    <w:uiPriority w:val="99"/>
    <w:rsid w:val="00393DDB"/>
    <w:rPr>
      <w:rFonts w:ascii="Arial" w:eastAsia="Times New Roman" w:hAnsi="Arial" w:cs="Times New Roman"/>
      <w:sz w:val="24"/>
      <w:szCs w:val="24"/>
      <w:lang w:eastAsia="cs-CZ"/>
    </w:rPr>
  </w:style>
  <w:style w:type="paragraph" w:customStyle="1" w:styleId="Zkladn">
    <w:name w:val="Základní"/>
    <w:basedOn w:val="Normln"/>
    <w:rsid w:val="00393DDB"/>
    <w:pPr>
      <w:spacing w:before="120" w:after="0" w:line="240" w:lineRule="auto"/>
      <w:jc w:val="both"/>
    </w:pPr>
    <w:rPr>
      <w:rFonts w:ascii="Arial" w:eastAsia="Times New Roman" w:hAnsi="Arial" w:cs="Times New Roman"/>
      <w:sz w:val="24"/>
      <w:szCs w:val="24"/>
    </w:rPr>
  </w:style>
  <w:style w:type="paragraph" w:styleId="Odstavecseseznamem">
    <w:name w:val="List Paragraph"/>
    <w:aliases w:val="List Paragraph_0,Nadpis pro KZ,odrážky"/>
    <w:basedOn w:val="Normln"/>
    <w:link w:val="OdstavecseseznamemChar"/>
    <w:uiPriority w:val="34"/>
    <w:qFormat/>
    <w:rsid w:val="00393DDB"/>
    <w:pPr>
      <w:spacing w:after="0" w:line="240" w:lineRule="auto"/>
      <w:ind w:left="708"/>
    </w:pPr>
    <w:rPr>
      <w:rFonts w:ascii="Arial" w:eastAsia="Times New Roman" w:hAnsi="Arial" w:cs="Times New Roman"/>
      <w:sz w:val="24"/>
      <w:szCs w:val="24"/>
      <w:lang w:eastAsia="cs-CZ"/>
    </w:rPr>
  </w:style>
  <w:style w:type="character" w:customStyle="1" w:styleId="OdstavecseseznamemChar">
    <w:name w:val="Odstavec se seznamem Char"/>
    <w:aliases w:val="List Paragraph_0 Char,Nadpis pro KZ Char,odrážky Char"/>
    <w:link w:val="Odstavecseseznamem"/>
    <w:uiPriority w:val="34"/>
    <w:locked/>
    <w:rsid w:val="00393DDB"/>
    <w:rPr>
      <w:rFonts w:ascii="Arial" w:eastAsia="Times New Roman" w:hAnsi="Arial" w:cs="Times New Roman"/>
      <w:sz w:val="24"/>
      <w:szCs w:val="24"/>
      <w:lang w:eastAsia="cs-CZ"/>
    </w:rPr>
  </w:style>
  <w:style w:type="paragraph" w:styleId="Textkomente">
    <w:name w:val="annotation text"/>
    <w:basedOn w:val="Normln"/>
    <w:link w:val="TextkomenteChar"/>
    <w:uiPriority w:val="99"/>
    <w:unhideWhenUsed/>
    <w:rsid w:val="00393DDB"/>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uiPriority w:val="99"/>
    <w:rsid w:val="00393DDB"/>
    <w:rPr>
      <w:rFonts w:ascii="Times New Roman" w:eastAsia="Times New Roman" w:hAnsi="Times New Roman" w:cs="Times New Roman"/>
      <w:sz w:val="20"/>
      <w:szCs w:val="20"/>
    </w:rPr>
  </w:style>
  <w:style w:type="table" w:styleId="Mkatabulky">
    <w:name w:val="Table Grid"/>
    <w:basedOn w:val="Normlntabulka"/>
    <w:uiPriority w:val="39"/>
    <w:rsid w:val="0039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93DD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3DDB"/>
  </w:style>
  <w:style w:type="paragraph" w:styleId="Zpat">
    <w:name w:val="footer"/>
    <w:basedOn w:val="Normln"/>
    <w:link w:val="ZpatChar"/>
    <w:uiPriority w:val="99"/>
    <w:unhideWhenUsed/>
    <w:rsid w:val="00393DDB"/>
    <w:pPr>
      <w:tabs>
        <w:tab w:val="center" w:pos="4536"/>
        <w:tab w:val="right" w:pos="9072"/>
      </w:tabs>
      <w:spacing w:after="0" w:line="240" w:lineRule="auto"/>
    </w:pPr>
  </w:style>
  <w:style w:type="character" w:customStyle="1" w:styleId="ZpatChar">
    <w:name w:val="Zápatí Char"/>
    <w:basedOn w:val="Standardnpsmoodstavce"/>
    <w:link w:val="Zpat"/>
    <w:uiPriority w:val="99"/>
    <w:rsid w:val="00393DDB"/>
  </w:style>
  <w:style w:type="paragraph" w:customStyle="1" w:styleId="Default">
    <w:name w:val="Default"/>
    <w:rsid w:val="00393D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bublinyChar">
    <w:name w:val="Text bubliny Char"/>
    <w:basedOn w:val="Standardnpsmoodstavce"/>
    <w:link w:val="Textbubliny"/>
    <w:uiPriority w:val="99"/>
    <w:semiHidden/>
    <w:rsid w:val="00393DDB"/>
    <w:rPr>
      <w:rFonts w:ascii="Segoe UI" w:hAnsi="Segoe UI" w:cs="Segoe UI"/>
      <w:sz w:val="18"/>
      <w:szCs w:val="18"/>
    </w:rPr>
  </w:style>
  <w:style w:type="paragraph" w:styleId="Textbubliny">
    <w:name w:val="Balloon Text"/>
    <w:basedOn w:val="Normln"/>
    <w:link w:val="TextbublinyChar"/>
    <w:uiPriority w:val="99"/>
    <w:semiHidden/>
    <w:unhideWhenUsed/>
    <w:rsid w:val="00393DDB"/>
    <w:pPr>
      <w:spacing w:after="0" w:line="240" w:lineRule="auto"/>
    </w:pPr>
    <w:rPr>
      <w:rFonts w:ascii="Segoe UI" w:hAnsi="Segoe UI" w:cs="Segoe UI"/>
      <w:sz w:val="18"/>
      <w:szCs w:val="18"/>
    </w:rPr>
  </w:style>
  <w:style w:type="character" w:customStyle="1" w:styleId="TextbublinyChar1">
    <w:name w:val="Text bubliny Char1"/>
    <w:basedOn w:val="Standardnpsmoodstavce"/>
    <w:uiPriority w:val="99"/>
    <w:semiHidden/>
    <w:rsid w:val="00393DDB"/>
    <w:rPr>
      <w:rFonts w:ascii="Segoe UI" w:hAnsi="Segoe UI" w:cs="Segoe UI"/>
      <w:sz w:val="18"/>
      <w:szCs w:val="18"/>
    </w:rPr>
  </w:style>
  <w:style w:type="character" w:styleId="Hypertextovodkaz">
    <w:name w:val="Hyperlink"/>
    <w:basedOn w:val="Standardnpsmoodstavce"/>
    <w:semiHidden/>
    <w:rsid w:val="00393DDB"/>
    <w:rPr>
      <w:color w:val="0000FF"/>
      <w:u w:val="single"/>
    </w:rPr>
  </w:style>
  <w:style w:type="character" w:styleId="Sledovanodkaz">
    <w:name w:val="FollowedHyperlink"/>
    <w:basedOn w:val="Standardnpsmoodstavce"/>
    <w:uiPriority w:val="99"/>
    <w:semiHidden/>
    <w:unhideWhenUsed/>
    <w:rsid w:val="00393DDB"/>
    <w:rPr>
      <w:color w:val="954F72" w:themeColor="followedHyperlink"/>
      <w:u w:val="single"/>
    </w:rPr>
  </w:style>
  <w:style w:type="character" w:styleId="Odkaznakoment">
    <w:name w:val="annotation reference"/>
    <w:basedOn w:val="Standardnpsmoodstavce"/>
    <w:uiPriority w:val="99"/>
    <w:semiHidden/>
    <w:unhideWhenUsed/>
    <w:rsid w:val="00313B7C"/>
    <w:rPr>
      <w:sz w:val="16"/>
      <w:szCs w:val="16"/>
    </w:rPr>
  </w:style>
  <w:style w:type="paragraph" w:styleId="Pedmtkomente">
    <w:name w:val="annotation subject"/>
    <w:basedOn w:val="Textkomente"/>
    <w:next w:val="Textkomente"/>
    <w:link w:val="PedmtkomenteChar"/>
    <w:uiPriority w:val="99"/>
    <w:semiHidden/>
    <w:unhideWhenUsed/>
    <w:rsid w:val="007950F9"/>
    <w:pPr>
      <w:spacing w:after="160"/>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7950F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hdphoto" Target="media/hdphoto1.wdp"/><Relationship Id="rId26" Type="http://schemas.openxmlformats.org/officeDocument/2006/relationships/hyperlink" Target="http://data.nku.cz/download/vystupy-z-kontrol/ka-17-09/databaze-udaju-mosty.xlsx"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hdphoto" Target="media/hdphoto2.wdp"/><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nku.gov.sk/documents/10157/b4b3b0ec-5056-40ed-9316-0c8b95aaf5f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gendy\Pr&#225;ce\Kontroln&#237;%20akce\KA%2017%2009\Kontroln&#237;%20z&#225;v&#283;r\Pen&#283;&#382;n&#237;%20prost&#345;edky%20souhrnn&#233;%20za%20kraje%20do%20silnic%202%20a%203%20t&#345;&#237;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Agendy\Pr&#225;ce\Kontroln&#237;%20akce\KA%2017%2009\Kontroln&#237;%20z&#225;v&#283;r\Pen&#283;&#382;n&#237;%20prost&#345;edky%20souhrnn&#233;%20za%20kraje%20do%20silnic%202%20a%203%20t&#345;&#237;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Agendy\Pr&#225;ce\Kontroln&#237;%20akce\KA%2017%2009\Kontroln&#237;%20z&#225;v&#283;r\Pen&#283;&#382;n&#237;%20prost&#345;edky%20souhrnn&#233;%20za%20kraje%20do%20silnic%202%20a%203%20t&#345;&#237;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Agendy\Pr&#225;ce\Kontroln&#237;%20akce\KA%2017%2009\Kontroln&#237;%20z&#225;v&#283;r\Pen&#283;&#382;n&#237;%20prost&#345;edky%20souhrnn&#233;%20za%20kraje%20do%20silnic%202%20a%203%20t&#345;&#237;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Agendy\Pr&#225;ce\Kontroln&#237;%20akce\KA%2017%2009\Kontroln&#237;%20z&#225;v&#283;r\Pen&#283;&#382;n&#237;%20prost&#345;edky%20souhrnn&#233;%20za%20kraje%20do%20silnic%202%20a%203%20t&#345;&#237;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gendy\Pr&#225;ce\Kontroln&#237;%20akce\KA%2017%2009\Kontroln&#237;%20z&#225;v&#283;r\Pen&#283;&#382;n&#237;%20prost&#345;edky%20souhrnn&#233;%20za%20kraje%20do%20silnic%202%20a%203%20t&#345;&#237;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66455267752159E-2"/>
          <c:y val="9.6436058700209645E-2"/>
          <c:w val="0.85718512844265493"/>
          <c:h val="0.71038412651248783"/>
        </c:manualLayout>
      </c:layout>
      <c:barChart>
        <c:barDir val="col"/>
        <c:grouping val="stacked"/>
        <c:varyColors val="0"/>
        <c:ser>
          <c:idx val="0"/>
          <c:order val="0"/>
          <c:tx>
            <c:strRef>
              <c:f>'D:\Agendy\Práce\Kontrolní akce\KA 17 09\Kontrolní závěr\KP ve Wordu\LK finance\[Peněžní prostředky Liberecký kraj do silnic II a III tříd.xlsx]Údaje pro KZ'!$M$18</c:f>
              <c:strCache>
                <c:ptCount val="1"/>
                <c:pt idx="0">
                  <c:v>Prostředky kraje celkem</c:v>
                </c:pt>
              </c:strCache>
            </c:strRef>
          </c:tx>
          <c:spPr>
            <a:solidFill>
              <a:srgbClr val="004595"/>
            </a:solidFill>
            <a:ln>
              <a:noFill/>
            </a:ln>
            <a:effectLst/>
          </c:spPr>
          <c:invertIfNegative val="0"/>
          <c:cat>
            <c:numRef>
              <c:f>'[3]Údaje pro KZ'!$L$19:$L$23</c:f>
              <c:numCache>
                <c:formatCode>General</c:formatCode>
                <c:ptCount val="5"/>
                <c:pt idx="0">
                  <c:v>2012</c:v>
                </c:pt>
                <c:pt idx="1">
                  <c:v>2013</c:v>
                </c:pt>
                <c:pt idx="2">
                  <c:v>2014</c:v>
                </c:pt>
                <c:pt idx="3">
                  <c:v>2015</c:v>
                </c:pt>
                <c:pt idx="4">
                  <c:v>2016</c:v>
                </c:pt>
              </c:numCache>
            </c:numRef>
          </c:cat>
          <c:val>
            <c:numRef>
              <c:f>'[3]Údaje pro KZ'!$M$19:$M$23</c:f>
              <c:numCache>
                <c:formatCode>General</c:formatCode>
                <c:ptCount val="5"/>
                <c:pt idx="0">
                  <c:v>249.94300000000001</c:v>
                </c:pt>
                <c:pt idx="1">
                  <c:v>310.45699999999999</c:v>
                </c:pt>
                <c:pt idx="2">
                  <c:v>327.37800000000004</c:v>
                </c:pt>
                <c:pt idx="3">
                  <c:v>195.89200000000002</c:v>
                </c:pt>
                <c:pt idx="4">
                  <c:v>275.80899999999997</c:v>
                </c:pt>
              </c:numCache>
            </c:numRef>
          </c:val>
          <c:extLst>
            <c:ext xmlns:c16="http://schemas.microsoft.com/office/drawing/2014/chart" uri="{C3380CC4-5D6E-409C-BE32-E72D297353CC}">
              <c16:uniqueId val="{00000000-0394-4C26-ACFF-D97E6182349D}"/>
            </c:ext>
          </c:extLst>
        </c:ser>
        <c:ser>
          <c:idx val="1"/>
          <c:order val="1"/>
          <c:tx>
            <c:strRef>
              <c:f>'D:\Agendy\Práce\Kontrolní akce\KA 17 09\Kontrolní závěr\KP ve Wordu\LK finance\[Peněžní prostředky Liberecký kraj do silnic II a III tříd.xlsx]Údaje pro KZ'!$N$18</c:f>
              <c:strCache>
                <c:ptCount val="1"/>
                <c:pt idx="0">
                  <c:v>Poskytnutá dotace EU</c:v>
                </c:pt>
              </c:strCache>
            </c:strRef>
          </c:tx>
          <c:spPr>
            <a:solidFill>
              <a:srgbClr val="BD2A33"/>
            </a:solidFill>
            <a:ln>
              <a:noFill/>
            </a:ln>
            <a:effectLst/>
          </c:spPr>
          <c:invertIfNegative val="0"/>
          <c:cat>
            <c:numRef>
              <c:f>'[3]Údaje pro KZ'!$L$19:$L$23</c:f>
              <c:numCache>
                <c:formatCode>General</c:formatCode>
                <c:ptCount val="5"/>
                <c:pt idx="0">
                  <c:v>2012</c:v>
                </c:pt>
                <c:pt idx="1">
                  <c:v>2013</c:v>
                </c:pt>
                <c:pt idx="2">
                  <c:v>2014</c:v>
                </c:pt>
                <c:pt idx="3">
                  <c:v>2015</c:v>
                </c:pt>
                <c:pt idx="4">
                  <c:v>2016</c:v>
                </c:pt>
              </c:numCache>
            </c:numRef>
          </c:cat>
          <c:val>
            <c:numRef>
              <c:f>'[3]Údaje pro KZ'!$N$19:$N$23</c:f>
              <c:numCache>
                <c:formatCode>General</c:formatCode>
                <c:ptCount val="5"/>
                <c:pt idx="0">
                  <c:v>212.28700000000001</c:v>
                </c:pt>
                <c:pt idx="1">
                  <c:v>307.10700000000003</c:v>
                </c:pt>
                <c:pt idx="2">
                  <c:v>224.28700000000001</c:v>
                </c:pt>
                <c:pt idx="3">
                  <c:v>704.76700000000005</c:v>
                </c:pt>
                <c:pt idx="4">
                  <c:v>0</c:v>
                </c:pt>
              </c:numCache>
            </c:numRef>
          </c:val>
          <c:extLst>
            <c:ext xmlns:c16="http://schemas.microsoft.com/office/drawing/2014/chart" uri="{C3380CC4-5D6E-409C-BE32-E72D297353CC}">
              <c16:uniqueId val="{00000001-0394-4C26-ACFF-D97E6182349D}"/>
            </c:ext>
          </c:extLst>
        </c:ser>
        <c:ser>
          <c:idx val="2"/>
          <c:order val="2"/>
          <c:tx>
            <c:strRef>
              <c:f>'D:\Agendy\Práce\Kontrolní akce\KA 17 09\Kontrolní závěr\KP ve Wordu\LK finance\[Peněžní prostředky Liberecký kraj do silnic II a III tříd.xlsx]Údaje pro KZ'!$O$18</c:f>
              <c:strCache>
                <c:ptCount val="1"/>
                <c:pt idx="0">
                  <c:v>SFDI dotace</c:v>
                </c:pt>
              </c:strCache>
            </c:strRef>
          </c:tx>
          <c:spPr>
            <a:solidFill>
              <a:schemeClr val="accent3"/>
            </a:solidFill>
            <a:ln>
              <a:noFill/>
            </a:ln>
            <a:effectLst/>
          </c:spPr>
          <c:invertIfNegative val="0"/>
          <c:cat>
            <c:numRef>
              <c:f>'[3]Údaje pro KZ'!$L$19:$L$23</c:f>
              <c:numCache>
                <c:formatCode>General</c:formatCode>
                <c:ptCount val="5"/>
                <c:pt idx="0">
                  <c:v>2012</c:v>
                </c:pt>
                <c:pt idx="1">
                  <c:v>2013</c:v>
                </c:pt>
                <c:pt idx="2">
                  <c:v>2014</c:v>
                </c:pt>
                <c:pt idx="3">
                  <c:v>2015</c:v>
                </c:pt>
                <c:pt idx="4">
                  <c:v>2016</c:v>
                </c:pt>
              </c:numCache>
            </c:numRef>
          </c:cat>
          <c:val>
            <c:numRef>
              <c:f>'[3]Údaje pro KZ'!$O$19:$O$23</c:f>
              <c:numCache>
                <c:formatCode>General</c:formatCode>
                <c:ptCount val="5"/>
                <c:pt idx="0">
                  <c:v>0</c:v>
                </c:pt>
                <c:pt idx="1">
                  <c:v>36.369999999999997</c:v>
                </c:pt>
                <c:pt idx="2">
                  <c:v>135.982</c:v>
                </c:pt>
                <c:pt idx="3">
                  <c:v>197.99600000000001</c:v>
                </c:pt>
                <c:pt idx="4">
                  <c:v>128.76400000000001</c:v>
                </c:pt>
              </c:numCache>
            </c:numRef>
          </c:val>
          <c:extLst>
            <c:ext xmlns:c16="http://schemas.microsoft.com/office/drawing/2014/chart" uri="{C3380CC4-5D6E-409C-BE32-E72D297353CC}">
              <c16:uniqueId val="{00000002-0394-4C26-ACFF-D97E6182349D}"/>
            </c:ext>
          </c:extLst>
        </c:ser>
        <c:dLbls>
          <c:showLegendKey val="0"/>
          <c:showVal val="0"/>
          <c:showCatName val="0"/>
          <c:showSerName val="0"/>
          <c:showPercent val="0"/>
          <c:showBubbleSize val="0"/>
        </c:dLbls>
        <c:gapWidth val="150"/>
        <c:overlap val="100"/>
        <c:axId val="213168608"/>
        <c:axId val="213169000"/>
      </c:barChart>
      <c:catAx>
        <c:axId val="2131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13169000"/>
        <c:crosses val="autoZero"/>
        <c:auto val="1"/>
        <c:lblAlgn val="ctr"/>
        <c:lblOffset val="100"/>
        <c:noMultiLvlLbl val="0"/>
      </c:catAx>
      <c:valAx>
        <c:axId val="21316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1316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08646233270428E-2"/>
          <c:y val="6.8840579710144928E-2"/>
          <c:w val="0.87190264853256982"/>
          <c:h val="0.76422686294647957"/>
        </c:manualLayout>
      </c:layout>
      <c:barChart>
        <c:barDir val="col"/>
        <c:grouping val="stacked"/>
        <c:varyColors val="0"/>
        <c:ser>
          <c:idx val="0"/>
          <c:order val="0"/>
          <c:tx>
            <c:strRef>
              <c:f>MSK!$C$4</c:f>
              <c:strCache>
                <c:ptCount val="1"/>
                <c:pt idx="0">
                  <c:v>Prostředky kraje celkem</c:v>
                </c:pt>
              </c:strCache>
            </c:strRef>
          </c:tx>
          <c:spPr>
            <a:solidFill>
              <a:srgbClr val="004595"/>
            </a:solidFill>
            <a:ln>
              <a:noFill/>
            </a:ln>
            <a:effectLst/>
          </c:spPr>
          <c:invertIfNegative val="0"/>
          <c:cat>
            <c:numRef>
              <c:f>MSK!$B$5:$B$9</c:f>
              <c:numCache>
                <c:formatCode>General</c:formatCode>
                <c:ptCount val="5"/>
                <c:pt idx="0">
                  <c:v>2012</c:v>
                </c:pt>
                <c:pt idx="1">
                  <c:v>2013</c:v>
                </c:pt>
                <c:pt idx="2">
                  <c:v>2014</c:v>
                </c:pt>
                <c:pt idx="3">
                  <c:v>2015</c:v>
                </c:pt>
                <c:pt idx="4">
                  <c:v>2016</c:v>
                </c:pt>
              </c:numCache>
            </c:numRef>
          </c:cat>
          <c:val>
            <c:numRef>
              <c:f>MSK!$C$5:$C$9</c:f>
              <c:numCache>
                <c:formatCode>#,##0.000</c:formatCode>
                <c:ptCount val="5"/>
                <c:pt idx="0">
                  <c:v>314.791</c:v>
                </c:pt>
                <c:pt idx="1">
                  <c:v>284.87700000000001</c:v>
                </c:pt>
                <c:pt idx="2">
                  <c:v>149.376</c:v>
                </c:pt>
                <c:pt idx="3">
                  <c:v>199.79499999999999</c:v>
                </c:pt>
                <c:pt idx="4">
                  <c:v>287.81400000000002</c:v>
                </c:pt>
              </c:numCache>
            </c:numRef>
          </c:val>
          <c:extLst>
            <c:ext xmlns:c16="http://schemas.microsoft.com/office/drawing/2014/chart" uri="{C3380CC4-5D6E-409C-BE32-E72D297353CC}">
              <c16:uniqueId val="{00000000-2085-4C3E-90F1-AE208CA04E84}"/>
            </c:ext>
          </c:extLst>
        </c:ser>
        <c:ser>
          <c:idx val="1"/>
          <c:order val="1"/>
          <c:tx>
            <c:strRef>
              <c:f>MSK!$D$4</c:f>
              <c:strCache>
                <c:ptCount val="1"/>
                <c:pt idx="0">
                  <c:v>Poskytnutá dotace EU</c:v>
                </c:pt>
              </c:strCache>
            </c:strRef>
          </c:tx>
          <c:spPr>
            <a:solidFill>
              <a:srgbClr val="BD2A33"/>
            </a:solidFill>
            <a:ln>
              <a:noFill/>
            </a:ln>
            <a:effectLst/>
          </c:spPr>
          <c:invertIfNegative val="0"/>
          <c:cat>
            <c:numRef>
              <c:f>MSK!$B$5:$B$9</c:f>
              <c:numCache>
                <c:formatCode>General</c:formatCode>
                <c:ptCount val="5"/>
                <c:pt idx="0">
                  <c:v>2012</c:v>
                </c:pt>
                <c:pt idx="1">
                  <c:v>2013</c:v>
                </c:pt>
                <c:pt idx="2">
                  <c:v>2014</c:v>
                </c:pt>
                <c:pt idx="3">
                  <c:v>2015</c:v>
                </c:pt>
                <c:pt idx="4">
                  <c:v>2016</c:v>
                </c:pt>
              </c:numCache>
            </c:numRef>
          </c:cat>
          <c:val>
            <c:numRef>
              <c:f>MSK!$D$5:$D$9</c:f>
              <c:numCache>
                <c:formatCode>#,##0.000</c:formatCode>
                <c:ptCount val="5"/>
                <c:pt idx="0">
                  <c:v>767.29700000000003</c:v>
                </c:pt>
                <c:pt idx="1">
                  <c:v>602.52700000000004</c:v>
                </c:pt>
                <c:pt idx="2">
                  <c:v>831.49800000000005</c:v>
                </c:pt>
                <c:pt idx="3">
                  <c:v>970.45399999999995</c:v>
                </c:pt>
                <c:pt idx="4">
                  <c:v>0.1</c:v>
                </c:pt>
              </c:numCache>
            </c:numRef>
          </c:val>
          <c:extLst>
            <c:ext xmlns:c16="http://schemas.microsoft.com/office/drawing/2014/chart" uri="{C3380CC4-5D6E-409C-BE32-E72D297353CC}">
              <c16:uniqueId val="{00000001-2085-4C3E-90F1-AE208CA04E84}"/>
            </c:ext>
          </c:extLst>
        </c:ser>
        <c:ser>
          <c:idx val="2"/>
          <c:order val="2"/>
          <c:tx>
            <c:strRef>
              <c:f>MSK!$E$4</c:f>
              <c:strCache>
                <c:ptCount val="1"/>
                <c:pt idx="0">
                  <c:v>SFDI dotace</c:v>
                </c:pt>
              </c:strCache>
            </c:strRef>
          </c:tx>
          <c:spPr>
            <a:solidFill>
              <a:schemeClr val="accent3"/>
            </a:solidFill>
            <a:ln>
              <a:noFill/>
            </a:ln>
            <a:effectLst/>
          </c:spPr>
          <c:invertIfNegative val="0"/>
          <c:cat>
            <c:numRef>
              <c:f>MSK!$B$5:$B$9</c:f>
              <c:numCache>
                <c:formatCode>General</c:formatCode>
                <c:ptCount val="5"/>
                <c:pt idx="0">
                  <c:v>2012</c:v>
                </c:pt>
                <c:pt idx="1">
                  <c:v>2013</c:v>
                </c:pt>
                <c:pt idx="2">
                  <c:v>2014</c:v>
                </c:pt>
                <c:pt idx="3">
                  <c:v>2015</c:v>
                </c:pt>
                <c:pt idx="4">
                  <c:v>2016</c:v>
                </c:pt>
              </c:numCache>
            </c:numRef>
          </c:cat>
          <c:val>
            <c:numRef>
              <c:f>MSK!$E$5:$E$9</c:f>
              <c:numCache>
                <c:formatCode>#,##0.000</c:formatCode>
                <c:ptCount val="5"/>
                <c:pt idx="0">
                  <c:v>0</c:v>
                </c:pt>
                <c:pt idx="1">
                  <c:v>37.651000000000003</c:v>
                </c:pt>
                <c:pt idx="2">
                  <c:v>0</c:v>
                </c:pt>
                <c:pt idx="3">
                  <c:v>247.28</c:v>
                </c:pt>
                <c:pt idx="4">
                  <c:v>168.417</c:v>
                </c:pt>
              </c:numCache>
            </c:numRef>
          </c:val>
          <c:extLst>
            <c:ext xmlns:c16="http://schemas.microsoft.com/office/drawing/2014/chart" uri="{C3380CC4-5D6E-409C-BE32-E72D297353CC}">
              <c16:uniqueId val="{00000002-2085-4C3E-90F1-AE208CA04E84}"/>
            </c:ext>
          </c:extLst>
        </c:ser>
        <c:ser>
          <c:idx val="3"/>
          <c:order val="3"/>
          <c:tx>
            <c:strRef>
              <c:f>MSK!$F$4</c:f>
              <c:strCache>
                <c:ptCount val="1"/>
                <c:pt idx="0">
                  <c:v>Dotace MMR</c:v>
                </c:pt>
              </c:strCache>
            </c:strRef>
          </c:tx>
          <c:spPr>
            <a:solidFill>
              <a:sysClr val="windowText" lastClr="000000"/>
            </a:solidFill>
            <a:ln>
              <a:noFill/>
            </a:ln>
            <a:effectLst/>
          </c:spPr>
          <c:invertIfNegative val="0"/>
          <c:cat>
            <c:numRef>
              <c:f>MSK!$B$5:$B$9</c:f>
              <c:numCache>
                <c:formatCode>General</c:formatCode>
                <c:ptCount val="5"/>
                <c:pt idx="0">
                  <c:v>2012</c:v>
                </c:pt>
                <c:pt idx="1">
                  <c:v>2013</c:v>
                </c:pt>
                <c:pt idx="2">
                  <c:v>2014</c:v>
                </c:pt>
                <c:pt idx="3">
                  <c:v>2015</c:v>
                </c:pt>
                <c:pt idx="4">
                  <c:v>2016</c:v>
                </c:pt>
              </c:numCache>
            </c:numRef>
          </c:cat>
          <c:val>
            <c:numRef>
              <c:f>MSK!$F$5:$F$9</c:f>
              <c:numCache>
                <c:formatCode>#,##0.000</c:formatCode>
                <c:ptCount val="5"/>
                <c:pt idx="0">
                  <c:v>8.5869999999999997</c:v>
                </c:pt>
                <c:pt idx="1">
                  <c:v>0</c:v>
                </c:pt>
                <c:pt idx="2">
                  <c:v>0</c:v>
                </c:pt>
                <c:pt idx="3">
                  <c:v>0</c:v>
                </c:pt>
                <c:pt idx="4">
                  <c:v>0</c:v>
                </c:pt>
              </c:numCache>
            </c:numRef>
          </c:val>
          <c:extLst>
            <c:ext xmlns:c16="http://schemas.microsoft.com/office/drawing/2014/chart" uri="{C3380CC4-5D6E-409C-BE32-E72D297353CC}">
              <c16:uniqueId val="{00000003-2085-4C3E-90F1-AE208CA04E84}"/>
            </c:ext>
          </c:extLst>
        </c:ser>
        <c:dLbls>
          <c:showLegendKey val="0"/>
          <c:showVal val="0"/>
          <c:showCatName val="0"/>
          <c:showSerName val="0"/>
          <c:showPercent val="0"/>
          <c:showBubbleSize val="0"/>
        </c:dLbls>
        <c:gapWidth val="150"/>
        <c:overlap val="100"/>
        <c:axId val="213169784"/>
        <c:axId val="213170176"/>
      </c:barChart>
      <c:catAx>
        <c:axId val="21316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13170176"/>
        <c:crosses val="autoZero"/>
        <c:auto val="1"/>
        <c:lblAlgn val="ctr"/>
        <c:lblOffset val="100"/>
        <c:noMultiLvlLbl val="0"/>
      </c:catAx>
      <c:valAx>
        <c:axId val="21317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13169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34244330569793E-2"/>
          <c:y val="7.9804921303480381E-2"/>
          <c:w val="0.87626945937313394"/>
          <c:h val="0.71592380480260842"/>
        </c:manualLayout>
      </c:layout>
      <c:barChart>
        <c:barDir val="col"/>
        <c:grouping val="stacked"/>
        <c:varyColors val="0"/>
        <c:ser>
          <c:idx val="0"/>
          <c:order val="0"/>
          <c:tx>
            <c:strRef>
              <c:f>PaK!$C$4</c:f>
              <c:strCache>
                <c:ptCount val="1"/>
                <c:pt idx="0">
                  <c:v>Prostředky kraje celkem</c:v>
                </c:pt>
              </c:strCache>
            </c:strRef>
          </c:tx>
          <c:spPr>
            <a:solidFill>
              <a:srgbClr val="004595"/>
            </a:solidFill>
            <a:ln>
              <a:noFill/>
            </a:ln>
            <a:effectLst/>
          </c:spPr>
          <c:invertIfNegative val="0"/>
          <c:cat>
            <c:numRef>
              <c:f>PaK!$B$5:$B$9</c:f>
              <c:numCache>
                <c:formatCode>General</c:formatCode>
                <c:ptCount val="5"/>
                <c:pt idx="0">
                  <c:v>2012</c:v>
                </c:pt>
                <c:pt idx="1">
                  <c:v>2013</c:v>
                </c:pt>
                <c:pt idx="2">
                  <c:v>2014</c:v>
                </c:pt>
                <c:pt idx="3">
                  <c:v>2015</c:v>
                </c:pt>
                <c:pt idx="4">
                  <c:v>2016</c:v>
                </c:pt>
              </c:numCache>
            </c:numRef>
          </c:cat>
          <c:val>
            <c:numRef>
              <c:f>PaK!$C$5:$C$9</c:f>
              <c:numCache>
                <c:formatCode>#,##0.000</c:formatCode>
                <c:ptCount val="5"/>
                <c:pt idx="0">
                  <c:v>383.73700000000002</c:v>
                </c:pt>
                <c:pt idx="1">
                  <c:v>393.88600000000002</c:v>
                </c:pt>
                <c:pt idx="2">
                  <c:v>439.86200000000002</c:v>
                </c:pt>
                <c:pt idx="3">
                  <c:v>447.93700000000001</c:v>
                </c:pt>
                <c:pt idx="4">
                  <c:v>554.76199999999994</c:v>
                </c:pt>
              </c:numCache>
            </c:numRef>
          </c:val>
          <c:extLst>
            <c:ext xmlns:c16="http://schemas.microsoft.com/office/drawing/2014/chart" uri="{C3380CC4-5D6E-409C-BE32-E72D297353CC}">
              <c16:uniqueId val="{00000000-6DDD-4FA4-957E-7AC6A4C92228}"/>
            </c:ext>
          </c:extLst>
        </c:ser>
        <c:ser>
          <c:idx val="1"/>
          <c:order val="1"/>
          <c:tx>
            <c:strRef>
              <c:f>PaK!$D$4</c:f>
              <c:strCache>
                <c:ptCount val="1"/>
                <c:pt idx="0">
                  <c:v>Poskytnutá dotace EU</c:v>
                </c:pt>
              </c:strCache>
            </c:strRef>
          </c:tx>
          <c:spPr>
            <a:solidFill>
              <a:srgbClr val="BD2A33"/>
            </a:solidFill>
            <a:ln>
              <a:noFill/>
            </a:ln>
            <a:effectLst/>
          </c:spPr>
          <c:invertIfNegative val="0"/>
          <c:cat>
            <c:numRef>
              <c:f>PaK!$B$5:$B$9</c:f>
              <c:numCache>
                <c:formatCode>General</c:formatCode>
                <c:ptCount val="5"/>
                <c:pt idx="0">
                  <c:v>2012</c:v>
                </c:pt>
                <c:pt idx="1">
                  <c:v>2013</c:v>
                </c:pt>
                <c:pt idx="2">
                  <c:v>2014</c:v>
                </c:pt>
                <c:pt idx="3">
                  <c:v>2015</c:v>
                </c:pt>
                <c:pt idx="4">
                  <c:v>2016</c:v>
                </c:pt>
              </c:numCache>
            </c:numRef>
          </c:cat>
          <c:val>
            <c:numRef>
              <c:f>PaK!$D$5:$D$9</c:f>
              <c:numCache>
                <c:formatCode>#,##0.000</c:formatCode>
                <c:ptCount val="5"/>
                <c:pt idx="0">
                  <c:v>255.916</c:v>
                </c:pt>
                <c:pt idx="1">
                  <c:v>0</c:v>
                </c:pt>
                <c:pt idx="2">
                  <c:v>544.70899999999995</c:v>
                </c:pt>
                <c:pt idx="3">
                  <c:v>186.06299999999999</c:v>
                </c:pt>
                <c:pt idx="4">
                  <c:v>0</c:v>
                </c:pt>
              </c:numCache>
            </c:numRef>
          </c:val>
          <c:extLst>
            <c:ext xmlns:c16="http://schemas.microsoft.com/office/drawing/2014/chart" uri="{C3380CC4-5D6E-409C-BE32-E72D297353CC}">
              <c16:uniqueId val="{00000001-6DDD-4FA4-957E-7AC6A4C92228}"/>
            </c:ext>
          </c:extLst>
        </c:ser>
        <c:ser>
          <c:idx val="2"/>
          <c:order val="2"/>
          <c:tx>
            <c:strRef>
              <c:f>PaK!$E$4</c:f>
              <c:strCache>
                <c:ptCount val="1"/>
                <c:pt idx="0">
                  <c:v>SFDI dotace</c:v>
                </c:pt>
              </c:strCache>
            </c:strRef>
          </c:tx>
          <c:spPr>
            <a:solidFill>
              <a:schemeClr val="accent3"/>
            </a:solidFill>
            <a:ln>
              <a:noFill/>
            </a:ln>
            <a:effectLst/>
          </c:spPr>
          <c:invertIfNegative val="0"/>
          <c:cat>
            <c:numRef>
              <c:f>PaK!$B$5:$B$9</c:f>
              <c:numCache>
                <c:formatCode>General</c:formatCode>
                <c:ptCount val="5"/>
                <c:pt idx="0">
                  <c:v>2012</c:v>
                </c:pt>
                <c:pt idx="1">
                  <c:v>2013</c:v>
                </c:pt>
                <c:pt idx="2">
                  <c:v>2014</c:v>
                </c:pt>
                <c:pt idx="3">
                  <c:v>2015</c:v>
                </c:pt>
                <c:pt idx="4">
                  <c:v>2016</c:v>
                </c:pt>
              </c:numCache>
            </c:numRef>
          </c:cat>
          <c:val>
            <c:numRef>
              <c:f>PaK!$E$5:$E$9</c:f>
              <c:numCache>
                <c:formatCode>#,##0.000</c:formatCode>
                <c:ptCount val="5"/>
                <c:pt idx="0">
                  <c:v>0</c:v>
                </c:pt>
                <c:pt idx="1">
                  <c:v>0</c:v>
                </c:pt>
                <c:pt idx="2">
                  <c:v>0</c:v>
                </c:pt>
                <c:pt idx="3">
                  <c:v>285.06799999999998</c:v>
                </c:pt>
                <c:pt idx="4">
                  <c:v>196.696</c:v>
                </c:pt>
              </c:numCache>
            </c:numRef>
          </c:val>
          <c:extLst>
            <c:ext xmlns:c16="http://schemas.microsoft.com/office/drawing/2014/chart" uri="{C3380CC4-5D6E-409C-BE32-E72D297353CC}">
              <c16:uniqueId val="{00000002-6DDD-4FA4-957E-7AC6A4C92228}"/>
            </c:ext>
          </c:extLst>
        </c:ser>
        <c:dLbls>
          <c:showLegendKey val="0"/>
          <c:showVal val="0"/>
          <c:showCatName val="0"/>
          <c:showSerName val="0"/>
          <c:showPercent val="0"/>
          <c:showBubbleSize val="0"/>
        </c:dLbls>
        <c:gapWidth val="150"/>
        <c:overlap val="100"/>
        <c:axId val="355611272"/>
        <c:axId val="355611664"/>
      </c:barChart>
      <c:catAx>
        <c:axId val="35561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5611664"/>
        <c:crosses val="autoZero"/>
        <c:auto val="1"/>
        <c:lblAlgn val="ctr"/>
        <c:lblOffset val="100"/>
        <c:noMultiLvlLbl val="0"/>
      </c:catAx>
      <c:valAx>
        <c:axId val="35561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5611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6539132857149E-2"/>
          <c:y val="0.13256479202613577"/>
          <c:w val="0.83206126255355584"/>
          <c:h val="0.68128016256032509"/>
        </c:manualLayout>
      </c:layout>
      <c:barChart>
        <c:barDir val="col"/>
        <c:grouping val="stacked"/>
        <c:varyColors val="0"/>
        <c:ser>
          <c:idx val="0"/>
          <c:order val="0"/>
          <c:tx>
            <c:strRef>
              <c:f>PK!$C$25</c:f>
              <c:strCache>
                <c:ptCount val="1"/>
                <c:pt idx="0">
                  <c:v>Prostředky kraje celkem</c:v>
                </c:pt>
              </c:strCache>
            </c:strRef>
          </c:tx>
          <c:spPr>
            <a:solidFill>
              <a:srgbClr val="004595"/>
            </a:solidFill>
            <a:ln>
              <a:noFill/>
            </a:ln>
            <a:effectLst/>
          </c:spPr>
          <c:invertIfNegative val="0"/>
          <c:cat>
            <c:numRef>
              <c:f>PK!$B$26:$B$30</c:f>
              <c:numCache>
                <c:formatCode>General</c:formatCode>
                <c:ptCount val="5"/>
                <c:pt idx="0">
                  <c:v>2012</c:v>
                </c:pt>
                <c:pt idx="1">
                  <c:v>2013</c:v>
                </c:pt>
                <c:pt idx="2">
                  <c:v>2014</c:v>
                </c:pt>
                <c:pt idx="3">
                  <c:v>2015</c:v>
                </c:pt>
                <c:pt idx="4">
                  <c:v>2016</c:v>
                </c:pt>
              </c:numCache>
            </c:numRef>
          </c:cat>
          <c:val>
            <c:numRef>
              <c:f>PK!$C$26:$C$30</c:f>
              <c:numCache>
                <c:formatCode>#,##0.000</c:formatCode>
                <c:ptCount val="5"/>
                <c:pt idx="0">
                  <c:v>259</c:v>
                </c:pt>
                <c:pt idx="1">
                  <c:v>68</c:v>
                </c:pt>
                <c:pt idx="2">
                  <c:v>77</c:v>
                </c:pt>
                <c:pt idx="3">
                  <c:v>129</c:v>
                </c:pt>
                <c:pt idx="4">
                  <c:v>395</c:v>
                </c:pt>
              </c:numCache>
            </c:numRef>
          </c:val>
          <c:extLst>
            <c:ext xmlns:c16="http://schemas.microsoft.com/office/drawing/2014/chart" uri="{C3380CC4-5D6E-409C-BE32-E72D297353CC}">
              <c16:uniqueId val="{00000000-E360-4CF8-97C9-BA4D7D5A8245}"/>
            </c:ext>
          </c:extLst>
        </c:ser>
        <c:ser>
          <c:idx val="1"/>
          <c:order val="1"/>
          <c:tx>
            <c:strRef>
              <c:f>PK!$D$25</c:f>
              <c:strCache>
                <c:ptCount val="1"/>
                <c:pt idx="0">
                  <c:v>Poskytnutá dotace EU</c:v>
                </c:pt>
              </c:strCache>
            </c:strRef>
          </c:tx>
          <c:spPr>
            <a:solidFill>
              <a:srgbClr val="BD2A33"/>
            </a:solidFill>
            <a:ln>
              <a:noFill/>
            </a:ln>
            <a:effectLst/>
          </c:spPr>
          <c:invertIfNegative val="0"/>
          <c:cat>
            <c:numRef>
              <c:f>PK!$B$26:$B$30</c:f>
              <c:numCache>
                <c:formatCode>General</c:formatCode>
                <c:ptCount val="5"/>
                <c:pt idx="0">
                  <c:v>2012</c:v>
                </c:pt>
                <c:pt idx="1">
                  <c:v>2013</c:v>
                </c:pt>
                <c:pt idx="2">
                  <c:v>2014</c:v>
                </c:pt>
                <c:pt idx="3">
                  <c:v>2015</c:v>
                </c:pt>
                <c:pt idx="4">
                  <c:v>2016</c:v>
                </c:pt>
              </c:numCache>
            </c:numRef>
          </c:cat>
          <c:val>
            <c:numRef>
              <c:f>PK!$D$26:$D$30</c:f>
              <c:numCache>
                <c:formatCode>#,##0.000</c:formatCode>
                <c:ptCount val="5"/>
                <c:pt idx="0">
                  <c:v>764</c:v>
                </c:pt>
                <c:pt idx="1">
                  <c:v>939</c:v>
                </c:pt>
                <c:pt idx="2">
                  <c:v>773</c:v>
                </c:pt>
                <c:pt idx="3">
                  <c:v>449</c:v>
                </c:pt>
                <c:pt idx="4">
                  <c:v>0</c:v>
                </c:pt>
              </c:numCache>
            </c:numRef>
          </c:val>
          <c:extLst>
            <c:ext xmlns:c16="http://schemas.microsoft.com/office/drawing/2014/chart" uri="{C3380CC4-5D6E-409C-BE32-E72D297353CC}">
              <c16:uniqueId val="{00000001-E360-4CF8-97C9-BA4D7D5A8245}"/>
            </c:ext>
          </c:extLst>
        </c:ser>
        <c:ser>
          <c:idx val="2"/>
          <c:order val="2"/>
          <c:tx>
            <c:strRef>
              <c:f>PK!$E$25</c:f>
              <c:strCache>
                <c:ptCount val="1"/>
                <c:pt idx="0">
                  <c:v>SFDI dotace</c:v>
                </c:pt>
              </c:strCache>
            </c:strRef>
          </c:tx>
          <c:spPr>
            <a:solidFill>
              <a:schemeClr val="accent3"/>
            </a:solidFill>
            <a:ln>
              <a:noFill/>
            </a:ln>
            <a:effectLst/>
          </c:spPr>
          <c:invertIfNegative val="0"/>
          <c:cat>
            <c:numRef>
              <c:f>PK!$B$26:$B$30</c:f>
              <c:numCache>
                <c:formatCode>General</c:formatCode>
                <c:ptCount val="5"/>
                <c:pt idx="0">
                  <c:v>2012</c:v>
                </c:pt>
                <c:pt idx="1">
                  <c:v>2013</c:v>
                </c:pt>
                <c:pt idx="2">
                  <c:v>2014</c:v>
                </c:pt>
                <c:pt idx="3">
                  <c:v>2015</c:v>
                </c:pt>
                <c:pt idx="4">
                  <c:v>2016</c:v>
                </c:pt>
              </c:numCache>
            </c:numRef>
          </c:cat>
          <c:val>
            <c:numRef>
              <c:f>PK!$E$26:$E$30</c:f>
              <c:numCache>
                <c:formatCode>#,##0.000</c:formatCode>
                <c:ptCount val="5"/>
                <c:pt idx="0">
                  <c:v>0</c:v>
                </c:pt>
                <c:pt idx="1">
                  <c:v>92</c:v>
                </c:pt>
                <c:pt idx="2">
                  <c:v>0</c:v>
                </c:pt>
                <c:pt idx="3">
                  <c:v>394</c:v>
                </c:pt>
                <c:pt idx="4">
                  <c:v>317</c:v>
                </c:pt>
              </c:numCache>
            </c:numRef>
          </c:val>
          <c:extLst>
            <c:ext xmlns:c16="http://schemas.microsoft.com/office/drawing/2014/chart" uri="{C3380CC4-5D6E-409C-BE32-E72D297353CC}">
              <c16:uniqueId val="{00000002-E360-4CF8-97C9-BA4D7D5A8245}"/>
            </c:ext>
          </c:extLst>
        </c:ser>
        <c:dLbls>
          <c:showLegendKey val="0"/>
          <c:showVal val="0"/>
          <c:showCatName val="0"/>
          <c:showSerName val="0"/>
          <c:showPercent val="0"/>
          <c:showBubbleSize val="0"/>
        </c:dLbls>
        <c:gapWidth val="150"/>
        <c:overlap val="100"/>
        <c:axId val="355612448"/>
        <c:axId val="220846592"/>
      </c:barChart>
      <c:catAx>
        <c:axId val="3556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20846592"/>
        <c:crosses val="autoZero"/>
        <c:auto val="1"/>
        <c:lblAlgn val="ctr"/>
        <c:lblOffset val="100"/>
        <c:noMultiLvlLbl val="0"/>
      </c:catAx>
      <c:valAx>
        <c:axId val="22084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5612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kumimoji="0" lang="cs-CZ" sz="1200" b="1" i="0" u="none" strike="noStrike" kern="1200" cap="none" spc="0" normalizeH="0" baseline="0" noProof="0">
              <a:ln>
                <a:noFill/>
              </a:ln>
              <a:solidFill>
                <a:sysClr val="windowText" lastClr="000000">
                  <a:lumMod val="75000"/>
                  <a:lumOff val="25000"/>
                </a:sysClr>
              </a:solidFill>
              <a:effectLst/>
              <a:uLnTx/>
              <a:uFillTx/>
              <a:latin typeface="Calibri" panose="020F0502020204030204"/>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1713655023891246"/>
          <c:y val="7.6585551611040817E-2"/>
          <c:w val="0.44598804252313101"/>
          <c:h val="0.81762817869295201"/>
        </c:manualLayout>
      </c:layout>
      <c:doughnutChart>
        <c:varyColors val="1"/>
        <c:ser>
          <c:idx val="0"/>
          <c:order val="0"/>
          <c:dPt>
            <c:idx val="0"/>
            <c:bubble3D val="0"/>
            <c:spPr>
              <a:solidFill>
                <a:srgbClr val="004595"/>
              </a:solidFill>
              <a:ln w="9525">
                <a:solidFill>
                  <a:schemeClr val="lt1"/>
                </a:solidFill>
              </a:ln>
              <a:effectLst/>
            </c:spPr>
            <c:extLst>
              <c:ext xmlns:c16="http://schemas.microsoft.com/office/drawing/2014/chart" uri="{C3380CC4-5D6E-409C-BE32-E72D297353CC}">
                <c16:uniqueId val="{00000001-5F91-4E35-BE76-1D92E9A2AAC0}"/>
              </c:ext>
            </c:extLst>
          </c:dPt>
          <c:dPt>
            <c:idx val="1"/>
            <c:bubble3D val="0"/>
            <c:spPr>
              <a:solidFill>
                <a:srgbClr val="BD2A33"/>
              </a:solidFill>
              <a:ln w="9525">
                <a:solidFill>
                  <a:schemeClr val="lt1"/>
                </a:solidFill>
              </a:ln>
              <a:effectLst/>
            </c:spPr>
            <c:extLst>
              <c:ext xmlns:c16="http://schemas.microsoft.com/office/drawing/2014/chart" uri="{C3380CC4-5D6E-409C-BE32-E72D297353CC}">
                <c16:uniqueId val="{00000003-5F91-4E35-BE76-1D92E9A2AAC0}"/>
              </c:ext>
            </c:extLst>
          </c:dPt>
          <c:dPt>
            <c:idx val="2"/>
            <c:bubble3D val="0"/>
            <c:spPr>
              <a:solidFill>
                <a:srgbClr val="BD2A33">
                  <a:alpha val="50000"/>
                </a:srgbClr>
              </a:solidFill>
              <a:ln w="9525">
                <a:solidFill>
                  <a:schemeClr val="lt1"/>
                </a:solidFill>
              </a:ln>
              <a:effectLst/>
            </c:spPr>
            <c:extLst>
              <c:ext xmlns:c16="http://schemas.microsoft.com/office/drawing/2014/chart" uri="{C3380CC4-5D6E-409C-BE32-E72D297353CC}">
                <c16:uniqueId val="{00000005-5F91-4E35-BE76-1D92E9A2AAC0}"/>
              </c:ext>
            </c:extLst>
          </c:dPt>
          <c:dPt>
            <c:idx val="3"/>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7-5F91-4E35-BE76-1D92E9A2AAC0}"/>
              </c:ext>
            </c:extLst>
          </c:dPt>
          <c:dLbls>
            <c:dLbl>
              <c:idx val="0"/>
              <c:layout>
                <c:manualLayout>
                  <c:x val="8.6609686609686445E-2"/>
                  <c:y val="7.6702176933765003E-3"/>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6281"/>
                        <a:gd name="adj2" fmla="val 43964"/>
                      </a:avLst>
                    </a:prstGeom>
                    <a:noFill/>
                    <a:ln>
                      <a:noFill/>
                    </a:ln>
                  </c15:spPr>
                  <c15:layout/>
                </c:ext>
                <c:ext xmlns:c16="http://schemas.microsoft.com/office/drawing/2014/chart" uri="{C3380CC4-5D6E-409C-BE32-E72D297353CC}">
                  <c16:uniqueId val="{00000001-5F91-4E35-BE76-1D92E9A2AAC0}"/>
                </c:ext>
              </c:extLst>
            </c:dLbl>
            <c:dLbl>
              <c:idx val="1"/>
              <c:layout>
                <c:manualLayout>
                  <c:x val="-7.7492787760504292E-2"/>
                  <c:y val="-0.11264997885494492"/>
                </c:manualLayout>
              </c:layout>
              <c:numFmt formatCode="0_I%" sourceLinked="0"/>
              <c:spPr>
                <a:xfrm>
                  <a:off x="762462" y="1427587"/>
                  <a:ext cx="353053" cy="18229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4545"/>
                        <a:gd name="adj2" fmla="val 36698"/>
                      </a:avLst>
                    </a:prstGeom>
                    <a:noFill/>
                    <a:ln>
                      <a:noFill/>
                    </a:ln>
                  </c15:spPr>
                  <c15:layout>
                    <c:manualLayout>
                      <c:w val="6.3360746573344992E-2"/>
                      <c:h val="5.3014010367817596E-2"/>
                    </c:manualLayout>
                  </c15:layout>
                </c:ext>
                <c:ext xmlns:c16="http://schemas.microsoft.com/office/drawing/2014/chart" uri="{C3380CC4-5D6E-409C-BE32-E72D297353CC}">
                  <c16:uniqueId val="{00000003-5F91-4E35-BE76-1D92E9A2AAC0}"/>
                </c:ext>
              </c:extLst>
            </c:dLbl>
            <c:dLbl>
              <c:idx val="2"/>
              <c:layout>
                <c:manualLayout>
                  <c:x val="-5.4700854700854701E-2"/>
                  <c:y val="-9.1772761141430209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1653"/>
                        <a:gd name="adj2" fmla="val 157944"/>
                      </a:avLst>
                    </a:prstGeom>
                    <a:noFill/>
                    <a:ln>
                      <a:noFill/>
                    </a:ln>
                  </c15:spPr>
                  <c15:layout/>
                </c:ext>
                <c:ext xmlns:c16="http://schemas.microsoft.com/office/drawing/2014/chart" uri="{C3380CC4-5D6E-409C-BE32-E72D297353CC}">
                  <c16:uniqueId val="{00000005-5F91-4E35-BE76-1D92E9A2AAC0}"/>
                </c:ext>
              </c:extLst>
            </c:dLbl>
            <c:dLbl>
              <c:idx val="3"/>
              <c:layout>
                <c:manualLayout>
                  <c:x val="-6.1538461538461493E-2"/>
                  <c:y val="-7.0624752468601268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5938"/>
                        <a:gd name="adj2" fmla="val 130263"/>
                      </a:avLst>
                    </a:prstGeom>
                    <a:noFill/>
                    <a:ln>
                      <a:noFill/>
                    </a:ln>
                  </c15:spPr>
                  <c15:layout/>
                </c:ext>
                <c:ext xmlns:c16="http://schemas.microsoft.com/office/drawing/2014/chart" uri="{C3380CC4-5D6E-409C-BE32-E72D297353CC}">
                  <c16:uniqueId val="{00000007-5F91-4E35-BE76-1D92E9A2AAC0}"/>
                </c:ext>
              </c:extLst>
            </c:dLbl>
            <c:numFmt formatCode="0_I%"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'Souhrnné údaje + NKÚ SR'!$C$52:$F$52</c:f>
              <c:strCache>
                <c:ptCount val="4"/>
                <c:pt idx="0">
                  <c:v>Vlastní zdroje krajů</c:v>
                </c:pt>
                <c:pt idx="1">
                  <c:v>Zdroje EU</c:v>
                </c:pt>
                <c:pt idx="2">
                  <c:v>Státní rozpočet</c:v>
                </c:pt>
                <c:pt idx="3">
                  <c:v>Ostatní zdroje</c:v>
                </c:pt>
              </c:strCache>
            </c:strRef>
          </c:cat>
          <c:val>
            <c:numRef>
              <c:f>'Souhrnné údaje + NKÚ SR'!$C$53:$F$53</c:f>
              <c:numCache>
                <c:formatCode>General</c:formatCode>
                <c:ptCount val="4"/>
                <c:pt idx="0">
                  <c:v>0.6</c:v>
                </c:pt>
                <c:pt idx="1">
                  <c:v>0.27</c:v>
                </c:pt>
                <c:pt idx="2">
                  <c:v>0.05</c:v>
                </c:pt>
                <c:pt idx="3">
                  <c:v>0.08</c:v>
                </c:pt>
              </c:numCache>
            </c:numRef>
          </c:val>
          <c:extLst>
            <c:ext xmlns:c16="http://schemas.microsoft.com/office/drawing/2014/chart" uri="{C3380CC4-5D6E-409C-BE32-E72D297353CC}">
              <c16:uniqueId val="{00000008-5F91-4E35-BE76-1D92E9A2AAC0}"/>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07214728111443"/>
          <c:y val="5.6730269978494258E-2"/>
          <c:w val="0.41596726678696411"/>
          <c:h val="0.83428821125324515"/>
        </c:manualLayout>
      </c:layout>
      <c:doughnutChart>
        <c:varyColors val="1"/>
        <c:ser>
          <c:idx val="0"/>
          <c:order val="0"/>
          <c:dPt>
            <c:idx val="0"/>
            <c:bubble3D val="0"/>
            <c:spPr>
              <a:solidFill>
                <a:srgbClr val="004595"/>
              </a:solidFill>
              <a:ln w="19050">
                <a:solidFill>
                  <a:schemeClr val="lt1"/>
                </a:solidFill>
              </a:ln>
              <a:effectLst/>
            </c:spPr>
            <c:extLst>
              <c:ext xmlns:c16="http://schemas.microsoft.com/office/drawing/2014/chart" uri="{C3380CC4-5D6E-409C-BE32-E72D297353CC}">
                <c16:uniqueId val="{00000001-35C9-4877-9264-FB16E818A2E3}"/>
              </c:ext>
            </c:extLst>
          </c:dPt>
          <c:dPt>
            <c:idx val="1"/>
            <c:bubble3D val="0"/>
            <c:spPr>
              <a:solidFill>
                <a:srgbClr val="BD2A33"/>
              </a:solidFill>
              <a:ln w="19050">
                <a:solidFill>
                  <a:schemeClr val="lt1"/>
                </a:solidFill>
              </a:ln>
              <a:effectLst/>
            </c:spPr>
            <c:extLst>
              <c:ext xmlns:c16="http://schemas.microsoft.com/office/drawing/2014/chart" uri="{C3380CC4-5D6E-409C-BE32-E72D297353CC}">
                <c16:uniqueId val="{00000003-35C9-4877-9264-FB16E818A2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C9-4877-9264-FB16E818A2E3}"/>
              </c:ext>
            </c:extLst>
          </c:dPt>
          <c:dPt>
            <c:idx val="3"/>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7-35C9-4877-9264-FB16E818A2E3}"/>
              </c:ext>
            </c:extLst>
          </c:dPt>
          <c:dLbls>
            <c:dLbl>
              <c:idx val="0"/>
              <c:layout>
                <c:manualLayout>
                  <c:x val="5.2826201796090703E-2"/>
                  <c:y val="-8.8183421516754887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0318"/>
                        <a:gd name="adj2" fmla="val 139857"/>
                      </a:avLst>
                    </a:prstGeom>
                    <a:noFill/>
                    <a:ln>
                      <a:noFill/>
                    </a:ln>
                  </c15:spPr>
                  <c15:layout/>
                </c:ext>
                <c:ext xmlns:c16="http://schemas.microsoft.com/office/drawing/2014/chart" uri="{C3380CC4-5D6E-409C-BE32-E72D297353CC}">
                  <c16:uniqueId val="{00000001-35C9-4877-9264-FB16E818A2E3}"/>
                </c:ext>
              </c:extLst>
            </c:dLbl>
            <c:dLbl>
              <c:idx val="1"/>
              <c:layout>
                <c:manualLayout>
                  <c:x val="-8.6634970945589015E-2"/>
                  <c:y val="1.4109347442680775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408"/>
                        <a:gd name="adj2" fmla="val -92057"/>
                      </a:avLst>
                    </a:prstGeom>
                    <a:noFill/>
                    <a:ln>
                      <a:noFill/>
                    </a:ln>
                  </c15:spPr>
                  <c15:layout/>
                </c:ext>
                <c:ext xmlns:c16="http://schemas.microsoft.com/office/drawing/2014/chart" uri="{C3380CC4-5D6E-409C-BE32-E72D297353CC}">
                  <c16:uniqueId val="{00000003-35C9-4877-9264-FB16E818A2E3}"/>
                </c:ext>
              </c:extLst>
            </c:dLbl>
            <c:dLbl>
              <c:idx val="2"/>
              <c:layout>
                <c:manualLayout>
                  <c:x val="-4.648705758055996E-2"/>
                  <c:y val="-6.7019400352733724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9362"/>
                        <a:gd name="adj2" fmla="val 107991"/>
                      </a:avLst>
                    </a:prstGeom>
                    <a:noFill/>
                    <a:ln>
                      <a:noFill/>
                    </a:ln>
                  </c15:spPr>
                  <c15:layout/>
                </c:ext>
                <c:ext xmlns:c16="http://schemas.microsoft.com/office/drawing/2014/chart" uri="{C3380CC4-5D6E-409C-BE32-E72D297353CC}">
                  <c16:uniqueId val="{00000005-35C9-4877-9264-FB16E818A2E3}"/>
                </c:ext>
              </c:extLst>
            </c:dLbl>
            <c:dLbl>
              <c:idx val="3"/>
              <c:layout>
                <c:manualLayout>
                  <c:x val="-5.7052297939778132E-2"/>
                  <c:y val="-6.7019400352733682E-2"/>
                </c:manualLayout>
              </c:layout>
              <c:numFmt formatCode="0_I%"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2971"/>
                        <a:gd name="adj2" fmla="val 139857"/>
                      </a:avLst>
                    </a:prstGeom>
                    <a:noFill/>
                    <a:ln>
                      <a:noFill/>
                    </a:ln>
                  </c15:spPr>
                  <c15:layout/>
                </c:ext>
                <c:ext xmlns:c16="http://schemas.microsoft.com/office/drawing/2014/chart" uri="{C3380CC4-5D6E-409C-BE32-E72D297353CC}">
                  <c16:uniqueId val="{00000007-35C9-4877-9264-FB16E818A2E3}"/>
                </c:ext>
              </c:extLst>
            </c:dLbl>
            <c:numFmt formatCode="0_I%"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'Souhrnné údaje + NKÚ SR'!$C$39:$F$39</c:f>
              <c:strCache>
                <c:ptCount val="4"/>
                <c:pt idx="0">
                  <c:v>Prostředky kraje celkem</c:v>
                </c:pt>
                <c:pt idx="1">
                  <c:v>Dotace EU</c:v>
                </c:pt>
                <c:pt idx="2">
                  <c:v>Dotace MMR</c:v>
                </c:pt>
                <c:pt idx="3">
                  <c:v>SFDI dotace</c:v>
                </c:pt>
              </c:strCache>
            </c:strRef>
          </c:cat>
          <c:val>
            <c:numRef>
              <c:f>'Souhrnné údaje + NKÚ SR'!$C$46:$F$46</c:f>
              <c:numCache>
                <c:formatCode>0.0%</c:formatCode>
                <c:ptCount val="4"/>
                <c:pt idx="0">
                  <c:v>0.34767386958795099</c:v>
                </c:pt>
                <c:pt idx="1">
                  <c:v>0.51639875442277783</c:v>
                </c:pt>
                <c:pt idx="2">
                  <c:v>5.1972689492565081E-4</c:v>
                </c:pt>
                <c:pt idx="3">
                  <c:v>0.13540764909434547</c:v>
                </c:pt>
              </c:numCache>
            </c:numRef>
          </c:val>
          <c:extLst>
            <c:ext xmlns:c16="http://schemas.microsoft.com/office/drawing/2014/chart" uri="{C3380CC4-5D6E-409C-BE32-E72D297353CC}">
              <c16:uniqueId val="{00000008-35C9-4877-9264-FB16E818A2E3}"/>
            </c:ext>
          </c:extLst>
        </c:ser>
        <c:dLbls>
          <c:showLegendKey val="0"/>
          <c:showVal val="1"/>
          <c:showCatName val="0"/>
          <c:showSerName val="0"/>
          <c:showPercent val="0"/>
          <c:showBubbleSize val="0"/>
          <c:showLeaderLines val="0"/>
        </c:dLbls>
        <c:firstSliceAng val="0"/>
        <c:holeSize val="70"/>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7F6F0-0405-4944-9984-CD225D4CB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89D69712.dotm</Template>
  <TotalTime>31</TotalTime>
  <Pages>33</Pages>
  <Words>10012</Words>
  <Characters>59076</Characters>
  <Application>Microsoft Office Word</Application>
  <DocSecurity>0</DocSecurity>
  <Lines>492</Lines>
  <Paragraphs>137</Paragraphs>
  <ScaleCrop>false</ScaleCrop>
  <HeadingPairs>
    <vt:vector size="2" baseType="variant">
      <vt:variant>
        <vt:lpstr>Název</vt:lpstr>
      </vt:variant>
      <vt:variant>
        <vt:i4>1</vt:i4>
      </vt:variant>
    </vt:vector>
  </HeadingPairs>
  <TitlesOfParts>
    <vt:vector size="1" baseType="lpstr">
      <vt:lpstr>Kontrolní závěr z kontrolní akce NKÚ č. 17/09 - Akce stavebního charakteru prováděné za účelem oprav, modernizace a rozvoje sítě silnic II. a III. tříd na území vybraných krajů, spolufinancované z prostředků Evropské unie a národních zdrojů</vt:lpstr>
    </vt:vector>
  </TitlesOfParts>
  <Company>NKU</Company>
  <LinksUpToDate>false</LinksUpToDate>
  <CharactersWithSpaces>68951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17/09 - Akce stavebního charakteru prováděné za účelem oprav, modernizace a rozvoje sítě silnic II. a III. tříd na území vybraných krajů, spolufinancované z prostředků Evropské unie a národních zdrojů</dc:title>
  <dc:subject/>
  <dc:creator>Nejvyšší kontrolní úřad</dc:creator>
  <cp:keywords/>
  <dc:description/>
  <cp:lastModifiedBy>KOKRDA Daniel</cp:lastModifiedBy>
  <cp:revision>13</cp:revision>
  <cp:lastPrinted>2018-03-09T07:06:00Z</cp:lastPrinted>
  <dcterms:created xsi:type="dcterms:W3CDTF">2018-02-27T10:27:00Z</dcterms:created>
  <dcterms:modified xsi:type="dcterms:W3CDTF">2018-03-09T07:08:00Z</dcterms:modified>
</cp:coreProperties>
</file>