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32CD" w14:textId="77777777" w:rsidR="00FE5796" w:rsidRPr="00EA1B15" w:rsidRDefault="00FE5796" w:rsidP="00EA1B15">
      <w:pPr>
        <w:spacing w:before="0"/>
        <w:jc w:val="center"/>
        <w:rPr>
          <w:b/>
          <w:szCs w:val="28"/>
        </w:rPr>
      </w:pPr>
      <w:bookmarkStart w:id="0" w:name="_Hlk150777574"/>
      <w:bookmarkStart w:id="1" w:name="_Toc374526809"/>
      <w:bookmarkEnd w:id="0"/>
      <w:r w:rsidRPr="00EA1B15">
        <w:rPr>
          <w:noProof/>
          <w:color w:val="2B579A"/>
          <w:sz w:val="22"/>
          <w:shd w:val="clear" w:color="auto" w:fill="E6E6E6"/>
          <w:lang w:eastAsia="cs-CZ"/>
        </w:rPr>
        <w:drawing>
          <wp:anchor distT="0" distB="0" distL="114935" distR="114935" simplePos="0" relativeHeight="251648000" behindDoc="0" locked="0" layoutInCell="1" allowOverlap="1" wp14:anchorId="2DB0F005" wp14:editId="7845BDD8">
            <wp:simplePos x="0" y="0"/>
            <wp:positionH relativeFrom="column">
              <wp:posOffset>2512060</wp:posOffset>
            </wp:positionH>
            <wp:positionV relativeFrom="paragraph">
              <wp:posOffset>68580</wp:posOffset>
            </wp:positionV>
            <wp:extent cx="790575" cy="558800"/>
            <wp:effectExtent l="0" t="0" r="9525" b="0"/>
            <wp:wrapTopAndBottom/>
            <wp:docPr id="1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7F2962C" w14:textId="77777777" w:rsidR="00FE5796" w:rsidRPr="00EA1B15" w:rsidRDefault="00FE5796" w:rsidP="00EA1B15">
      <w:pPr>
        <w:spacing w:before="0"/>
        <w:jc w:val="center"/>
        <w:rPr>
          <w:b/>
          <w:szCs w:val="28"/>
        </w:rPr>
      </w:pPr>
    </w:p>
    <w:p w14:paraId="1077FC90" w14:textId="77777777" w:rsidR="00FE5796" w:rsidRPr="00EA1B15" w:rsidRDefault="00FE5796" w:rsidP="00EA1B15">
      <w:pPr>
        <w:spacing w:before="0"/>
        <w:jc w:val="center"/>
        <w:rPr>
          <w:b/>
          <w:szCs w:val="28"/>
        </w:rPr>
      </w:pPr>
    </w:p>
    <w:p w14:paraId="6620ED56" w14:textId="77777777" w:rsidR="00FE5796" w:rsidRPr="00EA1B15" w:rsidRDefault="00FE5796" w:rsidP="00EA1B15">
      <w:pPr>
        <w:spacing w:before="0"/>
        <w:jc w:val="center"/>
        <w:rPr>
          <w:b/>
          <w:sz w:val="28"/>
        </w:rPr>
      </w:pPr>
      <w:bookmarkStart w:id="2" w:name="_GoBack"/>
      <w:r w:rsidRPr="00EA1B15">
        <w:rPr>
          <w:b/>
          <w:sz w:val="28"/>
        </w:rPr>
        <w:t>K</w:t>
      </w:r>
      <w:r w:rsidR="00D9414B" w:rsidRPr="00EA1B15">
        <w:rPr>
          <w:b/>
          <w:sz w:val="28"/>
        </w:rPr>
        <w:t>ontrolní závěr z kontrolní akce</w:t>
      </w:r>
    </w:p>
    <w:p w14:paraId="183DF1F5" w14:textId="77777777" w:rsidR="00EA1B15" w:rsidRPr="00EA1B15" w:rsidRDefault="00EA1B15" w:rsidP="00EA1B15">
      <w:pPr>
        <w:spacing w:before="0"/>
        <w:jc w:val="center"/>
        <w:rPr>
          <w:b/>
          <w:szCs w:val="28"/>
        </w:rPr>
      </w:pPr>
    </w:p>
    <w:p w14:paraId="1B780532" w14:textId="77777777" w:rsidR="00DB7B55" w:rsidRPr="00EA1B15" w:rsidRDefault="00DB7B55" w:rsidP="00EA1B15">
      <w:pPr>
        <w:spacing w:before="0"/>
        <w:jc w:val="center"/>
        <w:rPr>
          <w:b/>
          <w:sz w:val="28"/>
        </w:rPr>
      </w:pPr>
      <w:r w:rsidRPr="00EA1B15">
        <w:rPr>
          <w:b/>
          <w:sz w:val="28"/>
        </w:rPr>
        <w:t xml:space="preserve">č. </w:t>
      </w:r>
      <w:r w:rsidR="00F0221A" w:rsidRPr="00EA1B15">
        <w:rPr>
          <w:b/>
          <w:sz w:val="28"/>
        </w:rPr>
        <w:t>2</w:t>
      </w:r>
      <w:r w:rsidR="007275C9" w:rsidRPr="00EA1B15">
        <w:rPr>
          <w:b/>
          <w:sz w:val="28"/>
        </w:rPr>
        <w:t>3</w:t>
      </w:r>
      <w:r w:rsidRPr="00EA1B15">
        <w:rPr>
          <w:b/>
          <w:sz w:val="28"/>
        </w:rPr>
        <w:t>/</w:t>
      </w:r>
      <w:r w:rsidR="007275C9" w:rsidRPr="00EA1B15">
        <w:rPr>
          <w:b/>
          <w:sz w:val="28"/>
        </w:rPr>
        <w:t>04</w:t>
      </w:r>
    </w:p>
    <w:p w14:paraId="666C03B0" w14:textId="77777777" w:rsidR="00EA1B15" w:rsidRDefault="00EA1B15" w:rsidP="00D01D93">
      <w:pPr>
        <w:spacing w:before="0"/>
        <w:jc w:val="center"/>
        <w:rPr>
          <w:b/>
        </w:rPr>
      </w:pPr>
    </w:p>
    <w:p w14:paraId="58D65D70" w14:textId="70A3C525" w:rsidR="007275C9" w:rsidRPr="00A4266F" w:rsidRDefault="007275C9" w:rsidP="00D01D93">
      <w:pPr>
        <w:tabs>
          <w:tab w:val="left" w:pos="5954"/>
        </w:tabs>
        <w:spacing w:before="0"/>
        <w:jc w:val="center"/>
        <w:rPr>
          <w:sz w:val="28"/>
        </w:rPr>
      </w:pPr>
      <w:r w:rsidRPr="00A4266F">
        <w:rPr>
          <w:b/>
          <w:color w:val="000000"/>
          <w:sz w:val="28"/>
          <w:lang w:eastAsia="cs-CZ"/>
        </w:rPr>
        <w:t xml:space="preserve">Peněžní prostředky státu určené na podporu sportu a sportovní reprezentaci </w:t>
      </w:r>
      <w:r w:rsidR="00A4266F" w:rsidRPr="00A4266F">
        <w:rPr>
          <w:b/>
          <w:color w:val="000000"/>
          <w:sz w:val="28"/>
          <w:lang w:eastAsia="cs-CZ"/>
        </w:rPr>
        <w:br/>
      </w:r>
      <w:r w:rsidRPr="00A4266F">
        <w:rPr>
          <w:b/>
          <w:color w:val="000000"/>
          <w:sz w:val="28"/>
          <w:lang w:eastAsia="cs-CZ"/>
        </w:rPr>
        <w:t>a</w:t>
      </w:r>
      <w:r w:rsidR="00D01D93" w:rsidRPr="00A4266F">
        <w:rPr>
          <w:b/>
          <w:color w:val="000000"/>
          <w:sz w:val="28"/>
          <w:lang w:eastAsia="cs-CZ"/>
        </w:rPr>
        <w:t> </w:t>
      </w:r>
      <w:r w:rsidRPr="00A4266F">
        <w:rPr>
          <w:b/>
          <w:color w:val="000000"/>
          <w:sz w:val="28"/>
          <w:lang w:eastAsia="cs-CZ"/>
        </w:rPr>
        <w:t xml:space="preserve">majetek a peněžní prostředky státu, se kterými je příslušná hospodařit </w:t>
      </w:r>
      <w:r w:rsidR="00A4266F" w:rsidRPr="00A4266F">
        <w:rPr>
          <w:b/>
          <w:color w:val="000000"/>
          <w:sz w:val="28"/>
          <w:lang w:eastAsia="cs-CZ"/>
        </w:rPr>
        <w:br/>
      </w:r>
      <w:r w:rsidRPr="00A4266F">
        <w:rPr>
          <w:b/>
          <w:color w:val="000000"/>
          <w:sz w:val="28"/>
          <w:lang w:eastAsia="cs-CZ"/>
        </w:rPr>
        <w:t>Národní sportovní agentura</w:t>
      </w:r>
      <w:bookmarkEnd w:id="2"/>
    </w:p>
    <w:p w14:paraId="32CB7E1C" w14:textId="77777777" w:rsidR="00FE5796" w:rsidRPr="00DC6987" w:rsidRDefault="00FE5796" w:rsidP="00EA1B15">
      <w:pPr>
        <w:spacing w:before="0"/>
        <w:rPr>
          <w:szCs w:val="22"/>
        </w:rPr>
      </w:pPr>
    </w:p>
    <w:p w14:paraId="43B1CBA4" w14:textId="77777777" w:rsidR="00D01D93" w:rsidRDefault="00D01D93" w:rsidP="00EA1B15">
      <w:pPr>
        <w:spacing w:before="0"/>
        <w:rPr>
          <w:spacing w:val="-2"/>
          <w:szCs w:val="22"/>
        </w:rPr>
      </w:pPr>
    </w:p>
    <w:p w14:paraId="16DE39C2" w14:textId="77777777" w:rsidR="00FE5796" w:rsidRPr="00A54CCC" w:rsidRDefault="00FE5796" w:rsidP="00EA1B15">
      <w:pPr>
        <w:spacing w:before="0"/>
        <w:rPr>
          <w:szCs w:val="22"/>
        </w:rPr>
      </w:pPr>
      <w:r w:rsidRPr="00A54CCC">
        <w:rPr>
          <w:spacing w:val="-2"/>
          <w:szCs w:val="22"/>
        </w:rPr>
        <w:t xml:space="preserve">Kontrolní akce byla zařazena do plánu kontrolní činnosti Nejvyššího kontrolního úřadu </w:t>
      </w:r>
      <w:r w:rsidR="00DB7B55" w:rsidRPr="00A54CCC">
        <w:rPr>
          <w:szCs w:val="22"/>
        </w:rPr>
        <w:t>(dále</w:t>
      </w:r>
      <w:r w:rsidR="002A03F3">
        <w:rPr>
          <w:szCs w:val="22"/>
        </w:rPr>
        <w:t> </w:t>
      </w:r>
      <w:r w:rsidR="00F0221A" w:rsidRPr="00A54CCC">
        <w:rPr>
          <w:szCs w:val="22"/>
        </w:rPr>
        <w:t>také</w:t>
      </w:r>
      <w:r w:rsidR="00DB7B55" w:rsidRPr="00A54CCC">
        <w:rPr>
          <w:szCs w:val="22"/>
        </w:rPr>
        <w:t xml:space="preserve"> „NKÚ“) na rok 20</w:t>
      </w:r>
      <w:r w:rsidR="00F0221A" w:rsidRPr="00A54CCC">
        <w:rPr>
          <w:szCs w:val="22"/>
        </w:rPr>
        <w:t>2</w:t>
      </w:r>
      <w:r w:rsidR="007275C9">
        <w:rPr>
          <w:szCs w:val="22"/>
        </w:rPr>
        <w:t>3</w:t>
      </w:r>
      <w:r w:rsidRPr="00A54CCC">
        <w:rPr>
          <w:szCs w:val="22"/>
        </w:rPr>
        <w:t xml:space="preserve"> pod číslem </w:t>
      </w:r>
      <w:r w:rsidR="00F0221A" w:rsidRPr="00A54CCC">
        <w:rPr>
          <w:szCs w:val="22"/>
        </w:rPr>
        <w:t>2</w:t>
      </w:r>
      <w:r w:rsidR="007275C9">
        <w:rPr>
          <w:szCs w:val="22"/>
        </w:rPr>
        <w:t>3</w:t>
      </w:r>
      <w:r w:rsidR="00DB7B55" w:rsidRPr="00A54CCC">
        <w:rPr>
          <w:szCs w:val="22"/>
        </w:rPr>
        <w:t>/0</w:t>
      </w:r>
      <w:r w:rsidR="007275C9">
        <w:rPr>
          <w:szCs w:val="22"/>
        </w:rPr>
        <w:t>4</w:t>
      </w:r>
      <w:r w:rsidRPr="00A54CCC">
        <w:rPr>
          <w:szCs w:val="22"/>
        </w:rPr>
        <w:t>. Kontrolní akci řídi</w:t>
      </w:r>
      <w:r w:rsidR="0076342A" w:rsidRPr="00A54CCC">
        <w:rPr>
          <w:szCs w:val="22"/>
        </w:rPr>
        <w:t>l</w:t>
      </w:r>
      <w:r w:rsidR="00DB7B55" w:rsidRPr="00A54CCC">
        <w:rPr>
          <w:szCs w:val="22"/>
        </w:rPr>
        <w:t xml:space="preserve"> a kontrolní závěr vypracoval člen</w:t>
      </w:r>
      <w:r w:rsidRPr="00A54CCC">
        <w:rPr>
          <w:szCs w:val="22"/>
        </w:rPr>
        <w:t xml:space="preserve"> NKÚ </w:t>
      </w:r>
      <w:r w:rsidR="007275C9">
        <w:rPr>
          <w:szCs w:val="22"/>
        </w:rPr>
        <w:t xml:space="preserve">JUDr. </w:t>
      </w:r>
      <w:r w:rsidR="00DB7B55" w:rsidRPr="00A54CCC">
        <w:rPr>
          <w:noProof/>
          <w:szCs w:val="22"/>
        </w:rPr>
        <w:t xml:space="preserve">Ing. </w:t>
      </w:r>
      <w:r w:rsidR="007275C9">
        <w:rPr>
          <w:noProof/>
          <w:szCs w:val="22"/>
        </w:rPr>
        <w:t>Jiří Kalivoda</w:t>
      </w:r>
      <w:r w:rsidRPr="00A54CCC">
        <w:rPr>
          <w:szCs w:val="22"/>
        </w:rPr>
        <w:t xml:space="preserve">. </w:t>
      </w:r>
    </w:p>
    <w:p w14:paraId="665A7F85" w14:textId="77777777" w:rsidR="00A54CCC" w:rsidRPr="00A54CCC" w:rsidRDefault="00A54CCC" w:rsidP="00EA1B15">
      <w:pPr>
        <w:spacing w:before="0"/>
        <w:rPr>
          <w:szCs w:val="22"/>
        </w:rPr>
      </w:pPr>
    </w:p>
    <w:p w14:paraId="38DB0C6D" w14:textId="1B34B063" w:rsidR="00A54CCC" w:rsidRPr="0078650F" w:rsidRDefault="00FE5796" w:rsidP="00EA1B15">
      <w:pPr>
        <w:spacing w:before="0"/>
        <w:rPr>
          <w:szCs w:val="22"/>
        </w:rPr>
      </w:pPr>
      <w:r w:rsidRPr="1E8E4D5B">
        <w:t>Cílem kontroly bylo prověřit</w:t>
      </w:r>
      <w:r w:rsidR="00F0221A" w:rsidRPr="1E8E4D5B">
        <w:t xml:space="preserve">, zda </w:t>
      </w:r>
      <w:r w:rsidR="00D870F3" w:rsidRPr="1E8E4D5B">
        <w:t>p</w:t>
      </w:r>
      <w:r w:rsidR="0078650F" w:rsidRPr="1E8E4D5B">
        <w:t>eněžní prostředky státu určené na podporu sportu a</w:t>
      </w:r>
      <w:r w:rsidR="00F6678D">
        <w:t> </w:t>
      </w:r>
      <w:r w:rsidR="0078650F" w:rsidRPr="1E8E4D5B">
        <w:t>sportovní reprezentaci byly vynakládány účelně a v souladu s právními předpisy a</w:t>
      </w:r>
      <w:r w:rsidR="002A03F3">
        <w:t> </w:t>
      </w:r>
      <w:r w:rsidR="0078650F" w:rsidRPr="1E8E4D5B">
        <w:t>zda</w:t>
      </w:r>
      <w:r w:rsidR="00A4266F">
        <w:t xml:space="preserve"> </w:t>
      </w:r>
      <w:r w:rsidR="0078650F" w:rsidRPr="1E8E4D5B">
        <w:t>Národní sportovní agentura hospodařila s majetkem a peněžními prostředky státu na</w:t>
      </w:r>
      <w:r w:rsidR="00A4266F">
        <w:t xml:space="preserve"> </w:t>
      </w:r>
      <w:r w:rsidR="0078650F" w:rsidRPr="1E8E4D5B">
        <w:t>zabezpečení své činnosti hospodárně a v souladu s právními předpisy.</w:t>
      </w:r>
    </w:p>
    <w:p w14:paraId="467875C8" w14:textId="77777777" w:rsidR="1E8E4D5B" w:rsidRDefault="1E8E4D5B" w:rsidP="00EA1B15">
      <w:pPr>
        <w:spacing w:before="0"/>
      </w:pPr>
    </w:p>
    <w:p w14:paraId="164B5EBD" w14:textId="77777777" w:rsidR="00FE5796" w:rsidRPr="00A54CCC" w:rsidRDefault="00FE5796" w:rsidP="00EA1B15">
      <w:pPr>
        <w:spacing w:before="0"/>
      </w:pPr>
      <w:r w:rsidRPr="1E8E4D5B">
        <w:t xml:space="preserve">Kontrola byla prováděna </w:t>
      </w:r>
      <w:r w:rsidR="000529F2" w:rsidRPr="1E8E4D5B">
        <w:t xml:space="preserve">u kontrolovaných osob </w:t>
      </w:r>
      <w:r w:rsidRPr="1E8E4D5B">
        <w:t xml:space="preserve">od </w:t>
      </w:r>
      <w:r w:rsidR="0078650F" w:rsidRPr="1E8E4D5B">
        <w:t>ledn</w:t>
      </w:r>
      <w:r w:rsidR="00F0221A" w:rsidRPr="1E8E4D5B">
        <w:t>a</w:t>
      </w:r>
      <w:r w:rsidRPr="1E8E4D5B">
        <w:t xml:space="preserve"> do </w:t>
      </w:r>
      <w:r w:rsidR="0078650F" w:rsidRPr="1E8E4D5B">
        <w:t>září</w:t>
      </w:r>
      <w:r w:rsidRPr="1E8E4D5B">
        <w:t xml:space="preserve"> 20</w:t>
      </w:r>
      <w:r w:rsidR="000529F2" w:rsidRPr="1E8E4D5B">
        <w:t>2</w:t>
      </w:r>
      <w:r w:rsidR="1F6E264F" w:rsidRPr="1E8E4D5B">
        <w:t>3</w:t>
      </w:r>
      <w:r w:rsidRPr="1E8E4D5B">
        <w:t xml:space="preserve">. </w:t>
      </w:r>
    </w:p>
    <w:p w14:paraId="647E2D68" w14:textId="77777777" w:rsidR="00A54CCC" w:rsidRPr="00A54CCC" w:rsidRDefault="00A54CCC" w:rsidP="00EA1B15">
      <w:pPr>
        <w:spacing w:before="0"/>
        <w:rPr>
          <w:szCs w:val="22"/>
        </w:rPr>
      </w:pPr>
    </w:p>
    <w:p w14:paraId="57A0EA30" w14:textId="77777777" w:rsidR="000529F2" w:rsidRPr="00A54CCC" w:rsidRDefault="000529F2" w:rsidP="00EA1B15">
      <w:pPr>
        <w:spacing w:before="0"/>
        <w:rPr>
          <w:szCs w:val="22"/>
        </w:rPr>
      </w:pPr>
      <w:r w:rsidRPr="00A54CCC">
        <w:rPr>
          <w:szCs w:val="22"/>
        </w:rPr>
        <w:t>Kontrolovaným obdobím byly roky 201</w:t>
      </w:r>
      <w:r w:rsidR="0078650F">
        <w:rPr>
          <w:szCs w:val="22"/>
        </w:rPr>
        <w:t>9</w:t>
      </w:r>
      <w:r w:rsidRPr="00A54CCC">
        <w:rPr>
          <w:szCs w:val="22"/>
        </w:rPr>
        <w:t xml:space="preserve"> až 202</w:t>
      </w:r>
      <w:r w:rsidR="0078650F">
        <w:rPr>
          <w:szCs w:val="22"/>
        </w:rPr>
        <w:t>2</w:t>
      </w:r>
      <w:r w:rsidRPr="00A54CCC">
        <w:rPr>
          <w:szCs w:val="22"/>
        </w:rPr>
        <w:t>, v případě věcných souvislostí i období předcházející či následující.</w:t>
      </w:r>
    </w:p>
    <w:p w14:paraId="5345137F" w14:textId="77777777" w:rsidR="00A54CCC" w:rsidRPr="00A54CCC" w:rsidRDefault="00A54CCC" w:rsidP="00EA1B15">
      <w:pPr>
        <w:spacing w:before="0"/>
        <w:rPr>
          <w:szCs w:val="22"/>
        </w:rPr>
      </w:pPr>
    </w:p>
    <w:p w14:paraId="1C09C3BC" w14:textId="77777777" w:rsidR="00FE5796" w:rsidRPr="00A54CCC" w:rsidRDefault="00FE5796" w:rsidP="00EA1B15">
      <w:pPr>
        <w:spacing w:before="0"/>
        <w:rPr>
          <w:b/>
          <w:szCs w:val="22"/>
        </w:rPr>
      </w:pPr>
      <w:r w:rsidRPr="00A54CCC">
        <w:rPr>
          <w:b/>
          <w:szCs w:val="22"/>
        </w:rPr>
        <w:t>Kontrolované osoby:</w:t>
      </w:r>
      <w:r w:rsidRPr="00A54CCC">
        <w:rPr>
          <w:b/>
          <w:szCs w:val="22"/>
        </w:rPr>
        <w:tab/>
      </w:r>
    </w:p>
    <w:p w14:paraId="3DA6B98C" w14:textId="77777777" w:rsidR="0078650F" w:rsidRPr="00A4266F" w:rsidRDefault="0078650F" w:rsidP="00EA1B15">
      <w:pPr>
        <w:spacing w:before="0"/>
      </w:pPr>
      <w:r w:rsidRPr="00A4266F">
        <w:t>Ministerstvo školství, mládeže a tělovýchovy (dále také „MŠMT);</w:t>
      </w:r>
    </w:p>
    <w:p w14:paraId="4028F6D1" w14:textId="77777777" w:rsidR="005B06EE" w:rsidRPr="00A4266F" w:rsidRDefault="000529F2" w:rsidP="00EA1B15">
      <w:pPr>
        <w:spacing w:before="0"/>
      </w:pPr>
      <w:r w:rsidRPr="00A4266F">
        <w:t xml:space="preserve">Národní </w:t>
      </w:r>
      <w:r w:rsidR="0078650F" w:rsidRPr="00A4266F">
        <w:t>sportovní agentura</w:t>
      </w:r>
      <w:r w:rsidR="00102C17" w:rsidRPr="00A4266F">
        <w:t xml:space="preserve">, Praha </w:t>
      </w:r>
      <w:r w:rsidR="005F385B" w:rsidRPr="00A4266F">
        <w:t>(dále také „N</w:t>
      </w:r>
      <w:r w:rsidR="0078650F" w:rsidRPr="00A4266F">
        <w:t>SA</w:t>
      </w:r>
      <w:r w:rsidR="005F385B" w:rsidRPr="00A4266F">
        <w:t>“)</w:t>
      </w:r>
      <w:r w:rsidR="0078650F" w:rsidRPr="00A4266F">
        <w:t>.</w:t>
      </w:r>
    </w:p>
    <w:p w14:paraId="7E918A49" w14:textId="77777777" w:rsidR="00FE5796" w:rsidRDefault="00FE5796" w:rsidP="00EA1B15">
      <w:pPr>
        <w:spacing w:before="0"/>
        <w:rPr>
          <w:rFonts w:cs="Arial"/>
          <w:spacing w:val="-4"/>
        </w:rPr>
      </w:pPr>
    </w:p>
    <w:p w14:paraId="307314F9" w14:textId="77777777" w:rsidR="00383557" w:rsidRPr="00DC6987" w:rsidRDefault="00383557" w:rsidP="00EA1B15">
      <w:pPr>
        <w:spacing w:before="0"/>
        <w:rPr>
          <w:rFonts w:cs="Arial"/>
        </w:rPr>
      </w:pPr>
    </w:p>
    <w:p w14:paraId="49F85113" w14:textId="77777777" w:rsidR="00FE5796" w:rsidRPr="00A4266F" w:rsidRDefault="00FE5796" w:rsidP="00E545C6">
      <w:pPr>
        <w:pStyle w:val="Zkladntext"/>
        <w:spacing w:line="240" w:lineRule="auto"/>
      </w:pPr>
      <w:r w:rsidRPr="00A4266F">
        <w:rPr>
          <w:b/>
          <w:i/>
          <w:spacing w:val="60"/>
        </w:rPr>
        <w:t>Kolegium NKÚ</w:t>
      </w:r>
      <w:r w:rsidRPr="00A4266F">
        <w:rPr>
          <w:b/>
          <w:i/>
        </w:rPr>
        <w:t xml:space="preserve"> </w:t>
      </w:r>
      <w:r w:rsidRPr="00A4266F">
        <w:t xml:space="preserve">na svém </w:t>
      </w:r>
      <w:r w:rsidR="006D5DFA" w:rsidRPr="00A4266F">
        <w:t>XVIII. jednání</w:t>
      </w:r>
      <w:r w:rsidRPr="00A4266F">
        <w:t>, k</w:t>
      </w:r>
      <w:r w:rsidR="006D5DFA" w:rsidRPr="00A4266F">
        <w:t xml:space="preserve">teré se konalo 11. prosince </w:t>
      </w:r>
      <w:r w:rsidRPr="00A4266F">
        <w:t>20</w:t>
      </w:r>
      <w:r w:rsidR="000529F2" w:rsidRPr="00A4266F">
        <w:t>2</w:t>
      </w:r>
      <w:r w:rsidR="0078650F" w:rsidRPr="00A4266F">
        <w:t>3</w:t>
      </w:r>
      <w:r w:rsidRPr="00A4266F">
        <w:t>,</w:t>
      </w:r>
    </w:p>
    <w:p w14:paraId="564B1DB8" w14:textId="77777777" w:rsidR="00FE5796" w:rsidRPr="00A4266F" w:rsidRDefault="00FE5796" w:rsidP="00E545C6">
      <w:pPr>
        <w:rPr>
          <w:shd w:val="clear" w:color="auto" w:fill="FFFF00"/>
        </w:rPr>
      </w:pPr>
      <w:r w:rsidRPr="00A4266F">
        <w:rPr>
          <w:b/>
          <w:i/>
          <w:spacing w:val="60"/>
        </w:rPr>
        <w:t>schválilo</w:t>
      </w:r>
      <w:r w:rsidRPr="00A4266F">
        <w:rPr>
          <w:b/>
          <w:i/>
        </w:rPr>
        <w:t xml:space="preserve"> </w:t>
      </w:r>
      <w:r w:rsidRPr="00A4266F">
        <w:t xml:space="preserve">usnesením č. </w:t>
      </w:r>
      <w:r w:rsidR="002A5F63" w:rsidRPr="00A4266F">
        <w:t>5</w:t>
      </w:r>
      <w:r w:rsidRPr="00A4266F">
        <w:t>/</w:t>
      </w:r>
      <w:r w:rsidR="006D5DFA" w:rsidRPr="00A4266F">
        <w:t>XVIII</w:t>
      </w:r>
      <w:r w:rsidRPr="00A4266F">
        <w:t>/20</w:t>
      </w:r>
      <w:r w:rsidR="000529F2" w:rsidRPr="00A4266F">
        <w:t>2</w:t>
      </w:r>
      <w:r w:rsidR="0078650F" w:rsidRPr="00A4266F">
        <w:t>3</w:t>
      </w:r>
    </w:p>
    <w:p w14:paraId="1ABFF131" w14:textId="77777777" w:rsidR="00FE5796" w:rsidRPr="00A4266F" w:rsidRDefault="00FE5796" w:rsidP="00E545C6">
      <w:r w:rsidRPr="00A4266F">
        <w:rPr>
          <w:b/>
          <w:i/>
          <w:spacing w:val="60"/>
        </w:rPr>
        <w:t>kontrolní</w:t>
      </w:r>
      <w:r w:rsidRPr="00A4266F">
        <w:rPr>
          <w:b/>
          <w:i/>
        </w:rPr>
        <w:t xml:space="preserve"> </w:t>
      </w:r>
      <w:r w:rsidRPr="00A4266F">
        <w:rPr>
          <w:b/>
          <w:i/>
          <w:spacing w:val="60"/>
        </w:rPr>
        <w:t>závěr</w:t>
      </w:r>
      <w:r w:rsidRPr="00A4266F">
        <w:rPr>
          <w:i/>
        </w:rPr>
        <w:t xml:space="preserve"> </w:t>
      </w:r>
      <w:r w:rsidRPr="00A4266F">
        <w:t>v tomto znění:</w:t>
      </w:r>
    </w:p>
    <w:p w14:paraId="50949401" w14:textId="77777777" w:rsidR="00EA1B15" w:rsidRPr="00A4266F" w:rsidRDefault="00EA1B15">
      <w:pPr>
        <w:suppressAutoHyphens w:val="0"/>
        <w:spacing w:before="120" w:line="276" w:lineRule="auto"/>
      </w:pPr>
      <w:r w:rsidRPr="00A4266F">
        <w:br w:type="page"/>
      </w:r>
    </w:p>
    <w:p w14:paraId="6EFED4D5" w14:textId="77777777" w:rsidR="00B66DC3" w:rsidRPr="00B66DC3" w:rsidRDefault="005F1295" w:rsidP="00B66DC3">
      <w:pPr>
        <w:jc w:val="center"/>
        <w:rPr>
          <w:rFonts w:cs="Arial"/>
          <w:b/>
          <w:sz w:val="36"/>
          <w:szCs w:val="36"/>
        </w:rPr>
      </w:pPr>
      <w:r w:rsidRPr="005F1295">
        <w:rPr>
          <w:rFonts w:cs="Arial"/>
          <w:b/>
          <w:sz w:val="36"/>
          <w:szCs w:val="36"/>
        </w:rPr>
        <w:lastRenderedPageBreak/>
        <w:t>PODPORA SPORTU V ČR A HOSPODAŘENÍ NSA</w:t>
      </w:r>
    </w:p>
    <w:p w14:paraId="4137F3DA" w14:textId="77777777" w:rsidR="00EB43B4" w:rsidRPr="007A5908" w:rsidRDefault="00EB43B4" w:rsidP="00EB43B4">
      <w:pPr>
        <w:tabs>
          <w:tab w:val="left" w:pos="1980"/>
        </w:tabs>
        <w:spacing w:before="0"/>
        <w:jc w:val="center"/>
        <w:rPr>
          <w:b/>
          <w:color w:val="FFFFFF" w:themeColor="background1"/>
        </w:rPr>
      </w:pPr>
      <w:r w:rsidRPr="007A5908">
        <w:rPr>
          <w:noProof/>
          <w:color w:val="FFFFFF" w:themeColor="background1"/>
          <w:sz w:val="36"/>
          <w:szCs w:val="36"/>
          <w:lang w:eastAsia="cs-CZ"/>
        </w:rPr>
        <w:drawing>
          <wp:anchor distT="0" distB="0" distL="114300" distR="114300" simplePos="0" relativeHeight="251652096" behindDoc="1" locked="0" layoutInCell="1" allowOverlap="1" wp14:anchorId="02BB5CCC" wp14:editId="26910221">
            <wp:simplePos x="0" y="0"/>
            <wp:positionH relativeFrom="margin">
              <wp:posOffset>3338250</wp:posOffset>
            </wp:positionH>
            <wp:positionV relativeFrom="paragraph">
              <wp:posOffset>30039</wp:posOffset>
            </wp:positionV>
            <wp:extent cx="2931795" cy="3142394"/>
            <wp:effectExtent l="0" t="0" r="1905" b="1270"/>
            <wp:wrapNone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64EC43E4-9FAE-492B-8467-4CEA2FC023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5908">
        <w:rPr>
          <w:b/>
          <w:noProof/>
          <w:color w:val="FFFFFF" w:themeColor="background1"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3A48D" wp14:editId="240B6CCE">
                <wp:simplePos x="0" y="0"/>
                <wp:positionH relativeFrom="margin">
                  <wp:posOffset>42242</wp:posOffset>
                </wp:positionH>
                <wp:positionV relativeFrom="paragraph">
                  <wp:posOffset>103229</wp:posOffset>
                </wp:positionV>
                <wp:extent cx="577723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D7AE5" id="Přímá spojnice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35pt,8.15pt" to="458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" strokecolor="black [3213]">
                <w10:wrap anchorx="margin"/>
              </v:line>
            </w:pict>
          </mc:Fallback>
        </mc:AlternateContent>
      </w:r>
    </w:p>
    <w:p w14:paraId="1A92D16F" w14:textId="77777777" w:rsidR="00E7426F" w:rsidRDefault="00EB43B4" w:rsidP="00E7426F">
      <w:pPr>
        <w:tabs>
          <w:tab w:val="left" w:pos="1980"/>
          <w:tab w:val="center" w:pos="4536"/>
          <w:tab w:val="left" w:pos="8127"/>
        </w:tabs>
        <w:spacing w:before="360"/>
        <w:jc w:val="center"/>
        <w:rPr>
          <w:bCs/>
          <w:sz w:val="20"/>
          <w:szCs w:val="20"/>
        </w:rPr>
      </w:pPr>
      <w:r w:rsidRPr="00EB43B4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43904" behindDoc="0" locked="0" layoutInCell="1" allowOverlap="1" wp14:anchorId="0D35C9FD" wp14:editId="6559D2E1">
            <wp:simplePos x="0" y="0"/>
            <wp:positionH relativeFrom="margin">
              <wp:posOffset>-96713</wp:posOffset>
            </wp:positionH>
            <wp:positionV relativeFrom="paragraph">
              <wp:posOffset>82523</wp:posOffset>
            </wp:positionV>
            <wp:extent cx="1808480" cy="2838588"/>
            <wp:effectExtent l="0" t="0" r="1270" b="0"/>
            <wp:wrapNone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5E1A3466-52E8-45F8-B737-07FA4C662B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E19" w:rsidRPr="00EB43B4">
        <w:rPr>
          <w:b/>
          <w:sz w:val="36"/>
          <w:szCs w:val="36"/>
        </w:rPr>
        <w:t>14</w:t>
      </w:r>
      <w:r w:rsidR="007A258F" w:rsidRPr="00EB43B4">
        <w:rPr>
          <w:b/>
          <w:sz w:val="36"/>
          <w:szCs w:val="36"/>
        </w:rPr>
        <w:t> </w:t>
      </w:r>
      <w:r w:rsidR="00422E19" w:rsidRPr="00EB43B4">
        <w:rPr>
          <w:b/>
          <w:sz w:val="36"/>
          <w:szCs w:val="36"/>
        </w:rPr>
        <w:t>228</w:t>
      </w:r>
    </w:p>
    <w:p w14:paraId="0D793DA2" w14:textId="77777777" w:rsidR="00422E19" w:rsidRPr="00A4266F" w:rsidRDefault="00422E19" w:rsidP="0032176C">
      <w:pPr>
        <w:pStyle w:val="Default"/>
        <w:spacing w:before="60"/>
        <w:jc w:val="center"/>
        <w:rPr>
          <w:bCs/>
        </w:rPr>
      </w:pPr>
      <w:r w:rsidRPr="00A4266F">
        <w:rPr>
          <w:bCs/>
          <w:szCs w:val="20"/>
        </w:rPr>
        <w:t xml:space="preserve">Počet sportovních organizací </w:t>
      </w:r>
      <w:r w:rsidR="00E7426F" w:rsidRPr="00A4266F">
        <w:rPr>
          <w:bCs/>
          <w:szCs w:val="20"/>
        </w:rPr>
        <w:br/>
      </w:r>
      <w:r w:rsidRPr="00A4266F">
        <w:rPr>
          <w:bCs/>
          <w:szCs w:val="20"/>
        </w:rPr>
        <w:t>v</w:t>
      </w:r>
      <w:r w:rsidR="00E7426F" w:rsidRPr="00A4266F">
        <w:rPr>
          <w:bCs/>
          <w:szCs w:val="20"/>
        </w:rPr>
        <w:t> </w:t>
      </w:r>
      <w:r w:rsidRPr="00A4266F">
        <w:rPr>
          <w:bCs/>
          <w:szCs w:val="20"/>
        </w:rPr>
        <w:t>rejstříku</w:t>
      </w:r>
      <w:r w:rsidR="003E6830" w:rsidRPr="00A4266F">
        <w:rPr>
          <w:rStyle w:val="Znakapoznpodarou"/>
          <w:bCs/>
          <w:szCs w:val="20"/>
        </w:rPr>
        <w:footnoteReference w:id="2"/>
      </w:r>
    </w:p>
    <w:p w14:paraId="7F3E2D10" w14:textId="77777777" w:rsidR="00422E19" w:rsidRPr="007A5908" w:rsidRDefault="00422E19" w:rsidP="00422E19">
      <w:pPr>
        <w:jc w:val="center"/>
        <w:rPr>
          <w:b/>
          <w:color w:val="FFFFFF" w:themeColor="background1"/>
        </w:rPr>
      </w:pPr>
    </w:p>
    <w:p w14:paraId="0F53CE61" w14:textId="77777777" w:rsidR="00422E19" w:rsidRDefault="007A258F" w:rsidP="00422E19">
      <w:pPr>
        <w:rPr>
          <w:b/>
        </w:rPr>
      </w:pPr>
      <w:r w:rsidRPr="007A258F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B9A7F92" wp14:editId="41FBFCD8">
                <wp:simplePos x="0" y="0"/>
                <wp:positionH relativeFrom="column">
                  <wp:posOffset>1791335</wp:posOffset>
                </wp:positionH>
                <wp:positionV relativeFrom="paragraph">
                  <wp:posOffset>276860</wp:posOffset>
                </wp:positionV>
                <wp:extent cx="2052320" cy="1077595"/>
                <wp:effectExtent l="0" t="0" r="5080" b="8255"/>
                <wp:wrapSquare wrapText="bothSides"/>
                <wp:docPr id="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BB238" w14:textId="77777777" w:rsidR="00432ACE" w:rsidRPr="007A258F" w:rsidRDefault="00432ACE" w:rsidP="00B66DC3">
                            <w:pPr>
                              <w:spacing w:before="1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A258F">
                              <w:rPr>
                                <w:b/>
                                <w:sz w:val="36"/>
                                <w:szCs w:val="36"/>
                              </w:rPr>
                              <w:t>26,5 mld. Kč</w:t>
                            </w:r>
                          </w:p>
                          <w:p w14:paraId="6A40F24C" w14:textId="7CDB9B99" w:rsidR="00432ACE" w:rsidRPr="00A4266F" w:rsidRDefault="00432ACE" w:rsidP="00B66DC3">
                            <w:pPr>
                              <w:spacing w:before="120"/>
                              <w:jc w:val="center"/>
                            </w:pPr>
                            <w:r w:rsidRPr="00A4266F">
                              <w:t>Podpora sportu MŠMT a</w:t>
                            </w:r>
                            <w:r>
                              <w:t> </w:t>
                            </w:r>
                            <w:r w:rsidRPr="00A4266F">
                              <w:t>NSA v letech 2019</w:t>
                            </w:r>
                            <w:r>
                              <w:t>–</w:t>
                            </w:r>
                            <w:r w:rsidRPr="00A4266F"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A7F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1.05pt;margin-top:21.8pt;width:161.6pt;height:84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" stroked="f">
                <v:textbox>
                  <w:txbxContent>
                    <w:p w14:paraId="608BB238" w14:textId="77777777" w:rsidR="00432ACE" w:rsidRPr="007A258F" w:rsidRDefault="00432ACE" w:rsidP="00B66DC3">
                      <w:pPr>
                        <w:spacing w:before="1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A258F">
                        <w:rPr>
                          <w:b/>
                          <w:sz w:val="36"/>
                          <w:szCs w:val="36"/>
                        </w:rPr>
                        <w:t>26,5 mld. Kč</w:t>
                      </w:r>
                    </w:p>
                    <w:p w14:paraId="6A40F24C" w14:textId="7CDB9B99" w:rsidR="00432ACE" w:rsidRPr="00A4266F" w:rsidRDefault="00432ACE" w:rsidP="00B66DC3">
                      <w:pPr>
                        <w:spacing w:before="120"/>
                        <w:jc w:val="center"/>
                      </w:pPr>
                      <w:r w:rsidRPr="00A4266F">
                        <w:t>Podpora sportu MŠMT a</w:t>
                      </w:r>
                      <w:r>
                        <w:t> </w:t>
                      </w:r>
                      <w:r w:rsidRPr="00A4266F">
                        <w:t>NSA v letech 2019</w:t>
                      </w:r>
                      <w:r>
                        <w:t>–</w:t>
                      </w:r>
                      <w:r w:rsidRPr="00A4266F"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21139E" w14:textId="77777777" w:rsidR="00422E19" w:rsidRDefault="00422E19" w:rsidP="00422E19">
      <w:pPr>
        <w:rPr>
          <w:b/>
        </w:rPr>
      </w:pPr>
    </w:p>
    <w:p w14:paraId="18FA469A" w14:textId="77777777" w:rsidR="00422E19" w:rsidRDefault="00422E19" w:rsidP="00422E19">
      <w:pPr>
        <w:rPr>
          <w:b/>
        </w:rPr>
      </w:pPr>
    </w:p>
    <w:p w14:paraId="5473503F" w14:textId="77777777" w:rsidR="00422E19" w:rsidRDefault="00422E19" w:rsidP="00422E19">
      <w:pPr>
        <w:rPr>
          <w:b/>
        </w:rPr>
      </w:pPr>
    </w:p>
    <w:p w14:paraId="66DA539B" w14:textId="503768FD" w:rsidR="00422E19" w:rsidRDefault="00422E19" w:rsidP="00422E19">
      <w:pPr>
        <w:rPr>
          <w:b/>
        </w:rPr>
      </w:pPr>
    </w:p>
    <w:tbl>
      <w:tblPr>
        <w:tblpPr w:leftFromText="141" w:rightFromText="141" w:vertAnchor="text" w:horzAnchor="margin" w:tblpY="265"/>
        <w:tblOverlap w:val="never"/>
        <w:tblW w:w="5061" w:type="pct"/>
        <w:tblBorders>
          <w:top w:val="single" w:sz="4" w:space="0" w:color="auto"/>
          <w:bottom w:val="single" w:sz="4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291"/>
        <w:gridCol w:w="2835"/>
        <w:gridCol w:w="3401"/>
      </w:tblGrid>
      <w:tr w:rsidR="00422E19" w:rsidRPr="00E06AAB" w14:paraId="7807D91E" w14:textId="77777777" w:rsidTr="0068326D">
        <w:trPr>
          <w:trHeight w:val="1158"/>
        </w:trPr>
        <w:tc>
          <w:tcPr>
            <w:tcW w:w="1727" w:type="pct"/>
          </w:tcPr>
          <w:p w14:paraId="60C64F87" w14:textId="77777777" w:rsidR="00422E19" w:rsidRPr="009F0AC7" w:rsidRDefault="00E33336" w:rsidP="00B66DC3">
            <w:pPr>
              <w:spacing w:before="60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NSA</w:t>
            </w:r>
          </w:p>
          <w:p w14:paraId="32E5CF4D" w14:textId="77777777" w:rsidR="00422E19" w:rsidRPr="00762D80" w:rsidRDefault="00E33336" w:rsidP="00332E6F">
            <w:pPr>
              <w:spacing w:before="0" w:after="120"/>
              <w:jc w:val="center"/>
              <w:rPr>
                <w:rStyle w:val="A1"/>
                <w:sz w:val="20"/>
                <w:szCs w:val="20"/>
              </w:rPr>
            </w:pPr>
            <w:r w:rsidRPr="00A4266F">
              <w:rPr>
                <w:bCs/>
                <w:szCs w:val="20"/>
              </w:rPr>
              <w:t>Údaje o hospodaření</w:t>
            </w:r>
            <w:r w:rsidR="00E7426F" w:rsidRPr="00A4266F">
              <w:rPr>
                <w:bCs/>
                <w:szCs w:val="20"/>
              </w:rPr>
              <w:br/>
            </w:r>
            <w:r w:rsidR="00422E19" w:rsidRPr="00A4266F">
              <w:rPr>
                <w:bCs/>
                <w:szCs w:val="20"/>
              </w:rPr>
              <w:t>v roce 2022</w:t>
            </w:r>
          </w:p>
        </w:tc>
        <w:tc>
          <w:tcPr>
            <w:tcW w:w="1488" w:type="pct"/>
          </w:tcPr>
          <w:p w14:paraId="354E8DF9" w14:textId="23F05ED9" w:rsidR="00E33336" w:rsidRPr="009F0AC7" w:rsidRDefault="00E33336" w:rsidP="00B66DC3">
            <w:pPr>
              <w:spacing w:before="60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88 mil. Kč</w:t>
            </w:r>
          </w:p>
          <w:p w14:paraId="21A94A7F" w14:textId="780CEB3A" w:rsidR="00422E19" w:rsidRPr="00B512E4" w:rsidRDefault="00E33336" w:rsidP="00332E6F">
            <w:pPr>
              <w:spacing w:before="0" w:after="120"/>
              <w:jc w:val="center"/>
              <w:rPr>
                <w:color w:val="000000" w:themeColor="text1"/>
              </w:rPr>
            </w:pPr>
            <w:r w:rsidRPr="00A4266F">
              <w:rPr>
                <w:bCs/>
                <w:szCs w:val="20"/>
              </w:rPr>
              <w:t xml:space="preserve">Náklady na provoz </w:t>
            </w:r>
          </w:p>
        </w:tc>
        <w:tc>
          <w:tcPr>
            <w:tcW w:w="1785" w:type="pct"/>
          </w:tcPr>
          <w:p w14:paraId="769BB716" w14:textId="77777777" w:rsidR="00422E19" w:rsidRPr="009F0AC7" w:rsidRDefault="00422E19" w:rsidP="00B66DC3">
            <w:pPr>
              <w:spacing w:before="60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7 mil. Kč</w:t>
            </w:r>
          </w:p>
          <w:p w14:paraId="4ECBB5BC" w14:textId="22FF35A4" w:rsidR="00422E19" w:rsidRPr="00762D80" w:rsidRDefault="00422E19" w:rsidP="00332E6F">
            <w:pPr>
              <w:spacing w:before="0" w:after="120"/>
              <w:jc w:val="center"/>
              <w:rPr>
                <w:sz w:val="22"/>
                <w:szCs w:val="22"/>
              </w:rPr>
            </w:pPr>
            <w:r w:rsidRPr="00A4266F">
              <w:rPr>
                <w:bCs/>
                <w:szCs w:val="20"/>
              </w:rPr>
              <w:t xml:space="preserve">Hodnota </w:t>
            </w:r>
            <w:r w:rsidR="00332E6F">
              <w:rPr>
                <w:bCs/>
                <w:szCs w:val="20"/>
              </w:rPr>
              <w:br/>
            </w:r>
            <w:r w:rsidRPr="00A4266F">
              <w:rPr>
                <w:bCs/>
                <w:szCs w:val="20"/>
              </w:rPr>
              <w:t xml:space="preserve">dlouhodobého majetku </w:t>
            </w:r>
          </w:p>
        </w:tc>
      </w:tr>
    </w:tbl>
    <w:p w14:paraId="5BD6A1C3" w14:textId="4509BD39" w:rsidR="00332E6F" w:rsidRPr="00E7426F" w:rsidRDefault="00332E6F" w:rsidP="00B66DC3">
      <w:pPr>
        <w:tabs>
          <w:tab w:val="left" w:pos="1747"/>
          <w:tab w:val="center" w:pos="4536"/>
        </w:tabs>
        <w:rPr>
          <w:rFonts w:eastAsiaTheme="minorHAnsi"/>
          <w:bCs/>
          <w:color w:val="000000"/>
          <w:sz w:val="20"/>
          <w:lang w:eastAsia="en-US"/>
        </w:rPr>
      </w:pPr>
      <w:r w:rsidRPr="00E7426F">
        <w:rPr>
          <w:rFonts w:eastAsiaTheme="minorHAnsi"/>
          <w:bCs/>
          <w:noProof/>
          <w:color w:val="000000"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5C2C8" wp14:editId="7B1FD503">
                <wp:simplePos x="0" y="0"/>
                <wp:positionH relativeFrom="column">
                  <wp:posOffset>558117</wp:posOffset>
                </wp:positionH>
                <wp:positionV relativeFrom="paragraph">
                  <wp:posOffset>1278698</wp:posOffset>
                </wp:positionV>
                <wp:extent cx="4859655" cy="971550"/>
                <wp:effectExtent l="19050" t="19050" r="17145" b="19050"/>
                <wp:wrapNone/>
                <wp:docPr id="12" name="Obdélník: se zakulacenými roh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971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EA2C5" id="Obdélník: se zakulacenými rohy 12" o:spid="_x0000_s1026" style="position:absolute;margin-left:43.95pt;margin-top:100.7pt;width:382.6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" filled="f" strokecolor="#c00000" strokeweight="3pt"/>
            </w:pict>
          </mc:Fallback>
        </mc:AlternateContent>
      </w:r>
    </w:p>
    <w:p w14:paraId="76150443" w14:textId="281EEA28" w:rsidR="00422E19" w:rsidRDefault="00422E19" w:rsidP="003E6830">
      <w:pPr>
        <w:pStyle w:val="Default"/>
        <w:spacing w:after="60"/>
        <w:ind w:left="709" w:firstLine="709"/>
        <w:rPr>
          <w:bCs/>
        </w:rPr>
      </w:pPr>
      <w:r w:rsidRPr="00762D80">
        <w:rPr>
          <w:b/>
          <w:bCs/>
        </w:rPr>
        <w:t>Nenaplnění</w:t>
      </w:r>
      <w:r w:rsidRPr="00762D80">
        <w:rPr>
          <w:bCs/>
        </w:rPr>
        <w:t xml:space="preserve"> očekávaných přínosů vzniku NSA</w:t>
      </w:r>
      <w:r w:rsidR="00211710">
        <w:rPr>
          <w:rStyle w:val="Znakapoznpodarou"/>
          <w:bCs/>
        </w:rPr>
        <w:footnoteReference w:id="3"/>
      </w:r>
    </w:p>
    <w:p w14:paraId="1F5167B1" w14:textId="77777777" w:rsidR="00422E19" w:rsidRDefault="00422E19" w:rsidP="003E6830">
      <w:pPr>
        <w:spacing w:before="0" w:after="60"/>
        <w:ind w:left="709" w:firstLine="709"/>
        <w:rPr>
          <w:bCs/>
        </w:rPr>
      </w:pPr>
      <w:r w:rsidRPr="00762D80">
        <w:rPr>
          <w:b/>
          <w:bCs/>
        </w:rPr>
        <w:t>Nedostatky</w:t>
      </w:r>
      <w:r w:rsidR="005F1295">
        <w:rPr>
          <w:b/>
          <w:bCs/>
        </w:rPr>
        <w:t xml:space="preserve"> </w:t>
      </w:r>
      <w:r w:rsidR="005F1295" w:rsidRPr="005F1295">
        <w:rPr>
          <w:bCs/>
        </w:rPr>
        <w:t>v</w:t>
      </w:r>
      <w:r w:rsidRPr="005F1295">
        <w:rPr>
          <w:bCs/>
        </w:rPr>
        <w:t xml:space="preserve"> </w:t>
      </w:r>
      <w:r w:rsidRPr="00762D80">
        <w:rPr>
          <w:bCs/>
        </w:rPr>
        <w:t>hospodaření a nefunkční vnitřní kontrolní systém NSA</w:t>
      </w:r>
    </w:p>
    <w:p w14:paraId="1103B3C4" w14:textId="77777777" w:rsidR="00135CC8" w:rsidRDefault="00135CC8" w:rsidP="00135CC8">
      <w:pPr>
        <w:pStyle w:val="Default"/>
        <w:spacing w:after="60"/>
        <w:ind w:left="709" w:firstLine="709"/>
        <w:jc w:val="both"/>
        <w:rPr>
          <w:bCs/>
        </w:rPr>
      </w:pPr>
      <w:r w:rsidRPr="00762D80">
        <w:rPr>
          <w:b/>
          <w:bCs/>
        </w:rPr>
        <w:t>Nevyhodnoc</w:t>
      </w:r>
      <w:r>
        <w:rPr>
          <w:b/>
          <w:bCs/>
        </w:rPr>
        <w:t>ování</w:t>
      </w:r>
      <w:r>
        <w:rPr>
          <w:bCs/>
        </w:rPr>
        <w:t xml:space="preserve"> </w:t>
      </w:r>
      <w:r w:rsidRPr="00762D80">
        <w:rPr>
          <w:bCs/>
        </w:rPr>
        <w:t>účelnosti a efektivnosti podpory v</w:t>
      </w:r>
      <w:r>
        <w:rPr>
          <w:bCs/>
        </w:rPr>
        <w:t xml:space="preserve"> </w:t>
      </w:r>
      <w:r w:rsidRPr="00762D80">
        <w:rPr>
          <w:bCs/>
        </w:rPr>
        <w:t>oblasti sportu</w:t>
      </w:r>
    </w:p>
    <w:p w14:paraId="56141E19" w14:textId="77777777" w:rsidR="005F1295" w:rsidRDefault="00B66DC3" w:rsidP="00422E1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40B2D29" wp14:editId="0F3BDF89">
            <wp:simplePos x="0" y="0"/>
            <wp:positionH relativeFrom="margin">
              <wp:posOffset>-3175</wp:posOffset>
            </wp:positionH>
            <wp:positionV relativeFrom="paragraph">
              <wp:posOffset>396875</wp:posOffset>
            </wp:positionV>
            <wp:extent cx="5758180" cy="2016125"/>
            <wp:effectExtent l="0" t="0" r="0" b="317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6" b="17612"/>
                    <a:stretch/>
                  </pic:blipFill>
                  <pic:spPr bwMode="auto">
                    <a:xfrm>
                      <a:off x="0" y="0"/>
                      <a:ext cx="5758180" cy="201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39240" w14:textId="77777777" w:rsidR="00A54CCC" w:rsidRPr="00CA6D8B" w:rsidRDefault="00A54CCC" w:rsidP="00CA6D8B">
      <w:pPr>
        <w:suppressAutoHyphens w:val="0"/>
        <w:spacing w:before="0" w:after="240"/>
        <w:jc w:val="center"/>
        <w:rPr>
          <w:rFonts w:asciiTheme="minorHAnsi" w:hAnsiTheme="minorHAnsi" w:cstheme="minorHAnsi"/>
          <w:b/>
          <w:spacing w:val="20"/>
          <w:sz w:val="28"/>
        </w:rPr>
      </w:pPr>
      <w:r w:rsidRPr="00CA6D8B">
        <w:rPr>
          <w:rFonts w:asciiTheme="minorHAnsi" w:hAnsiTheme="minorHAnsi" w:cstheme="minorHAnsi"/>
          <w:b/>
          <w:spacing w:val="20"/>
          <w:sz w:val="28"/>
        </w:rPr>
        <w:lastRenderedPageBreak/>
        <w:t>I. Shrnutí a vyhodnocení</w:t>
      </w:r>
    </w:p>
    <w:p w14:paraId="3B9E940A" w14:textId="19D4AD1E" w:rsidR="00087B85" w:rsidRDefault="00087B85" w:rsidP="00D52AA0">
      <w:pPr>
        <w:spacing w:before="120"/>
        <w:rPr>
          <w:rFonts w:asciiTheme="minorHAnsi" w:hAnsiTheme="minorHAnsi" w:cstheme="minorHAnsi"/>
        </w:rPr>
      </w:pPr>
      <w:r w:rsidRPr="00BD0991">
        <w:rPr>
          <w:rFonts w:asciiTheme="minorHAnsi" w:hAnsiTheme="minorHAnsi" w:cstheme="minorHAnsi"/>
        </w:rPr>
        <w:t>NKÚ provedl kontrolu peněžních prostředků státu</w:t>
      </w:r>
      <w:r w:rsidR="00803871" w:rsidRPr="00BD0991">
        <w:rPr>
          <w:rFonts w:asciiTheme="minorHAnsi" w:hAnsiTheme="minorHAnsi" w:cstheme="minorHAnsi"/>
        </w:rPr>
        <w:t xml:space="preserve"> určených na podporu sportu a sportovní reprezentace </w:t>
      </w:r>
      <w:r w:rsidR="00B33153">
        <w:rPr>
          <w:rFonts w:asciiTheme="minorHAnsi" w:hAnsiTheme="minorHAnsi" w:cstheme="minorHAnsi"/>
        </w:rPr>
        <w:t xml:space="preserve">vynakládaných MŠMT a NSA </w:t>
      </w:r>
      <w:r w:rsidR="00803871" w:rsidRPr="00BD0991">
        <w:rPr>
          <w:rFonts w:asciiTheme="minorHAnsi" w:hAnsiTheme="minorHAnsi" w:cstheme="minorHAnsi"/>
        </w:rPr>
        <w:t>a</w:t>
      </w:r>
      <w:r w:rsidR="00332E6F">
        <w:rPr>
          <w:rFonts w:asciiTheme="minorHAnsi" w:hAnsiTheme="minorHAnsi" w:cstheme="minorHAnsi"/>
        </w:rPr>
        <w:t> kontrolu</w:t>
      </w:r>
      <w:r w:rsidR="00803871" w:rsidRPr="00BD0991">
        <w:rPr>
          <w:rFonts w:asciiTheme="minorHAnsi" w:hAnsiTheme="minorHAnsi" w:cstheme="minorHAnsi"/>
        </w:rPr>
        <w:t xml:space="preserve"> majetk</w:t>
      </w:r>
      <w:r w:rsidR="00332E6F">
        <w:rPr>
          <w:rFonts w:asciiTheme="minorHAnsi" w:hAnsiTheme="minorHAnsi" w:cstheme="minorHAnsi"/>
        </w:rPr>
        <w:t>u</w:t>
      </w:r>
      <w:r w:rsidR="00803871" w:rsidRPr="00BD0991">
        <w:rPr>
          <w:rFonts w:asciiTheme="minorHAnsi" w:hAnsiTheme="minorHAnsi" w:cstheme="minorHAnsi"/>
        </w:rPr>
        <w:t xml:space="preserve"> a peněžní</w:t>
      </w:r>
      <w:r w:rsidR="00332E6F">
        <w:rPr>
          <w:rFonts w:asciiTheme="minorHAnsi" w:hAnsiTheme="minorHAnsi" w:cstheme="minorHAnsi"/>
        </w:rPr>
        <w:t>ch</w:t>
      </w:r>
      <w:r w:rsidR="00803871" w:rsidRPr="00BD0991">
        <w:rPr>
          <w:rFonts w:asciiTheme="minorHAnsi" w:hAnsiTheme="minorHAnsi" w:cstheme="minorHAnsi"/>
        </w:rPr>
        <w:t xml:space="preserve"> prostředk</w:t>
      </w:r>
      <w:r w:rsidR="00332E6F">
        <w:rPr>
          <w:rFonts w:asciiTheme="minorHAnsi" w:hAnsiTheme="minorHAnsi" w:cstheme="minorHAnsi"/>
        </w:rPr>
        <w:t>ů</w:t>
      </w:r>
      <w:r w:rsidR="00803871" w:rsidRPr="00BD0991">
        <w:rPr>
          <w:rFonts w:asciiTheme="minorHAnsi" w:hAnsiTheme="minorHAnsi" w:cstheme="minorHAnsi"/>
        </w:rPr>
        <w:t xml:space="preserve"> státu, se kterými je příslušná hospodařit Národní sportovní agentura</w:t>
      </w:r>
      <w:r w:rsidRPr="00BD0991">
        <w:rPr>
          <w:rFonts w:asciiTheme="minorHAnsi" w:hAnsiTheme="minorHAnsi" w:cstheme="minorHAnsi"/>
        </w:rPr>
        <w:t>.</w:t>
      </w:r>
      <w:r w:rsidR="008B15A2">
        <w:rPr>
          <w:rFonts w:asciiTheme="minorHAnsi" w:hAnsiTheme="minorHAnsi" w:cstheme="minorHAnsi"/>
        </w:rPr>
        <w:t xml:space="preserve"> </w:t>
      </w:r>
      <w:r w:rsidRPr="00BD0991">
        <w:rPr>
          <w:rFonts w:asciiTheme="minorHAnsi" w:hAnsiTheme="minorHAnsi" w:cstheme="minorHAnsi"/>
        </w:rPr>
        <w:t xml:space="preserve">Cílem kontroly bylo prověřit, </w:t>
      </w:r>
      <w:r w:rsidR="00803871" w:rsidRPr="00BD0991">
        <w:rPr>
          <w:rFonts w:asciiTheme="minorHAnsi" w:hAnsiTheme="minorHAnsi" w:cstheme="minorHAnsi"/>
        </w:rPr>
        <w:t>zda peněžní prostředky státu určené na podporu sportu a sportovní reprezentaci byly vynakládány účelně a v souladu s právními předpisy a zda Národní sportovní agentura hospodařila s majetkem a peněžními prostředky státu na zabezpečení své činnosti hospodárně a v souladu s právními předpisy.</w:t>
      </w:r>
    </w:p>
    <w:p w14:paraId="4DA227F6" w14:textId="0F022394" w:rsidR="2CAC81B4" w:rsidRPr="00430294" w:rsidRDefault="004A1DFA" w:rsidP="00D52AA0">
      <w:pPr>
        <w:spacing w:before="120"/>
        <w:rPr>
          <w:rFonts w:asciiTheme="minorHAnsi" w:hAnsiTheme="minorHAnsi" w:cstheme="minorBidi"/>
          <w:b/>
          <w:bCs/>
          <w:strike/>
        </w:rPr>
      </w:pPr>
      <w:r w:rsidRPr="00662FC4">
        <w:rPr>
          <w:rFonts w:eastAsia="Calibri"/>
          <w:b/>
          <w:bCs/>
        </w:rPr>
        <w:t xml:space="preserve">MŠMT a NSA </w:t>
      </w:r>
      <w:r w:rsidR="003F6263">
        <w:rPr>
          <w:rFonts w:eastAsia="Calibri"/>
          <w:b/>
          <w:bCs/>
        </w:rPr>
        <w:t xml:space="preserve">vynaložily v kontrolovaném období na podporu sportu </w:t>
      </w:r>
      <w:r w:rsidR="00D2324F">
        <w:rPr>
          <w:rFonts w:eastAsia="Calibri"/>
          <w:b/>
          <w:bCs/>
        </w:rPr>
        <w:t>peněžní prostředky ve výši</w:t>
      </w:r>
      <w:r w:rsidR="003F6263">
        <w:rPr>
          <w:rFonts w:eastAsia="Calibri"/>
          <w:b/>
          <w:bCs/>
        </w:rPr>
        <w:t xml:space="preserve"> 26,5 mld. Kč</w:t>
      </w:r>
      <w:r w:rsidR="003648F8">
        <w:rPr>
          <w:rFonts w:eastAsia="Calibri"/>
          <w:b/>
          <w:bCs/>
        </w:rPr>
        <w:t>.</w:t>
      </w:r>
      <w:r w:rsidR="003F6263">
        <w:rPr>
          <w:rFonts w:eastAsia="Calibri"/>
          <w:b/>
          <w:bCs/>
        </w:rPr>
        <w:t xml:space="preserve"> </w:t>
      </w:r>
      <w:r w:rsidR="00D2324F">
        <w:rPr>
          <w:rFonts w:eastAsia="Calibri"/>
          <w:b/>
          <w:bCs/>
        </w:rPr>
        <w:t>MŠMT</w:t>
      </w:r>
      <w:r w:rsidR="00332E6F">
        <w:rPr>
          <w:rFonts w:eastAsia="Calibri"/>
          <w:b/>
          <w:bCs/>
        </w:rPr>
        <w:t xml:space="preserve"> </w:t>
      </w:r>
      <w:r w:rsidR="00D2324F">
        <w:rPr>
          <w:rFonts w:eastAsia="Calibri"/>
          <w:b/>
          <w:bCs/>
        </w:rPr>
        <w:t>ani</w:t>
      </w:r>
      <w:r w:rsidR="00332E6F">
        <w:rPr>
          <w:rFonts w:eastAsia="Calibri"/>
          <w:b/>
          <w:bCs/>
        </w:rPr>
        <w:t xml:space="preserve"> </w:t>
      </w:r>
      <w:r w:rsidR="00D2324F">
        <w:rPr>
          <w:rFonts w:eastAsia="Calibri"/>
          <w:b/>
          <w:bCs/>
        </w:rPr>
        <w:t>NSA</w:t>
      </w:r>
      <w:r w:rsidR="00332E6F">
        <w:rPr>
          <w:rFonts w:eastAsia="Calibri"/>
          <w:b/>
          <w:bCs/>
        </w:rPr>
        <w:t xml:space="preserve"> </w:t>
      </w:r>
      <w:r w:rsidR="00D2324F">
        <w:rPr>
          <w:rFonts w:eastAsia="Calibri"/>
          <w:b/>
          <w:bCs/>
        </w:rPr>
        <w:t>n</w:t>
      </w:r>
      <w:r w:rsidR="00D2324F" w:rsidRPr="00662FC4">
        <w:rPr>
          <w:rFonts w:eastAsia="Calibri"/>
          <w:b/>
          <w:bCs/>
        </w:rPr>
        <w:t>enastavily</w:t>
      </w:r>
      <w:r w:rsidR="00D2324F">
        <w:rPr>
          <w:rFonts w:eastAsia="Calibri"/>
          <w:b/>
          <w:bCs/>
        </w:rPr>
        <w:t xml:space="preserve"> cíle podpory sportu dětí a mládeže,</w:t>
      </w:r>
      <w:r w:rsidR="00D2324F" w:rsidRPr="00D2324F">
        <w:rPr>
          <w:rFonts w:eastAsia="Calibri"/>
          <w:b/>
          <w:bCs/>
        </w:rPr>
        <w:t xml:space="preserve"> jejich trenérů</w:t>
      </w:r>
      <w:r w:rsidR="00D2324F">
        <w:rPr>
          <w:rFonts w:eastAsia="Calibri"/>
          <w:b/>
          <w:bCs/>
        </w:rPr>
        <w:t xml:space="preserve"> a</w:t>
      </w:r>
      <w:r w:rsidR="00D2324F" w:rsidRPr="00D2324F">
        <w:rPr>
          <w:rFonts w:eastAsia="Calibri"/>
          <w:b/>
          <w:bCs/>
        </w:rPr>
        <w:t xml:space="preserve"> sportovních reprezentantů</w:t>
      </w:r>
      <w:r w:rsidR="00D2324F">
        <w:rPr>
          <w:rFonts w:eastAsia="Calibri"/>
          <w:b/>
          <w:bCs/>
        </w:rPr>
        <w:t xml:space="preserve"> tak, aby bylo možné</w:t>
      </w:r>
      <w:r w:rsidR="00D2324F" w:rsidRPr="00662FC4">
        <w:rPr>
          <w:rFonts w:eastAsia="Calibri"/>
          <w:b/>
          <w:bCs/>
        </w:rPr>
        <w:t xml:space="preserve"> vyhodnotit dopady </w:t>
      </w:r>
      <w:r w:rsidR="00D2324F">
        <w:rPr>
          <w:rFonts w:eastAsia="Calibri"/>
          <w:b/>
          <w:bCs/>
        </w:rPr>
        <w:t>vynaloženýc</w:t>
      </w:r>
      <w:r w:rsidR="00D2324F" w:rsidRPr="00662FC4">
        <w:rPr>
          <w:rFonts w:eastAsia="Calibri"/>
          <w:b/>
          <w:bCs/>
        </w:rPr>
        <w:t>h peněžních prostředků</w:t>
      </w:r>
      <w:r w:rsidR="008E04E0">
        <w:rPr>
          <w:rFonts w:eastAsia="Calibri"/>
          <w:b/>
          <w:bCs/>
        </w:rPr>
        <w:t xml:space="preserve">. </w:t>
      </w:r>
      <w:r w:rsidR="00D2324F" w:rsidRPr="00662FC4">
        <w:rPr>
          <w:rFonts w:eastAsia="Calibri"/>
          <w:b/>
          <w:bCs/>
        </w:rPr>
        <w:t xml:space="preserve">Soustavně </w:t>
      </w:r>
      <w:r w:rsidR="00D2324F">
        <w:rPr>
          <w:rFonts w:eastAsia="Calibri"/>
          <w:b/>
          <w:bCs/>
        </w:rPr>
        <w:t>ta</w:t>
      </w:r>
      <w:r w:rsidR="00D2324F" w:rsidRPr="00662FC4">
        <w:rPr>
          <w:rFonts w:eastAsia="Calibri"/>
          <w:b/>
          <w:bCs/>
        </w:rPr>
        <w:t>k nesledovaly a nevyhodnocovaly účelnost a</w:t>
      </w:r>
      <w:r w:rsidR="00D01D93">
        <w:rPr>
          <w:rFonts w:eastAsia="Calibri"/>
          <w:b/>
          <w:bCs/>
        </w:rPr>
        <w:t> </w:t>
      </w:r>
      <w:r w:rsidR="00D2324F" w:rsidRPr="00662FC4">
        <w:rPr>
          <w:rFonts w:eastAsia="Calibri"/>
          <w:b/>
          <w:bCs/>
        </w:rPr>
        <w:t xml:space="preserve">efektivnost vynaložených peněžních prostředků. </w:t>
      </w:r>
      <w:r w:rsidR="00430294" w:rsidRPr="00A103EB">
        <w:rPr>
          <w:rFonts w:asciiTheme="minorHAnsi" w:hAnsiTheme="minorHAnsi" w:cstheme="minorBidi"/>
          <w:b/>
          <w:bCs/>
        </w:rPr>
        <w:t xml:space="preserve">NSA dále </w:t>
      </w:r>
      <w:r w:rsidR="00430294">
        <w:rPr>
          <w:rFonts w:asciiTheme="minorHAnsi" w:hAnsiTheme="minorHAnsi" w:cstheme="minorBidi"/>
          <w:b/>
          <w:bCs/>
        </w:rPr>
        <w:t xml:space="preserve">v rámci závěrečného vyúčtování dotací </w:t>
      </w:r>
      <w:r w:rsidR="00430294" w:rsidRPr="00A103EB">
        <w:rPr>
          <w:rFonts w:asciiTheme="minorHAnsi" w:hAnsiTheme="minorHAnsi" w:cstheme="minorBidi"/>
          <w:b/>
          <w:bCs/>
        </w:rPr>
        <w:t xml:space="preserve">nekontrolovala </w:t>
      </w:r>
      <w:r w:rsidR="00430294">
        <w:rPr>
          <w:rFonts w:asciiTheme="minorHAnsi" w:hAnsiTheme="minorHAnsi" w:cstheme="minorBidi"/>
          <w:b/>
          <w:bCs/>
        </w:rPr>
        <w:t xml:space="preserve">využití dotace </w:t>
      </w:r>
      <w:r w:rsidR="00430294" w:rsidRPr="00A103EB">
        <w:rPr>
          <w:rFonts w:asciiTheme="minorHAnsi" w:hAnsiTheme="minorHAnsi" w:cstheme="minorBidi"/>
          <w:b/>
          <w:bCs/>
        </w:rPr>
        <w:t>příjemci</w:t>
      </w:r>
      <w:r w:rsidR="00430294">
        <w:rPr>
          <w:rFonts w:asciiTheme="minorHAnsi" w:hAnsiTheme="minorHAnsi" w:cstheme="minorBidi"/>
          <w:b/>
          <w:bCs/>
        </w:rPr>
        <w:t xml:space="preserve"> a dodržení podmínek jejich poskytnutí</w:t>
      </w:r>
      <w:r w:rsidR="00430294" w:rsidRPr="00A103EB">
        <w:rPr>
          <w:rFonts w:asciiTheme="minorHAnsi" w:hAnsiTheme="minorHAnsi" w:cstheme="minorBidi"/>
          <w:b/>
          <w:bCs/>
        </w:rPr>
        <w:t xml:space="preserve">. </w:t>
      </w:r>
      <w:r w:rsidR="00D517A3" w:rsidRPr="00843C88">
        <w:rPr>
          <w:rFonts w:asciiTheme="minorHAnsi" w:hAnsiTheme="minorHAnsi" w:cstheme="minorBidi"/>
          <w:b/>
          <w:bCs/>
        </w:rPr>
        <w:t>Navíc proces administrace žádostí na</w:t>
      </w:r>
      <w:r w:rsidR="00332E6F">
        <w:rPr>
          <w:rFonts w:asciiTheme="minorHAnsi" w:hAnsiTheme="minorHAnsi" w:cstheme="minorBidi"/>
          <w:b/>
          <w:bCs/>
        </w:rPr>
        <w:t xml:space="preserve"> </w:t>
      </w:r>
      <w:r w:rsidR="00D517A3" w:rsidRPr="00843C88">
        <w:rPr>
          <w:rFonts w:asciiTheme="minorHAnsi" w:hAnsiTheme="minorHAnsi" w:cstheme="minorBidi"/>
          <w:b/>
          <w:bCs/>
        </w:rPr>
        <w:t>MŠMT i</w:t>
      </w:r>
      <w:r w:rsidR="00D517A3">
        <w:rPr>
          <w:rFonts w:asciiTheme="minorHAnsi" w:hAnsiTheme="minorHAnsi" w:cstheme="minorBidi"/>
          <w:b/>
          <w:bCs/>
        </w:rPr>
        <w:t> </w:t>
      </w:r>
      <w:r w:rsidR="00D312EE">
        <w:rPr>
          <w:rFonts w:asciiTheme="minorHAnsi" w:hAnsiTheme="minorHAnsi" w:cstheme="minorBidi"/>
          <w:b/>
          <w:bCs/>
        </w:rPr>
        <w:t>v </w:t>
      </w:r>
      <w:r w:rsidR="00D517A3" w:rsidRPr="00843C88">
        <w:rPr>
          <w:rFonts w:asciiTheme="minorHAnsi" w:hAnsiTheme="minorHAnsi" w:cstheme="minorBidi"/>
          <w:b/>
          <w:bCs/>
        </w:rPr>
        <w:t xml:space="preserve">NSA byl </w:t>
      </w:r>
      <w:r w:rsidR="00157644">
        <w:rPr>
          <w:rFonts w:asciiTheme="minorHAnsi" w:hAnsiTheme="minorHAnsi" w:cstheme="minorBidi"/>
          <w:b/>
          <w:bCs/>
        </w:rPr>
        <w:t>u</w:t>
      </w:r>
      <w:r w:rsidR="0038724C">
        <w:rPr>
          <w:rFonts w:asciiTheme="minorHAnsi" w:hAnsiTheme="minorHAnsi" w:cstheme="minorBidi"/>
          <w:b/>
          <w:bCs/>
        </w:rPr>
        <w:t xml:space="preserve"> jedné</w:t>
      </w:r>
      <w:r w:rsidR="00D517A3" w:rsidRPr="00843C88">
        <w:rPr>
          <w:rFonts w:asciiTheme="minorHAnsi" w:hAnsiTheme="minorHAnsi" w:cstheme="minorBidi"/>
          <w:b/>
          <w:bCs/>
        </w:rPr>
        <w:t xml:space="preserve"> </w:t>
      </w:r>
      <w:r w:rsidR="00D87B70">
        <w:rPr>
          <w:rFonts w:asciiTheme="minorHAnsi" w:hAnsiTheme="minorHAnsi" w:cstheme="minorBidi"/>
          <w:b/>
          <w:bCs/>
        </w:rPr>
        <w:t>pětiny</w:t>
      </w:r>
      <w:r w:rsidR="000A3BCD">
        <w:rPr>
          <w:rFonts w:asciiTheme="minorHAnsi" w:hAnsiTheme="minorHAnsi" w:cstheme="minorBidi"/>
          <w:b/>
          <w:bCs/>
        </w:rPr>
        <w:t xml:space="preserve"> kontrolovaných</w:t>
      </w:r>
      <w:r w:rsidR="00D517A3" w:rsidRPr="00843C88">
        <w:rPr>
          <w:rFonts w:asciiTheme="minorHAnsi" w:hAnsiTheme="minorHAnsi" w:cstheme="minorBidi"/>
          <w:b/>
          <w:bCs/>
        </w:rPr>
        <w:t xml:space="preserve"> </w:t>
      </w:r>
      <w:r w:rsidR="00157644">
        <w:rPr>
          <w:rFonts w:asciiTheme="minorHAnsi" w:hAnsiTheme="minorHAnsi" w:cstheme="minorBidi"/>
          <w:b/>
          <w:bCs/>
        </w:rPr>
        <w:t>dotačních výzev</w:t>
      </w:r>
      <w:r w:rsidR="00D517A3" w:rsidRPr="00843C88">
        <w:rPr>
          <w:rFonts w:asciiTheme="minorHAnsi" w:hAnsiTheme="minorHAnsi" w:cstheme="minorBidi"/>
          <w:b/>
          <w:bCs/>
        </w:rPr>
        <w:t xml:space="preserve"> zdlouhavý.</w:t>
      </w:r>
      <w:r w:rsidR="00D517A3">
        <w:rPr>
          <w:rFonts w:asciiTheme="minorHAnsi" w:hAnsiTheme="minorHAnsi" w:cstheme="minorBidi"/>
          <w:b/>
          <w:bCs/>
        </w:rPr>
        <w:t xml:space="preserve"> </w:t>
      </w:r>
      <w:r w:rsidR="00430294" w:rsidRPr="00A103EB">
        <w:rPr>
          <w:rFonts w:asciiTheme="minorHAnsi" w:hAnsiTheme="minorHAnsi" w:cstheme="minorBidi"/>
          <w:b/>
          <w:bCs/>
        </w:rPr>
        <w:t>MŠMT</w:t>
      </w:r>
      <w:r w:rsidR="00332E6F">
        <w:rPr>
          <w:rFonts w:asciiTheme="minorHAnsi" w:hAnsiTheme="minorHAnsi" w:cstheme="minorBidi"/>
          <w:b/>
          <w:bCs/>
        </w:rPr>
        <w:t xml:space="preserve"> </w:t>
      </w:r>
      <w:r w:rsidR="00430294" w:rsidRPr="00A103EB">
        <w:rPr>
          <w:rFonts w:asciiTheme="minorHAnsi" w:hAnsiTheme="minorHAnsi" w:cstheme="minorBidi"/>
          <w:b/>
          <w:bCs/>
        </w:rPr>
        <w:t>ani NSA nepostupovaly při</w:t>
      </w:r>
      <w:r w:rsidR="00332E6F">
        <w:rPr>
          <w:rFonts w:asciiTheme="minorHAnsi" w:hAnsiTheme="minorHAnsi" w:cstheme="minorBidi"/>
          <w:b/>
          <w:bCs/>
        </w:rPr>
        <w:t xml:space="preserve"> </w:t>
      </w:r>
      <w:r w:rsidR="00430294" w:rsidRPr="00A103EB">
        <w:rPr>
          <w:rFonts w:asciiTheme="minorHAnsi" w:hAnsiTheme="minorHAnsi" w:cstheme="minorBidi"/>
          <w:b/>
          <w:bCs/>
        </w:rPr>
        <w:t xml:space="preserve">poskytování dotací </w:t>
      </w:r>
      <w:r w:rsidR="008F7802">
        <w:rPr>
          <w:rFonts w:asciiTheme="minorHAnsi" w:hAnsiTheme="minorHAnsi" w:cstheme="minorBidi"/>
          <w:b/>
          <w:bCs/>
        </w:rPr>
        <w:t xml:space="preserve">v některých případech </w:t>
      </w:r>
      <w:r w:rsidR="00D517A3" w:rsidRPr="00843C88">
        <w:rPr>
          <w:rFonts w:asciiTheme="minorHAnsi" w:hAnsiTheme="minorHAnsi" w:cstheme="minorBidi"/>
          <w:b/>
          <w:bCs/>
        </w:rPr>
        <w:t>transparentně</w:t>
      </w:r>
      <w:r w:rsidR="00D517A3" w:rsidRPr="00A103EB">
        <w:rPr>
          <w:rFonts w:asciiTheme="minorHAnsi" w:hAnsiTheme="minorHAnsi" w:cstheme="minorBidi"/>
          <w:b/>
          <w:bCs/>
        </w:rPr>
        <w:t xml:space="preserve"> </w:t>
      </w:r>
      <w:r w:rsidR="00D517A3">
        <w:rPr>
          <w:rFonts w:asciiTheme="minorHAnsi" w:hAnsiTheme="minorHAnsi" w:cstheme="minorBidi"/>
          <w:b/>
          <w:bCs/>
        </w:rPr>
        <w:t xml:space="preserve">a </w:t>
      </w:r>
      <w:r w:rsidR="00430294" w:rsidRPr="00A103EB">
        <w:rPr>
          <w:rFonts w:asciiTheme="minorHAnsi" w:hAnsiTheme="minorHAnsi" w:cstheme="minorBidi"/>
          <w:b/>
          <w:bCs/>
        </w:rPr>
        <w:t>v souladu s právními předpisy.</w:t>
      </w:r>
      <w:r w:rsidR="00430294">
        <w:rPr>
          <w:rFonts w:asciiTheme="minorHAnsi" w:hAnsiTheme="minorHAnsi" w:cstheme="minorBidi"/>
          <w:b/>
          <w:bCs/>
        </w:rPr>
        <w:t xml:space="preserve"> </w:t>
      </w:r>
      <w:r w:rsidR="00817EF0">
        <w:rPr>
          <w:rFonts w:asciiTheme="minorHAnsi" w:hAnsiTheme="minorHAnsi" w:cstheme="minorBidi"/>
          <w:b/>
          <w:bCs/>
        </w:rPr>
        <w:t>K</w:t>
      </w:r>
      <w:r w:rsidR="00430294">
        <w:rPr>
          <w:rFonts w:asciiTheme="minorHAnsi" w:hAnsiTheme="minorHAnsi" w:cstheme="minorBidi"/>
          <w:b/>
          <w:bCs/>
        </w:rPr>
        <w:t> naplnění očekávaných přínosů vzniku NSA</w:t>
      </w:r>
      <w:r w:rsidR="00817EF0">
        <w:rPr>
          <w:rFonts w:asciiTheme="minorHAnsi" w:hAnsiTheme="minorHAnsi" w:cstheme="minorBidi"/>
          <w:b/>
          <w:bCs/>
        </w:rPr>
        <w:t xml:space="preserve"> nedošlo</w:t>
      </w:r>
      <w:r w:rsidR="00D517A3">
        <w:rPr>
          <w:rFonts w:asciiTheme="minorHAnsi" w:hAnsiTheme="minorHAnsi" w:cstheme="minorBidi"/>
          <w:b/>
          <w:bCs/>
        </w:rPr>
        <w:t>.</w:t>
      </w:r>
    </w:p>
    <w:p w14:paraId="60E3EA86" w14:textId="659DD9C6" w:rsidR="36ADE0F2" w:rsidRPr="00EF1B3F" w:rsidRDefault="00A64BBE" w:rsidP="00EF1B3F">
      <w:pPr>
        <w:spacing w:before="120"/>
        <w:rPr>
          <w:rFonts w:asciiTheme="minorHAnsi" w:eastAsiaTheme="minorEastAsia" w:hAnsiTheme="minorHAnsi" w:cstheme="minorBidi"/>
          <w:b/>
        </w:rPr>
      </w:pPr>
      <w:r>
        <w:rPr>
          <w:rFonts w:asciiTheme="minorHAnsi" w:hAnsiTheme="minorHAnsi" w:cstheme="minorBidi"/>
          <w:b/>
          <w:bCs/>
        </w:rPr>
        <w:t xml:space="preserve">NSA </w:t>
      </w:r>
      <w:r w:rsidRPr="00135474">
        <w:rPr>
          <w:rFonts w:asciiTheme="minorHAnsi" w:hAnsiTheme="minorHAnsi" w:cstheme="minorBidi"/>
          <w:b/>
          <w:bCs/>
        </w:rPr>
        <w:t xml:space="preserve">nenakládala s majetkem a peněžními prostředky státu </w:t>
      </w:r>
      <w:r w:rsidR="008F7802">
        <w:rPr>
          <w:rFonts w:asciiTheme="minorHAnsi" w:hAnsiTheme="minorHAnsi" w:cstheme="minorBidi"/>
          <w:b/>
          <w:bCs/>
        </w:rPr>
        <w:t xml:space="preserve">v některých případech </w:t>
      </w:r>
      <w:r w:rsidRPr="00135474">
        <w:rPr>
          <w:rFonts w:asciiTheme="minorHAnsi" w:hAnsiTheme="minorHAnsi" w:cstheme="minorBidi"/>
          <w:b/>
          <w:bCs/>
        </w:rPr>
        <w:t>účelně, hospodárně a</w:t>
      </w:r>
      <w:r>
        <w:rPr>
          <w:rFonts w:asciiTheme="minorHAnsi" w:hAnsiTheme="minorHAnsi" w:cstheme="minorBidi"/>
          <w:b/>
          <w:bCs/>
        </w:rPr>
        <w:t> </w:t>
      </w:r>
      <w:r w:rsidRPr="00135474">
        <w:rPr>
          <w:rFonts w:asciiTheme="minorHAnsi" w:hAnsiTheme="minorHAnsi" w:cstheme="minorBidi"/>
          <w:b/>
          <w:bCs/>
        </w:rPr>
        <w:t>v </w:t>
      </w:r>
      <w:r>
        <w:rPr>
          <w:rFonts w:asciiTheme="minorHAnsi" w:hAnsiTheme="minorHAnsi" w:cstheme="minorBidi"/>
          <w:b/>
          <w:bCs/>
        </w:rPr>
        <w:t>souladu</w:t>
      </w:r>
      <w:r w:rsidRPr="00135474">
        <w:rPr>
          <w:rFonts w:asciiTheme="minorHAnsi" w:hAnsiTheme="minorHAnsi" w:cstheme="minorBidi"/>
          <w:b/>
          <w:bCs/>
        </w:rPr>
        <w:t xml:space="preserve"> s právními předpisy.</w:t>
      </w:r>
      <w:r>
        <w:rPr>
          <w:rFonts w:asciiTheme="minorHAnsi" w:hAnsiTheme="minorHAnsi" w:cstheme="minorBidi"/>
          <w:b/>
          <w:bCs/>
        </w:rPr>
        <w:t xml:space="preserve"> NSA např. neodůvodněně snižovala výnos z majetku, když bez právního titulu umožnila užívání větší části sjezdového a skokanského areálu v Harrachově, s ní</w:t>
      </w:r>
      <w:r w:rsidR="003648F8">
        <w:rPr>
          <w:rFonts w:asciiTheme="minorHAnsi" w:hAnsiTheme="minorHAnsi" w:cstheme="minorBidi"/>
          <w:b/>
          <w:bCs/>
        </w:rPr>
        <w:t>m</w:t>
      </w:r>
      <w:r>
        <w:rPr>
          <w:rFonts w:asciiTheme="minorHAnsi" w:hAnsiTheme="minorHAnsi" w:cstheme="minorBidi"/>
          <w:b/>
          <w:bCs/>
        </w:rPr>
        <w:t xml:space="preserve">ž je příslušná hospodařit, jiným právnickým osobám. NSA při zadávání veřejných zakázek nepostupovala v souladu s právními předpisy. </w:t>
      </w:r>
      <w:r w:rsidRPr="00135474">
        <w:rPr>
          <w:rFonts w:asciiTheme="minorHAnsi" w:hAnsiTheme="minorHAnsi" w:cstheme="minorBidi"/>
          <w:b/>
          <w:bCs/>
        </w:rPr>
        <w:t>NSA vynakládala peněžní prostředky za</w:t>
      </w:r>
      <w:r w:rsidR="00396FBA">
        <w:rPr>
          <w:rFonts w:asciiTheme="minorHAnsi" w:hAnsiTheme="minorHAnsi" w:cstheme="minorBidi"/>
          <w:b/>
          <w:bCs/>
        </w:rPr>
        <w:t xml:space="preserve"> </w:t>
      </w:r>
      <w:r w:rsidRPr="00135474">
        <w:rPr>
          <w:rFonts w:asciiTheme="minorHAnsi" w:hAnsiTheme="minorHAnsi" w:cstheme="minorBidi"/>
          <w:b/>
          <w:bCs/>
        </w:rPr>
        <w:t>plnění, kter</w:t>
      </w:r>
      <w:r>
        <w:rPr>
          <w:rFonts w:asciiTheme="minorHAnsi" w:hAnsiTheme="minorHAnsi" w:cstheme="minorBidi"/>
          <w:b/>
          <w:bCs/>
        </w:rPr>
        <w:t>á</w:t>
      </w:r>
      <w:r w:rsidRPr="00135474">
        <w:rPr>
          <w:rFonts w:asciiTheme="minorHAnsi" w:hAnsiTheme="minorHAnsi" w:cstheme="minorBidi"/>
          <w:b/>
          <w:bCs/>
        </w:rPr>
        <w:t xml:space="preserve"> nebyl</w:t>
      </w:r>
      <w:r>
        <w:rPr>
          <w:rFonts w:asciiTheme="minorHAnsi" w:hAnsiTheme="minorHAnsi" w:cstheme="minorBidi"/>
          <w:b/>
          <w:bCs/>
        </w:rPr>
        <w:t>a</w:t>
      </w:r>
      <w:r w:rsidRPr="00135474">
        <w:rPr>
          <w:rFonts w:asciiTheme="minorHAnsi" w:hAnsiTheme="minorHAnsi" w:cstheme="minorBidi"/>
          <w:b/>
          <w:bCs/>
        </w:rPr>
        <w:t xml:space="preserve"> podložen</w:t>
      </w:r>
      <w:r>
        <w:rPr>
          <w:rFonts w:asciiTheme="minorHAnsi" w:hAnsiTheme="minorHAnsi" w:cstheme="minorBidi"/>
          <w:b/>
          <w:bCs/>
        </w:rPr>
        <w:t>a</w:t>
      </w:r>
      <w:r w:rsidRPr="00135474">
        <w:rPr>
          <w:rFonts w:asciiTheme="minorHAnsi" w:hAnsiTheme="minorHAnsi" w:cstheme="minorBidi"/>
          <w:b/>
          <w:bCs/>
        </w:rPr>
        <w:t xml:space="preserve"> platnými smlouvami.</w:t>
      </w:r>
      <w:r w:rsidR="00817EF0">
        <w:rPr>
          <w:rFonts w:asciiTheme="minorHAnsi" w:hAnsiTheme="minorHAnsi" w:cstheme="minorBidi"/>
          <w:b/>
          <w:bCs/>
        </w:rPr>
        <w:t xml:space="preserve"> </w:t>
      </w:r>
      <w:r w:rsidR="00817EF0">
        <w:rPr>
          <w:rFonts w:eastAsia="Calibri"/>
          <w:b/>
          <w:bCs/>
        </w:rPr>
        <w:t>NSA nezavedla funkční</w:t>
      </w:r>
      <w:r w:rsidR="36ADE0F2" w:rsidRPr="00135474">
        <w:rPr>
          <w:rFonts w:asciiTheme="minorHAnsi" w:hAnsiTheme="minorHAnsi" w:cstheme="minorBidi"/>
          <w:b/>
          <w:bCs/>
        </w:rPr>
        <w:t xml:space="preserve"> vnitřní kontrolní systém tak, aby zajistil hospodárn</w:t>
      </w:r>
      <w:r w:rsidR="7D6CF8BA" w:rsidRPr="00135474">
        <w:rPr>
          <w:rFonts w:asciiTheme="minorHAnsi" w:hAnsiTheme="minorHAnsi" w:cstheme="minorBidi"/>
          <w:b/>
          <w:bCs/>
        </w:rPr>
        <w:t>ý</w:t>
      </w:r>
      <w:r w:rsidR="36ADE0F2" w:rsidRPr="00135474">
        <w:rPr>
          <w:rFonts w:asciiTheme="minorHAnsi" w:hAnsiTheme="minorHAnsi" w:cstheme="minorBidi"/>
          <w:b/>
          <w:bCs/>
        </w:rPr>
        <w:t>, efektivní a</w:t>
      </w:r>
      <w:r w:rsidR="00D01D93">
        <w:rPr>
          <w:rFonts w:asciiTheme="minorHAnsi" w:hAnsiTheme="minorHAnsi" w:cstheme="minorBidi"/>
          <w:b/>
          <w:bCs/>
        </w:rPr>
        <w:t> </w:t>
      </w:r>
      <w:r w:rsidR="36ADE0F2" w:rsidRPr="00135474">
        <w:rPr>
          <w:rFonts w:asciiTheme="minorHAnsi" w:hAnsiTheme="minorHAnsi" w:cstheme="minorBidi"/>
          <w:b/>
          <w:bCs/>
        </w:rPr>
        <w:t>účeln</w:t>
      </w:r>
      <w:r w:rsidR="15164921" w:rsidRPr="00135474">
        <w:rPr>
          <w:rFonts w:asciiTheme="minorHAnsi" w:hAnsiTheme="minorHAnsi" w:cstheme="minorBidi"/>
          <w:b/>
          <w:bCs/>
        </w:rPr>
        <w:t>ý</w:t>
      </w:r>
      <w:r w:rsidR="36ADE0F2" w:rsidRPr="00135474">
        <w:rPr>
          <w:rFonts w:asciiTheme="minorHAnsi" w:hAnsiTheme="minorHAnsi" w:cstheme="minorBidi"/>
          <w:b/>
          <w:bCs/>
        </w:rPr>
        <w:t xml:space="preserve"> výkon státní správy.</w:t>
      </w:r>
      <w:r w:rsidR="00266D83">
        <w:rPr>
          <w:rFonts w:asciiTheme="minorHAnsi" w:hAnsiTheme="minorHAnsi" w:cstheme="minorBidi"/>
          <w:b/>
          <w:bCs/>
        </w:rPr>
        <w:t xml:space="preserve"> </w:t>
      </w:r>
    </w:p>
    <w:p w14:paraId="22A8EE93" w14:textId="77777777" w:rsidR="006475E5" w:rsidRPr="00BD0991" w:rsidRDefault="006475E5" w:rsidP="006F0345">
      <w:pPr>
        <w:keepNext/>
        <w:spacing w:after="120"/>
        <w:rPr>
          <w:rFonts w:asciiTheme="minorHAnsi" w:hAnsiTheme="minorHAnsi" w:cstheme="minorHAnsi"/>
        </w:rPr>
      </w:pPr>
      <w:r w:rsidRPr="75EB0935">
        <w:rPr>
          <w:rFonts w:asciiTheme="minorHAnsi" w:hAnsiTheme="minorHAnsi" w:cstheme="minorBidi"/>
        </w:rPr>
        <w:t>Celkové vyhodnocení se opírá o následující hlavní zjištění z kontroly:</w:t>
      </w:r>
    </w:p>
    <w:p w14:paraId="45D5335A" w14:textId="77777777" w:rsidR="47E94C31" w:rsidRDefault="006F0345" w:rsidP="00CA6D8B">
      <w:pPr>
        <w:pStyle w:val="Nadpis1"/>
        <w:spacing w:after="1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1. </w:t>
      </w:r>
      <w:r w:rsidR="47E94C31" w:rsidRPr="75EB0935">
        <w:rPr>
          <w:rFonts w:asciiTheme="minorHAnsi" w:hAnsiTheme="minorHAnsi" w:cstheme="minorBidi"/>
        </w:rPr>
        <w:t>Nevyhodno</w:t>
      </w:r>
      <w:r w:rsidR="00F44F1D">
        <w:rPr>
          <w:rFonts w:asciiTheme="minorHAnsi" w:hAnsiTheme="minorHAnsi" w:cstheme="minorBidi"/>
        </w:rPr>
        <w:t>c</w:t>
      </w:r>
      <w:r w:rsidR="005F1295">
        <w:rPr>
          <w:rFonts w:asciiTheme="minorHAnsi" w:hAnsiTheme="minorHAnsi" w:cstheme="minorBidi"/>
        </w:rPr>
        <w:t>ování</w:t>
      </w:r>
      <w:r w:rsidR="00F44F1D">
        <w:rPr>
          <w:rFonts w:asciiTheme="minorHAnsi" w:hAnsiTheme="minorHAnsi" w:cstheme="minorBidi"/>
        </w:rPr>
        <w:t xml:space="preserve"> účelnosti a efektivnosti </w:t>
      </w:r>
      <w:r w:rsidR="47E94C31" w:rsidRPr="75EB0935">
        <w:rPr>
          <w:rFonts w:asciiTheme="minorHAnsi" w:hAnsiTheme="minorHAnsi" w:cstheme="minorBidi"/>
        </w:rPr>
        <w:t>podpory v oblasti sportu</w:t>
      </w:r>
    </w:p>
    <w:p w14:paraId="1F1FD525" w14:textId="0D801CC0" w:rsidR="19413A72" w:rsidRPr="00BD0991" w:rsidRDefault="1A23EAF0" w:rsidP="00D078A3">
      <w:pPr>
        <w:pStyle w:val="Textkomente"/>
        <w:spacing w:before="120"/>
        <w:contextualSpacing/>
        <w:rPr>
          <w:rFonts w:asciiTheme="minorHAnsi" w:eastAsia="Calibri" w:hAnsiTheme="minorHAnsi" w:cstheme="minorBidi"/>
          <w:sz w:val="24"/>
          <w:szCs w:val="24"/>
        </w:rPr>
      </w:pPr>
      <w:r w:rsidRPr="6524B888">
        <w:rPr>
          <w:rFonts w:asciiTheme="minorHAnsi" w:eastAsia="Calibri" w:hAnsiTheme="minorHAnsi" w:cstheme="minorBidi"/>
          <w:sz w:val="24"/>
          <w:szCs w:val="24"/>
        </w:rPr>
        <w:t xml:space="preserve">MŠMT </w:t>
      </w:r>
      <w:r w:rsidR="00106F86">
        <w:rPr>
          <w:rFonts w:asciiTheme="minorHAnsi" w:eastAsia="Calibri" w:hAnsiTheme="minorHAnsi" w:cstheme="minorBidi"/>
          <w:sz w:val="24"/>
          <w:szCs w:val="24"/>
        </w:rPr>
        <w:t>stanovi</w:t>
      </w:r>
      <w:r w:rsidRPr="6524B888">
        <w:rPr>
          <w:rFonts w:asciiTheme="minorHAnsi" w:eastAsia="Calibri" w:hAnsiTheme="minorHAnsi" w:cstheme="minorBidi"/>
          <w:sz w:val="24"/>
          <w:szCs w:val="24"/>
        </w:rPr>
        <w:t>lo</w:t>
      </w:r>
      <w:r w:rsidR="00106F86">
        <w:rPr>
          <w:rFonts w:asciiTheme="minorHAnsi" w:eastAsia="Calibri" w:hAnsiTheme="minorHAnsi" w:cstheme="minorBidi"/>
          <w:sz w:val="24"/>
          <w:szCs w:val="24"/>
        </w:rPr>
        <w:t xml:space="preserve"> strategické cíle</w:t>
      </w:r>
      <w:r w:rsidRPr="6524B888">
        <w:rPr>
          <w:rFonts w:asciiTheme="minorHAnsi" w:eastAsia="Calibri" w:hAnsiTheme="minorHAnsi" w:cstheme="minorBidi"/>
          <w:sz w:val="24"/>
          <w:szCs w:val="24"/>
        </w:rPr>
        <w:t xml:space="preserve"> </w:t>
      </w:r>
      <w:r w:rsidR="00106F86">
        <w:rPr>
          <w:rFonts w:asciiTheme="minorHAnsi" w:eastAsia="Calibri" w:hAnsiTheme="minorHAnsi" w:cstheme="minorBidi"/>
          <w:sz w:val="24"/>
          <w:szCs w:val="24"/>
        </w:rPr>
        <w:t xml:space="preserve">v rámci </w:t>
      </w:r>
      <w:r w:rsidRPr="009C3B92">
        <w:rPr>
          <w:rFonts w:asciiTheme="minorHAnsi" w:eastAsia="Calibri" w:hAnsiTheme="minorHAnsi" w:cstheme="minorBidi"/>
          <w:i/>
          <w:sz w:val="24"/>
          <w:szCs w:val="24"/>
        </w:rPr>
        <w:t>Koncepc</w:t>
      </w:r>
      <w:r w:rsidR="00106F86" w:rsidRPr="009C3B92">
        <w:rPr>
          <w:rFonts w:asciiTheme="minorHAnsi" w:eastAsia="Calibri" w:hAnsiTheme="minorHAnsi" w:cstheme="minorBidi"/>
          <w:i/>
          <w:sz w:val="24"/>
          <w:szCs w:val="24"/>
        </w:rPr>
        <w:t>e</w:t>
      </w:r>
      <w:r w:rsidRPr="009C3B92">
        <w:rPr>
          <w:rFonts w:asciiTheme="minorHAnsi" w:eastAsia="Calibri" w:hAnsiTheme="minorHAnsi" w:cstheme="minorBidi"/>
          <w:i/>
          <w:sz w:val="24"/>
          <w:szCs w:val="24"/>
        </w:rPr>
        <w:t xml:space="preserve"> podpory sportu</w:t>
      </w:r>
      <w:r w:rsidR="003648F8">
        <w:rPr>
          <w:rFonts w:asciiTheme="minorHAnsi" w:eastAsia="Calibri" w:hAnsiTheme="minorHAnsi" w:cstheme="minorBidi"/>
          <w:i/>
          <w:sz w:val="24"/>
          <w:szCs w:val="24"/>
        </w:rPr>
        <w:t xml:space="preserve"> 2016–2025 –</w:t>
      </w:r>
      <w:r w:rsidR="00D52514">
        <w:rPr>
          <w:rFonts w:asciiTheme="minorHAnsi" w:eastAsia="Calibri" w:hAnsiTheme="minorHAnsi" w:cstheme="minorBidi"/>
          <w:i/>
          <w:sz w:val="24"/>
          <w:szCs w:val="24"/>
        </w:rPr>
        <w:t xml:space="preserve"> </w:t>
      </w:r>
      <w:r w:rsidR="003648F8">
        <w:rPr>
          <w:rFonts w:asciiTheme="minorHAnsi" w:eastAsia="Calibri" w:hAnsiTheme="minorHAnsi" w:cstheme="minorBidi"/>
          <w:i/>
          <w:sz w:val="24"/>
          <w:szCs w:val="24"/>
        </w:rPr>
        <w:t>SPORT 2025</w:t>
      </w:r>
      <w:r w:rsidR="009B38AA" w:rsidRPr="6524B888">
        <w:rPr>
          <w:rStyle w:val="Znakapoznpodarou"/>
          <w:rFonts w:asciiTheme="minorHAnsi" w:eastAsia="Calibri" w:hAnsiTheme="minorHAnsi" w:cstheme="minorBidi"/>
          <w:sz w:val="24"/>
          <w:szCs w:val="24"/>
        </w:rPr>
        <w:footnoteReference w:id="4"/>
      </w:r>
      <w:r w:rsidRPr="6524B888">
        <w:rPr>
          <w:rFonts w:asciiTheme="minorHAnsi" w:eastAsia="Calibri" w:hAnsiTheme="minorHAnsi" w:cstheme="minorBidi"/>
          <w:sz w:val="24"/>
          <w:szCs w:val="24"/>
        </w:rPr>
        <w:t xml:space="preserve"> (dále také „Koncepce 2025“)</w:t>
      </w:r>
      <w:r w:rsidR="006570ED" w:rsidRPr="6524B888">
        <w:rPr>
          <w:rFonts w:asciiTheme="minorHAnsi" w:eastAsia="Calibri" w:hAnsiTheme="minorHAnsi" w:cstheme="minorBidi"/>
          <w:sz w:val="24"/>
          <w:szCs w:val="24"/>
        </w:rPr>
        <w:t>.</w:t>
      </w:r>
      <w:r w:rsidRPr="6524B888">
        <w:rPr>
          <w:rFonts w:asciiTheme="minorHAnsi" w:eastAsia="Calibri" w:hAnsiTheme="minorHAnsi" w:cstheme="minorBidi"/>
          <w:sz w:val="24"/>
          <w:szCs w:val="24"/>
        </w:rPr>
        <w:t xml:space="preserve"> </w:t>
      </w:r>
      <w:r w:rsidR="00F85CF8" w:rsidRPr="6524B888">
        <w:rPr>
          <w:rFonts w:asciiTheme="minorHAnsi" w:eastAsia="Calibri" w:hAnsiTheme="minorHAnsi" w:cstheme="minorBidi"/>
          <w:sz w:val="24"/>
          <w:szCs w:val="24"/>
        </w:rPr>
        <w:t>S</w:t>
      </w:r>
      <w:r w:rsidR="033FD425" w:rsidRPr="6524B888">
        <w:rPr>
          <w:rFonts w:asciiTheme="minorHAnsi" w:eastAsia="Calibri" w:hAnsiTheme="minorHAnsi" w:cstheme="minorBidi"/>
          <w:sz w:val="24"/>
          <w:szCs w:val="24"/>
        </w:rPr>
        <w:t xml:space="preserve">trategické cíle </w:t>
      </w:r>
      <w:r w:rsidR="19413A72" w:rsidRPr="6524B888">
        <w:rPr>
          <w:rFonts w:asciiTheme="minorHAnsi" w:eastAsia="Calibri" w:hAnsiTheme="minorHAnsi" w:cstheme="minorBidi"/>
          <w:sz w:val="24"/>
          <w:szCs w:val="24"/>
        </w:rPr>
        <w:t>neobsahovaly měřitelné indikátory</w:t>
      </w:r>
      <w:r w:rsidR="00F85CF8" w:rsidRPr="6524B888">
        <w:rPr>
          <w:rFonts w:asciiTheme="minorHAnsi" w:eastAsia="Calibri" w:hAnsiTheme="minorHAnsi" w:cstheme="minorBidi"/>
          <w:sz w:val="24"/>
          <w:szCs w:val="24"/>
        </w:rPr>
        <w:t xml:space="preserve"> k</w:t>
      </w:r>
      <w:r w:rsidR="19413A72" w:rsidRPr="6524B888">
        <w:rPr>
          <w:rFonts w:asciiTheme="minorHAnsi" w:eastAsia="Calibri" w:hAnsiTheme="minorHAnsi" w:cstheme="minorBidi"/>
          <w:sz w:val="24"/>
          <w:szCs w:val="24"/>
        </w:rPr>
        <w:t xml:space="preserve"> jejich monitorování a</w:t>
      </w:r>
      <w:r w:rsidR="00F6678D">
        <w:rPr>
          <w:rFonts w:asciiTheme="minorHAnsi" w:eastAsia="Calibri" w:hAnsiTheme="minorHAnsi" w:cstheme="minorBidi"/>
          <w:sz w:val="24"/>
          <w:szCs w:val="24"/>
        </w:rPr>
        <w:t> </w:t>
      </w:r>
      <w:r w:rsidR="19413A72" w:rsidRPr="6524B888">
        <w:rPr>
          <w:rFonts w:asciiTheme="minorHAnsi" w:eastAsia="Calibri" w:hAnsiTheme="minorHAnsi" w:cstheme="minorBidi"/>
          <w:sz w:val="24"/>
          <w:szCs w:val="24"/>
        </w:rPr>
        <w:t xml:space="preserve">vyhodnocování míry jejich naplňování. </w:t>
      </w:r>
      <w:r w:rsidR="00AE22EA">
        <w:rPr>
          <w:rFonts w:asciiTheme="minorHAnsi" w:eastAsia="Calibri" w:hAnsiTheme="minorHAnsi" w:cstheme="minorBidi"/>
          <w:sz w:val="24"/>
          <w:szCs w:val="24"/>
        </w:rPr>
        <w:t>To</w:t>
      </w:r>
      <w:r w:rsidR="008435F7" w:rsidRPr="6524B888">
        <w:rPr>
          <w:rFonts w:asciiTheme="minorHAnsi" w:eastAsia="Calibri" w:hAnsiTheme="minorHAnsi" w:cstheme="minorBidi"/>
          <w:sz w:val="24"/>
          <w:szCs w:val="24"/>
        </w:rPr>
        <w:t xml:space="preserve"> neumožňoval</w:t>
      </w:r>
      <w:r w:rsidR="00AE22EA">
        <w:rPr>
          <w:rFonts w:asciiTheme="minorHAnsi" w:eastAsia="Calibri" w:hAnsiTheme="minorHAnsi" w:cstheme="minorBidi"/>
          <w:sz w:val="24"/>
          <w:szCs w:val="24"/>
        </w:rPr>
        <w:t>o</w:t>
      </w:r>
      <w:r w:rsidR="008435F7" w:rsidRPr="6524B888">
        <w:rPr>
          <w:rFonts w:asciiTheme="minorHAnsi" w:eastAsia="Calibri" w:hAnsiTheme="minorHAnsi" w:cstheme="minorBidi"/>
          <w:sz w:val="24"/>
          <w:szCs w:val="24"/>
        </w:rPr>
        <w:t xml:space="preserve"> vyhodnocení účelnosti a</w:t>
      </w:r>
      <w:r w:rsidR="00F6678D">
        <w:rPr>
          <w:rFonts w:asciiTheme="minorHAnsi" w:eastAsia="Calibri" w:hAnsiTheme="minorHAnsi" w:cstheme="minorBidi"/>
          <w:sz w:val="24"/>
          <w:szCs w:val="24"/>
        </w:rPr>
        <w:t> </w:t>
      </w:r>
      <w:r w:rsidR="008435F7" w:rsidRPr="6524B888">
        <w:rPr>
          <w:rFonts w:asciiTheme="minorHAnsi" w:eastAsia="Calibri" w:hAnsiTheme="minorHAnsi" w:cstheme="minorBidi"/>
          <w:sz w:val="24"/>
          <w:szCs w:val="24"/>
        </w:rPr>
        <w:t>efektivnosti</w:t>
      </w:r>
      <w:r w:rsidR="005937B0" w:rsidRPr="6524B888">
        <w:rPr>
          <w:rFonts w:asciiTheme="minorHAnsi" w:eastAsia="Calibri" w:hAnsiTheme="minorHAnsi" w:cstheme="minorBidi"/>
          <w:sz w:val="24"/>
          <w:szCs w:val="24"/>
        </w:rPr>
        <w:t xml:space="preserve"> peněžních prostředků vynakládaných k naplňování požadovaných cílů v oblasti sportu. </w:t>
      </w:r>
      <w:r w:rsidR="003A7F60">
        <w:rPr>
          <w:rFonts w:asciiTheme="minorHAnsi" w:eastAsia="Calibri" w:hAnsiTheme="minorHAnsi" w:cstheme="minorBidi"/>
          <w:sz w:val="24"/>
          <w:szCs w:val="24"/>
        </w:rPr>
        <w:t>MŠMT nestanovilo měřitelné indikátory</w:t>
      </w:r>
      <w:r w:rsidR="001B43F8">
        <w:rPr>
          <w:rFonts w:asciiTheme="minorHAnsi" w:eastAsia="Calibri" w:hAnsiTheme="minorHAnsi" w:cstheme="minorBidi"/>
          <w:sz w:val="24"/>
          <w:szCs w:val="24"/>
        </w:rPr>
        <w:t xml:space="preserve"> ani v jiných dokumentech </w:t>
      </w:r>
      <w:r w:rsidR="00817EF0">
        <w:rPr>
          <w:rFonts w:asciiTheme="minorHAnsi" w:eastAsia="Calibri" w:hAnsiTheme="minorHAnsi" w:cstheme="minorBidi"/>
          <w:sz w:val="24"/>
          <w:szCs w:val="24"/>
        </w:rPr>
        <w:t>a</w:t>
      </w:r>
      <w:r w:rsidR="00F43F77">
        <w:rPr>
          <w:rFonts w:asciiTheme="minorHAnsi" w:eastAsia="Calibri" w:hAnsiTheme="minorHAnsi" w:cstheme="minorBidi"/>
          <w:sz w:val="24"/>
          <w:szCs w:val="24"/>
        </w:rPr>
        <w:t> </w:t>
      </w:r>
      <w:r w:rsidR="001B43F8">
        <w:rPr>
          <w:rFonts w:asciiTheme="minorHAnsi" w:eastAsia="Calibri" w:hAnsiTheme="minorHAnsi" w:cstheme="minorBidi"/>
          <w:sz w:val="24"/>
          <w:szCs w:val="24"/>
        </w:rPr>
        <w:t xml:space="preserve">ani </w:t>
      </w:r>
      <w:r w:rsidR="003A7F60">
        <w:rPr>
          <w:rFonts w:asciiTheme="minorHAnsi" w:eastAsia="Calibri" w:hAnsiTheme="minorHAnsi" w:cstheme="minorBidi"/>
          <w:sz w:val="24"/>
          <w:szCs w:val="24"/>
        </w:rPr>
        <w:t>NSA měřitelné indikátory nedoplnila.</w:t>
      </w:r>
      <w:r w:rsidR="00F85CF8" w:rsidRPr="6524B888">
        <w:rPr>
          <w:rFonts w:asciiTheme="minorHAnsi" w:eastAsia="Calibri" w:hAnsiTheme="minorHAnsi" w:cstheme="minorBidi"/>
          <w:sz w:val="24"/>
          <w:szCs w:val="24"/>
        </w:rPr>
        <w:t xml:space="preserve"> </w:t>
      </w:r>
      <w:r w:rsidR="005937B0" w:rsidRPr="6524B888">
        <w:rPr>
          <w:rFonts w:asciiTheme="minorHAnsi" w:eastAsia="Calibri" w:hAnsiTheme="minorHAnsi" w:cstheme="minorBidi"/>
          <w:sz w:val="24"/>
          <w:szCs w:val="24"/>
        </w:rPr>
        <w:t>N</w:t>
      </w:r>
      <w:r w:rsidR="003A7F60">
        <w:rPr>
          <w:rFonts w:asciiTheme="minorHAnsi" w:eastAsia="Calibri" w:hAnsiTheme="minorHAnsi" w:cstheme="minorBidi"/>
          <w:sz w:val="24"/>
          <w:szCs w:val="24"/>
        </w:rPr>
        <w:t>SA současně n</w:t>
      </w:r>
      <w:r w:rsidR="19413A72" w:rsidRPr="6524B888">
        <w:rPr>
          <w:rFonts w:asciiTheme="minorHAnsi" w:eastAsia="Calibri" w:hAnsiTheme="minorHAnsi" w:cstheme="minorBidi"/>
          <w:sz w:val="24"/>
          <w:szCs w:val="24"/>
        </w:rPr>
        <w:t>evypracovala</w:t>
      </w:r>
      <w:r w:rsidR="005937B0" w:rsidRPr="6524B888">
        <w:rPr>
          <w:rFonts w:asciiTheme="minorHAnsi" w:eastAsia="Calibri" w:hAnsiTheme="minorHAnsi" w:cstheme="minorBidi"/>
          <w:sz w:val="24"/>
          <w:szCs w:val="24"/>
        </w:rPr>
        <w:t xml:space="preserve"> </w:t>
      </w:r>
      <w:r w:rsidR="00A03607" w:rsidRPr="6524B888">
        <w:rPr>
          <w:rFonts w:asciiTheme="minorHAnsi" w:eastAsia="Calibri" w:hAnsiTheme="minorHAnsi" w:cstheme="minorBidi"/>
          <w:sz w:val="24"/>
          <w:szCs w:val="24"/>
        </w:rPr>
        <w:t xml:space="preserve">plán konkrétních opatření k naplňování </w:t>
      </w:r>
      <w:r w:rsidR="001A6EB1">
        <w:rPr>
          <w:rFonts w:asciiTheme="minorHAnsi" w:eastAsia="Calibri" w:hAnsiTheme="minorHAnsi" w:cstheme="minorBidi"/>
          <w:sz w:val="24"/>
          <w:szCs w:val="24"/>
        </w:rPr>
        <w:t xml:space="preserve">strategických </w:t>
      </w:r>
      <w:r w:rsidR="00A03607" w:rsidRPr="6524B888">
        <w:rPr>
          <w:rFonts w:asciiTheme="minorHAnsi" w:eastAsia="Calibri" w:hAnsiTheme="minorHAnsi" w:cstheme="minorBidi"/>
          <w:sz w:val="24"/>
          <w:szCs w:val="24"/>
        </w:rPr>
        <w:t>cílů pro roky 2022 a</w:t>
      </w:r>
      <w:r w:rsidR="005937B0" w:rsidRPr="6524B888">
        <w:rPr>
          <w:rFonts w:asciiTheme="minorHAnsi" w:eastAsia="Calibri" w:hAnsiTheme="minorHAnsi" w:cstheme="minorBidi"/>
          <w:sz w:val="24"/>
          <w:szCs w:val="24"/>
        </w:rPr>
        <w:t>ž</w:t>
      </w:r>
      <w:r w:rsidR="00A03607" w:rsidRPr="6524B888">
        <w:rPr>
          <w:rFonts w:asciiTheme="minorHAnsi" w:eastAsia="Calibri" w:hAnsiTheme="minorHAnsi" w:cstheme="minorBidi"/>
          <w:sz w:val="24"/>
          <w:szCs w:val="24"/>
        </w:rPr>
        <w:t xml:space="preserve"> 2023</w:t>
      </w:r>
      <w:r w:rsidR="005937B0" w:rsidRPr="6524B888">
        <w:rPr>
          <w:rFonts w:asciiTheme="minorHAnsi" w:eastAsia="Calibri" w:hAnsiTheme="minorHAnsi" w:cstheme="minorBidi"/>
          <w:sz w:val="24"/>
          <w:szCs w:val="24"/>
        </w:rPr>
        <w:t xml:space="preserve"> uložený vládou ČR</w:t>
      </w:r>
      <w:r w:rsidR="00EC54AF">
        <w:rPr>
          <w:rStyle w:val="Znakapoznpodarou"/>
          <w:rFonts w:asciiTheme="minorHAnsi" w:eastAsia="Calibri" w:hAnsiTheme="minorHAnsi" w:cstheme="minorBidi"/>
          <w:sz w:val="24"/>
          <w:szCs w:val="24"/>
        </w:rPr>
        <w:footnoteReference w:id="5"/>
      </w:r>
      <w:r w:rsidR="00A03607" w:rsidRPr="6524B888">
        <w:rPr>
          <w:rFonts w:asciiTheme="minorHAnsi" w:eastAsia="Calibri" w:hAnsiTheme="minorHAnsi" w:cstheme="minorBidi"/>
          <w:sz w:val="24"/>
          <w:szCs w:val="24"/>
        </w:rPr>
        <w:t>.</w:t>
      </w:r>
      <w:r w:rsidR="19413A72" w:rsidRPr="6524B888">
        <w:rPr>
          <w:rFonts w:asciiTheme="minorHAnsi" w:eastAsia="Calibri" w:hAnsiTheme="minorHAnsi" w:cstheme="minorBidi"/>
          <w:sz w:val="24"/>
          <w:szCs w:val="24"/>
        </w:rPr>
        <w:t xml:space="preserve"> </w:t>
      </w:r>
      <w:r w:rsidR="008668C8" w:rsidRPr="008668C8">
        <w:rPr>
          <w:rFonts w:asciiTheme="minorHAnsi" w:eastAsia="Calibri" w:hAnsiTheme="minorHAnsi" w:cstheme="minorBidi"/>
          <w:sz w:val="24"/>
          <w:szCs w:val="24"/>
        </w:rPr>
        <w:t>NSA</w:t>
      </w:r>
      <w:r w:rsidR="00D01D93">
        <w:rPr>
          <w:rFonts w:asciiTheme="minorHAnsi" w:eastAsia="Calibri" w:hAnsiTheme="minorHAnsi" w:cstheme="minorBidi"/>
          <w:sz w:val="24"/>
          <w:szCs w:val="24"/>
        </w:rPr>
        <w:t xml:space="preserve"> </w:t>
      </w:r>
      <w:r w:rsidR="008668C8" w:rsidRPr="008668C8">
        <w:rPr>
          <w:rFonts w:asciiTheme="minorHAnsi" w:eastAsia="Calibri" w:hAnsiTheme="minorHAnsi" w:cstheme="minorBidi"/>
          <w:sz w:val="24"/>
          <w:szCs w:val="24"/>
        </w:rPr>
        <w:t>v</w:t>
      </w:r>
      <w:r w:rsidR="00F6678D">
        <w:rPr>
          <w:rFonts w:asciiTheme="minorHAnsi" w:eastAsia="Calibri" w:hAnsiTheme="minorHAnsi" w:cstheme="minorBidi"/>
          <w:sz w:val="24"/>
          <w:szCs w:val="24"/>
        </w:rPr>
        <w:t> </w:t>
      </w:r>
      <w:r w:rsidR="008668C8" w:rsidRPr="008668C8">
        <w:rPr>
          <w:rFonts w:asciiTheme="minorHAnsi" w:eastAsia="Calibri" w:hAnsiTheme="minorHAnsi" w:cstheme="minorBidi"/>
          <w:sz w:val="24"/>
          <w:szCs w:val="24"/>
        </w:rPr>
        <w:t xml:space="preserve">kontrolovaném období neprováděla průběžné ani závěrečné vyhodnocení plnění cílů programů a výzev. </w:t>
      </w:r>
      <w:r w:rsidR="00F30222" w:rsidRPr="00F30222">
        <w:rPr>
          <w:rFonts w:asciiTheme="minorHAnsi" w:eastAsia="Calibri" w:hAnsiTheme="minorHAnsi" w:cstheme="minorBidi"/>
          <w:sz w:val="24"/>
          <w:szCs w:val="24"/>
        </w:rPr>
        <w:t>NSA nekontrolovala závěrečné vyhodnocení či vyúčtování dotací příjemců. V několika případech NKÚ zjistil v závěrečném vyhodnocení akce nedostatky.</w:t>
      </w:r>
      <w:r w:rsidR="00F30222" w:rsidRPr="00BD0991">
        <w:rPr>
          <w:rFonts w:asciiTheme="minorHAnsi" w:eastAsiaTheme="minorEastAsia" w:hAnsiTheme="minorHAnsi" w:cstheme="minorHAnsi"/>
        </w:rPr>
        <w:t xml:space="preserve"> </w:t>
      </w:r>
      <w:r w:rsidR="00F85CF8" w:rsidRPr="00D60B2C">
        <w:rPr>
          <w:rFonts w:asciiTheme="minorHAnsi" w:eastAsia="Calibri" w:hAnsiTheme="minorHAnsi" w:cstheme="minorBidi"/>
          <w:bCs/>
          <w:sz w:val="24"/>
          <w:szCs w:val="24"/>
        </w:rPr>
        <w:t>NSA</w:t>
      </w:r>
      <w:r w:rsidR="00D01D93">
        <w:rPr>
          <w:rFonts w:asciiTheme="minorHAnsi" w:eastAsia="Calibri" w:hAnsiTheme="minorHAnsi" w:cstheme="minorBidi"/>
          <w:bCs/>
          <w:sz w:val="24"/>
          <w:szCs w:val="24"/>
        </w:rPr>
        <w:t xml:space="preserve"> </w:t>
      </w:r>
      <w:r w:rsidR="005937B0" w:rsidRPr="00D60B2C">
        <w:rPr>
          <w:rFonts w:asciiTheme="minorHAnsi" w:eastAsia="Calibri" w:hAnsiTheme="minorHAnsi" w:cstheme="minorBidi"/>
          <w:bCs/>
          <w:sz w:val="24"/>
          <w:szCs w:val="24"/>
        </w:rPr>
        <w:lastRenderedPageBreak/>
        <w:t xml:space="preserve">v rozporu </w:t>
      </w:r>
      <w:r w:rsidR="003648F8">
        <w:rPr>
          <w:rFonts w:asciiTheme="minorHAnsi" w:eastAsia="Calibri" w:hAnsiTheme="minorHAnsi" w:cstheme="minorBidi"/>
          <w:bCs/>
          <w:sz w:val="24"/>
          <w:szCs w:val="24"/>
        </w:rPr>
        <w:t>s</w:t>
      </w:r>
      <w:r w:rsidR="005937B0" w:rsidRPr="00D60B2C">
        <w:rPr>
          <w:rFonts w:asciiTheme="minorHAnsi" w:eastAsia="Calibri" w:hAnsiTheme="minorHAnsi" w:cstheme="minorBidi"/>
          <w:bCs/>
          <w:sz w:val="24"/>
          <w:szCs w:val="24"/>
        </w:rPr>
        <w:t xml:space="preserve"> rozpočtový</w:t>
      </w:r>
      <w:r w:rsidR="003648F8">
        <w:rPr>
          <w:rFonts w:asciiTheme="minorHAnsi" w:eastAsia="Calibri" w:hAnsiTheme="minorHAnsi" w:cstheme="minorBidi"/>
          <w:bCs/>
          <w:sz w:val="24"/>
          <w:szCs w:val="24"/>
        </w:rPr>
        <w:t>mi</w:t>
      </w:r>
      <w:r w:rsidR="005937B0" w:rsidRPr="00D60B2C">
        <w:rPr>
          <w:rFonts w:asciiTheme="minorHAnsi" w:eastAsia="Calibri" w:hAnsiTheme="minorHAnsi" w:cstheme="minorBidi"/>
          <w:bCs/>
          <w:sz w:val="24"/>
          <w:szCs w:val="24"/>
        </w:rPr>
        <w:t xml:space="preserve"> pravidl</w:t>
      </w:r>
      <w:r w:rsidR="003648F8">
        <w:rPr>
          <w:rFonts w:asciiTheme="minorHAnsi" w:eastAsia="Calibri" w:hAnsiTheme="minorHAnsi" w:cstheme="minorBidi"/>
          <w:bCs/>
          <w:sz w:val="24"/>
          <w:szCs w:val="24"/>
        </w:rPr>
        <w:t>y</w:t>
      </w:r>
      <w:r w:rsidR="006A5822" w:rsidRPr="00D60B2C">
        <w:rPr>
          <w:rStyle w:val="Znakapoznpodarou"/>
          <w:rFonts w:asciiTheme="minorHAnsi" w:eastAsia="Calibri" w:hAnsiTheme="minorHAnsi" w:cstheme="minorBidi"/>
          <w:bCs/>
          <w:sz w:val="24"/>
          <w:szCs w:val="24"/>
        </w:rPr>
        <w:footnoteReference w:id="6"/>
      </w:r>
      <w:r w:rsidR="00EC54AF" w:rsidRPr="00D60B2C">
        <w:rPr>
          <w:rFonts w:asciiTheme="minorHAnsi" w:eastAsia="Calibri" w:hAnsiTheme="minorHAnsi" w:cstheme="minorBidi"/>
          <w:bCs/>
          <w:sz w:val="24"/>
          <w:szCs w:val="24"/>
        </w:rPr>
        <w:t xml:space="preserve"> </w:t>
      </w:r>
      <w:r w:rsidR="005937B0" w:rsidRPr="00D60B2C">
        <w:rPr>
          <w:rFonts w:asciiTheme="minorHAnsi" w:eastAsia="Calibri" w:hAnsiTheme="minorHAnsi" w:cstheme="minorBidi"/>
          <w:bCs/>
          <w:sz w:val="24"/>
          <w:szCs w:val="24"/>
        </w:rPr>
        <w:t xml:space="preserve">soustavně </w:t>
      </w:r>
      <w:r w:rsidR="19413A72" w:rsidRPr="00D60B2C">
        <w:rPr>
          <w:rFonts w:asciiTheme="minorHAnsi" w:eastAsia="Calibri" w:hAnsiTheme="minorHAnsi" w:cstheme="minorBidi"/>
          <w:bCs/>
          <w:sz w:val="24"/>
          <w:szCs w:val="24"/>
        </w:rPr>
        <w:t>nesledovala a</w:t>
      </w:r>
      <w:r w:rsidR="00F6678D" w:rsidRPr="00D60B2C">
        <w:rPr>
          <w:rFonts w:asciiTheme="minorHAnsi" w:eastAsia="Calibri" w:hAnsiTheme="minorHAnsi" w:cstheme="minorBidi"/>
          <w:bCs/>
          <w:sz w:val="24"/>
          <w:szCs w:val="24"/>
        </w:rPr>
        <w:t> </w:t>
      </w:r>
      <w:r w:rsidR="19413A72" w:rsidRPr="00D60B2C">
        <w:rPr>
          <w:rFonts w:asciiTheme="minorHAnsi" w:eastAsia="Calibri" w:hAnsiTheme="minorHAnsi" w:cstheme="minorBidi"/>
          <w:bCs/>
          <w:sz w:val="24"/>
          <w:szCs w:val="24"/>
        </w:rPr>
        <w:t>nevyhodnocovala efektivnost a</w:t>
      </w:r>
      <w:r w:rsidR="009C3B92">
        <w:rPr>
          <w:rFonts w:asciiTheme="minorHAnsi" w:eastAsia="Calibri" w:hAnsiTheme="minorHAnsi" w:cstheme="minorBidi"/>
          <w:bCs/>
          <w:sz w:val="24"/>
          <w:szCs w:val="24"/>
        </w:rPr>
        <w:t> </w:t>
      </w:r>
      <w:r w:rsidR="19413A72" w:rsidRPr="00D60B2C">
        <w:rPr>
          <w:rFonts w:asciiTheme="minorHAnsi" w:eastAsia="Calibri" w:hAnsiTheme="minorHAnsi" w:cstheme="minorBidi"/>
          <w:bCs/>
          <w:sz w:val="24"/>
          <w:szCs w:val="24"/>
        </w:rPr>
        <w:t>účelnost výdajů</w:t>
      </w:r>
      <w:r w:rsidR="009C6ED1">
        <w:rPr>
          <w:rFonts w:asciiTheme="minorHAnsi" w:eastAsia="Calibri" w:hAnsiTheme="minorHAnsi" w:cstheme="minorBidi"/>
          <w:bCs/>
          <w:sz w:val="24"/>
          <w:szCs w:val="24"/>
        </w:rPr>
        <w:t>.</w:t>
      </w:r>
      <w:r w:rsidR="19413A72" w:rsidRPr="00D60B2C">
        <w:rPr>
          <w:rFonts w:asciiTheme="minorHAnsi" w:eastAsia="Calibri" w:hAnsiTheme="minorHAnsi" w:cstheme="minorBidi"/>
          <w:bCs/>
          <w:sz w:val="24"/>
          <w:szCs w:val="24"/>
        </w:rPr>
        <w:t xml:space="preserve"> </w:t>
      </w:r>
      <w:r w:rsidR="009C6ED1">
        <w:rPr>
          <w:rFonts w:asciiTheme="minorHAnsi" w:eastAsia="Calibri" w:hAnsiTheme="minorHAnsi" w:cstheme="minorBidi"/>
          <w:bCs/>
          <w:sz w:val="24"/>
          <w:szCs w:val="24"/>
        </w:rPr>
        <w:t>NSA nesledovala a nevyhodnocovala, zda jí vynaložené výdaje vedly k</w:t>
      </w:r>
      <w:r w:rsidR="00363A05">
        <w:rPr>
          <w:rFonts w:asciiTheme="minorHAnsi" w:eastAsia="Calibri" w:hAnsiTheme="minorHAnsi" w:cstheme="minorBidi"/>
          <w:bCs/>
          <w:sz w:val="24"/>
          <w:szCs w:val="24"/>
        </w:rPr>
        <w:t> </w:t>
      </w:r>
      <w:r w:rsidR="19413A72" w:rsidRPr="00D60B2C">
        <w:rPr>
          <w:rFonts w:asciiTheme="minorHAnsi" w:eastAsia="Calibri" w:hAnsiTheme="minorHAnsi" w:cstheme="minorBidi"/>
          <w:bCs/>
          <w:sz w:val="24"/>
          <w:szCs w:val="24"/>
        </w:rPr>
        <w:t>dosažení očekávaných dopadů</w:t>
      </w:r>
      <w:r w:rsidR="00992D5E" w:rsidRPr="00D60B2C">
        <w:rPr>
          <w:rFonts w:asciiTheme="minorHAnsi" w:eastAsia="Calibri" w:hAnsiTheme="minorHAnsi" w:cstheme="minorBidi"/>
          <w:bCs/>
          <w:sz w:val="24"/>
          <w:szCs w:val="24"/>
        </w:rPr>
        <w:t>.</w:t>
      </w:r>
      <w:r w:rsidR="002F6271" w:rsidRPr="00D60B2C">
        <w:rPr>
          <w:rFonts w:asciiTheme="minorHAnsi" w:eastAsia="Calibri" w:hAnsiTheme="minorHAnsi" w:cstheme="minorBidi"/>
          <w:bCs/>
          <w:sz w:val="24"/>
          <w:szCs w:val="24"/>
          <w:vertAlign w:val="superscript"/>
        </w:rPr>
        <w:footnoteReference w:id="7"/>
      </w:r>
    </w:p>
    <w:p w14:paraId="2340B0EE" w14:textId="77777777" w:rsidR="00155C6C" w:rsidRPr="00BD0991" w:rsidRDefault="006F0345" w:rsidP="00CA6D8B">
      <w:pPr>
        <w:pStyle w:val="Nadpis1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 xml:space="preserve">2. </w:t>
      </w:r>
      <w:r w:rsidR="00C276D1" w:rsidRPr="75EB0935">
        <w:rPr>
          <w:rFonts w:asciiTheme="minorHAnsi" w:hAnsiTheme="minorHAnsi" w:cstheme="minorBidi"/>
        </w:rPr>
        <w:t xml:space="preserve">Netransparentní </w:t>
      </w:r>
      <w:r w:rsidR="007311FB">
        <w:rPr>
          <w:rFonts w:asciiTheme="minorHAnsi" w:hAnsiTheme="minorHAnsi" w:cstheme="minorBidi"/>
        </w:rPr>
        <w:t xml:space="preserve">výběr </w:t>
      </w:r>
      <w:r w:rsidR="00545879">
        <w:rPr>
          <w:rFonts w:asciiTheme="minorHAnsi" w:hAnsiTheme="minorHAnsi" w:cstheme="minorBidi"/>
        </w:rPr>
        <w:t>příjemců</w:t>
      </w:r>
      <w:r w:rsidR="00C276D1" w:rsidRPr="75EB0935">
        <w:rPr>
          <w:rFonts w:asciiTheme="minorHAnsi" w:hAnsiTheme="minorHAnsi" w:cstheme="minorBidi"/>
        </w:rPr>
        <w:t xml:space="preserve"> dotac</w:t>
      </w:r>
      <w:r w:rsidR="00545879">
        <w:rPr>
          <w:rFonts w:asciiTheme="minorHAnsi" w:hAnsiTheme="minorHAnsi" w:cstheme="minorBidi"/>
        </w:rPr>
        <w:t>í</w:t>
      </w:r>
    </w:p>
    <w:p w14:paraId="03D04EB1" w14:textId="4398F72D" w:rsidR="00155C6C" w:rsidRPr="00BD0991" w:rsidRDefault="00155C6C" w:rsidP="00BD0991">
      <w:pPr>
        <w:spacing w:before="120"/>
        <w:rPr>
          <w:rFonts w:asciiTheme="minorHAnsi" w:eastAsiaTheme="minorEastAsia" w:hAnsiTheme="minorHAnsi" w:cstheme="minorHAnsi"/>
        </w:rPr>
      </w:pPr>
      <w:r w:rsidRPr="00BD0991">
        <w:rPr>
          <w:rFonts w:asciiTheme="minorHAnsi" w:hAnsiTheme="minorHAnsi" w:cstheme="minorHAnsi"/>
        </w:rPr>
        <w:t xml:space="preserve">MŠMT u tří </w:t>
      </w:r>
      <w:r w:rsidR="00BE4391">
        <w:rPr>
          <w:rFonts w:asciiTheme="minorHAnsi" w:hAnsiTheme="minorHAnsi" w:cstheme="minorHAnsi"/>
        </w:rPr>
        <w:t xml:space="preserve">ze 14 kontrolovaných </w:t>
      </w:r>
      <w:r w:rsidRPr="00BD0991">
        <w:rPr>
          <w:rFonts w:asciiTheme="minorHAnsi" w:hAnsiTheme="minorHAnsi" w:cstheme="minorHAnsi"/>
        </w:rPr>
        <w:t>výzev nepostupovalo</w:t>
      </w:r>
      <w:r w:rsidR="00865882">
        <w:rPr>
          <w:rFonts w:asciiTheme="minorHAnsi" w:hAnsiTheme="minorHAnsi" w:cstheme="minorHAnsi"/>
        </w:rPr>
        <w:t xml:space="preserve"> při výběru </w:t>
      </w:r>
      <w:r w:rsidR="00545879">
        <w:rPr>
          <w:rFonts w:asciiTheme="minorHAnsi" w:hAnsiTheme="minorHAnsi" w:cstheme="minorHAnsi"/>
        </w:rPr>
        <w:t>příjemců</w:t>
      </w:r>
      <w:r w:rsidRPr="00BD0991">
        <w:rPr>
          <w:rFonts w:asciiTheme="minorHAnsi" w:hAnsiTheme="minorHAnsi" w:cstheme="minorHAnsi"/>
        </w:rPr>
        <w:t xml:space="preserve"> transparentním způsobem. </w:t>
      </w:r>
      <w:r w:rsidR="00530E5F">
        <w:rPr>
          <w:rFonts w:asciiTheme="minorHAnsi" w:hAnsiTheme="minorHAnsi" w:cstheme="minorHAnsi"/>
        </w:rPr>
        <w:t>Navíc</w:t>
      </w:r>
      <w:r w:rsidR="00233814">
        <w:rPr>
          <w:rFonts w:asciiTheme="minorHAnsi" w:hAnsiTheme="minorHAnsi" w:cstheme="minorHAnsi"/>
        </w:rPr>
        <w:t xml:space="preserve"> </w:t>
      </w:r>
      <w:r w:rsidRPr="00BD0991">
        <w:rPr>
          <w:rFonts w:asciiTheme="minorHAnsi" w:eastAsiaTheme="minorEastAsia" w:hAnsiTheme="minorHAnsi" w:cstheme="minorHAnsi"/>
        </w:rPr>
        <w:t xml:space="preserve">MŠMT </w:t>
      </w:r>
      <w:r w:rsidR="00530E5F">
        <w:rPr>
          <w:rFonts w:asciiTheme="minorHAnsi" w:eastAsiaTheme="minorEastAsia" w:hAnsiTheme="minorHAnsi" w:cstheme="minorHAnsi"/>
        </w:rPr>
        <w:t>u jedné z výzev</w:t>
      </w:r>
      <w:r w:rsidRPr="00BD0991">
        <w:rPr>
          <w:rFonts w:asciiTheme="minorHAnsi" w:eastAsiaTheme="minorEastAsia" w:hAnsiTheme="minorHAnsi" w:cstheme="minorHAnsi"/>
        </w:rPr>
        <w:t xml:space="preserve"> nepostupovalo v souladu se zásadami rovnosti účastníků řízení</w:t>
      </w:r>
      <w:r w:rsidR="009F7CB8">
        <w:rPr>
          <w:rFonts w:asciiTheme="minorHAnsi" w:eastAsiaTheme="minorEastAsia" w:hAnsiTheme="minorHAnsi" w:cstheme="minorHAnsi"/>
        </w:rPr>
        <w:t>.</w:t>
      </w:r>
    </w:p>
    <w:p w14:paraId="69678090" w14:textId="77777777" w:rsidR="424C9439" w:rsidRPr="00BD0991" w:rsidRDefault="00D46FA7" w:rsidP="00BD0991">
      <w:pPr>
        <w:spacing w:before="120"/>
        <w:rPr>
          <w:rFonts w:asciiTheme="minorHAnsi" w:eastAsiaTheme="minorEastAsia" w:hAnsiTheme="minorHAnsi" w:cstheme="minorHAnsi"/>
          <w:b/>
        </w:rPr>
      </w:pPr>
      <w:r w:rsidRPr="6524B888">
        <w:rPr>
          <w:rFonts w:asciiTheme="minorHAnsi" w:eastAsiaTheme="minorEastAsia" w:hAnsiTheme="minorHAnsi" w:cstheme="minorBidi"/>
        </w:rPr>
        <w:t xml:space="preserve">Ani </w:t>
      </w:r>
      <w:r w:rsidR="00155C6C" w:rsidRPr="6524B888">
        <w:rPr>
          <w:rFonts w:asciiTheme="minorHAnsi" w:eastAsiaTheme="minorEastAsia" w:hAnsiTheme="minorHAnsi" w:cstheme="minorBidi"/>
        </w:rPr>
        <w:t>NSA</w:t>
      </w:r>
      <w:r w:rsidR="00530E5F">
        <w:rPr>
          <w:rFonts w:asciiTheme="minorHAnsi" w:eastAsiaTheme="minorEastAsia" w:hAnsiTheme="minorHAnsi" w:cstheme="minorBidi"/>
        </w:rPr>
        <w:t xml:space="preserve"> u pěti </w:t>
      </w:r>
      <w:r w:rsidR="00BE4391">
        <w:rPr>
          <w:rFonts w:asciiTheme="minorHAnsi" w:eastAsiaTheme="minorEastAsia" w:hAnsiTheme="minorHAnsi" w:cstheme="minorBidi"/>
        </w:rPr>
        <w:t xml:space="preserve">z 24 kontrolovaných </w:t>
      </w:r>
      <w:r w:rsidR="00530E5F">
        <w:rPr>
          <w:rFonts w:asciiTheme="minorHAnsi" w:eastAsiaTheme="minorEastAsia" w:hAnsiTheme="minorHAnsi" w:cstheme="minorBidi"/>
        </w:rPr>
        <w:t>výzev</w:t>
      </w:r>
      <w:r w:rsidR="00155C6C" w:rsidRPr="6524B888">
        <w:rPr>
          <w:rFonts w:asciiTheme="minorHAnsi" w:eastAsiaTheme="minorEastAsia" w:hAnsiTheme="minorHAnsi" w:cstheme="minorBidi"/>
        </w:rPr>
        <w:t xml:space="preserve"> </w:t>
      </w:r>
      <w:r w:rsidRPr="6524B888">
        <w:rPr>
          <w:rFonts w:asciiTheme="minorHAnsi" w:eastAsiaTheme="minorEastAsia" w:hAnsiTheme="minorHAnsi" w:cstheme="minorBidi"/>
        </w:rPr>
        <w:t>n</w:t>
      </w:r>
      <w:r w:rsidR="00155C6C" w:rsidRPr="6524B888">
        <w:rPr>
          <w:rFonts w:asciiTheme="minorHAnsi" w:eastAsiaTheme="minorEastAsia" w:hAnsiTheme="minorHAnsi" w:cstheme="minorBidi"/>
        </w:rPr>
        <w:t>epostupovala</w:t>
      </w:r>
      <w:r w:rsidR="001810DF" w:rsidRPr="6524B888">
        <w:rPr>
          <w:rFonts w:asciiTheme="minorHAnsi" w:eastAsiaTheme="minorEastAsia" w:hAnsiTheme="minorHAnsi" w:cstheme="minorBidi"/>
        </w:rPr>
        <w:t xml:space="preserve"> př</w:t>
      </w:r>
      <w:r w:rsidR="007A57D2" w:rsidRPr="6524B888">
        <w:rPr>
          <w:rFonts w:asciiTheme="minorHAnsi" w:eastAsiaTheme="minorEastAsia" w:hAnsiTheme="minorHAnsi" w:cstheme="minorBidi"/>
        </w:rPr>
        <w:t>i</w:t>
      </w:r>
      <w:r w:rsidR="001810DF" w:rsidRPr="6524B888">
        <w:rPr>
          <w:rFonts w:asciiTheme="minorHAnsi" w:eastAsiaTheme="minorEastAsia" w:hAnsiTheme="minorHAnsi" w:cstheme="minorBidi"/>
        </w:rPr>
        <w:t xml:space="preserve"> výběru </w:t>
      </w:r>
      <w:r w:rsidR="00545879">
        <w:rPr>
          <w:rFonts w:asciiTheme="minorHAnsi" w:eastAsiaTheme="minorEastAsia" w:hAnsiTheme="minorHAnsi" w:cstheme="minorBidi"/>
        </w:rPr>
        <w:t>příjemců</w:t>
      </w:r>
      <w:r w:rsidR="00155C6C" w:rsidRPr="6524B888">
        <w:rPr>
          <w:rFonts w:asciiTheme="minorHAnsi" w:eastAsiaTheme="minorEastAsia" w:hAnsiTheme="minorHAnsi" w:cstheme="minorBidi"/>
        </w:rPr>
        <w:t xml:space="preserve"> transparentním způsobem</w:t>
      </w:r>
      <w:r w:rsidR="00B45C0A" w:rsidRPr="00DE577A">
        <w:rPr>
          <w:rFonts w:asciiTheme="minorHAnsi" w:eastAsiaTheme="minorEastAsia" w:hAnsiTheme="minorHAnsi" w:cstheme="minorBidi"/>
        </w:rPr>
        <w:t>.</w:t>
      </w:r>
      <w:r w:rsidR="00BE4391">
        <w:rPr>
          <w:rFonts w:asciiTheme="minorHAnsi" w:eastAsiaTheme="minorEastAsia" w:hAnsiTheme="minorHAnsi" w:cstheme="minorBidi"/>
        </w:rPr>
        <w:t xml:space="preserve"> </w:t>
      </w:r>
      <w:r w:rsidR="00530E5F">
        <w:rPr>
          <w:rFonts w:asciiTheme="minorHAnsi" w:eastAsiaTheme="minorEastAsia" w:hAnsiTheme="minorHAnsi" w:cstheme="minorBidi"/>
        </w:rPr>
        <w:t>U dvou z těchto výzev také n</w:t>
      </w:r>
      <w:r w:rsidR="00202512" w:rsidRPr="6524B888">
        <w:rPr>
          <w:rFonts w:asciiTheme="minorHAnsi" w:eastAsiaTheme="minorEastAsia" w:hAnsiTheme="minorHAnsi" w:cstheme="minorBidi"/>
        </w:rPr>
        <w:t>ebylo možné</w:t>
      </w:r>
      <w:r w:rsidR="00155C6C" w:rsidRPr="6524B888">
        <w:rPr>
          <w:rFonts w:asciiTheme="minorHAnsi" w:eastAsiaTheme="minorEastAsia" w:hAnsiTheme="minorHAnsi" w:cstheme="minorBidi"/>
        </w:rPr>
        <w:t xml:space="preserve"> určit, zda byly vybrány a podpořeny </w:t>
      </w:r>
      <w:r w:rsidR="003D46CC" w:rsidRPr="6524B888">
        <w:rPr>
          <w:rFonts w:asciiTheme="minorHAnsi" w:eastAsiaTheme="minorEastAsia" w:hAnsiTheme="minorHAnsi" w:cstheme="minorBidi"/>
        </w:rPr>
        <w:t>žádosti</w:t>
      </w:r>
      <w:r w:rsidR="00155C6C" w:rsidRPr="6524B888">
        <w:rPr>
          <w:rFonts w:asciiTheme="minorHAnsi" w:eastAsiaTheme="minorEastAsia" w:hAnsiTheme="minorHAnsi" w:cstheme="minorBidi"/>
        </w:rPr>
        <w:t xml:space="preserve">, které by </w:t>
      </w:r>
      <w:r w:rsidR="00B91612">
        <w:rPr>
          <w:rFonts w:asciiTheme="minorHAnsi" w:eastAsiaTheme="minorEastAsia" w:hAnsiTheme="minorHAnsi" w:cstheme="minorBidi"/>
        </w:rPr>
        <w:t>nejlépe</w:t>
      </w:r>
      <w:r w:rsidR="00155C6C" w:rsidRPr="6524B888">
        <w:rPr>
          <w:rFonts w:asciiTheme="minorHAnsi" w:eastAsiaTheme="minorEastAsia" w:hAnsiTheme="minorHAnsi" w:cstheme="minorBidi"/>
        </w:rPr>
        <w:t xml:space="preserve"> naplňovaly cíle dan</w:t>
      </w:r>
      <w:r w:rsidR="00202512" w:rsidRPr="6524B888">
        <w:rPr>
          <w:rFonts w:asciiTheme="minorHAnsi" w:eastAsiaTheme="minorEastAsia" w:hAnsiTheme="minorHAnsi" w:cstheme="minorBidi"/>
        </w:rPr>
        <w:t>ých</w:t>
      </w:r>
      <w:r w:rsidR="00155C6C" w:rsidRPr="6524B888">
        <w:rPr>
          <w:rFonts w:asciiTheme="minorHAnsi" w:eastAsiaTheme="minorEastAsia" w:hAnsiTheme="minorHAnsi" w:cstheme="minorBidi"/>
        </w:rPr>
        <w:t xml:space="preserve"> výz</w:t>
      </w:r>
      <w:r w:rsidR="00202512" w:rsidRPr="6524B888">
        <w:rPr>
          <w:rFonts w:asciiTheme="minorHAnsi" w:eastAsiaTheme="minorEastAsia" w:hAnsiTheme="minorHAnsi" w:cstheme="minorBidi"/>
        </w:rPr>
        <w:t>ev.</w:t>
      </w:r>
      <w:r w:rsidR="00D078A3">
        <w:rPr>
          <w:rFonts w:asciiTheme="minorHAnsi" w:eastAsiaTheme="minorEastAsia" w:hAnsiTheme="minorHAnsi" w:cstheme="minorBidi"/>
        </w:rPr>
        <w:t xml:space="preserve"> </w:t>
      </w:r>
    </w:p>
    <w:p w14:paraId="42BC1138" w14:textId="77777777" w:rsidR="002D3B41" w:rsidRPr="00BD0991" w:rsidRDefault="006F0345" w:rsidP="00CA6D8B">
      <w:pPr>
        <w:pStyle w:val="Nadpis1"/>
        <w:spacing w:after="1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3. </w:t>
      </w:r>
      <w:r w:rsidR="15105FE2" w:rsidRPr="75EB0935">
        <w:rPr>
          <w:rFonts w:asciiTheme="minorHAnsi" w:hAnsiTheme="minorHAnsi" w:cstheme="minorBidi"/>
        </w:rPr>
        <w:t>Zdlouhavá administrace žádostí</w:t>
      </w:r>
    </w:p>
    <w:p w14:paraId="43ED6351" w14:textId="4C6CA3FC" w:rsidR="00CE4D04" w:rsidRPr="00D15488" w:rsidRDefault="00D15488" w:rsidP="00E57CAC">
      <w:pPr>
        <w:spacing w:before="120"/>
        <w:rPr>
          <w:rFonts w:eastAsiaTheme="minorEastAsia"/>
        </w:rPr>
      </w:pPr>
      <w:r w:rsidRPr="00D15488">
        <w:rPr>
          <w:rFonts w:eastAsiaTheme="minorEastAsia" w:cstheme="minorBidi"/>
          <w:bCs/>
        </w:rPr>
        <w:t xml:space="preserve">Proces administrace žádostí byl na MŠMT i </w:t>
      </w:r>
      <w:r w:rsidR="00774E8A">
        <w:rPr>
          <w:rFonts w:eastAsiaTheme="minorEastAsia" w:cstheme="minorBidi"/>
          <w:bCs/>
        </w:rPr>
        <w:t>v </w:t>
      </w:r>
      <w:r w:rsidRPr="00D15488">
        <w:rPr>
          <w:rFonts w:eastAsiaTheme="minorEastAsia" w:cstheme="minorBidi"/>
          <w:bCs/>
        </w:rPr>
        <w:t xml:space="preserve">NSA u některých výzev </w:t>
      </w:r>
      <w:r w:rsidR="00E57CAC" w:rsidRPr="00D15488">
        <w:rPr>
          <w:rFonts w:eastAsiaTheme="minorEastAsia" w:cstheme="minorBidi"/>
          <w:bCs/>
        </w:rPr>
        <w:t xml:space="preserve">investičních </w:t>
      </w:r>
      <w:r w:rsidR="00E57CAC">
        <w:rPr>
          <w:rFonts w:eastAsiaTheme="minorEastAsia" w:cstheme="minorBidi"/>
          <w:bCs/>
        </w:rPr>
        <w:t>a</w:t>
      </w:r>
      <w:r w:rsidR="006F0345">
        <w:rPr>
          <w:rFonts w:eastAsiaTheme="minorEastAsia" w:cstheme="minorBidi"/>
          <w:bCs/>
        </w:rPr>
        <w:t> n</w:t>
      </w:r>
      <w:r w:rsidRPr="00D15488">
        <w:rPr>
          <w:rFonts w:eastAsiaTheme="minorEastAsia" w:cstheme="minorBidi"/>
          <w:bCs/>
        </w:rPr>
        <w:t>einvestičních dotací zdlouhavý.</w:t>
      </w:r>
      <w:r w:rsidRPr="006E7DD1">
        <w:rPr>
          <w:rFonts w:eastAsiaTheme="minorEastAsia" w:cstheme="minorBidi"/>
          <w:bCs/>
        </w:rPr>
        <w:t xml:space="preserve"> </w:t>
      </w:r>
      <w:r w:rsidR="00E57CAC">
        <w:rPr>
          <w:rFonts w:eastAsiaTheme="minorEastAsia"/>
        </w:rPr>
        <w:t>MŠMT v případech kontrolovaných investičních a</w:t>
      </w:r>
      <w:r w:rsidR="006F0345">
        <w:rPr>
          <w:rFonts w:eastAsiaTheme="minorEastAsia"/>
        </w:rPr>
        <w:t> </w:t>
      </w:r>
      <w:r w:rsidR="00E57CAC">
        <w:rPr>
          <w:rFonts w:eastAsiaTheme="minorEastAsia"/>
        </w:rPr>
        <w:t xml:space="preserve">neinvestičních výzev za roky 2019 a 2020 vydávalo </w:t>
      </w:r>
      <w:r w:rsidR="00E57CAC">
        <w:rPr>
          <w:rFonts w:asciiTheme="minorHAnsi" w:eastAsiaTheme="minorEastAsia" w:hAnsiTheme="minorHAnsi" w:cstheme="minorBidi"/>
        </w:rPr>
        <w:t>r</w:t>
      </w:r>
      <w:r w:rsidR="00E57CAC" w:rsidRPr="6524B888">
        <w:rPr>
          <w:rFonts w:asciiTheme="minorHAnsi" w:eastAsiaTheme="minorEastAsia" w:hAnsiTheme="minorHAnsi" w:cstheme="minorBidi"/>
        </w:rPr>
        <w:t xml:space="preserve">ozhodnutí o poskytnutí dotace </w:t>
      </w:r>
      <w:r w:rsidR="00E57CAC">
        <w:rPr>
          <w:rFonts w:asciiTheme="minorHAnsi" w:eastAsiaTheme="minorEastAsia" w:hAnsiTheme="minorHAnsi" w:cstheme="minorBidi"/>
        </w:rPr>
        <w:t>(dále také „</w:t>
      </w:r>
      <w:proofErr w:type="spellStart"/>
      <w:r w:rsidR="00E57CAC">
        <w:rPr>
          <w:rFonts w:asciiTheme="minorHAnsi" w:eastAsiaTheme="minorEastAsia" w:hAnsiTheme="minorHAnsi" w:cstheme="minorBidi"/>
        </w:rPr>
        <w:t>RoPD</w:t>
      </w:r>
      <w:proofErr w:type="spellEnd"/>
      <w:r w:rsidR="00E57CAC">
        <w:rPr>
          <w:rFonts w:asciiTheme="minorHAnsi" w:eastAsiaTheme="minorEastAsia" w:hAnsiTheme="minorHAnsi" w:cstheme="minorBidi"/>
        </w:rPr>
        <w:t xml:space="preserve">“) </w:t>
      </w:r>
      <w:r w:rsidR="00E57CAC">
        <w:rPr>
          <w:rFonts w:eastAsiaTheme="minorEastAsia"/>
        </w:rPr>
        <w:t>v průměru po 90 až 300 dnech</w:t>
      </w:r>
      <w:r w:rsidR="0021263A">
        <w:rPr>
          <w:rFonts w:eastAsiaTheme="minorEastAsia"/>
        </w:rPr>
        <w:t xml:space="preserve"> a</w:t>
      </w:r>
      <w:r w:rsidR="00E57CAC">
        <w:rPr>
          <w:rFonts w:eastAsiaTheme="minorEastAsia"/>
        </w:rPr>
        <w:t xml:space="preserve"> </w:t>
      </w:r>
      <w:r>
        <w:rPr>
          <w:rFonts w:eastAsiaTheme="minorEastAsia"/>
        </w:rPr>
        <w:t xml:space="preserve">NSA za roky 2021 a 2022 vydávala </w:t>
      </w:r>
      <w:proofErr w:type="spellStart"/>
      <w:r>
        <w:rPr>
          <w:rFonts w:asciiTheme="minorHAnsi" w:eastAsiaTheme="minorEastAsia" w:hAnsiTheme="minorHAnsi" w:cstheme="minorBidi"/>
        </w:rPr>
        <w:t>RoPD</w:t>
      </w:r>
      <w:proofErr w:type="spellEnd"/>
      <w:r>
        <w:rPr>
          <w:rFonts w:asciiTheme="minorHAnsi" w:eastAsiaTheme="minorEastAsia" w:hAnsiTheme="minorHAnsi" w:cstheme="minorBidi"/>
        </w:rPr>
        <w:t xml:space="preserve"> </w:t>
      </w:r>
      <w:r>
        <w:rPr>
          <w:rFonts w:eastAsiaTheme="minorEastAsia"/>
        </w:rPr>
        <w:t xml:space="preserve">v průměru po 172 až 335 dnech. Navíc u tří z 12 kontrolovaných investičních výzev </w:t>
      </w:r>
      <w:r w:rsidR="00CE4D04" w:rsidRPr="00CE4D04">
        <w:rPr>
          <w:rFonts w:eastAsiaTheme="minorEastAsia"/>
        </w:rPr>
        <w:t>NSA</w:t>
      </w:r>
      <w:r w:rsidR="00774E8A">
        <w:rPr>
          <w:rFonts w:eastAsiaTheme="minorEastAsia"/>
        </w:rPr>
        <w:t xml:space="preserve"> </w:t>
      </w:r>
      <w:r w:rsidR="00CE4D04" w:rsidRPr="00CE4D04">
        <w:rPr>
          <w:rFonts w:eastAsiaTheme="minorEastAsia"/>
        </w:rPr>
        <w:t xml:space="preserve">v období šesti měsíců od podání žádostí nezahájila </w:t>
      </w:r>
      <w:r>
        <w:rPr>
          <w:rFonts w:eastAsiaTheme="minorEastAsia"/>
        </w:rPr>
        <w:t>žádný</w:t>
      </w:r>
      <w:r w:rsidR="00CE4D04" w:rsidRPr="00CE4D04">
        <w:rPr>
          <w:rFonts w:eastAsiaTheme="minorEastAsia"/>
        </w:rPr>
        <w:t xml:space="preserve"> úkon v procesu administrace žádosti. </w:t>
      </w:r>
    </w:p>
    <w:p w14:paraId="0507E954" w14:textId="55E7E3AD" w:rsidR="424C9439" w:rsidRPr="00BD0991" w:rsidRDefault="00E57CAC" w:rsidP="6524B888">
      <w:pPr>
        <w:spacing w:before="1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Například délka administrace u </w:t>
      </w:r>
      <w:r w:rsidR="3E57D6AC" w:rsidRPr="6524B888">
        <w:rPr>
          <w:rFonts w:asciiTheme="minorHAnsi" w:eastAsiaTheme="minorEastAsia" w:hAnsiTheme="minorHAnsi" w:cstheme="minorBidi"/>
        </w:rPr>
        <w:t>výz</w:t>
      </w:r>
      <w:r w:rsidR="6AFDD30B" w:rsidRPr="6524B888">
        <w:rPr>
          <w:rFonts w:asciiTheme="minorHAnsi" w:eastAsiaTheme="minorEastAsia" w:hAnsiTheme="minorHAnsi" w:cstheme="minorBidi"/>
        </w:rPr>
        <w:t>vy</w:t>
      </w:r>
      <w:r w:rsidR="3E57D6AC" w:rsidRPr="6524B888">
        <w:rPr>
          <w:rFonts w:asciiTheme="minorHAnsi" w:eastAsiaTheme="minorEastAsia" w:hAnsiTheme="minorHAnsi" w:cstheme="minorBidi"/>
        </w:rPr>
        <w:t xml:space="preserve"> </w:t>
      </w:r>
      <w:r w:rsidR="00454BF8">
        <w:rPr>
          <w:rFonts w:asciiTheme="minorHAnsi" w:eastAsiaTheme="minorEastAsia" w:hAnsiTheme="minorHAnsi" w:cstheme="minorBidi"/>
          <w:i/>
        </w:rPr>
        <w:t>Můj klub</w:t>
      </w:r>
      <w:r w:rsidRPr="006E7DD1">
        <w:rPr>
          <w:rFonts w:asciiTheme="minorHAnsi" w:eastAsiaTheme="minorEastAsia" w:hAnsiTheme="minorHAnsi" w:cstheme="minorBidi"/>
        </w:rPr>
        <w:t>,</w:t>
      </w:r>
      <w:r>
        <w:rPr>
          <w:rFonts w:asciiTheme="minorHAnsi" w:eastAsiaTheme="minorEastAsia" w:hAnsiTheme="minorHAnsi" w:cstheme="minorBidi"/>
          <w:i/>
        </w:rPr>
        <w:t xml:space="preserve"> </w:t>
      </w:r>
      <w:r w:rsidRPr="00E57CAC">
        <w:rPr>
          <w:rFonts w:asciiTheme="minorHAnsi" w:eastAsiaTheme="minorEastAsia" w:hAnsiTheme="minorHAnsi" w:cstheme="minorBidi"/>
        </w:rPr>
        <w:t>kterou vyhlašovalo</w:t>
      </w:r>
      <w:r>
        <w:rPr>
          <w:rFonts w:asciiTheme="minorHAnsi" w:eastAsiaTheme="minorEastAsia" w:hAnsiTheme="minorHAnsi" w:cstheme="minorBidi"/>
          <w:i/>
        </w:rPr>
        <w:t xml:space="preserve"> </w:t>
      </w:r>
      <w:r w:rsidR="38837CB2" w:rsidRPr="6524B888">
        <w:rPr>
          <w:rFonts w:asciiTheme="minorHAnsi" w:eastAsiaTheme="minorEastAsia" w:hAnsiTheme="minorHAnsi" w:cstheme="minorBidi"/>
        </w:rPr>
        <w:t>MŠMT</w:t>
      </w:r>
      <w:r>
        <w:rPr>
          <w:rFonts w:asciiTheme="minorHAnsi" w:eastAsiaTheme="minorEastAsia" w:hAnsiTheme="minorHAnsi" w:cstheme="minorBidi"/>
        </w:rPr>
        <w:t xml:space="preserve"> i NSA</w:t>
      </w:r>
      <w:r w:rsidR="00F469D2">
        <w:rPr>
          <w:rFonts w:asciiTheme="minorHAnsi" w:eastAsiaTheme="minorEastAsia" w:hAnsiTheme="minorHAnsi" w:cstheme="minorBidi"/>
        </w:rPr>
        <w:t>, byla u</w:t>
      </w:r>
      <w:r w:rsidR="006F0345">
        <w:rPr>
          <w:rFonts w:asciiTheme="minorHAnsi" w:eastAsiaTheme="minorEastAsia" w:hAnsiTheme="minorHAnsi" w:cstheme="minorBidi"/>
        </w:rPr>
        <w:t> </w:t>
      </w:r>
      <w:r w:rsidR="00F469D2">
        <w:rPr>
          <w:rFonts w:asciiTheme="minorHAnsi" w:eastAsiaTheme="minorEastAsia" w:hAnsiTheme="minorHAnsi" w:cstheme="minorBidi"/>
        </w:rPr>
        <w:t>MŠMT</w:t>
      </w:r>
      <w:r w:rsidR="3BCE1725" w:rsidRPr="6524B888">
        <w:rPr>
          <w:rFonts w:asciiTheme="minorHAnsi" w:eastAsiaTheme="minorEastAsia" w:hAnsiTheme="minorHAnsi" w:cstheme="minorBidi"/>
        </w:rPr>
        <w:t xml:space="preserve"> v roce 2019</w:t>
      </w:r>
      <w:r w:rsidR="38837CB2" w:rsidRPr="6524B888">
        <w:rPr>
          <w:rFonts w:asciiTheme="minorHAnsi" w:eastAsiaTheme="minorEastAsia" w:hAnsiTheme="minorHAnsi" w:cstheme="minorBidi"/>
        </w:rPr>
        <w:t xml:space="preserve"> v průměru </w:t>
      </w:r>
      <w:r w:rsidR="5BBD54EE" w:rsidRPr="6524B888">
        <w:rPr>
          <w:rFonts w:asciiTheme="minorHAnsi" w:eastAsiaTheme="minorEastAsia" w:hAnsiTheme="minorHAnsi" w:cstheme="minorBidi"/>
        </w:rPr>
        <w:t>290</w:t>
      </w:r>
      <w:r w:rsidR="00B52D72" w:rsidRPr="6524B888">
        <w:rPr>
          <w:rFonts w:asciiTheme="minorHAnsi" w:eastAsiaTheme="minorEastAsia" w:hAnsiTheme="minorHAnsi" w:cstheme="minorBidi"/>
        </w:rPr>
        <w:t xml:space="preserve"> dn</w:t>
      </w:r>
      <w:r w:rsidR="00F469D2">
        <w:rPr>
          <w:rFonts w:asciiTheme="minorHAnsi" w:eastAsiaTheme="minorEastAsia" w:hAnsiTheme="minorHAnsi" w:cstheme="minorBidi"/>
        </w:rPr>
        <w:t>í</w:t>
      </w:r>
      <w:r w:rsidR="5BBD54EE" w:rsidRPr="6524B888">
        <w:rPr>
          <w:rFonts w:asciiTheme="minorHAnsi" w:eastAsiaTheme="minorEastAsia" w:hAnsiTheme="minorHAnsi" w:cstheme="minorBidi"/>
        </w:rPr>
        <w:t xml:space="preserve">. </w:t>
      </w:r>
      <w:r w:rsidR="0BE88C93" w:rsidRPr="6524B888">
        <w:rPr>
          <w:rFonts w:asciiTheme="minorHAnsi" w:eastAsiaTheme="minorEastAsia" w:hAnsiTheme="minorHAnsi" w:cstheme="minorBidi"/>
        </w:rPr>
        <w:t xml:space="preserve">V roce 2020 </w:t>
      </w:r>
      <w:r w:rsidR="5BBD54EE" w:rsidRPr="6524B888">
        <w:rPr>
          <w:rFonts w:asciiTheme="minorHAnsi" w:eastAsiaTheme="minorEastAsia" w:hAnsiTheme="minorHAnsi" w:cstheme="minorBidi"/>
        </w:rPr>
        <w:t>by</w:t>
      </w:r>
      <w:r w:rsidR="07950CFB" w:rsidRPr="6524B888">
        <w:rPr>
          <w:rFonts w:asciiTheme="minorHAnsi" w:eastAsiaTheme="minorEastAsia" w:hAnsiTheme="minorHAnsi" w:cstheme="minorBidi"/>
        </w:rPr>
        <w:t>la p</w:t>
      </w:r>
      <w:r w:rsidR="5BBD54EE" w:rsidRPr="6524B888">
        <w:rPr>
          <w:rFonts w:asciiTheme="minorHAnsi" w:eastAsiaTheme="minorEastAsia" w:hAnsiTheme="minorHAnsi" w:cstheme="minorBidi"/>
        </w:rPr>
        <w:t xml:space="preserve">růměrná délka administrace žádostí </w:t>
      </w:r>
      <w:r w:rsidR="6BAAEC62" w:rsidRPr="6524B888">
        <w:rPr>
          <w:rFonts w:asciiTheme="minorHAnsi" w:eastAsiaTheme="minorEastAsia" w:hAnsiTheme="minorHAnsi" w:cstheme="minorBidi"/>
        </w:rPr>
        <w:t>na</w:t>
      </w:r>
      <w:r w:rsidR="00F6678D">
        <w:rPr>
          <w:rFonts w:asciiTheme="minorHAnsi" w:eastAsiaTheme="minorEastAsia" w:hAnsiTheme="minorHAnsi" w:cstheme="minorBidi"/>
        </w:rPr>
        <w:t> </w:t>
      </w:r>
      <w:r w:rsidR="6BAAEC62" w:rsidRPr="6524B888">
        <w:rPr>
          <w:rFonts w:asciiTheme="minorHAnsi" w:eastAsiaTheme="minorEastAsia" w:hAnsiTheme="minorHAnsi" w:cstheme="minorBidi"/>
        </w:rPr>
        <w:t xml:space="preserve">MŠMT </w:t>
      </w:r>
      <w:r w:rsidR="63500743" w:rsidRPr="6524B888">
        <w:rPr>
          <w:rFonts w:asciiTheme="minorHAnsi" w:eastAsiaTheme="minorEastAsia" w:hAnsiTheme="minorHAnsi" w:cstheme="minorBidi"/>
        </w:rPr>
        <w:t>zkrácen</w:t>
      </w:r>
      <w:r w:rsidR="5BBD54EE" w:rsidRPr="6524B888">
        <w:rPr>
          <w:rFonts w:asciiTheme="minorHAnsi" w:eastAsiaTheme="minorEastAsia" w:hAnsiTheme="minorHAnsi" w:cstheme="minorBidi"/>
        </w:rPr>
        <w:t>a</w:t>
      </w:r>
      <w:r w:rsidR="0FAA32E5" w:rsidRPr="6524B888">
        <w:rPr>
          <w:rFonts w:asciiTheme="minorHAnsi" w:eastAsiaTheme="minorEastAsia" w:hAnsiTheme="minorHAnsi" w:cstheme="minorBidi"/>
        </w:rPr>
        <w:t xml:space="preserve"> na</w:t>
      </w:r>
      <w:r w:rsidR="5BBD54EE" w:rsidRPr="6524B888">
        <w:rPr>
          <w:rFonts w:asciiTheme="minorHAnsi" w:eastAsiaTheme="minorEastAsia" w:hAnsiTheme="minorHAnsi" w:cstheme="minorBidi"/>
        </w:rPr>
        <w:t xml:space="preserve"> 170 dní.</w:t>
      </w:r>
      <w:r w:rsidR="002700F5" w:rsidRPr="6524B888">
        <w:rPr>
          <w:rFonts w:asciiTheme="minorHAnsi" w:eastAsiaTheme="minorEastAsia" w:hAnsiTheme="minorHAnsi" w:cstheme="minorBidi"/>
        </w:rPr>
        <w:t xml:space="preserve"> </w:t>
      </w:r>
      <w:r w:rsidR="5BBD54EE" w:rsidRPr="6524B888">
        <w:rPr>
          <w:rFonts w:asciiTheme="minorHAnsi" w:eastAsiaTheme="minorEastAsia" w:hAnsiTheme="minorHAnsi" w:cstheme="minorBidi"/>
        </w:rPr>
        <w:t>NSA administrovala žádosti u výz</w:t>
      </w:r>
      <w:r w:rsidR="259CFA5B" w:rsidRPr="6524B888">
        <w:rPr>
          <w:rFonts w:asciiTheme="minorHAnsi" w:eastAsiaTheme="minorEastAsia" w:hAnsiTheme="minorHAnsi" w:cstheme="minorBidi"/>
        </w:rPr>
        <w:t>vy</w:t>
      </w:r>
      <w:r w:rsidR="5BBD54EE" w:rsidRPr="6524B888">
        <w:rPr>
          <w:rFonts w:asciiTheme="minorHAnsi" w:eastAsiaTheme="minorEastAsia" w:hAnsiTheme="minorHAnsi" w:cstheme="minorBidi"/>
        </w:rPr>
        <w:t xml:space="preserve"> </w:t>
      </w:r>
      <w:r w:rsidR="00454BF8" w:rsidRPr="00454BF8">
        <w:rPr>
          <w:rFonts w:asciiTheme="minorHAnsi" w:eastAsiaTheme="minorEastAsia" w:hAnsiTheme="minorHAnsi" w:cstheme="minorBidi"/>
          <w:i/>
        </w:rPr>
        <w:t>Můj klub</w:t>
      </w:r>
      <w:r w:rsidR="00454BF8">
        <w:rPr>
          <w:rFonts w:asciiTheme="minorHAnsi" w:eastAsiaTheme="minorEastAsia" w:hAnsiTheme="minorHAnsi" w:cstheme="minorBidi"/>
        </w:rPr>
        <w:t xml:space="preserve"> </w:t>
      </w:r>
      <w:r w:rsidR="3A331843" w:rsidRPr="6524B888">
        <w:rPr>
          <w:rFonts w:asciiTheme="minorHAnsi" w:eastAsiaTheme="minorEastAsia" w:hAnsiTheme="minorHAnsi" w:cstheme="minorBidi"/>
        </w:rPr>
        <w:t xml:space="preserve">v roce </w:t>
      </w:r>
      <w:r w:rsidR="5BBD54EE" w:rsidRPr="6524B888">
        <w:rPr>
          <w:rFonts w:asciiTheme="minorHAnsi" w:eastAsiaTheme="minorEastAsia" w:hAnsiTheme="minorHAnsi" w:cstheme="minorBidi"/>
        </w:rPr>
        <w:t>2021</w:t>
      </w:r>
      <w:r w:rsidR="00774E8A">
        <w:rPr>
          <w:rFonts w:asciiTheme="minorHAnsi" w:eastAsiaTheme="minorEastAsia" w:hAnsiTheme="minorHAnsi" w:cstheme="minorBidi"/>
        </w:rPr>
        <w:t xml:space="preserve"> </w:t>
      </w:r>
      <w:r w:rsidR="75165ABE" w:rsidRPr="6524B888">
        <w:rPr>
          <w:rFonts w:asciiTheme="minorHAnsi" w:eastAsiaTheme="minorEastAsia" w:hAnsiTheme="minorHAnsi" w:cstheme="minorBidi"/>
        </w:rPr>
        <w:t xml:space="preserve">průměrně </w:t>
      </w:r>
      <w:r w:rsidR="5BBD54EE" w:rsidRPr="6524B888">
        <w:rPr>
          <w:rFonts w:asciiTheme="minorHAnsi" w:eastAsiaTheme="minorEastAsia" w:hAnsiTheme="minorHAnsi" w:cstheme="minorBidi"/>
        </w:rPr>
        <w:t>172 dní</w:t>
      </w:r>
      <w:r w:rsidR="002700F5" w:rsidRPr="6524B888">
        <w:rPr>
          <w:rStyle w:val="Znakapoznpodarou"/>
          <w:rFonts w:asciiTheme="minorHAnsi" w:eastAsiaTheme="minorEastAsia" w:hAnsiTheme="minorHAnsi" w:cstheme="minorBidi"/>
        </w:rPr>
        <w:footnoteReference w:id="8"/>
      </w:r>
      <w:r w:rsidR="5BBD54EE" w:rsidRPr="6524B888">
        <w:rPr>
          <w:rFonts w:asciiTheme="minorHAnsi" w:eastAsiaTheme="minorEastAsia" w:hAnsiTheme="minorHAnsi" w:cstheme="minorBidi"/>
        </w:rPr>
        <w:t xml:space="preserve"> </w:t>
      </w:r>
      <w:r w:rsidR="473D828E" w:rsidRPr="6524B888">
        <w:rPr>
          <w:rFonts w:asciiTheme="minorHAnsi" w:eastAsiaTheme="minorEastAsia" w:hAnsiTheme="minorHAnsi" w:cstheme="minorBidi"/>
        </w:rPr>
        <w:t xml:space="preserve">a v roce 2022 </w:t>
      </w:r>
      <w:r w:rsidR="5BBD54EE" w:rsidRPr="6524B888">
        <w:rPr>
          <w:rFonts w:asciiTheme="minorHAnsi" w:eastAsiaTheme="minorEastAsia" w:hAnsiTheme="minorHAnsi" w:cstheme="minorBidi"/>
        </w:rPr>
        <w:t>celkem 223 dní</w:t>
      </w:r>
      <w:r w:rsidR="5D95E3CA" w:rsidRPr="6524B888">
        <w:rPr>
          <w:rFonts w:asciiTheme="minorHAnsi" w:eastAsiaTheme="minorEastAsia" w:hAnsiTheme="minorHAnsi" w:cstheme="minorBidi"/>
        </w:rPr>
        <w:t xml:space="preserve">. </w:t>
      </w:r>
    </w:p>
    <w:p w14:paraId="1B8EF942" w14:textId="77777777" w:rsidR="00C276D1" w:rsidRPr="00BD0991" w:rsidRDefault="006F0345" w:rsidP="00CA6D8B">
      <w:pPr>
        <w:pStyle w:val="Nadpis1"/>
        <w:spacing w:after="12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Bidi"/>
        </w:rPr>
        <w:t xml:space="preserve">4. </w:t>
      </w:r>
      <w:r w:rsidR="008578D2" w:rsidRPr="75EB0935">
        <w:rPr>
          <w:rFonts w:asciiTheme="minorHAnsi" w:eastAsiaTheme="minorEastAsia" w:hAnsiTheme="minorHAnsi" w:cstheme="minorBidi"/>
        </w:rPr>
        <w:t>Nenaplnění očekáv</w:t>
      </w:r>
      <w:r w:rsidR="00F84B67">
        <w:rPr>
          <w:rFonts w:asciiTheme="minorHAnsi" w:eastAsiaTheme="minorEastAsia" w:hAnsiTheme="minorHAnsi" w:cstheme="minorBidi"/>
        </w:rPr>
        <w:t>a</w:t>
      </w:r>
      <w:r w:rsidR="008578D2" w:rsidRPr="75EB0935">
        <w:rPr>
          <w:rFonts w:asciiTheme="minorHAnsi" w:eastAsiaTheme="minorEastAsia" w:hAnsiTheme="minorHAnsi" w:cstheme="minorBidi"/>
        </w:rPr>
        <w:t>ných přínosů vzniku NSA</w:t>
      </w:r>
    </w:p>
    <w:p w14:paraId="56FD263A" w14:textId="77777777" w:rsidR="006F5495" w:rsidRPr="00BD0991" w:rsidRDefault="00E86758" w:rsidP="00D078A3">
      <w:pPr>
        <w:spacing w:before="120"/>
        <w:contextualSpacing/>
        <w:rPr>
          <w:rFonts w:asciiTheme="minorHAnsi" w:eastAsiaTheme="minorEastAsia" w:hAnsiTheme="minorHAnsi" w:cstheme="minorHAnsi"/>
        </w:rPr>
      </w:pPr>
      <w:r w:rsidRPr="00BD0991">
        <w:rPr>
          <w:rFonts w:asciiTheme="minorHAnsi" w:eastAsiaTheme="minorEastAsia" w:hAnsiTheme="minorHAnsi" w:cstheme="minorHAnsi"/>
        </w:rPr>
        <w:t>Vznikem NSA</w:t>
      </w:r>
      <w:r w:rsidRPr="00BD0991">
        <w:rPr>
          <w:rStyle w:val="Znakapoznpodarou"/>
          <w:rFonts w:asciiTheme="minorHAnsi" w:eastAsiaTheme="minorEastAsia" w:hAnsiTheme="minorHAnsi" w:cstheme="minorHAnsi"/>
        </w:rPr>
        <w:footnoteReference w:id="9"/>
      </w:r>
      <w:r w:rsidR="005E5F91" w:rsidRPr="00BD0991">
        <w:rPr>
          <w:rFonts w:asciiTheme="minorHAnsi" w:eastAsiaTheme="minorEastAsia" w:hAnsiTheme="minorHAnsi" w:cstheme="minorHAnsi"/>
        </w:rPr>
        <w:t xml:space="preserve"> mělo dojít</w:t>
      </w:r>
      <w:r w:rsidR="00D51064">
        <w:rPr>
          <w:rFonts w:asciiTheme="minorHAnsi" w:eastAsiaTheme="minorEastAsia" w:hAnsiTheme="minorHAnsi" w:cstheme="minorHAnsi"/>
        </w:rPr>
        <w:t xml:space="preserve"> mj.</w:t>
      </w:r>
      <w:r w:rsidR="005E5F91" w:rsidRPr="00BD0991">
        <w:rPr>
          <w:rFonts w:asciiTheme="minorHAnsi" w:eastAsiaTheme="minorEastAsia" w:hAnsiTheme="minorHAnsi" w:cstheme="minorHAnsi"/>
        </w:rPr>
        <w:t xml:space="preserve"> ke</w:t>
      </w:r>
      <w:r w:rsidR="006F5495" w:rsidRPr="00BD0991">
        <w:rPr>
          <w:rFonts w:asciiTheme="minorHAnsi" w:eastAsiaTheme="minorEastAsia" w:hAnsiTheme="minorHAnsi" w:cstheme="minorHAnsi"/>
        </w:rPr>
        <w:t xml:space="preserve"> zvýšení předvídatelnosti rozhodování státu v oblasti podpory sportu a schopnosti plánovat činnost</w:t>
      </w:r>
      <w:r w:rsidR="005E5F91" w:rsidRPr="00BD0991">
        <w:rPr>
          <w:rFonts w:asciiTheme="minorHAnsi" w:eastAsiaTheme="minorEastAsia" w:hAnsiTheme="minorHAnsi" w:cstheme="minorHAnsi"/>
        </w:rPr>
        <w:t xml:space="preserve"> </w:t>
      </w:r>
      <w:r w:rsidR="00F7367E">
        <w:rPr>
          <w:rFonts w:asciiTheme="minorHAnsi" w:eastAsiaTheme="minorEastAsia" w:hAnsiTheme="minorHAnsi" w:cstheme="minorHAnsi"/>
        </w:rPr>
        <w:t>sportovních organizací</w:t>
      </w:r>
      <w:r w:rsidR="006F5495" w:rsidRPr="00BD0991">
        <w:rPr>
          <w:rFonts w:asciiTheme="minorHAnsi" w:eastAsiaTheme="minorEastAsia" w:hAnsiTheme="minorHAnsi" w:cstheme="minorHAnsi"/>
        </w:rPr>
        <w:t>. Dále měla být posílena transparentnost rozdělování prostředků na podporu sportu a zaveden funkční systém vyhodnocování využití peněžních prostředků</w:t>
      </w:r>
      <w:r w:rsidR="005E5F91" w:rsidRPr="00F64506">
        <w:rPr>
          <w:rFonts w:asciiTheme="minorHAnsi" w:eastAsiaTheme="minorEastAsia" w:hAnsiTheme="minorHAnsi" w:cstheme="minorHAnsi"/>
        </w:rPr>
        <w:t>.</w:t>
      </w:r>
      <w:r w:rsidRPr="00F64506">
        <w:rPr>
          <w:rFonts w:asciiTheme="minorHAnsi" w:eastAsiaTheme="minorEastAsia" w:hAnsiTheme="minorHAnsi" w:cstheme="minorHAnsi"/>
        </w:rPr>
        <w:t xml:space="preserve"> </w:t>
      </w:r>
      <w:r w:rsidR="005F1295" w:rsidRPr="00F84B67">
        <w:rPr>
          <w:rFonts w:asciiTheme="minorHAnsi" w:eastAsiaTheme="minorEastAsia" w:hAnsiTheme="minorHAnsi" w:cstheme="minorHAnsi"/>
          <w:bCs/>
        </w:rPr>
        <w:t>Z</w:t>
      </w:r>
      <w:r w:rsidR="005E5F91" w:rsidRPr="00F84B67">
        <w:rPr>
          <w:rFonts w:asciiTheme="minorHAnsi" w:eastAsiaTheme="minorEastAsia" w:hAnsiTheme="minorHAnsi" w:cstheme="minorHAnsi"/>
          <w:bCs/>
        </w:rPr>
        <w:t xml:space="preserve"> </w:t>
      </w:r>
      <w:r w:rsidR="00C93F77" w:rsidRPr="00F84B67">
        <w:rPr>
          <w:rFonts w:asciiTheme="minorHAnsi" w:eastAsiaTheme="minorEastAsia" w:hAnsiTheme="minorHAnsi" w:cstheme="minorHAnsi"/>
          <w:bCs/>
        </w:rPr>
        <w:t>výsledků kontroly</w:t>
      </w:r>
      <w:r w:rsidR="005E5F91" w:rsidRPr="00F84B67">
        <w:rPr>
          <w:rFonts w:asciiTheme="minorHAnsi" w:eastAsiaTheme="minorEastAsia" w:hAnsiTheme="minorHAnsi" w:cstheme="minorHAnsi"/>
          <w:bCs/>
        </w:rPr>
        <w:t xml:space="preserve"> NKÚ</w:t>
      </w:r>
      <w:r w:rsidR="005F1295" w:rsidRPr="00F84B67">
        <w:rPr>
          <w:rFonts w:asciiTheme="minorHAnsi" w:eastAsiaTheme="minorEastAsia" w:hAnsiTheme="minorHAnsi" w:cstheme="minorHAnsi"/>
          <w:bCs/>
        </w:rPr>
        <w:t xml:space="preserve"> je zřejmé, že</w:t>
      </w:r>
      <w:r w:rsidR="005E5F91" w:rsidRPr="00F84B67">
        <w:rPr>
          <w:rFonts w:asciiTheme="minorHAnsi" w:eastAsiaTheme="minorEastAsia" w:hAnsiTheme="minorHAnsi" w:cstheme="minorHAnsi"/>
          <w:bCs/>
        </w:rPr>
        <w:t xml:space="preserve"> </w:t>
      </w:r>
      <w:r w:rsidR="003D3EAA" w:rsidRPr="00F84B67">
        <w:rPr>
          <w:rFonts w:asciiTheme="minorHAnsi" w:eastAsiaTheme="minorEastAsia" w:hAnsiTheme="minorHAnsi" w:cstheme="minorHAnsi"/>
          <w:bCs/>
        </w:rPr>
        <w:t>nedošlo k naplnění očekávaných přínosů vzniku NSA</w:t>
      </w:r>
      <w:r w:rsidR="00266D83" w:rsidRPr="00F84B67">
        <w:rPr>
          <w:rFonts w:asciiTheme="minorHAnsi" w:eastAsiaTheme="minorEastAsia" w:hAnsiTheme="minorHAnsi" w:cstheme="minorHAnsi"/>
          <w:bCs/>
        </w:rPr>
        <w:t>.</w:t>
      </w:r>
    </w:p>
    <w:p w14:paraId="48B06353" w14:textId="77777777" w:rsidR="00C276D1" w:rsidRPr="00BD0991" w:rsidRDefault="006F0345" w:rsidP="00CA6D8B">
      <w:pPr>
        <w:pStyle w:val="Nadpis1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 xml:space="preserve">5. </w:t>
      </w:r>
      <w:r w:rsidR="00C276D1" w:rsidRPr="75EB0935">
        <w:rPr>
          <w:rFonts w:asciiTheme="minorHAnsi" w:hAnsiTheme="minorHAnsi" w:cstheme="minorBidi"/>
        </w:rPr>
        <w:t>Bezesmluvní a bez</w:t>
      </w:r>
      <w:r w:rsidR="005F1295">
        <w:rPr>
          <w:rFonts w:asciiTheme="minorHAnsi" w:hAnsiTheme="minorHAnsi" w:cstheme="minorBidi"/>
        </w:rPr>
        <w:t>ú</w:t>
      </w:r>
      <w:r w:rsidR="00C276D1" w:rsidRPr="75EB0935">
        <w:rPr>
          <w:rFonts w:asciiTheme="minorHAnsi" w:hAnsiTheme="minorHAnsi" w:cstheme="minorBidi"/>
        </w:rPr>
        <w:t>platné užívání pozemků státu soukromými subjekty</w:t>
      </w:r>
    </w:p>
    <w:p w14:paraId="31DF4257" w14:textId="7FBCEB32" w:rsidR="006064F9" w:rsidRPr="0046699B" w:rsidRDefault="006064F9" w:rsidP="6524B888">
      <w:pPr>
        <w:spacing w:before="120"/>
        <w:rPr>
          <w:rFonts w:asciiTheme="minorHAnsi" w:eastAsiaTheme="minorEastAsia" w:hAnsiTheme="minorHAnsi" w:cstheme="minorBidi"/>
          <w:bCs/>
        </w:rPr>
      </w:pPr>
      <w:r w:rsidRPr="00BD0991">
        <w:rPr>
          <w:rFonts w:asciiTheme="minorHAnsi" w:eastAsiaTheme="minorEastAsia" w:hAnsiTheme="minorHAnsi" w:cstheme="minorHAnsi"/>
        </w:rPr>
        <w:t xml:space="preserve">NSA převzala </w:t>
      </w:r>
      <w:r w:rsidR="008F7802">
        <w:rPr>
          <w:rFonts w:asciiTheme="minorHAnsi" w:eastAsiaTheme="minorEastAsia" w:hAnsiTheme="minorHAnsi" w:cstheme="minorHAnsi"/>
        </w:rPr>
        <w:t xml:space="preserve">46 </w:t>
      </w:r>
      <w:r w:rsidR="00F35C2B" w:rsidRPr="00BD0991">
        <w:rPr>
          <w:rFonts w:asciiTheme="minorHAnsi" w:eastAsiaTheme="minorEastAsia" w:hAnsiTheme="minorHAnsi" w:cstheme="minorHAnsi"/>
        </w:rPr>
        <w:t>pozemk</w:t>
      </w:r>
      <w:r w:rsidR="008F7802">
        <w:rPr>
          <w:rFonts w:asciiTheme="minorHAnsi" w:eastAsiaTheme="minorEastAsia" w:hAnsiTheme="minorHAnsi" w:cstheme="minorHAnsi"/>
        </w:rPr>
        <w:t>ů</w:t>
      </w:r>
      <w:r w:rsidR="00F35C2B" w:rsidRPr="00BD0991">
        <w:rPr>
          <w:rFonts w:asciiTheme="minorHAnsi" w:eastAsiaTheme="minorEastAsia" w:hAnsiTheme="minorHAnsi" w:cstheme="minorHAnsi"/>
        </w:rPr>
        <w:t xml:space="preserve"> </w:t>
      </w:r>
      <w:r w:rsidR="0046699B">
        <w:rPr>
          <w:rFonts w:asciiTheme="minorHAnsi" w:eastAsiaTheme="minorEastAsia" w:hAnsiTheme="minorHAnsi" w:cstheme="minorHAnsi"/>
        </w:rPr>
        <w:t>v</w:t>
      </w:r>
      <w:r w:rsidR="003A7F60">
        <w:rPr>
          <w:rFonts w:asciiTheme="minorHAnsi" w:eastAsiaTheme="minorEastAsia" w:hAnsiTheme="minorHAnsi" w:cstheme="minorHAnsi"/>
        </w:rPr>
        <w:t> </w:t>
      </w:r>
      <w:r w:rsidR="0046699B">
        <w:rPr>
          <w:rFonts w:asciiTheme="minorHAnsi" w:eastAsiaTheme="minorEastAsia" w:hAnsiTheme="minorHAnsi" w:cstheme="minorHAnsi"/>
        </w:rPr>
        <w:t>Harrachov</w:t>
      </w:r>
      <w:r w:rsidR="003A7F60">
        <w:rPr>
          <w:rFonts w:asciiTheme="minorHAnsi" w:eastAsiaTheme="minorEastAsia" w:hAnsiTheme="minorHAnsi" w:cstheme="minorHAnsi"/>
        </w:rPr>
        <w:t xml:space="preserve">ě, </w:t>
      </w:r>
      <w:r w:rsidR="008F7802">
        <w:rPr>
          <w:rFonts w:asciiTheme="minorHAnsi" w:eastAsiaTheme="minorEastAsia" w:hAnsiTheme="minorHAnsi" w:cstheme="minorHAnsi"/>
        </w:rPr>
        <w:t>z nichž šest bylo</w:t>
      </w:r>
      <w:r w:rsidR="003A7F60">
        <w:rPr>
          <w:rFonts w:asciiTheme="minorHAnsi" w:eastAsiaTheme="minorEastAsia" w:hAnsiTheme="minorHAnsi" w:cstheme="minorHAnsi"/>
        </w:rPr>
        <w:t xml:space="preserve"> využíván</w:t>
      </w:r>
      <w:r w:rsidR="008F7802">
        <w:rPr>
          <w:rFonts w:asciiTheme="minorHAnsi" w:eastAsiaTheme="minorEastAsia" w:hAnsiTheme="minorHAnsi" w:cstheme="minorHAnsi"/>
        </w:rPr>
        <w:t>o</w:t>
      </w:r>
      <w:r w:rsidR="003A7F60">
        <w:rPr>
          <w:rFonts w:asciiTheme="minorHAnsi" w:eastAsiaTheme="minorEastAsia" w:hAnsiTheme="minorHAnsi" w:cstheme="minorHAnsi"/>
        </w:rPr>
        <w:t xml:space="preserve"> nájem</w:t>
      </w:r>
      <w:r w:rsidR="005E1D29">
        <w:rPr>
          <w:rFonts w:asciiTheme="minorHAnsi" w:eastAsiaTheme="minorEastAsia" w:hAnsiTheme="minorHAnsi" w:cstheme="minorHAnsi"/>
        </w:rPr>
        <w:t>ci</w:t>
      </w:r>
      <w:r w:rsidR="008F7802">
        <w:rPr>
          <w:rFonts w:asciiTheme="minorHAnsi" w:eastAsiaTheme="minorEastAsia" w:hAnsiTheme="minorHAnsi" w:cstheme="minorHAnsi"/>
        </w:rPr>
        <w:t xml:space="preserve"> na základě smlouvy</w:t>
      </w:r>
      <w:r w:rsidRPr="00BD0991">
        <w:rPr>
          <w:rFonts w:asciiTheme="minorHAnsi" w:eastAsiaTheme="minorEastAsia" w:hAnsiTheme="minorHAnsi" w:cstheme="minorHAnsi"/>
        </w:rPr>
        <w:t xml:space="preserve">. </w:t>
      </w:r>
      <w:r w:rsidR="003A7F60">
        <w:rPr>
          <w:rFonts w:asciiTheme="minorHAnsi" w:eastAsiaTheme="minorEastAsia" w:hAnsiTheme="minorHAnsi" w:cstheme="minorHAnsi"/>
        </w:rPr>
        <w:t xml:space="preserve">Těm poté NSA neprodloužila stávající nájemní smlouvy, avšak </w:t>
      </w:r>
      <w:r w:rsidR="0021263A">
        <w:rPr>
          <w:rFonts w:asciiTheme="minorHAnsi" w:eastAsiaTheme="minorEastAsia" w:hAnsiTheme="minorHAnsi" w:cstheme="minorHAnsi"/>
        </w:rPr>
        <w:t xml:space="preserve">původní </w:t>
      </w:r>
      <w:r w:rsidR="003A7F60">
        <w:rPr>
          <w:rFonts w:asciiTheme="minorHAnsi" w:eastAsiaTheme="minorEastAsia" w:hAnsiTheme="minorHAnsi" w:cstheme="minorHAnsi"/>
        </w:rPr>
        <w:t>nájemci je i</w:t>
      </w:r>
      <w:r w:rsidR="006F0345">
        <w:rPr>
          <w:rFonts w:asciiTheme="minorHAnsi" w:eastAsiaTheme="minorEastAsia" w:hAnsiTheme="minorHAnsi" w:cstheme="minorHAnsi"/>
        </w:rPr>
        <w:t> </w:t>
      </w:r>
      <w:r w:rsidR="003A7F60">
        <w:rPr>
          <w:rFonts w:asciiTheme="minorHAnsi" w:eastAsiaTheme="minorEastAsia" w:hAnsiTheme="minorHAnsi" w:cstheme="minorHAnsi"/>
        </w:rPr>
        <w:t xml:space="preserve">následně využívali a navíc bezúplatně. </w:t>
      </w:r>
      <w:r w:rsidR="008F7802">
        <w:rPr>
          <w:rFonts w:asciiTheme="minorHAnsi" w:eastAsiaTheme="minorEastAsia" w:hAnsiTheme="minorHAnsi" w:cstheme="minorHAnsi"/>
        </w:rPr>
        <w:t xml:space="preserve">Zbylé </w:t>
      </w:r>
      <w:r w:rsidR="003A7F60">
        <w:rPr>
          <w:rFonts w:asciiTheme="minorHAnsi" w:eastAsiaTheme="minorEastAsia" w:hAnsiTheme="minorHAnsi" w:cstheme="minorHAnsi"/>
        </w:rPr>
        <w:t xml:space="preserve">pozemky nebyly pronajaty, a přesto byly </w:t>
      </w:r>
      <w:r w:rsidR="003A7F60">
        <w:rPr>
          <w:rFonts w:asciiTheme="minorHAnsi" w:eastAsiaTheme="minorEastAsia" w:hAnsiTheme="minorHAnsi" w:cstheme="minorHAnsi"/>
        </w:rPr>
        <w:lastRenderedPageBreak/>
        <w:t xml:space="preserve">prokazatelně využívány jinými subjekty. </w:t>
      </w:r>
      <w:r w:rsidRPr="00BD0991">
        <w:rPr>
          <w:rFonts w:asciiTheme="minorHAnsi" w:eastAsiaTheme="minorEastAsia" w:hAnsiTheme="minorHAnsi" w:cstheme="minorHAnsi"/>
        </w:rPr>
        <w:t xml:space="preserve">NSA tak </w:t>
      </w:r>
      <w:r w:rsidRPr="00BD0991">
        <w:rPr>
          <w:rFonts w:asciiTheme="minorHAnsi" w:eastAsiaTheme="minorEastAsia" w:hAnsiTheme="minorHAnsi" w:cstheme="minorHAnsi"/>
          <w:bCs/>
        </w:rPr>
        <w:t>neodůvodněně snížila výnos z</w:t>
      </w:r>
      <w:r w:rsidR="007C3D06">
        <w:rPr>
          <w:rFonts w:asciiTheme="minorHAnsi" w:eastAsiaTheme="minorEastAsia" w:hAnsiTheme="minorHAnsi" w:cstheme="minorHAnsi"/>
          <w:bCs/>
        </w:rPr>
        <w:t> </w:t>
      </w:r>
      <w:r w:rsidRPr="00BD0991">
        <w:rPr>
          <w:rFonts w:asciiTheme="minorHAnsi" w:eastAsiaTheme="minorEastAsia" w:hAnsiTheme="minorHAnsi" w:cstheme="minorHAnsi"/>
          <w:bCs/>
        </w:rPr>
        <w:t>majetku</w:t>
      </w:r>
      <w:r w:rsidR="007C3D06">
        <w:rPr>
          <w:rFonts w:asciiTheme="minorHAnsi" w:eastAsiaTheme="minorEastAsia" w:hAnsiTheme="minorHAnsi" w:cstheme="minorHAnsi"/>
          <w:bCs/>
        </w:rPr>
        <w:t xml:space="preserve"> minimálně ve výši 555 365 Kč</w:t>
      </w:r>
      <w:r w:rsidRPr="00BD0991">
        <w:rPr>
          <w:rFonts w:asciiTheme="minorHAnsi" w:eastAsiaTheme="minorEastAsia" w:hAnsiTheme="minorHAnsi" w:cstheme="minorHAnsi"/>
          <w:bCs/>
        </w:rPr>
        <w:t>.</w:t>
      </w:r>
      <w:r w:rsidRPr="00BD0991">
        <w:rPr>
          <w:rFonts w:asciiTheme="minorHAnsi" w:hAnsiTheme="minorHAnsi" w:cstheme="minorHAnsi"/>
        </w:rPr>
        <w:t xml:space="preserve"> </w:t>
      </w:r>
      <w:r w:rsidR="004B647C">
        <w:rPr>
          <w:rFonts w:asciiTheme="minorHAnsi" w:eastAsiaTheme="minorEastAsia" w:hAnsiTheme="minorHAnsi" w:cstheme="minorBidi"/>
        </w:rPr>
        <w:t>NSA</w:t>
      </w:r>
      <w:r w:rsidR="004B647C" w:rsidRPr="6524B888">
        <w:rPr>
          <w:rFonts w:asciiTheme="minorHAnsi" w:eastAsiaTheme="minorEastAsia" w:hAnsiTheme="minorHAnsi" w:cstheme="minorBidi"/>
        </w:rPr>
        <w:t xml:space="preserve"> nevyužívala všechny právní prostředky při uplatňování a</w:t>
      </w:r>
      <w:r w:rsidR="006F0345">
        <w:rPr>
          <w:rFonts w:asciiTheme="minorHAnsi" w:eastAsiaTheme="minorEastAsia" w:hAnsiTheme="minorHAnsi" w:cstheme="minorBidi"/>
        </w:rPr>
        <w:t> </w:t>
      </w:r>
      <w:r w:rsidR="004B647C" w:rsidRPr="6524B888">
        <w:rPr>
          <w:rFonts w:asciiTheme="minorHAnsi" w:eastAsiaTheme="minorEastAsia" w:hAnsiTheme="minorHAnsi" w:cstheme="minorBidi"/>
        </w:rPr>
        <w:t>hájení práv státu jako vlastníka</w:t>
      </w:r>
      <w:r w:rsidR="004B647C" w:rsidRPr="6524B888">
        <w:rPr>
          <w:rStyle w:val="Znakapoznpodarou"/>
          <w:rFonts w:asciiTheme="minorHAnsi" w:eastAsiaTheme="minorEastAsia" w:hAnsiTheme="minorHAnsi" w:cstheme="minorBidi"/>
        </w:rPr>
        <w:footnoteReference w:id="10"/>
      </w:r>
      <w:r w:rsidRPr="00BD0991">
        <w:rPr>
          <w:rFonts w:asciiTheme="minorHAnsi" w:eastAsiaTheme="minorEastAsia" w:hAnsiTheme="minorHAnsi" w:cstheme="minorHAnsi"/>
          <w:bCs/>
        </w:rPr>
        <w:t>.</w:t>
      </w:r>
      <w:r w:rsidR="004B647C">
        <w:rPr>
          <w:rFonts w:asciiTheme="minorHAnsi" w:eastAsiaTheme="minorEastAsia" w:hAnsiTheme="minorHAnsi" w:cstheme="minorHAnsi"/>
          <w:bCs/>
        </w:rPr>
        <w:t xml:space="preserve"> </w:t>
      </w:r>
      <w:r w:rsidR="004E0D39" w:rsidRPr="0046699B">
        <w:rPr>
          <w:rFonts w:asciiTheme="minorHAnsi" w:eastAsiaTheme="minorEastAsia" w:hAnsiTheme="minorHAnsi" w:cstheme="minorBidi"/>
          <w:bCs/>
        </w:rPr>
        <w:t>NSA v rozporu se zákonem o</w:t>
      </w:r>
      <w:r w:rsidR="00F6678D" w:rsidRPr="0046699B">
        <w:rPr>
          <w:rFonts w:asciiTheme="minorHAnsi" w:eastAsiaTheme="minorEastAsia" w:hAnsiTheme="minorHAnsi" w:cstheme="minorBidi"/>
          <w:bCs/>
        </w:rPr>
        <w:t> </w:t>
      </w:r>
      <w:r w:rsidR="004E0D39" w:rsidRPr="0046699B">
        <w:rPr>
          <w:rFonts w:asciiTheme="minorHAnsi" w:eastAsiaTheme="minorEastAsia" w:hAnsiTheme="minorHAnsi" w:cstheme="minorBidi"/>
          <w:bCs/>
        </w:rPr>
        <w:t xml:space="preserve">majetku </w:t>
      </w:r>
      <w:r w:rsidR="009C5477" w:rsidRPr="0046699B">
        <w:rPr>
          <w:rFonts w:asciiTheme="minorHAnsi" w:eastAsiaTheme="minorEastAsia" w:hAnsiTheme="minorHAnsi" w:cstheme="minorBidi"/>
          <w:bCs/>
        </w:rPr>
        <w:t>ČR</w:t>
      </w:r>
      <w:r w:rsidR="00ED1179" w:rsidRPr="0046699B">
        <w:rPr>
          <w:rStyle w:val="Znakapoznpodarou"/>
          <w:rFonts w:asciiTheme="minorHAnsi" w:eastAsiaTheme="minorEastAsia" w:hAnsiTheme="minorHAnsi" w:cstheme="minorBidi"/>
          <w:bCs/>
        </w:rPr>
        <w:footnoteReference w:id="11"/>
      </w:r>
      <w:r w:rsidR="004E0D39" w:rsidRPr="0046699B">
        <w:rPr>
          <w:rFonts w:asciiTheme="minorHAnsi" w:eastAsiaTheme="minorEastAsia" w:hAnsiTheme="minorHAnsi" w:cstheme="minorBidi"/>
          <w:bCs/>
        </w:rPr>
        <w:t xml:space="preserve"> nevyužívala majetek účelně a hospodárně k plnění funkcí státu a k výkonu stanovených činností.</w:t>
      </w:r>
    </w:p>
    <w:p w14:paraId="5D00DF9E" w14:textId="77777777" w:rsidR="00C7653B" w:rsidRPr="00BD0991" w:rsidRDefault="006F0345" w:rsidP="00CA6D8B">
      <w:pPr>
        <w:pStyle w:val="Nadpis1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 xml:space="preserve">6. </w:t>
      </w:r>
      <w:r w:rsidR="00C7653B" w:rsidRPr="75EB0935">
        <w:rPr>
          <w:rFonts w:asciiTheme="minorHAnsi" w:hAnsiTheme="minorHAnsi" w:cstheme="minorBidi"/>
        </w:rPr>
        <w:t>Nedostatky při vynakládání peněžních prostředků na nákup služeb a pořízení majetku</w:t>
      </w:r>
    </w:p>
    <w:p w14:paraId="058F8C57" w14:textId="16F466D0" w:rsidR="00B90F33" w:rsidRPr="00ED6E0C" w:rsidRDefault="00E83F27" w:rsidP="00BD0991">
      <w:pPr>
        <w:spacing w:before="120"/>
        <w:rPr>
          <w:rFonts w:asciiTheme="minorHAnsi" w:eastAsiaTheme="minorEastAsia" w:hAnsiTheme="minorHAnsi" w:cstheme="minorHAnsi"/>
        </w:rPr>
      </w:pPr>
      <w:r w:rsidRPr="00E83F27">
        <w:rPr>
          <w:rFonts w:eastAsiaTheme="minorEastAsia"/>
        </w:rPr>
        <w:t xml:space="preserve">NSA neuchovávala </w:t>
      </w:r>
      <w:r>
        <w:rPr>
          <w:rFonts w:eastAsiaTheme="minorEastAsia"/>
        </w:rPr>
        <w:t xml:space="preserve">v některých případech </w:t>
      </w:r>
      <w:r w:rsidRPr="00E83F27">
        <w:rPr>
          <w:rFonts w:eastAsiaTheme="minorEastAsia"/>
        </w:rPr>
        <w:t>dokumentac</w:t>
      </w:r>
      <w:r>
        <w:rPr>
          <w:rFonts w:eastAsiaTheme="minorEastAsia"/>
        </w:rPr>
        <w:t>e</w:t>
      </w:r>
      <w:r w:rsidRPr="00E83F27">
        <w:rPr>
          <w:rFonts w:eastAsiaTheme="minorEastAsia"/>
        </w:rPr>
        <w:t xml:space="preserve"> veřejn</w:t>
      </w:r>
      <w:r>
        <w:rPr>
          <w:rFonts w:eastAsiaTheme="minorEastAsia"/>
        </w:rPr>
        <w:t>ých</w:t>
      </w:r>
      <w:r w:rsidRPr="00E83F27">
        <w:rPr>
          <w:rFonts w:eastAsiaTheme="minorEastAsia"/>
        </w:rPr>
        <w:t xml:space="preserve"> zakáz</w:t>
      </w:r>
      <w:r>
        <w:rPr>
          <w:rFonts w:eastAsiaTheme="minorEastAsia"/>
        </w:rPr>
        <w:t>e</w:t>
      </w:r>
      <w:r w:rsidRPr="00E83F27">
        <w:rPr>
          <w:rFonts w:eastAsiaTheme="minorEastAsia"/>
        </w:rPr>
        <w:t>k, kter</w:t>
      </w:r>
      <w:r>
        <w:rPr>
          <w:rFonts w:eastAsiaTheme="minorEastAsia"/>
        </w:rPr>
        <w:t>é</w:t>
      </w:r>
      <w:r w:rsidR="00774E8A">
        <w:rPr>
          <w:rFonts w:eastAsiaTheme="minorEastAsia"/>
        </w:rPr>
        <w:t xml:space="preserve"> </w:t>
      </w:r>
      <w:r w:rsidRPr="00E83F27">
        <w:rPr>
          <w:rFonts w:eastAsiaTheme="minorEastAsia"/>
        </w:rPr>
        <w:t>by</w:t>
      </w:r>
      <w:r w:rsidR="00774E8A">
        <w:rPr>
          <w:rFonts w:eastAsiaTheme="minorEastAsia"/>
        </w:rPr>
        <w:t xml:space="preserve"> </w:t>
      </w:r>
      <w:r w:rsidRPr="00E83F27">
        <w:rPr>
          <w:rFonts w:eastAsiaTheme="minorEastAsia"/>
        </w:rPr>
        <w:t>prokazatelně dokládal</w:t>
      </w:r>
      <w:r>
        <w:rPr>
          <w:rFonts w:eastAsiaTheme="minorEastAsia"/>
        </w:rPr>
        <w:t>y</w:t>
      </w:r>
      <w:r w:rsidRPr="00E83F27">
        <w:rPr>
          <w:rFonts w:eastAsiaTheme="minorEastAsia"/>
        </w:rPr>
        <w:t xml:space="preserve"> postup </w:t>
      </w:r>
      <w:r w:rsidR="009E2E86">
        <w:rPr>
          <w:rFonts w:eastAsiaTheme="minorEastAsia"/>
        </w:rPr>
        <w:t>zada</w:t>
      </w:r>
      <w:r w:rsidR="00E11788">
        <w:rPr>
          <w:rFonts w:eastAsiaTheme="minorEastAsia"/>
        </w:rPr>
        <w:t>vatele</w:t>
      </w:r>
      <w:r w:rsidR="008038E2">
        <w:rPr>
          <w:rFonts w:eastAsiaTheme="minorEastAsia"/>
        </w:rPr>
        <w:t>, a</w:t>
      </w:r>
      <w:r w:rsidRPr="00E83F27">
        <w:rPr>
          <w:rFonts w:eastAsiaTheme="minorEastAsia"/>
        </w:rPr>
        <w:t xml:space="preserve"> </w:t>
      </w:r>
      <w:r w:rsidR="008038E2">
        <w:rPr>
          <w:rFonts w:eastAsiaTheme="minorEastAsia"/>
        </w:rPr>
        <w:t>t</w:t>
      </w:r>
      <w:r w:rsidRPr="000E64FA">
        <w:rPr>
          <w:rFonts w:eastAsiaTheme="minorEastAsia"/>
        </w:rPr>
        <w:t>ím porušila zásad</w:t>
      </w:r>
      <w:r w:rsidR="008F7802">
        <w:rPr>
          <w:rFonts w:eastAsiaTheme="minorEastAsia"/>
        </w:rPr>
        <w:t>u</w:t>
      </w:r>
      <w:r w:rsidRPr="000E64FA">
        <w:rPr>
          <w:rFonts w:eastAsiaTheme="minorEastAsia"/>
        </w:rPr>
        <w:t xml:space="preserve"> transparentnosti</w:t>
      </w:r>
      <w:r w:rsidR="0003326E">
        <w:rPr>
          <w:rFonts w:eastAsiaTheme="minorEastAsia"/>
        </w:rPr>
        <w:t>.</w:t>
      </w:r>
      <w:r w:rsidR="0003326E">
        <w:rPr>
          <w:rStyle w:val="Znakapoznpodarou"/>
          <w:rFonts w:eastAsiaTheme="minorEastAsia"/>
        </w:rPr>
        <w:footnoteReference w:id="12"/>
      </w:r>
      <w:r w:rsidR="00992D5E">
        <w:rPr>
          <w:rFonts w:eastAsiaTheme="minorEastAsia"/>
        </w:rPr>
        <w:t xml:space="preserve"> </w:t>
      </w:r>
      <w:r w:rsidRPr="000E64FA">
        <w:rPr>
          <w:rFonts w:eastAsiaTheme="minorEastAsia"/>
        </w:rPr>
        <w:t>NSA u</w:t>
      </w:r>
      <w:r w:rsidR="00774E8A">
        <w:rPr>
          <w:rFonts w:eastAsiaTheme="minorEastAsia"/>
        </w:rPr>
        <w:t> </w:t>
      </w:r>
      <w:r w:rsidRPr="000E64FA">
        <w:rPr>
          <w:rFonts w:eastAsiaTheme="minorEastAsia"/>
        </w:rPr>
        <w:t>některých smluv neuveřejnila na svém profilu zadavatele výši skutečně uhrazené ceny</w:t>
      </w:r>
      <w:r w:rsidR="00992D5E">
        <w:rPr>
          <w:rFonts w:eastAsiaTheme="minorEastAsia"/>
        </w:rPr>
        <w:t>.</w:t>
      </w:r>
      <w:r>
        <w:rPr>
          <w:rStyle w:val="Znakapoznpodarou"/>
          <w:rFonts w:asciiTheme="minorHAnsi" w:eastAsiaTheme="minorEastAsia" w:hAnsiTheme="minorHAnsi" w:cstheme="minorBidi"/>
        </w:rPr>
        <w:footnoteReference w:id="13"/>
      </w:r>
      <w:r>
        <w:rPr>
          <w:rFonts w:eastAsiaTheme="minorEastAsia"/>
        </w:rPr>
        <w:t xml:space="preserve"> </w:t>
      </w:r>
      <w:r w:rsidR="00724E1A" w:rsidRPr="00BD0991">
        <w:rPr>
          <w:rFonts w:asciiTheme="minorHAnsi" w:eastAsiaTheme="minorEastAsia" w:hAnsiTheme="minorHAnsi" w:cstheme="minorHAnsi"/>
        </w:rPr>
        <w:t>NSA nevytvářela objednávky k uzavřené rámcové smlouvě</w:t>
      </w:r>
      <w:r w:rsidR="0090084C">
        <w:rPr>
          <w:rFonts w:asciiTheme="minorHAnsi" w:eastAsiaTheme="minorEastAsia" w:hAnsiTheme="minorHAnsi" w:cstheme="minorHAnsi"/>
        </w:rPr>
        <w:t xml:space="preserve"> na posouzení projektových dokumentací</w:t>
      </w:r>
      <w:r w:rsidR="00724E1A" w:rsidRPr="00BD0991">
        <w:rPr>
          <w:rFonts w:asciiTheme="minorHAnsi" w:eastAsiaTheme="minorEastAsia" w:hAnsiTheme="minorHAnsi" w:cstheme="minorHAnsi"/>
        </w:rPr>
        <w:t xml:space="preserve">. </w:t>
      </w:r>
      <w:r w:rsidR="00724E1A">
        <w:rPr>
          <w:rFonts w:asciiTheme="minorHAnsi" w:eastAsiaTheme="minorEastAsia" w:hAnsiTheme="minorHAnsi" w:cstheme="minorHAnsi"/>
        </w:rPr>
        <w:t xml:space="preserve">Dále </w:t>
      </w:r>
      <w:r>
        <w:rPr>
          <w:rFonts w:asciiTheme="minorHAnsi" w:eastAsiaTheme="minorEastAsia" w:hAnsiTheme="minorHAnsi" w:cstheme="minorHAnsi"/>
        </w:rPr>
        <w:t>NSA nezaslala k uveřejnění do registru smluv veškeré údaje o smlouvách. V</w:t>
      </w:r>
      <w:r w:rsidR="00D75653" w:rsidRPr="00BD0991">
        <w:rPr>
          <w:rFonts w:asciiTheme="minorHAnsi" w:eastAsiaTheme="minorEastAsia" w:hAnsiTheme="minorHAnsi" w:cstheme="minorHAnsi"/>
        </w:rPr>
        <w:t xml:space="preserve">ynakládala </w:t>
      </w:r>
      <w:r>
        <w:rPr>
          <w:rFonts w:asciiTheme="minorHAnsi" w:eastAsiaTheme="minorEastAsia" w:hAnsiTheme="minorHAnsi" w:cstheme="minorHAnsi"/>
        </w:rPr>
        <w:t xml:space="preserve">tak v některých případech </w:t>
      </w:r>
      <w:r w:rsidR="00D75653" w:rsidRPr="00BD0991">
        <w:rPr>
          <w:rFonts w:asciiTheme="minorHAnsi" w:eastAsiaTheme="minorEastAsia" w:hAnsiTheme="minorHAnsi" w:cstheme="minorHAnsi"/>
        </w:rPr>
        <w:t xml:space="preserve">peněžní prostředky na základě smluv, které byly </w:t>
      </w:r>
      <w:r w:rsidR="00367301">
        <w:rPr>
          <w:rFonts w:asciiTheme="minorHAnsi" w:eastAsiaTheme="minorEastAsia" w:hAnsiTheme="minorHAnsi" w:cstheme="minorHAnsi"/>
        </w:rPr>
        <w:t>dle zákona o registru smluv</w:t>
      </w:r>
      <w:r w:rsidR="00367301">
        <w:rPr>
          <w:rStyle w:val="Znakapoznpodarou"/>
          <w:rFonts w:asciiTheme="minorHAnsi" w:eastAsiaTheme="minorEastAsia" w:hAnsiTheme="minorHAnsi" w:cstheme="minorHAnsi"/>
        </w:rPr>
        <w:footnoteReference w:id="14"/>
      </w:r>
      <w:r w:rsidR="00367301">
        <w:rPr>
          <w:rFonts w:asciiTheme="minorHAnsi" w:eastAsiaTheme="minorEastAsia" w:hAnsiTheme="minorHAnsi" w:cstheme="minorHAnsi"/>
        </w:rPr>
        <w:t xml:space="preserve"> </w:t>
      </w:r>
      <w:r w:rsidR="00D75653" w:rsidRPr="00BD0991">
        <w:rPr>
          <w:rFonts w:asciiTheme="minorHAnsi" w:eastAsiaTheme="minorEastAsia" w:hAnsiTheme="minorHAnsi" w:cstheme="minorHAnsi"/>
        </w:rPr>
        <w:t xml:space="preserve">zrušeny od počátku. </w:t>
      </w:r>
      <w:r w:rsidR="00846076">
        <w:rPr>
          <w:rFonts w:asciiTheme="minorHAnsi" w:eastAsiaTheme="minorEastAsia" w:hAnsiTheme="minorHAnsi" w:cstheme="minorHAnsi"/>
        </w:rPr>
        <w:t>NSA tak nepostupovala při vynakládání peněžních prostředků na nákup služeb a pořízení majetku v souladu s právními předpisy.</w:t>
      </w:r>
    </w:p>
    <w:p w14:paraId="6F079435" w14:textId="77777777" w:rsidR="00C276D1" w:rsidRPr="00BD0991" w:rsidRDefault="006F0345" w:rsidP="00CA6D8B">
      <w:pPr>
        <w:pStyle w:val="Nadpis1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 xml:space="preserve">7. </w:t>
      </w:r>
      <w:r w:rsidR="00D15CE9" w:rsidRPr="75EB0935">
        <w:rPr>
          <w:rFonts w:asciiTheme="minorHAnsi" w:hAnsiTheme="minorHAnsi" w:cstheme="minorBidi"/>
        </w:rPr>
        <w:t xml:space="preserve">Nefunkční </w:t>
      </w:r>
      <w:r w:rsidR="00C276D1" w:rsidRPr="75EB0935">
        <w:rPr>
          <w:rFonts w:asciiTheme="minorHAnsi" w:hAnsiTheme="minorHAnsi" w:cstheme="minorBidi"/>
        </w:rPr>
        <w:t>vnitřní</w:t>
      </w:r>
      <w:r w:rsidR="00D15CE9" w:rsidRPr="75EB0935">
        <w:rPr>
          <w:rFonts w:asciiTheme="minorHAnsi" w:hAnsiTheme="minorHAnsi" w:cstheme="minorBidi"/>
        </w:rPr>
        <w:t xml:space="preserve"> </w:t>
      </w:r>
      <w:r w:rsidR="00C276D1" w:rsidRPr="75EB0935">
        <w:rPr>
          <w:rFonts w:asciiTheme="minorHAnsi" w:hAnsiTheme="minorHAnsi" w:cstheme="minorBidi"/>
        </w:rPr>
        <w:t>kontrolní systém</w:t>
      </w:r>
      <w:r w:rsidR="00D52428" w:rsidRPr="75EB0935">
        <w:rPr>
          <w:rFonts w:asciiTheme="minorHAnsi" w:hAnsiTheme="minorHAnsi" w:cstheme="minorBidi"/>
        </w:rPr>
        <w:t xml:space="preserve"> NSA</w:t>
      </w:r>
    </w:p>
    <w:p w14:paraId="10CDB4B6" w14:textId="3918E506" w:rsidR="00D52428" w:rsidRPr="00025CEB" w:rsidRDefault="00D52428" w:rsidP="00367301">
      <w:pPr>
        <w:spacing w:before="120"/>
        <w:rPr>
          <w:rFonts w:asciiTheme="minorHAnsi" w:eastAsiaTheme="minorEastAsia" w:hAnsiTheme="minorHAnsi" w:cstheme="minorHAnsi"/>
        </w:rPr>
      </w:pPr>
      <w:r w:rsidRPr="00BD0991">
        <w:rPr>
          <w:rFonts w:asciiTheme="minorHAnsi" w:eastAsiaTheme="minorEastAsia" w:hAnsiTheme="minorHAnsi" w:cstheme="minorHAnsi"/>
        </w:rPr>
        <w:t xml:space="preserve">Po celou dobu kontrolovaného období </w:t>
      </w:r>
      <w:r w:rsidR="00367301">
        <w:rPr>
          <w:rFonts w:asciiTheme="minorHAnsi" w:eastAsiaTheme="minorEastAsia" w:hAnsiTheme="minorHAnsi" w:cstheme="minorHAnsi"/>
        </w:rPr>
        <w:t>uzavírala</w:t>
      </w:r>
      <w:r w:rsidR="00774E8A" w:rsidRPr="00774E8A">
        <w:rPr>
          <w:rFonts w:asciiTheme="minorHAnsi" w:eastAsiaTheme="minorEastAsia" w:hAnsiTheme="minorHAnsi" w:cstheme="minorHAnsi"/>
        </w:rPr>
        <w:t xml:space="preserve"> </w:t>
      </w:r>
      <w:r w:rsidR="00774E8A">
        <w:rPr>
          <w:rFonts w:asciiTheme="minorHAnsi" w:eastAsiaTheme="minorEastAsia" w:hAnsiTheme="minorHAnsi" w:cstheme="minorHAnsi"/>
        </w:rPr>
        <w:t>NSA</w:t>
      </w:r>
      <w:r w:rsidRPr="00BD0991">
        <w:rPr>
          <w:rFonts w:asciiTheme="minorHAnsi" w:eastAsiaTheme="minorEastAsia" w:hAnsiTheme="minorHAnsi" w:cstheme="minorHAnsi"/>
        </w:rPr>
        <w:t xml:space="preserve"> sml</w:t>
      </w:r>
      <w:r w:rsidR="00367301">
        <w:rPr>
          <w:rFonts w:asciiTheme="minorHAnsi" w:eastAsiaTheme="minorEastAsia" w:hAnsiTheme="minorHAnsi" w:cstheme="minorHAnsi"/>
        </w:rPr>
        <w:t>ouvy</w:t>
      </w:r>
      <w:r w:rsidRPr="00BD0991">
        <w:rPr>
          <w:rFonts w:asciiTheme="minorHAnsi" w:eastAsiaTheme="minorEastAsia" w:hAnsiTheme="minorHAnsi" w:cstheme="minorHAnsi"/>
        </w:rPr>
        <w:t xml:space="preserve"> a objednáv</w:t>
      </w:r>
      <w:r w:rsidR="00367301">
        <w:rPr>
          <w:rFonts w:asciiTheme="minorHAnsi" w:eastAsiaTheme="minorEastAsia" w:hAnsiTheme="minorHAnsi" w:cstheme="minorHAnsi"/>
        </w:rPr>
        <w:t>ky</w:t>
      </w:r>
      <w:r w:rsidRPr="00BD0991">
        <w:rPr>
          <w:rFonts w:asciiTheme="minorHAnsi" w:eastAsiaTheme="minorEastAsia" w:hAnsiTheme="minorHAnsi" w:cstheme="minorHAnsi"/>
        </w:rPr>
        <w:t xml:space="preserve"> </w:t>
      </w:r>
      <w:r w:rsidR="00367301">
        <w:rPr>
          <w:rFonts w:asciiTheme="minorHAnsi" w:eastAsiaTheme="minorEastAsia" w:hAnsiTheme="minorHAnsi" w:cstheme="minorHAnsi"/>
        </w:rPr>
        <w:t>a</w:t>
      </w:r>
      <w:r w:rsidRPr="00BD0991">
        <w:rPr>
          <w:rFonts w:asciiTheme="minorHAnsi" w:eastAsiaTheme="minorEastAsia" w:hAnsiTheme="minorHAnsi" w:cstheme="minorHAnsi"/>
        </w:rPr>
        <w:t xml:space="preserve"> propláce</w:t>
      </w:r>
      <w:r w:rsidR="00367301">
        <w:rPr>
          <w:rFonts w:asciiTheme="minorHAnsi" w:eastAsiaTheme="minorEastAsia" w:hAnsiTheme="minorHAnsi" w:cstheme="minorHAnsi"/>
        </w:rPr>
        <w:t>la</w:t>
      </w:r>
      <w:r w:rsidRPr="00BD0991">
        <w:rPr>
          <w:rFonts w:asciiTheme="minorHAnsi" w:eastAsiaTheme="minorEastAsia" w:hAnsiTheme="minorHAnsi" w:cstheme="minorHAnsi"/>
        </w:rPr>
        <w:t xml:space="preserve"> faktur</w:t>
      </w:r>
      <w:r w:rsidR="00367301">
        <w:rPr>
          <w:rFonts w:asciiTheme="minorHAnsi" w:eastAsiaTheme="minorEastAsia" w:hAnsiTheme="minorHAnsi" w:cstheme="minorHAnsi"/>
        </w:rPr>
        <w:t>y</w:t>
      </w:r>
      <w:r w:rsidRPr="00BD0991">
        <w:rPr>
          <w:rFonts w:asciiTheme="minorHAnsi" w:eastAsiaTheme="minorEastAsia" w:hAnsiTheme="minorHAnsi" w:cstheme="minorHAnsi"/>
        </w:rPr>
        <w:t xml:space="preserve"> a vypláce</w:t>
      </w:r>
      <w:r w:rsidR="00367301">
        <w:rPr>
          <w:rFonts w:asciiTheme="minorHAnsi" w:eastAsiaTheme="minorEastAsia" w:hAnsiTheme="minorHAnsi" w:cstheme="minorHAnsi"/>
        </w:rPr>
        <w:t>la</w:t>
      </w:r>
      <w:r w:rsidRPr="00BD0991">
        <w:rPr>
          <w:rFonts w:asciiTheme="minorHAnsi" w:eastAsiaTheme="minorEastAsia" w:hAnsiTheme="minorHAnsi" w:cstheme="minorHAnsi"/>
        </w:rPr>
        <w:t xml:space="preserve"> dotac</w:t>
      </w:r>
      <w:r w:rsidR="00367301">
        <w:rPr>
          <w:rFonts w:asciiTheme="minorHAnsi" w:eastAsiaTheme="minorEastAsia" w:hAnsiTheme="minorHAnsi" w:cstheme="minorHAnsi"/>
        </w:rPr>
        <w:t>e</w:t>
      </w:r>
      <w:r w:rsidRPr="00BD0991">
        <w:rPr>
          <w:rFonts w:asciiTheme="minorHAnsi" w:eastAsiaTheme="minorEastAsia" w:hAnsiTheme="minorHAnsi" w:cstheme="minorHAnsi"/>
        </w:rPr>
        <w:t xml:space="preserve">, aniž by </w:t>
      </w:r>
      <w:r w:rsidR="00367301">
        <w:rPr>
          <w:rFonts w:asciiTheme="minorHAnsi" w:eastAsiaTheme="minorEastAsia" w:hAnsiTheme="minorHAnsi" w:cstheme="minorHAnsi"/>
        </w:rPr>
        <w:t>dodržela</w:t>
      </w:r>
      <w:r w:rsidRPr="00BD0991">
        <w:rPr>
          <w:rFonts w:asciiTheme="minorHAnsi" w:eastAsiaTheme="minorEastAsia" w:hAnsiTheme="minorHAnsi" w:cstheme="minorHAnsi"/>
        </w:rPr>
        <w:t xml:space="preserve"> schvalovací postupy upravené v zákoně o</w:t>
      </w:r>
      <w:r w:rsidR="00F6678D">
        <w:rPr>
          <w:rFonts w:asciiTheme="minorHAnsi" w:eastAsiaTheme="minorEastAsia" w:hAnsiTheme="minorHAnsi" w:cstheme="minorHAnsi"/>
        </w:rPr>
        <w:t> </w:t>
      </w:r>
      <w:r w:rsidRPr="00BD0991">
        <w:rPr>
          <w:rFonts w:asciiTheme="minorHAnsi" w:eastAsiaTheme="minorEastAsia" w:hAnsiTheme="minorHAnsi" w:cstheme="minorHAnsi"/>
        </w:rPr>
        <w:t xml:space="preserve">finanční </w:t>
      </w:r>
      <w:r w:rsidRPr="00B819CC">
        <w:rPr>
          <w:rFonts w:asciiTheme="minorHAnsi" w:eastAsiaTheme="minorEastAsia" w:hAnsiTheme="minorHAnsi" w:cstheme="minorHAnsi"/>
        </w:rPr>
        <w:t>kontrole</w:t>
      </w:r>
      <w:r w:rsidR="00ED6E0C" w:rsidRPr="00B819CC">
        <w:rPr>
          <w:rStyle w:val="Znakapoznpodarou"/>
          <w:rFonts w:asciiTheme="minorHAnsi" w:eastAsiaTheme="minorEastAsia" w:hAnsiTheme="minorHAnsi" w:cstheme="minorHAnsi"/>
        </w:rPr>
        <w:footnoteReference w:id="15"/>
      </w:r>
      <w:r w:rsidRPr="00B819CC">
        <w:rPr>
          <w:rFonts w:asciiTheme="minorHAnsi" w:eastAsiaTheme="minorEastAsia" w:hAnsiTheme="minorHAnsi" w:cstheme="minorHAnsi"/>
        </w:rPr>
        <w:t xml:space="preserve">. </w:t>
      </w:r>
      <w:r w:rsidR="00D15CE9" w:rsidRPr="00B819CC">
        <w:rPr>
          <w:rFonts w:asciiTheme="minorHAnsi" w:eastAsiaTheme="minorEastAsia" w:hAnsiTheme="minorHAnsi" w:cstheme="minorHAnsi"/>
        </w:rPr>
        <w:t xml:space="preserve">NSA nevypracovala roční </w:t>
      </w:r>
      <w:r w:rsidR="00FD2CAD" w:rsidRPr="00B819CC">
        <w:rPr>
          <w:rFonts w:asciiTheme="minorHAnsi" w:eastAsiaTheme="minorEastAsia" w:hAnsiTheme="minorHAnsi" w:cstheme="minorHAnsi"/>
        </w:rPr>
        <w:t xml:space="preserve">plán na rok 2023 </w:t>
      </w:r>
      <w:r w:rsidR="00D15CE9" w:rsidRPr="00B819CC">
        <w:rPr>
          <w:rFonts w:asciiTheme="minorHAnsi" w:eastAsiaTheme="minorEastAsia" w:hAnsiTheme="minorHAnsi" w:cstheme="minorHAnsi"/>
        </w:rPr>
        <w:t xml:space="preserve">a střednědobý plán interního auditu. Dále </w:t>
      </w:r>
      <w:r w:rsidR="00367301" w:rsidRPr="00B819CC">
        <w:rPr>
          <w:rFonts w:asciiTheme="minorHAnsi" w:eastAsiaTheme="minorEastAsia" w:hAnsiTheme="minorHAnsi" w:cstheme="minorHAnsi"/>
        </w:rPr>
        <w:t xml:space="preserve">NSA nezpracovala zprávy o provedených auditech v roce 2022 ani </w:t>
      </w:r>
      <w:r w:rsidR="00FD2CAD" w:rsidRPr="00B819CC">
        <w:rPr>
          <w:rFonts w:asciiTheme="minorHAnsi" w:eastAsiaTheme="minorEastAsia" w:hAnsiTheme="minorHAnsi" w:cstheme="minorHAnsi"/>
        </w:rPr>
        <w:t>r</w:t>
      </w:r>
      <w:r w:rsidR="00367301" w:rsidRPr="00B819CC">
        <w:rPr>
          <w:rFonts w:asciiTheme="minorHAnsi" w:eastAsiaTheme="minorEastAsia" w:hAnsiTheme="minorHAnsi" w:cstheme="minorHAnsi"/>
        </w:rPr>
        <w:t>oční zprávu o</w:t>
      </w:r>
      <w:r w:rsidR="00F6678D">
        <w:rPr>
          <w:rFonts w:asciiTheme="minorHAnsi" w:eastAsiaTheme="minorEastAsia" w:hAnsiTheme="minorHAnsi" w:cstheme="minorHAnsi"/>
        </w:rPr>
        <w:t> </w:t>
      </w:r>
      <w:r w:rsidR="00367301" w:rsidRPr="00B819CC">
        <w:rPr>
          <w:rFonts w:asciiTheme="minorHAnsi" w:eastAsiaTheme="minorEastAsia" w:hAnsiTheme="minorHAnsi" w:cstheme="minorHAnsi"/>
        </w:rPr>
        <w:t>výsledcích interního auditu za rok 2022</w:t>
      </w:r>
      <w:r w:rsidR="00FD2CAD" w:rsidRPr="00B819CC">
        <w:rPr>
          <w:rFonts w:asciiTheme="minorHAnsi" w:eastAsiaTheme="minorEastAsia" w:hAnsiTheme="minorHAnsi" w:cstheme="minorHAnsi"/>
        </w:rPr>
        <w:t>.</w:t>
      </w:r>
      <w:r w:rsidR="00D15CE9" w:rsidRPr="00B819CC">
        <w:rPr>
          <w:rFonts w:asciiTheme="minorHAnsi" w:eastAsiaTheme="minorEastAsia" w:hAnsiTheme="minorHAnsi" w:cstheme="minorHAnsi"/>
        </w:rPr>
        <w:t xml:space="preserve"> </w:t>
      </w:r>
      <w:r w:rsidR="004C1460" w:rsidRPr="00ED6E0C">
        <w:rPr>
          <w:rFonts w:asciiTheme="minorHAnsi" w:eastAsiaTheme="minorEastAsia" w:hAnsiTheme="minorHAnsi" w:cstheme="minorHAnsi"/>
        </w:rPr>
        <w:t>NSA nezavedla a</w:t>
      </w:r>
      <w:r w:rsidR="00F6678D" w:rsidRPr="00ED6E0C">
        <w:rPr>
          <w:rFonts w:asciiTheme="minorHAnsi" w:eastAsiaTheme="minorEastAsia" w:hAnsiTheme="minorHAnsi" w:cstheme="minorHAnsi"/>
        </w:rPr>
        <w:t> </w:t>
      </w:r>
      <w:r w:rsidR="004C1460" w:rsidRPr="00ED6E0C">
        <w:rPr>
          <w:rFonts w:asciiTheme="minorHAnsi" w:eastAsiaTheme="minorEastAsia" w:hAnsiTheme="minorHAnsi" w:cstheme="minorHAnsi"/>
        </w:rPr>
        <w:t xml:space="preserve">neudržovala </w:t>
      </w:r>
      <w:r w:rsidR="00025CEB" w:rsidRPr="00ED6E0C">
        <w:rPr>
          <w:rFonts w:asciiTheme="minorHAnsi" w:eastAsiaTheme="minorEastAsia" w:hAnsiTheme="minorHAnsi" w:cstheme="minorHAnsi"/>
        </w:rPr>
        <w:t xml:space="preserve">účinný </w:t>
      </w:r>
      <w:r w:rsidR="004C1460" w:rsidRPr="00ED6E0C">
        <w:rPr>
          <w:rFonts w:asciiTheme="minorHAnsi" w:eastAsiaTheme="minorEastAsia" w:hAnsiTheme="minorHAnsi" w:cstheme="minorHAnsi"/>
        </w:rPr>
        <w:t>vnitřní kontrolní systém</w:t>
      </w:r>
      <w:r w:rsidR="00080FCC" w:rsidRPr="00ED6E0C">
        <w:rPr>
          <w:rFonts w:asciiTheme="minorHAnsi" w:eastAsiaTheme="minorEastAsia" w:hAnsiTheme="minorHAnsi" w:cstheme="minorHAnsi"/>
        </w:rPr>
        <w:t xml:space="preserve"> </w:t>
      </w:r>
      <w:r w:rsidR="00080FCC" w:rsidRPr="00ED6E0C">
        <w:rPr>
          <w:rFonts w:asciiTheme="minorHAnsi" w:eastAsiaTheme="minorEastAsia" w:hAnsiTheme="minorHAnsi" w:cstheme="minorBidi"/>
          <w:lang w:eastAsia="en-US"/>
        </w:rPr>
        <w:t>(dále také „VKS“).</w:t>
      </w:r>
      <w:r w:rsidR="004C1460" w:rsidRPr="00ED6E0C">
        <w:rPr>
          <w:rFonts w:asciiTheme="minorHAnsi" w:eastAsiaTheme="minorEastAsia" w:hAnsiTheme="minorHAnsi" w:cstheme="minorHAnsi"/>
        </w:rPr>
        <w:t xml:space="preserve"> NSA</w:t>
      </w:r>
      <w:r w:rsidR="00CC428E">
        <w:rPr>
          <w:rFonts w:asciiTheme="minorHAnsi" w:eastAsiaTheme="minorEastAsia" w:hAnsiTheme="minorHAnsi" w:cstheme="minorHAnsi"/>
        </w:rPr>
        <w:t xml:space="preserve"> </w:t>
      </w:r>
      <w:r w:rsidR="004C1460" w:rsidRPr="00ED6E0C">
        <w:rPr>
          <w:rFonts w:asciiTheme="minorHAnsi" w:eastAsiaTheme="minorEastAsia" w:hAnsiTheme="minorHAnsi" w:cstheme="minorHAnsi"/>
        </w:rPr>
        <w:t>neprověřovala hospodárný, efektivní a účelný výkon veřejné správy</w:t>
      </w:r>
      <w:r w:rsidR="00D816F0" w:rsidRPr="00ED6E0C">
        <w:rPr>
          <w:rFonts w:asciiTheme="minorHAnsi" w:eastAsiaTheme="minorEastAsia" w:hAnsiTheme="minorHAnsi" w:cstheme="minorHAnsi"/>
        </w:rPr>
        <w:t xml:space="preserve"> v souladu se</w:t>
      </w:r>
      <w:r w:rsidR="002A03F3" w:rsidRPr="00ED6E0C">
        <w:rPr>
          <w:rFonts w:asciiTheme="minorHAnsi" w:eastAsiaTheme="minorEastAsia" w:hAnsiTheme="minorHAnsi" w:cstheme="minorHAnsi"/>
        </w:rPr>
        <w:t> </w:t>
      </w:r>
      <w:r w:rsidR="00D816F0" w:rsidRPr="00ED6E0C">
        <w:rPr>
          <w:rFonts w:asciiTheme="minorHAnsi" w:eastAsiaTheme="minorEastAsia" w:hAnsiTheme="minorHAnsi" w:cstheme="minorHAnsi"/>
        </w:rPr>
        <w:t>zákonem o finanční kontrole.</w:t>
      </w:r>
      <w:r w:rsidR="00354CA2" w:rsidRPr="00ED6E0C">
        <w:rPr>
          <w:rStyle w:val="Znakapoznpodarou"/>
          <w:rFonts w:asciiTheme="minorHAnsi" w:eastAsiaTheme="minorEastAsia" w:hAnsiTheme="minorHAnsi" w:cstheme="minorHAnsi"/>
        </w:rPr>
        <w:footnoteReference w:id="16"/>
      </w:r>
      <w:r w:rsidR="00D816F0">
        <w:rPr>
          <w:rFonts w:asciiTheme="minorHAnsi" w:eastAsiaTheme="minorEastAsia" w:hAnsiTheme="minorHAnsi" w:cstheme="minorHAnsi"/>
          <w:b/>
        </w:rPr>
        <w:t xml:space="preserve"> </w:t>
      </w:r>
    </w:p>
    <w:p w14:paraId="3E9A5C8B" w14:textId="77777777" w:rsidR="00C276D1" w:rsidRPr="00BD0991" w:rsidRDefault="006F0345" w:rsidP="00CA6D8B">
      <w:pPr>
        <w:pStyle w:val="Nadpis1"/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 xml:space="preserve">8. </w:t>
      </w:r>
      <w:r w:rsidR="00C276D1" w:rsidRPr="75EB0935">
        <w:rPr>
          <w:rFonts w:asciiTheme="minorHAnsi" w:hAnsiTheme="minorHAnsi" w:cstheme="minorBidi"/>
        </w:rPr>
        <w:t>Nedosta</w:t>
      </w:r>
      <w:r w:rsidR="0000115B" w:rsidRPr="75EB0935">
        <w:rPr>
          <w:rFonts w:asciiTheme="minorHAnsi" w:hAnsiTheme="minorHAnsi" w:cstheme="minorBidi"/>
        </w:rPr>
        <w:t>tečná</w:t>
      </w:r>
      <w:r w:rsidR="00C276D1" w:rsidRPr="75EB0935">
        <w:rPr>
          <w:rFonts w:asciiTheme="minorHAnsi" w:hAnsiTheme="minorHAnsi" w:cstheme="minorBidi"/>
        </w:rPr>
        <w:t xml:space="preserve"> archivac</w:t>
      </w:r>
      <w:r w:rsidR="0000115B" w:rsidRPr="75EB0935">
        <w:rPr>
          <w:rFonts w:asciiTheme="minorHAnsi" w:hAnsiTheme="minorHAnsi" w:cstheme="minorBidi"/>
        </w:rPr>
        <w:t>e</w:t>
      </w:r>
      <w:r w:rsidR="6993E16C" w:rsidRPr="75EB0935">
        <w:rPr>
          <w:rFonts w:asciiTheme="minorHAnsi" w:hAnsiTheme="minorHAnsi" w:cstheme="minorBidi"/>
        </w:rPr>
        <w:t xml:space="preserve"> </w:t>
      </w:r>
      <w:r w:rsidR="0D6D9D79" w:rsidRPr="75EB0935">
        <w:rPr>
          <w:rFonts w:asciiTheme="minorHAnsi" w:hAnsiTheme="minorHAnsi" w:cstheme="minorBidi"/>
        </w:rPr>
        <w:t xml:space="preserve">dokumentů </w:t>
      </w:r>
      <w:r w:rsidR="00ED6E0C">
        <w:rPr>
          <w:rFonts w:asciiTheme="minorHAnsi" w:hAnsiTheme="minorHAnsi" w:cstheme="minorBidi"/>
        </w:rPr>
        <w:t xml:space="preserve">a výkon spisové služby </w:t>
      </w:r>
      <w:r w:rsidR="6993E16C" w:rsidRPr="75EB0935">
        <w:rPr>
          <w:rFonts w:asciiTheme="minorHAnsi" w:hAnsiTheme="minorHAnsi" w:cstheme="minorBidi"/>
        </w:rPr>
        <w:t>na NSA</w:t>
      </w:r>
    </w:p>
    <w:p w14:paraId="42DD23B4" w14:textId="77777777" w:rsidR="00992D5E" w:rsidRPr="00BD0991" w:rsidRDefault="00864CFA" w:rsidP="6524B888">
      <w:pPr>
        <w:spacing w:before="120"/>
        <w:rPr>
          <w:rFonts w:asciiTheme="minorHAnsi" w:eastAsiaTheme="minorEastAsia" w:hAnsiTheme="minorHAnsi" w:cstheme="minorBidi"/>
        </w:rPr>
      </w:pPr>
      <w:r w:rsidRPr="6524B888">
        <w:rPr>
          <w:rFonts w:asciiTheme="minorHAnsi" w:eastAsiaTheme="minorEastAsia" w:hAnsiTheme="minorHAnsi" w:cstheme="minorBidi"/>
        </w:rPr>
        <w:t xml:space="preserve">NSA sice měla vytvořený spisový a skartační řád i podpisový řád, ale ne vždy podle nich postupovala. </w:t>
      </w:r>
      <w:r w:rsidR="00425BEC" w:rsidRPr="6524B888">
        <w:rPr>
          <w:rFonts w:asciiTheme="minorHAnsi" w:eastAsiaTheme="minorEastAsia" w:hAnsiTheme="minorHAnsi" w:cstheme="minorBidi"/>
        </w:rPr>
        <w:t>Některé</w:t>
      </w:r>
      <w:r w:rsidR="1F1BFA9D" w:rsidRPr="6524B888">
        <w:rPr>
          <w:rFonts w:asciiTheme="minorHAnsi" w:eastAsiaTheme="minorEastAsia" w:hAnsiTheme="minorHAnsi" w:cstheme="minorBidi"/>
        </w:rPr>
        <w:t xml:space="preserve"> dokumenty</w:t>
      </w:r>
      <w:r w:rsidR="542E1AC5" w:rsidRPr="6524B888">
        <w:rPr>
          <w:rFonts w:asciiTheme="minorHAnsi" w:eastAsiaTheme="minorEastAsia" w:hAnsiTheme="minorHAnsi" w:cstheme="minorBidi"/>
        </w:rPr>
        <w:t xml:space="preserve"> </w:t>
      </w:r>
      <w:r w:rsidR="009609E1">
        <w:rPr>
          <w:rFonts w:asciiTheme="minorHAnsi" w:eastAsiaTheme="minorEastAsia" w:hAnsiTheme="minorHAnsi" w:cstheme="minorBidi"/>
        </w:rPr>
        <w:t>ne</w:t>
      </w:r>
      <w:r w:rsidR="542E1AC5" w:rsidRPr="6524B888">
        <w:rPr>
          <w:rFonts w:asciiTheme="minorHAnsi" w:eastAsiaTheme="minorEastAsia" w:hAnsiTheme="minorHAnsi" w:cstheme="minorBidi"/>
        </w:rPr>
        <w:t xml:space="preserve">byly </w:t>
      </w:r>
      <w:r w:rsidR="6993E16C" w:rsidRPr="6524B888">
        <w:rPr>
          <w:rFonts w:asciiTheme="minorHAnsi" w:eastAsiaTheme="minorEastAsia" w:hAnsiTheme="minorHAnsi" w:cstheme="minorBidi"/>
        </w:rPr>
        <w:t>podepsané, datované a</w:t>
      </w:r>
      <w:r w:rsidR="009609E1">
        <w:rPr>
          <w:rFonts w:asciiTheme="minorHAnsi" w:eastAsiaTheme="minorEastAsia" w:hAnsiTheme="minorHAnsi" w:cstheme="minorBidi"/>
        </w:rPr>
        <w:t xml:space="preserve"> </w:t>
      </w:r>
      <w:r w:rsidR="6993E16C" w:rsidRPr="6524B888">
        <w:rPr>
          <w:rFonts w:asciiTheme="minorHAnsi" w:eastAsiaTheme="minorEastAsia" w:hAnsiTheme="minorHAnsi" w:cstheme="minorBidi"/>
        </w:rPr>
        <w:t>označené</w:t>
      </w:r>
      <w:r w:rsidR="7E0702B7" w:rsidRPr="6524B888">
        <w:rPr>
          <w:rFonts w:asciiTheme="minorHAnsi" w:eastAsiaTheme="minorEastAsia" w:hAnsiTheme="minorHAnsi" w:cstheme="minorBidi"/>
        </w:rPr>
        <w:t xml:space="preserve">. </w:t>
      </w:r>
      <w:r w:rsidR="20FA70C5" w:rsidRPr="6524B888">
        <w:rPr>
          <w:rFonts w:asciiTheme="minorHAnsi" w:eastAsiaTheme="minorEastAsia" w:hAnsiTheme="minorHAnsi" w:cstheme="minorBidi"/>
        </w:rPr>
        <w:t>Dále</w:t>
      </w:r>
      <w:r w:rsidR="006F0345">
        <w:rPr>
          <w:rFonts w:asciiTheme="minorHAnsi" w:eastAsiaTheme="minorEastAsia" w:hAnsiTheme="minorHAnsi" w:cstheme="minorBidi"/>
        </w:rPr>
        <w:t xml:space="preserve"> </w:t>
      </w:r>
      <w:r w:rsidR="606448EC" w:rsidRPr="6524B888">
        <w:rPr>
          <w:rFonts w:asciiTheme="minorHAnsi" w:eastAsiaTheme="minorEastAsia" w:hAnsiTheme="minorHAnsi" w:cstheme="minorBidi"/>
        </w:rPr>
        <w:t>NSA</w:t>
      </w:r>
      <w:r w:rsidR="00CA6D8B">
        <w:rPr>
          <w:rFonts w:asciiTheme="minorHAnsi" w:eastAsiaTheme="minorEastAsia" w:hAnsiTheme="minorHAnsi" w:cstheme="minorBidi"/>
        </w:rPr>
        <w:t xml:space="preserve"> </w:t>
      </w:r>
      <w:r w:rsidR="606448EC" w:rsidRPr="6524B888">
        <w:rPr>
          <w:rFonts w:asciiTheme="minorHAnsi" w:eastAsiaTheme="minorEastAsia" w:hAnsiTheme="minorHAnsi" w:cstheme="minorBidi"/>
        </w:rPr>
        <w:t>chyběly</w:t>
      </w:r>
      <w:r w:rsidR="6993E16C" w:rsidRPr="6524B888">
        <w:rPr>
          <w:rFonts w:asciiTheme="minorHAnsi" w:eastAsiaTheme="minorEastAsia" w:hAnsiTheme="minorHAnsi" w:cstheme="minorBidi"/>
        </w:rPr>
        <w:t xml:space="preserve"> </w:t>
      </w:r>
      <w:r w:rsidR="6FEC3EB6" w:rsidRPr="6524B888">
        <w:rPr>
          <w:rFonts w:asciiTheme="minorHAnsi" w:eastAsiaTheme="minorEastAsia" w:hAnsiTheme="minorHAnsi" w:cstheme="minorBidi"/>
        </w:rPr>
        <w:t xml:space="preserve">například </w:t>
      </w:r>
      <w:r w:rsidR="6993E16C" w:rsidRPr="6524B888">
        <w:rPr>
          <w:rFonts w:asciiTheme="minorHAnsi" w:eastAsiaTheme="minorEastAsia" w:hAnsiTheme="minorHAnsi" w:cstheme="minorBidi"/>
        </w:rPr>
        <w:t xml:space="preserve">dokumenty </w:t>
      </w:r>
      <w:r w:rsidR="033C171E" w:rsidRPr="6524B888">
        <w:rPr>
          <w:rFonts w:asciiTheme="minorHAnsi" w:eastAsiaTheme="minorEastAsia" w:hAnsiTheme="minorHAnsi" w:cstheme="minorBidi"/>
        </w:rPr>
        <w:t>související s</w:t>
      </w:r>
      <w:r w:rsidR="6993E16C" w:rsidRPr="6524B888">
        <w:rPr>
          <w:rFonts w:asciiTheme="minorHAnsi" w:eastAsiaTheme="minorEastAsia" w:hAnsiTheme="minorHAnsi" w:cstheme="minorBidi"/>
        </w:rPr>
        <w:t> pořizováním majetku</w:t>
      </w:r>
      <w:r w:rsidR="36ACBC03" w:rsidRPr="6524B888">
        <w:rPr>
          <w:rFonts w:asciiTheme="minorHAnsi" w:eastAsiaTheme="minorEastAsia" w:hAnsiTheme="minorHAnsi" w:cstheme="minorBidi"/>
        </w:rPr>
        <w:t xml:space="preserve"> nebo</w:t>
      </w:r>
      <w:r w:rsidR="006F0345">
        <w:rPr>
          <w:rFonts w:asciiTheme="minorHAnsi" w:eastAsiaTheme="minorEastAsia" w:hAnsiTheme="minorHAnsi" w:cstheme="minorBidi"/>
        </w:rPr>
        <w:t xml:space="preserve"> </w:t>
      </w:r>
      <w:r w:rsidR="1424F532" w:rsidRPr="6524B888">
        <w:rPr>
          <w:rFonts w:asciiTheme="minorHAnsi" w:eastAsiaTheme="minorEastAsia" w:hAnsiTheme="minorHAnsi" w:cstheme="minorBidi"/>
        </w:rPr>
        <w:t>s</w:t>
      </w:r>
      <w:r w:rsidR="00F6678D">
        <w:rPr>
          <w:rFonts w:asciiTheme="minorHAnsi" w:eastAsiaTheme="minorEastAsia" w:hAnsiTheme="minorHAnsi" w:cstheme="minorBidi"/>
        </w:rPr>
        <w:t> </w:t>
      </w:r>
      <w:r w:rsidR="36ACBC03" w:rsidRPr="6524B888">
        <w:rPr>
          <w:rFonts w:asciiTheme="minorHAnsi" w:eastAsiaTheme="minorEastAsia" w:hAnsiTheme="minorHAnsi" w:cstheme="minorBidi"/>
        </w:rPr>
        <w:t xml:space="preserve">veřejnými zakázkami. </w:t>
      </w:r>
      <w:r w:rsidR="36ACBC03" w:rsidRPr="00AF79F9">
        <w:rPr>
          <w:rFonts w:asciiTheme="minorHAnsi" w:eastAsiaTheme="minorEastAsia" w:hAnsiTheme="minorHAnsi" w:cstheme="minorBidi"/>
          <w:bCs/>
        </w:rPr>
        <w:t>NSA tak v některých případech nepostupovala v souladu se</w:t>
      </w:r>
      <w:r w:rsidR="00F6678D" w:rsidRPr="00AF79F9">
        <w:rPr>
          <w:rFonts w:asciiTheme="minorHAnsi" w:eastAsiaTheme="minorEastAsia" w:hAnsiTheme="minorHAnsi" w:cstheme="minorBidi"/>
          <w:bCs/>
        </w:rPr>
        <w:t> </w:t>
      </w:r>
      <w:r w:rsidR="36ACBC03" w:rsidRPr="00AF79F9">
        <w:rPr>
          <w:rFonts w:asciiTheme="minorHAnsi" w:eastAsiaTheme="minorEastAsia" w:hAnsiTheme="minorHAnsi" w:cstheme="minorBidi"/>
          <w:bCs/>
        </w:rPr>
        <w:t>zákonem o</w:t>
      </w:r>
      <w:r w:rsidR="006F0345">
        <w:rPr>
          <w:rFonts w:asciiTheme="minorHAnsi" w:eastAsiaTheme="minorEastAsia" w:hAnsiTheme="minorHAnsi" w:cstheme="minorBidi"/>
          <w:bCs/>
        </w:rPr>
        <w:t> </w:t>
      </w:r>
      <w:r w:rsidR="5A86780F" w:rsidRPr="00AF79F9">
        <w:rPr>
          <w:rFonts w:asciiTheme="minorHAnsi" w:eastAsiaTheme="minorEastAsia" w:hAnsiTheme="minorHAnsi" w:cstheme="minorBidi"/>
          <w:bCs/>
        </w:rPr>
        <w:t>archivnictví a spisové službě</w:t>
      </w:r>
      <w:r w:rsidR="5A86780F" w:rsidRPr="00AF79F9">
        <w:rPr>
          <w:rFonts w:asciiTheme="minorHAnsi" w:eastAsiaTheme="minorEastAsia" w:hAnsiTheme="minorHAnsi" w:cstheme="minorBidi"/>
        </w:rPr>
        <w:t>.</w:t>
      </w:r>
      <w:r w:rsidR="6993E16C" w:rsidRPr="00AF79F9">
        <w:rPr>
          <w:rFonts w:asciiTheme="minorHAnsi" w:eastAsiaTheme="minorEastAsia" w:hAnsiTheme="minorHAnsi" w:cstheme="minorBidi"/>
          <w:vertAlign w:val="superscript"/>
        </w:rPr>
        <w:footnoteReference w:id="17"/>
      </w:r>
    </w:p>
    <w:p w14:paraId="38AF76C0" w14:textId="77777777" w:rsidR="00AA318B" w:rsidRDefault="00AA318B">
      <w:pPr>
        <w:suppressAutoHyphens w:val="0"/>
        <w:spacing w:before="120" w:line="276" w:lineRule="auto"/>
        <w:rPr>
          <w:rFonts w:asciiTheme="minorHAnsi" w:hAnsiTheme="minorHAnsi" w:cstheme="minorHAnsi"/>
          <w:b/>
          <w:spacing w:val="20"/>
        </w:rPr>
      </w:pPr>
      <w:r>
        <w:rPr>
          <w:rFonts w:asciiTheme="minorHAnsi" w:hAnsiTheme="minorHAnsi" w:cstheme="minorHAnsi"/>
          <w:b/>
          <w:spacing w:val="20"/>
        </w:rPr>
        <w:br w:type="page"/>
      </w:r>
    </w:p>
    <w:p w14:paraId="3E6B6CBB" w14:textId="77777777" w:rsidR="00A54CCC" w:rsidRPr="00CA6D8B" w:rsidRDefault="00A54CCC" w:rsidP="00774E8A">
      <w:pPr>
        <w:keepNext/>
        <w:spacing w:before="0" w:after="240"/>
        <w:jc w:val="center"/>
        <w:rPr>
          <w:rFonts w:asciiTheme="minorHAnsi" w:hAnsiTheme="minorHAnsi" w:cstheme="minorHAnsi"/>
          <w:b/>
          <w:spacing w:val="20"/>
          <w:sz w:val="28"/>
        </w:rPr>
      </w:pPr>
      <w:r w:rsidRPr="00CA6D8B">
        <w:rPr>
          <w:rFonts w:asciiTheme="minorHAnsi" w:hAnsiTheme="minorHAnsi" w:cstheme="minorHAnsi"/>
          <w:b/>
          <w:spacing w:val="20"/>
          <w:sz w:val="28"/>
        </w:rPr>
        <w:lastRenderedPageBreak/>
        <w:t>II. Informace o kontrolované oblasti</w:t>
      </w:r>
    </w:p>
    <w:bookmarkEnd w:id="1"/>
    <w:p w14:paraId="3A3718A0" w14:textId="77777777" w:rsidR="00403D62" w:rsidRDefault="00DD29E0" w:rsidP="00CA6D8B">
      <w:pPr>
        <w:spacing w:before="120" w:after="120"/>
        <w:rPr>
          <w:rFonts w:asciiTheme="minorHAnsi" w:eastAsiaTheme="minorEastAsia" w:hAnsiTheme="minorHAnsi" w:cstheme="minorHAnsi"/>
        </w:rPr>
      </w:pPr>
      <w:r w:rsidRPr="00DD29E0">
        <w:rPr>
          <w:rFonts w:asciiTheme="minorHAnsi" w:eastAsiaTheme="minorEastAsia" w:hAnsiTheme="minorHAnsi" w:cstheme="minorHAnsi"/>
        </w:rPr>
        <w:t>Podle zákona</w:t>
      </w:r>
      <w:r w:rsidR="00FD2CAD">
        <w:rPr>
          <w:rFonts w:asciiTheme="minorHAnsi" w:eastAsiaTheme="minorEastAsia" w:hAnsiTheme="minorHAnsi" w:cstheme="minorHAnsi"/>
        </w:rPr>
        <w:t xml:space="preserve"> o podpoře sportu</w:t>
      </w:r>
      <w:r w:rsidR="00FD2CAD">
        <w:rPr>
          <w:rStyle w:val="Znakapoznpodarou"/>
          <w:rFonts w:asciiTheme="minorHAnsi" w:eastAsiaTheme="minorEastAsia" w:hAnsiTheme="minorHAnsi" w:cstheme="minorHAnsi"/>
        </w:rPr>
        <w:footnoteReference w:id="18"/>
      </w:r>
      <w:r w:rsidRPr="00DD29E0">
        <w:rPr>
          <w:rFonts w:asciiTheme="minorHAnsi" w:eastAsiaTheme="minorEastAsia" w:hAnsiTheme="minorHAnsi" w:cstheme="minorHAnsi"/>
        </w:rPr>
        <w:t xml:space="preserve"> je hlavním významem podpory sportu a</w:t>
      </w:r>
      <w:r w:rsidR="00F6678D">
        <w:rPr>
          <w:rFonts w:asciiTheme="minorHAnsi" w:eastAsiaTheme="minorEastAsia" w:hAnsiTheme="minorHAnsi" w:cstheme="minorHAnsi"/>
        </w:rPr>
        <w:t> </w:t>
      </w:r>
      <w:r w:rsidRPr="00DD29E0">
        <w:rPr>
          <w:rFonts w:asciiTheme="minorHAnsi" w:eastAsiaTheme="minorEastAsia" w:hAnsiTheme="minorHAnsi" w:cstheme="minorHAnsi"/>
        </w:rPr>
        <w:t>turistiky zlepšování kvality života občanů a jejich zdraví ve všech věkových skupinách. Hlavními prioritami v oblasti sportu je podpora sportu dětí a mládeže a jejich trenérů a</w:t>
      </w:r>
      <w:r w:rsidR="00F6678D">
        <w:rPr>
          <w:rFonts w:asciiTheme="minorHAnsi" w:eastAsiaTheme="minorEastAsia" w:hAnsiTheme="minorHAnsi" w:cstheme="minorHAnsi"/>
        </w:rPr>
        <w:t> </w:t>
      </w:r>
      <w:r w:rsidRPr="00DD29E0">
        <w:rPr>
          <w:rFonts w:asciiTheme="minorHAnsi" w:eastAsiaTheme="minorEastAsia" w:hAnsiTheme="minorHAnsi" w:cstheme="minorHAnsi"/>
        </w:rPr>
        <w:t xml:space="preserve">podpora sportovních reprezentantů </w:t>
      </w:r>
      <w:r w:rsidR="00FD2CAD">
        <w:rPr>
          <w:rFonts w:asciiTheme="minorHAnsi" w:eastAsiaTheme="minorEastAsia" w:hAnsiTheme="minorHAnsi" w:cstheme="minorHAnsi"/>
        </w:rPr>
        <w:t>ČR</w:t>
      </w:r>
      <w:r w:rsidRPr="00DD29E0">
        <w:rPr>
          <w:rFonts w:asciiTheme="minorHAnsi" w:eastAsiaTheme="minorEastAsia" w:hAnsiTheme="minorHAnsi" w:cstheme="minorHAnsi"/>
        </w:rPr>
        <w:t>.</w:t>
      </w:r>
      <w:r w:rsidR="003F4B10">
        <w:rPr>
          <w:rFonts w:asciiTheme="minorHAnsi" w:eastAsiaTheme="minorEastAsia" w:hAnsiTheme="minorHAnsi" w:cstheme="minorHAnsi"/>
        </w:rPr>
        <w:t xml:space="preserve"> </w:t>
      </w:r>
      <w:r w:rsidR="00C56EE4">
        <w:rPr>
          <w:rFonts w:asciiTheme="minorHAnsi" w:eastAsiaTheme="minorEastAsia" w:hAnsiTheme="minorHAnsi" w:cstheme="minorHAnsi"/>
        </w:rPr>
        <w:t>Pro výkon působnosti v oblasti podpory sportu a sportovní reprezentace v ČR byla ke dni 1. 8. 2019 zřízena NSA. Před tímto datem a po přechodnou dobu po tomto datu vykonávalo působnost v uvedené oblasti nebo její části MŠMT</w:t>
      </w:r>
      <w:r w:rsidR="00C56EE4">
        <w:rPr>
          <w:rStyle w:val="Znakapoznpodarou"/>
          <w:rFonts w:asciiTheme="minorHAnsi" w:eastAsiaTheme="minorEastAsia" w:hAnsiTheme="minorHAnsi" w:cstheme="minorHAnsi"/>
        </w:rPr>
        <w:footnoteReference w:id="19"/>
      </w:r>
      <w:r w:rsidR="00C56EE4">
        <w:rPr>
          <w:rFonts w:asciiTheme="minorHAnsi" w:eastAsiaTheme="minorEastAsia" w:hAnsiTheme="minorHAnsi" w:cstheme="minorHAnsi"/>
        </w:rPr>
        <w:t xml:space="preserve">. </w:t>
      </w:r>
      <w:r w:rsidR="00EE76E2">
        <w:rPr>
          <w:rFonts w:asciiTheme="minorHAnsi" w:eastAsiaTheme="minorEastAsia" w:hAnsiTheme="minorHAnsi" w:cstheme="minorHAnsi"/>
        </w:rPr>
        <w:t>NSA v roce 2022 měla 77 systemizovaných míst. Průměrný přepočtený evid</w:t>
      </w:r>
      <w:r w:rsidR="001720E9">
        <w:rPr>
          <w:rFonts w:asciiTheme="minorHAnsi" w:eastAsiaTheme="minorEastAsia" w:hAnsiTheme="minorHAnsi" w:cstheme="minorHAnsi"/>
        </w:rPr>
        <w:t>enční</w:t>
      </w:r>
      <w:r w:rsidR="00EE76E2">
        <w:rPr>
          <w:rFonts w:asciiTheme="minorHAnsi" w:eastAsiaTheme="minorEastAsia" w:hAnsiTheme="minorHAnsi" w:cstheme="minorHAnsi"/>
        </w:rPr>
        <w:t xml:space="preserve"> </w:t>
      </w:r>
      <w:r w:rsidR="001720E9">
        <w:rPr>
          <w:rFonts w:asciiTheme="minorHAnsi" w:eastAsiaTheme="minorEastAsia" w:hAnsiTheme="minorHAnsi" w:cstheme="minorHAnsi"/>
        </w:rPr>
        <w:t xml:space="preserve">počet </w:t>
      </w:r>
      <w:r w:rsidR="00EE76E2">
        <w:rPr>
          <w:rFonts w:asciiTheme="minorHAnsi" w:eastAsiaTheme="minorEastAsia" w:hAnsiTheme="minorHAnsi" w:cstheme="minorHAnsi"/>
        </w:rPr>
        <w:t>zaměstnanců v roce 2022 byl 51, z nichž bylo 22</w:t>
      </w:r>
      <w:r w:rsidR="00F6678D">
        <w:rPr>
          <w:rFonts w:asciiTheme="minorHAnsi" w:eastAsiaTheme="minorEastAsia" w:hAnsiTheme="minorHAnsi" w:cstheme="minorHAnsi"/>
        </w:rPr>
        <w:t> </w:t>
      </w:r>
      <w:r w:rsidR="00EE76E2">
        <w:rPr>
          <w:rFonts w:asciiTheme="minorHAnsi" w:eastAsiaTheme="minorEastAsia" w:hAnsiTheme="minorHAnsi" w:cstheme="minorHAnsi"/>
        </w:rPr>
        <w:t>referentů.</w:t>
      </w:r>
    </w:p>
    <w:p w14:paraId="6EB89208" w14:textId="79946E9A" w:rsidR="00AA791C" w:rsidRDefault="00AA791C" w:rsidP="00CA6D8B">
      <w:pPr>
        <w:pStyle w:val="paragraph"/>
        <w:spacing w:before="120" w:beforeAutospacing="0" w:after="120" w:afterAutospacing="0"/>
        <w:jc w:val="both"/>
        <w:rPr>
          <w:rStyle w:val="eop"/>
          <w:rFonts w:asciiTheme="minorHAnsi" w:hAnsiTheme="minorHAnsi" w:cstheme="minorBidi"/>
        </w:rPr>
      </w:pPr>
      <w:r w:rsidRPr="75EB0935">
        <w:rPr>
          <w:rStyle w:val="eop"/>
          <w:rFonts w:asciiTheme="minorHAnsi" w:hAnsiTheme="minorHAnsi" w:cstheme="minorBidi"/>
        </w:rPr>
        <w:t xml:space="preserve">V </w:t>
      </w:r>
      <w:r w:rsidR="00FD2CAD">
        <w:rPr>
          <w:rStyle w:val="eop"/>
          <w:rFonts w:asciiTheme="minorHAnsi" w:hAnsiTheme="minorHAnsi" w:cstheme="minorBidi"/>
        </w:rPr>
        <w:t>ČR</w:t>
      </w:r>
      <w:r w:rsidRPr="75EB0935">
        <w:rPr>
          <w:rStyle w:val="eop"/>
          <w:rFonts w:asciiTheme="minorHAnsi" w:hAnsiTheme="minorHAnsi" w:cstheme="minorBidi"/>
        </w:rPr>
        <w:t xml:space="preserve"> jsou dotace ze státního rozpočtu do oblasti sportu rozděleny na investiční dotace a</w:t>
      </w:r>
      <w:r w:rsidR="00F6678D">
        <w:rPr>
          <w:rStyle w:val="eop"/>
          <w:rFonts w:asciiTheme="minorHAnsi" w:hAnsiTheme="minorHAnsi" w:cstheme="minorBidi"/>
        </w:rPr>
        <w:t> </w:t>
      </w:r>
      <w:r w:rsidRPr="75EB0935">
        <w:rPr>
          <w:rStyle w:val="eop"/>
          <w:rFonts w:asciiTheme="minorHAnsi" w:hAnsiTheme="minorHAnsi" w:cstheme="minorBidi"/>
        </w:rPr>
        <w:t xml:space="preserve">neinvestiční dotace. </w:t>
      </w:r>
      <w:r w:rsidR="003E6AD5">
        <w:rPr>
          <w:rStyle w:val="eop"/>
          <w:rFonts w:asciiTheme="minorHAnsi" w:hAnsiTheme="minorHAnsi" w:cstheme="minorBidi"/>
        </w:rPr>
        <w:t xml:space="preserve">V rejstříku sportu bylo ke dni 16. 8. 2023 zapsáno 14 228 sportovních organizací. </w:t>
      </w:r>
      <w:r w:rsidRPr="75EB0935">
        <w:rPr>
          <w:rStyle w:val="eop"/>
          <w:rFonts w:asciiTheme="minorHAnsi" w:hAnsiTheme="minorHAnsi" w:cstheme="minorBidi"/>
        </w:rPr>
        <w:t>Neinvestiční dotace jsou převážně poskytovány sportovním klubům</w:t>
      </w:r>
      <w:r w:rsidR="00EA2783">
        <w:rPr>
          <w:rStyle w:val="Znakapoznpodarou"/>
          <w:rFonts w:asciiTheme="minorHAnsi" w:hAnsiTheme="minorHAnsi" w:cstheme="minorBidi"/>
        </w:rPr>
        <w:footnoteReference w:id="20"/>
      </w:r>
      <w:r w:rsidRPr="75EB0935">
        <w:rPr>
          <w:rStyle w:val="eop"/>
          <w:rFonts w:asciiTheme="minorHAnsi" w:hAnsiTheme="minorHAnsi" w:cstheme="minorBidi"/>
        </w:rPr>
        <w:t xml:space="preserve"> plošně. Například každoročně vypisovaná neinvestiční výzva </w:t>
      </w:r>
      <w:r w:rsidRPr="00454BF8">
        <w:rPr>
          <w:rStyle w:val="eop"/>
          <w:rFonts w:asciiTheme="minorHAnsi" w:hAnsiTheme="minorHAnsi" w:cstheme="minorBidi"/>
          <w:i/>
        </w:rPr>
        <w:t xml:space="preserve">Můj klub </w:t>
      </w:r>
      <w:r w:rsidRPr="75EB0935">
        <w:rPr>
          <w:rStyle w:val="eop"/>
          <w:rFonts w:asciiTheme="minorHAnsi" w:hAnsiTheme="minorHAnsi" w:cstheme="minorBidi"/>
        </w:rPr>
        <w:t>zajišťuje oprávněným žadatelům pevnou částku za každého registrovaného sportovce klubu. Peněžní prostředky určené na neinvestiční dotace tvoří většinu z celkového množství peněžních prostředků ze</w:t>
      </w:r>
      <w:r w:rsidR="00E73464">
        <w:rPr>
          <w:rStyle w:val="eop"/>
          <w:rFonts w:asciiTheme="minorHAnsi" w:hAnsiTheme="minorHAnsi" w:cstheme="minorBidi"/>
        </w:rPr>
        <w:t xml:space="preserve"> </w:t>
      </w:r>
      <w:r w:rsidRPr="75EB0935">
        <w:rPr>
          <w:rStyle w:val="eop"/>
          <w:rFonts w:asciiTheme="minorHAnsi" w:hAnsiTheme="minorHAnsi" w:cstheme="minorBidi"/>
        </w:rPr>
        <w:t>státního rozpočtu poskytnutých do oblasti sportu. Investiční dotace jsou poskytovány jak</w:t>
      </w:r>
      <w:r w:rsidR="00E73464">
        <w:rPr>
          <w:rStyle w:val="eop"/>
          <w:rFonts w:asciiTheme="minorHAnsi" w:hAnsiTheme="minorHAnsi" w:cstheme="minorBidi"/>
        </w:rPr>
        <w:t xml:space="preserve"> </w:t>
      </w:r>
      <w:r w:rsidRPr="75EB0935">
        <w:rPr>
          <w:rStyle w:val="eop"/>
          <w:rFonts w:asciiTheme="minorHAnsi" w:hAnsiTheme="minorHAnsi" w:cstheme="minorBidi"/>
        </w:rPr>
        <w:t xml:space="preserve">sportovním klubům </w:t>
      </w:r>
      <w:r w:rsidR="00092D7C">
        <w:rPr>
          <w:rStyle w:val="eop"/>
          <w:rFonts w:asciiTheme="minorHAnsi" w:hAnsiTheme="minorHAnsi" w:cstheme="minorBidi"/>
        </w:rPr>
        <w:t>a </w:t>
      </w:r>
      <w:r w:rsidRPr="75EB0935">
        <w:rPr>
          <w:rStyle w:val="eop"/>
          <w:rFonts w:asciiTheme="minorHAnsi" w:hAnsiTheme="minorHAnsi" w:cstheme="minorBidi"/>
        </w:rPr>
        <w:t>svazům</w:t>
      </w:r>
      <w:r w:rsidR="00F85CAE">
        <w:rPr>
          <w:rStyle w:val="Znakapoznpodarou"/>
          <w:rFonts w:asciiTheme="minorHAnsi" w:hAnsiTheme="minorHAnsi" w:cstheme="minorBidi"/>
        </w:rPr>
        <w:footnoteReference w:id="21"/>
      </w:r>
      <w:r w:rsidR="00E57BF1">
        <w:rPr>
          <w:rStyle w:val="eop"/>
          <w:rFonts w:asciiTheme="minorHAnsi" w:hAnsiTheme="minorHAnsi" w:cstheme="minorBidi"/>
        </w:rPr>
        <w:t>,</w:t>
      </w:r>
      <w:r w:rsidRPr="75EB0935">
        <w:rPr>
          <w:rStyle w:val="eop"/>
          <w:rFonts w:asciiTheme="minorHAnsi" w:hAnsiTheme="minorHAnsi" w:cstheme="minorBidi"/>
        </w:rPr>
        <w:t xml:space="preserve"> tak i obcím a krajům. Prostřednictvím těchto dotací jsou budována nová sportoviště nebo rekonstruována stará sportoviště. </w:t>
      </w:r>
    </w:p>
    <w:p w14:paraId="39C729ED" w14:textId="63B02D71" w:rsidR="004067F1" w:rsidRPr="00BD0991" w:rsidRDefault="004067F1" w:rsidP="00CA6D8B">
      <w:pPr>
        <w:spacing w:before="120" w:after="120"/>
        <w:rPr>
          <w:rFonts w:asciiTheme="minorHAnsi" w:eastAsia="Calibri" w:hAnsiTheme="minorHAnsi" w:cstheme="minorBidi"/>
        </w:rPr>
      </w:pPr>
      <w:r w:rsidRPr="75EB0935">
        <w:rPr>
          <w:rFonts w:asciiTheme="minorHAnsi" w:eastAsia="Calibri" w:hAnsiTheme="minorHAnsi" w:cstheme="minorBidi"/>
        </w:rPr>
        <w:t>Přehled poskytnutých peněžních prostředků ze státního rozpočtu do oblasti sportu prostřednictvím dotací z kapitol MŠMT</w:t>
      </w:r>
      <w:r w:rsidR="006C188C">
        <w:rPr>
          <w:rFonts w:asciiTheme="minorHAnsi" w:eastAsia="Calibri" w:hAnsiTheme="minorHAnsi" w:cstheme="minorBidi"/>
        </w:rPr>
        <w:t xml:space="preserve"> za roky 2019 a 2020</w:t>
      </w:r>
      <w:r w:rsidRPr="75EB0935">
        <w:rPr>
          <w:rFonts w:asciiTheme="minorHAnsi" w:eastAsia="Calibri" w:hAnsiTheme="minorHAnsi" w:cstheme="minorBidi"/>
        </w:rPr>
        <w:t xml:space="preserve"> a NSA za roky 20</w:t>
      </w:r>
      <w:r w:rsidR="006C188C">
        <w:rPr>
          <w:rFonts w:asciiTheme="minorHAnsi" w:eastAsia="Calibri" w:hAnsiTheme="minorHAnsi" w:cstheme="minorBidi"/>
        </w:rPr>
        <w:t>20</w:t>
      </w:r>
      <w:r w:rsidRPr="75EB0935">
        <w:rPr>
          <w:rFonts w:asciiTheme="minorHAnsi" w:eastAsia="Calibri" w:hAnsiTheme="minorHAnsi" w:cstheme="minorBidi"/>
        </w:rPr>
        <w:t xml:space="preserve"> až 2022</w:t>
      </w:r>
      <w:r w:rsidR="001720E9">
        <w:rPr>
          <w:rFonts w:asciiTheme="minorHAnsi" w:eastAsia="Calibri" w:hAnsiTheme="minorHAnsi" w:cstheme="minorBidi"/>
        </w:rPr>
        <w:t>, které byly podrobeny kontrole,</w:t>
      </w:r>
      <w:r w:rsidRPr="75EB0935">
        <w:rPr>
          <w:rFonts w:asciiTheme="minorHAnsi" w:eastAsia="Calibri" w:hAnsiTheme="minorHAnsi" w:cstheme="minorBidi"/>
        </w:rPr>
        <w:t xml:space="preserve"> uvádí tabulka č. 1</w:t>
      </w:r>
      <w:r w:rsidR="00E57BF1">
        <w:rPr>
          <w:rFonts w:asciiTheme="minorHAnsi" w:eastAsia="Calibri" w:hAnsiTheme="minorHAnsi" w:cstheme="minorBidi"/>
        </w:rPr>
        <w:t>.</w:t>
      </w:r>
    </w:p>
    <w:p w14:paraId="28A04E07" w14:textId="6CA45F9E" w:rsidR="004067F1" w:rsidRPr="002B1527" w:rsidRDefault="004067F1" w:rsidP="00CA6D8B">
      <w:pPr>
        <w:spacing w:after="40"/>
        <w:rPr>
          <w:rFonts w:eastAsia="Calibri"/>
          <w:b/>
          <w:bCs/>
        </w:rPr>
      </w:pPr>
      <w:r w:rsidRPr="002B1527">
        <w:rPr>
          <w:rFonts w:eastAsia="Calibri"/>
          <w:b/>
          <w:bCs/>
        </w:rPr>
        <w:t>Tabulka č. 1</w:t>
      </w:r>
      <w:r w:rsidR="00706135">
        <w:rPr>
          <w:rFonts w:eastAsia="Calibri"/>
          <w:b/>
          <w:bCs/>
        </w:rPr>
        <w:t>:</w:t>
      </w:r>
      <w:r w:rsidRPr="002B1527">
        <w:rPr>
          <w:rFonts w:eastAsia="Calibri"/>
          <w:b/>
          <w:bCs/>
        </w:rPr>
        <w:t xml:space="preserve"> </w:t>
      </w:r>
      <w:r w:rsidR="006C188C">
        <w:rPr>
          <w:rFonts w:eastAsia="Calibri"/>
          <w:b/>
          <w:bCs/>
        </w:rPr>
        <w:t>Vyplacené</w:t>
      </w:r>
      <w:r w:rsidR="001720E9">
        <w:rPr>
          <w:rFonts w:eastAsia="Calibri"/>
          <w:b/>
          <w:bCs/>
        </w:rPr>
        <w:t xml:space="preserve"> </w:t>
      </w:r>
      <w:r w:rsidRPr="002B1527">
        <w:rPr>
          <w:rFonts w:eastAsia="Calibri"/>
          <w:b/>
          <w:bCs/>
        </w:rPr>
        <w:t>peněžní prostředky do oblasti sportu</w:t>
      </w:r>
      <w:r w:rsidR="006C188C">
        <w:rPr>
          <w:rStyle w:val="Znakapoznpodarou"/>
          <w:rFonts w:eastAsia="Calibri"/>
          <w:b/>
          <w:bCs/>
        </w:rPr>
        <w:footnoteReference w:id="22"/>
      </w:r>
      <w:r w:rsidRPr="002B1527">
        <w:rPr>
          <w:rFonts w:eastAsia="Calibri"/>
          <w:b/>
          <w:bCs/>
        </w:rPr>
        <w:t xml:space="preserve"> (v tis. Kč)</w:t>
      </w:r>
    </w:p>
    <w:tbl>
      <w:tblPr>
        <w:tblW w:w="4852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5"/>
        <w:gridCol w:w="1758"/>
        <w:gridCol w:w="1758"/>
        <w:gridCol w:w="1758"/>
        <w:gridCol w:w="1754"/>
      </w:tblGrid>
      <w:tr w:rsidR="004067F1" w:rsidRPr="00CA6D8B" w14:paraId="088BA8B2" w14:textId="77777777" w:rsidTr="00E73464">
        <w:trPr>
          <w:trHeight w:hRule="exact" w:val="255"/>
          <w:jc w:val="center"/>
        </w:trPr>
        <w:tc>
          <w:tcPr>
            <w:tcW w:w="1102" w:type="pct"/>
            <w:shd w:val="clear" w:color="auto" w:fill="E5F1FF"/>
            <w:vAlign w:val="center"/>
          </w:tcPr>
          <w:p w14:paraId="28DE2FB9" w14:textId="77777777" w:rsidR="00D078A3" w:rsidRPr="00CA6D8B" w:rsidRDefault="00D078A3" w:rsidP="00D078A3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E5F1FF"/>
            <w:vAlign w:val="center"/>
          </w:tcPr>
          <w:p w14:paraId="6ED98320" w14:textId="77777777" w:rsidR="004067F1" w:rsidRPr="00CA6D8B" w:rsidRDefault="004067F1" w:rsidP="00D078A3">
            <w:pPr>
              <w:spacing w:before="0"/>
              <w:jc w:val="center"/>
              <w:rPr>
                <w:sz w:val="20"/>
                <w:szCs w:val="20"/>
              </w:rPr>
            </w:pPr>
            <w:r w:rsidRPr="00CA6D8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75" w:type="pct"/>
            <w:shd w:val="clear" w:color="auto" w:fill="E5F1FF"/>
            <w:vAlign w:val="center"/>
          </w:tcPr>
          <w:p w14:paraId="2988684C" w14:textId="77777777" w:rsidR="004067F1" w:rsidRPr="00CA6D8B" w:rsidRDefault="004067F1" w:rsidP="00D078A3">
            <w:pPr>
              <w:spacing w:before="0"/>
              <w:jc w:val="center"/>
              <w:rPr>
                <w:sz w:val="20"/>
                <w:szCs w:val="20"/>
              </w:rPr>
            </w:pPr>
            <w:r w:rsidRPr="00CA6D8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2020</w:t>
            </w:r>
            <w:r w:rsidRPr="00CA6D8B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5" w:type="pct"/>
            <w:shd w:val="clear" w:color="auto" w:fill="E5F1FF"/>
            <w:vAlign w:val="center"/>
          </w:tcPr>
          <w:p w14:paraId="7116073E" w14:textId="77777777" w:rsidR="004067F1" w:rsidRPr="00CA6D8B" w:rsidRDefault="004067F1" w:rsidP="00D078A3">
            <w:pPr>
              <w:spacing w:before="0"/>
              <w:jc w:val="center"/>
              <w:rPr>
                <w:sz w:val="20"/>
                <w:szCs w:val="20"/>
              </w:rPr>
            </w:pPr>
            <w:r w:rsidRPr="00CA6D8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Pr="00CA6D8B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75" w:type="pct"/>
            <w:shd w:val="clear" w:color="auto" w:fill="E5F1FF"/>
            <w:vAlign w:val="center"/>
          </w:tcPr>
          <w:p w14:paraId="7520DB58" w14:textId="77777777" w:rsidR="004067F1" w:rsidRPr="00CA6D8B" w:rsidRDefault="004067F1" w:rsidP="00D078A3">
            <w:pPr>
              <w:spacing w:before="0"/>
              <w:jc w:val="center"/>
              <w:rPr>
                <w:sz w:val="20"/>
                <w:szCs w:val="20"/>
              </w:rPr>
            </w:pPr>
            <w:r w:rsidRPr="00CA6D8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4067F1" w:rsidRPr="00CA6D8B" w14:paraId="6F9C9268" w14:textId="77777777" w:rsidTr="00E73464">
        <w:trPr>
          <w:trHeight w:hRule="exact" w:val="255"/>
          <w:jc w:val="center"/>
        </w:trPr>
        <w:tc>
          <w:tcPr>
            <w:tcW w:w="1102" w:type="pct"/>
            <w:vAlign w:val="center"/>
          </w:tcPr>
          <w:p w14:paraId="70D37387" w14:textId="77777777" w:rsidR="004067F1" w:rsidRPr="00CA6D8B" w:rsidRDefault="004067F1" w:rsidP="00D078A3">
            <w:pPr>
              <w:spacing w:before="0"/>
              <w:rPr>
                <w:sz w:val="20"/>
                <w:szCs w:val="20"/>
              </w:rPr>
            </w:pPr>
            <w:r w:rsidRPr="00CA6D8B">
              <w:rPr>
                <w:rFonts w:eastAsia="Calibri"/>
                <w:b/>
                <w:bCs/>
                <w:sz w:val="20"/>
                <w:szCs w:val="20"/>
              </w:rPr>
              <w:t>MŠMT</w:t>
            </w:r>
          </w:p>
        </w:tc>
        <w:tc>
          <w:tcPr>
            <w:tcW w:w="975" w:type="pct"/>
            <w:vAlign w:val="center"/>
          </w:tcPr>
          <w:p w14:paraId="7B03EB17" w14:textId="77777777" w:rsidR="004067F1" w:rsidRPr="00CA6D8B" w:rsidRDefault="004067F1" w:rsidP="00D078A3">
            <w:pPr>
              <w:spacing w:before="0"/>
              <w:jc w:val="center"/>
              <w:rPr>
                <w:sz w:val="20"/>
                <w:szCs w:val="20"/>
              </w:rPr>
            </w:pPr>
            <w:r w:rsidRPr="00CA6D8B">
              <w:rPr>
                <w:rFonts w:eastAsia="Calibri"/>
                <w:sz w:val="20"/>
                <w:szCs w:val="20"/>
              </w:rPr>
              <w:t>6 363 520,75</w:t>
            </w:r>
          </w:p>
        </w:tc>
        <w:tc>
          <w:tcPr>
            <w:tcW w:w="975" w:type="pct"/>
            <w:vAlign w:val="center"/>
          </w:tcPr>
          <w:p w14:paraId="605EC4AB" w14:textId="77777777" w:rsidR="004067F1" w:rsidRPr="00CA6D8B" w:rsidRDefault="004067F1" w:rsidP="00E73464">
            <w:pPr>
              <w:spacing w:before="0"/>
              <w:ind w:right="57"/>
              <w:jc w:val="right"/>
              <w:rPr>
                <w:sz w:val="20"/>
                <w:szCs w:val="20"/>
              </w:rPr>
            </w:pPr>
            <w:r w:rsidRPr="00CA6D8B">
              <w:rPr>
                <w:rFonts w:eastAsia="Calibri"/>
                <w:sz w:val="20"/>
                <w:szCs w:val="20"/>
              </w:rPr>
              <w:t>6 967 286,51</w:t>
            </w:r>
          </w:p>
        </w:tc>
        <w:tc>
          <w:tcPr>
            <w:tcW w:w="975" w:type="pct"/>
            <w:vAlign w:val="center"/>
          </w:tcPr>
          <w:p w14:paraId="2EABC2F1" w14:textId="77777777" w:rsidR="004067F1" w:rsidRPr="00CA6D8B" w:rsidRDefault="004067F1" w:rsidP="00D078A3">
            <w:pPr>
              <w:spacing w:before="0"/>
              <w:jc w:val="center"/>
              <w:rPr>
                <w:sz w:val="20"/>
                <w:szCs w:val="20"/>
              </w:rPr>
            </w:pPr>
            <w:r w:rsidRPr="00CA6D8B">
              <w:rPr>
                <w:rFonts w:eastAsia="Segoe UI"/>
                <w:sz w:val="20"/>
                <w:szCs w:val="20"/>
              </w:rPr>
              <w:t xml:space="preserve"> -</w:t>
            </w:r>
          </w:p>
        </w:tc>
        <w:tc>
          <w:tcPr>
            <w:tcW w:w="975" w:type="pct"/>
            <w:vAlign w:val="center"/>
          </w:tcPr>
          <w:p w14:paraId="0E6263D5" w14:textId="77777777" w:rsidR="004067F1" w:rsidRPr="00CA6D8B" w:rsidRDefault="004067F1" w:rsidP="00D078A3">
            <w:pPr>
              <w:spacing w:before="0"/>
              <w:jc w:val="center"/>
              <w:rPr>
                <w:sz w:val="20"/>
                <w:szCs w:val="20"/>
              </w:rPr>
            </w:pPr>
            <w:r w:rsidRPr="00CA6D8B">
              <w:rPr>
                <w:rFonts w:eastAsia="Segoe UI"/>
                <w:sz w:val="20"/>
                <w:szCs w:val="20"/>
              </w:rPr>
              <w:t xml:space="preserve"> -</w:t>
            </w:r>
          </w:p>
        </w:tc>
      </w:tr>
      <w:tr w:rsidR="004067F1" w:rsidRPr="00CA6D8B" w14:paraId="0CEC1388" w14:textId="77777777" w:rsidTr="00E73464">
        <w:trPr>
          <w:trHeight w:hRule="exact" w:val="255"/>
          <w:jc w:val="center"/>
        </w:trPr>
        <w:tc>
          <w:tcPr>
            <w:tcW w:w="1102" w:type="pct"/>
            <w:vAlign w:val="center"/>
          </w:tcPr>
          <w:p w14:paraId="64A98A2D" w14:textId="77777777" w:rsidR="004067F1" w:rsidRPr="00CA6D8B" w:rsidRDefault="004067F1" w:rsidP="00D078A3">
            <w:pPr>
              <w:spacing w:before="0"/>
              <w:rPr>
                <w:sz w:val="20"/>
                <w:szCs w:val="20"/>
              </w:rPr>
            </w:pPr>
            <w:r w:rsidRPr="00CA6D8B">
              <w:rPr>
                <w:rFonts w:eastAsia="Calibri"/>
                <w:b/>
                <w:bCs/>
                <w:sz w:val="20"/>
                <w:szCs w:val="20"/>
              </w:rPr>
              <w:t>NSA</w:t>
            </w:r>
          </w:p>
        </w:tc>
        <w:tc>
          <w:tcPr>
            <w:tcW w:w="975" w:type="pct"/>
            <w:vAlign w:val="center"/>
          </w:tcPr>
          <w:p w14:paraId="5726DDDA" w14:textId="77777777" w:rsidR="004067F1" w:rsidRPr="00CA6D8B" w:rsidRDefault="004067F1" w:rsidP="00D078A3">
            <w:pPr>
              <w:spacing w:before="0"/>
              <w:jc w:val="center"/>
              <w:rPr>
                <w:sz w:val="20"/>
                <w:szCs w:val="20"/>
              </w:rPr>
            </w:pPr>
            <w:r w:rsidRPr="00CA6D8B">
              <w:rPr>
                <w:rFonts w:eastAsia="Calibri"/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975" w:type="pct"/>
            <w:vAlign w:val="center"/>
          </w:tcPr>
          <w:p w14:paraId="0919D78E" w14:textId="77777777" w:rsidR="004067F1" w:rsidRPr="00CA6D8B" w:rsidRDefault="004067F1" w:rsidP="00E73464">
            <w:pPr>
              <w:spacing w:before="0"/>
              <w:ind w:right="57"/>
              <w:jc w:val="right"/>
              <w:rPr>
                <w:sz w:val="20"/>
                <w:szCs w:val="20"/>
              </w:rPr>
            </w:pPr>
            <w:r w:rsidRPr="00CA6D8B">
              <w:rPr>
                <w:rFonts w:eastAsia="Calibri"/>
                <w:color w:val="000000" w:themeColor="text1"/>
                <w:sz w:val="20"/>
                <w:szCs w:val="20"/>
              </w:rPr>
              <w:t>136 203,62</w:t>
            </w:r>
          </w:p>
        </w:tc>
        <w:tc>
          <w:tcPr>
            <w:tcW w:w="975" w:type="pct"/>
            <w:vAlign w:val="center"/>
          </w:tcPr>
          <w:p w14:paraId="3F6F1084" w14:textId="77777777" w:rsidR="004067F1" w:rsidRPr="00CA6D8B" w:rsidRDefault="004067F1" w:rsidP="00D078A3">
            <w:pPr>
              <w:spacing w:before="0"/>
              <w:jc w:val="center"/>
              <w:rPr>
                <w:sz w:val="20"/>
                <w:szCs w:val="20"/>
              </w:rPr>
            </w:pPr>
            <w:r w:rsidRPr="00CA6D8B">
              <w:rPr>
                <w:rFonts w:eastAsia="Calibri"/>
                <w:color w:val="000000" w:themeColor="text1"/>
                <w:sz w:val="20"/>
                <w:szCs w:val="20"/>
              </w:rPr>
              <w:t>6 000 164,05</w:t>
            </w:r>
          </w:p>
        </w:tc>
        <w:tc>
          <w:tcPr>
            <w:tcW w:w="975" w:type="pct"/>
            <w:vAlign w:val="center"/>
          </w:tcPr>
          <w:p w14:paraId="22D97F0E" w14:textId="77777777" w:rsidR="004067F1" w:rsidRPr="00CA6D8B" w:rsidRDefault="004067F1" w:rsidP="00D078A3">
            <w:pPr>
              <w:spacing w:before="0"/>
              <w:jc w:val="center"/>
              <w:rPr>
                <w:sz w:val="20"/>
                <w:szCs w:val="20"/>
              </w:rPr>
            </w:pPr>
            <w:r w:rsidRPr="00CA6D8B">
              <w:rPr>
                <w:rFonts w:eastAsia="Calibri"/>
                <w:color w:val="000000" w:themeColor="text1"/>
                <w:sz w:val="20"/>
                <w:szCs w:val="20"/>
              </w:rPr>
              <w:t>6 988 615,18</w:t>
            </w:r>
          </w:p>
        </w:tc>
      </w:tr>
    </w:tbl>
    <w:p w14:paraId="57B5FAE8" w14:textId="7102F984" w:rsidR="004067F1" w:rsidRDefault="004067F1" w:rsidP="00E73464">
      <w:pPr>
        <w:spacing w:before="40" w:after="120"/>
        <w:rPr>
          <w:rFonts w:eastAsia="Calibri"/>
          <w:sz w:val="20"/>
          <w:szCs w:val="20"/>
        </w:rPr>
      </w:pPr>
      <w:r w:rsidRPr="002B1527">
        <w:rPr>
          <w:rFonts w:eastAsia="Calibri"/>
          <w:b/>
          <w:sz w:val="20"/>
          <w:szCs w:val="20"/>
        </w:rPr>
        <w:t>Zdroj</w:t>
      </w:r>
      <w:r w:rsidRPr="75EB0935">
        <w:rPr>
          <w:rFonts w:eastAsia="Calibri"/>
          <w:sz w:val="20"/>
          <w:szCs w:val="20"/>
        </w:rPr>
        <w:t xml:space="preserve">: vypracoval NKÚ na základě dat ze </w:t>
      </w:r>
      <w:r w:rsidR="00706135">
        <w:rPr>
          <w:rFonts w:eastAsia="Calibri"/>
          <w:sz w:val="20"/>
          <w:szCs w:val="20"/>
        </w:rPr>
        <w:t>z</w:t>
      </w:r>
      <w:r w:rsidRPr="75EB0935">
        <w:rPr>
          <w:rFonts w:eastAsia="Calibri"/>
          <w:sz w:val="20"/>
          <w:szCs w:val="20"/>
        </w:rPr>
        <w:t>ávěrečných účtů kapitol 333 a 362 za roky 2019</w:t>
      </w:r>
      <w:r w:rsidR="00706135">
        <w:rPr>
          <w:rFonts w:eastAsia="Calibri"/>
          <w:sz w:val="20"/>
          <w:szCs w:val="20"/>
        </w:rPr>
        <w:t>−</w:t>
      </w:r>
      <w:r w:rsidRPr="75EB0935">
        <w:rPr>
          <w:rFonts w:eastAsia="Calibri"/>
          <w:sz w:val="20"/>
          <w:szCs w:val="20"/>
        </w:rPr>
        <w:t>202</w:t>
      </w:r>
      <w:r w:rsidR="001720E9">
        <w:rPr>
          <w:rFonts w:eastAsia="Calibri"/>
          <w:sz w:val="20"/>
          <w:szCs w:val="20"/>
        </w:rPr>
        <w:t>2</w:t>
      </w:r>
      <w:r w:rsidR="00BE7D3B">
        <w:rPr>
          <w:rFonts w:eastAsia="Calibri"/>
          <w:sz w:val="20"/>
          <w:szCs w:val="20"/>
        </w:rPr>
        <w:t>.</w:t>
      </w:r>
    </w:p>
    <w:p w14:paraId="7B678074" w14:textId="77777777" w:rsidR="00AA318B" w:rsidRPr="005B2422" w:rsidRDefault="00AA318B" w:rsidP="002A5F63">
      <w:pPr>
        <w:spacing w:before="120"/>
        <w:rPr>
          <w:rFonts w:eastAsiaTheme="minorHAnsi"/>
          <w:sz w:val="20"/>
          <w:szCs w:val="20"/>
          <w:lang w:eastAsia="en-US"/>
        </w:rPr>
      </w:pPr>
      <w:r w:rsidRPr="00D517A3">
        <w:rPr>
          <w:rFonts w:asciiTheme="minorHAnsi" w:hAnsiTheme="minorHAnsi" w:cstheme="minorBidi"/>
          <w:bCs/>
        </w:rPr>
        <w:t>N</w:t>
      </w:r>
      <w:r w:rsidRPr="00D517A3">
        <w:rPr>
          <w:rFonts w:eastAsia="Calibri"/>
          <w:bCs/>
        </w:rPr>
        <w:t xml:space="preserve">a oblast podpory sportu vynakládaly </w:t>
      </w:r>
      <w:r>
        <w:rPr>
          <w:rFonts w:eastAsia="Calibri"/>
          <w:bCs/>
        </w:rPr>
        <w:t>MŠMT a NSA</w:t>
      </w:r>
      <w:r w:rsidRPr="00D517A3">
        <w:rPr>
          <w:rFonts w:eastAsia="Calibri"/>
          <w:bCs/>
        </w:rPr>
        <w:t xml:space="preserve"> v letech 201</w:t>
      </w:r>
      <w:r w:rsidR="00E94D01">
        <w:rPr>
          <w:rFonts w:eastAsia="Calibri"/>
          <w:bCs/>
        </w:rPr>
        <w:t>9</w:t>
      </w:r>
      <w:r w:rsidRPr="00D517A3">
        <w:rPr>
          <w:rFonts w:eastAsia="Calibri"/>
          <w:bCs/>
        </w:rPr>
        <w:t xml:space="preserve"> až 2022 ročně v průměru cca 0,38 % výdajů státního rozpočtu. </w:t>
      </w:r>
    </w:p>
    <w:p w14:paraId="4CB7CABD" w14:textId="77777777" w:rsidR="00F325AD" w:rsidRPr="00BD0991" w:rsidRDefault="00F325AD" w:rsidP="00CA6D8B">
      <w:pPr>
        <w:pStyle w:val="paragraph"/>
        <w:keepNext/>
        <w:spacing w:before="240" w:beforeAutospacing="0" w:after="12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BD0991">
        <w:rPr>
          <w:rStyle w:val="normaltextrun"/>
          <w:rFonts w:asciiTheme="minorHAnsi" w:hAnsiTheme="minorHAnsi" w:cstheme="minorHAnsi"/>
          <w:b/>
          <w:bCs/>
        </w:rPr>
        <w:lastRenderedPageBreak/>
        <w:t>Ministerstvo školství, mládeže a tělovýchovy</w:t>
      </w:r>
    </w:p>
    <w:p w14:paraId="41E9A461" w14:textId="1A2B28C7" w:rsidR="00F325AD" w:rsidRPr="00BD0991" w:rsidRDefault="00403D62" w:rsidP="00BD0991">
      <w:pPr>
        <w:spacing w:before="120"/>
        <w:rPr>
          <w:rStyle w:val="eop"/>
          <w:rFonts w:asciiTheme="minorHAnsi" w:hAnsiTheme="minorHAnsi" w:cstheme="minorHAnsi"/>
        </w:rPr>
      </w:pPr>
      <w:r w:rsidRPr="00BD0991">
        <w:rPr>
          <w:rStyle w:val="eop"/>
          <w:rFonts w:asciiTheme="minorHAnsi" w:hAnsiTheme="minorHAnsi" w:cstheme="minorHAnsi"/>
          <w:lang w:eastAsia="cs-CZ"/>
        </w:rPr>
        <w:t xml:space="preserve">MŠMT je ústředním orgánem státní správy a </w:t>
      </w:r>
      <w:r w:rsidR="00F325AD" w:rsidRPr="00BD0991">
        <w:rPr>
          <w:rStyle w:val="eop"/>
          <w:rFonts w:asciiTheme="minorHAnsi" w:hAnsiTheme="minorHAnsi" w:cstheme="minorHAnsi"/>
          <w:lang w:eastAsia="cs-CZ"/>
        </w:rPr>
        <w:t>vykonávalo působnost</w:t>
      </w:r>
      <w:r w:rsidRPr="00BD0991">
        <w:rPr>
          <w:rStyle w:val="eop"/>
          <w:rFonts w:asciiTheme="minorHAnsi" w:hAnsiTheme="minorHAnsi" w:cstheme="minorHAnsi"/>
          <w:lang w:eastAsia="cs-CZ"/>
        </w:rPr>
        <w:t xml:space="preserve"> </w:t>
      </w:r>
      <w:r w:rsidR="00F325AD" w:rsidRPr="00BD0991">
        <w:rPr>
          <w:rStyle w:val="eop"/>
          <w:rFonts w:asciiTheme="minorHAnsi" w:hAnsiTheme="minorHAnsi" w:cstheme="minorHAnsi"/>
          <w:lang w:eastAsia="cs-CZ"/>
        </w:rPr>
        <w:t>v oblasti státní podpory sportu</w:t>
      </w:r>
      <w:r w:rsidR="00182278" w:rsidRPr="00BD0991">
        <w:rPr>
          <w:rStyle w:val="eop"/>
          <w:rFonts w:asciiTheme="minorHAnsi" w:hAnsiTheme="minorHAnsi" w:cstheme="minorHAnsi"/>
          <w:lang w:eastAsia="cs-CZ"/>
        </w:rPr>
        <w:t>,</w:t>
      </w:r>
      <w:r w:rsidR="00F325AD" w:rsidRPr="00BD0991">
        <w:rPr>
          <w:rStyle w:val="eop"/>
          <w:rFonts w:asciiTheme="minorHAnsi" w:hAnsiTheme="minorHAnsi" w:cstheme="minorHAnsi"/>
          <w:lang w:eastAsia="cs-CZ"/>
        </w:rPr>
        <w:t xml:space="preserve"> </w:t>
      </w:r>
      <w:r w:rsidR="00C25C9C" w:rsidRPr="00BD0991">
        <w:rPr>
          <w:rStyle w:val="eop"/>
          <w:rFonts w:asciiTheme="minorHAnsi" w:hAnsiTheme="minorHAnsi" w:cstheme="minorHAnsi"/>
          <w:lang w:eastAsia="cs-CZ"/>
        </w:rPr>
        <w:t xml:space="preserve">v souladu s přechodnými ustanoveními </w:t>
      </w:r>
      <w:r w:rsidR="00FD2CAD">
        <w:rPr>
          <w:rStyle w:val="eop"/>
          <w:rFonts w:asciiTheme="minorHAnsi" w:hAnsiTheme="minorHAnsi" w:cstheme="minorHAnsi"/>
          <w:lang w:eastAsia="cs-CZ"/>
        </w:rPr>
        <w:t>novely zákona o podpoře sportu</w:t>
      </w:r>
      <w:r w:rsidR="00BD1737">
        <w:rPr>
          <w:rStyle w:val="Znakapoznpodarou"/>
          <w:rFonts w:asciiTheme="minorHAnsi" w:hAnsiTheme="minorHAnsi" w:cstheme="minorHAnsi"/>
          <w:lang w:eastAsia="cs-CZ"/>
        </w:rPr>
        <w:footnoteReference w:id="23"/>
      </w:r>
      <w:r w:rsidR="001F11CB">
        <w:rPr>
          <w:rStyle w:val="eop"/>
          <w:rFonts w:asciiTheme="minorHAnsi" w:hAnsiTheme="minorHAnsi" w:cstheme="minorHAnsi"/>
          <w:lang w:eastAsia="cs-CZ"/>
        </w:rPr>
        <w:t>,</w:t>
      </w:r>
      <w:r w:rsidR="0003326E">
        <w:rPr>
          <w:rStyle w:val="eop"/>
          <w:rFonts w:asciiTheme="minorHAnsi" w:hAnsiTheme="minorHAnsi" w:cstheme="minorHAnsi"/>
          <w:lang w:eastAsia="cs-CZ"/>
        </w:rPr>
        <w:t xml:space="preserve"> </w:t>
      </w:r>
      <w:r w:rsidR="00F325AD" w:rsidRPr="00BD0991">
        <w:rPr>
          <w:rStyle w:val="eop"/>
          <w:rFonts w:asciiTheme="minorHAnsi" w:hAnsiTheme="minorHAnsi" w:cstheme="minorHAnsi"/>
          <w:lang w:eastAsia="cs-CZ"/>
        </w:rPr>
        <w:t>do konce roku 20</w:t>
      </w:r>
      <w:r w:rsidR="000B1BA8">
        <w:rPr>
          <w:rStyle w:val="eop"/>
          <w:rFonts w:asciiTheme="minorHAnsi" w:hAnsiTheme="minorHAnsi" w:cstheme="minorHAnsi"/>
          <w:lang w:eastAsia="cs-CZ"/>
        </w:rPr>
        <w:t>20</w:t>
      </w:r>
      <w:r w:rsidR="00F325AD" w:rsidRPr="00BD0991">
        <w:rPr>
          <w:rStyle w:val="eop"/>
          <w:rFonts w:asciiTheme="minorHAnsi" w:hAnsiTheme="minorHAnsi" w:cstheme="minorHAnsi"/>
          <w:lang w:eastAsia="cs-CZ"/>
        </w:rPr>
        <w:t>.</w:t>
      </w:r>
      <w:r w:rsidRPr="00BD0991">
        <w:rPr>
          <w:rStyle w:val="eop"/>
          <w:rFonts w:asciiTheme="minorHAnsi" w:hAnsiTheme="minorHAnsi" w:cstheme="minorHAnsi"/>
          <w:lang w:eastAsia="cs-CZ"/>
        </w:rPr>
        <w:t xml:space="preserve"> </w:t>
      </w:r>
      <w:r w:rsidR="00F325AD" w:rsidRPr="00BD0991">
        <w:rPr>
          <w:rStyle w:val="eop"/>
          <w:rFonts w:asciiTheme="minorHAnsi" w:hAnsiTheme="minorHAnsi" w:cstheme="minorHAnsi"/>
          <w:lang w:eastAsia="cs-CZ"/>
        </w:rPr>
        <w:t xml:space="preserve">V roce 2020 </w:t>
      </w:r>
      <w:r w:rsidR="5AC45EAF" w:rsidRPr="00BD0991">
        <w:rPr>
          <w:rStyle w:val="eop"/>
          <w:rFonts w:asciiTheme="minorHAnsi" w:hAnsiTheme="minorHAnsi" w:cstheme="minorHAnsi"/>
          <w:lang w:eastAsia="cs-CZ"/>
        </w:rPr>
        <w:t xml:space="preserve">poskytovalo finanční podporu </w:t>
      </w:r>
      <w:r w:rsidR="000B1BA8">
        <w:rPr>
          <w:rStyle w:val="eop"/>
          <w:rFonts w:asciiTheme="minorHAnsi" w:hAnsiTheme="minorHAnsi" w:cstheme="minorHAnsi"/>
          <w:lang w:eastAsia="cs-CZ"/>
        </w:rPr>
        <w:t xml:space="preserve">do oblasti </w:t>
      </w:r>
      <w:r w:rsidR="5AC45EAF" w:rsidRPr="00BD0991">
        <w:rPr>
          <w:rStyle w:val="eop"/>
          <w:rFonts w:asciiTheme="minorHAnsi" w:hAnsiTheme="minorHAnsi" w:cstheme="minorHAnsi"/>
          <w:lang w:eastAsia="cs-CZ"/>
        </w:rPr>
        <w:t xml:space="preserve">sportu (s výjimkou vyhlášení </w:t>
      </w:r>
      <w:r w:rsidR="004C3E08">
        <w:rPr>
          <w:rStyle w:val="eop"/>
          <w:rFonts w:asciiTheme="minorHAnsi" w:hAnsiTheme="minorHAnsi" w:cstheme="minorHAnsi"/>
          <w:lang w:eastAsia="cs-CZ"/>
        </w:rPr>
        <w:t xml:space="preserve">nových </w:t>
      </w:r>
      <w:r w:rsidR="5AC45EAF" w:rsidRPr="00BD0991">
        <w:rPr>
          <w:rStyle w:val="eop"/>
          <w:rFonts w:asciiTheme="minorHAnsi" w:hAnsiTheme="minorHAnsi" w:cstheme="minorHAnsi"/>
          <w:lang w:eastAsia="cs-CZ"/>
        </w:rPr>
        <w:t>výzev) a</w:t>
      </w:r>
      <w:r w:rsidR="00F6678D">
        <w:rPr>
          <w:rStyle w:val="eop"/>
          <w:rFonts w:asciiTheme="minorHAnsi" w:hAnsiTheme="minorHAnsi" w:cstheme="minorHAnsi"/>
          <w:lang w:eastAsia="cs-CZ"/>
        </w:rPr>
        <w:t> </w:t>
      </w:r>
      <w:r w:rsidR="5AC45EAF" w:rsidRPr="00BD0991">
        <w:rPr>
          <w:rStyle w:val="eop"/>
          <w:rFonts w:asciiTheme="minorHAnsi" w:hAnsiTheme="minorHAnsi" w:cstheme="minorHAnsi"/>
          <w:lang w:eastAsia="cs-CZ"/>
        </w:rPr>
        <w:t>kontrol</w:t>
      </w:r>
      <w:r w:rsidR="000B1BA8">
        <w:rPr>
          <w:rStyle w:val="eop"/>
          <w:rFonts w:asciiTheme="minorHAnsi" w:hAnsiTheme="minorHAnsi" w:cstheme="minorHAnsi"/>
          <w:lang w:eastAsia="cs-CZ"/>
        </w:rPr>
        <w:t>ovalo</w:t>
      </w:r>
      <w:r w:rsidR="5AC45EAF" w:rsidRPr="00BD0991">
        <w:rPr>
          <w:rStyle w:val="eop"/>
          <w:rFonts w:asciiTheme="minorHAnsi" w:hAnsiTheme="minorHAnsi" w:cstheme="minorHAnsi"/>
          <w:lang w:eastAsia="cs-CZ"/>
        </w:rPr>
        <w:t xml:space="preserve"> její použití. </w:t>
      </w:r>
      <w:r w:rsidR="6EB6A468" w:rsidRPr="00BD0991">
        <w:rPr>
          <w:rStyle w:val="eop"/>
          <w:rFonts w:asciiTheme="minorHAnsi" w:hAnsiTheme="minorHAnsi" w:cstheme="minorHAnsi"/>
          <w:lang w:eastAsia="cs-CZ"/>
        </w:rPr>
        <w:t>P</w:t>
      </w:r>
      <w:r w:rsidR="00F325AD" w:rsidRPr="00BD0991">
        <w:rPr>
          <w:rStyle w:val="eop"/>
          <w:rFonts w:asciiTheme="minorHAnsi" w:hAnsiTheme="minorHAnsi" w:cstheme="minorHAnsi"/>
          <w:lang w:eastAsia="cs-CZ"/>
        </w:rPr>
        <w:t>ro účely finančního vypořádání se státním rozpočtem</w:t>
      </w:r>
      <w:r w:rsidR="70533145" w:rsidRPr="00BD0991">
        <w:rPr>
          <w:rStyle w:val="eop"/>
          <w:rFonts w:asciiTheme="minorHAnsi" w:hAnsiTheme="minorHAnsi" w:cstheme="minorHAnsi"/>
          <w:lang w:eastAsia="cs-CZ"/>
        </w:rPr>
        <w:t xml:space="preserve"> mělo MŠMT</w:t>
      </w:r>
      <w:r w:rsidR="00E57BF1">
        <w:rPr>
          <w:rStyle w:val="eop"/>
          <w:rFonts w:asciiTheme="minorHAnsi" w:hAnsiTheme="minorHAnsi" w:cstheme="minorHAnsi"/>
          <w:lang w:eastAsia="cs-CZ"/>
        </w:rPr>
        <w:t xml:space="preserve"> </w:t>
      </w:r>
      <w:r w:rsidR="00F325AD" w:rsidRPr="00BD0991">
        <w:rPr>
          <w:rStyle w:val="eop"/>
          <w:rFonts w:asciiTheme="minorHAnsi" w:hAnsiTheme="minorHAnsi" w:cstheme="minorHAnsi"/>
          <w:lang w:eastAsia="cs-CZ"/>
        </w:rPr>
        <w:t>postavení poskytovatele.</w:t>
      </w:r>
    </w:p>
    <w:p w14:paraId="3B53F069" w14:textId="68D3AB81" w:rsidR="00992D5E" w:rsidRPr="0003326E" w:rsidRDefault="00F325AD" w:rsidP="0003326E">
      <w:pPr>
        <w:spacing w:before="120"/>
        <w:rPr>
          <w:rStyle w:val="normaltextrun"/>
          <w:rFonts w:asciiTheme="minorHAnsi" w:hAnsiTheme="minorHAnsi" w:cstheme="minorBidi"/>
        </w:rPr>
      </w:pPr>
      <w:r w:rsidRPr="41B7BEC9">
        <w:rPr>
          <w:rStyle w:val="eop"/>
          <w:rFonts w:asciiTheme="minorHAnsi" w:hAnsiTheme="minorHAnsi" w:cstheme="minorBidi"/>
        </w:rPr>
        <w:t xml:space="preserve">MŠMT poskytovalo v letech 2019 a 2020 peněžní prostředky na rozvoj a podporu sportu, turistiky a sportovní reprezentace ve formě dotací ze státního rozpočtu dle zákona </w:t>
      </w:r>
      <w:r w:rsidR="00FD2CAD">
        <w:rPr>
          <w:rStyle w:val="eop"/>
          <w:rFonts w:asciiTheme="minorHAnsi" w:hAnsiTheme="minorHAnsi" w:cstheme="minorBidi"/>
        </w:rPr>
        <w:t>o</w:t>
      </w:r>
      <w:r w:rsidR="00F6678D">
        <w:rPr>
          <w:rStyle w:val="eop"/>
          <w:rFonts w:asciiTheme="minorHAnsi" w:hAnsiTheme="minorHAnsi" w:cstheme="minorBidi"/>
        </w:rPr>
        <w:t> </w:t>
      </w:r>
      <w:r w:rsidR="00FD2CAD">
        <w:rPr>
          <w:rStyle w:val="eop"/>
          <w:rFonts w:asciiTheme="minorHAnsi" w:hAnsiTheme="minorHAnsi" w:cstheme="minorBidi"/>
        </w:rPr>
        <w:t>podpoře sportu</w:t>
      </w:r>
      <w:r w:rsidR="0003326E">
        <w:rPr>
          <w:rStyle w:val="eop"/>
          <w:rFonts w:asciiTheme="minorHAnsi" w:hAnsiTheme="minorHAnsi" w:cstheme="minorBidi"/>
        </w:rPr>
        <w:t>.</w:t>
      </w:r>
      <w:r w:rsidR="0003326E">
        <w:rPr>
          <w:rStyle w:val="Znakapoznpodarou"/>
          <w:rFonts w:asciiTheme="minorHAnsi" w:hAnsiTheme="minorHAnsi" w:cstheme="minorBidi"/>
        </w:rPr>
        <w:footnoteReference w:id="24"/>
      </w:r>
      <w:r w:rsidR="00FD2CAD" w:rsidRPr="00FD2CAD">
        <w:rPr>
          <w:rStyle w:val="eop"/>
          <w:rFonts w:asciiTheme="minorHAnsi" w:hAnsiTheme="minorHAnsi" w:cstheme="minorBidi"/>
          <w:vertAlign w:val="superscript"/>
        </w:rPr>
        <w:t xml:space="preserve"> </w:t>
      </w:r>
      <w:r w:rsidR="3EA6E23D" w:rsidRPr="41B7BEC9">
        <w:rPr>
          <w:rStyle w:val="eop"/>
          <w:rFonts w:asciiTheme="minorHAnsi" w:hAnsiTheme="minorHAnsi" w:cstheme="minorBidi"/>
        </w:rPr>
        <w:t>Tyto peněžní prostředky byly vynaloženy na</w:t>
      </w:r>
      <w:r w:rsidRPr="41B7BEC9">
        <w:rPr>
          <w:rStyle w:val="eop"/>
          <w:rFonts w:asciiTheme="minorHAnsi" w:hAnsiTheme="minorHAnsi" w:cstheme="minorBidi"/>
        </w:rPr>
        <w:t xml:space="preserve"> podporu sportu (především dětí a mládeže), na podporu sportu pro všechny (včetně zdravotně postižených osob) a</w:t>
      </w:r>
      <w:r w:rsidR="00F6678D">
        <w:rPr>
          <w:rStyle w:val="eop"/>
          <w:rFonts w:asciiTheme="minorHAnsi" w:hAnsiTheme="minorHAnsi" w:cstheme="minorBidi"/>
        </w:rPr>
        <w:t> </w:t>
      </w:r>
      <w:r w:rsidRPr="41B7BEC9">
        <w:rPr>
          <w:rStyle w:val="eop"/>
          <w:rFonts w:asciiTheme="minorHAnsi" w:hAnsiTheme="minorHAnsi" w:cstheme="minorBidi"/>
        </w:rPr>
        <w:t>na</w:t>
      </w:r>
      <w:r w:rsidR="00E57BF1">
        <w:rPr>
          <w:rStyle w:val="eop"/>
          <w:rFonts w:asciiTheme="minorHAnsi" w:hAnsiTheme="minorHAnsi" w:cstheme="minorBidi"/>
        </w:rPr>
        <w:t xml:space="preserve"> </w:t>
      </w:r>
      <w:r w:rsidRPr="41B7BEC9">
        <w:rPr>
          <w:rStyle w:val="eop"/>
          <w:rFonts w:asciiTheme="minorHAnsi" w:hAnsiTheme="minorHAnsi" w:cstheme="minorBidi"/>
        </w:rPr>
        <w:t xml:space="preserve">podporu sportovních reprezentantů </w:t>
      </w:r>
      <w:r w:rsidR="00587348">
        <w:rPr>
          <w:rStyle w:val="eop"/>
          <w:rFonts w:asciiTheme="minorHAnsi" w:hAnsiTheme="minorHAnsi" w:cstheme="minorBidi"/>
        </w:rPr>
        <w:t>ČR</w:t>
      </w:r>
      <w:r w:rsidR="00182278" w:rsidRPr="41B7BEC9">
        <w:rPr>
          <w:rStyle w:val="eop"/>
          <w:rFonts w:asciiTheme="minorHAnsi" w:hAnsiTheme="minorHAnsi" w:cstheme="minorBidi"/>
        </w:rPr>
        <w:t xml:space="preserve">. </w:t>
      </w:r>
      <w:r w:rsidRPr="41B7BEC9">
        <w:rPr>
          <w:rStyle w:val="eop"/>
          <w:rFonts w:asciiTheme="minorHAnsi" w:hAnsiTheme="minorHAnsi" w:cstheme="minorBidi"/>
        </w:rPr>
        <w:t xml:space="preserve">Podporovány byly také činnosti sportovních organizací, pořízení nebo technické zhodnocení hmotného a nehmotného dlouhodobého majetku </w:t>
      </w:r>
      <w:r w:rsidR="071CADB1" w:rsidRPr="41B7BEC9">
        <w:rPr>
          <w:rStyle w:val="eop"/>
          <w:rFonts w:asciiTheme="minorHAnsi" w:hAnsiTheme="minorHAnsi" w:cstheme="minorBidi"/>
        </w:rPr>
        <w:t xml:space="preserve">(tzv. investiční dotace) </w:t>
      </w:r>
      <w:r w:rsidRPr="41B7BEC9">
        <w:rPr>
          <w:rStyle w:val="eop"/>
          <w:rFonts w:asciiTheme="minorHAnsi" w:hAnsiTheme="minorHAnsi" w:cstheme="minorBidi"/>
        </w:rPr>
        <w:t>a pořádání významných sportovních akcí.</w:t>
      </w:r>
    </w:p>
    <w:p w14:paraId="1E3AB773" w14:textId="77777777" w:rsidR="007F5AC1" w:rsidRPr="00BD0991" w:rsidRDefault="007F5AC1" w:rsidP="00BD0991">
      <w:pPr>
        <w:pStyle w:val="paragraph"/>
        <w:spacing w:before="120" w:beforeAutospacing="0" w:after="0" w:afterAutospacing="0"/>
        <w:textAlignment w:val="baseline"/>
        <w:rPr>
          <w:rFonts w:asciiTheme="minorHAnsi" w:hAnsiTheme="minorHAnsi" w:cstheme="minorHAnsi"/>
        </w:rPr>
      </w:pPr>
      <w:r w:rsidRPr="00BD0991">
        <w:rPr>
          <w:rStyle w:val="normaltextrun"/>
          <w:rFonts w:asciiTheme="minorHAnsi" w:hAnsiTheme="minorHAnsi" w:cstheme="minorHAnsi"/>
          <w:b/>
          <w:bCs/>
        </w:rPr>
        <w:t xml:space="preserve">Národní </w:t>
      </w:r>
      <w:r w:rsidR="004F1F66" w:rsidRPr="00BD0991">
        <w:rPr>
          <w:rStyle w:val="normaltextrun"/>
          <w:rFonts w:asciiTheme="minorHAnsi" w:hAnsiTheme="minorHAnsi" w:cstheme="minorHAnsi"/>
          <w:b/>
          <w:bCs/>
        </w:rPr>
        <w:t>sportovní agentura</w:t>
      </w:r>
    </w:p>
    <w:p w14:paraId="4D9C7F4F" w14:textId="77777777" w:rsidR="007E4BAE" w:rsidRPr="00BD0991" w:rsidRDefault="0003326E" w:rsidP="00587348">
      <w:pPr>
        <w:pStyle w:val="paragraph"/>
        <w:spacing w:before="120" w:beforeAutospacing="0" w:after="0" w:afterAutospacing="0"/>
        <w:jc w:val="both"/>
        <w:textAlignment w:val="baseline"/>
        <w:rPr>
          <w:rStyle w:val="eop"/>
          <w:rFonts w:asciiTheme="minorHAnsi" w:hAnsiTheme="minorHAnsi" w:cstheme="minorBidi"/>
        </w:rPr>
      </w:pPr>
      <w:r>
        <w:rPr>
          <w:rStyle w:val="eop"/>
          <w:rFonts w:asciiTheme="minorHAnsi" w:hAnsiTheme="minorHAnsi" w:cstheme="minorBidi"/>
        </w:rPr>
        <w:t>NSA</w:t>
      </w:r>
      <w:r w:rsidR="004F1F66" w:rsidRPr="41B7BEC9">
        <w:rPr>
          <w:rStyle w:val="eop"/>
          <w:rFonts w:asciiTheme="minorHAnsi" w:hAnsiTheme="minorHAnsi" w:cstheme="minorBidi"/>
        </w:rPr>
        <w:t xml:space="preserve"> je ústředním orgánem státní správy a vrcholnou organizací v oblasti sportu. Postavení sportu ve společnosti jako veřejně prospěšné činnosti definuje zákon </w:t>
      </w:r>
      <w:r w:rsidR="00587348">
        <w:rPr>
          <w:rStyle w:val="eop"/>
          <w:rFonts w:asciiTheme="minorHAnsi" w:hAnsiTheme="minorHAnsi" w:cstheme="minorBidi"/>
        </w:rPr>
        <w:t>o podpoře sportu</w:t>
      </w:r>
      <w:r>
        <w:rPr>
          <w:rStyle w:val="eop"/>
          <w:rFonts w:asciiTheme="minorHAnsi" w:hAnsiTheme="minorHAnsi" w:cstheme="minorBidi"/>
        </w:rPr>
        <w:t>.</w:t>
      </w:r>
      <w:r>
        <w:rPr>
          <w:rStyle w:val="Znakapoznpodarou"/>
          <w:rFonts w:asciiTheme="minorHAnsi" w:hAnsiTheme="minorHAnsi" w:cstheme="minorBidi"/>
        </w:rPr>
        <w:footnoteReference w:id="25"/>
      </w:r>
      <w:r w:rsidR="004F1F66" w:rsidRPr="00587348">
        <w:rPr>
          <w:rStyle w:val="eop"/>
          <w:rFonts w:asciiTheme="minorHAnsi" w:hAnsiTheme="minorHAnsi" w:cstheme="minorBidi"/>
          <w:vertAlign w:val="superscript"/>
        </w:rPr>
        <w:t xml:space="preserve"> </w:t>
      </w:r>
      <w:r w:rsidR="0090084C">
        <w:rPr>
          <w:rStyle w:val="eop"/>
          <w:rFonts w:asciiTheme="minorHAnsi" w:hAnsiTheme="minorHAnsi" w:cstheme="minorBidi"/>
        </w:rPr>
        <w:t>Sídlem NSA je Praha. V čele NSA stojí rada</w:t>
      </w:r>
      <w:r w:rsidR="007E4BAE" w:rsidRPr="41B7BEC9">
        <w:rPr>
          <w:rStyle w:val="eop"/>
          <w:rFonts w:asciiTheme="minorHAnsi" w:hAnsiTheme="minorHAnsi" w:cstheme="minorBidi"/>
        </w:rPr>
        <w:t xml:space="preserve"> </w:t>
      </w:r>
      <w:r w:rsidR="0090084C">
        <w:rPr>
          <w:rStyle w:val="eop"/>
          <w:rFonts w:asciiTheme="minorHAnsi" w:hAnsiTheme="minorHAnsi" w:cstheme="minorBidi"/>
        </w:rPr>
        <w:t>NSA složená z předsedy, místopředsedy a člena rady. Členem rady a jejím předsedou je předseda NSA. Předsedu NSA, místopředsedu NSA a</w:t>
      </w:r>
      <w:r w:rsidR="00E73464">
        <w:rPr>
          <w:rStyle w:val="eop"/>
          <w:rFonts w:asciiTheme="minorHAnsi" w:hAnsiTheme="minorHAnsi" w:cstheme="minorBidi"/>
        </w:rPr>
        <w:t> </w:t>
      </w:r>
      <w:r w:rsidR="0090084C">
        <w:rPr>
          <w:rStyle w:val="eop"/>
          <w:rFonts w:asciiTheme="minorHAnsi" w:hAnsiTheme="minorHAnsi" w:cstheme="minorBidi"/>
        </w:rPr>
        <w:t>člena rady jmenuje a odvolává vláda na návrh předsedy vlády.</w:t>
      </w:r>
      <w:r w:rsidR="0090084C">
        <w:rPr>
          <w:rStyle w:val="Znakapoznpodarou"/>
          <w:rFonts w:asciiTheme="minorHAnsi" w:hAnsiTheme="minorHAnsi" w:cstheme="minorBidi"/>
        </w:rPr>
        <w:footnoteReference w:id="26"/>
      </w:r>
      <w:r w:rsidR="0090084C">
        <w:rPr>
          <w:rStyle w:val="eop"/>
          <w:rFonts w:asciiTheme="minorHAnsi" w:hAnsiTheme="minorHAnsi" w:cstheme="minorBidi"/>
        </w:rPr>
        <w:t xml:space="preserve"> </w:t>
      </w:r>
    </w:p>
    <w:p w14:paraId="07CCCCF3" w14:textId="04C81C75" w:rsidR="71BC3F3B" w:rsidRPr="00587348" w:rsidRDefault="232D4A28" w:rsidP="00587348">
      <w:pPr>
        <w:pStyle w:val="paragraph"/>
        <w:spacing w:before="12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75EB0935">
        <w:rPr>
          <w:rStyle w:val="eop"/>
          <w:rFonts w:asciiTheme="minorHAnsi" w:hAnsiTheme="minorHAnsi" w:cstheme="minorBidi"/>
        </w:rPr>
        <w:t xml:space="preserve">NSA podle zákona </w:t>
      </w:r>
      <w:r w:rsidR="00587348">
        <w:rPr>
          <w:rStyle w:val="eop"/>
          <w:rFonts w:asciiTheme="minorHAnsi" w:hAnsiTheme="minorHAnsi" w:cstheme="minorBidi"/>
        </w:rPr>
        <w:t>o podpoře sportu</w:t>
      </w:r>
      <w:r w:rsidR="0003326E">
        <w:rPr>
          <w:rStyle w:val="Znakapoznpodarou"/>
          <w:rFonts w:asciiTheme="minorHAnsi" w:hAnsiTheme="minorHAnsi" w:cstheme="minorBidi"/>
        </w:rPr>
        <w:footnoteReference w:id="27"/>
      </w:r>
      <w:r w:rsidRPr="00587348">
        <w:rPr>
          <w:rStyle w:val="eop"/>
          <w:rFonts w:asciiTheme="minorHAnsi" w:hAnsiTheme="minorHAnsi" w:cstheme="minorBidi"/>
        </w:rPr>
        <w:t xml:space="preserve"> </w:t>
      </w:r>
      <w:r w:rsidRPr="75EB0935">
        <w:rPr>
          <w:rStyle w:val="eop"/>
          <w:rFonts w:asciiTheme="minorHAnsi" w:hAnsiTheme="minorHAnsi" w:cstheme="minorBidi"/>
        </w:rPr>
        <w:t>mj. vypracovává návrh plánu státní politiky ve sportu a předkládá jej vládě ke schválení. Dále koordinuje uskutečnění vládou schváleného plánu</w:t>
      </w:r>
      <w:r w:rsidR="004C3E08">
        <w:rPr>
          <w:rStyle w:val="eop"/>
          <w:rFonts w:asciiTheme="minorHAnsi" w:hAnsiTheme="minorHAnsi" w:cstheme="minorBidi"/>
        </w:rPr>
        <w:t xml:space="preserve"> státní politiky ve sportu a akčního plánu podpory sportu</w:t>
      </w:r>
      <w:r w:rsidRPr="75EB0935">
        <w:rPr>
          <w:rStyle w:val="eop"/>
          <w:rFonts w:asciiTheme="minorHAnsi" w:hAnsiTheme="minorHAnsi" w:cstheme="minorBidi"/>
        </w:rPr>
        <w:t>, poskytuje finanční podporu sportu ze státního rozpočtu prostřednictvím jí vyhlašovaných programů na rozvoj a podporu sportu, turistiky a sportovní reprezentace. NSA kontroluje použití podpory sportu ze státního rozpočtu u příjemců podpory a u osob, kterým příjemce tuto podporu v souladu s</w:t>
      </w:r>
      <w:r w:rsidR="00E73464">
        <w:rPr>
          <w:rStyle w:val="eop"/>
          <w:rFonts w:asciiTheme="minorHAnsi" w:hAnsiTheme="minorHAnsi" w:cstheme="minorBidi"/>
        </w:rPr>
        <w:t> </w:t>
      </w:r>
      <w:r w:rsidRPr="75EB0935">
        <w:rPr>
          <w:rStyle w:val="eop"/>
          <w:rFonts w:asciiTheme="minorHAnsi" w:hAnsiTheme="minorHAnsi" w:cstheme="minorBidi"/>
        </w:rPr>
        <w:t>podmínkami pro použití podpory dále poskytl. Dále vytváří podmínky pro sport dětí a</w:t>
      </w:r>
      <w:r w:rsidR="00E73464">
        <w:rPr>
          <w:rStyle w:val="eop"/>
          <w:rFonts w:asciiTheme="minorHAnsi" w:hAnsiTheme="minorHAnsi" w:cstheme="minorBidi"/>
        </w:rPr>
        <w:t> </w:t>
      </w:r>
      <w:r w:rsidRPr="75EB0935">
        <w:rPr>
          <w:rStyle w:val="eop"/>
          <w:rFonts w:asciiTheme="minorHAnsi" w:hAnsiTheme="minorHAnsi" w:cstheme="minorBidi"/>
        </w:rPr>
        <w:t xml:space="preserve">mládeže a jejich trenéry, pro sport dospělých, pro rozvoj sportu pro všechny, pro sport zdravotně postižených občanů a pro sportovní reprezentanty </w:t>
      </w:r>
      <w:r w:rsidR="00587348">
        <w:rPr>
          <w:rStyle w:val="eop"/>
          <w:rFonts w:asciiTheme="minorHAnsi" w:hAnsiTheme="minorHAnsi" w:cstheme="minorBidi"/>
        </w:rPr>
        <w:t>ČR</w:t>
      </w:r>
      <w:r w:rsidRPr="75EB0935">
        <w:rPr>
          <w:rStyle w:val="eop"/>
          <w:rFonts w:asciiTheme="minorHAnsi" w:hAnsiTheme="minorHAnsi" w:cstheme="minorBidi"/>
        </w:rPr>
        <w:t xml:space="preserve">, zahrnující účast reprezentantů na sportovních akcích v </w:t>
      </w:r>
      <w:r w:rsidR="00587348">
        <w:rPr>
          <w:rStyle w:val="eop"/>
          <w:rFonts w:asciiTheme="minorHAnsi" w:hAnsiTheme="minorHAnsi" w:cstheme="minorBidi"/>
        </w:rPr>
        <w:t>ČR</w:t>
      </w:r>
      <w:r w:rsidRPr="75EB0935">
        <w:rPr>
          <w:rStyle w:val="eop"/>
          <w:rFonts w:asciiTheme="minorHAnsi" w:hAnsiTheme="minorHAnsi" w:cstheme="minorBidi"/>
        </w:rPr>
        <w:t xml:space="preserve"> a zahraničí.</w:t>
      </w:r>
    </w:p>
    <w:p w14:paraId="56DF322F" w14:textId="35BBB419" w:rsidR="00587348" w:rsidRDefault="262BF462" w:rsidP="00587348">
      <w:pPr>
        <w:pStyle w:val="paragraph"/>
        <w:spacing w:before="120" w:beforeAutospacing="0" w:after="0" w:afterAutospacing="0"/>
        <w:jc w:val="both"/>
        <w:rPr>
          <w:rStyle w:val="normaltextrun"/>
          <w:rFonts w:ascii="Calibri" w:hAnsi="Calibri" w:cs="Calibri"/>
        </w:rPr>
      </w:pPr>
      <w:r w:rsidRPr="009C5477">
        <w:rPr>
          <w:rStyle w:val="normaltextrun"/>
          <w:rFonts w:ascii="Calibri" w:hAnsi="Calibri" w:cs="Calibri"/>
        </w:rPr>
        <w:t xml:space="preserve">NSA v letech 2021 a 2022 </w:t>
      </w:r>
      <w:r w:rsidR="00841C63">
        <w:rPr>
          <w:rStyle w:val="normaltextrun"/>
          <w:rFonts w:ascii="Calibri" w:hAnsi="Calibri" w:cs="Calibri"/>
        </w:rPr>
        <w:t xml:space="preserve">příslušelo hospodaření s majetkem státu </w:t>
      </w:r>
      <w:r w:rsidRPr="009C5477">
        <w:rPr>
          <w:rStyle w:val="normaltextrun"/>
          <w:rFonts w:ascii="Calibri" w:hAnsi="Calibri" w:cs="Calibri"/>
        </w:rPr>
        <w:t xml:space="preserve">v hodnotě přes 6 mld. Kč. </w:t>
      </w:r>
      <w:r w:rsidR="0BE4FD5F" w:rsidRPr="009C5477">
        <w:rPr>
          <w:rStyle w:val="normaltextrun"/>
          <w:rFonts w:ascii="Calibri" w:hAnsi="Calibri" w:cs="Calibri"/>
        </w:rPr>
        <w:t>Většinu tohoto majetku však tvořil</w:t>
      </w:r>
      <w:r w:rsidR="00236257">
        <w:rPr>
          <w:rStyle w:val="normaltextrun"/>
          <w:rFonts w:ascii="Calibri" w:hAnsi="Calibri" w:cs="Calibri"/>
        </w:rPr>
        <w:t>y</w:t>
      </w:r>
      <w:r w:rsidR="0BE4FD5F" w:rsidRPr="009C5477">
        <w:rPr>
          <w:rStyle w:val="normaltextrun"/>
          <w:rFonts w:ascii="Calibri" w:hAnsi="Calibri" w:cs="Calibri"/>
        </w:rPr>
        <w:t xml:space="preserve"> </w:t>
      </w:r>
      <w:r w:rsidR="56D2DD36" w:rsidRPr="009C5477">
        <w:rPr>
          <w:rStyle w:val="normaltextrun"/>
          <w:rFonts w:ascii="Calibri" w:hAnsi="Calibri" w:cs="Calibri"/>
        </w:rPr>
        <w:t>krátkodobé pohledávky související s vyplácením dotací</w:t>
      </w:r>
      <w:r w:rsidR="26A2D3D3" w:rsidRPr="009C5477">
        <w:rPr>
          <w:rStyle w:val="normaltextrun"/>
          <w:rFonts w:ascii="Calibri" w:hAnsi="Calibri" w:cs="Calibri"/>
        </w:rPr>
        <w:t xml:space="preserve">. </w:t>
      </w:r>
      <w:r w:rsidR="3E4EC055" w:rsidRPr="009C5477">
        <w:rPr>
          <w:rStyle w:val="normaltextrun"/>
          <w:rFonts w:ascii="Calibri" w:hAnsi="Calibri" w:cs="Calibri"/>
        </w:rPr>
        <w:t>Náklady NSA</w:t>
      </w:r>
      <w:r w:rsidR="001212B3">
        <w:rPr>
          <w:rStyle w:val="normaltextrun"/>
          <w:rFonts w:ascii="Calibri" w:hAnsi="Calibri" w:cs="Calibri"/>
        </w:rPr>
        <w:t xml:space="preserve"> </w:t>
      </w:r>
      <w:r w:rsidR="3E4EC055" w:rsidRPr="009C5477">
        <w:rPr>
          <w:rStyle w:val="normaltextrun"/>
          <w:rFonts w:ascii="Calibri" w:hAnsi="Calibri" w:cs="Calibri"/>
        </w:rPr>
        <w:t xml:space="preserve">činily v roce 2021 přes 6 mld. Kč a v roce 2022 přes 7 mld. Kč. </w:t>
      </w:r>
      <w:r w:rsidR="00236257">
        <w:rPr>
          <w:rStyle w:val="normaltextrun"/>
          <w:rFonts w:ascii="Calibri" w:hAnsi="Calibri" w:cs="Calibri"/>
        </w:rPr>
        <w:t>Většinu těchto nákladů tvořily náklady na transfery související s vyplácením dotací.</w:t>
      </w:r>
    </w:p>
    <w:p w14:paraId="32F39B74" w14:textId="452E2831" w:rsidR="00E73464" w:rsidRDefault="00E865B9" w:rsidP="005058BB">
      <w:pPr>
        <w:pStyle w:val="paragraph"/>
        <w:spacing w:before="120" w:beforeAutospacing="0" w:after="0" w:afterAutospacing="0"/>
        <w:jc w:val="both"/>
        <w:rPr>
          <w:b/>
          <w:spacing w:val="20"/>
        </w:rPr>
      </w:pPr>
      <w:r>
        <w:rPr>
          <w:rStyle w:val="normaltextrun"/>
          <w:rFonts w:ascii="Calibri" w:hAnsi="Calibri" w:cs="Calibri"/>
        </w:rPr>
        <w:t>Hodnota dlouhodobého majetku, se kterým NSA hospodařila ke konci roku 2022, činila přes</w:t>
      </w:r>
      <w:r w:rsidR="001212B3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7</w:t>
      </w:r>
      <w:r w:rsidR="001212B3"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>mil.</w:t>
      </w:r>
      <w:r w:rsidR="001212B3">
        <w:rPr>
          <w:rStyle w:val="normaltextrun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</w:rPr>
        <w:t xml:space="preserve">Kč. </w:t>
      </w:r>
      <w:r w:rsidR="000D7EFD">
        <w:rPr>
          <w:rStyle w:val="normaltextrun"/>
          <w:rFonts w:ascii="Calibri" w:hAnsi="Calibri" w:cs="Calibri"/>
        </w:rPr>
        <w:t>N</w:t>
      </w:r>
      <w:r w:rsidR="000F41CB" w:rsidRPr="009C5477">
        <w:rPr>
          <w:rStyle w:val="normaltextrun"/>
          <w:rFonts w:ascii="Calibri" w:hAnsi="Calibri" w:cs="Calibri"/>
        </w:rPr>
        <w:t>áklady</w:t>
      </w:r>
      <w:r w:rsidR="000D7EFD">
        <w:rPr>
          <w:rStyle w:val="normaltextrun"/>
          <w:rFonts w:ascii="Calibri" w:hAnsi="Calibri" w:cs="Calibri"/>
        </w:rPr>
        <w:t xml:space="preserve"> na provoz</w:t>
      </w:r>
      <w:r w:rsidR="3E4EC055" w:rsidRPr="009C5477">
        <w:rPr>
          <w:rStyle w:val="normaltextrun"/>
          <w:rFonts w:ascii="Calibri" w:hAnsi="Calibri" w:cs="Calibri"/>
        </w:rPr>
        <w:t xml:space="preserve"> NSA</w:t>
      </w:r>
      <w:r w:rsidR="000F41CB" w:rsidRPr="009C5477">
        <w:rPr>
          <w:rStyle w:val="normaltextrun"/>
          <w:rFonts w:ascii="Calibri" w:hAnsi="Calibri" w:cs="Calibri"/>
        </w:rPr>
        <w:t xml:space="preserve"> byly</w:t>
      </w:r>
      <w:r w:rsidR="3E4EC055" w:rsidRPr="009C5477">
        <w:rPr>
          <w:rStyle w:val="normaltextrun"/>
          <w:rFonts w:ascii="Calibri" w:hAnsi="Calibri" w:cs="Calibri"/>
        </w:rPr>
        <w:t xml:space="preserve"> v roce 2021</w:t>
      </w:r>
      <w:r w:rsidR="6547B904" w:rsidRPr="009C5477">
        <w:rPr>
          <w:rStyle w:val="normaltextrun"/>
          <w:rFonts w:ascii="Calibri" w:hAnsi="Calibri" w:cs="Calibri"/>
        </w:rPr>
        <w:t xml:space="preserve"> v</w:t>
      </w:r>
      <w:r w:rsidR="000D7EFD">
        <w:rPr>
          <w:rStyle w:val="normaltextrun"/>
          <w:rFonts w:ascii="Calibri" w:hAnsi="Calibri" w:cs="Calibri"/>
        </w:rPr>
        <w:t>e výši</w:t>
      </w:r>
      <w:r w:rsidR="53658595" w:rsidRPr="009C5477">
        <w:rPr>
          <w:rStyle w:val="normaltextrun"/>
          <w:rFonts w:ascii="Calibri" w:hAnsi="Calibri" w:cs="Calibri"/>
        </w:rPr>
        <w:t xml:space="preserve"> téměř 113 mil. Kč a v roce 2022</w:t>
      </w:r>
      <w:r w:rsidR="001212B3">
        <w:rPr>
          <w:rStyle w:val="normaltextrun"/>
          <w:rFonts w:ascii="Calibri" w:hAnsi="Calibri" w:cs="Calibri"/>
        </w:rPr>
        <w:t xml:space="preserve"> </w:t>
      </w:r>
      <w:r w:rsidR="064C4CB9" w:rsidRPr="009C5477">
        <w:rPr>
          <w:rStyle w:val="normaltextrun"/>
          <w:rFonts w:ascii="Calibri" w:hAnsi="Calibri" w:cs="Calibri"/>
        </w:rPr>
        <w:t>v</w:t>
      </w:r>
      <w:r w:rsidR="000D7EFD">
        <w:rPr>
          <w:rStyle w:val="normaltextrun"/>
          <w:rFonts w:ascii="Calibri" w:hAnsi="Calibri" w:cs="Calibri"/>
        </w:rPr>
        <w:t>e</w:t>
      </w:r>
      <w:r w:rsidR="001212B3">
        <w:rPr>
          <w:rStyle w:val="normaltextrun"/>
          <w:rFonts w:ascii="Calibri" w:hAnsi="Calibri" w:cs="Calibri"/>
        </w:rPr>
        <w:t xml:space="preserve"> </w:t>
      </w:r>
      <w:r w:rsidR="000D7EFD">
        <w:rPr>
          <w:rStyle w:val="normaltextrun"/>
          <w:rFonts w:ascii="Calibri" w:hAnsi="Calibri" w:cs="Calibri"/>
        </w:rPr>
        <w:t>výši</w:t>
      </w:r>
      <w:r w:rsidR="064C4CB9" w:rsidRPr="009C5477">
        <w:rPr>
          <w:rStyle w:val="normaltextrun"/>
          <w:rFonts w:ascii="Calibri" w:hAnsi="Calibri" w:cs="Calibri"/>
        </w:rPr>
        <w:t xml:space="preserve"> </w:t>
      </w:r>
      <w:r w:rsidR="53658595" w:rsidRPr="009C5477">
        <w:rPr>
          <w:rStyle w:val="normaltextrun"/>
          <w:rFonts w:ascii="Calibri" w:hAnsi="Calibri" w:cs="Calibri"/>
        </w:rPr>
        <w:t>téměř 8</w:t>
      </w:r>
      <w:r w:rsidR="53658595" w:rsidRPr="00AD187C">
        <w:rPr>
          <w:rStyle w:val="normaltextrun"/>
          <w:rFonts w:ascii="Calibri" w:hAnsi="Calibri" w:cs="Calibri"/>
        </w:rPr>
        <w:t>8 mil. Kč</w:t>
      </w:r>
      <w:r w:rsidR="01468ACA" w:rsidRPr="00AD187C">
        <w:rPr>
          <w:rStyle w:val="normaltextrun"/>
          <w:rFonts w:ascii="Calibri" w:hAnsi="Calibri" w:cs="Calibri"/>
        </w:rPr>
        <w:t xml:space="preserve"> (viz příloha č. </w:t>
      </w:r>
      <w:r w:rsidR="00587348">
        <w:rPr>
          <w:rStyle w:val="normaltextrun"/>
          <w:rFonts w:ascii="Calibri" w:hAnsi="Calibri" w:cs="Calibri"/>
        </w:rPr>
        <w:t>1</w:t>
      </w:r>
      <w:r w:rsidR="01468ACA" w:rsidRPr="00AD187C">
        <w:rPr>
          <w:rStyle w:val="normaltextrun"/>
          <w:rFonts w:ascii="Calibri" w:hAnsi="Calibri" w:cs="Calibri"/>
        </w:rPr>
        <w:t xml:space="preserve"> tohoto</w:t>
      </w:r>
      <w:r w:rsidR="01468ACA" w:rsidRPr="009C5477">
        <w:rPr>
          <w:rStyle w:val="normaltextrun"/>
          <w:rFonts w:ascii="Calibri" w:hAnsi="Calibri" w:cs="Calibri"/>
        </w:rPr>
        <w:t xml:space="preserve"> kontrolního závěru).</w:t>
      </w:r>
      <w:r w:rsidR="00E73464">
        <w:rPr>
          <w:b/>
          <w:spacing w:val="20"/>
        </w:rPr>
        <w:br w:type="page"/>
      </w:r>
    </w:p>
    <w:p w14:paraId="469F7FE4" w14:textId="77777777" w:rsidR="007F5AC1" w:rsidRPr="00E73464" w:rsidRDefault="007F5AC1" w:rsidP="000F5D97">
      <w:pPr>
        <w:keepNext/>
        <w:spacing w:before="0" w:after="240"/>
        <w:jc w:val="center"/>
        <w:rPr>
          <w:b/>
          <w:spacing w:val="20"/>
          <w:sz w:val="28"/>
        </w:rPr>
      </w:pPr>
      <w:r w:rsidRPr="00E73464">
        <w:rPr>
          <w:b/>
          <w:spacing w:val="20"/>
          <w:sz w:val="28"/>
        </w:rPr>
        <w:lastRenderedPageBreak/>
        <w:t>III. Rozsah kontroly</w:t>
      </w:r>
    </w:p>
    <w:p w14:paraId="6FFA23FE" w14:textId="54A3D030" w:rsidR="00363397" w:rsidRPr="00363397" w:rsidRDefault="007F5AC1" w:rsidP="00BD0991">
      <w:pPr>
        <w:autoSpaceDE w:val="0"/>
        <w:autoSpaceDN w:val="0"/>
        <w:adjustRightInd w:val="0"/>
        <w:spacing w:before="120"/>
        <w:rPr>
          <w:rStyle w:val="eop"/>
        </w:rPr>
      </w:pPr>
      <w:r w:rsidRPr="1E8E4D5B">
        <w:rPr>
          <w:rStyle w:val="eop"/>
        </w:rPr>
        <w:t>Předmětem kontrolní akce byl</w:t>
      </w:r>
      <w:r w:rsidR="00363397" w:rsidRPr="1E8E4D5B">
        <w:rPr>
          <w:rStyle w:val="eop"/>
        </w:rPr>
        <w:t>y peněžní prostředky státu určené na podporu sportu a</w:t>
      </w:r>
      <w:r w:rsidR="00F6678D">
        <w:rPr>
          <w:rStyle w:val="eop"/>
        </w:rPr>
        <w:t> </w:t>
      </w:r>
      <w:r w:rsidR="00363397" w:rsidRPr="1E8E4D5B">
        <w:rPr>
          <w:rStyle w:val="eop"/>
        </w:rPr>
        <w:t>sportovní reprezentaci a majetek a peněžní prostředky státu, se kterými je příslušná hospodařit</w:t>
      </w:r>
      <w:r w:rsidR="00587348">
        <w:rPr>
          <w:rStyle w:val="eop"/>
        </w:rPr>
        <w:t xml:space="preserve"> NSA</w:t>
      </w:r>
      <w:r w:rsidRPr="1E8E4D5B">
        <w:rPr>
          <w:rStyle w:val="eop"/>
        </w:rPr>
        <w:t xml:space="preserve">. Cílem kontroly bylo prověřit, zda </w:t>
      </w:r>
      <w:r w:rsidR="00363397" w:rsidRPr="1E8E4D5B">
        <w:rPr>
          <w:rStyle w:val="eop"/>
        </w:rPr>
        <w:t>peněžní prostředky státu určené na</w:t>
      </w:r>
      <w:r w:rsidR="000F5D97">
        <w:rPr>
          <w:rStyle w:val="eop"/>
        </w:rPr>
        <w:t xml:space="preserve"> </w:t>
      </w:r>
      <w:r w:rsidR="00363397" w:rsidRPr="1E8E4D5B">
        <w:rPr>
          <w:rStyle w:val="eop"/>
        </w:rPr>
        <w:t xml:space="preserve">podporu sportu a sportovní reprezentaci byly vynakládány účelně a v souladu s právními předpisy a zda </w:t>
      </w:r>
      <w:r w:rsidR="00587348">
        <w:rPr>
          <w:rStyle w:val="eop"/>
        </w:rPr>
        <w:t>NSA</w:t>
      </w:r>
      <w:r w:rsidR="00363397" w:rsidRPr="1E8E4D5B">
        <w:rPr>
          <w:rStyle w:val="eop"/>
        </w:rPr>
        <w:t xml:space="preserve"> hospodařila s majetkem a peněžními prostředky státu na zabezpečení své činnosti hospodárně a v souladu s právními předpisy.</w:t>
      </w:r>
      <w:r w:rsidR="489E37EF" w:rsidRPr="1E8E4D5B">
        <w:rPr>
          <w:rStyle w:val="eop"/>
        </w:rPr>
        <w:t xml:space="preserve"> Kontrolované období bylo stanoveno na roky 2019</w:t>
      </w:r>
      <w:r w:rsidR="000F5D97">
        <w:rPr>
          <w:rStyle w:val="eop"/>
        </w:rPr>
        <w:t>–</w:t>
      </w:r>
      <w:r w:rsidR="489E37EF" w:rsidRPr="1E8E4D5B">
        <w:rPr>
          <w:rStyle w:val="eop"/>
        </w:rPr>
        <w:t>2022, v případě věcných souvislostí i období předcházející a období do</w:t>
      </w:r>
      <w:r w:rsidR="000F5D97">
        <w:rPr>
          <w:rStyle w:val="eop"/>
        </w:rPr>
        <w:t xml:space="preserve"> </w:t>
      </w:r>
      <w:r w:rsidR="489E37EF" w:rsidRPr="1E8E4D5B">
        <w:rPr>
          <w:rStyle w:val="eop"/>
        </w:rPr>
        <w:t>ukončení kontroly.</w:t>
      </w:r>
    </w:p>
    <w:p w14:paraId="6A43C321" w14:textId="77777777" w:rsidR="489E37EF" w:rsidRDefault="489E37EF" w:rsidP="00BD0991">
      <w:pPr>
        <w:spacing w:before="120"/>
        <w:rPr>
          <w:rStyle w:val="eop"/>
        </w:rPr>
      </w:pPr>
      <w:r w:rsidRPr="5F2ACDDB">
        <w:rPr>
          <w:rStyle w:val="eop"/>
        </w:rPr>
        <w:t xml:space="preserve">Kontrola byla provedena u </w:t>
      </w:r>
      <w:r w:rsidR="00DA12FE">
        <w:rPr>
          <w:rStyle w:val="eop"/>
        </w:rPr>
        <w:t>MŠMT</w:t>
      </w:r>
      <w:r w:rsidRPr="5F2ACDDB">
        <w:rPr>
          <w:rStyle w:val="eop"/>
        </w:rPr>
        <w:t xml:space="preserve"> </w:t>
      </w:r>
      <w:r w:rsidR="007E4320">
        <w:rPr>
          <w:rStyle w:val="eop"/>
        </w:rPr>
        <w:t xml:space="preserve">a NSA </w:t>
      </w:r>
      <w:r w:rsidRPr="5F2ACDDB">
        <w:rPr>
          <w:rStyle w:val="eop"/>
        </w:rPr>
        <w:t>jako poskytovatel</w:t>
      </w:r>
      <w:r w:rsidR="007E4320">
        <w:rPr>
          <w:rStyle w:val="eop"/>
        </w:rPr>
        <w:t>ů</w:t>
      </w:r>
      <w:r w:rsidRPr="5F2ACDDB">
        <w:rPr>
          <w:rStyle w:val="eop"/>
        </w:rPr>
        <w:t xml:space="preserve"> podpory </w:t>
      </w:r>
      <w:r w:rsidRPr="00DA12FE">
        <w:rPr>
          <w:rStyle w:val="eop"/>
        </w:rPr>
        <w:t>v oblasti sportu</w:t>
      </w:r>
      <w:r w:rsidR="007E4320">
        <w:rPr>
          <w:rStyle w:val="eop"/>
        </w:rPr>
        <w:t>. V případě MŠMT se jednalo o kontrolu poskytování podpory</w:t>
      </w:r>
      <w:r w:rsidRPr="00DA12FE">
        <w:rPr>
          <w:rStyle w:val="eop"/>
        </w:rPr>
        <w:t xml:space="preserve"> </w:t>
      </w:r>
      <w:r w:rsidR="007E4320">
        <w:rPr>
          <w:rStyle w:val="eop"/>
        </w:rPr>
        <w:t xml:space="preserve">v letech 2019 a </w:t>
      </w:r>
      <w:r w:rsidR="5DF5C57C" w:rsidRPr="00DA12FE">
        <w:rPr>
          <w:rStyle w:val="eop"/>
        </w:rPr>
        <w:t>2020</w:t>
      </w:r>
      <w:r w:rsidR="007E4320">
        <w:rPr>
          <w:rStyle w:val="eop"/>
        </w:rPr>
        <w:t>. V případě</w:t>
      </w:r>
      <w:r w:rsidR="5DF5C57C" w:rsidRPr="00DA12FE">
        <w:rPr>
          <w:rStyle w:val="eop"/>
        </w:rPr>
        <w:t xml:space="preserve"> </w:t>
      </w:r>
      <w:r w:rsidR="00080FCC">
        <w:rPr>
          <w:rStyle w:val="eop"/>
        </w:rPr>
        <w:t>NSA</w:t>
      </w:r>
      <w:r w:rsidR="007E4320">
        <w:rPr>
          <w:rStyle w:val="eop"/>
        </w:rPr>
        <w:t xml:space="preserve"> se jednalo o kontrolu poskytování podpory od roku 2020</w:t>
      </w:r>
      <w:r w:rsidR="001E07FB">
        <w:rPr>
          <w:rStyle w:val="eop"/>
        </w:rPr>
        <w:t>. Kontrolou bylo prověřeno i</w:t>
      </w:r>
      <w:r w:rsidR="00E73464">
        <w:rPr>
          <w:rStyle w:val="eop"/>
        </w:rPr>
        <w:t> </w:t>
      </w:r>
      <w:r w:rsidR="001E07FB">
        <w:rPr>
          <w:rStyle w:val="eop"/>
        </w:rPr>
        <w:t xml:space="preserve">hospodaření NSA v letech 2019 až 2022. </w:t>
      </w:r>
    </w:p>
    <w:p w14:paraId="44A1AC91" w14:textId="1A00BF4E" w:rsidR="005035B3" w:rsidRDefault="6F39AFCA" w:rsidP="00BD0991">
      <w:pPr>
        <w:spacing w:before="120"/>
        <w:rPr>
          <w:rFonts w:asciiTheme="minorHAnsi" w:eastAsiaTheme="minorEastAsia" w:hAnsiTheme="minorHAnsi" w:cstheme="minorBidi"/>
          <w:lang w:eastAsia="en-US"/>
        </w:rPr>
      </w:pPr>
      <w:r w:rsidRPr="0A7F7EFE">
        <w:rPr>
          <w:rFonts w:asciiTheme="minorHAnsi" w:eastAsiaTheme="minorEastAsia" w:hAnsiTheme="minorHAnsi" w:cstheme="minorBidi"/>
          <w:lang w:eastAsia="en-US"/>
        </w:rPr>
        <w:t xml:space="preserve">Kontrola byla zaměřena </w:t>
      </w:r>
      <w:r w:rsidR="0FD39ED7" w:rsidRPr="0A7F7EFE">
        <w:rPr>
          <w:rFonts w:asciiTheme="minorHAnsi" w:eastAsiaTheme="minorEastAsia" w:hAnsiTheme="minorHAnsi" w:cstheme="minorBidi"/>
          <w:lang w:eastAsia="en-US"/>
        </w:rPr>
        <w:t xml:space="preserve">u MŠMT i NSA </w:t>
      </w:r>
      <w:r w:rsidRPr="0A7F7EFE">
        <w:rPr>
          <w:rFonts w:asciiTheme="minorHAnsi" w:eastAsiaTheme="minorEastAsia" w:hAnsiTheme="minorHAnsi" w:cstheme="minorBidi"/>
          <w:lang w:eastAsia="en-US"/>
        </w:rPr>
        <w:t xml:space="preserve">na poskytování investičních a neinvestičních dotací </w:t>
      </w:r>
      <w:r w:rsidR="00101D72">
        <w:rPr>
          <w:rFonts w:asciiTheme="minorHAnsi" w:eastAsiaTheme="minorEastAsia" w:hAnsiTheme="minorHAnsi" w:cstheme="minorBidi"/>
          <w:lang w:eastAsia="en-US"/>
        </w:rPr>
        <w:t>na podporu</w:t>
      </w:r>
      <w:r w:rsidR="00841C63">
        <w:rPr>
          <w:rFonts w:asciiTheme="minorHAnsi" w:eastAsiaTheme="minorEastAsia" w:hAnsiTheme="minorHAnsi" w:cstheme="minorBidi"/>
          <w:lang w:eastAsia="en-US"/>
        </w:rPr>
        <w:t xml:space="preserve"> sportu </w:t>
      </w:r>
      <w:r w:rsidRPr="0A7F7EFE">
        <w:rPr>
          <w:rFonts w:asciiTheme="minorHAnsi" w:eastAsiaTheme="minorEastAsia" w:hAnsiTheme="minorHAnsi" w:cstheme="minorBidi"/>
          <w:lang w:eastAsia="en-US"/>
        </w:rPr>
        <w:t>ze</w:t>
      </w:r>
      <w:r w:rsidR="00473FD4">
        <w:rPr>
          <w:rFonts w:asciiTheme="minorHAnsi" w:eastAsiaTheme="minorEastAsia" w:hAnsiTheme="minorHAnsi" w:cstheme="minorBidi"/>
          <w:lang w:eastAsia="en-US"/>
        </w:rPr>
        <w:t xml:space="preserve"> </w:t>
      </w:r>
      <w:r w:rsidRPr="0A7F7EFE">
        <w:rPr>
          <w:rFonts w:asciiTheme="minorHAnsi" w:eastAsiaTheme="minorEastAsia" w:hAnsiTheme="minorHAnsi" w:cstheme="minorBidi"/>
          <w:lang w:eastAsia="en-US"/>
        </w:rPr>
        <w:t xml:space="preserve">státního rozpočtu. </w:t>
      </w:r>
      <w:r w:rsidR="1C3960AF" w:rsidRPr="0A7F7EFE">
        <w:rPr>
          <w:rFonts w:asciiTheme="minorHAnsi" w:eastAsiaTheme="minorEastAsia" w:hAnsiTheme="minorHAnsi" w:cstheme="minorBidi"/>
          <w:lang w:eastAsia="en-US"/>
        </w:rPr>
        <w:t>Posouzení účelnosti spočívalo především v</w:t>
      </w:r>
      <w:r w:rsidR="00F6678D">
        <w:rPr>
          <w:rFonts w:asciiTheme="minorHAnsi" w:eastAsiaTheme="minorEastAsia" w:hAnsiTheme="minorHAnsi" w:cstheme="minorBidi"/>
          <w:lang w:eastAsia="en-US"/>
        </w:rPr>
        <w:t> </w:t>
      </w:r>
      <w:r w:rsidR="1C3960AF" w:rsidRPr="0A7F7EFE">
        <w:rPr>
          <w:rFonts w:asciiTheme="minorHAnsi" w:eastAsiaTheme="minorEastAsia" w:hAnsiTheme="minorHAnsi" w:cstheme="minorBidi"/>
          <w:lang w:eastAsia="en-US"/>
        </w:rPr>
        <w:t xml:space="preserve">hodnocení, zda </w:t>
      </w:r>
      <w:r w:rsidR="005035B3">
        <w:rPr>
          <w:rFonts w:asciiTheme="minorHAnsi" w:eastAsiaTheme="minorEastAsia" w:hAnsiTheme="minorHAnsi" w:cstheme="minorBidi"/>
          <w:lang w:eastAsia="en-US"/>
        </w:rPr>
        <w:t>byly stanoveny konkrétní měřitelné cíle</w:t>
      </w:r>
      <w:r w:rsidR="00A5287D">
        <w:rPr>
          <w:rFonts w:asciiTheme="minorHAnsi" w:eastAsiaTheme="minorEastAsia" w:hAnsiTheme="minorHAnsi" w:cstheme="minorBidi"/>
          <w:lang w:eastAsia="en-US"/>
        </w:rPr>
        <w:t>,</w:t>
      </w:r>
      <w:r w:rsidR="005035B3">
        <w:rPr>
          <w:rFonts w:asciiTheme="minorHAnsi" w:eastAsiaTheme="minorEastAsia" w:hAnsiTheme="minorHAnsi" w:cstheme="minorBidi"/>
          <w:lang w:eastAsia="en-US"/>
        </w:rPr>
        <w:t xml:space="preserve"> k jejichž dosažení jsou vynakládány peněžní prostředky na podporu sportu, zda bylo plnění těchto cílů vyhodnocováno a zda byly </w:t>
      </w:r>
      <w:r w:rsidR="00A5287D">
        <w:rPr>
          <w:rFonts w:asciiTheme="minorHAnsi" w:eastAsiaTheme="minorEastAsia" w:hAnsiTheme="minorHAnsi" w:cstheme="minorBidi"/>
          <w:lang w:eastAsia="en-US"/>
        </w:rPr>
        <w:t xml:space="preserve">cíle </w:t>
      </w:r>
      <w:r w:rsidR="005035B3">
        <w:rPr>
          <w:rFonts w:asciiTheme="minorHAnsi" w:eastAsiaTheme="minorEastAsia" w:hAnsiTheme="minorHAnsi" w:cstheme="minorBidi"/>
          <w:lang w:eastAsia="en-US"/>
        </w:rPr>
        <w:t>dosaženy.</w:t>
      </w:r>
    </w:p>
    <w:p w14:paraId="09661FE1" w14:textId="77777777" w:rsidR="5AE029DA" w:rsidRDefault="5AE029DA" w:rsidP="00BD0991">
      <w:pPr>
        <w:spacing w:before="120"/>
        <w:rPr>
          <w:rFonts w:asciiTheme="minorHAnsi" w:eastAsiaTheme="minorEastAsia" w:hAnsiTheme="minorHAnsi" w:cstheme="minorBidi"/>
          <w:lang w:eastAsia="en-US"/>
        </w:rPr>
      </w:pPr>
      <w:r w:rsidRPr="0A7F7EFE">
        <w:rPr>
          <w:rFonts w:asciiTheme="minorHAnsi" w:eastAsiaTheme="minorEastAsia" w:hAnsiTheme="minorHAnsi" w:cstheme="minorBidi"/>
          <w:lang w:eastAsia="en-US"/>
        </w:rPr>
        <w:t>U NSA dále kontrola prověřila:</w:t>
      </w:r>
    </w:p>
    <w:p w14:paraId="2DE1AF1D" w14:textId="77777777" w:rsidR="00681575" w:rsidRPr="00ED7AA2" w:rsidRDefault="00203878" w:rsidP="00E73464">
      <w:pPr>
        <w:pStyle w:val="Odstavecseseznamem"/>
        <w:numPr>
          <w:ilvl w:val="0"/>
          <w:numId w:val="7"/>
        </w:numPr>
        <w:spacing w:before="0"/>
        <w:ind w:left="284" w:hanging="284"/>
        <w:rPr>
          <w:rFonts w:asciiTheme="minorHAnsi" w:eastAsiaTheme="minorEastAsia" w:hAnsiTheme="minorHAnsi" w:cstheme="minorBidi"/>
          <w:lang w:eastAsia="en-US"/>
        </w:rPr>
      </w:pPr>
      <w:r w:rsidRPr="00ED7AA2">
        <w:rPr>
          <w:rFonts w:asciiTheme="minorHAnsi" w:eastAsiaTheme="minorEastAsia" w:hAnsiTheme="minorHAnsi" w:cstheme="minorBidi"/>
          <w:lang w:eastAsia="en-US"/>
        </w:rPr>
        <w:t>zda byl</w:t>
      </w:r>
      <w:r w:rsidR="00E30E2B">
        <w:rPr>
          <w:rFonts w:asciiTheme="minorHAnsi" w:eastAsiaTheme="minorEastAsia" w:hAnsiTheme="minorHAnsi" w:cstheme="minorBidi"/>
          <w:lang w:eastAsia="en-US"/>
        </w:rPr>
        <w:t>y</w:t>
      </w:r>
      <w:r w:rsidRPr="00ED7AA2">
        <w:rPr>
          <w:rFonts w:asciiTheme="minorHAnsi" w:eastAsiaTheme="minorEastAsia" w:hAnsiTheme="minorHAnsi" w:cstheme="minorBidi"/>
          <w:lang w:eastAsia="en-US"/>
        </w:rPr>
        <w:t xml:space="preserve"> vynakládány prostředky </w:t>
      </w:r>
      <w:r w:rsidR="00ED7AA2">
        <w:rPr>
          <w:rFonts w:asciiTheme="minorHAnsi" w:eastAsiaTheme="minorEastAsia" w:hAnsiTheme="minorHAnsi" w:cstheme="minorBidi"/>
          <w:lang w:eastAsia="en-US"/>
        </w:rPr>
        <w:t>při pořizování majetku</w:t>
      </w:r>
      <w:r w:rsidR="00E30E2B">
        <w:rPr>
          <w:rFonts w:asciiTheme="minorHAnsi" w:eastAsiaTheme="minorEastAsia" w:hAnsiTheme="minorHAnsi" w:cstheme="minorBidi"/>
          <w:lang w:eastAsia="en-US"/>
        </w:rPr>
        <w:t xml:space="preserve">, </w:t>
      </w:r>
      <w:r w:rsidR="00ED7AA2">
        <w:rPr>
          <w:rFonts w:asciiTheme="minorHAnsi" w:eastAsiaTheme="minorEastAsia" w:hAnsiTheme="minorHAnsi" w:cstheme="minorBidi"/>
          <w:lang w:eastAsia="en-US"/>
        </w:rPr>
        <w:t xml:space="preserve">při nakládání s majetkem </w:t>
      </w:r>
      <w:r w:rsidR="00E30E2B">
        <w:rPr>
          <w:rFonts w:asciiTheme="minorHAnsi" w:eastAsiaTheme="minorEastAsia" w:hAnsiTheme="minorHAnsi" w:cstheme="minorBidi"/>
          <w:lang w:eastAsia="en-US"/>
        </w:rPr>
        <w:t>a na</w:t>
      </w:r>
      <w:r w:rsidRPr="00ED7AA2">
        <w:rPr>
          <w:rFonts w:asciiTheme="minorHAnsi" w:eastAsiaTheme="minorEastAsia" w:hAnsiTheme="minorHAnsi" w:cstheme="minorBidi"/>
          <w:lang w:eastAsia="en-US"/>
        </w:rPr>
        <w:t xml:space="preserve"> vybrané služby s co nejnižším vynaložením peněžních prostředků</w:t>
      </w:r>
      <w:r w:rsidR="0018455C">
        <w:rPr>
          <w:rFonts w:asciiTheme="minorHAnsi" w:eastAsiaTheme="minorEastAsia" w:hAnsiTheme="minorHAnsi" w:cstheme="minorBidi"/>
          <w:lang w:eastAsia="en-US"/>
        </w:rPr>
        <w:t xml:space="preserve"> při dodržení odpovídající kvality</w:t>
      </w:r>
      <w:r w:rsidR="00E30E2B">
        <w:rPr>
          <w:rFonts w:asciiTheme="minorHAnsi" w:eastAsiaTheme="minorEastAsia" w:hAnsiTheme="minorHAnsi" w:cstheme="minorBidi"/>
          <w:lang w:eastAsia="en-US"/>
        </w:rPr>
        <w:t>;</w:t>
      </w:r>
    </w:p>
    <w:p w14:paraId="4607C41A" w14:textId="77777777" w:rsidR="00ED7AA2" w:rsidRDefault="00ED7AA2" w:rsidP="00E73464">
      <w:pPr>
        <w:pStyle w:val="Odstavecseseznamem"/>
        <w:numPr>
          <w:ilvl w:val="0"/>
          <w:numId w:val="7"/>
        </w:numPr>
        <w:spacing w:before="0"/>
        <w:ind w:left="284" w:hanging="284"/>
        <w:rPr>
          <w:lang w:eastAsia="en-US"/>
        </w:rPr>
      </w:pPr>
      <w:r w:rsidRPr="0A7F7EFE">
        <w:rPr>
          <w:rFonts w:asciiTheme="minorHAnsi" w:eastAsiaTheme="minorEastAsia" w:hAnsiTheme="minorHAnsi" w:cstheme="minorBidi"/>
          <w:lang w:eastAsia="en-US"/>
        </w:rPr>
        <w:t xml:space="preserve">dodržování právních předpisů při </w:t>
      </w:r>
      <w:r>
        <w:rPr>
          <w:rFonts w:asciiTheme="minorHAnsi" w:eastAsiaTheme="minorEastAsia" w:hAnsiTheme="minorHAnsi" w:cstheme="minorBidi"/>
          <w:lang w:eastAsia="en-US"/>
        </w:rPr>
        <w:t>nakládání s majetkem</w:t>
      </w:r>
      <w:r w:rsidRPr="0A7F7EFE">
        <w:rPr>
          <w:rFonts w:asciiTheme="minorHAnsi" w:eastAsiaTheme="minorEastAsia" w:hAnsiTheme="minorHAnsi" w:cstheme="minorBidi"/>
          <w:lang w:eastAsia="en-US"/>
        </w:rPr>
        <w:t xml:space="preserve"> (pořizování dlouhodobého majetku, nákup služeb</w:t>
      </w:r>
      <w:r>
        <w:rPr>
          <w:rFonts w:asciiTheme="minorHAnsi" w:eastAsiaTheme="minorEastAsia" w:hAnsiTheme="minorHAnsi" w:cstheme="minorBidi"/>
          <w:lang w:eastAsia="en-US"/>
        </w:rPr>
        <w:t xml:space="preserve"> apod.</w:t>
      </w:r>
      <w:r w:rsidRPr="0A7F7EFE">
        <w:rPr>
          <w:rFonts w:asciiTheme="minorHAnsi" w:eastAsiaTheme="minorEastAsia" w:hAnsiTheme="minorHAnsi" w:cstheme="minorBidi"/>
          <w:lang w:eastAsia="en-US"/>
        </w:rPr>
        <w:t>);</w:t>
      </w:r>
    </w:p>
    <w:p w14:paraId="32FAE7BF" w14:textId="2B76B3DB" w:rsidR="5AE029DA" w:rsidRDefault="5AE029DA" w:rsidP="00E73464">
      <w:pPr>
        <w:pStyle w:val="Odstavecseseznamem"/>
        <w:numPr>
          <w:ilvl w:val="0"/>
          <w:numId w:val="7"/>
        </w:numPr>
        <w:spacing w:before="0"/>
        <w:ind w:left="284" w:hanging="284"/>
        <w:rPr>
          <w:lang w:eastAsia="en-US"/>
        </w:rPr>
      </w:pPr>
      <w:r w:rsidRPr="0A7F7EFE">
        <w:rPr>
          <w:rFonts w:asciiTheme="minorHAnsi" w:eastAsiaTheme="minorEastAsia" w:hAnsiTheme="minorHAnsi" w:cstheme="minorBidi"/>
          <w:lang w:eastAsia="en-US"/>
        </w:rPr>
        <w:t xml:space="preserve">zda </w:t>
      </w:r>
      <w:r w:rsidR="00D03402" w:rsidRPr="0A7F7EFE">
        <w:rPr>
          <w:rFonts w:asciiTheme="minorHAnsi" w:eastAsiaTheme="minorEastAsia" w:hAnsiTheme="minorHAnsi" w:cstheme="minorBidi"/>
          <w:lang w:eastAsia="en-US"/>
        </w:rPr>
        <w:t xml:space="preserve">byl </w:t>
      </w:r>
      <w:r w:rsidRPr="0A7F7EFE">
        <w:rPr>
          <w:rFonts w:asciiTheme="minorHAnsi" w:eastAsiaTheme="minorEastAsia" w:hAnsiTheme="minorHAnsi" w:cstheme="minorBidi"/>
          <w:lang w:eastAsia="en-US"/>
        </w:rPr>
        <w:t>v oblasti účetnictví dodržen soulad fakturace se smlouvami, správnost zaúčtování pořízení majetku na příslušné majetkové účty, ve správném ocenění a</w:t>
      </w:r>
      <w:r w:rsidR="00F6678D">
        <w:rPr>
          <w:rFonts w:asciiTheme="minorHAnsi" w:eastAsiaTheme="minorEastAsia" w:hAnsiTheme="minorHAnsi" w:cstheme="minorBidi"/>
          <w:lang w:eastAsia="en-US"/>
        </w:rPr>
        <w:t> </w:t>
      </w:r>
      <w:r w:rsidRPr="0A7F7EFE">
        <w:rPr>
          <w:rFonts w:asciiTheme="minorHAnsi" w:eastAsiaTheme="minorEastAsia" w:hAnsiTheme="minorHAnsi" w:cstheme="minorBidi"/>
          <w:lang w:eastAsia="en-US"/>
        </w:rPr>
        <w:t>v</w:t>
      </w:r>
      <w:r w:rsidR="00F6678D">
        <w:rPr>
          <w:rFonts w:asciiTheme="minorHAnsi" w:eastAsiaTheme="minorEastAsia" w:hAnsiTheme="minorHAnsi" w:cstheme="minorBidi"/>
          <w:lang w:eastAsia="en-US"/>
        </w:rPr>
        <w:t> </w:t>
      </w:r>
      <w:r w:rsidRPr="0A7F7EFE">
        <w:rPr>
          <w:rFonts w:asciiTheme="minorHAnsi" w:eastAsiaTheme="minorEastAsia" w:hAnsiTheme="minorHAnsi" w:cstheme="minorBidi"/>
          <w:lang w:eastAsia="en-US"/>
        </w:rPr>
        <w:t>období časově a</w:t>
      </w:r>
      <w:r w:rsidR="00E73464">
        <w:rPr>
          <w:rFonts w:asciiTheme="minorHAnsi" w:eastAsiaTheme="minorEastAsia" w:hAnsiTheme="minorHAnsi" w:cstheme="minorBidi"/>
          <w:lang w:eastAsia="en-US"/>
        </w:rPr>
        <w:t> </w:t>
      </w:r>
      <w:r w:rsidRPr="0A7F7EFE">
        <w:rPr>
          <w:rFonts w:asciiTheme="minorHAnsi" w:eastAsiaTheme="minorEastAsia" w:hAnsiTheme="minorHAnsi" w:cstheme="minorBidi"/>
          <w:lang w:eastAsia="en-US"/>
        </w:rPr>
        <w:t>věcně souvisejícím;</w:t>
      </w:r>
    </w:p>
    <w:p w14:paraId="5E995D1B" w14:textId="77777777" w:rsidR="5AE029DA" w:rsidRDefault="5AE029DA" w:rsidP="00E73464">
      <w:pPr>
        <w:pStyle w:val="Odstavecseseznamem"/>
        <w:numPr>
          <w:ilvl w:val="0"/>
          <w:numId w:val="7"/>
        </w:numPr>
        <w:spacing w:before="0"/>
        <w:ind w:left="284" w:hanging="284"/>
        <w:rPr>
          <w:lang w:eastAsia="en-US"/>
        </w:rPr>
      </w:pPr>
      <w:r w:rsidRPr="0A7F7EFE">
        <w:rPr>
          <w:rFonts w:asciiTheme="minorHAnsi" w:eastAsiaTheme="minorEastAsia" w:hAnsiTheme="minorHAnsi" w:cstheme="minorBidi"/>
          <w:lang w:eastAsia="en-US"/>
        </w:rPr>
        <w:t>nakládání s dočasně nepotřebným dlouhodobým majetkem;</w:t>
      </w:r>
    </w:p>
    <w:p w14:paraId="3C95C307" w14:textId="77777777" w:rsidR="5AE029DA" w:rsidRDefault="5AE029DA" w:rsidP="00E73464">
      <w:pPr>
        <w:pStyle w:val="Odstavecseseznamem"/>
        <w:numPr>
          <w:ilvl w:val="0"/>
          <w:numId w:val="7"/>
        </w:numPr>
        <w:spacing w:before="0"/>
        <w:ind w:left="284" w:hanging="284"/>
        <w:rPr>
          <w:rFonts w:asciiTheme="minorHAnsi" w:eastAsiaTheme="minorEastAsia" w:hAnsiTheme="minorHAnsi" w:cstheme="minorBidi"/>
          <w:lang w:eastAsia="en-US"/>
        </w:rPr>
      </w:pPr>
      <w:r w:rsidRPr="0A7F7EFE">
        <w:rPr>
          <w:rFonts w:asciiTheme="minorHAnsi" w:eastAsiaTheme="minorEastAsia" w:hAnsiTheme="minorHAnsi" w:cstheme="minorBidi"/>
          <w:lang w:eastAsia="en-US"/>
        </w:rPr>
        <w:t>evidence a inventarizace dlouhodobého majetku v letech 201</w:t>
      </w:r>
      <w:r w:rsidR="5C3A0384" w:rsidRPr="0A7F7EFE">
        <w:rPr>
          <w:rFonts w:asciiTheme="minorHAnsi" w:eastAsiaTheme="minorEastAsia" w:hAnsiTheme="minorHAnsi" w:cstheme="minorBidi"/>
          <w:lang w:eastAsia="en-US"/>
        </w:rPr>
        <w:t>9</w:t>
      </w:r>
      <w:r w:rsidRPr="0A7F7EFE">
        <w:rPr>
          <w:rFonts w:asciiTheme="minorHAnsi" w:eastAsiaTheme="minorEastAsia" w:hAnsiTheme="minorHAnsi" w:cstheme="minorBidi"/>
          <w:lang w:eastAsia="en-US"/>
        </w:rPr>
        <w:t>–20</w:t>
      </w:r>
      <w:r w:rsidR="00A74D62" w:rsidRPr="0A7F7EFE">
        <w:rPr>
          <w:rFonts w:asciiTheme="minorHAnsi" w:eastAsiaTheme="minorEastAsia" w:hAnsiTheme="minorHAnsi" w:cstheme="minorBidi"/>
          <w:lang w:eastAsia="en-US"/>
        </w:rPr>
        <w:t>22</w:t>
      </w:r>
      <w:r w:rsidRPr="0A7F7EFE">
        <w:rPr>
          <w:rFonts w:asciiTheme="minorHAnsi" w:eastAsiaTheme="minorEastAsia" w:hAnsiTheme="minorHAnsi" w:cstheme="minorBidi"/>
          <w:lang w:eastAsia="en-US"/>
        </w:rPr>
        <w:t>;</w:t>
      </w:r>
    </w:p>
    <w:p w14:paraId="5867C4CC" w14:textId="77777777" w:rsidR="5AE029DA" w:rsidRDefault="5AE029DA" w:rsidP="00E73464">
      <w:pPr>
        <w:pStyle w:val="Odstavecseseznamem"/>
        <w:numPr>
          <w:ilvl w:val="0"/>
          <w:numId w:val="7"/>
        </w:numPr>
        <w:spacing w:before="0"/>
        <w:ind w:left="284" w:hanging="284"/>
        <w:rPr>
          <w:lang w:eastAsia="en-US"/>
        </w:rPr>
      </w:pPr>
      <w:r w:rsidRPr="0A7F7EFE">
        <w:rPr>
          <w:rFonts w:asciiTheme="minorHAnsi" w:eastAsiaTheme="minorEastAsia" w:hAnsiTheme="minorHAnsi" w:cstheme="minorBidi"/>
          <w:lang w:eastAsia="en-US"/>
        </w:rPr>
        <w:t>vnitřní kontrolní systém</w:t>
      </w:r>
      <w:r w:rsidR="00C42EB6">
        <w:rPr>
          <w:rFonts w:asciiTheme="minorHAnsi" w:eastAsiaTheme="minorEastAsia" w:hAnsiTheme="minorHAnsi" w:cstheme="minorBidi"/>
          <w:lang w:eastAsia="en-US"/>
        </w:rPr>
        <w:t>.</w:t>
      </w:r>
    </w:p>
    <w:p w14:paraId="1FF5BD79" w14:textId="77777777" w:rsidR="0B6E8874" w:rsidRDefault="69A20D28" w:rsidP="00BD0991">
      <w:pPr>
        <w:spacing w:before="120"/>
        <w:rPr>
          <w:rFonts w:asciiTheme="minorHAnsi" w:eastAsiaTheme="minorEastAsia" w:hAnsiTheme="minorHAnsi" w:cstheme="minorBidi"/>
          <w:lang w:eastAsia="en-US"/>
        </w:rPr>
      </w:pPr>
      <w:r w:rsidRPr="71BC3F3B">
        <w:rPr>
          <w:rFonts w:asciiTheme="minorHAnsi" w:eastAsiaTheme="minorEastAsia" w:hAnsiTheme="minorHAnsi" w:cstheme="minorBidi"/>
          <w:lang w:eastAsia="en-US"/>
        </w:rPr>
        <w:t>Kritéria</w:t>
      </w:r>
      <w:r w:rsidR="64F9BC4A" w:rsidRPr="71BC3F3B">
        <w:rPr>
          <w:rFonts w:asciiTheme="minorHAnsi" w:eastAsiaTheme="minorEastAsia" w:hAnsiTheme="minorHAnsi" w:cstheme="minorBidi"/>
          <w:lang w:eastAsia="en-US"/>
        </w:rPr>
        <w:t xml:space="preserve"> legality</w:t>
      </w:r>
      <w:r w:rsidRPr="71BC3F3B">
        <w:rPr>
          <w:rFonts w:asciiTheme="minorHAnsi" w:eastAsiaTheme="minorEastAsia" w:hAnsiTheme="minorHAnsi" w:cstheme="minorBidi"/>
          <w:lang w:eastAsia="en-US"/>
        </w:rPr>
        <w:t xml:space="preserve"> </w:t>
      </w:r>
      <w:r w:rsidR="0BD29485" w:rsidRPr="71BC3F3B">
        <w:rPr>
          <w:rFonts w:asciiTheme="minorHAnsi" w:eastAsiaTheme="minorEastAsia" w:hAnsiTheme="minorHAnsi" w:cstheme="minorBidi"/>
          <w:lang w:eastAsia="en-US"/>
        </w:rPr>
        <w:t>vycházela z</w:t>
      </w:r>
      <w:r w:rsidR="002258DF">
        <w:rPr>
          <w:rFonts w:asciiTheme="minorHAnsi" w:eastAsiaTheme="minorEastAsia" w:hAnsiTheme="minorHAnsi" w:cstheme="minorBidi"/>
          <w:lang w:eastAsia="en-US"/>
        </w:rPr>
        <w:t> příslušných zákonů a prováděcích vyhlášek</w:t>
      </w:r>
      <w:r w:rsidR="007049DC">
        <w:rPr>
          <w:rFonts w:asciiTheme="minorHAnsi" w:eastAsiaTheme="minorEastAsia" w:hAnsiTheme="minorHAnsi" w:cstheme="minorBidi"/>
          <w:lang w:eastAsia="en-US"/>
        </w:rPr>
        <w:t>.</w:t>
      </w:r>
      <w:r w:rsidR="007049DC">
        <w:rPr>
          <w:rStyle w:val="Znakapoznpodarou"/>
          <w:rFonts w:asciiTheme="minorHAnsi" w:eastAsiaTheme="minorEastAsia" w:hAnsiTheme="minorHAnsi" w:cstheme="minorBidi"/>
          <w:lang w:eastAsia="en-US"/>
        </w:rPr>
        <w:footnoteReference w:id="28"/>
      </w:r>
    </w:p>
    <w:p w14:paraId="31728BFF" w14:textId="0DC88EC3" w:rsidR="001E07FB" w:rsidRDefault="001E07FB" w:rsidP="001E07FB">
      <w:pPr>
        <w:spacing w:before="120"/>
        <w:rPr>
          <w:rFonts w:asciiTheme="minorHAnsi" w:eastAsiaTheme="minorEastAsia" w:hAnsiTheme="minorHAnsi" w:cstheme="minorBidi"/>
          <w:lang w:eastAsia="en-US"/>
        </w:rPr>
      </w:pPr>
      <w:r w:rsidRPr="71BC3F3B">
        <w:rPr>
          <w:rFonts w:asciiTheme="minorHAnsi" w:eastAsiaTheme="minorEastAsia" w:hAnsiTheme="minorHAnsi" w:cstheme="minorBidi"/>
          <w:lang w:eastAsia="en-US"/>
        </w:rPr>
        <w:t>Celkový kontrolovaný objem majetku, peněžních prostředků a poskytnutých dotací činil celkem 3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855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403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48</w:t>
      </w:r>
      <w:r>
        <w:rPr>
          <w:rFonts w:asciiTheme="minorHAnsi" w:eastAsiaTheme="minorEastAsia" w:hAnsiTheme="minorHAnsi" w:cstheme="minorBidi"/>
          <w:lang w:eastAsia="en-US"/>
        </w:rPr>
        <w:t>1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Kč. Kontrolovaný objem poskytnutých investičních a neinvestičních dotací za roky 2019</w:t>
      </w:r>
      <w:r w:rsidR="00D03402">
        <w:rPr>
          <w:rFonts w:asciiTheme="minorHAnsi" w:eastAsiaTheme="minorEastAsia" w:hAnsiTheme="minorHAnsi" w:cstheme="minorBidi"/>
          <w:lang w:eastAsia="en-US"/>
        </w:rPr>
        <w:t>–</w:t>
      </w:r>
      <w:r w:rsidRPr="71BC3F3B">
        <w:rPr>
          <w:rFonts w:asciiTheme="minorHAnsi" w:eastAsiaTheme="minorEastAsia" w:hAnsiTheme="minorHAnsi" w:cstheme="minorBidi"/>
          <w:lang w:eastAsia="en-US"/>
        </w:rPr>
        <w:t>2020 u MŠMT činil 1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618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426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597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Kč. Kontrolovaný objem poskytnutých investičních a neinvestičních dotací za roky 2020</w:t>
      </w:r>
      <w:r w:rsidR="00D03402">
        <w:rPr>
          <w:rFonts w:asciiTheme="minorHAnsi" w:eastAsiaTheme="minorEastAsia" w:hAnsiTheme="minorHAnsi" w:cstheme="minorBidi"/>
          <w:lang w:eastAsia="en-US"/>
        </w:rPr>
        <w:t>–</w:t>
      </w:r>
      <w:r w:rsidRPr="71BC3F3B">
        <w:rPr>
          <w:rFonts w:asciiTheme="minorHAnsi" w:eastAsiaTheme="minorEastAsia" w:hAnsiTheme="minorHAnsi" w:cstheme="minorBidi"/>
          <w:lang w:eastAsia="en-US"/>
        </w:rPr>
        <w:t>2022 u NSA činil 2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224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420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190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 xml:space="preserve">Kč. </w:t>
      </w:r>
      <w:r w:rsidRPr="71BC3F3B">
        <w:rPr>
          <w:rFonts w:asciiTheme="minorHAnsi" w:eastAsiaTheme="minorEastAsia" w:hAnsiTheme="minorHAnsi" w:cstheme="minorBidi"/>
          <w:lang w:eastAsia="en-US"/>
        </w:rPr>
        <w:lastRenderedPageBreak/>
        <w:t>Hodnota kontrolovaného majetku NSA za kontrolované období činila 3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252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877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Kč. Objem kontrolovaných peněžních prostředků vynaložených na pořízení majetku a vybraných služeb NSA činil 9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303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817</w:t>
      </w:r>
      <w:r w:rsidR="00D03402">
        <w:rPr>
          <w:rFonts w:asciiTheme="minorHAnsi" w:eastAsiaTheme="minorEastAsia" w:hAnsiTheme="minorHAnsi" w:cstheme="minorBidi"/>
          <w:lang w:eastAsia="en-US"/>
        </w:rPr>
        <w:t> </w:t>
      </w:r>
      <w:r w:rsidRPr="71BC3F3B">
        <w:rPr>
          <w:rFonts w:asciiTheme="minorHAnsi" w:eastAsiaTheme="minorEastAsia" w:hAnsiTheme="minorHAnsi" w:cstheme="minorBidi"/>
          <w:lang w:eastAsia="en-US"/>
        </w:rPr>
        <w:t>Kč.</w:t>
      </w:r>
    </w:p>
    <w:p w14:paraId="12718297" w14:textId="026F981F" w:rsidR="4B6BFFFB" w:rsidRDefault="4B6BFFFB" w:rsidP="00BD0991">
      <w:pPr>
        <w:spacing w:before="120"/>
        <w:rPr>
          <w:rFonts w:asciiTheme="minorHAnsi" w:eastAsiaTheme="minorEastAsia" w:hAnsiTheme="minorHAnsi" w:cstheme="minorBidi"/>
          <w:lang w:eastAsia="en-US"/>
        </w:rPr>
      </w:pPr>
      <w:r w:rsidRPr="29B93764">
        <w:rPr>
          <w:rFonts w:asciiTheme="minorHAnsi" w:eastAsiaTheme="minorEastAsia" w:hAnsiTheme="minorHAnsi" w:cstheme="minorBidi"/>
          <w:lang w:eastAsia="en-US"/>
        </w:rPr>
        <w:t xml:space="preserve">NKÚ podrobil kontrole </w:t>
      </w:r>
      <w:r w:rsidR="1FD4705C" w:rsidRPr="29B93764">
        <w:rPr>
          <w:rFonts w:asciiTheme="minorHAnsi" w:eastAsiaTheme="minorEastAsia" w:hAnsiTheme="minorHAnsi" w:cstheme="minorBidi"/>
          <w:lang w:eastAsia="en-US"/>
        </w:rPr>
        <w:t>u MŠMT šest investičních výzev</w:t>
      </w:r>
      <w:r w:rsidR="7BEC7B35" w:rsidRPr="29B93764">
        <w:rPr>
          <w:rFonts w:asciiTheme="minorHAnsi" w:eastAsiaTheme="minorEastAsia" w:hAnsiTheme="minorHAnsi" w:cstheme="minorBidi"/>
          <w:lang w:eastAsia="en-US"/>
        </w:rPr>
        <w:t xml:space="preserve"> a z nich 12 žádostí o dotaci v celkové hodnotě 287 522 266 Kč</w:t>
      </w:r>
      <w:r w:rsidR="61A58432" w:rsidRPr="29B93764">
        <w:rPr>
          <w:rFonts w:asciiTheme="minorHAnsi" w:eastAsiaTheme="minorEastAsia" w:hAnsiTheme="minorHAnsi" w:cstheme="minorBidi"/>
          <w:lang w:eastAsia="en-US"/>
        </w:rPr>
        <w:t>, dále</w:t>
      </w:r>
      <w:r w:rsidR="7BEC7B35" w:rsidRPr="29B93764">
        <w:rPr>
          <w:rFonts w:asciiTheme="minorHAnsi" w:eastAsiaTheme="minorEastAsia" w:hAnsiTheme="minorHAnsi" w:cstheme="minorBidi"/>
          <w:lang w:eastAsia="en-US"/>
        </w:rPr>
        <w:t xml:space="preserve"> </w:t>
      </w:r>
      <w:r w:rsidR="2EC56785" w:rsidRPr="29B93764">
        <w:rPr>
          <w:rFonts w:asciiTheme="minorHAnsi" w:eastAsiaTheme="minorEastAsia" w:hAnsiTheme="minorHAnsi" w:cstheme="minorBidi"/>
          <w:lang w:eastAsia="en-US"/>
        </w:rPr>
        <w:t>osm neinvestičních výzev</w:t>
      </w:r>
      <w:r w:rsidR="2D828400" w:rsidRPr="29B93764">
        <w:rPr>
          <w:rFonts w:asciiTheme="minorHAnsi" w:eastAsiaTheme="minorEastAsia" w:hAnsiTheme="minorHAnsi" w:cstheme="minorBidi"/>
          <w:lang w:eastAsia="en-US"/>
        </w:rPr>
        <w:t xml:space="preserve"> a z nich 16 žádostí o dotaci v celkové hodnotě 1 330 904 331 Kč.</w:t>
      </w:r>
      <w:r w:rsidRPr="29B93764">
        <w:rPr>
          <w:rFonts w:asciiTheme="minorHAnsi" w:eastAsiaTheme="minorEastAsia" w:hAnsiTheme="minorHAnsi" w:cstheme="minorBidi"/>
          <w:lang w:eastAsia="en-US"/>
        </w:rPr>
        <w:t xml:space="preserve"> </w:t>
      </w:r>
      <w:r w:rsidR="32E490F6" w:rsidRPr="29B93764">
        <w:rPr>
          <w:rFonts w:asciiTheme="minorHAnsi" w:eastAsiaTheme="minorEastAsia" w:hAnsiTheme="minorHAnsi" w:cstheme="minorBidi"/>
          <w:lang w:eastAsia="en-US"/>
        </w:rPr>
        <w:t>U NSA bylo podrobeno kontrole 12</w:t>
      </w:r>
      <w:r w:rsidR="32EBC154" w:rsidRPr="29B93764">
        <w:rPr>
          <w:rFonts w:asciiTheme="minorHAnsi" w:eastAsiaTheme="minorEastAsia" w:hAnsiTheme="minorHAnsi" w:cstheme="minorBidi"/>
          <w:lang w:eastAsia="en-US"/>
        </w:rPr>
        <w:t xml:space="preserve"> investičních</w:t>
      </w:r>
      <w:r w:rsidR="32E490F6" w:rsidRPr="29B93764">
        <w:rPr>
          <w:rFonts w:asciiTheme="minorHAnsi" w:eastAsiaTheme="minorEastAsia" w:hAnsiTheme="minorHAnsi" w:cstheme="minorBidi"/>
          <w:lang w:eastAsia="en-US"/>
        </w:rPr>
        <w:t xml:space="preserve"> výzev, přičemž z</w:t>
      </w:r>
      <w:r w:rsidR="449A1E78" w:rsidRPr="29B93764">
        <w:rPr>
          <w:rFonts w:asciiTheme="minorHAnsi" w:eastAsiaTheme="minorEastAsia" w:hAnsiTheme="minorHAnsi" w:cstheme="minorBidi"/>
          <w:lang w:eastAsia="en-US"/>
        </w:rPr>
        <w:t>e</w:t>
      </w:r>
      <w:r w:rsidR="00F44ECE">
        <w:rPr>
          <w:rFonts w:asciiTheme="minorHAnsi" w:eastAsiaTheme="minorEastAsia" w:hAnsiTheme="minorHAnsi" w:cstheme="minorBidi"/>
          <w:lang w:eastAsia="en-US"/>
        </w:rPr>
        <w:t xml:space="preserve"> </w:t>
      </w:r>
      <w:r w:rsidR="449A1E78" w:rsidRPr="29B93764">
        <w:rPr>
          <w:rFonts w:asciiTheme="minorHAnsi" w:eastAsiaTheme="minorEastAsia" w:hAnsiTheme="minorHAnsi" w:cstheme="minorBidi"/>
          <w:lang w:eastAsia="en-US"/>
        </w:rPr>
        <w:t>sedmi</w:t>
      </w:r>
      <w:r w:rsidR="32E490F6" w:rsidRPr="29B93764">
        <w:rPr>
          <w:rFonts w:asciiTheme="minorHAnsi" w:eastAsiaTheme="minorEastAsia" w:hAnsiTheme="minorHAnsi" w:cstheme="minorBidi"/>
          <w:lang w:eastAsia="en-US"/>
        </w:rPr>
        <w:t xml:space="preserve"> ukončených výzev bylo kon</w:t>
      </w:r>
      <w:r w:rsidR="564F8458" w:rsidRPr="29B93764">
        <w:rPr>
          <w:rFonts w:asciiTheme="minorHAnsi" w:eastAsiaTheme="minorEastAsia" w:hAnsiTheme="minorHAnsi" w:cstheme="minorBidi"/>
          <w:lang w:eastAsia="en-US"/>
        </w:rPr>
        <w:t xml:space="preserve">trolováno 38 investičních akcí v celkové hodnotě </w:t>
      </w:r>
      <w:r w:rsidR="23769809" w:rsidRPr="29B93764">
        <w:rPr>
          <w:rFonts w:asciiTheme="minorHAnsi" w:eastAsiaTheme="minorEastAsia" w:hAnsiTheme="minorHAnsi" w:cstheme="minorBidi"/>
          <w:lang w:eastAsia="en-US"/>
        </w:rPr>
        <w:t>645</w:t>
      </w:r>
      <w:r w:rsidR="00F44ECE">
        <w:rPr>
          <w:rFonts w:asciiTheme="minorHAnsi" w:eastAsiaTheme="minorEastAsia" w:hAnsiTheme="minorHAnsi" w:cstheme="minorBidi"/>
          <w:lang w:eastAsia="en-US"/>
        </w:rPr>
        <w:t> </w:t>
      </w:r>
      <w:r w:rsidR="23769809" w:rsidRPr="29B93764">
        <w:rPr>
          <w:rFonts w:asciiTheme="minorHAnsi" w:eastAsiaTheme="minorEastAsia" w:hAnsiTheme="minorHAnsi" w:cstheme="minorBidi"/>
          <w:lang w:eastAsia="en-US"/>
        </w:rPr>
        <w:t>746</w:t>
      </w:r>
      <w:r w:rsidR="00F44ECE">
        <w:rPr>
          <w:rFonts w:asciiTheme="minorHAnsi" w:eastAsiaTheme="minorEastAsia" w:hAnsiTheme="minorHAnsi" w:cstheme="minorBidi"/>
          <w:lang w:eastAsia="en-US"/>
        </w:rPr>
        <w:t> </w:t>
      </w:r>
      <w:r w:rsidR="23769809" w:rsidRPr="29B93764">
        <w:rPr>
          <w:rFonts w:asciiTheme="minorHAnsi" w:eastAsiaTheme="minorEastAsia" w:hAnsiTheme="minorHAnsi" w:cstheme="minorBidi"/>
          <w:lang w:eastAsia="en-US"/>
        </w:rPr>
        <w:t>061</w:t>
      </w:r>
      <w:r w:rsidR="00F44ECE">
        <w:rPr>
          <w:rFonts w:asciiTheme="minorHAnsi" w:eastAsiaTheme="minorEastAsia" w:hAnsiTheme="minorHAnsi" w:cstheme="minorBidi"/>
          <w:lang w:eastAsia="en-US"/>
        </w:rPr>
        <w:t> </w:t>
      </w:r>
      <w:r w:rsidR="23769809" w:rsidRPr="29B93764">
        <w:rPr>
          <w:rFonts w:asciiTheme="minorHAnsi" w:eastAsiaTheme="minorEastAsia" w:hAnsiTheme="minorHAnsi" w:cstheme="minorBidi"/>
          <w:lang w:eastAsia="en-US"/>
        </w:rPr>
        <w:t xml:space="preserve">Kč, dále </w:t>
      </w:r>
      <w:r w:rsidR="6E6477E0" w:rsidRPr="29B93764">
        <w:rPr>
          <w:rFonts w:asciiTheme="minorHAnsi" w:eastAsiaTheme="minorEastAsia" w:hAnsiTheme="minorHAnsi" w:cstheme="minorBidi"/>
          <w:lang w:eastAsia="en-US"/>
        </w:rPr>
        <w:t xml:space="preserve">12 </w:t>
      </w:r>
      <w:r w:rsidR="71685AD6" w:rsidRPr="29B93764">
        <w:rPr>
          <w:rFonts w:asciiTheme="minorHAnsi" w:eastAsiaTheme="minorEastAsia" w:hAnsiTheme="minorHAnsi" w:cstheme="minorBidi"/>
          <w:lang w:eastAsia="en-US"/>
        </w:rPr>
        <w:t xml:space="preserve">neinvestičních výzev a z nich 64 žádostí o dotaci v celkové hodnotě </w:t>
      </w:r>
      <w:r w:rsidR="05F53947" w:rsidRPr="29B93764">
        <w:rPr>
          <w:rFonts w:asciiTheme="minorHAnsi" w:eastAsiaTheme="minorEastAsia" w:hAnsiTheme="minorHAnsi" w:cstheme="minorBidi"/>
          <w:lang w:eastAsia="en-US"/>
        </w:rPr>
        <w:t>1</w:t>
      </w:r>
      <w:r w:rsidR="00F44ECE">
        <w:rPr>
          <w:rFonts w:asciiTheme="minorHAnsi" w:eastAsiaTheme="minorEastAsia" w:hAnsiTheme="minorHAnsi" w:cstheme="minorBidi"/>
          <w:lang w:eastAsia="en-US"/>
        </w:rPr>
        <w:t> </w:t>
      </w:r>
      <w:r w:rsidR="05F53947" w:rsidRPr="29B93764">
        <w:rPr>
          <w:rFonts w:asciiTheme="minorHAnsi" w:eastAsiaTheme="minorEastAsia" w:hAnsiTheme="minorHAnsi" w:cstheme="minorBidi"/>
          <w:lang w:eastAsia="en-US"/>
        </w:rPr>
        <w:t>578</w:t>
      </w:r>
      <w:r w:rsidR="00F44ECE">
        <w:rPr>
          <w:rFonts w:asciiTheme="minorHAnsi" w:eastAsiaTheme="minorEastAsia" w:hAnsiTheme="minorHAnsi" w:cstheme="minorBidi"/>
          <w:lang w:eastAsia="en-US"/>
        </w:rPr>
        <w:t> </w:t>
      </w:r>
      <w:r w:rsidR="05F53947" w:rsidRPr="29B93764">
        <w:rPr>
          <w:rFonts w:asciiTheme="minorHAnsi" w:eastAsiaTheme="minorEastAsia" w:hAnsiTheme="minorHAnsi" w:cstheme="minorBidi"/>
          <w:lang w:eastAsia="en-US"/>
        </w:rPr>
        <w:t>674</w:t>
      </w:r>
      <w:r w:rsidR="00F44ECE">
        <w:rPr>
          <w:rFonts w:asciiTheme="minorHAnsi" w:eastAsiaTheme="minorEastAsia" w:hAnsiTheme="minorHAnsi" w:cstheme="minorBidi"/>
          <w:lang w:eastAsia="en-US"/>
        </w:rPr>
        <w:t> </w:t>
      </w:r>
      <w:r w:rsidR="05F53947" w:rsidRPr="29B93764">
        <w:rPr>
          <w:rFonts w:asciiTheme="minorHAnsi" w:eastAsiaTheme="minorEastAsia" w:hAnsiTheme="minorHAnsi" w:cstheme="minorBidi"/>
          <w:lang w:eastAsia="en-US"/>
        </w:rPr>
        <w:t>129</w:t>
      </w:r>
      <w:r w:rsidR="00F44ECE">
        <w:rPr>
          <w:rFonts w:asciiTheme="minorHAnsi" w:eastAsiaTheme="minorEastAsia" w:hAnsiTheme="minorHAnsi" w:cstheme="minorBidi"/>
          <w:lang w:eastAsia="en-US"/>
        </w:rPr>
        <w:t> </w:t>
      </w:r>
      <w:r w:rsidR="05F53947" w:rsidRPr="29B93764">
        <w:rPr>
          <w:rFonts w:asciiTheme="minorHAnsi" w:eastAsiaTheme="minorEastAsia" w:hAnsiTheme="minorHAnsi" w:cstheme="minorBidi"/>
          <w:lang w:eastAsia="en-US"/>
        </w:rPr>
        <w:t>Kč</w:t>
      </w:r>
      <w:r w:rsidR="538B15A1" w:rsidRPr="29B93764">
        <w:rPr>
          <w:rFonts w:asciiTheme="minorHAnsi" w:eastAsiaTheme="minorEastAsia" w:hAnsiTheme="minorHAnsi" w:cstheme="minorBidi"/>
          <w:lang w:eastAsia="en-US"/>
        </w:rPr>
        <w:t xml:space="preserve"> (viz </w:t>
      </w:r>
      <w:r w:rsidR="538B15A1" w:rsidRPr="00AD187C">
        <w:rPr>
          <w:rFonts w:asciiTheme="minorHAnsi" w:eastAsiaTheme="minorEastAsia" w:hAnsiTheme="minorHAnsi" w:cstheme="minorBidi"/>
          <w:lang w:eastAsia="en-US"/>
        </w:rPr>
        <w:t xml:space="preserve">příloha č. </w:t>
      </w:r>
      <w:r w:rsidR="00587348">
        <w:rPr>
          <w:rFonts w:asciiTheme="minorHAnsi" w:eastAsiaTheme="minorEastAsia" w:hAnsiTheme="minorHAnsi" w:cstheme="minorBidi"/>
          <w:lang w:eastAsia="en-US"/>
        </w:rPr>
        <w:t>2</w:t>
      </w:r>
      <w:r w:rsidR="538B15A1" w:rsidRPr="00AD187C">
        <w:rPr>
          <w:rFonts w:asciiTheme="minorHAnsi" w:eastAsiaTheme="minorEastAsia" w:hAnsiTheme="minorHAnsi" w:cstheme="minorBidi"/>
          <w:lang w:eastAsia="en-US"/>
        </w:rPr>
        <w:t xml:space="preserve"> tohoto</w:t>
      </w:r>
      <w:r w:rsidR="538B15A1" w:rsidRPr="29B93764">
        <w:rPr>
          <w:rFonts w:asciiTheme="minorHAnsi" w:eastAsiaTheme="minorEastAsia" w:hAnsiTheme="minorHAnsi" w:cstheme="minorBidi"/>
          <w:lang w:eastAsia="en-US"/>
        </w:rPr>
        <w:t xml:space="preserve"> kontrolního závěru).</w:t>
      </w:r>
    </w:p>
    <w:p w14:paraId="27ABA33D" w14:textId="724596F1" w:rsidR="3518E1C0" w:rsidRDefault="3518E1C0" w:rsidP="00BD0991">
      <w:pPr>
        <w:spacing w:before="120"/>
        <w:rPr>
          <w:rFonts w:asciiTheme="minorHAnsi" w:eastAsiaTheme="minorEastAsia" w:hAnsiTheme="minorHAnsi" w:cstheme="minorBidi"/>
          <w:lang w:eastAsia="en-US"/>
        </w:rPr>
      </w:pPr>
      <w:r w:rsidRPr="29B93764">
        <w:rPr>
          <w:rFonts w:asciiTheme="minorHAnsi" w:eastAsiaTheme="minorEastAsia" w:hAnsiTheme="minorHAnsi" w:cstheme="minorBidi"/>
          <w:lang w:eastAsia="en-US"/>
        </w:rPr>
        <w:t>NKÚ</w:t>
      </w:r>
      <w:r w:rsidR="279243EF" w:rsidRPr="29B93764">
        <w:rPr>
          <w:rFonts w:asciiTheme="minorHAnsi" w:eastAsiaTheme="minorEastAsia" w:hAnsiTheme="minorHAnsi" w:cstheme="minorBidi"/>
          <w:lang w:eastAsia="en-US"/>
        </w:rPr>
        <w:t xml:space="preserve"> </w:t>
      </w:r>
      <w:r w:rsidRPr="29B93764">
        <w:rPr>
          <w:rFonts w:asciiTheme="minorHAnsi" w:eastAsiaTheme="minorEastAsia" w:hAnsiTheme="minorHAnsi" w:cstheme="minorBidi"/>
          <w:lang w:eastAsia="en-US"/>
        </w:rPr>
        <w:t>provedl během kontrolní akce kvantitativní výzkum metodou standardizovaného dotazníku, a to ve dvou verzích</w:t>
      </w:r>
      <w:r w:rsidR="00B3534F">
        <w:rPr>
          <w:rFonts w:asciiTheme="minorHAnsi" w:eastAsiaTheme="minorEastAsia" w:hAnsiTheme="minorHAnsi" w:cstheme="minorBidi"/>
          <w:lang w:eastAsia="en-US"/>
        </w:rPr>
        <w:t xml:space="preserve"> –</w:t>
      </w:r>
      <w:r w:rsidRPr="29B93764">
        <w:rPr>
          <w:rFonts w:asciiTheme="minorHAnsi" w:eastAsiaTheme="minorEastAsia" w:hAnsiTheme="minorHAnsi" w:cstheme="minorBidi"/>
          <w:lang w:eastAsia="en-US"/>
        </w:rPr>
        <w:t xml:space="preserve"> </w:t>
      </w:r>
      <w:r w:rsidR="00B3534F">
        <w:rPr>
          <w:rFonts w:asciiTheme="minorHAnsi" w:eastAsiaTheme="minorEastAsia" w:hAnsiTheme="minorHAnsi" w:cstheme="minorBidi"/>
          <w:lang w:eastAsia="en-US"/>
        </w:rPr>
        <w:t>jedna verze</w:t>
      </w:r>
      <w:r w:rsidR="00F454D2">
        <w:rPr>
          <w:rFonts w:asciiTheme="minorHAnsi" w:eastAsiaTheme="minorEastAsia" w:hAnsiTheme="minorHAnsi" w:cstheme="minorBidi"/>
          <w:lang w:eastAsia="en-US"/>
        </w:rPr>
        <w:t xml:space="preserve"> byla určena</w:t>
      </w:r>
      <w:r w:rsidR="00B3534F">
        <w:rPr>
          <w:rFonts w:asciiTheme="minorHAnsi" w:eastAsiaTheme="minorEastAsia" w:hAnsiTheme="minorHAnsi" w:cstheme="minorBidi"/>
          <w:lang w:eastAsia="en-US"/>
        </w:rPr>
        <w:t xml:space="preserve"> </w:t>
      </w:r>
      <w:r w:rsidR="47BB9F34" w:rsidRPr="29B93764">
        <w:rPr>
          <w:rFonts w:asciiTheme="minorHAnsi" w:eastAsiaTheme="minorEastAsia" w:hAnsiTheme="minorHAnsi" w:cstheme="minorBidi"/>
          <w:lang w:eastAsia="en-US"/>
        </w:rPr>
        <w:t>pro sportovní kluby a</w:t>
      </w:r>
      <w:r w:rsidR="00B3534F">
        <w:rPr>
          <w:rFonts w:asciiTheme="minorHAnsi" w:eastAsiaTheme="minorEastAsia" w:hAnsiTheme="minorHAnsi" w:cstheme="minorBidi"/>
          <w:lang w:eastAsia="en-US"/>
        </w:rPr>
        <w:t xml:space="preserve"> druh</w:t>
      </w:r>
      <w:r w:rsidR="00F454D2">
        <w:rPr>
          <w:rFonts w:asciiTheme="minorHAnsi" w:eastAsiaTheme="minorEastAsia" w:hAnsiTheme="minorHAnsi" w:cstheme="minorBidi"/>
          <w:lang w:eastAsia="en-US"/>
        </w:rPr>
        <w:t>á</w:t>
      </w:r>
      <w:r w:rsidR="00B3534F">
        <w:rPr>
          <w:rFonts w:asciiTheme="minorHAnsi" w:eastAsiaTheme="minorEastAsia" w:hAnsiTheme="minorHAnsi" w:cstheme="minorBidi"/>
          <w:lang w:eastAsia="en-US"/>
        </w:rPr>
        <w:t xml:space="preserve"> pro</w:t>
      </w:r>
      <w:r w:rsidR="47BB9F34" w:rsidRPr="29B93764">
        <w:rPr>
          <w:rFonts w:asciiTheme="minorHAnsi" w:eastAsiaTheme="minorEastAsia" w:hAnsiTheme="minorHAnsi" w:cstheme="minorBidi"/>
          <w:lang w:eastAsia="en-US"/>
        </w:rPr>
        <w:t xml:space="preserve"> sportovní svazy.</w:t>
      </w:r>
      <w:r w:rsidRPr="29B93764">
        <w:rPr>
          <w:rFonts w:asciiTheme="minorHAnsi" w:eastAsiaTheme="minorEastAsia" w:hAnsiTheme="minorHAnsi" w:cstheme="minorBidi"/>
          <w:lang w:eastAsia="en-US"/>
        </w:rPr>
        <w:t xml:space="preserve"> </w:t>
      </w:r>
      <w:r w:rsidR="4E223598" w:rsidRPr="29B93764">
        <w:rPr>
          <w:rFonts w:asciiTheme="minorHAnsi" w:eastAsiaTheme="minorEastAsia" w:hAnsiTheme="minorHAnsi" w:cstheme="minorBidi"/>
          <w:lang w:eastAsia="en-US"/>
        </w:rPr>
        <w:t>Účelem dotazníkového šetření bylo získání informací o sportovním prostředí a jeho pohledu na podporu v oblasti sportu. NKÚ prostřednictvím datové schránky oslovil 13</w:t>
      </w:r>
      <w:r w:rsidR="00F454D2">
        <w:rPr>
          <w:rFonts w:asciiTheme="minorHAnsi" w:eastAsiaTheme="minorEastAsia" w:hAnsiTheme="minorHAnsi" w:cstheme="minorBidi"/>
          <w:lang w:eastAsia="en-US"/>
        </w:rPr>
        <w:t> </w:t>
      </w:r>
      <w:r w:rsidR="4E223598" w:rsidRPr="29B93764">
        <w:rPr>
          <w:rFonts w:asciiTheme="minorHAnsi" w:eastAsiaTheme="minorEastAsia" w:hAnsiTheme="minorHAnsi" w:cstheme="minorBidi"/>
          <w:lang w:eastAsia="en-US"/>
        </w:rPr>
        <w:t>417 sportovních klubů a</w:t>
      </w:r>
      <w:r w:rsidR="00F6678D">
        <w:rPr>
          <w:rFonts w:asciiTheme="minorHAnsi" w:eastAsiaTheme="minorEastAsia" w:hAnsiTheme="minorHAnsi" w:cstheme="minorBidi"/>
          <w:lang w:eastAsia="en-US"/>
        </w:rPr>
        <w:t> </w:t>
      </w:r>
      <w:r w:rsidR="4E223598" w:rsidRPr="29B93764">
        <w:rPr>
          <w:rFonts w:asciiTheme="minorHAnsi" w:eastAsiaTheme="minorEastAsia" w:hAnsiTheme="minorHAnsi" w:cstheme="minorBidi"/>
          <w:lang w:eastAsia="en-US"/>
        </w:rPr>
        <w:t>229</w:t>
      </w:r>
      <w:r w:rsidR="00F6678D">
        <w:rPr>
          <w:rFonts w:asciiTheme="minorHAnsi" w:eastAsiaTheme="minorEastAsia" w:hAnsiTheme="minorHAnsi" w:cstheme="minorBidi"/>
          <w:lang w:eastAsia="en-US"/>
        </w:rPr>
        <w:t> </w:t>
      </w:r>
      <w:r w:rsidR="4E223598" w:rsidRPr="29B93764">
        <w:rPr>
          <w:rFonts w:asciiTheme="minorHAnsi" w:eastAsiaTheme="minorEastAsia" w:hAnsiTheme="minorHAnsi" w:cstheme="minorBidi"/>
          <w:lang w:eastAsia="en-US"/>
        </w:rPr>
        <w:t>sportovních svazů (podle dat uvedených v rejstříku sportu).</w:t>
      </w:r>
      <w:r w:rsidR="00ED48D3">
        <w:rPr>
          <w:rFonts w:asciiTheme="minorHAnsi" w:eastAsiaTheme="minorEastAsia" w:hAnsiTheme="minorHAnsi" w:cstheme="minorBidi"/>
          <w:lang w:eastAsia="en-US"/>
        </w:rPr>
        <w:t xml:space="preserve"> </w:t>
      </w:r>
      <w:r w:rsidR="00B819CC">
        <w:rPr>
          <w:rFonts w:asciiTheme="minorHAnsi" w:eastAsiaTheme="minorEastAsia" w:hAnsiTheme="minorHAnsi" w:cstheme="minorBidi"/>
          <w:lang w:eastAsia="en-US"/>
        </w:rPr>
        <w:t>Ú</w:t>
      </w:r>
      <w:r w:rsidR="00ED48D3">
        <w:rPr>
          <w:rFonts w:asciiTheme="minorHAnsi" w:eastAsiaTheme="minorEastAsia" w:hAnsiTheme="minorHAnsi" w:cstheme="minorBidi"/>
          <w:lang w:eastAsia="en-US"/>
        </w:rPr>
        <w:t>čast</w:t>
      </w:r>
      <w:r w:rsidR="008246EA">
        <w:rPr>
          <w:rFonts w:asciiTheme="minorHAnsi" w:eastAsiaTheme="minorEastAsia" w:hAnsiTheme="minorHAnsi" w:cstheme="minorBidi"/>
          <w:lang w:eastAsia="en-US"/>
        </w:rPr>
        <w:t xml:space="preserve"> subjektů</w:t>
      </w:r>
      <w:r w:rsidR="00B819CC">
        <w:rPr>
          <w:rFonts w:asciiTheme="minorHAnsi" w:eastAsiaTheme="minorEastAsia" w:hAnsiTheme="minorHAnsi" w:cstheme="minorBidi"/>
          <w:lang w:eastAsia="en-US"/>
        </w:rPr>
        <w:t xml:space="preserve"> v dotazníkovém šetření </w:t>
      </w:r>
      <w:r w:rsidR="00ED48D3">
        <w:rPr>
          <w:rFonts w:asciiTheme="minorHAnsi" w:eastAsiaTheme="minorEastAsia" w:hAnsiTheme="minorHAnsi" w:cstheme="minorBidi"/>
          <w:lang w:eastAsia="en-US"/>
        </w:rPr>
        <w:t>byla dobrovolná a výsledky byly anonymizovány.</w:t>
      </w:r>
      <w:r w:rsidR="4E223598" w:rsidRPr="29B93764">
        <w:rPr>
          <w:rFonts w:asciiTheme="minorHAnsi" w:eastAsiaTheme="minorEastAsia" w:hAnsiTheme="minorHAnsi" w:cstheme="minorBidi"/>
          <w:lang w:eastAsia="en-US"/>
        </w:rPr>
        <w:t xml:space="preserve"> </w:t>
      </w:r>
      <w:r w:rsidRPr="29B93764">
        <w:rPr>
          <w:rFonts w:asciiTheme="minorHAnsi" w:eastAsiaTheme="minorEastAsia" w:hAnsiTheme="minorHAnsi" w:cstheme="minorBidi"/>
          <w:lang w:eastAsia="en-US"/>
        </w:rPr>
        <w:t xml:space="preserve">Výsledky dotazníkového šetření </w:t>
      </w:r>
      <w:r w:rsidR="00A421C0">
        <w:rPr>
          <w:rFonts w:asciiTheme="minorHAnsi" w:eastAsiaTheme="minorEastAsia" w:hAnsiTheme="minorHAnsi" w:cstheme="minorBidi"/>
          <w:lang w:eastAsia="en-US"/>
        </w:rPr>
        <w:t>jsou uvedeny</w:t>
      </w:r>
      <w:r w:rsidRPr="29B93764">
        <w:rPr>
          <w:rFonts w:asciiTheme="minorHAnsi" w:eastAsiaTheme="minorEastAsia" w:hAnsiTheme="minorHAnsi" w:cstheme="minorBidi"/>
          <w:lang w:eastAsia="en-US"/>
        </w:rPr>
        <w:t xml:space="preserve"> </w:t>
      </w:r>
      <w:r w:rsidR="00A421C0">
        <w:rPr>
          <w:rFonts w:asciiTheme="minorHAnsi" w:eastAsiaTheme="minorEastAsia" w:hAnsiTheme="minorHAnsi" w:cstheme="minorBidi"/>
          <w:lang w:eastAsia="en-US"/>
        </w:rPr>
        <w:t>v</w:t>
      </w:r>
      <w:r w:rsidRPr="29B93764">
        <w:rPr>
          <w:rFonts w:asciiTheme="minorHAnsi" w:eastAsiaTheme="minorEastAsia" w:hAnsiTheme="minorHAnsi" w:cstheme="minorBidi"/>
          <w:lang w:eastAsia="en-US"/>
        </w:rPr>
        <w:t xml:space="preserve"> přílo</w:t>
      </w:r>
      <w:r w:rsidR="00A421C0">
        <w:rPr>
          <w:rFonts w:asciiTheme="minorHAnsi" w:eastAsiaTheme="minorEastAsia" w:hAnsiTheme="minorHAnsi" w:cstheme="minorBidi"/>
          <w:lang w:eastAsia="en-US"/>
        </w:rPr>
        <w:t>ze</w:t>
      </w:r>
      <w:r w:rsidRPr="00AD187C">
        <w:rPr>
          <w:rFonts w:asciiTheme="minorHAnsi" w:eastAsiaTheme="minorEastAsia" w:hAnsiTheme="minorHAnsi" w:cstheme="minorBidi"/>
          <w:lang w:eastAsia="en-US"/>
        </w:rPr>
        <w:t xml:space="preserve"> č. </w:t>
      </w:r>
      <w:r w:rsidR="00587348">
        <w:rPr>
          <w:rFonts w:asciiTheme="minorHAnsi" w:eastAsiaTheme="minorEastAsia" w:hAnsiTheme="minorHAnsi" w:cstheme="minorBidi"/>
          <w:lang w:eastAsia="en-US"/>
        </w:rPr>
        <w:t>3</w:t>
      </w:r>
      <w:r w:rsidRPr="00AD187C">
        <w:rPr>
          <w:rFonts w:asciiTheme="minorHAnsi" w:eastAsiaTheme="minorEastAsia" w:hAnsiTheme="minorHAnsi" w:cstheme="minorBidi"/>
          <w:lang w:eastAsia="en-US"/>
        </w:rPr>
        <w:t xml:space="preserve"> tohoto</w:t>
      </w:r>
      <w:r w:rsidRPr="29B93764">
        <w:rPr>
          <w:rFonts w:asciiTheme="minorHAnsi" w:eastAsiaTheme="minorEastAsia" w:hAnsiTheme="minorHAnsi" w:cstheme="minorBidi"/>
          <w:lang w:eastAsia="en-US"/>
        </w:rPr>
        <w:t xml:space="preserve"> kontrolního závěru.</w:t>
      </w:r>
    </w:p>
    <w:p w14:paraId="7EA22077" w14:textId="099E2826" w:rsidR="6AB52DD5" w:rsidRDefault="6AB52DD5" w:rsidP="00BD0991">
      <w:pPr>
        <w:spacing w:before="120"/>
        <w:rPr>
          <w:rFonts w:asciiTheme="minorHAnsi" w:eastAsiaTheme="minorEastAsia" w:hAnsiTheme="minorHAnsi" w:cstheme="minorBidi"/>
          <w:lang w:eastAsia="en-US"/>
        </w:rPr>
      </w:pPr>
      <w:r w:rsidRPr="29B93764">
        <w:rPr>
          <w:rFonts w:asciiTheme="minorHAnsi" w:eastAsiaTheme="minorEastAsia" w:hAnsiTheme="minorHAnsi" w:cstheme="minorBidi"/>
          <w:lang w:eastAsia="en-US"/>
        </w:rPr>
        <w:t xml:space="preserve">NKÚ dále provedl </w:t>
      </w:r>
      <w:r w:rsidR="00F454D2" w:rsidRPr="29B93764">
        <w:rPr>
          <w:rFonts w:asciiTheme="minorHAnsi" w:eastAsiaTheme="minorEastAsia" w:hAnsiTheme="minorHAnsi" w:cstheme="minorBidi"/>
          <w:lang w:eastAsia="en-US"/>
        </w:rPr>
        <w:t xml:space="preserve">v rámci kontrolní akce </w:t>
      </w:r>
      <w:r w:rsidRPr="29B93764">
        <w:rPr>
          <w:rFonts w:asciiTheme="minorHAnsi" w:eastAsiaTheme="minorEastAsia" w:hAnsiTheme="minorHAnsi" w:cstheme="minorBidi"/>
          <w:lang w:eastAsia="en-US"/>
        </w:rPr>
        <w:t>mezinárodní dotazníkové šetření s cílem získat</w:t>
      </w:r>
      <w:r w:rsidR="005F30D8">
        <w:rPr>
          <w:rFonts w:asciiTheme="minorHAnsi" w:eastAsiaTheme="minorEastAsia" w:hAnsiTheme="minorHAnsi" w:cstheme="minorBidi"/>
          <w:lang w:eastAsia="en-US"/>
        </w:rPr>
        <w:t xml:space="preserve"> </w:t>
      </w:r>
      <w:r w:rsidRPr="29B93764">
        <w:rPr>
          <w:rFonts w:asciiTheme="minorHAnsi" w:eastAsiaTheme="minorEastAsia" w:hAnsiTheme="minorHAnsi" w:cstheme="minorBidi"/>
          <w:lang w:eastAsia="en-US"/>
        </w:rPr>
        <w:t>relevantní informace o oblasti sportu v jiných zemích. Osloven</w:t>
      </w:r>
      <w:r w:rsidR="00237269">
        <w:rPr>
          <w:rFonts w:asciiTheme="minorHAnsi" w:eastAsiaTheme="minorEastAsia" w:hAnsiTheme="minorHAnsi" w:cstheme="minorBidi"/>
          <w:lang w:eastAsia="en-US"/>
        </w:rPr>
        <w:t>o</w:t>
      </w:r>
      <w:r w:rsidRPr="29B93764">
        <w:rPr>
          <w:rFonts w:asciiTheme="minorHAnsi" w:eastAsiaTheme="minorEastAsia" w:hAnsiTheme="minorHAnsi" w:cstheme="minorBidi"/>
          <w:lang w:eastAsia="en-US"/>
        </w:rPr>
        <w:t xml:space="preserve"> byl</w:t>
      </w:r>
      <w:r w:rsidR="00237269">
        <w:rPr>
          <w:rFonts w:asciiTheme="minorHAnsi" w:eastAsiaTheme="minorEastAsia" w:hAnsiTheme="minorHAnsi" w:cstheme="minorBidi"/>
          <w:lang w:eastAsia="en-US"/>
        </w:rPr>
        <w:t>o</w:t>
      </w:r>
      <w:r w:rsidRPr="29B93764">
        <w:rPr>
          <w:rFonts w:asciiTheme="minorHAnsi" w:eastAsiaTheme="minorEastAsia" w:hAnsiTheme="minorHAnsi" w:cstheme="minorBidi"/>
          <w:lang w:eastAsia="en-US"/>
        </w:rPr>
        <w:t xml:space="preserve"> </w:t>
      </w:r>
      <w:r w:rsidR="00237269">
        <w:rPr>
          <w:rFonts w:asciiTheme="minorHAnsi" w:eastAsiaTheme="minorEastAsia" w:hAnsiTheme="minorHAnsi" w:cstheme="minorBidi"/>
          <w:lang w:eastAsia="en-US"/>
        </w:rPr>
        <w:t xml:space="preserve">celkem 47 </w:t>
      </w:r>
      <w:r w:rsidR="035A7586" w:rsidRPr="29B93764">
        <w:rPr>
          <w:rFonts w:asciiTheme="minorHAnsi" w:eastAsiaTheme="minorEastAsia" w:hAnsiTheme="minorHAnsi" w:cstheme="minorBidi"/>
          <w:lang w:eastAsia="en-US"/>
        </w:rPr>
        <w:t>evropsk</w:t>
      </w:r>
      <w:r w:rsidR="00237269">
        <w:rPr>
          <w:rFonts w:asciiTheme="minorHAnsi" w:eastAsiaTheme="minorEastAsia" w:hAnsiTheme="minorHAnsi" w:cstheme="minorBidi"/>
          <w:lang w:eastAsia="en-US"/>
        </w:rPr>
        <w:t>ých</w:t>
      </w:r>
      <w:r w:rsidR="035A7586" w:rsidRPr="29B93764">
        <w:rPr>
          <w:rFonts w:asciiTheme="minorHAnsi" w:eastAsiaTheme="minorEastAsia" w:hAnsiTheme="minorHAnsi" w:cstheme="minorBidi"/>
          <w:lang w:eastAsia="en-US"/>
        </w:rPr>
        <w:t xml:space="preserve"> nejvyšší</w:t>
      </w:r>
      <w:r w:rsidR="00237269">
        <w:rPr>
          <w:rFonts w:asciiTheme="minorHAnsi" w:eastAsiaTheme="minorEastAsia" w:hAnsiTheme="minorHAnsi" w:cstheme="minorBidi"/>
          <w:lang w:eastAsia="en-US"/>
        </w:rPr>
        <w:t>ch</w:t>
      </w:r>
      <w:r w:rsidR="035A7586" w:rsidRPr="29B93764">
        <w:rPr>
          <w:rFonts w:asciiTheme="minorHAnsi" w:eastAsiaTheme="minorEastAsia" w:hAnsiTheme="minorHAnsi" w:cstheme="minorBidi"/>
          <w:lang w:eastAsia="en-US"/>
        </w:rPr>
        <w:t xml:space="preserve"> kontrolní</w:t>
      </w:r>
      <w:r w:rsidR="00237269">
        <w:rPr>
          <w:rFonts w:asciiTheme="minorHAnsi" w:eastAsiaTheme="minorEastAsia" w:hAnsiTheme="minorHAnsi" w:cstheme="minorBidi"/>
          <w:lang w:eastAsia="en-US"/>
        </w:rPr>
        <w:t>ch</w:t>
      </w:r>
      <w:r w:rsidR="035A7586" w:rsidRPr="29B93764">
        <w:rPr>
          <w:rFonts w:asciiTheme="minorHAnsi" w:eastAsiaTheme="minorEastAsia" w:hAnsiTheme="minorHAnsi" w:cstheme="minorBidi"/>
          <w:lang w:eastAsia="en-US"/>
        </w:rPr>
        <w:t xml:space="preserve"> instituc</w:t>
      </w:r>
      <w:r w:rsidR="00237269">
        <w:rPr>
          <w:rFonts w:asciiTheme="minorHAnsi" w:eastAsiaTheme="minorEastAsia" w:hAnsiTheme="minorHAnsi" w:cstheme="minorBidi"/>
          <w:lang w:eastAsia="en-US"/>
        </w:rPr>
        <w:t>í</w:t>
      </w:r>
      <w:r w:rsidR="035A7586" w:rsidRPr="29B93764">
        <w:rPr>
          <w:rFonts w:asciiTheme="minorHAnsi" w:eastAsiaTheme="minorEastAsia" w:hAnsiTheme="minorHAnsi" w:cstheme="minorBidi"/>
          <w:lang w:eastAsia="en-US"/>
        </w:rPr>
        <w:t xml:space="preserve">, přičemž NKÚ obdržel </w:t>
      </w:r>
      <w:r w:rsidR="00237269">
        <w:rPr>
          <w:rFonts w:asciiTheme="minorHAnsi" w:eastAsiaTheme="minorEastAsia" w:hAnsiTheme="minorHAnsi" w:cstheme="minorBidi"/>
          <w:lang w:eastAsia="en-US"/>
        </w:rPr>
        <w:t>odpovědi od</w:t>
      </w:r>
      <w:r w:rsidR="035A7586" w:rsidRPr="29B93764">
        <w:rPr>
          <w:rFonts w:asciiTheme="minorHAnsi" w:eastAsiaTheme="minorEastAsia" w:hAnsiTheme="minorHAnsi" w:cstheme="minorBidi"/>
          <w:lang w:eastAsia="en-US"/>
        </w:rPr>
        <w:t xml:space="preserve"> 17</w:t>
      </w:r>
      <w:r w:rsidR="00237269">
        <w:rPr>
          <w:rFonts w:asciiTheme="minorHAnsi" w:eastAsiaTheme="minorEastAsia" w:hAnsiTheme="minorHAnsi" w:cstheme="minorBidi"/>
          <w:lang w:eastAsia="en-US"/>
        </w:rPr>
        <w:t xml:space="preserve"> z</w:t>
      </w:r>
      <w:r w:rsidR="00695E29">
        <w:rPr>
          <w:rFonts w:asciiTheme="minorHAnsi" w:eastAsiaTheme="minorEastAsia" w:hAnsiTheme="minorHAnsi" w:cstheme="minorBidi"/>
          <w:lang w:eastAsia="en-US"/>
        </w:rPr>
        <w:t> </w:t>
      </w:r>
      <w:r w:rsidR="00237269">
        <w:rPr>
          <w:rFonts w:asciiTheme="minorHAnsi" w:eastAsiaTheme="minorEastAsia" w:hAnsiTheme="minorHAnsi" w:cstheme="minorBidi"/>
          <w:lang w:eastAsia="en-US"/>
        </w:rPr>
        <w:t xml:space="preserve">nich </w:t>
      </w:r>
      <w:r w:rsidR="00F454D2">
        <w:rPr>
          <w:rFonts w:asciiTheme="minorHAnsi" w:eastAsiaTheme="minorEastAsia" w:hAnsiTheme="minorHAnsi" w:cstheme="minorBidi"/>
          <w:lang w:eastAsia="en-US"/>
        </w:rPr>
        <w:t>–</w:t>
      </w:r>
      <w:r w:rsidR="004F05D5">
        <w:rPr>
          <w:rFonts w:asciiTheme="minorHAnsi" w:eastAsiaTheme="minorEastAsia" w:hAnsiTheme="minorHAnsi" w:cstheme="minorBidi"/>
          <w:lang w:eastAsia="en-US"/>
        </w:rPr>
        <w:t xml:space="preserve"> </w:t>
      </w:r>
      <w:r w:rsidR="035A7586" w:rsidRPr="29B93764">
        <w:rPr>
          <w:rFonts w:asciiTheme="minorHAnsi" w:eastAsiaTheme="minorEastAsia" w:hAnsiTheme="minorHAnsi" w:cstheme="minorBidi"/>
          <w:lang w:eastAsia="en-US"/>
        </w:rPr>
        <w:t xml:space="preserve">viz </w:t>
      </w:r>
      <w:r w:rsidR="035A7586" w:rsidRPr="00AD187C">
        <w:rPr>
          <w:rFonts w:asciiTheme="minorHAnsi" w:eastAsiaTheme="minorEastAsia" w:hAnsiTheme="minorHAnsi" w:cstheme="minorBidi"/>
          <w:lang w:eastAsia="en-US"/>
        </w:rPr>
        <w:t>příloha č.</w:t>
      </w:r>
      <w:r w:rsidR="00F6678D">
        <w:rPr>
          <w:rFonts w:asciiTheme="minorHAnsi" w:eastAsiaTheme="minorEastAsia" w:hAnsiTheme="minorHAnsi" w:cstheme="minorBidi"/>
          <w:lang w:eastAsia="en-US"/>
        </w:rPr>
        <w:t> </w:t>
      </w:r>
      <w:r w:rsidR="00587348">
        <w:rPr>
          <w:rFonts w:asciiTheme="minorHAnsi" w:eastAsiaTheme="minorEastAsia" w:hAnsiTheme="minorHAnsi" w:cstheme="minorBidi"/>
          <w:lang w:eastAsia="en-US"/>
        </w:rPr>
        <w:t>4</w:t>
      </w:r>
      <w:r w:rsidR="00F454D2">
        <w:rPr>
          <w:rFonts w:asciiTheme="minorHAnsi" w:eastAsiaTheme="minorEastAsia" w:hAnsiTheme="minorHAnsi" w:cstheme="minorBidi"/>
          <w:lang w:eastAsia="en-US"/>
        </w:rPr>
        <w:t xml:space="preserve"> </w:t>
      </w:r>
      <w:r w:rsidR="035A7586" w:rsidRPr="00AD187C">
        <w:rPr>
          <w:rFonts w:asciiTheme="minorHAnsi" w:eastAsiaTheme="minorEastAsia" w:hAnsiTheme="minorHAnsi" w:cstheme="minorBidi"/>
          <w:lang w:eastAsia="en-US"/>
        </w:rPr>
        <w:t>tohoto</w:t>
      </w:r>
      <w:r w:rsidR="035A7586" w:rsidRPr="29B93764">
        <w:rPr>
          <w:rFonts w:asciiTheme="minorHAnsi" w:eastAsiaTheme="minorEastAsia" w:hAnsiTheme="minorHAnsi" w:cstheme="minorBidi"/>
          <w:lang w:eastAsia="en-US"/>
        </w:rPr>
        <w:t xml:space="preserve"> kontrolního závěru.</w:t>
      </w:r>
    </w:p>
    <w:p w14:paraId="2CC4761C" w14:textId="77777777" w:rsidR="0083260D" w:rsidRDefault="007F5AC1" w:rsidP="005A6717">
      <w:pPr>
        <w:suppressAutoHyphens w:val="0"/>
        <w:autoSpaceDE w:val="0"/>
        <w:autoSpaceDN w:val="0"/>
        <w:adjustRightInd w:val="0"/>
        <w:spacing w:before="480" w:after="720"/>
        <w:rPr>
          <w:rFonts w:eastAsiaTheme="minorHAnsi"/>
          <w:sz w:val="20"/>
          <w:szCs w:val="20"/>
          <w:lang w:eastAsia="en-US"/>
        </w:rPr>
      </w:pPr>
      <w:r w:rsidRPr="00354CA2">
        <w:rPr>
          <w:rFonts w:eastAsiaTheme="minorHAnsi"/>
          <w:b/>
          <w:sz w:val="20"/>
          <w:szCs w:val="20"/>
          <w:lang w:eastAsia="en-US"/>
        </w:rPr>
        <w:t>Pozn.:</w:t>
      </w:r>
      <w:r w:rsidRPr="00AB69A2">
        <w:rPr>
          <w:rFonts w:eastAsiaTheme="minorHAnsi"/>
          <w:sz w:val="20"/>
          <w:szCs w:val="20"/>
          <w:lang w:eastAsia="en-US"/>
        </w:rPr>
        <w:t xml:space="preserve"> Právní předpisy uvedené </w:t>
      </w:r>
      <w:r w:rsidR="005D7BD5">
        <w:rPr>
          <w:rFonts w:eastAsiaTheme="minorHAnsi"/>
          <w:sz w:val="20"/>
          <w:szCs w:val="20"/>
          <w:lang w:eastAsia="en-US"/>
        </w:rPr>
        <w:t>kontrolním závěru</w:t>
      </w:r>
      <w:r w:rsidRPr="00AB69A2">
        <w:rPr>
          <w:rFonts w:eastAsiaTheme="minorHAnsi"/>
          <w:sz w:val="20"/>
          <w:szCs w:val="20"/>
          <w:lang w:eastAsia="en-US"/>
        </w:rPr>
        <w:t xml:space="preserve"> jsou aplikovány ve znění účinném pro kontrolované období.</w:t>
      </w:r>
    </w:p>
    <w:p w14:paraId="07F3D3D6" w14:textId="77777777" w:rsidR="00615372" w:rsidRPr="007E48E4" w:rsidRDefault="00615372" w:rsidP="007E48E4">
      <w:pPr>
        <w:keepNext/>
        <w:suppressAutoHyphens w:val="0"/>
        <w:autoSpaceDE w:val="0"/>
        <w:autoSpaceDN w:val="0"/>
        <w:adjustRightInd w:val="0"/>
        <w:spacing w:before="0" w:after="240"/>
        <w:jc w:val="center"/>
        <w:rPr>
          <w:b/>
          <w:spacing w:val="20"/>
          <w:sz w:val="28"/>
        </w:rPr>
      </w:pPr>
      <w:r w:rsidRPr="007E48E4">
        <w:rPr>
          <w:b/>
          <w:spacing w:val="20"/>
          <w:sz w:val="28"/>
        </w:rPr>
        <w:t>IV. Podrobné skutečnosti zjištěné kontrolou</w:t>
      </w:r>
    </w:p>
    <w:p w14:paraId="30126D0B" w14:textId="77777777" w:rsidR="003B355D" w:rsidRPr="006D1FCE" w:rsidRDefault="007E48E4" w:rsidP="007E48E4">
      <w:pPr>
        <w:pStyle w:val="Nadpis1"/>
        <w:spacing w:after="120"/>
      </w:pPr>
      <w:r>
        <w:t xml:space="preserve">1. </w:t>
      </w:r>
      <w:r w:rsidR="003B355D" w:rsidRPr="006D1FCE">
        <w:t>Nevyhodnoc</w:t>
      </w:r>
      <w:r w:rsidR="00A421C0">
        <w:t xml:space="preserve">ování </w:t>
      </w:r>
      <w:r w:rsidR="003B355D" w:rsidRPr="006D1FCE">
        <w:t>účelnosti a efektivnosti podpory v oblasti sportu</w:t>
      </w:r>
    </w:p>
    <w:p w14:paraId="4DEE1098" w14:textId="77777777" w:rsidR="00F12739" w:rsidRPr="00F12739" w:rsidRDefault="007E48E4" w:rsidP="007E48E4">
      <w:pPr>
        <w:pStyle w:val="Nadpis2"/>
        <w:spacing w:before="240" w:after="120"/>
      </w:pPr>
      <w:r>
        <w:t xml:space="preserve">1.1 </w:t>
      </w:r>
      <w:r w:rsidR="45874948" w:rsidRPr="424C9439">
        <w:t xml:space="preserve">MŠMT </w:t>
      </w:r>
      <w:r w:rsidR="001D26AC">
        <w:t>nestanovilo měřitelné indikátory Koncepce</w:t>
      </w:r>
      <w:r w:rsidR="00536BDD">
        <w:t xml:space="preserve"> 2025</w:t>
      </w:r>
      <w:r w:rsidR="2B98107D" w:rsidRPr="424C9439">
        <w:t>, kter</w:t>
      </w:r>
      <w:r w:rsidR="001D26AC">
        <w:t>é ani</w:t>
      </w:r>
      <w:r w:rsidR="2B98107D" w:rsidRPr="424C9439">
        <w:t xml:space="preserve"> NSA ne</w:t>
      </w:r>
      <w:r w:rsidR="00536BDD">
        <w:t>doplni</w:t>
      </w:r>
      <w:r w:rsidR="2B98107D" w:rsidRPr="424C9439">
        <w:t>la</w:t>
      </w:r>
    </w:p>
    <w:p w14:paraId="40FF69A4" w14:textId="77777777" w:rsidR="162C6628" w:rsidRDefault="162C6628" w:rsidP="00BD0991">
      <w:pPr>
        <w:spacing w:before="120"/>
      </w:pPr>
      <w:r w:rsidRPr="424C9439">
        <w:rPr>
          <w:rFonts w:eastAsia="Calibri"/>
        </w:rPr>
        <w:t xml:space="preserve">MŠMT vypracovalo Koncepci </w:t>
      </w:r>
      <w:r w:rsidR="00454BF8">
        <w:rPr>
          <w:rFonts w:eastAsia="Calibri"/>
        </w:rPr>
        <w:t>2025,</w:t>
      </w:r>
      <w:r w:rsidRPr="424C9439">
        <w:rPr>
          <w:rFonts w:eastAsia="Calibri"/>
        </w:rPr>
        <w:t xml:space="preserve"> která byla schválena vládou ČR</w:t>
      </w:r>
      <w:r w:rsidR="009F5D42">
        <w:rPr>
          <w:rStyle w:val="Znakapoznpodarou"/>
          <w:rFonts w:eastAsia="Calibri"/>
        </w:rPr>
        <w:footnoteReference w:id="29"/>
      </w:r>
      <w:r w:rsidRPr="424C9439">
        <w:rPr>
          <w:rFonts w:eastAsia="Calibri"/>
        </w:rPr>
        <w:t xml:space="preserve"> v červnu 2016. Základním cílem stanoveným v Koncepci 2025 bylo zlepšit podmínky pro sport a státní reprezentaci ČR tak, aby odpovídaly významu sportu pro společnost i jednotlivce, respektovaly tradici i sportovní politiku Evropské unie</w:t>
      </w:r>
      <w:r w:rsidR="008D5A83">
        <w:rPr>
          <w:rFonts w:eastAsia="Calibri"/>
        </w:rPr>
        <w:t>.</w:t>
      </w:r>
    </w:p>
    <w:p w14:paraId="21848AED" w14:textId="77777777" w:rsidR="162C6628" w:rsidRDefault="162C6628" w:rsidP="00BD0991">
      <w:pPr>
        <w:spacing w:before="120"/>
      </w:pPr>
      <w:r w:rsidRPr="424C9439">
        <w:rPr>
          <w:rFonts w:eastAsia="Calibri"/>
        </w:rPr>
        <w:t xml:space="preserve">MŠMT </w:t>
      </w:r>
      <w:r w:rsidR="008246EA" w:rsidRPr="424C9439">
        <w:rPr>
          <w:rFonts w:eastAsia="Calibri"/>
        </w:rPr>
        <w:t>stanovilo</w:t>
      </w:r>
      <w:r w:rsidR="008246EA">
        <w:rPr>
          <w:rFonts w:eastAsia="Calibri"/>
        </w:rPr>
        <w:t xml:space="preserve"> </w:t>
      </w:r>
      <w:r w:rsidR="005E50B3">
        <w:rPr>
          <w:rFonts w:eastAsia="Calibri"/>
        </w:rPr>
        <w:t>v Koncepci 2025</w:t>
      </w:r>
      <w:r w:rsidR="002A0371">
        <w:rPr>
          <w:rFonts w:eastAsia="Calibri"/>
        </w:rPr>
        <w:t xml:space="preserve"> </w:t>
      </w:r>
      <w:r w:rsidRPr="424C9439">
        <w:rPr>
          <w:rFonts w:eastAsia="Calibri"/>
        </w:rPr>
        <w:t>celkem 11 horizontálních priorit, které zohledňovaly oblasti podpory v rámci sportovní politiky:</w:t>
      </w:r>
    </w:p>
    <w:p w14:paraId="74D27179" w14:textId="77777777" w:rsidR="162C6628" w:rsidRDefault="00FC14ED" w:rsidP="007E48E4">
      <w:pPr>
        <w:pStyle w:val="Odstavecseseznamem"/>
        <w:numPr>
          <w:ilvl w:val="0"/>
          <w:numId w:val="4"/>
        </w:numPr>
        <w:spacing w:before="0"/>
        <w:ind w:left="284" w:hanging="284"/>
        <w:rPr>
          <w:rFonts w:eastAsia="Calibri"/>
        </w:rPr>
      </w:pPr>
      <w:r>
        <w:rPr>
          <w:rFonts w:eastAsia="Calibri"/>
        </w:rPr>
        <w:t>z</w:t>
      </w:r>
      <w:r w:rsidR="162C6628" w:rsidRPr="424C9439">
        <w:rPr>
          <w:rFonts w:eastAsia="Calibri"/>
        </w:rPr>
        <w:t>astavit pokles tělesné zdatnosti dětí a mládeže</w:t>
      </w:r>
      <w:r>
        <w:rPr>
          <w:rFonts w:eastAsia="Calibri"/>
        </w:rPr>
        <w:t>;</w:t>
      </w:r>
    </w:p>
    <w:p w14:paraId="485824D2" w14:textId="77777777" w:rsidR="162C6628" w:rsidRDefault="00FC14ED" w:rsidP="007E48E4">
      <w:pPr>
        <w:pStyle w:val="Odstavecseseznamem"/>
        <w:numPr>
          <w:ilvl w:val="0"/>
          <w:numId w:val="4"/>
        </w:numPr>
        <w:spacing w:before="0"/>
        <w:ind w:left="284" w:hanging="284"/>
        <w:rPr>
          <w:rFonts w:eastAsia="Calibri"/>
        </w:rPr>
      </w:pPr>
      <w:r>
        <w:rPr>
          <w:rFonts w:eastAsia="Calibri"/>
        </w:rPr>
        <w:t>z</w:t>
      </w:r>
      <w:r w:rsidR="162C6628" w:rsidRPr="424C9439">
        <w:rPr>
          <w:rFonts w:eastAsia="Calibri"/>
        </w:rPr>
        <w:t>astavit růst nadváhy a obezity u dětí a mládeže</w:t>
      </w:r>
      <w:r>
        <w:rPr>
          <w:rFonts w:eastAsia="Calibri"/>
        </w:rPr>
        <w:t>;</w:t>
      </w:r>
    </w:p>
    <w:p w14:paraId="78895B7C" w14:textId="77777777" w:rsidR="162C6628" w:rsidRDefault="00FC14ED" w:rsidP="007E48E4">
      <w:pPr>
        <w:pStyle w:val="Odstavecseseznamem"/>
        <w:numPr>
          <w:ilvl w:val="0"/>
          <w:numId w:val="4"/>
        </w:numPr>
        <w:spacing w:before="0"/>
        <w:ind w:left="284" w:hanging="284"/>
        <w:rPr>
          <w:rFonts w:eastAsia="Calibri"/>
        </w:rPr>
      </w:pPr>
      <w:r>
        <w:rPr>
          <w:rFonts w:eastAsia="Calibri"/>
        </w:rPr>
        <w:t>z</w:t>
      </w:r>
      <w:r w:rsidR="162C6628" w:rsidRPr="424C9439">
        <w:rPr>
          <w:rFonts w:eastAsia="Calibri"/>
        </w:rPr>
        <w:t>vyšovat úroveň pohybové gramotnosti</w:t>
      </w:r>
      <w:r>
        <w:rPr>
          <w:rFonts w:eastAsia="Calibri"/>
        </w:rPr>
        <w:t>;</w:t>
      </w:r>
    </w:p>
    <w:p w14:paraId="4887A406" w14:textId="77777777" w:rsidR="162C6628" w:rsidRDefault="00FC14ED" w:rsidP="007E48E4">
      <w:pPr>
        <w:pStyle w:val="Odstavecseseznamem"/>
        <w:numPr>
          <w:ilvl w:val="0"/>
          <w:numId w:val="4"/>
        </w:numPr>
        <w:spacing w:before="0"/>
        <w:ind w:left="284" w:hanging="284"/>
        <w:rPr>
          <w:rFonts w:eastAsia="Calibri"/>
        </w:rPr>
      </w:pPr>
      <w:r>
        <w:rPr>
          <w:rFonts w:eastAsia="Calibri"/>
        </w:rPr>
        <w:t>s</w:t>
      </w:r>
      <w:r w:rsidR="162C6628" w:rsidRPr="424C9439">
        <w:rPr>
          <w:rFonts w:eastAsia="Calibri"/>
        </w:rPr>
        <w:t>nižovat ekonomickou spoluúčast rodin ve sportu</w:t>
      </w:r>
      <w:r>
        <w:rPr>
          <w:rFonts w:eastAsia="Calibri"/>
        </w:rPr>
        <w:t>;</w:t>
      </w:r>
    </w:p>
    <w:p w14:paraId="16AC5D50" w14:textId="77777777" w:rsidR="162C6628" w:rsidRDefault="00FC14ED" w:rsidP="007E48E4">
      <w:pPr>
        <w:pStyle w:val="Odstavecseseznamem"/>
        <w:numPr>
          <w:ilvl w:val="0"/>
          <w:numId w:val="4"/>
        </w:numPr>
        <w:spacing w:before="0"/>
        <w:ind w:left="284" w:hanging="284"/>
        <w:rPr>
          <w:rFonts w:eastAsia="Calibri"/>
        </w:rPr>
      </w:pPr>
      <w:r>
        <w:rPr>
          <w:rFonts w:eastAsia="Calibri"/>
        </w:rPr>
        <w:t>t</w:t>
      </w:r>
      <w:r w:rsidR="162C6628" w:rsidRPr="424C9439">
        <w:rPr>
          <w:rFonts w:eastAsia="Calibri"/>
        </w:rPr>
        <w:t>ransparentnost, evidence a otevřenost informací ve sportu</w:t>
      </w:r>
      <w:r>
        <w:rPr>
          <w:rFonts w:eastAsia="Calibri"/>
        </w:rPr>
        <w:t>;</w:t>
      </w:r>
    </w:p>
    <w:p w14:paraId="6D848573" w14:textId="77777777" w:rsidR="162C6628" w:rsidRDefault="00FC14ED" w:rsidP="007E48E4">
      <w:pPr>
        <w:pStyle w:val="Odstavecseseznamem"/>
        <w:numPr>
          <w:ilvl w:val="0"/>
          <w:numId w:val="4"/>
        </w:numPr>
        <w:spacing w:before="0"/>
        <w:ind w:left="284" w:hanging="284"/>
        <w:rPr>
          <w:rFonts w:eastAsia="Calibri"/>
        </w:rPr>
      </w:pPr>
      <w:r>
        <w:rPr>
          <w:rFonts w:eastAsia="Calibri"/>
        </w:rPr>
        <w:t>a</w:t>
      </w:r>
      <w:r w:rsidR="162C6628" w:rsidRPr="424C9439">
        <w:rPr>
          <w:rFonts w:eastAsia="Calibri"/>
        </w:rPr>
        <w:t>ktivní boj proti negativním jevům ve sportu</w:t>
      </w:r>
      <w:r>
        <w:rPr>
          <w:rFonts w:eastAsia="Calibri"/>
        </w:rPr>
        <w:t>;</w:t>
      </w:r>
    </w:p>
    <w:p w14:paraId="1000803F" w14:textId="77777777" w:rsidR="162C6628" w:rsidRDefault="00FC14ED" w:rsidP="007E48E4">
      <w:pPr>
        <w:pStyle w:val="Odstavecseseznamem"/>
        <w:numPr>
          <w:ilvl w:val="0"/>
          <w:numId w:val="4"/>
        </w:numPr>
        <w:spacing w:before="0"/>
        <w:ind w:left="284" w:hanging="284"/>
        <w:rPr>
          <w:rFonts w:eastAsia="Calibri"/>
        </w:rPr>
      </w:pPr>
      <w:r>
        <w:rPr>
          <w:rFonts w:eastAsia="Calibri"/>
        </w:rPr>
        <w:lastRenderedPageBreak/>
        <w:t>r</w:t>
      </w:r>
      <w:r w:rsidR="162C6628" w:rsidRPr="424C9439">
        <w:rPr>
          <w:rFonts w:eastAsia="Calibri"/>
        </w:rPr>
        <w:t>ovné příležitosti</w:t>
      </w:r>
      <w:r>
        <w:rPr>
          <w:rFonts w:eastAsia="Calibri"/>
        </w:rPr>
        <w:t>;</w:t>
      </w:r>
    </w:p>
    <w:p w14:paraId="7E44A0EA" w14:textId="77777777" w:rsidR="162C6628" w:rsidRDefault="00FC14ED" w:rsidP="007E48E4">
      <w:pPr>
        <w:pStyle w:val="Odstavecseseznamem"/>
        <w:numPr>
          <w:ilvl w:val="0"/>
          <w:numId w:val="4"/>
        </w:numPr>
        <w:spacing w:before="0"/>
        <w:ind w:left="284" w:hanging="284"/>
        <w:rPr>
          <w:rFonts w:eastAsia="Calibri"/>
        </w:rPr>
      </w:pPr>
      <w:r>
        <w:rPr>
          <w:rFonts w:eastAsia="Calibri"/>
        </w:rPr>
        <w:t>m</w:t>
      </w:r>
      <w:r w:rsidR="162C6628" w:rsidRPr="424C9439">
        <w:rPr>
          <w:rFonts w:eastAsia="Calibri"/>
        </w:rPr>
        <w:t>eziresortní a mezisektorový přístup</w:t>
      </w:r>
      <w:r>
        <w:rPr>
          <w:rFonts w:eastAsia="Calibri"/>
        </w:rPr>
        <w:t>;</w:t>
      </w:r>
    </w:p>
    <w:p w14:paraId="29DE1B68" w14:textId="77777777" w:rsidR="162C6628" w:rsidRDefault="00FC14ED" w:rsidP="007E48E4">
      <w:pPr>
        <w:pStyle w:val="Odstavecseseznamem"/>
        <w:numPr>
          <w:ilvl w:val="0"/>
          <w:numId w:val="4"/>
        </w:numPr>
        <w:spacing w:before="0"/>
        <w:ind w:left="284" w:hanging="284"/>
        <w:rPr>
          <w:rFonts w:eastAsia="Calibri"/>
        </w:rPr>
      </w:pPr>
      <w:r>
        <w:rPr>
          <w:rFonts w:eastAsia="Calibri"/>
        </w:rPr>
        <w:t>s</w:t>
      </w:r>
      <w:r w:rsidR="162C6628" w:rsidRPr="424C9439">
        <w:rPr>
          <w:rFonts w:eastAsia="Calibri"/>
        </w:rPr>
        <w:t>polupráce státní správy a regionálních či místních samospráv</w:t>
      </w:r>
      <w:r>
        <w:rPr>
          <w:rFonts w:eastAsia="Calibri"/>
        </w:rPr>
        <w:t>;</w:t>
      </w:r>
    </w:p>
    <w:p w14:paraId="48CE3BEC" w14:textId="77777777" w:rsidR="162C6628" w:rsidRDefault="00FC14ED" w:rsidP="007E48E4">
      <w:pPr>
        <w:pStyle w:val="Odstavecseseznamem"/>
        <w:numPr>
          <w:ilvl w:val="0"/>
          <w:numId w:val="4"/>
        </w:numPr>
        <w:spacing w:before="0"/>
        <w:ind w:left="284" w:hanging="284"/>
        <w:rPr>
          <w:rFonts w:eastAsia="Calibri"/>
        </w:rPr>
      </w:pPr>
      <w:r>
        <w:rPr>
          <w:rFonts w:eastAsia="Calibri"/>
        </w:rPr>
        <w:t>z</w:t>
      </w:r>
      <w:r w:rsidR="162C6628" w:rsidRPr="424C9439">
        <w:rPr>
          <w:rFonts w:eastAsia="Calibri"/>
        </w:rPr>
        <w:t>apojení sportovních odborníků a sportovců do rozhodovacích procesů samospráv</w:t>
      </w:r>
      <w:r>
        <w:rPr>
          <w:rFonts w:eastAsia="Calibri"/>
        </w:rPr>
        <w:t>;</w:t>
      </w:r>
    </w:p>
    <w:p w14:paraId="2ADDB017" w14:textId="77777777" w:rsidR="162C6628" w:rsidRDefault="00FC14ED" w:rsidP="007E48E4">
      <w:pPr>
        <w:pStyle w:val="Odstavecseseznamem"/>
        <w:numPr>
          <w:ilvl w:val="0"/>
          <w:numId w:val="4"/>
        </w:numPr>
        <w:spacing w:before="0"/>
        <w:ind w:left="284" w:hanging="284"/>
        <w:rPr>
          <w:rFonts w:eastAsia="Calibri"/>
        </w:rPr>
      </w:pPr>
      <w:r>
        <w:rPr>
          <w:rFonts w:eastAsia="Calibri"/>
        </w:rPr>
        <w:t>p</w:t>
      </w:r>
      <w:r w:rsidR="162C6628" w:rsidRPr="424C9439">
        <w:rPr>
          <w:rFonts w:eastAsia="Calibri"/>
        </w:rPr>
        <w:t>odpora dobrovolnictví a trenérství jako zájmové činnosti.</w:t>
      </w:r>
    </w:p>
    <w:p w14:paraId="15B936A7" w14:textId="49C953A0" w:rsidR="162C6628" w:rsidRPr="00536BDD" w:rsidRDefault="381BD2C3" w:rsidP="00BD0991">
      <w:pPr>
        <w:spacing w:before="120"/>
        <w:rPr>
          <w:rFonts w:eastAsia="Calibri"/>
        </w:rPr>
      </w:pPr>
      <w:r w:rsidRPr="7D1F5B88">
        <w:rPr>
          <w:rFonts w:eastAsia="Calibri"/>
        </w:rPr>
        <w:t xml:space="preserve">Dále definovalo osm tematických oblastí, které obsahovaly celkem 33 strategických cílů. </w:t>
      </w:r>
      <w:r w:rsidR="00843DF5">
        <w:rPr>
          <w:rFonts w:eastAsia="Calibri"/>
        </w:rPr>
        <w:t xml:space="preserve">MŠMT v </w:t>
      </w:r>
      <w:r w:rsidRPr="7D1F5B88">
        <w:rPr>
          <w:rFonts w:eastAsia="Calibri"/>
        </w:rPr>
        <w:t>Koncepc</w:t>
      </w:r>
      <w:r w:rsidR="00843DF5">
        <w:rPr>
          <w:rFonts w:eastAsia="Calibri"/>
        </w:rPr>
        <w:t>i</w:t>
      </w:r>
      <w:r w:rsidRPr="7D1F5B88">
        <w:rPr>
          <w:rFonts w:eastAsia="Calibri"/>
        </w:rPr>
        <w:t xml:space="preserve"> 2025 </w:t>
      </w:r>
      <w:r w:rsidR="00843DF5">
        <w:rPr>
          <w:rFonts w:eastAsia="Calibri"/>
        </w:rPr>
        <w:t>s</w:t>
      </w:r>
      <w:r w:rsidRPr="7D1F5B88">
        <w:rPr>
          <w:rFonts w:eastAsia="Calibri"/>
        </w:rPr>
        <w:t>tanov</w:t>
      </w:r>
      <w:r w:rsidR="00843DF5">
        <w:rPr>
          <w:rFonts w:eastAsia="Calibri"/>
        </w:rPr>
        <w:t>ilo</w:t>
      </w:r>
      <w:r w:rsidRPr="7D1F5B88">
        <w:rPr>
          <w:rFonts w:eastAsia="Calibri"/>
        </w:rPr>
        <w:t xml:space="preserve"> strategické cíle nesplňující</w:t>
      </w:r>
      <w:r w:rsidR="00DB7A57">
        <w:rPr>
          <w:rFonts w:eastAsia="Calibri"/>
        </w:rPr>
        <w:t xml:space="preserve"> </w:t>
      </w:r>
      <w:r w:rsidR="00D54CE4">
        <w:rPr>
          <w:rFonts w:eastAsia="Calibri"/>
        </w:rPr>
        <w:t>některé</w:t>
      </w:r>
      <w:r w:rsidRPr="7D1F5B88">
        <w:rPr>
          <w:rFonts w:eastAsia="Calibri"/>
        </w:rPr>
        <w:t xml:space="preserve"> podmínky SMART</w:t>
      </w:r>
      <w:r w:rsidR="006221FF">
        <w:rPr>
          <w:rFonts w:eastAsia="Calibri"/>
        </w:rPr>
        <w:t>.</w:t>
      </w:r>
      <w:r w:rsidR="00B14F01">
        <w:rPr>
          <w:rStyle w:val="Znakapoznpodarou"/>
          <w:rFonts w:eastAsia="Calibri"/>
        </w:rPr>
        <w:footnoteReference w:id="30"/>
      </w:r>
      <w:r w:rsidRPr="7D1F5B88">
        <w:rPr>
          <w:rFonts w:eastAsia="Calibri"/>
        </w:rPr>
        <w:t xml:space="preserve"> </w:t>
      </w:r>
      <w:r w:rsidR="006221FF">
        <w:rPr>
          <w:rFonts w:eastAsia="Calibri"/>
        </w:rPr>
        <w:t>Stanovené cíle nebyly konkrétní, měřitelné a v některých případech dosažitelné. N</w:t>
      </w:r>
      <w:r w:rsidR="00DB7A57">
        <w:rPr>
          <w:rFonts w:eastAsia="Calibri"/>
        </w:rPr>
        <w:t>apř</w:t>
      </w:r>
      <w:r w:rsidRPr="7D1F5B88">
        <w:rPr>
          <w:rFonts w:eastAsia="Calibri"/>
        </w:rPr>
        <w:t>. strategické cíle neobsahovaly měřitelné indikátory, které by umožňovaly jejich monitorování a</w:t>
      </w:r>
      <w:r w:rsidR="00F6678D">
        <w:rPr>
          <w:rFonts w:eastAsia="Calibri"/>
        </w:rPr>
        <w:t> </w:t>
      </w:r>
      <w:r w:rsidRPr="7D1F5B88">
        <w:rPr>
          <w:rFonts w:eastAsia="Calibri"/>
        </w:rPr>
        <w:t>vyhodnocování míry jejich naplňování. NSA od MŠMT převzala tuto koncepci, kterou však neaktualizovala a nedoplnila měřitelné indikátory</w:t>
      </w:r>
      <w:r w:rsidR="00B14F01">
        <w:rPr>
          <w:rStyle w:val="Znakapoznpodarou"/>
          <w:rFonts w:eastAsia="Calibri"/>
        </w:rPr>
        <w:footnoteReference w:id="31"/>
      </w:r>
      <w:r w:rsidRPr="7D1F5B88">
        <w:rPr>
          <w:rFonts w:eastAsia="Calibri"/>
        </w:rPr>
        <w:t xml:space="preserve">. </w:t>
      </w:r>
    </w:p>
    <w:p w14:paraId="7D726567" w14:textId="7C83A83F" w:rsidR="1BA9246E" w:rsidRDefault="1BA9246E" w:rsidP="00BD0991">
      <w:pPr>
        <w:spacing w:before="120"/>
        <w:rPr>
          <w:rFonts w:eastAsia="Calibri"/>
        </w:rPr>
      </w:pPr>
      <w:r w:rsidRPr="7D1F5B88">
        <w:rPr>
          <w:rFonts w:eastAsia="Calibri"/>
        </w:rPr>
        <w:t xml:space="preserve">NSA v letech 2020 až 2022 postupovala v </w:t>
      </w:r>
      <w:r w:rsidR="00292C69">
        <w:rPr>
          <w:rFonts w:eastAsia="Calibri"/>
        </w:rPr>
        <w:t>rozporu</w:t>
      </w:r>
      <w:r w:rsidRPr="7D1F5B88">
        <w:rPr>
          <w:rFonts w:eastAsia="Calibri"/>
        </w:rPr>
        <w:t xml:space="preserve"> </w:t>
      </w:r>
      <w:r w:rsidR="00F454D2">
        <w:rPr>
          <w:rFonts w:eastAsia="Calibri"/>
        </w:rPr>
        <w:t>s </w:t>
      </w:r>
      <w:r w:rsidR="00292C69">
        <w:rPr>
          <w:rFonts w:eastAsia="Calibri"/>
        </w:rPr>
        <w:t>rozpočtový</w:t>
      </w:r>
      <w:r w:rsidR="00F454D2">
        <w:rPr>
          <w:rFonts w:eastAsia="Calibri"/>
        </w:rPr>
        <w:t>mi</w:t>
      </w:r>
      <w:r w:rsidR="00292C69">
        <w:rPr>
          <w:rFonts w:eastAsia="Calibri"/>
        </w:rPr>
        <w:t xml:space="preserve"> pravidl</w:t>
      </w:r>
      <w:r w:rsidR="00F454D2">
        <w:rPr>
          <w:rFonts w:eastAsia="Calibri"/>
        </w:rPr>
        <w:t>y</w:t>
      </w:r>
      <w:r w:rsidR="00292C69">
        <w:rPr>
          <w:rStyle w:val="Znakapoznpodarou"/>
          <w:rFonts w:eastAsia="Calibri"/>
        </w:rPr>
        <w:footnoteReference w:id="32"/>
      </w:r>
      <w:r w:rsidRPr="7D1F5B88">
        <w:rPr>
          <w:rFonts w:eastAsia="Calibri"/>
        </w:rPr>
        <w:t xml:space="preserve"> tím</w:t>
      </w:r>
      <w:r w:rsidR="00A421C0">
        <w:rPr>
          <w:rFonts w:eastAsia="Calibri"/>
        </w:rPr>
        <w:t>,</w:t>
      </w:r>
      <w:r w:rsidRPr="7D1F5B88">
        <w:rPr>
          <w:rFonts w:eastAsia="Calibri"/>
        </w:rPr>
        <w:t xml:space="preserve"> že nesledovala a nevyhodnocovala efektivnost a účelnost výdajů vynaložených na</w:t>
      </w:r>
      <w:r w:rsidR="00F454D2">
        <w:rPr>
          <w:rFonts w:eastAsia="Calibri"/>
        </w:rPr>
        <w:t xml:space="preserve"> </w:t>
      </w:r>
      <w:r w:rsidRPr="7D1F5B88">
        <w:rPr>
          <w:rFonts w:eastAsia="Calibri"/>
        </w:rPr>
        <w:t xml:space="preserve">dosažení očekávaných dopadů v podobě stanovených horizontálních priorit </w:t>
      </w:r>
      <w:r w:rsidR="00651A63" w:rsidRPr="7D1F5B88">
        <w:rPr>
          <w:rFonts w:eastAsia="Calibri"/>
        </w:rPr>
        <w:t xml:space="preserve">Koncepce 2025 </w:t>
      </w:r>
      <w:r w:rsidRPr="7D1F5B88">
        <w:rPr>
          <w:rFonts w:eastAsia="Calibri"/>
        </w:rPr>
        <w:t>(např.</w:t>
      </w:r>
      <w:r w:rsidR="00F6678D">
        <w:rPr>
          <w:rFonts w:eastAsia="Calibri"/>
        </w:rPr>
        <w:t> </w:t>
      </w:r>
      <w:r w:rsidRPr="7D1F5B88">
        <w:rPr>
          <w:rFonts w:eastAsia="Calibri"/>
        </w:rPr>
        <w:t xml:space="preserve">zastavení poklesu tělesné zdatnosti dětí a mládeže, </w:t>
      </w:r>
      <w:r w:rsidR="00843DF5">
        <w:rPr>
          <w:rFonts w:eastAsia="Calibri"/>
        </w:rPr>
        <w:t xml:space="preserve">zastavení </w:t>
      </w:r>
      <w:r w:rsidRPr="7D1F5B88">
        <w:rPr>
          <w:rFonts w:eastAsia="Calibri"/>
        </w:rPr>
        <w:t>růst</w:t>
      </w:r>
      <w:r w:rsidR="00843DF5">
        <w:rPr>
          <w:rFonts w:eastAsia="Calibri"/>
        </w:rPr>
        <w:t>u</w:t>
      </w:r>
      <w:r w:rsidRPr="7D1F5B88">
        <w:rPr>
          <w:rFonts w:eastAsia="Calibri"/>
        </w:rPr>
        <w:t xml:space="preserve"> nadváhy a obezity u dětí a</w:t>
      </w:r>
      <w:r w:rsidR="00F6678D">
        <w:rPr>
          <w:rFonts w:eastAsia="Calibri"/>
        </w:rPr>
        <w:t> </w:t>
      </w:r>
      <w:r w:rsidRPr="7D1F5B88">
        <w:rPr>
          <w:rFonts w:eastAsia="Calibri"/>
        </w:rPr>
        <w:t>mládeže či snížení ekonomické spoluúčasti rodin ve sportu).</w:t>
      </w:r>
    </w:p>
    <w:p w14:paraId="28A91E39" w14:textId="77777777" w:rsidR="00536BDD" w:rsidRPr="00536BDD" w:rsidRDefault="007E48E4" w:rsidP="007E48E4">
      <w:pPr>
        <w:pStyle w:val="Nadpis2"/>
        <w:spacing w:before="240" w:after="120"/>
        <w:rPr>
          <w:rFonts w:eastAsia="Calibri"/>
        </w:rPr>
      </w:pPr>
      <w:r>
        <w:rPr>
          <w:rFonts w:eastAsia="Calibri"/>
        </w:rPr>
        <w:t xml:space="preserve">1.2 </w:t>
      </w:r>
      <w:r w:rsidR="00536BDD">
        <w:rPr>
          <w:rFonts w:eastAsia="Calibri"/>
        </w:rPr>
        <w:t>MŠMT ani NSA neprovázaly opatření a</w:t>
      </w:r>
      <w:r w:rsidR="00536BDD" w:rsidRPr="00536BDD">
        <w:rPr>
          <w:rFonts w:eastAsia="Calibri"/>
        </w:rPr>
        <w:t>kční</w:t>
      </w:r>
      <w:r w:rsidR="00536BDD">
        <w:rPr>
          <w:rFonts w:eastAsia="Calibri"/>
        </w:rPr>
        <w:t>ch</w:t>
      </w:r>
      <w:r w:rsidR="00536BDD" w:rsidRPr="00536BDD">
        <w:rPr>
          <w:rFonts w:eastAsia="Calibri"/>
        </w:rPr>
        <w:t xml:space="preserve"> plán</w:t>
      </w:r>
      <w:r w:rsidR="00536BDD">
        <w:rPr>
          <w:rFonts w:eastAsia="Calibri"/>
        </w:rPr>
        <w:t>ů s cíli Koncepce 2025</w:t>
      </w:r>
      <w:r w:rsidR="00536BDD" w:rsidRPr="00536BDD">
        <w:rPr>
          <w:rFonts w:eastAsia="Calibri"/>
        </w:rPr>
        <w:t xml:space="preserve"> </w:t>
      </w:r>
    </w:p>
    <w:p w14:paraId="7AF949A5" w14:textId="77777777" w:rsidR="162C6628" w:rsidRDefault="162C6628" w:rsidP="00BD0991">
      <w:pPr>
        <w:spacing w:before="120"/>
      </w:pPr>
      <w:r w:rsidRPr="424C9439">
        <w:rPr>
          <w:rFonts w:eastAsia="Calibri"/>
        </w:rPr>
        <w:t>MŠMT mělo vypracovat a předložit vládě dvouleté akční</w:t>
      </w:r>
      <w:r w:rsidR="00292C69">
        <w:rPr>
          <w:rStyle w:val="Znakapoznpodarou"/>
          <w:rFonts w:eastAsia="Calibri"/>
        </w:rPr>
        <w:footnoteReference w:id="33"/>
      </w:r>
      <w:r w:rsidRPr="424C9439">
        <w:rPr>
          <w:rFonts w:eastAsia="Calibri"/>
        </w:rPr>
        <w:t xml:space="preserve"> plány naplňující Koncepci</w:t>
      </w:r>
      <w:r w:rsidR="008D5A83">
        <w:rPr>
          <w:rFonts w:eastAsia="Calibri"/>
        </w:rPr>
        <w:t xml:space="preserve"> 2025</w:t>
      </w:r>
      <w:r w:rsidRPr="424C9439">
        <w:rPr>
          <w:rFonts w:eastAsia="Calibri"/>
        </w:rPr>
        <w:t>, a</w:t>
      </w:r>
      <w:r w:rsidR="00F6678D">
        <w:rPr>
          <w:rFonts w:eastAsia="Calibri"/>
        </w:rPr>
        <w:t> </w:t>
      </w:r>
      <w:r w:rsidRPr="424C9439">
        <w:rPr>
          <w:rFonts w:eastAsia="Calibri"/>
        </w:rPr>
        <w:t>to celkem čtyři. Po vzniku NSA přešla tato povinnost na NSA.</w:t>
      </w:r>
      <w:r w:rsidR="00305EA6" w:rsidRPr="00305EA6">
        <w:rPr>
          <w:rFonts w:eastAsia="Calibri"/>
        </w:rPr>
        <w:t xml:space="preserve"> </w:t>
      </w:r>
      <w:r w:rsidR="00305EA6">
        <w:rPr>
          <w:rFonts w:eastAsia="Calibri"/>
        </w:rPr>
        <w:t>Akční plány ani jiné dokumenty ovšem neobsahovaly výše zmíněné měřitelné indikátory.</w:t>
      </w:r>
    </w:p>
    <w:p w14:paraId="488B3015" w14:textId="390F7F48" w:rsidR="162C6628" w:rsidRDefault="162C6628" w:rsidP="00BD0991">
      <w:pPr>
        <w:spacing w:before="120"/>
      </w:pPr>
      <w:r w:rsidRPr="424C9439">
        <w:rPr>
          <w:rFonts w:eastAsia="Calibri"/>
        </w:rPr>
        <w:t xml:space="preserve">MŠMT vypracovalo I. </w:t>
      </w:r>
      <w:r w:rsidR="00F454D2">
        <w:rPr>
          <w:rFonts w:eastAsia="Calibri"/>
        </w:rPr>
        <w:t>a</w:t>
      </w:r>
      <w:r w:rsidRPr="424C9439">
        <w:rPr>
          <w:rFonts w:eastAsia="Calibri"/>
        </w:rPr>
        <w:t>kční plán</w:t>
      </w:r>
      <w:r w:rsidR="0003326E">
        <w:rPr>
          <w:rFonts w:eastAsia="Calibri"/>
        </w:rPr>
        <w:t>,</w:t>
      </w:r>
      <w:r w:rsidR="00007FAA">
        <w:rPr>
          <w:rStyle w:val="Znakapoznpodarou"/>
          <w:rFonts w:eastAsia="Calibri"/>
        </w:rPr>
        <w:footnoteReference w:id="34"/>
      </w:r>
      <w:r w:rsidRPr="424C9439">
        <w:rPr>
          <w:rFonts w:eastAsia="Calibri"/>
        </w:rPr>
        <w:t xml:space="preserve"> </w:t>
      </w:r>
      <w:r w:rsidRPr="00B819CC">
        <w:rPr>
          <w:rFonts w:eastAsia="Calibri"/>
        </w:rPr>
        <w:t xml:space="preserve">avšak </w:t>
      </w:r>
      <w:r w:rsidR="007F5D67" w:rsidRPr="00B819CC">
        <w:rPr>
          <w:rFonts w:eastAsia="Calibri"/>
        </w:rPr>
        <w:t>stanovená opatření nevázala na konkrétní strategické cíle uvedené v Koncepci 2025.</w:t>
      </w:r>
      <w:r w:rsidR="00080FCC" w:rsidRPr="00B819CC">
        <w:rPr>
          <w:rFonts w:eastAsia="Calibri"/>
        </w:rPr>
        <w:t xml:space="preserve"> </w:t>
      </w:r>
      <w:r w:rsidRPr="00B819CC">
        <w:rPr>
          <w:rFonts w:eastAsia="Calibri"/>
        </w:rPr>
        <w:t>Indikátory</w:t>
      </w:r>
      <w:r w:rsidRPr="424C9439">
        <w:rPr>
          <w:rFonts w:eastAsia="Calibri"/>
        </w:rPr>
        <w:t xml:space="preserve"> realizace jednotlivých opatření byly v</w:t>
      </w:r>
      <w:r w:rsidR="00F6678D">
        <w:rPr>
          <w:rFonts w:eastAsia="Calibri"/>
        </w:rPr>
        <w:t> </w:t>
      </w:r>
      <w:r w:rsidRPr="424C9439">
        <w:rPr>
          <w:rFonts w:eastAsia="Calibri"/>
        </w:rPr>
        <w:t xml:space="preserve">některých případech obecné a nekonkrétní a nebyly u nich definovány počáteční a cílové hodnoty. </w:t>
      </w:r>
    </w:p>
    <w:p w14:paraId="1EC07A43" w14:textId="2D6844BF" w:rsidR="162C6628" w:rsidRDefault="162C6628" w:rsidP="00BD0991">
      <w:pPr>
        <w:spacing w:before="120"/>
      </w:pPr>
      <w:r w:rsidRPr="424C9439">
        <w:rPr>
          <w:rFonts w:eastAsia="Calibri"/>
        </w:rPr>
        <w:t xml:space="preserve">NSA vypracovala II. </w:t>
      </w:r>
      <w:r w:rsidR="00F454D2">
        <w:rPr>
          <w:rFonts w:eastAsia="Calibri"/>
        </w:rPr>
        <w:t>a</w:t>
      </w:r>
      <w:r w:rsidRPr="424C9439">
        <w:rPr>
          <w:rFonts w:eastAsia="Calibri"/>
        </w:rPr>
        <w:t>kční plán</w:t>
      </w:r>
      <w:r w:rsidR="00007FAA">
        <w:rPr>
          <w:rStyle w:val="Znakapoznpodarou"/>
          <w:rFonts w:eastAsia="Calibri"/>
        </w:rPr>
        <w:footnoteReference w:id="35"/>
      </w:r>
      <w:r w:rsidR="00651A63">
        <w:rPr>
          <w:rFonts w:eastAsia="Calibri"/>
        </w:rPr>
        <w:t>,</w:t>
      </w:r>
      <w:r w:rsidRPr="424C9439">
        <w:rPr>
          <w:rFonts w:eastAsia="Calibri"/>
        </w:rPr>
        <w:t xml:space="preserve"> který opět neobsahoval jednoznačnou vazbu na cíle Koncepce 2025. Plán obsahoval 16 opatření. NSA nevypracovala vyhodnocení těchto</w:t>
      </w:r>
      <w:r w:rsidR="00F454D2">
        <w:rPr>
          <w:rFonts w:eastAsia="Calibri"/>
        </w:rPr>
        <w:t xml:space="preserve"> </w:t>
      </w:r>
      <w:r w:rsidRPr="424C9439">
        <w:rPr>
          <w:rFonts w:eastAsia="Calibri"/>
        </w:rPr>
        <w:t xml:space="preserve">opatření II. </w:t>
      </w:r>
      <w:r w:rsidR="00F454D2">
        <w:rPr>
          <w:rFonts w:eastAsia="Calibri"/>
        </w:rPr>
        <w:t>a</w:t>
      </w:r>
      <w:r w:rsidRPr="424C9439">
        <w:rPr>
          <w:rFonts w:eastAsia="Calibri"/>
        </w:rPr>
        <w:t xml:space="preserve">kčního plánu a nezaslala ho vládě ČR ke schválení. </w:t>
      </w:r>
    </w:p>
    <w:p w14:paraId="591F0DA4" w14:textId="253FE558" w:rsidR="00F30222" w:rsidRDefault="381BD2C3" w:rsidP="007F5D67">
      <w:pPr>
        <w:spacing w:before="120"/>
        <w:rPr>
          <w:rFonts w:eastAsia="Calibri"/>
        </w:rPr>
      </w:pPr>
      <w:r w:rsidRPr="7D1F5B88">
        <w:rPr>
          <w:rFonts w:eastAsia="Calibri"/>
        </w:rPr>
        <w:t xml:space="preserve">NSA nevypracovala III. </w:t>
      </w:r>
      <w:r w:rsidR="00F454D2">
        <w:rPr>
          <w:rFonts w:eastAsia="Calibri"/>
        </w:rPr>
        <w:t>a</w:t>
      </w:r>
      <w:r w:rsidRPr="7D1F5B88">
        <w:rPr>
          <w:rFonts w:eastAsia="Calibri"/>
        </w:rPr>
        <w:t>kční plán</w:t>
      </w:r>
      <w:r w:rsidR="00007FAA">
        <w:rPr>
          <w:rStyle w:val="Znakapoznpodarou"/>
          <w:rFonts w:eastAsia="Calibri"/>
        </w:rPr>
        <w:footnoteReference w:id="36"/>
      </w:r>
      <w:r w:rsidR="00651A63">
        <w:rPr>
          <w:rFonts w:eastAsia="Calibri"/>
        </w:rPr>
        <w:t>,</w:t>
      </w:r>
      <w:r w:rsidRPr="7D1F5B88">
        <w:rPr>
          <w:rFonts w:eastAsia="Calibri"/>
        </w:rPr>
        <w:t xml:space="preserve"> který by předložila vládě ke schválení</w:t>
      </w:r>
      <w:r w:rsidR="00AE504F">
        <w:rPr>
          <w:rStyle w:val="Znakapoznpodarou"/>
          <w:rFonts w:eastAsia="Calibri"/>
        </w:rPr>
        <w:footnoteReference w:id="37"/>
      </w:r>
      <w:r w:rsidRPr="7D1F5B88">
        <w:rPr>
          <w:rFonts w:eastAsia="Calibri"/>
        </w:rPr>
        <w:t xml:space="preserve">. NSA vypracovala až </w:t>
      </w:r>
      <w:r w:rsidR="00F454D2">
        <w:rPr>
          <w:rFonts w:eastAsia="Calibri"/>
        </w:rPr>
        <w:t>a</w:t>
      </w:r>
      <w:r w:rsidRPr="7D1F5B88">
        <w:rPr>
          <w:rFonts w:eastAsia="Calibri"/>
        </w:rPr>
        <w:t>kční plán na rok 2024</w:t>
      </w:r>
      <w:r w:rsidR="0003326E">
        <w:rPr>
          <w:rFonts w:eastAsia="Calibri"/>
        </w:rPr>
        <w:t>.</w:t>
      </w:r>
      <w:r w:rsidR="00007FAA">
        <w:rPr>
          <w:rStyle w:val="Znakapoznpodarou"/>
          <w:rFonts w:eastAsia="Calibri"/>
        </w:rPr>
        <w:footnoteReference w:id="38"/>
      </w:r>
      <w:r w:rsidRPr="7D1F5B88">
        <w:rPr>
          <w:rFonts w:eastAsia="Calibri"/>
        </w:rPr>
        <w:t xml:space="preserve"> NSA </w:t>
      </w:r>
      <w:r w:rsidR="00D07A82">
        <w:rPr>
          <w:rFonts w:eastAsia="Calibri"/>
        </w:rPr>
        <w:t>ne</w:t>
      </w:r>
      <w:r w:rsidRPr="7D1F5B88">
        <w:rPr>
          <w:rFonts w:eastAsia="Calibri"/>
        </w:rPr>
        <w:t>postupovala v</w:t>
      </w:r>
      <w:r w:rsidR="00F454D2">
        <w:rPr>
          <w:rFonts w:eastAsia="Calibri"/>
        </w:rPr>
        <w:t> </w:t>
      </w:r>
      <w:r w:rsidR="00D07A82">
        <w:rPr>
          <w:rFonts w:eastAsia="Calibri"/>
        </w:rPr>
        <w:t>souladu</w:t>
      </w:r>
      <w:r w:rsidR="00F454D2">
        <w:rPr>
          <w:rFonts w:eastAsia="Calibri"/>
        </w:rPr>
        <w:t xml:space="preserve"> </w:t>
      </w:r>
      <w:r w:rsidR="00183CFE">
        <w:rPr>
          <w:rFonts w:eastAsia="Calibri"/>
        </w:rPr>
        <w:t>s</w:t>
      </w:r>
      <w:r w:rsidR="00F6678D">
        <w:rPr>
          <w:rFonts w:eastAsia="Calibri"/>
        </w:rPr>
        <w:t> </w:t>
      </w:r>
      <w:r w:rsidRPr="7D1F5B88">
        <w:rPr>
          <w:rFonts w:eastAsia="Calibri"/>
        </w:rPr>
        <w:t>usnesením vlády ČR</w:t>
      </w:r>
      <w:r w:rsidR="0003326E">
        <w:rPr>
          <w:rStyle w:val="Znakapoznpodarou"/>
          <w:rFonts w:eastAsia="Calibri"/>
        </w:rPr>
        <w:footnoteReference w:id="39"/>
      </w:r>
      <w:r w:rsidRPr="7D1F5B88">
        <w:rPr>
          <w:rFonts w:eastAsia="Calibri"/>
        </w:rPr>
        <w:t xml:space="preserve"> tím, že nevypracovala III. </w:t>
      </w:r>
      <w:r w:rsidR="00F454D2">
        <w:rPr>
          <w:rFonts w:eastAsia="Calibri"/>
        </w:rPr>
        <w:t>a</w:t>
      </w:r>
      <w:r w:rsidRPr="7D1F5B88">
        <w:rPr>
          <w:rFonts w:eastAsia="Calibri"/>
        </w:rPr>
        <w:t xml:space="preserve">kční plán pro roky 2022 a 2023. Plán měl obsahovat opatření vedoucí </w:t>
      </w:r>
      <w:r w:rsidRPr="7D1F5B88">
        <w:rPr>
          <w:rFonts w:eastAsia="Calibri"/>
        </w:rPr>
        <w:lastRenderedPageBreak/>
        <w:t>k</w:t>
      </w:r>
      <w:r w:rsidR="00EA7D48">
        <w:rPr>
          <w:rFonts w:eastAsia="Calibri"/>
        </w:rPr>
        <w:t> </w:t>
      </w:r>
      <w:r w:rsidRPr="7D1F5B88">
        <w:rPr>
          <w:rFonts w:eastAsia="Calibri"/>
        </w:rPr>
        <w:t xml:space="preserve">naplnění cílů Koncepce 2025, na základě kterých </w:t>
      </w:r>
      <w:r w:rsidR="00F454D2">
        <w:rPr>
          <w:rFonts w:eastAsia="Calibri"/>
        </w:rPr>
        <w:t>měly být</w:t>
      </w:r>
      <w:r w:rsidRPr="7D1F5B88">
        <w:rPr>
          <w:rFonts w:eastAsia="Calibri"/>
        </w:rPr>
        <w:t xml:space="preserve"> přerozdělovány peněžní prostředky státního rozpočtu do oblasti podpory sportu.</w:t>
      </w:r>
    </w:p>
    <w:p w14:paraId="175B3A5A" w14:textId="6B18F327" w:rsidR="00F30222" w:rsidRDefault="00B05B2D" w:rsidP="007F5D67">
      <w:pPr>
        <w:spacing w:before="120"/>
      </w:pPr>
      <w:r w:rsidRPr="00B05B2D">
        <w:t>NSA v souladu se zákonem o podpoře sportu vede rejstřík sportu. Jeho prostřednictvím má přehled o množství sportovišť, sportovců a trenérů. NSA pravidelně vyhodnocuje data ze</w:t>
      </w:r>
      <w:r w:rsidR="0034459A">
        <w:t xml:space="preserve"> </w:t>
      </w:r>
      <w:r w:rsidRPr="00B05B2D">
        <w:t>sportovního prostředí, které získává prostřednictvím rejstříku sportu.</w:t>
      </w:r>
      <w:r w:rsidR="00DD0C83" w:rsidRPr="00DD0C83">
        <w:t xml:space="preserve"> </w:t>
      </w:r>
      <w:r w:rsidR="00753F4E">
        <w:t xml:space="preserve">NSA poskytuje ze státního rozpočtu formou dotace též výdaje na pořízení nebo technické zhodnocení hmotného a nehmotného dlouhodobého majetku. </w:t>
      </w:r>
      <w:r w:rsidR="00DD0C83" w:rsidRPr="00B05B2D">
        <w:t xml:space="preserve">NSA </w:t>
      </w:r>
      <w:r w:rsidR="007F5D67">
        <w:t xml:space="preserve">však </w:t>
      </w:r>
      <w:r w:rsidR="00DD0C83" w:rsidRPr="00B05B2D">
        <w:t>nemá komplexní přehled o</w:t>
      </w:r>
      <w:r w:rsidR="007300BC">
        <w:t> </w:t>
      </w:r>
      <w:r w:rsidR="00DD0C83" w:rsidRPr="00B05B2D">
        <w:t>stavu jednotlivých sportovišť, jelikož taková data nejsou povinně uváděným údajem v</w:t>
      </w:r>
      <w:r w:rsidR="007300BC">
        <w:t> </w:t>
      </w:r>
      <w:r w:rsidR="00DD0C83" w:rsidRPr="00B05B2D">
        <w:t>rejstříku sportu.</w:t>
      </w:r>
      <w:r w:rsidR="00F30222" w:rsidRPr="00F30222">
        <w:t xml:space="preserve"> </w:t>
      </w:r>
    </w:p>
    <w:p w14:paraId="21DA4625" w14:textId="77777777" w:rsidR="00F30222" w:rsidRPr="00F30222" w:rsidRDefault="007E48E4" w:rsidP="007E48E4">
      <w:pPr>
        <w:pStyle w:val="Nadpis2"/>
        <w:spacing w:before="240" w:after="120"/>
        <w:rPr>
          <w:rFonts w:eastAsia="Calibri"/>
        </w:rPr>
      </w:pPr>
      <w:r>
        <w:t xml:space="preserve">1.3 </w:t>
      </w:r>
      <w:r w:rsidR="00F30222">
        <w:t xml:space="preserve">MŠMT ani </w:t>
      </w:r>
      <w:r w:rsidR="00F30222" w:rsidRPr="00BC34ED">
        <w:t>NSA nevyhodnocoval</w:t>
      </w:r>
      <w:r w:rsidR="00F30222">
        <w:t>y</w:t>
      </w:r>
      <w:r w:rsidR="00F30222" w:rsidRPr="00BC34ED">
        <w:t xml:space="preserve"> naplňování výzev</w:t>
      </w:r>
    </w:p>
    <w:p w14:paraId="4DC1BCCD" w14:textId="3ECB8E3D" w:rsidR="00F30222" w:rsidRDefault="00F30222" w:rsidP="00F30222">
      <w:pPr>
        <w:spacing w:before="120"/>
        <w:rPr>
          <w:rFonts w:asciiTheme="minorHAnsi" w:eastAsiaTheme="minorEastAsia" w:hAnsiTheme="minorHAnsi" w:cstheme="minorBidi"/>
        </w:rPr>
      </w:pPr>
      <w:r w:rsidRPr="6524B888">
        <w:rPr>
          <w:rFonts w:asciiTheme="minorHAnsi" w:eastAsiaTheme="minorEastAsia" w:hAnsiTheme="minorHAnsi" w:cstheme="minorBidi"/>
        </w:rPr>
        <w:t>NSA v kontrolovaném období neprováděla vyhodnocení plnění cílů programů a výzev, a</w:t>
      </w:r>
      <w:r w:rsidR="00F6678D">
        <w:rPr>
          <w:rFonts w:asciiTheme="minorHAnsi" w:eastAsiaTheme="minorEastAsia" w:hAnsiTheme="minorHAnsi" w:cstheme="minorBidi"/>
        </w:rPr>
        <w:t> </w:t>
      </w:r>
      <w:r w:rsidRPr="6524B888">
        <w:rPr>
          <w:rFonts w:asciiTheme="minorHAnsi" w:eastAsiaTheme="minorEastAsia" w:hAnsiTheme="minorHAnsi" w:cstheme="minorBidi"/>
        </w:rPr>
        <w:t>to</w:t>
      </w:r>
      <w:r w:rsidR="0034459A">
        <w:rPr>
          <w:rFonts w:asciiTheme="minorHAnsi" w:eastAsiaTheme="minorEastAsia" w:hAnsiTheme="minorHAnsi" w:cstheme="minorBidi"/>
        </w:rPr>
        <w:t xml:space="preserve"> </w:t>
      </w:r>
      <w:r w:rsidRPr="6524B888">
        <w:rPr>
          <w:rFonts w:asciiTheme="minorHAnsi" w:eastAsiaTheme="minorEastAsia" w:hAnsiTheme="minorHAnsi" w:cstheme="minorBidi"/>
        </w:rPr>
        <w:t xml:space="preserve">ani z hlediska </w:t>
      </w:r>
      <w:r w:rsidRPr="00F30222">
        <w:rPr>
          <w:rFonts w:asciiTheme="minorHAnsi" w:eastAsiaTheme="minorEastAsia" w:hAnsiTheme="minorHAnsi" w:cstheme="minorBidi"/>
        </w:rPr>
        <w:t>průběžného monitorování naplňování indikátorů jednotlivých investičních a</w:t>
      </w:r>
      <w:r w:rsidR="0034459A">
        <w:rPr>
          <w:rFonts w:asciiTheme="minorHAnsi" w:eastAsiaTheme="minorEastAsia" w:hAnsiTheme="minorHAnsi" w:cstheme="minorBidi"/>
        </w:rPr>
        <w:t> </w:t>
      </w:r>
      <w:r w:rsidRPr="00F30222">
        <w:rPr>
          <w:rFonts w:asciiTheme="minorHAnsi" w:eastAsiaTheme="minorEastAsia" w:hAnsiTheme="minorHAnsi" w:cstheme="minorBidi"/>
        </w:rPr>
        <w:t xml:space="preserve">neinvestičních programů. MŠMT v letech 2019 a 2020 </w:t>
      </w:r>
      <w:r w:rsidR="0034459A">
        <w:rPr>
          <w:rFonts w:asciiTheme="minorHAnsi" w:eastAsiaTheme="minorEastAsia" w:hAnsiTheme="minorHAnsi" w:cstheme="minorBidi"/>
        </w:rPr>
        <w:t xml:space="preserve">rovněž </w:t>
      </w:r>
      <w:r w:rsidRPr="00F30222">
        <w:rPr>
          <w:rFonts w:asciiTheme="minorHAnsi" w:eastAsiaTheme="minorEastAsia" w:hAnsiTheme="minorHAnsi" w:cstheme="minorBidi"/>
        </w:rPr>
        <w:t>nevyhodnocovalo výzvy v oblasti podpory sportu. NSA neměla žádným způsobem stanovený postup pro kontrolu udržitelnosti investičních akcí. NSA nezajistila soustavné sledování a vyhodnocování hospodárnosti, efektivnosti a účelnosti vynakládaných výdajů ve své</w:t>
      </w:r>
      <w:r w:rsidRPr="6524B888">
        <w:rPr>
          <w:rFonts w:asciiTheme="minorHAnsi" w:eastAsiaTheme="minorEastAsia" w:hAnsiTheme="minorHAnsi" w:cstheme="minorBidi"/>
        </w:rPr>
        <w:t xml:space="preserve"> kapitole dle </w:t>
      </w:r>
      <w:r>
        <w:rPr>
          <w:rFonts w:asciiTheme="minorHAnsi" w:eastAsiaTheme="minorEastAsia" w:hAnsiTheme="minorHAnsi" w:cstheme="minorBidi"/>
        </w:rPr>
        <w:t>rozpočtových pravide</w:t>
      </w:r>
      <w:r w:rsidR="00097B1F">
        <w:rPr>
          <w:rFonts w:asciiTheme="minorHAnsi" w:eastAsiaTheme="minorEastAsia" w:hAnsiTheme="minorHAnsi" w:cstheme="minorBidi"/>
        </w:rPr>
        <w:t>l</w:t>
      </w:r>
      <w:r>
        <w:rPr>
          <w:rFonts w:asciiTheme="minorHAnsi" w:eastAsiaTheme="minorEastAsia" w:hAnsiTheme="minorHAnsi" w:cstheme="minorBidi"/>
        </w:rPr>
        <w:t>.</w:t>
      </w:r>
      <w:r>
        <w:rPr>
          <w:rStyle w:val="Znakapoznpodarou"/>
          <w:rFonts w:asciiTheme="minorHAnsi" w:eastAsiaTheme="minorEastAsia" w:hAnsiTheme="minorHAnsi" w:cstheme="minorBidi"/>
        </w:rPr>
        <w:footnoteReference w:id="40"/>
      </w:r>
    </w:p>
    <w:p w14:paraId="1C74E9A1" w14:textId="77777777" w:rsidR="00F30222" w:rsidRPr="00885BCA" w:rsidRDefault="00F30222" w:rsidP="00F30222">
      <w:pPr>
        <w:spacing w:before="120"/>
        <w:rPr>
          <w:rFonts w:asciiTheme="minorHAnsi" w:eastAsiaTheme="minorEastAsia" w:hAnsiTheme="minorHAnsi" w:cstheme="minorBidi"/>
        </w:rPr>
      </w:pPr>
      <w:r w:rsidRPr="00885BCA">
        <w:rPr>
          <w:rFonts w:asciiTheme="minorHAnsi" w:eastAsiaTheme="minorEastAsia" w:hAnsiTheme="minorHAnsi" w:cstheme="minorBidi"/>
        </w:rPr>
        <w:t>Nevyhodnoc</w:t>
      </w:r>
      <w:r w:rsidR="007F5D67">
        <w:rPr>
          <w:rFonts w:asciiTheme="minorHAnsi" w:eastAsiaTheme="minorEastAsia" w:hAnsiTheme="minorHAnsi" w:cstheme="minorBidi"/>
        </w:rPr>
        <w:t>ování</w:t>
      </w:r>
      <w:r w:rsidRPr="00885BCA">
        <w:rPr>
          <w:rFonts w:asciiTheme="minorHAnsi" w:eastAsiaTheme="minorEastAsia" w:hAnsiTheme="minorHAnsi" w:cstheme="minorBidi"/>
        </w:rPr>
        <w:t xml:space="preserve"> programů a výzev na NSA spojené s absencí metodiky vyhodnocování udržitelnosti investičních akcí ve svém důsledku vede k chybějícím relevantním údajům o</w:t>
      </w:r>
      <w:r w:rsidR="00F6678D">
        <w:rPr>
          <w:rFonts w:asciiTheme="minorHAnsi" w:eastAsiaTheme="minorEastAsia" w:hAnsiTheme="minorHAnsi" w:cstheme="minorBidi"/>
        </w:rPr>
        <w:t> </w:t>
      </w:r>
      <w:r w:rsidRPr="00885BCA">
        <w:rPr>
          <w:rFonts w:asciiTheme="minorHAnsi" w:eastAsiaTheme="minorEastAsia" w:hAnsiTheme="minorHAnsi" w:cstheme="minorBidi"/>
        </w:rPr>
        <w:t xml:space="preserve">výsledcích, dopadech a naplňování potřeb státu v oblasti sportu. </w:t>
      </w:r>
    </w:p>
    <w:p w14:paraId="4C338135" w14:textId="7A33844F" w:rsidR="00F30222" w:rsidRPr="006C3C15" w:rsidRDefault="007E48E4" w:rsidP="007E48E4">
      <w:pPr>
        <w:pStyle w:val="Nadpis2"/>
        <w:spacing w:before="240" w:after="120"/>
        <w:ind w:left="369" w:hanging="369"/>
        <w:jc w:val="left"/>
        <w:rPr>
          <w:rFonts w:eastAsiaTheme="minorEastAsia"/>
        </w:rPr>
      </w:pPr>
      <w:r>
        <w:rPr>
          <w:rFonts w:eastAsiaTheme="minorEastAsia"/>
        </w:rPr>
        <w:t xml:space="preserve">1.4 </w:t>
      </w:r>
      <w:r>
        <w:rPr>
          <w:rFonts w:eastAsiaTheme="minorEastAsia"/>
        </w:rPr>
        <w:tab/>
      </w:r>
      <w:r w:rsidR="00F30222" w:rsidRPr="7D1F5B88">
        <w:rPr>
          <w:rFonts w:eastAsiaTheme="minorEastAsia"/>
        </w:rPr>
        <w:t>NSA nekontrolovala závěrečná vyhodnocení či vyúčtování poskytnutých dotací</w:t>
      </w:r>
      <w:r w:rsidR="00043E97">
        <w:rPr>
          <w:rFonts w:eastAsiaTheme="minorEastAsia"/>
        </w:rPr>
        <w:t xml:space="preserve"> stanovenými postupy a vyplněním kontrolního listu</w:t>
      </w:r>
    </w:p>
    <w:p w14:paraId="6EF09F2D" w14:textId="412823CB" w:rsidR="00F30222" w:rsidRDefault="00F30222" w:rsidP="00F30222">
      <w:pPr>
        <w:spacing w:before="120"/>
        <w:rPr>
          <w:rFonts w:asciiTheme="minorHAnsi" w:eastAsiaTheme="minorEastAsia" w:hAnsiTheme="minorHAnsi" w:cstheme="minorBidi"/>
        </w:rPr>
      </w:pPr>
      <w:r w:rsidRPr="7D1F5B88">
        <w:rPr>
          <w:rFonts w:asciiTheme="minorHAnsi" w:eastAsiaTheme="minorEastAsia" w:hAnsiTheme="minorHAnsi" w:cstheme="minorBidi"/>
        </w:rPr>
        <w:t>NSA ve všech dotačních výzvách stanovila pro příjemce dotace povinnost předložit závěrečné vyhodnocení akce (u investičních dotací) a vyúčtování a vypořádání dotace (u neinvestičních dotací). Ke kontrole závěrečného vyúčtování měla NSA</w:t>
      </w:r>
      <w:r>
        <w:rPr>
          <w:rFonts w:asciiTheme="minorHAnsi" w:eastAsiaTheme="minorEastAsia" w:hAnsiTheme="minorHAnsi" w:cstheme="minorBidi"/>
        </w:rPr>
        <w:t xml:space="preserve"> stanovený postup ve formě</w:t>
      </w:r>
      <w:r w:rsidRPr="7D1F5B88">
        <w:rPr>
          <w:rFonts w:asciiTheme="minorHAnsi" w:eastAsiaTheme="minorEastAsia" w:hAnsiTheme="minorHAnsi" w:cstheme="minorBidi"/>
        </w:rPr>
        <w:t xml:space="preserve"> kontrolní</w:t>
      </w:r>
      <w:r>
        <w:rPr>
          <w:rFonts w:asciiTheme="minorHAnsi" w:eastAsiaTheme="minorEastAsia" w:hAnsiTheme="minorHAnsi" w:cstheme="minorBidi"/>
        </w:rPr>
        <w:t>ho</w:t>
      </w:r>
      <w:r w:rsidRPr="7D1F5B88">
        <w:rPr>
          <w:rFonts w:asciiTheme="minorHAnsi" w:eastAsiaTheme="minorEastAsia" w:hAnsiTheme="minorHAnsi" w:cstheme="minorBidi"/>
        </w:rPr>
        <w:t xml:space="preserve"> list</w:t>
      </w:r>
      <w:r>
        <w:rPr>
          <w:rFonts w:asciiTheme="minorHAnsi" w:eastAsiaTheme="minorEastAsia" w:hAnsiTheme="minorHAnsi" w:cstheme="minorBidi"/>
        </w:rPr>
        <w:t xml:space="preserve">u, kterým se </w:t>
      </w:r>
      <w:r w:rsidR="007F5D67">
        <w:rPr>
          <w:rFonts w:asciiTheme="minorHAnsi" w:eastAsiaTheme="minorEastAsia" w:hAnsiTheme="minorHAnsi" w:cstheme="minorBidi"/>
        </w:rPr>
        <w:t xml:space="preserve">však </w:t>
      </w:r>
      <w:r>
        <w:rPr>
          <w:rFonts w:asciiTheme="minorHAnsi" w:eastAsiaTheme="minorEastAsia" w:hAnsiTheme="minorHAnsi" w:cstheme="minorBidi"/>
        </w:rPr>
        <w:t>neřídila.</w:t>
      </w:r>
      <w:r w:rsidRPr="7D1F5B88">
        <w:rPr>
          <w:rFonts w:asciiTheme="minorHAnsi" w:eastAsiaTheme="minorEastAsia" w:hAnsiTheme="minorHAnsi" w:cstheme="minorBidi"/>
        </w:rPr>
        <w:t xml:space="preserve"> U každého závěrečného vyúčtování dotace měl</w:t>
      </w:r>
      <w:r w:rsidR="00C74D26">
        <w:rPr>
          <w:rFonts w:asciiTheme="minorHAnsi" w:eastAsiaTheme="minorEastAsia" w:hAnsiTheme="minorHAnsi" w:cstheme="minorBidi"/>
        </w:rPr>
        <w:t>a</w:t>
      </w:r>
      <w:r w:rsidRPr="7D1F5B88">
        <w:rPr>
          <w:rFonts w:asciiTheme="minorHAnsi" w:eastAsiaTheme="minorEastAsia" w:hAnsiTheme="minorHAnsi" w:cstheme="minorBidi"/>
        </w:rPr>
        <w:t xml:space="preserve"> NSA posou</w:t>
      </w:r>
      <w:r w:rsidR="003A7142">
        <w:rPr>
          <w:rFonts w:asciiTheme="minorHAnsi" w:eastAsiaTheme="minorEastAsia" w:hAnsiTheme="minorHAnsi" w:cstheme="minorBidi"/>
        </w:rPr>
        <w:t>dit</w:t>
      </w:r>
      <w:r w:rsidRPr="7D1F5B88">
        <w:rPr>
          <w:rFonts w:asciiTheme="minorHAnsi" w:eastAsiaTheme="minorEastAsia" w:hAnsiTheme="minorHAnsi" w:cstheme="minorBidi"/>
        </w:rPr>
        <w:t xml:space="preserve"> doložení požadovaných dokumentů a základní údaje o vyúčtování dotace. NKÚ vybral ke kontrole vzorek 17 závěrečných vyhodnocení akcí a 64 vyúčtování a</w:t>
      </w:r>
      <w:r w:rsidR="00F6678D">
        <w:rPr>
          <w:rFonts w:asciiTheme="minorHAnsi" w:eastAsiaTheme="minorEastAsia" w:hAnsiTheme="minorHAnsi" w:cstheme="minorBidi"/>
        </w:rPr>
        <w:t> </w:t>
      </w:r>
      <w:r w:rsidRPr="7D1F5B88">
        <w:rPr>
          <w:rFonts w:asciiTheme="minorHAnsi" w:eastAsiaTheme="minorEastAsia" w:hAnsiTheme="minorHAnsi" w:cstheme="minorBidi"/>
        </w:rPr>
        <w:t xml:space="preserve">vypořádání dotace. Na tomto vzorku NKÚ zjistil, že </w:t>
      </w:r>
      <w:r w:rsidR="00043E97">
        <w:rPr>
          <w:rFonts w:asciiTheme="minorHAnsi" w:eastAsiaTheme="minorEastAsia" w:hAnsiTheme="minorHAnsi" w:cstheme="minorBidi"/>
        </w:rPr>
        <w:t>ani v jednom z</w:t>
      </w:r>
      <w:r w:rsidRPr="7D1F5B88">
        <w:rPr>
          <w:rFonts w:asciiTheme="minorHAnsi" w:eastAsiaTheme="minorEastAsia" w:hAnsiTheme="minorHAnsi" w:cstheme="minorBidi"/>
        </w:rPr>
        <w:t xml:space="preserve"> 81 případ</w:t>
      </w:r>
      <w:r w:rsidR="00043E97">
        <w:rPr>
          <w:rFonts w:asciiTheme="minorHAnsi" w:eastAsiaTheme="minorEastAsia" w:hAnsiTheme="minorHAnsi" w:cstheme="minorBidi"/>
        </w:rPr>
        <w:t>ů</w:t>
      </w:r>
      <w:r w:rsidRPr="7D1F5B88">
        <w:rPr>
          <w:rFonts w:asciiTheme="minorHAnsi" w:eastAsiaTheme="minorEastAsia" w:hAnsiTheme="minorHAnsi" w:cstheme="minorBidi"/>
        </w:rPr>
        <w:t xml:space="preserve"> NSA neprovedla kontrolu závěrečného vyhodnocení akce či kontrolu vyúčtování a vypořádání dotace</w:t>
      </w:r>
      <w:r w:rsidR="009D1DE2">
        <w:rPr>
          <w:rFonts w:asciiTheme="minorHAnsi" w:eastAsiaTheme="minorEastAsia" w:hAnsiTheme="minorHAnsi" w:cstheme="minorBidi"/>
        </w:rPr>
        <w:t xml:space="preserve"> stanoveným postupem včetně</w:t>
      </w:r>
      <w:r w:rsidR="0089372E">
        <w:rPr>
          <w:rFonts w:asciiTheme="minorHAnsi" w:eastAsiaTheme="minorEastAsia" w:hAnsiTheme="minorHAnsi" w:cstheme="minorBidi"/>
        </w:rPr>
        <w:t xml:space="preserve"> vyplnění kontrolního listu</w:t>
      </w:r>
      <w:r w:rsidRPr="7D1F5B88">
        <w:rPr>
          <w:rFonts w:asciiTheme="minorHAnsi" w:eastAsiaTheme="minorEastAsia" w:hAnsiTheme="minorHAnsi" w:cstheme="minorBidi"/>
        </w:rPr>
        <w:t xml:space="preserve">. </w:t>
      </w:r>
    </w:p>
    <w:p w14:paraId="201761C8" w14:textId="4C873637" w:rsidR="00F30222" w:rsidRDefault="00F30222" w:rsidP="00F30222">
      <w:pPr>
        <w:spacing w:before="120"/>
        <w:rPr>
          <w:rFonts w:asciiTheme="minorHAnsi" w:eastAsiaTheme="minorEastAsia" w:hAnsiTheme="minorHAnsi" w:cstheme="minorBidi"/>
        </w:rPr>
      </w:pPr>
      <w:r w:rsidRPr="6524B888">
        <w:rPr>
          <w:rFonts w:asciiTheme="minorHAnsi" w:eastAsiaTheme="minorEastAsia" w:hAnsiTheme="minorHAnsi" w:cstheme="minorBidi"/>
        </w:rPr>
        <w:t xml:space="preserve">Ve čtyřech případech NKÚ zjistil v závěrečném vyhodnocení akce nedostatky. V rámci výzvy </w:t>
      </w:r>
      <w:r w:rsidRPr="6524B888">
        <w:rPr>
          <w:rFonts w:asciiTheme="minorHAnsi" w:eastAsiaTheme="minorEastAsia" w:hAnsiTheme="minorHAnsi" w:cstheme="minorBidi"/>
          <w:i/>
          <w:iCs/>
        </w:rPr>
        <w:t>Movité investice 2021</w:t>
      </w:r>
      <w:r w:rsidRPr="6524B888">
        <w:rPr>
          <w:rFonts w:asciiTheme="minorHAnsi" w:eastAsiaTheme="minorEastAsia" w:hAnsiTheme="minorHAnsi" w:cstheme="minorBidi"/>
        </w:rPr>
        <w:t xml:space="preserve"> totiž příjemci nedodrželi podmínky, za kterých jim byla dotace poskytnuta. Dva příjemci nedoložili</w:t>
      </w:r>
      <w:r w:rsidR="003A7142" w:rsidRPr="003A7142">
        <w:rPr>
          <w:rFonts w:asciiTheme="minorHAnsi" w:eastAsiaTheme="minorEastAsia" w:hAnsiTheme="minorHAnsi" w:cstheme="minorBidi"/>
        </w:rPr>
        <w:t xml:space="preserve"> </w:t>
      </w:r>
      <w:r w:rsidR="003A7142" w:rsidRPr="6524B888">
        <w:rPr>
          <w:rFonts w:asciiTheme="minorHAnsi" w:eastAsiaTheme="minorEastAsia" w:hAnsiTheme="minorHAnsi" w:cstheme="minorBidi"/>
        </w:rPr>
        <w:t>NSA</w:t>
      </w:r>
      <w:r w:rsidRPr="6524B888">
        <w:rPr>
          <w:rFonts w:asciiTheme="minorHAnsi" w:eastAsiaTheme="minorEastAsia" w:hAnsiTheme="minorHAnsi" w:cstheme="minorBidi"/>
        </w:rPr>
        <w:t xml:space="preserve"> kompletní dokumentaci k závěrečnému vyhodnocení, tudíž nebylo zřejmé, zda dodrželi podmínky a účel poskytnuté dotace. Další příjemce dotace nepořídil dlouhodobý hmotný majetek deklarovaný v žádosti o dotaci a</w:t>
      </w:r>
      <w:r w:rsidR="00F6678D">
        <w:rPr>
          <w:rFonts w:asciiTheme="minorHAnsi" w:eastAsiaTheme="minorEastAsia" w:hAnsiTheme="minorHAnsi" w:cstheme="minorBidi"/>
        </w:rPr>
        <w:t> </w:t>
      </w:r>
      <w:r w:rsidR="003A7142">
        <w:rPr>
          <w:rFonts w:asciiTheme="minorHAnsi" w:eastAsiaTheme="minorEastAsia" w:hAnsiTheme="minorHAnsi" w:cstheme="minorBidi"/>
        </w:rPr>
        <w:t xml:space="preserve">následně </w:t>
      </w:r>
      <w:r w:rsidRPr="6524B888">
        <w:rPr>
          <w:rFonts w:asciiTheme="minorHAnsi" w:eastAsiaTheme="minorEastAsia" w:hAnsiTheme="minorHAnsi" w:cstheme="minorBidi"/>
        </w:rPr>
        <w:t xml:space="preserve">nevrátil NSA poměrnou část výše dotace ve výši 807 233 Kč. Ve čtvrtém případě příjemce nedoložil kompletní dokumentaci k závěrečnému vyhodnocení a nedodržel výši vlastní spoluúčasti dle </w:t>
      </w:r>
      <w:proofErr w:type="spellStart"/>
      <w:r>
        <w:rPr>
          <w:rFonts w:asciiTheme="minorHAnsi" w:eastAsiaTheme="minorEastAsia" w:hAnsiTheme="minorHAnsi" w:cstheme="minorBidi"/>
        </w:rPr>
        <w:t>RoPD</w:t>
      </w:r>
      <w:proofErr w:type="spellEnd"/>
      <w:r>
        <w:rPr>
          <w:rFonts w:asciiTheme="minorHAnsi" w:eastAsiaTheme="minorEastAsia" w:hAnsiTheme="minorHAnsi" w:cstheme="minorBidi"/>
        </w:rPr>
        <w:t>.</w:t>
      </w:r>
      <w:r w:rsidRPr="6524B888">
        <w:rPr>
          <w:rFonts w:asciiTheme="minorHAnsi" w:eastAsiaTheme="minorEastAsia" w:hAnsiTheme="minorHAnsi" w:cstheme="minorBidi"/>
        </w:rPr>
        <w:t xml:space="preserve"> </w:t>
      </w:r>
    </w:p>
    <w:p w14:paraId="3C0F06CE" w14:textId="6517C373" w:rsidR="00F30222" w:rsidRDefault="00F30222" w:rsidP="00F30222">
      <w:pPr>
        <w:spacing w:before="120"/>
        <w:rPr>
          <w:rFonts w:asciiTheme="minorHAnsi" w:eastAsiaTheme="minorEastAsia" w:hAnsiTheme="minorHAnsi" w:cstheme="minorBidi"/>
          <w:strike/>
        </w:rPr>
      </w:pPr>
      <w:r w:rsidRPr="5214476D">
        <w:rPr>
          <w:rFonts w:asciiTheme="minorHAnsi" w:eastAsiaTheme="minorEastAsia" w:hAnsiTheme="minorHAnsi" w:cstheme="minorBidi"/>
        </w:rPr>
        <w:lastRenderedPageBreak/>
        <w:t>NSA nekontrolovala dokumentaci k vyúčtování dotace</w:t>
      </w:r>
      <w:r w:rsidR="00576694">
        <w:rPr>
          <w:rFonts w:asciiTheme="minorHAnsi" w:eastAsiaTheme="minorEastAsia" w:hAnsiTheme="minorHAnsi" w:cstheme="minorBidi"/>
        </w:rPr>
        <w:t>. N</w:t>
      </w:r>
      <w:r w:rsidRPr="5214476D">
        <w:rPr>
          <w:rFonts w:asciiTheme="minorHAnsi" w:eastAsiaTheme="minorEastAsia" w:hAnsiTheme="minorHAnsi" w:cstheme="minorBidi"/>
        </w:rPr>
        <w:t>eodhalila tak zjevné nedostatky</w:t>
      </w:r>
      <w:r w:rsidR="00576694">
        <w:rPr>
          <w:rFonts w:asciiTheme="minorHAnsi" w:eastAsiaTheme="minorEastAsia" w:hAnsiTheme="minorHAnsi" w:cstheme="minorBidi"/>
        </w:rPr>
        <w:t>,</w:t>
      </w:r>
      <w:r w:rsidRPr="5214476D">
        <w:rPr>
          <w:rFonts w:asciiTheme="minorHAnsi" w:eastAsiaTheme="minorEastAsia" w:hAnsiTheme="minorHAnsi" w:cstheme="minorBidi"/>
        </w:rPr>
        <w:t xml:space="preserve"> </w:t>
      </w:r>
      <w:r w:rsidR="00576694">
        <w:rPr>
          <w:rFonts w:asciiTheme="minorHAnsi" w:eastAsiaTheme="minorEastAsia" w:hAnsiTheme="minorHAnsi" w:cstheme="minorBidi"/>
        </w:rPr>
        <w:t xml:space="preserve">na </w:t>
      </w:r>
      <w:r w:rsidR="003A7142">
        <w:rPr>
          <w:rFonts w:asciiTheme="minorHAnsi" w:eastAsiaTheme="minorEastAsia" w:hAnsiTheme="minorHAnsi" w:cstheme="minorBidi"/>
        </w:rPr>
        <w:t xml:space="preserve">jejichž </w:t>
      </w:r>
      <w:r w:rsidR="00576694">
        <w:rPr>
          <w:rFonts w:asciiTheme="minorHAnsi" w:eastAsiaTheme="minorEastAsia" w:hAnsiTheme="minorHAnsi" w:cstheme="minorBidi"/>
        </w:rPr>
        <w:t>základě by</w:t>
      </w:r>
      <w:r w:rsidRPr="5214476D">
        <w:rPr>
          <w:rFonts w:asciiTheme="minorHAnsi" w:eastAsiaTheme="minorEastAsia" w:hAnsiTheme="minorHAnsi" w:cstheme="minorBidi"/>
        </w:rPr>
        <w:t xml:space="preserve"> </w:t>
      </w:r>
      <w:r w:rsidR="00576694">
        <w:rPr>
          <w:rFonts w:asciiTheme="minorHAnsi" w:eastAsiaTheme="minorEastAsia" w:hAnsiTheme="minorHAnsi" w:cstheme="minorBidi"/>
        </w:rPr>
        <w:t xml:space="preserve">v souladu </w:t>
      </w:r>
      <w:r w:rsidR="003A7142">
        <w:rPr>
          <w:rFonts w:asciiTheme="minorHAnsi" w:eastAsiaTheme="minorEastAsia" w:hAnsiTheme="minorHAnsi" w:cstheme="minorBidi"/>
        </w:rPr>
        <w:t>s </w:t>
      </w:r>
      <w:r>
        <w:rPr>
          <w:rFonts w:asciiTheme="minorHAnsi" w:eastAsiaTheme="minorEastAsia" w:hAnsiTheme="minorHAnsi" w:cstheme="minorBidi"/>
        </w:rPr>
        <w:t>rozpočtový</w:t>
      </w:r>
      <w:r w:rsidR="003A7142">
        <w:rPr>
          <w:rFonts w:asciiTheme="minorHAnsi" w:eastAsiaTheme="minorEastAsia" w:hAnsiTheme="minorHAnsi" w:cstheme="minorBidi"/>
        </w:rPr>
        <w:t>mi</w:t>
      </w:r>
      <w:r>
        <w:rPr>
          <w:rFonts w:asciiTheme="minorHAnsi" w:eastAsiaTheme="minorEastAsia" w:hAnsiTheme="minorHAnsi" w:cstheme="minorBidi"/>
        </w:rPr>
        <w:t xml:space="preserve"> pravidl</w:t>
      </w:r>
      <w:r w:rsidR="003A7142">
        <w:rPr>
          <w:rFonts w:asciiTheme="minorHAnsi" w:eastAsiaTheme="minorEastAsia" w:hAnsiTheme="minorHAnsi" w:cstheme="minorBidi"/>
        </w:rPr>
        <w:t>y</w:t>
      </w:r>
      <w:r>
        <w:rPr>
          <w:rStyle w:val="Znakapoznpodarou"/>
          <w:rFonts w:asciiTheme="minorHAnsi" w:eastAsiaTheme="minorEastAsia" w:hAnsiTheme="minorHAnsi" w:cstheme="minorBidi"/>
        </w:rPr>
        <w:footnoteReference w:id="41"/>
      </w:r>
      <w:r w:rsidR="00576694">
        <w:rPr>
          <w:rFonts w:asciiTheme="minorHAnsi" w:eastAsiaTheme="minorEastAsia" w:hAnsiTheme="minorHAnsi" w:cstheme="minorBidi"/>
        </w:rPr>
        <w:t xml:space="preserve"> </w:t>
      </w:r>
      <w:r w:rsidRPr="5214476D">
        <w:rPr>
          <w:rFonts w:asciiTheme="minorHAnsi" w:eastAsiaTheme="minorEastAsia" w:hAnsiTheme="minorHAnsi" w:cstheme="minorBidi"/>
        </w:rPr>
        <w:t>vyzvala příjemce dotace k nápravě či vrácení dotace nebo její části.</w:t>
      </w:r>
    </w:p>
    <w:p w14:paraId="2784DBD0" w14:textId="69B0E535" w:rsidR="00F30222" w:rsidRDefault="00F30222" w:rsidP="00F30222">
      <w:pPr>
        <w:spacing w:before="120"/>
      </w:pPr>
      <w:r w:rsidRPr="7D1F5B88">
        <w:rPr>
          <w:rFonts w:asciiTheme="minorHAnsi" w:eastAsiaTheme="minorEastAsia" w:hAnsiTheme="minorHAnsi" w:cstheme="minorBidi"/>
        </w:rPr>
        <w:t>NSA systematicky nekontrolovala u příjemců podpory použití peněžních prostředků ze</w:t>
      </w:r>
      <w:r w:rsidR="003A7142">
        <w:rPr>
          <w:rFonts w:asciiTheme="minorHAnsi" w:eastAsiaTheme="minorEastAsia" w:hAnsiTheme="minorHAnsi" w:cstheme="minorBidi"/>
        </w:rPr>
        <w:t xml:space="preserve"> </w:t>
      </w:r>
      <w:r w:rsidRPr="7D1F5B88">
        <w:rPr>
          <w:rFonts w:asciiTheme="minorHAnsi" w:eastAsiaTheme="minorEastAsia" w:hAnsiTheme="minorHAnsi" w:cstheme="minorBidi"/>
        </w:rPr>
        <w:t>státního rozpočtu určených na podporu sportu</w:t>
      </w:r>
      <w:r w:rsidR="00EF3205">
        <w:rPr>
          <w:rFonts w:asciiTheme="minorHAnsi" w:eastAsiaTheme="minorEastAsia" w:hAnsiTheme="minorHAnsi" w:cstheme="minorBidi"/>
        </w:rPr>
        <w:t>, přestože</w:t>
      </w:r>
      <w:r>
        <w:rPr>
          <w:rFonts w:asciiTheme="minorHAnsi" w:eastAsiaTheme="minorEastAsia" w:hAnsiTheme="minorHAnsi" w:cstheme="minorBidi"/>
        </w:rPr>
        <w:t xml:space="preserve"> </w:t>
      </w:r>
      <w:r w:rsidRPr="7D1F5B88">
        <w:rPr>
          <w:rFonts w:asciiTheme="minorHAnsi" w:eastAsiaTheme="minorEastAsia" w:hAnsiTheme="minorHAnsi" w:cstheme="minorBidi"/>
        </w:rPr>
        <w:t>měla k dispozici dokumenty k</w:t>
      </w:r>
      <w:r>
        <w:rPr>
          <w:rFonts w:asciiTheme="minorHAnsi" w:eastAsiaTheme="minorEastAsia" w:hAnsiTheme="minorHAnsi" w:cstheme="minorBidi"/>
        </w:rPr>
        <w:t> závěrečnému vyhodnocení či vyúčtování</w:t>
      </w:r>
      <w:r w:rsidR="00EF3205">
        <w:rPr>
          <w:rFonts w:asciiTheme="minorHAnsi" w:eastAsiaTheme="minorEastAsia" w:hAnsiTheme="minorHAnsi" w:cstheme="minorBidi"/>
        </w:rPr>
        <w:t>.</w:t>
      </w:r>
      <w:r w:rsidRPr="7D1F5B88">
        <w:rPr>
          <w:rFonts w:asciiTheme="minorHAnsi" w:eastAsiaTheme="minorEastAsia" w:hAnsiTheme="minorHAnsi" w:cstheme="minorBidi"/>
        </w:rPr>
        <w:t xml:space="preserve"> </w:t>
      </w:r>
      <w:r w:rsidR="009D1DE2">
        <w:rPr>
          <w:rFonts w:asciiTheme="minorHAnsi" w:eastAsiaTheme="minorEastAsia" w:hAnsiTheme="minorHAnsi" w:cstheme="minorBidi"/>
        </w:rPr>
        <w:t>Dále</w:t>
      </w:r>
      <w:r w:rsidRPr="7D1F5B88">
        <w:rPr>
          <w:rFonts w:asciiTheme="minorHAnsi" w:eastAsiaTheme="minorEastAsia" w:hAnsiTheme="minorHAnsi" w:cstheme="minorBidi"/>
        </w:rPr>
        <w:t xml:space="preserve"> postupovala v rozporu </w:t>
      </w:r>
      <w:r w:rsidR="003A7142">
        <w:rPr>
          <w:rFonts w:asciiTheme="minorHAnsi" w:eastAsiaTheme="minorEastAsia" w:hAnsiTheme="minorHAnsi" w:cstheme="minorBidi"/>
        </w:rPr>
        <w:t>s</w:t>
      </w:r>
      <w:r w:rsidR="00F6678D">
        <w:rPr>
          <w:rFonts w:asciiTheme="minorHAnsi" w:eastAsiaTheme="minorEastAsia" w:hAnsiTheme="minorHAnsi" w:cstheme="minorBidi"/>
        </w:rPr>
        <w:t> </w:t>
      </w:r>
      <w:r>
        <w:rPr>
          <w:rFonts w:asciiTheme="minorHAnsi" w:eastAsiaTheme="minorEastAsia" w:hAnsiTheme="minorHAnsi" w:cstheme="minorBidi"/>
        </w:rPr>
        <w:t>rozpočtový</w:t>
      </w:r>
      <w:r w:rsidR="003A7142">
        <w:rPr>
          <w:rFonts w:asciiTheme="minorHAnsi" w:eastAsiaTheme="minorEastAsia" w:hAnsiTheme="minorHAnsi" w:cstheme="minorBidi"/>
        </w:rPr>
        <w:t>mi</w:t>
      </w:r>
      <w:r>
        <w:rPr>
          <w:rFonts w:asciiTheme="minorHAnsi" w:eastAsiaTheme="minorEastAsia" w:hAnsiTheme="minorHAnsi" w:cstheme="minorBidi"/>
        </w:rPr>
        <w:t xml:space="preserve"> pravidl</w:t>
      </w:r>
      <w:r w:rsidR="003A7142">
        <w:rPr>
          <w:rFonts w:asciiTheme="minorHAnsi" w:eastAsiaTheme="minorEastAsia" w:hAnsiTheme="minorHAnsi" w:cstheme="minorBidi"/>
        </w:rPr>
        <w:t>y</w:t>
      </w:r>
      <w:r>
        <w:rPr>
          <w:rStyle w:val="Znakapoznpodarou"/>
          <w:rFonts w:asciiTheme="minorHAnsi" w:eastAsiaTheme="minorEastAsia" w:hAnsiTheme="minorHAnsi" w:cstheme="minorBidi"/>
        </w:rPr>
        <w:footnoteReference w:id="42"/>
      </w:r>
      <w:r w:rsidRPr="7D1F5B88">
        <w:rPr>
          <w:rFonts w:asciiTheme="minorHAnsi" w:eastAsiaTheme="minorEastAsia" w:hAnsiTheme="minorHAnsi" w:cstheme="minorBidi"/>
        </w:rPr>
        <w:t xml:space="preserve"> tím, že nesledovala a nevyhodnocovala hospodárnost, efektivnost a účelnost vynakládaných peněžních prostředků ve své kapitole. </w:t>
      </w:r>
    </w:p>
    <w:p w14:paraId="2EF17F46" w14:textId="7DAB51B7" w:rsidR="00F30222" w:rsidRDefault="00D54CE4" w:rsidP="00F30222">
      <w:pPr>
        <w:spacing w:before="120"/>
        <w:rPr>
          <w:rFonts w:eastAsia="Calibri"/>
          <w:b/>
          <w:bCs/>
        </w:rPr>
      </w:pPr>
      <w:r w:rsidRPr="7D1F5B88">
        <w:rPr>
          <w:rFonts w:eastAsia="Calibri"/>
        </w:rPr>
        <w:t xml:space="preserve">NSA si </w:t>
      </w:r>
      <w:r>
        <w:rPr>
          <w:rFonts w:eastAsia="Calibri"/>
        </w:rPr>
        <w:t xml:space="preserve">v </w:t>
      </w:r>
      <w:r w:rsidR="00F30222" w:rsidRPr="7D1F5B88">
        <w:rPr>
          <w:rFonts w:eastAsia="Calibri"/>
        </w:rPr>
        <w:t>investičních program</w:t>
      </w:r>
      <w:r>
        <w:rPr>
          <w:rFonts w:eastAsia="Calibri"/>
        </w:rPr>
        <w:t>ech</w:t>
      </w:r>
      <w:r w:rsidR="00F30222" w:rsidRPr="7D1F5B88">
        <w:rPr>
          <w:rFonts w:eastAsia="Calibri"/>
        </w:rPr>
        <w:t xml:space="preserve"> </w:t>
      </w:r>
      <w:r w:rsidRPr="7D1F5B88">
        <w:rPr>
          <w:rFonts w:eastAsia="Calibri"/>
        </w:rPr>
        <w:t xml:space="preserve">stanovila </w:t>
      </w:r>
      <w:r w:rsidR="00F30222" w:rsidRPr="7D1F5B88">
        <w:rPr>
          <w:rFonts w:eastAsia="Calibri"/>
        </w:rPr>
        <w:t>množství veřejnosprávních kontrol na</w:t>
      </w:r>
      <w:r w:rsidR="003A7142">
        <w:rPr>
          <w:rFonts w:eastAsia="Calibri"/>
        </w:rPr>
        <w:t xml:space="preserve"> </w:t>
      </w:r>
      <w:r w:rsidR="00F30222" w:rsidRPr="7D1F5B88">
        <w:rPr>
          <w:rFonts w:eastAsia="Calibri"/>
        </w:rPr>
        <w:t xml:space="preserve">základě poskytnutého objemu veřejných prostředků nebo počtu příjemců. Z předložených plánů kontrolních </w:t>
      </w:r>
      <w:r w:rsidR="00F30222" w:rsidRPr="005728D7">
        <w:rPr>
          <w:rFonts w:eastAsia="Calibri"/>
        </w:rPr>
        <w:t xml:space="preserve">činností na rok 2022 a 2023 bylo zřejmé, že NSA provádí veřejnosprávní kontroly u příjemců dotací. Množství a výběr </w:t>
      </w:r>
      <w:r w:rsidR="00A74393">
        <w:rPr>
          <w:rFonts w:eastAsia="Calibri"/>
        </w:rPr>
        <w:t xml:space="preserve">prováděných </w:t>
      </w:r>
      <w:r w:rsidR="00F30222" w:rsidRPr="005728D7">
        <w:rPr>
          <w:rFonts w:eastAsia="Calibri"/>
        </w:rPr>
        <w:t xml:space="preserve">veřejnosprávních kontrol </w:t>
      </w:r>
      <w:r w:rsidR="005728D7" w:rsidRPr="005728D7">
        <w:rPr>
          <w:rFonts w:eastAsia="Calibri"/>
        </w:rPr>
        <w:t>byl násobně nižší, než</w:t>
      </w:r>
      <w:r w:rsidR="00F30222" w:rsidRPr="005728D7">
        <w:rPr>
          <w:rFonts w:eastAsia="Calibri"/>
        </w:rPr>
        <w:t xml:space="preserve"> </w:t>
      </w:r>
      <w:r w:rsidR="008F76CE">
        <w:rPr>
          <w:rFonts w:eastAsia="Calibri"/>
        </w:rPr>
        <w:t>jaký</w:t>
      </w:r>
      <w:r w:rsidR="00F30222" w:rsidRPr="005728D7">
        <w:rPr>
          <w:rFonts w:eastAsia="Calibri"/>
        </w:rPr>
        <w:t xml:space="preserve"> si NSA sta</w:t>
      </w:r>
      <w:r w:rsidR="005728D7" w:rsidRPr="005728D7">
        <w:rPr>
          <w:rFonts w:eastAsia="Calibri"/>
        </w:rPr>
        <w:t>novila</w:t>
      </w:r>
      <w:r w:rsidR="00F30222" w:rsidRPr="005728D7">
        <w:rPr>
          <w:rFonts w:eastAsia="Calibri"/>
        </w:rPr>
        <w:t xml:space="preserve"> </w:t>
      </w:r>
      <w:r w:rsidR="005728D7" w:rsidRPr="005728D7">
        <w:rPr>
          <w:rFonts w:eastAsia="Calibri"/>
        </w:rPr>
        <w:t>u</w:t>
      </w:r>
      <w:r w:rsidR="00F30222" w:rsidRPr="005728D7">
        <w:rPr>
          <w:rFonts w:eastAsia="Calibri"/>
        </w:rPr>
        <w:t xml:space="preserve"> jednotlivých investičních program</w:t>
      </w:r>
      <w:r w:rsidR="005728D7" w:rsidRPr="005728D7">
        <w:rPr>
          <w:rFonts w:eastAsia="Calibri"/>
        </w:rPr>
        <w:t>ů.</w:t>
      </w:r>
    </w:p>
    <w:p w14:paraId="01AC6990" w14:textId="77777777" w:rsidR="00F30222" w:rsidRDefault="00F30222" w:rsidP="00F30222">
      <w:pPr>
        <w:spacing w:before="120"/>
        <w:rPr>
          <w:rFonts w:asciiTheme="minorHAnsi" w:eastAsiaTheme="minorEastAsia" w:hAnsiTheme="minorHAnsi" w:cstheme="minorBidi"/>
        </w:rPr>
      </w:pPr>
      <w:r w:rsidRPr="7D1F5B88">
        <w:rPr>
          <w:rFonts w:asciiTheme="minorHAnsi" w:eastAsiaTheme="minorEastAsia" w:hAnsiTheme="minorHAnsi" w:cstheme="minorBidi"/>
        </w:rPr>
        <w:t>NSA postupovala v rozporu s</w:t>
      </w:r>
      <w:r>
        <w:rPr>
          <w:rFonts w:asciiTheme="minorHAnsi" w:eastAsiaTheme="minorEastAsia" w:hAnsiTheme="minorHAnsi" w:cstheme="minorBidi"/>
        </w:rPr>
        <w:t>e zákonem o finanční kontrole</w:t>
      </w:r>
      <w:r>
        <w:rPr>
          <w:rStyle w:val="Znakapoznpodarou"/>
          <w:rFonts w:asciiTheme="minorHAnsi" w:eastAsiaTheme="minorEastAsia" w:hAnsiTheme="minorHAnsi" w:cstheme="minorBidi"/>
        </w:rPr>
        <w:footnoteReference w:id="43"/>
      </w:r>
      <w:r w:rsidRPr="7D1F5B88">
        <w:rPr>
          <w:rFonts w:asciiTheme="minorHAnsi" w:eastAsiaTheme="minorEastAsia" w:hAnsiTheme="minorHAnsi" w:cstheme="minorBidi"/>
        </w:rPr>
        <w:t xml:space="preserve"> tím, že</w:t>
      </w:r>
      <w:r w:rsidR="001B0879">
        <w:rPr>
          <w:rFonts w:asciiTheme="minorHAnsi" w:eastAsiaTheme="minorEastAsia" w:hAnsiTheme="minorHAnsi" w:cstheme="minorBidi"/>
        </w:rPr>
        <w:t xml:space="preserve"> </w:t>
      </w:r>
      <w:r w:rsidR="00275997" w:rsidRPr="7D1F5B88">
        <w:rPr>
          <w:rFonts w:asciiTheme="minorHAnsi" w:eastAsiaTheme="minorEastAsia" w:hAnsiTheme="minorHAnsi" w:cstheme="minorBidi"/>
        </w:rPr>
        <w:t xml:space="preserve">neprováděla průběžnou </w:t>
      </w:r>
      <w:r w:rsidR="00943172">
        <w:rPr>
          <w:rFonts w:asciiTheme="minorHAnsi" w:eastAsiaTheme="minorEastAsia" w:hAnsiTheme="minorHAnsi" w:cstheme="minorBidi"/>
        </w:rPr>
        <w:t>veřejnosprávní kontrolu</w:t>
      </w:r>
      <w:r w:rsidR="00943172" w:rsidRPr="00943172">
        <w:rPr>
          <w:rFonts w:asciiTheme="minorHAnsi" w:eastAsiaTheme="minorEastAsia" w:hAnsiTheme="minorHAnsi" w:cstheme="minorBidi"/>
        </w:rPr>
        <w:t xml:space="preserve"> </w:t>
      </w:r>
      <w:r w:rsidR="00943172" w:rsidRPr="7D1F5B88">
        <w:rPr>
          <w:rFonts w:asciiTheme="minorHAnsi" w:eastAsiaTheme="minorEastAsia" w:hAnsiTheme="minorHAnsi" w:cstheme="minorBidi"/>
        </w:rPr>
        <w:t>při hospodaření s veřejnými prostředky.</w:t>
      </w:r>
      <w:r w:rsidRPr="7D1F5B88">
        <w:rPr>
          <w:rFonts w:asciiTheme="minorHAnsi" w:eastAsiaTheme="minorEastAsia" w:hAnsiTheme="minorHAnsi" w:cstheme="minorBidi"/>
        </w:rPr>
        <w:t xml:space="preserve"> </w:t>
      </w:r>
    </w:p>
    <w:p w14:paraId="4E5A7794" w14:textId="77777777" w:rsidR="00D05AFA" w:rsidRPr="006D1FCE" w:rsidRDefault="00E435EE" w:rsidP="00E435EE">
      <w:pPr>
        <w:pStyle w:val="Nadpis1"/>
        <w:spacing w:after="120"/>
      </w:pPr>
      <w:r>
        <w:t xml:space="preserve">2. </w:t>
      </w:r>
      <w:r w:rsidR="00536BDD" w:rsidRPr="006D1FCE">
        <w:t xml:space="preserve">Netransparentní </w:t>
      </w:r>
      <w:r w:rsidR="00CB0467" w:rsidRPr="006D1FCE">
        <w:t>výběr příjemců dotací</w:t>
      </w:r>
    </w:p>
    <w:p w14:paraId="7FAA406E" w14:textId="77777777" w:rsidR="00536BDD" w:rsidRPr="00155C6C" w:rsidRDefault="00E435EE" w:rsidP="00E435EE">
      <w:pPr>
        <w:pStyle w:val="Nadpis2"/>
        <w:spacing w:before="240" w:after="120"/>
      </w:pPr>
      <w:r>
        <w:t xml:space="preserve">2.1 </w:t>
      </w:r>
      <w:r w:rsidR="00536BDD" w:rsidRPr="00155C6C">
        <w:t>MŠMT u tří výzev nepostupovalo transparentním způsobem</w:t>
      </w:r>
    </w:p>
    <w:p w14:paraId="4176C0BC" w14:textId="0DE043BE" w:rsidR="202E714F" w:rsidRDefault="202E714F" w:rsidP="00BD0991">
      <w:pPr>
        <w:spacing w:before="120"/>
        <w:rPr>
          <w:rFonts w:eastAsia="Calibri"/>
        </w:rPr>
      </w:pPr>
      <w:r w:rsidRPr="6524B888">
        <w:rPr>
          <w:rFonts w:asciiTheme="minorHAnsi" w:eastAsiaTheme="minorEastAsia" w:hAnsiTheme="minorHAnsi" w:cstheme="minorBidi"/>
        </w:rPr>
        <w:t>MŠMT provedlo věcné hodnocení žádostí</w:t>
      </w:r>
      <w:r w:rsidRPr="6524B888">
        <w:rPr>
          <w:rFonts w:asciiTheme="minorHAnsi" w:eastAsiaTheme="minorEastAsia" w:hAnsiTheme="minorHAnsi" w:cstheme="minorBidi"/>
          <w:vertAlign w:val="superscript"/>
        </w:rPr>
        <w:footnoteReference w:id="44"/>
      </w:r>
      <w:r w:rsidRPr="6524B888">
        <w:rPr>
          <w:rFonts w:asciiTheme="minorHAnsi" w:eastAsiaTheme="minorEastAsia" w:hAnsiTheme="minorHAnsi" w:cstheme="minorBidi"/>
        </w:rPr>
        <w:t xml:space="preserve"> v rámci výzvy </w:t>
      </w:r>
      <w:r w:rsidRPr="6524B888">
        <w:rPr>
          <w:rFonts w:asciiTheme="minorHAnsi" w:eastAsiaTheme="minorEastAsia" w:hAnsiTheme="minorHAnsi" w:cstheme="minorBidi"/>
          <w:i/>
          <w:iCs/>
        </w:rPr>
        <w:t>V3 Sport</w:t>
      </w:r>
      <w:r w:rsidR="7E1ED3AE" w:rsidRPr="6524B888">
        <w:rPr>
          <w:rFonts w:asciiTheme="minorHAnsi" w:eastAsiaTheme="minorEastAsia" w:hAnsiTheme="minorHAnsi" w:cstheme="minorBidi"/>
        </w:rPr>
        <w:t>.</w:t>
      </w:r>
      <w:r w:rsidR="22CFB2B2" w:rsidRPr="6524B888">
        <w:rPr>
          <w:rFonts w:asciiTheme="minorHAnsi" w:eastAsiaTheme="minorEastAsia" w:hAnsiTheme="minorHAnsi" w:cstheme="minorBidi"/>
        </w:rPr>
        <w:t xml:space="preserve"> </w:t>
      </w:r>
      <w:r w:rsidR="655D46F0" w:rsidRPr="424C9439">
        <w:rPr>
          <w:rFonts w:eastAsia="Calibri"/>
        </w:rPr>
        <w:t>Hodnoticí komise MŠMT</w:t>
      </w:r>
      <w:r w:rsidR="008F76CE">
        <w:rPr>
          <w:rFonts w:eastAsia="Calibri"/>
        </w:rPr>
        <w:t xml:space="preserve"> </w:t>
      </w:r>
      <w:r w:rsidR="655D46F0" w:rsidRPr="424C9439">
        <w:rPr>
          <w:rFonts w:eastAsia="Calibri"/>
        </w:rPr>
        <w:t>nepostupovala při stanovení pořadí žádostí v případě, že obdržely shodný počet bodů, vždy v</w:t>
      </w:r>
      <w:r w:rsidR="00F6678D">
        <w:rPr>
          <w:rFonts w:eastAsia="Calibri"/>
        </w:rPr>
        <w:t> </w:t>
      </w:r>
      <w:r w:rsidR="655D46F0" w:rsidRPr="424C9439">
        <w:rPr>
          <w:rFonts w:eastAsia="Calibri"/>
        </w:rPr>
        <w:t xml:space="preserve">souladu s výzvou. </w:t>
      </w:r>
      <w:r w:rsidR="008F76CE">
        <w:rPr>
          <w:rFonts w:eastAsia="Calibri"/>
          <w:b/>
          <w:bCs/>
        </w:rPr>
        <w:t>V</w:t>
      </w:r>
      <w:r w:rsidR="655D46F0" w:rsidRPr="424C9439">
        <w:rPr>
          <w:rFonts w:eastAsia="Calibri"/>
          <w:b/>
          <w:bCs/>
        </w:rPr>
        <w:t xml:space="preserve"> případě získání shodného počtu bodů</w:t>
      </w:r>
      <w:r w:rsidR="0069584D">
        <w:rPr>
          <w:rFonts w:eastAsia="Calibri"/>
          <w:b/>
          <w:bCs/>
        </w:rPr>
        <w:t xml:space="preserve"> </w:t>
      </w:r>
      <w:r w:rsidR="0069584D" w:rsidRPr="424C9439">
        <w:rPr>
          <w:rFonts w:eastAsia="Calibri"/>
        </w:rPr>
        <w:t xml:space="preserve">totiž </w:t>
      </w:r>
      <w:r w:rsidR="0069584D">
        <w:rPr>
          <w:rFonts w:eastAsia="Calibri"/>
        </w:rPr>
        <w:t xml:space="preserve">zvolila </w:t>
      </w:r>
      <w:r w:rsidR="0069584D" w:rsidRPr="424C9439">
        <w:rPr>
          <w:rFonts w:eastAsia="Calibri"/>
        </w:rPr>
        <w:t>pro posouzení žádostí</w:t>
      </w:r>
      <w:r w:rsidR="0069584D" w:rsidRPr="0069584D">
        <w:rPr>
          <w:rFonts w:eastAsia="Calibri"/>
        </w:rPr>
        <w:t xml:space="preserve"> </w:t>
      </w:r>
      <w:r w:rsidR="0069584D" w:rsidRPr="424C9439">
        <w:rPr>
          <w:rFonts w:eastAsia="Calibri"/>
        </w:rPr>
        <w:t>jiná kritéria</w:t>
      </w:r>
      <w:r w:rsidR="655D46F0" w:rsidRPr="424C9439">
        <w:rPr>
          <w:rFonts w:eastAsia="Calibri"/>
        </w:rPr>
        <w:t>, než byla uvedena ve výzvě. Navíc nebylo zřejmé, jak komise určila pořadí v případě, že žádosti obdržely shodný počet bodů i v těchto kritériích. NKÚ</w:t>
      </w:r>
      <w:r w:rsidR="0069584D">
        <w:rPr>
          <w:rFonts w:eastAsia="Calibri"/>
        </w:rPr>
        <w:t xml:space="preserve"> </w:t>
      </w:r>
      <w:r w:rsidR="655D46F0" w:rsidRPr="424C9439">
        <w:rPr>
          <w:rFonts w:eastAsia="Calibri"/>
        </w:rPr>
        <w:t>nepovažuje tento postup MŠMT při hodnocení žádostí u</w:t>
      </w:r>
      <w:r w:rsidR="0069584D">
        <w:rPr>
          <w:rFonts w:eastAsia="Calibri"/>
        </w:rPr>
        <w:t> </w:t>
      </w:r>
      <w:r w:rsidR="655D46F0" w:rsidRPr="424C9439">
        <w:rPr>
          <w:rFonts w:eastAsia="Calibri"/>
        </w:rPr>
        <w:t xml:space="preserve">výzvy </w:t>
      </w:r>
      <w:r w:rsidR="655D46F0" w:rsidRPr="6524B888">
        <w:rPr>
          <w:rFonts w:eastAsia="Calibri"/>
          <w:i/>
          <w:iCs/>
        </w:rPr>
        <w:t xml:space="preserve">V3 Sport </w:t>
      </w:r>
      <w:r w:rsidR="655D46F0" w:rsidRPr="424C9439">
        <w:rPr>
          <w:rFonts w:eastAsia="Calibri"/>
        </w:rPr>
        <w:t>za</w:t>
      </w:r>
      <w:r w:rsidR="0069584D">
        <w:rPr>
          <w:rFonts w:eastAsia="Calibri"/>
        </w:rPr>
        <w:t xml:space="preserve"> </w:t>
      </w:r>
      <w:r w:rsidR="655D46F0" w:rsidRPr="424C9439">
        <w:rPr>
          <w:rFonts w:eastAsia="Calibri"/>
        </w:rPr>
        <w:t>transparentní.</w:t>
      </w:r>
    </w:p>
    <w:p w14:paraId="03CCC10B" w14:textId="77777777" w:rsidR="202E714F" w:rsidRPr="00780720" w:rsidRDefault="655D46F0" w:rsidP="6524B888">
      <w:pPr>
        <w:spacing w:before="120"/>
        <w:rPr>
          <w:rFonts w:asciiTheme="minorHAnsi" w:eastAsiaTheme="minorEastAsia" w:hAnsiTheme="minorHAnsi" w:cstheme="minorBidi"/>
        </w:rPr>
      </w:pPr>
      <w:r w:rsidRPr="6524B888">
        <w:rPr>
          <w:rFonts w:asciiTheme="minorHAnsi" w:eastAsiaTheme="minorEastAsia" w:hAnsiTheme="minorHAnsi" w:cstheme="minorBidi"/>
        </w:rPr>
        <w:t xml:space="preserve">V rámci výzvy </w:t>
      </w:r>
      <w:r w:rsidRPr="6524B888">
        <w:rPr>
          <w:rFonts w:asciiTheme="minorHAnsi" w:eastAsiaTheme="minorEastAsia" w:hAnsiTheme="minorHAnsi" w:cstheme="minorBidi"/>
          <w:i/>
          <w:iCs/>
        </w:rPr>
        <w:t>VSA 2019</w:t>
      </w:r>
      <w:r w:rsidRPr="6524B888">
        <w:rPr>
          <w:rFonts w:asciiTheme="minorHAnsi" w:eastAsiaTheme="minorEastAsia" w:hAnsiTheme="minorHAnsi" w:cstheme="minorBidi"/>
        </w:rPr>
        <w:t xml:space="preserve"> MŠMT nezdůvodnilo, proč u 13 žádostí o dotaci rozhodlo odlišně od doporučení expertní výběrové komise. V </w:t>
      </w:r>
      <w:r w:rsidR="4D27172E" w:rsidRPr="6524B888">
        <w:rPr>
          <w:rFonts w:asciiTheme="minorHAnsi" w:eastAsiaTheme="minorEastAsia" w:hAnsiTheme="minorHAnsi" w:cstheme="minorBidi"/>
        </w:rPr>
        <w:t>šesti</w:t>
      </w:r>
      <w:r w:rsidRPr="6524B888">
        <w:rPr>
          <w:rFonts w:asciiTheme="minorHAnsi" w:eastAsiaTheme="minorEastAsia" w:hAnsiTheme="minorHAnsi" w:cstheme="minorBidi"/>
        </w:rPr>
        <w:t xml:space="preserve"> případech se jednalo o</w:t>
      </w:r>
      <w:r w:rsidR="00F6678D">
        <w:rPr>
          <w:rFonts w:asciiTheme="minorHAnsi" w:eastAsiaTheme="minorEastAsia" w:hAnsiTheme="minorHAnsi" w:cstheme="minorBidi"/>
        </w:rPr>
        <w:t> </w:t>
      </w:r>
      <w:r w:rsidRPr="6524B888">
        <w:rPr>
          <w:rFonts w:asciiTheme="minorHAnsi" w:eastAsiaTheme="minorEastAsia" w:hAnsiTheme="minorHAnsi" w:cstheme="minorBidi"/>
        </w:rPr>
        <w:t xml:space="preserve">nepodpoření žádostí doporučených komisí k financování, ve </w:t>
      </w:r>
      <w:r w:rsidR="615CD6C4" w:rsidRPr="6524B888">
        <w:rPr>
          <w:rFonts w:asciiTheme="minorHAnsi" w:eastAsiaTheme="minorEastAsia" w:hAnsiTheme="minorHAnsi" w:cstheme="minorBidi"/>
        </w:rPr>
        <w:t>dvou</w:t>
      </w:r>
      <w:r w:rsidRPr="6524B888">
        <w:rPr>
          <w:rFonts w:asciiTheme="minorHAnsi" w:eastAsiaTheme="minorEastAsia" w:hAnsiTheme="minorHAnsi" w:cstheme="minorBidi"/>
        </w:rPr>
        <w:t xml:space="preserve"> případech MŠMT naopak podpořilo žádosti, které komise k </w:t>
      </w:r>
      <w:r w:rsidRPr="00780720">
        <w:rPr>
          <w:rFonts w:asciiTheme="minorHAnsi" w:eastAsiaTheme="minorEastAsia" w:hAnsiTheme="minorHAnsi" w:cstheme="minorBidi"/>
        </w:rPr>
        <w:t xml:space="preserve">financování nedoporučila, a v </w:t>
      </w:r>
      <w:r w:rsidR="46A93AC6" w:rsidRPr="00780720">
        <w:rPr>
          <w:rFonts w:asciiTheme="minorHAnsi" w:eastAsiaTheme="minorEastAsia" w:hAnsiTheme="minorHAnsi" w:cstheme="minorBidi"/>
        </w:rPr>
        <w:t>pěti</w:t>
      </w:r>
      <w:r w:rsidRPr="00780720">
        <w:rPr>
          <w:rFonts w:asciiTheme="minorHAnsi" w:eastAsiaTheme="minorEastAsia" w:hAnsiTheme="minorHAnsi" w:cstheme="minorBidi"/>
        </w:rPr>
        <w:t xml:space="preserve"> případech </w:t>
      </w:r>
      <w:r w:rsidR="00BE7D3B" w:rsidRPr="00780720">
        <w:rPr>
          <w:rFonts w:asciiTheme="minorHAnsi" w:eastAsiaTheme="minorEastAsia" w:hAnsiTheme="minorHAnsi" w:cstheme="minorBidi"/>
        </w:rPr>
        <w:t>MŠMT</w:t>
      </w:r>
      <w:r w:rsidR="00F6678D">
        <w:rPr>
          <w:rFonts w:asciiTheme="minorHAnsi" w:eastAsiaTheme="minorEastAsia" w:hAnsiTheme="minorHAnsi" w:cstheme="minorBidi"/>
        </w:rPr>
        <w:t> </w:t>
      </w:r>
      <w:r w:rsidRPr="00780720">
        <w:rPr>
          <w:rFonts w:asciiTheme="minorHAnsi" w:eastAsiaTheme="minorEastAsia" w:hAnsiTheme="minorHAnsi" w:cstheme="minorBidi"/>
        </w:rPr>
        <w:t>uprav</w:t>
      </w:r>
      <w:r w:rsidR="00BE7D3B" w:rsidRPr="00780720">
        <w:rPr>
          <w:rFonts w:asciiTheme="minorHAnsi" w:eastAsiaTheme="minorEastAsia" w:hAnsiTheme="minorHAnsi" w:cstheme="minorBidi"/>
        </w:rPr>
        <w:t>ilo</w:t>
      </w:r>
      <w:r w:rsidRPr="00780720">
        <w:rPr>
          <w:rFonts w:asciiTheme="minorHAnsi" w:eastAsiaTheme="minorEastAsia" w:hAnsiTheme="minorHAnsi" w:cstheme="minorBidi"/>
        </w:rPr>
        <w:t xml:space="preserve"> výš</w:t>
      </w:r>
      <w:r w:rsidR="00BE7D3B" w:rsidRPr="00780720">
        <w:rPr>
          <w:rFonts w:asciiTheme="minorHAnsi" w:eastAsiaTheme="minorEastAsia" w:hAnsiTheme="minorHAnsi" w:cstheme="minorBidi"/>
        </w:rPr>
        <w:t>i</w:t>
      </w:r>
      <w:r w:rsidRPr="00780720">
        <w:rPr>
          <w:rFonts w:asciiTheme="minorHAnsi" w:eastAsiaTheme="minorEastAsia" w:hAnsiTheme="minorHAnsi" w:cstheme="minorBidi"/>
        </w:rPr>
        <w:t xml:space="preserve"> dotace </w:t>
      </w:r>
      <w:r w:rsidR="00BE7D3B" w:rsidRPr="00780720">
        <w:rPr>
          <w:rFonts w:asciiTheme="minorHAnsi" w:eastAsiaTheme="minorEastAsia" w:hAnsiTheme="minorHAnsi" w:cstheme="minorBidi"/>
        </w:rPr>
        <w:t xml:space="preserve">oproti </w:t>
      </w:r>
      <w:r w:rsidRPr="00780720">
        <w:rPr>
          <w:rFonts w:asciiTheme="minorHAnsi" w:eastAsiaTheme="minorEastAsia" w:hAnsiTheme="minorHAnsi" w:cstheme="minorBidi"/>
        </w:rPr>
        <w:t>n</w:t>
      </w:r>
      <w:r w:rsidR="00BE7D3B" w:rsidRPr="00780720">
        <w:rPr>
          <w:rFonts w:asciiTheme="minorHAnsi" w:eastAsiaTheme="minorEastAsia" w:hAnsiTheme="minorHAnsi" w:cstheme="minorBidi"/>
        </w:rPr>
        <w:t>ávrhu</w:t>
      </w:r>
      <w:r w:rsidRPr="00780720">
        <w:rPr>
          <w:rFonts w:asciiTheme="minorHAnsi" w:eastAsiaTheme="minorEastAsia" w:hAnsiTheme="minorHAnsi" w:cstheme="minorBidi"/>
        </w:rPr>
        <w:t xml:space="preserve"> komis</w:t>
      </w:r>
      <w:r w:rsidR="00BE7D3B" w:rsidRPr="00780720">
        <w:rPr>
          <w:rFonts w:asciiTheme="minorHAnsi" w:eastAsiaTheme="minorEastAsia" w:hAnsiTheme="minorHAnsi" w:cstheme="minorBidi"/>
        </w:rPr>
        <w:t>e</w:t>
      </w:r>
      <w:r w:rsidRPr="00780720">
        <w:rPr>
          <w:rFonts w:asciiTheme="minorHAnsi" w:eastAsiaTheme="minorEastAsia" w:hAnsiTheme="minorHAnsi" w:cstheme="minorBidi"/>
        </w:rPr>
        <w:t>. NKÚ nepovažuje postup MŠMT v těchto případech za transparentní.</w:t>
      </w:r>
    </w:p>
    <w:p w14:paraId="6116872E" w14:textId="3621A00F" w:rsidR="5A48A641" w:rsidRDefault="5A48A641" w:rsidP="00BD0991">
      <w:pPr>
        <w:spacing w:before="120"/>
        <w:rPr>
          <w:rFonts w:asciiTheme="minorHAnsi" w:eastAsiaTheme="minorEastAsia" w:hAnsiTheme="minorHAnsi" w:cstheme="minorBidi"/>
        </w:rPr>
      </w:pPr>
      <w:r w:rsidRPr="00780720">
        <w:rPr>
          <w:rFonts w:asciiTheme="minorHAnsi" w:eastAsiaTheme="minorEastAsia" w:hAnsiTheme="minorHAnsi" w:cstheme="minorBidi"/>
        </w:rPr>
        <w:t>MŠMT u</w:t>
      </w:r>
      <w:r w:rsidR="61DCF346" w:rsidRPr="00780720">
        <w:rPr>
          <w:rFonts w:asciiTheme="minorHAnsi" w:eastAsiaTheme="minorEastAsia" w:hAnsiTheme="minorHAnsi" w:cstheme="minorBidi"/>
        </w:rPr>
        <w:t xml:space="preserve"> </w:t>
      </w:r>
      <w:r w:rsidR="5BF59DBB" w:rsidRPr="00780720">
        <w:rPr>
          <w:rFonts w:asciiTheme="minorHAnsi" w:eastAsiaTheme="minorEastAsia" w:hAnsiTheme="minorHAnsi" w:cstheme="minorBidi"/>
        </w:rPr>
        <w:t xml:space="preserve">výzvy </w:t>
      </w:r>
      <w:r w:rsidR="5BF59DBB" w:rsidRPr="00780720">
        <w:rPr>
          <w:rFonts w:asciiTheme="minorHAnsi" w:eastAsiaTheme="minorEastAsia" w:hAnsiTheme="minorHAnsi" w:cstheme="minorBidi"/>
          <w:i/>
          <w:iCs/>
        </w:rPr>
        <w:t xml:space="preserve">TALENT 2019 </w:t>
      </w:r>
      <w:r w:rsidR="038EA64B" w:rsidRPr="00780720">
        <w:rPr>
          <w:rFonts w:asciiTheme="minorHAnsi" w:eastAsiaTheme="minorEastAsia" w:hAnsiTheme="minorHAnsi" w:cstheme="minorBidi"/>
        </w:rPr>
        <w:t xml:space="preserve">rozhodlo </w:t>
      </w:r>
      <w:r w:rsidR="5BF59DBB" w:rsidRPr="00780720">
        <w:rPr>
          <w:rFonts w:asciiTheme="minorHAnsi" w:eastAsiaTheme="minorEastAsia" w:hAnsiTheme="minorHAnsi" w:cstheme="minorBidi"/>
        </w:rPr>
        <w:t xml:space="preserve">o podpoře 23 žádostí, které ve věcném hodnocení </w:t>
      </w:r>
      <w:r w:rsidR="5BF59DBB" w:rsidRPr="008C4411">
        <w:rPr>
          <w:rFonts w:asciiTheme="minorHAnsi" w:eastAsiaTheme="minorEastAsia" w:hAnsiTheme="minorHAnsi" w:cstheme="minorBidi"/>
        </w:rPr>
        <w:t>nedosáhly minimálního počtu bodů</w:t>
      </w:r>
      <w:r w:rsidR="4368678A" w:rsidRPr="008C4411">
        <w:rPr>
          <w:rFonts w:asciiTheme="minorHAnsi" w:eastAsiaTheme="minorEastAsia" w:hAnsiTheme="minorHAnsi" w:cstheme="minorBidi"/>
        </w:rPr>
        <w:t xml:space="preserve"> </w:t>
      </w:r>
      <w:r w:rsidR="5BF59DBB" w:rsidRPr="008C4411">
        <w:rPr>
          <w:rFonts w:asciiTheme="minorHAnsi" w:eastAsiaTheme="minorEastAsia" w:hAnsiTheme="minorHAnsi" w:cstheme="minorBidi"/>
        </w:rPr>
        <w:t>požadovaného dle</w:t>
      </w:r>
      <w:r w:rsidR="65E53800" w:rsidRPr="008C4411">
        <w:rPr>
          <w:rFonts w:asciiTheme="minorHAnsi" w:eastAsiaTheme="minorEastAsia" w:hAnsiTheme="minorHAnsi" w:cstheme="minorBidi"/>
        </w:rPr>
        <w:t xml:space="preserve"> podmínek</w:t>
      </w:r>
      <w:r w:rsidR="5BF59DBB" w:rsidRPr="008C4411">
        <w:rPr>
          <w:rFonts w:asciiTheme="minorHAnsi" w:eastAsiaTheme="minorEastAsia" w:hAnsiTheme="minorHAnsi" w:cstheme="minorBidi"/>
        </w:rPr>
        <w:t xml:space="preserve"> výzvy pro </w:t>
      </w:r>
      <w:r w:rsidR="271AE5E2" w:rsidRPr="008C4411">
        <w:rPr>
          <w:rFonts w:asciiTheme="minorHAnsi" w:eastAsiaTheme="minorEastAsia" w:hAnsiTheme="minorHAnsi" w:cstheme="minorBidi"/>
        </w:rPr>
        <w:t xml:space="preserve">udělení </w:t>
      </w:r>
      <w:r w:rsidR="5BF59DBB" w:rsidRPr="008C4411">
        <w:rPr>
          <w:rFonts w:asciiTheme="minorHAnsi" w:eastAsiaTheme="minorEastAsia" w:hAnsiTheme="minorHAnsi" w:cstheme="minorBidi"/>
        </w:rPr>
        <w:t xml:space="preserve">dotace. </w:t>
      </w:r>
      <w:r w:rsidR="008C4411" w:rsidRPr="008C4411">
        <w:rPr>
          <w:rFonts w:asciiTheme="minorHAnsi" w:eastAsiaTheme="minorEastAsia" w:hAnsiTheme="minorHAnsi" w:cstheme="minorBidi"/>
        </w:rPr>
        <w:t>U</w:t>
      </w:r>
      <w:r w:rsidR="285ABA4C" w:rsidRPr="008C4411">
        <w:rPr>
          <w:rFonts w:asciiTheme="minorHAnsi" w:eastAsiaTheme="minorEastAsia" w:hAnsiTheme="minorHAnsi" w:cstheme="minorBidi"/>
        </w:rPr>
        <w:t xml:space="preserve"> těchto žádostí </w:t>
      </w:r>
      <w:r w:rsidR="008C4411" w:rsidRPr="008C4411">
        <w:rPr>
          <w:rFonts w:asciiTheme="minorHAnsi" w:eastAsiaTheme="minorEastAsia" w:hAnsiTheme="minorHAnsi" w:cstheme="minorBidi"/>
        </w:rPr>
        <w:t xml:space="preserve">MŠMT upravilo </w:t>
      </w:r>
      <w:r w:rsidR="5BF59DBB" w:rsidRPr="008C4411">
        <w:rPr>
          <w:rFonts w:asciiTheme="minorHAnsi" w:eastAsiaTheme="minorEastAsia" w:hAnsiTheme="minorHAnsi" w:cstheme="minorBidi"/>
        </w:rPr>
        <w:t>průměrný bodový zisk</w:t>
      </w:r>
      <w:r w:rsidR="48B56452" w:rsidRPr="008C4411">
        <w:rPr>
          <w:rFonts w:asciiTheme="minorHAnsi" w:eastAsiaTheme="minorEastAsia" w:hAnsiTheme="minorHAnsi" w:cstheme="minorBidi"/>
        </w:rPr>
        <w:t xml:space="preserve"> </w:t>
      </w:r>
      <w:r w:rsidR="5BF59DBB" w:rsidRPr="008C4411">
        <w:rPr>
          <w:rFonts w:asciiTheme="minorHAnsi" w:eastAsiaTheme="minorEastAsia" w:hAnsiTheme="minorHAnsi" w:cstheme="minorBidi"/>
        </w:rPr>
        <w:t>na</w:t>
      </w:r>
      <w:r w:rsidR="024818DF" w:rsidRPr="008C4411">
        <w:rPr>
          <w:rFonts w:asciiTheme="minorHAnsi" w:eastAsiaTheme="minorEastAsia" w:hAnsiTheme="minorHAnsi" w:cstheme="minorBidi"/>
        </w:rPr>
        <w:t xml:space="preserve"> požadovaný</w:t>
      </w:r>
      <w:r w:rsidR="6BC3BEB3" w:rsidRPr="008C4411">
        <w:rPr>
          <w:rFonts w:asciiTheme="minorHAnsi" w:eastAsiaTheme="minorEastAsia" w:hAnsiTheme="minorHAnsi" w:cstheme="minorBidi"/>
        </w:rPr>
        <w:t xml:space="preserve"> minimální počet bodů</w:t>
      </w:r>
      <w:r w:rsidR="008C4411" w:rsidRPr="008C4411">
        <w:rPr>
          <w:rFonts w:asciiTheme="minorHAnsi" w:eastAsiaTheme="minorEastAsia" w:hAnsiTheme="minorHAnsi" w:cstheme="minorBidi"/>
        </w:rPr>
        <w:t>. MŠMT</w:t>
      </w:r>
      <w:r w:rsidR="5BF59DBB" w:rsidRPr="008C4411">
        <w:rPr>
          <w:rFonts w:asciiTheme="minorHAnsi" w:eastAsiaTheme="minorEastAsia" w:hAnsiTheme="minorHAnsi" w:cstheme="minorBidi"/>
        </w:rPr>
        <w:t xml:space="preserve"> to</w:t>
      </w:r>
      <w:r w:rsidR="00BE7D3B" w:rsidRPr="008C4411">
        <w:rPr>
          <w:rFonts w:asciiTheme="minorHAnsi" w:eastAsiaTheme="minorEastAsia" w:hAnsiTheme="minorHAnsi" w:cstheme="minorBidi"/>
        </w:rPr>
        <w:t xml:space="preserve"> </w:t>
      </w:r>
      <w:r w:rsidR="008C4411" w:rsidRPr="008C4411">
        <w:rPr>
          <w:rFonts w:asciiTheme="minorHAnsi" w:eastAsiaTheme="minorEastAsia" w:hAnsiTheme="minorHAnsi" w:cstheme="minorBidi"/>
        </w:rPr>
        <w:t>z</w:t>
      </w:r>
      <w:r w:rsidR="5BF59DBB" w:rsidRPr="008C4411">
        <w:rPr>
          <w:rFonts w:asciiTheme="minorHAnsi" w:eastAsiaTheme="minorEastAsia" w:hAnsiTheme="minorHAnsi" w:cstheme="minorBidi"/>
        </w:rPr>
        <w:t>důvod</w:t>
      </w:r>
      <w:r w:rsidR="008C4411" w:rsidRPr="008C4411">
        <w:rPr>
          <w:rFonts w:asciiTheme="minorHAnsi" w:eastAsiaTheme="minorEastAsia" w:hAnsiTheme="minorHAnsi" w:cstheme="minorBidi"/>
        </w:rPr>
        <w:t>nilo</w:t>
      </w:r>
      <w:r w:rsidR="5BF59DBB" w:rsidRPr="008C4411">
        <w:rPr>
          <w:rFonts w:asciiTheme="minorHAnsi" w:eastAsiaTheme="minorEastAsia" w:hAnsiTheme="minorHAnsi" w:cstheme="minorBidi"/>
        </w:rPr>
        <w:t xml:space="preserve"> </w:t>
      </w:r>
      <w:r w:rsidR="0069584D">
        <w:rPr>
          <w:rFonts w:asciiTheme="minorHAnsi" w:eastAsiaTheme="minorEastAsia" w:hAnsiTheme="minorHAnsi" w:cstheme="minorBidi"/>
        </w:rPr>
        <w:t xml:space="preserve">snahou </w:t>
      </w:r>
      <w:r w:rsidR="5BF59DBB" w:rsidRPr="008C4411">
        <w:rPr>
          <w:rFonts w:asciiTheme="minorHAnsi" w:eastAsiaTheme="minorEastAsia" w:hAnsiTheme="minorHAnsi" w:cstheme="minorBidi"/>
        </w:rPr>
        <w:t>zachov</w:t>
      </w:r>
      <w:r w:rsidR="0069584D">
        <w:rPr>
          <w:rFonts w:asciiTheme="minorHAnsi" w:eastAsiaTheme="minorEastAsia" w:hAnsiTheme="minorHAnsi" w:cstheme="minorBidi"/>
        </w:rPr>
        <w:t>at</w:t>
      </w:r>
      <w:r w:rsidR="5BF59DBB" w:rsidRPr="008C4411">
        <w:rPr>
          <w:rFonts w:asciiTheme="minorHAnsi" w:eastAsiaTheme="minorEastAsia" w:hAnsiTheme="minorHAnsi" w:cstheme="minorBidi"/>
        </w:rPr>
        <w:t xml:space="preserve"> podpor</w:t>
      </w:r>
      <w:r w:rsidR="0069584D">
        <w:rPr>
          <w:rFonts w:asciiTheme="minorHAnsi" w:eastAsiaTheme="minorEastAsia" w:hAnsiTheme="minorHAnsi" w:cstheme="minorBidi"/>
        </w:rPr>
        <w:t>u</w:t>
      </w:r>
      <w:r w:rsidR="5BF59DBB" w:rsidRPr="008C4411">
        <w:rPr>
          <w:rFonts w:asciiTheme="minorHAnsi" w:eastAsiaTheme="minorEastAsia" w:hAnsiTheme="minorHAnsi" w:cstheme="minorBidi"/>
        </w:rPr>
        <w:t xml:space="preserve"> pro výchovu talentované mládeže. </w:t>
      </w:r>
      <w:r w:rsidR="00916972" w:rsidRPr="008C4411">
        <w:rPr>
          <w:rFonts w:asciiTheme="minorHAnsi" w:eastAsiaTheme="minorEastAsia" w:hAnsiTheme="minorHAnsi" w:cstheme="minorBidi"/>
        </w:rPr>
        <w:t>D</w:t>
      </w:r>
      <w:r w:rsidR="300A0DF0" w:rsidRPr="008C4411">
        <w:rPr>
          <w:rFonts w:asciiTheme="minorHAnsi" w:eastAsiaTheme="minorEastAsia" w:hAnsiTheme="minorHAnsi" w:cstheme="minorBidi"/>
        </w:rPr>
        <w:t>alších</w:t>
      </w:r>
      <w:r w:rsidR="5BF59DBB" w:rsidRPr="00780720">
        <w:rPr>
          <w:rFonts w:asciiTheme="minorHAnsi" w:eastAsiaTheme="minorEastAsia" w:hAnsiTheme="minorHAnsi" w:cstheme="minorBidi"/>
        </w:rPr>
        <w:t xml:space="preserve"> </w:t>
      </w:r>
      <w:r w:rsidR="1FC7D629" w:rsidRPr="00780720">
        <w:rPr>
          <w:rFonts w:asciiTheme="minorHAnsi" w:eastAsiaTheme="minorEastAsia" w:hAnsiTheme="minorHAnsi" w:cstheme="minorBidi"/>
        </w:rPr>
        <w:t>šest</w:t>
      </w:r>
      <w:r w:rsidR="5BF59DBB" w:rsidRPr="00780720">
        <w:rPr>
          <w:rFonts w:asciiTheme="minorHAnsi" w:eastAsiaTheme="minorEastAsia" w:hAnsiTheme="minorHAnsi" w:cstheme="minorBidi"/>
        </w:rPr>
        <w:t xml:space="preserve"> žádostí,</w:t>
      </w:r>
      <w:r w:rsidR="645F27FD" w:rsidRPr="00780720">
        <w:rPr>
          <w:rFonts w:asciiTheme="minorHAnsi" w:eastAsiaTheme="minorEastAsia" w:hAnsiTheme="minorHAnsi" w:cstheme="minorBidi"/>
        </w:rPr>
        <w:t xml:space="preserve"> </w:t>
      </w:r>
      <w:r w:rsidR="5BF59DBB" w:rsidRPr="00780720">
        <w:rPr>
          <w:rFonts w:asciiTheme="minorHAnsi" w:eastAsiaTheme="minorEastAsia" w:hAnsiTheme="minorHAnsi" w:cstheme="minorBidi"/>
        </w:rPr>
        <w:t>které</w:t>
      </w:r>
      <w:r w:rsidR="1D3E5730" w:rsidRPr="00780720">
        <w:rPr>
          <w:rFonts w:asciiTheme="minorHAnsi" w:eastAsiaTheme="minorEastAsia" w:hAnsiTheme="minorHAnsi" w:cstheme="minorBidi"/>
        </w:rPr>
        <w:t xml:space="preserve"> rovněž</w:t>
      </w:r>
      <w:r w:rsidR="5BF59DBB" w:rsidRPr="00780720">
        <w:rPr>
          <w:rFonts w:asciiTheme="minorHAnsi" w:eastAsiaTheme="minorEastAsia" w:hAnsiTheme="minorHAnsi" w:cstheme="minorBidi"/>
        </w:rPr>
        <w:t xml:space="preserve"> nedosáhly </w:t>
      </w:r>
      <w:r w:rsidR="2FCD1083" w:rsidRPr="00780720">
        <w:rPr>
          <w:rFonts w:asciiTheme="minorHAnsi" w:eastAsiaTheme="minorEastAsia" w:hAnsiTheme="minorHAnsi" w:cstheme="minorBidi"/>
        </w:rPr>
        <w:t xml:space="preserve">minimálního </w:t>
      </w:r>
      <w:r w:rsidR="5BF59DBB" w:rsidRPr="00780720">
        <w:rPr>
          <w:rFonts w:asciiTheme="minorHAnsi" w:eastAsiaTheme="minorEastAsia" w:hAnsiTheme="minorHAnsi" w:cstheme="minorBidi"/>
        </w:rPr>
        <w:t>počtu</w:t>
      </w:r>
      <w:r w:rsidR="71CC28A6" w:rsidRPr="00780720">
        <w:rPr>
          <w:rFonts w:asciiTheme="minorHAnsi" w:eastAsiaTheme="minorEastAsia" w:hAnsiTheme="minorHAnsi" w:cstheme="minorBidi"/>
        </w:rPr>
        <w:t xml:space="preserve"> </w:t>
      </w:r>
      <w:r w:rsidR="5BF59DBB" w:rsidRPr="00780720">
        <w:rPr>
          <w:rFonts w:asciiTheme="minorHAnsi" w:eastAsiaTheme="minorEastAsia" w:hAnsiTheme="minorHAnsi" w:cstheme="minorBidi"/>
        </w:rPr>
        <w:t>bodů</w:t>
      </w:r>
      <w:r w:rsidR="00640C55" w:rsidRPr="00780720">
        <w:rPr>
          <w:rFonts w:asciiTheme="minorHAnsi" w:eastAsiaTheme="minorEastAsia" w:hAnsiTheme="minorHAnsi" w:cstheme="minorBidi"/>
        </w:rPr>
        <w:t>,</w:t>
      </w:r>
      <w:r w:rsidR="5BF59DBB" w:rsidRPr="00780720">
        <w:rPr>
          <w:rFonts w:asciiTheme="minorHAnsi" w:eastAsiaTheme="minorEastAsia" w:hAnsiTheme="minorHAnsi" w:cstheme="minorBidi"/>
        </w:rPr>
        <w:t xml:space="preserve"> </w:t>
      </w:r>
      <w:r w:rsidR="00640C55" w:rsidRPr="00780720">
        <w:rPr>
          <w:rFonts w:asciiTheme="minorHAnsi" w:eastAsiaTheme="minorEastAsia" w:hAnsiTheme="minorHAnsi" w:cstheme="minorBidi"/>
        </w:rPr>
        <w:t>MŠMT ne</w:t>
      </w:r>
      <w:r w:rsidR="5BF59DBB" w:rsidRPr="00780720">
        <w:rPr>
          <w:rFonts w:asciiTheme="minorHAnsi" w:eastAsiaTheme="minorEastAsia" w:hAnsiTheme="minorHAnsi" w:cstheme="minorBidi"/>
        </w:rPr>
        <w:t>podpoř</w:t>
      </w:r>
      <w:r w:rsidR="00640C55" w:rsidRPr="00780720">
        <w:rPr>
          <w:rFonts w:asciiTheme="minorHAnsi" w:eastAsiaTheme="minorEastAsia" w:hAnsiTheme="minorHAnsi" w:cstheme="minorBidi"/>
        </w:rPr>
        <w:t>ilo</w:t>
      </w:r>
      <w:r w:rsidR="281FE959" w:rsidRPr="00780720">
        <w:rPr>
          <w:rFonts w:asciiTheme="minorHAnsi" w:eastAsiaTheme="minorEastAsia" w:hAnsiTheme="minorHAnsi" w:cstheme="minorBidi"/>
        </w:rPr>
        <w:t xml:space="preserve">. Jednalo se o žádosti </w:t>
      </w:r>
      <w:r w:rsidR="004F4690">
        <w:rPr>
          <w:rFonts w:asciiTheme="minorHAnsi" w:eastAsiaTheme="minorEastAsia" w:hAnsiTheme="minorHAnsi" w:cstheme="minorBidi"/>
        </w:rPr>
        <w:t>sportovních svazů</w:t>
      </w:r>
      <w:r w:rsidR="00916972" w:rsidRPr="00780720">
        <w:rPr>
          <w:rFonts w:asciiTheme="minorHAnsi" w:eastAsiaTheme="minorEastAsia" w:hAnsiTheme="minorHAnsi" w:cstheme="minorBidi"/>
        </w:rPr>
        <w:t xml:space="preserve">, které v tomto typu výzvy žádaly </w:t>
      </w:r>
      <w:r w:rsidR="000000B3" w:rsidRPr="00780720">
        <w:rPr>
          <w:rFonts w:asciiTheme="minorHAnsi" w:eastAsiaTheme="minorEastAsia" w:hAnsiTheme="minorHAnsi" w:cstheme="minorBidi"/>
        </w:rPr>
        <w:t>o</w:t>
      </w:r>
      <w:r w:rsidR="0069584D">
        <w:rPr>
          <w:rFonts w:asciiTheme="minorHAnsi" w:eastAsiaTheme="minorEastAsia" w:hAnsiTheme="minorHAnsi" w:cstheme="minorBidi"/>
        </w:rPr>
        <w:t> </w:t>
      </w:r>
      <w:r w:rsidR="000000B3" w:rsidRPr="00780720">
        <w:rPr>
          <w:rFonts w:asciiTheme="minorHAnsi" w:eastAsiaTheme="minorEastAsia" w:hAnsiTheme="minorHAnsi" w:cstheme="minorBidi"/>
        </w:rPr>
        <w:t xml:space="preserve">dotaci </w:t>
      </w:r>
      <w:r w:rsidR="00916972" w:rsidRPr="00780720">
        <w:rPr>
          <w:rFonts w:asciiTheme="minorHAnsi" w:eastAsiaTheme="minorEastAsia" w:hAnsiTheme="minorHAnsi" w:cstheme="minorBidi"/>
        </w:rPr>
        <w:t>poprvé</w:t>
      </w:r>
      <w:r w:rsidR="5BF59DBB" w:rsidRPr="00780720">
        <w:rPr>
          <w:rFonts w:asciiTheme="minorHAnsi" w:eastAsiaTheme="minorEastAsia" w:hAnsiTheme="minorHAnsi" w:cstheme="minorBidi"/>
        </w:rPr>
        <w:t xml:space="preserve">. </w:t>
      </w:r>
      <w:r w:rsidR="79DAC15E" w:rsidRPr="00780720">
        <w:rPr>
          <w:rFonts w:asciiTheme="minorHAnsi" w:eastAsiaTheme="minorEastAsia" w:hAnsiTheme="minorHAnsi" w:cstheme="minorBidi"/>
        </w:rPr>
        <w:t>MŠMT tak podpořilo i</w:t>
      </w:r>
      <w:r w:rsidR="00F6678D">
        <w:rPr>
          <w:rFonts w:asciiTheme="minorHAnsi" w:eastAsiaTheme="minorEastAsia" w:hAnsiTheme="minorHAnsi" w:cstheme="minorBidi"/>
        </w:rPr>
        <w:t> </w:t>
      </w:r>
      <w:r w:rsidR="79DAC15E" w:rsidRPr="00780720">
        <w:rPr>
          <w:rFonts w:asciiTheme="minorHAnsi" w:eastAsiaTheme="minorEastAsia" w:hAnsiTheme="minorHAnsi" w:cstheme="minorBidi"/>
        </w:rPr>
        <w:t xml:space="preserve">méně kvalitní projekty, které nedosáhly ve věcném hodnocení ani </w:t>
      </w:r>
      <w:r w:rsidR="79DAC15E" w:rsidRPr="00780720">
        <w:rPr>
          <w:rFonts w:asciiTheme="minorHAnsi" w:eastAsiaTheme="minorEastAsia" w:hAnsiTheme="minorHAnsi" w:cstheme="minorBidi"/>
        </w:rPr>
        <w:lastRenderedPageBreak/>
        <w:t xml:space="preserve">minimálního počtu bodů požadovaného výzvou. </w:t>
      </w:r>
      <w:r w:rsidR="5BF59DBB" w:rsidRPr="00780720">
        <w:rPr>
          <w:rFonts w:asciiTheme="minorHAnsi" w:eastAsiaTheme="minorEastAsia" w:hAnsiTheme="minorHAnsi" w:cstheme="minorBidi"/>
        </w:rPr>
        <w:t>NKÚ nepovažuje uvedený postup MŠMT za hospodárný</w:t>
      </w:r>
      <w:r w:rsidR="004F4690">
        <w:rPr>
          <w:rFonts w:asciiTheme="minorHAnsi" w:eastAsiaTheme="minorEastAsia" w:hAnsiTheme="minorHAnsi" w:cstheme="minorBidi"/>
        </w:rPr>
        <w:t>, neboť MŠMT</w:t>
      </w:r>
      <w:r w:rsidR="5BF59DBB" w:rsidRPr="6524B888">
        <w:rPr>
          <w:rFonts w:asciiTheme="minorHAnsi" w:eastAsiaTheme="minorEastAsia" w:hAnsiTheme="minorHAnsi" w:cstheme="minorBidi"/>
        </w:rPr>
        <w:t xml:space="preserve"> </w:t>
      </w:r>
      <w:r w:rsidR="004F4690" w:rsidRPr="004F4690">
        <w:rPr>
          <w:rFonts w:asciiTheme="minorHAnsi" w:eastAsiaTheme="minorEastAsia" w:hAnsiTheme="minorHAnsi" w:cstheme="minorBidi"/>
        </w:rPr>
        <w:t>nepoužilo veřejné prostředky k podpoře výchovy talentované mládeže s co nejnižším vynaložením těchto prostředků, a to při dodržení požadované kvality projektů.</w:t>
      </w:r>
      <w:r w:rsidR="004F4690">
        <w:rPr>
          <w:rFonts w:asciiTheme="minorHAnsi" w:eastAsiaTheme="minorEastAsia" w:hAnsiTheme="minorHAnsi" w:cstheme="minorBidi"/>
        </w:rPr>
        <w:t xml:space="preserve"> </w:t>
      </w:r>
      <w:r w:rsidR="06B26268" w:rsidRPr="6524B888">
        <w:rPr>
          <w:rFonts w:asciiTheme="minorHAnsi" w:eastAsiaTheme="minorEastAsia" w:hAnsiTheme="minorHAnsi" w:cstheme="minorBidi"/>
        </w:rPr>
        <w:t>Zároveň byl</w:t>
      </w:r>
      <w:r w:rsidR="5BF59DBB" w:rsidRPr="6524B888">
        <w:rPr>
          <w:rFonts w:asciiTheme="minorHAnsi" w:eastAsiaTheme="minorEastAsia" w:hAnsiTheme="minorHAnsi" w:cstheme="minorBidi"/>
        </w:rPr>
        <w:t xml:space="preserve"> tento postup MŠMT diskriminační</w:t>
      </w:r>
      <w:r w:rsidR="0918D54A" w:rsidRPr="6524B888">
        <w:rPr>
          <w:rFonts w:asciiTheme="minorHAnsi" w:eastAsiaTheme="minorEastAsia" w:hAnsiTheme="minorHAnsi" w:cstheme="minorBidi"/>
        </w:rPr>
        <w:t xml:space="preserve"> </w:t>
      </w:r>
      <w:r w:rsidR="5BF59DBB" w:rsidRPr="6524B888">
        <w:rPr>
          <w:rFonts w:asciiTheme="minorHAnsi" w:eastAsiaTheme="minorEastAsia" w:hAnsiTheme="minorHAnsi" w:cstheme="minorBidi"/>
        </w:rPr>
        <w:t xml:space="preserve">vůči </w:t>
      </w:r>
      <w:r w:rsidR="00916972" w:rsidRPr="6524B888">
        <w:rPr>
          <w:rFonts w:asciiTheme="minorHAnsi" w:eastAsiaTheme="minorEastAsia" w:hAnsiTheme="minorHAnsi" w:cstheme="minorBidi"/>
        </w:rPr>
        <w:t>šesti žadatelům</w:t>
      </w:r>
      <w:r w:rsidR="5BF59DBB" w:rsidRPr="6524B888">
        <w:rPr>
          <w:rFonts w:asciiTheme="minorHAnsi" w:eastAsiaTheme="minorEastAsia" w:hAnsiTheme="minorHAnsi" w:cstheme="minorBidi"/>
        </w:rPr>
        <w:t xml:space="preserve">, kteří rovněž nedosáhli požadovaného </w:t>
      </w:r>
      <w:r w:rsidR="6FD65B20" w:rsidRPr="6524B888">
        <w:rPr>
          <w:rFonts w:asciiTheme="minorHAnsi" w:eastAsiaTheme="minorEastAsia" w:hAnsiTheme="minorHAnsi" w:cstheme="minorBidi"/>
        </w:rPr>
        <w:t xml:space="preserve">minimálního počtu bodů, </w:t>
      </w:r>
      <w:r w:rsidR="5BF59DBB" w:rsidRPr="6524B888">
        <w:rPr>
          <w:rFonts w:asciiTheme="minorHAnsi" w:eastAsiaTheme="minorEastAsia" w:hAnsiTheme="minorHAnsi" w:cstheme="minorBidi"/>
        </w:rPr>
        <w:t>a</w:t>
      </w:r>
      <w:r w:rsidR="704EE028" w:rsidRPr="6524B888">
        <w:rPr>
          <w:rFonts w:asciiTheme="minorHAnsi" w:eastAsiaTheme="minorEastAsia" w:hAnsiTheme="minorHAnsi" w:cstheme="minorBidi"/>
        </w:rPr>
        <w:t>le</w:t>
      </w:r>
      <w:r w:rsidR="5BF59DBB" w:rsidRPr="6524B888">
        <w:rPr>
          <w:rFonts w:asciiTheme="minorHAnsi" w:eastAsiaTheme="minorEastAsia" w:hAnsiTheme="minorHAnsi" w:cstheme="minorBidi"/>
        </w:rPr>
        <w:t xml:space="preserve"> podpora jim nebyla poskytnuta. MŠMT</w:t>
      </w:r>
      <w:r w:rsidR="0069584D">
        <w:rPr>
          <w:rFonts w:asciiTheme="minorHAnsi" w:eastAsiaTheme="minorEastAsia" w:hAnsiTheme="minorHAnsi" w:cstheme="minorBidi"/>
        </w:rPr>
        <w:t xml:space="preserve"> </w:t>
      </w:r>
      <w:r w:rsidR="5BF59DBB" w:rsidRPr="6524B888">
        <w:rPr>
          <w:rFonts w:asciiTheme="minorHAnsi" w:eastAsiaTheme="minorEastAsia" w:hAnsiTheme="minorHAnsi" w:cstheme="minorBidi"/>
        </w:rPr>
        <w:t>tak</w:t>
      </w:r>
      <w:r w:rsidR="0069584D">
        <w:rPr>
          <w:rFonts w:asciiTheme="minorHAnsi" w:eastAsiaTheme="minorEastAsia" w:hAnsiTheme="minorHAnsi" w:cstheme="minorBidi"/>
        </w:rPr>
        <w:t xml:space="preserve"> </w:t>
      </w:r>
      <w:r w:rsidR="5BF59DBB" w:rsidRPr="6524B888">
        <w:rPr>
          <w:rFonts w:asciiTheme="minorHAnsi" w:eastAsiaTheme="minorEastAsia" w:hAnsiTheme="minorHAnsi" w:cstheme="minorBidi"/>
        </w:rPr>
        <w:t>v</w:t>
      </w:r>
      <w:r w:rsidR="00F6678D">
        <w:rPr>
          <w:rFonts w:asciiTheme="minorHAnsi" w:eastAsiaTheme="minorEastAsia" w:hAnsiTheme="minorHAnsi" w:cstheme="minorBidi"/>
        </w:rPr>
        <w:t> </w:t>
      </w:r>
      <w:r w:rsidR="5BF59DBB" w:rsidRPr="6524B888">
        <w:rPr>
          <w:rFonts w:asciiTheme="minorHAnsi" w:eastAsiaTheme="minorEastAsia" w:hAnsiTheme="minorHAnsi" w:cstheme="minorBidi"/>
        </w:rPr>
        <w:t xml:space="preserve">těchto případech postupovalo v </w:t>
      </w:r>
      <w:r w:rsidR="006D1FCE">
        <w:rPr>
          <w:rFonts w:asciiTheme="minorHAnsi" w:eastAsiaTheme="minorEastAsia" w:hAnsiTheme="minorHAnsi" w:cstheme="minorBidi"/>
        </w:rPr>
        <w:t>rozpor</w:t>
      </w:r>
      <w:r w:rsidR="5BF59DBB" w:rsidRPr="6524B888">
        <w:rPr>
          <w:rFonts w:asciiTheme="minorHAnsi" w:eastAsiaTheme="minorEastAsia" w:hAnsiTheme="minorHAnsi" w:cstheme="minorBidi"/>
        </w:rPr>
        <w:t>u</w:t>
      </w:r>
      <w:r w:rsidR="42EF57CB" w:rsidRPr="6524B888">
        <w:rPr>
          <w:rFonts w:asciiTheme="minorHAnsi" w:eastAsiaTheme="minorEastAsia" w:hAnsiTheme="minorHAnsi" w:cstheme="minorBidi"/>
        </w:rPr>
        <w:t xml:space="preserve"> </w:t>
      </w:r>
      <w:r w:rsidR="5BF59DBB" w:rsidRPr="6524B888">
        <w:rPr>
          <w:rFonts w:asciiTheme="minorHAnsi" w:eastAsiaTheme="minorEastAsia" w:hAnsiTheme="minorHAnsi" w:cstheme="minorBidi"/>
        </w:rPr>
        <w:t>se zásadami rovnosti účastníků řízení a</w:t>
      </w:r>
      <w:r w:rsidR="00F6678D">
        <w:rPr>
          <w:rFonts w:asciiTheme="minorHAnsi" w:eastAsiaTheme="minorEastAsia" w:hAnsiTheme="minorHAnsi" w:cstheme="minorBidi"/>
        </w:rPr>
        <w:t> </w:t>
      </w:r>
      <w:r w:rsidR="5BF59DBB" w:rsidRPr="6524B888">
        <w:rPr>
          <w:rFonts w:asciiTheme="minorHAnsi" w:eastAsiaTheme="minorEastAsia" w:hAnsiTheme="minorHAnsi" w:cstheme="minorBidi"/>
        </w:rPr>
        <w:t>nestrannosti správního orgánu uvedenými</w:t>
      </w:r>
      <w:r w:rsidR="74DCBFBE" w:rsidRPr="6524B888">
        <w:rPr>
          <w:rFonts w:asciiTheme="minorHAnsi" w:eastAsiaTheme="minorEastAsia" w:hAnsiTheme="minorHAnsi" w:cstheme="minorBidi"/>
        </w:rPr>
        <w:t xml:space="preserve"> </w:t>
      </w:r>
      <w:r w:rsidR="5BF59DBB" w:rsidRPr="6524B888">
        <w:rPr>
          <w:rFonts w:asciiTheme="minorHAnsi" w:eastAsiaTheme="minorEastAsia" w:hAnsiTheme="minorHAnsi" w:cstheme="minorBidi"/>
        </w:rPr>
        <w:t>v</w:t>
      </w:r>
      <w:r w:rsidR="006D1FCE">
        <w:rPr>
          <w:rFonts w:asciiTheme="minorHAnsi" w:eastAsiaTheme="minorEastAsia" w:hAnsiTheme="minorHAnsi" w:cstheme="minorBidi"/>
        </w:rPr>
        <w:t>e</w:t>
      </w:r>
      <w:r w:rsidR="5BF59DBB" w:rsidRPr="6524B888">
        <w:rPr>
          <w:rFonts w:asciiTheme="minorHAnsi" w:eastAsiaTheme="minorEastAsia" w:hAnsiTheme="minorHAnsi" w:cstheme="minorBidi"/>
        </w:rPr>
        <w:t xml:space="preserve"> správní</w:t>
      </w:r>
      <w:r w:rsidR="006D1FCE">
        <w:rPr>
          <w:rFonts w:asciiTheme="minorHAnsi" w:eastAsiaTheme="minorEastAsia" w:hAnsiTheme="minorHAnsi" w:cstheme="minorBidi"/>
        </w:rPr>
        <w:t>m</w:t>
      </w:r>
      <w:r w:rsidR="5BF59DBB" w:rsidRPr="6524B888">
        <w:rPr>
          <w:rFonts w:asciiTheme="minorHAnsi" w:eastAsiaTheme="minorEastAsia" w:hAnsiTheme="minorHAnsi" w:cstheme="minorBidi"/>
        </w:rPr>
        <w:t xml:space="preserve"> řád</w:t>
      </w:r>
      <w:r w:rsidR="006D1FCE">
        <w:rPr>
          <w:rFonts w:asciiTheme="minorHAnsi" w:eastAsiaTheme="minorEastAsia" w:hAnsiTheme="minorHAnsi" w:cstheme="minorBidi"/>
        </w:rPr>
        <w:t>u</w:t>
      </w:r>
      <w:r w:rsidR="0003326E">
        <w:rPr>
          <w:rFonts w:asciiTheme="minorHAnsi" w:eastAsiaTheme="minorEastAsia" w:hAnsiTheme="minorHAnsi" w:cstheme="minorBidi"/>
        </w:rPr>
        <w:t>.</w:t>
      </w:r>
      <w:r w:rsidR="006D1FCE">
        <w:rPr>
          <w:rStyle w:val="Znakapoznpodarou"/>
          <w:rFonts w:asciiTheme="minorHAnsi" w:eastAsiaTheme="minorEastAsia" w:hAnsiTheme="minorHAnsi" w:cstheme="minorBidi"/>
        </w:rPr>
        <w:footnoteReference w:id="45"/>
      </w:r>
    </w:p>
    <w:p w14:paraId="384CD4CA" w14:textId="2BCA272C" w:rsidR="68176103" w:rsidRPr="00A52036" w:rsidRDefault="68176103" w:rsidP="6524B888">
      <w:pPr>
        <w:spacing w:before="120"/>
        <w:rPr>
          <w:rFonts w:asciiTheme="minorHAnsi" w:eastAsiaTheme="minorEastAsia" w:hAnsiTheme="minorHAnsi" w:cstheme="minorBidi"/>
        </w:rPr>
      </w:pPr>
      <w:r w:rsidRPr="00A52036">
        <w:rPr>
          <w:rFonts w:asciiTheme="minorHAnsi" w:eastAsiaTheme="minorEastAsia" w:hAnsiTheme="minorHAnsi" w:cstheme="minorBidi"/>
        </w:rPr>
        <w:t>MŠMT ve výše uvedených případech porušilo nastavená pravidla pro výběr příjemců.</w:t>
      </w:r>
      <w:r w:rsidR="13AB3DD0" w:rsidRPr="00A52036">
        <w:rPr>
          <w:rFonts w:asciiTheme="minorHAnsi" w:eastAsiaTheme="minorEastAsia" w:hAnsiTheme="minorHAnsi" w:cstheme="minorBidi"/>
        </w:rPr>
        <w:t xml:space="preserve"> Tento</w:t>
      </w:r>
      <w:r w:rsidR="0069584D">
        <w:rPr>
          <w:rFonts w:asciiTheme="minorHAnsi" w:eastAsiaTheme="minorEastAsia" w:hAnsiTheme="minorHAnsi" w:cstheme="minorBidi"/>
        </w:rPr>
        <w:t xml:space="preserve"> </w:t>
      </w:r>
      <w:r w:rsidR="13AB3DD0" w:rsidRPr="00A52036">
        <w:rPr>
          <w:rFonts w:asciiTheme="minorHAnsi" w:eastAsiaTheme="minorEastAsia" w:hAnsiTheme="minorHAnsi" w:cstheme="minorBidi"/>
        </w:rPr>
        <w:t>postup vedl</w:t>
      </w:r>
      <w:r w:rsidRPr="00A52036">
        <w:rPr>
          <w:rFonts w:asciiTheme="minorHAnsi" w:eastAsiaTheme="minorEastAsia" w:hAnsiTheme="minorHAnsi" w:cstheme="minorBidi"/>
        </w:rPr>
        <w:t xml:space="preserve"> k netransparentnímu a</w:t>
      </w:r>
      <w:r w:rsidR="0DD1E1E8" w:rsidRPr="00A52036">
        <w:rPr>
          <w:rFonts w:asciiTheme="minorHAnsi" w:eastAsiaTheme="minorEastAsia" w:hAnsiTheme="minorHAnsi" w:cstheme="minorBidi"/>
        </w:rPr>
        <w:t xml:space="preserve"> v jednom případě i</w:t>
      </w:r>
      <w:r w:rsidRPr="00A52036">
        <w:rPr>
          <w:rFonts w:asciiTheme="minorHAnsi" w:eastAsiaTheme="minorEastAsia" w:hAnsiTheme="minorHAnsi" w:cstheme="minorBidi"/>
        </w:rPr>
        <w:t xml:space="preserve"> diskriminačnímu výběru příjemců a</w:t>
      </w:r>
      <w:r w:rsidR="00F6678D">
        <w:rPr>
          <w:rFonts w:asciiTheme="minorHAnsi" w:eastAsiaTheme="minorEastAsia" w:hAnsiTheme="minorHAnsi" w:cstheme="minorBidi"/>
        </w:rPr>
        <w:t> </w:t>
      </w:r>
      <w:r w:rsidRPr="00A52036">
        <w:rPr>
          <w:rFonts w:asciiTheme="minorHAnsi" w:eastAsiaTheme="minorEastAsia" w:hAnsiTheme="minorHAnsi" w:cstheme="minorBidi"/>
        </w:rPr>
        <w:t xml:space="preserve">nízké otevřenosti procesu poskytování dotací. </w:t>
      </w:r>
    </w:p>
    <w:p w14:paraId="768C247E" w14:textId="77777777" w:rsidR="00536BDD" w:rsidRPr="00536BDD" w:rsidRDefault="00E435EE" w:rsidP="00E435EE">
      <w:pPr>
        <w:pStyle w:val="Nadpis2"/>
        <w:spacing w:before="240" w:after="120"/>
        <w:rPr>
          <w:rFonts w:eastAsiaTheme="minorEastAsia"/>
        </w:rPr>
      </w:pPr>
      <w:r>
        <w:rPr>
          <w:rFonts w:eastAsiaTheme="minorEastAsia"/>
        </w:rPr>
        <w:t xml:space="preserve">2.2 </w:t>
      </w:r>
      <w:r w:rsidR="00536BDD" w:rsidRPr="00536BDD">
        <w:rPr>
          <w:rFonts w:eastAsiaTheme="minorEastAsia"/>
        </w:rPr>
        <w:t>NSA u pěti výzev nepostupovala transparentním způsobem</w:t>
      </w:r>
    </w:p>
    <w:p w14:paraId="7960F12D" w14:textId="3F7A2E7E" w:rsidR="63FECBA8" w:rsidRDefault="63FECBA8" w:rsidP="00BD0991">
      <w:pPr>
        <w:spacing w:before="120"/>
        <w:rPr>
          <w:rFonts w:asciiTheme="minorHAnsi" w:eastAsiaTheme="minorEastAsia" w:hAnsiTheme="minorHAnsi" w:cstheme="minorBidi"/>
        </w:rPr>
      </w:pPr>
      <w:r w:rsidRPr="71BC3F3B">
        <w:rPr>
          <w:rFonts w:asciiTheme="minorHAnsi" w:eastAsiaTheme="minorEastAsia" w:hAnsiTheme="minorHAnsi" w:cstheme="minorBidi"/>
        </w:rPr>
        <w:t xml:space="preserve">NSA u </w:t>
      </w:r>
      <w:r w:rsidR="38F0549D" w:rsidRPr="71BC3F3B">
        <w:rPr>
          <w:rFonts w:asciiTheme="minorHAnsi" w:eastAsiaTheme="minorEastAsia" w:hAnsiTheme="minorHAnsi" w:cstheme="minorBidi"/>
        </w:rPr>
        <w:t xml:space="preserve">investičních </w:t>
      </w:r>
      <w:r w:rsidRPr="71BC3F3B">
        <w:rPr>
          <w:rFonts w:asciiTheme="minorHAnsi" w:eastAsiaTheme="minorEastAsia" w:hAnsiTheme="minorHAnsi" w:cstheme="minorBidi"/>
        </w:rPr>
        <w:t>v</w:t>
      </w:r>
      <w:r w:rsidR="12798347" w:rsidRPr="71BC3F3B">
        <w:rPr>
          <w:rFonts w:asciiTheme="minorHAnsi" w:eastAsiaTheme="minorEastAsia" w:hAnsiTheme="minorHAnsi" w:cstheme="minorBidi"/>
        </w:rPr>
        <w:t>ýz</w:t>
      </w:r>
      <w:r w:rsidR="4A15365D" w:rsidRPr="71BC3F3B">
        <w:rPr>
          <w:rFonts w:asciiTheme="minorHAnsi" w:eastAsiaTheme="minorEastAsia" w:hAnsiTheme="minorHAnsi" w:cstheme="minorBidi"/>
        </w:rPr>
        <w:t>ev</w:t>
      </w:r>
      <w:r w:rsidR="12798347" w:rsidRPr="71BC3F3B">
        <w:rPr>
          <w:rFonts w:asciiTheme="minorHAnsi" w:eastAsiaTheme="minorEastAsia" w:hAnsiTheme="minorHAnsi" w:cstheme="minorBidi"/>
        </w:rPr>
        <w:t xml:space="preserve"> </w:t>
      </w:r>
      <w:r w:rsidR="12798347" w:rsidRPr="71BC3F3B">
        <w:rPr>
          <w:rFonts w:asciiTheme="minorHAnsi" w:eastAsiaTheme="minorEastAsia" w:hAnsiTheme="minorHAnsi" w:cstheme="minorBidi"/>
          <w:i/>
          <w:iCs/>
        </w:rPr>
        <w:t>Nadregionální sportovní infrastruktura 2021</w:t>
      </w:r>
      <w:r w:rsidR="6133DE06" w:rsidRPr="71BC3F3B">
        <w:rPr>
          <w:rFonts w:asciiTheme="minorHAnsi" w:eastAsiaTheme="minorEastAsia" w:hAnsiTheme="minorHAnsi" w:cstheme="minorBidi"/>
        </w:rPr>
        <w:t xml:space="preserve">, </w:t>
      </w:r>
      <w:r w:rsidR="12798347" w:rsidRPr="71BC3F3B">
        <w:rPr>
          <w:rFonts w:asciiTheme="minorHAnsi" w:eastAsiaTheme="minorEastAsia" w:hAnsiTheme="minorHAnsi" w:cstheme="minorBidi"/>
          <w:i/>
          <w:iCs/>
        </w:rPr>
        <w:t>Regiony 2021</w:t>
      </w:r>
      <w:r w:rsidR="12798347" w:rsidRPr="71BC3F3B">
        <w:rPr>
          <w:rFonts w:asciiTheme="minorHAnsi" w:eastAsiaTheme="minorEastAsia" w:hAnsiTheme="minorHAnsi" w:cstheme="minorBidi"/>
        </w:rPr>
        <w:t xml:space="preserve"> </w:t>
      </w:r>
      <w:r w:rsidR="214B6E2B" w:rsidRPr="71BC3F3B">
        <w:rPr>
          <w:rFonts w:asciiTheme="minorHAnsi" w:eastAsiaTheme="minorEastAsia" w:hAnsiTheme="minorHAnsi" w:cstheme="minorBidi"/>
        </w:rPr>
        <w:t>a</w:t>
      </w:r>
      <w:r w:rsidR="00F6678D">
        <w:rPr>
          <w:rFonts w:asciiTheme="minorHAnsi" w:eastAsiaTheme="minorEastAsia" w:hAnsiTheme="minorHAnsi" w:cstheme="minorBidi"/>
        </w:rPr>
        <w:t> </w:t>
      </w:r>
      <w:r w:rsidR="214B6E2B" w:rsidRPr="71BC3F3B">
        <w:rPr>
          <w:rFonts w:asciiTheme="minorHAnsi" w:eastAsiaTheme="minorEastAsia" w:hAnsiTheme="minorHAnsi" w:cstheme="minorBidi"/>
          <w:i/>
          <w:iCs/>
        </w:rPr>
        <w:t xml:space="preserve">Standardizovaná sportovní infrastruktura </w:t>
      </w:r>
      <w:r w:rsidR="6D9B7CC4" w:rsidRPr="71BC3F3B">
        <w:rPr>
          <w:rFonts w:asciiTheme="minorHAnsi" w:eastAsiaTheme="minorEastAsia" w:hAnsiTheme="minorHAnsi" w:cstheme="minorBidi"/>
        </w:rPr>
        <w:t>provedla</w:t>
      </w:r>
      <w:r w:rsidR="7198168D" w:rsidRPr="71BC3F3B">
        <w:rPr>
          <w:rFonts w:asciiTheme="minorHAnsi" w:eastAsiaTheme="minorEastAsia" w:hAnsiTheme="minorHAnsi" w:cstheme="minorBidi"/>
        </w:rPr>
        <w:t xml:space="preserve"> věcné</w:t>
      </w:r>
      <w:r w:rsidR="6D9B7CC4" w:rsidRPr="71BC3F3B">
        <w:rPr>
          <w:rFonts w:asciiTheme="minorHAnsi" w:eastAsiaTheme="minorEastAsia" w:hAnsiTheme="minorHAnsi" w:cstheme="minorBidi"/>
        </w:rPr>
        <w:t xml:space="preserve"> hodnocení žádostí.</w:t>
      </w:r>
      <w:r w:rsidR="6D9B7CC4" w:rsidRPr="71BC3F3B">
        <w:rPr>
          <w:rFonts w:asciiTheme="minorHAnsi" w:eastAsiaTheme="minorEastAsia" w:hAnsiTheme="minorHAnsi" w:cstheme="minorBidi"/>
          <w:i/>
          <w:iCs/>
        </w:rPr>
        <w:t xml:space="preserve"> </w:t>
      </w:r>
      <w:r w:rsidR="5E78AD6C" w:rsidRPr="0063415A">
        <w:rPr>
          <w:rFonts w:asciiTheme="minorHAnsi" w:eastAsiaTheme="minorEastAsia" w:hAnsiTheme="minorHAnsi" w:cstheme="minorBidi"/>
        </w:rPr>
        <w:t>NSA</w:t>
      </w:r>
      <w:r w:rsidR="002A03F3" w:rsidRPr="0063415A">
        <w:rPr>
          <w:rFonts w:asciiTheme="minorHAnsi" w:eastAsiaTheme="minorEastAsia" w:hAnsiTheme="minorHAnsi" w:cstheme="minorBidi"/>
        </w:rPr>
        <w:t> </w:t>
      </w:r>
      <w:r w:rsidR="0011703A" w:rsidRPr="0063415A">
        <w:rPr>
          <w:rFonts w:asciiTheme="minorHAnsi" w:eastAsiaTheme="minorEastAsia" w:hAnsiTheme="minorHAnsi" w:cstheme="minorBidi"/>
        </w:rPr>
        <w:t>následně zpracovala a</w:t>
      </w:r>
      <w:r w:rsidR="002A03F3" w:rsidRPr="0063415A">
        <w:rPr>
          <w:rFonts w:asciiTheme="minorHAnsi" w:eastAsiaTheme="minorEastAsia" w:hAnsiTheme="minorHAnsi" w:cstheme="minorBidi"/>
        </w:rPr>
        <w:t> </w:t>
      </w:r>
      <w:r w:rsidR="12798347" w:rsidRPr="0063415A">
        <w:rPr>
          <w:rFonts w:asciiTheme="minorHAnsi" w:eastAsiaTheme="minorEastAsia" w:hAnsiTheme="minorHAnsi" w:cstheme="minorBidi"/>
        </w:rPr>
        <w:t xml:space="preserve">uveřejnila seznam podpořených </w:t>
      </w:r>
      <w:r w:rsidR="0BF3679C" w:rsidRPr="0063415A">
        <w:rPr>
          <w:rFonts w:asciiTheme="minorHAnsi" w:eastAsiaTheme="minorEastAsia" w:hAnsiTheme="minorHAnsi" w:cstheme="minorBidi"/>
        </w:rPr>
        <w:t>žádost</w:t>
      </w:r>
      <w:r w:rsidR="12798347" w:rsidRPr="0063415A">
        <w:rPr>
          <w:rFonts w:asciiTheme="minorHAnsi" w:eastAsiaTheme="minorEastAsia" w:hAnsiTheme="minorHAnsi" w:cstheme="minorBidi"/>
        </w:rPr>
        <w:t>í</w:t>
      </w:r>
      <w:r w:rsidR="00740846" w:rsidRPr="0063415A">
        <w:rPr>
          <w:rFonts w:asciiTheme="minorHAnsi" w:eastAsiaTheme="minorEastAsia" w:hAnsiTheme="minorHAnsi" w:cstheme="minorBidi"/>
        </w:rPr>
        <w:t>, avšak</w:t>
      </w:r>
      <w:r w:rsidR="12798347" w:rsidRPr="0063415A">
        <w:rPr>
          <w:rFonts w:asciiTheme="minorHAnsi" w:eastAsiaTheme="minorEastAsia" w:hAnsiTheme="minorHAnsi" w:cstheme="minorBidi"/>
        </w:rPr>
        <w:t xml:space="preserve"> bez bodového hodnocení jednotlivých</w:t>
      </w:r>
      <w:r w:rsidR="600E3629" w:rsidRPr="0063415A">
        <w:rPr>
          <w:rFonts w:asciiTheme="minorHAnsi" w:eastAsiaTheme="minorEastAsia" w:hAnsiTheme="minorHAnsi" w:cstheme="minorBidi"/>
        </w:rPr>
        <w:t xml:space="preserve"> </w:t>
      </w:r>
      <w:r w:rsidR="10FEBDE1" w:rsidRPr="0063415A">
        <w:rPr>
          <w:rFonts w:asciiTheme="minorHAnsi" w:eastAsiaTheme="minorEastAsia" w:hAnsiTheme="minorHAnsi" w:cstheme="minorBidi"/>
        </w:rPr>
        <w:t>žádost</w:t>
      </w:r>
      <w:r w:rsidR="12798347" w:rsidRPr="0063415A">
        <w:rPr>
          <w:rFonts w:asciiTheme="minorHAnsi" w:eastAsiaTheme="minorEastAsia" w:hAnsiTheme="minorHAnsi" w:cstheme="minorBidi"/>
        </w:rPr>
        <w:t xml:space="preserve">í. </w:t>
      </w:r>
      <w:r w:rsidR="00740846" w:rsidRPr="0063415A">
        <w:rPr>
          <w:rFonts w:asciiTheme="minorHAnsi" w:eastAsiaTheme="minorEastAsia" w:hAnsiTheme="minorHAnsi" w:cstheme="minorBidi"/>
        </w:rPr>
        <w:t>NSA totiž bodové hodnocení</w:t>
      </w:r>
      <w:r w:rsidR="0063415A" w:rsidRPr="0063415A">
        <w:rPr>
          <w:rFonts w:asciiTheme="minorHAnsi" w:eastAsiaTheme="minorEastAsia" w:hAnsiTheme="minorHAnsi" w:cstheme="minorBidi"/>
        </w:rPr>
        <w:t xml:space="preserve"> nevypracovala</w:t>
      </w:r>
      <w:r w:rsidR="00740846" w:rsidRPr="0063415A">
        <w:rPr>
          <w:rFonts w:asciiTheme="minorHAnsi" w:eastAsiaTheme="minorEastAsia" w:hAnsiTheme="minorHAnsi" w:cstheme="minorBidi"/>
        </w:rPr>
        <w:t xml:space="preserve">. </w:t>
      </w:r>
      <w:r w:rsidR="09023626" w:rsidRPr="0063415A">
        <w:rPr>
          <w:rFonts w:asciiTheme="minorHAnsi" w:eastAsiaTheme="minorEastAsia" w:hAnsiTheme="minorHAnsi" w:cstheme="minorBidi"/>
        </w:rPr>
        <w:t>N</w:t>
      </w:r>
      <w:r w:rsidR="09023626" w:rsidRPr="71BC3F3B">
        <w:rPr>
          <w:rFonts w:asciiTheme="minorHAnsi" w:eastAsiaTheme="minorEastAsia" w:hAnsiTheme="minorHAnsi" w:cstheme="minorBidi"/>
        </w:rPr>
        <w:t>elze tak určit skutečné pořadí podpořených a nepodpořených žádostí. Tento postup NSA</w:t>
      </w:r>
      <w:r w:rsidR="005A474C">
        <w:rPr>
          <w:rFonts w:asciiTheme="minorHAnsi" w:eastAsiaTheme="minorEastAsia" w:hAnsiTheme="minorHAnsi" w:cstheme="minorBidi"/>
        </w:rPr>
        <w:t xml:space="preserve"> </w:t>
      </w:r>
      <w:r w:rsidR="09023626" w:rsidRPr="71BC3F3B">
        <w:rPr>
          <w:rFonts w:asciiTheme="minorHAnsi" w:eastAsiaTheme="minorEastAsia" w:hAnsiTheme="minorHAnsi" w:cstheme="minorBidi"/>
        </w:rPr>
        <w:t xml:space="preserve">nelze považovat za transparentní. </w:t>
      </w:r>
    </w:p>
    <w:p w14:paraId="171151D9" w14:textId="4B9A0B5F" w:rsidR="0B6C6DCE" w:rsidRDefault="0B6C6DCE" w:rsidP="6524B888">
      <w:pPr>
        <w:spacing w:before="120"/>
        <w:rPr>
          <w:rFonts w:asciiTheme="minorHAnsi" w:eastAsiaTheme="minorEastAsia" w:hAnsiTheme="minorHAnsi" w:cstheme="minorBidi"/>
        </w:rPr>
      </w:pPr>
      <w:r w:rsidRPr="6524B888">
        <w:rPr>
          <w:rFonts w:asciiTheme="minorHAnsi" w:eastAsiaTheme="minorEastAsia" w:hAnsiTheme="minorHAnsi" w:cstheme="minorBidi"/>
        </w:rPr>
        <w:t>NSA dále nedodržela princip kolové soutěžní výzvy</w:t>
      </w:r>
      <w:r w:rsidRPr="6524B888">
        <w:rPr>
          <w:rFonts w:asciiTheme="minorHAnsi" w:eastAsiaTheme="minorEastAsia" w:hAnsiTheme="minorHAnsi" w:cstheme="minorBidi"/>
          <w:vertAlign w:val="superscript"/>
        </w:rPr>
        <w:footnoteReference w:id="46"/>
      </w:r>
      <w:r w:rsidRPr="6524B888">
        <w:rPr>
          <w:rFonts w:asciiTheme="minorHAnsi" w:eastAsiaTheme="minorEastAsia" w:hAnsiTheme="minorHAnsi" w:cstheme="minorBidi"/>
          <w:vertAlign w:val="superscript"/>
        </w:rPr>
        <w:t xml:space="preserve"> </w:t>
      </w:r>
      <w:r w:rsidRPr="6524B888">
        <w:rPr>
          <w:rFonts w:asciiTheme="minorHAnsi" w:eastAsiaTheme="minorEastAsia" w:hAnsiTheme="minorHAnsi" w:cstheme="minorBidi"/>
        </w:rPr>
        <w:t xml:space="preserve">u </w:t>
      </w:r>
      <w:r w:rsidR="7CDB5248" w:rsidRPr="6524B888">
        <w:rPr>
          <w:rFonts w:asciiTheme="minorHAnsi" w:eastAsiaTheme="minorEastAsia" w:hAnsiTheme="minorHAnsi" w:cstheme="minorBidi"/>
        </w:rPr>
        <w:t xml:space="preserve">investičních </w:t>
      </w:r>
      <w:r w:rsidRPr="6524B888">
        <w:rPr>
          <w:rFonts w:asciiTheme="minorHAnsi" w:eastAsiaTheme="minorEastAsia" w:hAnsiTheme="minorHAnsi" w:cstheme="minorBidi"/>
        </w:rPr>
        <w:t>výz</w:t>
      </w:r>
      <w:r w:rsidR="1A673DED" w:rsidRPr="6524B888">
        <w:rPr>
          <w:rFonts w:asciiTheme="minorHAnsi" w:eastAsiaTheme="minorEastAsia" w:hAnsiTheme="minorHAnsi" w:cstheme="minorBidi"/>
        </w:rPr>
        <w:t>ev</w:t>
      </w:r>
      <w:r w:rsidRPr="6524B888">
        <w:rPr>
          <w:rFonts w:asciiTheme="minorHAnsi" w:eastAsiaTheme="minorEastAsia" w:hAnsiTheme="minorHAnsi" w:cstheme="minorBidi"/>
        </w:rPr>
        <w:t xml:space="preserve"> </w:t>
      </w:r>
      <w:r w:rsidR="42C4409F" w:rsidRPr="6524B888">
        <w:rPr>
          <w:rFonts w:asciiTheme="minorHAnsi" w:eastAsiaTheme="minorEastAsia" w:hAnsiTheme="minorHAnsi" w:cstheme="minorBidi"/>
          <w:i/>
          <w:iCs/>
        </w:rPr>
        <w:t>Regiony SK/TJ 2022</w:t>
      </w:r>
      <w:r w:rsidR="42C4409F" w:rsidRPr="6524B888">
        <w:rPr>
          <w:rFonts w:asciiTheme="minorHAnsi" w:eastAsiaTheme="minorEastAsia" w:hAnsiTheme="minorHAnsi" w:cstheme="minorBidi"/>
        </w:rPr>
        <w:t xml:space="preserve"> a </w:t>
      </w:r>
      <w:r w:rsidR="42C4409F" w:rsidRPr="6524B888">
        <w:rPr>
          <w:rFonts w:asciiTheme="minorHAnsi" w:eastAsiaTheme="minorEastAsia" w:hAnsiTheme="minorHAnsi" w:cstheme="minorBidi"/>
          <w:i/>
          <w:iCs/>
        </w:rPr>
        <w:t>Regiony ÚSC 2022</w:t>
      </w:r>
      <w:r w:rsidR="765A90C2" w:rsidRPr="00154A50">
        <w:rPr>
          <w:rFonts w:asciiTheme="minorHAnsi" w:eastAsiaTheme="minorEastAsia" w:hAnsiTheme="minorHAnsi" w:cstheme="minorBidi"/>
          <w:i/>
          <w:iCs/>
        </w:rPr>
        <w:t xml:space="preserve">. </w:t>
      </w:r>
      <w:r w:rsidR="00740846" w:rsidRPr="00154A50">
        <w:rPr>
          <w:rFonts w:asciiTheme="minorHAnsi" w:eastAsiaTheme="minorEastAsia" w:hAnsiTheme="minorHAnsi" w:cstheme="minorBidi"/>
        </w:rPr>
        <w:t>NSA následně zpracovala a uveřejnila seznam podpořených žádostí, avšak bez bodového hodnocení jednotlivých žádostí. NSA totiž bodové hodnocení</w:t>
      </w:r>
      <w:r w:rsidR="00154A50" w:rsidRPr="00154A50">
        <w:rPr>
          <w:rFonts w:asciiTheme="minorHAnsi" w:eastAsiaTheme="minorEastAsia" w:hAnsiTheme="minorHAnsi" w:cstheme="minorBidi"/>
        </w:rPr>
        <w:t xml:space="preserve"> nevypracovala</w:t>
      </w:r>
      <w:r w:rsidR="00740846" w:rsidRPr="00154A50">
        <w:rPr>
          <w:rFonts w:asciiTheme="minorHAnsi" w:eastAsiaTheme="minorEastAsia" w:hAnsiTheme="minorHAnsi" w:cstheme="minorBidi"/>
        </w:rPr>
        <w:t xml:space="preserve">. </w:t>
      </w:r>
      <w:r w:rsidR="391C0D7F" w:rsidRPr="00154A50">
        <w:rPr>
          <w:rFonts w:asciiTheme="minorHAnsi" w:eastAsiaTheme="minorEastAsia" w:hAnsiTheme="minorHAnsi" w:cstheme="minorBidi"/>
        </w:rPr>
        <w:t>N</w:t>
      </w:r>
      <w:r w:rsidRPr="00154A50">
        <w:rPr>
          <w:rFonts w:asciiTheme="minorHAnsi" w:eastAsiaTheme="minorEastAsia" w:hAnsiTheme="minorHAnsi" w:cstheme="minorBidi"/>
        </w:rPr>
        <w:t>elze</w:t>
      </w:r>
      <w:r w:rsidRPr="6524B888">
        <w:rPr>
          <w:rFonts w:asciiTheme="minorHAnsi" w:eastAsiaTheme="minorEastAsia" w:hAnsiTheme="minorHAnsi" w:cstheme="minorBidi"/>
        </w:rPr>
        <w:t xml:space="preserve"> tak určit skutečné pořadí podpořených a nepodpořených žádostí. Tento postup </w:t>
      </w:r>
      <w:r w:rsidR="10A5A988" w:rsidRPr="6524B888">
        <w:rPr>
          <w:rFonts w:asciiTheme="minorHAnsi" w:eastAsiaTheme="minorEastAsia" w:hAnsiTheme="minorHAnsi" w:cstheme="minorBidi"/>
        </w:rPr>
        <w:t xml:space="preserve">NSA </w:t>
      </w:r>
      <w:r w:rsidRPr="6524B888">
        <w:rPr>
          <w:rFonts w:asciiTheme="minorHAnsi" w:eastAsiaTheme="minorEastAsia" w:hAnsiTheme="minorHAnsi" w:cstheme="minorBidi"/>
        </w:rPr>
        <w:t>n</w:t>
      </w:r>
      <w:r w:rsidR="73562495" w:rsidRPr="6524B888">
        <w:rPr>
          <w:rFonts w:asciiTheme="minorHAnsi" w:eastAsiaTheme="minorEastAsia" w:hAnsiTheme="minorHAnsi" w:cstheme="minorBidi"/>
        </w:rPr>
        <w:t xml:space="preserve">ebyl </w:t>
      </w:r>
      <w:r w:rsidRPr="6524B888">
        <w:rPr>
          <w:rFonts w:asciiTheme="minorHAnsi" w:eastAsiaTheme="minorEastAsia" w:hAnsiTheme="minorHAnsi" w:cstheme="minorBidi"/>
        </w:rPr>
        <w:t>transparentní</w:t>
      </w:r>
      <w:r w:rsidR="005A474C">
        <w:rPr>
          <w:rFonts w:asciiTheme="minorHAnsi" w:eastAsiaTheme="minorEastAsia" w:hAnsiTheme="minorHAnsi" w:cstheme="minorBidi"/>
        </w:rPr>
        <w:t>,</w:t>
      </w:r>
      <w:r w:rsidRPr="6524B888">
        <w:rPr>
          <w:rFonts w:asciiTheme="minorHAnsi" w:eastAsiaTheme="minorEastAsia" w:hAnsiTheme="minorHAnsi" w:cstheme="minorBidi"/>
        </w:rPr>
        <w:t xml:space="preserve"> a nelze tak</w:t>
      </w:r>
      <w:r w:rsidR="005A474C">
        <w:rPr>
          <w:rFonts w:asciiTheme="minorHAnsi" w:eastAsiaTheme="minorEastAsia" w:hAnsiTheme="minorHAnsi" w:cstheme="minorBidi"/>
        </w:rPr>
        <w:t xml:space="preserve"> </w:t>
      </w:r>
      <w:r w:rsidRPr="6524B888">
        <w:rPr>
          <w:rFonts w:asciiTheme="minorHAnsi" w:eastAsiaTheme="minorEastAsia" w:hAnsiTheme="minorHAnsi" w:cstheme="minorBidi"/>
        </w:rPr>
        <w:t xml:space="preserve">určit, zda byly vybrány a podpořeny </w:t>
      </w:r>
      <w:r w:rsidR="4EDCC2B5" w:rsidRPr="6524B888">
        <w:rPr>
          <w:rFonts w:asciiTheme="minorHAnsi" w:eastAsiaTheme="minorEastAsia" w:hAnsiTheme="minorHAnsi" w:cstheme="minorBidi"/>
        </w:rPr>
        <w:t>žádosti</w:t>
      </w:r>
      <w:r w:rsidRPr="6524B888">
        <w:rPr>
          <w:rFonts w:asciiTheme="minorHAnsi" w:eastAsiaTheme="minorEastAsia" w:hAnsiTheme="minorHAnsi" w:cstheme="minorBidi"/>
        </w:rPr>
        <w:t>, které by nejefektivnějším způsobem naplňovaly cíle dané výzvy.</w:t>
      </w:r>
    </w:p>
    <w:p w14:paraId="0E7DA71C" w14:textId="77777777" w:rsidR="002A190B" w:rsidRPr="00C23F10" w:rsidRDefault="00E435EE" w:rsidP="00E435EE">
      <w:pPr>
        <w:pStyle w:val="Nadpis1"/>
        <w:spacing w:after="120"/>
      </w:pPr>
      <w:r>
        <w:t xml:space="preserve">3. </w:t>
      </w:r>
      <w:r w:rsidR="002A190B" w:rsidRPr="00C23F10">
        <w:t>Zdlouhav</w:t>
      </w:r>
      <w:r w:rsidR="00B55D9C" w:rsidRPr="00C23F10">
        <w:t xml:space="preserve">á </w:t>
      </w:r>
      <w:r w:rsidR="002A190B" w:rsidRPr="00C23F10">
        <w:t>administrace žádostí</w:t>
      </w:r>
    </w:p>
    <w:p w14:paraId="05809645" w14:textId="410DC823" w:rsidR="2C746BC0" w:rsidRDefault="2C746BC0" w:rsidP="6524B888">
      <w:pPr>
        <w:spacing w:before="120"/>
        <w:rPr>
          <w:rFonts w:asciiTheme="minorHAnsi" w:eastAsiaTheme="minorEastAsia" w:hAnsiTheme="minorHAnsi" w:cstheme="minorBidi"/>
        </w:rPr>
      </w:pPr>
      <w:r w:rsidRPr="6524B888">
        <w:rPr>
          <w:rFonts w:asciiTheme="minorHAnsi" w:eastAsiaTheme="minorEastAsia" w:hAnsiTheme="minorHAnsi" w:cstheme="minorBidi"/>
        </w:rPr>
        <w:t xml:space="preserve">MŠMT provádělo hodnocení a výběr žádostí v rámci výzev </w:t>
      </w:r>
      <w:r w:rsidRPr="6524B888">
        <w:rPr>
          <w:rFonts w:asciiTheme="minorHAnsi" w:eastAsiaTheme="minorEastAsia" w:hAnsiTheme="minorHAnsi" w:cstheme="minorBidi"/>
          <w:i/>
          <w:iCs/>
        </w:rPr>
        <w:t>M</w:t>
      </w:r>
      <w:r w:rsidR="00894C23" w:rsidRPr="6524B888">
        <w:rPr>
          <w:rFonts w:asciiTheme="minorHAnsi" w:eastAsiaTheme="minorEastAsia" w:hAnsiTheme="minorHAnsi" w:cstheme="minorBidi"/>
          <w:i/>
          <w:iCs/>
        </w:rPr>
        <w:t>ůj klub</w:t>
      </w:r>
      <w:r w:rsidRPr="6524B888">
        <w:rPr>
          <w:rFonts w:asciiTheme="minorHAnsi" w:eastAsiaTheme="minorEastAsia" w:hAnsiTheme="minorHAnsi" w:cstheme="minorBidi"/>
        </w:rPr>
        <w:t xml:space="preserve"> postupně ve vlnách v</w:t>
      </w:r>
      <w:r w:rsidR="00F6678D">
        <w:rPr>
          <w:rFonts w:asciiTheme="minorHAnsi" w:eastAsiaTheme="minorEastAsia" w:hAnsiTheme="minorHAnsi" w:cstheme="minorBidi"/>
        </w:rPr>
        <w:t> </w:t>
      </w:r>
      <w:r w:rsidRPr="6524B888">
        <w:rPr>
          <w:rFonts w:asciiTheme="minorHAnsi" w:eastAsiaTheme="minorEastAsia" w:hAnsiTheme="minorHAnsi" w:cstheme="minorBidi"/>
        </w:rPr>
        <w:t>průběhu téměř celého roku, na který byla dotace určena.</w:t>
      </w:r>
      <w:r w:rsidR="321BAC80" w:rsidRPr="6524B888">
        <w:rPr>
          <w:rFonts w:asciiTheme="minorHAnsi" w:eastAsiaTheme="minorEastAsia" w:hAnsiTheme="minorHAnsi" w:cstheme="minorBidi"/>
        </w:rPr>
        <w:t xml:space="preserve"> Například u</w:t>
      </w:r>
      <w:r w:rsidRPr="6524B888">
        <w:rPr>
          <w:rFonts w:asciiTheme="minorHAnsi" w:eastAsiaTheme="minorEastAsia" w:hAnsiTheme="minorHAnsi" w:cstheme="minorBidi"/>
        </w:rPr>
        <w:t xml:space="preserve"> výzvy </w:t>
      </w:r>
      <w:r w:rsidRPr="6524B888">
        <w:rPr>
          <w:rFonts w:asciiTheme="minorHAnsi" w:eastAsiaTheme="minorEastAsia" w:hAnsiTheme="minorHAnsi" w:cstheme="minorBidi"/>
          <w:i/>
          <w:iCs/>
        </w:rPr>
        <w:t>M</w:t>
      </w:r>
      <w:r w:rsidR="00894C23" w:rsidRPr="6524B888">
        <w:rPr>
          <w:rFonts w:asciiTheme="minorHAnsi" w:eastAsiaTheme="minorEastAsia" w:hAnsiTheme="minorHAnsi" w:cstheme="minorBidi"/>
          <w:i/>
          <w:iCs/>
        </w:rPr>
        <w:t>ůj klub</w:t>
      </w:r>
      <w:r w:rsidRPr="6524B888">
        <w:rPr>
          <w:rFonts w:asciiTheme="minorHAnsi" w:eastAsiaTheme="minorEastAsia" w:hAnsiTheme="minorHAnsi" w:cstheme="minorBidi"/>
          <w:i/>
          <w:iCs/>
        </w:rPr>
        <w:t xml:space="preserve"> 2019</w:t>
      </w:r>
      <w:r w:rsidRPr="6524B888">
        <w:rPr>
          <w:rFonts w:asciiTheme="minorHAnsi" w:eastAsiaTheme="minorEastAsia" w:hAnsiTheme="minorHAnsi" w:cstheme="minorBidi"/>
        </w:rPr>
        <w:t xml:space="preserve"> byla více než polovina žádostí schválena k financování až</w:t>
      </w:r>
      <w:r w:rsidR="58D01758" w:rsidRPr="6524B888">
        <w:rPr>
          <w:rFonts w:asciiTheme="minorHAnsi" w:eastAsiaTheme="minorEastAsia" w:hAnsiTheme="minorHAnsi" w:cstheme="minorBidi"/>
        </w:rPr>
        <w:t xml:space="preserve"> </w:t>
      </w:r>
      <w:r w:rsidRPr="6524B888">
        <w:rPr>
          <w:rFonts w:asciiTheme="minorHAnsi" w:eastAsiaTheme="minorEastAsia" w:hAnsiTheme="minorHAnsi" w:cstheme="minorBidi"/>
        </w:rPr>
        <w:t>ve druhé polovině roku 2019</w:t>
      </w:r>
      <w:r w:rsidR="470361F6" w:rsidRPr="6524B888">
        <w:rPr>
          <w:rFonts w:asciiTheme="minorHAnsi" w:eastAsiaTheme="minorEastAsia" w:hAnsiTheme="minorHAnsi" w:cstheme="minorBidi"/>
        </w:rPr>
        <w:t>.</w:t>
      </w:r>
      <w:r w:rsidR="67EACA3A" w:rsidRPr="6524B888">
        <w:rPr>
          <w:rFonts w:asciiTheme="minorHAnsi" w:eastAsiaTheme="minorEastAsia" w:hAnsiTheme="minorHAnsi" w:cstheme="minorBidi"/>
        </w:rPr>
        <w:t xml:space="preserve"> </w:t>
      </w:r>
      <w:r w:rsidR="19C9711D" w:rsidRPr="6524B888">
        <w:rPr>
          <w:rFonts w:asciiTheme="minorHAnsi" w:eastAsiaTheme="minorEastAsia" w:hAnsiTheme="minorHAnsi" w:cstheme="minorBidi"/>
        </w:rPr>
        <w:t>C</w:t>
      </w:r>
      <w:r w:rsidRPr="6524B888">
        <w:rPr>
          <w:rFonts w:asciiTheme="minorHAnsi" w:eastAsiaTheme="minorEastAsia" w:hAnsiTheme="minorHAnsi" w:cstheme="minorBidi"/>
        </w:rPr>
        <w:t>elkem 9 % žádostí pak bylo schváleno až v listopadu roku</w:t>
      </w:r>
      <w:r w:rsidR="1C25F4FB" w:rsidRPr="6524B888">
        <w:rPr>
          <w:rFonts w:asciiTheme="minorHAnsi" w:eastAsiaTheme="minorEastAsia" w:hAnsiTheme="minorHAnsi" w:cstheme="minorBidi"/>
        </w:rPr>
        <w:t xml:space="preserve"> </w:t>
      </w:r>
      <w:r w:rsidRPr="6524B888">
        <w:rPr>
          <w:rFonts w:asciiTheme="minorHAnsi" w:eastAsiaTheme="minorEastAsia" w:hAnsiTheme="minorHAnsi" w:cstheme="minorBidi"/>
        </w:rPr>
        <w:t xml:space="preserve">2019, tj. více než rok po uplynutí lhůty pro </w:t>
      </w:r>
      <w:r w:rsidRPr="002B1527">
        <w:rPr>
          <w:rFonts w:asciiTheme="minorHAnsi" w:eastAsiaTheme="minorEastAsia" w:hAnsiTheme="minorHAnsi" w:cstheme="minorBidi"/>
        </w:rPr>
        <w:t>podání žádostí.</w:t>
      </w:r>
      <w:r w:rsidR="7A9A5B44" w:rsidRPr="002B1527">
        <w:rPr>
          <w:rFonts w:asciiTheme="minorHAnsi" w:eastAsiaTheme="minorEastAsia" w:hAnsiTheme="minorHAnsi" w:cstheme="minorBidi"/>
        </w:rPr>
        <w:t xml:space="preserve"> Průměrná délka administrace žádostí v tomto roce tak činila 290</w:t>
      </w:r>
      <w:r w:rsidR="00F6678D">
        <w:rPr>
          <w:rFonts w:asciiTheme="minorHAnsi" w:eastAsiaTheme="minorEastAsia" w:hAnsiTheme="minorHAnsi" w:cstheme="minorBidi"/>
        </w:rPr>
        <w:t> </w:t>
      </w:r>
      <w:r w:rsidR="7A9A5B44" w:rsidRPr="002B1527">
        <w:rPr>
          <w:rFonts w:asciiTheme="minorHAnsi" w:eastAsiaTheme="minorEastAsia" w:hAnsiTheme="minorHAnsi" w:cstheme="minorBidi"/>
        </w:rPr>
        <w:t>dní</w:t>
      </w:r>
      <w:r w:rsidR="00DD4CE8" w:rsidRPr="002B1527">
        <w:rPr>
          <w:rFonts w:asciiTheme="minorHAnsi" w:eastAsiaTheme="minorEastAsia" w:hAnsiTheme="minorHAnsi" w:cstheme="minorBidi"/>
        </w:rPr>
        <w:t>, což zobrazuje tabulka č</w:t>
      </w:r>
      <w:r w:rsidR="00DD4CE8" w:rsidRPr="00780720">
        <w:rPr>
          <w:rFonts w:asciiTheme="minorHAnsi" w:eastAsiaTheme="minorEastAsia" w:hAnsiTheme="minorHAnsi" w:cstheme="minorBidi"/>
        </w:rPr>
        <w:t xml:space="preserve">. </w:t>
      </w:r>
      <w:r w:rsidR="002B1527" w:rsidRPr="00780720">
        <w:rPr>
          <w:rFonts w:asciiTheme="minorHAnsi" w:eastAsiaTheme="minorEastAsia" w:hAnsiTheme="minorHAnsi" w:cstheme="minorBidi"/>
        </w:rPr>
        <w:t>2</w:t>
      </w:r>
      <w:r w:rsidR="00DD4CE8" w:rsidRPr="00780720">
        <w:rPr>
          <w:rFonts w:asciiTheme="minorHAnsi" w:eastAsiaTheme="minorEastAsia" w:hAnsiTheme="minorHAnsi" w:cstheme="minorBidi"/>
        </w:rPr>
        <w:t xml:space="preserve">. </w:t>
      </w:r>
      <w:r w:rsidR="00BE7D3B" w:rsidRPr="00780720">
        <w:rPr>
          <w:rFonts w:asciiTheme="minorHAnsi" w:eastAsiaTheme="minorEastAsia" w:hAnsiTheme="minorHAnsi" w:cstheme="minorBidi"/>
        </w:rPr>
        <w:t>MŠMT u</w:t>
      </w:r>
      <w:r w:rsidRPr="00780720">
        <w:rPr>
          <w:rFonts w:asciiTheme="minorHAnsi" w:eastAsiaTheme="minorEastAsia" w:hAnsiTheme="minorHAnsi" w:cstheme="minorBidi"/>
        </w:rPr>
        <w:t xml:space="preserve"> výzvy </w:t>
      </w:r>
      <w:r w:rsidRPr="00780720">
        <w:rPr>
          <w:rFonts w:asciiTheme="minorHAnsi" w:eastAsiaTheme="minorEastAsia" w:hAnsiTheme="minorHAnsi" w:cstheme="minorBidi"/>
          <w:i/>
          <w:iCs/>
        </w:rPr>
        <w:t>M</w:t>
      </w:r>
      <w:r w:rsidR="00894C23" w:rsidRPr="00780720">
        <w:rPr>
          <w:rFonts w:asciiTheme="minorHAnsi" w:eastAsiaTheme="minorEastAsia" w:hAnsiTheme="minorHAnsi" w:cstheme="minorBidi"/>
          <w:i/>
          <w:iCs/>
        </w:rPr>
        <w:t>ůj klub</w:t>
      </w:r>
      <w:r w:rsidRPr="00780720">
        <w:rPr>
          <w:rFonts w:asciiTheme="minorHAnsi" w:eastAsiaTheme="minorEastAsia" w:hAnsiTheme="minorHAnsi" w:cstheme="minorBidi"/>
          <w:i/>
          <w:iCs/>
        </w:rPr>
        <w:t xml:space="preserve"> 2020</w:t>
      </w:r>
      <w:r w:rsidRPr="00780720">
        <w:rPr>
          <w:rFonts w:asciiTheme="minorHAnsi" w:eastAsiaTheme="minorEastAsia" w:hAnsiTheme="minorHAnsi" w:cstheme="minorBidi"/>
        </w:rPr>
        <w:t xml:space="preserve"> většin</w:t>
      </w:r>
      <w:r w:rsidR="00BE7D3B" w:rsidRPr="00780720">
        <w:rPr>
          <w:rFonts w:asciiTheme="minorHAnsi" w:eastAsiaTheme="minorEastAsia" w:hAnsiTheme="minorHAnsi" w:cstheme="minorBidi"/>
        </w:rPr>
        <w:t>u</w:t>
      </w:r>
      <w:r w:rsidRPr="00780720">
        <w:rPr>
          <w:rFonts w:asciiTheme="minorHAnsi" w:eastAsiaTheme="minorEastAsia" w:hAnsiTheme="minorHAnsi" w:cstheme="minorBidi"/>
        </w:rPr>
        <w:t xml:space="preserve"> žádostí (více</w:t>
      </w:r>
      <w:r w:rsidRPr="002B1527">
        <w:rPr>
          <w:rFonts w:asciiTheme="minorHAnsi" w:eastAsiaTheme="minorEastAsia" w:hAnsiTheme="minorHAnsi" w:cstheme="minorBidi"/>
        </w:rPr>
        <w:t xml:space="preserve"> než 90</w:t>
      </w:r>
      <w:r w:rsidR="00894C23">
        <w:rPr>
          <w:rFonts w:asciiTheme="minorHAnsi" w:eastAsiaTheme="minorEastAsia" w:hAnsiTheme="minorHAnsi" w:cstheme="minorBidi"/>
        </w:rPr>
        <w:t> </w:t>
      </w:r>
      <w:r w:rsidRPr="002B1527">
        <w:rPr>
          <w:rFonts w:asciiTheme="minorHAnsi" w:eastAsiaTheme="minorEastAsia" w:hAnsiTheme="minorHAnsi" w:cstheme="minorBidi"/>
        </w:rPr>
        <w:t>%) vyří</w:t>
      </w:r>
      <w:r w:rsidR="00BE7D3B">
        <w:rPr>
          <w:rFonts w:asciiTheme="minorHAnsi" w:eastAsiaTheme="minorEastAsia" w:hAnsiTheme="minorHAnsi" w:cstheme="minorBidi"/>
        </w:rPr>
        <w:t>dilo</w:t>
      </w:r>
      <w:r w:rsidRPr="002B1527">
        <w:rPr>
          <w:rFonts w:asciiTheme="minorHAnsi" w:eastAsiaTheme="minorEastAsia" w:hAnsiTheme="minorHAnsi" w:cstheme="minorBidi"/>
        </w:rPr>
        <w:t xml:space="preserve"> </w:t>
      </w:r>
      <w:r w:rsidR="00C21397" w:rsidRPr="00780720">
        <w:rPr>
          <w:rFonts w:asciiTheme="minorHAnsi" w:eastAsiaTheme="minorEastAsia" w:hAnsiTheme="minorHAnsi" w:cstheme="minorBidi"/>
        </w:rPr>
        <w:t>již</w:t>
      </w:r>
      <w:r w:rsidR="00C21397" w:rsidRPr="002B1527">
        <w:rPr>
          <w:rFonts w:asciiTheme="minorHAnsi" w:eastAsiaTheme="minorEastAsia" w:hAnsiTheme="minorHAnsi" w:cstheme="minorBidi"/>
        </w:rPr>
        <w:t xml:space="preserve"> </w:t>
      </w:r>
      <w:r w:rsidRPr="002B1527">
        <w:rPr>
          <w:rFonts w:asciiTheme="minorHAnsi" w:eastAsiaTheme="minorEastAsia" w:hAnsiTheme="minorHAnsi" w:cstheme="minorBidi"/>
        </w:rPr>
        <w:t>v průběhu prvního pololetí roku 2020.</w:t>
      </w:r>
      <w:r w:rsidR="6635C883" w:rsidRPr="002B1527">
        <w:rPr>
          <w:rFonts w:asciiTheme="minorHAnsi" w:eastAsiaTheme="minorEastAsia" w:hAnsiTheme="minorHAnsi" w:cstheme="minorBidi"/>
        </w:rPr>
        <w:t xml:space="preserve"> Průměrná délka administrace žádostí v</w:t>
      </w:r>
      <w:r w:rsidR="00894C23">
        <w:rPr>
          <w:rFonts w:asciiTheme="minorHAnsi" w:eastAsiaTheme="minorEastAsia" w:hAnsiTheme="minorHAnsi" w:cstheme="minorBidi"/>
        </w:rPr>
        <w:t> </w:t>
      </w:r>
      <w:r w:rsidR="6635C883" w:rsidRPr="002B1527">
        <w:rPr>
          <w:rFonts w:asciiTheme="minorHAnsi" w:eastAsiaTheme="minorEastAsia" w:hAnsiTheme="minorHAnsi" w:cstheme="minorBidi"/>
        </w:rPr>
        <w:t>tomto roce tak činila 170 dní</w:t>
      </w:r>
      <w:r w:rsidR="00DD4CE8" w:rsidRPr="002B1527">
        <w:rPr>
          <w:rFonts w:asciiTheme="minorHAnsi" w:eastAsiaTheme="minorEastAsia" w:hAnsiTheme="minorHAnsi" w:cstheme="minorBidi"/>
        </w:rPr>
        <w:t xml:space="preserve"> (viz tabulka č. </w:t>
      </w:r>
      <w:r w:rsidR="002B1527" w:rsidRPr="002B1527">
        <w:rPr>
          <w:rFonts w:asciiTheme="minorHAnsi" w:eastAsiaTheme="minorEastAsia" w:hAnsiTheme="minorHAnsi" w:cstheme="minorBidi"/>
        </w:rPr>
        <w:t>2</w:t>
      </w:r>
      <w:r w:rsidR="00DD4CE8" w:rsidRPr="002B1527">
        <w:rPr>
          <w:rFonts w:asciiTheme="minorHAnsi" w:eastAsiaTheme="minorEastAsia" w:hAnsiTheme="minorHAnsi" w:cstheme="minorBidi"/>
        </w:rPr>
        <w:t>).</w:t>
      </w:r>
    </w:p>
    <w:p w14:paraId="31119847" w14:textId="06B16760" w:rsidR="2C746BC0" w:rsidRPr="002B1527" w:rsidRDefault="2D98A059" w:rsidP="00B30F9D">
      <w:pPr>
        <w:keepNext/>
        <w:spacing w:before="120" w:after="40"/>
        <w:rPr>
          <w:b/>
        </w:rPr>
      </w:pPr>
      <w:r w:rsidRPr="002B1527">
        <w:rPr>
          <w:rFonts w:asciiTheme="minorHAnsi" w:eastAsiaTheme="minorEastAsia" w:hAnsiTheme="minorHAnsi" w:cstheme="minorBidi"/>
          <w:b/>
        </w:rPr>
        <w:lastRenderedPageBreak/>
        <w:t xml:space="preserve">Tabulka č. </w:t>
      </w:r>
      <w:r w:rsidR="002B1527" w:rsidRPr="002B1527">
        <w:rPr>
          <w:rFonts w:asciiTheme="minorHAnsi" w:eastAsiaTheme="minorEastAsia" w:hAnsiTheme="minorHAnsi" w:cstheme="minorBidi"/>
          <w:b/>
        </w:rPr>
        <w:t>2</w:t>
      </w:r>
      <w:r w:rsidR="00706135">
        <w:rPr>
          <w:rFonts w:asciiTheme="minorHAnsi" w:eastAsiaTheme="minorEastAsia" w:hAnsiTheme="minorHAnsi" w:cstheme="minorBidi"/>
          <w:b/>
        </w:rPr>
        <w:t>:</w:t>
      </w:r>
      <w:r w:rsidRPr="002B1527">
        <w:rPr>
          <w:rFonts w:asciiTheme="minorHAnsi" w:eastAsiaTheme="minorEastAsia" w:hAnsiTheme="minorHAnsi" w:cstheme="minorBidi"/>
          <w:b/>
        </w:rPr>
        <w:t xml:space="preserve"> Průměrná délka dotačního řízení </w:t>
      </w:r>
      <w:r w:rsidR="006C7D0C" w:rsidRPr="002B1527">
        <w:rPr>
          <w:rFonts w:asciiTheme="minorHAnsi" w:eastAsiaTheme="minorEastAsia" w:hAnsiTheme="minorHAnsi" w:cstheme="minorBidi"/>
          <w:b/>
        </w:rPr>
        <w:t xml:space="preserve">na MŠMT </w:t>
      </w:r>
      <w:r w:rsidRPr="002B1527">
        <w:rPr>
          <w:rFonts w:asciiTheme="minorHAnsi" w:eastAsiaTheme="minorEastAsia" w:hAnsiTheme="minorHAnsi" w:cstheme="minorBidi"/>
          <w:b/>
        </w:rPr>
        <w:t>v letech 201</w:t>
      </w:r>
      <w:r w:rsidR="00F21C75">
        <w:rPr>
          <w:rFonts w:asciiTheme="minorHAnsi" w:eastAsiaTheme="minorEastAsia" w:hAnsiTheme="minorHAnsi" w:cstheme="minorBidi"/>
          <w:b/>
        </w:rPr>
        <w:t>9</w:t>
      </w:r>
      <w:r w:rsidRPr="002B1527">
        <w:rPr>
          <w:rFonts w:asciiTheme="minorHAnsi" w:eastAsiaTheme="minorEastAsia" w:hAnsiTheme="minorHAnsi" w:cstheme="minorBidi"/>
          <w:b/>
        </w:rPr>
        <w:t>–2020 (ve dnech)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701"/>
        <w:gridCol w:w="1843"/>
      </w:tblGrid>
      <w:tr w:rsidR="00D059B2" w:rsidRPr="00E435EE" w14:paraId="0C6560AC" w14:textId="77777777" w:rsidTr="00017F21">
        <w:trPr>
          <w:trHeight w:val="244"/>
          <w:jc w:val="center"/>
        </w:trPr>
        <w:tc>
          <w:tcPr>
            <w:tcW w:w="5529" w:type="dxa"/>
            <w:shd w:val="clear" w:color="000000" w:fill="E5F1FF"/>
            <w:vAlign w:val="center"/>
            <w:hideMark/>
          </w:tcPr>
          <w:p w14:paraId="0B0BB303" w14:textId="77777777" w:rsidR="00D059B2" w:rsidRPr="00E435EE" w:rsidRDefault="00D059B2" w:rsidP="00B30F9D">
            <w:pPr>
              <w:keepNext/>
              <w:suppressAutoHyphens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/>
                <w:bCs/>
                <w:iCs/>
                <w:color w:val="000000"/>
                <w:sz w:val="20"/>
                <w:szCs w:val="20"/>
                <w:lang w:eastAsia="cs-CZ"/>
              </w:rPr>
              <w:t>Výzva</w:t>
            </w:r>
          </w:p>
        </w:tc>
        <w:tc>
          <w:tcPr>
            <w:tcW w:w="1701" w:type="dxa"/>
            <w:shd w:val="clear" w:color="000000" w:fill="E5F1FF"/>
            <w:vAlign w:val="center"/>
            <w:hideMark/>
          </w:tcPr>
          <w:p w14:paraId="5ADF3E0C" w14:textId="77777777" w:rsidR="00D059B2" w:rsidRPr="00E435EE" w:rsidRDefault="00D059B2" w:rsidP="00B30F9D">
            <w:pPr>
              <w:keepNext/>
              <w:suppressAutoHyphens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/>
                <w:bCs/>
                <w:iCs/>
                <w:color w:val="000000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843" w:type="dxa"/>
            <w:shd w:val="clear" w:color="000000" w:fill="E5F1FF"/>
            <w:vAlign w:val="center"/>
            <w:hideMark/>
          </w:tcPr>
          <w:p w14:paraId="415C48E5" w14:textId="77777777" w:rsidR="00D059B2" w:rsidRPr="00E435EE" w:rsidRDefault="00D059B2" w:rsidP="00B30F9D">
            <w:pPr>
              <w:keepNext/>
              <w:suppressAutoHyphens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/>
                <w:bCs/>
                <w:iCs/>
                <w:color w:val="000000"/>
                <w:sz w:val="20"/>
                <w:szCs w:val="20"/>
                <w:lang w:eastAsia="cs-CZ"/>
              </w:rPr>
              <w:t>2020</w:t>
            </w:r>
          </w:p>
        </w:tc>
      </w:tr>
      <w:tr w:rsidR="00D059B2" w:rsidRPr="00E435EE" w14:paraId="5ECE6D62" w14:textId="77777777" w:rsidTr="00017F21">
        <w:trPr>
          <w:trHeight w:val="244"/>
          <w:jc w:val="center"/>
        </w:trPr>
        <w:tc>
          <w:tcPr>
            <w:tcW w:w="5529" w:type="dxa"/>
            <w:shd w:val="clear" w:color="000000" w:fill="F2C6C9"/>
            <w:vAlign w:val="center"/>
            <w:hideMark/>
          </w:tcPr>
          <w:p w14:paraId="283A540B" w14:textId="77777777" w:rsidR="00D059B2" w:rsidRPr="00E435EE" w:rsidRDefault="00D059B2" w:rsidP="00B30F9D">
            <w:pPr>
              <w:keepNext/>
              <w:suppressAutoHyphens w:val="0"/>
              <w:spacing w:before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/>
                <w:bCs/>
                <w:iCs/>
                <w:color w:val="000000"/>
                <w:sz w:val="20"/>
                <w:szCs w:val="20"/>
                <w:lang w:eastAsia="cs-CZ"/>
              </w:rPr>
              <w:t>Neinvestiční dotace</w:t>
            </w:r>
          </w:p>
        </w:tc>
        <w:tc>
          <w:tcPr>
            <w:tcW w:w="1701" w:type="dxa"/>
            <w:shd w:val="clear" w:color="000000" w:fill="F2C6C9"/>
            <w:vAlign w:val="center"/>
            <w:hideMark/>
          </w:tcPr>
          <w:p w14:paraId="60B6EE41" w14:textId="77777777" w:rsidR="00D059B2" w:rsidRPr="00E435EE" w:rsidRDefault="00D059B2" w:rsidP="00B30F9D">
            <w:pPr>
              <w:keepNext/>
              <w:suppressAutoHyphens w:val="0"/>
              <w:spacing w:before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shd w:val="clear" w:color="000000" w:fill="F2C6C9"/>
            <w:vAlign w:val="center"/>
            <w:hideMark/>
          </w:tcPr>
          <w:p w14:paraId="64DF1FA8" w14:textId="77777777" w:rsidR="00D059B2" w:rsidRPr="00E435EE" w:rsidRDefault="00D059B2" w:rsidP="00B30F9D">
            <w:pPr>
              <w:keepNext/>
              <w:suppressAutoHyphens w:val="0"/>
              <w:spacing w:before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59B2" w:rsidRPr="00E435EE" w14:paraId="5FA61BA9" w14:textId="77777777" w:rsidTr="00017F21">
        <w:trPr>
          <w:trHeight w:val="244"/>
          <w:jc w:val="center"/>
        </w:trPr>
        <w:tc>
          <w:tcPr>
            <w:tcW w:w="5529" w:type="dxa"/>
            <w:shd w:val="clear" w:color="auto" w:fill="auto"/>
            <w:vAlign w:val="center"/>
            <w:hideMark/>
          </w:tcPr>
          <w:p w14:paraId="30474462" w14:textId="77777777" w:rsidR="00D059B2" w:rsidRPr="00E435EE" w:rsidRDefault="00D059B2" w:rsidP="00B30F9D">
            <w:pPr>
              <w:keepNext/>
              <w:suppressAutoHyphens w:val="0"/>
              <w:spacing w:before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color w:val="000000"/>
                <w:sz w:val="20"/>
                <w:szCs w:val="20"/>
                <w:lang w:eastAsia="cs-CZ"/>
              </w:rPr>
              <w:t xml:space="preserve">MŮJ KLUB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174024" w14:textId="77777777" w:rsidR="00D059B2" w:rsidRPr="00E435EE" w:rsidRDefault="00D059B2" w:rsidP="00B30F9D">
            <w:pPr>
              <w:keepNext/>
              <w:suppressAutoHyphens w:val="0"/>
              <w:spacing w:before="0"/>
              <w:ind w:right="352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C046511" w14:textId="77777777" w:rsidR="00D059B2" w:rsidRPr="00E435EE" w:rsidRDefault="00D059B2" w:rsidP="00B30F9D">
            <w:pPr>
              <w:keepNext/>
              <w:suppressAutoHyphens w:val="0"/>
              <w:spacing w:before="0"/>
              <w:ind w:right="352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170</w:t>
            </w:r>
          </w:p>
        </w:tc>
      </w:tr>
      <w:tr w:rsidR="00D059B2" w:rsidRPr="00E435EE" w14:paraId="67A3F4D6" w14:textId="77777777" w:rsidTr="00017F21">
        <w:trPr>
          <w:trHeight w:val="244"/>
          <w:jc w:val="center"/>
        </w:trPr>
        <w:tc>
          <w:tcPr>
            <w:tcW w:w="5529" w:type="dxa"/>
            <w:shd w:val="clear" w:color="auto" w:fill="auto"/>
            <w:vAlign w:val="center"/>
            <w:hideMark/>
          </w:tcPr>
          <w:p w14:paraId="027FFE1C" w14:textId="77777777" w:rsidR="00D059B2" w:rsidRPr="00E435EE" w:rsidRDefault="00D059B2" w:rsidP="00B30F9D">
            <w:pPr>
              <w:keepNext/>
              <w:suppressAutoHyphens w:val="0"/>
              <w:spacing w:before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color w:val="000000"/>
                <w:sz w:val="20"/>
                <w:szCs w:val="20"/>
                <w:lang w:eastAsia="cs-CZ"/>
              </w:rPr>
              <w:t xml:space="preserve">ORGANIZACE SPORTU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44383D" w14:textId="77777777" w:rsidR="00D059B2" w:rsidRPr="00E435EE" w:rsidRDefault="00D059B2" w:rsidP="00B30F9D">
            <w:pPr>
              <w:keepNext/>
              <w:suppressAutoHyphens w:val="0"/>
              <w:spacing w:before="0"/>
              <w:ind w:right="352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2E3B40" w14:textId="77777777" w:rsidR="00D059B2" w:rsidRPr="00E435EE" w:rsidRDefault="00D059B2" w:rsidP="00B30F9D">
            <w:pPr>
              <w:keepNext/>
              <w:suppressAutoHyphens w:val="0"/>
              <w:spacing w:before="0"/>
              <w:ind w:right="352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160</w:t>
            </w:r>
          </w:p>
        </w:tc>
      </w:tr>
      <w:tr w:rsidR="00D059B2" w:rsidRPr="00E435EE" w14:paraId="2C40CF98" w14:textId="77777777" w:rsidTr="00017F21">
        <w:trPr>
          <w:trHeight w:val="244"/>
          <w:jc w:val="center"/>
        </w:trPr>
        <w:tc>
          <w:tcPr>
            <w:tcW w:w="5529" w:type="dxa"/>
            <w:shd w:val="clear" w:color="auto" w:fill="auto"/>
            <w:vAlign w:val="center"/>
            <w:hideMark/>
          </w:tcPr>
          <w:p w14:paraId="17F4B25A" w14:textId="77777777" w:rsidR="00D059B2" w:rsidRPr="00E435EE" w:rsidRDefault="00D059B2" w:rsidP="00B30F9D">
            <w:pPr>
              <w:keepNext/>
              <w:suppressAutoHyphens w:val="0"/>
              <w:spacing w:before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color w:val="000000"/>
                <w:sz w:val="20"/>
                <w:szCs w:val="20"/>
                <w:lang w:eastAsia="cs-CZ"/>
              </w:rPr>
              <w:t xml:space="preserve">REPRE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16ADCCC" w14:textId="77777777" w:rsidR="00D059B2" w:rsidRPr="00E435EE" w:rsidRDefault="00D059B2" w:rsidP="00B30F9D">
            <w:pPr>
              <w:keepNext/>
              <w:suppressAutoHyphens w:val="0"/>
              <w:spacing w:before="0"/>
              <w:ind w:right="352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A53722" w14:textId="77777777" w:rsidR="00D059B2" w:rsidRPr="00E435EE" w:rsidRDefault="00D059B2" w:rsidP="00B30F9D">
            <w:pPr>
              <w:keepNext/>
              <w:suppressAutoHyphens w:val="0"/>
              <w:spacing w:before="0"/>
              <w:ind w:right="352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150</w:t>
            </w:r>
          </w:p>
        </w:tc>
      </w:tr>
      <w:tr w:rsidR="00D059B2" w:rsidRPr="00E435EE" w14:paraId="7D385BF2" w14:textId="77777777" w:rsidTr="00017F21">
        <w:trPr>
          <w:trHeight w:val="244"/>
          <w:jc w:val="center"/>
        </w:trPr>
        <w:tc>
          <w:tcPr>
            <w:tcW w:w="5529" w:type="dxa"/>
            <w:shd w:val="clear" w:color="auto" w:fill="auto"/>
            <w:vAlign w:val="center"/>
            <w:hideMark/>
          </w:tcPr>
          <w:p w14:paraId="4D68D58E" w14:textId="77777777" w:rsidR="00D059B2" w:rsidRPr="00E435EE" w:rsidRDefault="00D059B2" w:rsidP="00B30F9D">
            <w:pPr>
              <w:keepNext/>
              <w:suppressAutoHyphens w:val="0"/>
              <w:spacing w:before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color w:val="000000"/>
                <w:sz w:val="20"/>
                <w:szCs w:val="20"/>
                <w:lang w:eastAsia="cs-CZ"/>
              </w:rPr>
              <w:t xml:space="preserve">TALENT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D59289" w14:textId="77777777" w:rsidR="00D059B2" w:rsidRPr="00E435EE" w:rsidRDefault="00D059B2" w:rsidP="00B30F9D">
            <w:pPr>
              <w:keepNext/>
              <w:suppressAutoHyphens w:val="0"/>
              <w:spacing w:before="0"/>
              <w:ind w:right="352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636577" w14:textId="77777777" w:rsidR="00D059B2" w:rsidRPr="00E435EE" w:rsidRDefault="00D059B2" w:rsidP="00B30F9D">
            <w:pPr>
              <w:keepNext/>
              <w:suppressAutoHyphens w:val="0"/>
              <w:spacing w:before="0"/>
              <w:ind w:right="352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120</w:t>
            </w:r>
          </w:p>
        </w:tc>
      </w:tr>
      <w:tr w:rsidR="00D059B2" w:rsidRPr="00E435EE" w14:paraId="46FCFFDC" w14:textId="77777777" w:rsidTr="00017F21">
        <w:trPr>
          <w:trHeight w:val="244"/>
          <w:jc w:val="center"/>
        </w:trPr>
        <w:tc>
          <w:tcPr>
            <w:tcW w:w="5529" w:type="dxa"/>
            <w:shd w:val="clear" w:color="auto" w:fill="auto"/>
            <w:vAlign w:val="center"/>
            <w:hideMark/>
          </w:tcPr>
          <w:p w14:paraId="762C4B52" w14:textId="77777777" w:rsidR="00D059B2" w:rsidRPr="00E435EE" w:rsidRDefault="00D059B2" w:rsidP="00B30F9D">
            <w:pPr>
              <w:keepNext/>
              <w:suppressAutoHyphens w:val="0"/>
              <w:spacing w:before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color w:val="000000"/>
                <w:sz w:val="20"/>
                <w:szCs w:val="20"/>
                <w:lang w:eastAsia="cs-CZ"/>
              </w:rPr>
              <w:t xml:space="preserve">VSA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528519" w14:textId="77777777" w:rsidR="00D059B2" w:rsidRPr="00E435EE" w:rsidRDefault="00D059B2" w:rsidP="00B30F9D">
            <w:pPr>
              <w:keepNext/>
              <w:suppressAutoHyphens w:val="0"/>
              <w:spacing w:before="0"/>
              <w:ind w:right="352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180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4C8D0BF" w14:textId="77777777" w:rsidR="00D059B2" w:rsidRPr="00E435EE" w:rsidRDefault="00D059B2" w:rsidP="00B30F9D">
            <w:pPr>
              <w:keepNext/>
              <w:suppressAutoHyphens w:val="0"/>
              <w:spacing w:before="0"/>
              <w:ind w:right="352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150</w:t>
            </w:r>
          </w:p>
        </w:tc>
      </w:tr>
      <w:tr w:rsidR="00D059B2" w:rsidRPr="00E435EE" w14:paraId="5B5603EC" w14:textId="77777777" w:rsidTr="00017F21">
        <w:trPr>
          <w:trHeight w:val="244"/>
          <w:jc w:val="center"/>
        </w:trPr>
        <w:tc>
          <w:tcPr>
            <w:tcW w:w="5529" w:type="dxa"/>
            <w:shd w:val="clear" w:color="000000" w:fill="F2C6C9"/>
            <w:vAlign w:val="center"/>
            <w:hideMark/>
          </w:tcPr>
          <w:p w14:paraId="72F077E8" w14:textId="77777777" w:rsidR="00D059B2" w:rsidRPr="00E435EE" w:rsidRDefault="00D059B2" w:rsidP="00B30F9D">
            <w:pPr>
              <w:keepNext/>
              <w:suppressAutoHyphens w:val="0"/>
              <w:spacing w:before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/>
                <w:bCs/>
                <w:iCs/>
                <w:color w:val="000000"/>
                <w:sz w:val="20"/>
                <w:szCs w:val="20"/>
                <w:lang w:eastAsia="cs-CZ"/>
              </w:rPr>
              <w:t>Investiční dotace</w:t>
            </w:r>
          </w:p>
        </w:tc>
        <w:tc>
          <w:tcPr>
            <w:tcW w:w="1701" w:type="dxa"/>
            <w:shd w:val="clear" w:color="000000" w:fill="F2C6C9"/>
            <w:vAlign w:val="center"/>
            <w:hideMark/>
          </w:tcPr>
          <w:p w14:paraId="0E34E915" w14:textId="77777777" w:rsidR="00D059B2" w:rsidRPr="00E435EE" w:rsidRDefault="00D059B2" w:rsidP="00B30F9D">
            <w:pPr>
              <w:keepNext/>
              <w:suppressAutoHyphens w:val="0"/>
              <w:spacing w:before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43" w:type="dxa"/>
            <w:shd w:val="clear" w:color="000000" w:fill="F2C6C9"/>
            <w:vAlign w:val="center"/>
            <w:hideMark/>
          </w:tcPr>
          <w:p w14:paraId="1EDE9064" w14:textId="77777777" w:rsidR="00D059B2" w:rsidRPr="00E435EE" w:rsidRDefault="00D059B2" w:rsidP="00B30F9D">
            <w:pPr>
              <w:keepNext/>
              <w:suppressAutoHyphens w:val="0"/>
              <w:spacing w:before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059B2" w:rsidRPr="00E435EE" w14:paraId="68C44D2C" w14:textId="77777777" w:rsidTr="00017F21">
        <w:trPr>
          <w:trHeight w:val="244"/>
          <w:jc w:val="center"/>
        </w:trPr>
        <w:tc>
          <w:tcPr>
            <w:tcW w:w="5529" w:type="dxa"/>
            <w:shd w:val="clear" w:color="auto" w:fill="auto"/>
            <w:vAlign w:val="center"/>
            <w:hideMark/>
          </w:tcPr>
          <w:p w14:paraId="0DE16C66" w14:textId="77777777" w:rsidR="00D059B2" w:rsidRPr="00E435EE" w:rsidRDefault="00D059B2" w:rsidP="00B30F9D">
            <w:pPr>
              <w:keepNext/>
              <w:suppressAutoHyphens w:val="0"/>
              <w:spacing w:before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V3 Sport 2019 / V5 Sport 2020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083B9B" w14:textId="77777777" w:rsidR="00D059B2" w:rsidRPr="00E435EE" w:rsidRDefault="00D059B2" w:rsidP="00B30F9D">
            <w:pPr>
              <w:keepNext/>
              <w:suppressAutoHyphens w:val="0"/>
              <w:spacing w:before="0"/>
              <w:ind w:right="352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E365C8" w14:textId="77777777" w:rsidR="00D059B2" w:rsidRPr="00E435EE" w:rsidRDefault="00D059B2" w:rsidP="00B30F9D">
            <w:pPr>
              <w:keepNext/>
              <w:suppressAutoHyphens w:val="0"/>
              <w:spacing w:before="0"/>
              <w:ind w:right="352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260</w:t>
            </w:r>
          </w:p>
        </w:tc>
      </w:tr>
      <w:tr w:rsidR="00D059B2" w:rsidRPr="00E435EE" w14:paraId="49FAD071" w14:textId="77777777" w:rsidTr="00017F21">
        <w:trPr>
          <w:trHeight w:val="244"/>
          <w:jc w:val="center"/>
        </w:trPr>
        <w:tc>
          <w:tcPr>
            <w:tcW w:w="5529" w:type="dxa"/>
            <w:shd w:val="clear" w:color="auto" w:fill="auto"/>
            <w:vAlign w:val="center"/>
            <w:hideMark/>
          </w:tcPr>
          <w:p w14:paraId="4DD16E92" w14:textId="77777777" w:rsidR="00D059B2" w:rsidRPr="00E435EE" w:rsidRDefault="00D059B2" w:rsidP="00B30F9D">
            <w:pPr>
              <w:keepNext/>
              <w:suppressAutoHyphens w:val="0"/>
              <w:spacing w:before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V4 Sport 2019 / V6 Sport 2020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8BC2DC" w14:textId="77777777" w:rsidR="00D059B2" w:rsidRPr="00E435EE" w:rsidRDefault="00D059B2" w:rsidP="00B30F9D">
            <w:pPr>
              <w:keepNext/>
              <w:suppressAutoHyphens w:val="0"/>
              <w:spacing w:before="0"/>
              <w:ind w:right="352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BF5A5F" w14:textId="77777777" w:rsidR="00D059B2" w:rsidRPr="00E435EE" w:rsidRDefault="00D059B2" w:rsidP="00B30F9D">
            <w:pPr>
              <w:keepNext/>
              <w:suppressAutoHyphens w:val="0"/>
              <w:spacing w:before="0"/>
              <w:ind w:right="352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260</w:t>
            </w:r>
          </w:p>
        </w:tc>
      </w:tr>
      <w:tr w:rsidR="00D059B2" w:rsidRPr="00E435EE" w14:paraId="60C8F206" w14:textId="77777777" w:rsidTr="00017F21">
        <w:trPr>
          <w:trHeight w:val="244"/>
          <w:jc w:val="center"/>
        </w:trPr>
        <w:tc>
          <w:tcPr>
            <w:tcW w:w="5529" w:type="dxa"/>
            <w:shd w:val="clear" w:color="auto" w:fill="auto"/>
            <w:vAlign w:val="center"/>
            <w:hideMark/>
          </w:tcPr>
          <w:p w14:paraId="361B6867" w14:textId="77777777" w:rsidR="00D059B2" w:rsidRPr="00E435EE" w:rsidRDefault="00D059B2" w:rsidP="00B30F9D">
            <w:pPr>
              <w:keepNext/>
              <w:suppressAutoHyphens w:val="0"/>
              <w:spacing w:before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Pořízení samostatného movitého majetku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80F9BB" w14:textId="77777777" w:rsidR="00D059B2" w:rsidRPr="00E435EE" w:rsidRDefault="00D059B2" w:rsidP="00B30F9D">
            <w:pPr>
              <w:keepNext/>
              <w:suppressAutoHyphens w:val="0"/>
              <w:spacing w:before="0"/>
              <w:ind w:right="352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F94B41" w14:textId="77777777" w:rsidR="00D059B2" w:rsidRPr="00E435EE" w:rsidRDefault="00D059B2" w:rsidP="00B30F9D">
            <w:pPr>
              <w:keepNext/>
              <w:suppressAutoHyphens w:val="0"/>
              <w:spacing w:before="0"/>
              <w:ind w:right="352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E435EE">
              <w:rPr>
                <w:bCs/>
                <w:iCs/>
                <w:color w:val="000000"/>
                <w:sz w:val="20"/>
                <w:szCs w:val="20"/>
                <w:lang w:eastAsia="cs-CZ"/>
              </w:rPr>
              <w:t>90</w:t>
            </w:r>
          </w:p>
        </w:tc>
      </w:tr>
    </w:tbl>
    <w:p w14:paraId="17F9C24C" w14:textId="77777777" w:rsidR="2C746BC0" w:rsidRDefault="00DD4CE8" w:rsidP="00E435EE">
      <w:pPr>
        <w:spacing w:before="40" w:after="120"/>
        <w:rPr>
          <w:rFonts w:asciiTheme="minorHAnsi" w:eastAsiaTheme="minorEastAsia" w:hAnsiTheme="minorHAnsi" w:cstheme="minorBidi"/>
        </w:rPr>
      </w:pPr>
      <w:r w:rsidRPr="002B1527">
        <w:rPr>
          <w:b/>
          <w:bCs/>
          <w:iCs/>
          <w:sz w:val="20"/>
          <w:szCs w:val="20"/>
        </w:rPr>
        <w:t>Zdroj</w:t>
      </w:r>
      <w:r>
        <w:rPr>
          <w:bCs/>
          <w:iCs/>
          <w:sz w:val="20"/>
          <w:szCs w:val="20"/>
        </w:rPr>
        <w:t xml:space="preserve">: </w:t>
      </w:r>
      <w:r w:rsidRPr="75EB0935">
        <w:rPr>
          <w:rFonts w:eastAsia="Calibri"/>
          <w:sz w:val="20"/>
          <w:szCs w:val="20"/>
        </w:rPr>
        <w:t>vypracoval NKÚ na základě dat</w:t>
      </w:r>
      <w:r w:rsidR="00BE7D3B">
        <w:rPr>
          <w:bCs/>
          <w:iCs/>
          <w:sz w:val="20"/>
          <w:szCs w:val="20"/>
        </w:rPr>
        <w:t xml:space="preserve"> poskytnutých</w:t>
      </w:r>
      <w:r>
        <w:rPr>
          <w:bCs/>
          <w:iCs/>
          <w:sz w:val="20"/>
          <w:szCs w:val="20"/>
        </w:rPr>
        <w:t xml:space="preserve"> MŠMT</w:t>
      </w:r>
      <w:r w:rsidR="006C7D0C">
        <w:rPr>
          <w:bCs/>
          <w:iCs/>
          <w:sz w:val="20"/>
          <w:szCs w:val="20"/>
        </w:rPr>
        <w:t>.</w:t>
      </w:r>
    </w:p>
    <w:p w14:paraId="639FA996" w14:textId="65DF67C3" w:rsidR="785B5C91" w:rsidRDefault="785B5C91" w:rsidP="6524B888">
      <w:pPr>
        <w:spacing w:before="120"/>
        <w:rPr>
          <w:rFonts w:asciiTheme="minorHAnsi" w:eastAsiaTheme="minorEastAsia" w:hAnsiTheme="minorHAnsi" w:cstheme="minorBidi"/>
        </w:rPr>
      </w:pPr>
      <w:r w:rsidRPr="6524B888">
        <w:rPr>
          <w:rFonts w:asciiTheme="minorHAnsi" w:eastAsiaTheme="minorEastAsia" w:hAnsiTheme="minorHAnsi" w:cstheme="minorBidi"/>
        </w:rPr>
        <w:t>NSA administrovala žádosti u výz</w:t>
      </w:r>
      <w:r w:rsidR="585FA470" w:rsidRPr="6524B888">
        <w:rPr>
          <w:rFonts w:asciiTheme="minorHAnsi" w:eastAsiaTheme="minorEastAsia" w:hAnsiTheme="minorHAnsi" w:cstheme="minorBidi"/>
        </w:rPr>
        <w:t xml:space="preserve">ev </w:t>
      </w:r>
      <w:r w:rsidR="585FA470" w:rsidRPr="6524B888">
        <w:rPr>
          <w:rFonts w:asciiTheme="minorHAnsi" w:eastAsiaTheme="minorEastAsia" w:hAnsiTheme="minorHAnsi" w:cstheme="minorBidi"/>
          <w:i/>
          <w:iCs/>
        </w:rPr>
        <w:t>M</w:t>
      </w:r>
      <w:r w:rsidR="00017F21" w:rsidRPr="6524B888">
        <w:rPr>
          <w:rFonts w:asciiTheme="minorHAnsi" w:eastAsiaTheme="minorEastAsia" w:hAnsiTheme="minorHAnsi" w:cstheme="minorBidi"/>
          <w:i/>
          <w:iCs/>
        </w:rPr>
        <w:t>ůj klub</w:t>
      </w:r>
      <w:r w:rsidR="585FA470" w:rsidRPr="6524B888">
        <w:rPr>
          <w:rFonts w:asciiTheme="minorHAnsi" w:eastAsiaTheme="minorEastAsia" w:hAnsiTheme="minorHAnsi" w:cstheme="minorBidi"/>
          <w:i/>
          <w:iCs/>
        </w:rPr>
        <w:t xml:space="preserve"> 2021</w:t>
      </w:r>
      <w:r w:rsidR="585FA470" w:rsidRPr="6524B888">
        <w:rPr>
          <w:rFonts w:asciiTheme="minorHAnsi" w:eastAsiaTheme="minorEastAsia" w:hAnsiTheme="minorHAnsi" w:cstheme="minorBidi"/>
        </w:rPr>
        <w:t xml:space="preserve"> a </w:t>
      </w:r>
      <w:r w:rsidR="585FA470" w:rsidRPr="6524B888">
        <w:rPr>
          <w:rFonts w:asciiTheme="minorHAnsi" w:eastAsiaTheme="minorEastAsia" w:hAnsiTheme="minorHAnsi" w:cstheme="minorBidi"/>
          <w:i/>
          <w:iCs/>
        </w:rPr>
        <w:t>M</w:t>
      </w:r>
      <w:r w:rsidR="00017F21" w:rsidRPr="6524B888">
        <w:rPr>
          <w:rFonts w:asciiTheme="minorHAnsi" w:eastAsiaTheme="minorEastAsia" w:hAnsiTheme="minorHAnsi" w:cstheme="minorBidi"/>
          <w:i/>
          <w:iCs/>
        </w:rPr>
        <w:t>ůj klub</w:t>
      </w:r>
      <w:r w:rsidR="585FA470" w:rsidRPr="6524B888">
        <w:rPr>
          <w:rFonts w:asciiTheme="minorHAnsi" w:eastAsiaTheme="minorEastAsia" w:hAnsiTheme="minorHAnsi" w:cstheme="minorBidi"/>
          <w:i/>
          <w:iCs/>
        </w:rPr>
        <w:t xml:space="preserve"> 2022</w:t>
      </w:r>
      <w:r w:rsidR="585FA470" w:rsidRPr="6524B888">
        <w:rPr>
          <w:rFonts w:asciiTheme="minorHAnsi" w:eastAsiaTheme="minorEastAsia" w:hAnsiTheme="minorHAnsi" w:cstheme="minorBidi"/>
        </w:rPr>
        <w:t xml:space="preserve">. </w:t>
      </w:r>
      <w:r w:rsidR="5CA3037A" w:rsidRPr="6524B888">
        <w:rPr>
          <w:rFonts w:asciiTheme="minorHAnsi" w:eastAsiaTheme="minorEastAsia" w:hAnsiTheme="minorHAnsi" w:cstheme="minorBidi"/>
        </w:rPr>
        <w:t>Z tabu</w:t>
      </w:r>
      <w:r w:rsidR="5CA3037A" w:rsidRPr="002B1527">
        <w:rPr>
          <w:rFonts w:asciiTheme="minorHAnsi" w:eastAsiaTheme="minorEastAsia" w:hAnsiTheme="minorHAnsi" w:cstheme="minorBidi"/>
        </w:rPr>
        <w:t xml:space="preserve">lky č. </w:t>
      </w:r>
      <w:r w:rsidR="002B1527" w:rsidRPr="002B1527">
        <w:rPr>
          <w:rFonts w:asciiTheme="minorHAnsi" w:eastAsiaTheme="minorEastAsia" w:hAnsiTheme="minorHAnsi" w:cstheme="minorBidi"/>
        </w:rPr>
        <w:t>3</w:t>
      </w:r>
      <w:r w:rsidR="5CA3037A" w:rsidRPr="002B1527">
        <w:rPr>
          <w:rFonts w:asciiTheme="minorHAnsi" w:eastAsiaTheme="minorEastAsia" w:hAnsiTheme="minorHAnsi" w:cstheme="minorBidi"/>
        </w:rPr>
        <w:t xml:space="preserve"> je</w:t>
      </w:r>
      <w:r w:rsidR="5CA3037A" w:rsidRPr="6524B888">
        <w:rPr>
          <w:rFonts w:asciiTheme="minorHAnsi" w:eastAsiaTheme="minorEastAsia" w:hAnsiTheme="minorHAnsi" w:cstheme="minorBidi"/>
        </w:rPr>
        <w:t xml:space="preserve"> </w:t>
      </w:r>
      <w:r w:rsidR="5CA3037A" w:rsidRPr="008C4411">
        <w:rPr>
          <w:rFonts w:asciiTheme="minorHAnsi" w:eastAsiaTheme="minorEastAsia" w:hAnsiTheme="minorHAnsi" w:cstheme="minorBidi"/>
        </w:rPr>
        <w:t xml:space="preserve">patrné, že průměrná délka administrace žádostí v rámci výzvy </w:t>
      </w:r>
      <w:r w:rsidR="5CA3037A" w:rsidRPr="008C4411">
        <w:rPr>
          <w:rFonts w:asciiTheme="minorHAnsi" w:eastAsiaTheme="minorEastAsia" w:hAnsiTheme="minorHAnsi" w:cstheme="minorBidi"/>
          <w:i/>
          <w:iCs/>
        </w:rPr>
        <w:t>M</w:t>
      </w:r>
      <w:r w:rsidR="00017F21" w:rsidRPr="008C4411">
        <w:rPr>
          <w:rFonts w:asciiTheme="minorHAnsi" w:eastAsiaTheme="minorEastAsia" w:hAnsiTheme="minorHAnsi" w:cstheme="minorBidi"/>
          <w:i/>
          <w:iCs/>
        </w:rPr>
        <w:t>ůj klub</w:t>
      </w:r>
      <w:r w:rsidR="5CA3037A" w:rsidRPr="008C4411">
        <w:rPr>
          <w:rFonts w:asciiTheme="minorHAnsi" w:eastAsiaTheme="minorEastAsia" w:hAnsiTheme="minorHAnsi" w:cstheme="minorBidi"/>
          <w:i/>
          <w:iCs/>
        </w:rPr>
        <w:t xml:space="preserve"> 2021</w:t>
      </w:r>
      <w:r w:rsidR="5CA3037A" w:rsidRPr="008C4411">
        <w:rPr>
          <w:rFonts w:asciiTheme="minorHAnsi" w:eastAsiaTheme="minorEastAsia" w:hAnsiTheme="minorHAnsi" w:cstheme="minorBidi"/>
        </w:rPr>
        <w:t xml:space="preserve"> byla 172 dní</w:t>
      </w:r>
      <w:r w:rsidR="004D4692" w:rsidRPr="008C4411">
        <w:rPr>
          <w:rFonts w:asciiTheme="minorHAnsi" w:eastAsiaTheme="minorEastAsia" w:hAnsiTheme="minorHAnsi" w:cstheme="minorBidi"/>
        </w:rPr>
        <w:t xml:space="preserve">. </w:t>
      </w:r>
      <w:r w:rsidR="00780720" w:rsidRPr="008C4411">
        <w:rPr>
          <w:rFonts w:asciiTheme="minorHAnsi" w:eastAsiaTheme="minorEastAsia" w:hAnsiTheme="minorHAnsi" w:cstheme="minorBidi"/>
        </w:rPr>
        <w:t>O</w:t>
      </w:r>
      <w:r w:rsidR="004D4692" w:rsidRPr="008C4411">
        <w:rPr>
          <w:rFonts w:asciiTheme="minorHAnsi" w:eastAsiaTheme="minorEastAsia" w:hAnsiTheme="minorHAnsi" w:cstheme="minorBidi"/>
        </w:rPr>
        <w:t>d 30.</w:t>
      </w:r>
      <w:r w:rsidR="00017F21">
        <w:rPr>
          <w:rFonts w:asciiTheme="minorHAnsi" w:eastAsiaTheme="minorEastAsia" w:hAnsiTheme="minorHAnsi" w:cstheme="minorBidi"/>
        </w:rPr>
        <w:t> </w:t>
      </w:r>
      <w:r w:rsidR="004D4692" w:rsidRPr="008C4411">
        <w:rPr>
          <w:rFonts w:asciiTheme="minorHAnsi" w:eastAsiaTheme="minorEastAsia" w:hAnsiTheme="minorHAnsi" w:cstheme="minorBidi"/>
        </w:rPr>
        <w:t>11.</w:t>
      </w:r>
      <w:r w:rsidR="00017F21">
        <w:rPr>
          <w:rFonts w:asciiTheme="minorHAnsi" w:eastAsiaTheme="minorEastAsia" w:hAnsiTheme="minorHAnsi" w:cstheme="minorBidi"/>
        </w:rPr>
        <w:t> </w:t>
      </w:r>
      <w:r w:rsidR="004D4692" w:rsidRPr="008C4411">
        <w:rPr>
          <w:rFonts w:asciiTheme="minorHAnsi" w:eastAsiaTheme="minorEastAsia" w:hAnsiTheme="minorHAnsi" w:cstheme="minorBidi"/>
        </w:rPr>
        <w:t>2020 využívala</w:t>
      </w:r>
      <w:r w:rsidR="00780720" w:rsidRPr="008C4411">
        <w:rPr>
          <w:rFonts w:asciiTheme="minorHAnsi" w:eastAsiaTheme="minorEastAsia" w:hAnsiTheme="minorHAnsi" w:cstheme="minorBidi"/>
        </w:rPr>
        <w:t xml:space="preserve"> NSA</w:t>
      </w:r>
      <w:r w:rsidR="004D4692" w:rsidRPr="008C4411">
        <w:rPr>
          <w:rFonts w:asciiTheme="minorHAnsi" w:eastAsiaTheme="minorEastAsia" w:hAnsiTheme="minorHAnsi" w:cstheme="minorBidi"/>
        </w:rPr>
        <w:t xml:space="preserve"> ke zpracování žádostí mj. i v této výzvě externí společnost</w:t>
      </w:r>
      <w:r w:rsidR="00780720" w:rsidRPr="008C4411">
        <w:rPr>
          <w:rFonts w:asciiTheme="minorHAnsi" w:eastAsiaTheme="minorEastAsia" w:hAnsiTheme="minorHAnsi" w:cstheme="minorBidi"/>
        </w:rPr>
        <w:t>. NSA to zdůvodnila</w:t>
      </w:r>
      <w:r w:rsidR="00BE7D3B" w:rsidRPr="008C4411">
        <w:rPr>
          <w:rFonts w:asciiTheme="minorHAnsi" w:eastAsiaTheme="minorEastAsia" w:hAnsiTheme="minorHAnsi" w:cstheme="minorBidi"/>
        </w:rPr>
        <w:t xml:space="preserve"> </w:t>
      </w:r>
      <w:r w:rsidR="004D4692" w:rsidRPr="008C4411">
        <w:rPr>
          <w:rFonts w:asciiTheme="minorHAnsi" w:eastAsiaTheme="minorEastAsia" w:hAnsiTheme="minorHAnsi" w:cstheme="minorBidi"/>
        </w:rPr>
        <w:t>nedostat</w:t>
      </w:r>
      <w:r w:rsidR="00780720" w:rsidRPr="008C4411">
        <w:rPr>
          <w:rFonts w:asciiTheme="minorHAnsi" w:eastAsiaTheme="minorEastAsia" w:hAnsiTheme="minorHAnsi" w:cstheme="minorBidi"/>
        </w:rPr>
        <w:t>kem</w:t>
      </w:r>
      <w:r w:rsidR="004D4692" w:rsidRPr="008C4411">
        <w:rPr>
          <w:rFonts w:asciiTheme="minorHAnsi" w:eastAsiaTheme="minorEastAsia" w:hAnsiTheme="minorHAnsi" w:cstheme="minorBidi"/>
        </w:rPr>
        <w:t xml:space="preserve"> vlastních zaměstnanců. </w:t>
      </w:r>
      <w:r w:rsidR="009B1DB1" w:rsidRPr="008C4411">
        <w:rPr>
          <w:rFonts w:asciiTheme="minorHAnsi" w:eastAsiaTheme="minorEastAsia" w:hAnsiTheme="minorHAnsi" w:cstheme="minorBidi"/>
        </w:rPr>
        <w:t>U</w:t>
      </w:r>
      <w:r w:rsidR="122B1CAB" w:rsidRPr="008C4411">
        <w:rPr>
          <w:rFonts w:asciiTheme="minorHAnsi" w:eastAsiaTheme="minorEastAsia" w:hAnsiTheme="minorHAnsi" w:cstheme="minorBidi"/>
        </w:rPr>
        <w:t xml:space="preserve"> výzvy </w:t>
      </w:r>
      <w:r w:rsidR="122B1CAB" w:rsidRPr="008C4411">
        <w:rPr>
          <w:rFonts w:asciiTheme="minorHAnsi" w:eastAsiaTheme="minorEastAsia" w:hAnsiTheme="minorHAnsi" w:cstheme="minorBidi"/>
          <w:i/>
          <w:iCs/>
        </w:rPr>
        <w:t>M</w:t>
      </w:r>
      <w:r w:rsidR="00017F21" w:rsidRPr="008C4411">
        <w:rPr>
          <w:rFonts w:asciiTheme="minorHAnsi" w:eastAsiaTheme="minorEastAsia" w:hAnsiTheme="minorHAnsi" w:cstheme="minorBidi"/>
          <w:i/>
          <w:iCs/>
        </w:rPr>
        <w:t>ůj klub</w:t>
      </w:r>
      <w:r w:rsidR="122B1CAB" w:rsidRPr="008C4411">
        <w:rPr>
          <w:rFonts w:asciiTheme="minorHAnsi" w:eastAsiaTheme="minorEastAsia" w:hAnsiTheme="minorHAnsi" w:cstheme="minorBidi"/>
          <w:i/>
          <w:iCs/>
        </w:rPr>
        <w:t xml:space="preserve"> 2022</w:t>
      </w:r>
      <w:r w:rsidR="122B1CAB" w:rsidRPr="008C4411">
        <w:rPr>
          <w:rFonts w:asciiTheme="minorHAnsi" w:eastAsiaTheme="minorEastAsia" w:hAnsiTheme="minorHAnsi" w:cstheme="minorBidi"/>
        </w:rPr>
        <w:t xml:space="preserve"> </w:t>
      </w:r>
      <w:r w:rsidR="009B1DB1" w:rsidRPr="008C4411">
        <w:rPr>
          <w:rFonts w:asciiTheme="minorHAnsi" w:eastAsiaTheme="minorEastAsia" w:hAnsiTheme="minorHAnsi" w:cstheme="minorBidi"/>
        </w:rPr>
        <w:t xml:space="preserve">trvala administrace žádostí </w:t>
      </w:r>
      <w:r w:rsidR="25AE99BA" w:rsidRPr="008C4411">
        <w:rPr>
          <w:rFonts w:asciiTheme="minorHAnsi" w:eastAsiaTheme="minorEastAsia" w:hAnsiTheme="minorHAnsi" w:cstheme="minorBidi"/>
        </w:rPr>
        <w:t>celkem 223 dní</w:t>
      </w:r>
      <w:r w:rsidR="009B1DB1" w:rsidRPr="008C4411">
        <w:rPr>
          <w:rFonts w:asciiTheme="minorHAnsi" w:eastAsiaTheme="minorEastAsia" w:hAnsiTheme="minorHAnsi" w:cstheme="minorBidi"/>
        </w:rPr>
        <w:t xml:space="preserve"> a tuto výzvu administrovali</w:t>
      </w:r>
      <w:r w:rsidR="009B1DB1" w:rsidRPr="6524B888">
        <w:rPr>
          <w:rFonts w:asciiTheme="minorHAnsi" w:eastAsiaTheme="minorEastAsia" w:hAnsiTheme="minorHAnsi" w:cstheme="minorBidi"/>
        </w:rPr>
        <w:t xml:space="preserve"> již pouze zaměstnanci NSA.</w:t>
      </w:r>
    </w:p>
    <w:p w14:paraId="7F39C05F" w14:textId="72378A7F" w:rsidR="77272815" w:rsidRDefault="3EB7468B" w:rsidP="6524B888">
      <w:pPr>
        <w:spacing w:before="120"/>
        <w:rPr>
          <w:rFonts w:asciiTheme="minorHAnsi" w:eastAsiaTheme="minorEastAsia" w:hAnsiTheme="minorHAnsi" w:cstheme="minorBidi"/>
          <w:b/>
          <w:bCs/>
          <w:highlight w:val="magenta"/>
        </w:rPr>
      </w:pPr>
      <w:r w:rsidRPr="6524B888">
        <w:rPr>
          <w:rFonts w:asciiTheme="minorHAnsi" w:eastAsiaTheme="minorEastAsia" w:hAnsiTheme="minorHAnsi" w:cstheme="minorBidi"/>
        </w:rPr>
        <w:t>U</w:t>
      </w:r>
      <w:r w:rsidR="05599BE7" w:rsidRPr="6524B888">
        <w:rPr>
          <w:rFonts w:asciiTheme="minorHAnsi" w:eastAsiaTheme="minorEastAsia" w:hAnsiTheme="minorHAnsi" w:cstheme="minorBidi"/>
        </w:rPr>
        <w:t xml:space="preserve"> NSA se dále NKÚ</w:t>
      </w:r>
      <w:r w:rsidRPr="6524B888">
        <w:rPr>
          <w:rFonts w:asciiTheme="minorHAnsi" w:eastAsiaTheme="minorEastAsia" w:hAnsiTheme="minorHAnsi" w:cstheme="minorBidi"/>
        </w:rPr>
        <w:t xml:space="preserve"> </w:t>
      </w:r>
      <w:r w:rsidR="621A4B12" w:rsidRPr="6524B888">
        <w:rPr>
          <w:rFonts w:asciiTheme="minorHAnsi" w:eastAsiaTheme="minorEastAsia" w:hAnsiTheme="minorHAnsi" w:cstheme="minorBidi"/>
        </w:rPr>
        <w:t xml:space="preserve">zaměřil na </w:t>
      </w:r>
      <w:r w:rsidR="22A728EF" w:rsidRPr="0070759D">
        <w:rPr>
          <w:rFonts w:asciiTheme="minorHAnsi" w:eastAsiaTheme="minorEastAsia" w:hAnsiTheme="minorHAnsi" w:cstheme="minorBidi"/>
        </w:rPr>
        <w:t xml:space="preserve">další </w:t>
      </w:r>
      <w:r w:rsidR="621A4B12" w:rsidRPr="0070759D">
        <w:rPr>
          <w:rFonts w:asciiTheme="minorHAnsi" w:eastAsiaTheme="minorEastAsia" w:hAnsiTheme="minorHAnsi" w:cstheme="minorBidi"/>
        </w:rPr>
        <w:t xml:space="preserve">vybrané </w:t>
      </w:r>
      <w:r w:rsidRPr="0070759D">
        <w:rPr>
          <w:rFonts w:asciiTheme="minorHAnsi" w:eastAsiaTheme="minorEastAsia" w:hAnsiTheme="minorHAnsi" w:cstheme="minorBidi"/>
        </w:rPr>
        <w:t xml:space="preserve">neinvestiční </w:t>
      </w:r>
      <w:r w:rsidR="762A1EAF" w:rsidRPr="0070759D">
        <w:rPr>
          <w:rFonts w:asciiTheme="minorHAnsi" w:eastAsiaTheme="minorEastAsia" w:hAnsiTheme="minorHAnsi" w:cstheme="minorBidi"/>
        </w:rPr>
        <w:t>výzvy a délku administrace žádostí.</w:t>
      </w:r>
      <w:r w:rsidRPr="0070759D">
        <w:rPr>
          <w:rFonts w:asciiTheme="minorHAnsi" w:eastAsiaTheme="minorEastAsia" w:hAnsiTheme="minorHAnsi" w:cstheme="minorBidi"/>
        </w:rPr>
        <w:t xml:space="preserve"> </w:t>
      </w:r>
      <w:r w:rsidR="4DB5B851" w:rsidRPr="0070759D">
        <w:rPr>
          <w:rFonts w:asciiTheme="minorHAnsi" w:eastAsiaTheme="minorEastAsia" w:hAnsiTheme="minorHAnsi" w:cstheme="minorBidi"/>
        </w:rPr>
        <w:t>V</w:t>
      </w:r>
      <w:r w:rsidRPr="0070759D">
        <w:rPr>
          <w:rFonts w:asciiTheme="minorHAnsi" w:eastAsiaTheme="minorEastAsia" w:hAnsiTheme="minorHAnsi" w:cstheme="minorBidi"/>
        </w:rPr>
        <w:t xml:space="preserve"> případě </w:t>
      </w:r>
      <w:r w:rsidR="384FF1AA" w:rsidRPr="0070759D">
        <w:rPr>
          <w:rFonts w:asciiTheme="minorHAnsi" w:eastAsiaTheme="minorEastAsia" w:hAnsiTheme="minorHAnsi" w:cstheme="minorBidi"/>
        </w:rPr>
        <w:t xml:space="preserve">tří </w:t>
      </w:r>
      <w:r w:rsidR="68AB1A87" w:rsidRPr="00521EEE">
        <w:rPr>
          <w:rFonts w:asciiTheme="minorHAnsi" w:eastAsiaTheme="minorEastAsia" w:hAnsiTheme="minorHAnsi" w:cstheme="minorBidi"/>
        </w:rPr>
        <w:t xml:space="preserve">neinvestičních </w:t>
      </w:r>
      <w:r w:rsidRPr="00521EEE">
        <w:rPr>
          <w:rFonts w:asciiTheme="minorHAnsi" w:eastAsiaTheme="minorEastAsia" w:hAnsiTheme="minorHAnsi" w:cstheme="minorBidi"/>
        </w:rPr>
        <w:t>výzev</w:t>
      </w:r>
      <w:r w:rsidR="00521EEE" w:rsidRPr="00521EEE">
        <w:rPr>
          <w:rFonts w:asciiTheme="minorHAnsi" w:eastAsiaTheme="minorEastAsia" w:hAnsiTheme="minorHAnsi" w:cstheme="minorBidi"/>
        </w:rPr>
        <w:t xml:space="preserve"> (viz tabulka č. 3)</w:t>
      </w:r>
      <w:r w:rsidR="4D38B68D" w:rsidRPr="00E202DA">
        <w:rPr>
          <w:rFonts w:asciiTheme="minorHAnsi" w:eastAsiaTheme="minorEastAsia" w:hAnsiTheme="minorHAnsi" w:cstheme="minorBidi"/>
          <w:bCs/>
        </w:rPr>
        <w:t xml:space="preserve">, </w:t>
      </w:r>
      <w:r w:rsidR="4D38B68D" w:rsidRPr="00521EEE">
        <w:rPr>
          <w:rFonts w:asciiTheme="minorHAnsi" w:eastAsiaTheme="minorEastAsia" w:hAnsiTheme="minorHAnsi" w:cstheme="minorBidi"/>
          <w:b/>
          <w:bCs/>
        </w:rPr>
        <w:t>kdy byla</w:t>
      </w:r>
      <w:r w:rsidR="4D38B68D" w:rsidRPr="0070759D">
        <w:rPr>
          <w:rFonts w:asciiTheme="minorHAnsi" w:eastAsiaTheme="minorEastAsia" w:hAnsiTheme="minorHAnsi" w:cstheme="minorBidi"/>
          <w:b/>
          <w:bCs/>
        </w:rPr>
        <w:t xml:space="preserve"> prováděna pouze formální kontrola žádostí,</w:t>
      </w:r>
      <w:r w:rsidR="4D38B68D" w:rsidRPr="0070759D">
        <w:rPr>
          <w:rFonts w:asciiTheme="minorHAnsi" w:eastAsiaTheme="minorEastAsia" w:hAnsiTheme="minorHAnsi" w:cstheme="minorBidi"/>
        </w:rPr>
        <w:t xml:space="preserve"> </w:t>
      </w:r>
      <w:r w:rsidRPr="0070759D">
        <w:rPr>
          <w:rFonts w:asciiTheme="minorHAnsi" w:eastAsiaTheme="minorEastAsia" w:hAnsiTheme="minorHAnsi" w:cstheme="minorBidi"/>
        </w:rPr>
        <w:t>byl</w:t>
      </w:r>
      <w:r w:rsidR="0EB7E97C" w:rsidRPr="0070759D">
        <w:rPr>
          <w:rFonts w:asciiTheme="minorHAnsi" w:eastAsiaTheme="minorEastAsia" w:hAnsiTheme="minorHAnsi" w:cstheme="minorBidi"/>
        </w:rPr>
        <w:t xml:space="preserve"> </w:t>
      </w:r>
      <w:r w:rsidR="2C835A5C" w:rsidRPr="0070759D">
        <w:rPr>
          <w:rFonts w:asciiTheme="minorHAnsi" w:eastAsiaTheme="minorEastAsia" w:hAnsiTheme="minorHAnsi" w:cstheme="minorBidi"/>
        </w:rPr>
        <w:t xml:space="preserve">proces administrace </w:t>
      </w:r>
      <w:r w:rsidR="2C835A5C" w:rsidRPr="00142376">
        <w:rPr>
          <w:rFonts w:asciiTheme="minorHAnsi" w:eastAsiaTheme="minorEastAsia" w:hAnsiTheme="minorHAnsi" w:cstheme="minorBidi"/>
        </w:rPr>
        <w:t xml:space="preserve">žádostí </w:t>
      </w:r>
      <w:r w:rsidR="005B5DF6" w:rsidRPr="00142376">
        <w:rPr>
          <w:rFonts w:asciiTheme="minorHAnsi" w:eastAsiaTheme="minorEastAsia" w:hAnsiTheme="minorHAnsi" w:cstheme="minorBidi"/>
        </w:rPr>
        <w:t>v roce 2021 na</w:t>
      </w:r>
      <w:r w:rsidRPr="0070759D">
        <w:rPr>
          <w:rFonts w:asciiTheme="minorHAnsi" w:eastAsiaTheme="minorEastAsia" w:hAnsiTheme="minorHAnsi" w:cstheme="minorBidi"/>
        </w:rPr>
        <w:t xml:space="preserve"> NSA zdlouhavý.</w:t>
      </w:r>
      <w:r w:rsidR="3ABFA1A3" w:rsidRPr="0070759D">
        <w:rPr>
          <w:rFonts w:asciiTheme="minorHAnsi" w:eastAsiaTheme="minorEastAsia" w:hAnsiTheme="minorHAnsi" w:cstheme="minorBidi"/>
        </w:rPr>
        <w:t xml:space="preserve"> </w:t>
      </w:r>
      <w:r w:rsidR="2C8B2926" w:rsidRPr="00DD4CE8">
        <w:rPr>
          <w:rFonts w:asciiTheme="minorHAnsi" w:eastAsiaTheme="minorEastAsia" w:hAnsiTheme="minorHAnsi" w:cstheme="minorBidi"/>
          <w:b/>
        </w:rPr>
        <w:t>D</w:t>
      </w:r>
      <w:r w:rsidR="034F7F48" w:rsidRPr="0070759D">
        <w:rPr>
          <w:rFonts w:asciiTheme="minorHAnsi" w:eastAsiaTheme="minorEastAsia" w:hAnsiTheme="minorHAnsi" w:cstheme="minorBidi"/>
          <w:b/>
          <w:bCs/>
        </w:rPr>
        <w:t xml:space="preserve">ocházelo </w:t>
      </w:r>
      <w:r w:rsidR="6F063B53" w:rsidRPr="0070759D">
        <w:rPr>
          <w:rFonts w:asciiTheme="minorHAnsi" w:eastAsiaTheme="minorEastAsia" w:hAnsiTheme="minorHAnsi" w:cstheme="minorBidi"/>
          <w:b/>
          <w:bCs/>
        </w:rPr>
        <w:t xml:space="preserve">totiž </w:t>
      </w:r>
      <w:r w:rsidR="034F7F48" w:rsidRPr="0070759D">
        <w:rPr>
          <w:rFonts w:asciiTheme="minorHAnsi" w:eastAsiaTheme="minorEastAsia" w:hAnsiTheme="minorHAnsi" w:cstheme="minorBidi"/>
          <w:b/>
          <w:bCs/>
        </w:rPr>
        <w:t xml:space="preserve">k vydávání </w:t>
      </w:r>
      <w:proofErr w:type="spellStart"/>
      <w:r w:rsidR="005C586E">
        <w:rPr>
          <w:rFonts w:asciiTheme="minorHAnsi" w:eastAsiaTheme="minorEastAsia" w:hAnsiTheme="minorHAnsi" w:cstheme="minorBidi"/>
          <w:b/>
          <w:bCs/>
        </w:rPr>
        <w:t>RoPD</w:t>
      </w:r>
      <w:proofErr w:type="spellEnd"/>
      <w:r w:rsidR="034F7F48" w:rsidRPr="0070759D">
        <w:rPr>
          <w:rFonts w:asciiTheme="minorHAnsi" w:eastAsiaTheme="minorEastAsia" w:hAnsiTheme="minorHAnsi" w:cstheme="minorBidi"/>
          <w:b/>
          <w:bCs/>
        </w:rPr>
        <w:t xml:space="preserve"> </w:t>
      </w:r>
      <w:r w:rsidR="00FF29CE">
        <w:rPr>
          <w:rFonts w:asciiTheme="minorHAnsi" w:eastAsiaTheme="minorEastAsia" w:hAnsiTheme="minorHAnsi" w:cstheme="minorBidi"/>
          <w:b/>
          <w:bCs/>
        </w:rPr>
        <w:t>v průměru</w:t>
      </w:r>
      <w:r w:rsidR="034F7F48" w:rsidRPr="0070759D">
        <w:rPr>
          <w:rFonts w:asciiTheme="minorHAnsi" w:eastAsiaTheme="minorEastAsia" w:hAnsiTheme="minorHAnsi" w:cstheme="minorBidi"/>
          <w:b/>
          <w:bCs/>
        </w:rPr>
        <w:t xml:space="preserve"> po 198 a</w:t>
      </w:r>
      <w:r w:rsidR="00FF29CE">
        <w:rPr>
          <w:rFonts w:asciiTheme="minorHAnsi" w:eastAsiaTheme="minorEastAsia" w:hAnsiTheme="minorHAnsi" w:cstheme="minorBidi"/>
          <w:b/>
          <w:bCs/>
        </w:rPr>
        <w:t xml:space="preserve"> až 291 </w:t>
      </w:r>
      <w:r w:rsidR="034F7F48" w:rsidRPr="0070759D">
        <w:rPr>
          <w:rFonts w:asciiTheme="minorHAnsi" w:eastAsiaTheme="minorEastAsia" w:hAnsiTheme="minorHAnsi" w:cstheme="minorBidi"/>
          <w:b/>
          <w:bCs/>
        </w:rPr>
        <w:t>dnech</w:t>
      </w:r>
      <w:r w:rsidR="00FF29CE">
        <w:rPr>
          <w:rFonts w:asciiTheme="minorHAnsi" w:eastAsiaTheme="minorEastAsia" w:hAnsiTheme="minorHAnsi" w:cstheme="minorBidi"/>
          <w:b/>
          <w:bCs/>
        </w:rPr>
        <w:t xml:space="preserve"> (viz. tabulka č. 3)</w:t>
      </w:r>
      <w:r w:rsidR="034F7F48" w:rsidRPr="0070759D">
        <w:rPr>
          <w:rFonts w:asciiTheme="minorHAnsi" w:eastAsiaTheme="minorEastAsia" w:hAnsiTheme="minorHAnsi" w:cstheme="minorBidi"/>
          <w:b/>
          <w:bCs/>
        </w:rPr>
        <w:t>.</w:t>
      </w:r>
    </w:p>
    <w:p w14:paraId="6595F764" w14:textId="70294703" w:rsidR="00DD4CE8" w:rsidRPr="002B1527" w:rsidRDefault="00DD4CE8" w:rsidP="00E435EE">
      <w:pPr>
        <w:spacing w:before="120" w:after="40"/>
        <w:rPr>
          <w:rFonts w:asciiTheme="minorHAnsi" w:eastAsiaTheme="minorEastAsia" w:hAnsiTheme="minorHAnsi" w:cstheme="minorBidi"/>
          <w:b/>
        </w:rPr>
      </w:pPr>
      <w:r w:rsidRPr="002B1527">
        <w:rPr>
          <w:rFonts w:asciiTheme="minorHAnsi" w:eastAsiaTheme="minorEastAsia" w:hAnsiTheme="minorHAnsi" w:cstheme="minorBidi"/>
          <w:b/>
        </w:rPr>
        <w:t xml:space="preserve">Tabulka č. </w:t>
      </w:r>
      <w:r w:rsidR="002B1527" w:rsidRPr="002B1527">
        <w:rPr>
          <w:rFonts w:asciiTheme="minorHAnsi" w:eastAsiaTheme="minorEastAsia" w:hAnsiTheme="minorHAnsi" w:cstheme="minorBidi"/>
          <w:b/>
        </w:rPr>
        <w:t>3</w:t>
      </w:r>
      <w:r w:rsidR="00706135">
        <w:rPr>
          <w:rFonts w:asciiTheme="minorHAnsi" w:eastAsiaTheme="minorEastAsia" w:hAnsiTheme="minorHAnsi" w:cstheme="minorBidi"/>
          <w:b/>
        </w:rPr>
        <w:t>:</w:t>
      </w:r>
      <w:r w:rsidR="006C7D0C" w:rsidRPr="002B1527">
        <w:rPr>
          <w:rFonts w:asciiTheme="minorHAnsi" w:eastAsiaTheme="minorEastAsia" w:hAnsiTheme="minorHAnsi" w:cstheme="minorBidi"/>
          <w:b/>
        </w:rPr>
        <w:t xml:space="preserve"> Průměrná délka dotačního řízení na NSA v letech 2021–2022 (ve dnech)</w:t>
      </w:r>
    </w:p>
    <w:tbl>
      <w:tblPr>
        <w:tblStyle w:val="Mkatabulky"/>
        <w:tblW w:w="4913" w:type="pct"/>
        <w:jc w:val="center"/>
        <w:tblLook w:val="04A0" w:firstRow="1" w:lastRow="0" w:firstColumn="1" w:lastColumn="0" w:noHBand="0" w:noVBand="1"/>
      </w:tblPr>
      <w:tblGrid>
        <w:gridCol w:w="5919"/>
        <w:gridCol w:w="1559"/>
        <w:gridCol w:w="44"/>
        <w:gridCol w:w="1604"/>
      </w:tblGrid>
      <w:tr w:rsidR="00D8103F" w14:paraId="2C3985E7" w14:textId="77777777" w:rsidTr="00E435EE">
        <w:trPr>
          <w:trHeight w:val="113"/>
          <w:jc w:val="center"/>
        </w:trPr>
        <w:tc>
          <w:tcPr>
            <w:tcW w:w="3243" w:type="pct"/>
            <w:shd w:val="clear" w:color="auto" w:fill="E5F1FF"/>
          </w:tcPr>
          <w:p w14:paraId="4540B356" w14:textId="77777777" w:rsidR="00D8103F" w:rsidRPr="0030174A" w:rsidRDefault="00D8103F" w:rsidP="00960650">
            <w:pPr>
              <w:spacing w:befor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0174A">
              <w:rPr>
                <w:b/>
                <w:bCs/>
                <w:iCs/>
                <w:sz w:val="20"/>
                <w:szCs w:val="20"/>
              </w:rPr>
              <w:t>Výzva</w:t>
            </w:r>
          </w:p>
        </w:tc>
        <w:tc>
          <w:tcPr>
            <w:tcW w:w="854" w:type="pct"/>
            <w:shd w:val="clear" w:color="auto" w:fill="E5F1FF"/>
          </w:tcPr>
          <w:p w14:paraId="5E2CB552" w14:textId="77777777" w:rsidR="00D8103F" w:rsidRPr="0030174A" w:rsidRDefault="00D8103F" w:rsidP="00960650">
            <w:pPr>
              <w:spacing w:before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903" w:type="pct"/>
            <w:gridSpan w:val="2"/>
            <w:shd w:val="clear" w:color="auto" w:fill="E5F1FF"/>
          </w:tcPr>
          <w:p w14:paraId="7434E4C6" w14:textId="77777777" w:rsidR="00D8103F" w:rsidRPr="0030174A" w:rsidRDefault="00D8103F" w:rsidP="00960650">
            <w:pPr>
              <w:spacing w:before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2022</w:t>
            </w:r>
          </w:p>
        </w:tc>
      </w:tr>
      <w:tr w:rsidR="00D8103F" w14:paraId="711F1B26" w14:textId="77777777" w:rsidTr="00E435EE">
        <w:trPr>
          <w:trHeight w:val="113"/>
          <w:jc w:val="center"/>
        </w:trPr>
        <w:tc>
          <w:tcPr>
            <w:tcW w:w="5000" w:type="pct"/>
            <w:gridSpan w:val="4"/>
            <w:shd w:val="clear" w:color="auto" w:fill="F2C6C9"/>
          </w:tcPr>
          <w:p w14:paraId="35D2C011" w14:textId="77777777" w:rsidR="00D8103F" w:rsidRPr="0030174A" w:rsidRDefault="00D8103F" w:rsidP="00960650">
            <w:pPr>
              <w:spacing w:before="0"/>
              <w:rPr>
                <w:b/>
                <w:bCs/>
                <w:iCs/>
                <w:sz w:val="20"/>
                <w:szCs w:val="20"/>
              </w:rPr>
            </w:pPr>
            <w:r w:rsidRPr="0030174A">
              <w:rPr>
                <w:b/>
                <w:bCs/>
                <w:iCs/>
                <w:sz w:val="20"/>
                <w:szCs w:val="20"/>
              </w:rPr>
              <w:t xml:space="preserve">Neinvestiční </w:t>
            </w:r>
            <w:r>
              <w:rPr>
                <w:b/>
                <w:bCs/>
                <w:iCs/>
                <w:sz w:val="20"/>
                <w:szCs w:val="20"/>
              </w:rPr>
              <w:t>dotace</w:t>
            </w:r>
          </w:p>
        </w:tc>
      </w:tr>
      <w:tr w:rsidR="00D8103F" w14:paraId="52BA6159" w14:textId="77777777" w:rsidTr="00E435EE">
        <w:trPr>
          <w:trHeight w:val="113"/>
          <w:jc w:val="center"/>
        </w:trPr>
        <w:tc>
          <w:tcPr>
            <w:tcW w:w="3243" w:type="pct"/>
            <w:vAlign w:val="center"/>
          </w:tcPr>
          <w:p w14:paraId="51616BE0" w14:textId="77777777" w:rsidR="00D8103F" w:rsidRPr="0030174A" w:rsidRDefault="00D8103F" w:rsidP="00960650">
            <w:pPr>
              <w:spacing w:before="0"/>
              <w:rPr>
                <w:bCs/>
                <w:color w:val="000000"/>
                <w:sz w:val="20"/>
                <w:szCs w:val="20"/>
                <w:lang w:eastAsia="cs-CZ"/>
              </w:rPr>
            </w:pPr>
            <w:r w:rsidRPr="0030174A">
              <w:rPr>
                <w:bCs/>
                <w:color w:val="000000"/>
                <w:sz w:val="20"/>
                <w:szCs w:val="20"/>
                <w:lang w:eastAsia="cs-CZ"/>
              </w:rPr>
              <w:t xml:space="preserve">MŮJ KLUB </w:t>
            </w:r>
          </w:p>
        </w:tc>
        <w:tc>
          <w:tcPr>
            <w:tcW w:w="878" w:type="pct"/>
            <w:gridSpan w:val="2"/>
            <w:vAlign w:val="center"/>
          </w:tcPr>
          <w:p w14:paraId="21745FF2" w14:textId="77777777" w:rsidR="00D8103F" w:rsidRPr="0030174A" w:rsidRDefault="00D8103F" w:rsidP="00E435EE">
            <w:pPr>
              <w:spacing w:before="0"/>
              <w:ind w:right="441"/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172</w:t>
            </w:r>
          </w:p>
        </w:tc>
        <w:tc>
          <w:tcPr>
            <w:tcW w:w="879" w:type="pct"/>
            <w:vAlign w:val="center"/>
          </w:tcPr>
          <w:p w14:paraId="08918C27" w14:textId="77777777" w:rsidR="00D8103F" w:rsidRPr="0030174A" w:rsidRDefault="00D8103F" w:rsidP="00E435EE">
            <w:pPr>
              <w:spacing w:before="0"/>
              <w:ind w:right="441"/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223</w:t>
            </w:r>
          </w:p>
        </w:tc>
      </w:tr>
      <w:tr w:rsidR="00D8103F" w14:paraId="3C8FA469" w14:textId="77777777" w:rsidTr="00E435EE">
        <w:trPr>
          <w:trHeight w:val="113"/>
          <w:jc w:val="center"/>
        </w:trPr>
        <w:tc>
          <w:tcPr>
            <w:tcW w:w="3243" w:type="pct"/>
            <w:vAlign w:val="center"/>
          </w:tcPr>
          <w:p w14:paraId="5335817A" w14:textId="77777777" w:rsidR="00D8103F" w:rsidRPr="0030174A" w:rsidRDefault="00D8103F" w:rsidP="00960650">
            <w:pPr>
              <w:spacing w:before="0"/>
              <w:rPr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Cs/>
                <w:color w:val="000000"/>
                <w:sz w:val="20"/>
                <w:szCs w:val="20"/>
                <w:lang w:eastAsia="cs-CZ"/>
              </w:rPr>
              <w:t>Pohyb a zdraví 2021</w:t>
            </w:r>
          </w:p>
        </w:tc>
        <w:tc>
          <w:tcPr>
            <w:tcW w:w="878" w:type="pct"/>
            <w:gridSpan w:val="2"/>
            <w:vAlign w:val="center"/>
          </w:tcPr>
          <w:p w14:paraId="46B4FF9C" w14:textId="77777777" w:rsidR="00D8103F" w:rsidRPr="0030174A" w:rsidRDefault="00D8103F" w:rsidP="00E435EE">
            <w:pPr>
              <w:spacing w:before="0"/>
              <w:ind w:right="441"/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879" w:type="pct"/>
            <w:vAlign w:val="center"/>
          </w:tcPr>
          <w:p w14:paraId="28BED8CB" w14:textId="77777777" w:rsidR="00D8103F" w:rsidRPr="0030174A" w:rsidRDefault="00D8103F" w:rsidP="00E435EE">
            <w:pPr>
              <w:spacing w:before="0"/>
              <w:ind w:right="441"/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D8103F" w14:paraId="419DA40C" w14:textId="77777777" w:rsidTr="00E435EE">
        <w:trPr>
          <w:trHeight w:val="113"/>
          <w:jc w:val="center"/>
        </w:trPr>
        <w:tc>
          <w:tcPr>
            <w:tcW w:w="3243" w:type="pct"/>
            <w:vAlign w:val="center"/>
          </w:tcPr>
          <w:p w14:paraId="6DA3209D" w14:textId="77777777" w:rsidR="00D8103F" w:rsidRPr="0030174A" w:rsidRDefault="00D8103F" w:rsidP="00960650">
            <w:pPr>
              <w:spacing w:before="0"/>
              <w:rPr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Cs/>
                <w:color w:val="000000"/>
                <w:sz w:val="20"/>
                <w:szCs w:val="20"/>
                <w:lang w:eastAsia="cs-CZ"/>
              </w:rPr>
              <w:t xml:space="preserve">Provoz a údržba </w:t>
            </w:r>
          </w:p>
        </w:tc>
        <w:tc>
          <w:tcPr>
            <w:tcW w:w="878" w:type="pct"/>
            <w:gridSpan w:val="2"/>
            <w:vAlign w:val="center"/>
          </w:tcPr>
          <w:p w14:paraId="26272A63" w14:textId="77777777" w:rsidR="00D8103F" w:rsidRPr="0030174A" w:rsidRDefault="00D8103F" w:rsidP="00E435EE">
            <w:pPr>
              <w:spacing w:before="0"/>
              <w:ind w:right="441"/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291</w:t>
            </w:r>
          </w:p>
        </w:tc>
        <w:tc>
          <w:tcPr>
            <w:tcW w:w="879" w:type="pct"/>
            <w:vAlign w:val="center"/>
          </w:tcPr>
          <w:p w14:paraId="4791DB7A" w14:textId="77777777" w:rsidR="00D8103F" w:rsidRPr="0030174A" w:rsidRDefault="00D8103F" w:rsidP="00E435EE">
            <w:pPr>
              <w:spacing w:before="0"/>
              <w:ind w:right="441"/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D8103F" w14:paraId="2E063699" w14:textId="77777777" w:rsidTr="00E435EE">
        <w:trPr>
          <w:trHeight w:val="113"/>
          <w:jc w:val="center"/>
        </w:trPr>
        <w:tc>
          <w:tcPr>
            <w:tcW w:w="3243" w:type="pct"/>
            <w:vAlign w:val="center"/>
          </w:tcPr>
          <w:p w14:paraId="57AB3A33" w14:textId="77777777" w:rsidR="00D8103F" w:rsidRPr="0030174A" w:rsidRDefault="00D8103F" w:rsidP="00960650">
            <w:pPr>
              <w:spacing w:before="0"/>
              <w:rPr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Cs/>
                <w:color w:val="000000"/>
                <w:sz w:val="20"/>
                <w:szCs w:val="20"/>
                <w:lang w:eastAsia="cs-CZ"/>
              </w:rPr>
              <w:t>Podpora SK/TJ ZPS 2021</w:t>
            </w:r>
          </w:p>
        </w:tc>
        <w:tc>
          <w:tcPr>
            <w:tcW w:w="878" w:type="pct"/>
            <w:gridSpan w:val="2"/>
            <w:vAlign w:val="center"/>
          </w:tcPr>
          <w:p w14:paraId="5EE48833" w14:textId="77777777" w:rsidR="00D8103F" w:rsidRPr="0030174A" w:rsidRDefault="00D8103F" w:rsidP="00E435EE">
            <w:pPr>
              <w:spacing w:before="0"/>
              <w:ind w:right="441"/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198</w:t>
            </w:r>
          </w:p>
        </w:tc>
        <w:tc>
          <w:tcPr>
            <w:tcW w:w="879" w:type="pct"/>
            <w:vAlign w:val="center"/>
          </w:tcPr>
          <w:p w14:paraId="0049E5EC" w14:textId="77777777" w:rsidR="00D8103F" w:rsidRPr="0030174A" w:rsidRDefault="00D8103F" w:rsidP="00E435EE">
            <w:pPr>
              <w:spacing w:before="0"/>
              <w:ind w:right="441"/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</w:tbl>
    <w:p w14:paraId="3F695756" w14:textId="77777777" w:rsidR="005B5DF6" w:rsidRDefault="006C7D0C" w:rsidP="00E435EE">
      <w:pPr>
        <w:spacing w:before="40"/>
        <w:rPr>
          <w:bCs/>
          <w:iCs/>
          <w:sz w:val="20"/>
          <w:szCs w:val="20"/>
        </w:rPr>
      </w:pPr>
      <w:r w:rsidRPr="002B1527">
        <w:rPr>
          <w:b/>
          <w:bCs/>
          <w:iCs/>
          <w:sz w:val="20"/>
          <w:szCs w:val="20"/>
        </w:rPr>
        <w:t>Zdroj</w:t>
      </w:r>
      <w:r>
        <w:rPr>
          <w:bCs/>
          <w:iCs/>
          <w:sz w:val="20"/>
          <w:szCs w:val="20"/>
        </w:rPr>
        <w:t xml:space="preserve">: </w:t>
      </w:r>
      <w:r w:rsidRPr="75EB0935">
        <w:rPr>
          <w:rFonts w:eastAsia="Calibri"/>
          <w:sz w:val="20"/>
          <w:szCs w:val="20"/>
        </w:rPr>
        <w:t>vypracoval NKÚ na základě dat</w:t>
      </w:r>
      <w:r>
        <w:rPr>
          <w:bCs/>
          <w:iCs/>
          <w:sz w:val="20"/>
          <w:szCs w:val="20"/>
        </w:rPr>
        <w:t xml:space="preserve"> </w:t>
      </w:r>
      <w:r w:rsidR="00BE7D3B">
        <w:rPr>
          <w:bCs/>
          <w:iCs/>
          <w:sz w:val="20"/>
          <w:szCs w:val="20"/>
        </w:rPr>
        <w:t>poskytnutých</w:t>
      </w:r>
      <w:r>
        <w:rPr>
          <w:bCs/>
          <w:iCs/>
          <w:sz w:val="20"/>
          <w:szCs w:val="20"/>
        </w:rPr>
        <w:t xml:space="preserve"> NSA.</w:t>
      </w:r>
    </w:p>
    <w:p w14:paraId="4748589B" w14:textId="77777777" w:rsidR="0082090C" w:rsidRDefault="0082090C" w:rsidP="009B081D">
      <w:pPr>
        <w:spacing w:after="120"/>
        <w:rPr>
          <w:rFonts w:asciiTheme="minorHAnsi" w:eastAsiaTheme="minorEastAsia" w:hAnsiTheme="minorHAnsi" w:cstheme="minorBidi"/>
        </w:rPr>
      </w:pPr>
      <w:r w:rsidRPr="527EA771">
        <w:rPr>
          <w:rFonts w:asciiTheme="minorHAnsi" w:eastAsiaTheme="minorEastAsia" w:hAnsiTheme="minorHAnsi" w:cstheme="minorBidi"/>
        </w:rPr>
        <w:t>U investičních akcí NKÚ navíc prověřoval také počátek procesu formálního</w:t>
      </w:r>
      <w:r>
        <w:rPr>
          <w:rStyle w:val="Znakapoznpodarou"/>
          <w:rFonts w:asciiTheme="minorHAnsi" w:eastAsiaTheme="minorEastAsia" w:hAnsiTheme="minorHAnsi" w:cstheme="minorBidi"/>
        </w:rPr>
        <w:footnoteReference w:id="47"/>
      </w:r>
      <w:r w:rsidRPr="527EA771">
        <w:rPr>
          <w:rFonts w:asciiTheme="minorHAnsi" w:eastAsiaTheme="minorEastAsia" w:hAnsiTheme="minorHAnsi" w:cstheme="minorBidi"/>
        </w:rPr>
        <w:t xml:space="preserve"> a věcného hodnocení žádostí ze strany NSA. Proces administrace těchto žádostí byl </w:t>
      </w:r>
      <w:r>
        <w:rPr>
          <w:rFonts w:asciiTheme="minorHAnsi" w:eastAsiaTheme="minorEastAsia" w:hAnsiTheme="minorHAnsi" w:cstheme="minorBidi"/>
        </w:rPr>
        <w:t>u</w:t>
      </w:r>
      <w:r w:rsidRPr="527EA771">
        <w:rPr>
          <w:rFonts w:asciiTheme="minorHAnsi" w:eastAsiaTheme="minorEastAsia" w:hAnsiTheme="minorHAnsi" w:cstheme="minorBidi"/>
        </w:rPr>
        <w:t xml:space="preserve"> NSA u tří výze</w:t>
      </w:r>
      <w:r>
        <w:rPr>
          <w:rFonts w:asciiTheme="minorHAnsi" w:eastAsiaTheme="minorEastAsia" w:hAnsiTheme="minorHAnsi" w:cstheme="minorBidi"/>
        </w:rPr>
        <w:t xml:space="preserve">v </w:t>
      </w:r>
      <w:r w:rsidRPr="002B1527">
        <w:rPr>
          <w:rFonts w:asciiTheme="minorHAnsi" w:eastAsiaTheme="minorEastAsia" w:hAnsiTheme="minorHAnsi" w:cstheme="minorBidi"/>
        </w:rPr>
        <w:t xml:space="preserve">(viz tabulka č. </w:t>
      </w:r>
      <w:r>
        <w:rPr>
          <w:rFonts w:asciiTheme="minorHAnsi" w:eastAsiaTheme="minorEastAsia" w:hAnsiTheme="minorHAnsi" w:cstheme="minorBidi"/>
        </w:rPr>
        <w:t>4</w:t>
      </w:r>
      <w:r w:rsidRPr="002B1527">
        <w:rPr>
          <w:rFonts w:asciiTheme="minorHAnsi" w:eastAsiaTheme="minorEastAsia" w:hAnsiTheme="minorHAnsi" w:cstheme="minorBidi"/>
        </w:rPr>
        <w:t>) rovněž zdlouhavý. Období od podání žádosti do zahájení formálního hodnocení přesahovalo</w:t>
      </w:r>
      <w:r w:rsidRPr="527EA771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>u</w:t>
      </w:r>
      <w:r w:rsidRPr="527EA771">
        <w:rPr>
          <w:rFonts w:asciiTheme="minorHAnsi" w:eastAsiaTheme="minorEastAsia" w:hAnsiTheme="minorHAnsi" w:cstheme="minorBidi"/>
        </w:rPr>
        <w:t xml:space="preserve"> NSA více než 17</w:t>
      </w:r>
      <w:r>
        <w:rPr>
          <w:rFonts w:asciiTheme="minorHAnsi" w:eastAsiaTheme="minorEastAsia" w:hAnsiTheme="minorHAnsi" w:cstheme="minorBidi"/>
        </w:rPr>
        <w:t>2</w:t>
      </w:r>
      <w:r w:rsidRPr="527EA771">
        <w:rPr>
          <w:rFonts w:asciiTheme="minorHAnsi" w:eastAsiaTheme="minorEastAsia" w:hAnsiTheme="minorHAnsi" w:cstheme="minorBidi"/>
        </w:rPr>
        <w:t xml:space="preserve"> dn</w:t>
      </w:r>
      <w:r>
        <w:rPr>
          <w:rFonts w:asciiTheme="minorHAnsi" w:eastAsiaTheme="minorEastAsia" w:hAnsiTheme="minorHAnsi" w:cstheme="minorBidi"/>
        </w:rPr>
        <w:t>í</w:t>
      </w:r>
      <w:r w:rsidRPr="527EA771">
        <w:rPr>
          <w:rFonts w:asciiTheme="minorHAnsi" w:eastAsiaTheme="minorEastAsia" w:hAnsiTheme="minorHAnsi" w:cstheme="minorBidi"/>
        </w:rPr>
        <w:t xml:space="preserve">. NSA tedy v tomto období šesti měsíců nezahájila jediný úkon procesu administrace žádosti. </w:t>
      </w:r>
    </w:p>
    <w:p w14:paraId="3D7C0E65" w14:textId="7A963440" w:rsidR="0082090C" w:rsidRPr="0082090C" w:rsidRDefault="0082090C" w:rsidP="009B081D">
      <w:pPr>
        <w:spacing w:before="120" w:after="40"/>
        <w:rPr>
          <w:rFonts w:asciiTheme="minorHAnsi" w:eastAsiaTheme="minorEastAsia" w:hAnsiTheme="minorHAnsi" w:cstheme="minorBidi"/>
          <w:b/>
        </w:rPr>
      </w:pPr>
      <w:r w:rsidRPr="002B1527">
        <w:rPr>
          <w:rFonts w:asciiTheme="minorHAnsi" w:eastAsiaTheme="minorEastAsia" w:hAnsiTheme="minorHAnsi" w:cstheme="minorBidi"/>
          <w:b/>
        </w:rPr>
        <w:t xml:space="preserve">Tabulka č. </w:t>
      </w:r>
      <w:r>
        <w:rPr>
          <w:rFonts w:asciiTheme="minorHAnsi" w:eastAsiaTheme="minorEastAsia" w:hAnsiTheme="minorHAnsi" w:cstheme="minorBidi"/>
          <w:b/>
        </w:rPr>
        <w:t>4</w:t>
      </w:r>
      <w:r w:rsidR="005A474C">
        <w:rPr>
          <w:rFonts w:asciiTheme="minorHAnsi" w:eastAsiaTheme="minorEastAsia" w:hAnsiTheme="minorHAnsi" w:cstheme="minorBidi"/>
          <w:b/>
        </w:rPr>
        <w:t>:</w:t>
      </w:r>
      <w:r w:rsidRPr="002B1527">
        <w:rPr>
          <w:rFonts w:asciiTheme="minorHAnsi" w:eastAsiaTheme="minorEastAsia" w:hAnsiTheme="minorHAnsi" w:cstheme="minorBidi"/>
          <w:b/>
        </w:rPr>
        <w:t xml:space="preserve"> Průměrná délka </w:t>
      </w:r>
      <w:r>
        <w:rPr>
          <w:rFonts w:asciiTheme="minorHAnsi" w:eastAsiaTheme="minorEastAsia" w:hAnsiTheme="minorHAnsi" w:cstheme="minorBidi"/>
          <w:b/>
        </w:rPr>
        <w:t>do zahájení formálního hodnocení</w:t>
      </w:r>
      <w:r w:rsidRPr="002B1527">
        <w:rPr>
          <w:rFonts w:asciiTheme="minorHAnsi" w:eastAsiaTheme="minorEastAsia" w:hAnsiTheme="minorHAnsi" w:cstheme="minorBidi"/>
          <w:b/>
        </w:rPr>
        <w:t xml:space="preserve"> </w:t>
      </w:r>
      <w:r>
        <w:rPr>
          <w:rFonts w:asciiTheme="minorHAnsi" w:eastAsiaTheme="minorEastAsia" w:hAnsiTheme="minorHAnsi" w:cstheme="minorBidi"/>
          <w:b/>
        </w:rPr>
        <w:t xml:space="preserve">v roce </w:t>
      </w:r>
      <w:r w:rsidRPr="002B1527">
        <w:rPr>
          <w:rFonts w:asciiTheme="minorHAnsi" w:eastAsiaTheme="minorEastAsia" w:hAnsiTheme="minorHAnsi" w:cstheme="minorBidi"/>
          <w:b/>
        </w:rPr>
        <w:t>2022 (ve dnech)</w:t>
      </w: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409"/>
      </w:tblGrid>
      <w:tr w:rsidR="0082090C" w:rsidRPr="0082090C" w14:paraId="215A8E6D" w14:textId="77777777" w:rsidTr="007300BC">
        <w:trPr>
          <w:trHeight w:val="255"/>
        </w:trPr>
        <w:tc>
          <w:tcPr>
            <w:tcW w:w="6663" w:type="dxa"/>
            <w:shd w:val="clear" w:color="000000" w:fill="E5F1FF"/>
            <w:vAlign w:val="center"/>
            <w:hideMark/>
          </w:tcPr>
          <w:p w14:paraId="5B411B98" w14:textId="77777777" w:rsidR="0082090C" w:rsidRPr="0082090C" w:rsidRDefault="0082090C" w:rsidP="009B081D">
            <w:pPr>
              <w:suppressAutoHyphens w:val="0"/>
              <w:spacing w:before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2090C">
              <w:rPr>
                <w:b/>
                <w:bCs/>
                <w:iCs/>
                <w:color w:val="000000"/>
                <w:sz w:val="20"/>
                <w:szCs w:val="20"/>
                <w:lang w:eastAsia="cs-CZ"/>
              </w:rPr>
              <w:t>Výzva</w:t>
            </w:r>
          </w:p>
        </w:tc>
        <w:tc>
          <w:tcPr>
            <w:tcW w:w="2409" w:type="dxa"/>
            <w:shd w:val="clear" w:color="000000" w:fill="E5F1FF"/>
            <w:vAlign w:val="center"/>
            <w:hideMark/>
          </w:tcPr>
          <w:p w14:paraId="6BCC8D6D" w14:textId="77777777" w:rsidR="0082090C" w:rsidRPr="0082090C" w:rsidRDefault="0082090C" w:rsidP="009B081D">
            <w:pPr>
              <w:suppressAutoHyphens w:val="0"/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2090C">
              <w:rPr>
                <w:b/>
                <w:bCs/>
                <w:iCs/>
                <w:color w:val="000000"/>
                <w:sz w:val="20"/>
                <w:szCs w:val="20"/>
                <w:lang w:eastAsia="cs-CZ"/>
              </w:rPr>
              <w:t>2022</w:t>
            </w:r>
          </w:p>
        </w:tc>
      </w:tr>
      <w:tr w:rsidR="0082090C" w:rsidRPr="0082090C" w14:paraId="45F4B31E" w14:textId="77777777" w:rsidTr="007300BC">
        <w:trPr>
          <w:trHeight w:val="255"/>
        </w:trPr>
        <w:tc>
          <w:tcPr>
            <w:tcW w:w="9072" w:type="dxa"/>
            <w:gridSpan w:val="2"/>
            <w:shd w:val="clear" w:color="000000" w:fill="F2C6C9"/>
            <w:vAlign w:val="center"/>
            <w:hideMark/>
          </w:tcPr>
          <w:p w14:paraId="2A16C0F1" w14:textId="77777777" w:rsidR="0082090C" w:rsidRPr="0082090C" w:rsidRDefault="0082090C" w:rsidP="009B081D">
            <w:pPr>
              <w:suppressAutoHyphens w:val="0"/>
              <w:spacing w:before="0"/>
              <w:jc w:val="left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2090C">
              <w:rPr>
                <w:b/>
                <w:bCs/>
                <w:iCs/>
                <w:color w:val="000000"/>
                <w:sz w:val="20"/>
                <w:szCs w:val="20"/>
                <w:lang w:eastAsia="cs-CZ"/>
              </w:rPr>
              <w:t xml:space="preserve">Investiční dotace </w:t>
            </w:r>
          </w:p>
        </w:tc>
      </w:tr>
      <w:tr w:rsidR="0082090C" w:rsidRPr="0082090C" w14:paraId="7EA914FE" w14:textId="77777777" w:rsidTr="00017F21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14:paraId="5788705F" w14:textId="6F5F6652" w:rsidR="0082090C" w:rsidRPr="0082090C" w:rsidRDefault="0082090C" w:rsidP="009B081D">
            <w:pPr>
              <w:suppressAutoHyphens w:val="0"/>
              <w:spacing w:before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82090C">
              <w:rPr>
                <w:bCs/>
                <w:iCs/>
                <w:color w:val="000000"/>
                <w:sz w:val="20"/>
                <w:szCs w:val="20"/>
                <w:lang w:eastAsia="cs-CZ"/>
              </w:rPr>
              <w:t xml:space="preserve">Sportovní infrastruktura – </w:t>
            </w:r>
            <w:r w:rsidR="005A474C">
              <w:rPr>
                <w:bCs/>
                <w:iCs/>
                <w:color w:val="000000"/>
                <w:sz w:val="20"/>
                <w:szCs w:val="20"/>
                <w:lang w:eastAsia="cs-CZ"/>
              </w:rPr>
              <w:t>i</w:t>
            </w:r>
            <w:r w:rsidRPr="0082090C">
              <w:rPr>
                <w:bCs/>
                <w:iCs/>
                <w:color w:val="000000"/>
                <w:sz w:val="20"/>
                <w:szCs w:val="20"/>
                <w:lang w:eastAsia="cs-CZ"/>
              </w:rPr>
              <w:t>nvestice do 10 mil. Kč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284BCAA0" w14:textId="77777777" w:rsidR="0082090C" w:rsidRPr="0082090C" w:rsidRDefault="0082090C" w:rsidP="00017F21">
            <w:pPr>
              <w:suppressAutoHyphens w:val="0"/>
              <w:spacing w:before="0"/>
              <w:ind w:right="918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82090C">
              <w:rPr>
                <w:bCs/>
                <w:iCs/>
                <w:color w:val="000000"/>
                <w:sz w:val="20"/>
                <w:szCs w:val="20"/>
                <w:lang w:eastAsia="cs-CZ"/>
              </w:rPr>
              <w:t>218</w:t>
            </w:r>
          </w:p>
        </w:tc>
      </w:tr>
      <w:tr w:rsidR="0082090C" w:rsidRPr="0082090C" w14:paraId="651527F2" w14:textId="77777777" w:rsidTr="00017F21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14:paraId="37974F4E" w14:textId="77777777" w:rsidR="0082090C" w:rsidRPr="0082090C" w:rsidRDefault="0082090C" w:rsidP="009B081D">
            <w:pPr>
              <w:suppressAutoHyphens w:val="0"/>
              <w:spacing w:before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82090C">
              <w:rPr>
                <w:bCs/>
                <w:iCs/>
                <w:color w:val="000000"/>
                <w:sz w:val="20"/>
                <w:szCs w:val="20"/>
                <w:lang w:eastAsia="cs-CZ"/>
              </w:rPr>
              <w:t>Kabina 2021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42CA4711" w14:textId="77777777" w:rsidR="0082090C" w:rsidRPr="0082090C" w:rsidRDefault="0082090C" w:rsidP="00017F21">
            <w:pPr>
              <w:suppressAutoHyphens w:val="0"/>
              <w:spacing w:before="0"/>
              <w:ind w:right="918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82090C">
              <w:rPr>
                <w:bCs/>
                <w:iCs/>
                <w:color w:val="000000"/>
                <w:sz w:val="20"/>
                <w:szCs w:val="20"/>
                <w:lang w:eastAsia="cs-CZ"/>
              </w:rPr>
              <w:t>335</w:t>
            </w:r>
          </w:p>
        </w:tc>
      </w:tr>
      <w:tr w:rsidR="0082090C" w:rsidRPr="0082090C" w14:paraId="651C6824" w14:textId="77777777" w:rsidTr="00017F21">
        <w:trPr>
          <w:trHeight w:val="255"/>
        </w:trPr>
        <w:tc>
          <w:tcPr>
            <w:tcW w:w="6663" w:type="dxa"/>
            <w:shd w:val="clear" w:color="auto" w:fill="auto"/>
            <w:vAlign w:val="center"/>
            <w:hideMark/>
          </w:tcPr>
          <w:p w14:paraId="77AA67C5" w14:textId="77777777" w:rsidR="0082090C" w:rsidRPr="0082090C" w:rsidRDefault="0082090C" w:rsidP="009B081D">
            <w:pPr>
              <w:suppressAutoHyphens w:val="0"/>
              <w:spacing w:before="0"/>
              <w:jc w:val="left"/>
              <w:rPr>
                <w:color w:val="000000"/>
                <w:sz w:val="20"/>
                <w:szCs w:val="20"/>
                <w:lang w:eastAsia="cs-CZ"/>
              </w:rPr>
            </w:pPr>
            <w:r w:rsidRPr="0082090C">
              <w:rPr>
                <w:bCs/>
                <w:iCs/>
                <w:color w:val="000000"/>
                <w:sz w:val="20"/>
                <w:szCs w:val="20"/>
                <w:lang w:eastAsia="cs-CZ"/>
              </w:rPr>
              <w:t>Regiony 2021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5F5BF03E" w14:textId="77777777" w:rsidR="0082090C" w:rsidRPr="0082090C" w:rsidRDefault="0082090C" w:rsidP="00017F21">
            <w:pPr>
              <w:suppressAutoHyphens w:val="0"/>
              <w:spacing w:before="0"/>
              <w:ind w:right="918"/>
              <w:jc w:val="right"/>
              <w:rPr>
                <w:color w:val="000000"/>
                <w:sz w:val="20"/>
                <w:szCs w:val="20"/>
                <w:lang w:eastAsia="cs-CZ"/>
              </w:rPr>
            </w:pPr>
            <w:r w:rsidRPr="0082090C">
              <w:rPr>
                <w:bCs/>
                <w:iCs/>
                <w:color w:val="000000"/>
                <w:sz w:val="20"/>
                <w:szCs w:val="20"/>
                <w:lang w:eastAsia="cs-CZ"/>
              </w:rPr>
              <w:t>172</w:t>
            </w:r>
          </w:p>
        </w:tc>
      </w:tr>
    </w:tbl>
    <w:p w14:paraId="0DD42351" w14:textId="77777777" w:rsidR="0082090C" w:rsidRPr="0082090C" w:rsidRDefault="0082090C" w:rsidP="009B081D">
      <w:pPr>
        <w:spacing w:before="40" w:after="120"/>
        <w:rPr>
          <w:bCs/>
          <w:iCs/>
          <w:sz w:val="20"/>
          <w:szCs w:val="20"/>
        </w:rPr>
      </w:pPr>
      <w:r w:rsidRPr="002B1527">
        <w:rPr>
          <w:b/>
          <w:bCs/>
          <w:iCs/>
          <w:sz w:val="20"/>
          <w:szCs w:val="20"/>
        </w:rPr>
        <w:t>Zdroj</w:t>
      </w:r>
      <w:r>
        <w:rPr>
          <w:bCs/>
          <w:iCs/>
          <w:sz w:val="20"/>
          <w:szCs w:val="20"/>
        </w:rPr>
        <w:t xml:space="preserve">: </w:t>
      </w:r>
      <w:r w:rsidRPr="75EB0935">
        <w:rPr>
          <w:rFonts w:eastAsia="Calibri"/>
          <w:sz w:val="20"/>
          <w:szCs w:val="20"/>
        </w:rPr>
        <w:t>vypracoval NKÚ na základě dat</w:t>
      </w:r>
      <w:r>
        <w:rPr>
          <w:bCs/>
          <w:iCs/>
          <w:sz w:val="20"/>
          <w:szCs w:val="20"/>
        </w:rPr>
        <w:t xml:space="preserve"> poskytnutých NSA.</w:t>
      </w:r>
    </w:p>
    <w:p w14:paraId="1E5BA608" w14:textId="77777777" w:rsidR="51E0F52F" w:rsidRPr="00A1132B" w:rsidRDefault="009B081D" w:rsidP="009B081D">
      <w:pPr>
        <w:pStyle w:val="Nadpis1"/>
        <w:spacing w:after="120"/>
        <w:rPr>
          <w:rFonts w:eastAsiaTheme="minorEastAsia"/>
        </w:rPr>
      </w:pPr>
      <w:r>
        <w:rPr>
          <w:rFonts w:eastAsiaTheme="minorEastAsia"/>
        </w:rPr>
        <w:lastRenderedPageBreak/>
        <w:t xml:space="preserve">4. </w:t>
      </w:r>
      <w:r w:rsidR="003C349C" w:rsidRPr="00A1132B">
        <w:rPr>
          <w:rFonts w:eastAsiaTheme="minorEastAsia"/>
        </w:rPr>
        <w:t>Nenaplnění očekáv</w:t>
      </w:r>
      <w:r w:rsidR="00726AA4">
        <w:rPr>
          <w:rFonts w:eastAsiaTheme="minorEastAsia"/>
        </w:rPr>
        <w:t>a</w:t>
      </w:r>
      <w:r w:rsidR="003C349C" w:rsidRPr="00A1132B">
        <w:rPr>
          <w:rFonts w:eastAsiaTheme="minorEastAsia"/>
        </w:rPr>
        <w:t>n</w:t>
      </w:r>
      <w:r w:rsidR="00204210" w:rsidRPr="00A1132B">
        <w:rPr>
          <w:rFonts w:eastAsiaTheme="minorEastAsia"/>
        </w:rPr>
        <w:t>ých</w:t>
      </w:r>
      <w:r w:rsidR="003C349C" w:rsidRPr="00A1132B">
        <w:rPr>
          <w:rFonts w:eastAsiaTheme="minorEastAsia"/>
        </w:rPr>
        <w:t xml:space="preserve"> </w:t>
      </w:r>
      <w:r w:rsidR="00204210" w:rsidRPr="00A1132B">
        <w:rPr>
          <w:rFonts w:eastAsiaTheme="minorEastAsia"/>
        </w:rPr>
        <w:t>přínosů vzniku NSA</w:t>
      </w:r>
    </w:p>
    <w:p w14:paraId="3CFD3EF3" w14:textId="77777777" w:rsidR="0093AF52" w:rsidRDefault="5C8A4BD9" w:rsidP="6524B888">
      <w:pPr>
        <w:spacing w:before="120"/>
        <w:rPr>
          <w:rFonts w:asciiTheme="minorHAnsi" w:eastAsiaTheme="minorEastAsia" w:hAnsiTheme="minorHAnsi" w:cstheme="minorBidi"/>
        </w:rPr>
      </w:pPr>
      <w:r w:rsidRPr="6524B888">
        <w:rPr>
          <w:rFonts w:asciiTheme="minorHAnsi" w:eastAsiaTheme="minorEastAsia" w:hAnsiTheme="minorHAnsi" w:cstheme="minorBidi"/>
        </w:rPr>
        <w:t>Od roku 2019 z</w:t>
      </w:r>
      <w:r w:rsidR="51E0F52F" w:rsidRPr="6524B888">
        <w:rPr>
          <w:rFonts w:asciiTheme="minorHAnsi" w:eastAsiaTheme="minorEastAsia" w:hAnsiTheme="minorHAnsi" w:cstheme="minorBidi"/>
        </w:rPr>
        <w:t xml:space="preserve">a účelem zajištění kontinuity podpory sportu docházelo </w:t>
      </w:r>
      <w:r w:rsidR="6C2F1C90" w:rsidRPr="6524B888">
        <w:rPr>
          <w:rFonts w:asciiTheme="minorHAnsi" w:eastAsiaTheme="minorEastAsia" w:hAnsiTheme="minorHAnsi" w:cstheme="minorBidi"/>
        </w:rPr>
        <w:t xml:space="preserve">k </w:t>
      </w:r>
      <w:r w:rsidR="51E0F52F" w:rsidRPr="6524B888">
        <w:rPr>
          <w:rFonts w:asciiTheme="minorHAnsi" w:eastAsiaTheme="minorEastAsia" w:hAnsiTheme="minorHAnsi" w:cstheme="minorBidi"/>
        </w:rPr>
        <w:t xml:space="preserve">postupnému přenášení působnosti z MŠMT na NSA. Na základě delimitačního protokolu a jeho dodatků bylo z MŠMT na NSA delimitováno 30 pracovních míst, avšak všechna tato místa nebyla obsazena. Ve skutečnosti přešlo na NSA pouze 13 zaměstnanců, a to ve čtyřech vlnách. </w:t>
      </w:r>
    </w:p>
    <w:p w14:paraId="3BD27614" w14:textId="77777777" w:rsidR="005A474C" w:rsidRPr="00017F21" w:rsidRDefault="00B10A58" w:rsidP="00BD0991">
      <w:pPr>
        <w:spacing w:before="120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eastAsiaTheme="minorEastAsia" w:hAnsiTheme="minorHAnsi" w:cstheme="minorBidi"/>
        </w:rPr>
        <w:t>Vznikem NSA na základě novely zákona o podpoře sportu</w:t>
      </w:r>
      <w:r w:rsidR="00470FEC" w:rsidRPr="00780720">
        <w:rPr>
          <w:rStyle w:val="Znakapoznpodarou"/>
          <w:rFonts w:asciiTheme="minorHAnsi" w:eastAsiaTheme="minorEastAsia" w:hAnsiTheme="minorHAnsi" w:cstheme="minorBidi"/>
        </w:rPr>
        <w:footnoteReference w:id="48"/>
      </w:r>
      <w:r w:rsidR="00A1132B" w:rsidRPr="00780720">
        <w:rPr>
          <w:rFonts w:asciiTheme="minorHAnsi" w:eastAsiaTheme="minorEastAsia" w:hAnsiTheme="minorHAnsi" w:cstheme="minorBidi"/>
        </w:rPr>
        <w:t xml:space="preserve"> mělo dojít</w:t>
      </w:r>
      <w:r w:rsidR="51E0F52F" w:rsidRPr="00780720">
        <w:rPr>
          <w:rFonts w:asciiTheme="minorHAnsi" w:eastAsiaTheme="minorEastAsia" w:hAnsiTheme="minorHAnsi" w:cstheme="minorBidi"/>
        </w:rPr>
        <w:t xml:space="preserve"> ke zvýšení předvídatelnosti rozhodování státu v oblasti podpory sportu</w:t>
      </w:r>
      <w:r w:rsidR="00470FEC" w:rsidRPr="00780720">
        <w:rPr>
          <w:rFonts w:asciiTheme="minorHAnsi" w:eastAsiaTheme="minorEastAsia" w:hAnsiTheme="minorHAnsi" w:cstheme="minorBidi"/>
        </w:rPr>
        <w:t>.</w:t>
      </w:r>
      <w:r w:rsidR="51E0F52F" w:rsidRPr="00780720">
        <w:rPr>
          <w:rFonts w:asciiTheme="minorHAnsi" w:eastAsiaTheme="minorEastAsia" w:hAnsiTheme="minorHAnsi" w:cstheme="minorBidi"/>
        </w:rPr>
        <w:t xml:space="preserve"> </w:t>
      </w:r>
      <w:r w:rsidR="00470FEC" w:rsidRPr="00780720">
        <w:rPr>
          <w:rFonts w:asciiTheme="minorHAnsi" w:eastAsiaTheme="minorEastAsia" w:hAnsiTheme="minorHAnsi" w:cstheme="minorBidi"/>
        </w:rPr>
        <w:t>S</w:t>
      </w:r>
      <w:r w:rsidR="00A1132B" w:rsidRPr="00780720">
        <w:rPr>
          <w:rFonts w:asciiTheme="minorHAnsi" w:eastAsiaTheme="minorEastAsia" w:hAnsiTheme="minorHAnsi" w:cstheme="minorBidi"/>
        </w:rPr>
        <w:t xml:space="preserve">portovní organizace </w:t>
      </w:r>
      <w:r w:rsidR="00C21397">
        <w:rPr>
          <w:rFonts w:asciiTheme="minorHAnsi" w:eastAsiaTheme="minorEastAsia" w:hAnsiTheme="minorHAnsi" w:cstheme="minorBidi"/>
        </w:rPr>
        <w:t xml:space="preserve">tak </w:t>
      </w:r>
      <w:r w:rsidR="00C21397" w:rsidRPr="00780720">
        <w:rPr>
          <w:rFonts w:asciiTheme="minorHAnsi" w:eastAsiaTheme="minorEastAsia" w:hAnsiTheme="minorHAnsi" w:cstheme="minorBidi"/>
        </w:rPr>
        <w:t>na základě předvídatelnosti</w:t>
      </w:r>
      <w:r w:rsidR="00C21397">
        <w:rPr>
          <w:rFonts w:asciiTheme="minorHAnsi" w:eastAsiaTheme="minorEastAsia" w:hAnsiTheme="minorHAnsi" w:cstheme="minorBidi"/>
        </w:rPr>
        <w:t xml:space="preserve"> </w:t>
      </w:r>
      <w:r w:rsidR="00531A32" w:rsidRPr="00780720">
        <w:rPr>
          <w:rFonts w:asciiTheme="minorHAnsi" w:eastAsiaTheme="minorEastAsia" w:hAnsiTheme="minorHAnsi" w:cstheme="minorBidi"/>
        </w:rPr>
        <w:t>měly být schopny</w:t>
      </w:r>
      <w:r w:rsidR="00470FEC" w:rsidRPr="00780720">
        <w:rPr>
          <w:rFonts w:asciiTheme="minorHAnsi" w:eastAsiaTheme="minorEastAsia" w:hAnsiTheme="minorHAnsi" w:cstheme="minorBidi"/>
        </w:rPr>
        <w:t xml:space="preserve"> </w:t>
      </w:r>
      <w:r w:rsidR="00531A32" w:rsidRPr="00780720">
        <w:rPr>
          <w:rFonts w:asciiTheme="minorHAnsi" w:eastAsiaTheme="minorEastAsia" w:hAnsiTheme="minorHAnsi" w:cstheme="minorBidi"/>
        </w:rPr>
        <w:t>lépe plánovat svou činnost</w:t>
      </w:r>
      <w:r w:rsidR="51E0F52F" w:rsidRPr="00780720">
        <w:rPr>
          <w:rFonts w:asciiTheme="minorHAnsi" w:eastAsiaTheme="minorEastAsia" w:hAnsiTheme="minorHAnsi" w:cstheme="minorBidi"/>
        </w:rPr>
        <w:t>. Dále měla být posílena transparentnost rozdělování prostředků na podporu sportu a zaveden funkční systém vyhodnocování využití peněžních prostředků</w:t>
      </w:r>
      <w:r w:rsidR="33E294A9" w:rsidRPr="00780720">
        <w:rPr>
          <w:rFonts w:asciiTheme="minorHAnsi" w:eastAsiaTheme="minorEastAsia" w:hAnsiTheme="minorHAnsi" w:cstheme="minorBidi"/>
        </w:rPr>
        <w:t>, čímž</w:t>
      </w:r>
      <w:r w:rsidR="51E0F52F" w:rsidRPr="00780720">
        <w:rPr>
          <w:rFonts w:asciiTheme="minorHAnsi" w:eastAsiaTheme="minorEastAsia" w:hAnsiTheme="minorHAnsi" w:cstheme="minorBidi"/>
        </w:rPr>
        <w:t xml:space="preserve"> se měla zvýšit efektivita výdaj</w:t>
      </w:r>
      <w:r w:rsidR="51E0F52F" w:rsidRPr="00017F21">
        <w:rPr>
          <w:rFonts w:asciiTheme="minorHAnsi" w:eastAsiaTheme="minorEastAsia" w:hAnsiTheme="minorHAnsi" w:cstheme="minorBidi"/>
          <w:color w:val="000000" w:themeColor="text1"/>
        </w:rPr>
        <w:t xml:space="preserve">ů. </w:t>
      </w:r>
    </w:p>
    <w:p w14:paraId="5A64B30A" w14:textId="56D4C690" w:rsidR="71947F0E" w:rsidRPr="00780720" w:rsidRDefault="2BAE5BDE" w:rsidP="005A474C">
      <w:pPr>
        <w:keepNext/>
        <w:spacing w:before="120"/>
        <w:rPr>
          <w:rFonts w:asciiTheme="minorHAnsi" w:eastAsiaTheme="minorEastAsia" w:hAnsiTheme="minorHAnsi" w:cstheme="minorBidi"/>
        </w:rPr>
      </w:pPr>
      <w:r w:rsidRPr="00780720">
        <w:rPr>
          <w:rFonts w:asciiTheme="minorHAnsi" w:eastAsiaTheme="minorEastAsia" w:hAnsiTheme="minorHAnsi" w:cstheme="minorBidi"/>
        </w:rPr>
        <w:t>NKÚ však k</w:t>
      </w:r>
      <w:r w:rsidR="51E0F52F" w:rsidRPr="00780720">
        <w:rPr>
          <w:rFonts w:asciiTheme="minorHAnsi" w:eastAsiaTheme="minorEastAsia" w:hAnsiTheme="minorHAnsi" w:cstheme="minorBidi"/>
        </w:rPr>
        <w:t xml:space="preserve">ontrolou </w:t>
      </w:r>
      <w:r w:rsidR="639682B1" w:rsidRPr="00780720">
        <w:rPr>
          <w:rFonts w:asciiTheme="minorHAnsi" w:eastAsiaTheme="minorEastAsia" w:hAnsiTheme="minorHAnsi" w:cstheme="minorBidi"/>
        </w:rPr>
        <w:t>zjistil</w:t>
      </w:r>
      <w:r w:rsidR="51E0F52F" w:rsidRPr="00780720">
        <w:rPr>
          <w:rFonts w:asciiTheme="minorHAnsi" w:eastAsiaTheme="minorEastAsia" w:hAnsiTheme="minorHAnsi" w:cstheme="minorBidi"/>
        </w:rPr>
        <w:t>, že</w:t>
      </w:r>
      <w:r w:rsidR="00F6678D">
        <w:rPr>
          <w:rFonts w:asciiTheme="minorHAnsi" w:eastAsiaTheme="minorEastAsia" w:hAnsiTheme="minorHAnsi" w:cstheme="minorBidi"/>
        </w:rPr>
        <w:t> </w:t>
      </w:r>
      <w:r w:rsidR="51E0F52F" w:rsidRPr="00780720">
        <w:rPr>
          <w:rFonts w:asciiTheme="minorHAnsi" w:eastAsiaTheme="minorEastAsia" w:hAnsiTheme="minorHAnsi" w:cstheme="minorBidi"/>
        </w:rPr>
        <w:t>vzhledem k:</w:t>
      </w:r>
      <w:r w:rsidR="57D5662D" w:rsidRPr="00780720">
        <w:rPr>
          <w:rFonts w:asciiTheme="minorHAnsi" w:eastAsiaTheme="minorEastAsia" w:hAnsiTheme="minorHAnsi" w:cstheme="minorBidi"/>
        </w:rPr>
        <w:t xml:space="preserve"> </w:t>
      </w:r>
    </w:p>
    <w:p w14:paraId="64355A67" w14:textId="24D94071" w:rsidR="008C4411" w:rsidRPr="00EA65D6" w:rsidRDefault="008C4411" w:rsidP="009B081D">
      <w:pPr>
        <w:pStyle w:val="Odstavecseseznamem"/>
        <w:numPr>
          <w:ilvl w:val="0"/>
          <w:numId w:val="5"/>
        </w:numPr>
        <w:spacing w:before="0"/>
        <w:ind w:left="284" w:hanging="284"/>
      </w:pPr>
      <w:r w:rsidRPr="00780720">
        <w:rPr>
          <w:rFonts w:asciiTheme="minorHAnsi" w:eastAsiaTheme="minorEastAsia" w:hAnsiTheme="minorHAnsi" w:cstheme="minorBidi"/>
        </w:rPr>
        <w:t>nesledování a nevyhodnocování hospodárnosti, efektivnosti a účelnosti vynakládaných výdajů v kapitole NSA podle rozpočtových pravide</w:t>
      </w:r>
      <w:r w:rsidR="00DA3507">
        <w:rPr>
          <w:rFonts w:asciiTheme="minorHAnsi" w:eastAsiaTheme="minorEastAsia" w:hAnsiTheme="minorHAnsi" w:cstheme="minorBidi"/>
        </w:rPr>
        <w:t>l</w:t>
      </w:r>
      <w:r w:rsidRPr="00780720">
        <w:rPr>
          <w:rStyle w:val="Znakapoznpodarou"/>
          <w:rFonts w:asciiTheme="minorHAnsi" w:eastAsiaTheme="minorEastAsia" w:hAnsiTheme="minorHAnsi" w:cstheme="minorBidi"/>
        </w:rPr>
        <w:footnoteReference w:id="49"/>
      </w:r>
      <w:r w:rsidRPr="00780720">
        <w:rPr>
          <w:rFonts w:asciiTheme="minorHAnsi" w:eastAsiaTheme="minorEastAsia" w:hAnsiTheme="minorHAnsi" w:cstheme="minorBidi"/>
        </w:rPr>
        <w:t xml:space="preserve"> (viz</w:t>
      </w:r>
      <w:r w:rsidR="007300BC">
        <w:rPr>
          <w:rFonts w:asciiTheme="minorHAnsi" w:eastAsiaTheme="minorEastAsia" w:hAnsiTheme="minorHAnsi" w:cstheme="minorBidi"/>
        </w:rPr>
        <w:t xml:space="preserve"> </w:t>
      </w:r>
      <w:r w:rsidRPr="00780720">
        <w:rPr>
          <w:rFonts w:asciiTheme="minorHAnsi" w:eastAsiaTheme="minorEastAsia" w:hAnsiTheme="minorHAnsi" w:cstheme="minorBidi"/>
        </w:rPr>
        <w:t>kap. IV. bod</w:t>
      </w:r>
      <w:r w:rsidR="007300BC">
        <w:rPr>
          <w:rFonts w:asciiTheme="minorHAnsi" w:eastAsiaTheme="minorEastAsia" w:hAnsiTheme="minorHAnsi" w:cstheme="minorBidi"/>
        </w:rPr>
        <w:t> </w:t>
      </w:r>
      <w:r w:rsidRPr="00780720">
        <w:rPr>
          <w:rFonts w:asciiTheme="minorHAnsi" w:eastAsiaTheme="minorEastAsia" w:hAnsiTheme="minorHAnsi" w:cstheme="minorBidi"/>
        </w:rPr>
        <w:t xml:space="preserve">1 tohoto </w:t>
      </w:r>
      <w:r w:rsidR="00C21397">
        <w:rPr>
          <w:rFonts w:asciiTheme="minorHAnsi" w:eastAsiaTheme="minorEastAsia" w:hAnsiTheme="minorHAnsi" w:cstheme="minorBidi"/>
        </w:rPr>
        <w:t>kontrolního závěru</w:t>
      </w:r>
      <w:r w:rsidRPr="00780720">
        <w:rPr>
          <w:rFonts w:asciiTheme="minorHAnsi" w:eastAsiaTheme="minorEastAsia" w:hAnsiTheme="minorHAnsi" w:cstheme="minorBidi"/>
        </w:rPr>
        <w:t xml:space="preserve">); </w:t>
      </w:r>
    </w:p>
    <w:p w14:paraId="6DD9FE1A" w14:textId="3D89E35A" w:rsidR="008C4411" w:rsidRPr="00780720" w:rsidRDefault="008C4411" w:rsidP="009B081D">
      <w:pPr>
        <w:pStyle w:val="Odstavecseseznamem"/>
        <w:numPr>
          <w:ilvl w:val="0"/>
          <w:numId w:val="5"/>
        </w:numPr>
        <w:spacing w:before="0"/>
        <w:ind w:left="284" w:hanging="284"/>
      </w:pPr>
      <w:r w:rsidRPr="00780720">
        <w:t>nevyhodnocování programů a výzev (</w:t>
      </w:r>
      <w:r w:rsidRPr="00780720">
        <w:rPr>
          <w:rFonts w:asciiTheme="minorHAnsi" w:eastAsiaTheme="minorEastAsia" w:hAnsiTheme="minorHAnsi" w:cstheme="minorBidi"/>
        </w:rPr>
        <w:t xml:space="preserve">viz kap. IV. bod 1.3 tohoto </w:t>
      </w:r>
      <w:r w:rsidR="00C21397">
        <w:rPr>
          <w:rFonts w:asciiTheme="minorHAnsi" w:eastAsiaTheme="minorEastAsia" w:hAnsiTheme="minorHAnsi" w:cstheme="minorBidi"/>
        </w:rPr>
        <w:t>kontrolního závěru</w:t>
      </w:r>
      <w:r w:rsidRPr="00780720">
        <w:t>);</w:t>
      </w:r>
    </w:p>
    <w:p w14:paraId="5EF61FBC" w14:textId="6DE3C54A" w:rsidR="5FF0FE48" w:rsidRPr="00780720" w:rsidRDefault="5FF0FE48" w:rsidP="009B081D">
      <w:pPr>
        <w:pStyle w:val="Odstavecseseznamem"/>
        <w:numPr>
          <w:ilvl w:val="0"/>
          <w:numId w:val="5"/>
        </w:numPr>
        <w:spacing w:before="0"/>
        <w:ind w:left="284" w:hanging="284"/>
      </w:pPr>
      <w:r w:rsidRPr="00780720">
        <w:rPr>
          <w:rFonts w:asciiTheme="minorHAnsi" w:eastAsiaTheme="minorEastAsia" w:hAnsiTheme="minorHAnsi" w:cstheme="minorBidi"/>
        </w:rPr>
        <w:t>absenci kontroly závěrečného vyúčtování poskytnutých dotací (</w:t>
      </w:r>
      <w:r w:rsidR="00BE7D3B" w:rsidRPr="00780720">
        <w:rPr>
          <w:rFonts w:asciiTheme="minorHAnsi" w:eastAsiaTheme="minorEastAsia" w:hAnsiTheme="minorHAnsi" w:cstheme="minorBidi"/>
        </w:rPr>
        <w:t>viz kap. IV. bod</w:t>
      </w:r>
      <w:r w:rsidR="007300BC">
        <w:rPr>
          <w:rFonts w:asciiTheme="minorHAnsi" w:eastAsiaTheme="minorEastAsia" w:hAnsiTheme="minorHAnsi" w:cstheme="minorBidi"/>
        </w:rPr>
        <w:t> </w:t>
      </w:r>
      <w:r w:rsidR="00BE7D3B" w:rsidRPr="00780720">
        <w:rPr>
          <w:rFonts w:asciiTheme="minorHAnsi" w:eastAsiaTheme="minorEastAsia" w:hAnsiTheme="minorHAnsi" w:cstheme="minorBidi"/>
        </w:rPr>
        <w:t>1.4</w:t>
      </w:r>
      <w:r w:rsidR="007300BC">
        <w:rPr>
          <w:rFonts w:asciiTheme="minorHAnsi" w:eastAsiaTheme="minorEastAsia" w:hAnsiTheme="minorHAnsi" w:cstheme="minorBidi"/>
        </w:rPr>
        <w:t xml:space="preserve"> </w:t>
      </w:r>
      <w:r w:rsidR="00BE7D3B" w:rsidRPr="00780720">
        <w:rPr>
          <w:rFonts w:asciiTheme="minorHAnsi" w:eastAsiaTheme="minorEastAsia" w:hAnsiTheme="minorHAnsi" w:cstheme="minorBidi"/>
        </w:rPr>
        <w:t xml:space="preserve">tohoto </w:t>
      </w:r>
      <w:r w:rsidR="00C21397">
        <w:rPr>
          <w:rFonts w:asciiTheme="minorHAnsi" w:eastAsiaTheme="minorEastAsia" w:hAnsiTheme="minorHAnsi" w:cstheme="minorBidi"/>
        </w:rPr>
        <w:t>kontrolního závěru</w:t>
      </w:r>
      <w:r w:rsidRPr="00780720">
        <w:rPr>
          <w:rFonts w:asciiTheme="minorHAnsi" w:eastAsiaTheme="minorEastAsia" w:hAnsiTheme="minorHAnsi" w:cstheme="minorBidi"/>
        </w:rPr>
        <w:t>);</w:t>
      </w:r>
      <w:r w:rsidR="4735C856" w:rsidRPr="00780720">
        <w:rPr>
          <w:rFonts w:asciiTheme="minorHAnsi" w:eastAsiaTheme="minorEastAsia" w:hAnsiTheme="minorHAnsi" w:cstheme="minorBidi"/>
        </w:rPr>
        <w:t xml:space="preserve"> </w:t>
      </w:r>
    </w:p>
    <w:p w14:paraId="232C458B" w14:textId="5614A0AB" w:rsidR="008C4411" w:rsidRPr="00780720" w:rsidRDefault="008C4411" w:rsidP="009B081D">
      <w:pPr>
        <w:pStyle w:val="Odstavecseseznamem"/>
        <w:numPr>
          <w:ilvl w:val="0"/>
          <w:numId w:val="5"/>
        </w:numPr>
        <w:spacing w:before="0"/>
        <w:ind w:left="284" w:hanging="284"/>
      </w:pPr>
      <w:r w:rsidRPr="00780720">
        <w:rPr>
          <w:rFonts w:asciiTheme="minorHAnsi" w:eastAsiaTheme="minorEastAsia" w:hAnsiTheme="minorHAnsi" w:cstheme="minorBidi"/>
        </w:rPr>
        <w:t xml:space="preserve">délce administrace dotačních řízení (viz kap. IV. bod 3 tohoto </w:t>
      </w:r>
      <w:r w:rsidR="002356E6">
        <w:rPr>
          <w:rFonts w:asciiTheme="minorHAnsi" w:eastAsiaTheme="minorEastAsia" w:hAnsiTheme="minorHAnsi" w:cstheme="minorBidi"/>
        </w:rPr>
        <w:t>kontrolního závěru</w:t>
      </w:r>
      <w:r w:rsidRPr="00780720">
        <w:rPr>
          <w:rFonts w:asciiTheme="minorHAnsi" w:eastAsiaTheme="minorEastAsia" w:hAnsiTheme="minorHAnsi" w:cstheme="minorBidi"/>
        </w:rPr>
        <w:t xml:space="preserve">); </w:t>
      </w:r>
    </w:p>
    <w:p w14:paraId="74749B97" w14:textId="70649277" w:rsidR="008C4411" w:rsidRPr="00780720" w:rsidRDefault="008C4411" w:rsidP="009B081D">
      <w:pPr>
        <w:pStyle w:val="Odstavecseseznamem"/>
        <w:numPr>
          <w:ilvl w:val="0"/>
          <w:numId w:val="5"/>
        </w:numPr>
        <w:spacing w:before="0"/>
        <w:ind w:left="284" w:hanging="284"/>
      </w:pPr>
      <w:r w:rsidRPr="00780720">
        <w:rPr>
          <w:rFonts w:asciiTheme="minorHAnsi" w:eastAsiaTheme="minorEastAsia" w:hAnsiTheme="minorHAnsi" w:cstheme="minorBidi"/>
        </w:rPr>
        <w:t>míře nedostatků zjištěných v oblasti vnitřního kontrolního systému NSA (viz kap. IV. bod</w:t>
      </w:r>
      <w:r w:rsidR="007300BC">
        <w:rPr>
          <w:rFonts w:asciiTheme="minorHAnsi" w:eastAsiaTheme="minorEastAsia" w:hAnsiTheme="minorHAnsi" w:cstheme="minorBidi"/>
        </w:rPr>
        <w:t> </w:t>
      </w:r>
      <w:r w:rsidRPr="00780720">
        <w:rPr>
          <w:rFonts w:asciiTheme="minorHAnsi" w:eastAsiaTheme="minorEastAsia" w:hAnsiTheme="minorHAnsi" w:cstheme="minorBidi"/>
        </w:rPr>
        <w:t xml:space="preserve">7 tohoto </w:t>
      </w:r>
      <w:r w:rsidR="002356E6">
        <w:rPr>
          <w:rFonts w:asciiTheme="minorHAnsi" w:eastAsiaTheme="minorEastAsia" w:hAnsiTheme="minorHAnsi" w:cstheme="minorBidi"/>
        </w:rPr>
        <w:t>kontrolního závěru</w:t>
      </w:r>
      <w:r w:rsidRPr="00780720">
        <w:rPr>
          <w:rFonts w:asciiTheme="minorHAnsi" w:eastAsiaTheme="minorEastAsia" w:hAnsiTheme="minorHAnsi" w:cstheme="minorBidi"/>
        </w:rPr>
        <w:t>);</w:t>
      </w:r>
    </w:p>
    <w:p w14:paraId="3881F59A" w14:textId="5D53D0F8" w:rsidR="00181790" w:rsidRPr="00780720" w:rsidRDefault="00E752E3" w:rsidP="009B081D">
      <w:pPr>
        <w:pStyle w:val="Odstavecseseznamem"/>
        <w:numPr>
          <w:ilvl w:val="0"/>
          <w:numId w:val="5"/>
        </w:numPr>
        <w:spacing w:before="0"/>
        <w:ind w:left="284" w:hanging="284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neúčinnosti systému kontroly</w:t>
      </w:r>
      <w:r w:rsidR="0065725D">
        <w:rPr>
          <w:rFonts w:asciiTheme="minorHAnsi" w:eastAsiaTheme="minorEastAsia" w:hAnsiTheme="minorHAnsi" w:cstheme="minorBidi"/>
        </w:rPr>
        <w:t>, který by zamezil poskytování</w:t>
      </w:r>
      <w:r>
        <w:rPr>
          <w:rFonts w:asciiTheme="minorHAnsi" w:eastAsiaTheme="minorEastAsia" w:hAnsiTheme="minorHAnsi" w:cstheme="minorBidi"/>
        </w:rPr>
        <w:t xml:space="preserve"> dotac</w:t>
      </w:r>
      <w:r w:rsidR="0065725D">
        <w:rPr>
          <w:rFonts w:asciiTheme="minorHAnsi" w:eastAsiaTheme="minorEastAsia" w:hAnsiTheme="minorHAnsi" w:cstheme="minorBidi"/>
        </w:rPr>
        <w:t>í</w:t>
      </w:r>
      <w:r>
        <w:rPr>
          <w:rFonts w:asciiTheme="minorHAnsi" w:eastAsiaTheme="minorEastAsia" w:hAnsiTheme="minorHAnsi" w:cstheme="minorBidi"/>
        </w:rPr>
        <w:t xml:space="preserve"> žadatelům</w:t>
      </w:r>
      <w:r w:rsidR="00181790" w:rsidRPr="00780720">
        <w:rPr>
          <w:rFonts w:asciiTheme="minorHAnsi" w:eastAsiaTheme="minorEastAsia" w:hAnsiTheme="minorHAnsi" w:cstheme="minorBidi"/>
        </w:rPr>
        <w:t>, kteří v uplynulých letech porušili podmínky čerpání podpory poskytnuté ze státního rozpočtu</w:t>
      </w:r>
      <w:r w:rsidR="00017F21">
        <w:rPr>
          <w:rFonts w:asciiTheme="minorHAnsi" w:eastAsiaTheme="minorEastAsia" w:hAnsiTheme="minorHAnsi" w:cstheme="minorBidi"/>
        </w:rPr>
        <w:t>,</w:t>
      </w:r>
      <w:r w:rsidR="00181790" w:rsidRPr="00780720">
        <w:rPr>
          <w:rStyle w:val="Znakapoznpodarou"/>
          <w:rFonts w:asciiTheme="minorHAnsi" w:eastAsiaTheme="minorEastAsia" w:hAnsiTheme="minorHAnsi" w:cstheme="minorBidi"/>
        </w:rPr>
        <w:footnoteReference w:id="50"/>
      </w:r>
    </w:p>
    <w:p w14:paraId="6CB7F7A0" w14:textId="7384B01A" w:rsidR="51E0F52F" w:rsidRDefault="00DA3507" w:rsidP="00DE3144">
      <w:pPr>
        <w:spacing w:before="120"/>
        <w:contextualSpacing/>
        <w:rPr>
          <w:rFonts w:asciiTheme="minorHAnsi" w:eastAsiaTheme="minorEastAsia" w:hAnsiTheme="minorHAnsi" w:cstheme="minorBidi"/>
        </w:rPr>
      </w:pPr>
      <w:r w:rsidRPr="527EA771">
        <w:rPr>
          <w:rFonts w:asciiTheme="minorHAnsi" w:eastAsiaTheme="minorEastAsia" w:hAnsiTheme="minorHAnsi" w:cstheme="minorBidi"/>
          <w:b/>
          <w:bCs/>
        </w:rPr>
        <w:t xml:space="preserve">nedošlo </w:t>
      </w:r>
      <w:r w:rsidR="51E0F52F" w:rsidRPr="527EA771">
        <w:rPr>
          <w:rFonts w:asciiTheme="minorHAnsi" w:eastAsiaTheme="minorEastAsia" w:hAnsiTheme="minorHAnsi" w:cstheme="minorBidi"/>
          <w:b/>
          <w:bCs/>
        </w:rPr>
        <w:t xml:space="preserve">ke zvýšení transparentnosti </w:t>
      </w:r>
      <w:r w:rsidR="00D24443">
        <w:rPr>
          <w:rFonts w:asciiTheme="minorHAnsi" w:eastAsiaTheme="minorEastAsia" w:hAnsiTheme="minorHAnsi" w:cstheme="minorBidi"/>
          <w:b/>
          <w:bCs/>
        </w:rPr>
        <w:t>vynakládání</w:t>
      </w:r>
      <w:r w:rsidR="51E0F52F" w:rsidRPr="527EA771">
        <w:rPr>
          <w:rFonts w:asciiTheme="minorHAnsi" w:eastAsiaTheme="minorEastAsia" w:hAnsiTheme="minorHAnsi" w:cstheme="minorBidi"/>
          <w:b/>
          <w:bCs/>
        </w:rPr>
        <w:t xml:space="preserve"> prostředků</w:t>
      </w:r>
      <w:r w:rsidR="51E0F52F" w:rsidRPr="00DE3144">
        <w:rPr>
          <w:rFonts w:asciiTheme="minorHAnsi" w:eastAsiaTheme="minorEastAsia" w:hAnsiTheme="minorHAnsi" w:cstheme="minorBidi"/>
          <w:b/>
          <w:bCs/>
        </w:rPr>
        <w:t>.</w:t>
      </w:r>
      <w:r w:rsidR="51E0F52F" w:rsidRPr="00DE3144">
        <w:rPr>
          <w:rFonts w:asciiTheme="minorHAnsi" w:eastAsiaTheme="minorEastAsia" w:hAnsiTheme="minorHAnsi" w:cstheme="minorBidi"/>
        </w:rPr>
        <w:t xml:space="preserve"> </w:t>
      </w:r>
      <w:r w:rsidR="00DE3144" w:rsidRPr="00DE3144">
        <w:rPr>
          <w:rFonts w:asciiTheme="minorHAnsi" w:hAnsiTheme="minorHAnsi" w:cstheme="minorBidi"/>
          <w:b/>
          <w:bCs/>
        </w:rPr>
        <w:t xml:space="preserve">Nebyl také zaveden funkční systém vyhodnocování využití peněžních prostředků. </w:t>
      </w:r>
      <w:r w:rsidR="51E0F52F" w:rsidRPr="527EA771">
        <w:rPr>
          <w:rFonts w:asciiTheme="minorHAnsi" w:eastAsiaTheme="minorEastAsia" w:hAnsiTheme="minorHAnsi" w:cstheme="minorBidi"/>
        </w:rPr>
        <w:t xml:space="preserve">Zjištění NKÚ </w:t>
      </w:r>
      <w:r w:rsidR="002B0084">
        <w:rPr>
          <w:rFonts w:asciiTheme="minorHAnsi" w:eastAsiaTheme="minorEastAsia" w:hAnsiTheme="minorHAnsi" w:cstheme="minorBidi"/>
        </w:rPr>
        <w:t xml:space="preserve">se </w:t>
      </w:r>
      <w:r w:rsidR="002B0084" w:rsidRPr="527EA771">
        <w:rPr>
          <w:rFonts w:asciiTheme="minorHAnsi" w:eastAsiaTheme="minorEastAsia" w:hAnsiTheme="minorHAnsi" w:cstheme="minorBidi"/>
        </w:rPr>
        <w:t xml:space="preserve">mj. </w:t>
      </w:r>
      <w:r w:rsidR="002B0084">
        <w:rPr>
          <w:rFonts w:asciiTheme="minorHAnsi" w:eastAsiaTheme="minorEastAsia" w:hAnsiTheme="minorHAnsi" w:cstheme="minorBidi"/>
        </w:rPr>
        <w:t>shoduje</w:t>
      </w:r>
      <w:r w:rsidR="51E0F52F" w:rsidRPr="527EA771">
        <w:rPr>
          <w:rFonts w:asciiTheme="minorHAnsi" w:eastAsiaTheme="minorEastAsia" w:hAnsiTheme="minorHAnsi" w:cstheme="minorBidi"/>
        </w:rPr>
        <w:t xml:space="preserve"> </w:t>
      </w:r>
      <w:r w:rsidR="00531A32">
        <w:rPr>
          <w:rFonts w:asciiTheme="minorHAnsi" w:eastAsiaTheme="minorEastAsia" w:hAnsiTheme="minorHAnsi" w:cstheme="minorBidi"/>
        </w:rPr>
        <w:t>s</w:t>
      </w:r>
      <w:r>
        <w:rPr>
          <w:rFonts w:asciiTheme="minorHAnsi" w:eastAsiaTheme="minorEastAsia" w:hAnsiTheme="minorHAnsi" w:cstheme="minorBidi"/>
        </w:rPr>
        <w:t> </w:t>
      </w:r>
      <w:r w:rsidR="51E0F52F" w:rsidRPr="527EA771">
        <w:rPr>
          <w:rFonts w:asciiTheme="minorHAnsi" w:eastAsiaTheme="minorEastAsia" w:hAnsiTheme="minorHAnsi" w:cstheme="minorBidi"/>
        </w:rPr>
        <w:t>názory sportovních klubů a svazů vyjádřených prostřednictvím dotazníkového šetření.</w:t>
      </w:r>
      <w:r w:rsidR="7DCAE86C" w:rsidRPr="527EA771">
        <w:rPr>
          <w:rFonts w:asciiTheme="minorHAnsi" w:eastAsiaTheme="minorEastAsia" w:hAnsiTheme="minorHAnsi" w:cstheme="minorBidi"/>
        </w:rPr>
        <w:t xml:space="preserve"> Například </w:t>
      </w:r>
      <w:r w:rsidR="00D61086">
        <w:rPr>
          <w:rFonts w:asciiTheme="minorHAnsi" w:eastAsiaTheme="minorEastAsia" w:hAnsiTheme="minorHAnsi" w:cstheme="minorBidi"/>
        </w:rPr>
        <w:t>55</w:t>
      </w:r>
      <w:r w:rsidR="7DCAE86C" w:rsidRPr="527EA771">
        <w:rPr>
          <w:rFonts w:asciiTheme="minorHAnsi" w:eastAsiaTheme="minorEastAsia" w:hAnsiTheme="minorHAnsi" w:cstheme="minorBidi"/>
        </w:rPr>
        <w:t>,</w:t>
      </w:r>
      <w:r w:rsidR="00D61086">
        <w:rPr>
          <w:rFonts w:asciiTheme="minorHAnsi" w:eastAsiaTheme="minorEastAsia" w:hAnsiTheme="minorHAnsi" w:cstheme="minorBidi"/>
        </w:rPr>
        <w:t>8</w:t>
      </w:r>
      <w:r w:rsidR="7DCAE86C" w:rsidRPr="527EA771">
        <w:rPr>
          <w:rFonts w:asciiTheme="minorHAnsi" w:eastAsiaTheme="minorEastAsia" w:hAnsiTheme="minorHAnsi" w:cstheme="minorBidi"/>
        </w:rPr>
        <w:t xml:space="preserve"> % sportovních klubů, které měly zkušenost s průběhem dotačního řízení jak u</w:t>
      </w:r>
      <w:r w:rsidR="00F6678D">
        <w:rPr>
          <w:rFonts w:asciiTheme="minorHAnsi" w:eastAsiaTheme="minorEastAsia" w:hAnsiTheme="minorHAnsi" w:cstheme="minorBidi"/>
        </w:rPr>
        <w:t> </w:t>
      </w:r>
      <w:r w:rsidR="7DCAE86C" w:rsidRPr="527EA771">
        <w:rPr>
          <w:rFonts w:asciiTheme="minorHAnsi" w:eastAsiaTheme="minorEastAsia" w:hAnsiTheme="minorHAnsi" w:cstheme="minorBidi"/>
        </w:rPr>
        <w:t xml:space="preserve">MŠMT, tak u NSA, </w:t>
      </w:r>
      <w:r w:rsidR="00531A32">
        <w:rPr>
          <w:rFonts w:asciiTheme="minorHAnsi" w:eastAsiaTheme="minorEastAsia" w:hAnsiTheme="minorHAnsi" w:cstheme="minorBidi"/>
        </w:rPr>
        <w:t>uvedlo</w:t>
      </w:r>
      <w:r w:rsidR="7DCAE86C" w:rsidRPr="527EA771">
        <w:rPr>
          <w:rFonts w:asciiTheme="minorHAnsi" w:eastAsiaTheme="minorEastAsia" w:hAnsiTheme="minorHAnsi" w:cstheme="minorBidi"/>
        </w:rPr>
        <w:t xml:space="preserve">, že nedošlo k posunu směrem k transparentnějšímu hodnocení žádostí. </w:t>
      </w:r>
      <w:r w:rsidR="0086656D">
        <w:rPr>
          <w:rFonts w:asciiTheme="minorHAnsi" w:eastAsiaTheme="minorEastAsia" w:hAnsiTheme="minorHAnsi" w:cstheme="minorBidi"/>
        </w:rPr>
        <w:t xml:space="preserve">Oproti tomu pouze 25,7 % sportovních klubů se domnívá, že NSA </w:t>
      </w:r>
      <w:r w:rsidR="00695E85">
        <w:rPr>
          <w:rFonts w:asciiTheme="minorHAnsi" w:eastAsiaTheme="minorEastAsia" w:hAnsiTheme="minorHAnsi" w:cstheme="minorBidi"/>
        </w:rPr>
        <w:t xml:space="preserve">hodnotí žádosti </w:t>
      </w:r>
      <w:r w:rsidR="0086656D">
        <w:rPr>
          <w:rFonts w:asciiTheme="minorHAnsi" w:eastAsiaTheme="minorEastAsia" w:hAnsiTheme="minorHAnsi" w:cstheme="minorBidi"/>
        </w:rPr>
        <w:t xml:space="preserve">transparentněji. </w:t>
      </w:r>
      <w:r w:rsidR="7DCAE86C" w:rsidRPr="527EA771">
        <w:rPr>
          <w:rFonts w:asciiTheme="minorHAnsi" w:eastAsiaTheme="minorEastAsia" w:hAnsiTheme="minorHAnsi" w:cstheme="minorBidi"/>
        </w:rPr>
        <w:t>Další dopady vzniku NSA jako např. vyšší předvídatelnost poskytování podpory nebo</w:t>
      </w:r>
      <w:r>
        <w:rPr>
          <w:rFonts w:asciiTheme="minorHAnsi" w:eastAsiaTheme="minorEastAsia" w:hAnsiTheme="minorHAnsi" w:cstheme="minorBidi"/>
        </w:rPr>
        <w:t xml:space="preserve"> </w:t>
      </w:r>
      <w:r w:rsidR="7DCAE86C" w:rsidRPr="527EA771">
        <w:rPr>
          <w:rFonts w:asciiTheme="minorHAnsi" w:eastAsiaTheme="minorEastAsia" w:hAnsiTheme="minorHAnsi" w:cstheme="minorBidi"/>
        </w:rPr>
        <w:t>lepší vedení oblasti sportu ze strany NSA se dle sportovních svazů nenaplnily.</w:t>
      </w:r>
      <w:r w:rsidR="51E0F52F" w:rsidRPr="527EA771">
        <w:rPr>
          <w:rFonts w:asciiTheme="minorHAnsi" w:eastAsiaTheme="minorEastAsia" w:hAnsiTheme="minorHAnsi" w:cstheme="minorBidi"/>
          <w:vertAlign w:val="superscript"/>
        </w:rPr>
        <w:footnoteReference w:id="51"/>
      </w:r>
    </w:p>
    <w:p w14:paraId="68A3976E" w14:textId="77777777" w:rsidR="00D05AFA" w:rsidRPr="00A51971" w:rsidRDefault="009B081D" w:rsidP="009B081D">
      <w:pPr>
        <w:pStyle w:val="Nadpis1"/>
        <w:spacing w:after="120"/>
      </w:pPr>
      <w:r>
        <w:t xml:space="preserve">5. </w:t>
      </w:r>
      <w:r w:rsidR="00F64AE9" w:rsidRPr="00A51971">
        <w:t>B</w:t>
      </w:r>
      <w:r w:rsidR="0082187F" w:rsidRPr="00A51971">
        <w:t>ezesmluvní a bez</w:t>
      </w:r>
      <w:r w:rsidR="00B619BF">
        <w:t>ú</w:t>
      </w:r>
      <w:r w:rsidR="0082187F" w:rsidRPr="00A51971">
        <w:t xml:space="preserve">platné užívání pozemků státu </w:t>
      </w:r>
      <w:r w:rsidR="004C1F09" w:rsidRPr="00A51971">
        <w:t>soukromými subjekty</w:t>
      </w:r>
    </w:p>
    <w:p w14:paraId="66F53CC9" w14:textId="4464D8DF" w:rsidR="0450F1D4" w:rsidRPr="00EA2A4C" w:rsidRDefault="004C1864" w:rsidP="00BD0991">
      <w:pPr>
        <w:spacing w:before="120"/>
        <w:rPr>
          <w:rFonts w:asciiTheme="minorHAnsi" w:eastAsiaTheme="minorEastAsia" w:hAnsiTheme="minorHAnsi" w:cstheme="minorBidi"/>
        </w:rPr>
      </w:pPr>
      <w:r w:rsidRPr="00EA2A4C">
        <w:rPr>
          <w:rFonts w:asciiTheme="minorHAnsi" w:eastAsiaTheme="minorEastAsia" w:hAnsiTheme="minorHAnsi" w:cstheme="minorBidi"/>
        </w:rPr>
        <w:t>Úřad pro zastupování státu ve věcech majetkových (dále také „ÚZSVM“) převedl k 31.</w:t>
      </w:r>
      <w:r w:rsidR="00F6678D">
        <w:rPr>
          <w:rFonts w:asciiTheme="minorHAnsi" w:eastAsiaTheme="minorEastAsia" w:hAnsiTheme="minorHAnsi" w:cstheme="minorBidi"/>
        </w:rPr>
        <w:t> </w:t>
      </w:r>
      <w:r w:rsidRPr="00EA2A4C">
        <w:rPr>
          <w:rFonts w:asciiTheme="minorHAnsi" w:eastAsiaTheme="minorEastAsia" w:hAnsiTheme="minorHAnsi" w:cstheme="minorBidi"/>
        </w:rPr>
        <w:t>12.</w:t>
      </w:r>
      <w:r w:rsidR="00F6678D">
        <w:rPr>
          <w:rFonts w:asciiTheme="minorHAnsi" w:eastAsiaTheme="minorEastAsia" w:hAnsiTheme="minorHAnsi" w:cstheme="minorBidi"/>
        </w:rPr>
        <w:t> </w:t>
      </w:r>
      <w:r w:rsidRPr="00EA2A4C">
        <w:rPr>
          <w:rFonts w:asciiTheme="minorHAnsi" w:eastAsiaTheme="minorEastAsia" w:hAnsiTheme="minorHAnsi" w:cstheme="minorBidi"/>
        </w:rPr>
        <w:t>2021 na</w:t>
      </w:r>
      <w:r w:rsidR="00824C4C" w:rsidRPr="00EA2A4C">
        <w:rPr>
          <w:rFonts w:asciiTheme="minorHAnsi" w:eastAsiaTheme="minorEastAsia" w:hAnsiTheme="minorHAnsi" w:cstheme="minorBidi"/>
        </w:rPr>
        <w:t xml:space="preserve"> NSA celkem</w:t>
      </w:r>
      <w:r w:rsidR="002F07F0">
        <w:rPr>
          <w:rFonts w:asciiTheme="minorHAnsi" w:eastAsiaTheme="minorEastAsia" w:hAnsiTheme="minorHAnsi" w:cstheme="minorBidi"/>
        </w:rPr>
        <w:t xml:space="preserve"> 46 pozemků. Jednalo se o</w:t>
      </w:r>
      <w:r w:rsidR="00824C4C" w:rsidRPr="00EA2A4C">
        <w:rPr>
          <w:rFonts w:asciiTheme="minorHAnsi" w:eastAsiaTheme="minorEastAsia" w:hAnsiTheme="minorHAnsi" w:cstheme="minorBidi"/>
        </w:rPr>
        <w:t xml:space="preserve"> 29 </w:t>
      </w:r>
      <w:r w:rsidR="00070B8E">
        <w:rPr>
          <w:rFonts w:asciiTheme="minorHAnsi" w:eastAsiaTheme="minorEastAsia" w:hAnsiTheme="minorHAnsi" w:cstheme="minorBidi"/>
        </w:rPr>
        <w:t>pozemků</w:t>
      </w:r>
      <w:r w:rsidR="00824C4C" w:rsidRPr="00EA2A4C">
        <w:rPr>
          <w:rFonts w:asciiTheme="minorHAnsi" w:eastAsiaTheme="minorEastAsia" w:hAnsiTheme="minorHAnsi" w:cstheme="minorBidi"/>
        </w:rPr>
        <w:t xml:space="preserve"> a 17 stavebních </w:t>
      </w:r>
      <w:r w:rsidR="00070B8E">
        <w:rPr>
          <w:rFonts w:asciiTheme="minorHAnsi" w:eastAsiaTheme="minorEastAsia" w:hAnsiTheme="minorHAnsi" w:cstheme="minorBidi"/>
        </w:rPr>
        <w:t>parcel</w:t>
      </w:r>
      <w:r w:rsidR="00695594">
        <w:rPr>
          <w:rFonts w:asciiTheme="minorHAnsi" w:eastAsiaTheme="minorEastAsia" w:hAnsiTheme="minorHAnsi" w:cstheme="minorBidi"/>
        </w:rPr>
        <w:t xml:space="preserve">, </w:t>
      </w:r>
      <w:r w:rsidR="00A02738">
        <w:rPr>
          <w:rFonts w:asciiTheme="minorHAnsi" w:eastAsiaTheme="minorEastAsia" w:hAnsiTheme="minorHAnsi" w:cstheme="minorBidi"/>
        </w:rPr>
        <w:t xml:space="preserve">tj. pozemků, </w:t>
      </w:r>
      <w:r w:rsidR="00695594">
        <w:rPr>
          <w:rFonts w:asciiTheme="minorHAnsi" w:eastAsiaTheme="minorEastAsia" w:hAnsiTheme="minorHAnsi" w:cstheme="minorBidi"/>
        </w:rPr>
        <w:t>na kterých stojí stavby</w:t>
      </w:r>
      <w:r w:rsidR="00A02738">
        <w:rPr>
          <w:rFonts w:asciiTheme="minorHAnsi" w:eastAsiaTheme="minorEastAsia" w:hAnsiTheme="minorHAnsi" w:cstheme="minorBidi"/>
        </w:rPr>
        <w:t>.</w:t>
      </w:r>
      <w:r w:rsidR="00824C4C" w:rsidRPr="00EA2A4C">
        <w:rPr>
          <w:rFonts w:asciiTheme="minorHAnsi" w:eastAsiaTheme="minorEastAsia" w:hAnsiTheme="minorHAnsi" w:cstheme="minorBidi"/>
        </w:rPr>
        <w:t xml:space="preserve"> </w:t>
      </w:r>
      <w:r w:rsidR="00A02738">
        <w:rPr>
          <w:rFonts w:asciiTheme="minorHAnsi" w:eastAsiaTheme="minorEastAsia" w:hAnsiTheme="minorHAnsi" w:cstheme="minorBidi"/>
        </w:rPr>
        <w:t>Uvedené</w:t>
      </w:r>
      <w:r w:rsidR="00A02738" w:rsidRPr="00EA2A4C">
        <w:rPr>
          <w:rFonts w:asciiTheme="minorHAnsi" w:eastAsiaTheme="minorEastAsia" w:hAnsiTheme="minorHAnsi" w:cstheme="minorBidi"/>
        </w:rPr>
        <w:t xml:space="preserve"> pozemky</w:t>
      </w:r>
      <w:r w:rsidR="00A02738" w:rsidRPr="00A02738">
        <w:rPr>
          <w:rFonts w:asciiTheme="minorHAnsi" w:eastAsiaTheme="minorEastAsia" w:hAnsiTheme="minorHAnsi" w:cstheme="minorBidi"/>
        </w:rPr>
        <w:t xml:space="preserve"> </w:t>
      </w:r>
      <w:r w:rsidR="00A02738" w:rsidRPr="00EA2A4C">
        <w:rPr>
          <w:rFonts w:asciiTheme="minorHAnsi" w:eastAsiaTheme="minorEastAsia" w:hAnsiTheme="minorHAnsi" w:cstheme="minorBidi"/>
        </w:rPr>
        <w:t>v celkové účetní hodnotě 1</w:t>
      </w:r>
      <w:r w:rsidR="00A02738">
        <w:rPr>
          <w:rFonts w:asciiTheme="minorHAnsi" w:eastAsiaTheme="minorEastAsia" w:hAnsiTheme="minorHAnsi" w:cstheme="minorBidi"/>
        </w:rPr>
        <w:t> </w:t>
      </w:r>
      <w:r w:rsidR="00A02738" w:rsidRPr="00EA2A4C">
        <w:rPr>
          <w:rFonts w:asciiTheme="minorHAnsi" w:eastAsiaTheme="minorEastAsia" w:hAnsiTheme="minorHAnsi" w:cstheme="minorBidi"/>
        </w:rPr>
        <w:t>808</w:t>
      </w:r>
      <w:r w:rsidR="007300BC">
        <w:rPr>
          <w:rFonts w:asciiTheme="minorHAnsi" w:eastAsiaTheme="minorEastAsia" w:hAnsiTheme="minorHAnsi" w:cstheme="minorBidi"/>
        </w:rPr>
        <w:t> </w:t>
      </w:r>
      <w:r w:rsidR="00A02738" w:rsidRPr="00EA2A4C">
        <w:rPr>
          <w:rFonts w:asciiTheme="minorHAnsi" w:eastAsiaTheme="minorEastAsia" w:hAnsiTheme="minorHAnsi" w:cstheme="minorBidi"/>
        </w:rPr>
        <w:t>57</w:t>
      </w:r>
      <w:r w:rsidR="00A02738">
        <w:rPr>
          <w:rFonts w:asciiTheme="minorHAnsi" w:eastAsiaTheme="minorEastAsia" w:hAnsiTheme="minorHAnsi" w:cstheme="minorBidi"/>
        </w:rPr>
        <w:t>5</w:t>
      </w:r>
      <w:r w:rsidR="007300BC">
        <w:rPr>
          <w:rFonts w:asciiTheme="minorHAnsi" w:eastAsiaTheme="minorEastAsia" w:hAnsiTheme="minorHAnsi" w:cstheme="minorBidi"/>
        </w:rPr>
        <w:t> </w:t>
      </w:r>
      <w:r w:rsidR="00A02738" w:rsidRPr="00EA2A4C">
        <w:rPr>
          <w:rFonts w:asciiTheme="minorHAnsi" w:eastAsiaTheme="minorEastAsia" w:hAnsiTheme="minorHAnsi" w:cstheme="minorBidi"/>
        </w:rPr>
        <w:t>Kč</w:t>
      </w:r>
      <w:r w:rsidR="00A02738">
        <w:rPr>
          <w:rFonts w:asciiTheme="minorHAnsi" w:eastAsiaTheme="minorEastAsia" w:hAnsiTheme="minorHAnsi" w:cstheme="minorBidi"/>
        </w:rPr>
        <w:t xml:space="preserve"> se nachází</w:t>
      </w:r>
      <w:r w:rsidR="00A02738" w:rsidRPr="00EA2A4C">
        <w:rPr>
          <w:rFonts w:asciiTheme="minorHAnsi" w:eastAsiaTheme="minorEastAsia" w:hAnsiTheme="minorHAnsi" w:cstheme="minorBidi"/>
        </w:rPr>
        <w:t xml:space="preserve"> ve sjezdovém a</w:t>
      </w:r>
      <w:r w:rsidR="00A02738">
        <w:rPr>
          <w:rFonts w:asciiTheme="minorHAnsi" w:eastAsiaTheme="minorEastAsia" w:hAnsiTheme="minorHAnsi" w:cstheme="minorBidi"/>
        </w:rPr>
        <w:t> </w:t>
      </w:r>
      <w:r w:rsidR="00A02738" w:rsidRPr="00EA2A4C">
        <w:rPr>
          <w:rFonts w:asciiTheme="minorHAnsi" w:eastAsiaTheme="minorEastAsia" w:hAnsiTheme="minorHAnsi" w:cstheme="minorBidi"/>
        </w:rPr>
        <w:t>skokanském areálu v</w:t>
      </w:r>
      <w:r w:rsidR="00A02738">
        <w:rPr>
          <w:rFonts w:asciiTheme="minorHAnsi" w:eastAsiaTheme="minorEastAsia" w:hAnsiTheme="minorHAnsi" w:cstheme="minorBidi"/>
        </w:rPr>
        <w:t> </w:t>
      </w:r>
      <w:r w:rsidR="00A02738" w:rsidRPr="00EA2A4C">
        <w:rPr>
          <w:rFonts w:asciiTheme="minorHAnsi" w:eastAsiaTheme="minorEastAsia" w:hAnsiTheme="minorHAnsi" w:cstheme="minorBidi"/>
        </w:rPr>
        <w:t>Harrachově</w:t>
      </w:r>
      <w:r w:rsidR="00A02738">
        <w:rPr>
          <w:rFonts w:asciiTheme="minorHAnsi" w:eastAsiaTheme="minorEastAsia" w:hAnsiTheme="minorHAnsi" w:cstheme="minorBidi"/>
        </w:rPr>
        <w:t>.</w:t>
      </w:r>
      <w:r w:rsidR="00A02738" w:rsidRPr="00EA2A4C">
        <w:rPr>
          <w:rFonts w:asciiTheme="minorHAnsi" w:eastAsiaTheme="minorEastAsia" w:hAnsiTheme="minorHAnsi" w:cstheme="minorBidi"/>
        </w:rPr>
        <w:t xml:space="preserve"> </w:t>
      </w:r>
      <w:r w:rsidR="00A02738">
        <w:rPr>
          <w:rFonts w:asciiTheme="minorHAnsi" w:eastAsiaTheme="minorEastAsia" w:hAnsiTheme="minorHAnsi" w:cstheme="minorBidi"/>
        </w:rPr>
        <w:t>Jejich</w:t>
      </w:r>
      <w:r w:rsidR="00824C4C" w:rsidRPr="00EA2A4C">
        <w:rPr>
          <w:rFonts w:asciiTheme="minorHAnsi" w:eastAsiaTheme="minorEastAsia" w:hAnsiTheme="minorHAnsi" w:cstheme="minorBidi"/>
        </w:rPr>
        <w:t xml:space="preserve"> celkov</w:t>
      </w:r>
      <w:r w:rsidR="00A02738">
        <w:rPr>
          <w:rFonts w:asciiTheme="minorHAnsi" w:eastAsiaTheme="minorEastAsia" w:hAnsiTheme="minorHAnsi" w:cstheme="minorBidi"/>
        </w:rPr>
        <w:t>á</w:t>
      </w:r>
      <w:r w:rsidR="00824C4C" w:rsidRPr="00EA2A4C">
        <w:rPr>
          <w:rFonts w:asciiTheme="minorHAnsi" w:eastAsiaTheme="minorEastAsia" w:hAnsiTheme="minorHAnsi" w:cstheme="minorBidi"/>
        </w:rPr>
        <w:t xml:space="preserve"> </w:t>
      </w:r>
      <w:r w:rsidR="00824C4C" w:rsidRPr="00EA2A4C">
        <w:rPr>
          <w:rFonts w:asciiTheme="minorHAnsi" w:eastAsiaTheme="minorEastAsia" w:hAnsiTheme="minorHAnsi" w:cstheme="minorBidi"/>
        </w:rPr>
        <w:lastRenderedPageBreak/>
        <w:t>výmě</w:t>
      </w:r>
      <w:r w:rsidR="00A02738">
        <w:rPr>
          <w:rFonts w:asciiTheme="minorHAnsi" w:eastAsiaTheme="minorEastAsia" w:hAnsiTheme="minorHAnsi" w:cstheme="minorBidi"/>
        </w:rPr>
        <w:t>ra činí</w:t>
      </w:r>
      <w:r w:rsidR="00824C4C" w:rsidRPr="00EA2A4C">
        <w:rPr>
          <w:rFonts w:asciiTheme="minorHAnsi" w:eastAsiaTheme="minorEastAsia" w:hAnsiTheme="minorHAnsi" w:cstheme="minorBidi"/>
        </w:rPr>
        <w:t xml:space="preserve"> 295 923 m</w:t>
      </w:r>
      <w:r w:rsidR="00824C4C" w:rsidRPr="00EA2A4C">
        <w:rPr>
          <w:rFonts w:asciiTheme="minorHAnsi" w:eastAsiaTheme="minorEastAsia" w:hAnsiTheme="minorHAnsi" w:cstheme="minorBidi"/>
          <w:vertAlign w:val="superscript"/>
        </w:rPr>
        <w:t>2</w:t>
      </w:r>
      <w:r w:rsidRPr="00EA2A4C">
        <w:rPr>
          <w:rFonts w:asciiTheme="minorHAnsi" w:eastAsiaTheme="minorEastAsia" w:hAnsiTheme="minorHAnsi" w:cstheme="minorBidi"/>
        </w:rPr>
        <w:t xml:space="preserve">. </w:t>
      </w:r>
      <w:r w:rsidR="00363418" w:rsidRPr="00EA2A4C">
        <w:rPr>
          <w:rFonts w:asciiTheme="minorHAnsi" w:eastAsiaTheme="minorEastAsia" w:hAnsiTheme="minorHAnsi" w:cstheme="minorBidi"/>
        </w:rPr>
        <w:t>NKÚ ověřil na základě výpisů z katastru nemovitostí a katastrálních map charakter, popř. využití, převedených pozemků v</w:t>
      </w:r>
      <w:r w:rsidR="00363418">
        <w:rPr>
          <w:rFonts w:asciiTheme="minorHAnsi" w:eastAsiaTheme="minorEastAsia" w:hAnsiTheme="minorHAnsi" w:cstheme="minorBidi"/>
        </w:rPr>
        <w:t> </w:t>
      </w:r>
      <w:r w:rsidR="00363418" w:rsidRPr="00EA2A4C">
        <w:rPr>
          <w:rFonts w:asciiTheme="minorHAnsi" w:eastAsiaTheme="minorEastAsia" w:hAnsiTheme="minorHAnsi" w:cstheme="minorBidi"/>
        </w:rPr>
        <w:t>k</w:t>
      </w:r>
      <w:r w:rsidR="00363418">
        <w:rPr>
          <w:rFonts w:asciiTheme="minorHAnsi" w:eastAsiaTheme="minorEastAsia" w:hAnsiTheme="minorHAnsi" w:cstheme="minorBidi"/>
        </w:rPr>
        <w:t>atastrálním území</w:t>
      </w:r>
      <w:r w:rsidR="00363418" w:rsidRPr="00EA2A4C">
        <w:rPr>
          <w:rFonts w:asciiTheme="minorHAnsi" w:eastAsiaTheme="minorEastAsia" w:hAnsiTheme="minorHAnsi" w:cstheme="minorBidi"/>
        </w:rPr>
        <w:t xml:space="preserve"> Harrachov. Jednalo se zejména o</w:t>
      </w:r>
      <w:r w:rsidR="00363418">
        <w:rPr>
          <w:rFonts w:asciiTheme="minorHAnsi" w:eastAsiaTheme="minorEastAsia" w:hAnsiTheme="minorHAnsi" w:cstheme="minorBidi"/>
        </w:rPr>
        <w:t> </w:t>
      </w:r>
      <w:r w:rsidR="00363418" w:rsidRPr="00EA2A4C">
        <w:rPr>
          <w:rFonts w:asciiTheme="minorHAnsi" w:eastAsiaTheme="minorEastAsia" w:hAnsiTheme="minorHAnsi" w:cstheme="minorBidi"/>
        </w:rPr>
        <w:t>sjezdové tratě z Čertovy hory a lanové dráhy pro lyžaře, vč. staveb bez č. p. cizích vlastníků.</w:t>
      </w:r>
    </w:p>
    <w:p w14:paraId="6929E573" w14:textId="6BE0AD90" w:rsidR="0DB8AB6C" w:rsidRPr="00206D5F" w:rsidRDefault="143C210A" w:rsidP="00BD0991">
      <w:pPr>
        <w:spacing w:before="120"/>
        <w:rPr>
          <w:rFonts w:asciiTheme="minorHAnsi" w:eastAsiaTheme="minorEastAsia" w:hAnsiTheme="minorHAnsi" w:cstheme="minorBidi"/>
          <w:bCs/>
        </w:rPr>
      </w:pPr>
      <w:r w:rsidRPr="527EA771">
        <w:rPr>
          <w:rFonts w:asciiTheme="minorHAnsi" w:eastAsiaTheme="minorEastAsia" w:hAnsiTheme="minorHAnsi" w:cstheme="minorBidi"/>
        </w:rPr>
        <w:t>NSA s nemovitým majetkem převzala od ÚZSVM dvě nájemní smlouvy</w:t>
      </w:r>
      <w:r w:rsidR="00FB4327">
        <w:rPr>
          <w:rFonts w:asciiTheme="minorHAnsi" w:eastAsiaTheme="minorEastAsia" w:hAnsiTheme="minorHAnsi" w:cstheme="minorBidi"/>
        </w:rPr>
        <w:t xml:space="preserve"> k šesti pozemkům</w:t>
      </w:r>
      <w:r w:rsidR="00147F14" w:rsidRPr="527EA771">
        <w:rPr>
          <w:rStyle w:val="Znakapoznpodarou"/>
          <w:rFonts w:asciiTheme="minorHAnsi" w:eastAsiaTheme="minorEastAsia" w:hAnsiTheme="minorHAnsi" w:cstheme="minorBidi"/>
        </w:rPr>
        <w:footnoteReference w:id="52"/>
      </w:r>
      <w:r w:rsidR="004C1864" w:rsidRPr="527EA771">
        <w:rPr>
          <w:rFonts w:asciiTheme="minorHAnsi" w:eastAsiaTheme="minorEastAsia" w:hAnsiTheme="minorHAnsi" w:cstheme="minorBidi"/>
        </w:rPr>
        <w:t xml:space="preserve"> </w:t>
      </w:r>
      <w:r w:rsidR="00103859">
        <w:rPr>
          <w:rFonts w:asciiTheme="minorHAnsi" w:eastAsiaTheme="minorEastAsia" w:hAnsiTheme="minorHAnsi" w:cstheme="minorBidi"/>
        </w:rPr>
        <w:t xml:space="preserve">uzavřené </w:t>
      </w:r>
      <w:r w:rsidR="004C1864" w:rsidRPr="527EA771">
        <w:rPr>
          <w:rFonts w:asciiTheme="minorHAnsi" w:eastAsiaTheme="minorEastAsia" w:hAnsiTheme="minorHAnsi" w:cstheme="minorBidi"/>
        </w:rPr>
        <w:t>se dvěma různými subjekty</w:t>
      </w:r>
      <w:r w:rsidRPr="527EA771">
        <w:rPr>
          <w:rFonts w:asciiTheme="minorHAnsi" w:eastAsiaTheme="minorEastAsia" w:hAnsiTheme="minorHAnsi" w:cstheme="minorBidi"/>
        </w:rPr>
        <w:t>.</w:t>
      </w:r>
      <w:r w:rsidR="004C1864" w:rsidRPr="527EA771">
        <w:rPr>
          <w:rFonts w:asciiTheme="minorHAnsi" w:eastAsiaTheme="minorEastAsia" w:hAnsiTheme="minorHAnsi" w:cstheme="minorBidi"/>
        </w:rPr>
        <w:t xml:space="preserve"> </w:t>
      </w:r>
      <w:r w:rsidR="00147F14" w:rsidRPr="527EA771">
        <w:rPr>
          <w:rFonts w:asciiTheme="minorHAnsi" w:eastAsiaTheme="minorEastAsia" w:hAnsiTheme="minorHAnsi" w:cstheme="minorBidi"/>
        </w:rPr>
        <w:t xml:space="preserve">Po ukončení účinnosti </w:t>
      </w:r>
      <w:r w:rsidR="00FB4327">
        <w:rPr>
          <w:rFonts w:asciiTheme="minorHAnsi" w:eastAsiaTheme="minorEastAsia" w:hAnsiTheme="minorHAnsi" w:cstheme="minorBidi"/>
        </w:rPr>
        <w:t xml:space="preserve">těchto </w:t>
      </w:r>
      <w:r w:rsidR="00147F14" w:rsidRPr="527EA771">
        <w:rPr>
          <w:rFonts w:asciiTheme="minorHAnsi" w:eastAsiaTheme="minorEastAsia" w:hAnsiTheme="minorHAnsi" w:cstheme="minorBidi"/>
        </w:rPr>
        <w:t xml:space="preserve">smluv </w:t>
      </w:r>
      <w:r w:rsidRPr="527EA771">
        <w:rPr>
          <w:rFonts w:asciiTheme="minorHAnsi" w:eastAsiaTheme="minorEastAsia" w:hAnsiTheme="minorHAnsi" w:cstheme="minorBidi"/>
        </w:rPr>
        <w:t>NSA původní smlouvy o nájmu majetku</w:t>
      </w:r>
      <w:r w:rsidR="004C1864" w:rsidRPr="527EA771">
        <w:rPr>
          <w:rFonts w:asciiTheme="minorHAnsi" w:eastAsiaTheme="minorEastAsia" w:hAnsiTheme="minorHAnsi" w:cstheme="minorBidi"/>
        </w:rPr>
        <w:t xml:space="preserve"> </w:t>
      </w:r>
      <w:r w:rsidR="00FB4327" w:rsidRPr="527EA771">
        <w:rPr>
          <w:rFonts w:asciiTheme="minorHAnsi" w:eastAsiaTheme="minorEastAsia" w:hAnsiTheme="minorHAnsi" w:cstheme="minorBidi"/>
        </w:rPr>
        <w:t>neprodloužila</w:t>
      </w:r>
      <w:r w:rsidR="004C1864" w:rsidRPr="527EA771">
        <w:rPr>
          <w:rFonts w:asciiTheme="minorHAnsi" w:eastAsiaTheme="minorEastAsia" w:hAnsiTheme="minorHAnsi" w:cstheme="minorBidi"/>
        </w:rPr>
        <w:t>.</w:t>
      </w:r>
      <w:r w:rsidRPr="527EA771">
        <w:rPr>
          <w:rFonts w:asciiTheme="minorHAnsi" w:eastAsiaTheme="minorEastAsia" w:hAnsiTheme="minorHAnsi" w:cstheme="minorBidi"/>
        </w:rPr>
        <w:t xml:space="preserve"> Původní nájemci </w:t>
      </w:r>
      <w:r w:rsidR="00147F14" w:rsidRPr="527EA771">
        <w:rPr>
          <w:rFonts w:asciiTheme="minorHAnsi" w:eastAsiaTheme="minorEastAsia" w:hAnsiTheme="minorHAnsi" w:cstheme="minorBidi"/>
        </w:rPr>
        <w:t xml:space="preserve">však </w:t>
      </w:r>
      <w:r w:rsidRPr="527EA771">
        <w:rPr>
          <w:rFonts w:asciiTheme="minorHAnsi" w:eastAsiaTheme="minorEastAsia" w:hAnsiTheme="minorHAnsi" w:cstheme="minorBidi"/>
        </w:rPr>
        <w:t>uvedené pozemky</w:t>
      </w:r>
      <w:r w:rsidR="00CB7664">
        <w:rPr>
          <w:rFonts w:asciiTheme="minorHAnsi" w:eastAsiaTheme="minorEastAsia" w:hAnsiTheme="minorHAnsi" w:cstheme="minorBidi"/>
        </w:rPr>
        <w:t xml:space="preserve"> až do </w:t>
      </w:r>
      <w:r w:rsidR="00531A32">
        <w:rPr>
          <w:rFonts w:asciiTheme="minorHAnsi" w:eastAsiaTheme="minorEastAsia" w:hAnsiTheme="minorHAnsi" w:cstheme="minorBidi"/>
        </w:rPr>
        <w:t>ukončení kontroly NKÚ</w:t>
      </w:r>
      <w:r w:rsidRPr="527EA771">
        <w:rPr>
          <w:rFonts w:asciiTheme="minorHAnsi" w:eastAsiaTheme="minorEastAsia" w:hAnsiTheme="minorHAnsi" w:cstheme="minorBidi"/>
        </w:rPr>
        <w:t xml:space="preserve"> nadále užíva</w:t>
      </w:r>
      <w:r w:rsidR="00531A32">
        <w:rPr>
          <w:rFonts w:asciiTheme="minorHAnsi" w:eastAsiaTheme="minorEastAsia" w:hAnsiTheme="minorHAnsi" w:cstheme="minorBidi"/>
        </w:rPr>
        <w:t>li</w:t>
      </w:r>
      <w:r w:rsidRPr="527EA771">
        <w:rPr>
          <w:rFonts w:asciiTheme="minorHAnsi" w:eastAsiaTheme="minorEastAsia" w:hAnsiTheme="minorHAnsi" w:cstheme="minorBidi"/>
        </w:rPr>
        <w:t xml:space="preserve">. NSA tak </w:t>
      </w:r>
      <w:r w:rsidR="00AB6A88">
        <w:rPr>
          <w:rFonts w:asciiTheme="minorHAnsi" w:eastAsiaTheme="minorEastAsia" w:hAnsiTheme="minorHAnsi" w:cstheme="minorBidi"/>
        </w:rPr>
        <w:t>při</w:t>
      </w:r>
      <w:r w:rsidRPr="527EA771">
        <w:rPr>
          <w:rFonts w:asciiTheme="minorHAnsi" w:eastAsiaTheme="minorEastAsia" w:hAnsiTheme="minorHAnsi" w:cstheme="minorBidi"/>
        </w:rPr>
        <w:t xml:space="preserve"> užívání pozemků</w:t>
      </w:r>
      <w:r w:rsidR="00147F14" w:rsidRPr="527EA771">
        <w:rPr>
          <w:rFonts w:asciiTheme="minorHAnsi" w:eastAsiaTheme="minorEastAsia" w:hAnsiTheme="minorHAnsi" w:cstheme="minorBidi"/>
        </w:rPr>
        <w:t xml:space="preserve"> v případě </w:t>
      </w:r>
      <w:r w:rsidR="00103859">
        <w:rPr>
          <w:rFonts w:asciiTheme="minorHAnsi" w:eastAsiaTheme="minorEastAsia" w:hAnsiTheme="minorHAnsi" w:cstheme="minorBidi"/>
        </w:rPr>
        <w:t xml:space="preserve">jedné </w:t>
      </w:r>
      <w:r w:rsidR="00147F14" w:rsidRPr="527EA771">
        <w:rPr>
          <w:rFonts w:asciiTheme="minorHAnsi" w:eastAsiaTheme="minorEastAsia" w:hAnsiTheme="minorHAnsi" w:cstheme="minorBidi"/>
        </w:rPr>
        <w:t xml:space="preserve">smlouvy </w:t>
      </w:r>
      <w:r w:rsidRPr="527EA771">
        <w:rPr>
          <w:rFonts w:asciiTheme="minorHAnsi" w:eastAsiaTheme="minorEastAsia" w:hAnsiTheme="minorHAnsi" w:cstheme="minorBidi"/>
        </w:rPr>
        <w:t>bezdůvodně snížila výnos z nemovitého majetku minimálně</w:t>
      </w:r>
      <w:r w:rsidR="00103859">
        <w:rPr>
          <w:rFonts w:asciiTheme="minorHAnsi" w:eastAsiaTheme="minorEastAsia" w:hAnsiTheme="minorHAnsi" w:cstheme="minorBidi"/>
        </w:rPr>
        <w:t xml:space="preserve"> o</w:t>
      </w:r>
      <w:r w:rsidRPr="527EA771">
        <w:rPr>
          <w:rFonts w:asciiTheme="minorHAnsi" w:eastAsiaTheme="minorEastAsia" w:hAnsiTheme="minorHAnsi" w:cstheme="minorBidi"/>
        </w:rPr>
        <w:t xml:space="preserve"> 441 000 Kč</w:t>
      </w:r>
      <w:r w:rsidR="00103859">
        <w:rPr>
          <w:rFonts w:asciiTheme="minorHAnsi" w:eastAsiaTheme="minorEastAsia" w:hAnsiTheme="minorHAnsi" w:cstheme="minorBidi"/>
        </w:rPr>
        <w:t xml:space="preserve"> a</w:t>
      </w:r>
      <w:r w:rsidR="007300BC">
        <w:rPr>
          <w:rFonts w:asciiTheme="minorHAnsi" w:eastAsiaTheme="minorEastAsia" w:hAnsiTheme="minorHAnsi" w:cstheme="minorBidi"/>
        </w:rPr>
        <w:t> </w:t>
      </w:r>
      <w:r w:rsidRPr="527EA771">
        <w:rPr>
          <w:rFonts w:asciiTheme="minorHAnsi" w:eastAsiaTheme="minorEastAsia" w:hAnsiTheme="minorHAnsi" w:cstheme="minorBidi"/>
        </w:rPr>
        <w:t>v</w:t>
      </w:r>
      <w:r w:rsidR="007300BC">
        <w:rPr>
          <w:rFonts w:asciiTheme="minorHAnsi" w:eastAsiaTheme="minorEastAsia" w:hAnsiTheme="minorHAnsi" w:cstheme="minorBidi"/>
        </w:rPr>
        <w:t> </w:t>
      </w:r>
      <w:r w:rsidRPr="527EA771">
        <w:rPr>
          <w:rFonts w:asciiTheme="minorHAnsi" w:eastAsiaTheme="minorEastAsia" w:hAnsiTheme="minorHAnsi" w:cstheme="minorBidi"/>
        </w:rPr>
        <w:t xml:space="preserve">případě </w:t>
      </w:r>
      <w:r w:rsidR="00147F14" w:rsidRPr="527EA771">
        <w:rPr>
          <w:rFonts w:asciiTheme="minorHAnsi" w:eastAsiaTheme="minorEastAsia" w:hAnsiTheme="minorHAnsi" w:cstheme="minorBidi"/>
        </w:rPr>
        <w:t xml:space="preserve">druhé nájemní smlouvy </w:t>
      </w:r>
      <w:r w:rsidRPr="527EA771">
        <w:rPr>
          <w:rFonts w:asciiTheme="minorHAnsi" w:eastAsiaTheme="minorEastAsia" w:hAnsiTheme="minorHAnsi" w:cstheme="minorBidi"/>
        </w:rPr>
        <w:t xml:space="preserve">minimálně </w:t>
      </w:r>
      <w:r w:rsidR="00103859">
        <w:rPr>
          <w:rFonts w:asciiTheme="minorHAnsi" w:eastAsiaTheme="minorEastAsia" w:hAnsiTheme="minorHAnsi" w:cstheme="minorBidi"/>
        </w:rPr>
        <w:t xml:space="preserve">o </w:t>
      </w:r>
      <w:r w:rsidRPr="527EA771">
        <w:rPr>
          <w:rFonts w:asciiTheme="minorHAnsi" w:eastAsiaTheme="minorEastAsia" w:hAnsiTheme="minorHAnsi" w:cstheme="minorBidi"/>
        </w:rPr>
        <w:t>114 36</w:t>
      </w:r>
      <w:r w:rsidR="00531A32">
        <w:rPr>
          <w:rFonts w:asciiTheme="minorHAnsi" w:eastAsiaTheme="minorEastAsia" w:hAnsiTheme="minorHAnsi" w:cstheme="minorBidi"/>
        </w:rPr>
        <w:t>5</w:t>
      </w:r>
      <w:r w:rsidRPr="527EA771">
        <w:rPr>
          <w:rFonts w:asciiTheme="minorHAnsi" w:eastAsiaTheme="minorEastAsia" w:hAnsiTheme="minorHAnsi" w:cstheme="minorBidi"/>
        </w:rPr>
        <w:t xml:space="preserve"> Kč.</w:t>
      </w:r>
      <w:r w:rsidR="00A91F9E">
        <w:t xml:space="preserve"> </w:t>
      </w:r>
      <w:r w:rsidRPr="527EA771">
        <w:rPr>
          <w:rFonts w:asciiTheme="minorHAnsi" w:eastAsiaTheme="minorEastAsia" w:hAnsiTheme="minorHAnsi" w:cstheme="minorBidi"/>
        </w:rPr>
        <w:t>NSA</w:t>
      </w:r>
      <w:r w:rsidR="00F6678D">
        <w:rPr>
          <w:rFonts w:asciiTheme="minorHAnsi" w:eastAsiaTheme="minorEastAsia" w:hAnsiTheme="minorHAnsi" w:cstheme="minorBidi"/>
        </w:rPr>
        <w:t> </w:t>
      </w:r>
      <w:r w:rsidR="00147F14" w:rsidRPr="527EA771">
        <w:rPr>
          <w:rFonts w:asciiTheme="minorHAnsi" w:eastAsiaTheme="minorEastAsia" w:hAnsiTheme="minorHAnsi" w:cstheme="minorBidi"/>
        </w:rPr>
        <w:t xml:space="preserve">neuzavřela </w:t>
      </w:r>
      <w:r w:rsidRPr="527EA771">
        <w:rPr>
          <w:rFonts w:asciiTheme="minorHAnsi" w:eastAsiaTheme="minorEastAsia" w:hAnsiTheme="minorHAnsi" w:cstheme="minorBidi"/>
        </w:rPr>
        <w:t xml:space="preserve">do doby ukončení kontroly </w:t>
      </w:r>
      <w:r w:rsidR="00147F14" w:rsidRPr="527EA771">
        <w:rPr>
          <w:rFonts w:asciiTheme="minorHAnsi" w:eastAsiaTheme="minorEastAsia" w:hAnsiTheme="minorHAnsi" w:cstheme="minorBidi"/>
        </w:rPr>
        <w:t>NKÚ</w:t>
      </w:r>
      <w:r w:rsidRPr="527EA771">
        <w:rPr>
          <w:rFonts w:asciiTheme="minorHAnsi" w:eastAsiaTheme="minorEastAsia" w:hAnsiTheme="minorHAnsi" w:cstheme="minorBidi"/>
        </w:rPr>
        <w:t xml:space="preserve"> nové nájemní smlouvy</w:t>
      </w:r>
      <w:r w:rsidR="00147F14" w:rsidRPr="527EA771">
        <w:rPr>
          <w:rFonts w:asciiTheme="minorHAnsi" w:eastAsiaTheme="minorEastAsia" w:hAnsiTheme="minorHAnsi" w:cstheme="minorBidi"/>
        </w:rPr>
        <w:t>.</w:t>
      </w:r>
      <w:r w:rsidR="002F07F0" w:rsidRPr="002F07F0">
        <w:rPr>
          <w:rFonts w:asciiTheme="minorHAnsi" w:eastAsiaTheme="minorEastAsia" w:hAnsiTheme="minorHAnsi" w:cstheme="minorBidi"/>
          <w:bCs/>
        </w:rPr>
        <w:t xml:space="preserve"> </w:t>
      </w:r>
      <w:r w:rsidR="002F07F0" w:rsidRPr="00CA7608">
        <w:rPr>
          <w:rFonts w:asciiTheme="minorHAnsi" w:eastAsiaTheme="minorEastAsia" w:hAnsiTheme="minorHAnsi" w:cstheme="minorBidi"/>
          <w:bCs/>
        </w:rPr>
        <w:t xml:space="preserve">NSA umožnila bezúplatné užívání tohoto nemovitého majetku bez právního titulu jinými </w:t>
      </w:r>
      <w:r w:rsidR="002F07F0">
        <w:rPr>
          <w:rFonts w:asciiTheme="minorHAnsi" w:eastAsiaTheme="minorEastAsia" w:hAnsiTheme="minorHAnsi" w:cstheme="minorBidi"/>
          <w:bCs/>
        </w:rPr>
        <w:t>subjekty</w:t>
      </w:r>
      <w:r w:rsidR="002F07F0" w:rsidRPr="00CA7608">
        <w:rPr>
          <w:rFonts w:asciiTheme="minorHAnsi" w:eastAsiaTheme="minorEastAsia" w:hAnsiTheme="minorHAnsi" w:cstheme="minorBidi"/>
          <w:bCs/>
        </w:rPr>
        <w:t>. NSA tak</w:t>
      </w:r>
      <w:r w:rsidR="002F07F0">
        <w:rPr>
          <w:rFonts w:asciiTheme="minorHAnsi" w:eastAsiaTheme="minorEastAsia" w:hAnsiTheme="minorHAnsi" w:cstheme="minorBidi"/>
          <w:bCs/>
        </w:rPr>
        <w:t xml:space="preserve"> postupovala v rozporu se zákonem o</w:t>
      </w:r>
      <w:r w:rsidR="007300BC">
        <w:rPr>
          <w:rFonts w:asciiTheme="minorHAnsi" w:eastAsiaTheme="minorEastAsia" w:hAnsiTheme="minorHAnsi" w:cstheme="minorBidi"/>
          <w:bCs/>
        </w:rPr>
        <w:t> </w:t>
      </w:r>
      <w:r w:rsidR="002F07F0">
        <w:rPr>
          <w:rFonts w:asciiTheme="minorHAnsi" w:eastAsiaTheme="minorEastAsia" w:hAnsiTheme="minorHAnsi" w:cstheme="minorBidi"/>
          <w:bCs/>
        </w:rPr>
        <w:t>majetku ČR</w:t>
      </w:r>
      <w:r w:rsidR="002F07F0">
        <w:rPr>
          <w:rStyle w:val="Znakapoznpodarou"/>
          <w:rFonts w:asciiTheme="minorHAnsi" w:eastAsiaTheme="minorEastAsia" w:hAnsiTheme="minorHAnsi" w:cstheme="minorBidi"/>
          <w:bCs/>
        </w:rPr>
        <w:footnoteReference w:id="53"/>
      </w:r>
      <w:r w:rsidR="002F07F0">
        <w:rPr>
          <w:rFonts w:asciiTheme="minorHAnsi" w:eastAsiaTheme="minorEastAsia" w:hAnsiTheme="minorHAnsi" w:cstheme="minorBidi"/>
          <w:bCs/>
        </w:rPr>
        <w:t>,</w:t>
      </w:r>
      <w:r w:rsidR="002F07F0" w:rsidRPr="00CA7608">
        <w:rPr>
          <w:rFonts w:asciiTheme="minorHAnsi" w:eastAsiaTheme="minorEastAsia" w:hAnsiTheme="minorHAnsi" w:cstheme="minorBidi"/>
          <w:bCs/>
        </w:rPr>
        <w:t xml:space="preserve"> protože neodůvodněně sn</w:t>
      </w:r>
      <w:r w:rsidR="00103859">
        <w:rPr>
          <w:rFonts w:asciiTheme="minorHAnsi" w:eastAsiaTheme="minorEastAsia" w:hAnsiTheme="minorHAnsi" w:cstheme="minorBidi"/>
          <w:bCs/>
        </w:rPr>
        <w:t>íži</w:t>
      </w:r>
      <w:r w:rsidR="002F07F0" w:rsidRPr="00CA7608">
        <w:rPr>
          <w:rFonts w:asciiTheme="minorHAnsi" w:eastAsiaTheme="minorEastAsia" w:hAnsiTheme="minorHAnsi" w:cstheme="minorBidi"/>
          <w:bCs/>
        </w:rPr>
        <w:t>la výnos z majetku v</w:t>
      </w:r>
      <w:r w:rsidR="00FB4327">
        <w:rPr>
          <w:rFonts w:asciiTheme="minorHAnsi" w:eastAsiaTheme="minorEastAsia" w:hAnsiTheme="minorHAnsi" w:cstheme="minorBidi"/>
          <w:bCs/>
        </w:rPr>
        <w:t xml:space="preserve"> celkové </w:t>
      </w:r>
      <w:r w:rsidR="002F07F0" w:rsidRPr="00CA7608">
        <w:rPr>
          <w:rFonts w:asciiTheme="minorHAnsi" w:eastAsiaTheme="minorEastAsia" w:hAnsiTheme="minorHAnsi" w:cstheme="minorBidi"/>
          <w:bCs/>
        </w:rPr>
        <w:t>minimální výši 555 36</w:t>
      </w:r>
      <w:r w:rsidR="002F07F0">
        <w:rPr>
          <w:rFonts w:asciiTheme="minorHAnsi" w:eastAsiaTheme="minorEastAsia" w:hAnsiTheme="minorHAnsi" w:cstheme="minorBidi"/>
          <w:bCs/>
        </w:rPr>
        <w:t>5</w:t>
      </w:r>
      <w:r w:rsidR="002F07F0" w:rsidRPr="00CA7608">
        <w:rPr>
          <w:rFonts w:asciiTheme="minorHAnsi" w:eastAsiaTheme="minorEastAsia" w:hAnsiTheme="minorHAnsi" w:cstheme="minorBidi"/>
          <w:bCs/>
        </w:rPr>
        <w:t xml:space="preserve"> Kč.</w:t>
      </w:r>
    </w:p>
    <w:p w14:paraId="07546557" w14:textId="1501C151" w:rsidR="00CA7608" w:rsidRPr="00CA7608" w:rsidRDefault="00CA7608" w:rsidP="00BD0991">
      <w:pPr>
        <w:spacing w:before="120"/>
        <w:rPr>
          <w:rFonts w:asciiTheme="minorHAnsi" w:eastAsiaTheme="minorEastAsia" w:hAnsiTheme="minorHAnsi" w:cstheme="minorBidi"/>
          <w:bCs/>
        </w:rPr>
      </w:pPr>
      <w:r w:rsidRPr="00CA7608">
        <w:rPr>
          <w:rFonts w:asciiTheme="minorHAnsi" w:eastAsiaTheme="minorEastAsia" w:hAnsiTheme="minorHAnsi" w:cstheme="minorBidi"/>
          <w:bCs/>
        </w:rPr>
        <w:t xml:space="preserve">NSA </w:t>
      </w:r>
      <w:r w:rsidR="00A632A2">
        <w:rPr>
          <w:rFonts w:asciiTheme="minorHAnsi" w:eastAsiaTheme="minorEastAsia" w:hAnsiTheme="minorHAnsi" w:cstheme="minorBidi"/>
          <w:bCs/>
        </w:rPr>
        <w:t xml:space="preserve">dále </w:t>
      </w:r>
      <w:r w:rsidRPr="00CA7608">
        <w:rPr>
          <w:rFonts w:asciiTheme="minorHAnsi" w:eastAsiaTheme="minorEastAsia" w:hAnsiTheme="minorHAnsi" w:cstheme="minorBidi"/>
          <w:bCs/>
        </w:rPr>
        <w:t xml:space="preserve">nesledovala, zda nájemci pozemků řádně a včas plnili své </w:t>
      </w:r>
      <w:r w:rsidR="00A632A2">
        <w:rPr>
          <w:rFonts w:asciiTheme="minorHAnsi" w:eastAsiaTheme="minorEastAsia" w:hAnsiTheme="minorHAnsi" w:cstheme="minorBidi"/>
          <w:bCs/>
        </w:rPr>
        <w:t>závazk</w:t>
      </w:r>
      <w:r w:rsidRPr="00CA7608">
        <w:rPr>
          <w:rFonts w:asciiTheme="minorHAnsi" w:eastAsiaTheme="minorEastAsia" w:hAnsiTheme="minorHAnsi" w:cstheme="minorBidi"/>
          <w:bCs/>
        </w:rPr>
        <w:t>y vyplývající ze smluv v</w:t>
      </w:r>
      <w:r w:rsidR="00F6678D">
        <w:rPr>
          <w:rFonts w:asciiTheme="minorHAnsi" w:eastAsiaTheme="minorEastAsia" w:hAnsiTheme="minorHAnsi" w:cstheme="minorBidi"/>
          <w:bCs/>
        </w:rPr>
        <w:t> </w:t>
      </w:r>
      <w:r w:rsidRPr="00CA7608">
        <w:rPr>
          <w:rFonts w:asciiTheme="minorHAnsi" w:eastAsiaTheme="minorEastAsia" w:hAnsiTheme="minorHAnsi" w:cstheme="minorBidi"/>
          <w:bCs/>
        </w:rPr>
        <w:t>celkové výši nájemného 220 547 Kč</w:t>
      </w:r>
      <w:r w:rsidR="00206D5F">
        <w:rPr>
          <w:rFonts w:asciiTheme="minorHAnsi" w:eastAsiaTheme="minorEastAsia" w:hAnsiTheme="minorHAnsi" w:cstheme="minorBidi"/>
          <w:bCs/>
        </w:rPr>
        <w:t xml:space="preserve"> od nabytí příslušnosti hospodařit s tímto majetkem, tj. 1. 1. 2022</w:t>
      </w:r>
      <w:r w:rsidR="00540EEC">
        <w:rPr>
          <w:rFonts w:asciiTheme="minorHAnsi" w:eastAsiaTheme="minorEastAsia" w:hAnsiTheme="minorHAnsi" w:cstheme="minorBidi"/>
          <w:bCs/>
        </w:rPr>
        <w:t>,</w:t>
      </w:r>
      <w:r w:rsidR="00206D5F">
        <w:rPr>
          <w:rFonts w:asciiTheme="minorHAnsi" w:eastAsiaTheme="minorEastAsia" w:hAnsiTheme="minorHAnsi" w:cstheme="minorBidi"/>
          <w:bCs/>
        </w:rPr>
        <w:t xml:space="preserve"> do konce účinnosti smluv</w:t>
      </w:r>
      <w:r w:rsidR="00206D5F">
        <w:rPr>
          <w:rFonts w:asciiTheme="minorHAnsi" w:eastAsiaTheme="minorEastAsia" w:hAnsiTheme="minorHAnsi" w:cstheme="minorBidi"/>
          <w:bCs/>
          <w:vertAlign w:val="superscript"/>
        </w:rPr>
        <w:t>47</w:t>
      </w:r>
      <w:r w:rsidRPr="00CA7608">
        <w:rPr>
          <w:rFonts w:asciiTheme="minorHAnsi" w:eastAsiaTheme="minorEastAsia" w:hAnsiTheme="minorHAnsi" w:cstheme="minorBidi"/>
          <w:bCs/>
        </w:rPr>
        <w:t>. NSA tím postupovala v rozporu s</w:t>
      </w:r>
      <w:r w:rsidR="009C5477">
        <w:rPr>
          <w:rFonts w:asciiTheme="minorHAnsi" w:eastAsiaTheme="minorEastAsia" w:hAnsiTheme="minorHAnsi" w:cstheme="minorBidi"/>
          <w:bCs/>
        </w:rPr>
        <w:t>e zákonem o majetku ČR.</w:t>
      </w:r>
      <w:r w:rsidR="009C5477">
        <w:rPr>
          <w:rStyle w:val="Znakapoznpodarou"/>
          <w:rFonts w:asciiTheme="minorHAnsi" w:eastAsiaTheme="minorEastAsia" w:hAnsiTheme="minorHAnsi" w:cstheme="minorBidi"/>
          <w:bCs/>
        </w:rPr>
        <w:footnoteReference w:id="54"/>
      </w:r>
    </w:p>
    <w:p w14:paraId="4BC0780C" w14:textId="77777777" w:rsidR="00EA2A4C" w:rsidRPr="00EA2A4C" w:rsidRDefault="00EA2A4C" w:rsidP="00BD0991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AE16BD">
        <w:rPr>
          <w:rFonts w:asciiTheme="minorHAnsi" w:hAnsiTheme="minorHAnsi" w:cstheme="minorHAnsi"/>
        </w:rPr>
        <w:t>e zbylým</w:t>
      </w:r>
      <w:r>
        <w:rPr>
          <w:rFonts w:asciiTheme="minorHAnsi" w:hAnsiTheme="minorHAnsi" w:cstheme="minorHAnsi"/>
        </w:rPr>
        <w:t xml:space="preserve"> </w:t>
      </w:r>
      <w:r w:rsidR="00A91F9E">
        <w:rPr>
          <w:rFonts w:asciiTheme="minorHAnsi" w:hAnsiTheme="minorHAnsi" w:cstheme="minorHAnsi"/>
        </w:rPr>
        <w:t>40</w:t>
      </w:r>
      <w:r w:rsidR="00AE16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pozemkům NSA neměla </w:t>
      </w:r>
      <w:r w:rsidR="00AE16BD">
        <w:rPr>
          <w:rFonts w:asciiTheme="minorHAnsi" w:hAnsiTheme="minorHAnsi" w:cstheme="minorHAnsi"/>
        </w:rPr>
        <w:t>v kontrolovaném období uzavřeny žádné nájemní smlouvy. Z veřejně dostupných zdrojů bylo zjištěno, že tyto pozemky byly rovněž prokazatelně využívány</w:t>
      </w:r>
      <w:r w:rsidR="00531A32">
        <w:rPr>
          <w:rFonts w:asciiTheme="minorHAnsi" w:hAnsiTheme="minorHAnsi" w:cstheme="minorHAnsi"/>
        </w:rPr>
        <w:t xml:space="preserve"> jinými subjekty.</w:t>
      </w:r>
      <w:r w:rsidR="00AE16BD">
        <w:rPr>
          <w:rFonts w:asciiTheme="minorHAnsi" w:hAnsiTheme="minorHAnsi" w:cstheme="minorHAnsi"/>
        </w:rPr>
        <w:t xml:space="preserve"> Na pozemcích NSA byla např. lanová dráha, která je celoročně v provozu, hotel či stánky s občerstvením.</w:t>
      </w:r>
    </w:p>
    <w:p w14:paraId="31CA3C1A" w14:textId="3D3F647E" w:rsidR="371680BF" w:rsidRPr="00CA7608" w:rsidRDefault="371680BF" w:rsidP="00BD0991">
      <w:pPr>
        <w:spacing w:before="120"/>
        <w:rPr>
          <w:rFonts w:asciiTheme="minorHAnsi" w:eastAsiaTheme="minorEastAsia" w:hAnsiTheme="minorHAnsi" w:cstheme="minorBidi"/>
          <w:bCs/>
        </w:rPr>
      </w:pPr>
      <w:r w:rsidRPr="00CA7608">
        <w:rPr>
          <w:rFonts w:asciiTheme="minorHAnsi" w:eastAsiaTheme="minorEastAsia" w:hAnsiTheme="minorHAnsi" w:cstheme="minorBidi"/>
          <w:bCs/>
        </w:rPr>
        <w:t>NSA p</w:t>
      </w:r>
      <w:r w:rsidR="009C5477">
        <w:rPr>
          <w:rFonts w:asciiTheme="minorHAnsi" w:eastAsiaTheme="minorEastAsia" w:hAnsiTheme="minorHAnsi" w:cstheme="minorBidi"/>
          <w:bCs/>
        </w:rPr>
        <w:t>ostupovala v rozporu se zákonem o majetku ČR</w:t>
      </w:r>
      <w:r w:rsidR="009C5477">
        <w:rPr>
          <w:rStyle w:val="Znakapoznpodarou"/>
          <w:rFonts w:asciiTheme="minorHAnsi" w:eastAsiaTheme="minorEastAsia" w:hAnsiTheme="minorHAnsi" w:cstheme="minorBidi"/>
          <w:bCs/>
        </w:rPr>
        <w:footnoteReference w:id="55"/>
      </w:r>
      <w:r w:rsidRPr="00CA7608">
        <w:rPr>
          <w:rFonts w:asciiTheme="minorHAnsi" w:eastAsiaTheme="minorEastAsia" w:hAnsiTheme="minorHAnsi" w:cstheme="minorBidi"/>
          <w:bCs/>
        </w:rPr>
        <w:t xml:space="preserve"> tím, že nemovitý majetek (</w:t>
      </w:r>
      <w:r w:rsidR="00E93284">
        <w:rPr>
          <w:rFonts w:asciiTheme="minorHAnsi" w:eastAsiaTheme="minorEastAsia" w:hAnsiTheme="minorHAnsi" w:cstheme="minorBidi"/>
          <w:bCs/>
        </w:rPr>
        <w:t>46</w:t>
      </w:r>
      <w:r w:rsidR="00272B2B">
        <w:rPr>
          <w:rFonts w:asciiTheme="minorHAnsi" w:eastAsiaTheme="minorEastAsia" w:hAnsiTheme="minorHAnsi" w:cstheme="minorBidi"/>
          <w:bCs/>
        </w:rPr>
        <w:t> </w:t>
      </w:r>
      <w:r w:rsidR="00E93284">
        <w:rPr>
          <w:rFonts w:asciiTheme="minorHAnsi" w:eastAsiaTheme="minorEastAsia" w:hAnsiTheme="minorHAnsi" w:cstheme="minorBidi"/>
          <w:bCs/>
        </w:rPr>
        <w:t>pozemků</w:t>
      </w:r>
      <w:r w:rsidRPr="00CA7608">
        <w:rPr>
          <w:rFonts w:asciiTheme="minorHAnsi" w:eastAsiaTheme="minorEastAsia" w:hAnsiTheme="minorHAnsi" w:cstheme="minorBidi"/>
          <w:bCs/>
        </w:rPr>
        <w:t xml:space="preserve"> v celkové výměře 295 923 m</w:t>
      </w:r>
      <w:r w:rsidRPr="00CA7608">
        <w:rPr>
          <w:rFonts w:asciiTheme="minorHAnsi" w:eastAsiaTheme="minorEastAsia" w:hAnsiTheme="minorHAnsi" w:cstheme="minorBidi"/>
          <w:bCs/>
          <w:vertAlign w:val="superscript"/>
        </w:rPr>
        <w:t>2</w:t>
      </w:r>
      <w:r w:rsidRPr="00CA7608">
        <w:rPr>
          <w:rFonts w:asciiTheme="minorHAnsi" w:eastAsiaTheme="minorEastAsia" w:hAnsiTheme="minorHAnsi" w:cstheme="minorBidi"/>
          <w:bCs/>
        </w:rPr>
        <w:t>) nevyužívala účelně a hospodárně k plnění funkcí státu a k výkonu stanovených činností v období od</w:t>
      </w:r>
      <w:r w:rsidR="00272B2B">
        <w:rPr>
          <w:rFonts w:asciiTheme="minorHAnsi" w:eastAsiaTheme="minorEastAsia" w:hAnsiTheme="minorHAnsi" w:cstheme="minorBidi"/>
          <w:bCs/>
        </w:rPr>
        <w:t xml:space="preserve"> </w:t>
      </w:r>
      <w:r w:rsidRPr="00CA7608">
        <w:rPr>
          <w:rFonts w:asciiTheme="minorHAnsi" w:eastAsiaTheme="minorEastAsia" w:hAnsiTheme="minorHAnsi" w:cstheme="minorBidi"/>
          <w:bCs/>
        </w:rPr>
        <w:t>nabytí příslušnosti hospodařit s tímto majetkem, t</w:t>
      </w:r>
      <w:r w:rsidR="00540EEC">
        <w:rPr>
          <w:rFonts w:asciiTheme="minorHAnsi" w:eastAsiaTheme="minorEastAsia" w:hAnsiTheme="minorHAnsi" w:cstheme="minorBidi"/>
          <w:bCs/>
        </w:rPr>
        <w:t>j.</w:t>
      </w:r>
      <w:r w:rsidRPr="00CA7608">
        <w:rPr>
          <w:rFonts w:asciiTheme="minorHAnsi" w:eastAsiaTheme="minorEastAsia" w:hAnsiTheme="minorHAnsi" w:cstheme="minorBidi"/>
          <w:bCs/>
        </w:rPr>
        <w:t xml:space="preserve"> od 1. 1. 2022</w:t>
      </w:r>
      <w:r w:rsidR="00540EEC">
        <w:rPr>
          <w:rFonts w:asciiTheme="minorHAnsi" w:eastAsiaTheme="minorEastAsia" w:hAnsiTheme="minorHAnsi" w:cstheme="minorBidi"/>
          <w:bCs/>
        </w:rPr>
        <w:t>,</w:t>
      </w:r>
      <w:r w:rsidRPr="00CA7608">
        <w:rPr>
          <w:rFonts w:asciiTheme="minorHAnsi" w:eastAsiaTheme="minorEastAsia" w:hAnsiTheme="minorHAnsi" w:cstheme="minorBidi"/>
          <w:bCs/>
        </w:rPr>
        <w:t xml:space="preserve"> do doby ukončení kontroly NKÚ.</w:t>
      </w:r>
    </w:p>
    <w:p w14:paraId="36707FD2" w14:textId="77777777" w:rsidR="371680BF" w:rsidRDefault="00920BE5" w:rsidP="00BD0991">
      <w:pPr>
        <w:spacing w:before="120"/>
        <w:rPr>
          <w:rFonts w:asciiTheme="minorHAnsi" w:eastAsiaTheme="minorEastAsia" w:hAnsiTheme="minorHAnsi" w:cstheme="minorBidi"/>
          <w:bCs/>
        </w:rPr>
      </w:pPr>
      <w:r w:rsidRPr="00CA7608">
        <w:rPr>
          <w:rFonts w:asciiTheme="minorHAnsi" w:eastAsiaTheme="minorEastAsia" w:hAnsiTheme="minorHAnsi" w:cstheme="minorBidi"/>
          <w:bCs/>
        </w:rPr>
        <w:t xml:space="preserve">Dále </w:t>
      </w:r>
      <w:r w:rsidR="371680BF" w:rsidRPr="00CA7608">
        <w:rPr>
          <w:rFonts w:asciiTheme="minorHAnsi" w:eastAsiaTheme="minorEastAsia" w:hAnsiTheme="minorHAnsi" w:cstheme="minorBidi"/>
          <w:bCs/>
        </w:rPr>
        <w:t>NSA po</w:t>
      </w:r>
      <w:r w:rsidR="009C5477">
        <w:rPr>
          <w:rFonts w:asciiTheme="minorHAnsi" w:eastAsiaTheme="minorEastAsia" w:hAnsiTheme="minorHAnsi" w:cstheme="minorBidi"/>
          <w:bCs/>
        </w:rPr>
        <w:t>stupovala v rozporu se zákonem o majetku ČR</w:t>
      </w:r>
      <w:r w:rsidR="009C5477">
        <w:rPr>
          <w:rStyle w:val="Znakapoznpodarou"/>
          <w:rFonts w:asciiTheme="minorHAnsi" w:eastAsiaTheme="minorEastAsia" w:hAnsiTheme="minorHAnsi" w:cstheme="minorBidi"/>
          <w:bCs/>
        </w:rPr>
        <w:footnoteReference w:id="56"/>
      </w:r>
      <w:r w:rsidR="371680BF" w:rsidRPr="00CA7608">
        <w:rPr>
          <w:rFonts w:asciiTheme="minorHAnsi" w:eastAsiaTheme="minorEastAsia" w:hAnsiTheme="minorHAnsi" w:cstheme="minorBidi"/>
          <w:bCs/>
        </w:rPr>
        <w:t xml:space="preserve"> tím, že nevyužívala všechny právní prostředky při uplatňování a hájení práv státu jako vlastníka</w:t>
      </w:r>
      <w:r w:rsidR="00531A32">
        <w:rPr>
          <w:rFonts w:asciiTheme="minorHAnsi" w:eastAsiaTheme="minorEastAsia" w:hAnsiTheme="minorHAnsi" w:cstheme="minorBidi"/>
          <w:bCs/>
        </w:rPr>
        <w:t xml:space="preserve">, a to </w:t>
      </w:r>
      <w:r w:rsidR="371680BF" w:rsidRPr="00CA7608">
        <w:rPr>
          <w:rFonts w:asciiTheme="minorHAnsi" w:eastAsiaTheme="minorEastAsia" w:hAnsiTheme="minorHAnsi" w:cstheme="minorBidi"/>
          <w:bCs/>
        </w:rPr>
        <w:t xml:space="preserve">tím, že včas neuplatňovala právo na vydání bezdůvodného obohacení od jiných právnických či fyzických osob, které užívaly </w:t>
      </w:r>
      <w:r w:rsidRPr="00CA7608">
        <w:rPr>
          <w:rFonts w:asciiTheme="minorHAnsi" w:eastAsiaTheme="minorEastAsia" w:hAnsiTheme="minorHAnsi" w:cstheme="minorBidi"/>
          <w:bCs/>
        </w:rPr>
        <w:t xml:space="preserve">výše zmíněný </w:t>
      </w:r>
      <w:r w:rsidR="371680BF" w:rsidRPr="00CA7608">
        <w:rPr>
          <w:rFonts w:asciiTheme="minorHAnsi" w:eastAsiaTheme="minorEastAsia" w:hAnsiTheme="minorHAnsi" w:cstheme="minorBidi"/>
          <w:bCs/>
        </w:rPr>
        <w:t>nemovitý majetek.</w:t>
      </w:r>
    </w:p>
    <w:p w14:paraId="14E474FB" w14:textId="77777777" w:rsidR="00A632A2" w:rsidRPr="00CA7608" w:rsidRDefault="00A632A2" w:rsidP="00BD0991">
      <w:pPr>
        <w:spacing w:before="120"/>
        <w:rPr>
          <w:rFonts w:asciiTheme="minorHAnsi" w:eastAsiaTheme="minorEastAsia" w:hAnsiTheme="minorHAnsi" w:cstheme="minorBidi"/>
          <w:bCs/>
        </w:rPr>
      </w:pPr>
      <w:r>
        <w:rPr>
          <w:rFonts w:asciiTheme="minorHAnsi" w:eastAsiaTheme="minorEastAsia" w:hAnsiTheme="minorHAnsi" w:cstheme="minorBidi"/>
          <w:bCs/>
        </w:rPr>
        <w:t>K promlčení práva na vydání bezdůvodného obohacení do doby ukončení kontroly NKÚ nedošlo.</w:t>
      </w:r>
    </w:p>
    <w:p w14:paraId="1B6884EC" w14:textId="77777777" w:rsidR="0058238C" w:rsidRPr="00142C19" w:rsidRDefault="009B081D" w:rsidP="009B081D">
      <w:pPr>
        <w:pStyle w:val="Nadpis1"/>
        <w:spacing w:after="120"/>
      </w:pPr>
      <w:r>
        <w:rPr>
          <w:rFonts w:asciiTheme="minorHAnsi" w:hAnsiTheme="minorHAnsi" w:cstheme="minorBidi"/>
        </w:rPr>
        <w:t xml:space="preserve">6. </w:t>
      </w:r>
      <w:r w:rsidR="00B42A48" w:rsidRPr="75EB0935">
        <w:rPr>
          <w:rFonts w:asciiTheme="minorHAnsi" w:hAnsiTheme="minorHAnsi" w:cstheme="minorBidi"/>
        </w:rPr>
        <w:t>Nedostatky při vynakládání peněžních prostředků na nákup služeb a pořízení majetku</w:t>
      </w:r>
    </w:p>
    <w:p w14:paraId="13C00D01" w14:textId="77777777" w:rsidR="26BB71EC" w:rsidRDefault="754C1871" w:rsidP="6524B888">
      <w:pPr>
        <w:spacing w:before="120"/>
        <w:rPr>
          <w:rFonts w:asciiTheme="minorHAnsi" w:eastAsiaTheme="minorEastAsia" w:hAnsiTheme="minorHAnsi" w:cstheme="minorBidi"/>
        </w:rPr>
      </w:pPr>
      <w:r w:rsidRPr="6524B888">
        <w:rPr>
          <w:rFonts w:asciiTheme="minorHAnsi" w:eastAsiaTheme="minorEastAsia" w:hAnsiTheme="minorHAnsi" w:cstheme="minorBidi"/>
        </w:rPr>
        <w:t>Kontrolou bylo prověřeno</w:t>
      </w:r>
      <w:r w:rsidR="7603E294" w:rsidRPr="6524B888">
        <w:rPr>
          <w:rFonts w:asciiTheme="minorHAnsi" w:eastAsiaTheme="minorEastAsia" w:hAnsiTheme="minorHAnsi" w:cstheme="minorBidi"/>
        </w:rPr>
        <w:t xml:space="preserve"> šest</w:t>
      </w:r>
      <w:r w:rsidR="70098F1C" w:rsidRPr="6524B888">
        <w:rPr>
          <w:rFonts w:asciiTheme="minorHAnsi" w:eastAsiaTheme="minorEastAsia" w:hAnsiTheme="minorHAnsi" w:cstheme="minorBidi"/>
        </w:rPr>
        <w:t xml:space="preserve"> </w:t>
      </w:r>
      <w:r w:rsidR="7603E294" w:rsidRPr="6524B888">
        <w:rPr>
          <w:rFonts w:asciiTheme="minorHAnsi" w:eastAsiaTheme="minorEastAsia" w:hAnsiTheme="minorHAnsi" w:cstheme="minorBidi"/>
        </w:rPr>
        <w:t xml:space="preserve">smluv o poskytování právních služeb, které </w:t>
      </w:r>
      <w:r w:rsidR="549E8B0A" w:rsidRPr="6524B888">
        <w:rPr>
          <w:rFonts w:asciiTheme="minorHAnsi" w:eastAsiaTheme="minorEastAsia" w:hAnsiTheme="minorHAnsi" w:cstheme="minorBidi"/>
        </w:rPr>
        <w:t xml:space="preserve">NSA </w:t>
      </w:r>
      <w:r w:rsidR="7603E294" w:rsidRPr="6524B888">
        <w:rPr>
          <w:rFonts w:asciiTheme="minorHAnsi" w:eastAsiaTheme="minorEastAsia" w:hAnsiTheme="minorHAnsi" w:cstheme="minorBidi"/>
        </w:rPr>
        <w:t>uzavře</w:t>
      </w:r>
      <w:r w:rsidR="328C7014" w:rsidRPr="6524B888">
        <w:rPr>
          <w:rFonts w:asciiTheme="minorHAnsi" w:eastAsiaTheme="minorEastAsia" w:hAnsiTheme="minorHAnsi" w:cstheme="minorBidi"/>
        </w:rPr>
        <w:t>la</w:t>
      </w:r>
      <w:r w:rsidR="7603E294" w:rsidRPr="6524B888">
        <w:rPr>
          <w:rFonts w:asciiTheme="minorHAnsi" w:eastAsiaTheme="minorEastAsia" w:hAnsiTheme="minorHAnsi" w:cstheme="minorBidi"/>
        </w:rPr>
        <w:t xml:space="preserve"> v</w:t>
      </w:r>
      <w:r w:rsidR="00F6678D">
        <w:rPr>
          <w:rFonts w:asciiTheme="minorHAnsi" w:eastAsiaTheme="minorEastAsia" w:hAnsiTheme="minorHAnsi" w:cstheme="minorBidi"/>
        </w:rPr>
        <w:t> </w:t>
      </w:r>
      <w:r w:rsidR="7603E294" w:rsidRPr="6524B888">
        <w:rPr>
          <w:rFonts w:asciiTheme="minorHAnsi" w:eastAsiaTheme="minorEastAsia" w:hAnsiTheme="minorHAnsi" w:cstheme="minorBidi"/>
        </w:rPr>
        <w:t>období mezi roky 2020 až 2022. Na základě těchto smluv NSA vynaložila celkem 1</w:t>
      </w:r>
      <w:r w:rsidR="002A03F3">
        <w:rPr>
          <w:rFonts w:asciiTheme="minorHAnsi" w:eastAsiaTheme="minorEastAsia" w:hAnsiTheme="minorHAnsi" w:cstheme="minorBidi"/>
        </w:rPr>
        <w:t> </w:t>
      </w:r>
      <w:r w:rsidR="7603E294" w:rsidRPr="6524B888">
        <w:rPr>
          <w:rFonts w:asciiTheme="minorHAnsi" w:eastAsiaTheme="minorEastAsia" w:hAnsiTheme="minorHAnsi" w:cstheme="minorBidi"/>
        </w:rPr>
        <w:t>953</w:t>
      </w:r>
      <w:r w:rsidR="002A03F3">
        <w:rPr>
          <w:rFonts w:asciiTheme="minorHAnsi" w:eastAsiaTheme="minorEastAsia" w:hAnsiTheme="minorHAnsi" w:cstheme="minorBidi"/>
        </w:rPr>
        <w:t> </w:t>
      </w:r>
      <w:r w:rsidR="7603E294" w:rsidRPr="6524B888">
        <w:rPr>
          <w:rFonts w:asciiTheme="minorHAnsi" w:eastAsiaTheme="minorEastAsia" w:hAnsiTheme="minorHAnsi" w:cstheme="minorBidi"/>
        </w:rPr>
        <w:t>832</w:t>
      </w:r>
      <w:r w:rsidR="002A03F3">
        <w:rPr>
          <w:rFonts w:asciiTheme="minorHAnsi" w:eastAsiaTheme="minorEastAsia" w:hAnsiTheme="minorHAnsi" w:cstheme="minorBidi"/>
        </w:rPr>
        <w:t> </w:t>
      </w:r>
      <w:r w:rsidR="7603E294" w:rsidRPr="6524B888">
        <w:rPr>
          <w:rFonts w:asciiTheme="minorHAnsi" w:eastAsiaTheme="minorEastAsia" w:hAnsiTheme="minorHAnsi" w:cstheme="minorBidi"/>
        </w:rPr>
        <w:t>Kč vč. DPH. Tři z těchto smluv byly uzavřeny na základě realizovaného průzkumu trhu či</w:t>
      </w:r>
      <w:r w:rsidR="00272B2B">
        <w:rPr>
          <w:rFonts w:asciiTheme="minorHAnsi" w:eastAsiaTheme="minorEastAsia" w:hAnsiTheme="minorHAnsi" w:cstheme="minorBidi"/>
        </w:rPr>
        <w:t xml:space="preserve"> </w:t>
      </w:r>
      <w:r w:rsidR="7603E294" w:rsidRPr="6524B888">
        <w:rPr>
          <w:rFonts w:asciiTheme="minorHAnsi" w:eastAsiaTheme="minorEastAsia" w:hAnsiTheme="minorHAnsi" w:cstheme="minorBidi"/>
        </w:rPr>
        <w:t>výběrových řízení, zbylé tři byly uzavřeny na základě využití zákonných výjimek.</w:t>
      </w:r>
      <w:r w:rsidR="00735BCA">
        <w:rPr>
          <w:rFonts w:asciiTheme="minorHAnsi" w:eastAsiaTheme="minorEastAsia" w:hAnsiTheme="minorHAnsi" w:cstheme="minorBidi"/>
        </w:rPr>
        <w:t xml:space="preserve"> </w:t>
      </w:r>
    </w:p>
    <w:p w14:paraId="49BFACD7" w14:textId="68068020" w:rsidR="00735BCA" w:rsidRPr="00913EE2" w:rsidRDefault="00735BCA" w:rsidP="00735BCA">
      <w:pPr>
        <w:spacing w:before="120"/>
        <w:rPr>
          <w:rFonts w:asciiTheme="minorHAnsi" w:eastAsiaTheme="minorEastAsia" w:hAnsiTheme="minorHAnsi" w:cstheme="minorBidi"/>
        </w:rPr>
      </w:pPr>
      <w:r w:rsidRPr="6524B888">
        <w:rPr>
          <w:rFonts w:asciiTheme="minorHAnsi" w:eastAsiaTheme="minorEastAsia" w:hAnsiTheme="minorHAnsi" w:cstheme="minorBidi"/>
        </w:rPr>
        <w:lastRenderedPageBreak/>
        <w:t xml:space="preserve">Kontrola </w:t>
      </w:r>
      <w:r w:rsidR="007F0B7C" w:rsidRPr="00154A50">
        <w:rPr>
          <w:rFonts w:asciiTheme="minorHAnsi" w:eastAsiaTheme="minorEastAsia" w:hAnsiTheme="minorHAnsi" w:cstheme="minorBidi"/>
        </w:rPr>
        <w:t xml:space="preserve">dále </w:t>
      </w:r>
      <w:r w:rsidRPr="00154A50">
        <w:rPr>
          <w:rFonts w:asciiTheme="minorHAnsi" w:eastAsiaTheme="minorEastAsia" w:hAnsiTheme="minorHAnsi" w:cstheme="minorBidi"/>
        </w:rPr>
        <w:t xml:space="preserve">prověřila tři </w:t>
      </w:r>
      <w:r w:rsidR="00A632A2">
        <w:rPr>
          <w:rFonts w:asciiTheme="minorHAnsi" w:eastAsiaTheme="minorEastAsia" w:hAnsiTheme="minorHAnsi" w:cstheme="minorBidi"/>
        </w:rPr>
        <w:t>veřejné zakázky</w:t>
      </w:r>
      <w:r w:rsidRPr="00154A50">
        <w:rPr>
          <w:rFonts w:asciiTheme="minorHAnsi" w:eastAsiaTheme="minorEastAsia" w:hAnsiTheme="minorHAnsi" w:cstheme="minorBidi"/>
        </w:rPr>
        <w:t xml:space="preserve"> </w:t>
      </w:r>
      <w:r w:rsidR="00A632A2" w:rsidRPr="00154A50">
        <w:rPr>
          <w:rFonts w:asciiTheme="minorHAnsi" w:eastAsiaTheme="minorEastAsia" w:hAnsiTheme="minorHAnsi" w:cstheme="minorBidi"/>
        </w:rPr>
        <w:t xml:space="preserve">(dále také „VZ“) </w:t>
      </w:r>
      <w:r w:rsidRPr="00154A50">
        <w:rPr>
          <w:rFonts w:asciiTheme="minorHAnsi" w:eastAsiaTheme="minorEastAsia" w:hAnsiTheme="minorHAnsi" w:cstheme="minorBidi"/>
        </w:rPr>
        <w:t xml:space="preserve">zadané prostřednictvím </w:t>
      </w:r>
      <w:r w:rsidR="00352753" w:rsidRPr="00154A50">
        <w:rPr>
          <w:rFonts w:asciiTheme="minorHAnsi" w:hAnsiTheme="minorHAnsi" w:cstheme="minorHAnsi"/>
        </w:rPr>
        <w:t>Národního elektronického nástroje (dále</w:t>
      </w:r>
      <w:r w:rsidR="00540EEC">
        <w:rPr>
          <w:rFonts w:asciiTheme="minorHAnsi" w:hAnsiTheme="minorHAnsi" w:cstheme="minorHAnsi"/>
        </w:rPr>
        <w:t xml:space="preserve"> </w:t>
      </w:r>
      <w:r w:rsidR="00352753" w:rsidRPr="00154A50">
        <w:rPr>
          <w:rFonts w:asciiTheme="minorHAnsi" w:hAnsiTheme="minorHAnsi" w:cstheme="minorHAnsi"/>
        </w:rPr>
        <w:t>také „NEN“)</w:t>
      </w:r>
      <w:r w:rsidRPr="00154A50">
        <w:rPr>
          <w:rFonts w:asciiTheme="minorHAnsi" w:eastAsiaTheme="minorEastAsia" w:hAnsiTheme="minorHAnsi" w:cstheme="minorBidi"/>
        </w:rPr>
        <w:t>, jejichž hodnota činila celkem 3</w:t>
      </w:r>
      <w:r w:rsidR="00272B2B">
        <w:rPr>
          <w:rFonts w:asciiTheme="minorHAnsi" w:eastAsiaTheme="minorEastAsia" w:hAnsiTheme="minorHAnsi" w:cstheme="minorBidi"/>
        </w:rPr>
        <w:t> </w:t>
      </w:r>
      <w:r w:rsidRPr="00154A50">
        <w:rPr>
          <w:rFonts w:asciiTheme="minorHAnsi" w:eastAsiaTheme="minorEastAsia" w:hAnsiTheme="minorHAnsi" w:cstheme="minorBidi"/>
        </w:rPr>
        <w:t>632</w:t>
      </w:r>
      <w:r w:rsidR="00272B2B">
        <w:rPr>
          <w:rFonts w:asciiTheme="minorHAnsi" w:eastAsiaTheme="minorEastAsia" w:hAnsiTheme="minorHAnsi" w:cstheme="minorBidi"/>
        </w:rPr>
        <w:t> </w:t>
      </w:r>
      <w:r w:rsidRPr="00154A50">
        <w:rPr>
          <w:rFonts w:asciiTheme="minorHAnsi" w:eastAsiaTheme="minorEastAsia" w:hAnsiTheme="minorHAnsi" w:cstheme="minorBidi"/>
        </w:rPr>
        <w:t>856</w:t>
      </w:r>
      <w:r w:rsidR="00272B2B">
        <w:rPr>
          <w:rFonts w:asciiTheme="minorHAnsi" w:eastAsiaTheme="minorEastAsia" w:hAnsiTheme="minorHAnsi" w:cstheme="minorBidi"/>
        </w:rPr>
        <w:t> </w:t>
      </w:r>
      <w:r w:rsidRPr="00154A50">
        <w:rPr>
          <w:rFonts w:asciiTheme="minorHAnsi" w:eastAsiaTheme="minorEastAsia" w:hAnsiTheme="minorHAnsi" w:cstheme="minorBidi"/>
        </w:rPr>
        <w:t>Kč bez DPH. Jednalo se o</w:t>
      </w:r>
      <w:r w:rsidR="00352753" w:rsidRPr="00154A50">
        <w:rPr>
          <w:rFonts w:asciiTheme="minorHAnsi" w:eastAsiaTheme="minorEastAsia" w:hAnsiTheme="minorHAnsi" w:cstheme="minorBidi"/>
        </w:rPr>
        <w:t xml:space="preserve"> </w:t>
      </w:r>
      <w:r w:rsidR="00A632A2">
        <w:rPr>
          <w:rFonts w:asciiTheme="minorHAnsi" w:eastAsiaTheme="minorEastAsia" w:hAnsiTheme="minorHAnsi" w:cstheme="minorBidi"/>
        </w:rPr>
        <w:t xml:space="preserve">VZ </w:t>
      </w:r>
      <w:r w:rsidRPr="00154A50">
        <w:rPr>
          <w:rFonts w:asciiTheme="minorHAnsi" w:eastAsiaTheme="minorEastAsia" w:hAnsiTheme="minorHAnsi" w:cstheme="minorBidi"/>
        </w:rPr>
        <w:t>na posouzení projektových dokumentací a</w:t>
      </w:r>
      <w:r w:rsidR="007F0B7C" w:rsidRPr="00154A50">
        <w:rPr>
          <w:rFonts w:asciiTheme="minorHAnsi" w:eastAsiaTheme="minorEastAsia" w:hAnsiTheme="minorHAnsi" w:cstheme="minorBidi"/>
        </w:rPr>
        <w:t xml:space="preserve"> dvě</w:t>
      </w:r>
      <w:r w:rsidRPr="00154A50">
        <w:rPr>
          <w:rFonts w:asciiTheme="minorHAnsi" w:eastAsiaTheme="minorEastAsia" w:hAnsiTheme="minorHAnsi" w:cstheme="minorBidi"/>
        </w:rPr>
        <w:t xml:space="preserve"> VZ na</w:t>
      </w:r>
      <w:r w:rsidR="007F0B7C" w:rsidRPr="00154A50">
        <w:rPr>
          <w:rFonts w:asciiTheme="minorHAnsi" w:eastAsiaTheme="minorEastAsia" w:hAnsiTheme="minorHAnsi" w:cstheme="minorBidi"/>
        </w:rPr>
        <w:t xml:space="preserve"> dva</w:t>
      </w:r>
      <w:r w:rsidRPr="00154A50">
        <w:rPr>
          <w:rFonts w:asciiTheme="minorHAnsi" w:eastAsiaTheme="minorEastAsia" w:hAnsiTheme="minorHAnsi" w:cstheme="minorBidi"/>
        </w:rPr>
        <w:t xml:space="preserve"> informační systémy.</w:t>
      </w:r>
      <w:r w:rsidRPr="6524B888">
        <w:rPr>
          <w:rFonts w:asciiTheme="minorHAnsi" w:eastAsiaTheme="minorEastAsia" w:hAnsiTheme="minorHAnsi" w:cstheme="minorBidi"/>
        </w:rPr>
        <w:t xml:space="preserve"> </w:t>
      </w:r>
    </w:p>
    <w:p w14:paraId="595686E6" w14:textId="77777777" w:rsidR="26BB71EC" w:rsidRDefault="009B081D" w:rsidP="009B081D">
      <w:pPr>
        <w:pStyle w:val="Nadpis2"/>
        <w:spacing w:before="240" w:after="120"/>
        <w:rPr>
          <w:rFonts w:eastAsiaTheme="minorEastAsia"/>
        </w:rPr>
      </w:pPr>
      <w:r>
        <w:rPr>
          <w:rFonts w:eastAsiaTheme="minorEastAsia"/>
        </w:rPr>
        <w:t xml:space="preserve">6.1 </w:t>
      </w:r>
      <w:r w:rsidR="7603E294" w:rsidRPr="7D1F5B88">
        <w:rPr>
          <w:rFonts w:eastAsiaTheme="minorEastAsia"/>
        </w:rPr>
        <w:t>Právní služby uzavřené na základě zákonné výjimky</w:t>
      </w:r>
    </w:p>
    <w:p w14:paraId="67821ABE" w14:textId="77777777" w:rsidR="26BB71EC" w:rsidRDefault="7603E294" w:rsidP="00BD0991">
      <w:pPr>
        <w:spacing w:before="120"/>
        <w:rPr>
          <w:rFonts w:asciiTheme="minorHAnsi" w:eastAsiaTheme="minorEastAsia" w:hAnsiTheme="minorHAnsi" w:cstheme="minorBidi"/>
        </w:rPr>
      </w:pPr>
      <w:r w:rsidRPr="7D1F5B88">
        <w:rPr>
          <w:rFonts w:asciiTheme="minorHAnsi" w:eastAsiaTheme="minorEastAsia" w:hAnsiTheme="minorHAnsi" w:cstheme="minorBidi"/>
        </w:rPr>
        <w:t>NSA v roce 2021 uzavřela s advokátní kanceláří dvě smlouvy</w:t>
      </w:r>
      <w:r w:rsidR="00E95C5C">
        <w:rPr>
          <w:rFonts w:asciiTheme="minorHAnsi" w:eastAsiaTheme="minorEastAsia" w:hAnsiTheme="minorHAnsi" w:cstheme="minorBidi"/>
        </w:rPr>
        <w:t xml:space="preserve"> a v roce 2022 s jinou advokátní kanceláří jednu smlouvu</w:t>
      </w:r>
      <w:r w:rsidRPr="7D1F5B88">
        <w:rPr>
          <w:rFonts w:asciiTheme="minorHAnsi" w:eastAsiaTheme="minorEastAsia" w:hAnsiTheme="minorHAnsi" w:cstheme="minorBidi"/>
        </w:rPr>
        <w:t xml:space="preserve"> na základě zákonné výjimky </w:t>
      </w:r>
      <w:r w:rsidRPr="00F6678D">
        <w:rPr>
          <w:rFonts w:eastAsiaTheme="minorEastAsia"/>
        </w:rPr>
        <w:t>k</w:t>
      </w:r>
      <w:r w:rsidR="00C21397">
        <w:rPr>
          <w:rFonts w:eastAsiaTheme="minorEastAsia"/>
        </w:rPr>
        <w:t xml:space="preserve"> </w:t>
      </w:r>
      <w:r w:rsidRPr="00F6678D">
        <w:rPr>
          <w:rFonts w:eastAsiaTheme="minorEastAsia"/>
        </w:rPr>
        <w:t>zastupování</w:t>
      </w:r>
      <w:r w:rsidRPr="7D1F5B88">
        <w:rPr>
          <w:rFonts w:asciiTheme="minorHAnsi" w:eastAsiaTheme="minorEastAsia" w:hAnsiTheme="minorHAnsi" w:cstheme="minorBidi"/>
        </w:rPr>
        <w:t xml:space="preserve"> NSA ve správních a</w:t>
      </w:r>
      <w:r w:rsidR="00272B2B">
        <w:rPr>
          <w:rFonts w:asciiTheme="minorHAnsi" w:eastAsiaTheme="minorEastAsia" w:hAnsiTheme="minorHAnsi" w:cstheme="minorBidi"/>
        </w:rPr>
        <w:t> </w:t>
      </w:r>
      <w:r w:rsidRPr="7D1F5B88">
        <w:rPr>
          <w:rFonts w:asciiTheme="minorHAnsi" w:eastAsiaTheme="minorEastAsia" w:hAnsiTheme="minorHAnsi" w:cstheme="minorBidi"/>
        </w:rPr>
        <w:t>soudních řízení</w:t>
      </w:r>
      <w:r w:rsidR="00352753">
        <w:rPr>
          <w:rFonts w:asciiTheme="minorHAnsi" w:eastAsiaTheme="minorEastAsia" w:hAnsiTheme="minorHAnsi" w:cstheme="minorBidi"/>
        </w:rPr>
        <w:t>ch</w:t>
      </w:r>
      <w:r w:rsidRPr="7D1F5B88">
        <w:rPr>
          <w:rFonts w:asciiTheme="minorHAnsi" w:eastAsiaTheme="minorEastAsia" w:hAnsiTheme="minorHAnsi" w:cstheme="minorBidi"/>
        </w:rPr>
        <w:t xml:space="preserve">. </w:t>
      </w:r>
    </w:p>
    <w:p w14:paraId="0548C82A" w14:textId="0A12E739" w:rsidR="26BB71EC" w:rsidRPr="001C39FE" w:rsidRDefault="001C39FE" w:rsidP="6524B888">
      <w:pPr>
        <w:spacing w:before="1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Smlouvy z roku 2021, které NSA zaslala k uveřejnění v registru smluv, neobsahovaly zákonem požadovaný údaj – </w:t>
      </w:r>
      <w:r w:rsidR="7603E294" w:rsidRPr="6524B888">
        <w:rPr>
          <w:rFonts w:asciiTheme="minorHAnsi" w:eastAsiaTheme="minorEastAsia" w:hAnsiTheme="minorHAnsi" w:cstheme="minorBidi"/>
        </w:rPr>
        <w:t>hodnotu</w:t>
      </w:r>
      <w:r>
        <w:rPr>
          <w:rFonts w:asciiTheme="minorHAnsi" w:eastAsiaTheme="minorEastAsia" w:hAnsiTheme="minorHAnsi" w:cstheme="minorBidi"/>
        </w:rPr>
        <w:t xml:space="preserve"> </w:t>
      </w:r>
      <w:r w:rsidR="7603E294" w:rsidRPr="6524B888">
        <w:rPr>
          <w:rFonts w:asciiTheme="minorHAnsi" w:eastAsiaTheme="minorEastAsia" w:hAnsiTheme="minorHAnsi" w:cstheme="minorBidi"/>
        </w:rPr>
        <w:t>předmětu smlouvy</w:t>
      </w:r>
      <w:r>
        <w:rPr>
          <w:rStyle w:val="Znakapoznpodarou"/>
          <w:rFonts w:asciiTheme="minorHAnsi" w:eastAsiaTheme="minorEastAsia" w:hAnsiTheme="minorHAnsi" w:cstheme="minorBidi"/>
        </w:rPr>
        <w:footnoteReference w:id="57"/>
      </w:r>
      <w:r w:rsidR="7603E294" w:rsidRPr="6524B888">
        <w:rPr>
          <w:rFonts w:asciiTheme="minorHAnsi" w:eastAsiaTheme="minorEastAsia" w:hAnsiTheme="minorHAnsi" w:cstheme="minorBidi"/>
        </w:rPr>
        <w:t>, přestože NSA</w:t>
      </w:r>
      <w:r w:rsidR="00540EEC">
        <w:rPr>
          <w:rFonts w:asciiTheme="minorHAnsi" w:eastAsiaTheme="minorEastAsia" w:hAnsiTheme="minorHAnsi" w:cstheme="minorBidi"/>
        </w:rPr>
        <w:t xml:space="preserve"> </w:t>
      </w:r>
      <w:r w:rsidR="7603E294" w:rsidRPr="6524B888">
        <w:rPr>
          <w:rFonts w:asciiTheme="minorHAnsi" w:eastAsiaTheme="minorEastAsia" w:hAnsiTheme="minorHAnsi" w:cstheme="minorBidi"/>
        </w:rPr>
        <w:t>tuto hodnotu mohl</w:t>
      </w:r>
      <w:r w:rsidR="00352753">
        <w:rPr>
          <w:rFonts w:asciiTheme="minorHAnsi" w:eastAsiaTheme="minorEastAsia" w:hAnsiTheme="minorHAnsi" w:cstheme="minorBidi"/>
        </w:rPr>
        <w:t>a</w:t>
      </w:r>
      <w:r w:rsidR="7603E294" w:rsidRPr="6524B888">
        <w:rPr>
          <w:rFonts w:asciiTheme="minorHAnsi" w:eastAsiaTheme="minorEastAsia" w:hAnsiTheme="minorHAnsi" w:cstheme="minorBidi"/>
        </w:rPr>
        <w:t xml:space="preserve"> určit na základě hodinové sazby a předpokládaného rozsahu. Smlouva uveřejněná bez hodnoty předmětu smlouvy se tak</w:t>
      </w:r>
      <w:r w:rsidR="00BD4142">
        <w:rPr>
          <w:rFonts w:asciiTheme="minorHAnsi" w:eastAsiaTheme="minorEastAsia" w:hAnsiTheme="minorHAnsi" w:cstheme="minorBidi"/>
        </w:rPr>
        <w:t xml:space="preserve"> dle zákona o registru smluv</w:t>
      </w:r>
      <w:r w:rsidR="008C4411">
        <w:rPr>
          <w:rStyle w:val="Znakapoznpodarou"/>
          <w:rFonts w:asciiTheme="minorHAnsi" w:eastAsiaTheme="minorEastAsia" w:hAnsiTheme="minorHAnsi" w:cstheme="minorBidi"/>
        </w:rPr>
        <w:footnoteReference w:id="58"/>
      </w:r>
      <w:r w:rsidR="7603E294" w:rsidRPr="6524B888">
        <w:rPr>
          <w:rFonts w:asciiTheme="minorHAnsi" w:eastAsiaTheme="minorEastAsia" w:hAnsiTheme="minorHAnsi" w:cstheme="minorBidi"/>
        </w:rPr>
        <w:t xml:space="preserve"> nepovažuje za uveřejněnou prostřednictvím registru smluv. Na neuveřejněnou smlouvu se</w:t>
      </w:r>
      <w:r w:rsidR="00272B2B">
        <w:rPr>
          <w:rFonts w:asciiTheme="minorHAnsi" w:eastAsiaTheme="minorEastAsia" w:hAnsiTheme="minorHAnsi" w:cstheme="minorBidi"/>
        </w:rPr>
        <w:t xml:space="preserve"> </w:t>
      </w:r>
      <w:r w:rsidR="7603E294" w:rsidRPr="6524B888">
        <w:rPr>
          <w:rFonts w:asciiTheme="minorHAnsi" w:eastAsiaTheme="minorEastAsia" w:hAnsiTheme="minorHAnsi" w:cstheme="minorBidi"/>
        </w:rPr>
        <w:t>aplikuje sankce dle</w:t>
      </w:r>
      <w:r w:rsidR="00BD4142">
        <w:rPr>
          <w:rFonts w:asciiTheme="minorHAnsi" w:eastAsiaTheme="minorEastAsia" w:hAnsiTheme="minorHAnsi" w:cstheme="minorBidi"/>
        </w:rPr>
        <w:t xml:space="preserve"> zákona o</w:t>
      </w:r>
      <w:r w:rsidR="00272B2B">
        <w:rPr>
          <w:rFonts w:asciiTheme="minorHAnsi" w:eastAsiaTheme="minorEastAsia" w:hAnsiTheme="minorHAnsi" w:cstheme="minorBidi"/>
        </w:rPr>
        <w:t> </w:t>
      </w:r>
      <w:r w:rsidR="00BD4142">
        <w:rPr>
          <w:rFonts w:asciiTheme="minorHAnsi" w:eastAsiaTheme="minorEastAsia" w:hAnsiTheme="minorHAnsi" w:cstheme="minorBidi"/>
        </w:rPr>
        <w:t>registru smluv</w:t>
      </w:r>
      <w:r w:rsidR="00BD4142">
        <w:rPr>
          <w:rStyle w:val="Znakapoznpodarou"/>
          <w:rFonts w:asciiTheme="minorHAnsi" w:eastAsiaTheme="minorEastAsia" w:hAnsiTheme="minorHAnsi" w:cstheme="minorBidi"/>
        </w:rPr>
        <w:footnoteReference w:id="59"/>
      </w:r>
      <w:r w:rsidR="7603E294" w:rsidRPr="6524B888">
        <w:rPr>
          <w:rFonts w:asciiTheme="minorHAnsi" w:eastAsiaTheme="minorEastAsia" w:hAnsiTheme="minorHAnsi" w:cstheme="minorBidi"/>
        </w:rPr>
        <w:t>, a to zrušení smlouvy od počátku. NSA tak v</w:t>
      </w:r>
      <w:r w:rsidR="00F6678D">
        <w:rPr>
          <w:rFonts w:asciiTheme="minorHAnsi" w:eastAsiaTheme="minorEastAsia" w:hAnsiTheme="minorHAnsi" w:cstheme="minorBidi"/>
        </w:rPr>
        <w:t> </w:t>
      </w:r>
      <w:r w:rsidR="7603E294" w:rsidRPr="6524B888">
        <w:rPr>
          <w:rFonts w:asciiTheme="minorHAnsi" w:eastAsiaTheme="minorEastAsia" w:hAnsiTheme="minorHAnsi" w:cstheme="minorBidi"/>
        </w:rPr>
        <w:t>kontrolovaném období na základě zrušených smluv vynaložila peněžní prostředky v celkové výši 536 423 Kč vč. DPH.</w:t>
      </w:r>
      <w:r w:rsidR="7603E294" w:rsidRPr="6524B888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54339E44" w14:textId="77777777" w:rsidR="26BB71EC" w:rsidRDefault="7603E294" w:rsidP="00BD0991">
      <w:pPr>
        <w:spacing w:before="120"/>
        <w:rPr>
          <w:rFonts w:asciiTheme="minorHAnsi" w:eastAsiaTheme="minorEastAsia" w:hAnsiTheme="minorHAnsi" w:cstheme="minorBidi"/>
          <w:b/>
          <w:bCs/>
        </w:rPr>
      </w:pPr>
      <w:r w:rsidRPr="7D1F5B88">
        <w:rPr>
          <w:rFonts w:asciiTheme="minorHAnsi" w:eastAsiaTheme="minorEastAsia" w:hAnsiTheme="minorHAnsi" w:cstheme="minorBidi"/>
          <w:b/>
          <w:bCs/>
        </w:rPr>
        <w:t>Tímto NSA vynaložila peněžní prostředky v celkové výši 536</w:t>
      </w:r>
      <w:r w:rsidR="00272B2B">
        <w:rPr>
          <w:rFonts w:asciiTheme="minorHAnsi" w:eastAsiaTheme="minorEastAsia" w:hAnsiTheme="minorHAnsi" w:cstheme="minorBidi"/>
          <w:b/>
          <w:bCs/>
        </w:rPr>
        <w:t> </w:t>
      </w:r>
      <w:r w:rsidRPr="7D1F5B88">
        <w:rPr>
          <w:rFonts w:asciiTheme="minorHAnsi" w:eastAsiaTheme="minorEastAsia" w:hAnsiTheme="minorHAnsi" w:cstheme="minorBidi"/>
          <w:b/>
          <w:bCs/>
        </w:rPr>
        <w:t>423</w:t>
      </w:r>
      <w:r w:rsidR="00272B2B">
        <w:rPr>
          <w:rFonts w:asciiTheme="minorHAnsi" w:eastAsiaTheme="minorEastAsia" w:hAnsiTheme="minorHAnsi" w:cstheme="minorBidi"/>
          <w:b/>
          <w:bCs/>
        </w:rPr>
        <w:t> </w:t>
      </w:r>
      <w:r w:rsidRPr="7D1F5B88">
        <w:rPr>
          <w:rFonts w:asciiTheme="minorHAnsi" w:eastAsiaTheme="minorEastAsia" w:hAnsiTheme="minorHAnsi" w:cstheme="minorBidi"/>
          <w:b/>
          <w:bCs/>
        </w:rPr>
        <w:t>Kč vč</w:t>
      </w:r>
      <w:r w:rsidR="001D40C2">
        <w:rPr>
          <w:rFonts w:asciiTheme="minorHAnsi" w:eastAsiaTheme="minorEastAsia" w:hAnsiTheme="minorHAnsi" w:cstheme="minorBidi"/>
          <w:b/>
          <w:bCs/>
        </w:rPr>
        <w:t>.</w:t>
      </w:r>
      <w:r w:rsidRPr="7D1F5B88">
        <w:rPr>
          <w:rFonts w:asciiTheme="minorHAnsi" w:eastAsiaTheme="minorEastAsia" w:hAnsiTheme="minorHAnsi" w:cstheme="minorBidi"/>
          <w:b/>
          <w:bCs/>
        </w:rPr>
        <w:t xml:space="preserve"> DPH bez právního důvodu. Dle NKÚ se jedná o skutečnosti nasvědčující porušení rozpočtové kázně</w:t>
      </w:r>
      <w:r w:rsidR="00521EEE">
        <w:rPr>
          <w:rFonts w:asciiTheme="minorHAnsi" w:eastAsiaTheme="minorEastAsia" w:hAnsiTheme="minorHAnsi" w:cstheme="minorBidi"/>
          <w:b/>
          <w:bCs/>
        </w:rPr>
        <w:t>.</w:t>
      </w:r>
      <w:r w:rsidR="26BB71EC" w:rsidRPr="7D1F5B88">
        <w:rPr>
          <w:rStyle w:val="Znakapoznpodarou"/>
          <w:rFonts w:asciiTheme="minorHAnsi" w:eastAsiaTheme="minorEastAsia" w:hAnsiTheme="minorHAnsi" w:cstheme="minorBidi"/>
          <w:b/>
          <w:bCs/>
        </w:rPr>
        <w:footnoteReference w:id="60"/>
      </w:r>
      <w:r w:rsidRPr="7D1F5B88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5B4B7A95" w14:textId="77777777" w:rsidR="26BB71EC" w:rsidRDefault="00725F9C" w:rsidP="009B081D">
      <w:pPr>
        <w:pStyle w:val="Nadpis2"/>
        <w:spacing w:before="240" w:after="120"/>
        <w:rPr>
          <w:rFonts w:eastAsiaTheme="minorEastAsia"/>
        </w:rPr>
      </w:pPr>
      <w:r>
        <w:rPr>
          <w:rFonts w:eastAsiaTheme="minorEastAsia"/>
        </w:rPr>
        <w:t xml:space="preserve">6.2 </w:t>
      </w:r>
      <w:r w:rsidR="7603E294" w:rsidRPr="7D1F5B88">
        <w:rPr>
          <w:rFonts w:eastAsiaTheme="minorEastAsia"/>
        </w:rPr>
        <w:t>Právní služby zadané na základě výběrových řízení</w:t>
      </w:r>
    </w:p>
    <w:p w14:paraId="79AA84D6" w14:textId="77777777" w:rsidR="26BB71EC" w:rsidRPr="003F7FCB" w:rsidRDefault="00A23C36" w:rsidP="003F7FCB">
      <w:pPr>
        <w:rPr>
          <w:rFonts w:eastAsiaTheme="minorEastAsia"/>
        </w:rPr>
      </w:pPr>
      <w:r w:rsidRPr="00A23C36">
        <w:rPr>
          <w:rFonts w:eastAsiaTheme="minorEastAsia"/>
        </w:rPr>
        <w:t xml:space="preserve">NSA </w:t>
      </w:r>
      <w:r w:rsidR="003F7FCB" w:rsidRPr="7D1F5B88">
        <w:rPr>
          <w:rFonts w:asciiTheme="minorHAnsi" w:eastAsiaTheme="minorEastAsia" w:hAnsiTheme="minorHAnsi" w:cstheme="minorBidi"/>
        </w:rPr>
        <w:t xml:space="preserve">na základě uzavřených řízení prostřednictvím </w:t>
      </w:r>
      <w:r w:rsidR="003F7FCB">
        <w:rPr>
          <w:rFonts w:asciiTheme="minorHAnsi" w:eastAsiaTheme="minorEastAsia" w:hAnsiTheme="minorHAnsi" w:cstheme="minorBidi"/>
        </w:rPr>
        <w:t xml:space="preserve">NEN </w:t>
      </w:r>
      <w:r w:rsidRPr="00A23C36">
        <w:rPr>
          <w:rFonts w:eastAsiaTheme="minorEastAsia"/>
        </w:rPr>
        <w:t>uzavřela v roce 2020 smlouvu na poskytování právně ekonomického poradenství</w:t>
      </w:r>
      <w:r w:rsidR="003F7FCB">
        <w:rPr>
          <w:rFonts w:eastAsiaTheme="minorEastAsia"/>
        </w:rPr>
        <w:t xml:space="preserve"> a dále v roce 2022 </w:t>
      </w:r>
      <w:r w:rsidR="7603E294" w:rsidRPr="7D1F5B88">
        <w:rPr>
          <w:rFonts w:asciiTheme="minorHAnsi" w:eastAsiaTheme="minorEastAsia" w:hAnsiTheme="minorHAnsi" w:cstheme="minorBidi"/>
        </w:rPr>
        <w:t>dvě smlouvy se</w:t>
      </w:r>
      <w:r w:rsidR="00272B2B">
        <w:rPr>
          <w:rFonts w:asciiTheme="minorHAnsi" w:eastAsiaTheme="minorEastAsia" w:hAnsiTheme="minorHAnsi" w:cstheme="minorBidi"/>
        </w:rPr>
        <w:t xml:space="preserve"> </w:t>
      </w:r>
      <w:r w:rsidR="7603E294" w:rsidRPr="7D1F5B88">
        <w:rPr>
          <w:rFonts w:asciiTheme="minorHAnsi" w:eastAsiaTheme="minorEastAsia" w:hAnsiTheme="minorHAnsi" w:cstheme="minorBidi"/>
        </w:rPr>
        <w:t xml:space="preserve">dvěma advokátními kancelářemi na poskytování právních služeb či poskytování právního poradenství. U obou smluv </w:t>
      </w:r>
      <w:r w:rsidR="003F7FCB">
        <w:rPr>
          <w:rFonts w:asciiTheme="minorHAnsi" w:eastAsiaTheme="minorEastAsia" w:hAnsiTheme="minorHAnsi" w:cstheme="minorBidi"/>
        </w:rPr>
        <w:t xml:space="preserve">z roku 2022 </w:t>
      </w:r>
      <w:r w:rsidR="7603E294" w:rsidRPr="7D1F5B88">
        <w:rPr>
          <w:rFonts w:asciiTheme="minorHAnsi" w:eastAsiaTheme="minorEastAsia" w:hAnsiTheme="minorHAnsi" w:cstheme="minorBidi"/>
        </w:rPr>
        <w:t>NSA neuveřejnila na svém profilu zadavatele výši skutečně uhrazené ceny za rok 2022</w:t>
      </w:r>
      <w:r w:rsidR="7603E294" w:rsidRPr="007C3E07">
        <w:rPr>
          <w:rFonts w:asciiTheme="minorHAnsi" w:eastAsiaTheme="minorEastAsia" w:hAnsiTheme="minorHAnsi" w:cstheme="minorBidi"/>
        </w:rPr>
        <w:t xml:space="preserve">. </w:t>
      </w:r>
      <w:r w:rsidR="7603E294" w:rsidRPr="007C3E07">
        <w:rPr>
          <w:rFonts w:asciiTheme="minorHAnsi" w:eastAsiaTheme="minorEastAsia" w:hAnsiTheme="minorHAnsi" w:cstheme="minorBidi"/>
          <w:bCs/>
        </w:rPr>
        <w:t>NSA tak postupovala v rozporu s</w:t>
      </w:r>
      <w:r w:rsidR="001A76D0" w:rsidRPr="007C3E07">
        <w:rPr>
          <w:rFonts w:asciiTheme="minorHAnsi" w:eastAsiaTheme="minorEastAsia" w:hAnsiTheme="minorHAnsi" w:cstheme="minorBidi"/>
          <w:bCs/>
        </w:rPr>
        <w:t>e zákonem o zadávání veřejných zakázek.</w:t>
      </w:r>
      <w:r w:rsidR="001A76D0" w:rsidRPr="007C3E07">
        <w:rPr>
          <w:rStyle w:val="Znakapoznpodarou"/>
          <w:rFonts w:asciiTheme="minorHAnsi" w:eastAsiaTheme="minorEastAsia" w:hAnsiTheme="minorHAnsi" w:cstheme="minorBidi"/>
          <w:bCs/>
        </w:rPr>
        <w:footnoteReference w:id="61"/>
      </w:r>
    </w:p>
    <w:p w14:paraId="1DB6F65D" w14:textId="77777777" w:rsidR="26BB71EC" w:rsidRDefault="003F7FCB" w:rsidP="00BD0991">
      <w:pPr>
        <w:spacing w:before="1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Dále u smlouvy z roku 2020 a jedné ze smluv z roku 2022</w:t>
      </w:r>
      <w:r w:rsidR="7603E294" w:rsidRPr="7D1F5B88">
        <w:rPr>
          <w:rFonts w:asciiTheme="minorHAnsi" w:eastAsiaTheme="minorEastAsia" w:hAnsiTheme="minorHAnsi" w:cstheme="minorBidi"/>
        </w:rPr>
        <w:t xml:space="preserve"> </w:t>
      </w:r>
      <w:r w:rsidR="7603E294" w:rsidRPr="00F6678D">
        <w:rPr>
          <w:rFonts w:eastAsiaTheme="minorEastAsia"/>
        </w:rPr>
        <w:t>NSA</w:t>
      </w:r>
      <w:r w:rsidR="00CB7664">
        <w:rPr>
          <w:rFonts w:eastAsiaTheme="minorEastAsia"/>
        </w:rPr>
        <w:t xml:space="preserve"> </w:t>
      </w:r>
      <w:r w:rsidRPr="003F7FCB">
        <w:rPr>
          <w:rFonts w:eastAsiaTheme="minorEastAsia"/>
        </w:rPr>
        <w:t>neuchovávala dokumentace VZ, které</w:t>
      </w:r>
      <w:r w:rsidR="00272B2B">
        <w:rPr>
          <w:rFonts w:eastAsiaTheme="minorEastAsia"/>
        </w:rPr>
        <w:t xml:space="preserve"> </w:t>
      </w:r>
      <w:r w:rsidRPr="003F7FCB">
        <w:rPr>
          <w:rFonts w:eastAsiaTheme="minorEastAsia"/>
        </w:rPr>
        <w:t>by</w:t>
      </w:r>
      <w:r w:rsidR="00272B2B">
        <w:rPr>
          <w:rFonts w:eastAsiaTheme="minorEastAsia"/>
        </w:rPr>
        <w:t xml:space="preserve"> </w:t>
      </w:r>
      <w:r w:rsidRPr="003F7FCB">
        <w:rPr>
          <w:rFonts w:eastAsiaTheme="minorEastAsia"/>
        </w:rPr>
        <w:t>prokazatelně dokládaly postup</w:t>
      </w:r>
      <w:r>
        <w:rPr>
          <w:rFonts w:eastAsiaTheme="minorEastAsia"/>
        </w:rPr>
        <w:t>y</w:t>
      </w:r>
      <w:r w:rsidRPr="003F7FCB">
        <w:rPr>
          <w:rFonts w:eastAsiaTheme="minorEastAsia"/>
        </w:rPr>
        <w:t xml:space="preserve"> k uzavření smluv.</w:t>
      </w:r>
    </w:p>
    <w:p w14:paraId="0F160190" w14:textId="43FF123C" w:rsidR="26BB71EC" w:rsidRDefault="7603E294" w:rsidP="00BD0991">
      <w:pPr>
        <w:spacing w:before="120"/>
        <w:rPr>
          <w:rFonts w:asciiTheme="minorHAnsi" w:eastAsiaTheme="minorEastAsia" w:hAnsiTheme="minorHAnsi" w:cstheme="minorBidi"/>
          <w:b/>
          <w:bCs/>
        </w:rPr>
      </w:pPr>
      <w:r w:rsidRPr="7D1F5B88">
        <w:rPr>
          <w:rFonts w:asciiTheme="minorHAnsi" w:eastAsiaTheme="minorEastAsia" w:hAnsiTheme="minorHAnsi" w:cstheme="minorBidi"/>
          <w:b/>
          <w:bCs/>
        </w:rPr>
        <w:t>NSA se dopustila porušení zásady transparentnosti uvedené v</w:t>
      </w:r>
      <w:r w:rsidR="007C3E07">
        <w:rPr>
          <w:rFonts w:asciiTheme="minorHAnsi" w:eastAsiaTheme="minorEastAsia" w:hAnsiTheme="minorHAnsi" w:cstheme="minorBidi"/>
          <w:b/>
          <w:bCs/>
        </w:rPr>
        <w:t> zákoně o zadávání veřejných zakázek</w:t>
      </w:r>
      <w:r w:rsidR="007C3E07">
        <w:rPr>
          <w:rStyle w:val="Znakapoznpodarou"/>
          <w:rFonts w:asciiTheme="minorHAnsi" w:eastAsiaTheme="minorEastAsia" w:hAnsiTheme="minorHAnsi" w:cstheme="minorBidi"/>
          <w:b/>
          <w:bCs/>
        </w:rPr>
        <w:footnoteReference w:id="62"/>
      </w:r>
      <w:r w:rsidRPr="7D1F5B88">
        <w:rPr>
          <w:rFonts w:asciiTheme="minorHAnsi" w:eastAsiaTheme="minorEastAsia" w:hAnsiTheme="minorHAnsi" w:cstheme="minorBidi"/>
          <w:b/>
          <w:bCs/>
        </w:rPr>
        <w:t xml:space="preserve"> tím, že nevytvářela</w:t>
      </w:r>
      <w:r w:rsidR="003F7FCB">
        <w:rPr>
          <w:rFonts w:asciiTheme="minorHAnsi" w:eastAsiaTheme="minorEastAsia" w:hAnsiTheme="minorHAnsi" w:cstheme="minorBidi"/>
          <w:b/>
          <w:bCs/>
        </w:rPr>
        <w:t xml:space="preserve"> a</w:t>
      </w:r>
      <w:r w:rsidRPr="7D1F5B88">
        <w:rPr>
          <w:rFonts w:asciiTheme="minorHAnsi" w:eastAsiaTheme="minorEastAsia" w:hAnsiTheme="minorHAnsi" w:cstheme="minorBidi"/>
          <w:b/>
          <w:bCs/>
        </w:rPr>
        <w:t xml:space="preserve"> </w:t>
      </w:r>
      <w:r w:rsidR="003F7FCB" w:rsidRPr="7D1F5B88">
        <w:rPr>
          <w:rFonts w:asciiTheme="minorHAnsi" w:eastAsiaTheme="minorEastAsia" w:hAnsiTheme="minorHAnsi" w:cstheme="minorBidi"/>
          <w:b/>
          <w:bCs/>
        </w:rPr>
        <w:t xml:space="preserve">neuchovávala </w:t>
      </w:r>
      <w:r w:rsidRPr="7D1F5B88">
        <w:rPr>
          <w:rFonts w:asciiTheme="minorHAnsi" w:eastAsiaTheme="minorEastAsia" w:hAnsiTheme="minorHAnsi" w:cstheme="minorBidi"/>
          <w:b/>
          <w:bCs/>
        </w:rPr>
        <w:t>dokumentac</w:t>
      </w:r>
      <w:r w:rsidR="003F7FCB">
        <w:rPr>
          <w:rFonts w:asciiTheme="minorHAnsi" w:eastAsiaTheme="minorEastAsia" w:hAnsiTheme="minorHAnsi" w:cstheme="minorBidi"/>
          <w:b/>
          <w:bCs/>
        </w:rPr>
        <w:t>e</w:t>
      </w:r>
      <w:r w:rsidRPr="7D1F5B88">
        <w:rPr>
          <w:rFonts w:asciiTheme="minorHAnsi" w:eastAsiaTheme="minorEastAsia" w:hAnsiTheme="minorHAnsi" w:cstheme="minorBidi"/>
          <w:b/>
          <w:bCs/>
        </w:rPr>
        <w:t xml:space="preserve"> k</w:t>
      </w:r>
      <w:r w:rsidR="003F7FCB">
        <w:rPr>
          <w:rFonts w:asciiTheme="minorHAnsi" w:eastAsiaTheme="minorEastAsia" w:hAnsiTheme="minorHAnsi" w:cstheme="minorBidi"/>
          <w:b/>
          <w:bCs/>
        </w:rPr>
        <w:t> uvedeným VZ</w:t>
      </w:r>
      <w:r w:rsidRPr="7D1F5B88">
        <w:rPr>
          <w:rFonts w:asciiTheme="minorHAnsi" w:eastAsiaTheme="minorEastAsia" w:hAnsiTheme="minorHAnsi" w:cstheme="minorBidi"/>
          <w:b/>
          <w:bCs/>
        </w:rPr>
        <w:t>, což v</w:t>
      </w:r>
      <w:r w:rsidR="00272B2B">
        <w:rPr>
          <w:rFonts w:asciiTheme="minorHAnsi" w:eastAsiaTheme="minorEastAsia" w:hAnsiTheme="minorHAnsi" w:cstheme="minorBidi"/>
          <w:b/>
          <w:bCs/>
        </w:rPr>
        <w:t> </w:t>
      </w:r>
      <w:r w:rsidRPr="7D1F5B88">
        <w:rPr>
          <w:rFonts w:asciiTheme="minorHAnsi" w:eastAsiaTheme="minorEastAsia" w:hAnsiTheme="minorHAnsi" w:cstheme="minorBidi"/>
          <w:b/>
          <w:bCs/>
        </w:rPr>
        <w:t>konečném důsledku znemožňovalo jej</w:t>
      </w:r>
      <w:r w:rsidR="007F5BB0">
        <w:rPr>
          <w:rFonts w:asciiTheme="minorHAnsi" w:eastAsiaTheme="minorEastAsia" w:hAnsiTheme="minorHAnsi" w:cstheme="minorBidi"/>
          <w:b/>
          <w:bCs/>
        </w:rPr>
        <w:t>ich</w:t>
      </w:r>
      <w:r w:rsidRPr="7D1F5B88">
        <w:rPr>
          <w:rFonts w:asciiTheme="minorHAnsi" w:eastAsiaTheme="minorEastAsia" w:hAnsiTheme="minorHAnsi" w:cstheme="minorBidi"/>
          <w:b/>
          <w:bCs/>
        </w:rPr>
        <w:t xml:space="preserve"> </w:t>
      </w:r>
      <w:r w:rsidR="00352753">
        <w:rPr>
          <w:rFonts w:asciiTheme="minorHAnsi" w:eastAsiaTheme="minorEastAsia" w:hAnsiTheme="minorHAnsi" w:cstheme="minorBidi"/>
          <w:b/>
          <w:bCs/>
        </w:rPr>
        <w:t>účinnou</w:t>
      </w:r>
      <w:r w:rsidRPr="7D1F5B88">
        <w:rPr>
          <w:rFonts w:asciiTheme="minorHAnsi" w:eastAsiaTheme="minorEastAsia" w:hAnsiTheme="minorHAnsi" w:cstheme="minorBidi"/>
          <w:b/>
          <w:bCs/>
        </w:rPr>
        <w:t xml:space="preserve"> kontrolu. </w:t>
      </w:r>
    </w:p>
    <w:p w14:paraId="5A46B87E" w14:textId="77777777" w:rsidR="713358BB" w:rsidRDefault="00725F9C" w:rsidP="00725F9C">
      <w:pPr>
        <w:pStyle w:val="Nadpis2"/>
        <w:spacing w:before="240" w:after="120"/>
        <w:rPr>
          <w:rFonts w:eastAsiaTheme="minorEastAsia"/>
        </w:rPr>
      </w:pPr>
      <w:r>
        <w:rPr>
          <w:rFonts w:eastAsiaTheme="minorEastAsia"/>
        </w:rPr>
        <w:t xml:space="preserve">6.3 </w:t>
      </w:r>
      <w:r w:rsidR="713358BB" w:rsidRPr="527EA771">
        <w:rPr>
          <w:rFonts w:eastAsiaTheme="minorEastAsia"/>
        </w:rPr>
        <w:t xml:space="preserve">Veřejná zakázka </w:t>
      </w:r>
      <w:r w:rsidR="00735BCA">
        <w:rPr>
          <w:rFonts w:eastAsiaTheme="minorEastAsia"/>
        </w:rPr>
        <w:t>na posouzení projektových dokumentací</w:t>
      </w:r>
    </w:p>
    <w:p w14:paraId="6620A90A" w14:textId="03297806" w:rsidR="08EDBB59" w:rsidRPr="00913EE2" w:rsidRDefault="00420DC1" w:rsidP="00BD0991">
      <w:pPr>
        <w:spacing w:before="120"/>
        <w:rPr>
          <w:rFonts w:asciiTheme="minorHAnsi" w:eastAsiaTheme="minorEastAsia" w:hAnsiTheme="minorHAnsi" w:cstheme="minorBidi"/>
        </w:rPr>
      </w:pPr>
      <w:r w:rsidRPr="00913EE2">
        <w:rPr>
          <w:rFonts w:asciiTheme="minorHAnsi" w:eastAsiaTheme="minorEastAsia" w:hAnsiTheme="minorHAnsi" w:cstheme="minorBidi"/>
        </w:rPr>
        <w:t>NSA uzavřela se dvěma dodavateli rámcov</w:t>
      </w:r>
      <w:r w:rsidR="001200BD">
        <w:rPr>
          <w:rFonts w:asciiTheme="minorHAnsi" w:eastAsiaTheme="minorEastAsia" w:hAnsiTheme="minorHAnsi" w:cstheme="minorBidi"/>
        </w:rPr>
        <w:t>é</w:t>
      </w:r>
      <w:r w:rsidRPr="00913EE2">
        <w:rPr>
          <w:rFonts w:asciiTheme="minorHAnsi" w:eastAsiaTheme="minorEastAsia" w:hAnsiTheme="minorHAnsi" w:cstheme="minorBidi"/>
        </w:rPr>
        <w:t xml:space="preserve"> smlouv</w:t>
      </w:r>
      <w:r w:rsidR="001200BD">
        <w:rPr>
          <w:rFonts w:asciiTheme="minorHAnsi" w:eastAsiaTheme="minorEastAsia" w:hAnsiTheme="minorHAnsi" w:cstheme="minorBidi"/>
        </w:rPr>
        <w:t>y</w:t>
      </w:r>
      <w:r w:rsidR="00A42BD7" w:rsidRPr="00913EE2">
        <w:rPr>
          <w:rFonts w:asciiTheme="minorHAnsi" w:eastAsiaTheme="minorEastAsia" w:hAnsiTheme="minorHAnsi" w:cstheme="minorBidi"/>
        </w:rPr>
        <w:t>. Dodavatelé měli na základě objednávek</w:t>
      </w:r>
      <w:r w:rsidR="00345EC9">
        <w:rPr>
          <w:rFonts w:asciiTheme="minorHAnsi" w:eastAsiaTheme="minorEastAsia" w:hAnsiTheme="minorHAnsi" w:cstheme="minorBidi"/>
        </w:rPr>
        <w:t xml:space="preserve"> expertně</w:t>
      </w:r>
      <w:r w:rsidR="00A42BD7" w:rsidRPr="00913EE2">
        <w:rPr>
          <w:rFonts w:asciiTheme="minorHAnsi" w:eastAsiaTheme="minorEastAsia" w:hAnsiTheme="minorHAnsi" w:cstheme="minorBidi"/>
        </w:rPr>
        <w:t xml:space="preserve"> posoudit projektové dokumentace podle principů 3E</w:t>
      </w:r>
      <w:r w:rsidR="00521EEE">
        <w:rPr>
          <w:rFonts w:asciiTheme="minorHAnsi" w:eastAsiaTheme="minorEastAsia" w:hAnsiTheme="minorHAnsi" w:cstheme="minorBidi"/>
        </w:rPr>
        <w:t>.</w:t>
      </w:r>
      <w:r w:rsidR="00AD57B8">
        <w:rPr>
          <w:rStyle w:val="Znakapoznpodarou"/>
          <w:rFonts w:asciiTheme="minorHAnsi" w:eastAsiaTheme="minorEastAsia" w:hAnsiTheme="minorHAnsi" w:cstheme="minorBidi"/>
        </w:rPr>
        <w:footnoteReference w:id="63"/>
      </w:r>
      <w:r w:rsidR="00A42BD7" w:rsidRPr="00913EE2">
        <w:rPr>
          <w:rFonts w:asciiTheme="minorHAnsi" w:eastAsiaTheme="minorEastAsia" w:hAnsiTheme="minorHAnsi" w:cstheme="minorBidi"/>
        </w:rPr>
        <w:t xml:space="preserve"> </w:t>
      </w:r>
      <w:r w:rsidR="08EDBB59" w:rsidRPr="527EA771">
        <w:rPr>
          <w:rFonts w:asciiTheme="minorHAnsi" w:eastAsiaTheme="minorEastAsia" w:hAnsiTheme="minorHAnsi" w:cstheme="minorBidi"/>
        </w:rPr>
        <w:t xml:space="preserve">NSA </w:t>
      </w:r>
      <w:r w:rsidR="001200BD" w:rsidRPr="527EA771">
        <w:rPr>
          <w:rFonts w:asciiTheme="minorHAnsi" w:eastAsiaTheme="minorEastAsia" w:hAnsiTheme="minorHAnsi" w:cstheme="minorBidi"/>
        </w:rPr>
        <w:t xml:space="preserve">nevytvářela dokumentaci k této </w:t>
      </w:r>
      <w:r w:rsidR="001200BD">
        <w:rPr>
          <w:rFonts w:asciiTheme="minorHAnsi" w:eastAsiaTheme="minorEastAsia" w:hAnsiTheme="minorHAnsi" w:cstheme="minorBidi"/>
        </w:rPr>
        <w:t>VZ</w:t>
      </w:r>
      <w:r w:rsidR="001200BD" w:rsidRPr="527EA771">
        <w:rPr>
          <w:rFonts w:asciiTheme="minorHAnsi" w:eastAsiaTheme="minorEastAsia" w:hAnsiTheme="minorHAnsi" w:cstheme="minorBidi"/>
        </w:rPr>
        <w:t xml:space="preserve">, což v konečném důsledku znemožňovalo její </w:t>
      </w:r>
      <w:r w:rsidR="001200BD">
        <w:rPr>
          <w:rFonts w:asciiTheme="minorHAnsi" w:eastAsiaTheme="minorEastAsia" w:hAnsiTheme="minorHAnsi" w:cstheme="minorBidi"/>
        </w:rPr>
        <w:t xml:space="preserve">účinnou </w:t>
      </w:r>
      <w:r w:rsidR="001200BD" w:rsidRPr="527EA771">
        <w:rPr>
          <w:rFonts w:asciiTheme="minorHAnsi" w:eastAsiaTheme="minorEastAsia" w:hAnsiTheme="minorHAnsi" w:cstheme="minorBidi"/>
        </w:rPr>
        <w:lastRenderedPageBreak/>
        <w:t>kontrolu a přezkum</w:t>
      </w:r>
      <w:r w:rsidR="001200BD">
        <w:rPr>
          <w:rFonts w:asciiTheme="minorHAnsi" w:eastAsiaTheme="minorEastAsia" w:hAnsiTheme="minorHAnsi" w:cstheme="minorBidi"/>
        </w:rPr>
        <w:t>, a tím</w:t>
      </w:r>
      <w:r w:rsidR="001200BD" w:rsidRPr="527EA771">
        <w:rPr>
          <w:rFonts w:asciiTheme="minorHAnsi" w:eastAsiaTheme="minorEastAsia" w:hAnsiTheme="minorHAnsi" w:cstheme="minorBidi"/>
        </w:rPr>
        <w:t xml:space="preserve"> </w:t>
      </w:r>
      <w:r w:rsidR="08EDBB59" w:rsidRPr="527EA771">
        <w:rPr>
          <w:rFonts w:asciiTheme="minorHAnsi" w:eastAsiaTheme="minorEastAsia" w:hAnsiTheme="minorHAnsi" w:cstheme="minorBidi"/>
        </w:rPr>
        <w:t>se dopustila porušení zásady transparentnosti uvedené v</w:t>
      </w:r>
      <w:r w:rsidR="00AD57B8">
        <w:rPr>
          <w:rFonts w:asciiTheme="minorHAnsi" w:eastAsiaTheme="minorEastAsia" w:hAnsiTheme="minorHAnsi" w:cstheme="minorBidi"/>
        </w:rPr>
        <w:t> zákoně o</w:t>
      </w:r>
      <w:r w:rsidR="00706ABF">
        <w:rPr>
          <w:rFonts w:asciiTheme="minorHAnsi" w:eastAsiaTheme="minorEastAsia" w:hAnsiTheme="minorHAnsi" w:cstheme="minorBidi"/>
        </w:rPr>
        <w:t> </w:t>
      </w:r>
      <w:r w:rsidR="00AD57B8">
        <w:rPr>
          <w:rFonts w:asciiTheme="minorHAnsi" w:eastAsiaTheme="minorEastAsia" w:hAnsiTheme="minorHAnsi" w:cstheme="minorBidi"/>
        </w:rPr>
        <w:t>zadávání veřejných zakázek</w:t>
      </w:r>
      <w:r w:rsidR="00521EEE">
        <w:rPr>
          <w:rStyle w:val="Znakapoznpodarou"/>
          <w:rFonts w:asciiTheme="minorHAnsi" w:eastAsiaTheme="minorEastAsia" w:hAnsiTheme="minorHAnsi" w:cstheme="minorBidi"/>
        </w:rPr>
        <w:footnoteReference w:id="64"/>
      </w:r>
      <w:r w:rsidR="08EDBB59" w:rsidRPr="527EA771">
        <w:rPr>
          <w:rFonts w:asciiTheme="minorHAnsi" w:eastAsiaTheme="minorEastAsia" w:hAnsiTheme="minorHAnsi" w:cstheme="minorBidi"/>
        </w:rPr>
        <w:t xml:space="preserve">. NSA </w:t>
      </w:r>
      <w:r w:rsidR="001200BD" w:rsidRPr="527EA771">
        <w:rPr>
          <w:rFonts w:asciiTheme="minorHAnsi" w:eastAsiaTheme="minorEastAsia" w:hAnsiTheme="minorHAnsi" w:cstheme="minorBidi"/>
        </w:rPr>
        <w:t>zaslala k uveřejnění v</w:t>
      </w:r>
      <w:r w:rsidR="001200BD">
        <w:rPr>
          <w:rFonts w:asciiTheme="minorHAnsi" w:eastAsiaTheme="minorEastAsia" w:hAnsiTheme="minorHAnsi" w:cstheme="minorBidi"/>
        </w:rPr>
        <w:t> </w:t>
      </w:r>
      <w:r w:rsidR="001200BD" w:rsidRPr="527EA771">
        <w:rPr>
          <w:rFonts w:asciiTheme="minorHAnsi" w:eastAsiaTheme="minorEastAsia" w:hAnsiTheme="minorHAnsi" w:cstheme="minorBidi"/>
        </w:rPr>
        <w:t xml:space="preserve">registru smluv </w:t>
      </w:r>
      <w:r w:rsidR="001200BD">
        <w:rPr>
          <w:rFonts w:asciiTheme="minorHAnsi" w:eastAsiaTheme="minorEastAsia" w:hAnsiTheme="minorHAnsi" w:cstheme="minorBidi"/>
        </w:rPr>
        <w:t>r</w:t>
      </w:r>
      <w:r w:rsidR="001200BD" w:rsidRPr="527EA771">
        <w:rPr>
          <w:rFonts w:asciiTheme="minorHAnsi" w:eastAsiaTheme="minorEastAsia" w:hAnsiTheme="minorHAnsi" w:cstheme="minorBidi"/>
        </w:rPr>
        <w:t xml:space="preserve">ámcové smlouvy na posouzení projektových dokumentací, </w:t>
      </w:r>
      <w:r w:rsidR="001200BD">
        <w:rPr>
          <w:rFonts w:asciiTheme="minorHAnsi" w:eastAsiaTheme="minorEastAsia" w:hAnsiTheme="minorHAnsi" w:cstheme="minorBidi"/>
        </w:rPr>
        <w:t>které</w:t>
      </w:r>
      <w:r w:rsidR="00706ABF">
        <w:rPr>
          <w:rFonts w:asciiTheme="minorHAnsi" w:eastAsiaTheme="minorEastAsia" w:hAnsiTheme="minorHAnsi" w:cstheme="minorBidi"/>
        </w:rPr>
        <w:t xml:space="preserve"> </w:t>
      </w:r>
      <w:r w:rsidR="001200BD" w:rsidRPr="527EA771">
        <w:rPr>
          <w:rFonts w:asciiTheme="minorHAnsi" w:eastAsiaTheme="minorEastAsia" w:hAnsiTheme="minorHAnsi" w:cstheme="minorBidi"/>
        </w:rPr>
        <w:t xml:space="preserve">obsahovaly </w:t>
      </w:r>
      <w:r w:rsidR="00AA1654">
        <w:rPr>
          <w:rFonts w:asciiTheme="minorHAnsi" w:eastAsiaTheme="minorEastAsia" w:hAnsiTheme="minorHAnsi" w:cstheme="minorBidi"/>
        </w:rPr>
        <w:t>ne</w:t>
      </w:r>
      <w:r w:rsidR="001200BD" w:rsidRPr="527EA771">
        <w:rPr>
          <w:rFonts w:asciiTheme="minorHAnsi" w:eastAsiaTheme="minorEastAsia" w:hAnsiTheme="minorHAnsi" w:cstheme="minorBidi"/>
        </w:rPr>
        <w:t>správně uvedenou cenu či hodnotu předmětu smlouvy podle</w:t>
      </w:r>
      <w:r w:rsidR="001200BD">
        <w:rPr>
          <w:rFonts w:asciiTheme="minorHAnsi" w:eastAsiaTheme="minorEastAsia" w:hAnsiTheme="minorHAnsi" w:cstheme="minorBidi"/>
        </w:rPr>
        <w:t xml:space="preserve"> zákona o registru smluv.</w:t>
      </w:r>
      <w:r w:rsidR="08EDBB59" w:rsidRPr="527EA771">
        <w:rPr>
          <w:rFonts w:asciiTheme="minorHAnsi" w:eastAsiaTheme="minorEastAsia" w:hAnsiTheme="minorHAnsi" w:cstheme="minorBidi"/>
        </w:rPr>
        <w:t xml:space="preserve"> </w:t>
      </w:r>
    </w:p>
    <w:p w14:paraId="0E01DAB9" w14:textId="123F5019" w:rsidR="08EDBB59" w:rsidRPr="00913EE2" w:rsidRDefault="08EDBB59" w:rsidP="00324A00">
      <w:pPr>
        <w:spacing w:before="120"/>
        <w:rPr>
          <w:rFonts w:asciiTheme="minorHAnsi" w:eastAsiaTheme="minorEastAsia" w:hAnsiTheme="minorHAnsi" w:cstheme="minorBidi"/>
          <w:b/>
          <w:bCs/>
        </w:rPr>
      </w:pPr>
      <w:r w:rsidRPr="527EA771">
        <w:rPr>
          <w:rFonts w:asciiTheme="minorHAnsi" w:eastAsiaTheme="minorEastAsia" w:hAnsiTheme="minorHAnsi" w:cstheme="minorBidi"/>
        </w:rPr>
        <w:t xml:space="preserve">Dále </w:t>
      </w:r>
      <w:r w:rsidR="001D40C2">
        <w:rPr>
          <w:rFonts w:asciiTheme="minorHAnsi" w:eastAsiaTheme="minorEastAsia" w:hAnsiTheme="minorHAnsi" w:cstheme="minorBidi"/>
        </w:rPr>
        <w:t xml:space="preserve">NSA </w:t>
      </w:r>
      <w:r w:rsidR="00263C20" w:rsidRPr="00C22653">
        <w:rPr>
          <w:rFonts w:asciiTheme="minorHAnsi" w:eastAsiaTheme="minorEastAsia" w:hAnsiTheme="minorHAnsi" w:cstheme="minorBidi"/>
        </w:rPr>
        <w:t>nevypracovala písemné objednávky</w:t>
      </w:r>
      <w:r w:rsidR="00263C20">
        <w:rPr>
          <w:rFonts w:asciiTheme="minorHAnsi" w:eastAsiaTheme="minorEastAsia" w:hAnsiTheme="minorHAnsi" w:cstheme="minorBidi"/>
        </w:rPr>
        <w:t>,</w:t>
      </w:r>
      <w:r w:rsidR="00263C20" w:rsidRPr="00C22653">
        <w:rPr>
          <w:rFonts w:asciiTheme="minorHAnsi" w:eastAsiaTheme="minorEastAsia" w:hAnsiTheme="minorHAnsi" w:cstheme="minorBidi"/>
        </w:rPr>
        <w:t xml:space="preserve"> </w:t>
      </w:r>
      <w:r w:rsidR="00263C20" w:rsidRPr="00913EE2">
        <w:rPr>
          <w:rFonts w:asciiTheme="minorHAnsi" w:eastAsiaTheme="minorEastAsia" w:hAnsiTheme="minorHAnsi" w:cstheme="minorBidi"/>
        </w:rPr>
        <w:t xml:space="preserve">na </w:t>
      </w:r>
      <w:r w:rsidR="00706ABF">
        <w:rPr>
          <w:rFonts w:asciiTheme="minorHAnsi" w:eastAsiaTheme="minorEastAsia" w:hAnsiTheme="minorHAnsi" w:cstheme="minorBidi"/>
        </w:rPr>
        <w:t xml:space="preserve">jejichž </w:t>
      </w:r>
      <w:r w:rsidR="00263C20" w:rsidRPr="00913EE2">
        <w:rPr>
          <w:rFonts w:asciiTheme="minorHAnsi" w:eastAsiaTheme="minorEastAsia" w:hAnsiTheme="minorHAnsi" w:cstheme="minorBidi"/>
        </w:rPr>
        <w:t>základě po dodavatelích požadovala plnění</w:t>
      </w:r>
      <w:r w:rsidR="00BF1432">
        <w:rPr>
          <w:rFonts w:asciiTheme="minorHAnsi" w:eastAsiaTheme="minorEastAsia" w:hAnsiTheme="minorHAnsi" w:cstheme="minorBidi"/>
        </w:rPr>
        <w:t xml:space="preserve"> </w:t>
      </w:r>
      <w:r w:rsidR="001D40C2" w:rsidRPr="00C22653">
        <w:rPr>
          <w:rFonts w:asciiTheme="minorHAnsi" w:eastAsiaTheme="minorEastAsia" w:hAnsiTheme="minorHAnsi" w:cstheme="minorBidi"/>
        </w:rPr>
        <w:t>a s pravidly, která si sama nastavila</w:t>
      </w:r>
      <w:r w:rsidR="00263C20">
        <w:rPr>
          <w:rFonts w:asciiTheme="minorHAnsi" w:eastAsiaTheme="minorEastAsia" w:hAnsiTheme="minorHAnsi" w:cstheme="minorBidi"/>
        </w:rPr>
        <w:t>.</w:t>
      </w:r>
      <w:r w:rsidRPr="00C22653">
        <w:rPr>
          <w:rFonts w:asciiTheme="minorHAnsi" w:eastAsiaTheme="minorEastAsia" w:hAnsiTheme="minorHAnsi" w:cstheme="minorBidi"/>
        </w:rPr>
        <w:t xml:space="preserve"> Dodavatelé na základě čtyř předávacích protokolů vystavil</w:t>
      </w:r>
      <w:r w:rsidR="00FE5D07" w:rsidRPr="00C22653">
        <w:rPr>
          <w:rFonts w:asciiTheme="minorHAnsi" w:eastAsiaTheme="minorEastAsia" w:hAnsiTheme="minorHAnsi" w:cstheme="minorBidi"/>
        </w:rPr>
        <w:t>i</w:t>
      </w:r>
      <w:r w:rsidRPr="00C22653">
        <w:rPr>
          <w:rFonts w:asciiTheme="minorHAnsi" w:eastAsiaTheme="minorEastAsia" w:hAnsiTheme="minorHAnsi" w:cstheme="minorBidi"/>
        </w:rPr>
        <w:t xml:space="preserve"> faktury za posouzení projektových</w:t>
      </w:r>
      <w:r w:rsidRPr="527EA771">
        <w:rPr>
          <w:rFonts w:asciiTheme="minorHAnsi" w:eastAsiaTheme="minorEastAsia" w:hAnsiTheme="minorHAnsi" w:cstheme="minorBidi"/>
        </w:rPr>
        <w:t xml:space="preserve"> dokumentací, které byly ve výši přesahujících 50</w:t>
      </w:r>
      <w:r w:rsidR="005058BB">
        <w:rPr>
          <w:rFonts w:asciiTheme="minorHAnsi" w:eastAsiaTheme="minorEastAsia" w:hAnsiTheme="minorHAnsi" w:cstheme="minorBidi"/>
        </w:rPr>
        <w:t> </w:t>
      </w:r>
      <w:r w:rsidRPr="527EA771">
        <w:rPr>
          <w:rFonts w:asciiTheme="minorHAnsi" w:eastAsiaTheme="minorEastAsia" w:hAnsiTheme="minorHAnsi" w:cstheme="minorBidi"/>
        </w:rPr>
        <w:t>000</w:t>
      </w:r>
      <w:r w:rsidR="005058BB">
        <w:rPr>
          <w:rFonts w:asciiTheme="minorHAnsi" w:eastAsiaTheme="minorEastAsia" w:hAnsiTheme="minorHAnsi" w:cstheme="minorBidi"/>
        </w:rPr>
        <w:t> </w:t>
      </w:r>
      <w:r w:rsidRPr="527EA771">
        <w:rPr>
          <w:rFonts w:asciiTheme="minorHAnsi" w:eastAsiaTheme="minorEastAsia" w:hAnsiTheme="minorHAnsi" w:cstheme="minorBidi"/>
        </w:rPr>
        <w:t>Kč bez DPH.</w:t>
      </w:r>
      <w:r w:rsidR="00A42BD7" w:rsidRPr="527EA771">
        <w:rPr>
          <w:rFonts w:asciiTheme="minorHAnsi" w:eastAsiaTheme="minorEastAsia" w:hAnsiTheme="minorHAnsi" w:cstheme="minorBidi"/>
        </w:rPr>
        <w:t xml:space="preserve"> </w:t>
      </w:r>
      <w:r w:rsidR="00263C20">
        <w:rPr>
          <w:rFonts w:asciiTheme="minorHAnsi" w:eastAsiaTheme="minorEastAsia" w:hAnsiTheme="minorHAnsi" w:cstheme="minorBidi"/>
        </w:rPr>
        <w:t xml:space="preserve">Celková výše vystavených faktur činila 1 175 750 Kč bez DPH. </w:t>
      </w:r>
      <w:r w:rsidRPr="527EA771">
        <w:rPr>
          <w:rFonts w:asciiTheme="minorHAnsi" w:eastAsiaTheme="minorEastAsia" w:hAnsiTheme="minorHAnsi" w:cstheme="minorBidi"/>
        </w:rPr>
        <w:t>NSA postupovala v</w:t>
      </w:r>
      <w:r w:rsidR="00563528">
        <w:rPr>
          <w:rFonts w:asciiTheme="minorHAnsi" w:eastAsiaTheme="minorEastAsia" w:hAnsiTheme="minorHAnsi" w:cstheme="minorBidi"/>
        </w:rPr>
        <w:t> rozporu se zákonem o registru smluv</w:t>
      </w:r>
      <w:r w:rsidR="008C4411">
        <w:rPr>
          <w:rStyle w:val="Znakapoznpodarou"/>
          <w:rFonts w:asciiTheme="minorHAnsi" w:eastAsiaTheme="minorEastAsia" w:hAnsiTheme="minorHAnsi" w:cstheme="minorBidi"/>
        </w:rPr>
        <w:footnoteReference w:id="65"/>
      </w:r>
      <w:r w:rsidRPr="527EA771">
        <w:rPr>
          <w:rFonts w:asciiTheme="minorHAnsi" w:eastAsiaTheme="minorEastAsia" w:hAnsiTheme="minorHAnsi" w:cstheme="minorBidi"/>
        </w:rPr>
        <w:t xml:space="preserve"> tím, že nezaslala k</w:t>
      </w:r>
      <w:r w:rsidR="00272B2B">
        <w:rPr>
          <w:rFonts w:asciiTheme="minorHAnsi" w:eastAsiaTheme="minorEastAsia" w:hAnsiTheme="minorHAnsi" w:cstheme="minorBidi"/>
        </w:rPr>
        <w:t> </w:t>
      </w:r>
      <w:r w:rsidRPr="527EA771">
        <w:rPr>
          <w:rFonts w:asciiTheme="minorHAnsi" w:eastAsiaTheme="minorEastAsia" w:hAnsiTheme="minorHAnsi" w:cstheme="minorBidi"/>
        </w:rPr>
        <w:t xml:space="preserve">uveřejnění v registru smluv jednotlivé objednávky, čímž podle </w:t>
      </w:r>
      <w:r w:rsidR="00563528">
        <w:rPr>
          <w:rFonts w:asciiTheme="minorHAnsi" w:eastAsiaTheme="minorEastAsia" w:hAnsiTheme="minorHAnsi" w:cstheme="minorBidi"/>
        </w:rPr>
        <w:t xml:space="preserve">zákona </w:t>
      </w:r>
      <w:r w:rsidR="00563528" w:rsidRPr="00F6678D">
        <w:rPr>
          <w:rFonts w:eastAsiaTheme="minorEastAsia"/>
        </w:rPr>
        <w:t>o</w:t>
      </w:r>
      <w:r w:rsidR="00F6678D">
        <w:rPr>
          <w:rFonts w:eastAsiaTheme="minorEastAsia"/>
        </w:rPr>
        <w:t> </w:t>
      </w:r>
      <w:r w:rsidR="00563528" w:rsidRPr="00F6678D">
        <w:rPr>
          <w:rFonts w:eastAsiaTheme="minorEastAsia"/>
        </w:rPr>
        <w:t>registru</w:t>
      </w:r>
      <w:r w:rsidR="00563528">
        <w:rPr>
          <w:rFonts w:asciiTheme="minorHAnsi" w:eastAsiaTheme="minorEastAsia" w:hAnsiTheme="minorHAnsi" w:cstheme="minorBidi"/>
        </w:rPr>
        <w:t xml:space="preserve"> smluv</w:t>
      </w:r>
      <w:r w:rsidR="00563528">
        <w:rPr>
          <w:rStyle w:val="Znakapoznpodarou"/>
          <w:rFonts w:asciiTheme="minorHAnsi" w:eastAsiaTheme="minorEastAsia" w:hAnsiTheme="minorHAnsi" w:cstheme="minorBidi"/>
        </w:rPr>
        <w:footnoteReference w:id="66"/>
      </w:r>
      <w:r w:rsidR="00563528">
        <w:rPr>
          <w:rFonts w:asciiTheme="minorHAnsi" w:eastAsiaTheme="minorEastAsia" w:hAnsiTheme="minorHAnsi" w:cstheme="minorBidi"/>
        </w:rPr>
        <w:t xml:space="preserve"> </w:t>
      </w:r>
      <w:r w:rsidRPr="527EA771">
        <w:rPr>
          <w:rFonts w:asciiTheme="minorHAnsi" w:eastAsiaTheme="minorEastAsia" w:hAnsiTheme="minorHAnsi" w:cstheme="minorBidi"/>
        </w:rPr>
        <w:t>byly zrušeny od počátku, resp. nenabyly účinnosti.</w:t>
      </w:r>
      <w:r w:rsidR="00263C20">
        <w:rPr>
          <w:rFonts w:asciiTheme="minorHAnsi" w:eastAsiaTheme="minorEastAsia" w:hAnsiTheme="minorHAnsi" w:cstheme="minorBidi"/>
        </w:rPr>
        <w:t xml:space="preserve"> </w:t>
      </w:r>
      <w:r w:rsidR="20220FFB" w:rsidRPr="527EA771">
        <w:rPr>
          <w:rFonts w:asciiTheme="minorHAnsi" w:eastAsiaTheme="minorEastAsia" w:hAnsiTheme="minorHAnsi" w:cstheme="minorBidi"/>
          <w:b/>
          <w:bCs/>
        </w:rPr>
        <w:t>Tímto NSA vynaložila peněžní prostředky v</w:t>
      </w:r>
      <w:r w:rsidR="00255360">
        <w:rPr>
          <w:rFonts w:asciiTheme="minorHAnsi" w:eastAsiaTheme="minorEastAsia" w:hAnsiTheme="minorHAnsi" w:cstheme="minorBidi"/>
          <w:b/>
          <w:bCs/>
        </w:rPr>
        <w:t> </w:t>
      </w:r>
      <w:r w:rsidR="20220FFB" w:rsidRPr="527EA771">
        <w:rPr>
          <w:rFonts w:asciiTheme="minorHAnsi" w:eastAsiaTheme="minorEastAsia" w:hAnsiTheme="minorHAnsi" w:cstheme="minorBidi"/>
          <w:b/>
          <w:bCs/>
        </w:rPr>
        <w:t>celkové výši 1</w:t>
      </w:r>
      <w:r w:rsidR="005058BB">
        <w:rPr>
          <w:rFonts w:asciiTheme="minorHAnsi" w:eastAsiaTheme="minorEastAsia" w:hAnsiTheme="minorHAnsi" w:cstheme="minorBidi"/>
          <w:b/>
          <w:bCs/>
        </w:rPr>
        <w:t> </w:t>
      </w:r>
      <w:r w:rsidR="20220FFB" w:rsidRPr="527EA771">
        <w:rPr>
          <w:rFonts w:asciiTheme="minorHAnsi" w:eastAsiaTheme="minorEastAsia" w:hAnsiTheme="minorHAnsi" w:cstheme="minorBidi"/>
          <w:b/>
          <w:bCs/>
        </w:rPr>
        <w:t>175</w:t>
      </w:r>
      <w:r w:rsidR="005058BB">
        <w:rPr>
          <w:rFonts w:asciiTheme="minorHAnsi" w:eastAsiaTheme="minorEastAsia" w:hAnsiTheme="minorHAnsi" w:cstheme="minorBidi"/>
          <w:b/>
          <w:bCs/>
        </w:rPr>
        <w:t> </w:t>
      </w:r>
      <w:r w:rsidR="20220FFB" w:rsidRPr="527EA771">
        <w:rPr>
          <w:rFonts w:asciiTheme="minorHAnsi" w:eastAsiaTheme="minorEastAsia" w:hAnsiTheme="minorHAnsi" w:cstheme="minorBidi"/>
          <w:b/>
          <w:bCs/>
        </w:rPr>
        <w:t>750</w:t>
      </w:r>
      <w:r w:rsidR="005058BB">
        <w:rPr>
          <w:rFonts w:asciiTheme="minorHAnsi" w:eastAsiaTheme="minorEastAsia" w:hAnsiTheme="minorHAnsi" w:cstheme="minorBidi"/>
          <w:b/>
          <w:bCs/>
        </w:rPr>
        <w:t> </w:t>
      </w:r>
      <w:r w:rsidR="20220FFB" w:rsidRPr="527EA771">
        <w:rPr>
          <w:rFonts w:asciiTheme="minorHAnsi" w:eastAsiaTheme="minorEastAsia" w:hAnsiTheme="minorHAnsi" w:cstheme="minorBidi"/>
          <w:b/>
          <w:bCs/>
        </w:rPr>
        <w:t xml:space="preserve">Kč bez DPH bez právního důvodu. </w:t>
      </w:r>
      <w:r w:rsidR="01E43294" w:rsidRPr="527EA771">
        <w:rPr>
          <w:rFonts w:asciiTheme="minorHAnsi" w:eastAsiaTheme="minorEastAsia" w:hAnsiTheme="minorHAnsi" w:cstheme="minorBidi"/>
          <w:b/>
          <w:bCs/>
        </w:rPr>
        <w:t>Dle NKÚ se jedná o skutečnosti nasvědčující porušení rozpočtové kázně</w:t>
      </w:r>
      <w:r w:rsidR="00D95E88">
        <w:rPr>
          <w:rFonts w:asciiTheme="minorHAnsi" w:eastAsiaTheme="minorEastAsia" w:hAnsiTheme="minorHAnsi" w:cstheme="minorBidi"/>
          <w:b/>
          <w:bCs/>
        </w:rPr>
        <w:t>.</w:t>
      </w:r>
      <w:r w:rsidR="000D2A5D" w:rsidRPr="527EA771">
        <w:rPr>
          <w:rStyle w:val="Znakapoznpodarou"/>
          <w:rFonts w:asciiTheme="minorHAnsi" w:eastAsiaTheme="minorEastAsia" w:hAnsiTheme="minorHAnsi" w:cstheme="minorBidi"/>
          <w:b/>
          <w:bCs/>
        </w:rPr>
        <w:footnoteReference w:id="67"/>
      </w:r>
    </w:p>
    <w:p w14:paraId="7830A8DF" w14:textId="77777777" w:rsidR="040C519F" w:rsidRPr="00913EE2" w:rsidRDefault="00725F9C" w:rsidP="00725F9C">
      <w:pPr>
        <w:pStyle w:val="Nadpis2"/>
        <w:spacing w:before="240" w:after="120"/>
        <w:rPr>
          <w:rFonts w:eastAsiaTheme="minorEastAsia"/>
        </w:rPr>
      </w:pPr>
      <w:r>
        <w:rPr>
          <w:rFonts w:eastAsiaTheme="minorEastAsia"/>
        </w:rPr>
        <w:t xml:space="preserve">6.4 </w:t>
      </w:r>
      <w:r w:rsidR="040C519F" w:rsidRPr="527EA771">
        <w:rPr>
          <w:rFonts w:eastAsiaTheme="minorEastAsia"/>
        </w:rPr>
        <w:t xml:space="preserve">Veřejná zakázka </w:t>
      </w:r>
      <w:r w:rsidR="00735BCA">
        <w:rPr>
          <w:rFonts w:eastAsiaTheme="minorEastAsia"/>
        </w:rPr>
        <w:t>na vytvoření rejstříku sportu</w:t>
      </w:r>
    </w:p>
    <w:p w14:paraId="7DCB5FA8" w14:textId="28A1B7F9" w:rsidR="040C519F" w:rsidRPr="00913EE2" w:rsidRDefault="00D3278F" w:rsidP="00BD0991">
      <w:pPr>
        <w:spacing w:before="120"/>
        <w:rPr>
          <w:rFonts w:asciiTheme="minorHAnsi" w:eastAsiaTheme="minorEastAsia" w:hAnsiTheme="minorHAnsi" w:cstheme="minorBidi"/>
        </w:rPr>
      </w:pPr>
      <w:r w:rsidRPr="00913EE2">
        <w:rPr>
          <w:rFonts w:asciiTheme="minorHAnsi" w:eastAsiaTheme="minorEastAsia" w:hAnsiTheme="minorHAnsi" w:cstheme="minorBidi"/>
        </w:rPr>
        <w:t xml:space="preserve">NSA uzavřela </w:t>
      </w:r>
      <w:r w:rsidR="00DF6409" w:rsidRPr="00913EE2">
        <w:rPr>
          <w:rFonts w:asciiTheme="minorHAnsi" w:eastAsiaTheme="minorEastAsia" w:hAnsiTheme="minorHAnsi" w:cstheme="minorBidi"/>
        </w:rPr>
        <w:t xml:space="preserve">v květnu 2020 </w:t>
      </w:r>
      <w:r w:rsidRPr="00913EE2">
        <w:rPr>
          <w:rFonts w:asciiTheme="minorHAnsi" w:eastAsiaTheme="minorEastAsia" w:hAnsiTheme="minorHAnsi" w:cstheme="minorBidi"/>
        </w:rPr>
        <w:t xml:space="preserve">na základě výsledků výběrového řízení smlouvu s dodavatelem na vytvoření </w:t>
      </w:r>
      <w:r w:rsidR="008D5A83">
        <w:rPr>
          <w:rFonts w:asciiTheme="minorHAnsi" w:eastAsiaTheme="minorEastAsia" w:hAnsiTheme="minorHAnsi" w:cstheme="minorBidi"/>
        </w:rPr>
        <w:t>informačního systému</w:t>
      </w:r>
      <w:r w:rsidRPr="00913EE2">
        <w:rPr>
          <w:rFonts w:asciiTheme="minorHAnsi" w:eastAsiaTheme="minorEastAsia" w:hAnsiTheme="minorHAnsi" w:cstheme="minorBidi"/>
        </w:rPr>
        <w:t xml:space="preserve"> </w:t>
      </w:r>
      <w:r w:rsidR="008D5A83">
        <w:rPr>
          <w:rFonts w:asciiTheme="minorHAnsi" w:eastAsiaTheme="minorEastAsia" w:hAnsiTheme="minorHAnsi" w:cstheme="minorBidi"/>
        </w:rPr>
        <w:t>r</w:t>
      </w:r>
      <w:r w:rsidRPr="00913EE2">
        <w:rPr>
          <w:rFonts w:asciiTheme="minorHAnsi" w:eastAsiaTheme="minorEastAsia" w:hAnsiTheme="minorHAnsi" w:cstheme="minorBidi"/>
        </w:rPr>
        <w:t xml:space="preserve">ejstříku sportu. K uvedené smlouvě </w:t>
      </w:r>
      <w:r w:rsidR="00EA6A0E" w:rsidRPr="00913EE2">
        <w:rPr>
          <w:rFonts w:asciiTheme="minorHAnsi" w:eastAsiaTheme="minorEastAsia" w:hAnsiTheme="minorHAnsi" w:cstheme="minorBidi"/>
        </w:rPr>
        <w:t>uzavřela</w:t>
      </w:r>
      <w:r w:rsidR="00DF6409" w:rsidRPr="00913EE2">
        <w:rPr>
          <w:rFonts w:asciiTheme="minorHAnsi" w:eastAsiaTheme="minorEastAsia" w:hAnsiTheme="minorHAnsi" w:cstheme="minorBidi"/>
        </w:rPr>
        <w:t xml:space="preserve"> v únoru 2021</w:t>
      </w:r>
      <w:r w:rsidR="040C519F" w:rsidRPr="00913EE2">
        <w:rPr>
          <w:rFonts w:asciiTheme="minorHAnsi" w:eastAsiaTheme="minorEastAsia" w:hAnsiTheme="minorHAnsi" w:cstheme="minorBidi"/>
        </w:rPr>
        <w:t xml:space="preserve"> </w:t>
      </w:r>
      <w:r w:rsidR="008D5A83">
        <w:rPr>
          <w:rFonts w:asciiTheme="minorHAnsi" w:eastAsiaTheme="minorEastAsia" w:hAnsiTheme="minorHAnsi" w:cstheme="minorBidi"/>
        </w:rPr>
        <w:t>d</w:t>
      </w:r>
      <w:r w:rsidR="040C519F" w:rsidRPr="00913EE2">
        <w:rPr>
          <w:rFonts w:asciiTheme="minorHAnsi" w:eastAsiaTheme="minorEastAsia" w:hAnsiTheme="minorHAnsi" w:cstheme="minorBidi"/>
        </w:rPr>
        <w:t>odat</w:t>
      </w:r>
      <w:r w:rsidR="00EA6A0E" w:rsidRPr="00913EE2">
        <w:rPr>
          <w:rFonts w:asciiTheme="minorHAnsi" w:eastAsiaTheme="minorEastAsia" w:hAnsiTheme="minorHAnsi" w:cstheme="minorBidi"/>
        </w:rPr>
        <w:t>e</w:t>
      </w:r>
      <w:r w:rsidR="040C519F" w:rsidRPr="00913EE2">
        <w:rPr>
          <w:rFonts w:asciiTheme="minorHAnsi" w:eastAsiaTheme="minorEastAsia" w:hAnsiTheme="minorHAnsi" w:cstheme="minorBidi"/>
        </w:rPr>
        <w:t>k</w:t>
      </w:r>
      <w:r w:rsidR="00EA6A0E" w:rsidRPr="00913EE2">
        <w:rPr>
          <w:rFonts w:asciiTheme="minorHAnsi" w:eastAsiaTheme="minorEastAsia" w:hAnsiTheme="minorHAnsi" w:cstheme="minorBidi"/>
        </w:rPr>
        <w:t>,</w:t>
      </w:r>
      <w:r w:rsidR="00DF6409" w:rsidRPr="00913EE2">
        <w:rPr>
          <w:rFonts w:asciiTheme="minorHAnsi" w:eastAsiaTheme="minorEastAsia" w:hAnsiTheme="minorHAnsi" w:cstheme="minorBidi"/>
        </w:rPr>
        <w:t xml:space="preserve"> jehož předmětem byla úprava termínů plnění a posunutí lhůty k provedení díla.</w:t>
      </w:r>
      <w:r w:rsidR="00EA6A0E" w:rsidRPr="00913EE2">
        <w:rPr>
          <w:rFonts w:asciiTheme="minorHAnsi" w:eastAsiaTheme="minorEastAsia" w:hAnsiTheme="minorHAnsi" w:cstheme="minorBidi"/>
        </w:rPr>
        <w:t xml:space="preserve"> </w:t>
      </w:r>
      <w:r w:rsidR="007C39C8" w:rsidRPr="527EA771">
        <w:rPr>
          <w:rFonts w:asciiTheme="minorHAnsi" w:eastAsiaTheme="minorEastAsia" w:hAnsiTheme="minorHAnsi" w:cstheme="minorBidi"/>
        </w:rPr>
        <w:t>NSA nezaslala k uveřejnění v</w:t>
      </w:r>
      <w:r w:rsidR="007C39C8">
        <w:rPr>
          <w:rFonts w:asciiTheme="minorHAnsi" w:eastAsiaTheme="minorEastAsia" w:hAnsiTheme="minorHAnsi" w:cstheme="minorBidi"/>
        </w:rPr>
        <w:t> </w:t>
      </w:r>
      <w:r w:rsidR="007C39C8" w:rsidRPr="527EA771">
        <w:rPr>
          <w:rFonts w:asciiTheme="minorHAnsi" w:eastAsiaTheme="minorEastAsia" w:hAnsiTheme="minorHAnsi" w:cstheme="minorBidi"/>
        </w:rPr>
        <w:t>registru</w:t>
      </w:r>
      <w:r w:rsidR="007C39C8">
        <w:rPr>
          <w:rFonts w:asciiTheme="minorHAnsi" w:eastAsiaTheme="minorEastAsia" w:hAnsiTheme="minorHAnsi" w:cstheme="minorBidi"/>
        </w:rPr>
        <w:t xml:space="preserve"> smluv</w:t>
      </w:r>
      <w:r w:rsidR="007C39C8" w:rsidRPr="527EA771">
        <w:rPr>
          <w:rFonts w:asciiTheme="minorHAnsi" w:eastAsiaTheme="minorEastAsia" w:hAnsiTheme="minorHAnsi" w:cstheme="minorBidi"/>
        </w:rPr>
        <w:t xml:space="preserve"> uzavřený dodatek v zákonem stanove</w:t>
      </w:r>
      <w:r w:rsidR="007C39C8" w:rsidRPr="00080FCC">
        <w:rPr>
          <w:rFonts w:asciiTheme="minorHAnsi" w:eastAsiaTheme="minorEastAsia" w:hAnsiTheme="minorHAnsi" w:cstheme="minorBidi"/>
        </w:rPr>
        <w:t>né lhůtě</w:t>
      </w:r>
      <w:r w:rsidR="007C39C8">
        <w:rPr>
          <w:rFonts w:asciiTheme="minorHAnsi" w:eastAsiaTheme="minorEastAsia" w:hAnsiTheme="minorHAnsi" w:cstheme="minorBidi"/>
        </w:rPr>
        <w:t xml:space="preserve">, a tím </w:t>
      </w:r>
      <w:r w:rsidR="007C39C8" w:rsidRPr="527EA771">
        <w:rPr>
          <w:rFonts w:asciiTheme="minorHAnsi" w:eastAsiaTheme="minorEastAsia" w:hAnsiTheme="minorHAnsi" w:cstheme="minorBidi"/>
        </w:rPr>
        <w:t xml:space="preserve">porušila </w:t>
      </w:r>
      <w:r w:rsidR="007C39C8">
        <w:rPr>
          <w:rFonts w:asciiTheme="minorHAnsi" w:eastAsiaTheme="minorEastAsia" w:hAnsiTheme="minorHAnsi" w:cstheme="minorBidi"/>
        </w:rPr>
        <w:t>zákon o registru smluv</w:t>
      </w:r>
      <w:r w:rsidR="007C39C8" w:rsidRPr="00080FCC">
        <w:rPr>
          <w:rFonts w:asciiTheme="minorHAnsi" w:eastAsiaTheme="minorEastAsia" w:hAnsiTheme="minorHAnsi" w:cstheme="minorBidi"/>
        </w:rPr>
        <w:t>, což v</w:t>
      </w:r>
      <w:r w:rsidR="007C39C8" w:rsidRPr="527EA771">
        <w:rPr>
          <w:rFonts w:asciiTheme="minorHAnsi" w:eastAsiaTheme="minorEastAsia" w:hAnsiTheme="minorHAnsi" w:cstheme="minorBidi"/>
        </w:rPr>
        <w:t xml:space="preserve"> konečném důsledku znamenalo zrušení </w:t>
      </w:r>
      <w:r w:rsidR="007C39C8">
        <w:rPr>
          <w:rFonts w:asciiTheme="minorHAnsi" w:eastAsiaTheme="minorEastAsia" w:hAnsiTheme="minorHAnsi" w:cstheme="minorBidi"/>
        </w:rPr>
        <w:t>dodatku</w:t>
      </w:r>
      <w:r w:rsidR="007C39C8" w:rsidRPr="527EA771">
        <w:rPr>
          <w:rFonts w:asciiTheme="minorHAnsi" w:eastAsiaTheme="minorEastAsia" w:hAnsiTheme="minorHAnsi" w:cstheme="minorBidi"/>
        </w:rPr>
        <w:t xml:space="preserve"> od samého počátku</w:t>
      </w:r>
      <w:r w:rsidR="007C39C8">
        <w:rPr>
          <w:rStyle w:val="Znakapoznpodarou"/>
          <w:rFonts w:asciiTheme="minorHAnsi" w:eastAsiaTheme="minorEastAsia" w:hAnsiTheme="minorHAnsi" w:cstheme="minorBidi"/>
        </w:rPr>
        <w:footnoteReference w:id="68"/>
      </w:r>
      <w:r w:rsidR="007C39C8">
        <w:rPr>
          <w:rFonts w:asciiTheme="minorHAnsi" w:eastAsiaTheme="minorEastAsia" w:hAnsiTheme="minorHAnsi" w:cstheme="minorBidi"/>
        </w:rPr>
        <w:t xml:space="preserve">. </w:t>
      </w:r>
      <w:r w:rsidR="001C71A4" w:rsidRPr="527EA771">
        <w:rPr>
          <w:rFonts w:asciiTheme="minorHAnsi" w:eastAsiaTheme="minorEastAsia" w:hAnsiTheme="minorHAnsi" w:cstheme="minorBidi"/>
        </w:rPr>
        <w:t>NSA postupovala v rozporu s</w:t>
      </w:r>
      <w:r w:rsidR="001C71A4">
        <w:rPr>
          <w:rFonts w:asciiTheme="minorHAnsi" w:eastAsiaTheme="minorEastAsia" w:hAnsiTheme="minorHAnsi" w:cstheme="minorBidi"/>
        </w:rPr>
        <w:t>e zákonem o zadávání veřejných zakázek,</w:t>
      </w:r>
      <w:r w:rsidR="001C71A4">
        <w:rPr>
          <w:rStyle w:val="Znakapoznpodarou"/>
          <w:rFonts w:asciiTheme="minorHAnsi" w:eastAsiaTheme="minorEastAsia" w:hAnsiTheme="minorHAnsi" w:cstheme="minorBidi"/>
        </w:rPr>
        <w:footnoteReference w:id="69"/>
      </w:r>
      <w:r w:rsidR="001C71A4" w:rsidRPr="527EA771">
        <w:rPr>
          <w:rFonts w:asciiTheme="minorHAnsi" w:eastAsiaTheme="minorEastAsia" w:hAnsiTheme="minorHAnsi" w:cstheme="minorBidi"/>
        </w:rPr>
        <w:t xml:space="preserve"> když na svém profilu zadavatele nezveřejnila ve stanovených lhůtách </w:t>
      </w:r>
      <w:r w:rsidR="001C71A4">
        <w:rPr>
          <w:rFonts w:asciiTheme="minorHAnsi" w:eastAsiaTheme="minorEastAsia" w:hAnsiTheme="minorHAnsi" w:cstheme="minorBidi"/>
        </w:rPr>
        <w:t>v</w:t>
      </w:r>
      <w:r w:rsidR="001C71A4" w:rsidRPr="527EA771">
        <w:rPr>
          <w:rFonts w:asciiTheme="minorHAnsi" w:eastAsiaTheme="minorEastAsia" w:hAnsiTheme="minorHAnsi" w:cstheme="minorBidi"/>
        </w:rPr>
        <w:t xml:space="preserve">ýše skutečně uhrazené ceny, a to za plnění </w:t>
      </w:r>
      <w:r w:rsidR="001C71A4">
        <w:rPr>
          <w:rFonts w:asciiTheme="minorHAnsi" w:eastAsiaTheme="minorEastAsia" w:hAnsiTheme="minorHAnsi" w:cstheme="minorBidi"/>
        </w:rPr>
        <w:t>VZ</w:t>
      </w:r>
      <w:r w:rsidR="001C71A4" w:rsidRPr="527EA771">
        <w:rPr>
          <w:rFonts w:asciiTheme="minorHAnsi" w:eastAsiaTheme="minorEastAsia" w:hAnsiTheme="minorHAnsi" w:cstheme="minorBidi"/>
        </w:rPr>
        <w:t xml:space="preserve"> v letech 2020 a 2021.</w:t>
      </w:r>
      <w:r w:rsidR="001C71A4">
        <w:rPr>
          <w:rFonts w:asciiTheme="minorHAnsi" w:eastAsiaTheme="minorEastAsia" w:hAnsiTheme="minorHAnsi" w:cstheme="minorBidi"/>
        </w:rPr>
        <w:t xml:space="preserve"> </w:t>
      </w:r>
      <w:r w:rsidR="007C39C8" w:rsidRPr="527EA771">
        <w:rPr>
          <w:rFonts w:asciiTheme="minorHAnsi" w:eastAsiaTheme="minorEastAsia" w:hAnsiTheme="minorHAnsi" w:cstheme="minorBidi"/>
        </w:rPr>
        <w:t xml:space="preserve">NSA nevytvářela dokumentaci k této </w:t>
      </w:r>
      <w:r w:rsidR="007C39C8">
        <w:rPr>
          <w:rFonts w:asciiTheme="minorHAnsi" w:eastAsiaTheme="minorEastAsia" w:hAnsiTheme="minorHAnsi" w:cstheme="minorBidi"/>
        </w:rPr>
        <w:t>VZ</w:t>
      </w:r>
      <w:r w:rsidR="007C39C8" w:rsidRPr="527EA771">
        <w:rPr>
          <w:rFonts w:asciiTheme="minorHAnsi" w:eastAsiaTheme="minorEastAsia" w:hAnsiTheme="minorHAnsi" w:cstheme="minorBidi"/>
        </w:rPr>
        <w:t xml:space="preserve">, což v konečném důsledku znemožňovalo její </w:t>
      </w:r>
      <w:r w:rsidR="007C39C8">
        <w:rPr>
          <w:rFonts w:asciiTheme="minorHAnsi" w:eastAsiaTheme="minorEastAsia" w:hAnsiTheme="minorHAnsi" w:cstheme="minorBidi"/>
        </w:rPr>
        <w:t xml:space="preserve">účinnou </w:t>
      </w:r>
      <w:r w:rsidR="007C39C8" w:rsidRPr="527EA771">
        <w:rPr>
          <w:rFonts w:asciiTheme="minorHAnsi" w:eastAsiaTheme="minorEastAsia" w:hAnsiTheme="minorHAnsi" w:cstheme="minorBidi"/>
        </w:rPr>
        <w:t>kontrolu a</w:t>
      </w:r>
      <w:r w:rsidR="00706ABF">
        <w:rPr>
          <w:rFonts w:asciiTheme="minorHAnsi" w:eastAsiaTheme="minorEastAsia" w:hAnsiTheme="minorHAnsi" w:cstheme="minorBidi"/>
        </w:rPr>
        <w:t> </w:t>
      </w:r>
      <w:r w:rsidR="007C39C8" w:rsidRPr="527EA771">
        <w:rPr>
          <w:rFonts w:asciiTheme="minorHAnsi" w:eastAsiaTheme="minorEastAsia" w:hAnsiTheme="minorHAnsi" w:cstheme="minorBidi"/>
        </w:rPr>
        <w:t>přezkum</w:t>
      </w:r>
      <w:r w:rsidR="007C39C8">
        <w:rPr>
          <w:rFonts w:asciiTheme="minorHAnsi" w:eastAsiaTheme="minorEastAsia" w:hAnsiTheme="minorHAnsi" w:cstheme="minorBidi"/>
        </w:rPr>
        <w:t>, a tím</w:t>
      </w:r>
      <w:r w:rsidR="007C39C8" w:rsidRPr="527EA771">
        <w:rPr>
          <w:rFonts w:asciiTheme="minorHAnsi" w:eastAsiaTheme="minorEastAsia" w:hAnsiTheme="minorHAnsi" w:cstheme="minorBidi"/>
        </w:rPr>
        <w:t xml:space="preserve"> se dopustila porušení zásady transparentnosti uvedené v</w:t>
      </w:r>
      <w:r w:rsidR="007C39C8">
        <w:rPr>
          <w:rFonts w:asciiTheme="minorHAnsi" w:eastAsiaTheme="minorEastAsia" w:hAnsiTheme="minorHAnsi" w:cstheme="minorBidi"/>
        </w:rPr>
        <w:t> zákoně o zadávání veřejných zakázek</w:t>
      </w:r>
      <w:r w:rsidR="007C39C8">
        <w:rPr>
          <w:rStyle w:val="Znakapoznpodarou"/>
          <w:rFonts w:asciiTheme="minorHAnsi" w:eastAsiaTheme="minorEastAsia" w:hAnsiTheme="minorHAnsi" w:cstheme="minorBidi"/>
        </w:rPr>
        <w:footnoteReference w:id="70"/>
      </w:r>
      <w:r w:rsidR="007C39C8" w:rsidRPr="527EA771">
        <w:rPr>
          <w:rFonts w:asciiTheme="minorHAnsi" w:eastAsiaTheme="minorEastAsia" w:hAnsiTheme="minorHAnsi" w:cstheme="minorBidi"/>
        </w:rPr>
        <w:t>.</w:t>
      </w:r>
    </w:p>
    <w:p w14:paraId="7E21988E" w14:textId="77777777" w:rsidR="006E061A" w:rsidRPr="006E061A" w:rsidRDefault="00725F9C" w:rsidP="00725F9C">
      <w:pPr>
        <w:pStyle w:val="Nadpis2"/>
        <w:spacing w:before="240" w:after="120"/>
        <w:rPr>
          <w:rFonts w:eastAsiaTheme="minorEastAsia"/>
        </w:rPr>
      </w:pPr>
      <w:r>
        <w:rPr>
          <w:rFonts w:eastAsiaTheme="minorEastAsia"/>
        </w:rPr>
        <w:t xml:space="preserve">6.5 </w:t>
      </w:r>
      <w:r w:rsidR="006F69C3">
        <w:rPr>
          <w:rFonts w:eastAsiaTheme="minorEastAsia"/>
        </w:rPr>
        <w:t>Netransparentní postup při</w:t>
      </w:r>
      <w:r w:rsidR="00776933">
        <w:rPr>
          <w:rFonts w:eastAsiaTheme="minorEastAsia"/>
        </w:rPr>
        <w:t> pořizov</w:t>
      </w:r>
      <w:r w:rsidR="006F69C3">
        <w:rPr>
          <w:rFonts w:eastAsiaTheme="minorEastAsia"/>
        </w:rPr>
        <w:t>á</w:t>
      </w:r>
      <w:r w:rsidR="00776933">
        <w:rPr>
          <w:rFonts w:eastAsiaTheme="minorEastAsia"/>
        </w:rPr>
        <w:t>n</w:t>
      </w:r>
      <w:r w:rsidR="006F69C3">
        <w:rPr>
          <w:rFonts w:eastAsiaTheme="minorEastAsia"/>
        </w:rPr>
        <w:t>í</w:t>
      </w:r>
      <w:r w:rsidR="00776933">
        <w:rPr>
          <w:rFonts w:eastAsiaTheme="minorEastAsia"/>
        </w:rPr>
        <w:t xml:space="preserve"> majetku</w:t>
      </w:r>
    </w:p>
    <w:p w14:paraId="69E66869" w14:textId="77777777" w:rsidR="00D306C8" w:rsidRPr="00D306C8" w:rsidRDefault="00D306C8" w:rsidP="00D306C8">
      <w:pPr>
        <w:spacing w:before="120"/>
        <w:rPr>
          <w:rFonts w:asciiTheme="minorHAnsi" w:eastAsiaTheme="minorEastAsia" w:hAnsiTheme="minorHAnsi" w:cstheme="minorBidi"/>
        </w:rPr>
      </w:pPr>
      <w:r w:rsidRPr="00D306C8">
        <w:rPr>
          <w:rFonts w:asciiTheme="minorHAnsi" w:eastAsiaTheme="minorEastAsia" w:hAnsiTheme="minorHAnsi" w:cstheme="minorBidi"/>
        </w:rPr>
        <w:t>Z movitého majetku bylo kontrole podrobeno 83 ks náhodně vybraných položek nabytého majetku v pořizovací hodnotě cca 6 240 561 Kč, tj. cca 33 % nabytého majetku. Kontrolou bylo zjištěno, že pořizovaný majetek byl vždy součástí větší objednávky či uzavřené smlouvy.</w:t>
      </w:r>
      <w:r>
        <w:rPr>
          <w:rStyle w:val="Znakapoznpodarou"/>
          <w:rFonts w:asciiTheme="minorHAnsi" w:eastAsiaTheme="minorEastAsia" w:hAnsiTheme="minorHAnsi" w:cstheme="minorBidi"/>
        </w:rPr>
        <w:footnoteReference w:id="71"/>
      </w:r>
      <w:r w:rsidRPr="00D306C8">
        <w:rPr>
          <w:rFonts w:asciiTheme="minorHAnsi" w:eastAsiaTheme="minorEastAsia" w:hAnsiTheme="minorHAnsi" w:cstheme="minorBidi"/>
        </w:rPr>
        <w:t xml:space="preserve"> Jednalo se o nákupy výpočetní techniky a pořízení nábytku. </w:t>
      </w:r>
    </w:p>
    <w:p w14:paraId="4740627B" w14:textId="77777777" w:rsidR="00D1700A" w:rsidRPr="00913EE2" w:rsidRDefault="006F69C3" w:rsidP="00BD0991">
      <w:pPr>
        <w:spacing w:before="12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NSA u jedné ze šesti kontrolovaných smluv </w:t>
      </w:r>
      <w:r w:rsidRPr="527EA771">
        <w:rPr>
          <w:rFonts w:asciiTheme="minorHAnsi" w:eastAsiaTheme="minorEastAsia" w:hAnsiTheme="minorHAnsi" w:cstheme="minorBidi"/>
        </w:rPr>
        <w:t>neoslovila minimálně tři uchazeče v rámci výběrového řízení před uzavřením</w:t>
      </w:r>
      <w:r>
        <w:rPr>
          <w:rFonts w:asciiTheme="minorHAnsi" w:eastAsiaTheme="minorEastAsia" w:hAnsiTheme="minorHAnsi" w:cstheme="minorBidi"/>
        </w:rPr>
        <w:t xml:space="preserve"> smlouvy. Dále u</w:t>
      </w:r>
      <w:r w:rsidR="006E061A" w:rsidRPr="527EA771">
        <w:rPr>
          <w:rFonts w:asciiTheme="minorHAnsi" w:eastAsiaTheme="minorEastAsia" w:hAnsiTheme="minorHAnsi" w:cstheme="minorBidi"/>
        </w:rPr>
        <w:t xml:space="preserve"> dvou </w:t>
      </w:r>
      <w:r>
        <w:rPr>
          <w:rFonts w:asciiTheme="minorHAnsi" w:eastAsiaTheme="minorEastAsia" w:hAnsiTheme="minorHAnsi" w:cstheme="minorBidi"/>
        </w:rPr>
        <w:t>ze 14</w:t>
      </w:r>
      <w:r>
        <w:rPr>
          <w:rFonts w:asciiTheme="minorHAnsi" w:eastAsiaTheme="minorEastAsia" w:hAnsiTheme="minorHAnsi" w:cstheme="minorBidi"/>
          <w:vertAlign w:val="superscript"/>
        </w:rPr>
        <w:t xml:space="preserve"> </w:t>
      </w:r>
      <w:r w:rsidR="006E061A">
        <w:rPr>
          <w:rFonts w:asciiTheme="minorHAnsi" w:eastAsiaTheme="minorEastAsia" w:hAnsiTheme="minorHAnsi" w:cstheme="minorBidi"/>
        </w:rPr>
        <w:t>objednávek</w:t>
      </w:r>
      <w:r>
        <w:rPr>
          <w:rFonts w:asciiTheme="minorHAnsi" w:eastAsiaTheme="minorEastAsia" w:hAnsiTheme="minorHAnsi" w:cstheme="minorBidi"/>
        </w:rPr>
        <w:t xml:space="preserve"> </w:t>
      </w:r>
      <w:r w:rsidR="006E061A" w:rsidRPr="527EA771">
        <w:rPr>
          <w:rFonts w:asciiTheme="minorHAnsi" w:eastAsiaTheme="minorEastAsia" w:hAnsiTheme="minorHAnsi" w:cstheme="minorBidi"/>
        </w:rPr>
        <w:t>NSA nerealizovala průzkum trhu, kterým by zjistila ceny v místě a čase obvyklé</w:t>
      </w:r>
      <w:r>
        <w:rPr>
          <w:rFonts w:asciiTheme="minorHAnsi" w:eastAsiaTheme="minorEastAsia" w:hAnsiTheme="minorHAnsi" w:cstheme="minorBidi"/>
        </w:rPr>
        <w:t xml:space="preserve">. </w:t>
      </w:r>
      <w:r w:rsidRPr="527EA771">
        <w:rPr>
          <w:rFonts w:asciiTheme="minorHAnsi" w:eastAsiaTheme="minorEastAsia" w:hAnsiTheme="minorHAnsi" w:cstheme="minorBidi"/>
        </w:rPr>
        <w:t>NSA</w:t>
      </w:r>
      <w:r w:rsidR="00255360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>tak</w:t>
      </w:r>
      <w:r w:rsidR="00255360">
        <w:rPr>
          <w:rFonts w:asciiTheme="minorHAnsi" w:eastAsiaTheme="minorEastAsia" w:hAnsiTheme="minorHAnsi" w:cstheme="minorBidi"/>
        </w:rPr>
        <w:t xml:space="preserve"> </w:t>
      </w:r>
      <w:r w:rsidRPr="527EA771">
        <w:rPr>
          <w:rFonts w:asciiTheme="minorHAnsi" w:eastAsiaTheme="minorEastAsia" w:hAnsiTheme="minorHAnsi" w:cstheme="minorBidi"/>
        </w:rPr>
        <w:t>nepostupovala v</w:t>
      </w:r>
      <w:r>
        <w:rPr>
          <w:rFonts w:asciiTheme="minorHAnsi" w:eastAsiaTheme="minorEastAsia" w:hAnsiTheme="minorHAnsi" w:cstheme="minorBidi"/>
        </w:rPr>
        <w:t> souladu s pravidly, která si sama nastavila. V</w:t>
      </w:r>
      <w:r w:rsidR="00247AA3">
        <w:rPr>
          <w:rFonts w:asciiTheme="minorHAnsi" w:eastAsiaTheme="minorEastAsia" w:hAnsiTheme="minorHAnsi" w:cstheme="minorBidi"/>
        </w:rPr>
        <w:t>e všech</w:t>
      </w:r>
      <w:r>
        <w:rPr>
          <w:rFonts w:asciiTheme="minorHAnsi" w:eastAsiaTheme="minorEastAsia" w:hAnsiTheme="minorHAnsi" w:cstheme="minorBidi"/>
        </w:rPr>
        <w:t xml:space="preserve"> třech případech </w:t>
      </w:r>
      <w:r w:rsidR="09947DC6" w:rsidRPr="7D1F5B88">
        <w:rPr>
          <w:rFonts w:asciiTheme="minorHAnsi" w:eastAsiaTheme="minorEastAsia" w:hAnsiTheme="minorHAnsi" w:cstheme="minorBidi"/>
        </w:rPr>
        <w:t xml:space="preserve">NSA </w:t>
      </w:r>
      <w:r w:rsidRPr="527EA771">
        <w:rPr>
          <w:rFonts w:asciiTheme="minorHAnsi" w:eastAsiaTheme="minorEastAsia" w:hAnsiTheme="minorHAnsi" w:cstheme="minorBidi"/>
        </w:rPr>
        <w:t>nevytvářela dokumentac</w:t>
      </w:r>
      <w:r>
        <w:rPr>
          <w:rFonts w:asciiTheme="minorHAnsi" w:eastAsiaTheme="minorEastAsia" w:hAnsiTheme="minorHAnsi" w:cstheme="minorBidi"/>
        </w:rPr>
        <w:t>e</w:t>
      </w:r>
      <w:r w:rsidRPr="527EA771">
        <w:rPr>
          <w:rFonts w:asciiTheme="minorHAnsi" w:eastAsiaTheme="minorEastAsia" w:hAnsiTheme="minorHAnsi" w:cstheme="minorBidi"/>
        </w:rPr>
        <w:t xml:space="preserve"> k t</w:t>
      </w:r>
      <w:r>
        <w:rPr>
          <w:rFonts w:asciiTheme="minorHAnsi" w:eastAsiaTheme="minorEastAsia" w:hAnsiTheme="minorHAnsi" w:cstheme="minorBidi"/>
        </w:rPr>
        <w:t>ěmto</w:t>
      </w:r>
      <w:r w:rsidRPr="527EA771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>VZ</w:t>
      </w:r>
      <w:r w:rsidRPr="527EA771">
        <w:rPr>
          <w:rFonts w:asciiTheme="minorHAnsi" w:eastAsiaTheme="minorEastAsia" w:hAnsiTheme="minorHAnsi" w:cstheme="minorBidi"/>
        </w:rPr>
        <w:t>, což v konečném důsledku znemožňovalo jej</w:t>
      </w:r>
      <w:r>
        <w:rPr>
          <w:rFonts w:asciiTheme="minorHAnsi" w:eastAsiaTheme="minorEastAsia" w:hAnsiTheme="minorHAnsi" w:cstheme="minorBidi"/>
        </w:rPr>
        <w:t>ich</w:t>
      </w:r>
      <w:r w:rsidRPr="527EA771">
        <w:rPr>
          <w:rFonts w:asciiTheme="minorHAnsi" w:eastAsiaTheme="minorEastAsia" w:hAnsiTheme="minorHAnsi" w:cstheme="minorBidi"/>
        </w:rPr>
        <w:t xml:space="preserve"> </w:t>
      </w:r>
      <w:r>
        <w:rPr>
          <w:rFonts w:asciiTheme="minorHAnsi" w:eastAsiaTheme="minorEastAsia" w:hAnsiTheme="minorHAnsi" w:cstheme="minorBidi"/>
        </w:rPr>
        <w:t xml:space="preserve">účinnou </w:t>
      </w:r>
      <w:r w:rsidRPr="527EA771">
        <w:rPr>
          <w:rFonts w:asciiTheme="minorHAnsi" w:eastAsiaTheme="minorEastAsia" w:hAnsiTheme="minorHAnsi" w:cstheme="minorBidi"/>
        </w:rPr>
        <w:t xml:space="preserve">kontrolu </w:t>
      </w:r>
      <w:r w:rsidRPr="527EA771">
        <w:rPr>
          <w:rFonts w:asciiTheme="minorHAnsi" w:eastAsiaTheme="minorEastAsia" w:hAnsiTheme="minorHAnsi" w:cstheme="minorBidi"/>
        </w:rPr>
        <w:lastRenderedPageBreak/>
        <w:t>a</w:t>
      </w:r>
      <w:r w:rsidR="00C94114">
        <w:rPr>
          <w:rFonts w:asciiTheme="minorHAnsi" w:eastAsiaTheme="minorEastAsia" w:hAnsiTheme="minorHAnsi" w:cstheme="minorBidi"/>
        </w:rPr>
        <w:t> </w:t>
      </w:r>
      <w:r w:rsidRPr="527EA771">
        <w:rPr>
          <w:rFonts w:asciiTheme="minorHAnsi" w:eastAsiaTheme="minorEastAsia" w:hAnsiTheme="minorHAnsi" w:cstheme="minorBidi"/>
        </w:rPr>
        <w:t>přezkum</w:t>
      </w:r>
      <w:r>
        <w:rPr>
          <w:rFonts w:asciiTheme="minorHAnsi" w:eastAsiaTheme="minorEastAsia" w:hAnsiTheme="minorHAnsi" w:cstheme="minorBidi"/>
        </w:rPr>
        <w:t>, a tím</w:t>
      </w:r>
      <w:r w:rsidRPr="527EA771">
        <w:rPr>
          <w:rFonts w:asciiTheme="minorHAnsi" w:eastAsiaTheme="minorEastAsia" w:hAnsiTheme="minorHAnsi" w:cstheme="minorBidi"/>
        </w:rPr>
        <w:t xml:space="preserve"> se dopustila porušení zásady transparentnosti uvedené v</w:t>
      </w:r>
      <w:r>
        <w:rPr>
          <w:rFonts w:asciiTheme="minorHAnsi" w:eastAsiaTheme="minorEastAsia" w:hAnsiTheme="minorHAnsi" w:cstheme="minorBidi"/>
        </w:rPr>
        <w:t> zákoně o zadávání veřejných zakázek</w:t>
      </w:r>
      <w:r>
        <w:rPr>
          <w:rStyle w:val="Znakapoznpodarou"/>
          <w:rFonts w:asciiTheme="minorHAnsi" w:eastAsiaTheme="minorEastAsia" w:hAnsiTheme="minorHAnsi" w:cstheme="minorBidi"/>
        </w:rPr>
        <w:footnoteReference w:id="72"/>
      </w:r>
      <w:r w:rsidRPr="527EA771">
        <w:rPr>
          <w:rFonts w:asciiTheme="minorHAnsi" w:eastAsiaTheme="minorEastAsia" w:hAnsiTheme="minorHAnsi" w:cstheme="minorBidi"/>
        </w:rPr>
        <w:t>.</w:t>
      </w:r>
    </w:p>
    <w:p w14:paraId="0C0ED676" w14:textId="77777777" w:rsidR="00D05AFA" w:rsidRPr="00D4577A" w:rsidRDefault="00725F9C" w:rsidP="00725F9C">
      <w:pPr>
        <w:pStyle w:val="Nadpis1"/>
        <w:spacing w:after="120"/>
      </w:pPr>
      <w:r>
        <w:t xml:space="preserve">7. </w:t>
      </w:r>
      <w:r w:rsidR="0000037E" w:rsidRPr="00D4577A">
        <w:t>Nefunkční vnitřní kontrolní systém NSA</w:t>
      </w:r>
    </w:p>
    <w:p w14:paraId="3046352D" w14:textId="4CA86644" w:rsidR="005141A7" w:rsidRPr="00913EE2" w:rsidRDefault="005141A7" w:rsidP="00725F9C">
      <w:pPr>
        <w:spacing w:before="120" w:after="120"/>
        <w:rPr>
          <w:rFonts w:asciiTheme="minorHAnsi" w:eastAsiaTheme="minorEastAsia" w:hAnsiTheme="minorHAnsi" w:cstheme="minorBidi"/>
        </w:rPr>
      </w:pPr>
      <w:r w:rsidRPr="6524B888">
        <w:rPr>
          <w:rFonts w:asciiTheme="minorHAnsi" w:eastAsiaTheme="minorEastAsia" w:hAnsiTheme="minorHAnsi" w:cstheme="minorBidi"/>
        </w:rPr>
        <w:t>NSA m</w:t>
      </w:r>
      <w:r w:rsidR="413B939F" w:rsidRPr="6524B888">
        <w:rPr>
          <w:rFonts w:asciiTheme="minorHAnsi" w:eastAsiaTheme="minorEastAsia" w:hAnsiTheme="minorHAnsi" w:cstheme="minorBidi"/>
        </w:rPr>
        <w:t>ěla</w:t>
      </w:r>
      <w:r w:rsidRPr="6524B888">
        <w:rPr>
          <w:rFonts w:asciiTheme="minorHAnsi" w:eastAsiaTheme="minorEastAsia" w:hAnsiTheme="minorHAnsi" w:cstheme="minorBidi"/>
        </w:rPr>
        <w:t xml:space="preserve"> v rámci organizační struktury vytvořený samostatný útvar </w:t>
      </w:r>
      <w:r w:rsidR="00865277" w:rsidRPr="6524B888">
        <w:rPr>
          <w:rFonts w:asciiTheme="minorHAnsi" w:eastAsiaTheme="minorEastAsia" w:hAnsiTheme="minorHAnsi" w:cstheme="minorBidi"/>
        </w:rPr>
        <w:t xml:space="preserve">interního auditu, </w:t>
      </w:r>
      <w:r w:rsidRPr="6524B888">
        <w:rPr>
          <w:rFonts w:asciiTheme="minorHAnsi" w:eastAsiaTheme="minorEastAsia" w:hAnsiTheme="minorHAnsi" w:cstheme="minorBidi"/>
        </w:rPr>
        <w:t>který</w:t>
      </w:r>
      <w:r w:rsidR="00255360">
        <w:rPr>
          <w:rFonts w:asciiTheme="minorHAnsi" w:eastAsiaTheme="minorEastAsia" w:hAnsiTheme="minorHAnsi" w:cstheme="minorBidi"/>
        </w:rPr>
        <w:t xml:space="preserve"> </w:t>
      </w:r>
      <w:r w:rsidRPr="6524B888">
        <w:rPr>
          <w:rFonts w:asciiTheme="minorHAnsi" w:eastAsiaTheme="minorEastAsia" w:hAnsiTheme="minorHAnsi" w:cstheme="minorBidi"/>
        </w:rPr>
        <w:t xml:space="preserve">byl přímo podřízen předsedovi </w:t>
      </w:r>
      <w:r w:rsidR="00865277" w:rsidRPr="6524B888">
        <w:rPr>
          <w:rFonts w:asciiTheme="minorHAnsi" w:eastAsiaTheme="minorEastAsia" w:hAnsiTheme="minorHAnsi" w:cstheme="minorBidi"/>
        </w:rPr>
        <w:t>NSA</w:t>
      </w:r>
      <w:r w:rsidRPr="6524B888">
        <w:rPr>
          <w:rFonts w:asciiTheme="minorHAnsi" w:eastAsiaTheme="minorEastAsia" w:hAnsiTheme="minorHAnsi" w:cstheme="minorBidi"/>
        </w:rPr>
        <w:t>.</w:t>
      </w:r>
      <w:r w:rsidR="14366B08" w:rsidRPr="6524B888">
        <w:rPr>
          <w:rFonts w:asciiTheme="minorHAnsi" w:eastAsiaTheme="minorEastAsia" w:hAnsiTheme="minorHAnsi" w:cstheme="minorBidi"/>
        </w:rPr>
        <w:t xml:space="preserve"> </w:t>
      </w:r>
      <w:r w:rsidR="047F3BC1" w:rsidRPr="6524B888">
        <w:rPr>
          <w:rFonts w:asciiTheme="minorHAnsi" w:eastAsiaTheme="minorEastAsia" w:hAnsiTheme="minorHAnsi" w:cstheme="minorBidi"/>
        </w:rPr>
        <w:t>Nicméně od</w:t>
      </w:r>
      <w:r w:rsidRPr="6524B888">
        <w:rPr>
          <w:rFonts w:asciiTheme="minorHAnsi" w:eastAsiaTheme="minorEastAsia" w:hAnsiTheme="minorHAnsi" w:cstheme="minorBidi"/>
        </w:rPr>
        <w:t xml:space="preserve"> 1. 6. 2022 do 17. 4. 2023 </w:t>
      </w:r>
      <w:r w:rsidR="743F5375" w:rsidRPr="6524B888">
        <w:rPr>
          <w:rFonts w:asciiTheme="minorHAnsi" w:eastAsiaTheme="minorEastAsia" w:hAnsiTheme="minorHAnsi" w:cstheme="minorBidi"/>
        </w:rPr>
        <w:t xml:space="preserve">NSA </w:t>
      </w:r>
      <w:r w:rsidRPr="6524B888">
        <w:rPr>
          <w:rFonts w:asciiTheme="minorHAnsi" w:eastAsiaTheme="minorEastAsia" w:hAnsiTheme="minorHAnsi" w:cstheme="minorBidi"/>
        </w:rPr>
        <w:t xml:space="preserve">neměla obsazenou pozici interního auditora. NSA nevypracovala </w:t>
      </w:r>
      <w:r w:rsidR="009A24BD">
        <w:rPr>
          <w:rFonts w:asciiTheme="minorHAnsi" w:eastAsiaTheme="minorEastAsia" w:hAnsiTheme="minorHAnsi" w:cstheme="minorBidi"/>
        </w:rPr>
        <w:t>r</w:t>
      </w:r>
      <w:r w:rsidRPr="6524B888">
        <w:rPr>
          <w:rFonts w:asciiTheme="minorHAnsi" w:eastAsiaTheme="minorEastAsia" w:hAnsiTheme="minorHAnsi" w:cstheme="minorBidi"/>
        </w:rPr>
        <w:t xml:space="preserve">oční plán interního auditu na rok 2023 ani </w:t>
      </w:r>
      <w:r w:rsidR="00736730">
        <w:rPr>
          <w:rFonts w:asciiTheme="minorHAnsi" w:eastAsiaTheme="minorEastAsia" w:hAnsiTheme="minorHAnsi" w:cstheme="minorBidi"/>
        </w:rPr>
        <w:t>s</w:t>
      </w:r>
      <w:r w:rsidRPr="00C22653">
        <w:rPr>
          <w:rFonts w:asciiTheme="minorHAnsi" w:eastAsiaTheme="minorEastAsia" w:hAnsiTheme="minorHAnsi" w:cstheme="minorBidi"/>
        </w:rPr>
        <w:t xml:space="preserve">třednědobý plán interního auditu na roky 2023–2025. </w:t>
      </w:r>
      <w:r w:rsidR="00FE5D07" w:rsidRPr="00C22653">
        <w:rPr>
          <w:rFonts w:asciiTheme="minorHAnsi" w:eastAsiaTheme="minorEastAsia" w:hAnsiTheme="minorHAnsi" w:cstheme="minorHAnsi"/>
        </w:rPr>
        <w:t>Dále NSA nezpracovala zprávy o provedených auditech v roce 2022 a 2023 ani roční zprávu o výsledcích interního auditu za rok 2022.</w:t>
      </w:r>
      <w:r w:rsidR="00C22653" w:rsidRPr="00C22653">
        <w:rPr>
          <w:rStyle w:val="Znakapoznpodarou"/>
          <w:rFonts w:asciiTheme="minorHAnsi" w:eastAsiaTheme="minorEastAsia" w:hAnsiTheme="minorHAnsi" w:cstheme="minorHAnsi"/>
        </w:rPr>
        <w:footnoteReference w:id="73"/>
      </w:r>
      <w:r w:rsidR="00FE5D07" w:rsidRPr="00C22653">
        <w:rPr>
          <w:rFonts w:asciiTheme="minorHAnsi" w:eastAsiaTheme="minorEastAsia" w:hAnsiTheme="minorHAnsi" w:cstheme="minorHAnsi"/>
        </w:rPr>
        <w:t xml:space="preserve"> </w:t>
      </w:r>
      <w:r w:rsidRPr="527EA771">
        <w:rPr>
          <w:rFonts w:asciiTheme="minorHAnsi" w:eastAsiaTheme="minorEastAsia" w:hAnsiTheme="minorHAnsi" w:cstheme="minorBidi"/>
        </w:rPr>
        <w:t xml:space="preserve">NSA porušila </w:t>
      </w:r>
      <w:r w:rsidR="00181F06">
        <w:rPr>
          <w:rFonts w:asciiTheme="minorHAnsi" w:eastAsiaTheme="minorEastAsia" w:hAnsiTheme="minorHAnsi" w:cstheme="minorBidi"/>
        </w:rPr>
        <w:t>zákon o finanční kontrole</w:t>
      </w:r>
      <w:r w:rsidR="00181F06">
        <w:rPr>
          <w:rStyle w:val="Znakapoznpodarou"/>
          <w:rFonts w:asciiTheme="minorHAnsi" w:eastAsiaTheme="minorEastAsia" w:hAnsiTheme="minorHAnsi" w:cstheme="minorBidi"/>
        </w:rPr>
        <w:footnoteReference w:id="74"/>
      </w:r>
      <w:r w:rsidR="00181F06">
        <w:rPr>
          <w:rFonts w:asciiTheme="minorHAnsi" w:eastAsiaTheme="minorEastAsia" w:hAnsiTheme="minorHAnsi" w:cstheme="minorBidi"/>
        </w:rPr>
        <w:t xml:space="preserve"> </w:t>
      </w:r>
      <w:r w:rsidRPr="527EA771">
        <w:rPr>
          <w:rFonts w:asciiTheme="minorHAnsi" w:eastAsiaTheme="minorEastAsia" w:hAnsiTheme="minorHAnsi" w:cstheme="minorBidi"/>
        </w:rPr>
        <w:t>tím, že interní auditor</w:t>
      </w:r>
      <w:r w:rsidR="008D5A83">
        <w:rPr>
          <w:rFonts w:asciiTheme="minorHAnsi" w:eastAsiaTheme="minorEastAsia" w:hAnsiTheme="minorHAnsi" w:cstheme="minorBidi"/>
        </w:rPr>
        <w:t xml:space="preserve"> </w:t>
      </w:r>
      <w:r w:rsidRPr="527EA771">
        <w:rPr>
          <w:rFonts w:asciiTheme="minorHAnsi" w:eastAsiaTheme="minorEastAsia" w:hAnsiTheme="minorHAnsi" w:cstheme="minorBidi"/>
        </w:rPr>
        <w:t xml:space="preserve">NSA nevypracoval </w:t>
      </w:r>
      <w:r w:rsidR="00736730">
        <w:rPr>
          <w:rFonts w:asciiTheme="minorHAnsi" w:eastAsiaTheme="minorEastAsia" w:hAnsiTheme="minorHAnsi" w:cstheme="minorBidi"/>
        </w:rPr>
        <w:t>s</w:t>
      </w:r>
      <w:r w:rsidRPr="527EA771">
        <w:rPr>
          <w:rFonts w:asciiTheme="minorHAnsi" w:eastAsiaTheme="minorEastAsia" w:hAnsiTheme="minorHAnsi" w:cstheme="minorBidi"/>
        </w:rPr>
        <w:t xml:space="preserve">třednědobý plán na roky 2023–2025 ani </w:t>
      </w:r>
      <w:r w:rsidR="00736730">
        <w:rPr>
          <w:rFonts w:asciiTheme="minorHAnsi" w:eastAsiaTheme="minorEastAsia" w:hAnsiTheme="minorHAnsi" w:cstheme="minorBidi"/>
        </w:rPr>
        <w:t>r</w:t>
      </w:r>
      <w:r w:rsidRPr="527EA771">
        <w:rPr>
          <w:rFonts w:asciiTheme="minorHAnsi" w:eastAsiaTheme="minorEastAsia" w:hAnsiTheme="minorHAnsi" w:cstheme="minorBidi"/>
        </w:rPr>
        <w:t xml:space="preserve">oční plán interního auditu pro rok 2023. Střednědobý plán na roky 2023–2025 ani </w:t>
      </w:r>
      <w:r w:rsidR="00736730">
        <w:rPr>
          <w:rFonts w:asciiTheme="minorHAnsi" w:eastAsiaTheme="minorEastAsia" w:hAnsiTheme="minorHAnsi" w:cstheme="minorBidi"/>
        </w:rPr>
        <w:t>r</w:t>
      </w:r>
      <w:r w:rsidRPr="527EA771">
        <w:rPr>
          <w:rFonts w:asciiTheme="minorHAnsi" w:eastAsiaTheme="minorEastAsia" w:hAnsiTheme="minorHAnsi" w:cstheme="minorBidi"/>
        </w:rPr>
        <w:t>oční plán interního auditu pro</w:t>
      </w:r>
      <w:r w:rsidR="00736730">
        <w:rPr>
          <w:rFonts w:asciiTheme="minorHAnsi" w:eastAsiaTheme="minorEastAsia" w:hAnsiTheme="minorHAnsi" w:cstheme="minorBidi"/>
        </w:rPr>
        <w:t xml:space="preserve"> </w:t>
      </w:r>
      <w:r w:rsidRPr="527EA771">
        <w:rPr>
          <w:rFonts w:asciiTheme="minorHAnsi" w:eastAsiaTheme="minorEastAsia" w:hAnsiTheme="minorHAnsi" w:cstheme="minorBidi"/>
        </w:rPr>
        <w:t xml:space="preserve">rok 2023 </w:t>
      </w:r>
      <w:r w:rsidR="00FE5D07">
        <w:rPr>
          <w:rFonts w:asciiTheme="minorHAnsi" w:eastAsiaTheme="minorEastAsia" w:hAnsiTheme="minorHAnsi" w:cstheme="minorBidi"/>
        </w:rPr>
        <w:t xml:space="preserve">nemohl být </w:t>
      </w:r>
      <w:r w:rsidRPr="527EA771">
        <w:rPr>
          <w:rFonts w:asciiTheme="minorHAnsi" w:eastAsiaTheme="minorEastAsia" w:hAnsiTheme="minorHAnsi" w:cstheme="minorBidi"/>
        </w:rPr>
        <w:t>projednán s předsedou NSA</w:t>
      </w:r>
      <w:r w:rsidR="00736730">
        <w:rPr>
          <w:rFonts w:asciiTheme="minorHAnsi" w:eastAsiaTheme="minorEastAsia" w:hAnsiTheme="minorHAnsi" w:cstheme="minorBidi"/>
        </w:rPr>
        <w:t>,</w:t>
      </w:r>
      <w:r w:rsidRPr="527EA771">
        <w:rPr>
          <w:rFonts w:asciiTheme="minorHAnsi" w:eastAsiaTheme="minorEastAsia" w:hAnsiTheme="minorHAnsi" w:cstheme="minorBidi"/>
        </w:rPr>
        <w:t xml:space="preserve"> a tedy </w:t>
      </w:r>
      <w:r w:rsidR="00736730">
        <w:rPr>
          <w:rFonts w:asciiTheme="minorHAnsi" w:eastAsiaTheme="minorEastAsia" w:hAnsiTheme="minorHAnsi" w:cstheme="minorBidi"/>
        </w:rPr>
        <w:t xml:space="preserve">ani </w:t>
      </w:r>
      <w:r w:rsidR="00FE5D07">
        <w:rPr>
          <w:rFonts w:asciiTheme="minorHAnsi" w:eastAsiaTheme="minorEastAsia" w:hAnsiTheme="minorHAnsi" w:cstheme="minorBidi"/>
        </w:rPr>
        <w:t xml:space="preserve">nemohl být </w:t>
      </w:r>
      <w:r w:rsidRPr="527EA771">
        <w:rPr>
          <w:rFonts w:asciiTheme="minorHAnsi" w:eastAsiaTheme="minorEastAsia" w:hAnsiTheme="minorHAnsi" w:cstheme="minorBidi"/>
        </w:rPr>
        <w:t xml:space="preserve">schválen. </w:t>
      </w:r>
    </w:p>
    <w:p w14:paraId="1072BDB1" w14:textId="7368177E" w:rsidR="005141A7" w:rsidRPr="00913EE2" w:rsidRDefault="005141A7" w:rsidP="00725F9C">
      <w:pPr>
        <w:spacing w:before="120" w:after="120"/>
        <w:rPr>
          <w:rFonts w:asciiTheme="minorHAnsi" w:eastAsiaTheme="minorEastAsia" w:hAnsiTheme="minorHAnsi" w:cstheme="minorBidi"/>
        </w:rPr>
      </w:pPr>
      <w:r w:rsidRPr="527EA771">
        <w:rPr>
          <w:rFonts w:asciiTheme="minorHAnsi" w:eastAsiaTheme="minorEastAsia" w:hAnsiTheme="minorHAnsi" w:cstheme="minorBidi"/>
        </w:rPr>
        <w:t xml:space="preserve">NSA nezpracovala zprávy o provedených auditech v roce 2022 ani </w:t>
      </w:r>
      <w:r w:rsidR="00736730">
        <w:rPr>
          <w:rFonts w:asciiTheme="minorHAnsi" w:eastAsiaTheme="minorEastAsia" w:hAnsiTheme="minorHAnsi" w:cstheme="minorBidi"/>
        </w:rPr>
        <w:t>r</w:t>
      </w:r>
      <w:r w:rsidRPr="527EA771">
        <w:rPr>
          <w:rFonts w:asciiTheme="minorHAnsi" w:eastAsiaTheme="minorEastAsia" w:hAnsiTheme="minorHAnsi" w:cstheme="minorBidi"/>
        </w:rPr>
        <w:t xml:space="preserve">oční zprávu o výsledcích interního auditu za rok 2022 s doporučeními ke zdokonalování kvality </w:t>
      </w:r>
      <w:r w:rsidR="00F67B0D">
        <w:rPr>
          <w:rFonts w:asciiTheme="minorHAnsi" w:eastAsiaTheme="minorEastAsia" w:hAnsiTheme="minorHAnsi" w:cstheme="minorBidi"/>
        </w:rPr>
        <w:t>VKS</w:t>
      </w:r>
      <w:r w:rsidRPr="527EA771">
        <w:rPr>
          <w:rFonts w:asciiTheme="minorHAnsi" w:eastAsiaTheme="minorEastAsia" w:hAnsiTheme="minorHAnsi" w:cstheme="minorBidi"/>
        </w:rPr>
        <w:t>, k předcházení nebo ke zmírnění rizik a k přijetí opatření k nápravě zjištěných nedostatků. NSA v roce 2022</w:t>
      </w:r>
      <w:r w:rsidR="00736730">
        <w:rPr>
          <w:rFonts w:asciiTheme="minorHAnsi" w:eastAsiaTheme="minorEastAsia" w:hAnsiTheme="minorHAnsi" w:cstheme="minorBidi"/>
        </w:rPr>
        <w:t xml:space="preserve"> </w:t>
      </w:r>
      <w:r w:rsidRPr="527EA771">
        <w:rPr>
          <w:rFonts w:asciiTheme="minorHAnsi" w:eastAsiaTheme="minorEastAsia" w:hAnsiTheme="minorHAnsi" w:cstheme="minorBidi"/>
        </w:rPr>
        <w:t xml:space="preserve">neprověřila účinnost </w:t>
      </w:r>
      <w:r w:rsidR="00F67B0D">
        <w:rPr>
          <w:rFonts w:asciiTheme="minorHAnsi" w:eastAsiaTheme="minorEastAsia" w:hAnsiTheme="minorHAnsi" w:cstheme="minorBidi"/>
        </w:rPr>
        <w:t>VKS</w:t>
      </w:r>
      <w:r w:rsidRPr="527EA771">
        <w:rPr>
          <w:rFonts w:asciiTheme="minorHAnsi" w:eastAsiaTheme="minorEastAsia" w:hAnsiTheme="minorHAnsi" w:cstheme="minorBidi"/>
        </w:rPr>
        <w:t xml:space="preserve"> podle</w:t>
      </w:r>
      <w:r w:rsidR="004C5FDE">
        <w:rPr>
          <w:rFonts w:asciiTheme="minorHAnsi" w:eastAsiaTheme="minorEastAsia" w:hAnsiTheme="minorHAnsi" w:cstheme="minorBidi"/>
        </w:rPr>
        <w:t xml:space="preserve"> zákona o finanční kontrole</w:t>
      </w:r>
      <w:r w:rsidR="00D95E88">
        <w:rPr>
          <w:rFonts w:asciiTheme="minorHAnsi" w:eastAsiaTheme="minorEastAsia" w:hAnsiTheme="minorHAnsi" w:cstheme="minorBidi"/>
        </w:rPr>
        <w:t>.</w:t>
      </w:r>
      <w:r w:rsidR="004C5FDE">
        <w:rPr>
          <w:rStyle w:val="Znakapoznpodarou"/>
          <w:rFonts w:asciiTheme="minorHAnsi" w:eastAsiaTheme="minorEastAsia" w:hAnsiTheme="minorHAnsi" w:cstheme="minorBidi"/>
        </w:rPr>
        <w:footnoteReference w:id="75"/>
      </w:r>
    </w:p>
    <w:p w14:paraId="1CE3E793" w14:textId="1B9287C8" w:rsidR="00720D81" w:rsidRPr="00913EE2" w:rsidRDefault="00E70510" w:rsidP="00725F9C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Bidi"/>
        </w:rPr>
      </w:pPr>
      <w:r w:rsidRPr="527EA771">
        <w:rPr>
          <w:rFonts w:asciiTheme="minorHAnsi" w:hAnsiTheme="minorHAnsi" w:cstheme="minorBidi"/>
        </w:rPr>
        <w:t xml:space="preserve">NKÚ na vzorku 116 operací (12 objednávek, </w:t>
      </w:r>
      <w:r w:rsidR="00FE5D07">
        <w:rPr>
          <w:rFonts w:asciiTheme="minorHAnsi" w:hAnsiTheme="minorHAnsi" w:cstheme="minorBidi"/>
        </w:rPr>
        <w:t>sedm</w:t>
      </w:r>
      <w:r w:rsidRPr="527EA771">
        <w:rPr>
          <w:rFonts w:asciiTheme="minorHAnsi" w:hAnsiTheme="minorHAnsi" w:cstheme="minorBidi"/>
        </w:rPr>
        <w:t xml:space="preserve"> smluv</w:t>
      </w:r>
      <w:r w:rsidR="00FE5D07">
        <w:rPr>
          <w:rFonts w:asciiTheme="minorHAnsi" w:hAnsiTheme="minorHAnsi" w:cstheme="minorBidi"/>
        </w:rPr>
        <w:t xml:space="preserve"> a</w:t>
      </w:r>
      <w:r w:rsidRPr="527EA771">
        <w:rPr>
          <w:rFonts w:asciiTheme="minorHAnsi" w:hAnsiTheme="minorHAnsi" w:cstheme="minorBidi"/>
        </w:rPr>
        <w:t xml:space="preserve"> 97 </w:t>
      </w:r>
      <w:proofErr w:type="spellStart"/>
      <w:r w:rsidR="005C586E">
        <w:rPr>
          <w:rFonts w:asciiTheme="minorHAnsi" w:hAnsiTheme="minorHAnsi" w:cstheme="minorBidi"/>
        </w:rPr>
        <w:t>RoPD</w:t>
      </w:r>
      <w:proofErr w:type="spellEnd"/>
      <w:r w:rsidRPr="527EA771">
        <w:rPr>
          <w:rFonts w:asciiTheme="minorHAnsi" w:hAnsiTheme="minorHAnsi" w:cstheme="minorBidi"/>
        </w:rPr>
        <w:t>) přezkoumal, zda</w:t>
      </w:r>
      <w:r w:rsidR="00736730">
        <w:rPr>
          <w:rFonts w:asciiTheme="minorHAnsi" w:hAnsiTheme="minorHAnsi" w:cstheme="minorBidi"/>
        </w:rPr>
        <w:t xml:space="preserve"> </w:t>
      </w:r>
      <w:r w:rsidRPr="527EA771">
        <w:rPr>
          <w:rFonts w:asciiTheme="minorHAnsi" w:hAnsiTheme="minorHAnsi" w:cstheme="minorBidi"/>
        </w:rPr>
        <w:t>NSA</w:t>
      </w:r>
      <w:r w:rsidR="00736730">
        <w:rPr>
          <w:rFonts w:asciiTheme="minorHAnsi" w:hAnsiTheme="minorHAnsi" w:cstheme="minorBidi"/>
        </w:rPr>
        <w:t xml:space="preserve"> </w:t>
      </w:r>
      <w:r w:rsidRPr="527EA771">
        <w:rPr>
          <w:rFonts w:asciiTheme="minorHAnsi" w:hAnsiTheme="minorHAnsi" w:cstheme="minorBidi"/>
        </w:rPr>
        <w:t xml:space="preserve">provedla řídící kontrolu před vznikem závazku. </w:t>
      </w:r>
      <w:r w:rsidR="009C3902" w:rsidRPr="527EA771">
        <w:rPr>
          <w:rFonts w:asciiTheme="minorHAnsi" w:hAnsiTheme="minorHAnsi" w:cstheme="minorBidi"/>
        </w:rPr>
        <w:t>NKÚ zjistil</w:t>
      </w:r>
      <w:r w:rsidR="00720D81" w:rsidRPr="527EA771">
        <w:rPr>
          <w:rFonts w:asciiTheme="minorHAnsi" w:hAnsiTheme="minorHAnsi" w:cstheme="minorBidi"/>
        </w:rPr>
        <w:t xml:space="preserve">, že u 25 vydaných </w:t>
      </w:r>
      <w:proofErr w:type="spellStart"/>
      <w:r w:rsidR="005C586E">
        <w:rPr>
          <w:rFonts w:asciiTheme="minorHAnsi" w:hAnsiTheme="minorHAnsi" w:cstheme="minorBidi"/>
        </w:rPr>
        <w:t>RoPD</w:t>
      </w:r>
      <w:proofErr w:type="spellEnd"/>
      <w:r w:rsidR="00720D81" w:rsidRPr="527EA771">
        <w:rPr>
          <w:rFonts w:asciiTheme="minorHAnsi" w:hAnsiTheme="minorHAnsi" w:cstheme="minorBidi"/>
        </w:rPr>
        <w:t>, tří uzavřených smluv či</w:t>
      </w:r>
      <w:r w:rsidR="00736730">
        <w:rPr>
          <w:rFonts w:asciiTheme="minorHAnsi" w:hAnsiTheme="minorHAnsi" w:cstheme="minorBidi"/>
        </w:rPr>
        <w:t xml:space="preserve"> </w:t>
      </w:r>
      <w:r w:rsidR="00720D81" w:rsidRPr="527EA771">
        <w:rPr>
          <w:rFonts w:asciiTheme="minorHAnsi" w:hAnsiTheme="minorHAnsi" w:cstheme="minorBidi"/>
        </w:rPr>
        <w:t>objednávek předběžná řídící kontrola při</w:t>
      </w:r>
      <w:r w:rsidR="00736730">
        <w:rPr>
          <w:rFonts w:asciiTheme="minorHAnsi" w:hAnsiTheme="minorHAnsi" w:cstheme="minorBidi"/>
        </w:rPr>
        <w:t xml:space="preserve"> </w:t>
      </w:r>
      <w:r w:rsidR="00720D81" w:rsidRPr="527EA771">
        <w:rPr>
          <w:rFonts w:asciiTheme="minorHAnsi" w:hAnsiTheme="minorHAnsi" w:cstheme="minorBidi"/>
        </w:rPr>
        <w:t>řízení veřejných výdajů ve</w:t>
      </w:r>
      <w:r w:rsidR="00736730">
        <w:rPr>
          <w:rFonts w:asciiTheme="minorHAnsi" w:hAnsiTheme="minorHAnsi" w:cstheme="minorBidi"/>
        </w:rPr>
        <w:t xml:space="preserve"> </w:t>
      </w:r>
      <w:r w:rsidR="00720D81" w:rsidRPr="527EA771">
        <w:rPr>
          <w:rFonts w:asciiTheme="minorHAnsi" w:hAnsiTheme="minorHAnsi" w:cstheme="minorBidi"/>
        </w:rPr>
        <w:t xml:space="preserve">smyslu </w:t>
      </w:r>
      <w:r w:rsidR="000B0C97">
        <w:rPr>
          <w:rFonts w:asciiTheme="minorHAnsi" w:hAnsiTheme="minorHAnsi" w:cstheme="minorBidi"/>
        </w:rPr>
        <w:t>zákona o finanční kontrole a prováděcí vyhlášky</w:t>
      </w:r>
      <w:r w:rsidR="000B0C97">
        <w:rPr>
          <w:rStyle w:val="Znakapoznpodarou"/>
          <w:rFonts w:asciiTheme="minorHAnsi" w:hAnsiTheme="minorHAnsi" w:cstheme="minorBidi"/>
        </w:rPr>
        <w:footnoteReference w:id="76"/>
      </w:r>
      <w:r w:rsidR="000B0C97">
        <w:rPr>
          <w:rFonts w:asciiTheme="minorHAnsi" w:hAnsiTheme="minorHAnsi" w:cstheme="minorBidi"/>
        </w:rPr>
        <w:t xml:space="preserve"> </w:t>
      </w:r>
      <w:r w:rsidR="00720D81" w:rsidRPr="527EA771">
        <w:rPr>
          <w:rFonts w:asciiTheme="minorHAnsi" w:hAnsiTheme="minorHAnsi" w:cstheme="minorBidi"/>
        </w:rPr>
        <w:t xml:space="preserve">nezajistila schvalovací postupy řídící kontroly. NSA neprovedla předběžnou řídící kontrolu před vznikem závazku podle </w:t>
      </w:r>
      <w:r w:rsidR="00C070CD">
        <w:rPr>
          <w:rFonts w:asciiTheme="minorHAnsi" w:hAnsiTheme="minorHAnsi" w:cstheme="minorBidi"/>
        </w:rPr>
        <w:t>prováděcí vyhlášky</w:t>
      </w:r>
      <w:r w:rsidR="00C070CD">
        <w:rPr>
          <w:rStyle w:val="Znakapoznpodarou"/>
          <w:rFonts w:asciiTheme="minorHAnsi" w:hAnsiTheme="minorHAnsi" w:cstheme="minorBidi"/>
        </w:rPr>
        <w:footnoteReference w:id="77"/>
      </w:r>
      <w:r w:rsidR="00C070CD">
        <w:rPr>
          <w:rFonts w:asciiTheme="minorHAnsi" w:hAnsiTheme="minorHAnsi" w:cstheme="minorBidi"/>
        </w:rPr>
        <w:t xml:space="preserve"> </w:t>
      </w:r>
      <w:r w:rsidR="00720D81" w:rsidRPr="527EA771">
        <w:rPr>
          <w:rFonts w:asciiTheme="minorHAnsi" w:hAnsiTheme="minorHAnsi" w:cstheme="minorBidi"/>
        </w:rPr>
        <w:t>a neprověřila nezbytnost připravované operace k zajištění stanovených úkolů a schválených záměrů a cílů</w:t>
      </w:r>
      <w:r w:rsidRPr="527EA771">
        <w:rPr>
          <w:rFonts w:asciiTheme="minorHAnsi" w:hAnsiTheme="minorHAnsi" w:cstheme="minorBidi"/>
        </w:rPr>
        <w:t>.</w:t>
      </w:r>
      <w:r w:rsidR="00720D81" w:rsidRPr="527EA771">
        <w:rPr>
          <w:rFonts w:asciiTheme="minorHAnsi" w:hAnsiTheme="minorHAnsi" w:cstheme="minorBidi"/>
        </w:rPr>
        <w:t xml:space="preserve"> NSA nezavedla a neudržovala </w:t>
      </w:r>
      <w:r w:rsidR="00F67B0D">
        <w:rPr>
          <w:rFonts w:asciiTheme="minorHAnsi" w:hAnsiTheme="minorHAnsi" w:cstheme="minorBidi"/>
        </w:rPr>
        <w:t>VKS</w:t>
      </w:r>
      <w:r w:rsidR="00720D81" w:rsidRPr="527EA771">
        <w:rPr>
          <w:rFonts w:asciiTheme="minorHAnsi" w:hAnsiTheme="minorHAnsi" w:cstheme="minorBidi"/>
        </w:rPr>
        <w:t xml:space="preserve"> v souladu s</w:t>
      </w:r>
      <w:r w:rsidR="001B5CD2">
        <w:rPr>
          <w:rFonts w:asciiTheme="minorHAnsi" w:hAnsiTheme="minorHAnsi" w:cstheme="minorBidi"/>
        </w:rPr>
        <w:t>e zákonem o</w:t>
      </w:r>
      <w:r w:rsidR="002A03F3">
        <w:rPr>
          <w:rFonts w:asciiTheme="minorHAnsi" w:hAnsiTheme="minorHAnsi" w:cstheme="minorBidi"/>
        </w:rPr>
        <w:t> </w:t>
      </w:r>
      <w:r w:rsidR="001B5CD2">
        <w:rPr>
          <w:rFonts w:asciiTheme="minorHAnsi" w:hAnsiTheme="minorHAnsi" w:cstheme="minorBidi"/>
        </w:rPr>
        <w:t>finanční kontrole</w:t>
      </w:r>
      <w:r w:rsidR="00D95E88">
        <w:rPr>
          <w:rFonts w:asciiTheme="minorHAnsi" w:hAnsiTheme="minorHAnsi" w:cstheme="minorBidi"/>
        </w:rPr>
        <w:t>,</w:t>
      </w:r>
      <w:r w:rsidR="001B5CD2">
        <w:rPr>
          <w:rStyle w:val="Znakapoznpodarou"/>
          <w:rFonts w:asciiTheme="minorHAnsi" w:hAnsiTheme="minorHAnsi" w:cstheme="minorBidi"/>
        </w:rPr>
        <w:footnoteReference w:id="78"/>
      </w:r>
      <w:r w:rsidR="00D95E88">
        <w:rPr>
          <w:rFonts w:asciiTheme="minorHAnsi" w:hAnsiTheme="minorHAnsi" w:cstheme="minorBidi"/>
        </w:rPr>
        <w:t xml:space="preserve"> </w:t>
      </w:r>
      <w:r w:rsidR="00720D81" w:rsidRPr="527EA771">
        <w:rPr>
          <w:rFonts w:asciiTheme="minorHAnsi" w:hAnsiTheme="minorHAnsi" w:cstheme="minorBidi"/>
        </w:rPr>
        <w:t>který by vytvářel podmínky pro hospodárný, efektivní a účelný výkon veřejné správy.</w:t>
      </w:r>
    </w:p>
    <w:p w14:paraId="6E37B5AF" w14:textId="77777777" w:rsidR="00720D81" w:rsidRPr="00913EE2" w:rsidRDefault="00E70510" w:rsidP="00725F9C">
      <w:pPr>
        <w:spacing w:before="120" w:after="120"/>
        <w:rPr>
          <w:rFonts w:asciiTheme="minorHAnsi" w:hAnsiTheme="minorHAnsi" w:cstheme="minorBidi"/>
        </w:rPr>
      </w:pPr>
      <w:r w:rsidRPr="527EA771">
        <w:rPr>
          <w:rFonts w:asciiTheme="minorHAnsi" w:hAnsiTheme="minorHAnsi" w:cstheme="minorBidi"/>
        </w:rPr>
        <w:t>NKÚ na vybraném vzorku 114 operací (21 faktur</w:t>
      </w:r>
      <w:r w:rsidR="00FE5D07">
        <w:rPr>
          <w:rFonts w:asciiTheme="minorHAnsi" w:hAnsiTheme="minorHAnsi" w:cstheme="minorBidi"/>
        </w:rPr>
        <w:t xml:space="preserve"> a</w:t>
      </w:r>
      <w:r w:rsidRPr="527EA771">
        <w:rPr>
          <w:rFonts w:asciiTheme="minorHAnsi" w:hAnsiTheme="minorHAnsi" w:cstheme="minorBidi"/>
        </w:rPr>
        <w:t xml:space="preserve"> 93 případů vyplacení dotace) přezkoumal, zda NSA provedla řídící kontrolu po vzniku závazku. </w:t>
      </w:r>
      <w:r w:rsidR="00720D81" w:rsidRPr="527EA771">
        <w:rPr>
          <w:rFonts w:asciiTheme="minorHAnsi" w:hAnsiTheme="minorHAnsi" w:cstheme="minorBidi"/>
        </w:rPr>
        <w:t>NSA nepostupovala při provádění předběžné kontroly při řízení výdajů po vzniku závazku</w:t>
      </w:r>
      <w:r w:rsidRPr="527EA771">
        <w:rPr>
          <w:rFonts w:asciiTheme="minorHAnsi" w:hAnsiTheme="minorHAnsi" w:cstheme="minorBidi"/>
        </w:rPr>
        <w:t xml:space="preserve"> </w:t>
      </w:r>
      <w:r w:rsidR="00720D81" w:rsidRPr="527EA771">
        <w:rPr>
          <w:rFonts w:asciiTheme="minorHAnsi" w:hAnsiTheme="minorHAnsi" w:cstheme="minorBidi"/>
        </w:rPr>
        <w:t>u 20 faktur a 15 vyplacen</w:t>
      </w:r>
      <w:r w:rsidR="00FE5D07">
        <w:rPr>
          <w:rFonts w:asciiTheme="minorHAnsi" w:hAnsiTheme="minorHAnsi" w:cstheme="minorBidi"/>
        </w:rPr>
        <w:t>ých</w:t>
      </w:r>
      <w:r w:rsidR="00720D81" w:rsidRPr="527EA771">
        <w:rPr>
          <w:rFonts w:asciiTheme="minorHAnsi" w:hAnsiTheme="minorHAnsi" w:cstheme="minorBidi"/>
        </w:rPr>
        <w:t xml:space="preserve"> dotac</w:t>
      </w:r>
      <w:r w:rsidR="00FE5D07">
        <w:rPr>
          <w:rFonts w:asciiTheme="minorHAnsi" w:hAnsiTheme="minorHAnsi" w:cstheme="minorBidi"/>
        </w:rPr>
        <w:t>í</w:t>
      </w:r>
      <w:r w:rsidR="00720D81" w:rsidRPr="527EA771">
        <w:rPr>
          <w:rFonts w:asciiTheme="minorHAnsi" w:hAnsiTheme="minorHAnsi" w:cstheme="minorBidi"/>
        </w:rPr>
        <w:t xml:space="preserve"> kontrolního vzorku v souladu s</w:t>
      </w:r>
      <w:r w:rsidR="00716749">
        <w:rPr>
          <w:rFonts w:asciiTheme="minorHAnsi" w:hAnsiTheme="minorHAnsi" w:cstheme="minorBidi"/>
        </w:rPr>
        <w:t>e zákonem o finanční kontrole a prováděcí vyhláškou</w:t>
      </w:r>
      <w:r w:rsidR="00D306C8">
        <w:rPr>
          <w:rFonts w:asciiTheme="minorHAnsi" w:hAnsiTheme="minorHAnsi" w:cstheme="minorBidi"/>
        </w:rPr>
        <w:t>.</w:t>
      </w:r>
      <w:r w:rsidR="00716749">
        <w:rPr>
          <w:rStyle w:val="Znakapoznpodarou"/>
          <w:rFonts w:asciiTheme="minorHAnsi" w:hAnsiTheme="minorHAnsi" w:cstheme="minorBidi"/>
        </w:rPr>
        <w:footnoteReference w:id="79"/>
      </w:r>
      <w:r w:rsidR="00720D81" w:rsidRPr="527EA771">
        <w:rPr>
          <w:rFonts w:asciiTheme="minorHAnsi" w:hAnsiTheme="minorHAnsi" w:cstheme="minorBidi"/>
        </w:rPr>
        <w:t xml:space="preserve"> </w:t>
      </w:r>
      <w:r w:rsidRPr="527EA771">
        <w:rPr>
          <w:rFonts w:asciiTheme="minorHAnsi" w:hAnsiTheme="minorHAnsi" w:cstheme="minorBidi"/>
        </w:rPr>
        <w:t>V</w:t>
      </w:r>
      <w:r w:rsidR="00720D81" w:rsidRPr="527EA771">
        <w:rPr>
          <w:rFonts w:asciiTheme="minorHAnsi" w:hAnsiTheme="minorHAnsi" w:cstheme="minorBidi"/>
        </w:rPr>
        <w:t> rámci schvalovacích postupů</w:t>
      </w:r>
      <w:r w:rsidRPr="527EA771">
        <w:rPr>
          <w:rFonts w:asciiTheme="minorHAnsi" w:hAnsiTheme="minorHAnsi" w:cstheme="minorBidi"/>
        </w:rPr>
        <w:t xml:space="preserve"> totiž</w:t>
      </w:r>
      <w:r w:rsidR="00FE5D07">
        <w:rPr>
          <w:rFonts w:asciiTheme="minorHAnsi" w:hAnsiTheme="minorHAnsi" w:cstheme="minorBidi"/>
        </w:rPr>
        <w:t xml:space="preserve"> NSA</w:t>
      </w:r>
      <w:r w:rsidR="00720D81" w:rsidRPr="527EA771">
        <w:rPr>
          <w:rFonts w:asciiTheme="minorHAnsi" w:hAnsiTheme="minorHAnsi" w:cstheme="minorBidi"/>
        </w:rPr>
        <w:t xml:space="preserve"> provedla schválení příkazcem operace a hlavním účetním po termínu splatnosti faktur či po vyplacení dotace. NSA nezavedla a neudržovala </w:t>
      </w:r>
      <w:r w:rsidR="00F67B0D">
        <w:rPr>
          <w:rFonts w:asciiTheme="minorHAnsi" w:hAnsiTheme="minorHAnsi" w:cstheme="minorBidi"/>
        </w:rPr>
        <w:t>VKS</w:t>
      </w:r>
      <w:r w:rsidR="00720D81" w:rsidRPr="527EA771">
        <w:rPr>
          <w:rFonts w:asciiTheme="minorHAnsi" w:hAnsiTheme="minorHAnsi" w:cstheme="minorBidi"/>
        </w:rPr>
        <w:t xml:space="preserve"> v souladu </w:t>
      </w:r>
      <w:r w:rsidR="00C86C95">
        <w:rPr>
          <w:rFonts w:asciiTheme="minorHAnsi" w:hAnsiTheme="minorHAnsi" w:cstheme="minorBidi"/>
        </w:rPr>
        <w:t>se zákonem o finanční kont</w:t>
      </w:r>
      <w:r w:rsidR="009E1E62">
        <w:rPr>
          <w:rFonts w:asciiTheme="minorHAnsi" w:hAnsiTheme="minorHAnsi" w:cstheme="minorBidi"/>
        </w:rPr>
        <w:t>ro</w:t>
      </w:r>
      <w:r w:rsidR="00C86C95">
        <w:rPr>
          <w:rFonts w:asciiTheme="minorHAnsi" w:hAnsiTheme="minorHAnsi" w:cstheme="minorBidi"/>
        </w:rPr>
        <w:t>le</w:t>
      </w:r>
      <w:r w:rsidR="00D95E88">
        <w:rPr>
          <w:rFonts w:asciiTheme="minorHAnsi" w:hAnsiTheme="minorHAnsi" w:cstheme="minorBidi"/>
        </w:rPr>
        <w:t>,</w:t>
      </w:r>
      <w:r w:rsidR="00C21989">
        <w:rPr>
          <w:rStyle w:val="Znakapoznpodarou"/>
          <w:rFonts w:asciiTheme="minorHAnsi" w:hAnsiTheme="minorHAnsi" w:cstheme="minorBidi"/>
        </w:rPr>
        <w:footnoteReference w:id="80"/>
      </w:r>
      <w:r w:rsidR="00720D81" w:rsidRPr="527EA771">
        <w:rPr>
          <w:rFonts w:asciiTheme="minorHAnsi" w:hAnsiTheme="minorHAnsi" w:cstheme="minorBidi"/>
        </w:rPr>
        <w:t xml:space="preserve"> který by vytvářel podmínky pro hospodárný, efektivní a účelný výkon veřejné správy.</w:t>
      </w:r>
    </w:p>
    <w:p w14:paraId="6A41FF1F" w14:textId="7B5A1FFA" w:rsidR="00CE0086" w:rsidRDefault="00CE0086" w:rsidP="00725F9C">
      <w:pPr>
        <w:widowControl w:val="0"/>
        <w:spacing w:before="120" w:after="120"/>
        <w:textAlignment w:val="baseline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>NSA proplatila sedm z 21 faktur kontrolního vzorku po termínu splatnosti v celkové výši 2 696 699 Kč. Tím, že hradila závazky po splatnosti</w:t>
      </w:r>
      <w:r w:rsidR="00736730">
        <w:rPr>
          <w:rFonts w:asciiTheme="minorHAnsi" w:hAnsiTheme="minorHAnsi" w:cstheme="minorBidi"/>
        </w:rPr>
        <w:t>,</w:t>
      </w:r>
      <w:r>
        <w:rPr>
          <w:rFonts w:asciiTheme="minorHAnsi" w:hAnsiTheme="minorHAnsi" w:cstheme="minorBidi"/>
        </w:rPr>
        <w:t xml:space="preserve"> </w:t>
      </w:r>
      <w:r w:rsidR="00736730">
        <w:rPr>
          <w:rFonts w:asciiTheme="minorHAnsi" w:hAnsiTheme="minorHAnsi" w:cstheme="minorBidi"/>
        </w:rPr>
        <w:t xml:space="preserve">vystavila </w:t>
      </w:r>
      <w:r>
        <w:rPr>
          <w:rFonts w:asciiTheme="minorHAnsi" w:hAnsiTheme="minorHAnsi" w:cstheme="minorBidi"/>
        </w:rPr>
        <w:t xml:space="preserve">se riziku uplatnění smluvních sankcí ze strany dodavatelů. Tato skutečnost svědčí o nefunkčním VKS. </w:t>
      </w:r>
    </w:p>
    <w:p w14:paraId="00E52E8B" w14:textId="77777777" w:rsidR="009C3902" w:rsidRPr="00057400" w:rsidRDefault="00720D81" w:rsidP="00725F9C">
      <w:pPr>
        <w:widowControl w:val="0"/>
        <w:spacing w:before="120" w:after="120"/>
        <w:textAlignment w:val="baseline"/>
        <w:rPr>
          <w:rFonts w:asciiTheme="minorHAnsi" w:hAnsiTheme="minorHAnsi" w:cstheme="minorBidi"/>
        </w:rPr>
      </w:pPr>
      <w:r w:rsidRPr="527EA771">
        <w:rPr>
          <w:rFonts w:asciiTheme="minorHAnsi" w:hAnsiTheme="minorHAnsi" w:cstheme="minorBidi"/>
        </w:rPr>
        <w:t xml:space="preserve">Ze všeho výše uvedeného je zřejmé, že </w:t>
      </w:r>
      <w:r w:rsidR="00F67B0D">
        <w:rPr>
          <w:rFonts w:asciiTheme="minorHAnsi" w:hAnsiTheme="minorHAnsi" w:cstheme="minorBidi"/>
        </w:rPr>
        <w:t>VKS</w:t>
      </w:r>
      <w:r w:rsidRPr="527EA771">
        <w:rPr>
          <w:rFonts w:asciiTheme="minorHAnsi" w:hAnsiTheme="minorHAnsi" w:cstheme="minorBidi"/>
        </w:rPr>
        <w:t xml:space="preserve"> v kontrolovaném období </w:t>
      </w:r>
      <w:r w:rsidR="009E1E62">
        <w:rPr>
          <w:rFonts w:asciiTheme="minorHAnsi" w:hAnsiTheme="minorHAnsi" w:cstheme="minorBidi"/>
        </w:rPr>
        <w:t xml:space="preserve">byl v NSA </w:t>
      </w:r>
      <w:r w:rsidRPr="527EA771">
        <w:rPr>
          <w:rFonts w:asciiTheme="minorHAnsi" w:hAnsiTheme="minorHAnsi" w:cstheme="minorBidi"/>
        </w:rPr>
        <w:t>nefun</w:t>
      </w:r>
      <w:r w:rsidR="009E1E62">
        <w:rPr>
          <w:rFonts w:asciiTheme="minorHAnsi" w:hAnsiTheme="minorHAnsi" w:cstheme="minorBidi"/>
        </w:rPr>
        <w:t>kční</w:t>
      </w:r>
      <w:r w:rsidRPr="527EA771">
        <w:rPr>
          <w:rFonts w:asciiTheme="minorHAnsi" w:hAnsiTheme="minorHAnsi" w:cstheme="minorBidi"/>
        </w:rPr>
        <w:t>. Po</w:t>
      </w:r>
      <w:r w:rsidR="002A03F3">
        <w:rPr>
          <w:rFonts w:asciiTheme="minorHAnsi" w:hAnsiTheme="minorHAnsi" w:cstheme="minorBidi"/>
        </w:rPr>
        <w:t> </w:t>
      </w:r>
      <w:r w:rsidRPr="527EA771">
        <w:rPr>
          <w:rFonts w:asciiTheme="minorHAnsi" w:hAnsiTheme="minorHAnsi" w:cstheme="minorBidi"/>
        </w:rPr>
        <w:t>celou dobu kontrolovaného období docházelo k uzavírání smluv a objednávek i proplácení faktur a vyplácení dotac</w:t>
      </w:r>
      <w:r w:rsidR="009E1E62">
        <w:rPr>
          <w:rFonts w:asciiTheme="minorHAnsi" w:hAnsiTheme="minorHAnsi" w:cstheme="minorBidi"/>
        </w:rPr>
        <w:t>í</w:t>
      </w:r>
      <w:r w:rsidRPr="527EA771">
        <w:rPr>
          <w:rFonts w:asciiTheme="minorHAnsi" w:hAnsiTheme="minorHAnsi" w:cstheme="minorBidi"/>
        </w:rPr>
        <w:t xml:space="preserve">, aniž by byly dodrženy schvalovací postupy upravené v zákoně </w:t>
      </w:r>
      <w:r w:rsidR="00C86C95">
        <w:rPr>
          <w:rFonts w:asciiTheme="minorHAnsi" w:hAnsiTheme="minorHAnsi" w:cstheme="minorBidi"/>
        </w:rPr>
        <w:t>o</w:t>
      </w:r>
      <w:r w:rsidR="002A03F3">
        <w:rPr>
          <w:rFonts w:asciiTheme="minorHAnsi" w:hAnsiTheme="minorHAnsi" w:cstheme="minorBidi"/>
        </w:rPr>
        <w:t> </w:t>
      </w:r>
      <w:r w:rsidR="00C86C95">
        <w:rPr>
          <w:rFonts w:asciiTheme="minorHAnsi" w:hAnsiTheme="minorHAnsi" w:cstheme="minorBidi"/>
        </w:rPr>
        <w:t>finanční kontrole</w:t>
      </w:r>
      <w:r w:rsidRPr="527EA771">
        <w:rPr>
          <w:rFonts w:asciiTheme="minorHAnsi" w:hAnsiTheme="minorHAnsi" w:cstheme="minorBidi"/>
        </w:rPr>
        <w:t xml:space="preserve"> </w:t>
      </w:r>
      <w:r w:rsidRPr="00057400">
        <w:rPr>
          <w:rFonts w:asciiTheme="minorHAnsi" w:hAnsiTheme="minorHAnsi" w:cstheme="minorBidi"/>
        </w:rPr>
        <w:t xml:space="preserve">a </w:t>
      </w:r>
      <w:r w:rsidR="00C86C95" w:rsidRPr="00057400">
        <w:rPr>
          <w:rFonts w:asciiTheme="minorHAnsi" w:hAnsiTheme="minorHAnsi" w:cstheme="minorBidi"/>
        </w:rPr>
        <w:t xml:space="preserve">jeho </w:t>
      </w:r>
      <w:r w:rsidRPr="00057400">
        <w:rPr>
          <w:rFonts w:asciiTheme="minorHAnsi" w:hAnsiTheme="minorHAnsi" w:cstheme="minorBidi"/>
        </w:rPr>
        <w:t xml:space="preserve">prováděcí vyhlášce. </w:t>
      </w:r>
    </w:p>
    <w:p w14:paraId="73373BA5" w14:textId="21F07A18" w:rsidR="009C3902" w:rsidRPr="00913EE2" w:rsidRDefault="00F203A6" w:rsidP="00725F9C">
      <w:pPr>
        <w:spacing w:before="120" w:after="120"/>
        <w:rPr>
          <w:rFonts w:asciiTheme="minorHAnsi" w:eastAsiaTheme="minorEastAsia" w:hAnsiTheme="minorHAnsi" w:cstheme="minorBidi"/>
        </w:rPr>
      </w:pPr>
      <w:r w:rsidRPr="00057400">
        <w:rPr>
          <w:rFonts w:asciiTheme="minorHAnsi" w:eastAsiaTheme="minorEastAsia" w:hAnsiTheme="minorHAnsi" w:cstheme="minorBidi"/>
        </w:rPr>
        <w:t>NSA u investičních dotací neprováděla žádnou průběžnou kontrolu (např. místní šetření) a</w:t>
      </w:r>
      <w:r w:rsidR="00AB6C10">
        <w:rPr>
          <w:rFonts w:asciiTheme="minorHAnsi" w:eastAsiaTheme="minorEastAsia" w:hAnsiTheme="minorHAnsi" w:cstheme="minorBidi"/>
        </w:rPr>
        <w:t> </w:t>
      </w:r>
      <w:r w:rsidRPr="00057400">
        <w:rPr>
          <w:rFonts w:asciiTheme="minorHAnsi" w:eastAsiaTheme="minorEastAsia" w:hAnsiTheme="minorHAnsi" w:cstheme="minorBidi"/>
        </w:rPr>
        <w:t xml:space="preserve">dále u investičních i neinvestičních dotací nekontrolovala závěrečná vyúčtování dotací. </w:t>
      </w:r>
      <w:r w:rsidR="009C3902" w:rsidRPr="00057400">
        <w:rPr>
          <w:rFonts w:asciiTheme="minorHAnsi" w:eastAsiaTheme="minorEastAsia" w:hAnsiTheme="minorHAnsi" w:cstheme="minorBidi"/>
        </w:rPr>
        <w:t xml:space="preserve">NSA </w:t>
      </w:r>
      <w:r w:rsidRPr="00057400">
        <w:rPr>
          <w:rFonts w:asciiTheme="minorHAnsi" w:eastAsiaTheme="minorEastAsia" w:hAnsiTheme="minorHAnsi" w:cstheme="minorBidi"/>
        </w:rPr>
        <w:t xml:space="preserve">tak </w:t>
      </w:r>
      <w:r w:rsidR="009C3902" w:rsidRPr="00057400">
        <w:rPr>
          <w:rFonts w:asciiTheme="minorHAnsi" w:eastAsiaTheme="minorEastAsia" w:hAnsiTheme="minorHAnsi" w:cstheme="minorBidi"/>
        </w:rPr>
        <w:t>postupovala v rozporu s</w:t>
      </w:r>
      <w:r w:rsidR="00C86C95" w:rsidRPr="00057400">
        <w:rPr>
          <w:rFonts w:asciiTheme="minorHAnsi" w:eastAsiaTheme="minorEastAsia" w:hAnsiTheme="minorHAnsi" w:cstheme="minorBidi"/>
        </w:rPr>
        <w:t>e zákonem o finanční kontrole</w:t>
      </w:r>
      <w:r w:rsidR="00C86C95" w:rsidRPr="00057400">
        <w:rPr>
          <w:rStyle w:val="Znakapoznpodarou"/>
          <w:rFonts w:asciiTheme="minorHAnsi" w:eastAsiaTheme="minorEastAsia" w:hAnsiTheme="minorHAnsi" w:cstheme="minorBidi"/>
        </w:rPr>
        <w:footnoteReference w:id="81"/>
      </w:r>
      <w:r w:rsidR="009C3902" w:rsidRPr="00057400">
        <w:rPr>
          <w:rFonts w:asciiTheme="minorHAnsi" w:eastAsiaTheme="minorEastAsia" w:hAnsiTheme="minorHAnsi" w:cstheme="minorBidi"/>
        </w:rPr>
        <w:t xml:space="preserve"> tím, že neprováděla průběžnou a</w:t>
      </w:r>
      <w:r w:rsidR="005058BB">
        <w:rPr>
          <w:rFonts w:asciiTheme="minorHAnsi" w:eastAsiaTheme="minorEastAsia" w:hAnsiTheme="minorHAnsi" w:cstheme="minorBidi"/>
        </w:rPr>
        <w:t> </w:t>
      </w:r>
      <w:r w:rsidR="009C3902" w:rsidRPr="00057400">
        <w:rPr>
          <w:rFonts w:asciiTheme="minorHAnsi" w:eastAsiaTheme="minorEastAsia" w:hAnsiTheme="minorHAnsi" w:cstheme="minorBidi"/>
        </w:rPr>
        <w:t xml:space="preserve">následnou kontrolu při hospodaření s veřejnými prostředky. NSA </w:t>
      </w:r>
      <w:r w:rsidRPr="00057400">
        <w:rPr>
          <w:rFonts w:asciiTheme="minorHAnsi" w:eastAsiaTheme="minorEastAsia" w:hAnsiTheme="minorHAnsi" w:cstheme="minorBidi"/>
        </w:rPr>
        <w:t xml:space="preserve">dále </w:t>
      </w:r>
      <w:r w:rsidR="009C3902" w:rsidRPr="00057400">
        <w:rPr>
          <w:rFonts w:asciiTheme="minorHAnsi" w:eastAsiaTheme="minorEastAsia" w:hAnsiTheme="minorHAnsi" w:cstheme="minorBidi"/>
        </w:rPr>
        <w:t>postupovala</w:t>
      </w:r>
      <w:r w:rsidR="009C3902" w:rsidRPr="527EA771">
        <w:rPr>
          <w:rFonts w:asciiTheme="minorHAnsi" w:eastAsiaTheme="minorEastAsia" w:hAnsiTheme="minorHAnsi" w:cstheme="minorBidi"/>
        </w:rPr>
        <w:t xml:space="preserve"> v rozporu s</w:t>
      </w:r>
      <w:r w:rsidR="00EE02D4">
        <w:rPr>
          <w:rFonts w:asciiTheme="minorHAnsi" w:eastAsiaTheme="minorEastAsia" w:hAnsiTheme="minorHAnsi" w:cstheme="minorBidi"/>
        </w:rPr>
        <w:t>e</w:t>
      </w:r>
      <w:r w:rsidR="00AB6C10">
        <w:rPr>
          <w:rFonts w:asciiTheme="minorHAnsi" w:eastAsiaTheme="minorEastAsia" w:hAnsiTheme="minorHAnsi" w:cstheme="minorBidi"/>
        </w:rPr>
        <w:t xml:space="preserve"> </w:t>
      </w:r>
      <w:r w:rsidR="00EE02D4">
        <w:rPr>
          <w:rFonts w:asciiTheme="minorHAnsi" w:eastAsiaTheme="minorEastAsia" w:hAnsiTheme="minorHAnsi" w:cstheme="minorBidi"/>
        </w:rPr>
        <w:t>zákonem o finanční kontrole</w:t>
      </w:r>
      <w:r w:rsidR="00C21989">
        <w:rPr>
          <w:rStyle w:val="Znakapoznpodarou"/>
          <w:rFonts w:asciiTheme="minorHAnsi" w:eastAsiaTheme="minorEastAsia" w:hAnsiTheme="minorHAnsi" w:cstheme="minorBidi"/>
        </w:rPr>
        <w:footnoteReference w:id="82"/>
      </w:r>
      <w:r w:rsidR="009C3902" w:rsidRPr="527EA771">
        <w:rPr>
          <w:rFonts w:asciiTheme="minorHAnsi" w:eastAsiaTheme="minorEastAsia" w:hAnsiTheme="minorHAnsi" w:cstheme="minorBidi"/>
        </w:rPr>
        <w:t xml:space="preserve"> </w:t>
      </w:r>
      <w:r w:rsidR="009E1E62">
        <w:rPr>
          <w:rFonts w:asciiTheme="minorHAnsi" w:eastAsiaTheme="minorEastAsia" w:hAnsiTheme="minorHAnsi" w:cstheme="minorBidi"/>
        </w:rPr>
        <w:t xml:space="preserve">také </w:t>
      </w:r>
      <w:r w:rsidR="009C3902" w:rsidRPr="527EA771">
        <w:rPr>
          <w:rFonts w:asciiTheme="minorHAnsi" w:eastAsiaTheme="minorEastAsia" w:hAnsiTheme="minorHAnsi" w:cstheme="minorBidi"/>
        </w:rPr>
        <w:t>tím, že vedoucí orgánu veřejné správy nezavedl a</w:t>
      </w:r>
      <w:r w:rsidR="002A03F3">
        <w:rPr>
          <w:rFonts w:asciiTheme="minorHAnsi" w:eastAsiaTheme="minorEastAsia" w:hAnsiTheme="minorHAnsi" w:cstheme="minorBidi"/>
        </w:rPr>
        <w:t> </w:t>
      </w:r>
      <w:r w:rsidR="009C3902" w:rsidRPr="527EA771">
        <w:rPr>
          <w:rFonts w:asciiTheme="minorHAnsi" w:eastAsiaTheme="minorEastAsia" w:hAnsiTheme="minorHAnsi" w:cstheme="minorBidi"/>
        </w:rPr>
        <w:t xml:space="preserve">neudržoval </w:t>
      </w:r>
      <w:r w:rsidR="00F67B0D">
        <w:rPr>
          <w:rFonts w:asciiTheme="minorHAnsi" w:eastAsiaTheme="minorEastAsia" w:hAnsiTheme="minorHAnsi" w:cstheme="minorBidi"/>
        </w:rPr>
        <w:t>VKS.</w:t>
      </w:r>
      <w:r>
        <w:rPr>
          <w:rFonts w:asciiTheme="minorHAnsi" w:eastAsiaTheme="minorEastAsia" w:hAnsiTheme="minorHAnsi" w:cstheme="minorBidi"/>
        </w:rPr>
        <w:t xml:space="preserve"> </w:t>
      </w:r>
      <w:r w:rsidR="009C3902" w:rsidRPr="527EA771">
        <w:rPr>
          <w:rFonts w:asciiTheme="minorHAnsi" w:eastAsiaTheme="minorEastAsia" w:hAnsiTheme="minorHAnsi" w:cstheme="minorBidi"/>
        </w:rPr>
        <w:t>NSA tak postupovala v rozporu s</w:t>
      </w:r>
      <w:r w:rsidR="00B7306D">
        <w:rPr>
          <w:rFonts w:asciiTheme="minorHAnsi" w:eastAsiaTheme="minorEastAsia" w:hAnsiTheme="minorHAnsi" w:cstheme="minorBidi"/>
        </w:rPr>
        <w:t>e zákonem o finanční kontrole</w:t>
      </w:r>
      <w:r w:rsidR="00B7306D">
        <w:rPr>
          <w:rStyle w:val="Znakapoznpodarou"/>
          <w:rFonts w:asciiTheme="minorHAnsi" w:eastAsiaTheme="minorEastAsia" w:hAnsiTheme="minorHAnsi" w:cstheme="minorBidi"/>
        </w:rPr>
        <w:footnoteReference w:id="83"/>
      </w:r>
      <w:r w:rsidR="009C3902" w:rsidRPr="527EA771">
        <w:rPr>
          <w:rFonts w:asciiTheme="minorHAnsi" w:eastAsiaTheme="minorEastAsia" w:hAnsiTheme="minorHAnsi" w:cstheme="minorBidi"/>
        </w:rPr>
        <w:t xml:space="preserve"> tím, že neprověřovala hospodárný, efektivní a účelný výkon veřejné správy. Kritéria pro hodnocení hospodárného, efektivního a účelného výkonu státní správy nebyla stanovena předsedou NSA ve smyslu</w:t>
      </w:r>
      <w:r w:rsidR="00E1421F">
        <w:rPr>
          <w:rFonts w:asciiTheme="minorHAnsi" w:eastAsiaTheme="minorEastAsia" w:hAnsiTheme="minorHAnsi" w:cstheme="minorBidi"/>
        </w:rPr>
        <w:t xml:space="preserve"> zákona o finanční kontrole</w:t>
      </w:r>
      <w:r w:rsidR="00D95E88">
        <w:rPr>
          <w:rFonts w:asciiTheme="minorHAnsi" w:eastAsiaTheme="minorEastAsia" w:hAnsiTheme="minorHAnsi" w:cstheme="minorBidi"/>
        </w:rPr>
        <w:t>.</w:t>
      </w:r>
      <w:r w:rsidR="00E1421F">
        <w:rPr>
          <w:rStyle w:val="Znakapoznpodarou"/>
          <w:rFonts w:asciiTheme="minorHAnsi" w:eastAsiaTheme="minorEastAsia" w:hAnsiTheme="minorHAnsi" w:cstheme="minorBidi"/>
        </w:rPr>
        <w:footnoteReference w:id="84"/>
      </w:r>
    </w:p>
    <w:p w14:paraId="28F82F24" w14:textId="77777777" w:rsidR="7ABE0C6E" w:rsidRPr="00A968C2" w:rsidRDefault="004B4EC9" w:rsidP="004B4EC9">
      <w:pPr>
        <w:pStyle w:val="Nadpis1"/>
        <w:spacing w:after="120"/>
      </w:pPr>
      <w:r>
        <w:t xml:space="preserve">8. </w:t>
      </w:r>
      <w:r w:rsidR="2BF557A5" w:rsidRPr="00A968C2">
        <w:t xml:space="preserve">Nedostatečná archivace dokumentů </w:t>
      </w:r>
      <w:r w:rsidR="00AF79F9">
        <w:t>a vý</w:t>
      </w:r>
      <w:r w:rsidR="004C1885">
        <w:t>kon</w:t>
      </w:r>
      <w:r w:rsidR="001F3451">
        <w:t xml:space="preserve"> spisové služby </w:t>
      </w:r>
      <w:r w:rsidR="2BF557A5" w:rsidRPr="00A968C2">
        <w:t>na NSA</w:t>
      </w:r>
    </w:p>
    <w:p w14:paraId="54354361" w14:textId="77777777" w:rsidR="00720D81" w:rsidRPr="00913EE2" w:rsidRDefault="00F13D57" w:rsidP="00BD0991">
      <w:pPr>
        <w:spacing w:before="120"/>
        <w:rPr>
          <w:rFonts w:asciiTheme="minorHAnsi" w:eastAsiaTheme="minorEastAsia" w:hAnsiTheme="minorHAnsi" w:cstheme="minorBidi"/>
        </w:rPr>
      </w:pPr>
      <w:r w:rsidRPr="00913EE2">
        <w:rPr>
          <w:rFonts w:asciiTheme="minorHAnsi" w:eastAsiaTheme="minorEastAsia" w:hAnsiTheme="minorHAnsi" w:cstheme="minorBidi"/>
        </w:rPr>
        <w:t>NKÚ zjistil</w:t>
      </w:r>
      <w:r w:rsidR="00720D81" w:rsidRPr="00913EE2">
        <w:rPr>
          <w:rFonts w:asciiTheme="minorHAnsi" w:eastAsiaTheme="minorEastAsia" w:hAnsiTheme="minorHAnsi" w:cstheme="minorBidi"/>
        </w:rPr>
        <w:t xml:space="preserve"> následující nedostatky, které mají souvislost s archivací:</w:t>
      </w:r>
    </w:p>
    <w:p w14:paraId="1A66CF23" w14:textId="77777777" w:rsidR="00720D81" w:rsidRPr="00913EE2" w:rsidRDefault="00F13D57" w:rsidP="004B4EC9">
      <w:pPr>
        <w:pStyle w:val="Odstavecseseznamem"/>
        <w:numPr>
          <w:ilvl w:val="0"/>
          <w:numId w:val="9"/>
        </w:numPr>
        <w:suppressAutoHyphens w:val="0"/>
        <w:spacing w:before="0"/>
        <w:ind w:left="284" w:hanging="284"/>
        <w:rPr>
          <w:rFonts w:asciiTheme="minorHAnsi" w:eastAsiaTheme="minorEastAsia" w:hAnsiTheme="minorHAnsi" w:cstheme="minorBidi"/>
        </w:rPr>
      </w:pPr>
      <w:r w:rsidRPr="00913EE2">
        <w:rPr>
          <w:rFonts w:asciiTheme="minorHAnsi" w:eastAsiaTheme="minorEastAsia" w:hAnsiTheme="minorHAnsi" w:cstheme="minorBidi"/>
        </w:rPr>
        <w:t>c</w:t>
      </w:r>
      <w:r w:rsidR="00720D81" w:rsidRPr="00913EE2">
        <w:rPr>
          <w:rFonts w:asciiTheme="minorHAnsi" w:eastAsiaTheme="minorEastAsia" w:hAnsiTheme="minorHAnsi" w:cstheme="minorBidi"/>
        </w:rPr>
        <w:t>hybějící dokumenty v souvislosti s pořizováním majetku</w:t>
      </w:r>
      <w:r w:rsidRPr="00913EE2">
        <w:rPr>
          <w:rFonts w:asciiTheme="minorHAnsi" w:eastAsiaTheme="minorEastAsia" w:hAnsiTheme="minorHAnsi" w:cstheme="minorBidi"/>
        </w:rPr>
        <w:t>;</w:t>
      </w:r>
    </w:p>
    <w:p w14:paraId="75251E98" w14:textId="77777777" w:rsidR="00720D81" w:rsidRPr="00913EE2" w:rsidRDefault="00F13D57" w:rsidP="004B4EC9">
      <w:pPr>
        <w:pStyle w:val="Odstavecseseznamem"/>
        <w:numPr>
          <w:ilvl w:val="0"/>
          <w:numId w:val="9"/>
        </w:numPr>
        <w:suppressAutoHyphens w:val="0"/>
        <w:spacing w:before="0"/>
        <w:ind w:left="284" w:hanging="284"/>
        <w:rPr>
          <w:rFonts w:asciiTheme="minorHAnsi" w:eastAsiaTheme="minorEastAsia" w:hAnsiTheme="minorHAnsi" w:cstheme="minorBidi"/>
        </w:rPr>
      </w:pPr>
      <w:r w:rsidRPr="00913EE2">
        <w:rPr>
          <w:rFonts w:asciiTheme="minorHAnsi" w:eastAsiaTheme="minorEastAsia" w:hAnsiTheme="minorHAnsi" w:cstheme="minorBidi"/>
        </w:rPr>
        <w:t>n</w:t>
      </w:r>
      <w:r w:rsidR="00720D81" w:rsidRPr="00913EE2">
        <w:rPr>
          <w:rFonts w:asciiTheme="minorHAnsi" w:eastAsiaTheme="minorEastAsia" w:hAnsiTheme="minorHAnsi" w:cstheme="minorBidi"/>
        </w:rPr>
        <w:t>edatované zápisy o provedení inventarizace dílčí inventarizační komise</w:t>
      </w:r>
      <w:r w:rsidRPr="00913EE2">
        <w:rPr>
          <w:rFonts w:asciiTheme="minorHAnsi" w:eastAsiaTheme="minorEastAsia" w:hAnsiTheme="minorHAnsi" w:cstheme="minorBidi"/>
        </w:rPr>
        <w:t>;</w:t>
      </w:r>
    </w:p>
    <w:p w14:paraId="2C13A5DB" w14:textId="2A0AA828" w:rsidR="00720D81" w:rsidRPr="00913EE2" w:rsidRDefault="00F13D57" w:rsidP="004B4EC9">
      <w:pPr>
        <w:pStyle w:val="Odstavecseseznamem"/>
        <w:numPr>
          <w:ilvl w:val="0"/>
          <w:numId w:val="9"/>
        </w:numPr>
        <w:suppressAutoHyphens w:val="0"/>
        <w:spacing w:before="0"/>
        <w:ind w:left="284" w:hanging="284"/>
        <w:rPr>
          <w:rFonts w:asciiTheme="minorHAnsi" w:eastAsiaTheme="minorEastAsia" w:hAnsiTheme="minorHAnsi" w:cstheme="minorBidi"/>
        </w:rPr>
      </w:pPr>
      <w:r w:rsidRPr="00913EE2">
        <w:rPr>
          <w:rFonts w:asciiTheme="minorHAnsi" w:eastAsiaTheme="minorEastAsia" w:hAnsiTheme="minorHAnsi" w:cstheme="minorBidi"/>
        </w:rPr>
        <w:t>c</w:t>
      </w:r>
      <w:r w:rsidR="00720D81" w:rsidRPr="00913EE2">
        <w:rPr>
          <w:rFonts w:asciiTheme="minorHAnsi" w:eastAsiaTheme="minorEastAsia" w:hAnsiTheme="minorHAnsi" w:cstheme="minorBidi"/>
        </w:rPr>
        <w:t>hybějící a nepodepsané dokumenty či dokumenty bez označení identifikátorem ve</w:t>
      </w:r>
      <w:r w:rsidR="00A4266F">
        <w:rPr>
          <w:rFonts w:asciiTheme="minorHAnsi" w:eastAsiaTheme="minorEastAsia" w:hAnsiTheme="minorHAnsi" w:cstheme="minorBidi"/>
        </w:rPr>
        <w:t xml:space="preserve"> </w:t>
      </w:r>
      <w:r w:rsidR="00720D81" w:rsidRPr="00913EE2">
        <w:rPr>
          <w:rFonts w:asciiTheme="minorHAnsi" w:eastAsiaTheme="minorEastAsia" w:hAnsiTheme="minorHAnsi" w:cstheme="minorBidi"/>
        </w:rPr>
        <w:t>spisech veřejných zakázek</w:t>
      </w:r>
      <w:r w:rsidRPr="00913EE2">
        <w:rPr>
          <w:rFonts w:asciiTheme="minorHAnsi" w:eastAsiaTheme="minorEastAsia" w:hAnsiTheme="minorHAnsi" w:cstheme="minorBidi"/>
        </w:rPr>
        <w:t>;</w:t>
      </w:r>
    </w:p>
    <w:p w14:paraId="08CE871F" w14:textId="77777777" w:rsidR="00720D81" w:rsidRPr="00913EE2" w:rsidRDefault="00F13D57" w:rsidP="004B4EC9">
      <w:pPr>
        <w:pStyle w:val="Odstavecseseznamem"/>
        <w:numPr>
          <w:ilvl w:val="0"/>
          <w:numId w:val="9"/>
        </w:numPr>
        <w:suppressAutoHyphens w:val="0"/>
        <w:spacing w:before="0"/>
        <w:ind w:left="284" w:hanging="284"/>
        <w:rPr>
          <w:rFonts w:asciiTheme="minorHAnsi" w:eastAsiaTheme="minorEastAsia" w:hAnsiTheme="minorHAnsi" w:cstheme="minorBidi"/>
        </w:rPr>
      </w:pPr>
      <w:r w:rsidRPr="00913EE2">
        <w:rPr>
          <w:rFonts w:asciiTheme="minorHAnsi" w:eastAsiaTheme="minorEastAsia" w:hAnsiTheme="minorHAnsi" w:cstheme="minorBidi"/>
        </w:rPr>
        <w:t>c</w:t>
      </w:r>
      <w:r w:rsidR="00720D81" w:rsidRPr="00913EE2">
        <w:rPr>
          <w:rFonts w:asciiTheme="minorHAnsi" w:eastAsiaTheme="minorEastAsia" w:hAnsiTheme="minorHAnsi" w:cstheme="minorBidi"/>
        </w:rPr>
        <w:t>hybějící identifikátor u dokumentů smluv o poskytování právních služeb</w:t>
      </w:r>
      <w:r w:rsidRPr="00913EE2">
        <w:rPr>
          <w:rFonts w:asciiTheme="minorHAnsi" w:eastAsiaTheme="minorEastAsia" w:hAnsiTheme="minorHAnsi" w:cstheme="minorBidi"/>
        </w:rPr>
        <w:t>;</w:t>
      </w:r>
    </w:p>
    <w:p w14:paraId="76226B74" w14:textId="77777777" w:rsidR="00720D81" w:rsidRPr="00913EE2" w:rsidRDefault="00F13D57" w:rsidP="004B4EC9">
      <w:pPr>
        <w:pStyle w:val="Odstavecseseznamem"/>
        <w:numPr>
          <w:ilvl w:val="0"/>
          <w:numId w:val="9"/>
        </w:numPr>
        <w:suppressAutoHyphens w:val="0"/>
        <w:spacing w:before="0"/>
        <w:ind w:left="284" w:hanging="284"/>
        <w:rPr>
          <w:rFonts w:asciiTheme="minorHAnsi" w:eastAsiaTheme="minorEastAsia" w:hAnsiTheme="minorHAnsi" w:cstheme="minorBidi"/>
        </w:rPr>
      </w:pPr>
      <w:r w:rsidRPr="00913EE2">
        <w:rPr>
          <w:rFonts w:asciiTheme="minorHAnsi" w:eastAsiaTheme="minorEastAsia" w:hAnsiTheme="minorHAnsi" w:cstheme="minorBidi"/>
        </w:rPr>
        <w:t>c</w:t>
      </w:r>
      <w:r w:rsidR="00720D81" w:rsidRPr="00913EE2">
        <w:rPr>
          <w:rFonts w:asciiTheme="minorHAnsi" w:eastAsiaTheme="minorEastAsia" w:hAnsiTheme="minorHAnsi" w:cstheme="minorBidi"/>
        </w:rPr>
        <w:t xml:space="preserve">hybějící </w:t>
      </w:r>
      <w:r w:rsidR="005C586E">
        <w:rPr>
          <w:rFonts w:asciiTheme="minorHAnsi" w:eastAsiaTheme="minorEastAsia" w:hAnsiTheme="minorHAnsi" w:cstheme="minorBidi"/>
        </w:rPr>
        <w:t>závěrečná vyhodnocení akcí</w:t>
      </w:r>
      <w:r w:rsidR="00720D81" w:rsidRPr="00913EE2">
        <w:rPr>
          <w:rFonts w:asciiTheme="minorHAnsi" w:eastAsiaTheme="minorEastAsia" w:hAnsiTheme="minorHAnsi" w:cstheme="minorBidi"/>
        </w:rPr>
        <w:t xml:space="preserve"> u spisů investičních dotací</w:t>
      </w:r>
      <w:r w:rsidRPr="00913EE2">
        <w:rPr>
          <w:rFonts w:asciiTheme="minorHAnsi" w:eastAsiaTheme="minorEastAsia" w:hAnsiTheme="minorHAnsi" w:cstheme="minorBidi"/>
        </w:rPr>
        <w:t>;</w:t>
      </w:r>
    </w:p>
    <w:p w14:paraId="21812E03" w14:textId="77777777" w:rsidR="00720D81" w:rsidRPr="00913EE2" w:rsidRDefault="00F13D57" w:rsidP="004B4EC9">
      <w:pPr>
        <w:pStyle w:val="Odstavecseseznamem"/>
        <w:numPr>
          <w:ilvl w:val="0"/>
          <w:numId w:val="9"/>
        </w:numPr>
        <w:suppressAutoHyphens w:val="0"/>
        <w:spacing w:before="0"/>
        <w:ind w:left="284" w:hanging="284"/>
        <w:rPr>
          <w:rFonts w:asciiTheme="minorHAnsi" w:eastAsiaTheme="minorEastAsia" w:hAnsiTheme="minorHAnsi" w:cstheme="minorBidi"/>
        </w:rPr>
      </w:pPr>
      <w:r w:rsidRPr="00913EE2">
        <w:rPr>
          <w:rFonts w:asciiTheme="minorHAnsi" w:eastAsiaTheme="minorEastAsia" w:hAnsiTheme="minorHAnsi" w:cstheme="minorBidi"/>
        </w:rPr>
        <w:t>c</w:t>
      </w:r>
      <w:r w:rsidR="00720D81" w:rsidRPr="00913EE2">
        <w:rPr>
          <w:rFonts w:asciiTheme="minorHAnsi" w:eastAsiaTheme="minorEastAsia" w:hAnsiTheme="minorHAnsi" w:cstheme="minorBidi"/>
        </w:rPr>
        <w:t xml:space="preserve">hybějící </w:t>
      </w:r>
      <w:r w:rsidR="005C586E">
        <w:rPr>
          <w:rFonts w:asciiTheme="minorHAnsi" w:eastAsiaTheme="minorEastAsia" w:hAnsiTheme="minorHAnsi" w:cstheme="minorBidi"/>
        </w:rPr>
        <w:t>z</w:t>
      </w:r>
      <w:r w:rsidR="00720D81" w:rsidRPr="00913EE2">
        <w:rPr>
          <w:rFonts w:asciiTheme="minorHAnsi" w:eastAsiaTheme="minorEastAsia" w:hAnsiTheme="minorHAnsi" w:cstheme="minorBidi"/>
        </w:rPr>
        <w:t>ávěrečné zprávy projektů</w:t>
      </w:r>
      <w:r w:rsidRPr="00913EE2">
        <w:rPr>
          <w:rFonts w:asciiTheme="minorHAnsi" w:eastAsiaTheme="minorEastAsia" w:hAnsiTheme="minorHAnsi" w:cstheme="minorBidi"/>
        </w:rPr>
        <w:t>;</w:t>
      </w:r>
    </w:p>
    <w:p w14:paraId="73CF0014" w14:textId="18E9830B" w:rsidR="00720D81" w:rsidRPr="00913EE2" w:rsidRDefault="00F13D57" w:rsidP="004B4EC9">
      <w:pPr>
        <w:pStyle w:val="Odstavecseseznamem"/>
        <w:numPr>
          <w:ilvl w:val="0"/>
          <w:numId w:val="9"/>
        </w:numPr>
        <w:suppressAutoHyphens w:val="0"/>
        <w:spacing w:before="0"/>
        <w:ind w:left="284" w:hanging="284"/>
        <w:rPr>
          <w:rFonts w:asciiTheme="minorHAnsi" w:eastAsiaTheme="minorEastAsia" w:hAnsiTheme="minorHAnsi" w:cstheme="minorBidi"/>
        </w:rPr>
      </w:pPr>
      <w:r w:rsidRPr="00913EE2">
        <w:rPr>
          <w:rFonts w:asciiTheme="minorHAnsi" w:eastAsiaTheme="minorEastAsia" w:hAnsiTheme="minorHAnsi" w:cstheme="minorBidi"/>
        </w:rPr>
        <w:t>c</w:t>
      </w:r>
      <w:r w:rsidR="00720D81" w:rsidRPr="00913EE2">
        <w:rPr>
          <w:rFonts w:asciiTheme="minorHAnsi" w:eastAsiaTheme="minorEastAsia" w:hAnsiTheme="minorHAnsi" w:cstheme="minorBidi"/>
        </w:rPr>
        <w:t xml:space="preserve">hybějící </w:t>
      </w:r>
      <w:r w:rsidR="00A4266F">
        <w:rPr>
          <w:rFonts w:asciiTheme="minorHAnsi" w:eastAsiaTheme="minorEastAsia" w:hAnsiTheme="minorHAnsi" w:cstheme="minorBidi"/>
        </w:rPr>
        <w:t>r</w:t>
      </w:r>
      <w:r w:rsidR="00720D81" w:rsidRPr="00913EE2">
        <w:rPr>
          <w:rFonts w:asciiTheme="minorHAnsi" w:eastAsiaTheme="minorEastAsia" w:hAnsiTheme="minorHAnsi" w:cstheme="minorBidi"/>
        </w:rPr>
        <w:t xml:space="preserve">oční plán interního auditu pro rok 2023 a </w:t>
      </w:r>
      <w:r w:rsidR="00A4266F">
        <w:rPr>
          <w:rFonts w:asciiTheme="minorHAnsi" w:eastAsiaTheme="minorEastAsia" w:hAnsiTheme="minorHAnsi" w:cstheme="minorBidi"/>
        </w:rPr>
        <w:t>s</w:t>
      </w:r>
      <w:r w:rsidR="00720D81" w:rsidRPr="00913EE2">
        <w:rPr>
          <w:rFonts w:asciiTheme="minorHAnsi" w:eastAsiaTheme="minorEastAsia" w:hAnsiTheme="minorHAnsi" w:cstheme="minorBidi"/>
        </w:rPr>
        <w:t>třednědobý plán na roky 2023</w:t>
      </w:r>
      <w:r w:rsidR="00A4266F">
        <w:rPr>
          <w:rFonts w:asciiTheme="minorHAnsi" w:eastAsiaTheme="minorEastAsia" w:hAnsiTheme="minorHAnsi" w:cstheme="minorBidi"/>
        </w:rPr>
        <w:t>–</w:t>
      </w:r>
      <w:r w:rsidR="00720D81" w:rsidRPr="00913EE2">
        <w:rPr>
          <w:rFonts w:asciiTheme="minorHAnsi" w:eastAsiaTheme="minorEastAsia" w:hAnsiTheme="minorHAnsi" w:cstheme="minorBidi"/>
        </w:rPr>
        <w:t>2025</w:t>
      </w:r>
      <w:r w:rsidRPr="00913EE2">
        <w:rPr>
          <w:rFonts w:asciiTheme="minorHAnsi" w:eastAsiaTheme="minorEastAsia" w:hAnsiTheme="minorHAnsi" w:cstheme="minorBidi"/>
        </w:rPr>
        <w:t>.</w:t>
      </w:r>
    </w:p>
    <w:p w14:paraId="6742FB0C" w14:textId="30B5E1CA" w:rsidR="00720D81" w:rsidRPr="00913EE2" w:rsidRDefault="00720D81" w:rsidP="00EE58DF">
      <w:pPr>
        <w:spacing w:before="120" w:after="840"/>
        <w:rPr>
          <w:rFonts w:asciiTheme="minorHAnsi" w:eastAsiaTheme="minorEastAsia" w:hAnsiTheme="minorHAnsi" w:cstheme="minorBidi"/>
        </w:rPr>
      </w:pPr>
      <w:r w:rsidRPr="527EA771">
        <w:rPr>
          <w:rFonts w:asciiTheme="minorHAnsi" w:eastAsiaTheme="minorEastAsia" w:hAnsiTheme="minorHAnsi" w:cstheme="minorBidi"/>
        </w:rPr>
        <w:t>NSA postupovala v </w:t>
      </w:r>
      <w:r w:rsidR="00A968C2">
        <w:rPr>
          <w:rFonts w:asciiTheme="minorHAnsi" w:eastAsiaTheme="minorEastAsia" w:hAnsiTheme="minorHAnsi" w:cstheme="minorBidi"/>
        </w:rPr>
        <w:t>rozpor</w:t>
      </w:r>
      <w:r w:rsidRPr="527EA771">
        <w:rPr>
          <w:rFonts w:asciiTheme="minorHAnsi" w:eastAsiaTheme="minorEastAsia" w:hAnsiTheme="minorHAnsi" w:cstheme="minorBidi"/>
        </w:rPr>
        <w:t>u s</w:t>
      </w:r>
      <w:r w:rsidR="00A968C2">
        <w:rPr>
          <w:rFonts w:asciiTheme="minorHAnsi" w:eastAsiaTheme="minorEastAsia" w:hAnsiTheme="minorHAnsi" w:cstheme="minorBidi"/>
        </w:rPr>
        <w:t>e zákonem o archivnictví a spisové službě</w:t>
      </w:r>
      <w:r w:rsidR="00A968C2">
        <w:rPr>
          <w:rStyle w:val="Znakapoznpodarou"/>
          <w:rFonts w:asciiTheme="minorHAnsi" w:eastAsiaTheme="minorEastAsia" w:hAnsiTheme="minorHAnsi" w:cstheme="minorBidi"/>
        </w:rPr>
        <w:footnoteReference w:id="85"/>
      </w:r>
      <w:r w:rsidRPr="527EA771">
        <w:rPr>
          <w:rFonts w:asciiTheme="minorHAnsi" w:eastAsiaTheme="minorEastAsia" w:hAnsiTheme="minorHAnsi" w:cstheme="minorBidi"/>
        </w:rPr>
        <w:t>, když</w:t>
      </w:r>
      <w:r w:rsidR="00B51DF1">
        <w:rPr>
          <w:rFonts w:asciiTheme="minorHAnsi" w:eastAsiaTheme="minorEastAsia" w:hAnsiTheme="minorHAnsi" w:cstheme="minorBidi"/>
        </w:rPr>
        <w:t xml:space="preserve"> </w:t>
      </w:r>
      <w:r w:rsidRPr="527EA771">
        <w:rPr>
          <w:rFonts w:asciiTheme="minorHAnsi" w:eastAsiaTheme="minorEastAsia" w:hAnsiTheme="minorHAnsi" w:cstheme="minorBidi"/>
        </w:rPr>
        <w:t>jednoznačně neoznačovala dokumenty</w:t>
      </w:r>
      <w:r w:rsidR="005D3DAD">
        <w:rPr>
          <w:rStyle w:val="Znakapoznpodarou"/>
          <w:rFonts w:asciiTheme="minorHAnsi" w:eastAsiaTheme="minorEastAsia" w:hAnsiTheme="minorHAnsi" w:cstheme="minorBidi"/>
        </w:rPr>
        <w:footnoteReference w:id="86"/>
      </w:r>
      <w:r w:rsidRPr="527EA771">
        <w:rPr>
          <w:rFonts w:asciiTheme="minorHAnsi" w:eastAsiaTheme="minorEastAsia" w:hAnsiTheme="minorHAnsi" w:cstheme="minorBidi"/>
        </w:rPr>
        <w:t xml:space="preserve"> podle</w:t>
      </w:r>
      <w:r w:rsidR="00A968C2">
        <w:rPr>
          <w:rFonts w:asciiTheme="minorHAnsi" w:eastAsiaTheme="minorEastAsia" w:hAnsiTheme="minorHAnsi" w:cstheme="minorBidi"/>
        </w:rPr>
        <w:t xml:space="preserve"> tohoto zákona.</w:t>
      </w:r>
      <w:r w:rsidRPr="527EA771">
        <w:rPr>
          <w:rFonts w:asciiTheme="minorHAnsi" w:eastAsiaTheme="minorEastAsia" w:hAnsiTheme="minorHAnsi" w:cstheme="minorBidi"/>
        </w:rPr>
        <w:t xml:space="preserve"> </w:t>
      </w:r>
      <w:r w:rsidR="00A968C2">
        <w:rPr>
          <w:rFonts w:asciiTheme="minorHAnsi" w:eastAsiaTheme="minorEastAsia" w:hAnsiTheme="minorHAnsi" w:cstheme="minorBidi"/>
        </w:rPr>
        <w:t>Jednalo se o dokumenty, které</w:t>
      </w:r>
      <w:r w:rsidRPr="527EA771">
        <w:rPr>
          <w:rFonts w:asciiTheme="minorHAnsi" w:eastAsiaTheme="minorEastAsia" w:hAnsiTheme="minorHAnsi" w:cstheme="minorBidi"/>
        </w:rPr>
        <w:t xml:space="preserve"> sama vytvářela společně s dokumenty, které obdržela</w:t>
      </w:r>
      <w:r w:rsidR="00A968C2">
        <w:rPr>
          <w:rFonts w:asciiTheme="minorHAnsi" w:eastAsiaTheme="minorEastAsia" w:hAnsiTheme="minorHAnsi" w:cstheme="minorBidi"/>
        </w:rPr>
        <w:t>.</w:t>
      </w:r>
      <w:r w:rsidRPr="527EA771">
        <w:rPr>
          <w:rFonts w:asciiTheme="minorHAnsi" w:eastAsiaTheme="minorEastAsia" w:hAnsiTheme="minorHAnsi" w:cstheme="minorBidi"/>
        </w:rPr>
        <w:t xml:space="preserve"> </w:t>
      </w:r>
      <w:r w:rsidR="00A968C2">
        <w:rPr>
          <w:rFonts w:asciiTheme="minorHAnsi" w:eastAsiaTheme="minorEastAsia" w:hAnsiTheme="minorHAnsi" w:cstheme="minorBidi"/>
        </w:rPr>
        <w:t>Ty</w:t>
      </w:r>
      <w:r w:rsidRPr="527EA771">
        <w:rPr>
          <w:rFonts w:asciiTheme="minorHAnsi" w:eastAsiaTheme="minorEastAsia" w:hAnsiTheme="minorHAnsi" w:cstheme="minorBidi"/>
        </w:rPr>
        <w:t xml:space="preserve"> dále neuchovávala v souladu s</w:t>
      </w:r>
      <w:r w:rsidR="00A968C2">
        <w:rPr>
          <w:rFonts w:asciiTheme="minorHAnsi" w:eastAsiaTheme="minorEastAsia" w:hAnsiTheme="minorHAnsi" w:cstheme="minorBidi"/>
        </w:rPr>
        <w:t>e zákonem o archivnictví a spisové službě</w:t>
      </w:r>
      <w:r w:rsidR="00D95E88">
        <w:rPr>
          <w:rFonts w:asciiTheme="minorHAnsi" w:eastAsiaTheme="minorEastAsia" w:hAnsiTheme="minorHAnsi" w:cstheme="minorBidi"/>
        </w:rPr>
        <w:t>.</w:t>
      </w:r>
      <w:r w:rsidR="00A968C2">
        <w:rPr>
          <w:rStyle w:val="Znakapoznpodarou"/>
          <w:rFonts w:asciiTheme="minorHAnsi" w:eastAsiaTheme="minorEastAsia" w:hAnsiTheme="minorHAnsi" w:cstheme="minorBidi"/>
        </w:rPr>
        <w:footnoteReference w:id="87"/>
      </w:r>
      <w:r w:rsidRPr="527EA771">
        <w:rPr>
          <w:rFonts w:asciiTheme="minorHAnsi" w:eastAsiaTheme="minorEastAsia" w:hAnsiTheme="minorHAnsi" w:cstheme="minorBidi"/>
        </w:rPr>
        <w:t xml:space="preserve"> Tím nezajistila nezaměnitelnost, což</w:t>
      </w:r>
      <w:r w:rsidR="00B51DF1">
        <w:rPr>
          <w:rFonts w:asciiTheme="minorHAnsi" w:eastAsiaTheme="minorEastAsia" w:hAnsiTheme="minorHAnsi" w:cstheme="minorBidi"/>
        </w:rPr>
        <w:t xml:space="preserve"> </w:t>
      </w:r>
      <w:r w:rsidRPr="527EA771">
        <w:rPr>
          <w:rFonts w:asciiTheme="minorHAnsi" w:eastAsiaTheme="minorEastAsia" w:hAnsiTheme="minorHAnsi" w:cstheme="minorBidi"/>
        </w:rPr>
        <w:t>ve svém důsledku mohlo vytvářet prostor pro jeho libovolnou manipulaci. Zároveň jednala v rozporu s</w:t>
      </w:r>
      <w:r w:rsidR="00A968C2">
        <w:rPr>
          <w:rFonts w:asciiTheme="minorHAnsi" w:eastAsiaTheme="minorEastAsia" w:hAnsiTheme="minorHAnsi" w:cstheme="minorBidi"/>
        </w:rPr>
        <w:t>e</w:t>
      </w:r>
      <w:r w:rsidR="00A4266F">
        <w:rPr>
          <w:rFonts w:asciiTheme="minorHAnsi" w:eastAsiaTheme="minorEastAsia" w:hAnsiTheme="minorHAnsi" w:cstheme="minorBidi"/>
        </w:rPr>
        <w:t xml:space="preserve"> </w:t>
      </w:r>
      <w:r w:rsidR="00A968C2">
        <w:rPr>
          <w:rFonts w:asciiTheme="minorHAnsi" w:eastAsiaTheme="minorEastAsia" w:hAnsiTheme="minorHAnsi" w:cstheme="minorBidi"/>
        </w:rPr>
        <w:lastRenderedPageBreak/>
        <w:t>zákonem o archivnictví a spisové službě</w:t>
      </w:r>
      <w:r w:rsidR="00A968C2">
        <w:rPr>
          <w:rStyle w:val="Znakapoznpodarou"/>
          <w:rFonts w:asciiTheme="minorHAnsi" w:eastAsiaTheme="minorEastAsia" w:hAnsiTheme="minorHAnsi" w:cstheme="minorBidi"/>
        </w:rPr>
        <w:footnoteReference w:id="88"/>
      </w:r>
      <w:r w:rsidRPr="527EA771">
        <w:rPr>
          <w:rFonts w:asciiTheme="minorHAnsi" w:eastAsiaTheme="minorEastAsia" w:hAnsiTheme="minorHAnsi" w:cstheme="minorBidi"/>
        </w:rPr>
        <w:t xml:space="preserve"> a </w:t>
      </w:r>
      <w:r w:rsidR="005C586E">
        <w:rPr>
          <w:rFonts w:asciiTheme="minorHAnsi" w:eastAsiaTheme="minorEastAsia" w:hAnsiTheme="minorHAnsi" w:cstheme="minorBidi"/>
        </w:rPr>
        <w:t>s</w:t>
      </w:r>
      <w:r w:rsidRPr="527EA771">
        <w:rPr>
          <w:rFonts w:asciiTheme="minorHAnsi" w:eastAsiaTheme="minorEastAsia" w:hAnsiTheme="minorHAnsi" w:cstheme="minorBidi"/>
        </w:rPr>
        <w:t>pisovým a skartačním řádem NSA</w:t>
      </w:r>
      <w:r w:rsidR="00EE58DF">
        <w:rPr>
          <w:rFonts w:asciiTheme="minorHAnsi" w:eastAsiaTheme="minorEastAsia" w:hAnsiTheme="minorHAnsi" w:cstheme="minorBidi"/>
        </w:rPr>
        <w:t xml:space="preserve"> </w:t>
      </w:r>
      <w:r w:rsidRPr="527EA771">
        <w:rPr>
          <w:rFonts w:asciiTheme="minorHAnsi" w:eastAsiaTheme="minorEastAsia" w:hAnsiTheme="minorHAnsi" w:cstheme="minorBidi"/>
        </w:rPr>
        <w:t>tím, že</w:t>
      </w:r>
      <w:r w:rsidR="00A4266F">
        <w:rPr>
          <w:rFonts w:asciiTheme="minorHAnsi" w:eastAsiaTheme="minorEastAsia" w:hAnsiTheme="minorHAnsi" w:cstheme="minorBidi"/>
        </w:rPr>
        <w:t xml:space="preserve"> </w:t>
      </w:r>
      <w:r w:rsidRPr="527EA771">
        <w:rPr>
          <w:rFonts w:asciiTheme="minorHAnsi" w:eastAsiaTheme="minorEastAsia" w:hAnsiTheme="minorHAnsi" w:cstheme="minorBidi"/>
        </w:rPr>
        <w:t xml:space="preserve">neoznačovala dokumenty spisovými znaky, skartačními znaky a skartačními lhůtami.  </w:t>
      </w:r>
    </w:p>
    <w:p w14:paraId="0FA5D7E6" w14:textId="77777777" w:rsidR="00584CF9" w:rsidRPr="00584CF9" w:rsidRDefault="00584CF9" w:rsidP="00F07D44">
      <w:pPr>
        <w:keepNext/>
        <w:suppressAutoHyphens w:val="0"/>
        <w:spacing w:before="0" w:after="120"/>
        <w:rPr>
          <w:rFonts w:asciiTheme="minorHAnsi" w:hAnsiTheme="minorHAnsi" w:cstheme="minorHAnsi"/>
          <w:b/>
        </w:rPr>
      </w:pPr>
      <w:r w:rsidRPr="00584CF9">
        <w:rPr>
          <w:rFonts w:asciiTheme="minorHAnsi" w:hAnsiTheme="minorHAnsi" w:cstheme="minorHAnsi"/>
          <w:b/>
        </w:rPr>
        <w:t>Seznam zkratek</w:t>
      </w:r>
    </w:p>
    <w:p w14:paraId="6858528B" w14:textId="5154EB9A" w:rsidR="005C586E" w:rsidRDefault="005C586E" w:rsidP="00F07D44">
      <w:pPr>
        <w:keepNext/>
        <w:spacing w:before="80" w:after="8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DPH</w:t>
      </w:r>
      <w:r>
        <w:rPr>
          <w:rFonts w:asciiTheme="minorHAnsi" w:hAnsiTheme="minorHAnsi" w:cstheme="minorHAnsi"/>
        </w:rPr>
        <w:tab/>
      </w:r>
      <w:r w:rsidR="00706135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aň z přidané hodnoty</w:t>
      </w:r>
    </w:p>
    <w:p w14:paraId="1F637CFC" w14:textId="41DF4C09" w:rsidR="00295219" w:rsidRDefault="00295219" w:rsidP="00F07D44">
      <w:pPr>
        <w:keepNext/>
        <w:spacing w:before="80" w:after="8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HDP</w:t>
      </w:r>
      <w:r>
        <w:rPr>
          <w:rFonts w:asciiTheme="minorHAnsi" w:hAnsiTheme="minorHAnsi" w:cstheme="minorHAnsi"/>
        </w:rPr>
        <w:tab/>
      </w:r>
      <w:r w:rsidR="00706135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rubý domácí produkt</w:t>
      </w:r>
    </w:p>
    <w:p w14:paraId="46BE84E5" w14:textId="520F18C8" w:rsidR="007C4CE8" w:rsidRPr="007C4CE8" w:rsidRDefault="007C4CE8" w:rsidP="00F07D44">
      <w:pPr>
        <w:keepNext/>
        <w:spacing w:before="80" w:after="80"/>
        <w:ind w:left="2268" w:hanging="2268"/>
        <w:rPr>
          <w:rFonts w:asciiTheme="minorHAnsi" w:hAnsiTheme="minorHAnsi" w:cstheme="minorHAnsi"/>
        </w:rPr>
      </w:pPr>
      <w:r w:rsidRPr="007C4CE8">
        <w:rPr>
          <w:rFonts w:asciiTheme="minorHAnsi" w:hAnsiTheme="minorHAnsi" w:cstheme="minorHAnsi"/>
        </w:rPr>
        <w:t>Koncepce</w:t>
      </w:r>
      <w:r w:rsidR="009852A5">
        <w:rPr>
          <w:rFonts w:asciiTheme="minorHAnsi" w:hAnsiTheme="minorHAnsi" w:cstheme="minorHAnsi"/>
        </w:rPr>
        <w:t xml:space="preserve"> 2025</w:t>
      </w:r>
      <w:r>
        <w:rPr>
          <w:rFonts w:asciiTheme="minorHAnsi" w:hAnsiTheme="minorHAnsi" w:cstheme="minorHAnsi"/>
        </w:rPr>
        <w:tab/>
      </w:r>
      <w:r w:rsidRPr="00E202DA">
        <w:rPr>
          <w:rFonts w:asciiTheme="minorHAnsi" w:hAnsiTheme="minorHAnsi" w:cstheme="minorHAnsi"/>
          <w:i/>
          <w:color w:val="000000"/>
        </w:rPr>
        <w:t>Koncepce podpory sportu 2016–2025</w:t>
      </w:r>
      <w:r w:rsidR="005C586E" w:rsidRPr="00E202DA">
        <w:rPr>
          <w:rFonts w:asciiTheme="minorHAnsi" w:hAnsiTheme="minorHAnsi" w:cstheme="minorHAnsi"/>
          <w:i/>
          <w:color w:val="000000"/>
        </w:rPr>
        <w:t xml:space="preserve"> – SPORT 2025</w:t>
      </w:r>
    </w:p>
    <w:p w14:paraId="15FD2B9F" w14:textId="77777777" w:rsidR="007C4CE8" w:rsidRPr="007C4CE8" w:rsidRDefault="007C4CE8" w:rsidP="00F07D44">
      <w:pPr>
        <w:keepNext/>
        <w:spacing w:before="80" w:after="80"/>
        <w:ind w:left="2268" w:hanging="2268"/>
        <w:rPr>
          <w:rFonts w:asciiTheme="minorHAnsi" w:hAnsiTheme="minorHAnsi" w:cstheme="minorHAnsi"/>
        </w:rPr>
      </w:pPr>
      <w:r w:rsidRPr="007C4CE8">
        <w:rPr>
          <w:rFonts w:asciiTheme="minorHAnsi" w:hAnsiTheme="minorHAnsi" w:cstheme="minorHAnsi"/>
        </w:rPr>
        <w:t>MŠM</w:t>
      </w: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ab/>
      </w:r>
      <w:r w:rsidRPr="007C4CE8">
        <w:rPr>
          <w:rFonts w:asciiTheme="minorHAnsi" w:hAnsiTheme="minorHAnsi" w:cstheme="minorHAnsi"/>
        </w:rPr>
        <w:t>Ministerstvo školství, mládeže a tělovýchovy</w:t>
      </w:r>
    </w:p>
    <w:p w14:paraId="2C7F31DA" w14:textId="77777777" w:rsidR="007C4CE8" w:rsidRPr="007C4CE8" w:rsidRDefault="007C4CE8" w:rsidP="00F07D44">
      <w:pPr>
        <w:keepNext/>
        <w:spacing w:before="80" w:after="80"/>
        <w:ind w:left="2268" w:hanging="2268"/>
        <w:rPr>
          <w:rFonts w:asciiTheme="minorHAnsi" w:hAnsiTheme="minorHAnsi" w:cstheme="minorHAnsi"/>
        </w:rPr>
      </w:pPr>
      <w:r w:rsidRPr="007C4CE8">
        <w:rPr>
          <w:rFonts w:asciiTheme="minorHAnsi" w:hAnsiTheme="minorHAnsi" w:cstheme="minorHAnsi"/>
        </w:rPr>
        <w:t>NEN</w:t>
      </w:r>
      <w:r>
        <w:rPr>
          <w:rFonts w:asciiTheme="minorHAnsi" w:hAnsiTheme="minorHAnsi" w:cstheme="minorHAnsi"/>
        </w:rPr>
        <w:tab/>
      </w:r>
      <w:r w:rsidRPr="007C4CE8">
        <w:rPr>
          <w:rFonts w:asciiTheme="minorHAnsi" w:hAnsiTheme="minorHAnsi" w:cstheme="minorHAnsi"/>
        </w:rPr>
        <w:t>Národní elektronický nástroj</w:t>
      </w:r>
    </w:p>
    <w:p w14:paraId="26A84FCA" w14:textId="77777777" w:rsidR="007C4CE8" w:rsidRPr="007C4CE8" w:rsidRDefault="007C4CE8" w:rsidP="00F07D44">
      <w:pPr>
        <w:keepNext/>
        <w:spacing w:before="80" w:after="80"/>
        <w:ind w:left="2268" w:hanging="2268"/>
        <w:rPr>
          <w:rFonts w:asciiTheme="minorHAnsi" w:hAnsiTheme="minorHAnsi" w:cstheme="minorHAnsi"/>
        </w:rPr>
      </w:pPr>
      <w:r w:rsidRPr="007C4CE8">
        <w:rPr>
          <w:rFonts w:asciiTheme="minorHAnsi" w:hAnsiTheme="minorHAnsi" w:cstheme="minorHAnsi"/>
        </w:rPr>
        <w:t>NKÚ</w:t>
      </w:r>
      <w:r>
        <w:rPr>
          <w:rFonts w:asciiTheme="minorHAnsi" w:hAnsiTheme="minorHAnsi" w:cstheme="minorHAnsi"/>
        </w:rPr>
        <w:tab/>
      </w:r>
      <w:r w:rsidRPr="007C4CE8">
        <w:rPr>
          <w:rFonts w:asciiTheme="minorHAnsi" w:hAnsiTheme="minorHAnsi" w:cstheme="minorHAnsi"/>
        </w:rPr>
        <w:t>Nejvyšší kontrolní úřad</w:t>
      </w:r>
    </w:p>
    <w:p w14:paraId="2209B8D3" w14:textId="77777777" w:rsidR="005C586E" w:rsidRDefault="005C586E" w:rsidP="00F07D44">
      <w:pPr>
        <w:keepNext/>
        <w:spacing w:before="80" w:after="8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NSA</w:t>
      </w:r>
      <w:r>
        <w:rPr>
          <w:rFonts w:asciiTheme="minorHAnsi" w:hAnsiTheme="minorHAnsi" w:cstheme="minorHAnsi"/>
        </w:rPr>
        <w:tab/>
        <w:t>Národní sportovní agentura</w:t>
      </w:r>
    </w:p>
    <w:p w14:paraId="6A043238" w14:textId="2836A180" w:rsidR="007C4CE8" w:rsidRPr="007C4CE8" w:rsidRDefault="007C4CE8" w:rsidP="00F07D44">
      <w:pPr>
        <w:keepNext/>
        <w:spacing w:before="80" w:after="80"/>
        <w:ind w:left="2268" w:hanging="2268"/>
        <w:rPr>
          <w:rFonts w:asciiTheme="minorHAnsi" w:hAnsiTheme="minorHAnsi" w:cstheme="minorHAnsi"/>
        </w:rPr>
      </w:pPr>
      <w:proofErr w:type="spellStart"/>
      <w:r w:rsidRPr="007C4CE8">
        <w:rPr>
          <w:rFonts w:asciiTheme="minorHAnsi" w:hAnsiTheme="minorHAnsi" w:cstheme="minorHAnsi"/>
        </w:rPr>
        <w:t>RoP</w:t>
      </w:r>
      <w:r w:rsidR="009852A5">
        <w:rPr>
          <w:rFonts w:asciiTheme="minorHAnsi" w:hAnsiTheme="minorHAnsi" w:cstheme="minorHAnsi"/>
        </w:rPr>
        <w:t>D</w:t>
      </w:r>
      <w:proofErr w:type="spellEnd"/>
      <w:r>
        <w:rPr>
          <w:rFonts w:asciiTheme="minorHAnsi" w:hAnsiTheme="minorHAnsi" w:cstheme="minorHAnsi"/>
        </w:rPr>
        <w:tab/>
      </w:r>
      <w:r w:rsidR="00706135">
        <w:rPr>
          <w:rFonts w:asciiTheme="minorHAnsi" w:hAnsiTheme="minorHAnsi" w:cstheme="minorHAnsi"/>
        </w:rPr>
        <w:t>r</w:t>
      </w:r>
      <w:r w:rsidRPr="007C4CE8">
        <w:rPr>
          <w:rFonts w:asciiTheme="minorHAnsi" w:hAnsiTheme="minorHAnsi" w:cstheme="minorHAnsi"/>
        </w:rPr>
        <w:t>ozhodnutí o poskytnutí dotace</w:t>
      </w:r>
    </w:p>
    <w:p w14:paraId="3E0777B2" w14:textId="52DE741B" w:rsidR="007C4CE8" w:rsidRPr="007C4CE8" w:rsidRDefault="007C4CE8" w:rsidP="00F07D44">
      <w:pPr>
        <w:keepNext/>
        <w:spacing w:before="80" w:after="80"/>
        <w:ind w:left="2268" w:hanging="2268"/>
        <w:rPr>
          <w:rFonts w:asciiTheme="minorHAnsi" w:hAnsiTheme="minorHAnsi" w:cstheme="minorHAnsi"/>
        </w:rPr>
      </w:pPr>
      <w:r w:rsidRPr="007C4CE8">
        <w:rPr>
          <w:rFonts w:asciiTheme="minorHAnsi" w:hAnsiTheme="minorHAnsi" w:cstheme="minorHAnsi"/>
        </w:rPr>
        <w:t>ÚZSVM</w:t>
      </w:r>
      <w:r>
        <w:rPr>
          <w:rFonts w:asciiTheme="minorHAnsi" w:hAnsiTheme="minorHAnsi" w:cstheme="minorHAnsi"/>
        </w:rPr>
        <w:tab/>
      </w:r>
      <w:r w:rsidRPr="007C4CE8">
        <w:rPr>
          <w:rFonts w:asciiTheme="minorHAnsi" w:hAnsiTheme="minorHAnsi" w:cstheme="minorHAnsi"/>
        </w:rPr>
        <w:t>Úřad pro zastupování státu ve věcech majetkových</w:t>
      </w:r>
    </w:p>
    <w:p w14:paraId="3F87A9FA" w14:textId="3B190A06" w:rsidR="00F67B0D" w:rsidRDefault="00F67B0D" w:rsidP="00F07D44">
      <w:pPr>
        <w:keepNext/>
        <w:spacing w:before="80" w:after="80"/>
        <w:ind w:left="2268" w:hanging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VKS</w:t>
      </w:r>
      <w:r>
        <w:rPr>
          <w:rFonts w:asciiTheme="minorHAnsi" w:hAnsiTheme="minorHAnsi" w:cstheme="minorHAnsi"/>
        </w:rPr>
        <w:tab/>
      </w:r>
      <w:r w:rsidR="00706135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nitřní kontrolní systém</w:t>
      </w:r>
    </w:p>
    <w:p w14:paraId="5290AC25" w14:textId="4AA25654" w:rsidR="00F62A92" w:rsidRPr="007C4CE8" w:rsidRDefault="007C4CE8" w:rsidP="00AB6C10">
      <w:pPr>
        <w:spacing w:before="80" w:after="80"/>
        <w:ind w:left="2268" w:hanging="2268"/>
        <w:rPr>
          <w:rFonts w:asciiTheme="minorHAnsi" w:hAnsiTheme="minorHAnsi" w:cstheme="minorHAnsi"/>
        </w:rPr>
      </w:pPr>
      <w:r w:rsidRPr="007C4CE8">
        <w:rPr>
          <w:rFonts w:asciiTheme="minorHAnsi" w:hAnsiTheme="minorHAnsi" w:cstheme="minorHAnsi"/>
        </w:rPr>
        <w:t>VZ</w:t>
      </w:r>
      <w:r>
        <w:rPr>
          <w:rFonts w:asciiTheme="minorHAnsi" w:hAnsiTheme="minorHAnsi" w:cstheme="minorHAnsi"/>
        </w:rPr>
        <w:tab/>
      </w:r>
      <w:r w:rsidR="00706135">
        <w:rPr>
          <w:rFonts w:asciiTheme="minorHAnsi" w:hAnsiTheme="minorHAnsi" w:cstheme="minorHAnsi"/>
        </w:rPr>
        <w:t>v</w:t>
      </w:r>
      <w:r w:rsidRPr="007C4CE8">
        <w:rPr>
          <w:rFonts w:asciiTheme="minorHAnsi" w:hAnsiTheme="minorHAnsi" w:cstheme="minorHAnsi"/>
        </w:rPr>
        <w:t>eřejná zakázka</w:t>
      </w:r>
    </w:p>
    <w:p w14:paraId="1328D67E" w14:textId="50D6BFAA" w:rsidR="00584CF9" w:rsidRPr="00584CF9" w:rsidRDefault="00584CF9" w:rsidP="00F07D44">
      <w:pPr>
        <w:keepNext/>
        <w:suppressAutoHyphens w:val="0"/>
        <w:spacing w:before="720" w:after="120"/>
        <w:rPr>
          <w:rFonts w:asciiTheme="minorHAnsi" w:hAnsiTheme="minorHAnsi" w:cstheme="minorHAnsi"/>
          <w:b/>
        </w:rPr>
      </w:pPr>
      <w:r w:rsidRPr="6524B888">
        <w:rPr>
          <w:rFonts w:asciiTheme="minorHAnsi" w:hAnsiTheme="minorHAnsi" w:cstheme="minorBidi"/>
          <w:b/>
          <w:bCs/>
        </w:rPr>
        <w:t>Seznam příloh</w:t>
      </w:r>
    </w:p>
    <w:p w14:paraId="20B96B74" w14:textId="77777777" w:rsidR="009E1E62" w:rsidRDefault="0CDCD9D8" w:rsidP="00F07D44">
      <w:pPr>
        <w:keepNext/>
        <w:spacing w:before="0"/>
      </w:pPr>
      <w:r>
        <w:t xml:space="preserve">Příloha č. </w:t>
      </w:r>
      <w:r w:rsidR="002B1527">
        <w:t xml:space="preserve">1: </w:t>
      </w:r>
      <w:r w:rsidR="009E1E62">
        <w:t>Hospodaření Národní sportovní agentury</w:t>
      </w:r>
    </w:p>
    <w:p w14:paraId="045C0627" w14:textId="77777777" w:rsidR="009E1E62" w:rsidRDefault="002B1527" w:rsidP="00F07D44">
      <w:pPr>
        <w:keepNext/>
        <w:spacing w:before="0"/>
      </w:pPr>
      <w:r>
        <w:t xml:space="preserve">Příloha č. 2: </w:t>
      </w:r>
      <w:r w:rsidR="009E1E62">
        <w:t>Poskytování dotací</w:t>
      </w:r>
    </w:p>
    <w:p w14:paraId="5964C4CF" w14:textId="77777777" w:rsidR="009E1E62" w:rsidRDefault="002B1527" w:rsidP="00F07D44">
      <w:pPr>
        <w:keepNext/>
        <w:spacing w:before="0"/>
      </w:pPr>
      <w:r>
        <w:t xml:space="preserve">Příloha č. 3: </w:t>
      </w:r>
      <w:r w:rsidR="009E1E62">
        <w:t>Dotazníkové šetření NKÚ</w:t>
      </w:r>
    </w:p>
    <w:p w14:paraId="09DF0D59" w14:textId="77777777" w:rsidR="009E1E62" w:rsidRDefault="002B1527" w:rsidP="00F07D44">
      <w:pPr>
        <w:keepNext/>
        <w:spacing w:before="0"/>
      </w:pPr>
      <w:r>
        <w:t xml:space="preserve">Příloha č. 4: </w:t>
      </w:r>
      <w:r w:rsidR="009E1E62">
        <w:t>Mezinárodní srovnání</w:t>
      </w:r>
    </w:p>
    <w:p w14:paraId="4D0FC222" w14:textId="77777777" w:rsidR="002B1527" w:rsidRDefault="002B1527" w:rsidP="002B1527">
      <w:pPr>
        <w:spacing w:before="0"/>
      </w:pPr>
    </w:p>
    <w:p w14:paraId="70977208" w14:textId="77777777" w:rsidR="009E1E62" w:rsidRPr="00F36534" w:rsidRDefault="00417AAF" w:rsidP="002F1021">
      <w:pPr>
        <w:spacing w:before="0" w:after="120"/>
        <w:jc w:val="right"/>
        <w:rPr>
          <w:b/>
        </w:rPr>
      </w:pPr>
      <w:r>
        <w:br w:type="page"/>
      </w:r>
      <w:r w:rsidR="009E1E62" w:rsidRPr="00F36534">
        <w:rPr>
          <w:b/>
        </w:rPr>
        <w:lastRenderedPageBreak/>
        <w:t xml:space="preserve">Příloha č. </w:t>
      </w:r>
      <w:r w:rsidR="009E1E62">
        <w:rPr>
          <w:b/>
        </w:rPr>
        <w:t>1</w:t>
      </w:r>
    </w:p>
    <w:p w14:paraId="7CFE9B62" w14:textId="77777777" w:rsidR="009E1E62" w:rsidRPr="00F36534" w:rsidRDefault="009E1E62" w:rsidP="002F1021">
      <w:pPr>
        <w:spacing w:before="0" w:after="120"/>
        <w:jc w:val="center"/>
        <w:rPr>
          <w:b/>
        </w:rPr>
      </w:pPr>
      <w:r w:rsidRPr="00F36534">
        <w:rPr>
          <w:b/>
        </w:rPr>
        <w:t>Hospodaření Národní sportovní agentury</w:t>
      </w:r>
    </w:p>
    <w:p w14:paraId="4E9BEFD1" w14:textId="77777777" w:rsidR="009E1E62" w:rsidRDefault="009E1E62" w:rsidP="002F1021">
      <w:pPr>
        <w:spacing w:before="0" w:after="120"/>
      </w:pPr>
      <w:r w:rsidRPr="6524B888">
        <w:rPr>
          <w:rFonts w:eastAsia="Calibri"/>
        </w:rPr>
        <w:t>Hodnota majetku NSA vyjádřená netto hodnotou aktiv k poslednímu dni roku 2022 činila přibližně 6,8 mld. Kč. Hodnota majetku se oproti roku 2020 zvýšila o 6,6 mld. Kč, a</w:t>
      </w:r>
      <w:r w:rsidR="002A03F3">
        <w:rPr>
          <w:rFonts w:eastAsia="Calibri"/>
        </w:rPr>
        <w:t> </w:t>
      </w:r>
      <w:r w:rsidRPr="6524B888">
        <w:rPr>
          <w:rFonts w:eastAsia="Calibri"/>
        </w:rPr>
        <w:t>to</w:t>
      </w:r>
      <w:r w:rsidR="002A03F3">
        <w:rPr>
          <w:rFonts w:eastAsia="Calibri"/>
        </w:rPr>
        <w:t> </w:t>
      </w:r>
      <w:r w:rsidRPr="6524B888">
        <w:rPr>
          <w:rFonts w:eastAsia="Calibri"/>
        </w:rPr>
        <w:t xml:space="preserve">především navýšením oběžných </w:t>
      </w:r>
      <w:r w:rsidRPr="00E22B55">
        <w:rPr>
          <w:rFonts w:eastAsia="Calibri"/>
        </w:rPr>
        <w:t>akti</w:t>
      </w:r>
      <w:r w:rsidR="00F04F94" w:rsidRPr="00E22B55">
        <w:rPr>
          <w:rFonts w:eastAsia="Calibri"/>
        </w:rPr>
        <w:t>v</w:t>
      </w:r>
      <w:r w:rsidR="00057400" w:rsidRPr="00E22B55">
        <w:rPr>
          <w:rFonts w:eastAsia="Calibri"/>
        </w:rPr>
        <w:t xml:space="preserve"> způsobeným nárůstem krátkodobých poskytnutých záloh na transfery z důvodu poskytování podpory do oblasti sportu</w:t>
      </w:r>
      <w:r w:rsidR="00F04F94" w:rsidRPr="00E22B55">
        <w:rPr>
          <w:rFonts w:eastAsia="Calibri"/>
        </w:rPr>
        <w:t>.</w:t>
      </w:r>
    </w:p>
    <w:p w14:paraId="4F4C1073" w14:textId="5983ACDB" w:rsidR="009E1E62" w:rsidRDefault="009E1E62" w:rsidP="002F1021">
      <w:pPr>
        <w:pStyle w:val="paragraph"/>
        <w:spacing w:before="120" w:beforeAutospacing="0" w:after="40" w:afterAutospacing="0"/>
        <w:jc w:val="both"/>
        <w:rPr>
          <w:rStyle w:val="normaltextrun"/>
          <w:rFonts w:ascii="Calibri" w:hAnsi="Calibri" w:cs="Calibri"/>
          <w:b/>
          <w:bCs/>
        </w:rPr>
      </w:pPr>
      <w:r w:rsidRPr="6524B888">
        <w:rPr>
          <w:rStyle w:val="normaltextrun"/>
          <w:rFonts w:ascii="Calibri" w:hAnsi="Calibri" w:cs="Calibri"/>
          <w:b/>
          <w:bCs/>
        </w:rPr>
        <w:t xml:space="preserve">Tabulka č. </w:t>
      </w:r>
      <w:r w:rsidR="00455C05">
        <w:rPr>
          <w:rStyle w:val="normaltextrun"/>
          <w:rFonts w:ascii="Calibri" w:hAnsi="Calibri" w:cs="Calibri"/>
          <w:b/>
          <w:bCs/>
        </w:rPr>
        <w:t>1</w:t>
      </w:r>
      <w:r w:rsidR="009331B8">
        <w:rPr>
          <w:rStyle w:val="normaltextrun"/>
          <w:rFonts w:ascii="Calibri" w:hAnsi="Calibri" w:cs="Calibri"/>
          <w:b/>
          <w:bCs/>
        </w:rPr>
        <w:t>:</w:t>
      </w:r>
      <w:r w:rsidRPr="6524B888">
        <w:rPr>
          <w:rStyle w:val="normaltextrun"/>
          <w:rFonts w:ascii="Calibri" w:hAnsi="Calibri" w:cs="Calibri"/>
          <w:b/>
          <w:bCs/>
        </w:rPr>
        <w:t xml:space="preserve"> Vybrané položky rozvahy Národní sportovní agentury</w:t>
      </w:r>
      <w:r w:rsidR="00F04F94">
        <w:rPr>
          <w:rStyle w:val="normaltextrun"/>
          <w:rFonts w:ascii="Calibri" w:hAnsi="Calibri" w:cs="Calibri"/>
          <w:b/>
          <w:bCs/>
        </w:rPr>
        <w:t xml:space="preserve"> (v Kč)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146"/>
        <w:gridCol w:w="1094"/>
        <w:gridCol w:w="1304"/>
        <w:gridCol w:w="1474"/>
        <w:gridCol w:w="1474"/>
      </w:tblGrid>
      <w:tr w:rsidR="00D06347" w:rsidRPr="00BD6D60" w14:paraId="77984547" w14:textId="77777777" w:rsidTr="004E6964">
        <w:trPr>
          <w:trHeight w:val="255"/>
          <w:jc w:val="center"/>
        </w:trPr>
        <w:tc>
          <w:tcPr>
            <w:tcW w:w="3756" w:type="dxa"/>
            <w:gridSpan w:val="2"/>
            <w:vMerge w:val="restart"/>
            <w:shd w:val="clear" w:color="auto" w:fill="E5F1FF"/>
            <w:vAlign w:val="center"/>
          </w:tcPr>
          <w:p w14:paraId="341FD85B" w14:textId="77777777" w:rsidR="00D06347" w:rsidRPr="00BD6D60" w:rsidRDefault="00D06347" w:rsidP="00BD6D60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Aktiva</w:t>
            </w:r>
          </w:p>
        </w:tc>
        <w:tc>
          <w:tcPr>
            <w:tcW w:w="5244" w:type="dxa"/>
            <w:gridSpan w:val="4"/>
            <w:shd w:val="clear" w:color="auto" w:fill="E5F1FF"/>
            <w:tcMar>
              <w:left w:w="70" w:type="dxa"/>
              <w:right w:w="70" w:type="dxa"/>
            </w:tcMar>
            <w:vAlign w:val="center"/>
          </w:tcPr>
          <w:p w14:paraId="44BBE6F6" w14:textId="77777777" w:rsidR="00D06347" w:rsidRDefault="00D06347" w:rsidP="00BD6D60">
            <w:pPr>
              <w:spacing w:before="0"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Netto hodnoty</w:t>
            </w:r>
          </w:p>
        </w:tc>
      </w:tr>
      <w:tr w:rsidR="00D06347" w:rsidRPr="00BD6D60" w14:paraId="442B71F2" w14:textId="77777777" w:rsidTr="004E6964">
        <w:trPr>
          <w:trHeight w:val="255"/>
          <w:jc w:val="center"/>
        </w:trPr>
        <w:tc>
          <w:tcPr>
            <w:tcW w:w="3756" w:type="dxa"/>
            <w:gridSpan w:val="2"/>
            <w:vMerge/>
            <w:shd w:val="clear" w:color="auto" w:fill="E5F1FF"/>
            <w:vAlign w:val="center"/>
          </w:tcPr>
          <w:p w14:paraId="27A6B3CC" w14:textId="77777777" w:rsidR="00D06347" w:rsidRPr="00BD6D60" w:rsidRDefault="00D06347" w:rsidP="00BD6D60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F1FF"/>
            <w:tcMar>
              <w:left w:w="70" w:type="dxa"/>
              <w:right w:w="70" w:type="dxa"/>
            </w:tcMar>
            <w:vAlign w:val="center"/>
          </w:tcPr>
          <w:p w14:paraId="414C6E74" w14:textId="77777777" w:rsidR="00D06347" w:rsidRPr="00BD6D60" w:rsidRDefault="00D06347" w:rsidP="00BD6D60">
            <w:pPr>
              <w:spacing w:before="0"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k</w:t>
            </w:r>
            <w:r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BD6D60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31.12.2019</w:t>
            </w:r>
          </w:p>
        </w:tc>
        <w:tc>
          <w:tcPr>
            <w:tcW w:w="1304" w:type="dxa"/>
            <w:shd w:val="clear" w:color="auto" w:fill="E5F1FF"/>
            <w:tcMar>
              <w:left w:w="70" w:type="dxa"/>
              <w:right w:w="70" w:type="dxa"/>
            </w:tcMar>
            <w:vAlign w:val="center"/>
          </w:tcPr>
          <w:p w14:paraId="2C362DB6" w14:textId="77777777" w:rsidR="00D06347" w:rsidRPr="00BD6D60" w:rsidRDefault="00D06347" w:rsidP="00BD6D60">
            <w:pPr>
              <w:spacing w:before="0"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k</w:t>
            </w:r>
            <w:r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BD6D60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31.12.2020</w:t>
            </w:r>
          </w:p>
        </w:tc>
        <w:tc>
          <w:tcPr>
            <w:tcW w:w="1474" w:type="dxa"/>
            <w:shd w:val="clear" w:color="auto" w:fill="E5F1FF"/>
            <w:tcMar>
              <w:left w:w="70" w:type="dxa"/>
              <w:right w:w="70" w:type="dxa"/>
            </w:tcMar>
            <w:vAlign w:val="center"/>
          </w:tcPr>
          <w:p w14:paraId="3584633A" w14:textId="77777777" w:rsidR="00D06347" w:rsidRPr="00BD6D60" w:rsidRDefault="00D06347" w:rsidP="00BD6D60">
            <w:pPr>
              <w:spacing w:before="0"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k</w:t>
            </w:r>
            <w:r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BD6D60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31.12.2021</w:t>
            </w:r>
          </w:p>
        </w:tc>
        <w:tc>
          <w:tcPr>
            <w:tcW w:w="1474" w:type="dxa"/>
            <w:shd w:val="clear" w:color="auto" w:fill="E5F1FF"/>
            <w:tcMar>
              <w:left w:w="70" w:type="dxa"/>
              <w:right w:w="70" w:type="dxa"/>
            </w:tcMar>
            <w:vAlign w:val="center"/>
          </w:tcPr>
          <w:p w14:paraId="32DF862E" w14:textId="77777777" w:rsidR="00D06347" w:rsidRPr="00BD6D60" w:rsidRDefault="00D06347" w:rsidP="00BD6D60">
            <w:pPr>
              <w:spacing w:before="0"/>
              <w:jc w:val="center"/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k </w:t>
            </w:r>
            <w:r w:rsidRPr="00BD6D60">
              <w:rPr>
                <w:rFonts w:eastAsia="Calibri"/>
                <w:b/>
                <w:bCs/>
                <w:color w:val="000000" w:themeColor="text1"/>
                <w:sz w:val="18"/>
                <w:szCs w:val="18"/>
              </w:rPr>
              <w:t>31.12.2022</w:t>
            </w:r>
          </w:p>
        </w:tc>
      </w:tr>
      <w:tr w:rsidR="009E1E62" w:rsidRPr="00BD6D60" w14:paraId="4FE83A6F" w14:textId="77777777" w:rsidTr="004E6964">
        <w:trPr>
          <w:trHeight w:val="255"/>
          <w:jc w:val="center"/>
        </w:trPr>
        <w:tc>
          <w:tcPr>
            <w:tcW w:w="61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BF2595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11A8B6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Aktiva celkem</w:t>
            </w: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8210F5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3 652 221,00</w:t>
            </w:r>
          </w:p>
        </w:tc>
        <w:tc>
          <w:tcPr>
            <w:tcW w:w="130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D13B61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145 089 426,91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DFD0CE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6 028 550 206,54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5A3D22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6 780 019 907,31</w:t>
            </w:r>
          </w:p>
        </w:tc>
      </w:tr>
      <w:tr w:rsidR="009E1E62" w:rsidRPr="00BD6D60" w14:paraId="3E67345C" w14:textId="77777777" w:rsidTr="004E6964">
        <w:trPr>
          <w:trHeight w:val="255"/>
          <w:jc w:val="center"/>
        </w:trPr>
        <w:tc>
          <w:tcPr>
            <w:tcW w:w="61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B16A28C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A.</w:t>
            </w:r>
          </w:p>
        </w:tc>
        <w:tc>
          <w:tcPr>
            <w:tcW w:w="31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E668FC1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Stálá aktiva</w:t>
            </w: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FA5B01C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2 710 215,00</w:t>
            </w:r>
          </w:p>
        </w:tc>
        <w:tc>
          <w:tcPr>
            <w:tcW w:w="130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2620993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4 979 546,43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616195B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28 029 677,08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8D78071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1 333 719 409,31</w:t>
            </w:r>
          </w:p>
        </w:tc>
      </w:tr>
      <w:tr w:rsidR="009E1E62" w:rsidRPr="00BD6D60" w14:paraId="6569B903" w14:textId="77777777" w:rsidTr="004E6964">
        <w:trPr>
          <w:trHeight w:val="255"/>
          <w:jc w:val="center"/>
        </w:trPr>
        <w:tc>
          <w:tcPr>
            <w:tcW w:w="61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85087F0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A.I.</w:t>
            </w:r>
          </w:p>
        </w:tc>
        <w:tc>
          <w:tcPr>
            <w:tcW w:w="31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47BC5D9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Dlouhodobý nehmotný majetek</w:t>
            </w: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B61F07E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75409BB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1 801 790,00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E0643CA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2 563 742,48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1639C24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1 595 009,48</w:t>
            </w:r>
          </w:p>
        </w:tc>
      </w:tr>
      <w:tr w:rsidR="009E1E62" w:rsidRPr="00BD6D60" w14:paraId="71F51594" w14:textId="77777777" w:rsidTr="004E6964">
        <w:trPr>
          <w:trHeight w:val="255"/>
          <w:jc w:val="center"/>
        </w:trPr>
        <w:tc>
          <w:tcPr>
            <w:tcW w:w="61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EBA12D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A.I.2.</w:t>
            </w:r>
          </w:p>
        </w:tc>
        <w:tc>
          <w:tcPr>
            <w:tcW w:w="31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930EAC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Software</w:t>
            </w: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1A68F5D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DD6A314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3AE3E5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2 563 742,48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45B9C9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1 516 964,48</w:t>
            </w:r>
          </w:p>
        </w:tc>
      </w:tr>
      <w:tr w:rsidR="009E1E62" w:rsidRPr="00BD6D60" w14:paraId="17297F2F" w14:textId="77777777" w:rsidTr="004E6964">
        <w:trPr>
          <w:trHeight w:val="255"/>
          <w:jc w:val="center"/>
        </w:trPr>
        <w:tc>
          <w:tcPr>
            <w:tcW w:w="61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249CC7E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A.II.</w:t>
            </w:r>
          </w:p>
        </w:tc>
        <w:tc>
          <w:tcPr>
            <w:tcW w:w="31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436F62F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Dlouhodobý hmotný majetek</w:t>
            </w: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B8F3EF2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2 710 215,00</w:t>
            </w:r>
          </w:p>
        </w:tc>
        <w:tc>
          <w:tcPr>
            <w:tcW w:w="130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16E8389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3 177 756,43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7B8EC65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6 640 184,10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51BF6C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5 492 285,20</w:t>
            </w:r>
          </w:p>
        </w:tc>
      </w:tr>
      <w:tr w:rsidR="009E1E62" w:rsidRPr="00BD6D60" w14:paraId="5B42F7DE" w14:textId="77777777" w:rsidTr="004E6964">
        <w:trPr>
          <w:trHeight w:val="255"/>
          <w:jc w:val="center"/>
        </w:trPr>
        <w:tc>
          <w:tcPr>
            <w:tcW w:w="61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E00E5BF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A.II.1.</w:t>
            </w:r>
          </w:p>
        </w:tc>
        <w:tc>
          <w:tcPr>
            <w:tcW w:w="31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37AA8A6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Pozemky</w:t>
            </w: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3A4E775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85056C9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D1E2A59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1 808 574,50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4B5D30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1 808 574,50</w:t>
            </w:r>
          </w:p>
        </w:tc>
      </w:tr>
      <w:tr w:rsidR="009E1E62" w:rsidRPr="00BD6D60" w14:paraId="34ACDB04" w14:textId="77777777" w:rsidTr="004E6964">
        <w:trPr>
          <w:trHeight w:val="255"/>
          <w:jc w:val="center"/>
        </w:trPr>
        <w:tc>
          <w:tcPr>
            <w:tcW w:w="61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32BDC30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A.II.4.</w:t>
            </w:r>
          </w:p>
        </w:tc>
        <w:tc>
          <w:tcPr>
            <w:tcW w:w="31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4AADD6D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Samostatné hmotné movité věci a</w:t>
            </w:r>
            <w:r w:rsidR="00D06347">
              <w:rPr>
                <w:rFonts w:eastAsia="Calibri"/>
                <w:color w:val="000000" w:themeColor="text1"/>
                <w:sz w:val="18"/>
                <w:szCs w:val="18"/>
              </w:rPr>
              <w:t> </w:t>
            </w: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soubory hmotných movitých věcí</w:t>
            </w: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9FD7D16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2 710 215,00</w:t>
            </w:r>
          </w:p>
        </w:tc>
        <w:tc>
          <w:tcPr>
            <w:tcW w:w="130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CB46A58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3 177 756,43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0607209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4 380 302,59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03825C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3 683 710,70</w:t>
            </w:r>
          </w:p>
        </w:tc>
      </w:tr>
      <w:tr w:rsidR="009E1E62" w:rsidRPr="00BD6D60" w14:paraId="150FBD49" w14:textId="77777777" w:rsidTr="004E6964">
        <w:trPr>
          <w:trHeight w:val="255"/>
          <w:jc w:val="center"/>
        </w:trPr>
        <w:tc>
          <w:tcPr>
            <w:tcW w:w="61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65AE8E4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31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8A554C2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Oběžná aktiva</w:t>
            </w: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9B17FD4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942 006,00</w:t>
            </w:r>
          </w:p>
        </w:tc>
        <w:tc>
          <w:tcPr>
            <w:tcW w:w="130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981AA53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140 109 880,48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7E7028D6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6 000 520 529,46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FDB8F28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5 446 300 498,00</w:t>
            </w:r>
          </w:p>
        </w:tc>
      </w:tr>
      <w:tr w:rsidR="009E1E62" w:rsidRPr="00BD6D60" w14:paraId="3AFB2FA8" w14:textId="77777777" w:rsidTr="004E6964">
        <w:trPr>
          <w:trHeight w:val="255"/>
          <w:jc w:val="center"/>
        </w:trPr>
        <w:tc>
          <w:tcPr>
            <w:tcW w:w="61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7DD6580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B.II.</w:t>
            </w:r>
          </w:p>
        </w:tc>
        <w:tc>
          <w:tcPr>
            <w:tcW w:w="31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38B9A05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Krátkodobé pohledávky</w:t>
            </w: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3DA08656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30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24E66E2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136 343 383,04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24CDDD8C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5 993 570 178,36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08B8F77D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5 441 781 500,98</w:t>
            </w:r>
          </w:p>
        </w:tc>
      </w:tr>
      <w:tr w:rsidR="009E1E62" w:rsidRPr="00BD6D60" w14:paraId="15FAFD50" w14:textId="77777777" w:rsidTr="004E6964">
        <w:trPr>
          <w:trHeight w:val="255"/>
          <w:jc w:val="center"/>
        </w:trPr>
        <w:tc>
          <w:tcPr>
            <w:tcW w:w="610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160112E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B.III.</w:t>
            </w:r>
          </w:p>
        </w:tc>
        <w:tc>
          <w:tcPr>
            <w:tcW w:w="3146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D7FE0AF" w14:textId="77777777" w:rsidR="009E1E62" w:rsidRPr="00BD6D60" w:rsidRDefault="009E1E62" w:rsidP="00BD6D60">
            <w:pPr>
              <w:spacing w:before="0"/>
              <w:jc w:val="lef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Krátkodobý finanční majetek</w:t>
            </w:r>
          </w:p>
        </w:tc>
        <w:tc>
          <w:tcPr>
            <w:tcW w:w="992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5DDB84A5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942 006,00</w:t>
            </w:r>
          </w:p>
        </w:tc>
        <w:tc>
          <w:tcPr>
            <w:tcW w:w="130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97C9D82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3 766 497,44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CB36FD3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6 950 351,10</w:t>
            </w:r>
          </w:p>
        </w:tc>
        <w:tc>
          <w:tcPr>
            <w:tcW w:w="1474" w:type="dxa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1AD5C533" w14:textId="77777777" w:rsidR="009E1E62" w:rsidRPr="00BD6D60" w:rsidRDefault="009E1E62" w:rsidP="00BD6D60">
            <w:pPr>
              <w:spacing w:before="0"/>
              <w:ind w:left="-57" w:right="57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D6D60">
              <w:rPr>
                <w:rFonts w:eastAsia="Calibri"/>
                <w:color w:val="000000" w:themeColor="text1"/>
                <w:sz w:val="18"/>
                <w:szCs w:val="18"/>
              </w:rPr>
              <w:t>4 518 997,02</w:t>
            </w:r>
          </w:p>
        </w:tc>
      </w:tr>
    </w:tbl>
    <w:p w14:paraId="58D499FD" w14:textId="2B8B2E11" w:rsidR="009E1E62" w:rsidRDefault="009E1E62" w:rsidP="002F1021">
      <w:pPr>
        <w:spacing w:before="40" w:after="120"/>
        <w:rPr>
          <w:rFonts w:eastAsia="Calibri"/>
          <w:sz w:val="19"/>
          <w:szCs w:val="19"/>
        </w:rPr>
      </w:pPr>
      <w:r w:rsidRPr="00F36534">
        <w:rPr>
          <w:rFonts w:eastAsia="Calibri"/>
          <w:b/>
          <w:sz w:val="19"/>
          <w:szCs w:val="19"/>
        </w:rPr>
        <w:t>Zdroj:</w:t>
      </w:r>
      <w:r w:rsidRPr="6524B888">
        <w:rPr>
          <w:rFonts w:eastAsia="Calibri"/>
          <w:sz w:val="19"/>
          <w:szCs w:val="19"/>
        </w:rPr>
        <w:t xml:space="preserve"> </w:t>
      </w:r>
      <w:r w:rsidR="009331B8">
        <w:rPr>
          <w:rFonts w:eastAsia="Calibri"/>
          <w:sz w:val="19"/>
          <w:szCs w:val="19"/>
        </w:rPr>
        <w:t>r</w:t>
      </w:r>
      <w:r w:rsidRPr="6524B888">
        <w:rPr>
          <w:rFonts w:eastAsia="Calibri"/>
          <w:sz w:val="19"/>
          <w:szCs w:val="19"/>
        </w:rPr>
        <w:t>ozvahy NSA za roky 2019, 2020, 2021 a 2022</w:t>
      </w:r>
      <w:r>
        <w:rPr>
          <w:rFonts w:eastAsia="Calibri"/>
          <w:sz w:val="19"/>
          <w:szCs w:val="19"/>
        </w:rPr>
        <w:t>.</w:t>
      </w:r>
    </w:p>
    <w:p w14:paraId="6F245407" w14:textId="77777777" w:rsidR="009E1E62" w:rsidRDefault="009E1E62" w:rsidP="002F1021">
      <w:pPr>
        <w:spacing w:before="0" w:after="120"/>
      </w:pPr>
      <w:r w:rsidRPr="6524B888">
        <w:rPr>
          <w:rFonts w:eastAsia="Calibri"/>
        </w:rPr>
        <w:t>Celková výše nákladů z hlavní činnosti za rok 2022 činila 7 mld. Kč, což bylo o 6,</w:t>
      </w:r>
      <w:r w:rsidR="00F203A6">
        <w:rPr>
          <w:rFonts w:eastAsia="Calibri"/>
        </w:rPr>
        <w:t>8</w:t>
      </w:r>
      <w:r w:rsidRPr="6524B888">
        <w:rPr>
          <w:rFonts w:eastAsia="Calibri"/>
        </w:rPr>
        <w:t xml:space="preserve"> mld. Kč více než v roce 2020. Uvedená změna byla způsobena poskytováním dotací příjemcům a</w:t>
      </w:r>
      <w:r w:rsidR="002A03F3">
        <w:rPr>
          <w:rFonts w:eastAsia="Calibri"/>
        </w:rPr>
        <w:t> </w:t>
      </w:r>
      <w:r w:rsidRPr="6524B888">
        <w:rPr>
          <w:rFonts w:eastAsia="Calibri"/>
        </w:rPr>
        <w:t>promítnutím v navýšení nákladů na transfery.</w:t>
      </w:r>
      <w:r>
        <w:t xml:space="preserve"> </w:t>
      </w:r>
    </w:p>
    <w:p w14:paraId="5FB87791" w14:textId="15731A38" w:rsidR="009E1E62" w:rsidRDefault="009E1E62" w:rsidP="002F1021">
      <w:pPr>
        <w:spacing w:before="0" w:after="120"/>
      </w:pPr>
      <w:r w:rsidRPr="6524B888">
        <w:rPr>
          <w:rFonts w:eastAsia="Calibri"/>
        </w:rPr>
        <w:t>V kontrolovaném období NSA nerealizoval</w:t>
      </w:r>
      <w:r w:rsidR="00B51DF1">
        <w:rPr>
          <w:rFonts w:eastAsia="Calibri"/>
        </w:rPr>
        <w:t>a</w:t>
      </w:r>
      <w:r w:rsidRPr="6524B888">
        <w:rPr>
          <w:rFonts w:eastAsia="Calibri"/>
        </w:rPr>
        <w:t xml:space="preserve"> hospodářskou činnost.</w:t>
      </w:r>
    </w:p>
    <w:p w14:paraId="42CFEC96" w14:textId="7BC19A3A" w:rsidR="009E1E62" w:rsidRDefault="009E1E62" w:rsidP="002F1021">
      <w:pPr>
        <w:pStyle w:val="paragraph"/>
        <w:spacing w:before="120" w:beforeAutospacing="0" w:after="40" w:afterAutospacing="0"/>
        <w:jc w:val="both"/>
        <w:rPr>
          <w:rStyle w:val="normaltextrun"/>
          <w:rFonts w:ascii="Calibri" w:hAnsi="Calibri" w:cs="Calibri"/>
          <w:b/>
          <w:bCs/>
        </w:rPr>
      </w:pPr>
      <w:r w:rsidRPr="6524B888">
        <w:rPr>
          <w:rStyle w:val="normaltextrun"/>
          <w:rFonts w:ascii="Calibri" w:hAnsi="Calibri" w:cs="Calibri"/>
          <w:b/>
          <w:bCs/>
        </w:rPr>
        <w:t xml:space="preserve">Tabulka č. </w:t>
      </w:r>
      <w:r w:rsidR="00455C05">
        <w:rPr>
          <w:rStyle w:val="normaltextrun"/>
          <w:rFonts w:ascii="Calibri" w:hAnsi="Calibri" w:cs="Calibri"/>
          <w:b/>
          <w:bCs/>
        </w:rPr>
        <w:t>2</w:t>
      </w:r>
      <w:r w:rsidR="009331B8">
        <w:rPr>
          <w:rStyle w:val="normaltextrun"/>
          <w:rFonts w:ascii="Calibri" w:hAnsi="Calibri" w:cs="Calibri"/>
          <w:b/>
          <w:bCs/>
        </w:rPr>
        <w:t>:</w:t>
      </w:r>
      <w:r w:rsidRPr="6524B888">
        <w:rPr>
          <w:rStyle w:val="normaltextrun"/>
          <w:rFonts w:ascii="Calibri" w:hAnsi="Calibri" w:cs="Calibri"/>
          <w:b/>
          <w:bCs/>
        </w:rPr>
        <w:t xml:space="preserve"> Vybrané položky výkazu zisku a ztráty Národní sportovní agentury (v Kč)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665"/>
        <w:gridCol w:w="1214"/>
        <w:gridCol w:w="1436"/>
        <w:gridCol w:w="1584"/>
        <w:gridCol w:w="1540"/>
      </w:tblGrid>
      <w:tr w:rsidR="004E6964" w:rsidRPr="00D06347" w14:paraId="15C0C812" w14:textId="77777777" w:rsidTr="004E6964">
        <w:trPr>
          <w:trHeight w:val="255"/>
          <w:jc w:val="center"/>
        </w:trPr>
        <w:tc>
          <w:tcPr>
            <w:tcW w:w="3345" w:type="dxa"/>
            <w:gridSpan w:val="2"/>
            <w:shd w:val="clear" w:color="auto" w:fill="E5F1FF"/>
            <w:tcMar>
              <w:left w:w="60" w:type="dxa"/>
              <w:right w:w="60" w:type="dxa"/>
            </w:tcMar>
            <w:vAlign w:val="center"/>
          </w:tcPr>
          <w:p w14:paraId="3DB41A72" w14:textId="77777777" w:rsidR="004E6964" w:rsidRPr="00D06347" w:rsidRDefault="004E6964" w:rsidP="004E6964">
            <w:pPr>
              <w:spacing w:befor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 xml:space="preserve">Vybrané náklady </w:t>
            </w:r>
          </w:p>
        </w:tc>
        <w:tc>
          <w:tcPr>
            <w:tcW w:w="1214" w:type="dxa"/>
            <w:shd w:val="clear" w:color="auto" w:fill="E5F1FF"/>
            <w:tcMar>
              <w:left w:w="60" w:type="dxa"/>
              <w:right w:w="60" w:type="dxa"/>
            </w:tcMar>
            <w:vAlign w:val="center"/>
          </w:tcPr>
          <w:p w14:paraId="41676D18" w14:textId="77777777" w:rsidR="004E6964" w:rsidRPr="00D06347" w:rsidRDefault="004E6964" w:rsidP="004E6964">
            <w:pPr>
              <w:spacing w:befor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1436" w:type="dxa"/>
            <w:shd w:val="clear" w:color="auto" w:fill="E5F1FF"/>
            <w:tcMar>
              <w:left w:w="60" w:type="dxa"/>
              <w:right w:w="60" w:type="dxa"/>
            </w:tcMar>
            <w:vAlign w:val="center"/>
          </w:tcPr>
          <w:p w14:paraId="37D0F7DA" w14:textId="77777777" w:rsidR="004E6964" w:rsidRPr="00D06347" w:rsidRDefault="004E6964" w:rsidP="004E6964">
            <w:pPr>
              <w:spacing w:befor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1584" w:type="dxa"/>
            <w:shd w:val="clear" w:color="auto" w:fill="E5F1FF"/>
            <w:tcMar>
              <w:left w:w="60" w:type="dxa"/>
              <w:right w:w="60" w:type="dxa"/>
            </w:tcMar>
            <w:vAlign w:val="center"/>
          </w:tcPr>
          <w:p w14:paraId="66C140A2" w14:textId="77777777" w:rsidR="004E6964" w:rsidRPr="00D06347" w:rsidRDefault="004E6964" w:rsidP="004E6964">
            <w:pPr>
              <w:spacing w:befor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540" w:type="dxa"/>
            <w:shd w:val="clear" w:color="auto" w:fill="E5F1FF"/>
            <w:tcMar>
              <w:left w:w="60" w:type="dxa"/>
              <w:right w:w="60" w:type="dxa"/>
            </w:tcMar>
            <w:vAlign w:val="center"/>
          </w:tcPr>
          <w:p w14:paraId="1ED969E9" w14:textId="77777777" w:rsidR="004E6964" w:rsidRPr="00D06347" w:rsidRDefault="004E6964" w:rsidP="004E6964">
            <w:pPr>
              <w:spacing w:before="0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9E1E62" w:rsidRPr="00D06347" w14:paraId="6DC7D5C4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1FC80566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5783EFFF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 xml:space="preserve">Náklady celkem 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center"/>
          </w:tcPr>
          <w:p w14:paraId="7B9AF096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5 355 989,11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020C9A5D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215 856 286,73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388A9C9B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6 142 926 280,22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38A6B057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7 035 385 621,28</w:t>
            </w:r>
          </w:p>
        </w:tc>
      </w:tr>
      <w:tr w:rsidR="009E1E62" w:rsidRPr="00D06347" w14:paraId="5FE0E747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2660AA14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A.I.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65698E11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Náklady z činnosti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center"/>
          </w:tcPr>
          <w:p w14:paraId="1D7C02FC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5 355 989,11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398B4B19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60 603 455,13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2FCCD7D9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112 942 326,52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60816A89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87 975 525,18</w:t>
            </w:r>
          </w:p>
        </w:tc>
      </w:tr>
      <w:tr w:rsidR="009E1E62" w:rsidRPr="00D06347" w14:paraId="45A01696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52158302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A.I.1.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1E4FB301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Spotřeba materiálu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center"/>
          </w:tcPr>
          <w:p w14:paraId="7292E794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107 299,46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08CB1E24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1 393 163,23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73500AD7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1 158 813,98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60BCCA0C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850 211,14</w:t>
            </w:r>
          </w:p>
        </w:tc>
      </w:tr>
      <w:tr w:rsidR="009E1E62" w:rsidRPr="00D06347" w14:paraId="02DA47D4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298F455F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A.I.2.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78650EEC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Spotřeba energie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center"/>
          </w:tcPr>
          <w:p w14:paraId="57FA6387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19 664,20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3BC90C2F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252 573,54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2AE52E42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240 994,02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352C62E2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487 781,34</w:t>
            </w:r>
          </w:p>
        </w:tc>
      </w:tr>
      <w:tr w:rsidR="009E1E62" w:rsidRPr="00D06347" w14:paraId="18C84240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0B024DAF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A.I.8.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726AF8DB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Opravy a udržování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center"/>
          </w:tcPr>
          <w:p w14:paraId="0CD9E8EE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1EC9B513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44 193,90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3B345FBC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54 521,00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63499439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216 504,18</w:t>
            </w:r>
          </w:p>
        </w:tc>
      </w:tr>
      <w:tr w:rsidR="009E1E62" w:rsidRPr="00D06347" w14:paraId="6ADF6583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55A2482C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A.I.9.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4DB79F4B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Cestovné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center"/>
          </w:tcPr>
          <w:p w14:paraId="1866DBE3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241 229,00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3D0E4C90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458 281,12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689BF385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181 315,73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41DA32E5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1 516 089,48</w:t>
            </w:r>
          </w:p>
        </w:tc>
      </w:tr>
      <w:tr w:rsidR="009E1E62" w:rsidRPr="00D06347" w14:paraId="6E5D605C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17464921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A.I.10.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7E70383F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Náklady na reprezentaci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center"/>
          </w:tcPr>
          <w:p w14:paraId="322AD11C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9 267,00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2FA4DB57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446 741,85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627F6CF9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232 855,15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4D847A87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1 722 473,03</w:t>
            </w:r>
          </w:p>
        </w:tc>
      </w:tr>
      <w:tr w:rsidR="009E1E62" w:rsidRPr="00D06347" w14:paraId="236BDA8B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0F46A907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A.I.12.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24CF31E9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Ostatní služby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center"/>
          </w:tcPr>
          <w:p w14:paraId="3BBA6C3F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320 532,47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79D773FE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15 722 685,54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5989BF93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20 484 635,50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14873E40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23 984 032,79</w:t>
            </w:r>
          </w:p>
        </w:tc>
      </w:tr>
      <w:tr w:rsidR="009E1E62" w:rsidRPr="00D06347" w14:paraId="17372F98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7BABD04C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A.I.13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0962F098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Mzdové náklady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center"/>
          </w:tcPr>
          <w:p w14:paraId="33B4A9CC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2 319 886,00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34E2C1E4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26 462 513,00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7A3505F1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35 094 820,00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5F31DEA4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35 712 405,00</w:t>
            </w:r>
          </w:p>
        </w:tc>
      </w:tr>
      <w:tr w:rsidR="009E1E62" w:rsidRPr="00D06347" w14:paraId="57F8C545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3B2990EB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A.I.14.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44A951C6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Zákonné sociální pojištění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center"/>
          </w:tcPr>
          <w:p w14:paraId="2EB300EE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754 061,00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243788CC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8 388 898,00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0187C7E4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11 443 624,99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510C17C5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11 680 706,00</w:t>
            </w:r>
          </w:p>
        </w:tc>
      </w:tr>
      <w:tr w:rsidR="009E1E62" w:rsidRPr="00D06347" w14:paraId="48C63F2D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7DB4D229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A.I.16.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1CEF76E4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Zákonné sociální náklady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center"/>
          </w:tcPr>
          <w:p w14:paraId="29B0D661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23 803,00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001D2102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753 317,44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7887EE10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1 394 682,08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11C4DFB1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1 534 193,61</w:t>
            </w:r>
          </w:p>
        </w:tc>
      </w:tr>
      <w:tr w:rsidR="009E1E62" w:rsidRPr="00D06347" w14:paraId="2A0B07A4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78726BD3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A.I.23.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589F6C9F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Jiné pokuty a penále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center"/>
          </w:tcPr>
          <w:p w14:paraId="7716EA0C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451DC9D7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22D52422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1 135 930,00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65D7FCD3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838 802,82</w:t>
            </w:r>
          </w:p>
        </w:tc>
      </w:tr>
      <w:tr w:rsidR="009E1E62" w:rsidRPr="00D06347" w14:paraId="70CCCC82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0430E204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A.I.28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625B7936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Odpisy dlouhodobého majetku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center"/>
          </w:tcPr>
          <w:p w14:paraId="6A45EA93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17450111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2 473 010,00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4D469FB9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1 418 713,00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296A5F0A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2 339 768,00</w:t>
            </w:r>
          </w:p>
        </w:tc>
      </w:tr>
      <w:tr w:rsidR="009E1E62" w:rsidRPr="00D06347" w14:paraId="4B43D3FC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7BCE9B2C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A.I.35.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4023E23E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Náklady z drobného dlouhodobého majetku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center"/>
          </w:tcPr>
          <w:p w14:paraId="3BAB36B8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1 555 746,98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325F14A6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2 084 663,43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04A7FC0D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1 222 435,41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3B7D26BC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578 432,53</w:t>
            </w:r>
          </w:p>
        </w:tc>
      </w:tr>
      <w:tr w:rsidR="009E1E62" w:rsidRPr="00D06347" w14:paraId="0B58076F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042854A6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A.I.36.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1A441F93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Ostatní náklady z činnosti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center"/>
          </w:tcPr>
          <w:p w14:paraId="427C17E1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2DACE589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2 123 414,08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5CEE8798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38 873 554,10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45D4AF5B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4 020 135,84</w:t>
            </w:r>
          </w:p>
        </w:tc>
      </w:tr>
      <w:tr w:rsidR="009E1E62" w:rsidRPr="00D06347" w14:paraId="1F72712B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4B21EAD7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A.III.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6F3B18D0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Náklady na transfery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bottom"/>
          </w:tcPr>
          <w:p w14:paraId="4933D42E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645FC2D9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155 252 831,60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48C2EC61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6 029 983 332,82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78F30E24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6 947 218 646,68</w:t>
            </w:r>
          </w:p>
        </w:tc>
      </w:tr>
      <w:tr w:rsidR="009E1E62" w:rsidRPr="00D06347" w14:paraId="591B51D7" w14:textId="77777777" w:rsidTr="004E6964">
        <w:trPr>
          <w:trHeight w:val="255"/>
          <w:jc w:val="center"/>
        </w:trPr>
        <w:tc>
          <w:tcPr>
            <w:tcW w:w="680" w:type="dxa"/>
            <w:tcMar>
              <w:left w:w="60" w:type="dxa"/>
              <w:right w:w="60" w:type="dxa"/>
            </w:tcMar>
            <w:vAlign w:val="center"/>
          </w:tcPr>
          <w:p w14:paraId="046C3C4B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A.III.1.</w:t>
            </w:r>
          </w:p>
        </w:tc>
        <w:tc>
          <w:tcPr>
            <w:tcW w:w="2665" w:type="dxa"/>
            <w:tcMar>
              <w:left w:w="60" w:type="dxa"/>
              <w:right w:w="60" w:type="dxa"/>
            </w:tcMar>
            <w:vAlign w:val="center"/>
          </w:tcPr>
          <w:p w14:paraId="4751A92A" w14:textId="77777777" w:rsidR="009E1E62" w:rsidRPr="00D06347" w:rsidRDefault="009E1E62" w:rsidP="004E6964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Náklady vybraných ústředních vládních institucí na transfery</w:t>
            </w:r>
          </w:p>
        </w:tc>
        <w:tc>
          <w:tcPr>
            <w:tcW w:w="1214" w:type="dxa"/>
            <w:tcMar>
              <w:left w:w="60" w:type="dxa"/>
              <w:right w:w="60" w:type="dxa"/>
            </w:tcMar>
            <w:vAlign w:val="center"/>
          </w:tcPr>
          <w:p w14:paraId="22D398A3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36" w:type="dxa"/>
            <w:tcMar>
              <w:left w:w="60" w:type="dxa"/>
              <w:right w:w="60" w:type="dxa"/>
            </w:tcMar>
            <w:vAlign w:val="center"/>
          </w:tcPr>
          <w:p w14:paraId="2A9359AB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155 252 831,60</w:t>
            </w:r>
          </w:p>
        </w:tc>
        <w:tc>
          <w:tcPr>
            <w:tcW w:w="1584" w:type="dxa"/>
            <w:tcMar>
              <w:left w:w="60" w:type="dxa"/>
              <w:right w:w="60" w:type="dxa"/>
            </w:tcMar>
            <w:vAlign w:val="center"/>
          </w:tcPr>
          <w:p w14:paraId="71E3AE4A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6 029 983 332,82</w:t>
            </w:r>
          </w:p>
        </w:tc>
        <w:tc>
          <w:tcPr>
            <w:tcW w:w="1540" w:type="dxa"/>
            <w:tcMar>
              <w:left w:w="60" w:type="dxa"/>
              <w:right w:w="60" w:type="dxa"/>
            </w:tcMar>
            <w:vAlign w:val="center"/>
          </w:tcPr>
          <w:p w14:paraId="46A23D6D" w14:textId="77777777" w:rsidR="009E1E62" w:rsidRPr="00D06347" w:rsidRDefault="009E1E62" w:rsidP="00D06347">
            <w:pPr>
              <w:spacing w:before="0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D06347">
              <w:rPr>
                <w:rFonts w:eastAsia="Calibri"/>
                <w:color w:val="000000" w:themeColor="text1"/>
                <w:sz w:val="20"/>
                <w:szCs w:val="20"/>
              </w:rPr>
              <w:t>6 947 218 646,68</w:t>
            </w:r>
          </w:p>
        </w:tc>
      </w:tr>
    </w:tbl>
    <w:p w14:paraId="081F9DBE" w14:textId="4D4692A3" w:rsidR="009E1E62" w:rsidRDefault="009E1E62" w:rsidP="002F1021">
      <w:pPr>
        <w:spacing w:before="40"/>
      </w:pPr>
      <w:r w:rsidRPr="00F36534">
        <w:rPr>
          <w:rFonts w:eastAsia="Calibri"/>
          <w:b/>
          <w:sz w:val="19"/>
          <w:szCs w:val="19"/>
        </w:rPr>
        <w:t>Zdroj:</w:t>
      </w:r>
      <w:r w:rsidRPr="6524B888">
        <w:rPr>
          <w:rFonts w:eastAsia="Calibri"/>
          <w:sz w:val="19"/>
          <w:szCs w:val="19"/>
        </w:rPr>
        <w:t xml:space="preserve"> </w:t>
      </w:r>
      <w:r w:rsidR="009331B8">
        <w:rPr>
          <w:rFonts w:eastAsia="Calibri"/>
          <w:sz w:val="19"/>
          <w:szCs w:val="19"/>
        </w:rPr>
        <w:t>v</w:t>
      </w:r>
      <w:r w:rsidRPr="6524B888">
        <w:rPr>
          <w:rFonts w:eastAsia="Calibri"/>
          <w:sz w:val="19"/>
          <w:szCs w:val="19"/>
        </w:rPr>
        <w:t>ýkazy zisk</w:t>
      </w:r>
      <w:r w:rsidR="00F203A6">
        <w:rPr>
          <w:rFonts w:eastAsia="Calibri"/>
          <w:sz w:val="19"/>
          <w:szCs w:val="19"/>
        </w:rPr>
        <w:t>u</w:t>
      </w:r>
      <w:r w:rsidRPr="6524B888">
        <w:rPr>
          <w:rFonts w:eastAsia="Calibri"/>
          <w:sz w:val="19"/>
          <w:szCs w:val="19"/>
        </w:rPr>
        <w:t xml:space="preserve"> a ztráty NSA za roky 2019, 2020, 2021 a 202</w:t>
      </w:r>
      <w:r w:rsidR="008B04E4">
        <w:rPr>
          <w:rFonts w:eastAsia="Calibri"/>
          <w:sz w:val="19"/>
          <w:szCs w:val="19"/>
        </w:rPr>
        <w:t>2.</w:t>
      </w:r>
    </w:p>
    <w:p w14:paraId="3FF3466F" w14:textId="77777777" w:rsidR="00AA4DEA" w:rsidRDefault="00AA4DEA">
      <w:pPr>
        <w:suppressAutoHyphens w:val="0"/>
        <w:spacing w:before="120" w:line="276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br w:type="page"/>
      </w:r>
    </w:p>
    <w:p w14:paraId="72E1E3F1" w14:textId="77777777" w:rsidR="008B04E4" w:rsidRPr="002B1527" w:rsidRDefault="008B04E4" w:rsidP="0048062C">
      <w:pPr>
        <w:spacing w:before="0" w:after="120"/>
        <w:jc w:val="right"/>
        <w:rPr>
          <w:rFonts w:asciiTheme="minorHAnsi" w:hAnsiTheme="minorHAnsi" w:cstheme="minorBidi"/>
          <w:b/>
        </w:rPr>
      </w:pPr>
      <w:r w:rsidRPr="002B1527">
        <w:rPr>
          <w:rFonts w:asciiTheme="minorHAnsi" w:hAnsiTheme="minorHAnsi" w:cstheme="minorBidi"/>
          <w:b/>
        </w:rPr>
        <w:lastRenderedPageBreak/>
        <w:t xml:space="preserve">Příloha č. </w:t>
      </w:r>
      <w:r>
        <w:rPr>
          <w:rFonts w:asciiTheme="minorHAnsi" w:hAnsiTheme="minorHAnsi" w:cstheme="minorBidi"/>
          <w:b/>
        </w:rPr>
        <w:t>2</w:t>
      </w:r>
    </w:p>
    <w:p w14:paraId="5EF289AA" w14:textId="77777777" w:rsidR="008B04E4" w:rsidRPr="002B1527" w:rsidRDefault="008B04E4" w:rsidP="0048062C">
      <w:pPr>
        <w:spacing w:before="0" w:after="120"/>
        <w:jc w:val="center"/>
        <w:rPr>
          <w:rFonts w:asciiTheme="minorHAnsi" w:hAnsiTheme="minorHAnsi" w:cstheme="minorBidi"/>
          <w:b/>
        </w:rPr>
      </w:pPr>
      <w:r w:rsidRPr="002B1527">
        <w:rPr>
          <w:rFonts w:asciiTheme="minorHAnsi" w:hAnsiTheme="minorHAnsi" w:cstheme="minorBidi"/>
          <w:b/>
        </w:rPr>
        <w:t>Poskytování dotací</w:t>
      </w:r>
    </w:p>
    <w:p w14:paraId="19981501" w14:textId="77777777" w:rsidR="008B04E4" w:rsidRDefault="008B04E4" w:rsidP="0048062C">
      <w:pPr>
        <w:suppressAutoHyphens w:val="0"/>
        <w:spacing w:before="0" w:after="120"/>
        <w:rPr>
          <w:rFonts w:eastAsia="Calibri"/>
        </w:rPr>
      </w:pPr>
      <w:r w:rsidRPr="41B7BEC9">
        <w:rPr>
          <w:rFonts w:eastAsia="Calibri"/>
        </w:rPr>
        <w:t>Kontrolou NKÚ bylo zjišťováno, jak</w:t>
      </w:r>
      <w:r w:rsidR="00F203A6">
        <w:rPr>
          <w:rFonts w:eastAsia="Calibri"/>
        </w:rPr>
        <w:t>ý objem</w:t>
      </w:r>
      <w:r w:rsidRPr="41B7BEC9">
        <w:rPr>
          <w:rFonts w:eastAsia="Calibri"/>
        </w:rPr>
        <w:t xml:space="preserve"> peněžních prostředků ze státního rozpočtu </w:t>
      </w:r>
      <w:r w:rsidR="00F203A6">
        <w:rPr>
          <w:rFonts w:eastAsia="Calibri"/>
        </w:rPr>
        <w:t xml:space="preserve">byl </w:t>
      </w:r>
      <w:r w:rsidR="00F203A6" w:rsidRPr="41B7BEC9">
        <w:rPr>
          <w:rFonts w:eastAsia="Calibri"/>
        </w:rPr>
        <w:t>MŠMT</w:t>
      </w:r>
      <w:r w:rsidR="00F203A6">
        <w:rPr>
          <w:rFonts w:eastAsia="Calibri"/>
        </w:rPr>
        <w:t xml:space="preserve"> a</w:t>
      </w:r>
      <w:r w:rsidR="00F203A6" w:rsidRPr="41B7BEC9">
        <w:rPr>
          <w:rFonts w:eastAsia="Calibri"/>
        </w:rPr>
        <w:t xml:space="preserve"> </w:t>
      </w:r>
      <w:r w:rsidRPr="41B7BEC9">
        <w:rPr>
          <w:rFonts w:eastAsia="Calibri"/>
        </w:rPr>
        <w:t>NSA vynakládán do oblasti sportu ve vztahu k celkovému státnímu rozpočtu a také k</w:t>
      </w:r>
      <w:r w:rsidR="00296100">
        <w:rPr>
          <w:rFonts w:eastAsia="Calibri"/>
        </w:rPr>
        <w:t> </w:t>
      </w:r>
      <w:r w:rsidRPr="41B7BEC9">
        <w:rPr>
          <w:rFonts w:eastAsia="Calibri"/>
        </w:rPr>
        <w:t xml:space="preserve">výši </w:t>
      </w:r>
      <w:r>
        <w:rPr>
          <w:rFonts w:eastAsia="Calibri"/>
        </w:rPr>
        <w:t>hrubého domácího produktu (dále také „HDP“)</w:t>
      </w:r>
      <w:r w:rsidRPr="41B7BEC9">
        <w:rPr>
          <w:rFonts w:eastAsia="Calibri"/>
        </w:rPr>
        <w:t xml:space="preserve">. </w:t>
      </w:r>
    </w:p>
    <w:p w14:paraId="7A6A7D75" w14:textId="7AFBD128" w:rsidR="008B04E4" w:rsidRPr="002B1527" w:rsidRDefault="008B04E4" w:rsidP="002F1021">
      <w:pPr>
        <w:suppressAutoHyphens w:val="0"/>
        <w:spacing w:after="40"/>
        <w:rPr>
          <w:rFonts w:eastAsia="Calibri"/>
          <w:b/>
        </w:rPr>
      </w:pPr>
      <w:r w:rsidRPr="002B1527">
        <w:rPr>
          <w:rFonts w:eastAsia="Calibri"/>
          <w:b/>
        </w:rPr>
        <w:t>Výše dotací poskytnutých do oblasti sportu (v mil. Kč)</w:t>
      </w:r>
    </w:p>
    <w:tbl>
      <w:tblPr>
        <w:tblW w:w="921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964"/>
        <w:gridCol w:w="964"/>
        <w:gridCol w:w="964"/>
        <w:gridCol w:w="964"/>
      </w:tblGrid>
      <w:tr w:rsidR="00A45180" w14:paraId="2431D405" w14:textId="77777777" w:rsidTr="00296100">
        <w:trPr>
          <w:trHeight w:val="255"/>
          <w:jc w:val="center"/>
        </w:trPr>
        <w:tc>
          <w:tcPr>
            <w:tcW w:w="5357" w:type="dxa"/>
            <w:shd w:val="clear" w:color="auto" w:fill="E5F1FF"/>
            <w:tcMar>
              <w:left w:w="70" w:type="dxa"/>
              <w:right w:w="70" w:type="dxa"/>
            </w:tcMar>
            <w:vAlign w:val="center"/>
          </w:tcPr>
          <w:p w14:paraId="625BF740" w14:textId="77777777" w:rsidR="00A45180" w:rsidRDefault="00A45180" w:rsidP="0048062C">
            <w:pPr>
              <w:spacing w:before="0"/>
              <w:jc w:val="left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Ukazatel</w:t>
            </w:r>
          </w:p>
        </w:tc>
        <w:tc>
          <w:tcPr>
            <w:tcW w:w="964" w:type="dxa"/>
            <w:shd w:val="clear" w:color="auto" w:fill="E5F1FF"/>
            <w:tcMar>
              <w:left w:w="70" w:type="dxa"/>
              <w:right w:w="70" w:type="dxa"/>
            </w:tcMar>
            <w:vAlign w:val="center"/>
          </w:tcPr>
          <w:p w14:paraId="7D2934ED" w14:textId="77777777" w:rsidR="00A45180" w:rsidRDefault="00A45180" w:rsidP="00455C05">
            <w:pPr>
              <w:spacing w:before="0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964" w:type="dxa"/>
            <w:shd w:val="clear" w:color="auto" w:fill="E5F1FF"/>
            <w:tcMar>
              <w:left w:w="70" w:type="dxa"/>
              <w:right w:w="70" w:type="dxa"/>
            </w:tcMar>
            <w:vAlign w:val="center"/>
          </w:tcPr>
          <w:p w14:paraId="30E070C5" w14:textId="77777777" w:rsidR="00A45180" w:rsidRDefault="00A45180" w:rsidP="00455C05">
            <w:pPr>
              <w:spacing w:before="0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964" w:type="dxa"/>
            <w:shd w:val="clear" w:color="auto" w:fill="E5F1FF"/>
            <w:tcMar>
              <w:left w:w="70" w:type="dxa"/>
              <w:right w:w="70" w:type="dxa"/>
            </w:tcMar>
            <w:vAlign w:val="center"/>
          </w:tcPr>
          <w:p w14:paraId="2D52F508" w14:textId="77777777" w:rsidR="00A45180" w:rsidRDefault="00A45180" w:rsidP="00455C05">
            <w:pPr>
              <w:spacing w:before="0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964" w:type="dxa"/>
            <w:shd w:val="clear" w:color="auto" w:fill="E5F1FF"/>
            <w:tcMar>
              <w:left w:w="70" w:type="dxa"/>
              <w:right w:w="70" w:type="dxa"/>
            </w:tcMar>
            <w:vAlign w:val="center"/>
          </w:tcPr>
          <w:p w14:paraId="628F07F9" w14:textId="77777777" w:rsidR="00A45180" w:rsidRDefault="00A45180" w:rsidP="00455C05">
            <w:pPr>
              <w:spacing w:before="0"/>
              <w:jc w:val="center"/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A45180" w14:paraId="77B33BFE" w14:textId="77777777" w:rsidTr="00296100">
        <w:trPr>
          <w:trHeight w:val="255"/>
          <w:jc w:val="center"/>
        </w:trPr>
        <w:tc>
          <w:tcPr>
            <w:tcW w:w="5357" w:type="dxa"/>
            <w:tcMar>
              <w:left w:w="70" w:type="dxa"/>
              <w:right w:w="70" w:type="dxa"/>
            </w:tcMar>
            <w:vAlign w:val="center"/>
          </w:tcPr>
          <w:p w14:paraId="269F8142" w14:textId="77777777" w:rsidR="00A45180" w:rsidRDefault="00A45180" w:rsidP="0048062C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 xml:space="preserve">Výše poskytnutých dotací do oblasti sportu ze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státního rozpočtu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502E98B8" w14:textId="77777777" w:rsidR="00A45180" w:rsidRDefault="00A45180" w:rsidP="00296100">
            <w:pPr>
              <w:spacing w:before="0"/>
              <w:ind w:left="-57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6 364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26A59938" w14:textId="77777777" w:rsidR="00A45180" w:rsidRDefault="00A45180" w:rsidP="00296100">
            <w:pPr>
              <w:spacing w:before="0"/>
              <w:ind w:left="-57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6 757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39F3D309" w14:textId="77777777" w:rsidR="00A45180" w:rsidRDefault="00A45180" w:rsidP="00296100">
            <w:pPr>
              <w:spacing w:before="0"/>
              <w:ind w:left="-57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6 012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59F3C401" w14:textId="77777777" w:rsidR="00A45180" w:rsidRDefault="00A45180" w:rsidP="00296100">
            <w:pPr>
              <w:spacing w:before="0"/>
              <w:ind w:left="-57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6 989</w:t>
            </w:r>
          </w:p>
        </w:tc>
      </w:tr>
      <w:tr w:rsidR="00A45180" w14:paraId="13740000" w14:textId="77777777" w:rsidTr="00296100">
        <w:trPr>
          <w:trHeight w:val="255"/>
          <w:jc w:val="center"/>
        </w:trPr>
        <w:tc>
          <w:tcPr>
            <w:tcW w:w="5357" w:type="dxa"/>
            <w:tcMar>
              <w:left w:w="70" w:type="dxa"/>
              <w:right w:w="70" w:type="dxa"/>
            </w:tcMar>
            <w:vAlign w:val="center"/>
          </w:tcPr>
          <w:p w14:paraId="3211731D" w14:textId="77777777" w:rsidR="00A45180" w:rsidRDefault="00A45180" w:rsidP="0048062C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 xml:space="preserve">Skutečná výše výdajů státního rozpočtu 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6279F27B" w14:textId="77777777" w:rsidR="00A45180" w:rsidRDefault="00A45180" w:rsidP="00296100">
            <w:pPr>
              <w:spacing w:before="0"/>
              <w:ind w:left="-57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1 551 738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7B583571" w14:textId="77777777" w:rsidR="00A45180" w:rsidRDefault="00A45180" w:rsidP="00296100">
            <w:pPr>
              <w:spacing w:before="0"/>
              <w:ind w:left="-57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1 842 929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02072B50" w14:textId="77777777" w:rsidR="00A45180" w:rsidRDefault="00A45180" w:rsidP="00296100">
            <w:pPr>
              <w:spacing w:before="0"/>
              <w:ind w:left="-57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1 906 925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681547E5" w14:textId="77777777" w:rsidR="00A45180" w:rsidRDefault="00A45180" w:rsidP="00296100">
            <w:pPr>
              <w:spacing w:before="0"/>
              <w:ind w:left="-57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1 984 809</w:t>
            </w:r>
          </w:p>
        </w:tc>
      </w:tr>
      <w:tr w:rsidR="00A45180" w14:paraId="40A17FB8" w14:textId="77777777" w:rsidTr="00296100">
        <w:trPr>
          <w:trHeight w:val="255"/>
          <w:jc w:val="center"/>
        </w:trPr>
        <w:tc>
          <w:tcPr>
            <w:tcW w:w="5357" w:type="dxa"/>
            <w:tcMar>
              <w:left w:w="70" w:type="dxa"/>
              <w:right w:w="70" w:type="dxa"/>
            </w:tcMar>
            <w:vAlign w:val="center"/>
          </w:tcPr>
          <w:p w14:paraId="6430C861" w14:textId="77777777" w:rsidR="00A45180" w:rsidRDefault="00A45180" w:rsidP="0048062C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>HDP</w:t>
            </w: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3E841CE9" w14:textId="77777777" w:rsidR="00A45180" w:rsidRDefault="00A45180" w:rsidP="00296100">
            <w:pPr>
              <w:spacing w:before="0"/>
              <w:ind w:left="-57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5 791 498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6D55F128" w14:textId="77777777" w:rsidR="00A45180" w:rsidRDefault="00A45180" w:rsidP="00296100">
            <w:pPr>
              <w:spacing w:before="0"/>
              <w:ind w:left="-57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5 709 131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1511758F" w14:textId="77777777" w:rsidR="00A45180" w:rsidRDefault="00A45180" w:rsidP="00296100">
            <w:pPr>
              <w:spacing w:before="0"/>
              <w:ind w:left="-57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6 108 717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59D7A353" w14:textId="77777777" w:rsidR="00A45180" w:rsidRDefault="00A45180" w:rsidP="00296100">
            <w:pPr>
              <w:spacing w:before="0"/>
              <w:ind w:left="-57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6 785 852</w:t>
            </w:r>
          </w:p>
        </w:tc>
      </w:tr>
      <w:tr w:rsidR="00A45180" w14:paraId="73FC3E6C" w14:textId="77777777" w:rsidTr="00296100">
        <w:trPr>
          <w:trHeight w:val="255"/>
          <w:jc w:val="center"/>
        </w:trPr>
        <w:tc>
          <w:tcPr>
            <w:tcW w:w="5357" w:type="dxa"/>
            <w:tcMar>
              <w:left w:w="70" w:type="dxa"/>
              <w:right w:w="70" w:type="dxa"/>
            </w:tcMar>
            <w:vAlign w:val="center"/>
          </w:tcPr>
          <w:p w14:paraId="0EAD8426" w14:textId="77777777" w:rsidR="00A45180" w:rsidRDefault="00A45180" w:rsidP="0048062C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 xml:space="preserve">Poměr výše dotací do sportu ze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státního rozpočtu</w:t>
            </w: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 xml:space="preserve"> k celkovým výdajům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státního rozpočtu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31B3522A" w14:textId="77777777" w:rsidR="00A45180" w:rsidRDefault="00A45180" w:rsidP="00296100">
            <w:pPr>
              <w:spacing w:before="0"/>
              <w:ind w:left="-57" w:right="113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0,41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4763DD1D" w14:textId="77777777" w:rsidR="00A45180" w:rsidRDefault="00A45180" w:rsidP="00296100">
            <w:pPr>
              <w:spacing w:before="0"/>
              <w:ind w:left="-57" w:right="113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0,37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5D2682CA" w14:textId="77777777" w:rsidR="00A45180" w:rsidRDefault="00A45180" w:rsidP="00296100">
            <w:pPr>
              <w:spacing w:before="0"/>
              <w:ind w:left="-57" w:right="113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0,32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297476BF" w14:textId="77777777" w:rsidR="00A45180" w:rsidRDefault="00A45180" w:rsidP="00296100">
            <w:pPr>
              <w:spacing w:before="0"/>
              <w:ind w:left="-57" w:right="113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0,35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%</w:t>
            </w:r>
          </w:p>
        </w:tc>
      </w:tr>
      <w:tr w:rsidR="00A45180" w14:paraId="72451127" w14:textId="77777777" w:rsidTr="00296100">
        <w:trPr>
          <w:trHeight w:val="255"/>
          <w:jc w:val="center"/>
        </w:trPr>
        <w:tc>
          <w:tcPr>
            <w:tcW w:w="5357" w:type="dxa"/>
            <w:tcMar>
              <w:left w:w="70" w:type="dxa"/>
              <w:right w:w="70" w:type="dxa"/>
            </w:tcMar>
            <w:vAlign w:val="center"/>
          </w:tcPr>
          <w:p w14:paraId="2EF3A88D" w14:textId="77777777" w:rsidR="00A45180" w:rsidRDefault="00A45180" w:rsidP="0048062C">
            <w:pPr>
              <w:spacing w:before="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 xml:space="preserve">Poměr výše dotací do sportu ze 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>státního rozpočtu</w:t>
            </w: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 xml:space="preserve"> k HDP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5495F1AD" w14:textId="77777777" w:rsidR="00A45180" w:rsidRDefault="00A45180" w:rsidP="00296100">
            <w:pPr>
              <w:spacing w:before="0"/>
              <w:ind w:left="-57" w:right="113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0,11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17656C7E" w14:textId="77777777" w:rsidR="00A45180" w:rsidRDefault="00A45180" w:rsidP="00296100">
            <w:pPr>
              <w:spacing w:before="0"/>
              <w:ind w:left="-57" w:right="113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0,12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28FFCDCE" w14:textId="77777777" w:rsidR="00A45180" w:rsidRDefault="00A45180" w:rsidP="00296100">
            <w:pPr>
              <w:spacing w:before="0"/>
              <w:ind w:left="-57" w:right="113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0,10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64" w:type="dxa"/>
            <w:tcMar>
              <w:left w:w="70" w:type="dxa"/>
              <w:right w:w="70" w:type="dxa"/>
            </w:tcMar>
            <w:vAlign w:val="center"/>
          </w:tcPr>
          <w:p w14:paraId="78871BDE" w14:textId="77777777" w:rsidR="00A45180" w:rsidRDefault="00A45180" w:rsidP="00296100">
            <w:pPr>
              <w:spacing w:before="0"/>
              <w:ind w:left="-57" w:right="113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0,10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F97886B">
              <w:rPr>
                <w:rFonts w:eastAsia="Calibri"/>
                <w:color w:val="000000" w:themeColor="text1"/>
                <w:sz w:val="20"/>
                <w:szCs w:val="20"/>
              </w:rPr>
              <w:t>%</w:t>
            </w:r>
          </w:p>
        </w:tc>
      </w:tr>
    </w:tbl>
    <w:p w14:paraId="5EAFE899" w14:textId="1B40D15A" w:rsidR="008B04E4" w:rsidRDefault="008B04E4" w:rsidP="0048062C">
      <w:pPr>
        <w:suppressAutoHyphens w:val="0"/>
        <w:spacing w:before="40"/>
        <w:rPr>
          <w:rFonts w:eastAsia="Calibri"/>
          <w:sz w:val="20"/>
          <w:szCs w:val="20"/>
        </w:rPr>
      </w:pPr>
      <w:r w:rsidRPr="00296100">
        <w:rPr>
          <w:rFonts w:eastAsia="Calibri"/>
          <w:b/>
          <w:sz w:val="20"/>
          <w:szCs w:val="20"/>
        </w:rPr>
        <w:t xml:space="preserve">Pozn.: </w:t>
      </w:r>
      <w:r w:rsidRPr="00296100">
        <w:rPr>
          <w:rFonts w:eastAsia="Calibri"/>
          <w:sz w:val="20"/>
          <w:szCs w:val="20"/>
        </w:rPr>
        <w:t>*</w:t>
      </w:r>
      <w:r w:rsidR="009331B8">
        <w:rPr>
          <w:rFonts w:eastAsia="Calibri"/>
          <w:sz w:val="20"/>
          <w:szCs w:val="20"/>
        </w:rPr>
        <w:t xml:space="preserve"> </w:t>
      </w:r>
      <w:r w:rsidRPr="0F97886B">
        <w:rPr>
          <w:rFonts w:eastAsia="Calibri"/>
          <w:sz w:val="20"/>
          <w:szCs w:val="20"/>
        </w:rPr>
        <w:t xml:space="preserve">Vládní návrh </w:t>
      </w:r>
      <w:r w:rsidR="00B51DF1">
        <w:rPr>
          <w:rFonts w:eastAsia="Calibri"/>
          <w:sz w:val="20"/>
          <w:szCs w:val="20"/>
        </w:rPr>
        <w:t>s</w:t>
      </w:r>
      <w:r w:rsidRPr="0F97886B">
        <w:rPr>
          <w:rFonts w:eastAsia="Calibri"/>
          <w:sz w:val="20"/>
          <w:szCs w:val="20"/>
        </w:rPr>
        <w:t>tátního závěrečného účtu České republiky za rok 2022</w:t>
      </w:r>
      <w:r w:rsidR="00131C3C">
        <w:rPr>
          <w:rFonts w:eastAsia="Calibri"/>
          <w:sz w:val="20"/>
          <w:szCs w:val="20"/>
        </w:rPr>
        <w:t>.</w:t>
      </w:r>
    </w:p>
    <w:p w14:paraId="1D7B10EC" w14:textId="77777777" w:rsidR="008B04E4" w:rsidRPr="00131C3C" w:rsidRDefault="00131C3C" w:rsidP="002F1021">
      <w:pPr>
        <w:suppressAutoHyphens w:val="0"/>
        <w:spacing w:before="0" w:after="120"/>
        <w:rPr>
          <w:rFonts w:eastAsia="Calibri"/>
          <w:sz w:val="20"/>
          <w:szCs w:val="20"/>
        </w:rPr>
      </w:pPr>
      <w:r w:rsidRPr="002B1527">
        <w:rPr>
          <w:rFonts w:eastAsia="Calibri"/>
          <w:b/>
          <w:sz w:val="20"/>
          <w:szCs w:val="20"/>
        </w:rPr>
        <w:t>Zdroj:</w:t>
      </w:r>
      <w:r>
        <w:rPr>
          <w:rFonts w:eastAsia="Calibri"/>
          <w:sz w:val="20"/>
          <w:szCs w:val="20"/>
        </w:rPr>
        <w:t xml:space="preserve"> </w:t>
      </w:r>
      <w:r w:rsidR="00030EB5">
        <w:rPr>
          <w:rFonts w:eastAsia="Calibri"/>
          <w:sz w:val="20"/>
          <w:szCs w:val="20"/>
        </w:rPr>
        <w:t>vypracoval NKÚ na základě dat Českého statistického úřadu.</w:t>
      </w:r>
    </w:p>
    <w:p w14:paraId="1544F153" w14:textId="3D96EFDC" w:rsidR="008B04E4" w:rsidRDefault="008B04E4" w:rsidP="0048062C">
      <w:pPr>
        <w:suppressAutoHyphens w:val="0"/>
        <w:spacing w:before="120" w:after="120"/>
        <w:rPr>
          <w:rFonts w:eastAsia="Calibri"/>
        </w:rPr>
      </w:pPr>
      <w:r w:rsidRPr="002B1527">
        <w:rPr>
          <w:rFonts w:eastAsia="Calibri"/>
        </w:rPr>
        <w:t>Z tabulky je</w:t>
      </w:r>
      <w:r w:rsidRPr="41B7BEC9">
        <w:rPr>
          <w:rFonts w:eastAsia="Calibri"/>
        </w:rPr>
        <w:t xml:space="preserve"> patrné, že výše poskytnutých dotací do oblasti sportu se ve vztahu k</w:t>
      </w:r>
      <w:r w:rsidR="00296100">
        <w:rPr>
          <w:rFonts w:eastAsia="Calibri"/>
        </w:rPr>
        <w:t> </w:t>
      </w:r>
      <w:r w:rsidRPr="41B7BEC9">
        <w:rPr>
          <w:rFonts w:eastAsia="Calibri"/>
        </w:rPr>
        <w:t>HDP</w:t>
      </w:r>
      <w:r w:rsidR="00296100">
        <w:rPr>
          <w:rFonts w:eastAsia="Calibri"/>
        </w:rPr>
        <w:t xml:space="preserve"> </w:t>
      </w:r>
      <w:r w:rsidRPr="41B7BEC9">
        <w:rPr>
          <w:rFonts w:eastAsia="Calibri"/>
        </w:rPr>
        <w:t>po</w:t>
      </w:r>
      <w:r w:rsidR="00296100">
        <w:rPr>
          <w:rFonts w:eastAsia="Calibri"/>
        </w:rPr>
        <w:t xml:space="preserve"> </w:t>
      </w:r>
      <w:r w:rsidRPr="41B7BEC9">
        <w:rPr>
          <w:rFonts w:eastAsia="Calibri"/>
        </w:rPr>
        <w:t xml:space="preserve">celé sledované období pohybovala </w:t>
      </w:r>
      <w:r w:rsidR="009331B8">
        <w:rPr>
          <w:rFonts w:eastAsia="Calibri"/>
        </w:rPr>
        <w:t>v roz</w:t>
      </w:r>
      <w:r w:rsidRPr="41B7BEC9">
        <w:rPr>
          <w:rFonts w:eastAsia="Calibri"/>
        </w:rPr>
        <w:t>mez</w:t>
      </w:r>
      <w:r w:rsidR="009331B8">
        <w:rPr>
          <w:rFonts w:eastAsia="Calibri"/>
        </w:rPr>
        <w:t>í</w:t>
      </w:r>
      <w:r w:rsidRPr="41B7BEC9">
        <w:rPr>
          <w:rFonts w:eastAsia="Calibri"/>
        </w:rPr>
        <w:t xml:space="preserve"> 0,10</w:t>
      </w:r>
      <w:r w:rsidR="009331B8" w:rsidRPr="41B7BEC9">
        <w:rPr>
          <w:rFonts w:eastAsia="Calibri"/>
        </w:rPr>
        <w:t>–</w:t>
      </w:r>
      <w:r w:rsidRPr="41B7BEC9">
        <w:rPr>
          <w:rFonts w:eastAsia="Calibri"/>
        </w:rPr>
        <w:t>0,12 %. V porovnání k výš</w:t>
      </w:r>
      <w:r w:rsidR="00744F57">
        <w:rPr>
          <w:rFonts w:eastAsia="Calibri"/>
        </w:rPr>
        <w:t>i</w:t>
      </w:r>
      <w:r w:rsidRPr="41B7BEC9">
        <w:rPr>
          <w:rFonts w:eastAsia="Calibri"/>
        </w:rPr>
        <w:t xml:space="preserve"> výdajů státního rozpočtu se tato míra pohybovala </w:t>
      </w:r>
      <w:r w:rsidR="009331B8">
        <w:rPr>
          <w:rFonts w:eastAsia="Calibri"/>
        </w:rPr>
        <w:t>v roz</w:t>
      </w:r>
      <w:r w:rsidRPr="41B7BEC9">
        <w:rPr>
          <w:rFonts w:eastAsia="Calibri"/>
        </w:rPr>
        <w:t>mez</w:t>
      </w:r>
      <w:r w:rsidR="009331B8">
        <w:rPr>
          <w:rFonts w:eastAsia="Calibri"/>
        </w:rPr>
        <w:t>í</w:t>
      </w:r>
      <w:r w:rsidRPr="41B7BEC9">
        <w:rPr>
          <w:rFonts w:eastAsia="Calibri"/>
        </w:rPr>
        <w:t xml:space="preserve"> 0,32–0,44 %.</w:t>
      </w:r>
    </w:p>
    <w:p w14:paraId="10EAAA7D" w14:textId="627CB1F2" w:rsidR="008B04E4" w:rsidRPr="002F1021" w:rsidRDefault="008B04E4" w:rsidP="002F1021">
      <w:pPr>
        <w:spacing w:before="120" w:after="60"/>
        <w:rPr>
          <w:rFonts w:eastAsia="Calibri"/>
          <w:b/>
        </w:rPr>
      </w:pPr>
      <w:r w:rsidRPr="002F1021">
        <w:rPr>
          <w:rFonts w:eastAsia="Calibri"/>
          <w:b/>
        </w:rPr>
        <w:t>Kontrolované investiční výzvy</w:t>
      </w:r>
    </w:p>
    <w:p w14:paraId="159B2CC5" w14:textId="77777777" w:rsidR="008B04E4" w:rsidRPr="008B04E4" w:rsidRDefault="008B04E4" w:rsidP="002F1021">
      <w:pPr>
        <w:spacing w:before="60"/>
      </w:pPr>
      <w:r w:rsidRPr="008B04E4">
        <w:t>Ministerstvo školství, mládeže a tělovýchovy:</w:t>
      </w:r>
    </w:p>
    <w:p w14:paraId="7D112D3F" w14:textId="77777777" w:rsidR="008B04E4" w:rsidRPr="008B04E4" w:rsidRDefault="008B04E4" w:rsidP="008B04E4">
      <w:pPr>
        <w:pStyle w:val="Odstavecseseznamem"/>
        <w:numPr>
          <w:ilvl w:val="0"/>
          <w:numId w:val="3"/>
        </w:numPr>
        <w:spacing w:before="0"/>
        <w:contextualSpacing w:val="0"/>
      </w:pPr>
      <w:r w:rsidRPr="008B04E4">
        <w:t xml:space="preserve">Pořízení samostatného movitého majetku 2019 </w:t>
      </w:r>
    </w:p>
    <w:p w14:paraId="1701C61F" w14:textId="77777777" w:rsidR="008B04E4" w:rsidRPr="008B04E4" w:rsidRDefault="008B04E4" w:rsidP="008B04E4">
      <w:pPr>
        <w:pStyle w:val="Odstavecseseznamem"/>
        <w:numPr>
          <w:ilvl w:val="0"/>
          <w:numId w:val="3"/>
        </w:numPr>
        <w:spacing w:before="0"/>
        <w:contextualSpacing w:val="0"/>
      </w:pPr>
      <w:r w:rsidRPr="008B04E4">
        <w:t>Pořízení samostatného movitého majetku 2020</w:t>
      </w:r>
    </w:p>
    <w:p w14:paraId="3A1A4D08" w14:textId="77777777" w:rsidR="008B04E4" w:rsidRPr="008B04E4" w:rsidRDefault="008B04E4" w:rsidP="008B04E4">
      <w:pPr>
        <w:pStyle w:val="Odstavecseseznamem"/>
        <w:numPr>
          <w:ilvl w:val="0"/>
          <w:numId w:val="3"/>
        </w:numPr>
        <w:spacing w:before="0"/>
        <w:contextualSpacing w:val="0"/>
      </w:pPr>
      <w:r w:rsidRPr="008B04E4">
        <w:t>V3 Sport</w:t>
      </w:r>
      <w:r w:rsidR="00744F57">
        <w:t>, investice 2019/2020</w:t>
      </w:r>
    </w:p>
    <w:p w14:paraId="1E0A0779" w14:textId="77777777" w:rsidR="008B04E4" w:rsidRPr="008B04E4" w:rsidRDefault="008B04E4" w:rsidP="008B04E4">
      <w:pPr>
        <w:pStyle w:val="Odstavecseseznamem"/>
        <w:numPr>
          <w:ilvl w:val="0"/>
          <w:numId w:val="3"/>
        </w:numPr>
        <w:spacing w:before="0"/>
        <w:contextualSpacing w:val="0"/>
      </w:pPr>
      <w:r w:rsidRPr="008B04E4">
        <w:t>V4 Sport</w:t>
      </w:r>
      <w:r w:rsidR="00744F57">
        <w:t>, investice 2019/2020</w:t>
      </w:r>
    </w:p>
    <w:p w14:paraId="01CD5F17" w14:textId="77777777" w:rsidR="008B04E4" w:rsidRPr="008B04E4" w:rsidRDefault="008B04E4" w:rsidP="008B04E4">
      <w:pPr>
        <w:pStyle w:val="Odstavecseseznamem"/>
        <w:numPr>
          <w:ilvl w:val="0"/>
          <w:numId w:val="3"/>
        </w:numPr>
        <w:spacing w:before="0"/>
        <w:contextualSpacing w:val="0"/>
      </w:pPr>
      <w:r w:rsidRPr="008B04E4">
        <w:t>V5 Sport</w:t>
      </w:r>
      <w:r w:rsidR="00744F57">
        <w:t>, investice 2020 pro SK a TJ</w:t>
      </w:r>
    </w:p>
    <w:p w14:paraId="3EC59653" w14:textId="77777777" w:rsidR="008B04E4" w:rsidRPr="008B04E4" w:rsidRDefault="008B04E4" w:rsidP="008B04E4">
      <w:pPr>
        <w:pStyle w:val="Odstavecseseznamem"/>
        <w:numPr>
          <w:ilvl w:val="0"/>
          <w:numId w:val="3"/>
        </w:numPr>
        <w:spacing w:before="0"/>
        <w:contextualSpacing w:val="0"/>
      </w:pPr>
      <w:r w:rsidRPr="008B04E4">
        <w:t>V6 Sport</w:t>
      </w:r>
      <w:r w:rsidR="00744F57">
        <w:t>, investice 2020 pro ÚSC</w:t>
      </w:r>
    </w:p>
    <w:p w14:paraId="3D24C4FF" w14:textId="77777777" w:rsidR="008B04E4" w:rsidRPr="008B04E4" w:rsidRDefault="008B04E4" w:rsidP="002F1021">
      <w:pPr>
        <w:spacing w:before="60"/>
      </w:pPr>
      <w:r w:rsidRPr="008B04E4">
        <w:t>Národní sportovní agentura:</w:t>
      </w:r>
    </w:p>
    <w:p w14:paraId="46A6491F" w14:textId="6C89ED2E" w:rsidR="008B04E4" w:rsidRPr="008B04E4" w:rsidRDefault="008B04E4" w:rsidP="008B04E4">
      <w:pPr>
        <w:pStyle w:val="Odstavecseseznamem"/>
        <w:numPr>
          <w:ilvl w:val="0"/>
          <w:numId w:val="6"/>
        </w:numPr>
        <w:suppressAutoHyphens w:val="0"/>
        <w:spacing w:before="0"/>
        <w:contextualSpacing w:val="0"/>
        <w:jc w:val="left"/>
      </w:pPr>
      <w:r w:rsidRPr="008B04E4">
        <w:rPr>
          <w:rFonts w:eastAsia="Calibri"/>
        </w:rPr>
        <w:t xml:space="preserve">Výzva č. 12/2020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Sportovní infrastruktura – Investice do 10 mil. Kč</w:t>
      </w:r>
    </w:p>
    <w:p w14:paraId="745005F9" w14:textId="4ED56B80" w:rsidR="008B04E4" w:rsidRPr="008B04E4" w:rsidRDefault="008B04E4" w:rsidP="008B04E4">
      <w:pPr>
        <w:pStyle w:val="Odstavecseseznamem"/>
        <w:numPr>
          <w:ilvl w:val="0"/>
          <w:numId w:val="6"/>
        </w:numPr>
        <w:suppressAutoHyphens w:val="0"/>
        <w:spacing w:before="0"/>
        <w:contextualSpacing w:val="0"/>
        <w:jc w:val="left"/>
      </w:pPr>
      <w:r w:rsidRPr="008B04E4">
        <w:rPr>
          <w:rFonts w:eastAsia="Calibri"/>
        </w:rPr>
        <w:t xml:space="preserve">Výzva č. 13/2020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Sportovní infrastruktura – Investice nad 10 mil. Kč</w:t>
      </w:r>
    </w:p>
    <w:p w14:paraId="3D0207E2" w14:textId="34DE4A4E" w:rsidR="008B04E4" w:rsidRPr="008B04E4" w:rsidRDefault="008B04E4" w:rsidP="008B04E4">
      <w:pPr>
        <w:pStyle w:val="Odstavecseseznamem"/>
        <w:numPr>
          <w:ilvl w:val="0"/>
          <w:numId w:val="6"/>
        </w:numPr>
        <w:suppressAutoHyphens w:val="0"/>
        <w:spacing w:before="0"/>
        <w:contextualSpacing w:val="0"/>
        <w:jc w:val="left"/>
      </w:pPr>
      <w:r w:rsidRPr="008B04E4">
        <w:rPr>
          <w:rFonts w:eastAsia="Calibri"/>
        </w:rPr>
        <w:t xml:space="preserve">Výzva č. 14/2020 </w:t>
      </w:r>
      <w:r w:rsidR="00B51DF1" w:rsidRPr="008B04E4">
        <w:rPr>
          <w:rFonts w:eastAsia="Calibri"/>
        </w:rPr>
        <w:t xml:space="preserve">– </w:t>
      </w:r>
      <w:r w:rsidR="00744F57">
        <w:rPr>
          <w:rFonts w:eastAsia="Calibri"/>
        </w:rPr>
        <w:t>Standardizovaná infrastruktura</w:t>
      </w:r>
    </w:p>
    <w:p w14:paraId="11F54EA2" w14:textId="2D807A3D" w:rsidR="008B04E4" w:rsidRPr="008B04E4" w:rsidRDefault="008B04E4" w:rsidP="008B04E4">
      <w:pPr>
        <w:pStyle w:val="Odstavecseseznamem"/>
        <w:numPr>
          <w:ilvl w:val="0"/>
          <w:numId w:val="6"/>
        </w:numPr>
        <w:suppressAutoHyphens w:val="0"/>
        <w:spacing w:before="0"/>
        <w:contextualSpacing w:val="0"/>
        <w:jc w:val="left"/>
      </w:pPr>
      <w:r w:rsidRPr="008B04E4">
        <w:rPr>
          <w:rFonts w:eastAsia="Calibri"/>
        </w:rPr>
        <w:t xml:space="preserve">Výzva č. 5/2021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Movité investice 2021</w:t>
      </w:r>
    </w:p>
    <w:p w14:paraId="0AD6550D" w14:textId="6B04AD7D" w:rsidR="008B04E4" w:rsidRPr="008B04E4" w:rsidRDefault="008B04E4" w:rsidP="008B04E4">
      <w:pPr>
        <w:pStyle w:val="Odstavecseseznamem"/>
        <w:numPr>
          <w:ilvl w:val="0"/>
          <w:numId w:val="6"/>
        </w:numPr>
        <w:suppressAutoHyphens w:val="0"/>
        <w:spacing w:before="0"/>
        <w:contextualSpacing w:val="0"/>
        <w:jc w:val="left"/>
      </w:pPr>
      <w:r w:rsidRPr="008B04E4">
        <w:rPr>
          <w:rFonts w:eastAsia="Calibri"/>
        </w:rPr>
        <w:t xml:space="preserve">Výzva č. 6/2021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Nadregionální sportovní infrastruktura 2021</w:t>
      </w:r>
    </w:p>
    <w:p w14:paraId="5B89900A" w14:textId="7D88251C" w:rsidR="008B04E4" w:rsidRPr="008B04E4" w:rsidRDefault="008B04E4" w:rsidP="008B04E4">
      <w:pPr>
        <w:pStyle w:val="Odstavecseseznamem"/>
        <w:numPr>
          <w:ilvl w:val="0"/>
          <w:numId w:val="6"/>
        </w:numPr>
        <w:suppressAutoHyphens w:val="0"/>
        <w:spacing w:before="0"/>
        <w:contextualSpacing w:val="0"/>
        <w:jc w:val="left"/>
        <w:rPr>
          <w:rFonts w:eastAsia="Calibri"/>
        </w:rPr>
      </w:pPr>
      <w:r w:rsidRPr="008B04E4">
        <w:rPr>
          <w:rFonts w:eastAsia="Calibri"/>
        </w:rPr>
        <w:t xml:space="preserve">Výzva č. 7/2021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 xml:space="preserve">Movité investice 2021 </w:t>
      </w:r>
      <w:proofErr w:type="spellStart"/>
      <w:r w:rsidRPr="008B04E4">
        <w:rPr>
          <w:rFonts w:eastAsia="Calibri"/>
        </w:rPr>
        <w:t>parasport</w:t>
      </w:r>
      <w:proofErr w:type="spellEnd"/>
    </w:p>
    <w:p w14:paraId="4767B1F0" w14:textId="0E7A1BC6" w:rsidR="008B04E4" w:rsidRPr="008B04E4" w:rsidRDefault="008B04E4" w:rsidP="008B04E4">
      <w:pPr>
        <w:pStyle w:val="Odstavecseseznamem"/>
        <w:numPr>
          <w:ilvl w:val="0"/>
          <w:numId w:val="6"/>
        </w:numPr>
        <w:suppressAutoHyphens w:val="0"/>
        <w:spacing w:before="0"/>
        <w:contextualSpacing w:val="0"/>
        <w:jc w:val="left"/>
      </w:pPr>
      <w:r w:rsidRPr="008B04E4">
        <w:rPr>
          <w:rFonts w:eastAsia="Calibri"/>
        </w:rPr>
        <w:t xml:space="preserve">Výzva č. 8/2021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Kabina 2021</w:t>
      </w:r>
    </w:p>
    <w:p w14:paraId="70222A03" w14:textId="563370C5" w:rsidR="008B04E4" w:rsidRPr="008B04E4" w:rsidRDefault="008B04E4" w:rsidP="008B04E4">
      <w:pPr>
        <w:pStyle w:val="Odstavecseseznamem"/>
        <w:numPr>
          <w:ilvl w:val="0"/>
          <w:numId w:val="6"/>
        </w:numPr>
        <w:suppressAutoHyphens w:val="0"/>
        <w:spacing w:before="0"/>
        <w:contextualSpacing w:val="0"/>
        <w:jc w:val="left"/>
        <w:rPr>
          <w:rFonts w:asciiTheme="minorHAnsi" w:eastAsiaTheme="minorEastAsia" w:hAnsiTheme="minorHAnsi" w:cstheme="minorBidi"/>
        </w:rPr>
      </w:pPr>
      <w:r w:rsidRPr="008B04E4">
        <w:rPr>
          <w:rFonts w:asciiTheme="minorHAnsi" w:eastAsiaTheme="minorEastAsia" w:hAnsiTheme="minorHAnsi" w:cstheme="minorBidi"/>
        </w:rPr>
        <w:t xml:space="preserve">Výzva č. 11/2021 </w:t>
      </w:r>
      <w:r w:rsidR="00B51DF1" w:rsidRPr="008B04E4">
        <w:rPr>
          <w:rFonts w:eastAsia="Calibri"/>
        </w:rPr>
        <w:t xml:space="preserve">– </w:t>
      </w:r>
      <w:r w:rsidRPr="008B04E4">
        <w:rPr>
          <w:rFonts w:asciiTheme="minorHAnsi" w:eastAsiaTheme="minorEastAsia" w:hAnsiTheme="minorHAnsi" w:cstheme="minorBidi"/>
        </w:rPr>
        <w:t>Regiony 2021</w:t>
      </w:r>
    </w:p>
    <w:p w14:paraId="69B2AF85" w14:textId="604BC78E" w:rsidR="008B04E4" w:rsidRPr="008B04E4" w:rsidRDefault="008B04E4" w:rsidP="008B04E4">
      <w:pPr>
        <w:pStyle w:val="Odstavecseseznamem"/>
        <w:numPr>
          <w:ilvl w:val="0"/>
          <w:numId w:val="6"/>
        </w:numPr>
        <w:suppressAutoHyphens w:val="0"/>
        <w:spacing w:before="0"/>
        <w:contextualSpacing w:val="0"/>
        <w:jc w:val="left"/>
      </w:pPr>
      <w:r w:rsidRPr="008B04E4">
        <w:rPr>
          <w:rFonts w:eastAsia="Calibri"/>
        </w:rPr>
        <w:t xml:space="preserve">Výzva č. 18/2022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Regiony SK/TJ 2022</w:t>
      </w:r>
    </w:p>
    <w:p w14:paraId="07047A08" w14:textId="4BA3A708" w:rsidR="008B04E4" w:rsidRPr="008B04E4" w:rsidRDefault="008B04E4" w:rsidP="008B04E4">
      <w:pPr>
        <w:pStyle w:val="Odstavecseseznamem"/>
        <w:numPr>
          <w:ilvl w:val="0"/>
          <w:numId w:val="6"/>
        </w:numPr>
        <w:suppressAutoHyphens w:val="0"/>
        <w:spacing w:before="0"/>
        <w:contextualSpacing w:val="0"/>
        <w:jc w:val="left"/>
      </w:pPr>
      <w:r w:rsidRPr="008B04E4">
        <w:rPr>
          <w:rFonts w:eastAsia="Calibri"/>
        </w:rPr>
        <w:t xml:space="preserve">Výzva č. 19/2022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Regiony ÚSC 2022</w:t>
      </w:r>
    </w:p>
    <w:p w14:paraId="51CA29EC" w14:textId="5EF3D79E" w:rsidR="008B04E4" w:rsidRPr="008B04E4" w:rsidRDefault="008B04E4" w:rsidP="008B04E4">
      <w:pPr>
        <w:pStyle w:val="Odstavecseseznamem"/>
        <w:numPr>
          <w:ilvl w:val="0"/>
          <w:numId w:val="6"/>
        </w:numPr>
        <w:suppressAutoHyphens w:val="0"/>
        <w:spacing w:before="0"/>
        <w:contextualSpacing w:val="0"/>
        <w:jc w:val="left"/>
      </w:pPr>
      <w:r w:rsidRPr="008B04E4">
        <w:rPr>
          <w:rFonts w:eastAsia="Calibri"/>
        </w:rPr>
        <w:t xml:space="preserve">Výzva č. 20/2022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Standardizovaná sportovní infrastruktura</w:t>
      </w:r>
    </w:p>
    <w:p w14:paraId="53B7123B" w14:textId="64C387C0" w:rsidR="008B04E4" w:rsidRPr="008B04E4" w:rsidRDefault="008B04E4" w:rsidP="0048062C">
      <w:pPr>
        <w:pStyle w:val="Odstavecseseznamem"/>
        <w:numPr>
          <w:ilvl w:val="0"/>
          <w:numId w:val="6"/>
        </w:numPr>
        <w:suppressAutoHyphens w:val="0"/>
        <w:spacing w:before="0"/>
        <w:ind w:left="714" w:hanging="357"/>
        <w:contextualSpacing w:val="0"/>
        <w:jc w:val="left"/>
        <w:rPr>
          <w:rFonts w:eastAsia="Calibri"/>
        </w:rPr>
      </w:pPr>
      <w:r w:rsidRPr="008B04E4">
        <w:rPr>
          <w:rFonts w:eastAsia="Calibri"/>
        </w:rPr>
        <w:t xml:space="preserve">Výzva č. 34/2022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Movité investice – Rozvoj materiálně technické základny sportovních svazů 2022</w:t>
      </w:r>
      <w:r w:rsidR="00B51DF1" w:rsidRPr="008B04E4">
        <w:rPr>
          <w:rFonts w:eastAsia="Calibri"/>
        </w:rPr>
        <w:t>–</w:t>
      </w:r>
      <w:r w:rsidRPr="008B04E4">
        <w:rPr>
          <w:rFonts w:eastAsia="Calibri"/>
        </w:rPr>
        <w:t>2023</w:t>
      </w:r>
    </w:p>
    <w:p w14:paraId="314356EC" w14:textId="0AA8BB44" w:rsidR="008B04E4" w:rsidRPr="002F1021" w:rsidRDefault="008B04E4" w:rsidP="002F1021">
      <w:pPr>
        <w:suppressAutoHyphens w:val="0"/>
        <w:spacing w:before="120" w:after="60"/>
        <w:rPr>
          <w:rFonts w:eastAsia="Calibri"/>
          <w:b/>
        </w:rPr>
      </w:pPr>
      <w:r w:rsidRPr="002F1021">
        <w:rPr>
          <w:rFonts w:eastAsia="Calibri"/>
          <w:b/>
        </w:rPr>
        <w:t>Kontrolované neinvestiční výzvy</w:t>
      </w:r>
    </w:p>
    <w:p w14:paraId="7F6A6E60" w14:textId="77777777" w:rsidR="008B04E4" w:rsidRPr="008B04E4" w:rsidRDefault="008B04E4" w:rsidP="002F1021">
      <w:pPr>
        <w:suppressAutoHyphens w:val="0"/>
        <w:spacing w:before="60"/>
      </w:pPr>
      <w:r w:rsidRPr="008B04E4">
        <w:t>Ministerstvo školství, mládeže a tělovýchovy:</w:t>
      </w:r>
    </w:p>
    <w:p w14:paraId="3119667E" w14:textId="77777777" w:rsidR="008B04E4" w:rsidRPr="008B04E4" w:rsidRDefault="008B04E4" w:rsidP="008B04E4">
      <w:pPr>
        <w:pStyle w:val="Odstavecseseznamem"/>
        <w:numPr>
          <w:ilvl w:val="0"/>
          <w:numId w:val="2"/>
        </w:numPr>
        <w:suppressAutoHyphens w:val="0"/>
        <w:spacing w:before="0"/>
        <w:contextualSpacing w:val="0"/>
        <w:rPr>
          <w:rFonts w:eastAsia="Calibri"/>
        </w:rPr>
      </w:pPr>
      <w:r w:rsidRPr="008B04E4">
        <w:rPr>
          <w:rFonts w:eastAsia="Calibri"/>
        </w:rPr>
        <w:t>Můj klub 2019</w:t>
      </w:r>
    </w:p>
    <w:p w14:paraId="367DAEF0" w14:textId="77777777" w:rsidR="008B04E4" w:rsidRPr="008B04E4" w:rsidRDefault="008B04E4" w:rsidP="008B04E4">
      <w:pPr>
        <w:pStyle w:val="Odstavecseseznamem"/>
        <w:numPr>
          <w:ilvl w:val="0"/>
          <w:numId w:val="2"/>
        </w:numPr>
        <w:suppressAutoHyphens w:val="0"/>
        <w:spacing w:before="0"/>
        <w:contextualSpacing w:val="0"/>
        <w:rPr>
          <w:rFonts w:eastAsia="Calibri"/>
        </w:rPr>
      </w:pPr>
      <w:r w:rsidRPr="008B04E4">
        <w:rPr>
          <w:rFonts w:eastAsia="Calibri"/>
        </w:rPr>
        <w:t>Můj klub 2020</w:t>
      </w:r>
    </w:p>
    <w:p w14:paraId="0EAD0BC0" w14:textId="0624C3F9" w:rsidR="008B04E4" w:rsidRPr="008B04E4" w:rsidRDefault="008B04E4" w:rsidP="008B04E4">
      <w:pPr>
        <w:pStyle w:val="Odstavecseseznamem"/>
        <w:numPr>
          <w:ilvl w:val="0"/>
          <w:numId w:val="2"/>
        </w:numPr>
        <w:suppressAutoHyphens w:val="0"/>
        <w:spacing w:before="0"/>
        <w:contextualSpacing w:val="0"/>
      </w:pPr>
      <w:r w:rsidRPr="008B04E4">
        <w:rPr>
          <w:rFonts w:eastAsia="Calibri"/>
        </w:rPr>
        <w:lastRenderedPageBreak/>
        <w:t xml:space="preserve">Organizace sportu 2019 </w:t>
      </w:r>
      <w:r w:rsidR="00B51DF1" w:rsidRPr="008B04E4">
        <w:rPr>
          <w:rFonts w:eastAsia="Calibri"/>
        </w:rPr>
        <w:t>–</w:t>
      </w:r>
      <w:r w:rsidRPr="008B04E4">
        <w:t xml:space="preserve"> Sportovní svazy</w:t>
      </w:r>
    </w:p>
    <w:p w14:paraId="1FA88112" w14:textId="27B29E41" w:rsidR="008B04E4" w:rsidRPr="008B04E4" w:rsidRDefault="008B04E4" w:rsidP="008B04E4">
      <w:pPr>
        <w:pStyle w:val="Odstavecseseznamem"/>
        <w:numPr>
          <w:ilvl w:val="0"/>
          <w:numId w:val="2"/>
        </w:numPr>
        <w:suppressAutoHyphens w:val="0"/>
        <w:spacing w:before="0"/>
        <w:contextualSpacing w:val="0"/>
      </w:pPr>
      <w:r w:rsidRPr="008B04E4">
        <w:rPr>
          <w:rFonts w:eastAsia="Calibri"/>
        </w:rPr>
        <w:t xml:space="preserve">Organizace sportu 2020 </w:t>
      </w:r>
      <w:r w:rsidR="00B51DF1" w:rsidRPr="008B04E4">
        <w:rPr>
          <w:rFonts w:eastAsia="Calibri"/>
        </w:rPr>
        <w:t>–</w:t>
      </w:r>
      <w:r w:rsidRPr="008B04E4">
        <w:t xml:space="preserve"> Sportovní svazy</w:t>
      </w:r>
    </w:p>
    <w:p w14:paraId="1E6C4B7C" w14:textId="77777777" w:rsidR="008B04E4" w:rsidRPr="008B04E4" w:rsidRDefault="008B04E4" w:rsidP="008B04E4">
      <w:pPr>
        <w:pStyle w:val="Odstavecseseznamem"/>
        <w:numPr>
          <w:ilvl w:val="0"/>
          <w:numId w:val="2"/>
        </w:numPr>
        <w:suppressAutoHyphens w:val="0"/>
        <w:spacing w:before="0"/>
        <w:contextualSpacing w:val="0"/>
      </w:pPr>
      <w:r w:rsidRPr="008B04E4">
        <w:t>TALENT 2019</w:t>
      </w:r>
    </w:p>
    <w:p w14:paraId="3B989383" w14:textId="77777777" w:rsidR="008B04E4" w:rsidRPr="008B04E4" w:rsidRDefault="008B04E4" w:rsidP="008B04E4">
      <w:pPr>
        <w:pStyle w:val="Odstavecseseznamem"/>
        <w:numPr>
          <w:ilvl w:val="0"/>
          <w:numId w:val="2"/>
        </w:numPr>
        <w:suppressAutoHyphens w:val="0"/>
        <w:spacing w:before="0"/>
        <w:contextualSpacing w:val="0"/>
      </w:pPr>
      <w:r w:rsidRPr="008B04E4">
        <w:t>TALENT 2020</w:t>
      </w:r>
    </w:p>
    <w:p w14:paraId="675FDCA8" w14:textId="77777777" w:rsidR="008B04E4" w:rsidRPr="008B04E4" w:rsidRDefault="00744F57" w:rsidP="008B04E4">
      <w:pPr>
        <w:pStyle w:val="Odstavecseseznamem"/>
        <w:numPr>
          <w:ilvl w:val="0"/>
          <w:numId w:val="2"/>
        </w:numPr>
        <w:suppressAutoHyphens w:val="0"/>
        <w:spacing w:before="0"/>
        <w:contextualSpacing w:val="0"/>
      </w:pPr>
      <w:r>
        <w:t xml:space="preserve">VSA 2019 </w:t>
      </w:r>
    </w:p>
    <w:p w14:paraId="63A11197" w14:textId="77777777" w:rsidR="008B04E4" w:rsidRPr="008B04E4" w:rsidRDefault="00744F57" w:rsidP="008B04E4">
      <w:pPr>
        <w:pStyle w:val="Odstavecseseznamem"/>
        <w:numPr>
          <w:ilvl w:val="0"/>
          <w:numId w:val="2"/>
        </w:numPr>
        <w:suppressAutoHyphens w:val="0"/>
        <w:spacing w:before="0"/>
        <w:contextualSpacing w:val="0"/>
      </w:pPr>
      <w:r>
        <w:t>VSA</w:t>
      </w:r>
      <w:r w:rsidR="008B04E4" w:rsidRPr="008B04E4">
        <w:t xml:space="preserve"> 2020</w:t>
      </w:r>
    </w:p>
    <w:p w14:paraId="352CB1A9" w14:textId="77777777" w:rsidR="008B04E4" w:rsidRPr="008B04E4" w:rsidRDefault="008B04E4" w:rsidP="0048062C">
      <w:pPr>
        <w:suppressAutoHyphens w:val="0"/>
        <w:spacing w:before="120"/>
      </w:pPr>
      <w:r w:rsidRPr="008B04E4">
        <w:t>Národní sportovní agentura:</w:t>
      </w:r>
    </w:p>
    <w:p w14:paraId="0EA87824" w14:textId="1409BD79" w:rsidR="008B04E4" w:rsidRPr="008B04E4" w:rsidRDefault="008B04E4" w:rsidP="008B04E4">
      <w:pPr>
        <w:pStyle w:val="Odstavecseseznamem"/>
        <w:numPr>
          <w:ilvl w:val="0"/>
          <w:numId w:val="1"/>
        </w:numPr>
        <w:suppressAutoHyphens w:val="0"/>
        <w:spacing w:before="0"/>
        <w:contextualSpacing w:val="0"/>
        <w:jc w:val="left"/>
        <w:rPr>
          <w:rFonts w:eastAsia="Calibri"/>
        </w:rPr>
      </w:pPr>
      <w:r w:rsidRPr="008B04E4">
        <w:rPr>
          <w:rFonts w:eastAsia="Calibri"/>
        </w:rPr>
        <w:t xml:space="preserve">Výzva č. 17/2021 </w:t>
      </w:r>
      <w:r w:rsidR="00A12CD9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Podpora sportovních organizací svazového charakteru, které se</w:t>
      </w:r>
      <w:r w:rsidR="002A03F3">
        <w:rPr>
          <w:rFonts w:eastAsia="Calibri"/>
        </w:rPr>
        <w:t> </w:t>
      </w:r>
      <w:r w:rsidRPr="008B04E4">
        <w:rPr>
          <w:rFonts w:eastAsia="Calibri"/>
        </w:rPr>
        <w:t>účastní ZOH 2022</w:t>
      </w:r>
    </w:p>
    <w:p w14:paraId="7015A516" w14:textId="60DEF009" w:rsidR="008B04E4" w:rsidRPr="008B04E4" w:rsidRDefault="008B04E4" w:rsidP="008B04E4">
      <w:pPr>
        <w:pStyle w:val="Odstavecseseznamem"/>
        <w:numPr>
          <w:ilvl w:val="0"/>
          <w:numId w:val="1"/>
        </w:numPr>
        <w:suppressAutoHyphens w:val="0"/>
        <w:spacing w:before="0"/>
        <w:contextualSpacing w:val="0"/>
        <w:jc w:val="left"/>
        <w:rPr>
          <w:rFonts w:eastAsia="Calibri"/>
        </w:rPr>
      </w:pPr>
      <w:r w:rsidRPr="008B04E4">
        <w:rPr>
          <w:rFonts w:eastAsia="Calibri"/>
        </w:rPr>
        <w:t xml:space="preserve">Výzva č. 2/2022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Podpora státní reprezentace žen kolektivních sportů LOH 2028 pro</w:t>
      </w:r>
      <w:r w:rsidR="002A03F3">
        <w:rPr>
          <w:rFonts w:eastAsia="Calibri"/>
        </w:rPr>
        <w:t> </w:t>
      </w:r>
      <w:r w:rsidRPr="008B04E4">
        <w:rPr>
          <w:rFonts w:eastAsia="Calibri"/>
        </w:rPr>
        <w:t>rok 2022</w:t>
      </w:r>
    </w:p>
    <w:p w14:paraId="096B3D0C" w14:textId="63AB60C9" w:rsidR="008B04E4" w:rsidRPr="008B04E4" w:rsidRDefault="008B04E4" w:rsidP="008B04E4">
      <w:pPr>
        <w:pStyle w:val="Odstavecseseznamem"/>
        <w:numPr>
          <w:ilvl w:val="0"/>
          <w:numId w:val="1"/>
        </w:numPr>
        <w:suppressAutoHyphens w:val="0"/>
        <w:spacing w:before="0"/>
        <w:contextualSpacing w:val="0"/>
        <w:jc w:val="left"/>
        <w:rPr>
          <w:rFonts w:eastAsia="Calibri"/>
        </w:rPr>
      </w:pPr>
      <w:r w:rsidRPr="008B04E4">
        <w:rPr>
          <w:rFonts w:eastAsia="Calibri"/>
        </w:rPr>
        <w:t xml:space="preserve">Výzva č. 3/2021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Významné sportovní akce Mimořádné důležitosti 2021</w:t>
      </w:r>
    </w:p>
    <w:p w14:paraId="7211B92B" w14:textId="40ACDEDA" w:rsidR="008B04E4" w:rsidRPr="008B04E4" w:rsidRDefault="008B04E4" w:rsidP="008B04E4">
      <w:pPr>
        <w:pStyle w:val="Odstavecseseznamem"/>
        <w:numPr>
          <w:ilvl w:val="0"/>
          <w:numId w:val="1"/>
        </w:numPr>
        <w:suppressAutoHyphens w:val="0"/>
        <w:spacing w:before="0"/>
        <w:contextualSpacing w:val="0"/>
        <w:jc w:val="left"/>
        <w:rPr>
          <w:rFonts w:eastAsia="Calibri"/>
        </w:rPr>
      </w:pPr>
      <w:r w:rsidRPr="008B04E4">
        <w:rPr>
          <w:rFonts w:eastAsia="Calibri"/>
        </w:rPr>
        <w:t xml:space="preserve">Výzva č. 12/2021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Významné sportovní akce Mimořádné důležitosti 2021 – 2. kolo</w:t>
      </w:r>
    </w:p>
    <w:p w14:paraId="2CF98F39" w14:textId="42EE373F" w:rsidR="008B04E4" w:rsidRPr="008B04E4" w:rsidRDefault="008B04E4" w:rsidP="008B04E4">
      <w:pPr>
        <w:pStyle w:val="Odstavecseseznamem"/>
        <w:numPr>
          <w:ilvl w:val="0"/>
          <w:numId w:val="1"/>
        </w:numPr>
        <w:suppressAutoHyphens w:val="0"/>
        <w:spacing w:before="0"/>
        <w:contextualSpacing w:val="0"/>
        <w:jc w:val="left"/>
        <w:rPr>
          <w:rFonts w:eastAsia="Calibri"/>
        </w:rPr>
      </w:pPr>
      <w:r w:rsidRPr="008B04E4">
        <w:rPr>
          <w:rFonts w:eastAsia="Calibri"/>
        </w:rPr>
        <w:t xml:space="preserve">Výzva č. 7/2020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Pohyb a zdraví 2021</w:t>
      </w:r>
    </w:p>
    <w:p w14:paraId="7CF8470F" w14:textId="47CA54DC" w:rsidR="008B04E4" w:rsidRPr="008B04E4" w:rsidRDefault="008B04E4" w:rsidP="008B04E4">
      <w:pPr>
        <w:pStyle w:val="Odstavecseseznamem"/>
        <w:numPr>
          <w:ilvl w:val="0"/>
          <w:numId w:val="1"/>
        </w:numPr>
        <w:suppressAutoHyphens w:val="0"/>
        <w:spacing w:before="0"/>
        <w:contextualSpacing w:val="0"/>
        <w:jc w:val="left"/>
        <w:rPr>
          <w:rFonts w:eastAsia="Calibri"/>
        </w:rPr>
      </w:pPr>
      <w:r w:rsidRPr="008B04E4">
        <w:rPr>
          <w:rFonts w:eastAsia="Calibri"/>
        </w:rPr>
        <w:t xml:space="preserve">Výzva č. 8/2020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Provoz a údržba</w:t>
      </w:r>
      <w:r w:rsidR="00744F57">
        <w:rPr>
          <w:rFonts w:eastAsia="Calibri"/>
        </w:rPr>
        <w:t xml:space="preserve"> 2021</w:t>
      </w:r>
    </w:p>
    <w:p w14:paraId="5BCB03FB" w14:textId="3826681E" w:rsidR="008B04E4" w:rsidRPr="008B04E4" w:rsidRDefault="008B04E4" w:rsidP="008B04E4">
      <w:pPr>
        <w:pStyle w:val="Odstavecseseznamem"/>
        <w:numPr>
          <w:ilvl w:val="0"/>
          <w:numId w:val="1"/>
        </w:numPr>
        <w:suppressAutoHyphens w:val="0"/>
        <w:spacing w:before="0"/>
        <w:contextualSpacing w:val="0"/>
        <w:jc w:val="left"/>
        <w:rPr>
          <w:rFonts w:eastAsia="Calibri"/>
        </w:rPr>
      </w:pPr>
      <w:r w:rsidRPr="008B04E4">
        <w:rPr>
          <w:rFonts w:eastAsia="Calibri"/>
        </w:rPr>
        <w:t xml:space="preserve">Výzva č. 11/2020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Podpora SK/TJ ZPS 2021</w:t>
      </w:r>
    </w:p>
    <w:p w14:paraId="1664A601" w14:textId="34752BD4" w:rsidR="008B04E4" w:rsidRPr="008B04E4" w:rsidRDefault="008B04E4" w:rsidP="008B04E4">
      <w:pPr>
        <w:pStyle w:val="Odstavecseseznamem"/>
        <w:numPr>
          <w:ilvl w:val="0"/>
          <w:numId w:val="1"/>
        </w:numPr>
        <w:suppressAutoHyphens w:val="0"/>
        <w:spacing w:before="0"/>
        <w:contextualSpacing w:val="0"/>
        <w:jc w:val="left"/>
        <w:rPr>
          <w:rFonts w:eastAsia="Calibri"/>
        </w:rPr>
      </w:pPr>
      <w:r w:rsidRPr="008B04E4">
        <w:rPr>
          <w:rFonts w:eastAsia="Calibri"/>
        </w:rPr>
        <w:t xml:space="preserve">Výzva č. 18/2021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Podpora sportovních organizací svazového charakteru 2022</w:t>
      </w:r>
    </w:p>
    <w:p w14:paraId="2E412478" w14:textId="1DEFE54E" w:rsidR="008B04E4" w:rsidRPr="008B04E4" w:rsidRDefault="008B04E4" w:rsidP="008B04E4">
      <w:pPr>
        <w:pStyle w:val="Odstavecseseznamem"/>
        <w:numPr>
          <w:ilvl w:val="0"/>
          <w:numId w:val="1"/>
        </w:numPr>
        <w:suppressAutoHyphens w:val="0"/>
        <w:spacing w:before="0"/>
        <w:contextualSpacing w:val="0"/>
        <w:jc w:val="left"/>
        <w:rPr>
          <w:rFonts w:eastAsia="Calibri"/>
        </w:rPr>
      </w:pPr>
      <w:r w:rsidRPr="008B04E4">
        <w:rPr>
          <w:rFonts w:eastAsia="Calibri"/>
        </w:rPr>
        <w:t xml:space="preserve">Výzva č. 16/2022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Podpora sportovních organizací svazového charakteru 2022 – 2.</w:t>
      </w:r>
      <w:r w:rsidR="00296100">
        <w:rPr>
          <w:rFonts w:eastAsia="Calibri"/>
        </w:rPr>
        <w:t> </w:t>
      </w:r>
      <w:r w:rsidRPr="008B04E4">
        <w:rPr>
          <w:rFonts w:eastAsia="Calibri"/>
        </w:rPr>
        <w:t>kolo</w:t>
      </w:r>
    </w:p>
    <w:p w14:paraId="1420DA9A" w14:textId="173C969D" w:rsidR="008B04E4" w:rsidRPr="008B04E4" w:rsidRDefault="008B04E4" w:rsidP="008B04E4">
      <w:pPr>
        <w:pStyle w:val="Odstavecseseznamem"/>
        <w:numPr>
          <w:ilvl w:val="0"/>
          <w:numId w:val="1"/>
        </w:numPr>
        <w:suppressAutoHyphens w:val="0"/>
        <w:spacing w:before="0"/>
        <w:contextualSpacing w:val="0"/>
        <w:jc w:val="left"/>
        <w:rPr>
          <w:rFonts w:eastAsia="Calibri"/>
        </w:rPr>
      </w:pPr>
      <w:r w:rsidRPr="008B04E4">
        <w:rPr>
          <w:rFonts w:eastAsia="Calibri"/>
        </w:rPr>
        <w:t xml:space="preserve">Výzva č. 5/2022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Zastřešující sportovní organizace 2022</w:t>
      </w:r>
    </w:p>
    <w:p w14:paraId="4B6EF29A" w14:textId="0A6ABE22" w:rsidR="008B04E4" w:rsidRPr="008B04E4" w:rsidRDefault="008B04E4" w:rsidP="008B04E4">
      <w:pPr>
        <w:pStyle w:val="Odstavecseseznamem"/>
        <w:numPr>
          <w:ilvl w:val="0"/>
          <w:numId w:val="1"/>
        </w:numPr>
        <w:suppressAutoHyphens w:val="0"/>
        <w:spacing w:before="0"/>
        <w:contextualSpacing w:val="0"/>
        <w:jc w:val="left"/>
        <w:rPr>
          <w:rFonts w:eastAsia="Calibri"/>
        </w:rPr>
      </w:pPr>
      <w:r w:rsidRPr="008B04E4">
        <w:rPr>
          <w:rFonts w:eastAsia="Calibri"/>
        </w:rPr>
        <w:t xml:space="preserve">Výzva č. 14/2021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Můj klub 2022</w:t>
      </w:r>
    </w:p>
    <w:p w14:paraId="7A5DE1AC" w14:textId="3C0CE190" w:rsidR="008B04E4" w:rsidRPr="008B04E4" w:rsidRDefault="008B04E4" w:rsidP="008B04E4">
      <w:pPr>
        <w:pStyle w:val="Odstavecseseznamem"/>
        <w:numPr>
          <w:ilvl w:val="0"/>
          <w:numId w:val="1"/>
        </w:numPr>
        <w:suppressAutoHyphens w:val="0"/>
        <w:spacing w:before="0"/>
        <w:contextualSpacing w:val="0"/>
        <w:jc w:val="left"/>
        <w:rPr>
          <w:rFonts w:eastAsia="Calibri"/>
        </w:rPr>
      </w:pPr>
      <w:r w:rsidRPr="008B04E4">
        <w:rPr>
          <w:rFonts w:eastAsia="Calibri"/>
        </w:rPr>
        <w:t xml:space="preserve">Výzva č. 14/2022 </w:t>
      </w:r>
      <w:r w:rsidR="00B51DF1" w:rsidRPr="008B04E4">
        <w:rPr>
          <w:rFonts w:eastAsia="Calibri"/>
        </w:rPr>
        <w:t xml:space="preserve">– </w:t>
      </w:r>
      <w:r w:rsidRPr="008B04E4">
        <w:rPr>
          <w:rFonts w:eastAsia="Calibri"/>
        </w:rPr>
        <w:t>Můj klub 2022 – 2.</w:t>
      </w:r>
      <w:r w:rsidR="00A53F84">
        <w:rPr>
          <w:rFonts w:eastAsia="Calibri"/>
        </w:rPr>
        <w:t xml:space="preserve"> </w:t>
      </w:r>
      <w:r w:rsidRPr="008B04E4">
        <w:rPr>
          <w:rFonts w:eastAsia="Calibri"/>
        </w:rPr>
        <w:t>kolo</w:t>
      </w:r>
    </w:p>
    <w:p w14:paraId="7EA77A9E" w14:textId="77777777" w:rsidR="00566AC0" w:rsidRDefault="00566AC0" w:rsidP="00EA1B15">
      <w:pPr>
        <w:spacing w:before="120"/>
        <w:rPr>
          <w:b/>
        </w:rPr>
      </w:pPr>
    </w:p>
    <w:p w14:paraId="7A17F868" w14:textId="77777777" w:rsidR="00EA1B15" w:rsidRDefault="00EA1B15">
      <w:pPr>
        <w:suppressAutoHyphens w:val="0"/>
        <w:spacing w:before="120" w:line="276" w:lineRule="auto"/>
        <w:rPr>
          <w:b/>
        </w:rPr>
      </w:pPr>
      <w:r>
        <w:rPr>
          <w:b/>
        </w:rPr>
        <w:br w:type="page"/>
      </w:r>
    </w:p>
    <w:p w14:paraId="04A1951C" w14:textId="77777777" w:rsidR="002B1527" w:rsidRDefault="002B1527" w:rsidP="002B1527">
      <w:pPr>
        <w:spacing w:before="120"/>
        <w:jc w:val="right"/>
        <w:rPr>
          <w:b/>
        </w:rPr>
      </w:pPr>
      <w:r w:rsidRPr="002B1527">
        <w:rPr>
          <w:b/>
        </w:rPr>
        <w:lastRenderedPageBreak/>
        <w:t xml:space="preserve">Příloha č. </w:t>
      </w:r>
      <w:r w:rsidR="008B04E4">
        <w:rPr>
          <w:b/>
        </w:rPr>
        <w:t>3</w:t>
      </w:r>
    </w:p>
    <w:p w14:paraId="45E2193B" w14:textId="77777777" w:rsidR="002B1527" w:rsidRPr="002B1527" w:rsidRDefault="002B1527" w:rsidP="002B1527">
      <w:pPr>
        <w:spacing w:before="120"/>
        <w:jc w:val="center"/>
        <w:rPr>
          <w:b/>
        </w:rPr>
      </w:pPr>
      <w:r>
        <w:rPr>
          <w:b/>
        </w:rPr>
        <w:t>Dotazníkové šetření NKÚ</w:t>
      </w:r>
    </w:p>
    <w:p w14:paraId="0DEEBFE8" w14:textId="77777777" w:rsidR="0CDCD9D8" w:rsidRDefault="0CDCD9D8" w:rsidP="6524B888">
      <w:pPr>
        <w:spacing w:before="120"/>
      </w:pPr>
      <w:r>
        <w:t>NKÚ provedl v rámci kontrolní akce č. 23/04 kvantitativní výzkum metodou standardizovaného dotazníku, a to ve dvou verzích pro sportovní kluby a sportovní svazy. Účelem dotazníkového šetření bylo získání informací o sportovním prostředí a jeho pohledu na podporu v oblasti sportu. NKÚ prostřednictvím datové schránky oslovil 13</w:t>
      </w:r>
      <w:r w:rsidR="002A03F3">
        <w:t> </w:t>
      </w:r>
      <w:r>
        <w:t>4</w:t>
      </w:r>
      <w:r w:rsidR="00FA5982">
        <w:t>17</w:t>
      </w:r>
      <w:r w:rsidR="002A03F3">
        <w:t> </w:t>
      </w:r>
      <w:r>
        <w:t xml:space="preserve">sportovních klubů a 229 sportovních svazů (podle dat uvedených v </w:t>
      </w:r>
      <w:r w:rsidR="00461055">
        <w:t>r</w:t>
      </w:r>
      <w:r>
        <w:t>ejstříku sportu k</w:t>
      </w:r>
      <w:r w:rsidR="002A03F3">
        <w:t> </w:t>
      </w:r>
      <w:r>
        <w:t xml:space="preserve">31. </w:t>
      </w:r>
      <w:r w:rsidR="001D40C2">
        <w:t>březnu</w:t>
      </w:r>
      <w:r>
        <w:t xml:space="preserve"> 2023). Na tento dotazník odpovědělo celkem 7 105 respondentů (návratnost 52</w:t>
      </w:r>
      <w:r w:rsidR="002A03F3">
        <w:t> </w:t>
      </w:r>
      <w:r>
        <w:t xml:space="preserve">%). </w:t>
      </w:r>
    </w:p>
    <w:p w14:paraId="1B44E819" w14:textId="77777777" w:rsidR="0CDCD9D8" w:rsidRDefault="0CDCD9D8" w:rsidP="6524B888">
      <w:pPr>
        <w:spacing w:before="120"/>
      </w:pPr>
      <w:r>
        <w:t>Dotazník určený pro sportovní kluby obsahoval 13–16 otázek (v závislosti na filtrování odpovědí), dotazník pro sportovní svazy pak 8–14 otázek. Poslední otázka u obou variant dotazníků sloužila k doplnění či vyjádření postoje respondenta. Některé otázky v dotazníku nabízely doplnění v podobě otevřené odpovědi.</w:t>
      </w:r>
    </w:p>
    <w:p w14:paraId="3D88BF21" w14:textId="77777777" w:rsidR="0CDCD9D8" w:rsidRDefault="0CDCD9D8" w:rsidP="6524B888">
      <w:pPr>
        <w:spacing w:before="120"/>
      </w:pPr>
      <w:r>
        <w:t>Dotazníkové šetření probíhalo v období od 24. května do 4. července 2023.</w:t>
      </w:r>
    </w:p>
    <w:p w14:paraId="421929BB" w14:textId="77777777" w:rsidR="009E1E62" w:rsidRDefault="009E1E62" w:rsidP="6524B888">
      <w:pPr>
        <w:spacing w:before="120"/>
      </w:pPr>
    </w:p>
    <w:p w14:paraId="5A62D57B" w14:textId="39653C9D" w:rsidR="0CDCD9D8" w:rsidRDefault="00C254D2" w:rsidP="6524B888">
      <w:pPr>
        <w:spacing w:before="120"/>
      </w:pPr>
      <w:r>
        <w:t>I</w:t>
      </w:r>
      <w:r w:rsidR="0CDCD9D8">
        <w:t xml:space="preserve">nteraktivní </w:t>
      </w:r>
      <w:r w:rsidR="00864992">
        <w:t>zobrazení dat zjištěných v kontrole</w:t>
      </w:r>
      <w:r w:rsidR="0CDCD9D8">
        <w:t xml:space="preserve"> je dostupný </w:t>
      </w:r>
      <w:r>
        <w:t>na následujícím odkazu</w:t>
      </w:r>
      <w:r w:rsidR="0CDCD9D8">
        <w:t>:</w:t>
      </w:r>
      <w:r w:rsidR="000516CB" w:rsidRPr="000516CB">
        <w:rPr>
          <w:noProof/>
        </w:rPr>
        <w:t xml:space="preserve"> </w:t>
      </w:r>
    </w:p>
    <w:p w14:paraId="1CA4B4C4" w14:textId="0A7C6DA8" w:rsidR="00417AAF" w:rsidRDefault="004F7749" w:rsidP="6524B888">
      <w:pPr>
        <w:spacing w:before="120"/>
        <w:rPr>
          <w:noProof/>
        </w:rPr>
      </w:pPr>
      <w:hyperlink r:id="rId12" w:history="1">
        <w:r w:rsidR="00417AAF">
          <w:rPr>
            <w:rStyle w:val="Hypertextovodkaz"/>
            <w:rFonts w:eastAsiaTheme="majorEastAsia"/>
          </w:rPr>
          <w:t>https://www.nku.cz/scripts/detail.php?id=13493</w:t>
        </w:r>
      </w:hyperlink>
      <w:r w:rsidR="00C254D2">
        <w:t>.</w:t>
      </w:r>
    </w:p>
    <w:p w14:paraId="1A81A0B0" w14:textId="50627A13" w:rsidR="000516CB" w:rsidRDefault="00FE11F2" w:rsidP="002B1527">
      <w:pPr>
        <w:spacing w:before="120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C028F2E" wp14:editId="6E5172EA">
            <wp:simplePos x="0" y="0"/>
            <wp:positionH relativeFrom="column">
              <wp:posOffset>1922145</wp:posOffset>
            </wp:positionH>
            <wp:positionV relativeFrom="paragraph">
              <wp:posOffset>106045</wp:posOffset>
            </wp:positionV>
            <wp:extent cx="1899920" cy="1872615"/>
            <wp:effectExtent l="0" t="0" r="5080" b="0"/>
            <wp:wrapSquare wrapText="bothSides"/>
            <wp:docPr id="37" name="Obrázek 37" descr="cid:image002.jpg@01DA0D88.2D1D01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2.jpg@01DA0D88.2D1D01C0"/>
                    <pic:cNvPicPr/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FE39B4" w14:textId="1A086DA1" w:rsidR="000516CB" w:rsidRDefault="000516CB" w:rsidP="00C254D2">
      <w:pPr>
        <w:suppressAutoHyphens w:val="0"/>
        <w:spacing w:before="120" w:line="276" w:lineRule="auto"/>
        <w:rPr>
          <w:b/>
        </w:rPr>
      </w:pPr>
      <w:r>
        <w:rPr>
          <w:b/>
        </w:rPr>
        <w:br w:type="page"/>
      </w:r>
    </w:p>
    <w:p w14:paraId="28F8B051" w14:textId="77777777" w:rsidR="002B1527" w:rsidRPr="002B1527" w:rsidRDefault="0CDCD9D8" w:rsidP="002B1527">
      <w:pPr>
        <w:spacing w:before="120"/>
        <w:jc w:val="right"/>
        <w:rPr>
          <w:b/>
        </w:rPr>
      </w:pPr>
      <w:r w:rsidRPr="002B1527">
        <w:rPr>
          <w:b/>
        </w:rPr>
        <w:lastRenderedPageBreak/>
        <w:t xml:space="preserve">Příloha č. </w:t>
      </w:r>
      <w:r w:rsidR="008B04E4">
        <w:rPr>
          <w:b/>
        </w:rPr>
        <w:t>4</w:t>
      </w:r>
    </w:p>
    <w:p w14:paraId="6790EC10" w14:textId="77777777" w:rsidR="0CDCD9D8" w:rsidRPr="002B1527" w:rsidRDefault="0CDCD9D8" w:rsidP="002B1527">
      <w:pPr>
        <w:spacing w:before="120"/>
        <w:jc w:val="center"/>
        <w:rPr>
          <w:b/>
        </w:rPr>
      </w:pPr>
      <w:r w:rsidRPr="002B1527">
        <w:rPr>
          <w:b/>
        </w:rPr>
        <w:t xml:space="preserve">Mezinárodní </w:t>
      </w:r>
      <w:r w:rsidR="009E1E62">
        <w:rPr>
          <w:b/>
        </w:rPr>
        <w:t>srovnání</w:t>
      </w:r>
    </w:p>
    <w:p w14:paraId="3DBD1D72" w14:textId="1B3D25B7" w:rsidR="0CDCD9D8" w:rsidRDefault="0CDCD9D8" w:rsidP="6524B888">
      <w:pPr>
        <w:spacing w:before="120"/>
      </w:pPr>
      <w:r>
        <w:t>NKÚ provedl mezinárodní dotazníkové šetření v rámci kontrolní akce č. 23/04 s cílem získat</w:t>
      </w:r>
      <w:r w:rsidR="0022533D">
        <w:t xml:space="preserve"> </w:t>
      </w:r>
      <w:r>
        <w:t>relevantní informace o oblasti sportu v jiných zemích. NKÚ proto oslovil 47 evropských nejvyšších kontrolních institucí sdružených v rámci EUROSAI, přičemž obdržel celkem 17</w:t>
      </w:r>
      <w:r w:rsidR="002A03F3">
        <w:t> </w:t>
      </w:r>
      <w:r>
        <w:t>odpovědí. Šetření probíhalo v</w:t>
      </w:r>
      <w:r w:rsidR="00C254D2">
        <w:t> období</w:t>
      </w:r>
      <w:r>
        <w:t xml:space="preserve"> od 31. května do 13. července 2023.</w:t>
      </w:r>
    </w:p>
    <w:p w14:paraId="1B1F6D04" w14:textId="5DF5FC83" w:rsidR="009E1E62" w:rsidRDefault="00C254D2" w:rsidP="009E1E62">
      <w:pPr>
        <w:spacing w:before="120"/>
      </w:pPr>
      <w:r>
        <w:t>I</w:t>
      </w:r>
      <w:r w:rsidR="009E1E62">
        <w:t xml:space="preserve">nteraktivní zobrazení dat zjištěných v kontrole je dostupný </w:t>
      </w:r>
      <w:r>
        <w:t>na následujícím odkazu</w:t>
      </w:r>
      <w:r w:rsidR="009E1E62">
        <w:t>:</w:t>
      </w:r>
      <w:r>
        <w:t xml:space="preserve"> </w:t>
      </w:r>
    </w:p>
    <w:p w14:paraId="1FA5FAB0" w14:textId="61AE8FC2" w:rsidR="009E1E62" w:rsidRDefault="004F7749" w:rsidP="009E1E62">
      <w:hyperlink r:id="rId15" w:history="1">
        <w:r w:rsidR="009E1E62">
          <w:rPr>
            <w:rStyle w:val="Hypertextovodkaz"/>
            <w:rFonts w:eastAsiaTheme="majorEastAsia"/>
          </w:rPr>
          <w:t>https://www.nku.cz/scripts/detail.php?id=13494</w:t>
        </w:r>
      </w:hyperlink>
      <w:r w:rsidR="009331B8">
        <w:t>.</w:t>
      </w:r>
    </w:p>
    <w:p w14:paraId="2E995E75" w14:textId="77777777" w:rsidR="009E1E62" w:rsidRPr="00FE330E" w:rsidRDefault="008B04E4" w:rsidP="009E1E6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33F5293" wp14:editId="6FC3863A">
            <wp:simplePos x="0" y="0"/>
            <wp:positionH relativeFrom="column">
              <wp:posOffset>1986142</wp:posOffset>
            </wp:positionH>
            <wp:positionV relativeFrom="paragraph">
              <wp:posOffset>159882</wp:posOffset>
            </wp:positionV>
            <wp:extent cx="1701165" cy="1542415"/>
            <wp:effectExtent l="0" t="0" r="0" b="635"/>
            <wp:wrapSquare wrapText="bothSides"/>
            <wp:docPr id="38" name="Obrázek 38" descr="cid:image003.jpg@01DA0D88.2D1D01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cid:image003.jpg@01DA0D88.2D1D01C0"/>
                    <pic:cNvPicPr/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9716A" w14:textId="77777777" w:rsidR="009E1E62" w:rsidRDefault="009E1E62" w:rsidP="009E1E62">
      <w:pPr>
        <w:spacing w:before="120"/>
        <w:jc w:val="right"/>
        <w:rPr>
          <w:rFonts w:asciiTheme="minorHAnsi" w:hAnsiTheme="minorHAnsi" w:cstheme="minorBidi"/>
          <w:b/>
        </w:rPr>
      </w:pPr>
    </w:p>
    <w:p w14:paraId="6710D136" w14:textId="77777777" w:rsidR="6524B888" w:rsidRDefault="6524B888" w:rsidP="6524B888">
      <w:pPr>
        <w:spacing w:before="120"/>
      </w:pPr>
    </w:p>
    <w:p w14:paraId="0B36FF6E" w14:textId="77777777" w:rsidR="009E1E62" w:rsidRDefault="009E1E62" w:rsidP="6524B888">
      <w:pPr>
        <w:spacing w:before="120"/>
      </w:pPr>
    </w:p>
    <w:p w14:paraId="57F1C745" w14:textId="77777777" w:rsidR="009E1E62" w:rsidRDefault="009E1E62" w:rsidP="6524B888">
      <w:pPr>
        <w:spacing w:before="120"/>
      </w:pPr>
    </w:p>
    <w:p w14:paraId="717697A0" w14:textId="77777777" w:rsidR="009E1E62" w:rsidRDefault="009E1E62" w:rsidP="6524B888">
      <w:pPr>
        <w:spacing w:before="120"/>
      </w:pPr>
    </w:p>
    <w:p w14:paraId="6DA3D51A" w14:textId="77777777" w:rsidR="009E1E62" w:rsidRDefault="009E1E62" w:rsidP="6524B888">
      <w:pPr>
        <w:spacing w:before="120"/>
      </w:pPr>
    </w:p>
    <w:p w14:paraId="41332993" w14:textId="77777777" w:rsidR="00FE330E" w:rsidRDefault="00FE330E" w:rsidP="001B7A1D">
      <w:pPr>
        <w:spacing w:before="120"/>
        <w:rPr>
          <w:rFonts w:asciiTheme="minorHAnsi" w:hAnsiTheme="minorHAnsi" w:cstheme="minorBidi"/>
          <w:b/>
        </w:rPr>
      </w:pPr>
    </w:p>
    <w:p w14:paraId="62CED23A" w14:textId="77777777" w:rsidR="00FE330E" w:rsidRDefault="00FE330E" w:rsidP="002B1527">
      <w:pPr>
        <w:spacing w:before="120"/>
        <w:jc w:val="right"/>
        <w:rPr>
          <w:rFonts w:asciiTheme="minorHAnsi" w:hAnsiTheme="minorHAnsi" w:cstheme="minorBidi"/>
          <w:b/>
        </w:rPr>
      </w:pPr>
    </w:p>
    <w:sectPr w:rsidR="00FE330E" w:rsidSect="00422E19">
      <w:headerReference w:type="default" r:id="rId18"/>
      <w:footerReference w:type="defaul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9E8C1AA" w16cex:dateUtc="2023-10-19T06:29:54.28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46975" w14:textId="77777777" w:rsidR="00432ACE" w:rsidRDefault="00432ACE" w:rsidP="00FE5796">
      <w:r>
        <w:separator/>
      </w:r>
    </w:p>
  </w:endnote>
  <w:endnote w:type="continuationSeparator" w:id="0">
    <w:p w14:paraId="1232A732" w14:textId="77777777" w:rsidR="00432ACE" w:rsidRDefault="00432ACE" w:rsidP="00FE5796">
      <w:r>
        <w:continuationSeparator/>
      </w:r>
    </w:p>
  </w:endnote>
  <w:endnote w:type="continuationNotice" w:id="1">
    <w:p w14:paraId="64DA0E38" w14:textId="77777777" w:rsidR="00432ACE" w:rsidRDefault="00432AC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514200"/>
      <w:docPartObj>
        <w:docPartGallery w:val="Page Numbers (Bottom of Page)"/>
        <w:docPartUnique/>
      </w:docPartObj>
    </w:sdtPr>
    <w:sdtEndPr/>
    <w:sdtContent>
      <w:p w14:paraId="3A8EDD35" w14:textId="77777777" w:rsidR="00432ACE" w:rsidRDefault="00432ACE" w:rsidP="00EA1B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995336"/>
      <w:docPartObj>
        <w:docPartGallery w:val="Page Numbers (Bottom of Page)"/>
        <w:docPartUnique/>
      </w:docPartObj>
    </w:sdtPr>
    <w:sdtEndPr/>
    <w:sdtContent>
      <w:p w14:paraId="5A463A3B" w14:textId="77777777" w:rsidR="00432ACE" w:rsidRDefault="004F7749" w:rsidP="00EA1B15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02E9F" w14:textId="77777777" w:rsidR="00432ACE" w:rsidRDefault="00432ACE" w:rsidP="00FE5796">
      <w:r>
        <w:separator/>
      </w:r>
    </w:p>
  </w:footnote>
  <w:footnote w:type="continuationSeparator" w:id="0">
    <w:p w14:paraId="47B50208" w14:textId="77777777" w:rsidR="00432ACE" w:rsidRDefault="00432ACE" w:rsidP="00FE5796">
      <w:r>
        <w:continuationSeparator/>
      </w:r>
    </w:p>
  </w:footnote>
  <w:footnote w:type="continuationNotice" w:id="1">
    <w:p w14:paraId="4F3F58C8" w14:textId="77777777" w:rsidR="00432ACE" w:rsidRDefault="00432ACE">
      <w:pPr>
        <w:spacing w:before="0"/>
      </w:pPr>
    </w:p>
  </w:footnote>
  <w:footnote w:id="2">
    <w:p w14:paraId="58962C33" w14:textId="77777777" w:rsidR="00432ACE" w:rsidRPr="00E7426F" w:rsidRDefault="00432ACE" w:rsidP="00E7426F">
      <w:pPr>
        <w:pStyle w:val="Textpoznpodarou"/>
        <w:spacing w:before="0"/>
        <w:ind w:left="284" w:hanging="284"/>
      </w:pPr>
      <w:r w:rsidRPr="00E7426F">
        <w:rPr>
          <w:rStyle w:val="Znakapoznpodarou"/>
        </w:rPr>
        <w:footnoteRef/>
      </w:r>
      <w:r w:rsidRPr="00E7426F">
        <w:t xml:space="preserve"> </w:t>
      </w:r>
      <w:r>
        <w:tab/>
      </w:r>
      <w:r w:rsidRPr="00E7426F">
        <w:t>Údaj o počtu sportovních organizací zapsaných v rejstříku podle § 3f zákona č. 115/2001 Sb., o podpoře sportu, ke dni 16. 8. 2023; rejstřík (dále také „rejstřík sportu“).</w:t>
      </w:r>
    </w:p>
  </w:footnote>
  <w:footnote w:id="3">
    <w:p w14:paraId="142A95F1" w14:textId="77777777" w:rsidR="00432ACE" w:rsidRPr="00E7426F" w:rsidRDefault="00432ACE" w:rsidP="00E7426F">
      <w:pPr>
        <w:spacing w:before="0"/>
        <w:ind w:left="284" w:hanging="284"/>
        <w:rPr>
          <w:sz w:val="20"/>
          <w:szCs w:val="20"/>
        </w:rPr>
      </w:pPr>
      <w:r w:rsidRPr="00E7426F">
        <w:rPr>
          <w:rStyle w:val="Znakapoznpodarou"/>
          <w:sz w:val="20"/>
          <w:szCs w:val="20"/>
        </w:rPr>
        <w:footnoteRef/>
      </w:r>
      <w:r w:rsidRPr="00E742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7426F">
        <w:rPr>
          <w:sz w:val="20"/>
          <w:szCs w:val="20"/>
        </w:rPr>
        <w:t>Zejména posílení transparentnosti rozdělování prostředků a zavedení funkčního systému vyhodnocování využití peněžních prostředků.</w:t>
      </w:r>
    </w:p>
  </w:footnote>
  <w:footnote w:id="4">
    <w:p w14:paraId="40C70A3B" w14:textId="36E167A9" w:rsidR="00432ACE" w:rsidRDefault="00432ACE" w:rsidP="006F0345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C3B92">
        <w:rPr>
          <w:rFonts w:eastAsia="Calibri"/>
          <w:i/>
        </w:rPr>
        <w:t>Koncepce podpory sportu 2016–2025 – SPORT 2025</w:t>
      </w:r>
      <w:r w:rsidRPr="009B38AA">
        <w:rPr>
          <w:rFonts w:eastAsia="Calibri"/>
        </w:rPr>
        <w:t>, která</w:t>
      </w:r>
      <w:r>
        <w:rPr>
          <w:rFonts w:eastAsia="Calibri"/>
        </w:rPr>
        <w:t xml:space="preserve"> obsahovala</w:t>
      </w:r>
      <w:r>
        <w:rPr>
          <w:rFonts w:asciiTheme="minorHAnsi" w:eastAsia="Calibri" w:hAnsiTheme="minorHAnsi" w:cstheme="minorBidi"/>
          <w:sz w:val="24"/>
          <w:szCs w:val="24"/>
        </w:rPr>
        <w:t xml:space="preserve"> </w:t>
      </w:r>
      <w:r w:rsidRPr="424C9439">
        <w:rPr>
          <w:rFonts w:eastAsia="Calibri"/>
        </w:rPr>
        <w:t>pilíře, horizontální priority a</w:t>
      </w:r>
      <w:r>
        <w:rPr>
          <w:rFonts w:eastAsia="Calibri"/>
        </w:rPr>
        <w:t> </w:t>
      </w:r>
      <w:r w:rsidRPr="424C9439">
        <w:rPr>
          <w:rFonts w:eastAsia="Calibri"/>
        </w:rPr>
        <w:t>strategické cíle v osmi různých oblastech</w:t>
      </w:r>
      <w:r>
        <w:rPr>
          <w:rFonts w:eastAsia="Calibri"/>
        </w:rPr>
        <w:t>.</w:t>
      </w:r>
    </w:p>
  </w:footnote>
  <w:footnote w:id="5">
    <w:p w14:paraId="2EE03E72" w14:textId="00529684" w:rsidR="00432ACE" w:rsidRPr="003648F8" w:rsidRDefault="00432ACE" w:rsidP="006F0345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color w:val="000000"/>
        </w:rPr>
        <w:t>U</w:t>
      </w:r>
      <w:r w:rsidRPr="000B60FA">
        <w:rPr>
          <w:color w:val="000000"/>
        </w:rPr>
        <w:t>snesení</w:t>
      </w:r>
      <w:r>
        <w:rPr>
          <w:color w:val="000000"/>
        </w:rPr>
        <w:t xml:space="preserve"> vlády ČR</w:t>
      </w:r>
      <w:r w:rsidRPr="000B60FA">
        <w:rPr>
          <w:color w:val="000000"/>
        </w:rPr>
        <w:t xml:space="preserve"> ze dne 27. června 2016</w:t>
      </w:r>
      <w:r>
        <w:rPr>
          <w:color w:val="000000"/>
        </w:rPr>
        <w:t xml:space="preserve"> </w:t>
      </w:r>
      <w:r w:rsidRPr="000B60FA">
        <w:rPr>
          <w:color w:val="000000"/>
        </w:rPr>
        <w:t>č. 59</w:t>
      </w:r>
      <w:r>
        <w:rPr>
          <w:color w:val="000000"/>
        </w:rPr>
        <w:t xml:space="preserve">1, </w:t>
      </w:r>
      <w:r w:rsidRPr="009C3B92">
        <w:rPr>
          <w:i/>
          <w:color w:val="000000"/>
        </w:rPr>
        <w:t>ke Koncepci podpory sportu 2016–2025 – SPORT 2025</w:t>
      </w:r>
      <w:r>
        <w:rPr>
          <w:color w:val="000000"/>
        </w:rPr>
        <w:t>.</w:t>
      </w:r>
    </w:p>
  </w:footnote>
  <w:footnote w:id="6">
    <w:p w14:paraId="6BC85A0D" w14:textId="77777777" w:rsidR="00432ACE" w:rsidRDefault="00432ACE" w:rsidP="006F0345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218/2000 Sb., </w:t>
      </w:r>
      <w:r w:rsidRPr="00722FC4">
        <w:t>o rozpočtových pravidlech a o změně některých souvisejících zákonů (rozpočtová pravidla)</w:t>
      </w:r>
      <w:r>
        <w:t>.</w:t>
      </w:r>
    </w:p>
  </w:footnote>
  <w:footnote w:id="7">
    <w:p w14:paraId="00339F3C" w14:textId="77777777" w:rsidR="00432ACE" w:rsidRDefault="00432ACE" w:rsidP="006F0345">
      <w:pPr>
        <w:pStyle w:val="Textpoznpodarou"/>
        <w:spacing w:before="0"/>
        <w:ind w:left="284" w:hanging="284"/>
      </w:pPr>
      <w:r w:rsidRPr="00A03607">
        <w:rPr>
          <w:rStyle w:val="Znakapoznpodarou"/>
        </w:rPr>
        <w:footnoteRef/>
      </w:r>
      <w:r w:rsidRPr="002F6271">
        <w:t xml:space="preserve"> </w:t>
      </w:r>
      <w:r>
        <w:tab/>
      </w:r>
      <w:r w:rsidRPr="002F6271">
        <w:t>V podobě stanovených horizontálních priorit jako n</w:t>
      </w:r>
      <w:r w:rsidRPr="002F6271">
        <w:rPr>
          <w:rFonts w:eastAsia="Calibri"/>
        </w:rPr>
        <w:t xml:space="preserve">apř. zastavení poklesu tělesné zdatnosti dětí a mládeže, </w:t>
      </w:r>
      <w:r>
        <w:rPr>
          <w:rFonts w:eastAsia="Calibri"/>
        </w:rPr>
        <w:t xml:space="preserve">zastavení </w:t>
      </w:r>
      <w:r w:rsidRPr="002F6271">
        <w:rPr>
          <w:rFonts w:eastAsia="Calibri"/>
        </w:rPr>
        <w:t>růst</w:t>
      </w:r>
      <w:r>
        <w:rPr>
          <w:rFonts w:eastAsia="Calibri"/>
        </w:rPr>
        <w:t>u</w:t>
      </w:r>
      <w:r w:rsidRPr="002F6271">
        <w:rPr>
          <w:rFonts w:eastAsia="Calibri"/>
        </w:rPr>
        <w:t xml:space="preserve"> nadváhy a obezity u dětí a mládeže či snížení ekonomické spoluúčasti rodin ve sportu</w:t>
      </w:r>
      <w:r>
        <w:rPr>
          <w:rFonts w:eastAsia="Calibri"/>
        </w:rPr>
        <w:t>.</w:t>
      </w:r>
    </w:p>
  </w:footnote>
  <w:footnote w:id="8">
    <w:p w14:paraId="577073AC" w14:textId="0D97E337" w:rsidR="00432ACE" w:rsidRDefault="00432ACE" w:rsidP="006F0345">
      <w:pPr>
        <w:pStyle w:val="Textpoznpodarou"/>
        <w:spacing w:before="0"/>
        <w:ind w:left="284" w:hanging="284"/>
      </w:pPr>
      <w:r w:rsidRPr="00CF432B">
        <w:rPr>
          <w:rStyle w:val="Znakapoznpodarou"/>
        </w:rPr>
        <w:footnoteRef/>
      </w:r>
      <w:r>
        <w:t xml:space="preserve"> </w:t>
      </w:r>
      <w:r>
        <w:tab/>
      </w:r>
      <w:r w:rsidRPr="527EA771">
        <w:rPr>
          <w:rFonts w:asciiTheme="minorHAnsi" w:eastAsiaTheme="minorEastAsia" w:hAnsiTheme="minorHAnsi" w:cstheme="minorBidi"/>
        </w:rPr>
        <w:t>Toho však NSA dosáhla i s pomocí externí společnosti, kterou NSA využívala ke zpracování žádostí.</w:t>
      </w:r>
      <w:r>
        <w:rPr>
          <w:rFonts w:asciiTheme="minorHAnsi" w:eastAsiaTheme="minorEastAsia" w:hAnsiTheme="minorHAnsi" w:cstheme="minorBidi"/>
        </w:rPr>
        <w:t xml:space="preserve"> V dalším roce administrovala žádosti této výzvy pouze svými zaměstnanci.</w:t>
      </w:r>
    </w:p>
  </w:footnote>
  <w:footnote w:id="9">
    <w:p w14:paraId="10127424" w14:textId="77777777" w:rsidR="00432ACE" w:rsidRDefault="00432ACE" w:rsidP="006F0345">
      <w:pPr>
        <w:pStyle w:val="Textpoznpodarou"/>
        <w:spacing w:before="0"/>
        <w:ind w:left="284" w:hanging="284"/>
      </w:pPr>
      <w:r w:rsidRPr="001A4BE1">
        <w:rPr>
          <w:rStyle w:val="Znakapoznpodarou"/>
        </w:rPr>
        <w:footnoteRef/>
      </w:r>
      <w:r w:rsidRPr="001A4BE1">
        <w:t xml:space="preserve"> </w:t>
      </w:r>
      <w:r>
        <w:tab/>
      </w:r>
      <w:r w:rsidRPr="001A4BE1">
        <w:t>Důvodová zpráva k zákon</w:t>
      </w:r>
      <w:r>
        <w:t>u</w:t>
      </w:r>
      <w:r w:rsidRPr="001A4BE1">
        <w:t xml:space="preserve"> č. 1</w:t>
      </w:r>
      <w:r>
        <w:t>78</w:t>
      </w:r>
      <w:r w:rsidRPr="001A4BE1">
        <w:t>/20</w:t>
      </w:r>
      <w:r>
        <w:t>19</w:t>
      </w:r>
      <w:r w:rsidRPr="001A4BE1">
        <w:t xml:space="preserve"> Sb.</w:t>
      </w:r>
      <w:r>
        <w:t>, kterým se mění zákon č. 115/2001 Sb., o podpoře sportu, ve znění pozdějších předpisů, a některé další zákony (novela zákona č. 115/2001 Sb., o podpoře sportu).</w:t>
      </w:r>
    </w:p>
  </w:footnote>
  <w:footnote w:id="10">
    <w:p w14:paraId="2EFE4519" w14:textId="77777777" w:rsidR="00432ACE" w:rsidRDefault="00432ACE" w:rsidP="006F0345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NSA </w:t>
      </w:r>
      <w:r w:rsidRPr="00CA7608">
        <w:rPr>
          <w:rFonts w:asciiTheme="minorHAnsi" w:eastAsiaTheme="minorEastAsia" w:hAnsiTheme="minorHAnsi" w:cstheme="minorBidi"/>
          <w:bCs/>
        </w:rPr>
        <w:t>včas neuplatňovala právo na vydání bezdůvodného obohacení od jiných právnických či fyzických osob</w:t>
      </w:r>
      <w:r>
        <w:rPr>
          <w:rFonts w:asciiTheme="minorHAnsi" w:eastAsiaTheme="minorEastAsia" w:hAnsiTheme="minorHAnsi" w:cstheme="minorBidi"/>
          <w:bCs/>
        </w:rPr>
        <w:t>.</w:t>
      </w:r>
    </w:p>
  </w:footnote>
  <w:footnote w:id="11">
    <w:p w14:paraId="6BAD9683" w14:textId="77777777" w:rsidR="00432ACE" w:rsidRDefault="00432ACE" w:rsidP="006F0345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219/2000 Sb., </w:t>
      </w:r>
      <w:r w:rsidRPr="00ED1179">
        <w:rPr>
          <w:rFonts w:asciiTheme="minorHAnsi" w:eastAsiaTheme="minorEastAsia" w:hAnsiTheme="minorHAnsi" w:cstheme="minorBidi"/>
          <w:bCs/>
        </w:rPr>
        <w:t>o majetku České republiky a jejím vystupování v právních vztazích</w:t>
      </w:r>
      <w:r>
        <w:rPr>
          <w:rFonts w:asciiTheme="minorHAnsi" w:eastAsiaTheme="minorEastAsia" w:hAnsiTheme="minorHAnsi" w:cstheme="minorBidi"/>
          <w:bCs/>
        </w:rPr>
        <w:t>.</w:t>
      </w:r>
    </w:p>
  </w:footnote>
  <w:footnote w:id="12">
    <w:p w14:paraId="7D7415E6" w14:textId="77777777" w:rsidR="00432ACE" w:rsidRDefault="00432ACE" w:rsidP="006F0345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134/2016 Sb., o zadávání veřejných zakázek.</w:t>
      </w:r>
    </w:p>
  </w:footnote>
  <w:footnote w:id="13">
    <w:p w14:paraId="69791190" w14:textId="77777777" w:rsidR="00432ACE" w:rsidRDefault="00432ACE" w:rsidP="006F0345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134/2016 Sb.</w:t>
      </w:r>
    </w:p>
  </w:footnote>
  <w:footnote w:id="14">
    <w:p w14:paraId="64A3A8A3" w14:textId="77777777" w:rsidR="00432ACE" w:rsidRDefault="00432ACE" w:rsidP="006F0345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340/2015 Sb., o zvláštních podmínkách účinnosti některých smluv, uveřejňování těchto smluv a o registru smluv (zákon o registru smluv).</w:t>
      </w:r>
    </w:p>
  </w:footnote>
  <w:footnote w:id="15">
    <w:p w14:paraId="7589618F" w14:textId="77777777" w:rsidR="00432ACE" w:rsidRDefault="00432ACE" w:rsidP="006F0345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320/2001 Sb., o finanční kontrole ve veřejné správě a o změně některých zákonů (zákon o finanční kontrole).</w:t>
      </w:r>
    </w:p>
  </w:footnote>
  <w:footnote w:id="16">
    <w:p w14:paraId="32709DD1" w14:textId="77777777" w:rsidR="00432ACE" w:rsidRDefault="00432ACE" w:rsidP="006F0345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Zákon č. 320/2001 Sb.</w:t>
      </w:r>
    </w:p>
  </w:footnote>
  <w:footnote w:id="17">
    <w:p w14:paraId="25631FF0" w14:textId="77777777" w:rsidR="00432ACE" w:rsidRPr="00FD2CAD" w:rsidRDefault="00432ACE" w:rsidP="006F0345">
      <w:pPr>
        <w:spacing w:before="0"/>
        <w:ind w:left="284" w:hanging="284"/>
        <w:rPr>
          <w:sz w:val="20"/>
          <w:szCs w:val="20"/>
        </w:rPr>
      </w:pPr>
      <w:r w:rsidRPr="00FD2CAD">
        <w:rPr>
          <w:sz w:val="20"/>
          <w:szCs w:val="20"/>
          <w:vertAlign w:val="superscript"/>
        </w:rPr>
        <w:footnoteRef/>
      </w:r>
      <w:r w:rsidRPr="00FD2CA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D2CAD">
        <w:rPr>
          <w:sz w:val="20"/>
          <w:szCs w:val="20"/>
        </w:rPr>
        <w:t>Zákon č. 499/2004 Sb., o archivnictví a spisové službě a o změně některých zákonů.</w:t>
      </w:r>
    </w:p>
  </w:footnote>
  <w:footnote w:id="18">
    <w:p w14:paraId="66CCF8D3" w14:textId="77777777" w:rsidR="00432ACE" w:rsidRPr="00992D5E" w:rsidRDefault="00432ACE" w:rsidP="00E73464">
      <w:pPr>
        <w:pStyle w:val="Textpoznpodarou"/>
        <w:spacing w:before="0"/>
        <w:ind w:left="284" w:hanging="284"/>
      </w:pPr>
      <w:r w:rsidRPr="00992D5E">
        <w:rPr>
          <w:rStyle w:val="Znakapoznpodarou"/>
        </w:rPr>
        <w:footnoteRef/>
      </w:r>
      <w:r w:rsidRPr="00992D5E">
        <w:t xml:space="preserve"> </w:t>
      </w:r>
      <w:r>
        <w:tab/>
      </w:r>
      <w:r w:rsidRPr="00992D5E">
        <w:t>Ustanovení § 1a odst. 1</w:t>
      </w:r>
      <w:r>
        <w:t xml:space="preserve"> a 2</w:t>
      </w:r>
      <w:r w:rsidRPr="00992D5E">
        <w:t xml:space="preserve"> </w:t>
      </w:r>
      <w:r w:rsidRPr="00992D5E">
        <w:rPr>
          <w:rFonts w:asciiTheme="minorHAnsi" w:hAnsiTheme="minorHAnsi" w:cstheme="minorHAnsi"/>
        </w:rPr>
        <w:t>zákona č. 115/2001 Sb.,</w:t>
      </w:r>
      <w:r w:rsidRPr="00992D5E">
        <w:rPr>
          <w:rFonts w:asciiTheme="minorHAnsi" w:hAnsiTheme="minorHAnsi" w:cstheme="minorHAnsi"/>
          <w:lang w:eastAsia="cs-CZ"/>
        </w:rPr>
        <w:t xml:space="preserve"> o podpoře sportu.</w:t>
      </w:r>
    </w:p>
  </w:footnote>
  <w:footnote w:id="19">
    <w:p w14:paraId="6072B129" w14:textId="78CC3C43" w:rsidR="00432ACE" w:rsidRDefault="00432ACE" w:rsidP="00E7346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Čl. II. </w:t>
      </w:r>
      <w:r w:rsidRPr="008F2C5F">
        <w:rPr>
          <w:i/>
        </w:rPr>
        <w:t>Přechodná ustanovení</w:t>
      </w:r>
      <w:r w:rsidRPr="00992D5E">
        <w:t xml:space="preserve"> zákona č. 178/2019 Sb., </w:t>
      </w:r>
      <w:r w:rsidRPr="00992D5E">
        <w:rPr>
          <w:rFonts w:asciiTheme="minorHAnsi" w:hAnsiTheme="minorHAnsi" w:cstheme="minorHAnsi"/>
          <w:lang w:eastAsia="cs-CZ"/>
        </w:rPr>
        <w:t>kterým se mění zákon č. 115/2001 Sb., o podpoře sportu, ve</w:t>
      </w:r>
      <w:r>
        <w:rPr>
          <w:rFonts w:asciiTheme="minorHAnsi" w:hAnsiTheme="minorHAnsi" w:cstheme="minorHAnsi"/>
          <w:lang w:eastAsia="cs-CZ"/>
        </w:rPr>
        <w:t> </w:t>
      </w:r>
      <w:r w:rsidRPr="00992D5E">
        <w:rPr>
          <w:rFonts w:asciiTheme="minorHAnsi" w:hAnsiTheme="minorHAnsi" w:cstheme="minorHAnsi"/>
          <w:lang w:eastAsia="cs-CZ"/>
        </w:rPr>
        <w:t>znění pozdějších předpisů, a některé další zákony.</w:t>
      </w:r>
    </w:p>
  </w:footnote>
  <w:footnote w:id="20">
    <w:p w14:paraId="2B034B10" w14:textId="77777777" w:rsidR="00432ACE" w:rsidRDefault="00432ACE" w:rsidP="00E7346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Sportovní klub je samostatný spolek s vlastní právní subjektivitou dle zákona č. 89/2012 Sb., občanský zákoník. </w:t>
      </w:r>
      <w:r w:rsidRPr="009C6BA1">
        <w:t>Dle stanov Česká unie sportu sportovní klub p</w:t>
      </w:r>
      <w:r>
        <w:t>rovozuje sportovní činnost zejména v místech svého sídla. Jeho členové provozují sportovní činnost v příslušných sportech.</w:t>
      </w:r>
    </w:p>
  </w:footnote>
  <w:footnote w:id="21">
    <w:p w14:paraId="38635E22" w14:textId="00ACE228" w:rsidR="00432ACE" w:rsidRDefault="00432ACE" w:rsidP="00E7346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Sportovní svaz je samostatný zapsaný spolek sdružující fyzické, případně i právnické osoby, s celostátní působností ustanovený ve smyslu zákona č. 89/2012 Sb., občanský zákoník. Dle stanov České unie sportu je hlavní činností svazu řídit a organizovat činnost v příslušném sportu na území ČR, hájit zájmy členů a zabezpečit státní reprezentaci ČR v daném sportovním odvětví. </w:t>
      </w:r>
    </w:p>
  </w:footnote>
  <w:footnote w:id="22">
    <w:p w14:paraId="571F1677" w14:textId="01D523A4" w:rsidR="00432ACE" w:rsidRDefault="00432ACE" w:rsidP="00E7346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MŠMT vyplácelo do oblasti sportu peněžní prostředky i v roce 2021 a 2022, avšak ty nebyly již kontrolou NKÚ prověřeny, obdobně jako peněžní prostředky, které poskytovaly jiné kapitoly, např. Ministerstvo obrany, dle ustanovení § 4 zákona 115/2001 Sb. </w:t>
      </w:r>
    </w:p>
  </w:footnote>
  <w:footnote w:id="23">
    <w:p w14:paraId="5EADC472" w14:textId="77777777" w:rsidR="00432ACE" w:rsidRDefault="00432ACE" w:rsidP="00E73464">
      <w:pPr>
        <w:pStyle w:val="Textpoznpodarou"/>
        <w:spacing w:before="0"/>
        <w:ind w:left="284" w:hanging="284"/>
      </w:pPr>
      <w:r w:rsidRPr="00992D5E">
        <w:rPr>
          <w:rStyle w:val="Znakapoznpodarou"/>
        </w:rPr>
        <w:footnoteRef/>
      </w:r>
      <w:r w:rsidRPr="00992D5E">
        <w:t xml:space="preserve"> </w:t>
      </w:r>
      <w:r>
        <w:tab/>
        <w:t xml:space="preserve">Čl. II </w:t>
      </w:r>
      <w:r w:rsidRPr="008F2C5F">
        <w:rPr>
          <w:i/>
        </w:rPr>
        <w:t>Přechodná ustanovení</w:t>
      </w:r>
      <w:r w:rsidRPr="00992D5E">
        <w:t xml:space="preserve"> zákona č. 178/2019 Sb., </w:t>
      </w:r>
      <w:r w:rsidRPr="00992D5E">
        <w:rPr>
          <w:rFonts w:asciiTheme="minorHAnsi" w:hAnsiTheme="minorHAnsi" w:cstheme="minorHAnsi"/>
          <w:lang w:eastAsia="cs-CZ"/>
        </w:rPr>
        <w:t>kterým se mění zákon č. 115/2001 Sb., o podpoře sportu, ve</w:t>
      </w:r>
      <w:r>
        <w:rPr>
          <w:rFonts w:asciiTheme="minorHAnsi" w:hAnsiTheme="minorHAnsi" w:cstheme="minorHAnsi"/>
          <w:lang w:eastAsia="cs-CZ"/>
        </w:rPr>
        <w:t> </w:t>
      </w:r>
      <w:r w:rsidRPr="00992D5E">
        <w:rPr>
          <w:rFonts w:asciiTheme="minorHAnsi" w:hAnsiTheme="minorHAnsi" w:cstheme="minorHAnsi"/>
          <w:lang w:eastAsia="cs-CZ"/>
        </w:rPr>
        <w:t>znění pozdějších předpisů, a některé další zákony.</w:t>
      </w:r>
    </w:p>
  </w:footnote>
  <w:footnote w:id="24">
    <w:p w14:paraId="4B5634DC" w14:textId="45D0E55D" w:rsidR="00432ACE" w:rsidRDefault="00432ACE" w:rsidP="00E7346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3 a 6b zákona č. 115/2001 Sb. (právní úprava účinná do 30. 7. 2019) a dále ustanovení § 3d zákona č. 115/2001 Sb. (právní úprava účinná do 31. 3. 2023).</w:t>
      </w:r>
    </w:p>
  </w:footnote>
  <w:footnote w:id="25">
    <w:p w14:paraId="4536C7E5" w14:textId="77777777" w:rsidR="00432ACE" w:rsidRDefault="00432ACE" w:rsidP="00E7346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 zákona č. 115/2001 Sb.</w:t>
      </w:r>
    </w:p>
  </w:footnote>
  <w:footnote w:id="26">
    <w:p w14:paraId="619F6C37" w14:textId="77777777" w:rsidR="00432ACE" w:rsidRDefault="00432ACE" w:rsidP="00E7346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§ 3 odst. 3 a 4 a ustanovení § 3b odst. 1 a 2 zákona č. 115/2001 Sb. </w:t>
      </w:r>
    </w:p>
  </w:footnote>
  <w:footnote w:id="27">
    <w:p w14:paraId="3C075385" w14:textId="77777777" w:rsidR="00432ACE" w:rsidRDefault="00432ACE" w:rsidP="00E7346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3a zákona č. 115/2001 Sb.</w:t>
      </w:r>
    </w:p>
  </w:footnote>
  <w:footnote w:id="28">
    <w:p w14:paraId="001BF17C" w14:textId="34FB1EBF" w:rsidR="00432ACE" w:rsidRPr="00A421C0" w:rsidRDefault="00432ACE" w:rsidP="00E73464">
      <w:pPr>
        <w:spacing w:before="0"/>
        <w:ind w:left="284" w:hanging="284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r w:rsidRPr="00A421C0">
        <w:rPr>
          <w:rStyle w:val="Znakapoznpodarou"/>
          <w:sz w:val="20"/>
          <w:szCs w:val="20"/>
        </w:rPr>
        <w:footnoteRef/>
      </w:r>
      <w:r w:rsidRPr="00A421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>Zákon č. 115/2001 Sb.; zákon č. 218/2000 Sb.; zákon č. 219/2000 Sb.; zákon č. 563/1991 Sb., o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 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>účetnictví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,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vyhlášk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a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č. 410/2009 Sb., 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kterou se provádějí některá ustanovení zákona č. 563/1991 Sb., 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>o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 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>účetnictví, ve znění pozdějších předpisů, pro některé vybrané účetní jednotky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,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a 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vyhláška 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>č.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 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>270/2010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 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>Sb., o inventarizaci majetku a závazků; zákon č. 134/2016 Sb.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;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zákon č.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 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>320/2001 Sb. a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 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>vyhlášk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a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č.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 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>416/2004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 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>Sb., kterou se provádí zákon č. 320/2001 Sb.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, o finanční kontrole ve veřejné správě a o změně některých zákonů (zákon o finanční kontrole),</w:t>
      </w:r>
      <w:r w:rsidRPr="00ED6566">
        <w:t xml:space="preserve"> </w:t>
      </w:r>
      <w:r w:rsidRPr="00ED6566">
        <w:rPr>
          <w:rFonts w:asciiTheme="minorHAnsi" w:eastAsiaTheme="minorEastAsia" w:hAnsiTheme="minorHAnsi" w:cstheme="minorBidi"/>
          <w:sz w:val="20"/>
          <w:szCs w:val="20"/>
          <w:lang w:eastAsia="en-US"/>
        </w:rPr>
        <w:t>ve znění zákona č. 309/2002 Sb., zákona č.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 </w:t>
      </w:r>
      <w:r w:rsidRPr="00ED6566">
        <w:rPr>
          <w:rFonts w:asciiTheme="minorHAnsi" w:eastAsiaTheme="minorEastAsia" w:hAnsiTheme="minorHAnsi" w:cstheme="minorBidi"/>
          <w:sz w:val="20"/>
          <w:szCs w:val="20"/>
          <w:lang w:eastAsia="en-US"/>
        </w:rPr>
        <w:t>320/2002 Sb. a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 </w:t>
      </w:r>
      <w:r w:rsidRPr="00ED6566">
        <w:rPr>
          <w:rFonts w:asciiTheme="minorHAnsi" w:eastAsiaTheme="minorEastAsia" w:hAnsiTheme="minorHAnsi" w:cstheme="minorBidi"/>
          <w:sz w:val="20"/>
          <w:szCs w:val="20"/>
          <w:lang w:eastAsia="en-US"/>
        </w:rPr>
        <w:t>zákona č. 123/2003 Sb.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>; zákon č.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 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340/2015 Sb., zákon 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č. 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>500/2004 Sb., správní řád; a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 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>zákon č.</w:t>
      </w:r>
      <w:r>
        <w:rPr>
          <w:rFonts w:asciiTheme="minorHAnsi" w:eastAsiaTheme="minorEastAsia" w:hAnsiTheme="minorHAnsi" w:cstheme="minorBidi"/>
          <w:sz w:val="20"/>
          <w:szCs w:val="20"/>
          <w:lang w:eastAsia="en-US"/>
        </w:rPr>
        <w:t> </w:t>
      </w:r>
      <w:r w:rsidRPr="00A421C0">
        <w:rPr>
          <w:rFonts w:asciiTheme="minorHAnsi" w:eastAsiaTheme="minorEastAsia" w:hAnsiTheme="minorHAnsi" w:cstheme="minorBidi"/>
          <w:sz w:val="20"/>
          <w:szCs w:val="20"/>
          <w:lang w:eastAsia="en-US"/>
        </w:rPr>
        <w:t>499/2004 Sb.</w:t>
      </w:r>
    </w:p>
  </w:footnote>
  <w:footnote w:id="29">
    <w:p w14:paraId="4B0BBF32" w14:textId="77777777" w:rsidR="00432ACE" w:rsidRDefault="00432ACE" w:rsidP="007E48E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color w:val="000000"/>
        </w:rPr>
        <w:t>U</w:t>
      </w:r>
      <w:r w:rsidRPr="000B60FA">
        <w:rPr>
          <w:color w:val="000000"/>
        </w:rPr>
        <w:t>snesení</w:t>
      </w:r>
      <w:r>
        <w:rPr>
          <w:color w:val="000000"/>
        </w:rPr>
        <w:t xml:space="preserve"> vlády ČR</w:t>
      </w:r>
      <w:r w:rsidRPr="000B60FA">
        <w:rPr>
          <w:color w:val="000000"/>
        </w:rPr>
        <w:t xml:space="preserve"> ze dne 27. června 2016</w:t>
      </w:r>
      <w:r>
        <w:rPr>
          <w:color w:val="000000"/>
        </w:rPr>
        <w:t xml:space="preserve"> </w:t>
      </w:r>
      <w:r w:rsidRPr="000B60FA">
        <w:rPr>
          <w:color w:val="000000"/>
        </w:rPr>
        <w:t>č. 591</w:t>
      </w:r>
      <w:r>
        <w:rPr>
          <w:color w:val="000000"/>
        </w:rPr>
        <w:t>.</w:t>
      </w:r>
    </w:p>
  </w:footnote>
  <w:footnote w:id="30">
    <w:p w14:paraId="1CB2ADE5" w14:textId="5AEC760D" w:rsidR="00432ACE" w:rsidRDefault="00432ACE" w:rsidP="007E48E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SMART= </w:t>
      </w:r>
      <w:proofErr w:type="spellStart"/>
      <w:r w:rsidRPr="009270A6">
        <w:rPr>
          <w:b/>
        </w:rPr>
        <w:t>s</w:t>
      </w:r>
      <w:r>
        <w:t>pecific</w:t>
      </w:r>
      <w:proofErr w:type="spellEnd"/>
      <w:r>
        <w:t xml:space="preserve"> (konkrétní), </w:t>
      </w:r>
      <w:proofErr w:type="spellStart"/>
      <w:r w:rsidRPr="009270A6">
        <w:rPr>
          <w:b/>
        </w:rPr>
        <w:t>m</w:t>
      </w:r>
      <w:r>
        <w:t>easurable</w:t>
      </w:r>
      <w:proofErr w:type="spellEnd"/>
      <w:r>
        <w:t xml:space="preserve"> (měřitelný), </w:t>
      </w:r>
      <w:proofErr w:type="spellStart"/>
      <w:r w:rsidRPr="009270A6">
        <w:rPr>
          <w:b/>
        </w:rPr>
        <w:t>a</w:t>
      </w:r>
      <w:r>
        <w:t>chievable</w:t>
      </w:r>
      <w:proofErr w:type="spellEnd"/>
      <w:r>
        <w:t xml:space="preserve"> (dosažitelný), </w:t>
      </w:r>
      <w:proofErr w:type="spellStart"/>
      <w:r w:rsidRPr="009270A6">
        <w:rPr>
          <w:b/>
        </w:rPr>
        <w:t>r</w:t>
      </w:r>
      <w:r>
        <w:t>esult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(zaměření na dosažení výsledků, </w:t>
      </w:r>
      <w:proofErr w:type="spellStart"/>
      <w:r w:rsidRPr="009270A6">
        <w:rPr>
          <w:b/>
        </w:rPr>
        <w:t>t</w:t>
      </w:r>
      <w:r>
        <w:t>ime-bound</w:t>
      </w:r>
      <w:proofErr w:type="spellEnd"/>
      <w:r>
        <w:t xml:space="preserve"> (časově ohraničený).</w:t>
      </w:r>
    </w:p>
  </w:footnote>
  <w:footnote w:id="31">
    <w:p w14:paraId="0DC5EC0F" w14:textId="4623F56C" w:rsidR="00432ACE" w:rsidRDefault="00432ACE" w:rsidP="007E48E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FA2592">
        <w:rPr>
          <w:rFonts w:cstheme="minorHAnsi"/>
        </w:rPr>
        <w:t>Usnesením vlády České republiky ze dne 28. ledna 2019 č. 71</w:t>
      </w:r>
      <w:r>
        <w:rPr>
          <w:rFonts w:cstheme="minorHAnsi"/>
        </w:rPr>
        <w:t>.</w:t>
      </w:r>
    </w:p>
  </w:footnote>
  <w:footnote w:id="32">
    <w:p w14:paraId="7CFDA1F5" w14:textId="77777777" w:rsidR="00432ACE" w:rsidRDefault="00432ACE" w:rsidP="007E48E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eastAsia="Calibri"/>
        </w:rPr>
        <w:t>U</w:t>
      </w:r>
      <w:r w:rsidRPr="7D1F5B88">
        <w:rPr>
          <w:rFonts w:eastAsia="Calibri"/>
        </w:rPr>
        <w:t>stanovení § 39 odst. 3 vět</w:t>
      </w:r>
      <w:r>
        <w:rPr>
          <w:rFonts w:eastAsia="Calibri"/>
        </w:rPr>
        <w:t>a</w:t>
      </w:r>
      <w:r w:rsidRPr="7D1F5B88">
        <w:rPr>
          <w:rFonts w:eastAsia="Calibri"/>
        </w:rPr>
        <w:t xml:space="preserve"> první zákona č. 218/2000 Sb.</w:t>
      </w:r>
    </w:p>
  </w:footnote>
  <w:footnote w:id="33">
    <w:p w14:paraId="293B4225" w14:textId="77777777" w:rsidR="00432ACE" w:rsidRDefault="00432ACE" w:rsidP="007E48E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color w:val="000000"/>
        </w:rPr>
        <w:t>U</w:t>
      </w:r>
      <w:r w:rsidRPr="000B60FA">
        <w:rPr>
          <w:color w:val="000000"/>
        </w:rPr>
        <w:t>snesení</w:t>
      </w:r>
      <w:r>
        <w:rPr>
          <w:color w:val="000000"/>
        </w:rPr>
        <w:t xml:space="preserve"> vlády ČR</w:t>
      </w:r>
      <w:r w:rsidRPr="000B60FA">
        <w:rPr>
          <w:color w:val="000000"/>
        </w:rPr>
        <w:t xml:space="preserve"> ze dne 27. června 2016</w:t>
      </w:r>
      <w:r>
        <w:rPr>
          <w:color w:val="000000"/>
        </w:rPr>
        <w:t xml:space="preserve"> </w:t>
      </w:r>
      <w:r w:rsidRPr="000B60FA">
        <w:rPr>
          <w:color w:val="000000"/>
        </w:rPr>
        <w:t>č. 591</w:t>
      </w:r>
      <w:r>
        <w:rPr>
          <w:color w:val="000000"/>
        </w:rPr>
        <w:t>.</w:t>
      </w:r>
    </w:p>
  </w:footnote>
  <w:footnote w:id="34">
    <w:p w14:paraId="61654EF2" w14:textId="2993EC2F" w:rsidR="00432ACE" w:rsidRPr="00007FAA" w:rsidRDefault="00432ACE" w:rsidP="007E48E4">
      <w:pPr>
        <w:pStyle w:val="Textpoznpodarou"/>
        <w:spacing w:before="0"/>
        <w:ind w:left="284" w:hanging="284"/>
        <w:rPr>
          <w:rFonts w:eastAsia="Calibri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270A6">
        <w:rPr>
          <w:rFonts w:eastAsia="Calibri"/>
          <w:i/>
        </w:rPr>
        <w:t xml:space="preserve">I. </w:t>
      </w:r>
      <w:r>
        <w:rPr>
          <w:rFonts w:eastAsia="Calibri"/>
          <w:i/>
        </w:rPr>
        <w:t>a</w:t>
      </w:r>
      <w:r w:rsidRPr="009270A6">
        <w:rPr>
          <w:rFonts w:eastAsia="Calibri"/>
          <w:i/>
        </w:rPr>
        <w:t>kční</w:t>
      </w:r>
      <w:r w:rsidRPr="009270A6">
        <w:rPr>
          <w:rFonts w:eastAsia="Arial" w:cs="Arial"/>
          <w:i/>
        </w:rPr>
        <w:t xml:space="preserve"> </w:t>
      </w:r>
      <w:r w:rsidRPr="009270A6">
        <w:rPr>
          <w:rFonts w:eastAsia="Calibri"/>
          <w:i/>
        </w:rPr>
        <w:t>plán ke koncepci SPORT 2025 na období 2018–2019</w:t>
      </w:r>
      <w:r>
        <w:rPr>
          <w:rFonts w:eastAsia="Calibri"/>
        </w:rPr>
        <w:t>.</w:t>
      </w:r>
    </w:p>
  </w:footnote>
  <w:footnote w:id="35">
    <w:p w14:paraId="06927B06" w14:textId="2AD89C45" w:rsidR="00432ACE" w:rsidRDefault="00432ACE" w:rsidP="007E48E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270A6">
        <w:rPr>
          <w:rFonts w:eastAsia="Calibri"/>
          <w:i/>
        </w:rPr>
        <w:t xml:space="preserve">II. </w:t>
      </w:r>
      <w:r>
        <w:rPr>
          <w:rFonts w:eastAsia="Calibri"/>
          <w:i/>
        </w:rPr>
        <w:t>a</w:t>
      </w:r>
      <w:r w:rsidRPr="009270A6">
        <w:rPr>
          <w:rFonts w:eastAsia="Calibri"/>
          <w:i/>
        </w:rPr>
        <w:t>kční</w:t>
      </w:r>
      <w:r w:rsidRPr="009270A6">
        <w:rPr>
          <w:rFonts w:eastAsia="Arial" w:cs="Arial"/>
          <w:i/>
        </w:rPr>
        <w:t xml:space="preserve"> </w:t>
      </w:r>
      <w:r w:rsidRPr="009270A6">
        <w:rPr>
          <w:rFonts w:eastAsia="Calibri"/>
          <w:i/>
        </w:rPr>
        <w:t>plán ke koncepci SPORT 2025 na období 2020–2021</w:t>
      </w:r>
      <w:r>
        <w:rPr>
          <w:rFonts w:eastAsia="Calibri"/>
        </w:rPr>
        <w:t>.</w:t>
      </w:r>
    </w:p>
  </w:footnote>
  <w:footnote w:id="36">
    <w:p w14:paraId="3C86583E" w14:textId="52EFCAB2" w:rsidR="00432ACE" w:rsidRDefault="00432ACE" w:rsidP="007E48E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270A6">
        <w:rPr>
          <w:rFonts w:eastAsia="Calibri"/>
          <w:i/>
        </w:rPr>
        <w:t xml:space="preserve">III. </w:t>
      </w:r>
      <w:r>
        <w:rPr>
          <w:rFonts w:eastAsia="Calibri"/>
          <w:i/>
        </w:rPr>
        <w:t>a</w:t>
      </w:r>
      <w:r w:rsidRPr="009270A6">
        <w:rPr>
          <w:rFonts w:eastAsia="Calibri"/>
          <w:i/>
        </w:rPr>
        <w:t>kční plán ke koncepci SPORT 2025 na období 2022–2023</w:t>
      </w:r>
      <w:r>
        <w:rPr>
          <w:rFonts w:eastAsia="Calibri"/>
        </w:rPr>
        <w:t>.</w:t>
      </w:r>
    </w:p>
  </w:footnote>
  <w:footnote w:id="37">
    <w:p w14:paraId="08F40BCF" w14:textId="77777777" w:rsidR="00432ACE" w:rsidRDefault="00432ACE" w:rsidP="007E48E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color w:val="000000"/>
        </w:rPr>
        <w:t>U</w:t>
      </w:r>
      <w:r w:rsidRPr="000B60FA">
        <w:rPr>
          <w:color w:val="000000"/>
        </w:rPr>
        <w:t>snesení</w:t>
      </w:r>
      <w:r>
        <w:rPr>
          <w:color w:val="000000"/>
        </w:rPr>
        <w:t xml:space="preserve"> vlády ČR</w:t>
      </w:r>
      <w:r w:rsidRPr="000B60FA">
        <w:rPr>
          <w:color w:val="000000"/>
        </w:rPr>
        <w:t xml:space="preserve"> ze dne 27. června 2016</w:t>
      </w:r>
      <w:r>
        <w:rPr>
          <w:color w:val="000000"/>
        </w:rPr>
        <w:t xml:space="preserve"> </w:t>
      </w:r>
      <w:r w:rsidRPr="000B60FA">
        <w:rPr>
          <w:color w:val="000000"/>
        </w:rPr>
        <w:t>č. 591</w:t>
      </w:r>
      <w:r>
        <w:rPr>
          <w:color w:val="000000"/>
        </w:rPr>
        <w:t>.</w:t>
      </w:r>
    </w:p>
  </w:footnote>
  <w:footnote w:id="38">
    <w:p w14:paraId="1575AA0A" w14:textId="77777777" w:rsidR="00432ACE" w:rsidRDefault="00432ACE" w:rsidP="007E48E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9270A6">
        <w:rPr>
          <w:rFonts w:eastAsia="Calibri"/>
          <w:i/>
        </w:rPr>
        <w:t>Akční plán pro rok 2024</w:t>
      </w:r>
      <w:r w:rsidRPr="7D1F5B88">
        <w:rPr>
          <w:rFonts w:eastAsia="Calibri"/>
        </w:rPr>
        <w:t xml:space="preserve"> (novelou zákona č. 115/2001 Sb. došlo ke zkrácení realizace akčních plánů na jeden rok)</w:t>
      </w:r>
      <w:r>
        <w:rPr>
          <w:rFonts w:eastAsia="Calibri"/>
        </w:rPr>
        <w:t>.</w:t>
      </w:r>
    </w:p>
  </w:footnote>
  <w:footnote w:id="39">
    <w:p w14:paraId="5E09110E" w14:textId="77777777" w:rsidR="00432ACE" w:rsidRDefault="00432ACE" w:rsidP="007E48E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color w:val="000000"/>
        </w:rPr>
        <w:t>U</w:t>
      </w:r>
      <w:r w:rsidRPr="000B60FA">
        <w:rPr>
          <w:color w:val="000000"/>
        </w:rPr>
        <w:t>snesení</w:t>
      </w:r>
      <w:r>
        <w:rPr>
          <w:color w:val="000000"/>
        </w:rPr>
        <w:t xml:space="preserve"> vlády ČR</w:t>
      </w:r>
      <w:r w:rsidRPr="000B60FA">
        <w:rPr>
          <w:color w:val="000000"/>
        </w:rPr>
        <w:t xml:space="preserve"> ze dne 27. června 2016</w:t>
      </w:r>
      <w:r>
        <w:rPr>
          <w:color w:val="000000"/>
        </w:rPr>
        <w:t xml:space="preserve"> </w:t>
      </w:r>
      <w:r w:rsidRPr="000B60FA">
        <w:rPr>
          <w:color w:val="000000"/>
        </w:rPr>
        <w:t>č. 591</w:t>
      </w:r>
      <w:r>
        <w:rPr>
          <w:color w:val="000000"/>
        </w:rPr>
        <w:t>.</w:t>
      </w:r>
    </w:p>
  </w:footnote>
  <w:footnote w:id="40">
    <w:p w14:paraId="1CE0349C" w14:textId="77777777" w:rsidR="00432ACE" w:rsidRDefault="00432ACE" w:rsidP="007E48E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Theme="minorHAnsi" w:eastAsiaTheme="minorEastAsia" w:hAnsiTheme="minorHAnsi" w:cstheme="minorBidi"/>
        </w:rPr>
        <w:t>U</w:t>
      </w:r>
      <w:r w:rsidRPr="6524B888">
        <w:rPr>
          <w:rFonts w:asciiTheme="minorHAnsi" w:eastAsiaTheme="minorEastAsia" w:hAnsiTheme="minorHAnsi" w:cstheme="minorBidi"/>
        </w:rPr>
        <w:t>stanovení § 39 odst. 3 zákona č. 218/2000 Sb.</w:t>
      </w:r>
    </w:p>
  </w:footnote>
  <w:footnote w:id="41">
    <w:p w14:paraId="604EF513" w14:textId="77777777" w:rsidR="00432ACE" w:rsidRDefault="00432ACE" w:rsidP="007E48E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Theme="minorHAnsi" w:eastAsiaTheme="minorEastAsia" w:hAnsiTheme="minorHAnsi" w:cstheme="minorBidi"/>
        </w:rPr>
        <w:t>U</w:t>
      </w:r>
      <w:r w:rsidRPr="5214476D">
        <w:rPr>
          <w:rFonts w:asciiTheme="minorHAnsi" w:eastAsiaTheme="minorEastAsia" w:hAnsiTheme="minorHAnsi" w:cstheme="minorBidi"/>
        </w:rPr>
        <w:t>stanovení § 14f odst. 1 zákona č. 218/2000 Sb.</w:t>
      </w:r>
    </w:p>
  </w:footnote>
  <w:footnote w:id="42">
    <w:p w14:paraId="501CC0C7" w14:textId="77777777" w:rsidR="00432ACE" w:rsidRPr="00E435EE" w:rsidRDefault="00432ACE" w:rsidP="00E435EE">
      <w:pPr>
        <w:pStyle w:val="Textpoznpodarou"/>
        <w:spacing w:before="0"/>
        <w:ind w:left="284" w:hanging="284"/>
      </w:pPr>
      <w:r w:rsidRPr="00E435EE">
        <w:rPr>
          <w:rStyle w:val="Znakapoznpodarou"/>
        </w:rPr>
        <w:footnoteRef/>
      </w:r>
      <w:r w:rsidRPr="00E435EE">
        <w:t xml:space="preserve"> </w:t>
      </w:r>
      <w:r>
        <w:tab/>
      </w:r>
      <w:r w:rsidRPr="00E435EE">
        <w:rPr>
          <w:rFonts w:eastAsiaTheme="minorEastAsia"/>
        </w:rPr>
        <w:t>Ustanovení § 39 odst. 3 zákona č. 218/2000 Sb.</w:t>
      </w:r>
    </w:p>
  </w:footnote>
  <w:footnote w:id="43">
    <w:p w14:paraId="7A1C7B30" w14:textId="77777777" w:rsidR="00432ACE" w:rsidRPr="00E435EE" w:rsidRDefault="00432ACE" w:rsidP="00E435EE">
      <w:pPr>
        <w:pStyle w:val="Textpoznpodarou"/>
        <w:spacing w:before="0"/>
        <w:ind w:left="284" w:hanging="284"/>
      </w:pPr>
      <w:r w:rsidRPr="00E435EE">
        <w:rPr>
          <w:rStyle w:val="Znakapoznpodarou"/>
        </w:rPr>
        <w:footnoteRef/>
      </w:r>
      <w:r w:rsidRPr="00E435EE">
        <w:t xml:space="preserve"> </w:t>
      </w:r>
      <w:r>
        <w:tab/>
      </w:r>
      <w:r w:rsidRPr="00E435EE">
        <w:t>U</w:t>
      </w:r>
      <w:r w:rsidRPr="00E435EE">
        <w:rPr>
          <w:rFonts w:eastAsiaTheme="minorEastAsia"/>
        </w:rPr>
        <w:t xml:space="preserve">stanovení § 11 odst. 3 a 4 zákona č. 320/2001 Sb. </w:t>
      </w:r>
    </w:p>
  </w:footnote>
  <w:footnote w:id="44">
    <w:p w14:paraId="31AEEC08" w14:textId="28A5A5C7" w:rsidR="00432ACE" w:rsidRPr="00E435EE" w:rsidRDefault="00432ACE" w:rsidP="00E435EE">
      <w:pPr>
        <w:spacing w:before="0"/>
        <w:ind w:left="284" w:hanging="284"/>
        <w:rPr>
          <w:sz w:val="20"/>
          <w:szCs w:val="20"/>
        </w:rPr>
      </w:pPr>
      <w:r w:rsidRPr="00E435EE">
        <w:rPr>
          <w:sz w:val="20"/>
          <w:szCs w:val="20"/>
          <w:vertAlign w:val="superscript"/>
        </w:rPr>
        <w:footnoteRef/>
      </w:r>
      <w:r w:rsidRPr="00E435E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E435EE">
        <w:rPr>
          <w:sz w:val="20"/>
          <w:szCs w:val="20"/>
        </w:rPr>
        <w:t>Věcné hodnocení žádosti je druhá fáze hodnocení, která následuje po formálním hodnocení žádosti. Při</w:t>
      </w:r>
      <w:r>
        <w:rPr>
          <w:sz w:val="20"/>
          <w:szCs w:val="20"/>
        </w:rPr>
        <w:t xml:space="preserve"> </w:t>
      </w:r>
      <w:r w:rsidRPr="00E435EE">
        <w:rPr>
          <w:sz w:val="20"/>
          <w:szCs w:val="20"/>
        </w:rPr>
        <w:t>věcném hodnocení poskytovatel posuzuje žádost dle bodových kritérií stanovených ve výzvě. Zároveň je</w:t>
      </w:r>
      <w:r>
        <w:rPr>
          <w:sz w:val="20"/>
          <w:szCs w:val="20"/>
        </w:rPr>
        <w:t xml:space="preserve"> </w:t>
      </w:r>
      <w:r w:rsidRPr="00E435EE">
        <w:rPr>
          <w:sz w:val="20"/>
          <w:szCs w:val="20"/>
        </w:rPr>
        <w:t>poskytovatelem zpravidla určen minimální počet bodů, kterého musí posuzovaná žádost dosáhnout, aby měla nárok na získání dotace.</w:t>
      </w:r>
    </w:p>
  </w:footnote>
  <w:footnote w:id="45">
    <w:p w14:paraId="1EA1B1AB" w14:textId="77777777" w:rsidR="00432ACE" w:rsidRPr="00E435EE" w:rsidRDefault="00432ACE" w:rsidP="00E435EE">
      <w:pPr>
        <w:pStyle w:val="Textpoznpodarou"/>
        <w:spacing w:before="0"/>
        <w:ind w:left="284" w:hanging="284"/>
      </w:pPr>
      <w:r w:rsidRPr="00E435EE">
        <w:rPr>
          <w:rStyle w:val="Znakapoznpodarou"/>
        </w:rPr>
        <w:footnoteRef/>
      </w:r>
      <w:r w:rsidRPr="00E435EE">
        <w:t xml:space="preserve"> </w:t>
      </w:r>
      <w:r w:rsidRPr="00E435EE">
        <w:tab/>
        <w:t>U</w:t>
      </w:r>
      <w:r w:rsidRPr="00E435EE">
        <w:rPr>
          <w:rFonts w:eastAsiaTheme="minorEastAsia"/>
        </w:rPr>
        <w:t>stanovení § 7 odst. 1 zákona č. 500/2004 Sb., správní řád.</w:t>
      </w:r>
    </w:p>
  </w:footnote>
  <w:footnote w:id="46">
    <w:p w14:paraId="3C29C0E4" w14:textId="77777777" w:rsidR="00432ACE" w:rsidRPr="00E435EE" w:rsidRDefault="00432ACE" w:rsidP="00E435EE">
      <w:pPr>
        <w:spacing w:before="0"/>
        <w:ind w:left="284" w:hanging="284"/>
        <w:rPr>
          <w:rFonts w:eastAsiaTheme="minorEastAsia"/>
          <w:sz w:val="20"/>
          <w:szCs w:val="20"/>
        </w:rPr>
      </w:pPr>
      <w:r w:rsidRPr="00E435EE">
        <w:rPr>
          <w:sz w:val="20"/>
          <w:szCs w:val="20"/>
          <w:vertAlign w:val="superscript"/>
        </w:rPr>
        <w:footnoteRef/>
      </w:r>
      <w:r w:rsidRPr="00E435EE">
        <w:rPr>
          <w:sz w:val="20"/>
          <w:szCs w:val="20"/>
        </w:rPr>
        <w:t xml:space="preserve"> </w:t>
      </w:r>
      <w:r w:rsidRPr="00E435EE">
        <w:rPr>
          <w:sz w:val="20"/>
          <w:szCs w:val="20"/>
        </w:rPr>
        <w:tab/>
      </w:r>
      <w:r w:rsidRPr="00E435EE">
        <w:rPr>
          <w:rFonts w:eastAsiaTheme="minorEastAsia"/>
          <w:sz w:val="20"/>
          <w:szCs w:val="20"/>
        </w:rPr>
        <w:t>Principem kolové soutěžní výzvy je, že žádosti v ní podané jsou hodnoceny všechny najednou po uzavření příjmu žádostí a podpořeny jsou v pořadí podle počtu bodů dosažených v kvalitativním hodnocení.</w:t>
      </w:r>
    </w:p>
  </w:footnote>
  <w:footnote w:id="47">
    <w:p w14:paraId="28D9C784" w14:textId="77777777" w:rsidR="00432ACE" w:rsidRDefault="00432ACE" w:rsidP="007300BC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Formální hodnocení je hodnocení, při kterém je ověřováno, zda se jedná o oprávněného žadatele a zda je žádost kompletní, tj. zda obsahuje všechny povinné údaje a přílohy.</w:t>
      </w:r>
    </w:p>
  </w:footnote>
  <w:footnote w:id="48">
    <w:p w14:paraId="45C7E0E1" w14:textId="77777777" w:rsidR="00432ACE" w:rsidRDefault="00432ACE" w:rsidP="007300BC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Důvodová zpráva k novele zákona č. 178/2019 Sb.</w:t>
      </w:r>
    </w:p>
  </w:footnote>
  <w:footnote w:id="49">
    <w:p w14:paraId="200AEDFC" w14:textId="77777777" w:rsidR="00432ACE" w:rsidRDefault="00432ACE" w:rsidP="00272B2B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Theme="minorHAnsi" w:eastAsiaTheme="minorEastAsia" w:hAnsiTheme="minorHAnsi" w:cstheme="minorBidi"/>
        </w:rPr>
        <w:t>U</w:t>
      </w:r>
      <w:r w:rsidRPr="00EA65D6">
        <w:rPr>
          <w:rFonts w:asciiTheme="minorHAnsi" w:eastAsiaTheme="minorEastAsia" w:hAnsiTheme="minorHAnsi" w:cstheme="minorBidi"/>
        </w:rPr>
        <w:t>stanovení § 39 odst. 3 zákona č. 218/2000 Sb.</w:t>
      </w:r>
    </w:p>
  </w:footnote>
  <w:footnote w:id="50">
    <w:p w14:paraId="5E5892A5" w14:textId="77777777" w:rsidR="00432ACE" w:rsidRDefault="00432ACE" w:rsidP="00272B2B">
      <w:pPr>
        <w:pStyle w:val="Textpoznpodarou"/>
        <w:spacing w:before="0"/>
        <w:ind w:left="284" w:hanging="284"/>
      </w:pPr>
      <w:r w:rsidRPr="00F25897">
        <w:rPr>
          <w:vertAlign w:val="superscript"/>
        </w:rPr>
        <w:footnoteRef/>
      </w:r>
      <w:r>
        <w:t xml:space="preserve"> </w:t>
      </w:r>
      <w:r>
        <w:tab/>
        <w:t>NSA minimálně v pěti případech poskytla dotaci příjemcům, kteří dříve porušili podmínky poskytnutí dotace. MŠMT mělo zavedený systém kontroly zabezpečující poskytování dotací pouze oprávněným žadatelům.</w:t>
      </w:r>
    </w:p>
  </w:footnote>
  <w:footnote w:id="51">
    <w:p w14:paraId="06FEA354" w14:textId="54B3E916" w:rsidR="00432ACE" w:rsidRDefault="00432ACE" w:rsidP="00272B2B">
      <w:pPr>
        <w:spacing w:before="0"/>
        <w:ind w:left="284" w:hanging="284"/>
      </w:pPr>
      <w:r w:rsidRPr="00F25897">
        <w:rPr>
          <w:sz w:val="20"/>
          <w:szCs w:val="20"/>
          <w:vertAlign w:val="superscript"/>
        </w:rPr>
        <w:footnoteRef/>
      </w:r>
      <w:r w:rsidRPr="007300BC">
        <w:rPr>
          <w:sz w:val="20"/>
        </w:rPr>
        <w:t xml:space="preserve"> </w:t>
      </w:r>
      <w:r w:rsidRPr="007300BC">
        <w:rPr>
          <w:sz w:val="20"/>
        </w:rPr>
        <w:tab/>
      </w:r>
      <w:r>
        <w:rPr>
          <w:sz w:val="20"/>
        </w:rPr>
        <w:t xml:space="preserve">Celkem </w:t>
      </w:r>
      <w:r w:rsidRPr="5214476D">
        <w:rPr>
          <w:rFonts w:asciiTheme="minorHAnsi" w:eastAsiaTheme="minorEastAsia" w:hAnsiTheme="minorHAnsi" w:cstheme="minorBidi"/>
          <w:sz w:val="20"/>
          <w:szCs w:val="20"/>
        </w:rPr>
        <w:t>48,7 % sportovních svazů se domnívá, že NSA nezajišťuje lepší vedení oblasti sportu a dále 61,3 % sportovních svazů se domnívá, že vznikem NSA se nenaplnila vyšší předvídatelnost poskytování státní podpory.</w:t>
      </w:r>
    </w:p>
  </w:footnote>
  <w:footnote w:id="52">
    <w:p w14:paraId="71CC89C1" w14:textId="77777777" w:rsidR="00432ACE" w:rsidRDefault="00432ACE" w:rsidP="00272B2B">
      <w:pPr>
        <w:pStyle w:val="Textpoznpodarou"/>
        <w:spacing w:before="0"/>
        <w:ind w:left="284" w:hanging="284"/>
      </w:pPr>
      <w:r w:rsidRPr="00F25897">
        <w:rPr>
          <w:vertAlign w:val="superscript"/>
        </w:rPr>
        <w:footnoteRef/>
      </w:r>
      <w:r w:rsidRPr="007300BC">
        <w:t xml:space="preserve"> </w:t>
      </w:r>
      <w:r w:rsidRPr="007300BC">
        <w:tab/>
      </w:r>
      <w:r w:rsidRPr="00147F14">
        <w:rPr>
          <w:rFonts w:asciiTheme="minorHAnsi" w:hAnsiTheme="minorHAnsi" w:cstheme="minorHAnsi"/>
        </w:rPr>
        <w:t>První nájemní smlouva</w:t>
      </w:r>
      <w:r>
        <w:rPr>
          <w:rFonts w:asciiTheme="minorHAnsi" w:hAnsiTheme="minorHAnsi" w:cstheme="minorHAnsi"/>
        </w:rPr>
        <w:t xml:space="preserve"> k jednomu pozemku</w:t>
      </w:r>
      <w:r w:rsidRPr="00147F14">
        <w:rPr>
          <w:rFonts w:asciiTheme="minorHAnsi" w:hAnsiTheme="minorHAnsi" w:cstheme="minorHAnsi"/>
        </w:rPr>
        <w:t xml:space="preserve"> byla uzavřena</w:t>
      </w:r>
      <w:r>
        <w:rPr>
          <w:rFonts w:asciiTheme="minorHAnsi" w:hAnsiTheme="minorHAnsi" w:cstheme="minorHAnsi"/>
        </w:rPr>
        <w:t xml:space="preserve"> na dobu</w:t>
      </w:r>
      <w:r w:rsidRPr="00147F14">
        <w:rPr>
          <w:rFonts w:asciiTheme="minorHAnsi" w:hAnsiTheme="minorHAnsi" w:cstheme="minorHAnsi"/>
        </w:rPr>
        <w:t xml:space="preserve"> do 28. 2. 2022, druhá nájemní smlouva </w:t>
      </w:r>
      <w:r>
        <w:rPr>
          <w:rFonts w:asciiTheme="minorHAnsi" w:hAnsiTheme="minorHAnsi" w:cstheme="minorHAnsi"/>
        </w:rPr>
        <w:t xml:space="preserve">k pěti pozemkům </w:t>
      </w:r>
      <w:r w:rsidRPr="00147F14">
        <w:rPr>
          <w:rFonts w:asciiTheme="minorHAnsi" w:hAnsiTheme="minorHAnsi" w:cstheme="minorHAnsi"/>
        </w:rPr>
        <w:t>byla uzavřena</w:t>
      </w:r>
      <w:r>
        <w:rPr>
          <w:rFonts w:asciiTheme="minorHAnsi" w:hAnsiTheme="minorHAnsi" w:cstheme="minorHAnsi"/>
        </w:rPr>
        <w:t xml:space="preserve"> na dobu</w:t>
      </w:r>
      <w:r w:rsidRPr="00147F14">
        <w:rPr>
          <w:rFonts w:asciiTheme="minorHAnsi" w:hAnsiTheme="minorHAnsi" w:cstheme="minorHAnsi"/>
        </w:rPr>
        <w:t xml:space="preserve"> do 31. 12. 2022</w:t>
      </w:r>
      <w:r>
        <w:rPr>
          <w:rFonts w:asciiTheme="minorHAnsi" w:hAnsiTheme="minorHAnsi" w:cstheme="minorHAnsi"/>
        </w:rPr>
        <w:t>.</w:t>
      </w:r>
    </w:p>
  </w:footnote>
  <w:footnote w:id="53">
    <w:p w14:paraId="4ECDB2D0" w14:textId="77777777" w:rsidR="00432ACE" w:rsidRDefault="00432ACE" w:rsidP="00272B2B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Theme="minorHAnsi" w:eastAsiaTheme="minorEastAsia" w:hAnsiTheme="minorHAnsi" w:cstheme="minorBidi"/>
          <w:bCs/>
        </w:rPr>
        <w:t>U</w:t>
      </w:r>
      <w:r w:rsidRPr="00CA7608">
        <w:rPr>
          <w:rFonts w:asciiTheme="minorHAnsi" w:eastAsiaTheme="minorEastAsia" w:hAnsiTheme="minorHAnsi" w:cstheme="minorBidi"/>
          <w:bCs/>
        </w:rPr>
        <w:t>stanovení § 14 odst. 1 věta druhá zákona č. 219/2000 Sb.</w:t>
      </w:r>
    </w:p>
  </w:footnote>
  <w:footnote w:id="54">
    <w:p w14:paraId="4451BF96" w14:textId="77777777" w:rsidR="00432ACE" w:rsidRDefault="00432ACE" w:rsidP="00272B2B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CA7608">
        <w:rPr>
          <w:rFonts w:asciiTheme="minorHAnsi" w:eastAsiaTheme="minorEastAsia" w:hAnsiTheme="minorHAnsi" w:cstheme="minorBidi"/>
          <w:bCs/>
        </w:rPr>
        <w:t>stanovení § 14 odst. 5 zákona č. 219/2000 Sb.</w:t>
      </w:r>
    </w:p>
  </w:footnote>
  <w:footnote w:id="55">
    <w:p w14:paraId="0F2FB829" w14:textId="77777777" w:rsidR="00432ACE" w:rsidRDefault="00432ACE" w:rsidP="00272B2B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00CA7608">
        <w:rPr>
          <w:rFonts w:asciiTheme="minorHAnsi" w:eastAsiaTheme="minorEastAsia" w:hAnsiTheme="minorHAnsi" w:cstheme="minorBidi"/>
          <w:bCs/>
        </w:rPr>
        <w:t>stanovení § 14 odst. 1 věta první zákona č. 219/2000 Sb</w:t>
      </w:r>
      <w:r>
        <w:rPr>
          <w:rFonts w:asciiTheme="minorHAnsi" w:eastAsiaTheme="minorEastAsia" w:hAnsiTheme="minorHAnsi" w:cstheme="minorBidi"/>
          <w:bCs/>
        </w:rPr>
        <w:t>.</w:t>
      </w:r>
    </w:p>
  </w:footnote>
  <w:footnote w:id="56">
    <w:p w14:paraId="34B8A821" w14:textId="77777777" w:rsidR="00432ACE" w:rsidRDefault="00432ACE" w:rsidP="00272B2B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Theme="minorHAnsi" w:eastAsiaTheme="minorEastAsia" w:hAnsiTheme="minorHAnsi" w:cstheme="minorBidi"/>
          <w:bCs/>
        </w:rPr>
        <w:t>U</w:t>
      </w:r>
      <w:r w:rsidRPr="00CA7608">
        <w:rPr>
          <w:rFonts w:asciiTheme="minorHAnsi" w:eastAsiaTheme="minorEastAsia" w:hAnsiTheme="minorHAnsi" w:cstheme="minorBidi"/>
          <w:bCs/>
        </w:rPr>
        <w:t>stanovení § 14 odst. 4 zákona č. 219/2000 Sb.</w:t>
      </w:r>
    </w:p>
  </w:footnote>
  <w:footnote w:id="57">
    <w:p w14:paraId="2B16CC69" w14:textId="77777777" w:rsidR="00432ACE" w:rsidRDefault="00432ACE" w:rsidP="00272B2B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6524B888">
        <w:rPr>
          <w:rFonts w:asciiTheme="minorHAnsi" w:eastAsiaTheme="minorEastAsia" w:hAnsiTheme="minorHAnsi" w:cstheme="minorBidi"/>
        </w:rPr>
        <w:t>stanovení § 5 odst. 5 písm. c) zákona č. 340/2015 Sb</w:t>
      </w:r>
      <w:r>
        <w:rPr>
          <w:rFonts w:asciiTheme="minorHAnsi" w:eastAsiaTheme="minorEastAsia" w:hAnsiTheme="minorHAnsi" w:cstheme="minorBidi"/>
        </w:rPr>
        <w:t>.</w:t>
      </w:r>
    </w:p>
  </w:footnote>
  <w:footnote w:id="58">
    <w:p w14:paraId="24ACAA7E" w14:textId="77777777" w:rsidR="00432ACE" w:rsidRPr="008C4411" w:rsidRDefault="00432ACE" w:rsidP="00255360">
      <w:pPr>
        <w:pStyle w:val="Textpoznpodarou"/>
        <w:spacing w:before="0"/>
        <w:ind w:left="284" w:hanging="284"/>
        <w:rPr>
          <w:rFonts w:asciiTheme="minorHAnsi" w:hAnsiTheme="minorHAnsi" w:cstheme="minorHAnsi"/>
        </w:rPr>
      </w:pPr>
      <w:r w:rsidRPr="008C4411">
        <w:rPr>
          <w:rStyle w:val="Znakapoznpodarou"/>
          <w:rFonts w:asciiTheme="minorHAnsi" w:hAnsiTheme="minorHAnsi" w:cstheme="minorHAnsi"/>
        </w:rPr>
        <w:footnoteRef/>
      </w:r>
      <w:r w:rsidRPr="008C44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C4411">
        <w:rPr>
          <w:rFonts w:asciiTheme="minorHAnsi" w:eastAsiaTheme="minorHAnsi" w:hAnsiTheme="minorHAnsi" w:cstheme="minorHAnsi"/>
          <w:bCs/>
          <w:lang w:eastAsia="en-US"/>
        </w:rPr>
        <w:t>Ustanovení § 5 odst. 5 zákona č. 340/2015 Sb.</w:t>
      </w:r>
    </w:p>
  </w:footnote>
  <w:footnote w:id="59">
    <w:p w14:paraId="0F156F28" w14:textId="77777777" w:rsidR="00432ACE" w:rsidRDefault="00432ACE" w:rsidP="00255360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6524B888">
        <w:rPr>
          <w:rFonts w:asciiTheme="minorHAnsi" w:eastAsiaTheme="minorEastAsia" w:hAnsiTheme="minorHAnsi" w:cstheme="minorBidi"/>
        </w:rPr>
        <w:t>stanovení § 7 odst. 1 zákona č. 340/2015 Sb.</w:t>
      </w:r>
    </w:p>
  </w:footnote>
  <w:footnote w:id="60">
    <w:p w14:paraId="4455FAAB" w14:textId="77777777" w:rsidR="00432ACE" w:rsidRDefault="00432ACE" w:rsidP="00255360">
      <w:pPr>
        <w:pStyle w:val="Textpoznpodarou"/>
        <w:spacing w:before="0"/>
        <w:ind w:left="284" w:hanging="284"/>
      </w:pPr>
      <w:r w:rsidRPr="7D1F5B88">
        <w:rPr>
          <w:rStyle w:val="Znakapoznpodarou"/>
        </w:rPr>
        <w:footnoteRef/>
      </w:r>
      <w:r>
        <w:t xml:space="preserve"> </w:t>
      </w:r>
      <w:r>
        <w:tab/>
        <w:t xml:space="preserve">Ustanovení § 3 písm. e) a ustanovení § 44 odst. 1 písm. a) zákona č. 218/2000 Sb. </w:t>
      </w:r>
    </w:p>
  </w:footnote>
  <w:footnote w:id="61">
    <w:p w14:paraId="317E413F" w14:textId="77777777" w:rsidR="00432ACE" w:rsidRDefault="00432ACE" w:rsidP="00255360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1A76D0">
        <w:t>U</w:t>
      </w:r>
      <w:r w:rsidRPr="001A76D0">
        <w:rPr>
          <w:rFonts w:asciiTheme="minorHAnsi" w:eastAsiaTheme="minorEastAsia" w:hAnsiTheme="minorHAnsi" w:cstheme="minorBidi"/>
          <w:bCs/>
        </w:rPr>
        <w:t>stanovení § 219 odst. 3 zákona č. 134/2016 Sb.</w:t>
      </w:r>
    </w:p>
  </w:footnote>
  <w:footnote w:id="62">
    <w:p w14:paraId="5399E088" w14:textId="77777777" w:rsidR="00432ACE" w:rsidRDefault="00432ACE" w:rsidP="00255360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C3E07">
        <w:rPr>
          <w:rFonts w:asciiTheme="minorHAnsi" w:eastAsiaTheme="minorEastAsia" w:hAnsiTheme="minorHAnsi" w:cstheme="minorBidi"/>
          <w:bCs/>
        </w:rPr>
        <w:t>Ustanovení § 6 odst. 1 zákona č. 134/2016 Sb.</w:t>
      </w:r>
    </w:p>
  </w:footnote>
  <w:footnote w:id="63">
    <w:p w14:paraId="5147A8A8" w14:textId="77777777" w:rsidR="00432ACE" w:rsidRDefault="00432ACE" w:rsidP="00255360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Principy účelnosti, efektivnosti a hospodárnosti.</w:t>
      </w:r>
    </w:p>
  </w:footnote>
  <w:footnote w:id="64">
    <w:p w14:paraId="451E1A69" w14:textId="77777777" w:rsidR="00432ACE" w:rsidRDefault="00432ACE" w:rsidP="00255360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C3E07">
        <w:rPr>
          <w:rFonts w:asciiTheme="minorHAnsi" w:eastAsiaTheme="minorEastAsia" w:hAnsiTheme="minorHAnsi" w:cstheme="minorBidi"/>
          <w:bCs/>
        </w:rPr>
        <w:t>Ustanovení § 6 odst. 1 zákona č. 134/2016 Sb.</w:t>
      </w:r>
    </w:p>
  </w:footnote>
  <w:footnote w:id="65">
    <w:p w14:paraId="2EE7FEC5" w14:textId="77777777" w:rsidR="00432ACE" w:rsidRPr="008C4411" w:rsidRDefault="00432ACE" w:rsidP="00255360">
      <w:pPr>
        <w:pStyle w:val="Textpoznpodarou"/>
        <w:spacing w:before="0"/>
        <w:ind w:left="284" w:hanging="284"/>
        <w:rPr>
          <w:rFonts w:asciiTheme="minorHAnsi" w:hAnsiTheme="minorHAnsi" w:cstheme="minorHAnsi"/>
        </w:rPr>
      </w:pPr>
      <w:r w:rsidRPr="008C4411">
        <w:rPr>
          <w:rStyle w:val="Znakapoznpodarou"/>
          <w:rFonts w:asciiTheme="minorHAnsi" w:hAnsiTheme="minorHAnsi" w:cstheme="minorHAnsi"/>
        </w:rPr>
        <w:footnoteRef/>
      </w:r>
      <w:r w:rsidRPr="008C44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C4411">
        <w:rPr>
          <w:rFonts w:asciiTheme="minorHAnsi" w:hAnsiTheme="minorHAnsi" w:cstheme="minorHAnsi"/>
        </w:rPr>
        <w:t xml:space="preserve">Ustanovení </w:t>
      </w:r>
      <w:r w:rsidRPr="008C4411">
        <w:rPr>
          <w:rFonts w:asciiTheme="minorHAnsi" w:eastAsiaTheme="minorHAnsi" w:hAnsiTheme="minorHAnsi" w:cstheme="minorHAnsi"/>
          <w:bCs/>
          <w:lang w:eastAsia="en-US"/>
        </w:rPr>
        <w:t>§ 5 odst. 2 zákona č. 340/2015 Sb.</w:t>
      </w:r>
    </w:p>
  </w:footnote>
  <w:footnote w:id="66">
    <w:p w14:paraId="15259021" w14:textId="77777777" w:rsidR="00432ACE" w:rsidRDefault="00432ACE" w:rsidP="00255360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527EA771">
        <w:rPr>
          <w:rFonts w:asciiTheme="minorHAnsi" w:eastAsiaTheme="minorEastAsia" w:hAnsiTheme="minorHAnsi" w:cstheme="minorBidi"/>
        </w:rPr>
        <w:t xml:space="preserve">stanovení § 6 odst. 1 </w:t>
      </w:r>
      <w:r>
        <w:rPr>
          <w:rFonts w:asciiTheme="minorHAnsi" w:eastAsiaTheme="minorEastAsia" w:hAnsiTheme="minorHAnsi" w:cstheme="minorBidi"/>
        </w:rPr>
        <w:t>ve spojení s</w:t>
      </w:r>
      <w:r w:rsidRPr="527EA771">
        <w:rPr>
          <w:rFonts w:asciiTheme="minorHAnsi" w:eastAsiaTheme="minorEastAsia" w:hAnsiTheme="minorHAnsi" w:cstheme="minorBidi"/>
        </w:rPr>
        <w:t xml:space="preserve"> ustanovení</w:t>
      </w:r>
      <w:r>
        <w:rPr>
          <w:rFonts w:asciiTheme="minorHAnsi" w:eastAsiaTheme="minorEastAsia" w:hAnsiTheme="minorHAnsi" w:cstheme="minorBidi"/>
        </w:rPr>
        <w:t>m</w:t>
      </w:r>
      <w:r w:rsidRPr="527EA771">
        <w:rPr>
          <w:rFonts w:asciiTheme="minorHAnsi" w:eastAsiaTheme="minorEastAsia" w:hAnsiTheme="minorHAnsi" w:cstheme="minorBidi"/>
        </w:rPr>
        <w:t xml:space="preserve"> § 7 odst. 1 zákona č. 340/2015 Sb.</w:t>
      </w:r>
    </w:p>
  </w:footnote>
  <w:footnote w:id="67">
    <w:p w14:paraId="5D16FD2E" w14:textId="77777777" w:rsidR="00432ACE" w:rsidRDefault="00432ACE" w:rsidP="00C94114">
      <w:pPr>
        <w:pStyle w:val="Textpoznpodarou"/>
        <w:spacing w:before="120"/>
        <w:ind w:left="284" w:hanging="284"/>
        <w:contextualSpacing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§ 3 písm. e) a ustanovení § 44 odst. 1 písm. a) zákona č. 218/2000 Sb. </w:t>
      </w:r>
    </w:p>
  </w:footnote>
  <w:footnote w:id="68">
    <w:p w14:paraId="55FBBA95" w14:textId="77777777" w:rsidR="00432ACE" w:rsidRDefault="00432ACE" w:rsidP="00C9411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Theme="minorHAnsi" w:eastAsiaTheme="minorEastAsia" w:hAnsiTheme="minorHAnsi" w:cstheme="minorBidi"/>
        </w:rPr>
        <w:t>U</w:t>
      </w:r>
      <w:r w:rsidRPr="527EA771">
        <w:rPr>
          <w:rFonts w:asciiTheme="minorHAnsi" w:eastAsiaTheme="minorEastAsia" w:hAnsiTheme="minorHAnsi" w:cstheme="minorBidi"/>
        </w:rPr>
        <w:t>stanovení § 5 odst. 2 zákona č. 340/2015 Sb.</w:t>
      </w:r>
      <w:r>
        <w:rPr>
          <w:rFonts w:asciiTheme="minorHAnsi" w:eastAsiaTheme="minorEastAsia" w:hAnsiTheme="minorHAnsi" w:cstheme="minorBidi"/>
        </w:rPr>
        <w:t xml:space="preserve"> a u</w:t>
      </w:r>
      <w:r w:rsidRPr="527EA771">
        <w:rPr>
          <w:rFonts w:asciiTheme="minorHAnsi" w:eastAsiaTheme="minorEastAsia" w:hAnsiTheme="minorHAnsi" w:cstheme="minorBidi"/>
        </w:rPr>
        <w:t>stanovení § 7 odst. 1 zákona č. 340/2015 Sb.</w:t>
      </w:r>
    </w:p>
  </w:footnote>
  <w:footnote w:id="69">
    <w:p w14:paraId="3531BD0C" w14:textId="77777777" w:rsidR="00432ACE" w:rsidRDefault="00432ACE" w:rsidP="00C9411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Theme="minorHAnsi" w:eastAsiaTheme="minorEastAsia" w:hAnsiTheme="minorHAnsi" w:cstheme="minorBidi"/>
        </w:rPr>
        <w:t>U</w:t>
      </w:r>
      <w:r w:rsidRPr="527EA771">
        <w:rPr>
          <w:rFonts w:asciiTheme="minorHAnsi" w:eastAsiaTheme="minorEastAsia" w:hAnsiTheme="minorHAnsi" w:cstheme="minorBidi"/>
        </w:rPr>
        <w:t>stanovení § 219 odst. 3 zákona č. 134/2016 Sb.</w:t>
      </w:r>
    </w:p>
  </w:footnote>
  <w:footnote w:id="70">
    <w:p w14:paraId="502E43CF" w14:textId="77777777" w:rsidR="00432ACE" w:rsidRDefault="00432ACE" w:rsidP="00C9411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C3E07">
        <w:rPr>
          <w:rFonts w:asciiTheme="minorHAnsi" w:eastAsiaTheme="minorEastAsia" w:hAnsiTheme="minorHAnsi" w:cstheme="minorBidi"/>
          <w:bCs/>
        </w:rPr>
        <w:t>Ustanovení § 6 odst. 1 zákona č. 134/2016 Sb.</w:t>
      </w:r>
    </w:p>
  </w:footnote>
  <w:footnote w:id="71">
    <w:p w14:paraId="19EC3CDC" w14:textId="77777777" w:rsidR="00432ACE" w:rsidRDefault="00432ACE" w:rsidP="00C94114">
      <w:pPr>
        <w:pStyle w:val="Textpoznpodarou"/>
        <w:spacing w:before="0"/>
        <w:ind w:left="284" w:hanging="284"/>
        <w:contextualSpacing/>
      </w:pPr>
      <w:r>
        <w:rPr>
          <w:rStyle w:val="Znakapoznpodarou"/>
        </w:rPr>
        <w:footnoteRef/>
      </w:r>
      <w:r>
        <w:t xml:space="preserve"> </w:t>
      </w:r>
      <w:r>
        <w:tab/>
        <w:t xml:space="preserve">NKÚ zkontroloval šest smluv, 14 objednávek a k nim celkem 22 faktur.  </w:t>
      </w:r>
    </w:p>
  </w:footnote>
  <w:footnote w:id="72">
    <w:p w14:paraId="16E7838A" w14:textId="77777777" w:rsidR="00432ACE" w:rsidRDefault="00432ACE" w:rsidP="00C9411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7C3E07">
        <w:rPr>
          <w:rFonts w:asciiTheme="minorHAnsi" w:eastAsiaTheme="minorEastAsia" w:hAnsiTheme="minorHAnsi" w:cstheme="minorBidi"/>
          <w:bCs/>
        </w:rPr>
        <w:t>Ustanovení § 6 odst. 1 zákona č. 134/2016 Sb.</w:t>
      </w:r>
    </w:p>
  </w:footnote>
  <w:footnote w:id="73">
    <w:p w14:paraId="4AAE00C7" w14:textId="77777777" w:rsidR="00432ACE" w:rsidRDefault="00432ACE" w:rsidP="00C94114">
      <w:pPr>
        <w:pStyle w:val="Textpoznpodarou"/>
        <w:spacing w:before="0"/>
        <w:ind w:left="284" w:hanging="284"/>
      </w:pPr>
      <w:r w:rsidRPr="00D306C8">
        <w:rPr>
          <w:rStyle w:val="Znakapoznpodarou"/>
        </w:rPr>
        <w:footnoteRef/>
      </w:r>
      <w:r w:rsidRPr="00D306C8">
        <w:t xml:space="preserve"> </w:t>
      </w:r>
      <w:r>
        <w:tab/>
      </w:r>
      <w:r w:rsidRPr="00D306C8">
        <w:t>Ustanovení §</w:t>
      </w:r>
      <w:r>
        <w:t xml:space="preserve"> 25 a § </w:t>
      </w:r>
      <w:r w:rsidRPr="00D306C8">
        <w:t>31 zákona č. 320/2001 Sb.</w:t>
      </w:r>
    </w:p>
  </w:footnote>
  <w:footnote w:id="74">
    <w:p w14:paraId="10609C40" w14:textId="77777777" w:rsidR="00432ACE" w:rsidRDefault="00432ACE" w:rsidP="00C94114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527EA771">
        <w:rPr>
          <w:rFonts w:asciiTheme="minorHAnsi" w:eastAsiaTheme="minorEastAsia" w:hAnsiTheme="minorHAnsi" w:cstheme="minorBidi"/>
        </w:rPr>
        <w:t>stanovení § 30 odst. 5 zákona č. 320/2001 Sb.</w:t>
      </w:r>
    </w:p>
  </w:footnote>
  <w:footnote w:id="75">
    <w:p w14:paraId="65570170" w14:textId="77777777" w:rsidR="00432ACE" w:rsidRDefault="00432ACE" w:rsidP="00AB6C10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527EA771">
        <w:rPr>
          <w:rFonts w:asciiTheme="minorHAnsi" w:eastAsiaTheme="minorEastAsia" w:hAnsiTheme="minorHAnsi" w:cstheme="minorBidi"/>
        </w:rPr>
        <w:t>stanovení § 30 odst. 7 zákona č. 320/2001 Sb</w:t>
      </w:r>
      <w:r>
        <w:rPr>
          <w:rFonts w:asciiTheme="minorHAnsi" w:eastAsiaTheme="minorEastAsia" w:hAnsiTheme="minorHAnsi" w:cstheme="minorBidi"/>
        </w:rPr>
        <w:t>.</w:t>
      </w:r>
    </w:p>
  </w:footnote>
  <w:footnote w:id="76">
    <w:p w14:paraId="55DF1CBF" w14:textId="77777777" w:rsidR="00432ACE" w:rsidRDefault="00432ACE" w:rsidP="00AB6C10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Theme="minorHAnsi" w:hAnsiTheme="minorHAnsi" w:cstheme="minorBidi"/>
        </w:rPr>
        <w:t>U</w:t>
      </w:r>
      <w:r w:rsidRPr="527EA771">
        <w:rPr>
          <w:rFonts w:asciiTheme="minorHAnsi" w:hAnsiTheme="minorHAnsi" w:cstheme="minorBidi"/>
        </w:rPr>
        <w:t>stanovení § 26 odst. 1 zákona č. 320/2001 Sb.</w:t>
      </w:r>
      <w:r>
        <w:rPr>
          <w:rFonts w:asciiTheme="minorHAnsi" w:hAnsiTheme="minorHAnsi" w:cstheme="minorBidi"/>
        </w:rPr>
        <w:t xml:space="preserve"> a </w:t>
      </w:r>
      <w:r w:rsidRPr="527EA771">
        <w:rPr>
          <w:rFonts w:asciiTheme="minorHAnsi" w:hAnsiTheme="minorHAnsi" w:cstheme="minorBidi"/>
        </w:rPr>
        <w:t>ustanovení § 10 vyhlášky č. 416/2004 Sb</w:t>
      </w:r>
      <w:r>
        <w:rPr>
          <w:rFonts w:asciiTheme="minorHAnsi" w:hAnsiTheme="minorHAnsi" w:cstheme="minorBidi"/>
        </w:rPr>
        <w:t>.</w:t>
      </w:r>
    </w:p>
  </w:footnote>
  <w:footnote w:id="77">
    <w:p w14:paraId="6B5EBD47" w14:textId="77777777" w:rsidR="00432ACE" w:rsidRDefault="00432ACE" w:rsidP="00AB6C10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527EA771">
        <w:rPr>
          <w:rFonts w:asciiTheme="minorHAnsi" w:hAnsiTheme="minorHAnsi" w:cstheme="minorBidi"/>
        </w:rPr>
        <w:t>stanovení § 13 vyhlášky č. 416/2004 Sb.</w:t>
      </w:r>
    </w:p>
  </w:footnote>
  <w:footnote w:id="78">
    <w:p w14:paraId="2C902A3B" w14:textId="77777777" w:rsidR="00432ACE" w:rsidRDefault="00432ACE" w:rsidP="00AB6C10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527EA771">
        <w:rPr>
          <w:rFonts w:asciiTheme="minorHAnsi" w:hAnsiTheme="minorHAnsi" w:cstheme="minorBidi"/>
        </w:rPr>
        <w:t>§ 25 zákona č. 320/2001 Sb.</w:t>
      </w:r>
    </w:p>
  </w:footnote>
  <w:footnote w:id="79">
    <w:p w14:paraId="31B0E064" w14:textId="77777777" w:rsidR="00432ACE" w:rsidRDefault="00432ACE" w:rsidP="00AB6C10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</w:t>
      </w:r>
      <w:r w:rsidRPr="527EA771">
        <w:rPr>
          <w:rFonts w:asciiTheme="minorHAnsi" w:hAnsiTheme="minorHAnsi" w:cstheme="minorBidi"/>
        </w:rPr>
        <w:t xml:space="preserve">stanovení § 26 odst. 1, 2 a 4 zákona č. 320/2001 Sb. ve spojení s ustanoveními § 6 odst. 2 písm. a) a </w:t>
      </w:r>
      <w:r>
        <w:rPr>
          <w:rFonts w:asciiTheme="minorHAnsi" w:hAnsiTheme="minorHAnsi" w:cstheme="minorBidi"/>
        </w:rPr>
        <w:t xml:space="preserve">§ </w:t>
      </w:r>
      <w:r w:rsidRPr="527EA771">
        <w:rPr>
          <w:rFonts w:asciiTheme="minorHAnsi" w:hAnsiTheme="minorHAnsi" w:cstheme="minorBidi"/>
        </w:rPr>
        <w:t>11 odst. 1 zákona č. 320/2001 Sb. a ve spojení s ustanovením § 14 odst. 1, 2 a 4 vyhlášky 416/2004 Sb</w:t>
      </w:r>
      <w:r>
        <w:rPr>
          <w:rFonts w:asciiTheme="minorHAnsi" w:hAnsiTheme="minorHAnsi" w:cstheme="minorBidi"/>
        </w:rPr>
        <w:t>.</w:t>
      </w:r>
    </w:p>
  </w:footnote>
  <w:footnote w:id="80">
    <w:p w14:paraId="699D36B0" w14:textId="77777777" w:rsidR="00432ACE" w:rsidRDefault="00432ACE" w:rsidP="00AB6C10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</w:t>
      </w:r>
      <w:r w:rsidRPr="527EA771">
        <w:rPr>
          <w:rFonts w:asciiTheme="minorHAnsi" w:hAnsiTheme="minorHAnsi" w:cstheme="minorBidi"/>
        </w:rPr>
        <w:t>§ 25 zákona č. 320/2001 Sb.</w:t>
      </w:r>
    </w:p>
  </w:footnote>
  <w:footnote w:id="81">
    <w:p w14:paraId="4F480063" w14:textId="77777777" w:rsidR="00432ACE" w:rsidRDefault="00432ACE" w:rsidP="00AB6C10">
      <w:pPr>
        <w:pStyle w:val="Textpoznpodarou"/>
        <w:spacing w:before="0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rFonts w:asciiTheme="minorHAnsi" w:eastAsiaTheme="minorEastAsia" w:hAnsiTheme="minorHAnsi" w:cstheme="minorBidi"/>
        </w:rPr>
        <w:t>U</w:t>
      </w:r>
      <w:r w:rsidRPr="527EA771">
        <w:rPr>
          <w:rFonts w:asciiTheme="minorHAnsi" w:eastAsiaTheme="minorEastAsia" w:hAnsiTheme="minorHAnsi" w:cstheme="minorBidi"/>
        </w:rPr>
        <w:t>stanovení § 27 zákona č. 320/2001 Sb. ve spojení s</w:t>
      </w:r>
      <w:r>
        <w:rPr>
          <w:rFonts w:asciiTheme="minorHAnsi" w:eastAsiaTheme="minorEastAsia" w:hAnsiTheme="minorHAnsi" w:cstheme="minorBidi"/>
        </w:rPr>
        <w:t> </w:t>
      </w:r>
      <w:r w:rsidRPr="527EA771">
        <w:rPr>
          <w:rFonts w:asciiTheme="minorHAnsi" w:eastAsiaTheme="minorEastAsia" w:hAnsiTheme="minorHAnsi" w:cstheme="minorBidi"/>
        </w:rPr>
        <w:t>ustanovením</w:t>
      </w:r>
      <w:r>
        <w:rPr>
          <w:rFonts w:asciiTheme="minorHAnsi" w:eastAsiaTheme="minorEastAsia" w:hAnsiTheme="minorHAnsi" w:cstheme="minorBidi"/>
        </w:rPr>
        <w:t xml:space="preserve"> </w:t>
      </w:r>
      <w:r w:rsidRPr="527EA771">
        <w:rPr>
          <w:rFonts w:asciiTheme="minorHAnsi" w:eastAsiaTheme="minorEastAsia" w:hAnsiTheme="minorHAnsi" w:cstheme="minorBidi"/>
        </w:rPr>
        <w:t>§ 11 odst. 3 a 4 zákona č. 320/2001 Sb.</w:t>
      </w:r>
    </w:p>
  </w:footnote>
  <w:footnote w:id="82">
    <w:p w14:paraId="1843B8DF" w14:textId="77777777" w:rsidR="00432ACE" w:rsidRPr="00725F9C" w:rsidRDefault="00432ACE" w:rsidP="00AB6C10">
      <w:pPr>
        <w:pStyle w:val="Textpoznpodarou"/>
        <w:spacing w:before="0"/>
        <w:ind w:left="284" w:hanging="284"/>
      </w:pPr>
      <w:r w:rsidRPr="00725F9C">
        <w:rPr>
          <w:rStyle w:val="Znakapoznpodarou"/>
        </w:rPr>
        <w:footnoteRef/>
      </w:r>
      <w:r w:rsidRPr="00725F9C">
        <w:t xml:space="preserve"> </w:t>
      </w:r>
      <w:r>
        <w:tab/>
      </w:r>
      <w:r w:rsidRPr="00725F9C">
        <w:t>Ustanovení § 25 zákona č. 320/2001 Sb.</w:t>
      </w:r>
    </w:p>
  </w:footnote>
  <w:footnote w:id="83">
    <w:p w14:paraId="791813DB" w14:textId="77777777" w:rsidR="00432ACE" w:rsidRPr="00725F9C" w:rsidRDefault="00432ACE" w:rsidP="00725F9C">
      <w:pPr>
        <w:pStyle w:val="Textpoznpodarou"/>
        <w:spacing w:before="0"/>
        <w:ind w:left="284" w:hanging="284"/>
      </w:pPr>
      <w:r w:rsidRPr="00725F9C">
        <w:rPr>
          <w:rStyle w:val="Znakapoznpodarou"/>
        </w:rPr>
        <w:footnoteRef/>
      </w:r>
      <w:r w:rsidRPr="00725F9C">
        <w:t xml:space="preserve"> </w:t>
      </w:r>
      <w:r>
        <w:tab/>
      </w:r>
      <w:r w:rsidRPr="00725F9C">
        <w:t>U</w:t>
      </w:r>
      <w:r w:rsidRPr="00725F9C">
        <w:rPr>
          <w:rFonts w:eastAsiaTheme="minorEastAsia"/>
        </w:rPr>
        <w:t>stanovení § 4 odst. 1 písm. d) zákona č. 320/2001 Sb.</w:t>
      </w:r>
    </w:p>
  </w:footnote>
  <w:footnote w:id="84">
    <w:p w14:paraId="2BBEB863" w14:textId="77777777" w:rsidR="00432ACE" w:rsidRPr="00725F9C" w:rsidRDefault="00432ACE" w:rsidP="00725F9C">
      <w:pPr>
        <w:pStyle w:val="Textpoznpodarou"/>
        <w:spacing w:before="0"/>
        <w:ind w:left="284" w:hanging="284"/>
      </w:pPr>
      <w:r w:rsidRPr="00725F9C">
        <w:rPr>
          <w:rStyle w:val="Znakapoznpodarou"/>
        </w:rPr>
        <w:footnoteRef/>
      </w:r>
      <w:r w:rsidRPr="00725F9C">
        <w:t xml:space="preserve"> </w:t>
      </w:r>
      <w:r>
        <w:tab/>
      </w:r>
      <w:r w:rsidRPr="00725F9C">
        <w:rPr>
          <w:rFonts w:eastAsiaTheme="minorEastAsia"/>
        </w:rPr>
        <w:t>Ustanovení § 4 odst. 2 zákona č. 320/2001 Sb.</w:t>
      </w:r>
    </w:p>
  </w:footnote>
  <w:footnote w:id="85">
    <w:p w14:paraId="4EB4834F" w14:textId="77777777" w:rsidR="00432ACE" w:rsidRPr="00725F9C" w:rsidRDefault="00432ACE" w:rsidP="00725F9C">
      <w:pPr>
        <w:pStyle w:val="Textpoznpodarou"/>
        <w:spacing w:before="0"/>
        <w:ind w:left="284" w:hanging="284"/>
      </w:pPr>
      <w:r w:rsidRPr="00725F9C">
        <w:rPr>
          <w:rStyle w:val="Znakapoznpodarou"/>
        </w:rPr>
        <w:footnoteRef/>
      </w:r>
      <w:r w:rsidRPr="00725F9C">
        <w:t xml:space="preserve"> </w:t>
      </w:r>
      <w:r w:rsidRPr="00725F9C">
        <w:tab/>
      </w:r>
      <w:r w:rsidRPr="00725F9C">
        <w:rPr>
          <w:rFonts w:eastAsiaTheme="minorEastAsia"/>
        </w:rPr>
        <w:t>Ustanovení § 64 odst. 2 zákona č. 499/2004 Sb.</w:t>
      </w:r>
    </w:p>
  </w:footnote>
  <w:footnote w:id="86">
    <w:p w14:paraId="7E1E4344" w14:textId="77777777" w:rsidR="00432ACE" w:rsidRPr="00725F9C" w:rsidRDefault="00432ACE" w:rsidP="00725F9C">
      <w:pPr>
        <w:pStyle w:val="Textpoznpodarou"/>
        <w:spacing w:before="0"/>
        <w:ind w:left="284" w:hanging="284"/>
      </w:pPr>
      <w:r w:rsidRPr="00725F9C">
        <w:rPr>
          <w:rStyle w:val="Znakapoznpodarou"/>
        </w:rPr>
        <w:footnoteRef/>
      </w:r>
      <w:r w:rsidRPr="00725F9C">
        <w:t xml:space="preserve"> </w:t>
      </w:r>
      <w:r w:rsidRPr="00725F9C">
        <w:tab/>
        <w:t xml:space="preserve">Ustanovení </w:t>
      </w:r>
      <w:r w:rsidRPr="00725F9C">
        <w:rPr>
          <w:rFonts w:eastAsiaTheme="minorEastAsia"/>
        </w:rPr>
        <w:t>§ 2 písm. e) zákona č. 499/2004 Sb.</w:t>
      </w:r>
    </w:p>
  </w:footnote>
  <w:footnote w:id="87">
    <w:p w14:paraId="6A07722D" w14:textId="77777777" w:rsidR="00432ACE" w:rsidRPr="00725F9C" w:rsidRDefault="00432ACE" w:rsidP="00725F9C">
      <w:pPr>
        <w:pStyle w:val="Textpoznpodarou"/>
        <w:spacing w:before="0"/>
        <w:ind w:left="284" w:hanging="284"/>
      </w:pPr>
      <w:r w:rsidRPr="00725F9C">
        <w:rPr>
          <w:rStyle w:val="Znakapoznpodarou"/>
        </w:rPr>
        <w:footnoteRef/>
      </w:r>
      <w:r w:rsidRPr="00725F9C">
        <w:t xml:space="preserve"> </w:t>
      </w:r>
      <w:r w:rsidRPr="00725F9C">
        <w:tab/>
      </w:r>
      <w:r w:rsidRPr="00725F9C">
        <w:rPr>
          <w:rFonts w:eastAsiaTheme="minorEastAsia"/>
        </w:rPr>
        <w:t>Ustanovení § 68 odst. 1 zákona č. 499/2004 Sb.</w:t>
      </w:r>
    </w:p>
  </w:footnote>
  <w:footnote w:id="88">
    <w:p w14:paraId="3AB40688" w14:textId="77777777" w:rsidR="00432ACE" w:rsidRPr="00725F9C" w:rsidRDefault="00432ACE" w:rsidP="00725F9C">
      <w:pPr>
        <w:pStyle w:val="Textpoznpodarou"/>
        <w:spacing w:before="0"/>
        <w:ind w:left="284" w:hanging="284"/>
      </w:pPr>
      <w:r w:rsidRPr="00725F9C">
        <w:rPr>
          <w:rStyle w:val="Znakapoznpodarou"/>
        </w:rPr>
        <w:footnoteRef/>
      </w:r>
      <w:r w:rsidRPr="00725F9C">
        <w:t xml:space="preserve"> </w:t>
      </w:r>
      <w:r w:rsidRPr="00725F9C">
        <w:tab/>
        <w:t>U</w:t>
      </w:r>
      <w:r w:rsidRPr="00725F9C">
        <w:rPr>
          <w:rFonts w:eastAsiaTheme="minorEastAsia"/>
        </w:rPr>
        <w:t>stanovení § 66 odst. 3 zákona 499/2004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AB05C" w14:textId="77777777" w:rsidR="00432ACE" w:rsidRDefault="00432A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357"/>
    <w:multiLevelType w:val="multilevel"/>
    <w:tmpl w:val="2DAC8F6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676F74"/>
    <w:multiLevelType w:val="multilevel"/>
    <w:tmpl w:val="CD50EBE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7D724C"/>
    <w:multiLevelType w:val="multilevel"/>
    <w:tmpl w:val="CD50EBE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BF2AE2"/>
    <w:multiLevelType w:val="multilevel"/>
    <w:tmpl w:val="DB1A3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7937E75"/>
    <w:multiLevelType w:val="multilevel"/>
    <w:tmpl w:val="5DC266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E09EC0"/>
    <w:multiLevelType w:val="hybridMultilevel"/>
    <w:tmpl w:val="9B2A4150"/>
    <w:lvl w:ilvl="0" w:tplc="ED86C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A9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42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DAE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68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24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68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8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28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C61"/>
    <w:multiLevelType w:val="hybridMultilevel"/>
    <w:tmpl w:val="CB1C9CB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E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129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C2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04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E85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C1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87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62CF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1195E"/>
    <w:multiLevelType w:val="hybridMultilevel"/>
    <w:tmpl w:val="D89464BC"/>
    <w:lvl w:ilvl="0" w:tplc="09E4E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30E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C8E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AA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E4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D6E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09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C67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83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DDBC4"/>
    <w:multiLevelType w:val="hybridMultilevel"/>
    <w:tmpl w:val="F1AE44E6"/>
    <w:lvl w:ilvl="0" w:tplc="9D788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61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C1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C2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06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700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A1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CE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4B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41017"/>
    <w:multiLevelType w:val="hybridMultilevel"/>
    <w:tmpl w:val="094CFEEA"/>
    <w:lvl w:ilvl="0" w:tplc="EACAE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B968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A1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27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47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08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88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A1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E0A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CA9BE"/>
    <w:multiLevelType w:val="hybridMultilevel"/>
    <w:tmpl w:val="0728CED4"/>
    <w:lvl w:ilvl="0" w:tplc="1B668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236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786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0D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A40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C20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20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EE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EF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303A4"/>
    <w:multiLevelType w:val="multilevel"/>
    <w:tmpl w:val="DB1A3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E5086B2"/>
    <w:multiLevelType w:val="hybridMultilevel"/>
    <w:tmpl w:val="218C7960"/>
    <w:lvl w:ilvl="0" w:tplc="CF380F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3B86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CD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C9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E9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EC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EB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27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8B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14054"/>
    <w:multiLevelType w:val="hybridMultilevel"/>
    <w:tmpl w:val="3B72D1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48738"/>
    <w:multiLevelType w:val="hybridMultilevel"/>
    <w:tmpl w:val="2B304BEE"/>
    <w:lvl w:ilvl="0" w:tplc="6E923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881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8E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640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0C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E4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2D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02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43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C0905"/>
    <w:multiLevelType w:val="multilevel"/>
    <w:tmpl w:val="C5B2BFFA"/>
    <w:styleLink w:val="Styl5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15"/>
  </w:num>
  <w:num w:numId="9">
    <w:abstractNumId w:val="6"/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11"/>
  </w:num>
  <w:num w:numId="15">
    <w:abstractNumId w:val="2"/>
  </w:num>
  <w:num w:numId="1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796"/>
    <w:rsid w:val="000000B3"/>
    <w:rsid w:val="0000037E"/>
    <w:rsid w:val="00000A4B"/>
    <w:rsid w:val="00000DEA"/>
    <w:rsid w:val="00000E60"/>
    <w:rsid w:val="00000EE7"/>
    <w:rsid w:val="0000115B"/>
    <w:rsid w:val="0000137C"/>
    <w:rsid w:val="00001C41"/>
    <w:rsid w:val="00001C68"/>
    <w:rsid w:val="00003B52"/>
    <w:rsid w:val="000042C6"/>
    <w:rsid w:val="00006225"/>
    <w:rsid w:val="00006F09"/>
    <w:rsid w:val="00007FAA"/>
    <w:rsid w:val="00010103"/>
    <w:rsid w:val="00010E07"/>
    <w:rsid w:val="00011C6C"/>
    <w:rsid w:val="000123B9"/>
    <w:rsid w:val="00012539"/>
    <w:rsid w:val="000130B3"/>
    <w:rsid w:val="0001329A"/>
    <w:rsid w:val="00013E73"/>
    <w:rsid w:val="000142A9"/>
    <w:rsid w:val="000160CE"/>
    <w:rsid w:val="00017F21"/>
    <w:rsid w:val="00020EE3"/>
    <w:rsid w:val="00021D78"/>
    <w:rsid w:val="00022B8F"/>
    <w:rsid w:val="000232CC"/>
    <w:rsid w:val="00025CEB"/>
    <w:rsid w:val="00030EB5"/>
    <w:rsid w:val="00030FAF"/>
    <w:rsid w:val="00031AD9"/>
    <w:rsid w:val="00031CED"/>
    <w:rsid w:val="00032C20"/>
    <w:rsid w:val="0003326E"/>
    <w:rsid w:val="00034CE1"/>
    <w:rsid w:val="00037231"/>
    <w:rsid w:val="000385A2"/>
    <w:rsid w:val="00040FEA"/>
    <w:rsid w:val="00041095"/>
    <w:rsid w:val="00043E97"/>
    <w:rsid w:val="00044AEF"/>
    <w:rsid w:val="00045054"/>
    <w:rsid w:val="0004533D"/>
    <w:rsid w:val="00045B81"/>
    <w:rsid w:val="000466FC"/>
    <w:rsid w:val="00047E55"/>
    <w:rsid w:val="000502DB"/>
    <w:rsid w:val="000503D0"/>
    <w:rsid w:val="000505F5"/>
    <w:rsid w:val="000509FF"/>
    <w:rsid w:val="00050E4D"/>
    <w:rsid w:val="000516CB"/>
    <w:rsid w:val="00051D0F"/>
    <w:rsid w:val="00051F1D"/>
    <w:rsid w:val="000529F2"/>
    <w:rsid w:val="00053C7B"/>
    <w:rsid w:val="000541EC"/>
    <w:rsid w:val="0005510F"/>
    <w:rsid w:val="000558A7"/>
    <w:rsid w:val="00056631"/>
    <w:rsid w:val="00057400"/>
    <w:rsid w:val="00060071"/>
    <w:rsid w:val="000603FF"/>
    <w:rsid w:val="000612CC"/>
    <w:rsid w:val="00061EF1"/>
    <w:rsid w:val="00062E81"/>
    <w:rsid w:val="0006306D"/>
    <w:rsid w:val="0006381A"/>
    <w:rsid w:val="00063D5A"/>
    <w:rsid w:val="00070B8E"/>
    <w:rsid w:val="0007419E"/>
    <w:rsid w:val="00074A39"/>
    <w:rsid w:val="00075B4A"/>
    <w:rsid w:val="000774E0"/>
    <w:rsid w:val="0007769E"/>
    <w:rsid w:val="0008093F"/>
    <w:rsid w:val="00080C8B"/>
    <w:rsid w:val="00080FCC"/>
    <w:rsid w:val="000813AC"/>
    <w:rsid w:val="00081D08"/>
    <w:rsid w:val="0008413D"/>
    <w:rsid w:val="000843EE"/>
    <w:rsid w:val="00087701"/>
    <w:rsid w:val="00087B16"/>
    <w:rsid w:val="00087B85"/>
    <w:rsid w:val="00092D7C"/>
    <w:rsid w:val="00094937"/>
    <w:rsid w:val="00096926"/>
    <w:rsid w:val="00097A13"/>
    <w:rsid w:val="00097B1F"/>
    <w:rsid w:val="000A0FB6"/>
    <w:rsid w:val="000A3BCD"/>
    <w:rsid w:val="000A4309"/>
    <w:rsid w:val="000A5CFB"/>
    <w:rsid w:val="000A62CC"/>
    <w:rsid w:val="000A9A21"/>
    <w:rsid w:val="000B05E7"/>
    <w:rsid w:val="000B0C97"/>
    <w:rsid w:val="000B1BA8"/>
    <w:rsid w:val="000B1F7F"/>
    <w:rsid w:val="000B213D"/>
    <w:rsid w:val="000B2EF1"/>
    <w:rsid w:val="000B44B0"/>
    <w:rsid w:val="000B4883"/>
    <w:rsid w:val="000B5F4C"/>
    <w:rsid w:val="000B7A21"/>
    <w:rsid w:val="000C124A"/>
    <w:rsid w:val="000C126A"/>
    <w:rsid w:val="000C15E4"/>
    <w:rsid w:val="000C1A3D"/>
    <w:rsid w:val="000C1E70"/>
    <w:rsid w:val="000C4394"/>
    <w:rsid w:val="000C4E91"/>
    <w:rsid w:val="000C55F4"/>
    <w:rsid w:val="000C609F"/>
    <w:rsid w:val="000C611E"/>
    <w:rsid w:val="000C65EA"/>
    <w:rsid w:val="000D0CB2"/>
    <w:rsid w:val="000D10BA"/>
    <w:rsid w:val="000D21FA"/>
    <w:rsid w:val="000D236D"/>
    <w:rsid w:val="000D2A5D"/>
    <w:rsid w:val="000D37D7"/>
    <w:rsid w:val="000D4FCE"/>
    <w:rsid w:val="000D7EFD"/>
    <w:rsid w:val="000E2065"/>
    <w:rsid w:val="000E320C"/>
    <w:rsid w:val="000E427E"/>
    <w:rsid w:val="000E64FA"/>
    <w:rsid w:val="000E7DDF"/>
    <w:rsid w:val="000F0C79"/>
    <w:rsid w:val="000F0EB1"/>
    <w:rsid w:val="000F1C71"/>
    <w:rsid w:val="000F3EB0"/>
    <w:rsid w:val="000F41CB"/>
    <w:rsid w:val="000F51F1"/>
    <w:rsid w:val="000F53A6"/>
    <w:rsid w:val="000F584B"/>
    <w:rsid w:val="000F5D97"/>
    <w:rsid w:val="000F611C"/>
    <w:rsid w:val="000F785C"/>
    <w:rsid w:val="00101D72"/>
    <w:rsid w:val="00102046"/>
    <w:rsid w:val="00102C17"/>
    <w:rsid w:val="00102C9D"/>
    <w:rsid w:val="00103859"/>
    <w:rsid w:val="0010424B"/>
    <w:rsid w:val="00106F86"/>
    <w:rsid w:val="00111591"/>
    <w:rsid w:val="00111926"/>
    <w:rsid w:val="00111B7E"/>
    <w:rsid w:val="00112D00"/>
    <w:rsid w:val="0011310D"/>
    <w:rsid w:val="00114941"/>
    <w:rsid w:val="0011703A"/>
    <w:rsid w:val="0011AC48"/>
    <w:rsid w:val="001200BD"/>
    <w:rsid w:val="001209C6"/>
    <w:rsid w:val="001212B3"/>
    <w:rsid w:val="00121B09"/>
    <w:rsid w:val="00122B6E"/>
    <w:rsid w:val="00123576"/>
    <w:rsid w:val="00123C10"/>
    <w:rsid w:val="001250F1"/>
    <w:rsid w:val="00125AFA"/>
    <w:rsid w:val="00125C00"/>
    <w:rsid w:val="00127069"/>
    <w:rsid w:val="00127BC5"/>
    <w:rsid w:val="0013089C"/>
    <w:rsid w:val="00131C3C"/>
    <w:rsid w:val="00132D03"/>
    <w:rsid w:val="00133581"/>
    <w:rsid w:val="00135474"/>
    <w:rsid w:val="00135CC8"/>
    <w:rsid w:val="00136CDC"/>
    <w:rsid w:val="00137051"/>
    <w:rsid w:val="00137E0B"/>
    <w:rsid w:val="0014145A"/>
    <w:rsid w:val="00141B7B"/>
    <w:rsid w:val="00141F5A"/>
    <w:rsid w:val="00142376"/>
    <w:rsid w:val="001423AE"/>
    <w:rsid w:val="00142C19"/>
    <w:rsid w:val="00142EFF"/>
    <w:rsid w:val="00143263"/>
    <w:rsid w:val="00144B3D"/>
    <w:rsid w:val="00145F9E"/>
    <w:rsid w:val="0014637C"/>
    <w:rsid w:val="00146F56"/>
    <w:rsid w:val="00147F14"/>
    <w:rsid w:val="00150853"/>
    <w:rsid w:val="00151388"/>
    <w:rsid w:val="00151B33"/>
    <w:rsid w:val="001525F4"/>
    <w:rsid w:val="00154A50"/>
    <w:rsid w:val="00154B91"/>
    <w:rsid w:val="00155C6C"/>
    <w:rsid w:val="00156322"/>
    <w:rsid w:val="00156330"/>
    <w:rsid w:val="00157644"/>
    <w:rsid w:val="00157AC1"/>
    <w:rsid w:val="001610C2"/>
    <w:rsid w:val="00163D90"/>
    <w:rsid w:val="00165016"/>
    <w:rsid w:val="00171B14"/>
    <w:rsid w:val="00171B46"/>
    <w:rsid w:val="00171B56"/>
    <w:rsid w:val="001720E9"/>
    <w:rsid w:val="00173640"/>
    <w:rsid w:val="00174175"/>
    <w:rsid w:val="001751B6"/>
    <w:rsid w:val="00175AFB"/>
    <w:rsid w:val="001778BD"/>
    <w:rsid w:val="00180E11"/>
    <w:rsid w:val="00180FF7"/>
    <w:rsid w:val="001810DF"/>
    <w:rsid w:val="0018160D"/>
    <w:rsid w:val="00181790"/>
    <w:rsid w:val="00181F06"/>
    <w:rsid w:val="00182278"/>
    <w:rsid w:val="00182B6D"/>
    <w:rsid w:val="00183CFE"/>
    <w:rsid w:val="0018455C"/>
    <w:rsid w:val="00186FC1"/>
    <w:rsid w:val="001876F4"/>
    <w:rsid w:val="0019080F"/>
    <w:rsid w:val="0019236E"/>
    <w:rsid w:val="001934A9"/>
    <w:rsid w:val="00193DBF"/>
    <w:rsid w:val="00195200"/>
    <w:rsid w:val="001A014B"/>
    <w:rsid w:val="001A01C6"/>
    <w:rsid w:val="001A0865"/>
    <w:rsid w:val="001A27C6"/>
    <w:rsid w:val="001A3C48"/>
    <w:rsid w:val="001A3DD7"/>
    <w:rsid w:val="001A4BE1"/>
    <w:rsid w:val="001A5625"/>
    <w:rsid w:val="001A6EB1"/>
    <w:rsid w:val="001A75AC"/>
    <w:rsid w:val="001A76D0"/>
    <w:rsid w:val="001A7B52"/>
    <w:rsid w:val="001B0879"/>
    <w:rsid w:val="001B2F8D"/>
    <w:rsid w:val="001B43F8"/>
    <w:rsid w:val="001B5CD2"/>
    <w:rsid w:val="001B6995"/>
    <w:rsid w:val="001B768A"/>
    <w:rsid w:val="001B7A1D"/>
    <w:rsid w:val="001C0A2D"/>
    <w:rsid w:val="001C0BE9"/>
    <w:rsid w:val="001C2549"/>
    <w:rsid w:val="001C32A7"/>
    <w:rsid w:val="001C39FE"/>
    <w:rsid w:val="001C4B6A"/>
    <w:rsid w:val="001C5441"/>
    <w:rsid w:val="001C590C"/>
    <w:rsid w:val="001C5B0B"/>
    <w:rsid w:val="001C71A4"/>
    <w:rsid w:val="001C7E55"/>
    <w:rsid w:val="001D1079"/>
    <w:rsid w:val="001D2650"/>
    <w:rsid w:val="001D26AC"/>
    <w:rsid w:val="001D2C69"/>
    <w:rsid w:val="001D3380"/>
    <w:rsid w:val="001D352B"/>
    <w:rsid w:val="001D40C2"/>
    <w:rsid w:val="001D4998"/>
    <w:rsid w:val="001D4BBF"/>
    <w:rsid w:val="001D5559"/>
    <w:rsid w:val="001D5A89"/>
    <w:rsid w:val="001D5AD8"/>
    <w:rsid w:val="001E07FB"/>
    <w:rsid w:val="001E09E2"/>
    <w:rsid w:val="001E1590"/>
    <w:rsid w:val="001E244A"/>
    <w:rsid w:val="001E2A8C"/>
    <w:rsid w:val="001E2B9D"/>
    <w:rsid w:val="001E500A"/>
    <w:rsid w:val="001E7D6F"/>
    <w:rsid w:val="001F11CB"/>
    <w:rsid w:val="001F1E53"/>
    <w:rsid w:val="001F3451"/>
    <w:rsid w:val="001F44F8"/>
    <w:rsid w:val="001F49FF"/>
    <w:rsid w:val="001FAF5C"/>
    <w:rsid w:val="00200F6B"/>
    <w:rsid w:val="00202512"/>
    <w:rsid w:val="00203878"/>
    <w:rsid w:val="00204210"/>
    <w:rsid w:val="00204606"/>
    <w:rsid w:val="002047A6"/>
    <w:rsid w:val="00206D5F"/>
    <w:rsid w:val="002108F1"/>
    <w:rsid w:val="00211710"/>
    <w:rsid w:val="00212060"/>
    <w:rsid w:val="002121AA"/>
    <w:rsid w:val="0021263A"/>
    <w:rsid w:val="00212ACF"/>
    <w:rsid w:val="00214AAB"/>
    <w:rsid w:val="00222AC6"/>
    <w:rsid w:val="00222D89"/>
    <w:rsid w:val="00224382"/>
    <w:rsid w:val="00224DC1"/>
    <w:rsid w:val="002251C3"/>
    <w:rsid w:val="0022533D"/>
    <w:rsid w:val="002258DF"/>
    <w:rsid w:val="002265C4"/>
    <w:rsid w:val="002267FD"/>
    <w:rsid w:val="00227EE3"/>
    <w:rsid w:val="00230E5B"/>
    <w:rsid w:val="002326BF"/>
    <w:rsid w:val="00233814"/>
    <w:rsid w:val="00233912"/>
    <w:rsid w:val="002356E6"/>
    <w:rsid w:val="00236257"/>
    <w:rsid w:val="00237269"/>
    <w:rsid w:val="00242227"/>
    <w:rsid w:val="002430D4"/>
    <w:rsid w:val="00243483"/>
    <w:rsid w:val="00244F24"/>
    <w:rsid w:val="00247AA3"/>
    <w:rsid w:val="00251380"/>
    <w:rsid w:val="00251596"/>
    <w:rsid w:val="00251F7F"/>
    <w:rsid w:val="00253835"/>
    <w:rsid w:val="00254C68"/>
    <w:rsid w:val="00255360"/>
    <w:rsid w:val="00257037"/>
    <w:rsid w:val="0026007F"/>
    <w:rsid w:val="002625C1"/>
    <w:rsid w:val="00263C20"/>
    <w:rsid w:val="00266516"/>
    <w:rsid w:val="00266D83"/>
    <w:rsid w:val="00267D0A"/>
    <w:rsid w:val="002700F5"/>
    <w:rsid w:val="00271504"/>
    <w:rsid w:val="00272B2B"/>
    <w:rsid w:val="00273006"/>
    <w:rsid w:val="0027344B"/>
    <w:rsid w:val="00273F8E"/>
    <w:rsid w:val="00274C54"/>
    <w:rsid w:val="00275997"/>
    <w:rsid w:val="0028039D"/>
    <w:rsid w:val="00280E28"/>
    <w:rsid w:val="00284562"/>
    <w:rsid w:val="0028673A"/>
    <w:rsid w:val="00291886"/>
    <w:rsid w:val="00292C69"/>
    <w:rsid w:val="002931C3"/>
    <w:rsid w:val="0029342B"/>
    <w:rsid w:val="00293919"/>
    <w:rsid w:val="00293A5F"/>
    <w:rsid w:val="002943EF"/>
    <w:rsid w:val="00294E77"/>
    <w:rsid w:val="00295219"/>
    <w:rsid w:val="002958E0"/>
    <w:rsid w:val="00295A1B"/>
    <w:rsid w:val="00295FEB"/>
    <w:rsid w:val="00296100"/>
    <w:rsid w:val="002A0178"/>
    <w:rsid w:val="002A0371"/>
    <w:rsid w:val="002A03F3"/>
    <w:rsid w:val="002A04C3"/>
    <w:rsid w:val="002A0CEC"/>
    <w:rsid w:val="002A190B"/>
    <w:rsid w:val="002A1DA3"/>
    <w:rsid w:val="002A3D46"/>
    <w:rsid w:val="002A40B6"/>
    <w:rsid w:val="002A45D2"/>
    <w:rsid w:val="002A50F2"/>
    <w:rsid w:val="002A5F63"/>
    <w:rsid w:val="002B0084"/>
    <w:rsid w:val="002B1527"/>
    <w:rsid w:val="002B18F4"/>
    <w:rsid w:val="002B4B44"/>
    <w:rsid w:val="002B5B2D"/>
    <w:rsid w:val="002C0519"/>
    <w:rsid w:val="002C1AE1"/>
    <w:rsid w:val="002C5C96"/>
    <w:rsid w:val="002C747C"/>
    <w:rsid w:val="002D0B5B"/>
    <w:rsid w:val="002D0CD2"/>
    <w:rsid w:val="002D0D93"/>
    <w:rsid w:val="002D1BBA"/>
    <w:rsid w:val="002D3096"/>
    <w:rsid w:val="002D3B41"/>
    <w:rsid w:val="002D3D9C"/>
    <w:rsid w:val="002D40FE"/>
    <w:rsid w:val="002D5CF1"/>
    <w:rsid w:val="002D6DDF"/>
    <w:rsid w:val="002D7631"/>
    <w:rsid w:val="002D7B32"/>
    <w:rsid w:val="002E11AC"/>
    <w:rsid w:val="002E176B"/>
    <w:rsid w:val="002E2614"/>
    <w:rsid w:val="002E2FE6"/>
    <w:rsid w:val="002E310D"/>
    <w:rsid w:val="002E4129"/>
    <w:rsid w:val="002E4586"/>
    <w:rsid w:val="002E556E"/>
    <w:rsid w:val="002E7C53"/>
    <w:rsid w:val="002F01DD"/>
    <w:rsid w:val="002F07F0"/>
    <w:rsid w:val="002F1021"/>
    <w:rsid w:val="002F33AB"/>
    <w:rsid w:val="002F6271"/>
    <w:rsid w:val="002F66F7"/>
    <w:rsid w:val="002F77CF"/>
    <w:rsid w:val="00300353"/>
    <w:rsid w:val="003003ED"/>
    <w:rsid w:val="00300A0B"/>
    <w:rsid w:val="00305395"/>
    <w:rsid w:val="003059E2"/>
    <w:rsid w:val="00305EA6"/>
    <w:rsid w:val="003117DD"/>
    <w:rsid w:val="00314EC2"/>
    <w:rsid w:val="00315484"/>
    <w:rsid w:val="0031558A"/>
    <w:rsid w:val="003168B3"/>
    <w:rsid w:val="00316DC8"/>
    <w:rsid w:val="00316E93"/>
    <w:rsid w:val="00320712"/>
    <w:rsid w:val="00320DE4"/>
    <w:rsid w:val="003210B5"/>
    <w:rsid w:val="0032176C"/>
    <w:rsid w:val="003226FD"/>
    <w:rsid w:val="00324A00"/>
    <w:rsid w:val="003309A1"/>
    <w:rsid w:val="003316B6"/>
    <w:rsid w:val="00332E6F"/>
    <w:rsid w:val="00333946"/>
    <w:rsid w:val="003354AA"/>
    <w:rsid w:val="00341084"/>
    <w:rsid w:val="0034459A"/>
    <w:rsid w:val="00345EC9"/>
    <w:rsid w:val="00345FC6"/>
    <w:rsid w:val="003510B8"/>
    <w:rsid w:val="00352257"/>
    <w:rsid w:val="00352753"/>
    <w:rsid w:val="0035316A"/>
    <w:rsid w:val="00354C01"/>
    <w:rsid w:val="00354CA2"/>
    <w:rsid w:val="0035580B"/>
    <w:rsid w:val="00355AAA"/>
    <w:rsid w:val="00357104"/>
    <w:rsid w:val="00362796"/>
    <w:rsid w:val="00363397"/>
    <w:rsid w:val="00363418"/>
    <w:rsid w:val="00363A05"/>
    <w:rsid w:val="003648F8"/>
    <w:rsid w:val="00367301"/>
    <w:rsid w:val="00370188"/>
    <w:rsid w:val="00370827"/>
    <w:rsid w:val="00371D3F"/>
    <w:rsid w:val="00372119"/>
    <w:rsid w:val="003737F6"/>
    <w:rsid w:val="00374A31"/>
    <w:rsid w:val="003756C5"/>
    <w:rsid w:val="00375CEE"/>
    <w:rsid w:val="00380C46"/>
    <w:rsid w:val="00380CC9"/>
    <w:rsid w:val="00383557"/>
    <w:rsid w:val="0038380D"/>
    <w:rsid w:val="0038424E"/>
    <w:rsid w:val="00384482"/>
    <w:rsid w:val="0038451C"/>
    <w:rsid w:val="0038724C"/>
    <w:rsid w:val="003907E6"/>
    <w:rsid w:val="00392852"/>
    <w:rsid w:val="00393DE6"/>
    <w:rsid w:val="003945C5"/>
    <w:rsid w:val="00396FBA"/>
    <w:rsid w:val="003A1DBB"/>
    <w:rsid w:val="003A23B3"/>
    <w:rsid w:val="003A4109"/>
    <w:rsid w:val="003A6C90"/>
    <w:rsid w:val="003A7142"/>
    <w:rsid w:val="003A71D5"/>
    <w:rsid w:val="003A74A2"/>
    <w:rsid w:val="003A7F60"/>
    <w:rsid w:val="003B1120"/>
    <w:rsid w:val="003B1165"/>
    <w:rsid w:val="003B1383"/>
    <w:rsid w:val="003B2668"/>
    <w:rsid w:val="003B3239"/>
    <w:rsid w:val="003B355D"/>
    <w:rsid w:val="003B3B87"/>
    <w:rsid w:val="003B4C55"/>
    <w:rsid w:val="003B5293"/>
    <w:rsid w:val="003B5CD0"/>
    <w:rsid w:val="003B5CDB"/>
    <w:rsid w:val="003B5E95"/>
    <w:rsid w:val="003B6DF1"/>
    <w:rsid w:val="003C0618"/>
    <w:rsid w:val="003C172C"/>
    <w:rsid w:val="003C25A9"/>
    <w:rsid w:val="003C25C7"/>
    <w:rsid w:val="003C349C"/>
    <w:rsid w:val="003C4359"/>
    <w:rsid w:val="003C4997"/>
    <w:rsid w:val="003C5395"/>
    <w:rsid w:val="003C7E07"/>
    <w:rsid w:val="003D08D7"/>
    <w:rsid w:val="003D0BC3"/>
    <w:rsid w:val="003D1AAB"/>
    <w:rsid w:val="003D1CFB"/>
    <w:rsid w:val="003D28A0"/>
    <w:rsid w:val="003D388A"/>
    <w:rsid w:val="003D3EAA"/>
    <w:rsid w:val="003D46CC"/>
    <w:rsid w:val="003D4C8F"/>
    <w:rsid w:val="003D5C51"/>
    <w:rsid w:val="003D715C"/>
    <w:rsid w:val="003E1611"/>
    <w:rsid w:val="003E2F79"/>
    <w:rsid w:val="003E3334"/>
    <w:rsid w:val="003E510D"/>
    <w:rsid w:val="003E6830"/>
    <w:rsid w:val="003E6AD5"/>
    <w:rsid w:val="003E73DC"/>
    <w:rsid w:val="003E7E48"/>
    <w:rsid w:val="003F06D6"/>
    <w:rsid w:val="003F0A38"/>
    <w:rsid w:val="003F0D3E"/>
    <w:rsid w:val="003F1259"/>
    <w:rsid w:val="003F18F5"/>
    <w:rsid w:val="003F23BC"/>
    <w:rsid w:val="003F35B6"/>
    <w:rsid w:val="003F363F"/>
    <w:rsid w:val="003F3C6F"/>
    <w:rsid w:val="003F4B10"/>
    <w:rsid w:val="003F6263"/>
    <w:rsid w:val="003F7ED6"/>
    <w:rsid w:val="003F7FCB"/>
    <w:rsid w:val="00400493"/>
    <w:rsid w:val="00400A88"/>
    <w:rsid w:val="0040114F"/>
    <w:rsid w:val="00402D91"/>
    <w:rsid w:val="004037B4"/>
    <w:rsid w:val="00403D62"/>
    <w:rsid w:val="004067F1"/>
    <w:rsid w:val="00406BC4"/>
    <w:rsid w:val="0041033B"/>
    <w:rsid w:val="00411F93"/>
    <w:rsid w:val="00412099"/>
    <w:rsid w:val="00412A64"/>
    <w:rsid w:val="00413356"/>
    <w:rsid w:val="00413985"/>
    <w:rsid w:val="00413AE4"/>
    <w:rsid w:val="00413D01"/>
    <w:rsid w:val="00414F10"/>
    <w:rsid w:val="00416E94"/>
    <w:rsid w:val="004172C7"/>
    <w:rsid w:val="0041735D"/>
    <w:rsid w:val="00417856"/>
    <w:rsid w:val="00417AAF"/>
    <w:rsid w:val="00417ABF"/>
    <w:rsid w:val="0042008A"/>
    <w:rsid w:val="00420DC1"/>
    <w:rsid w:val="004222B6"/>
    <w:rsid w:val="0042232E"/>
    <w:rsid w:val="00422637"/>
    <w:rsid w:val="00422E19"/>
    <w:rsid w:val="00423DE8"/>
    <w:rsid w:val="00423F36"/>
    <w:rsid w:val="00424CC8"/>
    <w:rsid w:val="00425B79"/>
    <w:rsid w:val="00425BEC"/>
    <w:rsid w:val="0042654D"/>
    <w:rsid w:val="004268EE"/>
    <w:rsid w:val="00430294"/>
    <w:rsid w:val="004307F6"/>
    <w:rsid w:val="0043163D"/>
    <w:rsid w:val="0043196D"/>
    <w:rsid w:val="00432ACE"/>
    <w:rsid w:val="00435B54"/>
    <w:rsid w:val="00436468"/>
    <w:rsid w:val="00441338"/>
    <w:rsid w:val="00441907"/>
    <w:rsid w:val="00441F8A"/>
    <w:rsid w:val="00442030"/>
    <w:rsid w:val="00442521"/>
    <w:rsid w:val="00442FDA"/>
    <w:rsid w:val="0044639E"/>
    <w:rsid w:val="00451BBB"/>
    <w:rsid w:val="00454BF8"/>
    <w:rsid w:val="00455B22"/>
    <w:rsid w:val="00455C05"/>
    <w:rsid w:val="00456E00"/>
    <w:rsid w:val="00461055"/>
    <w:rsid w:val="00461792"/>
    <w:rsid w:val="00461F21"/>
    <w:rsid w:val="004625D7"/>
    <w:rsid w:val="004648D8"/>
    <w:rsid w:val="0046552B"/>
    <w:rsid w:val="00465863"/>
    <w:rsid w:val="004658D7"/>
    <w:rsid w:val="00466413"/>
    <w:rsid w:val="0046699B"/>
    <w:rsid w:val="00466AAE"/>
    <w:rsid w:val="00467AAC"/>
    <w:rsid w:val="00467CFC"/>
    <w:rsid w:val="00470FEC"/>
    <w:rsid w:val="004711AB"/>
    <w:rsid w:val="0047278B"/>
    <w:rsid w:val="00473D8D"/>
    <w:rsid w:val="00473FD4"/>
    <w:rsid w:val="00474234"/>
    <w:rsid w:val="00475F75"/>
    <w:rsid w:val="00476A0F"/>
    <w:rsid w:val="00476A27"/>
    <w:rsid w:val="0047780D"/>
    <w:rsid w:val="004801C4"/>
    <w:rsid w:val="0048062C"/>
    <w:rsid w:val="00481E04"/>
    <w:rsid w:val="0048265D"/>
    <w:rsid w:val="00486639"/>
    <w:rsid w:val="00486BED"/>
    <w:rsid w:val="00487622"/>
    <w:rsid w:val="00487C23"/>
    <w:rsid w:val="00495DBC"/>
    <w:rsid w:val="00496E2A"/>
    <w:rsid w:val="00497949"/>
    <w:rsid w:val="004A0AD1"/>
    <w:rsid w:val="004A1DFA"/>
    <w:rsid w:val="004A2AE8"/>
    <w:rsid w:val="004A3FF7"/>
    <w:rsid w:val="004A4DA4"/>
    <w:rsid w:val="004A5EE8"/>
    <w:rsid w:val="004A6153"/>
    <w:rsid w:val="004B0627"/>
    <w:rsid w:val="004B3B5E"/>
    <w:rsid w:val="004B3EC2"/>
    <w:rsid w:val="004B4EC9"/>
    <w:rsid w:val="004B52C0"/>
    <w:rsid w:val="004B5878"/>
    <w:rsid w:val="004B6158"/>
    <w:rsid w:val="004B61DA"/>
    <w:rsid w:val="004B647C"/>
    <w:rsid w:val="004B7D31"/>
    <w:rsid w:val="004C1460"/>
    <w:rsid w:val="004C1864"/>
    <w:rsid w:val="004C1885"/>
    <w:rsid w:val="004C1C80"/>
    <w:rsid w:val="004C1F09"/>
    <w:rsid w:val="004C255E"/>
    <w:rsid w:val="004C3B77"/>
    <w:rsid w:val="004C3E08"/>
    <w:rsid w:val="004C5FDE"/>
    <w:rsid w:val="004C6B81"/>
    <w:rsid w:val="004C7A73"/>
    <w:rsid w:val="004D4692"/>
    <w:rsid w:val="004D5C4C"/>
    <w:rsid w:val="004D6453"/>
    <w:rsid w:val="004D6C37"/>
    <w:rsid w:val="004E0D39"/>
    <w:rsid w:val="004E2952"/>
    <w:rsid w:val="004E2E6F"/>
    <w:rsid w:val="004E3171"/>
    <w:rsid w:val="004E50A3"/>
    <w:rsid w:val="004E5781"/>
    <w:rsid w:val="004E6964"/>
    <w:rsid w:val="004E7191"/>
    <w:rsid w:val="004E73D8"/>
    <w:rsid w:val="004E76D1"/>
    <w:rsid w:val="004F0181"/>
    <w:rsid w:val="004F05D5"/>
    <w:rsid w:val="004F1F66"/>
    <w:rsid w:val="004F4690"/>
    <w:rsid w:val="004F4ACC"/>
    <w:rsid w:val="004F5086"/>
    <w:rsid w:val="004F590A"/>
    <w:rsid w:val="004F623C"/>
    <w:rsid w:val="004F6F64"/>
    <w:rsid w:val="004F7749"/>
    <w:rsid w:val="0050091E"/>
    <w:rsid w:val="00500E8B"/>
    <w:rsid w:val="00501675"/>
    <w:rsid w:val="00501A6B"/>
    <w:rsid w:val="00501D5D"/>
    <w:rsid w:val="005028B8"/>
    <w:rsid w:val="005035B3"/>
    <w:rsid w:val="00503D67"/>
    <w:rsid w:val="005046B5"/>
    <w:rsid w:val="00504D76"/>
    <w:rsid w:val="005058BB"/>
    <w:rsid w:val="005065FA"/>
    <w:rsid w:val="005067AC"/>
    <w:rsid w:val="005100B0"/>
    <w:rsid w:val="00510369"/>
    <w:rsid w:val="00510629"/>
    <w:rsid w:val="00511658"/>
    <w:rsid w:val="00511ACD"/>
    <w:rsid w:val="00511F58"/>
    <w:rsid w:val="00512508"/>
    <w:rsid w:val="00513DE0"/>
    <w:rsid w:val="005141A7"/>
    <w:rsid w:val="00514CE0"/>
    <w:rsid w:val="00514EBA"/>
    <w:rsid w:val="005156B5"/>
    <w:rsid w:val="005215A9"/>
    <w:rsid w:val="00521AEF"/>
    <w:rsid w:val="00521EEE"/>
    <w:rsid w:val="00526107"/>
    <w:rsid w:val="00526197"/>
    <w:rsid w:val="00526B03"/>
    <w:rsid w:val="00527170"/>
    <w:rsid w:val="00530BC4"/>
    <w:rsid w:val="00530E5F"/>
    <w:rsid w:val="00531149"/>
    <w:rsid w:val="0053150D"/>
    <w:rsid w:val="00531A32"/>
    <w:rsid w:val="00532991"/>
    <w:rsid w:val="00533018"/>
    <w:rsid w:val="00534454"/>
    <w:rsid w:val="00534EFC"/>
    <w:rsid w:val="00535DB2"/>
    <w:rsid w:val="00536BDD"/>
    <w:rsid w:val="0053763B"/>
    <w:rsid w:val="005400C8"/>
    <w:rsid w:val="00540EEC"/>
    <w:rsid w:val="00541658"/>
    <w:rsid w:val="0054182A"/>
    <w:rsid w:val="00543D48"/>
    <w:rsid w:val="00543F12"/>
    <w:rsid w:val="00545879"/>
    <w:rsid w:val="00550985"/>
    <w:rsid w:val="00551164"/>
    <w:rsid w:val="005518F8"/>
    <w:rsid w:val="005519B6"/>
    <w:rsid w:val="005533B6"/>
    <w:rsid w:val="005539F5"/>
    <w:rsid w:val="005541DC"/>
    <w:rsid w:val="00555F28"/>
    <w:rsid w:val="00557327"/>
    <w:rsid w:val="00560FA2"/>
    <w:rsid w:val="00561EFA"/>
    <w:rsid w:val="00563528"/>
    <w:rsid w:val="00563EED"/>
    <w:rsid w:val="00565973"/>
    <w:rsid w:val="00565E6B"/>
    <w:rsid w:val="00566AC0"/>
    <w:rsid w:val="00567080"/>
    <w:rsid w:val="0057158B"/>
    <w:rsid w:val="005728D7"/>
    <w:rsid w:val="00573726"/>
    <w:rsid w:val="00575937"/>
    <w:rsid w:val="00576694"/>
    <w:rsid w:val="00580D5A"/>
    <w:rsid w:val="00581A20"/>
    <w:rsid w:val="0058238C"/>
    <w:rsid w:val="005833BA"/>
    <w:rsid w:val="00583B16"/>
    <w:rsid w:val="005846C5"/>
    <w:rsid w:val="00584CF9"/>
    <w:rsid w:val="0058581C"/>
    <w:rsid w:val="00587348"/>
    <w:rsid w:val="0059011C"/>
    <w:rsid w:val="00590240"/>
    <w:rsid w:val="00590AC8"/>
    <w:rsid w:val="00592EFF"/>
    <w:rsid w:val="005937B0"/>
    <w:rsid w:val="00593E83"/>
    <w:rsid w:val="005947B9"/>
    <w:rsid w:val="00595170"/>
    <w:rsid w:val="00595E2A"/>
    <w:rsid w:val="00595F99"/>
    <w:rsid w:val="005969EB"/>
    <w:rsid w:val="0059778F"/>
    <w:rsid w:val="005A0D65"/>
    <w:rsid w:val="005A16B4"/>
    <w:rsid w:val="005A1A78"/>
    <w:rsid w:val="005A390C"/>
    <w:rsid w:val="005A474C"/>
    <w:rsid w:val="005A487C"/>
    <w:rsid w:val="005A4B82"/>
    <w:rsid w:val="005A56EA"/>
    <w:rsid w:val="005A5FB5"/>
    <w:rsid w:val="005A6717"/>
    <w:rsid w:val="005B0396"/>
    <w:rsid w:val="005B06EE"/>
    <w:rsid w:val="005B15B1"/>
    <w:rsid w:val="005B2422"/>
    <w:rsid w:val="005B2D6D"/>
    <w:rsid w:val="005B5DF6"/>
    <w:rsid w:val="005B6D3F"/>
    <w:rsid w:val="005B7AD9"/>
    <w:rsid w:val="005B7D3C"/>
    <w:rsid w:val="005C1B2B"/>
    <w:rsid w:val="005C3886"/>
    <w:rsid w:val="005C3B02"/>
    <w:rsid w:val="005C586E"/>
    <w:rsid w:val="005D0656"/>
    <w:rsid w:val="005D1D83"/>
    <w:rsid w:val="005D2CFA"/>
    <w:rsid w:val="005D3701"/>
    <w:rsid w:val="005D3A20"/>
    <w:rsid w:val="005D3DAD"/>
    <w:rsid w:val="005D43C1"/>
    <w:rsid w:val="005D7BD5"/>
    <w:rsid w:val="005E1D29"/>
    <w:rsid w:val="005E4DBB"/>
    <w:rsid w:val="005E4F1F"/>
    <w:rsid w:val="005E50B3"/>
    <w:rsid w:val="005E517F"/>
    <w:rsid w:val="005E5F91"/>
    <w:rsid w:val="005F1295"/>
    <w:rsid w:val="005F21D1"/>
    <w:rsid w:val="005F30D8"/>
    <w:rsid w:val="005F36A3"/>
    <w:rsid w:val="005F385B"/>
    <w:rsid w:val="005F5CF2"/>
    <w:rsid w:val="005F7FCA"/>
    <w:rsid w:val="00600416"/>
    <w:rsid w:val="0060101F"/>
    <w:rsid w:val="00603CAC"/>
    <w:rsid w:val="0060553D"/>
    <w:rsid w:val="006064F9"/>
    <w:rsid w:val="006078C6"/>
    <w:rsid w:val="00607B59"/>
    <w:rsid w:val="00607C69"/>
    <w:rsid w:val="006140F4"/>
    <w:rsid w:val="006148E9"/>
    <w:rsid w:val="0061526F"/>
    <w:rsid w:val="00615372"/>
    <w:rsid w:val="00615AF2"/>
    <w:rsid w:val="0061677B"/>
    <w:rsid w:val="00616DAD"/>
    <w:rsid w:val="00620ED0"/>
    <w:rsid w:val="006221FF"/>
    <w:rsid w:val="006240D4"/>
    <w:rsid w:val="0062525E"/>
    <w:rsid w:val="00626746"/>
    <w:rsid w:val="006267FD"/>
    <w:rsid w:val="0063071E"/>
    <w:rsid w:val="00630A3E"/>
    <w:rsid w:val="006315D4"/>
    <w:rsid w:val="0063415A"/>
    <w:rsid w:val="006344EA"/>
    <w:rsid w:val="00635A6D"/>
    <w:rsid w:val="00636BF2"/>
    <w:rsid w:val="00640C55"/>
    <w:rsid w:val="00641FED"/>
    <w:rsid w:val="00642634"/>
    <w:rsid w:val="00646CC5"/>
    <w:rsid w:val="006475E5"/>
    <w:rsid w:val="00650CDA"/>
    <w:rsid w:val="006512FA"/>
    <w:rsid w:val="00651A63"/>
    <w:rsid w:val="006563EF"/>
    <w:rsid w:val="006570ED"/>
    <w:rsid w:val="0065725D"/>
    <w:rsid w:val="00660411"/>
    <w:rsid w:val="0066101F"/>
    <w:rsid w:val="0066154A"/>
    <w:rsid w:val="00661E81"/>
    <w:rsid w:val="00661FFC"/>
    <w:rsid w:val="00662FC4"/>
    <w:rsid w:val="006635BF"/>
    <w:rsid w:val="00664724"/>
    <w:rsid w:val="006654C0"/>
    <w:rsid w:val="0066581F"/>
    <w:rsid w:val="00666296"/>
    <w:rsid w:val="00667682"/>
    <w:rsid w:val="00671B5D"/>
    <w:rsid w:val="00673DF0"/>
    <w:rsid w:val="006750E3"/>
    <w:rsid w:val="006757E2"/>
    <w:rsid w:val="00675A4A"/>
    <w:rsid w:val="006763F0"/>
    <w:rsid w:val="0067724A"/>
    <w:rsid w:val="00681575"/>
    <w:rsid w:val="00681AB1"/>
    <w:rsid w:val="0068326D"/>
    <w:rsid w:val="006836E4"/>
    <w:rsid w:val="00683A33"/>
    <w:rsid w:val="00684C69"/>
    <w:rsid w:val="0068540E"/>
    <w:rsid w:val="006866AC"/>
    <w:rsid w:val="006901E1"/>
    <w:rsid w:val="0069531D"/>
    <w:rsid w:val="00695594"/>
    <w:rsid w:val="0069584D"/>
    <w:rsid w:val="006959BC"/>
    <w:rsid w:val="00695E29"/>
    <w:rsid w:val="00695E85"/>
    <w:rsid w:val="00696686"/>
    <w:rsid w:val="00697052"/>
    <w:rsid w:val="006970EC"/>
    <w:rsid w:val="006A0739"/>
    <w:rsid w:val="006A138D"/>
    <w:rsid w:val="006A161A"/>
    <w:rsid w:val="006A1812"/>
    <w:rsid w:val="006A2602"/>
    <w:rsid w:val="006A420D"/>
    <w:rsid w:val="006A51DF"/>
    <w:rsid w:val="006A52BE"/>
    <w:rsid w:val="006A534E"/>
    <w:rsid w:val="006A5822"/>
    <w:rsid w:val="006A660C"/>
    <w:rsid w:val="006A741E"/>
    <w:rsid w:val="006B0DE8"/>
    <w:rsid w:val="006B0F9D"/>
    <w:rsid w:val="006B1A22"/>
    <w:rsid w:val="006B37A9"/>
    <w:rsid w:val="006B4732"/>
    <w:rsid w:val="006B6247"/>
    <w:rsid w:val="006B66B0"/>
    <w:rsid w:val="006B6F4F"/>
    <w:rsid w:val="006B7262"/>
    <w:rsid w:val="006B7770"/>
    <w:rsid w:val="006C1106"/>
    <w:rsid w:val="006C188C"/>
    <w:rsid w:val="006C1B2C"/>
    <w:rsid w:val="006C2593"/>
    <w:rsid w:val="006C32ED"/>
    <w:rsid w:val="006C3A09"/>
    <w:rsid w:val="006C3C15"/>
    <w:rsid w:val="006C49C9"/>
    <w:rsid w:val="006C4C6E"/>
    <w:rsid w:val="006C529D"/>
    <w:rsid w:val="006C6B5F"/>
    <w:rsid w:val="006C7D0C"/>
    <w:rsid w:val="006D01A8"/>
    <w:rsid w:val="006D13BC"/>
    <w:rsid w:val="006D1FCE"/>
    <w:rsid w:val="006D3A17"/>
    <w:rsid w:val="006D56B5"/>
    <w:rsid w:val="006D5DE5"/>
    <w:rsid w:val="006D5DFA"/>
    <w:rsid w:val="006D5F20"/>
    <w:rsid w:val="006E061A"/>
    <w:rsid w:val="006E3485"/>
    <w:rsid w:val="006E3775"/>
    <w:rsid w:val="006E5313"/>
    <w:rsid w:val="006E5B24"/>
    <w:rsid w:val="006E6878"/>
    <w:rsid w:val="006E6BA5"/>
    <w:rsid w:val="006E742A"/>
    <w:rsid w:val="006E7DD1"/>
    <w:rsid w:val="006F0345"/>
    <w:rsid w:val="006F18F3"/>
    <w:rsid w:val="006F32C9"/>
    <w:rsid w:val="006F4E97"/>
    <w:rsid w:val="006F5495"/>
    <w:rsid w:val="006F5B4C"/>
    <w:rsid w:val="006F69C3"/>
    <w:rsid w:val="0070060B"/>
    <w:rsid w:val="00702E2B"/>
    <w:rsid w:val="00702E9B"/>
    <w:rsid w:val="00703748"/>
    <w:rsid w:val="00703FAE"/>
    <w:rsid w:val="007043E1"/>
    <w:rsid w:val="007049DC"/>
    <w:rsid w:val="00705375"/>
    <w:rsid w:val="00705A7A"/>
    <w:rsid w:val="00705FCA"/>
    <w:rsid w:val="00706135"/>
    <w:rsid w:val="00706751"/>
    <w:rsid w:val="00706ABF"/>
    <w:rsid w:val="0070759D"/>
    <w:rsid w:val="007105A8"/>
    <w:rsid w:val="00711EF6"/>
    <w:rsid w:val="00712AA6"/>
    <w:rsid w:val="00716749"/>
    <w:rsid w:val="00716BFA"/>
    <w:rsid w:val="00720D81"/>
    <w:rsid w:val="00722FC4"/>
    <w:rsid w:val="00724DFE"/>
    <w:rsid w:val="00724E1A"/>
    <w:rsid w:val="00725F9C"/>
    <w:rsid w:val="0072625C"/>
    <w:rsid w:val="007264AA"/>
    <w:rsid w:val="00726AA4"/>
    <w:rsid w:val="00726AFA"/>
    <w:rsid w:val="00726E44"/>
    <w:rsid w:val="007275C9"/>
    <w:rsid w:val="00727719"/>
    <w:rsid w:val="007300BC"/>
    <w:rsid w:val="0073056D"/>
    <w:rsid w:val="0073083A"/>
    <w:rsid w:val="00730E06"/>
    <w:rsid w:val="00730FE0"/>
    <w:rsid w:val="007311FB"/>
    <w:rsid w:val="00731356"/>
    <w:rsid w:val="00731517"/>
    <w:rsid w:val="00732672"/>
    <w:rsid w:val="007327CD"/>
    <w:rsid w:val="00733A28"/>
    <w:rsid w:val="00735819"/>
    <w:rsid w:val="00735BCA"/>
    <w:rsid w:val="00736730"/>
    <w:rsid w:val="007371B1"/>
    <w:rsid w:val="0073749E"/>
    <w:rsid w:val="00740846"/>
    <w:rsid w:val="0074101C"/>
    <w:rsid w:val="007414AF"/>
    <w:rsid w:val="00741798"/>
    <w:rsid w:val="007431F6"/>
    <w:rsid w:val="00743736"/>
    <w:rsid w:val="00744286"/>
    <w:rsid w:val="00744A8D"/>
    <w:rsid w:val="00744F57"/>
    <w:rsid w:val="00746424"/>
    <w:rsid w:val="00750030"/>
    <w:rsid w:val="00752028"/>
    <w:rsid w:val="0075220A"/>
    <w:rsid w:val="00753F4E"/>
    <w:rsid w:val="00754E6A"/>
    <w:rsid w:val="00757EF5"/>
    <w:rsid w:val="007600F7"/>
    <w:rsid w:val="00761C34"/>
    <w:rsid w:val="0076342A"/>
    <w:rsid w:val="00763AD6"/>
    <w:rsid w:val="00766063"/>
    <w:rsid w:val="00767AF3"/>
    <w:rsid w:val="007703B8"/>
    <w:rsid w:val="00770418"/>
    <w:rsid w:val="0077099B"/>
    <w:rsid w:val="0077226C"/>
    <w:rsid w:val="0077381C"/>
    <w:rsid w:val="00774E8A"/>
    <w:rsid w:val="00776933"/>
    <w:rsid w:val="0077693D"/>
    <w:rsid w:val="00780720"/>
    <w:rsid w:val="00781157"/>
    <w:rsid w:val="00782442"/>
    <w:rsid w:val="0078312A"/>
    <w:rsid w:val="00783CAA"/>
    <w:rsid w:val="00784684"/>
    <w:rsid w:val="0078650F"/>
    <w:rsid w:val="00786923"/>
    <w:rsid w:val="007870B5"/>
    <w:rsid w:val="007877FD"/>
    <w:rsid w:val="00791B7D"/>
    <w:rsid w:val="007924E3"/>
    <w:rsid w:val="007943C3"/>
    <w:rsid w:val="00796AAB"/>
    <w:rsid w:val="007A12CB"/>
    <w:rsid w:val="007A12F9"/>
    <w:rsid w:val="007A2102"/>
    <w:rsid w:val="007A22BE"/>
    <w:rsid w:val="007A258F"/>
    <w:rsid w:val="007A282A"/>
    <w:rsid w:val="007A28EB"/>
    <w:rsid w:val="007A2CBA"/>
    <w:rsid w:val="007A3C05"/>
    <w:rsid w:val="007A57D2"/>
    <w:rsid w:val="007A5908"/>
    <w:rsid w:val="007B0FC9"/>
    <w:rsid w:val="007B5B83"/>
    <w:rsid w:val="007B79C8"/>
    <w:rsid w:val="007C0D84"/>
    <w:rsid w:val="007C1801"/>
    <w:rsid w:val="007C18E2"/>
    <w:rsid w:val="007C1F19"/>
    <w:rsid w:val="007C39C8"/>
    <w:rsid w:val="007C3D06"/>
    <w:rsid w:val="007C3E07"/>
    <w:rsid w:val="007C4BB1"/>
    <w:rsid w:val="007C4CE8"/>
    <w:rsid w:val="007C56F5"/>
    <w:rsid w:val="007C71C0"/>
    <w:rsid w:val="007D0913"/>
    <w:rsid w:val="007D19F1"/>
    <w:rsid w:val="007D1E34"/>
    <w:rsid w:val="007D3603"/>
    <w:rsid w:val="007D3EE4"/>
    <w:rsid w:val="007D4559"/>
    <w:rsid w:val="007D5033"/>
    <w:rsid w:val="007D60A4"/>
    <w:rsid w:val="007D7C65"/>
    <w:rsid w:val="007E137B"/>
    <w:rsid w:val="007E1DEE"/>
    <w:rsid w:val="007E4320"/>
    <w:rsid w:val="007E481D"/>
    <w:rsid w:val="007E48E4"/>
    <w:rsid w:val="007E4BAE"/>
    <w:rsid w:val="007E672D"/>
    <w:rsid w:val="007F0B7C"/>
    <w:rsid w:val="007F3D45"/>
    <w:rsid w:val="007F5AC1"/>
    <w:rsid w:val="007F5BB0"/>
    <w:rsid w:val="007F5D67"/>
    <w:rsid w:val="007F62C3"/>
    <w:rsid w:val="008012CA"/>
    <w:rsid w:val="00802138"/>
    <w:rsid w:val="008028D3"/>
    <w:rsid w:val="00802F7F"/>
    <w:rsid w:val="008033DF"/>
    <w:rsid w:val="00803871"/>
    <w:rsid w:val="008038E2"/>
    <w:rsid w:val="008102DE"/>
    <w:rsid w:val="00810CD0"/>
    <w:rsid w:val="00815948"/>
    <w:rsid w:val="0081722E"/>
    <w:rsid w:val="00817EF0"/>
    <w:rsid w:val="0082090C"/>
    <w:rsid w:val="008214A5"/>
    <w:rsid w:val="0082187F"/>
    <w:rsid w:val="0082292B"/>
    <w:rsid w:val="008236DF"/>
    <w:rsid w:val="00823817"/>
    <w:rsid w:val="008246EA"/>
    <w:rsid w:val="00824974"/>
    <w:rsid w:val="00824C4C"/>
    <w:rsid w:val="00826FB9"/>
    <w:rsid w:val="00830D51"/>
    <w:rsid w:val="0083103F"/>
    <w:rsid w:val="00831750"/>
    <w:rsid w:val="0083260D"/>
    <w:rsid w:val="00833081"/>
    <w:rsid w:val="008339DE"/>
    <w:rsid w:val="008356FC"/>
    <w:rsid w:val="00836954"/>
    <w:rsid w:val="00836F9C"/>
    <w:rsid w:val="00841C63"/>
    <w:rsid w:val="008426A9"/>
    <w:rsid w:val="00842F24"/>
    <w:rsid w:val="008435F7"/>
    <w:rsid w:val="00843C88"/>
    <w:rsid w:val="00843DF5"/>
    <w:rsid w:val="00846076"/>
    <w:rsid w:val="008461E1"/>
    <w:rsid w:val="008464F7"/>
    <w:rsid w:val="00846B03"/>
    <w:rsid w:val="00847453"/>
    <w:rsid w:val="00851F00"/>
    <w:rsid w:val="008522A0"/>
    <w:rsid w:val="00853E69"/>
    <w:rsid w:val="008547E7"/>
    <w:rsid w:val="00854ECE"/>
    <w:rsid w:val="008557E0"/>
    <w:rsid w:val="008558C7"/>
    <w:rsid w:val="00857842"/>
    <w:rsid w:val="008578D2"/>
    <w:rsid w:val="008601F0"/>
    <w:rsid w:val="0086307D"/>
    <w:rsid w:val="00863B07"/>
    <w:rsid w:val="00863F51"/>
    <w:rsid w:val="008643B0"/>
    <w:rsid w:val="008644DA"/>
    <w:rsid w:val="00864651"/>
    <w:rsid w:val="00864992"/>
    <w:rsid w:val="00864CFA"/>
    <w:rsid w:val="00865277"/>
    <w:rsid w:val="00865882"/>
    <w:rsid w:val="0086592E"/>
    <w:rsid w:val="0086656D"/>
    <w:rsid w:val="008668C8"/>
    <w:rsid w:val="00866ACC"/>
    <w:rsid w:val="00866E21"/>
    <w:rsid w:val="00870783"/>
    <w:rsid w:val="008717FA"/>
    <w:rsid w:val="008728C6"/>
    <w:rsid w:val="008751C0"/>
    <w:rsid w:val="00875A4F"/>
    <w:rsid w:val="00875ACA"/>
    <w:rsid w:val="00876C7C"/>
    <w:rsid w:val="00880C42"/>
    <w:rsid w:val="00881684"/>
    <w:rsid w:val="00881FF4"/>
    <w:rsid w:val="00884451"/>
    <w:rsid w:val="00884A37"/>
    <w:rsid w:val="00885BCA"/>
    <w:rsid w:val="008861E0"/>
    <w:rsid w:val="00892E56"/>
    <w:rsid w:val="0089372E"/>
    <w:rsid w:val="00894C23"/>
    <w:rsid w:val="008951FA"/>
    <w:rsid w:val="00897D27"/>
    <w:rsid w:val="008A33AD"/>
    <w:rsid w:val="008A34EF"/>
    <w:rsid w:val="008A41EE"/>
    <w:rsid w:val="008A4905"/>
    <w:rsid w:val="008A5341"/>
    <w:rsid w:val="008A57FB"/>
    <w:rsid w:val="008A6574"/>
    <w:rsid w:val="008A7843"/>
    <w:rsid w:val="008A7D9F"/>
    <w:rsid w:val="008B04E4"/>
    <w:rsid w:val="008B15A2"/>
    <w:rsid w:val="008B2CB4"/>
    <w:rsid w:val="008B4D81"/>
    <w:rsid w:val="008B5D0F"/>
    <w:rsid w:val="008B776A"/>
    <w:rsid w:val="008C04A2"/>
    <w:rsid w:val="008C0C35"/>
    <w:rsid w:val="008C153D"/>
    <w:rsid w:val="008C2B65"/>
    <w:rsid w:val="008C2E4B"/>
    <w:rsid w:val="008C2FEB"/>
    <w:rsid w:val="008C333B"/>
    <w:rsid w:val="008C4411"/>
    <w:rsid w:val="008C4716"/>
    <w:rsid w:val="008C48FB"/>
    <w:rsid w:val="008C5376"/>
    <w:rsid w:val="008C563A"/>
    <w:rsid w:val="008C699D"/>
    <w:rsid w:val="008C6C0D"/>
    <w:rsid w:val="008C6C24"/>
    <w:rsid w:val="008D3281"/>
    <w:rsid w:val="008D59F3"/>
    <w:rsid w:val="008D5A83"/>
    <w:rsid w:val="008D79BD"/>
    <w:rsid w:val="008D7E41"/>
    <w:rsid w:val="008E00FA"/>
    <w:rsid w:val="008E04E0"/>
    <w:rsid w:val="008E172D"/>
    <w:rsid w:val="008E1E90"/>
    <w:rsid w:val="008E2D78"/>
    <w:rsid w:val="008E31BC"/>
    <w:rsid w:val="008E34DB"/>
    <w:rsid w:val="008E3AFD"/>
    <w:rsid w:val="008E3DBA"/>
    <w:rsid w:val="008E4D5C"/>
    <w:rsid w:val="008E4D75"/>
    <w:rsid w:val="008E4F27"/>
    <w:rsid w:val="008E7F4B"/>
    <w:rsid w:val="008F061F"/>
    <w:rsid w:val="008F0838"/>
    <w:rsid w:val="008F19C1"/>
    <w:rsid w:val="008F2C5F"/>
    <w:rsid w:val="008F31A3"/>
    <w:rsid w:val="008F5910"/>
    <w:rsid w:val="008F686F"/>
    <w:rsid w:val="008F76CE"/>
    <w:rsid w:val="008F7802"/>
    <w:rsid w:val="008F7A94"/>
    <w:rsid w:val="0090028B"/>
    <w:rsid w:val="0090084C"/>
    <w:rsid w:val="0090147E"/>
    <w:rsid w:val="0090249F"/>
    <w:rsid w:val="00902A98"/>
    <w:rsid w:val="00902C92"/>
    <w:rsid w:val="00904444"/>
    <w:rsid w:val="00904B94"/>
    <w:rsid w:val="009054AC"/>
    <w:rsid w:val="00907165"/>
    <w:rsid w:val="00910625"/>
    <w:rsid w:val="00910C46"/>
    <w:rsid w:val="00911923"/>
    <w:rsid w:val="00913970"/>
    <w:rsid w:val="00913BFD"/>
    <w:rsid w:val="00913D67"/>
    <w:rsid w:val="00913EE2"/>
    <w:rsid w:val="00916972"/>
    <w:rsid w:val="0092097F"/>
    <w:rsid w:val="00920BE5"/>
    <w:rsid w:val="0092101A"/>
    <w:rsid w:val="00921757"/>
    <w:rsid w:val="009217A8"/>
    <w:rsid w:val="00923033"/>
    <w:rsid w:val="00923973"/>
    <w:rsid w:val="00925411"/>
    <w:rsid w:val="009270A6"/>
    <w:rsid w:val="00927D9E"/>
    <w:rsid w:val="009302FF"/>
    <w:rsid w:val="0093282F"/>
    <w:rsid w:val="009331B8"/>
    <w:rsid w:val="00933781"/>
    <w:rsid w:val="009346F7"/>
    <w:rsid w:val="0093502A"/>
    <w:rsid w:val="00935578"/>
    <w:rsid w:val="0093AF52"/>
    <w:rsid w:val="00941C8B"/>
    <w:rsid w:val="009423A3"/>
    <w:rsid w:val="00942441"/>
    <w:rsid w:val="00942FF6"/>
    <w:rsid w:val="00943172"/>
    <w:rsid w:val="0094340C"/>
    <w:rsid w:val="00943680"/>
    <w:rsid w:val="00943B7F"/>
    <w:rsid w:val="009452EB"/>
    <w:rsid w:val="00945840"/>
    <w:rsid w:val="00946B32"/>
    <w:rsid w:val="00946C1A"/>
    <w:rsid w:val="00950293"/>
    <w:rsid w:val="009514AD"/>
    <w:rsid w:val="00951E4E"/>
    <w:rsid w:val="00953239"/>
    <w:rsid w:val="00953444"/>
    <w:rsid w:val="00956396"/>
    <w:rsid w:val="009578FB"/>
    <w:rsid w:val="009601C1"/>
    <w:rsid w:val="00960430"/>
    <w:rsid w:val="00960486"/>
    <w:rsid w:val="00960650"/>
    <w:rsid w:val="009609E1"/>
    <w:rsid w:val="00962035"/>
    <w:rsid w:val="00963651"/>
    <w:rsid w:val="00964E1E"/>
    <w:rsid w:val="009671E5"/>
    <w:rsid w:val="00967382"/>
    <w:rsid w:val="00970343"/>
    <w:rsid w:val="009743DF"/>
    <w:rsid w:val="00977A2B"/>
    <w:rsid w:val="009806AF"/>
    <w:rsid w:val="00981BB0"/>
    <w:rsid w:val="009840E5"/>
    <w:rsid w:val="0098453A"/>
    <w:rsid w:val="009852A5"/>
    <w:rsid w:val="0098579C"/>
    <w:rsid w:val="00992D5E"/>
    <w:rsid w:val="00993362"/>
    <w:rsid w:val="0099380B"/>
    <w:rsid w:val="00994784"/>
    <w:rsid w:val="0099518F"/>
    <w:rsid w:val="009954EE"/>
    <w:rsid w:val="00995A11"/>
    <w:rsid w:val="00997FB7"/>
    <w:rsid w:val="009A1588"/>
    <w:rsid w:val="009A2248"/>
    <w:rsid w:val="009A24BD"/>
    <w:rsid w:val="009A2685"/>
    <w:rsid w:val="009A2E19"/>
    <w:rsid w:val="009A779B"/>
    <w:rsid w:val="009B081D"/>
    <w:rsid w:val="009B0C8C"/>
    <w:rsid w:val="009B1DB1"/>
    <w:rsid w:val="009B1F2D"/>
    <w:rsid w:val="009B38AA"/>
    <w:rsid w:val="009B3AAC"/>
    <w:rsid w:val="009B55FB"/>
    <w:rsid w:val="009B6C91"/>
    <w:rsid w:val="009B73C8"/>
    <w:rsid w:val="009C0335"/>
    <w:rsid w:val="009C06EE"/>
    <w:rsid w:val="009C1E51"/>
    <w:rsid w:val="009C1F5F"/>
    <w:rsid w:val="009C2495"/>
    <w:rsid w:val="009C3902"/>
    <w:rsid w:val="009C3B92"/>
    <w:rsid w:val="009C4E2D"/>
    <w:rsid w:val="009C4FE3"/>
    <w:rsid w:val="009C515B"/>
    <w:rsid w:val="009C5477"/>
    <w:rsid w:val="009C6BA1"/>
    <w:rsid w:val="009C6ED1"/>
    <w:rsid w:val="009D11C2"/>
    <w:rsid w:val="009D1DE2"/>
    <w:rsid w:val="009D37B2"/>
    <w:rsid w:val="009D42F1"/>
    <w:rsid w:val="009D5BBA"/>
    <w:rsid w:val="009D726C"/>
    <w:rsid w:val="009D7ED5"/>
    <w:rsid w:val="009E0700"/>
    <w:rsid w:val="009E07C0"/>
    <w:rsid w:val="009E0C68"/>
    <w:rsid w:val="009E19CF"/>
    <w:rsid w:val="009E1E62"/>
    <w:rsid w:val="009E2E86"/>
    <w:rsid w:val="009E3D31"/>
    <w:rsid w:val="009E56C9"/>
    <w:rsid w:val="009E75E8"/>
    <w:rsid w:val="009F0D3E"/>
    <w:rsid w:val="009F2086"/>
    <w:rsid w:val="009F20DA"/>
    <w:rsid w:val="009F3EEA"/>
    <w:rsid w:val="009F4CD2"/>
    <w:rsid w:val="009F5D42"/>
    <w:rsid w:val="009F684B"/>
    <w:rsid w:val="009F70FD"/>
    <w:rsid w:val="009F75CA"/>
    <w:rsid w:val="009F7CB8"/>
    <w:rsid w:val="009F7D99"/>
    <w:rsid w:val="00A00886"/>
    <w:rsid w:val="00A00F5B"/>
    <w:rsid w:val="00A02738"/>
    <w:rsid w:val="00A027D8"/>
    <w:rsid w:val="00A03607"/>
    <w:rsid w:val="00A05696"/>
    <w:rsid w:val="00A101AB"/>
    <w:rsid w:val="00A103EB"/>
    <w:rsid w:val="00A10BE1"/>
    <w:rsid w:val="00A110D7"/>
    <w:rsid w:val="00A1132B"/>
    <w:rsid w:val="00A1178F"/>
    <w:rsid w:val="00A11D27"/>
    <w:rsid w:val="00A12CD9"/>
    <w:rsid w:val="00A12D92"/>
    <w:rsid w:val="00A131D4"/>
    <w:rsid w:val="00A13C45"/>
    <w:rsid w:val="00A154CC"/>
    <w:rsid w:val="00A16E65"/>
    <w:rsid w:val="00A20FF4"/>
    <w:rsid w:val="00A2158A"/>
    <w:rsid w:val="00A21DBB"/>
    <w:rsid w:val="00A2353C"/>
    <w:rsid w:val="00A238BB"/>
    <w:rsid w:val="00A23C36"/>
    <w:rsid w:val="00A247D8"/>
    <w:rsid w:val="00A252C6"/>
    <w:rsid w:val="00A26A3D"/>
    <w:rsid w:val="00A26F0C"/>
    <w:rsid w:val="00A27C0D"/>
    <w:rsid w:val="00A354BE"/>
    <w:rsid w:val="00A37755"/>
    <w:rsid w:val="00A421C0"/>
    <w:rsid w:val="00A4266F"/>
    <w:rsid w:val="00A42B71"/>
    <w:rsid w:val="00A42BD7"/>
    <w:rsid w:val="00A44D77"/>
    <w:rsid w:val="00A45180"/>
    <w:rsid w:val="00A5077C"/>
    <w:rsid w:val="00A51971"/>
    <w:rsid w:val="00A52036"/>
    <w:rsid w:val="00A5213B"/>
    <w:rsid w:val="00A5287D"/>
    <w:rsid w:val="00A53815"/>
    <w:rsid w:val="00A53F84"/>
    <w:rsid w:val="00A541F1"/>
    <w:rsid w:val="00A54CCC"/>
    <w:rsid w:val="00A55403"/>
    <w:rsid w:val="00A56C58"/>
    <w:rsid w:val="00A57584"/>
    <w:rsid w:val="00A578BA"/>
    <w:rsid w:val="00A57A64"/>
    <w:rsid w:val="00A62A2E"/>
    <w:rsid w:val="00A632A2"/>
    <w:rsid w:val="00A63758"/>
    <w:rsid w:val="00A64BBE"/>
    <w:rsid w:val="00A64F46"/>
    <w:rsid w:val="00A64F83"/>
    <w:rsid w:val="00A74393"/>
    <w:rsid w:val="00A74D62"/>
    <w:rsid w:val="00A75EDB"/>
    <w:rsid w:val="00A77BDF"/>
    <w:rsid w:val="00A80488"/>
    <w:rsid w:val="00A8221C"/>
    <w:rsid w:val="00A830C4"/>
    <w:rsid w:val="00A849CA"/>
    <w:rsid w:val="00A87E02"/>
    <w:rsid w:val="00A90D78"/>
    <w:rsid w:val="00A9136A"/>
    <w:rsid w:val="00A91F9E"/>
    <w:rsid w:val="00A9363D"/>
    <w:rsid w:val="00A9496E"/>
    <w:rsid w:val="00A94D93"/>
    <w:rsid w:val="00A95675"/>
    <w:rsid w:val="00A968C2"/>
    <w:rsid w:val="00A97ED8"/>
    <w:rsid w:val="00A97EE4"/>
    <w:rsid w:val="00A97F45"/>
    <w:rsid w:val="00AA04F9"/>
    <w:rsid w:val="00AA15ED"/>
    <w:rsid w:val="00AA1654"/>
    <w:rsid w:val="00AA318B"/>
    <w:rsid w:val="00AA384B"/>
    <w:rsid w:val="00AA4D8A"/>
    <w:rsid w:val="00AA4DEA"/>
    <w:rsid w:val="00AA57E0"/>
    <w:rsid w:val="00AA59A0"/>
    <w:rsid w:val="00AA78EC"/>
    <w:rsid w:val="00AA791C"/>
    <w:rsid w:val="00AB24DA"/>
    <w:rsid w:val="00AB4343"/>
    <w:rsid w:val="00AB4C2C"/>
    <w:rsid w:val="00AB56D4"/>
    <w:rsid w:val="00AB66D3"/>
    <w:rsid w:val="00AB69A2"/>
    <w:rsid w:val="00AB6A88"/>
    <w:rsid w:val="00AB6C10"/>
    <w:rsid w:val="00AB7DBE"/>
    <w:rsid w:val="00AC0366"/>
    <w:rsid w:val="00AC1314"/>
    <w:rsid w:val="00AC177C"/>
    <w:rsid w:val="00AC1EBD"/>
    <w:rsid w:val="00AC3922"/>
    <w:rsid w:val="00AC4E89"/>
    <w:rsid w:val="00AC56BB"/>
    <w:rsid w:val="00AD16FB"/>
    <w:rsid w:val="00AD187C"/>
    <w:rsid w:val="00AD1884"/>
    <w:rsid w:val="00AD30EC"/>
    <w:rsid w:val="00AD4371"/>
    <w:rsid w:val="00AD43A7"/>
    <w:rsid w:val="00AD53E1"/>
    <w:rsid w:val="00AD54AA"/>
    <w:rsid w:val="00AD57B8"/>
    <w:rsid w:val="00AE16BD"/>
    <w:rsid w:val="00AE22EA"/>
    <w:rsid w:val="00AE332B"/>
    <w:rsid w:val="00AE35EA"/>
    <w:rsid w:val="00AE4D28"/>
    <w:rsid w:val="00AE504F"/>
    <w:rsid w:val="00AE7D8A"/>
    <w:rsid w:val="00AE7FB9"/>
    <w:rsid w:val="00AF0146"/>
    <w:rsid w:val="00AF0382"/>
    <w:rsid w:val="00AF0C1B"/>
    <w:rsid w:val="00AF28D0"/>
    <w:rsid w:val="00AF2B79"/>
    <w:rsid w:val="00AF4329"/>
    <w:rsid w:val="00AF588A"/>
    <w:rsid w:val="00AF6204"/>
    <w:rsid w:val="00AF63FE"/>
    <w:rsid w:val="00AF7721"/>
    <w:rsid w:val="00AF79F9"/>
    <w:rsid w:val="00AF7C8A"/>
    <w:rsid w:val="00B00170"/>
    <w:rsid w:val="00B00CB2"/>
    <w:rsid w:val="00B01A92"/>
    <w:rsid w:val="00B03694"/>
    <w:rsid w:val="00B0565F"/>
    <w:rsid w:val="00B05B2D"/>
    <w:rsid w:val="00B05D26"/>
    <w:rsid w:val="00B05D9D"/>
    <w:rsid w:val="00B07265"/>
    <w:rsid w:val="00B07664"/>
    <w:rsid w:val="00B10A58"/>
    <w:rsid w:val="00B149DF"/>
    <w:rsid w:val="00B14F01"/>
    <w:rsid w:val="00B17855"/>
    <w:rsid w:val="00B200D5"/>
    <w:rsid w:val="00B20DFB"/>
    <w:rsid w:val="00B2124E"/>
    <w:rsid w:val="00B22D2D"/>
    <w:rsid w:val="00B2550C"/>
    <w:rsid w:val="00B2782A"/>
    <w:rsid w:val="00B30F9D"/>
    <w:rsid w:val="00B31BCE"/>
    <w:rsid w:val="00B32706"/>
    <w:rsid w:val="00B33153"/>
    <w:rsid w:val="00B33E76"/>
    <w:rsid w:val="00B3534F"/>
    <w:rsid w:val="00B36531"/>
    <w:rsid w:val="00B4139B"/>
    <w:rsid w:val="00B42963"/>
    <w:rsid w:val="00B42A48"/>
    <w:rsid w:val="00B434AD"/>
    <w:rsid w:val="00B439C4"/>
    <w:rsid w:val="00B45C0A"/>
    <w:rsid w:val="00B50172"/>
    <w:rsid w:val="00B5033E"/>
    <w:rsid w:val="00B50704"/>
    <w:rsid w:val="00B513A3"/>
    <w:rsid w:val="00B51962"/>
    <w:rsid w:val="00B51DF1"/>
    <w:rsid w:val="00B52D72"/>
    <w:rsid w:val="00B54B1B"/>
    <w:rsid w:val="00B557C9"/>
    <w:rsid w:val="00B55D9C"/>
    <w:rsid w:val="00B57EB2"/>
    <w:rsid w:val="00B60E75"/>
    <w:rsid w:val="00B6105C"/>
    <w:rsid w:val="00B614B3"/>
    <w:rsid w:val="00B619BF"/>
    <w:rsid w:val="00B631FE"/>
    <w:rsid w:val="00B638E2"/>
    <w:rsid w:val="00B6429D"/>
    <w:rsid w:val="00B66DC3"/>
    <w:rsid w:val="00B71F6B"/>
    <w:rsid w:val="00B7306D"/>
    <w:rsid w:val="00B732CB"/>
    <w:rsid w:val="00B73868"/>
    <w:rsid w:val="00B73E96"/>
    <w:rsid w:val="00B748B4"/>
    <w:rsid w:val="00B772E8"/>
    <w:rsid w:val="00B80236"/>
    <w:rsid w:val="00B807C0"/>
    <w:rsid w:val="00B8088D"/>
    <w:rsid w:val="00B80F88"/>
    <w:rsid w:val="00B816D4"/>
    <w:rsid w:val="00B819CC"/>
    <w:rsid w:val="00B81C31"/>
    <w:rsid w:val="00B85A60"/>
    <w:rsid w:val="00B87E19"/>
    <w:rsid w:val="00B90F33"/>
    <w:rsid w:val="00B91612"/>
    <w:rsid w:val="00B934B4"/>
    <w:rsid w:val="00B934E0"/>
    <w:rsid w:val="00B9596C"/>
    <w:rsid w:val="00BA02A6"/>
    <w:rsid w:val="00BA0388"/>
    <w:rsid w:val="00BA0BCB"/>
    <w:rsid w:val="00BA1C61"/>
    <w:rsid w:val="00BA21B0"/>
    <w:rsid w:val="00BA2B15"/>
    <w:rsid w:val="00BA2CB3"/>
    <w:rsid w:val="00BA2F01"/>
    <w:rsid w:val="00BA53AE"/>
    <w:rsid w:val="00BA698A"/>
    <w:rsid w:val="00BA6C3F"/>
    <w:rsid w:val="00BA6DC7"/>
    <w:rsid w:val="00BA701B"/>
    <w:rsid w:val="00BA7E30"/>
    <w:rsid w:val="00BB02F2"/>
    <w:rsid w:val="00BB0F66"/>
    <w:rsid w:val="00BB0FCF"/>
    <w:rsid w:val="00BB1D38"/>
    <w:rsid w:val="00BB1DBE"/>
    <w:rsid w:val="00BB2F53"/>
    <w:rsid w:val="00BB3C6B"/>
    <w:rsid w:val="00BB4114"/>
    <w:rsid w:val="00BB41F3"/>
    <w:rsid w:val="00BB70C4"/>
    <w:rsid w:val="00BB7138"/>
    <w:rsid w:val="00BB7905"/>
    <w:rsid w:val="00BB7A07"/>
    <w:rsid w:val="00BB7E26"/>
    <w:rsid w:val="00BC1D16"/>
    <w:rsid w:val="00BC34ED"/>
    <w:rsid w:val="00BC46F6"/>
    <w:rsid w:val="00BC4978"/>
    <w:rsid w:val="00BC6D01"/>
    <w:rsid w:val="00BC6D07"/>
    <w:rsid w:val="00BC6DDD"/>
    <w:rsid w:val="00BC7B23"/>
    <w:rsid w:val="00BC7CCA"/>
    <w:rsid w:val="00BD0991"/>
    <w:rsid w:val="00BD14B8"/>
    <w:rsid w:val="00BD1737"/>
    <w:rsid w:val="00BD21A9"/>
    <w:rsid w:val="00BD4142"/>
    <w:rsid w:val="00BD5863"/>
    <w:rsid w:val="00BD6A5F"/>
    <w:rsid w:val="00BD6D60"/>
    <w:rsid w:val="00BD7698"/>
    <w:rsid w:val="00BE03A9"/>
    <w:rsid w:val="00BE2CC8"/>
    <w:rsid w:val="00BE4391"/>
    <w:rsid w:val="00BE4892"/>
    <w:rsid w:val="00BE4B8D"/>
    <w:rsid w:val="00BE724C"/>
    <w:rsid w:val="00BE775C"/>
    <w:rsid w:val="00BE7D3B"/>
    <w:rsid w:val="00BF000D"/>
    <w:rsid w:val="00BF1432"/>
    <w:rsid w:val="00BF4DCB"/>
    <w:rsid w:val="00BF7048"/>
    <w:rsid w:val="00C005BB"/>
    <w:rsid w:val="00C0060F"/>
    <w:rsid w:val="00C02E9A"/>
    <w:rsid w:val="00C03D6F"/>
    <w:rsid w:val="00C041BD"/>
    <w:rsid w:val="00C06131"/>
    <w:rsid w:val="00C069EB"/>
    <w:rsid w:val="00C070CD"/>
    <w:rsid w:val="00C0793E"/>
    <w:rsid w:val="00C11745"/>
    <w:rsid w:val="00C119F7"/>
    <w:rsid w:val="00C132BD"/>
    <w:rsid w:val="00C142FD"/>
    <w:rsid w:val="00C15017"/>
    <w:rsid w:val="00C15126"/>
    <w:rsid w:val="00C16AB5"/>
    <w:rsid w:val="00C1760E"/>
    <w:rsid w:val="00C21007"/>
    <w:rsid w:val="00C21397"/>
    <w:rsid w:val="00C21989"/>
    <w:rsid w:val="00C21FB1"/>
    <w:rsid w:val="00C22653"/>
    <w:rsid w:val="00C22937"/>
    <w:rsid w:val="00C2394A"/>
    <w:rsid w:val="00C23F10"/>
    <w:rsid w:val="00C254D2"/>
    <w:rsid w:val="00C25C9C"/>
    <w:rsid w:val="00C25F84"/>
    <w:rsid w:val="00C268A0"/>
    <w:rsid w:val="00C276D1"/>
    <w:rsid w:val="00C31D93"/>
    <w:rsid w:val="00C32E1C"/>
    <w:rsid w:val="00C33260"/>
    <w:rsid w:val="00C343DF"/>
    <w:rsid w:val="00C35439"/>
    <w:rsid w:val="00C409BC"/>
    <w:rsid w:val="00C40CC3"/>
    <w:rsid w:val="00C42EB6"/>
    <w:rsid w:val="00C449A4"/>
    <w:rsid w:val="00C44C05"/>
    <w:rsid w:val="00C46216"/>
    <w:rsid w:val="00C47005"/>
    <w:rsid w:val="00C474A0"/>
    <w:rsid w:val="00C501FD"/>
    <w:rsid w:val="00C511E9"/>
    <w:rsid w:val="00C5407C"/>
    <w:rsid w:val="00C54561"/>
    <w:rsid w:val="00C54B65"/>
    <w:rsid w:val="00C56EE4"/>
    <w:rsid w:val="00C5730F"/>
    <w:rsid w:val="00C573AF"/>
    <w:rsid w:val="00C57AD4"/>
    <w:rsid w:val="00C6034B"/>
    <w:rsid w:val="00C646E0"/>
    <w:rsid w:val="00C65F08"/>
    <w:rsid w:val="00C665A2"/>
    <w:rsid w:val="00C67A35"/>
    <w:rsid w:val="00C67DD1"/>
    <w:rsid w:val="00C73A96"/>
    <w:rsid w:val="00C73D57"/>
    <w:rsid w:val="00C74D26"/>
    <w:rsid w:val="00C751AF"/>
    <w:rsid w:val="00C751DE"/>
    <w:rsid w:val="00C75288"/>
    <w:rsid w:val="00C7588D"/>
    <w:rsid w:val="00C7653B"/>
    <w:rsid w:val="00C7770E"/>
    <w:rsid w:val="00C80C54"/>
    <w:rsid w:val="00C81A71"/>
    <w:rsid w:val="00C83F3C"/>
    <w:rsid w:val="00C8452F"/>
    <w:rsid w:val="00C84974"/>
    <w:rsid w:val="00C86166"/>
    <w:rsid w:val="00C863E2"/>
    <w:rsid w:val="00C86C95"/>
    <w:rsid w:val="00C87F3F"/>
    <w:rsid w:val="00C90934"/>
    <w:rsid w:val="00C93F77"/>
    <w:rsid w:val="00C94114"/>
    <w:rsid w:val="00C948F3"/>
    <w:rsid w:val="00C94923"/>
    <w:rsid w:val="00C94C22"/>
    <w:rsid w:val="00C97AE7"/>
    <w:rsid w:val="00C9D967"/>
    <w:rsid w:val="00CA079C"/>
    <w:rsid w:val="00CA0D31"/>
    <w:rsid w:val="00CA1FC3"/>
    <w:rsid w:val="00CA285C"/>
    <w:rsid w:val="00CA3628"/>
    <w:rsid w:val="00CA4446"/>
    <w:rsid w:val="00CA4F10"/>
    <w:rsid w:val="00CA6750"/>
    <w:rsid w:val="00CA6BAC"/>
    <w:rsid w:val="00CA6BFC"/>
    <w:rsid w:val="00CA6D8B"/>
    <w:rsid w:val="00CA6F43"/>
    <w:rsid w:val="00CA7608"/>
    <w:rsid w:val="00CA7CDF"/>
    <w:rsid w:val="00CB0381"/>
    <w:rsid w:val="00CB0467"/>
    <w:rsid w:val="00CB2822"/>
    <w:rsid w:val="00CB2874"/>
    <w:rsid w:val="00CB4080"/>
    <w:rsid w:val="00CB5A84"/>
    <w:rsid w:val="00CB5F3C"/>
    <w:rsid w:val="00CB69E2"/>
    <w:rsid w:val="00CB7664"/>
    <w:rsid w:val="00CC22E1"/>
    <w:rsid w:val="00CC2DBF"/>
    <w:rsid w:val="00CC3927"/>
    <w:rsid w:val="00CC428E"/>
    <w:rsid w:val="00CC4525"/>
    <w:rsid w:val="00CC45D4"/>
    <w:rsid w:val="00CC70CA"/>
    <w:rsid w:val="00CC7C46"/>
    <w:rsid w:val="00CD0E6C"/>
    <w:rsid w:val="00CD27EC"/>
    <w:rsid w:val="00CD3165"/>
    <w:rsid w:val="00CD33F8"/>
    <w:rsid w:val="00CD36A8"/>
    <w:rsid w:val="00CD3C5C"/>
    <w:rsid w:val="00CD5B53"/>
    <w:rsid w:val="00CD5B81"/>
    <w:rsid w:val="00CD61F0"/>
    <w:rsid w:val="00CD6787"/>
    <w:rsid w:val="00CE0086"/>
    <w:rsid w:val="00CE06B5"/>
    <w:rsid w:val="00CE2673"/>
    <w:rsid w:val="00CE27BE"/>
    <w:rsid w:val="00CE4D04"/>
    <w:rsid w:val="00CE57FB"/>
    <w:rsid w:val="00CE6591"/>
    <w:rsid w:val="00CE6C62"/>
    <w:rsid w:val="00CE7E04"/>
    <w:rsid w:val="00CF017B"/>
    <w:rsid w:val="00CF0250"/>
    <w:rsid w:val="00CF088B"/>
    <w:rsid w:val="00CF1FF2"/>
    <w:rsid w:val="00CF432B"/>
    <w:rsid w:val="00CF55F6"/>
    <w:rsid w:val="00CF7CFD"/>
    <w:rsid w:val="00D0003A"/>
    <w:rsid w:val="00D01446"/>
    <w:rsid w:val="00D01D93"/>
    <w:rsid w:val="00D03402"/>
    <w:rsid w:val="00D037B4"/>
    <w:rsid w:val="00D03D10"/>
    <w:rsid w:val="00D059B2"/>
    <w:rsid w:val="00D05AFA"/>
    <w:rsid w:val="00D06347"/>
    <w:rsid w:val="00D078A3"/>
    <w:rsid w:val="00D07A82"/>
    <w:rsid w:val="00D13048"/>
    <w:rsid w:val="00D14B78"/>
    <w:rsid w:val="00D15386"/>
    <w:rsid w:val="00D15488"/>
    <w:rsid w:val="00D15CE9"/>
    <w:rsid w:val="00D16693"/>
    <w:rsid w:val="00D1700A"/>
    <w:rsid w:val="00D217B8"/>
    <w:rsid w:val="00D22468"/>
    <w:rsid w:val="00D224D2"/>
    <w:rsid w:val="00D23224"/>
    <w:rsid w:val="00D2324F"/>
    <w:rsid w:val="00D24443"/>
    <w:rsid w:val="00D26F51"/>
    <w:rsid w:val="00D303A5"/>
    <w:rsid w:val="00D306C8"/>
    <w:rsid w:val="00D30BC4"/>
    <w:rsid w:val="00D30D07"/>
    <w:rsid w:val="00D312EE"/>
    <w:rsid w:val="00D31F7D"/>
    <w:rsid w:val="00D3278F"/>
    <w:rsid w:val="00D32FF8"/>
    <w:rsid w:val="00D34BA0"/>
    <w:rsid w:val="00D41E65"/>
    <w:rsid w:val="00D44567"/>
    <w:rsid w:val="00D44D14"/>
    <w:rsid w:val="00D452D7"/>
    <w:rsid w:val="00D4553F"/>
    <w:rsid w:val="00D4577A"/>
    <w:rsid w:val="00D46419"/>
    <w:rsid w:val="00D46FA7"/>
    <w:rsid w:val="00D472CA"/>
    <w:rsid w:val="00D50B68"/>
    <w:rsid w:val="00D50FFB"/>
    <w:rsid w:val="00D51064"/>
    <w:rsid w:val="00D517A3"/>
    <w:rsid w:val="00D52428"/>
    <w:rsid w:val="00D52514"/>
    <w:rsid w:val="00D526C0"/>
    <w:rsid w:val="00D52AA0"/>
    <w:rsid w:val="00D54CE4"/>
    <w:rsid w:val="00D55052"/>
    <w:rsid w:val="00D55A36"/>
    <w:rsid w:val="00D56FE3"/>
    <w:rsid w:val="00D603F4"/>
    <w:rsid w:val="00D60B2C"/>
    <w:rsid w:val="00D61086"/>
    <w:rsid w:val="00D615BF"/>
    <w:rsid w:val="00D61630"/>
    <w:rsid w:val="00D63B52"/>
    <w:rsid w:val="00D63E82"/>
    <w:rsid w:val="00D64D83"/>
    <w:rsid w:val="00D65FAC"/>
    <w:rsid w:val="00D66F2B"/>
    <w:rsid w:val="00D670D2"/>
    <w:rsid w:val="00D678DA"/>
    <w:rsid w:val="00D7012F"/>
    <w:rsid w:val="00D70B54"/>
    <w:rsid w:val="00D713E7"/>
    <w:rsid w:val="00D723F2"/>
    <w:rsid w:val="00D72947"/>
    <w:rsid w:val="00D75653"/>
    <w:rsid w:val="00D766A0"/>
    <w:rsid w:val="00D76EFB"/>
    <w:rsid w:val="00D76F24"/>
    <w:rsid w:val="00D7740F"/>
    <w:rsid w:val="00D8103F"/>
    <w:rsid w:val="00D816F0"/>
    <w:rsid w:val="00D83B27"/>
    <w:rsid w:val="00D84242"/>
    <w:rsid w:val="00D8622E"/>
    <w:rsid w:val="00D86D99"/>
    <w:rsid w:val="00D870F3"/>
    <w:rsid w:val="00D8722A"/>
    <w:rsid w:val="00D87B70"/>
    <w:rsid w:val="00D87DFB"/>
    <w:rsid w:val="00D91B09"/>
    <w:rsid w:val="00D9336E"/>
    <w:rsid w:val="00D9414B"/>
    <w:rsid w:val="00D94195"/>
    <w:rsid w:val="00D94648"/>
    <w:rsid w:val="00D94AAD"/>
    <w:rsid w:val="00D94C35"/>
    <w:rsid w:val="00D95E88"/>
    <w:rsid w:val="00DA0B8F"/>
    <w:rsid w:val="00DA12FE"/>
    <w:rsid w:val="00DA2B5C"/>
    <w:rsid w:val="00DA3507"/>
    <w:rsid w:val="00DA46E4"/>
    <w:rsid w:val="00DA4AC6"/>
    <w:rsid w:val="00DA4D51"/>
    <w:rsid w:val="00DA5703"/>
    <w:rsid w:val="00DA571A"/>
    <w:rsid w:val="00DA5AB9"/>
    <w:rsid w:val="00DA5C6D"/>
    <w:rsid w:val="00DA6090"/>
    <w:rsid w:val="00DA6410"/>
    <w:rsid w:val="00DA6726"/>
    <w:rsid w:val="00DB34F9"/>
    <w:rsid w:val="00DB3B69"/>
    <w:rsid w:val="00DB3F7E"/>
    <w:rsid w:val="00DB40FE"/>
    <w:rsid w:val="00DB4E8F"/>
    <w:rsid w:val="00DB7A57"/>
    <w:rsid w:val="00DB7B55"/>
    <w:rsid w:val="00DC144D"/>
    <w:rsid w:val="00DC1751"/>
    <w:rsid w:val="00DC1EBD"/>
    <w:rsid w:val="00DC21B8"/>
    <w:rsid w:val="00DC22DB"/>
    <w:rsid w:val="00DC65CA"/>
    <w:rsid w:val="00DC6987"/>
    <w:rsid w:val="00DD0C83"/>
    <w:rsid w:val="00DD1207"/>
    <w:rsid w:val="00DD1354"/>
    <w:rsid w:val="00DD17CB"/>
    <w:rsid w:val="00DD29E0"/>
    <w:rsid w:val="00DD42FB"/>
    <w:rsid w:val="00DD4CE8"/>
    <w:rsid w:val="00DD5723"/>
    <w:rsid w:val="00DD710C"/>
    <w:rsid w:val="00DE2504"/>
    <w:rsid w:val="00DE3144"/>
    <w:rsid w:val="00DE3870"/>
    <w:rsid w:val="00DE4BA3"/>
    <w:rsid w:val="00DE577A"/>
    <w:rsid w:val="00DE5B03"/>
    <w:rsid w:val="00DE5FEC"/>
    <w:rsid w:val="00DE6221"/>
    <w:rsid w:val="00DE6CAA"/>
    <w:rsid w:val="00DE6D5F"/>
    <w:rsid w:val="00DF0479"/>
    <w:rsid w:val="00DF1EB3"/>
    <w:rsid w:val="00DF5218"/>
    <w:rsid w:val="00DF5A7E"/>
    <w:rsid w:val="00DF5DB2"/>
    <w:rsid w:val="00DF6409"/>
    <w:rsid w:val="00DF69D6"/>
    <w:rsid w:val="00E00BE4"/>
    <w:rsid w:val="00E0126E"/>
    <w:rsid w:val="00E01C12"/>
    <w:rsid w:val="00E02458"/>
    <w:rsid w:val="00E03378"/>
    <w:rsid w:val="00E034F3"/>
    <w:rsid w:val="00E042DC"/>
    <w:rsid w:val="00E04561"/>
    <w:rsid w:val="00E11788"/>
    <w:rsid w:val="00E1207B"/>
    <w:rsid w:val="00E1421F"/>
    <w:rsid w:val="00E148D7"/>
    <w:rsid w:val="00E152F0"/>
    <w:rsid w:val="00E15E61"/>
    <w:rsid w:val="00E177DA"/>
    <w:rsid w:val="00E202DA"/>
    <w:rsid w:val="00E21639"/>
    <w:rsid w:val="00E22B55"/>
    <w:rsid w:val="00E22BEC"/>
    <w:rsid w:val="00E23AD6"/>
    <w:rsid w:val="00E24499"/>
    <w:rsid w:val="00E24673"/>
    <w:rsid w:val="00E2494E"/>
    <w:rsid w:val="00E25FEA"/>
    <w:rsid w:val="00E26F84"/>
    <w:rsid w:val="00E27614"/>
    <w:rsid w:val="00E30E2B"/>
    <w:rsid w:val="00E30E39"/>
    <w:rsid w:val="00E32DAE"/>
    <w:rsid w:val="00E330F8"/>
    <w:rsid w:val="00E33336"/>
    <w:rsid w:val="00E33F9B"/>
    <w:rsid w:val="00E35779"/>
    <w:rsid w:val="00E36AFD"/>
    <w:rsid w:val="00E4035D"/>
    <w:rsid w:val="00E411F3"/>
    <w:rsid w:val="00E4245D"/>
    <w:rsid w:val="00E435EE"/>
    <w:rsid w:val="00E513D3"/>
    <w:rsid w:val="00E5174D"/>
    <w:rsid w:val="00E52499"/>
    <w:rsid w:val="00E52AD3"/>
    <w:rsid w:val="00E545C6"/>
    <w:rsid w:val="00E54F14"/>
    <w:rsid w:val="00E5672E"/>
    <w:rsid w:val="00E57BF1"/>
    <w:rsid w:val="00E57CAC"/>
    <w:rsid w:val="00E6221D"/>
    <w:rsid w:val="00E6364D"/>
    <w:rsid w:val="00E66A10"/>
    <w:rsid w:val="00E6740B"/>
    <w:rsid w:val="00E70510"/>
    <w:rsid w:val="00E71328"/>
    <w:rsid w:val="00E71D46"/>
    <w:rsid w:val="00E72532"/>
    <w:rsid w:val="00E73464"/>
    <w:rsid w:val="00E73BF8"/>
    <w:rsid w:val="00E7426F"/>
    <w:rsid w:val="00E752E3"/>
    <w:rsid w:val="00E7558A"/>
    <w:rsid w:val="00E75BFC"/>
    <w:rsid w:val="00E77439"/>
    <w:rsid w:val="00E77CE9"/>
    <w:rsid w:val="00E808A8"/>
    <w:rsid w:val="00E80C84"/>
    <w:rsid w:val="00E83F27"/>
    <w:rsid w:val="00E8425F"/>
    <w:rsid w:val="00E8468F"/>
    <w:rsid w:val="00E85326"/>
    <w:rsid w:val="00E865B9"/>
    <w:rsid w:val="00E86758"/>
    <w:rsid w:val="00E91C10"/>
    <w:rsid w:val="00E928EC"/>
    <w:rsid w:val="00E92A6E"/>
    <w:rsid w:val="00E93284"/>
    <w:rsid w:val="00E93978"/>
    <w:rsid w:val="00E93C2B"/>
    <w:rsid w:val="00E9434C"/>
    <w:rsid w:val="00E947C3"/>
    <w:rsid w:val="00E94D01"/>
    <w:rsid w:val="00E95135"/>
    <w:rsid w:val="00E95591"/>
    <w:rsid w:val="00E959B6"/>
    <w:rsid w:val="00E95C5C"/>
    <w:rsid w:val="00E96501"/>
    <w:rsid w:val="00EA0A1E"/>
    <w:rsid w:val="00EA1B15"/>
    <w:rsid w:val="00EA229B"/>
    <w:rsid w:val="00EA2783"/>
    <w:rsid w:val="00EA2A4C"/>
    <w:rsid w:val="00EA2C5E"/>
    <w:rsid w:val="00EA3791"/>
    <w:rsid w:val="00EA5ACE"/>
    <w:rsid w:val="00EA65D6"/>
    <w:rsid w:val="00EA6A0E"/>
    <w:rsid w:val="00EA7D48"/>
    <w:rsid w:val="00EB1A8D"/>
    <w:rsid w:val="00EB385B"/>
    <w:rsid w:val="00EB43B4"/>
    <w:rsid w:val="00EB5005"/>
    <w:rsid w:val="00EB53B4"/>
    <w:rsid w:val="00EB5FDA"/>
    <w:rsid w:val="00EB6FA8"/>
    <w:rsid w:val="00EB71EB"/>
    <w:rsid w:val="00EC03B8"/>
    <w:rsid w:val="00EC0C57"/>
    <w:rsid w:val="00EC139D"/>
    <w:rsid w:val="00EC1E70"/>
    <w:rsid w:val="00EC4C19"/>
    <w:rsid w:val="00EC54AF"/>
    <w:rsid w:val="00EC72AB"/>
    <w:rsid w:val="00EC7D10"/>
    <w:rsid w:val="00ED00E2"/>
    <w:rsid w:val="00ED0CD3"/>
    <w:rsid w:val="00ED1179"/>
    <w:rsid w:val="00ED127D"/>
    <w:rsid w:val="00ED1631"/>
    <w:rsid w:val="00ED195F"/>
    <w:rsid w:val="00ED342F"/>
    <w:rsid w:val="00ED384D"/>
    <w:rsid w:val="00ED3DA7"/>
    <w:rsid w:val="00ED484E"/>
    <w:rsid w:val="00ED48D3"/>
    <w:rsid w:val="00ED4AF4"/>
    <w:rsid w:val="00ED6566"/>
    <w:rsid w:val="00ED66A0"/>
    <w:rsid w:val="00ED6E0C"/>
    <w:rsid w:val="00ED7166"/>
    <w:rsid w:val="00ED7AA2"/>
    <w:rsid w:val="00EE02D4"/>
    <w:rsid w:val="00EE0CC3"/>
    <w:rsid w:val="00EE1622"/>
    <w:rsid w:val="00EE4787"/>
    <w:rsid w:val="00EE58DF"/>
    <w:rsid w:val="00EE693C"/>
    <w:rsid w:val="00EE7080"/>
    <w:rsid w:val="00EE751D"/>
    <w:rsid w:val="00EE76E2"/>
    <w:rsid w:val="00EF1052"/>
    <w:rsid w:val="00EF1B3F"/>
    <w:rsid w:val="00EF2B74"/>
    <w:rsid w:val="00EF3205"/>
    <w:rsid w:val="00EF6974"/>
    <w:rsid w:val="00F0221A"/>
    <w:rsid w:val="00F025EC"/>
    <w:rsid w:val="00F02FB6"/>
    <w:rsid w:val="00F03284"/>
    <w:rsid w:val="00F03417"/>
    <w:rsid w:val="00F04F94"/>
    <w:rsid w:val="00F07408"/>
    <w:rsid w:val="00F07D44"/>
    <w:rsid w:val="00F10229"/>
    <w:rsid w:val="00F11AC6"/>
    <w:rsid w:val="00F12489"/>
    <w:rsid w:val="00F12739"/>
    <w:rsid w:val="00F13388"/>
    <w:rsid w:val="00F13D57"/>
    <w:rsid w:val="00F13EFE"/>
    <w:rsid w:val="00F147E6"/>
    <w:rsid w:val="00F14CB3"/>
    <w:rsid w:val="00F1544C"/>
    <w:rsid w:val="00F15632"/>
    <w:rsid w:val="00F203A6"/>
    <w:rsid w:val="00F2045B"/>
    <w:rsid w:val="00F21270"/>
    <w:rsid w:val="00F21C75"/>
    <w:rsid w:val="00F21E77"/>
    <w:rsid w:val="00F23A7B"/>
    <w:rsid w:val="00F24BCE"/>
    <w:rsid w:val="00F25343"/>
    <w:rsid w:val="00F257C8"/>
    <w:rsid w:val="00F25897"/>
    <w:rsid w:val="00F3012E"/>
    <w:rsid w:val="00F30222"/>
    <w:rsid w:val="00F30EC6"/>
    <w:rsid w:val="00F325AD"/>
    <w:rsid w:val="00F337A5"/>
    <w:rsid w:val="00F35C2B"/>
    <w:rsid w:val="00F36534"/>
    <w:rsid w:val="00F4010A"/>
    <w:rsid w:val="00F41635"/>
    <w:rsid w:val="00F41EA2"/>
    <w:rsid w:val="00F431C0"/>
    <w:rsid w:val="00F43F77"/>
    <w:rsid w:val="00F4442E"/>
    <w:rsid w:val="00F444D0"/>
    <w:rsid w:val="00F44ECE"/>
    <w:rsid w:val="00F44F1D"/>
    <w:rsid w:val="00F454D2"/>
    <w:rsid w:val="00F45FEC"/>
    <w:rsid w:val="00F466EF"/>
    <w:rsid w:val="00F469D2"/>
    <w:rsid w:val="00F47C6F"/>
    <w:rsid w:val="00F53E5D"/>
    <w:rsid w:val="00F54659"/>
    <w:rsid w:val="00F55890"/>
    <w:rsid w:val="00F57186"/>
    <w:rsid w:val="00F5770A"/>
    <w:rsid w:val="00F57879"/>
    <w:rsid w:val="00F6192A"/>
    <w:rsid w:val="00F62A92"/>
    <w:rsid w:val="00F62F72"/>
    <w:rsid w:val="00F635C1"/>
    <w:rsid w:val="00F64506"/>
    <w:rsid w:val="00F64AE9"/>
    <w:rsid w:val="00F665D2"/>
    <w:rsid w:val="00F6666D"/>
    <w:rsid w:val="00F6678D"/>
    <w:rsid w:val="00F67B0D"/>
    <w:rsid w:val="00F70233"/>
    <w:rsid w:val="00F705A5"/>
    <w:rsid w:val="00F706B7"/>
    <w:rsid w:val="00F7211E"/>
    <w:rsid w:val="00F72576"/>
    <w:rsid w:val="00F72918"/>
    <w:rsid w:val="00F72BCF"/>
    <w:rsid w:val="00F7367E"/>
    <w:rsid w:val="00F73C0C"/>
    <w:rsid w:val="00F74E79"/>
    <w:rsid w:val="00F754E4"/>
    <w:rsid w:val="00F75EC1"/>
    <w:rsid w:val="00F76043"/>
    <w:rsid w:val="00F7622B"/>
    <w:rsid w:val="00F76A9C"/>
    <w:rsid w:val="00F820A8"/>
    <w:rsid w:val="00F82FB5"/>
    <w:rsid w:val="00F8308C"/>
    <w:rsid w:val="00F8496A"/>
    <w:rsid w:val="00F84B67"/>
    <w:rsid w:val="00F84D2A"/>
    <w:rsid w:val="00F84DD2"/>
    <w:rsid w:val="00F85764"/>
    <w:rsid w:val="00F85CAE"/>
    <w:rsid w:val="00F85CF8"/>
    <w:rsid w:val="00F86BEB"/>
    <w:rsid w:val="00F8721E"/>
    <w:rsid w:val="00F917EC"/>
    <w:rsid w:val="00F92530"/>
    <w:rsid w:val="00F92942"/>
    <w:rsid w:val="00F93BC3"/>
    <w:rsid w:val="00F9512D"/>
    <w:rsid w:val="00F956D1"/>
    <w:rsid w:val="00F9647F"/>
    <w:rsid w:val="00FA08C1"/>
    <w:rsid w:val="00FA4732"/>
    <w:rsid w:val="00FA4B41"/>
    <w:rsid w:val="00FA546A"/>
    <w:rsid w:val="00FA5982"/>
    <w:rsid w:val="00FA62CF"/>
    <w:rsid w:val="00FA652D"/>
    <w:rsid w:val="00FA6FF6"/>
    <w:rsid w:val="00FA7E36"/>
    <w:rsid w:val="00FB0B89"/>
    <w:rsid w:val="00FB1DB9"/>
    <w:rsid w:val="00FB2D0F"/>
    <w:rsid w:val="00FB2F84"/>
    <w:rsid w:val="00FB42DF"/>
    <w:rsid w:val="00FB4327"/>
    <w:rsid w:val="00FB44F8"/>
    <w:rsid w:val="00FB597A"/>
    <w:rsid w:val="00FB5E1B"/>
    <w:rsid w:val="00FC14ED"/>
    <w:rsid w:val="00FC2197"/>
    <w:rsid w:val="00FC21BB"/>
    <w:rsid w:val="00FC3E23"/>
    <w:rsid w:val="00FC47DB"/>
    <w:rsid w:val="00FC5BD0"/>
    <w:rsid w:val="00FC5C52"/>
    <w:rsid w:val="00FC7327"/>
    <w:rsid w:val="00FC7E71"/>
    <w:rsid w:val="00FD05AA"/>
    <w:rsid w:val="00FD2CAD"/>
    <w:rsid w:val="00FD308C"/>
    <w:rsid w:val="00FD414A"/>
    <w:rsid w:val="00FD62B3"/>
    <w:rsid w:val="00FD6799"/>
    <w:rsid w:val="00FD6E9D"/>
    <w:rsid w:val="00FE02F1"/>
    <w:rsid w:val="00FE0BF4"/>
    <w:rsid w:val="00FE11F2"/>
    <w:rsid w:val="00FE178B"/>
    <w:rsid w:val="00FE330E"/>
    <w:rsid w:val="00FE33C5"/>
    <w:rsid w:val="00FE35F5"/>
    <w:rsid w:val="00FE489F"/>
    <w:rsid w:val="00FE5796"/>
    <w:rsid w:val="00FE5D07"/>
    <w:rsid w:val="00FE6C18"/>
    <w:rsid w:val="00FF0060"/>
    <w:rsid w:val="00FF06D8"/>
    <w:rsid w:val="00FF1611"/>
    <w:rsid w:val="00FF1B2E"/>
    <w:rsid w:val="00FF1DFF"/>
    <w:rsid w:val="00FF29CE"/>
    <w:rsid w:val="00FF2C6C"/>
    <w:rsid w:val="00FF3AD1"/>
    <w:rsid w:val="00FF3BD3"/>
    <w:rsid w:val="00FF3F90"/>
    <w:rsid w:val="00FF4CB2"/>
    <w:rsid w:val="00FF631F"/>
    <w:rsid w:val="00FF6D4B"/>
    <w:rsid w:val="00FF750E"/>
    <w:rsid w:val="01188349"/>
    <w:rsid w:val="01203DFE"/>
    <w:rsid w:val="0126814A"/>
    <w:rsid w:val="0132575B"/>
    <w:rsid w:val="01384398"/>
    <w:rsid w:val="013C315F"/>
    <w:rsid w:val="01468ACA"/>
    <w:rsid w:val="016831B8"/>
    <w:rsid w:val="01844487"/>
    <w:rsid w:val="01CA149D"/>
    <w:rsid w:val="01D4BAAF"/>
    <w:rsid w:val="01DAC288"/>
    <w:rsid w:val="01E43294"/>
    <w:rsid w:val="01E4B1F3"/>
    <w:rsid w:val="01E5C4CF"/>
    <w:rsid w:val="02050DE3"/>
    <w:rsid w:val="020CA360"/>
    <w:rsid w:val="021ECDFD"/>
    <w:rsid w:val="0247766E"/>
    <w:rsid w:val="024818DF"/>
    <w:rsid w:val="028ACEFC"/>
    <w:rsid w:val="0297F17D"/>
    <w:rsid w:val="02998901"/>
    <w:rsid w:val="029A1588"/>
    <w:rsid w:val="02C05F65"/>
    <w:rsid w:val="02C917C7"/>
    <w:rsid w:val="02D0F779"/>
    <w:rsid w:val="02D1F8C7"/>
    <w:rsid w:val="0304DAB9"/>
    <w:rsid w:val="030729B2"/>
    <w:rsid w:val="03178F9C"/>
    <w:rsid w:val="0328B9B2"/>
    <w:rsid w:val="032D85F2"/>
    <w:rsid w:val="033C171E"/>
    <w:rsid w:val="033FD425"/>
    <w:rsid w:val="034501E0"/>
    <w:rsid w:val="034F7F48"/>
    <w:rsid w:val="03521C36"/>
    <w:rsid w:val="035A7586"/>
    <w:rsid w:val="035EB7A4"/>
    <w:rsid w:val="036491C5"/>
    <w:rsid w:val="03819530"/>
    <w:rsid w:val="038EA64B"/>
    <w:rsid w:val="03944A22"/>
    <w:rsid w:val="03A643AA"/>
    <w:rsid w:val="03AD727F"/>
    <w:rsid w:val="03AFD152"/>
    <w:rsid w:val="03B099AD"/>
    <w:rsid w:val="03B21984"/>
    <w:rsid w:val="03C5BBBA"/>
    <w:rsid w:val="03F2E9FB"/>
    <w:rsid w:val="040C519F"/>
    <w:rsid w:val="0427CBFA"/>
    <w:rsid w:val="0432C5A4"/>
    <w:rsid w:val="043F7EBE"/>
    <w:rsid w:val="043FE179"/>
    <w:rsid w:val="044AE122"/>
    <w:rsid w:val="044B6853"/>
    <w:rsid w:val="0450F1D4"/>
    <w:rsid w:val="046CC7DA"/>
    <w:rsid w:val="04747003"/>
    <w:rsid w:val="04777E0C"/>
    <w:rsid w:val="047F3BC1"/>
    <w:rsid w:val="0489C503"/>
    <w:rsid w:val="04AD4CD1"/>
    <w:rsid w:val="04C12953"/>
    <w:rsid w:val="04C6DAFD"/>
    <w:rsid w:val="04EE283F"/>
    <w:rsid w:val="04F21F93"/>
    <w:rsid w:val="051173C2"/>
    <w:rsid w:val="0520321D"/>
    <w:rsid w:val="052763AF"/>
    <w:rsid w:val="05347EBC"/>
    <w:rsid w:val="05599BE7"/>
    <w:rsid w:val="0592A391"/>
    <w:rsid w:val="059B49AB"/>
    <w:rsid w:val="05A33B24"/>
    <w:rsid w:val="05A4E9A8"/>
    <w:rsid w:val="05B0537D"/>
    <w:rsid w:val="05C4D15D"/>
    <w:rsid w:val="05D8B4D1"/>
    <w:rsid w:val="05DA4846"/>
    <w:rsid w:val="05E1CD65"/>
    <w:rsid w:val="05F51311"/>
    <w:rsid w:val="05F53947"/>
    <w:rsid w:val="05F80027"/>
    <w:rsid w:val="0608983B"/>
    <w:rsid w:val="063A22CE"/>
    <w:rsid w:val="064C4CB9"/>
    <w:rsid w:val="068A123D"/>
    <w:rsid w:val="069F791A"/>
    <w:rsid w:val="06B26268"/>
    <w:rsid w:val="06B37833"/>
    <w:rsid w:val="06B77E47"/>
    <w:rsid w:val="06F5C8CE"/>
    <w:rsid w:val="071CADB1"/>
    <w:rsid w:val="07263F2B"/>
    <w:rsid w:val="0744FA71"/>
    <w:rsid w:val="07620CF6"/>
    <w:rsid w:val="076D86AB"/>
    <w:rsid w:val="0777CED3"/>
    <w:rsid w:val="07950CFB"/>
    <w:rsid w:val="07A4689C"/>
    <w:rsid w:val="07A6D0ED"/>
    <w:rsid w:val="07C6B0C2"/>
    <w:rsid w:val="07E30278"/>
    <w:rsid w:val="084FB1BC"/>
    <w:rsid w:val="085AA76B"/>
    <w:rsid w:val="085B983F"/>
    <w:rsid w:val="085DB90D"/>
    <w:rsid w:val="085DE3B2"/>
    <w:rsid w:val="0872AA30"/>
    <w:rsid w:val="08801215"/>
    <w:rsid w:val="08938E2F"/>
    <w:rsid w:val="08A93071"/>
    <w:rsid w:val="08A9CDB7"/>
    <w:rsid w:val="08AC25C9"/>
    <w:rsid w:val="08CB47AD"/>
    <w:rsid w:val="08D1B63E"/>
    <w:rsid w:val="08DBF96D"/>
    <w:rsid w:val="08E8E6EB"/>
    <w:rsid w:val="08EDBB59"/>
    <w:rsid w:val="08EDD98B"/>
    <w:rsid w:val="08EE6F40"/>
    <w:rsid w:val="09023626"/>
    <w:rsid w:val="0906850F"/>
    <w:rsid w:val="0909570C"/>
    <w:rsid w:val="091237D5"/>
    <w:rsid w:val="0918D54A"/>
    <w:rsid w:val="091F0B4C"/>
    <w:rsid w:val="0925560B"/>
    <w:rsid w:val="0928CB24"/>
    <w:rsid w:val="092C79FE"/>
    <w:rsid w:val="09947DC6"/>
    <w:rsid w:val="099C73A2"/>
    <w:rsid w:val="099F6631"/>
    <w:rsid w:val="09A515CE"/>
    <w:rsid w:val="09CF2CB2"/>
    <w:rsid w:val="09D8371D"/>
    <w:rsid w:val="09DE1F80"/>
    <w:rsid w:val="09E469C4"/>
    <w:rsid w:val="09E4E4E5"/>
    <w:rsid w:val="09F195A9"/>
    <w:rsid w:val="09F8C43A"/>
    <w:rsid w:val="09FDA343"/>
    <w:rsid w:val="0A2F1ABE"/>
    <w:rsid w:val="0A440D7B"/>
    <w:rsid w:val="0A722F3B"/>
    <w:rsid w:val="0A7F7EFE"/>
    <w:rsid w:val="0A8BFF10"/>
    <w:rsid w:val="0AA4B6C3"/>
    <w:rsid w:val="0AA5276D"/>
    <w:rsid w:val="0AAB099C"/>
    <w:rsid w:val="0ABB91CD"/>
    <w:rsid w:val="0AE62DF7"/>
    <w:rsid w:val="0B13E335"/>
    <w:rsid w:val="0B16CAFF"/>
    <w:rsid w:val="0B2F79F2"/>
    <w:rsid w:val="0B612483"/>
    <w:rsid w:val="0B6C6DCE"/>
    <w:rsid w:val="0B6E8874"/>
    <w:rsid w:val="0B8599E6"/>
    <w:rsid w:val="0B94949B"/>
    <w:rsid w:val="0BA90E2E"/>
    <w:rsid w:val="0BBA6F23"/>
    <w:rsid w:val="0BC4D3DB"/>
    <w:rsid w:val="0BD29485"/>
    <w:rsid w:val="0BE4FD5F"/>
    <w:rsid w:val="0BE88C93"/>
    <w:rsid w:val="0BF23003"/>
    <w:rsid w:val="0BF3679C"/>
    <w:rsid w:val="0BF67F27"/>
    <w:rsid w:val="0C07A570"/>
    <w:rsid w:val="0C4A822E"/>
    <w:rsid w:val="0C510EE9"/>
    <w:rsid w:val="0C5BEB1D"/>
    <w:rsid w:val="0C645495"/>
    <w:rsid w:val="0C6F2F31"/>
    <w:rsid w:val="0C90DC71"/>
    <w:rsid w:val="0C963A63"/>
    <w:rsid w:val="0CBED384"/>
    <w:rsid w:val="0CDB7109"/>
    <w:rsid w:val="0CDCD9D8"/>
    <w:rsid w:val="0D1415B4"/>
    <w:rsid w:val="0D1AFCFD"/>
    <w:rsid w:val="0D2EF15F"/>
    <w:rsid w:val="0D56D90C"/>
    <w:rsid w:val="0D6D9D79"/>
    <w:rsid w:val="0D921114"/>
    <w:rsid w:val="0DA919C4"/>
    <w:rsid w:val="0DACAE7A"/>
    <w:rsid w:val="0DB6E503"/>
    <w:rsid w:val="0DB8AB6C"/>
    <w:rsid w:val="0DBFB23E"/>
    <w:rsid w:val="0DC60B01"/>
    <w:rsid w:val="0DC843AE"/>
    <w:rsid w:val="0DC9FFD4"/>
    <w:rsid w:val="0DD1E1E8"/>
    <w:rsid w:val="0DD31916"/>
    <w:rsid w:val="0DF7FA39"/>
    <w:rsid w:val="0E0024F6"/>
    <w:rsid w:val="0E0AFF92"/>
    <w:rsid w:val="0E44DBE2"/>
    <w:rsid w:val="0E59A006"/>
    <w:rsid w:val="0E5AA3E5"/>
    <w:rsid w:val="0E792AB8"/>
    <w:rsid w:val="0E98C470"/>
    <w:rsid w:val="0EA01D33"/>
    <w:rsid w:val="0EB19238"/>
    <w:rsid w:val="0EB7E97C"/>
    <w:rsid w:val="0EC0438E"/>
    <w:rsid w:val="0F03846D"/>
    <w:rsid w:val="0F04EB06"/>
    <w:rsid w:val="0F242D2F"/>
    <w:rsid w:val="0F266561"/>
    <w:rsid w:val="0F2AB086"/>
    <w:rsid w:val="0F2B22F2"/>
    <w:rsid w:val="0F464612"/>
    <w:rsid w:val="0F56AB46"/>
    <w:rsid w:val="0F590574"/>
    <w:rsid w:val="0F65A97F"/>
    <w:rsid w:val="0F794591"/>
    <w:rsid w:val="0F7F728E"/>
    <w:rsid w:val="0F8499DD"/>
    <w:rsid w:val="0F8972E2"/>
    <w:rsid w:val="0F97886B"/>
    <w:rsid w:val="0FAA32E5"/>
    <w:rsid w:val="0FAE7031"/>
    <w:rsid w:val="0FB4F34F"/>
    <w:rsid w:val="0FC36721"/>
    <w:rsid w:val="0FD39ED7"/>
    <w:rsid w:val="0FF45163"/>
    <w:rsid w:val="10077299"/>
    <w:rsid w:val="1009087D"/>
    <w:rsid w:val="1023D316"/>
    <w:rsid w:val="10246E71"/>
    <w:rsid w:val="103494D1"/>
    <w:rsid w:val="103685B2"/>
    <w:rsid w:val="1075F458"/>
    <w:rsid w:val="108DE046"/>
    <w:rsid w:val="10A5A988"/>
    <w:rsid w:val="10A70765"/>
    <w:rsid w:val="10B27760"/>
    <w:rsid w:val="10D393BE"/>
    <w:rsid w:val="10EDEB57"/>
    <w:rsid w:val="10FE2AD6"/>
    <w:rsid w:val="10FEBDE1"/>
    <w:rsid w:val="1106C6AA"/>
    <w:rsid w:val="110CC6C2"/>
    <w:rsid w:val="1165889A"/>
    <w:rsid w:val="11A342FA"/>
    <w:rsid w:val="11D06532"/>
    <w:rsid w:val="11DB5F42"/>
    <w:rsid w:val="11E3745A"/>
    <w:rsid w:val="11E9CEFE"/>
    <w:rsid w:val="12082BE4"/>
    <w:rsid w:val="120D2DC4"/>
    <w:rsid w:val="1216BFDF"/>
    <w:rsid w:val="12190DB7"/>
    <w:rsid w:val="121DC61C"/>
    <w:rsid w:val="12216BF9"/>
    <w:rsid w:val="122B1CAB"/>
    <w:rsid w:val="122C261C"/>
    <w:rsid w:val="122CFAF9"/>
    <w:rsid w:val="123E4112"/>
    <w:rsid w:val="12400F23"/>
    <w:rsid w:val="125CDE20"/>
    <w:rsid w:val="125D4570"/>
    <w:rsid w:val="12798347"/>
    <w:rsid w:val="1287B8E9"/>
    <w:rsid w:val="128E9432"/>
    <w:rsid w:val="128F1867"/>
    <w:rsid w:val="12A78332"/>
    <w:rsid w:val="12ACBC2C"/>
    <w:rsid w:val="12C13552"/>
    <w:rsid w:val="12DE70B5"/>
    <w:rsid w:val="12EFAB8C"/>
    <w:rsid w:val="1339DE8D"/>
    <w:rsid w:val="134E0A70"/>
    <w:rsid w:val="134E35FD"/>
    <w:rsid w:val="13540A50"/>
    <w:rsid w:val="1359D57F"/>
    <w:rsid w:val="136C3593"/>
    <w:rsid w:val="138B0485"/>
    <w:rsid w:val="13AB3DD0"/>
    <w:rsid w:val="13B36294"/>
    <w:rsid w:val="13BE4694"/>
    <w:rsid w:val="13FA7A82"/>
    <w:rsid w:val="13FF0E4C"/>
    <w:rsid w:val="14001997"/>
    <w:rsid w:val="141E3C06"/>
    <w:rsid w:val="1424F532"/>
    <w:rsid w:val="14366B08"/>
    <w:rsid w:val="1438309B"/>
    <w:rsid w:val="143C210A"/>
    <w:rsid w:val="149082FF"/>
    <w:rsid w:val="14DFE7FE"/>
    <w:rsid w:val="150D8734"/>
    <w:rsid w:val="15105FE2"/>
    <w:rsid w:val="15164921"/>
    <w:rsid w:val="151CCBD4"/>
    <w:rsid w:val="1544BD50"/>
    <w:rsid w:val="15489D20"/>
    <w:rsid w:val="1558F398"/>
    <w:rsid w:val="155E951D"/>
    <w:rsid w:val="155F0EF4"/>
    <w:rsid w:val="1568A022"/>
    <w:rsid w:val="158F23CC"/>
    <w:rsid w:val="159478E8"/>
    <w:rsid w:val="15A1471F"/>
    <w:rsid w:val="15B979DB"/>
    <w:rsid w:val="15CCC794"/>
    <w:rsid w:val="15E11E6B"/>
    <w:rsid w:val="15ED63AC"/>
    <w:rsid w:val="1618AA98"/>
    <w:rsid w:val="162C6628"/>
    <w:rsid w:val="16525750"/>
    <w:rsid w:val="16659B69"/>
    <w:rsid w:val="16680DEB"/>
    <w:rsid w:val="1685D6BF"/>
    <w:rsid w:val="16936C66"/>
    <w:rsid w:val="16940B0A"/>
    <w:rsid w:val="16962894"/>
    <w:rsid w:val="16B479B4"/>
    <w:rsid w:val="16CB5573"/>
    <w:rsid w:val="16CDFC20"/>
    <w:rsid w:val="16EAFDB9"/>
    <w:rsid w:val="16F04FDD"/>
    <w:rsid w:val="16F4C3F9"/>
    <w:rsid w:val="1702B983"/>
    <w:rsid w:val="1705248C"/>
    <w:rsid w:val="171656AB"/>
    <w:rsid w:val="171930AF"/>
    <w:rsid w:val="1739785D"/>
    <w:rsid w:val="1740E610"/>
    <w:rsid w:val="177776DA"/>
    <w:rsid w:val="17AC6E0F"/>
    <w:rsid w:val="17D5B086"/>
    <w:rsid w:val="17ED273F"/>
    <w:rsid w:val="17FF3C07"/>
    <w:rsid w:val="1821A720"/>
    <w:rsid w:val="1826D9C7"/>
    <w:rsid w:val="1836EC33"/>
    <w:rsid w:val="183A72C5"/>
    <w:rsid w:val="18422B08"/>
    <w:rsid w:val="18646C81"/>
    <w:rsid w:val="1869F89E"/>
    <w:rsid w:val="1880D180"/>
    <w:rsid w:val="1897D1C8"/>
    <w:rsid w:val="18B55F6B"/>
    <w:rsid w:val="18D0FBEF"/>
    <w:rsid w:val="190EEC85"/>
    <w:rsid w:val="190FDCD9"/>
    <w:rsid w:val="191E4388"/>
    <w:rsid w:val="192654D4"/>
    <w:rsid w:val="192A08B5"/>
    <w:rsid w:val="19413A72"/>
    <w:rsid w:val="194DB239"/>
    <w:rsid w:val="197144D8"/>
    <w:rsid w:val="1973B52F"/>
    <w:rsid w:val="19BD6A9C"/>
    <w:rsid w:val="19C50CFB"/>
    <w:rsid w:val="19C9711D"/>
    <w:rsid w:val="19EFCB9D"/>
    <w:rsid w:val="1A0410FC"/>
    <w:rsid w:val="1A23EAF0"/>
    <w:rsid w:val="1A2F0BA8"/>
    <w:rsid w:val="1A31F8AB"/>
    <w:rsid w:val="1A433B6A"/>
    <w:rsid w:val="1A673DED"/>
    <w:rsid w:val="1A962887"/>
    <w:rsid w:val="1AB3F231"/>
    <w:rsid w:val="1AB80EF2"/>
    <w:rsid w:val="1ADC7589"/>
    <w:rsid w:val="1ADF1857"/>
    <w:rsid w:val="1AFDE49F"/>
    <w:rsid w:val="1B0CA0D6"/>
    <w:rsid w:val="1B4E7C27"/>
    <w:rsid w:val="1B593AFD"/>
    <w:rsid w:val="1B5947E2"/>
    <w:rsid w:val="1B7414E6"/>
    <w:rsid w:val="1B752A84"/>
    <w:rsid w:val="1B7A0EB2"/>
    <w:rsid w:val="1BA9246E"/>
    <w:rsid w:val="1BAF0E2A"/>
    <w:rsid w:val="1BB9F490"/>
    <w:rsid w:val="1BF22FA0"/>
    <w:rsid w:val="1BFD96AA"/>
    <w:rsid w:val="1C080CE1"/>
    <w:rsid w:val="1C1BE4C5"/>
    <w:rsid w:val="1C25F4FB"/>
    <w:rsid w:val="1C3960AF"/>
    <w:rsid w:val="1C51D343"/>
    <w:rsid w:val="1C596358"/>
    <w:rsid w:val="1C958F4F"/>
    <w:rsid w:val="1CA3B50C"/>
    <w:rsid w:val="1CB5CCE8"/>
    <w:rsid w:val="1CC81D53"/>
    <w:rsid w:val="1CE8BE00"/>
    <w:rsid w:val="1CEAF5A8"/>
    <w:rsid w:val="1D31E7AA"/>
    <w:rsid w:val="1D3E5730"/>
    <w:rsid w:val="1D53C78E"/>
    <w:rsid w:val="1D7B89C0"/>
    <w:rsid w:val="1DA96BC1"/>
    <w:rsid w:val="1DB01103"/>
    <w:rsid w:val="1E0AF09A"/>
    <w:rsid w:val="1E0DC193"/>
    <w:rsid w:val="1E1389F8"/>
    <w:rsid w:val="1E330458"/>
    <w:rsid w:val="1E3FD9B1"/>
    <w:rsid w:val="1E650DB2"/>
    <w:rsid w:val="1E6515DD"/>
    <w:rsid w:val="1E659EB0"/>
    <w:rsid w:val="1E70554C"/>
    <w:rsid w:val="1E728625"/>
    <w:rsid w:val="1E7B5360"/>
    <w:rsid w:val="1E861CE9"/>
    <w:rsid w:val="1E8E4D5B"/>
    <w:rsid w:val="1E910518"/>
    <w:rsid w:val="1EB144E9"/>
    <w:rsid w:val="1EB47671"/>
    <w:rsid w:val="1EBA0C03"/>
    <w:rsid w:val="1ECCFA08"/>
    <w:rsid w:val="1F01A23B"/>
    <w:rsid w:val="1F027CCB"/>
    <w:rsid w:val="1F0397AB"/>
    <w:rsid w:val="1F03CE8E"/>
    <w:rsid w:val="1F0569CE"/>
    <w:rsid w:val="1F1BFA9D"/>
    <w:rsid w:val="1F2C5C2E"/>
    <w:rsid w:val="1F368345"/>
    <w:rsid w:val="1F3912FB"/>
    <w:rsid w:val="1F40D6B3"/>
    <w:rsid w:val="1F424542"/>
    <w:rsid w:val="1F4F6260"/>
    <w:rsid w:val="1F577318"/>
    <w:rsid w:val="1F6B57AD"/>
    <w:rsid w:val="1F6E264F"/>
    <w:rsid w:val="1F825855"/>
    <w:rsid w:val="1F90874C"/>
    <w:rsid w:val="1FBCF3BD"/>
    <w:rsid w:val="1FC7D629"/>
    <w:rsid w:val="1FD4705C"/>
    <w:rsid w:val="200C9810"/>
    <w:rsid w:val="20220FFB"/>
    <w:rsid w:val="202CD579"/>
    <w:rsid w:val="202E714F"/>
    <w:rsid w:val="20372AF1"/>
    <w:rsid w:val="2040A62C"/>
    <w:rsid w:val="205BB609"/>
    <w:rsid w:val="20818D3B"/>
    <w:rsid w:val="20A9D1CE"/>
    <w:rsid w:val="20D4A679"/>
    <w:rsid w:val="20EE5773"/>
    <w:rsid w:val="20F27C87"/>
    <w:rsid w:val="20FA70C5"/>
    <w:rsid w:val="210DF13C"/>
    <w:rsid w:val="21115956"/>
    <w:rsid w:val="21171DA6"/>
    <w:rsid w:val="213A27F8"/>
    <w:rsid w:val="214B6E2B"/>
    <w:rsid w:val="2167EFC3"/>
    <w:rsid w:val="21B2F422"/>
    <w:rsid w:val="2220F530"/>
    <w:rsid w:val="22292D9E"/>
    <w:rsid w:val="225C4993"/>
    <w:rsid w:val="22654D4D"/>
    <w:rsid w:val="2281DC43"/>
    <w:rsid w:val="22A728EF"/>
    <w:rsid w:val="22AE86FA"/>
    <w:rsid w:val="22BFD061"/>
    <w:rsid w:val="22CD3558"/>
    <w:rsid w:val="22CFB2B2"/>
    <w:rsid w:val="22D4BC49"/>
    <w:rsid w:val="22D524A0"/>
    <w:rsid w:val="22E4E695"/>
    <w:rsid w:val="22F559B3"/>
    <w:rsid w:val="22F8EA44"/>
    <w:rsid w:val="23103449"/>
    <w:rsid w:val="231BAB76"/>
    <w:rsid w:val="232D4A28"/>
    <w:rsid w:val="2354FCE2"/>
    <w:rsid w:val="23769809"/>
    <w:rsid w:val="2376A52E"/>
    <w:rsid w:val="237D9574"/>
    <w:rsid w:val="238648F0"/>
    <w:rsid w:val="239356CB"/>
    <w:rsid w:val="23BA05C5"/>
    <w:rsid w:val="23CF2F15"/>
    <w:rsid w:val="23D23163"/>
    <w:rsid w:val="23D83BF9"/>
    <w:rsid w:val="23F1BE43"/>
    <w:rsid w:val="23FCB977"/>
    <w:rsid w:val="23FF31C3"/>
    <w:rsid w:val="242F6C60"/>
    <w:rsid w:val="243BBE99"/>
    <w:rsid w:val="2460A2B5"/>
    <w:rsid w:val="24620031"/>
    <w:rsid w:val="247B949A"/>
    <w:rsid w:val="24800378"/>
    <w:rsid w:val="24CBA416"/>
    <w:rsid w:val="24CFFD90"/>
    <w:rsid w:val="24EA94E4"/>
    <w:rsid w:val="251EB576"/>
    <w:rsid w:val="252E4DD2"/>
    <w:rsid w:val="252F272C"/>
    <w:rsid w:val="253687D2"/>
    <w:rsid w:val="2542D8C3"/>
    <w:rsid w:val="2547851D"/>
    <w:rsid w:val="25644F9D"/>
    <w:rsid w:val="2566AE70"/>
    <w:rsid w:val="2573AA04"/>
    <w:rsid w:val="25771E0B"/>
    <w:rsid w:val="259CFA5B"/>
    <w:rsid w:val="25AE99BA"/>
    <w:rsid w:val="25BDADAA"/>
    <w:rsid w:val="25BDF641"/>
    <w:rsid w:val="25D3CC26"/>
    <w:rsid w:val="25EA616C"/>
    <w:rsid w:val="25FC1F46"/>
    <w:rsid w:val="261C55C4"/>
    <w:rsid w:val="26255D89"/>
    <w:rsid w:val="262BF462"/>
    <w:rsid w:val="264A516E"/>
    <w:rsid w:val="26574103"/>
    <w:rsid w:val="2664789A"/>
    <w:rsid w:val="26798C0C"/>
    <w:rsid w:val="26A2D3D3"/>
    <w:rsid w:val="26BB71EC"/>
    <w:rsid w:val="26CA1D72"/>
    <w:rsid w:val="26D4F281"/>
    <w:rsid w:val="26DB69BA"/>
    <w:rsid w:val="26F46653"/>
    <w:rsid w:val="26FAEFAC"/>
    <w:rsid w:val="27040AF3"/>
    <w:rsid w:val="2706E656"/>
    <w:rsid w:val="2714033E"/>
    <w:rsid w:val="271AE5E2"/>
    <w:rsid w:val="27508E81"/>
    <w:rsid w:val="279243EF"/>
    <w:rsid w:val="27ABB65A"/>
    <w:rsid w:val="27BE08EA"/>
    <w:rsid w:val="27D03AAD"/>
    <w:rsid w:val="27F36F0D"/>
    <w:rsid w:val="2812B83C"/>
    <w:rsid w:val="281F977B"/>
    <w:rsid w:val="281FE959"/>
    <w:rsid w:val="282379EC"/>
    <w:rsid w:val="28255C3A"/>
    <w:rsid w:val="285ABA4C"/>
    <w:rsid w:val="2865EE94"/>
    <w:rsid w:val="287BE664"/>
    <w:rsid w:val="289E4F32"/>
    <w:rsid w:val="289E50EF"/>
    <w:rsid w:val="28AFBF09"/>
    <w:rsid w:val="2944D2AE"/>
    <w:rsid w:val="294C166D"/>
    <w:rsid w:val="2980B834"/>
    <w:rsid w:val="29A5EDCA"/>
    <w:rsid w:val="29B93764"/>
    <w:rsid w:val="29BABA69"/>
    <w:rsid w:val="29C22C2A"/>
    <w:rsid w:val="29CF33A1"/>
    <w:rsid w:val="29DEBF87"/>
    <w:rsid w:val="2A11D0A2"/>
    <w:rsid w:val="2A22224C"/>
    <w:rsid w:val="2A2E016E"/>
    <w:rsid w:val="2A37E0DB"/>
    <w:rsid w:val="2A7B2581"/>
    <w:rsid w:val="2A85F71A"/>
    <w:rsid w:val="2A94278D"/>
    <w:rsid w:val="2A96D70B"/>
    <w:rsid w:val="2AB15D0F"/>
    <w:rsid w:val="2AE03685"/>
    <w:rsid w:val="2B0CCCA3"/>
    <w:rsid w:val="2B73D7ED"/>
    <w:rsid w:val="2B98107D"/>
    <w:rsid w:val="2BA46768"/>
    <w:rsid w:val="2BAE5BDE"/>
    <w:rsid w:val="2BB7BF06"/>
    <w:rsid w:val="2BBDF2AD"/>
    <w:rsid w:val="2BCD0B58"/>
    <w:rsid w:val="2BE769C9"/>
    <w:rsid w:val="2BF557A5"/>
    <w:rsid w:val="2C1F8314"/>
    <w:rsid w:val="2C476151"/>
    <w:rsid w:val="2C525572"/>
    <w:rsid w:val="2C68802A"/>
    <w:rsid w:val="2C746BC0"/>
    <w:rsid w:val="2C777A1A"/>
    <w:rsid w:val="2C8063EC"/>
    <w:rsid w:val="2C835A5C"/>
    <w:rsid w:val="2C8B2926"/>
    <w:rsid w:val="2CAC81B4"/>
    <w:rsid w:val="2CB491E4"/>
    <w:rsid w:val="2CBE9501"/>
    <w:rsid w:val="2CBF3914"/>
    <w:rsid w:val="2CC093C1"/>
    <w:rsid w:val="2CC918B5"/>
    <w:rsid w:val="2CD3DEBE"/>
    <w:rsid w:val="2CE7976F"/>
    <w:rsid w:val="2CF7DE5E"/>
    <w:rsid w:val="2D06368A"/>
    <w:rsid w:val="2D10EAC8"/>
    <w:rsid w:val="2D4534CD"/>
    <w:rsid w:val="2D45EF09"/>
    <w:rsid w:val="2D48257C"/>
    <w:rsid w:val="2D4AE6D4"/>
    <w:rsid w:val="2D7C7275"/>
    <w:rsid w:val="2D828400"/>
    <w:rsid w:val="2D98A059"/>
    <w:rsid w:val="2D9A310F"/>
    <w:rsid w:val="2D9C06ED"/>
    <w:rsid w:val="2DE853C2"/>
    <w:rsid w:val="2DF95198"/>
    <w:rsid w:val="2E0B0DC9"/>
    <w:rsid w:val="2E147998"/>
    <w:rsid w:val="2E2452FA"/>
    <w:rsid w:val="2E37C0AF"/>
    <w:rsid w:val="2E4BB406"/>
    <w:rsid w:val="2E513723"/>
    <w:rsid w:val="2E5EF9B2"/>
    <w:rsid w:val="2EA7D78C"/>
    <w:rsid w:val="2EAFB51B"/>
    <w:rsid w:val="2EC56785"/>
    <w:rsid w:val="2ED1AC10"/>
    <w:rsid w:val="2EDCD650"/>
    <w:rsid w:val="2EFCA56A"/>
    <w:rsid w:val="2F2B0A19"/>
    <w:rsid w:val="2F3AEF05"/>
    <w:rsid w:val="2F45689F"/>
    <w:rsid w:val="2F489AAD"/>
    <w:rsid w:val="2F548988"/>
    <w:rsid w:val="2F5723D6"/>
    <w:rsid w:val="2F817B77"/>
    <w:rsid w:val="2FAE069D"/>
    <w:rsid w:val="2FB7DACF"/>
    <w:rsid w:val="2FC35B5A"/>
    <w:rsid w:val="2FC7401F"/>
    <w:rsid w:val="2FCD1083"/>
    <w:rsid w:val="2FE4FAEC"/>
    <w:rsid w:val="2FE5CC79"/>
    <w:rsid w:val="2FECB3D1"/>
    <w:rsid w:val="300711B1"/>
    <w:rsid w:val="300A0DF0"/>
    <w:rsid w:val="3015AFEC"/>
    <w:rsid w:val="3025FC44"/>
    <w:rsid w:val="30268BBE"/>
    <w:rsid w:val="30616879"/>
    <w:rsid w:val="30659B5C"/>
    <w:rsid w:val="306F1F4F"/>
    <w:rsid w:val="308A4D81"/>
    <w:rsid w:val="308D0D3F"/>
    <w:rsid w:val="30977F5B"/>
    <w:rsid w:val="30A170BC"/>
    <w:rsid w:val="30A3C1EF"/>
    <w:rsid w:val="30CC142E"/>
    <w:rsid w:val="30EB0151"/>
    <w:rsid w:val="3114BD03"/>
    <w:rsid w:val="3129851B"/>
    <w:rsid w:val="313D0BBF"/>
    <w:rsid w:val="31728EE6"/>
    <w:rsid w:val="31CAC531"/>
    <w:rsid w:val="31D10572"/>
    <w:rsid w:val="31FBE27D"/>
    <w:rsid w:val="3203096A"/>
    <w:rsid w:val="3213F215"/>
    <w:rsid w:val="321BAC80"/>
    <w:rsid w:val="3222AC1A"/>
    <w:rsid w:val="322C5964"/>
    <w:rsid w:val="3234DD61"/>
    <w:rsid w:val="3241F383"/>
    <w:rsid w:val="32440EB5"/>
    <w:rsid w:val="325D3712"/>
    <w:rsid w:val="32644EA3"/>
    <w:rsid w:val="328B02A6"/>
    <w:rsid w:val="328C7014"/>
    <w:rsid w:val="32904CCB"/>
    <w:rsid w:val="32C196F6"/>
    <w:rsid w:val="32C3ED09"/>
    <w:rsid w:val="32D5261E"/>
    <w:rsid w:val="32DC603D"/>
    <w:rsid w:val="32E490F6"/>
    <w:rsid w:val="32EBC154"/>
    <w:rsid w:val="330B94E3"/>
    <w:rsid w:val="330D231F"/>
    <w:rsid w:val="332A7DC0"/>
    <w:rsid w:val="3335C40B"/>
    <w:rsid w:val="3339473F"/>
    <w:rsid w:val="3344E5AF"/>
    <w:rsid w:val="33669592"/>
    <w:rsid w:val="337DFA8D"/>
    <w:rsid w:val="337F2CE9"/>
    <w:rsid w:val="33818BA0"/>
    <w:rsid w:val="33B0519A"/>
    <w:rsid w:val="33BA24B8"/>
    <w:rsid w:val="33DDC3E4"/>
    <w:rsid w:val="33E294A9"/>
    <w:rsid w:val="34308A98"/>
    <w:rsid w:val="343CB395"/>
    <w:rsid w:val="34C148CF"/>
    <w:rsid w:val="34C1E164"/>
    <w:rsid w:val="34CBB483"/>
    <w:rsid w:val="34D98B28"/>
    <w:rsid w:val="350F72B3"/>
    <w:rsid w:val="3518E1C0"/>
    <w:rsid w:val="351E2E93"/>
    <w:rsid w:val="357BAF77"/>
    <w:rsid w:val="359EB662"/>
    <w:rsid w:val="359EFD2D"/>
    <w:rsid w:val="35BF5B99"/>
    <w:rsid w:val="35C94DB5"/>
    <w:rsid w:val="35D7C02B"/>
    <w:rsid w:val="360E6774"/>
    <w:rsid w:val="361D153D"/>
    <w:rsid w:val="36230AD8"/>
    <w:rsid w:val="3628494C"/>
    <w:rsid w:val="363BAFD6"/>
    <w:rsid w:val="36550DFD"/>
    <w:rsid w:val="368E28AB"/>
    <w:rsid w:val="369A891E"/>
    <w:rsid w:val="36A73340"/>
    <w:rsid w:val="36ACBC03"/>
    <w:rsid w:val="36ADE0F2"/>
    <w:rsid w:val="36E26D92"/>
    <w:rsid w:val="371319BB"/>
    <w:rsid w:val="37139FA0"/>
    <w:rsid w:val="371680BF"/>
    <w:rsid w:val="37177FD8"/>
    <w:rsid w:val="371DE52C"/>
    <w:rsid w:val="371FE74B"/>
    <w:rsid w:val="372DAFD2"/>
    <w:rsid w:val="374A9591"/>
    <w:rsid w:val="37568AF3"/>
    <w:rsid w:val="375B2BFA"/>
    <w:rsid w:val="37658FFD"/>
    <w:rsid w:val="3776B7BA"/>
    <w:rsid w:val="3790EE41"/>
    <w:rsid w:val="37A796A9"/>
    <w:rsid w:val="37B2A605"/>
    <w:rsid w:val="37BBB5ED"/>
    <w:rsid w:val="37DA6164"/>
    <w:rsid w:val="37DED93E"/>
    <w:rsid w:val="37EB6834"/>
    <w:rsid w:val="37EF3F1B"/>
    <w:rsid w:val="37F14048"/>
    <w:rsid w:val="37F278A6"/>
    <w:rsid w:val="3803EA35"/>
    <w:rsid w:val="381AC71C"/>
    <w:rsid w:val="381BD2C3"/>
    <w:rsid w:val="384FF1AA"/>
    <w:rsid w:val="38604778"/>
    <w:rsid w:val="386A0B3C"/>
    <w:rsid w:val="38837CB2"/>
    <w:rsid w:val="388F5065"/>
    <w:rsid w:val="3890C4BB"/>
    <w:rsid w:val="38AD63FC"/>
    <w:rsid w:val="38AE4804"/>
    <w:rsid w:val="38C95C16"/>
    <w:rsid w:val="38D69DEF"/>
    <w:rsid w:val="38E1091D"/>
    <w:rsid w:val="38E13806"/>
    <w:rsid w:val="38E24371"/>
    <w:rsid w:val="38F0549D"/>
    <w:rsid w:val="38F7D234"/>
    <w:rsid w:val="390F60ED"/>
    <w:rsid w:val="391C0D7F"/>
    <w:rsid w:val="394147D6"/>
    <w:rsid w:val="39993969"/>
    <w:rsid w:val="39A97DA1"/>
    <w:rsid w:val="39C94F58"/>
    <w:rsid w:val="39F3FDD2"/>
    <w:rsid w:val="39F66842"/>
    <w:rsid w:val="3A331843"/>
    <w:rsid w:val="3A74B807"/>
    <w:rsid w:val="3ABFA1A3"/>
    <w:rsid w:val="3B01DE42"/>
    <w:rsid w:val="3B2345AC"/>
    <w:rsid w:val="3B40C85B"/>
    <w:rsid w:val="3B40D5F0"/>
    <w:rsid w:val="3B64265E"/>
    <w:rsid w:val="3B77E7B8"/>
    <w:rsid w:val="3B949882"/>
    <w:rsid w:val="3BAB9EF8"/>
    <w:rsid w:val="3BC7EF4C"/>
    <w:rsid w:val="3BCE1725"/>
    <w:rsid w:val="3BD44F51"/>
    <w:rsid w:val="3C00FCD8"/>
    <w:rsid w:val="3C2EE6CC"/>
    <w:rsid w:val="3C3D75A3"/>
    <w:rsid w:val="3C4242CA"/>
    <w:rsid w:val="3C67EC05"/>
    <w:rsid w:val="3C6ACDCA"/>
    <w:rsid w:val="3C8F1114"/>
    <w:rsid w:val="3C97CF6F"/>
    <w:rsid w:val="3CA35362"/>
    <w:rsid w:val="3CA5A8C0"/>
    <w:rsid w:val="3CE62390"/>
    <w:rsid w:val="3CF57DFD"/>
    <w:rsid w:val="3CF7FF94"/>
    <w:rsid w:val="3D0745F3"/>
    <w:rsid w:val="3D466917"/>
    <w:rsid w:val="3D701FB2"/>
    <w:rsid w:val="3D95F50E"/>
    <w:rsid w:val="3D961E6A"/>
    <w:rsid w:val="3D9A8895"/>
    <w:rsid w:val="3DA23E26"/>
    <w:rsid w:val="3DB7A99F"/>
    <w:rsid w:val="3E03BC66"/>
    <w:rsid w:val="3E20B155"/>
    <w:rsid w:val="3E2246BC"/>
    <w:rsid w:val="3E23A9BD"/>
    <w:rsid w:val="3E339FD0"/>
    <w:rsid w:val="3E4EC055"/>
    <w:rsid w:val="3E53CA62"/>
    <w:rsid w:val="3E57D6AC"/>
    <w:rsid w:val="3E5C53BD"/>
    <w:rsid w:val="3EA6E23D"/>
    <w:rsid w:val="3EAF887A"/>
    <w:rsid w:val="3EB7468B"/>
    <w:rsid w:val="3F01BA3E"/>
    <w:rsid w:val="3F1BD9DE"/>
    <w:rsid w:val="3F2F434D"/>
    <w:rsid w:val="3F476B18"/>
    <w:rsid w:val="3F6F138C"/>
    <w:rsid w:val="3F79B1B6"/>
    <w:rsid w:val="3F8586F3"/>
    <w:rsid w:val="3F98BFBC"/>
    <w:rsid w:val="3FB61DA0"/>
    <w:rsid w:val="3FBB481A"/>
    <w:rsid w:val="3FEF5C08"/>
    <w:rsid w:val="3FF46964"/>
    <w:rsid w:val="3FF8241E"/>
    <w:rsid w:val="40243D12"/>
    <w:rsid w:val="4027326A"/>
    <w:rsid w:val="4055CF33"/>
    <w:rsid w:val="40751D21"/>
    <w:rsid w:val="40D7CB1B"/>
    <w:rsid w:val="40F177D7"/>
    <w:rsid w:val="41072A5B"/>
    <w:rsid w:val="413B939F"/>
    <w:rsid w:val="4157BB68"/>
    <w:rsid w:val="418223CF"/>
    <w:rsid w:val="41AA8F12"/>
    <w:rsid w:val="41B7BEC9"/>
    <w:rsid w:val="41EB2970"/>
    <w:rsid w:val="41EC9459"/>
    <w:rsid w:val="41F65EEB"/>
    <w:rsid w:val="42403669"/>
    <w:rsid w:val="424C9439"/>
    <w:rsid w:val="426CAE25"/>
    <w:rsid w:val="4284079D"/>
    <w:rsid w:val="428BC07A"/>
    <w:rsid w:val="429816EE"/>
    <w:rsid w:val="429C5370"/>
    <w:rsid w:val="42A68E9F"/>
    <w:rsid w:val="42B73821"/>
    <w:rsid w:val="42C4409F"/>
    <w:rsid w:val="42DF8B41"/>
    <w:rsid w:val="42EF57CB"/>
    <w:rsid w:val="42F4B7F7"/>
    <w:rsid w:val="4318D844"/>
    <w:rsid w:val="43488CB3"/>
    <w:rsid w:val="4368678A"/>
    <w:rsid w:val="43C03D7E"/>
    <w:rsid w:val="43D78B3C"/>
    <w:rsid w:val="43F94190"/>
    <w:rsid w:val="44216B95"/>
    <w:rsid w:val="44530882"/>
    <w:rsid w:val="445E35BB"/>
    <w:rsid w:val="44673CDA"/>
    <w:rsid w:val="447B5BA2"/>
    <w:rsid w:val="449A1E78"/>
    <w:rsid w:val="44CC3893"/>
    <w:rsid w:val="44DD80F9"/>
    <w:rsid w:val="44F3C01E"/>
    <w:rsid w:val="45030169"/>
    <w:rsid w:val="45056997"/>
    <w:rsid w:val="450D1389"/>
    <w:rsid w:val="450D33DB"/>
    <w:rsid w:val="4519976F"/>
    <w:rsid w:val="45576426"/>
    <w:rsid w:val="455897CB"/>
    <w:rsid w:val="455FAF0B"/>
    <w:rsid w:val="457496A7"/>
    <w:rsid w:val="457BDB1D"/>
    <w:rsid w:val="45874948"/>
    <w:rsid w:val="45BD28E9"/>
    <w:rsid w:val="45F5A5EE"/>
    <w:rsid w:val="45F616EC"/>
    <w:rsid w:val="46422DF0"/>
    <w:rsid w:val="464BB61E"/>
    <w:rsid w:val="46611B8D"/>
    <w:rsid w:val="466BDD4F"/>
    <w:rsid w:val="466D1C86"/>
    <w:rsid w:val="467183FE"/>
    <w:rsid w:val="4697EED3"/>
    <w:rsid w:val="46A93AC6"/>
    <w:rsid w:val="46CCC5F1"/>
    <w:rsid w:val="46D981C9"/>
    <w:rsid w:val="470345CF"/>
    <w:rsid w:val="470361F6"/>
    <w:rsid w:val="4735C856"/>
    <w:rsid w:val="473D828E"/>
    <w:rsid w:val="4744FAD0"/>
    <w:rsid w:val="475695AD"/>
    <w:rsid w:val="4774A871"/>
    <w:rsid w:val="477A3034"/>
    <w:rsid w:val="47B7945E"/>
    <w:rsid w:val="47BB9F34"/>
    <w:rsid w:val="47CAB48E"/>
    <w:rsid w:val="47DB8C31"/>
    <w:rsid w:val="47DCDAF9"/>
    <w:rsid w:val="47E76824"/>
    <w:rsid w:val="47E94C31"/>
    <w:rsid w:val="47EA588E"/>
    <w:rsid w:val="47FA6DED"/>
    <w:rsid w:val="4806309B"/>
    <w:rsid w:val="48082A4B"/>
    <w:rsid w:val="4815A1B6"/>
    <w:rsid w:val="481FA0F6"/>
    <w:rsid w:val="4822B940"/>
    <w:rsid w:val="485B29A4"/>
    <w:rsid w:val="486853FE"/>
    <w:rsid w:val="486B55B2"/>
    <w:rsid w:val="48887AA9"/>
    <w:rsid w:val="489E37EF"/>
    <w:rsid w:val="48B56452"/>
    <w:rsid w:val="48F66D63"/>
    <w:rsid w:val="48FAC51B"/>
    <w:rsid w:val="4912AFCB"/>
    <w:rsid w:val="491A986C"/>
    <w:rsid w:val="494D77E7"/>
    <w:rsid w:val="494DF625"/>
    <w:rsid w:val="496FEC10"/>
    <w:rsid w:val="49724288"/>
    <w:rsid w:val="49A8079A"/>
    <w:rsid w:val="49BB2959"/>
    <w:rsid w:val="49F9A3D4"/>
    <w:rsid w:val="49FE4ECE"/>
    <w:rsid w:val="4A15365D"/>
    <w:rsid w:val="4A21CB23"/>
    <w:rsid w:val="4A283930"/>
    <w:rsid w:val="4A2B45F3"/>
    <w:rsid w:val="4A319B11"/>
    <w:rsid w:val="4A47949D"/>
    <w:rsid w:val="4A49A11C"/>
    <w:rsid w:val="4A597D56"/>
    <w:rsid w:val="4A67DA4C"/>
    <w:rsid w:val="4A68A31E"/>
    <w:rsid w:val="4A736AE7"/>
    <w:rsid w:val="4A8A0141"/>
    <w:rsid w:val="4AE628A6"/>
    <w:rsid w:val="4B21F950"/>
    <w:rsid w:val="4B2F2001"/>
    <w:rsid w:val="4B531B1A"/>
    <w:rsid w:val="4B5AE3B3"/>
    <w:rsid w:val="4B69428C"/>
    <w:rsid w:val="4B6BFFFB"/>
    <w:rsid w:val="4B9AB424"/>
    <w:rsid w:val="4BB91F71"/>
    <w:rsid w:val="4BC16649"/>
    <w:rsid w:val="4C0F85EA"/>
    <w:rsid w:val="4C2BD1D9"/>
    <w:rsid w:val="4C78E062"/>
    <w:rsid w:val="4C7E2E77"/>
    <w:rsid w:val="4C9AAA10"/>
    <w:rsid w:val="4C9C69E1"/>
    <w:rsid w:val="4CE7D0AE"/>
    <w:rsid w:val="4CF2CA1B"/>
    <w:rsid w:val="4D0771C0"/>
    <w:rsid w:val="4D1274A7"/>
    <w:rsid w:val="4D27172E"/>
    <w:rsid w:val="4D38B68D"/>
    <w:rsid w:val="4D654DD8"/>
    <w:rsid w:val="4D833C88"/>
    <w:rsid w:val="4D91C443"/>
    <w:rsid w:val="4DA8EFB3"/>
    <w:rsid w:val="4DB50DE1"/>
    <w:rsid w:val="4DB5B851"/>
    <w:rsid w:val="4DD73881"/>
    <w:rsid w:val="4DE87EC4"/>
    <w:rsid w:val="4DF15531"/>
    <w:rsid w:val="4DFB9BB8"/>
    <w:rsid w:val="4E047679"/>
    <w:rsid w:val="4E223598"/>
    <w:rsid w:val="4E367A71"/>
    <w:rsid w:val="4E6157C4"/>
    <w:rsid w:val="4E9765B4"/>
    <w:rsid w:val="4EA701A0"/>
    <w:rsid w:val="4EC16ED9"/>
    <w:rsid w:val="4ED4D558"/>
    <w:rsid w:val="4EDCC2B5"/>
    <w:rsid w:val="4EE1ED12"/>
    <w:rsid w:val="4EF00E52"/>
    <w:rsid w:val="4EF09036"/>
    <w:rsid w:val="4F030BDA"/>
    <w:rsid w:val="4F09333A"/>
    <w:rsid w:val="4F1E766C"/>
    <w:rsid w:val="4F2589B9"/>
    <w:rsid w:val="4F2CEE79"/>
    <w:rsid w:val="4F5A9069"/>
    <w:rsid w:val="4F6500F9"/>
    <w:rsid w:val="4F73B8C6"/>
    <w:rsid w:val="4F792F30"/>
    <w:rsid w:val="4F861918"/>
    <w:rsid w:val="4F9FDAEF"/>
    <w:rsid w:val="4FD379C2"/>
    <w:rsid w:val="4FE52A0C"/>
    <w:rsid w:val="500E5F79"/>
    <w:rsid w:val="50268C3D"/>
    <w:rsid w:val="50295BFA"/>
    <w:rsid w:val="502A5D48"/>
    <w:rsid w:val="50753B00"/>
    <w:rsid w:val="50793570"/>
    <w:rsid w:val="5085CB54"/>
    <w:rsid w:val="50ABB8DF"/>
    <w:rsid w:val="50BBA510"/>
    <w:rsid w:val="50CE70B0"/>
    <w:rsid w:val="51121183"/>
    <w:rsid w:val="514B33AA"/>
    <w:rsid w:val="514EDFAA"/>
    <w:rsid w:val="5169F2FA"/>
    <w:rsid w:val="516B8380"/>
    <w:rsid w:val="516F4A23"/>
    <w:rsid w:val="51749586"/>
    <w:rsid w:val="5193F2C3"/>
    <w:rsid w:val="51A97C74"/>
    <w:rsid w:val="51AF35BC"/>
    <w:rsid w:val="51C62DA9"/>
    <w:rsid w:val="51CD83AF"/>
    <w:rsid w:val="51DCB925"/>
    <w:rsid w:val="51E0F52F"/>
    <w:rsid w:val="51FB5E94"/>
    <w:rsid w:val="520C2620"/>
    <w:rsid w:val="5214476D"/>
    <w:rsid w:val="526A54DC"/>
    <w:rsid w:val="526C639C"/>
    <w:rsid w:val="527EA771"/>
    <w:rsid w:val="52B3C12B"/>
    <w:rsid w:val="52C766CE"/>
    <w:rsid w:val="52D9C0A2"/>
    <w:rsid w:val="52E5AC43"/>
    <w:rsid w:val="52E5BF2A"/>
    <w:rsid w:val="52FA2869"/>
    <w:rsid w:val="531AC456"/>
    <w:rsid w:val="531BA42A"/>
    <w:rsid w:val="5349AF2A"/>
    <w:rsid w:val="534B1181"/>
    <w:rsid w:val="5361FE0A"/>
    <w:rsid w:val="536570FF"/>
    <w:rsid w:val="53658595"/>
    <w:rsid w:val="538B15A1"/>
    <w:rsid w:val="53920C69"/>
    <w:rsid w:val="53B1F9F9"/>
    <w:rsid w:val="53B2F1A0"/>
    <w:rsid w:val="53C029F0"/>
    <w:rsid w:val="53C0505D"/>
    <w:rsid w:val="53FB7BBD"/>
    <w:rsid w:val="540A1F85"/>
    <w:rsid w:val="54182174"/>
    <w:rsid w:val="542E1AC5"/>
    <w:rsid w:val="544FFFEE"/>
    <w:rsid w:val="54544F5F"/>
    <w:rsid w:val="547EB00B"/>
    <w:rsid w:val="5482555C"/>
    <w:rsid w:val="5485B444"/>
    <w:rsid w:val="548CB2F0"/>
    <w:rsid w:val="549E8B0A"/>
    <w:rsid w:val="54B84A45"/>
    <w:rsid w:val="54CE61F6"/>
    <w:rsid w:val="54FA4B10"/>
    <w:rsid w:val="550172CC"/>
    <w:rsid w:val="550C58AD"/>
    <w:rsid w:val="551A8D49"/>
    <w:rsid w:val="551D1B06"/>
    <w:rsid w:val="55247862"/>
    <w:rsid w:val="55289428"/>
    <w:rsid w:val="5561C4FF"/>
    <w:rsid w:val="559C2FFD"/>
    <w:rsid w:val="56193AF1"/>
    <w:rsid w:val="56229369"/>
    <w:rsid w:val="563E4961"/>
    <w:rsid w:val="564F8458"/>
    <w:rsid w:val="5661BB8D"/>
    <w:rsid w:val="566CBA0C"/>
    <w:rsid w:val="567D896C"/>
    <w:rsid w:val="56833B37"/>
    <w:rsid w:val="56D2DD36"/>
    <w:rsid w:val="56D3CB71"/>
    <w:rsid w:val="570EEB03"/>
    <w:rsid w:val="5711D5DE"/>
    <w:rsid w:val="57351348"/>
    <w:rsid w:val="573ED9A7"/>
    <w:rsid w:val="5746CBDD"/>
    <w:rsid w:val="5751E10A"/>
    <w:rsid w:val="577CFB95"/>
    <w:rsid w:val="5792766A"/>
    <w:rsid w:val="5799F9FB"/>
    <w:rsid w:val="57B43520"/>
    <w:rsid w:val="57D5662D"/>
    <w:rsid w:val="57DF7951"/>
    <w:rsid w:val="57E46391"/>
    <w:rsid w:val="57EF11AD"/>
    <w:rsid w:val="580465EC"/>
    <w:rsid w:val="58129AF4"/>
    <w:rsid w:val="5833638F"/>
    <w:rsid w:val="585FA470"/>
    <w:rsid w:val="586D8687"/>
    <w:rsid w:val="587B67A4"/>
    <w:rsid w:val="58A3D7C9"/>
    <w:rsid w:val="58A56C10"/>
    <w:rsid w:val="58CD453A"/>
    <w:rsid w:val="58D01758"/>
    <w:rsid w:val="58D0A9D4"/>
    <w:rsid w:val="58FA6EA3"/>
    <w:rsid w:val="5951AB35"/>
    <w:rsid w:val="59536750"/>
    <w:rsid w:val="5985DC4B"/>
    <w:rsid w:val="59A0364D"/>
    <w:rsid w:val="5A0F948F"/>
    <w:rsid w:val="5A1724A5"/>
    <w:rsid w:val="5A321152"/>
    <w:rsid w:val="5A452A1F"/>
    <w:rsid w:val="5A46706A"/>
    <w:rsid w:val="5A48A641"/>
    <w:rsid w:val="5A619CDB"/>
    <w:rsid w:val="5A65FBEF"/>
    <w:rsid w:val="5A7294CA"/>
    <w:rsid w:val="5A86780F"/>
    <w:rsid w:val="5A9AACE2"/>
    <w:rsid w:val="5A9E84ED"/>
    <w:rsid w:val="5AA8ED21"/>
    <w:rsid w:val="5AC45EAF"/>
    <w:rsid w:val="5ACDDB4E"/>
    <w:rsid w:val="5AD65165"/>
    <w:rsid w:val="5ADEF9C4"/>
    <w:rsid w:val="5AE029DA"/>
    <w:rsid w:val="5AFD64C4"/>
    <w:rsid w:val="5B4A3BB6"/>
    <w:rsid w:val="5B5A38B3"/>
    <w:rsid w:val="5B9EA1A8"/>
    <w:rsid w:val="5BB9D571"/>
    <w:rsid w:val="5BBD54EE"/>
    <w:rsid w:val="5BC406B9"/>
    <w:rsid w:val="5BD5657A"/>
    <w:rsid w:val="5BF59DBB"/>
    <w:rsid w:val="5C009D33"/>
    <w:rsid w:val="5C0E652B"/>
    <w:rsid w:val="5C2E8FBD"/>
    <w:rsid w:val="5C3A0384"/>
    <w:rsid w:val="5C5D82C6"/>
    <w:rsid w:val="5C706B0E"/>
    <w:rsid w:val="5C777E9B"/>
    <w:rsid w:val="5C8A4BD9"/>
    <w:rsid w:val="5CA3037A"/>
    <w:rsid w:val="5CB9E367"/>
    <w:rsid w:val="5CDB317B"/>
    <w:rsid w:val="5CDC7433"/>
    <w:rsid w:val="5CE901B2"/>
    <w:rsid w:val="5CEBE6E8"/>
    <w:rsid w:val="5D180FA8"/>
    <w:rsid w:val="5D3E1589"/>
    <w:rsid w:val="5D55A5D2"/>
    <w:rsid w:val="5D95E3CA"/>
    <w:rsid w:val="5D96070B"/>
    <w:rsid w:val="5DAA358C"/>
    <w:rsid w:val="5DAB97A7"/>
    <w:rsid w:val="5DCA685D"/>
    <w:rsid w:val="5DCD907E"/>
    <w:rsid w:val="5DF5C57C"/>
    <w:rsid w:val="5E31D42E"/>
    <w:rsid w:val="5E385534"/>
    <w:rsid w:val="5E4C566E"/>
    <w:rsid w:val="5E511A50"/>
    <w:rsid w:val="5E548BC1"/>
    <w:rsid w:val="5E73A770"/>
    <w:rsid w:val="5E75D802"/>
    <w:rsid w:val="5E78AD6C"/>
    <w:rsid w:val="5E9375DA"/>
    <w:rsid w:val="5EB26063"/>
    <w:rsid w:val="5ECE43F4"/>
    <w:rsid w:val="5EE046EF"/>
    <w:rsid w:val="5EED84EB"/>
    <w:rsid w:val="5EFBA77B"/>
    <w:rsid w:val="5F13194D"/>
    <w:rsid w:val="5F240EEE"/>
    <w:rsid w:val="5F2ACDDB"/>
    <w:rsid w:val="5F431243"/>
    <w:rsid w:val="5F61A62A"/>
    <w:rsid w:val="5F66BCCE"/>
    <w:rsid w:val="5F70A780"/>
    <w:rsid w:val="5F75CBD5"/>
    <w:rsid w:val="5F791BD6"/>
    <w:rsid w:val="5F7F4B47"/>
    <w:rsid w:val="5F871E28"/>
    <w:rsid w:val="5F96BF2E"/>
    <w:rsid w:val="5FE9B969"/>
    <w:rsid w:val="5FEF04CC"/>
    <w:rsid w:val="5FF0FE48"/>
    <w:rsid w:val="5FF404DF"/>
    <w:rsid w:val="600E3629"/>
    <w:rsid w:val="601F3C77"/>
    <w:rsid w:val="602ACBAA"/>
    <w:rsid w:val="603373BF"/>
    <w:rsid w:val="603D02A0"/>
    <w:rsid w:val="605F2BB5"/>
    <w:rsid w:val="605F87CE"/>
    <w:rsid w:val="606448EC"/>
    <w:rsid w:val="607C1750"/>
    <w:rsid w:val="6081BB1D"/>
    <w:rsid w:val="608A388E"/>
    <w:rsid w:val="6090994F"/>
    <w:rsid w:val="60D59782"/>
    <w:rsid w:val="6104BD2C"/>
    <w:rsid w:val="6109EE66"/>
    <w:rsid w:val="611A1A5A"/>
    <w:rsid w:val="611B293D"/>
    <w:rsid w:val="6129034D"/>
    <w:rsid w:val="6133DE06"/>
    <w:rsid w:val="61536C2B"/>
    <w:rsid w:val="615CD6C4"/>
    <w:rsid w:val="617EFE1B"/>
    <w:rsid w:val="618AD52D"/>
    <w:rsid w:val="6195A66E"/>
    <w:rsid w:val="61981F88"/>
    <w:rsid w:val="61A58432"/>
    <w:rsid w:val="61A94CDD"/>
    <w:rsid w:val="61B5F48F"/>
    <w:rsid w:val="61CD31CE"/>
    <w:rsid w:val="61DCF346"/>
    <w:rsid w:val="62003AD4"/>
    <w:rsid w:val="62134256"/>
    <w:rsid w:val="621A4B12"/>
    <w:rsid w:val="622249EA"/>
    <w:rsid w:val="6269FFD9"/>
    <w:rsid w:val="629AD6A9"/>
    <w:rsid w:val="629DD141"/>
    <w:rsid w:val="62C08A49"/>
    <w:rsid w:val="62D01B53"/>
    <w:rsid w:val="63145F8B"/>
    <w:rsid w:val="6316C7F2"/>
    <w:rsid w:val="63294D89"/>
    <w:rsid w:val="6336591D"/>
    <w:rsid w:val="63452665"/>
    <w:rsid w:val="63500743"/>
    <w:rsid w:val="63807E24"/>
    <w:rsid w:val="63919434"/>
    <w:rsid w:val="639682B1"/>
    <w:rsid w:val="63C7140F"/>
    <w:rsid w:val="63E82466"/>
    <w:rsid w:val="63FA1DE2"/>
    <w:rsid w:val="63FECBA8"/>
    <w:rsid w:val="6409ABA3"/>
    <w:rsid w:val="640F4CE2"/>
    <w:rsid w:val="642B8E16"/>
    <w:rsid w:val="6436A70A"/>
    <w:rsid w:val="645F27FD"/>
    <w:rsid w:val="6468E71C"/>
    <w:rsid w:val="646A3051"/>
    <w:rsid w:val="64B698A9"/>
    <w:rsid w:val="64C2E699"/>
    <w:rsid w:val="64C54DBC"/>
    <w:rsid w:val="64E98F01"/>
    <w:rsid w:val="64F9BC4A"/>
    <w:rsid w:val="6508D6AE"/>
    <w:rsid w:val="651EA85E"/>
    <w:rsid w:val="6524B888"/>
    <w:rsid w:val="65265288"/>
    <w:rsid w:val="6539490F"/>
    <w:rsid w:val="6547B904"/>
    <w:rsid w:val="6548A840"/>
    <w:rsid w:val="654DAA15"/>
    <w:rsid w:val="655D46F0"/>
    <w:rsid w:val="6560571D"/>
    <w:rsid w:val="65840DE2"/>
    <w:rsid w:val="65848ACC"/>
    <w:rsid w:val="65A0C55C"/>
    <w:rsid w:val="65A661F8"/>
    <w:rsid w:val="65B253C7"/>
    <w:rsid w:val="65C3D45F"/>
    <w:rsid w:val="65D0CC68"/>
    <w:rsid w:val="65E53800"/>
    <w:rsid w:val="65EE64ED"/>
    <w:rsid w:val="6613C87D"/>
    <w:rsid w:val="663221F5"/>
    <w:rsid w:val="6635C883"/>
    <w:rsid w:val="665EB6FA"/>
    <w:rsid w:val="6672E336"/>
    <w:rsid w:val="668A97F6"/>
    <w:rsid w:val="668AE252"/>
    <w:rsid w:val="66A0A2F1"/>
    <w:rsid w:val="66A90A64"/>
    <w:rsid w:val="66FC8818"/>
    <w:rsid w:val="670287F8"/>
    <w:rsid w:val="671223D4"/>
    <w:rsid w:val="671AB33B"/>
    <w:rsid w:val="671B8B9F"/>
    <w:rsid w:val="673379A6"/>
    <w:rsid w:val="673EA15B"/>
    <w:rsid w:val="675EBB2A"/>
    <w:rsid w:val="675FD197"/>
    <w:rsid w:val="676D6D3C"/>
    <w:rsid w:val="678A5D2C"/>
    <w:rsid w:val="6799FBB9"/>
    <w:rsid w:val="679AB78B"/>
    <w:rsid w:val="67CF2EDF"/>
    <w:rsid w:val="67D7D70C"/>
    <w:rsid w:val="67EACA3A"/>
    <w:rsid w:val="67EE53C0"/>
    <w:rsid w:val="67F0FB9E"/>
    <w:rsid w:val="67F32E55"/>
    <w:rsid w:val="67F89C6C"/>
    <w:rsid w:val="67FD214F"/>
    <w:rsid w:val="6801E85A"/>
    <w:rsid w:val="680F82EC"/>
    <w:rsid w:val="68176103"/>
    <w:rsid w:val="684513B8"/>
    <w:rsid w:val="686D3A12"/>
    <w:rsid w:val="68A0D336"/>
    <w:rsid w:val="68A13CB7"/>
    <w:rsid w:val="68AB1A87"/>
    <w:rsid w:val="68C7151F"/>
    <w:rsid w:val="68CBE555"/>
    <w:rsid w:val="6978C9AD"/>
    <w:rsid w:val="6993E16C"/>
    <w:rsid w:val="69A20D28"/>
    <w:rsid w:val="69A840D2"/>
    <w:rsid w:val="69AFA4AF"/>
    <w:rsid w:val="69C238B8"/>
    <w:rsid w:val="69CE4F08"/>
    <w:rsid w:val="6A0FFAF8"/>
    <w:rsid w:val="6A11EF81"/>
    <w:rsid w:val="6A37E780"/>
    <w:rsid w:val="6A39A552"/>
    <w:rsid w:val="6A51EF22"/>
    <w:rsid w:val="6A6C727D"/>
    <w:rsid w:val="6AA0D486"/>
    <w:rsid w:val="6AB52DD5"/>
    <w:rsid w:val="6ABA8AE3"/>
    <w:rsid w:val="6ADC204C"/>
    <w:rsid w:val="6ADF2878"/>
    <w:rsid w:val="6AEF6771"/>
    <w:rsid w:val="6AF4DFE0"/>
    <w:rsid w:val="6AF7FBE3"/>
    <w:rsid w:val="6AFDD30B"/>
    <w:rsid w:val="6B03E9E4"/>
    <w:rsid w:val="6B15A68E"/>
    <w:rsid w:val="6B1D5CB5"/>
    <w:rsid w:val="6B1EFAEB"/>
    <w:rsid w:val="6B25F482"/>
    <w:rsid w:val="6B433C4A"/>
    <w:rsid w:val="6B5EE323"/>
    <w:rsid w:val="6B6578F2"/>
    <w:rsid w:val="6B7AD1AF"/>
    <w:rsid w:val="6B7EC191"/>
    <w:rsid w:val="6BA4DAD4"/>
    <w:rsid w:val="6BAAEC62"/>
    <w:rsid w:val="6BC3BEB3"/>
    <w:rsid w:val="6BCFF93B"/>
    <w:rsid w:val="6BD119B6"/>
    <w:rsid w:val="6BE76DF8"/>
    <w:rsid w:val="6BF9B389"/>
    <w:rsid w:val="6C2D8636"/>
    <w:rsid w:val="6C2F1C90"/>
    <w:rsid w:val="6C3AFF45"/>
    <w:rsid w:val="6C42CDB8"/>
    <w:rsid w:val="6C4F14CC"/>
    <w:rsid w:val="6C673F04"/>
    <w:rsid w:val="6C75BF69"/>
    <w:rsid w:val="6C8163F7"/>
    <w:rsid w:val="6C864150"/>
    <w:rsid w:val="6CA22F2A"/>
    <w:rsid w:val="6CA4F40D"/>
    <w:rsid w:val="6CA89C7E"/>
    <w:rsid w:val="6CB03D95"/>
    <w:rsid w:val="6CD21F99"/>
    <w:rsid w:val="6CFCF515"/>
    <w:rsid w:val="6D1A91F2"/>
    <w:rsid w:val="6D528821"/>
    <w:rsid w:val="6D8C0DF2"/>
    <w:rsid w:val="6D9B7CC4"/>
    <w:rsid w:val="6DABDBEC"/>
    <w:rsid w:val="6DE9A6D6"/>
    <w:rsid w:val="6DF45A0F"/>
    <w:rsid w:val="6DF52A6D"/>
    <w:rsid w:val="6E20F4F0"/>
    <w:rsid w:val="6E2989BD"/>
    <w:rsid w:val="6E2C80A2"/>
    <w:rsid w:val="6E394C7C"/>
    <w:rsid w:val="6E518826"/>
    <w:rsid w:val="6E579202"/>
    <w:rsid w:val="6E5D7A33"/>
    <w:rsid w:val="6E6477E0"/>
    <w:rsid w:val="6E7129DE"/>
    <w:rsid w:val="6E9FEDC8"/>
    <w:rsid w:val="6EB5D671"/>
    <w:rsid w:val="6EB6A468"/>
    <w:rsid w:val="6EB6B697"/>
    <w:rsid w:val="6EC0B663"/>
    <w:rsid w:val="6ECFEF08"/>
    <w:rsid w:val="6ED14C43"/>
    <w:rsid w:val="6ED78D43"/>
    <w:rsid w:val="6EE7A094"/>
    <w:rsid w:val="6EEE86AB"/>
    <w:rsid w:val="6EF72131"/>
    <w:rsid w:val="6F063B53"/>
    <w:rsid w:val="6F0D7527"/>
    <w:rsid w:val="6F0F8783"/>
    <w:rsid w:val="6F1DCFBC"/>
    <w:rsid w:val="6F39AFCA"/>
    <w:rsid w:val="6F548F07"/>
    <w:rsid w:val="6F5FF2F5"/>
    <w:rsid w:val="6F728514"/>
    <w:rsid w:val="6F7C5449"/>
    <w:rsid w:val="6F98F69C"/>
    <w:rsid w:val="6FD65B20"/>
    <w:rsid w:val="6FD897CB"/>
    <w:rsid w:val="6FE7DE57"/>
    <w:rsid w:val="6FE8CF3C"/>
    <w:rsid w:val="6FEC3EB6"/>
    <w:rsid w:val="6FFCCED1"/>
    <w:rsid w:val="70098F1C"/>
    <w:rsid w:val="7033D0A3"/>
    <w:rsid w:val="703D908C"/>
    <w:rsid w:val="703DF156"/>
    <w:rsid w:val="703E31D9"/>
    <w:rsid w:val="704EE028"/>
    <w:rsid w:val="70533145"/>
    <w:rsid w:val="705CAEFB"/>
    <w:rsid w:val="70707F87"/>
    <w:rsid w:val="708370F5"/>
    <w:rsid w:val="708B627C"/>
    <w:rsid w:val="708DE9FE"/>
    <w:rsid w:val="70A6007B"/>
    <w:rsid w:val="70A61EAA"/>
    <w:rsid w:val="70CE8F45"/>
    <w:rsid w:val="70EFF7B2"/>
    <w:rsid w:val="70FDE3CD"/>
    <w:rsid w:val="7107BB60"/>
    <w:rsid w:val="713358BB"/>
    <w:rsid w:val="71685AD6"/>
    <w:rsid w:val="71947F0E"/>
    <w:rsid w:val="71972D51"/>
    <w:rsid w:val="7198168D"/>
    <w:rsid w:val="71BABCDB"/>
    <w:rsid w:val="71BC3F3B"/>
    <w:rsid w:val="71C189BC"/>
    <w:rsid w:val="71CC28A6"/>
    <w:rsid w:val="71DECCA9"/>
    <w:rsid w:val="71E23140"/>
    <w:rsid w:val="7229651D"/>
    <w:rsid w:val="72336854"/>
    <w:rsid w:val="726FB98A"/>
    <w:rsid w:val="727BC350"/>
    <w:rsid w:val="72832E4B"/>
    <w:rsid w:val="7284E500"/>
    <w:rsid w:val="728AAFB1"/>
    <w:rsid w:val="72935F7C"/>
    <w:rsid w:val="72A03CE8"/>
    <w:rsid w:val="72B01FE3"/>
    <w:rsid w:val="72BBE291"/>
    <w:rsid w:val="72D8F493"/>
    <w:rsid w:val="734C0186"/>
    <w:rsid w:val="73562495"/>
    <w:rsid w:val="73A3B4BE"/>
    <w:rsid w:val="73BD1D95"/>
    <w:rsid w:val="73C065CC"/>
    <w:rsid w:val="740C9393"/>
    <w:rsid w:val="743F5375"/>
    <w:rsid w:val="743F96EA"/>
    <w:rsid w:val="74490E49"/>
    <w:rsid w:val="74DCBFBE"/>
    <w:rsid w:val="74E57BF0"/>
    <w:rsid w:val="74E70899"/>
    <w:rsid w:val="74E7A3E4"/>
    <w:rsid w:val="74F0D65D"/>
    <w:rsid w:val="74FD919B"/>
    <w:rsid w:val="75165ABE"/>
    <w:rsid w:val="75206A23"/>
    <w:rsid w:val="752D1C4E"/>
    <w:rsid w:val="75406875"/>
    <w:rsid w:val="75437ACA"/>
    <w:rsid w:val="754C1871"/>
    <w:rsid w:val="756883F4"/>
    <w:rsid w:val="7568FEC8"/>
    <w:rsid w:val="7577FBFC"/>
    <w:rsid w:val="757B3A4B"/>
    <w:rsid w:val="7591448F"/>
    <w:rsid w:val="759657D7"/>
    <w:rsid w:val="75B48BA5"/>
    <w:rsid w:val="75EB0935"/>
    <w:rsid w:val="7603E294"/>
    <w:rsid w:val="760C8377"/>
    <w:rsid w:val="762A1EAF"/>
    <w:rsid w:val="765A90C2"/>
    <w:rsid w:val="765BA75F"/>
    <w:rsid w:val="7696A680"/>
    <w:rsid w:val="76C335CB"/>
    <w:rsid w:val="76DC38D6"/>
    <w:rsid w:val="77272815"/>
    <w:rsid w:val="773C1F7D"/>
    <w:rsid w:val="77401D4E"/>
    <w:rsid w:val="777908FD"/>
    <w:rsid w:val="777A6236"/>
    <w:rsid w:val="778BD82B"/>
    <w:rsid w:val="778F9BB2"/>
    <w:rsid w:val="77ABDC59"/>
    <w:rsid w:val="77BFE263"/>
    <w:rsid w:val="781AFFCE"/>
    <w:rsid w:val="785B5C91"/>
    <w:rsid w:val="785F062C"/>
    <w:rsid w:val="78653124"/>
    <w:rsid w:val="78934D71"/>
    <w:rsid w:val="789FF634"/>
    <w:rsid w:val="78BAEDE0"/>
    <w:rsid w:val="78F3E6BD"/>
    <w:rsid w:val="79240EBD"/>
    <w:rsid w:val="792B2415"/>
    <w:rsid w:val="792E2A93"/>
    <w:rsid w:val="793BBD6A"/>
    <w:rsid w:val="79470780"/>
    <w:rsid w:val="7951D4E8"/>
    <w:rsid w:val="799D94F2"/>
    <w:rsid w:val="79A6A065"/>
    <w:rsid w:val="79C49715"/>
    <w:rsid w:val="79DAB2E9"/>
    <w:rsid w:val="79DAC15E"/>
    <w:rsid w:val="79DF3A2A"/>
    <w:rsid w:val="79E5F627"/>
    <w:rsid w:val="79EDE5CC"/>
    <w:rsid w:val="79EE2F95"/>
    <w:rsid w:val="7A02FC24"/>
    <w:rsid w:val="7A057608"/>
    <w:rsid w:val="7A137EE9"/>
    <w:rsid w:val="7A5A97E2"/>
    <w:rsid w:val="7A69037F"/>
    <w:rsid w:val="7A9591D1"/>
    <w:rsid w:val="7A9A5B44"/>
    <w:rsid w:val="7AB54D7F"/>
    <w:rsid w:val="7ABE0C6E"/>
    <w:rsid w:val="7AC998A9"/>
    <w:rsid w:val="7AC9B0C2"/>
    <w:rsid w:val="7AD1E21E"/>
    <w:rsid w:val="7AD84007"/>
    <w:rsid w:val="7AEC9869"/>
    <w:rsid w:val="7AF6BAF7"/>
    <w:rsid w:val="7AFA8F99"/>
    <w:rsid w:val="7B12F130"/>
    <w:rsid w:val="7B154029"/>
    <w:rsid w:val="7B21D934"/>
    <w:rsid w:val="7B3CE295"/>
    <w:rsid w:val="7B6D3828"/>
    <w:rsid w:val="7B7E70D0"/>
    <w:rsid w:val="7B83B9D8"/>
    <w:rsid w:val="7BA18F0C"/>
    <w:rsid w:val="7BAEEB43"/>
    <w:rsid w:val="7BBAB769"/>
    <w:rsid w:val="7BD4F63E"/>
    <w:rsid w:val="7BE3E9D8"/>
    <w:rsid w:val="7BEC7B35"/>
    <w:rsid w:val="7BEFB660"/>
    <w:rsid w:val="7BF2579F"/>
    <w:rsid w:val="7C5E46AF"/>
    <w:rsid w:val="7C69683B"/>
    <w:rsid w:val="7C7EA842"/>
    <w:rsid w:val="7C80368A"/>
    <w:rsid w:val="7C8868CA"/>
    <w:rsid w:val="7C8A9564"/>
    <w:rsid w:val="7CC6B77B"/>
    <w:rsid w:val="7CDB5248"/>
    <w:rsid w:val="7CEC8690"/>
    <w:rsid w:val="7CFFC409"/>
    <w:rsid w:val="7D090889"/>
    <w:rsid w:val="7D1253AB"/>
    <w:rsid w:val="7D1F5B88"/>
    <w:rsid w:val="7D4AC51C"/>
    <w:rsid w:val="7D612188"/>
    <w:rsid w:val="7D6CF8BA"/>
    <w:rsid w:val="7D8A019A"/>
    <w:rsid w:val="7D988541"/>
    <w:rsid w:val="7DA7C7DA"/>
    <w:rsid w:val="7DB3001F"/>
    <w:rsid w:val="7DCAE86C"/>
    <w:rsid w:val="7DEB6B26"/>
    <w:rsid w:val="7DFE9538"/>
    <w:rsid w:val="7E0702B7"/>
    <w:rsid w:val="7E0E8B37"/>
    <w:rsid w:val="7E142CA5"/>
    <w:rsid w:val="7E1509FC"/>
    <w:rsid w:val="7E1E3F04"/>
    <w:rsid w:val="7E1ED3AE"/>
    <w:rsid w:val="7E46B66C"/>
    <w:rsid w:val="7E97FA88"/>
    <w:rsid w:val="7E9A12A5"/>
    <w:rsid w:val="7EA1E5DB"/>
    <w:rsid w:val="7ED92FCE"/>
    <w:rsid w:val="7EEC7842"/>
    <w:rsid w:val="7EFE45F3"/>
    <w:rsid w:val="7F01D0F7"/>
    <w:rsid w:val="7F4565A9"/>
    <w:rsid w:val="7F51702A"/>
    <w:rsid w:val="7F582AF6"/>
    <w:rsid w:val="7F6C0D9A"/>
    <w:rsid w:val="7F6D45C4"/>
    <w:rsid w:val="7F9A6599"/>
    <w:rsid w:val="7FB64904"/>
    <w:rsid w:val="7FB656C6"/>
    <w:rsid w:val="7FBE7861"/>
    <w:rsid w:val="7FCCF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7F322B"/>
  <w15:docId w15:val="{B664CBE8-9983-40D6-9AA9-346D2BE3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DC1"/>
    <w:pPr>
      <w:suppressAutoHyphens/>
      <w:spacing w:before="24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23F10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2C69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E56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0B8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62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23F10"/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292C69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character" w:styleId="Znakapoznpodarou">
    <w:name w:val="footnote reference"/>
    <w:aliases w:val="12 b.,PGI Fußnote Ziffer,PGI Fußnote Ziffer + Times New Roman,Zúžené o ...,number,Char1,EN Footnote Reference,Exposant 3 Point,Footnote number,Footnote reference number,Footnote symbol,Nota,Ref,SUPERS,Times 10 Point,note TESI"/>
    <w:uiPriority w:val="99"/>
    <w:rsid w:val="00FE5796"/>
    <w:rPr>
      <w:vertAlign w:val="superscript"/>
    </w:rPr>
  </w:style>
  <w:style w:type="paragraph" w:styleId="Zkladntext">
    <w:name w:val="Body Text"/>
    <w:basedOn w:val="Normln"/>
    <w:link w:val="ZkladntextChar"/>
    <w:semiHidden/>
    <w:rsid w:val="00FE5796"/>
    <w:pPr>
      <w:spacing w:line="360" w:lineRule="auto"/>
    </w:pPr>
  </w:style>
  <w:style w:type="character" w:customStyle="1" w:styleId="ZkladntextChar">
    <w:name w:val="Základní text Char"/>
    <w:basedOn w:val="Standardnpsmoodstavce"/>
    <w:link w:val="Zkladntext"/>
    <w:semiHidden/>
    <w:rsid w:val="00FE5796"/>
    <w:rPr>
      <w:rFonts w:ascii="Arial" w:eastAsia="Times New Roman" w:hAnsi="Arial" w:cs="Calibri"/>
      <w:szCs w:val="24"/>
      <w:lang w:eastAsia="ar-SA"/>
    </w:rPr>
  </w:style>
  <w:style w:type="paragraph" w:styleId="Textpoznpodarou">
    <w:name w:val="footnote text"/>
    <w:aliases w:val="fn,Footnote,Podrozdzia3,Podrozdział,Schriftart: 10 pt,Schriftart: 8 pt,Schriftart: 9 pt,pozn. pod čarou, Char Char,Boston 10,Char Char Char1,Font: Geneva 9,Fußnotentextf,Geneva 9,Text pozn. pod čarou1,Text poznámky pod čiarou 007,f"/>
    <w:basedOn w:val="Normln"/>
    <w:link w:val="TextpoznpodarouChar"/>
    <w:uiPriority w:val="99"/>
    <w:qFormat/>
    <w:rsid w:val="00FE5796"/>
    <w:rPr>
      <w:sz w:val="20"/>
      <w:szCs w:val="20"/>
    </w:rPr>
  </w:style>
  <w:style w:type="character" w:customStyle="1" w:styleId="TextpoznpodarouChar">
    <w:name w:val="Text pozn. pod čarou Char"/>
    <w:aliases w:val="fn Char,Footnote Char,Podrozdzia3 Char,Podrozdział Char,Schriftart: 10 pt Char,Schriftart: 8 pt Char,Schriftart: 9 pt Char,pozn. pod čarou Char, Char Char Char,Boston 10 Char,Char Char Char1 Char,Font: Geneva 9 Char,f Char"/>
    <w:basedOn w:val="Standardnpsmoodstavce"/>
    <w:link w:val="Textpoznpodarou"/>
    <w:uiPriority w:val="99"/>
    <w:rsid w:val="00FE5796"/>
    <w:rPr>
      <w:rFonts w:ascii="Arial" w:eastAsia="Times New Roman" w:hAnsi="Arial" w:cs="Calibri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E57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796"/>
    <w:rPr>
      <w:rFonts w:ascii="Arial" w:eastAsia="Times New Roman" w:hAnsi="Arial" w:cs="Calibri"/>
      <w:szCs w:val="24"/>
      <w:lang w:eastAsia="ar-SA"/>
    </w:rPr>
  </w:style>
  <w:style w:type="paragraph" w:styleId="Odstavecseseznamem">
    <w:name w:val="List Paragraph"/>
    <w:aliases w:val="List Paragraph (Czech Tourism),List Paragraph1,List Paragraph_0,List Paragraph_0_0,Nad,Nad1,Nad2,Nadpis pro KZ,Odstavec cíl se seznamem,Odstavec se seznamem5,Odstavec_muj,Odstavec_muj1,Odstavec_muj2,Odstavec_muj3,můj Nadpis 2"/>
    <w:basedOn w:val="Normln"/>
    <w:link w:val="OdstavecseseznamemChar"/>
    <w:uiPriority w:val="34"/>
    <w:qFormat/>
    <w:rsid w:val="00FE5796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D62B3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4641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6419"/>
    <w:rPr>
      <w:rFonts w:ascii="Arial" w:eastAsia="Times New Roman" w:hAnsi="Arial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D46419"/>
    <w:rPr>
      <w:vertAlign w:val="superscript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B7B55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B7B55"/>
    <w:rPr>
      <w:rFonts w:ascii="Arial" w:eastAsia="Times New Roman" w:hAnsi="Arial" w:cs="Calibri"/>
      <w:sz w:val="16"/>
      <w:szCs w:val="1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9E56C9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33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F9B"/>
    <w:rPr>
      <w:rFonts w:ascii="Arial" w:eastAsia="Times New Roman" w:hAnsi="Arial" w:cs="Calibri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A0B8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  <w:style w:type="paragraph" w:styleId="Bezmezer">
    <w:name w:val="No Spacing"/>
    <w:link w:val="BezmezerChar"/>
    <w:uiPriority w:val="1"/>
    <w:qFormat/>
    <w:rsid w:val="00DA0B8F"/>
    <w:pPr>
      <w:spacing w:before="0" w:line="240" w:lineRule="auto"/>
      <w:jc w:val="left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DA0B8F"/>
    <w:rPr>
      <w:rFonts w:ascii="Arial" w:eastAsia="Calibri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B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B8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OdstavecseseznamemChar">
    <w:name w:val="Odstavec se seznamem Char"/>
    <w:aliases w:val="List Paragraph (Czech Tourism) Char,List Paragraph1 Char,List Paragraph_0 Char,List Paragraph_0_0 Char,Nad Char,Nad1 Char,Nad2 Char,Nadpis pro KZ Char,Odstavec cíl se seznamem Char,Odstavec se seznamem5 Char,Odstavec_muj Char"/>
    <w:link w:val="Odstavecseseznamem"/>
    <w:uiPriority w:val="34"/>
    <w:qFormat/>
    <w:locked/>
    <w:rsid w:val="00BA701B"/>
    <w:rPr>
      <w:rFonts w:ascii="Arial" w:eastAsia="Times New Roman" w:hAnsi="Arial" w:cs="Calibri"/>
      <w:szCs w:val="24"/>
      <w:lang w:eastAsia="ar-SA"/>
    </w:rPr>
  </w:style>
  <w:style w:type="character" w:styleId="Hypertextovodkaz">
    <w:name w:val="Hyperlink"/>
    <w:uiPriority w:val="99"/>
    <w:rsid w:val="00227EE3"/>
    <w:rPr>
      <w:color w:val="0000FF"/>
      <w:u w:val="single"/>
    </w:rPr>
  </w:style>
  <w:style w:type="numbering" w:customStyle="1" w:styleId="Styl5">
    <w:name w:val="Styl5"/>
    <w:uiPriority w:val="99"/>
    <w:rsid w:val="00010103"/>
    <w:pPr>
      <w:numPr>
        <w:numId w:val="8"/>
      </w:numPr>
    </w:pPr>
  </w:style>
  <w:style w:type="paragraph" w:styleId="Normlnweb">
    <w:name w:val="Normal (Web)"/>
    <w:basedOn w:val="Normln"/>
    <w:uiPriority w:val="99"/>
    <w:rsid w:val="00A20FF4"/>
    <w:pPr>
      <w:suppressAutoHyphens w:val="0"/>
      <w:jc w:val="left"/>
    </w:pPr>
    <w:rPr>
      <w:rFonts w:cs="Times New Roman"/>
      <w:szCs w:val="20"/>
      <w:lang w:eastAsia="cs-CZ"/>
    </w:rPr>
  </w:style>
  <w:style w:type="character" w:customStyle="1" w:styleId="eop">
    <w:name w:val="eop"/>
    <w:basedOn w:val="Standardnpsmoodstavce"/>
    <w:rsid w:val="00A54CCC"/>
  </w:style>
  <w:style w:type="paragraph" w:customStyle="1" w:styleId="Poznmkapodarou">
    <w:name w:val="Poznámka pod čarou"/>
    <w:basedOn w:val="Textpoznpodarou"/>
    <w:link w:val="PoznmkapodarouChar"/>
    <w:qFormat/>
    <w:rsid w:val="00A54CCC"/>
    <w:pPr>
      <w:suppressAutoHyphens w:val="0"/>
    </w:pPr>
    <w:rPr>
      <w:lang w:val="en-GB"/>
    </w:rPr>
  </w:style>
  <w:style w:type="character" w:customStyle="1" w:styleId="PoznmkapodarouChar">
    <w:name w:val="Poznámka pod čarou Char"/>
    <w:basedOn w:val="TextpoznpodarouChar"/>
    <w:link w:val="Poznmkapodarou"/>
    <w:rsid w:val="00A54CCC"/>
    <w:rPr>
      <w:rFonts w:ascii="Arial" w:eastAsia="Times New Roman" w:hAnsi="Arial" w:cs="Calibri"/>
      <w:sz w:val="20"/>
      <w:szCs w:val="20"/>
      <w:lang w:val="en-GB" w:eastAsia="ar-SA"/>
    </w:rPr>
  </w:style>
  <w:style w:type="paragraph" w:customStyle="1" w:styleId="paragraph">
    <w:name w:val="paragraph"/>
    <w:basedOn w:val="Normln"/>
    <w:rsid w:val="00A54CC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A54CCC"/>
  </w:style>
  <w:style w:type="table" w:styleId="Mkatabulky">
    <w:name w:val="Table Grid"/>
    <w:basedOn w:val="Normlntabulka"/>
    <w:uiPriority w:val="39"/>
    <w:rsid w:val="004307F6"/>
    <w:pPr>
      <w:autoSpaceDN w:val="0"/>
      <w:spacing w:before="0" w:line="240" w:lineRule="auto"/>
      <w:jc w:val="left"/>
      <w:textAlignment w:val="baseline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00A0B"/>
    <w:pPr>
      <w:autoSpaceDE w:val="0"/>
      <w:autoSpaceDN w:val="0"/>
      <w:adjustRightInd w:val="0"/>
      <w:spacing w:before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Tmavtabulkaseznamu5zvraznn1">
    <w:name w:val="List Table 5 Dark Accent 1"/>
    <w:basedOn w:val="Normlntabulka"/>
    <w:uiPriority w:val="50"/>
    <w:rsid w:val="004A0AD1"/>
    <w:pPr>
      <w:spacing w:before="0"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nil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7F5AC1"/>
    <w:pPr>
      <w:spacing w:after="200"/>
    </w:pPr>
    <w:rPr>
      <w:i/>
      <w:iCs/>
      <w:color w:val="1F497D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147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147E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147E6"/>
    <w:rPr>
      <w:rFonts w:ascii="Arial" w:eastAsia="Times New Roman" w:hAnsi="Arial" w:cs="Calibri"/>
      <w:sz w:val="20"/>
      <w:szCs w:val="20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A10BE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10BE1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2F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2FE6"/>
    <w:rPr>
      <w:rFonts w:ascii="Arial" w:eastAsia="Times New Roman" w:hAnsi="Arial" w:cs="Calibri"/>
      <w:b/>
      <w:bCs/>
      <w:sz w:val="20"/>
      <w:szCs w:val="20"/>
      <w:lang w:eastAsia="ar-SA"/>
    </w:rPr>
  </w:style>
  <w:style w:type="paragraph" w:customStyle="1" w:styleId="l3">
    <w:name w:val="l3"/>
    <w:basedOn w:val="Normln"/>
    <w:rsid w:val="00F8308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lang w:eastAsia="cs-CZ"/>
    </w:rPr>
  </w:style>
  <w:style w:type="paragraph" w:customStyle="1" w:styleId="l4">
    <w:name w:val="l4"/>
    <w:basedOn w:val="Normln"/>
    <w:rsid w:val="00F8308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8308C"/>
    <w:rPr>
      <w:i/>
      <w:iCs/>
    </w:rPr>
  </w:style>
  <w:style w:type="paragraph" w:customStyle="1" w:styleId="l5">
    <w:name w:val="l5"/>
    <w:basedOn w:val="Normln"/>
    <w:rsid w:val="00F8308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lang w:eastAsia="cs-CZ"/>
    </w:rPr>
  </w:style>
  <w:style w:type="table" w:customStyle="1" w:styleId="Mkatabulky4">
    <w:name w:val="Mřížka tabulky4"/>
    <w:basedOn w:val="Normlntabulka"/>
    <w:next w:val="Mkatabulky"/>
    <w:uiPriority w:val="59"/>
    <w:rsid w:val="00F325AD"/>
    <w:pPr>
      <w:spacing w:before="0" w:line="240" w:lineRule="auto"/>
      <w:jc w:val="left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customStyle="1" w:styleId="A1">
    <w:name w:val="A1"/>
    <w:uiPriority w:val="99"/>
    <w:rsid w:val="00422E19"/>
    <w:rPr>
      <w:color w:val="000000"/>
      <w:sz w:val="28"/>
      <w:szCs w:val="28"/>
    </w:rPr>
  </w:style>
  <w:style w:type="character" w:customStyle="1" w:styleId="ui-provider">
    <w:name w:val="ui-provider"/>
    <w:basedOn w:val="Standardnpsmoodstavce"/>
    <w:rsid w:val="005B2422"/>
  </w:style>
  <w:style w:type="paragraph" w:styleId="Revize">
    <w:name w:val="Revision"/>
    <w:hidden/>
    <w:uiPriority w:val="99"/>
    <w:semiHidden/>
    <w:rsid w:val="00E202DA"/>
    <w:pPr>
      <w:spacing w:before="0" w:line="240" w:lineRule="auto"/>
      <w:jc w:val="left"/>
    </w:pPr>
    <w:rPr>
      <w:rFonts w:ascii="Calibri" w:eastAsia="Times New Roman" w:hAnsi="Calibri" w:cs="Calibri"/>
      <w:sz w:val="24"/>
      <w:szCs w:val="24"/>
      <w:lang w:eastAsia="ar-SA"/>
    </w:rPr>
  </w:style>
</w:styles>
</file>

<file path=word/tasks.xml><?xml version="1.0" encoding="utf-8"?>
<t:Tasks xmlns:t="http://schemas.microsoft.com/office/tasks/2019/documenttasks" xmlns:oel="http://schemas.microsoft.com/office/2019/extlst">
  <t:Task id="{F60F766B-3FB2-426D-AFCB-9FA17876B496}">
    <t:Anchor>
      <t:Comment id="685213121"/>
    </t:Anchor>
    <t:History>
      <t:Event id="{986EB2F0-36C9-410F-80DF-F0EE1D6590F9}" time="2023-10-17T12:01:34.429Z">
        <t:Attribution userId="S::adela.ditetova@nku.cz::b3307b56-0b40-4468-a2b8-c4e770235847" userProvider="AD" userName="DÍTĚTOVÁ Adéla"/>
        <t:Anchor>
          <t:Comment id="622873733"/>
        </t:Anchor>
        <t:Create/>
      </t:Event>
      <t:Event id="{06A1171A-A6F3-4050-A3B1-A08345F7623E}" time="2023-10-17T12:01:34.429Z">
        <t:Attribution userId="S::adela.ditetova@nku.cz::b3307b56-0b40-4468-a2b8-c4e770235847" userProvider="AD" userName="DÍTĚTOVÁ Adéla"/>
        <t:Anchor>
          <t:Comment id="622873733"/>
        </t:Anchor>
        <t:Assign userId="S::Miroslav.NEUMANN@nku.cz::962f6dd1-eaf1-4866-827a-e064b7eacbaa" userProvider="AD" userName="NEUMANN Miroslav"/>
      </t:Event>
      <t:Event id="{64A3AF70-7D90-46FB-BA7C-361E6E0121C2}" time="2023-10-17T12:01:34.429Z">
        <t:Attribution userId="S::adela.ditetova@nku.cz::b3307b56-0b40-4468-a2b8-c4e770235847" userProvider="AD" userName="DÍTĚTOVÁ Adéla"/>
        <t:Anchor>
          <t:Comment id="622873733"/>
        </t:Anchor>
        <t:SetTitle title="@NEUMANN Miroslav hotovo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0d575e4280694c92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nku.cz/scripts/detail.php?id=13493" TargetMode="External"/><Relationship Id="rId17" Type="http://schemas.openxmlformats.org/officeDocument/2006/relationships/image" Target="cid:image003.jpg@01DA0D88.2D1D01C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nku.cz/scripts/detail.php?id=13494" TargetMode="Externa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e872e9f8f7934c4d" Type="http://schemas.microsoft.com/office/2019/05/relationships/documenttasks" Target="tasks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cid:image002.jpg@01DA0D88.2D1D01C0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KOKRDA\graf%20pro%20kz%2023-0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KOKRDA\graf%20pro%20kz%2023-0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cs-CZ" sz="1600" b="1">
                <a:solidFill>
                  <a:schemeClr val="tx1"/>
                </a:solidFill>
              </a:rPr>
              <a:t>NSA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cs-CZ" sz="800" b="1" i="0" baseline="0">
                <a:solidFill>
                  <a:sysClr val="windowText" lastClr="000000"/>
                </a:solidFill>
                <a:effectLst/>
              </a:rPr>
              <a:t>(v mld. Kč)</a:t>
            </a:r>
            <a:endParaRPr lang="cs-CZ" sz="800">
              <a:solidFill>
                <a:sysClr val="windowText" lastClr="00000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cs-CZ" sz="1600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52133419969677275"/>
          <c:y val="9.68096550582753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18626813948451376"/>
          <c:y val="0.29237513581084457"/>
          <c:w val="0.70976824777994374"/>
          <c:h val="0.57399456928806714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2EB3A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0,14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BC5-4BCD-A5EB-424DE5A52AE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BC5-4BCD-A5EB-424DE5A52AE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BC5-4BCD-A5EB-424DE5A52A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List1!$C$1:$E$1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List1!$C$3:$E$3</c:f>
              <c:numCache>
                <c:formatCode>#,##0</c:formatCode>
                <c:ptCount val="3"/>
                <c:pt idx="0">
                  <c:v>136203.62</c:v>
                </c:pt>
                <c:pt idx="1">
                  <c:v>6000164.0499999998</c:v>
                </c:pt>
                <c:pt idx="2">
                  <c:v>6988615.1799999997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C5-4BCD-A5EB-424DE5A52A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8103567"/>
        <c:axId val="583551791"/>
      </c:barChart>
      <c:catAx>
        <c:axId val="588103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83551791"/>
        <c:crosses val="autoZero"/>
        <c:auto val="1"/>
        <c:lblAlgn val="ctr"/>
        <c:lblOffset val="100"/>
        <c:noMultiLvlLbl val="0"/>
      </c:catAx>
      <c:valAx>
        <c:axId val="583551791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588103567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600" b="1">
                <a:solidFill>
                  <a:schemeClr val="tx1"/>
                </a:solidFill>
              </a:rPr>
              <a:t>MŠMT</a:t>
            </a:r>
          </a:p>
          <a:p>
            <a:pPr>
              <a:defRPr/>
            </a:pPr>
            <a:r>
              <a:rPr lang="cs-CZ" sz="800" b="1">
                <a:solidFill>
                  <a:schemeClr val="tx1"/>
                </a:solidFill>
              </a:rPr>
              <a:t>(v mld.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rgbClr val="2EB3A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68-4733-8AB5-880279330CF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68-4733-8AB5-880279330CFF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List1!$B$1:$C$1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List1!$B$2:$C$2</c:f>
              <c:numCache>
                <c:formatCode>#,##0</c:formatCode>
                <c:ptCount val="2"/>
                <c:pt idx="0">
                  <c:v>6363520.75</c:v>
                </c:pt>
                <c:pt idx="1">
                  <c:v>6967286.5099999998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68-4733-8AB5-880279330C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6395231"/>
        <c:axId val="429336591"/>
      </c:barChart>
      <c:catAx>
        <c:axId val="4263952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9336591"/>
        <c:crosses val="autoZero"/>
        <c:auto val="1"/>
        <c:lblAlgn val="ctr"/>
        <c:lblOffset val="100"/>
        <c:noMultiLvlLbl val="0"/>
      </c:catAx>
      <c:valAx>
        <c:axId val="429336591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426395231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DF87-EC2B-4DF7-9002-89A1E6CE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8150</Words>
  <Characters>48085</Characters>
  <Application>Microsoft Office Word</Application>
  <DocSecurity>4</DocSecurity>
  <Lines>400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56123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23/04 - Peněžní prostředky státu určené na podporu sportu a sportovní reprezentaci a majetek a peněžní prostředky státu, se kterými je příslušná hospodařit Národní sportovní agentura</dc:title>
  <dc:subject>Kontrolní závěr z kontrolní akce NKÚ č. 23/04 - Peněžní prostředky státu určené na podporu sportu a sportovní reprezentaci a majetek a peněžní prostředky státu, se kterými je příslušná hospodařit Národní sportovní agentura</dc:subject>
  <dc:creator>nku@NKU.cz</dc:creator>
  <cp:keywords>kontrolní závěr; podpora sportu; sportovní reprezentace; národní sportovní agentura; NSA</cp:keywords>
  <cp:lastModifiedBy>KOKRDA Daniel</cp:lastModifiedBy>
  <cp:revision>2</cp:revision>
  <cp:lastPrinted>2023-11-13T08:59:00Z</cp:lastPrinted>
  <dcterms:created xsi:type="dcterms:W3CDTF">2024-02-05T12:20:00Z</dcterms:created>
  <dcterms:modified xsi:type="dcterms:W3CDTF">2024-02-05T12:20:00Z</dcterms:modified>
</cp:coreProperties>
</file>