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4EBB3" w14:textId="23EA6119" w:rsidR="00CF6FED" w:rsidRPr="00C47E97" w:rsidRDefault="008A0FC7" w:rsidP="00CF2F84">
      <w:pPr>
        <w:spacing w:after="0" w:line="240" w:lineRule="auto"/>
        <w:jc w:val="center"/>
        <w:rPr>
          <w:rFonts w:cstheme="minorHAnsi"/>
          <w:highlight w:val="yellow"/>
        </w:rPr>
      </w:pPr>
      <w:r>
        <w:rPr>
          <w:rFonts w:asciiTheme="majorHAnsi" w:hAnsiTheme="majorHAnsi" w:cstheme="majorHAnsi"/>
          <w:b/>
          <w:noProof/>
          <w:lang w:eastAsia="cs-CZ"/>
        </w:rPr>
        <w:drawing>
          <wp:inline distT="0" distB="0" distL="0" distR="0" wp14:anchorId="719BB540" wp14:editId="7D8548CA">
            <wp:extent cx="819150" cy="629532"/>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typ_Kreslicí plátno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2751" cy="639985"/>
                    </a:xfrm>
                    <a:prstGeom prst="rect">
                      <a:avLst/>
                    </a:prstGeom>
                  </pic:spPr>
                </pic:pic>
              </a:graphicData>
            </a:graphic>
          </wp:inline>
        </w:drawing>
      </w:r>
    </w:p>
    <w:p w14:paraId="0C831E14" w14:textId="7D4666FD" w:rsidR="00CF6FED" w:rsidRDefault="00CF6FED" w:rsidP="00CF2F84">
      <w:pPr>
        <w:spacing w:after="0" w:line="240" w:lineRule="auto"/>
        <w:jc w:val="center"/>
        <w:rPr>
          <w:rFonts w:cstheme="minorHAnsi"/>
          <w:highlight w:val="yellow"/>
        </w:rPr>
      </w:pPr>
    </w:p>
    <w:p w14:paraId="10E9F09F" w14:textId="77777777" w:rsidR="008A0FC7" w:rsidRPr="00C47E97" w:rsidRDefault="008A0FC7" w:rsidP="00CF2F84">
      <w:pPr>
        <w:spacing w:after="0" w:line="240" w:lineRule="auto"/>
        <w:jc w:val="center"/>
        <w:rPr>
          <w:rFonts w:cstheme="minorHAnsi"/>
          <w:highlight w:val="yellow"/>
        </w:rPr>
      </w:pPr>
    </w:p>
    <w:p w14:paraId="1D2595E6" w14:textId="77777777" w:rsidR="00CF6FED" w:rsidRPr="00C47E97" w:rsidRDefault="00CF6FED" w:rsidP="00CF2F84">
      <w:pPr>
        <w:spacing w:after="0" w:line="240" w:lineRule="auto"/>
        <w:jc w:val="center"/>
        <w:rPr>
          <w:rFonts w:cstheme="minorHAnsi"/>
          <w:highlight w:val="yellow"/>
        </w:rPr>
      </w:pPr>
    </w:p>
    <w:p w14:paraId="45F4479C" w14:textId="26290C2B" w:rsidR="00CF6FED" w:rsidRDefault="0093232C" w:rsidP="00CF2F84">
      <w:pPr>
        <w:spacing w:after="0" w:line="240" w:lineRule="auto"/>
        <w:jc w:val="center"/>
        <w:rPr>
          <w:rFonts w:cstheme="minorHAnsi"/>
          <w:b/>
          <w:sz w:val="28"/>
          <w:szCs w:val="28"/>
        </w:rPr>
      </w:pPr>
      <w:r w:rsidRPr="00C47E97">
        <w:rPr>
          <w:rFonts w:cstheme="minorHAnsi"/>
          <w:b/>
          <w:sz w:val="28"/>
          <w:szCs w:val="28"/>
        </w:rPr>
        <w:t>Kontrolní závěr z kontrolní akce</w:t>
      </w:r>
    </w:p>
    <w:p w14:paraId="0FC4A79D" w14:textId="77777777" w:rsidR="000C774E" w:rsidRPr="00C47E97" w:rsidRDefault="000C774E" w:rsidP="00CF2F84">
      <w:pPr>
        <w:spacing w:after="0" w:line="240" w:lineRule="auto"/>
        <w:jc w:val="center"/>
        <w:rPr>
          <w:rFonts w:cstheme="minorHAnsi"/>
          <w:b/>
          <w:sz w:val="28"/>
          <w:szCs w:val="28"/>
        </w:rPr>
      </w:pPr>
    </w:p>
    <w:p w14:paraId="476C0835" w14:textId="77777777" w:rsidR="00CF6FED" w:rsidRPr="00C47E97" w:rsidRDefault="00594203" w:rsidP="00CF2F84">
      <w:pPr>
        <w:spacing w:after="0" w:line="240" w:lineRule="auto"/>
        <w:jc w:val="center"/>
        <w:rPr>
          <w:rFonts w:cstheme="minorHAnsi"/>
          <w:b/>
          <w:sz w:val="28"/>
          <w:szCs w:val="28"/>
        </w:rPr>
      </w:pPr>
      <w:r w:rsidRPr="00C47E97">
        <w:rPr>
          <w:rFonts w:cstheme="minorHAnsi"/>
          <w:b/>
          <w:sz w:val="28"/>
          <w:szCs w:val="28"/>
        </w:rPr>
        <w:t>2</w:t>
      </w:r>
      <w:r w:rsidR="008B1549" w:rsidRPr="00C47E97">
        <w:rPr>
          <w:rFonts w:cstheme="minorHAnsi"/>
          <w:b/>
          <w:sz w:val="28"/>
          <w:szCs w:val="28"/>
        </w:rPr>
        <w:t>3</w:t>
      </w:r>
      <w:r w:rsidR="00867AB5" w:rsidRPr="00C47E97">
        <w:rPr>
          <w:rFonts w:cstheme="minorHAnsi"/>
          <w:b/>
          <w:sz w:val="28"/>
          <w:szCs w:val="28"/>
        </w:rPr>
        <w:t>/</w:t>
      </w:r>
      <w:r w:rsidR="008B1549" w:rsidRPr="00C47E97">
        <w:rPr>
          <w:rFonts w:cstheme="minorHAnsi"/>
          <w:b/>
          <w:sz w:val="28"/>
          <w:szCs w:val="28"/>
        </w:rPr>
        <w:t>09</w:t>
      </w:r>
    </w:p>
    <w:p w14:paraId="1683BF9C" w14:textId="77777777" w:rsidR="00151785" w:rsidRPr="00C47E97" w:rsidRDefault="00151785" w:rsidP="00CF2F84">
      <w:pPr>
        <w:spacing w:after="0" w:line="240" w:lineRule="auto"/>
        <w:jc w:val="center"/>
        <w:rPr>
          <w:rFonts w:cstheme="minorHAnsi"/>
          <w:b/>
          <w:sz w:val="28"/>
          <w:szCs w:val="28"/>
          <w:highlight w:val="yellow"/>
        </w:rPr>
      </w:pPr>
    </w:p>
    <w:p w14:paraId="575A7BCB" w14:textId="77777777" w:rsidR="00CF2F84" w:rsidRPr="00C47E97" w:rsidRDefault="008B1549" w:rsidP="008B1549">
      <w:pPr>
        <w:spacing w:after="0" w:line="240" w:lineRule="auto"/>
        <w:jc w:val="center"/>
        <w:rPr>
          <w:rFonts w:cstheme="minorHAnsi"/>
          <w:highlight w:val="yellow"/>
        </w:rPr>
      </w:pPr>
      <w:r w:rsidRPr="00C47E97">
        <w:rPr>
          <w:rFonts w:cstheme="minorHAnsi"/>
          <w:b/>
          <w:sz w:val="28"/>
          <w:szCs w:val="28"/>
        </w:rPr>
        <w:t>Peněžní prostředky státu určené na vybraná opatření proti daňovým únikům</w:t>
      </w:r>
    </w:p>
    <w:p w14:paraId="454BF675" w14:textId="77777777" w:rsidR="00CF2F84" w:rsidRPr="00C47E97" w:rsidRDefault="00CF2F84" w:rsidP="00CF2F84">
      <w:pPr>
        <w:spacing w:after="0" w:line="240" w:lineRule="auto"/>
        <w:jc w:val="both"/>
        <w:rPr>
          <w:rFonts w:cstheme="minorHAnsi"/>
          <w:highlight w:val="yellow"/>
        </w:rPr>
      </w:pPr>
    </w:p>
    <w:p w14:paraId="0E3ACCEF" w14:textId="77777777" w:rsidR="00CF6FED" w:rsidRPr="00C47E97" w:rsidRDefault="0093232C" w:rsidP="00382886">
      <w:pPr>
        <w:spacing w:after="240" w:line="240" w:lineRule="auto"/>
        <w:jc w:val="both"/>
        <w:rPr>
          <w:rFonts w:cstheme="minorHAnsi"/>
          <w:sz w:val="24"/>
          <w:szCs w:val="24"/>
        </w:rPr>
      </w:pPr>
      <w:r w:rsidRPr="00C47E97">
        <w:rPr>
          <w:rFonts w:cstheme="minorHAnsi"/>
          <w:sz w:val="24"/>
          <w:szCs w:val="24"/>
        </w:rPr>
        <w:t>Kontrolní akce byla zařazena do plánu kontrolní činnosti Nejvyššího kontrolního úř</w:t>
      </w:r>
      <w:r w:rsidR="00867AB5" w:rsidRPr="00C47E97">
        <w:rPr>
          <w:rFonts w:cstheme="minorHAnsi"/>
          <w:sz w:val="24"/>
          <w:szCs w:val="24"/>
        </w:rPr>
        <w:t>adu (dále také „NKÚ“) na rok 202</w:t>
      </w:r>
      <w:r w:rsidR="00AF599C" w:rsidRPr="00C47E97">
        <w:rPr>
          <w:rFonts w:cstheme="minorHAnsi"/>
          <w:sz w:val="24"/>
          <w:szCs w:val="24"/>
        </w:rPr>
        <w:t>3</w:t>
      </w:r>
      <w:r w:rsidRPr="00C47E97">
        <w:rPr>
          <w:rFonts w:cstheme="minorHAnsi"/>
          <w:sz w:val="24"/>
          <w:szCs w:val="24"/>
        </w:rPr>
        <w:t xml:space="preserve"> pod číslem </w:t>
      </w:r>
      <w:r w:rsidR="00867AB5" w:rsidRPr="00C47E97">
        <w:rPr>
          <w:rFonts w:cstheme="minorHAnsi"/>
          <w:sz w:val="24"/>
          <w:szCs w:val="24"/>
        </w:rPr>
        <w:t>2</w:t>
      </w:r>
      <w:r w:rsidR="00AF599C" w:rsidRPr="00C47E97">
        <w:rPr>
          <w:rFonts w:cstheme="minorHAnsi"/>
          <w:sz w:val="24"/>
          <w:szCs w:val="24"/>
        </w:rPr>
        <w:t>3</w:t>
      </w:r>
      <w:r w:rsidR="00867AB5" w:rsidRPr="00C47E97">
        <w:rPr>
          <w:rFonts w:cstheme="minorHAnsi"/>
          <w:sz w:val="24"/>
          <w:szCs w:val="24"/>
        </w:rPr>
        <w:t>/</w:t>
      </w:r>
      <w:r w:rsidR="00AF599C" w:rsidRPr="00C47E97">
        <w:rPr>
          <w:rFonts w:cstheme="minorHAnsi"/>
          <w:sz w:val="24"/>
          <w:szCs w:val="24"/>
        </w:rPr>
        <w:t>09</w:t>
      </w:r>
      <w:r w:rsidRPr="00C47E97">
        <w:rPr>
          <w:rFonts w:cstheme="minorHAnsi"/>
          <w:sz w:val="24"/>
          <w:szCs w:val="24"/>
        </w:rPr>
        <w:t xml:space="preserve">. Kontrolní akci řídil a kontrolní závěr vypracoval člen NKÚ </w:t>
      </w:r>
      <w:r w:rsidR="00075E5B" w:rsidRPr="00C47E97">
        <w:rPr>
          <w:rFonts w:cstheme="minorHAnsi"/>
          <w:sz w:val="24"/>
          <w:szCs w:val="24"/>
        </w:rPr>
        <w:t xml:space="preserve">Ing. </w:t>
      </w:r>
      <w:r w:rsidR="00BF03A7" w:rsidRPr="00C47E97">
        <w:rPr>
          <w:rFonts w:cstheme="minorHAnsi"/>
          <w:sz w:val="24"/>
          <w:szCs w:val="24"/>
        </w:rPr>
        <w:t>Josef</w:t>
      </w:r>
      <w:r w:rsidR="00867AB5" w:rsidRPr="00C47E97">
        <w:rPr>
          <w:rFonts w:cstheme="minorHAnsi"/>
          <w:sz w:val="24"/>
          <w:szCs w:val="24"/>
        </w:rPr>
        <w:t xml:space="preserve"> </w:t>
      </w:r>
      <w:r w:rsidR="00BF03A7" w:rsidRPr="00C47E97">
        <w:rPr>
          <w:rFonts w:cstheme="minorHAnsi"/>
          <w:sz w:val="24"/>
          <w:szCs w:val="24"/>
        </w:rPr>
        <w:t>Kubíček</w:t>
      </w:r>
      <w:r w:rsidRPr="00C47E97">
        <w:rPr>
          <w:rFonts w:cstheme="minorHAnsi"/>
          <w:sz w:val="24"/>
          <w:szCs w:val="24"/>
        </w:rPr>
        <w:t>.</w:t>
      </w:r>
    </w:p>
    <w:p w14:paraId="00D4ABEB" w14:textId="348C4756" w:rsidR="00151785" w:rsidRPr="00C47E97" w:rsidRDefault="0093232C" w:rsidP="00382886">
      <w:pPr>
        <w:spacing w:after="240" w:line="240" w:lineRule="auto"/>
        <w:jc w:val="both"/>
        <w:rPr>
          <w:rFonts w:cstheme="minorHAnsi"/>
          <w:sz w:val="24"/>
          <w:szCs w:val="24"/>
        </w:rPr>
      </w:pPr>
      <w:r w:rsidRPr="00C47E97">
        <w:rPr>
          <w:rFonts w:cstheme="minorHAnsi"/>
          <w:sz w:val="24"/>
          <w:szCs w:val="24"/>
        </w:rPr>
        <w:t xml:space="preserve">Cílem kontroly NKÚ bylo </w:t>
      </w:r>
      <w:r w:rsidR="00AF599C" w:rsidRPr="00C47E97">
        <w:rPr>
          <w:rFonts w:cstheme="minorHAnsi"/>
          <w:sz w:val="24"/>
          <w:szCs w:val="24"/>
        </w:rPr>
        <w:t>prověřit, zda byly peněžní prostředky státu určené na vybraná opatření proti daňovým únikům na dani z přidané hodnoty vynakládány účelně a v souladu s</w:t>
      </w:r>
      <w:r w:rsidR="001664C8">
        <w:rPr>
          <w:rFonts w:cstheme="minorHAnsi"/>
          <w:sz w:val="24"/>
          <w:szCs w:val="24"/>
        </w:rPr>
        <w:t> </w:t>
      </w:r>
      <w:r w:rsidR="00AF599C" w:rsidRPr="00C47E97">
        <w:rPr>
          <w:rFonts w:cstheme="minorHAnsi"/>
          <w:sz w:val="24"/>
          <w:szCs w:val="24"/>
        </w:rPr>
        <w:t>právními předpisy</w:t>
      </w:r>
      <w:r w:rsidR="00594203" w:rsidRPr="00C47E97">
        <w:rPr>
          <w:rFonts w:cstheme="minorHAnsi"/>
          <w:sz w:val="24"/>
          <w:szCs w:val="24"/>
        </w:rPr>
        <w:t>.</w:t>
      </w:r>
    </w:p>
    <w:p w14:paraId="79D40799" w14:textId="77777777" w:rsidR="00CC14F0" w:rsidRPr="00C47E97" w:rsidRDefault="0093232C" w:rsidP="00382886">
      <w:pPr>
        <w:spacing w:after="240" w:line="240" w:lineRule="auto"/>
        <w:jc w:val="both"/>
        <w:rPr>
          <w:rFonts w:cstheme="minorHAnsi"/>
          <w:sz w:val="24"/>
          <w:szCs w:val="24"/>
        </w:rPr>
      </w:pPr>
      <w:r w:rsidRPr="00C47E97">
        <w:rPr>
          <w:rFonts w:cstheme="minorHAnsi"/>
          <w:sz w:val="24"/>
          <w:szCs w:val="24"/>
        </w:rPr>
        <w:t xml:space="preserve">Kontrolováno bylo období let </w:t>
      </w:r>
      <w:r w:rsidR="0053647A" w:rsidRPr="00C47E97">
        <w:rPr>
          <w:rFonts w:cstheme="minorHAnsi"/>
          <w:sz w:val="24"/>
          <w:szCs w:val="24"/>
        </w:rPr>
        <w:t>201</w:t>
      </w:r>
      <w:r w:rsidR="00AF599C" w:rsidRPr="00C47E97">
        <w:rPr>
          <w:rFonts w:cstheme="minorHAnsi"/>
          <w:sz w:val="24"/>
          <w:szCs w:val="24"/>
        </w:rPr>
        <w:t>8</w:t>
      </w:r>
      <w:r w:rsidR="0053647A" w:rsidRPr="00C47E97">
        <w:rPr>
          <w:rFonts w:cstheme="minorHAnsi"/>
          <w:sz w:val="24"/>
          <w:szCs w:val="24"/>
        </w:rPr>
        <w:t>–202</w:t>
      </w:r>
      <w:r w:rsidR="00594203" w:rsidRPr="00C47E97">
        <w:rPr>
          <w:rFonts w:cstheme="minorHAnsi"/>
          <w:sz w:val="24"/>
          <w:szCs w:val="24"/>
        </w:rPr>
        <w:t>2</w:t>
      </w:r>
      <w:r w:rsidRPr="00C47E97">
        <w:rPr>
          <w:rFonts w:cstheme="minorHAnsi"/>
          <w:sz w:val="24"/>
          <w:szCs w:val="24"/>
        </w:rPr>
        <w:t xml:space="preserve"> a v případě věcných souvislostí i období předcházející a</w:t>
      </w:r>
      <w:r w:rsidR="001664C8">
        <w:rPr>
          <w:rFonts w:cstheme="minorHAnsi"/>
          <w:sz w:val="24"/>
          <w:szCs w:val="24"/>
        </w:rPr>
        <w:t xml:space="preserve"> </w:t>
      </w:r>
      <w:r w:rsidRPr="00C47E97">
        <w:rPr>
          <w:rFonts w:cstheme="minorHAnsi"/>
          <w:sz w:val="24"/>
          <w:szCs w:val="24"/>
        </w:rPr>
        <w:t>navazující.</w:t>
      </w:r>
    </w:p>
    <w:p w14:paraId="56345F62" w14:textId="77777777" w:rsidR="00CC14F0" w:rsidRPr="00C47E97" w:rsidRDefault="0093232C" w:rsidP="00382886">
      <w:pPr>
        <w:spacing w:before="240" w:after="240" w:line="240" w:lineRule="auto"/>
        <w:jc w:val="both"/>
        <w:rPr>
          <w:rFonts w:cstheme="minorHAnsi"/>
          <w:sz w:val="24"/>
          <w:szCs w:val="24"/>
        </w:rPr>
      </w:pPr>
      <w:r w:rsidRPr="00C47E97">
        <w:rPr>
          <w:rFonts w:cstheme="minorHAnsi"/>
          <w:sz w:val="24"/>
          <w:szCs w:val="24"/>
        </w:rPr>
        <w:t xml:space="preserve">Kontrola byla u kontrolovaných osob prováděna v období od </w:t>
      </w:r>
      <w:r w:rsidR="00AF599C" w:rsidRPr="00C47E97">
        <w:rPr>
          <w:rFonts w:cstheme="minorHAnsi"/>
          <w:sz w:val="24"/>
          <w:szCs w:val="24"/>
        </w:rPr>
        <w:t>května</w:t>
      </w:r>
      <w:r w:rsidRPr="00C47E97">
        <w:rPr>
          <w:rFonts w:cstheme="minorHAnsi"/>
          <w:sz w:val="24"/>
          <w:szCs w:val="24"/>
        </w:rPr>
        <w:t xml:space="preserve"> do </w:t>
      </w:r>
      <w:r w:rsidR="00AF599C" w:rsidRPr="00C47E97">
        <w:rPr>
          <w:rFonts w:cstheme="minorHAnsi"/>
          <w:sz w:val="24"/>
          <w:szCs w:val="24"/>
        </w:rPr>
        <w:t>prosince</w:t>
      </w:r>
      <w:r w:rsidRPr="00C47E97">
        <w:rPr>
          <w:rFonts w:cstheme="minorHAnsi"/>
          <w:sz w:val="24"/>
          <w:szCs w:val="24"/>
        </w:rPr>
        <w:t xml:space="preserve"> 202</w:t>
      </w:r>
      <w:r w:rsidR="00D73B27" w:rsidRPr="00C47E97">
        <w:rPr>
          <w:rFonts w:cstheme="minorHAnsi"/>
          <w:sz w:val="24"/>
          <w:szCs w:val="24"/>
        </w:rPr>
        <w:t>3</w:t>
      </w:r>
      <w:r w:rsidRPr="00C47E97">
        <w:rPr>
          <w:rFonts w:cstheme="minorHAnsi"/>
          <w:sz w:val="24"/>
          <w:szCs w:val="24"/>
        </w:rPr>
        <w:t>.</w:t>
      </w:r>
    </w:p>
    <w:p w14:paraId="323C2013" w14:textId="77777777" w:rsidR="00CC14F0" w:rsidRPr="00C47E97" w:rsidRDefault="00CC14F0" w:rsidP="00382886">
      <w:pPr>
        <w:spacing w:after="240" w:line="240" w:lineRule="auto"/>
        <w:jc w:val="both"/>
        <w:rPr>
          <w:rFonts w:cstheme="minorHAnsi"/>
          <w:sz w:val="24"/>
          <w:szCs w:val="24"/>
          <w:highlight w:val="yellow"/>
        </w:rPr>
      </w:pPr>
    </w:p>
    <w:p w14:paraId="47A73AD7" w14:textId="77777777" w:rsidR="00DC3FD9" w:rsidRPr="00C47E97" w:rsidRDefault="0093232C" w:rsidP="0042774B">
      <w:pPr>
        <w:spacing w:after="120" w:line="240" w:lineRule="auto"/>
        <w:jc w:val="both"/>
        <w:rPr>
          <w:rFonts w:cstheme="minorHAnsi"/>
          <w:b/>
          <w:sz w:val="24"/>
          <w:szCs w:val="24"/>
        </w:rPr>
      </w:pPr>
      <w:r w:rsidRPr="00C47E97">
        <w:rPr>
          <w:rFonts w:cstheme="minorHAnsi"/>
          <w:b/>
          <w:sz w:val="24"/>
          <w:szCs w:val="24"/>
        </w:rPr>
        <w:t>Kontrolované osoby:</w:t>
      </w:r>
    </w:p>
    <w:p w14:paraId="75891DF3" w14:textId="4C60ED9A" w:rsidR="00DC3FD9" w:rsidRPr="00C47E97" w:rsidRDefault="0093232C" w:rsidP="003C6E92">
      <w:pPr>
        <w:spacing w:after="0" w:line="240" w:lineRule="auto"/>
        <w:jc w:val="both"/>
        <w:rPr>
          <w:rFonts w:cstheme="minorHAnsi"/>
          <w:color w:val="000000"/>
          <w:sz w:val="24"/>
          <w:szCs w:val="24"/>
        </w:rPr>
      </w:pPr>
      <w:r w:rsidRPr="00C47E97">
        <w:rPr>
          <w:rFonts w:cstheme="minorHAnsi"/>
          <w:color w:val="000000"/>
          <w:sz w:val="24"/>
          <w:szCs w:val="24"/>
        </w:rPr>
        <w:t xml:space="preserve">Ministerstvo </w:t>
      </w:r>
      <w:r w:rsidR="00DE41E3" w:rsidRPr="00C47E97">
        <w:rPr>
          <w:rFonts w:cstheme="minorHAnsi"/>
          <w:color w:val="000000"/>
          <w:sz w:val="24"/>
          <w:szCs w:val="24"/>
        </w:rPr>
        <w:t>financí</w:t>
      </w:r>
      <w:r w:rsidRPr="00C47E97">
        <w:rPr>
          <w:rFonts w:cstheme="minorHAnsi"/>
          <w:color w:val="000000"/>
          <w:sz w:val="24"/>
          <w:szCs w:val="24"/>
        </w:rPr>
        <w:t xml:space="preserve"> (dále také „</w:t>
      </w:r>
      <w:r w:rsidR="00DE41E3" w:rsidRPr="00C47E97">
        <w:rPr>
          <w:rFonts w:cstheme="minorHAnsi"/>
          <w:color w:val="000000"/>
          <w:sz w:val="24"/>
          <w:szCs w:val="24"/>
        </w:rPr>
        <w:t>MF</w:t>
      </w:r>
      <w:r w:rsidRPr="00C47E97">
        <w:rPr>
          <w:rFonts w:cstheme="minorHAnsi"/>
          <w:color w:val="000000"/>
          <w:sz w:val="24"/>
          <w:szCs w:val="24"/>
        </w:rPr>
        <w:t>“)</w:t>
      </w:r>
      <w:r w:rsidR="00507EF8">
        <w:rPr>
          <w:rFonts w:cstheme="minorHAnsi"/>
          <w:color w:val="000000"/>
          <w:sz w:val="24"/>
          <w:szCs w:val="24"/>
        </w:rPr>
        <w:t>,</w:t>
      </w:r>
    </w:p>
    <w:p w14:paraId="284ED6EF" w14:textId="3D880E6D" w:rsidR="00F37909" w:rsidRPr="00C47E97" w:rsidRDefault="0093232C" w:rsidP="003C6E92">
      <w:pPr>
        <w:spacing w:after="0" w:line="240" w:lineRule="auto"/>
        <w:jc w:val="both"/>
        <w:rPr>
          <w:rFonts w:cstheme="minorHAnsi"/>
          <w:color w:val="000000"/>
          <w:sz w:val="24"/>
          <w:szCs w:val="24"/>
        </w:rPr>
      </w:pPr>
      <w:r w:rsidRPr="00C47E97">
        <w:rPr>
          <w:rFonts w:cstheme="minorHAnsi"/>
          <w:color w:val="000000"/>
          <w:sz w:val="24"/>
          <w:szCs w:val="24"/>
        </w:rPr>
        <w:t>Generální finanční ředitelství</w:t>
      </w:r>
      <w:r w:rsidR="00323327" w:rsidRPr="00C47E97">
        <w:rPr>
          <w:rFonts w:cstheme="minorHAnsi"/>
          <w:color w:val="000000"/>
          <w:sz w:val="24"/>
          <w:szCs w:val="24"/>
        </w:rPr>
        <w:t xml:space="preserve"> </w:t>
      </w:r>
      <w:r w:rsidR="00DC3FD9" w:rsidRPr="00C47E97">
        <w:rPr>
          <w:rFonts w:cstheme="minorHAnsi"/>
          <w:color w:val="000000"/>
          <w:sz w:val="24"/>
          <w:szCs w:val="24"/>
        </w:rPr>
        <w:t>(dále také „</w:t>
      </w:r>
      <w:r w:rsidRPr="00C47E97">
        <w:rPr>
          <w:rFonts w:cstheme="minorHAnsi"/>
          <w:color w:val="000000"/>
          <w:sz w:val="24"/>
          <w:szCs w:val="24"/>
        </w:rPr>
        <w:t>GFŘ</w:t>
      </w:r>
      <w:r w:rsidR="00CB383B" w:rsidRPr="00C47E97">
        <w:rPr>
          <w:rFonts w:cstheme="minorHAnsi"/>
          <w:color w:val="000000"/>
          <w:sz w:val="24"/>
          <w:szCs w:val="24"/>
        </w:rPr>
        <w:t>“)</w:t>
      </w:r>
      <w:r w:rsidR="00507EF8">
        <w:rPr>
          <w:rFonts w:cstheme="minorHAnsi"/>
          <w:color w:val="000000"/>
          <w:sz w:val="24"/>
          <w:szCs w:val="24"/>
        </w:rPr>
        <w:t>,</w:t>
      </w:r>
    </w:p>
    <w:p w14:paraId="739858C7" w14:textId="77777777" w:rsidR="00DC3FD9" w:rsidRPr="00C47E97" w:rsidRDefault="00AF599C" w:rsidP="0042774B">
      <w:pPr>
        <w:spacing w:after="120" w:line="240" w:lineRule="auto"/>
        <w:jc w:val="both"/>
        <w:rPr>
          <w:rFonts w:cstheme="minorHAnsi"/>
          <w:color w:val="000000"/>
          <w:sz w:val="24"/>
          <w:szCs w:val="24"/>
        </w:rPr>
      </w:pPr>
      <w:r w:rsidRPr="00C47E97">
        <w:rPr>
          <w:rFonts w:cstheme="minorHAnsi"/>
          <w:color w:val="000000"/>
          <w:sz w:val="24"/>
          <w:szCs w:val="24"/>
        </w:rPr>
        <w:t>Generální ředitelství cel (dále také „GŘC“)</w:t>
      </w:r>
      <w:r w:rsidR="00CB383B" w:rsidRPr="00C47E97">
        <w:rPr>
          <w:rFonts w:cstheme="minorHAnsi"/>
          <w:color w:val="000000"/>
          <w:sz w:val="24"/>
          <w:szCs w:val="24"/>
        </w:rPr>
        <w:t>.</w:t>
      </w:r>
    </w:p>
    <w:p w14:paraId="3692AED9" w14:textId="77777777" w:rsidR="00CC14F0" w:rsidRPr="00C47E97" w:rsidRDefault="00CC14F0" w:rsidP="003C6E92">
      <w:pPr>
        <w:spacing w:line="360" w:lineRule="auto"/>
        <w:jc w:val="both"/>
        <w:rPr>
          <w:rFonts w:cstheme="minorHAnsi"/>
          <w:sz w:val="24"/>
          <w:szCs w:val="24"/>
          <w:highlight w:val="yellow"/>
        </w:rPr>
      </w:pPr>
    </w:p>
    <w:p w14:paraId="344A8BAE" w14:textId="279E5180" w:rsidR="00CF6FED" w:rsidRPr="00C47E97" w:rsidRDefault="0093232C" w:rsidP="00135FD2">
      <w:pPr>
        <w:spacing w:after="120" w:line="240" w:lineRule="auto"/>
        <w:jc w:val="both"/>
        <w:rPr>
          <w:rFonts w:cstheme="minorHAnsi"/>
          <w:color w:val="000000"/>
          <w:sz w:val="24"/>
          <w:szCs w:val="24"/>
        </w:rPr>
      </w:pPr>
      <w:r w:rsidRPr="00C47E97">
        <w:rPr>
          <w:rFonts w:cstheme="minorHAnsi"/>
          <w:b/>
          <w:i/>
          <w:color w:val="000000"/>
          <w:spacing w:val="40"/>
          <w:sz w:val="24"/>
          <w:szCs w:val="24"/>
        </w:rPr>
        <w:t>Kolegium</w:t>
      </w:r>
      <w:r w:rsidRPr="00C47E97">
        <w:rPr>
          <w:rFonts w:cstheme="minorHAnsi"/>
          <w:b/>
          <w:i/>
          <w:color w:val="000000"/>
          <w:sz w:val="24"/>
          <w:szCs w:val="24"/>
        </w:rPr>
        <w:t xml:space="preserve">   </w:t>
      </w:r>
      <w:r w:rsidRPr="008B0D0B">
        <w:rPr>
          <w:rFonts w:cstheme="minorHAnsi"/>
          <w:b/>
          <w:i/>
          <w:color w:val="000000"/>
          <w:spacing w:val="40"/>
          <w:sz w:val="24"/>
          <w:szCs w:val="24"/>
        </w:rPr>
        <w:t>NKÚ</w:t>
      </w:r>
      <w:r w:rsidRPr="008B0D0B">
        <w:rPr>
          <w:rFonts w:cstheme="minorHAnsi"/>
          <w:b/>
          <w:i/>
          <w:color w:val="000000"/>
          <w:sz w:val="24"/>
          <w:szCs w:val="24"/>
        </w:rPr>
        <w:t xml:space="preserve">   </w:t>
      </w:r>
      <w:r w:rsidR="00135FD2" w:rsidRPr="008B0D0B">
        <w:rPr>
          <w:sz w:val="24"/>
          <w:szCs w:val="24"/>
        </w:rPr>
        <w:t>na svém VII. jednání, které se konalo dne 20. května 2024,</w:t>
      </w:r>
    </w:p>
    <w:p w14:paraId="2ADD6BAD" w14:textId="7E38B658" w:rsidR="00CF6FED" w:rsidRPr="006632CD" w:rsidRDefault="0093232C" w:rsidP="00135FD2">
      <w:pPr>
        <w:spacing w:after="120" w:line="240" w:lineRule="auto"/>
        <w:jc w:val="both"/>
        <w:rPr>
          <w:rFonts w:cstheme="minorHAnsi"/>
          <w:color w:val="000000"/>
          <w:sz w:val="24"/>
          <w:szCs w:val="24"/>
        </w:rPr>
      </w:pPr>
      <w:r w:rsidRPr="00C47E97">
        <w:rPr>
          <w:rFonts w:cstheme="minorHAnsi"/>
          <w:b/>
          <w:i/>
          <w:color w:val="000000"/>
          <w:spacing w:val="40"/>
          <w:sz w:val="24"/>
          <w:szCs w:val="24"/>
        </w:rPr>
        <w:t>schválilo</w:t>
      </w:r>
      <w:r w:rsidRPr="00C47E97">
        <w:rPr>
          <w:rFonts w:cstheme="minorHAnsi"/>
          <w:b/>
          <w:i/>
          <w:color w:val="000000"/>
          <w:sz w:val="24"/>
          <w:szCs w:val="24"/>
        </w:rPr>
        <w:t xml:space="preserve">   </w:t>
      </w:r>
      <w:r w:rsidR="0090063E" w:rsidRPr="00C47E97">
        <w:rPr>
          <w:rFonts w:cstheme="minorHAnsi"/>
          <w:color w:val="000000"/>
          <w:sz w:val="24"/>
          <w:szCs w:val="24"/>
        </w:rPr>
        <w:t xml:space="preserve">usnesením č. </w:t>
      </w:r>
      <w:r w:rsidR="00FB23D1" w:rsidRPr="006632CD">
        <w:rPr>
          <w:rFonts w:cstheme="minorHAnsi"/>
          <w:color w:val="000000"/>
          <w:sz w:val="24"/>
          <w:szCs w:val="24"/>
        </w:rPr>
        <w:t>5</w:t>
      </w:r>
      <w:r w:rsidR="00135FD2" w:rsidRPr="006632CD">
        <w:rPr>
          <w:sz w:val="24"/>
          <w:szCs w:val="24"/>
        </w:rPr>
        <w:t>/VII/2024</w:t>
      </w:r>
    </w:p>
    <w:p w14:paraId="0B78A10B" w14:textId="77777777" w:rsidR="00CF6FED" w:rsidRPr="00C47E97" w:rsidRDefault="0093232C" w:rsidP="00135FD2">
      <w:pPr>
        <w:spacing w:after="120" w:line="240" w:lineRule="auto"/>
        <w:jc w:val="both"/>
        <w:rPr>
          <w:rFonts w:cstheme="minorHAnsi"/>
          <w:color w:val="000000"/>
          <w:sz w:val="24"/>
          <w:szCs w:val="24"/>
        </w:rPr>
      </w:pPr>
      <w:r w:rsidRPr="00C47E97">
        <w:rPr>
          <w:rFonts w:cstheme="minorHAnsi"/>
          <w:b/>
          <w:i/>
          <w:color w:val="000000"/>
          <w:spacing w:val="40"/>
          <w:sz w:val="24"/>
          <w:szCs w:val="24"/>
        </w:rPr>
        <w:t>kontrolní</w:t>
      </w:r>
      <w:r w:rsidRPr="00C47E97">
        <w:rPr>
          <w:rFonts w:cstheme="minorHAnsi"/>
          <w:b/>
          <w:i/>
          <w:color w:val="000000"/>
          <w:sz w:val="24"/>
          <w:szCs w:val="24"/>
        </w:rPr>
        <w:t xml:space="preserve">   </w:t>
      </w:r>
      <w:r w:rsidRPr="00C47E97">
        <w:rPr>
          <w:rFonts w:cstheme="minorHAnsi"/>
          <w:b/>
          <w:i/>
          <w:color w:val="000000"/>
          <w:spacing w:val="40"/>
          <w:sz w:val="24"/>
          <w:szCs w:val="24"/>
        </w:rPr>
        <w:t>závěr</w:t>
      </w:r>
      <w:r w:rsidRPr="00C47E97">
        <w:rPr>
          <w:rFonts w:cstheme="minorHAnsi"/>
          <w:b/>
          <w:i/>
          <w:color w:val="000000"/>
          <w:sz w:val="24"/>
          <w:szCs w:val="24"/>
        </w:rPr>
        <w:t xml:space="preserve">   </w:t>
      </w:r>
      <w:r w:rsidRPr="00C47E97">
        <w:rPr>
          <w:rFonts w:cstheme="minorHAnsi"/>
          <w:color w:val="000000"/>
          <w:sz w:val="24"/>
          <w:szCs w:val="24"/>
        </w:rPr>
        <w:t>v tomto znění:</w:t>
      </w:r>
    </w:p>
    <w:p w14:paraId="2DC6EAA1" w14:textId="77777777" w:rsidR="0042774B" w:rsidRPr="00C47E97" w:rsidRDefault="0042774B">
      <w:pPr>
        <w:rPr>
          <w:rFonts w:cstheme="minorHAnsi"/>
          <w:color w:val="000000"/>
          <w:sz w:val="24"/>
          <w:szCs w:val="24"/>
          <w:highlight w:val="yellow"/>
        </w:rPr>
      </w:pPr>
      <w:r w:rsidRPr="00C47E97">
        <w:rPr>
          <w:rFonts w:cstheme="minorHAnsi"/>
          <w:color w:val="000000"/>
          <w:sz w:val="24"/>
          <w:szCs w:val="24"/>
          <w:highlight w:val="yellow"/>
        </w:rPr>
        <w:br w:type="page"/>
      </w:r>
    </w:p>
    <w:p w14:paraId="0EEF79C6" w14:textId="77777777" w:rsidR="001B07BB" w:rsidRPr="00C91FB0" w:rsidRDefault="001B07BB" w:rsidP="001B07BB">
      <w:pPr>
        <w:tabs>
          <w:tab w:val="left" w:pos="1115"/>
        </w:tabs>
        <w:ind w:left="1416" w:hanging="1416"/>
        <w:rPr>
          <w:b/>
          <w:sz w:val="28"/>
          <w:szCs w:val="28"/>
        </w:rPr>
      </w:pPr>
      <w:bookmarkStart w:id="0" w:name="_Hlk141784307"/>
      <w:bookmarkStart w:id="1" w:name="_Hlk158809792"/>
      <w:r w:rsidRPr="00C91FB0">
        <w:rPr>
          <w:rFonts w:cstheme="minorHAnsi"/>
          <w:b/>
          <w:sz w:val="28"/>
          <w:szCs w:val="28"/>
        </w:rPr>
        <w:lastRenderedPageBreak/>
        <w:t>Peněžní prostředky státu určené na vybraná opatření proti daňovým únikům</w:t>
      </w:r>
    </w:p>
    <w:p w14:paraId="141F590E" w14:textId="5A04FDF7" w:rsidR="001B07BB" w:rsidRDefault="001B07BB" w:rsidP="001B07BB">
      <w:pPr>
        <w:tabs>
          <w:tab w:val="left" w:pos="1115"/>
        </w:tabs>
        <w:ind w:left="1416" w:hanging="1416"/>
        <w:jc w:val="center"/>
        <w:rPr>
          <w:caps/>
        </w:rPr>
      </w:pPr>
      <w:r w:rsidRPr="00E06AAB">
        <w:rPr>
          <w:b/>
          <w:noProof/>
          <w:sz w:val="28"/>
          <w:lang w:eastAsia="cs-CZ"/>
        </w:rPr>
        <mc:AlternateContent>
          <mc:Choice Requires="wps">
            <w:drawing>
              <wp:anchor distT="0" distB="0" distL="114300" distR="114300" simplePos="0" relativeHeight="251659264" behindDoc="0" locked="0" layoutInCell="1" allowOverlap="1" wp14:anchorId="30DF3EFC" wp14:editId="7F8008C8">
                <wp:simplePos x="0" y="0"/>
                <wp:positionH relativeFrom="margin">
                  <wp:posOffset>-17592</wp:posOffset>
                </wp:positionH>
                <wp:positionV relativeFrom="paragraph">
                  <wp:posOffset>86271</wp:posOffset>
                </wp:positionV>
                <wp:extent cx="5758448" cy="0"/>
                <wp:effectExtent l="0" t="0" r="33020" b="19050"/>
                <wp:wrapNone/>
                <wp:docPr id="2" name="Přímá spojnice 2"/>
                <wp:cNvGraphicFramePr/>
                <a:graphic xmlns:a="http://schemas.openxmlformats.org/drawingml/2006/main">
                  <a:graphicData uri="http://schemas.microsoft.com/office/word/2010/wordprocessingShape">
                    <wps:wsp>
                      <wps:cNvCnPr/>
                      <wps:spPr>
                        <a:xfrm>
                          <a:off x="0" y="0"/>
                          <a:ext cx="575844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1D424E" id="Přímá spojnice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pt,6.8pt" to="452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" strokecolor="black [3213]" strokeweight=".5pt">
                <v:stroke joinstyle="miter"/>
                <w10:wrap anchorx="margin"/>
              </v:line>
            </w:pict>
          </mc:Fallback>
        </mc:AlternateContent>
      </w:r>
    </w:p>
    <w:p w14:paraId="04AB534E" w14:textId="77777777" w:rsidR="00B20837" w:rsidRDefault="00B20837" w:rsidP="001B07BB">
      <w:pPr>
        <w:jc w:val="center"/>
        <w:rPr>
          <w:b/>
          <w:color w:val="AF1953"/>
          <w:sz w:val="32"/>
          <w:szCs w:val="32"/>
        </w:rPr>
      </w:pPr>
    </w:p>
    <w:p w14:paraId="1D9889AF" w14:textId="02294792" w:rsidR="00B20837" w:rsidRPr="00547DEA" w:rsidRDefault="001B07BB" w:rsidP="00B20837">
      <w:pPr>
        <w:spacing w:after="0"/>
        <w:jc w:val="center"/>
        <w:rPr>
          <w:b/>
          <w:color w:val="AF1953"/>
          <w:sz w:val="32"/>
          <w:szCs w:val="32"/>
        </w:rPr>
      </w:pPr>
      <w:r>
        <w:rPr>
          <w:b/>
          <w:noProof/>
          <w:color w:val="AF1953"/>
          <w:sz w:val="32"/>
          <w:szCs w:val="32"/>
        </w:rPr>
        <mc:AlternateContent>
          <mc:Choice Requires="wps">
            <w:drawing>
              <wp:anchor distT="0" distB="0" distL="114300" distR="114300" simplePos="0" relativeHeight="251660288" behindDoc="0" locked="0" layoutInCell="1" allowOverlap="1" wp14:anchorId="6DDDEC8B" wp14:editId="75C8957E">
                <wp:simplePos x="0" y="0"/>
                <wp:positionH relativeFrom="column">
                  <wp:posOffset>73127</wp:posOffset>
                </wp:positionH>
                <wp:positionV relativeFrom="paragraph">
                  <wp:posOffset>373658</wp:posOffset>
                </wp:positionV>
                <wp:extent cx="5589917" cy="1236269"/>
                <wp:effectExtent l="0" t="0" r="10795" b="21590"/>
                <wp:wrapNone/>
                <wp:docPr id="31" name="Obdélník: se zakulacenými rohy 31"/>
                <wp:cNvGraphicFramePr/>
                <a:graphic xmlns:a="http://schemas.openxmlformats.org/drawingml/2006/main">
                  <a:graphicData uri="http://schemas.microsoft.com/office/word/2010/wordprocessingShape">
                    <wps:wsp>
                      <wps:cNvSpPr/>
                      <wps:spPr>
                        <a:xfrm>
                          <a:off x="0" y="0"/>
                          <a:ext cx="5589917" cy="1236269"/>
                        </a:xfrm>
                        <a:prstGeom prst="round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D8333A0" id="Obdélník: se zakulacenými rohy 31" o:spid="_x0000_s1026" style="position:absolute;margin-left:5.75pt;margin-top:29.4pt;width:440.15pt;height:97.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" filled="f" strokecolor="#c00000" strokeweight="1pt">
                <v:stroke joinstyle="miter"/>
              </v:roundrect>
            </w:pict>
          </mc:Fallback>
        </mc:AlternateContent>
      </w:r>
      <w:r w:rsidRPr="0094178C">
        <w:rPr>
          <w:b/>
          <w:color w:val="AF1953"/>
          <w:sz w:val="32"/>
          <w:szCs w:val="32"/>
        </w:rPr>
        <w:t>EVIDENCE TRŽEB</w:t>
      </w:r>
    </w:p>
    <w:tbl>
      <w:tblPr>
        <w:tblpPr w:leftFromText="141" w:rightFromText="141" w:vertAnchor="text" w:horzAnchor="margin" w:tblpY="265"/>
        <w:tblOverlap w:val="never"/>
        <w:tblW w:w="5000" w:type="pct"/>
        <w:tblCellMar>
          <w:top w:w="113" w:type="dxa"/>
          <w:left w:w="170" w:type="dxa"/>
          <w:bottom w:w="113" w:type="dxa"/>
          <w:right w:w="170" w:type="dxa"/>
        </w:tblCellMar>
        <w:tblLook w:val="04A0" w:firstRow="1" w:lastRow="0" w:firstColumn="1" w:lastColumn="0" w:noHBand="0" w:noVBand="1"/>
      </w:tblPr>
      <w:tblGrid>
        <w:gridCol w:w="3024"/>
        <w:gridCol w:w="3025"/>
        <w:gridCol w:w="3023"/>
      </w:tblGrid>
      <w:tr w:rsidR="001B07BB" w:rsidRPr="00E06AAB" w14:paraId="778D4CF4" w14:textId="77777777" w:rsidTr="000C2FC0">
        <w:trPr>
          <w:trHeight w:val="1450"/>
        </w:trPr>
        <w:tc>
          <w:tcPr>
            <w:tcW w:w="1667" w:type="pct"/>
          </w:tcPr>
          <w:p w14:paraId="4FD36D4D" w14:textId="77777777" w:rsidR="001B07BB" w:rsidRDefault="001B07BB" w:rsidP="000C2FC0">
            <w:pPr>
              <w:jc w:val="center"/>
              <w:rPr>
                <w:b/>
                <w:bCs/>
                <w:sz w:val="36"/>
              </w:rPr>
            </w:pPr>
            <w:r>
              <w:rPr>
                <w:b/>
                <w:bCs/>
                <w:sz w:val="36"/>
              </w:rPr>
              <w:t>2 237,5 mil. Kč</w:t>
            </w:r>
          </w:p>
          <w:p w14:paraId="5A95CED2" w14:textId="77777777" w:rsidR="00B20837" w:rsidRPr="00B20837" w:rsidRDefault="00B20837" w:rsidP="00B20837">
            <w:pPr>
              <w:spacing w:after="0"/>
              <w:jc w:val="center"/>
              <w:rPr>
                <w:bCs/>
                <w:sz w:val="18"/>
                <w:szCs w:val="18"/>
              </w:rPr>
            </w:pPr>
          </w:p>
          <w:p w14:paraId="2A391D78" w14:textId="3C566CB9" w:rsidR="001B07BB" w:rsidRPr="00B20837" w:rsidRDefault="001B07BB" w:rsidP="00B20837">
            <w:pPr>
              <w:spacing w:after="0"/>
              <w:jc w:val="center"/>
              <w:rPr>
                <w:bCs/>
              </w:rPr>
            </w:pPr>
            <w:r w:rsidRPr="00B20837">
              <w:rPr>
                <w:bCs/>
              </w:rPr>
              <w:t>vynaložily MF, GFŘ a GŘC</w:t>
            </w:r>
          </w:p>
          <w:p w14:paraId="6C2C404F" w14:textId="77777777" w:rsidR="001B07BB" w:rsidRPr="00547DEA" w:rsidRDefault="001B07BB" w:rsidP="00B20837">
            <w:pPr>
              <w:spacing w:after="0"/>
              <w:jc w:val="center"/>
              <w:rPr>
                <w:rStyle w:val="A1"/>
                <w:b/>
                <w:bCs/>
                <w:sz w:val="24"/>
                <w:szCs w:val="24"/>
              </w:rPr>
            </w:pPr>
            <w:r w:rsidRPr="00B20837">
              <w:rPr>
                <w:bCs/>
              </w:rPr>
              <w:t>na EET v letech 2015</w:t>
            </w:r>
            <w:r w:rsidRPr="00B20837">
              <w:t>–</w:t>
            </w:r>
            <w:r w:rsidRPr="00B20837">
              <w:rPr>
                <w:bCs/>
              </w:rPr>
              <w:t>2023</w:t>
            </w:r>
          </w:p>
        </w:tc>
        <w:tc>
          <w:tcPr>
            <w:tcW w:w="1667" w:type="pct"/>
          </w:tcPr>
          <w:p w14:paraId="78AC0DFB" w14:textId="77777777" w:rsidR="001B07BB" w:rsidRPr="00547DEA" w:rsidRDefault="001B07BB" w:rsidP="000C2FC0">
            <w:pPr>
              <w:jc w:val="center"/>
              <w:rPr>
                <w:b/>
                <w:bCs/>
              </w:rPr>
            </w:pPr>
          </w:p>
        </w:tc>
        <w:tc>
          <w:tcPr>
            <w:tcW w:w="1666" w:type="pct"/>
          </w:tcPr>
          <w:p w14:paraId="7BA15CFA" w14:textId="77777777" w:rsidR="001B07BB" w:rsidRDefault="001B07BB" w:rsidP="000C2FC0">
            <w:pPr>
              <w:jc w:val="center"/>
              <w:rPr>
                <w:b/>
                <w:bCs/>
                <w:sz w:val="36"/>
                <w:szCs w:val="36"/>
              </w:rPr>
            </w:pPr>
            <w:r>
              <w:rPr>
                <w:b/>
                <w:bCs/>
                <w:sz w:val="36"/>
                <w:szCs w:val="36"/>
              </w:rPr>
              <w:t xml:space="preserve">652 </w:t>
            </w:r>
            <w:r w:rsidRPr="003D6F76">
              <w:rPr>
                <w:b/>
                <w:bCs/>
                <w:sz w:val="36"/>
                <w:szCs w:val="36"/>
              </w:rPr>
              <w:t>m</w:t>
            </w:r>
            <w:r>
              <w:rPr>
                <w:b/>
                <w:bCs/>
                <w:sz w:val="36"/>
                <w:szCs w:val="36"/>
              </w:rPr>
              <w:t>il</w:t>
            </w:r>
            <w:r w:rsidRPr="003D6F76">
              <w:rPr>
                <w:b/>
                <w:bCs/>
                <w:sz w:val="36"/>
                <w:szCs w:val="36"/>
              </w:rPr>
              <w:t>. Kč</w:t>
            </w:r>
          </w:p>
          <w:p w14:paraId="299CD897" w14:textId="77777777" w:rsidR="00B20837" w:rsidRPr="00B20837" w:rsidRDefault="00B20837" w:rsidP="00B20837">
            <w:pPr>
              <w:spacing w:after="0"/>
              <w:jc w:val="center"/>
              <w:rPr>
                <w:bCs/>
                <w:sz w:val="18"/>
                <w:szCs w:val="18"/>
              </w:rPr>
            </w:pPr>
          </w:p>
          <w:p w14:paraId="4F5CBDED" w14:textId="7D405F81" w:rsidR="001B07BB" w:rsidRPr="00B20837" w:rsidRDefault="001B07BB" w:rsidP="00B20837">
            <w:pPr>
              <w:spacing w:after="0"/>
              <w:jc w:val="center"/>
              <w:rPr>
                <w:bCs/>
              </w:rPr>
            </w:pPr>
            <w:r w:rsidRPr="00B20837">
              <w:rPr>
                <w:bCs/>
              </w:rPr>
              <w:t>doměřeno na DPH, DPFO, DPPO na základě EET</w:t>
            </w:r>
          </w:p>
          <w:p w14:paraId="33EF1F37" w14:textId="77777777" w:rsidR="001B07BB" w:rsidRPr="001E4A60" w:rsidRDefault="001B07BB" w:rsidP="00B20837">
            <w:pPr>
              <w:spacing w:after="0"/>
              <w:jc w:val="center"/>
              <w:rPr>
                <w:b/>
                <w:bCs/>
              </w:rPr>
            </w:pPr>
            <w:r w:rsidRPr="00B20837">
              <w:rPr>
                <w:bCs/>
              </w:rPr>
              <w:t>v letech 2017</w:t>
            </w:r>
            <w:r w:rsidRPr="00B20837">
              <w:t>–</w:t>
            </w:r>
            <w:r w:rsidRPr="00B20837">
              <w:rPr>
                <w:bCs/>
              </w:rPr>
              <w:t>2019</w:t>
            </w:r>
          </w:p>
        </w:tc>
      </w:tr>
    </w:tbl>
    <w:p w14:paraId="6BD6FC10" w14:textId="1FBD0E08" w:rsidR="001B07BB" w:rsidRDefault="001B07BB" w:rsidP="001B07BB">
      <w:pPr>
        <w:rPr>
          <w:b/>
        </w:rPr>
      </w:pPr>
    </w:p>
    <w:p w14:paraId="32CFFAF6" w14:textId="77777777" w:rsidR="00B20837" w:rsidRDefault="00B20837" w:rsidP="001B07BB">
      <w:pPr>
        <w:rPr>
          <w:b/>
        </w:rPr>
      </w:pPr>
    </w:p>
    <w:p w14:paraId="3190CFC6" w14:textId="77777777" w:rsidR="001B07BB" w:rsidRDefault="001B07BB" w:rsidP="001B07BB">
      <w:r>
        <w:rPr>
          <w:noProof/>
        </w:rPr>
        <w:drawing>
          <wp:anchor distT="0" distB="0" distL="114300" distR="114300" simplePos="0" relativeHeight="251662336" behindDoc="1" locked="0" layoutInCell="1" allowOverlap="1" wp14:anchorId="2B1BEC80" wp14:editId="694CA95D">
            <wp:simplePos x="0" y="0"/>
            <wp:positionH relativeFrom="margin">
              <wp:posOffset>-60325</wp:posOffset>
            </wp:positionH>
            <wp:positionV relativeFrom="paragraph">
              <wp:posOffset>462074</wp:posOffset>
            </wp:positionV>
            <wp:extent cx="5760720" cy="845820"/>
            <wp:effectExtent l="0" t="0" r="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760720" cy="845820"/>
                    </a:xfrm>
                    <a:prstGeom prst="rect">
                      <a:avLst/>
                    </a:prstGeom>
                  </pic:spPr>
                </pic:pic>
              </a:graphicData>
            </a:graphic>
          </wp:anchor>
        </w:drawing>
      </w:r>
      <w:r>
        <w:rPr>
          <w:b/>
          <w:bCs/>
          <w:noProof/>
          <w:sz w:val="36"/>
        </w:rPr>
        <mc:AlternateContent>
          <mc:Choice Requires="wpg">
            <w:drawing>
              <wp:inline distT="0" distB="0" distL="0" distR="0" wp14:anchorId="3D0A3DD6" wp14:editId="4CF3078B">
                <wp:extent cx="5227408" cy="1982081"/>
                <wp:effectExtent l="0" t="0" r="0" b="0"/>
                <wp:docPr id="32" name="Skupina 32"/>
                <wp:cNvGraphicFramePr/>
                <a:graphic xmlns:a="http://schemas.openxmlformats.org/drawingml/2006/main">
                  <a:graphicData uri="http://schemas.microsoft.com/office/word/2010/wordprocessingGroup">
                    <wpg:wgp>
                      <wpg:cNvGrpSpPr/>
                      <wpg:grpSpPr>
                        <a:xfrm>
                          <a:off x="0" y="0"/>
                          <a:ext cx="5227408" cy="1982081"/>
                          <a:chOff x="0" y="0"/>
                          <a:chExt cx="5227408" cy="1982081"/>
                        </a:xfrm>
                      </wpg:grpSpPr>
                      <wps:wsp>
                        <wps:cNvPr id="33" name="Textové pole 33"/>
                        <wps:cNvSpPr txBox="1"/>
                        <wps:spPr>
                          <a:xfrm>
                            <a:off x="0" y="369989"/>
                            <a:ext cx="647700" cy="306000"/>
                          </a:xfrm>
                          <a:prstGeom prst="rect">
                            <a:avLst/>
                          </a:prstGeom>
                          <a:solidFill>
                            <a:schemeClr val="lt1"/>
                          </a:solidFill>
                          <a:ln w="6350">
                            <a:noFill/>
                          </a:ln>
                        </wps:spPr>
                        <wps:txbx>
                          <w:txbxContent>
                            <w:p w14:paraId="45A9D6EE" w14:textId="77777777" w:rsidR="000A558B" w:rsidRDefault="000A558B" w:rsidP="001B07BB">
                              <w:pPr>
                                <w:jc w:val="center"/>
                              </w:pPr>
                              <w:r>
                                <w:t>2015</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34" name="Textové pole 34"/>
                        <wps:cNvSpPr txBox="1"/>
                        <wps:spPr>
                          <a:xfrm>
                            <a:off x="406988" y="1067681"/>
                            <a:ext cx="908050" cy="914400"/>
                          </a:xfrm>
                          <a:prstGeom prst="rect">
                            <a:avLst/>
                          </a:prstGeom>
                          <a:solidFill>
                            <a:schemeClr val="lt1"/>
                          </a:solidFill>
                          <a:ln w="6350">
                            <a:noFill/>
                          </a:ln>
                        </wps:spPr>
                        <wps:txbx>
                          <w:txbxContent>
                            <w:p w14:paraId="1FA74FA4" w14:textId="77777777" w:rsidR="000A558B" w:rsidRDefault="000A558B" w:rsidP="001B07BB">
                              <w:r>
                                <w:t>1. 12. 2016 Zavedení EET, první vlna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Textové pole 35"/>
                        <wps:cNvSpPr txBox="1"/>
                        <wps:spPr>
                          <a:xfrm>
                            <a:off x="1014826" y="0"/>
                            <a:ext cx="857250" cy="676275"/>
                          </a:xfrm>
                          <a:prstGeom prst="rect">
                            <a:avLst/>
                          </a:prstGeom>
                          <a:solidFill>
                            <a:schemeClr val="lt1"/>
                          </a:solidFill>
                          <a:ln w="6350">
                            <a:noFill/>
                          </a:ln>
                        </wps:spPr>
                        <wps:txbx>
                          <w:txbxContent>
                            <w:p w14:paraId="70A6FE9F" w14:textId="77777777" w:rsidR="000A558B" w:rsidRDefault="000A558B" w:rsidP="001B07BB">
                              <w:r>
                                <w:t>1. 3. 2017 Zavedení druhé vlny</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37" name="Textové pole 37"/>
                        <wps:cNvSpPr txBox="1"/>
                        <wps:spPr>
                          <a:xfrm>
                            <a:off x="1559237" y="1067681"/>
                            <a:ext cx="909115" cy="819150"/>
                          </a:xfrm>
                          <a:prstGeom prst="rect">
                            <a:avLst/>
                          </a:prstGeom>
                          <a:solidFill>
                            <a:schemeClr val="lt1"/>
                          </a:solidFill>
                          <a:ln w="6350">
                            <a:noFill/>
                          </a:ln>
                        </wps:spPr>
                        <wps:txbx>
                          <w:txbxContent>
                            <w:p w14:paraId="518314DE" w14:textId="77777777" w:rsidR="000A558B" w:rsidRDefault="000A558B" w:rsidP="001B07BB">
                              <w:r>
                                <w:t>1. 3. 2018 Rozhodnutí Ústavního soudu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Textové pole 38"/>
                        <wps:cNvSpPr txBox="1"/>
                        <wps:spPr>
                          <a:xfrm>
                            <a:off x="2256930" y="369989"/>
                            <a:ext cx="600075" cy="304800"/>
                          </a:xfrm>
                          <a:prstGeom prst="rect">
                            <a:avLst/>
                          </a:prstGeom>
                          <a:solidFill>
                            <a:schemeClr val="lt1"/>
                          </a:solidFill>
                          <a:ln w="6350">
                            <a:noFill/>
                          </a:ln>
                        </wps:spPr>
                        <wps:txbx>
                          <w:txbxContent>
                            <w:p w14:paraId="2CC47346" w14:textId="77777777" w:rsidR="000A558B" w:rsidRDefault="000A558B" w:rsidP="001B07BB">
                              <w:pPr>
                                <w:jc w:val="center"/>
                              </w:pPr>
                              <w:r>
                                <w:t>2019</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39" name="Textové pole 39"/>
                        <wps:cNvSpPr txBox="1"/>
                        <wps:spPr>
                          <a:xfrm>
                            <a:off x="2663917" y="1067681"/>
                            <a:ext cx="952500" cy="685800"/>
                          </a:xfrm>
                          <a:prstGeom prst="rect">
                            <a:avLst/>
                          </a:prstGeom>
                          <a:solidFill>
                            <a:schemeClr val="lt1"/>
                          </a:solidFill>
                          <a:ln w="6350">
                            <a:noFill/>
                          </a:ln>
                        </wps:spPr>
                        <wps:txbx>
                          <w:txbxContent>
                            <w:p w14:paraId="07870A1E" w14:textId="77777777" w:rsidR="000A558B" w:rsidRDefault="000A558B" w:rsidP="001B07BB">
                              <w:r>
                                <w:t xml:space="preserve">27. 3. 2020 Pozastavení EET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Textové pole 40"/>
                        <wps:cNvSpPr txBox="1"/>
                        <wps:spPr>
                          <a:xfrm>
                            <a:off x="3388037" y="369989"/>
                            <a:ext cx="561975" cy="304800"/>
                          </a:xfrm>
                          <a:prstGeom prst="rect">
                            <a:avLst/>
                          </a:prstGeom>
                          <a:solidFill>
                            <a:schemeClr val="lt1"/>
                          </a:solidFill>
                          <a:ln w="6350">
                            <a:noFill/>
                          </a:ln>
                        </wps:spPr>
                        <wps:txbx>
                          <w:txbxContent>
                            <w:p w14:paraId="629BD186" w14:textId="77777777" w:rsidR="000A558B" w:rsidRDefault="000A558B" w:rsidP="001B07BB">
                              <w:pPr>
                                <w:jc w:val="center"/>
                              </w:pPr>
                              <w:r>
                                <w:t>2021</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41" name="Textové pole 41"/>
                        <wps:cNvSpPr txBox="1"/>
                        <wps:spPr>
                          <a:xfrm>
                            <a:off x="3921878" y="1067681"/>
                            <a:ext cx="638175" cy="305435"/>
                          </a:xfrm>
                          <a:prstGeom prst="rect">
                            <a:avLst/>
                          </a:prstGeom>
                          <a:solidFill>
                            <a:schemeClr val="lt1"/>
                          </a:solidFill>
                          <a:ln w="6350">
                            <a:noFill/>
                          </a:ln>
                        </wps:spPr>
                        <wps:txbx>
                          <w:txbxContent>
                            <w:p w14:paraId="0EC1FD77" w14:textId="77777777" w:rsidR="000A558B" w:rsidRDefault="000A558B" w:rsidP="001B07BB">
                              <w:pPr>
                                <w:jc w:val="center"/>
                              </w:pPr>
                              <w: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Textové pole 42"/>
                        <wps:cNvSpPr txBox="1"/>
                        <wps:spPr>
                          <a:xfrm>
                            <a:off x="4413434" y="0"/>
                            <a:ext cx="813974" cy="676275"/>
                          </a:xfrm>
                          <a:prstGeom prst="rect">
                            <a:avLst/>
                          </a:prstGeom>
                          <a:solidFill>
                            <a:schemeClr val="lt1"/>
                          </a:solidFill>
                          <a:ln w="6350">
                            <a:noFill/>
                          </a:ln>
                        </wps:spPr>
                        <wps:txbx>
                          <w:txbxContent>
                            <w:p w14:paraId="43257467" w14:textId="77777777" w:rsidR="000A558B" w:rsidRDefault="000A558B" w:rsidP="001B07BB">
                              <w:r>
                                <w:t xml:space="preserve">1. 1. 2023 Zrušení EET </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g:wgp>
                  </a:graphicData>
                </a:graphic>
              </wp:inline>
            </w:drawing>
          </mc:Choice>
          <mc:Fallback>
            <w:pict>
              <v:group w14:anchorId="3D0A3DD6" id="Skupina 32" o:spid="_x0000_s1026" style="width:411.6pt;height:156.05pt;mso-position-horizontal-relative:char;mso-position-vertical-relative:line" coordsize="52274,1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">
                <v:shapetype id="_x0000_t202" coordsize="21600,21600" o:spt="202" path="m,l,21600r21600,l21600,xe">
                  <v:stroke joinstyle="miter"/>
                  <v:path gradientshapeok="t" o:connecttype="rect"/>
                </v:shapetype>
                <v:shape id="Textové pole 33" o:spid="_x0000_s1027" type="#_x0000_t202" style="position:absolute;top:3699;width:6477;height:306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" fillcolor="white [3201]" stroked="f" strokeweight=".5pt">
                  <v:textbox>
                    <w:txbxContent>
                      <w:p w14:paraId="45A9D6EE" w14:textId="77777777" w:rsidR="000A558B" w:rsidRDefault="000A558B" w:rsidP="001B07BB">
                        <w:pPr>
                          <w:jc w:val="center"/>
                        </w:pPr>
                        <w:r>
                          <w:t>2015</w:t>
                        </w:r>
                      </w:p>
                    </w:txbxContent>
                  </v:textbox>
                </v:shape>
                <v:shape id="Textové pole 34" o:spid="_x0000_s1028" type="#_x0000_t202" style="position:absolute;left:4069;top:10676;width:9081;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" fillcolor="white [3201]" stroked="f" strokeweight=".5pt">
                  <v:textbox>
                    <w:txbxContent>
                      <w:p w14:paraId="1FA74FA4" w14:textId="77777777" w:rsidR="000A558B" w:rsidRDefault="000A558B" w:rsidP="001B07BB">
                        <w:r>
                          <w:t>1. 12. 2016 Zavedení EET, první vlna</w:t>
                        </w:r>
                      </w:p>
                    </w:txbxContent>
                  </v:textbox>
                </v:shape>
                <v:shape id="Textové pole 35" o:spid="_x0000_s1029" type="#_x0000_t202" style="position:absolute;left:10148;width:8572;height:67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" fillcolor="white [3201]" stroked="f" strokeweight=".5pt">
                  <v:textbox>
                    <w:txbxContent>
                      <w:p w14:paraId="70A6FE9F" w14:textId="77777777" w:rsidR="000A558B" w:rsidRDefault="000A558B" w:rsidP="001B07BB">
                        <w:r>
                          <w:t>1. 3. 2017 Zavedení druhé vlny</w:t>
                        </w:r>
                      </w:p>
                    </w:txbxContent>
                  </v:textbox>
                </v:shape>
                <v:shape id="Textové pole 37" o:spid="_x0000_s1030" type="#_x0000_t202" style="position:absolute;left:15592;top:10676;width:9091;height:8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" fillcolor="white [3201]" stroked="f" strokeweight=".5pt">
                  <v:textbox>
                    <w:txbxContent>
                      <w:p w14:paraId="518314DE" w14:textId="77777777" w:rsidR="000A558B" w:rsidRDefault="000A558B" w:rsidP="001B07BB">
                        <w:r>
                          <w:t>1. 3. 2018 Rozhodnutí Ústavního soudu</w:t>
                        </w:r>
                      </w:p>
                    </w:txbxContent>
                  </v:textbox>
                </v:shape>
                <v:shape id="Textové pole 38" o:spid="_x0000_s1031" type="#_x0000_t202" style="position:absolute;left:22569;top:3699;width:6001;height:304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" fillcolor="white [3201]" stroked="f" strokeweight=".5pt">
                  <v:textbox>
                    <w:txbxContent>
                      <w:p w14:paraId="2CC47346" w14:textId="77777777" w:rsidR="000A558B" w:rsidRDefault="000A558B" w:rsidP="001B07BB">
                        <w:pPr>
                          <w:jc w:val="center"/>
                        </w:pPr>
                        <w:r>
                          <w:t>2019</w:t>
                        </w:r>
                      </w:p>
                    </w:txbxContent>
                  </v:textbox>
                </v:shape>
                <v:shape id="Textové pole 39" o:spid="_x0000_s1032" type="#_x0000_t202" style="position:absolute;left:26639;top:10676;width:9525;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" fillcolor="white [3201]" stroked="f" strokeweight=".5pt">
                  <v:textbox>
                    <w:txbxContent>
                      <w:p w14:paraId="07870A1E" w14:textId="77777777" w:rsidR="000A558B" w:rsidRDefault="000A558B" w:rsidP="001B07BB">
                        <w:r>
                          <w:t xml:space="preserve">27. 3. 2020 Pozastavení EET </w:t>
                        </w:r>
                      </w:p>
                    </w:txbxContent>
                  </v:textbox>
                </v:shape>
                <v:shape id="Textové pole 40" o:spid="_x0000_s1033" type="#_x0000_t202" style="position:absolute;left:33880;top:3699;width:5620;height:304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" fillcolor="white [3201]" stroked="f" strokeweight=".5pt">
                  <v:textbox>
                    <w:txbxContent>
                      <w:p w14:paraId="629BD186" w14:textId="77777777" w:rsidR="000A558B" w:rsidRDefault="000A558B" w:rsidP="001B07BB">
                        <w:pPr>
                          <w:jc w:val="center"/>
                        </w:pPr>
                        <w:r>
                          <w:t>2021</w:t>
                        </w:r>
                      </w:p>
                    </w:txbxContent>
                  </v:textbox>
                </v:shape>
                <v:shape id="Textové pole 41" o:spid="_x0000_s1034" type="#_x0000_t202" style="position:absolute;left:39218;top:10676;width:6382;height:3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" fillcolor="white [3201]" stroked="f" strokeweight=".5pt">
                  <v:textbox>
                    <w:txbxContent>
                      <w:p w14:paraId="0EC1FD77" w14:textId="77777777" w:rsidR="000A558B" w:rsidRDefault="000A558B" w:rsidP="001B07BB">
                        <w:pPr>
                          <w:jc w:val="center"/>
                        </w:pPr>
                        <w:r>
                          <w:t>2022</w:t>
                        </w:r>
                      </w:p>
                    </w:txbxContent>
                  </v:textbox>
                </v:shape>
                <v:shape id="Textové pole 42" o:spid="_x0000_s1035" type="#_x0000_t202" style="position:absolute;left:44134;width:8140;height:67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" fillcolor="white [3201]" stroked="f" strokeweight=".5pt">
                  <v:textbox>
                    <w:txbxContent>
                      <w:p w14:paraId="43257467" w14:textId="77777777" w:rsidR="000A558B" w:rsidRDefault="000A558B" w:rsidP="001B07BB">
                        <w:r>
                          <w:t xml:space="preserve">1. 1. 2023 Zrušení EET </w:t>
                        </w:r>
                      </w:p>
                    </w:txbxContent>
                  </v:textbox>
                </v:shape>
                <w10:anchorlock/>
              </v:group>
            </w:pict>
          </mc:Fallback>
        </mc:AlternateContent>
      </w:r>
    </w:p>
    <w:p w14:paraId="1B7FB061" w14:textId="657B94F8" w:rsidR="001B07BB" w:rsidRDefault="001B07BB" w:rsidP="001B07BB">
      <w:pPr>
        <w:rPr>
          <w:b/>
        </w:rPr>
      </w:pPr>
    </w:p>
    <w:p w14:paraId="510ECE60" w14:textId="40102260" w:rsidR="00B20837" w:rsidRDefault="00B20837" w:rsidP="001B07BB">
      <w:pPr>
        <w:rPr>
          <w:b/>
        </w:rPr>
      </w:pPr>
    </w:p>
    <w:p w14:paraId="1E13792E" w14:textId="77777777" w:rsidR="001B07BB" w:rsidRPr="0094178C" w:rsidRDefault="001B07BB" w:rsidP="00B20837">
      <w:pPr>
        <w:tabs>
          <w:tab w:val="left" w:pos="1747"/>
          <w:tab w:val="center" w:pos="4536"/>
        </w:tabs>
        <w:spacing w:after="0"/>
        <w:jc w:val="center"/>
        <w:rPr>
          <w:b/>
          <w:caps/>
          <w:color w:val="2EB3A1"/>
          <w:sz w:val="32"/>
          <w:szCs w:val="32"/>
        </w:rPr>
      </w:pPr>
      <w:r w:rsidRPr="0094178C">
        <w:rPr>
          <w:b/>
          <w:caps/>
          <w:color w:val="2EB3A1"/>
          <w:sz w:val="32"/>
          <w:szCs w:val="32"/>
        </w:rPr>
        <w:t>Kontrolní HLášení</w:t>
      </w:r>
    </w:p>
    <w:tbl>
      <w:tblPr>
        <w:tblpPr w:leftFromText="141" w:rightFromText="141" w:vertAnchor="text" w:horzAnchor="margin" w:tblpY="265"/>
        <w:tblOverlap w:val="never"/>
        <w:tblW w:w="5000" w:type="pct"/>
        <w:tblCellMar>
          <w:top w:w="113" w:type="dxa"/>
          <w:left w:w="170" w:type="dxa"/>
          <w:bottom w:w="113" w:type="dxa"/>
          <w:right w:w="170" w:type="dxa"/>
        </w:tblCellMar>
        <w:tblLook w:val="04A0" w:firstRow="1" w:lastRow="0" w:firstColumn="1" w:lastColumn="0" w:noHBand="0" w:noVBand="1"/>
      </w:tblPr>
      <w:tblGrid>
        <w:gridCol w:w="3024"/>
        <w:gridCol w:w="3025"/>
        <w:gridCol w:w="3023"/>
      </w:tblGrid>
      <w:tr w:rsidR="001B07BB" w:rsidRPr="00E06AAB" w14:paraId="31517ADD" w14:textId="77777777" w:rsidTr="000C2FC0">
        <w:trPr>
          <w:trHeight w:val="1450"/>
        </w:trPr>
        <w:tc>
          <w:tcPr>
            <w:tcW w:w="1667" w:type="pct"/>
          </w:tcPr>
          <w:p w14:paraId="6C1CA6F6" w14:textId="4F5EFEC2" w:rsidR="001B07BB" w:rsidRDefault="001B07BB" w:rsidP="00B20837">
            <w:pPr>
              <w:spacing w:after="0"/>
              <w:jc w:val="center"/>
              <w:rPr>
                <w:b/>
                <w:sz w:val="36"/>
                <w:szCs w:val="36"/>
              </w:rPr>
            </w:pPr>
            <w:r w:rsidRPr="001E4A60">
              <w:rPr>
                <w:b/>
                <w:sz w:val="36"/>
                <w:szCs w:val="36"/>
              </w:rPr>
              <w:t>257,6 mil. Kč</w:t>
            </w:r>
          </w:p>
          <w:p w14:paraId="2740857C" w14:textId="77777777" w:rsidR="00B20837" w:rsidRPr="00B20837" w:rsidRDefault="00B20837" w:rsidP="00B20837">
            <w:pPr>
              <w:spacing w:after="0"/>
              <w:jc w:val="center"/>
              <w:rPr>
                <w:bCs/>
                <w:sz w:val="24"/>
                <w:szCs w:val="24"/>
              </w:rPr>
            </w:pPr>
          </w:p>
          <w:p w14:paraId="41EA2219" w14:textId="68A33D7D" w:rsidR="001B07BB" w:rsidRPr="001E4A60" w:rsidRDefault="001B07BB" w:rsidP="00B20837">
            <w:pPr>
              <w:spacing w:after="0"/>
              <w:jc w:val="center"/>
              <w:rPr>
                <w:bCs/>
              </w:rPr>
            </w:pPr>
            <w:r w:rsidRPr="001E4A60">
              <w:rPr>
                <w:bCs/>
              </w:rPr>
              <w:t>vynaložilo GFŘ</w:t>
            </w:r>
          </w:p>
          <w:p w14:paraId="4E2B0308" w14:textId="77777777" w:rsidR="001B07BB" w:rsidRDefault="001B07BB" w:rsidP="00B20837">
            <w:pPr>
              <w:spacing w:after="0"/>
              <w:jc w:val="center"/>
              <w:rPr>
                <w:bCs/>
              </w:rPr>
            </w:pPr>
            <w:r w:rsidRPr="001E4A60">
              <w:rPr>
                <w:bCs/>
              </w:rPr>
              <w:t xml:space="preserve">na kontrolní hlášení </w:t>
            </w:r>
          </w:p>
          <w:p w14:paraId="63201D99" w14:textId="77777777" w:rsidR="001B07BB" w:rsidRPr="001E4A60" w:rsidRDefault="001B07BB" w:rsidP="00B20837">
            <w:pPr>
              <w:spacing w:after="0"/>
              <w:jc w:val="center"/>
              <w:rPr>
                <w:rStyle w:val="A1"/>
                <w:b/>
                <w:bCs/>
                <w:sz w:val="24"/>
                <w:szCs w:val="24"/>
              </w:rPr>
            </w:pPr>
            <w:r w:rsidRPr="001E4A60">
              <w:rPr>
                <w:bCs/>
              </w:rPr>
              <w:t>v letech 201</w:t>
            </w:r>
            <w:r>
              <w:rPr>
                <w:bCs/>
              </w:rPr>
              <w:t>5</w:t>
            </w:r>
            <w:r>
              <w:t>–</w:t>
            </w:r>
            <w:r w:rsidRPr="001E4A60">
              <w:rPr>
                <w:bCs/>
              </w:rPr>
              <w:t>2022</w:t>
            </w:r>
          </w:p>
        </w:tc>
        <w:tc>
          <w:tcPr>
            <w:tcW w:w="1667" w:type="pct"/>
          </w:tcPr>
          <w:p w14:paraId="621C72A9" w14:textId="77777777" w:rsidR="001B07BB" w:rsidRPr="001E4A60" w:rsidRDefault="001B07BB" w:rsidP="000C2FC0">
            <w:pPr>
              <w:jc w:val="center"/>
              <w:rPr>
                <w:b/>
                <w:bCs/>
              </w:rPr>
            </w:pPr>
          </w:p>
        </w:tc>
        <w:tc>
          <w:tcPr>
            <w:tcW w:w="1666" w:type="pct"/>
          </w:tcPr>
          <w:p w14:paraId="7867B5CD" w14:textId="77777777" w:rsidR="001B07BB" w:rsidRDefault="001B07BB" w:rsidP="00B20837">
            <w:pPr>
              <w:spacing w:after="0"/>
              <w:jc w:val="center"/>
              <w:rPr>
                <w:b/>
                <w:sz w:val="36"/>
                <w:szCs w:val="36"/>
              </w:rPr>
            </w:pPr>
            <w:r>
              <w:rPr>
                <w:b/>
                <w:sz w:val="36"/>
                <w:szCs w:val="36"/>
              </w:rPr>
              <w:t>10 787</w:t>
            </w:r>
            <w:r w:rsidRPr="001E4A60">
              <w:rPr>
                <w:b/>
                <w:sz w:val="36"/>
                <w:szCs w:val="36"/>
              </w:rPr>
              <w:t xml:space="preserve"> mil. Kč</w:t>
            </w:r>
          </w:p>
          <w:p w14:paraId="5C13C649" w14:textId="77777777" w:rsidR="00B20837" w:rsidRPr="00B20837" w:rsidRDefault="00B20837" w:rsidP="00B20837">
            <w:pPr>
              <w:spacing w:after="0"/>
              <w:jc w:val="center"/>
              <w:rPr>
                <w:bCs/>
                <w:sz w:val="24"/>
                <w:szCs w:val="24"/>
              </w:rPr>
            </w:pPr>
          </w:p>
          <w:p w14:paraId="1BCE5A87" w14:textId="1387CEC3" w:rsidR="001B07BB" w:rsidRDefault="001B07BB" w:rsidP="00B20837">
            <w:pPr>
              <w:spacing w:after="0"/>
              <w:jc w:val="center"/>
              <w:rPr>
                <w:bCs/>
              </w:rPr>
            </w:pPr>
            <w:r>
              <w:rPr>
                <w:bCs/>
              </w:rPr>
              <w:t>d</w:t>
            </w:r>
            <w:r w:rsidRPr="001E4A60">
              <w:rPr>
                <w:bCs/>
              </w:rPr>
              <w:t xml:space="preserve">oměřeno DPH </w:t>
            </w:r>
          </w:p>
          <w:p w14:paraId="5673A23E" w14:textId="77777777" w:rsidR="001B07BB" w:rsidRPr="001E4A60" w:rsidRDefault="001B07BB" w:rsidP="00B20837">
            <w:pPr>
              <w:spacing w:after="0"/>
              <w:jc w:val="center"/>
              <w:rPr>
                <w:bCs/>
              </w:rPr>
            </w:pPr>
            <w:r w:rsidRPr="001E4A60">
              <w:rPr>
                <w:bCs/>
              </w:rPr>
              <w:t xml:space="preserve">na základě </w:t>
            </w:r>
            <w:r>
              <w:rPr>
                <w:bCs/>
              </w:rPr>
              <w:t>kontrolního hlášení v letech</w:t>
            </w:r>
          </w:p>
          <w:p w14:paraId="2D23FD04" w14:textId="77777777" w:rsidR="001B07BB" w:rsidRPr="001E4A60" w:rsidRDefault="001B07BB" w:rsidP="00B20837">
            <w:pPr>
              <w:spacing w:after="0"/>
              <w:jc w:val="center"/>
              <w:rPr>
                <w:bCs/>
              </w:rPr>
            </w:pPr>
            <w:r w:rsidRPr="001E4A60">
              <w:rPr>
                <w:bCs/>
              </w:rPr>
              <w:t>2016</w:t>
            </w:r>
            <w:r>
              <w:t>–</w:t>
            </w:r>
            <w:r w:rsidRPr="001E4A60">
              <w:rPr>
                <w:bCs/>
              </w:rPr>
              <w:t>2022</w:t>
            </w:r>
          </w:p>
          <w:p w14:paraId="58AE49C9" w14:textId="77777777" w:rsidR="001B07BB" w:rsidRPr="004841CC" w:rsidRDefault="001B07BB" w:rsidP="000C2FC0">
            <w:pPr>
              <w:jc w:val="center"/>
              <w:rPr>
                <w:b/>
              </w:rPr>
            </w:pPr>
          </w:p>
        </w:tc>
      </w:tr>
    </w:tbl>
    <w:p w14:paraId="1DE337C5" w14:textId="77777777" w:rsidR="001B07BB" w:rsidRPr="00B512E4" w:rsidRDefault="001B07BB" w:rsidP="001B07BB">
      <w:pPr>
        <w:rPr>
          <w:sz w:val="20"/>
          <w:szCs w:val="20"/>
        </w:rPr>
      </w:pPr>
      <w:r>
        <w:rPr>
          <w:noProof/>
          <w:sz w:val="20"/>
          <w:szCs w:val="20"/>
        </w:rPr>
        <mc:AlternateContent>
          <mc:Choice Requires="wps">
            <w:drawing>
              <wp:anchor distT="0" distB="0" distL="114300" distR="114300" simplePos="0" relativeHeight="251661312" behindDoc="0" locked="0" layoutInCell="1" allowOverlap="1" wp14:anchorId="2275404E" wp14:editId="0730BDE4">
                <wp:simplePos x="0" y="0"/>
                <wp:positionH relativeFrom="column">
                  <wp:posOffset>73127</wp:posOffset>
                </wp:positionH>
                <wp:positionV relativeFrom="paragraph">
                  <wp:posOffset>123419</wp:posOffset>
                </wp:positionV>
                <wp:extent cx="5589270" cy="1404518"/>
                <wp:effectExtent l="0" t="0" r="11430" b="24765"/>
                <wp:wrapNone/>
                <wp:docPr id="43" name="Obdélník: se zakulacenými rohy 43"/>
                <wp:cNvGraphicFramePr/>
                <a:graphic xmlns:a="http://schemas.openxmlformats.org/drawingml/2006/main">
                  <a:graphicData uri="http://schemas.microsoft.com/office/word/2010/wordprocessingShape">
                    <wps:wsp>
                      <wps:cNvSpPr/>
                      <wps:spPr>
                        <a:xfrm>
                          <a:off x="0" y="0"/>
                          <a:ext cx="5589270" cy="1404518"/>
                        </a:xfrm>
                        <a:prstGeom prst="roundRect">
                          <a:avLst/>
                        </a:prstGeom>
                        <a:noFill/>
                        <a:ln>
                          <a:solidFill>
                            <a:srgbClr val="2EA6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EA7D89" id="Obdélník: se zakulacenými rohy 43" o:spid="_x0000_s1026" style="position:absolute;margin-left:5.75pt;margin-top:9.7pt;width:440.1pt;height:11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" filled="f" strokecolor="#2ea6ac" strokeweight="1pt">
                <v:stroke joinstyle="miter"/>
              </v:roundrect>
            </w:pict>
          </mc:Fallback>
        </mc:AlternateContent>
      </w:r>
    </w:p>
    <w:p w14:paraId="602B339C" w14:textId="77777777" w:rsidR="00CF6FED" w:rsidRPr="00C47E97" w:rsidRDefault="0093232C" w:rsidP="002722B0">
      <w:pPr>
        <w:pStyle w:val="Nadpis1"/>
        <w:numPr>
          <w:ilvl w:val="0"/>
          <w:numId w:val="0"/>
        </w:numPr>
        <w:spacing w:before="0" w:line="264" w:lineRule="auto"/>
        <w:rPr>
          <w:sz w:val="28"/>
          <w:szCs w:val="24"/>
        </w:rPr>
      </w:pPr>
      <w:r w:rsidRPr="00C47E97">
        <w:rPr>
          <w:sz w:val="28"/>
          <w:szCs w:val="24"/>
        </w:rPr>
        <w:lastRenderedPageBreak/>
        <w:t>I. Shrnutí a vyhodnocení</w:t>
      </w:r>
    </w:p>
    <w:p w14:paraId="7467D0A5" w14:textId="554F7DEA" w:rsidR="006C34E8" w:rsidRPr="00D2282E" w:rsidRDefault="00F92467" w:rsidP="00C47E97">
      <w:pPr>
        <w:autoSpaceDE w:val="0"/>
        <w:autoSpaceDN w:val="0"/>
        <w:adjustRightInd w:val="0"/>
        <w:spacing w:after="120" w:line="240" w:lineRule="auto"/>
        <w:jc w:val="both"/>
        <w:rPr>
          <w:rFonts w:cstheme="minorHAnsi"/>
          <w:bCs/>
          <w:sz w:val="24"/>
          <w:szCs w:val="24"/>
          <w:lang w:eastAsia="cs-CZ"/>
        </w:rPr>
      </w:pPr>
      <w:bookmarkStart w:id="2" w:name="_Hlk115940593"/>
      <w:r w:rsidRPr="00D2282E">
        <w:rPr>
          <w:rFonts w:cstheme="minorHAnsi"/>
          <w:bCs/>
          <w:sz w:val="24"/>
          <w:szCs w:val="24"/>
          <w:lang w:eastAsia="cs-CZ"/>
        </w:rPr>
        <w:t>V boji proti daňovým únikům byly v roce 2016 zavedeny dva nové nástroje – od 1. ledna kontrolní hlášení</w:t>
      </w:r>
      <w:r w:rsidRPr="00D2282E">
        <w:rPr>
          <w:rStyle w:val="Znakapoznpodarou"/>
          <w:rFonts w:cstheme="minorHAnsi"/>
          <w:bCs/>
          <w:sz w:val="24"/>
          <w:szCs w:val="24"/>
          <w:lang w:eastAsia="cs-CZ"/>
        </w:rPr>
        <w:footnoteReference w:id="1"/>
      </w:r>
      <w:r w:rsidRPr="00D2282E">
        <w:rPr>
          <w:rFonts w:cstheme="minorHAnsi"/>
          <w:bCs/>
          <w:sz w:val="24"/>
          <w:szCs w:val="24"/>
          <w:lang w:eastAsia="cs-CZ"/>
        </w:rPr>
        <w:t xml:space="preserve"> a od 1. prosince evidence tržeb</w:t>
      </w:r>
      <w:r w:rsidR="005277FF" w:rsidRPr="00D2282E">
        <w:rPr>
          <w:rStyle w:val="Znakapoznpodarou"/>
          <w:rFonts w:cstheme="minorHAnsi"/>
          <w:bCs/>
          <w:sz w:val="24"/>
          <w:szCs w:val="24"/>
          <w:lang w:eastAsia="cs-CZ"/>
        </w:rPr>
        <w:footnoteReference w:id="2"/>
      </w:r>
      <w:r w:rsidRPr="00D2282E">
        <w:rPr>
          <w:rFonts w:cstheme="minorHAnsi"/>
          <w:bCs/>
          <w:sz w:val="24"/>
          <w:szCs w:val="24"/>
          <w:lang w:eastAsia="cs-CZ"/>
        </w:rPr>
        <w:t xml:space="preserve">. Kontrolní hlášení </w:t>
      </w:r>
      <w:r w:rsidR="00672FEB" w:rsidRPr="00D2282E">
        <w:rPr>
          <w:rFonts w:cstheme="minorHAnsi"/>
          <w:bCs/>
          <w:sz w:val="24"/>
          <w:szCs w:val="24"/>
          <w:lang w:eastAsia="cs-CZ"/>
        </w:rPr>
        <w:t xml:space="preserve">(dále také „KH“) </w:t>
      </w:r>
      <w:r w:rsidRPr="00D2282E">
        <w:rPr>
          <w:rFonts w:cstheme="minorHAnsi"/>
          <w:bCs/>
          <w:sz w:val="24"/>
          <w:szCs w:val="24"/>
          <w:lang w:eastAsia="cs-CZ"/>
        </w:rPr>
        <w:t>bylo zavedeno z důvodu zlepšení výběru daní s cílem zavedení účinného a flexibilního nástroje v</w:t>
      </w:r>
      <w:r w:rsidR="001664C8" w:rsidRPr="00D2282E">
        <w:rPr>
          <w:rFonts w:cstheme="minorHAnsi"/>
          <w:bCs/>
          <w:sz w:val="24"/>
          <w:szCs w:val="24"/>
          <w:lang w:eastAsia="cs-CZ"/>
        </w:rPr>
        <w:t> </w:t>
      </w:r>
      <w:r w:rsidRPr="00D2282E">
        <w:rPr>
          <w:rFonts w:cstheme="minorHAnsi"/>
          <w:bCs/>
          <w:sz w:val="24"/>
          <w:szCs w:val="24"/>
          <w:lang w:eastAsia="cs-CZ"/>
        </w:rPr>
        <w:t xml:space="preserve">boji proti daňovým podvodům. Hlavním cílem evidence tržeb </w:t>
      </w:r>
      <w:r w:rsidR="00B5611E" w:rsidRPr="00D2282E">
        <w:rPr>
          <w:rFonts w:cstheme="minorHAnsi"/>
          <w:bCs/>
          <w:sz w:val="24"/>
          <w:szCs w:val="24"/>
          <w:lang w:eastAsia="cs-CZ"/>
        </w:rPr>
        <w:t xml:space="preserve">(dále také „EET“) </w:t>
      </w:r>
      <w:r w:rsidRPr="00D2282E">
        <w:rPr>
          <w:rFonts w:cstheme="minorHAnsi"/>
          <w:bCs/>
          <w:sz w:val="24"/>
          <w:szCs w:val="24"/>
          <w:lang w:eastAsia="cs-CZ"/>
        </w:rPr>
        <w:t>bylo získání informací, které zabezpečí lepší správu daní</w:t>
      </w:r>
      <w:r w:rsidR="000E0008">
        <w:rPr>
          <w:rStyle w:val="Znakapoznpodarou"/>
          <w:rFonts w:cstheme="minorHAnsi"/>
          <w:bCs/>
          <w:sz w:val="24"/>
          <w:szCs w:val="24"/>
          <w:lang w:eastAsia="cs-CZ"/>
        </w:rPr>
        <w:footnoteReference w:id="3"/>
      </w:r>
      <w:r w:rsidRPr="00D2282E">
        <w:rPr>
          <w:rFonts w:cstheme="minorHAnsi"/>
          <w:bCs/>
          <w:sz w:val="24"/>
          <w:szCs w:val="24"/>
          <w:lang w:eastAsia="cs-CZ"/>
        </w:rPr>
        <w:t xml:space="preserve"> (zejména daní z příjmů a daně z přidané hodnoty). Přínosem jejího zavedení mělo být narovnání neoprávněné konkurenční výhody poplatníků neodvádějících </w:t>
      </w:r>
      <w:r w:rsidR="000F0C06" w:rsidRPr="00D2282E">
        <w:rPr>
          <w:rFonts w:cstheme="minorHAnsi"/>
          <w:bCs/>
          <w:sz w:val="24"/>
          <w:szCs w:val="24"/>
          <w:lang w:eastAsia="cs-CZ"/>
        </w:rPr>
        <w:t xml:space="preserve">řádně </w:t>
      </w:r>
      <w:r w:rsidRPr="00D2282E">
        <w:rPr>
          <w:rFonts w:cstheme="minorHAnsi"/>
          <w:bCs/>
          <w:sz w:val="24"/>
          <w:szCs w:val="24"/>
          <w:lang w:eastAsia="cs-CZ"/>
        </w:rPr>
        <w:t xml:space="preserve">daně a vyšší inkaso z daní. </w:t>
      </w:r>
    </w:p>
    <w:p w14:paraId="4DBC3623" w14:textId="0953775B" w:rsidR="00F92467" w:rsidRPr="00C47E97" w:rsidRDefault="006C34E8" w:rsidP="00C47E97">
      <w:pPr>
        <w:autoSpaceDE w:val="0"/>
        <w:autoSpaceDN w:val="0"/>
        <w:adjustRightInd w:val="0"/>
        <w:spacing w:after="120" w:line="240" w:lineRule="auto"/>
        <w:jc w:val="both"/>
        <w:rPr>
          <w:rFonts w:cstheme="minorHAnsi"/>
          <w:bCs/>
          <w:sz w:val="24"/>
          <w:szCs w:val="24"/>
          <w:lang w:eastAsia="cs-CZ"/>
        </w:rPr>
      </w:pPr>
      <w:r w:rsidRPr="00C47E97">
        <w:rPr>
          <w:rFonts w:cstheme="minorHAnsi"/>
          <w:bCs/>
          <w:sz w:val="24"/>
          <w:szCs w:val="24"/>
          <w:lang w:eastAsia="cs-CZ"/>
        </w:rPr>
        <w:t xml:space="preserve">Povinnost evidovat tržby </w:t>
      </w:r>
      <w:r w:rsidR="00651501" w:rsidRPr="00C47E97">
        <w:rPr>
          <w:rFonts w:cstheme="minorHAnsi"/>
          <w:bCs/>
          <w:sz w:val="24"/>
          <w:szCs w:val="24"/>
          <w:lang w:eastAsia="cs-CZ"/>
        </w:rPr>
        <w:t xml:space="preserve">měla </w:t>
      </w:r>
      <w:r w:rsidRPr="00C47E97">
        <w:rPr>
          <w:rFonts w:cstheme="minorHAnsi"/>
          <w:bCs/>
          <w:sz w:val="24"/>
          <w:szCs w:val="24"/>
          <w:lang w:eastAsia="cs-CZ"/>
        </w:rPr>
        <w:t>nabíha</w:t>
      </w:r>
      <w:r w:rsidR="00651501" w:rsidRPr="00C47E97">
        <w:rPr>
          <w:rFonts w:cstheme="minorHAnsi"/>
          <w:bCs/>
          <w:sz w:val="24"/>
          <w:szCs w:val="24"/>
          <w:lang w:eastAsia="cs-CZ"/>
        </w:rPr>
        <w:t>t</w:t>
      </w:r>
      <w:r w:rsidRPr="00C47E97">
        <w:rPr>
          <w:rFonts w:cstheme="minorHAnsi"/>
          <w:bCs/>
          <w:sz w:val="24"/>
          <w:szCs w:val="24"/>
          <w:lang w:eastAsia="cs-CZ"/>
        </w:rPr>
        <w:t xml:space="preserve"> ve </w:t>
      </w:r>
      <w:r w:rsidR="00651501" w:rsidRPr="00C47E97">
        <w:rPr>
          <w:rFonts w:cstheme="minorHAnsi"/>
          <w:bCs/>
          <w:sz w:val="24"/>
          <w:szCs w:val="24"/>
          <w:lang w:eastAsia="cs-CZ"/>
        </w:rPr>
        <w:t xml:space="preserve">čtyřech </w:t>
      </w:r>
      <w:r w:rsidRPr="00C47E97">
        <w:rPr>
          <w:rFonts w:cstheme="minorHAnsi"/>
          <w:bCs/>
          <w:sz w:val="24"/>
          <w:szCs w:val="24"/>
          <w:lang w:eastAsia="cs-CZ"/>
        </w:rPr>
        <w:t>vlnách</w:t>
      </w:r>
      <w:r w:rsidR="001C6407" w:rsidRPr="00C47E97">
        <w:rPr>
          <w:rFonts w:cstheme="minorHAnsi"/>
          <w:bCs/>
          <w:sz w:val="24"/>
          <w:szCs w:val="24"/>
          <w:lang w:eastAsia="cs-CZ"/>
        </w:rPr>
        <w:t>. V </w:t>
      </w:r>
      <w:r w:rsidRPr="00C47E97">
        <w:rPr>
          <w:rFonts w:cstheme="minorHAnsi"/>
          <w:bCs/>
          <w:sz w:val="24"/>
          <w:szCs w:val="24"/>
          <w:lang w:eastAsia="cs-CZ"/>
        </w:rPr>
        <w:t>první</w:t>
      </w:r>
      <w:r w:rsidR="001C6407" w:rsidRPr="00C47E97">
        <w:rPr>
          <w:rFonts w:cstheme="minorHAnsi"/>
          <w:bCs/>
          <w:sz w:val="24"/>
          <w:szCs w:val="24"/>
          <w:lang w:eastAsia="cs-CZ"/>
        </w:rPr>
        <w:t xml:space="preserve"> vlně</w:t>
      </w:r>
      <w:r w:rsidRPr="00C47E97">
        <w:rPr>
          <w:rFonts w:cstheme="minorHAnsi"/>
          <w:bCs/>
          <w:sz w:val="24"/>
          <w:szCs w:val="24"/>
          <w:lang w:eastAsia="cs-CZ"/>
        </w:rPr>
        <w:t xml:space="preserve"> se evidovaly tržby </w:t>
      </w:r>
      <w:r w:rsidR="00975E47">
        <w:rPr>
          <w:rFonts w:cstheme="minorHAnsi"/>
          <w:bCs/>
          <w:sz w:val="24"/>
          <w:szCs w:val="24"/>
          <w:lang w:eastAsia="cs-CZ"/>
        </w:rPr>
        <w:br/>
      </w:r>
      <w:r w:rsidRPr="00C47E97">
        <w:rPr>
          <w:rFonts w:cstheme="minorHAnsi"/>
          <w:bCs/>
          <w:sz w:val="24"/>
          <w:szCs w:val="24"/>
          <w:lang w:eastAsia="cs-CZ"/>
        </w:rPr>
        <w:t xml:space="preserve">za stravovací </w:t>
      </w:r>
      <w:r w:rsidR="00DC1B0B" w:rsidRPr="00C47E97">
        <w:rPr>
          <w:rFonts w:cstheme="minorHAnsi"/>
          <w:bCs/>
          <w:sz w:val="24"/>
          <w:szCs w:val="24"/>
          <w:lang w:eastAsia="cs-CZ"/>
        </w:rPr>
        <w:t xml:space="preserve">a ubytovací </w:t>
      </w:r>
      <w:r w:rsidRPr="00C47E97">
        <w:rPr>
          <w:rFonts w:cstheme="minorHAnsi"/>
          <w:bCs/>
          <w:sz w:val="24"/>
          <w:szCs w:val="24"/>
          <w:lang w:eastAsia="cs-CZ"/>
        </w:rPr>
        <w:t>služby (prosinec 2016), druhá vlna zahrnovala velkoobchod a</w:t>
      </w:r>
      <w:r w:rsidR="001664C8">
        <w:rPr>
          <w:rFonts w:cstheme="minorHAnsi"/>
          <w:bCs/>
          <w:sz w:val="24"/>
          <w:szCs w:val="24"/>
          <w:lang w:eastAsia="cs-CZ"/>
        </w:rPr>
        <w:t> </w:t>
      </w:r>
      <w:r w:rsidRPr="00C47E97">
        <w:rPr>
          <w:rFonts w:cstheme="minorHAnsi"/>
          <w:bCs/>
          <w:sz w:val="24"/>
          <w:szCs w:val="24"/>
          <w:lang w:eastAsia="cs-CZ"/>
        </w:rPr>
        <w:t xml:space="preserve">maloobchod (březen 2017). </w:t>
      </w:r>
      <w:r w:rsidR="008B3783">
        <w:rPr>
          <w:rFonts w:cstheme="minorHAnsi"/>
          <w:bCs/>
          <w:sz w:val="24"/>
          <w:szCs w:val="24"/>
          <w:lang w:eastAsia="cs-CZ"/>
        </w:rPr>
        <w:t xml:space="preserve">Povinnost evidovat tržby dle zákona o EET pro subjekty zařazené do </w:t>
      </w:r>
      <w:r w:rsidR="009A218C" w:rsidRPr="00C47E97">
        <w:rPr>
          <w:rFonts w:cstheme="minorHAnsi"/>
          <w:bCs/>
          <w:sz w:val="24"/>
          <w:szCs w:val="24"/>
          <w:lang w:eastAsia="cs-CZ"/>
        </w:rPr>
        <w:t>d</w:t>
      </w:r>
      <w:r w:rsidRPr="00C47E97">
        <w:rPr>
          <w:rFonts w:cstheme="minorHAnsi"/>
          <w:bCs/>
          <w:sz w:val="24"/>
          <w:szCs w:val="24"/>
          <w:lang w:eastAsia="cs-CZ"/>
        </w:rPr>
        <w:t>alší</w:t>
      </w:r>
      <w:r w:rsidR="009A218C" w:rsidRPr="00C47E97">
        <w:rPr>
          <w:rFonts w:cstheme="minorHAnsi"/>
          <w:bCs/>
          <w:sz w:val="24"/>
          <w:szCs w:val="24"/>
          <w:lang w:eastAsia="cs-CZ"/>
        </w:rPr>
        <w:t>ch</w:t>
      </w:r>
      <w:r w:rsidRPr="00C47E97">
        <w:rPr>
          <w:rFonts w:cstheme="minorHAnsi"/>
          <w:bCs/>
          <w:sz w:val="24"/>
          <w:szCs w:val="24"/>
          <w:lang w:eastAsia="cs-CZ"/>
        </w:rPr>
        <w:t xml:space="preserve"> </w:t>
      </w:r>
      <w:r w:rsidR="001C6407" w:rsidRPr="00C47E97">
        <w:rPr>
          <w:rFonts w:cstheme="minorHAnsi"/>
          <w:bCs/>
          <w:sz w:val="24"/>
          <w:szCs w:val="24"/>
          <w:lang w:eastAsia="cs-CZ"/>
        </w:rPr>
        <w:t xml:space="preserve">dvou </w:t>
      </w:r>
      <w:r w:rsidRPr="00C47E97">
        <w:rPr>
          <w:rFonts w:cstheme="minorHAnsi"/>
          <w:bCs/>
          <w:sz w:val="24"/>
          <w:szCs w:val="24"/>
          <w:lang w:eastAsia="cs-CZ"/>
        </w:rPr>
        <w:t>vln</w:t>
      </w:r>
      <w:r w:rsidR="009A218C" w:rsidRPr="00C47E97">
        <w:rPr>
          <w:rFonts w:cstheme="minorHAnsi"/>
          <w:bCs/>
          <w:sz w:val="24"/>
          <w:szCs w:val="24"/>
          <w:lang w:eastAsia="cs-CZ"/>
        </w:rPr>
        <w:t xml:space="preserve"> byla</w:t>
      </w:r>
      <w:r w:rsidRPr="00C47E97">
        <w:rPr>
          <w:rFonts w:cstheme="minorHAnsi"/>
          <w:bCs/>
          <w:sz w:val="24"/>
          <w:szCs w:val="24"/>
          <w:lang w:eastAsia="cs-CZ"/>
        </w:rPr>
        <w:t xml:space="preserve"> </w:t>
      </w:r>
      <w:r w:rsidR="009E6281" w:rsidRPr="00C47E97">
        <w:rPr>
          <w:rFonts w:cstheme="minorHAnsi"/>
          <w:bCs/>
          <w:sz w:val="24"/>
          <w:szCs w:val="24"/>
          <w:lang w:eastAsia="cs-CZ"/>
        </w:rPr>
        <w:t xml:space="preserve">v důsledku rozhodnutí </w:t>
      </w:r>
      <w:r w:rsidR="001C6407" w:rsidRPr="00C47E97">
        <w:rPr>
          <w:rFonts w:cstheme="minorHAnsi"/>
          <w:bCs/>
          <w:sz w:val="24"/>
          <w:szCs w:val="24"/>
          <w:lang w:eastAsia="cs-CZ"/>
        </w:rPr>
        <w:t>Ú</w:t>
      </w:r>
      <w:r w:rsidR="009E6281" w:rsidRPr="00C47E97">
        <w:rPr>
          <w:rFonts w:cstheme="minorHAnsi"/>
          <w:bCs/>
          <w:sz w:val="24"/>
          <w:szCs w:val="24"/>
          <w:lang w:eastAsia="cs-CZ"/>
        </w:rPr>
        <w:t xml:space="preserve">stavního soudu a pandemie </w:t>
      </w:r>
      <w:r w:rsidR="000F0C06">
        <w:rPr>
          <w:rFonts w:cstheme="minorHAnsi"/>
          <w:bCs/>
          <w:sz w:val="24"/>
          <w:szCs w:val="24"/>
          <w:lang w:eastAsia="cs-CZ"/>
        </w:rPr>
        <w:t>covidu</w:t>
      </w:r>
      <w:r w:rsidR="009E6281" w:rsidRPr="00C47E97">
        <w:rPr>
          <w:rFonts w:cstheme="minorHAnsi"/>
          <w:bCs/>
          <w:sz w:val="24"/>
          <w:szCs w:val="24"/>
          <w:lang w:eastAsia="cs-CZ"/>
        </w:rPr>
        <w:t>-19 odložen</w:t>
      </w:r>
      <w:r w:rsidR="009A218C" w:rsidRPr="00C47E97">
        <w:rPr>
          <w:rFonts w:cstheme="minorHAnsi"/>
          <w:bCs/>
          <w:sz w:val="24"/>
          <w:szCs w:val="24"/>
          <w:lang w:eastAsia="cs-CZ"/>
        </w:rPr>
        <w:t>a</w:t>
      </w:r>
      <w:r w:rsidR="009A218C" w:rsidRPr="00C47E97">
        <w:rPr>
          <w:rStyle w:val="Znakapoznpodarou"/>
          <w:rFonts w:cstheme="minorHAnsi"/>
          <w:bCs/>
          <w:sz w:val="24"/>
          <w:szCs w:val="24"/>
          <w:lang w:eastAsia="cs-CZ"/>
        </w:rPr>
        <w:footnoteReference w:id="4"/>
      </w:r>
      <w:r w:rsidR="001C6407" w:rsidRPr="00C47E97">
        <w:rPr>
          <w:rFonts w:cstheme="minorHAnsi"/>
          <w:bCs/>
          <w:sz w:val="24"/>
          <w:szCs w:val="24"/>
          <w:lang w:eastAsia="cs-CZ"/>
        </w:rPr>
        <w:t>,</w:t>
      </w:r>
      <w:r w:rsidR="004E730C">
        <w:rPr>
          <w:rFonts w:cstheme="minorHAnsi"/>
          <w:bCs/>
          <w:sz w:val="24"/>
          <w:szCs w:val="24"/>
          <w:lang w:eastAsia="cs-CZ"/>
        </w:rPr>
        <w:t xml:space="preserve"> v</w:t>
      </w:r>
      <w:r w:rsidR="000F0C06">
        <w:rPr>
          <w:rFonts w:cstheme="minorHAnsi"/>
          <w:bCs/>
          <w:sz w:val="24"/>
          <w:szCs w:val="24"/>
          <w:lang w:eastAsia="cs-CZ"/>
        </w:rPr>
        <w:t xml:space="preserve"> </w:t>
      </w:r>
      <w:r w:rsidR="004E730C">
        <w:rPr>
          <w:rFonts w:cstheme="minorHAnsi"/>
          <w:bCs/>
          <w:sz w:val="24"/>
          <w:szCs w:val="24"/>
          <w:lang w:eastAsia="cs-CZ"/>
        </w:rPr>
        <w:t>období od 27.</w:t>
      </w:r>
      <w:r w:rsidR="000F0C06">
        <w:rPr>
          <w:rFonts w:cstheme="minorHAnsi"/>
          <w:bCs/>
          <w:sz w:val="24"/>
          <w:szCs w:val="24"/>
          <w:lang w:eastAsia="cs-CZ"/>
        </w:rPr>
        <w:t xml:space="preserve"> </w:t>
      </w:r>
      <w:r w:rsidR="004E730C">
        <w:rPr>
          <w:rFonts w:cstheme="minorHAnsi"/>
          <w:bCs/>
          <w:sz w:val="24"/>
          <w:szCs w:val="24"/>
          <w:lang w:eastAsia="cs-CZ"/>
        </w:rPr>
        <w:t>3.</w:t>
      </w:r>
      <w:r w:rsidR="000F0C06">
        <w:rPr>
          <w:rFonts w:cstheme="minorHAnsi"/>
          <w:bCs/>
          <w:sz w:val="24"/>
          <w:szCs w:val="24"/>
          <w:lang w:eastAsia="cs-CZ"/>
        </w:rPr>
        <w:t xml:space="preserve"> </w:t>
      </w:r>
      <w:r w:rsidR="004E730C">
        <w:rPr>
          <w:rFonts w:cstheme="minorHAnsi"/>
          <w:bCs/>
          <w:sz w:val="24"/>
          <w:szCs w:val="24"/>
          <w:lang w:eastAsia="cs-CZ"/>
        </w:rPr>
        <w:t>2020 do 31.</w:t>
      </w:r>
      <w:r w:rsidR="000F0C06">
        <w:rPr>
          <w:rFonts w:cstheme="minorHAnsi"/>
          <w:bCs/>
          <w:sz w:val="24"/>
          <w:szCs w:val="24"/>
          <w:lang w:eastAsia="cs-CZ"/>
        </w:rPr>
        <w:t xml:space="preserve"> </w:t>
      </w:r>
      <w:r w:rsidR="004E730C">
        <w:rPr>
          <w:rFonts w:cstheme="minorHAnsi"/>
          <w:bCs/>
          <w:sz w:val="24"/>
          <w:szCs w:val="24"/>
          <w:lang w:eastAsia="cs-CZ"/>
        </w:rPr>
        <w:t>12.</w:t>
      </w:r>
      <w:r w:rsidR="000F0C06">
        <w:rPr>
          <w:rFonts w:cstheme="minorHAnsi"/>
          <w:bCs/>
          <w:sz w:val="24"/>
          <w:szCs w:val="24"/>
          <w:lang w:eastAsia="cs-CZ"/>
        </w:rPr>
        <w:t xml:space="preserve"> </w:t>
      </w:r>
      <w:r w:rsidR="004E730C">
        <w:rPr>
          <w:rFonts w:cstheme="minorHAnsi"/>
          <w:bCs/>
          <w:sz w:val="24"/>
          <w:szCs w:val="24"/>
          <w:lang w:eastAsia="cs-CZ"/>
        </w:rPr>
        <w:t>2022 pozastavena</w:t>
      </w:r>
      <w:r w:rsidR="0098629F">
        <w:rPr>
          <w:rStyle w:val="Znakapoznpodarou"/>
          <w:rFonts w:cstheme="minorHAnsi"/>
          <w:bCs/>
          <w:sz w:val="24"/>
          <w:szCs w:val="24"/>
          <w:lang w:eastAsia="cs-CZ"/>
        </w:rPr>
        <w:footnoteReference w:id="5"/>
      </w:r>
      <w:r w:rsidR="004E730C">
        <w:rPr>
          <w:rFonts w:cstheme="minorHAnsi"/>
          <w:bCs/>
          <w:sz w:val="24"/>
          <w:szCs w:val="24"/>
          <w:lang w:eastAsia="cs-CZ"/>
        </w:rPr>
        <w:t xml:space="preserve"> a</w:t>
      </w:r>
      <w:r w:rsidR="001C6407" w:rsidRPr="00C47E97">
        <w:rPr>
          <w:rFonts w:cstheme="minorHAnsi"/>
          <w:bCs/>
          <w:sz w:val="24"/>
          <w:szCs w:val="24"/>
          <w:lang w:eastAsia="cs-CZ"/>
        </w:rPr>
        <w:t xml:space="preserve"> o</w:t>
      </w:r>
      <w:r w:rsidR="0021588B" w:rsidRPr="00C47E97">
        <w:rPr>
          <w:rFonts w:cstheme="minorHAnsi"/>
          <w:bCs/>
          <w:sz w:val="24"/>
          <w:szCs w:val="24"/>
          <w:lang w:eastAsia="cs-CZ"/>
        </w:rPr>
        <w:t>d 1. 1. 2023 byla EET zrušena</w:t>
      </w:r>
      <w:r w:rsidR="0021588B" w:rsidRPr="00C47E97">
        <w:rPr>
          <w:rStyle w:val="Znakapoznpodarou"/>
          <w:rFonts w:cstheme="minorHAnsi"/>
          <w:bCs/>
          <w:sz w:val="24"/>
          <w:szCs w:val="24"/>
          <w:lang w:eastAsia="cs-CZ"/>
        </w:rPr>
        <w:footnoteReference w:id="6"/>
      </w:r>
      <w:r w:rsidR="0021588B" w:rsidRPr="00C47E97">
        <w:rPr>
          <w:rFonts w:cstheme="minorHAnsi"/>
          <w:bCs/>
          <w:sz w:val="24"/>
          <w:szCs w:val="24"/>
          <w:lang w:eastAsia="cs-CZ"/>
        </w:rPr>
        <w:t xml:space="preserve">. </w:t>
      </w:r>
    </w:p>
    <w:p w14:paraId="4875C1A5" w14:textId="77777777" w:rsidR="007B6111" w:rsidRPr="005277FF" w:rsidRDefault="005277FF" w:rsidP="007B6111">
      <w:pPr>
        <w:autoSpaceDE w:val="0"/>
        <w:autoSpaceDN w:val="0"/>
        <w:adjustRightInd w:val="0"/>
        <w:spacing w:after="120" w:line="240" w:lineRule="auto"/>
        <w:jc w:val="both"/>
        <w:rPr>
          <w:rFonts w:ascii="Calibri" w:hAnsi="Calibri" w:cs="Calibri"/>
          <w:bCs/>
          <w:sz w:val="24"/>
          <w:szCs w:val="24"/>
          <w:lang w:eastAsia="cs-CZ"/>
        </w:rPr>
      </w:pPr>
      <w:r w:rsidRPr="00C47E97">
        <w:rPr>
          <w:rFonts w:cstheme="minorHAnsi"/>
          <w:bCs/>
          <w:sz w:val="24"/>
          <w:szCs w:val="24"/>
          <w:lang w:eastAsia="cs-CZ"/>
        </w:rPr>
        <w:t>Cílem kontroly NKÚ bylo prověřit, zda byly peněžní prostředky státu určené na vybraná opatření proti daňovým únikům na dani z přidané hodnoty vynakládány účelně a v souladu s</w:t>
      </w:r>
      <w:r w:rsidR="001664C8">
        <w:rPr>
          <w:rFonts w:cstheme="minorHAnsi"/>
          <w:bCs/>
          <w:sz w:val="24"/>
          <w:szCs w:val="24"/>
          <w:lang w:eastAsia="cs-CZ"/>
        </w:rPr>
        <w:t> </w:t>
      </w:r>
      <w:r w:rsidRPr="00C47E97">
        <w:rPr>
          <w:rFonts w:cstheme="minorHAnsi"/>
          <w:bCs/>
          <w:sz w:val="24"/>
          <w:szCs w:val="24"/>
          <w:lang w:eastAsia="cs-CZ"/>
        </w:rPr>
        <w:t xml:space="preserve">právními předpisy. </w:t>
      </w:r>
    </w:p>
    <w:p w14:paraId="5CAEF02F" w14:textId="2D4B3FB7" w:rsidR="00B216DF" w:rsidRDefault="00B216DF" w:rsidP="00B216DF">
      <w:pPr>
        <w:autoSpaceDE w:val="0"/>
        <w:autoSpaceDN w:val="0"/>
        <w:adjustRightInd w:val="0"/>
        <w:spacing w:after="120" w:line="240" w:lineRule="auto"/>
        <w:jc w:val="both"/>
        <w:rPr>
          <w:rFonts w:cstheme="minorHAnsi"/>
          <w:b/>
          <w:sz w:val="24"/>
          <w:szCs w:val="24"/>
          <w:lang w:eastAsia="cs-CZ"/>
        </w:rPr>
      </w:pPr>
      <w:r w:rsidRPr="00C47E97">
        <w:rPr>
          <w:rFonts w:cstheme="minorHAnsi"/>
          <w:b/>
          <w:sz w:val="24"/>
          <w:szCs w:val="24"/>
          <w:lang w:eastAsia="cs-CZ"/>
        </w:rPr>
        <w:t xml:space="preserve">Peněžní prostředky vynaložené </w:t>
      </w:r>
      <w:r w:rsidR="000F0C06" w:rsidRPr="000F0C06">
        <w:rPr>
          <w:rFonts w:cstheme="minorHAnsi"/>
          <w:b/>
          <w:sz w:val="24"/>
          <w:szCs w:val="24"/>
          <w:lang w:eastAsia="cs-CZ"/>
        </w:rPr>
        <w:t>Generální</w:t>
      </w:r>
      <w:r w:rsidR="000F0C06">
        <w:rPr>
          <w:rFonts w:cstheme="minorHAnsi"/>
          <w:b/>
          <w:sz w:val="24"/>
          <w:szCs w:val="24"/>
          <w:lang w:eastAsia="cs-CZ"/>
        </w:rPr>
        <w:t>m</w:t>
      </w:r>
      <w:r w:rsidR="000F0C06" w:rsidRPr="000F0C06">
        <w:rPr>
          <w:rFonts w:cstheme="minorHAnsi"/>
          <w:b/>
          <w:sz w:val="24"/>
          <w:szCs w:val="24"/>
          <w:lang w:eastAsia="cs-CZ"/>
        </w:rPr>
        <w:t xml:space="preserve"> finanční</w:t>
      </w:r>
      <w:r w:rsidR="000F0C06">
        <w:rPr>
          <w:rFonts w:cstheme="minorHAnsi"/>
          <w:b/>
          <w:sz w:val="24"/>
          <w:szCs w:val="24"/>
          <w:lang w:eastAsia="cs-CZ"/>
        </w:rPr>
        <w:t>m</w:t>
      </w:r>
      <w:r w:rsidR="000F0C06" w:rsidRPr="000F0C06">
        <w:rPr>
          <w:rFonts w:cstheme="minorHAnsi"/>
          <w:b/>
          <w:sz w:val="24"/>
          <w:szCs w:val="24"/>
          <w:lang w:eastAsia="cs-CZ"/>
        </w:rPr>
        <w:t xml:space="preserve"> ředitelství</w:t>
      </w:r>
      <w:r w:rsidR="000F0C06">
        <w:rPr>
          <w:rFonts w:cstheme="minorHAnsi"/>
          <w:b/>
          <w:sz w:val="24"/>
          <w:szCs w:val="24"/>
          <w:lang w:eastAsia="cs-CZ"/>
        </w:rPr>
        <w:t>m</w:t>
      </w:r>
      <w:r w:rsidRPr="00C47E97">
        <w:rPr>
          <w:rFonts w:cstheme="minorHAnsi"/>
          <w:b/>
          <w:sz w:val="24"/>
          <w:szCs w:val="24"/>
          <w:lang w:eastAsia="cs-CZ"/>
        </w:rPr>
        <w:t xml:space="preserve"> na kontrolní hlášení v letech 2015–2022 ve</w:t>
      </w:r>
      <w:r w:rsidR="000F0C06">
        <w:rPr>
          <w:rFonts w:cstheme="minorHAnsi"/>
          <w:b/>
          <w:sz w:val="24"/>
          <w:szCs w:val="24"/>
          <w:lang w:eastAsia="cs-CZ"/>
        </w:rPr>
        <w:t xml:space="preserve"> </w:t>
      </w:r>
      <w:r w:rsidRPr="00C47E97">
        <w:rPr>
          <w:rFonts w:cstheme="minorHAnsi"/>
          <w:b/>
          <w:sz w:val="24"/>
          <w:szCs w:val="24"/>
          <w:lang w:eastAsia="cs-CZ"/>
        </w:rPr>
        <w:t>výši</w:t>
      </w:r>
      <w:r w:rsidR="000F0C06">
        <w:rPr>
          <w:rFonts w:cstheme="minorHAnsi"/>
          <w:b/>
          <w:sz w:val="24"/>
          <w:szCs w:val="24"/>
          <w:lang w:eastAsia="cs-CZ"/>
        </w:rPr>
        <w:t xml:space="preserve"> </w:t>
      </w:r>
      <w:r w:rsidRPr="00C47E97">
        <w:rPr>
          <w:rFonts w:cstheme="minorHAnsi"/>
          <w:b/>
          <w:sz w:val="24"/>
          <w:szCs w:val="24"/>
          <w:lang w:eastAsia="cs-CZ"/>
        </w:rPr>
        <w:t>257,6</w:t>
      </w:r>
      <w:r>
        <w:rPr>
          <w:rFonts w:cstheme="minorHAnsi"/>
          <w:b/>
          <w:sz w:val="24"/>
          <w:szCs w:val="24"/>
          <w:lang w:eastAsia="cs-CZ"/>
        </w:rPr>
        <w:t> </w:t>
      </w:r>
      <w:r w:rsidRPr="00C47E97">
        <w:rPr>
          <w:rFonts w:cstheme="minorHAnsi"/>
          <w:b/>
          <w:sz w:val="24"/>
          <w:szCs w:val="24"/>
          <w:lang w:eastAsia="cs-CZ"/>
        </w:rPr>
        <w:t xml:space="preserve">mil. Kč vyhodnotil </w:t>
      </w:r>
      <w:r>
        <w:rPr>
          <w:rFonts w:cstheme="minorHAnsi"/>
          <w:b/>
          <w:sz w:val="24"/>
          <w:szCs w:val="24"/>
          <w:lang w:eastAsia="cs-CZ"/>
        </w:rPr>
        <w:t xml:space="preserve">NKÚ </w:t>
      </w:r>
      <w:r w:rsidRPr="00C47E97">
        <w:rPr>
          <w:rFonts w:cstheme="minorHAnsi"/>
          <w:b/>
          <w:sz w:val="24"/>
          <w:szCs w:val="24"/>
          <w:lang w:eastAsia="cs-CZ"/>
        </w:rPr>
        <w:t xml:space="preserve">jako účelné. Finanční správa České republiky jeho zavedením získala nástroj pro detekci rizikových transakcí. </w:t>
      </w:r>
    </w:p>
    <w:p w14:paraId="629DFD3D" w14:textId="6A6BA15F" w:rsidR="00103A79" w:rsidRDefault="007B6111" w:rsidP="00752C89">
      <w:pPr>
        <w:autoSpaceDE w:val="0"/>
        <w:autoSpaceDN w:val="0"/>
        <w:adjustRightInd w:val="0"/>
        <w:spacing w:after="120" w:line="240" w:lineRule="auto"/>
        <w:jc w:val="both"/>
        <w:rPr>
          <w:rFonts w:ascii="Calibri" w:hAnsi="Calibri" w:cs="Calibri"/>
          <w:b/>
          <w:sz w:val="24"/>
          <w:szCs w:val="24"/>
          <w:lang w:eastAsia="cs-CZ"/>
        </w:rPr>
      </w:pPr>
      <w:r w:rsidRPr="00140B5C">
        <w:rPr>
          <w:rFonts w:ascii="Calibri" w:hAnsi="Calibri" w:cs="Calibri"/>
          <w:b/>
          <w:bCs/>
          <w:sz w:val="24"/>
          <w:szCs w:val="24"/>
          <w:lang w:eastAsia="cs-CZ"/>
        </w:rPr>
        <w:t>MF, GFŘ a GŘC vynaložily v letech 201</w:t>
      </w:r>
      <w:r w:rsidR="000F0C06">
        <w:rPr>
          <w:rFonts w:ascii="Calibri" w:hAnsi="Calibri" w:cs="Calibri"/>
          <w:b/>
          <w:bCs/>
          <w:sz w:val="24"/>
          <w:szCs w:val="24"/>
          <w:lang w:eastAsia="cs-CZ"/>
        </w:rPr>
        <w:t>5–</w:t>
      </w:r>
      <w:r w:rsidRPr="00140B5C">
        <w:rPr>
          <w:rFonts w:ascii="Calibri" w:hAnsi="Calibri" w:cs="Calibri"/>
          <w:b/>
          <w:bCs/>
          <w:sz w:val="24"/>
          <w:szCs w:val="24"/>
          <w:lang w:eastAsia="cs-CZ"/>
        </w:rPr>
        <w:t xml:space="preserve">2023 na zavedení a provoz EET celkem </w:t>
      </w:r>
      <w:r w:rsidR="00975E47">
        <w:rPr>
          <w:rFonts w:ascii="Calibri" w:hAnsi="Calibri" w:cs="Calibri"/>
          <w:b/>
          <w:bCs/>
          <w:sz w:val="24"/>
          <w:szCs w:val="24"/>
          <w:lang w:eastAsia="cs-CZ"/>
        </w:rPr>
        <w:br/>
      </w:r>
      <w:r w:rsidRPr="00140B5C">
        <w:rPr>
          <w:rFonts w:ascii="Calibri" w:hAnsi="Calibri" w:cs="Calibri"/>
          <w:b/>
          <w:bCs/>
          <w:sz w:val="24"/>
          <w:szCs w:val="24"/>
          <w:lang w:eastAsia="cs-CZ"/>
        </w:rPr>
        <w:t>2 237,</w:t>
      </w:r>
      <w:r w:rsidR="00140B5C" w:rsidRPr="00140B5C">
        <w:rPr>
          <w:rFonts w:ascii="Calibri" w:hAnsi="Calibri" w:cs="Calibri"/>
          <w:b/>
          <w:bCs/>
          <w:sz w:val="24"/>
          <w:szCs w:val="24"/>
          <w:lang w:eastAsia="cs-CZ"/>
        </w:rPr>
        <w:t>5</w:t>
      </w:r>
      <w:r w:rsidRPr="00140B5C">
        <w:rPr>
          <w:rFonts w:ascii="Calibri" w:hAnsi="Calibri" w:cs="Calibri"/>
          <w:b/>
          <w:bCs/>
          <w:sz w:val="24"/>
          <w:szCs w:val="24"/>
          <w:lang w:eastAsia="cs-CZ"/>
        </w:rPr>
        <w:t xml:space="preserve"> mil. Kč.</w:t>
      </w:r>
      <w:r>
        <w:rPr>
          <w:rFonts w:ascii="Calibri" w:hAnsi="Calibri" w:cs="Calibri"/>
          <w:bCs/>
          <w:sz w:val="24"/>
          <w:szCs w:val="24"/>
          <w:lang w:eastAsia="cs-CZ"/>
        </w:rPr>
        <w:t xml:space="preserve"> </w:t>
      </w:r>
      <w:r w:rsidR="00BD447E" w:rsidRPr="00F8418D">
        <w:rPr>
          <w:rFonts w:ascii="Calibri" w:hAnsi="Calibri" w:cs="Calibri"/>
          <w:b/>
          <w:bCs/>
          <w:sz w:val="24"/>
          <w:szCs w:val="24"/>
          <w:lang w:eastAsia="cs-CZ"/>
        </w:rPr>
        <w:t xml:space="preserve">FS ČR po zrušení EET ztratila </w:t>
      </w:r>
      <w:r w:rsidR="00DB2264">
        <w:rPr>
          <w:rFonts w:ascii="Calibri" w:hAnsi="Calibri" w:cs="Calibri"/>
          <w:b/>
          <w:bCs/>
          <w:sz w:val="24"/>
          <w:szCs w:val="24"/>
          <w:lang w:eastAsia="cs-CZ"/>
        </w:rPr>
        <w:t>jeden z</w:t>
      </w:r>
      <w:r w:rsidR="00103A79">
        <w:rPr>
          <w:rFonts w:ascii="Calibri" w:hAnsi="Calibri" w:cs="Calibri"/>
          <w:b/>
          <w:bCs/>
          <w:sz w:val="24"/>
          <w:szCs w:val="24"/>
          <w:lang w:eastAsia="cs-CZ"/>
        </w:rPr>
        <w:t> </w:t>
      </w:r>
      <w:r w:rsidR="00BD447E" w:rsidRPr="00F8418D">
        <w:rPr>
          <w:rFonts w:ascii="Calibri" w:hAnsi="Calibri" w:cs="Calibri"/>
          <w:b/>
          <w:bCs/>
          <w:sz w:val="24"/>
          <w:szCs w:val="24"/>
          <w:lang w:eastAsia="cs-CZ"/>
        </w:rPr>
        <w:t>nástroj</w:t>
      </w:r>
      <w:r w:rsidR="00DB2264">
        <w:rPr>
          <w:rFonts w:ascii="Calibri" w:hAnsi="Calibri" w:cs="Calibri"/>
          <w:b/>
          <w:bCs/>
          <w:sz w:val="24"/>
          <w:szCs w:val="24"/>
          <w:lang w:eastAsia="cs-CZ"/>
        </w:rPr>
        <w:t>ů</w:t>
      </w:r>
      <w:r w:rsidR="00103A79">
        <w:rPr>
          <w:rFonts w:ascii="Calibri" w:hAnsi="Calibri" w:cs="Calibri"/>
          <w:b/>
          <w:bCs/>
          <w:sz w:val="24"/>
          <w:szCs w:val="24"/>
          <w:lang w:eastAsia="cs-CZ"/>
        </w:rPr>
        <w:t>, kter</w:t>
      </w:r>
      <w:r w:rsidR="00921E32">
        <w:rPr>
          <w:rFonts w:ascii="Calibri" w:hAnsi="Calibri" w:cs="Calibri"/>
          <w:b/>
          <w:bCs/>
          <w:sz w:val="24"/>
          <w:szCs w:val="24"/>
          <w:lang w:eastAsia="cs-CZ"/>
        </w:rPr>
        <w:t>é</w:t>
      </w:r>
      <w:r w:rsidR="00103A79">
        <w:rPr>
          <w:rFonts w:ascii="Calibri" w:hAnsi="Calibri" w:cs="Calibri"/>
          <w:b/>
          <w:bCs/>
          <w:sz w:val="24"/>
          <w:szCs w:val="24"/>
          <w:lang w:eastAsia="cs-CZ"/>
        </w:rPr>
        <w:t xml:space="preserve"> umož</w:t>
      </w:r>
      <w:r w:rsidR="000F0C06">
        <w:rPr>
          <w:rFonts w:ascii="Calibri" w:hAnsi="Calibri" w:cs="Calibri"/>
          <w:b/>
          <w:bCs/>
          <w:sz w:val="24"/>
          <w:szCs w:val="24"/>
          <w:lang w:eastAsia="cs-CZ"/>
        </w:rPr>
        <w:t>ň</w:t>
      </w:r>
      <w:r w:rsidR="00921E32">
        <w:rPr>
          <w:rFonts w:ascii="Calibri" w:hAnsi="Calibri" w:cs="Calibri"/>
          <w:b/>
          <w:bCs/>
          <w:sz w:val="24"/>
          <w:szCs w:val="24"/>
          <w:lang w:eastAsia="cs-CZ"/>
        </w:rPr>
        <w:t>ují</w:t>
      </w:r>
      <w:r w:rsidR="00103A79">
        <w:rPr>
          <w:rFonts w:ascii="Calibri" w:hAnsi="Calibri" w:cs="Calibri"/>
          <w:b/>
          <w:bCs/>
          <w:sz w:val="24"/>
          <w:szCs w:val="24"/>
          <w:lang w:eastAsia="cs-CZ"/>
        </w:rPr>
        <w:t xml:space="preserve"> kontrol</w:t>
      </w:r>
      <w:r w:rsidR="000F0C06">
        <w:rPr>
          <w:rFonts w:ascii="Calibri" w:hAnsi="Calibri" w:cs="Calibri"/>
          <w:b/>
          <w:bCs/>
          <w:sz w:val="24"/>
          <w:szCs w:val="24"/>
          <w:lang w:eastAsia="cs-CZ"/>
        </w:rPr>
        <w:t>ovat</w:t>
      </w:r>
      <w:r w:rsidR="00103A79">
        <w:rPr>
          <w:rFonts w:ascii="Calibri" w:hAnsi="Calibri" w:cs="Calibri"/>
          <w:b/>
          <w:bCs/>
          <w:sz w:val="24"/>
          <w:szCs w:val="24"/>
          <w:lang w:eastAsia="cs-CZ"/>
        </w:rPr>
        <w:t xml:space="preserve"> realizovan</w:t>
      </w:r>
      <w:r w:rsidR="000F0C06">
        <w:rPr>
          <w:rFonts w:ascii="Calibri" w:hAnsi="Calibri" w:cs="Calibri"/>
          <w:b/>
          <w:bCs/>
          <w:sz w:val="24"/>
          <w:szCs w:val="24"/>
          <w:lang w:eastAsia="cs-CZ"/>
        </w:rPr>
        <w:t>é</w:t>
      </w:r>
      <w:r w:rsidR="00103A79">
        <w:rPr>
          <w:rFonts w:ascii="Calibri" w:hAnsi="Calibri" w:cs="Calibri"/>
          <w:b/>
          <w:bCs/>
          <w:sz w:val="24"/>
          <w:szCs w:val="24"/>
          <w:lang w:eastAsia="cs-CZ"/>
        </w:rPr>
        <w:t xml:space="preserve"> trž</w:t>
      </w:r>
      <w:r w:rsidR="000F0C06">
        <w:rPr>
          <w:rFonts w:ascii="Calibri" w:hAnsi="Calibri" w:cs="Calibri"/>
          <w:b/>
          <w:bCs/>
          <w:sz w:val="24"/>
          <w:szCs w:val="24"/>
          <w:lang w:eastAsia="cs-CZ"/>
        </w:rPr>
        <w:t>by</w:t>
      </w:r>
      <w:r w:rsidR="00103A79">
        <w:rPr>
          <w:rFonts w:ascii="Calibri" w:hAnsi="Calibri" w:cs="Calibri"/>
          <w:b/>
          <w:bCs/>
          <w:sz w:val="24"/>
          <w:szCs w:val="24"/>
          <w:lang w:eastAsia="cs-CZ"/>
        </w:rPr>
        <w:t xml:space="preserve"> a </w:t>
      </w:r>
      <w:r w:rsidR="000F0C06">
        <w:rPr>
          <w:rFonts w:ascii="Calibri" w:hAnsi="Calibri" w:cs="Calibri"/>
          <w:b/>
          <w:bCs/>
          <w:sz w:val="24"/>
          <w:szCs w:val="24"/>
          <w:lang w:eastAsia="cs-CZ"/>
        </w:rPr>
        <w:t xml:space="preserve">odhalovat </w:t>
      </w:r>
      <w:r w:rsidR="00103A79">
        <w:rPr>
          <w:rFonts w:ascii="Calibri" w:hAnsi="Calibri" w:cs="Calibri"/>
          <w:b/>
          <w:bCs/>
          <w:sz w:val="24"/>
          <w:szCs w:val="24"/>
          <w:lang w:eastAsia="cs-CZ"/>
        </w:rPr>
        <w:t>jejich krácení.</w:t>
      </w:r>
      <w:r w:rsidR="00BD447E" w:rsidRPr="00F8418D">
        <w:rPr>
          <w:rFonts w:ascii="Calibri" w:hAnsi="Calibri" w:cs="Calibri"/>
          <w:b/>
          <w:bCs/>
          <w:sz w:val="24"/>
          <w:szCs w:val="24"/>
          <w:lang w:eastAsia="cs-CZ"/>
        </w:rPr>
        <w:t xml:space="preserve"> </w:t>
      </w:r>
      <w:r w:rsidR="00F63435">
        <w:rPr>
          <w:rFonts w:cstheme="minorHAnsi"/>
          <w:b/>
          <w:bCs/>
          <w:sz w:val="24"/>
          <w:szCs w:val="24"/>
        </w:rPr>
        <w:t>Z</w:t>
      </w:r>
      <w:r w:rsidR="007B3BCE">
        <w:rPr>
          <w:rFonts w:cstheme="minorHAnsi"/>
          <w:b/>
          <w:bCs/>
          <w:sz w:val="24"/>
          <w:szCs w:val="24"/>
        </w:rPr>
        <w:t xml:space="preserve"> </w:t>
      </w:r>
      <w:r w:rsidR="00F63435">
        <w:rPr>
          <w:rFonts w:cstheme="minorHAnsi"/>
          <w:b/>
          <w:bCs/>
          <w:sz w:val="24"/>
          <w:szCs w:val="24"/>
        </w:rPr>
        <w:t xml:space="preserve">pohledu DPH byla EET prostředkem pro </w:t>
      </w:r>
      <w:r w:rsidR="00103A79" w:rsidRPr="00F63435">
        <w:rPr>
          <w:rFonts w:cstheme="minorHAnsi"/>
          <w:b/>
          <w:bCs/>
          <w:sz w:val="24"/>
          <w:szCs w:val="24"/>
        </w:rPr>
        <w:t>účinnější a administrativně jednodušší získání informací pro odhalení daňových subjektů, které překročily limit pro povinnou registraci k DPH.</w:t>
      </w:r>
      <w:r w:rsidR="00103A79" w:rsidRPr="00D2282E">
        <w:rPr>
          <w:rFonts w:cstheme="minorHAnsi"/>
          <w:sz w:val="24"/>
          <w:szCs w:val="24"/>
        </w:rPr>
        <w:t xml:space="preserve"> </w:t>
      </w:r>
    </w:p>
    <w:p w14:paraId="6208EC9E" w14:textId="54B1AC77" w:rsidR="00D0088E" w:rsidRDefault="000F0C06" w:rsidP="00C47E97">
      <w:pPr>
        <w:keepNext/>
        <w:spacing w:before="240" w:after="240" w:line="240" w:lineRule="auto"/>
        <w:jc w:val="both"/>
        <w:rPr>
          <w:rFonts w:cstheme="minorHAnsi"/>
          <w:sz w:val="24"/>
          <w:szCs w:val="24"/>
          <w:lang w:eastAsia="cs-CZ"/>
        </w:rPr>
      </w:pPr>
      <w:r>
        <w:rPr>
          <w:rFonts w:cstheme="minorHAnsi"/>
          <w:sz w:val="24"/>
          <w:szCs w:val="24"/>
          <w:lang w:eastAsia="cs-CZ"/>
        </w:rPr>
        <w:t>Toto c</w:t>
      </w:r>
      <w:r w:rsidR="00D0088E" w:rsidRPr="00C47E97">
        <w:rPr>
          <w:rFonts w:cstheme="minorHAnsi"/>
          <w:sz w:val="24"/>
          <w:szCs w:val="24"/>
          <w:lang w:eastAsia="cs-CZ"/>
        </w:rPr>
        <w:t xml:space="preserve">elkové vyhodnocení se opírá o následující </w:t>
      </w:r>
      <w:r>
        <w:rPr>
          <w:rFonts w:cstheme="minorHAnsi"/>
          <w:sz w:val="24"/>
          <w:szCs w:val="24"/>
          <w:lang w:eastAsia="cs-CZ"/>
        </w:rPr>
        <w:t>zjištění</w:t>
      </w:r>
      <w:r w:rsidR="00D0088E" w:rsidRPr="00C47E97">
        <w:rPr>
          <w:rFonts w:cstheme="minorHAnsi"/>
          <w:sz w:val="24"/>
          <w:szCs w:val="24"/>
          <w:lang w:eastAsia="cs-CZ"/>
        </w:rPr>
        <w:t>:</w:t>
      </w:r>
      <w:bookmarkStart w:id="3" w:name="_Hlk160103598"/>
    </w:p>
    <w:p w14:paraId="0B6A52FA" w14:textId="0562C3EB" w:rsidR="0085416F" w:rsidRPr="00D2282E" w:rsidRDefault="0085416F" w:rsidP="0085416F">
      <w:pPr>
        <w:pStyle w:val="NadpisKZ"/>
        <w:ind w:left="284" w:hanging="357"/>
      </w:pPr>
      <w:r w:rsidRPr="00D2282E">
        <w:t>Kontrolní hlášení napomáhá v boji proti daňovým únikům</w:t>
      </w:r>
    </w:p>
    <w:p w14:paraId="08FDF1AD" w14:textId="3902C18C" w:rsidR="0085416F" w:rsidRPr="00D2282E" w:rsidRDefault="0085416F" w:rsidP="0085416F">
      <w:pPr>
        <w:spacing w:after="120" w:line="240" w:lineRule="auto"/>
        <w:ind w:left="284"/>
        <w:jc w:val="both"/>
        <w:rPr>
          <w:rFonts w:cstheme="minorHAnsi"/>
          <w:sz w:val="24"/>
          <w:szCs w:val="24"/>
        </w:rPr>
      </w:pPr>
      <w:r w:rsidRPr="00D2282E">
        <w:rPr>
          <w:rFonts w:cstheme="minorHAnsi"/>
          <w:bCs/>
          <w:color w:val="000000"/>
          <w:sz w:val="24"/>
          <w:szCs w:val="24"/>
        </w:rPr>
        <w:t xml:space="preserve">NKÚ </w:t>
      </w:r>
      <w:r w:rsidRPr="00F737F6">
        <w:rPr>
          <w:rFonts w:cstheme="minorHAnsi"/>
          <w:bCs/>
          <w:color w:val="000000"/>
          <w:sz w:val="24"/>
          <w:szCs w:val="24"/>
        </w:rPr>
        <w:t xml:space="preserve">zjistil, že GFŘ vynaložilo v letech 2015 až 2022 na zavedení a fungování kontrolního hlášení celkem 257,6 mil. Kč. Analýzou dat z kontrolního hlášení Finanční správa ČR (dále také „FS ČR“) detekovala více než 10 mil. rizikových transakcí. </w:t>
      </w:r>
      <w:r w:rsidRPr="00F737F6">
        <w:rPr>
          <w:rFonts w:cstheme="minorHAnsi"/>
          <w:sz w:val="24"/>
          <w:szCs w:val="24"/>
        </w:rPr>
        <w:t xml:space="preserve">FS ČR doměřila </w:t>
      </w:r>
      <w:bookmarkStart w:id="4" w:name="_Hlk165379457"/>
      <w:r w:rsidRPr="00F737F6">
        <w:rPr>
          <w:rFonts w:cstheme="minorHAnsi"/>
          <w:sz w:val="24"/>
          <w:szCs w:val="24"/>
        </w:rPr>
        <w:t>daň z přidané hodnoty</w:t>
      </w:r>
      <w:bookmarkEnd w:id="4"/>
      <w:r w:rsidRPr="00F737F6">
        <w:rPr>
          <w:rFonts w:cstheme="minorHAnsi"/>
          <w:sz w:val="24"/>
          <w:szCs w:val="24"/>
        </w:rPr>
        <w:t xml:space="preserve"> (dále také „DPH“) na základě údajů z kontrolního hlášení za roky</w:t>
      </w:r>
      <w:r w:rsidRPr="00D2282E">
        <w:rPr>
          <w:rFonts w:cstheme="minorHAnsi"/>
          <w:sz w:val="24"/>
          <w:szCs w:val="24"/>
        </w:rPr>
        <w:t xml:space="preserve"> 2016–2022 </w:t>
      </w:r>
      <w:r w:rsidR="00F849A5">
        <w:rPr>
          <w:rFonts w:cstheme="minorHAnsi"/>
          <w:sz w:val="24"/>
          <w:szCs w:val="24"/>
        </w:rPr>
        <w:br/>
      </w:r>
      <w:r>
        <w:rPr>
          <w:rFonts w:cstheme="minorHAnsi"/>
          <w:sz w:val="24"/>
          <w:szCs w:val="24"/>
        </w:rPr>
        <w:t>ve výši</w:t>
      </w:r>
      <w:r w:rsidRPr="00D2282E">
        <w:rPr>
          <w:rFonts w:cstheme="minorHAnsi"/>
          <w:sz w:val="24"/>
          <w:szCs w:val="24"/>
        </w:rPr>
        <w:t xml:space="preserve"> 10 787 mil. Kč, což je 16 % z celkem doměřené daně</w:t>
      </w:r>
      <w:r w:rsidR="00F617CD">
        <w:rPr>
          <w:rFonts w:cstheme="minorHAnsi"/>
          <w:sz w:val="24"/>
          <w:szCs w:val="24"/>
        </w:rPr>
        <w:t xml:space="preserve"> </w:t>
      </w:r>
      <w:r w:rsidRPr="00D2282E">
        <w:rPr>
          <w:rFonts w:cstheme="minorHAnsi"/>
          <w:sz w:val="24"/>
          <w:szCs w:val="24"/>
        </w:rPr>
        <w:t xml:space="preserve">v těchto letech. </w:t>
      </w:r>
    </w:p>
    <w:p w14:paraId="112D3DD0" w14:textId="46E94DB1" w:rsidR="006C218B" w:rsidRPr="00C47E97" w:rsidRDefault="00D01F23" w:rsidP="00C47E97">
      <w:pPr>
        <w:pStyle w:val="NadpisKZ"/>
        <w:ind w:left="284" w:hanging="357"/>
      </w:pPr>
      <w:bookmarkStart w:id="5" w:name="_Hlk166496245"/>
      <w:bookmarkStart w:id="6" w:name="_Hlk162002738"/>
      <w:bookmarkEnd w:id="3"/>
      <w:r>
        <w:lastRenderedPageBreak/>
        <w:t>Po spuštění první a druhé vlny EET tvořili plátci DPH více než 50 %</w:t>
      </w:r>
      <w:r w:rsidR="00975E47">
        <w:t xml:space="preserve"> přihlášených subjektů</w:t>
      </w:r>
    </w:p>
    <w:bookmarkEnd w:id="5"/>
    <w:p w14:paraId="0FA8FE60" w14:textId="30A66FFB" w:rsidR="00556EEB" w:rsidRPr="00C47E97" w:rsidRDefault="00140B5C" w:rsidP="00C47E97">
      <w:pPr>
        <w:pStyle w:val="Odstavecseseznamem"/>
        <w:spacing w:after="120" w:line="240" w:lineRule="auto"/>
        <w:ind w:left="284"/>
        <w:contextualSpacing w:val="0"/>
        <w:jc w:val="both"/>
        <w:rPr>
          <w:rFonts w:cstheme="minorHAnsi"/>
          <w:sz w:val="24"/>
          <w:szCs w:val="24"/>
        </w:rPr>
      </w:pPr>
      <w:r w:rsidRPr="00C47E97">
        <w:rPr>
          <w:rFonts w:cstheme="minorHAnsi"/>
          <w:sz w:val="24"/>
          <w:szCs w:val="24"/>
        </w:rPr>
        <w:t xml:space="preserve">Na zavedení </w:t>
      </w:r>
      <w:r w:rsidR="00AA4543">
        <w:rPr>
          <w:rFonts w:cstheme="minorHAnsi"/>
          <w:sz w:val="24"/>
          <w:szCs w:val="24"/>
        </w:rPr>
        <w:t xml:space="preserve">a provoz </w:t>
      </w:r>
      <w:r w:rsidRPr="00C47E97">
        <w:rPr>
          <w:rFonts w:cstheme="minorHAnsi"/>
          <w:sz w:val="24"/>
          <w:szCs w:val="24"/>
        </w:rPr>
        <w:t xml:space="preserve">všech vln EET vynaložily </w:t>
      </w:r>
      <w:r>
        <w:rPr>
          <w:rFonts w:cstheme="minorHAnsi"/>
          <w:sz w:val="24"/>
          <w:szCs w:val="24"/>
        </w:rPr>
        <w:t xml:space="preserve">MF, </w:t>
      </w:r>
      <w:r w:rsidRPr="00C47E97">
        <w:rPr>
          <w:rFonts w:cstheme="minorHAnsi"/>
          <w:sz w:val="24"/>
          <w:szCs w:val="24"/>
        </w:rPr>
        <w:t xml:space="preserve">GFŘ a GŘC </w:t>
      </w:r>
      <w:r w:rsidR="00AA4543">
        <w:rPr>
          <w:rFonts w:cstheme="minorHAnsi"/>
          <w:sz w:val="24"/>
          <w:szCs w:val="24"/>
        </w:rPr>
        <w:t>v letech 2015–2023</w:t>
      </w:r>
      <w:r w:rsidRPr="00C47E97">
        <w:rPr>
          <w:rFonts w:cstheme="minorHAnsi"/>
          <w:sz w:val="24"/>
          <w:szCs w:val="24"/>
        </w:rPr>
        <w:t xml:space="preserve"> </w:t>
      </w:r>
      <w:r w:rsidR="0086533E">
        <w:rPr>
          <w:rFonts w:cstheme="minorHAnsi"/>
          <w:sz w:val="24"/>
          <w:szCs w:val="24"/>
        </w:rPr>
        <w:t>celkem</w:t>
      </w:r>
      <w:r>
        <w:rPr>
          <w:rFonts w:cstheme="minorHAnsi"/>
          <w:sz w:val="24"/>
          <w:szCs w:val="24"/>
        </w:rPr>
        <w:t xml:space="preserve"> </w:t>
      </w:r>
      <w:r w:rsidR="00F849A5">
        <w:rPr>
          <w:rFonts w:cstheme="minorHAnsi"/>
          <w:sz w:val="24"/>
          <w:szCs w:val="24"/>
        </w:rPr>
        <w:br/>
      </w:r>
      <w:r w:rsidR="00AA4543">
        <w:rPr>
          <w:rFonts w:cstheme="minorHAnsi"/>
          <w:sz w:val="24"/>
          <w:szCs w:val="24"/>
        </w:rPr>
        <w:t>2 237,5</w:t>
      </w:r>
      <w:r w:rsidRPr="00C47E97">
        <w:rPr>
          <w:rFonts w:cstheme="minorHAnsi"/>
          <w:sz w:val="24"/>
          <w:szCs w:val="24"/>
        </w:rPr>
        <w:t xml:space="preserve"> mil. Kč.</w:t>
      </w:r>
      <w:r w:rsidRPr="005E6AE9">
        <w:rPr>
          <w:rFonts w:cstheme="minorHAnsi"/>
          <w:sz w:val="24"/>
          <w:szCs w:val="24"/>
        </w:rPr>
        <w:t xml:space="preserve"> </w:t>
      </w:r>
      <w:r w:rsidR="00466C89" w:rsidRPr="00C47E97">
        <w:rPr>
          <w:rFonts w:cstheme="minorHAnsi"/>
          <w:sz w:val="24"/>
          <w:szCs w:val="24"/>
        </w:rPr>
        <w:t>Z</w:t>
      </w:r>
      <w:r w:rsidR="001C109F" w:rsidRPr="00C47E97">
        <w:rPr>
          <w:rFonts w:cstheme="minorHAnsi"/>
          <w:sz w:val="24"/>
          <w:szCs w:val="24"/>
        </w:rPr>
        <w:t>avedení první a</w:t>
      </w:r>
      <w:r w:rsidR="001664C8">
        <w:rPr>
          <w:rFonts w:cstheme="minorHAnsi"/>
          <w:sz w:val="24"/>
          <w:szCs w:val="24"/>
        </w:rPr>
        <w:t> </w:t>
      </w:r>
      <w:r w:rsidR="001C109F" w:rsidRPr="00C47E97">
        <w:rPr>
          <w:rFonts w:cstheme="minorHAnsi"/>
          <w:sz w:val="24"/>
          <w:szCs w:val="24"/>
        </w:rPr>
        <w:t>druhé vlny</w:t>
      </w:r>
      <w:r w:rsidR="00AB1645" w:rsidRPr="00C47E97">
        <w:rPr>
          <w:rFonts w:cstheme="minorHAnsi"/>
          <w:sz w:val="24"/>
          <w:szCs w:val="24"/>
        </w:rPr>
        <w:t xml:space="preserve"> EET</w:t>
      </w:r>
      <w:r w:rsidR="001C109F" w:rsidRPr="00C47E97">
        <w:rPr>
          <w:rFonts w:cstheme="minorHAnsi"/>
          <w:sz w:val="24"/>
          <w:szCs w:val="24"/>
        </w:rPr>
        <w:t xml:space="preserve"> </w:t>
      </w:r>
      <w:r w:rsidR="00AB1645" w:rsidRPr="00C47E97">
        <w:rPr>
          <w:rFonts w:cstheme="minorHAnsi"/>
          <w:sz w:val="24"/>
          <w:szCs w:val="24"/>
        </w:rPr>
        <w:t>se</w:t>
      </w:r>
      <w:r w:rsidR="001C6407" w:rsidRPr="00C47E97">
        <w:rPr>
          <w:rFonts w:cstheme="minorHAnsi"/>
          <w:sz w:val="24"/>
          <w:szCs w:val="24"/>
        </w:rPr>
        <w:t xml:space="preserve"> mělo</w:t>
      </w:r>
      <w:r w:rsidR="00AB1645" w:rsidRPr="00C47E97">
        <w:rPr>
          <w:rFonts w:cstheme="minorHAnsi"/>
          <w:sz w:val="24"/>
          <w:szCs w:val="24"/>
        </w:rPr>
        <w:t xml:space="preserve"> týka</w:t>
      </w:r>
      <w:r w:rsidR="001C6407" w:rsidRPr="00C47E97">
        <w:rPr>
          <w:rFonts w:cstheme="minorHAnsi"/>
          <w:sz w:val="24"/>
          <w:szCs w:val="24"/>
        </w:rPr>
        <w:t>t</w:t>
      </w:r>
      <w:r w:rsidR="001C109F" w:rsidRPr="00C47E97">
        <w:rPr>
          <w:rFonts w:cstheme="minorHAnsi"/>
          <w:sz w:val="24"/>
          <w:szCs w:val="24"/>
        </w:rPr>
        <w:t xml:space="preserve"> 19</w:t>
      </w:r>
      <w:r w:rsidR="00AB1645" w:rsidRPr="00C47E97">
        <w:rPr>
          <w:rFonts w:cstheme="minorHAnsi"/>
          <w:sz w:val="24"/>
          <w:szCs w:val="24"/>
        </w:rPr>
        <w:t> </w:t>
      </w:r>
      <w:r w:rsidR="001C109F" w:rsidRPr="00C47E97">
        <w:rPr>
          <w:rFonts w:cstheme="minorHAnsi"/>
          <w:sz w:val="24"/>
          <w:szCs w:val="24"/>
        </w:rPr>
        <w:t>% daňových subjektů</w:t>
      </w:r>
      <w:r w:rsidR="00250C8C">
        <w:rPr>
          <w:rFonts w:cstheme="minorHAnsi"/>
          <w:sz w:val="24"/>
          <w:szCs w:val="24"/>
        </w:rPr>
        <w:t>, které měly</w:t>
      </w:r>
      <w:r w:rsidR="005249A6">
        <w:rPr>
          <w:rFonts w:cstheme="minorHAnsi"/>
          <w:sz w:val="24"/>
          <w:szCs w:val="24"/>
        </w:rPr>
        <w:t xml:space="preserve"> </w:t>
      </w:r>
      <w:r w:rsidR="00250C8C">
        <w:rPr>
          <w:rFonts w:cstheme="minorHAnsi"/>
          <w:sz w:val="24"/>
          <w:szCs w:val="24"/>
        </w:rPr>
        <w:t xml:space="preserve">dle zákona </w:t>
      </w:r>
      <w:r w:rsidR="005249A6">
        <w:rPr>
          <w:rFonts w:cstheme="minorHAnsi"/>
          <w:sz w:val="24"/>
          <w:szCs w:val="24"/>
        </w:rPr>
        <w:t xml:space="preserve">o EET </w:t>
      </w:r>
      <w:r w:rsidR="00250C8C">
        <w:rPr>
          <w:rFonts w:cstheme="minorHAnsi"/>
          <w:sz w:val="24"/>
          <w:szCs w:val="24"/>
        </w:rPr>
        <w:t>povinnost evidovat tržby</w:t>
      </w:r>
      <w:r w:rsidR="001C109F" w:rsidRPr="00C47E97">
        <w:rPr>
          <w:rFonts w:cstheme="minorHAnsi"/>
          <w:sz w:val="24"/>
          <w:szCs w:val="24"/>
        </w:rPr>
        <w:t>.</w:t>
      </w:r>
      <w:r w:rsidR="00B5425C" w:rsidRPr="00C47E97">
        <w:rPr>
          <w:rFonts w:cstheme="minorHAnsi"/>
          <w:sz w:val="24"/>
          <w:szCs w:val="24"/>
        </w:rPr>
        <w:t xml:space="preserve"> </w:t>
      </w:r>
      <w:r w:rsidR="007C633B" w:rsidRPr="00C47E97">
        <w:rPr>
          <w:rFonts w:cstheme="minorHAnsi"/>
          <w:sz w:val="24"/>
          <w:szCs w:val="24"/>
        </w:rPr>
        <w:t>Tento předpoklad se v prvních dvou letech po zavedení EET naplnil a do roku 2019 nárůst subjektů přihlášen</w:t>
      </w:r>
      <w:r w:rsidR="00A7398C" w:rsidRPr="00C47E97">
        <w:rPr>
          <w:rFonts w:cstheme="minorHAnsi"/>
          <w:sz w:val="24"/>
          <w:szCs w:val="24"/>
        </w:rPr>
        <w:t>ých</w:t>
      </w:r>
      <w:r w:rsidR="007C633B" w:rsidRPr="00C47E97">
        <w:rPr>
          <w:rFonts w:cstheme="minorHAnsi"/>
          <w:sz w:val="24"/>
          <w:szCs w:val="24"/>
        </w:rPr>
        <w:t xml:space="preserve"> do EET pokračoval. Z celkového počtu daňových subjektů přihlášených k EET tvořili plátci DPH </w:t>
      </w:r>
      <w:r w:rsidR="004E730C">
        <w:rPr>
          <w:rFonts w:cstheme="minorHAnsi"/>
          <w:sz w:val="24"/>
          <w:szCs w:val="24"/>
        </w:rPr>
        <w:t>více než</w:t>
      </w:r>
      <w:r w:rsidR="004E730C" w:rsidRPr="00C47E97">
        <w:rPr>
          <w:rFonts w:cstheme="minorHAnsi"/>
          <w:sz w:val="24"/>
          <w:szCs w:val="24"/>
        </w:rPr>
        <w:t xml:space="preserve"> </w:t>
      </w:r>
      <w:r w:rsidR="007C633B" w:rsidRPr="00C47E97">
        <w:rPr>
          <w:rFonts w:cstheme="minorHAnsi"/>
          <w:sz w:val="24"/>
          <w:szCs w:val="24"/>
        </w:rPr>
        <w:t xml:space="preserve">50 %. </w:t>
      </w:r>
    </w:p>
    <w:p w14:paraId="613369FC" w14:textId="2CAF8262" w:rsidR="0021588B" w:rsidRPr="00D2282E" w:rsidRDefault="0021588B" w:rsidP="00C47E97">
      <w:pPr>
        <w:pStyle w:val="NadpisKZ"/>
        <w:ind w:left="284"/>
      </w:pPr>
      <w:r w:rsidRPr="00D2282E">
        <w:t>Zrušením povinnosti evidovat tržby ztratil</w:t>
      </w:r>
      <w:r w:rsidR="007B626B">
        <w:t>i</w:t>
      </w:r>
      <w:r w:rsidRPr="00D2282E">
        <w:t xml:space="preserve"> správc</w:t>
      </w:r>
      <w:r w:rsidR="007B626B">
        <w:t>i</w:t>
      </w:r>
      <w:r w:rsidRPr="00D2282E">
        <w:t xml:space="preserve"> daně </w:t>
      </w:r>
      <w:r w:rsidR="00E66C39">
        <w:t>jeden z</w:t>
      </w:r>
      <w:r w:rsidR="000561D8">
        <w:t xml:space="preserve"> významných </w:t>
      </w:r>
      <w:r w:rsidR="00E66C39">
        <w:t xml:space="preserve">nástrojů </w:t>
      </w:r>
      <w:r w:rsidRPr="00D2282E">
        <w:t>pro cílené prověřování daňových úniků</w:t>
      </w:r>
    </w:p>
    <w:p w14:paraId="0C75E2D5" w14:textId="77777777" w:rsidR="002829BD" w:rsidRPr="00D2282E" w:rsidRDefault="002829BD" w:rsidP="00C47E97">
      <w:pPr>
        <w:pStyle w:val="Odstavecseseznamem"/>
        <w:tabs>
          <w:tab w:val="left" w:pos="360"/>
        </w:tabs>
        <w:spacing w:after="120" w:line="240" w:lineRule="auto"/>
        <w:ind w:left="284"/>
        <w:contextualSpacing w:val="0"/>
        <w:jc w:val="both"/>
        <w:rPr>
          <w:rFonts w:cstheme="minorHAnsi"/>
          <w:sz w:val="24"/>
          <w:szCs w:val="24"/>
          <w:highlight w:val="yellow"/>
        </w:rPr>
      </w:pPr>
      <w:r w:rsidRPr="00D2282E">
        <w:rPr>
          <w:rFonts w:cstheme="minorHAnsi"/>
          <w:sz w:val="24"/>
          <w:szCs w:val="24"/>
        </w:rPr>
        <w:t>NKÚ zjistil, že využitím dat z EET a následnou kontrolní činností v letech 2017–20</w:t>
      </w:r>
      <w:r w:rsidR="00793854" w:rsidRPr="00D2282E">
        <w:rPr>
          <w:rFonts w:cstheme="minorHAnsi"/>
          <w:sz w:val="24"/>
          <w:szCs w:val="24"/>
        </w:rPr>
        <w:t>19</w:t>
      </w:r>
      <w:r w:rsidRPr="00D2282E">
        <w:rPr>
          <w:rFonts w:cstheme="minorHAnsi"/>
          <w:sz w:val="24"/>
          <w:szCs w:val="24"/>
        </w:rPr>
        <w:t xml:space="preserve"> </w:t>
      </w:r>
      <w:r w:rsidR="00672FEB" w:rsidRPr="00D2282E">
        <w:rPr>
          <w:rFonts w:cstheme="minorHAnsi"/>
          <w:sz w:val="24"/>
          <w:szCs w:val="24"/>
        </w:rPr>
        <w:t>doměřila</w:t>
      </w:r>
      <w:r w:rsidRPr="00D2282E">
        <w:rPr>
          <w:rFonts w:cstheme="minorHAnsi"/>
          <w:sz w:val="24"/>
          <w:szCs w:val="24"/>
        </w:rPr>
        <w:t xml:space="preserve"> FS ČR celkem 652 mil. Kč. </w:t>
      </w:r>
      <w:r w:rsidR="00793854" w:rsidRPr="00D2282E">
        <w:rPr>
          <w:rFonts w:cstheme="minorHAnsi"/>
          <w:sz w:val="24"/>
          <w:szCs w:val="24"/>
        </w:rPr>
        <w:t xml:space="preserve">Z toho 184,9 mil. Kč </w:t>
      </w:r>
      <w:r w:rsidR="0091052B" w:rsidRPr="00D2282E">
        <w:rPr>
          <w:rFonts w:cstheme="minorHAnsi"/>
          <w:sz w:val="24"/>
          <w:szCs w:val="24"/>
        </w:rPr>
        <w:t xml:space="preserve">doměřila </w:t>
      </w:r>
      <w:r w:rsidR="00793854" w:rsidRPr="00D2282E">
        <w:rPr>
          <w:rFonts w:cstheme="minorHAnsi"/>
          <w:sz w:val="24"/>
          <w:szCs w:val="24"/>
        </w:rPr>
        <w:t>na dani z přidané hodnoty.</w:t>
      </w:r>
    </w:p>
    <w:p w14:paraId="218BC9A4" w14:textId="55EAA996" w:rsidR="00793854" w:rsidRPr="00D2282E" w:rsidRDefault="009977A2" w:rsidP="00C47E97">
      <w:pPr>
        <w:pStyle w:val="Odstavecseseznamem"/>
        <w:tabs>
          <w:tab w:val="left" w:pos="360"/>
        </w:tabs>
        <w:spacing w:after="120" w:line="240" w:lineRule="auto"/>
        <w:ind w:left="284"/>
        <w:contextualSpacing w:val="0"/>
        <w:jc w:val="both"/>
        <w:rPr>
          <w:rFonts w:cstheme="minorHAnsi"/>
          <w:sz w:val="24"/>
          <w:szCs w:val="24"/>
        </w:rPr>
      </w:pPr>
      <w:r w:rsidRPr="00D2282E">
        <w:rPr>
          <w:rFonts w:cstheme="minorHAnsi"/>
          <w:sz w:val="24"/>
          <w:szCs w:val="24"/>
        </w:rPr>
        <w:t xml:space="preserve">NKÚ zjistil, že </w:t>
      </w:r>
      <w:r w:rsidR="002829BD" w:rsidRPr="00D2282E">
        <w:rPr>
          <w:rFonts w:cstheme="minorHAnsi"/>
          <w:sz w:val="24"/>
          <w:szCs w:val="24"/>
        </w:rPr>
        <w:t xml:space="preserve">FS ČR </w:t>
      </w:r>
      <w:r w:rsidR="00921E32">
        <w:rPr>
          <w:rFonts w:cstheme="minorHAnsi"/>
          <w:sz w:val="24"/>
          <w:szCs w:val="24"/>
        </w:rPr>
        <w:t xml:space="preserve">s </w:t>
      </w:r>
      <w:r w:rsidR="002829BD" w:rsidRPr="00D2282E">
        <w:rPr>
          <w:rFonts w:cstheme="minorHAnsi"/>
          <w:sz w:val="24"/>
          <w:szCs w:val="24"/>
        </w:rPr>
        <w:t xml:space="preserve">využitím dat z EET </w:t>
      </w:r>
      <w:r w:rsidR="0021588B" w:rsidRPr="00D2282E">
        <w:rPr>
          <w:rFonts w:cstheme="minorHAnsi"/>
          <w:sz w:val="24"/>
          <w:szCs w:val="24"/>
        </w:rPr>
        <w:t>zaregistroval</w:t>
      </w:r>
      <w:r w:rsidR="002829BD" w:rsidRPr="00D2282E">
        <w:rPr>
          <w:rFonts w:cstheme="minorHAnsi"/>
          <w:sz w:val="24"/>
          <w:szCs w:val="24"/>
        </w:rPr>
        <w:t>a</w:t>
      </w:r>
      <w:r w:rsidR="0021588B" w:rsidRPr="00D2282E">
        <w:rPr>
          <w:rFonts w:cstheme="minorHAnsi"/>
          <w:sz w:val="24"/>
          <w:szCs w:val="24"/>
        </w:rPr>
        <w:t xml:space="preserve"> k DPH celkem 7 167 daňových subjektů z důvodu překročení zákonného limitu. </w:t>
      </w:r>
    </w:p>
    <w:p w14:paraId="0AC35E44" w14:textId="65DEB7CA" w:rsidR="00890859" w:rsidRPr="00D2282E" w:rsidRDefault="00890859" w:rsidP="00C47E97">
      <w:pPr>
        <w:pStyle w:val="Odstavecseseznamem"/>
        <w:tabs>
          <w:tab w:val="left" w:pos="360"/>
        </w:tabs>
        <w:spacing w:after="120" w:line="240" w:lineRule="auto"/>
        <w:ind w:left="284"/>
        <w:contextualSpacing w:val="0"/>
        <w:jc w:val="both"/>
        <w:rPr>
          <w:rFonts w:cstheme="minorHAnsi"/>
          <w:sz w:val="24"/>
          <w:szCs w:val="24"/>
        </w:rPr>
      </w:pPr>
      <w:r w:rsidRPr="00D2282E">
        <w:rPr>
          <w:rFonts w:cstheme="minorHAnsi"/>
          <w:sz w:val="24"/>
          <w:szCs w:val="24"/>
        </w:rPr>
        <w:t xml:space="preserve">Následným zrušením EET ztratila </w:t>
      </w:r>
      <w:r w:rsidR="007B1F26" w:rsidRPr="00D2282E">
        <w:rPr>
          <w:rFonts w:cstheme="minorHAnsi"/>
          <w:sz w:val="24"/>
          <w:szCs w:val="24"/>
        </w:rPr>
        <w:t>FS ČR</w:t>
      </w:r>
      <w:r w:rsidRPr="00D2282E">
        <w:rPr>
          <w:rFonts w:cstheme="minorHAnsi"/>
          <w:sz w:val="24"/>
          <w:szCs w:val="24"/>
        </w:rPr>
        <w:t xml:space="preserve"> </w:t>
      </w:r>
      <w:r w:rsidR="002039DD">
        <w:rPr>
          <w:rFonts w:cstheme="minorHAnsi"/>
          <w:sz w:val="24"/>
          <w:szCs w:val="24"/>
        </w:rPr>
        <w:t xml:space="preserve">významný </w:t>
      </w:r>
      <w:r w:rsidRPr="00D2282E">
        <w:rPr>
          <w:rFonts w:cstheme="minorHAnsi"/>
          <w:sz w:val="24"/>
          <w:szCs w:val="24"/>
        </w:rPr>
        <w:t>nástroj, který umož</w:t>
      </w:r>
      <w:r w:rsidR="00921E32">
        <w:rPr>
          <w:rFonts w:cstheme="minorHAnsi"/>
          <w:sz w:val="24"/>
          <w:szCs w:val="24"/>
        </w:rPr>
        <w:t>ňoval</w:t>
      </w:r>
      <w:r w:rsidRPr="00D2282E">
        <w:rPr>
          <w:rFonts w:cstheme="minorHAnsi"/>
          <w:sz w:val="24"/>
          <w:szCs w:val="24"/>
        </w:rPr>
        <w:t xml:space="preserve"> kontrolu realizovaných tržeb a jejich</w:t>
      </w:r>
      <w:r w:rsidR="00E27FCA">
        <w:rPr>
          <w:rFonts w:cstheme="minorHAnsi"/>
          <w:sz w:val="24"/>
          <w:szCs w:val="24"/>
        </w:rPr>
        <w:t xml:space="preserve"> případného</w:t>
      </w:r>
      <w:r w:rsidRPr="00D2282E">
        <w:rPr>
          <w:rFonts w:cstheme="minorHAnsi"/>
          <w:sz w:val="24"/>
          <w:szCs w:val="24"/>
        </w:rPr>
        <w:t xml:space="preserve"> krácení. </w:t>
      </w:r>
      <w:r w:rsidR="007B1F26" w:rsidRPr="00D2282E">
        <w:rPr>
          <w:rFonts w:cstheme="minorHAnsi"/>
          <w:sz w:val="24"/>
          <w:szCs w:val="24"/>
        </w:rPr>
        <w:t>Zároveň přišla o nástroj pro účinnější a</w:t>
      </w:r>
      <w:r w:rsidR="00532435">
        <w:rPr>
          <w:rFonts w:cstheme="minorHAnsi"/>
          <w:sz w:val="24"/>
          <w:szCs w:val="24"/>
        </w:rPr>
        <w:t> </w:t>
      </w:r>
      <w:r w:rsidR="007B1F26" w:rsidRPr="00D2282E">
        <w:rPr>
          <w:rFonts w:cstheme="minorHAnsi"/>
          <w:sz w:val="24"/>
          <w:szCs w:val="24"/>
        </w:rPr>
        <w:t xml:space="preserve">administrativně jednodušší získání informací pro odhalení daňových subjektů, které </w:t>
      </w:r>
      <w:r w:rsidR="007B626B" w:rsidRPr="00D2282E">
        <w:rPr>
          <w:rFonts w:cstheme="minorHAnsi"/>
          <w:sz w:val="24"/>
          <w:szCs w:val="24"/>
        </w:rPr>
        <w:t>registraci k DPH neprovedly</w:t>
      </w:r>
      <w:r w:rsidR="007B626B">
        <w:rPr>
          <w:rFonts w:cstheme="minorHAnsi"/>
          <w:sz w:val="24"/>
          <w:szCs w:val="24"/>
        </w:rPr>
        <w:t xml:space="preserve">, přestože </w:t>
      </w:r>
      <w:r w:rsidR="007B1F26" w:rsidRPr="00D2282E">
        <w:rPr>
          <w:rFonts w:cstheme="minorHAnsi"/>
          <w:sz w:val="24"/>
          <w:szCs w:val="24"/>
        </w:rPr>
        <w:t>překročily limit pro povinnou registraci k</w:t>
      </w:r>
      <w:r w:rsidR="007B626B">
        <w:rPr>
          <w:rFonts w:cstheme="minorHAnsi"/>
          <w:sz w:val="24"/>
          <w:szCs w:val="24"/>
        </w:rPr>
        <w:t> </w:t>
      </w:r>
      <w:r w:rsidR="007B1F26" w:rsidRPr="00D2282E">
        <w:rPr>
          <w:rFonts w:cstheme="minorHAnsi"/>
          <w:sz w:val="24"/>
          <w:szCs w:val="24"/>
        </w:rPr>
        <w:t>DPH</w:t>
      </w:r>
      <w:r w:rsidR="007B626B">
        <w:rPr>
          <w:rFonts w:cstheme="minorHAnsi"/>
          <w:sz w:val="24"/>
          <w:szCs w:val="24"/>
        </w:rPr>
        <w:t>.</w:t>
      </w:r>
      <w:r w:rsidR="007B1F26" w:rsidRPr="00D2282E">
        <w:rPr>
          <w:rFonts w:cstheme="minorHAnsi"/>
          <w:sz w:val="24"/>
          <w:szCs w:val="24"/>
        </w:rPr>
        <w:t xml:space="preserve"> </w:t>
      </w:r>
    </w:p>
    <w:p w14:paraId="04040756" w14:textId="729ECEEF" w:rsidR="00793854" w:rsidRPr="00D2282E" w:rsidRDefault="00793854" w:rsidP="00C47E97">
      <w:pPr>
        <w:pStyle w:val="NadpisKZ"/>
        <w:ind w:left="284" w:hanging="357"/>
      </w:pPr>
      <w:r w:rsidRPr="00D2282E">
        <w:t xml:space="preserve">Při kontrolních nákupech </w:t>
      </w:r>
      <w:r w:rsidR="003C27AF" w:rsidRPr="00D2282E">
        <w:t xml:space="preserve">zjistily </w:t>
      </w:r>
      <w:r w:rsidR="005962E4" w:rsidRPr="00D2282E">
        <w:t>orgány finanční a celní správy</w:t>
      </w:r>
      <w:r w:rsidRPr="00D2282E">
        <w:t xml:space="preserve"> porušení </w:t>
      </w:r>
      <w:r w:rsidR="003C27AF" w:rsidRPr="00D2282E">
        <w:t>zákona o</w:t>
      </w:r>
      <w:r w:rsidR="008F4DD7">
        <w:t xml:space="preserve"> </w:t>
      </w:r>
      <w:r w:rsidR="006819F2" w:rsidRPr="00D2282E">
        <w:t>EET</w:t>
      </w:r>
      <w:r w:rsidRPr="00D2282E">
        <w:t xml:space="preserve"> u</w:t>
      </w:r>
      <w:r w:rsidR="001664C8" w:rsidRPr="00D2282E">
        <w:t> </w:t>
      </w:r>
      <w:r w:rsidRPr="00D2282E">
        <w:t>téměř třetiny provedených kontrol</w:t>
      </w:r>
    </w:p>
    <w:p w14:paraId="299A1D4D" w14:textId="6429BB59" w:rsidR="00B5092E" w:rsidRPr="00D2282E" w:rsidRDefault="00793854" w:rsidP="00C47E97">
      <w:pPr>
        <w:pStyle w:val="Odstavecseseznamem"/>
        <w:tabs>
          <w:tab w:val="left" w:pos="360"/>
        </w:tabs>
        <w:spacing w:after="120" w:line="240" w:lineRule="auto"/>
        <w:ind w:left="284"/>
        <w:contextualSpacing w:val="0"/>
        <w:jc w:val="both"/>
        <w:rPr>
          <w:rFonts w:cstheme="minorHAnsi"/>
          <w:sz w:val="24"/>
          <w:szCs w:val="24"/>
        </w:rPr>
      </w:pPr>
      <w:r w:rsidRPr="00D2282E">
        <w:rPr>
          <w:rFonts w:cstheme="minorHAnsi"/>
          <w:sz w:val="24"/>
          <w:szCs w:val="24"/>
        </w:rPr>
        <w:t>NKÚ zjistil, že po zavedení EET prováděl</w:t>
      </w:r>
      <w:r w:rsidR="00921E32">
        <w:rPr>
          <w:rFonts w:cstheme="minorHAnsi"/>
          <w:sz w:val="24"/>
          <w:szCs w:val="24"/>
        </w:rPr>
        <w:t>y</w:t>
      </w:r>
      <w:r w:rsidRPr="00D2282E">
        <w:rPr>
          <w:rFonts w:cstheme="minorHAnsi"/>
          <w:sz w:val="24"/>
          <w:szCs w:val="24"/>
        </w:rPr>
        <w:t xml:space="preserve"> FS ČR a </w:t>
      </w:r>
      <w:r w:rsidR="005962E4" w:rsidRPr="00D2282E">
        <w:rPr>
          <w:rFonts w:cstheme="minorHAnsi"/>
          <w:sz w:val="24"/>
          <w:szCs w:val="24"/>
        </w:rPr>
        <w:t>Celní správ</w:t>
      </w:r>
      <w:r w:rsidR="00552151" w:rsidRPr="00D2282E">
        <w:rPr>
          <w:rFonts w:cstheme="minorHAnsi"/>
          <w:sz w:val="24"/>
          <w:szCs w:val="24"/>
        </w:rPr>
        <w:t>a</w:t>
      </w:r>
      <w:r w:rsidR="005962E4" w:rsidRPr="00D2282E">
        <w:rPr>
          <w:rFonts w:cstheme="minorHAnsi"/>
          <w:sz w:val="24"/>
          <w:szCs w:val="24"/>
        </w:rPr>
        <w:t xml:space="preserve"> </w:t>
      </w:r>
      <w:r w:rsidR="00552151" w:rsidRPr="00D2282E">
        <w:rPr>
          <w:rFonts w:cstheme="minorHAnsi"/>
          <w:sz w:val="24"/>
          <w:szCs w:val="24"/>
        </w:rPr>
        <w:t>České republiky</w:t>
      </w:r>
      <w:r w:rsidR="005962E4" w:rsidRPr="00D2282E">
        <w:rPr>
          <w:rFonts w:cstheme="minorHAnsi"/>
          <w:sz w:val="24"/>
          <w:szCs w:val="24"/>
        </w:rPr>
        <w:t xml:space="preserve"> (dále také „</w:t>
      </w:r>
      <w:r w:rsidRPr="00D2282E">
        <w:rPr>
          <w:rFonts w:cstheme="minorHAnsi"/>
          <w:sz w:val="24"/>
          <w:szCs w:val="24"/>
        </w:rPr>
        <w:t>CS ČR</w:t>
      </w:r>
      <w:r w:rsidR="005962E4" w:rsidRPr="00D2282E">
        <w:rPr>
          <w:rFonts w:cstheme="minorHAnsi"/>
          <w:sz w:val="24"/>
          <w:szCs w:val="24"/>
        </w:rPr>
        <w:t>“)</w:t>
      </w:r>
      <w:r w:rsidRPr="00D2282E">
        <w:rPr>
          <w:rFonts w:cstheme="minorHAnsi"/>
          <w:sz w:val="24"/>
          <w:szCs w:val="24"/>
        </w:rPr>
        <w:t xml:space="preserve"> kontroly </w:t>
      </w:r>
      <w:r w:rsidR="006819F2" w:rsidRPr="00D2282E">
        <w:rPr>
          <w:rFonts w:cstheme="minorHAnsi"/>
          <w:sz w:val="24"/>
          <w:szCs w:val="24"/>
        </w:rPr>
        <w:t>plnění</w:t>
      </w:r>
      <w:r w:rsidRPr="00D2282E">
        <w:rPr>
          <w:rFonts w:cstheme="minorHAnsi"/>
          <w:sz w:val="24"/>
          <w:szCs w:val="24"/>
        </w:rPr>
        <w:t xml:space="preserve"> povinností vyplývající</w:t>
      </w:r>
      <w:r w:rsidR="00921E32">
        <w:rPr>
          <w:rFonts w:cstheme="minorHAnsi"/>
          <w:sz w:val="24"/>
          <w:szCs w:val="24"/>
        </w:rPr>
        <w:t>ch</w:t>
      </w:r>
      <w:r w:rsidRPr="00D2282E">
        <w:rPr>
          <w:rFonts w:cstheme="minorHAnsi"/>
          <w:sz w:val="24"/>
          <w:szCs w:val="24"/>
        </w:rPr>
        <w:t xml:space="preserve"> ze zákona o EET</w:t>
      </w:r>
      <w:r w:rsidR="003C27AF" w:rsidRPr="00D2282E">
        <w:rPr>
          <w:rFonts w:cstheme="minorHAnsi"/>
          <w:sz w:val="24"/>
          <w:szCs w:val="24"/>
        </w:rPr>
        <w:t xml:space="preserve"> formou</w:t>
      </w:r>
      <w:r w:rsidR="006819F2" w:rsidRPr="00D2282E">
        <w:rPr>
          <w:rFonts w:cstheme="minorHAnsi"/>
          <w:sz w:val="24"/>
          <w:szCs w:val="24"/>
        </w:rPr>
        <w:t xml:space="preserve"> kontrolní</w:t>
      </w:r>
      <w:r w:rsidR="003C27AF" w:rsidRPr="00D2282E">
        <w:rPr>
          <w:rFonts w:cstheme="minorHAnsi"/>
          <w:sz w:val="24"/>
          <w:szCs w:val="24"/>
        </w:rPr>
        <w:t>ch</w:t>
      </w:r>
      <w:r w:rsidR="006819F2" w:rsidRPr="00D2282E">
        <w:rPr>
          <w:rFonts w:cstheme="minorHAnsi"/>
          <w:sz w:val="24"/>
          <w:szCs w:val="24"/>
        </w:rPr>
        <w:t xml:space="preserve"> nákup</w:t>
      </w:r>
      <w:r w:rsidR="003C27AF" w:rsidRPr="00D2282E">
        <w:rPr>
          <w:rFonts w:cstheme="minorHAnsi"/>
          <w:sz w:val="24"/>
          <w:szCs w:val="24"/>
        </w:rPr>
        <w:t>ů</w:t>
      </w:r>
      <w:r w:rsidR="0094717A">
        <w:rPr>
          <w:rFonts w:cstheme="minorHAnsi"/>
          <w:sz w:val="24"/>
          <w:szCs w:val="24"/>
        </w:rPr>
        <w:t>, na které vynaložily 13,9 mil. Kč</w:t>
      </w:r>
      <w:r w:rsidR="006819F2" w:rsidRPr="00D2282E">
        <w:rPr>
          <w:rFonts w:cstheme="minorHAnsi"/>
          <w:sz w:val="24"/>
          <w:szCs w:val="24"/>
        </w:rPr>
        <w:t>.</w:t>
      </w:r>
      <w:r w:rsidR="002302A4" w:rsidRPr="00D2282E">
        <w:rPr>
          <w:rFonts w:cstheme="minorHAnsi"/>
          <w:sz w:val="24"/>
          <w:szCs w:val="24"/>
        </w:rPr>
        <w:t xml:space="preserve"> </w:t>
      </w:r>
      <w:r w:rsidR="006819F2" w:rsidRPr="00D2282E">
        <w:rPr>
          <w:rFonts w:cstheme="minorHAnsi"/>
          <w:sz w:val="24"/>
          <w:szCs w:val="24"/>
        </w:rPr>
        <w:t>C</w:t>
      </w:r>
      <w:r w:rsidR="002302A4" w:rsidRPr="00D2282E">
        <w:rPr>
          <w:rFonts w:cstheme="minorHAnsi"/>
          <w:sz w:val="24"/>
          <w:szCs w:val="24"/>
        </w:rPr>
        <w:t xml:space="preserve">elkem </w:t>
      </w:r>
      <w:r w:rsidR="004D0AF3" w:rsidRPr="00D2282E">
        <w:rPr>
          <w:rFonts w:cstheme="minorHAnsi"/>
          <w:sz w:val="24"/>
          <w:szCs w:val="24"/>
        </w:rPr>
        <w:t xml:space="preserve">FS ČR a CS ČR </w:t>
      </w:r>
      <w:r w:rsidR="00B5092E" w:rsidRPr="00D2282E">
        <w:rPr>
          <w:rFonts w:cstheme="minorHAnsi"/>
          <w:sz w:val="24"/>
          <w:szCs w:val="24"/>
        </w:rPr>
        <w:t>provedly 258 656 kontrol, z</w:t>
      </w:r>
      <w:r w:rsidR="007F4C84">
        <w:rPr>
          <w:rFonts w:cstheme="minorHAnsi"/>
          <w:sz w:val="24"/>
          <w:szCs w:val="24"/>
        </w:rPr>
        <w:t> </w:t>
      </w:r>
      <w:r w:rsidR="00B5092E" w:rsidRPr="00D2282E">
        <w:rPr>
          <w:rFonts w:cstheme="minorHAnsi"/>
          <w:sz w:val="24"/>
          <w:szCs w:val="24"/>
        </w:rPr>
        <w:t>toho</w:t>
      </w:r>
      <w:r w:rsidR="007F4C84">
        <w:rPr>
          <w:rFonts w:cstheme="minorHAnsi"/>
          <w:sz w:val="24"/>
          <w:szCs w:val="24"/>
        </w:rPr>
        <w:t> </w:t>
      </w:r>
      <w:r w:rsidR="00B5092E" w:rsidRPr="00D2282E">
        <w:rPr>
          <w:rFonts w:cstheme="minorHAnsi"/>
          <w:sz w:val="24"/>
          <w:szCs w:val="24"/>
        </w:rPr>
        <w:t>68</w:t>
      </w:r>
      <w:r w:rsidR="007F4C84">
        <w:rPr>
          <w:rFonts w:cstheme="minorHAnsi"/>
          <w:sz w:val="24"/>
          <w:szCs w:val="24"/>
        </w:rPr>
        <w:t> </w:t>
      </w:r>
      <w:r w:rsidR="00B5092E" w:rsidRPr="00D2282E">
        <w:rPr>
          <w:rFonts w:cstheme="minorHAnsi"/>
          <w:sz w:val="24"/>
          <w:szCs w:val="24"/>
        </w:rPr>
        <w:t xml:space="preserve">006 kontrol bylo se zjištěním porušení </w:t>
      </w:r>
      <w:r w:rsidR="006819F2" w:rsidRPr="00D2282E">
        <w:rPr>
          <w:rFonts w:cstheme="minorHAnsi"/>
          <w:sz w:val="24"/>
          <w:szCs w:val="24"/>
        </w:rPr>
        <w:t>povinností v souvislosti s</w:t>
      </w:r>
      <w:r w:rsidR="00B5092E" w:rsidRPr="00D2282E">
        <w:rPr>
          <w:rFonts w:cstheme="minorHAnsi"/>
          <w:sz w:val="24"/>
          <w:szCs w:val="24"/>
        </w:rPr>
        <w:t xml:space="preserve"> EET. Z uložených sankcí ve výši 229,7 mil. Kč bylo uhrazeno 220 mil. Kč, tj. </w:t>
      </w:r>
      <w:r w:rsidR="00AA7BDF">
        <w:rPr>
          <w:rFonts w:cstheme="minorHAnsi"/>
          <w:sz w:val="24"/>
          <w:szCs w:val="24"/>
        </w:rPr>
        <w:t xml:space="preserve">téměř </w:t>
      </w:r>
      <w:r w:rsidR="00B5092E" w:rsidRPr="00D2282E">
        <w:rPr>
          <w:rFonts w:cstheme="minorHAnsi"/>
          <w:sz w:val="24"/>
          <w:szCs w:val="24"/>
        </w:rPr>
        <w:t>96 % předepsaných sankcí.</w:t>
      </w:r>
      <w:r w:rsidR="003C27AF" w:rsidRPr="00D2282E">
        <w:rPr>
          <w:rFonts w:cstheme="minorHAnsi"/>
          <w:sz w:val="24"/>
          <w:szCs w:val="24"/>
        </w:rPr>
        <w:t xml:space="preserve"> </w:t>
      </w:r>
    </w:p>
    <w:p w14:paraId="1862C926" w14:textId="01B3415D" w:rsidR="007631F3" w:rsidRPr="00D2282E" w:rsidRDefault="007631F3" w:rsidP="00C47E97">
      <w:pPr>
        <w:pStyle w:val="Odstavecseseznamem"/>
        <w:tabs>
          <w:tab w:val="left" w:pos="360"/>
        </w:tabs>
        <w:spacing w:after="120" w:line="240" w:lineRule="auto"/>
        <w:ind w:left="284"/>
        <w:contextualSpacing w:val="0"/>
        <w:jc w:val="both"/>
        <w:rPr>
          <w:rFonts w:cstheme="minorHAnsi"/>
          <w:sz w:val="24"/>
          <w:szCs w:val="24"/>
        </w:rPr>
      </w:pPr>
      <w:r w:rsidRPr="00D2282E">
        <w:rPr>
          <w:rFonts w:cstheme="minorHAnsi"/>
          <w:sz w:val="24"/>
          <w:szCs w:val="24"/>
        </w:rPr>
        <w:t xml:space="preserve">NKÚ zjistil, že </w:t>
      </w:r>
      <w:r w:rsidR="00921E32">
        <w:rPr>
          <w:rFonts w:cstheme="minorHAnsi"/>
          <w:sz w:val="24"/>
          <w:szCs w:val="24"/>
        </w:rPr>
        <w:t xml:space="preserve">z celkového počtu provozoven, </w:t>
      </w:r>
      <w:r w:rsidR="00921E32" w:rsidRPr="00D2282E">
        <w:rPr>
          <w:rFonts w:cstheme="minorHAnsi"/>
          <w:sz w:val="24"/>
          <w:szCs w:val="24"/>
        </w:rPr>
        <w:t>u nichž kontrol</w:t>
      </w:r>
      <w:r w:rsidR="00292D17">
        <w:rPr>
          <w:rFonts w:cstheme="minorHAnsi"/>
          <w:sz w:val="24"/>
          <w:szCs w:val="24"/>
        </w:rPr>
        <w:t>a</w:t>
      </w:r>
      <w:r w:rsidR="00921E32" w:rsidRPr="00D2282E">
        <w:rPr>
          <w:rFonts w:cstheme="minorHAnsi"/>
          <w:sz w:val="24"/>
          <w:szCs w:val="24"/>
        </w:rPr>
        <w:t xml:space="preserve"> </w:t>
      </w:r>
      <w:r w:rsidR="00921E32">
        <w:rPr>
          <w:rFonts w:cstheme="minorHAnsi"/>
          <w:sz w:val="24"/>
          <w:szCs w:val="24"/>
        </w:rPr>
        <w:t>odhal</w:t>
      </w:r>
      <w:r w:rsidR="00292D17">
        <w:rPr>
          <w:rFonts w:cstheme="minorHAnsi"/>
          <w:sz w:val="24"/>
          <w:szCs w:val="24"/>
        </w:rPr>
        <w:t>ila</w:t>
      </w:r>
      <w:r w:rsidR="00921E32" w:rsidRPr="00D2282E">
        <w:rPr>
          <w:rFonts w:cstheme="minorHAnsi"/>
          <w:sz w:val="24"/>
          <w:szCs w:val="24"/>
        </w:rPr>
        <w:t xml:space="preserve"> porušení povinností v souvislosti s</w:t>
      </w:r>
      <w:r w:rsidR="00292D17">
        <w:rPr>
          <w:rFonts w:cstheme="minorHAnsi"/>
          <w:sz w:val="24"/>
          <w:szCs w:val="24"/>
        </w:rPr>
        <w:t xml:space="preserve"> </w:t>
      </w:r>
      <w:r w:rsidR="00921E32" w:rsidRPr="00D2282E">
        <w:rPr>
          <w:rFonts w:cstheme="minorHAnsi"/>
          <w:sz w:val="24"/>
          <w:szCs w:val="24"/>
        </w:rPr>
        <w:t>EET</w:t>
      </w:r>
      <w:r w:rsidR="00921E32">
        <w:rPr>
          <w:rFonts w:cstheme="minorHAnsi"/>
          <w:sz w:val="24"/>
          <w:szCs w:val="24"/>
        </w:rPr>
        <w:t xml:space="preserve">, </w:t>
      </w:r>
      <w:r w:rsidRPr="00D2282E">
        <w:rPr>
          <w:rFonts w:cstheme="minorHAnsi"/>
          <w:sz w:val="24"/>
          <w:szCs w:val="24"/>
        </w:rPr>
        <w:t>38 % provozoven kontrolovaných FS ČR</w:t>
      </w:r>
      <w:r w:rsidR="00921E32">
        <w:rPr>
          <w:rFonts w:cstheme="minorHAnsi"/>
          <w:sz w:val="24"/>
          <w:szCs w:val="24"/>
        </w:rPr>
        <w:t xml:space="preserve"> a </w:t>
      </w:r>
      <w:r w:rsidRPr="00D2282E">
        <w:rPr>
          <w:rFonts w:cstheme="minorHAnsi"/>
          <w:sz w:val="24"/>
          <w:szCs w:val="24"/>
        </w:rPr>
        <w:t xml:space="preserve">66 % provozoven kontrolovaných CS ČR </w:t>
      </w:r>
      <w:r w:rsidR="00292D17" w:rsidRPr="00D2282E">
        <w:rPr>
          <w:rFonts w:cstheme="minorHAnsi"/>
          <w:sz w:val="24"/>
          <w:szCs w:val="24"/>
        </w:rPr>
        <w:t>napravilo zjištěné chyby a následné kontroly neodhalily další či opakovaná porušení těchto povinností.</w:t>
      </w:r>
    </w:p>
    <w:bookmarkEnd w:id="6"/>
    <w:p w14:paraId="20CB76CC" w14:textId="77777777" w:rsidR="00642298" w:rsidRPr="00C47E97" w:rsidRDefault="00D2282E" w:rsidP="00D2282E">
      <w:pPr>
        <w:pStyle w:val="Nadpis1"/>
        <w:keepLines/>
        <w:numPr>
          <w:ilvl w:val="0"/>
          <w:numId w:val="0"/>
        </w:numPr>
        <w:tabs>
          <w:tab w:val="center" w:pos="4536"/>
        </w:tabs>
        <w:overflowPunct/>
        <w:autoSpaceDE/>
        <w:autoSpaceDN/>
        <w:adjustRightInd/>
        <w:spacing w:before="720" w:after="240"/>
        <w:jc w:val="left"/>
        <w:textAlignment w:val="auto"/>
        <w:rPr>
          <w:sz w:val="28"/>
          <w:szCs w:val="24"/>
        </w:rPr>
      </w:pPr>
      <w:r>
        <w:rPr>
          <w:sz w:val="28"/>
          <w:szCs w:val="24"/>
        </w:rPr>
        <w:tab/>
      </w:r>
      <w:r w:rsidR="00D52B1B" w:rsidRPr="00C47E97">
        <w:rPr>
          <w:sz w:val="28"/>
          <w:szCs w:val="24"/>
        </w:rPr>
        <w:t>II. Informace o kontrolované oblasti</w:t>
      </w:r>
    </w:p>
    <w:p w14:paraId="3899283B" w14:textId="06512F8D" w:rsidR="00323327" w:rsidRPr="00C47E97" w:rsidRDefault="006D5332" w:rsidP="00030B17">
      <w:pPr>
        <w:spacing w:line="240" w:lineRule="auto"/>
        <w:jc w:val="both"/>
        <w:rPr>
          <w:rFonts w:eastAsia="Calibri" w:cstheme="minorHAnsi"/>
          <w:sz w:val="24"/>
          <w:szCs w:val="24"/>
        </w:rPr>
      </w:pPr>
      <w:bookmarkStart w:id="7" w:name="_Hlk162442238"/>
      <w:r w:rsidRPr="00C47E97">
        <w:rPr>
          <w:rFonts w:eastAsia="Calibri" w:cstheme="minorHAnsi"/>
          <w:sz w:val="24"/>
          <w:szCs w:val="24"/>
        </w:rPr>
        <w:t xml:space="preserve">V </w:t>
      </w:r>
      <w:r w:rsidRPr="002A3517">
        <w:rPr>
          <w:rFonts w:eastAsia="Calibri" w:cstheme="minorHAnsi"/>
          <w:sz w:val="24"/>
          <w:szCs w:val="24"/>
        </w:rPr>
        <w:t>České republice evidenc</w:t>
      </w:r>
      <w:r w:rsidR="00F604E9" w:rsidRPr="002A3517">
        <w:rPr>
          <w:rFonts w:eastAsia="Calibri" w:cstheme="minorHAnsi"/>
          <w:sz w:val="24"/>
          <w:szCs w:val="24"/>
        </w:rPr>
        <w:t>i</w:t>
      </w:r>
      <w:r w:rsidRPr="00C47E97">
        <w:rPr>
          <w:rFonts w:eastAsia="Calibri" w:cstheme="minorHAnsi"/>
          <w:sz w:val="24"/>
          <w:szCs w:val="24"/>
        </w:rPr>
        <w:t xml:space="preserve"> tržeb </w:t>
      </w:r>
      <w:r w:rsidR="003C5528" w:rsidRPr="00C47E97">
        <w:rPr>
          <w:rFonts w:eastAsia="Calibri" w:cstheme="minorHAnsi"/>
          <w:sz w:val="24"/>
          <w:szCs w:val="24"/>
        </w:rPr>
        <w:t xml:space="preserve">upravoval </w:t>
      </w:r>
      <w:r w:rsidRPr="00C47E97">
        <w:rPr>
          <w:rFonts w:eastAsia="Calibri" w:cstheme="minorHAnsi"/>
          <w:sz w:val="24"/>
          <w:szCs w:val="24"/>
        </w:rPr>
        <w:t>zákon</w:t>
      </w:r>
      <w:r w:rsidR="00BF4546" w:rsidRPr="00C47E97">
        <w:rPr>
          <w:rFonts w:eastAsia="Calibri" w:cstheme="minorHAnsi"/>
          <w:sz w:val="24"/>
          <w:szCs w:val="24"/>
        </w:rPr>
        <w:t xml:space="preserve"> o EET</w:t>
      </w:r>
      <w:r w:rsidR="00FC3DE5" w:rsidRPr="00C47E97">
        <w:rPr>
          <w:rFonts w:eastAsia="Calibri" w:cstheme="minorHAnsi"/>
          <w:sz w:val="24"/>
          <w:szCs w:val="24"/>
        </w:rPr>
        <w:t>, který nabyl účinnosti 1. 12. 2016</w:t>
      </w:r>
      <w:r w:rsidR="002B7594">
        <w:rPr>
          <w:rStyle w:val="Znakapoznpodarou"/>
          <w:rFonts w:eastAsia="Calibri" w:cstheme="minorHAnsi"/>
          <w:sz w:val="24"/>
          <w:szCs w:val="24"/>
        </w:rPr>
        <w:footnoteReference w:id="7"/>
      </w:r>
      <w:r w:rsidR="003C5528" w:rsidRPr="00C47E97">
        <w:rPr>
          <w:rFonts w:eastAsia="Calibri" w:cstheme="minorHAnsi"/>
          <w:sz w:val="24"/>
          <w:szCs w:val="24"/>
        </w:rPr>
        <w:t>.</w:t>
      </w:r>
      <w:r w:rsidRPr="00C47E97">
        <w:rPr>
          <w:rFonts w:eastAsia="Calibri" w:cstheme="minorHAnsi"/>
          <w:sz w:val="24"/>
          <w:szCs w:val="24"/>
        </w:rPr>
        <w:t xml:space="preserve"> </w:t>
      </w:r>
      <w:r w:rsidR="00FC3DE5" w:rsidRPr="00C47E97">
        <w:rPr>
          <w:rFonts w:eastAsia="Calibri" w:cstheme="minorHAnsi"/>
          <w:sz w:val="24"/>
          <w:szCs w:val="24"/>
        </w:rPr>
        <w:t>Tímto zákonem</w:t>
      </w:r>
      <w:r w:rsidR="00F604E9" w:rsidRPr="00C47E97">
        <w:rPr>
          <w:rFonts w:eastAsia="Calibri" w:cstheme="minorHAnsi"/>
          <w:sz w:val="24"/>
          <w:szCs w:val="24"/>
        </w:rPr>
        <w:t xml:space="preserve"> bylo </w:t>
      </w:r>
      <w:r w:rsidR="004A398A">
        <w:rPr>
          <w:rFonts w:eastAsia="Calibri" w:cstheme="minorHAnsi"/>
          <w:sz w:val="24"/>
          <w:szCs w:val="24"/>
        </w:rPr>
        <w:t>zamýšleno zavést</w:t>
      </w:r>
      <w:r w:rsidR="004A398A" w:rsidRPr="00C47E97">
        <w:rPr>
          <w:rFonts w:eastAsia="Calibri" w:cstheme="minorHAnsi"/>
          <w:sz w:val="24"/>
          <w:szCs w:val="24"/>
        </w:rPr>
        <w:t xml:space="preserve"> </w:t>
      </w:r>
      <w:r w:rsidR="00F604E9" w:rsidRPr="00C47E97">
        <w:rPr>
          <w:rFonts w:eastAsia="Calibri" w:cstheme="minorHAnsi"/>
          <w:sz w:val="24"/>
          <w:szCs w:val="24"/>
        </w:rPr>
        <w:t>plošně zacílené hlášení údajů o platbách, které se vyznačují nižší nebo nejasnou mírou dohledatelnosti</w:t>
      </w:r>
      <w:r w:rsidR="004E730C">
        <w:rPr>
          <w:rStyle w:val="Znakapoznpodarou"/>
          <w:rFonts w:eastAsia="Calibri" w:cstheme="minorHAnsi"/>
          <w:sz w:val="24"/>
          <w:szCs w:val="24"/>
        </w:rPr>
        <w:footnoteReference w:id="8"/>
      </w:r>
      <w:r w:rsidR="00F604E9" w:rsidRPr="00C47E97">
        <w:rPr>
          <w:rFonts w:eastAsia="Calibri" w:cstheme="minorHAnsi"/>
          <w:sz w:val="24"/>
          <w:szCs w:val="24"/>
        </w:rPr>
        <w:t xml:space="preserve"> (platby v hotovosti, šekem apod.)</w:t>
      </w:r>
      <w:r w:rsidR="002A3517">
        <w:rPr>
          <w:rFonts w:eastAsia="Calibri" w:cstheme="minorHAnsi"/>
          <w:sz w:val="24"/>
          <w:szCs w:val="24"/>
        </w:rPr>
        <w:t>,</w:t>
      </w:r>
      <w:r w:rsidR="00F604E9" w:rsidRPr="00C47E97">
        <w:rPr>
          <w:rFonts w:eastAsia="Calibri" w:cstheme="minorHAnsi"/>
          <w:sz w:val="24"/>
          <w:szCs w:val="24"/>
        </w:rPr>
        <w:t xml:space="preserve"> vůči správci daně v reálném čase.</w:t>
      </w:r>
      <w:r w:rsidR="00037528" w:rsidRPr="00C47E97">
        <w:rPr>
          <w:rFonts w:cstheme="minorHAnsi"/>
          <w:sz w:val="24"/>
          <w:szCs w:val="24"/>
        </w:rPr>
        <w:t xml:space="preserve"> </w:t>
      </w:r>
      <w:r w:rsidR="00D56F67" w:rsidRPr="00D56F67">
        <w:rPr>
          <w:rFonts w:cstheme="minorHAnsi"/>
          <w:sz w:val="24"/>
          <w:szCs w:val="24"/>
        </w:rPr>
        <w:t xml:space="preserve">Povinnost evidovat tržby v první </w:t>
      </w:r>
      <w:r w:rsidR="00D56F67">
        <w:rPr>
          <w:rFonts w:cstheme="minorHAnsi"/>
          <w:sz w:val="24"/>
          <w:szCs w:val="24"/>
        </w:rPr>
        <w:t>vlně</w:t>
      </w:r>
      <w:r w:rsidR="00D56F67" w:rsidRPr="00D56F67">
        <w:rPr>
          <w:rFonts w:cstheme="minorHAnsi"/>
          <w:sz w:val="24"/>
          <w:szCs w:val="24"/>
        </w:rPr>
        <w:t xml:space="preserve"> náběhu EET od prosince 2016 se vztahovala pouze na tržby za stravovací </w:t>
      </w:r>
      <w:r w:rsidR="002A3517">
        <w:rPr>
          <w:rFonts w:cstheme="minorHAnsi"/>
          <w:sz w:val="24"/>
          <w:szCs w:val="24"/>
        </w:rPr>
        <w:t xml:space="preserve">a ubytovací </w:t>
      </w:r>
      <w:r w:rsidR="00D56F67" w:rsidRPr="00D56F67">
        <w:rPr>
          <w:rFonts w:cstheme="minorHAnsi"/>
          <w:sz w:val="24"/>
          <w:szCs w:val="24"/>
        </w:rPr>
        <w:t xml:space="preserve">služby, ve druhé </w:t>
      </w:r>
      <w:r w:rsidR="00D56F67">
        <w:rPr>
          <w:rFonts w:cstheme="minorHAnsi"/>
          <w:sz w:val="24"/>
          <w:szCs w:val="24"/>
        </w:rPr>
        <w:t>vlně</w:t>
      </w:r>
      <w:r w:rsidR="00D56F67" w:rsidRPr="00D56F67">
        <w:rPr>
          <w:rFonts w:cstheme="minorHAnsi"/>
          <w:sz w:val="24"/>
          <w:szCs w:val="24"/>
        </w:rPr>
        <w:t xml:space="preserve"> náběhu EET od března 2017 zahrnovala velkoobchod a maloobchod</w:t>
      </w:r>
      <w:r w:rsidR="007775F3" w:rsidRPr="00C47E97">
        <w:rPr>
          <w:rFonts w:cstheme="minorHAnsi"/>
          <w:sz w:val="24"/>
          <w:szCs w:val="24"/>
        </w:rPr>
        <w:t xml:space="preserve">. </w:t>
      </w:r>
      <w:r w:rsidR="007775F3" w:rsidRPr="00C47E97">
        <w:rPr>
          <w:rFonts w:eastAsia="Calibri" w:cstheme="minorHAnsi"/>
          <w:sz w:val="24"/>
          <w:szCs w:val="24"/>
        </w:rPr>
        <w:t xml:space="preserve">Kontrolu dodržování povinností uložených </w:t>
      </w:r>
      <w:r w:rsidR="00FC3DE5" w:rsidRPr="00C47E97">
        <w:rPr>
          <w:rFonts w:eastAsia="Calibri" w:cstheme="minorHAnsi"/>
          <w:sz w:val="24"/>
          <w:szCs w:val="24"/>
        </w:rPr>
        <w:t xml:space="preserve">zákonem o EET </w:t>
      </w:r>
      <w:r w:rsidR="007775F3" w:rsidRPr="00C47E97">
        <w:rPr>
          <w:rFonts w:eastAsia="Calibri" w:cstheme="minorHAnsi"/>
          <w:sz w:val="24"/>
          <w:szCs w:val="24"/>
        </w:rPr>
        <w:t>vykonávaly orgány FS ČR a</w:t>
      </w:r>
      <w:r w:rsidR="001664C8">
        <w:rPr>
          <w:rFonts w:eastAsia="Calibri" w:cstheme="minorHAnsi"/>
          <w:sz w:val="24"/>
          <w:szCs w:val="24"/>
        </w:rPr>
        <w:t> </w:t>
      </w:r>
      <w:r w:rsidR="007775F3" w:rsidRPr="00C47E97">
        <w:rPr>
          <w:rFonts w:eastAsia="Calibri" w:cstheme="minorHAnsi"/>
          <w:sz w:val="24"/>
          <w:szCs w:val="24"/>
        </w:rPr>
        <w:t xml:space="preserve">orgány </w:t>
      </w:r>
      <w:r w:rsidR="006839DB" w:rsidRPr="00C47E97">
        <w:rPr>
          <w:rFonts w:eastAsia="Calibri" w:cstheme="minorHAnsi"/>
          <w:sz w:val="24"/>
          <w:szCs w:val="24"/>
        </w:rPr>
        <w:t>CS ČR</w:t>
      </w:r>
      <w:r w:rsidR="007775F3" w:rsidRPr="00C47E97">
        <w:rPr>
          <w:rFonts w:eastAsia="Calibri" w:cstheme="minorHAnsi"/>
          <w:sz w:val="24"/>
          <w:szCs w:val="24"/>
        </w:rPr>
        <w:t>.</w:t>
      </w:r>
      <w:r w:rsidR="003C5528" w:rsidRPr="00C47E97">
        <w:rPr>
          <w:rFonts w:eastAsia="Calibri" w:cstheme="minorHAnsi"/>
          <w:sz w:val="24"/>
          <w:szCs w:val="24"/>
        </w:rPr>
        <w:t xml:space="preserve"> </w:t>
      </w:r>
    </w:p>
    <w:p w14:paraId="66A93B25" w14:textId="77777777" w:rsidR="003211DC" w:rsidRDefault="00940A7B" w:rsidP="00030B17">
      <w:pPr>
        <w:spacing w:line="240" w:lineRule="auto"/>
        <w:jc w:val="both"/>
        <w:rPr>
          <w:rFonts w:cstheme="minorHAnsi"/>
          <w:iCs/>
          <w:sz w:val="24"/>
          <w:szCs w:val="24"/>
        </w:rPr>
      </w:pPr>
      <w:bookmarkStart w:id="8" w:name="_Hlk165031533"/>
      <w:r w:rsidRPr="00C47E97">
        <w:rPr>
          <w:rFonts w:cstheme="minorHAnsi"/>
          <w:iCs/>
          <w:sz w:val="24"/>
          <w:szCs w:val="24"/>
        </w:rPr>
        <w:lastRenderedPageBreak/>
        <w:t>Na základě nálezu Ústavního soudu</w:t>
      </w:r>
      <w:r w:rsidRPr="00C47E97">
        <w:rPr>
          <w:rFonts w:cstheme="minorHAnsi"/>
          <w:sz w:val="24"/>
          <w:szCs w:val="24"/>
          <w:lang w:eastAsia="cs-CZ"/>
        </w:rPr>
        <w:t xml:space="preserve"> sp. zn. Pl. ÚS 26/16</w:t>
      </w:r>
      <w:r w:rsidRPr="00C47E97">
        <w:rPr>
          <w:rFonts w:cstheme="minorHAnsi"/>
          <w:iCs/>
          <w:sz w:val="24"/>
          <w:szCs w:val="24"/>
        </w:rPr>
        <w:t xml:space="preserve"> byl</w:t>
      </w:r>
      <w:r>
        <w:rPr>
          <w:rFonts w:cstheme="minorHAnsi"/>
          <w:iCs/>
          <w:sz w:val="24"/>
          <w:szCs w:val="24"/>
        </w:rPr>
        <w:t>a</w:t>
      </w:r>
      <w:r w:rsidRPr="00C47E97">
        <w:rPr>
          <w:rFonts w:cstheme="minorHAnsi"/>
          <w:iCs/>
          <w:sz w:val="24"/>
          <w:szCs w:val="24"/>
        </w:rPr>
        <w:t xml:space="preserve"> zrušena povinnost evidence tržeb uskutečněných platebními kartami. Dále</w:t>
      </w:r>
      <w:r>
        <w:rPr>
          <w:rFonts w:cstheme="minorHAnsi"/>
          <w:iCs/>
          <w:sz w:val="24"/>
          <w:szCs w:val="24"/>
        </w:rPr>
        <w:t xml:space="preserve"> byla</w:t>
      </w:r>
      <w:r w:rsidRPr="00C47E97">
        <w:rPr>
          <w:rFonts w:cstheme="minorHAnsi"/>
          <w:iCs/>
          <w:sz w:val="24"/>
          <w:szCs w:val="24"/>
        </w:rPr>
        <w:t xml:space="preserve"> </w:t>
      </w:r>
      <w:r>
        <w:rPr>
          <w:rFonts w:cstheme="minorHAnsi"/>
          <w:iCs/>
          <w:sz w:val="24"/>
          <w:szCs w:val="24"/>
        </w:rPr>
        <w:t>zrušena</w:t>
      </w:r>
      <w:r w:rsidRPr="00C47E97">
        <w:rPr>
          <w:rFonts w:cstheme="minorHAnsi"/>
          <w:iCs/>
          <w:sz w:val="24"/>
          <w:szCs w:val="24"/>
        </w:rPr>
        <w:t xml:space="preserve"> </w:t>
      </w:r>
      <w:r>
        <w:rPr>
          <w:rFonts w:cstheme="minorHAnsi"/>
          <w:iCs/>
          <w:sz w:val="24"/>
          <w:szCs w:val="24"/>
        </w:rPr>
        <w:t>povinnost evidovat tržby pro subjekty zařazené do</w:t>
      </w:r>
      <w:r w:rsidRPr="00C47E97">
        <w:rPr>
          <w:rFonts w:cstheme="minorHAnsi"/>
          <w:iCs/>
          <w:sz w:val="24"/>
          <w:szCs w:val="24"/>
        </w:rPr>
        <w:t xml:space="preserve"> třetí a čtvrté vlny</w:t>
      </w:r>
      <w:r>
        <w:rPr>
          <w:rFonts w:cstheme="minorHAnsi"/>
          <w:iCs/>
          <w:sz w:val="24"/>
          <w:szCs w:val="24"/>
        </w:rPr>
        <w:t>.</w:t>
      </w:r>
      <w:r w:rsidRPr="00C47E97">
        <w:rPr>
          <w:rFonts w:cstheme="minorHAnsi"/>
          <w:iCs/>
          <w:sz w:val="24"/>
          <w:szCs w:val="24"/>
        </w:rPr>
        <w:t xml:space="preserve"> </w:t>
      </w:r>
      <w:bookmarkEnd w:id="8"/>
    </w:p>
    <w:p w14:paraId="054EE0DF" w14:textId="7399D723" w:rsidR="00BA14D1" w:rsidRPr="00C47E97" w:rsidRDefault="00B84C03" w:rsidP="00030B17">
      <w:pPr>
        <w:spacing w:line="240" w:lineRule="auto"/>
        <w:jc w:val="both"/>
        <w:rPr>
          <w:rFonts w:cstheme="minorHAnsi"/>
          <w:iCs/>
          <w:sz w:val="24"/>
          <w:szCs w:val="24"/>
        </w:rPr>
      </w:pPr>
      <w:r w:rsidRPr="00C47E97">
        <w:rPr>
          <w:rFonts w:cstheme="minorHAnsi"/>
          <w:iCs/>
          <w:sz w:val="24"/>
          <w:szCs w:val="24"/>
        </w:rPr>
        <w:t xml:space="preserve">V reakci na pandemii </w:t>
      </w:r>
      <w:r w:rsidR="002A3517">
        <w:rPr>
          <w:rFonts w:cstheme="minorHAnsi"/>
          <w:iCs/>
          <w:sz w:val="24"/>
          <w:szCs w:val="24"/>
        </w:rPr>
        <w:t>covidu</w:t>
      </w:r>
      <w:r w:rsidRPr="00C47E97">
        <w:rPr>
          <w:rFonts w:cstheme="minorHAnsi"/>
          <w:iCs/>
          <w:sz w:val="24"/>
          <w:szCs w:val="24"/>
        </w:rPr>
        <w:t>-19 došlo zákonem č. 137/2020 Sb.</w:t>
      </w:r>
      <w:r w:rsidRPr="00C47E97">
        <w:rPr>
          <w:rStyle w:val="Znakapoznpodarou"/>
          <w:rFonts w:cstheme="minorHAnsi"/>
          <w:iCs/>
          <w:sz w:val="24"/>
          <w:szCs w:val="24"/>
        </w:rPr>
        <w:footnoteReference w:id="9"/>
      </w:r>
      <w:r w:rsidRPr="00C47E97">
        <w:rPr>
          <w:rFonts w:cstheme="minorHAnsi"/>
          <w:iCs/>
          <w:sz w:val="24"/>
          <w:szCs w:val="24"/>
        </w:rPr>
        <w:t xml:space="preserve"> s</w:t>
      </w:r>
      <w:r w:rsidR="002A3517">
        <w:rPr>
          <w:rFonts w:cstheme="minorHAnsi"/>
          <w:iCs/>
          <w:sz w:val="24"/>
          <w:szCs w:val="24"/>
        </w:rPr>
        <w:t> </w:t>
      </w:r>
      <w:r w:rsidRPr="00C47E97">
        <w:rPr>
          <w:rFonts w:cstheme="minorHAnsi"/>
          <w:iCs/>
          <w:sz w:val="24"/>
          <w:szCs w:val="24"/>
        </w:rPr>
        <w:t xml:space="preserve">účinností od 27. 3. 2020 k pozastavení povinnosti evidovat tržby. Tento zákon byl dvakrát novelizován, </w:t>
      </w:r>
      <w:r w:rsidR="002859E0" w:rsidRPr="00C47E97">
        <w:rPr>
          <w:rFonts w:cstheme="minorHAnsi"/>
          <w:iCs/>
          <w:sz w:val="24"/>
          <w:szCs w:val="24"/>
        </w:rPr>
        <w:t xml:space="preserve">a to </w:t>
      </w:r>
      <w:r w:rsidRPr="00C47E97">
        <w:rPr>
          <w:rFonts w:cstheme="minorHAnsi"/>
          <w:iCs/>
          <w:sz w:val="24"/>
          <w:szCs w:val="24"/>
        </w:rPr>
        <w:t>zákon</w:t>
      </w:r>
      <w:r w:rsidR="002859E0" w:rsidRPr="00C47E97">
        <w:rPr>
          <w:rFonts w:cstheme="minorHAnsi"/>
          <w:iCs/>
          <w:sz w:val="24"/>
          <w:szCs w:val="24"/>
        </w:rPr>
        <w:t>em</w:t>
      </w:r>
      <w:r w:rsidRPr="00C47E97">
        <w:rPr>
          <w:rFonts w:cstheme="minorHAnsi"/>
          <w:iCs/>
          <w:sz w:val="24"/>
          <w:szCs w:val="24"/>
        </w:rPr>
        <w:t xml:space="preserve"> č. 263/2020 Sb.</w:t>
      </w:r>
      <w:r w:rsidRPr="00C47E97">
        <w:rPr>
          <w:rStyle w:val="Znakapoznpodarou"/>
          <w:rFonts w:cstheme="minorHAnsi"/>
          <w:iCs/>
          <w:sz w:val="24"/>
          <w:szCs w:val="24"/>
        </w:rPr>
        <w:footnoteReference w:id="10"/>
      </w:r>
      <w:r w:rsidR="00BA14D1" w:rsidRPr="00C47E97">
        <w:rPr>
          <w:rFonts w:cstheme="minorHAnsi"/>
          <w:iCs/>
          <w:sz w:val="24"/>
          <w:szCs w:val="24"/>
        </w:rPr>
        <w:t xml:space="preserve"> a zákonem č. 449/2020 Sb.</w:t>
      </w:r>
      <w:r w:rsidR="00BA14D1" w:rsidRPr="00C47E97">
        <w:rPr>
          <w:rStyle w:val="Znakapoznpodarou"/>
          <w:rFonts w:cstheme="minorHAnsi"/>
          <w:iCs/>
          <w:sz w:val="24"/>
          <w:szCs w:val="24"/>
        </w:rPr>
        <w:footnoteReference w:id="11"/>
      </w:r>
      <w:r w:rsidR="00BA14D1" w:rsidRPr="00C47E97">
        <w:rPr>
          <w:rFonts w:cstheme="minorHAnsi"/>
          <w:iCs/>
          <w:sz w:val="24"/>
          <w:szCs w:val="24"/>
        </w:rPr>
        <w:t>, které prodloužil</w:t>
      </w:r>
      <w:r w:rsidR="002859E0" w:rsidRPr="00C47E97">
        <w:rPr>
          <w:rFonts w:cstheme="minorHAnsi"/>
          <w:iCs/>
          <w:sz w:val="24"/>
          <w:szCs w:val="24"/>
        </w:rPr>
        <w:t>y</w:t>
      </w:r>
      <w:r w:rsidR="00BA14D1" w:rsidRPr="00C47E97">
        <w:rPr>
          <w:rFonts w:cstheme="minorHAnsi"/>
          <w:iCs/>
          <w:sz w:val="24"/>
          <w:szCs w:val="24"/>
        </w:rPr>
        <w:t xml:space="preserve"> pozastavení povinnosti evidovat tržby do 31. 12. 2020, resp. do 31. 12. 2022. V tomto období měli poplatníci možnost evidovat tržby dobrovolně. </w:t>
      </w:r>
    </w:p>
    <w:p w14:paraId="3E158A1A" w14:textId="4F1E5E2A" w:rsidR="00BA14D1" w:rsidRPr="00C47E97" w:rsidRDefault="00BA14D1" w:rsidP="00030B17">
      <w:pPr>
        <w:widowControl w:val="0"/>
        <w:autoSpaceDE w:val="0"/>
        <w:autoSpaceDN w:val="0"/>
        <w:adjustRightInd w:val="0"/>
        <w:spacing w:line="240" w:lineRule="auto"/>
        <w:jc w:val="both"/>
        <w:rPr>
          <w:rFonts w:cstheme="minorHAnsi"/>
          <w:bCs/>
          <w:sz w:val="24"/>
          <w:szCs w:val="24"/>
          <w:lang w:eastAsia="cs-CZ"/>
        </w:rPr>
      </w:pPr>
      <w:r w:rsidRPr="00C47E97">
        <w:rPr>
          <w:rFonts w:cstheme="minorHAnsi"/>
          <w:iCs/>
          <w:sz w:val="24"/>
          <w:szCs w:val="24"/>
        </w:rPr>
        <w:t>Dne</w:t>
      </w:r>
      <w:r w:rsidR="002A3517">
        <w:rPr>
          <w:rFonts w:cstheme="minorHAnsi"/>
          <w:iCs/>
          <w:sz w:val="24"/>
          <w:szCs w:val="24"/>
        </w:rPr>
        <w:t xml:space="preserve"> </w:t>
      </w:r>
      <w:r w:rsidRPr="00C47E97">
        <w:rPr>
          <w:rFonts w:cstheme="minorHAnsi"/>
          <w:iCs/>
          <w:sz w:val="24"/>
          <w:szCs w:val="24"/>
        </w:rPr>
        <w:t>1. 1. 2023 nabyl účinnosti zákon č. 458/2022 Sb.</w:t>
      </w:r>
      <w:r w:rsidRPr="00C47E97">
        <w:rPr>
          <w:rStyle w:val="Znakapoznpodarou"/>
          <w:rFonts w:cstheme="minorHAnsi"/>
          <w:iCs/>
          <w:sz w:val="24"/>
          <w:szCs w:val="24"/>
        </w:rPr>
        <w:footnoteReference w:id="12"/>
      </w:r>
      <w:r w:rsidRPr="00C47E97">
        <w:rPr>
          <w:rFonts w:cstheme="minorHAnsi"/>
          <w:iCs/>
          <w:sz w:val="24"/>
          <w:szCs w:val="24"/>
        </w:rPr>
        <w:t xml:space="preserve">, </w:t>
      </w:r>
      <w:bookmarkStart w:id="9" w:name="_Hlk161302651"/>
      <w:r w:rsidRPr="00C47E97">
        <w:rPr>
          <w:rFonts w:cstheme="minorHAnsi"/>
          <w:iCs/>
          <w:sz w:val="24"/>
          <w:szCs w:val="24"/>
        </w:rPr>
        <w:t xml:space="preserve">který povinnost evidovat tržby zrušil. </w:t>
      </w:r>
      <w:bookmarkEnd w:id="9"/>
      <w:r w:rsidRPr="00C47E97">
        <w:rPr>
          <w:rFonts w:cstheme="minorHAnsi"/>
          <w:iCs/>
          <w:sz w:val="24"/>
          <w:szCs w:val="24"/>
        </w:rPr>
        <w:t xml:space="preserve">Od tohoto </w:t>
      </w:r>
      <w:r w:rsidR="003C5528" w:rsidRPr="00C47E97">
        <w:rPr>
          <w:rFonts w:cstheme="minorHAnsi"/>
          <w:iCs/>
          <w:sz w:val="24"/>
          <w:szCs w:val="24"/>
        </w:rPr>
        <w:t>data</w:t>
      </w:r>
      <w:r w:rsidRPr="00C47E97">
        <w:rPr>
          <w:rFonts w:cstheme="minorHAnsi"/>
          <w:iCs/>
          <w:sz w:val="24"/>
          <w:szCs w:val="24"/>
        </w:rPr>
        <w:t xml:space="preserve"> není </w:t>
      </w:r>
      <w:r w:rsidR="003C5528" w:rsidRPr="00C47E97">
        <w:rPr>
          <w:rFonts w:cstheme="minorHAnsi"/>
          <w:iCs/>
          <w:sz w:val="24"/>
          <w:szCs w:val="24"/>
        </w:rPr>
        <w:t xml:space="preserve">evidence tržeb </w:t>
      </w:r>
      <w:r w:rsidRPr="00C47E97">
        <w:rPr>
          <w:rFonts w:cstheme="minorHAnsi"/>
          <w:iCs/>
          <w:sz w:val="24"/>
          <w:szCs w:val="24"/>
        </w:rPr>
        <w:t>provozován</w:t>
      </w:r>
      <w:r w:rsidR="003C5528" w:rsidRPr="00C47E97">
        <w:rPr>
          <w:rFonts w:cstheme="minorHAnsi"/>
          <w:iCs/>
          <w:sz w:val="24"/>
          <w:szCs w:val="24"/>
        </w:rPr>
        <w:t>a</w:t>
      </w:r>
      <w:r w:rsidRPr="00C47E97">
        <w:rPr>
          <w:rFonts w:cstheme="minorHAnsi"/>
          <w:iCs/>
          <w:sz w:val="24"/>
          <w:szCs w:val="24"/>
        </w:rPr>
        <w:t xml:space="preserve"> ani na dobrovolné bázi. Do konce roku 2023 umož</w:t>
      </w:r>
      <w:r w:rsidR="002A3517">
        <w:rPr>
          <w:rFonts w:cstheme="minorHAnsi"/>
          <w:iCs/>
          <w:sz w:val="24"/>
          <w:szCs w:val="24"/>
        </w:rPr>
        <w:t>ňovala</w:t>
      </w:r>
      <w:r w:rsidRPr="00C47E97">
        <w:rPr>
          <w:rFonts w:cstheme="minorHAnsi"/>
          <w:iCs/>
          <w:sz w:val="24"/>
          <w:szCs w:val="24"/>
        </w:rPr>
        <w:t xml:space="preserve"> </w:t>
      </w:r>
      <w:r w:rsidR="006839DB" w:rsidRPr="00C47E97">
        <w:rPr>
          <w:rFonts w:cstheme="minorHAnsi"/>
          <w:sz w:val="24"/>
          <w:szCs w:val="24"/>
        </w:rPr>
        <w:t>FS ČR</w:t>
      </w:r>
      <w:r w:rsidRPr="00C47E97">
        <w:rPr>
          <w:rFonts w:cstheme="minorHAnsi"/>
          <w:iCs/>
          <w:sz w:val="24"/>
          <w:szCs w:val="24"/>
        </w:rPr>
        <w:t xml:space="preserve"> podnikatelům nahlížet </w:t>
      </w:r>
      <w:r w:rsidR="002E5486" w:rsidRPr="00C47E97">
        <w:rPr>
          <w:rFonts w:cstheme="minorHAnsi"/>
          <w:iCs/>
          <w:sz w:val="24"/>
          <w:szCs w:val="24"/>
        </w:rPr>
        <w:t xml:space="preserve">přes aplikaci </w:t>
      </w:r>
      <w:r w:rsidR="002E5486" w:rsidRPr="00D30F88">
        <w:rPr>
          <w:rFonts w:cstheme="minorHAnsi"/>
          <w:i/>
          <w:sz w:val="24"/>
          <w:szCs w:val="24"/>
        </w:rPr>
        <w:t>Elektronická evidence tržeb</w:t>
      </w:r>
      <w:r w:rsidR="002E5486" w:rsidRPr="00C47E97">
        <w:rPr>
          <w:rFonts w:cstheme="minorHAnsi"/>
          <w:iCs/>
          <w:sz w:val="24"/>
          <w:szCs w:val="24"/>
        </w:rPr>
        <w:t xml:space="preserve"> do evid</w:t>
      </w:r>
      <w:r w:rsidR="002A3517">
        <w:rPr>
          <w:rFonts w:cstheme="minorHAnsi"/>
          <w:iCs/>
          <w:sz w:val="24"/>
          <w:szCs w:val="24"/>
        </w:rPr>
        <w:t>ence</w:t>
      </w:r>
      <w:r w:rsidR="00904761" w:rsidRPr="00C47E97">
        <w:rPr>
          <w:rFonts w:cstheme="minorHAnsi"/>
          <w:iCs/>
          <w:sz w:val="24"/>
          <w:szCs w:val="24"/>
        </w:rPr>
        <w:t xml:space="preserve"> </w:t>
      </w:r>
      <w:r w:rsidRPr="00C47E97">
        <w:rPr>
          <w:rFonts w:cstheme="minorHAnsi"/>
          <w:iCs/>
          <w:sz w:val="24"/>
          <w:szCs w:val="24"/>
        </w:rPr>
        <w:t>trž</w:t>
      </w:r>
      <w:r w:rsidR="002E5486" w:rsidRPr="00C47E97">
        <w:rPr>
          <w:rFonts w:cstheme="minorHAnsi"/>
          <w:iCs/>
          <w:sz w:val="24"/>
          <w:szCs w:val="24"/>
        </w:rPr>
        <w:t>e</w:t>
      </w:r>
      <w:r w:rsidRPr="00C47E97">
        <w:rPr>
          <w:rFonts w:cstheme="minorHAnsi"/>
          <w:iCs/>
          <w:sz w:val="24"/>
          <w:szCs w:val="24"/>
        </w:rPr>
        <w:t xml:space="preserve">b </w:t>
      </w:r>
      <w:r w:rsidR="002E5486" w:rsidRPr="00C47E97">
        <w:rPr>
          <w:rFonts w:cstheme="minorHAnsi"/>
          <w:iCs/>
          <w:sz w:val="24"/>
          <w:szCs w:val="24"/>
        </w:rPr>
        <w:t>v</w:t>
      </w:r>
      <w:r w:rsidR="002A3517">
        <w:rPr>
          <w:rFonts w:cstheme="minorHAnsi"/>
          <w:iCs/>
          <w:sz w:val="24"/>
          <w:szCs w:val="24"/>
        </w:rPr>
        <w:t> </w:t>
      </w:r>
      <w:r w:rsidRPr="00C47E97">
        <w:rPr>
          <w:rFonts w:cstheme="minorHAnsi"/>
          <w:iCs/>
          <w:sz w:val="24"/>
          <w:szCs w:val="24"/>
        </w:rPr>
        <w:t>EET</w:t>
      </w:r>
      <w:r w:rsidR="002E5486" w:rsidRPr="00C47E97">
        <w:rPr>
          <w:rFonts w:cstheme="minorHAnsi"/>
          <w:iCs/>
          <w:sz w:val="24"/>
          <w:szCs w:val="24"/>
        </w:rPr>
        <w:t>.</w:t>
      </w:r>
    </w:p>
    <w:p w14:paraId="5B5FDF09" w14:textId="5B0F3E5C" w:rsidR="007D17C7" w:rsidRPr="00C47E97" w:rsidRDefault="007D17C7" w:rsidP="00030B17">
      <w:pPr>
        <w:spacing w:line="240" w:lineRule="auto"/>
        <w:jc w:val="both"/>
        <w:rPr>
          <w:rFonts w:cstheme="minorHAnsi"/>
          <w:sz w:val="24"/>
          <w:szCs w:val="24"/>
        </w:rPr>
      </w:pPr>
      <w:r w:rsidRPr="00C47E97">
        <w:rPr>
          <w:rFonts w:cstheme="minorHAnsi"/>
          <w:iCs/>
          <w:sz w:val="24"/>
          <w:szCs w:val="24"/>
        </w:rPr>
        <w:t>Kontrolní hlášení zavedl zákon č. 360/2014 Sb.</w:t>
      </w:r>
      <w:r w:rsidRPr="00C47E97">
        <w:rPr>
          <w:rStyle w:val="Znakapoznpodarou"/>
          <w:rFonts w:cstheme="minorHAnsi"/>
          <w:iCs/>
          <w:sz w:val="24"/>
          <w:szCs w:val="24"/>
        </w:rPr>
        <w:footnoteReference w:id="13"/>
      </w:r>
      <w:r w:rsidRPr="00C47E97">
        <w:rPr>
          <w:rFonts w:cstheme="minorHAnsi"/>
          <w:iCs/>
          <w:sz w:val="24"/>
          <w:szCs w:val="24"/>
        </w:rPr>
        <w:t xml:space="preserve"> s účinností od 1.</w:t>
      </w:r>
      <w:r w:rsidR="002A3517">
        <w:rPr>
          <w:rFonts w:cstheme="minorHAnsi"/>
          <w:iCs/>
          <w:sz w:val="24"/>
          <w:szCs w:val="24"/>
        </w:rPr>
        <w:t xml:space="preserve"> </w:t>
      </w:r>
      <w:r w:rsidRPr="00C47E97">
        <w:rPr>
          <w:rFonts w:cstheme="minorHAnsi"/>
          <w:iCs/>
          <w:sz w:val="24"/>
          <w:szCs w:val="24"/>
        </w:rPr>
        <w:t>1.</w:t>
      </w:r>
      <w:r w:rsidR="002A3517">
        <w:rPr>
          <w:rFonts w:cstheme="minorHAnsi"/>
          <w:iCs/>
          <w:sz w:val="24"/>
          <w:szCs w:val="24"/>
        </w:rPr>
        <w:t xml:space="preserve"> </w:t>
      </w:r>
      <w:r w:rsidRPr="00C47E97">
        <w:rPr>
          <w:rFonts w:cstheme="minorHAnsi"/>
          <w:iCs/>
          <w:sz w:val="24"/>
          <w:szCs w:val="24"/>
        </w:rPr>
        <w:t xml:space="preserve">2016. </w:t>
      </w:r>
      <w:r w:rsidR="00CB60F6" w:rsidRPr="00C47E97">
        <w:rPr>
          <w:rFonts w:cstheme="minorHAnsi"/>
          <w:sz w:val="24"/>
          <w:szCs w:val="24"/>
        </w:rPr>
        <w:t xml:space="preserve">Povinnost podat kontrolní hlášení má plátce, pokud uskutečnil </w:t>
      </w:r>
      <w:r w:rsidR="003164E7" w:rsidRPr="00C47E97">
        <w:rPr>
          <w:rFonts w:cstheme="minorHAnsi"/>
          <w:sz w:val="24"/>
          <w:szCs w:val="24"/>
        </w:rPr>
        <w:t xml:space="preserve">plnění definovaná </w:t>
      </w:r>
      <w:r w:rsidR="002859E0" w:rsidRPr="00C47E97">
        <w:rPr>
          <w:rFonts w:cstheme="minorHAnsi"/>
          <w:sz w:val="24"/>
          <w:szCs w:val="24"/>
        </w:rPr>
        <w:t>zákonem č. 235/2004 Sb.</w:t>
      </w:r>
      <w:r w:rsidR="002859E0" w:rsidRPr="00C47E97">
        <w:rPr>
          <w:rStyle w:val="Znakapoznpodarou"/>
          <w:rFonts w:cstheme="minorHAnsi"/>
          <w:sz w:val="24"/>
          <w:szCs w:val="24"/>
        </w:rPr>
        <w:footnoteReference w:id="14"/>
      </w:r>
      <w:r w:rsidR="002859E0" w:rsidRPr="00C47E97">
        <w:rPr>
          <w:rFonts w:cstheme="minorHAnsi"/>
          <w:sz w:val="24"/>
          <w:szCs w:val="24"/>
        </w:rPr>
        <w:t xml:space="preserve"> (dále také „zákon o DPH“)</w:t>
      </w:r>
      <w:r w:rsidR="003164E7" w:rsidRPr="00C47E97">
        <w:rPr>
          <w:rFonts w:cstheme="minorHAnsi"/>
          <w:sz w:val="24"/>
          <w:szCs w:val="24"/>
        </w:rPr>
        <w:t xml:space="preserve">. </w:t>
      </w:r>
      <w:r w:rsidR="00CB60F6" w:rsidRPr="00C47E97">
        <w:rPr>
          <w:rFonts w:cstheme="minorHAnsi"/>
          <w:sz w:val="24"/>
          <w:szCs w:val="24"/>
        </w:rPr>
        <w:t xml:space="preserve">V kontrolním hlášení je plátce povinen kromě obecných náležitostí podání uvést </w:t>
      </w:r>
      <w:r w:rsidR="00A77462">
        <w:rPr>
          <w:rFonts w:cstheme="minorHAnsi"/>
          <w:sz w:val="24"/>
          <w:szCs w:val="24"/>
        </w:rPr>
        <w:t xml:space="preserve">identifikační a kontaktní údaje plátce, </w:t>
      </w:r>
      <w:r w:rsidR="00CB60F6" w:rsidRPr="00C47E97">
        <w:rPr>
          <w:rFonts w:cstheme="minorHAnsi"/>
          <w:sz w:val="24"/>
          <w:szCs w:val="24"/>
        </w:rPr>
        <w:t xml:space="preserve">údaje týkající se plnění a úplat, </w:t>
      </w:r>
      <w:r w:rsidR="00A77462">
        <w:rPr>
          <w:rFonts w:cstheme="minorHAnsi"/>
          <w:sz w:val="24"/>
          <w:szCs w:val="24"/>
        </w:rPr>
        <w:t>pokud t</w:t>
      </w:r>
      <w:r w:rsidR="00BF022C">
        <w:rPr>
          <w:rFonts w:cstheme="minorHAnsi"/>
          <w:sz w:val="24"/>
          <w:szCs w:val="24"/>
        </w:rPr>
        <w:t>y</w:t>
      </w:r>
      <w:r w:rsidR="00A77462">
        <w:rPr>
          <w:rFonts w:cstheme="minorHAnsi"/>
          <w:sz w:val="24"/>
          <w:szCs w:val="24"/>
        </w:rPr>
        <w:t xml:space="preserve">to plnění a úplaty zakládají povinnost podat kontrolní hlášení, </w:t>
      </w:r>
      <w:r w:rsidR="00CB60F6" w:rsidRPr="00C47E97">
        <w:rPr>
          <w:rFonts w:cstheme="minorHAnsi"/>
          <w:sz w:val="24"/>
          <w:szCs w:val="24"/>
        </w:rPr>
        <w:t>údaje týkající se uplatnění nároku na odpočet daně, identifikační údaje odběratele nebo dodavatele</w:t>
      </w:r>
      <w:r w:rsidR="000A0D9B">
        <w:rPr>
          <w:rStyle w:val="Znakapoznpodarou"/>
          <w:rFonts w:cstheme="minorHAnsi"/>
          <w:sz w:val="24"/>
          <w:szCs w:val="24"/>
        </w:rPr>
        <w:footnoteReference w:id="15"/>
      </w:r>
      <w:r w:rsidR="00CB60F6" w:rsidRPr="00C47E97">
        <w:rPr>
          <w:rFonts w:cstheme="minorHAnsi"/>
          <w:sz w:val="24"/>
          <w:szCs w:val="24"/>
        </w:rPr>
        <w:t>. Plátce, který je právnickou osobou, podává kontrolní hlášení za kalendářní měsíc. Plátce, který je fyzickou osobou, podává kontrolní hlášení ve lhůtě pro podání daňového přiznání</w:t>
      </w:r>
      <w:r w:rsidR="000A0D9B">
        <w:rPr>
          <w:rStyle w:val="Znakapoznpodarou"/>
          <w:rFonts w:cstheme="minorHAnsi"/>
          <w:sz w:val="24"/>
          <w:szCs w:val="24"/>
        </w:rPr>
        <w:footnoteReference w:id="16"/>
      </w:r>
      <w:r w:rsidR="00CB60F6" w:rsidRPr="00C47E97">
        <w:rPr>
          <w:rFonts w:cstheme="minorHAnsi"/>
          <w:sz w:val="24"/>
          <w:szCs w:val="24"/>
        </w:rPr>
        <w:t xml:space="preserve">. </w:t>
      </w:r>
    </w:p>
    <w:bookmarkEnd w:id="7"/>
    <w:p w14:paraId="07FC4313" w14:textId="77777777" w:rsidR="00752B74" w:rsidRDefault="00752B74">
      <w:pPr>
        <w:rPr>
          <w:rFonts w:cstheme="minorHAnsi"/>
          <w:b/>
          <w:sz w:val="24"/>
          <w:szCs w:val="24"/>
        </w:rPr>
      </w:pPr>
    </w:p>
    <w:p w14:paraId="73A5EB78" w14:textId="77777777" w:rsidR="002D21AC" w:rsidRPr="00C47E97" w:rsidRDefault="00CB60F6" w:rsidP="002D21AC">
      <w:pPr>
        <w:jc w:val="both"/>
        <w:rPr>
          <w:rFonts w:cstheme="minorHAnsi"/>
          <w:b/>
          <w:sz w:val="24"/>
          <w:szCs w:val="24"/>
        </w:rPr>
      </w:pPr>
      <w:r w:rsidRPr="00C47E97">
        <w:rPr>
          <w:rFonts w:cstheme="minorHAnsi"/>
          <w:b/>
          <w:sz w:val="24"/>
          <w:szCs w:val="24"/>
        </w:rPr>
        <w:t>Působnost kontrolovaných osob v oblasti EET a kontrolního hlášení</w:t>
      </w:r>
      <w:r w:rsidR="006F4B36" w:rsidRPr="00C47E97">
        <w:rPr>
          <w:rFonts w:cstheme="minorHAnsi"/>
          <w:b/>
          <w:sz w:val="24"/>
          <w:szCs w:val="24"/>
        </w:rPr>
        <w:t>:</w:t>
      </w:r>
    </w:p>
    <w:p w14:paraId="3F4743F1" w14:textId="77777777" w:rsidR="001B6F41" w:rsidRPr="00C47E97" w:rsidRDefault="001B6F41" w:rsidP="00D2282E">
      <w:pPr>
        <w:spacing w:after="0"/>
        <w:jc w:val="both"/>
        <w:rPr>
          <w:rFonts w:cstheme="minorHAnsi"/>
          <w:sz w:val="24"/>
          <w:szCs w:val="24"/>
        </w:rPr>
      </w:pPr>
      <w:r w:rsidRPr="00C47E97">
        <w:rPr>
          <w:rFonts w:cstheme="minorHAnsi"/>
          <w:sz w:val="24"/>
          <w:szCs w:val="24"/>
        </w:rPr>
        <w:t>Ministerstvo financí</w:t>
      </w:r>
    </w:p>
    <w:p w14:paraId="2C065D61" w14:textId="77777777" w:rsidR="001B6F41" w:rsidRPr="00C47E97" w:rsidRDefault="001B6F41" w:rsidP="00927709">
      <w:pPr>
        <w:numPr>
          <w:ilvl w:val="0"/>
          <w:numId w:val="5"/>
        </w:numPr>
        <w:spacing w:after="0" w:line="240" w:lineRule="auto"/>
        <w:ind w:left="714" w:hanging="357"/>
        <w:jc w:val="both"/>
        <w:rPr>
          <w:rFonts w:cstheme="minorHAnsi"/>
          <w:sz w:val="24"/>
          <w:szCs w:val="24"/>
        </w:rPr>
      </w:pPr>
      <w:r w:rsidRPr="00C47E97">
        <w:rPr>
          <w:rFonts w:cstheme="minorHAnsi"/>
          <w:sz w:val="24"/>
          <w:szCs w:val="24"/>
        </w:rPr>
        <w:t>je ústředním orgánem státní správy pro daně</w:t>
      </w:r>
      <w:r w:rsidR="00FA278E" w:rsidRPr="00C47E97">
        <w:rPr>
          <w:rFonts w:cstheme="minorHAnsi"/>
          <w:sz w:val="24"/>
          <w:szCs w:val="24"/>
        </w:rPr>
        <w:t>,</w:t>
      </w:r>
    </w:p>
    <w:p w14:paraId="0B390A23" w14:textId="77777777" w:rsidR="001B6F41" w:rsidRPr="00C47E97" w:rsidRDefault="00B46899" w:rsidP="00927709">
      <w:pPr>
        <w:numPr>
          <w:ilvl w:val="0"/>
          <w:numId w:val="5"/>
        </w:numPr>
        <w:spacing w:after="0" w:line="240" w:lineRule="auto"/>
        <w:ind w:left="714" w:hanging="357"/>
        <w:jc w:val="both"/>
        <w:rPr>
          <w:rFonts w:cstheme="minorHAnsi"/>
          <w:sz w:val="24"/>
          <w:szCs w:val="24"/>
        </w:rPr>
      </w:pPr>
      <w:r w:rsidRPr="00B46899">
        <w:rPr>
          <w:rFonts w:cstheme="minorHAnsi"/>
          <w:sz w:val="24"/>
          <w:szCs w:val="24"/>
        </w:rPr>
        <w:t xml:space="preserve">navrhuje právní předpisy </w:t>
      </w:r>
      <w:r w:rsidRPr="00C47E97">
        <w:rPr>
          <w:rFonts w:cstheme="minorHAnsi"/>
          <w:sz w:val="24"/>
          <w:szCs w:val="24"/>
        </w:rPr>
        <w:t>a jejich změny</w:t>
      </w:r>
      <w:r w:rsidRPr="00752B74">
        <w:rPr>
          <w:rFonts w:cstheme="minorHAnsi"/>
          <w:sz w:val="24"/>
          <w:szCs w:val="24"/>
        </w:rPr>
        <w:t xml:space="preserve"> </w:t>
      </w:r>
      <w:r w:rsidRPr="00C47E97">
        <w:rPr>
          <w:rFonts w:cstheme="minorHAnsi"/>
          <w:sz w:val="24"/>
          <w:szCs w:val="24"/>
        </w:rPr>
        <w:t>v oblasti daní</w:t>
      </w:r>
      <w:r w:rsidRPr="00B46899">
        <w:rPr>
          <w:rFonts w:cstheme="minorHAnsi"/>
          <w:sz w:val="24"/>
          <w:szCs w:val="24"/>
        </w:rPr>
        <w:t>, v rámci zákonného zmocnění vydává podzákonné</w:t>
      </w:r>
      <w:r>
        <w:rPr>
          <w:rFonts w:cstheme="minorHAnsi"/>
          <w:sz w:val="24"/>
          <w:szCs w:val="24"/>
        </w:rPr>
        <w:t xml:space="preserve"> právní předpisy,</w:t>
      </w:r>
    </w:p>
    <w:p w14:paraId="2646A786" w14:textId="77777777" w:rsidR="001B6F41" w:rsidRPr="00C47E97" w:rsidRDefault="001B6F41" w:rsidP="00927709">
      <w:pPr>
        <w:numPr>
          <w:ilvl w:val="0"/>
          <w:numId w:val="5"/>
        </w:numPr>
        <w:spacing w:after="0" w:line="240" w:lineRule="auto"/>
        <w:ind w:left="714" w:hanging="357"/>
        <w:jc w:val="both"/>
        <w:rPr>
          <w:rFonts w:cstheme="minorHAnsi"/>
          <w:sz w:val="24"/>
          <w:szCs w:val="24"/>
        </w:rPr>
      </w:pPr>
      <w:r w:rsidRPr="00C47E97">
        <w:rPr>
          <w:rFonts w:cstheme="minorHAnsi"/>
          <w:sz w:val="24"/>
          <w:szCs w:val="24"/>
        </w:rPr>
        <w:t>řídí GFŘ a GŘC</w:t>
      </w:r>
      <w:r w:rsidR="00FA278E" w:rsidRPr="00C47E97">
        <w:rPr>
          <w:rFonts w:cstheme="minorHAnsi"/>
          <w:sz w:val="24"/>
          <w:szCs w:val="24"/>
        </w:rPr>
        <w:t>,</w:t>
      </w:r>
    </w:p>
    <w:p w14:paraId="7F958C1A" w14:textId="692CA716" w:rsidR="001B6F41" w:rsidRPr="00C47E97" w:rsidRDefault="001B6F41" w:rsidP="00927709">
      <w:pPr>
        <w:pStyle w:val="Odstavecseseznamem"/>
        <w:numPr>
          <w:ilvl w:val="0"/>
          <w:numId w:val="5"/>
        </w:numPr>
        <w:jc w:val="both"/>
        <w:rPr>
          <w:rFonts w:cstheme="minorHAnsi"/>
          <w:sz w:val="24"/>
          <w:szCs w:val="24"/>
        </w:rPr>
      </w:pPr>
      <w:r w:rsidRPr="00C47E97">
        <w:rPr>
          <w:rFonts w:cstheme="minorHAnsi"/>
          <w:sz w:val="24"/>
          <w:szCs w:val="24"/>
        </w:rPr>
        <w:t xml:space="preserve">je správcem kapitol </w:t>
      </w:r>
      <w:r w:rsidR="002A3517">
        <w:rPr>
          <w:rFonts w:cstheme="minorHAnsi"/>
          <w:sz w:val="24"/>
          <w:szCs w:val="24"/>
        </w:rPr>
        <w:t xml:space="preserve">státního rozpočtu </w:t>
      </w:r>
      <w:r w:rsidRPr="00C47E97">
        <w:rPr>
          <w:rFonts w:cstheme="minorHAnsi"/>
          <w:sz w:val="24"/>
          <w:szCs w:val="24"/>
        </w:rPr>
        <w:t xml:space="preserve">312 </w:t>
      </w:r>
      <w:r w:rsidR="002A3517">
        <w:rPr>
          <w:rFonts w:cstheme="minorHAnsi"/>
          <w:sz w:val="24"/>
          <w:szCs w:val="24"/>
        </w:rPr>
        <w:t xml:space="preserve">– </w:t>
      </w:r>
      <w:r w:rsidRPr="00D30F88">
        <w:rPr>
          <w:rFonts w:cstheme="minorHAnsi"/>
          <w:i/>
          <w:iCs/>
          <w:sz w:val="24"/>
          <w:szCs w:val="24"/>
        </w:rPr>
        <w:t xml:space="preserve">Ministerstvo </w:t>
      </w:r>
      <w:r w:rsidR="002D21AC" w:rsidRPr="00D30F88">
        <w:rPr>
          <w:rFonts w:cstheme="minorHAnsi"/>
          <w:i/>
          <w:iCs/>
          <w:sz w:val="24"/>
          <w:szCs w:val="24"/>
        </w:rPr>
        <w:t>financí</w:t>
      </w:r>
      <w:r w:rsidRPr="00C47E97">
        <w:rPr>
          <w:rFonts w:cstheme="minorHAnsi"/>
          <w:sz w:val="24"/>
          <w:szCs w:val="24"/>
        </w:rPr>
        <w:t xml:space="preserve"> a 398 </w:t>
      </w:r>
      <w:r w:rsidR="002A3517">
        <w:rPr>
          <w:rFonts w:cstheme="minorHAnsi"/>
          <w:sz w:val="24"/>
          <w:szCs w:val="24"/>
        </w:rPr>
        <w:t>–</w:t>
      </w:r>
      <w:r w:rsidRPr="00C47E97">
        <w:rPr>
          <w:rFonts w:cstheme="minorHAnsi"/>
          <w:sz w:val="24"/>
          <w:szCs w:val="24"/>
        </w:rPr>
        <w:t xml:space="preserve"> </w:t>
      </w:r>
      <w:r w:rsidRPr="00D30F88">
        <w:rPr>
          <w:rFonts w:cstheme="minorHAnsi"/>
          <w:i/>
          <w:iCs/>
          <w:sz w:val="24"/>
          <w:szCs w:val="24"/>
        </w:rPr>
        <w:t>Všeobecná pokladní správa</w:t>
      </w:r>
      <w:r w:rsidR="00FA278E" w:rsidRPr="00C47E97">
        <w:rPr>
          <w:rFonts w:cstheme="minorHAnsi"/>
          <w:sz w:val="24"/>
          <w:szCs w:val="24"/>
        </w:rPr>
        <w:t>.</w:t>
      </w:r>
    </w:p>
    <w:p w14:paraId="272CCC24" w14:textId="77777777" w:rsidR="002D21AC" w:rsidRPr="00C47E97" w:rsidRDefault="002D21AC" w:rsidP="003B25D8">
      <w:pPr>
        <w:keepNext/>
        <w:spacing w:after="0"/>
        <w:jc w:val="both"/>
        <w:rPr>
          <w:rFonts w:cstheme="minorHAnsi"/>
          <w:sz w:val="24"/>
          <w:szCs w:val="24"/>
        </w:rPr>
      </w:pPr>
      <w:r w:rsidRPr="00C47E97">
        <w:rPr>
          <w:rFonts w:cstheme="minorHAnsi"/>
          <w:sz w:val="24"/>
          <w:szCs w:val="24"/>
        </w:rPr>
        <w:lastRenderedPageBreak/>
        <w:t>Generální finanční ředitelství</w:t>
      </w:r>
    </w:p>
    <w:p w14:paraId="7CA03CF1" w14:textId="77777777" w:rsidR="001B6F41" w:rsidRPr="00C47E97" w:rsidRDefault="001B6F41" w:rsidP="003B25D8">
      <w:pPr>
        <w:keepNext/>
        <w:numPr>
          <w:ilvl w:val="0"/>
          <w:numId w:val="5"/>
        </w:numPr>
        <w:spacing w:after="0" w:line="240" w:lineRule="auto"/>
        <w:ind w:left="714" w:hanging="357"/>
        <w:jc w:val="both"/>
        <w:rPr>
          <w:rFonts w:cstheme="minorHAnsi"/>
          <w:sz w:val="24"/>
          <w:szCs w:val="24"/>
        </w:rPr>
      </w:pPr>
      <w:r w:rsidRPr="00C47E97">
        <w:rPr>
          <w:rFonts w:cstheme="minorHAnsi"/>
          <w:sz w:val="24"/>
          <w:szCs w:val="24"/>
        </w:rPr>
        <w:t xml:space="preserve">řídí a </w:t>
      </w:r>
      <w:r w:rsidR="002D21AC" w:rsidRPr="00C47E97">
        <w:rPr>
          <w:rFonts w:cstheme="minorHAnsi"/>
          <w:sz w:val="24"/>
          <w:szCs w:val="24"/>
        </w:rPr>
        <w:t>kontroluje</w:t>
      </w:r>
      <w:r w:rsidRPr="00C47E97">
        <w:rPr>
          <w:rFonts w:cstheme="minorHAnsi"/>
          <w:sz w:val="24"/>
          <w:szCs w:val="24"/>
        </w:rPr>
        <w:t xml:space="preserve"> </w:t>
      </w:r>
      <w:r w:rsidR="002D21AC" w:rsidRPr="00C47E97">
        <w:rPr>
          <w:rFonts w:cstheme="minorHAnsi"/>
          <w:sz w:val="24"/>
          <w:szCs w:val="24"/>
        </w:rPr>
        <w:t>Odvolací</w:t>
      </w:r>
      <w:r w:rsidRPr="00C47E97">
        <w:rPr>
          <w:rFonts w:cstheme="minorHAnsi"/>
          <w:sz w:val="24"/>
          <w:szCs w:val="24"/>
        </w:rPr>
        <w:t xml:space="preserve"> finanční ředitelství a finanční úřady</w:t>
      </w:r>
      <w:r w:rsidR="00FA278E" w:rsidRPr="00C47E97">
        <w:rPr>
          <w:rFonts w:cstheme="minorHAnsi"/>
          <w:sz w:val="24"/>
          <w:szCs w:val="24"/>
        </w:rPr>
        <w:t>,</w:t>
      </w:r>
    </w:p>
    <w:p w14:paraId="2A4EEEC6" w14:textId="77777777" w:rsidR="001B6F41" w:rsidRPr="00C47E97" w:rsidRDefault="001B6F41" w:rsidP="003B25D8">
      <w:pPr>
        <w:keepNext/>
        <w:numPr>
          <w:ilvl w:val="0"/>
          <w:numId w:val="5"/>
        </w:numPr>
        <w:spacing w:after="0" w:line="240" w:lineRule="auto"/>
        <w:ind w:left="714" w:hanging="357"/>
        <w:jc w:val="both"/>
        <w:rPr>
          <w:rFonts w:cstheme="minorHAnsi"/>
          <w:sz w:val="24"/>
          <w:szCs w:val="24"/>
        </w:rPr>
      </w:pPr>
      <w:r w:rsidRPr="00C47E97">
        <w:rPr>
          <w:rFonts w:cstheme="minorHAnsi"/>
          <w:sz w:val="24"/>
          <w:szCs w:val="24"/>
        </w:rPr>
        <w:t>odpovídá za metodické řízení výkonu správy DPH</w:t>
      </w:r>
      <w:r w:rsidR="00FA278E" w:rsidRPr="00C47E97">
        <w:rPr>
          <w:rFonts w:cstheme="minorHAnsi"/>
          <w:sz w:val="24"/>
          <w:szCs w:val="24"/>
        </w:rPr>
        <w:t>,</w:t>
      </w:r>
    </w:p>
    <w:p w14:paraId="312AFA45" w14:textId="77777777" w:rsidR="001B6F41" w:rsidRPr="00C47E97" w:rsidRDefault="001B6F41" w:rsidP="003B25D8">
      <w:pPr>
        <w:keepNext/>
        <w:numPr>
          <w:ilvl w:val="0"/>
          <w:numId w:val="5"/>
        </w:numPr>
        <w:spacing w:after="0" w:line="240" w:lineRule="auto"/>
        <w:ind w:left="714" w:hanging="357"/>
        <w:jc w:val="both"/>
        <w:rPr>
          <w:rFonts w:cstheme="minorHAnsi"/>
          <w:sz w:val="24"/>
          <w:szCs w:val="24"/>
        </w:rPr>
      </w:pPr>
      <w:r w:rsidRPr="00C47E97">
        <w:rPr>
          <w:rFonts w:cstheme="minorHAnsi"/>
          <w:sz w:val="24"/>
          <w:szCs w:val="24"/>
        </w:rPr>
        <w:t>připravuje podklady pro návrhy právních předpisů</w:t>
      </w:r>
      <w:r w:rsidR="00FA278E" w:rsidRPr="00C47E97">
        <w:rPr>
          <w:rFonts w:cstheme="minorHAnsi"/>
          <w:sz w:val="24"/>
          <w:szCs w:val="24"/>
        </w:rPr>
        <w:t>,</w:t>
      </w:r>
    </w:p>
    <w:p w14:paraId="58D008D3" w14:textId="77777777" w:rsidR="001B6F41" w:rsidRPr="00C47E97" w:rsidRDefault="002D21AC" w:rsidP="003B25D8">
      <w:pPr>
        <w:keepNext/>
        <w:numPr>
          <w:ilvl w:val="0"/>
          <w:numId w:val="5"/>
        </w:numPr>
        <w:spacing w:after="0" w:line="240" w:lineRule="auto"/>
        <w:ind w:left="714" w:hanging="357"/>
        <w:jc w:val="both"/>
        <w:rPr>
          <w:rFonts w:cstheme="minorHAnsi"/>
          <w:sz w:val="24"/>
          <w:szCs w:val="24"/>
        </w:rPr>
      </w:pPr>
      <w:r w:rsidRPr="00C47E97">
        <w:rPr>
          <w:rFonts w:cstheme="minorHAnsi"/>
          <w:sz w:val="24"/>
          <w:szCs w:val="24"/>
        </w:rPr>
        <w:t>p</w:t>
      </w:r>
      <w:r w:rsidR="001B6F41" w:rsidRPr="00C47E97">
        <w:rPr>
          <w:rFonts w:cstheme="minorHAnsi"/>
          <w:sz w:val="24"/>
          <w:szCs w:val="24"/>
        </w:rPr>
        <w:t>odílí se na zpracování analýz dopadů přijatých legislativních změn na inkaso DPH</w:t>
      </w:r>
      <w:r w:rsidR="00FA278E" w:rsidRPr="00C47E97">
        <w:rPr>
          <w:rFonts w:cstheme="minorHAnsi"/>
          <w:sz w:val="24"/>
          <w:szCs w:val="24"/>
        </w:rPr>
        <w:t>,</w:t>
      </w:r>
    </w:p>
    <w:p w14:paraId="3FEF65BD" w14:textId="77777777" w:rsidR="00765050" w:rsidRPr="00C47E97" w:rsidRDefault="001B6F41" w:rsidP="003B25D8">
      <w:pPr>
        <w:pStyle w:val="Odstavecseseznamem"/>
        <w:keepNext/>
        <w:numPr>
          <w:ilvl w:val="0"/>
          <w:numId w:val="5"/>
        </w:numPr>
        <w:jc w:val="both"/>
        <w:rPr>
          <w:rFonts w:cstheme="minorHAnsi"/>
          <w:sz w:val="24"/>
          <w:szCs w:val="24"/>
        </w:rPr>
      </w:pPr>
      <w:r w:rsidRPr="00C47E97">
        <w:rPr>
          <w:rFonts w:cstheme="minorHAnsi"/>
          <w:sz w:val="24"/>
          <w:szCs w:val="24"/>
        </w:rPr>
        <w:t>vede centrální evidence a registry nezbytné pro výkon působnosti orgánů FS ČR</w:t>
      </w:r>
      <w:r w:rsidR="0004671A">
        <w:rPr>
          <w:rStyle w:val="Znakapoznpodarou"/>
          <w:rFonts w:cstheme="minorHAnsi"/>
          <w:sz w:val="24"/>
          <w:szCs w:val="24"/>
        </w:rPr>
        <w:footnoteReference w:id="17"/>
      </w:r>
      <w:r w:rsidR="008D4732" w:rsidRPr="00C47E97">
        <w:rPr>
          <w:rFonts w:cstheme="minorHAnsi"/>
          <w:sz w:val="24"/>
          <w:szCs w:val="24"/>
        </w:rPr>
        <w:t>.</w:t>
      </w:r>
      <w:r w:rsidR="00765050" w:rsidRPr="00C47E97">
        <w:rPr>
          <w:rFonts w:cstheme="minorHAnsi"/>
          <w:sz w:val="24"/>
          <w:szCs w:val="24"/>
        </w:rPr>
        <w:t xml:space="preserve"> </w:t>
      </w:r>
    </w:p>
    <w:p w14:paraId="5E1ECA64" w14:textId="77777777" w:rsidR="002D21AC" w:rsidRPr="00C47E97" w:rsidRDefault="002D21AC" w:rsidP="00D2282E">
      <w:pPr>
        <w:spacing w:after="0"/>
        <w:jc w:val="both"/>
        <w:rPr>
          <w:rFonts w:cstheme="minorHAnsi"/>
          <w:sz w:val="24"/>
          <w:szCs w:val="24"/>
        </w:rPr>
      </w:pPr>
      <w:r w:rsidRPr="00C47E97">
        <w:rPr>
          <w:rFonts w:cstheme="minorHAnsi"/>
          <w:sz w:val="24"/>
          <w:szCs w:val="24"/>
        </w:rPr>
        <w:t>Generální ředitelství cel</w:t>
      </w:r>
    </w:p>
    <w:p w14:paraId="5E474A26" w14:textId="77777777" w:rsidR="002D21AC" w:rsidRPr="00C47E97" w:rsidRDefault="002D21AC" w:rsidP="00927709">
      <w:pPr>
        <w:numPr>
          <w:ilvl w:val="0"/>
          <w:numId w:val="5"/>
        </w:numPr>
        <w:spacing w:after="0" w:line="240" w:lineRule="auto"/>
        <w:ind w:left="714" w:hanging="357"/>
        <w:jc w:val="both"/>
        <w:rPr>
          <w:rFonts w:cstheme="minorHAnsi"/>
          <w:sz w:val="24"/>
          <w:szCs w:val="24"/>
        </w:rPr>
      </w:pPr>
      <w:r w:rsidRPr="00C47E97">
        <w:rPr>
          <w:rFonts w:cstheme="minorHAnsi"/>
          <w:sz w:val="24"/>
          <w:szCs w:val="24"/>
        </w:rPr>
        <w:t>řídí a kontroluje celní úřady</w:t>
      </w:r>
      <w:r w:rsidR="00FA278E" w:rsidRPr="00C47E97">
        <w:rPr>
          <w:rFonts w:cstheme="minorHAnsi"/>
          <w:sz w:val="24"/>
          <w:szCs w:val="24"/>
        </w:rPr>
        <w:t>,</w:t>
      </w:r>
    </w:p>
    <w:p w14:paraId="6FF47C41" w14:textId="77777777" w:rsidR="002D21AC" w:rsidRPr="00C47E97" w:rsidRDefault="00765050" w:rsidP="00927709">
      <w:pPr>
        <w:numPr>
          <w:ilvl w:val="0"/>
          <w:numId w:val="5"/>
        </w:numPr>
        <w:spacing w:after="0" w:line="240" w:lineRule="auto"/>
        <w:ind w:left="714" w:hanging="357"/>
        <w:jc w:val="both"/>
        <w:rPr>
          <w:rFonts w:cstheme="minorHAnsi"/>
          <w:sz w:val="24"/>
          <w:szCs w:val="24"/>
        </w:rPr>
      </w:pPr>
      <w:r w:rsidRPr="00C47E97">
        <w:rPr>
          <w:rFonts w:cstheme="minorHAnsi"/>
          <w:sz w:val="24"/>
          <w:szCs w:val="24"/>
        </w:rPr>
        <w:t>podílí</w:t>
      </w:r>
      <w:r w:rsidR="002D21AC" w:rsidRPr="00C47E97">
        <w:rPr>
          <w:rFonts w:cstheme="minorHAnsi"/>
          <w:sz w:val="24"/>
          <w:szCs w:val="24"/>
        </w:rPr>
        <w:t xml:space="preserve"> se na </w:t>
      </w:r>
      <w:r w:rsidRPr="00C47E97">
        <w:rPr>
          <w:rFonts w:cstheme="minorHAnsi"/>
          <w:sz w:val="24"/>
          <w:szCs w:val="24"/>
        </w:rPr>
        <w:t>přípravě návrhů právních předpisů,</w:t>
      </w:r>
    </w:p>
    <w:p w14:paraId="114FAB66" w14:textId="77777777" w:rsidR="00B12E22" w:rsidRDefault="00765050" w:rsidP="00D974B9">
      <w:pPr>
        <w:numPr>
          <w:ilvl w:val="0"/>
          <w:numId w:val="5"/>
        </w:numPr>
        <w:spacing w:after="0" w:line="240" w:lineRule="auto"/>
        <w:ind w:left="714" w:hanging="357"/>
        <w:jc w:val="both"/>
        <w:rPr>
          <w:rFonts w:cstheme="minorHAnsi"/>
          <w:sz w:val="24"/>
          <w:szCs w:val="24"/>
        </w:rPr>
      </w:pPr>
      <w:r w:rsidRPr="00C47E97">
        <w:rPr>
          <w:rFonts w:cstheme="minorHAnsi"/>
          <w:sz w:val="24"/>
          <w:szCs w:val="24"/>
        </w:rPr>
        <w:t xml:space="preserve">vede centrální evidenci o kontrolovaném zboží a další evidence a registry nezbytné pro výkon působnosti orgánů </w:t>
      </w:r>
      <w:r w:rsidR="00B12E22">
        <w:rPr>
          <w:rFonts w:cstheme="minorHAnsi"/>
          <w:sz w:val="24"/>
          <w:szCs w:val="24"/>
        </w:rPr>
        <w:t>CS ČR</w:t>
      </w:r>
      <w:r w:rsidR="0004671A">
        <w:rPr>
          <w:rStyle w:val="Znakapoznpodarou"/>
          <w:rFonts w:cstheme="minorHAnsi"/>
          <w:sz w:val="24"/>
          <w:szCs w:val="24"/>
        </w:rPr>
        <w:footnoteReference w:id="18"/>
      </w:r>
      <w:r w:rsidR="00A77462">
        <w:rPr>
          <w:rFonts w:cstheme="minorHAnsi"/>
          <w:sz w:val="24"/>
          <w:szCs w:val="24"/>
        </w:rPr>
        <w:t>.</w:t>
      </w:r>
    </w:p>
    <w:p w14:paraId="386F1D2E" w14:textId="77777777" w:rsidR="00B12E22" w:rsidRDefault="00B12E22" w:rsidP="00B12E22">
      <w:pPr>
        <w:spacing w:after="120" w:line="240" w:lineRule="auto"/>
        <w:jc w:val="both"/>
        <w:rPr>
          <w:rFonts w:eastAsia="Calibri" w:cstheme="minorHAnsi"/>
          <w:sz w:val="24"/>
          <w:szCs w:val="24"/>
        </w:rPr>
      </w:pPr>
    </w:p>
    <w:p w14:paraId="19BF3F3C" w14:textId="7FDB883F" w:rsidR="0016071C" w:rsidRPr="0004671A" w:rsidRDefault="00B12E22" w:rsidP="0016071C">
      <w:pPr>
        <w:spacing w:after="120" w:line="240" w:lineRule="auto"/>
        <w:jc w:val="both"/>
        <w:rPr>
          <w:rFonts w:eastAsia="Calibri" w:cstheme="minorHAnsi"/>
          <w:sz w:val="24"/>
          <w:szCs w:val="24"/>
        </w:rPr>
      </w:pPr>
      <w:r w:rsidRPr="00C47E97">
        <w:rPr>
          <w:rFonts w:eastAsia="Calibri" w:cstheme="minorHAnsi"/>
          <w:sz w:val="24"/>
          <w:szCs w:val="24"/>
        </w:rPr>
        <w:t>Kontrolu dodržování povinností uložených zákonem o EET vykonávaly orgány FS ČR a</w:t>
      </w:r>
      <w:r>
        <w:rPr>
          <w:rFonts w:eastAsia="Calibri" w:cstheme="minorHAnsi"/>
          <w:sz w:val="24"/>
          <w:szCs w:val="24"/>
        </w:rPr>
        <w:t> </w:t>
      </w:r>
      <w:r w:rsidRPr="00C47E97">
        <w:rPr>
          <w:rFonts w:eastAsia="Calibri" w:cstheme="minorHAnsi"/>
          <w:sz w:val="24"/>
          <w:szCs w:val="24"/>
        </w:rPr>
        <w:t>orgány CS ČR.</w:t>
      </w:r>
      <w:r w:rsidR="0016071C">
        <w:rPr>
          <w:rFonts w:eastAsia="Calibri" w:cstheme="minorHAnsi"/>
          <w:sz w:val="24"/>
          <w:szCs w:val="24"/>
        </w:rPr>
        <w:t xml:space="preserve"> </w:t>
      </w:r>
      <w:r w:rsidR="0016071C" w:rsidRPr="00C47E97">
        <w:rPr>
          <w:rFonts w:eastAsia="Calibri" w:cstheme="minorHAnsi"/>
          <w:sz w:val="24"/>
          <w:szCs w:val="24"/>
        </w:rPr>
        <w:t xml:space="preserve">Kontrolu dodržování povinností </w:t>
      </w:r>
      <w:r w:rsidR="0016071C">
        <w:rPr>
          <w:rFonts w:eastAsia="Calibri" w:cstheme="minorHAnsi"/>
          <w:sz w:val="24"/>
          <w:szCs w:val="24"/>
        </w:rPr>
        <w:t xml:space="preserve">stanovených zákonem o DPH </w:t>
      </w:r>
      <w:r w:rsidR="00BF022C">
        <w:rPr>
          <w:rFonts w:eastAsia="Calibri" w:cstheme="minorHAnsi"/>
          <w:sz w:val="24"/>
          <w:szCs w:val="24"/>
        </w:rPr>
        <w:t>pro oblast kontrolního hlášení</w:t>
      </w:r>
      <w:r w:rsidR="0016071C" w:rsidRPr="00C47E97">
        <w:rPr>
          <w:rFonts w:eastAsia="Calibri" w:cstheme="minorHAnsi"/>
          <w:sz w:val="24"/>
          <w:szCs w:val="24"/>
        </w:rPr>
        <w:t xml:space="preserve"> vykonávaly orgány FS ČR.</w:t>
      </w:r>
    </w:p>
    <w:bookmarkEnd w:id="0"/>
    <w:bookmarkEnd w:id="1"/>
    <w:bookmarkEnd w:id="2"/>
    <w:p w14:paraId="58E9AC40" w14:textId="77777777" w:rsidR="00B53558" w:rsidRPr="00C47E97" w:rsidRDefault="0093232C" w:rsidP="00041825">
      <w:pPr>
        <w:pStyle w:val="Nadpis1"/>
        <w:keepLines/>
        <w:numPr>
          <w:ilvl w:val="0"/>
          <w:numId w:val="0"/>
        </w:numPr>
        <w:overflowPunct/>
        <w:autoSpaceDE/>
        <w:autoSpaceDN/>
        <w:adjustRightInd/>
        <w:spacing w:after="240" w:line="264" w:lineRule="auto"/>
        <w:textAlignment w:val="auto"/>
        <w:rPr>
          <w:sz w:val="28"/>
          <w:szCs w:val="24"/>
        </w:rPr>
      </w:pPr>
      <w:r w:rsidRPr="00C47E97">
        <w:rPr>
          <w:sz w:val="28"/>
          <w:szCs w:val="24"/>
        </w:rPr>
        <w:t>III. Rozsah kontroly</w:t>
      </w:r>
    </w:p>
    <w:p w14:paraId="1781E9B8" w14:textId="77777777" w:rsidR="007B4D40" w:rsidRPr="00C47E97" w:rsidRDefault="007B4D40" w:rsidP="00044615">
      <w:pPr>
        <w:spacing w:after="120" w:line="240" w:lineRule="auto"/>
        <w:jc w:val="both"/>
        <w:rPr>
          <w:rFonts w:cstheme="minorHAnsi"/>
          <w:sz w:val="24"/>
          <w:szCs w:val="24"/>
          <w:lang w:eastAsia="cs-CZ"/>
        </w:rPr>
      </w:pPr>
      <w:r w:rsidRPr="00C47E97">
        <w:rPr>
          <w:rFonts w:cstheme="minorHAnsi"/>
          <w:sz w:val="24"/>
          <w:szCs w:val="24"/>
          <w:lang w:eastAsia="cs-CZ"/>
        </w:rPr>
        <w:t>Cílem kontroly NKÚ bylo prověřit, zda byly peněžní prostředky státu určené na vybraná opatření proti daňovým únikům na dani z přidané hodnoty vynakládány účelně a v souladu s</w:t>
      </w:r>
      <w:r w:rsidR="00041825">
        <w:rPr>
          <w:rFonts w:cstheme="minorHAnsi"/>
          <w:sz w:val="24"/>
          <w:szCs w:val="24"/>
          <w:lang w:eastAsia="cs-CZ"/>
        </w:rPr>
        <w:t> </w:t>
      </w:r>
      <w:r w:rsidRPr="00C47E97">
        <w:rPr>
          <w:rFonts w:cstheme="minorHAnsi"/>
          <w:sz w:val="24"/>
          <w:szCs w:val="24"/>
          <w:lang w:eastAsia="cs-CZ"/>
        </w:rPr>
        <w:t>právními předpisy.</w:t>
      </w:r>
    </w:p>
    <w:p w14:paraId="6DF002D8" w14:textId="2406D319" w:rsidR="007E4433" w:rsidRPr="00C47E97" w:rsidRDefault="007E4433" w:rsidP="007E4433">
      <w:pPr>
        <w:pStyle w:val="Zkladntext1"/>
        <w:shd w:val="clear" w:color="auto" w:fill="auto"/>
        <w:spacing w:before="120" w:after="120"/>
        <w:rPr>
          <w:rFonts w:asciiTheme="minorHAnsi" w:hAnsiTheme="minorHAnsi" w:cstheme="minorHAnsi"/>
          <w:color w:val="000000"/>
        </w:rPr>
      </w:pPr>
      <w:r w:rsidRPr="00C47E97">
        <w:rPr>
          <w:rFonts w:asciiTheme="minorHAnsi" w:hAnsiTheme="minorHAnsi" w:cstheme="minorHAnsi"/>
          <w:color w:val="000000"/>
        </w:rPr>
        <w:t xml:space="preserve">NKÚ se v rámci kontroly zaměřil na peněžní prostředky státu určené na vybraná opatření proti daňovým únikům a účelnost jejich vynaložení. </w:t>
      </w:r>
      <w:r w:rsidRPr="00451FA0">
        <w:rPr>
          <w:rFonts w:asciiTheme="minorHAnsi" w:hAnsiTheme="minorHAnsi" w:cstheme="minorHAnsi"/>
          <w:color w:val="000000"/>
        </w:rPr>
        <w:t>Vybranými opatřeními byly kontrolní hlášení a</w:t>
      </w:r>
      <w:r w:rsidR="00BF022C">
        <w:rPr>
          <w:rFonts w:asciiTheme="minorHAnsi" w:hAnsiTheme="minorHAnsi" w:cstheme="minorHAnsi"/>
          <w:color w:val="000000"/>
        </w:rPr>
        <w:t> </w:t>
      </w:r>
      <w:r w:rsidRPr="00451FA0">
        <w:rPr>
          <w:rFonts w:asciiTheme="minorHAnsi" w:hAnsiTheme="minorHAnsi" w:cstheme="minorHAnsi"/>
          <w:color w:val="000000"/>
        </w:rPr>
        <w:t>evidence tržeb, neboť se jednalo o opatření s významným peněžním dopadem a rozsahem informací, které díky nim správce daně získal</w:t>
      </w:r>
      <w:r>
        <w:rPr>
          <w:rFonts w:asciiTheme="minorHAnsi" w:hAnsiTheme="minorHAnsi" w:cstheme="minorHAnsi"/>
          <w:color w:val="000000"/>
        </w:rPr>
        <w:t xml:space="preserve"> pro správu daní</w:t>
      </w:r>
      <w:r w:rsidRPr="00451FA0">
        <w:rPr>
          <w:rFonts w:asciiTheme="minorHAnsi" w:hAnsiTheme="minorHAnsi" w:cstheme="minorHAnsi"/>
          <w:color w:val="000000"/>
        </w:rPr>
        <w:t>.</w:t>
      </w:r>
    </w:p>
    <w:p w14:paraId="43E543DF" w14:textId="7FE38D94" w:rsidR="002975DA" w:rsidRDefault="002975DA" w:rsidP="001F5B42">
      <w:pPr>
        <w:spacing w:line="240" w:lineRule="auto"/>
        <w:jc w:val="both"/>
        <w:rPr>
          <w:rFonts w:cstheme="minorHAnsi"/>
          <w:sz w:val="24"/>
          <w:szCs w:val="24"/>
        </w:rPr>
      </w:pPr>
      <w:r w:rsidRPr="00EA654B">
        <w:rPr>
          <w:rFonts w:cstheme="minorHAnsi"/>
          <w:bCs/>
          <w:sz w:val="24"/>
          <w:szCs w:val="24"/>
        </w:rPr>
        <w:t xml:space="preserve">NKÚ </w:t>
      </w:r>
      <w:r w:rsidR="007E4433" w:rsidRPr="00EA654B">
        <w:rPr>
          <w:rFonts w:cstheme="minorHAnsi"/>
          <w:bCs/>
          <w:sz w:val="24"/>
          <w:szCs w:val="24"/>
        </w:rPr>
        <w:t>dále</w:t>
      </w:r>
      <w:r w:rsidRPr="00EA654B">
        <w:rPr>
          <w:rFonts w:cstheme="minorHAnsi"/>
          <w:bCs/>
          <w:sz w:val="24"/>
          <w:szCs w:val="24"/>
        </w:rPr>
        <w:t xml:space="preserve"> prověřoval</w:t>
      </w:r>
      <w:r w:rsidR="00523277" w:rsidRPr="00EA654B">
        <w:rPr>
          <w:rFonts w:cstheme="minorHAnsi"/>
          <w:bCs/>
          <w:sz w:val="24"/>
          <w:szCs w:val="24"/>
        </w:rPr>
        <w:t xml:space="preserve">, </w:t>
      </w:r>
      <w:r w:rsidRPr="00EA654B">
        <w:rPr>
          <w:rFonts w:cstheme="minorHAnsi"/>
          <w:bCs/>
          <w:sz w:val="24"/>
          <w:szCs w:val="24"/>
        </w:rPr>
        <w:t>zda</w:t>
      </w:r>
      <w:bookmarkStart w:id="10" w:name="_Hlk165379556"/>
      <w:r w:rsidR="003A448E" w:rsidRPr="00EA654B">
        <w:rPr>
          <w:rFonts w:cstheme="minorHAnsi"/>
          <w:sz w:val="24"/>
          <w:szCs w:val="24"/>
          <w:lang w:eastAsia="cs-CZ"/>
        </w:rPr>
        <w:t xml:space="preserve"> </w:t>
      </w:r>
      <w:r w:rsidRPr="00EA654B">
        <w:rPr>
          <w:rFonts w:cstheme="minorHAnsi"/>
          <w:sz w:val="24"/>
          <w:szCs w:val="24"/>
          <w:lang w:eastAsia="cs-CZ"/>
        </w:rPr>
        <w:t xml:space="preserve">kontrolované osoby </w:t>
      </w:r>
      <w:r w:rsidR="004108C0" w:rsidRPr="00EA654B">
        <w:rPr>
          <w:rFonts w:cstheme="minorHAnsi"/>
          <w:sz w:val="24"/>
          <w:szCs w:val="24"/>
          <w:lang w:eastAsia="cs-CZ"/>
        </w:rPr>
        <w:t>uplatňovaly vybraná opatření proti daňovým únikům v souladu s právními předpisy tak, aby daně byly zjištěny a stanoveny správně</w:t>
      </w:r>
      <w:bookmarkEnd w:id="10"/>
      <w:r w:rsidR="004108C0">
        <w:rPr>
          <w:rStyle w:val="Znakapoznpodarou"/>
          <w:rFonts w:cstheme="minorHAnsi"/>
          <w:sz w:val="24"/>
          <w:szCs w:val="24"/>
          <w:lang w:eastAsia="cs-CZ"/>
        </w:rPr>
        <w:footnoteReference w:id="19"/>
      </w:r>
      <w:r w:rsidRPr="00EA654B">
        <w:rPr>
          <w:rFonts w:cstheme="minorHAnsi"/>
          <w:sz w:val="24"/>
          <w:szCs w:val="24"/>
        </w:rPr>
        <w:t>.</w:t>
      </w:r>
    </w:p>
    <w:p w14:paraId="4D699482" w14:textId="22A5C38D" w:rsidR="003D75C0" w:rsidRPr="00C47E97" w:rsidRDefault="003D75C0" w:rsidP="004879BA">
      <w:pPr>
        <w:spacing w:after="120" w:line="240" w:lineRule="auto"/>
        <w:jc w:val="both"/>
        <w:rPr>
          <w:rFonts w:cstheme="minorHAnsi"/>
          <w:sz w:val="24"/>
          <w:szCs w:val="24"/>
          <w:lang w:eastAsia="cs-CZ"/>
        </w:rPr>
      </w:pPr>
      <w:r w:rsidRPr="00C47E97">
        <w:rPr>
          <w:rFonts w:cstheme="minorHAnsi"/>
          <w:sz w:val="24"/>
          <w:szCs w:val="24"/>
          <w:lang w:eastAsia="cs-CZ"/>
        </w:rPr>
        <w:t xml:space="preserve">Kontrolovaný objem byl stanoven </w:t>
      </w:r>
      <w:r w:rsidR="009C70D2">
        <w:rPr>
          <w:rFonts w:cstheme="minorHAnsi"/>
          <w:sz w:val="24"/>
          <w:szCs w:val="24"/>
          <w:lang w:eastAsia="cs-CZ"/>
        </w:rPr>
        <w:t>jako</w:t>
      </w:r>
      <w:r w:rsidR="00BF022C">
        <w:rPr>
          <w:rFonts w:cstheme="minorHAnsi"/>
          <w:sz w:val="24"/>
          <w:szCs w:val="24"/>
          <w:lang w:eastAsia="cs-CZ"/>
        </w:rPr>
        <w:t xml:space="preserve"> </w:t>
      </w:r>
      <w:r w:rsidRPr="00C47E97">
        <w:rPr>
          <w:rFonts w:cstheme="minorHAnsi"/>
          <w:sz w:val="24"/>
          <w:szCs w:val="24"/>
          <w:lang w:eastAsia="cs-CZ"/>
        </w:rPr>
        <w:t>hodnot</w:t>
      </w:r>
      <w:r w:rsidR="0044620C">
        <w:rPr>
          <w:rFonts w:cstheme="minorHAnsi"/>
          <w:sz w:val="24"/>
          <w:szCs w:val="24"/>
          <w:lang w:eastAsia="cs-CZ"/>
        </w:rPr>
        <w:t>a</w:t>
      </w:r>
      <w:r w:rsidRPr="00C47E97">
        <w:rPr>
          <w:rFonts w:cstheme="minorHAnsi"/>
          <w:sz w:val="24"/>
          <w:szCs w:val="24"/>
          <w:lang w:eastAsia="cs-CZ"/>
        </w:rPr>
        <w:t xml:space="preserve"> nákladů vynaložených </w:t>
      </w:r>
      <w:r w:rsidR="001713F3" w:rsidRPr="00C47E97">
        <w:rPr>
          <w:rFonts w:cstheme="minorHAnsi"/>
          <w:sz w:val="24"/>
          <w:szCs w:val="24"/>
          <w:lang w:eastAsia="cs-CZ"/>
        </w:rPr>
        <w:t xml:space="preserve">MF, </w:t>
      </w:r>
      <w:r w:rsidRPr="00C47E97">
        <w:rPr>
          <w:rFonts w:cstheme="minorHAnsi"/>
          <w:sz w:val="24"/>
          <w:szCs w:val="24"/>
          <w:lang w:eastAsia="cs-CZ"/>
        </w:rPr>
        <w:t xml:space="preserve">GFŘ a GŘC </w:t>
      </w:r>
      <w:r w:rsidR="00D56EB5">
        <w:rPr>
          <w:rFonts w:cstheme="minorHAnsi"/>
          <w:sz w:val="24"/>
          <w:szCs w:val="24"/>
          <w:lang w:eastAsia="cs-CZ"/>
        </w:rPr>
        <w:br/>
      </w:r>
      <w:r w:rsidRPr="00C47E97">
        <w:rPr>
          <w:rFonts w:cstheme="minorHAnsi"/>
          <w:sz w:val="24"/>
          <w:szCs w:val="24"/>
          <w:lang w:eastAsia="cs-CZ"/>
        </w:rPr>
        <w:t xml:space="preserve">na zavedení a provoz </w:t>
      </w:r>
      <w:r w:rsidR="00BF022C">
        <w:rPr>
          <w:rFonts w:cstheme="minorHAnsi"/>
          <w:sz w:val="24"/>
          <w:szCs w:val="24"/>
          <w:lang w:eastAsia="cs-CZ"/>
        </w:rPr>
        <w:t xml:space="preserve">elektronické </w:t>
      </w:r>
      <w:r w:rsidRPr="00C47E97">
        <w:rPr>
          <w:rFonts w:cstheme="minorHAnsi"/>
          <w:sz w:val="24"/>
          <w:szCs w:val="24"/>
          <w:lang w:eastAsia="cs-CZ"/>
        </w:rPr>
        <w:t xml:space="preserve">evidence tržeb a </w:t>
      </w:r>
      <w:r w:rsidR="00936E09" w:rsidRPr="00C47E97">
        <w:rPr>
          <w:rFonts w:cstheme="minorHAnsi"/>
          <w:sz w:val="24"/>
          <w:szCs w:val="24"/>
          <w:lang w:eastAsia="cs-CZ"/>
        </w:rPr>
        <w:t>hodnot</w:t>
      </w:r>
      <w:r w:rsidR="00BF022C">
        <w:rPr>
          <w:rFonts w:cstheme="minorHAnsi"/>
          <w:sz w:val="24"/>
          <w:szCs w:val="24"/>
          <w:lang w:eastAsia="cs-CZ"/>
        </w:rPr>
        <w:t>a</w:t>
      </w:r>
      <w:r w:rsidR="00936E09" w:rsidRPr="00C47E97">
        <w:rPr>
          <w:rFonts w:cstheme="minorHAnsi"/>
          <w:sz w:val="24"/>
          <w:szCs w:val="24"/>
          <w:lang w:eastAsia="cs-CZ"/>
        </w:rPr>
        <w:t xml:space="preserve"> nákladů vynaložených GFŘ na kontrolní hlášení</w:t>
      </w:r>
      <w:r w:rsidR="0044620C">
        <w:rPr>
          <w:rFonts w:cstheme="minorHAnsi"/>
          <w:sz w:val="24"/>
          <w:szCs w:val="24"/>
          <w:lang w:eastAsia="cs-CZ"/>
        </w:rPr>
        <w:t xml:space="preserve">, tj. </w:t>
      </w:r>
      <w:r w:rsidR="00EA654B">
        <w:rPr>
          <w:rFonts w:cstheme="minorHAnsi"/>
          <w:sz w:val="24"/>
          <w:szCs w:val="24"/>
          <w:lang w:eastAsia="cs-CZ"/>
        </w:rPr>
        <w:t xml:space="preserve">celkově </w:t>
      </w:r>
      <w:r w:rsidR="0044620C">
        <w:rPr>
          <w:rFonts w:cstheme="minorHAnsi"/>
          <w:sz w:val="24"/>
          <w:szCs w:val="24"/>
          <w:lang w:eastAsia="cs-CZ"/>
        </w:rPr>
        <w:t>2 495,1 mil. Kč</w:t>
      </w:r>
      <w:r w:rsidR="00936E09" w:rsidRPr="00C47E97">
        <w:rPr>
          <w:rFonts w:cstheme="minorHAnsi"/>
          <w:sz w:val="24"/>
          <w:szCs w:val="24"/>
          <w:lang w:eastAsia="cs-CZ"/>
        </w:rPr>
        <w:t xml:space="preserve">. </w:t>
      </w:r>
    </w:p>
    <w:p w14:paraId="6673188A" w14:textId="77777777" w:rsidR="00FF46CC" w:rsidRPr="00C47E97" w:rsidRDefault="00FF46CC" w:rsidP="00FF46CC">
      <w:pPr>
        <w:spacing w:after="240" w:line="240" w:lineRule="auto"/>
        <w:jc w:val="both"/>
        <w:rPr>
          <w:rFonts w:cstheme="minorHAnsi"/>
          <w:sz w:val="24"/>
          <w:szCs w:val="24"/>
        </w:rPr>
      </w:pPr>
      <w:r w:rsidRPr="00C47E97">
        <w:rPr>
          <w:rFonts w:cstheme="minorHAnsi"/>
          <w:sz w:val="24"/>
          <w:szCs w:val="24"/>
        </w:rPr>
        <w:t>Kontrolováno bylo období let 2018–2022 a v případě věcných souvislostí i období předcházející a navazující.</w:t>
      </w:r>
    </w:p>
    <w:p w14:paraId="688153C0" w14:textId="77777777" w:rsidR="00B53558" w:rsidRPr="00C47E97" w:rsidRDefault="0093232C" w:rsidP="00044615">
      <w:pPr>
        <w:spacing w:before="480" w:after="120" w:line="264" w:lineRule="auto"/>
        <w:ind w:left="567" w:hanging="567"/>
        <w:jc w:val="both"/>
        <w:rPr>
          <w:rFonts w:cstheme="minorHAnsi"/>
          <w:bCs/>
          <w:sz w:val="20"/>
          <w:szCs w:val="24"/>
        </w:rPr>
      </w:pPr>
      <w:r w:rsidRPr="00C47E97">
        <w:rPr>
          <w:rFonts w:cstheme="minorHAnsi"/>
          <w:b/>
          <w:bCs/>
          <w:sz w:val="20"/>
          <w:szCs w:val="24"/>
        </w:rPr>
        <w:t>Pozn.:</w:t>
      </w:r>
      <w:r w:rsidRPr="00C47E97">
        <w:rPr>
          <w:rFonts w:cstheme="minorHAnsi"/>
          <w:bCs/>
          <w:sz w:val="20"/>
          <w:szCs w:val="24"/>
        </w:rPr>
        <w:t xml:space="preserve"> </w:t>
      </w:r>
      <w:r w:rsidRPr="00C47E97">
        <w:rPr>
          <w:rFonts w:cstheme="minorHAnsi"/>
          <w:bCs/>
          <w:sz w:val="20"/>
          <w:szCs w:val="24"/>
        </w:rPr>
        <w:tab/>
        <w:t>Právní předpisy uvedené v tomto kontrolním závěru jsou aplikovány ve znění účinném pro kontrolované období.</w:t>
      </w:r>
    </w:p>
    <w:p w14:paraId="4476E2FD" w14:textId="77777777" w:rsidR="006814F6" w:rsidRPr="00C47E97" w:rsidRDefault="00B53E8F" w:rsidP="00B53E8F">
      <w:pPr>
        <w:pStyle w:val="Nadpis1"/>
        <w:keepLines/>
        <w:numPr>
          <w:ilvl w:val="0"/>
          <w:numId w:val="0"/>
        </w:numPr>
        <w:overflowPunct/>
        <w:autoSpaceDE/>
        <w:autoSpaceDN/>
        <w:adjustRightInd/>
        <w:spacing w:before="720" w:after="240" w:line="264" w:lineRule="auto"/>
        <w:textAlignment w:val="auto"/>
        <w:rPr>
          <w:sz w:val="28"/>
          <w:szCs w:val="24"/>
        </w:rPr>
      </w:pPr>
      <w:r w:rsidRPr="00C47E97">
        <w:rPr>
          <w:sz w:val="28"/>
          <w:szCs w:val="24"/>
        </w:rPr>
        <w:lastRenderedPageBreak/>
        <w:t>IV.</w:t>
      </w:r>
      <w:r w:rsidR="00FB4608" w:rsidRPr="00C47E97">
        <w:rPr>
          <w:sz w:val="28"/>
          <w:szCs w:val="24"/>
        </w:rPr>
        <w:t xml:space="preserve"> </w:t>
      </w:r>
      <w:r w:rsidR="0093232C" w:rsidRPr="00C47E97">
        <w:rPr>
          <w:sz w:val="28"/>
          <w:szCs w:val="24"/>
        </w:rPr>
        <w:t>Podrobné skutečnosti zjištěné kontrolou</w:t>
      </w:r>
    </w:p>
    <w:p w14:paraId="1FEECF84" w14:textId="01A6955B" w:rsidR="00F737F6" w:rsidRPr="00C47E97" w:rsidRDefault="00F737F6" w:rsidP="00D30F88">
      <w:pPr>
        <w:pStyle w:val="NadpisKZ"/>
        <w:numPr>
          <w:ilvl w:val="0"/>
          <w:numId w:val="28"/>
        </w:numPr>
        <w:tabs>
          <w:tab w:val="clear" w:pos="360"/>
        </w:tabs>
        <w:ind w:left="426" w:hanging="426"/>
      </w:pPr>
      <w:r w:rsidRPr="00C47E97">
        <w:t>Kontrolní hlášení napomáhá v boji proti daňovým únikům</w:t>
      </w:r>
    </w:p>
    <w:p w14:paraId="279BB8FF" w14:textId="284B50D4" w:rsidR="00F737F6" w:rsidRPr="00C47E97" w:rsidRDefault="00F737F6" w:rsidP="00F737F6">
      <w:pPr>
        <w:spacing w:after="120" w:line="240" w:lineRule="auto"/>
        <w:jc w:val="both"/>
        <w:rPr>
          <w:rFonts w:eastAsia="Calibri" w:cstheme="minorHAnsi"/>
          <w:sz w:val="24"/>
          <w:szCs w:val="24"/>
        </w:rPr>
      </w:pPr>
      <w:r w:rsidRPr="00C47E97">
        <w:rPr>
          <w:rFonts w:eastAsia="Calibri" w:cstheme="minorHAnsi"/>
          <w:sz w:val="24"/>
          <w:szCs w:val="24"/>
        </w:rPr>
        <w:t>Kontrolní hlášení je speciální daňové tvrzení</w:t>
      </w:r>
      <w:r w:rsidR="004F2792">
        <w:rPr>
          <w:rFonts w:eastAsia="Calibri" w:cstheme="minorHAnsi"/>
          <w:sz w:val="24"/>
          <w:szCs w:val="24"/>
        </w:rPr>
        <w:t>, které slouží</w:t>
      </w:r>
      <w:r w:rsidRPr="00C47E97">
        <w:rPr>
          <w:rFonts w:eastAsia="Calibri" w:cstheme="minorHAnsi"/>
          <w:sz w:val="24"/>
          <w:szCs w:val="24"/>
        </w:rPr>
        <w:t xml:space="preserve"> primárně </w:t>
      </w:r>
      <w:r w:rsidR="004F2792">
        <w:rPr>
          <w:rFonts w:eastAsia="Calibri" w:cstheme="minorHAnsi"/>
          <w:sz w:val="24"/>
          <w:szCs w:val="24"/>
        </w:rPr>
        <w:t>jak</w:t>
      </w:r>
      <w:r w:rsidRPr="00C47E97">
        <w:rPr>
          <w:rFonts w:eastAsia="Calibri" w:cstheme="minorHAnsi"/>
          <w:sz w:val="24"/>
          <w:szCs w:val="24"/>
        </w:rPr>
        <w:t xml:space="preserve">o analytický nástroj. </w:t>
      </w:r>
      <w:r w:rsidR="004F2792">
        <w:rPr>
          <w:rFonts w:eastAsia="Calibri" w:cstheme="minorHAnsi"/>
          <w:sz w:val="24"/>
          <w:szCs w:val="24"/>
        </w:rPr>
        <w:br/>
        <w:t xml:space="preserve">Na jeho zavedení a provoz </w:t>
      </w:r>
      <w:r w:rsidRPr="00C47E97">
        <w:rPr>
          <w:rFonts w:eastAsia="Calibri" w:cstheme="minorHAnsi"/>
          <w:sz w:val="24"/>
          <w:szCs w:val="24"/>
        </w:rPr>
        <w:t xml:space="preserve">vynaložilo </w:t>
      </w:r>
      <w:r w:rsidR="004F2792">
        <w:rPr>
          <w:rFonts w:eastAsia="Calibri" w:cstheme="minorHAnsi"/>
          <w:sz w:val="24"/>
          <w:szCs w:val="24"/>
        </w:rPr>
        <w:t>GFŘ v</w:t>
      </w:r>
      <w:r w:rsidRPr="00C47E97">
        <w:rPr>
          <w:rFonts w:eastAsia="Calibri" w:cstheme="minorHAnsi"/>
          <w:sz w:val="24"/>
          <w:szCs w:val="24"/>
        </w:rPr>
        <w:t xml:space="preserve"> letech 2015 až 2022 celkem </w:t>
      </w:r>
      <w:r w:rsidRPr="00C47E97">
        <w:rPr>
          <w:rFonts w:cstheme="minorHAnsi"/>
          <w:color w:val="000000"/>
          <w:sz w:val="24"/>
          <w:szCs w:val="24"/>
        </w:rPr>
        <w:t>257,6 mil.</w:t>
      </w:r>
      <w:r w:rsidRPr="00C47E97">
        <w:rPr>
          <w:rFonts w:eastAsia="Calibri" w:cstheme="minorHAnsi"/>
          <w:sz w:val="24"/>
          <w:szCs w:val="24"/>
        </w:rPr>
        <w:t xml:space="preserve"> Kč.</w:t>
      </w:r>
      <w:r w:rsidRPr="00C47E97">
        <w:rPr>
          <w:rFonts w:cstheme="minorHAnsi"/>
          <w:sz w:val="24"/>
          <w:szCs w:val="24"/>
        </w:rPr>
        <w:t xml:space="preserve"> </w:t>
      </w:r>
      <w:r w:rsidRPr="00C47E97">
        <w:rPr>
          <w:rFonts w:eastAsia="Calibri" w:cstheme="minorHAnsi"/>
          <w:sz w:val="24"/>
          <w:szCs w:val="24"/>
        </w:rPr>
        <w:t xml:space="preserve">Rozdělení výdajů uvádí tabulka č. </w:t>
      </w:r>
      <w:r w:rsidR="002B6460">
        <w:rPr>
          <w:rFonts w:eastAsia="Calibri" w:cstheme="minorHAnsi"/>
          <w:sz w:val="24"/>
          <w:szCs w:val="24"/>
        </w:rPr>
        <w:t>1</w:t>
      </w:r>
      <w:r w:rsidRPr="00C47E97">
        <w:rPr>
          <w:rFonts w:eastAsia="Calibri" w:cstheme="minorHAnsi"/>
          <w:sz w:val="24"/>
          <w:szCs w:val="24"/>
        </w:rPr>
        <w:t>.</w:t>
      </w:r>
    </w:p>
    <w:p w14:paraId="1C14D166" w14:textId="6EBC8864" w:rsidR="00F737F6" w:rsidRPr="00D30F88" w:rsidRDefault="00F737F6" w:rsidP="00D30F88">
      <w:pPr>
        <w:tabs>
          <w:tab w:val="right" w:pos="9072"/>
        </w:tabs>
        <w:spacing w:after="40" w:line="240" w:lineRule="auto"/>
        <w:jc w:val="both"/>
        <w:rPr>
          <w:rFonts w:eastAsia="Calibri" w:cstheme="minorHAnsi"/>
          <w:b/>
          <w:bCs/>
          <w:sz w:val="24"/>
          <w:szCs w:val="24"/>
        </w:rPr>
      </w:pPr>
      <w:r w:rsidRPr="00D30F88">
        <w:rPr>
          <w:rFonts w:eastAsia="Calibri" w:cstheme="minorHAnsi"/>
          <w:b/>
          <w:bCs/>
          <w:sz w:val="24"/>
          <w:szCs w:val="24"/>
        </w:rPr>
        <w:t xml:space="preserve">Tabulka č. </w:t>
      </w:r>
      <w:r w:rsidR="002B6460" w:rsidRPr="00D30F88">
        <w:rPr>
          <w:rFonts w:eastAsia="Calibri" w:cstheme="minorHAnsi"/>
          <w:b/>
          <w:bCs/>
          <w:sz w:val="24"/>
          <w:szCs w:val="24"/>
        </w:rPr>
        <w:t>1</w:t>
      </w:r>
      <w:r w:rsidR="00BF022C" w:rsidRPr="00D30F88">
        <w:rPr>
          <w:rFonts w:eastAsia="Calibri" w:cstheme="minorHAnsi"/>
          <w:b/>
          <w:bCs/>
          <w:sz w:val="24"/>
          <w:szCs w:val="24"/>
        </w:rPr>
        <w:t>:</w:t>
      </w:r>
      <w:r w:rsidRPr="00D30F88">
        <w:rPr>
          <w:rFonts w:eastAsia="Calibri" w:cstheme="minorHAnsi"/>
          <w:b/>
          <w:bCs/>
          <w:sz w:val="24"/>
          <w:szCs w:val="24"/>
        </w:rPr>
        <w:t xml:space="preserve"> Výdaje na kontrolní hlášení </w:t>
      </w:r>
      <w:r w:rsidR="00BF022C" w:rsidRPr="00D30F88">
        <w:rPr>
          <w:rFonts w:eastAsia="Calibri" w:cstheme="minorHAnsi"/>
          <w:b/>
          <w:bCs/>
          <w:sz w:val="24"/>
          <w:szCs w:val="24"/>
        </w:rPr>
        <w:tab/>
      </w:r>
      <w:r w:rsidRPr="00D30F88">
        <w:rPr>
          <w:rFonts w:eastAsia="Calibri" w:cstheme="minorHAnsi"/>
          <w:b/>
          <w:bCs/>
          <w:sz w:val="24"/>
          <w:szCs w:val="24"/>
        </w:rPr>
        <w:t>(v mil. Kč)</w:t>
      </w:r>
    </w:p>
    <w:tbl>
      <w:tblPr>
        <w:tblW w:w="904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28"/>
        <w:gridCol w:w="864"/>
        <w:gridCol w:w="864"/>
        <w:gridCol w:w="864"/>
        <w:gridCol w:w="864"/>
        <w:gridCol w:w="865"/>
        <w:gridCol w:w="864"/>
        <w:gridCol w:w="864"/>
        <w:gridCol w:w="864"/>
      </w:tblGrid>
      <w:tr w:rsidR="00003D0B" w:rsidRPr="00F11099" w14:paraId="537B0544" w14:textId="77777777" w:rsidTr="00D30F88">
        <w:trPr>
          <w:trHeight w:val="397"/>
        </w:trPr>
        <w:tc>
          <w:tcPr>
            <w:tcW w:w="2128" w:type="dxa"/>
            <w:shd w:val="clear" w:color="auto" w:fill="E5F1FF"/>
            <w:noWrap/>
            <w:tcMar>
              <w:top w:w="0" w:type="dxa"/>
              <w:left w:w="70" w:type="dxa"/>
              <w:bottom w:w="0" w:type="dxa"/>
              <w:right w:w="70" w:type="dxa"/>
            </w:tcMar>
            <w:vAlign w:val="center"/>
            <w:hideMark/>
          </w:tcPr>
          <w:p w14:paraId="65B209D3" w14:textId="77777777" w:rsidR="00006969" w:rsidRPr="00D30F88" w:rsidRDefault="00006969" w:rsidP="00F104DF">
            <w:pPr>
              <w:spacing w:after="0"/>
              <w:jc w:val="center"/>
              <w:rPr>
                <w:rFonts w:cstheme="minorHAnsi"/>
                <w:b/>
                <w:bCs/>
                <w:color w:val="000000"/>
                <w:sz w:val="20"/>
                <w:szCs w:val="20"/>
                <w:lang w:eastAsia="cs-CZ"/>
              </w:rPr>
            </w:pPr>
            <w:r w:rsidRPr="00D30F88">
              <w:rPr>
                <w:rFonts w:cstheme="minorHAnsi"/>
                <w:b/>
                <w:bCs/>
                <w:color w:val="000000"/>
                <w:sz w:val="20"/>
                <w:szCs w:val="20"/>
                <w:lang w:eastAsia="cs-CZ"/>
              </w:rPr>
              <w:t>Druhy výdajů</w:t>
            </w:r>
          </w:p>
        </w:tc>
        <w:tc>
          <w:tcPr>
            <w:tcW w:w="864" w:type="dxa"/>
            <w:shd w:val="clear" w:color="auto" w:fill="E5F1FF"/>
            <w:noWrap/>
            <w:tcMar>
              <w:top w:w="0" w:type="dxa"/>
              <w:left w:w="70" w:type="dxa"/>
              <w:bottom w:w="0" w:type="dxa"/>
              <w:right w:w="70" w:type="dxa"/>
            </w:tcMar>
            <w:vAlign w:val="center"/>
            <w:hideMark/>
          </w:tcPr>
          <w:p w14:paraId="7A2FC056" w14:textId="77777777" w:rsidR="00006969" w:rsidRPr="00D30F88" w:rsidRDefault="00006969" w:rsidP="00D30F88">
            <w:pPr>
              <w:spacing w:after="0"/>
              <w:jc w:val="center"/>
              <w:rPr>
                <w:rFonts w:cstheme="minorHAnsi"/>
                <w:b/>
                <w:bCs/>
                <w:color w:val="000000"/>
                <w:sz w:val="20"/>
                <w:szCs w:val="20"/>
                <w:lang w:eastAsia="cs-CZ"/>
              </w:rPr>
            </w:pPr>
            <w:r w:rsidRPr="00D30F88">
              <w:rPr>
                <w:rFonts w:cstheme="minorHAnsi"/>
                <w:b/>
                <w:bCs/>
                <w:color w:val="000000"/>
                <w:sz w:val="20"/>
                <w:szCs w:val="20"/>
                <w:lang w:eastAsia="cs-CZ"/>
              </w:rPr>
              <w:t>2015</w:t>
            </w:r>
          </w:p>
        </w:tc>
        <w:tc>
          <w:tcPr>
            <w:tcW w:w="864" w:type="dxa"/>
            <w:shd w:val="clear" w:color="auto" w:fill="E5F1FF"/>
            <w:noWrap/>
            <w:tcMar>
              <w:top w:w="0" w:type="dxa"/>
              <w:left w:w="70" w:type="dxa"/>
              <w:bottom w:w="0" w:type="dxa"/>
              <w:right w:w="70" w:type="dxa"/>
            </w:tcMar>
            <w:vAlign w:val="center"/>
            <w:hideMark/>
          </w:tcPr>
          <w:p w14:paraId="14F29789" w14:textId="77777777" w:rsidR="00006969" w:rsidRPr="00D30F88" w:rsidRDefault="00006969" w:rsidP="00D30F88">
            <w:pPr>
              <w:spacing w:after="0"/>
              <w:jc w:val="center"/>
              <w:rPr>
                <w:rFonts w:cstheme="minorHAnsi"/>
                <w:b/>
                <w:bCs/>
                <w:color w:val="000000"/>
                <w:sz w:val="20"/>
                <w:szCs w:val="20"/>
                <w:lang w:eastAsia="cs-CZ"/>
              </w:rPr>
            </w:pPr>
            <w:r w:rsidRPr="00D30F88">
              <w:rPr>
                <w:rFonts w:cstheme="minorHAnsi"/>
                <w:b/>
                <w:bCs/>
                <w:color w:val="000000"/>
                <w:sz w:val="20"/>
                <w:szCs w:val="20"/>
                <w:lang w:eastAsia="cs-CZ"/>
              </w:rPr>
              <w:t>2016</w:t>
            </w:r>
          </w:p>
        </w:tc>
        <w:tc>
          <w:tcPr>
            <w:tcW w:w="864" w:type="dxa"/>
            <w:shd w:val="clear" w:color="auto" w:fill="E5F1FF"/>
            <w:noWrap/>
            <w:tcMar>
              <w:top w:w="0" w:type="dxa"/>
              <w:left w:w="70" w:type="dxa"/>
              <w:bottom w:w="0" w:type="dxa"/>
              <w:right w:w="70" w:type="dxa"/>
            </w:tcMar>
            <w:vAlign w:val="center"/>
            <w:hideMark/>
          </w:tcPr>
          <w:p w14:paraId="39AC12A6" w14:textId="77777777" w:rsidR="00006969" w:rsidRPr="00D30F88" w:rsidRDefault="00006969" w:rsidP="00D30F88">
            <w:pPr>
              <w:spacing w:after="0"/>
              <w:jc w:val="center"/>
              <w:rPr>
                <w:rFonts w:cstheme="minorHAnsi"/>
                <w:b/>
                <w:bCs/>
                <w:color w:val="000000"/>
                <w:sz w:val="20"/>
                <w:szCs w:val="20"/>
                <w:lang w:eastAsia="cs-CZ"/>
              </w:rPr>
            </w:pPr>
            <w:r w:rsidRPr="00D30F88">
              <w:rPr>
                <w:rFonts w:cstheme="minorHAnsi"/>
                <w:b/>
                <w:bCs/>
                <w:color w:val="000000"/>
                <w:sz w:val="20"/>
                <w:szCs w:val="20"/>
                <w:lang w:eastAsia="cs-CZ"/>
              </w:rPr>
              <w:t>2017</w:t>
            </w:r>
          </w:p>
        </w:tc>
        <w:tc>
          <w:tcPr>
            <w:tcW w:w="864" w:type="dxa"/>
            <w:shd w:val="clear" w:color="auto" w:fill="E5F1FF"/>
            <w:noWrap/>
            <w:tcMar>
              <w:top w:w="0" w:type="dxa"/>
              <w:left w:w="70" w:type="dxa"/>
              <w:bottom w:w="0" w:type="dxa"/>
              <w:right w:w="70" w:type="dxa"/>
            </w:tcMar>
            <w:vAlign w:val="center"/>
            <w:hideMark/>
          </w:tcPr>
          <w:p w14:paraId="195446C5" w14:textId="77777777" w:rsidR="00006969" w:rsidRPr="00D30F88" w:rsidRDefault="00006969" w:rsidP="00D30F88">
            <w:pPr>
              <w:spacing w:after="0"/>
              <w:jc w:val="center"/>
              <w:rPr>
                <w:rFonts w:cstheme="minorHAnsi"/>
                <w:b/>
                <w:bCs/>
                <w:color w:val="000000"/>
                <w:sz w:val="20"/>
                <w:szCs w:val="20"/>
                <w:lang w:eastAsia="cs-CZ"/>
              </w:rPr>
            </w:pPr>
            <w:r w:rsidRPr="00D30F88">
              <w:rPr>
                <w:rFonts w:cstheme="minorHAnsi"/>
                <w:b/>
                <w:bCs/>
                <w:color w:val="000000"/>
                <w:sz w:val="20"/>
                <w:szCs w:val="20"/>
                <w:lang w:eastAsia="cs-CZ"/>
              </w:rPr>
              <w:t>2018</w:t>
            </w:r>
          </w:p>
        </w:tc>
        <w:tc>
          <w:tcPr>
            <w:tcW w:w="865" w:type="dxa"/>
            <w:shd w:val="clear" w:color="auto" w:fill="E5F1FF"/>
            <w:noWrap/>
            <w:tcMar>
              <w:top w:w="0" w:type="dxa"/>
              <w:left w:w="70" w:type="dxa"/>
              <w:bottom w:w="0" w:type="dxa"/>
              <w:right w:w="70" w:type="dxa"/>
            </w:tcMar>
            <w:vAlign w:val="center"/>
            <w:hideMark/>
          </w:tcPr>
          <w:p w14:paraId="512BAC96" w14:textId="77777777" w:rsidR="00006969" w:rsidRPr="00D30F88" w:rsidRDefault="00006969" w:rsidP="00D30F88">
            <w:pPr>
              <w:spacing w:after="0"/>
              <w:jc w:val="center"/>
              <w:rPr>
                <w:rFonts w:cstheme="minorHAnsi"/>
                <w:b/>
                <w:bCs/>
                <w:color w:val="000000"/>
                <w:sz w:val="20"/>
                <w:szCs w:val="20"/>
                <w:lang w:eastAsia="cs-CZ"/>
              </w:rPr>
            </w:pPr>
            <w:r w:rsidRPr="00D30F88">
              <w:rPr>
                <w:rFonts w:cstheme="minorHAnsi"/>
                <w:b/>
                <w:bCs/>
                <w:color w:val="000000"/>
                <w:sz w:val="20"/>
                <w:szCs w:val="20"/>
                <w:lang w:eastAsia="cs-CZ"/>
              </w:rPr>
              <w:t>2019</w:t>
            </w:r>
          </w:p>
        </w:tc>
        <w:tc>
          <w:tcPr>
            <w:tcW w:w="864" w:type="dxa"/>
            <w:shd w:val="clear" w:color="auto" w:fill="E5F1FF"/>
            <w:noWrap/>
            <w:tcMar>
              <w:top w:w="0" w:type="dxa"/>
              <w:left w:w="70" w:type="dxa"/>
              <w:bottom w:w="0" w:type="dxa"/>
              <w:right w:w="70" w:type="dxa"/>
            </w:tcMar>
            <w:vAlign w:val="center"/>
            <w:hideMark/>
          </w:tcPr>
          <w:p w14:paraId="1388D91A" w14:textId="77777777" w:rsidR="00006969" w:rsidRPr="00D30F88" w:rsidRDefault="00006969" w:rsidP="00D30F88">
            <w:pPr>
              <w:spacing w:after="0"/>
              <w:jc w:val="center"/>
              <w:rPr>
                <w:rFonts w:cstheme="minorHAnsi"/>
                <w:b/>
                <w:bCs/>
                <w:color w:val="000000"/>
                <w:sz w:val="20"/>
                <w:szCs w:val="20"/>
                <w:lang w:eastAsia="cs-CZ"/>
              </w:rPr>
            </w:pPr>
            <w:r w:rsidRPr="00D30F88">
              <w:rPr>
                <w:rFonts w:cstheme="minorHAnsi"/>
                <w:b/>
                <w:bCs/>
                <w:color w:val="000000"/>
                <w:sz w:val="20"/>
                <w:szCs w:val="20"/>
                <w:lang w:eastAsia="cs-CZ"/>
              </w:rPr>
              <w:t>2020</w:t>
            </w:r>
          </w:p>
        </w:tc>
        <w:tc>
          <w:tcPr>
            <w:tcW w:w="864" w:type="dxa"/>
            <w:shd w:val="clear" w:color="auto" w:fill="E5F1FF"/>
            <w:noWrap/>
            <w:tcMar>
              <w:top w:w="0" w:type="dxa"/>
              <w:left w:w="70" w:type="dxa"/>
              <w:bottom w:w="0" w:type="dxa"/>
              <w:right w:w="70" w:type="dxa"/>
            </w:tcMar>
            <w:vAlign w:val="center"/>
            <w:hideMark/>
          </w:tcPr>
          <w:p w14:paraId="03FD6F6C" w14:textId="77777777" w:rsidR="00006969" w:rsidRPr="00D30F88" w:rsidRDefault="00006969" w:rsidP="00D30F88">
            <w:pPr>
              <w:spacing w:after="0"/>
              <w:jc w:val="center"/>
              <w:rPr>
                <w:rFonts w:cstheme="minorHAnsi"/>
                <w:b/>
                <w:bCs/>
                <w:color w:val="000000"/>
                <w:sz w:val="20"/>
                <w:szCs w:val="20"/>
                <w:lang w:eastAsia="cs-CZ"/>
              </w:rPr>
            </w:pPr>
            <w:r w:rsidRPr="00D30F88">
              <w:rPr>
                <w:rFonts w:cstheme="minorHAnsi"/>
                <w:b/>
                <w:bCs/>
                <w:color w:val="000000"/>
                <w:sz w:val="20"/>
                <w:szCs w:val="20"/>
                <w:lang w:eastAsia="cs-CZ"/>
              </w:rPr>
              <w:t>2021</w:t>
            </w:r>
          </w:p>
        </w:tc>
        <w:tc>
          <w:tcPr>
            <w:tcW w:w="864" w:type="dxa"/>
            <w:shd w:val="clear" w:color="auto" w:fill="E5F1FF"/>
            <w:noWrap/>
            <w:tcMar>
              <w:top w:w="0" w:type="dxa"/>
              <w:left w:w="70" w:type="dxa"/>
              <w:bottom w:w="0" w:type="dxa"/>
              <w:right w:w="70" w:type="dxa"/>
            </w:tcMar>
            <w:vAlign w:val="center"/>
            <w:hideMark/>
          </w:tcPr>
          <w:p w14:paraId="2CA845D2" w14:textId="77777777" w:rsidR="00006969" w:rsidRPr="00D30F88" w:rsidRDefault="00006969" w:rsidP="00D30F88">
            <w:pPr>
              <w:spacing w:after="0"/>
              <w:jc w:val="center"/>
              <w:rPr>
                <w:rFonts w:cstheme="minorHAnsi"/>
                <w:b/>
                <w:bCs/>
                <w:color w:val="000000"/>
                <w:sz w:val="20"/>
                <w:szCs w:val="20"/>
                <w:lang w:eastAsia="cs-CZ"/>
              </w:rPr>
            </w:pPr>
            <w:r w:rsidRPr="00D30F88">
              <w:rPr>
                <w:rFonts w:cstheme="minorHAnsi"/>
                <w:b/>
                <w:bCs/>
                <w:color w:val="000000"/>
                <w:sz w:val="20"/>
                <w:szCs w:val="20"/>
                <w:lang w:eastAsia="cs-CZ"/>
              </w:rPr>
              <w:t>2022</w:t>
            </w:r>
          </w:p>
        </w:tc>
      </w:tr>
      <w:tr w:rsidR="00006969" w:rsidRPr="00F11099" w14:paraId="448D126A" w14:textId="77777777" w:rsidTr="00D30F88">
        <w:trPr>
          <w:trHeight w:val="195"/>
        </w:trPr>
        <w:tc>
          <w:tcPr>
            <w:tcW w:w="2128" w:type="dxa"/>
            <w:noWrap/>
            <w:tcMar>
              <w:top w:w="0" w:type="dxa"/>
              <w:left w:w="70" w:type="dxa"/>
              <w:bottom w:w="0" w:type="dxa"/>
              <w:right w:w="70" w:type="dxa"/>
            </w:tcMar>
            <w:vAlign w:val="bottom"/>
            <w:hideMark/>
          </w:tcPr>
          <w:p w14:paraId="3185D3C0" w14:textId="751E209F" w:rsidR="00006969" w:rsidRPr="00D30F88" w:rsidRDefault="00006969" w:rsidP="00F737F6">
            <w:pPr>
              <w:spacing w:after="0"/>
              <w:rPr>
                <w:rFonts w:cstheme="minorHAnsi"/>
                <w:color w:val="000000"/>
                <w:sz w:val="20"/>
                <w:szCs w:val="20"/>
                <w:lang w:eastAsia="cs-CZ"/>
              </w:rPr>
            </w:pPr>
            <w:r w:rsidRPr="00D30F88">
              <w:rPr>
                <w:rFonts w:cstheme="minorHAnsi"/>
                <w:color w:val="000000"/>
                <w:sz w:val="20"/>
                <w:szCs w:val="20"/>
                <w:lang w:eastAsia="cs-CZ"/>
              </w:rPr>
              <w:t>Softwarové nástroje</w:t>
            </w:r>
          </w:p>
        </w:tc>
        <w:tc>
          <w:tcPr>
            <w:tcW w:w="864" w:type="dxa"/>
            <w:noWrap/>
            <w:tcMar>
              <w:top w:w="0" w:type="dxa"/>
              <w:left w:w="70" w:type="dxa"/>
              <w:bottom w:w="0" w:type="dxa"/>
              <w:right w:w="70" w:type="dxa"/>
            </w:tcMar>
            <w:vAlign w:val="bottom"/>
            <w:hideMark/>
          </w:tcPr>
          <w:p w14:paraId="7619429D" w14:textId="42C9CA87" w:rsidR="00006969" w:rsidRPr="00D30F88" w:rsidRDefault="002C7480" w:rsidP="00F737F6">
            <w:pPr>
              <w:spacing w:after="0"/>
              <w:jc w:val="right"/>
              <w:rPr>
                <w:rFonts w:cstheme="minorHAnsi"/>
                <w:color w:val="000000"/>
                <w:sz w:val="20"/>
                <w:szCs w:val="20"/>
                <w:lang w:eastAsia="cs-CZ"/>
              </w:rPr>
            </w:pPr>
            <w:r w:rsidRPr="00D30F88">
              <w:rPr>
                <w:rFonts w:cstheme="minorHAnsi"/>
                <w:color w:val="000000"/>
                <w:sz w:val="20"/>
                <w:szCs w:val="20"/>
                <w:lang w:eastAsia="cs-CZ"/>
              </w:rPr>
              <w:t>X</w:t>
            </w:r>
          </w:p>
        </w:tc>
        <w:tc>
          <w:tcPr>
            <w:tcW w:w="864" w:type="dxa"/>
            <w:noWrap/>
            <w:tcMar>
              <w:top w:w="0" w:type="dxa"/>
              <w:left w:w="70" w:type="dxa"/>
              <w:bottom w:w="0" w:type="dxa"/>
              <w:right w:w="70" w:type="dxa"/>
            </w:tcMar>
            <w:vAlign w:val="bottom"/>
            <w:hideMark/>
          </w:tcPr>
          <w:p w14:paraId="421D8762" w14:textId="77777777" w:rsidR="00006969" w:rsidRPr="00D30F88" w:rsidRDefault="00006969" w:rsidP="00F737F6">
            <w:pPr>
              <w:spacing w:after="0"/>
              <w:jc w:val="right"/>
              <w:rPr>
                <w:rFonts w:cstheme="minorHAnsi"/>
                <w:color w:val="000000"/>
                <w:sz w:val="20"/>
                <w:szCs w:val="20"/>
                <w:lang w:eastAsia="cs-CZ"/>
              </w:rPr>
            </w:pPr>
            <w:r w:rsidRPr="00D30F88">
              <w:rPr>
                <w:rFonts w:cstheme="minorHAnsi"/>
                <w:color w:val="000000"/>
                <w:sz w:val="20"/>
                <w:szCs w:val="20"/>
                <w:lang w:eastAsia="cs-CZ"/>
              </w:rPr>
              <w:t>3,7</w:t>
            </w:r>
          </w:p>
        </w:tc>
        <w:tc>
          <w:tcPr>
            <w:tcW w:w="864" w:type="dxa"/>
            <w:noWrap/>
            <w:tcMar>
              <w:top w:w="0" w:type="dxa"/>
              <w:left w:w="70" w:type="dxa"/>
              <w:bottom w:w="0" w:type="dxa"/>
              <w:right w:w="70" w:type="dxa"/>
            </w:tcMar>
            <w:vAlign w:val="bottom"/>
            <w:hideMark/>
          </w:tcPr>
          <w:p w14:paraId="01DF884E" w14:textId="77777777" w:rsidR="00006969" w:rsidRPr="00D30F88" w:rsidRDefault="00006969" w:rsidP="00F737F6">
            <w:pPr>
              <w:spacing w:after="0"/>
              <w:jc w:val="right"/>
              <w:rPr>
                <w:rFonts w:cstheme="minorHAnsi"/>
                <w:color w:val="000000"/>
                <w:sz w:val="20"/>
                <w:szCs w:val="20"/>
                <w:lang w:eastAsia="cs-CZ"/>
              </w:rPr>
            </w:pPr>
            <w:r w:rsidRPr="00D30F88">
              <w:rPr>
                <w:rFonts w:cstheme="minorHAnsi"/>
                <w:color w:val="000000"/>
                <w:sz w:val="20"/>
                <w:szCs w:val="20"/>
                <w:lang w:eastAsia="cs-CZ"/>
              </w:rPr>
              <w:t>6,5</w:t>
            </w:r>
          </w:p>
        </w:tc>
        <w:tc>
          <w:tcPr>
            <w:tcW w:w="864" w:type="dxa"/>
            <w:noWrap/>
            <w:tcMar>
              <w:top w:w="0" w:type="dxa"/>
              <w:left w:w="70" w:type="dxa"/>
              <w:bottom w:w="0" w:type="dxa"/>
              <w:right w:w="70" w:type="dxa"/>
            </w:tcMar>
            <w:vAlign w:val="bottom"/>
            <w:hideMark/>
          </w:tcPr>
          <w:p w14:paraId="777CD9AC" w14:textId="77777777" w:rsidR="00006969" w:rsidRPr="00D30F88" w:rsidRDefault="00006969" w:rsidP="00F737F6">
            <w:pPr>
              <w:spacing w:after="0"/>
              <w:jc w:val="right"/>
              <w:rPr>
                <w:rFonts w:cstheme="minorHAnsi"/>
                <w:color w:val="000000"/>
                <w:sz w:val="20"/>
                <w:szCs w:val="20"/>
                <w:lang w:eastAsia="cs-CZ"/>
              </w:rPr>
            </w:pPr>
            <w:r w:rsidRPr="00D30F88">
              <w:rPr>
                <w:rFonts w:cstheme="minorHAnsi"/>
                <w:color w:val="000000"/>
                <w:sz w:val="20"/>
                <w:szCs w:val="20"/>
                <w:lang w:eastAsia="cs-CZ"/>
              </w:rPr>
              <w:t>1,0</w:t>
            </w:r>
          </w:p>
        </w:tc>
        <w:tc>
          <w:tcPr>
            <w:tcW w:w="865" w:type="dxa"/>
            <w:noWrap/>
            <w:tcMar>
              <w:top w:w="0" w:type="dxa"/>
              <w:left w:w="70" w:type="dxa"/>
              <w:bottom w:w="0" w:type="dxa"/>
              <w:right w:w="70" w:type="dxa"/>
            </w:tcMar>
            <w:vAlign w:val="bottom"/>
            <w:hideMark/>
          </w:tcPr>
          <w:p w14:paraId="0BB78451" w14:textId="77777777" w:rsidR="00006969" w:rsidRPr="00D30F88" w:rsidRDefault="00006969" w:rsidP="00F737F6">
            <w:pPr>
              <w:spacing w:after="0"/>
              <w:jc w:val="right"/>
              <w:rPr>
                <w:rFonts w:cstheme="minorHAnsi"/>
                <w:color w:val="000000"/>
                <w:sz w:val="20"/>
                <w:szCs w:val="20"/>
                <w:lang w:eastAsia="cs-CZ"/>
              </w:rPr>
            </w:pPr>
            <w:r w:rsidRPr="00D30F88">
              <w:rPr>
                <w:rFonts w:cstheme="minorHAnsi"/>
                <w:color w:val="000000"/>
                <w:sz w:val="20"/>
                <w:szCs w:val="20"/>
                <w:lang w:eastAsia="cs-CZ"/>
              </w:rPr>
              <w:t>0,0</w:t>
            </w:r>
          </w:p>
        </w:tc>
        <w:tc>
          <w:tcPr>
            <w:tcW w:w="864" w:type="dxa"/>
            <w:noWrap/>
            <w:tcMar>
              <w:top w:w="0" w:type="dxa"/>
              <w:left w:w="70" w:type="dxa"/>
              <w:bottom w:w="0" w:type="dxa"/>
              <w:right w:w="70" w:type="dxa"/>
            </w:tcMar>
            <w:vAlign w:val="bottom"/>
            <w:hideMark/>
          </w:tcPr>
          <w:p w14:paraId="1A5BBFF7" w14:textId="77777777" w:rsidR="00006969" w:rsidRPr="00D30F88" w:rsidRDefault="00006969" w:rsidP="00F737F6">
            <w:pPr>
              <w:spacing w:after="0"/>
              <w:jc w:val="right"/>
              <w:rPr>
                <w:rFonts w:cstheme="minorHAnsi"/>
                <w:color w:val="000000"/>
                <w:sz w:val="20"/>
                <w:szCs w:val="20"/>
                <w:lang w:eastAsia="cs-CZ"/>
              </w:rPr>
            </w:pPr>
            <w:r w:rsidRPr="00D30F88">
              <w:rPr>
                <w:rFonts w:cstheme="minorHAnsi"/>
                <w:color w:val="000000"/>
                <w:sz w:val="20"/>
                <w:szCs w:val="20"/>
                <w:lang w:eastAsia="cs-CZ"/>
              </w:rPr>
              <w:t>2,0</w:t>
            </w:r>
          </w:p>
        </w:tc>
        <w:tc>
          <w:tcPr>
            <w:tcW w:w="864" w:type="dxa"/>
            <w:noWrap/>
            <w:tcMar>
              <w:top w:w="0" w:type="dxa"/>
              <w:left w:w="70" w:type="dxa"/>
              <w:bottom w:w="0" w:type="dxa"/>
              <w:right w:w="70" w:type="dxa"/>
            </w:tcMar>
            <w:vAlign w:val="bottom"/>
            <w:hideMark/>
          </w:tcPr>
          <w:p w14:paraId="4CE02479" w14:textId="77777777" w:rsidR="00006969" w:rsidRPr="00D30F88" w:rsidRDefault="00006969" w:rsidP="00F737F6">
            <w:pPr>
              <w:spacing w:after="0"/>
              <w:jc w:val="right"/>
              <w:rPr>
                <w:rFonts w:cstheme="minorHAnsi"/>
                <w:color w:val="000000"/>
                <w:sz w:val="20"/>
                <w:szCs w:val="20"/>
                <w:lang w:eastAsia="cs-CZ"/>
              </w:rPr>
            </w:pPr>
            <w:r w:rsidRPr="00D30F88">
              <w:rPr>
                <w:rFonts w:cstheme="minorHAnsi"/>
                <w:color w:val="000000"/>
                <w:sz w:val="20"/>
                <w:szCs w:val="20"/>
                <w:lang w:eastAsia="cs-CZ"/>
              </w:rPr>
              <w:t>1,5</w:t>
            </w:r>
          </w:p>
        </w:tc>
        <w:tc>
          <w:tcPr>
            <w:tcW w:w="864" w:type="dxa"/>
            <w:noWrap/>
            <w:tcMar>
              <w:top w:w="0" w:type="dxa"/>
              <w:left w:w="70" w:type="dxa"/>
              <w:bottom w:w="0" w:type="dxa"/>
              <w:right w:w="70" w:type="dxa"/>
            </w:tcMar>
            <w:vAlign w:val="bottom"/>
            <w:hideMark/>
          </w:tcPr>
          <w:p w14:paraId="4DE40335" w14:textId="77777777" w:rsidR="00006969" w:rsidRPr="00D30F88" w:rsidRDefault="00006969" w:rsidP="00F737F6">
            <w:pPr>
              <w:spacing w:after="0"/>
              <w:jc w:val="right"/>
              <w:rPr>
                <w:rFonts w:cstheme="minorHAnsi"/>
                <w:color w:val="000000"/>
                <w:sz w:val="20"/>
                <w:szCs w:val="20"/>
                <w:lang w:eastAsia="cs-CZ"/>
              </w:rPr>
            </w:pPr>
            <w:r w:rsidRPr="00D30F88">
              <w:rPr>
                <w:rFonts w:cstheme="minorHAnsi"/>
                <w:color w:val="000000"/>
                <w:sz w:val="20"/>
                <w:szCs w:val="20"/>
                <w:lang w:eastAsia="cs-CZ"/>
              </w:rPr>
              <w:t>1,0</w:t>
            </w:r>
          </w:p>
        </w:tc>
      </w:tr>
      <w:tr w:rsidR="00006969" w:rsidRPr="00C47E97" w14:paraId="48FE1BA0" w14:textId="77777777" w:rsidTr="00D30F88">
        <w:trPr>
          <w:trHeight w:val="195"/>
        </w:trPr>
        <w:tc>
          <w:tcPr>
            <w:tcW w:w="2128" w:type="dxa"/>
            <w:noWrap/>
            <w:tcMar>
              <w:top w:w="0" w:type="dxa"/>
              <w:left w:w="70" w:type="dxa"/>
              <w:bottom w:w="0" w:type="dxa"/>
              <w:right w:w="70" w:type="dxa"/>
            </w:tcMar>
            <w:vAlign w:val="bottom"/>
            <w:hideMark/>
          </w:tcPr>
          <w:p w14:paraId="73084884" w14:textId="51C95758" w:rsidR="00006969" w:rsidRPr="00D30F88" w:rsidRDefault="004031A7" w:rsidP="00F737F6">
            <w:pPr>
              <w:spacing w:after="0"/>
              <w:rPr>
                <w:rFonts w:cstheme="minorHAnsi"/>
                <w:color w:val="000000"/>
                <w:sz w:val="20"/>
                <w:szCs w:val="20"/>
                <w:lang w:eastAsia="cs-CZ"/>
              </w:rPr>
            </w:pPr>
            <w:r>
              <w:rPr>
                <w:rFonts w:cstheme="minorHAnsi"/>
                <w:color w:val="000000"/>
                <w:sz w:val="20"/>
                <w:szCs w:val="20"/>
                <w:lang w:eastAsia="cs-CZ"/>
              </w:rPr>
              <w:t>Výpočetní</w:t>
            </w:r>
            <w:r w:rsidR="00006969" w:rsidRPr="00D30F88">
              <w:rPr>
                <w:rFonts w:cstheme="minorHAnsi"/>
                <w:color w:val="000000"/>
                <w:sz w:val="20"/>
                <w:szCs w:val="20"/>
                <w:lang w:eastAsia="cs-CZ"/>
              </w:rPr>
              <w:t xml:space="preserve"> technika</w:t>
            </w:r>
          </w:p>
        </w:tc>
        <w:tc>
          <w:tcPr>
            <w:tcW w:w="864" w:type="dxa"/>
            <w:noWrap/>
            <w:tcMar>
              <w:top w:w="0" w:type="dxa"/>
              <w:left w:w="70" w:type="dxa"/>
              <w:bottom w:w="0" w:type="dxa"/>
              <w:right w:w="70" w:type="dxa"/>
            </w:tcMar>
            <w:vAlign w:val="bottom"/>
            <w:hideMark/>
          </w:tcPr>
          <w:p w14:paraId="1FD2F241" w14:textId="0099E3D2" w:rsidR="00006969" w:rsidRPr="00D30F88" w:rsidRDefault="002C7480" w:rsidP="00F737F6">
            <w:pPr>
              <w:spacing w:after="0"/>
              <w:jc w:val="right"/>
              <w:rPr>
                <w:rFonts w:cstheme="minorHAnsi"/>
                <w:color w:val="000000"/>
                <w:sz w:val="20"/>
                <w:szCs w:val="20"/>
                <w:lang w:eastAsia="cs-CZ"/>
              </w:rPr>
            </w:pPr>
            <w:r w:rsidRPr="00D30F88">
              <w:rPr>
                <w:rFonts w:cstheme="minorHAnsi"/>
                <w:color w:val="000000"/>
                <w:sz w:val="20"/>
                <w:szCs w:val="20"/>
                <w:lang w:eastAsia="cs-CZ"/>
              </w:rPr>
              <w:t>X</w:t>
            </w:r>
          </w:p>
        </w:tc>
        <w:tc>
          <w:tcPr>
            <w:tcW w:w="864" w:type="dxa"/>
            <w:noWrap/>
            <w:tcMar>
              <w:top w:w="0" w:type="dxa"/>
              <w:left w:w="70" w:type="dxa"/>
              <w:bottom w:w="0" w:type="dxa"/>
              <w:right w:w="70" w:type="dxa"/>
            </w:tcMar>
            <w:vAlign w:val="bottom"/>
            <w:hideMark/>
          </w:tcPr>
          <w:p w14:paraId="7AA47CA7" w14:textId="77777777" w:rsidR="00006969" w:rsidRPr="00D30F88" w:rsidRDefault="00006969" w:rsidP="00F737F6">
            <w:pPr>
              <w:spacing w:after="0"/>
              <w:jc w:val="right"/>
              <w:rPr>
                <w:rFonts w:cstheme="minorHAnsi"/>
                <w:color w:val="000000"/>
                <w:sz w:val="20"/>
                <w:szCs w:val="20"/>
                <w:lang w:eastAsia="cs-CZ"/>
              </w:rPr>
            </w:pPr>
            <w:r w:rsidRPr="00D30F88">
              <w:rPr>
                <w:rFonts w:cstheme="minorHAnsi"/>
                <w:color w:val="000000"/>
                <w:sz w:val="20"/>
                <w:szCs w:val="20"/>
                <w:lang w:eastAsia="cs-CZ"/>
              </w:rPr>
              <w:t>55,7</w:t>
            </w:r>
          </w:p>
        </w:tc>
        <w:tc>
          <w:tcPr>
            <w:tcW w:w="864" w:type="dxa"/>
            <w:noWrap/>
            <w:tcMar>
              <w:top w:w="0" w:type="dxa"/>
              <w:left w:w="70" w:type="dxa"/>
              <w:bottom w:w="0" w:type="dxa"/>
              <w:right w:w="70" w:type="dxa"/>
            </w:tcMar>
            <w:vAlign w:val="bottom"/>
            <w:hideMark/>
          </w:tcPr>
          <w:p w14:paraId="134F1918" w14:textId="77777777" w:rsidR="00006969" w:rsidRPr="00D30F88" w:rsidRDefault="00006969" w:rsidP="00F737F6">
            <w:pPr>
              <w:spacing w:after="0"/>
              <w:jc w:val="right"/>
              <w:rPr>
                <w:rFonts w:cstheme="minorHAnsi"/>
                <w:color w:val="000000"/>
                <w:sz w:val="20"/>
                <w:szCs w:val="20"/>
                <w:lang w:eastAsia="cs-CZ"/>
              </w:rPr>
            </w:pPr>
            <w:r w:rsidRPr="00D30F88">
              <w:rPr>
                <w:rFonts w:cstheme="minorHAnsi"/>
                <w:color w:val="000000"/>
                <w:sz w:val="20"/>
                <w:szCs w:val="20"/>
                <w:lang w:eastAsia="cs-CZ"/>
              </w:rPr>
              <w:t>x</w:t>
            </w:r>
          </w:p>
        </w:tc>
        <w:tc>
          <w:tcPr>
            <w:tcW w:w="864" w:type="dxa"/>
            <w:noWrap/>
            <w:tcMar>
              <w:top w:w="0" w:type="dxa"/>
              <w:left w:w="70" w:type="dxa"/>
              <w:bottom w:w="0" w:type="dxa"/>
              <w:right w:w="70" w:type="dxa"/>
            </w:tcMar>
            <w:vAlign w:val="bottom"/>
            <w:hideMark/>
          </w:tcPr>
          <w:p w14:paraId="5C825C19" w14:textId="77777777" w:rsidR="00006969" w:rsidRPr="00D30F88" w:rsidRDefault="00006969" w:rsidP="00F737F6">
            <w:pPr>
              <w:spacing w:after="0"/>
              <w:jc w:val="right"/>
              <w:rPr>
                <w:rFonts w:cstheme="minorHAnsi"/>
                <w:color w:val="000000"/>
                <w:sz w:val="20"/>
                <w:szCs w:val="20"/>
                <w:lang w:eastAsia="cs-CZ"/>
              </w:rPr>
            </w:pPr>
            <w:r w:rsidRPr="00D30F88">
              <w:rPr>
                <w:rFonts w:cstheme="minorHAnsi"/>
                <w:color w:val="000000"/>
                <w:sz w:val="20"/>
                <w:szCs w:val="20"/>
                <w:lang w:eastAsia="cs-CZ"/>
              </w:rPr>
              <w:t>x</w:t>
            </w:r>
          </w:p>
        </w:tc>
        <w:tc>
          <w:tcPr>
            <w:tcW w:w="865" w:type="dxa"/>
            <w:noWrap/>
            <w:tcMar>
              <w:top w:w="0" w:type="dxa"/>
              <w:left w:w="70" w:type="dxa"/>
              <w:bottom w:w="0" w:type="dxa"/>
              <w:right w:w="70" w:type="dxa"/>
            </w:tcMar>
            <w:vAlign w:val="bottom"/>
            <w:hideMark/>
          </w:tcPr>
          <w:p w14:paraId="101415A2" w14:textId="77777777" w:rsidR="00006969" w:rsidRPr="00D30F88" w:rsidRDefault="00006969" w:rsidP="00F737F6">
            <w:pPr>
              <w:spacing w:after="0"/>
              <w:jc w:val="right"/>
              <w:rPr>
                <w:rFonts w:cstheme="minorHAnsi"/>
                <w:color w:val="000000"/>
                <w:sz w:val="20"/>
                <w:szCs w:val="20"/>
                <w:lang w:eastAsia="cs-CZ"/>
              </w:rPr>
            </w:pPr>
            <w:r w:rsidRPr="00D30F88">
              <w:rPr>
                <w:rFonts w:cstheme="minorHAnsi"/>
                <w:color w:val="000000"/>
                <w:sz w:val="20"/>
                <w:szCs w:val="20"/>
                <w:lang w:eastAsia="cs-CZ"/>
              </w:rPr>
              <w:t>x</w:t>
            </w:r>
          </w:p>
        </w:tc>
        <w:tc>
          <w:tcPr>
            <w:tcW w:w="864" w:type="dxa"/>
            <w:noWrap/>
            <w:tcMar>
              <w:top w:w="0" w:type="dxa"/>
              <w:left w:w="70" w:type="dxa"/>
              <w:bottom w:w="0" w:type="dxa"/>
              <w:right w:w="70" w:type="dxa"/>
            </w:tcMar>
            <w:vAlign w:val="bottom"/>
            <w:hideMark/>
          </w:tcPr>
          <w:p w14:paraId="6D8EA690" w14:textId="77777777" w:rsidR="00006969" w:rsidRPr="00D30F88" w:rsidRDefault="00006969" w:rsidP="00F737F6">
            <w:pPr>
              <w:spacing w:after="0"/>
              <w:jc w:val="right"/>
              <w:rPr>
                <w:rFonts w:cstheme="minorHAnsi"/>
                <w:color w:val="000000"/>
                <w:sz w:val="20"/>
                <w:szCs w:val="20"/>
                <w:lang w:eastAsia="cs-CZ"/>
              </w:rPr>
            </w:pPr>
            <w:r w:rsidRPr="00D30F88">
              <w:rPr>
                <w:rFonts w:cstheme="minorHAnsi"/>
                <w:color w:val="000000"/>
                <w:sz w:val="20"/>
                <w:szCs w:val="20"/>
                <w:lang w:eastAsia="cs-CZ"/>
              </w:rPr>
              <w:t>x</w:t>
            </w:r>
          </w:p>
        </w:tc>
        <w:tc>
          <w:tcPr>
            <w:tcW w:w="864" w:type="dxa"/>
            <w:noWrap/>
            <w:tcMar>
              <w:top w:w="0" w:type="dxa"/>
              <w:left w:w="70" w:type="dxa"/>
              <w:bottom w:w="0" w:type="dxa"/>
              <w:right w:w="70" w:type="dxa"/>
            </w:tcMar>
            <w:vAlign w:val="bottom"/>
            <w:hideMark/>
          </w:tcPr>
          <w:p w14:paraId="1498E3CB" w14:textId="77777777" w:rsidR="00006969" w:rsidRPr="00D30F88" w:rsidRDefault="00006969" w:rsidP="00F737F6">
            <w:pPr>
              <w:spacing w:after="0"/>
              <w:jc w:val="right"/>
              <w:rPr>
                <w:rFonts w:cstheme="minorHAnsi"/>
                <w:color w:val="000000"/>
                <w:sz w:val="20"/>
                <w:szCs w:val="20"/>
                <w:lang w:eastAsia="cs-CZ"/>
              </w:rPr>
            </w:pPr>
            <w:r w:rsidRPr="00D30F88">
              <w:rPr>
                <w:rFonts w:cstheme="minorHAnsi"/>
                <w:color w:val="000000"/>
                <w:sz w:val="20"/>
                <w:szCs w:val="20"/>
                <w:lang w:eastAsia="cs-CZ"/>
              </w:rPr>
              <w:t>x</w:t>
            </w:r>
          </w:p>
        </w:tc>
        <w:tc>
          <w:tcPr>
            <w:tcW w:w="864" w:type="dxa"/>
            <w:noWrap/>
            <w:tcMar>
              <w:top w:w="0" w:type="dxa"/>
              <w:left w:w="70" w:type="dxa"/>
              <w:bottom w:w="0" w:type="dxa"/>
              <w:right w:w="70" w:type="dxa"/>
            </w:tcMar>
            <w:vAlign w:val="bottom"/>
            <w:hideMark/>
          </w:tcPr>
          <w:p w14:paraId="4867916D" w14:textId="77777777" w:rsidR="00006969" w:rsidRPr="00D30F88" w:rsidRDefault="00006969" w:rsidP="00F737F6">
            <w:pPr>
              <w:spacing w:after="0"/>
              <w:jc w:val="right"/>
              <w:rPr>
                <w:rFonts w:cstheme="minorHAnsi"/>
                <w:color w:val="000000"/>
                <w:sz w:val="20"/>
                <w:szCs w:val="20"/>
                <w:lang w:eastAsia="cs-CZ"/>
              </w:rPr>
            </w:pPr>
            <w:r w:rsidRPr="00D30F88">
              <w:rPr>
                <w:rFonts w:cstheme="minorHAnsi"/>
                <w:color w:val="000000"/>
                <w:sz w:val="20"/>
                <w:szCs w:val="20"/>
                <w:lang w:eastAsia="cs-CZ"/>
              </w:rPr>
              <w:t>x</w:t>
            </w:r>
          </w:p>
        </w:tc>
      </w:tr>
      <w:tr w:rsidR="00006969" w:rsidRPr="00C47E97" w14:paraId="68448E5F" w14:textId="77777777" w:rsidTr="00D30F88">
        <w:trPr>
          <w:trHeight w:val="195"/>
        </w:trPr>
        <w:tc>
          <w:tcPr>
            <w:tcW w:w="2128" w:type="dxa"/>
            <w:noWrap/>
            <w:tcMar>
              <w:top w:w="0" w:type="dxa"/>
              <w:left w:w="70" w:type="dxa"/>
              <w:bottom w:w="0" w:type="dxa"/>
              <w:right w:w="70" w:type="dxa"/>
            </w:tcMar>
            <w:vAlign w:val="bottom"/>
            <w:hideMark/>
          </w:tcPr>
          <w:p w14:paraId="5776A5BC" w14:textId="77777777" w:rsidR="00006969" w:rsidRPr="00D30F88" w:rsidRDefault="00006969" w:rsidP="00F737F6">
            <w:pPr>
              <w:spacing w:after="0"/>
              <w:rPr>
                <w:rFonts w:cstheme="minorHAnsi"/>
                <w:color w:val="000000"/>
                <w:sz w:val="20"/>
                <w:szCs w:val="20"/>
                <w:lang w:eastAsia="cs-CZ"/>
              </w:rPr>
            </w:pPr>
            <w:r w:rsidRPr="00D30F88">
              <w:rPr>
                <w:rFonts w:cstheme="minorHAnsi"/>
                <w:color w:val="000000"/>
                <w:sz w:val="20"/>
                <w:szCs w:val="20"/>
                <w:lang w:eastAsia="cs-CZ"/>
              </w:rPr>
              <w:t>Úprava ADIS</w:t>
            </w:r>
          </w:p>
        </w:tc>
        <w:tc>
          <w:tcPr>
            <w:tcW w:w="864" w:type="dxa"/>
            <w:noWrap/>
            <w:tcMar>
              <w:top w:w="0" w:type="dxa"/>
              <w:left w:w="70" w:type="dxa"/>
              <w:bottom w:w="0" w:type="dxa"/>
              <w:right w:w="70" w:type="dxa"/>
            </w:tcMar>
            <w:vAlign w:val="bottom"/>
            <w:hideMark/>
          </w:tcPr>
          <w:p w14:paraId="7DC10A9D" w14:textId="77777777" w:rsidR="00006969" w:rsidRPr="00D30F88" w:rsidRDefault="00006969" w:rsidP="00F737F6">
            <w:pPr>
              <w:spacing w:after="0"/>
              <w:jc w:val="right"/>
              <w:rPr>
                <w:rFonts w:cstheme="minorHAnsi"/>
                <w:color w:val="000000"/>
                <w:sz w:val="20"/>
                <w:szCs w:val="20"/>
                <w:lang w:eastAsia="cs-CZ"/>
              </w:rPr>
            </w:pPr>
            <w:r w:rsidRPr="00D30F88">
              <w:rPr>
                <w:rFonts w:cstheme="minorHAnsi"/>
                <w:color w:val="000000"/>
                <w:sz w:val="20"/>
                <w:szCs w:val="20"/>
                <w:lang w:eastAsia="cs-CZ"/>
              </w:rPr>
              <w:t>24,9</w:t>
            </w:r>
          </w:p>
        </w:tc>
        <w:tc>
          <w:tcPr>
            <w:tcW w:w="864" w:type="dxa"/>
            <w:noWrap/>
            <w:tcMar>
              <w:top w:w="0" w:type="dxa"/>
              <w:left w:w="70" w:type="dxa"/>
              <w:bottom w:w="0" w:type="dxa"/>
              <w:right w:w="70" w:type="dxa"/>
            </w:tcMar>
            <w:vAlign w:val="bottom"/>
            <w:hideMark/>
          </w:tcPr>
          <w:p w14:paraId="71C129C2" w14:textId="77777777" w:rsidR="00006969" w:rsidRPr="00D30F88" w:rsidRDefault="00006969" w:rsidP="00F737F6">
            <w:pPr>
              <w:spacing w:after="0"/>
              <w:jc w:val="right"/>
              <w:rPr>
                <w:rFonts w:cstheme="minorHAnsi"/>
                <w:color w:val="000000"/>
                <w:sz w:val="20"/>
                <w:szCs w:val="20"/>
                <w:lang w:eastAsia="cs-CZ"/>
              </w:rPr>
            </w:pPr>
            <w:r w:rsidRPr="00D30F88">
              <w:rPr>
                <w:rFonts w:cstheme="minorHAnsi"/>
                <w:color w:val="000000"/>
                <w:sz w:val="20"/>
                <w:szCs w:val="20"/>
                <w:lang w:eastAsia="cs-CZ"/>
              </w:rPr>
              <w:t>44,5</w:t>
            </w:r>
          </w:p>
        </w:tc>
        <w:tc>
          <w:tcPr>
            <w:tcW w:w="864" w:type="dxa"/>
            <w:noWrap/>
            <w:tcMar>
              <w:top w:w="0" w:type="dxa"/>
              <w:left w:w="70" w:type="dxa"/>
              <w:bottom w:w="0" w:type="dxa"/>
              <w:right w:w="70" w:type="dxa"/>
            </w:tcMar>
            <w:vAlign w:val="bottom"/>
            <w:hideMark/>
          </w:tcPr>
          <w:p w14:paraId="1A6BFA14" w14:textId="77777777" w:rsidR="00006969" w:rsidRPr="00D30F88" w:rsidRDefault="00006969" w:rsidP="00F737F6">
            <w:pPr>
              <w:spacing w:after="0"/>
              <w:jc w:val="right"/>
              <w:rPr>
                <w:rFonts w:cstheme="minorHAnsi"/>
                <w:color w:val="000000"/>
                <w:sz w:val="20"/>
                <w:szCs w:val="20"/>
                <w:lang w:eastAsia="cs-CZ"/>
              </w:rPr>
            </w:pPr>
            <w:r w:rsidRPr="00D30F88">
              <w:rPr>
                <w:rFonts w:cstheme="minorHAnsi"/>
                <w:color w:val="000000"/>
                <w:sz w:val="20"/>
                <w:szCs w:val="20"/>
                <w:lang w:eastAsia="cs-CZ"/>
              </w:rPr>
              <w:t>3,2</w:t>
            </w:r>
          </w:p>
        </w:tc>
        <w:tc>
          <w:tcPr>
            <w:tcW w:w="864" w:type="dxa"/>
            <w:noWrap/>
            <w:tcMar>
              <w:top w:w="0" w:type="dxa"/>
              <w:left w:w="70" w:type="dxa"/>
              <w:bottom w:w="0" w:type="dxa"/>
              <w:right w:w="70" w:type="dxa"/>
            </w:tcMar>
            <w:vAlign w:val="bottom"/>
            <w:hideMark/>
          </w:tcPr>
          <w:p w14:paraId="3B659BD2" w14:textId="77777777" w:rsidR="00006969" w:rsidRPr="00D30F88" w:rsidRDefault="00006969" w:rsidP="00F737F6">
            <w:pPr>
              <w:spacing w:after="0"/>
              <w:jc w:val="right"/>
              <w:rPr>
                <w:rFonts w:cstheme="minorHAnsi"/>
                <w:color w:val="000000"/>
                <w:sz w:val="20"/>
                <w:szCs w:val="20"/>
                <w:lang w:eastAsia="cs-CZ"/>
              </w:rPr>
            </w:pPr>
            <w:r w:rsidRPr="00D30F88">
              <w:rPr>
                <w:rFonts w:cstheme="minorHAnsi"/>
                <w:color w:val="000000"/>
                <w:sz w:val="20"/>
                <w:szCs w:val="20"/>
                <w:lang w:eastAsia="cs-CZ"/>
              </w:rPr>
              <w:t>x</w:t>
            </w:r>
          </w:p>
        </w:tc>
        <w:tc>
          <w:tcPr>
            <w:tcW w:w="865" w:type="dxa"/>
            <w:noWrap/>
            <w:tcMar>
              <w:top w:w="0" w:type="dxa"/>
              <w:left w:w="70" w:type="dxa"/>
              <w:bottom w:w="0" w:type="dxa"/>
              <w:right w:w="70" w:type="dxa"/>
            </w:tcMar>
            <w:vAlign w:val="bottom"/>
            <w:hideMark/>
          </w:tcPr>
          <w:p w14:paraId="441796DD" w14:textId="77777777" w:rsidR="00006969" w:rsidRPr="00D30F88" w:rsidRDefault="00006969" w:rsidP="00F737F6">
            <w:pPr>
              <w:spacing w:after="0"/>
              <w:jc w:val="right"/>
              <w:rPr>
                <w:rFonts w:cstheme="minorHAnsi"/>
                <w:color w:val="000000"/>
                <w:sz w:val="20"/>
                <w:szCs w:val="20"/>
                <w:lang w:eastAsia="cs-CZ"/>
              </w:rPr>
            </w:pPr>
            <w:r w:rsidRPr="00D30F88">
              <w:rPr>
                <w:rFonts w:cstheme="minorHAnsi"/>
                <w:color w:val="000000"/>
                <w:sz w:val="20"/>
                <w:szCs w:val="20"/>
                <w:lang w:eastAsia="cs-CZ"/>
              </w:rPr>
              <w:t>2,1</w:t>
            </w:r>
          </w:p>
        </w:tc>
        <w:tc>
          <w:tcPr>
            <w:tcW w:w="864" w:type="dxa"/>
            <w:noWrap/>
            <w:tcMar>
              <w:top w:w="0" w:type="dxa"/>
              <w:left w:w="70" w:type="dxa"/>
              <w:bottom w:w="0" w:type="dxa"/>
              <w:right w:w="70" w:type="dxa"/>
            </w:tcMar>
            <w:vAlign w:val="bottom"/>
            <w:hideMark/>
          </w:tcPr>
          <w:p w14:paraId="58037260" w14:textId="77777777" w:rsidR="00006969" w:rsidRPr="00D30F88" w:rsidRDefault="00006969" w:rsidP="00F737F6">
            <w:pPr>
              <w:spacing w:after="0"/>
              <w:jc w:val="right"/>
              <w:rPr>
                <w:rFonts w:cstheme="minorHAnsi"/>
                <w:color w:val="000000"/>
                <w:sz w:val="20"/>
                <w:szCs w:val="20"/>
                <w:lang w:eastAsia="cs-CZ"/>
              </w:rPr>
            </w:pPr>
            <w:r w:rsidRPr="00D30F88">
              <w:rPr>
                <w:rFonts w:cstheme="minorHAnsi"/>
                <w:color w:val="000000"/>
                <w:sz w:val="20"/>
                <w:szCs w:val="20"/>
                <w:lang w:eastAsia="cs-CZ"/>
              </w:rPr>
              <w:t>6,9</w:t>
            </w:r>
          </w:p>
        </w:tc>
        <w:tc>
          <w:tcPr>
            <w:tcW w:w="864" w:type="dxa"/>
            <w:noWrap/>
            <w:tcMar>
              <w:top w:w="0" w:type="dxa"/>
              <w:left w:w="70" w:type="dxa"/>
              <w:bottom w:w="0" w:type="dxa"/>
              <w:right w:w="70" w:type="dxa"/>
            </w:tcMar>
            <w:vAlign w:val="bottom"/>
            <w:hideMark/>
          </w:tcPr>
          <w:p w14:paraId="1747C1C4" w14:textId="77777777" w:rsidR="00006969" w:rsidRPr="00D30F88" w:rsidRDefault="00006969" w:rsidP="00F737F6">
            <w:pPr>
              <w:spacing w:after="0"/>
              <w:jc w:val="right"/>
              <w:rPr>
                <w:rFonts w:cstheme="minorHAnsi"/>
                <w:color w:val="000000"/>
                <w:sz w:val="20"/>
                <w:szCs w:val="20"/>
                <w:lang w:eastAsia="cs-CZ"/>
              </w:rPr>
            </w:pPr>
            <w:r w:rsidRPr="00D30F88">
              <w:rPr>
                <w:rFonts w:cstheme="minorHAnsi"/>
                <w:color w:val="000000"/>
                <w:sz w:val="20"/>
                <w:szCs w:val="20"/>
                <w:lang w:eastAsia="cs-CZ"/>
              </w:rPr>
              <w:t>x</w:t>
            </w:r>
          </w:p>
        </w:tc>
        <w:tc>
          <w:tcPr>
            <w:tcW w:w="864" w:type="dxa"/>
            <w:noWrap/>
            <w:tcMar>
              <w:top w:w="0" w:type="dxa"/>
              <w:left w:w="70" w:type="dxa"/>
              <w:bottom w:w="0" w:type="dxa"/>
              <w:right w:w="70" w:type="dxa"/>
            </w:tcMar>
            <w:vAlign w:val="bottom"/>
            <w:hideMark/>
          </w:tcPr>
          <w:p w14:paraId="36E13D77" w14:textId="77777777" w:rsidR="00006969" w:rsidRPr="00D30F88" w:rsidRDefault="00006969" w:rsidP="00F737F6">
            <w:pPr>
              <w:spacing w:after="0"/>
              <w:jc w:val="right"/>
              <w:rPr>
                <w:rFonts w:cstheme="minorHAnsi"/>
                <w:color w:val="000000"/>
                <w:sz w:val="20"/>
                <w:szCs w:val="20"/>
                <w:lang w:eastAsia="cs-CZ"/>
              </w:rPr>
            </w:pPr>
            <w:r w:rsidRPr="00D30F88">
              <w:rPr>
                <w:rFonts w:cstheme="minorHAnsi"/>
                <w:color w:val="000000"/>
                <w:sz w:val="20"/>
                <w:szCs w:val="20"/>
                <w:lang w:eastAsia="cs-CZ"/>
              </w:rPr>
              <w:t>0,6</w:t>
            </w:r>
          </w:p>
        </w:tc>
      </w:tr>
      <w:tr w:rsidR="00006969" w:rsidRPr="00C47E97" w14:paraId="29788D18" w14:textId="77777777" w:rsidTr="00D30F88">
        <w:trPr>
          <w:trHeight w:val="195"/>
        </w:trPr>
        <w:tc>
          <w:tcPr>
            <w:tcW w:w="2128" w:type="dxa"/>
            <w:noWrap/>
            <w:tcMar>
              <w:top w:w="0" w:type="dxa"/>
              <w:left w:w="70" w:type="dxa"/>
              <w:bottom w:w="0" w:type="dxa"/>
              <w:right w:w="70" w:type="dxa"/>
            </w:tcMar>
            <w:vAlign w:val="bottom"/>
            <w:hideMark/>
          </w:tcPr>
          <w:p w14:paraId="2916BF62" w14:textId="77777777" w:rsidR="00006969" w:rsidRPr="00D30F88" w:rsidRDefault="00006969" w:rsidP="00F737F6">
            <w:pPr>
              <w:spacing w:after="0"/>
              <w:rPr>
                <w:rFonts w:cstheme="minorHAnsi"/>
                <w:color w:val="000000"/>
                <w:sz w:val="20"/>
                <w:szCs w:val="20"/>
                <w:lang w:eastAsia="cs-CZ"/>
              </w:rPr>
            </w:pPr>
            <w:r w:rsidRPr="00D30F88">
              <w:rPr>
                <w:rFonts w:cstheme="minorHAnsi"/>
                <w:color w:val="000000"/>
                <w:sz w:val="20"/>
                <w:szCs w:val="20"/>
                <w:lang w:eastAsia="cs-CZ"/>
              </w:rPr>
              <w:t>Mzdové výdaje na analýzy KH</w:t>
            </w:r>
          </w:p>
        </w:tc>
        <w:tc>
          <w:tcPr>
            <w:tcW w:w="864" w:type="dxa"/>
            <w:noWrap/>
            <w:tcMar>
              <w:top w:w="0" w:type="dxa"/>
              <w:left w:w="70" w:type="dxa"/>
              <w:bottom w:w="0" w:type="dxa"/>
              <w:right w:w="70" w:type="dxa"/>
            </w:tcMar>
            <w:vAlign w:val="bottom"/>
            <w:hideMark/>
          </w:tcPr>
          <w:p w14:paraId="68B8E984" w14:textId="77777777" w:rsidR="00006969" w:rsidRPr="00D30F88" w:rsidRDefault="00006969" w:rsidP="00F737F6">
            <w:pPr>
              <w:spacing w:after="0"/>
              <w:jc w:val="right"/>
              <w:rPr>
                <w:rFonts w:cstheme="minorHAnsi"/>
                <w:color w:val="000000"/>
                <w:sz w:val="20"/>
                <w:szCs w:val="20"/>
                <w:lang w:eastAsia="cs-CZ"/>
              </w:rPr>
            </w:pPr>
            <w:r w:rsidRPr="00D30F88">
              <w:rPr>
                <w:rFonts w:cstheme="minorHAnsi"/>
                <w:color w:val="000000"/>
                <w:sz w:val="20"/>
                <w:szCs w:val="20"/>
                <w:lang w:eastAsia="cs-CZ"/>
              </w:rPr>
              <w:t>4,8</w:t>
            </w:r>
          </w:p>
        </w:tc>
        <w:tc>
          <w:tcPr>
            <w:tcW w:w="864" w:type="dxa"/>
            <w:noWrap/>
            <w:tcMar>
              <w:top w:w="0" w:type="dxa"/>
              <w:left w:w="70" w:type="dxa"/>
              <w:bottom w:w="0" w:type="dxa"/>
              <w:right w:w="70" w:type="dxa"/>
            </w:tcMar>
            <w:vAlign w:val="bottom"/>
            <w:hideMark/>
          </w:tcPr>
          <w:p w14:paraId="18E361C5" w14:textId="77777777" w:rsidR="00006969" w:rsidRPr="00D30F88" w:rsidRDefault="00006969" w:rsidP="00F737F6">
            <w:pPr>
              <w:spacing w:after="0"/>
              <w:jc w:val="right"/>
              <w:rPr>
                <w:rFonts w:cstheme="minorHAnsi"/>
                <w:color w:val="000000"/>
                <w:sz w:val="20"/>
                <w:szCs w:val="20"/>
                <w:lang w:eastAsia="cs-CZ"/>
              </w:rPr>
            </w:pPr>
            <w:r w:rsidRPr="00D30F88">
              <w:rPr>
                <w:rFonts w:cstheme="minorHAnsi"/>
                <w:color w:val="000000"/>
                <w:sz w:val="20"/>
                <w:szCs w:val="20"/>
                <w:lang w:eastAsia="cs-CZ"/>
              </w:rPr>
              <w:t>10,5</w:t>
            </w:r>
          </w:p>
        </w:tc>
        <w:tc>
          <w:tcPr>
            <w:tcW w:w="864" w:type="dxa"/>
            <w:noWrap/>
            <w:tcMar>
              <w:top w:w="0" w:type="dxa"/>
              <w:left w:w="70" w:type="dxa"/>
              <w:bottom w:w="0" w:type="dxa"/>
              <w:right w:w="70" w:type="dxa"/>
            </w:tcMar>
            <w:vAlign w:val="bottom"/>
            <w:hideMark/>
          </w:tcPr>
          <w:p w14:paraId="662A7CDC" w14:textId="77777777" w:rsidR="00006969" w:rsidRPr="00D30F88" w:rsidRDefault="00006969" w:rsidP="00F737F6">
            <w:pPr>
              <w:spacing w:after="0"/>
              <w:jc w:val="right"/>
              <w:rPr>
                <w:rFonts w:cstheme="minorHAnsi"/>
                <w:color w:val="000000"/>
                <w:sz w:val="20"/>
                <w:szCs w:val="20"/>
                <w:lang w:eastAsia="cs-CZ"/>
              </w:rPr>
            </w:pPr>
            <w:r w:rsidRPr="00D30F88">
              <w:rPr>
                <w:rFonts w:cstheme="minorHAnsi"/>
                <w:color w:val="000000"/>
                <w:sz w:val="20"/>
                <w:szCs w:val="20"/>
                <w:lang w:eastAsia="cs-CZ"/>
              </w:rPr>
              <w:t>13,8</w:t>
            </w:r>
          </w:p>
        </w:tc>
        <w:tc>
          <w:tcPr>
            <w:tcW w:w="864" w:type="dxa"/>
            <w:noWrap/>
            <w:tcMar>
              <w:top w:w="0" w:type="dxa"/>
              <w:left w:w="70" w:type="dxa"/>
              <w:bottom w:w="0" w:type="dxa"/>
              <w:right w:w="70" w:type="dxa"/>
            </w:tcMar>
            <w:vAlign w:val="bottom"/>
            <w:hideMark/>
          </w:tcPr>
          <w:p w14:paraId="0704E9E7" w14:textId="77777777" w:rsidR="00006969" w:rsidRPr="00D30F88" w:rsidRDefault="00006969" w:rsidP="00F737F6">
            <w:pPr>
              <w:spacing w:after="0"/>
              <w:jc w:val="right"/>
              <w:rPr>
                <w:rFonts w:cstheme="minorHAnsi"/>
                <w:color w:val="000000"/>
                <w:sz w:val="20"/>
                <w:szCs w:val="20"/>
                <w:lang w:eastAsia="cs-CZ"/>
              </w:rPr>
            </w:pPr>
            <w:r w:rsidRPr="00D30F88">
              <w:rPr>
                <w:rFonts w:cstheme="minorHAnsi"/>
                <w:color w:val="000000"/>
                <w:sz w:val="20"/>
                <w:szCs w:val="20"/>
                <w:lang w:eastAsia="cs-CZ"/>
              </w:rPr>
              <w:t>15,2</w:t>
            </w:r>
          </w:p>
        </w:tc>
        <w:tc>
          <w:tcPr>
            <w:tcW w:w="865" w:type="dxa"/>
            <w:noWrap/>
            <w:tcMar>
              <w:top w:w="0" w:type="dxa"/>
              <w:left w:w="70" w:type="dxa"/>
              <w:bottom w:w="0" w:type="dxa"/>
              <w:right w:w="70" w:type="dxa"/>
            </w:tcMar>
            <w:vAlign w:val="bottom"/>
            <w:hideMark/>
          </w:tcPr>
          <w:p w14:paraId="628DFE8F" w14:textId="77777777" w:rsidR="00006969" w:rsidRPr="00D30F88" w:rsidRDefault="00006969" w:rsidP="00F737F6">
            <w:pPr>
              <w:spacing w:after="0"/>
              <w:jc w:val="right"/>
              <w:rPr>
                <w:rFonts w:cstheme="minorHAnsi"/>
                <w:color w:val="000000"/>
                <w:sz w:val="20"/>
                <w:szCs w:val="20"/>
                <w:lang w:eastAsia="cs-CZ"/>
              </w:rPr>
            </w:pPr>
            <w:r w:rsidRPr="00D30F88">
              <w:rPr>
                <w:rFonts w:cstheme="minorHAnsi"/>
                <w:color w:val="000000"/>
                <w:sz w:val="20"/>
                <w:szCs w:val="20"/>
                <w:lang w:eastAsia="cs-CZ"/>
              </w:rPr>
              <w:t>15,6</w:t>
            </w:r>
          </w:p>
        </w:tc>
        <w:tc>
          <w:tcPr>
            <w:tcW w:w="864" w:type="dxa"/>
            <w:noWrap/>
            <w:tcMar>
              <w:top w:w="0" w:type="dxa"/>
              <w:left w:w="70" w:type="dxa"/>
              <w:bottom w:w="0" w:type="dxa"/>
              <w:right w:w="70" w:type="dxa"/>
            </w:tcMar>
            <w:vAlign w:val="bottom"/>
            <w:hideMark/>
          </w:tcPr>
          <w:p w14:paraId="7C6BA443" w14:textId="77777777" w:rsidR="00006969" w:rsidRPr="00D30F88" w:rsidRDefault="00006969" w:rsidP="00F737F6">
            <w:pPr>
              <w:spacing w:after="0"/>
              <w:jc w:val="right"/>
              <w:rPr>
                <w:rFonts w:cstheme="minorHAnsi"/>
                <w:color w:val="000000"/>
                <w:sz w:val="20"/>
                <w:szCs w:val="20"/>
                <w:lang w:eastAsia="cs-CZ"/>
              </w:rPr>
            </w:pPr>
            <w:r w:rsidRPr="00D30F88">
              <w:rPr>
                <w:rFonts w:cstheme="minorHAnsi"/>
                <w:color w:val="000000"/>
                <w:sz w:val="20"/>
                <w:szCs w:val="20"/>
                <w:lang w:eastAsia="cs-CZ"/>
              </w:rPr>
              <w:t>15,3</w:t>
            </w:r>
          </w:p>
        </w:tc>
        <w:tc>
          <w:tcPr>
            <w:tcW w:w="864" w:type="dxa"/>
            <w:noWrap/>
            <w:tcMar>
              <w:top w:w="0" w:type="dxa"/>
              <w:left w:w="70" w:type="dxa"/>
              <w:bottom w:w="0" w:type="dxa"/>
              <w:right w:w="70" w:type="dxa"/>
            </w:tcMar>
            <w:vAlign w:val="bottom"/>
            <w:hideMark/>
          </w:tcPr>
          <w:p w14:paraId="4889A942" w14:textId="77777777" w:rsidR="00006969" w:rsidRPr="00D30F88" w:rsidRDefault="00006969" w:rsidP="00F737F6">
            <w:pPr>
              <w:spacing w:after="0"/>
              <w:jc w:val="right"/>
              <w:rPr>
                <w:rFonts w:cstheme="minorHAnsi"/>
                <w:color w:val="000000"/>
                <w:sz w:val="20"/>
                <w:szCs w:val="20"/>
                <w:lang w:eastAsia="cs-CZ"/>
              </w:rPr>
            </w:pPr>
            <w:r w:rsidRPr="00D30F88">
              <w:rPr>
                <w:rFonts w:cstheme="minorHAnsi"/>
                <w:color w:val="000000"/>
                <w:sz w:val="20"/>
                <w:szCs w:val="20"/>
                <w:lang w:eastAsia="cs-CZ"/>
              </w:rPr>
              <w:t>15,1</w:t>
            </w:r>
          </w:p>
        </w:tc>
        <w:tc>
          <w:tcPr>
            <w:tcW w:w="864" w:type="dxa"/>
            <w:noWrap/>
            <w:tcMar>
              <w:top w:w="0" w:type="dxa"/>
              <w:left w:w="70" w:type="dxa"/>
              <w:bottom w:w="0" w:type="dxa"/>
              <w:right w:w="70" w:type="dxa"/>
            </w:tcMar>
            <w:vAlign w:val="bottom"/>
            <w:hideMark/>
          </w:tcPr>
          <w:p w14:paraId="642F19D3" w14:textId="77777777" w:rsidR="00006969" w:rsidRPr="00D30F88" w:rsidRDefault="00006969" w:rsidP="00F737F6">
            <w:pPr>
              <w:spacing w:after="0"/>
              <w:jc w:val="right"/>
              <w:rPr>
                <w:rFonts w:cstheme="minorHAnsi"/>
                <w:color w:val="000000"/>
                <w:sz w:val="20"/>
                <w:szCs w:val="20"/>
                <w:lang w:eastAsia="cs-CZ"/>
              </w:rPr>
            </w:pPr>
            <w:r w:rsidRPr="00D30F88">
              <w:rPr>
                <w:rFonts w:cstheme="minorHAnsi"/>
                <w:color w:val="000000"/>
                <w:sz w:val="20"/>
                <w:szCs w:val="20"/>
                <w:lang w:eastAsia="cs-CZ"/>
              </w:rPr>
              <w:t>13,5</w:t>
            </w:r>
          </w:p>
        </w:tc>
      </w:tr>
      <w:tr w:rsidR="00006969" w:rsidRPr="00C47E97" w14:paraId="2E071284" w14:textId="77777777" w:rsidTr="00D30F88">
        <w:trPr>
          <w:trHeight w:val="195"/>
        </w:trPr>
        <w:tc>
          <w:tcPr>
            <w:tcW w:w="2128" w:type="dxa"/>
            <w:noWrap/>
            <w:tcMar>
              <w:top w:w="0" w:type="dxa"/>
              <w:left w:w="70" w:type="dxa"/>
              <w:bottom w:w="0" w:type="dxa"/>
              <w:right w:w="70" w:type="dxa"/>
            </w:tcMar>
            <w:vAlign w:val="bottom"/>
            <w:hideMark/>
          </w:tcPr>
          <w:p w14:paraId="10C9996E" w14:textId="77777777" w:rsidR="00006969" w:rsidRPr="00D30F88" w:rsidRDefault="00006969" w:rsidP="00F737F6">
            <w:pPr>
              <w:spacing w:after="0"/>
              <w:rPr>
                <w:rFonts w:cstheme="minorHAnsi"/>
                <w:color w:val="000000"/>
                <w:sz w:val="20"/>
                <w:szCs w:val="20"/>
                <w:lang w:eastAsia="cs-CZ"/>
              </w:rPr>
            </w:pPr>
            <w:r w:rsidRPr="00D30F88">
              <w:rPr>
                <w:rFonts w:cstheme="minorHAnsi"/>
                <w:color w:val="000000"/>
                <w:sz w:val="20"/>
                <w:szCs w:val="20"/>
                <w:lang w:eastAsia="cs-CZ"/>
              </w:rPr>
              <w:t>Celkem</w:t>
            </w:r>
          </w:p>
        </w:tc>
        <w:tc>
          <w:tcPr>
            <w:tcW w:w="864" w:type="dxa"/>
            <w:noWrap/>
            <w:tcMar>
              <w:top w:w="0" w:type="dxa"/>
              <w:left w:w="70" w:type="dxa"/>
              <w:bottom w:w="0" w:type="dxa"/>
              <w:right w:w="70" w:type="dxa"/>
            </w:tcMar>
            <w:vAlign w:val="bottom"/>
            <w:hideMark/>
          </w:tcPr>
          <w:p w14:paraId="210FBDEC" w14:textId="77777777" w:rsidR="00006969" w:rsidRPr="00D30F88" w:rsidRDefault="00006969" w:rsidP="00F737F6">
            <w:pPr>
              <w:spacing w:after="0"/>
              <w:jc w:val="right"/>
              <w:rPr>
                <w:rFonts w:cstheme="minorHAnsi"/>
                <w:color w:val="000000"/>
                <w:sz w:val="20"/>
                <w:szCs w:val="20"/>
                <w:lang w:eastAsia="cs-CZ"/>
              </w:rPr>
            </w:pPr>
            <w:r w:rsidRPr="00D30F88">
              <w:rPr>
                <w:rFonts w:cstheme="minorHAnsi"/>
                <w:color w:val="000000"/>
                <w:sz w:val="20"/>
                <w:szCs w:val="20"/>
                <w:lang w:eastAsia="cs-CZ"/>
              </w:rPr>
              <w:t>29,7</w:t>
            </w:r>
          </w:p>
        </w:tc>
        <w:tc>
          <w:tcPr>
            <w:tcW w:w="864" w:type="dxa"/>
            <w:noWrap/>
            <w:tcMar>
              <w:top w:w="0" w:type="dxa"/>
              <w:left w:w="70" w:type="dxa"/>
              <w:bottom w:w="0" w:type="dxa"/>
              <w:right w:w="70" w:type="dxa"/>
            </w:tcMar>
            <w:vAlign w:val="bottom"/>
            <w:hideMark/>
          </w:tcPr>
          <w:p w14:paraId="73F5B99C" w14:textId="77777777" w:rsidR="00006969" w:rsidRPr="00D30F88" w:rsidRDefault="00006969" w:rsidP="00F737F6">
            <w:pPr>
              <w:spacing w:after="0"/>
              <w:jc w:val="right"/>
              <w:rPr>
                <w:rFonts w:cstheme="minorHAnsi"/>
                <w:color w:val="000000"/>
                <w:sz w:val="20"/>
                <w:szCs w:val="20"/>
                <w:lang w:eastAsia="cs-CZ"/>
              </w:rPr>
            </w:pPr>
            <w:r w:rsidRPr="00D30F88">
              <w:rPr>
                <w:rFonts w:cstheme="minorHAnsi"/>
                <w:color w:val="000000"/>
                <w:sz w:val="20"/>
                <w:szCs w:val="20"/>
                <w:lang w:eastAsia="cs-CZ"/>
              </w:rPr>
              <w:t>114,4</w:t>
            </w:r>
          </w:p>
        </w:tc>
        <w:tc>
          <w:tcPr>
            <w:tcW w:w="864" w:type="dxa"/>
            <w:noWrap/>
            <w:tcMar>
              <w:top w:w="0" w:type="dxa"/>
              <w:left w:w="70" w:type="dxa"/>
              <w:bottom w:w="0" w:type="dxa"/>
              <w:right w:w="70" w:type="dxa"/>
            </w:tcMar>
            <w:vAlign w:val="bottom"/>
            <w:hideMark/>
          </w:tcPr>
          <w:p w14:paraId="34DE7C53" w14:textId="77777777" w:rsidR="00006969" w:rsidRPr="00D30F88" w:rsidRDefault="00006969" w:rsidP="00F737F6">
            <w:pPr>
              <w:spacing w:after="0"/>
              <w:jc w:val="right"/>
              <w:rPr>
                <w:rFonts w:cstheme="minorHAnsi"/>
                <w:color w:val="000000"/>
                <w:sz w:val="20"/>
                <w:szCs w:val="20"/>
                <w:lang w:eastAsia="cs-CZ"/>
              </w:rPr>
            </w:pPr>
            <w:r w:rsidRPr="00D30F88">
              <w:rPr>
                <w:rFonts w:cstheme="minorHAnsi"/>
                <w:color w:val="000000"/>
                <w:sz w:val="20"/>
                <w:szCs w:val="20"/>
                <w:lang w:eastAsia="cs-CZ"/>
              </w:rPr>
              <w:t>23,6</w:t>
            </w:r>
          </w:p>
        </w:tc>
        <w:tc>
          <w:tcPr>
            <w:tcW w:w="864" w:type="dxa"/>
            <w:noWrap/>
            <w:tcMar>
              <w:top w:w="0" w:type="dxa"/>
              <w:left w:w="70" w:type="dxa"/>
              <w:bottom w:w="0" w:type="dxa"/>
              <w:right w:w="70" w:type="dxa"/>
            </w:tcMar>
            <w:vAlign w:val="bottom"/>
            <w:hideMark/>
          </w:tcPr>
          <w:p w14:paraId="5654504C" w14:textId="77777777" w:rsidR="00006969" w:rsidRPr="00D30F88" w:rsidRDefault="00006969" w:rsidP="00F737F6">
            <w:pPr>
              <w:spacing w:after="0"/>
              <w:jc w:val="right"/>
              <w:rPr>
                <w:rFonts w:cstheme="minorHAnsi"/>
                <w:color w:val="000000"/>
                <w:sz w:val="20"/>
                <w:szCs w:val="20"/>
                <w:lang w:eastAsia="cs-CZ"/>
              </w:rPr>
            </w:pPr>
            <w:r w:rsidRPr="00D30F88">
              <w:rPr>
                <w:rFonts w:cstheme="minorHAnsi"/>
                <w:color w:val="000000"/>
                <w:sz w:val="20"/>
                <w:szCs w:val="20"/>
                <w:lang w:eastAsia="cs-CZ"/>
              </w:rPr>
              <w:t>16,2</w:t>
            </w:r>
          </w:p>
        </w:tc>
        <w:tc>
          <w:tcPr>
            <w:tcW w:w="865" w:type="dxa"/>
            <w:noWrap/>
            <w:tcMar>
              <w:top w:w="0" w:type="dxa"/>
              <w:left w:w="70" w:type="dxa"/>
              <w:bottom w:w="0" w:type="dxa"/>
              <w:right w:w="70" w:type="dxa"/>
            </w:tcMar>
            <w:vAlign w:val="bottom"/>
            <w:hideMark/>
          </w:tcPr>
          <w:p w14:paraId="7B994CC5" w14:textId="77777777" w:rsidR="00006969" w:rsidRPr="00D30F88" w:rsidRDefault="00006969" w:rsidP="00F737F6">
            <w:pPr>
              <w:spacing w:after="0"/>
              <w:jc w:val="right"/>
              <w:rPr>
                <w:rFonts w:cstheme="minorHAnsi"/>
                <w:color w:val="000000"/>
                <w:sz w:val="20"/>
                <w:szCs w:val="20"/>
                <w:lang w:eastAsia="cs-CZ"/>
              </w:rPr>
            </w:pPr>
            <w:r w:rsidRPr="00D30F88">
              <w:rPr>
                <w:rFonts w:cstheme="minorHAnsi"/>
                <w:color w:val="000000"/>
                <w:sz w:val="20"/>
                <w:szCs w:val="20"/>
                <w:lang w:eastAsia="cs-CZ"/>
              </w:rPr>
              <w:t>17,7</w:t>
            </w:r>
          </w:p>
        </w:tc>
        <w:tc>
          <w:tcPr>
            <w:tcW w:w="864" w:type="dxa"/>
            <w:noWrap/>
            <w:tcMar>
              <w:top w:w="0" w:type="dxa"/>
              <w:left w:w="70" w:type="dxa"/>
              <w:bottom w:w="0" w:type="dxa"/>
              <w:right w:w="70" w:type="dxa"/>
            </w:tcMar>
            <w:vAlign w:val="bottom"/>
            <w:hideMark/>
          </w:tcPr>
          <w:p w14:paraId="4323279D" w14:textId="77777777" w:rsidR="00006969" w:rsidRPr="00D30F88" w:rsidRDefault="00006969" w:rsidP="00F737F6">
            <w:pPr>
              <w:spacing w:after="0"/>
              <w:jc w:val="right"/>
              <w:rPr>
                <w:rFonts w:cstheme="minorHAnsi"/>
                <w:color w:val="000000"/>
                <w:sz w:val="20"/>
                <w:szCs w:val="20"/>
                <w:lang w:eastAsia="cs-CZ"/>
              </w:rPr>
            </w:pPr>
            <w:r w:rsidRPr="00D30F88">
              <w:rPr>
                <w:rFonts w:cstheme="minorHAnsi"/>
                <w:color w:val="000000"/>
                <w:sz w:val="20"/>
                <w:szCs w:val="20"/>
                <w:lang w:eastAsia="cs-CZ"/>
              </w:rPr>
              <w:t>24,2</w:t>
            </w:r>
          </w:p>
        </w:tc>
        <w:tc>
          <w:tcPr>
            <w:tcW w:w="864" w:type="dxa"/>
            <w:noWrap/>
            <w:tcMar>
              <w:top w:w="0" w:type="dxa"/>
              <w:left w:w="70" w:type="dxa"/>
              <w:bottom w:w="0" w:type="dxa"/>
              <w:right w:w="70" w:type="dxa"/>
            </w:tcMar>
            <w:vAlign w:val="bottom"/>
            <w:hideMark/>
          </w:tcPr>
          <w:p w14:paraId="36B38A3A" w14:textId="77777777" w:rsidR="00006969" w:rsidRPr="00D30F88" w:rsidRDefault="00006969" w:rsidP="00F737F6">
            <w:pPr>
              <w:spacing w:after="0"/>
              <w:jc w:val="right"/>
              <w:rPr>
                <w:rFonts w:cstheme="minorHAnsi"/>
                <w:color w:val="000000"/>
                <w:sz w:val="20"/>
                <w:szCs w:val="20"/>
                <w:lang w:eastAsia="cs-CZ"/>
              </w:rPr>
            </w:pPr>
            <w:r w:rsidRPr="00D30F88">
              <w:rPr>
                <w:rFonts w:cstheme="minorHAnsi"/>
                <w:color w:val="000000"/>
                <w:sz w:val="20"/>
                <w:szCs w:val="20"/>
                <w:lang w:eastAsia="cs-CZ"/>
              </w:rPr>
              <w:t>16,6</w:t>
            </w:r>
          </w:p>
        </w:tc>
        <w:tc>
          <w:tcPr>
            <w:tcW w:w="864" w:type="dxa"/>
            <w:noWrap/>
            <w:tcMar>
              <w:top w:w="0" w:type="dxa"/>
              <w:left w:w="70" w:type="dxa"/>
              <w:bottom w:w="0" w:type="dxa"/>
              <w:right w:w="70" w:type="dxa"/>
            </w:tcMar>
            <w:vAlign w:val="bottom"/>
            <w:hideMark/>
          </w:tcPr>
          <w:p w14:paraId="20CAA4E5" w14:textId="77777777" w:rsidR="00006969" w:rsidRPr="00D30F88" w:rsidRDefault="00006969" w:rsidP="00F737F6">
            <w:pPr>
              <w:spacing w:after="0"/>
              <w:jc w:val="right"/>
              <w:rPr>
                <w:rFonts w:cstheme="minorHAnsi"/>
                <w:color w:val="000000"/>
                <w:sz w:val="20"/>
                <w:szCs w:val="20"/>
                <w:lang w:eastAsia="cs-CZ"/>
              </w:rPr>
            </w:pPr>
            <w:r w:rsidRPr="00D30F88">
              <w:rPr>
                <w:rFonts w:cstheme="minorHAnsi"/>
                <w:color w:val="000000"/>
                <w:sz w:val="20"/>
                <w:szCs w:val="20"/>
                <w:lang w:eastAsia="cs-CZ"/>
              </w:rPr>
              <w:t>15,2</w:t>
            </w:r>
          </w:p>
        </w:tc>
      </w:tr>
    </w:tbl>
    <w:p w14:paraId="605E1E74" w14:textId="6F8AD559" w:rsidR="00F737F6" w:rsidRPr="00D30F88" w:rsidRDefault="00F737F6" w:rsidP="00F737F6">
      <w:pPr>
        <w:spacing w:after="120" w:line="240" w:lineRule="auto"/>
        <w:jc w:val="both"/>
        <w:rPr>
          <w:rFonts w:eastAsia="Calibri" w:cstheme="minorHAnsi"/>
          <w:sz w:val="20"/>
          <w:szCs w:val="20"/>
        </w:rPr>
      </w:pPr>
      <w:r w:rsidRPr="00D30F88">
        <w:rPr>
          <w:rFonts w:eastAsia="Calibri" w:cstheme="minorHAnsi"/>
          <w:b/>
          <w:bCs/>
          <w:sz w:val="20"/>
          <w:szCs w:val="20"/>
        </w:rPr>
        <w:t>Zdroj:</w:t>
      </w:r>
      <w:r w:rsidRPr="00D30F88">
        <w:rPr>
          <w:rFonts w:eastAsia="Calibri" w:cstheme="minorHAnsi"/>
          <w:sz w:val="20"/>
          <w:szCs w:val="20"/>
        </w:rPr>
        <w:t xml:space="preserve"> GFŘ</w:t>
      </w:r>
      <w:r w:rsidR="00BF022C">
        <w:rPr>
          <w:rFonts w:eastAsia="Calibri" w:cstheme="minorHAnsi"/>
          <w:sz w:val="20"/>
          <w:szCs w:val="20"/>
        </w:rPr>
        <w:t>.</w:t>
      </w:r>
    </w:p>
    <w:p w14:paraId="15C33371" w14:textId="16F9A2DB" w:rsidR="00F737F6" w:rsidRDefault="00F737F6" w:rsidP="00F737F6">
      <w:pPr>
        <w:spacing w:after="120" w:line="240" w:lineRule="auto"/>
        <w:jc w:val="both"/>
        <w:rPr>
          <w:rFonts w:eastAsia="Calibri" w:cstheme="minorHAnsi"/>
          <w:sz w:val="24"/>
          <w:szCs w:val="24"/>
        </w:rPr>
      </w:pPr>
      <w:r w:rsidRPr="00C47E97">
        <w:rPr>
          <w:rFonts w:eastAsia="Calibri" w:cstheme="minorHAnsi"/>
          <w:sz w:val="24"/>
          <w:szCs w:val="24"/>
        </w:rPr>
        <w:t>Kontrolní hlášení poskytovalo správcům daně v</w:t>
      </w:r>
      <w:r w:rsidR="00003D0B">
        <w:rPr>
          <w:rFonts w:eastAsia="Calibri" w:cstheme="minorHAnsi"/>
          <w:sz w:val="24"/>
          <w:szCs w:val="24"/>
        </w:rPr>
        <w:t xml:space="preserve"> </w:t>
      </w:r>
      <w:r w:rsidRPr="00C47E97">
        <w:rPr>
          <w:rFonts w:eastAsia="Calibri" w:cstheme="minorHAnsi"/>
          <w:sz w:val="24"/>
          <w:szCs w:val="24"/>
        </w:rPr>
        <w:t>kontrolovaném období zdroj dat o</w:t>
      </w:r>
      <w:r>
        <w:rPr>
          <w:rFonts w:eastAsia="Calibri" w:cstheme="minorHAnsi"/>
          <w:sz w:val="24"/>
          <w:szCs w:val="24"/>
        </w:rPr>
        <w:t> </w:t>
      </w:r>
      <w:r w:rsidRPr="00C47E97">
        <w:rPr>
          <w:rFonts w:eastAsia="Calibri" w:cstheme="minorHAnsi"/>
          <w:sz w:val="24"/>
          <w:szCs w:val="24"/>
        </w:rPr>
        <w:t xml:space="preserve">zdanitelných plněních mezi plátci DPH v tuzemsku. Při zpracování dat z KH se automaticky detekovaly neshody mezi informacemi </w:t>
      </w:r>
      <w:r w:rsidR="00BF022C" w:rsidRPr="00C47E97">
        <w:rPr>
          <w:rFonts w:eastAsia="Calibri" w:cstheme="minorHAnsi"/>
          <w:sz w:val="24"/>
          <w:szCs w:val="24"/>
        </w:rPr>
        <w:t xml:space="preserve">tvrzenými </w:t>
      </w:r>
      <w:r w:rsidRPr="00C47E97">
        <w:rPr>
          <w:rFonts w:eastAsia="Calibri" w:cstheme="minorHAnsi"/>
          <w:sz w:val="24"/>
          <w:szCs w:val="24"/>
        </w:rPr>
        <w:t xml:space="preserve">dodavatelem a odběratelem o zdanitelných plněních. Počet plátců a údaje z kontrolních hlášení jsou uvedeny v tabulce č. </w:t>
      </w:r>
      <w:r w:rsidR="002B6460">
        <w:rPr>
          <w:rFonts w:eastAsia="Calibri" w:cstheme="minorHAnsi"/>
          <w:sz w:val="24"/>
          <w:szCs w:val="24"/>
        </w:rPr>
        <w:t>2</w:t>
      </w:r>
      <w:r w:rsidRPr="00C47E97">
        <w:rPr>
          <w:rFonts w:eastAsia="Calibri" w:cstheme="minorHAnsi"/>
          <w:sz w:val="24"/>
          <w:szCs w:val="24"/>
        </w:rPr>
        <w:t xml:space="preserve">. </w:t>
      </w:r>
    </w:p>
    <w:p w14:paraId="7C992DB8" w14:textId="012A2FFF" w:rsidR="00F737F6" w:rsidRPr="00D30F88" w:rsidRDefault="00F737F6" w:rsidP="00D30F88">
      <w:pPr>
        <w:keepNext/>
        <w:keepLines/>
        <w:spacing w:after="40" w:line="240" w:lineRule="auto"/>
        <w:jc w:val="both"/>
        <w:rPr>
          <w:rFonts w:eastAsia="Calibri" w:cstheme="minorHAnsi"/>
          <w:b/>
          <w:bCs/>
          <w:sz w:val="24"/>
          <w:szCs w:val="24"/>
        </w:rPr>
      </w:pPr>
      <w:r w:rsidRPr="00D30F88">
        <w:rPr>
          <w:rFonts w:eastAsia="Calibri" w:cstheme="minorHAnsi"/>
          <w:b/>
          <w:bCs/>
          <w:sz w:val="24"/>
          <w:szCs w:val="24"/>
        </w:rPr>
        <w:t xml:space="preserve">Tabulka č. </w:t>
      </w:r>
      <w:r w:rsidR="002B6460" w:rsidRPr="00D30F88">
        <w:rPr>
          <w:rFonts w:eastAsia="Calibri" w:cstheme="minorHAnsi"/>
          <w:b/>
          <w:bCs/>
          <w:sz w:val="24"/>
          <w:szCs w:val="24"/>
        </w:rPr>
        <w:t>2</w:t>
      </w:r>
      <w:r w:rsidR="00BF022C" w:rsidRPr="00D30F88">
        <w:rPr>
          <w:rFonts w:eastAsia="Calibri" w:cstheme="minorHAnsi"/>
          <w:b/>
          <w:bCs/>
          <w:sz w:val="24"/>
          <w:szCs w:val="24"/>
        </w:rPr>
        <w:t>:</w:t>
      </w:r>
      <w:r w:rsidRPr="00D30F88">
        <w:rPr>
          <w:rFonts w:eastAsia="Calibri" w:cstheme="minorHAnsi"/>
          <w:b/>
          <w:bCs/>
          <w:sz w:val="24"/>
          <w:szCs w:val="24"/>
        </w:rPr>
        <w:t xml:space="preserve"> Počet plátců DPH a údaje z kontrolních hlášení</w:t>
      </w:r>
    </w:p>
    <w:tbl>
      <w:tblPr>
        <w:tblW w:w="9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32"/>
        <w:gridCol w:w="1871"/>
        <w:gridCol w:w="1871"/>
        <w:gridCol w:w="2009"/>
        <w:gridCol w:w="1997"/>
      </w:tblGrid>
      <w:tr w:rsidR="00BF022C" w:rsidRPr="00C47E97" w14:paraId="46015199" w14:textId="77777777" w:rsidTr="00D30F88">
        <w:trPr>
          <w:trHeight w:val="576"/>
        </w:trPr>
        <w:tc>
          <w:tcPr>
            <w:tcW w:w="1332" w:type="dxa"/>
            <w:shd w:val="clear" w:color="000000" w:fill="E5F1FF"/>
            <w:noWrap/>
            <w:vAlign w:val="center"/>
            <w:hideMark/>
          </w:tcPr>
          <w:p w14:paraId="1B7BEA7A" w14:textId="05EA3EDB" w:rsidR="00F737F6" w:rsidRPr="00C47E97" w:rsidRDefault="00210408" w:rsidP="00BF022C">
            <w:pPr>
              <w:keepNext/>
              <w:keepLines/>
              <w:spacing w:after="0" w:line="240" w:lineRule="auto"/>
              <w:jc w:val="center"/>
              <w:rPr>
                <w:rFonts w:eastAsia="Times New Roman" w:cstheme="minorHAnsi"/>
                <w:b/>
                <w:bCs/>
                <w:color w:val="000000"/>
                <w:sz w:val="20"/>
                <w:szCs w:val="20"/>
                <w:lang w:eastAsia="cs-CZ"/>
              </w:rPr>
            </w:pPr>
            <w:r>
              <w:rPr>
                <w:rFonts w:eastAsia="Times New Roman" w:cstheme="minorHAnsi"/>
                <w:b/>
                <w:bCs/>
                <w:color w:val="000000"/>
                <w:sz w:val="20"/>
                <w:szCs w:val="20"/>
                <w:lang w:eastAsia="cs-CZ"/>
              </w:rPr>
              <w:t>Rok</w:t>
            </w:r>
          </w:p>
        </w:tc>
        <w:tc>
          <w:tcPr>
            <w:tcW w:w="1871" w:type="dxa"/>
            <w:shd w:val="clear" w:color="000000" w:fill="E5F1FF"/>
            <w:vAlign w:val="center"/>
            <w:hideMark/>
          </w:tcPr>
          <w:p w14:paraId="7BDEFCE5" w14:textId="77777777" w:rsidR="00F737F6" w:rsidRPr="00C47E97" w:rsidRDefault="00F737F6" w:rsidP="00D30F88">
            <w:pPr>
              <w:keepNext/>
              <w:keepLines/>
              <w:spacing w:after="0" w:line="240" w:lineRule="auto"/>
              <w:jc w:val="center"/>
              <w:rPr>
                <w:rFonts w:eastAsia="Times New Roman" w:cstheme="minorHAnsi"/>
                <w:b/>
                <w:bCs/>
                <w:color w:val="000000"/>
                <w:sz w:val="20"/>
                <w:szCs w:val="20"/>
                <w:lang w:eastAsia="cs-CZ"/>
              </w:rPr>
            </w:pPr>
            <w:r w:rsidRPr="00C47E97">
              <w:rPr>
                <w:rFonts w:eastAsia="Times New Roman" w:cstheme="minorHAnsi"/>
                <w:b/>
                <w:bCs/>
                <w:color w:val="000000"/>
                <w:sz w:val="20"/>
                <w:szCs w:val="20"/>
                <w:lang w:eastAsia="cs-CZ"/>
              </w:rPr>
              <w:t>Počet plátců DPH</w:t>
            </w:r>
          </w:p>
        </w:tc>
        <w:tc>
          <w:tcPr>
            <w:tcW w:w="1871" w:type="dxa"/>
            <w:shd w:val="clear" w:color="000000" w:fill="E5F1FF"/>
            <w:vAlign w:val="center"/>
            <w:hideMark/>
          </w:tcPr>
          <w:p w14:paraId="3498CE56" w14:textId="77777777" w:rsidR="00F737F6" w:rsidRPr="00C47E97" w:rsidRDefault="00F737F6" w:rsidP="00D30F88">
            <w:pPr>
              <w:keepNext/>
              <w:keepLines/>
              <w:spacing w:after="0" w:line="240" w:lineRule="auto"/>
              <w:jc w:val="center"/>
              <w:rPr>
                <w:rFonts w:eastAsia="Times New Roman" w:cstheme="minorHAnsi"/>
                <w:b/>
                <w:bCs/>
                <w:color w:val="000000"/>
                <w:sz w:val="20"/>
                <w:szCs w:val="20"/>
                <w:lang w:eastAsia="cs-CZ"/>
              </w:rPr>
            </w:pPr>
            <w:r w:rsidRPr="00C47E97">
              <w:rPr>
                <w:rFonts w:eastAsia="Times New Roman" w:cstheme="minorHAnsi"/>
                <w:b/>
                <w:bCs/>
                <w:color w:val="000000"/>
                <w:sz w:val="20"/>
                <w:szCs w:val="20"/>
                <w:lang w:eastAsia="cs-CZ"/>
              </w:rPr>
              <w:t>Počet podaných KH celkem</w:t>
            </w:r>
          </w:p>
        </w:tc>
        <w:tc>
          <w:tcPr>
            <w:tcW w:w="2009" w:type="dxa"/>
            <w:shd w:val="clear" w:color="000000" w:fill="E5F1FF"/>
            <w:noWrap/>
            <w:vAlign w:val="center"/>
            <w:hideMark/>
          </w:tcPr>
          <w:p w14:paraId="65307781" w14:textId="77777777" w:rsidR="00F737F6" w:rsidRPr="00C47E97" w:rsidRDefault="00F737F6" w:rsidP="00D30F88">
            <w:pPr>
              <w:keepNext/>
              <w:keepLines/>
              <w:spacing w:after="0" w:line="240" w:lineRule="auto"/>
              <w:jc w:val="center"/>
              <w:rPr>
                <w:rFonts w:eastAsia="Times New Roman" w:cstheme="minorHAnsi"/>
                <w:b/>
                <w:bCs/>
                <w:color w:val="000000"/>
                <w:sz w:val="20"/>
                <w:szCs w:val="20"/>
                <w:lang w:eastAsia="cs-CZ"/>
              </w:rPr>
            </w:pPr>
            <w:r w:rsidRPr="00C47E97">
              <w:rPr>
                <w:rFonts w:eastAsia="Times New Roman" w:cstheme="minorHAnsi"/>
                <w:b/>
                <w:bCs/>
                <w:color w:val="000000"/>
                <w:sz w:val="20"/>
                <w:szCs w:val="20"/>
                <w:lang w:eastAsia="cs-CZ"/>
              </w:rPr>
              <w:t>Počet neshod mezi údaji vykázanými v KH</w:t>
            </w:r>
          </w:p>
        </w:tc>
        <w:tc>
          <w:tcPr>
            <w:tcW w:w="1997" w:type="dxa"/>
            <w:shd w:val="clear" w:color="000000" w:fill="E5F1FF"/>
            <w:vAlign w:val="center"/>
          </w:tcPr>
          <w:p w14:paraId="0F658DE5" w14:textId="3360BB16" w:rsidR="00F737F6" w:rsidRPr="00C47E97" w:rsidRDefault="00F737F6" w:rsidP="00D30F88">
            <w:pPr>
              <w:keepNext/>
              <w:keepLines/>
              <w:spacing w:after="0" w:line="240" w:lineRule="auto"/>
              <w:jc w:val="center"/>
              <w:rPr>
                <w:rFonts w:eastAsia="Times New Roman" w:cstheme="minorHAnsi"/>
                <w:b/>
                <w:bCs/>
                <w:color w:val="000000"/>
                <w:sz w:val="20"/>
                <w:szCs w:val="20"/>
                <w:lang w:eastAsia="cs-CZ"/>
              </w:rPr>
            </w:pPr>
            <w:r w:rsidRPr="00C47E97">
              <w:rPr>
                <w:rFonts w:eastAsia="Times New Roman" w:cstheme="minorHAnsi"/>
                <w:b/>
                <w:bCs/>
                <w:color w:val="000000"/>
                <w:sz w:val="20"/>
                <w:szCs w:val="20"/>
                <w:lang w:eastAsia="cs-CZ"/>
              </w:rPr>
              <w:t xml:space="preserve">Hodnota neshod v KH </w:t>
            </w:r>
            <w:r w:rsidR="00BF022C">
              <w:rPr>
                <w:rFonts w:eastAsia="Times New Roman" w:cstheme="minorHAnsi"/>
                <w:b/>
                <w:bCs/>
                <w:color w:val="000000"/>
                <w:sz w:val="20"/>
                <w:szCs w:val="20"/>
                <w:lang w:eastAsia="cs-CZ"/>
              </w:rPr>
              <w:t>(</w:t>
            </w:r>
            <w:r w:rsidRPr="00C47E97">
              <w:rPr>
                <w:rFonts w:eastAsia="Times New Roman" w:cstheme="minorHAnsi"/>
                <w:b/>
                <w:bCs/>
                <w:color w:val="000000"/>
                <w:sz w:val="20"/>
                <w:szCs w:val="20"/>
                <w:lang w:eastAsia="cs-CZ"/>
              </w:rPr>
              <w:t>v Kč</w:t>
            </w:r>
            <w:r w:rsidR="00BF022C">
              <w:rPr>
                <w:rFonts w:eastAsia="Times New Roman" w:cstheme="minorHAnsi"/>
                <w:b/>
                <w:bCs/>
                <w:color w:val="000000"/>
                <w:sz w:val="20"/>
                <w:szCs w:val="20"/>
                <w:lang w:eastAsia="cs-CZ"/>
              </w:rPr>
              <w:t>)</w:t>
            </w:r>
          </w:p>
        </w:tc>
      </w:tr>
      <w:tr w:rsidR="00BF022C" w:rsidRPr="00C47E97" w14:paraId="357686E7" w14:textId="77777777" w:rsidTr="00D30F88">
        <w:trPr>
          <w:trHeight w:val="225"/>
        </w:trPr>
        <w:tc>
          <w:tcPr>
            <w:tcW w:w="1332" w:type="dxa"/>
            <w:shd w:val="clear" w:color="auto" w:fill="auto"/>
            <w:noWrap/>
            <w:vAlign w:val="center"/>
            <w:hideMark/>
          </w:tcPr>
          <w:p w14:paraId="3BA43865" w14:textId="77777777" w:rsidR="00F737F6" w:rsidRPr="00C47E97" w:rsidRDefault="00F737F6" w:rsidP="00D30F88">
            <w:pPr>
              <w:keepNext/>
              <w:keepLines/>
              <w:spacing w:after="0" w:line="240" w:lineRule="auto"/>
              <w:rPr>
                <w:rFonts w:eastAsia="Times New Roman" w:cstheme="minorHAnsi"/>
                <w:color w:val="000000"/>
                <w:sz w:val="20"/>
                <w:szCs w:val="20"/>
                <w:lang w:eastAsia="cs-CZ"/>
              </w:rPr>
            </w:pPr>
            <w:r w:rsidRPr="00C47E97">
              <w:rPr>
                <w:rFonts w:eastAsia="Times New Roman" w:cstheme="minorHAnsi"/>
                <w:color w:val="000000"/>
                <w:sz w:val="20"/>
                <w:szCs w:val="20"/>
                <w:lang w:eastAsia="cs-CZ"/>
              </w:rPr>
              <w:t>2017</w:t>
            </w:r>
          </w:p>
        </w:tc>
        <w:tc>
          <w:tcPr>
            <w:tcW w:w="1871" w:type="dxa"/>
            <w:shd w:val="clear" w:color="000000" w:fill="FFFFFF"/>
            <w:vAlign w:val="center"/>
            <w:hideMark/>
          </w:tcPr>
          <w:p w14:paraId="26143E0E" w14:textId="77777777" w:rsidR="00F737F6" w:rsidRPr="00C47E97" w:rsidRDefault="00F737F6" w:rsidP="002B6460">
            <w:pPr>
              <w:keepNext/>
              <w:keepLines/>
              <w:spacing w:after="0" w:line="240" w:lineRule="auto"/>
              <w:jc w:val="right"/>
              <w:rPr>
                <w:rFonts w:eastAsia="Times New Roman" w:cstheme="minorHAnsi"/>
                <w:color w:val="000000"/>
                <w:sz w:val="20"/>
                <w:szCs w:val="20"/>
                <w:lang w:eastAsia="cs-CZ"/>
              </w:rPr>
            </w:pPr>
            <w:r w:rsidRPr="00C47E97">
              <w:rPr>
                <w:rFonts w:eastAsia="Times New Roman" w:cstheme="minorHAnsi"/>
                <w:color w:val="000000"/>
                <w:sz w:val="20"/>
                <w:szCs w:val="20"/>
                <w:lang w:eastAsia="cs-CZ"/>
              </w:rPr>
              <w:t>509 881</w:t>
            </w:r>
          </w:p>
        </w:tc>
        <w:tc>
          <w:tcPr>
            <w:tcW w:w="1871" w:type="dxa"/>
            <w:shd w:val="clear" w:color="000000" w:fill="FFFFFF"/>
            <w:vAlign w:val="center"/>
            <w:hideMark/>
          </w:tcPr>
          <w:p w14:paraId="719D5DE0" w14:textId="77777777" w:rsidR="00F737F6" w:rsidRPr="00C47E97" w:rsidRDefault="00F737F6" w:rsidP="002B6460">
            <w:pPr>
              <w:keepNext/>
              <w:keepLines/>
              <w:spacing w:after="0" w:line="240" w:lineRule="auto"/>
              <w:jc w:val="right"/>
              <w:rPr>
                <w:rFonts w:eastAsia="Times New Roman" w:cstheme="minorHAnsi"/>
                <w:color w:val="000000"/>
                <w:sz w:val="20"/>
                <w:szCs w:val="20"/>
                <w:lang w:eastAsia="cs-CZ"/>
              </w:rPr>
            </w:pPr>
            <w:r w:rsidRPr="00C47E97">
              <w:rPr>
                <w:rFonts w:eastAsia="Times New Roman" w:cstheme="minorHAnsi"/>
                <w:color w:val="000000"/>
                <w:sz w:val="20"/>
                <w:szCs w:val="20"/>
                <w:lang w:eastAsia="cs-CZ"/>
              </w:rPr>
              <w:t>4 515 850</w:t>
            </w:r>
          </w:p>
        </w:tc>
        <w:tc>
          <w:tcPr>
            <w:tcW w:w="2009" w:type="dxa"/>
            <w:shd w:val="clear" w:color="auto" w:fill="auto"/>
            <w:noWrap/>
            <w:vAlign w:val="center"/>
            <w:hideMark/>
          </w:tcPr>
          <w:p w14:paraId="3D273C75" w14:textId="77777777" w:rsidR="00F737F6" w:rsidRPr="00C47E97" w:rsidRDefault="00F737F6" w:rsidP="002B6460">
            <w:pPr>
              <w:keepNext/>
              <w:keepLines/>
              <w:spacing w:after="0" w:line="240" w:lineRule="auto"/>
              <w:jc w:val="right"/>
              <w:rPr>
                <w:rFonts w:eastAsia="Times New Roman" w:cstheme="minorHAnsi"/>
                <w:color w:val="000000"/>
                <w:sz w:val="20"/>
                <w:szCs w:val="20"/>
                <w:lang w:eastAsia="cs-CZ"/>
              </w:rPr>
            </w:pPr>
            <w:r w:rsidRPr="00C47E97">
              <w:rPr>
                <w:rFonts w:eastAsia="Times New Roman" w:cstheme="minorHAnsi"/>
                <w:color w:val="000000"/>
                <w:sz w:val="20"/>
                <w:szCs w:val="20"/>
                <w:lang w:eastAsia="cs-CZ"/>
              </w:rPr>
              <w:t>2 048 718</w:t>
            </w:r>
          </w:p>
        </w:tc>
        <w:tc>
          <w:tcPr>
            <w:tcW w:w="1997" w:type="dxa"/>
          </w:tcPr>
          <w:p w14:paraId="25472581" w14:textId="77777777" w:rsidR="00F737F6" w:rsidRPr="00C47E97" w:rsidRDefault="00F737F6" w:rsidP="002B6460">
            <w:pPr>
              <w:keepNext/>
              <w:keepLines/>
              <w:spacing w:after="0" w:line="240" w:lineRule="auto"/>
              <w:jc w:val="right"/>
              <w:rPr>
                <w:rFonts w:eastAsia="Times New Roman" w:cstheme="minorHAnsi"/>
                <w:sz w:val="20"/>
                <w:szCs w:val="20"/>
                <w:lang w:eastAsia="cs-CZ"/>
              </w:rPr>
            </w:pPr>
            <w:r w:rsidRPr="00C47E97">
              <w:rPr>
                <w:rFonts w:eastAsia="Times New Roman" w:cstheme="minorHAnsi"/>
                <w:sz w:val="20"/>
                <w:szCs w:val="20"/>
                <w:lang w:eastAsia="cs-CZ"/>
              </w:rPr>
              <w:t>101 164 935 175</w:t>
            </w:r>
          </w:p>
        </w:tc>
      </w:tr>
      <w:tr w:rsidR="00BF022C" w:rsidRPr="00C47E97" w14:paraId="7920D796" w14:textId="77777777" w:rsidTr="00D30F88">
        <w:trPr>
          <w:trHeight w:val="225"/>
        </w:trPr>
        <w:tc>
          <w:tcPr>
            <w:tcW w:w="1332" w:type="dxa"/>
            <w:shd w:val="clear" w:color="auto" w:fill="auto"/>
            <w:noWrap/>
            <w:vAlign w:val="center"/>
            <w:hideMark/>
          </w:tcPr>
          <w:p w14:paraId="1F2218DF" w14:textId="77777777" w:rsidR="00F737F6" w:rsidRPr="00C47E97" w:rsidRDefault="00F737F6" w:rsidP="00D30F88">
            <w:pPr>
              <w:keepNext/>
              <w:keepLines/>
              <w:spacing w:after="0" w:line="240" w:lineRule="auto"/>
              <w:rPr>
                <w:rFonts w:eastAsia="Times New Roman" w:cstheme="minorHAnsi"/>
                <w:color w:val="000000"/>
                <w:sz w:val="20"/>
                <w:szCs w:val="20"/>
                <w:lang w:eastAsia="cs-CZ"/>
              </w:rPr>
            </w:pPr>
            <w:r w:rsidRPr="00C47E97">
              <w:rPr>
                <w:rFonts w:eastAsia="Times New Roman" w:cstheme="minorHAnsi"/>
                <w:color w:val="000000"/>
                <w:sz w:val="20"/>
                <w:szCs w:val="20"/>
                <w:lang w:eastAsia="cs-CZ"/>
              </w:rPr>
              <w:t>2018</w:t>
            </w:r>
          </w:p>
        </w:tc>
        <w:tc>
          <w:tcPr>
            <w:tcW w:w="1871" w:type="dxa"/>
            <w:shd w:val="clear" w:color="000000" w:fill="FFFFFF"/>
            <w:vAlign w:val="center"/>
            <w:hideMark/>
          </w:tcPr>
          <w:p w14:paraId="7A20EB64" w14:textId="77777777" w:rsidR="00F737F6" w:rsidRPr="00C47E97" w:rsidRDefault="00F737F6" w:rsidP="002B6460">
            <w:pPr>
              <w:keepNext/>
              <w:keepLines/>
              <w:spacing w:after="0" w:line="240" w:lineRule="auto"/>
              <w:jc w:val="right"/>
              <w:rPr>
                <w:rFonts w:eastAsia="Times New Roman" w:cstheme="minorHAnsi"/>
                <w:color w:val="000000"/>
                <w:sz w:val="20"/>
                <w:szCs w:val="20"/>
                <w:lang w:eastAsia="cs-CZ"/>
              </w:rPr>
            </w:pPr>
            <w:r w:rsidRPr="00C47E97">
              <w:rPr>
                <w:rFonts w:eastAsia="Times New Roman" w:cstheme="minorHAnsi"/>
                <w:color w:val="000000"/>
                <w:sz w:val="20"/>
                <w:szCs w:val="20"/>
                <w:lang w:eastAsia="cs-CZ"/>
              </w:rPr>
              <w:t>518 759</w:t>
            </w:r>
          </w:p>
        </w:tc>
        <w:tc>
          <w:tcPr>
            <w:tcW w:w="1871" w:type="dxa"/>
            <w:shd w:val="clear" w:color="000000" w:fill="FFFFFF"/>
            <w:vAlign w:val="center"/>
            <w:hideMark/>
          </w:tcPr>
          <w:p w14:paraId="5BF34700" w14:textId="77777777" w:rsidR="00F737F6" w:rsidRPr="00C47E97" w:rsidRDefault="00F737F6" w:rsidP="002B6460">
            <w:pPr>
              <w:keepNext/>
              <w:keepLines/>
              <w:spacing w:after="0" w:line="240" w:lineRule="auto"/>
              <w:jc w:val="right"/>
              <w:rPr>
                <w:rFonts w:eastAsia="Times New Roman" w:cstheme="minorHAnsi"/>
                <w:color w:val="000000"/>
                <w:sz w:val="20"/>
                <w:szCs w:val="20"/>
                <w:lang w:eastAsia="cs-CZ"/>
              </w:rPr>
            </w:pPr>
            <w:r w:rsidRPr="00C47E97">
              <w:rPr>
                <w:rFonts w:eastAsia="Times New Roman" w:cstheme="minorHAnsi"/>
                <w:color w:val="000000"/>
                <w:sz w:val="20"/>
                <w:szCs w:val="20"/>
                <w:lang w:eastAsia="cs-CZ"/>
              </w:rPr>
              <w:t>4 751 542</w:t>
            </w:r>
          </w:p>
        </w:tc>
        <w:tc>
          <w:tcPr>
            <w:tcW w:w="2009" w:type="dxa"/>
            <w:shd w:val="clear" w:color="auto" w:fill="auto"/>
            <w:noWrap/>
            <w:vAlign w:val="center"/>
            <w:hideMark/>
          </w:tcPr>
          <w:p w14:paraId="1EF7A597" w14:textId="77777777" w:rsidR="00F737F6" w:rsidRPr="00C47E97" w:rsidRDefault="00F737F6" w:rsidP="002B6460">
            <w:pPr>
              <w:keepNext/>
              <w:keepLines/>
              <w:spacing w:after="0" w:line="240" w:lineRule="auto"/>
              <w:jc w:val="right"/>
              <w:rPr>
                <w:rFonts w:eastAsia="Times New Roman" w:cstheme="minorHAnsi"/>
                <w:color w:val="000000"/>
                <w:sz w:val="20"/>
                <w:szCs w:val="20"/>
                <w:lang w:eastAsia="cs-CZ"/>
              </w:rPr>
            </w:pPr>
            <w:r w:rsidRPr="00C47E97">
              <w:rPr>
                <w:rFonts w:eastAsia="Times New Roman" w:cstheme="minorHAnsi"/>
                <w:color w:val="000000"/>
                <w:sz w:val="20"/>
                <w:szCs w:val="20"/>
                <w:lang w:eastAsia="cs-CZ"/>
              </w:rPr>
              <w:t>2 042 119</w:t>
            </w:r>
          </w:p>
        </w:tc>
        <w:tc>
          <w:tcPr>
            <w:tcW w:w="1997" w:type="dxa"/>
          </w:tcPr>
          <w:p w14:paraId="1D985C7D" w14:textId="77777777" w:rsidR="00F737F6" w:rsidRPr="00C47E97" w:rsidRDefault="00F737F6" w:rsidP="002B6460">
            <w:pPr>
              <w:keepNext/>
              <w:keepLines/>
              <w:spacing w:after="0" w:line="240" w:lineRule="auto"/>
              <w:jc w:val="right"/>
              <w:rPr>
                <w:rFonts w:eastAsia="Times New Roman" w:cstheme="minorHAnsi"/>
                <w:sz w:val="20"/>
                <w:szCs w:val="20"/>
                <w:lang w:eastAsia="cs-CZ"/>
              </w:rPr>
            </w:pPr>
            <w:r w:rsidRPr="00C47E97">
              <w:rPr>
                <w:rFonts w:eastAsia="Times New Roman" w:cstheme="minorHAnsi"/>
                <w:sz w:val="20"/>
                <w:szCs w:val="20"/>
                <w:lang w:eastAsia="cs-CZ"/>
              </w:rPr>
              <w:t>110 467 938 418</w:t>
            </w:r>
          </w:p>
        </w:tc>
      </w:tr>
      <w:tr w:rsidR="00BF022C" w:rsidRPr="00C47E97" w14:paraId="25133A73" w14:textId="77777777" w:rsidTr="00D30F88">
        <w:trPr>
          <w:trHeight w:val="225"/>
        </w:trPr>
        <w:tc>
          <w:tcPr>
            <w:tcW w:w="1332" w:type="dxa"/>
            <w:shd w:val="clear" w:color="auto" w:fill="auto"/>
            <w:noWrap/>
            <w:vAlign w:val="center"/>
            <w:hideMark/>
          </w:tcPr>
          <w:p w14:paraId="7BFB8DD3" w14:textId="77777777" w:rsidR="00F737F6" w:rsidRPr="00C47E97" w:rsidRDefault="00F737F6" w:rsidP="00D30F88">
            <w:pPr>
              <w:keepNext/>
              <w:keepLines/>
              <w:spacing w:after="0" w:line="240" w:lineRule="auto"/>
              <w:rPr>
                <w:rFonts w:eastAsia="Times New Roman" w:cstheme="minorHAnsi"/>
                <w:color w:val="000000"/>
                <w:sz w:val="20"/>
                <w:szCs w:val="20"/>
                <w:lang w:eastAsia="cs-CZ"/>
              </w:rPr>
            </w:pPr>
            <w:r w:rsidRPr="00C47E97">
              <w:rPr>
                <w:rFonts w:eastAsia="Times New Roman" w:cstheme="minorHAnsi"/>
                <w:color w:val="000000"/>
                <w:sz w:val="20"/>
                <w:szCs w:val="20"/>
                <w:lang w:eastAsia="cs-CZ"/>
              </w:rPr>
              <w:t>2019</w:t>
            </w:r>
          </w:p>
        </w:tc>
        <w:tc>
          <w:tcPr>
            <w:tcW w:w="1871" w:type="dxa"/>
            <w:shd w:val="clear" w:color="000000" w:fill="FFFFFF"/>
            <w:vAlign w:val="center"/>
            <w:hideMark/>
          </w:tcPr>
          <w:p w14:paraId="7C7CCD10" w14:textId="77777777" w:rsidR="00F737F6" w:rsidRPr="00C47E97" w:rsidRDefault="00F737F6" w:rsidP="002B6460">
            <w:pPr>
              <w:keepNext/>
              <w:keepLines/>
              <w:spacing w:after="0" w:line="240" w:lineRule="auto"/>
              <w:jc w:val="right"/>
              <w:rPr>
                <w:rFonts w:eastAsia="Times New Roman" w:cstheme="minorHAnsi"/>
                <w:color w:val="000000"/>
                <w:sz w:val="20"/>
                <w:szCs w:val="20"/>
                <w:lang w:eastAsia="cs-CZ"/>
              </w:rPr>
            </w:pPr>
            <w:r w:rsidRPr="00C47E97">
              <w:rPr>
                <w:rFonts w:eastAsia="Times New Roman" w:cstheme="minorHAnsi"/>
                <w:color w:val="000000"/>
                <w:sz w:val="20"/>
                <w:szCs w:val="20"/>
                <w:lang w:eastAsia="cs-CZ"/>
              </w:rPr>
              <w:t>526 979</w:t>
            </w:r>
          </w:p>
        </w:tc>
        <w:tc>
          <w:tcPr>
            <w:tcW w:w="1871" w:type="dxa"/>
            <w:shd w:val="clear" w:color="000000" w:fill="FFFFFF"/>
            <w:vAlign w:val="center"/>
            <w:hideMark/>
          </w:tcPr>
          <w:p w14:paraId="5AD3D0ED" w14:textId="77777777" w:rsidR="00F737F6" w:rsidRPr="00C47E97" w:rsidRDefault="00F737F6" w:rsidP="002B6460">
            <w:pPr>
              <w:keepNext/>
              <w:keepLines/>
              <w:spacing w:after="0" w:line="240" w:lineRule="auto"/>
              <w:jc w:val="right"/>
              <w:rPr>
                <w:rFonts w:eastAsia="Times New Roman" w:cstheme="minorHAnsi"/>
                <w:color w:val="000000"/>
                <w:sz w:val="20"/>
                <w:szCs w:val="20"/>
                <w:lang w:eastAsia="cs-CZ"/>
              </w:rPr>
            </w:pPr>
            <w:r w:rsidRPr="00C47E97">
              <w:rPr>
                <w:rFonts w:eastAsia="Times New Roman" w:cstheme="minorHAnsi"/>
                <w:color w:val="000000"/>
                <w:sz w:val="20"/>
                <w:szCs w:val="20"/>
                <w:lang w:eastAsia="cs-CZ"/>
              </w:rPr>
              <w:t>4 967 586</w:t>
            </w:r>
          </w:p>
        </w:tc>
        <w:tc>
          <w:tcPr>
            <w:tcW w:w="2009" w:type="dxa"/>
            <w:shd w:val="clear" w:color="auto" w:fill="auto"/>
            <w:noWrap/>
            <w:vAlign w:val="center"/>
            <w:hideMark/>
          </w:tcPr>
          <w:p w14:paraId="0B030684" w14:textId="77777777" w:rsidR="00F737F6" w:rsidRPr="00C47E97" w:rsidRDefault="00F737F6" w:rsidP="002B6460">
            <w:pPr>
              <w:keepNext/>
              <w:keepLines/>
              <w:spacing w:after="0" w:line="240" w:lineRule="auto"/>
              <w:jc w:val="right"/>
              <w:rPr>
                <w:rFonts w:eastAsia="Times New Roman" w:cstheme="minorHAnsi"/>
                <w:color w:val="000000"/>
                <w:sz w:val="20"/>
                <w:szCs w:val="20"/>
                <w:lang w:eastAsia="cs-CZ"/>
              </w:rPr>
            </w:pPr>
            <w:r w:rsidRPr="00C47E97">
              <w:rPr>
                <w:rFonts w:eastAsia="Times New Roman" w:cstheme="minorHAnsi"/>
                <w:color w:val="000000"/>
                <w:sz w:val="20"/>
                <w:szCs w:val="20"/>
                <w:lang w:eastAsia="cs-CZ"/>
              </w:rPr>
              <w:t>1 955 481</w:t>
            </w:r>
          </w:p>
        </w:tc>
        <w:tc>
          <w:tcPr>
            <w:tcW w:w="1997" w:type="dxa"/>
          </w:tcPr>
          <w:p w14:paraId="0E1DB772" w14:textId="77777777" w:rsidR="00F737F6" w:rsidRPr="00C47E97" w:rsidRDefault="00F737F6" w:rsidP="002B6460">
            <w:pPr>
              <w:keepNext/>
              <w:keepLines/>
              <w:spacing w:after="0" w:line="240" w:lineRule="auto"/>
              <w:jc w:val="right"/>
              <w:rPr>
                <w:rFonts w:eastAsia="Times New Roman" w:cstheme="minorHAnsi"/>
                <w:sz w:val="20"/>
                <w:szCs w:val="20"/>
                <w:lang w:eastAsia="cs-CZ"/>
              </w:rPr>
            </w:pPr>
            <w:r w:rsidRPr="00C47E97">
              <w:rPr>
                <w:rFonts w:eastAsia="Times New Roman" w:cstheme="minorHAnsi"/>
                <w:sz w:val="20"/>
                <w:szCs w:val="20"/>
                <w:lang w:eastAsia="cs-CZ"/>
              </w:rPr>
              <w:t>95 806 310 534</w:t>
            </w:r>
          </w:p>
        </w:tc>
      </w:tr>
      <w:tr w:rsidR="00BF022C" w:rsidRPr="00C47E97" w14:paraId="44AE1025" w14:textId="77777777" w:rsidTr="00D30F88">
        <w:trPr>
          <w:trHeight w:val="225"/>
        </w:trPr>
        <w:tc>
          <w:tcPr>
            <w:tcW w:w="1332" w:type="dxa"/>
            <w:shd w:val="clear" w:color="auto" w:fill="auto"/>
            <w:noWrap/>
            <w:vAlign w:val="center"/>
            <w:hideMark/>
          </w:tcPr>
          <w:p w14:paraId="6DB623CB" w14:textId="77777777" w:rsidR="00F737F6" w:rsidRPr="00C47E97" w:rsidRDefault="00F737F6" w:rsidP="00D30F88">
            <w:pPr>
              <w:keepNext/>
              <w:keepLines/>
              <w:spacing w:after="0" w:line="240" w:lineRule="auto"/>
              <w:rPr>
                <w:rFonts w:eastAsia="Times New Roman" w:cstheme="minorHAnsi"/>
                <w:color w:val="000000"/>
                <w:sz w:val="20"/>
                <w:szCs w:val="20"/>
                <w:lang w:eastAsia="cs-CZ"/>
              </w:rPr>
            </w:pPr>
            <w:r w:rsidRPr="00C47E97">
              <w:rPr>
                <w:rFonts w:eastAsia="Times New Roman" w:cstheme="minorHAnsi"/>
                <w:color w:val="000000"/>
                <w:sz w:val="20"/>
                <w:szCs w:val="20"/>
                <w:lang w:eastAsia="cs-CZ"/>
              </w:rPr>
              <w:t>2020</w:t>
            </w:r>
          </w:p>
        </w:tc>
        <w:tc>
          <w:tcPr>
            <w:tcW w:w="1871" w:type="dxa"/>
            <w:shd w:val="clear" w:color="000000" w:fill="FFFFFF"/>
            <w:vAlign w:val="center"/>
            <w:hideMark/>
          </w:tcPr>
          <w:p w14:paraId="7F8810AA" w14:textId="77777777" w:rsidR="00F737F6" w:rsidRPr="00C47E97" w:rsidRDefault="00F737F6" w:rsidP="002B6460">
            <w:pPr>
              <w:keepNext/>
              <w:keepLines/>
              <w:spacing w:after="0" w:line="240" w:lineRule="auto"/>
              <w:jc w:val="right"/>
              <w:rPr>
                <w:rFonts w:eastAsia="Times New Roman" w:cstheme="minorHAnsi"/>
                <w:color w:val="000000"/>
                <w:sz w:val="20"/>
                <w:szCs w:val="20"/>
                <w:lang w:eastAsia="cs-CZ"/>
              </w:rPr>
            </w:pPr>
            <w:r w:rsidRPr="00C47E97">
              <w:rPr>
                <w:rFonts w:eastAsia="Times New Roman" w:cstheme="minorHAnsi"/>
                <w:color w:val="000000"/>
                <w:sz w:val="20"/>
                <w:szCs w:val="20"/>
                <w:lang w:eastAsia="cs-CZ"/>
              </w:rPr>
              <w:t>540 235</w:t>
            </w:r>
          </w:p>
        </w:tc>
        <w:tc>
          <w:tcPr>
            <w:tcW w:w="1871" w:type="dxa"/>
            <w:shd w:val="clear" w:color="000000" w:fill="FFFFFF"/>
            <w:vAlign w:val="center"/>
            <w:hideMark/>
          </w:tcPr>
          <w:p w14:paraId="21F43595" w14:textId="77777777" w:rsidR="00F737F6" w:rsidRPr="00C47E97" w:rsidRDefault="00F737F6" w:rsidP="002B6460">
            <w:pPr>
              <w:keepNext/>
              <w:keepLines/>
              <w:spacing w:after="0" w:line="240" w:lineRule="auto"/>
              <w:jc w:val="right"/>
              <w:rPr>
                <w:rFonts w:eastAsia="Times New Roman" w:cstheme="minorHAnsi"/>
                <w:color w:val="000000"/>
                <w:sz w:val="20"/>
                <w:szCs w:val="20"/>
                <w:lang w:eastAsia="cs-CZ"/>
              </w:rPr>
            </w:pPr>
            <w:r w:rsidRPr="00C47E97">
              <w:rPr>
                <w:rFonts w:eastAsia="Times New Roman" w:cstheme="minorHAnsi"/>
                <w:color w:val="000000"/>
                <w:sz w:val="20"/>
                <w:szCs w:val="20"/>
                <w:lang w:eastAsia="cs-CZ"/>
              </w:rPr>
              <w:t>5 071 111</w:t>
            </w:r>
          </w:p>
        </w:tc>
        <w:tc>
          <w:tcPr>
            <w:tcW w:w="2009" w:type="dxa"/>
            <w:shd w:val="clear" w:color="auto" w:fill="auto"/>
            <w:noWrap/>
            <w:vAlign w:val="center"/>
            <w:hideMark/>
          </w:tcPr>
          <w:p w14:paraId="30B8574B" w14:textId="77777777" w:rsidR="00F737F6" w:rsidRPr="00C47E97" w:rsidRDefault="00F737F6" w:rsidP="002B6460">
            <w:pPr>
              <w:keepNext/>
              <w:keepLines/>
              <w:spacing w:after="0" w:line="240" w:lineRule="auto"/>
              <w:jc w:val="right"/>
              <w:rPr>
                <w:rFonts w:eastAsia="Times New Roman" w:cstheme="minorHAnsi"/>
                <w:color w:val="000000"/>
                <w:sz w:val="20"/>
                <w:szCs w:val="20"/>
                <w:lang w:eastAsia="cs-CZ"/>
              </w:rPr>
            </w:pPr>
            <w:r w:rsidRPr="00C47E97">
              <w:rPr>
                <w:rFonts w:eastAsia="Times New Roman" w:cstheme="minorHAnsi"/>
                <w:color w:val="000000"/>
                <w:sz w:val="20"/>
                <w:szCs w:val="20"/>
                <w:lang w:eastAsia="cs-CZ"/>
              </w:rPr>
              <w:t>1 010 070</w:t>
            </w:r>
          </w:p>
        </w:tc>
        <w:tc>
          <w:tcPr>
            <w:tcW w:w="1997" w:type="dxa"/>
          </w:tcPr>
          <w:p w14:paraId="2AF99AA2" w14:textId="77777777" w:rsidR="00F737F6" w:rsidRPr="00C47E97" w:rsidRDefault="00F737F6" w:rsidP="002B6460">
            <w:pPr>
              <w:keepNext/>
              <w:keepLines/>
              <w:spacing w:after="0" w:line="240" w:lineRule="auto"/>
              <w:jc w:val="right"/>
              <w:rPr>
                <w:rFonts w:eastAsia="Times New Roman" w:cstheme="minorHAnsi"/>
                <w:sz w:val="20"/>
                <w:szCs w:val="20"/>
                <w:lang w:eastAsia="cs-CZ"/>
              </w:rPr>
            </w:pPr>
            <w:r w:rsidRPr="00C47E97">
              <w:rPr>
                <w:rFonts w:eastAsia="Times New Roman" w:cstheme="minorHAnsi"/>
                <w:sz w:val="20"/>
                <w:szCs w:val="20"/>
                <w:lang w:eastAsia="cs-CZ"/>
              </w:rPr>
              <w:t>49 455 788 421</w:t>
            </w:r>
          </w:p>
        </w:tc>
      </w:tr>
      <w:tr w:rsidR="00BF022C" w:rsidRPr="00C47E97" w14:paraId="39390627" w14:textId="77777777" w:rsidTr="00D30F88">
        <w:trPr>
          <w:trHeight w:val="225"/>
        </w:trPr>
        <w:tc>
          <w:tcPr>
            <w:tcW w:w="1332" w:type="dxa"/>
            <w:shd w:val="clear" w:color="auto" w:fill="auto"/>
            <w:noWrap/>
            <w:vAlign w:val="center"/>
            <w:hideMark/>
          </w:tcPr>
          <w:p w14:paraId="64AE265E" w14:textId="77777777" w:rsidR="00F737F6" w:rsidRPr="00C47E97" w:rsidRDefault="00F737F6" w:rsidP="00D30F88">
            <w:pPr>
              <w:keepNext/>
              <w:keepLines/>
              <w:spacing w:after="0" w:line="240" w:lineRule="auto"/>
              <w:rPr>
                <w:rFonts w:eastAsia="Times New Roman" w:cstheme="minorHAnsi"/>
                <w:color w:val="000000"/>
                <w:sz w:val="20"/>
                <w:szCs w:val="20"/>
                <w:lang w:eastAsia="cs-CZ"/>
              </w:rPr>
            </w:pPr>
            <w:r w:rsidRPr="00C47E97">
              <w:rPr>
                <w:rFonts w:eastAsia="Times New Roman" w:cstheme="minorHAnsi"/>
                <w:color w:val="000000"/>
                <w:sz w:val="20"/>
                <w:szCs w:val="20"/>
                <w:lang w:eastAsia="cs-CZ"/>
              </w:rPr>
              <w:t>2021</w:t>
            </w:r>
          </w:p>
        </w:tc>
        <w:tc>
          <w:tcPr>
            <w:tcW w:w="1871" w:type="dxa"/>
            <w:shd w:val="clear" w:color="000000" w:fill="FFFFFF"/>
            <w:vAlign w:val="center"/>
            <w:hideMark/>
          </w:tcPr>
          <w:p w14:paraId="0802D691" w14:textId="77777777" w:rsidR="00F737F6" w:rsidRPr="00C47E97" w:rsidRDefault="00F737F6" w:rsidP="002B6460">
            <w:pPr>
              <w:keepNext/>
              <w:keepLines/>
              <w:spacing w:after="0" w:line="240" w:lineRule="auto"/>
              <w:jc w:val="right"/>
              <w:rPr>
                <w:rFonts w:eastAsia="Times New Roman" w:cstheme="minorHAnsi"/>
                <w:color w:val="000000"/>
                <w:sz w:val="20"/>
                <w:szCs w:val="20"/>
                <w:lang w:eastAsia="cs-CZ"/>
              </w:rPr>
            </w:pPr>
            <w:r w:rsidRPr="00C47E97">
              <w:rPr>
                <w:rFonts w:eastAsia="Times New Roman" w:cstheme="minorHAnsi"/>
                <w:color w:val="000000"/>
                <w:sz w:val="20"/>
                <w:szCs w:val="20"/>
                <w:lang w:eastAsia="cs-CZ"/>
              </w:rPr>
              <w:t>559 283</w:t>
            </w:r>
          </w:p>
        </w:tc>
        <w:tc>
          <w:tcPr>
            <w:tcW w:w="1871" w:type="dxa"/>
            <w:shd w:val="clear" w:color="000000" w:fill="FFFFFF"/>
            <w:vAlign w:val="center"/>
            <w:hideMark/>
          </w:tcPr>
          <w:p w14:paraId="6FEE3A29" w14:textId="77777777" w:rsidR="00F737F6" w:rsidRPr="00C47E97" w:rsidRDefault="00F737F6" w:rsidP="002B6460">
            <w:pPr>
              <w:keepNext/>
              <w:keepLines/>
              <w:spacing w:after="0" w:line="240" w:lineRule="auto"/>
              <w:jc w:val="right"/>
              <w:rPr>
                <w:rFonts w:eastAsia="Times New Roman" w:cstheme="minorHAnsi"/>
                <w:color w:val="000000"/>
                <w:sz w:val="20"/>
                <w:szCs w:val="20"/>
                <w:lang w:eastAsia="cs-CZ"/>
              </w:rPr>
            </w:pPr>
            <w:r w:rsidRPr="00C47E97">
              <w:rPr>
                <w:rFonts w:eastAsia="Times New Roman" w:cstheme="minorHAnsi"/>
                <w:color w:val="000000"/>
                <w:sz w:val="20"/>
                <w:szCs w:val="20"/>
                <w:lang w:eastAsia="cs-CZ"/>
              </w:rPr>
              <w:t>5 283 019</w:t>
            </w:r>
          </w:p>
        </w:tc>
        <w:tc>
          <w:tcPr>
            <w:tcW w:w="2009" w:type="dxa"/>
            <w:shd w:val="clear" w:color="auto" w:fill="auto"/>
            <w:noWrap/>
            <w:vAlign w:val="center"/>
            <w:hideMark/>
          </w:tcPr>
          <w:p w14:paraId="213A2DA8" w14:textId="77777777" w:rsidR="00F737F6" w:rsidRPr="00C47E97" w:rsidRDefault="00F737F6" w:rsidP="002B6460">
            <w:pPr>
              <w:keepNext/>
              <w:keepLines/>
              <w:spacing w:after="0" w:line="240" w:lineRule="auto"/>
              <w:jc w:val="right"/>
              <w:rPr>
                <w:rFonts w:eastAsia="Times New Roman" w:cstheme="minorHAnsi"/>
                <w:color w:val="000000"/>
                <w:sz w:val="20"/>
                <w:szCs w:val="20"/>
                <w:lang w:eastAsia="cs-CZ"/>
              </w:rPr>
            </w:pPr>
            <w:r w:rsidRPr="00C47E97">
              <w:rPr>
                <w:rFonts w:eastAsia="Times New Roman" w:cstheme="minorHAnsi"/>
                <w:color w:val="000000"/>
                <w:sz w:val="20"/>
                <w:szCs w:val="20"/>
                <w:lang w:eastAsia="cs-CZ"/>
              </w:rPr>
              <w:t>1 469 901</w:t>
            </w:r>
          </w:p>
        </w:tc>
        <w:tc>
          <w:tcPr>
            <w:tcW w:w="1997" w:type="dxa"/>
          </w:tcPr>
          <w:p w14:paraId="4FF65C20" w14:textId="77777777" w:rsidR="00F737F6" w:rsidRPr="00C47E97" w:rsidRDefault="00F737F6" w:rsidP="002B6460">
            <w:pPr>
              <w:keepNext/>
              <w:keepLines/>
              <w:spacing w:after="0" w:line="240" w:lineRule="auto"/>
              <w:jc w:val="right"/>
              <w:rPr>
                <w:rFonts w:eastAsia="Times New Roman" w:cstheme="minorHAnsi"/>
                <w:sz w:val="20"/>
                <w:szCs w:val="20"/>
                <w:lang w:eastAsia="cs-CZ"/>
              </w:rPr>
            </w:pPr>
            <w:r w:rsidRPr="00C47E97">
              <w:rPr>
                <w:rFonts w:eastAsia="Times New Roman" w:cstheme="minorHAnsi"/>
                <w:sz w:val="20"/>
                <w:szCs w:val="20"/>
                <w:lang w:eastAsia="cs-CZ"/>
              </w:rPr>
              <w:t>67 076 055 412</w:t>
            </w:r>
          </w:p>
        </w:tc>
      </w:tr>
      <w:tr w:rsidR="00BF022C" w:rsidRPr="00C47E97" w14:paraId="6E2C159E" w14:textId="77777777" w:rsidTr="00D30F88">
        <w:trPr>
          <w:trHeight w:val="225"/>
        </w:trPr>
        <w:tc>
          <w:tcPr>
            <w:tcW w:w="1332" w:type="dxa"/>
            <w:shd w:val="clear" w:color="auto" w:fill="auto"/>
            <w:noWrap/>
            <w:vAlign w:val="center"/>
            <w:hideMark/>
          </w:tcPr>
          <w:p w14:paraId="5BADC76E" w14:textId="77777777" w:rsidR="00F737F6" w:rsidRPr="00C47E97" w:rsidRDefault="00F737F6" w:rsidP="00D30F88">
            <w:pPr>
              <w:keepNext/>
              <w:keepLines/>
              <w:spacing w:after="0" w:line="240" w:lineRule="auto"/>
              <w:rPr>
                <w:rFonts w:eastAsia="Times New Roman" w:cstheme="minorHAnsi"/>
                <w:color w:val="000000"/>
                <w:sz w:val="20"/>
                <w:szCs w:val="20"/>
                <w:lang w:eastAsia="cs-CZ"/>
              </w:rPr>
            </w:pPr>
            <w:r w:rsidRPr="00C47E97">
              <w:rPr>
                <w:rFonts w:eastAsia="Times New Roman" w:cstheme="minorHAnsi"/>
                <w:color w:val="000000"/>
                <w:sz w:val="20"/>
                <w:szCs w:val="20"/>
                <w:lang w:eastAsia="cs-CZ"/>
              </w:rPr>
              <w:t>2022</w:t>
            </w:r>
          </w:p>
        </w:tc>
        <w:tc>
          <w:tcPr>
            <w:tcW w:w="1871" w:type="dxa"/>
            <w:shd w:val="clear" w:color="000000" w:fill="FFFFFF"/>
            <w:vAlign w:val="center"/>
            <w:hideMark/>
          </w:tcPr>
          <w:p w14:paraId="34C8A8D1" w14:textId="77777777" w:rsidR="00F737F6" w:rsidRPr="00C47E97" w:rsidRDefault="00F737F6" w:rsidP="002B6460">
            <w:pPr>
              <w:keepNext/>
              <w:keepLines/>
              <w:spacing w:after="0" w:line="240" w:lineRule="auto"/>
              <w:jc w:val="right"/>
              <w:rPr>
                <w:rFonts w:eastAsia="Times New Roman" w:cstheme="minorHAnsi"/>
                <w:color w:val="000000"/>
                <w:sz w:val="20"/>
                <w:szCs w:val="20"/>
                <w:lang w:eastAsia="cs-CZ"/>
              </w:rPr>
            </w:pPr>
            <w:r w:rsidRPr="00C47E97">
              <w:rPr>
                <w:rFonts w:eastAsia="Times New Roman" w:cstheme="minorHAnsi"/>
                <w:color w:val="000000"/>
                <w:sz w:val="20"/>
                <w:szCs w:val="20"/>
                <w:lang w:eastAsia="cs-CZ"/>
              </w:rPr>
              <w:t>570 729</w:t>
            </w:r>
          </w:p>
        </w:tc>
        <w:tc>
          <w:tcPr>
            <w:tcW w:w="1871" w:type="dxa"/>
            <w:shd w:val="clear" w:color="000000" w:fill="FFFFFF"/>
            <w:vAlign w:val="center"/>
            <w:hideMark/>
          </w:tcPr>
          <w:p w14:paraId="11013C4F" w14:textId="77777777" w:rsidR="00F737F6" w:rsidRPr="00C47E97" w:rsidRDefault="00F737F6" w:rsidP="002B6460">
            <w:pPr>
              <w:keepNext/>
              <w:keepLines/>
              <w:spacing w:after="0" w:line="240" w:lineRule="auto"/>
              <w:jc w:val="right"/>
              <w:rPr>
                <w:rFonts w:eastAsia="Times New Roman" w:cstheme="minorHAnsi"/>
                <w:color w:val="000000"/>
                <w:sz w:val="20"/>
                <w:szCs w:val="20"/>
                <w:lang w:eastAsia="cs-CZ"/>
              </w:rPr>
            </w:pPr>
            <w:r w:rsidRPr="00C47E97">
              <w:rPr>
                <w:rFonts w:eastAsia="Times New Roman" w:cstheme="minorHAnsi"/>
                <w:color w:val="000000"/>
                <w:sz w:val="20"/>
                <w:szCs w:val="20"/>
                <w:lang w:eastAsia="cs-CZ"/>
              </w:rPr>
              <w:t>5 482 216</w:t>
            </w:r>
          </w:p>
        </w:tc>
        <w:tc>
          <w:tcPr>
            <w:tcW w:w="2009" w:type="dxa"/>
            <w:shd w:val="clear" w:color="auto" w:fill="auto"/>
            <w:noWrap/>
            <w:vAlign w:val="center"/>
            <w:hideMark/>
          </w:tcPr>
          <w:p w14:paraId="77736921" w14:textId="77777777" w:rsidR="00F737F6" w:rsidRPr="00C47E97" w:rsidRDefault="00F737F6" w:rsidP="002B6460">
            <w:pPr>
              <w:keepNext/>
              <w:keepLines/>
              <w:spacing w:after="0" w:line="240" w:lineRule="auto"/>
              <w:jc w:val="right"/>
              <w:rPr>
                <w:rFonts w:eastAsia="Times New Roman" w:cstheme="minorHAnsi"/>
                <w:color w:val="000000"/>
                <w:sz w:val="20"/>
                <w:szCs w:val="20"/>
                <w:lang w:eastAsia="cs-CZ"/>
              </w:rPr>
            </w:pPr>
            <w:r w:rsidRPr="00C47E97">
              <w:rPr>
                <w:rFonts w:eastAsia="Times New Roman" w:cstheme="minorHAnsi"/>
                <w:color w:val="000000"/>
                <w:sz w:val="20"/>
                <w:szCs w:val="20"/>
                <w:lang w:eastAsia="cs-CZ"/>
              </w:rPr>
              <w:t>1 977 032</w:t>
            </w:r>
          </w:p>
        </w:tc>
        <w:tc>
          <w:tcPr>
            <w:tcW w:w="1997" w:type="dxa"/>
          </w:tcPr>
          <w:p w14:paraId="21950D4D" w14:textId="77777777" w:rsidR="00F737F6" w:rsidRPr="00C47E97" w:rsidRDefault="00F737F6" w:rsidP="002B6460">
            <w:pPr>
              <w:keepNext/>
              <w:keepLines/>
              <w:spacing w:after="0" w:line="240" w:lineRule="auto"/>
              <w:jc w:val="right"/>
              <w:rPr>
                <w:rFonts w:eastAsia="Times New Roman" w:cstheme="minorHAnsi"/>
                <w:sz w:val="20"/>
                <w:szCs w:val="20"/>
                <w:lang w:eastAsia="cs-CZ"/>
              </w:rPr>
            </w:pPr>
            <w:r w:rsidRPr="00C47E97">
              <w:rPr>
                <w:rFonts w:eastAsia="Times New Roman" w:cstheme="minorHAnsi"/>
                <w:sz w:val="20"/>
                <w:szCs w:val="20"/>
                <w:lang w:eastAsia="cs-CZ"/>
              </w:rPr>
              <w:t>115 155 052 806</w:t>
            </w:r>
          </w:p>
        </w:tc>
      </w:tr>
      <w:tr w:rsidR="00BF022C" w:rsidRPr="00C47E97" w14:paraId="63147877" w14:textId="77777777" w:rsidTr="00D30F88">
        <w:trPr>
          <w:trHeight w:val="225"/>
        </w:trPr>
        <w:tc>
          <w:tcPr>
            <w:tcW w:w="1332" w:type="dxa"/>
            <w:shd w:val="clear" w:color="auto" w:fill="auto"/>
            <w:noWrap/>
            <w:vAlign w:val="center"/>
            <w:hideMark/>
          </w:tcPr>
          <w:p w14:paraId="2C4635A7" w14:textId="77777777" w:rsidR="00F737F6" w:rsidRPr="00C47E97" w:rsidRDefault="00F737F6" w:rsidP="002B6460">
            <w:pPr>
              <w:keepNext/>
              <w:keepLines/>
              <w:spacing w:after="0" w:line="240" w:lineRule="auto"/>
              <w:rPr>
                <w:rFonts w:eastAsia="Times New Roman" w:cstheme="minorHAnsi"/>
                <w:color w:val="000000"/>
                <w:sz w:val="20"/>
                <w:szCs w:val="20"/>
                <w:lang w:eastAsia="cs-CZ"/>
              </w:rPr>
            </w:pPr>
            <w:r w:rsidRPr="00C47E97">
              <w:rPr>
                <w:rFonts w:eastAsia="Times New Roman" w:cstheme="minorHAnsi"/>
                <w:color w:val="000000"/>
                <w:sz w:val="20"/>
                <w:szCs w:val="20"/>
                <w:lang w:eastAsia="cs-CZ"/>
              </w:rPr>
              <w:t>Celkem</w:t>
            </w:r>
          </w:p>
        </w:tc>
        <w:tc>
          <w:tcPr>
            <w:tcW w:w="1871" w:type="dxa"/>
            <w:shd w:val="clear" w:color="auto" w:fill="auto"/>
            <w:noWrap/>
            <w:vAlign w:val="bottom"/>
            <w:hideMark/>
          </w:tcPr>
          <w:p w14:paraId="1C8506D6" w14:textId="77777777" w:rsidR="00F737F6" w:rsidRPr="00C47E97" w:rsidRDefault="00F737F6" w:rsidP="00D30F88">
            <w:pPr>
              <w:keepNext/>
              <w:keepLines/>
              <w:spacing w:after="0" w:line="240" w:lineRule="auto"/>
              <w:jc w:val="right"/>
              <w:rPr>
                <w:rFonts w:eastAsia="Times New Roman" w:cstheme="minorHAnsi"/>
                <w:color w:val="000000"/>
                <w:sz w:val="20"/>
                <w:szCs w:val="20"/>
                <w:lang w:eastAsia="cs-CZ"/>
              </w:rPr>
            </w:pPr>
            <w:r w:rsidRPr="00C47E97">
              <w:rPr>
                <w:rFonts w:eastAsia="Times New Roman" w:cstheme="minorHAnsi"/>
                <w:color w:val="000000"/>
                <w:sz w:val="20"/>
                <w:szCs w:val="20"/>
                <w:lang w:eastAsia="cs-CZ"/>
              </w:rPr>
              <w:t>x</w:t>
            </w:r>
          </w:p>
        </w:tc>
        <w:tc>
          <w:tcPr>
            <w:tcW w:w="1871" w:type="dxa"/>
            <w:shd w:val="clear" w:color="auto" w:fill="auto"/>
            <w:noWrap/>
            <w:vAlign w:val="bottom"/>
            <w:hideMark/>
          </w:tcPr>
          <w:p w14:paraId="3663F7F0" w14:textId="77777777" w:rsidR="00F737F6" w:rsidRPr="00C47E97" w:rsidRDefault="00F737F6" w:rsidP="002B6460">
            <w:pPr>
              <w:keepNext/>
              <w:keepLines/>
              <w:spacing w:after="0" w:line="240" w:lineRule="auto"/>
              <w:jc w:val="right"/>
              <w:rPr>
                <w:rFonts w:eastAsia="Times New Roman" w:cstheme="minorHAnsi"/>
                <w:color w:val="000000"/>
                <w:sz w:val="20"/>
                <w:szCs w:val="20"/>
                <w:lang w:eastAsia="cs-CZ"/>
              </w:rPr>
            </w:pPr>
            <w:r w:rsidRPr="00C47E97">
              <w:rPr>
                <w:rFonts w:eastAsia="Times New Roman" w:cstheme="minorHAnsi"/>
                <w:color w:val="000000"/>
                <w:sz w:val="20"/>
                <w:szCs w:val="20"/>
                <w:lang w:eastAsia="cs-CZ"/>
              </w:rPr>
              <w:t>30 071 324</w:t>
            </w:r>
          </w:p>
        </w:tc>
        <w:tc>
          <w:tcPr>
            <w:tcW w:w="2009" w:type="dxa"/>
            <w:shd w:val="clear" w:color="auto" w:fill="auto"/>
            <w:noWrap/>
            <w:vAlign w:val="center"/>
            <w:hideMark/>
          </w:tcPr>
          <w:p w14:paraId="342B94DE" w14:textId="77777777" w:rsidR="00F737F6" w:rsidRPr="00C47E97" w:rsidRDefault="00F737F6" w:rsidP="002B6460">
            <w:pPr>
              <w:keepNext/>
              <w:keepLines/>
              <w:spacing w:after="0" w:line="240" w:lineRule="auto"/>
              <w:jc w:val="right"/>
              <w:rPr>
                <w:rFonts w:eastAsia="Times New Roman" w:cstheme="minorHAnsi"/>
                <w:color w:val="000000"/>
                <w:sz w:val="20"/>
                <w:szCs w:val="20"/>
                <w:lang w:eastAsia="cs-CZ"/>
              </w:rPr>
            </w:pPr>
            <w:r w:rsidRPr="00C47E97">
              <w:rPr>
                <w:rFonts w:eastAsia="Times New Roman" w:cstheme="minorHAnsi"/>
                <w:color w:val="000000"/>
                <w:sz w:val="20"/>
                <w:szCs w:val="20"/>
                <w:lang w:eastAsia="cs-CZ"/>
              </w:rPr>
              <w:t>10 503 321</w:t>
            </w:r>
          </w:p>
        </w:tc>
        <w:tc>
          <w:tcPr>
            <w:tcW w:w="1997" w:type="dxa"/>
          </w:tcPr>
          <w:p w14:paraId="06FAEAF5" w14:textId="77777777" w:rsidR="00F737F6" w:rsidRPr="00C47E97" w:rsidRDefault="00F737F6" w:rsidP="002B6460">
            <w:pPr>
              <w:keepNext/>
              <w:keepLines/>
              <w:spacing w:after="0" w:line="240" w:lineRule="auto"/>
              <w:jc w:val="right"/>
              <w:rPr>
                <w:rFonts w:eastAsia="Times New Roman" w:cstheme="minorHAnsi"/>
                <w:sz w:val="20"/>
                <w:szCs w:val="20"/>
                <w:lang w:eastAsia="cs-CZ"/>
              </w:rPr>
            </w:pPr>
            <w:r w:rsidRPr="00C47E97">
              <w:rPr>
                <w:rFonts w:eastAsia="Times New Roman" w:cstheme="minorHAnsi"/>
                <w:sz w:val="20"/>
                <w:szCs w:val="20"/>
                <w:lang w:eastAsia="cs-CZ"/>
              </w:rPr>
              <w:t>539 126 080 766</w:t>
            </w:r>
          </w:p>
        </w:tc>
      </w:tr>
    </w:tbl>
    <w:p w14:paraId="235E67AA" w14:textId="75240055" w:rsidR="00F737F6" w:rsidRPr="00D30F88" w:rsidRDefault="00F737F6" w:rsidP="002B6460">
      <w:pPr>
        <w:keepNext/>
        <w:keepLines/>
        <w:spacing w:after="120" w:line="240" w:lineRule="auto"/>
        <w:jc w:val="both"/>
        <w:rPr>
          <w:rFonts w:eastAsia="Calibri" w:cstheme="minorHAnsi"/>
          <w:sz w:val="20"/>
          <w:szCs w:val="20"/>
        </w:rPr>
      </w:pPr>
      <w:r w:rsidRPr="00D30F88">
        <w:rPr>
          <w:rFonts w:eastAsia="Calibri" w:cstheme="minorHAnsi"/>
          <w:b/>
          <w:bCs/>
          <w:sz w:val="20"/>
          <w:szCs w:val="20"/>
        </w:rPr>
        <w:t>Zdroj:</w:t>
      </w:r>
      <w:r w:rsidRPr="00D30F88">
        <w:rPr>
          <w:rFonts w:eastAsia="Calibri" w:cstheme="minorHAnsi"/>
          <w:sz w:val="20"/>
          <w:szCs w:val="20"/>
        </w:rPr>
        <w:t xml:space="preserve"> GFŘ</w:t>
      </w:r>
      <w:r w:rsidR="004E6ACD">
        <w:rPr>
          <w:rFonts w:eastAsia="Calibri" w:cstheme="minorHAnsi"/>
          <w:sz w:val="20"/>
          <w:szCs w:val="20"/>
        </w:rPr>
        <w:t>.</w:t>
      </w:r>
    </w:p>
    <w:p w14:paraId="77BBB6F3" w14:textId="77777777" w:rsidR="00F737F6" w:rsidRPr="00C47E97" w:rsidRDefault="00F737F6" w:rsidP="00F737F6">
      <w:pPr>
        <w:spacing w:after="120" w:line="240" w:lineRule="auto"/>
        <w:jc w:val="both"/>
        <w:rPr>
          <w:rFonts w:eastAsia="Calibri" w:cstheme="minorHAnsi"/>
          <w:sz w:val="24"/>
          <w:szCs w:val="24"/>
        </w:rPr>
      </w:pPr>
      <w:r w:rsidRPr="00C47E97">
        <w:rPr>
          <w:rFonts w:eastAsia="Calibri" w:cstheme="minorHAnsi"/>
          <w:sz w:val="24"/>
          <w:szCs w:val="24"/>
        </w:rPr>
        <w:t>Správci daně prověřili neshody mezi transakcemi vykázanými dodavateli a odběrateli v KH v celkové hodnotě 82,9 mld. Kč postupy podle zákona č. 280/</w:t>
      </w:r>
      <w:r w:rsidRPr="00C47E97">
        <w:rPr>
          <w:rFonts w:cstheme="minorHAnsi"/>
          <w:sz w:val="24"/>
          <w:szCs w:val="24"/>
        </w:rPr>
        <w:t>2009 Sb.</w:t>
      </w:r>
      <w:r w:rsidRPr="00C47E97">
        <w:rPr>
          <w:rStyle w:val="Znakapoznpodarou"/>
          <w:rFonts w:cstheme="minorHAnsi"/>
          <w:sz w:val="24"/>
          <w:szCs w:val="24"/>
        </w:rPr>
        <w:footnoteReference w:id="20"/>
      </w:r>
      <w:r w:rsidRPr="00C47E97">
        <w:rPr>
          <w:rFonts w:cstheme="minorHAnsi"/>
          <w:sz w:val="24"/>
          <w:szCs w:val="24"/>
        </w:rPr>
        <w:t xml:space="preserve"> (dále také „daňový řád“)</w:t>
      </w:r>
      <w:r w:rsidRPr="00C47E97">
        <w:rPr>
          <w:rFonts w:eastAsia="Calibri" w:cstheme="minorHAnsi"/>
          <w:sz w:val="24"/>
          <w:szCs w:val="24"/>
        </w:rPr>
        <w:t>.</w:t>
      </w:r>
      <w:r w:rsidRPr="00C47E97">
        <w:rPr>
          <w:rFonts w:cstheme="minorHAnsi"/>
          <w:sz w:val="24"/>
          <w:szCs w:val="24"/>
        </w:rPr>
        <w:t xml:space="preserve"> </w:t>
      </w:r>
    </w:p>
    <w:p w14:paraId="77669271" w14:textId="0C3B3AFB" w:rsidR="00F737F6" w:rsidRPr="00C47E97" w:rsidRDefault="00F737F6" w:rsidP="00F737F6">
      <w:pPr>
        <w:spacing w:line="240" w:lineRule="auto"/>
        <w:jc w:val="both"/>
        <w:rPr>
          <w:rFonts w:cstheme="minorHAnsi"/>
          <w:sz w:val="24"/>
          <w:szCs w:val="24"/>
        </w:rPr>
      </w:pPr>
      <w:r w:rsidRPr="00C47E97">
        <w:rPr>
          <w:rFonts w:cstheme="minorHAnsi"/>
          <w:sz w:val="24"/>
          <w:szCs w:val="24"/>
        </w:rPr>
        <w:t>Daňová kontrola je postup při správě daní podle daňového řádu a jejím předmětem jsou daňové povinnosti, tvrzení daňového subjektu nebo jiné okolnosti rozhodné pro správné zjištění a stanovení daně. Má-li správce daně konkrétní pochybnosti o správnosti, průkaznosti nebo úplnosti podaného daňového tvrzení nebo jiné písemnosti předložené daňovým subjektem nebo o pravdivosti údajů v nich uvedených, zahájí u daňového subjektu postup k odstranění pochybností. Údaje o počtu a výsledcích daňových kontrol a postupů k odstranění pochybností jsou uvedeny v příloze č. 1</w:t>
      </w:r>
      <w:r>
        <w:rPr>
          <w:rFonts w:cstheme="minorHAnsi"/>
          <w:sz w:val="24"/>
          <w:szCs w:val="24"/>
        </w:rPr>
        <w:t xml:space="preserve"> </w:t>
      </w:r>
      <w:r w:rsidR="004E6ACD">
        <w:rPr>
          <w:rFonts w:cstheme="minorHAnsi"/>
          <w:sz w:val="24"/>
          <w:szCs w:val="24"/>
        </w:rPr>
        <w:t xml:space="preserve">v </w:t>
      </w:r>
      <w:r>
        <w:rPr>
          <w:rFonts w:cstheme="minorHAnsi"/>
          <w:sz w:val="24"/>
          <w:szCs w:val="24"/>
        </w:rPr>
        <w:t>tabulk</w:t>
      </w:r>
      <w:r w:rsidR="004E6ACD">
        <w:rPr>
          <w:rFonts w:cstheme="minorHAnsi"/>
          <w:sz w:val="24"/>
          <w:szCs w:val="24"/>
        </w:rPr>
        <w:t>ách</w:t>
      </w:r>
      <w:r>
        <w:rPr>
          <w:rFonts w:cstheme="minorHAnsi"/>
          <w:sz w:val="24"/>
          <w:szCs w:val="24"/>
        </w:rPr>
        <w:t xml:space="preserve"> č. </w:t>
      </w:r>
      <w:r w:rsidR="002B6460">
        <w:rPr>
          <w:rFonts w:cstheme="minorHAnsi"/>
          <w:sz w:val="24"/>
          <w:szCs w:val="24"/>
        </w:rPr>
        <w:t>1</w:t>
      </w:r>
      <w:r>
        <w:rPr>
          <w:rFonts w:cstheme="minorHAnsi"/>
          <w:sz w:val="24"/>
          <w:szCs w:val="24"/>
        </w:rPr>
        <w:t xml:space="preserve"> a </w:t>
      </w:r>
      <w:r w:rsidR="002B6460">
        <w:rPr>
          <w:rFonts w:cstheme="minorHAnsi"/>
          <w:sz w:val="24"/>
          <w:szCs w:val="24"/>
        </w:rPr>
        <w:t>2</w:t>
      </w:r>
      <w:r w:rsidRPr="00C47E97">
        <w:rPr>
          <w:rFonts w:cstheme="minorHAnsi"/>
          <w:sz w:val="24"/>
          <w:szCs w:val="24"/>
        </w:rPr>
        <w:t>.</w:t>
      </w:r>
    </w:p>
    <w:p w14:paraId="350CF728" w14:textId="0B69C49C" w:rsidR="00F737F6" w:rsidRPr="00C47E97" w:rsidRDefault="00F737F6" w:rsidP="00F737F6">
      <w:pPr>
        <w:spacing w:after="120" w:line="240" w:lineRule="auto"/>
        <w:jc w:val="both"/>
        <w:rPr>
          <w:rFonts w:eastAsia="Calibri" w:cstheme="minorHAnsi"/>
          <w:sz w:val="24"/>
          <w:szCs w:val="24"/>
        </w:rPr>
      </w:pPr>
      <w:r w:rsidRPr="00C47E97">
        <w:rPr>
          <w:rFonts w:eastAsia="Calibri" w:cstheme="minorHAnsi"/>
          <w:sz w:val="24"/>
          <w:szCs w:val="24"/>
        </w:rPr>
        <w:t xml:space="preserve">Správci daně ukončili v letech 2016–2022 celkem 36 903 daňových kontrol, z toho na základě neshod </w:t>
      </w:r>
      <w:r w:rsidR="00332FA5">
        <w:rPr>
          <w:rFonts w:eastAsia="Calibri" w:cstheme="minorHAnsi"/>
          <w:sz w:val="24"/>
          <w:szCs w:val="24"/>
        </w:rPr>
        <w:t xml:space="preserve">z </w:t>
      </w:r>
      <w:r w:rsidR="004E6ACD">
        <w:rPr>
          <w:rFonts w:eastAsia="Calibri" w:cstheme="minorHAnsi"/>
          <w:sz w:val="24"/>
          <w:szCs w:val="24"/>
        </w:rPr>
        <w:t>kontrolních hlášení</w:t>
      </w:r>
      <w:r w:rsidRPr="00C47E97">
        <w:rPr>
          <w:rFonts w:eastAsia="Calibri" w:cstheme="minorHAnsi"/>
          <w:sz w:val="24"/>
          <w:szCs w:val="24"/>
        </w:rPr>
        <w:t xml:space="preserve"> celkem 6 706 kontrol. Správci daně v</w:t>
      </w:r>
      <w:r w:rsidR="004E6ACD">
        <w:rPr>
          <w:rFonts w:eastAsia="Calibri" w:cstheme="minorHAnsi"/>
          <w:sz w:val="24"/>
          <w:szCs w:val="24"/>
        </w:rPr>
        <w:t xml:space="preserve"> </w:t>
      </w:r>
      <w:r w:rsidRPr="00C47E97">
        <w:rPr>
          <w:rFonts w:eastAsia="Calibri" w:cstheme="minorHAnsi"/>
          <w:sz w:val="24"/>
          <w:szCs w:val="24"/>
        </w:rPr>
        <w:t xml:space="preserve">tomto období doměřili </w:t>
      </w:r>
      <w:r w:rsidRPr="00C47E97">
        <w:rPr>
          <w:rFonts w:eastAsia="Calibri" w:cstheme="minorHAnsi"/>
          <w:sz w:val="24"/>
          <w:szCs w:val="24"/>
        </w:rPr>
        <w:lastRenderedPageBreak/>
        <w:t>z</w:t>
      </w:r>
      <w:r w:rsidR="004E6ACD">
        <w:rPr>
          <w:rFonts w:eastAsia="Calibri" w:cstheme="minorHAnsi"/>
          <w:sz w:val="24"/>
          <w:szCs w:val="24"/>
        </w:rPr>
        <w:t> </w:t>
      </w:r>
      <w:r w:rsidRPr="00C47E97">
        <w:rPr>
          <w:rFonts w:eastAsia="Calibri" w:cstheme="minorHAnsi"/>
          <w:sz w:val="24"/>
          <w:szCs w:val="24"/>
        </w:rPr>
        <w:t xml:space="preserve">daňových kontrol </w:t>
      </w:r>
      <w:r w:rsidR="00D165C4">
        <w:rPr>
          <w:rFonts w:eastAsia="Calibri" w:cstheme="minorHAnsi"/>
          <w:sz w:val="24"/>
          <w:szCs w:val="24"/>
        </w:rPr>
        <w:t>daň z přidané hodnoty</w:t>
      </w:r>
      <w:r w:rsidRPr="00C47E97">
        <w:rPr>
          <w:rFonts w:eastAsia="Calibri" w:cstheme="minorHAnsi"/>
          <w:sz w:val="24"/>
          <w:szCs w:val="24"/>
        </w:rPr>
        <w:t xml:space="preserve"> v celkové výši 47 561,6 mil. Kč, z toho na základě kontrol </w:t>
      </w:r>
      <w:r w:rsidR="00B4389C">
        <w:rPr>
          <w:rFonts w:eastAsia="Calibri" w:cstheme="minorHAnsi"/>
          <w:sz w:val="24"/>
          <w:szCs w:val="24"/>
        </w:rPr>
        <w:t xml:space="preserve">vyvolaných neshodami údajů </w:t>
      </w:r>
      <w:r w:rsidR="007D01CE">
        <w:rPr>
          <w:rFonts w:eastAsia="Calibri" w:cstheme="minorHAnsi"/>
          <w:sz w:val="24"/>
          <w:szCs w:val="24"/>
        </w:rPr>
        <w:t>v</w:t>
      </w:r>
      <w:r w:rsidRPr="00C47E97">
        <w:rPr>
          <w:rFonts w:eastAsia="Calibri" w:cstheme="minorHAnsi"/>
          <w:sz w:val="24"/>
          <w:szCs w:val="24"/>
        </w:rPr>
        <w:t> KH celkem 5 804,5 mil. Kč, tj.</w:t>
      </w:r>
      <w:r>
        <w:rPr>
          <w:rFonts w:eastAsia="Calibri" w:cstheme="minorHAnsi"/>
          <w:sz w:val="24"/>
          <w:szCs w:val="24"/>
        </w:rPr>
        <w:t> </w:t>
      </w:r>
      <w:r w:rsidRPr="00C47E97">
        <w:rPr>
          <w:rFonts w:eastAsia="Calibri" w:cstheme="minorHAnsi"/>
          <w:sz w:val="24"/>
          <w:szCs w:val="24"/>
        </w:rPr>
        <w:t>cca 12 %.</w:t>
      </w:r>
    </w:p>
    <w:p w14:paraId="4D7287FB" w14:textId="0180133D" w:rsidR="00F737F6" w:rsidRPr="00D30F88" w:rsidRDefault="00F737F6" w:rsidP="00F737F6">
      <w:pPr>
        <w:keepNext/>
        <w:spacing w:after="0" w:line="240" w:lineRule="auto"/>
        <w:jc w:val="both"/>
        <w:rPr>
          <w:rFonts w:eastAsia="Calibri" w:cstheme="minorHAnsi"/>
          <w:b/>
          <w:bCs/>
          <w:sz w:val="24"/>
          <w:szCs w:val="24"/>
        </w:rPr>
      </w:pPr>
      <w:r w:rsidRPr="00D30F88">
        <w:rPr>
          <w:rFonts w:eastAsia="Calibri" w:cstheme="minorHAnsi"/>
          <w:b/>
          <w:bCs/>
          <w:sz w:val="24"/>
          <w:szCs w:val="24"/>
        </w:rPr>
        <w:t xml:space="preserve">Graf č. </w:t>
      </w:r>
      <w:r w:rsidR="002B6460" w:rsidRPr="00D30F88">
        <w:rPr>
          <w:rFonts w:eastAsia="Calibri" w:cstheme="minorHAnsi"/>
          <w:b/>
          <w:bCs/>
          <w:sz w:val="24"/>
          <w:szCs w:val="24"/>
        </w:rPr>
        <w:t>1</w:t>
      </w:r>
      <w:r w:rsidR="004E6ACD" w:rsidRPr="00D30F88">
        <w:rPr>
          <w:rFonts w:eastAsia="Calibri" w:cstheme="minorHAnsi"/>
          <w:b/>
          <w:bCs/>
          <w:sz w:val="24"/>
          <w:szCs w:val="24"/>
        </w:rPr>
        <w:t>:</w:t>
      </w:r>
      <w:r w:rsidRPr="00D30F88">
        <w:rPr>
          <w:rFonts w:eastAsia="Calibri" w:cstheme="minorHAnsi"/>
          <w:b/>
          <w:bCs/>
          <w:sz w:val="24"/>
          <w:szCs w:val="24"/>
        </w:rPr>
        <w:t xml:space="preserve"> Průměrn</w:t>
      </w:r>
      <w:r w:rsidR="00B4389C">
        <w:rPr>
          <w:rFonts w:eastAsia="Calibri" w:cstheme="minorHAnsi"/>
          <w:b/>
          <w:bCs/>
          <w:sz w:val="24"/>
          <w:szCs w:val="24"/>
        </w:rPr>
        <w:t>á</w:t>
      </w:r>
      <w:r w:rsidRPr="00D30F88">
        <w:rPr>
          <w:rFonts w:eastAsia="Calibri" w:cstheme="minorHAnsi"/>
          <w:b/>
          <w:bCs/>
          <w:sz w:val="24"/>
          <w:szCs w:val="24"/>
        </w:rPr>
        <w:t xml:space="preserve"> doměřená DPH v letech 2016–2022 na základě daňových kontrol</w:t>
      </w:r>
      <w:r w:rsidR="00601564" w:rsidRPr="00D30F88">
        <w:rPr>
          <w:rFonts w:eastAsia="Calibri" w:cstheme="minorHAnsi"/>
          <w:b/>
          <w:bCs/>
          <w:sz w:val="24"/>
          <w:szCs w:val="24"/>
        </w:rPr>
        <w:t xml:space="preserve"> (v Kč)</w:t>
      </w:r>
    </w:p>
    <w:p w14:paraId="3DD788D7" w14:textId="6F9CA67C" w:rsidR="00F737F6" w:rsidRPr="00C47E97" w:rsidRDefault="00086DDC" w:rsidP="00F737F6">
      <w:pPr>
        <w:keepNext/>
        <w:spacing w:after="0" w:line="240" w:lineRule="auto"/>
        <w:jc w:val="both"/>
        <w:rPr>
          <w:rFonts w:eastAsia="Calibri" w:cstheme="minorHAnsi"/>
          <w:sz w:val="24"/>
          <w:szCs w:val="24"/>
        </w:rPr>
      </w:pPr>
      <w:r w:rsidRPr="00086DDC">
        <w:drawing>
          <wp:inline distT="0" distB="0" distL="0" distR="0" wp14:anchorId="67ABCC18" wp14:editId="44C1A809">
            <wp:extent cx="5714286" cy="2780952"/>
            <wp:effectExtent l="0" t="0" r="1270" b="635"/>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14286" cy="2780952"/>
                    </a:xfrm>
                    <a:prstGeom prst="rect">
                      <a:avLst/>
                    </a:prstGeom>
                  </pic:spPr>
                </pic:pic>
              </a:graphicData>
            </a:graphic>
          </wp:inline>
        </w:drawing>
      </w:r>
    </w:p>
    <w:p w14:paraId="10A98616" w14:textId="537CDA52" w:rsidR="00F737F6" w:rsidRPr="00D30F88" w:rsidRDefault="00F737F6" w:rsidP="00F737F6">
      <w:pPr>
        <w:keepNext/>
        <w:spacing w:after="0" w:line="240" w:lineRule="auto"/>
        <w:jc w:val="both"/>
        <w:rPr>
          <w:rFonts w:eastAsia="Calibri" w:cstheme="minorHAnsi"/>
          <w:sz w:val="20"/>
          <w:szCs w:val="20"/>
        </w:rPr>
      </w:pPr>
      <w:r w:rsidRPr="00D30F88">
        <w:rPr>
          <w:rFonts w:eastAsia="Calibri" w:cstheme="minorHAnsi"/>
          <w:b/>
          <w:bCs/>
          <w:sz w:val="20"/>
          <w:szCs w:val="20"/>
        </w:rPr>
        <w:t>Zdroj:</w:t>
      </w:r>
      <w:r w:rsidRPr="00D30F88">
        <w:rPr>
          <w:rFonts w:eastAsia="Calibri" w:cstheme="minorHAnsi"/>
          <w:sz w:val="20"/>
          <w:szCs w:val="20"/>
        </w:rPr>
        <w:t xml:space="preserve"> GFŘ</w:t>
      </w:r>
      <w:r w:rsidR="004E6ACD">
        <w:rPr>
          <w:rFonts w:eastAsia="Calibri" w:cstheme="minorHAnsi"/>
          <w:sz w:val="20"/>
          <w:szCs w:val="20"/>
        </w:rPr>
        <w:t>.</w:t>
      </w:r>
    </w:p>
    <w:p w14:paraId="5289B5A2" w14:textId="77777777" w:rsidR="00F737F6" w:rsidRPr="00C47E97" w:rsidRDefault="00F737F6" w:rsidP="00F737F6">
      <w:pPr>
        <w:spacing w:after="0" w:line="240" w:lineRule="auto"/>
        <w:jc w:val="both"/>
        <w:rPr>
          <w:rFonts w:eastAsia="Calibri" w:cstheme="minorHAnsi"/>
          <w:i/>
          <w:iCs/>
          <w:sz w:val="18"/>
          <w:szCs w:val="18"/>
        </w:rPr>
      </w:pPr>
    </w:p>
    <w:p w14:paraId="0809F82C" w14:textId="27D51D77" w:rsidR="00F737F6" w:rsidRPr="00C47E97" w:rsidRDefault="00F737F6" w:rsidP="00F737F6">
      <w:pPr>
        <w:spacing w:after="120" w:line="240" w:lineRule="auto"/>
        <w:jc w:val="both"/>
        <w:rPr>
          <w:rFonts w:eastAsia="Calibri" w:cstheme="minorHAnsi"/>
          <w:sz w:val="24"/>
          <w:szCs w:val="24"/>
        </w:rPr>
      </w:pPr>
      <w:r w:rsidRPr="00C47E97">
        <w:rPr>
          <w:rFonts w:eastAsia="Calibri" w:cstheme="minorHAnsi"/>
          <w:sz w:val="24"/>
          <w:szCs w:val="24"/>
        </w:rPr>
        <w:t>Správci daně ukončili v letech 2016–2022 celkem 48 893 postupů k odstranění pochybností, z</w:t>
      </w:r>
      <w:r>
        <w:rPr>
          <w:rFonts w:eastAsia="Calibri" w:cstheme="minorHAnsi"/>
          <w:sz w:val="24"/>
          <w:szCs w:val="24"/>
        </w:rPr>
        <w:t> </w:t>
      </w:r>
      <w:r w:rsidRPr="00C47E97">
        <w:rPr>
          <w:rFonts w:eastAsia="Calibri" w:cstheme="minorHAnsi"/>
          <w:sz w:val="24"/>
          <w:szCs w:val="24"/>
        </w:rPr>
        <w:t xml:space="preserve">toho na základě neshod </w:t>
      </w:r>
      <w:r w:rsidR="0074022E">
        <w:rPr>
          <w:rFonts w:eastAsia="Calibri" w:cstheme="minorHAnsi"/>
          <w:sz w:val="24"/>
          <w:szCs w:val="24"/>
        </w:rPr>
        <w:t xml:space="preserve">z </w:t>
      </w:r>
      <w:r w:rsidR="000F5340">
        <w:rPr>
          <w:rFonts w:eastAsia="Calibri" w:cstheme="minorHAnsi"/>
          <w:sz w:val="24"/>
          <w:szCs w:val="24"/>
        </w:rPr>
        <w:t>kontrolních hlášení</w:t>
      </w:r>
      <w:r w:rsidRPr="00C47E97">
        <w:rPr>
          <w:rFonts w:eastAsia="Calibri" w:cstheme="minorHAnsi"/>
          <w:sz w:val="24"/>
          <w:szCs w:val="24"/>
        </w:rPr>
        <w:t xml:space="preserve"> celkem 6 964 postupů. Správc</w:t>
      </w:r>
      <w:r w:rsidR="000F5340">
        <w:rPr>
          <w:rFonts w:eastAsia="Calibri" w:cstheme="minorHAnsi"/>
          <w:sz w:val="24"/>
          <w:szCs w:val="24"/>
        </w:rPr>
        <w:t>i</w:t>
      </w:r>
      <w:r w:rsidRPr="00C47E97">
        <w:rPr>
          <w:rFonts w:eastAsia="Calibri" w:cstheme="minorHAnsi"/>
          <w:sz w:val="24"/>
          <w:szCs w:val="24"/>
        </w:rPr>
        <w:t xml:space="preserve"> daně v tomto období doměřili DPH v</w:t>
      </w:r>
      <w:r w:rsidR="00532435">
        <w:rPr>
          <w:rFonts w:eastAsia="Calibri" w:cstheme="minorHAnsi"/>
          <w:sz w:val="24"/>
          <w:szCs w:val="24"/>
        </w:rPr>
        <w:t xml:space="preserve"> </w:t>
      </w:r>
      <w:r w:rsidRPr="00C47E97">
        <w:rPr>
          <w:rFonts w:eastAsia="Calibri" w:cstheme="minorHAnsi"/>
          <w:sz w:val="24"/>
          <w:szCs w:val="24"/>
        </w:rPr>
        <w:t>celkové výši 18</w:t>
      </w:r>
      <w:r w:rsidR="00532435">
        <w:rPr>
          <w:rFonts w:eastAsia="Calibri" w:cstheme="minorHAnsi"/>
          <w:sz w:val="24"/>
          <w:szCs w:val="24"/>
        </w:rPr>
        <w:t xml:space="preserve"> </w:t>
      </w:r>
      <w:r w:rsidRPr="00C47E97">
        <w:rPr>
          <w:rFonts w:eastAsia="Calibri" w:cstheme="minorHAnsi"/>
          <w:sz w:val="24"/>
          <w:szCs w:val="24"/>
        </w:rPr>
        <w:t>520,6 mil. Kč, z</w:t>
      </w:r>
      <w:r w:rsidR="00532435">
        <w:rPr>
          <w:rFonts w:eastAsia="Calibri" w:cstheme="minorHAnsi"/>
          <w:sz w:val="24"/>
          <w:szCs w:val="24"/>
        </w:rPr>
        <w:t xml:space="preserve"> </w:t>
      </w:r>
      <w:r w:rsidRPr="00C47E97">
        <w:rPr>
          <w:rFonts w:eastAsia="Calibri" w:cstheme="minorHAnsi"/>
          <w:sz w:val="24"/>
          <w:szCs w:val="24"/>
        </w:rPr>
        <w:t>toho na základě neshod z</w:t>
      </w:r>
      <w:r w:rsidR="008F4DD7">
        <w:rPr>
          <w:rFonts w:eastAsia="Calibri" w:cstheme="minorHAnsi"/>
          <w:sz w:val="24"/>
          <w:szCs w:val="24"/>
        </w:rPr>
        <w:t xml:space="preserve"> </w:t>
      </w:r>
      <w:r w:rsidRPr="00C47E97">
        <w:rPr>
          <w:rFonts w:eastAsia="Calibri" w:cstheme="minorHAnsi"/>
          <w:sz w:val="24"/>
          <w:szCs w:val="24"/>
        </w:rPr>
        <w:t>KH 4 982,4</w:t>
      </w:r>
      <w:r w:rsidR="00532435">
        <w:rPr>
          <w:rFonts w:eastAsia="Calibri" w:cstheme="minorHAnsi"/>
          <w:sz w:val="24"/>
          <w:szCs w:val="24"/>
        </w:rPr>
        <w:t> </w:t>
      </w:r>
      <w:r w:rsidRPr="00C47E97">
        <w:rPr>
          <w:rFonts w:eastAsia="Calibri" w:cstheme="minorHAnsi"/>
          <w:sz w:val="24"/>
          <w:szCs w:val="24"/>
        </w:rPr>
        <w:t>mil.</w:t>
      </w:r>
      <w:r w:rsidR="00532435">
        <w:rPr>
          <w:rFonts w:eastAsia="Calibri" w:cstheme="minorHAnsi"/>
          <w:sz w:val="24"/>
          <w:szCs w:val="24"/>
        </w:rPr>
        <w:t> </w:t>
      </w:r>
      <w:r w:rsidRPr="00C47E97">
        <w:rPr>
          <w:rFonts w:eastAsia="Calibri" w:cstheme="minorHAnsi"/>
          <w:sz w:val="24"/>
          <w:szCs w:val="24"/>
        </w:rPr>
        <w:t>Kč, tj. 27 %.</w:t>
      </w:r>
    </w:p>
    <w:p w14:paraId="01826E2E" w14:textId="7B328FEE" w:rsidR="00F737F6" w:rsidRDefault="00F737F6" w:rsidP="00D30F88">
      <w:pPr>
        <w:spacing w:after="0" w:line="240" w:lineRule="auto"/>
        <w:ind w:left="964" w:hanging="964"/>
        <w:jc w:val="both"/>
        <w:rPr>
          <w:rFonts w:eastAsia="Calibri" w:cstheme="minorHAnsi"/>
          <w:b/>
          <w:bCs/>
          <w:sz w:val="24"/>
          <w:szCs w:val="24"/>
        </w:rPr>
      </w:pPr>
      <w:r w:rsidRPr="00D30F88">
        <w:rPr>
          <w:rFonts w:eastAsia="Calibri" w:cstheme="minorHAnsi"/>
          <w:b/>
          <w:bCs/>
          <w:sz w:val="24"/>
          <w:szCs w:val="24"/>
        </w:rPr>
        <w:t xml:space="preserve">Graf č. </w:t>
      </w:r>
      <w:r w:rsidR="002B6460" w:rsidRPr="00D30F88">
        <w:rPr>
          <w:rFonts w:eastAsia="Calibri" w:cstheme="minorHAnsi"/>
          <w:b/>
          <w:bCs/>
          <w:sz w:val="24"/>
          <w:szCs w:val="24"/>
        </w:rPr>
        <w:t>2</w:t>
      </w:r>
      <w:r w:rsidR="004E6ACD" w:rsidRPr="00D30F88">
        <w:rPr>
          <w:rFonts w:eastAsia="Calibri" w:cstheme="minorHAnsi"/>
          <w:b/>
          <w:bCs/>
          <w:sz w:val="24"/>
          <w:szCs w:val="24"/>
        </w:rPr>
        <w:t>:</w:t>
      </w:r>
      <w:r w:rsidRPr="00D30F88">
        <w:rPr>
          <w:rFonts w:eastAsia="Calibri" w:cstheme="minorHAnsi"/>
          <w:b/>
          <w:bCs/>
          <w:sz w:val="24"/>
          <w:szCs w:val="24"/>
        </w:rPr>
        <w:t xml:space="preserve"> </w:t>
      </w:r>
      <w:r w:rsidR="000F5340">
        <w:rPr>
          <w:rFonts w:eastAsia="Calibri" w:cstheme="minorHAnsi"/>
          <w:b/>
          <w:bCs/>
          <w:sz w:val="24"/>
          <w:szCs w:val="24"/>
        </w:rPr>
        <w:tab/>
      </w:r>
      <w:r w:rsidRPr="00D30F88">
        <w:rPr>
          <w:rFonts w:eastAsia="Calibri" w:cstheme="minorHAnsi"/>
          <w:b/>
          <w:bCs/>
          <w:sz w:val="24"/>
          <w:szCs w:val="24"/>
        </w:rPr>
        <w:t>Průměrn</w:t>
      </w:r>
      <w:r w:rsidR="00B4389C">
        <w:rPr>
          <w:rFonts w:eastAsia="Calibri" w:cstheme="minorHAnsi"/>
          <w:b/>
          <w:bCs/>
          <w:sz w:val="24"/>
          <w:szCs w:val="24"/>
        </w:rPr>
        <w:t>á</w:t>
      </w:r>
      <w:r w:rsidRPr="00D30F88">
        <w:rPr>
          <w:rFonts w:eastAsia="Calibri" w:cstheme="minorHAnsi"/>
          <w:b/>
          <w:bCs/>
          <w:sz w:val="24"/>
          <w:szCs w:val="24"/>
        </w:rPr>
        <w:t xml:space="preserve"> doměřená DPH v letech 2016–2022 na základě postupů k odstranění pochybností</w:t>
      </w:r>
      <w:r w:rsidR="00601564" w:rsidRPr="00D30F88">
        <w:rPr>
          <w:rFonts w:eastAsia="Calibri" w:cstheme="minorHAnsi"/>
          <w:b/>
          <w:bCs/>
          <w:sz w:val="24"/>
          <w:szCs w:val="24"/>
        </w:rPr>
        <w:t xml:space="preserve"> (v Kč)</w:t>
      </w:r>
    </w:p>
    <w:p w14:paraId="5DC885C2" w14:textId="45A1EFDD" w:rsidR="00513ACD" w:rsidRPr="00D30F88" w:rsidRDefault="00086DDC" w:rsidP="00D30F88">
      <w:pPr>
        <w:spacing w:after="0" w:line="240" w:lineRule="auto"/>
        <w:ind w:left="964" w:hanging="964"/>
        <w:jc w:val="both"/>
        <w:rPr>
          <w:rFonts w:eastAsia="Calibri" w:cstheme="minorHAnsi"/>
          <w:b/>
          <w:bCs/>
          <w:sz w:val="24"/>
          <w:szCs w:val="24"/>
        </w:rPr>
      </w:pPr>
      <w:r w:rsidRPr="00086DDC">
        <w:drawing>
          <wp:inline distT="0" distB="0" distL="0" distR="0" wp14:anchorId="707BD2EA" wp14:editId="460355FB">
            <wp:extent cx="5760720" cy="2771140"/>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2771140"/>
                    </a:xfrm>
                    <a:prstGeom prst="rect">
                      <a:avLst/>
                    </a:prstGeom>
                  </pic:spPr>
                </pic:pic>
              </a:graphicData>
            </a:graphic>
          </wp:inline>
        </w:drawing>
      </w:r>
    </w:p>
    <w:p w14:paraId="6501E8E3" w14:textId="37C9106A" w:rsidR="00F737F6" w:rsidRPr="00D30F88" w:rsidRDefault="00F737F6" w:rsidP="00F737F6">
      <w:pPr>
        <w:spacing w:after="0" w:line="240" w:lineRule="auto"/>
        <w:jc w:val="both"/>
        <w:rPr>
          <w:rFonts w:eastAsia="Calibri" w:cstheme="minorHAnsi"/>
          <w:sz w:val="20"/>
          <w:szCs w:val="20"/>
        </w:rPr>
      </w:pPr>
      <w:r w:rsidRPr="00D30F88">
        <w:rPr>
          <w:rFonts w:eastAsia="Calibri" w:cstheme="minorHAnsi"/>
          <w:b/>
          <w:bCs/>
          <w:sz w:val="20"/>
          <w:szCs w:val="20"/>
        </w:rPr>
        <w:t xml:space="preserve">Zdroj: </w:t>
      </w:r>
      <w:r w:rsidRPr="00D30F88">
        <w:rPr>
          <w:rFonts w:eastAsia="Calibri" w:cstheme="minorHAnsi"/>
          <w:sz w:val="20"/>
          <w:szCs w:val="20"/>
        </w:rPr>
        <w:t>GFŘ</w:t>
      </w:r>
      <w:r w:rsidR="00D165C4">
        <w:rPr>
          <w:rFonts w:eastAsia="Calibri" w:cstheme="minorHAnsi"/>
          <w:sz w:val="20"/>
          <w:szCs w:val="20"/>
        </w:rPr>
        <w:t>.</w:t>
      </w:r>
    </w:p>
    <w:p w14:paraId="15503566" w14:textId="77777777" w:rsidR="00F737F6" w:rsidRPr="00C47E97" w:rsidRDefault="00F737F6" w:rsidP="00F737F6">
      <w:pPr>
        <w:spacing w:after="0" w:line="240" w:lineRule="auto"/>
        <w:jc w:val="both"/>
        <w:rPr>
          <w:rFonts w:eastAsia="Calibri" w:cstheme="minorHAnsi"/>
          <w:i/>
          <w:iCs/>
          <w:sz w:val="18"/>
          <w:szCs w:val="18"/>
        </w:rPr>
      </w:pPr>
    </w:p>
    <w:p w14:paraId="411D57FB" w14:textId="3ABE62BD" w:rsidR="00F737F6" w:rsidRPr="00C47E97" w:rsidRDefault="00F737F6" w:rsidP="00F737F6">
      <w:pPr>
        <w:spacing w:after="120" w:line="240" w:lineRule="auto"/>
        <w:jc w:val="both"/>
        <w:rPr>
          <w:rFonts w:eastAsia="Calibri" w:cstheme="minorHAnsi"/>
          <w:sz w:val="24"/>
          <w:szCs w:val="24"/>
        </w:rPr>
      </w:pPr>
      <w:r w:rsidRPr="00C47E97">
        <w:rPr>
          <w:rFonts w:eastAsia="Calibri" w:cstheme="minorHAnsi"/>
          <w:sz w:val="24"/>
          <w:szCs w:val="24"/>
        </w:rPr>
        <w:t>Nejčastější zjištění z</w:t>
      </w:r>
      <w:r w:rsidR="00311081">
        <w:rPr>
          <w:rFonts w:eastAsia="Calibri" w:cstheme="minorHAnsi"/>
          <w:sz w:val="24"/>
          <w:szCs w:val="24"/>
        </w:rPr>
        <w:t xml:space="preserve"> </w:t>
      </w:r>
      <w:r w:rsidRPr="00C47E97">
        <w:rPr>
          <w:rFonts w:eastAsia="Calibri" w:cstheme="minorHAnsi"/>
          <w:sz w:val="24"/>
          <w:szCs w:val="24"/>
        </w:rPr>
        <w:t>daňových kontrol a postupů k</w:t>
      </w:r>
      <w:r w:rsidR="00311081">
        <w:rPr>
          <w:rFonts w:eastAsia="Calibri" w:cstheme="minorHAnsi"/>
          <w:sz w:val="24"/>
          <w:szCs w:val="24"/>
        </w:rPr>
        <w:t xml:space="preserve"> </w:t>
      </w:r>
      <w:r w:rsidRPr="00C47E97">
        <w:rPr>
          <w:rFonts w:eastAsia="Calibri" w:cstheme="minorHAnsi"/>
          <w:sz w:val="24"/>
          <w:szCs w:val="24"/>
        </w:rPr>
        <w:t>odstranění pochybností v</w:t>
      </w:r>
      <w:r w:rsidR="00311081">
        <w:rPr>
          <w:rFonts w:eastAsia="Calibri" w:cstheme="minorHAnsi"/>
          <w:sz w:val="24"/>
          <w:szCs w:val="24"/>
        </w:rPr>
        <w:t xml:space="preserve"> </w:t>
      </w:r>
      <w:r w:rsidR="00D165C4">
        <w:rPr>
          <w:rFonts w:eastAsia="Calibri" w:cstheme="minorHAnsi"/>
          <w:sz w:val="24"/>
          <w:szCs w:val="24"/>
        </w:rPr>
        <w:t xml:space="preserve">období </w:t>
      </w:r>
      <w:r w:rsidRPr="00C47E97">
        <w:rPr>
          <w:rFonts w:eastAsia="Calibri" w:cstheme="minorHAnsi"/>
          <w:sz w:val="24"/>
          <w:szCs w:val="24"/>
        </w:rPr>
        <w:t xml:space="preserve">let </w:t>
      </w:r>
      <w:r w:rsidR="00311081">
        <w:rPr>
          <w:rFonts w:eastAsia="Calibri" w:cstheme="minorHAnsi"/>
          <w:sz w:val="24"/>
          <w:szCs w:val="24"/>
        </w:rPr>
        <w:br/>
      </w:r>
      <w:r w:rsidRPr="00C47E97">
        <w:rPr>
          <w:rFonts w:eastAsia="Calibri" w:cstheme="minorHAnsi"/>
          <w:sz w:val="24"/>
          <w:szCs w:val="24"/>
        </w:rPr>
        <w:t>2016</w:t>
      </w:r>
      <w:r w:rsidR="00D165C4">
        <w:rPr>
          <w:rFonts w:eastAsia="Calibri" w:cstheme="minorHAnsi"/>
          <w:sz w:val="24"/>
          <w:szCs w:val="24"/>
        </w:rPr>
        <w:t>–</w:t>
      </w:r>
      <w:r w:rsidRPr="00C47E97">
        <w:rPr>
          <w:rFonts w:eastAsia="Calibri" w:cstheme="minorHAnsi"/>
          <w:sz w:val="24"/>
          <w:szCs w:val="24"/>
        </w:rPr>
        <w:t>2022 byla např. uplatnění odpočtu z fiktivních plnění a neprokázání použití přijatých zdanitelných plnění pro ekonomickou činnost.</w:t>
      </w:r>
    </w:p>
    <w:p w14:paraId="1DC50E6E" w14:textId="064C6E3A" w:rsidR="00F737F6" w:rsidRPr="00C47E97" w:rsidRDefault="00F737F6" w:rsidP="00F737F6">
      <w:pPr>
        <w:spacing w:after="120" w:line="240" w:lineRule="auto"/>
        <w:jc w:val="both"/>
        <w:rPr>
          <w:rFonts w:eastAsia="Calibri" w:cstheme="minorHAnsi"/>
          <w:sz w:val="24"/>
          <w:szCs w:val="24"/>
        </w:rPr>
      </w:pPr>
      <w:r w:rsidRPr="00C47E97">
        <w:rPr>
          <w:rFonts w:eastAsia="Calibri" w:cstheme="minorHAnsi"/>
          <w:sz w:val="24"/>
          <w:szCs w:val="24"/>
        </w:rPr>
        <w:lastRenderedPageBreak/>
        <w:t>V případě postupu k odstranění pochybností se kontrolní hlášení projevilo jako účinný nástroj při identifikaci konkrétních pochybností o správnosti vykázané DPH. Průměrn</w:t>
      </w:r>
      <w:r w:rsidR="00B4389C">
        <w:rPr>
          <w:rFonts w:eastAsia="Calibri" w:cstheme="minorHAnsi"/>
          <w:sz w:val="24"/>
          <w:szCs w:val="24"/>
        </w:rPr>
        <w:t>á</w:t>
      </w:r>
      <w:r w:rsidRPr="00C47E97">
        <w:rPr>
          <w:rFonts w:eastAsia="Calibri" w:cstheme="minorHAnsi"/>
          <w:sz w:val="24"/>
          <w:szCs w:val="24"/>
        </w:rPr>
        <w:t xml:space="preserve"> doměřená daň byla v případě využití dat z kontrolního hlášení dvojnásobná než u postupů bez využití dat z</w:t>
      </w:r>
      <w:r>
        <w:rPr>
          <w:rFonts w:eastAsia="Calibri" w:cstheme="minorHAnsi"/>
          <w:sz w:val="24"/>
          <w:szCs w:val="24"/>
        </w:rPr>
        <w:t> </w:t>
      </w:r>
      <w:r w:rsidRPr="00C47E97">
        <w:rPr>
          <w:rFonts w:eastAsia="Calibri" w:cstheme="minorHAnsi"/>
          <w:sz w:val="24"/>
          <w:szCs w:val="24"/>
        </w:rPr>
        <w:t>kontrolního hlášení.</w:t>
      </w:r>
    </w:p>
    <w:p w14:paraId="2BC74810" w14:textId="2640F059" w:rsidR="00F737F6" w:rsidRPr="00C47E97" w:rsidRDefault="00F737F6" w:rsidP="00F737F6">
      <w:pPr>
        <w:spacing w:after="120" w:line="240" w:lineRule="auto"/>
        <w:jc w:val="both"/>
        <w:rPr>
          <w:rFonts w:eastAsia="Calibri" w:cstheme="minorHAnsi"/>
          <w:sz w:val="24"/>
          <w:szCs w:val="24"/>
        </w:rPr>
      </w:pPr>
      <w:r w:rsidRPr="00C47E97">
        <w:rPr>
          <w:rFonts w:eastAsia="Calibri" w:cstheme="minorHAnsi"/>
          <w:sz w:val="24"/>
          <w:szCs w:val="24"/>
        </w:rPr>
        <w:t xml:space="preserve">Dále FS ČR využívá data z KH k analýzám propojení subjektů v podvodných řetězcích. Zatímco v roce 2017 docházelo v tzv. řetězových podvodech ke krácení DPH prostřednictvím plátců, kteří nepodávali daňové přiznání a KH (tzv. missing trader), od roku 2020 se podoba daňových úniků na DPH stává mnohem sofistikovanější. </w:t>
      </w:r>
      <w:r w:rsidR="0010423B">
        <w:rPr>
          <w:rFonts w:eastAsia="Calibri" w:cstheme="minorHAnsi"/>
          <w:sz w:val="24"/>
          <w:szCs w:val="24"/>
        </w:rPr>
        <w:t>Náročnost prokazování daňových úniků na DPH v daňovém řízení vzrostla mj. tím, že s</w:t>
      </w:r>
      <w:r w:rsidR="0010423B" w:rsidRPr="00C47E97">
        <w:rPr>
          <w:rFonts w:eastAsia="Calibri" w:cstheme="minorHAnsi"/>
          <w:sz w:val="24"/>
          <w:szCs w:val="24"/>
        </w:rPr>
        <w:t xml:space="preserve">právce daně </w:t>
      </w:r>
      <w:r w:rsidR="0010423B">
        <w:rPr>
          <w:rFonts w:eastAsia="Calibri" w:cstheme="minorHAnsi"/>
          <w:sz w:val="24"/>
          <w:szCs w:val="24"/>
        </w:rPr>
        <w:t xml:space="preserve">je </w:t>
      </w:r>
      <w:r w:rsidR="0010423B" w:rsidRPr="00C47E97">
        <w:rPr>
          <w:rFonts w:eastAsia="Calibri" w:cstheme="minorHAnsi"/>
          <w:sz w:val="24"/>
          <w:szCs w:val="24"/>
        </w:rPr>
        <w:t>povinen provést tzv. vědomostní test</w:t>
      </w:r>
      <w:r w:rsidR="0010423B">
        <w:rPr>
          <w:rStyle w:val="Znakapoznpodarou"/>
          <w:rFonts w:eastAsia="Calibri" w:cstheme="minorHAnsi"/>
          <w:sz w:val="24"/>
          <w:szCs w:val="24"/>
        </w:rPr>
        <w:footnoteReference w:id="21"/>
      </w:r>
      <w:r w:rsidR="0010423B" w:rsidRPr="00C47E97">
        <w:rPr>
          <w:rFonts w:eastAsia="Calibri" w:cstheme="minorHAnsi"/>
          <w:sz w:val="24"/>
          <w:szCs w:val="24"/>
        </w:rPr>
        <w:t xml:space="preserve">, tedy prokázat, že plátce daně </w:t>
      </w:r>
      <w:r w:rsidR="0010423B">
        <w:rPr>
          <w:rFonts w:eastAsia="Calibri" w:cstheme="minorHAnsi"/>
          <w:sz w:val="24"/>
          <w:szCs w:val="24"/>
        </w:rPr>
        <w:t xml:space="preserve">o této skutečnosti </w:t>
      </w:r>
      <w:r w:rsidR="0010423B" w:rsidRPr="00C47E97">
        <w:rPr>
          <w:rFonts w:eastAsia="Calibri" w:cstheme="minorHAnsi"/>
          <w:sz w:val="24"/>
          <w:szCs w:val="24"/>
        </w:rPr>
        <w:t xml:space="preserve">věděl nebo mohl vědět. </w:t>
      </w:r>
      <w:r w:rsidRPr="00C47E97">
        <w:rPr>
          <w:rFonts w:eastAsia="Calibri" w:cstheme="minorHAnsi"/>
          <w:sz w:val="24"/>
          <w:szCs w:val="24"/>
        </w:rPr>
        <w:t xml:space="preserve">Dále narostl počet vykázaných zdanitelných plnění v nízkých částkách. Hodnota možného úniku na DPH, kterou GFŘ na základě detailní analýzy dat z kontrolního hlášení označilo k prověření, činila v letech 2017–2022 min. 4,4 mld. Kč. </w:t>
      </w:r>
    </w:p>
    <w:p w14:paraId="60C97DF7" w14:textId="2A9F1EF1" w:rsidR="00975E47" w:rsidRPr="00C47E97" w:rsidRDefault="00975E47" w:rsidP="006069C6">
      <w:pPr>
        <w:pStyle w:val="NadpisKZ"/>
        <w:numPr>
          <w:ilvl w:val="0"/>
          <w:numId w:val="28"/>
        </w:numPr>
        <w:tabs>
          <w:tab w:val="clear" w:pos="360"/>
        </w:tabs>
        <w:ind w:left="426" w:hanging="426"/>
      </w:pPr>
      <w:bookmarkStart w:id="12" w:name="_Hlk162443363"/>
      <w:r>
        <w:t>Po spuštění první a druhé vlny EET tvořili plátci DPH více než 50 % přihlášených subjektů</w:t>
      </w:r>
    </w:p>
    <w:p w14:paraId="65BE3BFC" w14:textId="0DB07009" w:rsidR="007D62D6" w:rsidRPr="00C47E97" w:rsidRDefault="00583C8C" w:rsidP="00D30F88">
      <w:pPr>
        <w:spacing w:after="120" w:line="240" w:lineRule="auto"/>
        <w:jc w:val="both"/>
        <w:rPr>
          <w:rFonts w:cstheme="minorHAnsi"/>
          <w:sz w:val="24"/>
          <w:szCs w:val="24"/>
          <w:lang w:eastAsia="cs-CZ"/>
        </w:rPr>
      </w:pPr>
      <w:r w:rsidRPr="00C47E97">
        <w:rPr>
          <w:rFonts w:cstheme="minorHAnsi"/>
          <w:sz w:val="24"/>
          <w:szCs w:val="24"/>
          <w:lang w:eastAsia="cs-CZ"/>
        </w:rPr>
        <w:t>Zavádění EET pro jednotlivé ekonomické činnosti (definované dle klasifikace NACE</w:t>
      </w:r>
      <w:r w:rsidR="007A5B62" w:rsidRPr="00C47E97">
        <w:rPr>
          <w:rStyle w:val="Znakapoznpodarou"/>
          <w:rFonts w:cstheme="minorHAnsi"/>
          <w:sz w:val="24"/>
          <w:szCs w:val="24"/>
          <w:lang w:eastAsia="cs-CZ"/>
        </w:rPr>
        <w:footnoteReference w:id="22"/>
      </w:r>
      <w:r w:rsidRPr="00C47E97">
        <w:rPr>
          <w:rFonts w:cstheme="minorHAnsi"/>
          <w:sz w:val="24"/>
          <w:szCs w:val="24"/>
          <w:lang w:eastAsia="cs-CZ"/>
        </w:rPr>
        <w:t>) mělo být dle</w:t>
      </w:r>
      <w:r w:rsidR="00E049EC" w:rsidRPr="00C47E97">
        <w:rPr>
          <w:rFonts w:cstheme="minorHAnsi"/>
          <w:sz w:val="24"/>
          <w:szCs w:val="24"/>
          <w:lang w:eastAsia="cs-CZ"/>
        </w:rPr>
        <w:t xml:space="preserve"> ustanovení § 37</w:t>
      </w:r>
      <w:r w:rsidRPr="00C47E97">
        <w:rPr>
          <w:rFonts w:cstheme="minorHAnsi"/>
          <w:sz w:val="24"/>
          <w:szCs w:val="24"/>
          <w:lang w:eastAsia="cs-CZ"/>
        </w:rPr>
        <w:t xml:space="preserve"> </w:t>
      </w:r>
      <w:r w:rsidR="007D62D6" w:rsidRPr="00C47E97">
        <w:rPr>
          <w:rFonts w:cstheme="minorHAnsi"/>
          <w:sz w:val="24"/>
          <w:szCs w:val="24"/>
          <w:lang w:eastAsia="cs-CZ"/>
        </w:rPr>
        <w:t xml:space="preserve">zákona o EET </w:t>
      </w:r>
      <w:r w:rsidR="00003D0B">
        <w:rPr>
          <w:rFonts w:cstheme="minorHAnsi"/>
          <w:sz w:val="24"/>
          <w:szCs w:val="24"/>
          <w:lang w:eastAsia="cs-CZ"/>
        </w:rPr>
        <w:t>realizováno</w:t>
      </w:r>
      <w:r w:rsidR="007D62D6" w:rsidRPr="00C47E97">
        <w:rPr>
          <w:rFonts w:cstheme="minorHAnsi"/>
          <w:sz w:val="24"/>
          <w:szCs w:val="24"/>
          <w:lang w:eastAsia="cs-CZ"/>
        </w:rPr>
        <w:t xml:space="preserve"> v několika vlnách</w:t>
      </w:r>
      <w:r w:rsidRPr="00C47E97">
        <w:rPr>
          <w:rFonts w:cstheme="minorHAnsi"/>
          <w:sz w:val="24"/>
          <w:szCs w:val="24"/>
          <w:lang w:eastAsia="cs-CZ"/>
        </w:rPr>
        <w:t>:</w:t>
      </w:r>
      <w:r w:rsidR="005B1D64" w:rsidRPr="00C47E97">
        <w:rPr>
          <w:rFonts w:cstheme="minorHAnsi"/>
          <w:sz w:val="24"/>
          <w:szCs w:val="24"/>
          <w:lang w:eastAsia="cs-CZ"/>
        </w:rPr>
        <w:t xml:space="preserve"> </w:t>
      </w:r>
    </w:p>
    <w:p w14:paraId="4E100DE2" w14:textId="79FE9985" w:rsidR="007D62D6" w:rsidRPr="00C47E97" w:rsidRDefault="00583C8C" w:rsidP="006E43BB">
      <w:pPr>
        <w:pStyle w:val="Odstavecseseznamem"/>
        <w:numPr>
          <w:ilvl w:val="0"/>
          <w:numId w:val="24"/>
        </w:numPr>
        <w:spacing w:after="0" w:line="240" w:lineRule="auto"/>
        <w:jc w:val="both"/>
        <w:rPr>
          <w:rFonts w:cstheme="minorHAnsi"/>
          <w:sz w:val="24"/>
          <w:szCs w:val="24"/>
          <w:lang w:eastAsia="cs-CZ"/>
        </w:rPr>
      </w:pPr>
      <w:r w:rsidRPr="00C47E97">
        <w:rPr>
          <w:rFonts w:cstheme="minorHAnsi"/>
          <w:sz w:val="24"/>
          <w:szCs w:val="24"/>
          <w:lang w:eastAsia="cs-CZ"/>
        </w:rPr>
        <w:t xml:space="preserve">1. vlna – od 1. 12. 2016 provozovatelé ubytovacích a stravovacích služeb (NACE </w:t>
      </w:r>
      <w:r w:rsidR="00C87B10">
        <w:rPr>
          <w:rFonts w:cstheme="minorHAnsi"/>
          <w:sz w:val="24"/>
          <w:szCs w:val="24"/>
          <w:lang w:eastAsia="cs-CZ"/>
        </w:rPr>
        <w:br/>
      </w:r>
      <w:r w:rsidRPr="00C47E97">
        <w:rPr>
          <w:rFonts w:cstheme="minorHAnsi"/>
          <w:sz w:val="24"/>
          <w:szCs w:val="24"/>
          <w:lang w:eastAsia="cs-CZ"/>
        </w:rPr>
        <w:t>pod kódem 55 a 56</w:t>
      </w:r>
      <w:r w:rsidR="007A5B62" w:rsidRPr="00C47E97">
        <w:rPr>
          <w:rFonts w:cstheme="minorHAnsi"/>
          <w:sz w:val="24"/>
          <w:szCs w:val="24"/>
          <w:lang w:eastAsia="cs-CZ"/>
        </w:rPr>
        <w:t xml:space="preserve">), </w:t>
      </w:r>
    </w:p>
    <w:p w14:paraId="58F1810D" w14:textId="44C6CA9B" w:rsidR="007D62D6" w:rsidRPr="00C47E97" w:rsidRDefault="007A5B62" w:rsidP="007D62D6">
      <w:pPr>
        <w:pStyle w:val="Odstavecseseznamem"/>
        <w:numPr>
          <w:ilvl w:val="0"/>
          <w:numId w:val="24"/>
        </w:numPr>
        <w:spacing w:after="120" w:line="240" w:lineRule="auto"/>
        <w:jc w:val="both"/>
        <w:rPr>
          <w:rFonts w:cstheme="minorHAnsi"/>
          <w:sz w:val="24"/>
          <w:szCs w:val="24"/>
          <w:lang w:eastAsia="cs-CZ"/>
        </w:rPr>
      </w:pPr>
      <w:r w:rsidRPr="00C47E97">
        <w:rPr>
          <w:rFonts w:cstheme="minorHAnsi"/>
          <w:sz w:val="24"/>
          <w:szCs w:val="24"/>
          <w:lang w:eastAsia="cs-CZ"/>
        </w:rPr>
        <w:t>2.</w:t>
      </w:r>
      <w:r w:rsidR="00583C8C" w:rsidRPr="00C47E97">
        <w:rPr>
          <w:rFonts w:cstheme="minorHAnsi"/>
          <w:sz w:val="24"/>
          <w:szCs w:val="24"/>
          <w:lang w:eastAsia="cs-CZ"/>
        </w:rPr>
        <w:t xml:space="preserve"> vlna </w:t>
      </w:r>
      <w:r w:rsidR="001F6854">
        <w:rPr>
          <w:rFonts w:cstheme="minorHAnsi"/>
          <w:sz w:val="24"/>
          <w:szCs w:val="24"/>
          <w:lang w:eastAsia="cs-CZ"/>
        </w:rPr>
        <w:t>–</w:t>
      </w:r>
      <w:r w:rsidR="00583C8C" w:rsidRPr="00C47E97">
        <w:rPr>
          <w:rFonts w:cstheme="minorHAnsi"/>
          <w:sz w:val="24"/>
          <w:szCs w:val="24"/>
          <w:lang w:eastAsia="cs-CZ"/>
        </w:rPr>
        <w:t xml:space="preserve"> 3 měsíce od spuštění, tj. od 1. 3. 2017</w:t>
      </w:r>
      <w:r w:rsidR="00752B74">
        <w:rPr>
          <w:rFonts w:cstheme="minorHAnsi"/>
          <w:sz w:val="24"/>
          <w:szCs w:val="24"/>
          <w:lang w:eastAsia="cs-CZ"/>
        </w:rPr>
        <w:t xml:space="preserve"> </w:t>
      </w:r>
      <w:r w:rsidR="00752B74" w:rsidRPr="00C47E97">
        <w:rPr>
          <w:rFonts w:cstheme="minorHAnsi"/>
          <w:sz w:val="24"/>
          <w:szCs w:val="24"/>
          <w:lang w:eastAsia="cs-CZ"/>
        </w:rPr>
        <w:t>–</w:t>
      </w:r>
      <w:r w:rsidR="00583C8C" w:rsidRPr="00C47E97">
        <w:rPr>
          <w:rFonts w:cstheme="minorHAnsi"/>
          <w:sz w:val="24"/>
          <w:szCs w:val="24"/>
          <w:lang w:eastAsia="cs-CZ"/>
        </w:rPr>
        <w:t xml:space="preserve"> subjekty provozující maloobchod a</w:t>
      </w:r>
      <w:r w:rsidR="00041825">
        <w:rPr>
          <w:rFonts w:cstheme="minorHAnsi"/>
          <w:sz w:val="24"/>
          <w:szCs w:val="24"/>
          <w:lang w:eastAsia="cs-CZ"/>
        </w:rPr>
        <w:t> </w:t>
      </w:r>
      <w:r w:rsidR="00583C8C" w:rsidRPr="00C47E97">
        <w:rPr>
          <w:rFonts w:cstheme="minorHAnsi"/>
          <w:sz w:val="24"/>
          <w:szCs w:val="24"/>
          <w:lang w:eastAsia="cs-CZ"/>
        </w:rPr>
        <w:t>velkoobchod (NACE pod kódem 45.1, 45.3, 45.4, 46 a 47)</w:t>
      </w:r>
      <w:r w:rsidRPr="00C47E97">
        <w:rPr>
          <w:rFonts w:cstheme="minorHAnsi"/>
          <w:sz w:val="24"/>
          <w:szCs w:val="24"/>
          <w:lang w:eastAsia="cs-CZ"/>
        </w:rPr>
        <w:t xml:space="preserve">, </w:t>
      </w:r>
    </w:p>
    <w:p w14:paraId="43F0A36B" w14:textId="19578523" w:rsidR="007D62D6" w:rsidRPr="00C47E97" w:rsidRDefault="00583C8C" w:rsidP="007D62D6">
      <w:pPr>
        <w:pStyle w:val="Odstavecseseznamem"/>
        <w:numPr>
          <w:ilvl w:val="0"/>
          <w:numId w:val="24"/>
        </w:numPr>
        <w:spacing w:after="120" w:line="240" w:lineRule="auto"/>
        <w:jc w:val="both"/>
        <w:rPr>
          <w:rFonts w:cstheme="minorHAnsi"/>
          <w:sz w:val="24"/>
          <w:szCs w:val="24"/>
          <w:lang w:eastAsia="cs-CZ"/>
        </w:rPr>
      </w:pPr>
      <w:r w:rsidRPr="00C47E97">
        <w:rPr>
          <w:rFonts w:cstheme="minorHAnsi"/>
          <w:sz w:val="24"/>
          <w:szCs w:val="24"/>
          <w:lang w:eastAsia="cs-CZ"/>
        </w:rPr>
        <w:t xml:space="preserve">3. vlna </w:t>
      </w:r>
      <w:r w:rsidR="001F6854">
        <w:rPr>
          <w:rFonts w:cstheme="minorHAnsi"/>
          <w:sz w:val="24"/>
          <w:szCs w:val="24"/>
          <w:lang w:eastAsia="cs-CZ"/>
        </w:rPr>
        <w:t>–</w:t>
      </w:r>
      <w:r w:rsidRPr="00C47E97">
        <w:rPr>
          <w:rFonts w:cstheme="minorHAnsi"/>
          <w:sz w:val="24"/>
          <w:szCs w:val="24"/>
          <w:lang w:eastAsia="cs-CZ"/>
        </w:rPr>
        <w:t xml:space="preserve"> 15 měsíců od spuštění, tj. od 1. 3. 2018 – podnikatelé provozující všechny ostatní činnosti, např. svobodná povolání (lékaři, právníci, účetní), dopravu </w:t>
      </w:r>
      <w:r w:rsidR="00C87B10">
        <w:rPr>
          <w:rFonts w:cstheme="minorHAnsi"/>
          <w:sz w:val="24"/>
          <w:szCs w:val="24"/>
          <w:lang w:eastAsia="cs-CZ"/>
        </w:rPr>
        <w:br/>
      </w:r>
      <w:r w:rsidRPr="00C47E97">
        <w:rPr>
          <w:rFonts w:cstheme="minorHAnsi"/>
          <w:sz w:val="24"/>
          <w:szCs w:val="24"/>
          <w:lang w:eastAsia="cs-CZ"/>
        </w:rPr>
        <w:t xml:space="preserve">či zemědělství, s výjimkou těch, které jsou zařazeny do čtvrté </w:t>
      </w:r>
      <w:r w:rsidR="00867254" w:rsidRPr="00C47E97">
        <w:rPr>
          <w:rFonts w:cstheme="minorHAnsi"/>
          <w:sz w:val="24"/>
          <w:szCs w:val="24"/>
          <w:lang w:eastAsia="cs-CZ"/>
        </w:rPr>
        <w:t>vlny</w:t>
      </w:r>
      <w:r w:rsidR="007A5B62" w:rsidRPr="00C47E97">
        <w:rPr>
          <w:rFonts w:cstheme="minorHAnsi"/>
          <w:sz w:val="24"/>
          <w:szCs w:val="24"/>
          <w:lang w:eastAsia="cs-CZ"/>
        </w:rPr>
        <w:t xml:space="preserve">, </w:t>
      </w:r>
    </w:p>
    <w:p w14:paraId="01BA1598" w14:textId="77777777" w:rsidR="00CB2BC3" w:rsidRPr="00C47E97" w:rsidRDefault="00583C8C" w:rsidP="007D62D6">
      <w:pPr>
        <w:pStyle w:val="Odstavecseseznamem"/>
        <w:numPr>
          <w:ilvl w:val="0"/>
          <w:numId w:val="24"/>
        </w:numPr>
        <w:spacing w:after="120" w:line="240" w:lineRule="auto"/>
        <w:jc w:val="both"/>
        <w:rPr>
          <w:rFonts w:cstheme="minorHAnsi"/>
          <w:sz w:val="24"/>
          <w:szCs w:val="24"/>
          <w:lang w:eastAsia="cs-CZ"/>
        </w:rPr>
      </w:pPr>
      <w:r w:rsidRPr="00C47E97">
        <w:rPr>
          <w:rFonts w:cstheme="minorHAnsi"/>
          <w:sz w:val="24"/>
          <w:szCs w:val="24"/>
          <w:lang w:eastAsia="cs-CZ"/>
        </w:rPr>
        <w:t>4. vlna – 18 měsíců od spuštění, tj. od 1. 6. 2018 – vybraná řemesla a výrobní činnosti.</w:t>
      </w:r>
    </w:p>
    <w:p w14:paraId="5ADB13E7" w14:textId="4D9B479C" w:rsidR="00FA7F24" w:rsidRPr="00C47E97" w:rsidRDefault="00D85996" w:rsidP="00FA7F24">
      <w:pPr>
        <w:spacing w:after="120" w:line="240" w:lineRule="auto"/>
        <w:jc w:val="both"/>
        <w:rPr>
          <w:rFonts w:eastAsia="Calibri" w:cstheme="minorHAnsi"/>
          <w:sz w:val="24"/>
          <w:szCs w:val="24"/>
        </w:rPr>
      </w:pPr>
      <w:r w:rsidRPr="00C47E97">
        <w:rPr>
          <w:rFonts w:eastAsia="Calibri" w:cstheme="minorHAnsi"/>
          <w:sz w:val="24"/>
          <w:szCs w:val="24"/>
        </w:rPr>
        <w:t xml:space="preserve">Nález Ústavního soudu sp. zn. Pl. ÚS 26/16 ze dne 12. 12. 2017 zrušil některá ustanovení </w:t>
      </w:r>
      <w:r w:rsidR="006A3921" w:rsidRPr="00C47E97">
        <w:rPr>
          <w:rFonts w:eastAsia="Calibri" w:cstheme="minorHAnsi"/>
          <w:sz w:val="24"/>
          <w:szCs w:val="24"/>
        </w:rPr>
        <w:t xml:space="preserve">zákona o EET </w:t>
      </w:r>
      <w:r w:rsidRPr="00C47E97">
        <w:rPr>
          <w:rFonts w:eastAsia="Calibri" w:cstheme="minorHAnsi"/>
          <w:sz w:val="24"/>
          <w:szCs w:val="24"/>
        </w:rPr>
        <w:t>(např.</w:t>
      </w:r>
      <w:r w:rsidR="00E049EC" w:rsidRPr="00C47E97">
        <w:rPr>
          <w:rFonts w:eastAsia="Calibri" w:cstheme="minorHAnsi"/>
          <w:sz w:val="24"/>
          <w:szCs w:val="24"/>
        </w:rPr>
        <w:t xml:space="preserve"> evidenc</w:t>
      </w:r>
      <w:r w:rsidR="008D2F8C">
        <w:rPr>
          <w:rFonts w:eastAsia="Calibri" w:cstheme="minorHAnsi"/>
          <w:sz w:val="24"/>
          <w:szCs w:val="24"/>
        </w:rPr>
        <w:t>i</w:t>
      </w:r>
      <w:r w:rsidR="00E049EC" w:rsidRPr="00C47E97">
        <w:rPr>
          <w:rFonts w:eastAsia="Calibri" w:cstheme="minorHAnsi"/>
          <w:sz w:val="24"/>
          <w:szCs w:val="24"/>
        </w:rPr>
        <w:t xml:space="preserve"> bezhotovostních plateb</w:t>
      </w:r>
      <w:r w:rsidR="00127F3C">
        <w:rPr>
          <w:rStyle w:val="Znakapoznpodarou"/>
          <w:rFonts w:eastAsia="Calibri" w:cstheme="minorHAnsi"/>
          <w:sz w:val="24"/>
          <w:szCs w:val="24"/>
        </w:rPr>
        <w:footnoteReference w:id="23"/>
      </w:r>
      <w:r w:rsidR="00E049EC" w:rsidRPr="00C47E97">
        <w:rPr>
          <w:rFonts w:eastAsia="Calibri" w:cstheme="minorHAnsi"/>
          <w:sz w:val="24"/>
          <w:szCs w:val="24"/>
        </w:rPr>
        <w:t xml:space="preserve">, </w:t>
      </w:r>
      <w:r w:rsidR="006A3921" w:rsidRPr="00C47E97">
        <w:rPr>
          <w:rFonts w:eastAsia="Calibri" w:cstheme="minorHAnsi"/>
          <w:sz w:val="24"/>
          <w:szCs w:val="24"/>
        </w:rPr>
        <w:t xml:space="preserve">termín </w:t>
      </w:r>
      <w:r w:rsidR="00E049EC" w:rsidRPr="00C47E97">
        <w:rPr>
          <w:rFonts w:eastAsia="Calibri" w:cstheme="minorHAnsi"/>
          <w:sz w:val="24"/>
          <w:szCs w:val="24"/>
        </w:rPr>
        <w:t xml:space="preserve">náběhu </w:t>
      </w:r>
      <w:r w:rsidR="00B351DC" w:rsidRPr="00C47E97">
        <w:rPr>
          <w:rFonts w:eastAsia="Calibri" w:cstheme="minorHAnsi"/>
          <w:sz w:val="24"/>
          <w:szCs w:val="24"/>
        </w:rPr>
        <w:t>třetí a čtvrté</w:t>
      </w:r>
      <w:r w:rsidR="00E049EC" w:rsidRPr="00C47E97">
        <w:rPr>
          <w:rFonts w:eastAsia="Calibri" w:cstheme="minorHAnsi"/>
          <w:sz w:val="24"/>
          <w:szCs w:val="24"/>
        </w:rPr>
        <w:t xml:space="preserve"> vlny EET, uvádění daňového identifikačního čísla</w:t>
      </w:r>
      <w:r w:rsidRPr="00C47E97">
        <w:rPr>
          <w:rFonts w:eastAsia="Calibri" w:cstheme="minorHAnsi"/>
          <w:sz w:val="24"/>
          <w:szCs w:val="24"/>
        </w:rPr>
        <w:t xml:space="preserve"> </w:t>
      </w:r>
      <w:r w:rsidR="00127F3C">
        <w:rPr>
          <w:rFonts w:eastAsia="Calibri" w:cstheme="minorHAnsi"/>
          <w:sz w:val="24"/>
          <w:szCs w:val="24"/>
        </w:rPr>
        <w:t xml:space="preserve">na účtenkách </w:t>
      </w:r>
      <w:r w:rsidR="00E049EC" w:rsidRPr="00C47E97">
        <w:rPr>
          <w:rFonts w:eastAsia="Calibri" w:cstheme="minorHAnsi"/>
          <w:sz w:val="24"/>
          <w:szCs w:val="24"/>
        </w:rPr>
        <w:t>aj.</w:t>
      </w:r>
      <w:r w:rsidRPr="00C47E97">
        <w:rPr>
          <w:rFonts w:eastAsia="Calibri" w:cstheme="minorHAnsi"/>
          <w:sz w:val="24"/>
          <w:szCs w:val="24"/>
        </w:rPr>
        <w:t>)</w:t>
      </w:r>
      <w:r w:rsidR="00E049EC" w:rsidRPr="00C47E97">
        <w:rPr>
          <w:rFonts w:eastAsia="Calibri" w:cstheme="minorHAnsi"/>
          <w:sz w:val="24"/>
          <w:szCs w:val="24"/>
        </w:rPr>
        <w:t xml:space="preserve">. V souvislosti s tímto nálezem byl </w:t>
      </w:r>
      <w:r w:rsidR="006A3921" w:rsidRPr="00C47E97">
        <w:rPr>
          <w:rFonts w:eastAsia="Calibri" w:cstheme="minorHAnsi"/>
          <w:sz w:val="24"/>
          <w:szCs w:val="24"/>
        </w:rPr>
        <w:t xml:space="preserve">zákon o EET </w:t>
      </w:r>
      <w:r w:rsidR="00E049EC" w:rsidRPr="00C47E97">
        <w:rPr>
          <w:rFonts w:eastAsia="Calibri" w:cstheme="minorHAnsi"/>
          <w:sz w:val="24"/>
          <w:szCs w:val="24"/>
        </w:rPr>
        <w:t>novelizován</w:t>
      </w:r>
      <w:r w:rsidR="00BD7547" w:rsidRPr="00C47E97">
        <w:rPr>
          <w:rStyle w:val="Znakapoznpodarou"/>
          <w:rFonts w:eastAsia="Calibri" w:cstheme="minorHAnsi"/>
          <w:sz w:val="24"/>
          <w:szCs w:val="24"/>
        </w:rPr>
        <w:footnoteReference w:id="24"/>
      </w:r>
      <w:r w:rsidR="00880442" w:rsidRPr="00C47E97">
        <w:rPr>
          <w:rFonts w:eastAsia="Calibri" w:cstheme="minorHAnsi"/>
          <w:sz w:val="24"/>
          <w:szCs w:val="24"/>
        </w:rPr>
        <w:t xml:space="preserve"> </w:t>
      </w:r>
      <w:r w:rsidR="00C87B10">
        <w:rPr>
          <w:rFonts w:eastAsia="Calibri" w:cstheme="minorHAnsi"/>
          <w:sz w:val="24"/>
          <w:szCs w:val="24"/>
        </w:rPr>
        <w:t>a</w:t>
      </w:r>
      <w:r w:rsidR="00BD7547" w:rsidRPr="00C47E97">
        <w:rPr>
          <w:rFonts w:eastAsia="Calibri" w:cstheme="minorHAnsi"/>
          <w:sz w:val="24"/>
          <w:szCs w:val="24"/>
        </w:rPr>
        <w:t xml:space="preserve"> novela </w:t>
      </w:r>
      <w:r w:rsidR="00C87B10">
        <w:rPr>
          <w:rFonts w:eastAsia="Calibri" w:cstheme="minorHAnsi"/>
          <w:sz w:val="24"/>
          <w:szCs w:val="24"/>
        </w:rPr>
        <w:t xml:space="preserve">dále mj. </w:t>
      </w:r>
      <w:r w:rsidR="00B351DC" w:rsidRPr="00C47E97">
        <w:rPr>
          <w:rFonts w:eastAsia="Calibri" w:cstheme="minorHAnsi"/>
          <w:sz w:val="24"/>
          <w:szCs w:val="24"/>
        </w:rPr>
        <w:t>posunula</w:t>
      </w:r>
      <w:r w:rsidR="00BD7547" w:rsidRPr="00C47E97">
        <w:rPr>
          <w:rFonts w:eastAsia="Calibri" w:cstheme="minorHAnsi"/>
          <w:sz w:val="24"/>
          <w:szCs w:val="24"/>
        </w:rPr>
        <w:t xml:space="preserve"> </w:t>
      </w:r>
      <w:r w:rsidR="00E049EC" w:rsidRPr="00C47E97">
        <w:rPr>
          <w:rFonts w:eastAsia="Calibri" w:cstheme="minorHAnsi"/>
          <w:sz w:val="24"/>
          <w:szCs w:val="24"/>
        </w:rPr>
        <w:t xml:space="preserve">náběh </w:t>
      </w:r>
      <w:r w:rsidR="00B351DC" w:rsidRPr="00C47E97">
        <w:rPr>
          <w:rFonts w:eastAsia="Calibri" w:cstheme="minorHAnsi"/>
          <w:sz w:val="24"/>
          <w:szCs w:val="24"/>
        </w:rPr>
        <w:t>třetí a čtvrté</w:t>
      </w:r>
      <w:r w:rsidR="00E049EC" w:rsidRPr="00C47E97">
        <w:rPr>
          <w:rFonts w:eastAsia="Calibri" w:cstheme="minorHAnsi"/>
          <w:sz w:val="24"/>
          <w:szCs w:val="24"/>
        </w:rPr>
        <w:t xml:space="preserve"> vlny EET </w:t>
      </w:r>
      <w:r w:rsidR="001F6854">
        <w:rPr>
          <w:rFonts w:eastAsia="Calibri" w:cstheme="minorHAnsi"/>
          <w:sz w:val="24"/>
          <w:szCs w:val="24"/>
        </w:rPr>
        <w:t xml:space="preserve">na dobu </w:t>
      </w:r>
      <w:r w:rsidR="00C87B10">
        <w:rPr>
          <w:rFonts w:eastAsia="Calibri" w:cstheme="minorHAnsi"/>
          <w:sz w:val="24"/>
          <w:szCs w:val="24"/>
        </w:rPr>
        <w:br/>
      </w:r>
      <w:r w:rsidR="00880442" w:rsidRPr="00C47E97">
        <w:rPr>
          <w:rFonts w:eastAsia="Calibri" w:cstheme="minorHAnsi"/>
          <w:sz w:val="24"/>
          <w:szCs w:val="24"/>
        </w:rPr>
        <w:t>od</w:t>
      </w:r>
      <w:r w:rsidR="00E049EC" w:rsidRPr="00C47E97">
        <w:rPr>
          <w:rFonts w:eastAsia="Calibri" w:cstheme="minorHAnsi"/>
          <w:sz w:val="24"/>
          <w:szCs w:val="24"/>
        </w:rPr>
        <w:t xml:space="preserve"> 1.</w:t>
      </w:r>
      <w:r w:rsidR="001F6854">
        <w:rPr>
          <w:rFonts w:eastAsia="Calibri" w:cstheme="minorHAnsi"/>
          <w:sz w:val="24"/>
          <w:szCs w:val="24"/>
        </w:rPr>
        <w:t> </w:t>
      </w:r>
      <w:r w:rsidR="00E049EC" w:rsidRPr="00C47E97">
        <w:rPr>
          <w:rFonts w:eastAsia="Calibri" w:cstheme="minorHAnsi"/>
          <w:sz w:val="24"/>
          <w:szCs w:val="24"/>
        </w:rPr>
        <w:t>5.</w:t>
      </w:r>
      <w:r w:rsidR="001F6854">
        <w:rPr>
          <w:rFonts w:eastAsia="Calibri" w:cstheme="minorHAnsi"/>
          <w:sz w:val="24"/>
          <w:szCs w:val="24"/>
        </w:rPr>
        <w:t> </w:t>
      </w:r>
      <w:r w:rsidR="00E049EC" w:rsidRPr="00C47E97">
        <w:rPr>
          <w:rFonts w:eastAsia="Calibri" w:cstheme="minorHAnsi"/>
          <w:sz w:val="24"/>
          <w:szCs w:val="24"/>
        </w:rPr>
        <w:t xml:space="preserve">2020. </w:t>
      </w:r>
    </w:p>
    <w:bookmarkEnd w:id="12"/>
    <w:p w14:paraId="21975ACA" w14:textId="2CECE8E5" w:rsidR="00FA7F24" w:rsidRPr="00C47E97" w:rsidRDefault="00C87B10" w:rsidP="00FA7F24">
      <w:pPr>
        <w:spacing w:after="120" w:line="240" w:lineRule="auto"/>
        <w:jc w:val="both"/>
        <w:rPr>
          <w:rFonts w:cstheme="minorHAnsi"/>
          <w:sz w:val="24"/>
          <w:szCs w:val="24"/>
        </w:rPr>
      </w:pPr>
      <w:r>
        <w:rPr>
          <w:rFonts w:cstheme="minorHAnsi"/>
          <w:sz w:val="24"/>
          <w:szCs w:val="24"/>
        </w:rPr>
        <w:t>V</w:t>
      </w:r>
      <w:r w:rsidR="001F6854">
        <w:rPr>
          <w:rFonts w:cstheme="minorHAnsi"/>
          <w:sz w:val="24"/>
          <w:szCs w:val="24"/>
        </w:rPr>
        <w:t xml:space="preserve"> </w:t>
      </w:r>
      <w:r>
        <w:rPr>
          <w:rFonts w:cstheme="minorHAnsi"/>
          <w:sz w:val="24"/>
          <w:szCs w:val="24"/>
        </w:rPr>
        <w:t>tabulce</w:t>
      </w:r>
      <w:r w:rsidR="006E43BB">
        <w:rPr>
          <w:rFonts w:cstheme="minorHAnsi"/>
          <w:sz w:val="24"/>
          <w:szCs w:val="24"/>
        </w:rPr>
        <w:t xml:space="preserve"> č. 3</w:t>
      </w:r>
      <w:r w:rsidR="00221373" w:rsidRPr="00C47E97">
        <w:rPr>
          <w:rFonts w:cstheme="minorHAnsi"/>
          <w:sz w:val="24"/>
          <w:szCs w:val="24"/>
        </w:rPr>
        <w:t xml:space="preserve"> je uveden předpokládaný počet </w:t>
      </w:r>
      <w:r w:rsidR="00B351DC" w:rsidRPr="00C47E97">
        <w:rPr>
          <w:rFonts w:cstheme="minorHAnsi"/>
          <w:sz w:val="24"/>
          <w:szCs w:val="24"/>
        </w:rPr>
        <w:t>daňových subjektů</w:t>
      </w:r>
      <w:r w:rsidR="00221373" w:rsidRPr="00C47E97">
        <w:rPr>
          <w:rFonts w:cstheme="minorHAnsi"/>
          <w:sz w:val="24"/>
          <w:szCs w:val="24"/>
        </w:rPr>
        <w:t xml:space="preserve">, </w:t>
      </w:r>
      <w:r w:rsidR="00B351DC" w:rsidRPr="00C47E97">
        <w:rPr>
          <w:rFonts w:cstheme="minorHAnsi"/>
          <w:sz w:val="24"/>
          <w:szCs w:val="24"/>
        </w:rPr>
        <w:t>které dle GFŘ</w:t>
      </w:r>
      <w:r w:rsidR="00221373" w:rsidRPr="00C47E97">
        <w:rPr>
          <w:rFonts w:cstheme="minorHAnsi"/>
          <w:sz w:val="24"/>
          <w:szCs w:val="24"/>
        </w:rPr>
        <w:t xml:space="preserve"> </w:t>
      </w:r>
      <w:r w:rsidR="00B351DC" w:rsidRPr="00C47E97">
        <w:rPr>
          <w:rFonts w:cstheme="minorHAnsi"/>
          <w:sz w:val="24"/>
          <w:szCs w:val="24"/>
        </w:rPr>
        <w:t xml:space="preserve">měly </w:t>
      </w:r>
      <w:r w:rsidR="0076436C">
        <w:rPr>
          <w:rFonts w:cstheme="minorHAnsi"/>
          <w:sz w:val="24"/>
          <w:szCs w:val="24"/>
        </w:rPr>
        <w:t>evidovat tržby v</w:t>
      </w:r>
      <w:r w:rsidR="00221373" w:rsidRPr="00C47E97">
        <w:rPr>
          <w:rFonts w:cstheme="minorHAnsi"/>
          <w:sz w:val="24"/>
          <w:szCs w:val="24"/>
        </w:rPr>
        <w:t xml:space="preserve"> jednotlivých vln</w:t>
      </w:r>
      <w:r w:rsidR="0076436C">
        <w:rPr>
          <w:rFonts w:cstheme="minorHAnsi"/>
          <w:sz w:val="24"/>
          <w:szCs w:val="24"/>
        </w:rPr>
        <w:t>ách</w:t>
      </w:r>
      <w:r w:rsidR="00221373" w:rsidRPr="00C47E97">
        <w:rPr>
          <w:rFonts w:cstheme="minorHAnsi"/>
          <w:sz w:val="24"/>
          <w:szCs w:val="24"/>
        </w:rPr>
        <w:t xml:space="preserve"> EET. </w:t>
      </w:r>
      <w:r w:rsidR="00FA7F24" w:rsidRPr="00C47E97">
        <w:rPr>
          <w:rFonts w:cstheme="minorHAnsi"/>
          <w:sz w:val="24"/>
          <w:szCs w:val="24"/>
        </w:rPr>
        <w:t xml:space="preserve">Zavedení první a druhé vlny EET se týkalo </w:t>
      </w:r>
      <w:r w:rsidR="001F41C6">
        <w:rPr>
          <w:rFonts w:cstheme="minorHAnsi"/>
          <w:sz w:val="24"/>
          <w:szCs w:val="24"/>
        </w:rPr>
        <w:t xml:space="preserve">pouze </w:t>
      </w:r>
      <w:r w:rsidR="00FA7F24" w:rsidRPr="00C47E97">
        <w:rPr>
          <w:rFonts w:cstheme="minorHAnsi"/>
          <w:sz w:val="24"/>
          <w:szCs w:val="24"/>
        </w:rPr>
        <w:t>19 % subjektů</w:t>
      </w:r>
      <w:r w:rsidR="0077000E" w:rsidRPr="00C47E97">
        <w:rPr>
          <w:rFonts w:cstheme="minorHAnsi"/>
          <w:sz w:val="24"/>
          <w:szCs w:val="24"/>
        </w:rPr>
        <w:t>.</w:t>
      </w:r>
      <w:r w:rsidR="00265A1A" w:rsidRPr="00C47E97">
        <w:rPr>
          <w:rFonts w:cstheme="minorHAnsi"/>
          <w:sz w:val="24"/>
          <w:szCs w:val="24"/>
        </w:rPr>
        <w:t xml:space="preserve"> </w:t>
      </w:r>
    </w:p>
    <w:p w14:paraId="4F142356" w14:textId="77777777" w:rsidR="001F6854" w:rsidRDefault="001F6854">
      <w:pPr>
        <w:rPr>
          <w:rFonts w:cstheme="minorHAnsi"/>
          <w:bCs/>
          <w:sz w:val="24"/>
        </w:rPr>
      </w:pPr>
      <w:r>
        <w:rPr>
          <w:rFonts w:cstheme="minorHAnsi"/>
          <w:bCs/>
          <w:sz w:val="24"/>
        </w:rPr>
        <w:br w:type="page"/>
      </w:r>
    </w:p>
    <w:p w14:paraId="4682C801" w14:textId="3BC8C85A" w:rsidR="00941DBF" w:rsidRPr="00F104DF" w:rsidRDefault="006822B1" w:rsidP="003B25D8">
      <w:pPr>
        <w:keepNext/>
        <w:spacing w:after="0"/>
        <w:jc w:val="both"/>
        <w:rPr>
          <w:rFonts w:cstheme="minorHAnsi"/>
          <w:b/>
          <w:sz w:val="24"/>
        </w:rPr>
      </w:pPr>
      <w:r w:rsidRPr="00F104DF">
        <w:rPr>
          <w:rFonts w:cstheme="minorHAnsi"/>
          <w:b/>
          <w:sz w:val="24"/>
        </w:rPr>
        <w:lastRenderedPageBreak/>
        <w:t xml:space="preserve">Tabulka </w:t>
      </w:r>
      <w:r w:rsidR="009053C8" w:rsidRPr="00F104DF">
        <w:rPr>
          <w:rFonts w:cstheme="minorHAnsi"/>
          <w:b/>
          <w:sz w:val="24"/>
        </w:rPr>
        <w:t xml:space="preserve">č. </w:t>
      </w:r>
      <w:r w:rsidR="002B6460" w:rsidRPr="00F104DF">
        <w:rPr>
          <w:rFonts w:cstheme="minorHAnsi"/>
          <w:b/>
          <w:sz w:val="24"/>
        </w:rPr>
        <w:t>3</w:t>
      </w:r>
      <w:r w:rsidR="001F6854" w:rsidRPr="00F104DF">
        <w:rPr>
          <w:rFonts w:cstheme="minorHAnsi"/>
          <w:b/>
          <w:sz w:val="24"/>
        </w:rPr>
        <w:t>:</w:t>
      </w:r>
      <w:r w:rsidR="00566B67" w:rsidRPr="00F104DF">
        <w:rPr>
          <w:rFonts w:cstheme="minorHAnsi"/>
          <w:b/>
          <w:sz w:val="24"/>
        </w:rPr>
        <w:t xml:space="preserve"> </w:t>
      </w:r>
      <w:r w:rsidRPr="00F104DF">
        <w:rPr>
          <w:rFonts w:cstheme="minorHAnsi"/>
          <w:b/>
          <w:sz w:val="24"/>
        </w:rPr>
        <w:t>Počty</w:t>
      </w:r>
      <w:r w:rsidR="00941DBF" w:rsidRPr="00F104DF">
        <w:rPr>
          <w:rFonts w:cstheme="minorHAnsi"/>
          <w:b/>
          <w:sz w:val="24"/>
        </w:rPr>
        <w:t xml:space="preserve"> </w:t>
      </w:r>
      <w:r w:rsidR="00B351DC" w:rsidRPr="00F104DF">
        <w:rPr>
          <w:rFonts w:cstheme="minorHAnsi"/>
          <w:b/>
          <w:sz w:val="24"/>
        </w:rPr>
        <w:t>subjektů</w:t>
      </w:r>
      <w:r w:rsidR="00941DBF" w:rsidRPr="00F104DF">
        <w:rPr>
          <w:rFonts w:cstheme="minorHAnsi"/>
          <w:b/>
          <w:sz w:val="24"/>
        </w:rPr>
        <w:t xml:space="preserve">, které </w:t>
      </w:r>
      <w:r w:rsidR="00B351DC" w:rsidRPr="00F104DF">
        <w:rPr>
          <w:rFonts w:cstheme="minorHAnsi"/>
          <w:b/>
          <w:sz w:val="24"/>
        </w:rPr>
        <w:t>měly dle předpokladu evidovat tržby v</w:t>
      </w:r>
      <w:r w:rsidR="008564A4" w:rsidRPr="00F104DF">
        <w:rPr>
          <w:rFonts w:cstheme="minorHAnsi"/>
          <w:b/>
          <w:sz w:val="24"/>
        </w:rPr>
        <w:t xml:space="preserve"> EET</w:t>
      </w:r>
    </w:p>
    <w:tbl>
      <w:tblPr>
        <w:tblStyle w:val="Mkatabulky"/>
        <w:tblW w:w="5013" w:type="pct"/>
        <w:tblLook w:val="04A0" w:firstRow="1" w:lastRow="0" w:firstColumn="1" w:lastColumn="0" w:noHBand="0" w:noVBand="1"/>
      </w:tblPr>
      <w:tblGrid>
        <w:gridCol w:w="853"/>
        <w:gridCol w:w="2299"/>
        <w:gridCol w:w="2055"/>
        <w:gridCol w:w="1090"/>
        <w:gridCol w:w="1577"/>
        <w:gridCol w:w="1212"/>
      </w:tblGrid>
      <w:tr w:rsidR="00A42A3A" w:rsidRPr="00F104DF" w14:paraId="57B1CBFB" w14:textId="77777777" w:rsidTr="00F104DF">
        <w:trPr>
          <w:trHeight w:val="397"/>
        </w:trPr>
        <w:tc>
          <w:tcPr>
            <w:tcW w:w="469" w:type="pct"/>
            <w:shd w:val="clear" w:color="auto" w:fill="E5F1FF"/>
            <w:vAlign w:val="center"/>
          </w:tcPr>
          <w:p w14:paraId="223FB94A" w14:textId="20BB05E1" w:rsidR="00A42A3A" w:rsidRPr="00F104DF" w:rsidRDefault="001F6854" w:rsidP="00F104DF">
            <w:pPr>
              <w:keepNext/>
              <w:jc w:val="center"/>
              <w:rPr>
                <w:rFonts w:cstheme="minorHAnsi"/>
                <w:b/>
                <w:sz w:val="20"/>
                <w:szCs w:val="20"/>
              </w:rPr>
            </w:pPr>
            <w:r w:rsidRPr="00F104DF">
              <w:rPr>
                <w:rFonts w:cstheme="minorHAnsi"/>
                <w:b/>
                <w:sz w:val="20"/>
                <w:szCs w:val="20"/>
              </w:rPr>
              <w:t>V</w:t>
            </w:r>
            <w:r w:rsidR="00A42A3A" w:rsidRPr="00F104DF">
              <w:rPr>
                <w:rFonts w:cstheme="minorHAnsi"/>
                <w:b/>
                <w:sz w:val="20"/>
                <w:szCs w:val="20"/>
              </w:rPr>
              <w:t>lna EET</w:t>
            </w:r>
          </w:p>
        </w:tc>
        <w:tc>
          <w:tcPr>
            <w:tcW w:w="1265" w:type="pct"/>
            <w:shd w:val="clear" w:color="auto" w:fill="E5F1FF"/>
            <w:vAlign w:val="center"/>
          </w:tcPr>
          <w:p w14:paraId="01B40715" w14:textId="77777777" w:rsidR="00A42A3A" w:rsidRPr="00F104DF" w:rsidRDefault="00A42A3A" w:rsidP="00F104DF">
            <w:pPr>
              <w:keepNext/>
              <w:jc w:val="center"/>
              <w:rPr>
                <w:rFonts w:cstheme="minorHAnsi"/>
                <w:b/>
                <w:sz w:val="20"/>
                <w:szCs w:val="20"/>
              </w:rPr>
            </w:pPr>
            <w:r w:rsidRPr="00F104DF">
              <w:rPr>
                <w:rFonts w:cstheme="minorHAnsi"/>
                <w:b/>
                <w:sz w:val="20"/>
                <w:szCs w:val="20"/>
              </w:rPr>
              <w:t>Počet podnikajících FO</w:t>
            </w:r>
          </w:p>
        </w:tc>
        <w:tc>
          <w:tcPr>
            <w:tcW w:w="1131" w:type="pct"/>
            <w:shd w:val="clear" w:color="auto" w:fill="E5F1FF"/>
            <w:vAlign w:val="center"/>
          </w:tcPr>
          <w:p w14:paraId="728050C5" w14:textId="6E8050D5" w:rsidR="00A42A3A" w:rsidRPr="00F104DF" w:rsidRDefault="00A42A3A" w:rsidP="00F104DF">
            <w:pPr>
              <w:keepNext/>
              <w:jc w:val="center"/>
              <w:rPr>
                <w:rFonts w:cstheme="minorHAnsi"/>
                <w:b/>
                <w:sz w:val="20"/>
                <w:szCs w:val="20"/>
              </w:rPr>
            </w:pPr>
            <w:r w:rsidRPr="00F104DF">
              <w:rPr>
                <w:rFonts w:cstheme="minorHAnsi"/>
                <w:b/>
                <w:sz w:val="20"/>
                <w:szCs w:val="20"/>
              </w:rPr>
              <w:t>Počet podnikajících PO</w:t>
            </w:r>
          </w:p>
        </w:tc>
        <w:tc>
          <w:tcPr>
            <w:tcW w:w="600" w:type="pct"/>
            <w:shd w:val="clear" w:color="auto" w:fill="E5F1FF"/>
            <w:vAlign w:val="center"/>
          </w:tcPr>
          <w:p w14:paraId="3FA792D9" w14:textId="77777777" w:rsidR="00A42A3A" w:rsidRPr="00F104DF" w:rsidRDefault="00A42A3A" w:rsidP="00F104DF">
            <w:pPr>
              <w:keepNext/>
              <w:jc w:val="center"/>
              <w:rPr>
                <w:rFonts w:cstheme="minorHAnsi"/>
                <w:b/>
                <w:sz w:val="20"/>
                <w:szCs w:val="20"/>
              </w:rPr>
            </w:pPr>
            <w:r w:rsidRPr="00F104DF">
              <w:rPr>
                <w:rFonts w:cstheme="minorHAnsi"/>
                <w:b/>
                <w:sz w:val="20"/>
                <w:szCs w:val="20"/>
              </w:rPr>
              <w:t>Celkem (počet)</w:t>
            </w:r>
          </w:p>
        </w:tc>
        <w:tc>
          <w:tcPr>
            <w:tcW w:w="1535" w:type="pct"/>
            <w:gridSpan w:val="2"/>
            <w:shd w:val="clear" w:color="auto" w:fill="E5F1FF"/>
            <w:vAlign w:val="center"/>
          </w:tcPr>
          <w:p w14:paraId="1AB9745D" w14:textId="64F29736" w:rsidR="00A42A3A" w:rsidRPr="00F104DF" w:rsidRDefault="00A42A3A" w:rsidP="00F104DF">
            <w:pPr>
              <w:keepNext/>
              <w:jc w:val="center"/>
              <w:rPr>
                <w:rFonts w:cstheme="minorHAnsi"/>
                <w:b/>
                <w:sz w:val="20"/>
                <w:szCs w:val="20"/>
              </w:rPr>
            </w:pPr>
            <w:r w:rsidRPr="00F104DF">
              <w:rPr>
                <w:rFonts w:cstheme="minorHAnsi"/>
                <w:b/>
                <w:sz w:val="20"/>
                <w:szCs w:val="20"/>
              </w:rPr>
              <w:t xml:space="preserve">Celkem </w:t>
            </w:r>
            <w:r w:rsidR="001F6854" w:rsidRPr="00F104DF">
              <w:rPr>
                <w:rFonts w:cstheme="minorHAnsi"/>
                <w:b/>
                <w:sz w:val="20"/>
                <w:szCs w:val="20"/>
              </w:rPr>
              <w:br/>
              <w:t>(</w:t>
            </w:r>
            <w:r w:rsidRPr="00F104DF">
              <w:rPr>
                <w:rFonts w:cstheme="minorHAnsi"/>
                <w:b/>
                <w:sz w:val="20"/>
                <w:szCs w:val="20"/>
              </w:rPr>
              <w:t>v %</w:t>
            </w:r>
            <w:r w:rsidR="001F6854" w:rsidRPr="00F104DF">
              <w:rPr>
                <w:rFonts w:cstheme="minorHAnsi"/>
                <w:b/>
                <w:sz w:val="20"/>
                <w:szCs w:val="20"/>
              </w:rPr>
              <w:t>)</w:t>
            </w:r>
          </w:p>
        </w:tc>
      </w:tr>
      <w:tr w:rsidR="00A42A3A" w:rsidRPr="00F104DF" w14:paraId="3D5EC10F" w14:textId="77777777" w:rsidTr="00F104DF">
        <w:trPr>
          <w:trHeight w:val="194"/>
        </w:trPr>
        <w:tc>
          <w:tcPr>
            <w:tcW w:w="469" w:type="pct"/>
            <w:shd w:val="clear" w:color="auto" w:fill="auto"/>
          </w:tcPr>
          <w:p w14:paraId="5AEB3EDD" w14:textId="77777777" w:rsidR="00A42A3A" w:rsidRPr="00F104DF" w:rsidRDefault="00A42A3A" w:rsidP="001D08C9">
            <w:pPr>
              <w:jc w:val="both"/>
              <w:rPr>
                <w:rFonts w:cstheme="minorHAnsi"/>
                <w:sz w:val="20"/>
                <w:szCs w:val="20"/>
              </w:rPr>
            </w:pPr>
            <w:r w:rsidRPr="00F104DF">
              <w:rPr>
                <w:rFonts w:cstheme="minorHAnsi"/>
                <w:sz w:val="20"/>
                <w:szCs w:val="20"/>
              </w:rPr>
              <w:t>1.</w:t>
            </w:r>
          </w:p>
        </w:tc>
        <w:tc>
          <w:tcPr>
            <w:tcW w:w="1265" w:type="pct"/>
            <w:shd w:val="clear" w:color="auto" w:fill="auto"/>
            <w:vAlign w:val="center"/>
          </w:tcPr>
          <w:p w14:paraId="0DD78698" w14:textId="77777777" w:rsidR="00A42A3A" w:rsidRPr="00F104DF" w:rsidRDefault="00A42A3A" w:rsidP="00F104DF">
            <w:pPr>
              <w:jc w:val="right"/>
              <w:rPr>
                <w:rFonts w:cstheme="minorHAnsi"/>
                <w:sz w:val="20"/>
                <w:szCs w:val="20"/>
              </w:rPr>
            </w:pPr>
            <w:r w:rsidRPr="00F104DF">
              <w:rPr>
                <w:rFonts w:cstheme="minorHAnsi"/>
                <w:sz w:val="20"/>
                <w:szCs w:val="20"/>
              </w:rPr>
              <w:t>26 141</w:t>
            </w:r>
          </w:p>
        </w:tc>
        <w:tc>
          <w:tcPr>
            <w:tcW w:w="1131" w:type="pct"/>
            <w:shd w:val="clear" w:color="auto" w:fill="auto"/>
            <w:vAlign w:val="center"/>
          </w:tcPr>
          <w:p w14:paraId="205334AF" w14:textId="77777777" w:rsidR="00A42A3A" w:rsidRPr="00F104DF" w:rsidRDefault="00A42A3A" w:rsidP="00F104DF">
            <w:pPr>
              <w:jc w:val="right"/>
              <w:rPr>
                <w:rFonts w:cstheme="minorHAnsi"/>
                <w:sz w:val="20"/>
                <w:szCs w:val="20"/>
              </w:rPr>
            </w:pPr>
            <w:r w:rsidRPr="00F104DF">
              <w:rPr>
                <w:rFonts w:cstheme="minorHAnsi"/>
                <w:sz w:val="20"/>
                <w:szCs w:val="20"/>
              </w:rPr>
              <w:t>7 182</w:t>
            </w:r>
          </w:p>
        </w:tc>
        <w:tc>
          <w:tcPr>
            <w:tcW w:w="600" w:type="pct"/>
            <w:shd w:val="clear" w:color="auto" w:fill="auto"/>
            <w:vAlign w:val="center"/>
          </w:tcPr>
          <w:p w14:paraId="3318F1A5" w14:textId="77777777" w:rsidR="00A42A3A" w:rsidRPr="00F104DF" w:rsidRDefault="00A42A3A" w:rsidP="00F104DF">
            <w:pPr>
              <w:jc w:val="right"/>
              <w:rPr>
                <w:rFonts w:cstheme="minorHAnsi"/>
                <w:sz w:val="20"/>
                <w:szCs w:val="20"/>
              </w:rPr>
            </w:pPr>
            <w:r w:rsidRPr="00F104DF">
              <w:rPr>
                <w:rFonts w:cstheme="minorHAnsi"/>
                <w:sz w:val="20"/>
                <w:szCs w:val="20"/>
              </w:rPr>
              <w:t>33 323</w:t>
            </w:r>
          </w:p>
        </w:tc>
        <w:tc>
          <w:tcPr>
            <w:tcW w:w="868" w:type="pct"/>
            <w:shd w:val="clear" w:color="auto" w:fill="auto"/>
            <w:vAlign w:val="center"/>
          </w:tcPr>
          <w:p w14:paraId="5EFB1923" w14:textId="77777777" w:rsidR="00A42A3A" w:rsidRPr="00F104DF" w:rsidRDefault="00A42A3A" w:rsidP="00F104DF">
            <w:pPr>
              <w:jc w:val="right"/>
              <w:rPr>
                <w:rFonts w:cstheme="minorHAnsi"/>
                <w:sz w:val="20"/>
                <w:szCs w:val="20"/>
              </w:rPr>
            </w:pPr>
            <w:r w:rsidRPr="00F104DF">
              <w:rPr>
                <w:rFonts w:cstheme="minorHAnsi"/>
                <w:sz w:val="20"/>
                <w:szCs w:val="20"/>
              </w:rPr>
              <w:t>3,45 %</w:t>
            </w:r>
          </w:p>
        </w:tc>
        <w:tc>
          <w:tcPr>
            <w:tcW w:w="667" w:type="pct"/>
            <w:vMerge w:val="restart"/>
            <w:shd w:val="clear" w:color="auto" w:fill="auto"/>
            <w:vAlign w:val="center"/>
          </w:tcPr>
          <w:p w14:paraId="62003784" w14:textId="77777777" w:rsidR="00A42A3A" w:rsidRPr="00F104DF" w:rsidRDefault="00A42A3A" w:rsidP="00F104DF">
            <w:pPr>
              <w:ind w:right="227"/>
              <w:jc w:val="right"/>
              <w:rPr>
                <w:rFonts w:cstheme="minorHAnsi"/>
                <w:sz w:val="20"/>
                <w:szCs w:val="20"/>
              </w:rPr>
            </w:pPr>
            <w:r w:rsidRPr="00F104DF">
              <w:rPr>
                <w:rFonts w:cstheme="minorHAnsi"/>
                <w:sz w:val="20"/>
                <w:szCs w:val="20"/>
              </w:rPr>
              <w:t>19 %</w:t>
            </w:r>
          </w:p>
        </w:tc>
      </w:tr>
      <w:tr w:rsidR="00A42A3A" w:rsidRPr="00F104DF" w14:paraId="6DD97535" w14:textId="77777777" w:rsidTr="00F104DF">
        <w:trPr>
          <w:trHeight w:val="194"/>
        </w:trPr>
        <w:tc>
          <w:tcPr>
            <w:tcW w:w="469" w:type="pct"/>
            <w:shd w:val="clear" w:color="auto" w:fill="auto"/>
          </w:tcPr>
          <w:p w14:paraId="77212AD2" w14:textId="77777777" w:rsidR="00A42A3A" w:rsidRPr="00F104DF" w:rsidRDefault="00A42A3A" w:rsidP="001D08C9">
            <w:pPr>
              <w:jc w:val="both"/>
              <w:rPr>
                <w:rFonts w:cstheme="minorHAnsi"/>
                <w:sz w:val="20"/>
                <w:szCs w:val="20"/>
              </w:rPr>
            </w:pPr>
            <w:r w:rsidRPr="00F104DF">
              <w:rPr>
                <w:rFonts w:cstheme="minorHAnsi"/>
                <w:sz w:val="20"/>
                <w:szCs w:val="20"/>
              </w:rPr>
              <w:t>2.</w:t>
            </w:r>
          </w:p>
        </w:tc>
        <w:tc>
          <w:tcPr>
            <w:tcW w:w="1265" w:type="pct"/>
            <w:shd w:val="clear" w:color="auto" w:fill="auto"/>
            <w:vAlign w:val="center"/>
          </w:tcPr>
          <w:p w14:paraId="4E74BA57" w14:textId="77777777" w:rsidR="00A42A3A" w:rsidRPr="00F104DF" w:rsidRDefault="00A42A3A" w:rsidP="00F104DF">
            <w:pPr>
              <w:jc w:val="right"/>
              <w:rPr>
                <w:rFonts w:cstheme="minorHAnsi"/>
                <w:sz w:val="20"/>
                <w:szCs w:val="20"/>
              </w:rPr>
            </w:pPr>
            <w:r w:rsidRPr="00F104DF">
              <w:rPr>
                <w:rFonts w:cstheme="minorHAnsi"/>
                <w:sz w:val="20"/>
                <w:szCs w:val="20"/>
              </w:rPr>
              <w:t>107 978</w:t>
            </w:r>
          </w:p>
        </w:tc>
        <w:tc>
          <w:tcPr>
            <w:tcW w:w="1131" w:type="pct"/>
            <w:shd w:val="clear" w:color="auto" w:fill="auto"/>
            <w:vAlign w:val="center"/>
          </w:tcPr>
          <w:p w14:paraId="6F1D85C7" w14:textId="77777777" w:rsidR="00A42A3A" w:rsidRPr="00F104DF" w:rsidRDefault="00A42A3A" w:rsidP="00F104DF">
            <w:pPr>
              <w:jc w:val="right"/>
              <w:rPr>
                <w:rFonts w:cstheme="minorHAnsi"/>
                <w:sz w:val="20"/>
                <w:szCs w:val="20"/>
              </w:rPr>
            </w:pPr>
            <w:r w:rsidRPr="00F104DF">
              <w:rPr>
                <w:rFonts w:cstheme="minorHAnsi"/>
                <w:sz w:val="20"/>
                <w:szCs w:val="20"/>
              </w:rPr>
              <w:t>42 077</w:t>
            </w:r>
          </w:p>
        </w:tc>
        <w:tc>
          <w:tcPr>
            <w:tcW w:w="600" w:type="pct"/>
            <w:shd w:val="clear" w:color="auto" w:fill="auto"/>
            <w:vAlign w:val="center"/>
          </w:tcPr>
          <w:p w14:paraId="5AA20BE4" w14:textId="77777777" w:rsidR="00A42A3A" w:rsidRPr="00F104DF" w:rsidRDefault="00A42A3A" w:rsidP="00F104DF">
            <w:pPr>
              <w:jc w:val="right"/>
              <w:rPr>
                <w:rFonts w:cstheme="minorHAnsi"/>
                <w:sz w:val="20"/>
                <w:szCs w:val="20"/>
              </w:rPr>
            </w:pPr>
            <w:r w:rsidRPr="00F104DF">
              <w:rPr>
                <w:rFonts w:cstheme="minorHAnsi"/>
                <w:sz w:val="20"/>
                <w:szCs w:val="20"/>
              </w:rPr>
              <w:t>150 055</w:t>
            </w:r>
          </w:p>
        </w:tc>
        <w:tc>
          <w:tcPr>
            <w:tcW w:w="868" w:type="pct"/>
            <w:shd w:val="clear" w:color="auto" w:fill="auto"/>
            <w:vAlign w:val="center"/>
          </w:tcPr>
          <w:p w14:paraId="15AF198D" w14:textId="77777777" w:rsidR="00A42A3A" w:rsidRPr="00F104DF" w:rsidRDefault="00A42A3A" w:rsidP="00F104DF">
            <w:pPr>
              <w:jc w:val="right"/>
              <w:rPr>
                <w:rFonts w:cstheme="minorHAnsi"/>
                <w:sz w:val="20"/>
                <w:szCs w:val="20"/>
              </w:rPr>
            </w:pPr>
            <w:r w:rsidRPr="00F104DF">
              <w:rPr>
                <w:rFonts w:cstheme="minorHAnsi"/>
                <w:sz w:val="20"/>
                <w:szCs w:val="20"/>
              </w:rPr>
              <w:t>15,55 %</w:t>
            </w:r>
          </w:p>
        </w:tc>
        <w:tc>
          <w:tcPr>
            <w:tcW w:w="667" w:type="pct"/>
            <w:vMerge/>
            <w:shd w:val="clear" w:color="auto" w:fill="9CC2E5" w:themeFill="accent1" w:themeFillTint="99"/>
            <w:vAlign w:val="center"/>
          </w:tcPr>
          <w:p w14:paraId="7973E307" w14:textId="77777777" w:rsidR="00A42A3A" w:rsidRPr="00F104DF" w:rsidRDefault="00A42A3A" w:rsidP="00F104DF">
            <w:pPr>
              <w:jc w:val="right"/>
              <w:rPr>
                <w:rFonts w:cstheme="minorHAnsi"/>
                <w:sz w:val="20"/>
                <w:szCs w:val="20"/>
              </w:rPr>
            </w:pPr>
          </w:p>
        </w:tc>
      </w:tr>
      <w:tr w:rsidR="00A42A3A" w:rsidRPr="00F104DF" w14:paraId="50A4925C" w14:textId="77777777" w:rsidTr="00F104DF">
        <w:trPr>
          <w:trHeight w:val="194"/>
        </w:trPr>
        <w:tc>
          <w:tcPr>
            <w:tcW w:w="469" w:type="pct"/>
          </w:tcPr>
          <w:p w14:paraId="4A726139" w14:textId="77777777" w:rsidR="00A42A3A" w:rsidRPr="00F104DF" w:rsidRDefault="00A42A3A" w:rsidP="001D08C9">
            <w:pPr>
              <w:jc w:val="both"/>
              <w:rPr>
                <w:rFonts w:cstheme="minorHAnsi"/>
                <w:sz w:val="20"/>
                <w:szCs w:val="20"/>
              </w:rPr>
            </w:pPr>
            <w:r w:rsidRPr="00F104DF">
              <w:rPr>
                <w:rFonts w:cstheme="minorHAnsi"/>
                <w:sz w:val="20"/>
                <w:szCs w:val="20"/>
              </w:rPr>
              <w:t>3.</w:t>
            </w:r>
          </w:p>
        </w:tc>
        <w:tc>
          <w:tcPr>
            <w:tcW w:w="1265" w:type="pct"/>
            <w:vAlign w:val="center"/>
          </w:tcPr>
          <w:p w14:paraId="2108A1FF" w14:textId="77777777" w:rsidR="00A42A3A" w:rsidRPr="00F104DF" w:rsidRDefault="00A42A3A" w:rsidP="00F104DF">
            <w:pPr>
              <w:jc w:val="right"/>
              <w:rPr>
                <w:rFonts w:cstheme="minorHAnsi"/>
                <w:sz w:val="20"/>
                <w:szCs w:val="20"/>
              </w:rPr>
            </w:pPr>
            <w:r w:rsidRPr="00F104DF">
              <w:rPr>
                <w:rFonts w:cstheme="minorHAnsi"/>
                <w:sz w:val="20"/>
                <w:szCs w:val="20"/>
              </w:rPr>
              <w:t>389 499</w:t>
            </w:r>
          </w:p>
        </w:tc>
        <w:tc>
          <w:tcPr>
            <w:tcW w:w="1131" w:type="pct"/>
            <w:vAlign w:val="center"/>
          </w:tcPr>
          <w:p w14:paraId="633B88C1" w14:textId="77777777" w:rsidR="00A42A3A" w:rsidRPr="00F104DF" w:rsidRDefault="00A42A3A" w:rsidP="00F104DF">
            <w:pPr>
              <w:jc w:val="right"/>
              <w:rPr>
                <w:rFonts w:cstheme="minorHAnsi"/>
                <w:sz w:val="20"/>
                <w:szCs w:val="20"/>
              </w:rPr>
            </w:pPr>
            <w:r w:rsidRPr="00F104DF">
              <w:rPr>
                <w:rFonts w:cstheme="minorHAnsi"/>
                <w:sz w:val="20"/>
                <w:szCs w:val="20"/>
              </w:rPr>
              <w:t>169 447</w:t>
            </w:r>
          </w:p>
        </w:tc>
        <w:tc>
          <w:tcPr>
            <w:tcW w:w="600" w:type="pct"/>
            <w:vAlign w:val="center"/>
          </w:tcPr>
          <w:p w14:paraId="7DFA3B23" w14:textId="77777777" w:rsidR="00A42A3A" w:rsidRPr="00F104DF" w:rsidRDefault="00A42A3A" w:rsidP="00F104DF">
            <w:pPr>
              <w:jc w:val="right"/>
              <w:rPr>
                <w:rFonts w:cstheme="minorHAnsi"/>
                <w:sz w:val="20"/>
                <w:szCs w:val="20"/>
              </w:rPr>
            </w:pPr>
            <w:r w:rsidRPr="00F104DF">
              <w:rPr>
                <w:rFonts w:cstheme="minorHAnsi"/>
                <w:sz w:val="20"/>
                <w:szCs w:val="20"/>
              </w:rPr>
              <w:t>558 946</w:t>
            </w:r>
          </w:p>
        </w:tc>
        <w:tc>
          <w:tcPr>
            <w:tcW w:w="1535" w:type="pct"/>
            <w:gridSpan w:val="2"/>
            <w:vAlign w:val="center"/>
          </w:tcPr>
          <w:p w14:paraId="03BBA48E" w14:textId="77777777" w:rsidR="00A42A3A" w:rsidRPr="00F104DF" w:rsidRDefault="00A42A3A" w:rsidP="00F104DF">
            <w:pPr>
              <w:jc w:val="right"/>
              <w:rPr>
                <w:rFonts w:cstheme="minorHAnsi"/>
                <w:sz w:val="20"/>
                <w:szCs w:val="20"/>
              </w:rPr>
            </w:pPr>
            <w:r w:rsidRPr="00F104DF">
              <w:rPr>
                <w:rFonts w:cstheme="minorHAnsi"/>
                <w:sz w:val="20"/>
                <w:szCs w:val="20"/>
              </w:rPr>
              <w:t>57,91 %</w:t>
            </w:r>
          </w:p>
        </w:tc>
      </w:tr>
      <w:tr w:rsidR="00A42A3A" w:rsidRPr="00F104DF" w14:paraId="7B03079A" w14:textId="77777777" w:rsidTr="00F104DF">
        <w:trPr>
          <w:trHeight w:val="194"/>
        </w:trPr>
        <w:tc>
          <w:tcPr>
            <w:tcW w:w="469" w:type="pct"/>
          </w:tcPr>
          <w:p w14:paraId="548FA4CB" w14:textId="502FEE14" w:rsidR="00A42A3A" w:rsidRPr="00F104DF" w:rsidRDefault="00A42A3A" w:rsidP="001D08C9">
            <w:pPr>
              <w:jc w:val="both"/>
              <w:rPr>
                <w:rFonts w:cstheme="minorHAnsi"/>
                <w:sz w:val="20"/>
                <w:szCs w:val="20"/>
              </w:rPr>
            </w:pPr>
            <w:r w:rsidRPr="00F104DF">
              <w:rPr>
                <w:rFonts w:cstheme="minorHAnsi"/>
                <w:sz w:val="20"/>
                <w:szCs w:val="20"/>
              </w:rPr>
              <w:t>4</w:t>
            </w:r>
            <w:r w:rsidR="001F6854" w:rsidRPr="00F104DF">
              <w:rPr>
                <w:rFonts w:cstheme="minorHAnsi"/>
                <w:sz w:val="20"/>
                <w:szCs w:val="20"/>
              </w:rPr>
              <w:t>.</w:t>
            </w:r>
          </w:p>
        </w:tc>
        <w:tc>
          <w:tcPr>
            <w:tcW w:w="1265" w:type="pct"/>
            <w:vAlign w:val="center"/>
          </w:tcPr>
          <w:p w14:paraId="25B1E3A1" w14:textId="77777777" w:rsidR="00A42A3A" w:rsidRPr="00F104DF" w:rsidRDefault="00A42A3A" w:rsidP="00F104DF">
            <w:pPr>
              <w:jc w:val="right"/>
              <w:rPr>
                <w:rFonts w:cstheme="minorHAnsi"/>
                <w:sz w:val="20"/>
                <w:szCs w:val="20"/>
              </w:rPr>
            </w:pPr>
            <w:r w:rsidRPr="00F104DF">
              <w:rPr>
                <w:rFonts w:cstheme="minorHAnsi"/>
                <w:sz w:val="20"/>
                <w:szCs w:val="20"/>
              </w:rPr>
              <w:t>208 756</w:t>
            </w:r>
          </w:p>
        </w:tc>
        <w:tc>
          <w:tcPr>
            <w:tcW w:w="1131" w:type="pct"/>
            <w:vAlign w:val="center"/>
          </w:tcPr>
          <w:p w14:paraId="34764FD6" w14:textId="77777777" w:rsidR="00A42A3A" w:rsidRPr="00F104DF" w:rsidRDefault="00A42A3A" w:rsidP="00F104DF">
            <w:pPr>
              <w:jc w:val="right"/>
              <w:rPr>
                <w:rFonts w:cstheme="minorHAnsi"/>
                <w:sz w:val="20"/>
                <w:szCs w:val="20"/>
              </w:rPr>
            </w:pPr>
            <w:r w:rsidRPr="00F104DF">
              <w:rPr>
                <w:rFonts w:cstheme="minorHAnsi"/>
                <w:sz w:val="20"/>
                <w:szCs w:val="20"/>
              </w:rPr>
              <w:t>14 153</w:t>
            </w:r>
          </w:p>
        </w:tc>
        <w:tc>
          <w:tcPr>
            <w:tcW w:w="600" w:type="pct"/>
            <w:vAlign w:val="center"/>
          </w:tcPr>
          <w:p w14:paraId="39E18EFF" w14:textId="77777777" w:rsidR="00A42A3A" w:rsidRPr="00F104DF" w:rsidRDefault="00A42A3A" w:rsidP="00F104DF">
            <w:pPr>
              <w:jc w:val="right"/>
              <w:rPr>
                <w:rFonts w:cstheme="minorHAnsi"/>
                <w:sz w:val="20"/>
                <w:szCs w:val="20"/>
              </w:rPr>
            </w:pPr>
            <w:r w:rsidRPr="00F104DF">
              <w:rPr>
                <w:rFonts w:cstheme="minorHAnsi"/>
                <w:sz w:val="20"/>
                <w:szCs w:val="20"/>
              </w:rPr>
              <w:t>222 909</w:t>
            </w:r>
          </w:p>
        </w:tc>
        <w:tc>
          <w:tcPr>
            <w:tcW w:w="1535" w:type="pct"/>
            <w:gridSpan w:val="2"/>
            <w:vAlign w:val="center"/>
          </w:tcPr>
          <w:p w14:paraId="1D37A6B4" w14:textId="77777777" w:rsidR="00A42A3A" w:rsidRPr="00F104DF" w:rsidRDefault="00791527" w:rsidP="00F104DF">
            <w:pPr>
              <w:jc w:val="right"/>
              <w:rPr>
                <w:rFonts w:cstheme="minorHAnsi"/>
                <w:sz w:val="20"/>
                <w:szCs w:val="20"/>
              </w:rPr>
            </w:pPr>
            <w:r w:rsidRPr="00F104DF">
              <w:rPr>
                <w:rFonts w:cstheme="minorHAnsi"/>
                <w:sz w:val="20"/>
                <w:szCs w:val="20"/>
              </w:rPr>
              <w:t>23,09 %</w:t>
            </w:r>
          </w:p>
        </w:tc>
      </w:tr>
      <w:tr w:rsidR="00A42A3A" w:rsidRPr="00F104DF" w14:paraId="1412620E" w14:textId="77777777" w:rsidTr="00F104DF">
        <w:trPr>
          <w:trHeight w:val="194"/>
        </w:trPr>
        <w:tc>
          <w:tcPr>
            <w:tcW w:w="469" w:type="pct"/>
            <w:vAlign w:val="center"/>
          </w:tcPr>
          <w:p w14:paraId="3E479256" w14:textId="41DD52C5" w:rsidR="00A42A3A" w:rsidRPr="00F104DF" w:rsidRDefault="001F6854" w:rsidP="00F104DF">
            <w:pPr>
              <w:rPr>
                <w:rFonts w:cstheme="minorHAnsi"/>
                <w:b/>
                <w:sz w:val="20"/>
                <w:szCs w:val="20"/>
              </w:rPr>
            </w:pPr>
            <w:r w:rsidRPr="00F104DF">
              <w:rPr>
                <w:rFonts w:cstheme="minorHAnsi"/>
                <w:b/>
                <w:sz w:val="20"/>
                <w:szCs w:val="20"/>
              </w:rPr>
              <w:t>C</w:t>
            </w:r>
            <w:r w:rsidR="00A42A3A" w:rsidRPr="00F104DF">
              <w:rPr>
                <w:rFonts w:cstheme="minorHAnsi"/>
                <w:b/>
                <w:sz w:val="20"/>
                <w:szCs w:val="20"/>
              </w:rPr>
              <w:t>elkem</w:t>
            </w:r>
          </w:p>
        </w:tc>
        <w:tc>
          <w:tcPr>
            <w:tcW w:w="1265" w:type="pct"/>
            <w:vAlign w:val="center"/>
          </w:tcPr>
          <w:p w14:paraId="5AC5BC97" w14:textId="77777777" w:rsidR="00A42A3A" w:rsidRPr="00F104DF" w:rsidRDefault="00A42A3A" w:rsidP="00F104DF">
            <w:pPr>
              <w:jc w:val="right"/>
              <w:rPr>
                <w:rFonts w:cstheme="minorHAnsi"/>
                <w:sz w:val="20"/>
                <w:szCs w:val="20"/>
              </w:rPr>
            </w:pPr>
          </w:p>
        </w:tc>
        <w:tc>
          <w:tcPr>
            <w:tcW w:w="1131" w:type="pct"/>
            <w:vAlign w:val="center"/>
          </w:tcPr>
          <w:p w14:paraId="6EE0D467" w14:textId="77777777" w:rsidR="00A42A3A" w:rsidRPr="00F104DF" w:rsidRDefault="00A42A3A" w:rsidP="00F104DF">
            <w:pPr>
              <w:jc w:val="right"/>
              <w:rPr>
                <w:rFonts w:cstheme="minorHAnsi"/>
                <w:sz w:val="20"/>
                <w:szCs w:val="20"/>
              </w:rPr>
            </w:pPr>
          </w:p>
        </w:tc>
        <w:tc>
          <w:tcPr>
            <w:tcW w:w="600" w:type="pct"/>
            <w:vAlign w:val="center"/>
          </w:tcPr>
          <w:p w14:paraId="424174AB" w14:textId="77777777" w:rsidR="00A42A3A" w:rsidRPr="00F104DF" w:rsidRDefault="00A42A3A" w:rsidP="00F104DF">
            <w:pPr>
              <w:jc w:val="right"/>
              <w:rPr>
                <w:rFonts w:cstheme="minorHAnsi"/>
                <w:b/>
                <w:color w:val="000000"/>
                <w:sz w:val="20"/>
                <w:szCs w:val="20"/>
              </w:rPr>
            </w:pPr>
            <w:r w:rsidRPr="00F104DF">
              <w:rPr>
                <w:rFonts w:cstheme="minorHAnsi"/>
                <w:b/>
                <w:sz w:val="20"/>
                <w:szCs w:val="20"/>
              </w:rPr>
              <w:t>965 233</w:t>
            </w:r>
          </w:p>
        </w:tc>
        <w:tc>
          <w:tcPr>
            <w:tcW w:w="1535" w:type="pct"/>
            <w:gridSpan w:val="2"/>
            <w:vAlign w:val="center"/>
          </w:tcPr>
          <w:p w14:paraId="6425AAB2" w14:textId="77777777" w:rsidR="00A42A3A" w:rsidRPr="00F104DF" w:rsidRDefault="00791527" w:rsidP="00F104DF">
            <w:pPr>
              <w:jc w:val="right"/>
              <w:rPr>
                <w:rFonts w:cstheme="minorHAnsi"/>
                <w:sz w:val="20"/>
                <w:szCs w:val="20"/>
              </w:rPr>
            </w:pPr>
            <w:r w:rsidRPr="00F104DF">
              <w:rPr>
                <w:rFonts w:cstheme="minorHAnsi"/>
                <w:sz w:val="20"/>
                <w:szCs w:val="20"/>
              </w:rPr>
              <w:t>100 %</w:t>
            </w:r>
          </w:p>
        </w:tc>
      </w:tr>
    </w:tbl>
    <w:p w14:paraId="046A82D8" w14:textId="62BD14B9" w:rsidR="0019339A" w:rsidRDefault="00941DBF" w:rsidP="00F104DF">
      <w:pPr>
        <w:spacing w:after="0"/>
        <w:jc w:val="both"/>
        <w:rPr>
          <w:rFonts w:eastAsia="Calibri" w:cstheme="minorHAnsi"/>
          <w:iCs/>
          <w:sz w:val="20"/>
          <w:szCs w:val="20"/>
        </w:rPr>
      </w:pPr>
      <w:r w:rsidRPr="00F104DF">
        <w:rPr>
          <w:rFonts w:eastAsia="Calibri" w:cstheme="minorHAnsi"/>
          <w:b/>
          <w:bCs/>
          <w:iCs/>
          <w:sz w:val="20"/>
          <w:szCs w:val="20"/>
        </w:rPr>
        <w:t>Zdroj:</w:t>
      </w:r>
      <w:r w:rsidRPr="00F104DF">
        <w:rPr>
          <w:rFonts w:eastAsia="Calibri" w:cstheme="minorHAnsi"/>
          <w:iCs/>
          <w:sz w:val="20"/>
          <w:szCs w:val="20"/>
        </w:rPr>
        <w:t xml:space="preserve"> GFŘ</w:t>
      </w:r>
      <w:r w:rsidR="00566B67" w:rsidRPr="00F104DF">
        <w:rPr>
          <w:rFonts w:eastAsia="Calibri" w:cstheme="minorHAnsi"/>
          <w:iCs/>
          <w:sz w:val="20"/>
          <w:szCs w:val="20"/>
        </w:rPr>
        <w:t>, RIA 2015 k zákonu o EET</w:t>
      </w:r>
      <w:r w:rsidR="001F6854">
        <w:rPr>
          <w:rFonts w:eastAsia="Calibri" w:cstheme="minorHAnsi"/>
          <w:iCs/>
          <w:sz w:val="20"/>
          <w:szCs w:val="20"/>
        </w:rPr>
        <w:t>.</w:t>
      </w:r>
      <w:r w:rsidR="001A0364" w:rsidRPr="00D30F88">
        <w:rPr>
          <w:rFonts w:eastAsia="Calibri" w:cstheme="minorHAnsi"/>
          <w:iCs/>
          <w:sz w:val="20"/>
          <w:szCs w:val="20"/>
        </w:rPr>
        <w:t xml:space="preserve"> </w:t>
      </w:r>
    </w:p>
    <w:p w14:paraId="20488270" w14:textId="0C99ADB6" w:rsidR="00941DBF" w:rsidRPr="00F104DF" w:rsidRDefault="0019339A" w:rsidP="00F104DF">
      <w:pPr>
        <w:spacing w:after="120"/>
        <w:jc w:val="both"/>
        <w:rPr>
          <w:rFonts w:eastAsia="Calibri" w:cstheme="minorHAnsi"/>
          <w:iCs/>
          <w:sz w:val="20"/>
          <w:szCs w:val="20"/>
        </w:rPr>
      </w:pPr>
      <w:r w:rsidRPr="00F104DF">
        <w:rPr>
          <w:rFonts w:eastAsia="Calibri" w:cstheme="minorHAnsi"/>
          <w:b/>
          <w:bCs/>
          <w:iCs/>
          <w:sz w:val="20"/>
          <w:szCs w:val="20"/>
        </w:rPr>
        <w:t>Vysvětlivky:</w:t>
      </w:r>
      <w:r>
        <w:rPr>
          <w:rFonts w:eastAsia="Calibri" w:cstheme="minorHAnsi"/>
          <w:iCs/>
          <w:sz w:val="20"/>
          <w:szCs w:val="20"/>
        </w:rPr>
        <w:t xml:space="preserve"> </w:t>
      </w:r>
      <w:r w:rsidR="001A0364" w:rsidRPr="00F104DF">
        <w:rPr>
          <w:rFonts w:eastAsia="Calibri" w:cstheme="minorHAnsi"/>
          <w:iCs/>
          <w:sz w:val="20"/>
          <w:szCs w:val="20"/>
        </w:rPr>
        <w:t>FO</w:t>
      </w:r>
      <w:r>
        <w:rPr>
          <w:rFonts w:eastAsia="Calibri" w:cstheme="minorHAnsi"/>
          <w:iCs/>
          <w:sz w:val="20"/>
          <w:szCs w:val="20"/>
        </w:rPr>
        <w:t xml:space="preserve"> – </w:t>
      </w:r>
      <w:r w:rsidR="001A0364" w:rsidRPr="00F104DF">
        <w:rPr>
          <w:rFonts w:eastAsia="Calibri" w:cstheme="minorHAnsi"/>
          <w:iCs/>
          <w:sz w:val="20"/>
          <w:szCs w:val="20"/>
        </w:rPr>
        <w:t>fyzická osoba, PO</w:t>
      </w:r>
      <w:r>
        <w:rPr>
          <w:rFonts w:eastAsia="Calibri" w:cstheme="minorHAnsi"/>
          <w:iCs/>
          <w:sz w:val="20"/>
          <w:szCs w:val="20"/>
        </w:rPr>
        <w:t xml:space="preserve"> – </w:t>
      </w:r>
      <w:r w:rsidR="001A0364" w:rsidRPr="00F104DF">
        <w:rPr>
          <w:rFonts w:eastAsia="Calibri" w:cstheme="minorHAnsi"/>
          <w:iCs/>
          <w:sz w:val="20"/>
          <w:szCs w:val="20"/>
        </w:rPr>
        <w:t>právnická osoba</w:t>
      </w:r>
      <w:r>
        <w:rPr>
          <w:rFonts w:eastAsia="Calibri" w:cstheme="minorHAnsi"/>
          <w:iCs/>
          <w:sz w:val="20"/>
          <w:szCs w:val="20"/>
        </w:rPr>
        <w:t>.</w:t>
      </w:r>
    </w:p>
    <w:p w14:paraId="18C0C3E1" w14:textId="4CB9327C" w:rsidR="00A74345" w:rsidRPr="00C47E97" w:rsidRDefault="00A74345" w:rsidP="00F104DF">
      <w:pPr>
        <w:spacing w:before="120" w:after="120"/>
        <w:jc w:val="both"/>
        <w:rPr>
          <w:rFonts w:eastAsia="Calibri" w:cstheme="minorHAnsi"/>
          <w:sz w:val="24"/>
          <w:szCs w:val="24"/>
        </w:rPr>
      </w:pPr>
      <w:r w:rsidRPr="00C47E97">
        <w:rPr>
          <w:rFonts w:eastAsia="Calibri" w:cstheme="minorHAnsi"/>
          <w:sz w:val="24"/>
          <w:szCs w:val="24"/>
        </w:rPr>
        <w:t>V průběhu let 2016</w:t>
      </w:r>
      <w:r w:rsidR="0019339A">
        <w:rPr>
          <w:rFonts w:eastAsia="Calibri" w:cstheme="minorHAnsi"/>
          <w:sz w:val="24"/>
          <w:szCs w:val="24"/>
        </w:rPr>
        <w:t>–</w:t>
      </w:r>
      <w:r w:rsidRPr="00C47E97">
        <w:rPr>
          <w:rFonts w:eastAsia="Calibri" w:cstheme="minorHAnsi"/>
          <w:sz w:val="24"/>
          <w:szCs w:val="24"/>
        </w:rPr>
        <w:t xml:space="preserve">2019 sledovalo </w:t>
      </w:r>
      <w:r w:rsidR="00033F53" w:rsidRPr="00C47E97">
        <w:rPr>
          <w:rFonts w:eastAsia="Calibri" w:cstheme="minorHAnsi"/>
          <w:sz w:val="24"/>
          <w:szCs w:val="24"/>
        </w:rPr>
        <w:t xml:space="preserve">GFŘ </w:t>
      </w:r>
      <w:r w:rsidRPr="00C47E97">
        <w:rPr>
          <w:rFonts w:eastAsia="Calibri" w:cstheme="minorHAnsi"/>
          <w:sz w:val="24"/>
          <w:szCs w:val="24"/>
        </w:rPr>
        <w:t>vývoj počtu daňových subjektů přihlášených k</w:t>
      </w:r>
      <w:r w:rsidR="000A0800">
        <w:rPr>
          <w:rFonts w:eastAsia="Calibri" w:cstheme="minorHAnsi"/>
          <w:sz w:val="24"/>
          <w:szCs w:val="24"/>
        </w:rPr>
        <w:t xml:space="preserve"> </w:t>
      </w:r>
      <w:r w:rsidRPr="00C47E97">
        <w:rPr>
          <w:rFonts w:eastAsia="Calibri" w:cstheme="minorHAnsi"/>
          <w:sz w:val="24"/>
          <w:szCs w:val="24"/>
        </w:rPr>
        <w:t xml:space="preserve">EET </w:t>
      </w:r>
      <w:r w:rsidR="000A0800">
        <w:rPr>
          <w:rFonts w:eastAsia="Calibri" w:cstheme="minorHAnsi"/>
          <w:sz w:val="24"/>
          <w:szCs w:val="24"/>
        </w:rPr>
        <w:br/>
      </w:r>
      <w:r w:rsidRPr="00C47E97">
        <w:rPr>
          <w:rFonts w:eastAsia="Calibri" w:cstheme="minorHAnsi"/>
          <w:sz w:val="24"/>
          <w:szCs w:val="24"/>
        </w:rPr>
        <w:t>a</w:t>
      </w:r>
      <w:r w:rsidR="000A0800">
        <w:rPr>
          <w:rFonts w:eastAsia="Calibri" w:cstheme="minorHAnsi"/>
          <w:sz w:val="24"/>
          <w:szCs w:val="24"/>
        </w:rPr>
        <w:t xml:space="preserve"> </w:t>
      </w:r>
      <w:r w:rsidRPr="00C47E97">
        <w:rPr>
          <w:rFonts w:eastAsia="Calibri" w:cstheme="minorHAnsi"/>
          <w:sz w:val="24"/>
          <w:szCs w:val="24"/>
        </w:rPr>
        <w:t>jejich registrace k</w:t>
      </w:r>
      <w:r w:rsidR="000A0800">
        <w:rPr>
          <w:rFonts w:eastAsia="Calibri" w:cstheme="minorHAnsi"/>
          <w:sz w:val="24"/>
          <w:szCs w:val="24"/>
        </w:rPr>
        <w:t xml:space="preserve"> </w:t>
      </w:r>
      <w:r w:rsidRPr="00C47E97">
        <w:rPr>
          <w:rFonts w:eastAsia="Calibri" w:cstheme="minorHAnsi"/>
          <w:sz w:val="24"/>
          <w:szCs w:val="24"/>
        </w:rPr>
        <w:t>DPH. Z</w:t>
      </w:r>
      <w:r w:rsidR="000A0800">
        <w:rPr>
          <w:rFonts w:eastAsia="Calibri" w:cstheme="minorHAnsi"/>
          <w:sz w:val="24"/>
          <w:szCs w:val="24"/>
        </w:rPr>
        <w:t xml:space="preserve"> </w:t>
      </w:r>
      <w:r w:rsidRPr="00C47E97">
        <w:rPr>
          <w:rFonts w:eastAsia="Calibri" w:cstheme="minorHAnsi"/>
          <w:sz w:val="24"/>
          <w:szCs w:val="24"/>
        </w:rPr>
        <w:t xml:space="preserve">tabulky </w:t>
      </w:r>
      <w:r w:rsidR="0018283F" w:rsidRPr="00C47E97">
        <w:rPr>
          <w:rFonts w:eastAsia="Calibri" w:cstheme="minorHAnsi"/>
          <w:sz w:val="24"/>
          <w:szCs w:val="24"/>
        </w:rPr>
        <w:t xml:space="preserve">č. </w:t>
      </w:r>
      <w:r w:rsidR="002B6460">
        <w:rPr>
          <w:rFonts w:eastAsia="Calibri" w:cstheme="minorHAnsi"/>
          <w:sz w:val="24"/>
          <w:szCs w:val="24"/>
        </w:rPr>
        <w:t>4</w:t>
      </w:r>
      <w:r w:rsidR="0018283F" w:rsidRPr="00C47E97">
        <w:rPr>
          <w:rFonts w:eastAsia="Calibri" w:cstheme="minorHAnsi"/>
          <w:sz w:val="24"/>
          <w:szCs w:val="24"/>
        </w:rPr>
        <w:t xml:space="preserve"> </w:t>
      </w:r>
      <w:r w:rsidRPr="00C47E97">
        <w:rPr>
          <w:rFonts w:eastAsia="Calibri" w:cstheme="minorHAnsi"/>
          <w:sz w:val="24"/>
          <w:szCs w:val="24"/>
        </w:rPr>
        <w:t xml:space="preserve">vyplývá, že počet přihlášených </w:t>
      </w:r>
      <w:r w:rsidR="0077000E" w:rsidRPr="00C47E97">
        <w:rPr>
          <w:rFonts w:eastAsia="Calibri" w:cstheme="minorHAnsi"/>
          <w:sz w:val="24"/>
          <w:szCs w:val="24"/>
        </w:rPr>
        <w:t>subjektů</w:t>
      </w:r>
      <w:r w:rsidRPr="00C47E97">
        <w:rPr>
          <w:rFonts w:eastAsia="Calibri" w:cstheme="minorHAnsi"/>
          <w:sz w:val="24"/>
          <w:szCs w:val="24"/>
        </w:rPr>
        <w:t xml:space="preserve"> se v</w:t>
      </w:r>
      <w:r w:rsidR="000A0800">
        <w:rPr>
          <w:rFonts w:eastAsia="Calibri" w:cstheme="minorHAnsi"/>
          <w:sz w:val="24"/>
          <w:szCs w:val="24"/>
        </w:rPr>
        <w:t xml:space="preserve"> </w:t>
      </w:r>
      <w:r w:rsidRPr="00C47E97">
        <w:rPr>
          <w:rFonts w:eastAsia="Calibri" w:cstheme="minorHAnsi"/>
          <w:sz w:val="24"/>
          <w:szCs w:val="24"/>
        </w:rPr>
        <w:t xml:space="preserve">čase zvyšoval, resp. převýšil předpoklad </w:t>
      </w:r>
      <w:r w:rsidR="0077000E" w:rsidRPr="00C47E97">
        <w:rPr>
          <w:rFonts w:eastAsia="Calibri" w:cstheme="minorHAnsi"/>
          <w:sz w:val="24"/>
          <w:szCs w:val="24"/>
        </w:rPr>
        <w:t>GFŘ</w:t>
      </w:r>
      <w:r w:rsidR="00265A1A" w:rsidRPr="00C47E97">
        <w:rPr>
          <w:rFonts w:eastAsia="Calibri" w:cstheme="minorHAnsi"/>
          <w:sz w:val="24"/>
          <w:szCs w:val="24"/>
        </w:rPr>
        <w:t>.</w:t>
      </w:r>
      <w:r w:rsidRPr="00C47E97">
        <w:rPr>
          <w:rFonts w:eastAsia="Calibri" w:cstheme="minorHAnsi"/>
          <w:sz w:val="24"/>
          <w:szCs w:val="24"/>
        </w:rPr>
        <w:t xml:space="preserve"> </w:t>
      </w:r>
      <w:r w:rsidR="00836564">
        <w:rPr>
          <w:rFonts w:eastAsia="Calibri" w:cstheme="minorHAnsi"/>
          <w:sz w:val="24"/>
          <w:szCs w:val="24"/>
        </w:rPr>
        <w:t>Více než</w:t>
      </w:r>
      <w:r w:rsidR="00836564" w:rsidRPr="00C47E97">
        <w:rPr>
          <w:rFonts w:eastAsia="Calibri" w:cstheme="minorHAnsi"/>
          <w:sz w:val="24"/>
          <w:szCs w:val="24"/>
        </w:rPr>
        <w:t xml:space="preserve"> </w:t>
      </w:r>
      <w:r w:rsidRPr="00C47E97">
        <w:rPr>
          <w:rFonts w:eastAsia="Calibri" w:cstheme="minorHAnsi"/>
          <w:sz w:val="24"/>
          <w:szCs w:val="24"/>
        </w:rPr>
        <w:t>50</w:t>
      </w:r>
      <w:r w:rsidR="000A0800">
        <w:rPr>
          <w:rFonts w:eastAsia="Calibri" w:cstheme="minorHAnsi"/>
          <w:sz w:val="24"/>
          <w:szCs w:val="24"/>
        </w:rPr>
        <w:t xml:space="preserve"> </w:t>
      </w:r>
      <w:r w:rsidRPr="00C47E97">
        <w:rPr>
          <w:rFonts w:eastAsia="Calibri" w:cstheme="minorHAnsi"/>
          <w:sz w:val="24"/>
          <w:szCs w:val="24"/>
        </w:rPr>
        <w:t xml:space="preserve">% daňových subjektů </w:t>
      </w:r>
      <w:r w:rsidR="0019339A" w:rsidRPr="00C47E97">
        <w:rPr>
          <w:rFonts w:eastAsia="Calibri" w:cstheme="minorHAnsi"/>
          <w:sz w:val="24"/>
          <w:szCs w:val="24"/>
        </w:rPr>
        <w:t xml:space="preserve">přihlášených </w:t>
      </w:r>
      <w:r w:rsidR="00265A1A" w:rsidRPr="00C47E97">
        <w:rPr>
          <w:rFonts w:eastAsia="Calibri" w:cstheme="minorHAnsi"/>
          <w:sz w:val="24"/>
          <w:szCs w:val="24"/>
        </w:rPr>
        <w:t xml:space="preserve">k EET </w:t>
      </w:r>
      <w:r w:rsidRPr="00C47E97">
        <w:rPr>
          <w:rFonts w:eastAsia="Calibri" w:cstheme="minorHAnsi"/>
          <w:sz w:val="24"/>
          <w:szCs w:val="24"/>
        </w:rPr>
        <w:t>tvořili plátci DPH.</w:t>
      </w:r>
    </w:p>
    <w:p w14:paraId="36274344" w14:textId="49A09D9E" w:rsidR="00A74345" w:rsidRPr="00F104DF" w:rsidRDefault="00A74345" w:rsidP="009053C8">
      <w:pPr>
        <w:spacing w:after="0"/>
        <w:jc w:val="both"/>
        <w:rPr>
          <w:rFonts w:cstheme="minorHAnsi"/>
          <w:b/>
          <w:sz w:val="24"/>
        </w:rPr>
      </w:pPr>
      <w:r w:rsidRPr="00F104DF">
        <w:rPr>
          <w:rFonts w:cstheme="minorHAnsi"/>
          <w:b/>
          <w:sz w:val="24"/>
        </w:rPr>
        <w:t xml:space="preserve">Tabulka č. </w:t>
      </w:r>
      <w:r w:rsidR="002B6460" w:rsidRPr="00F104DF">
        <w:rPr>
          <w:rFonts w:cstheme="minorHAnsi"/>
          <w:b/>
          <w:sz w:val="24"/>
        </w:rPr>
        <w:t>4</w:t>
      </w:r>
      <w:r w:rsidR="0019339A" w:rsidRPr="00F104DF">
        <w:rPr>
          <w:rFonts w:cstheme="minorHAnsi"/>
          <w:b/>
          <w:sz w:val="24"/>
        </w:rPr>
        <w:t>:</w:t>
      </w:r>
      <w:r w:rsidRPr="00F104DF">
        <w:rPr>
          <w:rFonts w:cstheme="minorHAnsi"/>
          <w:b/>
          <w:sz w:val="24"/>
        </w:rPr>
        <w:t xml:space="preserve"> Vývoj počtu subjektů přihlášených k EET a jejich registrace k DPH</w:t>
      </w:r>
    </w:p>
    <w:tbl>
      <w:tblPr>
        <w:tblStyle w:val="Mkatabulky"/>
        <w:tblW w:w="5000" w:type="pct"/>
        <w:tblInd w:w="-5" w:type="dxa"/>
        <w:tblLook w:val="04A0" w:firstRow="1" w:lastRow="0" w:firstColumn="1" w:lastColumn="0" w:noHBand="0" w:noVBand="1"/>
      </w:tblPr>
      <w:tblGrid>
        <w:gridCol w:w="2051"/>
        <w:gridCol w:w="1001"/>
        <w:gridCol w:w="1002"/>
        <w:gridCol w:w="1002"/>
        <w:gridCol w:w="1000"/>
        <w:gridCol w:w="1002"/>
        <w:gridCol w:w="1002"/>
        <w:gridCol w:w="1002"/>
      </w:tblGrid>
      <w:tr w:rsidR="00A74345" w:rsidRPr="00F104DF" w14:paraId="253C8044" w14:textId="77777777" w:rsidTr="00F104DF">
        <w:trPr>
          <w:trHeight w:val="397"/>
        </w:trPr>
        <w:tc>
          <w:tcPr>
            <w:tcW w:w="1131" w:type="pct"/>
            <w:shd w:val="clear" w:color="auto" w:fill="E5F1FF"/>
            <w:vAlign w:val="center"/>
          </w:tcPr>
          <w:p w14:paraId="1B4C47D8" w14:textId="77777777" w:rsidR="00A74345" w:rsidRPr="00F104DF" w:rsidRDefault="00A74345" w:rsidP="00F104DF">
            <w:pPr>
              <w:jc w:val="center"/>
              <w:rPr>
                <w:rFonts w:cstheme="minorHAnsi"/>
                <w:sz w:val="20"/>
                <w:szCs w:val="20"/>
              </w:rPr>
            </w:pPr>
          </w:p>
        </w:tc>
        <w:tc>
          <w:tcPr>
            <w:tcW w:w="552" w:type="pct"/>
            <w:shd w:val="clear" w:color="auto" w:fill="E5F1FF"/>
            <w:vAlign w:val="center"/>
          </w:tcPr>
          <w:p w14:paraId="586CEF87" w14:textId="77777777" w:rsidR="00A74345" w:rsidRPr="00F104DF" w:rsidRDefault="00A74345" w:rsidP="001F6854">
            <w:pPr>
              <w:jc w:val="center"/>
              <w:rPr>
                <w:rFonts w:cstheme="minorHAnsi"/>
                <w:b/>
                <w:sz w:val="20"/>
                <w:szCs w:val="20"/>
              </w:rPr>
            </w:pPr>
            <w:r w:rsidRPr="00F104DF">
              <w:rPr>
                <w:rFonts w:cstheme="minorHAnsi"/>
                <w:b/>
                <w:sz w:val="20"/>
                <w:szCs w:val="20"/>
              </w:rPr>
              <w:t>12/2016</w:t>
            </w:r>
          </w:p>
        </w:tc>
        <w:tc>
          <w:tcPr>
            <w:tcW w:w="553" w:type="pct"/>
            <w:shd w:val="clear" w:color="auto" w:fill="E5F1FF"/>
            <w:vAlign w:val="center"/>
          </w:tcPr>
          <w:p w14:paraId="662DE183" w14:textId="77777777" w:rsidR="00A74345" w:rsidRPr="00F104DF" w:rsidRDefault="00A74345" w:rsidP="001F6854">
            <w:pPr>
              <w:jc w:val="center"/>
              <w:rPr>
                <w:rFonts w:cstheme="minorHAnsi"/>
                <w:b/>
                <w:sz w:val="20"/>
                <w:szCs w:val="20"/>
              </w:rPr>
            </w:pPr>
            <w:r w:rsidRPr="00F104DF">
              <w:rPr>
                <w:rFonts w:cstheme="minorHAnsi"/>
                <w:b/>
                <w:sz w:val="20"/>
                <w:szCs w:val="20"/>
              </w:rPr>
              <w:t>6/2017</w:t>
            </w:r>
          </w:p>
        </w:tc>
        <w:tc>
          <w:tcPr>
            <w:tcW w:w="553" w:type="pct"/>
            <w:shd w:val="clear" w:color="auto" w:fill="E5F1FF"/>
            <w:vAlign w:val="center"/>
          </w:tcPr>
          <w:p w14:paraId="093145C5" w14:textId="77777777" w:rsidR="00A74345" w:rsidRPr="00F104DF" w:rsidRDefault="00A74345" w:rsidP="001F6854">
            <w:pPr>
              <w:jc w:val="center"/>
              <w:rPr>
                <w:rFonts w:cstheme="minorHAnsi"/>
                <w:b/>
                <w:sz w:val="20"/>
                <w:szCs w:val="20"/>
              </w:rPr>
            </w:pPr>
            <w:r w:rsidRPr="00F104DF">
              <w:rPr>
                <w:rFonts w:cstheme="minorHAnsi"/>
                <w:b/>
                <w:sz w:val="20"/>
                <w:szCs w:val="20"/>
              </w:rPr>
              <w:t>12/2017</w:t>
            </w:r>
          </w:p>
        </w:tc>
        <w:tc>
          <w:tcPr>
            <w:tcW w:w="552" w:type="pct"/>
            <w:shd w:val="clear" w:color="auto" w:fill="E5F1FF"/>
            <w:vAlign w:val="center"/>
          </w:tcPr>
          <w:p w14:paraId="424E4E9D" w14:textId="77777777" w:rsidR="00A74345" w:rsidRPr="00F104DF" w:rsidRDefault="00A74345" w:rsidP="001F6854">
            <w:pPr>
              <w:jc w:val="center"/>
              <w:rPr>
                <w:rFonts w:cstheme="minorHAnsi"/>
                <w:b/>
                <w:sz w:val="20"/>
                <w:szCs w:val="20"/>
              </w:rPr>
            </w:pPr>
            <w:r w:rsidRPr="00F104DF">
              <w:rPr>
                <w:rFonts w:cstheme="minorHAnsi"/>
                <w:b/>
                <w:sz w:val="20"/>
                <w:szCs w:val="20"/>
              </w:rPr>
              <w:t>6/2018</w:t>
            </w:r>
          </w:p>
        </w:tc>
        <w:tc>
          <w:tcPr>
            <w:tcW w:w="553" w:type="pct"/>
            <w:shd w:val="clear" w:color="auto" w:fill="E5F1FF"/>
            <w:vAlign w:val="center"/>
          </w:tcPr>
          <w:p w14:paraId="512AB1C7" w14:textId="77777777" w:rsidR="00A74345" w:rsidRPr="00F104DF" w:rsidRDefault="00A74345" w:rsidP="001F6854">
            <w:pPr>
              <w:jc w:val="center"/>
              <w:rPr>
                <w:rFonts w:cstheme="minorHAnsi"/>
                <w:b/>
                <w:sz w:val="20"/>
                <w:szCs w:val="20"/>
              </w:rPr>
            </w:pPr>
            <w:r w:rsidRPr="00F104DF">
              <w:rPr>
                <w:rFonts w:cstheme="minorHAnsi"/>
                <w:b/>
                <w:sz w:val="20"/>
                <w:szCs w:val="20"/>
              </w:rPr>
              <w:t>12/2018</w:t>
            </w:r>
          </w:p>
        </w:tc>
        <w:tc>
          <w:tcPr>
            <w:tcW w:w="553" w:type="pct"/>
            <w:shd w:val="clear" w:color="auto" w:fill="E5F1FF"/>
            <w:vAlign w:val="center"/>
          </w:tcPr>
          <w:p w14:paraId="6DF309D7" w14:textId="77777777" w:rsidR="00A74345" w:rsidRPr="00F104DF" w:rsidRDefault="00A74345" w:rsidP="001F6854">
            <w:pPr>
              <w:jc w:val="center"/>
              <w:rPr>
                <w:rFonts w:cstheme="minorHAnsi"/>
                <w:b/>
                <w:sz w:val="20"/>
                <w:szCs w:val="20"/>
              </w:rPr>
            </w:pPr>
            <w:r w:rsidRPr="00F104DF">
              <w:rPr>
                <w:rFonts w:cstheme="minorHAnsi"/>
                <w:b/>
                <w:sz w:val="20"/>
                <w:szCs w:val="20"/>
              </w:rPr>
              <w:t>6/2019</w:t>
            </w:r>
          </w:p>
        </w:tc>
        <w:tc>
          <w:tcPr>
            <w:tcW w:w="553" w:type="pct"/>
            <w:shd w:val="clear" w:color="auto" w:fill="E5F1FF"/>
            <w:vAlign w:val="center"/>
          </w:tcPr>
          <w:p w14:paraId="1FCD6230" w14:textId="77777777" w:rsidR="00A74345" w:rsidRPr="00F104DF" w:rsidRDefault="00A74345" w:rsidP="001F6854">
            <w:pPr>
              <w:jc w:val="center"/>
              <w:rPr>
                <w:rFonts w:cstheme="minorHAnsi"/>
                <w:b/>
                <w:sz w:val="20"/>
                <w:szCs w:val="20"/>
              </w:rPr>
            </w:pPr>
            <w:r w:rsidRPr="00F104DF">
              <w:rPr>
                <w:rFonts w:cstheme="minorHAnsi"/>
                <w:b/>
                <w:sz w:val="20"/>
                <w:szCs w:val="20"/>
              </w:rPr>
              <w:t>12/2019</w:t>
            </w:r>
          </w:p>
        </w:tc>
      </w:tr>
      <w:tr w:rsidR="00A74345" w:rsidRPr="00F104DF" w14:paraId="0B059D7F" w14:textId="77777777" w:rsidTr="00F104DF">
        <w:tc>
          <w:tcPr>
            <w:tcW w:w="1131" w:type="pct"/>
          </w:tcPr>
          <w:p w14:paraId="1D11665B" w14:textId="018B52F2" w:rsidR="00A74345" w:rsidRPr="00F104DF" w:rsidRDefault="0019339A" w:rsidP="0077000E">
            <w:pPr>
              <w:rPr>
                <w:rFonts w:cstheme="minorHAnsi"/>
                <w:sz w:val="20"/>
                <w:szCs w:val="20"/>
              </w:rPr>
            </w:pPr>
            <w:r w:rsidRPr="00F104DF">
              <w:rPr>
                <w:rFonts w:cstheme="minorHAnsi"/>
                <w:sz w:val="20"/>
                <w:szCs w:val="20"/>
              </w:rPr>
              <w:t>Subjekty p</w:t>
            </w:r>
            <w:r w:rsidR="00A74345" w:rsidRPr="00F104DF">
              <w:rPr>
                <w:rFonts w:cstheme="minorHAnsi"/>
                <w:sz w:val="20"/>
                <w:szCs w:val="20"/>
              </w:rPr>
              <w:t>řihlášen</w:t>
            </w:r>
            <w:r w:rsidR="0077000E" w:rsidRPr="00F104DF">
              <w:rPr>
                <w:rFonts w:cstheme="minorHAnsi"/>
                <w:sz w:val="20"/>
                <w:szCs w:val="20"/>
              </w:rPr>
              <w:t xml:space="preserve">é </w:t>
            </w:r>
            <w:r w:rsidR="00A74345" w:rsidRPr="00F104DF">
              <w:rPr>
                <w:rFonts w:cstheme="minorHAnsi"/>
                <w:sz w:val="20"/>
                <w:szCs w:val="20"/>
              </w:rPr>
              <w:t>k</w:t>
            </w:r>
            <w:r w:rsidR="00372FC6" w:rsidRPr="00F104DF">
              <w:rPr>
                <w:rFonts w:cstheme="minorHAnsi"/>
                <w:sz w:val="20"/>
                <w:szCs w:val="20"/>
              </w:rPr>
              <w:t> </w:t>
            </w:r>
            <w:r w:rsidR="00A74345" w:rsidRPr="00F104DF">
              <w:rPr>
                <w:rFonts w:cstheme="minorHAnsi"/>
                <w:sz w:val="20"/>
                <w:szCs w:val="20"/>
              </w:rPr>
              <w:t>EET</w:t>
            </w:r>
          </w:p>
        </w:tc>
        <w:tc>
          <w:tcPr>
            <w:tcW w:w="552" w:type="pct"/>
            <w:vAlign w:val="center"/>
          </w:tcPr>
          <w:p w14:paraId="3F9066A2" w14:textId="77777777" w:rsidR="00A74345" w:rsidRPr="00F104DF" w:rsidRDefault="00A74345" w:rsidP="00F104DF">
            <w:pPr>
              <w:jc w:val="right"/>
              <w:rPr>
                <w:rFonts w:cstheme="minorHAnsi"/>
                <w:sz w:val="20"/>
                <w:szCs w:val="20"/>
              </w:rPr>
            </w:pPr>
            <w:r w:rsidRPr="00F104DF">
              <w:rPr>
                <w:rFonts w:cstheme="minorHAnsi"/>
                <w:sz w:val="20"/>
                <w:szCs w:val="20"/>
              </w:rPr>
              <w:t>55 220</w:t>
            </w:r>
          </w:p>
        </w:tc>
        <w:tc>
          <w:tcPr>
            <w:tcW w:w="553" w:type="pct"/>
            <w:vAlign w:val="center"/>
          </w:tcPr>
          <w:p w14:paraId="21BE29D3" w14:textId="77777777" w:rsidR="00A74345" w:rsidRPr="00F104DF" w:rsidRDefault="00A74345" w:rsidP="00F104DF">
            <w:pPr>
              <w:jc w:val="right"/>
              <w:rPr>
                <w:rFonts w:cstheme="minorHAnsi"/>
                <w:sz w:val="20"/>
                <w:szCs w:val="20"/>
              </w:rPr>
            </w:pPr>
            <w:r w:rsidRPr="00F104DF">
              <w:rPr>
                <w:rFonts w:cstheme="minorHAnsi"/>
                <w:sz w:val="20"/>
                <w:szCs w:val="20"/>
              </w:rPr>
              <w:t>173 677</w:t>
            </w:r>
          </w:p>
        </w:tc>
        <w:tc>
          <w:tcPr>
            <w:tcW w:w="553" w:type="pct"/>
            <w:vAlign w:val="center"/>
          </w:tcPr>
          <w:p w14:paraId="17573662" w14:textId="77777777" w:rsidR="00A74345" w:rsidRPr="00F104DF" w:rsidRDefault="00A74345" w:rsidP="00F104DF">
            <w:pPr>
              <w:jc w:val="right"/>
              <w:rPr>
                <w:rFonts w:cstheme="minorHAnsi"/>
                <w:sz w:val="20"/>
                <w:szCs w:val="20"/>
              </w:rPr>
            </w:pPr>
            <w:r w:rsidRPr="00F104DF">
              <w:rPr>
                <w:rFonts w:cstheme="minorHAnsi"/>
                <w:sz w:val="20"/>
                <w:szCs w:val="20"/>
              </w:rPr>
              <w:t>186 443</w:t>
            </w:r>
          </w:p>
        </w:tc>
        <w:tc>
          <w:tcPr>
            <w:tcW w:w="552" w:type="pct"/>
            <w:vAlign w:val="center"/>
          </w:tcPr>
          <w:p w14:paraId="07CDFFF5" w14:textId="77777777" w:rsidR="00A74345" w:rsidRPr="00F104DF" w:rsidRDefault="00A74345" w:rsidP="00F104DF">
            <w:pPr>
              <w:jc w:val="right"/>
              <w:rPr>
                <w:rFonts w:cstheme="minorHAnsi"/>
                <w:sz w:val="20"/>
                <w:szCs w:val="20"/>
              </w:rPr>
            </w:pPr>
            <w:r w:rsidRPr="00F104DF">
              <w:rPr>
                <w:rFonts w:cstheme="minorHAnsi"/>
                <w:sz w:val="20"/>
                <w:szCs w:val="20"/>
              </w:rPr>
              <w:t>195 370</w:t>
            </w:r>
          </w:p>
        </w:tc>
        <w:tc>
          <w:tcPr>
            <w:tcW w:w="553" w:type="pct"/>
            <w:vAlign w:val="center"/>
          </w:tcPr>
          <w:p w14:paraId="04E10FE2" w14:textId="77777777" w:rsidR="00A74345" w:rsidRPr="00F104DF" w:rsidRDefault="00A74345" w:rsidP="00F104DF">
            <w:pPr>
              <w:jc w:val="right"/>
              <w:rPr>
                <w:rFonts w:cstheme="minorHAnsi"/>
                <w:sz w:val="20"/>
                <w:szCs w:val="20"/>
              </w:rPr>
            </w:pPr>
            <w:r w:rsidRPr="00F104DF">
              <w:rPr>
                <w:rFonts w:cstheme="minorHAnsi"/>
                <w:sz w:val="20"/>
                <w:szCs w:val="20"/>
              </w:rPr>
              <w:t>202 369</w:t>
            </w:r>
          </w:p>
        </w:tc>
        <w:tc>
          <w:tcPr>
            <w:tcW w:w="553" w:type="pct"/>
            <w:vAlign w:val="center"/>
          </w:tcPr>
          <w:p w14:paraId="492AF537" w14:textId="77777777" w:rsidR="00A74345" w:rsidRPr="00F104DF" w:rsidRDefault="00A74345" w:rsidP="00F104DF">
            <w:pPr>
              <w:jc w:val="right"/>
              <w:rPr>
                <w:rFonts w:cstheme="minorHAnsi"/>
                <w:sz w:val="20"/>
                <w:szCs w:val="20"/>
              </w:rPr>
            </w:pPr>
            <w:r w:rsidRPr="00F104DF">
              <w:rPr>
                <w:rFonts w:cstheme="minorHAnsi"/>
                <w:sz w:val="20"/>
                <w:szCs w:val="20"/>
              </w:rPr>
              <w:t>210 014</w:t>
            </w:r>
          </w:p>
        </w:tc>
        <w:tc>
          <w:tcPr>
            <w:tcW w:w="553" w:type="pct"/>
            <w:vAlign w:val="center"/>
          </w:tcPr>
          <w:p w14:paraId="100E2DF4" w14:textId="77777777" w:rsidR="00A74345" w:rsidRPr="00F104DF" w:rsidRDefault="00A74345" w:rsidP="00F104DF">
            <w:pPr>
              <w:jc w:val="right"/>
              <w:rPr>
                <w:rFonts w:cstheme="minorHAnsi"/>
                <w:sz w:val="20"/>
                <w:szCs w:val="20"/>
              </w:rPr>
            </w:pPr>
            <w:r w:rsidRPr="00F104DF">
              <w:rPr>
                <w:rFonts w:cstheme="minorHAnsi"/>
                <w:sz w:val="20"/>
                <w:szCs w:val="20"/>
              </w:rPr>
              <w:t>217 148</w:t>
            </w:r>
          </w:p>
        </w:tc>
      </w:tr>
      <w:tr w:rsidR="00A74345" w:rsidRPr="00F104DF" w14:paraId="53645B02" w14:textId="77777777" w:rsidTr="00F104DF">
        <w:tc>
          <w:tcPr>
            <w:tcW w:w="1131" w:type="pct"/>
          </w:tcPr>
          <w:p w14:paraId="7177B8EC" w14:textId="77777777" w:rsidR="00A74345" w:rsidRPr="00F104DF" w:rsidRDefault="00A74345" w:rsidP="00A66EA8">
            <w:pPr>
              <w:rPr>
                <w:rFonts w:cstheme="minorHAnsi"/>
                <w:sz w:val="20"/>
                <w:szCs w:val="20"/>
              </w:rPr>
            </w:pPr>
            <w:r w:rsidRPr="00F104DF">
              <w:rPr>
                <w:rFonts w:cstheme="minorHAnsi"/>
                <w:sz w:val="20"/>
                <w:szCs w:val="20"/>
              </w:rPr>
              <w:t>Registrováno k DPH z přihlášených k EET</w:t>
            </w:r>
          </w:p>
        </w:tc>
        <w:tc>
          <w:tcPr>
            <w:tcW w:w="552" w:type="pct"/>
            <w:vAlign w:val="center"/>
          </w:tcPr>
          <w:p w14:paraId="18FE20E2" w14:textId="77777777" w:rsidR="00A74345" w:rsidRPr="00F104DF" w:rsidRDefault="00A74345" w:rsidP="00F104DF">
            <w:pPr>
              <w:jc w:val="right"/>
              <w:rPr>
                <w:rFonts w:cstheme="minorHAnsi"/>
                <w:sz w:val="20"/>
                <w:szCs w:val="20"/>
              </w:rPr>
            </w:pPr>
            <w:r w:rsidRPr="00F104DF">
              <w:rPr>
                <w:rFonts w:cstheme="minorHAnsi"/>
                <w:sz w:val="20"/>
                <w:szCs w:val="20"/>
              </w:rPr>
              <w:t>31 166</w:t>
            </w:r>
          </w:p>
        </w:tc>
        <w:tc>
          <w:tcPr>
            <w:tcW w:w="553" w:type="pct"/>
            <w:vAlign w:val="center"/>
          </w:tcPr>
          <w:p w14:paraId="68404E59" w14:textId="77777777" w:rsidR="00A74345" w:rsidRPr="00F104DF" w:rsidRDefault="00A74345" w:rsidP="00F104DF">
            <w:pPr>
              <w:jc w:val="right"/>
              <w:rPr>
                <w:rFonts w:cstheme="minorHAnsi"/>
                <w:sz w:val="20"/>
                <w:szCs w:val="20"/>
              </w:rPr>
            </w:pPr>
            <w:r w:rsidRPr="00F104DF">
              <w:rPr>
                <w:rFonts w:cstheme="minorHAnsi"/>
                <w:sz w:val="20"/>
                <w:szCs w:val="20"/>
              </w:rPr>
              <w:t>105 596</w:t>
            </w:r>
          </w:p>
        </w:tc>
        <w:tc>
          <w:tcPr>
            <w:tcW w:w="553" w:type="pct"/>
            <w:vAlign w:val="center"/>
          </w:tcPr>
          <w:p w14:paraId="060A9AC8" w14:textId="77777777" w:rsidR="00A74345" w:rsidRPr="00F104DF" w:rsidRDefault="00A74345" w:rsidP="00F104DF">
            <w:pPr>
              <w:jc w:val="right"/>
              <w:rPr>
                <w:rFonts w:cstheme="minorHAnsi"/>
                <w:sz w:val="20"/>
                <w:szCs w:val="20"/>
              </w:rPr>
            </w:pPr>
            <w:r w:rsidRPr="00F104DF">
              <w:rPr>
                <w:rFonts w:cstheme="minorHAnsi"/>
                <w:sz w:val="20"/>
                <w:szCs w:val="20"/>
              </w:rPr>
              <w:t>109 142</w:t>
            </w:r>
          </w:p>
        </w:tc>
        <w:tc>
          <w:tcPr>
            <w:tcW w:w="552" w:type="pct"/>
            <w:vAlign w:val="center"/>
          </w:tcPr>
          <w:p w14:paraId="5FE09417" w14:textId="77777777" w:rsidR="00A74345" w:rsidRPr="00F104DF" w:rsidRDefault="00A74345" w:rsidP="00F104DF">
            <w:pPr>
              <w:jc w:val="right"/>
              <w:rPr>
                <w:rFonts w:cstheme="minorHAnsi"/>
                <w:sz w:val="20"/>
                <w:szCs w:val="20"/>
              </w:rPr>
            </w:pPr>
            <w:r w:rsidRPr="00F104DF">
              <w:rPr>
                <w:rFonts w:cstheme="minorHAnsi"/>
                <w:sz w:val="20"/>
                <w:szCs w:val="20"/>
              </w:rPr>
              <w:t>110 570</w:t>
            </w:r>
          </w:p>
        </w:tc>
        <w:tc>
          <w:tcPr>
            <w:tcW w:w="553" w:type="pct"/>
            <w:vAlign w:val="center"/>
          </w:tcPr>
          <w:p w14:paraId="459E215A" w14:textId="77777777" w:rsidR="00A74345" w:rsidRPr="00F104DF" w:rsidRDefault="00A74345" w:rsidP="00F104DF">
            <w:pPr>
              <w:jc w:val="right"/>
              <w:rPr>
                <w:rFonts w:cstheme="minorHAnsi"/>
                <w:sz w:val="20"/>
                <w:szCs w:val="20"/>
              </w:rPr>
            </w:pPr>
            <w:r w:rsidRPr="00F104DF">
              <w:rPr>
                <w:rFonts w:cstheme="minorHAnsi"/>
                <w:sz w:val="20"/>
                <w:szCs w:val="20"/>
              </w:rPr>
              <w:t>111 540</w:t>
            </w:r>
          </w:p>
        </w:tc>
        <w:tc>
          <w:tcPr>
            <w:tcW w:w="553" w:type="pct"/>
            <w:vAlign w:val="center"/>
          </w:tcPr>
          <w:p w14:paraId="5E726238" w14:textId="77777777" w:rsidR="00A74345" w:rsidRPr="00F104DF" w:rsidRDefault="00A74345" w:rsidP="00F104DF">
            <w:pPr>
              <w:jc w:val="right"/>
              <w:rPr>
                <w:rFonts w:cstheme="minorHAnsi"/>
                <w:sz w:val="20"/>
                <w:szCs w:val="20"/>
              </w:rPr>
            </w:pPr>
            <w:r w:rsidRPr="00F104DF">
              <w:rPr>
                <w:rFonts w:cstheme="minorHAnsi"/>
                <w:sz w:val="20"/>
                <w:szCs w:val="20"/>
              </w:rPr>
              <w:t>111 943</w:t>
            </w:r>
          </w:p>
        </w:tc>
        <w:tc>
          <w:tcPr>
            <w:tcW w:w="553" w:type="pct"/>
            <w:vAlign w:val="center"/>
          </w:tcPr>
          <w:p w14:paraId="652EE717" w14:textId="77777777" w:rsidR="00A74345" w:rsidRPr="00F104DF" w:rsidRDefault="00A74345" w:rsidP="00F104DF">
            <w:pPr>
              <w:jc w:val="right"/>
              <w:rPr>
                <w:rFonts w:cstheme="minorHAnsi"/>
                <w:sz w:val="20"/>
                <w:szCs w:val="20"/>
              </w:rPr>
            </w:pPr>
            <w:r w:rsidRPr="00F104DF">
              <w:rPr>
                <w:rFonts w:cstheme="minorHAnsi"/>
                <w:sz w:val="20"/>
                <w:szCs w:val="20"/>
              </w:rPr>
              <w:t>112 327</w:t>
            </w:r>
          </w:p>
        </w:tc>
      </w:tr>
      <w:tr w:rsidR="00A74345" w:rsidRPr="00F104DF" w14:paraId="66B29547" w14:textId="77777777" w:rsidTr="00F104DF">
        <w:tc>
          <w:tcPr>
            <w:tcW w:w="1131" w:type="pct"/>
          </w:tcPr>
          <w:p w14:paraId="4C044D05" w14:textId="77777777" w:rsidR="00A66EA8" w:rsidRPr="00F104DF" w:rsidRDefault="00A74345" w:rsidP="00A66EA8">
            <w:pPr>
              <w:rPr>
                <w:rFonts w:cstheme="minorHAnsi"/>
                <w:sz w:val="20"/>
                <w:szCs w:val="20"/>
              </w:rPr>
            </w:pPr>
            <w:r w:rsidRPr="00F104DF">
              <w:rPr>
                <w:rFonts w:cstheme="minorHAnsi"/>
                <w:sz w:val="20"/>
                <w:szCs w:val="20"/>
              </w:rPr>
              <w:t xml:space="preserve">Registrováno k DPH z přihlášených k EET </w:t>
            </w:r>
          </w:p>
          <w:p w14:paraId="5C0B84DE" w14:textId="037C99D3" w:rsidR="00A74345" w:rsidRPr="00F104DF" w:rsidRDefault="0019339A" w:rsidP="00A66EA8">
            <w:pPr>
              <w:rPr>
                <w:rFonts w:cstheme="minorHAnsi"/>
                <w:sz w:val="20"/>
                <w:szCs w:val="20"/>
              </w:rPr>
            </w:pPr>
            <w:r w:rsidRPr="00F104DF">
              <w:rPr>
                <w:rFonts w:cstheme="minorHAnsi"/>
                <w:sz w:val="20"/>
                <w:szCs w:val="20"/>
              </w:rPr>
              <w:t>(</w:t>
            </w:r>
            <w:r w:rsidR="00A74345" w:rsidRPr="00F104DF">
              <w:rPr>
                <w:rFonts w:cstheme="minorHAnsi"/>
                <w:sz w:val="20"/>
                <w:szCs w:val="20"/>
              </w:rPr>
              <w:t>v %</w:t>
            </w:r>
            <w:r w:rsidRPr="00F104DF">
              <w:rPr>
                <w:rFonts w:cstheme="minorHAnsi"/>
                <w:sz w:val="20"/>
                <w:szCs w:val="20"/>
              </w:rPr>
              <w:t>)</w:t>
            </w:r>
          </w:p>
        </w:tc>
        <w:tc>
          <w:tcPr>
            <w:tcW w:w="552" w:type="pct"/>
            <w:vAlign w:val="center"/>
          </w:tcPr>
          <w:p w14:paraId="40F52080" w14:textId="77777777" w:rsidR="00A74345" w:rsidRPr="00F104DF" w:rsidRDefault="00A74345" w:rsidP="00F104DF">
            <w:pPr>
              <w:jc w:val="right"/>
              <w:rPr>
                <w:rFonts w:cstheme="minorHAnsi"/>
                <w:sz w:val="20"/>
                <w:szCs w:val="20"/>
              </w:rPr>
            </w:pPr>
            <w:r w:rsidRPr="00F104DF">
              <w:rPr>
                <w:rFonts w:cstheme="minorHAnsi"/>
                <w:sz w:val="20"/>
                <w:szCs w:val="20"/>
              </w:rPr>
              <w:t>56</w:t>
            </w:r>
          </w:p>
        </w:tc>
        <w:tc>
          <w:tcPr>
            <w:tcW w:w="553" w:type="pct"/>
            <w:vAlign w:val="center"/>
          </w:tcPr>
          <w:p w14:paraId="16EC9EE7" w14:textId="77777777" w:rsidR="00A74345" w:rsidRPr="00F104DF" w:rsidRDefault="00A74345" w:rsidP="00F104DF">
            <w:pPr>
              <w:jc w:val="right"/>
              <w:rPr>
                <w:rFonts w:cstheme="minorHAnsi"/>
                <w:sz w:val="20"/>
                <w:szCs w:val="20"/>
              </w:rPr>
            </w:pPr>
            <w:r w:rsidRPr="00F104DF">
              <w:rPr>
                <w:rFonts w:cstheme="minorHAnsi"/>
                <w:sz w:val="20"/>
                <w:szCs w:val="20"/>
              </w:rPr>
              <w:t>61</w:t>
            </w:r>
          </w:p>
        </w:tc>
        <w:tc>
          <w:tcPr>
            <w:tcW w:w="553" w:type="pct"/>
            <w:vAlign w:val="center"/>
          </w:tcPr>
          <w:p w14:paraId="0E98B393" w14:textId="77777777" w:rsidR="00A74345" w:rsidRPr="00F104DF" w:rsidRDefault="00A74345" w:rsidP="00F104DF">
            <w:pPr>
              <w:jc w:val="right"/>
              <w:rPr>
                <w:rFonts w:cstheme="minorHAnsi"/>
                <w:sz w:val="20"/>
                <w:szCs w:val="20"/>
              </w:rPr>
            </w:pPr>
            <w:r w:rsidRPr="00F104DF">
              <w:rPr>
                <w:rFonts w:cstheme="minorHAnsi"/>
                <w:sz w:val="20"/>
                <w:szCs w:val="20"/>
              </w:rPr>
              <w:t>59</w:t>
            </w:r>
          </w:p>
        </w:tc>
        <w:tc>
          <w:tcPr>
            <w:tcW w:w="552" w:type="pct"/>
            <w:vAlign w:val="center"/>
          </w:tcPr>
          <w:p w14:paraId="132DD5F6" w14:textId="77777777" w:rsidR="00A74345" w:rsidRPr="00F104DF" w:rsidRDefault="00A74345" w:rsidP="00F104DF">
            <w:pPr>
              <w:jc w:val="right"/>
              <w:rPr>
                <w:rFonts w:cstheme="minorHAnsi"/>
                <w:sz w:val="20"/>
                <w:szCs w:val="20"/>
              </w:rPr>
            </w:pPr>
            <w:r w:rsidRPr="00F104DF">
              <w:rPr>
                <w:rFonts w:cstheme="minorHAnsi"/>
                <w:sz w:val="20"/>
                <w:szCs w:val="20"/>
              </w:rPr>
              <w:t>57</w:t>
            </w:r>
          </w:p>
        </w:tc>
        <w:tc>
          <w:tcPr>
            <w:tcW w:w="553" w:type="pct"/>
            <w:vAlign w:val="center"/>
          </w:tcPr>
          <w:p w14:paraId="607603C0" w14:textId="77777777" w:rsidR="00A74345" w:rsidRPr="00F104DF" w:rsidRDefault="00A74345" w:rsidP="00F104DF">
            <w:pPr>
              <w:jc w:val="right"/>
              <w:rPr>
                <w:rFonts w:cstheme="minorHAnsi"/>
                <w:sz w:val="20"/>
                <w:szCs w:val="20"/>
              </w:rPr>
            </w:pPr>
            <w:r w:rsidRPr="00F104DF">
              <w:rPr>
                <w:rFonts w:cstheme="minorHAnsi"/>
                <w:sz w:val="20"/>
                <w:szCs w:val="20"/>
              </w:rPr>
              <w:t>55</w:t>
            </w:r>
          </w:p>
        </w:tc>
        <w:tc>
          <w:tcPr>
            <w:tcW w:w="553" w:type="pct"/>
            <w:vAlign w:val="center"/>
          </w:tcPr>
          <w:p w14:paraId="2A7ABE3C" w14:textId="77777777" w:rsidR="00A74345" w:rsidRPr="00F104DF" w:rsidRDefault="00A74345" w:rsidP="00F104DF">
            <w:pPr>
              <w:jc w:val="right"/>
              <w:rPr>
                <w:rFonts w:cstheme="minorHAnsi"/>
                <w:sz w:val="20"/>
                <w:szCs w:val="20"/>
              </w:rPr>
            </w:pPr>
            <w:r w:rsidRPr="00F104DF">
              <w:rPr>
                <w:rFonts w:cstheme="minorHAnsi"/>
                <w:sz w:val="20"/>
                <w:szCs w:val="20"/>
              </w:rPr>
              <w:t>53</w:t>
            </w:r>
          </w:p>
        </w:tc>
        <w:tc>
          <w:tcPr>
            <w:tcW w:w="553" w:type="pct"/>
            <w:vAlign w:val="center"/>
          </w:tcPr>
          <w:p w14:paraId="41E0C356" w14:textId="77777777" w:rsidR="00A74345" w:rsidRPr="00F104DF" w:rsidRDefault="00A74345" w:rsidP="00F104DF">
            <w:pPr>
              <w:jc w:val="right"/>
              <w:rPr>
                <w:rFonts w:cstheme="minorHAnsi"/>
                <w:sz w:val="20"/>
                <w:szCs w:val="20"/>
              </w:rPr>
            </w:pPr>
            <w:r w:rsidRPr="00F104DF">
              <w:rPr>
                <w:rFonts w:cstheme="minorHAnsi"/>
                <w:sz w:val="20"/>
                <w:szCs w:val="20"/>
              </w:rPr>
              <w:t>52</w:t>
            </w:r>
          </w:p>
        </w:tc>
      </w:tr>
    </w:tbl>
    <w:p w14:paraId="0B7A02D5" w14:textId="58F9BD7E" w:rsidR="0019339A" w:rsidRDefault="00A74345" w:rsidP="00F104DF">
      <w:pPr>
        <w:spacing w:after="0"/>
        <w:jc w:val="both"/>
        <w:rPr>
          <w:rFonts w:eastAsia="Calibri" w:cstheme="minorHAnsi"/>
          <w:iCs/>
          <w:sz w:val="20"/>
          <w:szCs w:val="20"/>
        </w:rPr>
      </w:pPr>
      <w:r w:rsidRPr="00F104DF">
        <w:rPr>
          <w:rFonts w:eastAsia="Calibri" w:cstheme="minorHAnsi"/>
          <w:b/>
          <w:bCs/>
          <w:iCs/>
          <w:sz w:val="20"/>
          <w:szCs w:val="20"/>
        </w:rPr>
        <w:t>Zdroj:</w:t>
      </w:r>
      <w:r w:rsidRPr="00F104DF">
        <w:rPr>
          <w:rFonts w:eastAsia="Calibri" w:cstheme="minorHAnsi"/>
          <w:iCs/>
          <w:sz w:val="20"/>
          <w:szCs w:val="20"/>
        </w:rPr>
        <w:t xml:space="preserve"> GFŘ</w:t>
      </w:r>
      <w:r w:rsidR="0019339A" w:rsidRPr="00F104DF">
        <w:rPr>
          <w:rFonts w:eastAsia="Calibri" w:cstheme="minorHAnsi"/>
          <w:iCs/>
          <w:sz w:val="20"/>
          <w:szCs w:val="20"/>
        </w:rPr>
        <w:t>.</w:t>
      </w:r>
      <w:r w:rsidR="00F02BC3" w:rsidRPr="00F104DF">
        <w:rPr>
          <w:rFonts w:eastAsia="Calibri" w:cstheme="minorHAnsi"/>
          <w:iCs/>
          <w:sz w:val="20"/>
          <w:szCs w:val="20"/>
        </w:rPr>
        <w:t xml:space="preserve"> </w:t>
      </w:r>
    </w:p>
    <w:p w14:paraId="6C15B93B" w14:textId="6EFD510F" w:rsidR="00A74345" w:rsidRPr="00F104DF" w:rsidRDefault="00F02BC3" w:rsidP="00F104DF">
      <w:pPr>
        <w:spacing w:after="120"/>
        <w:ind w:left="567" w:hanging="567"/>
        <w:jc w:val="both"/>
        <w:rPr>
          <w:rFonts w:eastAsia="Calibri" w:cstheme="minorHAnsi"/>
          <w:iCs/>
          <w:sz w:val="20"/>
          <w:szCs w:val="20"/>
        </w:rPr>
      </w:pPr>
      <w:r w:rsidRPr="00F104DF">
        <w:rPr>
          <w:rFonts w:eastAsia="Calibri" w:cstheme="minorHAnsi"/>
          <w:b/>
          <w:bCs/>
          <w:iCs/>
          <w:sz w:val="20"/>
          <w:szCs w:val="20"/>
        </w:rPr>
        <w:t>Pozn.:</w:t>
      </w:r>
      <w:r w:rsidRPr="00F104DF">
        <w:rPr>
          <w:rFonts w:eastAsia="Calibri" w:cstheme="minorHAnsi"/>
          <w:iCs/>
          <w:sz w:val="20"/>
          <w:szCs w:val="20"/>
        </w:rPr>
        <w:t xml:space="preserve"> </w:t>
      </w:r>
      <w:r w:rsidR="0019339A">
        <w:rPr>
          <w:rFonts w:eastAsia="Calibri" w:cstheme="minorHAnsi"/>
          <w:iCs/>
          <w:sz w:val="20"/>
          <w:szCs w:val="20"/>
        </w:rPr>
        <w:tab/>
      </w:r>
      <w:r w:rsidRPr="00F104DF">
        <w:rPr>
          <w:rFonts w:eastAsia="Calibri" w:cstheme="minorHAnsi"/>
          <w:iCs/>
          <w:sz w:val="20"/>
          <w:szCs w:val="20"/>
        </w:rPr>
        <w:t>Údaje nebylo možné rozdělit na jednotlivé vlny, neboť se činnosti, resp. hlavní převažující činnost, mohly měnit.</w:t>
      </w:r>
    </w:p>
    <w:p w14:paraId="186FF09E" w14:textId="6D02C189" w:rsidR="0077000E" w:rsidRPr="00C47E97" w:rsidRDefault="0077000E" w:rsidP="00E50B0F">
      <w:pPr>
        <w:spacing w:after="120" w:line="240" w:lineRule="auto"/>
        <w:jc w:val="both"/>
        <w:rPr>
          <w:rFonts w:eastAsia="Calibri" w:cstheme="minorHAnsi"/>
          <w:sz w:val="24"/>
          <w:szCs w:val="24"/>
        </w:rPr>
      </w:pPr>
      <w:r w:rsidRPr="00C47E97">
        <w:rPr>
          <w:rFonts w:eastAsia="Calibri" w:cstheme="minorHAnsi"/>
          <w:sz w:val="24"/>
          <w:szCs w:val="24"/>
        </w:rPr>
        <w:t xml:space="preserve">V reakci na pandemii </w:t>
      </w:r>
      <w:r w:rsidR="0019339A">
        <w:rPr>
          <w:rFonts w:eastAsia="Calibri" w:cstheme="minorHAnsi"/>
          <w:sz w:val="24"/>
          <w:szCs w:val="24"/>
        </w:rPr>
        <w:t>covidu</w:t>
      </w:r>
      <w:r w:rsidRPr="00C47E97">
        <w:rPr>
          <w:rFonts w:eastAsia="Calibri" w:cstheme="minorHAnsi"/>
          <w:sz w:val="24"/>
          <w:szCs w:val="24"/>
        </w:rPr>
        <w:t xml:space="preserve">-19 a vyhlášení nouzového stavu došlo k pozastavení povinnosti evidovat tržby od 27. 3. 2020 </w:t>
      </w:r>
      <w:r w:rsidR="00F104DF">
        <w:rPr>
          <w:rFonts w:eastAsia="Calibri" w:cstheme="minorHAnsi"/>
          <w:sz w:val="24"/>
          <w:szCs w:val="24"/>
        </w:rPr>
        <w:t xml:space="preserve">a následně byla platnost pozastavení této povinnosti </w:t>
      </w:r>
      <w:r w:rsidRPr="00C47E97">
        <w:rPr>
          <w:rFonts w:eastAsia="Calibri" w:cstheme="minorHAnsi"/>
          <w:sz w:val="24"/>
          <w:szCs w:val="24"/>
        </w:rPr>
        <w:t xml:space="preserve">postupně </w:t>
      </w:r>
      <w:r w:rsidR="00F104DF">
        <w:rPr>
          <w:rFonts w:eastAsia="Calibri" w:cstheme="minorHAnsi"/>
          <w:sz w:val="24"/>
          <w:szCs w:val="24"/>
        </w:rPr>
        <w:t xml:space="preserve">prodlužována </w:t>
      </w:r>
      <w:r w:rsidRPr="00C47E97">
        <w:rPr>
          <w:rFonts w:eastAsia="Calibri" w:cstheme="minorHAnsi"/>
          <w:sz w:val="24"/>
          <w:szCs w:val="24"/>
        </w:rPr>
        <w:t>až do 31. 12. 2022. S účinností od</w:t>
      </w:r>
      <w:r w:rsidR="00F104DF">
        <w:rPr>
          <w:rFonts w:eastAsia="Calibri" w:cstheme="minorHAnsi"/>
          <w:sz w:val="24"/>
          <w:szCs w:val="24"/>
        </w:rPr>
        <w:t xml:space="preserve"> </w:t>
      </w:r>
      <w:r w:rsidRPr="00C47E97">
        <w:rPr>
          <w:rFonts w:eastAsia="Calibri" w:cstheme="minorHAnsi"/>
          <w:sz w:val="24"/>
          <w:szCs w:val="24"/>
        </w:rPr>
        <w:t xml:space="preserve">1. 1. 2023 byla EET zrušena bez náhrady. </w:t>
      </w:r>
    </w:p>
    <w:p w14:paraId="196E8B55" w14:textId="76FA1932" w:rsidR="00A74345" w:rsidRPr="00C47E97" w:rsidRDefault="007B0A86" w:rsidP="00E50B0F">
      <w:pPr>
        <w:spacing w:line="240" w:lineRule="auto"/>
        <w:jc w:val="both"/>
        <w:rPr>
          <w:rFonts w:cstheme="minorHAnsi"/>
          <w:bCs/>
          <w:sz w:val="24"/>
        </w:rPr>
      </w:pPr>
      <w:r w:rsidRPr="00C47E97">
        <w:rPr>
          <w:rFonts w:cstheme="minorHAnsi"/>
          <w:bCs/>
          <w:sz w:val="24"/>
        </w:rPr>
        <w:t xml:space="preserve">Porovnáním počtu </w:t>
      </w:r>
      <w:r w:rsidR="007B0933" w:rsidRPr="00C47E97">
        <w:rPr>
          <w:rFonts w:cstheme="minorHAnsi"/>
          <w:bCs/>
          <w:sz w:val="24"/>
        </w:rPr>
        <w:t>subjektů</w:t>
      </w:r>
      <w:r w:rsidRPr="00C47E97">
        <w:rPr>
          <w:rFonts w:cstheme="minorHAnsi"/>
          <w:bCs/>
          <w:sz w:val="24"/>
        </w:rPr>
        <w:t xml:space="preserve"> evidujících tržby před pozastavením EET, tj. v roce 2019, a počtu </w:t>
      </w:r>
      <w:r w:rsidR="007B0933" w:rsidRPr="00C47E97">
        <w:rPr>
          <w:rFonts w:cstheme="minorHAnsi"/>
          <w:bCs/>
          <w:sz w:val="24"/>
        </w:rPr>
        <w:t>subjektů</w:t>
      </w:r>
      <w:r w:rsidRPr="00C47E97">
        <w:rPr>
          <w:rFonts w:cstheme="minorHAnsi"/>
          <w:bCs/>
          <w:sz w:val="24"/>
        </w:rPr>
        <w:t xml:space="preserve"> evidujících své tržby v době pozastavení EET </w:t>
      </w:r>
      <w:r w:rsidR="00F104DF">
        <w:rPr>
          <w:rFonts w:cstheme="minorHAnsi"/>
          <w:bCs/>
          <w:sz w:val="24"/>
        </w:rPr>
        <w:t xml:space="preserve">bylo kontrolou </w:t>
      </w:r>
      <w:r w:rsidRPr="00C47E97">
        <w:rPr>
          <w:rFonts w:cstheme="minorHAnsi"/>
          <w:bCs/>
          <w:sz w:val="24"/>
        </w:rPr>
        <w:t>NKÚ zji</w:t>
      </w:r>
      <w:r w:rsidR="00F104DF">
        <w:rPr>
          <w:rFonts w:cstheme="minorHAnsi"/>
          <w:bCs/>
          <w:sz w:val="24"/>
        </w:rPr>
        <w:t>štěno</w:t>
      </w:r>
      <w:r w:rsidRPr="00C47E97">
        <w:rPr>
          <w:rFonts w:cstheme="minorHAnsi"/>
          <w:bCs/>
          <w:sz w:val="24"/>
        </w:rPr>
        <w:t>, že v roce 2021 evidovalo své tržby dobrovolně celkem 50 % a v roce 2022 celkem 35,7 % subjektů</w:t>
      </w:r>
      <w:r w:rsidR="00E50B0F" w:rsidRPr="00C47E97">
        <w:rPr>
          <w:rFonts w:cstheme="minorHAnsi"/>
          <w:bCs/>
          <w:sz w:val="24"/>
        </w:rPr>
        <w:t>.</w:t>
      </w:r>
      <w:r w:rsidRPr="00C47E97">
        <w:rPr>
          <w:rFonts w:cstheme="minorHAnsi"/>
          <w:bCs/>
          <w:sz w:val="24"/>
        </w:rPr>
        <w:t xml:space="preserve"> </w:t>
      </w:r>
      <w:r w:rsidR="00E50B0F" w:rsidRPr="00C47E97">
        <w:rPr>
          <w:rFonts w:cstheme="minorHAnsi"/>
          <w:bCs/>
          <w:sz w:val="24"/>
        </w:rPr>
        <w:t>Jednalo se především o subjekty</w:t>
      </w:r>
      <w:r w:rsidRPr="00C47E97">
        <w:rPr>
          <w:rFonts w:cstheme="minorHAnsi"/>
          <w:bCs/>
          <w:sz w:val="24"/>
        </w:rPr>
        <w:t xml:space="preserve">, jejichž činnost spadala do </w:t>
      </w:r>
      <w:r w:rsidR="00E50B0F" w:rsidRPr="00C47E97">
        <w:rPr>
          <w:rFonts w:cstheme="minorHAnsi"/>
          <w:bCs/>
          <w:sz w:val="24"/>
        </w:rPr>
        <w:t>druhé</w:t>
      </w:r>
      <w:r w:rsidRPr="00C47E97">
        <w:rPr>
          <w:rFonts w:cstheme="minorHAnsi"/>
          <w:bCs/>
          <w:sz w:val="24"/>
        </w:rPr>
        <w:t xml:space="preserve"> vlny EET.</w:t>
      </w:r>
      <w:r w:rsidR="009053C8" w:rsidRPr="00C47E97">
        <w:rPr>
          <w:rFonts w:cstheme="minorHAnsi"/>
          <w:bCs/>
          <w:sz w:val="24"/>
        </w:rPr>
        <w:t xml:space="preserve"> </w:t>
      </w:r>
      <w:r w:rsidR="00E079F9">
        <w:rPr>
          <w:rFonts w:cstheme="minorHAnsi"/>
          <w:bCs/>
          <w:sz w:val="24"/>
        </w:rPr>
        <w:t xml:space="preserve">Údaje o počtu subjektů, které evidovaly tržby v letech 2016–2022, jsou uvedeny v tabulce č. </w:t>
      </w:r>
      <w:r w:rsidR="002B6460">
        <w:rPr>
          <w:rFonts w:cstheme="minorHAnsi"/>
          <w:bCs/>
          <w:sz w:val="24"/>
        </w:rPr>
        <w:t>5</w:t>
      </w:r>
      <w:r w:rsidR="00E079F9">
        <w:rPr>
          <w:rFonts w:cstheme="minorHAnsi"/>
          <w:bCs/>
          <w:sz w:val="24"/>
        </w:rPr>
        <w:t>.</w:t>
      </w:r>
    </w:p>
    <w:p w14:paraId="40E3FC9E" w14:textId="32B72773" w:rsidR="00163911" w:rsidRPr="00F104DF" w:rsidRDefault="00163911" w:rsidP="009053C8">
      <w:pPr>
        <w:spacing w:after="0"/>
        <w:jc w:val="both"/>
        <w:rPr>
          <w:rFonts w:cstheme="minorHAnsi"/>
          <w:b/>
          <w:sz w:val="24"/>
        </w:rPr>
      </w:pPr>
      <w:r w:rsidRPr="00F104DF">
        <w:rPr>
          <w:rFonts w:cstheme="minorHAnsi"/>
          <w:b/>
          <w:sz w:val="24"/>
        </w:rPr>
        <w:t xml:space="preserve">Tabulka </w:t>
      </w:r>
      <w:r w:rsidR="00492DF3" w:rsidRPr="00F104DF">
        <w:rPr>
          <w:rFonts w:cstheme="minorHAnsi"/>
          <w:b/>
          <w:sz w:val="24"/>
        </w:rPr>
        <w:t xml:space="preserve">č. </w:t>
      </w:r>
      <w:r w:rsidR="002B6460" w:rsidRPr="00F104DF">
        <w:rPr>
          <w:rFonts w:cstheme="minorHAnsi"/>
          <w:b/>
          <w:sz w:val="24"/>
        </w:rPr>
        <w:t>5</w:t>
      </w:r>
      <w:r w:rsidR="00F104DF" w:rsidRPr="00F104DF">
        <w:rPr>
          <w:rFonts w:cstheme="minorHAnsi"/>
          <w:b/>
          <w:sz w:val="24"/>
        </w:rPr>
        <w:t>:</w:t>
      </w:r>
      <w:r w:rsidRPr="00F104DF">
        <w:rPr>
          <w:rFonts w:cstheme="minorHAnsi"/>
          <w:b/>
          <w:sz w:val="24"/>
        </w:rPr>
        <w:t xml:space="preserve"> Počet daňových subjektů evidujících tržby v EET v letech 2016</w:t>
      </w:r>
      <w:r w:rsidR="0019339A" w:rsidRPr="00F104DF">
        <w:rPr>
          <w:rFonts w:cstheme="minorHAnsi"/>
          <w:b/>
          <w:sz w:val="24"/>
        </w:rPr>
        <w:t>–</w:t>
      </w:r>
      <w:r w:rsidRPr="00F104DF">
        <w:rPr>
          <w:rFonts w:cstheme="minorHAnsi"/>
          <w:b/>
          <w:sz w:val="24"/>
        </w:rPr>
        <w:t>2022</w:t>
      </w:r>
      <w:r w:rsidR="00492DF3" w:rsidRPr="00F104DF">
        <w:rPr>
          <w:rFonts w:cstheme="minorHAnsi"/>
          <w:b/>
          <w:sz w:val="24"/>
        </w:rPr>
        <w:t xml:space="preserve"> </w:t>
      </w:r>
    </w:p>
    <w:tbl>
      <w:tblPr>
        <w:tblStyle w:val="Mkatabulky1"/>
        <w:tblW w:w="5000" w:type="pct"/>
        <w:tblLook w:val="04A0" w:firstRow="1" w:lastRow="0" w:firstColumn="1" w:lastColumn="0" w:noHBand="0" w:noVBand="1"/>
      </w:tblPr>
      <w:tblGrid>
        <w:gridCol w:w="1373"/>
        <w:gridCol w:w="1096"/>
        <w:gridCol w:w="1097"/>
        <w:gridCol w:w="1095"/>
        <w:gridCol w:w="1093"/>
        <w:gridCol w:w="1093"/>
        <w:gridCol w:w="1093"/>
        <w:gridCol w:w="1122"/>
      </w:tblGrid>
      <w:tr w:rsidR="00163911" w:rsidRPr="00F104DF" w14:paraId="4C09BA84" w14:textId="77777777" w:rsidTr="00F104DF">
        <w:trPr>
          <w:trHeight w:val="397"/>
        </w:trPr>
        <w:tc>
          <w:tcPr>
            <w:tcW w:w="758" w:type="pct"/>
            <w:tcBorders>
              <w:top w:val="single" w:sz="4" w:space="0" w:color="auto"/>
              <w:left w:val="single" w:sz="4" w:space="0" w:color="auto"/>
              <w:bottom w:val="single" w:sz="4" w:space="0" w:color="auto"/>
              <w:right w:val="single" w:sz="4" w:space="0" w:color="auto"/>
            </w:tcBorders>
            <w:shd w:val="clear" w:color="auto" w:fill="E5F1FF"/>
            <w:vAlign w:val="center"/>
          </w:tcPr>
          <w:p w14:paraId="055F10D8" w14:textId="77777777" w:rsidR="00163911" w:rsidRPr="00F104DF" w:rsidRDefault="00163911" w:rsidP="00F104DF">
            <w:pPr>
              <w:jc w:val="center"/>
              <w:rPr>
                <w:rFonts w:cstheme="minorHAnsi"/>
                <w:sz w:val="20"/>
                <w:szCs w:val="20"/>
              </w:rPr>
            </w:pPr>
          </w:p>
        </w:tc>
        <w:tc>
          <w:tcPr>
            <w:tcW w:w="605" w:type="pct"/>
            <w:tcBorders>
              <w:top w:val="single" w:sz="4" w:space="0" w:color="auto"/>
              <w:left w:val="single" w:sz="4" w:space="0" w:color="auto"/>
              <w:bottom w:val="single" w:sz="4" w:space="0" w:color="auto"/>
              <w:right w:val="single" w:sz="4" w:space="0" w:color="auto"/>
            </w:tcBorders>
            <w:shd w:val="clear" w:color="auto" w:fill="E5F1FF"/>
            <w:vAlign w:val="center"/>
            <w:hideMark/>
          </w:tcPr>
          <w:p w14:paraId="2B15E0F9" w14:textId="77777777" w:rsidR="00163911" w:rsidRPr="00F104DF" w:rsidRDefault="00163911" w:rsidP="00F104DF">
            <w:pPr>
              <w:jc w:val="center"/>
              <w:rPr>
                <w:rFonts w:cstheme="minorHAnsi"/>
                <w:b/>
                <w:sz w:val="20"/>
                <w:szCs w:val="20"/>
              </w:rPr>
            </w:pPr>
            <w:r w:rsidRPr="00F104DF">
              <w:rPr>
                <w:rFonts w:cstheme="minorHAnsi"/>
                <w:b/>
                <w:sz w:val="20"/>
                <w:szCs w:val="20"/>
              </w:rPr>
              <w:t>2016</w:t>
            </w:r>
          </w:p>
        </w:tc>
        <w:tc>
          <w:tcPr>
            <w:tcW w:w="605" w:type="pct"/>
            <w:tcBorders>
              <w:top w:val="single" w:sz="4" w:space="0" w:color="auto"/>
              <w:left w:val="single" w:sz="4" w:space="0" w:color="auto"/>
              <w:bottom w:val="single" w:sz="4" w:space="0" w:color="auto"/>
              <w:right w:val="single" w:sz="4" w:space="0" w:color="auto"/>
            </w:tcBorders>
            <w:shd w:val="clear" w:color="auto" w:fill="E5F1FF"/>
            <w:vAlign w:val="center"/>
            <w:hideMark/>
          </w:tcPr>
          <w:p w14:paraId="01647445" w14:textId="77777777" w:rsidR="00163911" w:rsidRPr="00F104DF" w:rsidRDefault="00163911" w:rsidP="00F104DF">
            <w:pPr>
              <w:jc w:val="center"/>
              <w:rPr>
                <w:rFonts w:cstheme="minorHAnsi"/>
                <w:b/>
                <w:sz w:val="20"/>
                <w:szCs w:val="20"/>
              </w:rPr>
            </w:pPr>
            <w:r w:rsidRPr="00F104DF">
              <w:rPr>
                <w:rFonts w:cstheme="minorHAnsi"/>
                <w:b/>
                <w:sz w:val="20"/>
                <w:szCs w:val="20"/>
              </w:rPr>
              <w:t>2017</w:t>
            </w:r>
          </w:p>
        </w:tc>
        <w:tc>
          <w:tcPr>
            <w:tcW w:w="604" w:type="pct"/>
            <w:tcBorders>
              <w:top w:val="single" w:sz="4" w:space="0" w:color="auto"/>
              <w:left w:val="single" w:sz="4" w:space="0" w:color="auto"/>
              <w:bottom w:val="single" w:sz="4" w:space="0" w:color="auto"/>
              <w:right w:val="single" w:sz="4" w:space="0" w:color="auto"/>
            </w:tcBorders>
            <w:shd w:val="clear" w:color="auto" w:fill="E5F1FF"/>
            <w:vAlign w:val="center"/>
            <w:hideMark/>
          </w:tcPr>
          <w:p w14:paraId="05CD3D4F" w14:textId="77777777" w:rsidR="00163911" w:rsidRPr="00F104DF" w:rsidRDefault="00163911" w:rsidP="00F104DF">
            <w:pPr>
              <w:jc w:val="center"/>
              <w:rPr>
                <w:rFonts w:cstheme="minorHAnsi"/>
                <w:b/>
                <w:sz w:val="20"/>
                <w:szCs w:val="20"/>
              </w:rPr>
            </w:pPr>
            <w:r w:rsidRPr="00F104DF">
              <w:rPr>
                <w:rFonts w:cstheme="minorHAnsi"/>
                <w:b/>
                <w:sz w:val="20"/>
                <w:szCs w:val="20"/>
              </w:rPr>
              <w:t>2018</w:t>
            </w:r>
          </w:p>
        </w:tc>
        <w:tc>
          <w:tcPr>
            <w:tcW w:w="603" w:type="pct"/>
            <w:tcBorders>
              <w:top w:val="single" w:sz="4" w:space="0" w:color="auto"/>
              <w:left w:val="single" w:sz="4" w:space="0" w:color="auto"/>
              <w:bottom w:val="single" w:sz="4" w:space="0" w:color="auto"/>
              <w:right w:val="single" w:sz="4" w:space="0" w:color="auto"/>
            </w:tcBorders>
            <w:shd w:val="clear" w:color="auto" w:fill="E5F1FF"/>
            <w:vAlign w:val="center"/>
            <w:hideMark/>
          </w:tcPr>
          <w:p w14:paraId="2DB5A2B1" w14:textId="77777777" w:rsidR="00163911" w:rsidRPr="00F104DF" w:rsidRDefault="00163911" w:rsidP="00F104DF">
            <w:pPr>
              <w:jc w:val="center"/>
              <w:rPr>
                <w:rFonts w:cstheme="minorHAnsi"/>
                <w:b/>
                <w:sz w:val="20"/>
                <w:szCs w:val="20"/>
              </w:rPr>
            </w:pPr>
            <w:r w:rsidRPr="00F104DF">
              <w:rPr>
                <w:rFonts w:cstheme="minorHAnsi"/>
                <w:b/>
                <w:sz w:val="20"/>
                <w:szCs w:val="20"/>
              </w:rPr>
              <w:t>2019</w:t>
            </w:r>
          </w:p>
        </w:tc>
        <w:tc>
          <w:tcPr>
            <w:tcW w:w="603" w:type="pct"/>
            <w:tcBorders>
              <w:top w:val="single" w:sz="4" w:space="0" w:color="auto"/>
              <w:left w:val="single" w:sz="4" w:space="0" w:color="auto"/>
              <w:bottom w:val="single" w:sz="4" w:space="0" w:color="auto"/>
              <w:right w:val="single" w:sz="4" w:space="0" w:color="auto"/>
            </w:tcBorders>
            <w:shd w:val="clear" w:color="auto" w:fill="E5F1FF"/>
            <w:vAlign w:val="center"/>
            <w:hideMark/>
          </w:tcPr>
          <w:p w14:paraId="2C2F3EF8" w14:textId="77777777" w:rsidR="00163911" w:rsidRPr="00F104DF" w:rsidRDefault="00163911" w:rsidP="00F104DF">
            <w:pPr>
              <w:jc w:val="center"/>
              <w:rPr>
                <w:rFonts w:cstheme="minorHAnsi"/>
                <w:b/>
                <w:sz w:val="20"/>
                <w:szCs w:val="20"/>
              </w:rPr>
            </w:pPr>
            <w:r w:rsidRPr="00F104DF">
              <w:rPr>
                <w:rFonts w:cstheme="minorHAnsi"/>
                <w:b/>
                <w:sz w:val="20"/>
                <w:szCs w:val="20"/>
              </w:rPr>
              <w:t>2020</w:t>
            </w:r>
          </w:p>
        </w:tc>
        <w:tc>
          <w:tcPr>
            <w:tcW w:w="603" w:type="pct"/>
            <w:tcBorders>
              <w:top w:val="single" w:sz="4" w:space="0" w:color="auto"/>
              <w:left w:val="single" w:sz="4" w:space="0" w:color="auto"/>
              <w:bottom w:val="single" w:sz="4" w:space="0" w:color="auto"/>
              <w:right w:val="single" w:sz="4" w:space="0" w:color="auto"/>
            </w:tcBorders>
            <w:shd w:val="clear" w:color="auto" w:fill="E5F1FF"/>
            <w:vAlign w:val="center"/>
            <w:hideMark/>
          </w:tcPr>
          <w:p w14:paraId="2B8F8267" w14:textId="77777777" w:rsidR="00163911" w:rsidRPr="00F104DF" w:rsidRDefault="00163911" w:rsidP="00F104DF">
            <w:pPr>
              <w:jc w:val="center"/>
              <w:rPr>
                <w:rFonts w:cstheme="minorHAnsi"/>
                <w:b/>
                <w:sz w:val="20"/>
                <w:szCs w:val="20"/>
              </w:rPr>
            </w:pPr>
            <w:r w:rsidRPr="00F104DF">
              <w:rPr>
                <w:rFonts w:cstheme="minorHAnsi"/>
                <w:b/>
                <w:sz w:val="20"/>
                <w:szCs w:val="20"/>
              </w:rPr>
              <w:t>2021</w:t>
            </w:r>
          </w:p>
        </w:tc>
        <w:tc>
          <w:tcPr>
            <w:tcW w:w="620" w:type="pct"/>
            <w:tcBorders>
              <w:top w:val="single" w:sz="4" w:space="0" w:color="auto"/>
              <w:left w:val="single" w:sz="4" w:space="0" w:color="auto"/>
              <w:bottom w:val="single" w:sz="4" w:space="0" w:color="auto"/>
              <w:right w:val="single" w:sz="4" w:space="0" w:color="auto"/>
            </w:tcBorders>
            <w:shd w:val="clear" w:color="auto" w:fill="E5F1FF"/>
            <w:vAlign w:val="center"/>
            <w:hideMark/>
          </w:tcPr>
          <w:p w14:paraId="3B8A847E" w14:textId="77777777" w:rsidR="00163911" w:rsidRPr="00F104DF" w:rsidRDefault="00163911" w:rsidP="00F104DF">
            <w:pPr>
              <w:jc w:val="center"/>
              <w:rPr>
                <w:rFonts w:cstheme="minorHAnsi"/>
                <w:b/>
                <w:sz w:val="20"/>
                <w:szCs w:val="20"/>
              </w:rPr>
            </w:pPr>
            <w:r w:rsidRPr="00F104DF">
              <w:rPr>
                <w:rFonts w:cstheme="minorHAnsi"/>
                <w:b/>
                <w:sz w:val="20"/>
                <w:szCs w:val="20"/>
              </w:rPr>
              <w:t>2022</w:t>
            </w:r>
          </w:p>
        </w:tc>
      </w:tr>
      <w:tr w:rsidR="00163911" w:rsidRPr="00F104DF" w14:paraId="73387668" w14:textId="77777777" w:rsidTr="007B0933">
        <w:trPr>
          <w:trHeight w:val="250"/>
        </w:trPr>
        <w:tc>
          <w:tcPr>
            <w:tcW w:w="758" w:type="pct"/>
            <w:tcBorders>
              <w:top w:val="single" w:sz="4" w:space="0" w:color="auto"/>
              <w:left w:val="single" w:sz="4" w:space="0" w:color="auto"/>
              <w:bottom w:val="single" w:sz="4" w:space="0" w:color="auto"/>
              <w:right w:val="single" w:sz="4" w:space="0" w:color="auto"/>
            </w:tcBorders>
            <w:hideMark/>
          </w:tcPr>
          <w:p w14:paraId="2C4528EE" w14:textId="77777777" w:rsidR="00163911" w:rsidRPr="00F104DF" w:rsidRDefault="00163911" w:rsidP="005C60F2">
            <w:pPr>
              <w:jc w:val="both"/>
              <w:rPr>
                <w:rFonts w:cstheme="minorHAnsi"/>
                <w:sz w:val="20"/>
                <w:szCs w:val="20"/>
              </w:rPr>
            </w:pPr>
            <w:r w:rsidRPr="00F104DF">
              <w:rPr>
                <w:rFonts w:cstheme="minorHAnsi"/>
                <w:sz w:val="20"/>
                <w:szCs w:val="20"/>
              </w:rPr>
              <w:t>1. vlna</w:t>
            </w:r>
          </w:p>
        </w:tc>
        <w:tc>
          <w:tcPr>
            <w:tcW w:w="605" w:type="pct"/>
            <w:tcBorders>
              <w:top w:val="single" w:sz="4" w:space="0" w:color="auto"/>
              <w:left w:val="single" w:sz="4" w:space="0" w:color="auto"/>
              <w:bottom w:val="single" w:sz="4" w:space="0" w:color="auto"/>
              <w:right w:val="single" w:sz="4" w:space="0" w:color="auto"/>
            </w:tcBorders>
            <w:hideMark/>
          </w:tcPr>
          <w:p w14:paraId="743FF72B" w14:textId="77777777" w:rsidR="00163911" w:rsidRPr="00F104DF" w:rsidRDefault="00163911" w:rsidP="005C60F2">
            <w:pPr>
              <w:jc w:val="right"/>
              <w:rPr>
                <w:rFonts w:cstheme="minorHAnsi"/>
                <w:sz w:val="20"/>
                <w:szCs w:val="20"/>
              </w:rPr>
            </w:pPr>
            <w:r w:rsidRPr="00F104DF">
              <w:rPr>
                <w:rFonts w:cstheme="minorHAnsi"/>
                <w:sz w:val="20"/>
                <w:szCs w:val="20"/>
              </w:rPr>
              <w:t>28 779</w:t>
            </w:r>
          </w:p>
        </w:tc>
        <w:tc>
          <w:tcPr>
            <w:tcW w:w="605" w:type="pct"/>
            <w:tcBorders>
              <w:top w:val="single" w:sz="4" w:space="0" w:color="auto"/>
              <w:left w:val="single" w:sz="4" w:space="0" w:color="auto"/>
              <w:bottom w:val="single" w:sz="4" w:space="0" w:color="auto"/>
              <w:right w:val="single" w:sz="4" w:space="0" w:color="auto"/>
            </w:tcBorders>
            <w:hideMark/>
          </w:tcPr>
          <w:p w14:paraId="54FA1C1D" w14:textId="77777777" w:rsidR="00163911" w:rsidRPr="00F104DF" w:rsidRDefault="00163911" w:rsidP="005C60F2">
            <w:pPr>
              <w:jc w:val="right"/>
              <w:rPr>
                <w:rFonts w:cstheme="minorHAnsi"/>
                <w:sz w:val="20"/>
                <w:szCs w:val="20"/>
              </w:rPr>
            </w:pPr>
            <w:r w:rsidRPr="00F104DF">
              <w:rPr>
                <w:rFonts w:cstheme="minorHAnsi"/>
                <w:sz w:val="20"/>
                <w:szCs w:val="20"/>
              </w:rPr>
              <w:t>43 739</w:t>
            </w:r>
          </w:p>
        </w:tc>
        <w:tc>
          <w:tcPr>
            <w:tcW w:w="604" w:type="pct"/>
            <w:tcBorders>
              <w:top w:val="single" w:sz="4" w:space="0" w:color="auto"/>
              <w:left w:val="single" w:sz="4" w:space="0" w:color="auto"/>
              <w:bottom w:val="single" w:sz="4" w:space="0" w:color="auto"/>
              <w:right w:val="single" w:sz="4" w:space="0" w:color="auto"/>
            </w:tcBorders>
            <w:hideMark/>
          </w:tcPr>
          <w:p w14:paraId="1A15692B" w14:textId="77777777" w:rsidR="00163911" w:rsidRPr="00F104DF" w:rsidRDefault="00163911" w:rsidP="005C60F2">
            <w:pPr>
              <w:jc w:val="right"/>
              <w:rPr>
                <w:rFonts w:cstheme="minorHAnsi"/>
                <w:sz w:val="20"/>
                <w:szCs w:val="20"/>
              </w:rPr>
            </w:pPr>
            <w:r w:rsidRPr="00F104DF">
              <w:rPr>
                <w:rFonts w:cstheme="minorHAnsi"/>
                <w:sz w:val="20"/>
                <w:szCs w:val="20"/>
              </w:rPr>
              <w:t>44 434</w:t>
            </w:r>
          </w:p>
        </w:tc>
        <w:tc>
          <w:tcPr>
            <w:tcW w:w="603" w:type="pct"/>
            <w:tcBorders>
              <w:top w:val="single" w:sz="4" w:space="0" w:color="auto"/>
              <w:left w:val="single" w:sz="4" w:space="0" w:color="auto"/>
              <w:bottom w:val="single" w:sz="4" w:space="0" w:color="auto"/>
              <w:right w:val="single" w:sz="4" w:space="0" w:color="auto"/>
            </w:tcBorders>
            <w:hideMark/>
          </w:tcPr>
          <w:p w14:paraId="427047ED" w14:textId="77777777" w:rsidR="00163911" w:rsidRPr="00F104DF" w:rsidRDefault="00163911" w:rsidP="005C60F2">
            <w:pPr>
              <w:jc w:val="right"/>
              <w:rPr>
                <w:rFonts w:cstheme="minorHAnsi"/>
                <w:sz w:val="20"/>
                <w:szCs w:val="20"/>
              </w:rPr>
            </w:pPr>
            <w:r w:rsidRPr="00F104DF">
              <w:rPr>
                <w:rFonts w:cstheme="minorHAnsi"/>
                <w:sz w:val="20"/>
                <w:szCs w:val="20"/>
              </w:rPr>
              <w:t>44 023</w:t>
            </w:r>
          </w:p>
        </w:tc>
        <w:tc>
          <w:tcPr>
            <w:tcW w:w="603" w:type="pct"/>
            <w:tcBorders>
              <w:top w:val="single" w:sz="4" w:space="0" w:color="auto"/>
              <w:left w:val="single" w:sz="4" w:space="0" w:color="auto"/>
              <w:bottom w:val="single" w:sz="4" w:space="0" w:color="auto"/>
              <w:right w:val="single" w:sz="4" w:space="0" w:color="auto"/>
            </w:tcBorders>
            <w:hideMark/>
          </w:tcPr>
          <w:p w14:paraId="68841681" w14:textId="77777777" w:rsidR="00163911" w:rsidRPr="00F104DF" w:rsidRDefault="00163911" w:rsidP="005C60F2">
            <w:pPr>
              <w:jc w:val="right"/>
              <w:rPr>
                <w:rFonts w:cstheme="minorHAnsi"/>
                <w:sz w:val="20"/>
                <w:szCs w:val="20"/>
              </w:rPr>
            </w:pPr>
            <w:r w:rsidRPr="00F104DF">
              <w:rPr>
                <w:rFonts w:cstheme="minorHAnsi"/>
                <w:sz w:val="20"/>
                <w:szCs w:val="20"/>
              </w:rPr>
              <w:t>37 490</w:t>
            </w:r>
          </w:p>
        </w:tc>
        <w:tc>
          <w:tcPr>
            <w:tcW w:w="603" w:type="pct"/>
            <w:tcBorders>
              <w:top w:val="single" w:sz="4" w:space="0" w:color="auto"/>
              <w:left w:val="single" w:sz="4" w:space="0" w:color="auto"/>
              <w:bottom w:val="single" w:sz="4" w:space="0" w:color="auto"/>
              <w:right w:val="single" w:sz="4" w:space="0" w:color="auto"/>
            </w:tcBorders>
            <w:hideMark/>
          </w:tcPr>
          <w:p w14:paraId="2E6030AD" w14:textId="77777777" w:rsidR="00163911" w:rsidRPr="00F104DF" w:rsidRDefault="00163911" w:rsidP="005C60F2">
            <w:pPr>
              <w:jc w:val="right"/>
              <w:rPr>
                <w:rFonts w:cstheme="minorHAnsi"/>
                <w:sz w:val="20"/>
                <w:szCs w:val="20"/>
              </w:rPr>
            </w:pPr>
            <w:r w:rsidRPr="00F104DF">
              <w:rPr>
                <w:rFonts w:cstheme="minorHAnsi"/>
                <w:sz w:val="20"/>
                <w:szCs w:val="20"/>
              </w:rPr>
              <w:t>14 839</w:t>
            </w:r>
          </w:p>
        </w:tc>
        <w:tc>
          <w:tcPr>
            <w:tcW w:w="620" w:type="pct"/>
            <w:tcBorders>
              <w:top w:val="single" w:sz="4" w:space="0" w:color="auto"/>
              <w:left w:val="single" w:sz="4" w:space="0" w:color="auto"/>
              <w:bottom w:val="single" w:sz="4" w:space="0" w:color="auto"/>
              <w:right w:val="single" w:sz="4" w:space="0" w:color="auto"/>
            </w:tcBorders>
            <w:hideMark/>
          </w:tcPr>
          <w:p w14:paraId="3B382035" w14:textId="77777777" w:rsidR="00163911" w:rsidRPr="00F104DF" w:rsidRDefault="00163911" w:rsidP="005C60F2">
            <w:pPr>
              <w:jc w:val="right"/>
              <w:rPr>
                <w:rFonts w:cstheme="minorHAnsi"/>
                <w:sz w:val="20"/>
                <w:szCs w:val="20"/>
              </w:rPr>
            </w:pPr>
            <w:r w:rsidRPr="00F104DF">
              <w:rPr>
                <w:rFonts w:cstheme="minorHAnsi"/>
                <w:sz w:val="20"/>
                <w:szCs w:val="20"/>
              </w:rPr>
              <w:t>9 670</w:t>
            </w:r>
          </w:p>
        </w:tc>
      </w:tr>
      <w:tr w:rsidR="00163911" w:rsidRPr="00F104DF" w14:paraId="1E9A1721" w14:textId="77777777" w:rsidTr="007B0933">
        <w:trPr>
          <w:trHeight w:val="260"/>
        </w:trPr>
        <w:tc>
          <w:tcPr>
            <w:tcW w:w="758" w:type="pct"/>
            <w:tcBorders>
              <w:top w:val="single" w:sz="4" w:space="0" w:color="auto"/>
              <w:left w:val="single" w:sz="4" w:space="0" w:color="auto"/>
              <w:bottom w:val="single" w:sz="4" w:space="0" w:color="auto"/>
              <w:right w:val="single" w:sz="4" w:space="0" w:color="auto"/>
            </w:tcBorders>
            <w:hideMark/>
          </w:tcPr>
          <w:p w14:paraId="582355DC" w14:textId="77777777" w:rsidR="00163911" w:rsidRPr="00F104DF" w:rsidRDefault="00163911" w:rsidP="005C60F2">
            <w:pPr>
              <w:jc w:val="both"/>
              <w:rPr>
                <w:rFonts w:cstheme="minorHAnsi"/>
                <w:sz w:val="20"/>
                <w:szCs w:val="20"/>
              </w:rPr>
            </w:pPr>
            <w:r w:rsidRPr="00F104DF">
              <w:rPr>
                <w:rFonts w:cstheme="minorHAnsi"/>
                <w:sz w:val="20"/>
                <w:szCs w:val="20"/>
              </w:rPr>
              <w:t>2. vlna</w:t>
            </w:r>
          </w:p>
        </w:tc>
        <w:tc>
          <w:tcPr>
            <w:tcW w:w="605" w:type="pct"/>
            <w:tcBorders>
              <w:top w:val="single" w:sz="4" w:space="0" w:color="auto"/>
              <w:left w:val="single" w:sz="4" w:space="0" w:color="auto"/>
              <w:bottom w:val="single" w:sz="4" w:space="0" w:color="auto"/>
              <w:right w:val="single" w:sz="4" w:space="0" w:color="auto"/>
            </w:tcBorders>
            <w:hideMark/>
          </w:tcPr>
          <w:p w14:paraId="5EA1D048" w14:textId="77777777" w:rsidR="00163911" w:rsidRPr="00F104DF" w:rsidRDefault="00163911" w:rsidP="005C60F2">
            <w:pPr>
              <w:jc w:val="right"/>
              <w:rPr>
                <w:rFonts w:cstheme="minorHAnsi"/>
                <w:sz w:val="20"/>
                <w:szCs w:val="20"/>
              </w:rPr>
            </w:pPr>
            <w:r w:rsidRPr="00F104DF">
              <w:rPr>
                <w:rFonts w:cstheme="minorHAnsi"/>
                <w:sz w:val="20"/>
                <w:szCs w:val="20"/>
              </w:rPr>
              <w:t>2 193</w:t>
            </w:r>
          </w:p>
        </w:tc>
        <w:tc>
          <w:tcPr>
            <w:tcW w:w="605" w:type="pct"/>
            <w:tcBorders>
              <w:top w:val="single" w:sz="4" w:space="0" w:color="auto"/>
              <w:left w:val="single" w:sz="4" w:space="0" w:color="auto"/>
              <w:bottom w:val="single" w:sz="4" w:space="0" w:color="auto"/>
              <w:right w:val="single" w:sz="4" w:space="0" w:color="auto"/>
            </w:tcBorders>
            <w:hideMark/>
          </w:tcPr>
          <w:p w14:paraId="00C04190" w14:textId="77777777" w:rsidR="00163911" w:rsidRPr="00F104DF" w:rsidRDefault="00163911" w:rsidP="005C60F2">
            <w:pPr>
              <w:jc w:val="right"/>
              <w:rPr>
                <w:rFonts w:cstheme="minorHAnsi"/>
                <w:sz w:val="20"/>
                <w:szCs w:val="20"/>
              </w:rPr>
            </w:pPr>
            <w:r w:rsidRPr="00F104DF">
              <w:rPr>
                <w:rFonts w:cstheme="minorHAnsi"/>
                <w:sz w:val="20"/>
                <w:szCs w:val="20"/>
              </w:rPr>
              <w:t>96 784</w:t>
            </w:r>
          </w:p>
        </w:tc>
        <w:tc>
          <w:tcPr>
            <w:tcW w:w="604" w:type="pct"/>
            <w:tcBorders>
              <w:top w:val="single" w:sz="4" w:space="0" w:color="auto"/>
              <w:left w:val="single" w:sz="4" w:space="0" w:color="auto"/>
              <w:bottom w:val="single" w:sz="4" w:space="0" w:color="auto"/>
              <w:right w:val="single" w:sz="4" w:space="0" w:color="auto"/>
            </w:tcBorders>
            <w:hideMark/>
          </w:tcPr>
          <w:p w14:paraId="6A9FD7E6" w14:textId="77777777" w:rsidR="00163911" w:rsidRPr="00F104DF" w:rsidRDefault="00163911" w:rsidP="005C60F2">
            <w:pPr>
              <w:jc w:val="right"/>
              <w:rPr>
                <w:rFonts w:cstheme="minorHAnsi"/>
                <w:sz w:val="20"/>
                <w:szCs w:val="20"/>
              </w:rPr>
            </w:pPr>
            <w:r w:rsidRPr="00F104DF">
              <w:rPr>
                <w:rFonts w:cstheme="minorHAnsi"/>
                <w:sz w:val="20"/>
                <w:szCs w:val="20"/>
              </w:rPr>
              <w:t>98 782</w:t>
            </w:r>
          </w:p>
        </w:tc>
        <w:tc>
          <w:tcPr>
            <w:tcW w:w="603" w:type="pct"/>
            <w:tcBorders>
              <w:top w:val="single" w:sz="4" w:space="0" w:color="auto"/>
              <w:left w:val="single" w:sz="4" w:space="0" w:color="auto"/>
              <w:bottom w:val="single" w:sz="4" w:space="0" w:color="auto"/>
              <w:right w:val="single" w:sz="4" w:space="0" w:color="auto"/>
            </w:tcBorders>
            <w:hideMark/>
          </w:tcPr>
          <w:p w14:paraId="112A814E" w14:textId="77777777" w:rsidR="00163911" w:rsidRPr="00F104DF" w:rsidRDefault="00163911" w:rsidP="005C60F2">
            <w:pPr>
              <w:jc w:val="right"/>
              <w:rPr>
                <w:rFonts w:cstheme="minorHAnsi"/>
                <w:sz w:val="20"/>
                <w:szCs w:val="20"/>
              </w:rPr>
            </w:pPr>
            <w:r w:rsidRPr="00F104DF">
              <w:rPr>
                <w:rFonts w:cstheme="minorHAnsi"/>
                <w:sz w:val="20"/>
                <w:szCs w:val="20"/>
              </w:rPr>
              <w:t>96 428</w:t>
            </w:r>
          </w:p>
        </w:tc>
        <w:tc>
          <w:tcPr>
            <w:tcW w:w="603" w:type="pct"/>
            <w:tcBorders>
              <w:top w:val="single" w:sz="4" w:space="0" w:color="auto"/>
              <w:left w:val="single" w:sz="4" w:space="0" w:color="auto"/>
              <w:bottom w:val="single" w:sz="4" w:space="0" w:color="auto"/>
              <w:right w:val="single" w:sz="4" w:space="0" w:color="auto"/>
            </w:tcBorders>
            <w:hideMark/>
          </w:tcPr>
          <w:p w14:paraId="26AF37BF" w14:textId="77777777" w:rsidR="00163911" w:rsidRPr="00F104DF" w:rsidRDefault="00163911" w:rsidP="005C60F2">
            <w:pPr>
              <w:jc w:val="right"/>
              <w:rPr>
                <w:rFonts w:cstheme="minorHAnsi"/>
                <w:sz w:val="20"/>
                <w:szCs w:val="20"/>
              </w:rPr>
            </w:pPr>
            <w:r w:rsidRPr="00F104DF">
              <w:rPr>
                <w:rFonts w:cstheme="minorHAnsi"/>
                <w:sz w:val="20"/>
                <w:szCs w:val="20"/>
              </w:rPr>
              <w:t>88 670</w:t>
            </w:r>
          </w:p>
        </w:tc>
        <w:tc>
          <w:tcPr>
            <w:tcW w:w="603" w:type="pct"/>
            <w:tcBorders>
              <w:top w:val="single" w:sz="4" w:space="0" w:color="auto"/>
              <w:left w:val="single" w:sz="4" w:space="0" w:color="auto"/>
              <w:bottom w:val="single" w:sz="4" w:space="0" w:color="auto"/>
              <w:right w:val="single" w:sz="4" w:space="0" w:color="auto"/>
            </w:tcBorders>
            <w:hideMark/>
          </w:tcPr>
          <w:p w14:paraId="2AFA6CE2" w14:textId="77777777" w:rsidR="00163911" w:rsidRPr="00F104DF" w:rsidRDefault="00163911" w:rsidP="005C60F2">
            <w:pPr>
              <w:jc w:val="right"/>
              <w:rPr>
                <w:rFonts w:cstheme="minorHAnsi"/>
                <w:sz w:val="20"/>
                <w:szCs w:val="20"/>
              </w:rPr>
            </w:pPr>
            <w:r w:rsidRPr="00F104DF">
              <w:rPr>
                <w:rFonts w:cstheme="minorHAnsi"/>
                <w:sz w:val="20"/>
                <w:szCs w:val="20"/>
              </w:rPr>
              <w:t>56 217</w:t>
            </w:r>
          </w:p>
        </w:tc>
        <w:tc>
          <w:tcPr>
            <w:tcW w:w="620" w:type="pct"/>
            <w:tcBorders>
              <w:top w:val="single" w:sz="4" w:space="0" w:color="auto"/>
              <w:left w:val="single" w:sz="4" w:space="0" w:color="auto"/>
              <w:bottom w:val="single" w:sz="4" w:space="0" w:color="auto"/>
              <w:right w:val="single" w:sz="4" w:space="0" w:color="auto"/>
            </w:tcBorders>
            <w:hideMark/>
          </w:tcPr>
          <w:p w14:paraId="642FF36A" w14:textId="77777777" w:rsidR="00163911" w:rsidRPr="00F104DF" w:rsidRDefault="00163911" w:rsidP="005C60F2">
            <w:pPr>
              <w:jc w:val="right"/>
              <w:rPr>
                <w:rFonts w:cstheme="minorHAnsi"/>
                <w:sz w:val="20"/>
                <w:szCs w:val="20"/>
              </w:rPr>
            </w:pPr>
            <w:r w:rsidRPr="00F104DF">
              <w:rPr>
                <w:rFonts w:cstheme="minorHAnsi"/>
                <w:sz w:val="20"/>
                <w:szCs w:val="20"/>
              </w:rPr>
              <w:t>41 044</w:t>
            </w:r>
          </w:p>
        </w:tc>
      </w:tr>
      <w:tr w:rsidR="00163911" w:rsidRPr="00F104DF" w14:paraId="048CACA5" w14:textId="77777777" w:rsidTr="007B0933">
        <w:trPr>
          <w:trHeight w:val="250"/>
        </w:trPr>
        <w:tc>
          <w:tcPr>
            <w:tcW w:w="758" w:type="pct"/>
            <w:tcBorders>
              <w:top w:val="single" w:sz="4" w:space="0" w:color="auto"/>
              <w:left w:val="single" w:sz="4" w:space="0" w:color="auto"/>
              <w:bottom w:val="single" w:sz="4" w:space="0" w:color="auto"/>
              <w:right w:val="single" w:sz="4" w:space="0" w:color="auto"/>
            </w:tcBorders>
            <w:hideMark/>
          </w:tcPr>
          <w:p w14:paraId="18761CDD" w14:textId="55FC1D36" w:rsidR="00163911" w:rsidRPr="00F104DF" w:rsidRDefault="00163911" w:rsidP="005C60F2">
            <w:pPr>
              <w:jc w:val="both"/>
              <w:rPr>
                <w:rFonts w:cstheme="minorHAnsi"/>
                <w:sz w:val="20"/>
                <w:szCs w:val="20"/>
              </w:rPr>
            </w:pPr>
            <w:r w:rsidRPr="00F104DF">
              <w:rPr>
                <w:rFonts w:cstheme="minorHAnsi"/>
                <w:sz w:val="20"/>
                <w:szCs w:val="20"/>
              </w:rPr>
              <w:t>1. a 2. vlna</w:t>
            </w:r>
            <w:r w:rsidR="00394DB2" w:rsidRPr="00F104DF">
              <w:rPr>
                <w:rFonts w:cstheme="minorHAnsi"/>
                <w:sz w:val="20"/>
                <w:szCs w:val="20"/>
              </w:rPr>
              <w:t>*</w:t>
            </w:r>
          </w:p>
        </w:tc>
        <w:tc>
          <w:tcPr>
            <w:tcW w:w="605" w:type="pct"/>
            <w:tcBorders>
              <w:top w:val="single" w:sz="4" w:space="0" w:color="auto"/>
              <w:left w:val="single" w:sz="4" w:space="0" w:color="auto"/>
              <w:bottom w:val="single" w:sz="4" w:space="0" w:color="auto"/>
              <w:right w:val="single" w:sz="4" w:space="0" w:color="auto"/>
            </w:tcBorders>
            <w:hideMark/>
          </w:tcPr>
          <w:p w14:paraId="063E15E4" w14:textId="77777777" w:rsidR="00163911" w:rsidRPr="00F104DF" w:rsidRDefault="00163911" w:rsidP="005C60F2">
            <w:pPr>
              <w:jc w:val="right"/>
              <w:rPr>
                <w:rFonts w:cstheme="minorHAnsi"/>
                <w:sz w:val="20"/>
                <w:szCs w:val="20"/>
              </w:rPr>
            </w:pPr>
            <w:r w:rsidRPr="00F104DF">
              <w:rPr>
                <w:rFonts w:cstheme="minorHAnsi"/>
                <w:sz w:val="20"/>
                <w:szCs w:val="20"/>
              </w:rPr>
              <w:t>720</w:t>
            </w:r>
          </w:p>
        </w:tc>
        <w:tc>
          <w:tcPr>
            <w:tcW w:w="605" w:type="pct"/>
            <w:tcBorders>
              <w:top w:val="single" w:sz="4" w:space="0" w:color="auto"/>
              <w:left w:val="single" w:sz="4" w:space="0" w:color="auto"/>
              <w:bottom w:val="single" w:sz="4" w:space="0" w:color="auto"/>
              <w:right w:val="single" w:sz="4" w:space="0" w:color="auto"/>
            </w:tcBorders>
            <w:hideMark/>
          </w:tcPr>
          <w:p w14:paraId="16DA89DF" w14:textId="77777777" w:rsidR="00163911" w:rsidRPr="00F104DF" w:rsidRDefault="00163911" w:rsidP="005C60F2">
            <w:pPr>
              <w:jc w:val="right"/>
              <w:rPr>
                <w:rFonts w:cstheme="minorHAnsi"/>
                <w:sz w:val="20"/>
                <w:szCs w:val="20"/>
              </w:rPr>
            </w:pPr>
            <w:r w:rsidRPr="00F104DF">
              <w:rPr>
                <w:rFonts w:cstheme="minorHAnsi"/>
                <w:sz w:val="20"/>
                <w:szCs w:val="20"/>
              </w:rPr>
              <w:t>4 190</w:t>
            </w:r>
          </w:p>
        </w:tc>
        <w:tc>
          <w:tcPr>
            <w:tcW w:w="604" w:type="pct"/>
            <w:tcBorders>
              <w:top w:val="single" w:sz="4" w:space="0" w:color="auto"/>
              <w:left w:val="single" w:sz="4" w:space="0" w:color="auto"/>
              <w:bottom w:val="single" w:sz="4" w:space="0" w:color="auto"/>
              <w:right w:val="single" w:sz="4" w:space="0" w:color="auto"/>
            </w:tcBorders>
            <w:hideMark/>
          </w:tcPr>
          <w:p w14:paraId="58E7F2C6" w14:textId="77777777" w:rsidR="00163911" w:rsidRPr="00F104DF" w:rsidRDefault="00163911" w:rsidP="005C60F2">
            <w:pPr>
              <w:jc w:val="right"/>
              <w:rPr>
                <w:rFonts w:cstheme="minorHAnsi"/>
                <w:sz w:val="20"/>
                <w:szCs w:val="20"/>
              </w:rPr>
            </w:pPr>
            <w:r w:rsidRPr="00F104DF">
              <w:rPr>
                <w:rFonts w:cstheme="minorHAnsi"/>
                <w:sz w:val="20"/>
                <w:szCs w:val="20"/>
              </w:rPr>
              <w:t>4 335</w:t>
            </w:r>
          </w:p>
        </w:tc>
        <w:tc>
          <w:tcPr>
            <w:tcW w:w="603" w:type="pct"/>
            <w:tcBorders>
              <w:top w:val="single" w:sz="4" w:space="0" w:color="auto"/>
              <w:left w:val="single" w:sz="4" w:space="0" w:color="auto"/>
              <w:bottom w:val="single" w:sz="4" w:space="0" w:color="auto"/>
              <w:right w:val="single" w:sz="4" w:space="0" w:color="auto"/>
            </w:tcBorders>
            <w:hideMark/>
          </w:tcPr>
          <w:p w14:paraId="555969B3" w14:textId="77777777" w:rsidR="00163911" w:rsidRPr="00F104DF" w:rsidRDefault="00163911" w:rsidP="005C60F2">
            <w:pPr>
              <w:jc w:val="right"/>
              <w:rPr>
                <w:rFonts w:cstheme="minorHAnsi"/>
                <w:sz w:val="20"/>
                <w:szCs w:val="20"/>
              </w:rPr>
            </w:pPr>
            <w:r w:rsidRPr="00F104DF">
              <w:rPr>
                <w:rFonts w:cstheme="minorHAnsi"/>
                <w:sz w:val="20"/>
                <w:szCs w:val="20"/>
              </w:rPr>
              <w:t>4 266</w:t>
            </w:r>
          </w:p>
        </w:tc>
        <w:tc>
          <w:tcPr>
            <w:tcW w:w="603" w:type="pct"/>
            <w:tcBorders>
              <w:top w:val="single" w:sz="4" w:space="0" w:color="auto"/>
              <w:left w:val="single" w:sz="4" w:space="0" w:color="auto"/>
              <w:bottom w:val="single" w:sz="4" w:space="0" w:color="auto"/>
              <w:right w:val="single" w:sz="4" w:space="0" w:color="auto"/>
            </w:tcBorders>
            <w:hideMark/>
          </w:tcPr>
          <w:p w14:paraId="6238D4B6" w14:textId="77777777" w:rsidR="00163911" w:rsidRPr="00F104DF" w:rsidRDefault="00163911" w:rsidP="005C60F2">
            <w:pPr>
              <w:jc w:val="right"/>
              <w:rPr>
                <w:rFonts w:cstheme="minorHAnsi"/>
                <w:sz w:val="20"/>
                <w:szCs w:val="20"/>
              </w:rPr>
            </w:pPr>
            <w:r w:rsidRPr="00F104DF">
              <w:rPr>
                <w:rFonts w:cstheme="minorHAnsi"/>
                <w:sz w:val="20"/>
                <w:szCs w:val="20"/>
              </w:rPr>
              <w:t>3 504</w:t>
            </w:r>
          </w:p>
        </w:tc>
        <w:tc>
          <w:tcPr>
            <w:tcW w:w="603" w:type="pct"/>
            <w:tcBorders>
              <w:top w:val="single" w:sz="4" w:space="0" w:color="auto"/>
              <w:left w:val="single" w:sz="4" w:space="0" w:color="auto"/>
              <w:bottom w:val="single" w:sz="4" w:space="0" w:color="auto"/>
              <w:right w:val="single" w:sz="4" w:space="0" w:color="auto"/>
            </w:tcBorders>
            <w:hideMark/>
          </w:tcPr>
          <w:p w14:paraId="39453E68" w14:textId="77777777" w:rsidR="00163911" w:rsidRPr="00F104DF" w:rsidRDefault="00163911" w:rsidP="005C60F2">
            <w:pPr>
              <w:jc w:val="right"/>
              <w:rPr>
                <w:rFonts w:cstheme="minorHAnsi"/>
                <w:sz w:val="20"/>
                <w:szCs w:val="20"/>
              </w:rPr>
            </w:pPr>
            <w:r w:rsidRPr="00F104DF">
              <w:rPr>
                <w:rFonts w:cstheme="minorHAnsi"/>
                <w:sz w:val="20"/>
                <w:szCs w:val="20"/>
              </w:rPr>
              <w:t>1 574</w:t>
            </w:r>
          </w:p>
        </w:tc>
        <w:tc>
          <w:tcPr>
            <w:tcW w:w="620" w:type="pct"/>
            <w:tcBorders>
              <w:top w:val="single" w:sz="4" w:space="0" w:color="auto"/>
              <w:left w:val="single" w:sz="4" w:space="0" w:color="auto"/>
              <w:bottom w:val="single" w:sz="4" w:space="0" w:color="auto"/>
              <w:right w:val="single" w:sz="4" w:space="0" w:color="auto"/>
            </w:tcBorders>
            <w:hideMark/>
          </w:tcPr>
          <w:p w14:paraId="3077F206" w14:textId="77777777" w:rsidR="00163911" w:rsidRPr="00F104DF" w:rsidRDefault="00163911" w:rsidP="005C60F2">
            <w:pPr>
              <w:jc w:val="right"/>
              <w:rPr>
                <w:rFonts w:cstheme="minorHAnsi"/>
                <w:sz w:val="20"/>
                <w:szCs w:val="20"/>
              </w:rPr>
            </w:pPr>
            <w:r w:rsidRPr="00F104DF">
              <w:rPr>
                <w:rFonts w:cstheme="minorHAnsi"/>
                <w:sz w:val="20"/>
                <w:szCs w:val="20"/>
              </w:rPr>
              <w:t>949</w:t>
            </w:r>
          </w:p>
        </w:tc>
      </w:tr>
      <w:tr w:rsidR="00163911" w:rsidRPr="00F104DF" w14:paraId="41C445C2" w14:textId="77777777" w:rsidTr="007B0933">
        <w:trPr>
          <w:trHeight w:val="250"/>
        </w:trPr>
        <w:tc>
          <w:tcPr>
            <w:tcW w:w="758" w:type="pct"/>
            <w:tcBorders>
              <w:top w:val="single" w:sz="4" w:space="0" w:color="auto"/>
              <w:left w:val="single" w:sz="4" w:space="0" w:color="auto"/>
              <w:bottom w:val="single" w:sz="4" w:space="0" w:color="auto"/>
              <w:right w:val="single" w:sz="4" w:space="0" w:color="auto"/>
            </w:tcBorders>
            <w:shd w:val="clear" w:color="auto" w:fill="D9D9D9"/>
            <w:hideMark/>
          </w:tcPr>
          <w:p w14:paraId="23C7EEF7" w14:textId="77777777" w:rsidR="00163911" w:rsidRPr="00F104DF" w:rsidRDefault="00372FC6" w:rsidP="005C60F2">
            <w:pPr>
              <w:jc w:val="both"/>
              <w:rPr>
                <w:rFonts w:cstheme="minorHAnsi"/>
                <w:b/>
                <w:sz w:val="20"/>
                <w:szCs w:val="20"/>
              </w:rPr>
            </w:pPr>
            <w:r w:rsidRPr="00F104DF">
              <w:rPr>
                <w:rFonts w:cstheme="minorHAnsi"/>
                <w:b/>
                <w:sz w:val="20"/>
                <w:szCs w:val="20"/>
              </w:rPr>
              <w:t>C</w:t>
            </w:r>
            <w:r w:rsidR="00163911" w:rsidRPr="00F104DF">
              <w:rPr>
                <w:rFonts w:cstheme="minorHAnsi"/>
                <w:b/>
                <w:sz w:val="20"/>
                <w:szCs w:val="20"/>
              </w:rPr>
              <w:t>elkem</w:t>
            </w:r>
          </w:p>
        </w:tc>
        <w:tc>
          <w:tcPr>
            <w:tcW w:w="605" w:type="pct"/>
            <w:tcBorders>
              <w:top w:val="single" w:sz="4" w:space="0" w:color="auto"/>
              <w:left w:val="single" w:sz="4" w:space="0" w:color="auto"/>
              <w:bottom w:val="single" w:sz="4" w:space="0" w:color="auto"/>
              <w:right w:val="single" w:sz="4" w:space="0" w:color="auto"/>
            </w:tcBorders>
            <w:shd w:val="clear" w:color="auto" w:fill="D9D9D9"/>
            <w:hideMark/>
          </w:tcPr>
          <w:p w14:paraId="482735F9" w14:textId="77777777" w:rsidR="00163911" w:rsidRPr="00F104DF" w:rsidRDefault="00163911" w:rsidP="005C60F2">
            <w:pPr>
              <w:jc w:val="right"/>
              <w:rPr>
                <w:rFonts w:cstheme="minorHAnsi"/>
                <w:b/>
                <w:sz w:val="20"/>
                <w:szCs w:val="20"/>
              </w:rPr>
            </w:pPr>
            <w:r w:rsidRPr="00F104DF">
              <w:rPr>
                <w:rFonts w:cstheme="minorHAnsi"/>
                <w:b/>
                <w:sz w:val="20"/>
                <w:szCs w:val="20"/>
              </w:rPr>
              <w:t>31 692</w:t>
            </w:r>
          </w:p>
        </w:tc>
        <w:tc>
          <w:tcPr>
            <w:tcW w:w="605" w:type="pct"/>
            <w:tcBorders>
              <w:top w:val="single" w:sz="4" w:space="0" w:color="auto"/>
              <w:left w:val="single" w:sz="4" w:space="0" w:color="auto"/>
              <w:bottom w:val="single" w:sz="4" w:space="0" w:color="auto"/>
              <w:right w:val="single" w:sz="4" w:space="0" w:color="auto"/>
            </w:tcBorders>
            <w:shd w:val="clear" w:color="auto" w:fill="D9D9D9"/>
            <w:hideMark/>
          </w:tcPr>
          <w:p w14:paraId="234E6CCC" w14:textId="77777777" w:rsidR="00163911" w:rsidRPr="00F104DF" w:rsidRDefault="00163911" w:rsidP="005C60F2">
            <w:pPr>
              <w:jc w:val="right"/>
              <w:rPr>
                <w:rFonts w:cstheme="minorHAnsi"/>
                <w:b/>
                <w:sz w:val="20"/>
                <w:szCs w:val="20"/>
              </w:rPr>
            </w:pPr>
            <w:r w:rsidRPr="00F104DF">
              <w:rPr>
                <w:rFonts w:cstheme="minorHAnsi"/>
                <w:b/>
                <w:sz w:val="20"/>
                <w:szCs w:val="20"/>
              </w:rPr>
              <w:t>144 713</w:t>
            </w:r>
          </w:p>
        </w:tc>
        <w:tc>
          <w:tcPr>
            <w:tcW w:w="604" w:type="pct"/>
            <w:tcBorders>
              <w:top w:val="single" w:sz="4" w:space="0" w:color="auto"/>
              <w:left w:val="single" w:sz="4" w:space="0" w:color="auto"/>
              <w:bottom w:val="single" w:sz="4" w:space="0" w:color="auto"/>
              <w:right w:val="single" w:sz="4" w:space="0" w:color="auto"/>
            </w:tcBorders>
            <w:shd w:val="clear" w:color="auto" w:fill="D9D9D9"/>
            <w:hideMark/>
          </w:tcPr>
          <w:p w14:paraId="12B091B3" w14:textId="77777777" w:rsidR="00163911" w:rsidRPr="00F104DF" w:rsidRDefault="00163911" w:rsidP="005C60F2">
            <w:pPr>
              <w:jc w:val="right"/>
              <w:rPr>
                <w:rFonts w:cstheme="minorHAnsi"/>
                <w:b/>
                <w:sz w:val="20"/>
                <w:szCs w:val="20"/>
              </w:rPr>
            </w:pPr>
            <w:r w:rsidRPr="00F104DF">
              <w:rPr>
                <w:rFonts w:cstheme="minorHAnsi"/>
                <w:b/>
                <w:sz w:val="20"/>
                <w:szCs w:val="20"/>
              </w:rPr>
              <w:t>147 551</w:t>
            </w:r>
          </w:p>
        </w:tc>
        <w:tc>
          <w:tcPr>
            <w:tcW w:w="603" w:type="pct"/>
            <w:tcBorders>
              <w:top w:val="single" w:sz="4" w:space="0" w:color="auto"/>
              <w:left w:val="single" w:sz="4" w:space="0" w:color="auto"/>
              <w:bottom w:val="single" w:sz="4" w:space="0" w:color="auto"/>
              <w:right w:val="single" w:sz="4" w:space="0" w:color="auto"/>
            </w:tcBorders>
            <w:shd w:val="clear" w:color="auto" w:fill="D9D9D9"/>
            <w:hideMark/>
          </w:tcPr>
          <w:p w14:paraId="1AD22D5D" w14:textId="77777777" w:rsidR="00163911" w:rsidRPr="00F104DF" w:rsidRDefault="00163911" w:rsidP="005C60F2">
            <w:pPr>
              <w:jc w:val="right"/>
              <w:rPr>
                <w:rFonts w:cstheme="minorHAnsi"/>
                <w:b/>
                <w:sz w:val="20"/>
                <w:szCs w:val="20"/>
              </w:rPr>
            </w:pPr>
            <w:r w:rsidRPr="00F104DF">
              <w:rPr>
                <w:rFonts w:cstheme="minorHAnsi"/>
                <w:b/>
                <w:sz w:val="20"/>
                <w:szCs w:val="20"/>
              </w:rPr>
              <w:t>144 717</w:t>
            </w:r>
          </w:p>
        </w:tc>
        <w:tc>
          <w:tcPr>
            <w:tcW w:w="603" w:type="pct"/>
            <w:tcBorders>
              <w:top w:val="single" w:sz="4" w:space="0" w:color="auto"/>
              <w:left w:val="single" w:sz="4" w:space="0" w:color="auto"/>
              <w:bottom w:val="single" w:sz="4" w:space="0" w:color="auto"/>
              <w:right w:val="single" w:sz="4" w:space="0" w:color="auto"/>
            </w:tcBorders>
            <w:shd w:val="clear" w:color="auto" w:fill="D9D9D9"/>
            <w:hideMark/>
          </w:tcPr>
          <w:p w14:paraId="0C22F825" w14:textId="77777777" w:rsidR="00163911" w:rsidRPr="00F104DF" w:rsidRDefault="00163911" w:rsidP="005C60F2">
            <w:pPr>
              <w:jc w:val="right"/>
              <w:rPr>
                <w:rFonts w:cstheme="minorHAnsi"/>
                <w:b/>
                <w:sz w:val="20"/>
                <w:szCs w:val="20"/>
              </w:rPr>
            </w:pPr>
            <w:r w:rsidRPr="00F104DF">
              <w:rPr>
                <w:rFonts w:cstheme="minorHAnsi"/>
                <w:b/>
                <w:sz w:val="20"/>
                <w:szCs w:val="20"/>
              </w:rPr>
              <w:t>129 664</w:t>
            </w:r>
          </w:p>
        </w:tc>
        <w:tc>
          <w:tcPr>
            <w:tcW w:w="603" w:type="pct"/>
            <w:tcBorders>
              <w:top w:val="single" w:sz="4" w:space="0" w:color="auto"/>
              <w:left w:val="single" w:sz="4" w:space="0" w:color="auto"/>
              <w:bottom w:val="single" w:sz="4" w:space="0" w:color="auto"/>
              <w:right w:val="single" w:sz="4" w:space="0" w:color="auto"/>
            </w:tcBorders>
            <w:shd w:val="clear" w:color="auto" w:fill="D9D9D9"/>
            <w:hideMark/>
          </w:tcPr>
          <w:p w14:paraId="34964F20" w14:textId="77777777" w:rsidR="00163911" w:rsidRPr="00F104DF" w:rsidRDefault="00163911" w:rsidP="005C60F2">
            <w:pPr>
              <w:jc w:val="right"/>
              <w:rPr>
                <w:rFonts w:cstheme="minorHAnsi"/>
                <w:b/>
                <w:sz w:val="20"/>
                <w:szCs w:val="20"/>
              </w:rPr>
            </w:pPr>
            <w:r w:rsidRPr="00F104DF">
              <w:rPr>
                <w:rFonts w:cstheme="minorHAnsi"/>
                <w:b/>
                <w:sz w:val="20"/>
                <w:szCs w:val="20"/>
              </w:rPr>
              <w:t>72 630</w:t>
            </w:r>
          </w:p>
        </w:tc>
        <w:tc>
          <w:tcPr>
            <w:tcW w:w="620" w:type="pct"/>
            <w:tcBorders>
              <w:top w:val="single" w:sz="4" w:space="0" w:color="auto"/>
              <w:left w:val="single" w:sz="4" w:space="0" w:color="auto"/>
              <w:bottom w:val="single" w:sz="4" w:space="0" w:color="auto"/>
              <w:right w:val="single" w:sz="4" w:space="0" w:color="auto"/>
            </w:tcBorders>
            <w:shd w:val="clear" w:color="auto" w:fill="D9D9D9"/>
            <w:hideMark/>
          </w:tcPr>
          <w:p w14:paraId="0566547F" w14:textId="77777777" w:rsidR="00163911" w:rsidRPr="00F104DF" w:rsidRDefault="00163911" w:rsidP="005C60F2">
            <w:pPr>
              <w:jc w:val="right"/>
              <w:rPr>
                <w:rFonts w:cstheme="minorHAnsi"/>
                <w:b/>
                <w:sz w:val="20"/>
                <w:szCs w:val="20"/>
              </w:rPr>
            </w:pPr>
            <w:r w:rsidRPr="00F104DF">
              <w:rPr>
                <w:rFonts w:cstheme="minorHAnsi"/>
                <w:b/>
                <w:sz w:val="20"/>
                <w:szCs w:val="20"/>
              </w:rPr>
              <w:t>51 663</w:t>
            </w:r>
          </w:p>
        </w:tc>
      </w:tr>
    </w:tbl>
    <w:p w14:paraId="6A910904" w14:textId="43F9835F" w:rsidR="0019339A" w:rsidRDefault="009053C8" w:rsidP="00F104DF">
      <w:pPr>
        <w:spacing w:after="0" w:line="240" w:lineRule="auto"/>
        <w:jc w:val="both"/>
        <w:rPr>
          <w:rFonts w:eastAsia="Calibri" w:cstheme="minorHAnsi"/>
          <w:sz w:val="20"/>
          <w:szCs w:val="20"/>
        </w:rPr>
      </w:pPr>
      <w:r w:rsidRPr="00F104DF">
        <w:rPr>
          <w:rFonts w:eastAsia="Calibri" w:cstheme="minorHAnsi"/>
          <w:b/>
          <w:bCs/>
          <w:sz w:val="20"/>
          <w:szCs w:val="20"/>
        </w:rPr>
        <w:t>Zdroj:</w:t>
      </w:r>
      <w:r w:rsidRPr="00F104DF">
        <w:rPr>
          <w:rFonts w:eastAsia="Calibri" w:cstheme="minorHAnsi"/>
          <w:sz w:val="20"/>
          <w:szCs w:val="20"/>
        </w:rPr>
        <w:t xml:space="preserve"> GFŘ</w:t>
      </w:r>
      <w:r w:rsidR="0019339A">
        <w:rPr>
          <w:rFonts w:eastAsia="Calibri" w:cstheme="minorHAnsi"/>
          <w:sz w:val="20"/>
          <w:szCs w:val="20"/>
        </w:rPr>
        <w:t>.</w:t>
      </w:r>
      <w:r w:rsidR="00394DB2" w:rsidRPr="00D30F88">
        <w:rPr>
          <w:rFonts w:eastAsia="Calibri" w:cstheme="minorHAnsi"/>
          <w:sz w:val="20"/>
          <w:szCs w:val="20"/>
        </w:rPr>
        <w:t xml:space="preserve"> </w:t>
      </w:r>
    </w:p>
    <w:p w14:paraId="3592532E" w14:textId="0782C95E" w:rsidR="005249A6" w:rsidRPr="001A2BB4" w:rsidRDefault="00394DB2" w:rsidP="001A2BB4">
      <w:pPr>
        <w:spacing w:after="120" w:line="240" w:lineRule="auto"/>
        <w:ind w:left="284" w:hanging="284"/>
        <w:jc w:val="both"/>
        <w:rPr>
          <w:rFonts w:eastAsia="Calibri" w:cstheme="minorHAnsi"/>
          <w:sz w:val="20"/>
          <w:szCs w:val="20"/>
        </w:rPr>
      </w:pPr>
      <w:r w:rsidRPr="00F104DF">
        <w:rPr>
          <w:rFonts w:eastAsia="Calibri" w:cstheme="minorHAnsi"/>
          <w:sz w:val="20"/>
          <w:szCs w:val="20"/>
        </w:rPr>
        <w:t>*</w:t>
      </w:r>
      <w:r w:rsidRPr="0019339A">
        <w:t xml:space="preserve"> </w:t>
      </w:r>
      <w:r w:rsidR="00F104DF">
        <w:tab/>
      </w:r>
      <w:r w:rsidR="00F104DF">
        <w:rPr>
          <w:rFonts w:eastAsia="Calibri" w:cstheme="minorHAnsi"/>
          <w:sz w:val="20"/>
          <w:szCs w:val="20"/>
        </w:rPr>
        <w:t>J</w:t>
      </w:r>
      <w:r w:rsidRPr="001A2BB4">
        <w:rPr>
          <w:rFonts w:eastAsia="Calibri" w:cstheme="minorHAnsi"/>
          <w:sz w:val="20"/>
          <w:szCs w:val="20"/>
        </w:rPr>
        <w:t xml:space="preserve">eden </w:t>
      </w:r>
      <w:r w:rsidRPr="00FE4D34">
        <w:rPr>
          <w:rFonts w:eastAsia="Calibri" w:cstheme="minorHAnsi"/>
          <w:sz w:val="20"/>
          <w:szCs w:val="20"/>
        </w:rPr>
        <w:t>daňový subjekt mohl mít založeno více provozoven s různými kódy činnosti a mohl evidovat dobrovolně před zahájením své vlny EET</w:t>
      </w:r>
      <w:r w:rsidR="00F104DF" w:rsidRPr="00FE4D34">
        <w:rPr>
          <w:rFonts w:eastAsia="Calibri" w:cstheme="minorHAnsi"/>
          <w:sz w:val="20"/>
          <w:szCs w:val="20"/>
        </w:rPr>
        <w:t>.</w:t>
      </w:r>
      <w:r w:rsidR="00460513" w:rsidRPr="00FE4D34">
        <w:rPr>
          <w:rFonts w:eastAsia="Calibri" w:cstheme="minorHAnsi"/>
          <w:sz w:val="20"/>
          <w:szCs w:val="20"/>
        </w:rPr>
        <w:t xml:space="preserve"> </w:t>
      </w:r>
      <w:r w:rsidR="00B53124">
        <w:rPr>
          <w:rFonts w:eastAsia="Calibri" w:cstheme="minorHAnsi"/>
          <w:sz w:val="20"/>
          <w:szCs w:val="20"/>
        </w:rPr>
        <w:t>Některé subjekty proto mohly evidovat tržby zároveň v 1. i 2. vlně EET.</w:t>
      </w:r>
    </w:p>
    <w:p w14:paraId="498DD24B" w14:textId="428180FF" w:rsidR="007B68BA" w:rsidRPr="00C47E97" w:rsidDel="006164CE" w:rsidRDefault="00336170" w:rsidP="00A77462">
      <w:pPr>
        <w:spacing w:after="240" w:line="240" w:lineRule="auto"/>
        <w:jc w:val="both"/>
        <w:rPr>
          <w:rFonts w:eastAsia="Calibri" w:cstheme="minorHAnsi"/>
          <w:sz w:val="24"/>
          <w:szCs w:val="24"/>
        </w:rPr>
      </w:pPr>
      <w:r w:rsidDel="006164CE">
        <w:rPr>
          <w:rFonts w:eastAsia="Calibri" w:cstheme="minorHAnsi"/>
          <w:sz w:val="24"/>
          <w:szCs w:val="24"/>
        </w:rPr>
        <w:t xml:space="preserve">Počet </w:t>
      </w:r>
      <w:r w:rsidR="001A2BB4" w:rsidDel="006164CE">
        <w:rPr>
          <w:rFonts w:eastAsia="Calibri" w:cstheme="minorHAnsi"/>
          <w:sz w:val="24"/>
          <w:szCs w:val="24"/>
        </w:rPr>
        <w:t xml:space="preserve">tržeb </w:t>
      </w:r>
      <w:r w:rsidDel="006164CE">
        <w:rPr>
          <w:rFonts w:eastAsia="Calibri" w:cstheme="minorHAnsi"/>
          <w:sz w:val="24"/>
          <w:szCs w:val="24"/>
        </w:rPr>
        <w:t>evidovaných v</w:t>
      </w:r>
      <w:r w:rsidR="001A2BB4">
        <w:rPr>
          <w:rFonts w:eastAsia="Calibri" w:cstheme="minorHAnsi"/>
          <w:sz w:val="24"/>
          <w:szCs w:val="24"/>
        </w:rPr>
        <w:t xml:space="preserve"> </w:t>
      </w:r>
      <w:r w:rsidDel="006164CE">
        <w:rPr>
          <w:rFonts w:eastAsia="Calibri" w:cstheme="minorHAnsi"/>
          <w:sz w:val="24"/>
          <w:szCs w:val="24"/>
        </w:rPr>
        <w:t>EET v</w:t>
      </w:r>
      <w:r w:rsidR="001A2BB4">
        <w:rPr>
          <w:rFonts w:eastAsia="Calibri" w:cstheme="minorHAnsi"/>
          <w:sz w:val="24"/>
          <w:szCs w:val="24"/>
        </w:rPr>
        <w:t xml:space="preserve"> </w:t>
      </w:r>
      <w:r w:rsidDel="006164CE">
        <w:rPr>
          <w:rFonts w:eastAsia="Calibri" w:cstheme="minorHAnsi"/>
          <w:sz w:val="24"/>
          <w:szCs w:val="24"/>
        </w:rPr>
        <w:t>letech 2017</w:t>
      </w:r>
      <w:r w:rsidR="001A2BB4">
        <w:rPr>
          <w:rFonts w:eastAsia="Calibri" w:cstheme="minorHAnsi"/>
          <w:sz w:val="24"/>
          <w:szCs w:val="24"/>
        </w:rPr>
        <w:t>–</w:t>
      </w:r>
      <w:r w:rsidDel="006164CE">
        <w:rPr>
          <w:rFonts w:eastAsia="Calibri" w:cstheme="minorHAnsi"/>
          <w:sz w:val="24"/>
          <w:szCs w:val="24"/>
        </w:rPr>
        <w:t xml:space="preserve">2019 byl po zavedení první a druhé vlny konstantní. V roce </w:t>
      </w:r>
      <w:r w:rsidR="00EC0176" w:rsidDel="006164CE">
        <w:rPr>
          <w:rFonts w:eastAsia="Calibri" w:cstheme="minorHAnsi"/>
          <w:sz w:val="24"/>
          <w:szCs w:val="24"/>
        </w:rPr>
        <w:t>20</w:t>
      </w:r>
      <w:r w:rsidR="00EC0176">
        <w:rPr>
          <w:rFonts w:eastAsia="Calibri" w:cstheme="minorHAnsi"/>
          <w:sz w:val="24"/>
          <w:szCs w:val="24"/>
        </w:rPr>
        <w:t>20</w:t>
      </w:r>
      <w:r w:rsidR="00EC0176" w:rsidDel="006164CE">
        <w:rPr>
          <w:rFonts w:eastAsia="Calibri" w:cstheme="minorHAnsi"/>
          <w:sz w:val="24"/>
          <w:szCs w:val="24"/>
        </w:rPr>
        <w:t xml:space="preserve"> </w:t>
      </w:r>
      <w:r w:rsidDel="006164CE">
        <w:rPr>
          <w:rFonts w:eastAsia="Calibri" w:cstheme="minorHAnsi"/>
          <w:sz w:val="24"/>
          <w:szCs w:val="24"/>
        </w:rPr>
        <w:t>je zřejmý pokles počtu</w:t>
      </w:r>
      <w:r w:rsidRPr="00336170" w:rsidDel="006164CE">
        <w:rPr>
          <w:rFonts w:eastAsia="Calibri" w:cstheme="minorHAnsi"/>
          <w:sz w:val="24"/>
          <w:szCs w:val="24"/>
        </w:rPr>
        <w:t xml:space="preserve"> </w:t>
      </w:r>
      <w:r w:rsidRPr="00ED5465" w:rsidDel="006164CE">
        <w:rPr>
          <w:rFonts w:eastAsia="Calibri" w:cstheme="minorHAnsi"/>
          <w:sz w:val="24"/>
          <w:szCs w:val="24"/>
        </w:rPr>
        <w:t>evidovaných tržeb</w:t>
      </w:r>
      <w:r w:rsidDel="006164CE">
        <w:rPr>
          <w:rFonts w:eastAsia="Calibri" w:cstheme="minorHAnsi"/>
          <w:sz w:val="24"/>
          <w:szCs w:val="24"/>
        </w:rPr>
        <w:t xml:space="preserve"> v</w:t>
      </w:r>
      <w:r w:rsidR="008F4DD7">
        <w:rPr>
          <w:rFonts w:eastAsia="Calibri" w:cstheme="minorHAnsi"/>
          <w:sz w:val="24"/>
          <w:szCs w:val="24"/>
        </w:rPr>
        <w:t xml:space="preserve"> </w:t>
      </w:r>
      <w:r w:rsidDel="006164CE">
        <w:rPr>
          <w:rFonts w:eastAsia="Calibri" w:cstheme="minorHAnsi"/>
          <w:sz w:val="24"/>
          <w:szCs w:val="24"/>
        </w:rPr>
        <w:t>důsledku změn právní úpravy reagující</w:t>
      </w:r>
      <w:r w:rsidR="001A2BB4">
        <w:rPr>
          <w:rFonts w:eastAsia="Calibri" w:cstheme="minorHAnsi"/>
          <w:sz w:val="24"/>
          <w:szCs w:val="24"/>
        </w:rPr>
        <w:t>ch</w:t>
      </w:r>
      <w:r w:rsidDel="006164CE">
        <w:rPr>
          <w:rFonts w:eastAsia="Calibri" w:cstheme="minorHAnsi"/>
          <w:sz w:val="24"/>
          <w:szCs w:val="24"/>
        </w:rPr>
        <w:t xml:space="preserve"> na nález </w:t>
      </w:r>
      <w:r w:rsidRPr="00C47E97" w:rsidDel="006164CE">
        <w:rPr>
          <w:rFonts w:eastAsia="Calibri" w:cstheme="minorHAnsi"/>
          <w:sz w:val="24"/>
          <w:szCs w:val="24"/>
        </w:rPr>
        <w:t>Ústavního soudu sp. zn. Pl. ÚS 26/16</w:t>
      </w:r>
      <w:r w:rsidDel="006164CE">
        <w:rPr>
          <w:rFonts w:eastAsia="Calibri" w:cstheme="minorHAnsi"/>
          <w:sz w:val="24"/>
          <w:szCs w:val="24"/>
        </w:rPr>
        <w:t xml:space="preserve">. </w:t>
      </w:r>
      <w:r w:rsidR="001E3036" w:rsidRPr="00C47E97" w:rsidDel="006164CE">
        <w:rPr>
          <w:rFonts w:eastAsia="Calibri" w:cstheme="minorHAnsi"/>
          <w:sz w:val="24"/>
          <w:szCs w:val="24"/>
        </w:rPr>
        <w:t xml:space="preserve">V době pozastavení EET se snížil počet a objem evidovaných tržeb. </w:t>
      </w:r>
      <w:r w:rsidR="00F00464" w:rsidRPr="00C47E97" w:rsidDel="006164CE">
        <w:rPr>
          <w:rFonts w:eastAsia="Calibri" w:cstheme="minorHAnsi"/>
          <w:sz w:val="24"/>
          <w:szCs w:val="24"/>
        </w:rPr>
        <w:t>P</w:t>
      </w:r>
      <w:r w:rsidR="007B68BA" w:rsidRPr="00C47E97" w:rsidDel="006164CE">
        <w:rPr>
          <w:rFonts w:eastAsia="Calibri" w:cstheme="minorHAnsi"/>
          <w:sz w:val="24"/>
          <w:szCs w:val="24"/>
        </w:rPr>
        <w:t>očet a objem evidovaných tržeb za roky 2016</w:t>
      </w:r>
      <w:r w:rsidR="001A2BB4">
        <w:rPr>
          <w:rFonts w:eastAsia="Calibri" w:cstheme="minorHAnsi"/>
          <w:sz w:val="24"/>
          <w:szCs w:val="24"/>
        </w:rPr>
        <w:t>–</w:t>
      </w:r>
      <w:r w:rsidR="007B68BA" w:rsidRPr="00C47E97" w:rsidDel="006164CE">
        <w:rPr>
          <w:rFonts w:eastAsia="Calibri" w:cstheme="minorHAnsi"/>
          <w:sz w:val="24"/>
          <w:szCs w:val="24"/>
        </w:rPr>
        <w:t>2022</w:t>
      </w:r>
      <w:r w:rsidR="00F00464" w:rsidRPr="00C47E97" w:rsidDel="006164CE">
        <w:rPr>
          <w:rFonts w:eastAsia="Calibri" w:cstheme="minorHAnsi"/>
          <w:sz w:val="24"/>
          <w:szCs w:val="24"/>
        </w:rPr>
        <w:t xml:space="preserve"> </w:t>
      </w:r>
      <w:r w:rsidR="00F00464" w:rsidRPr="00C47E97" w:rsidDel="006164CE">
        <w:rPr>
          <w:rFonts w:eastAsia="Calibri" w:cstheme="minorHAnsi"/>
          <w:sz w:val="24"/>
          <w:szCs w:val="24"/>
        </w:rPr>
        <w:lastRenderedPageBreak/>
        <w:t>uv</w:t>
      </w:r>
      <w:r w:rsidR="001A2BB4">
        <w:rPr>
          <w:rFonts w:eastAsia="Calibri" w:cstheme="minorHAnsi"/>
          <w:sz w:val="24"/>
          <w:szCs w:val="24"/>
        </w:rPr>
        <w:t>ádí</w:t>
      </w:r>
      <w:r w:rsidR="00F00464" w:rsidRPr="00C47E97" w:rsidDel="006164CE">
        <w:rPr>
          <w:rFonts w:eastAsia="Calibri" w:cstheme="minorHAnsi"/>
          <w:sz w:val="24"/>
          <w:szCs w:val="24"/>
        </w:rPr>
        <w:t xml:space="preserve"> v příloze č. 1</w:t>
      </w:r>
      <w:r w:rsidR="00041825" w:rsidDel="006164CE">
        <w:rPr>
          <w:rFonts w:eastAsia="Calibri" w:cstheme="minorHAnsi"/>
          <w:sz w:val="24"/>
          <w:szCs w:val="24"/>
        </w:rPr>
        <w:t xml:space="preserve"> tabulka č. </w:t>
      </w:r>
      <w:r w:rsidR="002B6460" w:rsidDel="006164CE">
        <w:rPr>
          <w:rFonts w:eastAsia="Calibri" w:cstheme="minorHAnsi"/>
          <w:sz w:val="24"/>
          <w:szCs w:val="24"/>
        </w:rPr>
        <w:t>3</w:t>
      </w:r>
      <w:r w:rsidR="007B68BA" w:rsidRPr="00C47E97" w:rsidDel="006164CE">
        <w:rPr>
          <w:rFonts w:eastAsia="Calibri" w:cstheme="minorHAnsi"/>
          <w:sz w:val="24"/>
          <w:szCs w:val="24"/>
        </w:rPr>
        <w:t xml:space="preserve">. </w:t>
      </w:r>
      <w:r w:rsidR="00F00464" w:rsidRPr="00C47E97" w:rsidDel="006164CE">
        <w:rPr>
          <w:rFonts w:eastAsia="Calibri" w:cstheme="minorHAnsi"/>
          <w:sz w:val="24"/>
          <w:szCs w:val="24"/>
        </w:rPr>
        <w:t xml:space="preserve">Některé subjekty evidovaly tržby již před zavedením povinnosti k jejich evidenci. </w:t>
      </w:r>
    </w:p>
    <w:p w14:paraId="60C96521" w14:textId="672FC5C2" w:rsidR="007B68BA" w:rsidRPr="0026004F" w:rsidRDefault="007B68BA" w:rsidP="00040D2F">
      <w:pPr>
        <w:keepNext/>
        <w:spacing w:after="0"/>
        <w:jc w:val="both"/>
        <w:rPr>
          <w:rFonts w:eastAsia="Calibri" w:cstheme="minorHAnsi"/>
          <w:b/>
          <w:bCs/>
          <w:sz w:val="24"/>
          <w:szCs w:val="24"/>
        </w:rPr>
      </w:pPr>
      <w:r w:rsidRPr="0026004F">
        <w:rPr>
          <w:rFonts w:eastAsia="Calibri" w:cstheme="minorHAnsi"/>
          <w:b/>
          <w:bCs/>
          <w:sz w:val="24"/>
          <w:szCs w:val="24"/>
        </w:rPr>
        <w:t xml:space="preserve">Graf č. </w:t>
      </w:r>
      <w:r w:rsidR="002B6460" w:rsidRPr="0026004F">
        <w:rPr>
          <w:rFonts w:eastAsia="Calibri" w:cstheme="minorHAnsi"/>
          <w:b/>
          <w:bCs/>
          <w:sz w:val="24"/>
          <w:szCs w:val="24"/>
        </w:rPr>
        <w:t>3</w:t>
      </w:r>
      <w:r w:rsidR="00E1289F" w:rsidRPr="0026004F">
        <w:rPr>
          <w:rFonts w:eastAsia="Calibri" w:cstheme="minorHAnsi"/>
          <w:b/>
          <w:bCs/>
          <w:sz w:val="24"/>
          <w:szCs w:val="24"/>
        </w:rPr>
        <w:t>:</w:t>
      </w:r>
      <w:r w:rsidRPr="0026004F">
        <w:rPr>
          <w:rFonts w:eastAsia="Calibri" w:cstheme="minorHAnsi"/>
          <w:b/>
          <w:bCs/>
          <w:sz w:val="24"/>
          <w:szCs w:val="24"/>
        </w:rPr>
        <w:t xml:space="preserve"> Vývoj počtu </w:t>
      </w:r>
      <w:r w:rsidR="00E1289F" w:rsidRPr="0026004F">
        <w:rPr>
          <w:rFonts w:eastAsia="Calibri" w:cstheme="minorHAnsi"/>
          <w:b/>
          <w:bCs/>
          <w:sz w:val="24"/>
          <w:szCs w:val="24"/>
        </w:rPr>
        <w:t xml:space="preserve">tržeb </w:t>
      </w:r>
      <w:r w:rsidRPr="0026004F">
        <w:rPr>
          <w:rFonts w:eastAsia="Calibri" w:cstheme="minorHAnsi"/>
          <w:b/>
          <w:bCs/>
          <w:sz w:val="24"/>
          <w:szCs w:val="24"/>
        </w:rPr>
        <w:t xml:space="preserve">evidovaných </w:t>
      </w:r>
      <w:r w:rsidR="00E1289F" w:rsidRPr="0026004F">
        <w:rPr>
          <w:rFonts w:eastAsia="Calibri" w:cstheme="minorHAnsi"/>
          <w:b/>
          <w:bCs/>
          <w:sz w:val="24"/>
          <w:szCs w:val="24"/>
        </w:rPr>
        <w:t xml:space="preserve">v EET </w:t>
      </w:r>
      <w:r w:rsidRPr="0026004F">
        <w:rPr>
          <w:rFonts w:eastAsia="Calibri" w:cstheme="minorHAnsi"/>
          <w:b/>
          <w:bCs/>
          <w:sz w:val="24"/>
          <w:szCs w:val="24"/>
        </w:rPr>
        <w:t>v letech 2016</w:t>
      </w:r>
      <w:r w:rsidR="00E1289F" w:rsidRPr="0026004F">
        <w:rPr>
          <w:rFonts w:eastAsia="Calibri" w:cstheme="minorHAnsi"/>
          <w:b/>
          <w:bCs/>
          <w:sz w:val="24"/>
          <w:szCs w:val="24"/>
        </w:rPr>
        <w:t>–</w:t>
      </w:r>
      <w:r w:rsidRPr="0026004F">
        <w:rPr>
          <w:rFonts w:eastAsia="Calibri" w:cstheme="minorHAnsi"/>
          <w:b/>
          <w:bCs/>
          <w:sz w:val="24"/>
          <w:szCs w:val="24"/>
        </w:rPr>
        <w:t>2022 (v mil</w:t>
      </w:r>
      <w:r w:rsidR="00E1289F" w:rsidRPr="0026004F">
        <w:rPr>
          <w:rFonts w:eastAsia="Calibri" w:cstheme="minorHAnsi"/>
          <w:b/>
          <w:bCs/>
          <w:sz w:val="24"/>
          <w:szCs w:val="24"/>
        </w:rPr>
        <w:t>ionech</w:t>
      </w:r>
      <w:r w:rsidRPr="0026004F">
        <w:rPr>
          <w:rFonts w:eastAsia="Calibri" w:cstheme="minorHAnsi"/>
          <w:b/>
          <w:bCs/>
          <w:sz w:val="24"/>
          <w:szCs w:val="24"/>
        </w:rPr>
        <w:t>)</w:t>
      </w:r>
    </w:p>
    <w:p w14:paraId="293993AF" w14:textId="260C4683" w:rsidR="007B68BA" w:rsidRPr="00C47E97" w:rsidRDefault="00086DDC" w:rsidP="00040D2F">
      <w:pPr>
        <w:keepNext/>
        <w:spacing w:after="0"/>
        <w:jc w:val="both"/>
        <w:rPr>
          <w:rFonts w:eastAsia="Calibri" w:cstheme="minorHAnsi"/>
        </w:rPr>
      </w:pPr>
      <w:r w:rsidRPr="00086DDC">
        <w:drawing>
          <wp:inline distT="0" distB="0" distL="0" distR="0" wp14:anchorId="3FF9E5D5" wp14:editId="70F2F8D6">
            <wp:extent cx="5752381" cy="1790476"/>
            <wp:effectExtent l="0" t="0" r="1270" b="635"/>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52381" cy="1790476"/>
                    </a:xfrm>
                    <a:prstGeom prst="rect">
                      <a:avLst/>
                    </a:prstGeom>
                  </pic:spPr>
                </pic:pic>
              </a:graphicData>
            </a:graphic>
          </wp:inline>
        </w:drawing>
      </w:r>
    </w:p>
    <w:p w14:paraId="20E35B3F" w14:textId="65FDC599" w:rsidR="00E45D4E" w:rsidRPr="0026004F" w:rsidRDefault="007B68BA" w:rsidP="00040D2F">
      <w:pPr>
        <w:keepNext/>
        <w:spacing w:after="0"/>
        <w:jc w:val="both"/>
        <w:rPr>
          <w:rFonts w:cstheme="minorHAnsi"/>
          <w:iCs/>
          <w:sz w:val="20"/>
          <w:szCs w:val="20"/>
        </w:rPr>
      </w:pPr>
      <w:r w:rsidRPr="0026004F">
        <w:rPr>
          <w:rFonts w:cstheme="minorHAnsi"/>
          <w:b/>
          <w:bCs/>
          <w:iCs/>
          <w:sz w:val="20"/>
          <w:szCs w:val="20"/>
        </w:rPr>
        <w:t>Zdroj:</w:t>
      </w:r>
      <w:r w:rsidRPr="0026004F">
        <w:rPr>
          <w:rFonts w:cstheme="minorHAnsi"/>
          <w:iCs/>
          <w:sz w:val="20"/>
          <w:szCs w:val="20"/>
        </w:rPr>
        <w:t xml:space="preserve"> </w:t>
      </w:r>
      <w:r w:rsidR="0026004F">
        <w:rPr>
          <w:rFonts w:cstheme="minorHAnsi"/>
          <w:iCs/>
          <w:sz w:val="20"/>
          <w:szCs w:val="20"/>
        </w:rPr>
        <w:t>GFŘ</w:t>
      </w:r>
      <w:r w:rsidR="000A0800">
        <w:rPr>
          <w:rFonts w:cstheme="minorHAnsi"/>
          <w:iCs/>
          <w:sz w:val="20"/>
          <w:szCs w:val="20"/>
        </w:rPr>
        <w:t>;</w:t>
      </w:r>
      <w:r w:rsidR="0026004F">
        <w:rPr>
          <w:rFonts w:cstheme="minorHAnsi"/>
          <w:iCs/>
          <w:sz w:val="20"/>
          <w:szCs w:val="20"/>
        </w:rPr>
        <w:t xml:space="preserve"> </w:t>
      </w:r>
      <w:r w:rsidRPr="0026004F">
        <w:rPr>
          <w:rFonts w:cstheme="minorHAnsi"/>
          <w:iCs/>
          <w:sz w:val="20"/>
          <w:szCs w:val="20"/>
        </w:rPr>
        <w:t>vlastní zpracování NKÚ</w:t>
      </w:r>
      <w:r w:rsidR="00E1289F">
        <w:rPr>
          <w:rFonts w:cstheme="minorHAnsi"/>
          <w:iCs/>
          <w:sz w:val="20"/>
          <w:szCs w:val="20"/>
        </w:rPr>
        <w:t>.</w:t>
      </w:r>
    </w:p>
    <w:p w14:paraId="339D1B52" w14:textId="1B66E84C" w:rsidR="006164CE" w:rsidRPr="0026004F" w:rsidRDefault="00E45D4E" w:rsidP="0026004F">
      <w:pPr>
        <w:keepNext/>
        <w:spacing w:after="0"/>
        <w:ind w:left="567" w:hanging="567"/>
        <w:jc w:val="both"/>
        <w:rPr>
          <w:rFonts w:cstheme="minorHAnsi"/>
          <w:iCs/>
          <w:sz w:val="20"/>
          <w:szCs w:val="20"/>
        </w:rPr>
      </w:pPr>
      <w:r w:rsidRPr="0026004F">
        <w:rPr>
          <w:rFonts w:cstheme="minorHAnsi"/>
          <w:b/>
          <w:bCs/>
          <w:iCs/>
          <w:sz w:val="20"/>
          <w:szCs w:val="20"/>
        </w:rPr>
        <w:t>Pozn.:</w:t>
      </w:r>
      <w:r w:rsidRPr="0026004F">
        <w:rPr>
          <w:rFonts w:cstheme="minorHAnsi"/>
          <w:iCs/>
          <w:sz w:val="20"/>
          <w:szCs w:val="20"/>
        </w:rPr>
        <w:t xml:space="preserve"> </w:t>
      </w:r>
      <w:r w:rsidR="00E1289F">
        <w:rPr>
          <w:rFonts w:cstheme="minorHAnsi"/>
          <w:iCs/>
          <w:sz w:val="20"/>
          <w:szCs w:val="20"/>
        </w:rPr>
        <w:tab/>
      </w:r>
      <w:r w:rsidRPr="0026004F">
        <w:rPr>
          <w:rFonts w:eastAsia="Calibri" w:cstheme="minorHAnsi"/>
          <w:iCs/>
          <w:sz w:val="20"/>
          <w:szCs w:val="20"/>
        </w:rPr>
        <w:t xml:space="preserve">Přestože </w:t>
      </w:r>
      <w:r w:rsidR="00EF61C4" w:rsidRPr="0026004F">
        <w:rPr>
          <w:rFonts w:eastAsia="Calibri" w:cstheme="minorHAnsi"/>
          <w:iCs/>
          <w:sz w:val="20"/>
          <w:szCs w:val="20"/>
        </w:rPr>
        <w:t xml:space="preserve">2. vlna </w:t>
      </w:r>
      <w:r w:rsidR="001E3036" w:rsidRPr="0026004F">
        <w:rPr>
          <w:rFonts w:eastAsia="Calibri" w:cstheme="minorHAnsi"/>
          <w:iCs/>
          <w:sz w:val="20"/>
          <w:szCs w:val="20"/>
        </w:rPr>
        <w:t>byla spuštěna 1.</w:t>
      </w:r>
      <w:r w:rsidR="00E1289F">
        <w:rPr>
          <w:rFonts w:eastAsia="Calibri" w:cstheme="minorHAnsi"/>
          <w:iCs/>
          <w:sz w:val="20"/>
          <w:szCs w:val="20"/>
        </w:rPr>
        <w:t xml:space="preserve"> </w:t>
      </w:r>
      <w:r w:rsidR="001E3036" w:rsidRPr="0026004F">
        <w:rPr>
          <w:rFonts w:eastAsia="Calibri" w:cstheme="minorHAnsi"/>
          <w:iCs/>
          <w:sz w:val="20"/>
          <w:szCs w:val="20"/>
        </w:rPr>
        <w:t>3.</w:t>
      </w:r>
      <w:r w:rsidR="00E1289F">
        <w:rPr>
          <w:rFonts w:eastAsia="Calibri" w:cstheme="minorHAnsi"/>
          <w:iCs/>
          <w:sz w:val="20"/>
          <w:szCs w:val="20"/>
        </w:rPr>
        <w:t xml:space="preserve"> </w:t>
      </w:r>
      <w:r w:rsidR="00EF61C4" w:rsidRPr="0026004F">
        <w:rPr>
          <w:rFonts w:eastAsia="Calibri" w:cstheme="minorHAnsi"/>
          <w:iCs/>
          <w:sz w:val="20"/>
          <w:szCs w:val="20"/>
        </w:rPr>
        <w:t xml:space="preserve">2017, některé subjekty evidovaly tržby již v době před zavedením dané povinnosti. </w:t>
      </w:r>
    </w:p>
    <w:p w14:paraId="26272C50" w14:textId="77777777" w:rsidR="00F37E40" w:rsidRPr="00F37E40" w:rsidRDefault="00F37E40" w:rsidP="00F37E40">
      <w:pPr>
        <w:keepNext/>
        <w:spacing w:after="0"/>
        <w:jc w:val="both"/>
        <w:rPr>
          <w:rFonts w:cstheme="minorHAnsi"/>
          <w:i/>
          <w:sz w:val="20"/>
          <w:szCs w:val="20"/>
        </w:rPr>
      </w:pPr>
    </w:p>
    <w:p w14:paraId="2D2DEBBC" w14:textId="416B7745" w:rsidR="00FA597E" w:rsidRPr="00C47E97" w:rsidRDefault="00D86895" w:rsidP="00E232AD">
      <w:pPr>
        <w:shd w:val="clear" w:color="auto" w:fill="FFFFFF"/>
        <w:spacing w:line="240" w:lineRule="auto"/>
        <w:jc w:val="both"/>
        <w:rPr>
          <w:rFonts w:cstheme="minorHAnsi"/>
          <w:bCs/>
          <w:lang w:eastAsia="cs-CZ"/>
        </w:rPr>
      </w:pPr>
      <w:r w:rsidRPr="00C47E97">
        <w:rPr>
          <w:rFonts w:eastAsia="Calibri" w:cstheme="minorHAnsi"/>
          <w:bCs/>
          <w:sz w:val="24"/>
          <w:szCs w:val="24"/>
        </w:rPr>
        <w:t xml:space="preserve">Na vývoj inkasa </w:t>
      </w:r>
      <w:r>
        <w:rPr>
          <w:rFonts w:eastAsia="Calibri" w:cstheme="minorHAnsi"/>
          <w:bCs/>
          <w:sz w:val="24"/>
          <w:szCs w:val="24"/>
        </w:rPr>
        <w:t xml:space="preserve">DPH </w:t>
      </w:r>
      <w:r w:rsidRPr="00C47E97">
        <w:rPr>
          <w:rFonts w:eastAsia="Calibri" w:cstheme="minorHAnsi"/>
          <w:bCs/>
          <w:sz w:val="24"/>
          <w:szCs w:val="24"/>
        </w:rPr>
        <w:t>působil</w:t>
      </w:r>
      <w:r>
        <w:rPr>
          <w:rFonts w:eastAsia="Calibri" w:cstheme="minorHAnsi"/>
          <w:bCs/>
          <w:sz w:val="24"/>
          <w:szCs w:val="24"/>
        </w:rPr>
        <w:t>o kontrolní hlášení</w:t>
      </w:r>
      <w:r w:rsidRPr="00C47E97">
        <w:rPr>
          <w:rFonts w:eastAsia="Calibri" w:cstheme="minorHAnsi"/>
          <w:bCs/>
          <w:sz w:val="24"/>
          <w:szCs w:val="24"/>
        </w:rPr>
        <w:t>, kter</w:t>
      </w:r>
      <w:r>
        <w:rPr>
          <w:rFonts w:eastAsia="Calibri" w:cstheme="minorHAnsi"/>
          <w:bCs/>
          <w:sz w:val="24"/>
          <w:szCs w:val="24"/>
        </w:rPr>
        <w:t>é</w:t>
      </w:r>
      <w:r w:rsidRPr="00C47E97">
        <w:rPr>
          <w:rFonts w:eastAsia="Calibri" w:cstheme="minorHAnsi"/>
          <w:bCs/>
          <w:sz w:val="24"/>
          <w:szCs w:val="24"/>
        </w:rPr>
        <w:t xml:space="preserve"> byl</w:t>
      </w:r>
      <w:r>
        <w:rPr>
          <w:rFonts w:eastAsia="Calibri" w:cstheme="minorHAnsi"/>
          <w:bCs/>
          <w:sz w:val="24"/>
          <w:szCs w:val="24"/>
        </w:rPr>
        <w:t>o</w:t>
      </w:r>
      <w:r w:rsidRPr="00C47E97">
        <w:rPr>
          <w:rFonts w:eastAsia="Calibri" w:cstheme="minorHAnsi"/>
          <w:bCs/>
          <w:sz w:val="24"/>
          <w:szCs w:val="24"/>
        </w:rPr>
        <w:t xml:space="preserve"> </w:t>
      </w:r>
      <w:r>
        <w:rPr>
          <w:rFonts w:eastAsia="Calibri" w:cstheme="minorHAnsi"/>
          <w:bCs/>
          <w:sz w:val="24"/>
          <w:szCs w:val="24"/>
        </w:rPr>
        <w:t>v</w:t>
      </w:r>
      <w:r w:rsidR="00E1289F">
        <w:rPr>
          <w:rFonts w:eastAsia="Calibri" w:cstheme="minorHAnsi"/>
          <w:bCs/>
          <w:sz w:val="24"/>
          <w:szCs w:val="24"/>
        </w:rPr>
        <w:t xml:space="preserve"> rámci </w:t>
      </w:r>
      <w:r>
        <w:rPr>
          <w:rFonts w:eastAsia="Calibri" w:cstheme="minorHAnsi"/>
          <w:bCs/>
          <w:sz w:val="24"/>
          <w:szCs w:val="24"/>
        </w:rPr>
        <w:t>boj</w:t>
      </w:r>
      <w:r w:rsidR="00E1289F">
        <w:rPr>
          <w:rFonts w:eastAsia="Calibri" w:cstheme="minorHAnsi"/>
          <w:bCs/>
          <w:sz w:val="24"/>
          <w:szCs w:val="24"/>
        </w:rPr>
        <w:t>e</w:t>
      </w:r>
      <w:r>
        <w:rPr>
          <w:rFonts w:eastAsia="Calibri" w:cstheme="minorHAnsi"/>
          <w:bCs/>
          <w:sz w:val="24"/>
          <w:szCs w:val="24"/>
        </w:rPr>
        <w:t xml:space="preserve"> </w:t>
      </w:r>
      <w:r w:rsidRPr="00C47E97">
        <w:rPr>
          <w:rFonts w:eastAsia="Calibri" w:cstheme="minorHAnsi"/>
          <w:bCs/>
          <w:sz w:val="24"/>
          <w:szCs w:val="24"/>
        </w:rPr>
        <w:t>proti daňovým únikům</w:t>
      </w:r>
      <w:r>
        <w:rPr>
          <w:rFonts w:eastAsia="Calibri" w:cstheme="minorHAnsi"/>
          <w:bCs/>
          <w:sz w:val="24"/>
          <w:szCs w:val="24"/>
        </w:rPr>
        <w:t xml:space="preserve"> </w:t>
      </w:r>
      <w:r w:rsidR="00E1289F" w:rsidRPr="00C47E97">
        <w:rPr>
          <w:rFonts w:eastAsia="Calibri" w:cstheme="minorHAnsi"/>
          <w:bCs/>
          <w:sz w:val="24"/>
          <w:szCs w:val="24"/>
        </w:rPr>
        <w:t>zaveden</w:t>
      </w:r>
      <w:r w:rsidR="00E1289F">
        <w:rPr>
          <w:rFonts w:eastAsia="Calibri" w:cstheme="minorHAnsi"/>
          <w:bCs/>
          <w:sz w:val="24"/>
          <w:szCs w:val="24"/>
        </w:rPr>
        <w:t>o</w:t>
      </w:r>
      <w:r w:rsidR="00E1289F" w:rsidRPr="00C47E97">
        <w:rPr>
          <w:rFonts w:eastAsia="Calibri" w:cstheme="minorHAnsi"/>
          <w:bCs/>
          <w:sz w:val="24"/>
          <w:szCs w:val="24"/>
        </w:rPr>
        <w:t xml:space="preserve"> </w:t>
      </w:r>
      <w:r w:rsidR="00E1289F">
        <w:rPr>
          <w:rFonts w:eastAsia="Calibri" w:cstheme="minorHAnsi"/>
          <w:bCs/>
          <w:sz w:val="24"/>
          <w:szCs w:val="24"/>
        </w:rPr>
        <w:t>v</w:t>
      </w:r>
      <w:r>
        <w:rPr>
          <w:rFonts w:eastAsia="Calibri" w:cstheme="minorHAnsi"/>
          <w:bCs/>
          <w:sz w:val="24"/>
          <w:szCs w:val="24"/>
        </w:rPr>
        <w:t xml:space="preserve"> ro</w:t>
      </w:r>
      <w:r w:rsidR="00E1289F">
        <w:rPr>
          <w:rFonts w:eastAsia="Calibri" w:cstheme="minorHAnsi"/>
          <w:bCs/>
          <w:sz w:val="24"/>
          <w:szCs w:val="24"/>
        </w:rPr>
        <w:t>ce</w:t>
      </w:r>
      <w:r>
        <w:rPr>
          <w:rFonts w:eastAsia="Calibri" w:cstheme="minorHAnsi"/>
          <w:bCs/>
          <w:sz w:val="24"/>
          <w:szCs w:val="24"/>
        </w:rPr>
        <w:t xml:space="preserve"> 2016</w:t>
      </w:r>
      <w:r w:rsidRPr="00C47E97">
        <w:rPr>
          <w:rFonts w:eastAsia="Calibri" w:cstheme="minorHAnsi"/>
          <w:bCs/>
          <w:sz w:val="24"/>
          <w:szCs w:val="24"/>
        </w:rPr>
        <w:t xml:space="preserve">. </w:t>
      </w:r>
      <w:r w:rsidR="00CB4C6F" w:rsidRPr="00CB4C6F">
        <w:rPr>
          <w:rFonts w:cstheme="minorHAnsi"/>
          <w:bCs/>
          <w:sz w:val="24"/>
          <w:szCs w:val="24"/>
          <w:lang w:eastAsia="cs-CZ"/>
        </w:rPr>
        <w:t xml:space="preserve">Nárůst inkasa byl </w:t>
      </w:r>
      <w:r>
        <w:rPr>
          <w:rFonts w:cstheme="minorHAnsi"/>
          <w:bCs/>
          <w:sz w:val="24"/>
          <w:szCs w:val="24"/>
          <w:lang w:eastAsia="cs-CZ"/>
        </w:rPr>
        <w:t>dále</w:t>
      </w:r>
      <w:r w:rsidR="00CB4C6F">
        <w:rPr>
          <w:rFonts w:cstheme="minorHAnsi"/>
          <w:bCs/>
          <w:sz w:val="24"/>
          <w:szCs w:val="24"/>
          <w:lang w:eastAsia="cs-CZ"/>
        </w:rPr>
        <w:t xml:space="preserve"> </w:t>
      </w:r>
      <w:r w:rsidR="00CB4C6F" w:rsidRPr="00CB4C6F">
        <w:rPr>
          <w:rFonts w:cstheme="minorHAnsi"/>
          <w:bCs/>
          <w:sz w:val="24"/>
          <w:szCs w:val="24"/>
          <w:lang w:eastAsia="cs-CZ"/>
        </w:rPr>
        <w:t>způsoben stále rostoucí spotřebou domácností a</w:t>
      </w:r>
      <w:r w:rsidR="00E1289F">
        <w:rPr>
          <w:rFonts w:cstheme="minorHAnsi"/>
          <w:bCs/>
          <w:sz w:val="24"/>
          <w:szCs w:val="24"/>
          <w:lang w:eastAsia="cs-CZ"/>
        </w:rPr>
        <w:t> </w:t>
      </w:r>
      <w:r w:rsidR="00CB4C6F" w:rsidRPr="00CB4C6F">
        <w:rPr>
          <w:rFonts w:cstheme="minorHAnsi"/>
          <w:bCs/>
          <w:sz w:val="24"/>
          <w:szCs w:val="24"/>
          <w:lang w:eastAsia="cs-CZ"/>
        </w:rPr>
        <w:t>vládních institucí</w:t>
      </w:r>
      <w:r w:rsidR="00CB4C6F">
        <w:rPr>
          <w:rFonts w:cstheme="minorHAnsi"/>
          <w:bCs/>
          <w:sz w:val="24"/>
          <w:szCs w:val="24"/>
          <w:lang w:eastAsia="cs-CZ"/>
        </w:rPr>
        <w:t xml:space="preserve"> a </w:t>
      </w:r>
      <w:r w:rsidR="00CB4C6F" w:rsidRPr="00CB4C6F">
        <w:rPr>
          <w:rFonts w:cstheme="minorHAnsi"/>
          <w:bCs/>
          <w:sz w:val="24"/>
          <w:szCs w:val="24"/>
          <w:lang w:eastAsia="cs-CZ"/>
        </w:rPr>
        <w:t>investicemi soukromé</w:t>
      </w:r>
      <w:r w:rsidR="00D40476">
        <w:rPr>
          <w:rFonts w:cstheme="minorHAnsi"/>
          <w:bCs/>
          <w:sz w:val="24"/>
          <w:szCs w:val="24"/>
          <w:lang w:eastAsia="cs-CZ"/>
        </w:rPr>
        <w:t>ho</w:t>
      </w:r>
      <w:r w:rsidR="00CB4C6F" w:rsidRPr="00CB4C6F">
        <w:rPr>
          <w:rFonts w:cstheme="minorHAnsi"/>
          <w:bCs/>
          <w:sz w:val="24"/>
          <w:szCs w:val="24"/>
          <w:lang w:eastAsia="cs-CZ"/>
        </w:rPr>
        <w:t xml:space="preserve"> sektoru. </w:t>
      </w:r>
      <w:r>
        <w:rPr>
          <w:rFonts w:cstheme="minorHAnsi"/>
          <w:bCs/>
          <w:sz w:val="24"/>
          <w:szCs w:val="24"/>
          <w:lang w:eastAsia="cs-CZ"/>
        </w:rPr>
        <w:t>V</w:t>
      </w:r>
      <w:r w:rsidRPr="00C47E97">
        <w:rPr>
          <w:rFonts w:cstheme="minorHAnsi"/>
          <w:bCs/>
          <w:sz w:val="24"/>
          <w:szCs w:val="24"/>
          <w:lang w:eastAsia="cs-CZ"/>
        </w:rPr>
        <w:t xml:space="preserve">ýrazný nárůst </w:t>
      </w:r>
      <w:r>
        <w:rPr>
          <w:rFonts w:cstheme="minorHAnsi"/>
          <w:bCs/>
          <w:sz w:val="24"/>
          <w:szCs w:val="24"/>
          <w:lang w:eastAsia="cs-CZ"/>
        </w:rPr>
        <w:t xml:space="preserve">inkasa DPH je zřejmý </w:t>
      </w:r>
      <w:r w:rsidRPr="00C47E97">
        <w:rPr>
          <w:rFonts w:cstheme="minorHAnsi"/>
          <w:bCs/>
          <w:sz w:val="24"/>
          <w:szCs w:val="24"/>
          <w:lang w:eastAsia="cs-CZ"/>
        </w:rPr>
        <w:t xml:space="preserve">v letech 2017 a 2018, tj. v době </w:t>
      </w:r>
      <w:r w:rsidR="002F555C">
        <w:rPr>
          <w:rFonts w:cstheme="minorHAnsi"/>
          <w:bCs/>
          <w:sz w:val="24"/>
          <w:szCs w:val="24"/>
          <w:lang w:eastAsia="cs-CZ"/>
        </w:rPr>
        <w:t xml:space="preserve">před omezením </w:t>
      </w:r>
      <w:r w:rsidRPr="00C47E97">
        <w:rPr>
          <w:rFonts w:cstheme="minorHAnsi"/>
          <w:bCs/>
          <w:sz w:val="24"/>
          <w:szCs w:val="24"/>
          <w:lang w:eastAsia="cs-CZ"/>
        </w:rPr>
        <w:t xml:space="preserve">evidence tržeb (viz graf č. </w:t>
      </w:r>
      <w:r>
        <w:rPr>
          <w:rFonts w:cstheme="minorHAnsi"/>
          <w:bCs/>
          <w:sz w:val="24"/>
          <w:szCs w:val="24"/>
          <w:lang w:eastAsia="cs-CZ"/>
        </w:rPr>
        <w:t>4</w:t>
      </w:r>
      <w:r w:rsidRPr="00C47E97">
        <w:rPr>
          <w:rFonts w:cstheme="minorHAnsi"/>
          <w:bCs/>
          <w:sz w:val="24"/>
          <w:szCs w:val="24"/>
          <w:lang w:eastAsia="cs-CZ"/>
        </w:rPr>
        <w:t xml:space="preserve">). </w:t>
      </w:r>
      <w:r w:rsidR="00CB4C6F" w:rsidRPr="00CB4C6F">
        <w:rPr>
          <w:rFonts w:cstheme="minorHAnsi"/>
          <w:bCs/>
          <w:sz w:val="24"/>
          <w:szCs w:val="24"/>
          <w:lang w:eastAsia="cs-CZ"/>
        </w:rPr>
        <w:t>V roce 2017 došlo k výraznému zvýšení počtu plátců DPH, který byl nejvyšší za několik posledních let (např. oproti roku 2007 vzrostl jejich počet o více než 44 tisíc)</w:t>
      </w:r>
      <w:r w:rsidR="00CB4C6F">
        <w:rPr>
          <w:rStyle w:val="Znakapoznpodarou"/>
          <w:rFonts w:cstheme="minorHAnsi"/>
          <w:bCs/>
          <w:sz w:val="24"/>
          <w:szCs w:val="24"/>
          <w:lang w:eastAsia="cs-CZ"/>
        </w:rPr>
        <w:footnoteReference w:id="25"/>
      </w:r>
      <w:r w:rsidR="002F555C">
        <w:rPr>
          <w:rFonts w:cstheme="minorHAnsi"/>
          <w:bCs/>
          <w:sz w:val="24"/>
          <w:szCs w:val="24"/>
          <w:lang w:eastAsia="cs-CZ"/>
        </w:rPr>
        <w:t>.</w:t>
      </w:r>
      <w:r w:rsidR="00CB4C6F" w:rsidRPr="00CB4C6F">
        <w:rPr>
          <w:rFonts w:cstheme="minorHAnsi"/>
          <w:bCs/>
          <w:sz w:val="24"/>
          <w:szCs w:val="24"/>
          <w:lang w:eastAsia="cs-CZ"/>
        </w:rPr>
        <w:t xml:space="preserve"> </w:t>
      </w:r>
      <w:r w:rsidR="00467611" w:rsidRPr="00C47E97">
        <w:rPr>
          <w:rFonts w:cstheme="minorHAnsi"/>
          <w:bCs/>
          <w:sz w:val="24"/>
          <w:szCs w:val="24"/>
          <w:lang w:eastAsia="cs-CZ"/>
        </w:rPr>
        <w:t xml:space="preserve">Vývoj inkasa DPH v letech 2013–2022 je uveden v příloze č. </w:t>
      </w:r>
      <w:r w:rsidR="00041825">
        <w:rPr>
          <w:rFonts w:cstheme="minorHAnsi"/>
          <w:bCs/>
          <w:sz w:val="24"/>
          <w:szCs w:val="24"/>
          <w:lang w:eastAsia="cs-CZ"/>
        </w:rPr>
        <w:t xml:space="preserve">1 </w:t>
      </w:r>
      <w:r w:rsidR="00E1289F">
        <w:rPr>
          <w:rFonts w:cstheme="minorHAnsi"/>
          <w:bCs/>
          <w:sz w:val="24"/>
          <w:szCs w:val="24"/>
          <w:lang w:eastAsia="cs-CZ"/>
        </w:rPr>
        <w:t>v </w:t>
      </w:r>
      <w:r w:rsidR="00041825">
        <w:rPr>
          <w:rFonts w:cstheme="minorHAnsi"/>
          <w:bCs/>
          <w:sz w:val="24"/>
          <w:szCs w:val="24"/>
          <w:lang w:eastAsia="cs-CZ"/>
        </w:rPr>
        <w:t>tabul</w:t>
      </w:r>
      <w:r w:rsidR="00E1289F">
        <w:rPr>
          <w:rFonts w:cstheme="minorHAnsi"/>
          <w:bCs/>
          <w:sz w:val="24"/>
          <w:szCs w:val="24"/>
          <w:lang w:eastAsia="cs-CZ"/>
        </w:rPr>
        <w:t>ce</w:t>
      </w:r>
      <w:r w:rsidR="00041825">
        <w:rPr>
          <w:rFonts w:cstheme="minorHAnsi"/>
          <w:bCs/>
          <w:sz w:val="24"/>
          <w:szCs w:val="24"/>
          <w:lang w:eastAsia="cs-CZ"/>
        </w:rPr>
        <w:t xml:space="preserve"> č. </w:t>
      </w:r>
      <w:r w:rsidR="00162277">
        <w:rPr>
          <w:rFonts w:cstheme="minorHAnsi"/>
          <w:bCs/>
          <w:sz w:val="24"/>
          <w:szCs w:val="24"/>
          <w:lang w:eastAsia="cs-CZ"/>
        </w:rPr>
        <w:t>4</w:t>
      </w:r>
      <w:r w:rsidR="00467611" w:rsidRPr="00C47E97">
        <w:rPr>
          <w:rFonts w:cstheme="minorHAnsi"/>
          <w:bCs/>
          <w:sz w:val="24"/>
          <w:szCs w:val="24"/>
          <w:lang w:eastAsia="cs-CZ"/>
        </w:rPr>
        <w:t>.</w:t>
      </w:r>
      <w:r w:rsidR="00D15022" w:rsidRPr="00C47E97">
        <w:rPr>
          <w:rFonts w:cstheme="minorHAnsi"/>
          <w:bCs/>
          <w:sz w:val="24"/>
          <w:szCs w:val="24"/>
          <w:lang w:eastAsia="cs-CZ"/>
        </w:rPr>
        <w:t xml:space="preserve"> </w:t>
      </w:r>
    </w:p>
    <w:p w14:paraId="55B9680F" w14:textId="6F3EBA4D" w:rsidR="006C79F4" w:rsidRPr="0026004F" w:rsidRDefault="006C79F4" w:rsidP="00F5553A">
      <w:pPr>
        <w:keepNext/>
        <w:spacing w:after="0"/>
        <w:ind w:left="1560" w:hanging="1560"/>
        <w:jc w:val="both"/>
        <w:rPr>
          <w:rFonts w:eastAsia="Calibri" w:cstheme="minorHAnsi"/>
          <w:b/>
          <w:bCs/>
          <w:sz w:val="24"/>
          <w:szCs w:val="24"/>
        </w:rPr>
      </w:pPr>
      <w:bookmarkStart w:id="13" w:name="_Hlk168487166"/>
      <w:r w:rsidRPr="0026004F">
        <w:rPr>
          <w:rFonts w:eastAsia="Calibri" w:cstheme="minorHAnsi"/>
          <w:b/>
          <w:bCs/>
          <w:sz w:val="24"/>
          <w:szCs w:val="24"/>
        </w:rPr>
        <w:t xml:space="preserve">Graf č. </w:t>
      </w:r>
      <w:r w:rsidR="009F3E0A" w:rsidRPr="0026004F">
        <w:rPr>
          <w:rFonts w:eastAsia="Calibri" w:cstheme="minorHAnsi"/>
          <w:b/>
          <w:bCs/>
          <w:sz w:val="24"/>
          <w:szCs w:val="24"/>
        </w:rPr>
        <w:t>4</w:t>
      </w:r>
      <w:r w:rsidR="00E1289F" w:rsidRPr="0026004F">
        <w:rPr>
          <w:rFonts w:eastAsia="Calibri" w:cstheme="minorHAnsi"/>
          <w:b/>
          <w:bCs/>
          <w:sz w:val="24"/>
          <w:szCs w:val="24"/>
        </w:rPr>
        <w:t>:</w:t>
      </w:r>
      <w:r w:rsidRPr="0026004F">
        <w:rPr>
          <w:rFonts w:eastAsia="Calibri" w:cstheme="minorHAnsi"/>
          <w:b/>
          <w:bCs/>
          <w:sz w:val="24"/>
          <w:szCs w:val="24"/>
        </w:rPr>
        <w:t xml:space="preserve"> </w:t>
      </w:r>
      <w:r w:rsidR="00E45D4E" w:rsidRPr="0026004F">
        <w:rPr>
          <w:rFonts w:eastAsia="Calibri" w:cstheme="minorHAnsi"/>
          <w:b/>
          <w:bCs/>
          <w:sz w:val="24"/>
          <w:szCs w:val="24"/>
        </w:rPr>
        <w:t xml:space="preserve">Meziroční vývoj </w:t>
      </w:r>
      <w:r w:rsidRPr="0026004F">
        <w:rPr>
          <w:rFonts w:eastAsia="Calibri" w:cstheme="minorHAnsi"/>
          <w:b/>
          <w:bCs/>
          <w:sz w:val="24"/>
          <w:szCs w:val="24"/>
        </w:rPr>
        <w:t>inkasa DPH</w:t>
      </w:r>
    </w:p>
    <w:p w14:paraId="44D9DC58" w14:textId="3AF83568" w:rsidR="006C79F4" w:rsidRPr="00C47E97" w:rsidRDefault="00086DDC" w:rsidP="00F5553A">
      <w:pPr>
        <w:keepNext/>
        <w:spacing w:after="0"/>
        <w:rPr>
          <w:rFonts w:eastAsia="Calibri" w:cstheme="minorHAnsi"/>
        </w:rPr>
      </w:pPr>
      <w:r w:rsidRPr="00086DDC">
        <w:drawing>
          <wp:inline distT="0" distB="0" distL="0" distR="0" wp14:anchorId="5F25BC15" wp14:editId="39AA30F7">
            <wp:extent cx="5760720" cy="178054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0720" cy="1780540"/>
                    </a:xfrm>
                    <a:prstGeom prst="rect">
                      <a:avLst/>
                    </a:prstGeom>
                  </pic:spPr>
                </pic:pic>
              </a:graphicData>
            </a:graphic>
          </wp:inline>
        </w:drawing>
      </w:r>
      <w:bookmarkStart w:id="14" w:name="_GoBack"/>
      <w:bookmarkEnd w:id="14"/>
    </w:p>
    <w:p w14:paraId="74E6EE16" w14:textId="50441EDF" w:rsidR="006C79F4" w:rsidRPr="0026004F" w:rsidRDefault="006C79F4" w:rsidP="00F5553A">
      <w:pPr>
        <w:keepNext/>
        <w:spacing w:after="0"/>
        <w:jc w:val="both"/>
        <w:rPr>
          <w:rFonts w:eastAsia="Calibri" w:cstheme="minorHAnsi"/>
          <w:sz w:val="20"/>
          <w:szCs w:val="20"/>
        </w:rPr>
      </w:pPr>
      <w:r w:rsidRPr="0026004F">
        <w:rPr>
          <w:rFonts w:eastAsia="Calibri" w:cstheme="minorHAnsi"/>
          <w:b/>
          <w:bCs/>
          <w:sz w:val="20"/>
          <w:szCs w:val="20"/>
        </w:rPr>
        <w:t xml:space="preserve">Zdroj: </w:t>
      </w:r>
      <w:r w:rsidR="00E232AD" w:rsidRPr="0026004F">
        <w:rPr>
          <w:rFonts w:eastAsia="Calibri" w:cstheme="minorHAnsi"/>
          <w:sz w:val="20"/>
          <w:szCs w:val="20"/>
        </w:rPr>
        <w:t>GFŘ</w:t>
      </w:r>
      <w:r w:rsidR="00C600F5">
        <w:rPr>
          <w:rFonts w:eastAsia="Calibri" w:cstheme="minorHAnsi"/>
          <w:sz w:val="20"/>
          <w:szCs w:val="20"/>
        </w:rPr>
        <w:t>,</w:t>
      </w:r>
      <w:r w:rsidRPr="0026004F">
        <w:rPr>
          <w:rFonts w:eastAsia="Calibri" w:cstheme="minorHAnsi"/>
          <w:sz w:val="20"/>
          <w:szCs w:val="20"/>
        </w:rPr>
        <w:t xml:space="preserve"> webové stránky FS ČR (rok</w:t>
      </w:r>
      <w:r w:rsidR="00C600F5">
        <w:rPr>
          <w:rFonts w:eastAsia="Calibri" w:cstheme="minorHAnsi"/>
          <w:sz w:val="20"/>
          <w:szCs w:val="20"/>
        </w:rPr>
        <w:t>y</w:t>
      </w:r>
      <w:r w:rsidRPr="0026004F">
        <w:rPr>
          <w:rFonts w:eastAsia="Calibri" w:cstheme="minorHAnsi"/>
          <w:sz w:val="20"/>
          <w:szCs w:val="20"/>
        </w:rPr>
        <w:t xml:space="preserve"> 2013</w:t>
      </w:r>
      <w:r w:rsidR="00C600F5">
        <w:rPr>
          <w:rFonts w:eastAsia="Calibri" w:cstheme="minorHAnsi"/>
          <w:sz w:val="20"/>
          <w:szCs w:val="20"/>
        </w:rPr>
        <w:t>–</w:t>
      </w:r>
      <w:r w:rsidRPr="0026004F">
        <w:rPr>
          <w:rFonts w:eastAsia="Calibri" w:cstheme="minorHAnsi"/>
          <w:sz w:val="20"/>
          <w:szCs w:val="20"/>
        </w:rPr>
        <w:t>2015); vlastní zpracování NKÚ</w:t>
      </w:r>
      <w:r w:rsidR="00C600F5">
        <w:rPr>
          <w:rFonts w:eastAsia="Calibri" w:cstheme="minorHAnsi"/>
          <w:sz w:val="20"/>
          <w:szCs w:val="20"/>
        </w:rPr>
        <w:t>.</w:t>
      </w:r>
    </w:p>
    <w:bookmarkEnd w:id="13"/>
    <w:p w14:paraId="5A48C531" w14:textId="77777777" w:rsidR="00E079F9" w:rsidRDefault="00E079F9" w:rsidP="008B6BAA">
      <w:pPr>
        <w:spacing w:after="120" w:line="240" w:lineRule="auto"/>
        <w:jc w:val="both"/>
        <w:rPr>
          <w:rFonts w:eastAsia="Calibri" w:cstheme="minorHAnsi"/>
          <w:bCs/>
          <w:sz w:val="24"/>
          <w:szCs w:val="24"/>
        </w:rPr>
      </w:pPr>
    </w:p>
    <w:p w14:paraId="34C1C4BD" w14:textId="174F0B7C" w:rsidR="008B6BAA" w:rsidRDefault="00E079F9" w:rsidP="0026004F">
      <w:pPr>
        <w:spacing w:after="0" w:line="240" w:lineRule="auto"/>
        <w:jc w:val="both"/>
        <w:rPr>
          <w:rFonts w:cstheme="minorHAnsi"/>
          <w:bCs/>
          <w:sz w:val="24"/>
          <w:szCs w:val="24"/>
        </w:rPr>
      </w:pPr>
      <w:r w:rsidRPr="00C47E97">
        <w:rPr>
          <w:rFonts w:eastAsia="Calibri" w:cstheme="minorHAnsi"/>
          <w:bCs/>
          <w:sz w:val="24"/>
          <w:szCs w:val="24"/>
        </w:rPr>
        <w:t>V roce 2020 byl jedním z vlivů, které působily na p</w:t>
      </w:r>
      <w:r w:rsidRPr="00C47E97">
        <w:rPr>
          <w:rFonts w:cstheme="minorHAnsi"/>
          <w:bCs/>
          <w:sz w:val="24"/>
          <w:szCs w:val="24"/>
        </w:rPr>
        <w:t xml:space="preserve">ropad inkasa, pokles celkové ekonomické aktivity v důsledku opatření proti pandemii </w:t>
      </w:r>
      <w:r w:rsidR="00EE63E7">
        <w:rPr>
          <w:rFonts w:cstheme="minorHAnsi"/>
          <w:bCs/>
          <w:sz w:val="24"/>
          <w:szCs w:val="24"/>
        </w:rPr>
        <w:t>covidu</w:t>
      </w:r>
      <w:r w:rsidRPr="00C47E97">
        <w:rPr>
          <w:rFonts w:cstheme="minorHAnsi"/>
          <w:bCs/>
          <w:sz w:val="24"/>
          <w:szCs w:val="24"/>
        </w:rPr>
        <w:t>-19. V</w:t>
      </w:r>
      <w:r w:rsidR="00EE63E7">
        <w:rPr>
          <w:rFonts w:cstheme="minorHAnsi"/>
          <w:bCs/>
          <w:sz w:val="24"/>
          <w:szCs w:val="24"/>
        </w:rPr>
        <w:t xml:space="preserve"> </w:t>
      </w:r>
      <w:r w:rsidRPr="00C47E97">
        <w:rPr>
          <w:rFonts w:cstheme="minorHAnsi"/>
          <w:bCs/>
          <w:sz w:val="24"/>
          <w:szCs w:val="24"/>
        </w:rPr>
        <w:t>roce 2021 došlo k</w:t>
      </w:r>
      <w:r w:rsidR="00EE63E7">
        <w:rPr>
          <w:rFonts w:cstheme="minorHAnsi"/>
          <w:bCs/>
          <w:sz w:val="24"/>
          <w:szCs w:val="24"/>
        </w:rPr>
        <w:t xml:space="preserve"> </w:t>
      </w:r>
      <w:r w:rsidRPr="00C47E97">
        <w:rPr>
          <w:rFonts w:cstheme="minorHAnsi"/>
          <w:bCs/>
          <w:sz w:val="24"/>
          <w:szCs w:val="24"/>
        </w:rPr>
        <w:t xml:space="preserve">nárůstu inkasa z důvodu mírného oživení ekonomiky, rok 2022 byl ovlivněn válkou na Ukrajině, energetickou krizí a </w:t>
      </w:r>
      <w:r w:rsidR="00EE63E7">
        <w:rPr>
          <w:rFonts w:cstheme="minorHAnsi"/>
          <w:bCs/>
          <w:sz w:val="24"/>
          <w:szCs w:val="24"/>
        </w:rPr>
        <w:t>následnou</w:t>
      </w:r>
      <w:r w:rsidRPr="00C47E97">
        <w:rPr>
          <w:rFonts w:cstheme="minorHAnsi"/>
          <w:bCs/>
          <w:sz w:val="24"/>
          <w:szCs w:val="24"/>
        </w:rPr>
        <w:t xml:space="preserve"> inflací, která činila průměrně 15,1</w:t>
      </w:r>
      <w:r w:rsidR="00EE63E7">
        <w:rPr>
          <w:rFonts w:cstheme="minorHAnsi"/>
          <w:bCs/>
          <w:sz w:val="24"/>
          <w:szCs w:val="24"/>
        </w:rPr>
        <w:t> </w:t>
      </w:r>
      <w:r w:rsidRPr="00C47E97">
        <w:rPr>
          <w:rFonts w:cstheme="minorHAnsi"/>
          <w:bCs/>
          <w:sz w:val="24"/>
          <w:szCs w:val="24"/>
        </w:rPr>
        <w:t>%.</w:t>
      </w:r>
    </w:p>
    <w:p w14:paraId="560C246D" w14:textId="77777777" w:rsidR="00A76E78" w:rsidRDefault="00A76E78">
      <w:pPr>
        <w:rPr>
          <w:rFonts w:cstheme="minorHAnsi"/>
          <w:sz w:val="24"/>
        </w:rPr>
      </w:pPr>
      <w:r>
        <w:rPr>
          <w:rFonts w:cstheme="minorHAnsi"/>
          <w:sz w:val="24"/>
        </w:rPr>
        <w:br w:type="page"/>
      </w:r>
    </w:p>
    <w:p w14:paraId="08A55BA2" w14:textId="4E81428D" w:rsidR="008A4F72" w:rsidRPr="0026004F" w:rsidRDefault="008A4F72" w:rsidP="00EE63E7">
      <w:pPr>
        <w:tabs>
          <w:tab w:val="right" w:pos="9072"/>
        </w:tabs>
        <w:spacing w:after="40" w:line="240" w:lineRule="auto"/>
        <w:jc w:val="both"/>
        <w:rPr>
          <w:rFonts w:cstheme="minorHAnsi"/>
          <w:b/>
          <w:bCs/>
          <w:sz w:val="24"/>
        </w:rPr>
      </w:pPr>
      <w:r w:rsidRPr="0026004F">
        <w:rPr>
          <w:rFonts w:cstheme="minorHAnsi"/>
          <w:b/>
          <w:bCs/>
          <w:sz w:val="24"/>
        </w:rPr>
        <w:lastRenderedPageBreak/>
        <w:t xml:space="preserve">Tabulka č. </w:t>
      </w:r>
      <w:r w:rsidR="00162277" w:rsidRPr="0026004F">
        <w:rPr>
          <w:rFonts w:cstheme="minorHAnsi"/>
          <w:b/>
          <w:bCs/>
          <w:sz w:val="24"/>
        </w:rPr>
        <w:t>6</w:t>
      </w:r>
      <w:r w:rsidR="00EE63E7">
        <w:rPr>
          <w:rFonts w:cstheme="minorHAnsi"/>
          <w:b/>
          <w:bCs/>
          <w:sz w:val="24"/>
        </w:rPr>
        <w:t>:</w:t>
      </w:r>
      <w:r w:rsidRPr="0026004F">
        <w:rPr>
          <w:rFonts w:cstheme="minorHAnsi"/>
          <w:b/>
          <w:bCs/>
          <w:sz w:val="24"/>
        </w:rPr>
        <w:t xml:space="preserve"> Náklady na EET </w:t>
      </w:r>
      <w:r w:rsidR="00EE63E7">
        <w:rPr>
          <w:rFonts w:cstheme="minorHAnsi"/>
          <w:b/>
          <w:bCs/>
          <w:sz w:val="24"/>
        </w:rPr>
        <w:tab/>
      </w:r>
      <w:r w:rsidRPr="0026004F">
        <w:rPr>
          <w:rFonts w:cstheme="minorHAnsi"/>
          <w:b/>
          <w:bCs/>
          <w:sz w:val="24"/>
        </w:rPr>
        <w:t>(v mil. Kč)</w:t>
      </w:r>
    </w:p>
    <w:tbl>
      <w:tblPr>
        <w:tblW w:w="5000" w:type="pct"/>
        <w:tblCellMar>
          <w:left w:w="70" w:type="dxa"/>
          <w:right w:w="70" w:type="dxa"/>
        </w:tblCellMar>
        <w:tblLook w:val="04A0" w:firstRow="1" w:lastRow="0" w:firstColumn="1" w:lastColumn="0" w:noHBand="0" w:noVBand="1"/>
      </w:tblPr>
      <w:tblGrid>
        <w:gridCol w:w="1743"/>
        <w:gridCol w:w="913"/>
        <w:gridCol w:w="915"/>
        <w:gridCol w:w="916"/>
        <w:gridCol w:w="916"/>
        <w:gridCol w:w="916"/>
        <w:gridCol w:w="916"/>
        <w:gridCol w:w="916"/>
        <w:gridCol w:w="911"/>
      </w:tblGrid>
      <w:tr w:rsidR="00ED46C3" w:rsidRPr="00C600F5" w14:paraId="67EBC0EB" w14:textId="77777777" w:rsidTr="00B86B7B">
        <w:trPr>
          <w:trHeight w:val="300"/>
        </w:trPr>
        <w:tc>
          <w:tcPr>
            <w:tcW w:w="876" w:type="pct"/>
            <w:vMerge w:val="restart"/>
            <w:tcBorders>
              <w:top w:val="single" w:sz="4" w:space="0" w:color="auto"/>
              <w:left w:val="single" w:sz="4" w:space="0" w:color="auto"/>
              <w:bottom w:val="single" w:sz="4" w:space="0" w:color="auto"/>
              <w:right w:val="single" w:sz="4" w:space="0" w:color="auto"/>
            </w:tcBorders>
            <w:shd w:val="clear" w:color="000000" w:fill="E5F1FF"/>
            <w:vAlign w:val="center"/>
            <w:hideMark/>
          </w:tcPr>
          <w:p w14:paraId="4AB90894" w14:textId="77777777" w:rsidR="00ED46C3" w:rsidRPr="00C600F5" w:rsidRDefault="00ED46C3" w:rsidP="00ED46C3">
            <w:pPr>
              <w:spacing w:after="0" w:line="240" w:lineRule="auto"/>
              <w:jc w:val="both"/>
              <w:rPr>
                <w:rFonts w:eastAsia="Times New Roman" w:cstheme="minorHAnsi"/>
                <w:b/>
                <w:bCs/>
                <w:color w:val="000000"/>
                <w:sz w:val="20"/>
                <w:szCs w:val="20"/>
                <w:lang w:eastAsia="cs-CZ"/>
              </w:rPr>
            </w:pPr>
            <w:bookmarkStart w:id="15" w:name="_Hlk164948066"/>
            <w:r w:rsidRPr="00C600F5">
              <w:rPr>
                <w:rFonts w:eastAsia="Times New Roman" w:cstheme="minorHAnsi"/>
                <w:b/>
                <w:bCs/>
                <w:color w:val="000000"/>
                <w:sz w:val="20"/>
                <w:szCs w:val="20"/>
                <w:lang w:eastAsia="cs-CZ"/>
              </w:rPr>
              <w:t>Náklady</w:t>
            </w:r>
          </w:p>
        </w:tc>
        <w:tc>
          <w:tcPr>
            <w:tcW w:w="4124" w:type="pct"/>
            <w:gridSpan w:val="8"/>
            <w:tcBorders>
              <w:top w:val="single" w:sz="4" w:space="0" w:color="auto"/>
              <w:left w:val="nil"/>
              <w:bottom w:val="single" w:sz="4" w:space="0" w:color="auto"/>
              <w:right w:val="single" w:sz="4" w:space="0" w:color="auto"/>
            </w:tcBorders>
            <w:shd w:val="clear" w:color="000000" w:fill="E5F1FF"/>
            <w:vAlign w:val="center"/>
            <w:hideMark/>
          </w:tcPr>
          <w:p w14:paraId="378AEE7B" w14:textId="77777777" w:rsidR="00ED46C3" w:rsidRPr="00C600F5" w:rsidRDefault="00ED46C3" w:rsidP="00ED46C3">
            <w:pPr>
              <w:spacing w:after="0" w:line="240" w:lineRule="auto"/>
              <w:jc w:val="center"/>
              <w:rPr>
                <w:rFonts w:eastAsia="Times New Roman" w:cstheme="minorHAnsi"/>
                <w:b/>
                <w:bCs/>
                <w:color w:val="000000"/>
                <w:sz w:val="20"/>
                <w:szCs w:val="20"/>
                <w:lang w:eastAsia="cs-CZ"/>
              </w:rPr>
            </w:pPr>
            <w:bookmarkStart w:id="16" w:name="_Hlk140224291"/>
            <w:r w:rsidRPr="00C600F5">
              <w:rPr>
                <w:rFonts w:eastAsia="Times New Roman" w:cstheme="minorHAnsi"/>
                <w:b/>
                <w:bCs/>
                <w:color w:val="000000"/>
                <w:sz w:val="20"/>
                <w:szCs w:val="20"/>
                <w:lang w:eastAsia="cs-CZ"/>
              </w:rPr>
              <w:t>Období</w:t>
            </w:r>
            <w:bookmarkEnd w:id="16"/>
          </w:p>
        </w:tc>
      </w:tr>
      <w:tr w:rsidR="00ED46C3" w:rsidRPr="00C600F5" w14:paraId="159B3A4B" w14:textId="77777777" w:rsidTr="00B86B7B">
        <w:trPr>
          <w:trHeight w:val="300"/>
        </w:trPr>
        <w:tc>
          <w:tcPr>
            <w:tcW w:w="876" w:type="pct"/>
            <w:vMerge/>
            <w:tcBorders>
              <w:top w:val="single" w:sz="4" w:space="0" w:color="auto"/>
              <w:left w:val="single" w:sz="4" w:space="0" w:color="auto"/>
              <w:bottom w:val="single" w:sz="4" w:space="0" w:color="auto"/>
              <w:right w:val="single" w:sz="4" w:space="0" w:color="auto"/>
            </w:tcBorders>
            <w:vAlign w:val="center"/>
            <w:hideMark/>
          </w:tcPr>
          <w:p w14:paraId="5A54E836" w14:textId="77777777" w:rsidR="00ED46C3" w:rsidRPr="00C600F5" w:rsidRDefault="00ED46C3" w:rsidP="00ED46C3">
            <w:pPr>
              <w:spacing w:after="0" w:line="240" w:lineRule="auto"/>
              <w:rPr>
                <w:rFonts w:eastAsia="Times New Roman" w:cstheme="minorHAnsi"/>
                <w:b/>
                <w:bCs/>
                <w:color w:val="000000"/>
                <w:sz w:val="20"/>
                <w:szCs w:val="20"/>
                <w:lang w:eastAsia="cs-CZ"/>
              </w:rPr>
            </w:pPr>
          </w:p>
        </w:tc>
        <w:tc>
          <w:tcPr>
            <w:tcW w:w="515" w:type="pct"/>
            <w:tcBorders>
              <w:top w:val="nil"/>
              <w:left w:val="nil"/>
              <w:bottom w:val="single" w:sz="4" w:space="0" w:color="auto"/>
              <w:right w:val="single" w:sz="4" w:space="0" w:color="auto"/>
            </w:tcBorders>
            <w:shd w:val="clear" w:color="000000" w:fill="E5F1FF"/>
            <w:noWrap/>
            <w:vAlign w:val="center"/>
            <w:hideMark/>
          </w:tcPr>
          <w:p w14:paraId="065D4E97" w14:textId="77777777" w:rsidR="00ED46C3" w:rsidRPr="00C600F5" w:rsidRDefault="00ED46C3" w:rsidP="00ED46C3">
            <w:pPr>
              <w:spacing w:after="0" w:line="240" w:lineRule="auto"/>
              <w:jc w:val="center"/>
              <w:rPr>
                <w:rFonts w:eastAsia="Times New Roman" w:cstheme="minorHAnsi"/>
                <w:b/>
                <w:bCs/>
                <w:color w:val="000000"/>
                <w:sz w:val="20"/>
                <w:szCs w:val="20"/>
                <w:lang w:eastAsia="cs-CZ"/>
              </w:rPr>
            </w:pPr>
            <w:r w:rsidRPr="00C600F5">
              <w:rPr>
                <w:rFonts w:eastAsia="Times New Roman" w:cstheme="minorHAnsi"/>
                <w:b/>
                <w:bCs/>
                <w:color w:val="000000"/>
                <w:sz w:val="20"/>
                <w:szCs w:val="20"/>
                <w:lang w:eastAsia="cs-CZ"/>
              </w:rPr>
              <w:t>2016</w:t>
            </w:r>
          </w:p>
        </w:tc>
        <w:tc>
          <w:tcPr>
            <w:tcW w:w="516" w:type="pct"/>
            <w:tcBorders>
              <w:top w:val="nil"/>
              <w:left w:val="nil"/>
              <w:bottom w:val="single" w:sz="4" w:space="0" w:color="auto"/>
              <w:right w:val="single" w:sz="4" w:space="0" w:color="auto"/>
            </w:tcBorders>
            <w:shd w:val="clear" w:color="000000" w:fill="E5F1FF"/>
            <w:noWrap/>
            <w:vAlign w:val="center"/>
            <w:hideMark/>
          </w:tcPr>
          <w:p w14:paraId="449CAAB5" w14:textId="77777777" w:rsidR="00ED46C3" w:rsidRPr="00C600F5" w:rsidRDefault="00ED46C3" w:rsidP="00ED46C3">
            <w:pPr>
              <w:spacing w:after="0" w:line="240" w:lineRule="auto"/>
              <w:jc w:val="center"/>
              <w:rPr>
                <w:rFonts w:eastAsia="Times New Roman" w:cstheme="minorHAnsi"/>
                <w:b/>
                <w:bCs/>
                <w:color w:val="000000"/>
                <w:sz w:val="20"/>
                <w:szCs w:val="20"/>
                <w:lang w:eastAsia="cs-CZ"/>
              </w:rPr>
            </w:pPr>
            <w:r w:rsidRPr="00C600F5">
              <w:rPr>
                <w:rFonts w:eastAsia="Times New Roman" w:cstheme="minorHAnsi"/>
                <w:b/>
                <w:bCs/>
                <w:color w:val="000000"/>
                <w:sz w:val="20"/>
                <w:szCs w:val="20"/>
                <w:lang w:eastAsia="cs-CZ"/>
              </w:rPr>
              <w:t>2017</w:t>
            </w:r>
          </w:p>
        </w:tc>
        <w:tc>
          <w:tcPr>
            <w:tcW w:w="516" w:type="pct"/>
            <w:tcBorders>
              <w:top w:val="nil"/>
              <w:left w:val="nil"/>
              <w:bottom w:val="single" w:sz="4" w:space="0" w:color="auto"/>
              <w:right w:val="single" w:sz="4" w:space="0" w:color="auto"/>
            </w:tcBorders>
            <w:shd w:val="clear" w:color="000000" w:fill="E5F1FF"/>
            <w:noWrap/>
            <w:vAlign w:val="center"/>
            <w:hideMark/>
          </w:tcPr>
          <w:p w14:paraId="494DAFE7" w14:textId="77777777" w:rsidR="00ED46C3" w:rsidRPr="00C600F5" w:rsidRDefault="00ED46C3" w:rsidP="00ED46C3">
            <w:pPr>
              <w:spacing w:after="0" w:line="240" w:lineRule="auto"/>
              <w:jc w:val="center"/>
              <w:rPr>
                <w:rFonts w:eastAsia="Times New Roman" w:cstheme="minorHAnsi"/>
                <w:b/>
                <w:bCs/>
                <w:color w:val="000000"/>
                <w:sz w:val="20"/>
                <w:szCs w:val="20"/>
                <w:lang w:eastAsia="cs-CZ"/>
              </w:rPr>
            </w:pPr>
            <w:r w:rsidRPr="00C600F5">
              <w:rPr>
                <w:rFonts w:eastAsia="Times New Roman" w:cstheme="minorHAnsi"/>
                <w:b/>
                <w:bCs/>
                <w:color w:val="000000"/>
                <w:sz w:val="20"/>
                <w:szCs w:val="20"/>
                <w:lang w:eastAsia="cs-CZ"/>
              </w:rPr>
              <w:t>2018</w:t>
            </w:r>
          </w:p>
        </w:tc>
        <w:tc>
          <w:tcPr>
            <w:tcW w:w="516" w:type="pct"/>
            <w:tcBorders>
              <w:top w:val="nil"/>
              <w:left w:val="nil"/>
              <w:bottom w:val="single" w:sz="4" w:space="0" w:color="auto"/>
              <w:right w:val="single" w:sz="4" w:space="0" w:color="auto"/>
            </w:tcBorders>
            <w:shd w:val="clear" w:color="000000" w:fill="E5F1FF"/>
            <w:noWrap/>
            <w:vAlign w:val="center"/>
            <w:hideMark/>
          </w:tcPr>
          <w:p w14:paraId="44621C11" w14:textId="77777777" w:rsidR="00ED46C3" w:rsidRPr="00C600F5" w:rsidRDefault="00ED46C3" w:rsidP="00ED46C3">
            <w:pPr>
              <w:spacing w:after="0" w:line="240" w:lineRule="auto"/>
              <w:jc w:val="center"/>
              <w:rPr>
                <w:rFonts w:eastAsia="Times New Roman" w:cstheme="minorHAnsi"/>
                <w:b/>
                <w:bCs/>
                <w:color w:val="000000"/>
                <w:sz w:val="20"/>
                <w:szCs w:val="20"/>
                <w:lang w:eastAsia="cs-CZ"/>
              </w:rPr>
            </w:pPr>
            <w:r w:rsidRPr="00C600F5">
              <w:rPr>
                <w:rFonts w:eastAsia="Times New Roman" w:cstheme="minorHAnsi"/>
                <w:b/>
                <w:bCs/>
                <w:color w:val="000000"/>
                <w:sz w:val="20"/>
                <w:szCs w:val="20"/>
                <w:lang w:eastAsia="cs-CZ"/>
              </w:rPr>
              <w:t>2019</w:t>
            </w:r>
          </w:p>
        </w:tc>
        <w:tc>
          <w:tcPr>
            <w:tcW w:w="516" w:type="pct"/>
            <w:tcBorders>
              <w:top w:val="nil"/>
              <w:left w:val="nil"/>
              <w:bottom w:val="single" w:sz="4" w:space="0" w:color="auto"/>
              <w:right w:val="single" w:sz="4" w:space="0" w:color="auto"/>
            </w:tcBorders>
            <w:shd w:val="clear" w:color="000000" w:fill="E5F1FF"/>
            <w:noWrap/>
            <w:vAlign w:val="center"/>
            <w:hideMark/>
          </w:tcPr>
          <w:p w14:paraId="02DB8847" w14:textId="77777777" w:rsidR="00ED46C3" w:rsidRPr="00C600F5" w:rsidRDefault="00ED46C3" w:rsidP="00ED46C3">
            <w:pPr>
              <w:spacing w:after="0" w:line="240" w:lineRule="auto"/>
              <w:jc w:val="center"/>
              <w:rPr>
                <w:rFonts w:eastAsia="Times New Roman" w:cstheme="minorHAnsi"/>
                <w:b/>
                <w:bCs/>
                <w:color w:val="000000"/>
                <w:sz w:val="20"/>
                <w:szCs w:val="20"/>
                <w:lang w:eastAsia="cs-CZ"/>
              </w:rPr>
            </w:pPr>
            <w:r w:rsidRPr="00C600F5">
              <w:rPr>
                <w:rFonts w:eastAsia="Times New Roman" w:cstheme="minorHAnsi"/>
                <w:b/>
                <w:bCs/>
                <w:color w:val="000000"/>
                <w:sz w:val="20"/>
                <w:szCs w:val="20"/>
                <w:lang w:eastAsia="cs-CZ"/>
              </w:rPr>
              <w:t>2020</w:t>
            </w:r>
          </w:p>
        </w:tc>
        <w:tc>
          <w:tcPr>
            <w:tcW w:w="516" w:type="pct"/>
            <w:tcBorders>
              <w:top w:val="nil"/>
              <w:left w:val="nil"/>
              <w:bottom w:val="single" w:sz="4" w:space="0" w:color="auto"/>
              <w:right w:val="single" w:sz="4" w:space="0" w:color="auto"/>
            </w:tcBorders>
            <w:shd w:val="clear" w:color="000000" w:fill="E5F1FF"/>
            <w:noWrap/>
            <w:vAlign w:val="center"/>
            <w:hideMark/>
          </w:tcPr>
          <w:p w14:paraId="3B07C5F0" w14:textId="77777777" w:rsidR="00ED46C3" w:rsidRPr="00C600F5" w:rsidRDefault="00ED46C3" w:rsidP="00ED46C3">
            <w:pPr>
              <w:spacing w:after="0" w:line="240" w:lineRule="auto"/>
              <w:jc w:val="center"/>
              <w:rPr>
                <w:rFonts w:eastAsia="Times New Roman" w:cstheme="minorHAnsi"/>
                <w:b/>
                <w:bCs/>
                <w:color w:val="000000"/>
                <w:sz w:val="20"/>
                <w:szCs w:val="20"/>
                <w:lang w:eastAsia="cs-CZ"/>
              </w:rPr>
            </w:pPr>
            <w:r w:rsidRPr="00C600F5">
              <w:rPr>
                <w:rFonts w:eastAsia="Times New Roman" w:cstheme="minorHAnsi"/>
                <w:b/>
                <w:bCs/>
                <w:color w:val="000000"/>
                <w:sz w:val="20"/>
                <w:szCs w:val="20"/>
                <w:lang w:eastAsia="cs-CZ"/>
              </w:rPr>
              <w:t>2021</w:t>
            </w:r>
          </w:p>
        </w:tc>
        <w:tc>
          <w:tcPr>
            <w:tcW w:w="516" w:type="pct"/>
            <w:tcBorders>
              <w:top w:val="nil"/>
              <w:left w:val="nil"/>
              <w:bottom w:val="single" w:sz="4" w:space="0" w:color="auto"/>
              <w:right w:val="single" w:sz="4" w:space="0" w:color="auto"/>
            </w:tcBorders>
            <w:shd w:val="clear" w:color="000000" w:fill="E5F1FF"/>
            <w:vAlign w:val="center"/>
            <w:hideMark/>
          </w:tcPr>
          <w:p w14:paraId="3441603B" w14:textId="77777777" w:rsidR="00ED46C3" w:rsidRPr="00C600F5" w:rsidRDefault="00ED46C3" w:rsidP="00ED46C3">
            <w:pPr>
              <w:spacing w:after="0" w:line="240" w:lineRule="auto"/>
              <w:jc w:val="center"/>
              <w:rPr>
                <w:rFonts w:eastAsia="Times New Roman" w:cstheme="minorHAnsi"/>
                <w:b/>
                <w:bCs/>
                <w:color w:val="000000"/>
                <w:sz w:val="20"/>
                <w:szCs w:val="20"/>
                <w:lang w:eastAsia="cs-CZ"/>
              </w:rPr>
            </w:pPr>
            <w:r w:rsidRPr="00C600F5">
              <w:rPr>
                <w:rFonts w:eastAsia="Times New Roman" w:cstheme="minorHAnsi"/>
                <w:b/>
                <w:bCs/>
                <w:color w:val="000000"/>
                <w:sz w:val="20"/>
                <w:szCs w:val="20"/>
                <w:lang w:eastAsia="cs-CZ"/>
              </w:rPr>
              <w:t>2022</w:t>
            </w:r>
          </w:p>
        </w:tc>
        <w:tc>
          <w:tcPr>
            <w:tcW w:w="514" w:type="pct"/>
            <w:tcBorders>
              <w:top w:val="nil"/>
              <w:left w:val="nil"/>
              <w:bottom w:val="single" w:sz="4" w:space="0" w:color="auto"/>
              <w:right w:val="single" w:sz="4" w:space="0" w:color="auto"/>
            </w:tcBorders>
            <w:shd w:val="clear" w:color="000000" w:fill="E5F1FF"/>
            <w:vAlign w:val="center"/>
            <w:hideMark/>
          </w:tcPr>
          <w:p w14:paraId="4B159252" w14:textId="77777777" w:rsidR="00ED46C3" w:rsidRPr="00C600F5" w:rsidRDefault="00ED46C3" w:rsidP="00ED46C3">
            <w:pPr>
              <w:spacing w:after="0" w:line="240" w:lineRule="auto"/>
              <w:jc w:val="center"/>
              <w:rPr>
                <w:rFonts w:eastAsia="Times New Roman" w:cstheme="minorHAnsi"/>
                <w:b/>
                <w:bCs/>
                <w:color w:val="000000"/>
                <w:sz w:val="20"/>
                <w:szCs w:val="20"/>
                <w:lang w:eastAsia="cs-CZ"/>
              </w:rPr>
            </w:pPr>
            <w:r w:rsidRPr="00C600F5">
              <w:rPr>
                <w:rFonts w:eastAsia="Times New Roman" w:cstheme="minorHAnsi"/>
                <w:b/>
                <w:bCs/>
                <w:color w:val="000000"/>
                <w:sz w:val="20"/>
                <w:szCs w:val="20"/>
                <w:lang w:eastAsia="cs-CZ"/>
              </w:rPr>
              <w:t>2023</w:t>
            </w:r>
          </w:p>
        </w:tc>
      </w:tr>
      <w:tr w:rsidR="00B86B7B" w:rsidRPr="00C600F5" w14:paraId="52EEDA29" w14:textId="77777777" w:rsidTr="00B86B7B">
        <w:trPr>
          <w:trHeight w:val="300"/>
        </w:trPr>
        <w:tc>
          <w:tcPr>
            <w:tcW w:w="5000" w:type="pct"/>
            <w:gridSpan w:val="9"/>
            <w:tcBorders>
              <w:top w:val="nil"/>
              <w:left w:val="single" w:sz="4" w:space="0" w:color="auto"/>
              <w:bottom w:val="single" w:sz="4" w:space="0" w:color="auto"/>
              <w:right w:val="single" w:sz="4" w:space="0" w:color="auto"/>
            </w:tcBorders>
            <w:shd w:val="clear" w:color="auto" w:fill="auto"/>
            <w:noWrap/>
            <w:vAlign w:val="bottom"/>
            <w:hideMark/>
          </w:tcPr>
          <w:p w14:paraId="59F624CE" w14:textId="62919D48" w:rsidR="00B86B7B" w:rsidRPr="00C600F5" w:rsidRDefault="00B86B7B" w:rsidP="00B86B7B">
            <w:pPr>
              <w:spacing w:after="0" w:line="240" w:lineRule="auto"/>
              <w:rPr>
                <w:rFonts w:eastAsia="Times New Roman" w:cstheme="minorHAnsi"/>
                <w:color w:val="000000"/>
                <w:sz w:val="20"/>
                <w:szCs w:val="20"/>
                <w:lang w:eastAsia="cs-CZ"/>
              </w:rPr>
            </w:pPr>
            <w:r w:rsidRPr="00C600F5">
              <w:rPr>
                <w:rFonts w:eastAsia="Times New Roman" w:cstheme="minorHAnsi"/>
                <w:color w:val="000000"/>
                <w:sz w:val="20"/>
                <w:szCs w:val="20"/>
                <w:lang w:eastAsia="cs-CZ"/>
              </w:rPr>
              <w:t>GŘC</w:t>
            </w:r>
          </w:p>
        </w:tc>
      </w:tr>
      <w:tr w:rsidR="00ED46C3" w:rsidRPr="00C600F5" w14:paraId="51FC5A1A" w14:textId="77777777" w:rsidTr="00B86B7B">
        <w:trPr>
          <w:trHeight w:val="300"/>
        </w:trPr>
        <w:tc>
          <w:tcPr>
            <w:tcW w:w="876" w:type="pct"/>
            <w:tcBorders>
              <w:top w:val="nil"/>
              <w:left w:val="single" w:sz="4" w:space="0" w:color="auto"/>
              <w:bottom w:val="single" w:sz="4" w:space="0" w:color="auto"/>
              <w:right w:val="single" w:sz="4" w:space="0" w:color="auto"/>
            </w:tcBorders>
            <w:shd w:val="clear" w:color="auto" w:fill="auto"/>
            <w:noWrap/>
            <w:vAlign w:val="bottom"/>
            <w:hideMark/>
          </w:tcPr>
          <w:p w14:paraId="3034433E" w14:textId="77777777" w:rsidR="00ED46C3" w:rsidRPr="00C600F5" w:rsidRDefault="00ED46C3" w:rsidP="00ED46C3">
            <w:pPr>
              <w:spacing w:after="0" w:line="240" w:lineRule="auto"/>
              <w:rPr>
                <w:rFonts w:eastAsia="Times New Roman" w:cstheme="minorHAnsi"/>
                <w:color w:val="000000"/>
                <w:sz w:val="20"/>
                <w:szCs w:val="20"/>
                <w:lang w:eastAsia="cs-CZ"/>
              </w:rPr>
            </w:pPr>
            <w:r w:rsidRPr="00C600F5">
              <w:rPr>
                <w:rFonts w:eastAsia="Times New Roman" w:cstheme="minorHAnsi"/>
                <w:color w:val="000000"/>
                <w:sz w:val="20"/>
                <w:szCs w:val="20"/>
                <w:lang w:eastAsia="cs-CZ"/>
              </w:rPr>
              <w:t>Platy a příslušenství</w:t>
            </w:r>
          </w:p>
        </w:tc>
        <w:tc>
          <w:tcPr>
            <w:tcW w:w="515" w:type="pct"/>
            <w:tcBorders>
              <w:top w:val="nil"/>
              <w:left w:val="nil"/>
              <w:bottom w:val="single" w:sz="4" w:space="0" w:color="auto"/>
              <w:right w:val="single" w:sz="4" w:space="0" w:color="auto"/>
            </w:tcBorders>
            <w:shd w:val="clear" w:color="auto" w:fill="auto"/>
            <w:vAlign w:val="center"/>
            <w:hideMark/>
          </w:tcPr>
          <w:p w14:paraId="60046E06" w14:textId="77777777" w:rsidR="00ED46C3" w:rsidRPr="00C600F5" w:rsidRDefault="00ED46C3" w:rsidP="00ED46C3">
            <w:pPr>
              <w:spacing w:after="0" w:line="240" w:lineRule="auto"/>
              <w:jc w:val="right"/>
              <w:rPr>
                <w:rFonts w:eastAsia="Times New Roman" w:cstheme="minorHAnsi"/>
                <w:color w:val="000000"/>
                <w:sz w:val="20"/>
                <w:szCs w:val="20"/>
                <w:lang w:eastAsia="cs-CZ"/>
              </w:rPr>
            </w:pPr>
            <w:r w:rsidRPr="00C600F5">
              <w:rPr>
                <w:rFonts w:eastAsia="Times New Roman" w:cstheme="minorHAnsi"/>
                <w:color w:val="000000"/>
                <w:sz w:val="20"/>
                <w:szCs w:val="20"/>
                <w:lang w:eastAsia="cs-CZ"/>
              </w:rPr>
              <w:t>0,1</w:t>
            </w:r>
          </w:p>
        </w:tc>
        <w:tc>
          <w:tcPr>
            <w:tcW w:w="516" w:type="pct"/>
            <w:tcBorders>
              <w:top w:val="nil"/>
              <w:left w:val="nil"/>
              <w:bottom w:val="single" w:sz="4" w:space="0" w:color="auto"/>
              <w:right w:val="single" w:sz="4" w:space="0" w:color="auto"/>
            </w:tcBorders>
            <w:shd w:val="clear" w:color="auto" w:fill="auto"/>
            <w:vAlign w:val="center"/>
            <w:hideMark/>
          </w:tcPr>
          <w:p w14:paraId="24FDC77B" w14:textId="77777777" w:rsidR="00ED46C3" w:rsidRPr="00C600F5" w:rsidRDefault="00ED46C3" w:rsidP="00ED46C3">
            <w:pPr>
              <w:spacing w:after="0" w:line="240" w:lineRule="auto"/>
              <w:jc w:val="right"/>
              <w:rPr>
                <w:rFonts w:eastAsia="Times New Roman" w:cstheme="minorHAnsi"/>
                <w:color w:val="000000"/>
                <w:sz w:val="20"/>
                <w:szCs w:val="20"/>
                <w:lang w:eastAsia="cs-CZ"/>
              </w:rPr>
            </w:pPr>
            <w:r w:rsidRPr="00C600F5">
              <w:rPr>
                <w:rFonts w:eastAsia="Times New Roman" w:cstheme="minorHAnsi"/>
                <w:color w:val="000000"/>
                <w:sz w:val="20"/>
                <w:szCs w:val="20"/>
                <w:lang w:eastAsia="cs-CZ"/>
              </w:rPr>
              <w:t>13,7</w:t>
            </w:r>
          </w:p>
        </w:tc>
        <w:tc>
          <w:tcPr>
            <w:tcW w:w="516" w:type="pct"/>
            <w:tcBorders>
              <w:top w:val="nil"/>
              <w:left w:val="nil"/>
              <w:bottom w:val="single" w:sz="4" w:space="0" w:color="auto"/>
              <w:right w:val="single" w:sz="4" w:space="0" w:color="auto"/>
            </w:tcBorders>
            <w:shd w:val="clear" w:color="auto" w:fill="auto"/>
            <w:vAlign w:val="center"/>
            <w:hideMark/>
          </w:tcPr>
          <w:p w14:paraId="36DA715B" w14:textId="77777777" w:rsidR="00ED46C3" w:rsidRPr="00C600F5" w:rsidRDefault="00ED46C3" w:rsidP="00ED46C3">
            <w:pPr>
              <w:spacing w:after="0" w:line="240" w:lineRule="auto"/>
              <w:jc w:val="right"/>
              <w:rPr>
                <w:rFonts w:eastAsia="Times New Roman" w:cstheme="minorHAnsi"/>
                <w:color w:val="000000"/>
                <w:sz w:val="20"/>
                <w:szCs w:val="20"/>
                <w:lang w:eastAsia="cs-CZ"/>
              </w:rPr>
            </w:pPr>
            <w:r w:rsidRPr="00C600F5">
              <w:rPr>
                <w:rFonts w:eastAsia="Times New Roman" w:cstheme="minorHAnsi"/>
                <w:color w:val="000000"/>
                <w:sz w:val="20"/>
                <w:szCs w:val="20"/>
                <w:lang w:eastAsia="cs-CZ"/>
              </w:rPr>
              <w:t>18,9</w:t>
            </w:r>
          </w:p>
        </w:tc>
        <w:tc>
          <w:tcPr>
            <w:tcW w:w="516" w:type="pct"/>
            <w:tcBorders>
              <w:top w:val="nil"/>
              <w:left w:val="nil"/>
              <w:bottom w:val="single" w:sz="4" w:space="0" w:color="auto"/>
              <w:right w:val="single" w:sz="4" w:space="0" w:color="auto"/>
            </w:tcBorders>
            <w:shd w:val="clear" w:color="auto" w:fill="auto"/>
            <w:vAlign w:val="center"/>
            <w:hideMark/>
          </w:tcPr>
          <w:p w14:paraId="753B8852" w14:textId="77777777" w:rsidR="00ED46C3" w:rsidRPr="00C600F5" w:rsidRDefault="00ED46C3" w:rsidP="00ED46C3">
            <w:pPr>
              <w:spacing w:after="0" w:line="240" w:lineRule="auto"/>
              <w:jc w:val="right"/>
              <w:rPr>
                <w:rFonts w:eastAsia="Times New Roman" w:cstheme="minorHAnsi"/>
                <w:color w:val="000000"/>
                <w:sz w:val="20"/>
                <w:szCs w:val="20"/>
                <w:lang w:eastAsia="cs-CZ"/>
              </w:rPr>
            </w:pPr>
            <w:r w:rsidRPr="00C600F5">
              <w:rPr>
                <w:rFonts w:eastAsia="Times New Roman" w:cstheme="minorHAnsi"/>
                <w:color w:val="000000"/>
                <w:sz w:val="20"/>
                <w:szCs w:val="20"/>
                <w:lang w:eastAsia="cs-CZ"/>
              </w:rPr>
              <w:t>17,4</w:t>
            </w:r>
          </w:p>
        </w:tc>
        <w:tc>
          <w:tcPr>
            <w:tcW w:w="516" w:type="pct"/>
            <w:tcBorders>
              <w:top w:val="nil"/>
              <w:left w:val="nil"/>
              <w:bottom w:val="single" w:sz="4" w:space="0" w:color="auto"/>
              <w:right w:val="single" w:sz="4" w:space="0" w:color="auto"/>
            </w:tcBorders>
            <w:shd w:val="clear" w:color="auto" w:fill="auto"/>
            <w:vAlign w:val="center"/>
            <w:hideMark/>
          </w:tcPr>
          <w:p w14:paraId="07E9B0F2" w14:textId="77777777" w:rsidR="00ED46C3" w:rsidRPr="00C600F5" w:rsidRDefault="00ED46C3" w:rsidP="00ED46C3">
            <w:pPr>
              <w:spacing w:after="0" w:line="240" w:lineRule="auto"/>
              <w:jc w:val="right"/>
              <w:rPr>
                <w:rFonts w:eastAsia="Times New Roman" w:cstheme="minorHAnsi"/>
                <w:color w:val="000000"/>
                <w:sz w:val="20"/>
                <w:szCs w:val="20"/>
                <w:lang w:eastAsia="cs-CZ"/>
              </w:rPr>
            </w:pPr>
            <w:r w:rsidRPr="00C600F5">
              <w:rPr>
                <w:rFonts w:eastAsia="Times New Roman" w:cstheme="minorHAnsi"/>
                <w:color w:val="000000"/>
                <w:sz w:val="20"/>
                <w:szCs w:val="20"/>
                <w:lang w:eastAsia="cs-CZ"/>
              </w:rPr>
              <w:t>3,6</w:t>
            </w:r>
          </w:p>
        </w:tc>
        <w:tc>
          <w:tcPr>
            <w:tcW w:w="516" w:type="pct"/>
            <w:tcBorders>
              <w:top w:val="nil"/>
              <w:left w:val="nil"/>
              <w:bottom w:val="single" w:sz="4" w:space="0" w:color="auto"/>
              <w:right w:val="single" w:sz="4" w:space="0" w:color="auto"/>
            </w:tcBorders>
            <w:shd w:val="clear" w:color="auto" w:fill="auto"/>
            <w:vAlign w:val="center"/>
            <w:hideMark/>
          </w:tcPr>
          <w:p w14:paraId="2B35F0D5" w14:textId="77777777" w:rsidR="00ED46C3" w:rsidRPr="00C600F5" w:rsidRDefault="00ED46C3" w:rsidP="00ED46C3">
            <w:pPr>
              <w:spacing w:after="0" w:line="240" w:lineRule="auto"/>
              <w:jc w:val="right"/>
              <w:rPr>
                <w:rFonts w:eastAsia="Times New Roman" w:cstheme="minorHAnsi"/>
                <w:color w:val="000000"/>
                <w:sz w:val="20"/>
                <w:szCs w:val="20"/>
                <w:lang w:eastAsia="cs-CZ"/>
              </w:rPr>
            </w:pPr>
            <w:r w:rsidRPr="00C600F5">
              <w:rPr>
                <w:rFonts w:eastAsia="Times New Roman" w:cstheme="minorHAnsi"/>
                <w:color w:val="000000"/>
                <w:sz w:val="20"/>
                <w:szCs w:val="20"/>
                <w:lang w:eastAsia="cs-CZ"/>
              </w:rPr>
              <w:t>0,1</w:t>
            </w:r>
          </w:p>
        </w:tc>
        <w:tc>
          <w:tcPr>
            <w:tcW w:w="516" w:type="pct"/>
            <w:tcBorders>
              <w:top w:val="nil"/>
              <w:left w:val="nil"/>
              <w:bottom w:val="single" w:sz="4" w:space="0" w:color="auto"/>
              <w:right w:val="single" w:sz="4" w:space="0" w:color="auto"/>
            </w:tcBorders>
            <w:shd w:val="clear" w:color="auto" w:fill="auto"/>
            <w:vAlign w:val="center"/>
            <w:hideMark/>
          </w:tcPr>
          <w:p w14:paraId="4F64E8B4" w14:textId="77777777" w:rsidR="00ED46C3" w:rsidRPr="00C600F5" w:rsidRDefault="00ED46C3" w:rsidP="00ED46C3">
            <w:pPr>
              <w:spacing w:after="0" w:line="240" w:lineRule="auto"/>
              <w:jc w:val="right"/>
              <w:rPr>
                <w:rFonts w:eastAsia="Times New Roman" w:cstheme="minorHAnsi"/>
                <w:color w:val="000000"/>
                <w:sz w:val="20"/>
                <w:szCs w:val="20"/>
                <w:lang w:eastAsia="cs-CZ"/>
              </w:rPr>
            </w:pPr>
            <w:r w:rsidRPr="00C600F5">
              <w:rPr>
                <w:rFonts w:eastAsia="Times New Roman" w:cstheme="minorHAnsi"/>
                <w:color w:val="000000"/>
                <w:sz w:val="20"/>
                <w:szCs w:val="20"/>
                <w:lang w:eastAsia="cs-CZ"/>
              </w:rPr>
              <w:t>x</w:t>
            </w:r>
          </w:p>
        </w:tc>
        <w:tc>
          <w:tcPr>
            <w:tcW w:w="514" w:type="pct"/>
            <w:tcBorders>
              <w:top w:val="nil"/>
              <w:left w:val="nil"/>
              <w:bottom w:val="single" w:sz="4" w:space="0" w:color="auto"/>
              <w:right w:val="single" w:sz="4" w:space="0" w:color="auto"/>
            </w:tcBorders>
            <w:shd w:val="clear" w:color="auto" w:fill="auto"/>
            <w:vAlign w:val="center"/>
            <w:hideMark/>
          </w:tcPr>
          <w:p w14:paraId="6D402C9C" w14:textId="428846F2" w:rsidR="00ED46C3" w:rsidRPr="00C600F5" w:rsidRDefault="00B53124" w:rsidP="00ED46C3">
            <w:pPr>
              <w:spacing w:after="0" w:line="240" w:lineRule="auto"/>
              <w:jc w:val="right"/>
              <w:rPr>
                <w:rFonts w:eastAsia="Times New Roman" w:cstheme="minorHAnsi"/>
                <w:color w:val="000000"/>
                <w:sz w:val="20"/>
                <w:szCs w:val="20"/>
                <w:lang w:eastAsia="cs-CZ"/>
              </w:rPr>
            </w:pPr>
            <w:r w:rsidRPr="00C600F5">
              <w:rPr>
                <w:rFonts w:eastAsia="Times New Roman" w:cstheme="minorHAnsi"/>
                <w:color w:val="000000"/>
                <w:sz w:val="20"/>
                <w:szCs w:val="20"/>
                <w:lang w:eastAsia="cs-CZ"/>
              </w:rPr>
              <w:t>X</w:t>
            </w:r>
          </w:p>
        </w:tc>
      </w:tr>
      <w:tr w:rsidR="00ED46C3" w:rsidRPr="00C600F5" w14:paraId="6B99BE6F" w14:textId="77777777" w:rsidTr="00B86B7B">
        <w:trPr>
          <w:trHeight w:val="300"/>
        </w:trPr>
        <w:tc>
          <w:tcPr>
            <w:tcW w:w="876" w:type="pct"/>
            <w:tcBorders>
              <w:top w:val="nil"/>
              <w:left w:val="single" w:sz="4" w:space="0" w:color="auto"/>
              <w:bottom w:val="single" w:sz="4" w:space="0" w:color="auto"/>
              <w:right w:val="single" w:sz="4" w:space="0" w:color="auto"/>
            </w:tcBorders>
            <w:shd w:val="clear" w:color="auto" w:fill="auto"/>
            <w:noWrap/>
            <w:vAlign w:val="bottom"/>
            <w:hideMark/>
          </w:tcPr>
          <w:p w14:paraId="591973FB" w14:textId="77777777" w:rsidR="00ED46C3" w:rsidRPr="00C600F5" w:rsidRDefault="00ED46C3" w:rsidP="00ED46C3">
            <w:pPr>
              <w:spacing w:after="0" w:line="240" w:lineRule="auto"/>
              <w:rPr>
                <w:rFonts w:eastAsia="Times New Roman" w:cstheme="minorHAnsi"/>
                <w:color w:val="000000"/>
                <w:sz w:val="20"/>
                <w:szCs w:val="20"/>
                <w:lang w:eastAsia="cs-CZ"/>
              </w:rPr>
            </w:pPr>
            <w:r w:rsidRPr="00C600F5">
              <w:rPr>
                <w:rFonts w:eastAsia="Times New Roman" w:cstheme="minorHAnsi"/>
                <w:color w:val="000000"/>
                <w:sz w:val="20"/>
                <w:szCs w:val="20"/>
                <w:lang w:eastAsia="cs-CZ"/>
              </w:rPr>
              <w:t>Technické zajištění</w:t>
            </w:r>
          </w:p>
        </w:tc>
        <w:tc>
          <w:tcPr>
            <w:tcW w:w="515" w:type="pct"/>
            <w:tcBorders>
              <w:top w:val="nil"/>
              <w:left w:val="nil"/>
              <w:bottom w:val="single" w:sz="4" w:space="0" w:color="auto"/>
              <w:right w:val="single" w:sz="4" w:space="0" w:color="auto"/>
            </w:tcBorders>
            <w:shd w:val="clear" w:color="auto" w:fill="auto"/>
            <w:vAlign w:val="center"/>
            <w:hideMark/>
          </w:tcPr>
          <w:p w14:paraId="40834A89" w14:textId="77777777" w:rsidR="00ED46C3" w:rsidRPr="00C600F5" w:rsidRDefault="00ED46C3" w:rsidP="00ED46C3">
            <w:pPr>
              <w:spacing w:after="0" w:line="240" w:lineRule="auto"/>
              <w:jc w:val="right"/>
              <w:rPr>
                <w:rFonts w:eastAsia="Times New Roman" w:cstheme="minorHAnsi"/>
                <w:color w:val="000000"/>
                <w:sz w:val="20"/>
                <w:szCs w:val="20"/>
                <w:lang w:eastAsia="cs-CZ"/>
              </w:rPr>
            </w:pPr>
            <w:r w:rsidRPr="00C600F5">
              <w:rPr>
                <w:rFonts w:eastAsia="Times New Roman" w:cstheme="minorHAnsi"/>
                <w:color w:val="000000"/>
                <w:sz w:val="20"/>
                <w:szCs w:val="20"/>
                <w:lang w:eastAsia="cs-CZ"/>
              </w:rPr>
              <w:t>16,8</w:t>
            </w:r>
          </w:p>
        </w:tc>
        <w:tc>
          <w:tcPr>
            <w:tcW w:w="516" w:type="pct"/>
            <w:tcBorders>
              <w:top w:val="nil"/>
              <w:left w:val="nil"/>
              <w:bottom w:val="single" w:sz="4" w:space="0" w:color="auto"/>
              <w:right w:val="single" w:sz="4" w:space="0" w:color="auto"/>
            </w:tcBorders>
            <w:shd w:val="clear" w:color="auto" w:fill="auto"/>
            <w:vAlign w:val="center"/>
            <w:hideMark/>
          </w:tcPr>
          <w:p w14:paraId="07CF4842" w14:textId="77777777" w:rsidR="00ED46C3" w:rsidRPr="00C600F5" w:rsidRDefault="00ED46C3" w:rsidP="00ED46C3">
            <w:pPr>
              <w:spacing w:after="0" w:line="240" w:lineRule="auto"/>
              <w:jc w:val="right"/>
              <w:rPr>
                <w:rFonts w:eastAsia="Times New Roman" w:cstheme="minorHAnsi"/>
                <w:color w:val="000000"/>
                <w:sz w:val="20"/>
                <w:szCs w:val="20"/>
                <w:lang w:eastAsia="cs-CZ"/>
              </w:rPr>
            </w:pPr>
            <w:r w:rsidRPr="00C600F5">
              <w:rPr>
                <w:rFonts w:eastAsia="Times New Roman" w:cstheme="minorHAnsi"/>
                <w:color w:val="000000"/>
                <w:sz w:val="20"/>
                <w:szCs w:val="20"/>
                <w:lang w:eastAsia="cs-CZ"/>
              </w:rPr>
              <w:t>x</w:t>
            </w:r>
          </w:p>
        </w:tc>
        <w:tc>
          <w:tcPr>
            <w:tcW w:w="516" w:type="pct"/>
            <w:tcBorders>
              <w:top w:val="nil"/>
              <w:left w:val="nil"/>
              <w:bottom w:val="single" w:sz="4" w:space="0" w:color="auto"/>
              <w:right w:val="single" w:sz="4" w:space="0" w:color="auto"/>
            </w:tcBorders>
            <w:shd w:val="clear" w:color="auto" w:fill="auto"/>
            <w:vAlign w:val="center"/>
            <w:hideMark/>
          </w:tcPr>
          <w:p w14:paraId="3613C154" w14:textId="77777777" w:rsidR="00ED46C3" w:rsidRPr="00C600F5" w:rsidRDefault="00ED46C3" w:rsidP="00ED46C3">
            <w:pPr>
              <w:spacing w:after="0" w:line="240" w:lineRule="auto"/>
              <w:jc w:val="right"/>
              <w:rPr>
                <w:rFonts w:eastAsia="Times New Roman" w:cstheme="minorHAnsi"/>
                <w:color w:val="000000"/>
                <w:sz w:val="20"/>
                <w:szCs w:val="20"/>
                <w:lang w:eastAsia="cs-CZ"/>
              </w:rPr>
            </w:pPr>
            <w:r w:rsidRPr="00C600F5">
              <w:rPr>
                <w:rFonts w:eastAsia="Times New Roman" w:cstheme="minorHAnsi"/>
                <w:color w:val="000000"/>
                <w:sz w:val="20"/>
                <w:szCs w:val="20"/>
                <w:lang w:eastAsia="cs-CZ"/>
              </w:rPr>
              <w:t>0,3</w:t>
            </w:r>
          </w:p>
        </w:tc>
        <w:tc>
          <w:tcPr>
            <w:tcW w:w="516" w:type="pct"/>
            <w:tcBorders>
              <w:top w:val="nil"/>
              <w:left w:val="nil"/>
              <w:bottom w:val="single" w:sz="4" w:space="0" w:color="auto"/>
              <w:right w:val="single" w:sz="4" w:space="0" w:color="auto"/>
            </w:tcBorders>
            <w:shd w:val="clear" w:color="auto" w:fill="auto"/>
            <w:vAlign w:val="center"/>
            <w:hideMark/>
          </w:tcPr>
          <w:p w14:paraId="2EEC7395" w14:textId="77777777" w:rsidR="00ED46C3" w:rsidRPr="00C600F5" w:rsidRDefault="00ED46C3" w:rsidP="00ED46C3">
            <w:pPr>
              <w:spacing w:after="0" w:line="240" w:lineRule="auto"/>
              <w:jc w:val="right"/>
              <w:rPr>
                <w:rFonts w:eastAsia="Times New Roman" w:cstheme="minorHAnsi"/>
                <w:color w:val="000000"/>
                <w:sz w:val="20"/>
                <w:szCs w:val="20"/>
                <w:lang w:eastAsia="cs-CZ"/>
              </w:rPr>
            </w:pPr>
            <w:r w:rsidRPr="00C600F5">
              <w:rPr>
                <w:rFonts w:eastAsia="Times New Roman" w:cstheme="minorHAnsi"/>
                <w:color w:val="000000"/>
                <w:sz w:val="20"/>
                <w:szCs w:val="20"/>
                <w:lang w:eastAsia="cs-CZ"/>
              </w:rPr>
              <w:t>x</w:t>
            </w:r>
          </w:p>
        </w:tc>
        <w:tc>
          <w:tcPr>
            <w:tcW w:w="516" w:type="pct"/>
            <w:tcBorders>
              <w:top w:val="nil"/>
              <w:left w:val="nil"/>
              <w:bottom w:val="single" w:sz="4" w:space="0" w:color="auto"/>
              <w:right w:val="single" w:sz="4" w:space="0" w:color="auto"/>
            </w:tcBorders>
            <w:shd w:val="clear" w:color="auto" w:fill="auto"/>
            <w:vAlign w:val="center"/>
            <w:hideMark/>
          </w:tcPr>
          <w:p w14:paraId="401ADA38" w14:textId="77777777" w:rsidR="00ED46C3" w:rsidRPr="00C600F5" w:rsidRDefault="00ED46C3" w:rsidP="00ED46C3">
            <w:pPr>
              <w:spacing w:after="0" w:line="240" w:lineRule="auto"/>
              <w:jc w:val="right"/>
              <w:rPr>
                <w:rFonts w:eastAsia="Times New Roman" w:cstheme="minorHAnsi"/>
                <w:color w:val="000000"/>
                <w:sz w:val="20"/>
                <w:szCs w:val="20"/>
                <w:lang w:eastAsia="cs-CZ"/>
              </w:rPr>
            </w:pPr>
            <w:r w:rsidRPr="00C600F5">
              <w:rPr>
                <w:rFonts w:eastAsia="Times New Roman" w:cstheme="minorHAnsi"/>
                <w:color w:val="000000"/>
                <w:sz w:val="20"/>
                <w:szCs w:val="20"/>
                <w:lang w:eastAsia="cs-CZ"/>
              </w:rPr>
              <w:t>x</w:t>
            </w:r>
          </w:p>
        </w:tc>
        <w:tc>
          <w:tcPr>
            <w:tcW w:w="516" w:type="pct"/>
            <w:tcBorders>
              <w:top w:val="nil"/>
              <w:left w:val="nil"/>
              <w:bottom w:val="single" w:sz="4" w:space="0" w:color="auto"/>
              <w:right w:val="single" w:sz="4" w:space="0" w:color="auto"/>
            </w:tcBorders>
            <w:shd w:val="clear" w:color="auto" w:fill="auto"/>
            <w:vAlign w:val="center"/>
            <w:hideMark/>
          </w:tcPr>
          <w:p w14:paraId="61326DEF" w14:textId="77777777" w:rsidR="00ED46C3" w:rsidRPr="00C600F5" w:rsidRDefault="00ED46C3" w:rsidP="00ED46C3">
            <w:pPr>
              <w:spacing w:after="0" w:line="240" w:lineRule="auto"/>
              <w:jc w:val="right"/>
              <w:rPr>
                <w:rFonts w:eastAsia="Times New Roman" w:cstheme="minorHAnsi"/>
                <w:color w:val="000000"/>
                <w:sz w:val="20"/>
                <w:szCs w:val="20"/>
                <w:lang w:eastAsia="cs-CZ"/>
              </w:rPr>
            </w:pPr>
            <w:r w:rsidRPr="00C600F5">
              <w:rPr>
                <w:rFonts w:eastAsia="Times New Roman" w:cstheme="minorHAnsi"/>
                <w:color w:val="000000"/>
                <w:sz w:val="20"/>
                <w:szCs w:val="20"/>
                <w:lang w:eastAsia="cs-CZ"/>
              </w:rPr>
              <w:t>x</w:t>
            </w:r>
          </w:p>
        </w:tc>
        <w:tc>
          <w:tcPr>
            <w:tcW w:w="516" w:type="pct"/>
            <w:tcBorders>
              <w:top w:val="nil"/>
              <w:left w:val="nil"/>
              <w:bottom w:val="single" w:sz="4" w:space="0" w:color="auto"/>
              <w:right w:val="single" w:sz="4" w:space="0" w:color="auto"/>
            </w:tcBorders>
            <w:shd w:val="clear" w:color="auto" w:fill="auto"/>
            <w:vAlign w:val="center"/>
            <w:hideMark/>
          </w:tcPr>
          <w:p w14:paraId="66B050A0" w14:textId="77777777" w:rsidR="00ED46C3" w:rsidRPr="00C600F5" w:rsidRDefault="00ED46C3" w:rsidP="00ED46C3">
            <w:pPr>
              <w:spacing w:after="0" w:line="240" w:lineRule="auto"/>
              <w:jc w:val="right"/>
              <w:rPr>
                <w:rFonts w:eastAsia="Times New Roman" w:cstheme="minorHAnsi"/>
                <w:color w:val="000000"/>
                <w:sz w:val="20"/>
                <w:szCs w:val="20"/>
                <w:lang w:eastAsia="cs-CZ"/>
              </w:rPr>
            </w:pPr>
            <w:r w:rsidRPr="00C600F5">
              <w:rPr>
                <w:rFonts w:eastAsia="Times New Roman" w:cstheme="minorHAnsi"/>
                <w:color w:val="000000"/>
                <w:sz w:val="20"/>
                <w:szCs w:val="20"/>
                <w:lang w:eastAsia="cs-CZ"/>
              </w:rPr>
              <w:t>x</w:t>
            </w:r>
          </w:p>
        </w:tc>
        <w:tc>
          <w:tcPr>
            <w:tcW w:w="514" w:type="pct"/>
            <w:tcBorders>
              <w:top w:val="nil"/>
              <w:left w:val="nil"/>
              <w:bottom w:val="single" w:sz="4" w:space="0" w:color="auto"/>
              <w:right w:val="single" w:sz="4" w:space="0" w:color="auto"/>
            </w:tcBorders>
            <w:shd w:val="clear" w:color="auto" w:fill="auto"/>
            <w:vAlign w:val="center"/>
            <w:hideMark/>
          </w:tcPr>
          <w:p w14:paraId="1511EC0F" w14:textId="58164721" w:rsidR="00ED46C3" w:rsidRPr="00C600F5" w:rsidRDefault="00B53124" w:rsidP="00ED46C3">
            <w:pPr>
              <w:spacing w:after="0" w:line="240" w:lineRule="auto"/>
              <w:jc w:val="right"/>
              <w:rPr>
                <w:rFonts w:eastAsia="Times New Roman" w:cstheme="minorHAnsi"/>
                <w:color w:val="000000"/>
                <w:sz w:val="20"/>
                <w:szCs w:val="20"/>
                <w:lang w:eastAsia="cs-CZ"/>
              </w:rPr>
            </w:pPr>
            <w:r w:rsidRPr="00C600F5">
              <w:rPr>
                <w:rFonts w:eastAsia="Times New Roman" w:cstheme="minorHAnsi"/>
                <w:color w:val="000000"/>
                <w:sz w:val="20"/>
                <w:szCs w:val="20"/>
                <w:lang w:eastAsia="cs-CZ"/>
              </w:rPr>
              <w:t>X</w:t>
            </w:r>
          </w:p>
        </w:tc>
      </w:tr>
      <w:tr w:rsidR="00ED46C3" w:rsidRPr="00C600F5" w14:paraId="4155823E" w14:textId="77777777" w:rsidTr="00B86B7B">
        <w:trPr>
          <w:trHeight w:val="300"/>
        </w:trPr>
        <w:tc>
          <w:tcPr>
            <w:tcW w:w="876" w:type="pct"/>
            <w:tcBorders>
              <w:top w:val="nil"/>
              <w:left w:val="single" w:sz="4" w:space="0" w:color="auto"/>
              <w:bottom w:val="single" w:sz="4" w:space="0" w:color="auto"/>
              <w:right w:val="single" w:sz="4" w:space="0" w:color="auto"/>
            </w:tcBorders>
            <w:shd w:val="clear" w:color="auto" w:fill="auto"/>
            <w:noWrap/>
            <w:vAlign w:val="bottom"/>
            <w:hideMark/>
          </w:tcPr>
          <w:p w14:paraId="042B9101" w14:textId="77777777" w:rsidR="00ED46C3" w:rsidRPr="00C600F5" w:rsidRDefault="00ED46C3" w:rsidP="00ED46C3">
            <w:pPr>
              <w:spacing w:after="0" w:line="240" w:lineRule="auto"/>
              <w:rPr>
                <w:rFonts w:eastAsia="Times New Roman" w:cstheme="minorHAnsi"/>
                <w:color w:val="000000"/>
                <w:sz w:val="20"/>
                <w:szCs w:val="20"/>
                <w:lang w:eastAsia="cs-CZ"/>
              </w:rPr>
            </w:pPr>
            <w:r w:rsidRPr="00C600F5">
              <w:rPr>
                <w:rFonts w:eastAsia="Times New Roman" w:cstheme="minorHAnsi"/>
                <w:color w:val="000000"/>
                <w:sz w:val="20"/>
                <w:szCs w:val="20"/>
                <w:lang w:eastAsia="cs-CZ"/>
              </w:rPr>
              <w:t>Ostatní</w:t>
            </w:r>
          </w:p>
        </w:tc>
        <w:tc>
          <w:tcPr>
            <w:tcW w:w="515" w:type="pct"/>
            <w:tcBorders>
              <w:top w:val="nil"/>
              <w:left w:val="nil"/>
              <w:bottom w:val="single" w:sz="4" w:space="0" w:color="auto"/>
              <w:right w:val="single" w:sz="4" w:space="0" w:color="auto"/>
            </w:tcBorders>
            <w:shd w:val="clear" w:color="auto" w:fill="auto"/>
            <w:vAlign w:val="center"/>
            <w:hideMark/>
          </w:tcPr>
          <w:p w14:paraId="16667D67" w14:textId="77777777" w:rsidR="00ED46C3" w:rsidRPr="00C600F5" w:rsidRDefault="00ED46C3" w:rsidP="00ED46C3">
            <w:pPr>
              <w:spacing w:after="0" w:line="240" w:lineRule="auto"/>
              <w:jc w:val="right"/>
              <w:rPr>
                <w:rFonts w:eastAsia="Times New Roman" w:cstheme="minorHAnsi"/>
                <w:color w:val="000000"/>
                <w:sz w:val="20"/>
                <w:szCs w:val="20"/>
                <w:lang w:eastAsia="cs-CZ"/>
              </w:rPr>
            </w:pPr>
            <w:r w:rsidRPr="00C600F5">
              <w:rPr>
                <w:rFonts w:eastAsia="Times New Roman" w:cstheme="minorHAnsi"/>
                <w:color w:val="000000"/>
                <w:sz w:val="20"/>
                <w:szCs w:val="20"/>
                <w:lang w:eastAsia="cs-CZ"/>
              </w:rPr>
              <w:t>x</w:t>
            </w:r>
          </w:p>
        </w:tc>
        <w:tc>
          <w:tcPr>
            <w:tcW w:w="516" w:type="pct"/>
            <w:tcBorders>
              <w:top w:val="nil"/>
              <w:left w:val="nil"/>
              <w:bottom w:val="single" w:sz="4" w:space="0" w:color="auto"/>
              <w:right w:val="single" w:sz="4" w:space="0" w:color="auto"/>
            </w:tcBorders>
            <w:shd w:val="clear" w:color="auto" w:fill="auto"/>
            <w:vAlign w:val="center"/>
            <w:hideMark/>
          </w:tcPr>
          <w:p w14:paraId="74E58812" w14:textId="77777777" w:rsidR="00ED46C3" w:rsidRPr="00C600F5" w:rsidRDefault="00ED46C3" w:rsidP="00ED46C3">
            <w:pPr>
              <w:spacing w:after="0" w:line="240" w:lineRule="auto"/>
              <w:jc w:val="right"/>
              <w:rPr>
                <w:rFonts w:eastAsia="Times New Roman" w:cstheme="minorHAnsi"/>
                <w:color w:val="000000"/>
                <w:sz w:val="20"/>
                <w:szCs w:val="20"/>
                <w:lang w:eastAsia="cs-CZ"/>
              </w:rPr>
            </w:pPr>
            <w:r w:rsidRPr="00C600F5">
              <w:rPr>
                <w:rFonts w:eastAsia="Times New Roman" w:cstheme="minorHAnsi"/>
                <w:color w:val="000000"/>
                <w:sz w:val="20"/>
                <w:szCs w:val="20"/>
                <w:lang w:eastAsia="cs-CZ"/>
              </w:rPr>
              <w:t>0,6</w:t>
            </w:r>
          </w:p>
        </w:tc>
        <w:tc>
          <w:tcPr>
            <w:tcW w:w="516" w:type="pct"/>
            <w:tcBorders>
              <w:top w:val="nil"/>
              <w:left w:val="nil"/>
              <w:bottom w:val="single" w:sz="4" w:space="0" w:color="auto"/>
              <w:right w:val="single" w:sz="4" w:space="0" w:color="auto"/>
            </w:tcBorders>
            <w:shd w:val="clear" w:color="auto" w:fill="auto"/>
            <w:vAlign w:val="center"/>
            <w:hideMark/>
          </w:tcPr>
          <w:p w14:paraId="24A20876" w14:textId="77777777" w:rsidR="00ED46C3" w:rsidRPr="00C600F5" w:rsidRDefault="00ED46C3" w:rsidP="00ED46C3">
            <w:pPr>
              <w:spacing w:after="0" w:line="240" w:lineRule="auto"/>
              <w:jc w:val="right"/>
              <w:rPr>
                <w:rFonts w:eastAsia="Times New Roman" w:cstheme="minorHAnsi"/>
                <w:color w:val="000000"/>
                <w:sz w:val="20"/>
                <w:szCs w:val="20"/>
                <w:lang w:eastAsia="cs-CZ"/>
              </w:rPr>
            </w:pPr>
            <w:r w:rsidRPr="00C600F5">
              <w:rPr>
                <w:rFonts w:eastAsia="Times New Roman" w:cstheme="minorHAnsi"/>
                <w:color w:val="000000"/>
                <w:sz w:val="20"/>
                <w:szCs w:val="20"/>
                <w:lang w:eastAsia="cs-CZ"/>
              </w:rPr>
              <w:t>0,8</w:t>
            </w:r>
          </w:p>
        </w:tc>
        <w:tc>
          <w:tcPr>
            <w:tcW w:w="516" w:type="pct"/>
            <w:tcBorders>
              <w:top w:val="nil"/>
              <w:left w:val="nil"/>
              <w:bottom w:val="single" w:sz="4" w:space="0" w:color="auto"/>
              <w:right w:val="single" w:sz="4" w:space="0" w:color="auto"/>
            </w:tcBorders>
            <w:shd w:val="clear" w:color="auto" w:fill="auto"/>
            <w:vAlign w:val="center"/>
            <w:hideMark/>
          </w:tcPr>
          <w:p w14:paraId="772B5C53" w14:textId="77777777" w:rsidR="00ED46C3" w:rsidRPr="00C600F5" w:rsidRDefault="00ED46C3" w:rsidP="00ED46C3">
            <w:pPr>
              <w:spacing w:after="0" w:line="240" w:lineRule="auto"/>
              <w:jc w:val="right"/>
              <w:rPr>
                <w:rFonts w:eastAsia="Times New Roman" w:cstheme="minorHAnsi"/>
                <w:color w:val="000000"/>
                <w:sz w:val="20"/>
                <w:szCs w:val="20"/>
                <w:lang w:eastAsia="cs-CZ"/>
              </w:rPr>
            </w:pPr>
            <w:r w:rsidRPr="00C600F5">
              <w:rPr>
                <w:rFonts w:eastAsia="Times New Roman" w:cstheme="minorHAnsi"/>
                <w:color w:val="000000"/>
                <w:sz w:val="20"/>
                <w:szCs w:val="20"/>
                <w:lang w:eastAsia="cs-CZ"/>
              </w:rPr>
              <w:t>0,6</w:t>
            </w:r>
          </w:p>
        </w:tc>
        <w:tc>
          <w:tcPr>
            <w:tcW w:w="516" w:type="pct"/>
            <w:tcBorders>
              <w:top w:val="nil"/>
              <w:left w:val="nil"/>
              <w:bottom w:val="single" w:sz="4" w:space="0" w:color="auto"/>
              <w:right w:val="single" w:sz="4" w:space="0" w:color="auto"/>
            </w:tcBorders>
            <w:shd w:val="clear" w:color="auto" w:fill="auto"/>
            <w:vAlign w:val="center"/>
            <w:hideMark/>
          </w:tcPr>
          <w:p w14:paraId="5581C49A" w14:textId="77777777" w:rsidR="00ED46C3" w:rsidRPr="00C600F5" w:rsidRDefault="00ED46C3" w:rsidP="00ED46C3">
            <w:pPr>
              <w:spacing w:after="0" w:line="240" w:lineRule="auto"/>
              <w:jc w:val="right"/>
              <w:rPr>
                <w:rFonts w:eastAsia="Times New Roman" w:cstheme="minorHAnsi"/>
                <w:color w:val="000000"/>
                <w:sz w:val="20"/>
                <w:szCs w:val="20"/>
                <w:lang w:eastAsia="cs-CZ"/>
              </w:rPr>
            </w:pPr>
            <w:r w:rsidRPr="00C600F5">
              <w:rPr>
                <w:rFonts w:eastAsia="Times New Roman" w:cstheme="minorHAnsi"/>
                <w:color w:val="000000"/>
                <w:sz w:val="20"/>
                <w:szCs w:val="20"/>
                <w:lang w:eastAsia="cs-CZ"/>
              </w:rPr>
              <w:t>0,1</w:t>
            </w:r>
          </w:p>
        </w:tc>
        <w:tc>
          <w:tcPr>
            <w:tcW w:w="516" w:type="pct"/>
            <w:tcBorders>
              <w:top w:val="nil"/>
              <w:left w:val="nil"/>
              <w:bottom w:val="single" w:sz="4" w:space="0" w:color="auto"/>
              <w:right w:val="single" w:sz="4" w:space="0" w:color="auto"/>
            </w:tcBorders>
            <w:shd w:val="clear" w:color="auto" w:fill="auto"/>
            <w:vAlign w:val="center"/>
            <w:hideMark/>
          </w:tcPr>
          <w:p w14:paraId="6E6029E0" w14:textId="77777777" w:rsidR="00ED46C3" w:rsidRPr="00C600F5" w:rsidRDefault="00ED46C3" w:rsidP="00ED46C3">
            <w:pPr>
              <w:spacing w:after="0" w:line="240" w:lineRule="auto"/>
              <w:jc w:val="right"/>
              <w:rPr>
                <w:rFonts w:eastAsia="Times New Roman" w:cstheme="minorHAnsi"/>
                <w:color w:val="000000"/>
                <w:sz w:val="20"/>
                <w:szCs w:val="20"/>
                <w:lang w:eastAsia="cs-CZ"/>
              </w:rPr>
            </w:pPr>
            <w:r w:rsidRPr="00C600F5">
              <w:rPr>
                <w:rFonts w:eastAsia="Times New Roman" w:cstheme="minorHAnsi"/>
                <w:color w:val="000000"/>
                <w:sz w:val="20"/>
                <w:szCs w:val="20"/>
                <w:lang w:eastAsia="cs-CZ"/>
              </w:rPr>
              <w:t>x</w:t>
            </w:r>
          </w:p>
        </w:tc>
        <w:tc>
          <w:tcPr>
            <w:tcW w:w="516" w:type="pct"/>
            <w:tcBorders>
              <w:top w:val="nil"/>
              <w:left w:val="nil"/>
              <w:bottom w:val="single" w:sz="4" w:space="0" w:color="auto"/>
              <w:right w:val="single" w:sz="4" w:space="0" w:color="auto"/>
            </w:tcBorders>
            <w:shd w:val="clear" w:color="auto" w:fill="auto"/>
            <w:vAlign w:val="center"/>
            <w:hideMark/>
          </w:tcPr>
          <w:p w14:paraId="7A335FB9" w14:textId="77777777" w:rsidR="00ED46C3" w:rsidRPr="00C600F5" w:rsidRDefault="00ED46C3" w:rsidP="00ED46C3">
            <w:pPr>
              <w:spacing w:after="0" w:line="240" w:lineRule="auto"/>
              <w:jc w:val="right"/>
              <w:rPr>
                <w:rFonts w:eastAsia="Times New Roman" w:cstheme="minorHAnsi"/>
                <w:color w:val="000000"/>
                <w:sz w:val="20"/>
                <w:szCs w:val="20"/>
                <w:lang w:eastAsia="cs-CZ"/>
              </w:rPr>
            </w:pPr>
            <w:r w:rsidRPr="00C600F5">
              <w:rPr>
                <w:rFonts w:eastAsia="Times New Roman" w:cstheme="minorHAnsi"/>
                <w:color w:val="000000"/>
                <w:sz w:val="20"/>
                <w:szCs w:val="20"/>
                <w:lang w:eastAsia="cs-CZ"/>
              </w:rPr>
              <w:t>x</w:t>
            </w:r>
          </w:p>
        </w:tc>
        <w:tc>
          <w:tcPr>
            <w:tcW w:w="514" w:type="pct"/>
            <w:tcBorders>
              <w:top w:val="nil"/>
              <w:left w:val="nil"/>
              <w:bottom w:val="single" w:sz="4" w:space="0" w:color="auto"/>
              <w:right w:val="single" w:sz="4" w:space="0" w:color="auto"/>
            </w:tcBorders>
            <w:shd w:val="clear" w:color="auto" w:fill="auto"/>
            <w:vAlign w:val="center"/>
            <w:hideMark/>
          </w:tcPr>
          <w:p w14:paraId="1FEC2509" w14:textId="2D06B99D" w:rsidR="00ED46C3" w:rsidRPr="00C600F5" w:rsidRDefault="00B53124" w:rsidP="00ED46C3">
            <w:pPr>
              <w:spacing w:after="0" w:line="240" w:lineRule="auto"/>
              <w:jc w:val="right"/>
              <w:rPr>
                <w:rFonts w:eastAsia="Times New Roman" w:cstheme="minorHAnsi"/>
                <w:color w:val="000000"/>
                <w:sz w:val="20"/>
                <w:szCs w:val="20"/>
                <w:lang w:eastAsia="cs-CZ"/>
              </w:rPr>
            </w:pPr>
            <w:r w:rsidRPr="00C600F5">
              <w:rPr>
                <w:rFonts w:eastAsia="Times New Roman" w:cstheme="minorHAnsi"/>
                <w:color w:val="000000"/>
                <w:sz w:val="20"/>
                <w:szCs w:val="20"/>
                <w:lang w:eastAsia="cs-CZ"/>
              </w:rPr>
              <w:t>X</w:t>
            </w:r>
          </w:p>
        </w:tc>
      </w:tr>
      <w:tr w:rsidR="00B86B7B" w:rsidRPr="00C600F5" w14:paraId="3181078C" w14:textId="77777777" w:rsidTr="00B86B7B">
        <w:trPr>
          <w:trHeight w:val="300"/>
        </w:trPr>
        <w:tc>
          <w:tcPr>
            <w:tcW w:w="5000" w:type="pct"/>
            <w:gridSpan w:val="9"/>
            <w:tcBorders>
              <w:top w:val="nil"/>
              <w:left w:val="single" w:sz="4" w:space="0" w:color="auto"/>
              <w:bottom w:val="single" w:sz="4" w:space="0" w:color="auto"/>
              <w:right w:val="single" w:sz="4" w:space="0" w:color="auto"/>
            </w:tcBorders>
            <w:shd w:val="clear" w:color="auto" w:fill="auto"/>
            <w:noWrap/>
            <w:vAlign w:val="bottom"/>
            <w:hideMark/>
          </w:tcPr>
          <w:p w14:paraId="7C7F0F75" w14:textId="50EBB7F7" w:rsidR="00B86B7B" w:rsidRPr="00C600F5" w:rsidRDefault="00B86B7B" w:rsidP="00B86B7B">
            <w:pPr>
              <w:spacing w:after="0" w:line="240" w:lineRule="auto"/>
              <w:rPr>
                <w:rFonts w:eastAsia="Times New Roman" w:cstheme="minorHAnsi"/>
                <w:color w:val="000000"/>
                <w:sz w:val="20"/>
                <w:szCs w:val="20"/>
                <w:lang w:eastAsia="cs-CZ"/>
              </w:rPr>
            </w:pPr>
            <w:r w:rsidRPr="00C600F5">
              <w:rPr>
                <w:rFonts w:eastAsia="Times New Roman" w:cstheme="minorHAnsi"/>
                <w:color w:val="000000"/>
                <w:sz w:val="20"/>
                <w:szCs w:val="20"/>
                <w:lang w:eastAsia="cs-CZ"/>
              </w:rPr>
              <w:t>GFŘ</w:t>
            </w:r>
          </w:p>
        </w:tc>
      </w:tr>
      <w:tr w:rsidR="00ED46C3" w:rsidRPr="00C600F5" w14:paraId="56489855" w14:textId="77777777" w:rsidTr="00B86B7B">
        <w:trPr>
          <w:trHeight w:val="300"/>
        </w:trPr>
        <w:tc>
          <w:tcPr>
            <w:tcW w:w="876" w:type="pct"/>
            <w:tcBorders>
              <w:top w:val="nil"/>
              <w:left w:val="single" w:sz="4" w:space="0" w:color="auto"/>
              <w:bottom w:val="single" w:sz="4" w:space="0" w:color="auto"/>
              <w:right w:val="single" w:sz="4" w:space="0" w:color="auto"/>
            </w:tcBorders>
            <w:shd w:val="clear" w:color="auto" w:fill="auto"/>
            <w:noWrap/>
            <w:vAlign w:val="bottom"/>
            <w:hideMark/>
          </w:tcPr>
          <w:p w14:paraId="3E0B4C11" w14:textId="77777777" w:rsidR="00ED46C3" w:rsidRPr="00C600F5" w:rsidRDefault="00ED46C3" w:rsidP="00ED46C3">
            <w:pPr>
              <w:spacing w:after="0" w:line="240" w:lineRule="auto"/>
              <w:rPr>
                <w:rFonts w:eastAsia="Times New Roman" w:cstheme="minorHAnsi"/>
                <w:color w:val="000000"/>
                <w:sz w:val="20"/>
                <w:szCs w:val="20"/>
                <w:lang w:eastAsia="cs-CZ"/>
              </w:rPr>
            </w:pPr>
            <w:r w:rsidRPr="00C600F5">
              <w:rPr>
                <w:rFonts w:eastAsia="Times New Roman" w:cstheme="minorHAnsi"/>
                <w:bCs/>
                <w:color w:val="000000"/>
                <w:sz w:val="20"/>
                <w:szCs w:val="20"/>
                <w:lang w:eastAsia="cs-CZ"/>
              </w:rPr>
              <w:t>Platy a příslušenství</w:t>
            </w:r>
          </w:p>
        </w:tc>
        <w:tc>
          <w:tcPr>
            <w:tcW w:w="515" w:type="pct"/>
            <w:tcBorders>
              <w:top w:val="nil"/>
              <w:left w:val="nil"/>
              <w:bottom w:val="single" w:sz="4" w:space="0" w:color="auto"/>
              <w:right w:val="single" w:sz="4" w:space="0" w:color="auto"/>
            </w:tcBorders>
            <w:shd w:val="clear" w:color="auto" w:fill="auto"/>
            <w:vAlign w:val="center"/>
            <w:hideMark/>
          </w:tcPr>
          <w:p w14:paraId="52720995" w14:textId="77777777" w:rsidR="00ED46C3" w:rsidRPr="00C600F5" w:rsidRDefault="00ED46C3" w:rsidP="00ED46C3">
            <w:pPr>
              <w:spacing w:after="0" w:line="240" w:lineRule="auto"/>
              <w:jc w:val="right"/>
              <w:rPr>
                <w:rFonts w:eastAsia="Times New Roman" w:cstheme="minorHAnsi"/>
                <w:color w:val="000000"/>
                <w:sz w:val="20"/>
                <w:szCs w:val="20"/>
                <w:lang w:eastAsia="cs-CZ"/>
              </w:rPr>
            </w:pPr>
            <w:r w:rsidRPr="00C600F5">
              <w:rPr>
                <w:rFonts w:eastAsia="Times New Roman" w:cstheme="minorHAnsi"/>
                <w:color w:val="000000"/>
                <w:sz w:val="20"/>
                <w:szCs w:val="20"/>
                <w:lang w:eastAsia="cs-CZ"/>
              </w:rPr>
              <w:t>181,9</w:t>
            </w:r>
          </w:p>
        </w:tc>
        <w:tc>
          <w:tcPr>
            <w:tcW w:w="516" w:type="pct"/>
            <w:tcBorders>
              <w:top w:val="nil"/>
              <w:left w:val="nil"/>
              <w:bottom w:val="single" w:sz="4" w:space="0" w:color="auto"/>
              <w:right w:val="single" w:sz="4" w:space="0" w:color="auto"/>
            </w:tcBorders>
            <w:shd w:val="clear" w:color="auto" w:fill="auto"/>
            <w:vAlign w:val="center"/>
            <w:hideMark/>
          </w:tcPr>
          <w:p w14:paraId="7BE6780F" w14:textId="77777777" w:rsidR="00ED46C3" w:rsidRPr="00C600F5" w:rsidRDefault="00ED46C3" w:rsidP="00ED46C3">
            <w:pPr>
              <w:spacing w:after="0" w:line="240" w:lineRule="auto"/>
              <w:jc w:val="right"/>
              <w:rPr>
                <w:rFonts w:eastAsia="Times New Roman" w:cstheme="minorHAnsi"/>
                <w:color w:val="000000"/>
                <w:sz w:val="20"/>
                <w:szCs w:val="20"/>
                <w:lang w:eastAsia="cs-CZ"/>
              </w:rPr>
            </w:pPr>
            <w:r w:rsidRPr="00C600F5">
              <w:rPr>
                <w:rFonts w:eastAsia="Times New Roman" w:cstheme="minorHAnsi"/>
                <w:bCs/>
                <w:color w:val="000000"/>
                <w:sz w:val="20"/>
                <w:szCs w:val="20"/>
                <w:lang w:eastAsia="cs-CZ"/>
              </w:rPr>
              <w:t>256,9</w:t>
            </w:r>
          </w:p>
        </w:tc>
        <w:tc>
          <w:tcPr>
            <w:tcW w:w="516" w:type="pct"/>
            <w:tcBorders>
              <w:top w:val="nil"/>
              <w:left w:val="nil"/>
              <w:bottom w:val="single" w:sz="4" w:space="0" w:color="auto"/>
              <w:right w:val="single" w:sz="4" w:space="0" w:color="auto"/>
            </w:tcBorders>
            <w:shd w:val="clear" w:color="auto" w:fill="auto"/>
            <w:vAlign w:val="center"/>
            <w:hideMark/>
          </w:tcPr>
          <w:p w14:paraId="5398DCF8" w14:textId="77777777" w:rsidR="00ED46C3" w:rsidRPr="00C600F5" w:rsidRDefault="00ED46C3" w:rsidP="00ED46C3">
            <w:pPr>
              <w:spacing w:after="0" w:line="240" w:lineRule="auto"/>
              <w:jc w:val="right"/>
              <w:rPr>
                <w:rFonts w:eastAsia="Times New Roman" w:cstheme="minorHAnsi"/>
                <w:color w:val="000000"/>
                <w:sz w:val="20"/>
                <w:szCs w:val="20"/>
                <w:lang w:eastAsia="cs-CZ"/>
              </w:rPr>
            </w:pPr>
            <w:r w:rsidRPr="00C600F5">
              <w:rPr>
                <w:rFonts w:eastAsia="Times New Roman" w:cstheme="minorHAnsi"/>
                <w:bCs/>
                <w:color w:val="000000"/>
                <w:sz w:val="20"/>
                <w:szCs w:val="20"/>
                <w:lang w:eastAsia="cs-CZ"/>
              </w:rPr>
              <w:t>289,3</w:t>
            </w:r>
          </w:p>
        </w:tc>
        <w:tc>
          <w:tcPr>
            <w:tcW w:w="516" w:type="pct"/>
            <w:tcBorders>
              <w:top w:val="nil"/>
              <w:left w:val="nil"/>
              <w:bottom w:val="single" w:sz="4" w:space="0" w:color="auto"/>
              <w:right w:val="single" w:sz="4" w:space="0" w:color="auto"/>
            </w:tcBorders>
            <w:shd w:val="clear" w:color="auto" w:fill="auto"/>
            <w:vAlign w:val="center"/>
            <w:hideMark/>
          </w:tcPr>
          <w:p w14:paraId="2A620A4F" w14:textId="77777777" w:rsidR="00ED46C3" w:rsidRPr="00C600F5" w:rsidRDefault="00ED46C3" w:rsidP="00ED46C3">
            <w:pPr>
              <w:spacing w:after="0" w:line="240" w:lineRule="auto"/>
              <w:jc w:val="right"/>
              <w:rPr>
                <w:rFonts w:eastAsia="Times New Roman" w:cstheme="minorHAnsi"/>
                <w:color w:val="000000"/>
                <w:sz w:val="20"/>
                <w:szCs w:val="20"/>
                <w:lang w:eastAsia="cs-CZ"/>
              </w:rPr>
            </w:pPr>
            <w:r w:rsidRPr="00C600F5">
              <w:rPr>
                <w:rFonts w:eastAsia="Times New Roman" w:cstheme="minorHAnsi"/>
                <w:bCs/>
                <w:color w:val="000000"/>
                <w:sz w:val="20"/>
                <w:szCs w:val="20"/>
                <w:lang w:eastAsia="cs-CZ"/>
              </w:rPr>
              <w:t>306,5</w:t>
            </w:r>
          </w:p>
        </w:tc>
        <w:tc>
          <w:tcPr>
            <w:tcW w:w="516" w:type="pct"/>
            <w:tcBorders>
              <w:top w:val="nil"/>
              <w:left w:val="nil"/>
              <w:bottom w:val="single" w:sz="4" w:space="0" w:color="auto"/>
              <w:right w:val="single" w:sz="4" w:space="0" w:color="auto"/>
            </w:tcBorders>
            <w:shd w:val="clear" w:color="auto" w:fill="auto"/>
            <w:vAlign w:val="center"/>
            <w:hideMark/>
          </w:tcPr>
          <w:p w14:paraId="0E3247FA" w14:textId="77777777" w:rsidR="00ED46C3" w:rsidRPr="00C600F5" w:rsidRDefault="00ED46C3" w:rsidP="00ED46C3">
            <w:pPr>
              <w:spacing w:after="0" w:line="240" w:lineRule="auto"/>
              <w:jc w:val="right"/>
              <w:rPr>
                <w:rFonts w:eastAsia="Times New Roman" w:cstheme="minorHAnsi"/>
                <w:color w:val="000000"/>
                <w:sz w:val="20"/>
                <w:szCs w:val="20"/>
                <w:lang w:eastAsia="cs-CZ"/>
              </w:rPr>
            </w:pPr>
            <w:r w:rsidRPr="00C600F5">
              <w:rPr>
                <w:rFonts w:eastAsia="Times New Roman" w:cstheme="minorHAnsi"/>
                <w:bCs/>
                <w:color w:val="000000"/>
                <w:sz w:val="20"/>
                <w:szCs w:val="20"/>
                <w:lang w:eastAsia="cs-CZ"/>
              </w:rPr>
              <w:t>301,2</w:t>
            </w:r>
          </w:p>
        </w:tc>
        <w:tc>
          <w:tcPr>
            <w:tcW w:w="516" w:type="pct"/>
            <w:tcBorders>
              <w:top w:val="nil"/>
              <w:left w:val="nil"/>
              <w:bottom w:val="single" w:sz="4" w:space="0" w:color="auto"/>
              <w:right w:val="single" w:sz="4" w:space="0" w:color="auto"/>
            </w:tcBorders>
            <w:shd w:val="clear" w:color="auto" w:fill="auto"/>
            <w:vAlign w:val="center"/>
            <w:hideMark/>
          </w:tcPr>
          <w:p w14:paraId="39FFFC0A" w14:textId="77777777" w:rsidR="00ED46C3" w:rsidRPr="00C600F5" w:rsidRDefault="00ED46C3" w:rsidP="00ED46C3">
            <w:pPr>
              <w:spacing w:after="0" w:line="240" w:lineRule="auto"/>
              <w:jc w:val="right"/>
              <w:rPr>
                <w:rFonts w:eastAsia="Times New Roman" w:cstheme="minorHAnsi"/>
                <w:color w:val="000000"/>
                <w:sz w:val="20"/>
                <w:szCs w:val="20"/>
                <w:lang w:eastAsia="cs-CZ"/>
              </w:rPr>
            </w:pPr>
            <w:r w:rsidRPr="00C600F5">
              <w:rPr>
                <w:rFonts w:eastAsia="Times New Roman" w:cstheme="minorHAnsi"/>
                <w:bCs/>
                <w:color w:val="000000"/>
                <w:sz w:val="20"/>
                <w:szCs w:val="20"/>
                <w:lang w:eastAsia="cs-CZ"/>
              </w:rPr>
              <w:t>0,0</w:t>
            </w:r>
          </w:p>
        </w:tc>
        <w:tc>
          <w:tcPr>
            <w:tcW w:w="516" w:type="pct"/>
            <w:tcBorders>
              <w:top w:val="nil"/>
              <w:left w:val="nil"/>
              <w:bottom w:val="single" w:sz="4" w:space="0" w:color="auto"/>
              <w:right w:val="single" w:sz="4" w:space="0" w:color="auto"/>
            </w:tcBorders>
            <w:shd w:val="clear" w:color="auto" w:fill="auto"/>
            <w:vAlign w:val="center"/>
            <w:hideMark/>
          </w:tcPr>
          <w:p w14:paraId="2C74EAA5" w14:textId="77777777" w:rsidR="00ED46C3" w:rsidRPr="00C600F5" w:rsidRDefault="00ED46C3" w:rsidP="00ED46C3">
            <w:pPr>
              <w:spacing w:after="0" w:line="240" w:lineRule="auto"/>
              <w:jc w:val="right"/>
              <w:rPr>
                <w:rFonts w:eastAsia="Times New Roman" w:cstheme="minorHAnsi"/>
                <w:color w:val="000000"/>
                <w:sz w:val="20"/>
                <w:szCs w:val="20"/>
                <w:lang w:eastAsia="cs-CZ"/>
              </w:rPr>
            </w:pPr>
            <w:r w:rsidRPr="00C600F5">
              <w:rPr>
                <w:rFonts w:eastAsia="Times New Roman" w:cstheme="minorHAnsi"/>
                <w:bCs/>
                <w:color w:val="000000"/>
                <w:sz w:val="20"/>
                <w:szCs w:val="20"/>
                <w:lang w:eastAsia="cs-CZ"/>
              </w:rPr>
              <w:t>0,0</w:t>
            </w:r>
          </w:p>
        </w:tc>
        <w:tc>
          <w:tcPr>
            <w:tcW w:w="514" w:type="pct"/>
            <w:tcBorders>
              <w:top w:val="nil"/>
              <w:left w:val="nil"/>
              <w:bottom w:val="single" w:sz="4" w:space="0" w:color="auto"/>
              <w:right w:val="single" w:sz="4" w:space="0" w:color="auto"/>
            </w:tcBorders>
            <w:shd w:val="clear" w:color="auto" w:fill="auto"/>
            <w:vAlign w:val="center"/>
            <w:hideMark/>
          </w:tcPr>
          <w:p w14:paraId="1C5A7BB5" w14:textId="77777777" w:rsidR="00ED46C3" w:rsidRPr="00C600F5" w:rsidRDefault="00ED46C3" w:rsidP="00ED46C3">
            <w:pPr>
              <w:spacing w:after="0" w:line="240" w:lineRule="auto"/>
              <w:jc w:val="right"/>
              <w:rPr>
                <w:rFonts w:eastAsia="Times New Roman" w:cstheme="minorHAnsi"/>
                <w:color w:val="000000"/>
                <w:sz w:val="20"/>
                <w:szCs w:val="20"/>
                <w:lang w:eastAsia="cs-CZ"/>
              </w:rPr>
            </w:pPr>
            <w:r w:rsidRPr="00C600F5">
              <w:rPr>
                <w:rFonts w:eastAsia="Times New Roman" w:cstheme="minorHAnsi"/>
                <w:bCs/>
                <w:color w:val="000000"/>
                <w:sz w:val="20"/>
                <w:szCs w:val="20"/>
                <w:lang w:eastAsia="cs-CZ"/>
              </w:rPr>
              <w:t>0,0</w:t>
            </w:r>
          </w:p>
        </w:tc>
      </w:tr>
      <w:tr w:rsidR="00ED46C3" w:rsidRPr="00C600F5" w14:paraId="2CD9906A" w14:textId="77777777" w:rsidTr="00B86B7B">
        <w:trPr>
          <w:trHeight w:val="300"/>
        </w:trPr>
        <w:tc>
          <w:tcPr>
            <w:tcW w:w="876" w:type="pct"/>
            <w:tcBorders>
              <w:top w:val="nil"/>
              <w:left w:val="single" w:sz="4" w:space="0" w:color="auto"/>
              <w:bottom w:val="single" w:sz="4" w:space="0" w:color="auto"/>
              <w:right w:val="single" w:sz="4" w:space="0" w:color="auto"/>
            </w:tcBorders>
            <w:shd w:val="clear" w:color="auto" w:fill="auto"/>
            <w:noWrap/>
            <w:vAlign w:val="bottom"/>
            <w:hideMark/>
          </w:tcPr>
          <w:p w14:paraId="3A08DCF4" w14:textId="77777777" w:rsidR="00ED46C3" w:rsidRPr="00C600F5" w:rsidRDefault="00ED46C3" w:rsidP="00ED46C3">
            <w:pPr>
              <w:spacing w:after="0" w:line="240" w:lineRule="auto"/>
              <w:rPr>
                <w:rFonts w:eastAsia="Times New Roman" w:cstheme="minorHAnsi"/>
                <w:color w:val="000000"/>
                <w:sz w:val="20"/>
                <w:szCs w:val="20"/>
                <w:lang w:eastAsia="cs-CZ"/>
              </w:rPr>
            </w:pPr>
            <w:r w:rsidRPr="00C600F5">
              <w:rPr>
                <w:rFonts w:eastAsia="Times New Roman" w:cstheme="minorHAnsi"/>
                <w:bCs/>
                <w:color w:val="000000"/>
                <w:sz w:val="20"/>
                <w:szCs w:val="20"/>
                <w:lang w:eastAsia="cs-CZ"/>
              </w:rPr>
              <w:t>Technické zajištění</w:t>
            </w:r>
          </w:p>
        </w:tc>
        <w:tc>
          <w:tcPr>
            <w:tcW w:w="515" w:type="pct"/>
            <w:tcBorders>
              <w:top w:val="nil"/>
              <w:left w:val="nil"/>
              <w:bottom w:val="single" w:sz="4" w:space="0" w:color="auto"/>
              <w:right w:val="single" w:sz="4" w:space="0" w:color="auto"/>
            </w:tcBorders>
            <w:shd w:val="clear" w:color="auto" w:fill="auto"/>
            <w:vAlign w:val="center"/>
            <w:hideMark/>
          </w:tcPr>
          <w:p w14:paraId="011161F3" w14:textId="77777777" w:rsidR="00ED46C3" w:rsidRPr="00C600F5" w:rsidRDefault="00ED46C3" w:rsidP="00ED46C3">
            <w:pPr>
              <w:spacing w:after="0" w:line="240" w:lineRule="auto"/>
              <w:jc w:val="right"/>
              <w:rPr>
                <w:rFonts w:eastAsia="Times New Roman" w:cstheme="minorHAnsi"/>
                <w:color w:val="000000"/>
                <w:sz w:val="20"/>
                <w:szCs w:val="20"/>
                <w:lang w:eastAsia="cs-CZ"/>
              </w:rPr>
            </w:pPr>
            <w:r w:rsidRPr="00C600F5">
              <w:rPr>
                <w:rFonts w:eastAsia="Times New Roman" w:cstheme="minorHAnsi"/>
                <w:bCs/>
                <w:color w:val="000000"/>
                <w:sz w:val="20"/>
                <w:szCs w:val="20"/>
                <w:lang w:eastAsia="cs-CZ"/>
              </w:rPr>
              <w:t>221,7</w:t>
            </w:r>
          </w:p>
        </w:tc>
        <w:tc>
          <w:tcPr>
            <w:tcW w:w="516" w:type="pct"/>
            <w:tcBorders>
              <w:top w:val="nil"/>
              <w:left w:val="nil"/>
              <w:bottom w:val="single" w:sz="4" w:space="0" w:color="auto"/>
              <w:right w:val="single" w:sz="4" w:space="0" w:color="auto"/>
            </w:tcBorders>
            <w:shd w:val="clear" w:color="auto" w:fill="auto"/>
            <w:vAlign w:val="center"/>
            <w:hideMark/>
          </w:tcPr>
          <w:p w14:paraId="12E74A92" w14:textId="77777777" w:rsidR="00ED46C3" w:rsidRPr="00C600F5" w:rsidRDefault="00ED46C3" w:rsidP="00ED46C3">
            <w:pPr>
              <w:spacing w:after="0" w:line="240" w:lineRule="auto"/>
              <w:jc w:val="right"/>
              <w:rPr>
                <w:rFonts w:eastAsia="Times New Roman" w:cstheme="minorHAnsi"/>
                <w:color w:val="000000"/>
                <w:sz w:val="20"/>
                <w:szCs w:val="20"/>
                <w:lang w:eastAsia="cs-CZ"/>
              </w:rPr>
            </w:pPr>
            <w:r w:rsidRPr="00C600F5">
              <w:rPr>
                <w:rFonts w:eastAsia="Times New Roman" w:cstheme="minorHAnsi"/>
                <w:bCs/>
                <w:color w:val="000000"/>
                <w:sz w:val="20"/>
                <w:szCs w:val="20"/>
                <w:lang w:eastAsia="cs-CZ"/>
              </w:rPr>
              <w:t>126,7</w:t>
            </w:r>
          </w:p>
        </w:tc>
        <w:tc>
          <w:tcPr>
            <w:tcW w:w="516" w:type="pct"/>
            <w:tcBorders>
              <w:top w:val="nil"/>
              <w:left w:val="nil"/>
              <w:bottom w:val="single" w:sz="4" w:space="0" w:color="auto"/>
              <w:right w:val="single" w:sz="4" w:space="0" w:color="auto"/>
            </w:tcBorders>
            <w:shd w:val="clear" w:color="auto" w:fill="auto"/>
            <w:vAlign w:val="center"/>
            <w:hideMark/>
          </w:tcPr>
          <w:p w14:paraId="4E248BB8" w14:textId="77777777" w:rsidR="00ED46C3" w:rsidRPr="00C600F5" w:rsidRDefault="00ED46C3" w:rsidP="00ED46C3">
            <w:pPr>
              <w:spacing w:after="0" w:line="240" w:lineRule="auto"/>
              <w:jc w:val="right"/>
              <w:rPr>
                <w:rFonts w:eastAsia="Times New Roman" w:cstheme="minorHAnsi"/>
                <w:color w:val="000000"/>
                <w:sz w:val="20"/>
                <w:szCs w:val="20"/>
                <w:lang w:eastAsia="cs-CZ"/>
              </w:rPr>
            </w:pPr>
            <w:r w:rsidRPr="00C600F5">
              <w:rPr>
                <w:rFonts w:eastAsia="Times New Roman" w:cstheme="minorHAnsi"/>
                <w:bCs/>
                <w:color w:val="000000"/>
                <w:sz w:val="20"/>
                <w:szCs w:val="20"/>
                <w:lang w:eastAsia="cs-CZ"/>
              </w:rPr>
              <w:t>85,8</w:t>
            </w:r>
          </w:p>
        </w:tc>
        <w:tc>
          <w:tcPr>
            <w:tcW w:w="516" w:type="pct"/>
            <w:tcBorders>
              <w:top w:val="nil"/>
              <w:left w:val="nil"/>
              <w:bottom w:val="single" w:sz="4" w:space="0" w:color="auto"/>
              <w:right w:val="single" w:sz="4" w:space="0" w:color="auto"/>
            </w:tcBorders>
            <w:shd w:val="clear" w:color="auto" w:fill="auto"/>
            <w:vAlign w:val="center"/>
            <w:hideMark/>
          </w:tcPr>
          <w:p w14:paraId="6B10FE86" w14:textId="77777777" w:rsidR="00ED46C3" w:rsidRPr="00C600F5" w:rsidRDefault="00ED46C3" w:rsidP="00ED46C3">
            <w:pPr>
              <w:spacing w:after="0" w:line="240" w:lineRule="auto"/>
              <w:jc w:val="right"/>
              <w:rPr>
                <w:rFonts w:eastAsia="Times New Roman" w:cstheme="minorHAnsi"/>
                <w:color w:val="000000"/>
                <w:sz w:val="20"/>
                <w:szCs w:val="20"/>
                <w:lang w:eastAsia="cs-CZ"/>
              </w:rPr>
            </w:pPr>
            <w:r w:rsidRPr="00C600F5">
              <w:rPr>
                <w:rFonts w:eastAsia="Times New Roman" w:cstheme="minorHAnsi"/>
                <w:bCs/>
                <w:color w:val="000000"/>
                <w:sz w:val="20"/>
                <w:szCs w:val="20"/>
                <w:lang w:eastAsia="cs-CZ"/>
              </w:rPr>
              <w:t>98,7</w:t>
            </w:r>
          </w:p>
        </w:tc>
        <w:tc>
          <w:tcPr>
            <w:tcW w:w="516" w:type="pct"/>
            <w:tcBorders>
              <w:top w:val="nil"/>
              <w:left w:val="nil"/>
              <w:bottom w:val="single" w:sz="4" w:space="0" w:color="auto"/>
              <w:right w:val="single" w:sz="4" w:space="0" w:color="auto"/>
            </w:tcBorders>
            <w:shd w:val="clear" w:color="auto" w:fill="auto"/>
            <w:vAlign w:val="center"/>
            <w:hideMark/>
          </w:tcPr>
          <w:p w14:paraId="060159C3" w14:textId="77777777" w:rsidR="00ED46C3" w:rsidRPr="00C600F5" w:rsidRDefault="00ED46C3" w:rsidP="00ED46C3">
            <w:pPr>
              <w:spacing w:after="0" w:line="240" w:lineRule="auto"/>
              <w:jc w:val="right"/>
              <w:rPr>
                <w:rFonts w:eastAsia="Times New Roman" w:cstheme="minorHAnsi"/>
                <w:color w:val="000000"/>
                <w:sz w:val="20"/>
                <w:szCs w:val="20"/>
                <w:lang w:eastAsia="cs-CZ"/>
              </w:rPr>
            </w:pPr>
            <w:r w:rsidRPr="00C600F5">
              <w:rPr>
                <w:rFonts w:eastAsia="Times New Roman" w:cstheme="minorHAnsi"/>
                <w:bCs/>
                <w:color w:val="000000"/>
                <w:sz w:val="20"/>
                <w:szCs w:val="20"/>
                <w:lang w:eastAsia="cs-CZ"/>
              </w:rPr>
              <w:t>87,0</w:t>
            </w:r>
          </w:p>
        </w:tc>
        <w:tc>
          <w:tcPr>
            <w:tcW w:w="516" w:type="pct"/>
            <w:tcBorders>
              <w:top w:val="nil"/>
              <w:left w:val="nil"/>
              <w:bottom w:val="single" w:sz="4" w:space="0" w:color="auto"/>
              <w:right w:val="single" w:sz="4" w:space="0" w:color="auto"/>
            </w:tcBorders>
            <w:shd w:val="clear" w:color="auto" w:fill="auto"/>
            <w:vAlign w:val="center"/>
            <w:hideMark/>
          </w:tcPr>
          <w:p w14:paraId="7CDD43B6" w14:textId="77777777" w:rsidR="00ED46C3" w:rsidRPr="00C600F5" w:rsidRDefault="00ED46C3" w:rsidP="00ED46C3">
            <w:pPr>
              <w:spacing w:after="0" w:line="240" w:lineRule="auto"/>
              <w:jc w:val="right"/>
              <w:rPr>
                <w:rFonts w:eastAsia="Times New Roman" w:cstheme="minorHAnsi"/>
                <w:color w:val="000000"/>
                <w:sz w:val="20"/>
                <w:szCs w:val="20"/>
                <w:lang w:eastAsia="cs-CZ"/>
              </w:rPr>
            </w:pPr>
            <w:r w:rsidRPr="00C600F5">
              <w:rPr>
                <w:rFonts w:eastAsia="Times New Roman" w:cstheme="minorHAnsi"/>
                <w:bCs/>
                <w:color w:val="000000"/>
                <w:sz w:val="20"/>
                <w:szCs w:val="20"/>
                <w:lang w:eastAsia="cs-CZ"/>
              </w:rPr>
              <w:t>87,4</w:t>
            </w:r>
          </w:p>
        </w:tc>
        <w:tc>
          <w:tcPr>
            <w:tcW w:w="516" w:type="pct"/>
            <w:tcBorders>
              <w:top w:val="nil"/>
              <w:left w:val="nil"/>
              <w:bottom w:val="single" w:sz="4" w:space="0" w:color="auto"/>
              <w:right w:val="single" w:sz="4" w:space="0" w:color="auto"/>
            </w:tcBorders>
            <w:shd w:val="clear" w:color="auto" w:fill="auto"/>
            <w:vAlign w:val="center"/>
            <w:hideMark/>
          </w:tcPr>
          <w:p w14:paraId="4F7B8DF5" w14:textId="77777777" w:rsidR="00ED46C3" w:rsidRPr="00C600F5" w:rsidRDefault="00ED46C3" w:rsidP="00ED46C3">
            <w:pPr>
              <w:spacing w:after="0" w:line="240" w:lineRule="auto"/>
              <w:jc w:val="right"/>
              <w:rPr>
                <w:rFonts w:eastAsia="Times New Roman" w:cstheme="minorHAnsi"/>
                <w:color w:val="000000"/>
                <w:sz w:val="20"/>
                <w:szCs w:val="20"/>
                <w:lang w:eastAsia="cs-CZ"/>
              </w:rPr>
            </w:pPr>
            <w:r w:rsidRPr="00C600F5">
              <w:rPr>
                <w:rFonts w:eastAsia="Times New Roman" w:cstheme="minorHAnsi"/>
                <w:bCs/>
                <w:color w:val="000000"/>
                <w:sz w:val="20"/>
                <w:szCs w:val="20"/>
                <w:lang w:eastAsia="cs-CZ"/>
              </w:rPr>
              <w:t>56,2</w:t>
            </w:r>
          </w:p>
        </w:tc>
        <w:tc>
          <w:tcPr>
            <w:tcW w:w="514" w:type="pct"/>
            <w:tcBorders>
              <w:top w:val="nil"/>
              <w:left w:val="nil"/>
              <w:bottom w:val="single" w:sz="4" w:space="0" w:color="auto"/>
              <w:right w:val="single" w:sz="4" w:space="0" w:color="auto"/>
            </w:tcBorders>
            <w:shd w:val="clear" w:color="auto" w:fill="auto"/>
            <w:vAlign w:val="center"/>
            <w:hideMark/>
          </w:tcPr>
          <w:p w14:paraId="5201DF1F" w14:textId="77777777" w:rsidR="00ED46C3" w:rsidRPr="00C600F5" w:rsidRDefault="00ED46C3" w:rsidP="00ED46C3">
            <w:pPr>
              <w:spacing w:after="0" w:line="240" w:lineRule="auto"/>
              <w:jc w:val="right"/>
              <w:rPr>
                <w:rFonts w:eastAsia="Times New Roman" w:cstheme="minorHAnsi"/>
                <w:color w:val="000000"/>
                <w:sz w:val="20"/>
                <w:szCs w:val="20"/>
                <w:lang w:eastAsia="cs-CZ"/>
              </w:rPr>
            </w:pPr>
            <w:r w:rsidRPr="00C600F5">
              <w:rPr>
                <w:rFonts w:eastAsia="Times New Roman" w:cstheme="minorHAnsi"/>
                <w:bCs/>
                <w:color w:val="000000"/>
                <w:sz w:val="20"/>
                <w:szCs w:val="20"/>
                <w:lang w:eastAsia="cs-CZ"/>
              </w:rPr>
              <w:t>4,8</w:t>
            </w:r>
          </w:p>
        </w:tc>
      </w:tr>
      <w:tr w:rsidR="00ED46C3" w:rsidRPr="00C600F5" w14:paraId="556E2C91" w14:textId="77777777" w:rsidTr="00B86B7B">
        <w:trPr>
          <w:trHeight w:val="300"/>
        </w:trPr>
        <w:tc>
          <w:tcPr>
            <w:tcW w:w="876" w:type="pct"/>
            <w:tcBorders>
              <w:top w:val="nil"/>
              <w:left w:val="single" w:sz="4" w:space="0" w:color="auto"/>
              <w:bottom w:val="single" w:sz="4" w:space="0" w:color="auto"/>
              <w:right w:val="single" w:sz="4" w:space="0" w:color="auto"/>
            </w:tcBorders>
            <w:shd w:val="clear" w:color="auto" w:fill="auto"/>
            <w:noWrap/>
            <w:vAlign w:val="bottom"/>
            <w:hideMark/>
          </w:tcPr>
          <w:p w14:paraId="3185F86B" w14:textId="6DB1C5CA" w:rsidR="00ED46C3" w:rsidRPr="00C600F5" w:rsidRDefault="00ED46C3" w:rsidP="00ED46C3">
            <w:pPr>
              <w:spacing w:after="0" w:line="240" w:lineRule="auto"/>
              <w:rPr>
                <w:rFonts w:eastAsia="Times New Roman" w:cstheme="minorHAnsi"/>
                <w:color w:val="000000"/>
                <w:sz w:val="20"/>
                <w:szCs w:val="20"/>
                <w:lang w:eastAsia="cs-CZ"/>
              </w:rPr>
            </w:pPr>
            <w:r w:rsidRPr="00C600F5">
              <w:rPr>
                <w:rFonts w:eastAsia="Times New Roman" w:cstheme="minorHAnsi"/>
                <w:bCs/>
                <w:color w:val="000000"/>
                <w:sz w:val="20"/>
                <w:szCs w:val="20"/>
                <w:lang w:eastAsia="cs-CZ"/>
              </w:rPr>
              <w:t>P</w:t>
            </w:r>
            <w:r w:rsidR="00370CC1" w:rsidRPr="00C600F5">
              <w:rPr>
                <w:rFonts w:eastAsia="Times New Roman" w:cstheme="minorHAnsi"/>
                <w:bCs/>
                <w:color w:val="000000"/>
                <w:sz w:val="20"/>
                <w:szCs w:val="20"/>
                <w:lang w:eastAsia="cs-CZ"/>
              </w:rPr>
              <w:t>ublic relations</w:t>
            </w:r>
          </w:p>
        </w:tc>
        <w:tc>
          <w:tcPr>
            <w:tcW w:w="515" w:type="pct"/>
            <w:tcBorders>
              <w:top w:val="nil"/>
              <w:left w:val="nil"/>
              <w:bottom w:val="single" w:sz="4" w:space="0" w:color="auto"/>
              <w:right w:val="single" w:sz="4" w:space="0" w:color="auto"/>
            </w:tcBorders>
            <w:shd w:val="clear" w:color="auto" w:fill="auto"/>
            <w:vAlign w:val="center"/>
            <w:hideMark/>
          </w:tcPr>
          <w:p w14:paraId="7B97E667" w14:textId="77777777" w:rsidR="00ED46C3" w:rsidRPr="00C600F5" w:rsidRDefault="00ED46C3" w:rsidP="00ED46C3">
            <w:pPr>
              <w:spacing w:after="0" w:line="240" w:lineRule="auto"/>
              <w:jc w:val="right"/>
              <w:rPr>
                <w:rFonts w:eastAsia="Times New Roman" w:cstheme="minorHAnsi"/>
                <w:color w:val="000000"/>
                <w:sz w:val="20"/>
                <w:szCs w:val="20"/>
                <w:lang w:eastAsia="cs-CZ"/>
              </w:rPr>
            </w:pPr>
            <w:r w:rsidRPr="00C600F5">
              <w:rPr>
                <w:rFonts w:eastAsia="Times New Roman" w:cstheme="minorHAnsi"/>
                <w:bCs/>
                <w:color w:val="000000"/>
                <w:sz w:val="20"/>
                <w:szCs w:val="20"/>
                <w:lang w:eastAsia="cs-CZ"/>
              </w:rPr>
              <w:t>26,1</w:t>
            </w:r>
          </w:p>
        </w:tc>
        <w:tc>
          <w:tcPr>
            <w:tcW w:w="516" w:type="pct"/>
            <w:tcBorders>
              <w:top w:val="nil"/>
              <w:left w:val="nil"/>
              <w:bottom w:val="single" w:sz="4" w:space="0" w:color="auto"/>
              <w:right w:val="single" w:sz="4" w:space="0" w:color="auto"/>
            </w:tcBorders>
            <w:shd w:val="clear" w:color="auto" w:fill="auto"/>
            <w:vAlign w:val="center"/>
            <w:hideMark/>
          </w:tcPr>
          <w:p w14:paraId="0D6EECD7" w14:textId="77777777" w:rsidR="00ED46C3" w:rsidRPr="00C600F5" w:rsidRDefault="00ED46C3" w:rsidP="00ED46C3">
            <w:pPr>
              <w:spacing w:after="0" w:line="240" w:lineRule="auto"/>
              <w:jc w:val="right"/>
              <w:rPr>
                <w:rFonts w:eastAsia="Times New Roman" w:cstheme="minorHAnsi"/>
                <w:color w:val="000000"/>
                <w:sz w:val="20"/>
                <w:szCs w:val="20"/>
                <w:lang w:eastAsia="cs-CZ"/>
              </w:rPr>
            </w:pPr>
            <w:r w:rsidRPr="00C600F5">
              <w:rPr>
                <w:rFonts w:eastAsia="Times New Roman" w:cstheme="minorHAnsi"/>
                <w:bCs/>
                <w:color w:val="000000"/>
                <w:sz w:val="20"/>
                <w:szCs w:val="20"/>
                <w:lang w:eastAsia="cs-CZ"/>
              </w:rPr>
              <w:t>11,6</w:t>
            </w:r>
          </w:p>
        </w:tc>
        <w:tc>
          <w:tcPr>
            <w:tcW w:w="516" w:type="pct"/>
            <w:tcBorders>
              <w:top w:val="nil"/>
              <w:left w:val="nil"/>
              <w:bottom w:val="single" w:sz="4" w:space="0" w:color="auto"/>
              <w:right w:val="single" w:sz="4" w:space="0" w:color="auto"/>
            </w:tcBorders>
            <w:shd w:val="clear" w:color="auto" w:fill="auto"/>
            <w:vAlign w:val="center"/>
            <w:hideMark/>
          </w:tcPr>
          <w:p w14:paraId="7380AB7A" w14:textId="77777777" w:rsidR="00ED46C3" w:rsidRPr="00C600F5" w:rsidRDefault="00ED46C3" w:rsidP="00ED46C3">
            <w:pPr>
              <w:spacing w:after="0" w:line="240" w:lineRule="auto"/>
              <w:jc w:val="right"/>
              <w:rPr>
                <w:rFonts w:eastAsia="Times New Roman" w:cstheme="minorHAnsi"/>
                <w:color w:val="000000"/>
                <w:sz w:val="20"/>
                <w:szCs w:val="20"/>
                <w:lang w:eastAsia="cs-CZ"/>
              </w:rPr>
            </w:pPr>
            <w:r w:rsidRPr="00C600F5">
              <w:rPr>
                <w:rFonts w:eastAsia="Times New Roman" w:cstheme="minorHAnsi"/>
                <w:bCs/>
                <w:color w:val="000000"/>
                <w:sz w:val="20"/>
                <w:szCs w:val="20"/>
                <w:lang w:eastAsia="cs-CZ"/>
              </w:rPr>
              <w:t>0,5</w:t>
            </w:r>
          </w:p>
        </w:tc>
        <w:tc>
          <w:tcPr>
            <w:tcW w:w="516" w:type="pct"/>
            <w:tcBorders>
              <w:top w:val="nil"/>
              <w:left w:val="nil"/>
              <w:bottom w:val="single" w:sz="4" w:space="0" w:color="auto"/>
              <w:right w:val="single" w:sz="4" w:space="0" w:color="auto"/>
            </w:tcBorders>
            <w:shd w:val="clear" w:color="auto" w:fill="auto"/>
            <w:vAlign w:val="center"/>
            <w:hideMark/>
          </w:tcPr>
          <w:p w14:paraId="2A3F4A14" w14:textId="77777777" w:rsidR="00ED46C3" w:rsidRPr="00C600F5" w:rsidRDefault="00ED46C3" w:rsidP="00ED46C3">
            <w:pPr>
              <w:spacing w:after="0" w:line="240" w:lineRule="auto"/>
              <w:jc w:val="right"/>
              <w:rPr>
                <w:rFonts w:eastAsia="Times New Roman" w:cstheme="minorHAnsi"/>
                <w:color w:val="000000"/>
                <w:sz w:val="20"/>
                <w:szCs w:val="20"/>
                <w:lang w:eastAsia="cs-CZ"/>
              </w:rPr>
            </w:pPr>
            <w:r w:rsidRPr="00C600F5">
              <w:rPr>
                <w:rFonts w:eastAsia="Times New Roman" w:cstheme="minorHAnsi"/>
                <w:bCs/>
                <w:color w:val="000000"/>
                <w:sz w:val="20"/>
                <w:szCs w:val="20"/>
                <w:lang w:eastAsia="cs-CZ"/>
              </w:rPr>
              <w:t>0,9</w:t>
            </w:r>
          </w:p>
        </w:tc>
        <w:tc>
          <w:tcPr>
            <w:tcW w:w="516" w:type="pct"/>
            <w:tcBorders>
              <w:top w:val="nil"/>
              <w:left w:val="nil"/>
              <w:bottom w:val="single" w:sz="4" w:space="0" w:color="auto"/>
              <w:right w:val="single" w:sz="4" w:space="0" w:color="auto"/>
            </w:tcBorders>
            <w:shd w:val="clear" w:color="auto" w:fill="auto"/>
            <w:vAlign w:val="center"/>
            <w:hideMark/>
          </w:tcPr>
          <w:p w14:paraId="5909A453" w14:textId="77777777" w:rsidR="00ED46C3" w:rsidRPr="00C600F5" w:rsidRDefault="00ED46C3" w:rsidP="00ED46C3">
            <w:pPr>
              <w:spacing w:after="0" w:line="240" w:lineRule="auto"/>
              <w:jc w:val="right"/>
              <w:rPr>
                <w:rFonts w:eastAsia="Times New Roman" w:cstheme="minorHAnsi"/>
                <w:color w:val="000000"/>
                <w:sz w:val="20"/>
                <w:szCs w:val="20"/>
                <w:lang w:eastAsia="cs-CZ"/>
              </w:rPr>
            </w:pPr>
            <w:r w:rsidRPr="00C600F5">
              <w:rPr>
                <w:rFonts w:eastAsia="Times New Roman" w:cstheme="minorHAnsi"/>
                <w:bCs/>
                <w:color w:val="000000"/>
                <w:sz w:val="20"/>
                <w:szCs w:val="20"/>
                <w:lang w:eastAsia="cs-CZ"/>
              </w:rPr>
              <w:t>0,4</w:t>
            </w:r>
          </w:p>
        </w:tc>
        <w:tc>
          <w:tcPr>
            <w:tcW w:w="516" w:type="pct"/>
            <w:tcBorders>
              <w:top w:val="nil"/>
              <w:left w:val="nil"/>
              <w:bottom w:val="single" w:sz="4" w:space="0" w:color="auto"/>
              <w:right w:val="single" w:sz="4" w:space="0" w:color="auto"/>
            </w:tcBorders>
            <w:shd w:val="clear" w:color="auto" w:fill="auto"/>
            <w:vAlign w:val="center"/>
            <w:hideMark/>
          </w:tcPr>
          <w:p w14:paraId="61F1F3CB" w14:textId="77777777" w:rsidR="00ED46C3" w:rsidRPr="00C600F5" w:rsidRDefault="00ED46C3" w:rsidP="00ED46C3">
            <w:pPr>
              <w:spacing w:after="0" w:line="240" w:lineRule="auto"/>
              <w:jc w:val="right"/>
              <w:rPr>
                <w:rFonts w:eastAsia="Times New Roman" w:cstheme="minorHAnsi"/>
                <w:color w:val="000000"/>
                <w:sz w:val="20"/>
                <w:szCs w:val="20"/>
                <w:lang w:eastAsia="cs-CZ"/>
              </w:rPr>
            </w:pPr>
            <w:r w:rsidRPr="00C600F5">
              <w:rPr>
                <w:rFonts w:eastAsia="Times New Roman" w:cstheme="minorHAnsi"/>
                <w:bCs/>
                <w:color w:val="000000"/>
                <w:sz w:val="20"/>
                <w:szCs w:val="20"/>
                <w:lang w:eastAsia="cs-CZ"/>
              </w:rPr>
              <w:t>0,0</w:t>
            </w:r>
          </w:p>
        </w:tc>
        <w:tc>
          <w:tcPr>
            <w:tcW w:w="516" w:type="pct"/>
            <w:tcBorders>
              <w:top w:val="nil"/>
              <w:left w:val="nil"/>
              <w:bottom w:val="single" w:sz="4" w:space="0" w:color="auto"/>
              <w:right w:val="single" w:sz="4" w:space="0" w:color="auto"/>
            </w:tcBorders>
            <w:shd w:val="clear" w:color="auto" w:fill="auto"/>
            <w:vAlign w:val="center"/>
            <w:hideMark/>
          </w:tcPr>
          <w:p w14:paraId="1A22A550" w14:textId="77777777" w:rsidR="00ED46C3" w:rsidRPr="00C600F5" w:rsidRDefault="00ED46C3" w:rsidP="00ED46C3">
            <w:pPr>
              <w:spacing w:after="0" w:line="240" w:lineRule="auto"/>
              <w:jc w:val="right"/>
              <w:rPr>
                <w:rFonts w:eastAsia="Times New Roman" w:cstheme="minorHAnsi"/>
                <w:color w:val="000000"/>
                <w:sz w:val="20"/>
                <w:szCs w:val="20"/>
                <w:lang w:eastAsia="cs-CZ"/>
              </w:rPr>
            </w:pPr>
            <w:r w:rsidRPr="00C600F5">
              <w:rPr>
                <w:rFonts w:eastAsia="Times New Roman" w:cstheme="minorHAnsi"/>
                <w:bCs/>
                <w:color w:val="000000"/>
                <w:sz w:val="20"/>
                <w:szCs w:val="20"/>
                <w:lang w:eastAsia="cs-CZ"/>
              </w:rPr>
              <w:t>0,0</w:t>
            </w:r>
          </w:p>
        </w:tc>
        <w:tc>
          <w:tcPr>
            <w:tcW w:w="514" w:type="pct"/>
            <w:tcBorders>
              <w:top w:val="nil"/>
              <w:left w:val="nil"/>
              <w:bottom w:val="single" w:sz="4" w:space="0" w:color="auto"/>
              <w:right w:val="single" w:sz="4" w:space="0" w:color="auto"/>
            </w:tcBorders>
            <w:shd w:val="clear" w:color="auto" w:fill="auto"/>
            <w:vAlign w:val="center"/>
            <w:hideMark/>
          </w:tcPr>
          <w:p w14:paraId="3E2CBD7D" w14:textId="77777777" w:rsidR="00ED46C3" w:rsidRPr="00C600F5" w:rsidRDefault="00ED46C3" w:rsidP="00ED46C3">
            <w:pPr>
              <w:spacing w:after="0" w:line="240" w:lineRule="auto"/>
              <w:jc w:val="right"/>
              <w:rPr>
                <w:rFonts w:eastAsia="Times New Roman" w:cstheme="minorHAnsi"/>
                <w:color w:val="000000"/>
                <w:sz w:val="20"/>
                <w:szCs w:val="20"/>
                <w:lang w:eastAsia="cs-CZ"/>
              </w:rPr>
            </w:pPr>
            <w:r w:rsidRPr="00C600F5">
              <w:rPr>
                <w:rFonts w:eastAsia="Times New Roman" w:cstheme="minorHAnsi"/>
                <w:bCs/>
                <w:color w:val="000000"/>
                <w:sz w:val="20"/>
                <w:szCs w:val="20"/>
                <w:lang w:eastAsia="cs-CZ"/>
              </w:rPr>
              <w:t>0,0</w:t>
            </w:r>
          </w:p>
        </w:tc>
      </w:tr>
      <w:tr w:rsidR="00ED46C3" w:rsidRPr="00C600F5" w14:paraId="57F19C73" w14:textId="77777777" w:rsidTr="00B86B7B">
        <w:trPr>
          <w:trHeight w:val="300"/>
        </w:trPr>
        <w:tc>
          <w:tcPr>
            <w:tcW w:w="876" w:type="pct"/>
            <w:tcBorders>
              <w:top w:val="nil"/>
              <w:left w:val="single" w:sz="4" w:space="0" w:color="auto"/>
              <w:bottom w:val="single" w:sz="4" w:space="0" w:color="auto"/>
              <w:right w:val="single" w:sz="4" w:space="0" w:color="auto"/>
            </w:tcBorders>
            <w:shd w:val="clear" w:color="auto" w:fill="auto"/>
            <w:noWrap/>
            <w:vAlign w:val="bottom"/>
            <w:hideMark/>
          </w:tcPr>
          <w:p w14:paraId="7EB08D70" w14:textId="77777777" w:rsidR="00ED46C3" w:rsidRPr="00C600F5" w:rsidRDefault="00ED46C3" w:rsidP="00ED46C3">
            <w:pPr>
              <w:spacing w:after="0" w:line="240" w:lineRule="auto"/>
              <w:rPr>
                <w:rFonts w:eastAsia="Times New Roman" w:cstheme="minorHAnsi"/>
                <w:color w:val="000000"/>
                <w:sz w:val="20"/>
                <w:szCs w:val="20"/>
                <w:lang w:eastAsia="cs-CZ"/>
              </w:rPr>
            </w:pPr>
            <w:r w:rsidRPr="00C600F5">
              <w:rPr>
                <w:rFonts w:eastAsia="Times New Roman" w:cstheme="minorHAnsi"/>
                <w:bCs/>
                <w:color w:val="000000"/>
                <w:sz w:val="20"/>
                <w:szCs w:val="20"/>
                <w:lang w:eastAsia="cs-CZ"/>
              </w:rPr>
              <w:t>Ostatní</w:t>
            </w:r>
          </w:p>
        </w:tc>
        <w:tc>
          <w:tcPr>
            <w:tcW w:w="515" w:type="pct"/>
            <w:tcBorders>
              <w:top w:val="nil"/>
              <w:left w:val="nil"/>
              <w:bottom w:val="single" w:sz="4" w:space="0" w:color="auto"/>
              <w:right w:val="single" w:sz="4" w:space="0" w:color="auto"/>
            </w:tcBorders>
            <w:shd w:val="clear" w:color="auto" w:fill="auto"/>
            <w:vAlign w:val="center"/>
            <w:hideMark/>
          </w:tcPr>
          <w:p w14:paraId="562F0EED" w14:textId="77777777" w:rsidR="00ED46C3" w:rsidRPr="00C600F5" w:rsidRDefault="00ED46C3" w:rsidP="00ED46C3">
            <w:pPr>
              <w:spacing w:after="0" w:line="240" w:lineRule="auto"/>
              <w:jc w:val="right"/>
              <w:rPr>
                <w:rFonts w:eastAsia="Times New Roman" w:cstheme="minorHAnsi"/>
                <w:color w:val="000000"/>
                <w:sz w:val="20"/>
                <w:szCs w:val="20"/>
                <w:lang w:eastAsia="cs-CZ"/>
              </w:rPr>
            </w:pPr>
            <w:r w:rsidRPr="00C600F5">
              <w:rPr>
                <w:rFonts w:eastAsia="Times New Roman" w:cstheme="minorHAnsi"/>
                <w:bCs/>
                <w:color w:val="000000"/>
                <w:sz w:val="20"/>
                <w:szCs w:val="20"/>
                <w:lang w:eastAsia="cs-CZ"/>
              </w:rPr>
              <w:t>7,0</w:t>
            </w:r>
          </w:p>
        </w:tc>
        <w:tc>
          <w:tcPr>
            <w:tcW w:w="516" w:type="pct"/>
            <w:tcBorders>
              <w:top w:val="nil"/>
              <w:left w:val="nil"/>
              <w:bottom w:val="single" w:sz="4" w:space="0" w:color="auto"/>
              <w:right w:val="single" w:sz="4" w:space="0" w:color="auto"/>
            </w:tcBorders>
            <w:shd w:val="clear" w:color="auto" w:fill="auto"/>
            <w:vAlign w:val="center"/>
            <w:hideMark/>
          </w:tcPr>
          <w:p w14:paraId="665C8312" w14:textId="77777777" w:rsidR="00ED46C3" w:rsidRPr="00C600F5" w:rsidRDefault="00ED46C3" w:rsidP="00ED46C3">
            <w:pPr>
              <w:spacing w:after="0" w:line="240" w:lineRule="auto"/>
              <w:jc w:val="right"/>
              <w:rPr>
                <w:rFonts w:eastAsia="Times New Roman" w:cstheme="minorHAnsi"/>
                <w:color w:val="000000"/>
                <w:sz w:val="20"/>
                <w:szCs w:val="20"/>
                <w:lang w:eastAsia="cs-CZ"/>
              </w:rPr>
            </w:pPr>
            <w:r w:rsidRPr="00C600F5">
              <w:rPr>
                <w:rFonts w:eastAsia="Times New Roman" w:cstheme="minorHAnsi"/>
                <w:bCs/>
                <w:color w:val="000000"/>
                <w:sz w:val="20"/>
                <w:szCs w:val="20"/>
                <w:lang w:eastAsia="cs-CZ"/>
              </w:rPr>
              <w:t>3,5</w:t>
            </w:r>
          </w:p>
        </w:tc>
        <w:tc>
          <w:tcPr>
            <w:tcW w:w="516" w:type="pct"/>
            <w:tcBorders>
              <w:top w:val="nil"/>
              <w:left w:val="nil"/>
              <w:bottom w:val="single" w:sz="4" w:space="0" w:color="auto"/>
              <w:right w:val="single" w:sz="4" w:space="0" w:color="auto"/>
            </w:tcBorders>
            <w:shd w:val="clear" w:color="auto" w:fill="auto"/>
            <w:vAlign w:val="center"/>
            <w:hideMark/>
          </w:tcPr>
          <w:p w14:paraId="061D35BD" w14:textId="77777777" w:rsidR="00ED46C3" w:rsidRPr="00C600F5" w:rsidRDefault="00ED46C3" w:rsidP="00ED46C3">
            <w:pPr>
              <w:spacing w:after="0" w:line="240" w:lineRule="auto"/>
              <w:jc w:val="right"/>
              <w:rPr>
                <w:rFonts w:eastAsia="Times New Roman" w:cstheme="minorHAnsi"/>
                <w:color w:val="000000"/>
                <w:sz w:val="20"/>
                <w:szCs w:val="20"/>
                <w:lang w:eastAsia="cs-CZ"/>
              </w:rPr>
            </w:pPr>
            <w:r w:rsidRPr="00C600F5">
              <w:rPr>
                <w:rFonts w:eastAsia="Times New Roman" w:cstheme="minorHAnsi"/>
                <w:bCs/>
                <w:color w:val="000000"/>
                <w:sz w:val="20"/>
                <w:szCs w:val="20"/>
                <w:lang w:eastAsia="cs-CZ"/>
              </w:rPr>
              <w:t>4,0</w:t>
            </w:r>
          </w:p>
        </w:tc>
        <w:tc>
          <w:tcPr>
            <w:tcW w:w="516" w:type="pct"/>
            <w:tcBorders>
              <w:top w:val="nil"/>
              <w:left w:val="nil"/>
              <w:bottom w:val="single" w:sz="4" w:space="0" w:color="auto"/>
              <w:right w:val="single" w:sz="4" w:space="0" w:color="auto"/>
            </w:tcBorders>
            <w:shd w:val="clear" w:color="auto" w:fill="auto"/>
            <w:vAlign w:val="center"/>
            <w:hideMark/>
          </w:tcPr>
          <w:p w14:paraId="29A3523A" w14:textId="77777777" w:rsidR="00ED46C3" w:rsidRPr="00C600F5" w:rsidRDefault="00ED46C3" w:rsidP="00ED46C3">
            <w:pPr>
              <w:spacing w:after="0" w:line="240" w:lineRule="auto"/>
              <w:jc w:val="right"/>
              <w:rPr>
                <w:rFonts w:eastAsia="Times New Roman" w:cstheme="minorHAnsi"/>
                <w:color w:val="000000"/>
                <w:sz w:val="20"/>
                <w:szCs w:val="20"/>
                <w:lang w:eastAsia="cs-CZ"/>
              </w:rPr>
            </w:pPr>
            <w:r w:rsidRPr="00C600F5">
              <w:rPr>
                <w:rFonts w:eastAsia="Times New Roman" w:cstheme="minorHAnsi"/>
                <w:bCs/>
                <w:color w:val="000000"/>
                <w:sz w:val="20"/>
                <w:szCs w:val="20"/>
                <w:lang w:eastAsia="cs-CZ"/>
              </w:rPr>
              <w:t>3,9</w:t>
            </w:r>
          </w:p>
        </w:tc>
        <w:tc>
          <w:tcPr>
            <w:tcW w:w="516" w:type="pct"/>
            <w:tcBorders>
              <w:top w:val="nil"/>
              <w:left w:val="nil"/>
              <w:bottom w:val="single" w:sz="4" w:space="0" w:color="auto"/>
              <w:right w:val="single" w:sz="4" w:space="0" w:color="auto"/>
            </w:tcBorders>
            <w:shd w:val="clear" w:color="auto" w:fill="auto"/>
            <w:vAlign w:val="center"/>
            <w:hideMark/>
          </w:tcPr>
          <w:p w14:paraId="7996483E" w14:textId="77777777" w:rsidR="00ED46C3" w:rsidRPr="00C600F5" w:rsidRDefault="00ED46C3" w:rsidP="00ED46C3">
            <w:pPr>
              <w:spacing w:after="0" w:line="240" w:lineRule="auto"/>
              <w:jc w:val="right"/>
              <w:rPr>
                <w:rFonts w:eastAsia="Times New Roman" w:cstheme="minorHAnsi"/>
                <w:color w:val="000000"/>
                <w:sz w:val="20"/>
                <w:szCs w:val="20"/>
                <w:lang w:eastAsia="cs-CZ"/>
              </w:rPr>
            </w:pPr>
            <w:r w:rsidRPr="00C600F5">
              <w:rPr>
                <w:rFonts w:eastAsia="Times New Roman" w:cstheme="minorHAnsi"/>
                <w:bCs/>
                <w:color w:val="000000"/>
                <w:sz w:val="20"/>
                <w:szCs w:val="20"/>
                <w:lang w:eastAsia="cs-CZ"/>
              </w:rPr>
              <w:t>0,7</w:t>
            </w:r>
          </w:p>
        </w:tc>
        <w:tc>
          <w:tcPr>
            <w:tcW w:w="516" w:type="pct"/>
            <w:tcBorders>
              <w:top w:val="nil"/>
              <w:left w:val="nil"/>
              <w:bottom w:val="single" w:sz="4" w:space="0" w:color="auto"/>
              <w:right w:val="single" w:sz="4" w:space="0" w:color="auto"/>
            </w:tcBorders>
            <w:shd w:val="clear" w:color="auto" w:fill="auto"/>
            <w:vAlign w:val="center"/>
            <w:hideMark/>
          </w:tcPr>
          <w:p w14:paraId="155E762D" w14:textId="77777777" w:rsidR="00ED46C3" w:rsidRPr="00C600F5" w:rsidRDefault="00ED46C3" w:rsidP="00ED46C3">
            <w:pPr>
              <w:spacing w:after="0" w:line="240" w:lineRule="auto"/>
              <w:jc w:val="right"/>
              <w:rPr>
                <w:rFonts w:eastAsia="Times New Roman" w:cstheme="minorHAnsi"/>
                <w:color w:val="000000"/>
                <w:sz w:val="20"/>
                <w:szCs w:val="20"/>
                <w:lang w:eastAsia="cs-CZ"/>
              </w:rPr>
            </w:pPr>
            <w:r w:rsidRPr="00C600F5">
              <w:rPr>
                <w:rFonts w:eastAsia="Times New Roman" w:cstheme="minorHAnsi"/>
                <w:bCs/>
                <w:color w:val="000000"/>
                <w:sz w:val="20"/>
                <w:szCs w:val="20"/>
                <w:lang w:eastAsia="cs-CZ"/>
              </w:rPr>
              <w:t>0,0</w:t>
            </w:r>
          </w:p>
        </w:tc>
        <w:tc>
          <w:tcPr>
            <w:tcW w:w="516" w:type="pct"/>
            <w:tcBorders>
              <w:top w:val="nil"/>
              <w:left w:val="nil"/>
              <w:bottom w:val="single" w:sz="4" w:space="0" w:color="auto"/>
              <w:right w:val="single" w:sz="4" w:space="0" w:color="auto"/>
            </w:tcBorders>
            <w:shd w:val="clear" w:color="auto" w:fill="auto"/>
            <w:vAlign w:val="center"/>
            <w:hideMark/>
          </w:tcPr>
          <w:p w14:paraId="63E8555E" w14:textId="77777777" w:rsidR="00ED46C3" w:rsidRPr="00C600F5" w:rsidRDefault="00ED46C3" w:rsidP="00ED46C3">
            <w:pPr>
              <w:spacing w:after="0" w:line="240" w:lineRule="auto"/>
              <w:jc w:val="right"/>
              <w:rPr>
                <w:rFonts w:eastAsia="Times New Roman" w:cstheme="minorHAnsi"/>
                <w:color w:val="000000"/>
                <w:sz w:val="20"/>
                <w:szCs w:val="20"/>
                <w:lang w:eastAsia="cs-CZ"/>
              </w:rPr>
            </w:pPr>
            <w:r w:rsidRPr="00C600F5">
              <w:rPr>
                <w:rFonts w:eastAsia="Times New Roman" w:cstheme="minorHAnsi"/>
                <w:bCs/>
                <w:color w:val="000000"/>
                <w:sz w:val="20"/>
                <w:szCs w:val="20"/>
                <w:lang w:eastAsia="cs-CZ"/>
              </w:rPr>
              <w:t>0,0</w:t>
            </w:r>
          </w:p>
        </w:tc>
        <w:tc>
          <w:tcPr>
            <w:tcW w:w="514" w:type="pct"/>
            <w:tcBorders>
              <w:top w:val="nil"/>
              <w:left w:val="nil"/>
              <w:bottom w:val="single" w:sz="4" w:space="0" w:color="auto"/>
              <w:right w:val="single" w:sz="4" w:space="0" w:color="auto"/>
            </w:tcBorders>
            <w:shd w:val="clear" w:color="auto" w:fill="auto"/>
            <w:vAlign w:val="center"/>
            <w:hideMark/>
          </w:tcPr>
          <w:p w14:paraId="631FD9C1" w14:textId="77777777" w:rsidR="00ED46C3" w:rsidRPr="00C600F5" w:rsidRDefault="00ED46C3" w:rsidP="00ED46C3">
            <w:pPr>
              <w:spacing w:after="0" w:line="240" w:lineRule="auto"/>
              <w:jc w:val="right"/>
              <w:rPr>
                <w:rFonts w:eastAsia="Times New Roman" w:cstheme="minorHAnsi"/>
                <w:color w:val="000000"/>
                <w:sz w:val="20"/>
                <w:szCs w:val="20"/>
                <w:lang w:eastAsia="cs-CZ"/>
              </w:rPr>
            </w:pPr>
            <w:r w:rsidRPr="00C600F5">
              <w:rPr>
                <w:rFonts w:eastAsia="Times New Roman" w:cstheme="minorHAnsi"/>
                <w:bCs/>
                <w:color w:val="000000"/>
                <w:sz w:val="20"/>
                <w:szCs w:val="20"/>
                <w:lang w:eastAsia="cs-CZ"/>
              </w:rPr>
              <w:t>0,0</w:t>
            </w:r>
          </w:p>
        </w:tc>
      </w:tr>
    </w:tbl>
    <w:p w14:paraId="6B0BD1B9" w14:textId="6D4077D5" w:rsidR="00754F05" w:rsidRPr="0026004F" w:rsidRDefault="00754F05" w:rsidP="0018658E">
      <w:pPr>
        <w:keepNext/>
        <w:jc w:val="both"/>
        <w:rPr>
          <w:rFonts w:eastAsia="Calibri" w:cstheme="minorHAnsi"/>
          <w:sz w:val="20"/>
          <w:szCs w:val="20"/>
        </w:rPr>
      </w:pPr>
      <w:r w:rsidRPr="0026004F">
        <w:rPr>
          <w:rFonts w:eastAsia="Calibri" w:cstheme="minorHAnsi"/>
          <w:b/>
          <w:bCs/>
          <w:sz w:val="20"/>
          <w:szCs w:val="20"/>
        </w:rPr>
        <w:t>Zdroj:</w:t>
      </w:r>
      <w:r w:rsidRPr="0026004F">
        <w:rPr>
          <w:rFonts w:eastAsia="Calibri" w:cstheme="minorHAnsi"/>
          <w:sz w:val="20"/>
          <w:szCs w:val="20"/>
        </w:rPr>
        <w:t xml:space="preserve"> GFŘ a GŘC</w:t>
      </w:r>
      <w:r w:rsidR="00EE63E7">
        <w:rPr>
          <w:rFonts w:eastAsia="Calibri" w:cstheme="minorHAnsi"/>
          <w:sz w:val="20"/>
          <w:szCs w:val="20"/>
        </w:rPr>
        <w:t>.</w:t>
      </w:r>
    </w:p>
    <w:p w14:paraId="3806267F" w14:textId="78B5BFE3" w:rsidR="008A4F72" w:rsidRDefault="008A4F72" w:rsidP="008A4F72">
      <w:pPr>
        <w:spacing w:after="120" w:line="240" w:lineRule="auto"/>
        <w:jc w:val="both"/>
        <w:rPr>
          <w:rFonts w:cstheme="minorHAnsi"/>
          <w:sz w:val="24"/>
        </w:rPr>
      </w:pPr>
      <w:r w:rsidRPr="00B96786">
        <w:rPr>
          <w:rFonts w:cstheme="minorHAnsi"/>
          <w:sz w:val="24"/>
        </w:rPr>
        <w:t xml:space="preserve">Na </w:t>
      </w:r>
      <w:r w:rsidR="005D3CFD" w:rsidRPr="00B96786">
        <w:rPr>
          <w:rFonts w:cstheme="minorHAnsi"/>
          <w:sz w:val="24"/>
        </w:rPr>
        <w:t xml:space="preserve">zavedení a </w:t>
      </w:r>
      <w:r w:rsidRPr="00B96786">
        <w:rPr>
          <w:rFonts w:cstheme="minorHAnsi"/>
          <w:sz w:val="24"/>
        </w:rPr>
        <w:t xml:space="preserve">provoz </w:t>
      </w:r>
      <w:r w:rsidR="00EE63E7" w:rsidRPr="00B96786">
        <w:rPr>
          <w:rFonts w:cstheme="minorHAnsi"/>
          <w:sz w:val="24"/>
        </w:rPr>
        <w:t xml:space="preserve">EET </w:t>
      </w:r>
      <w:r w:rsidRPr="00B96786">
        <w:rPr>
          <w:rFonts w:cstheme="minorHAnsi"/>
          <w:sz w:val="24"/>
        </w:rPr>
        <w:t>vynaložily</w:t>
      </w:r>
      <w:r>
        <w:rPr>
          <w:rFonts w:cstheme="minorHAnsi"/>
          <w:sz w:val="24"/>
        </w:rPr>
        <w:t xml:space="preserve"> </w:t>
      </w:r>
      <w:r w:rsidRPr="00C47E97">
        <w:rPr>
          <w:rFonts w:cstheme="minorHAnsi"/>
          <w:sz w:val="24"/>
        </w:rPr>
        <w:t>GFŘ</w:t>
      </w:r>
      <w:r>
        <w:rPr>
          <w:rFonts w:cstheme="minorHAnsi"/>
          <w:sz w:val="24"/>
        </w:rPr>
        <w:t xml:space="preserve"> a </w:t>
      </w:r>
      <w:r w:rsidRPr="00C47E97">
        <w:rPr>
          <w:rFonts w:cstheme="minorHAnsi"/>
          <w:sz w:val="24"/>
        </w:rPr>
        <w:t>GŘC</w:t>
      </w:r>
      <w:r>
        <w:rPr>
          <w:rFonts w:cstheme="minorHAnsi"/>
          <w:sz w:val="24"/>
        </w:rPr>
        <w:t xml:space="preserve"> </w:t>
      </w:r>
      <w:r w:rsidR="00AA4543">
        <w:rPr>
          <w:rFonts w:cstheme="minorHAnsi"/>
          <w:sz w:val="24"/>
        </w:rPr>
        <w:t>v</w:t>
      </w:r>
      <w:r w:rsidR="004A3D49">
        <w:rPr>
          <w:rFonts w:cstheme="minorHAnsi"/>
          <w:sz w:val="24"/>
        </w:rPr>
        <w:t xml:space="preserve"> </w:t>
      </w:r>
      <w:r w:rsidR="00AA4543">
        <w:rPr>
          <w:rFonts w:cstheme="minorHAnsi"/>
          <w:sz w:val="24"/>
        </w:rPr>
        <w:t xml:space="preserve">letech </w:t>
      </w:r>
      <w:r w:rsidR="00116CF9">
        <w:rPr>
          <w:rFonts w:cstheme="minorHAnsi"/>
          <w:sz w:val="24"/>
        </w:rPr>
        <w:t>2016–2023</w:t>
      </w:r>
      <w:r w:rsidR="00AA4543">
        <w:rPr>
          <w:rFonts w:cstheme="minorHAnsi"/>
          <w:sz w:val="24"/>
        </w:rPr>
        <w:t xml:space="preserve"> </w:t>
      </w:r>
      <w:r w:rsidRPr="00C47E97">
        <w:rPr>
          <w:rFonts w:cstheme="minorHAnsi"/>
          <w:sz w:val="24"/>
        </w:rPr>
        <w:t xml:space="preserve">celkem </w:t>
      </w:r>
      <w:r w:rsidR="005D3CFD">
        <w:rPr>
          <w:rFonts w:cstheme="minorHAnsi"/>
          <w:sz w:val="24"/>
        </w:rPr>
        <w:t>2</w:t>
      </w:r>
      <w:r w:rsidR="004A3D49">
        <w:rPr>
          <w:rFonts w:cstheme="minorHAnsi"/>
          <w:sz w:val="24"/>
        </w:rPr>
        <w:t xml:space="preserve"> </w:t>
      </w:r>
      <w:r w:rsidR="005D3CFD">
        <w:rPr>
          <w:rFonts w:cstheme="minorHAnsi"/>
          <w:sz w:val="24"/>
        </w:rPr>
        <w:t>235,7</w:t>
      </w:r>
      <w:r w:rsidRPr="00C47E97">
        <w:rPr>
          <w:rFonts w:cstheme="minorHAnsi"/>
          <w:sz w:val="24"/>
        </w:rPr>
        <w:t xml:space="preserve"> mil</w:t>
      </w:r>
      <w:r>
        <w:rPr>
          <w:rFonts w:cstheme="minorHAnsi"/>
          <w:sz w:val="24"/>
        </w:rPr>
        <w:t>. Kč.</w:t>
      </w:r>
      <w:r w:rsidRPr="00A337D4">
        <w:rPr>
          <w:rFonts w:cstheme="minorHAnsi"/>
          <w:sz w:val="24"/>
        </w:rPr>
        <w:t xml:space="preserve"> </w:t>
      </w:r>
      <w:r w:rsidRPr="00C47E97">
        <w:rPr>
          <w:rFonts w:cstheme="minorHAnsi"/>
          <w:sz w:val="24"/>
        </w:rPr>
        <w:t xml:space="preserve">Tyto výdaje zahrnovaly </w:t>
      </w:r>
      <w:r w:rsidR="00AA4543">
        <w:rPr>
          <w:rFonts w:cstheme="minorHAnsi"/>
          <w:sz w:val="24"/>
        </w:rPr>
        <w:t xml:space="preserve">mj. </w:t>
      </w:r>
      <w:r w:rsidR="00AA4543" w:rsidRPr="00C47E97">
        <w:rPr>
          <w:rFonts w:cstheme="minorHAnsi"/>
          <w:sz w:val="24"/>
        </w:rPr>
        <w:t>technické zajištění (</w:t>
      </w:r>
      <w:r w:rsidR="00AA4543">
        <w:rPr>
          <w:rFonts w:cstheme="minorHAnsi"/>
          <w:sz w:val="24"/>
        </w:rPr>
        <w:t xml:space="preserve">např. </w:t>
      </w:r>
      <w:r w:rsidR="00AA4543" w:rsidRPr="00C47E97">
        <w:rPr>
          <w:rFonts w:cstheme="minorHAnsi"/>
          <w:sz w:val="24"/>
        </w:rPr>
        <w:t>hardware a software, služby Státní pokladny Centra sdílených služeb, s.</w:t>
      </w:r>
      <w:r w:rsidR="00EE63E7">
        <w:rPr>
          <w:rFonts w:cstheme="minorHAnsi"/>
          <w:sz w:val="24"/>
        </w:rPr>
        <w:t> </w:t>
      </w:r>
      <w:r w:rsidR="00AA4543" w:rsidRPr="00C47E97">
        <w:rPr>
          <w:rFonts w:cstheme="minorHAnsi"/>
          <w:sz w:val="24"/>
        </w:rPr>
        <w:t>p., služby certifikační autority)</w:t>
      </w:r>
      <w:r w:rsidR="00AA4543">
        <w:rPr>
          <w:rFonts w:cstheme="minorHAnsi"/>
          <w:sz w:val="24"/>
        </w:rPr>
        <w:t xml:space="preserve">, </w:t>
      </w:r>
      <w:r w:rsidRPr="00C47E97">
        <w:rPr>
          <w:rFonts w:cstheme="minorHAnsi"/>
          <w:sz w:val="24"/>
        </w:rPr>
        <w:t xml:space="preserve">kontrolní nákupy, personální zajištění, </w:t>
      </w:r>
      <w:r w:rsidR="00116CF9">
        <w:rPr>
          <w:rFonts w:cstheme="minorHAnsi"/>
          <w:sz w:val="24"/>
        </w:rPr>
        <w:t xml:space="preserve">call centrum </w:t>
      </w:r>
      <w:r w:rsidRPr="00C47E97">
        <w:rPr>
          <w:rFonts w:cstheme="minorHAnsi"/>
          <w:sz w:val="24"/>
        </w:rPr>
        <w:t xml:space="preserve">a public relations (např. zajištění </w:t>
      </w:r>
      <w:r w:rsidRPr="008C0C52">
        <w:rPr>
          <w:rFonts w:cstheme="minorHAnsi"/>
          <w:sz w:val="24"/>
        </w:rPr>
        <w:t>kampaně, nákup mediálního prostoru, zajištění konferencí a</w:t>
      </w:r>
      <w:r w:rsidR="00EE63E7">
        <w:rPr>
          <w:rFonts w:cstheme="minorHAnsi"/>
          <w:sz w:val="24"/>
        </w:rPr>
        <w:t xml:space="preserve"> </w:t>
      </w:r>
      <w:r w:rsidRPr="008C0C52">
        <w:rPr>
          <w:rFonts w:cstheme="minorHAnsi"/>
          <w:sz w:val="24"/>
        </w:rPr>
        <w:t>seminářů, průzkum veřejného mínění). V</w:t>
      </w:r>
      <w:r w:rsidR="00EE63E7">
        <w:rPr>
          <w:rFonts w:cstheme="minorHAnsi"/>
          <w:sz w:val="24"/>
        </w:rPr>
        <w:t xml:space="preserve"> </w:t>
      </w:r>
      <w:r w:rsidRPr="008C0C52">
        <w:rPr>
          <w:rFonts w:cstheme="minorHAnsi"/>
          <w:sz w:val="24"/>
        </w:rPr>
        <w:t xml:space="preserve">době pozastavení EET vynaložilo GFŘ </w:t>
      </w:r>
      <w:r w:rsidRPr="0018658E">
        <w:rPr>
          <w:rFonts w:cstheme="minorHAnsi"/>
          <w:sz w:val="24"/>
        </w:rPr>
        <w:t>peněžní prostředky na udržení systému EET v provozu (např. zajištění bezpečnosti dat, úlohy v ADIS, e-podpora, kontaktní formulář, EET.info), zaměstnanci byli přesunuti na jiné činnosti. GFŘ umožnilo daňovým subjektům po přechodnou dobu (do</w:t>
      </w:r>
      <w:r w:rsidR="00EE63E7">
        <w:rPr>
          <w:rFonts w:cstheme="minorHAnsi"/>
          <w:sz w:val="24"/>
        </w:rPr>
        <w:t> </w:t>
      </w:r>
      <w:r w:rsidRPr="0018658E">
        <w:rPr>
          <w:rFonts w:cstheme="minorHAnsi"/>
          <w:sz w:val="24"/>
        </w:rPr>
        <w:t xml:space="preserve">konce roku 2023) nahlížet na tržby </w:t>
      </w:r>
      <w:r w:rsidR="00D3166C">
        <w:rPr>
          <w:rFonts w:cstheme="minorHAnsi"/>
          <w:sz w:val="24"/>
        </w:rPr>
        <w:t>evidované v</w:t>
      </w:r>
      <w:r w:rsidRPr="0018658E">
        <w:rPr>
          <w:rFonts w:cstheme="minorHAnsi"/>
          <w:sz w:val="24"/>
        </w:rPr>
        <w:t xml:space="preserve"> EET, příp. žádat o výpis tržeb. </w:t>
      </w:r>
    </w:p>
    <w:p w14:paraId="4716F1FC" w14:textId="4BCCFA47" w:rsidR="002F555C" w:rsidRPr="002F555C" w:rsidRDefault="002F555C" w:rsidP="00B831B5">
      <w:pPr>
        <w:spacing w:after="120" w:line="240" w:lineRule="auto"/>
        <w:jc w:val="both"/>
        <w:rPr>
          <w:rFonts w:cstheme="minorHAnsi"/>
          <w:sz w:val="24"/>
          <w:szCs w:val="24"/>
          <w:lang w:eastAsia="cs-CZ"/>
        </w:rPr>
      </w:pPr>
      <w:r>
        <w:rPr>
          <w:rFonts w:cstheme="minorHAnsi"/>
          <w:sz w:val="24"/>
        </w:rPr>
        <w:t xml:space="preserve">MF </w:t>
      </w:r>
      <w:r w:rsidR="00EE63E7">
        <w:rPr>
          <w:rFonts w:cstheme="minorHAnsi"/>
          <w:sz w:val="24"/>
          <w:szCs w:val="24"/>
          <w:lang w:eastAsia="cs-CZ"/>
        </w:rPr>
        <w:t>v roce 2015</w:t>
      </w:r>
      <w:r w:rsidR="00EE63E7">
        <w:rPr>
          <w:rFonts w:cstheme="minorHAnsi"/>
          <w:sz w:val="24"/>
        </w:rPr>
        <w:t xml:space="preserve"> vynaložilo </w:t>
      </w:r>
      <w:r>
        <w:rPr>
          <w:rFonts w:cstheme="minorHAnsi"/>
          <w:sz w:val="24"/>
          <w:szCs w:val="24"/>
          <w:lang w:eastAsia="cs-CZ"/>
        </w:rPr>
        <w:t xml:space="preserve">v souvislosti se zavedením EET </w:t>
      </w:r>
      <w:r>
        <w:rPr>
          <w:rFonts w:cstheme="minorHAnsi"/>
          <w:sz w:val="24"/>
        </w:rPr>
        <w:t xml:space="preserve">1,8 mil. Kč na </w:t>
      </w:r>
      <w:r w:rsidRPr="00C47E97">
        <w:rPr>
          <w:rFonts w:cstheme="minorHAnsi"/>
          <w:sz w:val="24"/>
          <w:szCs w:val="24"/>
          <w:lang w:eastAsia="cs-CZ"/>
        </w:rPr>
        <w:t>zpracování studie proveditelnosti a za poradenské služby</w:t>
      </w:r>
      <w:r>
        <w:rPr>
          <w:rFonts w:cstheme="minorHAnsi"/>
          <w:sz w:val="24"/>
          <w:szCs w:val="24"/>
          <w:lang w:eastAsia="cs-CZ"/>
        </w:rPr>
        <w:t xml:space="preserve">. </w:t>
      </w:r>
    </w:p>
    <w:bookmarkEnd w:id="15"/>
    <w:p w14:paraId="5EFFAF26" w14:textId="27AC20C6" w:rsidR="00842611" w:rsidRPr="00842611" w:rsidRDefault="00EF03C2" w:rsidP="00842611">
      <w:pPr>
        <w:spacing w:after="120" w:line="240" w:lineRule="auto"/>
        <w:jc w:val="both"/>
        <w:rPr>
          <w:rFonts w:eastAsia="Calibri" w:cstheme="minorHAnsi"/>
          <w:sz w:val="24"/>
          <w:szCs w:val="24"/>
        </w:rPr>
      </w:pPr>
      <w:r>
        <w:rPr>
          <w:rFonts w:eastAsia="Calibri" w:cstheme="minorHAnsi"/>
          <w:sz w:val="24"/>
          <w:szCs w:val="24"/>
        </w:rPr>
        <w:t>O</w:t>
      </w:r>
      <w:r w:rsidR="00842611" w:rsidRPr="00842611">
        <w:rPr>
          <w:rFonts w:eastAsia="Calibri" w:cstheme="minorHAnsi"/>
          <w:sz w:val="24"/>
          <w:szCs w:val="24"/>
        </w:rPr>
        <w:t>dhady dopadů zavedení EET na inkaso DPH se lišily v závislosti na použité metodě výpočtu. Jedná se o opatření v oblasti šedé ekono</w:t>
      </w:r>
      <w:r w:rsidR="00A13525">
        <w:rPr>
          <w:rFonts w:eastAsia="Calibri" w:cstheme="minorHAnsi"/>
          <w:sz w:val="24"/>
          <w:szCs w:val="24"/>
        </w:rPr>
        <w:t>m</w:t>
      </w:r>
      <w:r w:rsidR="00842611" w:rsidRPr="00842611">
        <w:rPr>
          <w:rFonts w:eastAsia="Calibri" w:cstheme="minorHAnsi"/>
          <w:sz w:val="24"/>
          <w:szCs w:val="24"/>
        </w:rPr>
        <w:t>iky, kde nejsou dostupná přesná data o výši ztracené DPH, ale pouze odhady daňových úniků. GFŘ v roce 2021 odhadlo vliv EET na celkové inkaso DPH za rok 2017 ve výši 4,7 mld. Kč a za rok 2018 ve výši 6,1 mld. Kč, a to na základě růstu tzv. autonomního inkasa DPH</w:t>
      </w:r>
      <w:r w:rsidR="00842611" w:rsidRPr="006B3AB4">
        <w:rPr>
          <w:rFonts w:eastAsia="Calibri"/>
          <w:sz w:val="24"/>
          <w:szCs w:val="24"/>
          <w:vertAlign w:val="superscript"/>
        </w:rPr>
        <w:footnoteReference w:id="26"/>
      </w:r>
      <w:r w:rsidR="00842611" w:rsidRPr="00842611">
        <w:rPr>
          <w:rFonts w:eastAsia="Calibri" w:cstheme="minorHAnsi"/>
          <w:sz w:val="24"/>
          <w:szCs w:val="24"/>
        </w:rPr>
        <w:t xml:space="preserve">. Na základě jiné metody zohledňující vliv makroekonomických agregátů činil </w:t>
      </w:r>
      <w:r w:rsidR="00EE63E7">
        <w:rPr>
          <w:rFonts w:eastAsia="Calibri" w:cstheme="minorHAnsi"/>
          <w:sz w:val="24"/>
          <w:szCs w:val="24"/>
        </w:rPr>
        <w:t xml:space="preserve">podle GFŘ </w:t>
      </w:r>
      <w:r w:rsidR="00842611" w:rsidRPr="00842611">
        <w:rPr>
          <w:rFonts w:eastAsia="Calibri" w:cstheme="minorHAnsi"/>
          <w:sz w:val="24"/>
          <w:szCs w:val="24"/>
        </w:rPr>
        <w:t>odhad dopadu EET za rok 2017 celkem 4,7 mld. Kč a za rok 2018 celkem 1,4 mld. Kč</w:t>
      </w:r>
      <w:r w:rsidR="00842611" w:rsidRPr="006B3AB4">
        <w:rPr>
          <w:rFonts w:eastAsia="Calibri"/>
          <w:sz w:val="24"/>
          <w:szCs w:val="24"/>
          <w:vertAlign w:val="superscript"/>
        </w:rPr>
        <w:footnoteReference w:id="27"/>
      </w:r>
      <w:r w:rsidR="00842611" w:rsidRPr="00842611">
        <w:rPr>
          <w:rFonts w:eastAsia="Calibri" w:cstheme="minorHAnsi"/>
          <w:sz w:val="24"/>
          <w:szCs w:val="24"/>
        </w:rPr>
        <w:t xml:space="preserve">. </w:t>
      </w:r>
    </w:p>
    <w:p w14:paraId="11EF3CEB" w14:textId="3AB8F8BE" w:rsidR="00842611" w:rsidRPr="0026004F" w:rsidRDefault="00842611" w:rsidP="00E17C2E">
      <w:pPr>
        <w:keepNext/>
        <w:tabs>
          <w:tab w:val="right" w:pos="9072"/>
        </w:tabs>
        <w:spacing w:after="40"/>
        <w:jc w:val="both"/>
        <w:rPr>
          <w:rFonts w:ascii="Calibri" w:eastAsia="Calibri" w:hAnsi="Calibri"/>
          <w:b/>
          <w:bCs/>
          <w:sz w:val="24"/>
          <w:szCs w:val="24"/>
        </w:rPr>
      </w:pPr>
      <w:r w:rsidRPr="0026004F">
        <w:rPr>
          <w:rFonts w:ascii="Calibri" w:eastAsia="Calibri" w:hAnsi="Calibri"/>
          <w:b/>
          <w:bCs/>
          <w:sz w:val="24"/>
          <w:szCs w:val="24"/>
        </w:rPr>
        <w:lastRenderedPageBreak/>
        <w:t xml:space="preserve">Tabulka č. </w:t>
      </w:r>
      <w:r w:rsidR="00162277" w:rsidRPr="0026004F">
        <w:rPr>
          <w:rFonts w:ascii="Calibri" w:eastAsia="Calibri" w:hAnsi="Calibri"/>
          <w:b/>
          <w:bCs/>
          <w:sz w:val="24"/>
          <w:szCs w:val="24"/>
        </w:rPr>
        <w:t>7</w:t>
      </w:r>
      <w:r w:rsidR="002D4F45" w:rsidRPr="0026004F">
        <w:rPr>
          <w:rFonts w:ascii="Calibri" w:eastAsia="Calibri" w:hAnsi="Calibri"/>
          <w:b/>
          <w:bCs/>
          <w:sz w:val="24"/>
          <w:szCs w:val="24"/>
        </w:rPr>
        <w:t>:</w:t>
      </w:r>
      <w:r w:rsidRPr="0026004F">
        <w:rPr>
          <w:rFonts w:ascii="Calibri" w:eastAsia="Calibri" w:hAnsi="Calibri"/>
          <w:b/>
          <w:bCs/>
          <w:sz w:val="24"/>
          <w:szCs w:val="24"/>
        </w:rPr>
        <w:t xml:space="preserve"> Vliv EET na</w:t>
      </w:r>
      <w:r w:rsidR="002D4F45" w:rsidRPr="0026004F">
        <w:rPr>
          <w:rFonts w:ascii="Calibri" w:eastAsia="Calibri" w:hAnsi="Calibri"/>
          <w:b/>
          <w:bCs/>
          <w:sz w:val="24"/>
          <w:szCs w:val="24"/>
        </w:rPr>
        <w:t xml:space="preserve"> inkaso</w:t>
      </w:r>
      <w:r w:rsidRPr="0026004F">
        <w:rPr>
          <w:rFonts w:ascii="Calibri" w:eastAsia="Calibri" w:hAnsi="Calibri"/>
          <w:b/>
          <w:bCs/>
          <w:sz w:val="24"/>
          <w:szCs w:val="24"/>
        </w:rPr>
        <w:t xml:space="preserve"> DPH – metoda růstu autonomního inkasa </w:t>
      </w:r>
      <w:r w:rsidR="002D4F45" w:rsidRPr="0026004F">
        <w:rPr>
          <w:rFonts w:ascii="Calibri" w:eastAsia="Calibri" w:hAnsi="Calibri"/>
          <w:b/>
          <w:bCs/>
          <w:sz w:val="24"/>
          <w:szCs w:val="24"/>
        </w:rPr>
        <w:tab/>
        <w:t>(v mld. Kč)</w:t>
      </w:r>
    </w:p>
    <w:tbl>
      <w:tblPr>
        <w:tblStyle w:val="Mkatabulky"/>
        <w:tblW w:w="5000" w:type="pct"/>
        <w:tblInd w:w="-5" w:type="dxa"/>
        <w:tblLook w:val="04A0" w:firstRow="1" w:lastRow="0" w:firstColumn="1" w:lastColumn="0" w:noHBand="0" w:noVBand="1"/>
      </w:tblPr>
      <w:tblGrid>
        <w:gridCol w:w="5669"/>
        <w:gridCol w:w="1131"/>
        <w:gridCol w:w="1131"/>
        <w:gridCol w:w="1131"/>
      </w:tblGrid>
      <w:tr w:rsidR="00842611" w:rsidRPr="006018A5" w14:paraId="0CC415F7" w14:textId="77777777" w:rsidTr="0026004F">
        <w:trPr>
          <w:trHeight w:val="397"/>
        </w:trPr>
        <w:tc>
          <w:tcPr>
            <w:tcW w:w="3127" w:type="pct"/>
            <w:shd w:val="clear" w:color="auto" w:fill="E5F1FF"/>
            <w:vAlign w:val="center"/>
          </w:tcPr>
          <w:p w14:paraId="2200BD5E" w14:textId="652B66AA" w:rsidR="00842611" w:rsidRPr="00E17C2E" w:rsidRDefault="00842611" w:rsidP="00E17C2E">
            <w:pPr>
              <w:keepNext/>
              <w:rPr>
                <w:b/>
                <w:sz w:val="20"/>
                <w:szCs w:val="20"/>
              </w:rPr>
            </w:pPr>
          </w:p>
        </w:tc>
        <w:tc>
          <w:tcPr>
            <w:tcW w:w="624" w:type="pct"/>
            <w:shd w:val="clear" w:color="auto" w:fill="E5F1FF"/>
            <w:vAlign w:val="center"/>
          </w:tcPr>
          <w:p w14:paraId="116D8941" w14:textId="77777777" w:rsidR="00842611" w:rsidRPr="00E17C2E" w:rsidRDefault="00842611" w:rsidP="002D4F45">
            <w:pPr>
              <w:keepNext/>
              <w:jc w:val="center"/>
              <w:rPr>
                <w:b/>
                <w:sz w:val="20"/>
                <w:szCs w:val="20"/>
              </w:rPr>
            </w:pPr>
            <w:r w:rsidRPr="00E17C2E">
              <w:rPr>
                <w:b/>
                <w:sz w:val="20"/>
                <w:szCs w:val="20"/>
              </w:rPr>
              <w:t>2016</w:t>
            </w:r>
          </w:p>
        </w:tc>
        <w:tc>
          <w:tcPr>
            <w:tcW w:w="624" w:type="pct"/>
            <w:shd w:val="clear" w:color="auto" w:fill="E5F1FF"/>
            <w:vAlign w:val="center"/>
          </w:tcPr>
          <w:p w14:paraId="32374EBE" w14:textId="77777777" w:rsidR="00842611" w:rsidRPr="00E17C2E" w:rsidRDefault="00842611" w:rsidP="002D4F45">
            <w:pPr>
              <w:keepNext/>
              <w:jc w:val="center"/>
              <w:rPr>
                <w:b/>
                <w:sz w:val="20"/>
                <w:szCs w:val="20"/>
              </w:rPr>
            </w:pPr>
            <w:r w:rsidRPr="00E17C2E">
              <w:rPr>
                <w:b/>
                <w:sz w:val="20"/>
                <w:szCs w:val="20"/>
              </w:rPr>
              <w:t>2017</w:t>
            </w:r>
          </w:p>
        </w:tc>
        <w:tc>
          <w:tcPr>
            <w:tcW w:w="624" w:type="pct"/>
            <w:shd w:val="clear" w:color="auto" w:fill="E5F1FF"/>
            <w:vAlign w:val="center"/>
          </w:tcPr>
          <w:p w14:paraId="0ED4977C" w14:textId="77777777" w:rsidR="00842611" w:rsidRPr="00E17C2E" w:rsidRDefault="00842611" w:rsidP="002D4F45">
            <w:pPr>
              <w:keepNext/>
              <w:jc w:val="center"/>
              <w:rPr>
                <w:b/>
                <w:sz w:val="20"/>
                <w:szCs w:val="20"/>
              </w:rPr>
            </w:pPr>
            <w:r w:rsidRPr="00E17C2E">
              <w:rPr>
                <w:b/>
                <w:sz w:val="20"/>
                <w:szCs w:val="20"/>
              </w:rPr>
              <w:t>2018</w:t>
            </w:r>
          </w:p>
        </w:tc>
      </w:tr>
      <w:tr w:rsidR="00842611" w:rsidRPr="006018A5" w14:paraId="33CDF1FF" w14:textId="77777777" w:rsidTr="0026004F">
        <w:tc>
          <w:tcPr>
            <w:tcW w:w="3127" w:type="pct"/>
          </w:tcPr>
          <w:p w14:paraId="598B54C2" w14:textId="1C2A9AF3" w:rsidR="00842611" w:rsidRPr="00E17C2E" w:rsidRDefault="00842611" w:rsidP="00B216DF">
            <w:pPr>
              <w:keepNext/>
              <w:jc w:val="both"/>
              <w:rPr>
                <w:sz w:val="20"/>
                <w:szCs w:val="20"/>
              </w:rPr>
            </w:pPr>
            <w:r w:rsidRPr="00E17C2E">
              <w:rPr>
                <w:sz w:val="20"/>
                <w:szCs w:val="20"/>
              </w:rPr>
              <w:t xml:space="preserve">Odhadovaný dopad EET na </w:t>
            </w:r>
            <w:r w:rsidR="002D4F45" w:rsidRPr="00E17C2E">
              <w:rPr>
                <w:sz w:val="20"/>
                <w:szCs w:val="20"/>
              </w:rPr>
              <w:t xml:space="preserve">inkaso </w:t>
            </w:r>
            <w:r w:rsidRPr="00E17C2E">
              <w:rPr>
                <w:sz w:val="20"/>
                <w:szCs w:val="20"/>
              </w:rPr>
              <w:t>DPH</w:t>
            </w:r>
          </w:p>
        </w:tc>
        <w:tc>
          <w:tcPr>
            <w:tcW w:w="624" w:type="pct"/>
            <w:vAlign w:val="center"/>
          </w:tcPr>
          <w:p w14:paraId="513F80E0" w14:textId="77777777" w:rsidR="00842611" w:rsidRPr="00E17C2E" w:rsidRDefault="00842611" w:rsidP="00B216DF">
            <w:pPr>
              <w:keepNext/>
              <w:jc w:val="right"/>
              <w:rPr>
                <w:sz w:val="20"/>
                <w:szCs w:val="20"/>
              </w:rPr>
            </w:pPr>
            <w:r w:rsidRPr="00E17C2E">
              <w:rPr>
                <w:sz w:val="20"/>
                <w:szCs w:val="20"/>
              </w:rPr>
              <w:t>0,00</w:t>
            </w:r>
          </w:p>
        </w:tc>
        <w:tc>
          <w:tcPr>
            <w:tcW w:w="624" w:type="pct"/>
            <w:vAlign w:val="center"/>
          </w:tcPr>
          <w:p w14:paraId="0C3FE885" w14:textId="77777777" w:rsidR="00842611" w:rsidRPr="00E17C2E" w:rsidRDefault="00842611" w:rsidP="00B216DF">
            <w:pPr>
              <w:keepNext/>
              <w:jc w:val="right"/>
              <w:rPr>
                <w:sz w:val="20"/>
                <w:szCs w:val="20"/>
              </w:rPr>
            </w:pPr>
            <w:r w:rsidRPr="00E17C2E">
              <w:rPr>
                <w:sz w:val="20"/>
                <w:szCs w:val="20"/>
              </w:rPr>
              <w:t>5,5</w:t>
            </w:r>
          </w:p>
        </w:tc>
        <w:tc>
          <w:tcPr>
            <w:tcW w:w="624" w:type="pct"/>
            <w:vAlign w:val="center"/>
          </w:tcPr>
          <w:p w14:paraId="0AC7F350" w14:textId="77777777" w:rsidR="00842611" w:rsidRPr="00E17C2E" w:rsidRDefault="00842611" w:rsidP="00B216DF">
            <w:pPr>
              <w:keepNext/>
              <w:jc w:val="right"/>
              <w:rPr>
                <w:sz w:val="20"/>
                <w:szCs w:val="20"/>
              </w:rPr>
            </w:pPr>
            <w:r w:rsidRPr="00E17C2E">
              <w:rPr>
                <w:sz w:val="20"/>
                <w:szCs w:val="20"/>
              </w:rPr>
              <w:t>6,9</w:t>
            </w:r>
          </w:p>
        </w:tc>
      </w:tr>
      <w:tr w:rsidR="00842611" w:rsidRPr="006018A5" w14:paraId="5F568A93" w14:textId="77777777" w:rsidTr="0026004F">
        <w:tc>
          <w:tcPr>
            <w:tcW w:w="3127" w:type="pct"/>
          </w:tcPr>
          <w:p w14:paraId="7EC9845F" w14:textId="77777777" w:rsidR="00842611" w:rsidRPr="00E17C2E" w:rsidRDefault="00842611" w:rsidP="00B216DF">
            <w:pPr>
              <w:keepNext/>
              <w:jc w:val="both"/>
              <w:rPr>
                <w:sz w:val="20"/>
                <w:szCs w:val="20"/>
              </w:rPr>
            </w:pPr>
            <w:r w:rsidRPr="00E17C2E">
              <w:rPr>
                <w:sz w:val="20"/>
                <w:szCs w:val="20"/>
              </w:rPr>
              <w:t>Dopad snížení sazeb DPH (1. a 2. vlna)</w:t>
            </w:r>
          </w:p>
        </w:tc>
        <w:tc>
          <w:tcPr>
            <w:tcW w:w="624" w:type="pct"/>
            <w:vAlign w:val="center"/>
          </w:tcPr>
          <w:p w14:paraId="13E82E52" w14:textId="77777777" w:rsidR="00842611" w:rsidRPr="00E17C2E" w:rsidRDefault="00842611" w:rsidP="00B216DF">
            <w:pPr>
              <w:keepNext/>
              <w:jc w:val="right"/>
              <w:rPr>
                <w:sz w:val="20"/>
                <w:szCs w:val="20"/>
              </w:rPr>
            </w:pPr>
          </w:p>
        </w:tc>
        <w:tc>
          <w:tcPr>
            <w:tcW w:w="624" w:type="pct"/>
            <w:vAlign w:val="center"/>
          </w:tcPr>
          <w:p w14:paraId="4D45B25D" w14:textId="4D0E7933" w:rsidR="00842611" w:rsidRPr="00E17C2E" w:rsidRDefault="002D4F45" w:rsidP="00B216DF">
            <w:pPr>
              <w:keepNext/>
              <w:jc w:val="right"/>
              <w:rPr>
                <w:sz w:val="20"/>
                <w:szCs w:val="20"/>
              </w:rPr>
            </w:pPr>
            <w:r w:rsidRPr="00E17C2E">
              <w:rPr>
                <w:sz w:val="20"/>
                <w:szCs w:val="20"/>
              </w:rPr>
              <w:t>−</w:t>
            </w:r>
            <w:r w:rsidR="00842611" w:rsidRPr="00E17C2E">
              <w:rPr>
                <w:sz w:val="20"/>
                <w:szCs w:val="20"/>
              </w:rPr>
              <w:t>0,8</w:t>
            </w:r>
          </w:p>
        </w:tc>
        <w:tc>
          <w:tcPr>
            <w:tcW w:w="624" w:type="pct"/>
            <w:vAlign w:val="center"/>
          </w:tcPr>
          <w:p w14:paraId="05D88AEE" w14:textId="3F4C7384" w:rsidR="00842611" w:rsidRPr="00E17C2E" w:rsidRDefault="002D4F45" w:rsidP="00B216DF">
            <w:pPr>
              <w:keepNext/>
              <w:jc w:val="right"/>
              <w:rPr>
                <w:sz w:val="20"/>
                <w:szCs w:val="20"/>
              </w:rPr>
            </w:pPr>
            <w:r w:rsidRPr="00E17C2E">
              <w:rPr>
                <w:sz w:val="20"/>
                <w:szCs w:val="20"/>
              </w:rPr>
              <w:t>−</w:t>
            </w:r>
            <w:r w:rsidR="00842611" w:rsidRPr="00E17C2E">
              <w:rPr>
                <w:sz w:val="20"/>
                <w:szCs w:val="20"/>
              </w:rPr>
              <w:t>0,8</w:t>
            </w:r>
          </w:p>
        </w:tc>
      </w:tr>
      <w:tr w:rsidR="00842611" w:rsidRPr="006018A5" w14:paraId="343DC2E8" w14:textId="77777777" w:rsidTr="0026004F">
        <w:tc>
          <w:tcPr>
            <w:tcW w:w="3127" w:type="pct"/>
            <w:shd w:val="clear" w:color="auto" w:fill="D9D9D9"/>
          </w:tcPr>
          <w:p w14:paraId="160F197F" w14:textId="22A71C2E" w:rsidR="00842611" w:rsidRPr="00E17C2E" w:rsidRDefault="00842611" w:rsidP="00B216DF">
            <w:pPr>
              <w:keepNext/>
              <w:jc w:val="both"/>
              <w:rPr>
                <w:sz w:val="20"/>
                <w:szCs w:val="20"/>
              </w:rPr>
            </w:pPr>
            <w:r w:rsidRPr="00E17C2E">
              <w:rPr>
                <w:sz w:val="20"/>
                <w:szCs w:val="20"/>
              </w:rPr>
              <w:t xml:space="preserve">Dopad EET na </w:t>
            </w:r>
            <w:r w:rsidR="002D4F45" w:rsidRPr="00E17C2E">
              <w:rPr>
                <w:sz w:val="20"/>
                <w:szCs w:val="20"/>
              </w:rPr>
              <w:t xml:space="preserve">inkaso </w:t>
            </w:r>
            <w:r w:rsidRPr="00E17C2E">
              <w:rPr>
                <w:sz w:val="20"/>
                <w:szCs w:val="20"/>
              </w:rPr>
              <w:t>DPH po snížení sazeb</w:t>
            </w:r>
          </w:p>
        </w:tc>
        <w:tc>
          <w:tcPr>
            <w:tcW w:w="624" w:type="pct"/>
            <w:shd w:val="clear" w:color="auto" w:fill="D9D9D9"/>
            <w:vAlign w:val="center"/>
          </w:tcPr>
          <w:p w14:paraId="5C51ECC9" w14:textId="77777777" w:rsidR="00842611" w:rsidRPr="00E17C2E" w:rsidRDefault="00842611" w:rsidP="00B216DF">
            <w:pPr>
              <w:keepNext/>
              <w:jc w:val="right"/>
              <w:rPr>
                <w:sz w:val="20"/>
                <w:szCs w:val="20"/>
              </w:rPr>
            </w:pPr>
            <w:r w:rsidRPr="00E17C2E">
              <w:rPr>
                <w:sz w:val="20"/>
                <w:szCs w:val="20"/>
              </w:rPr>
              <w:t>0,00</w:t>
            </w:r>
          </w:p>
        </w:tc>
        <w:tc>
          <w:tcPr>
            <w:tcW w:w="624" w:type="pct"/>
            <w:shd w:val="clear" w:color="auto" w:fill="D9D9D9"/>
            <w:vAlign w:val="center"/>
          </w:tcPr>
          <w:p w14:paraId="4DF5B814" w14:textId="77777777" w:rsidR="00842611" w:rsidRPr="00E17C2E" w:rsidRDefault="00842611" w:rsidP="00B216DF">
            <w:pPr>
              <w:keepNext/>
              <w:jc w:val="right"/>
              <w:rPr>
                <w:sz w:val="20"/>
                <w:szCs w:val="20"/>
              </w:rPr>
            </w:pPr>
            <w:r w:rsidRPr="00E17C2E">
              <w:rPr>
                <w:sz w:val="20"/>
                <w:szCs w:val="20"/>
              </w:rPr>
              <w:t>4,7</w:t>
            </w:r>
          </w:p>
        </w:tc>
        <w:tc>
          <w:tcPr>
            <w:tcW w:w="624" w:type="pct"/>
            <w:shd w:val="clear" w:color="auto" w:fill="D9D9D9"/>
            <w:vAlign w:val="center"/>
          </w:tcPr>
          <w:p w14:paraId="66A3C808" w14:textId="77777777" w:rsidR="00842611" w:rsidRPr="00E17C2E" w:rsidRDefault="00842611" w:rsidP="00B216DF">
            <w:pPr>
              <w:keepNext/>
              <w:jc w:val="right"/>
              <w:rPr>
                <w:sz w:val="20"/>
                <w:szCs w:val="20"/>
              </w:rPr>
            </w:pPr>
            <w:r w:rsidRPr="00E17C2E">
              <w:rPr>
                <w:sz w:val="20"/>
                <w:szCs w:val="20"/>
              </w:rPr>
              <w:t>6,1</w:t>
            </w:r>
          </w:p>
        </w:tc>
      </w:tr>
    </w:tbl>
    <w:p w14:paraId="406B1C9E" w14:textId="18F8644A" w:rsidR="00842611" w:rsidRPr="00E17C2E" w:rsidRDefault="00842611" w:rsidP="00842611">
      <w:pPr>
        <w:keepNext/>
        <w:spacing w:after="0"/>
        <w:jc w:val="both"/>
        <w:rPr>
          <w:rFonts w:ascii="Calibri" w:eastAsia="Calibri" w:hAnsi="Calibri"/>
          <w:iCs/>
          <w:sz w:val="20"/>
          <w:szCs w:val="20"/>
        </w:rPr>
      </w:pPr>
      <w:r w:rsidRPr="00E17C2E">
        <w:rPr>
          <w:rFonts w:ascii="Calibri" w:eastAsia="Calibri" w:hAnsi="Calibri"/>
          <w:b/>
          <w:bCs/>
          <w:iCs/>
          <w:sz w:val="20"/>
          <w:szCs w:val="20"/>
        </w:rPr>
        <w:t>Zdroj:</w:t>
      </w:r>
      <w:r w:rsidRPr="00E17C2E">
        <w:rPr>
          <w:rFonts w:ascii="Calibri" w:eastAsia="Calibri" w:hAnsi="Calibri"/>
          <w:iCs/>
          <w:sz w:val="20"/>
          <w:szCs w:val="20"/>
        </w:rPr>
        <w:t xml:space="preserve"> GFŘ</w:t>
      </w:r>
      <w:r w:rsidR="002D4F45" w:rsidRPr="00E17C2E">
        <w:rPr>
          <w:rFonts w:ascii="Calibri" w:eastAsia="Calibri" w:hAnsi="Calibri"/>
          <w:iCs/>
          <w:sz w:val="20"/>
          <w:szCs w:val="20"/>
        </w:rPr>
        <w:t>.</w:t>
      </w:r>
    </w:p>
    <w:p w14:paraId="6835A72C" w14:textId="3544B10B" w:rsidR="00842611" w:rsidRPr="0026004F" w:rsidRDefault="00842611" w:rsidP="00261816">
      <w:pPr>
        <w:ind w:left="567" w:hanging="567"/>
        <w:jc w:val="both"/>
        <w:rPr>
          <w:rFonts w:ascii="Calibri" w:eastAsia="Calibri" w:hAnsi="Calibri"/>
          <w:iCs/>
          <w:sz w:val="20"/>
          <w:szCs w:val="20"/>
        </w:rPr>
      </w:pPr>
      <w:r w:rsidRPr="00E17C2E">
        <w:rPr>
          <w:rFonts w:ascii="Calibri" w:eastAsia="Calibri" w:hAnsi="Calibri"/>
          <w:b/>
          <w:bCs/>
          <w:iCs/>
          <w:sz w:val="20"/>
          <w:szCs w:val="20"/>
        </w:rPr>
        <w:t>Pozn.:</w:t>
      </w:r>
      <w:r w:rsidRPr="00E17C2E">
        <w:rPr>
          <w:rFonts w:ascii="Calibri" w:eastAsia="Calibri" w:hAnsi="Calibri"/>
          <w:iCs/>
          <w:sz w:val="20"/>
          <w:szCs w:val="20"/>
        </w:rPr>
        <w:t xml:space="preserve"> </w:t>
      </w:r>
      <w:r w:rsidR="002D4F45" w:rsidRPr="00E17C2E">
        <w:rPr>
          <w:rFonts w:ascii="Calibri" w:eastAsia="Calibri" w:hAnsi="Calibri"/>
          <w:iCs/>
          <w:sz w:val="20"/>
          <w:szCs w:val="20"/>
        </w:rPr>
        <w:tab/>
        <w:t>V</w:t>
      </w:r>
      <w:r w:rsidRPr="00E17C2E">
        <w:rPr>
          <w:rFonts w:ascii="Calibri" w:eastAsia="Calibri" w:hAnsi="Calibri"/>
          <w:iCs/>
          <w:sz w:val="20"/>
          <w:szCs w:val="20"/>
        </w:rPr>
        <w:t xml:space="preserve">ýpočet odhadu </w:t>
      </w:r>
      <w:r w:rsidR="002D4F45" w:rsidRPr="00E17C2E">
        <w:rPr>
          <w:rFonts w:ascii="Calibri" w:eastAsia="Calibri" w:hAnsi="Calibri"/>
          <w:iCs/>
          <w:sz w:val="20"/>
          <w:szCs w:val="20"/>
        </w:rPr>
        <w:t xml:space="preserve">je </w:t>
      </w:r>
      <w:r w:rsidRPr="00E17C2E">
        <w:rPr>
          <w:rFonts w:ascii="Calibri" w:eastAsia="Calibri" w:hAnsi="Calibri"/>
          <w:iCs/>
          <w:sz w:val="20"/>
          <w:szCs w:val="20"/>
        </w:rPr>
        <w:t>založen na růstu skutečného inkasa DPH v odvětvích, kter</w:t>
      </w:r>
      <w:r w:rsidR="002D4F45" w:rsidRPr="00E17C2E">
        <w:rPr>
          <w:rFonts w:ascii="Calibri" w:eastAsia="Calibri" w:hAnsi="Calibri"/>
          <w:iCs/>
          <w:sz w:val="20"/>
          <w:szCs w:val="20"/>
        </w:rPr>
        <w:t>á</w:t>
      </w:r>
      <w:r w:rsidRPr="0026004F">
        <w:rPr>
          <w:rFonts w:ascii="Calibri" w:eastAsia="Calibri" w:hAnsi="Calibri"/>
          <w:iCs/>
          <w:sz w:val="20"/>
          <w:szCs w:val="20"/>
        </w:rPr>
        <w:t xml:space="preserve"> spada</w:t>
      </w:r>
      <w:r w:rsidR="002D4F45" w:rsidRPr="00E17C2E">
        <w:rPr>
          <w:rFonts w:ascii="Calibri" w:eastAsia="Calibri" w:hAnsi="Calibri"/>
          <w:iCs/>
          <w:sz w:val="20"/>
          <w:szCs w:val="20"/>
        </w:rPr>
        <w:t>la</w:t>
      </w:r>
      <w:r w:rsidRPr="0026004F">
        <w:rPr>
          <w:rFonts w:ascii="Calibri" w:eastAsia="Calibri" w:hAnsi="Calibri"/>
          <w:iCs/>
          <w:sz w:val="20"/>
          <w:szCs w:val="20"/>
        </w:rPr>
        <w:t xml:space="preserve"> do EET</w:t>
      </w:r>
      <w:r w:rsidR="002D4F45" w:rsidRPr="00E17C2E">
        <w:rPr>
          <w:rFonts w:ascii="Calibri" w:eastAsia="Calibri" w:hAnsi="Calibri"/>
          <w:iCs/>
          <w:sz w:val="20"/>
          <w:szCs w:val="20"/>
        </w:rPr>
        <w:t>;</w:t>
      </w:r>
      <w:r w:rsidRPr="0026004F">
        <w:rPr>
          <w:rFonts w:ascii="Calibri" w:eastAsia="Calibri" w:hAnsi="Calibri"/>
          <w:iCs/>
          <w:sz w:val="20"/>
          <w:szCs w:val="20"/>
        </w:rPr>
        <w:t xml:space="preserve"> odhad růstu tzv. autonomního inkasa DPH v těchto odvětvích </w:t>
      </w:r>
      <w:r w:rsidR="002D4F45" w:rsidRPr="00E17C2E">
        <w:rPr>
          <w:rFonts w:ascii="Calibri" w:eastAsia="Calibri" w:hAnsi="Calibri"/>
          <w:iCs/>
          <w:sz w:val="20"/>
          <w:szCs w:val="20"/>
        </w:rPr>
        <w:t xml:space="preserve">byl </w:t>
      </w:r>
      <w:r w:rsidRPr="0026004F">
        <w:rPr>
          <w:rFonts w:ascii="Calibri" w:eastAsia="Calibri" w:hAnsi="Calibri"/>
          <w:iCs/>
          <w:sz w:val="20"/>
          <w:szCs w:val="20"/>
        </w:rPr>
        <w:t xml:space="preserve">upraven o další možné kalendářní vlivy a zbytek </w:t>
      </w:r>
      <w:r w:rsidR="00E17C2E" w:rsidRPr="00E17C2E">
        <w:rPr>
          <w:rFonts w:ascii="Calibri" w:eastAsia="Calibri" w:hAnsi="Calibri"/>
          <w:iCs/>
          <w:sz w:val="20"/>
          <w:szCs w:val="20"/>
        </w:rPr>
        <w:t>byl</w:t>
      </w:r>
      <w:r w:rsidRPr="0026004F">
        <w:rPr>
          <w:rFonts w:ascii="Calibri" w:eastAsia="Calibri" w:hAnsi="Calibri"/>
          <w:iCs/>
          <w:sz w:val="20"/>
          <w:szCs w:val="20"/>
        </w:rPr>
        <w:t xml:space="preserve"> přisouzen EET.</w:t>
      </w:r>
    </w:p>
    <w:p w14:paraId="6D5B31A7" w14:textId="52C32CFE" w:rsidR="00842611" w:rsidRPr="006069C6" w:rsidRDefault="00842611" w:rsidP="00261816">
      <w:pPr>
        <w:keepNext/>
        <w:tabs>
          <w:tab w:val="right" w:pos="9072"/>
        </w:tabs>
        <w:spacing w:after="40"/>
        <w:rPr>
          <w:rFonts w:ascii="Calibri" w:eastAsia="Calibri" w:hAnsi="Calibri"/>
          <w:b/>
          <w:bCs/>
          <w:sz w:val="24"/>
          <w:szCs w:val="24"/>
        </w:rPr>
      </w:pPr>
      <w:r w:rsidRPr="006069C6">
        <w:rPr>
          <w:rFonts w:ascii="Calibri" w:eastAsia="Calibri" w:hAnsi="Calibri"/>
          <w:b/>
          <w:bCs/>
          <w:sz w:val="24"/>
          <w:szCs w:val="24"/>
        </w:rPr>
        <w:t xml:space="preserve">Tabulka č. </w:t>
      </w:r>
      <w:r w:rsidR="00162277" w:rsidRPr="006069C6">
        <w:rPr>
          <w:rFonts w:ascii="Calibri" w:eastAsia="Calibri" w:hAnsi="Calibri"/>
          <w:b/>
          <w:bCs/>
          <w:sz w:val="24"/>
          <w:szCs w:val="24"/>
        </w:rPr>
        <w:t>8</w:t>
      </w:r>
      <w:r w:rsidR="00261816" w:rsidRPr="006069C6">
        <w:rPr>
          <w:rFonts w:ascii="Calibri" w:eastAsia="Calibri" w:hAnsi="Calibri"/>
          <w:b/>
          <w:bCs/>
          <w:sz w:val="24"/>
          <w:szCs w:val="24"/>
        </w:rPr>
        <w:t>:</w:t>
      </w:r>
      <w:r w:rsidRPr="006069C6">
        <w:rPr>
          <w:rFonts w:ascii="Calibri" w:eastAsia="Calibri" w:hAnsi="Calibri"/>
          <w:b/>
          <w:bCs/>
          <w:sz w:val="24"/>
          <w:szCs w:val="24"/>
        </w:rPr>
        <w:t xml:space="preserve"> Vliv EET na </w:t>
      </w:r>
      <w:r w:rsidR="00261816" w:rsidRPr="006069C6">
        <w:rPr>
          <w:rFonts w:ascii="Calibri" w:eastAsia="Calibri" w:hAnsi="Calibri"/>
          <w:b/>
          <w:bCs/>
          <w:sz w:val="24"/>
          <w:szCs w:val="24"/>
        </w:rPr>
        <w:t xml:space="preserve">inkaso </w:t>
      </w:r>
      <w:r w:rsidRPr="006069C6">
        <w:rPr>
          <w:rFonts w:ascii="Calibri" w:eastAsia="Calibri" w:hAnsi="Calibri"/>
          <w:b/>
          <w:bCs/>
          <w:sz w:val="24"/>
          <w:szCs w:val="24"/>
        </w:rPr>
        <w:t xml:space="preserve">DPH – metoda pomocí makroekonomických agregátů </w:t>
      </w:r>
      <w:r w:rsidR="00261816" w:rsidRPr="006069C6">
        <w:rPr>
          <w:rFonts w:ascii="Calibri" w:eastAsia="Calibri" w:hAnsi="Calibri"/>
          <w:b/>
          <w:bCs/>
          <w:sz w:val="24"/>
          <w:szCs w:val="24"/>
        </w:rPr>
        <w:tab/>
        <w:t>(</w:t>
      </w:r>
      <w:r w:rsidR="00261816" w:rsidRPr="006069C6">
        <w:rPr>
          <w:b/>
          <w:bCs/>
          <w:sz w:val="24"/>
          <w:szCs w:val="24"/>
        </w:rPr>
        <w:t>v mld. Kč)</w:t>
      </w:r>
    </w:p>
    <w:tbl>
      <w:tblPr>
        <w:tblStyle w:val="Mkatabulky"/>
        <w:tblW w:w="5006" w:type="pct"/>
        <w:tblInd w:w="-5" w:type="dxa"/>
        <w:tblLook w:val="04A0" w:firstRow="1" w:lastRow="0" w:firstColumn="1" w:lastColumn="0" w:noHBand="0" w:noVBand="1"/>
      </w:tblPr>
      <w:tblGrid>
        <w:gridCol w:w="5677"/>
        <w:gridCol w:w="1132"/>
        <w:gridCol w:w="1132"/>
        <w:gridCol w:w="1132"/>
      </w:tblGrid>
      <w:tr w:rsidR="00261816" w:rsidRPr="006018A5" w14:paraId="4D574056" w14:textId="77777777" w:rsidTr="00261816">
        <w:trPr>
          <w:trHeight w:val="397"/>
        </w:trPr>
        <w:tc>
          <w:tcPr>
            <w:tcW w:w="3127" w:type="pct"/>
            <w:shd w:val="clear" w:color="auto" w:fill="E5F1FF"/>
            <w:vAlign w:val="center"/>
          </w:tcPr>
          <w:p w14:paraId="5E8CB85F" w14:textId="24A1E78A" w:rsidR="00842611" w:rsidRPr="00E17C2E" w:rsidRDefault="00842611" w:rsidP="006069C6">
            <w:pPr>
              <w:keepNext/>
              <w:rPr>
                <w:sz w:val="20"/>
                <w:szCs w:val="20"/>
              </w:rPr>
            </w:pPr>
          </w:p>
        </w:tc>
        <w:tc>
          <w:tcPr>
            <w:tcW w:w="624" w:type="pct"/>
            <w:shd w:val="clear" w:color="auto" w:fill="E5F1FF"/>
            <w:vAlign w:val="center"/>
          </w:tcPr>
          <w:p w14:paraId="5789F325" w14:textId="77777777" w:rsidR="00842611" w:rsidRPr="00E17C2E" w:rsidRDefault="00842611" w:rsidP="00261816">
            <w:pPr>
              <w:keepNext/>
              <w:jc w:val="center"/>
              <w:rPr>
                <w:b/>
                <w:sz w:val="20"/>
                <w:szCs w:val="20"/>
              </w:rPr>
            </w:pPr>
            <w:r w:rsidRPr="00E17C2E">
              <w:rPr>
                <w:b/>
                <w:sz w:val="20"/>
                <w:szCs w:val="20"/>
              </w:rPr>
              <w:t>2016</w:t>
            </w:r>
          </w:p>
        </w:tc>
        <w:tc>
          <w:tcPr>
            <w:tcW w:w="624" w:type="pct"/>
            <w:shd w:val="clear" w:color="auto" w:fill="E5F1FF"/>
            <w:vAlign w:val="center"/>
          </w:tcPr>
          <w:p w14:paraId="6241BC17" w14:textId="77777777" w:rsidR="00842611" w:rsidRPr="00E17C2E" w:rsidRDefault="00842611" w:rsidP="00261816">
            <w:pPr>
              <w:keepNext/>
              <w:jc w:val="center"/>
              <w:rPr>
                <w:b/>
                <w:sz w:val="20"/>
                <w:szCs w:val="20"/>
              </w:rPr>
            </w:pPr>
            <w:r w:rsidRPr="00E17C2E">
              <w:rPr>
                <w:b/>
                <w:sz w:val="20"/>
                <w:szCs w:val="20"/>
              </w:rPr>
              <w:t>2017</w:t>
            </w:r>
          </w:p>
        </w:tc>
        <w:tc>
          <w:tcPr>
            <w:tcW w:w="624" w:type="pct"/>
            <w:shd w:val="clear" w:color="auto" w:fill="E5F1FF"/>
            <w:vAlign w:val="center"/>
          </w:tcPr>
          <w:p w14:paraId="0ED99C8B" w14:textId="77777777" w:rsidR="00842611" w:rsidRPr="00E17C2E" w:rsidRDefault="00842611" w:rsidP="00261816">
            <w:pPr>
              <w:keepNext/>
              <w:jc w:val="center"/>
              <w:rPr>
                <w:b/>
                <w:sz w:val="20"/>
                <w:szCs w:val="20"/>
              </w:rPr>
            </w:pPr>
            <w:r w:rsidRPr="00E17C2E">
              <w:rPr>
                <w:b/>
                <w:sz w:val="20"/>
                <w:szCs w:val="20"/>
              </w:rPr>
              <w:t>2018</w:t>
            </w:r>
          </w:p>
        </w:tc>
      </w:tr>
      <w:tr w:rsidR="00842611" w:rsidRPr="006018A5" w14:paraId="37690E16" w14:textId="77777777" w:rsidTr="00261816">
        <w:tc>
          <w:tcPr>
            <w:tcW w:w="3127" w:type="pct"/>
          </w:tcPr>
          <w:p w14:paraId="274BF3CB" w14:textId="723C55BF" w:rsidR="00842611" w:rsidRPr="00E17C2E" w:rsidRDefault="00842611" w:rsidP="00B216DF">
            <w:pPr>
              <w:keepNext/>
              <w:jc w:val="both"/>
              <w:rPr>
                <w:sz w:val="20"/>
                <w:szCs w:val="20"/>
              </w:rPr>
            </w:pPr>
            <w:r w:rsidRPr="00E17C2E">
              <w:rPr>
                <w:sz w:val="20"/>
                <w:szCs w:val="20"/>
              </w:rPr>
              <w:t xml:space="preserve">Inkaso DPH </w:t>
            </w:r>
          </w:p>
        </w:tc>
        <w:tc>
          <w:tcPr>
            <w:tcW w:w="624" w:type="pct"/>
            <w:vAlign w:val="center"/>
          </w:tcPr>
          <w:p w14:paraId="27D47057" w14:textId="77777777" w:rsidR="00842611" w:rsidRPr="00E17C2E" w:rsidRDefault="00842611" w:rsidP="00B216DF">
            <w:pPr>
              <w:keepNext/>
              <w:jc w:val="right"/>
              <w:rPr>
                <w:sz w:val="20"/>
                <w:szCs w:val="20"/>
              </w:rPr>
            </w:pPr>
            <w:r w:rsidRPr="00E17C2E">
              <w:rPr>
                <w:sz w:val="20"/>
                <w:szCs w:val="20"/>
              </w:rPr>
              <w:t>349,7</w:t>
            </w:r>
          </w:p>
        </w:tc>
        <w:tc>
          <w:tcPr>
            <w:tcW w:w="624" w:type="pct"/>
            <w:vAlign w:val="center"/>
          </w:tcPr>
          <w:p w14:paraId="1BE678EC" w14:textId="77777777" w:rsidR="00842611" w:rsidRPr="00E17C2E" w:rsidRDefault="00842611" w:rsidP="00B216DF">
            <w:pPr>
              <w:keepNext/>
              <w:jc w:val="right"/>
              <w:rPr>
                <w:sz w:val="20"/>
                <w:szCs w:val="20"/>
              </w:rPr>
            </w:pPr>
            <w:r w:rsidRPr="00E17C2E">
              <w:rPr>
                <w:sz w:val="20"/>
                <w:szCs w:val="20"/>
              </w:rPr>
              <w:t>381,7</w:t>
            </w:r>
          </w:p>
        </w:tc>
        <w:tc>
          <w:tcPr>
            <w:tcW w:w="624" w:type="pct"/>
            <w:vAlign w:val="center"/>
          </w:tcPr>
          <w:p w14:paraId="73B9BBDD" w14:textId="77777777" w:rsidR="00842611" w:rsidRPr="00E17C2E" w:rsidRDefault="00842611" w:rsidP="00B216DF">
            <w:pPr>
              <w:keepNext/>
              <w:jc w:val="right"/>
              <w:rPr>
                <w:sz w:val="20"/>
                <w:szCs w:val="20"/>
              </w:rPr>
            </w:pPr>
            <w:r w:rsidRPr="00E17C2E">
              <w:rPr>
                <w:sz w:val="20"/>
                <w:szCs w:val="20"/>
              </w:rPr>
              <w:t>413,3</w:t>
            </w:r>
          </w:p>
        </w:tc>
      </w:tr>
      <w:tr w:rsidR="00842611" w:rsidRPr="006018A5" w14:paraId="014E2C5A" w14:textId="77777777" w:rsidTr="00261816">
        <w:tc>
          <w:tcPr>
            <w:tcW w:w="3127" w:type="pct"/>
          </w:tcPr>
          <w:p w14:paraId="544E451F" w14:textId="77777777" w:rsidR="00842611" w:rsidRPr="00E17C2E" w:rsidRDefault="00842611" w:rsidP="00B216DF">
            <w:pPr>
              <w:keepNext/>
              <w:jc w:val="both"/>
              <w:rPr>
                <w:sz w:val="20"/>
                <w:szCs w:val="20"/>
              </w:rPr>
            </w:pPr>
            <w:r w:rsidRPr="00E17C2E">
              <w:rPr>
                <w:sz w:val="20"/>
                <w:szCs w:val="20"/>
              </w:rPr>
              <w:t>Hrubý meziroční růst inkasa DPH</w:t>
            </w:r>
          </w:p>
        </w:tc>
        <w:tc>
          <w:tcPr>
            <w:tcW w:w="624" w:type="pct"/>
            <w:vAlign w:val="center"/>
          </w:tcPr>
          <w:p w14:paraId="59BE9C03" w14:textId="77777777" w:rsidR="00842611" w:rsidRPr="00E17C2E" w:rsidRDefault="00842611" w:rsidP="00B216DF">
            <w:pPr>
              <w:keepNext/>
              <w:jc w:val="right"/>
              <w:rPr>
                <w:sz w:val="20"/>
                <w:szCs w:val="20"/>
              </w:rPr>
            </w:pPr>
          </w:p>
        </w:tc>
        <w:tc>
          <w:tcPr>
            <w:tcW w:w="624" w:type="pct"/>
            <w:vAlign w:val="center"/>
          </w:tcPr>
          <w:p w14:paraId="0074128F" w14:textId="77777777" w:rsidR="00842611" w:rsidRPr="00E17C2E" w:rsidRDefault="00842611" w:rsidP="00B216DF">
            <w:pPr>
              <w:keepNext/>
              <w:jc w:val="right"/>
              <w:rPr>
                <w:sz w:val="20"/>
                <w:szCs w:val="20"/>
              </w:rPr>
            </w:pPr>
            <w:r w:rsidRPr="00E17C2E">
              <w:rPr>
                <w:sz w:val="20"/>
                <w:szCs w:val="20"/>
              </w:rPr>
              <w:t>32,0</w:t>
            </w:r>
          </w:p>
        </w:tc>
        <w:tc>
          <w:tcPr>
            <w:tcW w:w="624" w:type="pct"/>
            <w:vAlign w:val="center"/>
          </w:tcPr>
          <w:p w14:paraId="7FF8A7E6" w14:textId="77777777" w:rsidR="00842611" w:rsidRPr="00E17C2E" w:rsidRDefault="00842611" w:rsidP="00B216DF">
            <w:pPr>
              <w:keepNext/>
              <w:jc w:val="right"/>
              <w:rPr>
                <w:sz w:val="20"/>
                <w:szCs w:val="20"/>
              </w:rPr>
            </w:pPr>
            <w:r w:rsidRPr="00E17C2E">
              <w:rPr>
                <w:sz w:val="20"/>
                <w:szCs w:val="20"/>
              </w:rPr>
              <w:t>31,6</w:t>
            </w:r>
          </w:p>
        </w:tc>
      </w:tr>
      <w:tr w:rsidR="00842611" w:rsidRPr="006018A5" w14:paraId="2BD262FB" w14:textId="77777777" w:rsidTr="00261816">
        <w:tc>
          <w:tcPr>
            <w:tcW w:w="3127" w:type="pct"/>
          </w:tcPr>
          <w:p w14:paraId="2F083936" w14:textId="0FB27E92" w:rsidR="00842611" w:rsidRPr="00E17C2E" w:rsidRDefault="00842611" w:rsidP="006069C6">
            <w:pPr>
              <w:keepNext/>
              <w:ind w:firstLine="172"/>
              <w:jc w:val="both"/>
              <w:rPr>
                <w:sz w:val="20"/>
                <w:szCs w:val="20"/>
              </w:rPr>
            </w:pPr>
            <w:r w:rsidRPr="00E17C2E">
              <w:rPr>
                <w:sz w:val="20"/>
                <w:szCs w:val="20"/>
              </w:rPr>
              <w:t>z toho</w:t>
            </w:r>
            <w:r w:rsidR="00261816">
              <w:rPr>
                <w:sz w:val="20"/>
                <w:szCs w:val="20"/>
              </w:rPr>
              <w:t>:</w:t>
            </w:r>
            <w:r w:rsidRPr="00E17C2E">
              <w:rPr>
                <w:sz w:val="20"/>
                <w:szCs w:val="20"/>
              </w:rPr>
              <w:t xml:space="preserve"> </w:t>
            </w:r>
            <w:r w:rsidR="00261816">
              <w:rPr>
                <w:sz w:val="20"/>
                <w:szCs w:val="20"/>
              </w:rPr>
              <w:t xml:space="preserve">- </w:t>
            </w:r>
            <w:r w:rsidRPr="00E17C2E">
              <w:rPr>
                <w:sz w:val="20"/>
                <w:szCs w:val="20"/>
              </w:rPr>
              <w:t>spotřeba domácností a vlády</w:t>
            </w:r>
          </w:p>
        </w:tc>
        <w:tc>
          <w:tcPr>
            <w:tcW w:w="624" w:type="pct"/>
            <w:vAlign w:val="center"/>
          </w:tcPr>
          <w:p w14:paraId="69878F27" w14:textId="77777777" w:rsidR="00842611" w:rsidRPr="00E17C2E" w:rsidRDefault="00842611" w:rsidP="00B216DF">
            <w:pPr>
              <w:keepNext/>
              <w:jc w:val="right"/>
              <w:rPr>
                <w:sz w:val="20"/>
                <w:szCs w:val="20"/>
              </w:rPr>
            </w:pPr>
          </w:p>
        </w:tc>
        <w:tc>
          <w:tcPr>
            <w:tcW w:w="624" w:type="pct"/>
            <w:vAlign w:val="center"/>
          </w:tcPr>
          <w:p w14:paraId="108BBBE7" w14:textId="77777777" w:rsidR="00842611" w:rsidRPr="00E17C2E" w:rsidRDefault="00842611" w:rsidP="00B216DF">
            <w:pPr>
              <w:keepNext/>
              <w:jc w:val="right"/>
              <w:rPr>
                <w:sz w:val="20"/>
                <w:szCs w:val="20"/>
              </w:rPr>
            </w:pPr>
            <w:r w:rsidRPr="00E17C2E">
              <w:rPr>
                <w:sz w:val="20"/>
                <w:szCs w:val="20"/>
              </w:rPr>
              <w:t>19,6</w:t>
            </w:r>
          </w:p>
        </w:tc>
        <w:tc>
          <w:tcPr>
            <w:tcW w:w="624" w:type="pct"/>
            <w:vAlign w:val="center"/>
          </w:tcPr>
          <w:p w14:paraId="5BB437ED" w14:textId="77777777" w:rsidR="00842611" w:rsidRPr="00E17C2E" w:rsidRDefault="00842611" w:rsidP="00B216DF">
            <w:pPr>
              <w:keepNext/>
              <w:jc w:val="right"/>
              <w:rPr>
                <w:sz w:val="20"/>
                <w:szCs w:val="20"/>
              </w:rPr>
            </w:pPr>
            <w:r w:rsidRPr="00E17C2E">
              <w:rPr>
                <w:sz w:val="20"/>
                <w:szCs w:val="20"/>
              </w:rPr>
              <w:t>23,6</w:t>
            </w:r>
          </w:p>
        </w:tc>
      </w:tr>
      <w:tr w:rsidR="00842611" w:rsidRPr="006018A5" w14:paraId="310F90A8" w14:textId="77777777" w:rsidTr="00261816">
        <w:tc>
          <w:tcPr>
            <w:tcW w:w="3127" w:type="pct"/>
          </w:tcPr>
          <w:p w14:paraId="412BEF88" w14:textId="4DAE5605" w:rsidR="00842611" w:rsidRPr="00E17C2E" w:rsidRDefault="00261816" w:rsidP="006069C6">
            <w:pPr>
              <w:keepNext/>
              <w:ind w:firstLine="739"/>
              <w:jc w:val="both"/>
              <w:rPr>
                <w:sz w:val="20"/>
                <w:szCs w:val="20"/>
              </w:rPr>
            </w:pPr>
            <w:r>
              <w:rPr>
                <w:sz w:val="20"/>
                <w:szCs w:val="20"/>
              </w:rPr>
              <w:t xml:space="preserve"> - </w:t>
            </w:r>
            <w:r w:rsidR="00842611" w:rsidRPr="00E17C2E">
              <w:rPr>
                <w:sz w:val="20"/>
                <w:szCs w:val="20"/>
              </w:rPr>
              <w:t>investice</w:t>
            </w:r>
          </w:p>
        </w:tc>
        <w:tc>
          <w:tcPr>
            <w:tcW w:w="624" w:type="pct"/>
            <w:vAlign w:val="center"/>
          </w:tcPr>
          <w:p w14:paraId="4D90FEA9" w14:textId="77777777" w:rsidR="00842611" w:rsidRPr="00E17C2E" w:rsidRDefault="00842611" w:rsidP="00B216DF">
            <w:pPr>
              <w:keepNext/>
              <w:jc w:val="right"/>
              <w:rPr>
                <w:sz w:val="20"/>
                <w:szCs w:val="20"/>
              </w:rPr>
            </w:pPr>
          </w:p>
        </w:tc>
        <w:tc>
          <w:tcPr>
            <w:tcW w:w="624" w:type="pct"/>
            <w:vAlign w:val="center"/>
          </w:tcPr>
          <w:p w14:paraId="4E867375" w14:textId="77777777" w:rsidR="00842611" w:rsidRPr="00E17C2E" w:rsidRDefault="00842611" w:rsidP="00B216DF">
            <w:pPr>
              <w:keepNext/>
              <w:jc w:val="right"/>
              <w:rPr>
                <w:sz w:val="20"/>
                <w:szCs w:val="20"/>
              </w:rPr>
            </w:pPr>
            <w:r w:rsidRPr="00E17C2E">
              <w:rPr>
                <w:sz w:val="20"/>
                <w:szCs w:val="20"/>
              </w:rPr>
              <w:t>1,9</w:t>
            </w:r>
          </w:p>
        </w:tc>
        <w:tc>
          <w:tcPr>
            <w:tcW w:w="624" w:type="pct"/>
            <w:vAlign w:val="center"/>
          </w:tcPr>
          <w:p w14:paraId="17083615" w14:textId="77777777" w:rsidR="00842611" w:rsidRPr="00E17C2E" w:rsidRDefault="00842611" w:rsidP="00B216DF">
            <w:pPr>
              <w:keepNext/>
              <w:jc w:val="right"/>
              <w:rPr>
                <w:sz w:val="20"/>
                <w:szCs w:val="20"/>
              </w:rPr>
            </w:pPr>
            <w:r w:rsidRPr="00E17C2E">
              <w:rPr>
                <w:sz w:val="20"/>
                <w:szCs w:val="20"/>
              </w:rPr>
              <w:t>6,4</w:t>
            </w:r>
          </w:p>
        </w:tc>
      </w:tr>
      <w:tr w:rsidR="00842611" w:rsidRPr="006018A5" w14:paraId="63B62C18" w14:textId="77777777" w:rsidTr="00261816">
        <w:tc>
          <w:tcPr>
            <w:tcW w:w="3127" w:type="pct"/>
          </w:tcPr>
          <w:p w14:paraId="3D2D4C61" w14:textId="50884113" w:rsidR="00842611" w:rsidRPr="00E17C2E" w:rsidRDefault="00842611" w:rsidP="006069C6">
            <w:pPr>
              <w:keepNext/>
              <w:ind w:firstLine="739"/>
              <w:jc w:val="both"/>
              <w:rPr>
                <w:sz w:val="20"/>
                <w:szCs w:val="20"/>
              </w:rPr>
            </w:pPr>
            <w:r w:rsidRPr="00E17C2E">
              <w:rPr>
                <w:sz w:val="20"/>
                <w:szCs w:val="20"/>
              </w:rPr>
              <w:t xml:space="preserve"> </w:t>
            </w:r>
            <w:r w:rsidR="00261816">
              <w:rPr>
                <w:sz w:val="20"/>
                <w:szCs w:val="20"/>
              </w:rPr>
              <w:t xml:space="preserve">- </w:t>
            </w:r>
            <w:r w:rsidRPr="00E17C2E">
              <w:rPr>
                <w:sz w:val="20"/>
                <w:szCs w:val="20"/>
              </w:rPr>
              <w:t>diskreční opatření a mimořádné vlivy</w:t>
            </w:r>
          </w:p>
        </w:tc>
        <w:tc>
          <w:tcPr>
            <w:tcW w:w="624" w:type="pct"/>
            <w:vAlign w:val="center"/>
          </w:tcPr>
          <w:p w14:paraId="0DD80CCB" w14:textId="77777777" w:rsidR="00842611" w:rsidRPr="00E17C2E" w:rsidRDefault="00842611" w:rsidP="00B216DF">
            <w:pPr>
              <w:keepNext/>
              <w:jc w:val="right"/>
              <w:rPr>
                <w:sz w:val="20"/>
                <w:szCs w:val="20"/>
              </w:rPr>
            </w:pPr>
          </w:p>
        </w:tc>
        <w:tc>
          <w:tcPr>
            <w:tcW w:w="624" w:type="pct"/>
            <w:vAlign w:val="center"/>
          </w:tcPr>
          <w:p w14:paraId="346F7C46" w14:textId="16355404" w:rsidR="00842611" w:rsidRPr="00E17C2E" w:rsidRDefault="00261816" w:rsidP="00B216DF">
            <w:pPr>
              <w:keepNext/>
              <w:jc w:val="right"/>
              <w:rPr>
                <w:sz w:val="20"/>
                <w:szCs w:val="20"/>
              </w:rPr>
            </w:pPr>
            <w:r w:rsidRPr="00E17C2E">
              <w:rPr>
                <w:sz w:val="20"/>
                <w:szCs w:val="20"/>
              </w:rPr>
              <w:t>−</w:t>
            </w:r>
            <w:r w:rsidR="00842611" w:rsidRPr="00E17C2E">
              <w:rPr>
                <w:sz w:val="20"/>
                <w:szCs w:val="20"/>
              </w:rPr>
              <w:t>0,4</w:t>
            </w:r>
          </w:p>
        </w:tc>
        <w:tc>
          <w:tcPr>
            <w:tcW w:w="624" w:type="pct"/>
            <w:vAlign w:val="center"/>
          </w:tcPr>
          <w:p w14:paraId="33FF4992" w14:textId="77777777" w:rsidR="00842611" w:rsidRPr="00E17C2E" w:rsidRDefault="00842611" w:rsidP="00B216DF">
            <w:pPr>
              <w:keepNext/>
              <w:jc w:val="right"/>
              <w:rPr>
                <w:sz w:val="20"/>
                <w:szCs w:val="20"/>
              </w:rPr>
            </w:pPr>
            <w:r w:rsidRPr="00E17C2E">
              <w:rPr>
                <w:sz w:val="20"/>
                <w:szCs w:val="20"/>
              </w:rPr>
              <w:t>1,9</w:t>
            </w:r>
          </w:p>
        </w:tc>
      </w:tr>
      <w:tr w:rsidR="00842611" w:rsidRPr="006018A5" w14:paraId="66776C02" w14:textId="77777777" w:rsidTr="00261816">
        <w:tc>
          <w:tcPr>
            <w:tcW w:w="3127" w:type="pct"/>
          </w:tcPr>
          <w:p w14:paraId="5EC68E8D" w14:textId="16E4D654" w:rsidR="00842611" w:rsidRPr="00E17C2E" w:rsidRDefault="00842611" w:rsidP="006069C6">
            <w:pPr>
              <w:keepNext/>
              <w:ind w:firstLine="739"/>
              <w:jc w:val="both"/>
              <w:rPr>
                <w:sz w:val="20"/>
                <w:szCs w:val="20"/>
              </w:rPr>
            </w:pPr>
            <w:r w:rsidRPr="00E17C2E">
              <w:rPr>
                <w:sz w:val="20"/>
                <w:szCs w:val="20"/>
              </w:rPr>
              <w:t xml:space="preserve"> </w:t>
            </w:r>
            <w:r w:rsidR="00261816">
              <w:rPr>
                <w:sz w:val="20"/>
                <w:szCs w:val="20"/>
              </w:rPr>
              <w:t xml:space="preserve">- </w:t>
            </w:r>
            <w:r w:rsidRPr="00E17C2E">
              <w:rPr>
                <w:sz w:val="20"/>
                <w:szCs w:val="20"/>
              </w:rPr>
              <w:t>vyplacené NO (meziroční pokles zadržených NO)</w:t>
            </w:r>
          </w:p>
        </w:tc>
        <w:tc>
          <w:tcPr>
            <w:tcW w:w="624" w:type="pct"/>
            <w:vAlign w:val="center"/>
          </w:tcPr>
          <w:p w14:paraId="02579E67" w14:textId="77777777" w:rsidR="00842611" w:rsidRPr="00E17C2E" w:rsidRDefault="00842611" w:rsidP="00B216DF">
            <w:pPr>
              <w:keepNext/>
              <w:jc w:val="right"/>
              <w:rPr>
                <w:sz w:val="20"/>
                <w:szCs w:val="20"/>
              </w:rPr>
            </w:pPr>
          </w:p>
        </w:tc>
        <w:tc>
          <w:tcPr>
            <w:tcW w:w="624" w:type="pct"/>
            <w:vAlign w:val="center"/>
          </w:tcPr>
          <w:p w14:paraId="76648D76" w14:textId="63FF02D2" w:rsidR="00842611" w:rsidRPr="00E17C2E" w:rsidRDefault="00261816" w:rsidP="00B216DF">
            <w:pPr>
              <w:keepNext/>
              <w:jc w:val="right"/>
              <w:rPr>
                <w:sz w:val="20"/>
                <w:szCs w:val="20"/>
              </w:rPr>
            </w:pPr>
            <w:r w:rsidRPr="00E17C2E">
              <w:rPr>
                <w:sz w:val="20"/>
                <w:szCs w:val="20"/>
              </w:rPr>
              <w:t>−</w:t>
            </w:r>
            <w:r w:rsidR="00842611" w:rsidRPr="00E17C2E">
              <w:rPr>
                <w:sz w:val="20"/>
                <w:szCs w:val="20"/>
              </w:rPr>
              <w:t>1,4</w:t>
            </w:r>
          </w:p>
        </w:tc>
        <w:tc>
          <w:tcPr>
            <w:tcW w:w="624" w:type="pct"/>
            <w:vAlign w:val="center"/>
          </w:tcPr>
          <w:p w14:paraId="0A93E2FB" w14:textId="491C15DE" w:rsidR="00842611" w:rsidRPr="00E17C2E" w:rsidRDefault="00261816" w:rsidP="00B216DF">
            <w:pPr>
              <w:keepNext/>
              <w:jc w:val="right"/>
              <w:rPr>
                <w:sz w:val="20"/>
                <w:szCs w:val="20"/>
              </w:rPr>
            </w:pPr>
            <w:r w:rsidRPr="00E17C2E">
              <w:rPr>
                <w:sz w:val="20"/>
                <w:szCs w:val="20"/>
              </w:rPr>
              <w:t>−</w:t>
            </w:r>
            <w:r w:rsidR="00842611" w:rsidRPr="00E17C2E">
              <w:rPr>
                <w:sz w:val="20"/>
                <w:szCs w:val="20"/>
              </w:rPr>
              <w:t>2,9</w:t>
            </w:r>
          </w:p>
        </w:tc>
      </w:tr>
      <w:tr w:rsidR="00842611" w:rsidRPr="006018A5" w14:paraId="6B4C83C6" w14:textId="77777777" w:rsidTr="00261816">
        <w:tc>
          <w:tcPr>
            <w:tcW w:w="3127" w:type="pct"/>
          </w:tcPr>
          <w:p w14:paraId="0E7764BE" w14:textId="77777777" w:rsidR="00842611" w:rsidRPr="00E17C2E" w:rsidRDefault="00842611" w:rsidP="00B216DF">
            <w:pPr>
              <w:keepNext/>
              <w:jc w:val="both"/>
              <w:rPr>
                <w:sz w:val="20"/>
                <w:szCs w:val="20"/>
              </w:rPr>
            </w:pPr>
            <w:r w:rsidRPr="00E17C2E">
              <w:rPr>
                <w:sz w:val="20"/>
                <w:szCs w:val="20"/>
              </w:rPr>
              <w:t>Zbývá na EET a KH</w:t>
            </w:r>
          </w:p>
        </w:tc>
        <w:tc>
          <w:tcPr>
            <w:tcW w:w="624" w:type="pct"/>
            <w:vAlign w:val="center"/>
          </w:tcPr>
          <w:p w14:paraId="1560829A" w14:textId="77777777" w:rsidR="00842611" w:rsidRPr="00E17C2E" w:rsidRDefault="00842611" w:rsidP="00B216DF">
            <w:pPr>
              <w:keepNext/>
              <w:jc w:val="right"/>
              <w:rPr>
                <w:sz w:val="20"/>
                <w:szCs w:val="20"/>
              </w:rPr>
            </w:pPr>
          </w:p>
        </w:tc>
        <w:tc>
          <w:tcPr>
            <w:tcW w:w="624" w:type="pct"/>
            <w:vAlign w:val="center"/>
          </w:tcPr>
          <w:p w14:paraId="327EFC8D" w14:textId="77777777" w:rsidR="00842611" w:rsidRPr="00E17C2E" w:rsidRDefault="00842611" w:rsidP="00B216DF">
            <w:pPr>
              <w:keepNext/>
              <w:jc w:val="right"/>
              <w:rPr>
                <w:sz w:val="20"/>
                <w:szCs w:val="20"/>
              </w:rPr>
            </w:pPr>
            <w:r w:rsidRPr="00E17C2E">
              <w:rPr>
                <w:sz w:val="20"/>
                <w:szCs w:val="20"/>
              </w:rPr>
              <w:t>12,3</w:t>
            </w:r>
          </w:p>
        </w:tc>
        <w:tc>
          <w:tcPr>
            <w:tcW w:w="624" w:type="pct"/>
            <w:vAlign w:val="center"/>
          </w:tcPr>
          <w:p w14:paraId="4CAB8650" w14:textId="77777777" w:rsidR="00842611" w:rsidRPr="00E17C2E" w:rsidRDefault="00842611" w:rsidP="00B216DF">
            <w:pPr>
              <w:keepNext/>
              <w:jc w:val="right"/>
              <w:rPr>
                <w:sz w:val="20"/>
                <w:szCs w:val="20"/>
              </w:rPr>
            </w:pPr>
            <w:r w:rsidRPr="00E17C2E">
              <w:rPr>
                <w:sz w:val="20"/>
                <w:szCs w:val="20"/>
              </w:rPr>
              <w:t>2,6</w:t>
            </w:r>
          </w:p>
        </w:tc>
      </w:tr>
      <w:tr w:rsidR="00261816" w:rsidRPr="006018A5" w14:paraId="1463715C" w14:textId="77777777" w:rsidTr="00261816">
        <w:tc>
          <w:tcPr>
            <w:tcW w:w="3127" w:type="pct"/>
            <w:shd w:val="clear" w:color="auto" w:fill="D9D9D9"/>
          </w:tcPr>
          <w:p w14:paraId="71684587" w14:textId="557FCED9" w:rsidR="00842611" w:rsidRPr="00E17C2E" w:rsidRDefault="00842611" w:rsidP="006069C6">
            <w:pPr>
              <w:keepNext/>
              <w:ind w:firstLine="172"/>
              <w:jc w:val="both"/>
              <w:rPr>
                <w:sz w:val="20"/>
                <w:szCs w:val="20"/>
              </w:rPr>
            </w:pPr>
            <w:r w:rsidRPr="00E17C2E">
              <w:rPr>
                <w:sz w:val="20"/>
                <w:szCs w:val="20"/>
              </w:rPr>
              <w:t>z toho</w:t>
            </w:r>
            <w:r w:rsidR="00261816">
              <w:rPr>
                <w:sz w:val="20"/>
                <w:szCs w:val="20"/>
              </w:rPr>
              <w:t>:</w:t>
            </w:r>
            <w:r w:rsidRPr="00E17C2E">
              <w:rPr>
                <w:sz w:val="20"/>
                <w:szCs w:val="20"/>
              </w:rPr>
              <w:t xml:space="preserve"> </w:t>
            </w:r>
            <w:r w:rsidR="00261816">
              <w:rPr>
                <w:sz w:val="20"/>
                <w:szCs w:val="20"/>
              </w:rPr>
              <w:t xml:space="preserve">- </w:t>
            </w:r>
            <w:r w:rsidRPr="00E17C2E">
              <w:rPr>
                <w:sz w:val="20"/>
                <w:szCs w:val="20"/>
              </w:rPr>
              <w:t>EET – hrubý odhad</w:t>
            </w:r>
          </w:p>
        </w:tc>
        <w:tc>
          <w:tcPr>
            <w:tcW w:w="624" w:type="pct"/>
            <w:shd w:val="clear" w:color="auto" w:fill="D9D9D9"/>
            <w:vAlign w:val="center"/>
          </w:tcPr>
          <w:p w14:paraId="48403CF6" w14:textId="77777777" w:rsidR="00842611" w:rsidRPr="00E17C2E" w:rsidRDefault="00842611" w:rsidP="00B216DF">
            <w:pPr>
              <w:keepNext/>
              <w:jc w:val="right"/>
              <w:rPr>
                <w:sz w:val="20"/>
                <w:szCs w:val="20"/>
              </w:rPr>
            </w:pPr>
          </w:p>
        </w:tc>
        <w:tc>
          <w:tcPr>
            <w:tcW w:w="624" w:type="pct"/>
            <w:shd w:val="clear" w:color="auto" w:fill="D9D9D9"/>
            <w:vAlign w:val="center"/>
          </w:tcPr>
          <w:p w14:paraId="636F7904" w14:textId="77777777" w:rsidR="00842611" w:rsidRPr="00E17C2E" w:rsidRDefault="00842611" w:rsidP="00B216DF">
            <w:pPr>
              <w:keepNext/>
              <w:jc w:val="right"/>
              <w:rPr>
                <w:sz w:val="20"/>
                <w:szCs w:val="20"/>
              </w:rPr>
            </w:pPr>
            <w:r w:rsidRPr="00E17C2E">
              <w:rPr>
                <w:sz w:val="20"/>
                <w:szCs w:val="20"/>
              </w:rPr>
              <w:t>4,7</w:t>
            </w:r>
          </w:p>
        </w:tc>
        <w:tc>
          <w:tcPr>
            <w:tcW w:w="624" w:type="pct"/>
            <w:shd w:val="clear" w:color="auto" w:fill="D9D9D9"/>
            <w:vAlign w:val="center"/>
          </w:tcPr>
          <w:p w14:paraId="46826B84" w14:textId="77777777" w:rsidR="00842611" w:rsidRPr="00E17C2E" w:rsidRDefault="00842611" w:rsidP="00B216DF">
            <w:pPr>
              <w:keepNext/>
              <w:jc w:val="right"/>
              <w:rPr>
                <w:sz w:val="20"/>
                <w:szCs w:val="20"/>
              </w:rPr>
            </w:pPr>
            <w:r w:rsidRPr="00E17C2E">
              <w:rPr>
                <w:sz w:val="20"/>
                <w:szCs w:val="20"/>
              </w:rPr>
              <w:t>1,4</w:t>
            </w:r>
          </w:p>
        </w:tc>
      </w:tr>
      <w:tr w:rsidR="00842611" w:rsidRPr="0032644B" w14:paraId="22BF6E4A" w14:textId="77777777" w:rsidTr="00261816">
        <w:tc>
          <w:tcPr>
            <w:tcW w:w="3127" w:type="pct"/>
          </w:tcPr>
          <w:p w14:paraId="4600980F" w14:textId="08976565" w:rsidR="00842611" w:rsidRPr="00E17C2E" w:rsidRDefault="00261816" w:rsidP="006069C6">
            <w:pPr>
              <w:keepNext/>
              <w:ind w:firstLine="739"/>
              <w:jc w:val="both"/>
              <w:rPr>
                <w:sz w:val="20"/>
                <w:szCs w:val="20"/>
              </w:rPr>
            </w:pPr>
            <w:r>
              <w:rPr>
                <w:sz w:val="20"/>
                <w:szCs w:val="20"/>
              </w:rPr>
              <w:t xml:space="preserve"> - </w:t>
            </w:r>
            <w:r w:rsidR="00842611" w:rsidRPr="00261816">
              <w:rPr>
                <w:sz w:val="20"/>
                <w:szCs w:val="20"/>
              </w:rPr>
              <w:t>další</w:t>
            </w:r>
            <w:r w:rsidR="00842611" w:rsidRPr="00E17C2E">
              <w:rPr>
                <w:sz w:val="20"/>
                <w:szCs w:val="20"/>
              </w:rPr>
              <w:t xml:space="preserve"> opatření (KH, </w:t>
            </w:r>
            <w:r w:rsidR="004A3D49">
              <w:rPr>
                <w:sz w:val="20"/>
                <w:szCs w:val="20"/>
              </w:rPr>
              <w:t xml:space="preserve">daňová </w:t>
            </w:r>
            <w:r w:rsidR="00842611" w:rsidRPr="00E17C2E">
              <w:rPr>
                <w:sz w:val="20"/>
                <w:szCs w:val="20"/>
              </w:rPr>
              <w:t xml:space="preserve">Kobra) </w:t>
            </w:r>
            <w:r>
              <w:rPr>
                <w:sz w:val="20"/>
                <w:szCs w:val="20"/>
              </w:rPr>
              <w:t>–</w:t>
            </w:r>
            <w:r w:rsidR="00842611" w:rsidRPr="00E17C2E">
              <w:rPr>
                <w:sz w:val="20"/>
                <w:szCs w:val="20"/>
              </w:rPr>
              <w:t xml:space="preserve"> odhad</w:t>
            </w:r>
          </w:p>
        </w:tc>
        <w:tc>
          <w:tcPr>
            <w:tcW w:w="624" w:type="pct"/>
            <w:vAlign w:val="center"/>
          </w:tcPr>
          <w:p w14:paraId="1FD655C9" w14:textId="77777777" w:rsidR="00842611" w:rsidRPr="00E17C2E" w:rsidRDefault="00842611" w:rsidP="00B216DF">
            <w:pPr>
              <w:keepNext/>
              <w:jc w:val="right"/>
              <w:rPr>
                <w:sz w:val="20"/>
                <w:szCs w:val="20"/>
              </w:rPr>
            </w:pPr>
          </w:p>
        </w:tc>
        <w:tc>
          <w:tcPr>
            <w:tcW w:w="624" w:type="pct"/>
            <w:vAlign w:val="center"/>
          </w:tcPr>
          <w:p w14:paraId="7CA5CDCB" w14:textId="77777777" w:rsidR="00842611" w:rsidRPr="00E17C2E" w:rsidRDefault="00842611" w:rsidP="00B216DF">
            <w:pPr>
              <w:keepNext/>
              <w:jc w:val="right"/>
              <w:rPr>
                <w:sz w:val="20"/>
                <w:szCs w:val="20"/>
              </w:rPr>
            </w:pPr>
            <w:r w:rsidRPr="00E17C2E">
              <w:rPr>
                <w:sz w:val="20"/>
                <w:szCs w:val="20"/>
              </w:rPr>
              <w:t>7,6</w:t>
            </w:r>
          </w:p>
        </w:tc>
        <w:tc>
          <w:tcPr>
            <w:tcW w:w="624" w:type="pct"/>
            <w:vAlign w:val="center"/>
          </w:tcPr>
          <w:p w14:paraId="7FD4D369" w14:textId="77777777" w:rsidR="00842611" w:rsidRPr="00E17C2E" w:rsidRDefault="00842611" w:rsidP="00B216DF">
            <w:pPr>
              <w:keepNext/>
              <w:jc w:val="right"/>
              <w:rPr>
                <w:sz w:val="20"/>
                <w:szCs w:val="20"/>
              </w:rPr>
            </w:pPr>
            <w:r w:rsidRPr="00E17C2E">
              <w:rPr>
                <w:sz w:val="20"/>
                <w:szCs w:val="20"/>
              </w:rPr>
              <w:t>1,2</w:t>
            </w:r>
          </w:p>
        </w:tc>
      </w:tr>
    </w:tbl>
    <w:p w14:paraId="55745F7B" w14:textId="77777777" w:rsidR="00261816" w:rsidRDefault="00842611" w:rsidP="00261816">
      <w:pPr>
        <w:keepNext/>
        <w:spacing w:after="0"/>
        <w:jc w:val="both"/>
        <w:rPr>
          <w:rFonts w:ascii="Calibri" w:eastAsia="Calibri" w:hAnsi="Calibri"/>
          <w:iCs/>
          <w:sz w:val="20"/>
          <w:szCs w:val="20"/>
        </w:rPr>
      </w:pPr>
      <w:r w:rsidRPr="006069C6">
        <w:rPr>
          <w:rFonts w:ascii="Calibri" w:eastAsia="Calibri" w:hAnsi="Calibri"/>
          <w:b/>
          <w:bCs/>
          <w:iCs/>
          <w:sz w:val="20"/>
          <w:szCs w:val="20"/>
        </w:rPr>
        <w:t>Zdroj:</w:t>
      </w:r>
      <w:r w:rsidRPr="006069C6">
        <w:rPr>
          <w:rFonts w:ascii="Calibri" w:eastAsia="Calibri" w:hAnsi="Calibri"/>
          <w:iCs/>
          <w:sz w:val="20"/>
          <w:szCs w:val="20"/>
        </w:rPr>
        <w:t xml:space="preserve"> GFŘ</w:t>
      </w:r>
      <w:r w:rsidR="00261816">
        <w:rPr>
          <w:rFonts w:ascii="Calibri" w:eastAsia="Calibri" w:hAnsi="Calibri"/>
          <w:iCs/>
          <w:sz w:val="20"/>
          <w:szCs w:val="20"/>
        </w:rPr>
        <w:t>.</w:t>
      </w:r>
      <w:r w:rsidR="006B3AB4" w:rsidRPr="006069C6">
        <w:rPr>
          <w:rFonts w:ascii="Calibri" w:eastAsia="Calibri" w:hAnsi="Calibri"/>
          <w:iCs/>
          <w:sz w:val="20"/>
          <w:szCs w:val="20"/>
        </w:rPr>
        <w:t xml:space="preserve"> </w:t>
      </w:r>
    </w:p>
    <w:p w14:paraId="24F6CC33" w14:textId="33199B8C" w:rsidR="00842611" w:rsidRPr="006069C6" w:rsidRDefault="00261816" w:rsidP="00842611">
      <w:pPr>
        <w:keepNext/>
        <w:jc w:val="both"/>
        <w:rPr>
          <w:rFonts w:ascii="Calibri" w:eastAsia="Calibri" w:hAnsi="Calibri"/>
          <w:iCs/>
          <w:sz w:val="20"/>
          <w:szCs w:val="20"/>
        </w:rPr>
      </w:pPr>
      <w:r>
        <w:rPr>
          <w:rFonts w:ascii="Calibri" w:eastAsia="Calibri" w:hAnsi="Calibri"/>
          <w:b/>
          <w:bCs/>
          <w:iCs/>
          <w:sz w:val="20"/>
          <w:szCs w:val="20"/>
        </w:rPr>
        <w:t>P</w:t>
      </w:r>
      <w:r w:rsidR="006B3AB4" w:rsidRPr="0026004F">
        <w:rPr>
          <w:rFonts w:ascii="Calibri" w:eastAsia="Calibri" w:hAnsi="Calibri"/>
          <w:b/>
          <w:bCs/>
          <w:iCs/>
          <w:sz w:val="20"/>
          <w:szCs w:val="20"/>
        </w:rPr>
        <w:t>ozn.</w:t>
      </w:r>
      <w:r>
        <w:rPr>
          <w:rFonts w:ascii="Calibri" w:eastAsia="Calibri" w:hAnsi="Calibri"/>
          <w:b/>
          <w:bCs/>
          <w:iCs/>
          <w:sz w:val="20"/>
          <w:szCs w:val="20"/>
        </w:rPr>
        <w:t>:</w:t>
      </w:r>
      <w:r w:rsidR="006B3AB4" w:rsidRPr="006069C6">
        <w:rPr>
          <w:rFonts w:ascii="Calibri" w:eastAsia="Calibri" w:hAnsi="Calibri"/>
          <w:iCs/>
          <w:sz w:val="20"/>
          <w:szCs w:val="20"/>
        </w:rPr>
        <w:t xml:space="preserve"> NO – </w:t>
      </w:r>
      <w:r w:rsidR="000459B0" w:rsidRPr="006069C6">
        <w:rPr>
          <w:rFonts w:ascii="Calibri" w:eastAsia="Calibri" w:hAnsi="Calibri"/>
          <w:iCs/>
          <w:sz w:val="20"/>
          <w:szCs w:val="20"/>
        </w:rPr>
        <w:t>nadměrný odpočet</w:t>
      </w:r>
      <w:r>
        <w:rPr>
          <w:rFonts w:ascii="Calibri" w:eastAsia="Calibri" w:hAnsi="Calibri"/>
          <w:iCs/>
          <w:sz w:val="20"/>
          <w:szCs w:val="20"/>
        </w:rPr>
        <w:t>.</w:t>
      </w:r>
    </w:p>
    <w:p w14:paraId="78CE7EC7" w14:textId="78712B1D" w:rsidR="00E00E95" w:rsidRPr="00E00E95" w:rsidRDefault="00842611" w:rsidP="00E00E95">
      <w:pPr>
        <w:spacing w:after="120" w:line="240" w:lineRule="auto"/>
        <w:jc w:val="both"/>
        <w:rPr>
          <w:rFonts w:eastAsia="Calibri" w:cstheme="minorHAnsi"/>
          <w:sz w:val="24"/>
          <w:szCs w:val="24"/>
        </w:rPr>
      </w:pPr>
      <w:r w:rsidRPr="00842611">
        <w:rPr>
          <w:rFonts w:eastAsia="Calibri" w:cstheme="minorHAnsi"/>
          <w:sz w:val="24"/>
          <w:szCs w:val="24"/>
        </w:rPr>
        <w:t xml:space="preserve">MF ve </w:t>
      </w:r>
      <w:r w:rsidR="003A5E79" w:rsidRPr="0026004F">
        <w:rPr>
          <w:rFonts w:eastAsia="Calibri" w:cstheme="minorHAnsi"/>
          <w:i/>
          <w:iCs/>
          <w:sz w:val="24"/>
          <w:szCs w:val="24"/>
        </w:rPr>
        <w:t>s</w:t>
      </w:r>
      <w:r w:rsidRPr="0026004F">
        <w:rPr>
          <w:rFonts w:eastAsia="Calibri" w:cstheme="minorHAnsi"/>
          <w:i/>
          <w:iCs/>
          <w:sz w:val="24"/>
          <w:szCs w:val="24"/>
        </w:rPr>
        <w:t>tátním závěrečném účtu za rok 2017</w:t>
      </w:r>
      <w:r w:rsidRPr="00842611">
        <w:rPr>
          <w:rFonts w:eastAsia="Calibri" w:cstheme="minorHAnsi"/>
          <w:sz w:val="24"/>
          <w:szCs w:val="24"/>
        </w:rPr>
        <w:t xml:space="preserve"> odhadlo vliv EET na inkaso DPH </w:t>
      </w:r>
      <w:r w:rsidR="003A5E79">
        <w:rPr>
          <w:rFonts w:eastAsia="Calibri" w:cstheme="minorHAnsi"/>
          <w:sz w:val="24"/>
          <w:szCs w:val="24"/>
        </w:rPr>
        <w:t xml:space="preserve">za rok 2017 </w:t>
      </w:r>
      <w:r w:rsidRPr="00842611">
        <w:rPr>
          <w:rFonts w:eastAsia="Calibri" w:cstheme="minorHAnsi"/>
          <w:sz w:val="24"/>
          <w:szCs w:val="24"/>
        </w:rPr>
        <w:t>ve výši 4,1 mld. Kč a za rok 2018 ve výši 4,2 mld. Kč, a to na úrovni státního rozpočtu.</w:t>
      </w:r>
    </w:p>
    <w:p w14:paraId="1EDA4304" w14:textId="3E1A8C58" w:rsidR="00C854B3" w:rsidRPr="00C47E97" w:rsidRDefault="00C854B3" w:rsidP="0026004F">
      <w:pPr>
        <w:pStyle w:val="NadpisKZ"/>
        <w:tabs>
          <w:tab w:val="clear" w:pos="360"/>
        </w:tabs>
        <w:ind w:left="426" w:hanging="426"/>
      </w:pPr>
      <w:r w:rsidRPr="00C47E97">
        <w:t xml:space="preserve">Zrušením povinnosti evidovat tržby ztratili správci daně </w:t>
      </w:r>
      <w:r w:rsidR="006775C9">
        <w:t>jeden z</w:t>
      </w:r>
      <w:r w:rsidR="00040D2F">
        <w:t xml:space="preserve"> významných </w:t>
      </w:r>
      <w:r w:rsidRPr="00C47E97">
        <w:t>nástroj</w:t>
      </w:r>
      <w:r w:rsidR="006775C9">
        <w:t>ů</w:t>
      </w:r>
      <w:r w:rsidRPr="00C47E97">
        <w:t xml:space="preserve"> </w:t>
      </w:r>
      <w:r w:rsidR="00F1387D">
        <w:br/>
      </w:r>
      <w:r w:rsidRPr="00C47E97">
        <w:t>pro cílené prověřování daňových úniků</w:t>
      </w:r>
    </w:p>
    <w:p w14:paraId="3649BF81" w14:textId="554EEEA9" w:rsidR="00891950" w:rsidRPr="00C47E97" w:rsidRDefault="00C854B3" w:rsidP="009008B2">
      <w:pPr>
        <w:spacing w:after="120" w:line="240" w:lineRule="auto"/>
        <w:jc w:val="both"/>
        <w:rPr>
          <w:rFonts w:eastAsia="Calibri" w:cstheme="minorHAnsi"/>
          <w:sz w:val="24"/>
          <w:szCs w:val="24"/>
        </w:rPr>
      </w:pPr>
      <w:r w:rsidRPr="00C47E97">
        <w:rPr>
          <w:rFonts w:eastAsia="Calibri" w:cstheme="minorHAnsi"/>
          <w:sz w:val="24"/>
          <w:szCs w:val="24"/>
        </w:rPr>
        <w:t>Správci daně využívali údaje z EET</w:t>
      </w:r>
      <w:r w:rsidR="009008B2" w:rsidRPr="00C47E97">
        <w:rPr>
          <w:rFonts w:eastAsia="Calibri" w:cstheme="minorHAnsi"/>
          <w:sz w:val="24"/>
          <w:szCs w:val="24"/>
        </w:rPr>
        <w:t xml:space="preserve"> při doměření daně v</w:t>
      </w:r>
      <w:r w:rsidR="00792C28">
        <w:rPr>
          <w:rFonts w:eastAsia="Calibri" w:cstheme="minorHAnsi"/>
          <w:sz w:val="24"/>
          <w:szCs w:val="24"/>
        </w:rPr>
        <w:t xml:space="preserve"> </w:t>
      </w:r>
      <w:r w:rsidR="009008B2" w:rsidRPr="00C47E97">
        <w:rPr>
          <w:rFonts w:eastAsia="Calibri" w:cstheme="minorHAnsi"/>
          <w:sz w:val="24"/>
          <w:szCs w:val="24"/>
        </w:rPr>
        <w:t>případech rozdílů mezi údaji v daňových přiznáních</w:t>
      </w:r>
      <w:r w:rsidR="0013111A" w:rsidRPr="00C47E97">
        <w:rPr>
          <w:rFonts w:eastAsia="Calibri" w:cstheme="minorHAnsi"/>
          <w:sz w:val="24"/>
          <w:szCs w:val="24"/>
        </w:rPr>
        <w:t xml:space="preserve"> k DPH, dani z příjmů fyzických osob a dani z příjmů právnických osob</w:t>
      </w:r>
      <w:r w:rsidR="009008B2" w:rsidRPr="00C47E97">
        <w:rPr>
          <w:rFonts w:eastAsia="Calibri" w:cstheme="minorHAnsi"/>
          <w:sz w:val="24"/>
          <w:szCs w:val="24"/>
        </w:rPr>
        <w:t xml:space="preserve"> a</w:t>
      </w:r>
      <w:r w:rsidR="00041825">
        <w:rPr>
          <w:rFonts w:eastAsia="Calibri" w:cstheme="minorHAnsi"/>
          <w:sz w:val="24"/>
          <w:szCs w:val="24"/>
        </w:rPr>
        <w:t> </w:t>
      </w:r>
      <w:r w:rsidR="009008B2" w:rsidRPr="00C47E97">
        <w:rPr>
          <w:rFonts w:eastAsia="Calibri" w:cstheme="minorHAnsi"/>
          <w:sz w:val="24"/>
          <w:szCs w:val="24"/>
        </w:rPr>
        <w:t xml:space="preserve">údaji z EET. </w:t>
      </w:r>
    </w:p>
    <w:p w14:paraId="4644838A" w14:textId="6B126758" w:rsidR="00C854B3" w:rsidRPr="00C47E97" w:rsidRDefault="00891950" w:rsidP="006C5DA2">
      <w:pPr>
        <w:spacing w:after="120" w:line="240" w:lineRule="auto"/>
        <w:jc w:val="both"/>
        <w:rPr>
          <w:rFonts w:eastAsia="Calibri" w:cstheme="minorHAnsi"/>
          <w:sz w:val="24"/>
          <w:szCs w:val="24"/>
        </w:rPr>
      </w:pPr>
      <w:r w:rsidRPr="00C47E97">
        <w:rPr>
          <w:rFonts w:eastAsia="Calibri" w:cstheme="minorHAnsi"/>
          <w:sz w:val="24"/>
          <w:szCs w:val="24"/>
        </w:rPr>
        <w:t xml:space="preserve">GFŘ vytvářelo podněty k prošetření na základě porovnání hodnot vykazovaných v daňových přiznáních a tržeb zaslaných správci daně za příslušná období </w:t>
      </w:r>
      <w:r w:rsidR="006069C6">
        <w:rPr>
          <w:rFonts w:eastAsia="Calibri" w:cstheme="minorHAnsi"/>
          <w:sz w:val="24"/>
          <w:szCs w:val="24"/>
        </w:rPr>
        <w:t>–</w:t>
      </w:r>
      <w:r w:rsidRPr="00C47E97">
        <w:rPr>
          <w:rFonts w:eastAsia="Calibri" w:cstheme="minorHAnsi"/>
          <w:sz w:val="24"/>
          <w:szCs w:val="24"/>
        </w:rPr>
        <w:t xml:space="preserve"> cílem </w:t>
      </w:r>
      <w:r w:rsidR="006069C6">
        <w:rPr>
          <w:rFonts w:eastAsia="Calibri" w:cstheme="minorHAnsi"/>
          <w:sz w:val="24"/>
          <w:szCs w:val="24"/>
        </w:rPr>
        <w:t xml:space="preserve">bylo </w:t>
      </w:r>
      <w:r w:rsidRPr="00C47E97">
        <w:rPr>
          <w:rFonts w:eastAsia="Calibri" w:cstheme="minorHAnsi"/>
          <w:sz w:val="24"/>
          <w:szCs w:val="24"/>
        </w:rPr>
        <w:t>prověřit správnost údajů uvedených v</w:t>
      </w:r>
      <w:r w:rsidR="00792C28">
        <w:rPr>
          <w:rFonts w:eastAsia="Calibri" w:cstheme="minorHAnsi"/>
          <w:sz w:val="24"/>
          <w:szCs w:val="24"/>
        </w:rPr>
        <w:t xml:space="preserve"> </w:t>
      </w:r>
      <w:r w:rsidRPr="00C47E97">
        <w:rPr>
          <w:rFonts w:eastAsia="Calibri" w:cstheme="minorHAnsi"/>
          <w:sz w:val="24"/>
          <w:szCs w:val="24"/>
        </w:rPr>
        <w:t>daňových přiznáních. Z</w:t>
      </w:r>
      <w:r w:rsidRPr="00C47E97">
        <w:rPr>
          <w:rFonts w:cstheme="minorHAnsi"/>
          <w:sz w:val="24"/>
          <w:szCs w:val="24"/>
        </w:rPr>
        <w:t>a roky 2017</w:t>
      </w:r>
      <w:r w:rsidR="006069C6">
        <w:rPr>
          <w:rFonts w:cstheme="minorHAnsi"/>
          <w:sz w:val="24"/>
          <w:szCs w:val="24"/>
        </w:rPr>
        <w:t>–</w:t>
      </w:r>
      <w:r w:rsidRPr="00C47E97">
        <w:rPr>
          <w:rFonts w:cstheme="minorHAnsi"/>
          <w:sz w:val="24"/>
          <w:szCs w:val="24"/>
        </w:rPr>
        <w:t>20</w:t>
      </w:r>
      <w:r w:rsidR="00672FF3" w:rsidRPr="00C47E97">
        <w:rPr>
          <w:rFonts w:cstheme="minorHAnsi"/>
          <w:sz w:val="24"/>
          <w:szCs w:val="24"/>
        </w:rPr>
        <w:t>19</w:t>
      </w:r>
      <w:r w:rsidRPr="00C47E97">
        <w:rPr>
          <w:rFonts w:cstheme="minorHAnsi"/>
          <w:sz w:val="24"/>
          <w:szCs w:val="24"/>
        </w:rPr>
        <w:t xml:space="preserve"> předalo k</w:t>
      </w:r>
      <w:r w:rsidR="00792C28">
        <w:rPr>
          <w:rFonts w:cstheme="minorHAnsi"/>
          <w:sz w:val="24"/>
          <w:szCs w:val="24"/>
        </w:rPr>
        <w:t xml:space="preserve"> </w:t>
      </w:r>
      <w:r w:rsidRPr="00C47E97">
        <w:rPr>
          <w:rFonts w:cstheme="minorHAnsi"/>
          <w:sz w:val="24"/>
          <w:szCs w:val="24"/>
        </w:rPr>
        <w:t>prošetření 11 325 podnětů</w:t>
      </w:r>
      <w:r w:rsidR="00672FF3" w:rsidRPr="00C47E97">
        <w:rPr>
          <w:rFonts w:cstheme="minorHAnsi"/>
          <w:sz w:val="24"/>
          <w:szCs w:val="24"/>
        </w:rPr>
        <w:t xml:space="preserve"> </w:t>
      </w:r>
      <w:r w:rsidR="006069C6">
        <w:rPr>
          <w:rFonts w:cstheme="minorHAnsi"/>
          <w:sz w:val="24"/>
          <w:szCs w:val="24"/>
        </w:rPr>
        <w:t>u</w:t>
      </w:r>
      <w:r w:rsidR="00672FF3" w:rsidRPr="00C47E97">
        <w:rPr>
          <w:rFonts w:cstheme="minorHAnsi"/>
          <w:sz w:val="24"/>
          <w:szCs w:val="24"/>
        </w:rPr>
        <w:t xml:space="preserve"> DPH,</w:t>
      </w:r>
      <w:r w:rsidRPr="00C47E97">
        <w:rPr>
          <w:rFonts w:cstheme="minorHAnsi"/>
          <w:sz w:val="24"/>
          <w:szCs w:val="24"/>
        </w:rPr>
        <w:t xml:space="preserve"> 4 678 </w:t>
      </w:r>
      <w:r w:rsidR="006069C6">
        <w:rPr>
          <w:rFonts w:cstheme="minorHAnsi"/>
          <w:sz w:val="24"/>
          <w:szCs w:val="24"/>
        </w:rPr>
        <w:t>u</w:t>
      </w:r>
      <w:r w:rsidR="00672FF3" w:rsidRPr="00C47E97">
        <w:rPr>
          <w:rFonts w:cstheme="minorHAnsi"/>
          <w:sz w:val="24"/>
          <w:szCs w:val="24"/>
        </w:rPr>
        <w:t xml:space="preserve"> DPFO </w:t>
      </w:r>
      <w:r w:rsidR="006C5DA2" w:rsidRPr="00C47E97">
        <w:rPr>
          <w:rFonts w:cstheme="minorHAnsi"/>
          <w:sz w:val="24"/>
          <w:szCs w:val="24"/>
        </w:rPr>
        <w:t xml:space="preserve">a </w:t>
      </w:r>
      <w:r w:rsidRPr="00C47E97">
        <w:rPr>
          <w:rFonts w:cstheme="minorHAnsi"/>
          <w:sz w:val="24"/>
          <w:szCs w:val="24"/>
        </w:rPr>
        <w:t>3</w:t>
      </w:r>
      <w:r w:rsidR="00672FF3" w:rsidRPr="00C47E97">
        <w:rPr>
          <w:rFonts w:cstheme="minorHAnsi"/>
          <w:sz w:val="24"/>
          <w:szCs w:val="24"/>
        </w:rPr>
        <w:t> </w:t>
      </w:r>
      <w:r w:rsidRPr="00C47E97">
        <w:rPr>
          <w:rFonts w:cstheme="minorHAnsi"/>
          <w:sz w:val="24"/>
          <w:szCs w:val="24"/>
        </w:rPr>
        <w:t>113</w:t>
      </w:r>
      <w:r w:rsidR="00672FF3" w:rsidRPr="00C47E97">
        <w:rPr>
          <w:rFonts w:cstheme="minorHAnsi"/>
          <w:sz w:val="24"/>
          <w:szCs w:val="24"/>
        </w:rPr>
        <w:t xml:space="preserve"> </w:t>
      </w:r>
      <w:r w:rsidR="006069C6">
        <w:rPr>
          <w:rFonts w:cstheme="minorHAnsi"/>
          <w:sz w:val="24"/>
          <w:szCs w:val="24"/>
        </w:rPr>
        <w:t>u</w:t>
      </w:r>
      <w:r w:rsidR="00672FF3" w:rsidRPr="00C47E97">
        <w:rPr>
          <w:rFonts w:cstheme="minorHAnsi"/>
          <w:sz w:val="24"/>
          <w:szCs w:val="24"/>
        </w:rPr>
        <w:t xml:space="preserve"> DPPO</w:t>
      </w:r>
      <w:r w:rsidRPr="00C47E97">
        <w:rPr>
          <w:rFonts w:cstheme="minorHAnsi"/>
          <w:sz w:val="24"/>
          <w:szCs w:val="24"/>
        </w:rPr>
        <w:t>.</w:t>
      </w:r>
      <w:r w:rsidRPr="00C47E97">
        <w:rPr>
          <w:rFonts w:cstheme="minorHAnsi"/>
        </w:rPr>
        <w:t xml:space="preserve"> </w:t>
      </w:r>
    </w:p>
    <w:p w14:paraId="4D773081" w14:textId="5F9D2617" w:rsidR="009008B2" w:rsidRPr="0026004F" w:rsidRDefault="009008B2" w:rsidP="0026004F">
      <w:pPr>
        <w:keepNext/>
        <w:spacing w:after="40" w:line="240" w:lineRule="auto"/>
        <w:ind w:left="1361" w:hanging="1361"/>
        <w:jc w:val="both"/>
        <w:rPr>
          <w:rFonts w:cstheme="minorHAnsi"/>
          <w:b/>
          <w:bCs/>
          <w:sz w:val="24"/>
          <w:szCs w:val="24"/>
        </w:rPr>
      </w:pPr>
      <w:r w:rsidRPr="0026004F">
        <w:rPr>
          <w:rFonts w:cstheme="minorHAnsi"/>
          <w:b/>
          <w:bCs/>
          <w:sz w:val="24"/>
          <w:szCs w:val="24"/>
        </w:rPr>
        <w:t xml:space="preserve">Tabulka </w:t>
      </w:r>
      <w:r w:rsidR="009053C8" w:rsidRPr="0026004F">
        <w:rPr>
          <w:rFonts w:cstheme="minorHAnsi"/>
          <w:b/>
          <w:bCs/>
          <w:sz w:val="24"/>
          <w:szCs w:val="24"/>
        </w:rPr>
        <w:t xml:space="preserve">č. </w:t>
      </w:r>
      <w:r w:rsidR="005B6237" w:rsidRPr="0026004F">
        <w:rPr>
          <w:rFonts w:cstheme="minorHAnsi"/>
          <w:b/>
          <w:bCs/>
          <w:sz w:val="24"/>
          <w:szCs w:val="24"/>
        </w:rPr>
        <w:t>9</w:t>
      </w:r>
      <w:r w:rsidR="006069C6" w:rsidRPr="0026004F">
        <w:rPr>
          <w:rFonts w:cstheme="minorHAnsi"/>
          <w:b/>
          <w:bCs/>
          <w:sz w:val="24"/>
          <w:szCs w:val="24"/>
        </w:rPr>
        <w:t>:</w:t>
      </w:r>
      <w:r w:rsidRPr="0026004F">
        <w:rPr>
          <w:rFonts w:cstheme="minorHAnsi"/>
          <w:b/>
          <w:bCs/>
          <w:sz w:val="24"/>
          <w:szCs w:val="24"/>
        </w:rPr>
        <w:t xml:space="preserve"> </w:t>
      </w:r>
      <w:r w:rsidR="00D17AEC">
        <w:rPr>
          <w:rFonts w:cstheme="minorHAnsi"/>
          <w:b/>
          <w:bCs/>
          <w:sz w:val="24"/>
          <w:szCs w:val="24"/>
        </w:rPr>
        <w:tab/>
      </w:r>
      <w:r w:rsidR="006C5DA2" w:rsidRPr="0026004F">
        <w:rPr>
          <w:rFonts w:cstheme="minorHAnsi"/>
          <w:b/>
          <w:bCs/>
          <w:sz w:val="24"/>
          <w:szCs w:val="24"/>
        </w:rPr>
        <w:t>Výsled</w:t>
      </w:r>
      <w:r w:rsidR="006069C6" w:rsidRPr="0026004F">
        <w:rPr>
          <w:rFonts w:cstheme="minorHAnsi"/>
          <w:b/>
          <w:bCs/>
          <w:sz w:val="24"/>
          <w:szCs w:val="24"/>
        </w:rPr>
        <w:t>ky</w:t>
      </w:r>
      <w:r w:rsidR="006C5DA2" w:rsidRPr="0026004F">
        <w:rPr>
          <w:rFonts w:cstheme="minorHAnsi"/>
          <w:b/>
          <w:bCs/>
          <w:sz w:val="24"/>
          <w:szCs w:val="24"/>
        </w:rPr>
        <w:t xml:space="preserve"> prověření </w:t>
      </w:r>
      <w:r w:rsidRPr="0026004F">
        <w:rPr>
          <w:rFonts w:cstheme="minorHAnsi"/>
          <w:b/>
          <w:bCs/>
          <w:sz w:val="24"/>
          <w:szCs w:val="24"/>
        </w:rPr>
        <w:t xml:space="preserve">podnětů </w:t>
      </w:r>
      <w:r w:rsidR="006C5DA2" w:rsidRPr="0026004F">
        <w:rPr>
          <w:rFonts w:cstheme="minorHAnsi"/>
          <w:b/>
          <w:bCs/>
          <w:sz w:val="24"/>
          <w:szCs w:val="24"/>
        </w:rPr>
        <w:t>na základě</w:t>
      </w:r>
      <w:r w:rsidR="00D17AEC">
        <w:rPr>
          <w:rFonts w:cstheme="minorHAnsi"/>
          <w:b/>
          <w:bCs/>
          <w:sz w:val="24"/>
          <w:szCs w:val="24"/>
        </w:rPr>
        <w:t xml:space="preserve"> </w:t>
      </w:r>
      <w:r w:rsidRPr="0026004F">
        <w:rPr>
          <w:rFonts w:cstheme="minorHAnsi"/>
          <w:b/>
          <w:bCs/>
          <w:sz w:val="24"/>
          <w:szCs w:val="24"/>
        </w:rPr>
        <w:t>porovnání dat z</w:t>
      </w:r>
      <w:r w:rsidR="00D17AEC">
        <w:rPr>
          <w:rFonts w:cstheme="minorHAnsi"/>
          <w:b/>
          <w:bCs/>
          <w:sz w:val="24"/>
          <w:szCs w:val="24"/>
        </w:rPr>
        <w:t xml:space="preserve"> </w:t>
      </w:r>
      <w:r w:rsidRPr="0026004F">
        <w:rPr>
          <w:rFonts w:cstheme="minorHAnsi"/>
          <w:b/>
          <w:bCs/>
          <w:sz w:val="24"/>
          <w:szCs w:val="24"/>
        </w:rPr>
        <w:t xml:space="preserve">EET a </w:t>
      </w:r>
      <w:r w:rsidR="0013111A" w:rsidRPr="0026004F">
        <w:rPr>
          <w:rFonts w:cstheme="minorHAnsi"/>
          <w:b/>
          <w:bCs/>
          <w:sz w:val="24"/>
          <w:szCs w:val="24"/>
        </w:rPr>
        <w:t>daňových přiznání</w:t>
      </w:r>
      <w:r w:rsidRPr="0026004F">
        <w:rPr>
          <w:rFonts w:cstheme="minorHAnsi"/>
          <w:b/>
          <w:bCs/>
          <w:sz w:val="24"/>
          <w:szCs w:val="24"/>
        </w:rPr>
        <w:t xml:space="preserve"> </w:t>
      </w:r>
    </w:p>
    <w:tbl>
      <w:tblPr>
        <w:tblW w:w="921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6"/>
        <w:gridCol w:w="1020"/>
        <w:gridCol w:w="1083"/>
        <w:gridCol w:w="1069"/>
        <w:gridCol w:w="1059"/>
        <w:gridCol w:w="1069"/>
        <w:gridCol w:w="1077"/>
        <w:gridCol w:w="964"/>
        <w:gridCol w:w="1145"/>
      </w:tblGrid>
      <w:tr w:rsidR="00FC2803" w:rsidRPr="00C47E97" w14:paraId="0D4052E9" w14:textId="77777777" w:rsidTr="00500791">
        <w:trPr>
          <w:trHeight w:val="237"/>
        </w:trPr>
        <w:tc>
          <w:tcPr>
            <w:tcW w:w="726" w:type="dxa"/>
            <w:vMerge w:val="restart"/>
            <w:shd w:val="clear" w:color="auto" w:fill="E5F1FF"/>
            <w:noWrap/>
            <w:vAlign w:val="bottom"/>
            <w:hideMark/>
          </w:tcPr>
          <w:p w14:paraId="708CA9DD" w14:textId="77777777" w:rsidR="00190481" w:rsidRPr="00C47E97" w:rsidRDefault="00190481" w:rsidP="00190481">
            <w:pPr>
              <w:spacing w:after="0" w:line="240" w:lineRule="auto"/>
              <w:jc w:val="center"/>
              <w:rPr>
                <w:rFonts w:eastAsia="Times New Roman" w:cstheme="minorHAnsi"/>
                <w:color w:val="000000"/>
                <w:sz w:val="18"/>
                <w:szCs w:val="18"/>
                <w:lang w:eastAsia="cs-CZ"/>
              </w:rPr>
            </w:pPr>
            <w:r w:rsidRPr="00C47E97">
              <w:rPr>
                <w:rFonts w:eastAsia="Times New Roman" w:cstheme="minorHAnsi"/>
                <w:color w:val="000000"/>
                <w:sz w:val="18"/>
                <w:szCs w:val="18"/>
                <w:lang w:eastAsia="cs-CZ"/>
              </w:rPr>
              <w:t> </w:t>
            </w:r>
          </w:p>
        </w:tc>
        <w:tc>
          <w:tcPr>
            <w:tcW w:w="2103" w:type="dxa"/>
            <w:gridSpan w:val="2"/>
            <w:shd w:val="clear" w:color="auto" w:fill="E5F1FF"/>
            <w:noWrap/>
            <w:vAlign w:val="bottom"/>
            <w:hideMark/>
          </w:tcPr>
          <w:p w14:paraId="5F5D7DCB" w14:textId="77777777" w:rsidR="00190481" w:rsidRPr="006069C6" w:rsidRDefault="00190481" w:rsidP="00190481">
            <w:pPr>
              <w:spacing w:after="0" w:line="240" w:lineRule="auto"/>
              <w:jc w:val="center"/>
              <w:rPr>
                <w:rFonts w:eastAsia="Times New Roman" w:cstheme="minorHAnsi"/>
                <w:color w:val="000000"/>
                <w:sz w:val="18"/>
                <w:szCs w:val="18"/>
                <w:lang w:eastAsia="cs-CZ"/>
              </w:rPr>
            </w:pPr>
            <w:r w:rsidRPr="006069C6">
              <w:rPr>
                <w:rFonts w:eastAsia="Times New Roman" w:cstheme="minorHAnsi"/>
                <w:color w:val="000000"/>
                <w:sz w:val="18"/>
                <w:szCs w:val="18"/>
                <w:lang w:eastAsia="cs-CZ"/>
              </w:rPr>
              <w:t>2017</w:t>
            </w:r>
          </w:p>
        </w:tc>
        <w:tc>
          <w:tcPr>
            <w:tcW w:w="2128" w:type="dxa"/>
            <w:gridSpan w:val="2"/>
            <w:shd w:val="clear" w:color="auto" w:fill="E5F1FF"/>
            <w:noWrap/>
            <w:vAlign w:val="bottom"/>
            <w:hideMark/>
          </w:tcPr>
          <w:p w14:paraId="20AFADFD" w14:textId="77777777" w:rsidR="00190481" w:rsidRPr="006069C6" w:rsidRDefault="00190481" w:rsidP="00190481">
            <w:pPr>
              <w:spacing w:after="0" w:line="240" w:lineRule="auto"/>
              <w:jc w:val="center"/>
              <w:rPr>
                <w:rFonts w:eastAsia="Times New Roman" w:cstheme="minorHAnsi"/>
                <w:color w:val="000000"/>
                <w:sz w:val="18"/>
                <w:szCs w:val="18"/>
                <w:lang w:eastAsia="cs-CZ"/>
              </w:rPr>
            </w:pPr>
            <w:r w:rsidRPr="006069C6">
              <w:rPr>
                <w:rFonts w:eastAsia="Times New Roman" w:cstheme="minorHAnsi"/>
                <w:color w:val="000000"/>
                <w:sz w:val="18"/>
                <w:szCs w:val="18"/>
                <w:lang w:eastAsia="cs-CZ"/>
              </w:rPr>
              <w:t>2018</w:t>
            </w:r>
          </w:p>
        </w:tc>
        <w:tc>
          <w:tcPr>
            <w:tcW w:w="2146" w:type="dxa"/>
            <w:gridSpan w:val="2"/>
            <w:shd w:val="clear" w:color="auto" w:fill="E5F1FF"/>
            <w:noWrap/>
            <w:vAlign w:val="bottom"/>
            <w:hideMark/>
          </w:tcPr>
          <w:p w14:paraId="0EB28334" w14:textId="77777777" w:rsidR="00190481" w:rsidRPr="006069C6" w:rsidRDefault="00190481" w:rsidP="00190481">
            <w:pPr>
              <w:spacing w:after="0" w:line="240" w:lineRule="auto"/>
              <w:jc w:val="center"/>
              <w:rPr>
                <w:rFonts w:eastAsia="Times New Roman" w:cstheme="minorHAnsi"/>
                <w:color w:val="000000"/>
                <w:sz w:val="18"/>
                <w:szCs w:val="18"/>
                <w:lang w:eastAsia="cs-CZ"/>
              </w:rPr>
            </w:pPr>
            <w:r w:rsidRPr="006069C6">
              <w:rPr>
                <w:rFonts w:eastAsia="Times New Roman" w:cstheme="minorHAnsi"/>
                <w:color w:val="000000"/>
                <w:sz w:val="18"/>
                <w:szCs w:val="18"/>
                <w:lang w:eastAsia="cs-CZ"/>
              </w:rPr>
              <w:t>2019</w:t>
            </w:r>
          </w:p>
        </w:tc>
        <w:tc>
          <w:tcPr>
            <w:tcW w:w="2109" w:type="dxa"/>
            <w:gridSpan w:val="2"/>
            <w:shd w:val="clear" w:color="000000" w:fill="B4C6E7"/>
            <w:noWrap/>
            <w:vAlign w:val="bottom"/>
            <w:hideMark/>
          </w:tcPr>
          <w:p w14:paraId="71600F85" w14:textId="2ACB2A9C" w:rsidR="00190481" w:rsidRPr="006069C6" w:rsidRDefault="00190481" w:rsidP="00190481">
            <w:pPr>
              <w:spacing w:after="0" w:line="240" w:lineRule="auto"/>
              <w:jc w:val="center"/>
              <w:rPr>
                <w:rFonts w:eastAsia="Times New Roman" w:cstheme="minorHAnsi"/>
                <w:color w:val="000000"/>
                <w:sz w:val="18"/>
                <w:szCs w:val="18"/>
                <w:lang w:eastAsia="cs-CZ"/>
              </w:rPr>
            </w:pPr>
            <w:r w:rsidRPr="006069C6">
              <w:rPr>
                <w:rFonts w:eastAsia="Times New Roman" w:cstheme="minorHAnsi"/>
                <w:color w:val="000000"/>
                <w:sz w:val="18"/>
                <w:szCs w:val="18"/>
                <w:lang w:eastAsia="cs-CZ"/>
              </w:rPr>
              <w:t>2017</w:t>
            </w:r>
            <w:r w:rsidR="006069C6" w:rsidRPr="006069C6">
              <w:rPr>
                <w:rFonts w:eastAsia="Times New Roman" w:cstheme="minorHAnsi"/>
                <w:color w:val="000000"/>
                <w:sz w:val="18"/>
                <w:szCs w:val="18"/>
                <w:lang w:eastAsia="cs-CZ"/>
              </w:rPr>
              <w:t>–</w:t>
            </w:r>
            <w:r w:rsidRPr="006069C6">
              <w:rPr>
                <w:rFonts w:eastAsia="Times New Roman" w:cstheme="minorHAnsi"/>
                <w:color w:val="000000"/>
                <w:sz w:val="18"/>
                <w:szCs w:val="18"/>
                <w:lang w:eastAsia="cs-CZ"/>
              </w:rPr>
              <w:t>2019</w:t>
            </w:r>
          </w:p>
        </w:tc>
      </w:tr>
      <w:tr w:rsidR="00FC2803" w:rsidRPr="00C47E97" w14:paraId="6185159C" w14:textId="77777777" w:rsidTr="00500791">
        <w:trPr>
          <w:trHeight w:val="921"/>
        </w:trPr>
        <w:tc>
          <w:tcPr>
            <w:tcW w:w="726" w:type="dxa"/>
            <w:vMerge/>
            <w:shd w:val="clear" w:color="auto" w:fill="E5F1FF"/>
            <w:vAlign w:val="center"/>
            <w:hideMark/>
          </w:tcPr>
          <w:p w14:paraId="77B97634" w14:textId="77777777" w:rsidR="00190481" w:rsidRPr="00C47E97" w:rsidRDefault="00190481" w:rsidP="00190481">
            <w:pPr>
              <w:spacing w:after="0" w:line="240" w:lineRule="auto"/>
              <w:rPr>
                <w:rFonts w:eastAsia="Times New Roman" w:cstheme="minorHAnsi"/>
                <w:color w:val="000000"/>
                <w:sz w:val="18"/>
                <w:szCs w:val="18"/>
                <w:lang w:eastAsia="cs-CZ"/>
              </w:rPr>
            </w:pPr>
          </w:p>
        </w:tc>
        <w:tc>
          <w:tcPr>
            <w:tcW w:w="1020" w:type="dxa"/>
            <w:shd w:val="clear" w:color="auto" w:fill="E5F1FF"/>
            <w:vAlign w:val="center"/>
            <w:hideMark/>
          </w:tcPr>
          <w:p w14:paraId="20F8A69F" w14:textId="77777777" w:rsidR="00190481" w:rsidRPr="0026004F" w:rsidRDefault="00190481" w:rsidP="0026004F">
            <w:pPr>
              <w:spacing w:after="0" w:line="240" w:lineRule="auto"/>
              <w:ind w:left="-77" w:right="-77"/>
              <w:jc w:val="center"/>
              <w:rPr>
                <w:rFonts w:eastAsia="Times New Roman" w:cstheme="minorHAnsi"/>
                <w:bCs/>
                <w:color w:val="000000"/>
                <w:sz w:val="18"/>
                <w:szCs w:val="18"/>
                <w:lang w:eastAsia="cs-CZ"/>
              </w:rPr>
            </w:pPr>
            <w:r w:rsidRPr="0026004F">
              <w:rPr>
                <w:rFonts w:eastAsia="Times New Roman" w:cstheme="minorHAnsi"/>
                <w:bCs/>
                <w:color w:val="000000"/>
                <w:sz w:val="18"/>
                <w:szCs w:val="18"/>
                <w:lang w:eastAsia="cs-CZ"/>
              </w:rPr>
              <w:t xml:space="preserve">Počet prověřených podnětů s fiskálním efektem </w:t>
            </w:r>
          </w:p>
        </w:tc>
        <w:tc>
          <w:tcPr>
            <w:tcW w:w="1083" w:type="dxa"/>
            <w:shd w:val="clear" w:color="auto" w:fill="E5F1FF"/>
            <w:vAlign w:val="center"/>
            <w:hideMark/>
          </w:tcPr>
          <w:p w14:paraId="7E1CF3CE" w14:textId="77777777" w:rsidR="00190481" w:rsidRPr="00C47E97" w:rsidRDefault="00190481" w:rsidP="00190481">
            <w:pPr>
              <w:spacing w:after="0" w:line="240" w:lineRule="auto"/>
              <w:jc w:val="center"/>
              <w:rPr>
                <w:rFonts w:eastAsia="Times New Roman" w:cstheme="minorHAnsi"/>
                <w:bCs/>
                <w:color w:val="000000"/>
                <w:sz w:val="18"/>
                <w:szCs w:val="18"/>
                <w:lang w:eastAsia="cs-CZ"/>
              </w:rPr>
            </w:pPr>
            <w:r w:rsidRPr="00C47E97">
              <w:rPr>
                <w:rFonts w:eastAsia="Times New Roman" w:cstheme="minorHAnsi"/>
                <w:bCs/>
                <w:color w:val="000000"/>
                <w:sz w:val="18"/>
                <w:szCs w:val="18"/>
                <w:lang w:eastAsia="cs-CZ"/>
              </w:rPr>
              <w:t>Změna daně celkem v Kč</w:t>
            </w:r>
          </w:p>
        </w:tc>
        <w:tc>
          <w:tcPr>
            <w:tcW w:w="1069" w:type="dxa"/>
            <w:shd w:val="clear" w:color="auto" w:fill="E5F1FF"/>
            <w:vAlign w:val="center"/>
            <w:hideMark/>
          </w:tcPr>
          <w:p w14:paraId="37C22211" w14:textId="77777777" w:rsidR="00190481" w:rsidRPr="00C47E97" w:rsidRDefault="00190481" w:rsidP="00190481">
            <w:pPr>
              <w:spacing w:after="0" w:line="240" w:lineRule="auto"/>
              <w:jc w:val="center"/>
              <w:rPr>
                <w:rFonts w:eastAsia="Times New Roman" w:cstheme="minorHAnsi"/>
                <w:bCs/>
                <w:color w:val="000000"/>
                <w:sz w:val="18"/>
                <w:szCs w:val="18"/>
                <w:lang w:eastAsia="cs-CZ"/>
              </w:rPr>
            </w:pPr>
            <w:r w:rsidRPr="00C47E97">
              <w:rPr>
                <w:rFonts w:eastAsia="Times New Roman" w:cstheme="minorHAnsi"/>
                <w:bCs/>
                <w:color w:val="000000"/>
                <w:sz w:val="18"/>
                <w:szCs w:val="18"/>
                <w:lang w:eastAsia="cs-CZ"/>
              </w:rPr>
              <w:t xml:space="preserve">Počet prověřených podnětů s fiskálním efektem </w:t>
            </w:r>
          </w:p>
        </w:tc>
        <w:tc>
          <w:tcPr>
            <w:tcW w:w="1059" w:type="dxa"/>
            <w:shd w:val="clear" w:color="auto" w:fill="E5F1FF"/>
            <w:vAlign w:val="center"/>
            <w:hideMark/>
          </w:tcPr>
          <w:p w14:paraId="2DA1C64F" w14:textId="77777777" w:rsidR="00190481" w:rsidRPr="00C47E97" w:rsidRDefault="00190481" w:rsidP="00190481">
            <w:pPr>
              <w:spacing w:after="0" w:line="240" w:lineRule="auto"/>
              <w:jc w:val="center"/>
              <w:rPr>
                <w:rFonts w:eastAsia="Times New Roman" w:cstheme="minorHAnsi"/>
                <w:bCs/>
                <w:color w:val="000000"/>
                <w:sz w:val="18"/>
                <w:szCs w:val="18"/>
                <w:lang w:eastAsia="cs-CZ"/>
              </w:rPr>
            </w:pPr>
            <w:r w:rsidRPr="00C47E97">
              <w:rPr>
                <w:rFonts w:eastAsia="Times New Roman" w:cstheme="minorHAnsi"/>
                <w:bCs/>
                <w:color w:val="000000"/>
                <w:sz w:val="18"/>
                <w:szCs w:val="18"/>
                <w:lang w:eastAsia="cs-CZ"/>
              </w:rPr>
              <w:t>Změna daně celkem v Kč</w:t>
            </w:r>
          </w:p>
        </w:tc>
        <w:tc>
          <w:tcPr>
            <w:tcW w:w="1069" w:type="dxa"/>
            <w:shd w:val="clear" w:color="auto" w:fill="E5F1FF"/>
            <w:vAlign w:val="center"/>
            <w:hideMark/>
          </w:tcPr>
          <w:p w14:paraId="3241A043" w14:textId="77777777" w:rsidR="00190481" w:rsidRPr="00C47E97" w:rsidRDefault="00190481" w:rsidP="00190481">
            <w:pPr>
              <w:spacing w:after="0" w:line="240" w:lineRule="auto"/>
              <w:jc w:val="center"/>
              <w:rPr>
                <w:rFonts w:eastAsia="Times New Roman" w:cstheme="minorHAnsi"/>
                <w:bCs/>
                <w:color w:val="000000"/>
                <w:sz w:val="18"/>
                <w:szCs w:val="18"/>
                <w:lang w:eastAsia="cs-CZ"/>
              </w:rPr>
            </w:pPr>
            <w:r w:rsidRPr="00C47E97">
              <w:rPr>
                <w:rFonts w:eastAsia="Times New Roman" w:cstheme="minorHAnsi"/>
                <w:bCs/>
                <w:color w:val="000000"/>
                <w:sz w:val="18"/>
                <w:szCs w:val="18"/>
                <w:lang w:eastAsia="cs-CZ"/>
              </w:rPr>
              <w:t xml:space="preserve">Počet prověřených podnětů s fiskálním efektem </w:t>
            </w:r>
          </w:p>
        </w:tc>
        <w:tc>
          <w:tcPr>
            <w:tcW w:w="1077" w:type="dxa"/>
            <w:shd w:val="clear" w:color="auto" w:fill="E5F1FF"/>
            <w:vAlign w:val="center"/>
            <w:hideMark/>
          </w:tcPr>
          <w:p w14:paraId="1AAE02D5" w14:textId="77777777" w:rsidR="00190481" w:rsidRPr="00C47E97" w:rsidRDefault="00190481" w:rsidP="00190481">
            <w:pPr>
              <w:spacing w:after="0" w:line="240" w:lineRule="auto"/>
              <w:jc w:val="center"/>
              <w:rPr>
                <w:rFonts w:eastAsia="Times New Roman" w:cstheme="minorHAnsi"/>
                <w:bCs/>
                <w:color w:val="000000"/>
                <w:sz w:val="18"/>
                <w:szCs w:val="18"/>
                <w:lang w:eastAsia="cs-CZ"/>
              </w:rPr>
            </w:pPr>
            <w:r w:rsidRPr="00C47E97">
              <w:rPr>
                <w:rFonts w:eastAsia="Times New Roman" w:cstheme="minorHAnsi"/>
                <w:bCs/>
                <w:color w:val="000000"/>
                <w:sz w:val="18"/>
                <w:szCs w:val="18"/>
                <w:lang w:eastAsia="cs-CZ"/>
              </w:rPr>
              <w:t>Změna daně celkem v Kč</w:t>
            </w:r>
          </w:p>
        </w:tc>
        <w:tc>
          <w:tcPr>
            <w:tcW w:w="964" w:type="dxa"/>
            <w:shd w:val="clear" w:color="000000" w:fill="B4C6E7"/>
            <w:vAlign w:val="center"/>
            <w:hideMark/>
          </w:tcPr>
          <w:p w14:paraId="20AF6CB6" w14:textId="4F2E5C84" w:rsidR="00190481" w:rsidRDefault="00D17AEC" w:rsidP="00190481">
            <w:pPr>
              <w:spacing w:after="0" w:line="240" w:lineRule="auto"/>
              <w:jc w:val="center"/>
              <w:rPr>
                <w:rFonts w:eastAsia="Times New Roman" w:cstheme="minorHAnsi"/>
                <w:bCs/>
                <w:color w:val="000000"/>
                <w:sz w:val="18"/>
                <w:szCs w:val="18"/>
                <w:lang w:eastAsia="cs-CZ"/>
              </w:rPr>
            </w:pPr>
            <w:r>
              <w:rPr>
                <w:rFonts w:eastAsia="Times New Roman" w:cstheme="minorHAnsi"/>
                <w:bCs/>
                <w:color w:val="000000"/>
                <w:sz w:val="18"/>
                <w:szCs w:val="18"/>
                <w:lang w:eastAsia="cs-CZ"/>
              </w:rPr>
              <w:t>C</w:t>
            </w:r>
            <w:r w:rsidR="00190481" w:rsidRPr="00C47E97">
              <w:rPr>
                <w:rFonts w:eastAsia="Times New Roman" w:cstheme="minorHAnsi"/>
                <w:bCs/>
                <w:color w:val="000000"/>
                <w:sz w:val="18"/>
                <w:szCs w:val="18"/>
                <w:lang w:eastAsia="cs-CZ"/>
              </w:rPr>
              <w:t>elkem podnětů</w:t>
            </w:r>
          </w:p>
          <w:p w14:paraId="04EA58F7" w14:textId="77777777" w:rsidR="00E079F9" w:rsidRPr="00C47E97" w:rsidRDefault="00E079F9" w:rsidP="00190481">
            <w:pPr>
              <w:spacing w:after="0" w:line="240" w:lineRule="auto"/>
              <w:jc w:val="center"/>
              <w:rPr>
                <w:rFonts w:eastAsia="Times New Roman" w:cstheme="minorHAnsi"/>
                <w:bCs/>
                <w:color w:val="000000"/>
                <w:sz w:val="18"/>
                <w:szCs w:val="18"/>
                <w:lang w:eastAsia="cs-CZ"/>
              </w:rPr>
            </w:pPr>
            <w:r>
              <w:rPr>
                <w:rFonts w:eastAsia="Times New Roman" w:cstheme="minorHAnsi"/>
                <w:bCs/>
                <w:color w:val="000000"/>
                <w:sz w:val="18"/>
                <w:szCs w:val="18"/>
                <w:lang w:eastAsia="cs-CZ"/>
              </w:rPr>
              <w:t>s fiskálním efektem</w:t>
            </w:r>
          </w:p>
        </w:tc>
        <w:tc>
          <w:tcPr>
            <w:tcW w:w="1143" w:type="dxa"/>
            <w:shd w:val="clear" w:color="000000" w:fill="B4C6E7"/>
            <w:vAlign w:val="center"/>
            <w:hideMark/>
          </w:tcPr>
          <w:p w14:paraId="2D639CDA" w14:textId="36E4C99B" w:rsidR="00190481" w:rsidRPr="00C47E97" w:rsidRDefault="00190481" w:rsidP="00190481">
            <w:pPr>
              <w:spacing w:after="0" w:line="240" w:lineRule="auto"/>
              <w:jc w:val="center"/>
              <w:rPr>
                <w:rFonts w:eastAsia="Times New Roman" w:cstheme="minorHAnsi"/>
                <w:bCs/>
                <w:color w:val="000000"/>
                <w:sz w:val="18"/>
                <w:szCs w:val="18"/>
                <w:lang w:eastAsia="cs-CZ"/>
              </w:rPr>
            </w:pPr>
            <w:r w:rsidRPr="00C47E97">
              <w:rPr>
                <w:rFonts w:eastAsia="Times New Roman" w:cstheme="minorHAnsi"/>
                <w:bCs/>
                <w:color w:val="000000"/>
                <w:sz w:val="18"/>
                <w:szCs w:val="18"/>
                <w:lang w:eastAsia="cs-CZ"/>
              </w:rPr>
              <w:t>Změna daně celkem v</w:t>
            </w:r>
            <w:r w:rsidR="00B53124">
              <w:rPr>
                <w:rFonts w:eastAsia="Times New Roman" w:cstheme="minorHAnsi"/>
                <w:bCs/>
                <w:color w:val="000000"/>
                <w:sz w:val="18"/>
                <w:szCs w:val="18"/>
                <w:lang w:eastAsia="cs-CZ"/>
              </w:rPr>
              <w:t> </w:t>
            </w:r>
            <w:r w:rsidRPr="00C47E97">
              <w:rPr>
                <w:rFonts w:eastAsia="Times New Roman" w:cstheme="minorHAnsi"/>
                <w:bCs/>
                <w:color w:val="000000"/>
                <w:sz w:val="18"/>
                <w:szCs w:val="18"/>
                <w:lang w:eastAsia="cs-CZ"/>
              </w:rPr>
              <w:t>Kč</w:t>
            </w:r>
          </w:p>
        </w:tc>
      </w:tr>
      <w:tr w:rsidR="00FC2803" w:rsidRPr="00C47E97" w14:paraId="1324F544" w14:textId="77777777" w:rsidTr="00D17AEC">
        <w:trPr>
          <w:trHeight w:val="237"/>
        </w:trPr>
        <w:tc>
          <w:tcPr>
            <w:tcW w:w="726" w:type="dxa"/>
            <w:shd w:val="clear" w:color="000000" w:fill="B4C6E7"/>
            <w:vAlign w:val="center"/>
            <w:hideMark/>
          </w:tcPr>
          <w:p w14:paraId="499AE746" w14:textId="77777777" w:rsidR="00190481" w:rsidRPr="00C47E97" w:rsidRDefault="00190481" w:rsidP="006069C6">
            <w:pPr>
              <w:spacing w:after="0" w:line="240" w:lineRule="auto"/>
              <w:rPr>
                <w:rFonts w:eastAsia="Times New Roman" w:cstheme="minorHAnsi"/>
                <w:b/>
                <w:bCs/>
                <w:color w:val="000000"/>
                <w:sz w:val="18"/>
                <w:szCs w:val="18"/>
                <w:lang w:eastAsia="cs-CZ"/>
              </w:rPr>
            </w:pPr>
            <w:r w:rsidRPr="00C47E97">
              <w:rPr>
                <w:rFonts w:eastAsia="Times New Roman" w:cstheme="minorHAnsi"/>
                <w:b/>
                <w:bCs/>
                <w:color w:val="000000"/>
                <w:sz w:val="18"/>
                <w:szCs w:val="18"/>
                <w:lang w:eastAsia="cs-CZ"/>
              </w:rPr>
              <w:t>DPH</w:t>
            </w:r>
          </w:p>
        </w:tc>
        <w:tc>
          <w:tcPr>
            <w:tcW w:w="1020" w:type="dxa"/>
            <w:shd w:val="clear" w:color="auto" w:fill="auto"/>
            <w:noWrap/>
            <w:vAlign w:val="center"/>
            <w:hideMark/>
          </w:tcPr>
          <w:p w14:paraId="56A74DF5" w14:textId="77777777" w:rsidR="00190481" w:rsidRPr="00C47E97" w:rsidRDefault="00190481" w:rsidP="006069C6">
            <w:pPr>
              <w:spacing w:after="0" w:line="240" w:lineRule="auto"/>
              <w:jc w:val="right"/>
              <w:rPr>
                <w:rFonts w:eastAsia="Times New Roman" w:cstheme="minorHAnsi"/>
                <w:color w:val="000000"/>
                <w:sz w:val="18"/>
                <w:szCs w:val="18"/>
                <w:lang w:eastAsia="cs-CZ"/>
              </w:rPr>
            </w:pPr>
            <w:r w:rsidRPr="00C47E97">
              <w:rPr>
                <w:rFonts w:eastAsia="Times New Roman" w:cstheme="minorHAnsi"/>
                <w:color w:val="000000"/>
                <w:sz w:val="18"/>
                <w:szCs w:val="18"/>
                <w:lang w:eastAsia="cs-CZ"/>
              </w:rPr>
              <w:t>686</w:t>
            </w:r>
          </w:p>
        </w:tc>
        <w:tc>
          <w:tcPr>
            <w:tcW w:w="1083" w:type="dxa"/>
            <w:shd w:val="clear" w:color="auto" w:fill="auto"/>
            <w:noWrap/>
            <w:vAlign w:val="center"/>
            <w:hideMark/>
          </w:tcPr>
          <w:p w14:paraId="6B668E90" w14:textId="77777777" w:rsidR="00190481" w:rsidRPr="00C47E97" w:rsidRDefault="00190481" w:rsidP="006069C6">
            <w:pPr>
              <w:spacing w:after="0" w:line="240" w:lineRule="auto"/>
              <w:jc w:val="right"/>
              <w:rPr>
                <w:rFonts w:eastAsia="Times New Roman" w:cstheme="minorHAnsi"/>
                <w:color w:val="000000"/>
                <w:sz w:val="18"/>
                <w:szCs w:val="18"/>
                <w:lang w:eastAsia="cs-CZ"/>
              </w:rPr>
            </w:pPr>
            <w:r w:rsidRPr="00C47E97">
              <w:rPr>
                <w:rFonts w:eastAsia="Times New Roman" w:cstheme="minorHAnsi"/>
                <w:color w:val="000000"/>
                <w:sz w:val="18"/>
                <w:szCs w:val="18"/>
                <w:lang w:eastAsia="cs-CZ"/>
              </w:rPr>
              <w:t>29 523 771</w:t>
            </w:r>
          </w:p>
        </w:tc>
        <w:tc>
          <w:tcPr>
            <w:tcW w:w="1069" w:type="dxa"/>
            <w:shd w:val="clear" w:color="auto" w:fill="auto"/>
            <w:noWrap/>
            <w:vAlign w:val="center"/>
            <w:hideMark/>
          </w:tcPr>
          <w:p w14:paraId="58780CFE" w14:textId="10435C3B" w:rsidR="00190481" w:rsidRPr="00C47E97" w:rsidRDefault="00190481" w:rsidP="006069C6">
            <w:pPr>
              <w:spacing w:after="0" w:line="240" w:lineRule="auto"/>
              <w:jc w:val="right"/>
              <w:rPr>
                <w:rFonts w:eastAsia="Times New Roman" w:cstheme="minorHAnsi"/>
                <w:color w:val="000000"/>
                <w:sz w:val="18"/>
                <w:szCs w:val="18"/>
                <w:lang w:eastAsia="cs-CZ"/>
              </w:rPr>
            </w:pPr>
            <w:r w:rsidRPr="00C47E97">
              <w:rPr>
                <w:rFonts w:eastAsia="Times New Roman" w:cstheme="minorHAnsi"/>
                <w:color w:val="000000"/>
                <w:sz w:val="18"/>
                <w:szCs w:val="18"/>
                <w:lang w:eastAsia="cs-CZ"/>
              </w:rPr>
              <w:t>1</w:t>
            </w:r>
            <w:r w:rsidR="006069C6">
              <w:rPr>
                <w:rFonts w:eastAsia="Times New Roman" w:cstheme="minorHAnsi"/>
                <w:color w:val="000000"/>
                <w:sz w:val="18"/>
                <w:szCs w:val="18"/>
                <w:lang w:eastAsia="cs-CZ"/>
              </w:rPr>
              <w:t xml:space="preserve"> </w:t>
            </w:r>
            <w:r w:rsidRPr="00C47E97">
              <w:rPr>
                <w:rFonts w:eastAsia="Times New Roman" w:cstheme="minorHAnsi"/>
                <w:color w:val="000000"/>
                <w:sz w:val="18"/>
                <w:szCs w:val="18"/>
                <w:lang w:eastAsia="cs-CZ"/>
              </w:rPr>
              <w:t>016</w:t>
            </w:r>
          </w:p>
        </w:tc>
        <w:tc>
          <w:tcPr>
            <w:tcW w:w="1059" w:type="dxa"/>
            <w:shd w:val="clear" w:color="auto" w:fill="auto"/>
            <w:noWrap/>
            <w:vAlign w:val="center"/>
            <w:hideMark/>
          </w:tcPr>
          <w:p w14:paraId="10974EA8" w14:textId="77777777" w:rsidR="00190481" w:rsidRPr="00C47E97" w:rsidRDefault="00190481" w:rsidP="006069C6">
            <w:pPr>
              <w:spacing w:after="0" w:line="240" w:lineRule="auto"/>
              <w:jc w:val="right"/>
              <w:rPr>
                <w:rFonts w:eastAsia="Times New Roman" w:cstheme="minorHAnsi"/>
                <w:color w:val="000000"/>
                <w:sz w:val="18"/>
                <w:szCs w:val="18"/>
                <w:lang w:eastAsia="cs-CZ"/>
              </w:rPr>
            </w:pPr>
            <w:r w:rsidRPr="00C47E97">
              <w:rPr>
                <w:rFonts w:eastAsia="Times New Roman" w:cstheme="minorHAnsi"/>
                <w:color w:val="000000"/>
                <w:sz w:val="18"/>
                <w:szCs w:val="18"/>
                <w:lang w:eastAsia="cs-CZ"/>
              </w:rPr>
              <w:t>82 360 582</w:t>
            </w:r>
          </w:p>
        </w:tc>
        <w:tc>
          <w:tcPr>
            <w:tcW w:w="1069" w:type="dxa"/>
            <w:shd w:val="clear" w:color="auto" w:fill="auto"/>
            <w:noWrap/>
            <w:vAlign w:val="center"/>
            <w:hideMark/>
          </w:tcPr>
          <w:p w14:paraId="17B14977" w14:textId="77777777" w:rsidR="00190481" w:rsidRPr="00C47E97" w:rsidRDefault="00190481" w:rsidP="006069C6">
            <w:pPr>
              <w:spacing w:after="0" w:line="240" w:lineRule="auto"/>
              <w:jc w:val="right"/>
              <w:rPr>
                <w:rFonts w:eastAsia="Times New Roman" w:cstheme="minorHAnsi"/>
                <w:color w:val="000000"/>
                <w:sz w:val="18"/>
                <w:szCs w:val="18"/>
                <w:lang w:eastAsia="cs-CZ"/>
              </w:rPr>
            </w:pPr>
            <w:r w:rsidRPr="00C47E97">
              <w:rPr>
                <w:rFonts w:eastAsia="Times New Roman" w:cstheme="minorHAnsi"/>
                <w:color w:val="000000"/>
                <w:sz w:val="18"/>
                <w:szCs w:val="18"/>
                <w:lang w:eastAsia="cs-CZ"/>
              </w:rPr>
              <w:t>661</w:t>
            </w:r>
          </w:p>
        </w:tc>
        <w:tc>
          <w:tcPr>
            <w:tcW w:w="1077" w:type="dxa"/>
            <w:shd w:val="clear" w:color="auto" w:fill="auto"/>
            <w:noWrap/>
            <w:vAlign w:val="center"/>
            <w:hideMark/>
          </w:tcPr>
          <w:p w14:paraId="075C2A2F" w14:textId="77777777" w:rsidR="00190481" w:rsidRPr="00C47E97" w:rsidRDefault="00190481" w:rsidP="006069C6">
            <w:pPr>
              <w:spacing w:after="0" w:line="240" w:lineRule="auto"/>
              <w:jc w:val="right"/>
              <w:rPr>
                <w:rFonts w:eastAsia="Times New Roman" w:cstheme="minorHAnsi"/>
                <w:color w:val="000000"/>
                <w:sz w:val="18"/>
                <w:szCs w:val="18"/>
                <w:lang w:eastAsia="cs-CZ"/>
              </w:rPr>
            </w:pPr>
            <w:r w:rsidRPr="00C47E97">
              <w:rPr>
                <w:rFonts w:eastAsia="Times New Roman" w:cstheme="minorHAnsi"/>
                <w:color w:val="000000"/>
                <w:sz w:val="18"/>
                <w:szCs w:val="18"/>
                <w:lang w:eastAsia="cs-CZ"/>
              </w:rPr>
              <w:t>73 045 525</w:t>
            </w:r>
          </w:p>
        </w:tc>
        <w:tc>
          <w:tcPr>
            <w:tcW w:w="964" w:type="dxa"/>
            <w:shd w:val="clear" w:color="000000" w:fill="D9E1F2"/>
            <w:noWrap/>
            <w:vAlign w:val="center"/>
            <w:hideMark/>
          </w:tcPr>
          <w:p w14:paraId="75CAF947" w14:textId="7BE83611" w:rsidR="00190481" w:rsidRPr="00C47E97" w:rsidRDefault="00190481" w:rsidP="006069C6">
            <w:pPr>
              <w:spacing w:after="0" w:line="240" w:lineRule="auto"/>
              <w:jc w:val="right"/>
              <w:rPr>
                <w:rFonts w:eastAsia="Times New Roman" w:cstheme="minorHAnsi"/>
                <w:color w:val="000000"/>
                <w:sz w:val="18"/>
                <w:szCs w:val="18"/>
                <w:lang w:eastAsia="cs-CZ"/>
              </w:rPr>
            </w:pPr>
            <w:r w:rsidRPr="00C47E97">
              <w:rPr>
                <w:rFonts w:eastAsia="Times New Roman" w:cstheme="minorHAnsi"/>
                <w:color w:val="000000"/>
                <w:sz w:val="18"/>
                <w:szCs w:val="18"/>
                <w:lang w:eastAsia="cs-CZ"/>
              </w:rPr>
              <w:t>2</w:t>
            </w:r>
            <w:r w:rsidR="006069C6">
              <w:rPr>
                <w:rFonts w:eastAsia="Times New Roman" w:cstheme="minorHAnsi"/>
                <w:color w:val="000000"/>
                <w:sz w:val="18"/>
                <w:szCs w:val="18"/>
                <w:lang w:eastAsia="cs-CZ"/>
              </w:rPr>
              <w:t xml:space="preserve"> </w:t>
            </w:r>
            <w:r w:rsidRPr="00C47E97">
              <w:rPr>
                <w:rFonts w:eastAsia="Times New Roman" w:cstheme="minorHAnsi"/>
                <w:color w:val="000000"/>
                <w:sz w:val="18"/>
                <w:szCs w:val="18"/>
                <w:lang w:eastAsia="cs-CZ"/>
              </w:rPr>
              <w:t>363</w:t>
            </w:r>
          </w:p>
        </w:tc>
        <w:tc>
          <w:tcPr>
            <w:tcW w:w="1143" w:type="dxa"/>
            <w:shd w:val="clear" w:color="000000" w:fill="D9E1F2"/>
            <w:noWrap/>
            <w:vAlign w:val="center"/>
            <w:hideMark/>
          </w:tcPr>
          <w:p w14:paraId="06CA1F71" w14:textId="77777777" w:rsidR="00190481" w:rsidRPr="00C47E97" w:rsidRDefault="00190481" w:rsidP="006069C6">
            <w:pPr>
              <w:spacing w:after="0" w:line="240" w:lineRule="auto"/>
              <w:jc w:val="right"/>
              <w:rPr>
                <w:rFonts w:eastAsia="Times New Roman" w:cstheme="minorHAnsi"/>
                <w:color w:val="000000"/>
                <w:sz w:val="18"/>
                <w:szCs w:val="18"/>
                <w:lang w:eastAsia="cs-CZ"/>
              </w:rPr>
            </w:pPr>
            <w:r w:rsidRPr="00C47E97">
              <w:rPr>
                <w:rFonts w:eastAsia="Times New Roman" w:cstheme="minorHAnsi"/>
                <w:color w:val="000000"/>
                <w:sz w:val="18"/>
                <w:szCs w:val="18"/>
                <w:lang w:eastAsia="cs-CZ"/>
              </w:rPr>
              <w:t>184 929 878</w:t>
            </w:r>
          </w:p>
        </w:tc>
      </w:tr>
      <w:tr w:rsidR="00FC2803" w:rsidRPr="00C47E97" w14:paraId="241517CF" w14:textId="77777777" w:rsidTr="00D17AEC">
        <w:trPr>
          <w:trHeight w:val="237"/>
        </w:trPr>
        <w:tc>
          <w:tcPr>
            <w:tcW w:w="726" w:type="dxa"/>
            <w:shd w:val="clear" w:color="000000" w:fill="B4C6E7"/>
            <w:vAlign w:val="center"/>
            <w:hideMark/>
          </w:tcPr>
          <w:p w14:paraId="0BE1E28F" w14:textId="77777777" w:rsidR="00190481" w:rsidRPr="00C47E97" w:rsidRDefault="00190481" w:rsidP="006069C6">
            <w:pPr>
              <w:spacing w:after="0" w:line="240" w:lineRule="auto"/>
              <w:rPr>
                <w:rFonts w:eastAsia="Times New Roman" w:cstheme="minorHAnsi"/>
                <w:b/>
                <w:bCs/>
                <w:color w:val="000000"/>
                <w:sz w:val="18"/>
                <w:szCs w:val="18"/>
                <w:lang w:eastAsia="cs-CZ"/>
              </w:rPr>
            </w:pPr>
            <w:r w:rsidRPr="00C47E97">
              <w:rPr>
                <w:rFonts w:eastAsia="Times New Roman" w:cstheme="minorHAnsi"/>
                <w:b/>
                <w:bCs/>
                <w:color w:val="000000"/>
                <w:sz w:val="18"/>
                <w:szCs w:val="18"/>
                <w:lang w:eastAsia="cs-CZ"/>
              </w:rPr>
              <w:t>DPPO</w:t>
            </w:r>
          </w:p>
        </w:tc>
        <w:tc>
          <w:tcPr>
            <w:tcW w:w="1020" w:type="dxa"/>
            <w:shd w:val="clear" w:color="auto" w:fill="auto"/>
            <w:noWrap/>
            <w:vAlign w:val="center"/>
            <w:hideMark/>
          </w:tcPr>
          <w:p w14:paraId="73BD4BE8" w14:textId="77777777" w:rsidR="00190481" w:rsidRPr="00C47E97" w:rsidRDefault="00190481" w:rsidP="006069C6">
            <w:pPr>
              <w:spacing w:after="0" w:line="240" w:lineRule="auto"/>
              <w:jc w:val="right"/>
              <w:rPr>
                <w:rFonts w:eastAsia="Times New Roman" w:cstheme="minorHAnsi"/>
                <w:color w:val="000000"/>
                <w:sz w:val="18"/>
                <w:szCs w:val="18"/>
                <w:lang w:eastAsia="cs-CZ"/>
              </w:rPr>
            </w:pPr>
            <w:r w:rsidRPr="00C47E97">
              <w:rPr>
                <w:rFonts w:eastAsia="Times New Roman" w:cstheme="minorHAnsi"/>
                <w:color w:val="000000"/>
                <w:sz w:val="18"/>
                <w:szCs w:val="18"/>
                <w:lang w:eastAsia="cs-CZ"/>
              </w:rPr>
              <w:t>681</w:t>
            </w:r>
          </w:p>
        </w:tc>
        <w:tc>
          <w:tcPr>
            <w:tcW w:w="1083" w:type="dxa"/>
            <w:shd w:val="clear" w:color="auto" w:fill="auto"/>
            <w:noWrap/>
            <w:vAlign w:val="center"/>
            <w:hideMark/>
          </w:tcPr>
          <w:p w14:paraId="4015F9D1" w14:textId="77777777" w:rsidR="00190481" w:rsidRPr="00C47E97" w:rsidRDefault="00190481" w:rsidP="006069C6">
            <w:pPr>
              <w:spacing w:after="0" w:line="240" w:lineRule="auto"/>
              <w:jc w:val="right"/>
              <w:rPr>
                <w:rFonts w:eastAsia="Times New Roman" w:cstheme="minorHAnsi"/>
                <w:color w:val="000000"/>
                <w:sz w:val="18"/>
                <w:szCs w:val="18"/>
                <w:lang w:eastAsia="cs-CZ"/>
              </w:rPr>
            </w:pPr>
            <w:r w:rsidRPr="00C47E97">
              <w:rPr>
                <w:rFonts w:eastAsia="Times New Roman" w:cstheme="minorHAnsi"/>
                <w:color w:val="000000"/>
                <w:sz w:val="18"/>
                <w:szCs w:val="18"/>
                <w:lang w:eastAsia="cs-CZ"/>
              </w:rPr>
              <w:t>219 983 520</w:t>
            </w:r>
          </w:p>
        </w:tc>
        <w:tc>
          <w:tcPr>
            <w:tcW w:w="1069" w:type="dxa"/>
            <w:shd w:val="clear" w:color="auto" w:fill="auto"/>
            <w:noWrap/>
            <w:vAlign w:val="center"/>
            <w:hideMark/>
          </w:tcPr>
          <w:p w14:paraId="261DAE8E" w14:textId="77777777" w:rsidR="00190481" w:rsidRPr="00C47E97" w:rsidRDefault="00190481" w:rsidP="006069C6">
            <w:pPr>
              <w:spacing w:after="0" w:line="240" w:lineRule="auto"/>
              <w:jc w:val="right"/>
              <w:rPr>
                <w:rFonts w:eastAsia="Times New Roman" w:cstheme="minorHAnsi"/>
                <w:color w:val="000000"/>
                <w:sz w:val="18"/>
                <w:szCs w:val="18"/>
                <w:lang w:eastAsia="cs-CZ"/>
              </w:rPr>
            </w:pPr>
            <w:r w:rsidRPr="00C47E97">
              <w:rPr>
                <w:rFonts w:eastAsia="Times New Roman" w:cstheme="minorHAnsi"/>
                <w:color w:val="000000"/>
                <w:sz w:val="18"/>
                <w:szCs w:val="18"/>
                <w:lang w:eastAsia="cs-CZ"/>
              </w:rPr>
              <w:t>597</w:t>
            </w:r>
          </w:p>
        </w:tc>
        <w:tc>
          <w:tcPr>
            <w:tcW w:w="1059" w:type="dxa"/>
            <w:shd w:val="clear" w:color="auto" w:fill="auto"/>
            <w:noWrap/>
            <w:vAlign w:val="center"/>
            <w:hideMark/>
          </w:tcPr>
          <w:p w14:paraId="5BBE3914" w14:textId="77777777" w:rsidR="00190481" w:rsidRPr="00C47E97" w:rsidRDefault="00190481" w:rsidP="006069C6">
            <w:pPr>
              <w:spacing w:after="0" w:line="240" w:lineRule="auto"/>
              <w:jc w:val="right"/>
              <w:rPr>
                <w:rFonts w:eastAsia="Times New Roman" w:cstheme="minorHAnsi"/>
                <w:color w:val="000000"/>
                <w:sz w:val="18"/>
                <w:szCs w:val="18"/>
                <w:lang w:eastAsia="cs-CZ"/>
              </w:rPr>
            </w:pPr>
            <w:r w:rsidRPr="00C47E97">
              <w:rPr>
                <w:rFonts w:eastAsia="Times New Roman" w:cstheme="minorHAnsi"/>
                <w:color w:val="000000"/>
                <w:sz w:val="18"/>
                <w:szCs w:val="18"/>
                <w:lang w:eastAsia="cs-CZ"/>
              </w:rPr>
              <w:t>95 641 820</w:t>
            </w:r>
          </w:p>
        </w:tc>
        <w:tc>
          <w:tcPr>
            <w:tcW w:w="1069" w:type="dxa"/>
            <w:shd w:val="clear" w:color="auto" w:fill="auto"/>
            <w:noWrap/>
            <w:vAlign w:val="center"/>
            <w:hideMark/>
          </w:tcPr>
          <w:p w14:paraId="2BA096A6" w14:textId="77777777" w:rsidR="00190481" w:rsidRPr="00C47E97" w:rsidRDefault="00190481" w:rsidP="006069C6">
            <w:pPr>
              <w:spacing w:after="0" w:line="240" w:lineRule="auto"/>
              <w:jc w:val="right"/>
              <w:rPr>
                <w:rFonts w:eastAsia="Times New Roman" w:cstheme="minorHAnsi"/>
                <w:color w:val="000000"/>
                <w:sz w:val="18"/>
                <w:szCs w:val="18"/>
                <w:lang w:eastAsia="cs-CZ"/>
              </w:rPr>
            </w:pPr>
            <w:r w:rsidRPr="00C47E97">
              <w:rPr>
                <w:rFonts w:eastAsia="Times New Roman" w:cstheme="minorHAnsi"/>
                <w:color w:val="000000"/>
                <w:sz w:val="18"/>
                <w:szCs w:val="18"/>
                <w:lang w:eastAsia="cs-CZ"/>
              </w:rPr>
              <w:t>510</w:t>
            </w:r>
          </w:p>
        </w:tc>
        <w:tc>
          <w:tcPr>
            <w:tcW w:w="1077" w:type="dxa"/>
            <w:shd w:val="clear" w:color="auto" w:fill="auto"/>
            <w:noWrap/>
            <w:vAlign w:val="center"/>
            <w:hideMark/>
          </w:tcPr>
          <w:p w14:paraId="4AC024BD" w14:textId="77777777" w:rsidR="00190481" w:rsidRPr="00C47E97" w:rsidRDefault="00190481" w:rsidP="006069C6">
            <w:pPr>
              <w:spacing w:after="0" w:line="240" w:lineRule="auto"/>
              <w:jc w:val="right"/>
              <w:rPr>
                <w:rFonts w:eastAsia="Times New Roman" w:cstheme="minorHAnsi"/>
                <w:color w:val="000000"/>
                <w:sz w:val="18"/>
                <w:szCs w:val="18"/>
                <w:lang w:eastAsia="cs-CZ"/>
              </w:rPr>
            </w:pPr>
            <w:r w:rsidRPr="00C47E97">
              <w:rPr>
                <w:rFonts w:eastAsia="Times New Roman" w:cstheme="minorHAnsi"/>
                <w:color w:val="000000"/>
                <w:sz w:val="18"/>
                <w:szCs w:val="18"/>
                <w:lang w:eastAsia="cs-CZ"/>
              </w:rPr>
              <w:t>121 847 810</w:t>
            </w:r>
          </w:p>
        </w:tc>
        <w:tc>
          <w:tcPr>
            <w:tcW w:w="964" w:type="dxa"/>
            <w:shd w:val="clear" w:color="000000" w:fill="D9E1F2"/>
            <w:noWrap/>
            <w:vAlign w:val="center"/>
            <w:hideMark/>
          </w:tcPr>
          <w:p w14:paraId="484E369C" w14:textId="37813E06" w:rsidR="00190481" w:rsidRPr="00C47E97" w:rsidRDefault="00190481" w:rsidP="006069C6">
            <w:pPr>
              <w:spacing w:after="0" w:line="240" w:lineRule="auto"/>
              <w:jc w:val="right"/>
              <w:rPr>
                <w:rFonts w:eastAsia="Times New Roman" w:cstheme="minorHAnsi"/>
                <w:color w:val="000000"/>
                <w:sz w:val="18"/>
                <w:szCs w:val="18"/>
                <w:lang w:eastAsia="cs-CZ"/>
              </w:rPr>
            </w:pPr>
            <w:r w:rsidRPr="00C47E97">
              <w:rPr>
                <w:rFonts w:eastAsia="Times New Roman" w:cstheme="minorHAnsi"/>
                <w:color w:val="000000"/>
                <w:sz w:val="18"/>
                <w:szCs w:val="18"/>
                <w:lang w:eastAsia="cs-CZ"/>
              </w:rPr>
              <w:t>1</w:t>
            </w:r>
            <w:r w:rsidR="006069C6">
              <w:rPr>
                <w:rFonts w:eastAsia="Times New Roman" w:cstheme="minorHAnsi"/>
                <w:color w:val="000000"/>
                <w:sz w:val="18"/>
                <w:szCs w:val="18"/>
                <w:lang w:eastAsia="cs-CZ"/>
              </w:rPr>
              <w:t xml:space="preserve"> </w:t>
            </w:r>
            <w:r w:rsidRPr="00C47E97">
              <w:rPr>
                <w:rFonts w:eastAsia="Times New Roman" w:cstheme="minorHAnsi"/>
                <w:color w:val="000000"/>
                <w:sz w:val="18"/>
                <w:szCs w:val="18"/>
                <w:lang w:eastAsia="cs-CZ"/>
              </w:rPr>
              <w:t>788</w:t>
            </w:r>
          </w:p>
        </w:tc>
        <w:tc>
          <w:tcPr>
            <w:tcW w:w="1143" w:type="dxa"/>
            <w:shd w:val="clear" w:color="000000" w:fill="D9E1F2"/>
            <w:noWrap/>
            <w:vAlign w:val="center"/>
            <w:hideMark/>
          </w:tcPr>
          <w:p w14:paraId="7B91D13D" w14:textId="77777777" w:rsidR="00190481" w:rsidRPr="00C47E97" w:rsidRDefault="00190481" w:rsidP="006069C6">
            <w:pPr>
              <w:spacing w:after="0" w:line="240" w:lineRule="auto"/>
              <w:jc w:val="right"/>
              <w:rPr>
                <w:rFonts w:eastAsia="Times New Roman" w:cstheme="minorHAnsi"/>
                <w:color w:val="000000"/>
                <w:sz w:val="18"/>
                <w:szCs w:val="18"/>
                <w:lang w:eastAsia="cs-CZ"/>
              </w:rPr>
            </w:pPr>
            <w:r w:rsidRPr="00C47E97">
              <w:rPr>
                <w:rFonts w:eastAsia="Times New Roman" w:cstheme="minorHAnsi"/>
                <w:color w:val="000000"/>
                <w:sz w:val="18"/>
                <w:szCs w:val="18"/>
                <w:lang w:eastAsia="cs-CZ"/>
              </w:rPr>
              <w:t>437 473 150</w:t>
            </w:r>
          </w:p>
        </w:tc>
      </w:tr>
      <w:tr w:rsidR="00FC2803" w:rsidRPr="00C47E97" w14:paraId="614EE233" w14:textId="77777777" w:rsidTr="00D17AEC">
        <w:trPr>
          <w:trHeight w:val="237"/>
        </w:trPr>
        <w:tc>
          <w:tcPr>
            <w:tcW w:w="726" w:type="dxa"/>
            <w:shd w:val="clear" w:color="000000" w:fill="B4C6E7"/>
            <w:vAlign w:val="center"/>
            <w:hideMark/>
          </w:tcPr>
          <w:p w14:paraId="583F2369" w14:textId="77777777" w:rsidR="00190481" w:rsidRPr="00C47E97" w:rsidRDefault="00190481" w:rsidP="006069C6">
            <w:pPr>
              <w:spacing w:after="0" w:line="240" w:lineRule="auto"/>
              <w:rPr>
                <w:rFonts w:eastAsia="Times New Roman" w:cstheme="minorHAnsi"/>
                <w:b/>
                <w:bCs/>
                <w:color w:val="000000"/>
                <w:sz w:val="18"/>
                <w:szCs w:val="18"/>
                <w:lang w:eastAsia="cs-CZ"/>
              </w:rPr>
            </w:pPr>
            <w:r w:rsidRPr="00C47E97">
              <w:rPr>
                <w:rFonts w:eastAsia="Times New Roman" w:cstheme="minorHAnsi"/>
                <w:b/>
                <w:bCs/>
                <w:color w:val="000000"/>
                <w:sz w:val="18"/>
                <w:szCs w:val="18"/>
                <w:lang w:eastAsia="cs-CZ"/>
              </w:rPr>
              <w:t>DPFO</w:t>
            </w:r>
          </w:p>
        </w:tc>
        <w:tc>
          <w:tcPr>
            <w:tcW w:w="1020" w:type="dxa"/>
            <w:shd w:val="clear" w:color="auto" w:fill="auto"/>
            <w:noWrap/>
            <w:vAlign w:val="center"/>
            <w:hideMark/>
          </w:tcPr>
          <w:p w14:paraId="093E4A5D" w14:textId="77777777" w:rsidR="00190481" w:rsidRPr="00C47E97" w:rsidRDefault="00190481" w:rsidP="006069C6">
            <w:pPr>
              <w:spacing w:after="0" w:line="240" w:lineRule="auto"/>
              <w:jc w:val="right"/>
              <w:rPr>
                <w:rFonts w:eastAsia="Times New Roman" w:cstheme="minorHAnsi"/>
                <w:color w:val="000000"/>
                <w:sz w:val="18"/>
                <w:szCs w:val="18"/>
                <w:lang w:eastAsia="cs-CZ"/>
              </w:rPr>
            </w:pPr>
            <w:r w:rsidRPr="00C47E97">
              <w:rPr>
                <w:rFonts w:eastAsia="Times New Roman" w:cstheme="minorHAnsi"/>
                <w:color w:val="000000"/>
                <w:sz w:val="18"/>
                <w:szCs w:val="18"/>
                <w:lang w:eastAsia="cs-CZ"/>
              </w:rPr>
              <w:t>842</w:t>
            </w:r>
          </w:p>
        </w:tc>
        <w:tc>
          <w:tcPr>
            <w:tcW w:w="1083" w:type="dxa"/>
            <w:shd w:val="clear" w:color="auto" w:fill="auto"/>
            <w:noWrap/>
            <w:vAlign w:val="center"/>
            <w:hideMark/>
          </w:tcPr>
          <w:p w14:paraId="35B795BF" w14:textId="77777777" w:rsidR="00190481" w:rsidRPr="00C47E97" w:rsidRDefault="00190481" w:rsidP="006069C6">
            <w:pPr>
              <w:spacing w:after="0" w:line="240" w:lineRule="auto"/>
              <w:jc w:val="right"/>
              <w:rPr>
                <w:rFonts w:eastAsia="Times New Roman" w:cstheme="minorHAnsi"/>
                <w:color w:val="000000"/>
                <w:sz w:val="18"/>
                <w:szCs w:val="18"/>
                <w:lang w:eastAsia="cs-CZ"/>
              </w:rPr>
            </w:pPr>
            <w:r w:rsidRPr="00C47E97">
              <w:rPr>
                <w:rFonts w:eastAsia="Times New Roman" w:cstheme="minorHAnsi"/>
                <w:color w:val="000000"/>
                <w:sz w:val="18"/>
                <w:szCs w:val="18"/>
                <w:lang w:eastAsia="cs-CZ"/>
              </w:rPr>
              <w:t>12 105 965</w:t>
            </w:r>
          </w:p>
        </w:tc>
        <w:tc>
          <w:tcPr>
            <w:tcW w:w="1069" w:type="dxa"/>
            <w:shd w:val="clear" w:color="auto" w:fill="auto"/>
            <w:noWrap/>
            <w:vAlign w:val="center"/>
            <w:hideMark/>
          </w:tcPr>
          <w:p w14:paraId="5EF8908F" w14:textId="77777777" w:rsidR="00190481" w:rsidRPr="00C47E97" w:rsidRDefault="00190481" w:rsidP="006069C6">
            <w:pPr>
              <w:spacing w:after="0" w:line="240" w:lineRule="auto"/>
              <w:jc w:val="right"/>
              <w:rPr>
                <w:rFonts w:eastAsia="Times New Roman" w:cstheme="minorHAnsi"/>
                <w:color w:val="000000"/>
                <w:sz w:val="18"/>
                <w:szCs w:val="18"/>
                <w:lang w:eastAsia="cs-CZ"/>
              </w:rPr>
            </w:pPr>
            <w:r w:rsidRPr="00C47E97">
              <w:rPr>
                <w:rFonts w:eastAsia="Times New Roman" w:cstheme="minorHAnsi"/>
                <w:color w:val="000000"/>
                <w:sz w:val="18"/>
                <w:szCs w:val="18"/>
                <w:lang w:eastAsia="cs-CZ"/>
              </w:rPr>
              <w:t>198</w:t>
            </w:r>
          </w:p>
        </w:tc>
        <w:tc>
          <w:tcPr>
            <w:tcW w:w="1059" w:type="dxa"/>
            <w:shd w:val="clear" w:color="auto" w:fill="auto"/>
            <w:noWrap/>
            <w:vAlign w:val="center"/>
            <w:hideMark/>
          </w:tcPr>
          <w:p w14:paraId="00CEA56E" w14:textId="77777777" w:rsidR="00190481" w:rsidRPr="00C47E97" w:rsidRDefault="00190481" w:rsidP="006069C6">
            <w:pPr>
              <w:spacing w:after="0" w:line="240" w:lineRule="auto"/>
              <w:jc w:val="right"/>
              <w:rPr>
                <w:rFonts w:eastAsia="Times New Roman" w:cstheme="minorHAnsi"/>
                <w:color w:val="000000"/>
                <w:sz w:val="18"/>
                <w:szCs w:val="18"/>
                <w:lang w:eastAsia="cs-CZ"/>
              </w:rPr>
            </w:pPr>
            <w:r w:rsidRPr="00C47E97">
              <w:rPr>
                <w:rFonts w:eastAsia="Times New Roman" w:cstheme="minorHAnsi"/>
                <w:color w:val="000000"/>
                <w:sz w:val="18"/>
                <w:szCs w:val="18"/>
                <w:lang w:eastAsia="cs-CZ"/>
              </w:rPr>
              <w:t>9 376 679</w:t>
            </w:r>
          </w:p>
        </w:tc>
        <w:tc>
          <w:tcPr>
            <w:tcW w:w="1069" w:type="dxa"/>
            <w:shd w:val="clear" w:color="auto" w:fill="auto"/>
            <w:noWrap/>
            <w:vAlign w:val="center"/>
            <w:hideMark/>
          </w:tcPr>
          <w:p w14:paraId="12AD1A85" w14:textId="77777777" w:rsidR="00190481" w:rsidRPr="00C47E97" w:rsidRDefault="00190481" w:rsidP="006069C6">
            <w:pPr>
              <w:spacing w:after="0" w:line="240" w:lineRule="auto"/>
              <w:jc w:val="right"/>
              <w:rPr>
                <w:rFonts w:eastAsia="Times New Roman" w:cstheme="minorHAnsi"/>
                <w:color w:val="000000"/>
                <w:sz w:val="18"/>
                <w:szCs w:val="18"/>
                <w:lang w:eastAsia="cs-CZ"/>
              </w:rPr>
            </w:pPr>
            <w:r w:rsidRPr="00C47E97">
              <w:rPr>
                <w:rFonts w:eastAsia="Times New Roman" w:cstheme="minorHAnsi"/>
                <w:color w:val="000000"/>
                <w:sz w:val="18"/>
                <w:szCs w:val="18"/>
                <w:lang w:eastAsia="cs-CZ"/>
              </w:rPr>
              <w:t>312</w:t>
            </w:r>
          </w:p>
        </w:tc>
        <w:tc>
          <w:tcPr>
            <w:tcW w:w="1077" w:type="dxa"/>
            <w:shd w:val="clear" w:color="auto" w:fill="auto"/>
            <w:noWrap/>
            <w:vAlign w:val="center"/>
            <w:hideMark/>
          </w:tcPr>
          <w:p w14:paraId="15DF2495" w14:textId="77777777" w:rsidR="00190481" w:rsidRPr="00C47E97" w:rsidRDefault="00190481" w:rsidP="006069C6">
            <w:pPr>
              <w:spacing w:after="0" w:line="240" w:lineRule="auto"/>
              <w:jc w:val="right"/>
              <w:rPr>
                <w:rFonts w:eastAsia="Times New Roman" w:cstheme="minorHAnsi"/>
                <w:color w:val="000000"/>
                <w:sz w:val="18"/>
                <w:szCs w:val="18"/>
                <w:lang w:eastAsia="cs-CZ"/>
              </w:rPr>
            </w:pPr>
            <w:r w:rsidRPr="00C47E97">
              <w:rPr>
                <w:rFonts w:eastAsia="Times New Roman" w:cstheme="minorHAnsi"/>
                <w:color w:val="000000"/>
                <w:sz w:val="18"/>
                <w:szCs w:val="18"/>
                <w:lang w:eastAsia="cs-CZ"/>
              </w:rPr>
              <w:t>7 678 085</w:t>
            </w:r>
          </w:p>
        </w:tc>
        <w:tc>
          <w:tcPr>
            <w:tcW w:w="964" w:type="dxa"/>
            <w:shd w:val="clear" w:color="000000" w:fill="D9E1F2"/>
            <w:noWrap/>
            <w:vAlign w:val="center"/>
            <w:hideMark/>
          </w:tcPr>
          <w:p w14:paraId="2C8B12F4" w14:textId="10293289" w:rsidR="00190481" w:rsidRPr="00C47E97" w:rsidRDefault="00190481" w:rsidP="006069C6">
            <w:pPr>
              <w:spacing w:after="0" w:line="240" w:lineRule="auto"/>
              <w:jc w:val="right"/>
              <w:rPr>
                <w:rFonts w:eastAsia="Times New Roman" w:cstheme="minorHAnsi"/>
                <w:color w:val="000000"/>
                <w:sz w:val="18"/>
                <w:szCs w:val="18"/>
                <w:lang w:eastAsia="cs-CZ"/>
              </w:rPr>
            </w:pPr>
            <w:r w:rsidRPr="00C47E97">
              <w:rPr>
                <w:rFonts w:eastAsia="Times New Roman" w:cstheme="minorHAnsi"/>
                <w:color w:val="000000"/>
                <w:sz w:val="18"/>
                <w:szCs w:val="18"/>
                <w:lang w:eastAsia="cs-CZ"/>
              </w:rPr>
              <w:t>1</w:t>
            </w:r>
            <w:r w:rsidR="006069C6">
              <w:rPr>
                <w:rFonts w:eastAsia="Times New Roman" w:cstheme="minorHAnsi"/>
                <w:color w:val="000000"/>
                <w:sz w:val="18"/>
                <w:szCs w:val="18"/>
                <w:lang w:eastAsia="cs-CZ"/>
              </w:rPr>
              <w:t xml:space="preserve"> </w:t>
            </w:r>
            <w:r w:rsidRPr="00C47E97">
              <w:rPr>
                <w:rFonts w:eastAsia="Times New Roman" w:cstheme="minorHAnsi"/>
                <w:color w:val="000000"/>
                <w:sz w:val="18"/>
                <w:szCs w:val="18"/>
                <w:lang w:eastAsia="cs-CZ"/>
              </w:rPr>
              <w:t>352</w:t>
            </w:r>
          </w:p>
        </w:tc>
        <w:tc>
          <w:tcPr>
            <w:tcW w:w="1143" w:type="dxa"/>
            <w:shd w:val="clear" w:color="000000" w:fill="D9E1F2"/>
            <w:noWrap/>
            <w:vAlign w:val="center"/>
            <w:hideMark/>
          </w:tcPr>
          <w:p w14:paraId="6E62D9EA" w14:textId="77777777" w:rsidR="00190481" w:rsidRPr="00C47E97" w:rsidRDefault="00190481" w:rsidP="006069C6">
            <w:pPr>
              <w:spacing w:after="0" w:line="240" w:lineRule="auto"/>
              <w:jc w:val="right"/>
              <w:rPr>
                <w:rFonts w:eastAsia="Times New Roman" w:cstheme="minorHAnsi"/>
                <w:color w:val="000000"/>
                <w:sz w:val="18"/>
                <w:szCs w:val="18"/>
                <w:lang w:eastAsia="cs-CZ"/>
              </w:rPr>
            </w:pPr>
            <w:r w:rsidRPr="00C47E97">
              <w:rPr>
                <w:rFonts w:eastAsia="Times New Roman" w:cstheme="minorHAnsi"/>
                <w:color w:val="000000"/>
                <w:sz w:val="18"/>
                <w:szCs w:val="18"/>
                <w:lang w:eastAsia="cs-CZ"/>
              </w:rPr>
              <w:t>29 160 729</w:t>
            </w:r>
          </w:p>
        </w:tc>
      </w:tr>
      <w:tr w:rsidR="006C5DA2" w:rsidRPr="00C47E97" w14:paraId="1BE065CD" w14:textId="77777777" w:rsidTr="00D17AEC">
        <w:trPr>
          <w:trHeight w:val="237"/>
        </w:trPr>
        <w:tc>
          <w:tcPr>
            <w:tcW w:w="726" w:type="dxa"/>
            <w:shd w:val="clear" w:color="000000" w:fill="B4C6E7"/>
            <w:vAlign w:val="center"/>
          </w:tcPr>
          <w:p w14:paraId="2A48AE3F" w14:textId="77777777" w:rsidR="006C5DA2" w:rsidRPr="00C47E97" w:rsidRDefault="006C5DA2" w:rsidP="006069C6">
            <w:pPr>
              <w:spacing w:after="0" w:line="240" w:lineRule="auto"/>
              <w:rPr>
                <w:rFonts w:eastAsia="Times New Roman" w:cstheme="minorHAnsi"/>
                <w:b/>
                <w:bCs/>
                <w:color w:val="000000"/>
                <w:sz w:val="18"/>
                <w:szCs w:val="18"/>
                <w:lang w:eastAsia="cs-CZ"/>
              </w:rPr>
            </w:pPr>
            <w:r w:rsidRPr="00C47E97">
              <w:rPr>
                <w:rFonts w:eastAsia="Times New Roman" w:cstheme="minorHAnsi"/>
                <w:b/>
                <w:bCs/>
                <w:color w:val="000000"/>
                <w:sz w:val="18"/>
                <w:szCs w:val="18"/>
                <w:lang w:eastAsia="cs-CZ"/>
              </w:rPr>
              <w:t>Celkem</w:t>
            </w:r>
          </w:p>
        </w:tc>
        <w:tc>
          <w:tcPr>
            <w:tcW w:w="1020" w:type="dxa"/>
            <w:shd w:val="clear" w:color="auto" w:fill="auto"/>
            <w:noWrap/>
            <w:vAlign w:val="center"/>
          </w:tcPr>
          <w:p w14:paraId="41517A0F" w14:textId="77777777" w:rsidR="006C5DA2" w:rsidRPr="00C47E97" w:rsidRDefault="006C5DA2" w:rsidP="006069C6">
            <w:pPr>
              <w:spacing w:after="0" w:line="240" w:lineRule="auto"/>
              <w:jc w:val="right"/>
              <w:rPr>
                <w:rFonts w:eastAsia="Times New Roman" w:cstheme="minorHAnsi"/>
                <w:color w:val="000000"/>
                <w:sz w:val="18"/>
                <w:szCs w:val="18"/>
                <w:lang w:eastAsia="cs-CZ"/>
              </w:rPr>
            </w:pPr>
          </w:p>
        </w:tc>
        <w:tc>
          <w:tcPr>
            <w:tcW w:w="1083" w:type="dxa"/>
            <w:shd w:val="clear" w:color="auto" w:fill="auto"/>
            <w:noWrap/>
            <w:vAlign w:val="center"/>
          </w:tcPr>
          <w:p w14:paraId="6DC45CC0" w14:textId="77777777" w:rsidR="006C5DA2" w:rsidRPr="00C47E97" w:rsidRDefault="006C5DA2" w:rsidP="006069C6">
            <w:pPr>
              <w:spacing w:after="0" w:line="240" w:lineRule="auto"/>
              <w:jc w:val="right"/>
              <w:rPr>
                <w:rFonts w:eastAsia="Times New Roman" w:cstheme="minorHAnsi"/>
                <w:color w:val="000000"/>
                <w:sz w:val="18"/>
                <w:szCs w:val="18"/>
                <w:lang w:eastAsia="cs-CZ"/>
              </w:rPr>
            </w:pPr>
          </w:p>
        </w:tc>
        <w:tc>
          <w:tcPr>
            <w:tcW w:w="1069" w:type="dxa"/>
            <w:shd w:val="clear" w:color="auto" w:fill="auto"/>
            <w:noWrap/>
            <w:vAlign w:val="center"/>
          </w:tcPr>
          <w:p w14:paraId="212720A5" w14:textId="77777777" w:rsidR="006C5DA2" w:rsidRPr="00C47E97" w:rsidRDefault="006C5DA2" w:rsidP="006069C6">
            <w:pPr>
              <w:spacing w:after="0" w:line="240" w:lineRule="auto"/>
              <w:jc w:val="right"/>
              <w:rPr>
                <w:rFonts w:eastAsia="Times New Roman" w:cstheme="minorHAnsi"/>
                <w:color w:val="000000"/>
                <w:sz w:val="18"/>
                <w:szCs w:val="18"/>
                <w:lang w:eastAsia="cs-CZ"/>
              </w:rPr>
            </w:pPr>
          </w:p>
        </w:tc>
        <w:tc>
          <w:tcPr>
            <w:tcW w:w="1059" w:type="dxa"/>
            <w:shd w:val="clear" w:color="auto" w:fill="auto"/>
            <w:noWrap/>
            <w:vAlign w:val="center"/>
          </w:tcPr>
          <w:p w14:paraId="751C2D2F" w14:textId="77777777" w:rsidR="006C5DA2" w:rsidRPr="00C47E97" w:rsidRDefault="006C5DA2" w:rsidP="006069C6">
            <w:pPr>
              <w:spacing w:after="0" w:line="240" w:lineRule="auto"/>
              <w:jc w:val="right"/>
              <w:rPr>
                <w:rFonts w:eastAsia="Times New Roman" w:cstheme="minorHAnsi"/>
                <w:color w:val="000000"/>
                <w:sz w:val="18"/>
                <w:szCs w:val="18"/>
                <w:lang w:eastAsia="cs-CZ"/>
              </w:rPr>
            </w:pPr>
          </w:p>
        </w:tc>
        <w:tc>
          <w:tcPr>
            <w:tcW w:w="1069" w:type="dxa"/>
            <w:shd w:val="clear" w:color="auto" w:fill="auto"/>
            <w:noWrap/>
            <w:vAlign w:val="center"/>
          </w:tcPr>
          <w:p w14:paraId="54FE5CB5" w14:textId="77777777" w:rsidR="006C5DA2" w:rsidRPr="00C47E97" w:rsidRDefault="006C5DA2" w:rsidP="006069C6">
            <w:pPr>
              <w:spacing w:after="0" w:line="240" w:lineRule="auto"/>
              <w:jc w:val="right"/>
              <w:rPr>
                <w:rFonts w:eastAsia="Times New Roman" w:cstheme="minorHAnsi"/>
                <w:color w:val="000000"/>
                <w:sz w:val="18"/>
                <w:szCs w:val="18"/>
                <w:lang w:eastAsia="cs-CZ"/>
              </w:rPr>
            </w:pPr>
          </w:p>
        </w:tc>
        <w:tc>
          <w:tcPr>
            <w:tcW w:w="1077" w:type="dxa"/>
            <w:shd w:val="clear" w:color="auto" w:fill="auto"/>
            <w:noWrap/>
            <w:vAlign w:val="center"/>
          </w:tcPr>
          <w:p w14:paraId="3D3776AD" w14:textId="77777777" w:rsidR="006C5DA2" w:rsidRPr="00C47E97" w:rsidRDefault="006C5DA2" w:rsidP="006069C6">
            <w:pPr>
              <w:spacing w:after="0" w:line="240" w:lineRule="auto"/>
              <w:jc w:val="right"/>
              <w:rPr>
                <w:rFonts w:eastAsia="Times New Roman" w:cstheme="minorHAnsi"/>
                <w:color w:val="000000"/>
                <w:sz w:val="18"/>
                <w:szCs w:val="18"/>
                <w:lang w:eastAsia="cs-CZ"/>
              </w:rPr>
            </w:pPr>
          </w:p>
        </w:tc>
        <w:tc>
          <w:tcPr>
            <w:tcW w:w="964" w:type="dxa"/>
            <w:shd w:val="clear" w:color="000000" w:fill="D9E1F2"/>
            <w:noWrap/>
            <w:vAlign w:val="center"/>
          </w:tcPr>
          <w:p w14:paraId="13D0AC68" w14:textId="77777777" w:rsidR="006C5DA2" w:rsidRPr="00C47E97" w:rsidRDefault="006C5DA2" w:rsidP="006069C6">
            <w:pPr>
              <w:spacing w:after="0" w:line="240" w:lineRule="auto"/>
              <w:jc w:val="right"/>
              <w:rPr>
                <w:rFonts w:eastAsia="Times New Roman" w:cstheme="minorHAnsi"/>
                <w:color w:val="000000"/>
                <w:sz w:val="18"/>
                <w:szCs w:val="18"/>
                <w:lang w:eastAsia="cs-CZ"/>
              </w:rPr>
            </w:pPr>
            <w:r w:rsidRPr="00C47E97">
              <w:rPr>
                <w:rFonts w:eastAsia="Times New Roman" w:cstheme="minorHAnsi"/>
                <w:color w:val="000000"/>
                <w:sz w:val="18"/>
                <w:szCs w:val="18"/>
                <w:lang w:eastAsia="cs-CZ"/>
              </w:rPr>
              <w:t>5 503</w:t>
            </w:r>
          </w:p>
        </w:tc>
        <w:tc>
          <w:tcPr>
            <w:tcW w:w="1143" w:type="dxa"/>
            <w:shd w:val="clear" w:color="000000" w:fill="D9E1F2"/>
            <w:noWrap/>
            <w:vAlign w:val="center"/>
          </w:tcPr>
          <w:p w14:paraId="4772D84A" w14:textId="77777777" w:rsidR="006C5DA2" w:rsidRPr="00C47E97" w:rsidRDefault="006C5DA2" w:rsidP="006069C6">
            <w:pPr>
              <w:spacing w:after="0" w:line="240" w:lineRule="auto"/>
              <w:jc w:val="right"/>
              <w:rPr>
                <w:rFonts w:eastAsia="Times New Roman" w:cstheme="minorHAnsi"/>
                <w:color w:val="000000"/>
                <w:sz w:val="18"/>
                <w:szCs w:val="18"/>
                <w:lang w:eastAsia="cs-CZ"/>
              </w:rPr>
            </w:pPr>
            <w:r w:rsidRPr="00C47E97">
              <w:rPr>
                <w:rFonts w:eastAsia="Times New Roman" w:cstheme="minorHAnsi"/>
                <w:color w:val="000000"/>
                <w:sz w:val="18"/>
                <w:szCs w:val="18"/>
                <w:lang w:eastAsia="cs-CZ"/>
              </w:rPr>
              <w:t>651 563 757</w:t>
            </w:r>
          </w:p>
        </w:tc>
      </w:tr>
    </w:tbl>
    <w:p w14:paraId="0AAE37ED" w14:textId="6164D82F" w:rsidR="009008B2" w:rsidRPr="0026004F" w:rsidRDefault="009008B2" w:rsidP="009008B2">
      <w:pPr>
        <w:spacing w:after="120" w:line="240" w:lineRule="auto"/>
        <w:jc w:val="both"/>
        <w:rPr>
          <w:rFonts w:eastAsia="Calibri" w:cstheme="minorHAnsi"/>
          <w:sz w:val="20"/>
          <w:szCs w:val="20"/>
        </w:rPr>
      </w:pPr>
      <w:r w:rsidRPr="0026004F">
        <w:rPr>
          <w:rFonts w:eastAsia="Calibri" w:cstheme="minorHAnsi"/>
          <w:b/>
          <w:bCs/>
          <w:sz w:val="20"/>
          <w:szCs w:val="20"/>
        </w:rPr>
        <w:t>Zdroj:</w:t>
      </w:r>
      <w:r w:rsidRPr="0026004F">
        <w:rPr>
          <w:rFonts w:eastAsia="Calibri" w:cstheme="minorHAnsi"/>
          <w:sz w:val="20"/>
          <w:szCs w:val="20"/>
        </w:rPr>
        <w:t xml:space="preserve"> GFŘ</w:t>
      </w:r>
      <w:r w:rsidR="00D17AEC">
        <w:rPr>
          <w:rFonts w:eastAsia="Calibri" w:cstheme="minorHAnsi"/>
          <w:sz w:val="20"/>
          <w:szCs w:val="20"/>
        </w:rPr>
        <w:t>.</w:t>
      </w:r>
    </w:p>
    <w:p w14:paraId="58A43964" w14:textId="33E406F7" w:rsidR="006C5DA2" w:rsidRPr="00C47E97" w:rsidRDefault="00C337D1" w:rsidP="00792C28">
      <w:pPr>
        <w:keepNext/>
        <w:keepLines/>
        <w:spacing w:after="120" w:line="240" w:lineRule="auto"/>
        <w:jc w:val="both"/>
        <w:rPr>
          <w:rFonts w:eastAsia="Calibri" w:cstheme="minorHAnsi"/>
          <w:sz w:val="24"/>
          <w:szCs w:val="24"/>
        </w:rPr>
      </w:pPr>
      <w:r w:rsidRPr="00C47E97">
        <w:rPr>
          <w:rFonts w:eastAsia="Calibri" w:cstheme="minorHAnsi"/>
          <w:bCs/>
          <w:sz w:val="24"/>
          <w:szCs w:val="24"/>
        </w:rPr>
        <w:lastRenderedPageBreak/>
        <w:t>Na základě podnětů vzešlých z</w:t>
      </w:r>
      <w:r w:rsidR="00D17AEC">
        <w:rPr>
          <w:rFonts w:eastAsia="Calibri" w:cstheme="minorHAnsi"/>
          <w:bCs/>
          <w:sz w:val="24"/>
          <w:szCs w:val="24"/>
        </w:rPr>
        <w:t xml:space="preserve"> </w:t>
      </w:r>
      <w:r w:rsidRPr="00C47E97">
        <w:rPr>
          <w:rFonts w:eastAsia="Calibri" w:cstheme="minorHAnsi"/>
          <w:bCs/>
          <w:sz w:val="24"/>
          <w:szCs w:val="24"/>
        </w:rPr>
        <w:t>porovnání dat z</w:t>
      </w:r>
      <w:r w:rsidR="00D17AEC">
        <w:rPr>
          <w:rFonts w:eastAsia="Calibri" w:cstheme="minorHAnsi"/>
          <w:bCs/>
          <w:sz w:val="24"/>
          <w:szCs w:val="24"/>
        </w:rPr>
        <w:t xml:space="preserve"> </w:t>
      </w:r>
      <w:r w:rsidRPr="00C47E97">
        <w:rPr>
          <w:rFonts w:eastAsia="Calibri" w:cstheme="minorHAnsi"/>
          <w:bCs/>
          <w:sz w:val="24"/>
          <w:szCs w:val="24"/>
        </w:rPr>
        <w:t xml:space="preserve">EET a daňových přiznání doměřila </w:t>
      </w:r>
      <w:r w:rsidR="009008B2" w:rsidRPr="00C47E97">
        <w:rPr>
          <w:rFonts w:eastAsia="Calibri" w:cstheme="minorHAnsi"/>
          <w:bCs/>
          <w:sz w:val="24"/>
          <w:szCs w:val="24"/>
        </w:rPr>
        <w:t xml:space="preserve">FS ČR </w:t>
      </w:r>
      <w:r w:rsidR="001958FE">
        <w:rPr>
          <w:rFonts w:eastAsia="Calibri" w:cstheme="minorHAnsi"/>
          <w:bCs/>
          <w:sz w:val="24"/>
          <w:szCs w:val="24"/>
        </w:rPr>
        <w:br/>
      </w:r>
      <w:r w:rsidR="009008B2" w:rsidRPr="00C47E97">
        <w:rPr>
          <w:rFonts w:eastAsia="Calibri" w:cstheme="minorHAnsi"/>
          <w:bCs/>
          <w:sz w:val="24"/>
          <w:szCs w:val="24"/>
        </w:rPr>
        <w:t>na</w:t>
      </w:r>
      <w:r w:rsidR="009008B2" w:rsidRPr="0026004F">
        <w:rPr>
          <w:rFonts w:eastAsia="Calibri" w:cstheme="minorHAnsi"/>
          <w:bCs/>
          <w:sz w:val="24"/>
          <w:szCs w:val="24"/>
        </w:rPr>
        <w:t xml:space="preserve"> </w:t>
      </w:r>
      <w:r w:rsidR="007B0825" w:rsidRPr="00C47E97">
        <w:rPr>
          <w:rFonts w:eastAsia="Calibri" w:cstheme="minorHAnsi"/>
          <w:bCs/>
          <w:sz w:val="24"/>
          <w:szCs w:val="24"/>
        </w:rPr>
        <w:t xml:space="preserve">DPH, DPFO a </w:t>
      </w:r>
      <w:r w:rsidR="009008B2" w:rsidRPr="00C47E97">
        <w:rPr>
          <w:rFonts w:eastAsia="Calibri" w:cstheme="minorHAnsi"/>
          <w:bCs/>
          <w:sz w:val="24"/>
          <w:szCs w:val="24"/>
        </w:rPr>
        <w:t>DPPO v letech 2017–2019 částku</w:t>
      </w:r>
      <w:r w:rsidRPr="00C47E97">
        <w:rPr>
          <w:rFonts w:eastAsia="Calibri" w:cstheme="minorHAnsi"/>
          <w:bCs/>
          <w:sz w:val="24"/>
          <w:szCs w:val="24"/>
        </w:rPr>
        <w:t xml:space="preserve"> v celkové</w:t>
      </w:r>
      <w:r w:rsidR="009008B2" w:rsidRPr="00C47E97">
        <w:rPr>
          <w:rFonts w:eastAsia="Calibri" w:cstheme="minorHAnsi"/>
          <w:bCs/>
          <w:sz w:val="24"/>
          <w:szCs w:val="24"/>
        </w:rPr>
        <w:t xml:space="preserve"> výši </w:t>
      </w:r>
      <w:r w:rsidR="007B0825" w:rsidRPr="00C47E97">
        <w:rPr>
          <w:rFonts w:eastAsia="Calibri" w:cstheme="minorHAnsi"/>
          <w:bCs/>
          <w:sz w:val="24"/>
          <w:szCs w:val="24"/>
        </w:rPr>
        <w:t>651</w:t>
      </w:r>
      <w:r w:rsidR="006C5DA2" w:rsidRPr="00C47E97">
        <w:rPr>
          <w:rFonts w:eastAsia="Calibri" w:cstheme="minorHAnsi"/>
          <w:bCs/>
          <w:sz w:val="24"/>
          <w:szCs w:val="24"/>
        </w:rPr>
        <w:t>,6 mil.</w:t>
      </w:r>
      <w:r w:rsidR="007B0825" w:rsidRPr="00C47E97">
        <w:rPr>
          <w:rFonts w:eastAsia="Calibri" w:cstheme="minorHAnsi"/>
          <w:bCs/>
          <w:sz w:val="24"/>
          <w:szCs w:val="24"/>
        </w:rPr>
        <w:t xml:space="preserve"> </w:t>
      </w:r>
      <w:r w:rsidR="009008B2" w:rsidRPr="00C47E97">
        <w:rPr>
          <w:rFonts w:eastAsia="Calibri" w:cstheme="minorHAnsi"/>
          <w:bCs/>
          <w:sz w:val="24"/>
          <w:szCs w:val="24"/>
        </w:rPr>
        <w:t>Kč</w:t>
      </w:r>
      <w:r w:rsidR="00E00E95">
        <w:rPr>
          <w:rFonts w:eastAsia="Calibri" w:cstheme="minorHAnsi"/>
          <w:bCs/>
          <w:sz w:val="24"/>
          <w:szCs w:val="24"/>
        </w:rPr>
        <w:t>,</w:t>
      </w:r>
      <w:r w:rsidR="009008B2" w:rsidRPr="00C47E97">
        <w:rPr>
          <w:rFonts w:eastAsia="Calibri" w:cstheme="minorHAnsi"/>
          <w:b/>
          <w:sz w:val="24"/>
          <w:szCs w:val="24"/>
        </w:rPr>
        <w:t xml:space="preserve"> </w:t>
      </w:r>
      <w:r w:rsidR="00E00E95">
        <w:rPr>
          <w:rFonts w:eastAsia="Calibri" w:cstheme="minorHAnsi"/>
          <w:sz w:val="24"/>
          <w:szCs w:val="24"/>
        </w:rPr>
        <w:t>z toho na DPH celkem</w:t>
      </w:r>
      <w:r w:rsidR="006C5DA2" w:rsidRPr="00C47E97">
        <w:rPr>
          <w:rFonts w:eastAsia="Calibri" w:cstheme="minorHAnsi"/>
          <w:sz w:val="24"/>
          <w:szCs w:val="24"/>
        </w:rPr>
        <w:t xml:space="preserve"> 184,9 mil. Kč. Průměrná hodnota změny DPH se u</w:t>
      </w:r>
      <w:r w:rsidR="00041825">
        <w:rPr>
          <w:rFonts w:eastAsia="Calibri" w:cstheme="minorHAnsi"/>
          <w:sz w:val="24"/>
          <w:szCs w:val="24"/>
        </w:rPr>
        <w:t> </w:t>
      </w:r>
      <w:r w:rsidR="006C5DA2" w:rsidRPr="00C47E97">
        <w:rPr>
          <w:rFonts w:eastAsia="Calibri" w:cstheme="minorHAnsi"/>
          <w:sz w:val="24"/>
          <w:szCs w:val="24"/>
        </w:rPr>
        <w:t>prověřených podnětů s fiskálním efektem mezi roky 2017</w:t>
      </w:r>
      <w:r w:rsidR="00D17AEC">
        <w:rPr>
          <w:rFonts w:eastAsia="Calibri" w:cstheme="minorHAnsi"/>
          <w:sz w:val="24"/>
          <w:szCs w:val="24"/>
        </w:rPr>
        <w:t>–</w:t>
      </w:r>
      <w:r w:rsidR="006C5DA2" w:rsidRPr="00C47E97">
        <w:rPr>
          <w:rFonts w:eastAsia="Calibri" w:cstheme="minorHAnsi"/>
          <w:sz w:val="24"/>
          <w:szCs w:val="24"/>
        </w:rPr>
        <w:t xml:space="preserve">2019 zvýšila z částky 43 038 Kč na částku 110 508 Kč. </w:t>
      </w:r>
    </w:p>
    <w:p w14:paraId="2F3A974F" w14:textId="0B14F176" w:rsidR="00891950" w:rsidRPr="00C47E97" w:rsidRDefault="00891950" w:rsidP="00891950">
      <w:pPr>
        <w:spacing w:after="120" w:line="240" w:lineRule="auto"/>
        <w:jc w:val="both"/>
        <w:rPr>
          <w:rFonts w:eastAsia="Calibri" w:cstheme="minorHAnsi"/>
          <w:sz w:val="24"/>
          <w:szCs w:val="24"/>
        </w:rPr>
      </w:pPr>
      <w:r w:rsidRPr="00C47E97">
        <w:rPr>
          <w:rFonts w:eastAsia="Calibri" w:cstheme="minorHAnsi"/>
          <w:sz w:val="24"/>
          <w:szCs w:val="24"/>
        </w:rPr>
        <w:t xml:space="preserve">GFŘ </w:t>
      </w:r>
      <w:r w:rsidR="004F2850">
        <w:rPr>
          <w:rFonts w:eastAsia="Calibri" w:cstheme="minorHAnsi"/>
          <w:sz w:val="24"/>
          <w:szCs w:val="24"/>
        </w:rPr>
        <w:t xml:space="preserve">dále </w:t>
      </w:r>
      <w:r w:rsidRPr="00C47E97">
        <w:rPr>
          <w:rFonts w:eastAsia="Calibri" w:cstheme="minorHAnsi"/>
          <w:sz w:val="24"/>
          <w:szCs w:val="24"/>
        </w:rPr>
        <w:t>zpracovávalo sestavy ve vazbě na informace z EET, které zahrnovaly daňové subjekty, jejichž obrat by mohl přesáhnout limit pro povinnou registraci k DPH, a</w:t>
      </w:r>
      <w:r w:rsidR="00D17AEC">
        <w:rPr>
          <w:rFonts w:eastAsia="Calibri" w:cstheme="minorHAnsi"/>
          <w:sz w:val="24"/>
          <w:szCs w:val="24"/>
        </w:rPr>
        <w:t>však</w:t>
      </w:r>
      <w:r w:rsidRPr="00C47E97">
        <w:rPr>
          <w:rFonts w:eastAsia="Calibri" w:cstheme="minorHAnsi"/>
          <w:sz w:val="24"/>
          <w:szCs w:val="24"/>
        </w:rPr>
        <w:t xml:space="preserve"> </w:t>
      </w:r>
      <w:r w:rsidR="00D17AEC" w:rsidRPr="00C47E97">
        <w:rPr>
          <w:rFonts w:eastAsia="Calibri" w:cstheme="minorHAnsi"/>
          <w:sz w:val="24"/>
          <w:szCs w:val="24"/>
        </w:rPr>
        <w:t xml:space="preserve">dosud </w:t>
      </w:r>
      <w:r w:rsidRPr="00C47E97">
        <w:rPr>
          <w:rFonts w:eastAsia="Calibri" w:cstheme="minorHAnsi"/>
          <w:sz w:val="24"/>
          <w:szCs w:val="24"/>
        </w:rPr>
        <w:t>nebyly k</w:t>
      </w:r>
      <w:r w:rsidR="00D17AEC">
        <w:rPr>
          <w:rFonts w:eastAsia="Calibri" w:cstheme="minorHAnsi"/>
          <w:sz w:val="24"/>
          <w:szCs w:val="24"/>
        </w:rPr>
        <w:t> </w:t>
      </w:r>
      <w:r w:rsidRPr="00C47E97">
        <w:rPr>
          <w:rFonts w:eastAsia="Calibri" w:cstheme="minorHAnsi"/>
          <w:sz w:val="24"/>
          <w:szCs w:val="24"/>
        </w:rPr>
        <w:t xml:space="preserve">DPH registrovány. </w:t>
      </w:r>
    </w:p>
    <w:p w14:paraId="75CB6D57" w14:textId="0436A88B" w:rsidR="00C854B3" w:rsidRPr="00C47E97" w:rsidRDefault="00C854B3" w:rsidP="00C854B3">
      <w:pPr>
        <w:spacing w:after="120" w:line="240" w:lineRule="auto"/>
        <w:jc w:val="both"/>
        <w:rPr>
          <w:rFonts w:eastAsia="Calibri" w:cstheme="minorHAnsi"/>
          <w:sz w:val="24"/>
          <w:szCs w:val="24"/>
        </w:rPr>
      </w:pPr>
      <w:r w:rsidRPr="00C47E97">
        <w:rPr>
          <w:rFonts w:eastAsia="Calibri" w:cstheme="minorHAnsi"/>
          <w:sz w:val="24"/>
          <w:szCs w:val="24"/>
        </w:rPr>
        <w:t>Před zavedením EET využívala FS ČR ke kontrole překročení limitu pro povinnou registraci k</w:t>
      </w:r>
      <w:r w:rsidR="00041825">
        <w:rPr>
          <w:rFonts w:eastAsia="Calibri" w:cstheme="minorHAnsi"/>
          <w:sz w:val="24"/>
          <w:szCs w:val="24"/>
        </w:rPr>
        <w:t> </w:t>
      </w:r>
      <w:r w:rsidRPr="00C47E97">
        <w:rPr>
          <w:rFonts w:eastAsia="Calibri" w:cstheme="minorHAnsi"/>
          <w:sz w:val="24"/>
          <w:szCs w:val="24"/>
        </w:rPr>
        <w:t>DPH</w:t>
      </w:r>
      <w:r w:rsidRPr="00C47E97">
        <w:rPr>
          <w:rStyle w:val="Znakapoznpodarou"/>
          <w:rFonts w:eastAsia="Calibri" w:cstheme="minorHAnsi"/>
          <w:sz w:val="24"/>
          <w:szCs w:val="24"/>
        </w:rPr>
        <w:footnoteReference w:id="28"/>
      </w:r>
      <w:r w:rsidRPr="00C47E97">
        <w:rPr>
          <w:rFonts w:eastAsia="Calibri" w:cstheme="minorHAnsi"/>
          <w:sz w:val="24"/>
          <w:szCs w:val="24"/>
        </w:rPr>
        <w:t xml:space="preserve"> výsledky šetření z daně z příjmů či další vyhledávací a kontrolní činnost správce daně. Po zavedení EET získala FS ČR nástroj pro účinnější a administrativně jednodušší získá</w:t>
      </w:r>
      <w:r w:rsidR="00D17AEC">
        <w:rPr>
          <w:rFonts w:eastAsia="Calibri" w:cstheme="minorHAnsi"/>
          <w:sz w:val="24"/>
          <w:szCs w:val="24"/>
        </w:rPr>
        <w:t>vá</w:t>
      </w:r>
      <w:r w:rsidRPr="00C47E97">
        <w:rPr>
          <w:rFonts w:eastAsia="Calibri" w:cstheme="minorHAnsi"/>
          <w:sz w:val="24"/>
          <w:szCs w:val="24"/>
        </w:rPr>
        <w:t>ní informací pro odhalení daňových subjektů, které překročily limit pro povinnou registraci k</w:t>
      </w:r>
      <w:r w:rsidR="00041825">
        <w:rPr>
          <w:rFonts w:eastAsia="Calibri" w:cstheme="minorHAnsi"/>
          <w:sz w:val="24"/>
          <w:szCs w:val="24"/>
        </w:rPr>
        <w:t> </w:t>
      </w:r>
      <w:r w:rsidRPr="00C47E97">
        <w:rPr>
          <w:rFonts w:eastAsia="Calibri" w:cstheme="minorHAnsi"/>
          <w:sz w:val="24"/>
          <w:szCs w:val="24"/>
        </w:rPr>
        <w:t xml:space="preserve">DPH, ale registraci k DPH neprovedly. </w:t>
      </w:r>
    </w:p>
    <w:p w14:paraId="182E92ED" w14:textId="6CEDFA92" w:rsidR="00C854B3" w:rsidRPr="003932D7" w:rsidRDefault="003B5BC0" w:rsidP="00F5553A">
      <w:pPr>
        <w:keepNext/>
        <w:spacing w:after="120" w:line="240" w:lineRule="auto"/>
        <w:jc w:val="both"/>
        <w:rPr>
          <w:rFonts w:eastAsia="Calibri" w:cstheme="minorHAnsi"/>
          <w:b/>
          <w:bCs/>
          <w:sz w:val="24"/>
          <w:szCs w:val="24"/>
        </w:rPr>
      </w:pPr>
      <w:r w:rsidRPr="003932D7">
        <w:rPr>
          <w:rFonts w:eastAsia="Calibri" w:cstheme="minorHAnsi"/>
          <w:b/>
          <w:bCs/>
          <w:sz w:val="24"/>
          <w:szCs w:val="24"/>
        </w:rPr>
        <w:t xml:space="preserve">Graf č. </w:t>
      </w:r>
      <w:r w:rsidR="00D17AEC" w:rsidRPr="003932D7">
        <w:rPr>
          <w:rFonts w:eastAsia="Calibri" w:cstheme="minorHAnsi"/>
          <w:b/>
          <w:bCs/>
          <w:sz w:val="24"/>
          <w:szCs w:val="24"/>
        </w:rPr>
        <w:t>5:</w:t>
      </w:r>
      <w:r w:rsidR="00C854B3" w:rsidRPr="003932D7">
        <w:rPr>
          <w:rFonts w:eastAsia="Calibri" w:cstheme="minorHAnsi"/>
          <w:b/>
          <w:bCs/>
          <w:sz w:val="24"/>
          <w:szCs w:val="24"/>
        </w:rPr>
        <w:t xml:space="preserve"> P</w:t>
      </w:r>
      <w:r w:rsidR="00B616DC" w:rsidRPr="003932D7">
        <w:rPr>
          <w:rFonts w:eastAsia="Calibri" w:cstheme="minorHAnsi"/>
          <w:b/>
          <w:bCs/>
          <w:sz w:val="24"/>
          <w:szCs w:val="24"/>
        </w:rPr>
        <w:t xml:space="preserve">očet </w:t>
      </w:r>
      <w:r w:rsidR="00486DED" w:rsidRPr="003932D7">
        <w:rPr>
          <w:rFonts w:eastAsia="Calibri" w:cstheme="minorHAnsi"/>
          <w:b/>
          <w:bCs/>
          <w:sz w:val="24"/>
          <w:szCs w:val="24"/>
        </w:rPr>
        <w:t xml:space="preserve">nově </w:t>
      </w:r>
      <w:r w:rsidR="00C854B3" w:rsidRPr="003932D7">
        <w:rPr>
          <w:rFonts w:eastAsia="Calibri" w:cstheme="minorHAnsi"/>
          <w:b/>
          <w:bCs/>
          <w:sz w:val="24"/>
          <w:szCs w:val="24"/>
        </w:rPr>
        <w:t>registr</w:t>
      </w:r>
      <w:r w:rsidR="00B616DC" w:rsidRPr="003932D7">
        <w:rPr>
          <w:rFonts w:eastAsia="Calibri" w:cstheme="minorHAnsi"/>
          <w:b/>
          <w:bCs/>
          <w:sz w:val="24"/>
          <w:szCs w:val="24"/>
        </w:rPr>
        <w:t>ovaných subjektů</w:t>
      </w:r>
      <w:r w:rsidR="00C854B3" w:rsidRPr="003932D7">
        <w:rPr>
          <w:rFonts w:eastAsia="Calibri" w:cstheme="minorHAnsi"/>
          <w:b/>
          <w:bCs/>
          <w:sz w:val="24"/>
          <w:szCs w:val="24"/>
        </w:rPr>
        <w:t xml:space="preserve"> k DPH z důvodu překročení limitu</w:t>
      </w:r>
    </w:p>
    <w:p w14:paraId="4DC74C5D" w14:textId="77777777" w:rsidR="00C854B3" w:rsidRPr="00C47E97" w:rsidRDefault="00C854B3" w:rsidP="003932D7">
      <w:pPr>
        <w:keepNext/>
        <w:spacing w:after="0" w:line="240" w:lineRule="auto"/>
        <w:jc w:val="both"/>
        <w:rPr>
          <w:rFonts w:eastAsia="Calibri" w:cstheme="minorHAnsi"/>
          <w:b/>
          <w:sz w:val="24"/>
          <w:szCs w:val="24"/>
        </w:rPr>
      </w:pPr>
      <w:r w:rsidRPr="00C47E97">
        <w:rPr>
          <w:rFonts w:cstheme="minorHAnsi"/>
          <w:noProof/>
        </w:rPr>
        <w:drawing>
          <wp:inline distT="0" distB="0" distL="0" distR="0" wp14:anchorId="6780A460" wp14:editId="5D20AD02">
            <wp:extent cx="5760720" cy="2428960"/>
            <wp:effectExtent l="0" t="0" r="0"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cid:image001.png@01DA86A1.020A3150"/>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5760720" cy="2428960"/>
                    </a:xfrm>
                    <a:prstGeom prst="rect">
                      <a:avLst/>
                    </a:prstGeom>
                    <a:noFill/>
                    <a:ln>
                      <a:noFill/>
                    </a:ln>
                  </pic:spPr>
                </pic:pic>
              </a:graphicData>
            </a:graphic>
          </wp:inline>
        </w:drawing>
      </w:r>
    </w:p>
    <w:p w14:paraId="4AEB5B87" w14:textId="77777777" w:rsidR="008F59C6" w:rsidRDefault="008F59C6" w:rsidP="008F59C6">
      <w:pPr>
        <w:keepNext/>
        <w:spacing w:after="0" w:line="240" w:lineRule="auto"/>
        <w:jc w:val="both"/>
        <w:rPr>
          <w:rFonts w:eastAsia="Calibri" w:cstheme="minorHAnsi"/>
          <w:b/>
          <w:bCs/>
          <w:sz w:val="20"/>
          <w:szCs w:val="20"/>
        </w:rPr>
      </w:pPr>
    </w:p>
    <w:p w14:paraId="71C96373" w14:textId="2B432B92" w:rsidR="00D2282E" w:rsidRPr="00D17AEC" w:rsidRDefault="00D2282E" w:rsidP="00F5553A">
      <w:pPr>
        <w:keepNext/>
        <w:spacing w:after="120" w:line="240" w:lineRule="auto"/>
        <w:jc w:val="both"/>
        <w:rPr>
          <w:rFonts w:eastAsia="Calibri" w:cstheme="minorHAnsi"/>
          <w:sz w:val="24"/>
          <w:szCs w:val="24"/>
        </w:rPr>
      </w:pPr>
      <w:r w:rsidRPr="003932D7">
        <w:rPr>
          <w:rFonts w:eastAsia="Calibri" w:cstheme="minorHAnsi"/>
          <w:b/>
          <w:bCs/>
          <w:sz w:val="20"/>
          <w:szCs w:val="20"/>
        </w:rPr>
        <w:t>Zdroj:</w:t>
      </w:r>
      <w:r w:rsidRPr="003932D7">
        <w:rPr>
          <w:rFonts w:eastAsia="Calibri" w:cstheme="minorHAnsi"/>
          <w:sz w:val="20"/>
          <w:szCs w:val="20"/>
        </w:rPr>
        <w:t xml:space="preserve"> GFŘ; vlastní zpracování NKÚ</w:t>
      </w:r>
      <w:r w:rsidR="00162277" w:rsidRPr="003932D7">
        <w:rPr>
          <w:rFonts w:eastAsia="Calibri" w:cstheme="minorHAnsi"/>
          <w:sz w:val="20"/>
          <w:szCs w:val="20"/>
        </w:rPr>
        <w:t xml:space="preserve"> </w:t>
      </w:r>
      <w:r w:rsidR="00D17AEC">
        <w:rPr>
          <w:rFonts w:eastAsia="Calibri" w:cstheme="minorHAnsi"/>
          <w:sz w:val="20"/>
          <w:szCs w:val="20"/>
        </w:rPr>
        <w:t>(viz i tabulka č. 5</w:t>
      </w:r>
      <w:r w:rsidR="001044BD">
        <w:rPr>
          <w:rFonts w:eastAsia="Calibri" w:cstheme="minorHAnsi"/>
          <w:sz w:val="20"/>
          <w:szCs w:val="20"/>
        </w:rPr>
        <w:t xml:space="preserve"> v </w:t>
      </w:r>
      <w:r w:rsidR="00162277" w:rsidRPr="003932D7">
        <w:rPr>
          <w:rFonts w:eastAsia="Calibri" w:cstheme="minorHAnsi"/>
          <w:sz w:val="20"/>
          <w:szCs w:val="20"/>
        </w:rPr>
        <w:t>přílo</w:t>
      </w:r>
      <w:r w:rsidR="001044BD">
        <w:rPr>
          <w:rFonts w:eastAsia="Calibri" w:cstheme="minorHAnsi"/>
          <w:sz w:val="20"/>
          <w:szCs w:val="20"/>
        </w:rPr>
        <w:t>ze</w:t>
      </w:r>
      <w:r w:rsidR="00162277" w:rsidRPr="003932D7">
        <w:rPr>
          <w:rFonts w:eastAsia="Calibri" w:cstheme="minorHAnsi"/>
          <w:sz w:val="20"/>
          <w:szCs w:val="20"/>
        </w:rPr>
        <w:t xml:space="preserve"> č. 1</w:t>
      </w:r>
      <w:r w:rsidR="001044BD">
        <w:rPr>
          <w:rFonts w:eastAsia="Calibri" w:cstheme="minorHAnsi"/>
          <w:sz w:val="20"/>
          <w:szCs w:val="20"/>
        </w:rPr>
        <w:t>).</w:t>
      </w:r>
    </w:p>
    <w:p w14:paraId="55F9208C" w14:textId="7B9DC433" w:rsidR="00C854B3" w:rsidRPr="00C47E97" w:rsidRDefault="002742B7" w:rsidP="002742B7">
      <w:pPr>
        <w:spacing w:after="120" w:line="240" w:lineRule="auto"/>
        <w:jc w:val="both"/>
        <w:rPr>
          <w:rFonts w:eastAsia="Calibri" w:cstheme="minorHAnsi"/>
          <w:sz w:val="24"/>
          <w:szCs w:val="24"/>
        </w:rPr>
      </w:pPr>
      <w:r w:rsidRPr="00C47E97">
        <w:rPr>
          <w:rFonts w:eastAsia="Calibri" w:cstheme="minorHAnsi"/>
          <w:sz w:val="24"/>
          <w:szCs w:val="24"/>
        </w:rPr>
        <w:t>NKÚ zjistil, že využitím dat z EET k registraci k DPH z titulu překročení obratu vzrostly počty povinně registrovaných subjektů v</w:t>
      </w:r>
      <w:r w:rsidR="00486DED">
        <w:rPr>
          <w:rFonts w:eastAsia="Calibri" w:cstheme="minorHAnsi"/>
          <w:sz w:val="24"/>
          <w:szCs w:val="24"/>
        </w:rPr>
        <w:t xml:space="preserve"> jednotlivých </w:t>
      </w:r>
      <w:r w:rsidRPr="00C47E97">
        <w:rPr>
          <w:rFonts w:eastAsia="Calibri" w:cstheme="minorHAnsi"/>
          <w:sz w:val="24"/>
          <w:szCs w:val="24"/>
        </w:rPr>
        <w:t>letech 2017–2019 v průměru o 3 244 %</w:t>
      </w:r>
      <w:r w:rsidR="00FE3B8B">
        <w:rPr>
          <w:rFonts w:eastAsia="Calibri" w:cstheme="minorHAnsi"/>
          <w:sz w:val="24"/>
          <w:szCs w:val="24"/>
        </w:rPr>
        <w:t xml:space="preserve"> oproti roku 2015</w:t>
      </w:r>
      <w:r w:rsidRPr="00C47E97">
        <w:rPr>
          <w:rFonts w:eastAsia="Calibri" w:cstheme="minorHAnsi"/>
          <w:sz w:val="24"/>
          <w:szCs w:val="24"/>
        </w:rPr>
        <w:t xml:space="preserve">. Naopak po pozastavení EET došlo </w:t>
      </w:r>
      <w:r w:rsidR="001044BD" w:rsidRPr="00C47E97">
        <w:rPr>
          <w:rFonts w:eastAsia="Calibri" w:cstheme="minorHAnsi"/>
          <w:sz w:val="24"/>
          <w:szCs w:val="24"/>
        </w:rPr>
        <w:t>v letech 2021 a 2022</w:t>
      </w:r>
      <w:r w:rsidR="001044BD">
        <w:rPr>
          <w:rFonts w:eastAsia="Calibri" w:cstheme="minorHAnsi"/>
          <w:sz w:val="24"/>
          <w:szCs w:val="24"/>
        </w:rPr>
        <w:t xml:space="preserve"> </w:t>
      </w:r>
      <w:r w:rsidRPr="00C47E97">
        <w:rPr>
          <w:rFonts w:eastAsia="Calibri" w:cstheme="minorHAnsi"/>
          <w:sz w:val="24"/>
          <w:szCs w:val="24"/>
        </w:rPr>
        <w:t>k</w:t>
      </w:r>
      <w:r w:rsidR="00EF03C2">
        <w:rPr>
          <w:rFonts w:eastAsia="Calibri" w:cstheme="minorHAnsi"/>
          <w:sz w:val="24"/>
          <w:szCs w:val="24"/>
        </w:rPr>
        <w:t> </w:t>
      </w:r>
      <w:r w:rsidRPr="00C47E97">
        <w:rPr>
          <w:rFonts w:eastAsia="Calibri" w:cstheme="minorHAnsi"/>
          <w:sz w:val="24"/>
          <w:szCs w:val="24"/>
        </w:rPr>
        <w:t>poklesu</w:t>
      </w:r>
      <w:r w:rsidR="00EF03C2">
        <w:rPr>
          <w:rFonts w:eastAsia="Calibri" w:cstheme="minorHAnsi"/>
          <w:sz w:val="24"/>
          <w:szCs w:val="24"/>
        </w:rPr>
        <w:t xml:space="preserve"> nových registrací k DPH</w:t>
      </w:r>
      <w:r w:rsidRPr="00C47E97">
        <w:rPr>
          <w:rFonts w:eastAsia="Calibri" w:cstheme="minorHAnsi"/>
          <w:sz w:val="24"/>
          <w:szCs w:val="24"/>
        </w:rPr>
        <w:t>, a to v</w:t>
      </w:r>
      <w:r w:rsidR="001044BD">
        <w:rPr>
          <w:rFonts w:eastAsia="Calibri" w:cstheme="minorHAnsi"/>
          <w:sz w:val="24"/>
          <w:szCs w:val="24"/>
        </w:rPr>
        <w:t> </w:t>
      </w:r>
      <w:r w:rsidRPr="00C47E97">
        <w:rPr>
          <w:rFonts w:eastAsia="Calibri" w:cstheme="minorHAnsi"/>
          <w:sz w:val="24"/>
          <w:szCs w:val="24"/>
        </w:rPr>
        <w:t>porovnání s rokem 2015 o</w:t>
      </w:r>
      <w:r w:rsidR="00FE3B8B">
        <w:rPr>
          <w:rFonts w:eastAsia="Calibri" w:cstheme="minorHAnsi"/>
          <w:sz w:val="24"/>
          <w:szCs w:val="24"/>
        </w:rPr>
        <w:t xml:space="preserve"> 64 %, resp.</w:t>
      </w:r>
      <w:r w:rsidRPr="00C47E97">
        <w:rPr>
          <w:rFonts w:eastAsia="Calibri" w:cstheme="minorHAnsi"/>
          <w:sz w:val="24"/>
          <w:szCs w:val="24"/>
        </w:rPr>
        <w:t xml:space="preserve"> 67</w:t>
      </w:r>
      <w:r w:rsidR="003211DC">
        <w:rPr>
          <w:rFonts w:eastAsia="Calibri" w:cstheme="minorHAnsi"/>
          <w:sz w:val="24"/>
          <w:szCs w:val="24"/>
        </w:rPr>
        <w:t> </w:t>
      </w:r>
      <w:r w:rsidRPr="00C47E97">
        <w:rPr>
          <w:rFonts w:eastAsia="Calibri" w:cstheme="minorHAnsi"/>
          <w:sz w:val="24"/>
          <w:szCs w:val="24"/>
        </w:rPr>
        <w:t>%</w:t>
      </w:r>
      <w:r w:rsidRPr="00BF7255">
        <w:rPr>
          <w:rFonts w:eastAsia="Calibri" w:cstheme="minorHAnsi"/>
          <w:sz w:val="24"/>
          <w:szCs w:val="24"/>
        </w:rPr>
        <w:t>.</w:t>
      </w:r>
      <w:r w:rsidRPr="00C47E97">
        <w:rPr>
          <w:rFonts w:eastAsia="Calibri" w:cstheme="minorHAnsi"/>
          <w:sz w:val="24"/>
          <w:szCs w:val="24"/>
        </w:rPr>
        <w:t xml:space="preserve"> </w:t>
      </w:r>
    </w:p>
    <w:p w14:paraId="516278BE" w14:textId="01CFDFB5" w:rsidR="0018771D" w:rsidRPr="00BF7255" w:rsidRDefault="00C854B3" w:rsidP="0018771D">
      <w:pPr>
        <w:spacing w:after="120" w:line="240" w:lineRule="auto"/>
        <w:jc w:val="both"/>
        <w:rPr>
          <w:rFonts w:eastAsia="Calibri" w:cstheme="minorHAnsi"/>
          <w:bCs/>
          <w:sz w:val="24"/>
          <w:szCs w:val="24"/>
        </w:rPr>
      </w:pPr>
      <w:r w:rsidRPr="00C47E97">
        <w:rPr>
          <w:rFonts w:eastAsia="Calibri" w:cstheme="minorHAnsi"/>
          <w:bCs/>
          <w:sz w:val="24"/>
          <w:szCs w:val="24"/>
        </w:rPr>
        <w:t xml:space="preserve">FS ČR po zrušení EET nedisponuje </w:t>
      </w:r>
      <w:r w:rsidR="00486DED">
        <w:rPr>
          <w:rFonts w:eastAsia="Calibri" w:cstheme="minorHAnsi"/>
          <w:bCs/>
          <w:sz w:val="24"/>
          <w:szCs w:val="24"/>
        </w:rPr>
        <w:t>p</w:t>
      </w:r>
      <w:r w:rsidRPr="00C47E97">
        <w:rPr>
          <w:rFonts w:eastAsia="Calibri" w:cstheme="minorHAnsi"/>
          <w:bCs/>
          <w:sz w:val="24"/>
          <w:szCs w:val="24"/>
        </w:rPr>
        <w:t xml:space="preserve">odobným nástrojem </w:t>
      </w:r>
      <w:r w:rsidR="002742B7" w:rsidRPr="00C47E97">
        <w:rPr>
          <w:rFonts w:eastAsia="Calibri" w:cstheme="minorHAnsi"/>
          <w:bCs/>
          <w:sz w:val="24"/>
          <w:szCs w:val="24"/>
        </w:rPr>
        <w:t>k detekci</w:t>
      </w:r>
      <w:r w:rsidRPr="00C47E97">
        <w:rPr>
          <w:rFonts w:eastAsia="Calibri" w:cstheme="minorHAnsi"/>
          <w:bCs/>
          <w:sz w:val="24"/>
          <w:szCs w:val="24"/>
        </w:rPr>
        <w:t xml:space="preserve"> překročení obratu </w:t>
      </w:r>
      <w:r w:rsidR="002742B7" w:rsidRPr="00C47E97">
        <w:rPr>
          <w:rFonts w:eastAsia="Calibri" w:cstheme="minorHAnsi"/>
          <w:bCs/>
          <w:sz w:val="24"/>
          <w:szCs w:val="24"/>
        </w:rPr>
        <w:t xml:space="preserve">pro registraci k DPH. </w:t>
      </w:r>
    </w:p>
    <w:p w14:paraId="18A41CAE" w14:textId="77777777" w:rsidR="00D15A1A" w:rsidRDefault="00D15A1A">
      <w:pPr>
        <w:rPr>
          <w:rFonts w:eastAsia="Times New Roman" w:cstheme="minorHAnsi"/>
          <w:b/>
          <w:color w:val="000000"/>
          <w:sz w:val="24"/>
          <w:szCs w:val="24"/>
          <w:lang w:eastAsia="cs-CZ"/>
        </w:rPr>
      </w:pPr>
      <w:r>
        <w:br w:type="page"/>
      </w:r>
    </w:p>
    <w:p w14:paraId="49BF01B7" w14:textId="53FEB7CA" w:rsidR="00A77462" w:rsidRPr="00D2282E" w:rsidRDefault="00A06ECD" w:rsidP="003932D7">
      <w:pPr>
        <w:pStyle w:val="NadpisKZ"/>
        <w:tabs>
          <w:tab w:val="clear" w:pos="360"/>
        </w:tabs>
        <w:ind w:left="426" w:hanging="426"/>
      </w:pPr>
      <w:r w:rsidRPr="00C47E97">
        <w:lastRenderedPageBreak/>
        <w:t xml:space="preserve">Při kontrolních nákupech zjistily </w:t>
      </w:r>
      <w:r w:rsidR="00041444" w:rsidRPr="00C47E97">
        <w:t xml:space="preserve">orgány finanční a celní správy </w:t>
      </w:r>
      <w:r w:rsidRPr="00C47E97">
        <w:t xml:space="preserve">porušení </w:t>
      </w:r>
      <w:r w:rsidR="00041444" w:rsidRPr="00C47E97">
        <w:t>zákona o</w:t>
      </w:r>
      <w:r w:rsidR="00D15A1A">
        <w:t xml:space="preserve"> </w:t>
      </w:r>
      <w:r w:rsidRPr="00C47E97">
        <w:t xml:space="preserve">EET </w:t>
      </w:r>
      <w:r w:rsidR="001958FE">
        <w:br/>
      </w:r>
      <w:r w:rsidRPr="00C47E97">
        <w:t>u téměř třetiny provedených kontrol</w:t>
      </w:r>
      <w:r w:rsidR="00A77462">
        <w:t xml:space="preserve"> </w:t>
      </w:r>
    </w:p>
    <w:p w14:paraId="3FB1AA83" w14:textId="3D849501" w:rsidR="001D037A" w:rsidRPr="00C47E97" w:rsidRDefault="008C16FF" w:rsidP="001D037A">
      <w:pPr>
        <w:spacing w:after="120" w:line="240" w:lineRule="auto"/>
        <w:jc w:val="both"/>
        <w:rPr>
          <w:rFonts w:eastAsia="Calibri" w:cstheme="minorHAnsi"/>
          <w:sz w:val="24"/>
          <w:szCs w:val="24"/>
        </w:rPr>
      </w:pPr>
      <w:r w:rsidRPr="00C47E97">
        <w:rPr>
          <w:rFonts w:eastAsia="Calibri" w:cstheme="minorHAnsi"/>
          <w:sz w:val="24"/>
          <w:szCs w:val="24"/>
        </w:rPr>
        <w:t xml:space="preserve">NKÚ zjistil, že v rámci kontrolní činnosti provedla FS ČR v období </w:t>
      </w:r>
      <w:r w:rsidR="001044BD">
        <w:rPr>
          <w:rFonts w:eastAsia="Calibri" w:cstheme="minorHAnsi"/>
          <w:sz w:val="24"/>
          <w:szCs w:val="24"/>
        </w:rPr>
        <w:t xml:space="preserve">od </w:t>
      </w:r>
      <w:r w:rsidRPr="00C47E97">
        <w:rPr>
          <w:rFonts w:eastAsia="Calibri" w:cstheme="minorHAnsi"/>
          <w:sz w:val="24"/>
          <w:szCs w:val="24"/>
        </w:rPr>
        <w:t>prosin</w:t>
      </w:r>
      <w:r w:rsidR="001044BD">
        <w:rPr>
          <w:rFonts w:eastAsia="Calibri" w:cstheme="minorHAnsi"/>
          <w:sz w:val="24"/>
          <w:szCs w:val="24"/>
        </w:rPr>
        <w:t>ce</w:t>
      </w:r>
      <w:r w:rsidRPr="00C47E97">
        <w:rPr>
          <w:rFonts w:eastAsia="Calibri" w:cstheme="minorHAnsi"/>
          <w:sz w:val="24"/>
          <w:szCs w:val="24"/>
        </w:rPr>
        <w:t xml:space="preserve"> 2016</w:t>
      </w:r>
      <w:r w:rsidR="001044BD">
        <w:rPr>
          <w:rFonts w:eastAsia="Calibri" w:cstheme="minorHAnsi"/>
          <w:sz w:val="24"/>
          <w:szCs w:val="24"/>
        </w:rPr>
        <w:t xml:space="preserve"> do </w:t>
      </w:r>
      <w:r w:rsidRPr="00C47E97">
        <w:rPr>
          <w:rFonts w:eastAsia="Calibri" w:cstheme="minorHAnsi"/>
          <w:sz w:val="24"/>
          <w:szCs w:val="24"/>
        </w:rPr>
        <w:t>břez</w:t>
      </w:r>
      <w:r w:rsidR="001044BD">
        <w:rPr>
          <w:rFonts w:eastAsia="Calibri" w:cstheme="minorHAnsi"/>
          <w:sz w:val="24"/>
          <w:szCs w:val="24"/>
        </w:rPr>
        <w:t>na</w:t>
      </w:r>
      <w:r w:rsidRPr="00C47E97">
        <w:rPr>
          <w:rFonts w:eastAsia="Calibri" w:cstheme="minorHAnsi"/>
          <w:sz w:val="24"/>
          <w:szCs w:val="24"/>
        </w:rPr>
        <w:t xml:space="preserve"> 2020 celkem 228 049 kontrol EET</w:t>
      </w:r>
      <w:r w:rsidR="001044BD">
        <w:rPr>
          <w:rFonts w:eastAsia="Calibri" w:cstheme="minorHAnsi"/>
          <w:sz w:val="24"/>
          <w:szCs w:val="24"/>
        </w:rPr>
        <w:t>, z toho</w:t>
      </w:r>
      <w:r w:rsidRPr="00C47E97">
        <w:rPr>
          <w:rFonts w:eastAsia="Calibri" w:cstheme="minorHAnsi"/>
          <w:sz w:val="24"/>
          <w:szCs w:val="24"/>
        </w:rPr>
        <w:t xml:space="preserve"> </w:t>
      </w:r>
      <w:r w:rsidR="001044BD" w:rsidRPr="00C47E97">
        <w:rPr>
          <w:rFonts w:eastAsia="Calibri" w:cstheme="minorHAnsi"/>
          <w:sz w:val="24"/>
          <w:szCs w:val="24"/>
        </w:rPr>
        <w:t xml:space="preserve">62 284 </w:t>
      </w:r>
      <w:r w:rsidR="001044BD">
        <w:rPr>
          <w:rFonts w:eastAsia="Calibri" w:cstheme="minorHAnsi"/>
          <w:sz w:val="24"/>
          <w:szCs w:val="24"/>
        </w:rPr>
        <w:t xml:space="preserve">kontrol odhalilo </w:t>
      </w:r>
      <w:r w:rsidRPr="00C47E97">
        <w:rPr>
          <w:rFonts w:eastAsia="Calibri" w:cstheme="minorHAnsi"/>
          <w:sz w:val="24"/>
          <w:szCs w:val="24"/>
        </w:rPr>
        <w:t xml:space="preserve">porušení zákona o EET. </w:t>
      </w:r>
      <w:r w:rsidR="00D15A1A">
        <w:rPr>
          <w:rFonts w:eastAsia="Calibri" w:cstheme="minorHAnsi"/>
          <w:sz w:val="24"/>
          <w:szCs w:val="24"/>
        </w:rPr>
        <w:t>Finanční správa České republiky</w:t>
      </w:r>
      <w:r w:rsidRPr="00C47E97">
        <w:rPr>
          <w:rFonts w:eastAsia="Calibri" w:cstheme="minorHAnsi"/>
          <w:sz w:val="24"/>
          <w:szCs w:val="24"/>
        </w:rPr>
        <w:t xml:space="preserve"> předepsala pokuty ve výši 174,3 mil. Kč, z toho bylo uhrazeno 167,5 mil. Kč. </w:t>
      </w:r>
    </w:p>
    <w:p w14:paraId="1DE7460C" w14:textId="4D3A8C32" w:rsidR="008C16FF" w:rsidRPr="00C47E97" w:rsidRDefault="001D037A" w:rsidP="001D037A">
      <w:pPr>
        <w:spacing w:after="120" w:line="240" w:lineRule="auto"/>
        <w:jc w:val="both"/>
        <w:rPr>
          <w:rFonts w:eastAsia="Calibri" w:cstheme="minorHAnsi"/>
          <w:sz w:val="24"/>
          <w:szCs w:val="24"/>
        </w:rPr>
      </w:pPr>
      <w:r w:rsidRPr="00C47E97">
        <w:rPr>
          <w:rFonts w:cstheme="minorHAnsi"/>
          <w:sz w:val="24"/>
          <w:szCs w:val="24"/>
        </w:rPr>
        <w:t>FS ČR</w:t>
      </w:r>
      <w:r w:rsidR="008C16FF" w:rsidRPr="00C47E97">
        <w:rPr>
          <w:rFonts w:cstheme="minorHAnsi"/>
          <w:sz w:val="24"/>
          <w:szCs w:val="24"/>
        </w:rPr>
        <w:t xml:space="preserve"> zkontrolovala 111 473 provozoven. Z toho u 43 002 provozoven byl proveden alespoň jeden opakovaný kontrolní nákup. U 56 194, tj. 50,4 %, provozoven z</w:t>
      </w:r>
      <w:r w:rsidR="00D15A1A">
        <w:rPr>
          <w:rFonts w:cstheme="minorHAnsi"/>
          <w:sz w:val="24"/>
          <w:szCs w:val="24"/>
        </w:rPr>
        <w:t xml:space="preserve"> </w:t>
      </w:r>
      <w:r w:rsidR="008C16FF" w:rsidRPr="00C47E97">
        <w:rPr>
          <w:rFonts w:cstheme="minorHAnsi"/>
          <w:sz w:val="24"/>
          <w:szCs w:val="24"/>
        </w:rPr>
        <w:t xml:space="preserve">celkového počtu zkontrolovaných provozoven nebylo zjištěno žádné porušení zákona o EET. </w:t>
      </w:r>
    </w:p>
    <w:p w14:paraId="4C7707C3" w14:textId="518C076E" w:rsidR="008C16FF" w:rsidRPr="00C47E97" w:rsidRDefault="001D037A" w:rsidP="008C16FF">
      <w:pPr>
        <w:spacing w:after="120" w:line="240" w:lineRule="auto"/>
        <w:jc w:val="both"/>
        <w:rPr>
          <w:rFonts w:eastAsia="Calibri" w:cstheme="minorHAnsi"/>
          <w:sz w:val="24"/>
          <w:szCs w:val="24"/>
        </w:rPr>
      </w:pPr>
      <w:r w:rsidRPr="00C47E97">
        <w:rPr>
          <w:rFonts w:eastAsia="Calibri" w:cstheme="minorHAnsi"/>
          <w:sz w:val="24"/>
          <w:szCs w:val="24"/>
        </w:rPr>
        <w:t xml:space="preserve">NKÚ zjistil, že </w:t>
      </w:r>
      <w:r w:rsidR="005A60C6" w:rsidRPr="00C47E97">
        <w:rPr>
          <w:rFonts w:eastAsia="Calibri" w:cstheme="minorHAnsi"/>
          <w:sz w:val="24"/>
          <w:szCs w:val="24"/>
        </w:rPr>
        <w:t xml:space="preserve">CS ČR </w:t>
      </w:r>
      <w:r w:rsidR="008C16FF" w:rsidRPr="00C47E97">
        <w:rPr>
          <w:rFonts w:eastAsia="Calibri" w:cstheme="minorHAnsi"/>
          <w:sz w:val="24"/>
          <w:szCs w:val="24"/>
        </w:rPr>
        <w:t xml:space="preserve">provedla v období </w:t>
      </w:r>
      <w:r w:rsidR="00D15A1A">
        <w:rPr>
          <w:rFonts w:eastAsia="Calibri" w:cstheme="minorHAnsi"/>
          <w:sz w:val="24"/>
          <w:szCs w:val="24"/>
        </w:rPr>
        <w:t xml:space="preserve">od </w:t>
      </w:r>
      <w:r w:rsidR="008C16FF" w:rsidRPr="00C47E97">
        <w:rPr>
          <w:rFonts w:eastAsia="Calibri" w:cstheme="minorHAnsi"/>
          <w:sz w:val="24"/>
          <w:szCs w:val="24"/>
        </w:rPr>
        <w:t>prosin</w:t>
      </w:r>
      <w:r w:rsidR="00D15A1A">
        <w:rPr>
          <w:rFonts w:eastAsia="Calibri" w:cstheme="minorHAnsi"/>
          <w:sz w:val="24"/>
          <w:szCs w:val="24"/>
        </w:rPr>
        <w:t>ce</w:t>
      </w:r>
      <w:r w:rsidR="008C16FF" w:rsidRPr="00C47E97">
        <w:rPr>
          <w:rFonts w:eastAsia="Calibri" w:cstheme="minorHAnsi"/>
          <w:sz w:val="24"/>
          <w:szCs w:val="24"/>
        </w:rPr>
        <w:t xml:space="preserve"> 2016</w:t>
      </w:r>
      <w:r w:rsidR="00D15A1A">
        <w:rPr>
          <w:rFonts w:eastAsia="Calibri" w:cstheme="minorHAnsi"/>
          <w:sz w:val="24"/>
          <w:szCs w:val="24"/>
        </w:rPr>
        <w:t xml:space="preserve"> do </w:t>
      </w:r>
      <w:r w:rsidR="008C16FF" w:rsidRPr="00C47E97">
        <w:rPr>
          <w:rFonts w:eastAsia="Calibri" w:cstheme="minorHAnsi"/>
          <w:sz w:val="24"/>
          <w:szCs w:val="24"/>
        </w:rPr>
        <w:t>břez</w:t>
      </w:r>
      <w:r w:rsidR="00D15A1A">
        <w:rPr>
          <w:rFonts w:eastAsia="Calibri" w:cstheme="minorHAnsi"/>
          <w:sz w:val="24"/>
          <w:szCs w:val="24"/>
        </w:rPr>
        <w:t>na</w:t>
      </w:r>
      <w:r w:rsidR="008C16FF" w:rsidRPr="00C47E97">
        <w:rPr>
          <w:rFonts w:eastAsia="Calibri" w:cstheme="minorHAnsi"/>
          <w:sz w:val="24"/>
          <w:szCs w:val="24"/>
        </w:rPr>
        <w:t xml:space="preserve"> 2020 celkem 30 607 kontrol EET</w:t>
      </w:r>
      <w:r w:rsidR="00D15A1A">
        <w:rPr>
          <w:rFonts w:eastAsia="Calibri" w:cstheme="minorHAnsi"/>
          <w:sz w:val="24"/>
          <w:szCs w:val="24"/>
        </w:rPr>
        <w:t>, z toho</w:t>
      </w:r>
      <w:r w:rsidR="008C16FF" w:rsidRPr="00C47E97">
        <w:rPr>
          <w:rFonts w:eastAsia="Calibri" w:cstheme="minorHAnsi"/>
          <w:sz w:val="24"/>
          <w:szCs w:val="24"/>
        </w:rPr>
        <w:t xml:space="preserve"> </w:t>
      </w:r>
      <w:r w:rsidR="00D15A1A" w:rsidRPr="00C47E97">
        <w:rPr>
          <w:rFonts w:eastAsia="Calibri" w:cstheme="minorHAnsi"/>
          <w:sz w:val="24"/>
          <w:szCs w:val="24"/>
        </w:rPr>
        <w:t>5</w:t>
      </w:r>
      <w:r w:rsidR="004A3D49">
        <w:rPr>
          <w:rFonts w:eastAsia="Calibri" w:cstheme="minorHAnsi"/>
          <w:sz w:val="24"/>
          <w:szCs w:val="24"/>
        </w:rPr>
        <w:t xml:space="preserve"> </w:t>
      </w:r>
      <w:r w:rsidR="00D15A1A" w:rsidRPr="00C47E97">
        <w:rPr>
          <w:rFonts w:eastAsia="Calibri" w:cstheme="minorHAnsi"/>
          <w:sz w:val="24"/>
          <w:szCs w:val="24"/>
        </w:rPr>
        <w:t>722</w:t>
      </w:r>
      <w:r w:rsidR="00D15A1A">
        <w:rPr>
          <w:rFonts w:eastAsia="Calibri" w:cstheme="minorHAnsi"/>
          <w:sz w:val="24"/>
          <w:szCs w:val="24"/>
        </w:rPr>
        <w:t xml:space="preserve"> kontrol odhalilo</w:t>
      </w:r>
      <w:r w:rsidR="008C16FF" w:rsidRPr="00C47E97">
        <w:rPr>
          <w:rFonts w:eastAsia="Calibri" w:cstheme="minorHAnsi"/>
          <w:sz w:val="24"/>
          <w:szCs w:val="24"/>
        </w:rPr>
        <w:t xml:space="preserve"> porušení zákona o EET. </w:t>
      </w:r>
      <w:r w:rsidR="00D15A1A">
        <w:rPr>
          <w:rFonts w:eastAsia="Calibri" w:cstheme="minorHAnsi"/>
          <w:sz w:val="24"/>
          <w:szCs w:val="24"/>
        </w:rPr>
        <w:t>Celní správa České republiky</w:t>
      </w:r>
      <w:r w:rsidR="008C16FF" w:rsidRPr="00C47E97">
        <w:rPr>
          <w:rFonts w:eastAsia="Calibri" w:cstheme="minorHAnsi"/>
          <w:sz w:val="24"/>
          <w:szCs w:val="24"/>
        </w:rPr>
        <w:t xml:space="preserve"> předepsala pokuty ve výši 55,4 mil. Kč a</w:t>
      </w:r>
      <w:r w:rsidR="00041825">
        <w:rPr>
          <w:rFonts w:eastAsia="Calibri" w:cstheme="minorHAnsi"/>
          <w:sz w:val="24"/>
          <w:szCs w:val="24"/>
        </w:rPr>
        <w:t> </w:t>
      </w:r>
      <w:r w:rsidR="008C16FF" w:rsidRPr="00C47E97">
        <w:rPr>
          <w:rFonts w:eastAsia="Calibri" w:cstheme="minorHAnsi"/>
          <w:sz w:val="24"/>
          <w:szCs w:val="24"/>
        </w:rPr>
        <w:t xml:space="preserve">z toho bylo uhrazeno 52,4 mil. Kč. </w:t>
      </w:r>
    </w:p>
    <w:p w14:paraId="0D718FAC" w14:textId="77777777" w:rsidR="003E4F48" w:rsidRPr="00C47E97" w:rsidRDefault="003E4F48" w:rsidP="003E4F48">
      <w:pPr>
        <w:spacing w:line="240" w:lineRule="auto"/>
        <w:jc w:val="both"/>
        <w:rPr>
          <w:rFonts w:cstheme="minorHAnsi"/>
          <w:color w:val="000000"/>
          <w:sz w:val="24"/>
          <w:szCs w:val="24"/>
          <w:lang w:eastAsia="cs-CZ"/>
        </w:rPr>
      </w:pPr>
      <w:r w:rsidRPr="00C47E97">
        <w:rPr>
          <w:rFonts w:cstheme="minorHAnsi"/>
          <w:sz w:val="24"/>
          <w:szCs w:val="24"/>
        </w:rPr>
        <w:t>CS ČR za období 2018–2020</w:t>
      </w:r>
      <w:r w:rsidRPr="00C47E97">
        <w:rPr>
          <w:rStyle w:val="Znakapoznpodarou"/>
          <w:rFonts w:cstheme="minorHAnsi"/>
          <w:sz w:val="24"/>
          <w:szCs w:val="24"/>
        </w:rPr>
        <w:footnoteReference w:id="29"/>
      </w:r>
      <w:r w:rsidRPr="00C47E97">
        <w:rPr>
          <w:rFonts w:cstheme="minorHAnsi"/>
          <w:sz w:val="24"/>
          <w:szCs w:val="24"/>
        </w:rPr>
        <w:t xml:space="preserve"> zkontrolovala 17 019 provozoven. Z toho u 3 321 provozoven byl proveden alespoň jeden opakovaný kontrolní nákup. U 12 601, tj. 74 %, provozoven z celkového počtu zkontrolovaných provozoven nebylo zjištěno žádné porušení zákona o EET. </w:t>
      </w:r>
    </w:p>
    <w:p w14:paraId="42D576F0" w14:textId="0405F21D" w:rsidR="008C16FF" w:rsidRPr="003932D7" w:rsidRDefault="008C16FF" w:rsidP="00D2282E">
      <w:pPr>
        <w:spacing w:after="0" w:line="240" w:lineRule="auto"/>
        <w:jc w:val="both"/>
        <w:rPr>
          <w:rFonts w:eastAsia="Calibri" w:cstheme="minorHAnsi"/>
          <w:b/>
          <w:bCs/>
          <w:sz w:val="24"/>
          <w:szCs w:val="24"/>
        </w:rPr>
      </w:pPr>
      <w:bookmarkStart w:id="17" w:name="_Hlk147745487"/>
      <w:r w:rsidRPr="003932D7">
        <w:rPr>
          <w:rFonts w:eastAsia="Calibri" w:cstheme="minorHAnsi"/>
          <w:b/>
          <w:bCs/>
          <w:sz w:val="24"/>
          <w:szCs w:val="24"/>
        </w:rPr>
        <w:t xml:space="preserve">Tabulka </w:t>
      </w:r>
      <w:r w:rsidR="00B46FCE" w:rsidRPr="003932D7">
        <w:rPr>
          <w:rFonts w:eastAsia="Calibri" w:cstheme="minorHAnsi"/>
          <w:b/>
          <w:bCs/>
          <w:sz w:val="24"/>
          <w:szCs w:val="24"/>
        </w:rPr>
        <w:t xml:space="preserve">č. </w:t>
      </w:r>
      <w:r w:rsidR="00162277" w:rsidRPr="003932D7">
        <w:rPr>
          <w:rFonts w:eastAsia="Calibri" w:cstheme="minorHAnsi"/>
          <w:b/>
          <w:bCs/>
          <w:sz w:val="24"/>
          <w:szCs w:val="24"/>
        </w:rPr>
        <w:t>1</w:t>
      </w:r>
      <w:r w:rsidR="005B6237" w:rsidRPr="003932D7">
        <w:rPr>
          <w:rFonts w:eastAsia="Calibri" w:cstheme="minorHAnsi"/>
          <w:b/>
          <w:bCs/>
          <w:sz w:val="24"/>
          <w:szCs w:val="24"/>
        </w:rPr>
        <w:t>0</w:t>
      </w:r>
      <w:r w:rsidR="00D15A1A" w:rsidRPr="003932D7">
        <w:rPr>
          <w:rFonts w:eastAsia="Calibri" w:cstheme="minorHAnsi"/>
          <w:b/>
          <w:bCs/>
          <w:sz w:val="24"/>
          <w:szCs w:val="24"/>
        </w:rPr>
        <w:t>:</w:t>
      </w:r>
      <w:r w:rsidRPr="003932D7">
        <w:rPr>
          <w:rFonts w:eastAsia="Calibri" w:cstheme="minorHAnsi"/>
          <w:b/>
          <w:bCs/>
          <w:sz w:val="24"/>
          <w:szCs w:val="24"/>
        </w:rPr>
        <w:t xml:space="preserve"> Míra nápravy u kontrolovaných provozoven</w:t>
      </w:r>
    </w:p>
    <w:tbl>
      <w:tblPr>
        <w:tblW w:w="910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54"/>
        <w:gridCol w:w="2583"/>
        <w:gridCol w:w="2608"/>
        <w:gridCol w:w="964"/>
      </w:tblGrid>
      <w:tr w:rsidR="008C16FF" w:rsidRPr="00C47E97" w14:paraId="64777E0F" w14:textId="77777777" w:rsidTr="00500791">
        <w:trPr>
          <w:trHeight w:val="44"/>
        </w:trPr>
        <w:tc>
          <w:tcPr>
            <w:tcW w:w="2954" w:type="dxa"/>
            <w:shd w:val="clear" w:color="auto" w:fill="E5F1FF"/>
            <w:vAlign w:val="center"/>
            <w:hideMark/>
          </w:tcPr>
          <w:p w14:paraId="1240AA16" w14:textId="77777777" w:rsidR="008C16FF" w:rsidRPr="00F076D4" w:rsidRDefault="008C16FF" w:rsidP="005C60F2">
            <w:pPr>
              <w:spacing w:after="0" w:line="240" w:lineRule="auto"/>
              <w:rPr>
                <w:rFonts w:eastAsia="Times New Roman" w:cstheme="minorHAnsi"/>
                <w:color w:val="000000"/>
                <w:sz w:val="20"/>
                <w:szCs w:val="20"/>
                <w:lang w:eastAsia="cs-CZ"/>
              </w:rPr>
            </w:pPr>
            <w:r w:rsidRPr="00F076D4">
              <w:rPr>
                <w:rFonts w:eastAsia="Times New Roman" w:cstheme="minorHAnsi"/>
                <w:color w:val="000000"/>
                <w:sz w:val="20"/>
                <w:szCs w:val="20"/>
                <w:lang w:eastAsia="cs-CZ"/>
              </w:rPr>
              <w:t> </w:t>
            </w:r>
          </w:p>
        </w:tc>
        <w:tc>
          <w:tcPr>
            <w:tcW w:w="2583" w:type="dxa"/>
            <w:shd w:val="clear" w:color="auto" w:fill="E5F1FF"/>
            <w:vAlign w:val="center"/>
            <w:hideMark/>
          </w:tcPr>
          <w:p w14:paraId="55C9B9C0" w14:textId="7325EC44" w:rsidR="008C16FF" w:rsidRPr="00F076D4" w:rsidRDefault="008C16FF" w:rsidP="005C60F2">
            <w:pPr>
              <w:spacing w:after="0" w:line="240" w:lineRule="auto"/>
              <w:jc w:val="center"/>
              <w:rPr>
                <w:rFonts w:eastAsia="Times New Roman" w:cstheme="minorHAnsi"/>
                <w:b/>
                <w:bCs/>
                <w:color w:val="000000"/>
                <w:sz w:val="20"/>
                <w:szCs w:val="20"/>
                <w:lang w:eastAsia="cs-CZ"/>
              </w:rPr>
            </w:pPr>
            <w:r w:rsidRPr="00F076D4">
              <w:rPr>
                <w:rFonts w:eastAsia="Times New Roman" w:cstheme="minorHAnsi"/>
                <w:b/>
                <w:bCs/>
                <w:color w:val="000000"/>
                <w:sz w:val="20"/>
                <w:szCs w:val="20"/>
                <w:lang w:eastAsia="cs-CZ"/>
              </w:rPr>
              <w:t xml:space="preserve">První kontrola provozovny odhalila porušení </w:t>
            </w:r>
            <w:r w:rsidR="003E4F48" w:rsidRPr="00F076D4">
              <w:rPr>
                <w:rFonts w:eastAsia="Times New Roman" w:cstheme="minorHAnsi"/>
                <w:b/>
                <w:bCs/>
                <w:color w:val="000000"/>
                <w:sz w:val="20"/>
                <w:szCs w:val="20"/>
                <w:lang w:eastAsia="cs-CZ"/>
              </w:rPr>
              <w:t>zákona o</w:t>
            </w:r>
            <w:r w:rsidR="00D15A1A">
              <w:rPr>
                <w:rFonts w:eastAsia="Times New Roman" w:cstheme="minorHAnsi"/>
                <w:b/>
                <w:bCs/>
                <w:color w:val="000000"/>
                <w:sz w:val="20"/>
                <w:szCs w:val="20"/>
                <w:lang w:eastAsia="cs-CZ"/>
              </w:rPr>
              <w:t> </w:t>
            </w:r>
            <w:r w:rsidR="003E4F48" w:rsidRPr="00F076D4">
              <w:rPr>
                <w:rFonts w:eastAsia="Times New Roman" w:cstheme="minorHAnsi"/>
                <w:b/>
                <w:bCs/>
                <w:color w:val="000000"/>
                <w:sz w:val="20"/>
                <w:szCs w:val="20"/>
                <w:lang w:eastAsia="cs-CZ"/>
              </w:rPr>
              <w:t>E</w:t>
            </w:r>
            <w:r w:rsidRPr="00F076D4">
              <w:rPr>
                <w:rFonts w:eastAsia="Times New Roman" w:cstheme="minorHAnsi"/>
                <w:b/>
                <w:bCs/>
                <w:color w:val="000000"/>
                <w:sz w:val="20"/>
                <w:szCs w:val="20"/>
                <w:lang w:eastAsia="cs-CZ"/>
              </w:rPr>
              <w:t>ET</w:t>
            </w:r>
          </w:p>
        </w:tc>
        <w:tc>
          <w:tcPr>
            <w:tcW w:w="2608" w:type="dxa"/>
            <w:shd w:val="clear" w:color="auto" w:fill="E5F1FF"/>
            <w:vAlign w:val="center"/>
            <w:hideMark/>
          </w:tcPr>
          <w:p w14:paraId="36E7D796" w14:textId="77777777" w:rsidR="008C16FF" w:rsidRPr="00F076D4" w:rsidRDefault="008C16FF" w:rsidP="005C60F2">
            <w:pPr>
              <w:spacing w:after="0" w:line="240" w:lineRule="auto"/>
              <w:jc w:val="center"/>
              <w:rPr>
                <w:rFonts w:eastAsia="Times New Roman" w:cstheme="minorHAnsi"/>
                <w:b/>
                <w:bCs/>
                <w:color w:val="000000"/>
                <w:sz w:val="20"/>
                <w:szCs w:val="20"/>
                <w:lang w:eastAsia="cs-CZ"/>
              </w:rPr>
            </w:pPr>
            <w:r w:rsidRPr="00F076D4">
              <w:rPr>
                <w:rFonts w:eastAsia="Times New Roman" w:cstheme="minorHAnsi"/>
                <w:b/>
                <w:bCs/>
                <w:color w:val="000000"/>
                <w:sz w:val="20"/>
                <w:szCs w:val="20"/>
                <w:lang w:eastAsia="cs-CZ"/>
              </w:rPr>
              <w:t>Následná kontrola</w:t>
            </w:r>
            <w:r w:rsidR="003E4F48" w:rsidRPr="00F076D4">
              <w:rPr>
                <w:rFonts w:eastAsia="Times New Roman" w:cstheme="minorHAnsi"/>
                <w:b/>
                <w:bCs/>
                <w:color w:val="000000"/>
                <w:sz w:val="20"/>
                <w:szCs w:val="20"/>
                <w:lang w:eastAsia="cs-CZ"/>
              </w:rPr>
              <w:t xml:space="preserve"> </w:t>
            </w:r>
            <w:r w:rsidRPr="00F076D4">
              <w:rPr>
                <w:rFonts w:eastAsia="Times New Roman" w:cstheme="minorHAnsi"/>
                <w:b/>
                <w:bCs/>
                <w:color w:val="000000"/>
                <w:sz w:val="20"/>
                <w:szCs w:val="20"/>
                <w:lang w:eastAsia="cs-CZ"/>
              </w:rPr>
              <w:t xml:space="preserve">provozovny bez porušení </w:t>
            </w:r>
            <w:r w:rsidR="003E4F48" w:rsidRPr="00F076D4">
              <w:rPr>
                <w:rFonts w:eastAsia="Times New Roman" w:cstheme="minorHAnsi"/>
                <w:b/>
                <w:bCs/>
                <w:color w:val="000000"/>
                <w:sz w:val="20"/>
                <w:szCs w:val="20"/>
                <w:lang w:eastAsia="cs-CZ"/>
              </w:rPr>
              <w:t>zákona o E</w:t>
            </w:r>
            <w:r w:rsidRPr="00F076D4">
              <w:rPr>
                <w:rFonts w:eastAsia="Times New Roman" w:cstheme="minorHAnsi"/>
                <w:b/>
                <w:bCs/>
                <w:color w:val="000000"/>
                <w:sz w:val="20"/>
                <w:szCs w:val="20"/>
                <w:lang w:eastAsia="cs-CZ"/>
              </w:rPr>
              <w:t>ET</w:t>
            </w:r>
          </w:p>
        </w:tc>
        <w:tc>
          <w:tcPr>
            <w:tcW w:w="964" w:type="dxa"/>
            <w:shd w:val="clear" w:color="auto" w:fill="E5F1FF"/>
            <w:vAlign w:val="center"/>
            <w:hideMark/>
          </w:tcPr>
          <w:p w14:paraId="7746715A" w14:textId="77777777" w:rsidR="008C16FF" w:rsidRPr="00F076D4" w:rsidRDefault="008C16FF" w:rsidP="005C60F2">
            <w:pPr>
              <w:spacing w:after="0" w:line="240" w:lineRule="auto"/>
              <w:jc w:val="center"/>
              <w:rPr>
                <w:rFonts w:eastAsia="Times New Roman" w:cstheme="minorHAnsi"/>
                <w:b/>
                <w:bCs/>
                <w:color w:val="000000"/>
                <w:sz w:val="20"/>
                <w:szCs w:val="20"/>
                <w:lang w:eastAsia="cs-CZ"/>
              </w:rPr>
            </w:pPr>
            <w:r w:rsidRPr="00F076D4">
              <w:rPr>
                <w:rFonts w:eastAsia="Times New Roman" w:cstheme="minorHAnsi"/>
                <w:b/>
                <w:bCs/>
                <w:color w:val="000000"/>
                <w:sz w:val="20"/>
                <w:szCs w:val="20"/>
                <w:lang w:eastAsia="cs-CZ"/>
              </w:rPr>
              <w:t>v %</w:t>
            </w:r>
          </w:p>
        </w:tc>
      </w:tr>
      <w:tr w:rsidR="008C16FF" w:rsidRPr="00C47E97" w14:paraId="21231316" w14:textId="77777777" w:rsidTr="003932D7">
        <w:trPr>
          <w:trHeight w:val="34"/>
        </w:trPr>
        <w:tc>
          <w:tcPr>
            <w:tcW w:w="2954" w:type="dxa"/>
            <w:shd w:val="clear" w:color="000000" w:fill="FFFFFF"/>
            <w:vAlign w:val="center"/>
            <w:hideMark/>
          </w:tcPr>
          <w:p w14:paraId="572BE2BC" w14:textId="77777777" w:rsidR="008C16FF" w:rsidRPr="00D15A1A" w:rsidRDefault="008C16FF" w:rsidP="005C60F2">
            <w:pPr>
              <w:spacing w:after="0" w:line="240" w:lineRule="auto"/>
              <w:rPr>
                <w:rFonts w:eastAsia="Times New Roman" w:cstheme="minorHAnsi"/>
                <w:color w:val="000000"/>
                <w:sz w:val="20"/>
                <w:szCs w:val="20"/>
                <w:lang w:eastAsia="cs-CZ"/>
              </w:rPr>
            </w:pPr>
            <w:r w:rsidRPr="00D15A1A">
              <w:rPr>
                <w:rFonts w:eastAsia="Times New Roman" w:cstheme="minorHAnsi"/>
                <w:color w:val="000000"/>
                <w:sz w:val="20"/>
                <w:szCs w:val="20"/>
                <w:lang w:eastAsia="cs-CZ"/>
              </w:rPr>
              <w:t>Kontrola provedena u provozovny opakovaně – FS ČR</w:t>
            </w:r>
          </w:p>
        </w:tc>
        <w:tc>
          <w:tcPr>
            <w:tcW w:w="2583" w:type="dxa"/>
            <w:shd w:val="clear" w:color="000000" w:fill="FFFFFF"/>
            <w:vAlign w:val="center"/>
            <w:hideMark/>
          </w:tcPr>
          <w:p w14:paraId="49A6259B" w14:textId="77777777" w:rsidR="008C16FF" w:rsidRPr="00F076D4" w:rsidRDefault="008C16FF" w:rsidP="00F076D4">
            <w:pPr>
              <w:spacing w:after="0" w:line="240" w:lineRule="auto"/>
              <w:ind w:right="907"/>
              <w:jc w:val="right"/>
              <w:rPr>
                <w:rFonts w:eastAsia="Times New Roman" w:cstheme="minorHAnsi"/>
                <w:color w:val="000000"/>
                <w:sz w:val="20"/>
                <w:szCs w:val="20"/>
                <w:lang w:eastAsia="cs-CZ"/>
              </w:rPr>
            </w:pPr>
            <w:r w:rsidRPr="00F076D4">
              <w:rPr>
                <w:rFonts w:eastAsia="Times New Roman" w:cstheme="minorHAnsi"/>
                <w:color w:val="000000"/>
                <w:sz w:val="20"/>
                <w:szCs w:val="20"/>
                <w:lang w:eastAsia="cs-CZ"/>
              </w:rPr>
              <w:t>11 995</w:t>
            </w:r>
          </w:p>
        </w:tc>
        <w:tc>
          <w:tcPr>
            <w:tcW w:w="2608" w:type="dxa"/>
            <w:shd w:val="clear" w:color="auto" w:fill="auto"/>
            <w:vAlign w:val="center"/>
            <w:hideMark/>
          </w:tcPr>
          <w:p w14:paraId="05FD86F3" w14:textId="77777777" w:rsidR="008C16FF" w:rsidRPr="00F076D4" w:rsidRDefault="008C16FF" w:rsidP="00F076D4">
            <w:pPr>
              <w:spacing w:after="0" w:line="240" w:lineRule="auto"/>
              <w:ind w:right="907"/>
              <w:jc w:val="right"/>
              <w:rPr>
                <w:rFonts w:eastAsia="Times New Roman" w:cstheme="minorHAnsi"/>
                <w:color w:val="000000"/>
                <w:sz w:val="20"/>
                <w:szCs w:val="20"/>
                <w:lang w:eastAsia="cs-CZ"/>
              </w:rPr>
            </w:pPr>
            <w:r w:rsidRPr="00F076D4">
              <w:rPr>
                <w:rFonts w:eastAsia="Times New Roman" w:cstheme="minorHAnsi"/>
                <w:color w:val="000000"/>
                <w:sz w:val="20"/>
                <w:szCs w:val="20"/>
                <w:lang w:eastAsia="cs-CZ"/>
              </w:rPr>
              <w:t>4 586</w:t>
            </w:r>
          </w:p>
        </w:tc>
        <w:tc>
          <w:tcPr>
            <w:tcW w:w="964" w:type="dxa"/>
            <w:shd w:val="clear" w:color="auto" w:fill="auto"/>
            <w:vAlign w:val="center"/>
            <w:hideMark/>
          </w:tcPr>
          <w:p w14:paraId="6A2ED15F" w14:textId="77777777" w:rsidR="008C16FF" w:rsidRPr="00F076D4" w:rsidRDefault="008C16FF" w:rsidP="005C60F2">
            <w:pPr>
              <w:spacing w:after="0" w:line="240" w:lineRule="auto"/>
              <w:jc w:val="center"/>
              <w:rPr>
                <w:rFonts w:eastAsia="Times New Roman" w:cstheme="minorHAnsi"/>
                <w:color w:val="000000"/>
                <w:sz w:val="20"/>
                <w:szCs w:val="20"/>
                <w:lang w:eastAsia="cs-CZ"/>
              </w:rPr>
            </w:pPr>
            <w:r w:rsidRPr="00F076D4">
              <w:rPr>
                <w:rFonts w:eastAsia="Times New Roman" w:cstheme="minorHAnsi"/>
                <w:color w:val="000000"/>
                <w:sz w:val="20"/>
                <w:szCs w:val="20"/>
                <w:lang w:eastAsia="cs-CZ"/>
              </w:rPr>
              <w:t>38 %</w:t>
            </w:r>
          </w:p>
        </w:tc>
      </w:tr>
      <w:tr w:rsidR="008C16FF" w:rsidRPr="00C47E97" w14:paraId="4650C96B" w14:textId="77777777" w:rsidTr="003932D7">
        <w:trPr>
          <w:trHeight w:val="34"/>
        </w:trPr>
        <w:tc>
          <w:tcPr>
            <w:tcW w:w="2954" w:type="dxa"/>
            <w:shd w:val="clear" w:color="000000" w:fill="FFFFFF"/>
            <w:vAlign w:val="center"/>
            <w:hideMark/>
          </w:tcPr>
          <w:p w14:paraId="59A00A35" w14:textId="77777777" w:rsidR="008C16FF" w:rsidRPr="00D15A1A" w:rsidRDefault="008C16FF" w:rsidP="005C60F2">
            <w:pPr>
              <w:spacing w:after="0" w:line="240" w:lineRule="auto"/>
              <w:rPr>
                <w:rFonts w:eastAsia="Times New Roman" w:cstheme="minorHAnsi"/>
                <w:color w:val="000000"/>
                <w:sz w:val="20"/>
                <w:szCs w:val="20"/>
                <w:lang w:eastAsia="cs-CZ"/>
              </w:rPr>
            </w:pPr>
            <w:r w:rsidRPr="00D15A1A">
              <w:rPr>
                <w:rFonts w:eastAsia="Times New Roman" w:cstheme="minorHAnsi"/>
                <w:color w:val="000000"/>
                <w:sz w:val="20"/>
                <w:szCs w:val="20"/>
                <w:lang w:eastAsia="cs-CZ"/>
              </w:rPr>
              <w:t>Kontrola provedena u provozovny opakovaně – CS ČR</w:t>
            </w:r>
          </w:p>
        </w:tc>
        <w:tc>
          <w:tcPr>
            <w:tcW w:w="2583" w:type="dxa"/>
            <w:shd w:val="clear" w:color="000000" w:fill="FFFFFF"/>
            <w:vAlign w:val="center"/>
            <w:hideMark/>
          </w:tcPr>
          <w:p w14:paraId="6BB47D93" w14:textId="77777777" w:rsidR="008C16FF" w:rsidRPr="00F076D4" w:rsidRDefault="008C16FF" w:rsidP="00F076D4">
            <w:pPr>
              <w:spacing w:after="0" w:line="240" w:lineRule="auto"/>
              <w:ind w:right="907"/>
              <w:jc w:val="right"/>
              <w:rPr>
                <w:rFonts w:eastAsia="Times New Roman" w:cstheme="minorHAnsi"/>
                <w:color w:val="000000"/>
                <w:sz w:val="20"/>
                <w:szCs w:val="20"/>
                <w:lang w:eastAsia="cs-CZ"/>
              </w:rPr>
            </w:pPr>
            <w:r w:rsidRPr="00F076D4">
              <w:rPr>
                <w:rFonts w:eastAsia="Times New Roman" w:cstheme="minorHAnsi"/>
                <w:color w:val="000000"/>
                <w:sz w:val="20"/>
                <w:szCs w:val="20"/>
                <w:lang w:eastAsia="cs-CZ"/>
              </w:rPr>
              <w:t>738</w:t>
            </w:r>
          </w:p>
        </w:tc>
        <w:tc>
          <w:tcPr>
            <w:tcW w:w="2608" w:type="dxa"/>
            <w:shd w:val="clear" w:color="auto" w:fill="auto"/>
            <w:vAlign w:val="center"/>
            <w:hideMark/>
          </w:tcPr>
          <w:p w14:paraId="064266F1" w14:textId="77777777" w:rsidR="008C16FF" w:rsidRPr="00F076D4" w:rsidRDefault="008C16FF" w:rsidP="00F076D4">
            <w:pPr>
              <w:spacing w:after="0" w:line="240" w:lineRule="auto"/>
              <w:ind w:right="907"/>
              <w:jc w:val="right"/>
              <w:rPr>
                <w:rFonts w:eastAsia="Times New Roman" w:cstheme="minorHAnsi"/>
                <w:color w:val="000000"/>
                <w:sz w:val="20"/>
                <w:szCs w:val="20"/>
                <w:lang w:eastAsia="cs-CZ"/>
              </w:rPr>
            </w:pPr>
            <w:r w:rsidRPr="00F076D4">
              <w:rPr>
                <w:rFonts w:eastAsia="Times New Roman" w:cstheme="minorHAnsi"/>
                <w:color w:val="000000"/>
                <w:sz w:val="20"/>
                <w:szCs w:val="20"/>
                <w:lang w:eastAsia="cs-CZ"/>
              </w:rPr>
              <w:t>488</w:t>
            </w:r>
          </w:p>
        </w:tc>
        <w:tc>
          <w:tcPr>
            <w:tcW w:w="964" w:type="dxa"/>
            <w:shd w:val="clear" w:color="auto" w:fill="auto"/>
            <w:vAlign w:val="center"/>
            <w:hideMark/>
          </w:tcPr>
          <w:p w14:paraId="3C73ECD0" w14:textId="77777777" w:rsidR="008C16FF" w:rsidRPr="00F076D4" w:rsidRDefault="008C16FF" w:rsidP="005C60F2">
            <w:pPr>
              <w:spacing w:after="0" w:line="240" w:lineRule="auto"/>
              <w:jc w:val="center"/>
              <w:rPr>
                <w:rFonts w:eastAsia="Times New Roman" w:cstheme="minorHAnsi"/>
                <w:color w:val="000000"/>
                <w:sz w:val="20"/>
                <w:szCs w:val="20"/>
                <w:lang w:eastAsia="cs-CZ"/>
              </w:rPr>
            </w:pPr>
            <w:r w:rsidRPr="00F076D4">
              <w:rPr>
                <w:rFonts w:eastAsia="Times New Roman" w:cstheme="minorHAnsi"/>
                <w:color w:val="000000"/>
                <w:sz w:val="20"/>
                <w:szCs w:val="20"/>
                <w:lang w:eastAsia="cs-CZ"/>
              </w:rPr>
              <w:t>66 %</w:t>
            </w:r>
          </w:p>
        </w:tc>
      </w:tr>
    </w:tbl>
    <w:p w14:paraId="244BF041" w14:textId="10E5F394" w:rsidR="002C2E6B" w:rsidRPr="00F076D4" w:rsidRDefault="008C16FF" w:rsidP="001126F3">
      <w:pPr>
        <w:spacing w:after="120" w:line="240" w:lineRule="auto"/>
        <w:jc w:val="both"/>
        <w:rPr>
          <w:rFonts w:eastAsia="Calibri" w:cstheme="minorHAnsi"/>
          <w:sz w:val="20"/>
          <w:szCs w:val="20"/>
        </w:rPr>
      </w:pPr>
      <w:r w:rsidRPr="00F076D4">
        <w:rPr>
          <w:rFonts w:eastAsia="Calibri" w:cstheme="minorHAnsi"/>
          <w:b/>
          <w:bCs/>
          <w:sz w:val="20"/>
          <w:szCs w:val="20"/>
        </w:rPr>
        <w:t>Zdroj:</w:t>
      </w:r>
      <w:r w:rsidRPr="00F076D4">
        <w:rPr>
          <w:rFonts w:eastAsia="Calibri" w:cstheme="minorHAnsi"/>
          <w:sz w:val="20"/>
          <w:szCs w:val="20"/>
        </w:rPr>
        <w:t xml:space="preserve"> GFŘ, GŘC</w:t>
      </w:r>
      <w:r w:rsidR="00F076D4">
        <w:rPr>
          <w:rFonts w:eastAsia="Calibri" w:cstheme="minorHAnsi"/>
          <w:sz w:val="20"/>
          <w:szCs w:val="20"/>
        </w:rPr>
        <w:t>;</w:t>
      </w:r>
      <w:r w:rsidRPr="003932D7">
        <w:rPr>
          <w:rFonts w:eastAsia="Calibri" w:cstheme="minorHAnsi"/>
          <w:sz w:val="20"/>
          <w:szCs w:val="20"/>
        </w:rPr>
        <w:t xml:space="preserve"> vlastní zpracování NKÚ</w:t>
      </w:r>
      <w:bookmarkEnd w:id="17"/>
      <w:r w:rsidR="00F076D4">
        <w:rPr>
          <w:rFonts w:eastAsia="Calibri" w:cstheme="minorHAnsi"/>
          <w:sz w:val="20"/>
          <w:szCs w:val="20"/>
        </w:rPr>
        <w:t>.</w:t>
      </w:r>
    </w:p>
    <w:p w14:paraId="104CB40D" w14:textId="4D917B09" w:rsidR="000F56DC" w:rsidRPr="00C47E97" w:rsidRDefault="002C2E6B" w:rsidP="003E4F48">
      <w:pPr>
        <w:spacing w:after="120" w:line="240" w:lineRule="auto"/>
        <w:jc w:val="both"/>
        <w:rPr>
          <w:rFonts w:cstheme="minorHAnsi"/>
          <w:sz w:val="24"/>
        </w:rPr>
      </w:pPr>
      <w:r w:rsidRPr="00C47E97">
        <w:rPr>
          <w:rFonts w:cstheme="minorHAnsi"/>
          <w:sz w:val="24"/>
        </w:rPr>
        <w:t>Na základě dohody</w:t>
      </w:r>
      <w:r w:rsidR="001126F3" w:rsidRPr="00C47E97">
        <w:rPr>
          <w:rStyle w:val="Znakapoznpodarou"/>
          <w:rFonts w:cstheme="minorHAnsi"/>
          <w:sz w:val="24"/>
        </w:rPr>
        <w:footnoteReference w:id="30"/>
      </w:r>
      <w:r w:rsidR="003E4F48" w:rsidRPr="00C47E97">
        <w:rPr>
          <w:rFonts w:cstheme="minorHAnsi"/>
          <w:sz w:val="24"/>
        </w:rPr>
        <w:t xml:space="preserve"> </w:t>
      </w:r>
      <w:r w:rsidR="001126F3" w:rsidRPr="00C47E97">
        <w:rPr>
          <w:rFonts w:cstheme="minorHAnsi"/>
          <w:sz w:val="24"/>
        </w:rPr>
        <w:t xml:space="preserve">ze dne 16. 12. 2015 uzavřené </w:t>
      </w:r>
      <w:r w:rsidR="003E4F48" w:rsidRPr="00C47E97">
        <w:rPr>
          <w:rFonts w:cstheme="minorHAnsi"/>
          <w:sz w:val="24"/>
        </w:rPr>
        <w:t>mezi GŘC a GFŘ byl</w:t>
      </w:r>
      <w:r w:rsidR="001126F3" w:rsidRPr="00C47E97">
        <w:rPr>
          <w:rFonts w:cstheme="minorHAnsi"/>
          <w:sz w:val="24"/>
        </w:rPr>
        <w:t xml:space="preserve">a nastavena spolupráce </w:t>
      </w:r>
      <w:r w:rsidR="00F076D4">
        <w:rPr>
          <w:rFonts w:cstheme="minorHAnsi"/>
          <w:sz w:val="24"/>
        </w:rPr>
        <w:t xml:space="preserve">v podobě </w:t>
      </w:r>
      <w:r w:rsidR="001126F3" w:rsidRPr="00C47E97">
        <w:rPr>
          <w:rFonts w:cstheme="minorHAnsi"/>
          <w:sz w:val="24"/>
        </w:rPr>
        <w:t>poskytování vzájemné součinnosti při plnění úkolů FS ČR a CS ČR. Na základě dodatku k</w:t>
      </w:r>
      <w:r w:rsidR="00F076D4">
        <w:rPr>
          <w:rFonts w:cstheme="minorHAnsi"/>
          <w:sz w:val="24"/>
        </w:rPr>
        <w:t xml:space="preserve"> </w:t>
      </w:r>
      <w:r w:rsidR="001126F3" w:rsidRPr="00C47E97">
        <w:rPr>
          <w:rFonts w:cstheme="minorHAnsi"/>
          <w:sz w:val="24"/>
        </w:rPr>
        <w:t xml:space="preserve">této dohodě vznikla </w:t>
      </w:r>
      <w:r w:rsidR="00F076D4">
        <w:rPr>
          <w:rFonts w:cstheme="minorHAnsi"/>
          <w:sz w:val="24"/>
        </w:rPr>
        <w:t xml:space="preserve">Generálnímu finančnímu ředitelství </w:t>
      </w:r>
      <w:r w:rsidR="001126F3" w:rsidRPr="00C47E97">
        <w:rPr>
          <w:rFonts w:cstheme="minorHAnsi"/>
          <w:sz w:val="24"/>
        </w:rPr>
        <w:t xml:space="preserve">povinnost </w:t>
      </w:r>
      <w:r w:rsidR="003E4F48" w:rsidRPr="00C47E97">
        <w:rPr>
          <w:rFonts w:cstheme="minorHAnsi"/>
          <w:sz w:val="24"/>
        </w:rPr>
        <w:t xml:space="preserve">zasílat </w:t>
      </w:r>
      <w:r w:rsidR="00F076D4">
        <w:rPr>
          <w:rFonts w:cstheme="minorHAnsi"/>
          <w:sz w:val="24"/>
        </w:rPr>
        <w:t>Generálnímu ředitelství cel</w:t>
      </w:r>
      <w:r w:rsidR="001126F3" w:rsidRPr="00C47E97">
        <w:rPr>
          <w:rFonts w:cstheme="minorHAnsi"/>
          <w:sz w:val="24"/>
        </w:rPr>
        <w:t xml:space="preserve"> </w:t>
      </w:r>
      <w:r w:rsidR="003E4F48" w:rsidRPr="00C47E97">
        <w:rPr>
          <w:rFonts w:cstheme="minorHAnsi"/>
          <w:sz w:val="24"/>
        </w:rPr>
        <w:t xml:space="preserve">podněty ke kontrole EET, a to zpravidla jednou měsíčně. CS ČR měla vykonávat kontrolní nákupy primárně na základě těchto podnětů. </w:t>
      </w:r>
    </w:p>
    <w:p w14:paraId="69A4004E" w14:textId="5CEAF122" w:rsidR="000F56DC" w:rsidRPr="00C47E97" w:rsidRDefault="003E4F48" w:rsidP="000F56DC">
      <w:pPr>
        <w:spacing w:after="120" w:line="240" w:lineRule="auto"/>
        <w:jc w:val="both"/>
        <w:rPr>
          <w:rFonts w:cstheme="minorHAnsi"/>
          <w:sz w:val="24"/>
        </w:rPr>
      </w:pPr>
      <w:r w:rsidRPr="00C47E97">
        <w:rPr>
          <w:rFonts w:cstheme="minorHAnsi"/>
          <w:sz w:val="24"/>
        </w:rPr>
        <w:t xml:space="preserve">GFŘ </w:t>
      </w:r>
      <w:r w:rsidR="000F56DC" w:rsidRPr="00C47E97">
        <w:rPr>
          <w:rFonts w:cstheme="minorHAnsi"/>
          <w:sz w:val="24"/>
        </w:rPr>
        <w:t>po spuštění EET neplnilo dohodnutou povinnost</w:t>
      </w:r>
      <w:r w:rsidRPr="00C47E97">
        <w:rPr>
          <w:rFonts w:cstheme="minorHAnsi"/>
          <w:sz w:val="24"/>
        </w:rPr>
        <w:t xml:space="preserve"> </w:t>
      </w:r>
      <w:r w:rsidR="000F56DC" w:rsidRPr="00C47E97">
        <w:rPr>
          <w:rFonts w:cstheme="minorHAnsi"/>
          <w:sz w:val="24"/>
        </w:rPr>
        <w:t>a nezasílal</w:t>
      </w:r>
      <w:r w:rsidR="001664C8">
        <w:rPr>
          <w:rFonts w:cstheme="minorHAnsi"/>
          <w:sz w:val="24"/>
        </w:rPr>
        <w:t>o</w:t>
      </w:r>
      <w:r w:rsidR="000F56DC" w:rsidRPr="00C47E97">
        <w:rPr>
          <w:rFonts w:cstheme="minorHAnsi"/>
          <w:sz w:val="24"/>
        </w:rPr>
        <w:t xml:space="preserve"> podněty GŘC k prověření. </w:t>
      </w:r>
      <w:r w:rsidR="001958FE">
        <w:rPr>
          <w:rFonts w:cstheme="minorHAnsi"/>
          <w:sz w:val="24"/>
        </w:rPr>
        <w:br/>
      </w:r>
      <w:r w:rsidR="000F56DC" w:rsidRPr="00C47E97">
        <w:rPr>
          <w:rFonts w:cstheme="minorHAnsi"/>
          <w:sz w:val="24"/>
        </w:rPr>
        <w:t xml:space="preserve">Ze strany </w:t>
      </w:r>
      <w:r w:rsidRPr="00C47E97">
        <w:rPr>
          <w:rFonts w:cstheme="minorHAnsi"/>
          <w:sz w:val="24"/>
        </w:rPr>
        <w:t xml:space="preserve">GŘC </w:t>
      </w:r>
      <w:r w:rsidR="00F076D4" w:rsidRPr="00C47E97">
        <w:rPr>
          <w:rFonts w:cstheme="minorHAnsi"/>
          <w:sz w:val="24"/>
        </w:rPr>
        <w:t xml:space="preserve">nebyla </w:t>
      </w:r>
      <w:r w:rsidR="000F56DC" w:rsidRPr="00C47E97">
        <w:rPr>
          <w:rFonts w:cstheme="minorHAnsi"/>
          <w:sz w:val="24"/>
        </w:rPr>
        <w:t>tato</w:t>
      </w:r>
      <w:r w:rsidRPr="00C47E97">
        <w:rPr>
          <w:rFonts w:cstheme="minorHAnsi"/>
          <w:sz w:val="24"/>
        </w:rPr>
        <w:t xml:space="preserve"> </w:t>
      </w:r>
      <w:r w:rsidR="000F56DC" w:rsidRPr="00C47E97">
        <w:rPr>
          <w:rFonts w:cstheme="minorHAnsi"/>
          <w:sz w:val="24"/>
        </w:rPr>
        <w:t xml:space="preserve">dohodnutá </w:t>
      </w:r>
      <w:r w:rsidRPr="00C47E97">
        <w:rPr>
          <w:rFonts w:cstheme="minorHAnsi"/>
          <w:sz w:val="24"/>
        </w:rPr>
        <w:t>spoluprác</w:t>
      </w:r>
      <w:r w:rsidR="000F56DC" w:rsidRPr="00C47E97">
        <w:rPr>
          <w:rFonts w:cstheme="minorHAnsi"/>
          <w:sz w:val="24"/>
        </w:rPr>
        <w:t>e</w:t>
      </w:r>
      <w:r w:rsidRPr="00C47E97">
        <w:rPr>
          <w:rFonts w:cstheme="minorHAnsi"/>
          <w:sz w:val="24"/>
        </w:rPr>
        <w:t xml:space="preserve"> </w:t>
      </w:r>
      <w:r w:rsidR="000F56DC" w:rsidRPr="00C47E97">
        <w:rPr>
          <w:rFonts w:cstheme="minorHAnsi"/>
          <w:sz w:val="24"/>
        </w:rPr>
        <w:t>vyžadována</w:t>
      </w:r>
      <w:r w:rsidRPr="00C47E97">
        <w:rPr>
          <w:rFonts w:cstheme="minorHAnsi"/>
          <w:sz w:val="24"/>
        </w:rPr>
        <w:t xml:space="preserve">. </w:t>
      </w:r>
      <w:r w:rsidR="000F56DC" w:rsidRPr="00C47E97">
        <w:rPr>
          <w:rFonts w:cstheme="minorHAnsi"/>
          <w:sz w:val="24"/>
        </w:rPr>
        <w:t xml:space="preserve">V roce 2018 provedla CS ČR interní audit, na jehož základě byla </w:t>
      </w:r>
      <w:r w:rsidR="00F076D4">
        <w:rPr>
          <w:rFonts w:cstheme="minorHAnsi"/>
          <w:sz w:val="24"/>
        </w:rPr>
        <w:t xml:space="preserve">ze zástupců </w:t>
      </w:r>
      <w:r w:rsidR="00F076D4" w:rsidRPr="00C47E97">
        <w:rPr>
          <w:rFonts w:cstheme="minorHAnsi"/>
          <w:sz w:val="24"/>
        </w:rPr>
        <w:t>CS ČR a FS ČR</w:t>
      </w:r>
      <w:r w:rsidR="00F076D4">
        <w:rPr>
          <w:rFonts w:cstheme="minorHAnsi"/>
          <w:sz w:val="24"/>
        </w:rPr>
        <w:t xml:space="preserve"> </w:t>
      </w:r>
      <w:r w:rsidR="000F56DC" w:rsidRPr="00C47E97">
        <w:rPr>
          <w:rFonts w:cstheme="minorHAnsi"/>
          <w:sz w:val="24"/>
        </w:rPr>
        <w:t>ustavena pracovní skupina, která se zabývala naplňováním předmětné dohody. Následně v srpnu a září 2018 CS ČR obdržela od GFŘ 1</w:t>
      </w:r>
      <w:r w:rsidR="007E5E1E">
        <w:rPr>
          <w:rFonts w:cstheme="minorHAnsi"/>
          <w:sz w:val="24"/>
        </w:rPr>
        <w:t> </w:t>
      </w:r>
      <w:r w:rsidR="000F56DC" w:rsidRPr="00C47E97">
        <w:rPr>
          <w:rFonts w:cstheme="minorHAnsi"/>
          <w:sz w:val="24"/>
        </w:rPr>
        <w:t>718</w:t>
      </w:r>
      <w:r w:rsidR="007E5E1E">
        <w:rPr>
          <w:rFonts w:cstheme="minorHAnsi"/>
          <w:sz w:val="24"/>
        </w:rPr>
        <w:t> </w:t>
      </w:r>
      <w:r w:rsidR="000F56DC" w:rsidRPr="00C47E97">
        <w:rPr>
          <w:rFonts w:cstheme="minorHAnsi"/>
          <w:sz w:val="24"/>
        </w:rPr>
        <w:t xml:space="preserve">podnětů k prověření ve dvou sestavách. Do té doby CS ČR využívala ke kontrolní činnosti </w:t>
      </w:r>
      <w:r w:rsidR="004B661E">
        <w:rPr>
          <w:rFonts w:cstheme="minorHAnsi"/>
          <w:sz w:val="24"/>
        </w:rPr>
        <w:t xml:space="preserve">v oblasti </w:t>
      </w:r>
      <w:r w:rsidR="000F56DC" w:rsidRPr="00C47E97">
        <w:rPr>
          <w:rFonts w:cstheme="minorHAnsi"/>
          <w:sz w:val="24"/>
        </w:rPr>
        <w:t xml:space="preserve">EET podněty z vlastní analytické činnosti. </w:t>
      </w:r>
    </w:p>
    <w:p w14:paraId="3A0160AE" w14:textId="52E64117" w:rsidR="001958FE" w:rsidRDefault="003E4F48" w:rsidP="00D15A1A">
      <w:pPr>
        <w:spacing w:after="0" w:line="240" w:lineRule="auto"/>
        <w:jc w:val="both"/>
        <w:rPr>
          <w:rFonts w:cstheme="minorHAnsi"/>
          <w:sz w:val="24"/>
        </w:rPr>
      </w:pPr>
      <w:r w:rsidRPr="00C47E97">
        <w:rPr>
          <w:rFonts w:cstheme="minorHAnsi"/>
          <w:sz w:val="24"/>
        </w:rPr>
        <w:t>GŘC po obdržení těchto dvou datových sad požádalo o odložení zaslání další</w:t>
      </w:r>
      <w:r w:rsidR="000F56DC" w:rsidRPr="00C47E97">
        <w:rPr>
          <w:rFonts w:cstheme="minorHAnsi"/>
          <w:sz w:val="24"/>
        </w:rPr>
        <w:t>ch podnětů k</w:t>
      </w:r>
      <w:r w:rsidR="001F4956" w:rsidRPr="00C47E97">
        <w:rPr>
          <w:rFonts w:cstheme="minorHAnsi"/>
          <w:sz w:val="24"/>
        </w:rPr>
        <w:t> prověřování povinností v</w:t>
      </w:r>
      <w:r w:rsidR="004B661E">
        <w:rPr>
          <w:rFonts w:cstheme="minorHAnsi"/>
          <w:sz w:val="24"/>
        </w:rPr>
        <w:t xml:space="preserve"> </w:t>
      </w:r>
      <w:r w:rsidR="001F4956" w:rsidRPr="00C47E97">
        <w:rPr>
          <w:rFonts w:cstheme="minorHAnsi"/>
          <w:sz w:val="24"/>
        </w:rPr>
        <w:t>souvislosti s </w:t>
      </w:r>
      <w:r w:rsidRPr="00C47E97">
        <w:rPr>
          <w:rFonts w:cstheme="minorHAnsi"/>
          <w:sz w:val="24"/>
        </w:rPr>
        <w:t>EET</w:t>
      </w:r>
      <w:r w:rsidR="001F4956" w:rsidRPr="00C47E97">
        <w:rPr>
          <w:rFonts w:cstheme="minorHAnsi"/>
          <w:sz w:val="24"/>
        </w:rPr>
        <w:t>.</w:t>
      </w:r>
      <w:r w:rsidRPr="00C47E97">
        <w:rPr>
          <w:rFonts w:cstheme="minorHAnsi"/>
          <w:sz w:val="24"/>
        </w:rPr>
        <w:t xml:space="preserve"> Další podněty </w:t>
      </w:r>
      <w:r w:rsidR="004B661E">
        <w:rPr>
          <w:rFonts w:cstheme="minorHAnsi"/>
          <w:sz w:val="24"/>
        </w:rPr>
        <w:t xml:space="preserve">už </w:t>
      </w:r>
      <w:r w:rsidRPr="00C47E97">
        <w:rPr>
          <w:rFonts w:cstheme="minorHAnsi"/>
          <w:sz w:val="24"/>
        </w:rPr>
        <w:t>GFŘ nezaslalo, a to z</w:t>
      </w:r>
      <w:r w:rsidR="004B661E">
        <w:rPr>
          <w:rFonts w:cstheme="minorHAnsi"/>
          <w:sz w:val="24"/>
        </w:rPr>
        <w:t xml:space="preserve"> </w:t>
      </w:r>
      <w:r w:rsidRPr="00C47E97">
        <w:rPr>
          <w:rFonts w:cstheme="minorHAnsi"/>
          <w:sz w:val="24"/>
        </w:rPr>
        <w:t>důvodu pozastavení a následného zrušení EET.</w:t>
      </w:r>
    </w:p>
    <w:p w14:paraId="2DCFDC07" w14:textId="77777777" w:rsidR="004B661E" w:rsidRDefault="004B661E" w:rsidP="00D15A1A">
      <w:pPr>
        <w:spacing w:after="0" w:line="240" w:lineRule="auto"/>
        <w:jc w:val="both"/>
      </w:pPr>
    </w:p>
    <w:p w14:paraId="2708EBD5" w14:textId="1554C169" w:rsidR="004C1775" w:rsidRPr="006B3639" w:rsidRDefault="0093232C" w:rsidP="003932D7">
      <w:pPr>
        <w:spacing w:after="240"/>
        <w:rPr>
          <w:bCs/>
          <w:szCs w:val="24"/>
        </w:rPr>
      </w:pPr>
      <w:r w:rsidRPr="003932D7">
        <w:rPr>
          <w:b/>
          <w:bCs/>
          <w:sz w:val="24"/>
          <w:szCs w:val="24"/>
        </w:rPr>
        <w:lastRenderedPageBreak/>
        <w:t>Seznam zkratek</w:t>
      </w:r>
    </w:p>
    <w:tbl>
      <w:tblPr>
        <w:tblStyle w:val="Mkatabulky"/>
        <w:tblW w:w="920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547"/>
        <w:gridCol w:w="6662"/>
      </w:tblGrid>
      <w:tr w:rsidR="004031A7" w:rsidRPr="00C47E97" w14:paraId="4DDDBDA4" w14:textId="77777777" w:rsidTr="00086F0E">
        <w:trPr>
          <w:trHeight w:val="397"/>
        </w:trPr>
        <w:tc>
          <w:tcPr>
            <w:tcW w:w="2547" w:type="dxa"/>
            <w:vAlign w:val="center"/>
          </w:tcPr>
          <w:p w14:paraId="11FBA0D2" w14:textId="6D891097" w:rsidR="004031A7" w:rsidRPr="003932D7" w:rsidRDefault="004031A7" w:rsidP="008A5408">
            <w:pPr>
              <w:jc w:val="both"/>
              <w:rPr>
                <w:rFonts w:ascii="Calibri" w:hAnsi="Calibri" w:cs="Calibri"/>
                <w:sz w:val="24"/>
                <w:szCs w:val="24"/>
              </w:rPr>
            </w:pPr>
            <w:r w:rsidRPr="003932D7">
              <w:rPr>
                <w:rFonts w:ascii="Calibri" w:hAnsi="Calibri" w:cs="Calibri"/>
                <w:sz w:val="24"/>
                <w:szCs w:val="24"/>
              </w:rPr>
              <w:t>ADIS</w:t>
            </w:r>
          </w:p>
        </w:tc>
        <w:tc>
          <w:tcPr>
            <w:tcW w:w="6662" w:type="dxa"/>
            <w:vAlign w:val="center"/>
          </w:tcPr>
          <w:p w14:paraId="7D555654" w14:textId="495431A8" w:rsidR="004031A7" w:rsidRPr="00D21BA1" w:rsidRDefault="004031A7" w:rsidP="00086F0E">
            <w:pPr>
              <w:ind w:left="174"/>
              <w:jc w:val="both"/>
              <w:rPr>
                <w:rFonts w:ascii="Calibri" w:hAnsi="Calibri" w:cs="Calibri"/>
                <w:iCs/>
                <w:color w:val="000000"/>
                <w:sz w:val="24"/>
                <w:szCs w:val="24"/>
              </w:rPr>
            </w:pPr>
            <w:r w:rsidRPr="00D21BA1">
              <w:rPr>
                <w:rFonts w:ascii="Calibri" w:hAnsi="Calibri" w:cs="Calibri"/>
                <w:iCs/>
                <w:sz w:val="24"/>
                <w:szCs w:val="24"/>
              </w:rPr>
              <w:t>Automatizovaný daňový informační systém</w:t>
            </w:r>
          </w:p>
        </w:tc>
      </w:tr>
      <w:tr w:rsidR="008A5408" w:rsidRPr="00C47E97" w14:paraId="3EED62D7" w14:textId="77777777" w:rsidTr="00086F0E">
        <w:trPr>
          <w:trHeight w:val="397"/>
        </w:trPr>
        <w:tc>
          <w:tcPr>
            <w:tcW w:w="2547" w:type="dxa"/>
            <w:vAlign w:val="center"/>
          </w:tcPr>
          <w:p w14:paraId="1C4C1AA1" w14:textId="77777777" w:rsidR="008A5408" w:rsidRPr="008A5408" w:rsidRDefault="008A5408" w:rsidP="008A5408">
            <w:pPr>
              <w:jc w:val="both"/>
              <w:rPr>
                <w:rFonts w:cstheme="minorHAnsi"/>
                <w:sz w:val="24"/>
                <w:szCs w:val="24"/>
                <w:lang w:eastAsia="cs-CZ"/>
              </w:rPr>
            </w:pPr>
            <w:r w:rsidRPr="008A5408">
              <w:rPr>
                <w:rFonts w:ascii="Calibri" w:hAnsi="Calibri" w:cs="Calibri"/>
                <w:color w:val="000000"/>
                <w:sz w:val="24"/>
                <w:szCs w:val="24"/>
              </w:rPr>
              <w:t>CS ČR</w:t>
            </w:r>
          </w:p>
        </w:tc>
        <w:tc>
          <w:tcPr>
            <w:tcW w:w="6662" w:type="dxa"/>
            <w:vAlign w:val="center"/>
          </w:tcPr>
          <w:p w14:paraId="2EA65A92" w14:textId="77777777" w:rsidR="008A5408" w:rsidRPr="00D21BA1" w:rsidRDefault="008A5408" w:rsidP="00086F0E">
            <w:pPr>
              <w:ind w:left="174"/>
              <w:jc w:val="both"/>
              <w:rPr>
                <w:rFonts w:cstheme="minorHAnsi"/>
                <w:sz w:val="24"/>
                <w:szCs w:val="24"/>
                <w:lang w:eastAsia="cs-CZ"/>
              </w:rPr>
            </w:pPr>
            <w:r w:rsidRPr="00D21BA1">
              <w:rPr>
                <w:rFonts w:ascii="Calibri" w:hAnsi="Calibri" w:cs="Calibri"/>
                <w:color w:val="000000"/>
                <w:sz w:val="24"/>
                <w:szCs w:val="24"/>
              </w:rPr>
              <w:t>Celní správa České republiky</w:t>
            </w:r>
          </w:p>
        </w:tc>
      </w:tr>
      <w:tr w:rsidR="008A5408" w:rsidRPr="00C47E97" w14:paraId="1D6128D4" w14:textId="77777777" w:rsidTr="00086F0E">
        <w:trPr>
          <w:trHeight w:val="397"/>
        </w:trPr>
        <w:tc>
          <w:tcPr>
            <w:tcW w:w="2547" w:type="dxa"/>
            <w:vAlign w:val="center"/>
          </w:tcPr>
          <w:p w14:paraId="33F596BE" w14:textId="5972FB09" w:rsidR="008A5408" w:rsidRPr="008A5408" w:rsidRDefault="004031A7" w:rsidP="008A5408">
            <w:pPr>
              <w:jc w:val="both"/>
              <w:rPr>
                <w:rFonts w:cstheme="minorHAnsi"/>
                <w:sz w:val="24"/>
                <w:szCs w:val="24"/>
                <w:lang w:eastAsia="cs-CZ"/>
              </w:rPr>
            </w:pPr>
            <w:r>
              <w:rPr>
                <w:rFonts w:ascii="Calibri" w:hAnsi="Calibri" w:cs="Calibri"/>
                <w:color w:val="000000"/>
                <w:sz w:val="24"/>
                <w:szCs w:val="24"/>
              </w:rPr>
              <w:t>d</w:t>
            </w:r>
            <w:r w:rsidR="008A5408" w:rsidRPr="008A5408">
              <w:rPr>
                <w:rFonts w:ascii="Calibri" w:hAnsi="Calibri" w:cs="Calibri"/>
                <w:color w:val="000000"/>
                <w:sz w:val="24"/>
                <w:szCs w:val="24"/>
              </w:rPr>
              <w:t>aňový řád</w:t>
            </w:r>
          </w:p>
        </w:tc>
        <w:tc>
          <w:tcPr>
            <w:tcW w:w="6662" w:type="dxa"/>
            <w:vAlign w:val="center"/>
          </w:tcPr>
          <w:p w14:paraId="6FA4B92F" w14:textId="2B15694E" w:rsidR="008A5408" w:rsidRPr="008A5408" w:rsidRDefault="004031A7" w:rsidP="00086F0E">
            <w:pPr>
              <w:ind w:left="174"/>
              <w:jc w:val="both"/>
              <w:rPr>
                <w:rFonts w:cstheme="minorHAnsi"/>
                <w:sz w:val="24"/>
                <w:szCs w:val="24"/>
                <w:lang w:eastAsia="cs-CZ"/>
              </w:rPr>
            </w:pPr>
            <w:r>
              <w:rPr>
                <w:rFonts w:ascii="Calibri" w:hAnsi="Calibri" w:cs="Calibri"/>
                <w:color w:val="000000"/>
                <w:sz w:val="24"/>
                <w:szCs w:val="24"/>
              </w:rPr>
              <w:t>z</w:t>
            </w:r>
            <w:r w:rsidR="008A5408" w:rsidRPr="008A5408">
              <w:rPr>
                <w:rFonts w:ascii="Calibri" w:hAnsi="Calibri" w:cs="Calibri"/>
                <w:color w:val="000000"/>
                <w:sz w:val="24"/>
                <w:szCs w:val="24"/>
              </w:rPr>
              <w:t>ákon č. 280/2009 Sb., daňový řád</w:t>
            </w:r>
          </w:p>
        </w:tc>
      </w:tr>
      <w:tr w:rsidR="008A5408" w:rsidRPr="00C47E97" w14:paraId="060EB94E" w14:textId="77777777" w:rsidTr="00086F0E">
        <w:trPr>
          <w:trHeight w:val="397"/>
        </w:trPr>
        <w:tc>
          <w:tcPr>
            <w:tcW w:w="2547" w:type="dxa"/>
            <w:vAlign w:val="center"/>
          </w:tcPr>
          <w:p w14:paraId="3367FE18" w14:textId="77777777" w:rsidR="008A5408" w:rsidRPr="008A5408" w:rsidRDefault="008A5408" w:rsidP="008A5408">
            <w:pPr>
              <w:jc w:val="both"/>
              <w:rPr>
                <w:rFonts w:cstheme="minorHAnsi"/>
                <w:sz w:val="24"/>
                <w:szCs w:val="24"/>
                <w:lang w:eastAsia="cs-CZ"/>
              </w:rPr>
            </w:pPr>
            <w:r w:rsidRPr="008A5408">
              <w:rPr>
                <w:rFonts w:ascii="Calibri" w:hAnsi="Calibri" w:cs="Calibri"/>
                <w:color w:val="000000"/>
                <w:sz w:val="24"/>
                <w:szCs w:val="24"/>
              </w:rPr>
              <w:t>DPFO</w:t>
            </w:r>
          </w:p>
        </w:tc>
        <w:tc>
          <w:tcPr>
            <w:tcW w:w="6662" w:type="dxa"/>
            <w:vAlign w:val="center"/>
          </w:tcPr>
          <w:p w14:paraId="378BB796" w14:textId="6F75916D" w:rsidR="008A5408" w:rsidRPr="008A5408" w:rsidRDefault="004031A7" w:rsidP="00086F0E">
            <w:pPr>
              <w:ind w:left="174"/>
              <w:jc w:val="both"/>
              <w:rPr>
                <w:rFonts w:cstheme="minorHAnsi"/>
                <w:sz w:val="24"/>
                <w:szCs w:val="24"/>
                <w:lang w:eastAsia="cs-CZ"/>
              </w:rPr>
            </w:pPr>
            <w:r>
              <w:rPr>
                <w:rFonts w:ascii="Calibri" w:hAnsi="Calibri" w:cs="Calibri"/>
                <w:color w:val="000000"/>
                <w:sz w:val="24"/>
                <w:szCs w:val="24"/>
              </w:rPr>
              <w:t>d</w:t>
            </w:r>
            <w:r w:rsidR="008A5408" w:rsidRPr="008A5408">
              <w:rPr>
                <w:rFonts w:ascii="Calibri" w:hAnsi="Calibri" w:cs="Calibri"/>
                <w:color w:val="000000"/>
                <w:sz w:val="24"/>
                <w:szCs w:val="24"/>
              </w:rPr>
              <w:t>aň z příjmů fyzických osob</w:t>
            </w:r>
          </w:p>
        </w:tc>
      </w:tr>
      <w:tr w:rsidR="008A5408" w:rsidRPr="00C47E97" w14:paraId="1BDC94B9" w14:textId="77777777" w:rsidTr="00086F0E">
        <w:trPr>
          <w:trHeight w:val="397"/>
        </w:trPr>
        <w:tc>
          <w:tcPr>
            <w:tcW w:w="2547" w:type="dxa"/>
            <w:vAlign w:val="center"/>
          </w:tcPr>
          <w:p w14:paraId="7DE7A792" w14:textId="77777777" w:rsidR="008A5408" w:rsidRPr="008A5408" w:rsidRDefault="008A5408" w:rsidP="008A5408">
            <w:pPr>
              <w:jc w:val="both"/>
              <w:rPr>
                <w:rFonts w:cstheme="minorHAnsi"/>
                <w:sz w:val="24"/>
                <w:szCs w:val="24"/>
                <w:lang w:eastAsia="cs-CZ"/>
              </w:rPr>
            </w:pPr>
            <w:r w:rsidRPr="008A5408">
              <w:rPr>
                <w:rFonts w:ascii="Calibri" w:hAnsi="Calibri" w:cs="Calibri"/>
                <w:color w:val="000000"/>
                <w:sz w:val="24"/>
                <w:szCs w:val="24"/>
              </w:rPr>
              <w:t>DPH</w:t>
            </w:r>
          </w:p>
        </w:tc>
        <w:tc>
          <w:tcPr>
            <w:tcW w:w="6662" w:type="dxa"/>
            <w:vAlign w:val="center"/>
          </w:tcPr>
          <w:p w14:paraId="3B147BC2" w14:textId="4BF019B0" w:rsidR="008A5408" w:rsidRPr="008A5408" w:rsidRDefault="004031A7" w:rsidP="00086F0E">
            <w:pPr>
              <w:ind w:left="174"/>
              <w:jc w:val="both"/>
              <w:rPr>
                <w:rFonts w:cstheme="minorHAnsi"/>
                <w:sz w:val="24"/>
                <w:szCs w:val="24"/>
                <w:lang w:eastAsia="cs-CZ"/>
              </w:rPr>
            </w:pPr>
            <w:r>
              <w:rPr>
                <w:rFonts w:ascii="Calibri" w:hAnsi="Calibri" w:cstheme="minorHAnsi"/>
                <w:color w:val="000000"/>
                <w:sz w:val="24"/>
                <w:szCs w:val="24"/>
              </w:rPr>
              <w:t>d</w:t>
            </w:r>
            <w:r w:rsidR="008A5408" w:rsidRPr="008A5408">
              <w:rPr>
                <w:rFonts w:ascii="Calibri" w:hAnsi="Calibri" w:cstheme="minorHAnsi"/>
                <w:color w:val="000000"/>
                <w:sz w:val="24"/>
                <w:szCs w:val="24"/>
              </w:rPr>
              <w:t>a</w:t>
            </w:r>
            <w:r>
              <w:rPr>
                <w:rFonts w:ascii="Calibri" w:hAnsi="Calibri" w:cstheme="minorHAnsi"/>
                <w:color w:val="000000"/>
                <w:sz w:val="24"/>
                <w:szCs w:val="24"/>
              </w:rPr>
              <w:t>ň</w:t>
            </w:r>
            <w:r w:rsidR="008A5408" w:rsidRPr="008A5408">
              <w:rPr>
                <w:rFonts w:ascii="Calibri" w:hAnsi="Calibri" w:cstheme="minorHAnsi"/>
                <w:color w:val="000000"/>
                <w:sz w:val="24"/>
                <w:szCs w:val="24"/>
              </w:rPr>
              <w:t xml:space="preserve"> z přidané hodnoty</w:t>
            </w:r>
          </w:p>
        </w:tc>
      </w:tr>
      <w:tr w:rsidR="008A5408" w:rsidRPr="00C47E97" w14:paraId="685AFA69" w14:textId="77777777" w:rsidTr="00086F0E">
        <w:trPr>
          <w:trHeight w:val="397"/>
        </w:trPr>
        <w:tc>
          <w:tcPr>
            <w:tcW w:w="2547" w:type="dxa"/>
            <w:vAlign w:val="center"/>
          </w:tcPr>
          <w:p w14:paraId="78424F7A" w14:textId="77777777" w:rsidR="008A5408" w:rsidRPr="008A5408" w:rsidRDefault="008A5408" w:rsidP="008A5408">
            <w:pPr>
              <w:jc w:val="both"/>
              <w:rPr>
                <w:rFonts w:cstheme="minorHAnsi"/>
                <w:sz w:val="24"/>
                <w:szCs w:val="24"/>
                <w:lang w:eastAsia="cs-CZ"/>
              </w:rPr>
            </w:pPr>
            <w:r w:rsidRPr="008A5408">
              <w:rPr>
                <w:rFonts w:ascii="Calibri" w:hAnsi="Calibri" w:cs="Calibri"/>
                <w:color w:val="000000"/>
                <w:sz w:val="24"/>
                <w:szCs w:val="24"/>
              </w:rPr>
              <w:t>DPPO</w:t>
            </w:r>
          </w:p>
        </w:tc>
        <w:tc>
          <w:tcPr>
            <w:tcW w:w="6662" w:type="dxa"/>
            <w:vAlign w:val="center"/>
          </w:tcPr>
          <w:p w14:paraId="22EFE618" w14:textId="55164EDA" w:rsidR="008A5408" w:rsidRPr="008A5408" w:rsidRDefault="004031A7" w:rsidP="00086F0E">
            <w:pPr>
              <w:ind w:left="174"/>
              <w:jc w:val="both"/>
              <w:rPr>
                <w:rFonts w:cstheme="minorHAnsi"/>
                <w:sz w:val="24"/>
                <w:szCs w:val="24"/>
                <w:lang w:eastAsia="cs-CZ"/>
              </w:rPr>
            </w:pPr>
            <w:r>
              <w:rPr>
                <w:rFonts w:ascii="Calibri" w:hAnsi="Calibri" w:cs="Calibri"/>
                <w:color w:val="000000"/>
                <w:sz w:val="24"/>
                <w:szCs w:val="24"/>
              </w:rPr>
              <w:t>d</w:t>
            </w:r>
            <w:r w:rsidR="008A5408" w:rsidRPr="008A5408">
              <w:rPr>
                <w:rFonts w:ascii="Calibri" w:hAnsi="Calibri" w:cs="Calibri"/>
                <w:color w:val="000000"/>
                <w:sz w:val="24"/>
                <w:szCs w:val="24"/>
              </w:rPr>
              <w:t>aň z příjmů právnických osob</w:t>
            </w:r>
          </w:p>
        </w:tc>
      </w:tr>
      <w:tr w:rsidR="008A5408" w:rsidRPr="00C47E97" w14:paraId="13CF45C5" w14:textId="77777777" w:rsidTr="00086F0E">
        <w:trPr>
          <w:trHeight w:val="397"/>
        </w:trPr>
        <w:tc>
          <w:tcPr>
            <w:tcW w:w="2547" w:type="dxa"/>
            <w:vAlign w:val="center"/>
          </w:tcPr>
          <w:p w14:paraId="05458A3B" w14:textId="77777777" w:rsidR="008A5408" w:rsidRPr="008A5408" w:rsidRDefault="008A5408" w:rsidP="008A5408">
            <w:pPr>
              <w:jc w:val="both"/>
              <w:rPr>
                <w:rFonts w:cstheme="minorHAnsi"/>
                <w:sz w:val="24"/>
                <w:szCs w:val="24"/>
                <w:lang w:eastAsia="cs-CZ"/>
              </w:rPr>
            </w:pPr>
            <w:r w:rsidRPr="008A5408">
              <w:rPr>
                <w:rFonts w:ascii="Calibri" w:hAnsi="Calibri" w:cs="Calibri"/>
                <w:color w:val="000000"/>
                <w:sz w:val="24"/>
                <w:szCs w:val="24"/>
              </w:rPr>
              <w:t>EET</w:t>
            </w:r>
          </w:p>
        </w:tc>
        <w:tc>
          <w:tcPr>
            <w:tcW w:w="6662" w:type="dxa"/>
            <w:vAlign w:val="center"/>
          </w:tcPr>
          <w:p w14:paraId="57D4A51E" w14:textId="53DBD9D6" w:rsidR="008A5408" w:rsidRPr="008A5408" w:rsidRDefault="004031A7" w:rsidP="00086F0E">
            <w:pPr>
              <w:ind w:left="174"/>
              <w:jc w:val="both"/>
              <w:rPr>
                <w:rFonts w:cstheme="minorHAnsi"/>
                <w:sz w:val="24"/>
                <w:szCs w:val="24"/>
                <w:lang w:eastAsia="cs-CZ"/>
              </w:rPr>
            </w:pPr>
            <w:r>
              <w:rPr>
                <w:rFonts w:ascii="Calibri" w:hAnsi="Calibri" w:cs="Calibri"/>
                <w:color w:val="000000"/>
                <w:sz w:val="24"/>
                <w:szCs w:val="24"/>
              </w:rPr>
              <w:t>e</w:t>
            </w:r>
            <w:r w:rsidR="008A5408" w:rsidRPr="008A5408">
              <w:rPr>
                <w:rFonts w:ascii="Calibri" w:hAnsi="Calibri" w:cs="Calibri"/>
                <w:color w:val="000000"/>
                <w:sz w:val="24"/>
                <w:szCs w:val="24"/>
              </w:rPr>
              <w:t>lektronická evidence tržeb</w:t>
            </w:r>
          </w:p>
        </w:tc>
      </w:tr>
      <w:tr w:rsidR="008A5408" w:rsidRPr="00C47E97" w14:paraId="1ECFB98C" w14:textId="77777777" w:rsidTr="00086F0E">
        <w:trPr>
          <w:trHeight w:val="397"/>
        </w:trPr>
        <w:tc>
          <w:tcPr>
            <w:tcW w:w="2547" w:type="dxa"/>
            <w:vAlign w:val="center"/>
          </w:tcPr>
          <w:p w14:paraId="11B45030" w14:textId="77777777" w:rsidR="008A5408" w:rsidRPr="008A5408" w:rsidRDefault="008A5408" w:rsidP="008A5408">
            <w:pPr>
              <w:jc w:val="both"/>
              <w:rPr>
                <w:rFonts w:cstheme="minorHAnsi"/>
                <w:sz w:val="24"/>
                <w:szCs w:val="24"/>
                <w:lang w:eastAsia="cs-CZ"/>
              </w:rPr>
            </w:pPr>
            <w:r w:rsidRPr="008A5408">
              <w:rPr>
                <w:rFonts w:ascii="Calibri" w:hAnsi="Calibri" w:cs="Calibri"/>
                <w:color w:val="000000"/>
                <w:sz w:val="24"/>
                <w:szCs w:val="24"/>
              </w:rPr>
              <w:t>FO</w:t>
            </w:r>
          </w:p>
        </w:tc>
        <w:tc>
          <w:tcPr>
            <w:tcW w:w="6662" w:type="dxa"/>
            <w:vAlign w:val="center"/>
          </w:tcPr>
          <w:p w14:paraId="4D750F10" w14:textId="3440BC03" w:rsidR="008A5408" w:rsidRPr="008A5408" w:rsidRDefault="004031A7" w:rsidP="00086F0E">
            <w:pPr>
              <w:ind w:left="174"/>
              <w:jc w:val="both"/>
              <w:rPr>
                <w:rFonts w:cstheme="minorHAnsi"/>
                <w:sz w:val="24"/>
                <w:szCs w:val="24"/>
                <w:lang w:eastAsia="cs-CZ"/>
              </w:rPr>
            </w:pPr>
            <w:r>
              <w:rPr>
                <w:rFonts w:ascii="Calibri" w:hAnsi="Calibri" w:cs="Calibri"/>
                <w:color w:val="000000"/>
                <w:sz w:val="24"/>
                <w:szCs w:val="24"/>
              </w:rPr>
              <w:t>f</w:t>
            </w:r>
            <w:r w:rsidR="008A5408" w:rsidRPr="008A5408">
              <w:rPr>
                <w:rFonts w:ascii="Calibri" w:hAnsi="Calibri" w:cs="Calibri"/>
                <w:color w:val="000000"/>
                <w:sz w:val="24"/>
                <w:szCs w:val="24"/>
              </w:rPr>
              <w:t>yzická osoba</w:t>
            </w:r>
          </w:p>
        </w:tc>
      </w:tr>
      <w:tr w:rsidR="008A5408" w:rsidRPr="00C47E97" w14:paraId="76E00383" w14:textId="77777777" w:rsidTr="00086F0E">
        <w:trPr>
          <w:trHeight w:val="397"/>
        </w:trPr>
        <w:tc>
          <w:tcPr>
            <w:tcW w:w="2547" w:type="dxa"/>
            <w:vAlign w:val="center"/>
          </w:tcPr>
          <w:p w14:paraId="220DF672" w14:textId="77777777" w:rsidR="008A5408" w:rsidRPr="008A5408" w:rsidRDefault="008A5408" w:rsidP="008A5408">
            <w:pPr>
              <w:jc w:val="both"/>
              <w:rPr>
                <w:rFonts w:cstheme="minorHAnsi"/>
                <w:sz w:val="24"/>
                <w:szCs w:val="24"/>
                <w:lang w:eastAsia="cs-CZ"/>
              </w:rPr>
            </w:pPr>
            <w:r w:rsidRPr="008A5408">
              <w:rPr>
                <w:rFonts w:ascii="Calibri" w:hAnsi="Calibri" w:cs="Calibri"/>
                <w:color w:val="000000"/>
                <w:sz w:val="24"/>
                <w:szCs w:val="24"/>
              </w:rPr>
              <w:t>FS ČR</w:t>
            </w:r>
          </w:p>
        </w:tc>
        <w:tc>
          <w:tcPr>
            <w:tcW w:w="6662" w:type="dxa"/>
            <w:vAlign w:val="center"/>
          </w:tcPr>
          <w:p w14:paraId="0CB42AF0" w14:textId="77777777" w:rsidR="008A5408" w:rsidRPr="008A5408" w:rsidRDefault="008A5408" w:rsidP="00086F0E">
            <w:pPr>
              <w:ind w:left="174"/>
              <w:jc w:val="both"/>
              <w:rPr>
                <w:rFonts w:cstheme="minorHAnsi"/>
                <w:sz w:val="24"/>
                <w:szCs w:val="24"/>
                <w:lang w:eastAsia="cs-CZ"/>
              </w:rPr>
            </w:pPr>
            <w:r w:rsidRPr="008A5408">
              <w:rPr>
                <w:rFonts w:ascii="Calibri" w:hAnsi="Calibri" w:cs="Calibri"/>
                <w:color w:val="000000"/>
                <w:sz w:val="24"/>
                <w:szCs w:val="24"/>
              </w:rPr>
              <w:t>Finanční správa České republiky</w:t>
            </w:r>
          </w:p>
        </w:tc>
      </w:tr>
      <w:tr w:rsidR="008A5408" w:rsidRPr="00C47E97" w14:paraId="0F7E18A3" w14:textId="77777777" w:rsidTr="00086F0E">
        <w:trPr>
          <w:trHeight w:val="397"/>
        </w:trPr>
        <w:tc>
          <w:tcPr>
            <w:tcW w:w="2547" w:type="dxa"/>
            <w:vAlign w:val="center"/>
          </w:tcPr>
          <w:p w14:paraId="0AF3BFFD" w14:textId="77777777" w:rsidR="008A5408" w:rsidRPr="008A5408" w:rsidRDefault="008A5408" w:rsidP="008A5408">
            <w:pPr>
              <w:jc w:val="both"/>
              <w:rPr>
                <w:rFonts w:cstheme="minorHAnsi"/>
                <w:sz w:val="24"/>
                <w:szCs w:val="24"/>
                <w:lang w:eastAsia="cs-CZ"/>
              </w:rPr>
            </w:pPr>
            <w:r w:rsidRPr="008A5408">
              <w:rPr>
                <w:rFonts w:ascii="Calibri" w:hAnsi="Calibri" w:cs="Calibri"/>
                <w:color w:val="000000"/>
                <w:sz w:val="24"/>
                <w:szCs w:val="24"/>
              </w:rPr>
              <w:t>GFŘ</w:t>
            </w:r>
          </w:p>
        </w:tc>
        <w:tc>
          <w:tcPr>
            <w:tcW w:w="6662" w:type="dxa"/>
            <w:vAlign w:val="center"/>
          </w:tcPr>
          <w:p w14:paraId="44190914" w14:textId="77777777" w:rsidR="008A5408" w:rsidRPr="008A5408" w:rsidRDefault="008A5408" w:rsidP="00086F0E">
            <w:pPr>
              <w:ind w:left="174"/>
              <w:jc w:val="both"/>
              <w:rPr>
                <w:rFonts w:cstheme="minorHAnsi"/>
                <w:sz w:val="24"/>
                <w:szCs w:val="24"/>
                <w:lang w:eastAsia="cs-CZ"/>
              </w:rPr>
            </w:pPr>
            <w:r w:rsidRPr="008A5408">
              <w:rPr>
                <w:rFonts w:ascii="Calibri" w:hAnsi="Calibri" w:cs="Calibri"/>
                <w:color w:val="000000"/>
                <w:sz w:val="24"/>
                <w:szCs w:val="24"/>
              </w:rPr>
              <w:t>Generální finanční ředitelství</w:t>
            </w:r>
          </w:p>
        </w:tc>
      </w:tr>
      <w:tr w:rsidR="008A5408" w:rsidRPr="00C47E97" w14:paraId="4EA70B53" w14:textId="77777777" w:rsidTr="00086F0E">
        <w:trPr>
          <w:trHeight w:val="397"/>
        </w:trPr>
        <w:tc>
          <w:tcPr>
            <w:tcW w:w="2547" w:type="dxa"/>
            <w:vAlign w:val="center"/>
          </w:tcPr>
          <w:p w14:paraId="7383ECEB" w14:textId="77777777" w:rsidR="008A5408" w:rsidRPr="008A5408" w:rsidRDefault="008A5408" w:rsidP="008A5408">
            <w:pPr>
              <w:jc w:val="both"/>
              <w:rPr>
                <w:rFonts w:cstheme="minorHAnsi"/>
                <w:sz w:val="24"/>
                <w:szCs w:val="24"/>
                <w:lang w:eastAsia="cs-CZ"/>
              </w:rPr>
            </w:pPr>
            <w:r w:rsidRPr="008A5408">
              <w:rPr>
                <w:rFonts w:ascii="Calibri" w:hAnsi="Calibri" w:cs="Calibri"/>
                <w:color w:val="000000"/>
                <w:sz w:val="24"/>
                <w:szCs w:val="24"/>
              </w:rPr>
              <w:t>GŘC</w:t>
            </w:r>
          </w:p>
        </w:tc>
        <w:tc>
          <w:tcPr>
            <w:tcW w:w="6662" w:type="dxa"/>
            <w:vAlign w:val="center"/>
          </w:tcPr>
          <w:p w14:paraId="2724ED0E" w14:textId="77777777" w:rsidR="008A5408" w:rsidRPr="008A5408" w:rsidRDefault="008A5408" w:rsidP="00086F0E">
            <w:pPr>
              <w:ind w:left="174"/>
              <w:jc w:val="both"/>
              <w:rPr>
                <w:rFonts w:cstheme="minorHAnsi"/>
                <w:sz w:val="24"/>
                <w:szCs w:val="24"/>
                <w:lang w:eastAsia="cs-CZ"/>
              </w:rPr>
            </w:pPr>
            <w:r w:rsidRPr="008A5408">
              <w:rPr>
                <w:rFonts w:ascii="Calibri" w:hAnsi="Calibri" w:cs="Calibri"/>
                <w:color w:val="000000"/>
                <w:sz w:val="24"/>
                <w:szCs w:val="24"/>
              </w:rPr>
              <w:t>Generální ředitelství cel</w:t>
            </w:r>
          </w:p>
        </w:tc>
      </w:tr>
      <w:tr w:rsidR="008A5408" w:rsidRPr="00C47E97" w14:paraId="36B61DAF" w14:textId="77777777" w:rsidTr="00086F0E">
        <w:trPr>
          <w:trHeight w:val="397"/>
        </w:trPr>
        <w:tc>
          <w:tcPr>
            <w:tcW w:w="2547" w:type="dxa"/>
            <w:vAlign w:val="center"/>
          </w:tcPr>
          <w:p w14:paraId="796A55CD" w14:textId="77777777" w:rsidR="008A5408" w:rsidRPr="008A5408" w:rsidRDefault="008A5408" w:rsidP="008A5408">
            <w:pPr>
              <w:jc w:val="both"/>
              <w:rPr>
                <w:rFonts w:cstheme="minorHAnsi"/>
                <w:sz w:val="24"/>
                <w:szCs w:val="24"/>
                <w:lang w:eastAsia="cs-CZ"/>
              </w:rPr>
            </w:pPr>
            <w:r w:rsidRPr="008A5408">
              <w:rPr>
                <w:rFonts w:ascii="Calibri" w:hAnsi="Calibri" w:cs="Calibri"/>
                <w:color w:val="000000"/>
                <w:sz w:val="24"/>
                <w:szCs w:val="24"/>
              </w:rPr>
              <w:t>KH</w:t>
            </w:r>
          </w:p>
        </w:tc>
        <w:tc>
          <w:tcPr>
            <w:tcW w:w="6662" w:type="dxa"/>
            <w:vAlign w:val="center"/>
          </w:tcPr>
          <w:p w14:paraId="7F6A93D4" w14:textId="32798DB1" w:rsidR="008A5408" w:rsidRPr="008A5408" w:rsidRDefault="004031A7" w:rsidP="00086F0E">
            <w:pPr>
              <w:ind w:left="174"/>
              <w:jc w:val="both"/>
              <w:rPr>
                <w:rFonts w:cstheme="minorHAnsi"/>
                <w:sz w:val="24"/>
                <w:szCs w:val="24"/>
                <w:lang w:eastAsia="cs-CZ"/>
              </w:rPr>
            </w:pPr>
            <w:r>
              <w:rPr>
                <w:rFonts w:ascii="Calibri" w:hAnsi="Calibri" w:cs="Calibri"/>
                <w:color w:val="000000"/>
                <w:sz w:val="24"/>
                <w:szCs w:val="24"/>
              </w:rPr>
              <w:t>k</w:t>
            </w:r>
            <w:r w:rsidR="008A5408" w:rsidRPr="008A5408">
              <w:rPr>
                <w:rFonts w:ascii="Calibri" w:hAnsi="Calibri" w:cs="Calibri"/>
                <w:color w:val="000000"/>
                <w:sz w:val="24"/>
                <w:szCs w:val="24"/>
              </w:rPr>
              <w:t>ontrolní hlášení</w:t>
            </w:r>
          </w:p>
        </w:tc>
      </w:tr>
      <w:tr w:rsidR="008A5408" w:rsidRPr="00C47E97" w14:paraId="3AE17B40" w14:textId="77777777" w:rsidTr="00086F0E">
        <w:trPr>
          <w:trHeight w:val="397"/>
        </w:trPr>
        <w:tc>
          <w:tcPr>
            <w:tcW w:w="2547" w:type="dxa"/>
            <w:vAlign w:val="center"/>
          </w:tcPr>
          <w:p w14:paraId="039D8B2F" w14:textId="77777777" w:rsidR="008A5408" w:rsidRPr="008A5408" w:rsidRDefault="008A5408" w:rsidP="008A5408">
            <w:pPr>
              <w:jc w:val="both"/>
              <w:rPr>
                <w:rFonts w:cstheme="minorHAnsi"/>
                <w:sz w:val="24"/>
                <w:szCs w:val="24"/>
                <w:lang w:eastAsia="cs-CZ"/>
              </w:rPr>
            </w:pPr>
            <w:r w:rsidRPr="008A5408">
              <w:rPr>
                <w:rFonts w:ascii="Calibri" w:hAnsi="Calibri" w:cs="Calibri"/>
                <w:color w:val="000000"/>
                <w:sz w:val="24"/>
                <w:szCs w:val="24"/>
              </w:rPr>
              <w:t>MF</w:t>
            </w:r>
          </w:p>
        </w:tc>
        <w:tc>
          <w:tcPr>
            <w:tcW w:w="6662" w:type="dxa"/>
            <w:vAlign w:val="center"/>
          </w:tcPr>
          <w:p w14:paraId="4DF13DED" w14:textId="77777777" w:rsidR="008A5408" w:rsidRPr="008A5408" w:rsidRDefault="008A5408" w:rsidP="00086F0E">
            <w:pPr>
              <w:ind w:left="174"/>
              <w:jc w:val="both"/>
              <w:rPr>
                <w:rFonts w:cstheme="minorHAnsi"/>
                <w:sz w:val="24"/>
                <w:szCs w:val="24"/>
                <w:lang w:eastAsia="cs-CZ"/>
              </w:rPr>
            </w:pPr>
            <w:r w:rsidRPr="008A5408">
              <w:rPr>
                <w:rFonts w:ascii="Calibri" w:hAnsi="Calibri" w:cs="Calibri"/>
                <w:color w:val="000000"/>
                <w:sz w:val="24"/>
                <w:szCs w:val="24"/>
              </w:rPr>
              <w:t>Ministerstvo financí</w:t>
            </w:r>
          </w:p>
        </w:tc>
      </w:tr>
      <w:tr w:rsidR="004031A7" w:rsidRPr="00C47E97" w14:paraId="2942E820" w14:textId="77777777" w:rsidTr="00086F0E">
        <w:trPr>
          <w:trHeight w:val="397"/>
        </w:trPr>
        <w:tc>
          <w:tcPr>
            <w:tcW w:w="2547" w:type="dxa"/>
            <w:vAlign w:val="center"/>
          </w:tcPr>
          <w:p w14:paraId="3FC8FC3C" w14:textId="7FCF95A6" w:rsidR="004031A7" w:rsidRPr="008A5408" w:rsidRDefault="004031A7" w:rsidP="008A5408">
            <w:pPr>
              <w:jc w:val="both"/>
              <w:rPr>
                <w:rFonts w:ascii="Calibri" w:hAnsi="Calibri" w:cs="Calibri"/>
                <w:color w:val="000000"/>
                <w:sz w:val="24"/>
                <w:szCs w:val="24"/>
              </w:rPr>
            </w:pPr>
            <w:r>
              <w:rPr>
                <w:rFonts w:ascii="Calibri" w:hAnsi="Calibri" w:cs="Calibri"/>
                <w:color w:val="000000"/>
                <w:sz w:val="24"/>
                <w:szCs w:val="24"/>
              </w:rPr>
              <w:t>NACE</w:t>
            </w:r>
          </w:p>
        </w:tc>
        <w:tc>
          <w:tcPr>
            <w:tcW w:w="6662" w:type="dxa"/>
            <w:vAlign w:val="center"/>
          </w:tcPr>
          <w:p w14:paraId="1C815913" w14:textId="0370E896" w:rsidR="004031A7" w:rsidRPr="008A5408" w:rsidRDefault="000E0E48" w:rsidP="00086F0E">
            <w:pPr>
              <w:ind w:left="174"/>
              <w:jc w:val="both"/>
              <w:rPr>
                <w:rFonts w:ascii="Calibri" w:hAnsi="Calibri" w:cs="Calibri"/>
                <w:color w:val="000000"/>
                <w:sz w:val="24"/>
                <w:szCs w:val="24"/>
              </w:rPr>
            </w:pPr>
            <w:r>
              <w:rPr>
                <w:rFonts w:ascii="Calibri" w:hAnsi="Calibri" w:cs="Calibri"/>
                <w:color w:val="000000"/>
                <w:sz w:val="24"/>
                <w:szCs w:val="24"/>
              </w:rPr>
              <w:t>klasifikace ekonomických činností (obory činnosti)</w:t>
            </w:r>
          </w:p>
        </w:tc>
      </w:tr>
      <w:tr w:rsidR="008A5408" w:rsidRPr="00C47E97" w14:paraId="234F7EBC" w14:textId="77777777" w:rsidTr="00086F0E">
        <w:trPr>
          <w:trHeight w:val="397"/>
        </w:trPr>
        <w:tc>
          <w:tcPr>
            <w:tcW w:w="2547" w:type="dxa"/>
            <w:vAlign w:val="center"/>
          </w:tcPr>
          <w:p w14:paraId="77420B08" w14:textId="77777777" w:rsidR="008A5408" w:rsidRPr="008A5408" w:rsidRDefault="008A5408" w:rsidP="008A5408">
            <w:pPr>
              <w:jc w:val="both"/>
              <w:rPr>
                <w:rFonts w:cstheme="minorHAnsi"/>
                <w:sz w:val="24"/>
                <w:szCs w:val="24"/>
                <w:lang w:eastAsia="cs-CZ"/>
              </w:rPr>
            </w:pPr>
            <w:r w:rsidRPr="008A5408">
              <w:rPr>
                <w:rFonts w:ascii="Calibri" w:hAnsi="Calibri" w:cs="Calibri"/>
                <w:color w:val="000000"/>
                <w:sz w:val="24"/>
                <w:szCs w:val="24"/>
              </w:rPr>
              <w:t>NKÚ</w:t>
            </w:r>
          </w:p>
        </w:tc>
        <w:tc>
          <w:tcPr>
            <w:tcW w:w="6662" w:type="dxa"/>
            <w:vAlign w:val="center"/>
          </w:tcPr>
          <w:p w14:paraId="3BAE285E" w14:textId="77777777" w:rsidR="008A5408" w:rsidRPr="008A5408" w:rsidRDefault="008A5408" w:rsidP="00086F0E">
            <w:pPr>
              <w:ind w:left="174"/>
              <w:jc w:val="both"/>
              <w:rPr>
                <w:rFonts w:cstheme="minorHAnsi"/>
                <w:sz w:val="24"/>
                <w:szCs w:val="24"/>
                <w:lang w:eastAsia="cs-CZ"/>
              </w:rPr>
            </w:pPr>
            <w:r w:rsidRPr="008A5408">
              <w:rPr>
                <w:rFonts w:ascii="Calibri" w:hAnsi="Calibri" w:cs="Calibri"/>
                <w:color w:val="000000"/>
                <w:sz w:val="24"/>
                <w:szCs w:val="24"/>
              </w:rPr>
              <w:t>Nejvyšší kontrolní úřad</w:t>
            </w:r>
          </w:p>
        </w:tc>
      </w:tr>
      <w:tr w:rsidR="0032644B" w:rsidRPr="00C47E97" w14:paraId="3C0CB5D1" w14:textId="77777777" w:rsidTr="00086F0E">
        <w:trPr>
          <w:trHeight w:val="397"/>
        </w:trPr>
        <w:tc>
          <w:tcPr>
            <w:tcW w:w="2547" w:type="dxa"/>
            <w:vAlign w:val="center"/>
          </w:tcPr>
          <w:p w14:paraId="3A438CC1" w14:textId="02BF85EF" w:rsidR="0032644B" w:rsidRPr="008A5408" w:rsidRDefault="0032644B" w:rsidP="008A5408">
            <w:pPr>
              <w:jc w:val="both"/>
              <w:rPr>
                <w:rFonts w:ascii="Calibri" w:hAnsi="Calibri" w:cs="Calibri"/>
                <w:color w:val="000000"/>
                <w:sz w:val="24"/>
                <w:szCs w:val="24"/>
              </w:rPr>
            </w:pPr>
            <w:r w:rsidRPr="0032644B">
              <w:rPr>
                <w:rFonts w:ascii="Calibri" w:hAnsi="Calibri" w:cs="Calibri"/>
                <w:color w:val="000000"/>
                <w:sz w:val="24"/>
                <w:szCs w:val="24"/>
              </w:rPr>
              <w:t>NO</w:t>
            </w:r>
          </w:p>
        </w:tc>
        <w:tc>
          <w:tcPr>
            <w:tcW w:w="6662" w:type="dxa"/>
            <w:vAlign w:val="center"/>
          </w:tcPr>
          <w:p w14:paraId="4C7B94EA" w14:textId="7C3D8787" w:rsidR="0032644B" w:rsidRPr="008A5408" w:rsidRDefault="004031A7" w:rsidP="00086F0E">
            <w:pPr>
              <w:ind w:left="174"/>
              <w:jc w:val="both"/>
              <w:rPr>
                <w:rFonts w:ascii="Calibri" w:hAnsi="Calibri" w:cs="Calibri"/>
                <w:color w:val="000000"/>
                <w:sz w:val="24"/>
                <w:szCs w:val="24"/>
              </w:rPr>
            </w:pPr>
            <w:r>
              <w:rPr>
                <w:rFonts w:ascii="Calibri" w:hAnsi="Calibri" w:cs="Calibri"/>
                <w:color w:val="000000"/>
                <w:sz w:val="24"/>
                <w:szCs w:val="24"/>
              </w:rPr>
              <w:t>n</w:t>
            </w:r>
            <w:r w:rsidR="0032644B">
              <w:rPr>
                <w:rFonts w:ascii="Calibri" w:hAnsi="Calibri" w:cs="Calibri"/>
                <w:color w:val="000000"/>
                <w:sz w:val="24"/>
                <w:szCs w:val="24"/>
              </w:rPr>
              <w:t>adměrný odpočet</w:t>
            </w:r>
          </w:p>
        </w:tc>
      </w:tr>
      <w:tr w:rsidR="008A5408" w:rsidRPr="00C47E97" w14:paraId="06D36DCB" w14:textId="77777777" w:rsidTr="00086F0E">
        <w:trPr>
          <w:trHeight w:val="397"/>
        </w:trPr>
        <w:tc>
          <w:tcPr>
            <w:tcW w:w="2547" w:type="dxa"/>
            <w:vAlign w:val="center"/>
          </w:tcPr>
          <w:p w14:paraId="3BBDAAF1" w14:textId="5906C0FF" w:rsidR="008A5408" w:rsidRPr="008A5408" w:rsidRDefault="008A5408" w:rsidP="008A5408">
            <w:pPr>
              <w:jc w:val="both"/>
              <w:rPr>
                <w:rFonts w:cstheme="minorHAnsi"/>
                <w:sz w:val="24"/>
                <w:szCs w:val="24"/>
                <w:lang w:eastAsia="cs-CZ"/>
              </w:rPr>
            </w:pPr>
            <w:r w:rsidRPr="008A5408">
              <w:rPr>
                <w:rFonts w:ascii="Calibri" w:hAnsi="Calibri" w:cs="Calibri"/>
                <w:color w:val="000000"/>
                <w:sz w:val="24"/>
                <w:szCs w:val="24"/>
              </w:rPr>
              <w:t>PO</w:t>
            </w:r>
          </w:p>
        </w:tc>
        <w:tc>
          <w:tcPr>
            <w:tcW w:w="6662" w:type="dxa"/>
            <w:vAlign w:val="center"/>
          </w:tcPr>
          <w:p w14:paraId="7653C5AD" w14:textId="5F854A24" w:rsidR="008A5408" w:rsidRPr="008A5408" w:rsidRDefault="004031A7" w:rsidP="00086F0E">
            <w:pPr>
              <w:ind w:left="174"/>
              <w:jc w:val="both"/>
              <w:rPr>
                <w:rFonts w:cstheme="minorHAnsi"/>
                <w:sz w:val="24"/>
                <w:szCs w:val="24"/>
                <w:lang w:eastAsia="cs-CZ"/>
              </w:rPr>
            </w:pPr>
            <w:r>
              <w:rPr>
                <w:rFonts w:ascii="Calibri" w:hAnsi="Calibri" w:cs="Calibri"/>
                <w:color w:val="000000"/>
                <w:sz w:val="24"/>
                <w:szCs w:val="24"/>
              </w:rPr>
              <w:t>p</w:t>
            </w:r>
            <w:r w:rsidR="008A5408" w:rsidRPr="008A5408">
              <w:rPr>
                <w:rFonts w:ascii="Calibri" w:hAnsi="Calibri" w:cs="Calibri"/>
                <w:color w:val="000000"/>
                <w:sz w:val="24"/>
                <w:szCs w:val="24"/>
              </w:rPr>
              <w:t>rávnická osoba</w:t>
            </w:r>
          </w:p>
        </w:tc>
      </w:tr>
      <w:tr w:rsidR="004031A7" w:rsidRPr="00C47E97" w14:paraId="4A28B77E" w14:textId="77777777" w:rsidTr="00086F0E">
        <w:trPr>
          <w:trHeight w:val="397"/>
        </w:trPr>
        <w:tc>
          <w:tcPr>
            <w:tcW w:w="2547" w:type="dxa"/>
            <w:vAlign w:val="center"/>
          </w:tcPr>
          <w:p w14:paraId="041D1AC2" w14:textId="17E8B663" w:rsidR="004031A7" w:rsidRPr="008A5408" w:rsidRDefault="004031A7" w:rsidP="008A5408">
            <w:pPr>
              <w:jc w:val="both"/>
              <w:rPr>
                <w:rFonts w:ascii="Calibri" w:hAnsi="Calibri" w:cs="Calibri"/>
                <w:color w:val="000000"/>
                <w:sz w:val="24"/>
                <w:szCs w:val="24"/>
              </w:rPr>
            </w:pPr>
            <w:r>
              <w:rPr>
                <w:rFonts w:ascii="Calibri" w:hAnsi="Calibri" w:cs="Calibri"/>
                <w:color w:val="000000"/>
                <w:sz w:val="24"/>
                <w:szCs w:val="24"/>
              </w:rPr>
              <w:t>RIA</w:t>
            </w:r>
          </w:p>
        </w:tc>
        <w:tc>
          <w:tcPr>
            <w:tcW w:w="6662" w:type="dxa"/>
            <w:vAlign w:val="center"/>
          </w:tcPr>
          <w:p w14:paraId="6B983B52" w14:textId="37342C09" w:rsidR="004031A7" w:rsidRPr="008A5408" w:rsidDel="004031A7" w:rsidRDefault="000E0E48" w:rsidP="00086F0E">
            <w:pPr>
              <w:ind w:left="174"/>
              <w:jc w:val="both"/>
              <w:rPr>
                <w:rFonts w:ascii="Calibri" w:hAnsi="Calibri" w:cs="Calibri"/>
                <w:color w:val="000000"/>
                <w:sz w:val="24"/>
                <w:szCs w:val="24"/>
              </w:rPr>
            </w:pPr>
            <w:r>
              <w:rPr>
                <w:rFonts w:ascii="Calibri" w:hAnsi="Calibri" w:cs="Calibri"/>
                <w:color w:val="000000"/>
                <w:sz w:val="24"/>
                <w:szCs w:val="24"/>
              </w:rPr>
              <w:t>závěrečná zpráva z hodnocení dopadů regulace</w:t>
            </w:r>
          </w:p>
        </w:tc>
      </w:tr>
      <w:tr w:rsidR="005571ED" w:rsidRPr="00C47E97" w14:paraId="445CB1C9" w14:textId="1AF2A8A8" w:rsidTr="00086F0E">
        <w:trPr>
          <w:trHeight w:val="397"/>
        </w:trPr>
        <w:tc>
          <w:tcPr>
            <w:tcW w:w="2547" w:type="dxa"/>
            <w:vAlign w:val="center"/>
          </w:tcPr>
          <w:p w14:paraId="7827C69B" w14:textId="06F2DE96" w:rsidR="005571ED" w:rsidRPr="008A5408" w:rsidRDefault="00D3166C" w:rsidP="00B00C3C">
            <w:pPr>
              <w:rPr>
                <w:rFonts w:ascii="Calibri" w:hAnsi="Calibri" w:cs="Calibri"/>
                <w:color w:val="000000"/>
                <w:sz w:val="24"/>
                <w:szCs w:val="24"/>
              </w:rPr>
            </w:pPr>
            <w:r>
              <w:rPr>
                <w:rFonts w:ascii="Calibri" w:hAnsi="Calibri" w:cs="Calibri"/>
                <w:color w:val="000000"/>
                <w:sz w:val="24"/>
                <w:szCs w:val="24"/>
              </w:rPr>
              <w:t>p</w:t>
            </w:r>
            <w:r w:rsidR="005571ED">
              <w:rPr>
                <w:rFonts w:ascii="Calibri" w:hAnsi="Calibri" w:cs="Calibri"/>
                <w:color w:val="000000"/>
                <w:sz w:val="24"/>
                <w:szCs w:val="24"/>
              </w:rPr>
              <w:t>ozastavení EET</w:t>
            </w:r>
            <w:r w:rsidR="00DC63F5">
              <w:rPr>
                <w:rFonts w:ascii="Calibri" w:hAnsi="Calibri" w:cs="Calibri"/>
                <w:color w:val="000000"/>
                <w:sz w:val="24"/>
                <w:szCs w:val="24"/>
              </w:rPr>
              <w:t xml:space="preserve"> nebo pozastavení povinnosti evidovat tržby</w:t>
            </w:r>
          </w:p>
        </w:tc>
        <w:tc>
          <w:tcPr>
            <w:tcW w:w="6662" w:type="dxa"/>
          </w:tcPr>
          <w:p w14:paraId="28FB1B8D" w14:textId="2830A937" w:rsidR="005571ED" w:rsidRPr="008A5408" w:rsidRDefault="00D3166C" w:rsidP="00086F0E">
            <w:pPr>
              <w:ind w:left="174"/>
              <w:rPr>
                <w:rFonts w:ascii="Calibri" w:hAnsi="Calibri" w:cs="Calibri"/>
                <w:color w:val="000000"/>
                <w:sz w:val="24"/>
                <w:szCs w:val="24"/>
              </w:rPr>
            </w:pPr>
            <w:r>
              <w:rPr>
                <w:rFonts w:ascii="Calibri" w:hAnsi="Calibri" w:cs="Calibri"/>
                <w:color w:val="000000"/>
                <w:sz w:val="24"/>
                <w:szCs w:val="24"/>
              </w:rPr>
              <w:t>po</w:t>
            </w:r>
            <w:r w:rsidR="005571ED" w:rsidRPr="005571ED">
              <w:rPr>
                <w:rFonts w:ascii="Calibri" w:hAnsi="Calibri" w:cs="Calibri"/>
                <w:color w:val="000000"/>
                <w:sz w:val="24"/>
                <w:szCs w:val="24"/>
              </w:rPr>
              <w:t>zastavení povinnosti EET pro již povinné subjekty a odklad povinnosti EET pro subjekty 3. a 4. vlny</w:t>
            </w:r>
          </w:p>
        </w:tc>
      </w:tr>
      <w:tr w:rsidR="008A5408" w:rsidRPr="00C47E97" w14:paraId="48742C37" w14:textId="77777777" w:rsidTr="00086F0E">
        <w:trPr>
          <w:trHeight w:val="397"/>
        </w:trPr>
        <w:tc>
          <w:tcPr>
            <w:tcW w:w="2547" w:type="dxa"/>
            <w:vAlign w:val="center"/>
          </w:tcPr>
          <w:p w14:paraId="331D4363" w14:textId="21FB4E88" w:rsidR="008A5408" w:rsidRPr="008A5408" w:rsidRDefault="004031A7" w:rsidP="008A5408">
            <w:pPr>
              <w:jc w:val="both"/>
              <w:rPr>
                <w:rFonts w:cstheme="minorHAnsi"/>
                <w:sz w:val="24"/>
                <w:szCs w:val="24"/>
                <w:lang w:eastAsia="cs-CZ"/>
              </w:rPr>
            </w:pPr>
            <w:r>
              <w:rPr>
                <w:rFonts w:ascii="Calibri" w:hAnsi="Calibri" w:cs="Calibri"/>
                <w:color w:val="000000"/>
                <w:sz w:val="24"/>
                <w:szCs w:val="24"/>
              </w:rPr>
              <w:t>z</w:t>
            </w:r>
            <w:r w:rsidR="008A5408" w:rsidRPr="008A5408">
              <w:rPr>
                <w:rFonts w:ascii="Calibri" w:hAnsi="Calibri" w:cs="Calibri"/>
                <w:color w:val="000000"/>
                <w:sz w:val="24"/>
                <w:szCs w:val="24"/>
              </w:rPr>
              <w:t>ákon o DPH</w:t>
            </w:r>
          </w:p>
        </w:tc>
        <w:tc>
          <w:tcPr>
            <w:tcW w:w="6662" w:type="dxa"/>
            <w:vAlign w:val="center"/>
          </w:tcPr>
          <w:p w14:paraId="04AEFEDE" w14:textId="0E82A212" w:rsidR="008A5408" w:rsidRPr="008A5408" w:rsidRDefault="004031A7" w:rsidP="00086F0E">
            <w:pPr>
              <w:ind w:left="174"/>
              <w:jc w:val="both"/>
              <w:rPr>
                <w:rFonts w:cstheme="minorHAnsi"/>
                <w:sz w:val="24"/>
                <w:szCs w:val="24"/>
                <w:lang w:eastAsia="cs-CZ"/>
              </w:rPr>
            </w:pPr>
            <w:r>
              <w:rPr>
                <w:rFonts w:ascii="Calibri" w:hAnsi="Calibri" w:cs="Calibri"/>
                <w:color w:val="000000"/>
                <w:sz w:val="24"/>
                <w:szCs w:val="24"/>
              </w:rPr>
              <w:t>z</w:t>
            </w:r>
            <w:r w:rsidR="008A5408" w:rsidRPr="008A5408">
              <w:rPr>
                <w:rFonts w:ascii="Calibri" w:hAnsi="Calibri" w:cs="Calibri"/>
                <w:color w:val="000000"/>
                <w:sz w:val="24"/>
                <w:szCs w:val="24"/>
              </w:rPr>
              <w:t xml:space="preserve">ákon č. 235/2004 Sb., o dani z přidané hodnoty </w:t>
            </w:r>
          </w:p>
        </w:tc>
      </w:tr>
      <w:tr w:rsidR="008A5408" w:rsidRPr="00C47E97" w14:paraId="311C91C4" w14:textId="77777777" w:rsidTr="00086F0E">
        <w:trPr>
          <w:trHeight w:val="397"/>
        </w:trPr>
        <w:tc>
          <w:tcPr>
            <w:tcW w:w="2547" w:type="dxa"/>
            <w:vAlign w:val="center"/>
          </w:tcPr>
          <w:p w14:paraId="2BD12235" w14:textId="6B4451EC" w:rsidR="008A5408" w:rsidRPr="008A5408" w:rsidRDefault="004031A7" w:rsidP="008A5408">
            <w:pPr>
              <w:jc w:val="both"/>
              <w:rPr>
                <w:rFonts w:cstheme="minorHAnsi"/>
                <w:sz w:val="24"/>
                <w:szCs w:val="24"/>
                <w:lang w:eastAsia="cs-CZ"/>
              </w:rPr>
            </w:pPr>
            <w:r>
              <w:rPr>
                <w:rFonts w:ascii="Calibri" w:hAnsi="Calibri" w:cs="Calibri"/>
                <w:color w:val="000000"/>
                <w:sz w:val="24"/>
                <w:szCs w:val="24"/>
              </w:rPr>
              <w:t>z</w:t>
            </w:r>
            <w:r w:rsidR="008A5408" w:rsidRPr="008A5408">
              <w:rPr>
                <w:rFonts w:ascii="Calibri" w:hAnsi="Calibri" w:cs="Calibri"/>
                <w:color w:val="000000"/>
                <w:sz w:val="24"/>
                <w:szCs w:val="24"/>
              </w:rPr>
              <w:t>ákon o EET</w:t>
            </w:r>
          </w:p>
        </w:tc>
        <w:tc>
          <w:tcPr>
            <w:tcW w:w="6662" w:type="dxa"/>
            <w:vAlign w:val="center"/>
          </w:tcPr>
          <w:p w14:paraId="111A1822" w14:textId="74316FF0" w:rsidR="008A5408" w:rsidRPr="008A5408" w:rsidRDefault="004031A7" w:rsidP="00086F0E">
            <w:pPr>
              <w:ind w:left="174"/>
              <w:jc w:val="both"/>
              <w:rPr>
                <w:rFonts w:cstheme="minorHAnsi"/>
                <w:sz w:val="24"/>
                <w:szCs w:val="24"/>
                <w:lang w:eastAsia="cs-CZ"/>
              </w:rPr>
            </w:pPr>
            <w:r>
              <w:rPr>
                <w:rFonts w:ascii="Calibri" w:hAnsi="Calibri" w:cs="Calibri"/>
                <w:color w:val="000000"/>
                <w:sz w:val="24"/>
                <w:szCs w:val="24"/>
              </w:rPr>
              <w:t>z</w:t>
            </w:r>
            <w:r w:rsidR="008A5408" w:rsidRPr="008A5408">
              <w:rPr>
                <w:rFonts w:ascii="Calibri" w:hAnsi="Calibri" w:cs="Calibri"/>
                <w:color w:val="000000"/>
                <w:sz w:val="24"/>
                <w:szCs w:val="24"/>
              </w:rPr>
              <w:t>ákon č. 112/20</w:t>
            </w:r>
            <w:r w:rsidR="000C561B">
              <w:rPr>
                <w:rFonts w:ascii="Calibri" w:hAnsi="Calibri" w:cs="Calibri"/>
                <w:color w:val="000000"/>
                <w:sz w:val="24"/>
                <w:szCs w:val="24"/>
              </w:rPr>
              <w:t>1</w:t>
            </w:r>
            <w:r w:rsidR="008A5408" w:rsidRPr="008A5408">
              <w:rPr>
                <w:rFonts w:ascii="Calibri" w:hAnsi="Calibri" w:cs="Calibri"/>
                <w:color w:val="000000"/>
                <w:sz w:val="24"/>
                <w:szCs w:val="24"/>
              </w:rPr>
              <w:t>6 Sb., o evidenci tržeb</w:t>
            </w:r>
          </w:p>
        </w:tc>
      </w:tr>
    </w:tbl>
    <w:p w14:paraId="3010D5A2" w14:textId="77777777" w:rsidR="00DE3820" w:rsidRPr="00C47E97" w:rsidRDefault="00DE3820">
      <w:pPr>
        <w:rPr>
          <w:rFonts w:cstheme="minorHAnsi"/>
          <w:b/>
          <w:bCs/>
          <w:sz w:val="24"/>
          <w:szCs w:val="24"/>
          <w:lang w:eastAsia="cs-CZ"/>
        </w:rPr>
      </w:pPr>
      <w:r w:rsidRPr="00C47E97">
        <w:rPr>
          <w:rFonts w:cstheme="minorHAnsi"/>
          <w:b/>
          <w:bCs/>
          <w:sz w:val="24"/>
          <w:szCs w:val="24"/>
          <w:lang w:eastAsia="cs-CZ"/>
        </w:rPr>
        <w:br w:type="page"/>
      </w:r>
    </w:p>
    <w:p w14:paraId="10E081FE" w14:textId="77777777" w:rsidR="00525A43" w:rsidRDefault="00F00464" w:rsidP="00B351DB">
      <w:pPr>
        <w:spacing w:line="240" w:lineRule="auto"/>
        <w:jc w:val="both"/>
        <w:rPr>
          <w:rFonts w:cstheme="minorHAnsi"/>
          <w:b/>
          <w:bCs/>
          <w:sz w:val="24"/>
          <w:szCs w:val="24"/>
          <w:lang w:eastAsia="cs-CZ"/>
        </w:rPr>
      </w:pPr>
      <w:r w:rsidRPr="00C47E97">
        <w:rPr>
          <w:rFonts w:cstheme="minorHAnsi"/>
          <w:b/>
          <w:bCs/>
          <w:sz w:val="24"/>
          <w:szCs w:val="24"/>
          <w:lang w:eastAsia="cs-CZ"/>
        </w:rPr>
        <w:lastRenderedPageBreak/>
        <w:t>Příloha č. 1</w:t>
      </w:r>
    </w:p>
    <w:p w14:paraId="2B992C5C" w14:textId="77777777" w:rsidR="00C07857" w:rsidRDefault="00C07857" w:rsidP="00B351DB">
      <w:pPr>
        <w:spacing w:line="240" w:lineRule="auto"/>
        <w:jc w:val="both"/>
        <w:rPr>
          <w:rFonts w:cstheme="minorHAnsi"/>
          <w:b/>
          <w:bCs/>
          <w:sz w:val="24"/>
          <w:szCs w:val="24"/>
          <w:lang w:eastAsia="cs-CZ"/>
        </w:rPr>
      </w:pPr>
    </w:p>
    <w:p w14:paraId="0FE7B475" w14:textId="1E87196B" w:rsidR="002B6460" w:rsidRPr="003932D7" w:rsidRDefault="002B6460" w:rsidP="002B6460">
      <w:pPr>
        <w:spacing w:after="0" w:line="240" w:lineRule="auto"/>
        <w:jc w:val="both"/>
        <w:rPr>
          <w:rFonts w:cstheme="minorHAnsi"/>
          <w:b/>
          <w:bCs/>
          <w:sz w:val="24"/>
          <w:szCs w:val="24"/>
          <w:lang w:eastAsia="cs-CZ"/>
        </w:rPr>
      </w:pPr>
      <w:r w:rsidRPr="003932D7">
        <w:rPr>
          <w:rFonts w:cstheme="minorHAnsi"/>
          <w:b/>
          <w:bCs/>
          <w:sz w:val="24"/>
          <w:szCs w:val="24"/>
          <w:lang w:eastAsia="cs-CZ"/>
        </w:rPr>
        <w:t>Tabulka č.</w:t>
      </w:r>
      <w:r w:rsidR="00EE2680">
        <w:rPr>
          <w:rFonts w:cstheme="minorHAnsi"/>
          <w:b/>
          <w:bCs/>
          <w:sz w:val="24"/>
          <w:szCs w:val="24"/>
          <w:lang w:eastAsia="cs-CZ"/>
        </w:rPr>
        <w:t xml:space="preserve"> </w:t>
      </w:r>
      <w:r w:rsidRPr="003932D7">
        <w:rPr>
          <w:rFonts w:cstheme="minorHAnsi"/>
          <w:b/>
          <w:bCs/>
          <w:sz w:val="24"/>
          <w:szCs w:val="24"/>
          <w:lang w:eastAsia="cs-CZ"/>
        </w:rPr>
        <w:t>1</w:t>
      </w:r>
      <w:r w:rsidR="006B3639" w:rsidRPr="003932D7">
        <w:rPr>
          <w:rFonts w:cstheme="minorHAnsi"/>
          <w:b/>
          <w:bCs/>
          <w:sz w:val="24"/>
          <w:szCs w:val="24"/>
          <w:lang w:eastAsia="cs-CZ"/>
        </w:rPr>
        <w:t>:</w:t>
      </w:r>
      <w:r w:rsidRPr="003932D7">
        <w:rPr>
          <w:rFonts w:cstheme="minorHAnsi"/>
          <w:b/>
          <w:bCs/>
          <w:sz w:val="24"/>
          <w:szCs w:val="24"/>
          <w:lang w:eastAsia="cs-CZ"/>
        </w:rPr>
        <w:t xml:space="preserve"> Daňové kontroly FS ČR v letech 2015</w:t>
      </w:r>
      <w:r w:rsidR="006B3639">
        <w:rPr>
          <w:rFonts w:cstheme="minorHAnsi"/>
          <w:b/>
          <w:bCs/>
          <w:sz w:val="24"/>
          <w:szCs w:val="24"/>
          <w:lang w:eastAsia="cs-CZ"/>
        </w:rPr>
        <w:t>–</w:t>
      </w:r>
      <w:r w:rsidRPr="003932D7">
        <w:rPr>
          <w:rFonts w:cstheme="minorHAnsi"/>
          <w:b/>
          <w:bCs/>
          <w:sz w:val="24"/>
          <w:szCs w:val="24"/>
          <w:lang w:eastAsia="cs-CZ"/>
        </w:rPr>
        <w:t>2022</w:t>
      </w:r>
    </w:p>
    <w:tbl>
      <w:tblPr>
        <w:tblW w:w="9500" w:type="dxa"/>
        <w:tblLayout w:type="fixed"/>
        <w:tblCellMar>
          <w:left w:w="70" w:type="dxa"/>
          <w:right w:w="70" w:type="dxa"/>
        </w:tblCellMar>
        <w:tblLook w:val="04A0" w:firstRow="1" w:lastRow="0" w:firstColumn="1" w:lastColumn="0" w:noHBand="0" w:noVBand="1"/>
      </w:tblPr>
      <w:tblGrid>
        <w:gridCol w:w="1115"/>
        <w:gridCol w:w="828"/>
        <w:gridCol w:w="964"/>
        <w:gridCol w:w="969"/>
        <w:gridCol w:w="1644"/>
        <w:gridCol w:w="1514"/>
        <w:gridCol w:w="1246"/>
        <w:gridCol w:w="1220"/>
      </w:tblGrid>
      <w:tr w:rsidR="006B3639" w:rsidRPr="006B3639" w14:paraId="7CEFC4AD" w14:textId="77777777" w:rsidTr="003932D7">
        <w:trPr>
          <w:trHeight w:val="281"/>
        </w:trPr>
        <w:tc>
          <w:tcPr>
            <w:tcW w:w="1115" w:type="dxa"/>
            <w:vMerge w:val="restart"/>
            <w:tcBorders>
              <w:top w:val="single" w:sz="4" w:space="0" w:color="auto"/>
              <w:left w:val="single" w:sz="4" w:space="0" w:color="auto"/>
              <w:bottom w:val="single" w:sz="4" w:space="0" w:color="000000"/>
              <w:right w:val="single" w:sz="4" w:space="0" w:color="auto"/>
            </w:tcBorders>
            <w:shd w:val="clear" w:color="000000" w:fill="E5F1FF"/>
            <w:noWrap/>
            <w:vAlign w:val="center"/>
            <w:hideMark/>
          </w:tcPr>
          <w:p w14:paraId="4702B569" w14:textId="77777777" w:rsidR="002B6460" w:rsidRPr="006B3639" w:rsidRDefault="002B6460" w:rsidP="00D70227">
            <w:pPr>
              <w:spacing w:after="0" w:line="240" w:lineRule="auto"/>
              <w:jc w:val="center"/>
              <w:rPr>
                <w:rFonts w:eastAsia="Times New Roman" w:cstheme="minorHAnsi"/>
                <w:b/>
                <w:bCs/>
                <w:color w:val="000000"/>
                <w:sz w:val="20"/>
                <w:szCs w:val="20"/>
                <w:lang w:eastAsia="cs-CZ"/>
              </w:rPr>
            </w:pPr>
            <w:r w:rsidRPr="006B3639">
              <w:rPr>
                <w:rFonts w:eastAsia="Times New Roman" w:cstheme="minorHAnsi"/>
                <w:b/>
                <w:bCs/>
                <w:color w:val="000000"/>
                <w:sz w:val="20"/>
                <w:szCs w:val="20"/>
                <w:lang w:eastAsia="cs-CZ"/>
              </w:rPr>
              <w:t>Rok</w:t>
            </w:r>
          </w:p>
        </w:tc>
        <w:tc>
          <w:tcPr>
            <w:tcW w:w="8385" w:type="dxa"/>
            <w:gridSpan w:val="7"/>
            <w:tcBorders>
              <w:top w:val="single" w:sz="4" w:space="0" w:color="auto"/>
              <w:left w:val="nil"/>
              <w:bottom w:val="single" w:sz="4" w:space="0" w:color="auto"/>
              <w:right w:val="single" w:sz="4" w:space="0" w:color="000000"/>
            </w:tcBorders>
            <w:shd w:val="clear" w:color="000000" w:fill="E5F1FF"/>
            <w:noWrap/>
            <w:vAlign w:val="center"/>
            <w:hideMark/>
          </w:tcPr>
          <w:p w14:paraId="4DF64CDE" w14:textId="77777777" w:rsidR="002B6460" w:rsidRPr="006B3639" w:rsidRDefault="002B6460" w:rsidP="00D70227">
            <w:pPr>
              <w:spacing w:after="0" w:line="240" w:lineRule="auto"/>
              <w:jc w:val="center"/>
              <w:rPr>
                <w:rFonts w:eastAsia="Times New Roman" w:cstheme="minorHAnsi"/>
                <w:b/>
                <w:bCs/>
                <w:color w:val="000000"/>
                <w:sz w:val="20"/>
                <w:szCs w:val="20"/>
                <w:lang w:eastAsia="cs-CZ"/>
              </w:rPr>
            </w:pPr>
            <w:r w:rsidRPr="006B3639">
              <w:rPr>
                <w:rFonts w:eastAsia="Times New Roman" w:cstheme="minorHAnsi"/>
                <w:b/>
                <w:bCs/>
                <w:color w:val="000000"/>
                <w:sz w:val="20"/>
                <w:szCs w:val="20"/>
                <w:lang w:eastAsia="cs-CZ"/>
              </w:rPr>
              <w:t>Daňová kontrola</w:t>
            </w:r>
          </w:p>
        </w:tc>
      </w:tr>
      <w:tr w:rsidR="006B3639" w:rsidRPr="006B3639" w14:paraId="3C3317B7" w14:textId="77777777" w:rsidTr="003932D7">
        <w:trPr>
          <w:trHeight w:val="281"/>
        </w:trPr>
        <w:tc>
          <w:tcPr>
            <w:tcW w:w="1115" w:type="dxa"/>
            <w:vMerge/>
            <w:tcBorders>
              <w:top w:val="single" w:sz="4" w:space="0" w:color="auto"/>
              <w:left w:val="single" w:sz="4" w:space="0" w:color="auto"/>
              <w:bottom w:val="single" w:sz="4" w:space="0" w:color="000000"/>
              <w:right w:val="single" w:sz="4" w:space="0" w:color="auto"/>
            </w:tcBorders>
            <w:vAlign w:val="center"/>
            <w:hideMark/>
          </w:tcPr>
          <w:p w14:paraId="15590D7F" w14:textId="77777777" w:rsidR="002B6460" w:rsidRPr="006B3639" w:rsidRDefault="002B6460" w:rsidP="00D70227">
            <w:pPr>
              <w:spacing w:after="0" w:line="240" w:lineRule="auto"/>
              <w:rPr>
                <w:rFonts w:eastAsia="Times New Roman" w:cstheme="minorHAnsi"/>
                <w:b/>
                <w:bCs/>
                <w:color w:val="000000"/>
                <w:sz w:val="20"/>
                <w:szCs w:val="20"/>
                <w:lang w:eastAsia="cs-CZ"/>
              </w:rPr>
            </w:pPr>
          </w:p>
        </w:tc>
        <w:tc>
          <w:tcPr>
            <w:tcW w:w="2761" w:type="dxa"/>
            <w:gridSpan w:val="3"/>
            <w:tcBorders>
              <w:top w:val="single" w:sz="4" w:space="0" w:color="auto"/>
              <w:left w:val="nil"/>
              <w:bottom w:val="single" w:sz="4" w:space="0" w:color="auto"/>
              <w:right w:val="nil"/>
            </w:tcBorders>
            <w:shd w:val="clear" w:color="000000" w:fill="E5F1FF"/>
            <w:vAlign w:val="center"/>
            <w:hideMark/>
          </w:tcPr>
          <w:p w14:paraId="1467834D" w14:textId="77777777" w:rsidR="002B6460" w:rsidRPr="006B3639" w:rsidRDefault="002B6460" w:rsidP="00D70227">
            <w:pPr>
              <w:spacing w:after="0" w:line="240" w:lineRule="auto"/>
              <w:jc w:val="center"/>
              <w:rPr>
                <w:rFonts w:eastAsia="Times New Roman" w:cstheme="minorHAnsi"/>
                <w:b/>
                <w:bCs/>
                <w:color w:val="000000"/>
                <w:sz w:val="20"/>
                <w:szCs w:val="20"/>
                <w:lang w:eastAsia="cs-CZ"/>
              </w:rPr>
            </w:pPr>
            <w:r w:rsidRPr="006B3639">
              <w:rPr>
                <w:rFonts w:eastAsia="Times New Roman" w:cstheme="minorHAnsi"/>
                <w:b/>
                <w:bCs/>
                <w:color w:val="000000"/>
                <w:sz w:val="20"/>
                <w:szCs w:val="20"/>
                <w:lang w:eastAsia="cs-CZ"/>
              </w:rPr>
              <w:t>Počet ukončených</w:t>
            </w:r>
          </w:p>
        </w:tc>
        <w:tc>
          <w:tcPr>
            <w:tcW w:w="5624" w:type="dxa"/>
            <w:gridSpan w:val="4"/>
            <w:tcBorders>
              <w:top w:val="single" w:sz="4" w:space="0" w:color="auto"/>
              <w:left w:val="single" w:sz="4" w:space="0" w:color="auto"/>
              <w:bottom w:val="single" w:sz="4" w:space="0" w:color="auto"/>
              <w:right w:val="single" w:sz="4" w:space="0" w:color="000000"/>
            </w:tcBorders>
            <w:shd w:val="clear" w:color="000000" w:fill="E5F1FF"/>
            <w:noWrap/>
            <w:vAlign w:val="center"/>
            <w:hideMark/>
          </w:tcPr>
          <w:p w14:paraId="6224E35B" w14:textId="32C42588" w:rsidR="002B6460" w:rsidRPr="006B3639" w:rsidRDefault="002B6460" w:rsidP="00D70227">
            <w:pPr>
              <w:spacing w:after="0" w:line="240" w:lineRule="auto"/>
              <w:jc w:val="center"/>
              <w:rPr>
                <w:rFonts w:eastAsia="Times New Roman" w:cstheme="minorHAnsi"/>
                <w:b/>
                <w:bCs/>
                <w:color w:val="000000"/>
                <w:sz w:val="20"/>
                <w:szCs w:val="20"/>
                <w:lang w:eastAsia="cs-CZ"/>
              </w:rPr>
            </w:pPr>
            <w:r w:rsidRPr="006B3639">
              <w:rPr>
                <w:rFonts w:eastAsia="Times New Roman" w:cstheme="minorHAnsi"/>
                <w:b/>
                <w:bCs/>
                <w:color w:val="000000"/>
                <w:sz w:val="20"/>
                <w:szCs w:val="20"/>
                <w:lang w:eastAsia="cs-CZ"/>
              </w:rPr>
              <w:t>Doměřená daň v</w:t>
            </w:r>
            <w:r w:rsidR="00B53124">
              <w:rPr>
                <w:rFonts w:eastAsia="Times New Roman" w:cstheme="minorHAnsi"/>
                <w:b/>
                <w:bCs/>
                <w:color w:val="000000"/>
                <w:sz w:val="20"/>
                <w:szCs w:val="20"/>
                <w:lang w:eastAsia="cs-CZ"/>
              </w:rPr>
              <w:t> </w:t>
            </w:r>
            <w:r w:rsidRPr="006B3639">
              <w:rPr>
                <w:rFonts w:eastAsia="Times New Roman" w:cstheme="minorHAnsi"/>
                <w:b/>
                <w:bCs/>
                <w:color w:val="000000"/>
                <w:sz w:val="20"/>
                <w:szCs w:val="20"/>
                <w:lang w:eastAsia="cs-CZ"/>
              </w:rPr>
              <w:t>Kč</w:t>
            </w:r>
          </w:p>
        </w:tc>
      </w:tr>
      <w:tr w:rsidR="006B3639" w:rsidRPr="006B3639" w14:paraId="6599C74D" w14:textId="77777777" w:rsidTr="003932D7">
        <w:trPr>
          <w:trHeight w:val="787"/>
        </w:trPr>
        <w:tc>
          <w:tcPr>
            <w:tcW w:w="1116" w:type="dxa"/>
            <w:vMerge/>
            <w:tcBorders>
              <w:top w:val="single" w:sz="4" w:space="0" w:color="auto"/>
              <w:left w:val="single" w:sz="4" w:space="0" w:color="auto"/>
              <w:bottom w:val="single" w:sz="4" w:space="0" w:color="000000"/>
              <w:right w:val="single" w:sz="4" w:space="0" w:color="auto"/>
            </w:tcBorders>
            <w:vAlign w:val="center"/>
            <w:hideMark/>
          </w:tcPr>
          <w:p w14:paraId="0F219269" w14:textId="77777777" w:rsidR="002B6460" w:rsidRPr="006B3639" w:rsidRDefault="002B6460" w:rsidP="00D70227">
            <w:pPr>
              <w:spacing w:after="0" w:line="240" w:lineRule="auto"/>
              <w:rPr>
                <w:rFonts w:eastAsia="Times New Roman" w:cstheme="minorHAnsi"/>
                <w:b/>
                <w:bCs/>
                <w:color w:val="000000"/>
                <w:sz w:val="20"/>
                <w:szCs w:val="20"/>
                <w:lang w:eastAsia="cs-CZ"/>
              </w:rPr>
            </w:pPr>
          </w:p>
        </w:tc>
        <w:tc>
          <w:tcPr>
            <w:tcW w:w="828" w:type="dxa"/>
            <w:tcBorders>
              <w:top w:val="nil"/>
              <w:left w:val="nil"/>
              <w:bottom w:val="single" w:sz="4" w:space="0" w:color="auto"/>
              <w:right w:val="single" w:sz="4" w:space="0" w:color="auto"/>
            </w:tcBorders>
            <w:shd w:val="clear" w:color="000000" w:fill="E5F1FF"/>
            <w:noWrap/>
            <w:vAlign w:val="center"/>
            <w:hideMark/>
          </w:tcPr>
          <w:p w14:paraId="15FA9233" w14:textId="2909137D" w:rsidR="002B6460" w:rsidRPr="006B3639" w:rsidRDefault="002B6460" w:rsidP="00D70227">
            <w:pPr>
              <w:spacing w:after="0" w:line="240" w:lineRule="auto"/>
              <w:jc w:val="center"/>
              <w:rPr>
                <w:rFonts w:eastAsia="Times New Roman" w:cstheme="minorHAnsi"/>
                <w:b/>
                <w:bCs/>
                <w:color w:val="000000"/>
                <w:sz w:val="20"/>
                <w:szCs w:val="20"/>
                <w:lang w:eastAsia="cs-CZ"/>
              </w:rPr>
            </w:pPr>
            <w:r w:rsidRPr="006B3639">
              <w:rPr>
                <w:rFonts w:eastAsia="Times New Roman" w:cstheme="minorHAnsi"/>
                <w:b/>
                <w:bCs/>
                <w:color w:val="000000"/>
                <w:sz w:val="20"/>
                <w:szCs w:val="20"/>
                <w:lang w:eastAsia="cs-CZ"/>
              </w:rPr>
              <w:t>Celkem</w:t>
            </w:r>
          </w:p>
        </w:tc>
        <w:tc>
          <w:tcPr>
            <w:tcW w:w="964" w:type="dxa"/>
            <w:tcBorders>
              <w:top w:val="nil"/>
              <w:left w:val="nil"/>
              <w:bottom w:val="single" w:sz="4" w:space="0" w:color="auto"/>
              <w:right w:val="single" w:sz="4" w:space="0" w:color="auto"/>
            </w:tcBorders>
            <w:shd w:val="clear" w:color="000000" w:fill="E5F1FF"/>
            <w:noWrap/>
            <w:vAlign w:val="center"/>
            <w:hideMark/>
          </w:tcPr>
          <w:p w14:paraId="48C77004" w14:textId="193A85DB" w:rsidR="002B6460" w:rsidRPr="00B53124" w:rsidRDefault="00C07857" w:rsidP="006B3639">
            <w:pPr>
              <w:spacing w:after="0" w:line="240" w:lineRule="auto"/>
              <w:ind w:left="-36"/>
              <w:jc w:val="center"/>
              <w:rPr>
                <w:rFonts w:eastAsia="Times New Roman" w:cstheme="minorHAnsi"/>
                <w:b/>
                <w:bCs/>
                <w:color w:val="000000"/>
                <w:sz w:val="20"/>
                <w:szCs w:val="20"/>
                <w:lang w:eastAsia="cs-CZ"/>
              </w:rPr>
            </w:pPr>
            <w:r w:rsidRPr="00B53124">
              <w:rPr>
                <w:rFonts w:eastAsia="Times New Roman" w:cstheme="minorHAnsi"/>
                <w:b/>
                <w:bCs/>
                <w:color w:val="000000"/>
                <w:sz w:val="20"/>
                <w:szCs w:val="20"/>
                <w:lang w:eastAsia="cs-CZ"/>
              </w:rPr>
              <w:t>S</w:t>
            </w:r>
            <w:r w:rsidR="006B3639" w:rsidRPr="00B53124">
              <w:rPr>
                <w:rFonts w:eastAsia="Times New Roman" w:cstheme="minorHAnsi"/>
                <w:b/>
                <w:bCs/>
                <w:color w:val="000000"/>
                <w:sz w:val="20"/>
                <w:szCs w:val="20"/>
                <w:lang w:eastAsia="cs-CZ"/>
              </w:rPr>
              <w:t xml:space="preserve"> využitím </w:t>
            </w:r>
            <w:r w:rsidR="002B6460" w:rsidRPr="00B53124">
              <w:rPr>
                <w:rFonts w:eastAsia="Times New Roman" w:cstheme="minorHAnsi"/>
                <w:b/>
                <w:bCs/>
                <w:color w:val="000000"/>
                <w:sz w:val="20"/>
                <w:szCs w:val="20"/>
                <w:lang w:eastAsia="cs-CZ"/>
              </w:rPr>
              <w:t>KH</w:t>
            </w:r>
          </w:p>
        </w:tc>
        <w:tc>
          <w:tcPr>
            <w:tcW w:w="964" w:type="dxa"/>
            <w:tcBorders>
              <w:top w:val="nil"/>
              <w:left w:val="nil"/>
              <w:bottom w:val="single" w:sz="4" w:space="0" w:color="auto"/>
              <w:right w:val="single" w:sz="4" w:space="0" w:color="auto"/>
            </w:tcBorders>
            <w:shd w:val="clear" w:color="000000" w:fill="C6E0B4"/>
            <w:noWrap/>
            <w:vAlign w:val="center"/>
            <w:hideMark/>
          </w:tcPr>
          <w:p w14:paraId="262119DA" w14:textId="252CE674" w:rsidR="002B6460" w:rsidRPr="00B53124" w:rsidRDefault="00B53124" w:rsidP="00932D28">
            <w:pPr>
              <w:spacing w:after="0" w:line="240" w:lineRule="auto"/>
              <w:ind w:left="-142" w:right="-157"/>
              <w:jc w:val="center"/>
              <w:rPr>
                <w:rFonts w:eastAsia="Times New Roman" w:cstheme="minorHAnsi"/>
                <w:b/>
                <w:bCs/>
                <w:color w:val="000000"/>
                <w:sz w:val="20"/>
                <w:szCs w:val="20"/>
                <w:lang w:eastAsia="cs-CZ"/>
              </w:rPr>
            </w:pPr>
            <w:r>
              <w:rPr>
                <w:b/>
                <w:sz w:val="20"/>
                <w:szCs w:val="20"/>
              </w:rPr>
              <w:t>P</w:t>
            </w:r>
            <w:r w:rsidRPr="00B53124">
              <w:rPr>
                <w:b/>
                <w:sz w:val="20"/>
                <w:szCs w:val="20"/>
              </w:rPr>
              <w:t>odíl KH na</w:t>
            </w:r>
            <w:r w:rsidR="00932D28">
              <w:rPr>
                <w:b/>
                <w:sz w:val="20"/>
                <w:szCs w:val="20"/>
              </w:rPr>
              <w:t> </w:t>
            </w:r>
            <w:r w:rsidRPr="00B53124">
              <w:rPr>
                <w:b/>
                <w:sz w:val="20"/>
                <w:szCs w:val="20"/>
              </w:rPr>
              <w:t>celku</w:t>
            </w:r>
          </w:p>
        </w:tc>
        <w:tc>
          <w:tcPr>
            <w:tcW w:w="1645" w:type="dxa"/>
            <w:tcBorders>
              <w:top w:val="nil"/>
              <w:left w:val="nil"/>
              <w:bottom w:val="single" w:sz="4" w:space="0" w:color="auto"/>
              <w:right w:val="single" w:sz="4" w:space="0" w:color="auto"/>
            </w:tcBorders>
            <w:shd w:val="clear" w:color="000000" w:fill="E5F1FF"/>
            <w:noWrap/>
            <w:vAlign w:val="center"/>
            <w:hideMark/>
          </w:tcPr>
          <w:p w14:paraId="5EE99636" w14:textId="77777777" w:rsidR="002B6460" w:rsidRPr="006B3639" w:rsidRDefault="002B6460" w:rsidP="00D70227">
            <w:pPr>
              <w:spacing w:after="0" w:line="240" w:lineRule="auto"/>
              <w:jc w:val="center"/>
              <w:rPr>
                <w:rFonts w:eastAsia="Times New Roman" w:cstheme="minorHAnsi"/>
                <w:b/>
                <w:bCs/>
                <w:color w:val="000000"/>
                <w:sz w:val="20"/>
                <w:szCs w:val="20"/>
                <w:lang w:eastAsia="cs-CZ"/>
              </w:rPr>
            </w:pPr>
            <w:r w:rsidRPr="006B3639">
              <w:rPr>
                <w:rFonts w:eastAsia="Times New Roman" w:cstheme="minorHAnsi"/>
                <w:b/>
                <w:bCs/>
                <w:color w:val="000000"/>
                <w:sz w:val="20"/>
                <w:szCs w:val="20"/>
                <w:lang w:eastAsia="cs-CZ"/>
              </w:rPr>
              <w:t>Celkem</w:t>
            </w:r>
          </w:p>
        </w:tc>
        <w:tc>
          <w:tcPr>
            <w:tcW w:w="1515" w:type="dxa"/>
            <w:tcBorders>
              <w:top w:val="nil"/>
              <w:left w:val="nil"/>
              <w:bottom w:val="single" w:sz="4" w:space="0" w:color="auto"/>
              <w:right w:val="single" w:sz="4" w:space="0" w:color="auto"/>
            </w:tcBorders>
            <w:shd w:val="clear" w:color="000000" w:fill="E5F1FF"/>
            <w:noWrap/>
            <w:vAlign w:val="center"/>
            <w:hideMark/>
          </w:tcPr>
          <w:p w14:paraId="4234838A" w14:textId="3117016D" w:rsidR="002B6460" w:rsidRPr="006B3639" w:rsidRDefault="006B3639" w:rsidP="00D70227">
            <w:pPr>
              <w:spacing w:after="0" w:line="240" w:lineRule="auto"/>
              <w:jc w:val="center"/>
              <w:rPr>
                <w:rFonts w:eastAsia="Times New Roman" w:cstheme="minorHAnsi"/>
                <w:b/>
                <w:bCs/>
                <w:color w:val="000000"/>
                <w:sz w:val="20"/>
                <w:szCs w:val="20"/>
                <w:lang w:eastAsia="cs-CZ"/>
              </w:rPr>
            </w:pPr>
            <w:r w:rsidRPr="006B3639">
              <w:rPr>
                <w:rFonts w:eastAsia="Times New Roman" w:cstheme="minorHAnsi"/>
                <w:b/>
                <w:bCs/>
                <w:color w:val="000000"/>
                <w:sz w:val="20"/>
                <w:szCs w:val="20"/>
                <w:lang w:eastAsia="cs-CZ"/>
              </w:rPr>
              <w:t>Na základě</w:t>
            </w:r>
            <w:r w:rsidR="002B6460" w:rsidRPr="006B3639">
              <w:rPr>
                <w:rFonts w:eastAsia="Times New Roman" w:cstheme="minorHAnsi"/>
                <w:b/>
                <w:bCs/>
                <w:color w:val="000000"/>
                <w:sz w:val="20"/>
                <w:szCs w:val="20"/>
                <w:lang w:eastAsia="cs-CZ"/>
              </w:rPr>
              <w:t xml:space="preserve"> KH</w:t>
            </w:r>
          </w:p>
        </w:tc>
        <w:tc>
          <w:tcPr>
            <w:tcW w:w="1247" w:type="dxa"/>
            <w:tcBorders>
              <w:top w:val="nil"/>
              <w:left w:val="nil"/>
              <w:bottom w:val="single" w:sz="4" w:space="0" w:color="auto"/>
              <w:right w:val="single" w:sz="4" w:space="0" w:color="auto"/>
            </w:tcBorders>
            <w:shd w:val="clear" w:color="000000" w:fill="C6E0B4"/>
            <w:vAlign w:val="center"/>
            <w:hideMark/>
          </w:tcPr>
          <w:p w14:paraId="73A70A83" w14:textId="5A9E9281" w:rsidR="002B6460" w:rsidRPr="006B3639" w:rsidRDefault="006B3639" w:rsidP="00D70227">
            <w:pPr>
              <w:spacing w:after="0" w:line="240" w:lineRule="auto"/>
              <w:jc w:val="center"/>
              <w:rPr>
                <w:rFonts w:eastAsia="Times New Roman" w:cstheme="minorHAnsi"/>
                <w:b/>
                <w:bCs/>
                <w:color w:val="000000"/>
                <w:sz w:val="20"/>
                <w:szCs w:val="20"/>
                <w:lang w:eastAsia="cs-CZ"/>
              </w:rPr>
            </w:pPr>
            <w:r w:rsidRPr="006B3639">
              <w:rPr>
                <w:rFonts w:eastAsia="Times New Roman" w:cstheme="minorHAnsi"/>
                <w:b/>
                <w:bCs/>
                <w:color w:val="000000"/>
                <w:sz w:val="20"/>
                <w:szCs w:val="20"/>
                <w:lang w:eastAsia="cs-CZ"/>
              </w:rPr>
              <w:t>P</w:t>
            </w:r>
            <w:r w:rsidR="002B6460" w:rsidRPr="006B3639">
              <w:rPr>
                <w:rFonts w:eastAsia="Times New Roman" w:cstheme="minorHAnsi"/>
                <w:b/>
                <w:bCs/>
                <w:color w:val="000000"/>
                <w:sz w:val="20"/>
                <w:szCs w:val="20"/>
                <w:lang w:eastAsia="cs-CZ"/>
              </w:rPr>
              <w:t>růměrná doměřená daň bez KH</w:t>
            </w:r>
          </w:p>
        </w:tc>
        <w:tc>
          <w:tcPr>
            <w:tcW w:w="1221" w:type="dxa"/>
            <w:tcBorders>
              <w:top w:val="nil"/>
              <w:left w:val="nil"/>
              <w:bottom w:val="single" w:sz="4" w:space="0" w:color="auto"/>
              <w:right w:val="single" w:sz="4" w:space="0" w:color="auto"/>
            </w:tcBorders>
            <w:shd w:val="clear" w:color="000000" w:fill="C6E0B4"/>
            <w:vAlign w:val="center"/>
            <w:hideMark/>
          </w:tcPr>
          <w:p w14:paraId="6A4B4B6F" w14:textId="10674BE3" w:rsidR="002B6460" w:rsidRPr="006B3639" w:rsidRDefault="006B3639" w:rsidP="00D70227">
            <w:pPr>
              <w:spacing w:after="0" w:line="240" w:lineRule="auto"/>
              <w:jc w:val="center"/>
              <w:rPr>
                <w:rFonts w:eastAsia="Times New Roman" w:cstheme="minorHAnsi"/>
                <w:b/>
                <w:bCs/>
                <w:color w:val="000000"/>
                <w:sz w:val="20"/>
                <w:szCs w:val="20"/>
                <w:lang w:eastAsia="cs-CZ"/>
              </w:rPr>
            </w:pPr>
            <w:r w:rsidRPr="006B3639">
              <w:rPr>
                <w:rFonts w:eastAsia="Times New Roman" w:cstheme="minorHAnsi"/>
                <w:b/>
                <w:bCs/>
                <w:color w:val="000000"/>
                <w:sz w:val="20"/>
                <w:szCs w:val="20"/>
                <w:lang w:eastAsia="cs-CZ"/>
              </w:rPr>
              <w:t>P</w:t>
            </w:r>
            <w:r w:rsidR="002B6460" w:rsidRPr="006B3639">
              <w:rPr>
                <w:rFonts w:eastAsia="Times New Roman" w:cstheme="minorHAnsi"/>
                <w:b/>
                <w:bCs/>
                <w:color w:val="000000"/>
                <w:sz w:val="20"/>
                <w:szCs w:val="20"/>
                <w:lang w:eastAsia="cs-CZ"/>
              </w:rPr>
              <w:t>růměrná doměřená daň z KH</w:t>
            </w:r>
          </w:p>
        </w:tc>
      </w:tr>
      <w:tr w:rsidR="006B3639" w:rsidRPr="006B3639" w14:paraId="06B50D47" w14:textId="77777777" w:rsidTr="003932D7">
        <w:trPr>
          <w:trHeight w:val="281"/>
        </w:trPr>
        <w:tc>
          <w:tcPr>
            <w:tcW w:w="1115" w:type="dxa"/>
            <w:tcBorders>
              <w:top w:val="nil"/>
              <w:left w:val="single" w:sz="4" w:space="0" w:color="auto"/>
              <w:bottom w:val="single" w:sz="4" w:space="0" w:color="auto"/>
              <w:right w:val="single" w:sz="4" w:space="0" w:color="auto"/>
            </w:tcBorders>
            <w:shd w:val="clear" w:color="auto" w:fill="auto"/>
            <w:noWrap/>
            <w:vAlign w:val="bottom"/>
            <w:hideMark/>
          </w:tcPr>
          <w:p w14:paraId="577FB6FA" w14:textId="77777777" w:rsidR="002B6460" w:rsidRPr="006B3639" w:rsidRDefault="002B6460" w:rsidP="00D70227">
            <w:pPr>
              <w:spacing w:after="0" w:line="240" w:lineRule="auto"/>
              <w:jc w:val="center"/>
              <w:rPr>
                <w:rFonts w:eastAsia="Times New Roman" w:cstheme="minorHAnsi"/>
                <w:b/>
                <w:bCs/>
                <w:color w:val="000000"/>
                <w:sz w:val="20"/>
                <w:szCs w:val="20"/>
                <w:lang w:eastAsia="cs-CZ"/>
              </w:rPr>
            </w:pPr>
            <w:r w:rsidRPr="006B3639">
              <w:rPr>
                <w:rFonts w:eastAsia="Times New Roman" w:cstheme="minorHAnsi"/>
                <w:b/>
                <w:bCs/>
                <w:color w:val="000000"/>
                <w:sz w:val="20"/>
                <w:szCs w:val="20"/>
                <w:lang w:eastAsia="cs-CZ"/>
              </w:rPr>
              <w:t>2015</w:t>
            </w:r>
          </w:p>
        </w:tc>
        <w:tc>
          <w:tcPr>
            <w:tcW w:w="828" w:type="dxa"/>
            <w:tcBorders>
              <w:top w:val="nil"/>
              <w:left w:val="nil"/>
              <w:bottom w:val="single" w:sz="4" w:space="0" w:color="auto"/>
              <w:right w:val="single" w:sz="4" w:space="0" w:color="auto"/>
            </w:tcBorders>
            <w:shd w:val="clear" w:color="auto" w:fill="auto"/>
            <w:noWrap/>
            <w:vAlign w:val="bottom"/>
            <w:hideMark/>
          </w:tcPr>
          <w:p w14:paraId="599B8523" w14:textId="77777777" w:rsidR="002B6460" w:rsidRPr="006B3639" w:rsidRDefault="002B6460" w:rsidP="00D70227">
            <w:pPr>
              <w:spacing w:after="0" w:line="240" w:lineRule="auto"/>
              <w:jc w:val="right"/>
              <w:rPr>
                <w:rFonts w:eastAsia="Times New Roman" w:cstheme="minorHAnsi"/>
                <w:color w:val="000000"/>
                <w:sz w:val="20"/>
                <w:szCs w:val="20"/>
                <w:lang w:eastAsia="cs-CZ"/>
              </w:rPr>
            </w:pPr>
            <w:r w:rsidRPr="006B3639">
              <w:rPr>
                <w:rFonts w:eastAsia="Times New Roman" w:cstheme="minorHAnsi"/>
                <w:color w:val="000000"/>
                <w:sz w:val="20"/>
                <w:szCs w:val="20"/>
                <w:lang w:eastAsia="cs-CZ"/>
              </w:rPr>
              <w:t>10 130</w:t>
            </w:r>
          </w:p>
        </w:tc>
        <w:tc>
          <w:tcPr>
            <w:tcW w:w="964" w:type="dxa"/>
            <w:tcBorders>
              <w:top w:val="nil"/>
              <w:left w:val="nil"/>
              <w:bottom w:val="single" w:sz="4" w:space="0" w:color="auto"/>
              <w:right w:val="single" w:sz="4" w:space="0" w:color="auto"/>
            </w:tcBorders>
            <w:shd w:val="clear" w:color="auto" w:fill="auto"/>
            <w:noWrap/>
            <w:vAlign w:val="bottom"/>
            <w:hideMark/>
          </w:tcPr>
          <w:p w14:paraId="3E4F7445" w14:textId="77777777" w:rsidR="002B6460" w:rsidRPr="006B3639" w:rsidRDefault="002B6460" w:rsidP="00D70227">
            <w:pPr>
              <w:spacing w:after="0" w:line="240" w:lineRule="auto"/>
              <w:jc w:val="right"/>
              <w:rPr>
                <w:rFonts w:eastAsia="Times New Roman" w:cstheme="minorHAnsi"/>
                <w:color w:val="000000"/>
                <w:sz w:val="20"/>
                <w:szCs w:val="20"/>
                <w:lang w:eastAsia="cs-CZ"/>
              </w:rPr>
            </w:pPr>
            <w:r w:rsidRPr="006B3639">
              <w:rPr>
                <w:rFonts w:eastAsia="Times New Roman" w:cstheme="minorHAnsi"/>
                <w:color w:val="000000"/>
                <w:sz w:val="20"/>
                <w:szCs w:val="20"/>
                <w:lang w:eastAsia="cs-CZ"/>
              </w:rPr>
              <w:t> </w:t>
            </w:r>
          </w:p>
        </w:tc>
        <w:tc>
          <w:tcPr>
            <w:tcW w:w="969" w:type="dxa"/>
            <w:tcBorders>
              <w:top w:val="nil"/>
              <w:left w:val="nil"/>
              <w:bottom w:val="single" w:sz="4" w:space="0" w:color="auto"/>
              <w:right w:val="single" w:sz="4" w:space="0" w:color="auto"/>
            </w:tcBorders>
            <w:shd w:val="clear" w:color="auto" w:fill="auto"/>
            <w:noWrap/>
            <w:vAlign w:val="bottom"/>
            <w:hideMark/>
          </w:tcPr>
          <w:p w14:paraId="092C4BC5" w14:textId="03DF6792" w:rsidR="002B6460" w:rsidRPr="006B3639" w:rsidRDefault="002B6460" w:rsidP="00C07857">
            <w:pPr>
              <w:spacing w:after="0" w:line="240" w:lineRule="auto"/>
              <w:ind w:right="57"/>
              <w:jc w:val="right"/>
              <w:rPr>
                <w:rFonts w:eastAsia="Times New Roman" w:cstheme="minorHAnsi"/>
                <w:color w:val="000000"/>
                <w:sz w:val="20"/>
                <w:szCs w:val="20"/>
                <w:lang w:eastAsia="cs-CZ"/>
              </w:rPr>
            </w:pPr>
            <w:r w:rsidRPr="006B3639">
              <w:rPr>
                <w:rFonts w:eastAsia="Times New Roman" w:cstheme="minorHAnsi"/>
                <w:color w:val="000000"/>
                <w:sz w:val="20"/>
                <w:szCs w:val="20"/>
                <w:lang w:eastAsia="cs-CZ"/>
              </w:rPr>
              <w:t>0</w:t>
            </w:r>
            <w:r w:rsidR="00C07857">
              <w:rPr>
                <w:rFonts w:eastAsia="Times New Roman" w:cstheme="minorHAnsi"/>
                <w:color w:val="000000"/>
                <w:sz w:val="20"/>
                <w:szCs w:val="20"/>
                <w:lang w:eastAsia="cs-CZ"/>
              </w:rPr>
              <w:t xml:space="preserve"> %</w:t>
            </w:r>
          </w:p>
        </w:tc>
        <w:tc>
          <w:tcPr>
            <w:tcW w:w="1644" w:type="dxa"/>
            <w:tcBorders>
              <w:top w:val="nil"/>
              <w:left w:val="nil"/>
              <w:bottom w:val="single" w:sz="4" w:space="0" w:color="auto"/>
              <w:right w:val="single" w:sz="4" w:space="0" w:color="auto"/>
            </w:tcBorders>
            <w:shd w:val="clear" w:color="auto" w:fill="auto"/>
            <w:noWrap/>
            <w:vAlign w:val="bottom"/>
            <w:hideMark/>
          </w:tcPr>
          <w:p w14:paraId="036369BC" w14:textId="77777777" w:rsidR="002B6460" w:rsidRPr="006B3639" w:rsidRDefault="002B6460" w:rsidP="00D70227">
            <w:pPr>
              <w:spacing w:after="0" w:line="240" w:lineRule="auto"/>
              <w:jc w:val="right"/>
              <w:rPr>
                <w:rFonts w:eastAsia="Times New Roman" w:cstheme="minorHAnsi"/>
                <w:color w:val="000000"/>
                <w:sz w:val="20"/>
                <w:szCs w:val="20"/>
                <w:lang w:eastAsia="cs-CZ"/>
              </w:rPr>
            </w:pPr>
            <w:r w:rsidRPr="006B3639">
              <w:rPr>
                <w:rFonts w:eastAsia="Times New Roman" w:cstheme="minorHAnsi"/>
                <w:color w:val="000000"/>
                <w:sz w:val="20"/>
                <w:szCs w:val="20"/>
                <w:lang w:eastAsia="cs-CZ"/>
              </w:rPr>
              <w:t>13 660 790 835</w:t>
            </w:r>
          </w:p>
        </w:tc>
        <w:tc>
          <w:tcPr>
            <w:tcW w:w="1514" w:type="dxa"/>
            <w:tcBorders>
              <w:top w:val="nil"/>
              <w:left w:val="nil"/>
              <w:bottom w:val="single" w:sz="4" w:space="0" w:color="auto"/>
              <w:right w:val="single" w:sz="4" w:space="0" w:color="auto"/>
            </w:tcBorders>
            <w:shd w:val="clear" w:color="auto" w:fill="auto"/>
            <w:noWrap/>
            <w:vAlign w:val="bottom"/>
            <w:hideMark/>
          </w:tcPr>
          <w:p w14:paraId="17DC085F" w14:textId="77777777" w:rsidR="002B6460" w:rsidRPr="006B3639" w:rsidRDefault="002B6460" w:rsidP="00D70227">
            <w:pPr>
              <w:spacing w:after="0" w:line="240" w:lineRule="auto"/>
              <w:jc w:val="right"/>
              <w:rPr>
                <w:rFonts w:eastAsia="Times New Roman" w:cstheme="minorHAnsi"/>
                <w:color w:val="000000"/>
                <w:sz w:val="20"/>
                <w:szCs w:val="20"/>
                <w:lang w:eastAsia="cs-CZ"/>
              </w:rPr>
            </w:pPr>
            <w:r w:rsidRPr="006B3639">
              <w:rPr>
                <w:rFonts w:eastAsia="Times New Roman" w:cstheme="minorHAnsi"/>
                <w:color w:val="000000"/>
                <w:sz w:val="20"/>
                <w:szCs w:val="20"/>
                <w:lang w:eastAsia="cs-CZ"/>
              </w:rPr>
              <w:t> </w:t>
            </w:r>
          </w:p>
        </w:tc>
        <w:tc>
          <w:tcPr>
            <w:tcW w:w="1246" w:type="dxa"/>
            <w:tcBorders>
              <w:top w:val="nil"/>
              <w:left w:val="nil"/>
              <w:bottom w:val="single" w:sz="4" w:space="0" w:color="auto"/>
              <w:right w:val="single" w:sz="4" w:space="0" w:color="auto"/>
            </w:tcBorders>
            <w:shd w:val="clear" w:color="auto" w:fill="auto"/>
            <w:noWrap/>
            <w:vAlign w:val="bottom"/>
            <w:hideMark/>
          </w:tcPr>
          <w:p w14:paraId="6F39EB64" w14:textId="77777777" w:rsidR="002B6460" w:rsidRPr="006B3639" w:rsidRDefault="002B6460" w:rsidP="00D70227">
            <w:pPr>
              <w:spacing w:after="0" w:line="240" w:lineRule="auto"/>
              <w:jc w:val="right"/>
              <w:rPr>
                <w:rFonts w:eastAsia="Times New Roman" w:cstheme="minorHAnsi"/>
                <w:color w:val="000000"/>
                <w:sz w:val="20"/>
                <w:szCs w:val="20"/>
                <w:lang w:eastAsia="cs-CZ"/>
              </w:rPr>
            </w:pPr>
            <w:r w:rsidRPr="006B3639">
              <w:rPr>
                <w:rFonts w:eastAsia="Times New Roman" w:cstheme="minorHAnsi"/>
                <w:color w:val="000000"/>
                <w:sz w:val="20"/>
                <w:szCs w:val="20"/>
                <w:lang w:eastAsia="cs-CZ"/>
              </w:rPr>
              <w:t>1 348 548</w:t>
            </w:r>
          </w:p>
        </w:tc>
        <w:tc>
          <w:tcPr>
            <w:tcW w:w="1220" w:type="dxa"/>
            <w:tcBorders>
              <w:top w:val="nil"/>
              <w:left w:val="nil"/>
              <w:bottom w:val="single" w:sz="4" w:space="0" w:color="auto"/>
              <w:right w:val="single" w:sz="4" w:space="0" w:color="auto"/>
            </w:tcBorders>
            <w:shd w:val="clear" w:color="auto" w:fill="auto"/>
            <w:noWrap/>
            <w:vAlign w:val="bottom"/>
            <w:hideMark/>
          </w:tcPr>
          <w:p w14:paraId="1C085517" w14:textId="77777777" w:rsidR="002B6460" w:rsidRPr="006B3639" w:rsidRDefault="002B6460" w:rsidP="00D70227">
            <w:pPr>
              <w:spacing w:after="0" w:line="240" w:lineRule="auto"/>
              <w:jc w:val="right"/>
              <w:rPr>
                <w:rFonts w:eastAsia="Times New Roman" w:cstheme="minorHAnsi"/>
                <w:color w:val="000000"/>
                <w:sz w:val="20"/>
                <w:szCs w:val="20"/>
                <w:lang w:eastAsia="cs-CZ"/>
              </w:rPr>
            </w:pPr>
            <w:r w:rsidRPr="006B3639">
              <w:rPr>
                <w:rFonts w:eastAsia="Times New Roman" w:cstheme="minorHAnsi"/>
                <w:color w:val="000000"/>
                <w:sz w:val="20"/>
                <w:szCs w:val="20"/>
                <w:lang w:eastAsia="cs-CZ"/>
              </w:rPr>
              <w:t>0</w:t>
            </w:r>
          </w:p>
        </w:tc>
      </w:tr>
      <w:tr w:rsidR="006B3639" w:rsidRPr="006B3639" w14:paraId="4F6393B8" w14:textId="77777777" w:rsidTr="003932D7">
        <w:trPr>
          <w:trHeight w:val="281"/>
        </w:trPr>
        <w:tc>
          <w:tcPr>
            <w:tcW w:w="1115" w:type="dxa"/>
            <w:tcBorders>
              <w:top w:val="nil"/>
              <w:left w:val="single" w:sz="4" w:space="0" w:color="auto"/>
              <w:bottom w:val="single" w:sz="4" w:space="0" w:color="auto"/>
              <w:right w:val="single" w:sz="4" w:space="0" w:color="auto"/>
            </w:tcBorders>
            <w:shd w:val="clear" w:color="auto" w:fill="auto"/>
            <w:noWrap/>
            <w:vAlign w:val="bottom"/>
            <w:hideMark/>
          </w:tcPr>
          <w:p w14:paraId="6ACB1FED" w14:textId="77777777" w:rsidR="002B6460" w:rsidRPr="006B3639" w:rsidRDefault="002B6460" w:rsidP="00D70227">
            <w:pPr>
              <w:spacing w:after="0" w:line="240" w:lineRule="auto"/>
              <w:jc w:val="center"/>
              <w:rPr>
                <w:rFonts w:eastAsia="Times New Roman" w:cstheme="minorHAnsi"/>
                <w:b/>
                <w:bCs/>
                <w:color w:val="000000"/>
                <w:sz w:val="20"/>
                <w:szCs w:val="20"/>
                <w:lang w:eastAsia="cs-CZ"/>
              </w:rPr>
            </w:pPr>
            <w:r w:rsidRPr="006B3639">
              <w:rPr>
                <w:rFonts w:eastAsia="Times New Roman" w:cstheme="minorHAnsi"/>
                <w:b/>
                <w:bCs/>
                <w:color w:val="000000"/>
                <w:sz w:val="20"/>
                <w:szCs w:val="20"/>
                <w:lang w:eastAsia="cs-CZ"/>
              </w:rPr>
              <w:t>2016</w:t>
            </w:r>
          </w:p>
        </w:tc>
        <w:tc>
          <w:tcPr>
            <w:tcW w:w="828" w:type="dxa"/>
            <w:tcBorders>
              <w:top w:val="nil"/>
              <w:left w:val="nil"/>
              <w:bottom w:val="single" w:sz="4" w:space="0" w:color="auto"/>
              <w:right w:val="single" w:sz="4" w:space="0" w:color="auto"/>
            </w:tcBorders>
            <w:shd w:val="clear" w:color="auto" w:fill="auto"/>
            <w:noWrap/>
            <w:vAlign w:val="bottom"/>
            <w:hideMark/>
          </w:tcPr>
          <w:p w14:paraId="0D94BDB6" w14:textId="77777777" w:rsidR="002B6460" w:rsidRPr="006B3639" w:rsidRDefault="002B6460" w:rsidP="00D70227">
            <w:pPr>
              <w:spacing w:after="0" w:line="240" w:lineRule="auto"/>
              <w:jc w:val="right"/>
              <w:rPr>
                <w:rFonts w:eastAsia="Times New Roman" w:cstheme="minorHAnsi"/>
                <w:color w:val="000000"/>
                <w:sz w:val="20"/>
                <w:szCs w:val="20"/>
                <w:lang w:eastAsia="cs-CZ"/>
              </w:rPr>
            </w:pPr>
            <w:r w:rsidRPr="006B3639">
              <w:rPr>
                <w:rFonts w:eastAsia="Times New Roman" w:cstheme="minorHAnsi"/>
                <w:color w:val="000000"/>
                <w:sz w:val="20"/>
                <w:szCs w:val="20"/>
                <w:lang w:eastAsia="cs-CZ"/>
              </w:rPr>
              <w:t>8 351</w:t>
            </w:r>
          </w:p>
        </w:tc>
        <w:tc>
          <w:tcPr>
            <w:tcW w:w="964" w:type="dxa"/>
            <w:tcBorders>
              <w:top w:val="nil"/>
              <w:left w:val="nil"/>
              <w:bottom w:val="single" w:sz="4" w:space="0" w:color="auto"/>
              <w:right w:val="single" w:sz="4" w:space="0" w:color="auto"/>
            </w:tcBorders>
            <w:shd w:val="clear" w:color="auto" w:fill="auto"/>
            <w:noWrap/>
            <w:vAlign w:val="bottom"/>
            <w:hideMark/>
          </w:tcPr>
          <w:p w14:paraId="1E3EB747" w14:textId="77777777" w:rsidR="002B6460" w:rsidRPr="006B3639" w:rsidRDefault="002B6460" w:rsidP="00D70227">
            <w:pPr>
              <w:spacing w:after="0" w:line="240" w:lineRule="auto"/>
              <w:jc w:val="right"/>
              <w:rPr>
                <w:rFonts w:eastAsia="Times New Roman" w:cstheme="minorHAnsi"/>
                <w:color w:val="000000"/>
                <w:sz w:val="20"/>
                <w:szCs w:val="20"/>
                <w:lang w:eastAsia="cs-CZ"/>
              </w:rPr>
            </w:pPr>
            <w:r w:rsidRPr="006B3639">
              <w:rPr>
                <w:rFonts w:eastAsia="Times New Roman" w:cstheme="minorHAnsi"/>
                <w:color w:val="000000"/>
                <w:sz w:val="20"/>
                <w:szCs w:val="20"/>
                <w:lang w:eastAsia="cs-CZ"/>
              </w:rPr>
              <w:t>75</w:t>
            </w:r>
          </w:p>
        </w:tc>
        <w:tc>
          <w:tcPr>
            <w:tcW w:w="969" w:type="dxa"/>
            <w:tcBorders>
              <w:top w:val="nil"/>
              <w:left w:val="nil"/>
              <w:bottom w:val="single" w:sz="4" w:space="0" w:color="auto"/>
              <w:right w:val="single" w:sz="4" w:space="0" w:color="auto"/>
            </w:tcBorders>
            <w:shd w:val="clear" w:color="auto" w:fill="auto"/>
            <w:noWrap/>
            <w:vAlign w:val="bottom"/>
            <w:hideMark/>
          </w:tcPr>
          <w:p w14:paraId="6709CF32" w14:textId="5EE23265" w:rsidR="002B6460" w:rsidRPr="006B3639" w:rsidRDefault="002B6460" w:rsidP="00C07857">
            <w:pPr>
              <w:spacing w:after="0" w:line="240" w:lineRule="auto"/>
              <w:ind w:right="57"/>
              <w:jc w:val="right"/>
              <w:rPr>
                <w:rFonts w:eastAsia="Times New Roman" w:cstheme="minorHAnsi"/>
                <w:color w:val="000000"/>
                <w:sz w:val="20"/>
                <w:szCs w:val="20"/>
                <w:lang w:eastAsia="cs-CZ"/>
              </w:rPr>
            </w:pPr>
            <w:r w:rsidRPr="006B3639">
              <w:rPr>
                <w:rFonts w:eastAsia="Times New Roman" w:cstheme="minorHAnsi"/>
                <w:color w:val="000000"/>
                <w:sz w:val="20"/>
                <w:szCs w:val="20"/>
                <w:lang w:eastAsia="cs-CZ"/>
              </w:rPr>
              <w:t>0,9</w:t>
            </w:r>
            <w:r w:rsidR="00C07857">
              <w:rPr>
                <w:rFonts w:eastAsia="Times New Roman" w:cstheme="minorHAnsi"/>
                <w:color w:val="000000"/>
                <w:sz w:val="20"/>
                <w:szCs w:val="20"/>
                <w:lang w:eastAsia="cs-CZ"/>
              </w:rPr>
              <w:t xml:space="preserve"> %</w:t>
            </w:r>
          </w:p>
        </w:tc>
        <w:tc>
          <w:tcPr>
            <w:tcW w:w="1644" w:type="dxa"/>
            <w:tcBorders>
              <w:top w:val="nil"/>
              <w:left w:val="nil"/>
              <w:bottom w:val="single" w:sz="4" w:space="0" w:color="auto"/>
              <w:right w:val="single" w:sz="4" w:space="0" w:color="auto"/>
            </w:tcBorders>
            <w:shd w:val="clear" w:color="auto" w:fill="auto"/>
            <w:noWrap/>
            <w:vAlign w:val="bottom"/>
            <w:hideMark/>
          </w:tcPr>
          <w:p w14:paraId="7E5E980A" w14:textId="77777777" w:rsidR="002B6460" w:rsidRPr="006B3639" w:rsidRDefault="002B6460" w:rsidP="00D70227">
            <w:pPr>
              <w:spacing w:after="0" w:line="240" w:lineRule="auto"/>
              <w:jc w:val="right"/>
              <w:rPr>
                <w:rFonts w:eastAsia="Times New Roman" w:cstheme="minorHAnsi"/>
                <w:color w:val="000000"/>
                <w:sz w:val="20"/>
                <w:szCs w:val="20"/>
                <w:lang w:eastAsia="cs-CZ"/>
              </w:rPr>
            </w:pPr>
            <w:r w:rsidRPr="006B3639">
              <w:rPr>
                <w:rFonts w:eastAsia="Times New Roman" w:cstheme="minorHAnsi"/>
                <w:color w:val="000000"/>
                <w:sz w:val="20"/>
                <w:szCs w:val="20"/>
                <w:lang w:eastAsia="cs-CZ"/>
              </w:rPr>
              <w:t>12 454 914 396</w:t>
            </w:r>
          </w:p>
        </w:tc>
        <w:tc>
          <w:tcPr>
            <w:tcW w:w="1514" w:type="dxa"/>
            <w:tcBorders>
              <w:top w:val="nil"/>
              <w:left w:val="nil"/>
              <w:bottom w:val="single" w:sz="4" w:space="0" w:color="auto"/>
              <w:right w:val="single" w:sz="4" w:space="0" w:color="auto"/>
            </w:tcBorders>
            <w:shd w:val="clear" w:color="auto" w:fill="auto"/>
            <w:noWrap/>
            <w:vAlign w:val="bottom"/>
            <w:hideMark/>
          </w:tcPr>
          <w:p w14:paraId="0DFBA089" w14:textId="77777777" w:rsidR="002B6460" w:rsidRPr="006B3639" w:rsidRDefault="002B6460" w:rsidP="00D70227">
            <w:pPr>
              <w:spacing w:after="0" w:line="240" w:lineRule="auto"/>
              <w:jc w:val="right"/>
              <w:rPr>
                <w:rFonts w:eastAsia="Times New Roman" w:cstheme="minorHAnsi"/>
                <w:color w:val="000000"/>
                <w:sz w:val="20"/>
                <w:szCs w:val="20"/>
                <w:lang w:eastAsia="cs-CZ"/>
              </w:rPr>
            </w:pPr>
            <w:r w:rsidRPr="006B3639">
              <w:rPr>
                <w:rFonts w:eastAsia="Times New Roman" w:cstheme="minorHAnsi"/>
                <w:color w:val="000000"/>
                <w:sz w:val="20"/>
                <w:szCs w:val="20"/>
                <w:lang w:eastAsia="cs-CZ"/>
              </w:rPr>
              <w:t>11 950 578</w:t>
            </w:r>
          </w:p>
        </w:tc>
        <w:tc>
          <w:tcPr>
            <w:tcW w:w="1246" w:type="dxa"/>
            <w:tcBorders>
              <w:top w:val="nil"/>
              <w:left w:val="nil"/>
              <w:bottom w:val="single" w:sz="4" w:space="0" w:color="auto"/>
              <w:right w:val="single" w:sz="4" w:space="0" w:color="auto"/>
            </w:tcBorders>
            <w:shd w:val="clear" w:color="auto" w:fill="auto"/>
            <w:noWrap/>
            <w:vAlign w:val="bottom"/>
            <w:hideMark/>
          </w:tcPr>
          <w:p w14:paraId="094A66A3" w14:textId="77777777" w:rsidR="002B6460" w:rsidRPr="006B3639" w:rsidRDefault="002B6460" w:rsidP="00D70227">
            <w:pPr>
              <w:spacing w:after="0" w:line="240" w:lineRule="auto"/>
              <w:jc w:val="right"/>
              <w:rPr>
                <w:rFonts w:eastAsia="Times New Roman" w:cstheme="minorHAnsi"/>
                <w:color w:val="000000"/>
                <w:sz w:val="20"/>
                <w:szCs w:val="20"/>
                <w:lang w:eastAsia="cs-CZ"/>
              </w:rPr>
            </w:pPr>
            <w:r w:rsidRPr="006B3639">
              <w:rPr>
                <w:rFonts w:eastAsia="Times New Roman" w:cstheme="minorHAnsi"/>
                <w:color w:val="000000"/>
                <w:sz w:val="20"/>
                <w:szCs w:val="20"/>
                <w:lang w:eastAsia="cs-CZ"/>
              </w:rPr>
              <w:t>1 503 500</w:t>
            </w:r>
          </w:p>
        </w:tc>
        <w:tc>
          <w:tcPr>
            <w:tcW w:w="1220" w:type="dxa"/>
            <w:tcBorders>
              <w:top w:val="nil"/>
              <w:left w:val="nil"/>
              <w:bottom w:val="single" w:sz="4" w:space="0" w:color="auto"/>
              <w:right w:val="single" w:sz="4" w:space="0" w:color="auto"/>
            </w:tcBorders>
            <w:shd w:val="clear" w:color="auto" w:fill="auto"/>
            <w:noWrap/>
            <w:vAlign w:val="bottom"/>
            <w:hideMark/>
          </w:tcPr>
          <w:p w14:paraId="06503DE8" w14:textId="77777777" w:rsidR="002B6460" w:rsidRPr="006B3639" w:rsidRDefault="002B6460" w:rsidP="00D70227">
            <w:pPr>
              <w:spacing w:after="0" w:line="240" w:lineRule="auto"/>
              <w:jc w:val="right"/>
              <w:rPr>
                <w:rFonts w:eastAsia="Times New Roman" w:cstheme="minorHAnsi"/>
                <w:color w:val="000000"/>
                <w:sz w:val="20"/>
                <w:szCs w:val="20"/>
                <w:lang w:eastAsia="cs-CZ"/>
              </w:rPr>
            </w:pPr>
            <w:r w:rsidRPr="006B3639">
              <w:rPr>
                <w:rFonts w:eastAsia="Times New Roman" w:cstheme="minorHAnsi"/>
                <w:color w:val="000000"/>
                <w:sz w:val="20"/>
                <w:szCs w:val="20"/>
                <w:lang w:eastAsia="cs-CZ"/>
              </w:rPr>
              <w:t>159 341</w:t>
            </w:r>
          </w:p>
        </w:tc>
      </w:tr>
      <w:tr w:rsidR="006B3639" w:rsidRPr="006B3639" w14:paraId="76748E7E" w14:textId="77777777" w:rsidTr="003932D7">
        <w:trPr>
          <w:trHeight w:val="281"/>
        </w:trPr>
        <w:tc>
          <w:tcPr>
            <w:tcW w:w="1115" w:type="dxa"/>
            <w:tcBorders>
              <w:top w:val="nil"/>
              <w:left w:val="single" w:sz="4" w:space="0" w:color="auto"/>
              <w:bottom w:val="single" w:sz="4" w:space="0" w:color="auto"/>
              <w:right w:val="single" w:sz="4" w:space="0" w:color="auto"/>
            </w:tcBorders>
            <w:shd w:val="clear" w:color="auto" w:fill="auto"/>
            <w:noWrap/>
            <w:vAlign w:val="bottom"/>
            <w:hideMark/>
          </w:tcPr>
          <w:p w14:paraId="3A26DAA7" w14:textId="77777777" w:rsidR="002B6460" w:rsidRPr="006B3639" w:rsidRDefault="002B6460" w:rsidP="00D70227">
            <w:pPr>
              <w:spacing w:after="0" w:line="240" w:lineRule="auto"/>
              <w:jc w:val="center"/>
              <w:rPr>
                <w:rFonts w:eastAsia="Times New Roman" w:cstheme="minorHAnsi"/>
                <w:b/>
                <w:bCs/>
                <w:color w:val="000000"/>
                <w:sz w:val="20"/>
                <w:szCs w:val="20"/>
                <w:lang w:eastAsia="cs-CZ"/>
              </w:rPr>
            </w:pPr>
            <w:r w:rsidRPr="006B3639">
              <w:rPr>
                <w:rFonts w:eastAsia="Times New Roman" w:cstheme="minorHAnsi"/>
                <w:b/>
                <w:bCs/>
                <w:color w:val="000000"/>
                <w:sz w:val="20"/>
                <w:szCs w:val="20"/>
                <w:lang w:eastAsia="cs-CZ"/>
              </w:rPr>
              <w:t>2017</w:t>
            </w:r>
          </w:p>
        </w:tc>
        <w:tc>
          <w:tcPr>
            <w:tcW w:w="828" w:type="dxa"/>
            <w:tcBorders>
              <w:top w:val="nil"/>
              <w:left w:val="nil"/>
              <w:bottom w:val="single" w:sz="4" w:space="0" w:color="auto"/>
              <w:right w:val="single" w:sz="4" w:space="0" w:color="auto"/>
            </w:tcBorders>
            <w:shd w:val="clear" w:color="auto" w:fill="auto"/>
            <w:noWrap/>
            <w:vAlign w:val="bottom"/>
            <w:hideMark/>
          </w:tcPr>
          <w:p w14:paraId="7F9F0637" w14:textId="77777777" w:rsidR="002B6460" w:rsidRPr="006B3639" w:rsidRDefault="002B6460" w:rsidP="00D70227">
            <w:pPr>
              <w:spacing w:after="0" w:line="240" w:lineRule="auto"/>
              <w:jc w:val="right"/>
              <w:rPr>
                <w:rFonts w:eastAsia="Times New Roman" w:cstheme="minorHAnsi"/>
                <w:color w:val="000000"/>
                <w:sz w:val="20"/>
                <w:szCs w:val="20"/>
                <w:lang w:eastAsia="cs-CZ"/>
              </w:rPr>
            </w:pPr>
            <w:r w:rsidRPr="006B3639">
              <w:rPr>
                <w:rFonts w:eastAsia="Times New Roman" w:cstheme="minorHAnsi"/>
                <w:color w:val="000000"/>
                <w:sz w:val="20"/>
                <w:szCs w:val="20"/>
                <w:lang w:eastAsia="cs-CZ"/>
              </w:rPr>
              <w:t>6 712</w:t>
            </w:r>
          </w:p>
        </w:tc>
        <w:tc>
          <w:tcPr>
            <w:tcW w:w="964" w:type="dxa"/>
            <w:tcBorders>
              <w:top w:val="nil"/>
              <w:left w:val="nil"/>
              <w:bottom w:val="single" w:sz="4" w:space="0" w:color="auto"/>
              <w:right w:val="single" w:sz="4" w:space="0" w:color="auto"/>
            </w:tcBorders>
            <w:shd w:val="clear" w:color="auto" w:fill="auto"/>
            <w:noWrap/>
            <w:vAlign w:val="bottom"/>
            <w:hideMark/>
          </w:tcPr>
          <w:p w14:paraId="12BE6C1C" w14:textId="77777777" w:rsidR="002B6460" w:rsidRPr="006B3639" w:rsidRDefault="002B6460" w:rsidP="00D70227">
            <w:pPr>
              <w:spacing w:after="0" w:line="240" w:lineRule="auto"/>
              <w:jc w:val="right"/>
              <w:rPr>
                <w:rFonts w:eastAsia="Times New Roman" w:cstheme="minorHAnsi"/>
                <w:color w:val="000000"/>
                <w:sz w:val="20"/>
                <w:szCs w:val="20"/>
                <w:lang w:eastAsia="cs-CZ"/>
              </w:rPr>
            </w:pPr>
            <w:r w:rsidRPr="006B3639">
              <w:rPr>
                <w:rFonts w:eastAsia="Times New Roman" w:cstheme="minorHAnsi"/>
                <w:color w:val="000000"/>
                <w:sz w:val="20"/>
                <w:szCs w:val="20"/>
                <w:lang w:eastAsia="cs-CZ"/>
              </w:rPr>
              <w:t>365</w:t>
            </w:r>
          </w:p>
        </w:tc>
        <w:tc>
          <w:tcPr>
            <w:tcW w:w="969" w:type="dxa"/>
            <w:tcBorders>
              <w:top w:val="nil"/>
              <w:left w:val="nil"/>
              <w:bottom w:val="single" w:sz="4" w:space="0" w:color="auto"/>
              <w:right w:val="single" w:sz="4" w:space="0" w:color="auto"/>
            </w:tcBorders>
            <w:shd w:val="clear" w:color="auto" w:fill="auto"/>
            <w:noWrap/>
            <w:vAlign w:val="bottom"/>
            <w:hideMark/>
          </w:tcPr>
          <w:p w14:paraId="2E463907" w14:textId="1EA5E409" w:rsidR="002B6460" w:rsidRPr="006B3639" w:rsidRDefault="002B6460" w:rsidP="00C07857">
            <w:pPr>
              <w:spacing w:after="0" w:line="240" w:lineRule="auto"/>
              <w:ind w:right="57"/>
              <w:jc w:val="right"/>
              <w:rPr>
                <w:rFonts w:eastAsia="Times New Roman" w:cstheme="minorHAnsi"/>
                <w:color w:val="000000"/>
                <w:sz w:val="20"/>
                <w:szCs w:val="20"/>
                <w:lang w:eastAsia="cs-CZ"/>
              </w:rPr>
            </w:pPr>
            <w:r w:rsidRPr="006B3639">
              <w:rPr>
                <w:rFonts w:eastAsia="Times New Roman" w:cstheme="minorHAnsi"/>
                <w:color w:val="000000"/>
                <w:sz w:val="20"/>
                <w:szCs w:val="20"/>
                <w:lang w:eastAsia="cs-CZ"/>
              </w:rPr>
              <w:t>5,4</w:t>
            </w:r>
            <w:r w:rsidR="00C07857">
              <w:rPr>
                <w:rFonts w:eastAsia="Times New Roman" w:cstheme="minorHAnsi"/>
                <w:color w:val="000000"/>
                <w:sz w:val="20"/>
                <w:szCs w:val="20"/>
                <w:lang w:eastAsia="cs-CZ"/>
              </w:rPr>
              <w:t xml:space="preserve"> %</w:t>
            </w:r>
          </w:p>
        </w:tc>
        <w:tc>
          <w:tcPr>
            <w:tcW w:w="1644" w:type="dxa"/>
            <w:tcBorders>
              <w:top w:val="nil"/>
              <w:left w:val="nil"/>
              <w:bottom w:val="single" w:sz="4" w:space="0" w:color="auto"/>
              <w:right w:val="single" w:sz="4" w:space="0" w:color="auto"/>
            </w:tcBorders>
            <w:shd w:val="clear" w:color="auto" w:fill="auto"/>
            <w:noWrap/>
            <w:vAlign w:val="bottom"/>
            <w:hideMark/>
          </w:tcPr>
          <w:p w14:paraId="570686A0" w14:textId="77777777" w:rsidR="002B6460" w:rsidRPr="006B3639" w:rsidRDefault="002B6460" w:rsidP="00D70227">
            <w:pPr>
              <w:spacing w:after="0" w:line="240" w:lineRule="auto"/>
              <w:jc w:val="right"/>
              <w:rPr>
                <w:rFonts w:eastAsia="Times New Roman" w:cstheme="minorHAnsi"/>
                <w:color w:val="000000"/>
                <w:sz w:val="20"/>
                <w:szCs w:val="20"/>
                <w:lang w:eastAsia="cs-CZ"/>
              </w:rPr>
            </w:pPr>
            <w:r w:rsidRPr="006B3639">
              <w:rPr>
                <w:rFonts w:eastAsia="Times New Roman" w:cstheme="minorHAnsi"/>
                <w:color w:val="000000"/>
                <w:sz w:val="20"/>
                <w:szCs w:val="20"/>
                <w:lang w:eastAsia="cs-CZ"/>
              </w:rPr>
              <w:t>10 388 494 342</w:t>
            </w:r>
          </w:p>
        </w:tc>
        <w:tc>
          <w:tcPr>
            <w:tcW w:w="1514" w:type="dxa"/>
            <w:tcBorders>
              <w:top w:val="nil"/>
              <w:left w:val="nil"/>
              <w:bottom w:val="single" w:sz="4" w:space="0" w:color="auto"/>
              <w:right w:val="single" w:sz="4" w:space="0" w:color="auto"/>
            </w:tcBorders>
            <w:shd w:val="clear" w:color="auto" w:fill="auto"/>
            <w:noWrap/>
            <w:vAlign w:val="bottom"/>
            <w:hideMark/>
          </w:tcPr>
          <w:p w14:paraId="30679419" w14:textId="77777777" w:rsidR="002B6460" w:rsidRPr="006B3639" w:rsidRDefault="002B6460" w:rsidP="00D70227">
            <w:pPr>
              <w:spacing w:after="0" w:line="240" w:lineRule="auto"/>
              <w:jc w:val="right"/>
              <w:rPr>
                <w:rFonts w:eastAsia="Times New Roman" w:cstheme="minorHAnsi"/>
                <w:color w:val="000000"/>
                <w:sz w:val="20"/>
                <w:szCs w:val="20"/>
                <w:lang w:eastAsia="cs-CZ"/>
              </w:rPr>
            </w:pPr>
            <w:r w:rsidRPr="006B3639">
              <w:rPr>
                <w:rFonts w:eastAsia="Times New Roman" w:cstheme="minorHAnsi"/>
                <w:color w:val="000000"/>
                <w:sz w:val="20"/>
                <w:szCs w:val="20"/>
                <w:lang w:eastAsia="cs-CZ"/>
              </w:rPr>
              <w:t>465 024 786</w:t>
            </w:r>
          </w:p>
        </w:tc>
        <w:tc>
          <w:tcPr>
            <w:tcW w:w="1246" w:type="dxa"/>
            <w:tcBorders>
              <w:top w:val="nil"/>
              <w:left w:val="nil"/>
              <w:bottom w:val="single" w:sz="4" w:space="0" w:color="auto"/>
              <w:right w:val="single" w:sz="4" w:space="0" w:color="auto"/>
            </w:tcBorders>
            <w:shd w:val="clear" w:color="auto" w:fill="auto"/>
            <w:noWrap/>
            <w:vAlign w:val="bottom"/>
            <w:hideMark/>
          </w:tcPr>
          <w:p w14:paraId="10A9531C" w14:textId="77777777" w:rsidR="002B6460" w:rsidRPr="006B3639" w:rsidRDefault="002B6460" w:rsidP="00D70227">
            <w:pPr>
              <w:spacing w:after="0" w:line="240" w:lineRule="auto"/>
              <w:jc w:val="right"/>
              <w:rPr>
                <w:rFonts w:eastAsia="Times New Roman" w:cstheme="minorHAnsi"/>
                <w:color w:val="000000"/>
                <w:sz w:val="20"/>
                <w:szCs w:val="20"/>
                <w:lang w:eastAsia="cs-CZ"/>
              </w:rPr>
            </w:pPr>
            <w:r w:rsidRPr="006B3639">
              <w:rPr>
                <w:rFonts w:eastAsia="Times New Roman" w:cstheme="minorHAnsi"/>
                <w:color w:val="000000"/>
                <w:sz w:val="20"/>
                <w:szCs w:val="20"/>
                <w:lang w:eastAsia="cs-CZ"/>
              </w:rPr>
              <w:t>1 563 490</w:t>
            </w:r>
          </w:p>
        </w:tc>
        <w:tc>
          <w:tcPr>
            <w:tcW w:w="1220" w:type="dxa"/>
            <w:tcBorders>
              <w:top w:val="nil"/>
              <w:left w:val="nil"/>
              <w:bottom w:val="single" w:sz="4" w:space="0" w:color="auto"/>
              <w:right w:val="single" w:sz="4" w:space="0" w:color="auto"/>
            </w:tcBorders>
            <w:shd w:val="clear" w:color="auto" w:fill="auto"/>
            <w:noWrap/>
            <w:vAlign w:val="bottom"/>
            <w:hideMark/>
          </w:tcPr>
          <w:p w14:paraId="4AE60C59" w14:textId="77777777" w:rsidR="002B6460" w:rsidRPr="006B3639" w:rsidRDefault="002B6460" w:rsidP="00D70227">
            <w:pPr>
              <w:spacing w:after="0" w:line="240" w:lineRule="auto"/>
              <w:jc w:val="right"/>
              <w:rPr>
                <w:rFonts w:eastAsia="Times New Roman" w:cstheme="minorHAnsi"/>
                <w:color w:val="000000"/>
                <w:sz w:val="20"/>
                <w:szCs w:val="20"/>
                <w:lang w:eastAsia="cs-CZ"/>
              </w:rPr>
            </w:pPr>
            <w:r w:rsidRPr="006B3639">
              <w:rPr>
                <w:rFonts w:eastAsia="Times New Roman" w:cstheme="minorHAnsi"/>
                <w:color w:val="000000"/>
                <w:sz w:val="20"/>
                <w:szCs w:val="20"/>
                <w:lang w:eastAsia="cs-CZ"/>
              </w:rPr>
              <w:t>1 274 041</w:t>
            </w:r>
          </w:p>
        </w:tc>
      </w:tr>
      <w:tr w:rsidR="006B3639" w:rsidRPr="006B3639" w14:paraId="48E715FA" w14:textId="77777777" w:rsidTr="003932D7">
        <w:trPr>
          <w:trHeight w:val="281"/>
        </w:trPr>
        <w:tc>
          <w:tcPr>
            <w:tcW w:w="1115" w:type="dxa"/>
            <w:tcBorders>
              <w:top w:val="nil"/>
              <w:left w:val="single" w:sz="4" w:space="0" w:color="auto"/>
              <w:bottom w:val="single" w:sz="4" w:space="0" w:color="auto"/>
              <w:right w:val="single" w:sz="4" w:space="0" w:color="auto"/>
            </w:tcBorders>
            <w:shd w:val="clear" w:color="auto" w:fill="auto"/>
            <w:noWrap/>
            <w:vAlign w:val="bottom"/>
            <w:hideMark/>
          </w:tcPr>
          <w:p w14:paraId="708B61A5" w14:textId="77777777" w:rsidR="002B6460" w:rsidRPr="006B3639" w:rsidRDefault="002B6460" w:rsidP="00D70227">
            <w:pPr>
              <w:spacing w:after="0" w:line="240" w:lineRule="auto"/>
              <w:jc w:val="center"/>
              <w:rPr>
                <w:rFonts w:eastAsia="Times New Roman" w:cstheme="minorHAnsi"/>
                <w:b/>
                <w:bCs/>
                <w:color w:val="000000"/>
                <w:sz w:val="20"/>
                <w:szCs w:val="20"/>
                <w:lang w:eastAsia="cs-CZ"/>
              </w:rPr>
            </w:pPr>
            <w:r w:rsidRPr="006B3639">
              <w:rPr>
                <w:rFonts w:eastAsia="Times New Roman" w:cstheme="minorHAnsi"/>
                <w:b/>
                <w:bCs/>
                <w:color w:val="000000"/>
                <w:sz w:val="20"/>
                <w:szCs w:val="20"/>
                <w:lang w:eastAsia="cs-CZ"/>
              </w:rPr>
              <w:t>2018</w:t>
            </w:r>
          </w:p>
        </w:tc>
        <w:tc>
          <w:tcPr>
            <w:tcW w:w="828" w:type="dxa"/>
            <w:tcBorders>
              <w:top w:val="nil"/>
              <w:left w:val="nil"/>
              <w:bottom w:val="single" w:sz="4" w:space="0" w:color="auto"/>
              <w:right w:val="single" w:sz="4" w:space="0" w:color="auto"/>
            </w:tcBorders>
            <w:shd w:val="clear" w:color="auto" w:fill="auto"/>
            <w:noWrap/>
            <w:vAlign w:val="bottom"/>
            <w:hideMark/>
          </w:tcPr>
          <w:p w14:paraId="2E2DEA1C" w14:textId="77777777" w:rsidR="002B6460" w:rsidRPr="006B3639" w:rsidRDefault="002B6460" w:rsidP="00D70227">
            <w:pPr>
              <w:spacing w:after="0" w:line="240" w:lineRule="auto"/>
              <w:jc w:val="right"/>
              <w:rPr>
                <w:rFonts w:eastAsia="Times New Roman" w:cstheme="minorHAnsi"/>
                <w:color w:val="000000"/>
                <w:sz w:val="20"/>
                <w:szCs w:val="20"/>
                <w:lang w:eastAsia="cs-CZ"/>
              </w:rPr>
            </w:pPr>
            <w:r w:rsidRPr="006B3639">
              <w:rPr>
                <w:rFonts w:eastAsia="Times New Roman" w:cstheme="minorHAnsi"/>
                <w:color w:val="000000"/>
                <w:sz w:val="20"/>
                <w:szCs w:val="20"/>
                <w:lang w:eastAsia="cs-CZ"/>
              </w:rPr>
              <w:t>5 256</w:t>
            </w:r>
          </w:p>
        </w:tc>
        <w:tc>
          <w:tcPr>
            <w:tcW w:w="964" w:type="dxa"/>
            <w:tcBorders>
              <w:top w:val="nil"/>
              <w:left w:val="nil"/>
              <w:bottom w:val="single" w:sz="4" w:space="0" w:color="auto"/>
              <w:right w:val="single" w:sz="4" w:space="0" w:color="auto"/>
            </w:tcBorders>
            <w:shd w:val="clear" w:color="auto" w:fill="auto"/>
            <w:noWrap/>
            <w:vAlign w:val="bottom"/>
            <w:hideMark/>
          </w:tcPr>
          <w:p w14:paraId="327AEEB1" w14:textId="77777777" w:rsidR="002B6460" w:rsidRPr="006B3639" w:rsidRDefault="002B6460" w:rsidP="00D70227">
            <w:pPr>
              <w:spacing w:after="0" w:line="240" w:lineRule="auto"/>
              <w:jc w:val="right"/>
              <w:rPr>
                <w:rFonts w:eastAsia="Times New Roman" w:cstheme="minorHAnsi"/>
                <w:color w:val="000000"/>
                <w:sz w:val="20"/>
                <w:szCs w:val="20"/>
                <w:lang w:eastAsia="cs-CZ"/>
              </w:rPr>
            </w:pPr>
            <w:r w:rsidRPr="006B3639">
              <w:rPr>
                <w:rFonts w:eastAsia="Times New Roman" w:cstheme="minorHAnsi"/>
                <w:color w:val="000000"/>
                <w:sz w:val="20"/>
                <w:szCs w:val="20"/>
                <w:lang w:eastAsia="cs-CZ"/>
              </w:rPr>
              <w:t>778</w:t>
            </w:r>
          </w:p>
        </w:tc>
        <w:tc>
          <w:tcPr>
            <w:tcW w:w="969" w:type="dxa"/>
            <w:tcBorders>
              <w:top w:val="nil"/>
              <w:left w:val="nil"/>
              <w:bottom w:val="single" w:sz="4" w:space="0" w:color="auto"/>
              <w:right w:val="single" w:sz="4" w:space="0" w:color="auto"/>
            </w:tcBorders>
            <w:shd w:val="clear" w:color="auto" w:fill="auto"/>
            <w:noWrap/>
            <w:vAlign w:val="bottom"/>
            <w:hideMark/>
          </w:tcPr>
          <w:p w14:paraId="3123D0D2" w14:textId="48FCF959" w:rsidR="002B6460" w:rsidRPr="006B3639" w:rsidRDefault="002B6460" w:rsidP="00C07857">
            <w:pPr>
              <w:spacing w:after="0" w:line="240" w:lineRule="auto"/>
              <w:ind w:right="57"/>
              <w:jc w:val="right"/>
              <w:rPr>
                <w:rFonts w:eastAsia="Times New Roman" w:cstheme="minorHAnsi"/>
                <w:color w:val="000000"/>
                <w:sz w:val="20"/>
                <w:szCs w:val="20"/>
                <w:lang w:eastAsia="cs-CZ"/>
              </w:rPr>
            </w:pPr>
            <w:r w:rsidRPr="006B3639">
              <w:rPr>
                <w:rFonts w:eastAsia="Times New Roman" w:cstheme="minorHAnsi"/>
                <w:color w:val="000000"/>
                <w:sz w:val="20"/>
                <w:szCs w:val="20"/>
                <w:lang w:eastAsia="cs-CZ"/>
              </w:rPr>
              <w:t>14,8</w:t>
            </w:r>
            <w:r w:rsidR="00C07857">
              <w:rPr>
                <w:rFonts w:eastAsia="Times New Roman" w:cstheme="minorHAnsi"/>
                <w:color w:val="000000"/>
                <w:sz w:val="20"/>
                <w:szCs w:val="20"/>
                <w:lang w:eastAsia="cs-CZ"/>
              </w:rPr>
              <w:t xml:space="preserve"> %</w:t>
            </w:r>
          </w:p>
        </w:tc>
        <w:tc>
          <w:tcPr>
            <w:tcW w:w="1644" w:type="dxa"/>
            <w:tcBorders>
              <w:top w:val="nil"/>
              <w:left w:val="nil"/>
              <w:bottom w:val="single" w:sz="4" w:space="0" w:color="auto"/>
              <w:right w:val="single" w:sz="4" w:space="0" w:color="auto"/>
            </w:tcBorders>
            <w:shd w:val="clear" w:color="auto" w:fill="auto"/>
            <w:noWrap/>
            <w:vAlign w:val="bottom"/>
            <w:hideMark/>
          </w:tcPr>
          <w:p w14:paraId="460EDDEF" w14:textId="77777777" w:rsidR="002B6460" w:rsidRPr="006B3639" w:rsidRDefault="002B6460" w:rsidP="00D70227">
            <w:pPr>
              <w:spacing w:after="0" w:line="240" w:lineRule="auto"/>
              <w:jc w:val="right"/>
              <w:rPr>
                <w:rFonts w:eastAsia="Times New Roman" w:cstheme="minorHAnsi"/>
                <w:color w:val="000000"/>
                <w:sz w:val="20"/>
                <w:szCs w:val="20"/>
                <w:lang w:eastAsia="cs-CZ"/>
              </w:rPr>
            </w:pPr>
            <w:r w:rsidRPr="006B3639">
              <w:rPr>
                <w:rFonts w:eastAsia="Times New Roman" w:cstheme="minorHAnsi"/>
                <w:color w:val="000000"/>
                <w:sz w:val="20"/>
                <w:szCs w:val="20"/>
                <w:lang w:eastAsia="cs-CZ"/>
              </w:rPr>
              <w:t>7 763 568 394</w:t>
            </w:r>
          </w:p>
        </w:tc>
        <w:tc>
          <w:tcPr>
            <w:tcW w:w="1514" w:type="dxa"/>
            <w:tcBorders>
              <w:top w:val="nil"/>
              <w:left w:val="nil"/>
              <w:bottom w:val="single" w:sz="4" w:space="0" w:color="auto"/>
              <w:right w:val="single" w:sz="4" w:space="0" w:color="auto"/>
            </w:tcBorders>
            <w:shd w:val="clear" w:color="auto" w:fill="auto"/>
            <w:noWrap/>
            <w:vAlign w:val="bottom"/>
            <w:hideMark/>
          </w:tcPr>
          <w:p w14:paraId="4364E4E7" w14:textId="77777777" w:rsidR="002B6460" w:rsidRPr="006B3639" w:rsidRDefault="002B6460" w:rsidP="00D70227">
            <w:pPr>
              <w:spacing w:after="0" w:line="240" w:lineRule="auto"/>
              <w:jc w:val="right"/>
              <w:rPr>
                <w:rFonts w:eastAsia="Times New Roman" w:cstheme="minorHAnsi"/>
                <w:color w:val="000000"/>
                <w:sz w:val="20"/>
                <w:szCs w:val="20"/>
                <w:lang w:eastAsia="cs-CZ"/>
              </w:rPr>
            </w:pPr>
            <w:r w:rsidRPr="006B3639">
              <w:rPr>
                <w:rFonts w:eastAsia="Times New Roman" w:cstheme="minorHAnsi"/>
                <w:color w:val="000000"/>
                <w:sz w:val="20"/>
                <w:szCs w:val="20"/>
                <w:lang w:eastAsia="cs-CZ"/>
              </w:rPr>
              <w:t>604 421 533</w:t>
            </w:r>
          </w:p>
        </w:tc>
        <w:tc>
          <w:tcPr>
            <w:tcW w:w="1246" w:type="dxa"/>
            <w:tcBorders>
              <w:top w:val="nil"/>
              <w:left w:val="nil"/>
              <w:bottom w:val="single" w:sz="4" w:space="0" w:color="auto"/>
              <w:right w:val="single" w:sz="4" w:space="0" w:color="auto"/>
            </w:tcBorders>
            <w:shd w:val="clear" w:color="auto" w:fill="auto"/>
            <w:noWrap/>
            <w:vAlign w:val="bottom"/>
            <w:hideMark/>
          </w:tcPr>
          <w:p w14:paraId="10AE4BE9" w14:textId="77777777" w:rsidR="002B6460" w:rsidRPr="006B3639" w:rsidRDefault="002B6460" w:rsidP="00D70227">
            <w:pPr>
              <w:spacing w:after="0" w:line="240" w:lineRule="auto"/>
              <w:jc w:val="right"/>
              <w:rPr>
                <w:rFonts w:eastAsia="Times New Roman" w:cstheme="minorHAnsi"/>
                <w:color w:val="000000"/>
                <w:sz w:val="20"/>
                <w:szCs w:val="20"/>
                <w:lang w:eastAsia="cs-CZ"/>
              </w:rPr>
            </w:pPr>
            <w:r w:rsidRPr="006B3639">
              <w:rPr>
                <w:rFonts w:eastAsia="Times New Roman" w:cstheme="minorHAnsi"/>
                <w:color w:val="000000"/>
                <w:sz w:val="20"/>
                <w:szCs w:val="20"/>
                <w:lang w:eastAsia="cs-CZ"/>
              </w:rPr>
              <w:t>1 598 738</w:t>
            </w:r>
          </w:p>
        </w:tc>
        <w:tc>
          <w:tcPr>
            <w:tcW w:w="1220" w:type="dxa"/>
            <w:tcBorders>
              <w:top w:val="nil"/>
              <w:left w:val="nil"/>
              <w:bottom w:val="single" w:sz="4" w:space="0" w:color="auto"/>
              <w:right w:val="single" w:sz="4" w:space="0" w:color="auto"/>
            </w:tcBorders>
            <w:shd w:val="clear" w:color="auto" w:fill="auto"/>
            <w:noWrap/>
            <w:vAlign w:val="bottom"/>
            <w:hideMark/>
          </w:tcPr>
          <w:p w14:paraId="09A2E2E5" w14:textId="77777777" w:rsidR="002B6460" w:rsidRPr="006B3639" w:rsidRDefault="002B6460" w:rsidP="00D70227">
            <w:pPr>
              <w:spacing w:after="0" w:line="240" w:lineRule="auto"/>
              <w:jc w:val="right"/>
              <w:rPr>
                <w:rFonts w:eastAsia="Times New Roman" w:cstheme="minorHAnsi"/>
                <w:color w:val="000000"/>
                <w:sz w:val="20"/>
                <w:szCs w:val="20"/>
                <w:lang w:eastAsia="cs-CZ"/>
              </w:rPr>
            </w:pPr>
            <w:r w:rsidRPr="006B3639">
              <w:rPr>
                <w:rFonts w:eastAsia="Times New Roman" w:cstheme="minorHAnsi"/>
                <w:color w:val="000000"/>
                <w:sz w:val="20"/>
                <w:szCs w:val="20"/>
                <w:lang w:eastAsia="cs-CZ"/>
              </w:rPr>
              <w:t>776 891</w:t>
            </w:r>
          </w:p>
        </w:tc>
      </w:tr>
      <w:tr w:rsidR="006B3639" w:rsidRPr="006B3639" w14:paraId="262E3A7D" w14:textId="77777777" w:rsidTr="003932D7">
        <w:trPr>
          <w:trHeight w:val="281"/>
        </w:trPr>
        <w:tc>
          <w:tcPr>
            <w:tcW w:w="1115" w:type="dxa"/>
            <w:tcBorders>
              <w:top w:val="nil"/>
              <w:left w:val="single" w:sz="4" w:space="0" w:color="auto"/>
              <w:bottom w:val="single" w:sz="4" w:space="0" w:color="auto"/>
              <w:right w:val="single" w:sz="4" w:space="0" w:color="auto"/>
            </w:tcBorders>
            <w:shd w:val="clear" w:color="auto" w:fill="auto"/>
            <w:noWrap/>
            <w:vAlign w:val="bottom"/>
            <w:hideMark/>
          </w:tcPr>
          <w:p w14:paraId="6442E6CB" w14:textId="77777777" w:rsidR="002B6460" w:rsidRPr="006B3639" w:rsidRDefault="002B6460" w:rsidP="00D70227">
            <w:pPr>
              <w:spacing w:after="0" w:line="240" w:lineRule="auto"/>
              <w:jc w:val="center"/>
              <w:rPr>
                <w:rFonts w:eastAsia="Times New Roman" w:cstheme="minorHAnsi"/>
                <w:b/>
                <w:bCs/>
                <w:color w:val="000000"/>
                <w:sz w:val="20"/>
                <w:szCs w:val="20"/>
                <w:lang w:eastAsia="cs-CZ"/>
              </w:rPr>
            </w:pPr>
            <w:r w:rsidRPr="006B3639">
              <w:rPr>
                <w:rFonts w:eastAsia="Times New Roman" w:cstheme="minorHAnsi"/>
                <w:b/>
                <w:bCs/>
                <w:color w:val="000000"/>
                <w:sz w:val="20"/>
                <w:szCs w:val="20"/>
                <w:lang w:eastAsia="cs-CZ"/>
              </w:rPr>
              <w:t>2019</w:t>
            </w:r>
          </w:p>
        </w:tc>
        <w:tc>
          <w:tcPr>
            <w:tcW w:w="828" w:type="dxa"/>
            <w:tcBorders>
              <w:top w:val="nil"/>
              <w:left w:val="nil"/>
              <w:bottom w:val="single" w:sz="4" w:space="0" w:color="auto"/>
              <w:right w:val="single" w:sz="4" w:space="0" w:color="auto"/>
            </w:tcBorders>
            <w:shd w:val="clear" w:color="auto" w:fill="auto"/>
            <w:noWrap/>
            <w:vAlign w:val="bottom"/>
            <w:hideMark/>
          </w:tcPr>
          <w:p w14:paraId="759CE4D1" w14:textId="77777777" w:rsidR="002B6460" w:rsidRPr="006B3639" w:rsidRDefault="002B6460" w:rsidP="00D70227">
            <w:pPr>
              <w:spacing w:after="0" w:line="240" w:lineRule="auto"/>
              <w:jc w:val="right"/>
              <w:rPr>
                <w:rFonts w:eastAsia="Times New Roman" w:cstheme="minorHAnsi"/>
                <w:color w:val="000000"/>
                <w:sz w:val="20"/>
                <w:szCs w:val="20"/>
                <w:lang w:eastAsia="cs-CZ"/>
              </w:rPr>
            </w:pPr>
            <w:r w:rsidRPr="006B3639">
              <w:rPr>
                <w:rFonts w:eastAsia="Times New Roman" w:cstheme="minorHAnsi"/>
                <w:color w:val="000000"/>
                <w:sz w:val="20"/>
                <w:szCs w:val="20"/>
                <w:lang w:eastAsia="cs-CZ"/>
              </w:rPr>
              <w:t>4 679</w:t>
            </w:r>
          </w:p>
        </w:tc>
        <w:tc>
          <w:tcPr>
            <w:tcW w:w="964" w:type="dxa"/>
            <w:tcBorders>
              <w:top w:val="nil"/>
              <w:left w:val="nil"/>
              <w:bottom w:val="single" w:sz="4" w:space="0" w:color="auto"/>
              <w:right w:val="single" w:sz="4" w:space="0" w:color="auto"/>
            </w:tcBorders>
            <w:shd w:val="clear" w:color="auto" w:fill="auto"/>
            <w:noWrap/>
            <w:vAlign w:val="bottom"/>
            <w:hideMark/>
          </w:tcPr>
          <w:p w14:paraId="1F03156C" w14:textId="77777777" w:rsidR="002B6460" w:rsidRPr="006B3639" w:rsidRDefault="002B6460" w:rsidP="00D70227">
            <w:pPr>
              <w:spacing w:after="0" w:line="240" w:lineRule="auto"/>
              <w:jc w:val="right"/>
              <w:rPr>
                <w:rFonts w:eastAsia="Times New Roman" w:cstheme="minorHAnsi"/>
                <w:color w:val="000000"/>
                <w:sz w:val="20"/>
                <w:szCs w:val="20"/>
                <w:lang w:eastAsia="cs-CZ"/>
              </w:rPr>
            </w:pPr>
            <w:r w:rsidRPr="006B3639">
              <w:rPr>
                <w:rFonts w:eastAsia="Times New Roman" w:cstheme="minorHAnsi"/>
                <w:color w:val="000000"/>
                <w:sz w:val="20"/>
                <w:szCs w:val="20"/>
                <w:lang w:eastAsia="cs-CZ"/>
              </w:rPr>
              <w:t>1 128</w:t>
            </w:r>
          </w:p>
        </w:tc>
        <w:tc>
          <w:tcPr>
            <w:tcW w:w="969" w:type="dxa"/>
            <w:tcBorders>
              <w:top w:val="nil"/>
              <w:left w:val="nil"/>
              <w:bottom w:val="single" w:sz="4" w:space="0" w:color="auto"/>
              <w:right w:val="single" w:sz="4" w:space="0" w:color="auto"/>
            </w:tcBorders>
            <w:shd w:val="clear" w:color="auto" w:fill="auto"/>
            <w:noWrap/>
            <w:vAlign w:val="bottom"/>
            <w:hideMark/>
          </w:tcPr>
          <w:p w14:paraId="54598E80" w14:textId="04FF1069" w:rsidR="002B6460" w:rsidRPr="006B3639" w:rsidRDefault="002B6460" w:rsidP="00C07857">
            <w:pPr>
              <w:spacing w:after="0" w:line="240" w:lineRule="auto"/>
              <w:ind w:right="57"/>
              <w:jc w:val="right"/>
              <w:rPr>
                <w:rFonts w:eastAsia="Times New Roman" w:cstheme="minorHAnsi"/>
                <w:color w:val="000000"/>
                <w:sz w:val="20"/>
                <w:szCs w:val="20"/>
                <w:lang w:eastAsia="cs-CZ"/>
              </w:rPr>
            </w:pPr>
            <w:r w:rsidRPr="006B3639">
              <w:rPr>
                <w:rFonts w:eastAsia="Times New Roman" w:cstheme="minorHAnsi"/>
                <w:color w:val="000000"/>
                <w:sz w:val="20"/>
                <w:szCs w:val="20"/>
                <w:lang w:eastAsia="cs-CZ"/>
              </w:rPr>
              <w:t>24,1</w:t>
            </w:r>
            <w:r w:rsidR="00C07857">
              <w:rPr>
                <w:rFonts w:eastAsia="Times New Roman" w:cstheme="minorHAnsi"/>
                <w:color w:val="000000"/>
                <w:sz w:val="20"/>
                <w:szCs w:val="20"/>
                <w:lang w:eastAsia="cs-CZ"/>
              </w:rPr>
              <w:t xml:space="preserve"> %</w:t>
            </w:r>
          </w:p>
        </w:tc>
        <w:tc>
          <w:tcPr>
            <w:tcW w:w="1644" w:type="dxa"/>
            <w:tcBorders>
              <w:top w:val="nil"/>
              <w:left w:val="nil"/>
              <w:bottom w:val="single" w:sz="4" w:space="0" w:color="auto"/>
              <w:right w:val="single" w:sz="4" w:space="0" w:color="auto"/>
            </w:tcBorders>
            <w:shd w:val="clear" w:color="auto" w:fill="auto"/>
            <w:noWrap/>
            <w:vAlign w:val="bottom"/>
            <w:hideMark/>
          </w:tcPr>
          <w:p w14:paraId="0ABC9C2B" w14:textId="77777777" w:rsidR="002B6460" w:rsidRPr="006B3639" w:rsidRDefault="002B6460" w:rsidP="00D70227">
            <w:pPr>
              <w:spacing w:after="0" w:line="240" w:lineRule="auto"/>
              <w:jc w:val="right"/>
              <w:rPr>
                <w:rFonts w:eastAsia="Times New Roman" w:cstheme="minorHAnsi"/>
                <w:color w:val="000000"/>
                <w:sz w:val="20"/>
                <w:szCs w:val="20"/>
                <w:lang w:eastAsia="cs-CZ"/>
              </w:rPr>
            </w:pPr>
            <w:r w:rsidRPr="006B3639">
              <w:rPr>
                <w:rFonts w:eastAsia="Times New Roman" w:cstheme="minorHAnsi"/>
                <w:color w:val="000000"/>
                <w:sz w:val="20"/>
                <w:szCs w:val="20"/>
                <w:lang w:eastAsia="cs-CZ"/>
              </w:rPr>
              <w:t>4 803 415 226</w:t>
            </w:r>
          </w:p>
        </w:tc>
        <w:tc>
          <w:tcPr>
            <w:tcW w:w="1514" w:type="dxa"/>
            <w:tcBorders>
              <w:top w:val="nil"/>
              <w:left w:val="nil"/>
              <w:bottom w:val="single" w:sz="4" w:space="0" w:color="auto"/>
              <w:right w:val="single" w:sz="4" w:space="0" w:color="auto"/>
            </w:tcBorders>
            <w:shd w:val="clear" w:color="auto" w:fill="auto"/>
            <w:noWrap/>
            <w:vAlign w:val="bottom"/>
            <w:hideMark/>
          </w:tcPr>
          <w:p w14:paraId="00BFE508" w14:textId="77777777" w:rsidR="002B6460" w:rsidRPr="006B3639" w:rsidRDefault="002B6460" w:rsidP="00D70227">
            <w:pPr>
              <w:spacing w:after="0" w:line="240" w:lineRule="auto"/>
              <w:jc w:val="right"/>
              <w:rPr>
                <w:rFonts w:eastAsia="Times New Roman" w:cstheme="minorHAnsi"/>
                <w:color w:val="000000"/>
                <w:sz w:val="20"/>
                <w:szCs w:val="20"/>
                <w:lang w:eastAsia="cs-CZ"/>
              </w:rPr>
            </w:pPr>
            <w:r w:rsidRPr="006B3639">
              <w:rPr>
                <w:rFonts w:eastAsia="Times New Roman" w:cstheme="minorHAnsi"/>
                <w:color w:val="000000"/>
                <w:sz w:val="20"/>
                <w:szCs w:val="20"/>
                <w:lang w:eastAsia="cs-CZ"/>
              </w:rPr>
              <w:t>956 721 820</w:t>
            </w:r>
          </w:p>
        </w:tc>
        <w:tc>
          <w:tcPr>
            <w:tcW w:w="1246" w:type="dxa"/>
            <w:tcBorders>
              <w:top w:val="nil"/>
              <w:left w:val="nil"/>
              <w:bottom w:val="single" w:sz="4" w:space="0" w:color="auto"/>
              <w:right w:val="single" w:sz="4" w:space="0" w:color="auto"/>
            </w:tcBorders>
            <w:shd w:val="clear" w:color="auto" w:fill="auto"/>
            <w:noWrap/>
            <w:vAlign w:val="bottom"/>
            <w:hideMark/>
          </w:tcPr>
          <w:p w14:paraId="5CC21B5A" w14:textId="77777777" w:rsidR="002B6460" w:rsidRPr="006B3639" w:rsidRDefault="002B6460" w:rsidP="00D70227">
            <w:pPr>
              <w:spacing w:after="0" w:line="240" w:lineRule="auto"/>
              <w:jc w:val="right"/>
              <w:rPr>
                <w:rFonts w:eastAsia="Times New Roman" w:cstheme="minorHAnsi"/>
                <w:color w:val="000000"/>
                <w:sz w:val="20"/>
                <w:szCs w:val="20"/>
                <w:lang w:eastAsia="cs-CZ"/>
              </w:rPr>
            </w:pPr>
            <w:r w:rsidRPr="006B3639">
              <w:rPr>
                <w:rFonts w:eastAsia="Times New Roman" w:cstheme="minorHAnsi"/>
                <w:color w:val="000000"/>
                <w:sz w:val="20"/>
                <w:szCs w:val="20"/>
                <w:lang w:eastAsia="cs-CZ"/>
              </w:rPr>
              <w:t>1 083 270</w:t>
            </w:r>
          </w:p>
        </w:tc>
        <w:tc>
          <w:tcPr>
            <w:tcW w:w="1220" w:type="dxa"/>
            <w:tcBorders>
              <w:top w:val="nil"/>
              <w:left w:val="nil"/>
              <w:bottom w:val="single" w:sz="4" w:space="0" w:color="auto"/>
              <w:right w:val="single" w:sz="4" w:space="0" w:color="auto"/>
            </w:tcBorders>
            <w:shd w:val="clear" w:color="auto" w:fill="auto"/>
            <w:noWrap/>
            <w:vAlign w:val="bottom"/>
            <w:hideMark/>
          </w:tcPr>
          <w:p w14:paraId="1DA0356C" w14:textId="77777777" w:rsidR="002B6460" w:rsidRPr="006B3639" w:rsidRDefault="002B6460" w:rsidP="00D70227">
            <w:pPr>
              <w:spacing w:after="0" w:line="240" w:lineRule="auto"/>
              <w:jc w:val="right"/>
              <w:rPr>
                <w:rFonts w:eastAsia="Times New Roman" w:cstheme="minorHAnsi"/>
                <w:color w:val="000000"/>
                <w:sz w:val="20"/>
                <w:szCs w:val="20"/>
                <w:lang w:eastAsia="cs-CZ"/>
              </w:rPr>
            </w:pPr>
            <w:r w:rsidRPr="006B3639">
              <w:rPr>
                <w:rFonts w:eastAsia="Times New Roman" w:cstheme="minorHAnsi"/>
                <w:color w:val="000000"/>
                <w:sz w:val="20"/>
                <w:szCs w:val="20"/>
                <w:lang w:eastAsia="cs-CZ"/>
              </w:rPr>
              <w:t>848 158</w:t>
            </w:r>
          </w:p>
        </w:tc>
      </w:tr>
      <w:tr w:rsidR="006B3639" w:rsidRPr="006B3639" w14:paraId="18B2D352" w14:textId="77777777" w:rsidTr="003932D7">
        <w:trPr>
          <w:trHeight w:val="281"/>
        </w:trPr>
        <w:tc>
          <w:tcPr>
            <w:tcW w:w="1115" w:type="dxa"/>
            <w:tcBorders>
              <w:top w:val="nil"/>
              <w:left w:val="single" w:sz="4" w:space="0" w:color="auto"/>
              <w:bottom w:val="single" w:sz="4" w:space="0" w:color="auto"/>
              <w:right w:val="single" w:sz="4" w:space="0" w:color="auto"/>
            </w:tcBorders>
            <w:shd w:val="clear" w:color="auto" w:fill="auto"/>
            <w:noWrap/>
            <w:vAlign w:val="bottom"/>
            <w:hideMark/>
          </w:tcPr>
          <w:p w14:paraId="5686A779" w14:textId="77777777" w:rsidR="002B6460" w:rsidRPr="006B3639" w:rsidRDefault="002B6460" w:rsidP="00D70227">
            <w:pPr>
              <w:spacing w:after="0" w:line="240" w:lineRule="auto"/>
              <w:jc w:val="center"/>
              <w:rPr>
                <w:rFonts w:eastAsia="Times New Roman" w:cstheme="minorHAnsi"/>
                <w:b/>
                <w:bCs/>
                <w:color w:val="000000"/>
                <w:sz w:val="20"/>
                <w:szCs w:val="20"/>
                <w:lang w:eastAsia="cs-CZ"/>
              </w:rPr>
            </w:pPr>
            <w:r w:rsidRPr="006B3639">
              <w:rPr>
                <w:rFonts w:eastAsia="Times New Roman" w:cstheme="minorHAnsi"/>
                <w:b/>
                <w:bCs/>
                <w:color w:val="000000"/>
                <w:sz w:val="20"/>
                <w:szCs w:val="20"/>
                <w:lang w:eastAsia="cs-CZ"/>
              </w:rPr>
              <w:t>2020</w:t>
            </w:r>
          </w:p>
        </w:tc>
        <w:tc>
          <w:tcPr>
            <w:tcW w:w="828" w:type="dxa"/>
            <w:tcBorders>
              <w:top w:val="nil"/>
              <w:left w:val="nil"/>
              <w:bottom w:val="single" w:sz="4" w:space="0" w:color="auto"/>
              <w:right w:val="single" w:sz="4" w:space="0" w:color="auto"/>
            </w:tcBorders>
            <w:shd w:val="clear" w:color="auto" w:fill="auto"/>
            <w:noWrap/>
            <w:vAlign w:val="bottom"/>
            <w:hideMark/>
          </w:tcPr>
          <w:p w14:paraId="06D3B38A" w14:textId="77777777" w:rsidR="002B6460" w:rsidRPr="006B3639" w:rsidRDefault="002B6460" w:rsidP="00D70227">
            <w:pPr>
              <w:spacing w:after="0" w:line="240" w:lineRule="auto"/>
              <w:jc w:val="right"/>
              <w:rPr>
                <w:rFonts w:eastAsia="Times New Roman" w:cstheme="minorHAnsi"/>
                <w:color w:val="000000"/>
                <w:sz w:val="20"/>
                <w:szCs w:val="20"/>
                <w:lang w:eastAsia="cs-CZ"/>
              </w:rPr>
            </w:pPr>
            <w:r w:rsidRPr="006B3639">
              <w:rPr>
                <w:rFonts w:eastAsia="Times New Roman" w:cstheme="minorHAnsi"/>
                <w:color w:val="000000"/>
                <w:sz w:val="20"/>
                <w:szCs w:val="20"/>
                <w:lang w:eastAsia="cs-CZ"/>
              </w:rPr>
              <w:t>3 432</w:t>
            </w:r>
          </w:p>
        </w:tc>
        <w:tc>
          <w:tcPr>
            <w:tcW w:w="964" w:type="dxa"/>
            <w:tcBorders>
              <w:top w:val="nil"/>
              <w:left w:val="nil"/>
              <w:bottom w:val="single" w:sz="4" w:space="0" w:color="auto"/>
              <w:right w:val="single" w:sz="4" w:space="0" w:color="auto"/>
            </w:tcBorders>
            <w:shd w:val="clear" w:color="auto" w:fill="auto"/>
            <w:noWrap/>
            <w:vAlign w:val="bottom"/>
            <w:hideMark/>
          </w:tcPr>
          <w:p w14:paraId="029B5BCD" w14:textId="77777777" w:rsidR="002B6460" w:rsidRPr="006B3639" w:rsidRDefault="002B6460" w:rsidP="00D70227">
            <w:pPr>
              <w:spacing w:after="0" w:line="240" w:lineRule="auto"/>
              <w:jc w:val="right"/>
              <w:rPr>
                <w:rFonts w:eastAsia="Times New Roman" w:cstheme="minorHAnsi"/>
                <w:color w:val="000000"/>
                <w:sz w:val="20"/>
                <w:szCs w:val="20"/>
                <w:lang w:eastAsia="cs-CZ"/>
              </w:rPr>
            </w:pPr>
            <w:r w:rsidRPr="006B3639">
              <w:rPr>
                <w:rFonts w:eastAsia="Times New Roman" w:cstheme="minorHAnsi"/>
                <w:color w:val="000000"/>
                <w:sz w:val="20"/>
                <w:szCs w:val="20"/>
                <w:lang w:eastAsia="cs-CZ"/>
              </w:rPr>
              <w:t>1 085</w:t>
            </w:r>
          </w:p>
        </w:tc>
        <w:tc>
          <w:tcPr>
            <w:tcW w:w="969" w:type="dxa"/>
            <w:tcBorders>
              <w:top w:val="nil"/>
              <w:left w:val="nil"/>
              <w:bottom w:val="single" w:sz="4" w:space="0" w:color="auto"/>
              <w:right w:val="single" w:sz="4" w:space="0" w:color="auto"/>
            </w:tcBorders>
            <w:shd w:val="clear" w:color="auto" w:fill="auto"/>
            <w:noWrap/>
            <w:vAlign w:val="bottom"/>
            <w:hideMark/>
          </w:tcPr>
          <w:p w14:paraId="1D1D7076" w14:textId="42B37C12" w:rsidR="002B6460" w:rsidRPr="006B3639" w:rsidRDefault="002B6460" w:rsidP="00C07857">
            <w:pPr>
              <w:spacing w:after="0" w:line="240" w:lineRule="auto"/>
              <w:ind w:right="57"/>
              <w:jc w:val="right"/>
              <w:rPr>
                <w:rFonts w:eastAsia="Times New Roman" w:cstheme="minorHAnsi"/>
                <w:color w:val="000000"/>
                <w:sz w:val="20"/>
                <w:szCs w:val="20"/>
                <w:lang w:eastAsia="cs-CZ"/>
              </w:rPr>
            </w:pPr>
            <w:r w:rsidRPr="006B3639">
              <w:rPr>
                <w:rFonts w:eastAsia="Times New Roman" w:cstheme="minorHAnsi"/>
                <w:color w:val="000000"/>
                <w:sz w:val="20"/>
                <w:szCs w:val="20"/>
                <w:lang w:eastAsia="cs-CZ"/>
              </w:rPr>
              <w:t>31,6</w:t>
            </w:r>
            <w:r w:rsidR="00C07857">
              <w:rPr>
                <w:rFonts w:eastAsia="Times New Roman" w:cstheme="minorHAnsi"/>
                <w:color w:val="000000"/>
                <w:sz w:val="20"/>
                <w:szCs w:val="20"/>
                <w:lang w:eastAsia="cs-CZ"/>
              </w:rPr>
              <w:t xml:space="preserve"> %</w:t>
            </w:r>
          </w:p>
        </w:tc>
        <w:tc>
          <w:tcPr>
            <w:tcW w:w="1644" w:type="dxa"/>
            <w:tcBorders>
              <w:top w:val="nil"/>
              <w:left w:val="nil"/>
              <w:bottom w:val="single" w:sz="4" w:space="0" w:color="auto"/>
              <w:right w:val="single" w:sz="4" w:space="0" w:color="auto"/>
            </w:tcBorders>
            <w:shd w:val="clear" w:color="auto" w:fill="auto"/>
            <w:noWrap/>
            <w:vAlign w:val="bottom"/>
            <w:hideMark/>
          </w:tcPr>
          <w:p w14:paraId="0D702010" w14:textId="77777777" w:rsidR="002B6460" w:rsidRPr="006B3639" w:rsidRDefault="002B6460" w:rsidP="00D70227">
            <w:pPr>
              <w:spacing w:after="0" w:line="240" w:lineRule="auto"/>
              <w:jc w:val="right"/>
              <w:rPr>
                <w:rFonts w:eastAsia="Times New Roman" w:cstheme="minorHAnsi"/>
                <w:color w:val="000000"/>
                <w:sz w:val="20"/>
                <w:szCs w:val="20"/>
                <w:lang w:eastAsia="cs-CZ"/>
              </w:rPr>
            </w:pPr>
            <w:r w:rsidRPr="006B3639">
              <w:rPr>
                <w:rFonts w:eastAsia="Times New Roman" w:cstheme="minorHAnsi"/>
                <w:color w:val="000000"/>
                <w:sz w:val="20"/>
                <w:szCs w:val="20"/>
                <w:lang w:eastAsia="cs-CZ"/>
              </w:rPr>
              <w:t>3 776 526 082</w:t>
            </w:r>
          </w:p>
        </w:tc>
        <w:tc>
          <w:tcPr>
            <w:tcW w:w="1514" w:type="dxa"/>
            <w:tcBorders>
              <w:top w:val="nil"/>
              <w:left w:val="nil"/>
              <w:bottom w:val="single" w:sz="4" w:space="0" w:color="auto"/>
              <w:right w:val="single" w:sz="4" w:space="0" w:color="auto"/>
            </w:tcBorders>
            <w:shd w:val="clear" w:color="auto" w:fill="auto"/>
            <w:noWrap/>
            <w:vAlign w:val="bottom"/>
            <w:hideMark/>
          </w:tcPr>
          <w:p w14:paraId="218AAAFB" w14:textId="77777777" w:rsidR="002B6460" w:rsidRPr="006B3639" w:rsidRDefault="002B6460" w:rsidP="00D70227">
            <w:pPr>
              <w:spacing w:after="0" w:line="240" w:lineRule="auto"/>
              <w:jc w:val="right"/>
              <w:rPr>
                <w:rFonts w:eastAsia="Times New Roman" w:cstheme="minorHAnsi"/>
                <w:color w:val="000000"/>
                <w:sz w:val="20"/>
                <w:szCs w:val="20"/>
                <w:lang w:eastAsia="cs-CZ"/>
              </w:rPr>
            </w:pPr>
            <w:r w:rsidRPr="006B3639">
              <w:rPr>
                <w:rFonts w:eastAsia="Times New Roman" w:cstheme="minorHAnsi"/>
                <w:color w:val="000000"/>
                <w:sz w:val="20"/>
                <w:szCs w:val="20"/>
                <w:lang w:eastAsia="cs-CZ"/>
              </w:rPr>
              <w:t>803 000 065</w:t>
            </w:r>
          </w:p>
        </w:tc>
        <w:tc>
          <w:tcPr>
            <w:tcW w:w="1246" w:type="dxa"/>
            <w:tcBorders>
              <w:top w:val="nil"/>
              <w:left w:val="nil"/>
              <w:bottom w:val="single" w:sz="4" w:space="0" w:color="auto"/>
              <w:right w:val="single" w:sz="4" w:space="0" w:color="auto"/>
            </w:tcBorders>
            <w:shd w:val="clear" w:color="auto" w:fill="auto"/>
            <w:noWrap/>
            <w:vAlign w:val="bottom"/>
            <w:hideMark/>
          </w:tcPr>
          <w:p w14:paraId="5FCE1641" w14:textId="77777777" w:rsidR="002B6460" w:rsidRPr="006B3639" w:rsidRDefault="002B6460" w:rsidP="00D70227">
            <w:pPr>
              <w:spacing w:after="0" w:line="240" w:lineRule="auto"/>
              <w:jc w:val="right"/>
              <w:rPr>
                <w:rFonts w:eastAsia="Times New Roman" w:cstheme="minorHAnsi"/>
                <w:color w:val="000000"/>
                <w:sz w:val="20"/>
                <w:szCs w:val="20"/>
                <w:lang w:eastAsia="cs-CZ"/>
              </w:rPr>
            </w:pPr>
            <w:r w:rsidRPr="006B3639">
              <w:rPr>
                <w:rFonts w:eastAsia="Times New Roman" w:cstheme="minorHAnsi"/>
                <w:color w:val="000000"/>
                <w:sz w:val="20"/>
                <w:szCs w:val="20"/>
                <w:lang w:eastAsia="cs-CZ"/>
              </w:rPr>
              <w:t>1 266 948</w:t>
            </w:r>
          </w:p>
        </w:tc>
        <w:tc>
          <w:tcPr>
            <w:tcW w:w="1220" w:type="dxa"/>
            <w:tcBorders>
              <w:top w:val="nil"/>
              <w:left w:val="nil"/>
              <w:bottom w:val="single" w:sz="4" w:space="0" w:color="auto"/>
              <w:right w:val="single" w:sz="4" w:space="0" w:color="auto"/>
            </w:tcBorders>
            <w:shd w:val="clear" w:color="auto" w:fill="auto"/>
            <w:noWrap/>
            <w:vAlign w:val="bottom"/>
            <w:hideMark/>
          </w:tcPr>
          <w:p w14:paraId="0038A8DD" w14:textId="77777777" w:rsidR="002B6460" w:rsidRPr="006B3639" w:rsidRDefault="002B6460" w:rsidP="00D70227">
            <w:pPr>
              <w:spacing w:after="0" w:line="240" w:lineRule="auto"/>
              <w:jc w:val="right"/>
              <w:rPr>
                <w:rFonts w:eastAsia="Times New Roman" w:cstheme="minorHAnsi"/>
                <w:color w:val="000000"/>
                <w:sz w:val="20"/>
                <w:szCs w:val="20"/>
                <w:lang w:eastAsia="cs-CZ"/>
              </w:rPr>
            </w:pPr>
            <w:r w:rsidRPr="006B3639">
              <w:rPr>
                <w:rFonts w:eastAsia="Times New Roman" w:cstheme="minorHAnsi"/>
                <w:color w:val="000000"/>
                <w:sz w:val="20"/>
                <w:szCs w:val="20"/>
                <w:lang w:eastAsia="cs-CZ"/>
              </w:rPr>
              <w:t>740 092</w:t>
            </w:r>
          </w:p>
        </w:tc>
      </w:tr>
      <w:tr w:rsidR="006B3639" w:rsidRPr="006B3639" w14:paraId="0BFB1727" w14:textId="77777777" w:rsidTr="003932D7">
        <w:trPr>
          <w:trHeight w:val="281"/>
        </w:trPr>
        <w:tc>
          <w:tcPr>
            <w:tcW w:w="1115" w:type="dxa"/>
            <w:tcBorders>
              <w:top w:val="nil"/>
              <w:left w:val="single" w:sz="4" w:space="0" w:color="auto"/>
              <w:bottom w:val="single" w:sz="4" w:space="0" w:color="auto"/>
              <w:right w:val="single" w:sz="4" w:space="0" w:color="auto"/>
            </w:tcBorders>
            <w:shd w:val="clear" w:color="auto" w:fill="auto"/>
            <w:noWrap/>
            <w:vAlign w:val="bottom"/>
            <w:hideMark/>
          </w:tcPr>
          <w:p w14:paraId="1F61AAA3" w14:textId="77777777" w:rsidR="002B6460" w:rsidRPr="006B3639" w:rsidRDefault="002B6460" w:rsidP="00D70227">
            <w:pPr>
              <w:spacing w:after="0" w:line="240" w:lineRule="auto"/>
              <w:jc w:val="center"/>
              <w:rPr>
                <w:rFonts w:eastAsia="Times New Roman" w:cstheme="minorHAnsi"/>
                <w:b/>
                <w:bCs/>
                <w:color w:val="000000"/>
                <w:sz w:val="20"/>
                <w:szCs w:val="20"/>
                <w:lang w:eastAsia="cs-CZ"/>
              </w:rPr>
            </w:pPr>
            <w:r w:rsidRPr="006B3639">
              <w:rPr>
                <w:rFonts w:eastAsia="Times New Roman" w:cstheme="minorHAnsi"/>
                <w:b/>
                <w:bCs/>
                <w:color w:val="000000"/>
                <w:sz w:val="20"/>
                <w:szCs w:val="20"/>
                <w:lang w:eastAsia="cs-CZ"/>
              </w:rPr>
              <w:t>2021</w:t>
            </w:r>
          </w:p>
        </w:tc>
        <w:tc>
          <w:tcPr>
            <w:tcW w:w="828" w:type="dxa"/>
            <w:tcBorders>
              <w:top w:val="nil"/>
              <w:left w:val="nil"/>
              <w:bottom w:val="single" w:sz="4" w:space="0" w:color="auto"/>
              <w:right w:val="single" w:sz="4" w:space="0" w:color="auto"/>
            </w:tcBorders>
            <w:shd w:val="clear" w:color="auto" w:fill="auto"/>
            <w:noWrap/>
            <w:vAlign w:val="bottom"/>
            <w:hideMark/>
          </w:tcPr>
          <w:p w14:paraId="00DBF9C1" w14:textId="77777777" w:rsidR="002B6460" w:rsidRPr="006B3639" w:rsidRDefault="002B6460" w:rsidP="00D70227">
            <w:pPr>
              <w:spacing w:after="0" w:line="240" w:lineRule="auto"/>
              <w:jc w:val="right"/>
              <w:rPr>
                <w:rFonts w:eastAsia="Times New Roman" w:cstheme="minorHAnsi"/>
                <w:color w:val="000000"/>
                <w:sz w:val="20"/>
                <w:szCs w:val="20"/>
                <w:lang w:eastAsia="cs-CZ"/>
              </w:rPr>
            </w:pPr>
            <w:r w:rsidRPr="006B3639">
              <w:rPr>
                <w:rFonts w:eastAsia="Times New Roman" w:cstheme="minorHAnsi"/>
                <w:color w:val="000000"/>
                <w:sz w:val="20"/>
                <w:szCs w:val="20"/>
                <w:lang w:eastAsia="cs-CZ"/>
              </w:rPr>
              <w:t>3 584</w:t>
            </w:r>
          </w:p>
        </w:tc>
        <w:tc>
          <w:tcPr>
            <w:tcW w:w="964" w:type="dxa"/>
            <w:tcBorders>
              <w:top w:val="nil"/>
              <w:left w:val="nil"/>
              <w:bottom w:val="single" w:sz="4" w:space="0" w:color="auto"/>
              <w:right w:val="single" w:sz="4" w:space="0" w:color="auto"/>
            </w:tcBorders>
            <w:shd w:val="clear" w:color="auto" w:fill="auto"/>
            <w:noWrap/>
            <w:vAlign w:val="bottom"/>
            <w:hideMark/>
          </w:tcPr>
          <w:p w14:paraId="12091232" w14:textId="77777777" w:rsidR="002B6460" w:rsidRPr="006B3639" w:rsidRDefault="002B6460" w:rsidP="00D70227">
            <w:pPr>
              <w:spacing w:after="0" w:line="240" w:lineRule="auto"/>
              <w:jc w:val="right"/>
              <w:rPr>
                <w:rFonts w:eastAsia="Times New Roman" w:cstheme="minorHAnsi"/>
                <w:color w:val="000000"/>
                <w:sz w:val="20"/>
                <w:szCs w:val="20"/>
                <w:lang w:eastAsia="cs-CZ"/>
              </w:rPr>
            </w:pPr>
            <w:r w:rsidRPr="006B3639">
              <w:rPr>
                <w:rFonts w:eastAsia="Times New Roman" w:cstheme="minorHAnsi"/>
                <w:color w:val="000000"/>
                <w:sz w:val="20"/>
                <w:szCs w:val="20"/>
                <w:lang w:eastAsia="cs-CZ"/>
              </w:rPr>
              <w:t>1 337</w:t>
            </w:r>
          </w:p>
        </w:tc>
        <w:tc>
          <w:tcPr>
            <w:tcW w:w="969" w:type="dxa"/>
            <w:tcBorders>
              <w:top w:val="nil"/>
              <w:left w:val="nil"/>
              <w:bottom w:val="single" w:sz="4" w:space="0" w:color="auto"/>
              <w:right w:val="single" w:sz="4" w:space="0" w:color="auto"/>
            </w:tcBorders>
            <w:shd w:val="clear" w:color="auto" w:fill="auto"/>
            <w:noWrap/>
            <w:vAlign w:val="bottom"/>
            <w:hideMark/>
          </w:tcPr>
          <w:p w14:paraId="010BBAAC" w14:textId="36722869" w:rsidR="002B6460" w:rsidRPr="006B3639" w:rsidRDefault="002B6460" w:rsidP="00C07857">
            <w:pPr>
              <w:spacing w:after="0" w:line="240" w:lineRule="auto"/>
              <w:ind w:right="57"/>
              <w:jc w:val="right"/>
              <w:rPr>
                <w:rFonts w:eastAsia="Times New Roman" w:cstheme="minorHAnsi"/>
                <w:color w:val="000000"/>
                <w:sz w:val="20"/>
                <w:szCs w:val="20"/>
                <w:lang w:eastAsia="cs-CZ"/>
              </w:rPr>
            </w:pPr>
            <w:r w:rsidRPr="006B3639">
              <w:rPr>
                <w:rFonts w:eastAsia="Times New Roman" w:cstheme="minorHAnsi"/>
                <w:color w:val="000000"/>
                <w:sz w:val="20"/>
                <w:szCs w:val="20"/>
                <w:lang w:eastAsia="cs-CZ"/>
              </w:rPr>
              <w:t>37,3</w:t>
            </w:r>
            <w:r w:rsidR="00C07857">
              <w:rPr>
                <w:rFonts w:eastAsia="Times New Roman" w:cstheme="minorHAnsi"/>
                <w:color w:val="000000"/>
                <w:sz w:val="20"/>
                <w:szCs w:val="20"/>
                <w:lang w:eastAsia="cs-CZ"/>
              </w:rPr>
              <w:t xml:space="preserve"> %</w:t>
            </w:r>
          </w:p>
        </w:tc>
        <w:tc>
          <w:tcPr>
            <w:tcW w:w="1644" w:type="dxa"/>
            <w:tcBorders>
              <w:top w:val="nil"/>
              <w:left w:val="nil"/>
              <w:bottom w:val="single" w:sz="4" w:space="0" w:color="auto"/>
              <w:right w:val="single" w:sz="4" w:space="0" w:color="auto"/>
            </w:tcBorders>
            <w:shd w:val="clear" w:color="auto" w:fill="auto"/>
            <w:noWrap/>
            <w:vAlign w:val="bottom"/>
            <w:hideMark/>
          </w:tcPr>
          <w:p w14:paraId="3A05016F" w14:textId="77777777" w:rsidR="002B6460" w:rsidRPr="006B3639" w:rsidRDefault="002B6460" w:rsidP="00D70227">
            <w:pPr>
              <w:spacing w:after="0" w:line="240" w:lineRule="auto"/>
              <w:jc w:val="right"/>
              <w:rPr>
                <w:rFonts w:eastAsia="Times New Roman" w:cstheme="minorHAnsi"/>
                <w:color w:val="000000"/>
                <w:sz w:val="20"/>
                <w:szCs w:val="20"/>
                <w:lang w:eastAsia="cs-CZ"/>
              </w:rPr>
            </w:pPr>
            <w:r w:rsidRPr="006B3639">
              <w:rPr>
                <w:rFonts w:eastAsia="Times New Roman" w:cstheme="minorHAnsi"/>
                <w:color w:val="000000"/>
                <w:sz w:val="20"/>
                <w:szCs w:val="20"/>
                <w:lang w:eastAsia="cs-CZ"/>
              </w:rPr>
              <w:t>3 497 281 075</w:t>
            </w:r>
          </w:p>
        </w:tc>
        <w:tc>
          <w:tcPr>
            <w:tcW w:w="1514" w:type="dxa"/>
            <w:tcBorders>
              <w:top w:val="nil"/>
              <w:left w:val="nil"/>
              <w:bottom w:val="single" w:sz="4" w:space="0" w:color="auto"/>
              <w:right w:val="single" w:sz="4" w:space="0" w:color="auto"/>
            </w:tcBorders>
            <w:shd w:val="clear" w:color="auto" w:fill="auto"/>
            <w:noWrap/>
            <w:vAlign w:val="bottom"/>
            <w:hideMark/>
          </w:tcPr>
          <w:p w14:paraId="6D14D035" w14:textId="77777777" w:rsidR="002B6460" w:rsidRPr="006B3639" w:rsidRDefault="002B6460" w:rsidP="00D70227">
            <w:pPr>
              <w:spacing w:after="0" w:line="240" w:lineRule="auto"/>
              <w:jc w:val="right"/>
              <w:rPr>
                <w:rFonts w:eastAsia="Times New Roman" w:cstheme="minorHAnsi"/>
                <w:color w:val="000000"/>
                <w:sz w:val="20"/>
                <w:szCs w:val="20"/>
                <w:lang w:eastAsia="cs-CZ"/>
              </w:rPr>
            </w:pPr>
            <w:r w:rsidRPr="006B3639">
              <w:rPr>
                <w:rFonts w:eastAsia="Times New Roman" w:cstheme="minorHAnsi"/>
                <w:color w:val="000000"/>
                <w:sz w:val="20"/>
                <w:szCs w:val="20"/>
                <w:lang w:eastAsia="cs-CZ"/>
              </w:rPr>
              <w:t>1 224 040 422</w:t>
            </w:r>
          </w:p>
        </w:tc>
        <w:tc>
          <w:tcPr>
            <w:tcW w:w="1246" w:type="dxa"/>
            <w:tcBorders>
              <w:top w:val="nil"/>
              <w:left w:val="nil"/>
              <w:bottom w:val="single" w:sz="4" w:space="0" w:color="auto"/>
              <w:right w:val="single" w:sz="4" w:space="0" w:color="auto"/>
            </w:tcBorders>
            <w:shd w:val="clear" w:color="auto" w:fill="auto"/>
            <w:noWrap/>
            <w:vAlign w:val="bottom"/>
            <w:hideMark/>
          </w:tcPr>
          <w:p w14:paraId="52847CE3" w14:textId="77777777" w:rsidR="002B6460" w:rsidRPr="006B3639" w:rsidRDefault="002B6460" w:rsidP="00D70227">
            <w:pPr>
              <w:spacing w:after="0" w:line="240" w:lineRule="auto"/>
              <w:jc w:val="right"/>
              <w:rPr>
                <w:rFonts w:eastAsia="Times New Roman" w:cstheme="minorHAnsi"/>
                <w:color w:val="000000"/>
                <w:sz w:val="20"/>
                <w:szCs w:val="20"/>
                <w:lang w:eastAsia="cs-CZ"/>
              </w:rPr>
            </w:pPr>
            <w:r w:rsidRPr="006B3639">
              <w:rPr>
                <w:rFonts w:eastAsia="Times New Roman" w:cstheme="minorHAnsi"/>
                <w:color w:val="000000"/>
                <w:sz w:val="20"/>
                <w:szCs w:val="20"/>
                <w:lang w:eastAsia="cs-CZ"/>
              </w:rPr>
              <w:t>1 011 678</w:t>
            </w:r>
          </w:p>
        </w:tc>
        <w:tc>
          <w:tcPr>
            <w:tcW w:w="1220" w:type="dxa"/>
            <w:tcBorders>
              <w:top w:val="nil"/>
              <w:left w:val="nil"/>
              <w:bottom w:val="single" w:sz="4" w:space="0" w:color="auto"/>
              <w:right w:val="single" w:sz="4" w:space="0" w:color="auto"/>
            </w:tcBorders>
            <w:shd w:val="clear" w:color="auto" w:fill="auto"/>
            <w:noWrap/>
            <w:vAlign w:val="bottom"/>
            <w:hideMark/>
          </w:tcPr>
          <w:p w14:paraId="3FB7DF37" w14:textId="77777777" w:rsidR="002B6460" w:rsidRPr="006B3639" w:rsidRDefault="002B6460" w:rsidP="00D70227">
            <w:pPr>
              <w:spacing w:after="0" w:line="240" w:lineRule="auto"/>
              <w:jc w:val="right"/>
              <w:rPr>
                <w:rFonts w:eastAsia="Times New Roman" w:cstheme="minorHAnsi"/>
                <w:color w:val="000000"/>
                <w:sz w:val="20"/>
                <w:szCs w:val="20"/>
                <w:lang w:eastAsia="cs-CZ"/>
              </w:rPr>
            </w:pPr>
            <w:r w:rsidRPr="006B3639">
              <w:rPr>
                <w:rFonts w:eastAsia="Times New Roman" w:cstheme="minorHAnsi"/>
                <w:color w:val="000000"/>
                <w:sz w:val="20"/>
                <w:szCs w:val="20"/>
                <w:lang w:eastAsia="cs-CZ"/>
              </w:rPr>
              <w:t>915 513</w:t>
            </w:r>
          </w:p>
        </w:tc>
      </w:tr>
      <w:tr w:rsidR="006B3639" w:rsidRPr="006B3639" w14:paraId="491AFA12" w14:textId="77777777" w:rsidTr="003932D7">
        <w:trPr>
          <w:trHeight w:val="281"/>
        </w:trPr>
        <w:tc>
          <w:tcPr>
            <w:tcW w:w="1115" w:type="dxa"/>
            <w:tcBorders>
              <w:top w:val="nil"/>
              <w:left w:val="single" w:sz="4" w:space="0" w:color="auto"/>
              <w:bottom w:val="single" w:sz="4" w:space="0" w:color="auto"/>
              <w:right w:val="single" w:sz="4" w:space="0" w:color="auto"/>
            </w:tcBorders>
            <w:shd w:val="clear" w:color="auto" w:fill="auto"/>
            <w:noWrap/>
            <w:vAlign w:val="bottom"/>
            <w:hideMark/>
          </w:tcPr>
          <w:p w14:paraId="3AB3E24C" w14:textId="77777777" w:rsidR="002B6460" w:rsidRPr="006B3639" w:rsidRDefault="002B6460" w:rsidP="00D70227">
            <w:pPr>
              <w:spacing w:after="0" w:line="240" w:lineRule="auto"/>
              <w:jc w:val="center"/>
              <w:rPr>
                <w:rFonts w:eastAsia="Times New Roman" w:cstheme="minorHAnsi"/>
                <w:b/>
                <w:bCs/>
                <w:color w:val="000000"/>
                <w:sz w:val="20"/>
                <w:szCs w:val="20"/>
                <w:lang w:eastAsia="cs-CZ"/>
              </w:rPr>
            </w:pPr>
            <w:r w:rsidRPr="006B3639">
              <w:rPr>
                <w:rFonts w:eastAsia="Times New Roman" w:cstheme="minorHAnsi"/>
                <w:b/>
                <w:bCs/>
                <w:color w:val="000000"/>
                <w:sz w:val="20"/>
                <w:szCs w:val="20"/>
                <w:lang w:eastAsia="cs-CZ"/>
              </w:rPr>
              <w:t>2022</w:t>
            </w:r>
          </w:p>
        </w:tc>
        <w:tc>
          <w:tcPr>
            <w:tcW w:w="828" w:type="dxa"/>
            <w:tcBorders>
              <w:top w:val="nil"/>
              <w:left w:val="nil"/>
              <w:bottom w:val="single" w:sz="4" w:space="0" w:color="auto"/>
              <w:right w:val="single" w:sz="4" w:space="0" w:color="auto"/>
            </w:tcBorders>
            <w:shd w:val="clear" w:color="auto" w:fill="auto"/>
            <w:noWrap/>
            <w:vAlign w:val="bottom"/>
            <w:hideMark/>
          </w:tcPr>
          <w:p w14:paraId="21FD611E" w14:textId="77777777" w:rsidR="002B6460" w:rsidRPr="006B3639" w:rsidRDefault="002B6460" w:rsidP="00D70227">
            <w:pPr>
              <w:spacing w:after="0" w:line="240" w:lineRule="auto"/>
              <w:jc w:val="right"/>
              <w:rPr>
                <w:rFonts w:eastAsia="Times New Roman" w:cstheme="minorHAnsi"/>
                <w:color w:val="000000"/>
                <w:sz w:val="20"/>
                <w:szCs w:val="20"/>
                <w:lang w:eastAsia="cs-CZ"/>
              </w:rPr>
            </w:pPr>
            <w:r w:rsidRPr="006B3639">
              <w:rPr>
                <w:rFonts w:eastAsia="Times New Roman" w:cstheme="minorHAnsi"/>
                <w:color w:val="000000"/>
                <w:sz w:val="20"/>
                <w:szCs w:val="20"/>
                <w:lang w:eastAsia="cs-CZ"/>
              </w:rPr>
              <w:t>4 889</w:t>
            </w:r>
          </w:p>
        </w:tc>
        <w:tc>
          <w:tcPr>
            <w:tcW w:w="964" w:type="dxa"/>
            <w:tcBorders>
              <w:top w:val="nil"/>
              <w:left w:val="nil"/>
              <w:bottom w:val="single" w:sz="4" w:space="0" w:color="auto"/>
              <w:right w:val="single" w:sz="4" w:space="0" w:color="auto"/>
            </w:tcBorders>
            <w:shd w:val="clear" w:color="auto" w:fill="auto"/>
            <w:noWrap/>
            <w:vAlign w:val="bottom"/>
            <w:hideMark/>
          </w:tcPr>
          <w:p w14:paraId="108377C5" w14:textId="77777777" w:rsidR="002B6460" w:rsidRPr="006B3639" w:rsidRDefault="002B6460" w:rsidP="00D70227">
            <w:pPr>
              <w:spacing w:after="0" w:line="240" w:lineRule="auto"/>
              <w:jc w:val="right"/>
              <w:rPr>
                <w:rFonts w:eastAsia="Times New Roman" w:cstheme="minorHAnsi"/>
                <w:color w:val="000000"/>
                <w:sz w:val="20"/>
                <w:szCs w:val="20"/>
                <w:lang w:eastAsia="cs-CZ"/>
              </w:rPr>
            </w:pPr>
            <w:r w:rsidRPr="006B3639">
              <w:rPr>
                <w:rFonts w:eastAsia="Times New Roman" w:cstheme="minorHAnsi"/>
                <w:color w:val="000000"/>
                <w:sz w:val="20"/>
                <w:szCs w:val="20"/>
                <w:lang w:eastAsia="cs-CZ"/>
              </w:rPr>
              <w:t>1 938</w:t>
            </w:r>
          </w:p>
        </w:tc>
        <w:tc>
          <w:tcPr>
            <w:tcW w:w="969" w:type="dxa"/>
            <w:tcBorders>
              <w:top w:val="nil"/>
              <w:left w:val="nil"/>
              <w:bottom w:val="single" w:sz="4" w:space="0" w:color="auto"/>
              <w:right w:val="single" w:sz="4" w:space="0" w:color="auto"/>
            </w:tcBorders>
            <w:shd w:val="clear" w:color="auto" w:fill="auto"/>
            <w:noWrap/>
            <w:vAlign w:val="bottom"/>
            <w:hideMark/>
          </w:tcPr>
          <w:p w14:paraId="1E967911" w14:textId="18833634" w:rsidR="002B6460" w:rsidRPr="006B3639" w:rsidRDefault="002B6460" w:rsidP="00C07857">
            <w:pPr>
              <w:spacing w:after="0" w:line="240" w:lineRule="auto"/>
              <w:ind w:right="57"/>
              <w:jc w:val="right"/>
              <w:rPr>
                <w:rFonts w:eastAsia="Times New Roman" w:cstheme="minorHAnsi"/>
                <w:color w:val="000000"/>
                <w:sz w:val="20"/>
                <w:szCs w:val="20"/>
                <w:lang w:eastAsia="cs-CZ"/>
              </w:rPr>
            </w:pPr>
            <w:r w:rsidRPr="006B3639">
              <w:rPr>
                <w:rFonts w:eastAsia="Times New Roman" w:cstheme="minorHAnsi"/>
                <w:color w:val="000000"/>
                <w:sz w:val="20"/>
                <w:szCs w:val="20"/>
                <w:lang w:eastAsia="cs-CZ"/>
              </w:rPr>
              <w:t>39,6</w:t>
            </w:r>
            <w:r w:rsidR="00C07857">
              <w:rPr>
                <w:rFonts w:eastAsia="Times New Roman" w:cstheme="minorHAnsi"/>
                <w:color w:val="000000"/>
                <w:sz w:val="20"/>
                <w:szCs w:val="20"/>
                <w:lang w:eastAsia="cs-CZ"/>
              </w:rPr>
              <w:t xml:space="preserve"> %</w:t>
            </w:r>
          </w:p>
        </w:tc>
        <w:tc>
          <w:tcPr>
            <w:tcW w:w="1644" w:type="dxa"/>
            <w:tcBorders>
              <w:top w:val="nil"/>
              <w:left w:val="nil"/>
              <w:bottom w:val="single" w:sz="4" w:space="0" w:color="auto"/>
              <w:right w:val="single" w:sz="4" w:space="0" w:color="auto"/>
            </w:tcBorders>
            <w:shd w:val="clear" w:color="auto" w:fill="auto"/>
            <w:noWrap/>
            <w:vAlign w:val="bottom"/>
            <w:hideMark/>
          </w:tcPr>
          <w:p w14:paraId="0DAF3302" w14:textId="77777777" w:rsidR="002B6460" w:rsidRPr="006B3639" w:rsidRDefault="002B6460" w:rsidP="00D70227">
            <w:pPr>
              <w:spacing w:after="0" w:line="240" w:lineRule="auto"/>
              <w:jc w:val="right"/>
              <w:rPr>
                <w:rFonts w:eastAsia="Times New Roman" w:cstheme="minorHAnsi"/>
                <w:color w:val="000000"/>
                <w:sz w:val="20"/>
                <w:szCs w:val="20"/>
                <w:lang w:eastAsia="cs-CZ"/>
              </w:rPr>
            </w:pPr>
            <w:r w:rsidRPr="006B3639">
              <w:rPr>
                <w:rFonts w:eastAsia="Times New Roman" w:cstheme="minorHAnsi"/>
                <w:color w:val="000000"/>
                <w:sz w:val="20"/>
                <w:szCs w:val="20"/>
                <w:lang w:eastAsia="cs-CZ"/>
              </w:rPr>
              <w:t>4 877 372 505</w:t>
            </w:r>
          </w:p>
        </w:tc>
        <w:tc>
          <w:tcPr>
            <w:tcW w:w="1514" w:type="dxa"/>
            <w:tcBorders>
              <w:top w:val="nil"/>
              <w:left w:val="nil"/>
              <w:bottom w:val="single" w:sz="4" w:space="0" w:color="auto"/>
              <w:right w:val="single" w:sz="4" w:space="0" w:color="auto"/>
            </w:tcBorders>
            <w:shd w:val="clear" w:color="auto" w:fill="auto"/>
            <w:noWrap/>
            <w:vAlign w:val="bottom"/>
            <w:hideMark/>
          </w:tcPr>
          <w:p w14:paraId="15447F30" w14:textId="77777777" w:rsidR="002B6460" w:rsidRPr="006B3639" w:rsidRDefault="002B6460" w:rsidP="00D70227">
            <w:pPr>
              <w:spacing w:after="0" w:line="240" w:lineRule="auto"/>
              <w:jc w:val="right"/>
              <w:rPr>
                <w:rFonts w:eastAsia="Times New Roman" w:cstheme="minorHAnsi"/>
                <w:color w:val="000000"/>
                <w:sz w:val="20"/>
                <w:szCs w:val="20"/>
                <w:lang w:eastAsia="cs-CZ"/>
              </w:rPr>
            </w:pPr>
            <w:r w:rsidRPr="006B3639">
              <w:rPr>
                <w:rFonts w:eastAsia="Times New Roman" w:cstheme="minorHAnsi"/>
                <w:color w:val="000000"/>
                <w:sz w:val="20"/>
                <w:szCs w:val="20"/>
                <w:lang w:eastAsia="cs-CZ"/>
              </w:rPr>
              <w:t>1 739 331 495</w:t>
            </w:r>
          </w:p>
        </w:tc>
        <w:tc>
          <w:tcPr>
            <w:tcW w:w="1246" w:type="dxa"/>
            <w:tcBorders>
              <w:top w:val="nil"/>
              <w:left w:val="nil"/>
              <w:bottom w:val="single" w:sz="4" w:space="0" w:color="auto"/>
              <w:right w:val="single" w:sz="4" w:space="0" w:color="auto"/>
            </w:tcBorders>
            <w:shd w:val="clear" w:color="auto" w:fill="auto"/>
            <w:noWrap/>
            <w:vAlign w:val="bottom"/>
            <w:hideMark/>
          </w:tcPr>
          <w:p w14:paraId="7FD01566" w14:textId="77777777" w:rsidR="002B6460" w:rsidRPr="006B3639" w:rsidRDefault="002B6460" w:rsidP="00D70227">
            <w:pPr>
              <w:spacing w:after="0" w:line="240" w:lineRule="auto"/>
              <w:jc w:val="right"/>
              <w:rPr>
                <w:rFonts w:eastAsia="Times New Roman" w:cstheme="minorHAnsi"/>
                <w:color w:val="000000"/>
                <w:sz w:val="20"/>
                <w:szCs w:val="20"/>
                <w:lang w:eastAsia="cs-CZ"/>
              </w:rPr>
            </w:pPr>
            <w:r w:rsidRPr="006B3639">
              <w:rPr>
                <w:rFonts w:eastAsia="Times New Roman" w:cstheme="minorHAnsi"/>
                <w:color w:val="000000"/>
                <w:sz w:val="20"/>
                <w:szCs w:val="20"/>
                <w:lang w:eastAsia="cs-CZ"/>
              </w:rPr>
              <w:t>1 063 382</w:t>
            </w:r>
          </w:p>
        </w:tc>
        <w:tc>
          <w:tcPr>
            <w:tcW w:w="1220" w:type="dxa"/>
            <w:tcBorders>
              <w:top w:val="nil"/>
              <w:left w:val="nil"/>
              <w:bottom w:val="single" w:sz="4" w:space="0" w:color="auto"/>
              <w:right w:val="single" w:sz="4" w:space="0" w:color="auto"/>
            </w:tcBorders>
            <w:shd w:val="clear" w:color="auto" w:fill="auto"/>
            <w:noWrap/>
            <w:vAlign w:val="bottom"/>
            <w:hideMark/>
          </w:tcPr>
          <w:p w14:paraId="6CD1D666" w14:textId="77777777" w:rsidR="002B6460" w:rsidRPr="006B3639" w:rsidRDefault="002B6460" w:rsidP="00D70227">
            <w:pPr>
              <w:spacing w:after="0" w:line="240" w:lineRule="auto"/>
              <w:jc w:val="right"/>
              <w:rPr>
                <w:rFonts w:eastAsia="Times New Roman" w:cstheme="minorHAnsi"/>
                <w:color w:val="000000"/>
                <w:sz w:val="20"/>
                <w:szCs w:val="20"/>
                <w:lang w:eastAsia="cs-CZ"/>
              </w:rPr>
            </w:pPr>
            <w:r w:rsidRPr="006B3639">
              <w:rPr>
                <w:rFonts w:eastAsia="Times New Roman" w:cstheme="minorHAnsi"/>
                <w:color w:val="000000"/>
                <w:sz w:val="20"/>
                <w:szCs w:val="20"/>
                <w:lang w:eastAsia="cs-CZ"/>
              </w:rPr>
              <w:t>897 488</w:t>
            </w:r>
          </w:p>
        </w:tc>
      </w:tr>
      <w:tr w:rsidR="006B3639" w:rsidRPr="006B3639" w14:paraId="51366207" w14:textId="77777777" w:rsidTr="003932D7">
        <w:trPr>
          <w:trHeight w:val="477"/>
        </w:trPr>
        <w:tc>
          <w:tcPr>
            <w:tcW w:w="1115" w:type="dxa"/>
            <w:tcBorders>
              <w:top w:val="nil"/>
              <w:left w:val="single" w:sz="4" w:space="0" w:color="auto"/>
              <w:bottom w:val="single" w:sz="4" w:space="0" w:color="auto"/>
              <w:right w:val="single" w:sz="4" w:space="0" w:color="auto"/>
            </w:tcBorders>
            <w:shd w:val="clear" w:color="auto" w:fill="auto"/>
            <w:vAlign w:val="center"/>
            <w:hideMark/>
          </w:tcPr>
          <w:p w14:paraId="2AF8577C" w14:textId="24AA2FED" w:rsidR="002B6460" w:rsidRPr="006B3639" w:rsidRDefault="002B6460" w:rsidP="00D70227">
            <w:pPr>
              <w:spacing w:after="0" w:line="240" w:lineRule="auto"/>
              <w:jc w:val="center"/>
              <w:rPr>
                <w:rFonts w:eastAsia="Times New Roman" w:cstheme="minorHAnsi"/>
                <w:b/>
                <w:bCs/>
                <w:color w:val="000000"/>
                <w:sz w:val="20"/>
                <w:szCs w:val="20"/>
                <w:lang w:eastAsia="cs-CZ"/>
              </w:rPr>
            </w:pPr>
            <w:r w:rsidRPr="006B3639">
              <w:rPr>
                <w:rFonts w:eastAsia="Times New Roman" w:cstheme="minorHAnsi"/>
                <w:b/>
                <w:bCs/>
                <w:color w:val="000000"/>
                <w:sz w:val="20"/>
                <w:szCs w:val="20"/>
                <w:lang w:eastAsia="cs-CZ"/>
              </w:rPr>
              <w:t>Celkem 2016</w:t>
            </w:r>
            <w:r w:rsidR="006B3639">
              <w:rPr>
                <w:rFonts w:eastAsia="Times New Roman" w:cstheme="minorHAnsi"/>
                <w:b/>
                <w:bCs/>
                <w:color w:val="000000"/>
                <w:sz w:val="20"/>
                <w:szCs w:val="20"/>
                <w:lang w:eastAsia="cs-CZ"/>
              </w:rPr>
              <w:t>–</w:t>
            </w:r>
            <w:r w:rsidRPr="006B3639">
              <w:rPr>
                <w:rFonts w:eastAsia="Times New Roman" w:cstheme="minorHAnsi"/>
                <w:b/>
                <w:bCs/>
                <w:color w:val="000000"/>
                <w:sz w:val="20"/>
                <w:szCs w:val="20"/>
                <w:lang w:eastAsia="cs-CZ"/>
              </w:rPr>
              <w:t>2022</w:t>
            </w:r>
          </w:p>
        </w:tc>
        <w:tc>
          <w:tcPr>
            <w:tcW w:w="828" w:type="dxa"/>
            <w:tcBorders>
              <w:top w:val="nil"/>
              <w:left w:val="nil"/>
              <w:bottom w:val="single" w:sz="4" w:space="0" w:color="auto"/>
              <w:right w:val="single" w:sz="4" w:space="0" w:color="auto"/>
            </w:tcBorders>
            <w:shd w:val="clear" w:color="auto" w:fill="auto"/>
            <w:noWrap/>
            <w:vAlign w:val="center"/>
            <w:hideMark/>
          </w:tcPr>
          <w:p w14:paraId="14410CD0" w14:textId="77777777" w:rsidR="002B6460" w:rsidRPr="006B3639" w:rsidRDefault="002B6460" w:rsidP="00D70227">
            <w:pPr>
              <w:spacing w:after="0" w:line="240" w:lineRule="auto"/>
              <w:jc w:val="right"/>
              <w:rPr>
                <w:rFonts w:eastAsia="Times New Roman" w:cstheme="minorHAnsi"/>
                <w:b/>
                <w:bCs/>
                <w:color w:val="000000"/>
                <w:sz w:val="20"/>
                <w:szCs w:val="20"/>
                <w:lang w:eastAsia="cs-CZ"/>
              </w:rPr>
            </w:pPr>
            <w:r w:rsidRPr="006B3639">
              <w:rPr>
                <w:rFonts w:eastAsia="Times New Roman" w:cstheme="minorHAnsi"/>
                <w:b/>
                <w:bCs/>
                <w:color w:val="000000"/>
                <w:sz w:val="20"/>
                <w:szCs w:val="20"/>
                <w:lang w:eastAsia="cs-CZ"/>
              </w:rPr>
              <w:t>36 903</w:t>
            </w:r>
          </w:p>
        </w:tc>
        <w:tc>
          <w:tcPr>
            <w:tcW w:w="964" w:type="dxa"/>
            <w:tcBorders>
              <w:top w:val="nil"/>
              <w:left w:val="nil"/>
              <w:bottom w:val="single" w:sz="4" w:space="0" w:color="auto"/>
              <w:right w:val="single" w:sz="4" w:space="0" w:color="auto"/>
            </w:tcBorders>
            <w:shd w:val="clear" w:color="auto" w:fill="auto"/>
            <w:noWrap/>
            <w:vAlign w:val="center"/>
            <w:hideMark/>
          </w:tcPr>
          <w:p w14:paraId="1E953618" w14:textId="77777777" w:rsidR="002B6460" w:rsidRPr="006B3639" w:rsidRDefault="002B6460" w:rsidP="00D70227">
            <w:pPr>
              <w:spacing w:after="0" w:line="240" w:lineRule="auto"/>
              <w:jc w:val="right"/>
              <w:rPr>
                <w:rFonts w:eastAsia="Times New Roman" w:cstheme="minorHAnsi"/>
                <w:b/>
                <w:bCs/>
                <w:color w:val="000000"/>
                <w:sz w:val="20"/>
                <w:szCs w:val="20"/>
                <w:lang w:eastAsia="cs-CZ"/>
              </w:rPr>
            </w:pPr>
            <w:r w:rsidRPr="006B3639">
              <w:rPr>
                <w:rFonts w:eastAsia="Times New Roman" w:cstheme="minorHAnsi"/>
                <w:b/>
                <w:bCs/>
                <w:color w:val="000000"/>
                <w:sz w:val="20"/>
                <w:szCs w:val="20"/>
                <w:lang w:eastAsia="cs-CZ"/>
              </w:rPr>
              <w:t>6 706</w:t>
            </w:r>
          </w:p>
        </w:tc>
        <w:tc>
          <w:tcPr>
            <w:tcW w:w="969" w:type="dxa"/>
            <w:tcBorders>
              <w:top w:val="nil"/>
              <w:left w:val="nil"/>
              <w:bottom w:val="single" w:sz="4" w:space="0" w:color="auto"/>
              <w:right w:val="single" w:sz="4" w:space="0" w:color="auto"/>
            </w:tcBorders>
            <w:shd w:val="clear" w:color="auto" w:fill="auto"/>
            <w:noWrap/>
            <w:vAlign w:val="center"/>
            <w:hideMark/>
          </w:tcPr>
          <w:p w14:paraId="5D4908D7" w14:textId="2160CC0B" w:rsidR="002B6460" w:rsidRPr="006B3639" w:rsidRDefault="002B6460" w:rsidP="00C07857">
            <w:pPr>
              <w:spacing w:after="0" w:line="240" w:lineRule="auto"/>
              <w:ind w:right="57"/>
              <w:jc w:val="right"/>
              <w:rPr>
                <w:rFonts w:eastAsia="Times New Roman" w:cstheme="minorHAnsi"/>
                <w:b/>
                <w:bCs/>
                <w:sz w:val="20"/>
                <w:szCs w:val="20"/>
                <w:lang w:eastAsia="cs-CZ"/>
              </w:rPr>
            </w:pPr>
            <w:r w:rsidRPr="006B3639">
              <w:rPr>
                <w:rFonts w:eastAsia="Times New Roman" w:cstheme="minorHAnsi"/>
                <w:b/>
                <w:bCs/>
                <w:sz w:val="20"/>
                <w:szCs w:val="20"/>
                <w:lang w:eastAsia="cs-CZ"/>
              </w:rPr>
              <w:t>18,2</w:t>
            </w:r>
            <w:r w:rsidR="00C07857">
              <w:rPr>
                <w:rFonts w:eastAsia="Times New Roman" w:cstheme="minorHAnsi"/>
                <w:b/>
                <w:bCs/>
                <w:sz w:val="20"/>
                <w:szCs w:val="20"/>
                <w:lang w:eastAsia="cs-CZ"/>
              </w:rPr>
              <w:t xml:space="preserve"> </w:t>
            </w:r>
            <w:r w:rsidR="00C07857">
              <w:rPr>
                <w:rFonts w:eastAsia="Times New Roman" w:cstheme="minorHAnsi"/>
                <w:color w:val="000000"/>
                <w:sz w:val="20"/>
                <w:szCs w:val="20"/>
                <w:lang w:eastAsia="cs-CZ"/>
              </w:rPr>
              <w:t>%</w:t>
            </w:r>
          </w:p>
        </w:tc>
        <w:tc>
          <w:tcPr>
            <w:tcW w:w="1644" w:type="dxa"/>
            <w:tcBorders>
              <w:top w:val="nil"/>
              <w:left w:val="nil"/>
              <w:bottom w:val="single" w:sz="4" w:space="0" w:color="auto"/>
              <w:right w:val="single" w:sz="4" w:space="0" w:color="auto"/>
            </w:tcBorders>
            <w:shd w:val="clear" w:color="auto" w:fill="auto"/>
            <w:noWrap/>
            <w:vAlign w:val="center"/>
            <w:hideMark/>
          </w:tcPr>
          <w:p w14:paraId="55E4FCF1" w14:textId="77777777" w:rsidR="002B6460" w:rsidRPr="006B3639" w:rsidRDefault="002B6460" w:rsidP="00D70227">
            <w:pPr>
              <w:spacing w:after="0" w:line="240" w:lineRule="auto"/>
              <w:jc w:val="right"/>
              <w:rPr>
                <w:rFonts w:eastAsia="Times New Roman" w:cstheme="minorHAnsi"/>
                <w:b/>
                <w:bCs/>
                <w:color w:val="000000"/>
                <w:sz w:val="20"/>
                <w:szCs w:val="20"/>
                <w:lang w:eastAsia="cs-CZ"/>
              </w:rPr>
            </w:pPr>
            <w:r w:rsidRPr="006B3639">
              <w:rPr>
                <w:rFonts w:eastAsia="Times New Roman" w:cstheme="minorHAnsi"/>
                <w:b/>
                <w:bCs/>
                <w:color w:val="000000"/>
                <w:sz w:val="20"/>
                <w:szCs w:val="20"/>
                <w:lang w:eastAsia="cs-CZ"/>
              </w:rPr>
              <w:t>47 561 572 020</w:t>
            </w:r>
          </w:p>
        </w:tc>
        <w:tc>
          <w:tcPr>
            <w:tcW w:w="1514" w:type="dxa"/>
            <w:tcBorders>
              <w:top w:val="nil"/>
              <w:left w:val="nil"/>
              <w:bottom w:val="single" w:sz="4" w:space="0" w:color="auto"/>
              <w:right w:val="single" w:sz="4" w:space="0" w:color="auto"/>
            </w:tcBorders>
            <w:shd w:val="clear" w:color="auto" w:fill="auto"/>
            <w:noWrap/>
            <w:vAlign w:val="center"/>
            <w:hideMark/>
          </w:tcPr>
          <w:p w14:paraId="4CC8856A" w14:textId="77777777" w:rsidR="002B6460" w:rsidRPr="006B3639" w:rsidRDefault="002B6460" w:rsidP="00D70227">
            <w:pPr>
              <w:spacing w:after="0" w:line="240" w:lineRule="auto"/>
              <w:jc w:val="right"/>
              <w:rPr>
                <w:rFonts w:eastAsia="Times New Roman" w:cstheme="minorHAnsi"/>
                <w:b/>
                <w:bCs/>
                <w:color w:val="000000"/>
                <w:sz w:val="20"/>
                <w:szCs w:val="20"/>
                <w:lang w:eastAsia="cs-CZ"/>
              </w:rPr>
            </w:pPr>
            <w:r w:rsidRPr="006B3639">
              <w:rPr>
                <w:rFonts w:eastAsia="Times New Roman" w:cstheme="minorHAnsi"/>
                <w:b/>
                <w:bCs/>
                <w:color w:val="000000"/>
                <w:sz w:val="20"/>
                <w:szCs w:val="20"/>
                <w:lang w:eastAsia="cs-CZ"/>
              </w:rPr>
              <w:t>5 804 490 699</w:t>
            </w:r>
          </w:p>
        </w:tc>
        <w:tc>
          <w:tcPr>
            <w:tcW w:w="1246" w:type="dxa"/>
            <w:tcBorders>
              <w:top w:val="nil"/>
              <w:left w:val="nil"/>
              <w:bottom w:val="single" w:sz="4" w:space="0" w:color="auto"/>
              <w:right w:val="single" w:sz="4" w:space="0" w:color="auto"/>
            </w:tcBorders>
            <w:shd w:val="clear" w:color="auto" w:fill="auto"/>
            <w:noWrap/>
            <w:vAlign w:val="center"/>
            <w:hideMark/>
          </w:tcPr>
          <w:p w14:paraId="43B30182" w14:textId="77777777" w:rsidR="002B6460" w:rsidRPr="006B3639" w:rsidRDefault="002B6460" w:rsidP="00D70227">
            <w:pPr>
              <w:spacing w:after="0" w:line="240" w:lineRule="auto"/>
              <w:jc w:val="right"/>
              <w:rPr>
                <w:rFonts w:eastAsia="Times New Roman" w:cstheme="minorHAnsi"/>
                <w:b/>
                <w:bCs/>
                <w:color w:val="000000"/>
                <w:sz w:val="20"/>
                <w:szCs w:val="20"/>
                <w:lang w:eastAsia="cs-CZ"/>
              </w:rPr>
            </w:pPr>
            <w:r w:rsidRPr="006B3639">
              <w:rPr>
                <w:rFonts w:eastAsia="Times New Roman" w:cstheme="minorHAnsi"/>
                <w:b/>
                <w:bCs/>
                <w:color w:val="000000"/>
                <w:sz w:val="20"/>
                <w:szCs w:val="20"/>
                <w:lang w:eastAsia="cs-CZ"/>
              </w:rPr>
              <w:t>1 382 822</w:t>
            </w:r>
          </w:p>
        </w:tc>
        <w:tc>
          <w:tcPr>
            <w:tcW w:w="1220" w:type="dxa"/>
            <w:tcBorders>
              <w:top w:val="nil"/>
              <w:left w:val="nil"/>
              <w:bottom w:val="single" w:sz="4" w:space="0" w:color="auto"/>
              <w:right w:val="single" w:sz="4" w:space="0" w:color="auto"/>
            </w:tcBorders>
            <w:shd w:val="clear" w:color="auto" w:fill="auto"/>
            <w:noWrap/>
            <w:vAlign w:val="center"/>
            <w:hideMark/>
          </w:tcPr>
          <w:p w14:paraId="454DB570" w14:textId="77777777" w:rsidR="002B6460" w:rsidRPr="006B3639" w:rsidRDefault="002B6460" w:rsidP="00D70227">
            <w:pPr>
              <w:spacing w:after="0" w:line="240" w:lineRule="auto"/>
              <w:jc w:val="right"/>
              <w:rPr>
                <w:rFonts w:eastAsia="Times New Roman" w:cstheme="minorHAnsi"/>
                <w:b/>
                <w:bCs/>
                <w:color w:val="000000"/>
                <w:sz w:val="20"/>
                <w:szCs w:val="20"/>
                <w:lang w:eastAsia="cs-CZ"/>
              </w:rPr>
            </w:pPr>
            <w:r w:rsidRPr="006B3639">
              <w:rPr>
                <w:rFonts w:eastAsia="Times New Roman" w:cstheme="minorHAnsi"/>
                <w:b/>
                <w:bCs/>
                <w:color w:val="000000"/>
                <w:sz w:val="20"/>
                <w:szCs w:val="20"/>
                <w:lang w:eastAsia="cs-CZ"/>
              </w:rPr>
              <w:t>865 567</w:t>
            </w:r>
          </w:p>
        </w:tc>
      </w:tr>
    </w:tbl>
    <w:p w14:paraId="2E5B864D" w14:textId="1C1B9976" w:rsidR="002B6460" w:rsidRPr="003932D7" w:rsidRDefault="002B6460" w:rsidP="002B6460">
      <w:pPr>
        <w:spacing w:line="240" w:lineRule="auto"/>
        <w:jc w:val="both"/>
        <w:rPr>
          <w:rFonts w:cstheme="minorHAnsi"/>
          <w:sz w:val="20"/>
          <w:szCs w:val="20"/>
          <w:lang w:eastAsia="cs-CZ"/>
        </w:rPr>
      </w:pPr>
      <w:r w:rsidRPr="003932D7">
        <w:rPr>
          <w:rFonts w:cstheme="minorHAnsi"/>
          <w:b/>
          <w:bCs/>
          <w:sz w:val="20"/>
          <w:szCs w:val="20"/>
          <w:lang w:eastAsia="cs-CZ"/>
        </w:rPr>
        <w:t>Zdroj:</w:t>
      </w:r>
      <w:r w:rsidRPr="003932D7">
        <w:rPr>
          <w:rFonts w:cstheme="minorHAnsi"/>
          <w:sz w:val="20"/>
          <w:szCs w:val="20"/>
          <w:lang w:eastAsia="cs-CZ"/>
        </w:rPr>
        <w:t xml:space="preserve"> GFŘ</w:t>
      </w:r>
      <w:r w:rsidR="006B3639">
        <w:rPr>
          <w:rFonts w:cstheme="minorHAnsi"/>
          <w:sz w:val="20"/>
          <w:szCs w:val="20"/>
          <w:lang w:eastAsia="cs-CZ"/>
        </w:rPr>
        <w:t>.</w:t>
      </w:r>
    </w:p>
    <w:p w14:paraId="083C170F" w14:textId="77777777" w:rsidR="002B6460" w:rsidRDefault="002B6460" w:rsidP="00C07857">
      <w:pPr>
        <w:spacing w:line="240" w:lineRule="auto"/>
        <w:jc w:val="both"/>
        <w:rPr>
          <w:rFonts w:cstheme="minorHAnsi"/>
          <w:sz w:val="24"/>
          <w:szCs w:val="24"/>
          <w:lang w:eastAsia="cs-CZ"/>
        </w:rPr>
      </w:pPr>
    </w:p>
    <w:p w14:paraId="044D612F" w14:textId="6A0ADE5E" w:rsidR="002B6460" w:rsidRPr="00562DA8" w:rsidRDefault="002B6460" w:rsidP="002B6460">
      <w:pPr>
        <w:spacing w:after="0" w:line="240" w:lineRule="auto"/>
        <w:jc w:val="both"/>
        <w:rPr>
          <w:rFonts w:cstheme="minorHAnsi"/>
          <w:b/>
          <w:bCs/>
          <w:sz w:val="24"/>
          <w:szCs w:val="24"/>
          <w:lang w:eastAsia="cs-CZ"/>
        </w:rPr>
      </w:pPr>
      <w:r w:rsidRPr="00562DA8">
        <w:rPr>
          <w:rFonts w:cstheme="minorHAnsi"/>
          <w:b/>
          <w:bCs/>
          <w:sz w:val="24"/>
          <w:szCs w:val="24"/>
          <w:lang w:eastAsia="cs-CZ"/>
        </w:rPr>
        <w:t>Tabulka č. 2</w:t>
      </w:r>
      <w:r w:rsidR="00EE2680" w:rsidRPr="00562DA8">
        <w:rPr>
          <w:rFonts w:cstheme="minorHAnsi"/>
          <w:b/>
          <w:bCs/>
          <w:sz w:val="24"/>
          <w:szCs w:val="24"/>
          <w:lang w:eastAsia="cs-CZ"/>
        </w:rPr>
        <w:t>:</w:t>
      </w:r>
      <w:r w:rsidRPr="00562DA8">
        <w:rPr>
          <w:rFonts w:cstheme="minorHAnsi"/>
          <w:b/>
          <w:bCs/>
          <w:sz w:val="24"/>
          <w:szCs w:val="24"/>
          <w:lang w:eastAsia="cs-CZ"/>
        </w:rPr>
        <w:t xml:space="preserve"> Postupy k odstranění pochybností v letech 2015–2022</w:t>
      </w:r>
    </w:p>
    <w:tbl>
      <w:tblPr>
        <w:tblW w:w="9462" w:type="dxa"/>
        <w:tblLayout w:type="fixed"/>
        <w:tblCellMar>
          <w:left w:w="70" w:type="dxa"/>
          <w:right w:w="70" w:type="dxa"/>
        </w:tblCellMar>
        <w:tblLook w:val="04A0" w:firstRow="1" w:lastRow="0" w:firstColumn="1" w:lastColumn="0" w:noHBand="0" w:noVBand="1"/>
      </w:tblPr>
      <w:tblGrid>
        <w:gridCol w:w="1100"/>
        <w:gridCol w:w="838"/>
        <w:gridCol w:w="969"/>
        <w:gridCol w:w="970"/>
        <w:gridCol w:w="1622"/>
        <w:gridCol w:w="1494"/>
        <w:gridCol w:w="1247"/>
        <w:gridCol w:w="1222"/>
      </w:tblGrid>
      <w:tr w:rsidR="002B6460" w:rsidRPr="00C47E97" w14:paraId="76846D56" w14:textId="77777777" w:rsidTr="00C07857">
        <w:trPr>
          <w:trHeight w:val="276"/>
        </w:trPr>
        <w:tc>
          <w:tcPr>
            <w:tcW w:w="1100" w:type="dxa"/>
            <w:vMerge w:val="restart"/>
            <w:tcBorders>
              <w:top w:val="single" w:sz="4" w:space="0" w:color="auto"/>
              <w:left w:val="single" w:sz="4" w:space="0" w:color="auto"/>
              <w:bottom w:val="single" w:sz="4" w:space="0" w:color="000000"/>
              <w:right w:val="single" w:sz="4" w:space="0" w:color="auto"/>
            </w:tcBorders>
            <w:shd w:val="clear" w:color="000000" w:fill="E5F1FF"/>
            <w:noWrap/>
            <w:vAlign w:val="center"/>
            <w:hideMark/>
          </w:tcPr>
          <w:p w14:paraId="27960D89" w14:textId="77777777" w:rsidR="002B6460" w:rsidRPr="00C47E97" w:rsidRDefault="002B6460" w:rsidP="00D70227">
            <w:pPr>
              <w:spacing w:after="0" w:line="240" w:lineRule="auto"/>
              <w:jc w:val="center"/>
              <w:rPr>
                <w:rFonts w:eastAsia="Times New Roman" w:cstheme="minorHAnsi"/>
                <w:b/>
                <w:bCs/>
                <w:color w:val="000000"/>
                <w:sz w:val="20"/>
                <w:szCs w:val="20"/>
                <w:lang w:eastAsia="cs-CZ"/>
              </w:rPr>
            </w:pPr>
            <w:r w:rsidRPr="00C47E97">
              <w:rPr>
                <w:rFonts w:eastAsia="Times New Roman" w:cstheme="minorHAnsi"/>
                <w:b/>
                <w:bCs/>
                <w:color w:val="000000"/>
                <w:sz w:val="20"/>
                <w:szCs w:val="20"/>
                <w:lang w:eastAsia="cs-CZ"/>
              </w:rPr>
              <w:t>Rok</w:t>
            </w:r>
          </w:p>
        </w:tc>
        <w:tc>
          <w:tcPr>
            <w:tcW w:w="8362" w:type="dxa"/>
            <w:gridSpan w:val="7"/>
            <w:tcBorders>
              <w:top w:val="single" w:sz="4" w:space="0" w:color="auto"/>
              <w:left w:val="nil"/>
              <w:bottom w:val="single" w:sz="4" w:space="0" w:color="auto"/>
              <w:right w:val="single" w:sz="4" w:space="0" w:color="000000"/>
            </w:tcBorders>
            <w:shd w:val="clear" w:color="000000" w:fill="E5F1FF"/>
            <w:noWrap/>
            <w:vAlign w:val="center"/>
            <w:hideMark/>
          </w:tcPr>
          <w:p w14:paraId="429202DB" w14:textId="77777777" w:rsidR="002B6460" w:rsidRPr="00C47E97" w:rsidRDefault="002B6460" w:rsidP="00D70227">
            <w:pPr>
              <w:spacing w:after="0" w:line="240" w:lineRule="auto"/>
              <w:jc w:val="center"/>
              <w:rPr>
                <w:rFonts w:eastAsia="Times New Roman" w:cstheme="minorHAnsi"/>
                <w:b/>
                <w:bCs/>
                <w:color w:val="000000"/>
                <w:sz w:val="20"/>
                <w:szCs w:val="20"/>
                <w:lang w:eastAsia="cs-CZ"/>
              </w:rPr>
            </w:pPr>
            <w:r w:rsidRPr="00C47E97">
              <w:rPr>
                <w:rFonts w:eastAsia="Times New Roman" w:cstheme="minorHAnsi"/>
                <w:b/>
                <w:bCs/>
                <w:color w:val="000000"/>
                <w:sz w:val="20"/>
                <w:szCs w:val="20"/>
                <w:lang w:eastAsia="cs-CZ"/>
              </w:rPr>
              <w:t>Postup k odstranění pochybností</w:t>
            </w:r>
          </w:p>
        </w:tc>
      </w:tr>
      <w:tr w:rsidR="00C07857" w:rsidRPr="00C47E97" w14:paraId="55904E3C" w14:textId="77777777" w:rsidTr="00C07857">
        <w:trPr>
          <w:trHeight w:val="276"/>
        </w:trPr>
        <w:tc>
          <w:tcPr>
            <w:tcW w:w="1100" w:type="dxa"/>
            <w:vMerge/>
            <w:tcBorders>
              <w:top w:val="single" w:sz="4" w:space="0" w:color="auto"/>
              <w:left w:val="single" w:sz="4" w:space="0" w:color="auto"/>
              <w:bottom w:val="single" w:sz="4" w:space="0" w:color="000000"/>
              <w:right w:val="single" w:sz="4" w:space="0" w:color="auto"/>
            </w:tcBorders>
            <w:vAlign w:val="center"/>
            <w:hideMark/>
          </w:tcPr>
          <w:p w14:paraId="51637E04" w14:textId="77777777" w:rsidR="002B6460" w:rsidRPr="00C47E97" w:rsidRDefault="002B6460" w:rsidP="00D70227">
            <w:pPr>
              <w:spacing w:after="0" w:line="240" w:lineRule="auto"/>
              <w:rPr>
                <w:rFonts w:eastAsia="Times New Roman" w:cstheme="minorHAnsi"/>
                <w:b/>
                <w:bCs/>
                <w:color w:val="000000"/>
                <w:sz w:val="20"/>
                <w:szCs w:val="20"/>
                <w:lang w:eastAsia="cs-CZ"/>
              </w:rPr>
            </w:pPr>
          </w:p>
        </w:tc>
        <w:tc>
          <w:tcPr>
            <w:tcW w:w="2777" w:type="dxa"/>
            <w:gridSpan w:val="3"/>
            <w:tcBorders>
              <w:top w:val="nil"/>
              <w:left w:val="nil"/>
              <w:bottom w:val="single" w:sz="4" w:space="0" w:color="auto"/>
              <w:right w:val="nil"/>
            </w:tcBorders>
            <w:shd w:val="clear" w:color="000000" w:fill="E5F1FF"/>
            <w:vAlign w:val="center"/>
            <w:hideMark/>
          </w:tcPr>
          <w:p w14:paraId="70E6505E" w14:textId="77777777" w:rsidR="002B6460" w:rsidRPr="00C47E97" w:rsidRDefault="002B6460" w:rsidP="00D70227">
            <w:pPr>
              <w:spacing w:after="0" w:line="240" w:lineRule="auto"/>
              <w:jc w:val="center"/>
              <w:rPr>
                <w:rFonts w:eastAsia="Times New Roman" w:cstheme="minorHAnsi"/>
                <w:b/>
                <w:bCs/>
                <w:color w:val="000000"/>
                <w:sz w:val="20"/>
                <w:szCs w:val="20"/>
                <w:lang w:eastAsia="cs-CZ"/>
              </w:rPr>
            </w:pPr>
            <w:r w:rsidRPr="00C47E97">
              <w:rPr>
                <w:rFonts w:eastAsia="Times New Roman" w:cstheme="minorHAnsi"/>
                <w:b/>
                <w:bCs/>
                <w:color w:val="000000"/>
                <w:sz w:val="20"/>
                <w:szCs w:val="20"/>
                <w:lang w:eastAsia="cs-CZ"/>
              </w:rPr>
              <w:t>Počet ukončených</w:t>
            </w:r>
          </w:p>
        </w:tc>
        <w:tc>
          <w:tcPr>
            <w:tcW w:w="5584" w:type="dxa"/>
            <w:gridSpan w:val="4"/>
            <w:tcBorders>
              <w:top w:val="single" w:sz="4" w:space="0" w:color="auto"/>
              <w:left w:val="single" w:sz="4" w:space="0" w:color="auto"/>
              <w:bottom w:val="single" w:sz="4" w:space="0" w:color="auto"/>
              <w:right w:val="single" w:sz="4" w:space="0" w:color="000000"/>
            </w:tcBorders>
            <w:shd w:val="clear" w:color="000000" w:fill="E5F1FF"/>
            <w:noWrap/>
            <w:vAlign w:val="center"/>
            <w:hideMark/>
          </w:tcPr>
          <w:p w14:paraId="4EA61C16" w14:textId="77777777" w:rsidR="002B6460" w:rsidRPr="00C47E97" w:rsidRDefault="002B6460" w:rsidP="00D70227">
            <w:pPr>
              <w:spacing w:after="0" w:line="240" w:lineRule="auto"/>
              <w:jc w:val="center"/>
              <w:rPr>
                <w:rFonts w:eastAsia="Times New Roman" w:cstheme="minorHAnsi"/>
                <w:b/>
                <w:bCs/>
                <w:color w:val="000000"/>
                <w:sz w:val="20"/>
                <w:szCs w:val="20"/>
                <w:lang w:eastAsia="cs-CZ"/>
              </w:rPr>
            </w:pPr>
            <w:r w:rsidRPr="00C47E97">
              <w:rPr>
                <w:rFonts w:eastAsia="Times New Roman" w:cstheme="minorHAnsi"/>
                <w:b/>
                <w:bCs/>
                <w:color w:val="000000"/>
                <w:sz w:val="20"/>
                <w:szCs w:val="20"/>
                <w:lang w:eastAsia="cs-CZ"/>
              </w:rPr>
              <w:t>Doměřená daň v Kč</w:t>
            </w:r>
          </w:p>
        </w:tc>
      </w:tr>
      <w:tr w:rsidR="002B6460" w:rsidRPr="00C47E97" w14:paraId="447BCB02" w14:textId="77777777" w:rsidTr="00C07857">
        <w:trPr>
          <w:trHeight w:val="705"/>
        </w:trPr>
        <w:tc>
          <w:tcPr>
            <w:tcW w:w="1100" w:type="dxa"/>
            <w:vMerge/>
            <w:tcBorders>
              <w:top w:val="single" w:sz="4" w:space="0" w:color="auto"/>
              <w:left w:val="single" w:sz="4" w:space="0" w:color="auto"/>
              <w:bottom w:val="single" w:sz="4" w:space="0" w:color="000000"/>
              <w:right w:val="single" w:sz="4" w:space="0" w:color="auto"/>
            </w:tcBorders>
            <w:vAlign w:val="center"/>
            <w:hideMark/>
          </w:tcPr>
          <w:p w14:paraId="1C163043" w14:textId="77777777" w:rsidR="002B6460" w:rsidRPr="00C47E97" w:rsidRDefault="002B6460" w:rsidP="00D70227">
            <w:pPr>
              <w:spacing w:after="0" w:line="240" w:lineRule="auto"/>
              <w:rPr>
                <w:rFonts w:eastAsia="Times New Roman" w:cstheme="minorHAnsi"/>
                <w:b/>
                <w:bCs/>
                <w:color w:val="000000"/>
                <w:sz w:val="20"/>
                <w:szCs w:val="20"/>
                <w:lang w:eastAsia="cs-CZ"/>
              </w:rPr>
            </w:pPr>
          </w:p>
        </w:tc>
        <w:tc>
          <w:tcPr>
            <w:tcW w:w="838" w:type="dxa"/>
            <w:tcBorders>
              <w:top w:val="nil"/>
              <w:left w:val="nil"/>
              <w:bottom w:val="single" w:sz="4" w:space="0" w:color="auto"/>
              <w:right w:val="single" w:sz="4" w:space="0" w:color="auto"/>
            </w:tcBorders>
            <w:shd w:val="clear" w:color="000000" w:fill="E5F1FF"/>
            <w:noWrap/>
            <w:vAlign w:val="center"/>
            <w:hideMark/>
          </w:tcPr>
          <w:p w14:paraId="1A46335D" w14:textId="7F79C775" w:rsidR="002B6460" w:rsidRPr="00C47E97" w:rsidRDefault="002B6460" w:rsidP="00D70227">
            <w:pPr>
              <w:spacing w:after="0" w:line="240" w:lineRule="auto"/>
              <w:jc w:val="center"/>
              <w:rPr>
                <w:rFonts w:eastAsia="Times New Roman" w:cstheme="minorHAnsi"/>
                <w:b/>
                <w:bCs/>
                <w:color w:val="000000"/>
                <w:sz w:val="20"/>
                <w:szCs w:val="20"/>
                <w:lang w:eastAsia="cs-CZ"/>
              </w:rPr>
            </w:pPr>
            <w:r w:rsidRPr="00C47E97">
              <w:rPr>
                <w:rFonts w:eastAsia="Times New Roman" w:cstheme="minorHAnsi"/>
                <w:b/>
                <w:bCs/>
                <w:color w:val="000000"/>
                <w:sz w:val="20"/>
                <w:szCs w:val="20"/>
                <w:lang w:eastAsia="cs-CZ"/>
              </w:rPr>
              <w:t>Celkem</w:t>
            </w:r>
          </w:p>
        </w:tc>
        <w:tc>
          <w:tcPr>
            <w:tcW w:w="969" w:type="dxa"/>
            <w:tcBorders>
              <w:top w:val="nil"/>
              <w:left w:val="nil"/>
              <w:bottom w:val="single" w:sz="4" w:space="0" w:color="auto"/>
              <w:right w:val="single" w:sz="4" w:space="0" w:color="auto"/>
            </w:tcBorders>
            <w:shd w:val="clear" w:color="000000" w:fill="E5F1FF"/>
            <w:noWrap/>
            <w:vAlign w:val="center"/>
            <w:hideMark/>
          </w:tcPr>
          <w:p w14:paraId="122D3308" w14:textId="500ECCEC" w:rsidR="002B6460" w:rsidRPr="00C47E97" w:rsidRDefault="00C07857" w:rsidP="00EE2680">
            <w:pPr>
              <w:spacing w:after="0" w:line="240" w:lineRule="auto"/>
              <w:ind w:left="-35"/>
              <w:jc w:val="center"/>
              <w:rPr>
                <w:rFonts w:eastAsia="Times New Roman" w:cstheme="minorHAnsi"/>
                <w:b/>
                <w:bCs/>
                <w:color w:val="000000"/>
                <w:sz w:val="20"/>
                <w:szCs w:val="20"/>
                <w:lang w:eastAsia="cs-CZ"/>
              </w:rPr>
            </w:pPr>
            <w:r>
              <w:rPr>
                <w:rFonts w:eastAsia="Times New Roman" w:cstheme="minorHAnsi"/>
                <w:b/>
                <w:bCs/>
                <w:color w:val="000000"/>
                <w:sz w:val="20"/>
                <w:szCs w:val="20"/>
                <w:lang w:eastAsia="cs-CZ"/>
              </w:rPr>
              <w:t>S</w:t>
            </w:r>
            <w:r w:rsidR="00EE2680">
              <w:rPr>
                <w:rFonts w:eastAsia="Times New Roman" w:cstheme="minorHAnsi"/>
                <w:b/>
                <w:bCs/>
                <w:color w:val="000000"/>
                <w:sz w:val="20"/>
                <w:szCs w:val="20"/>
                <w:lang w:eastAsia="cs-CZ"/>
              </w:rPr>
              <w:t xml:space="preserve"> využitím</w:t>
            </w:r>
            <w:r w:rsidR="002B6460" w:rsidRPr="00C47E97">
              <w:rPr>
                <w:rFonts w:eastAsia="Times New Roman" w:cstheme="minorHAnsi"/>
                <w:b/>
                <w:bCs/>
                <w:color w:val="000000"/>
                <w:sz w:val="20"/>
                <w:szCs w:val="20"/>
                <w:lang w:eastAsia="cs-CZ"/>
              </w:rPr>
              <w:t xml:space="preserve"> KH</w:t>
            </w:r>
          </w:p>
        </w:tc>
        <w:tc>
          <w:tcPr>
            <w:tcW w:w="970" w:type="dxa"/>
            <w:tcBorders>
              <w:top w:val="nil"/>
              <w:left w:val="nil"/>
              <w:bottom w:val="single" w:sz="4" w:space="0" w:color="auto"/>
              <w:right w:val="single" w:sz="4" w:space="0" w:color="auto"/>
            </w:tcBorders>
            <w:shd w:val="clear" w:color="000000" w:fill="C6E0B4"/>
            <w:noWrap/>
            <w:vAlign w:val="center"/>
            <w:hideMark/>
          </w:tcPr>
          <w:p w14:paraId="6B0B6EE1" w14:textId="6CB5B265" w:rsidR="002B6460" w:rsidRPr="00C47E97" w:rsidRDefault="00B53124" w:rsidP="00932D28">
            <w:pPr>
              <w:spacing w:after="0" w:line="240" w:lineRule="auto"/>
              <w:ind w:left="-142" w:right="-157"/>
              <w:jc w:val="center"/>
              <w:rPr>
                <w:rFonts w:eastAsia="Times New Roman" w:cstheme="minorHAnsi"/>
                <w:b/>
                <w:bCs/>
                <w:color w:val="000000"/>
                <w:sz w:val="20"/>
                <w:szCs w:val="20"/>
                <w:lang w:eastAsia="cs-CZ"/>
              </w:rPr>
            </w:pPr>
            <w:r>
              <w:rPr>
                <w:b/>
                <w:sz w:val="20"/>
                <w:szCs w:val="20"/>
              </w:rPr>
              <w:t>P</w:t>
            </w:r>
            <w:r w:rsidRPr="00B53124">
              <w:rPr>
                <w:b/>
                <w:sz w:val="20"/>
                <w:szCs w:val="20"/>
              </w:rPr>
              <w:t>odíl KH na</w:t>
            </w:r>
            <w:r w:rsidR="00932D28">
              <w:rPr>
                <w:b/>
                <w:sz w:val="20"/>
                <w:szCs w:val="20"/>
              </w:rPr>
              <w:t> </w:t>
            </w:r>
            <w:r w:rsidRPr="00B53124">
              <w:rPr>
                <w:b/>
                <w:sz w:val="20"/>
                <w:szCs w:val="20"/>
              </w:rPr>
              <w:t>celku</w:t>
            </w:r>
          </w:p>
        </w:tc>
        <w:tc>
          <w:tcPr>
            <w:tcW w:w="1622" w:type="dxa"/>
            <w:tcBorders>
              <w:top w:val="nil"/>
              <w:left w:val="nil"/>
              <w:bottom w:val="single" w:sz="4" w:space="0" w:color="auto"/>
              <w:right w:val="single" w:sz="4" w:space="0" w:color="auto"/>
            </w:tcBorders>
            <w:shd w:val="clear" w:color="000000" w:fill="E5F1FF"/>
            <w:noWrap/>
            <w:vAlign w:val="center"/>
            <w:hideMark/>
          </w:tcPr>
          <w:p w14:paraId="30A997B0" w14:textId="77777777" w:rsidR="002B6460" w:rsidRPr="00C47E97" w:rsidRDefault="002B6460" w:rsidP="00D70227">
            <w:pPr>
              <w:spacing w:after="0" w:line="240" w:lineRule="auto"/>
              <w:jc w:val="center"/>
              <w:rPr>
                <w:rFonts w:eastAsia="Times New Roman" w:cstheme="minorHAnsi"/>
                <w:b/>
                <w:bCs/>
                <w:color w:val="000000"/>
                <w:sz w:val="20"/>
                <w:szCs w:val="20"/>
                <w:lang w:eastAsia="cs-CZ"/>
              </w:rPr>
            </w:pPr>
            <w:r w:rsidRPr="00C47E97">
              <w:rPr>
                <w:rFonts w:eastAsia="Times New Roman" w:cstheme="minorHAnsi"/>
                <w:b/>
                <w:bCs/>
                <w:color w:val="000000"/>
                <w:sz w:val="20"/>
                <w:szCs w:val="20"/>
                <w:lang w:eastAsia="cs-CZ"/>
              </w:rPr>
              <w:t>Celkem</w:t>
            </w:r>
          </w:p>
        </w:tc>
        <w:tc>
          <w:tcPr>
            <w:tcW w:w="1494" w:type="dxa"/>
            <w:tcBorders>
              <w:top w:val="nil"/>
              <w:left w:val="nil"/>
              <w:bottom w:val="single" w:sz="4" w:space="0" w:color="auto"/>
              <w:right w:val="single" w:sz="4" w:space="0" w:color="auto"/>
            </w:tcBorders>
            <w:shd w:val="clear" w:color="000000" w:fill="E5F1FF"/>
            <w:noWrap/>
            <w:vAlign w:val="center"/>
            <w:hideMark/>
          </w:tcPr>
          <w:p w14:paraId="752D0EC8" w14:textId="56470F06" w:rsidR="002B6460" w:rsidRPr="00C47E97" w:rsidRDefault="00EE2680" w:rsidP="00D70227">
            <w:pPr>
              <w:spacing w:after="0" w:line="240" w:lineRule="auto"/>
              <w:jc w:val="center"/>
              <w:rPr>
                <w:rFonts w:eastAsia="Times New Roman" w:cstheme="minorHAnsi"/>
                <w:b/>
                <w:bCs/>
                <w:color w:val="000000"/>
                <w:sz w:val="20"/>
                <w:szCs w:val="20"/>
                <w:lang w:eastAsia="cs-CZ"/>
              </w:rPr>
            </w:pPr>
            <w:r>
              <w:rPr>
                <w:rFonts w:eastAsia="Times New Roman" w:cstheme="minorHAnsi"/>
                <w:b/>
                <w:bCs/>
                <w:color w:val="000000"/>
                <w:sz w:val="20"/>
                <w:szCs w:val="20"/>
                <w:lang w:eastAsia="cs-CZ"/>
              </w:rPr>
              <w:t>Na základě</w:t>
            </w:r>
            <w:r w:rsidR="002B6460" w:rsidRPr="00C47E97">
              <w:rPr>
                <w:rFonts w:eastAsia="Times New Roman" w:cstheme="minorHAnsi"/>
                <w:b/>
                <w:bCs/>
                <w:color w:val="000000"/>
                <w:sz w:val="20"/>
                <w:szCs w:val="20"/>
                <w:lang w:eastAsia="cs-CZ"/>
              </w:rPr>
              <w:t xml:space="preserve"> KH</w:t>
            </w:r>
          </w:p>
        </w:tc>
        <w:tc>
          <w:tcPr>
            <w:tcW w:w="1247" w:type="dxa"/>
            <w:tcBorders>
              <w:top w:val="nil"/>
              <w:left w:val="nil"/>
              <w:bottom w:val="single" w:sz="4" w:space="0" w:color="auto"/>
              <w:right w:val="single" w:sz="4" w:space="0" w:color="auto"/>
            </w:tcBorders>
            <w:shd w:val="clear" w:color="000000" w:fill="C6E0B4"/>
            <w:vAlign w:val="center"/>
            <w:hideMark/>
          </w:tcPr>
          <w:p w14:paraId="5C9CF24F" w14:textId="7F183EA1" w:rsidR="002B6460" w:rsidRPr="00C47E97" w:rsidRDefault="00EE2680" w:rsidP="00D70227">
            <w:pPr>
              <w:spacing w:after="0" w:line="240" w:lineRule="auto"/>
              <w:jc w:val="center"/>
              <w:rPr>
                <w:rFonts w:eastAsia="Times New Roman" w:cstheme="minorHAnsi"/>
                <w:b/>
                <w:bCs/>
                <w:color w:val="000000"/>
                <w:sz w:val="20"/>
                <w:szCs w:val="20"/>
                <w:lang w:eastAsia="cs-CZ"/>
              </w:rPr>
            </w:pPr>
            <w:r>
              <w:rPr>
                <w:rFonts w:eastAsia="Times New Roman" w:cstheme="minorHAnsi"/>
                <w:b/>
                <w:bCs/>
                <w:color w:val="000000"/>
                <w:sz w:val="20"/>
                <w:szCs w:val="20"/>
                <w:lang w:eastAsia="cs-CZ"/>
              </w:rPr>
              <w:t>P</w:t>
            </w:r>
            <w:r w:rsidR="002B6460" w:rsidRPr="00C47E97">
              <w:rPr>
                <w:rFonts w:eastAsia="Times New Roman" w:cstheme="minorHAnsi"/>
                <w:b/>
                <w:bCs/>
                <w:color w:val="000000"/>
                <w:sz w:val="20"/>
                <w:szCs w:val="20"/>
                <w:lang w:eastAsia="cs-CZ"/>
              </w:rPr>
              <w:t>růměrná doměřená daň bez KH</w:t>
            </w:r>
          </w:p>
        </w:tc>
        <w:tc>
          <w:tcPr>
            <w:tcW w:w="1221" w:type="dxa"/>
            <w:tcBorders>
              <w:top w:val="nil"/>
              <w:left w:val="nil"/>
              <w:bottom w:val="single" w:sz="4" w:space="0" w:color="auto"/>
              <w:right w:val="single" w:sz="4" w:space="0" w:color="auto"/>
            </w:tcBorders>
            <w:shd w:val="clear" w:color="000000" w:fill="C6E0B4"/>
            <w:vAlign w:val="center"/>
            <w:hideMark/>
          </w:tcPr>
          <w:p w14:paraId="0C08B105" w14:textId="6027A471" w:rsidR="002B6460" w:rsidRPr="00C47E97" w:rsidRDefault="00EE2680" w:rsidP="00D70227">
            <w:pPr>
              <w:spacing w:after="0" w:line="240" w:lineRule="auto"/>
              <w:jc w:val="center"/>
              <w:rPr>
                <w:rFonts w:eastAsia="Times New Roman" w:cstheme="minorHAnsi"/>
                <w:b/>
                <w:bCs/>
                <w:color w:val="000000"/>
                <w:sz w:val="20"/>
                <w:szCs w:val="20"/>
                <w:lang w:eastAsia="cs-CZ"/>
              </w:rPr>
            </w:pPr>
            <w:r>
              <w:rPr>
                <w:rFonts w:eastAsia="Times New Roman" w:cstheme="minorHAnsi"/>
                <w:b/>
                <w:bCs/>
                <w:color w:val="000000"/>
                <w:sz w:val="20"/>
                <w:szCs w:val="20"/>
                <w:lang w:eastAsia="cs-CZ"/>
              </w:rPr>
              <w:t>P</w:t>
            </w:r>
            <w:r w:rsidR="002B6460" w:rsidRPr="00C47E97">
              <w:rPr>
                <w:rFonts w:eastAsia="Times New Roman" w:cstheme="minorHAnsi"/>
                <w:b/>
                <w:bCs/>
                <w:color w:val="000000"/>
                <w:sz w:val="20"/>
                <w:szCs w:val="20"/>
                <w:lang w:eastAsia="cs-CZ"/>
              </w:rPr>
              <w:t>růměrná doměřená daň z KH</w:t>
            </w:r>
          </w:p>
        </w:tc>
      </w:tr>
      <w:tr w:rsidR="002B6460" w:rsidRPr="00C47E97" w14:paraId="47998047" w14:textId="77777777" w:rsidTr="00562DA8">
        <w:trPr>
          <w:trHeight w:val="276"/>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5C27DC6C" w14:textId="77777777" w:rsidR="002B6460" w:rsidRPr="00C47E97" w:rsidRDefault="002B6460" w:rsidP="00D70227">
            <w:pPr>
              <w:spacing w:after="0" w:line="240" w:lineRule="auto"/>
              <w:jc w:val="center"/>
              <w:rPr>
                <w:rFonts w:eastAsia="Times New Roman" w:cstheme="minorHAnsi"/>
                <w:b/>
                <w:bCs/>
                <w:color w:val="000000"/>
                <w:sz w:val="20"/>
                <w:szCs w:val="20"/>
                <w:lang w:eastAsia="cs-CZ"/>
              </w:rPr>
            </w:pPr>
            <w:r w:rsidRPr="00C47E97">
              <w:rPr>
                <w:rFonts w:eastAsia="Times New Roman" w:cstheme="minorHAnsi"/>
                <w:b/>
                <w:bCs/>
                <w:color w:val="000000"/>
                <w:sz w:val="20"/>
                <w:szCs w:val="20"/>
                <w:lang w:eastAsia="cs-CZ"/>
              </w:rPr>
              <w:t>2015</w:t>
            </w:r>
          </w:p>
        </w:tc>
        <w:tc>
          <w:tcPr>
            <w:tcW w:w="838" w:type="dxa"/>
            <w:tcBorders>
              <w:top w:val="nil"/>
              <w:left w:val="nil"/>
              <w:bottom w:val="single" w:sz="4" w:space="0" w:color="auto"/>
              <w:right w:val="single" w:sz="4" w:space="0" w:color="auto"/>
            </w:tcBorders>
            <w:shd w:val="clear" w:color="auto" w:fill="auto"/>
            <w:noWrap/>
            <w:vAlign w:val="bottom"/>
            <w:hideMark/>
          </w:tcPr>
          <w:p w14:paraId="00400D21" w14:textId="77777777" w:rsidR="002B6460" w:rsidRPr="00C47E97" w:rsidRDefault="002B6460" w:rsidP="00D70227">
            <w:pPr>
              <w:spacing w:after="0" w:line="240" w:lineRule="auto"/>
              <w:jc w:val="right"/>
              <w:rPr>
                <w:rFonts w:eastAsia="Times New Roman" w:cstheme="minorHAnsi"/>
                <w:color w:val="000000"/>
                <w:sz w:val="20"/>
                <w:szCs w:val="20"/>
                <w:lang w:eastAsia="cs-CZ"/>
              </w:rPr>
            </w:pPr>
            <w:r w:rsidRPr="00C47E97">
              <w:rPr>
                <w:rFonts w:eastAsia="Times New Roman" w:cstheme="minorHAnsi"/>
                <w:color w:val="000000"/>
                <w:sz w:val="20"/>
                <w:szCs w:val="20"/>
                <w:lang w:eastAsia="cs-CZ"/>
              </w:rPr>
              <w:t>17 672</w:t>
            </w:r>
          </w:p>
        </w:tc>
        <w:tc>
          <w:tcPr>
            <w:tcW w:w="969" w:type="dxa"/>
            <w:tcBorders>
              <w:top w:val="nil"/>
              <w:left w:val="nil"/>
              <w:bottom w:val="single" w:sz="4" w:space="0" w:color="auto"/>
              <w:right w:val="single" w:sz="4" w:space="0" w:color="auto"/>
            </w:tcBorders>
            <w:shd w:val="clear" w:color="auto" w:fill="auto"/>
            <w:noWrap/>
            <w:vAlign w:val="bottom"/>
            <w:hideMark/>
          </w:tcPr>
          <w:p w14:paraId="34446210" w14:textId="77777777" w:rsidR="002B6460" w:rsidRPr="00C47E97" w:rsidRDefault="002B6460" w:rsidP="00D70227">
            <w:pPr>
              <w:spacing w:after="0" w:line="240" w:lineRule="auto"/>
              <w:jc w:val="right"/>
              <w:rPr>
                <w:rFonts w:eastAsia="Times New Roman" w:cstheme="minorHAnsi"/>
                <w:color w:val="000000"/>
                <w:sz w:val="20"/>
                <w:szCs w:val="20"/>
                <w:lang w:eastAsia="cs-CZ"/>
              </w:rPr>
            </w:pPr>
            <w:r w:rsidRPr="00C47E97">
              <w:rPr>
                <w:rFonts w:eastAsia="Times New Roman" w:cstheme="minorHAnsi"/>
                <w:color w:val="000000"/>
                <w:sz w:val="20"/>
                <w:szCs w:val="20"/>
                <w:lang w:eastAsia="cs-CZ"/>
              </w:rPr>
              <w:t> </w:t>
            </w:r>
          </w:p>
        </w:tc>
        <w:tc>
          <w:tcPr>
            <w:tcW w:w="970" w:type="dxa"/>
            <w:tcBorders>
              <w:top w:val="nil"/>
              <w:left w:val="nil"/>
              <w:bottom w:val="single" w:sz="4" w:space="0" w:color="auto"/>
              <w:right w:val="single" w:sz="4" w:space="0" w:color="auto"/>
            </w:tcBorders>
            <w:shd w:val="clear" w:color="auto" w:fill="auto"/>
            <w:noWrap/>
            <w:vAlign w:val="bottom"/>
            <w:hideMark/>
          </w:tcPr>
          <w:p w14:paraId="3E72C6B2" w14:textId="5A23C573" w:rsidR="002B6460" w:rsidRPr="00C47E97" w:rsidRDefault="002B6460" w:rsidP="00562DA8">
            <w:pPr>
              <w:spacing w:after="0" w:line="240" w:lineRule="auto"/>
              <w:ind w:right="57"/>
              <w:jc w:val="right"/>
              <w:rPr>
                <w:rFonts w:eastAsia="Times New Roman" w:cstheme="minorHAnsi"/>
                <w:color w:val="000000"/>
                <w:sz w:val="20"/>
                <w:szCs w:val="20"/>
                <w:lang w:eastAsia="cs-CZ"/>
              </w:rPr>
            </w:pPr>
            <w:r w:rsidRPr="00C47E97">
              <w:rPr>
                <w:rFonts w:eastAsia="Times New Roman" w:cstheme="minorHAnsi"/>
                <w:color w:val="000000"/>
                <w:sz w:val="20"/>
                <w:szCs w:val="20"/>
                <w:lang w:eastAsia="cs-CZ"/>
              </w:rPr>
              <w:t>0</w:t>
            </w:r>
            <w:r w:rsidR="00C07857">
              <w:rPr>
                <w:rFonts w:eastAsia="Times New Roman" w:cstheme="minorHAnsi"/>
                <w:color w:val="000000"/>
                <w:sz w:val="20"/>
                <w:szCs w:val="20"/>
                <w:lang w:eastAsia="cs-CZ"/>
              </w:rPr>
              <w:t xml:space="preserve"> %</w:t>
            </w:r>
          </w:p>
        </w:tc>
        <w:tc>
          <w:tcPr>
            <w:tcW w:w="1622" w:type="dxa"/>
            <w:tcBorders>
              <w:top w:val="nil"/>
              <w:left w:val="nil"/>
              <w:bottom w:val="single" w:sz="4" w:space="0" w:color="auto"/>
              <w:right w:val="single" w:sz="4" w:space="0" w:color="auto"/>
            </w:tcBorders>
            <w:shd w:val="clear" w:color="auto" w:fill="auto"/>
            <w:noWrap/>
            <w:vAlign w:val="bottom"/>
            <w:hideMark/>
          </w:tcPr>
          <w:p w14:paraId="543D7C72" w14:textId="77777777" w:rsidR="002B6460" w:rsidRPr="00C47E97" w:rsidRDefault="002B6460" w:rsidP="00D70227">
            <w:pPr>
              <w:spacing w:after="0" w:line="240" w:lineRule="auto"/>
              <w:jc w:val="right"/>
              <w:rPr>
                <w:rFonts w:eastAsia="Times New Roman" w:cstheme="minorHAnsi"/>
                <w:color w:val="000000"/>
                <w:sz w:val="20"/>
                <w:szCs w:val="20"/>
                <w:lang w:eastAsia="cs-CZ"/>
              </w:rPr>
            </w:pPr>
            <w:r w:rsidRPr="00C47E97">
              <w:rPr>
                <w:rFonts w:eastAsia="Times New Roman" w:cstheme="minorHAnsi"/>
                <w:color w:val="000000"/>
                <w:sz w:val="20"/>
                <w:szCs w:val="20"/>
                <w:lang w:eastAsia="cs-CZ"/>
              </w:rPr>
              <w:t>10 564 998 474</w:t>
            </w:r>
          </w:p>
        </w:tc>
        <w:tc>
          <w:tcPr>
            <w:tcW w:w="1494" w:type="dxa"/>
            <w:tcBorders>
              <w:top w:val="nil"/>
              <w:left w:val="nil"/>
              <w:bottom w:val="single" w:sz="4" w:space="0" w:color="auto"/>
              <w:right w:val="single" w:sz="4" w:space="0" w:color="auto"/>
            </w:tcBorders>
            <w:shd w:val="clear" w:color="auto" w:fill="auto"/>
            <w:noWrap/>
            <w:vAlign w:val="bottom"/>
            <w:hideMark/>
          </w:tcPr>
          <w:p w14:paraId="55DBFCD3" w14:textId="77777777" w:rsidR="002B6460" w:rsidRPr="00C47E97" w:rsidRDefault="002B6460" w:rsidP="00D70227">
            <w:pPr>
              <w:spacing w:after="0" w:line="240" w:lineRule="auto"/>
              <w:jc w:val="right"/>
              <w:rPr>
                <w:rFonts w:eastAsia="Times New Roman" w:cstheme="minorHAnsi"/>
                <w:color w:val="000000"/>
                <w:sz w:val="20"/>
                <w:szCs w:val="20"/>
                <w:lang w:eastAsia="cs-CZ"/>
              </w:rPr>
            </w:pPr>
            <w:r w:rsidRPr="00C47E97">
              <w:rPr>
                <w:rFonts w:eastAsia="Times New Roman" w:cstheme="minorHAnsi"/>
                <w:color w:val="000000"/>
                <w:sz w:val="20"/>
                <w:szCs w:val="20"/>
                <w:lang w:eastAsia="cs-CZ"/>
              </w:rPr>
              <w:t> </w:t>
            </w:r>
          </w:p>
        </w:tc>
        <w:tc>
          <w:tcPr>
            <w:tcW w:w="1247" w:type="dxa"/>
            <w:tcBorders>
              <w:top w:val="nil"/>
              <w:left w:val="nil"/>
              <w:bottom w:val="single" w:sz="4" w:space="0" w:color="auto"/>
              <w:right w:val="single" w:sz="4" w:space="0" w:color="auto"/>
            </w:tcBorders>
            <w:shd w:val="clear" w:color="auto" w:fill="auto"/>
            <w:noWrap/>
            <w:vAlign w:val="bottom"/>
            <w:hideMark/>
          </w:tcPr>
          <w:p w14:paraId="737F1B91" w14:textId="77777777" w:rsidR="002B6460" w:rsidRPr="00C47E97" w:rsidRDefault="002B6460" w:rsidP="00D70227">
            <w:pPr>
              <w:spacing w:after="0" w:line="240" w:lineRule="auto"/>
              <w:jc w:val="right"/>
              <w:rPr>
                <w:rFonts w:eastAsia="Times New Roman" w:cstheme="minorHAnsi"/>
                <w:color w:val="000000"/>
                <w:sz w:val="20"/>
                <w:szCs w:val="20"/>
                <w:lang w:eastAsia="cs-CZ"/>
              </w:rPr>
            </w:pPr>
            <w:r w:rsidRPr="00C47E97">
              <w:rPr>
                <w:rFonts w:eastAsia="Times New Roman" w:cstheme="minorHAnsi"/>
                <w:color w:val="000000"/>
                <w:sz w:val="20"/>
                <w:szCs w:val="20"/>
                <w:lang w:eastAsia="cs-CZ"/>
              </w:rPr>
              <w:t>597 838</w:t>
            </w:r>
          </w:p>
        </w:tc>
        <w:tc>
          <w:tcPr>
            <w:tcW w:w="1221" w:type="dxa"/>
            <w:tcBorders>
              <w:top w:val="nil"/>
              <w:left w:val="nil"/>
              <w:bottom w:val="single" w:sz="4" w:space="0" w:color="auto"/>
              <w:right w:val="single" w:sz="4" w:space="0" w:color="auto"/>
            </w:tcBorders>
            <w:shd w:val="clear" w:color="auto" w:fill="auto"/>
            <w:noWrap/>
            <w:vAlign w:val="bottom"/>
            <w:hideMark/>
          </w:tcPr>
          <w:p w14:paraId="6E517F9C" w14:textId="77777777" w:rsidR="002B6460" w:rsidRPr="00C47E97" w:rsidRDefault="002B6460" w:rsidP="00D70227">
            <w:pPr>
              <w:spacing w:after="0" w:line="240" w:lineRule="auto"/>
              <w:jc w:val="right"/>
              <w:rPr>
                <w:rFonts w:eastAsia="Times New Roman" w:cstheme="minorHAnsi"/>
                <w:color w:val="000000"/>
                <w:sz w:val="20"/>
                <w:szCs w:val="20"/>
                <w:lang w:eastAsia="cs-CZ"/>
              </w:rPr>
            </w:pPr>
            <w:r w:rsidRPr="00C47E97">
              <w:rPr>
                <w:rFonts w:eastAsia="Times New Roman" w:cstheme="minorHAnsi"/>
                <w:color w:val="000000"/>
                <w:sz w:val="20"/>
                <w:szCs w:val="20"/>
                <w:lang w:eastAsia="cs-CZ"/>
              </w:rPr>
              <w:t>0</w:t>
            </w:r>
          </w:p>
        </w:tc>
      </w:tr>
      <w:tr w:rsidR="002B6460" w:rsidRPr="00C47E97" w14:paraId="648D8AEF" w14:textId="77777777" w:rsidTr="00562DA8">
        <w:trPr>
          <w:trHeight w:val="276"/>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66DB0054" w14:textId="77777777" w:rsidR="002B6460" w:rsidRPr="00C47E97" w:rsidRDefault="002B6460" w:rsidP="00D70227">
            <w:pPr>
              <w:spacing w:after="0" w:line="240" w:lineRule="auto"/>
              <w:jc w:val="center"/>
              <w:rPr>
                <w:rFonts w:eastAsia="Times New Roman" w:cstheme="minorHAnsi"/>
                <w:b/>
                <w:bCs/>
                <w:color w:val="000000"/>
                <w:sz w:val="20"/>
                <w:szCs w:val="20"/>
                <w:lang w:eastAsia="cs-CZ"/>
              </w:rPr>
            </w:pPr>
            <w:r w:rsidRPr="00C47E97">
              <w:rPr>
                <w:rFonts w:eastAsia="Times New Roman" w:cstheme="minorHAnsi"/>
                <w:b/>
                <w:bCs/>
                <w:color w:val="000000"/>
                <w:sz w:val="20"/>
                <w:szCs w:val="20"/>
                <w:lang w:eastAsia="cs-CZ"/>
              </w:rPr>
              <w:t>2016</w:t>
            </w:r>
          </w:p>
        </w:tc>
        <w:tc>
          <w:tcPr>
            <w:tcW w:w="838" w:type="dxa"/>
            <w:tcBorders>
              <w:top w:val="nil"/>
              <w:left w:val="nil"/>
              <w:bottom w:val="single" w:sz="4" w:space="0" w:color="auto"/>
              <w:right w:val="single" w:sz="4" w:space="0" w:color="auto"/>
            </w:tcBorders>
            <w:shd w:val="clear" w:color="auto" w:fill="auto"/>
            <w:noWrap/>
            <w:vAlign w:val="bottom"/>
            <w:hideMark/>
          </w:tcPr>
          <w:p w14:paraId="7AA87CDD" w14:textId="77777777" w:rsidR="002B6460" w:rsidRPr="00C47E97" w:rsidRDefault="002B6460" w:rsidP="00D70227">
            <w:pPr>
              <w:spacing w:after="0" w:line="240" w:lineRule="auto"/>
              <w:jc w:val="right"/>
              <w:rPr>
                <w:rFonts w:eastAsia="Times New Roman" w:cstheme="minorHAnsi"/>
                <w:color w:val="000000"/>
                <w:sz w:val="20"/>
                <w:szCs w:val="20"/>
                <w:lang w:eastAsia="cs-CZ"/>
              </w:rPr>
            </w:pPr>
            <w:r w:rsidRPr="00C47E97">
              <w:rPr>
                <w:rFonts w:eastAsia="Times New Roman" w:cstheme="minorHAnsi"/>
                <w:color w:val="000000"/>
                <w:sz w:val="20"/>
                <w:szCs w:val="20"/>
                <w:lang w:eastAsia="cs-CZ"/>
              </w:rPr>
              <w:t>13 493</w:t>
            </w:r>
          </w:p>
        </w:tc>
        <w:tc>
          <w:tcPr>
            <w:tcW w:w="969" w:type="dxa"/>
            <w:tcBorders>
              <w:top w:val="nil"/>
              <w:left w:val="nil"/>
              <w:bottom w:val="single" w:sz="4" w:space="0" w:color="auto"/>
              <w:right w:val="single" w:sz="4" w:space="0" w:color="auto"/>
            </w:tcBorders>
            <w:shd w:val="clear" w:color="auto" w:fill="auto"/>
            <w:noWrap/>
            <w:vAlign w:val="bottom"/>
            <w:hideMark/>
          </w:tcPr>
          <w:p w14:paraId="2CCB2F22" w14:textId="77777777" w:rsidR="002B6460" w:rsidRPr="00C47E97" w:rsidRDefault="002B6460" w:rsidP="00D70227">
            <w:pPr>
              <w:spacing w:after="0" w:line="240" w:lineRule="auto"/>
              <w:jc w:val="right"/>
              <w:rPr>
                <w:rFonts w:eastAsia="Times New Roman" w:cstheme="minorHAnsi"/>
                <w:color w:val="000000"/>
                <w:sz w:val="20"/>
                <w:szCs w:val="20"/>
                <w:lang w:eastAsia="cs-CZ"/>
              </w:rPr>
            </w:pPr>
            <w:r w:rsidRPr="00C47E97">
              <w:rPr>
                <w:rFonts w:eastAsia="Times New Roman" w:cstheme="minorHAnsi"/>
                <w:color w:val="000000"/>
                <w:sz w:val="20"/>
                <w:szCs w:val="20"/>
                <w:lang w:eastAsia="cs-CZ"/>
              </w:rPr>
              <w:t>2 177</w:t>
            </w:r>
          </w:p>
        </w:tc>
        <w:tc>
          <w:tcPr>
            <w:tcW w:w="970" w:type="dxa"/>
            <w:tcBorders>
              <w:top w:val="nil"/>
              <w:left w:val="nil"/>
              <w:bottom w:val="single" w:sz="4" w:space="0" w:color="auto"/>
              <w:right w:val="single" w:sz="4" w:space="0" w:color="auto"/>
            </w:tcBorders>
            <w:shd w:val="clear" w:color="auto" w:fill="auto"/>
            <w:noWrap/>
            <w:vAlign w:val="bottom"/>
            <w:hideMark/>
          </w:tcPr>
          <w:p w14:paraId="09DC0724" w14:textId="2FAA38C1" w:rsidR="002B6460" w:rsidRPr="00C47E97" w:rsidRDefault="002B6460" w:rsidP="00562DA8">
            <w:pPr>
              <w:spacing w:after="0" w:line="240" w:lineRule="auto"/>
              <w:ind w:right="57"/>
              <w:jc w:val="right"/>
              <w:rPr>
                <w:rFonts w:eastAsia="Times New Roman" w:cstheme="minorHAnsi"/>
                <w:color w:val="000000"/>
                <w:sz w:val="20"/>
                <w:szCs w:val="20"/>
                <w:lang w:eastAsia="cs-CZ"/>
              </w:rPr>
            </w:pPr>
            <w:r w:rsidRPr="00C47E97">
              <w:rPr>
                <w:rFonts w:eastAsia="Times New Roman" w:cstheme="minorHAnsi"/>
                <w:color w:val="000000"/>
                <w:sz w:val="20"/>
                <w:szCs w:val="20"/>
                <w:lang w:eastAsia="cs-CZ"/>
              </w:rPr>
              <w:t>16,1</w:t>
            </w:r>
            <w:r w:rsidR="00C07857">
              <w:rPr>
                <w:rFonts w:eastAsia="Times New Roman" w:cstheme="minorHAnsi"/>
                <w:color w:val="000000"/>
                <w:sz w:val="20"/>
                <w:szCs w:val="20"/>
                <w:lang w:eastAsia="cs-CZ"/>
              </w:rPr>
              <w:t xml:space="preserve"> %</w:t>
            </w:r>
          </w:p>
        </w:tc>
        <w:tc>
          <w:tcPr>
            <w:tcW w:w="1622" w:type="dxa"/>
            <w:tcBorders>
              <w:top w:val="nil"/>
              <w:left w:val="nil"/>
              <w:bottom w:val="single" w:sz="4" w:space="0" w:color="auto"/>
              <w:right w:val="single" w:sz="4" w:space="0" w:color="auto"/>
            </w:tcBorders>
            <w:shd w:val="clear" w:color="auto" w:fill="auto"/>
            <w:noWrap/>
            <w:vAlign w:val="bottom"/>
            <w:hideMark/>
          </w:tcPr>
          <w:p w14:paraId="590AB71C" w14:textId="77777777" w:rsidR="002B6460" w:rsidRPr="00C47E97" w:rsidRDefault="002B6460" w:rsidP="00D70227">
            <w:pPr>
              <w:spacing w:after="0" w:line="240" w:lineRule="auto"/>
              <w:jc w:val="right"/>
              <w:rPr>
                <w:rFonts w:eastAsia="Times New Roman" w:cstheme="minorHAnsi"/>
                <w:color w:val="000000"/>
                <w:sz w:val="20"/>
                <w:szCs w:val="20"/>
                <w:lang w:eastAsia="cs-CZ"/>
              </w:rPr>
            </w:pPr>
            <w:r w:rsidRPr="00C47E97">
              <w:rPr>
                <w:rFonts w:eastAsia="Times New Roman" w:cstheme="minorHAnsi"/>
                <w:color w:val="000000"/>
                <w:sz w:val="20"/>
                <w:szCs w:val="20"/>
                <w:lang w:eastAsia="cs-CZ"/>
              </w:rPr>
              <w:t>4 872 856 513</w:t>
            </w:r>
          </w:p>
        </w:tc>
        <w:tc>
          <w:tcPr>
            <w:tcW w:w="1494" w:type="dxa"/>
            <w:tcBorders>
              <w:top w:val="nil"/>
              <w:left w:val="nil"/>
              <w:bottom w:val="single" w:sz="4" w:space="0" w:color="auto"/>
              <w:right w:val="single" w:sz="4" w:space="0" w:color="auto"/>
            </w:tcBorders>
            <w:shd w:val="clear" w:color="auto" w:fill="auto"/>
            <w:noWrap/>
            <w:vAlign w:val="bottom"/>
            <w:hideMark/>
          </w:tcPr>
          <w:p w14:paraId="0B1F8E82" w14:textId="77777777" w:rsidR="002B6460" w:rsidRPr="00C47E97" w:rsidRDefault="002B6460" w:rsidP="00D70227">
            <w:pPr>
              <w:spacing w:after="0" w:line="240" w:lineRule="auto"/>
              <w:jc w:val="right"/>
              <w:rPr>
                <w:rFonts w:eastAsia="Times New Roman" w:cstheme="minorHAnsi"/>
                <w:color w:val="000000"/>
                <w:sz w:val="20"/>
                <w:szCs w:val="20"/>
                <w:lang w:eastAsia="cs-CZ"/>
              </w:rPr>
            </w:pPr>
            <w:r w:rsidRPr="00C47E97">
              <w:rPr>
                <w:rFonts w:eastAsia="Times New Roman" w:cstheme="minorHAnsi"/>
                <w:color w:val="000000"/>
                <w:sz w:val="20"/>
                <w:szCs w:val="20"/>
                <w:lang w:eastAsia="cs-CZ"/>
              </w:rPr>
              <w:t>776 615 501</w:t>
            </w:r>
          </w:p>
        </w:tc>
        <w:tc>
          <w:tcPr>
            <w:tcW w:w="1247" w:type="dxa"/>
            <w:tcBorders>
              <w:top w:val="nil"/>
              <w:left w:val="nil"/>
              <w:bottom w:val="single" w:sz="4" w:space="0" w:color="auto"/>
              <w:right w:val="single" w:sz="4" w:space="0" w:color="auto"/>
            </w:tcBorders>
            <w:shd w:val="clear" w:color="auto" w:fill="auto"/>
            <w:noWrap/>
            <w:vAlign w:val="bottom"/>
            <w:hideMark/>
          </w:tcPr>
          <w:p w14:paraId="54AAC2D4" w14:textId="77777777" w:rsidR="002B6460" w:rsidRPr="00C47E97" w:rsidRDefault="002B6460" w:rsidP="00D70227">
            <w:pPr>
              <w:spacing w:after="0" w:line="240" w:lineRule="auto"/>
              <w:jc w:val="right"/>
              <w:rPr>
                <w:rFonts w:eastAsia="Times New Roman" w:cstheme="minorHAnsi"/>
                <w:color w:val="000000"/>
                <w:sz w:val="20"/>
                <w:szCs w:val="20"/>
                <w:lang w:eastAsia="cs-CZ"/>
              </w:rPr>
            </w:pPr>
            <w:r w:rsidRPr="00C47E97">
              <w:rPr>
                <w:rFonts w:eastAsia="Times New Roman" w:cstheme="minorHAnsi"/>
                <w:color w:val="000000"/>
                <w:sz w:val="20"/>
                <w:szCs w:val="20"/>
                <w:lang w:eastAsia="cs-CZ"/>
              </w:rPr>
              <w:t>361 987</w:t>
            </w:r>
          </w:p>
        </w:tc>
        <w:tc>
          <w:tcPr>
            <w:tcW w:w="1221" w:type="dxa"/>
            <w:tcBorders>
              <w:top w:val="nil"/>
              <w:left w:val="nil"/>
              <w:bottom w:val="single" w:sz="4" w:space="0" w:color="auto"/>
              <w:right w:val="single" w:sz="4" w:space="0" w:color="auto"/>
            </w:tcBorders>
            <w:shd w:val="clear" w:color="auto" w:fill="auto"/>
            <w:noWrap/>
            <w:vAlign w:val="bottom"/>
            <w:hideMark/>
          </w:tcPr>
          <w:p w14:paraId="3601224C" w14:textId="77777777" w:rsidR="002B6460" w:rsidRPr="00C47E97" w:rsidRDefault="002B6460" w:rsidP="00D70227">
            <w:pPr>
              <w:spacing w:after="0" w:line="240" w:lineRule="auto"/>
              <w:jc w:val="right"/>
              <w:rPr>
                <w:rFonts w:eastAsia="Times New Roman" w:cstheme="minorHAnsi"/>
                <w:color w:val="000000"/>
                <w:sz w:val="20"/>
                <w:szCs w:val="20"/>
                <w:lang w:eastAsia="cs-CZ"/>
              </w:rPr>
            </w:pPr>
            <w:r w:rsidRPr="00C47E97">
              <w:rPr>
                <w:rFonts w:eastAsia="Times New Roman" w:cstheme="minorHAnsi"/>
                <w:color w:val="000000"/>
                <w:sz w:val="20"/>
                <w:szCs w:val="20"/>
                <w:lang w:eastAsia="cs-CZ"/>
              </w:rPr>
              <w:t>356 737</w:t>
            </w:r>
          </w:p>
        </w:tc>
      </w:tr>
      <w:tr w:rsidR="002B6460" w:rsidRPr="00C47E97" w14:paraId="27FC2C70" w14:textId="77777777" w:rsidTr="00562DA8">
        <w:trPr>
          <w:trHeight w:val="276"/>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2517DE0C" w14:textId="77777777" w:rsidR="002B6460" w:rsidRPr="00C47E97" w:rsidRDefault="002B6460" w:rsidP="00D70227">
            <w:pPr>
              <w:spacing w:after="0" w:line="240" w:lineRule="auto"/>
              <w:jc w:val="center"/>
              <w:rPr>
                <w:rFonts w:eastAsia="Times New Roman" w:cstheme="minorHAnsi"/>
                <w:b/>
                <w:bCs/>
                <w:color w:val="000000"/>
                <w:sz w:val="20"/>
                <w:szCs w:val="20"/>
                <w:lang w:eastAsia="cs-CZ"/>
              </w:rPr>
            </w:pPr>
            <w:r w:rsidRPr="00C47E97">
              <w:rPr>
                <w:rFonts w:eastAsia="Times New Roman" w:cstheme="minorHAnsi"/>
                <w:b/>
                <w:bCs/>
                <w:color w:val="000000"/>
                <w:sz w:val="20"/>
                <w:szCs w:val="20"/>
                <w:lang w:eastAsia="cs-CZ"/>
              </w:rPr>
              <w:t>2017</w:t>
            </w:r>
          </w:p>
        </w:tc>
        <w:tc>
          <w:tcPr>
            <w:tcW w:w="838" w:type="dxa"/>
            <w:tcBorders>
              <w:top w:val="nil"/>
              <w:left w:val="nil"/>
              <w:bottom w:val="single" w:sz="4" w:space="0" w:color="auto"/>
              <w:right w:val="single" w:sz="4" w:space="0" w:color="auto"/>
            </w:tcBorders>
            <w:shd w:val="clear" w:color="auto" w:fill="auto"/>
            <w:noWrap/>
            <w:vAlign w:val="bottom"/>
            <w:hideMark/>
          </w:tcPr>
          <w:p w14:paraId="1FAE496E" w14:textId="77777777" w:rsidR="002B6460" w:rsidRPr="00C47E97" w:rsidRDefault="002B6460" w:rsidP="00D70227">
            <w:pPr>
              <w:spacing w:after="0" w:line="240" w:lineRule="auto"/>
              <w:jc w:val="right"/>
              <w:rPr>
                <w:rFonts w:eastAsia="Times New Roman" w:cstheme="minorHAnsi"/>
                <w:color w:val="000000"/>
                <w:sz w:val="20"/>
                <w:szCs w:val="20"/>
                <w:lang w:eastAsia="cs-CZ"/>
              </w:rPr>
            </w:pPr>
            <w:r w:rsidRPr="00C47E97">
              <w:rPr>
                <w:rFonts w:eastAsia="Times New Roman" w:cstheme="minorHAnsi"/>
                <w:color w:val="000000"/>
                <w:sz w:val="20"/>
                <w:szCs w:val="20"/>
                <w:lang w:eastAsia="cs-CZ"/>
              </w:rPr>
              <w:t>8 898</w:t>
            </w:r>
          </w:p>
        </w:tc>
        <w:tc>
          <w:tcPr>
            <w:tcW w:w="969" w:type="dxa"/>
            <w:tcBorders>
              <w:top w:val="nil"/>
              <w:left w:val="nil"/>
              <w:bottom w:val="single" w:sz="4" w:space="0" w:color="auto"/>
              <w:right w:val="single" w:sz="4" w:space="0" w:color="auto"/>
            </w:tcBorders>
            <w:shd w:val="clear" w:color="auto" w:fill="auto"/>
            <w:noWrap/>
            <w:vAlign w:val="bottom"/>
            <w:hideMark/>
          </w:tcPr>
          <w:p w14:paraId="7C43B6FB" w14:textId="77777777" w:rsidR="002B6460" w:rsidRPr="00C47E97" w:rsidRDefault="002B6460" w:rsidP="00D70227">
            <w:pPr>
              <w:spacing w:after="0" w:line="240" w:lineRule="auto"/>
              <w:jc w:val="right"/>
              <w:rPr>
                <w:rFonts w:eastAsia="Times New Roman" w:cstheme="minorHAnsi"/>
                <w:color w:val="000000"/>
                <w:sz w:val="20"/>
                <w:szCs w:val="20"/>
                <w:lang w:eastAsia="cs-CZ"/>
              </w:rPr>
            </w:pPr>
            <w:r w:rsidRPr="00C47E97">
              <w:rPr>
                <w:rFonts w:eastAsia="Times New Roman" w:cstheme="minorHAnsi"/>
                <w:color w:val="000000"/>
                <w:sz w:val="20"/>
                <w:szCs w:val="20"/>
                <w:lang w:eastAsia="cs-CZ"/>
              </w:rPr>
              <w:t>1 068</w:t>
            </w:r>
          </w:p>
        </w:tc>
        <w:tc>
          <w:tcPr>
            <w:tcW w:w="970" w:type="dxa"/>
            <w:tcBorders>
              <w:top w:val="nil"/>
              <w:left w:val="nil"/>
              <w:bottom w:val="single" w:sz="4" w:space="0" w:color="auto"/>
              <w:right w:val="single" w:sz="4" w:space="0" w:color="auto"/>
            </w:tcBorders>
            <w:shd w:val="clear" w:color="auto" w:fill="auto"/>
            <w:noWrap/>
            <w:vAlign w:val="bottom"/>
            <w:hideMark/>
          </w:tcPr>
          <w:p w14:paraId="4CCFB9F6" w14:textId="5064A24C" w:rsidR="002B6460" w:rsidRPr="00C47E97" w:rsidRDefault="002B6460" w:rsidP="00562DA8">
            <w:pPr>
              <w:spacing w:after="0" w:line="240" w:lineRule="auto"/>
              <w:ind w:right="57"/>
              <w:jc w:val="right"/>
              <w:rPr>
                <w:rFonts w:eastAsia="Times New Roman" w:cstheme="minorHAnsi"/>
                <w:color w:val="000000"/>
                <w:sz w:val="20"/>
                <w:szCs w:val="20"/>
                <w:lang w:eastAsia="cs-CZ"/>
              </w:rPr>
            </w:pPr>
            <w:r w:rsidRPr="00C47E97">
              <w:rPr>
                <w:rFonts w:eastAsia="Times New Roman" w:cstheme="minorHAnsi"/>
                <w:color w:val="000000"/>
                <w:sz w:val="20"/>
                <w:szCs w:val="20"/>
                <w:lang w:eastAsia="cs-CZ"/>
              </w:rPr>
              <w:t>12,0</w:t>
            </w:r>
            <w:r w:rsidR="00C07857">
              <w:rPr>
                <w:rFonts w:eastAsia="Times New Roman" w:cstheme="minorHAnsi"/>
                <w:color w:val="000000"/>
                <w:sz w:val="20"/>
                <w:szCs w:val="20"/>
                <w:lang w:eastAsia="cs-CZ"/>
              </w:rPr>
              <w:t xml:space="preserve"> %</w:t>
            </w:r>
          </w:p>
        </w:tc>
        <w:tc>
          <w:tcPr>
            <w:tcW w:w="1622" w:type="dxa"/>
            <w:tcBorders>
              <w:top w:val="nil"/>
              <w:left w:val="nil"/>
              <w:bottom w:val="single" w:sz="4" w:space="0" w:color="auto"/>
              <w:right w:val="single" w:sz="4" w:space="0" w:color="auto"/>
            </w:tcBorders>
            <w:shd w:val="clear" w:color="auto" w:fill="auto"/>
            <w:noWrap/>
            <w:vAlign w:val="bottom"/>
            <w:hideMark/>
          </w:tcPr>
          <w:p w14:paraId="581DF918" w14:textId="77777777" w:rsidR="002B6460" w:rsidRPr="00C47E97" w:rsidRDefault="002B6460" w:rsidP="00D70227">
            <w:pPr>
              <w:spacing w:after="0" w:line="240" w:lineRule="auto"/>
              <w:jc w:val="right"/>
              <w:rPr>
                <w:rFonts w:eastAsia="Times New Roman" w:cstheme="minorHAnsi"/>
                <w:color w:val="000000"/>
                <w:sz w:val="20"/>
                <w:szCs w:val="20"/>
                <w:lang w:eastAsia="cs-CZ"/>
              </w:rPr>
            </w:pPr>
            <w:r w:rsidRPr="00C47E97">
              <w:rPr>
                <w:rFonts w:eastAsia="Times New Roman" w:cstheme="minorHAnsi"/>
                <w:color w:val="000000"/>
                <w:sz w:val="20"/>
                <w:szCs w:val="20"/>
                <w:lang w:eastAsia="cs-CZ"/>
              </w:rPr>
              <w:t>3 100 975 002</w:t>
            </w:r>
          </w:p>
        </w:tc>
        <w:tc>
          <w:tcPr>
            <w:tcW w:w="1494" w:type="dxa"/>
            <w:tcBorders>
              <w:top w:val="nil"/>
              <w:left w:val="nil"/>
              <w:bottom w:val="single" w:sz="4" w:space="0" w:color="auto"/>
              <w:right w:val="single" w:sz="4" w:space="0" w:color="auto"/>
            </w:tcBorders>
            <w:shd w:val="clear" w:color="auto" w:fill="auto"/>
            <w:noWrap/>
            <w:vAlign w:val="bottom"/>
            <w:hideMark/>
          </w:tcPr>
          <w:p w14:paraId="10E9E8AF" w14:textId="77777777" w:rsidR="002B6460" w:rsidRPr="00C47E97" w:rsidRDefault="002B6460" w:rsidP="00D70227">
            <w:pPr>
              <w:spacing w:after="0" w:line="240" w:lineRule="auto"/>
              <w:jc w:val="right"/>
              <w:rPr>
                <w:rFonts w:eastAsia="Times New Roman" w:cstheme="minorHAnsi"/>
                <w:color w:val="000000"/>
                <w:sz w:val="20"/>
                <w:szCs w:val="20"/>
                <w:lang w:eastAsia="cs-CZ"/>
              </w:rPr>
            </w:pPr>
            <w:r w:rsidRPr="00C47E97">
              <w:rPr>
                <w:rFonts w:eastAsia="Times New Roman" w:cstheme="minorHAnsi"/>
                <w:color w:val="000000"/>
                <w:sz w:val="20"/>
                <w:szCs w:val="20"/>
                <w:lang w:eastAsia="cs-CZ"/>
              </w:rPr>
              <w:t>816 982 528</w:t>
            </w:r>
          </w:p>
        </w:tc>
        <w:tc>
          <w:tcPr>
            <w:tcW w:w="1247" w:type="dxa"/>
            <w:tcBorders>
              <w:top w:val="nil"/>
              <w:left w:val="nil"/>
              <w:bottom w:val="single" w:sz="4" w:space="0" w:color="auto"/>
              <w:right w:val="single" w:sz="4" w:space="0" w:color="auto"/>
            </w:tcBorders>
            <w:shd w:val="clear" w:color="auto" w:fill="auto"/>
            <w:noWrap/>
            <w:vAlign w:val="bottom"/>
            <w:hideMark/>
          </w:tcPr>
          <w:p w14:paraId="789048AE" w14:textId="77777777" w:rsidR="002B6460" w:rsidRPr="00C47E97" w:rsidRDefault="002B6460" w:rsidP="00D70227">
            <w:pPr>
              <w:spacing w:after="0" w:line="240" w:lineRule="auto"/>
              <w:jc w:val="right"/>
              <w:rPr>
                <w:rFonts w:eastAsia="Times New Roman" w:cstheme="minorHAnsi"/>
                <w:color w:val="000000"/>
                <w:sz w:val="20"/>
                <w:szCs w:val="20"/>
                <w:lang w:eastAsia="cs-CZ"/>
              </w:rPr>
            </w:pPr>
            <w:r w:rsidRPr="00C47E97">
              <w:rPr>
                <w:rFonts w:eastAsia="Times New Roman" w:cstheme="minorHAnsi"/>
                <w:color w:val="000000"/>
                <w:sz w:val="20"/>
                <w:szCs w:val="20"/>
                <w:lang w:eastAsia="cs-CZ"/>
              </w:rPr>
              <w:t>291 698</w:t>
            </w:r>
          </w:p>
        </w:tc>
        <w:tc>
          <w:tcPr>
            <w:tcW w:w="1221" w:type="dxa"/>
            <w:tcBorders>
              <w:top w:val="nil"/>
              <w:left w:val="nil"/>
              <w:bottom w:val="single" w:sz="4" w:space="0" w:color="auto"/>
              <w:right w:val="single" w:sz="4" w:space="0" w:color="auto"/>
            </w:tcBorders>
            <w:shd w:val="clear" w:color="auto" w:fill="auto"/>
            <w:noWrap/>
            <w:vAlign w:val="bottom"/>
            <w:hideMark/>
          </w:tcPr>
          <w:p w14:paraId="52412383" w14:textId="77777777" w:rsidR="002B6460" w:rsidRPr="00C47E97" w:rsidRDefault="002B6460" w:rsidP="00D70227">
            <w:pPr>
              <w:spacing w:after="0" w:line="240" w:lineRule="auto"/>
              <w:jc w:val="right"/>
              <w:rPr>
                <w:rFonts w:eastAsia="Times New Roman" w:cstheme="minorHAnsi"/>
                <w:color w:val="000000"/>
                <w:sz w:val="20"/>
                <w:szCs w:val="20"/>
                <w:lang w:eastAsia="cs-CZ"/>
              </w:rPr>
            </w:pPr>
            <w:r w:rsidRPr="00C47E97">
              <w:rPr>
                <w:rFonts w:eastAsia="Times New Roman" w:cstheme="minorHAnsi"/>
                <w:color w:val="000000"/>
                <w:sz w:val="20"/>
                <w:szCs w:val="20"/>
                <w:lang w:eastAsia="cs-CZ"/>
              </w:rPr>
              <w:t>764 965</w:t>
            </w:r>
          </w:p>
        </w:tc>
      </w:tr>
      <w:tr w:rsidR="002B6460" w:rsidRPr="00C47E97" w14:paraId="7B5A7A3C" w14:textId="77777777" w:rsidTr="00562DA8">
        <w:trPr>
          <w:trHeight w:val="276"/>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104181FB" w14:textId="77777777" w:rsidR="002B6460" w:rsidRPr="00C47E97" w:rsidRDefault="002B6460" w:rsidP="00D70227">
            <w:pPr>
              <w:spacing w:after="0" w:line="240" w:lineRule="auto"/>
              <w:jc w:val="center"/>
              <w:rPr>
                <w:rFonts w:eastAsia="Times New Roman" w:cstheme="minorHAnsi"/>
                <w:b/>
                <w:bCs/>
                <w:color w:val="000000"/>
                <w:sz w:val="20"/>
                <w:szCs w:val="20"/>
                <w:lang w:eastAsia="cs-CZ"/>
              </w:rPr>
            </w:pPr>
            <w:r w:rsidRPr="00C47E97">
              <w:rPr>
                <w:rFonts w:eastAsia="Times New Roman" w:cstheme="minorHAnsi"/>
                <w:b/>
                <w:bCs/>
                <w:color w:val="000000"/>
                <w:sz w:val="20"/>
                <w:szCs w:val="20"/>
                <w:lang w:eastAsia="cs-CZ"/>
              </w:rPr>
              <w:t>2018</w:t>
            </w:r>
          </w:p>
        </w:tc>
        <w:tc>
          <w:tcPr>
            <w:tcW w:w="838" w:type="dxa"/>
            <w:tcBorders>
              <w:top w:val="nil"/>
              <w:left w:val="nil"/>
              <w:bottom w:val="single" w:sz="4" w:space="0" w:color="auto"/>
              <w:right w:val="single" w:sz="4" w:space="0" w:color="auto"/>
            </w:tcBorders>
            <w:shd w:val="clear" w:color="auto" w:fill="auto"/>
            <w:noWrap/>
            <w:vAlign w:val="bottom"/>
            <w:hideMark/>
          </w:tcPr>
          <w:p w14:paraId="3C2443FD" w14:textId="77777777" w:rsidR="002B6460" w:rsidRPr="00C47E97" w:rsidRDefault="002B6460" w:rsidP="00D70227">
            <w:pPr>
              <w:spacing w:after="0" w:line="240" w:lineRule="auto"/>
              <w:jc w:val="right"/>
              <w:rPr>
                <w:rFonts w:eastAsia="Times New Roman" w:cstheme="minorHAnsi"/>
                <w:color w:val="000000"/>
                <w:sz w:val="20"/>
                <w:szCs w:val="20"/>
                <w:lang w:eastAsia="cs-CZ"/>
              </w:rPr>
            </w:pPr>
            <w:r w:rsidRPr="00C47E97">
              <w:rPr>
                <w:rFonts w:eastAsia="Times New Roman" w:cstheme="minorHAnsi"/>
                <w:color w:val="000000"/>
                <w:sz w:val="20"/>
                <w:szCs w:val="20"/>
                <w:lang w:eastAsia="cs-CZ"/>
              </w:rPr>
              <w:t>7 908</w:t>
            </w:r>
          </w:p>
        </w:tc>
        <w:tc>
          <w:tcPr>
            <w:tcW w:w="969" w:type="dxa"/>
            <w:tcBorders>
              <w:top w:val="nil"/>
              <w:left w:val="nil"/>
              <w:bottom w:val="single" w:sz="4" w:space="0" w:color="auto"/>
              <w:right w:val="single" w:sz="4" w:space="0" w:color="auto"/>
            </w:tcBorders>
            <w:shd w:val="clear" w:color="auto" w:fill="auto"/>
            <w:noWrap/>
            <w:vAlign w:val="bottom"/>
            <w:hideMark/>
          </w:tcPr>
          <w:p w14:paraId="56511787" w14:textId="77777777" w:rsidR="002B6460" w:rsidRPr="00C47E97" w:rsidRDefault="002B6460" w:rsidP="00D70227">
            <w:pPr>
              <w:spacing w:after="0" w:line="240" w:lineRule="auto"/>
              <w:jc w:val="right"/>
              <w:rPr>
                <w:rFonts w:eastAsia="Times New Roman" w:cstheme="minorHAnsi"/>
                <w:color w:val="000000"/>
                <w:sz w:val="20"/>
                <w:szCs w:val="20"/>
                <w:lang w:eastAsia="cs-CZ"/>
              </w:rPr>
            </w:pPr>
            <w:r w:rsidRPr="00C47E97">
              <w:rPr>
                <w:rFonts w:eastAsia="Times New Roman" w:cstheme="minorHAnsi"/>
                <w:color w:val="000000"/>
                <w:sz w:val="20"/>
                <w:szCs w:val="20"/>
                <w:lang w:eastAsia="cs-CZ"/>
              </w:rPr>
              <w:t>1 273</w:t>
            </w:r>
          </w:p>
        </w:tc>
        <w:tc>
          <w:tcPr>
            <w:tcW w:w="970" w:type="dxa"/>
            <w:tcBorders>
              <w:top w:val="nil"/>
              <w:left w:val="nil"/>
              <w:bottom w:val="single" w:sz="4" w:space="0" w:color="auto"/>
              <w:right w:val="single" w:sz="4" w:space="0" w:color="auto"/>
            </w:tcBorders>
            <w:shd w:val="clear" w:color="auto" w:fill="auto"/>
            <w:noWrap/>
            <w:vAlign w:val="bottom"/>
            <w:hideMark/>
          </w:tcPr>
          <w:p w14:paraId="00006EFD" w14:textId="08A51A92" w:rsidR="002B6460" w:rsidRPr="00C47E97" w:rsidRDefault="002B6460" w:rsidP="00562DA8">
            <w:pPr>
              <w:spacing w:after="0" w:line="240" w:lineRule="auto"/>
              <w:ind w:right="57"/>
              <w:jc w:val="right"/>
              <w:rPr>
                <w:rFonts w:eastAsia="Times New Roman" w:cstheme="minorHAnsi"/>
                <w:color w:val="000000"/>
                <w:sz w:val="20"/>
                <w:szCs w:val="20"/>
                <w:lang w:eastAsia="cs-CZ"/>
              </w:rPr>
            </w:pPr>
            <w:r w:rsidRPr="00C47E97">
              <w:rPr>
                <w:rFonts w:eastAsia="Times New Roman" w:cstheme="minorHAnsi"/>
                <w:color w:val="000000"/>
                <w:sz w:val="20"/>
                <w:szCs w:val="20"/>
                <w:lang w:eastAsia="cs-CZ"/>
              </w:rPr>
              <w:t>16,1</w:t>
            </w:r>
            <w:r w:rsidR="00C07857">
              <w:rPr>
                <w:rFonts w:eastAsia="Times New Roman" w:cstheme="minorHAnsi"/>
                <w:color w:val="000000"/>
                <w:sz w:val="20"/>
                <w:szCs w:val="20"/>
                <w:lang w:eastAsia="cs-CZ"/>
              </w:rPr>
              <w:t xml:space="preserve"> %</w:t>
            </w:r>
          </w:p>
        </w:tc>
        <w:tc>
          <w:tcPr>
            <w:tcW w:w="1622" w:type="dxa"/>
            <w:tcBorders>
              <w:top w:val="nil"/>
              <w:left w:val="nil"/>
              <w:bottom w:val="single" w:sz="4" w:space="0" w:color="auto"/>
              <w:right w:val="single" w:sz="4" w:space="0" w:color="auto"/>
            </w:tcBorders>
            <w:shd w:val="clear" w:color="auto" w:fill="auto"/>
            <w:noWrap/>
            <w:vAlign w:val="bottom"/>
            <w:hideMark/>
          </w:tcPr>
          <w:p w14:paraId="2BAE8454" w14:textId="77777777" w:rsidR="002B6460" w:rsidRPr="00C47E97" w:rsidRDefault="002B6460" w:rsidP="00D70227">
            <w:pPr>
              <w:spacing w:after="0" w:line="240" w:lineRule="auto"/>
              <w:jc w:val="right"/>
              <w:rPr>
                <w:rFonts w:eastAsia="Times New Roman" w:cstheme="minorHAnsi"/>
                <w:color w:val="000000"/>
                <w:sz w:val="20"/>
                <w:szCs w:val="20"/>
                <w:lang w:eastAsia="cs-CZ"/>
              </w:rPr>
            </w:pPr>
            <w:r w:rsidRPr="00C47E97">
              <w:rPr>
                <w:rFonts w:eastAsia="Times New Roman" w:cstheme="minorHAnsi"/>
                <w:color w:val="000000"/>
                <w:sz w:val="20"/>
                <w:szCs w:val="20"/>
                <w:lang w:eastAsia="cs-CZ"/>
              </w:rPr>
              <w:t>3 247 729 506</w:t>
            </w:r>
          </w:p>
        </w:tc>
        <w:tc>
          <w:tcPr>
            <w:tcW w:w="1494" w:type="dxa"/>
            <w:tcBorders>
              <w:top w:val="nil"/>
              <w:left w:val="nil"/>
              <w:bottom w:val="single" w:sz="4" w:space="0" w:color="auto"/>
              <w:right w:val="single" w:sz="4" w:space="0" w:color="auto"/>
            </w:tcBorders>
            <w:shd w:val="clear" w:color="auto" w:fill="auto"/>
            <w:noWrap/>
            <w:vAlign w:val="bottom"/>
            <w:hideMark/>
          </w:tcPr>
          <w:p w14:paraId="611748A2" w14:textId="77777777" w:rsidR="002B6460" w:rsidRPr="00C47E97" w:rsidRDefault="002B6460" w:rsidP="00D70227">
            <w:pPr>
              <w:spacing w:after="0" w:line="240" w:lineRule="auto"/>
              <w:jc w:val="right"/>
              <w:rPr>
                <w:rFonts w:eastAsia="Times New Roman" w:cstheme="minorHAnsi"/>
                <w:color w:val="000000"/>
                <w:sz w:val="20"/>
                <w:szCs w:val="20"/>
                <w:lang w:eastAsia="cs-CZ"/>
              </w:rPr>
            </w:pPr>
            <w:r w:rsidRPr="00C47E97">
              <w:rPr>
                <w:rFonts w:eastAsia="Times New Roman" w:cstheme="minorHAnsi"/>
                <w:color w:val="000000"/>
                <w:sz w:val="20"/>
                <w:szCs w:val="20"/>
                <w:lang w:eastAsia="cs-CZ"/>
              </w:rPr>
              <w:t>1 239 739 166</w:t>
            </w:r>
          </w:p>
        </w:tc>
        <w:tc>
          <w:tcPr>
            <w:tcW w:w="1247" w:type="dxa"/>
            <w:tcBorders>
              <w:top w:val="nil"/>
              <w:left w:val="nil"/>
              <w:bottom w:val="single" w:sz="4" w:space="0" w:color="auto"/>
              <w:right w:val="single" w:sz="4" w:space="0" w:color="auto"/>
            </w:tcBorders>
            <w:shd w:val="clear" w:color="auto" w:fill="auto"/>
            <w:noWrap/>
            <w:vAlign w:val="bottom"/>
            <w:hideMark/>
          </w:tcPr>
          <w:p w14:paraId="554A465E" w14:textId="77777777" w:rsidR="002B6460" w:rsidRPr="00C47E97" w:rsidRDefault="002B6460" w:rsidP="00D70227">
            <w:pPr>
              <w:spacing w:after="0" w:line="240" w:lineRule="auto"/>
              <w:jc w:val="right"/>
              <w:rPr>
                <w:rFonts w:eastAsia="Times New Roman" w:cstheme="minorHAnsi"/>
                <w:color w:val="000000"/>
                <w:sz w:val="20"/>
                <w:szCs w:val="20"/>
                <w:lang w:eastAsia="cs-CZ"/>
              </w:rPr>
            </w:pPr>
            <w:r w:rsidRPr="00C47E97">
              <w:rPr>
                <w:rFonts w:eastAsia="Times New Roman" w:cstheme="minorHAnsi"/>
                <w:color w:val="000000"/>
                <w:sz w:val="20"/>
                <w:szCs w:val="20"/>
                <w:lang w:eastAsia="cs-CZ"/>
              </w:rPr>
              <w:t>302 636</w:t>
            </w:r>
          </w:p>
        </w:tc>
        <w:tc>
          <w:tcPr>
            <w:tcW w:w="1221" w:type="dxa"/>
            <w:tcBorders>
              <w:top w:val="nil"/>
              <w:left w:val="nil"/>
              <w:bottom w:val="single" w:sz="4" w:space="0" w:color="auto"/>
              <w:right w:val="single" w:sz="4" w:space="0" w:color="auto"/>
            </w:tcBorders>
            <w:shd w:val="clear" w:color="auto" w:fill="auto"/>
            <w:noWrap/>
            <w:vAlign w:val="bottom"/>
            <w:hideMark/>
          </w:tcPr>
          <w:p w14:paraId="1D7A63FC" w14:textId="77777777" w:rsidR="002B6460" w:rsidRPr="00C47E97" w:rsidRDefault="002B6460" w:rsidP="00D70227">
            <w:pPr>
              <w:spacing w:after="0" w:line="240" w:lineRule="auto"/>
              <w:jc w:val="right"/>
              <w:rPr>
                <w:rFonts w:eastAsia="Times New Roman" w:cstheme="minorHAnsi"/>
                <w:color w:val="000000"/>
                <w:sz w:val="20"/>
                <w:szCs w:val="20"/>
                <w:lang w:eastAsia="cs-CZ"/>
              </w:rPr>
            </w:pPr>
            <w:r w:rsidRPr="00C47E97">
              <w:rPr>
                <w:rFonts w:eastAsia="Times New Roman" w:cstheme="minorHAnsi"/>
                <w:color w:val="000000"/>
                <w:sz w:val="20"/>
                <w:szCs w:val="20"/>
                <w:lang w:eastAsia="cs-CZ"/>
              </w:rPr>
              <w:t>973 872</w:t>
            </w:r>
          </w:p>
        </w:tc>
      </w:tr>
      <w:tr w:rsidR="002B6460" w:rsidRPr="00C47E97" w14:paraId="55FF5363" w14:textId="77777777" w:rsidTr="00562DA8">
        <w:trPr>
          <w:trHeight w:val="276"/>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591038C5" w14:textId="77777777" w:rsidR="002B6460" w:rsidRPr="00C47E97" w:rsidRDefault="002B6460" w:rsidP="00D70227">
            <w:pPr>
              <w:spacing w:after="0" w:line="240" w:lineRule="auto"/>
              <w:jc w:val="center"/>
              <w:rPr>
                <w:rFonts w:eastAsia="Times New Roman" w:cstheme="minorHAnsi"/>
                <w:b/>
                <w:bCs/>
                <w:color w:val="000000"/>
                <w:sz w:val="20"/>
                <w:szCs w:val="20"/>
                <w:lang w:eastAsia="cs-CZ"/>
              </w:rPr>
            </w:pPr>
            <w:r w:rsidRPr="00C47E97">
              <w:rPr>
                <w:rFonts w:eastAsia="Times New Roman" w:cstheme="minorHAnsi"/>
                <w:b/>
                <w:bCs/>
                <w:color w:val="000000"/>
                <w:sz w:val="20"/>
                <w:szCs w:val="20"/>
                <w:lang w:eastAsia="cs-CZ"/>
              </w:rPr>
              <w:t>2019</w:t>
            </w:r>
          </w:p>
        </w:tc>
        <w:tc>
          <w:tcPr>
            <w:tcW w:w="838" w:type="dxa"/>
            <w:tcBorders>
              <w:top w:val="nil"/>
              <w:left w:val="nil"/>
              <w:bottom w:val="single" w:sz="4" w:space="0" w:color="auto"/>
              <w:right w:val="single" w:sz="4" w:space="0" w:color="auto"/>
            </w:tcBorders>
            <w:shd w:val="clear" w:color="auto" w:fill="auto"/>
            <w:noWrap/>
            <w:vAlign w:val="bottom"/>
            <w:hideMark/>
          </w:tcPr>
          <w:p w14:paraId="5E5EC9D6" w14:textId="77777777" w:rsidR="002B6460" w:rsidRPr="00C47E97" w:rsidRDefault="002B6460" w:rsidP="00D70227">
            <w:pPr>
              <w:spacing w:after="0" w:line="240" w:lineRule="auto"/>
              <w:jc w:val="right"/>
              <w:rPr>
                <w:rFonts w:eastAsia="Times New Roman" w:cstheme="minorHAnsi"/>
                <w:color w:val="000000"/>
                <w:sz w:val="20"/>
                <w:szCs w:val="20"/>
                <w:lang w:eastAsia="cs-CZ"/>
              </w:rPr>
            </w:pPr>
            <w:r w:rsidRPr="00C47E97">
              <w:rPr>
                <w:rFonts w:eastAsia="Times New Roman" w:cstheme="minorHAnsi"/>
                <w:color w:val="000000"/>
                <w:sz w:val="20"/>
                <w:szCs w:val="20"/>
                <w:lang w:eastAsia="cs-CZ"/>
              </w:rPr>
              <w:t>6 882</w:t>
            </w:r>
          </w:p>
        </w:tc>
        <w:tc>
          <w:tcPr>
            <w:tcW w:w="969" w:type="dxa"/>
            <w:tcBorders>
              <w:top w:val="nil"/>
              <w:left w:val="nil"/>
              <w:bottom w:val="single" w:sz="4" w:space="0" w:color="auto"/>
              <w:right w:val="single" w:sz="4" w:space="0" w:color="auto"/>
            </w:tcBorders>
            <w:shd w:val="clear" w:color="auto" w:fill="auto"/>
            <w:noWrap/>
            <w:vAlign w:val="bottom"/>
            <w:hideMark/>
          </w:tcPr>
          <w:p w14:paraId="757202A3" w14:textId="77777777" w:rsidR="002B6460" w:rsidRPr="00C47E97" w:rsidRDefault="002B6460" w:rsidP="00D70227">
            <w:pPr>
              <w:spacing w:after="0" w:line="240" w:lineRule="auto"/>
              <w:jc w:val="right"/>
              <w:rPr>
                <w:rFonts w:eastAsia="Times New Roman" w:cstheme="minorHAnsi"/>
                <w:color w:val="000000"/>
                <w:sz w:val="20"/>
                <w:szCs w:val="20"/>
                <w:lang w:eastAsia="cs-CZ"/>
              </w:rPr>
            </w:pPr>
            <w:r w:rsidRPr="00C47E97">
              <w:rPr>
                <w:rFonts w:eastAsia="Times New Roman" w:cstheme="minorHAnsi"/>
                <w:color w:val="000000"/>
                <w:sz w:val="20"/>
                <w:szCs w:val="20"/>
                <w:lang w:eastAsia="cs-CZ"/>
              </w:rPr>
              <w:t>994</w:t>
            </w:r>
          </w:p>
        </w:tc>
        <w:tc>
          <w:tcPr>
            <w:tcW w:w="970" w:type="dxa"/>
            <w:tcBorders>
              <w:top w:val="nil"/>
              <w:left w:val="nil"/>
              <w:bottom w:val="single" w:sz="4" w:space="0" w:color="auto"/>
              <w:right w:val="single" w:sz="4" w:space="0" w:color="auto"/>
            </w:tcBorders>
            <w:shd w:val="clear" w:color="auto" w:fill="auto"/>
            <w:noWrap/>
            <w:vAlign w:val="bottom"/>
            <w:hideMark/>
          </w:tcPr>
          <w:p w14:paraId="31DC16A2" w14:textId="4366D255" w:rsidR="002B6460" w:rsidRPr="00C47E97" w:rsidRDefault="002B6460" w:rsidP="00562DA8">
            <w:pPr>
              <w:spacing w:after="0" w:line="240" w:lineRule="auto"/>
              <w:ind w:right="57"/>
              <w:jc w:val="right"/>
              <w:rPr>
                <w:rFonts w:eastAsia="Times New Roman" w:cstheme="minorHAnsi"/>
                <w:color w:val="000000"/>
                <w:sz w:val="20"/>
                <w:szCs w:val="20"/>
                <w:lang w:eastAsia="cs-CZ"/>
              </w:rPr>
            </w:pPr>
            <w:r w:rsidRPr="00C47E97">
              <w:rPr>
                <w:rFonts w:eastAsia="Times New Roman" w:cstheme="minorHAnsi"/>
                <w:color w:val="000000"/>
                <w:sz w:val="20"/>
                <w:szCs w:val="20"/>
                <w:lang w:eastAsia="cs-CZ"/>
              </w:rPr>
              <w:t>14,4</w:t>
            </w:r>
            <w:r w:rsidR="00C07857">
              <w:rPr>
                <w:rFonts w:eastAsia="Times New Roman" w:cstheme="minorHAnsi"/>
                <w:color w:val="000000"/>
                <w:sz w:val="20"/>
                <w:szCs w:val="20"/>
                <w:lang w:eastAsia="cs-CZ"/>
              </w:rPr>
              <w:t xml:space="preserve"> %</w:t>
            </w:r>
          </w:p>
        </w:tc>
        <w:tc>
          <w:tcPr>
            <w:tcW w:w="1622" w:type="dxa"/>
            <w:tcBorders>
              <w:top w:val="nil"/>
              <w:left w:val="nil"/>
              <w:bottom w:val="single" w:sz="4" w:space="0" w:color="auto"/>
              <w:right w:val="single" w:sz="4" w:space="0" w:color="auto"/>
            </w:tcBorders>
            <w:shd w:val="clear" w:color="auto" w:fill="auto"/>
            <w:noWrap/>
            <w:vAlign w:val="bottom"/>
            <w:hideMark/>
          </w:tcPr>
          <w:p w14:paraId="635D2296" w14:textId="77777777" w:rsidR="002B6460" w:rsidRPr="00C47E97" w:rsidRDefault="002B6460" w:rsidP="00D70227">
            <w:pPr>
              <w:spacing w:after="0" w:line="240" w:lineRule="auto"/>
              <w:jc w:val="right"/>
              <w:rPr>
                <w:rFonts w:eastAsia="Times New Roman" w:cstheme="minorHAnsi"/>
                <w:color w:val="000000"/>
                <w:sz w:val="20"/>
                <w:szCs w:val="20"/>
                <w:lang w:eastAsia="cs-CZ"/>
              </w:rPr>
            </w:pPr>
            <w:r w:rsidRPr="00C47E97">
              <w:rPr>
                <w:rFonts w:eastAsia="Times New Roman" w:cstheme="minorHAnsi"/>
                <w:color w:val="000000"/>
                <w:sz w:val="20"/>
                <w:szCs w:val="20"/>
                <w:lang w:eastAsia="cs-CZ"/>
              </w:rPr>
              <w:t>2 625 046 495</w:t>
            </w:r>
          </w:p>
        </w:tc>
        <w:tc>
          <w:tcPr>
            <w:tcW w:w="1494" w:type="dxa"/>
            <w:tcBorders>
              <w:top w:val="nil"/>
              <w:left w:val="nil"/>
              <w:bottom w:val="single" w:sz="4" w:space="0" w:color="auto"/>
              <w:right w:val="single" w:sz="4" w:space="0" w:color="auto"/>
            </w:tcBorders>
            <w:shd w:val="clear" w:color="auto" w:fill="auto"/>
            <w:noWrap/>
            <w:vAlign w:val="bottom"/>
            <w:hideMark/>
          </w:tcPr>
          <w:p w14:paraId="0704B740" w14:textId="77777777" w:rsidR="002B6460" w:rsidRPr="00C47E97" w:rsidRDefault="002B6460" w:rsidP="00D70227">
            <w:pPr>
              <w:spacing w:after="0" w:line="240" w:lineRule="auto"/>
              <w:jc w:val="right"/>
              <w:rPr>
                <w:rFonts w:eastAsia="Times New Roman" w:cstheme="minorHAnsi"/>
                <w:color w:val="000000"/>
                <w:sz w:val="20"/>
                <w:szCs w:val="20"/>
                <w:lang w:eastAsia="cs-CZ"/>
              </w:rPr>
            </w:pPr>
            <w:r w:rsidRPr="00C47E97">
              <w:rPr>
                <w:rFonts w:eastAsia="Times New Roman" w:cstheme="minorHAnsi"/>
                <w:color w:val="000000"/>
                <w:sz w:val="20"/>
                <w:szCs w:val="20"/>
                <w:lang w:eastAsia="cs-CZ"/>
              </w:rPr>
              <w:t>1 405 185 256</w:t>
            </w:r>
          </w:p>
        </w:tc>
        <w:tc>
          <w:tcPr>
            <w:tcW w:w="1247" w:type="dxa"/>
            <w:tcBorders>
              <w:top w:val="nil"/>
              <w:left w:val="nil"/>
              <w:bottom w:val="single" w:sz="4" w:space="0" w:color="auto"/>
              <w:right w:val="single" w:sz="4" w:space="0" w:color="auto"/>
            </w:tcBorders>
            <w:shd w:val="clear" w:color="auto" w:fill="auto"/>
            <w:noWrap/>
            <w:vAlign w:val="bottom"/>
            <w:hideMark/>
          </w:tcPr>
          <w:p w14:paraId="5AF6D529" w14:textId="77777777" w:rsidR="002B6460" w:rsidRPr="00C47E97" w:rsidRDefault="002B6460" w:rsidP="00D70227">
            <w:pPr>
              <w:spacing w:after="0" w:line="240" w:lineRule="auto"/>
              <w:jc w:val="right"/>
              <w:rPr>
                <w:rFonts w:eastAsia="Times New Roman" w:cstheme="minorHAnsi"/>
                <w:color w:val="000000"/>
                <w:sz w:val="20"/>
                <w:szCs w:val="20"/>
                <w:lang w:eastAsia="cs-CZ"/>
              </w:rPr>
            </w:pPr>
            <w:r w:rsidRPr="00C47E97">
              <w:rPr>
                <w:rFonts w:eastAsia="Times New Roman" w:cstheme="minorHAnsi"/>
                <w:color w:val="000000"/>
                <w:sz w:val="20"/>
                <w:szCs w:val="20"/>
                <w:lang w:eastAsia="cs-CZ"/>
              </w:rPr>
              <w:t>207 178</w:t>
            </w:r>
          </w:p>
        </w:tc>
        <w:tc>
          <w:tcPr>
            <w:tcW w:w="1221" w:type="dxa"/>
            <w:tcBorders>
              <w:top w:val="nil"/>
              <w:left w:val="nil"/>
              <w:bottom w:val="single" w:sz="4" w:space="0" w:color="auto"/>
              <w:right w:val="single" w:sz="4" w:space="0" w:color="auto"/>
            </w:tcBorders>
            <w:shd w:val="clear" w:color="auto" w:fill="auto"/>
            <w:noWrap/>
            <w:vAlign w:val="bottom"/>
            <w:hideMark/>
          </w:tcPr>
          <w:p w14:paraId="4A5C679A" w14:textId="77777777" w:rsidR="002B6460" w:rsidRPr="00C47E97" w:rsidRDefault="002B6460" w:rsidP="00D70227">
            <w:pPr>
              <w:spacing w:after="0" w:line="240" w:lineRule="auto"/>
              <w:jc w:val="right"/>
              <w:rPr>
                <w:rFonts w:eastAsia="Times New Roman" w:cstheme="minorHAnsi"/>
                <w:color w:val="000000"/>
                <w:sz w:val="20"/>
                <w:szCs w:val="20"/>
                <w:lang w:eastAsia="cs-CZ"/>
              </w:rPr>
            </w:pPr>
            <w:r w:rsidRPr="00C47E97">
              <w:rPr>
                <w:rFonts w:eastAsia="Times New Roman" w:cstheme="minorHAnsi"/>
                <w:color w:val="000000"/>
                <w:sz w:val="20"/>
                <w:szCs w:val="20"/>
                <w:lang w:eastAsia="cs-CZ"/>
              </w:rPr>
              <w:t>1 413 667</w:t>
            </w:r>
          </w:p>
        </w:tc>
      </w:tr>
      <w:tr w:rsidR="002B6460" w:rsidRPr="00C47E97" w14:paraId="5B158497" w14:textId="77777777" w:rsidTr="00562DA8">
        <w:trPr>
          <w:trHeight w:val="276"/>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3F2EF201" w14:textId="77777777" w:rsidR="002B6460" w:rsidRPr="00C47E97" w:rsidRDefault="002B6460" w:rsidP="00D70227">
            <w:pPr>
              <w:spacing w:after="0" w:line="240" w:lineRule="auto"/>
              <w:jc w:val="center"/>
              <w:rPr>
                <w:rFonts w:eastAsia="Times New Roman" w:cstheme="minorHAnsi"/>
                <w:b/>
                <w:bCs/>
                <w:color w:val="000000"/>
                <w:sz w:val="20"/>
                <w:szCs w:val="20"/>
                <w:lang w:eastAsia="cs-CZ"/>
              </w:rPr>
            </w:pPr>
            <w:r w:rsidRPr="00C47E97">
              <w:rPr>
                <w:rFonts w:eastAsia="Times New Roman" w:cstheme="minorHAnsi"/>
                <w:b/>
                <w:bCs/>
                <w:color w:val="000000"/>
                <w:sz w:val="20"/>
                <w:szCs w:val="20"/>
                <w:lang w:eastAsia="cs-CZ"/>
              </w:rPr>
              <w:t>2020</w:t>
            </w:r>
          </w:p>
        </w:tc>
        <w:tc>
          <w:tcPr>
            <w:tcW w:w="838" w:type="dxa"/>
            <w:tcBorders>
              <w:top w:val="nil"/>
              <w:left w:val="nil"/>
              <w:bottom w:val="single" w:sz="4" w:space="0" w:color="auto"/>
              <w:right w:val="single" w:sz="4" w:space="0" w:color="auto"/>
            </w:tcBorders>
            <w:shd w:val="clear" w:color="auto" w:fill="auto"/>
            <w:noWrap/>
            <w:vAlign w:val="bottom"/>
            <w:hideMark/>
          </w:tcPr>
          <w:p w14:paraId="0706DF91" w14:textId="77777777" w:rsidR="002B6460" w:rsidRPr="00C47E97" w:rsidRDefault="002B6460" w:rsidP="00D70227">
            <w:pPr>
              <w:spacing w:after="0" w:line="240" w:lineRule="auto"/>
              <w:jc w:val="right"/>
              <w:rPr>
                <w:rFonts w:eastAsia="Times New Roman" w:cstheme="minorHAnsi"/>
                <w:color w:val="000000"/>
                <w:sz w:val="20"/>
                <w:szCs w:val="20"/>
                <w:lang w:eastAsia="cs-CZ"/>
              </w:rPr>
            </w:pPr>
            <w:r w:rsidRPr="00C47E97">
              <w:rPr>
                <w:rFonts w:eastAsia="Times New Roman" w:cstheme="minorHAnsi"/>
                <w:color w:val="000000"/>
                <w:sz w:val="20"/>
                <w:szCs w:val="20"/>
                <w:lang w:eastAsia="cs-CZ"/>
              </w:rPr>
              <w:t>4 960</w:t>
            </w:r>
          </w:p>
        </w:tc>
        <w:tc>
          <w:tcPr>
            <w:tcW w:w="969" w:type="dxa"/>
            <w:tcBorders>
              <w:top w:val="nil"/>
              <w:left w:val="nil"/>
              <w:bottom w:val="single" w:sz="4" w:space="0" w:color="auto"/>
              <w:right w:val="single" w:sz="4" w:space="0" w:color="auto"/>
            </w:tcBorders>
            <w:shd w:val="clear" w:color="auto" w:fill="auto"/>
            <w:noWrap/>
            <w:vAlign w:val="bottom"/>
            <w:hideMark/>
          </w:tcPr>
          <w:p w14:paraId="2DBB70EE" w14:textId="77777777" w:rsidR="002B6460" w:rsidRPr="00C47E97" w:rsidRDefault="002B6460" w:rsidP="00D70227">
            <w:pPr>
              <w:spacing w:after="0" w:line="240" w:lineRule="auto"/>
              <w:jc w:val="right"/>
              <w:rPr>
                <w:rFonts w:eastAsia="Times New Roman" w:cstheme="minorHAnsi"/>
                <w:color w:val="000000"/>
                <w:sz w:val="20"/>
                <w:szCs w:val="20"/>
                <w:lang w:eastAsia="cs-CZ"/>
              </w:rPr>
            </w:pPr>
            <w:r w:rsidRPr="00C47E97">
              <w:rPr>
                <w:rFonts w:eastAsia="Times New Roman" w:cstheme="minorHAnsi"/>
                <w:color w:val="000000"/>
                <w:sz w:val="20"/>
                <w:szCs w:val="20"/>
                <w:lang w:eastAsia="cs-CZ"/>
              </w:rPr>
              <w:t>664</w:t>
            </w:r>
          </w:p>
        </w:tc>
        <w:tc>
          <w:tcPr>
            <w:tcW w:w="970" w:type="dxa"/>
            <w:tcBorders>
              <w:top w:val="nil"/>
              <w:left w:val="nil"/>
              <w:bottom w:val="single" w:sz="4" w:space="0" w:color="auto"/>
              <w:right w:val="single" w:sz="4" w:space="0" w:color="auto"/>
            </w:tcBorders>
            <w:shd w:val="clear" w:color="auto" w:fill="auto"/>
            <w:noWrap/>
            <w:vAlign w:val="bottom"/>
            <w:hideMark/>
          </w:tcPr>
          <w:p w14:paraId="0AE8173B" w14:textId="586B5796" w:rsidR="002B6460" w:rsidRPr="00C47E97" w:rsidRDefault="002B6460" w:rsidP="00562DA8">
            <w:pPr>
              <w:spacing w:after="0" w:line="240" w:lineRule="auto"/>
              <w:ind w:right="57"/>
              <w:jc w:val="right"/>
              <w:rPr>
                <w:rFonts w:eastAsia="Times New Roman" w:cstheme="minorHAnsi"/>
                <w:color w:val="000000"/>
                <w:sz w:val="20"/>
                <w:szCs w:val="20"/>
                <w:lang w:eastAsia="cs-CZ"/>
              </w:rPr>
            </w:pPr>
            <w:r w:rsidRPr="00C47E97">
              <w:rPr>
                <w:rFonts w:eastAsia="Times New Roman" w:cstheme="minorHAnsi"/>
                <w:color w:val="000000"/>
                <w:sz w:val="20"/>
                <w:szCs w:val="20"/>
                <w:lang w:eastAsia="cs-CZ"/>
              </w:rPr>
              <w:t>13,4</w:t>
            </w:r>
            <w:r w:rsidR="00C07857">
              <w:rPr>
                <w:rFonts w:eastAsia="Times New Roman" w:cstheme="minorHAnsi"/>
                <w:color w:val="000000"/>
                <w:sz w:val="20"/>
                <w:szCs w:val="20"/>
                <w:lang w:eastAsia="cs-CZ"/>
              </w:rPr>
              <w:t xml:space="preserve"> %</w:t>
            </w:r>
          </w:p>
        </w:tc>
        <w:tc>
          <w:tcPr>
            <w:tcW w:w="1622" w:type="dxa"/>
            <w:tcBorders>
              <w:top w:val="nil"/>
              <w:left w:val="nil"/>
              <w:bottom w:val="single" w:sz="4" w:space="0" w:color="auto"/>
              <w:right w:val="single" w:sz="4" w:space="0" w:color="auto"/>
            </w:tcBorders>
            <w:shd w:val="clear" w:color="auto" w:fill="auto"/>
            <w:noWrap/>
            <w:vAlign w:val="bottom"/>
            <w:hideMark/>
          </w:tcPr>
          <w:p w14:paraId="04CFF1D4" w14:textId="77777777" w:rsidR="002B6460" w:rsidRPr="00C47E97" w:rsidRDefault="002B6460" w:rsidP="00D70227">
            <w:pPr>
              <w:spacing w:after="0" w:line="240" w:lineRule="auto"/>
              <w:jc w:val="right"/>
              <w:rPr>
                <w:rFonts w:eastAsia="Times New Roman" w:cstheme="minorHAnsi"/>
                <w:color w:val="000000"/>
                <w:sz w:val="20"/>
                <w:szCs w:val="20"/>
                <w:lang w:eastAsia="cs-CZ"/>
              </w:rPr>
            </w:pPr>
            <w:r w:rsidRPr="00C47E97">
              <w:rPr>
                <w:rFonts w:eastAsia="Times New Roman" w:cstheme="minorHAnsi"/>
                <w:color w:val="000000"/>
                <w:sz w:val="20"/>
                <w:szCs w:val="20"/>
                <w:lang w:eastAsia="cs-CZ"/>
              </w:rPr>
              <w:t>1 633 811 757</w:t>
            </w:r>
          </w:p>
        </w:tc>
        <w:tc>
          <w:tcPr>
            <w:tcW w:w="1494" w:type="dxa"/>
            <w:tcBorders>
              <w:top w:val="nil"/>
              <w:left w:val="nil"/>
              <w:bottom w:val="single" w:sz="4" w:space="0" w:color="auto"/>
              <w:right w:val="single" w:sz="4" w:space="0" w:color="auto"/>
            </w:tcBorders>
            <w:shd w:val="clear" w:color="auto" w:fill="auto"/>
            <w:noWrap/>
            <w:vAlign w:val="bottom"/>
            <w:hideMark/>
          </w:tcPr>
          <w:p w14:paraId="387CF8C1" w14:textId="77777777" w:rsidR="002B6460" w:rsidRPr="00C47E97" w:rsidRDefault="002B6460" w:rsidP="00D70227">
            <w:pPr>
              <w:spacing w:after="0" w:line="240" w:lineRule="auto"/>
              <w:jc w:val="right"/>
              <w:rPr>
                <w:rFonts w:eastAsia="Times New Roman" w:cstheme="minorHAnsi"/>
                <w:color w:val="000000"/>
                <w:sz w:val="20"/>
                <w:szCs w:val="20"/>
                <w:lang w:eastAsia="cs-CZ"/>
              </w:rPr>
            </w:pPr>
            <w:r w:rsidRPr="00C47E97">
              <w:rPr>
                <w:rFonts w:eastAsia="Times New Roman" w:cstheme="minorHAnsi"/>
                <w:color w:val="000000"/>
                <w:sz w:val="20"/>
                <w:szCs w:val="20"/>
                <w:lang w:eastAsia="cs-CZ"/>
              </w:rPr>
              <w:t>457 618 082</w:t>
            </w:r>
          </w:p>
        </w:tc>
        <w:tc>
          <w:tcPr>
            <w:tcW w:w="1247" w:type="dxa"/>
            <w:tcBorders>
              <w:top w:val="nil"/>
              <w:left w:val="nil"/>
              <w:bottom w:val="single" w:sz="4" w:space="0" w:color="auto"/>
              <w:right w:val="single" w:sz="4" w:space="0" w:color="auto"/>
            </w:tcBorders>
            <w:shd w:val="clear" w:color="auto" w:fill="auto"/>
            <w:noWrap/>
            <w:vAlign w:val="bottom"/>
            <w:hideMark/>
          </w:tcPr>
          <w:p w14:paraId="2D5FDA6F" w14:textId="77777777" w:rsidR="002B6460" w:rsidRPr="00C47E97" w:rsidRDefault="002B6460" w:rsidP="00D70227">
            <w:pPr>
              <w:spacing w:after="0" w:line="240" w:lineRule="auto"/>
              <w:jc w:val="right"/>
              <w:rPr>
                <w:rFonts w:eastAsia="Times New Roman" w:cstheme="minorHAnsi"/>
                <w:color w:val="000000"/>
                <w:sz w:val="20"/>
                <w:szCs w:val="20"/>
                <w:lang w:eastAsia="cs-CZ"/>
              </w:rPr>
            </w:pPr>
            <w:r w:rsidRPr="00C47E97">
              <w:rPr>
                <w:rFonts w:eastAsia="Times New Roman" w:cstheme="minorHAnsi"/>
                <w:color w:val="000000"/>
                <w:sz w:val="20"/>
                <w:szCs w:val="20"/>
                <w:lang w:eastAsia="cs-CZ"/>
              </w:rPr>
              <w:t>273 788</w:t>
            </w:r>
          </w:p>
        </w:tc>
        <w:tc>
          <w:tcPr>
            <w:tcW w:w="1221" w:type="dxa"/>
            <w:tcBorders>
              <w:top w:val="nil"/>
              <w:left w:val="nil"/>
              <w:bottom w:val="single" w:sz="4" w:space="0" w:color="auto"/>
              <w:right w:val="single" w:sz="4" w:space="0" w:color="auto"/>
            </w:tcBorders>
            <w:shd w:val="clear" w:color="auto" w:fill="auto"/>
            <w:noWrap/>
            <w:vAlign w:val="bottom"/>
            <w:hideMark/>
          </w:tcPr>
          <w:p w14:paraId="514B9164" w14:textId="77777777" w:rsidR="002B6460" w:rsidRPr="00C47E97" w:rsidRDefault="002B6460" w:rsidP="00D70227">
            <w:pPr>
              <w:spacing w:after="0" w:line="240" w:lineRule="auto"/>
              <w:jc w:val="right"/>
              <w:rPr>
                <w:rFonts w:eastAsia="Times New Roman" w:cstheme="minorHAnsi"/>
                <w:color w:val="000000"/>
                <w:sz w:val="20"/>
                <w:szCs w:val="20"/>
                <w:lang w:eastAsia="cs-CZ"/>
              </w:rPr>
            </w:pPr>
            <w:r w:rsidRPr="00C47E97">
              <w:rPr>
                <w:rFonts w:eastAsia="Times New Roman" w:cstheme="minorHAnsi"/>
                <w:color w:val="000000"/>
                <w:sz w:val="20"/>
                <w:szCs w:val="20"/>
                <w:lang w:eastAsia="cs-CZ"/>
              </w:rPr>
              <w:t>689 184</w:t>
            </w:r>
          </w:p>
        </w:tc>
      </w:tr>
      <w:tr w:rsidR="002B6460" w:rsidRPr="00C47E97" w14:paraId="2CEA15B5" w14:textId="77777777" w:rsidTr="00562DA8">
        <w:trPr>
          <w:trHeight w:val="276"/>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638C77D5" w14:textId="77777777" w:rsidR="002B6460" w:rsidRPr="00C47E97" w:rsidRDefault="002B6460" w:rsidP="00D70227">
            <w:pPr>
              <w:spacing w:after="0" w:line="240" w:lineRule="auto"/>
              <w:jc w:val="center"/>
              <w:rPr>
                <w:rFonts w:eastAsia="Times New Roman" w:cstheme="minorHAnsi"/>
                <w:b/>
                <w:bCs/>
                <w:color w:val="000000"/>
                <w:sz w:val="20"/>
                <w:szCs w:val="20"/>
                <w:lang w:eastAsia="cs-CZ"/>
              </w:rPr>
            </w:pPr>
            <w:r w:rsidRPr="00C47E97">
              <w:rPr>
                <w:rFonts w:eastAsia="Times New Roman" w:cstheme="minorHAnsi"/>
                <w:b/>
                <w:bCs/>
                <w:color w:val="000000"/>
                <w:sz w:val="20"/>
                <w:szCs w:val="20"/>
                <w:lang w:eastAsia="cs-CZ"/>
              </w:rPr>
              <w:t>2021</w:t>
            </w:r>
          </w:p>
        </w:tc>
        <w:tc>
          <w:tcPr>
            <w:tcW w:w="838" w:type="dxa"/>
            <w:tcBorders>
              <w:top w:val="nil"/>
              <w:left w:val="nil"/>
              <w:bottom w:val="single" w:sz="4" w:space="0" w:color="auto"/>
              <w:right w:val="single" w:sz="4" w:space="0" w:color="auto"/>
            </w:tcBorders>
            <w:shd w:val="clear" w:color="auto" w:fill="auto"/>
            <w:noWrap/>
            <w:vAlign w:val="bottom"/>
            <w:hideMark/>
          </w:tcPr>
          <w:p w14:paraId="1EDE248F" w14:textId="77777777" w:rsidR="002B6460" w:rsidRPr="00C47E97" w:rsidRDefault="002B6460" w:rsidP="00D70227">
            <w:pPr>
              <w:spacing w:after="0" w:line="240" w:lineRule="auto"/>
              <w:jc w:val="right"/>
              <w:rPr>
                <w:rFonts w:eastAsia="Times New Roman" w:cstheme="minorHAnsi"/>
                <w:color w:val="000000"/>
                <w:sz w:val="20"/>
                <w:szCs w:val="20"/>
                <w:lang w:eastAsia="cs-CZ"/>
              </w:rPr>
            </w:pPr>
            <w:r w:rsidRPr="00C47E97">
              <w:rPr>
                <w:rFonts w:eastAsia="Times New Roman" w:cstheme="minorHAnsi"/>
                <w:color w:val="000000"/>
                <w:sz w:val="20"/>
                <w:szCs w:val="20"/>
                <w:lang w:eastAsia="cs-CZ"/>
              </w:rPr>
              <w:t>3 357</w:t>
            </w:r>
          </w:p>
        </w:tc>
        <w:tc>
          <w:tcPr>
            <w:tcW w:w="969" w:type="dxa"/>
            <w:tcBorders>
              <w:top w:val="nil"/>
              <w:left w:val="nil"/>
              <w:bottom w:val="single" w:sz="4" w:space="0" w:color="auto"/>
              <w:right w:val="single" w:sz="4" w:space="0" w:color="auto"/>
            </w:tcBorders>
            <w:shd w:val="clear" w:color="auto" w:fill="auto"/>
            <w:noWrap/>
            <w:vAlign w:val="bottom"/>
            <w:hideMark/>
          </w:tcPr>
          <w:p w14:paraId="4B2D574B" w14:textId="77777777" w:rsidR="002B6460" w:rsidRPr="00C47E97" w:rsidRDefault="002B6460" w:rsidP="00D70227">
            <w:pPr>
              <w:spacing w:after="0" w:line="240" w:lineRule="auto"/>
              <w:jc w:val="right"/>
              <w:rPr>
                <w:rFonts w:eastAsia="Times New Roman" w:cstheme="minorHAnsi"/>
                <w:color w:val="000000"/>
                <w:sz w:val="20"/>
                <w:szCs w:val="20"/>
                <w:lang w:eastAsia="cs-CZ"/>
              </w:rPr>
            </w:pPr>
            <w:r w:rsidRPr="00C47E97">
              <w:rPr>
                <w:rFonts w:eastAsia="Times New Roman" w:cstheme="minorHAnsi"/>
                <w:color w:val="000000"/>
                <w:sz w:val="20"/>
                <w:szCs w:val="20"/>
                <w:lang w:eastAsia="cs-CZ"/>
              </w:rPr>
              <w:t>370</w:t>
            </w:r>
          </w:p>
        </w:tc>
        <w:tc>
          <w:tcPr>
            <w:tcW w:w="970" w:type="dxa"/>
            <w:tcBorders>
              <w:top w:val="nil"/>
              <w:left w:val="nil"/>
              <w:bottom w:val="single" w:sz="4" w:space="0" w:color="auto"/>
              <w:right w:val="single" w:sz="4" w:space="0" w:color="auto"/>
            </w:tcBorders>
            <w:shd w:val="clear" w:color="auto" w:fill="auto"/>
            <w:noWrap/>
            <w:vAlign w:val="bottom"/>
            <w:hideMark/>
          </w:tcPr>
          <w:p w14:paraId="257AADD1" w14:textId="009BBE08" w:rsidR="002B6460" w:rsidRPr="00C47E97" w:rsidRDefault="002B6460" w:rsidP="00562DA8">
            <w:pPr>
              <w:spacing w:after="0" w:line="240" w:lineRule="auto"/>
              <w:ind w:right="57"/>
              <w:jc w:val="right"/>
              <w:rPr>
                <w:rFonts w:eastAsia="Times New Roman" w:cstheme="minorHAnsi"/>
                <w:color w:val="000000"/>
                <w:sz w:val="20"/>
                <w:szCs w:val="20"/>
                <w:lang w:eastAsia="cs-CZ"/>
              </w:rPr>
            </w:pPr>
            <w:r w:rsidRPr="00C47E97">
              <w:rPr>
                <w:rFonts w:eastAsia="Times New Roman" w:cstheme="minorHAnsi"/>
                <w:color w:val="000000"/>
                <w:sz w:val="20"/>
                <w:szCs w:val="20"/>
                <w:lang w:eastAsia="cs-CZ"/>
              </w:rPr>
              <w:t>11,0</w:t>
            </w:r>
            <w:r w:rsidR="00C07857">
              <w:rPr>
                <w:rFonts w:eastAsia="Times New Roman" w:cstheme="minorHAnsi"/>
                <w:color w:val="000000"/>
                <w:sz w:val="20"/>
                <w:szCs w:val="20"/>
                <w:lang w:eastAsia="cs-CZ"/>
              </w:rPr>
              <w:t xml:space="preserve"> %</w:t>
            </w:r>
          </w:p>
        </w:tc>
        <w:tc>
          <w:tcPr>
            <w:tcW w:w="1622" w:type="dxa"/>
            <w:tcBorders>
              <w:top w:val="nil"/>
              <w:left w:val="nil"/>
              <w:bottom w:val="single" w:sz="4" w:space="0" w:color="auto"/>
              <w:right w:val="single" w:sz="4" w:space="0" w:color="auto"/>
            </w:tcBorders>
            <w:shd w:val="clear" w:color="auto" w:fill="auto"/>
            <w:noWrap/>
            <w:vAlign w:val="bottom"/>
            <w:hideMark/>
          </w:tcPr>
          <w:p w14:paraId="6E6AEF08" w14:textId="77777777" w:rsidR="002B6460" w:rsidRPr="00C47E97" w:rsidRDefault="002B6460" w:rsidP="00D70227">
            <w:pPr>
              <w:spacing w:after="0" w:line="240" w:lineRule="auto"/>
              <w:jc w:val="right"/>
              <w:rPr>
                <w:rFonts w:eastAsia="Times New Roman" w:cstheme="minorHAnsi"/>
                <w:color w:val="000000"/>
                <w:sz w:val="20"/>
                <w:szCs w:val="20"/>
                <w:lang w:eastAsia="cs-CZ"/>
              </w:rPr>
            </w:pPr>
            <w:r w:rsidRPr="00C47E97">
              <w:rPr>
                <w:rFonts w:eastAsia="Times New Roman" w:cstheme="minorHAnsi"/>
                <w:color w:val="000000"/>
                <w:sz w:val="20"/>
                <w:szCs w:val="20"/>
                <w:lang w:eastAsia="cs-CZ"/>
              </w:rPr>
              <w:t>2 203 673 491</w:t>
            </w:r>
          </w:p>
        </w:tc>
        <w:tc>
          <w:tcPr>
            <w:tcW w:w="1494" w:type="dxa"/>
            <w:tcBorders>
              <w:top w:val="nil"/>
              <w:left w:val="nil"/>
              <w:bottom w:val="single" w:sz="4" w:space="0" w:color="auto"/>
              <w:right w:val="single" w:sz="4" w:space="0" w:color="auto"/>
            </w:tcBorders>
            <w:shd w:val="clear" w:color="auto" w:fill="auto"/>
            <w:noWrap/>
            <w:vAlign w:val="bottom"/>
            <w:hideMark/>
          </w:tcPr>
          <w:p w14:paraId="17610A62" w14:textId="77777777" w:rsidR="002B6460" w:rsidRPr="00C47E97" w:rsidRDefault="002B6460" w:rsidP="00D70227">
            <w:pPr>
              <w:spacing w:after="0" w:line="240" w:lineRule="auto"/>
              <w:jc w:val="right"/>
              <w:rPr>
                <w:rFonts w:eastAsia="Times New Roman" w:cstheme="minorHAnsi"/>
                <w:color w:val="000000"/>
                <w:sz w:val="20"/>
                <w:szCs w:val="20"/>
                <w:lang w:eastAsia="cs-CZ"/>
              </w:rPr>
            </w:pPr>
            <w:r w:rsidRPr="00C47E97">
              <w:rPr>
                <w:rFonts w:eastAsia="Times New Roman" w:cstheme="minorHAnsi"/>
                <w:color w:val="000000"/>
                <w:sz w:val="20"/>
                <w:szCs w:val="20"/>
                <w:lang w:eastAsia="cs-CZ"/>
              </w:rPr>
              <w:t>184 764 348</w:t>
            </w:r>
          </w:p>
        </w:tc>
        <w:tc>
          <w:tcPr>
            <w:tcW w:w="1247" w:type="dxa"/>
            <w:tcBorders>
              <w:top w:val="nil"/>
              <w:left w:val="nil"/>
              <w:bottom w:val="single" w:sz="4" w:space="0" w:color="auto"/>
              <w:right w:val="single" w:sz="4" w:space="0" w:color="auto"/>
            </w:tcBorders>
            <w:shd w:val="clear" w:color="auto" w:fill="auto"/>
            <w:noWrap/>
            <w:vAlign w:val="bottom"/>
            <w:hideMark/>
          </w:tcPr>
          <w:p w14:paraId="00D80A7A" w14:textId="77777777" w:rsidR="002B6460" w:rsidRPr="00C47E97" w:rsidRDefault="002B6460" w:rsidP="00D70227">
            <w:pPr>
              <w:spacing w:after="0" w:line="240" w:lineRule="auto"/>
              <w:jc w:val="right"/>
              <w:rPr>
                <w:rFonts w:eastAsia="Times New Roman" w:cstheme="minorHAnsi"/>
                <w:color w:val="000000"/>
                <w:sz w:val="20"/>
                <w:szCs w:val="20"/>
                <w:lang w:eastAsia="cs-CZ"/>
              </w:rPr>
            </w:pPr>
            <w:r w:rsidRPr="00C47E97">
              <w:rPr>
                <w:rFonts w:eastAsia="Times New Roman" w:cstheme="minorHAnsi"/>
                <w:color w:val="000000"/>
                <w:sz w:val="20"/>
                <w:szCs w:val="20"/>
                <w:lang w:eastAsia="cs-CZ"/>
              </w:rPr>
              <w:t>675 899</w:t>
            </w:r>
          </w:p>
        </w:tc>
        <w:tc>
          <w:tcPr>
            <w:tcW w:w="1221" w:type="dxa"/>
            <w:tcBorders>
              <w:top w:val="nil"/>
              <w:left w:val="nil"/>
              <w:bottom w:val="single" w:sz="4" w:space="0" w:color="auto"/>
              <w:right w:val="single" w:sz="4" w:space="0" w:color="auto"/>
            </w:tcBorders>
            <w:shd w:val="clear" w:color="auto" w:fill="auto"/>
            <w:noWrap/>
            <w:vAlign w:val="bottom"/>
            <w:hideMark/>
          </w:tcPr>
          <w:p w14:paraId="7B16989F" w14:textId="77777777" w:rsidR="002B6460" w:rsidRPr="00C47E97" w:rsidRDefault="002B6460" w:rsidP="00D70227">
            <w:pPr>
              <w:spacing w:after="0" w:line="240" w:lineRule="auto"/>
              <w:jc w:val="right"/>
              <w:rPr>
                <w:rFonts w:eastAsia="Times New Roman" w:cstheme="minorHAnsi"/>
                <w:color w:val="000000"/>
                <w:sz w:val="20"/>
                <w:szCs w:val="20"/>
                <w:lang w:eastAsia="cs-CZ"/>
              </w:rPr>
            </w:pPr>
            <w:r w:rsidRPr="00C47E97">
              <w:rPr>
                <w:rFonts w:eastAsia="Times New Roman" w:cstheme="minorHAnsi"/>
                <w:color w:val="000000"/>
                <w:sz w:val="20"/>
                <w:szCs w:val="20"/>
                <w:lang w:eastAsia="cs-CZ"/>
              </w:rPr>
              <w:t>499 363</w:t>
            </w:r>
          </w:p>
        </w:tc>
      </w:tr>
      <w:tr w:rsidR="002B6460" w:rsidRPr="00C47E97" w14:paraId="76CD86FD" w14:textId="77777777" w:rsidTr="00562DA8">
        <w:trPr>
          <w:trHeight w:val="276"/>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2B4F8F35" w14:textId="77777777" w:rsidR="002B6460" w:rsidRPr="00C47E97" w:rsidRDefault="002B6460" w:rsidP="00D70227">
            <w:pPr>
              <w:spacing w:after="0" w:line="240" w:lineRule="auto"/>
              <w:jc w:val="center"/>
              <w:rPr>
                <w:rFonts w:eastAsia="Times New Roman" w:cstheme="minorHAnsi"/>
                <w:b/>
                <w:bCs/>
                <w:color w:val="000000"/>
                <w:sz w:val="20"/>
                <w:szCs w:val="20"/>
                <w:lang w:eastAsia="cs-CZ"/>
              </w:rPr>
            </w:pPr>
            <w:r w:rsidRPr="00C47E97">
              <w:rPr>
                <w:rFonts w:eastAsia="Times New Roman" w:cstheme="minorHAnsi"/>
                <w:b/>
                <w:bCs/>
                <w:color w:val="000000"/>
                <w:sz w:val="20"/>
                <w:szCs w:val="20"/>
                <w:lang w:eastAsia="cs-CZ"/>
              </w:rPr>
              <w:t>2022</w:t>
            </w:r>
          </w:p>
        </w:tc>
        <w:tc>
          <w:tcPr>
            <w:tcW w:w="838" w:type="dxa"/>
            <w:tcBorders>
              <w:top w:val="nil"/>
              <w:left w:val="nil"/>
              <w:bottom w:val="single" w:sz="4" w:space="0" w:color="auto"/>
              <w:right w:val="single" w:sz="4" w:space="0" w:color="auto"/>
            </w:tcBorders>
            <w:shd w:val="clear" w:color="auto" w:fill="auto"/>
            <w:noWrap/>
            <w:vAlign w:val="bottom"/>
            <w:hideMark/>
          </w:tcPr>
          <w:p w14:paraId="26359E8D" w14:textId="77777777" w:rsidR="002B6460" w:rsidRPr="00C47E97" w:rsidRDefault="002B6460" w:rsidP="00D70227">
            <w:pPr>
              <w:spacing w:after="0" w:line="240" w:lineRule="auto"/>
              <w:jc w:val="right"/>
              <w:rPr>
                <w:rFonts w:eastAsia="Times New Roman" w:cstheme="minorHAnsi"/>
                <w:color w:val="000000"/>
                <w:sz w:val="20"/>
                <w:szCs w:val="20"/>
                <w:lang w:eastAsia="cs-CZ"/>
              </w:rPr>
            </w:pPr>
            <w:r w:rsidRPr="00C47E97">
              <w:rPr>
                <w:rFonts w:eastAsia="Times New Roman" w:cstheme="minorHAnsi"/>
                <w:color w:val="000000"/>
                <w:sz w:val="20"/>
                <w:szCs w:val="20"/>
                <w:lang w:eastAsia="cs-CZ"/>
              </w:rPr>
              <w:t>3 395</w:t>
            </w:r>
          </w:p>
        </w:tc>
        <w:tc>
          <w:tcPr>
            <w:tcW w:w="969" w:type="dxa"/>
            <w:tcBorders>
              <w:top w:val="nil"/>
              <w:left w:val="nil"/>
              <w:bottom w:val="single" w:sz="4" w:space="0" w:color="auto"/>
              <w:right w:val="single" w:sz="4" w:space="0" w:color="auto"/>
            </w:tcBorders>
            <w:shd w:val="clear" w:color="auto" w:fill="auto"/>
            <w:noWrap/>
            <w:vAlign w:val="bottom"/>
            <w:hideMark/>
          </w:tcPr>
          <w:p w14:paraId="721046D6" w14:textId="77777777" w:rsidR="002B6460" w:rsidRPr="00C47E97" w:rsidRDefault="002B6460" w:rsidP="00D70227">
            <w:pPr>
              <w:spacing w:after="0" w:line="240" w:lineRule="auto"/>
              <w:jc w:val="right"/>
              <w:rPr>
                <w:rFonts w:eastAsia="Times New Roman" w:cstheme="minorHAnsi"/>
                <w:color w:val="000000"/>
                <w:sz w:val="20"/>
                <w:szCs w:val="20"/>
                <w:lang w:eastAsia="cs-CZ"/>
              </w:rPr>
            </w:pPr>
            <w:r w:rsidRPr="00C47E97">
              <w:rPr>
                <w:rFonts w:eastAsia="Times New Roman" w:cstheme="minorHAnsi"/>
                <w:color w:val="000000"/>
                <w:sz w:val="20"/>
                <w:szCs w:val="20"/>
                <w:lang w:eastAsia="cs-CZ"/>
              </w:rPr>
              <w:t>418</w:t>
            </w:r>
          </w:p>
        </w:tc>
        <w:tc>
          <w:tcPr>
            <w:tcW w:w="970" w:type="dxa"/>
            <w:tcBorders>
              <w:top w:val="nil"/>
              <w:left w:val="nil"/>
              <w:bottom w:val="single" w:sz="4" w:space="0" w:color="auto"/>
              <w:right w:val="single" w:sz="4" w:space="0" w:color="auto"/>
            </w:tcBorders>
            <w:shd w:val="clear" w:color="auto" w:fill="auto"/>
            <w:noWrap/>
            <w:vAlign w:val="bottom"/>
            <w:hideMark/>
          </w:tcPr>
          <w:p w14:paraId="757A61BF" w14:textId="73547859" w:rsidR="002B6460" w:rsidRPr="00C47E97" w:rsidRDefault="002B6460" w:rsidP="00562DA8">
            <w:pPr>
              <w:spacing w:after="0" w:line="240" w:lineRule="auto"/>
              <w:ind w:right="57"/>
              <w:jc w:val="right"/>
              <w:rPr>
                <w:rFonts w:eastAsia="Times New Roman" w:cstheme="minorHAnsi"/>
                <w:color w:val="000000"/>
                <w:sz w:val="20"/>
                <w:szCs w:val="20"/>
                <w:lang w:eastAsia="cs-CZ"/>
              </w:rPr>
            </w:pPr>
            <w:r w:rsidRPr="00C47E97">
              <w:rPr>
                <w:rFonts w:eastAsia="Times New Roman" w:cstheme="minorHAnsi"/>
                <w:color w:val="000000"/>
                <w:sz w:val="20"/>
                <w:szCs w:val="20"/>
                <w:lang w:eastAsia="cs-CZ"/>
              </w:rPr>
              <w:t>12,3</w:t>
            </w:r>
            <w:r w:rsidR="00C07857">
              <w:rPr>
                <w:rFonts w:eastAsia="Times New Roman" w:cstheme="minorHAnsi"/>
                <w:color w:val="000000"/>
                <w:sz w:val="20"/>
                <w:szCs w:val="20"/>
                <w:lang w:eastAsia="cs-CZ"/>
              </w:rPr>
              <w:t xml:space="preserve"> %</w:t>
            </w:r>
          </w:p>
        </w:tc>
        <w:tc>
          <w:tcPr>
            <w:tcW w:w="1622" w:type="dxa"/>
            <w:tcBorders>
              <w:top w:val="nil"/>
              <w:left w:val="nil"/>
              <w:bottom w:val="single" w:sz="4" w:space="0" w:color="auto"/>
              <w:right w:val="single" w:sz="4" w:space="0" w:color="auto"/>
            </w:tcBorders>
            <w:shd w:val="clear" w:color="auto" w:fill="auto"/>
            <w:noWrap/>
            <w:vAlign w:val="bottom"/>
            <w:hideMark/>
          </w:tcPr>
          <w:p w14:paraId="7304CCB4" w14:textId="77777777" w:rsidR="002B6460" w:rsidRPr="00C47E97" w:rsidRDefault="002B6460" w:rsidP="00D70227">
            <w:pPr>
              <w:spacing w:after="0" w:line="240" w:lineRule="auto"/>
              <w:jc w:val="right"/>
              <w:rPr>
                <w:rFonts w:eastAsia="Times New Roman" w:cstheme="minorHAnsi"/>
                <w:color w:val="000000"/>
                <w:sz w:val="20"/>
                <w:szCs w:val="20"/>
                <w:lang w:eastAsia="cs-CZ"/>
              </w:rPr>
            </w:pPr>
            <w:r w:rsidRPr="00C47E97">
              <w:rPr>
                <w:rFonts w:eastAsia="Times New Roman" w:cstheme="minorHAnsi"/>
                <w:color w:val="000000"/>
                <w:sz w:val="20"/>
                <w:szCs w:val="20"/>
                <w:lang w:eastAsia="cs-CZ"/>
              </w:rPr>
              <w:t>836 486 248</w:t>
            </w:r>
          </w:p>
        </w:tc>
        <w:tc>
          <w:tcPr>
            <w:tcW w:w="1494" w:type="dxa"/>
            <w:tcBorders>
              <w:top w:val="nil"/>
              <w:left w:val="nil"/>
              <w:bottom w:val="single" w:sz="4" w:space="0" w:color="auto"/>
              <w:right w:val="single" w:sz="4" w:space="0" w:color="auto"/>
            </w:tcBorders>
            <w:shd w:val="clear" w:color="auto" w:fill="auto"/>
            <w:noWrap/>
            <w:vAlign w:val="bottom"/>
            <w:hideMark/>
          </w:tcPr>
          <w:p w14:paraId="1A2DFA06" w14:textId="77777777" w:rsidR="002B6460" w:rsidRPr="00C47E97" w:rsidRDefault="002B6460" w:rsidP="00D70227">
            <w:pPr>
              <w:spacing w:after="0" w:line="240" w:lineRule="auto"/>
              <w:jc w:val="right"/>
              <w:rPr>
                <w:rFonts w:eastAsia="Times New Roman" w:cstheme="minorHAnsi"/>
                <w:color w:val="000000"/>
                <w:sz w:val="20"/>
                <w:szCs w:val="20"/>
                <w:lang w:eastAsia="cs-CZ"/>
              </w:rPr>
            </w:pPr>
            <w:r w:rsidRPr="00C47E97">
              <w:rPr>
                <w:rFonts w:eastAsia="Times New Roman" w:cstheme="minorHAnsi"/>
                <w:color w:val="000000"/>
                <w:sz w:val="20"/>
                <w:szCs w:val="20"/>
                <w:lang w:eastAsia="cs-CZ"/>
              </w:rPr>
              <w:t>101 512 935</w:t>
            </w:r>
          </w:p>
        </w:tc>
        <w:tc>
          <w:tcPr>
            <w:tcW w:w="1247" w:type="dxa"/>
            <w:tcBorders>
              <w:top w:val="nil"/>
              <w:left w:val="nil"/>
              <w:bottom w:val="single" w:sz="4" w:space="0" w:color="auto"/>
              <w:right w:val="single" w:sz="4" w:space="0" w:color="auto"/>
            </w:tcBorders>
            <w:shd w:val="clear" w:color="auto" w:fill="auto"/>
            <w:noWrap/>
            <w:vAlign w:val="bottom"/>
            <w:hideMark/>
          </w:tcPr>
          <w:p w14:paraId="70DD698E" w14:textId="77777777" w:rsidR="002B6460" w:rsidRPr="00C47E97" w:rsidRDefault="002B6460" w:rsidP="00D70227">
            <w:pPr>
              <w:spacing w:after="0" w:line="240" w:lineRule="auto"/>
              <w:jc w:val="right"/>
              <w:rPr>
                <w:rFonts w:eastAsia="Times New Roman" w:cstheme="minorHAnsi"/>
                <w:color w:val="000000"/>
                <w:sz w:val="20"/>
                <w:szCs w:val="20"/>
                <w:lang w:eastAsia="cs-CZ"/>
              </w:rPr>
            </w:pPr>
            <w:r w:rsidRPr="00C47E97">
              <w:rPr>
                <w:rFonts w:eastAsia="Times New Roman" w:cstheme="minorHAnsi"/>
                <w:color w:val="000000"/>
                <w:sz w:val="20"/>
                <w:szCs w:val="20"/>
                <w:lang w:eastAsia="cs-CZ"/>
              </w:rPr>
              <w:t>246 884</w:t>
            </w:r>
          </w:p>
        </w:tc>
        <w:tc>
          <w:tcPr>
            <w:tcW w:w="1221" w:type="dxa"/>
            <w:tcBorders>
              <w:top w:val="nil"/>
              <w:left w:val="nil"/>
              <w:bottom w:val="single" w:sz="4" w:space="0" w:color="auto"/>
              <w:right w:val="single" w:sz="4" w:space="0" w:color="auto"/>
            </w:tcBorders>
            <w:shd w:val="clear" w:color="auto" w:fill="auto"/>
            <w:noWrap/>
            <w:vAlign w:val="bottom"/>
            <w:hideMark/>
          </w:tcPr>
          <w:p w14:paraId="79276152" w14:textId="77777777" w:rsidR="002B6460" w:rsidRPr="00C47E97" w:rsidRDefault="002B6460" w:rsidP="00D70227">
            <w:pPr>
              <w:spacing w:after="0" w:line="240" w:lineRule="auto"/>
              <w:jc w:val="right"/>
              <w:rPr>
                <w:rFonts w:eastAsia="Times New Roman" w:cstheme="minorHAnsi"/>
                <w:color w:val="000000"/>
                <w:sz w:val="20"/>
                <w:szCs w:val="20"/>
                <w:lang w:eastAsia="cs-CZ"/>
              </w:rPr>
            </w:pPr>
            <w:r w:rsidRPr="00C47E97">
              <w:rPr>
                <w:rFonts w:eastAsia="Times New Roman" w:cstheme="minorHAnsi"/>
                <w:color w:val="000000"/>
                <w:sz w:val="20"/>
                <w:szCs w:val="20"/>
                <w:lang w:eastAsia="cs-CZ"/>
              </w:rPr>
              <w:t>242 854</w:t>
            </w:r>
          </w:p>
        </w:tc>
      </w:tr>
      <w:tr w:rsidR="002B6460" w:rsidRPr="00C47E97" w14:paraId="3576A17F" w14:textId="77777777" w:rsidTr="00562DA8">
        <w:trPr>
          <w:trHeight w:val="47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45C09005" w14:textId="6219CC15" w:rsidR="002B6460" w:rsidRPr="00C47E97" w:rsidRDefault="002B6460" w:rsidP="00D70227">
            <w:pPr>
              <w:spacing w:after="0" w:line="240" w:lineRule="auto"/>
              <w:jc w:val="center"/>
              <w:rPr>
                <w:rFonts w:eastAsia="Times New Roman" w:cstheme="minorHAnsi"/>
                <w:b/>
                <w:bCs/>
                <w:color w:val="000000"/>
                <w:sz w:val="20"/>
                <w:szCs w:val="20"/>
                <w:lang w:eastAsia="cs-CZ"/>
              </w:rPr>
            </w:pPr>
            <w:r w:rsidRPr="00C47E97">
              <w:rPr>
                <w:rFonts w:eastAsia="Times New Roman" w:cstheme="minorHAnsi"/>
                <w:b/>
                <w:bCs/>
                <w:color w:val="000000"/>
                <w:sz w:val="20"/>
                <w:szCs w:val="20"/>
                <w:lang w:eastAsia="cs-CZ"/>
              </w:rPr>
              <w:t>Celkem 2016</w:t>
            </w:r>
            <w:r w:rsidR="00EE2680">
              <w:rPr>
                <w:rFonts w:eastAsia="Times New Roman" w:cstheme="minorHAnsi"/>
                <w:b/>
                <w:bCs/>
                <w:color w:val="000000"/>
                <w:sz w:val="20"/>
                <w:szCs w:val="20"/>
                <w:lang w:eastAsia="cs-CZ"/>
              </w:rPr>
              <w:t>–</w:t>
            </w:r>
            <w:r w:rsidRPr="00C47E97">
              <w:rPr>
                <w:rFonts w:eastAsia="Times New Roman" w:cstheme="minorHAnsi"/>
                <w:b/>
                <w:bCs/>
                <w:color w:val="000000"/>
                <w:sz w:val="20"/>
                <w:szCs w:val="20"/>
                <w:lang w:eastAsia="cs-CZ"/>
              </w:rPr>
              <w:t>2022</w:t>
            </w:r>
          </w:p>
        </w:tc>
        <w:tc>
          <w:tcPr>
            <w:tcW w:w="838" w:type="dxa"/>
            <w:tcBorders>
              <w:top w:val="nil"/>
              <w:left w:val="nil"/>
              <w:bottom w:val="single" w:sz="4" w:space="0" w:color="auto"/>
              <w:right w:val="single" w:sz="4" w:space="0" w:color="auto"/>
            </w:tcBorders>
            <w:shd w:val="clear" w:color="auto" w:fill="auto"/>
            <w:noWrap/>
            <w:vAlign w:val="center"/>
            <w:hideMark/>
          </w:tcPr>
          <w:p w14:paraId="0761F041" w14:textId="77777777" w:rsidR="002B6460" w:rsidRPr="00C47E97" w:rsidRDefault="002B6460" w:rsidP="00D70227">
            <w:pPr>
              <w:spacing w:after="0" w:line="240" w:lineRule="auto"/>
              <w:jc w:val="right"/>
              <w:rPr>
                <w:rFonts w:eastAsia="Times New Roman" w:cstheme="minorHAnsi"/>
                <w:b/>
                <w:bCs/>
                <w:color w:val="000000"/>
                <w:sz w:val="20"/>
                <w:szCs w:val="20"/>
                <w:lang w:eastAsia="cs-CZ"/>
              </w:rPr>
            </w:pPr>
            <w:r w:rsidRPr="00C47E97">
              <w:rPr>
                <w:rFonts w:eastAsia="Times New Roman" w:cstheme="minorHAnsi"/>
                <w:b/>
                <w:bCs/>
                <w:color w:val="000000"/>
                <w:sz w:val="20"/>
                <w:szCs w:val="20"/>
                <w:lang w:eastAsia="cs-CZ"/>
              </w:rPr>
              <w:t>48 893</w:t>
            </w:r>
          </w:p>
        </w:tc>
        <w:tc>
          <w:tcPr>
            <w:tcW w:w="969" w:type="dxa"/>
            <w:tcBorders>
              <w:top w:val="nil"/>
              <w:left w:val="nil"/>
              <w:bottom w:val="single" w:sz="4" w:space="0" w:color="auto"/>
              <w:right w:val="single" w:sz="4" w:space="0" w:color="auto"/>
            </w:tcBorders>
            <w:shd w:val="clear" w:color="auto" w:fill="auto"/>
            <w:noWrap/>
            <w:vAlign w:val="center"/>
            <w:hideMark/>
          </w:tcPr>
          <w:p w14:paraId="534A9852" w14:textId="77777777" w:rsidR="002B6460" w:rsidRPr="00C47E97" w:rsidRDefault="002B6460" w:rsidP="00D70227">
            <w:pPr>
              <w:spacing w:after="0" w:line="240" w:lineRule="auto"/>
              <w:jc w:val="right"/>
              <w:rPr>
                <w:rFonts w:eastAsia="Times New Roman" w:cstheme="minorHAnsi"/>
                <w:b/>
                <w:bCs/>
                <w:color w:val="000000"/>
                <w:sz w:val="20"/>
                <w:szCs w:val="20"/>
                <w:lang w:eastAsia="cs-CZ"/>
              </w:rPr>
            </w:pPr>
            <w:r w:rsidRPr="00C47E97">
              <w:rPr>
                <w:rFonts w:eastAsia="Times New Roman" w:cstheme="minorHAnsi"/>
                <w:b/>
                <w:bCs/>
                <w:color w:val="000000"/>
                <w:sz w:val="20"/>
                <w:szCs w:val="20"/>
                <w:lang w:eastAsia="cs-CZ"/>
              </w:rPr>
              <w:t>6 964</w:t>
            </w:r>
          </w:p>
        </w:tc>
        <w:tc>
          <w:tcPr>
            <w:tcW w:w="970" w:type="dxa"/>
            <w:tcBorders>
              <w:top w:val="nil"/>
              <w:left w:val="nil"/>
              <w:bottom w:val="single" w:sz="4" w:space="0" w:color="auto"/>
              <w:right w:val="single" w:sz="4" w:space="0" w:color="auto"/>
            </w:tcBorders>
            <w:shd w:val="clear" w:color="auto" w:fill="auto"/>
            <w:noWrap/>
            <w:vAlign w:val="center"/>
            <w:hideMark/>
          </w:tcPr>
          <w:p w14:paraId="6FC27028" w14:textId="1404507E" w:rsidR="002B6460" w:rsidRPr="00C47E97" w:rsidRDefault="002B6460" w:rsidP="00562DA8">
            <w:pPr>
              <w:spacing w:after="0" w:line="240" w:lineRule="auto"/>
              <w:ind w:right="57"/>
              <w:jc w:val="right"/>
              <w:rPr>
                <w:rFonts w:eastAsia="Times New Roman" w:cstheme="minorHAnsi"/>
                <w:b/>
                <w:bCs/>
                <w:sz w:val="20"/>
                <w:szCs w:val="20"/>
                <w:lang w:eastAsia="cs-CZ"/>
              </w:rPr>
            </w:pPr>
            <w:r w:rsidRPr="00C47E97">
              <w:rPr>
                <w:rFonts w:eastAsia="Times New Roman" w:cstheme="minorHAnsi"/>
                <w:b/>
                <w:bCs/>
                <w:sz w:val="20"/>
                <w:szCs w:val="20"/>
                <w:lang w:eastAsia="cs-CZ"/>
              </w:rPr>
              <w:t>14,2</w:t>
            </w:r>
            <w:r w:rsidR="00C07857">
              <w:rPr>
                <w:rFonts w:eastAsia="Times New Roman" w:cstheme="minorHAnsi"/>
                <w:b/>
                <w:bCs/>
                <w:sz w:val="20"/>
                <w:szCs w:val="20"/>
                <w:lang w:eastAsia="cs-CZ"/>
              </w:rPr>
              <w:t xml:space="preserve"> </w:t>
            </w:r>
            <w:r w:rsidR="00C07857">
              <w:rPr>
                <w:rFonts w:eastAsia="Times New Roman" w:cstheme="minorHAnsi"/>
                <w:color w:val="000000"/>
                <w:sz w:val="20"/>
                <w:szCs w:val="20"/>
                <w:lang w:eastAsia="cs-CZ"/>
              </w:rPr>
              <w:t>%</w:t>
            </w:r>
          </w:p>
        </w:tc>
        <w:tc>
          <w:tcPr>
            <w:tcW w:w="1622" w:type="dxa"/>
            <w:tcBorders>
              <w:top w:val="nil"/>
              <w:left w:val="nil"/>
              <w:bottom w:val="single" w:sz="4" w:space="0" w:color="auto"/>
              <w:right w:val="single" w:sz="4" w:space="0" w:color="auto"/>
            </w:tcBorders>
            <w:shd w:val="clear" w:color="auto" w:fill="auto"/>
            <w:noWrap/>
            <w:vAlign w:val="center"/>
            <w:hideMark/>
          </w:tcPr>
          <w:p w14:paraId="11559DBA" w14:textId="77777777" w:rsidR="002B6460" w:rsidRPr="00C47E97" w:rsidRDefault="002B6460" w:rsidP="00D70227">
            <w:pPr>
              <w:spacing w:after="0" w:line="240" w:lineRule="auto"/>
              <w:jc w:val="right"/>
              <w:rPr>
                <w:rFonts w:eastAsia="Times New Roman" w:cstheme="minorHAnsi"/>
                <w:b/>
                <w:bCs/>
                <w:color w:val="000000"/>
                <w:sz w:val="20"/>
                <w:szCs w:val="20"/>
                <w:lang w:eastAsia="cs-CZ"/>
              </w:rPr>
            </w:pPr>
            <w:r w:rsidRPr="00C47E97">
              <w:rPr>
                <w:rFonts w:eastAsia="Times New Roman" w:cstheme="minorHAnsi"/>
                <w:b/>
                <w:bCs/>
                <w:color w:val="000000"/>
                <w:sz w:val="20"/>
                <w:szCs w:val="20"/>
                <w:lang w:eastAsia="cs-CZ"/>
              </w:rPr>
              <w:t>18 520 579 012</w:t>
            </w:r>
          </w:p>
        </w:tc>
        <w:tc>
          <w:tcPr>
            <w:tcW w:w="1494" w:type="dxa"/>
            <w:tcBorders>
              <w:top w:val="nil"/>
              <w:left w:val="nil"/>
              <w:bottom w:val="single" w:sz="4" w:space="0" w:color="auto"/>
              <w:right w:val="single" w:sz="4" w:space="0" w:color="auto"/>
            </w:tcBorders>
            <w:shd w:val="clear" w:color="auto" w:fill="auto"/>
            <w:noWrap/>
            <w:vAlign w:val="center"/>
            <w:hideMark/>
          </w:tcPr>
          <w:p w14:paraId="1C90B154" w14:textId="77777777" w:rsidR="002B6460" w:rsidRPr="00C47E97" w:rsidRDefault="002B6460" w:rsidP="00D70227">
            <w:pPr>
              <w:spacing w:after="0" w:line="240" w:lineRule="auto"/>
              <w:jc w:val="right"/>
              <w:rPr>
                <w:rFonts w:eastAsia="Times New Roman" w:cstheme="minorHAnsi"/>
                <w:b/>
                <w:bCs/>
                <w:color w:val="000000"/>
                <w:sz w:val="20"/>
                <w:szCs w:val="20"/>
                <w:lang w:eastAsia="cs-CZ"/>
              </w:rPr>
            </w:pPr>
            <w:r w:rsidRPr="00C47E97">
              <w:rPr>
                <w:rFonts w:eastAsia="Times New Roman" w:cstheme="minorHAnsi"/>
                <w:b/>
                <w:bCs/>
                <w:color w:val="000000"/>
                <w:sz w:val="20"/>
                <w:szCs w:val="20"/>
                <w:lang w:eastAsia="cs-CZ"/>
              </w:rPr>
              <w:t>4 982 417 816</w:t>
            </w:r>
          </w:p>
        </w:tc>
        <w:tc>
          <w:tcPr>
            <w:tcW w:w="1247" w:type="dxa"/>
            <w:tcBorders>
              <w:top w:val="nil"/>
              <w:left w:val="nil"/>
              <w:bottom w:val="single" w:sz="4" w:space="0" w:color="auto"/>
              <w:right w:val="single" w:sz="4" w:space="0" w:color="auto"/>
            </w:tcBorders>
            <w:shd w:val="clear" w:color="auto" w:fill="auto"/>
            <w:noWrap/>
            <w:vAlign w:val="center"/>
            <w:hideMark/>
          </w:tcPr>
          <w:p w14:paraId="75EFA54D" w14:textId="77777777" w:rsidR="002B6460" w:rsidRPr="00C47E97" w:rsidRDefault="002B6460" w:rsidP="00D70227">
            <w:pPr>
              <w:spacing w:after="0" w:line="240" w:lineRule="auto"/>
              <w:jc w:val="right"/>
              <w:rPr>
                <w:rFonts w:eastAsia="Times New Roman" w:cstheme="minorHAnsi"/>
                <w:b/>
                <w:bCs/>
                <w:color w:val="000000"/>
                <w:sz w:val="20"/>
                <w:szCs w:val="20"/>
                <w:lang w:eastAsia="cs-CZ"/>
              </w:rPr>
            </w:pPr>
            <w:r w:rsidRPr="00C47E97">
              <w:rPr>
                <w:rFonts w:eastAsia="Times New Roman" w:cstheme="minorHAnsi"/>
                <w:b/>
                <w:bCs/>
                <w:color w:val="000000"/>
                <w:sz w:val="20"/>
                <w:szCs w:val="20"/>
                <w:lang w:eastAsia="cs-CZ"/>
              </w:rPr>
              <w:t>322 883</w:t>
            </w:r>
          </w:p>
        </w:tc>
        <w:tc>
          <w:tcPr>
            <w:tcW w:w="1221" w:type="dxa"/>
            <w:tcBorders>
              <w:top w:val="nil"/>
              <w:left w:val="nil"/>
              <w:bottom w:val="single" w:sz="4" w:space="0" w:color="auto"/>
              <w:right w:val="single" w:sz="4" w:space="0" w:color="auto"/>
            </w:tcBorders>
            <w:shd w:val="clear" w:color="auto" w:fill="auto"/>
            <w:noWrap/>
            <w:vAlign w:val="center"/>
            <w:hideMark/>
          </w:tcPr>
          <w:p w14:paraId="05A5673F" w14:textId="77777777" w:rsidR="002B6460" w:rsidRPr="00C47E97" w:rsidRDefault="002B6460" w:rsidP="00D70227">
            <w:pPr>
              <w:spacing w:after="0" w:line="240" w:lineRule="auto"/>
              <w:jc w:val="right"/>
              <w:rPr>
                <w:rFonts w:eastAsia="Times New Roman" w:cstheme="minorHAnsi"/>
                <w:b/>
                <w:bCs/>
                <w:color w:val="000000"/>
                <w:sz w:val="20"/>
                <w:szCs w:val="20"/>
                <w:lang w:eastAsia="cs-CZ"/>
              </w:rPr>
            </w:pPr>
            <w:r w:rsidRPr="00C47E97">
              <w:rPr>
                <w:rFonts w:eastAsia="Times New Roman" w:cstheme="minorHAnsi"/>
                <w:b/>
                <w:bCs/>
                <w:color w:val="000000"/>
                <w:sz w:val="20"/>
                <w:szCs w:val="20"/>
                <w:lang w:eastAsia="cs-CZ"/>
              </w:rPr>
              <w:t>715 453</w:t>
            </w:r>
          </w:p>
        </w:tc>
      </w:tr>
    </w:tbl>
    <w:p w14:paraId="231E552A" w14:textId="025C0E45" w:rsidR="002B6460" w:rsidRPr="00562DA8" w:rsidRDefault="002B6460" w:rsidP="002B6460">
      <w:pPr>
        <w:spacing w:line="240" w:lineRule="auto"/>
        <w:jc w:val="both"/>
        <w:rPr>
          <w:rFonts w:cstheme="minorHAnsi"/>
          <w:sz w:val="20"/>
          <w:szCs w:val="20"/>
          <w:lang w:eastAsia="cs-CZ"/>
        </w:rPr>
      </w:pPr>
      <w:r w:rsidRPr="00562DA8">
        <w:rPr>
          <w:rFonts w:cstheme="minorHAnsi"/>
          <w:b/>
          <w:bCs/>
          <w:sz w:val="20"/>
          <w:szCs w:val="20"/>
          <w:lang w:eastAsia="cs-CZ"/>
        </w:rPr>
        <w:t>Zdroj:</w:t>
      </w:r>
      <w:r w:rsidRPr="00562DA8">
        <w:rPr>
          <w:rFonts w:cstheme="minorHAnsi"/>
          <w:sz w:val="20"/>
          <w:szCs w:val="20"/>
          <w:lang w:eastAsia="cs-CZ"/>
        </w:rPr>
        <w:t xml:space="preserve"> GFŘ</w:t>
      </w:r>
      <w:r w:rsidR="00EE2680">
        <w:rPr>
          <w:rFonts w:cstheme="minorHAnsi"/>
          <w:sz w:val="20"/>
          <w:szCs w:val="20"/>
          <w:lang w:eastAsia="cs-CZ"/>
        </w:rPr>
        <w:t>.</w:t>
      </w:r>
    </w:p>
    <w:p w14:paraId="5DB5DF6F" w14:textId="77777777" w:rsidR="002B6460" w:rsidRPr="00C47E97" w:rsidRDefault="002B6460" w:rsidP="00C07857">
      <w:pPr>
        <w:spacing w:after="0" w:line="240" w:lineRule="auto"/>
        <w:jc w:val="both"/>
        <w:rPr>
          <w:rFonts w:cstheme="minorHAnsi"/>
          <w:b/>
          <w:bCs/>
          <w:sz w:val="24"/>
          <w:szCs w:val="24"/>
          <w:lang w:eastAsia="cs-CZ"/>
        </w:rPr>
      </w:pPr>
    </w:p>
    <w:p w14:paraId="2FFB9B86" w14:textId="77777777" w:rsidR="00C07857" w:rsidRDefault="00C07857">
      <w:pPr>
        <w:rPr>
          <w:rFonts w:cstheme="minorHAnsi"/>
          <w:sz w:val="24"/>
          <w:szCs w:val="24"/>
        </w:rPr>
      </w:pPr>
      <w:r>
        <w:rPr>
          <w:rFonts w:cstheme="minorHAnsi"/>
          <w:sz w:val="24"/>
          <w:szCs w:val="24"/>
        </w:rPr>
        <w:br w:type="page"/>
      </w:r>
    </w:p>
    <w:p w14:paraId="2549817D" w14:textId="2DA7B138" w:rsidR="00F00464" w:rsidRPr="00562DA8" w:rsidRDefault="00F00464" w:rsidP="00505A9D">
      <w:pPr>
        <w:spacing w:after="0"/>
        <w:jc w:val="both"/>
        <w:rPr>
          <w:rFonts w:cstheme="minorHAnsi"/>
          <w:b/>
          <w:bCs/>
          <w:sz w:val="24"/>
          <w:szCs w:val="24"/>
        </w:rPr>
      </w:pPr>
      <w:r w:rsidRPr="00562DA8">
        <w:rPr>
          <w:rFonts w:cstheme="minorHAnsi"/>
          <w:b/>
          <w:bCs/>
          <w:sz w:val="24"/>
          <w:szCs w:val="24"/>
        </w:rPr>
        <w:lastRenderedPageBreak/>
        <w:t xml:space="preserve">Tabulka č. </w:t>
      </w:r>
      <w:r w:rsidR="002B6460" w:rsidRPr="00562DA8">
        <w:rPr>
          <w:rFonts w:cstheme="minorHAnsi"/>
          <w:b/>
          <w:bCs/>
          <w:sz w:val="24"/>
          <w:szCs w:val="24"/>
        </w:rPr>
        <w:t>3</w:t>
      </w:r>
      <w:r w:rsidR="00C07857">
        <w:rPr>
          <w:rFonts w:cstheme="minorHAnsi"/>
          <w:b/>
          <w:bCs/>
          <w:sz w:val="24"/>
          <w:szCs w:val="24"/>
        </w:rPr>
        <w:t>:</w:t>
      </w:r>
      <w:r w:rsidRPr="00562DA8">
        <w:rPr>
          <w:rFonts w:cstheme="minorHAnsi"/>
          <w:b/>
          <w:bCs/>
          <w:sz w:val="24"/>
          <w:szCs w:val="24"/>
        </w:rPr>
        <w:t xml:space="preserve"> Údaje o evidovaných tržbách za období 2016</w:t>
      </w:r>
      <w:r w:rsidR="00C07857">
        <w:rPr>
          <w:rFonts w:cstheme="minorHAnsi"/>
          <w:b/>
          <w:bCs/>
          <w:sz w:val="24"/>
          <w:szCs w:val="24"/>
        </w:rPr>
        <w:t>–</w:t>
      </w:r>
      <w:r w:rsidRPr="00562DA8">
        <w:rPr>
          <w:rFonts w:cstheme="minorHAnsi"/>
          <w:b/>
          <w:bCs/>
          <w:sz w:val="24"/>
          <w:szCs w:val="24"/>
        </w:rPr>
        <w:t>2022</w:t>
      </w:r>
    </w:p>
    <w:tbl>
      <w:tblPr>
        <w:tblW w:w="5000" w:type="pct"/>
        <w:tblInd w:w="-5" w:type="dxa"/>
        <w:tblCellMar>
          <w:left w:w="70" w:type="dxa"/>
          <w:right w:w="70" w:type="dxa"/>
        </w:tblCellMar>
        <w:tblLook w:val="04A0" w:firstRow="1" w:lastRow="0" w:firstColumn="1" w:lastColumn="0" w:noHBand="0" w:noVBand="1"/>
      </w:tblPr>
      <w:tblGrid>
        <w:gridCol w:w="1253"/>
        <w:gridCol w:w="954"/>
        <w:gridCol w:w="1145"/>
        <w:gridCol w:w="1129"/>
        <w:gridCol w:w="1129"/>
        <w:gridCol w:w="1129"/>
        <w:gridCol w:w="1129"/>
        <w:gridCol w:w="1194"/>
      </w:tblGrid>
      <w:tr w:rsidR="007A0F1A" w:rsidRPr="00C47E97" w14:paraId="56D461D4" w14:textId="77777777" w:rsidTr="007A0F1A">
        <w:trPr>
          <w:trHeight w:val="397"/>
        </w:trPr>
        <w:tc>
          <w:tcPr>
            <w:tcW w:w="691" w:type="pct"/>
            <w:tcBorders>
              <w:top w:val="single" w:sz="4" w:space="0" w:color="auto"/>
              <w:left w:val="single" w:sz="4" w:space="0" w:color="auto"/>
              <w:bottom w:val="single" w:sz="4" w:space="0" w:color="auto"/>
              <w:right w:val="single" w:sz="4" w:space="0" w:color="auto"/>
            </w:tcBorders>
            <w:shd w:val="clear" w:color="auto" w:fill="E5F1FF"/>
            <w:noWrap/>
            <w:vAlign w:val="center"/>
            <w:hideMark/>
          </w:tcPr>
          <w:p w14:paraId="0FF95BEC" w14:textId="154670F6" w:rsidR="00F00464" w:rsidRPr="00C47E97" w:rsidRDefault="00F00464" w:rsidP="00562DA8">
            <w:pPr>
              <w:spacing w:after="0"/>
              <w:jc w:val="center"/>
              <w:rPr>
                <w:rFonts w:cstheme="minorHAnsi"/>
                <w:b/>
                <w:bCs/>
                <w:color w:val="000000"/>
                <w:sz w:val="20"/>
                <w:szCs w:val="20"/>
                <w:lang w:eastAsia="cs-CZ"/>
              </w:rPr>
            </w:pPr>
          </w:p>
        </w:tc>
        <w:tc>
          <w:tcPr>
            <w:tcW w:w="526" w:type="pct"/>
            <w:tcBorders>
              <w:top w:val="single" w:sz="4" w:space="0" w:color="auto"/>
              <w:left w:val="nil"/>
              <w:bottom w:val="single" w:sz="4" w:space="0" w:color="auto"/>
              <w:right w:val="single" w:sz="4" w:space="0" w:color="auto"/>
            </w:tcBorders>
            <w:shd w:val="clear" w:color="auto" w:fill="E5F1FF"/>
            <w:noWrap/>
            <w:vAlign w:val="center"/>
            <w:hideMark/>
          </w:tcPr>
          <w:p w14:paraId="6C483975" w14:textId="77777777" w:rsidR="00F00464" w:rsidRPr="00EB01A8" w:rsidRDefault="00F00464" w:rsidP="00562DA8">
            <w:pPr>
              <w:spacing w:after="0"/>
              <w:jc w:val="center"/>
              <w:rPr>
                <w:rFonts w:cstheme="minorHAnsi"/>
                <w:b/>
                <w:bCs/>
                <w:color w:val="000000"/>
                <w:sz w:val="18"/>
                <w:szCs w:val="18"/>
              </w:rPr>
            </w:pPr>
            <w:r w:rsidRPr="00EB01A8">
              <w:rPr>
                <w:rFonts w:cstheme="minorHAnsi"/>
                <w:b/>
                <w:bCs/>
                <w:color w:val="000000"/>
                <w:sz w:val="18"/>
                <w:szCs w:val="18"/>
              </w:rPr>
              <w:t>2016</w:t>
            </w:r>
          </w:p>
        </w:tc>
        <w:tc>
          <w:tcPr>
            <w:tcW w:w="632" w:type="pct"/>
            <w:tcBorders>
              <w:top w:val="single" w:sz="4" w:space="0" w:color="auto"/>
              <w:left w:val="nil"/>
              <w:bottom w:val="single" w:sz="4" w:space="0" w:color="auto"/>
              <w:right w:val="single" w:sz="4" w:space="0" w:color="auto"/>
            </w:tcBorders>
            <w:shd w:val="clear" w:color="auto" w:fill="E5F1FF"/>
            <w:noWrap/>
            <w:vAlign w:val="center"/>
            <w:hideMark/>
          </w:tcPr>
          <w:p w14:paraId="29D13DB5" w14:textId="77777777" w:rsidR="00F00464" w:rsidRPr="00EB01A8" w:rsidRDefault="00F00464" w:rsidP="00562DA8">
            <w:pPr>
              <w:spacing w:after="0"/>
              <w:jc w:val="center"/>
              <w:rPr>
                <w:rFonts w:cstheme="minorHAnsi"/>
                <w:b/>
                <w:bCs/>
                <w:color w:val="000000"/>
                <w:sz w:val="18"/>
                <w:szCs w:val="18"/>
              </w:rPr>
            </w:pPr>
            <w:r w:rsidRPr="00EB01A8">
              <w:rPr>
                <w:rFonts w:cstheme="minorHAnsi"/>
                <w:b/>
                <w:bCs/>
                <w:color w:val="000000"/>
                <w:sz w:val="18"/>
                <w:szCs w:val="18"/>
              </w:rPr>
              <w:t>2017</w:t>
            </w:r>
          </w:p>
        </w:tc>
        <w:tc>
          <w:tcPr>
            <w:tcW w:w="623" w:type="pct"/>
            <w:tcBorders>
              <w:top w:val="single" w:sz="4" w:space="0" w:color="auto"/>
              <w:left w:val="nil"/>
              <w:bottom w:val="single" w:sz="4" w:space="0" w:color="auto"/>
              <w:right w:val="single" w:sz="4" w:space="0" w:color="auto"/>
            </w:tcBorders>
            <w:shd w:val="clear" w:color="auto" w:fill="E5F1FF"/>
            <w:noWrap/>
            <w:vAlign w:val="center"/>
            <w:hideMark/>
          </w:tcPr>
          <w:p w14:paraId="5B391A80" w14:textId="77777777" w:rsidR="00F00464" w:rsidRPr="00EB01A8" w:rsidRDefault="00F00464" w:rsidP="00562DA8">
            <w:pPr>
              <w:spacing w:after="0"/>
              <w:jc w:val="center"/>
              <w:rPr>
                <w:rFonts w:cstheme="minorHAnsi"/>
                <w:b/>
                <w:bCs/>
                <w:color w:val="000000"/>
                <w:sz w:val="18"/>
                <w:szCs w:val="18"/>
              </w:rPr>
            </w:pPr>
            <w:r w:rsidRPr="00EB01A8">
              <w:rPr>
                <w:rFonts w:cstheme="minorHAnsi"/>
                <w:b/>
                <w:bCs/>
                <w:color w:val="000000"/>
                <w:sz w:val="18"/>
                <w:szCs w:val="18"/>
              </w:rPr>
              <w:t>2018</w:t>
            </w:r>
          </w:p>
        </w:tc>
        <w:tc>
          <w:tcPr>
            <w:tcW w:w="623" w:type="pct"/>
            <w:tcBorders>
              <w:top w:val="single" w:sz="4" w:space="0" w:color="auto"/>
              <w:left w:val="nil"/>
              <w:bottom w:val="single" w:sz="4" w:space="0" w:color="auto"/>
              <w:right w:val="single" w:sz="4" w:space="0" w:color="auto"/>
            </w:tcBorders>
            <w:shd w:val="clear" w:color="auto" w:fill="E5F1FF"/>
            <w:noWrap/>
            <w:vAlign w:val="center"/>
            <w:hideMark/>
          </w:tcPr>
          <w:p w14:paraId="38BA80DC" w14:textId="77777777" w:rsidR="00F00464" w:rsidRPr="00EB01A8" w:rsidRDefault="00F00464" w:rsidP="00562DA8">
            <w:pPr>
              <w:spacing w:after="0"/>
              <w:jc w:val="center"/>
              <w:rPr>
                <w:rFonts w:cstheme="minorHAnsi"/>
                <w:b/>
                <w:bCs/>
                <w:color w:val="000000"/>
                <w:sz w:val="18"/>
                <w:szCs w:val="18"/>
              </w:rPr>
            </w:pPr>
            <w:r w:rsidRPr="00EB01A8">
              <w:rPr>
                <w:rFonts w:cstheme="minorHAnsi"/>
                <w:b/>
                <w:bCs/>
                <w:color w:val="000000"/>
                <w:sz w:val="18"/>
                <w:szCs w:val="18"/>
              </w:rPr>
              <w:t>2019</w:t>
            </w:r>
          </w:p>
        </w:tc>
        <w:tc>
          <w:tcPr>
            <w:tcW w:w="623" w:type="pct"/>
            <w:tcBorders>
              <w:top w:val="single" w:sz="4" w:space="0" w:color="auto"/>
              <w:left w:val="nil"/>
              <w:bottom w:val="single" w:sz="4" w:space="0" w:color="auto"/>
              <w:right w:val="single" w:sz="4" w:space="0" w:color="auto"/>
            </w:tcBorders>
            <w:shd w:val="clear" w:color="auto" w:fill="E5F1FF"/>
            <w:noWrap/>
            <w:vAlign w:val="center"/>
            <w:hideMark/>
          </w:tcPr>
          <w:p w14:paraId="65EE4206" w14:textId="77777777" w:rsidR="00F00464" w:rsidRPr="00EB01A8" w:rsidRDefault="00F00464" w:rsidP="00562DA8">
            <w:pPr>
              <w:spacing w:after="0"/>
              <w:jc w:val="center"/>
              <w:rPr>
                <w:rFonts w:cstheme="minorHAnsi"/>
                <w:b/>
                <w:bCs/>
                <w:color w:val="000000"/>
                <w:sz w:val="18"/>
                <w:szCs w:val="18"/>
              </w:rPr>
            </w:pPr>
            <w:r w:rsidRPr="00EB01A8">
              <w:rPr>
                <w:rFonts w:cstheme="minorHAnsi"/>
                <w:b/>
                <w:bCs/>
                <w:color w:val="000000"/>
                <w:sz w:val="18"/>
                <w:szCs w:val="18"/>
              </w:rPr>
              <w:t>2020</w:t>
            </w:r>
            <w:r w:rsidRPr="00EB01A8">
              <w:rPr>
                <w:rFonts w:cstheme="minorHAnsi"/>
                <w:bCs/>
                <w:color w:val="000000"/>
                <w:sz w:val="18"/>
                <w:szCs w:val="18"/>
                <w:vertAlign w:val="superscript"/>
              </w:rPr>
              <w:t>1)</w:t>
            </w:r>
          </w:p>
        </w:tc>
        <w:tc>
          <w:tcPr>
            <w:tcW w:w="623" w:type="pct"/>
            <w:tcBorders>
              <w:top w:val="single" w:sz="4" w:space="0" w:color="auto"/>
              <w:left w:val="nil"/>
              <w:bottom w:val="single" w:sz="4" w:space="0" w:color="auto"/>
              <w:right w:val="single" w:sz="4" w:space="0" w:color="auto"/>
            </w:tcBorders>
            <w:shd w:val="clear" w:color="auto" w:fill="E5F1FF"/>
            <w:noWrap/>
            <w:vAlign w:val="center"/>
            <w:hideMark/>
          </w:tcPr>
          <w:p w14:paraId="0067D2AD" w14:textId="77777777" w:rsidR="00F00464" w:rsidRPr="00EB01A8" w:rsidRDefault="00F00464" w:rsidP="00562DA8">
            <w:pPr>
              <w:spacing w:after="0"/>
              <w:jc w:val="center"/>
              <w:rPr>
                <w:rFonts w:cstheme="minorHAnsi"/>
                <w:b/>
                <w:bCs/>
                <w:color w:val="000000"/>
                <w:sz w:val="18"/>
                <w:szCs w:val="18"/>
              </w:rPr>
            </w:pPr>
            <w:r w:rsidRPr="00EB01A8">
              <w:rPr>
                <w:rFonts w:cstheme="minorHAnsi"/>
                <w:b/>
                <w:bCs/>
                <w:color w:val="000000"/>
                <w:sz w:val="18"/>
                <w:szCs w:val="18"/>
              </w:rPr>
              <w:t>2021</w:t>
            </w:r>
            <w:r w:rsidRPr="00EB01A8">
              <w:rPr>
                <w:rFonts w:cstheme="minorHAnsi"/>
                <w:bCs/>
                <w:color w:val="000000"/>
                <w:sz w:val="18"/>
                <w:szCs w:val="18"/>
                <w:vertAlign w:val="superscript"/>
              </w:rPr>
              <w:t>1)</w:t>
            </w:r>
          </w:p>
        </w:tc>
        <w:tc>
          <w:tcPr>
            <w:tcW w:w="660" w:type="pct"/>
            <w:tcBorders>
              <w:top w:val="single" w:sz="4" w:space="0" w:color="auto"/>
              <w:left w:val="nil"/>
              <w:bottom w:val="single" w:sz="4" w:space="0" w:color="auto"/>
              <w:right w:val="single" w:sz="4" w:space="0" w:color="auto"/>
            </w:tcBorders>
            <w:shd w:val="clear" w:color="auto" w:fill="E5F1FF"/>
            <w:vAlign w:val="center"/>
          </w:tcPr>
          <w:p w14:paraId="2A09D8F1" w14:textId="77777777" w:rsidR="00F00464" w:rsidRPr="00EB01A8" w:rsidRDefault="00F00464" w:rsidP="00562DA8">
            <w:pPr>
              <w:spacing w:after="0"/>
              <w:jc w:val="center"/>
              <w:rPr>
                <w:rFonts w:cstheme="minorHAnsi"/>
                <w:b/>
                <w:bCs/>
                <w:color w:val="000000"/>
                <w:sz w:val="18"/>
                <w:szCs w:val="18"/>
              </w:rPr>
            </w:pPr>
            <w:r w:rsidRPr="00EB01A8">
              <w:rPr>
                <w:rFonts w:cstheme="minorHAnsi"/>
                <w:b/>
                <w:bCs/>
                <w:color w:val="000000"/>
                <w:sz w:val="18"/>
                <w:szCs w:val="18"/>
              </w:rPr>
              <w:t>2022</w:t>
            </w:r>
            <w:r w:rsidRPr="00EB01A8">
              <w:rPr>
                <w:rFonts w:cstheme="minorHAnsi"/>
                <w:bCs/>
                <w:color w:val="000000"/>
                <w:sz w:val="18"/>
                <w:szCs w:val="18"/>
                <w:vertAlign w:val="superscript"/>
              </w:rPr>
              <w:t>1)</w:t>
            </w:r>
          </w:p>
        </w:tc>
      </w:tr>
      <w:tr w:rsidR="00F00464" w:rsidRPr="00C47E97" w14:paraId="72D7DF59" w14:textId="77777777" w:rsidTr="00562DA8">
        <w:trPr>
          <w:trHeight w:val="340"/>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CB9E6CC" w14:textId="20DF0C6C" w:rsidR="00F00464" w:rsidRPr="00EB01A8" w:rsidRDefault="00F00464" w:rsidP="00562DA8">
            <w:pPr>
              <w:spacing w:after="0"/>
              <w:jc w:val="center"/>
              <w:rPr>
                <w:rFonts w:cstheme="minorHAnsi"/>
                <w:b/>
                <w:bCs/>
                <w:color w:val="000000"/>
                <w:sz w:val="18"/>
                <w:szCs w:val="18"/>
              </w:rPr>
            </w:pPr>
            <w:r w:rsidRPr="00EB01A8">
              <w:rPr>
                <w:rFonts w:cstheme="minorHAnsi"/>
                <w:b/>
                <w:bCs/>
                <w:color w:val="000000"/>
                <w:sz w:val="18"/>
                <w:szCs w:val="18"/>
              </w:rPr>
              <w:t>Počet evidovaných tržeb</w:t>
            </w:r>
          </w:p>
        </w:tc>
      </w:tr>
      <w:tr w:rsidR="00F00464" w:rsidRPr="00C47E97" w14:paraId="4C363260" w14:textId="77777777" w:rsidTr="00562DA8">
        <w:trPr>
          <w:trHeight w:val="340"/>
        </w:trPr>
        <w:tc>
          <w:tcPr>
            <w:tcW w:w="69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EA03EDC" w14:textId="77777777" w:rsidR="00F00464" w:rsidRPr="00C47E97" w:rsidRDefault="00F00464" w:rsidP="00562DA8">
            <w:pPr>
              <w:spacing w:after="0"/>
              <w:rPr>
                <w:rFonts w:cstheme="minorHAnsi"/>
                <w:bCs/>
                <w:color w:val="000000"/>
                <w:sz w:val="16"/>
                <w:szCs w:val="16"/>
              </w:rPr>
            </w:pPr>
            <w:r w:rsidRPr="00C47E97">
              <w:rPr>
                <w:rFonts w:cstheme="minorHAnsi"/>
                <w:bCs/>
                <w:color w:val="000000"/>
                <w:sz w:val="16"/>
                <w:szCs w:val="16"/>
              </w:rPr>
              <w:t>Za obory 1. vlny</w:t>
            </w:r>
          </w:p>
        </w:tc>
        <w:tc>
          <w:tcPr>
            <w:tcW w:w="526" w:type="pct"/>
            <w:tcBorders>
              <w:top w:val="single" w:sz="4" w:space="0" w:color="auto"/>
              <w:left w:val="nil"/>
              <w:bottom w:val="single" w:sz="4" w:space="0" w:color="auto"/>
              <w:right w:val="single" w:sz="4" w:space="0" w:color="auto"/>
            </w:tcBorders>
            <w:shd w:val="clear" w:color="auto" w:fill="FFFFFF"/>
            <w:noWrap/>
            <w:vAlign w:val="center"/>
          </w:tcPr>
          <w:p w14:paraId="44985C8E" w14:textId="77777777" w:rsidR="00F00464" w:rsidRPr="00C47E97" w:rsidRDefault="00F00464" w:rsidP="00436D4C">
            <w:pPr>
              <w:spacing w:after="0"/>
              <w:ind w:right="40"/>
              <w:jc w:val="right"/>
              <w:rPr>
                <w:rFonts w:cstheme="minorHAnsi"/>
                <w:bCs/>
                <w:color w:val="000000"/>
                <w:sz w:val="16"/>
                <w:szCs w:val="16"/>
              </w:rPr>
            </w:pPr>
            <w:r w:rsidRPr="00C47E97">
              <w:rPr>
                <w:rFonts w:cstheme="minorHAnsi"/>
                <w:bCs/>
                <w:color w:val="000000"/>
                <w:sz w:val="16"/>
                <w:szCs w:val="16"/>
              </w:rPr>
              <w:t>49 813 833</w:t>
            </w:r>
          </w:p>
        </w:tc>
        <w:tc>
          <w:tcPr>
            <w:tcW w:w="632" w:type="pct"/>
            <w:tcBorders>
              <w:top w:val="single" w:sz="4" w:space="0" w:color="auto"/>
              <w:left w:val="nil"/>
              <w:bottom w:val="single" w:sz="4" w:space="0" w:color="auto"/>
              <w:right w:val="single" w:sz="4" w:space="0" w:color="auto"/>
            </w:tcBorders>
            <w:shd w:val="clear" w:color="auto" w:fill="FFFFFF"/>
            <w:noWrap/>
            <w:vAlign w:val="center"/>
          </w:tcPr>
          <w:p w14:paraId="24239D3D" w14:textId="77777777" w:rsidR="00F00464" w:rsidRPr="00C47E97" w:rsidRDefault="00F00464" w:rsidP="00436D4C">
            <w:pPr>
              <w:spacing w:after="0"/>
              <w:ind w:right="40"/>
              <w:jc w:val="right"/>
              <w:rPr>
                <w:rFonts w:cstheme="minorHAnsi"/>
                <w:bCs/>
                <w:color w:val="000000"/>
                <w:sz w:val="16"/>
                <w:szCs w:val="16"/>
              </w:rPr>
            </w:pPr>
            <w:r w:rsidRPr="00C47E97">
              <w:rPr>
                <w:rFonts w:cstheme="minorHAnsi"/>
                <w:bCs/>
                <w:color w:val="000000"/>
                <w:sz w:val="16"/>
                <w:szCs w:val="16"/>
              </w:rPr>
              <w:t>579 307 393</w:t>
            </w:r>
          </w:p>
        </w:tc>
        <w:tc>
          <w:tcPr>
            <w:tcW w:w="623" w:type="pct"/>
            <w:tcBorders>
              <w:top w:val="single" w:sz="4" w:space="0" w:color="auto"/>
              <w:left w:val="nil"/>
              <w:bottom w:val="single" w:sz="4" w:space="0" w:color="auto"/>
              <w:right w:val="single" w:sz="4" w:space="0" w:color="auto"/>
            </w:tcBorders>
            <w:shd w:val="clear" w:color="auto" w:fill="FFFFFF"/>
            <w:noWrap/>
            <w:vAlign w:val="center"/>
          </w:tcPr>
          <w:p w14:paraId="0553E4FC" w14:textId="77777777" w:rsidR="00F00464" w:rsidRPr="00C47E97" w:rsidRDefault="00F00464" w:rsidP="00436D4C">
            <w:pPr>
              <w:spacing w:after="0"/>
              <w:jc w:val="right"/>
              <w:rPr>
                <w:rFonts w:cstheme="minorHAnsi"/>
                <w:bCs/>
                <w:color w:val="000000"/>
                <w:sz w:val="16"/>
                <w:szCs w:val="16"/>
              </w:rPr>
            </w:pPr>
            <w:r w:rsidRPr="00C47E97">
              <w:rPr>
                <w:rFonts w:cstheme="minorHAnsi"/>
                <w:bCs/>
                <w:color w:val="000000"/>
                <w:sz w:val="16"/>
                <w:szCs w:val="16"/>
              </w:rPr>
              <w:t>606 584 776</w:t>
            </w:r>
          </w:p>
        </w:tc>
        <w:tc>
          <w:tcPr>
            <w:tcW w:w="623" w:type="pct"/>
            <w:tcBorders>
              <w:top w:val="single" w:sz="4" w:space="0" w:color="auto"/>
              <w:left w:val="nil"/>
              <w:bottom w:val="single" w:sz="4" w:space="0" w:color="auto"/>
              <w:right w:val="single" w:sz="4" w:space="0" w:color="auto"/>
            </w:tcBorders>
            <w:shd w:val="clear" w:color="auto" w:fill="FFFFFF"/>
            <w:noWrap/>
            <w:vAlign w:val="center"/>
          </w:tcPr>
          <w:p w14:paraId="7E845762" w14:textId="77777777" w:rsidR="00F00464" w:rsidRPr="00C47E97" w:rsidRDefault="00F00464" w:rsidP="00436D4C">
            <w:pPr>
              <w:spacing w:after="0"/>
              <w:jc w:val="right"/>
              <w:rPr>
                <w:rFonts w:cstheme="minorHAnsi"/>
                <w:bCs/>
                <w:color w:val="000000"/>
                <w:sz w:val="16"/>
                <w:szCs w:val="16"/>
              </w:rPr>
            </w:pPr>
            <w:r w:rsidRPr="00C47E97">
              <w:rPr>
                <w:rFonts w:cstheme="minorHAnsi"/>
                <w:bCs/>
                <w:color w:val="000000"/>
                <w:sz w:val="16"/>
                <w:szCs w:val="16"/>
              </w:rPr>
              <w:t>594 311 684</w:t>
            </w:r>
          </w:p>
        </w:tc>
        <w:tc>
          <w:tcPr>
            <w:tcW w:w="623" w:type="pct"/>
            <w:tcBorders>
              <w:top w:val="single" w:sz="4" w:space="0" w:color="auto"/>
              <w:left w:val="nil"/>
              <w:bottom w:val="single" w:sz="4" w:space="0" w:color="auto"/>
              <w:right w:val="single" w:sz="4" w:space="0" w:color="auto"/>
            </w:tcBorders>
            <w:shd w:val="clear" w:color="auto" w:fill="FFFFFF"/>
            <w:noWrap/>
            <w:vAlign w:val="center"/>
          </w:tcPr>
          <w:p w14:paraId="36194184" w14:textId="77777777" w:rsidR="00F00464" w:rsidRPr="00C47E97" w:rsidRDefault="00F00464" w:rsidP="00436D4C">
            <w:pPr>
              <w:spacing w:after="0"/>
              <w:jc w:val="right"/>
              <w:rPr>
                <w:rFonts w:cstheme="minorHAnsi"/>
                <w:bCs/>
                <w:color w:val="000000"/>
                <w:sz w:val="16"/>
                <w:szCs w:val="16"/>
              </w:rPr>
            </w:pPr>
            <w:r w:rsidRPr="00C47E97">
              <w:rPr>
                <w:rFonts w:cstheme="minorHAnsi"/>
                <w:bCs/>
                <w:color w:val="000000"/>
                <w:sz w:val="16"/>
                <w:szCs w:val="16"/>
              </w:rPr>
              <w:t>265 031 200</w:t>
            </w:r>
          </w:p>
        </w:tc>
        <w:tc>
          <w:tcPr>
            <w:tcW w:w="623" w:type="pct"/>
            <w:tcBorders>
              <w:top w:val="single" w:sz="4" w:space="0" w:color="auto"/>
              <w:left w:val="nil"/>
              <w:bottom w:val="single" w:sz="4" w:space="0" w:color="auto"/>
              <w:right w:val="single" w:sz="4" w:space="0" w:color="auto"/>
            </w:tcBorders>
            <w:shd w:val="clear" w:color="auto" w:fill="FFFFFF"/>
            <w:noWrap/>
            <w:vAlign w:val="center"/>
          </w:tcPr>
          <w:p w14:paraId="01F322A0" w14:textId="77777777" w:rsidR="00F00464" w:rsidRPr="00C47E97" w:rsidRDefault="00F00464" w:rsidP="00436D4C">
            <w:pPr>
              <w:spacing w:after="0"/>
              <w:jc w:val="right"/>
              <w:rPr>
                <w:rFonts w:cstheme="minorHAnsi"/>
                <w:bCs/>
                <w:color w:val="000000"/>
                <w:sz w:val="16"/>
                <w:szCs w:val="16"/>
              </w:rPr>
            </w:pPr>
            <w:r w:rsidRPr="00C47E97">
              <w:rPr>
                <w:rFonts w:cstheme="minorHAnsi"/>
                <w:bCs/>
                <w:color w:val="000000"/>
                <w:sz w:val="16"/>
                <w:szCs w:val="16"/>
              </w:rPr>
              <w:t>146 001 078</w:t>
            </w:r>
          </w:p>
        </w:tc>
        <w:tc>
          <w:tcPr>
            <w:tcW w:w="660" w:type="pct"/>
            <w:tcBorders>
              <w:top w:val="single" w:sz="4" w:space="0" w:color="auto"/>
              <w:left w:val="nil"/>
              <w:bottom w:val="single" w:sz="4" w:space="0" w:color="auto"/>
              <w:right w:val="single" w:sz="4" w:space="0" w:color="auto"/>
            </w:tcBorders>
            <w:shd w:val="clear" w:color="auto" w:fill="FFFFFF"/>
            <w:vAlign w:val="center"/>
          </w:tcPr>
          <w:p w14:paraId="6783F40B" w14:textId="77777777" w:rsidR="00F00464" w:rsidRPr="00C47E97" w:rsidRDefault="00F00464" w:rsidP="00436D4C">
            <w:pPr>
              <w:spacing w:after="0"/>
              <w:jc w:val="right"/>
              <w:rPr>
                <w:rFonts w:cstheme="minorHAnsi"/>
                <w:bCs/>
                <w:color w:val="000000"/>
                <w:sz w:val="16"/>
                <w:szCs w:val="16"/>
              </w:rPr>
            </w:pPr>
            <w:r w:rsidRPr="00C47E97">
              <w:rPr>
                <w:rFonts w:cstheme="minorHAnsi"/>
                <w:bCs/>
                <w:color w:val="000000"/>
                <w:sz w:val="16"/>
                <w:szCs w:val="16"/>
              </w:rPr>
              <w:t>145 788 209</w:t>
            </w:r>
          </w:p>
        </w:tc>
      </w:tr>
      <w:tr w:rsidR="00F00464" w:rsidRPr="00C47E97" w14:paraId="7E7F6C54" w14:textId="77777777" w:rsidTr="00562DA8">
        <w:trPr>
          <w:trHeight w:val="340"/>
        </w:trPr>
        <w:tc>
          <w:tcPr>
            <w:tcW w:w="69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6375854" w14:textId="77777777" w:rsidR="00F00464" w:rsidRPr="00C47E97" w:rsidRDefault="00F00464" w:rsidP="00562DA8">
            <w:pPr>
              <w:spacing w:after="0"/>
              <w:rPr>
                <w:rFonts w:cstheme="minorHAnsi"/>
                <w:bCs/>
                <w:color w:val="000000"/>
                <w:sz w:val="16"/>
                <w:szCs w:val="16"/>
              </w:rPr>
            </w:pPr>
            <w:r w:rsidRPr="00C47E97">
              <w:rPr>
                <w:rFonts w:cstheme="minorHAnsi"/>
                <w:bCs/>
                <w:color w:val="000000"/>
                <w:sz w:val="16"/>
                <w:szCs w:val="16"/>
              </w:rPr>
              <w:t>Za obory 2. vlny</w:t>
            </w:r>
          </w:p>
        </w:tc>
        <w:tc>
          <w:tcPr>
            <w:tcW w:w="526" w:type="pct"/>
            <w:tcBorders>
              <w:top w:val="single" w:sz="4" w:space="0" w:color="auto"/>
              <w:left w:val="nil"/>
              <w:bottom w:val="single" w:sz="4" w:space="0" w:color="auto"/>
              <w:right w:val="single" w:sz="4" w:space="0" w:color="auto"/>
            </w:tcBorders>
            <w:shd w:val="clear" w:color="auto" w:fill="FFFFFF"/>
            <w:noWrap/>
            <w:vAlign w:val="center"/>
          </w:tcPr>
          <w:p w14:paraId="244464FC" w14:textId="77777777" w:rsidR="00F00464" w:rsidRPr="00C47E97" w:rsidRDefault="00F00464" w:rsidP="00436D4C">
            <w:pPr>
              <w:spacing w:after="0"/>
              <w:ind w:right="-45"/>
              <w:jc w:val="right"/>
              <w:rPr>
                <w:rFonts w:cstheme="minorHAnsi"/>
                <w:bCs/>
                <w:color w:val="000000"/>
                <w:sz w:val="16"/>
                <w:szCs w:val="16"/>
              </w:rPr>
            </w:pPr>
            <w:r w:rsidRPr="00C47E97">
              <w:rPr>
                <w:rFonts w:cstheme="minorHAnsi"/>
                <w:bCs/>
                <w:color w:val="000000"/>
                <w:sz w:val="16"/>
                <w:szCs w:val="16"/>
              </w:rPr>
              <w:t>30 000 122</w:t>
            </w:r>
            <w:r w:rsidRPr="00C47E97">
              <w:rPr>
                <w:rFonts w:cstheme="minorHAnsi"/>
                <w:bCs/>
                <w:color w:val="000000"/>
                <w:sz w:val="16"/>
                <w:szCs w:val="16"/>
                <w:vertAlign w:val="superscript"/>
              </w:rPr>
              <w:t>2)</w:t>
            </w:r>
          </w:p>
        </w:tc>
        <w:tc>
          <w:tcPr>
            <w:tcW w:w="632" w:type="pct"/>
            <w:tcBorders>
              <w:top w:val="single" w:sz="4" w:space="0" w:color="auto"/>
              <w:left w:val="nil"/>
              <w:bottom w:val="single" w:sz="4" w:space="0" w:color="auto"/>
              <w:right w:val="single" w:sz="4" w:space="0" w:color="auto"/>
            </w:tcBorders>
            <w:shd w:val="clear" w:color="auto" w:fill="FFFFFF"/>
            <w:noWrap/>
            <w:vAlign w:val="center"/>
          </w:tcPr>
          <w:p w14:paraId="6EE2E28C" w14:textId="77777777" w:rsidR="00F00464" w:rsidRPr="00C47E97" w:rsidRDefault="00F00464" w:rsidP="00436D4C">
            <w:pPr>
              <w:spacing w:after="0"/>
              <w:ind w:right="-28"/>
              <w:jc w:val="right"/>
              <w:rPr>
                <w:rFonts w:cstheme="minorHAnsi"/>
                <w:bCs/>
                <w:color w:val="000000"/>
                <w:sz w:val="16"/>
                <w:szCs w:val="16"/>
              </w:rPr>
            </w:pPr>
            <w:r w:rsidRPr="00C47E97">
              <w:rPr>
                <w:rFonts w:cstheme="minorHAnsi"/>
                <w:bCs/>
                <w:color w:val="000000"/>
                <w:sz w:val="16"/>
                <w:szCs w:val="16"/>
              </w:rPr>
              <w:t>3 210 368 764</w:t>
            </w:r>
            <w:r w:rsidRPr="00C47E97">
              <w:rPr>
                <w:rFonts w:cstheme="minorHAnsi"/>
                <w:bCs/>
                <w:color w:val="000000"/>
                <w:sz w:val="16"/>
                <w:szCs w:val="16"/>
                <w:vertAlign w:val="superscript"/>
              </w:rPr>
              <w:t>2)</w:t>
            </w:r>
          </w:p>
        </w:tc>
        <w:tc>
          <w:tcPr>
            <w:tcW w:w="623" w:type="pct"/>
            <w:tcBorders>
              <w:top w:val="single" w:sz="4" w:space="0" w:color="auto"/>
              <w:left w:val="nil"/>
              <w:bottom w:val="single" w:sz="4" w:space="0" w:color="auto"/>
              <w:right w:val="single" w:sz="4" w:space="0" w:color="auto"/>
            </w:tcBorders>
            <w:shd w:val="clear" w:color="auto" w:fill="FFFFFF"/>
            <w:noWrap/>
            <w:vAlign w:val="center"/>
          </w:tcPr>
          <w:p w14:paraId="111A0E3F" w14:textId="77777777" w:rsidR="00F00464" w:rsidRPr="00C47E97" w:rsidRDefault="00F00464" w:rsidP="00436D4C">
            <w:pPr>
              <w:spacing w:after="0"/>
              <w:jc w:val="right"/>
              <w:rPr>
                <w:rFonts w:cstheme="minorHAnsi"/>
                <w:bCs/>
                <w:color w:val="000000"/>
                <w:sz w:val="16"/>
                <w:szCs w:val="16"/>
              </w:rPr>
            </w:pPr>
            <w:r w:rsidRPr="00C47E97">
              <w:rPr>
                <w:rFonts w:cstheme="minorHAnsi"/>
                <w:bCs/>
                <w:color w:val="000000"/>
                <w:sz w:val="16"/>
                <w:szCs w:val="16"/>
              </w:rPr>
              <w:t>3 658 764 721</w:t>
            </w:r>
          </w:p>
        </w:tc>
        <w:tc>
          <w:tcPr>
            <w:tcW w:w="623" w:type="pct"/>
            <w:tcBorders>
              <w:top w:val="single" w:sz="4" w:space="0" w:color="auto"/>
              <w:left w:val="nil"/>
              <w:bottom w:val="single" w:sz="4" w:space="0" w:color="auto"/>
              <w:right w:val="single" w:sz="4" w:space="0" w:color="auto"/>
            </w:tcBorders>
            <w:shd w:val="clear" w:color="auto" w:fill="FFFFFF"/>
            <w:noWrap/>
            <w:vAlign w:val="center"/>
          </w:tcPr>
          <w:p w14:paraId="2FA14441" w14:textId="77777777" w:rsidR="00F00464" w:rsidRPr="00C47E97" w:rsidRDefault="00F00464" w:rsidP="00436D4C">
            <w:pPr>
              <w:spacing w:after="0"/>
              <w:jc w:val="right"/>
              <w:rPr>
                <w:rFonts w:cstheme="minorHAnsi"/>
                <w:bCs/>
                <w:color w:val="000000"/>
                <w:sz w:val="16"/>
                <w:szCs w:val="16"/>
              </w:rPr>
            </w:pPr>
            <w:r w:rsidRPr="00C47E97">
              <w:rPr>
                <w:rFonts w:cstheme="minorHAnsi"/>
                <w:bCs/>
                <w:color w:val="000000"/>
                <w:sz w:val="16"/>
                <w:szCs w:val="16"/>
              </w:rPr>
              <w:t>3 628 335 795</w:t>
            </w:r>
          </w:p>
        </w:tc>
        <w:tc>
          <w:tcPr>
            <w:tcW w:w="623" w:type="pct"/>
            <w:tcBorders>
              <w:top w:val="single" w:sz="4" w:space="0" w:color="auto"/>
              <w:left w:val="nil"/>
              <w:bottom w:val="single" w:sz="4" w:space="0" w:color="auto"/>
              <w:right w:val="single" w:sz="4" w:space="0" w:color="auto"/>
            </w:tcBorders>
            <w:shd w:val="clear" w:color="auto" w:fill="FFFFFF"/>
            <w:noWrap/>
            <w:vAlign w:val="center"/>
          </w:tcPr>
          <w:p w14:paraId="58C44263" w14:textId="77777777" w:rsidR="00F00464" w:rsidRPr="00C47E97" w:rsidRDefault="00F00464" w:rsidP="00436D4C">
            <w:pPr>
              <w:spacing w:after="0"/>
              <w:jc w:val="right"/>
              <w:rPr>
                <w:rFonts w:cstheme="minorHAnsi"/>
                <w:bCs/>
                <w:color w:val="000000"/>
                <w:sz w:val="16"/>
                <w:szCs w:val="16"/>
              </w:rPr>
            </w:pPr>
            <w:r w:rsidRPr="00C47E97">
              <w:rPr>
                <w:rFonts w:cstheme="minorHAnsi"/>
                <w:bCs/>
                <w:color w:val="000000"/>
                <w:sz w:val="16"/>
                <w:szCs w:val="16"/>
              </w:rPr>
              <w:t>2 949 205 717</w:t>
            </w:r>
          </w:p>
        </w:tc>
        <w:tc>
          <w:tcPr>
            <w:tcW w:w="623" w:type="pct"/>
            <w:tcBorders>
              <w:top w:val="single" w:sz="4" w:space="0" w:color="auto"/>
              <w:left w:val="nil"/>
              <w:bottom w:val="single" w:sz="4" w:space="0" w:color="auto"/>
              <w:right w:val="single" w:sz="4" w:space="0" w:color="auto"/>
            </w:tcBorders>
            <w:shd w:val="clear" w:color="auto" w:fill="FFFFFF"/>
            <w:noWrap/>
            <w:vAlign w:val="center"/>
          </w:tcPr>
          <w:p w14:paraId="7C33A275" w14:textId="77777777" w:rsidR="00F00464" w:rsidRPr="00C47E97" w:rsidRDefault="00F00464" w:rsidP="00436D4C">
            <w:pPr>
              <w:spacing w:after="0"/>
              <w:jc w:val="right"/>
              <w:rPr>
                <w:rFonts w:cstheme="minorHAnsi"/>
                <w:bCs/>
                <w:color w:val="000000"/>
                <w:sz w:val="16"/>
                <w:szCs w:val="16"/>
              </w:rPr>
            </w:pPr>
            <w:r w:rsidRPr="00C47E97">
              <w:rPr>
                <w:rFonts w:cstheme="minorHAnsi"/>
                <w:bCs/>
                <w:color w:val="000000"/>
                <w:sz w:val="16"/>
                <w:szCs w:val="16"/>
              </w:rPr>
              <w:t>2 351 749 594</w:t>
            </w:r>
          </w:p>
        </w:tc>
        <w:tc>
          <w:tcPr>
            <w:tcW w:w="660" w:type="pct"/>
            <w:tcBorders>
              <w:top w:val="single" w:sz="4" w:space="0" w:color="auto"/>
              <w:left w:val="nil"/>
              <w:bottom w:val="single" w:sz="4" w:space="0" w:color="auto"/>
              <w:right w:val="single" w:sz="4" w:space="0" w:color="auto"/>
            </w:tcBorders>
            <w:shd w:val="clear" w:color="auto" w:fill="FFFFFF"/>
            <w:vAlign w:val="center"/>
          </w:tcPr>
          <w:p w14:paraId="63EC622E" w14:textId="77777777" w:rsidR="00F00464" w:rsidRPr="00C47E97" w:rsidRDefault="00F00464" w:rsidP="00436D4C">
            <w:pPr>
              <w:spacing w:after="0"/>
              <w:jc w:val="right"/>
              <w:rPr>
                <w:rFonts w:cstheme="minorHAnsi"/>
                <w:bCs/>
                <w:color w:val="000000"/>
                <w:sz w:val="16"/>
                <w:szCs w:val="16"/>
              </w:rPr>
            </w:pPr>
            <w:r w:rsidRPr="00C47E97">
              <w:rPr>
                <w:rFonts w:cstheme="minorHAnsi"/>
                <w:bCs/>
                <w:color w:val="000000"/>
                <w:sz w:val="16"/>
                <w:szCs w:val="16"/>
              </w:rPr>
              <w:t>1 896 267 854</w:t>
            </w:r>
          </w:p>
        </w:tc>
      </w:tr>
      <w:tr w:rsidR="00F00464" w:rsidRPr="00C47E97" w14:paraId="37015FDE" w14:textId="77777777" w:rsidTr="00562DA8">
        <w:trPr>
          <w:trHeight w:val="340"/>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96BC8C0" w14:textId="77777777" w:rsidR="00F00464" w:rsidRPr="00EB01A8" w:rsidRDefault="00F00464" w:rsidP="00562DA8">
            <w:pPr>
              <w:spacing w:after="0"/>
              <w:jc w:val="center"/>
              <w:rPr>
                <w:rFonts w:cstheme="minorHAnsi"/>
                <w:b/>
                <w:bCs/>
                <w:color w:val="000000"/>
                <w:sz w:val="18"/>
                <w:szCs w:val="18"/>
              </w:rPr>
            </w:pPr>
            <w:r w:rsidRPr="00EB01A8">
              <w:rPr>
                <w:rFonts w:cstheme="minorHAnsi"/>
                <w:b/>
                <w:bCs/>
                <w:color w:val="000000"/>
                <w:sz w:val="18"/>
                <w:szCs w:val="18"/>
              </w:rPr>
              <w:t>Objem evidovaných tržeb v </w:t>
            </w:r>
            <w:r w:rsidR="009D6790" w:rsidRPr="00EB01A8">
              <w:rPr>
                <w:rFonts w:cstheme="minorHAnsi"/>
                <w:b/>
                <w:bCs/>
                <w:color w:val="000000"/>
                <w:sz w:val="18"/>
                <w:szCs w:val="18"/>
              </w:rPr>
              <w:t>mil</w:t>
            </w:r>
            <w:r w:rsidRPr="00EB01A8">
              <w:rPr>
                <w:rFonts w:cstheme="minorHAnsi"/>
                <w:b/>
                <w:bCs/>
                <w:color w:val="000000"/>
                <w:sz w:val="18"/>
                <w:szCs w:val="18"/>
              </w:rPr>
              <w:t>. Kč</w:t>
            </w:r>
          </w:p>
        </w:tc>
      </w:tr>
      <w:tr w:rsidR="00F00464" w:rsidRPr="00C47E97" w14:paraId="2A88A13D" w14:textId="77777777" w:rsidTr="00562DA8">
        <w:trPr>
          <w:trHeight w:val="340"/>
        </w:trPr>
        <w:tc>
          <w:tcPr>
            <w:tcW w:w="69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AC793B3" w14:textId="77777777" w:rsidR="00F00464" w:rsidRPr="00C47E97" w:rsidRDefault="00F00464" w:rsidP="00562DA8">
            <w:pPr>
              <w:spacing w:after="0"/>
              <w:rPr>
                <w:rFonts w:cstheme="minorHAnsi"/>
                <w:bCs/>
                <w:color w:val="000000"/>
                <w:sz w:val="16"/>
                <w:szCs w:val="16"/>
              </w:rPr>
            </w:pPr>
            <w:r w:rsidRPr="00C47E97">
              <w:rPr>
                <w:rFonts w:cstheme="minorHAnsi"/>
                <w:bCs/>
                <w:color w:val="000000"/>
                <w:sz w:val="16"/>
                <w:szCs w:val="16"/>
              </w:rPr>
              <w:t>Za obory 1. vlny</w:t>
            </w:r>
          </w:p>
        </w:tc>
        <w:tc>
          <w:tcPr>
            <w:tcW w:w="526" w:type="pct"/>
            <w:tcBorders>
              <w:top w:val="single" w:sz="4" w:space="0" w:color="auto"/>
              <w:left w:val="nil"/>
              <w:bottom w:val="single" w:sz="4" w:space="0" w:color="auto"/>
              <w:right w:val="single" w:sz="4" w:space="0" w:color="auto"/>
            </w:tcBorders>
            <w:shd w:val="clear" w:color="auto" w:fill="FFFFFF"/>
            <w:noWrap/>
            <w:vAlign w:val="center"/>
          </w:tcPr>
          <w:p w14:paraId="657A21E0" w14:textId="77777777" w:rsidR="00F00464" w:rsidRPr="00C47E97" w:rsidRDefault="00F00464" w:rsidP="00562DA8">
            <w:pPr>
              <w:spacing w:after="0"/>
              <w:ind w:right="45"/>
              <w:jc w:val="right"/>
              <w:rPr>
                <w:rFonts w:cstheme="minorHAnsi"/>
                <w:bCs/>
                <w:color w:val="000000"/>
                <w:sz w:val="16"/>
                <w:szCs w:val="16"/>
              </w:rPr>
            </w:pPr>
            <w:r w:rsidRPr="00C47E97">
              <w:rPr>
                <w:rFonts w:cstheme="minorHAnsi"/>
                <w:bCs/>
                <w:color w:val="000000"/>
                <w:sz w:val="16"/>
                <w:szCs w:val="16"/>
              </w:rPr>
              <w:t>14 224,787</w:t>
            </w:r>
          </w:p>
        </w:tc>
        <w:tc>
          <w:tcPr>
            <w:tcW w:w="632" w:type="pct"/>
            <w:tcBorders>
              <w:top w:val="single" w:sz="4" w:space="0" w:color="auto"/>
              <w:left w:val="nil"/>
              <w:bottom w:val="single" w:sz="4" w:space="0" w:color="auto"/>
              <w:right w:val="single" w:sz="4" w:space="0" w:color="auto"/>
            </w:tcBorders>
            <w:shd w:val="clear" w:color="auto" w:fill="FFFFFF"/>
            <w:noWrap/>
            <w:vAlign w:val="center"/>
          </w:tcPr>
          <w:p w14:paraId="19728524" w14:textId="4A684903" w:rsidR="00F00464" w:rsidRPr="00C47E97" w:rsidRDefault="00F00464" w:rsidP="00562DA8">
            <w:pPr>
              <w:spacing w:after="0"/>
              <w:ind w:right="45"/>
              <w:jc w:val="right"/>
              <w:rPr>
                <w:rFonts w:cstheme="minorHAnsi"/>
                <w:bCs/>
                <w:color w:val="000000"/>
                <w:sz w:val="16"/>
                <w:szCs w:val="16"/>
              </w:rPr>
            </w:pPr>
            <w:r w:rsidRPr="00C47E97">
              <w:rPr>
                <w:rFonts w:cstheme="minorHAnsi"/>
                <w:bCs/>
                <w:color w:val="000000"/>
                <w:sz w:val="16"/>
                <w:szCs w:val="16"/>
              </w:rPr>
              <w:t>143 407,679</w:t>
            </w:r>
          </w:p>
        </w:tc>
        <w:tc>
          <w:tcPr>
            <w:tcW w:w="623" w:type="pct"/>
            <w:tcBorders>
              <w:top w:val="single" w:sz="4" w:space="0" w:color="auto"/>
              <w:left w:val="nil"/>
              <w:bottom w:val="single" w:sz="4" w:space="0" w:color="auto"/>
              <w:right w:val="single" w:sz="4" w:space="0" w:color="auto"/>
            </w:tcBorders>
            <w:shd w:val="clear" w:color="auto" w:fill="FFFFFF"/>
            <w:noWrap/>
            <w:vAlign w:val="center"/>
          </w:tcPr>
          <w:p w14:paraId="596A65BB" w14:textId="77777777" w:rsidR="00F00464" w:rsidRPr="00C47E97" w:rsidRDefault="00F00464" w:rsidP="00436D4C">
            <w:pPr>
              <w:spacing w:after="0"/>
              <w:jc w:val="right"/>
              <w:rPr>
                <w:rFonts w:cstheme="minorHAnsi"/>
                <w:bCs/>
                <w:color w:val="000000"/>
                <w:sz w:val="16"/>
                <w:szCs w:val="16"/>
              </w:rPr>
            </w:pPr>
            <w:r w:rsidRPr="00C47E97">
              <w:rPr>
                <w:rFonts w:cstheme="minorHAnsi"/>
                <w:bCs/>
                <w:color w:val="000000"/>
                <w:sz w:val="16"/>
                <w:szCs w:val="16"/>
              </w:rPr>
              <w:t>151 627,663</w:t>
            </w:r>
          </w:p>
        </w:tc>
        <w:tc>
          <w:tcPr>
            <w:tcW w:w="623" w:type="pct"/>
            <w:tcBorders>
              <w:top w:val="single" w:sz="4" w:space="0" w:color="auto"/>
              <w:left w:val="nil"/>
              <w:bottom w:val="single" w:sz="4" w:space="0" w:color="auto"/>
              <w:right w:val="single" w:sz="4" w:space="0" w:color="auto"/>
            </w:tcBorders>
            <w:shd w:val="clear" w:color="auto" w:fill="FFFFFF"/>
            <w:noWrap/>
            <w:vAlign w:val="center"/>
          </w:tcPr>
          <w:p w14:paraId="61CDA4DA" w14:textId="77777777" w:rsidR="00F00464" w:rsidRPr="00C47E97" w:rsidRDefault="00F00464" w:rsidP="00436D4C">
            <w:pPr>
              <w:spacing w:after="0"/>
              <w:jc w:val="right"/>
              <w:rPr>
                <w:rFonts w:cstheme="minorHAnsi"/>
                <w:bCs/>
                <w:color w:val="000000"/>
                <w:sz w:val="16"/>
                <w:szCs w:val="16"/>
              </w:rPr>
            </w:pPr>
            <w:r w:rsidRPr="00C47E97">
              <w:rPr>
                <w:rFonts w:cstheme="minorHAnsi"/>
                <w:bCs/>
                <w:color w:val="000000"/>
                <w:sz w:val="16"/>
                <w:szCs w:val="16"/>
              </w:rPr>
              <w:t>156 124,939</w:t>
            </w:r>
          </w:p>
        </w:tc>
        <w:tc>
          <w:tcPr>
            <w:tcW w:w="623" w:type="pct"/>
            <w:tcBorders>
              <w:top w:val="single" w:sz="4" w:space="0" w:color="auto"/>
              <w:left w:val="nil"/>
              <w:bottom w:val="single" w:sz="4" w:space="0" w:color="auto"/>
              <w:right w:val="single" w:sz="4" w:space="0" w:color="auto"/>
            </w:tcBorders>
            <w:shd w:val="clear" w:color="auto" w:fill="FFFFFF"/>
            <w:noWrap/>
            <w:vAlign w:val="center"/>
          </w:tcPr>
          <w:p w14:paraId="293A2AF2" w14:textId="77777777" w:rsidR="00F00464" w:rsidRPr="00C47E97" w:rsidRDefault="00F00464" w:rsidP="00436D4C">
            <w:pPr>
              <w:spacing w:after="0"/>
              <w:jc w:val="right"/>
              <w:rPr>
                <w:rFonts w:cstheme="minorHAnsi"/>
                <w:bCs/>
                <w:color w:val="000000"/>
                <w:sz w:val="16"/>
                <w:szCs w:val="16"/>
              </w:rPr>
            </w:pPr>
            <w:r w:rsidRPr="00C47E97">
              <w:rPr>
                <w:rFonts w:cstheme="minorHAnsi"/>
                <w:bCs/>
                <w:color w:val="000000"/>
                <w:sz w:val="16"/>
                <w:szCs w:val="16"/>
              </w:rPr>
              <w:t>64 951,591</w:t>
            </w:r>
          </w:p>
        </w:tc>
        <w:tc>
          <w:tcPr>
            <w:tcW w:w="623" w:type="pct"/>
            <w:tcBorders>
              <w:top w:val="single" w:sz="4" w:space="0" w:color="auto"/>
              <w:left w:val="nil"/>
              <w:bottom w:val="single" w:sz="4" w:space="0" w:color="auto"/>
              <w:right w:val="single" w:sz="4" w:space="0" w:color="auto"/>
            </w:tcBorders>
            <w:shd w:val="clear" w:color="auto" w:fill="FFFFFF"/>
            <w:noWrap/>
            <w:vAlign w:val="center"/>
          </w:tcPr>
          <w:p w14:paraId="378E4109" w14:textId="77777777" w:rsidR="00F00464" w:rsidRPr="00C47E97" w:rsidRDefault="00F00464" w:rsidP="00436D4C">
            <w:pPr>
              <w:spacing w:after="0"/>
              <w:jc w:val="right"/>
              <w:rPr>
                <w:rFonts w:cstheme="minorHAnsi"/>
                <w:bCs/>
                <w:color w:val="000000"/>
                <w:sz w:val="16"/>
                <w:szCs w:val="16"/>
              </w:rPr>
            </w:pPr>
            <w:r w:rsidRPr="00C47E97">
              <w:rPr>
                <w:rFonts w:cstheme="minorHAnsi"/>
                <w:bCs/>
                <w:color w:val="000000"/>
                <w:sz w:val="16"/>
                <w:szCs w:val="16"/>
              </w:rPr>
              <w:t>38 723,921</w:t>
            </w:r>
          </w:p>
        </w:tc>
        <w:tc>
          <w:tcPr>
            <w:tcW w:w="660" w:type="pct"/>
            <w:tcBorders>
              <w:top w:val="single" w:sz="4" w:space="0" w:color="auto"/>
              <w:left w:val="nil"/>
              <w:bottom w:val="single" w:sz="4" w:space="0" w:color="auto"/>
              <w:right w:val="single" w:sz="4" w:space="0" w:color="auto"/>
            </w:tcBorders>
            <w:shd w:val="clear" w:color="auto" w:fill="FFFFFF"/>
            <w:vAlign w:val="center"/>
          </w:tcPr>
          <w:p w14:paraId="6761B5CF" w14:textId="77777777" w:rsidR="00F00464" w:rsidRPr="00C47E97" w:rsidRDefault="00F00464" w:rsidP="00436D4C">
            <w:pPr>
              <w:spacing w:after="0"/>
              <w:jc w:val="right"/>
              <w:rPr>
                <w:rFonts w:cstheme="minorHAnsi"/>
                <w:bCs/>
                <w:color w:val="000000"/>
                <w:sz w:val="16"/>
                <w:szCs w:val="16"/>
              </w:rPr>
            </w:pPr>
            <w:r w:rsidRPr="00C47E97">
              <w:rPr>
                <w:rFonts w:cstheme="minorHAnsi"/>
                <w:bCs/>
                <w:color w:val="000000"/>
                <w:sz w:val="16"/>
                <w:szCs w:val="16"/>
              </w:rPr>
              <w:t>46 926,267</w:t>
            </w:r>
          </w:p>
        </w:tc>
      </w:tr>
      <w:tr w:rsidR="00F00464" w:rsidRPr="00C47E97" w14:paraId="78260888" w14:textId="77777777" w:rsidTr="00562DA8">
        <w:trPr>
          <w:trHeight w:val="340"/>
        </w:trPr>
        <w:tc>
          <w:tcPr>
            <w:tcW w:w="69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69E6F3C" w14:textId="77777777" w:rsidR="00F00464" w:rsidRPr="00C47E97" w:rsidRDefault="00F00464" w:rsidP="00562DA8">
            <w:pPr>
              <w:spacing w:after="0"/>
              <w:rPr>
                <w:rFonts w:cstheme="minorHAnsi"/>
                <w:bCs/>
                <w:color w:val="000000"/>
                <w:sz w:val="16"/>
                <w:szCs w:val="16"/>
              </w:rPr>
            </w:pPr>
            <w:r w:rsidRPr="00C47E97">
              <w:rPr>
                <w:rFonts w:cstheme="minorHAnsi"/>
                <w:bCs/>
                <w:color w:val="000000"/>
                <w:sz w:val="16"/>
                <w:szCs w:val="16"/>
              </w:rPr>
              <w:t>Za obory 2. vlny</w:t>
            </w:r>
          </w:p>
        </w:tc>
        <w:tc>
          <w:tcPr>
            <w:tcW w:w="526" w:type="pct"/>
            <w:tcBorders>
              <w:top w:val="single" w:sz="4" w:space="0" w:color="auto"/>
              <w:left w:val="nil"/>
              <w:bottom w:val="single" w:sz="4" w:space="0" w:color="auto"/>
              <w:right w:val="single" w:sz="4" w:space="0" w:color="auto"/>
            </w:tcBorders>
            <w:shd w:val="clear" w:color="auto" w:fill="FFFFFF"/>
            <w:noWrap/>
            <w:vAlign w:val="center"/>
          </w:tcPr>
          <w:p w14:paraId="171E34FB" w14:textId="77777777" w:rsidR="00F00464" w:rsidRPr="00C47E97" w:rsidRDefault="00F00464" w:rsidP="00436D4C">
            <w:pPr>
              <w:spacing w:after="0"/>
              <w:ind w:right="-28"/>
              <w:jc w:val="right"/>
              <w:rPr>
                <w:rFonts w:cstheme="minorHAnsi"/>
                <w:bCs/>
                <w:color w:val="000000"/>
                <w:sz w:val="16"/>
                <w:szCs w:val="16"/>
              </w:rPr>
            </w:pPr>
            <w:r w:rsidRPr="00C47E97">
              <w:rPr>
                <w:rFonts w:cstheme="minorHAnsi"/>
                <w:bCs/>
                <w:color w:val="000000"/>
                <w:sz w:val="16"/>
                <w:szCs w:val="16"/>
              </w:rPr>
              <w:t>7 806,800</w:t>
            </w:r>
            <w:r w:rsidRPr="00C47E97">
              <w:rPr>
                <w:rFonts w:cstheme="minorHAnsi"/>
                <w:bCs/>
                <w:color w:val="000000"/>
                <w:sz w:val="16"/>
                <w:szCs w:val="16"/>
                <w:vertAlign w:val="superscript"/>
              </w:rPr>
              <w:t>2)</w:t>
            </w:r>
          </w:p>
        </w:tc>
        <w:tc>
          <w:tcPr>
            <w:tcW w:w="632" w:type="pct"/>
            <w:tcBorders>
              <w:top w:val="single" w:sz="4" w:space="0" w:color="auto"/>
              <w:left w:val="nil"/>
              <w:bottom w:val="single" w:sz="4" w:space="0" w:color="auto"/>
              <w:right w:val="single" w:sz="4" w:space="0" w:color="auto"/>
            </w:tcBorders>
            <w:shd w:val="clear" w:color="auto" w:fill="FFFFFF"/>
            <w:noWrap/>
            <w:vAlign w:val="center"/>
          </w:tcPr>
          <w:p w14:paraId="7CE32F09" w14:textId="77777777" w:rsidR="00F00464" w:rsidRPr="00C47E97" w:rsidRDefault="00F00464" w:rsidP="00436D4C">
            <w:pPr>
              <w:spacing w:after="0"/>
              <w:ind w:right="-28"/>
              <w:jc w:val="right"/>
              <w:rPr>
                <w:rFonts w:cstheme="minorHAnsi"/>
                <w:bCs/>
                <w:color w:val="000000"/>
                <w:sz w:val="16"/>
                <w:szCs w:val="16"/>
              </w:rPr>
            </w:pPr>
            <w:r w:rsidRPr="00C47E97">
              <w:rPr>
                <w:rFonts w:cstheme="minorHAnsi"/>
                <w:bCs/>
                <w:color w:val="000000"/>
                <w:sz w:val="16"/>
                <w:szCs w:val="16"/>
              </w:rPr>
              <w:t>1 215 571,780</w:t>
            </w:r>
            <w:r w:rsidRPr="00C47E97">
              <w:rPr>
                <w:rFonts w:cstheme="minorHAnsi"/>
                <w:bCs/>
                <w:color w:val="000000"/>
                <w:sz w:val="16"/>
                <w:szCs w:val="16"/>
                <w:vertAlign w:val="superscript"/>
              </w:rPr>
              <w:t>2)</w:t>
            </w:r>
          </w:p>
        </w:tc>
        <w:tc>
          <w:tcPr>
            <w:tcW w:w="623" w:type="pct"/>
            <w:tcBorders>
              <w:top w:val="single" w:sz="4" w:space="0" w:color="auto"/>
              <w:left w:val="nil"/>
              <w:bottom w:val="single" w:sz="4" w:space="0" w:color="auto"/>
              <w:right w:val="single" w:sz="4" w:space="0" w:color="auto"/>
            </w:tcBorders>
            <w:shd w:val="clear" w:color="auto" w:fill="FFFFFF"/>
            <w:noWrap/>
            <w:vAlign w:val="center"/>
          </w:tcPr>
          <w:p w14:paraId="329072C4" w14:textId="77777777" w:rsidR="00F00464" w:rsidRPr="00C47E97" w:rsidRDefault="00F00464" w:rsidP="00436D4C">
            <w:pPr>
              <w:spacing w:after="0"/>
              <w:jc w:val="right"/>
              <w:rPr>
                <w:rFonts w:cstheme="minorHAnsi"/>
                <w:bCs/>
                <w:color w:val="000000"/>
                <w:sz w:val="16"/>
                <w:szCs w:val="16"/>
              </w:rPr>
            </w:pPr>
            <w:r w:rsidRPr="00C47E97">
              <w:rPr>
                <w:rFonts w:cstheme="minorHAnsi"/>
                <w:bCs/>
                <w:color w:val="000000"/>
                <w:sz w:val="16"/>
                <w:szCs w:val="16"/>
              </w:rPr>
              <w:t>1 396 694,608</w:t>
            </w:r>
          </w:p>
        </w:tc>
        <w:tc>
          <w:tcPr>
            <w:tcW w:w="623" w:type="pct"/>
            <w:tcBorders>
              <w:top w:val="single" w:sz="4" w:space="0" w:color="auto"/>
              <w:left w:val="nil"/>
              <w:bottom w:val="single" w:sz="4" w:space="0" w:color="auto"/>
              <w:right w:val="single" w:sz="4" w:space="0" w:color="auto"/>
            </w:tcBorders>
            <w:shd w:val="clear" w:color="auto" w:fill="FFFFFF"/>
            <w:noWrap/>
            <w:vAlign w:val="center"/>
          </w:tcPr>
          <w:p w14:paraId="6A8FA4D7" w14:textId="77777777" w:rsidR="00F00464" w:rsidRPr="00C47E97" w:rsidRDefault="00F00464" w:rsidP="00436D4C">
            <w:pPr>
              <w:spacing w:after="0"/>
              <w:jc w:val="right"/>
              <w:rPr>
                <w:rFonts w:cstheme="minorHAnsi"/>
                <w:bCs/>
                <w:color w:val="000000"/>
                <w:sz w:val="16"/>
                <w:szCs w:val="16"/>
              </w:rPr>
            </w:pPr>
            <w:r w:rsidRPr="00C47E97">
              <w:rPr>
                <w:rFonts w:cstheme="minorHAnsi"/>
                <w:bCs/>
                <w:color w:val="000000"/>
                <w:sz w:val="16"/>
                <w:szCs w:val="16"/>
              </w:rPr>
              <w:t>1 401 250,938</w:t>
            </w:r>
          </w:p>
        </w:tc>
        <w:tc>
          <w:tcPr>
            <w:tcW w:w="623" w:type="pct"/>
            <w:tcBorders>
              <w:top w:val="single" w:sz="4" w:space="0" w:color="auto"/>
              <w:left w:val="nil"/>
              <w:bottom w:val="single" w:sz="4" w:space="0" w:color="auto"/>
              <w:right w:val="single" w:sz="4" w:space="0" w:color="auto"/>
            </w:tcBorders>
            <w:shd w:val="clear" w:color="auto" w:fill="FFFFFF"/>
            <w:noWrap/>
            <w:vAlign w:val="center"/>
          </w:tcPr>
          <w:p w14:paraId="23B3AB91" w14:textId="77777777" w:rsidR="00F00464" w:rsidRPr="00C47E97" w:rsidRDefault="00F00464" w:rsidP="00436D4C">
            <w:pPr>
              <w:spacing w:after="0"/>
              <w:jc w:val="right"/>
              <w:rPr>
                <w:rFonts w:cstheme="minorHAnsi"/>
                <w:bCs/>
                <w:color w:val="000000"/>
                <w:sz w:val="16"/>
                <w:szCs w:val="16"/>
              </w:rPr>
            </w:pPr>
            <w:r w:rsidRPr="00C47E97">
              <w:rPr>
                <w:rFonts w:cstheme="minorHAnsi"/>
                <w:bCs/>
                <w:color w:val="000000"/>
                <w:sz w:val="16"/>
                <w:szCs w:val="16"/>
              </w:rPr>
              <w:t>1 255 581,217</w:t>
            </w:r>
          </w:p>
        </w:tc>
        <w:tc>
          <w:tcPr>
            <w:tcW w:w="623" w:type="pct"/>
            <w:tcBorders>
              <w:top w:val="single" w:sz="4" w:space="0" w:color="auto"/>
              <w:left w:val="nil"/>
              <w:bottom w:val="single" w:sz="4" w:space="0" w:color="auto"/>
              <w:right w:val="single" w:sz="4" w:space="0" w:color="auto"/>
            </w:tcBorders>
            <w:shd w:val="clear" w:color="auto" w:fill="FFFFFF"/>
            <w:noWrap/>
            <w:vAlign w:val="center"/>
          </w:tcPr>
          <w:p w14:paraId="3EC99CE3" w14:textId="77777777" w:rsidR="00F00464" w:rsidRPr="00C47E97" w:rsidRDefault="00F00464" w:rsidP="00436D4C">
            <w:pPr>
              <w:spacing w:after="0"/>
              <w:jc w:val="right"/>
              <w:rPr>
                <w:rFonts w:cstheme="minorHAnsi"/>
                <w:bCs/>
                <w:color w:val="000000"/>
                <w:sz w:val="16"/>
                <w:szCs w:val="16"/>
              </w:rPr>
            </w:pPr>
            <w:r w:rsidRPr="00C47E97">
              <w:rPr>
                <w:rFonts w:cstheme="minorHAnsi"/>
                <w:bCs/>
                <w:color w:val="000000"/>
                <w:sz w:val="16"/>
                <w:szCs w:val="16"/>
              </w:rPr>
              <w:t>1 067 659,291</w:t>
            </w:r>
          </w:p>
        </w:tc>
        <w:tc>
          <w:tcPr>
            <w:tcW w:w="660" w:type="pct"/>
            <w:tcBorders>
              <w:top w:val="single" w:sz="4" w:space="0" w:color="auto"/>
              <w:left w:val="nil"/>
              <w:bottom w:val="single" w:sz="4" w:space="0" w:color="auto"/>
              <w:right w:val="single" w:sz="4" w:space="0" w:color="auto"/>
            </w:tcBorders>
            <w:shd w:val="clear" w:color="auto" w:fill="FFFFFF"/>
            <w:vAlign w:val="center"/>
          </w:tcPr>
          <w:p w14:paraId="579487AE" w14:textId="77777777" w:rsidR="00F00464" w:rsidRPr="00C47E97" w:rsidRDefault="00F00464" w:rsidP="00436D4C">
            <w:pPr>
              <w:spacing w:after="0"/>
              <w:jc w:val="right"/>
              <w:rPr>
                <w:rFonts w:cstheme="minorHAnsi"/>
                <w:bCs/>
                <w:color w:val="000000"/>
                <w:sz w:val="16"/>
                <w:szCs w:val="16"/>
              </w:rPr>
            </w:pPr>
            <w:r w:rsidRPr="00C47E97">
              <w:rPr>
                <w:rFonts w:cstheme="minorHAnsi"/>
                <w:bCs/>
                <w:color w:val="000000"/>
                <w:sz w:val="16"/>
                <w:szCs w:val="16"/>
              </w:rPr>
              <w:t>922 667,078</w:t>
            </w:r>
          </w:p>
        </w:tc>
      </w:tr>
    </w:tbl>
    <w:p w14:paraId="4F7DE100" w14:textId="77777777" w:rsidR="00507EF8" w:rsidRPr="00436D4C" w:rsidRDefault="00F00464" w:rsidP="00562DA8">
      <w:pPr>
        <w:spacing w:after="0"/>
        <w:jc w:val="both"/>
        <w:rPr>
          <w:rFonts w:cstheme="minorHAnsi"/>
          <w:iCs/>
          <w:sz w:val="20"/>
          <w:szCs w:val="20"/>
        </w:rPr>
      </w:pPr>
      <w:r w:rsidRPr="00436D4C">
        <w:rPr>
          <w:rFonts w:cstheme="minorHAnsi"/>
          <w:b/>
          <w:bCs/>
          <w:iCs/>
          <w:sz w:val="20"/>
          <w:szCs w:val="20"/>
        </w:rPr>
        <w:t>Zdroj:</w:t>
      </w:r>
      <w:r w:rsidRPr="00436D4C">
        <w:rPr>
          <w:rFonts w:cstheme="minorHAnsi"/>
          <w:iCs/>
          <w:sz w:val="20"/>
          <w:szCs w:val="20"/>
        </w:rPr>
        <w:t xml:space="preserve"> GFŘ. </w:t>
      </w:r>
    </w:p>
    <w:p w14:paraId="6E3D533E" w14:textId="77777777" w:rsidR="00EB01A8" w:rsidRDefault="00F00464" w:rsidP="00EB01A8">
      <w:pPr>
        <w:spacing w:after="0"/>
        <w:jc w:val="both"/>
        <w:rPr>
          <w:rFonts w:eastAsia="Calibri" w:cstheme="minorHAnsi"/>
          <w:iCs/>
          <w:sz w:val="20"/>
          <w:szCs w:val="20"/>
        </w:rPr>
      </w:pPr>
      <w:r w:rsidRPr="00EB01A8">
        <w:rPr>
          <w:rFonts w:eastAsia="Calibri" w:cstheme="minorHAnsi"/>
          <w:b/>
          <w:bCs/>
          <w:iCs/>
          <w:sz w:val="20"/>
          <w:szCs w:val="20"/>
        </w:rPr>
        <w:t>Pozn.:</w:t>
      </w:r>
      <w:r w:rsidRPr="00EB01A8">
        <w:rPr>
          <w:rFonts w:eastAsia="Calibri" w:cstheme="minorHAnsi"/>
          <w:iCs/>
          <w:sz w:val="20"/>
          <w:szCs w:val="20"/>
        </w:rPr>
        <w:t xml:space="preserve"> </w:t>
      </w:r>
    </w:p>
    <w:p w14:paraId="0C72E736" w14:textId="366565EC" w:rsidR="00EB01A8" w:rsidRPr="00562DA8" w:rsidRDefault="00F00464" w:rsidP="00562DA8">
      <w:pPr>
        <w:spacing w:after="0"/>
        <w:ind w:left="284" w:hanging="284"/>
        <w:jc w:val="both"/>
        <w:rPr>
          <w:rFonts w:cstheme="minorHAnsi"/>
          <w:bCs/>
          <w:iCs/>
          <w:sz w:val="20"/>
          <w:szCs w:val="20"/>
        </w:rPr>
      </w:pPr>
      <w:r w:rsidRPr="00562DA8">
        <w:rPr>
          <w:rFonts w:cstheme="minorHAnsi"/>
          <w:bCs/>
          <w:iCs/>
          <w:sz w:val="20"/>
          <w:szCs w:val="20"/>
        </w:rPr>
        <w:t xml:space="preserve">1) </w:t>
      </w:r>
      <w:r w:rsidR="00EB01A8" w:rsidRPr="00562DA8">
        <w:rPr>
          <w:rFonts w:cstheme="minorHAnsi"/>
          <w:bCs/>
          <w:iCs/>
          <w:sz w:val="20"/>
          <w:szCs w:val="20"/>
        </w:rPr>
        <w:tab/>
        <w:t>O</w:t>
      </w:r>
      <w:r w:rsidRPr="00562DA8">
        <w:rPr>
          <w:rFonts w:cstheme="minorHAnsi"/>
          <w:bCs/>
          <w:iCs/>
          <w:sz w:val="20"/>
          <w:szCs w:val="20"/>
        </w:rPr>
        <w:t xml:space="preserve">d </w:t>
      </w:r>
      <w:r w:rsidR="000C561B" w:rsidRPr="00562DA8">
        <w:rPr>
          <w:rFonts w:cstheme="minorHAnsi"/>
          <w:bCs/>
          <w:iCs/>
          <w:sz w:val="20"/>
          <w:szCs w:val="20"/>
        </w:rPr>
        <w:t>27.</w:t>
      </w:r>
      <w:r w:rsidR="00EB01A8" w:rsidRPr="00562DA8">
        <w:rPr>
          <w:rFonts w:cstheme="minorHAnsi"/>
          <w:bCs/>
          <w:iCs/>
          <w:sz w:val="20"/>
          <w:szCs w:val="20"/>
        </w:rPr>
        <w:t xml:space="preserve"> </w:t>
      </w:r>
      <w:r w:rsidR="000C561B" w:rsidRPr="00562DA8">
        <w:rPr>
          <w:rFonts w:cstheme="minorHAnsi"/>
          <w:bCs/>
          <w:iCs/>
          <w:sz w:val="20"/>
          <w:szCs w:val="20"/>
        </w:rPr>
        <w:t>3.</w:t>
      </w:r>
      <w:r w:rsidR="00EB01A8" w:rsidRPr="00562DA8">
        <w:rPr>
          <w:rFonts w:cstheme="minorHAnsi"/>
          <w:bCs/>
          <w:iCs/>
          <w:sz w:val="20"/>
          <w:szCs w:val="20"/>
        </w:rPr>
        <w:t xml:space="preserve"> </w:t>
      </w:r>
      <w:r w:rsidRPr="00562DA8">
        <w:rPr>
          <w:rFonts w:cstheme="minorHAnsi"/>
          <w:bCs/>
          <w:iCs/>
          <w:sz w:val="20"/>
          <w:szCs w:val="20"/>
        </w:rPr>
        <w:t>2020 byl</w:t>
      </w:r>
      <w:r w:rsidR="00EB01A8" w:rsidRPr="00562DA8">
        <w:rPr>
          <w:rFonts w:cstheme="minorHAnsi"/>
          <w:bCs/>
          <w:iCs/>
          <w:sz w:val="20"/>
          <w:szCs w:val="20"/>
        </w:rPr>
        <w:t>a</w:t>
      </w:r>
      <w:r w:rsidRPr="00562DA8">
        <w:rPr>
          <w:rFonts w:cstheme="minorHAnsi"/>
          <w:bCs/>
          <w:iCs/>
          <w:sz w:val="20"/>
          <w:szCs w:val="20"/>
        </w:rPr>
        <w:t xml:space="preserve"> EET pro subjekty dobrovoln</w:t>
      </w:r>
      <w:r w:rsidR="00EB01A8" w:rsidRPr="00562DA8">
        <w:rPr>
          <w:rFonts w:cstheme="minorHAnsi"/>
          <w:bCs/>
          <w:iCs/>
          <w:sz w:val="20"/>
          <w:szCs w:val="20"/>
        </w:rPr>
        <w:t>á.</w:t>
      </w:r>
      <w:r w:rsidRPr="00562DA8">
        <w:rPr>
          <w:rFonts w:cstheme="minorHAnsi"/>
          <w:bCs/>
          <w:iCs/>
          <w:sz w:val="20"/>
          <w:szCs w:val="20"/>
        </w:rPr>
        <w:t xml:space="preserve"> </w:t>
      </w:r>
    </w:p>
    <w:p w14:paraId="66223FF1" w14:textId="5CBEAE40" w:rsidR="00F00464" w:rsidRPr="00EB01A8" w:rsidRDefault="00F00464" w:rsidP="00562DA8">
      <w:pPr>
        <w:ind w:left="284" w:hanging="284"/>
        <w:jc w:val="both"/>
        <w:rPr>
          <w:rFonts w:eastAsia="Calibri" w:cstheme="minorHAnsi"/>
          <w:sz w:val="24"/>
          <w:szCs w:val="24"/>
        </w:rPr>
      </w:pPr>
      <w:r w:rsidRPr="00562DA8">
        <w:rPr>
          <w:rFonts w:cstheme="minorHAnsi"/>
          <w:bCs/>
          <w:iCs/>
          <w:sz w:val="20"/>
          <w:szCs w:val="20"/>
        </w:rPr>
        <w:t xml:space="preserve">2) </w:t>
      </w:r>
      <w:r w:rsidR="00EB01A8" w:rsidRPr="00562DA8">
        <w:rPr>
          <w:rFonts w:cstheme="minorHAnsi"/>
          <w:bCs/>
          <w:iCs/>
          <w:sz w:val="20"/>
          <w:szCs w:val="20"/>
        </w:rPr>
        <w:tab/>
        <w:t>Druhá</w:t>
      </w:r>
      <w:r w:rsidRPr="00EB01A8">
        <w:rPr>
          <w:rFonts w:eastAsia="Calibri" w:cstheme="minorHAnsi"/>
          <w:iCs/>
          <w:sz w:val="20"/>
          <w:szCs w:val="20"/>
        </w:rPr>
        <w:t xml:space="preserve"> vlna </w:t>
      </w:r>
      <w:r w:rsidR="00EB01A8" w:rsidRPr="00EB01A8">
        <w:rPr>
          <w:rFonts w:eastAsia="Calibri" w:cstheme="minorHAnsi"/>
          <w:iCs/>
          <w:sz w:val="20"/>
          <w:szCs w:val="20"/>
        </w:rPr>
        <w:t xml:space="preserve">EET </w:t>
      </w:r>
      <w:r w:rsidRPr="00EB01A8">
        <w:rPr>
          <w:rFonts w:eastAsia="Calibri" w:cstheme="minorHAnsi"/>
          <w:iCs/>
          <w:sz w:val="20"/>
          <w:szCs w:val="20"/>
        </w:rPr>
        <w:t xml:space="preserve">byla až od </w:t>
      </w:r>
      <w:r w:rsidR="000C561B" w:rsidRPr="00EB01A8">
        <w:rPr>
          <w:rFonts w:eastAsia="Calibri" w:cstheme="minorHAnsi"/>
          <w:iCs/>
          <w:sz w:val="20"/>
          <w:szCs w:val="20"/>
        </w:rPr>
        <w:t>1.</w:t>
      </w:r>
      <w:r w:rsidR="00EB01A8" w:rsidRPr="00EB01A8">
        <w:rPr>
          <w:rFonts w:eastAsia="Calibri" w:cstheme="minorHAnsi"/>
          <w:iCs/>
          <w:sz w:val="20"/>
          <w:szCs w:val="20"/>
        </w:rPr>
        <w:t xml:space="preserve"> </w:t>
      </w:r>
      <w:r w:rsidR="000C561B" w:rsidRPr="00EB01A8">
        <w:rPr>
          <w:rFonts w:eastAsia="Calibri" w:cstheme="minorHAnsi"/>
          <w:iCs/>
          <w:sz w:val="20"/>
          <w:szCs w:val="20"/>
        </w:rPr>
        <w:t>3.</w:t>
      </w:r>
      <w:r w:rsidR="00EB01A8" w:rsidRPr="00EB01A8">
        <w:rPr>
          <w:rFonts w:eastAsia="Calibri" w:cstheme="minorHAnsi"/>
          <w:iCs/>
          <w:sz w:val="20"/>
          <w:szCs w:val="20"/>
        </w:rPr>
        <w:t xml:space="preserve"> </w:t>
      </w:r>
      <w:r w:rsidRPr="00EB01A8">
        <w:rPr>
          <w:rFonts w:eastAsia="Calibri" w:cstheme="minorHAnsi"/>
          <w:iCs/>
          <w:sz w:val="20"/>
          <w:szCs w:val="20"/>
        </w:rPr>
        <w:t>2017, někte</w:t>
      </w:r>
      <w:r w:rsidR="00FA597E" w:rsidRPr="00EB01A8">
        <w:rPr>
          <w:rFonts w:eastAsia="Calibri" w:cstheme="minorHAnsi"/>
          <w:iCs/>
          <w:sz w:val="20"/>
          <w:szCs w:val="20"/>
        </w:rPr>
        <w:t>ré</w:t>
      </w:r>
      <w:r w:rsidRPr="00EB01A8">
        <w:rPr>
          <w:rFonts w:eastAsia="Calibri" w:cstheme="minorHAnsi"/>
          <w:iCs/>
          <w:sz w:val="20"/>
          <w:szCs w:val="20"/>
        </w:rPr>
        <w:t xml:space="preserve"> </w:t>
      </w:r>
      <w:r w:rsidR="00FA597E" w:rsidRPr="00EB01A8">
        <w:rPr>
          <w:rFonts w:eastAsia="Calibri" w:cstheme="minorHAnsi"/>
          <w:iCs/>
          <w:sz w:val="20"/>
          <w:szCs w:val="20"/>
        </w:rPr>
        <w:t>subjekty</w:t>
      </w:r>
      <w:r w:rsidRPr="00EB01A8">
        <w:rPr>
          <w:rFonts w:eastAsia="Calibri" w:cstheme="minorHAnsi"/>
          <w:iCs/>
          <w:sz w:val="20"/>
          <w:szCs w:val="20"/>
        </w:rPr>
        <w:t xml:space="preserve"> </w:t>
      </w:r>
      <w:r w:rsidR="00EB01A8" w:rsidRPr="00EB01A8">
        <w:rPr>
          <w:rFonts w:eastAsia="Calibri" w:cstheme="minorHAnsi"/>
          <w:iCs/>
          <w:sz w:val="20"/>
          <w:szCs w:val="20"/>
        </w:rPr>
        <w:t xml:space="preserve">však </w:t>
      </w:r>
      <w:r w:rsidRPr="00EB01A8">
        <w:rPr>
          <w:rFonts w:eastAsia="Calibri" w:cstheme="minorHAnsi"/>
          <w:iCs/>
          <w:sz w:val="20"/>
          <w:szCs w:val="20"/>
        </w:rPr>
        <w:t>evidoval</w:t>
      </w:r>
      <w:r w:rsidR="00FA597E" w:rsidRPr="00EB01A8">
        <w:rPr>
          <w:rFonts w:eastAsia="Calibri" w:cstheme="minorHAnsi"/>
          <w:iCs/>
          <w:sz w:val="20"/>
          <w:szCs w:val="20"/>
        </w:rPr>
        <w:t>y</w:t>
      </w:r>
      <w:r w:rsidRPr="00EB01A8">
        <w:rPr>
          <w:rFonts w:eastAsia="Calibri" w:cstheme="minorHAnsi"/>
          <w:iCs/>
          <w:sz w:val="20"/>
          <w:szCs w:val="20"/>
        </w:rPr>
        <w:t xml:space="preserve"> tržby již v době před zavedením dané povinnosti</w:t>
      </w:r>
      <w:r w:rsidR="00EB01A8" w:rsidRPr="00EB01A8">
        <w:rPr>
          <w:rFonts w:eastAsia="Calibri" w:cstheme="minorHAnsi"/>
          <w:iCs/>
          <w:sz w:val="20"/>
          <w:szCs w:val="20"/>
        </w:rPr>
        <w:t>;</w:t>
      </w:r>
      <w:r w:rsidRPr="00EB01A8">
        <w:rPr>
          <w:rFonts w:eastAsia="Calibri" w:cstheme="minorHAnsi"/>
          <w:iCs/>
          <w:sz w:val="20"/>
          <w:szCs w:val="20"/>
        </w:rPr>
        <w:t xml:space="preserve"> GFŘ současně uvedlo</w:t>
      </w:r>
      <w:r w:rsidR="00EB01A8" w:rsidRPr="00EB01A8">
        <w:rPr>
          <w:rFonts w:eastAsia="Calibri" w:cstheme="minorHAnsi"/>
          <w:iCs/>
          <w:sz w:val="20"/>
          <w:szCs w:val="20"/>
        </w:rPr>
        <w:t>:</w:t>
      </w:r>
      <w:r w:rsidRPr="00EB01A8">
        <w:rPr>
          <w:rFonts w:eastAsia="Calibri" w:cstheme="minorHAnsi"/>
          <w:iCs/>
          <w:sz w:val="20"/>
          <w:szCs w:val="20"/>
        </w:rPr>
        <w:t xml:space="preserve"> „</w:t>
      </w:r>
      <w:r w:rsidRPr="00562DA8">
        <w:rPr>
          <w:rFonts w:eastAsia="Calibri" w:cstheme="minorHAnsi"/>
          <w:i/>
          <w:sz w:val="20"/>
          <w:szCs w:val="20"/>
        </w:rPr>
        <w:t>počátky evidence tržeb byly dotčeny testováním pokladních zařízení, kdy tyto testovací datové zprávy byly posílány do produkčního prostředí místo testovacího</w:t>
      </w:r>
      <w:r w:rsidRPr="00EB01A8">
        <w:rPr>
          <w:rFonts w:eastAsia="Calibri" w:cstheme="minorHAnsi"/>
          <w:iCs/>
          <w:sz w:val="20"/>
          <w:szCs w:val="20"/>
        </w:rPr>
        <w:t>.“</w:t>
      </w:r>
    </w:p>
    <w:p w14:paraId="04C051C2" w14:textId="77777777" w:rsidR="00EB01A8" w:rsidRDefault="00EB01A8" w:rsidP="00562DA8">
      <w:pPr>
        <w:ind w:left="1560" w:hanging="1560"/>
        <w:jc w:val="both"/>
        <w:rPr>
          <w:rFonts w:eastAsia="Calibri" w:cstheme="minorHAnsi"/>
          <w:sz w:val="24"/>
          <w:szCs w:val="24"/>
        </w:rPr>
      </w:pPr>
    </w:p>
    <w:p w14:paraId="4AFBE82D" w14:textId="072C88EE" w:rsidR="00FA597E" w:rsidRPr="00EB01A8" w:rsidRDefault="00FA597E" w:rsidP="00F912E1">
      <w:pPr>
        <w:tabs>
          <w:tab w:val="right" w:pos="9072"/>
        </w:tabs>
        <w:spacing w:after="0"/>
        <w:ind w:left="1560" w:hanging="1560"/>
        <w:jc w:val="both"/>
        <w:rPr>
          <w:rFonts w:eastAsia="Calibri" w:cstheme="minorHAnsi"/>
          <w:b/>
          <w:bCs/>
          <w:sz w:val="24"/>
          <w:szCs w:val="24"/>
        </w:rPr>
      </w:pPr>
      <w:r w:rsidRPr="00562DA8">
        <w:rPr>
          <w:rFonts w:eastAsia="Calibri" w:cstheme="minorHAnsi"/>
          <w:b/>
          <w:bCs/>
          <w:sz w:val="24"/>
          <w:szCs w:val="24"/>
        </w:rPr>
        <w:t xml:space="preserve">Tabulka č. </w:t>
      </w:r>
      <w:r w:rsidR="002B6460" w:rsidRPr="00562DA8">
        <w:rPr>
          <w:rFonts w:eastAsia="Calibri" w:cstheme="minorHAnsi"/>
          <w:b/>
          <w:bCs/>
          <w:sz w:val="24"/>
          <w:szCs w:val="24"/>
        </w:rPr>
        <w:t>4</w:t>
      </w:r>
      <w:r w:rsidR="00EB01A8" w:rsidRPr="00562DA8">
        <w:rPr>
          <w:rFonts w:eastAsia="Calibri" w:cstheme="minorHAnsi"/>
          <w:b/>
          <w:bCs/>
          <w:sz w:val="24"/>
          <w:szCs w:val="24"/>
        </w:rPr>
        <w:t>:</w:t>
      </w:r>
      <w:r w:rsidRPr="00562DA8">
        <w:rPr>
          <w:rFonts w:eastAsia="Calibri" w:cstheme="minorHAnsi"/>
          <w:b/>
          <w:bCs/>
          <w:sz w:val="24"/>
          <w:szCs w:val="24"/>
        </w:rPr>
        <w:t xml:space="preserve"> Vývoj inkasa DPH</w:t>
      </w:r>
      <w:r w:rsidRPr="00D2282E">
        <w:rPr>
          <w:rFonts w:eastAsia="Calibri" w:cstheme="minorHAnsi"/>
          <w:sz w:val="24"/>
          <w:szCs w:val="24"/>
        </w:rPr>
        <w:t xml:space="preserve"> </w:t>
      </w:r>
      <w:r w:rsidR="00EB01A8">
        <w:rPr>
          <w:rFonts w:eastAsia="Calibri" w:cstheme="minorHAnsi"/>
          <w:sz w:val="24"/>
          <w:szCs w:val="24"/>
        </w:rPr>
        <w:tab/>
      </w:r>
      <w:r w:rsidRPr="00562DA8">
        <w:rPr>
          <w:rFonts w:eastAsia="Calibri" w:cstheme="minorHAnsi"/>
          <w:b/>
          <w:bCs/>
          <w:sz w:val="24"/>
          <w:szCs w:val="24"/>
        </w:rPr>
        <w:t>(v mil. Kč)</w:t>
      </w:r>
    </w:p>
    <w:tbl>
      <w:tblPr>
        <w:tblW w:w="4994" w:type="pct"/>
        <w:tblInd w:w="-5" w:type="dxa"/>
        <w:tblLayout w:type="fixed"/>
        <w:tblCellMar>
          <w:left w:w="70" w:type="dxa"/>
          <w:right w:w="70" w:type="dxa"/>
        </w:tblCellMar>
        <w:tblLook w:val="04A0" w:firstRow="1" w:lastRow="0" w:firstColumn="1" w:lastColumn="0" w:noHBand="0" w:noVBand="1"/>
      </w:tblPr>
      <w:tblGrid>
        <w:gridCol w:w="1985"/>
        <w:gridCol w:w="682"/>
        <w:gridCol w:w="716"/>
        <w:gridCol w:w="715"/>
        <w:gridCol w:w="715"/>
        <w:gridCol w:w="715"/>
        <w:gridCol w:w="715"/>
        <w:gridCol w:w="715"/>
        <w:gridCol w:w="679"/>
        <w:gridCol w:w="715"/>
        <w:gridCol w:w="699"/>
      </w:tblGrid>
      <w:tr w:rsidR="00F912E1" w:rsidRPr="00C47E97" w14:paraId="3815873D" w14:textId="77777777" w:rsidTr="00F912E1">
        <w:trPr>
          <w:trHeight w:val="397"/>
        </w:trPr>
        <w:tc>
          <w:tcPr>
            <w:tcW w:w="1095" w:type="pct"/>
            <w:tcBorders>
              <w:top w:val="single" w:sz="4" w:space="0" w:color="auto"/>
              <w:left w:val="single" w:sz="4" w:space="0" w:color="auto"/>
              <w:bottom w:val="single" w:sz="4" w:space="0" w:color="auto"/>
              <w:right w:val="single" w:sz="4" w:space="0" w:color="auto"/>
            </w:tcBorders>
            <w:shd w:val="clear" w:color="000000" w:fill="E5F1FF"/>
            <w:noWrap/>
            <w:vAlign w:val="center"/>
            <w:hideMark/>
          </w:tcPr>
          <w:p w14:paraId="3D06E834" w14:textId="77777777" w:rsidR="00FA597E" w:rsidRPr="00C47E97" w:rsidRDefault="00FA597E" w:rsidP="00562DA8">
            <w:pPr>
              <w:keepNext/>
              <w:spacing w:after="0"/>
              <w:jc w:val="center"/>
              <w:rPr>
                <w:rFonts w:cstheme="minorHAnsi"/>
                <w:b/>
                <w:bCs/>
                <w:color w:val="000000"/>
                <w:sz w:val="18"/>
                <w:szCs w:val="18"/>
                <w:lang w:eastAsia="cs-CZ"/>
              </w:rPr>
            </w:pPr>
            <w:r w:rsidRPr="00C47E97">
              <w:rPr>
                <w:rFonts w:cstheme="minorHAnsi"/>
                <w:b/>
                <w:bCs/>
                <w:color w:val="000000"/>
                <w:sz w:val="18"/>
                <w:szCs w:val="18"/>
                <w:lang w:eastAsia="cs-CZ"/>
              </w:rPr>
              <w:t>DPH</w:t>
            </w:r>
          </w:p>
        </w:tc>
        <w:tc>
          <w:tcPr>
            <w:tcW w:w="376" w:type="pct"/>
            <w:tcBorders>
              <w:top w:val="single" w:sz="4" w:space="0" w:color="auto"/>
              <w:left w:val="nil"/>
              <w:bottom w:val="single" w:sz="4" w:space="0" w:color="auto"/>
              <w:right w:val="single" w:sz="4" w:space="0" w:color="auto"/>
            </w:tcBorders>
            <w:shd w:val="clear" w:color="000000" w:fill="E5F1FF"/>
            <w:noWrap/>
            <w:vAlign w:val="center"/>
            <w:hideMark/>
          </w:tcPr>
          <w:p w14:paraId="4D06F545" w14:textId="77777777" w:rsidR="00FA597E" w:rsidRPr="00C47E97" w:rsidRDefault="00FA597E" w:rsidP="00562DA8">
            <w:pPr>
              <w:keepNext/>
              <w:spacing w:after="0"/>
              <w:jc w:val="center"/>
              <w:rPr>
                <w:rFonts w:cstheme="minorHAnsi"/>
                <w:b/>
                <w:bCs/>
                <w:color w:val="000000"/>
                <w:sz w:val="18"/>
                <w:szCs w:val="18"/>
                <w:lang w:eastAsia="cs-CZ"/>
              </w:rPr>
            </w:pPr>
            <w:r w:rsidRPr="00C47E97">
              <w:rPr>
                <w:rFonts w:cstheme="minorHAnsi"/>
                <w:b/>
                <w:bCs/>
                <w:color w:val="000000"/>
                <w:sz w:val="18"/>
                <w:szCs w:val="18"/>
                <w:lang w:eastAsia="cs-CZ"/>
              </w:rPr>
              <w:t>2013</w:t>
            </w:r>
          </w:p>
        </w:tc>
        <w:tc>
          <w:tcPr>
            <w:tcW w:w="395" w:type="pct"/>
            <w:tcBorders>
              <w:top w:val="single" w:sz="4" w:space="0" w:color="auto"/>
              <w:left w:val="nil"/>
              <w:bottom w:val="single" w:sz="4" w:space="0" w:color="auto"/>
              <w:right w:val="single" w:sz="4" w:space="0" w:color="auto"/>
            </w:tcBorders>
            <w:shd w:val="clear" w:color="000000" w:fill="E5F1FF"/>
            <w:noWrap/>
            <w:vAlign w:val="center"/>
            <w:hideMark/>
          </w:tcPr>
          <w:p w14:paraId="1EFC44DD" w14:textId="77777777" w:rsidR="00FA597E" w:rsidRPr="00C47E97" w:rsidRDefault="00FA597E" w:rsidP="00562DA8">
            <w:pPr>
              <w:keepNext/>
              <w:spacing w:after="0"/>
              <w:jc w:val="center"/>
              <w:rPr>
                <w:rFonts w:cstheme="minorHAnsi"/>
                <w:b/>
                <w:bCs/>
                <w:color w:val="000000"/>
                <w:sz w:val="18"/>
                <w:szCs w:val="18"/>
                <w:lang w:eastAsia="cs-CZ"/>
              </w:rPr>
            </w:pPr>
            <w:r w:rsidRPr="00C47E97">
              <w:rPr>
                <w:rFonts w:cstheme="minorHAnsi"/>
                <w:b/>
                <w:bCs/>
                <w:color w:val="000000"/>
                <w:sz w:val="18"/>
                <w:szCs w:val="18"/>
                <w:lang w:eastAsia="cs-CZ"/>
              </w:rPr>
              <w:t>2014</w:t>
            </w:r>
          </w:p>
        </w:tc>
        <w:tc>
          <w:tcPr>
            <w:tcW w:w="395" w:type="pct"/>
            <w:tcBorders>
              <w:top w:val="single" w:sz="4" w:space="0" w:color="auto"/>
              <w:left w:val="nil"/>
              <w:bottom w:val="single" w:sz="4" w:space="0" w:color="auto"/>
              <w:right w:val="single" w:sz="4" w:space="0" w:color="auto"/>
            </w:tcBorders>
            <w:shd w:val="clear" w:color="000000" w:fill="E5F1FF"/>
            <w:noWrap/>
            <w:vAlign w:val="center"/>
            <w:hideMark/>
          </w:tcPr>
          <w:p w14:paraId="4EEAA23C" w14:textId="77777777" w:rsidR="00FA597E" w:rsidRPr="00C47E97" w:rsidRDefault="00FA597E" w:rsidP="00562DA8">
            <w:pPr>
              <w:keepNext/>
              <w:spacing w:after="0"/>
              <w:jc w:val="center"/>
              <w:rPr>
                <w:rFonts w:cstheme="minorHAnsi"/>
                <w:b/>
                <w:bCs/>
                <w:color w:val="000000"/>
                <w:sz w:val="18"/>
                <w:szCs w:val="18"/>
                <w:lang w:eastAsia="cs-CZ"/>
              </w:rPr>
            </w:pPr>
            <w:r w:rsidRPr="00C47E97">
              <w:rPr>
                <w:rFonts w:cstheme="minorHAnsi"/>
                <w:b/>
                <w:bCs/>
                <w:color w:val="000000"/>
                <w:sz w:val="18"/>
                <w:szCs w:val="18"/>
                <w:lang w:eastAsia="cs-CZ"/>
              </w:rPr>
              <w:t>2015</w:t>
            </w:r>
          </w:p>
        </w:tc>
        <w:tc>
          <w:tcPr>
            <w:tcW w:w="395" w:type="pct"/>
            <w:tcBorders>
              <w:top w:val="single" w:sz="4" w:space="0" w:color="auto"/>
              <w:left w:val="nil"/>
              <w:bottom w:val="single" w:sz="4" w:space="0" w:color="auto"/>
              <w:right w:val="single" w:sz="4" w:space="0" w:color="auto"/>
            </w:tcBorders>
            <w:shd w:val="clear" w:color="000000" w:fill="E5F1FF"/>
            <w:noWrap/>
            <w:vAlign w:val="center"/>
            <w:hideMark/>
          </w:tcPr>
          <w:p w14:paraId="1A5EAA5F" w14:textId="77777777" w:rsidR="00FA597E" w:rsidRPr="00C47E97" w:rsidRDefault="00FA597E" w:rsidP="00562DA8">
            <w:pPr>
              <w:keepNext/>
              <w:spacing w:after="0"/>
              <w:jc w:val="center"/>
              <w:rPr>
                <w:rFonts w:cstheme="minorHAnsi"/>
                <w:b/>
                <w:bCs/>
                <w:color w:val="000000"/>
                <w:sz w:val="18"/>
                <w:szCs w:val="18"/>
                <w:lang w:eastAsia="cs-CZ"/>
              </w:rPr>
            </w:pPr>
            <w:r w:rsidRPr="00C47E97">
              <w:rPr>
                <w:rFonts w:cstheme="minorHAnsi"/>
                <w:b/>
                <w:bCs/>
                <w:color w:val="000000"/>
                <w:sz w:val="18"/>
                <w:szCs w:val="18"/>
                <w:lang w:eastAsia="cs-CZ"/>
              </w:rPr>
              <w:t>2016</w:t>
            </w:r>
          </w:p>
        </w:tc>
        <w:tc>
          <w:tcPr>
            <w:tcW w:w="395" w:type="pct"/>
            <w:tcBorders>
              <w:top w:val="single" w:sz="4" w:space="0" w:color="auto"/>
              <w:left w:val="nil"/>
              <w:bottom w:val="single" w:sz="4" w:space="0" w:color="auto"/>
              <w:right w:val="single" w:sz="4" w:space="0" w:color="auto"/>
            </w:tcBorders>
            <w:shd w:val="clear" w:color="000000" w:fill="E5F1FF"/>
            <w:noWrap/>
            <w:vAlign w:val="center"/>
            <w:hideMark/>
          </w:tcPr>
          <w:p w14:paraId="3CBAB86F" w14:textId="77777777" w:rsidR="00FA597E" w:rsidRPr="00C47E97" w:rsidRDefault="00FA597E" w:rsidP="00562DA8">
            <w:pPr>
              <w:keepNext/>
              <w:spacing w:after="0"/>
              <w:jc w:val="center"/>
              <w:rPr>
                <w:rFonts w:cstheme="minorHAnsi"/>
                <w:b/>
                <w:bCs/>
                <w:color w:val="000000"/>
                <w:sz w:val="18"/>
                <w:szCs w:val="18"/>
                <w:lang w:eastAsia="cs-CZ"/>
              </w:rPr>
            </w:pPr>
            <w:r w:rsidRPr="00C47E97">
              <w:rPr>
                <w:rFonts w:cstheme="minorHAnsi"/>
                <w:b/>
                <w:bCs/>
                <w:color w:val="000000"/>
                <w:sz w:val="18"/>
                <w:szCs w:val="18"/>
                <w:lang w:eastAsia="cs-CZ"/>
              </w:rPr>
              <w:t>2017</w:t>
            </w:r>
          </w:p>
        </w:tc>
        <w:tc>
          <w:tcPr>
            <w:tcW w:w="395" w:type="pct"/>
            <w:tcBorders>
              <w:top w:val="single" w:sz="4" w:space="0" w:color="auto"/>
              <w:left w:val="nil"/>
              <w:bottom w:val="single" w:sz="4" w:space="0" w:color="auto"/>
              <w:right w:val="single" w:sz="4" w:space="0" w:color="auto"/>
            </w:tcBorders>
            <w:shd w:val="clear" w:color="000000" w:fill="E5F1FF"/>
            <w:noWrap/>
            <w:vAlign w:val="center"/>
            <w:hideMark/>
          </w:tcPr>
          <w:p w14:paraId="62423D75" w14:textId="77777777" w:rsidR="00FA597E" w:rsidRPr="00C47E97" w:rsidRDefault="00FA597E" w:rsidP="00562DA8">
            <w:pPr>
              <w:keepNext/>
              <w:spacing w:after="0"/>
              <w:jc w:val="center"/>
              <w:rPr>
                <w:rFonts w:cstheme="minorHAnsi"/>
                <w:b/>
                <w:bCs/>
                <w:color w:val="000000"/>
                <w:sz w:val="18"/>
                <w:szCs w:val="18"/>
                <w:lang w:eastAsia="cs-CZ"/>
              </w:rPr>
            </w:pPr>
            <w:r w:rsidRPr="00C47E97">
              <w:rPr>
                <w:rFonts w:cstheme="minorHAnsi"/>
                <w:b/>
                <w:bCs/>
                <w:color w:val="000000"/>
                <w:sz w:val="18"/>
                <w:szCs w:val="18"/>
                <w:lang w:eastAsia="cs-CZ"/>
              </w:rPr>
              <w:t>2018</w:t>
            </w:r>
          </w:p>
        </w:tc>
        <w:tc>
          <w:tcPr>
            <w:tcW w:w="395" w:type="pct"/>
            <w:tcBorders>
              <w:top w:val="single" w:sz="4" w:space="0" w:color="auto"/>
              <w:left w:val="nil"/>
              <w:bottom w:val="single" w:sz="4" w:space="0" w:color="auto"/>
              <w:right w:val="single" w:sz="4" w:space="0" w:color="auto"/>
            </w:tcBorders>
            <w:shd w:val="clear" w:color="000000" w:fill="E5F1FF"/>
            <w:noWrap/>
            <w:vAlign w:val="center"/>
            <w:hideMark/>
          </w:tcPr>
          <w:p w14:paraId="223CA81E" w14:textId="77777777" w:rsidR="00FA597E" w:rsidRPr="00C47E97" w:rsidRDefault="00FA597E" w:rsidP="00562DA8">
            <w:pPr>
              <w:keepNext/>
              <w:spacing w:after="0"/>
              <w:jc w:val="center"/>
              <w:rPr>
                <w:rFonts w:cstheme="minorHAnsi"/>
                <w:b/>
                <w:bCs/>
                <w:color w:val="000000"/>
                <w:sz w:val="18"/>
                <w:szCs w:val="18"/>
                <w:lang w:eastAsia="cs-CZ"/>
              </w:rPr>
            </w:pPr>
            <w:r w:rsidRPr="00C47E97">
              <w:rPr>
                <w:rFonts w:cstheme="minorHAnsi"/>
                <w:b/>
                <w:bCs/>
                <w:color w:val="000000"/>
                <w:sz w:val="18"/>
                <w:szCs w:val="18"/>
                <w:lang w:eastAsia="cs-CZ"/>
              </w:rPr>
              <w:t>2019</w:t>
            </w:r>
          </w:p>
        </w:tc>
        <w:tc>
          <w:tcPr>
            <w:tcW w:w="375" w:type="pct"/>
            <w:tcBorders>
              <w:top w:val="single" w:sz="4" w:space="0" w:color="auto"/>
              <w:left w:val="nil"/>
              <w:bottom w:val="single" w:sz="4" w:space="0" w:color="auto"/>
              <w:right w:val="single" w:sz="4" w:space="0" w:color="auto"/>
            </w:tcBorders>
            <w:shd w:val="clear" w:color="000000" w:fill="E5F1FF"/>
            <w:noWrap/>
            <w:vAlign w:val="center"/>
            <w:hideMark/>
          </w:tcPr>
          <w:p w14:paraId="0C0A4EFC" w14:textId="77777777" w:rsidR="00FA597E" w:rsidRPr="00C47E97" w:rsidRDefault="00FA597E" w:rsidP="00562DA8">
            <w:pPr>
              <w:keepNext/>
              <w:spacing w:after="0"/>
              <w:jc w:val="center"/>
              <w:rPr>
                <w:rFonts w:cstheme="minorHAnsi"/>
                <w:b/>
                <w:bCs/>
                <w:color w:val="000000"/>
                <w:sz w:val="18"/>
                <w:szCs w:val="18"/>
                <w:lang w:eastAsia="cs-CZ"/>
              </w:rPr>
            </w:pPr>
            <w:r w:rsidRPr="00C47E97">
              <w:rPr>
                <w:rFonts w:cstheme="minorHAnsi"/>
                <w:b/>
                <w:bCs/>
                <w:color w:val="000000"/>
                <w:sz w:val="18"/>
                <w:szCs w:val="18"/>
                <w:lang w:eastAsia="cs-CZ"/>
              </w:rPr>
              <w:t>2020</w:t>
            </w:r>
          </w:p>
        </w:tc>
        <w:tc>
          <w:tcPr>
            <w:tcW w:w="395" w:type="pct"/>
            <w:tcBorders>
              <w:top w:val="single" w:sz="4" w:space="0" w:color="auto"/>
              <w:left w:val="nil"/>
              <w:bottom w:val="single" w:sz="4" w:space="0" w:color="auto"/>
              <w:right w:val="single" w:sz="4" w:space="0" w:color="auto"/>
            </w:tcBorders>
            <w:shd w:val="clear" w:color="000000" w:fill="E5F1FF"/>
            <w:noWrap/>
            <w:vAlign w:val="center"/>
            <w:hideMark/>
          </w:tcPr>
          <w:p w14:paraId="0284C2FC" w14:textId="77777777" w:rsidR="00FA597E" w:rsidRPr="00C47E97" w:rsidRDefault="00FA597E" w:rsidP="00562DA8">
            <w:pPr>
              <w:keepNext/>
              <w:spacing w:after="0"/>
              <w:jc w:val="center"/>
              <w:rPr>
                <w:rFonts w:cstheme="minorHAnsi"/>
                <w:b/>
                <w:bCs/>
                <w:color w:val="000000"/>
                <w:sz w:val="18"/>
                <w:szCs w:val="18"/>
                <w:lang w:eastAsia="cs-CZ"/>
              </w:rPr>
            </w:pPr>
            <w:r w:rsidRPr="00C47E97">
              <w:rPr>
                <w:rFonts w:cstheme="minorHAnsi"/>
                <w:b/>
                <w:bCs/>
                <w:color w:val="000000"/>
                <w:sz w:val="18"/>
                <w:szCs w:val="18"/>
                <w:lang w:eastAsia="cs-CZ"/>
              </w:rPr>
              <w:t>2021</w:t>
            </w:r>
          </w:p>
        </w:tc>
        <w:tc>
          <w:tcPr>
            <w:tcW w:w="386" w:type="pct"/>
            <w:tcBorders>
              <w:top w:val="single" w:sz="4" w:space="0" w:color="auto"/>
              <w:left w:val="nil"/>
              <w:bottom w:val="single" w:sz="4" w:space="0" w:color="auto"/>
              <w:right w:val="single" w:sz="4" w:space="0" w:color="auto"/>
            </w:tcBorders>
            <w:shd w:val="clear" w:color="000000" w:fill="E5F1FF"/>
            <w:noWrap/>
            <w:vAlign w:val="center"/>
            <w:hideMark/>
          </w:tcPr>
          <w:p w14:paraId="3A39022F" w14:textId="77777777" w:rsidR="00FA597E" w:rsidRPr="00C47E97" w:rsidRDefault="00FA597E" w:rsidP="00562DA8">
            <w:pPr>
              <w:keepNext/>
              <w:spacing w:after="0"/>
              <w:jc w:val="center"/>
              <w:rPr>
                <w:rFonts w:cstheme="minorHAnsi"/>
                <w:b/>
                <w:bCs/>
                <w:color w:val="000000"/>
                <w:sz w:val="18"/>
                <w:szCs w:val="18"/>
                <w:lang w:eastAsia="cs-CZ"/>
              </w:rPr>
            </w:pPr>
            <w:r w:rsidRPr="00C47E97">
              <w:rPr>
                <w:rFonts w:cstheme="minorHAnsi"/>
                <w:b/>
                <w:bCs/>
                <w:color w:val="000000"/>
                <w:sz w:val="18"/>
                <w:szCs w:val="18"/>
                <w:lang w:eastAsia="cs-CZ"/>
              </w:rPr>
              <w:t>2022</w:t>
            </w:r>
          </w:p>
        </w:tc>
      </w:tr>
      <w:tr w:rsidR="00A00444" w:rsidRPr="00C47E97" w14:paraId="6DC57C2E" w14:textId="77777777" w:rsidTr="00562DA8">
        <w:trPr>
          <w:trHeight w:val="340"/>
        </w:trPr>
        <w:tc>
          <w:tcPr>
            <w:tcW w:w="1095" w:type="pct"/>
            <w:tcBorders>
              <w:top w:val="nil"/>
              <w:left w:val="single" w:sz="4" w:space="0" w:color="auto"/>
              <w:bottom w:val="single" w:sz="4" w:space="0" w:color="auto"/>
              <w:right w:val="single" w:sz="4" w:space="0" w:color="auto"/>
            </w:tcBorders>
            <w:shd w:val="clear" w:color="auto" w:fill="auto"/>
            <w:vAlign w:val="center"/>
            <w:hideMark/>
          </w:tcPr>
          <w:p w14:paraId="2CF2088D" w14:textId="528DC5C9" w:rsidR="00FA597E" w:rsidRPr="00EB01A8" w:rsidRDefault="00EB01A8" w:rsidP="00EB01A8">
            <w:pPr>
              <w:keepNext/>
              <w:spacing w:after="0"/>
              <w:rPr>
                <w:rFonts w:cstheme="minorHAnsi"/>
                <w:color w:val="000000"/>
                <w:sz w:val="16"/>
                <w:szCs w:val="16"/>
                <w:lang w:eastAsia="cs-CZ"/>
              </w:rPr>
            </w:pPr>
            <w:r w:rsidRPr="00EB01A8">
              <w:rPr>
                <w:rFonts w:cstheme="minorHAnsi"/>
                <w:color w:val="000000"/>
                <w:sz w:val="16"/>
                <w:szCs w:val="16"/>
                <w:lang w:eastAsia="cs-CZ"/>
              </w:rPr>
              <w:t>I</w:t>
            </w:r>
            <w:r w:rsidR="00FA597E" w:rsidRPr="00EB01A8">
              <w:rPr>
                <w:rFonts w:cstheme="minorHAnsi"/>
                <w:color w:val="000000"/>
                <w:sz w:val="16"/>
                <w:szCs w:val="16"/>
                <w:lang w:eastAsia="cs-CZ"/>
              </w:rPr>
              <w:t>nkaso celkem</w:t>
            </w:r>
          </w:p>
        </w:tc>
        <w:tc>
          <w:tcPr>
            <w:tcW w:w="376" w:type="pct"/>
            <w:tcBorders>
              <w:top w:val="nil"/>
              <w:left w:val="nil"/>
              <w:bottom w:val="single" w:sz="4" w:space="0" w:color="auto"/>
              <w:right w:val="single" w:sz="4" w:space="0" w:color="auto"/>
            </w:tcBorders>
            <w:shd w:val="clear" w:color="auto" w:fill="auto"/>
            <w:vAlign w:val="center"/>
            <w:hideMark/>
          </w:tcPr>
          <w:p w14:paraId="5C3ED772" w14:textId="44BD915D" w:rsidR="00FA597E" w:rsidRPr="00A00444" w:rsidRDefault="00A00444" w:rsidP="00A00444">
            <w:pPr>
              <w:keepNext/>
              <w:spacing w:after="0"/>
              <w:ind w:left="-66"/>
              <w:jc w:val="right"/>
              <w:rPr>
                <w:rFonts w:cstheme="minorHAnsi"/>
                <w:color w:val="000000"/>
                <w:sz w:val="16"/>
                <w:szCs w:val="16"/>
                <w:lang w:eastAsia="cs-CZ"/>
              </w:rPr>
            </w:pPr>
            <w:r>
              <w:rPr>
                <w:rFonts w:cstheme="minorHAnsi"/>
                <w:color w:val="000000"/>
                <w:sz w:val="16"/>
                <w:szCs w:val="16"/>
                <w:lang w:eastAsia="cs-CZ"/>
              </w:rPr>
              <w:t>308 300</w:t>
            </w:r>
          </w:p>
        </w:tc>
        <w:tc>
          <w:tcPr>
            <w:tcW w:w="395" w:type="pct"/>
            <w:tcBorders>
              <w:top w:val="nil"/>
              <w:left w:val="nil"/>
              <w:bottom w:val="single" w:sz="4" w:space="0" w:color="auto"/>
              <w:right w:val="single" w:sz="4" w:space="0" w:color="auto"/>
            </w:tcBorders>
            <w:shd w:val="clear" w:color="auto" w:fill="auto"/>
            <w:vAlign w:val="center"/>
            <w:hideMark/>
          </w:tcPr>
          <w:p w14:paraId="71DC2287" w14:textId="7876EB6D" w:rsidR="00FA597E" w:rsidRPr="00A00444" w:rsidRDefault="00A00444" w:rsidP="00A00444">
            <w:pPr>
              <w:keepNext/>
              <w:spacing w:after="0"/>
              <w:jc w:val="right"/>
              <w:rPr>
                <w:rFonts w:cstheme="minorHAnsi"/>
                <w:color w:val="000000"/>
                <w:sz w:val="16"/>
                <w:szCs w:val="16"/>
                <w:lang w:eastAsia="cs-CZ"/>
              </w:rPr>
            </w:pPr>
            <w:r>
              <w:rPr>
                <w:rFonts w:cstheme="minorHAnsi"/>
                <w:color w:val="000000"/>
                <w:sz w:val="16"/>
                <w:szCs w:val="16"/>
                <w:lang w:eastAsia="cs-CZ"/>
              </w:rPr>
              <w:t>322 661</w:t>
            </w:r>
          </w:p>
        </w:tc>
        <w:tc>
          <w:tcPr>
            <w:tcW w:w="395" w:type="pct"/>
            <w:tcBorders>
              <w:top w:val="nil"/>
              <w:left w:val="nil"/>
              <w:bottom w:val="single" w:sz="4" w:space="0" w:color="auto"/>
              <w:right w:val="single" w:sz="4" w:space="0" w:color="auto"/>
            </w:tcBorders>
            <w:shd w:val="clear" w:color="auto" w:fill="auto"/>
            <w:vAlign w:val="center"/>
            <w:hideMark/>
          </w:tcPr>
          <w:p w14:paraId="25258763" w14:textId="202D0A74" w:rsidR="00FA597E" w:rsidRPr="00A00444" w:rsidRDefault="00A00444" w:rsidP="00A00444">
            <w:pPr>
              <w:keepNext/>
              <w:spacing w:after="0"/>
              <w:jc w:val="right"/>
              <w:rPr>
                <w:rFonts w:cstheme="minorHAnsi"/>
                <w:color w:val="000000"/>
                <w:sz w:val="16"/>
                <w:szCs w:val="16"/>
                <w:lang w:eastAsia="cs-CZ"/>
              </w:rPr>
            </w:pPr>
            <w:r>
              <w:rPr>
                <w:rFonts w:cstheme="minorHAnsi"/>
                <w:color w:val="000000"/>
                <w:sz w:val="16"/>
                <w:szCs w:val="16"/>
                <w:lang w:eastAsia="cs-CZ"/>
              </w:rPr>
              <w:t>349 459</w:t>
            </w:r>
          </w:p>
        </w:tc>
        <w:tc>
          <w:tcPr>
            <w:tcW w:w="395" w:type="pct"/>
            <w:tcBorders>
              <w:top w:val="nil"/>
              <w:left w:val="nil"/>
              <w:bottom w:val="single" w:sz="4" w:space="0" w:color="auto"/>
              <w:right w:val="single" w:sz="4" w:space="0" w:color="auto"/>
            </w:tcBorders>
            <w:shd w:val="clear" w:color="000000" w:fill="FFFFFF"/>
            <w:noWrap/>
            <w:vAlign w:val="center"/>
            <w:hideMark/>
          </w:tcPr>
          <w:p w14:paraId="2BC79BA3" w14:textId="32CF5AF7" w:rsidR="00FA597E" w:rsidRPr="00A00444" w:rsidRDefault="00A00444" w:rsidP="00A00444">
            <w:pPr>
              <w:keepNext/>
              <w:spacing w:after="0"/>
              <w:jc w:val="right"/>
              <w:rPr>
                <w:rFonts w:cstheme="minorHAnsi"/>
                <w:sz w:val="16"/>
                <w:szCs w:val="16"/>
                <w:lang w:eastAsia="cs-CZ"/>
              </w:rPr>
            </w:pPr>
            <w:r>
              <w:rPr>
                <w:rFonts w:cstheme="minorHAnsi"/>
                <w:sz w:val="16"/>
                <w:szCs w:val="16"/>
                <w:lang w:eastAsia="cs-CZ"/>
              </w:rPr>
              <w:t>351 932</w:t>
            </w:r>
          </w:p>
        </w:tc>
        <w:tc>
          <w:tcPr>
            <w:tcW w:w="395" w:type="pct"/>
            <w:tcBorders>
              <w:top w:val="nil"/>
              <w:left w:val="nil"/>
              <w:bottom w:val="single" w:sz="4" w:space="0" w:color="auto"/>
              <w:right w:val="single" w:sz="4" w:space="0" w:color="auto"/>
            </w:tcBorders>
            <w:shd w:val="clear" w:color="000000" w:fill="FFFFFF"/>
            <w:noWrap/>
            <w:vAlign w:val="center"/>
            <w:hideMark/>
          </w:tcPr>
          <w:p w14:paraId="23AA784F" w14:textId="7F19BBA7" w:rsidR="00FA597E" w:rsidRPr="00A00444" w:rsidRDefault="00A00444" w:rsidP="00A00444">
            <w:pPr>
              <w:keepNext/>
              <w:spacing w:after="0"/>
              <w:ind w:left="-91" w:right="-35"/>
              <w:jc w:val="right"/>
              <w:rPr>
                <w:rFonts w:cstheme="minorHAnsi"/>
                <w:color w:val="000000"/>
                <w:sz w:val="16"/>
                <w:szCs w:val="16"/>
                <w:lang w:eastAsia="cs-CZ"/>
              </w:rPr>
            </w:pPr>
            <w:r>
              <w:rPr>
                <w:rFonts w:cstheme="minorHAnsi"/>
                <w:color w:val="000000"/>
                <w:sz w:val="16"/>
                <w:szCs w:val="16"/>
                <w:lang w:eastAsia="cs-CZ"/>
              </w:rPr>
              <w:t>384 417</w:t>
            </w:r>
          </w:p>
        </w:tc>
        <w:tc>
          <w:tcPr>
            <w:tcW w:w="395" w:type="pct"/>
            <w:tcBorders>
              <w:top w:val="nil"/>
              <w:left w:val="nil"/>
              <w:bottom w:val="single" w:sz="4" w:space="0" w:color="auto"/>
              <w:right w:val="single" w:sz="4" w:space="0" w:color="auto"/>
            </w:tcBorders>
            <w:shd w:val="clear" w:color="000000" w:fill="FFFFFF"/>
            <w:noWrap/>
            <w:vAlign w:val="center"/>
            <w:hideMark/>
          </w:tcPr>
          <w:p w14:paraId="5DD63C19" w14:textId="76A3DAB3" w:rsidR="00FA597E" w:rsidRPr="00A00444" w:rsidRDefault="00A00444" w:rsidP="00A00444">
            <w:pPr>
              <w:keepNext/>
              <w:spacing w:after="0"/>
              <w:ind w:left="-91" w:right="-35"/>
              <w:jc w:val="right"/>
              <w:rPr>
                <w:rFonts w:cstheme="minorHAnsi"/>
                <w:color w:val="000000"/>
                <w:sz w:val="16"/>
                <w:szCs w:val="16"/>
                <w:lang w:eastAsia="cs-CZ"/>
              </w:rPr>
            </w:pPr>
            <w:r>
              <w:rPr>
                <w:rFonts w:cstheme="minorHAnsi"/>
                <w:color w:val="000000"/>
                <w:sz w:val="16"/>
                <w:szCs w:val="16"/>
                <w:lang w:eastAsia="cs-CZ"/>
              </w:rPr>
              <w:t>416 46</w:t>
            </w:r>
            <w:r w:rsidR="00FA597E" w:rsidRPr="00A00444">
              <w:rPr>
                <w:rFonts w:cstheme="minorHAnsi"/>
                <w:color w:val="000000"/>
                <w:sz w:val="16"/>
                <w:szCs w:val="16"/>
                <w:lang w:eastAsia="cs-CZ"/>
              </w:rPr>
              <w:t>7</w:t>
            </w:r>
          </w:p>
        </w:tc>
        <w:tc>
          <w:tcPr>
            <w:tcW w:w="395" w:type="pct"/>
            <w:tcBorders>
              <w:top w:val="nil"/>
              <w:left w:val="nil"/>
              <w:bottom w:val="single" w:sz="4" w:space="0" w:color="auto"/>
              <w:right w:val="single" w:sz="4" w:space="0" w:color="auto"/>
            </w:tcBorders>
            <w:shd w:val="clear" w:color="000000" w:fill="FFFFFF"/>
            <w:noWrap/>
            <w:vAlign w:val="center"/>
            <w:hideMark/>
          </w:tcPr>
          <w:p w14:paraId="7ECC7D45" w14:textId="26443C5E" w:rsidR="00FA597E" w:rsidRPr="00A00444" w:rsidRDefault="00A00444" w:rsidP="00A00444">
            <w:pPr>
              <w:pStyle w:val="Odstavecseseznamem"/>
              <w:keepNext/>
              <w:spacing w:after="0"/>
              <w:ind w:left="-91" w:right="-35"/>
              <w:jc w:val="right"/>
              <w:rPr>
                <w:rFonts w:cstheme="minorHAnsi"/>
                <w:color w:val="000000"/>
                <w:sz w:val="16"/>
                <w:szCs w:val="16"/>
                <w:lang w:eastAsia="cs-CZ"/>
              </w:rPr>
            </w:pPr>
            <w:r>
              <w:rPr>
                <w:rFonts w:cstheme="minorHAnsi"/>
                <w:color w:val="000000"/>
                <w:sz w:val="16"/>
                <w:szCs w:val="16"/>
                <w:lang w:eastAsia="cs-CZ"/>
              </w:rPr>
              <w:t>434 503</w:t>
            </w:r>
          </w:p>
        </w:tc>
        <w:tc>
          <w:tcPr>
            <w:tcW w:w="375" w:type="pct"/>
            <w:tcBorders>
              <w:top w:val="nil"/>
              <w:left w:val="nil"/>
              <w:bottom w:val="single" w:sz="4" w:space="0" w:color="auto"/>
              <w:right w:val="single" w:sz="4" w:space="0" w:color="auto"/>
            </w:tcBorders>
            <w:shd w:val="clear" w:color="000000" w:fill="FFFFFF"/>
            <w:noWrap/>
            <w:vAlign w:val="center"/>
            <w:hideMark/>
          </w:tcPr>
          <w:p w14:paraId="05EEB961" w14:textId="00AB0928" w:rsidR="00FA597E" w:rsidRPr="00A00444" w:rsidRDefault="00A00444" w:rsidP="00A00444">
            <w:pPr>
              <w:keepNext/>
              <w:spacing w:after="0"/>
              <w:ind w:left="-91" w:right="-35"/>
              <w:jc w:val="right"/>
              <w:rPr>
                <w:rFonts w:cstheme="minorHAnsi"/>
                <w:color w:val="000000"/>
                <w:sz w:val="16"/>
                <w:szCs w:val="16"/>
                <w:lang w:eastAsia="cs-CZ"/>
              </w:rPr>
            </w:pPr>
            <w:r>
              <w:rPr>
                <w:rFonts w:cstheme="minorHAnsi"/>
                <w:color w:val="000000"/>
                <w:sz w:val="16"/>
                <w:szCs w:val="16"/>
                <w:lang w:eastAsia="cs-CZ"/>
              </w:rPr>
              <w:t>428 02</w:t>
            </w:r>
            <w:r w:rsidR="00FA597E" w:rsidRPr="00A00444">
              <w:rPr>
                <w:rFonts w:cstheme="minorHAnsi"/>
                <w:color w:val="000000"/>
                <w:sz w:val="16"/>
                <w:szCs w:val="16"/>
                <w:lang w:eastAsia="cs-CZ"/>
              </w:rPr>
              <w:t>5</w:t>
            </w:r>
          </w:p>
        </w:tc>
        <w:tc>
          <w:tcPr>
            <w:tcW w:w="395" w:type="pct"/>
            <w:tcBorders>
              <w:top w:val="nil"/>
              <w:left w:val="nil"/>
              <w:bottom w:val="single" w:sz="4" w:space="0" w:color="auto"/>
              <w:right w:val="single" w:sz="4" w:space="0" w:color="auto"/>
            </w:tcBorders>
            <w:shd w:val="clear" w:color="000000" w:fill="FFFFFF"/>
            <w:noWrap/>
            <w:vAlign w:val="center"/>
            <w:hideMark/>
          </w:tcPr>
          <w:p w14:paraId="324A74B6" w14:textId="27FB819B" w:rsidR="00FA597E" w:rsidRPr="00A00444" w:rsidRDefault="00A00444" w:rsidP="00A00444">
            <w:pPr>
              <w:keepNext/>
              <w:spacing w:after="0"/>
              <w:ind w:left="-91" w:right="-35"/>
              <w:jc w:val="right"/>
              <w:rPr>
                <w:rFonts w:cstheme="minorHAnsi"/>
                <w:color w:val="000000"/>
                <w:sz w:val="16"/>
                <w:szCs w:val="16"/>
                <w:lang w:eastAsia="cs-CZ"/>
              </w:rPr>
            </w:pPr>
            <w:r>
              <w:rPr>
                <w:rFonts w:cstheme="minorHAnsi"/>
                <w:color w:val="000000"/>
                <w:sz w:val="16"/>
                <w:szCs w:val="16"/>
                <w:lang w:eastAsia="cs-CZ"/>
              </w:rPr>
              <w:t>464 484</w:t>
            </w:r>
          </w:p>
        </w:tc>
        <w:tc>
          <w:tcPr>
            <w:tcW w:w="386" w:type="pct"/>
            <w:tcBorders>
              <w:top w:val="nil"/>
              <w:left w:val="nil"/>
              <w:bottom w:val="single" w:sz="4" w:space="0" w:color="auto"/>
              <w:right w:val="single" w:sz="4" w:space="0" w:color="auto"/>
            </w:tcBorders>
            <w:shd w:val="clear" w:color="000000" w:fill="FFFFFF"/>
            <w:noWrap/>
            <w:vAlign w:val="center"/>
            <w:hideMark/>
          </w:tcPr>
          <w:p w14:paraId="6D6C45FA" w14:textId="09874306" w:rsidR="00FA597E" w:rsidRPr="00A00444" w:rsidRDefault="00A00444" w:rsidP="00A00444">
            <w:pPr>
              <w:keepNext/>
              <w:spacing w:after="0"/>
              <w:ind w:left="-91" w:right="-35"/>
              <w:jc w:val="right"/>
              <w:rPr>
                <w:rFonts w:cstheme="minorHAnsi"/>
                <w:color w:val="000000"/>
                <w:sz w:val="16"/>
                <w:szCs w:val="16"/>
                <w:lang w:eastAsia="cs-CZ"/>
              </w:rPr>
            </w:pPr>
            <w:r>
              <w:rPr>
                <w:rFonts w:cstheme="minorHAnsi"/>
                <w:color w:val="000000"/>
                <w:sz w:val="16"/>
                <w:szCs w:val="16"/>
                <w:lang w:eastAsia="cs-CZ"/>
              </w:rPr>
              <w:t>533 889</w:t>
            </w:r>
          </w:p>
        </w:tc>
      </w:tr>
      <w:tr w:rsidR="00F912E1" w:rsidRPr="00C47E97" w14:paraId="4764D8C5" w14:textId="77777777" w:rsidTr="00F912E1">
        <w:trPr>
          <w:trHeight w:val="340"/>
        </w:trPr>
        <w:tc>
          <w:tcPr>
            <w:tcW w:w="1095" w:type="pct"/>
            <w:tcBorders>
              <w:top w:val="nil"/>
              <w:left w:val="single" w:sz="4" w:space="0" w:color="auto"/>
              <w:bottom w:val="single" w:sz="4" w:space="0" w:color="auto"/>
              <w:right w:val="single" w:sz="4" w:space="0" w:color="auto"/>
            </w:tcBorders>
            <w:shd w:val="clear" w:color="auto" w:fill="auto"/>
            <w:vAlign w:val="center"/>
            <w:hideMark/>
          </w:tcPr>
          <w:p w14:paraId="4C39F45C" w14:textId="53CA5287" w:rsidR="00FA597E" w:rsidRPr="00EB01A8" w:rsidRDefault="00F912E1" w:rsidP="00562DA8">
            <w:pPr>
              <w:keepNext/>
              <w:spacing w:after="0"/>
              <w:ind w:left="67" w:hanging="67"/>
              <w:contextualSpacing/>
              <w:rPr>
                <w:rFonts w:cstheme="minorHAnsi"/>
                <w:color w:val="000000"/>
                <w:sz w:val="16"/>
                <w:szCs w:val="16"/>
                <w:lang w:eastAsia="cs-CZ"/>
              </w:rPr>
            </w:pPr>
            <w:r>
              <w:rPr>
                <w:rFonts w:cstheme="minorHAnsi"/>
                <w:color w:val="000000"/>
                <w:sz w:val="16"/>
                <w:szCs w:val="16"/>
                <w:lang w:eastAsia="cs-CZ"/>
              </w:rPr>
              <w:t>–</w:t>
            </w:r>
            <w:r w:rsidR="00EB01A8">
              <w:rPr>
                <w:rFonts w:cstheme="minorHAnsi"/>
                <w:color w:val="000000"/>
                <w:sz w:val="16"/>
                <w:szCs w:val="16"/>
                <w:lang w:eastAsia="cs-CZ"/>
              </w:rPr>
              <w:t xml:space="preserve"> </w:t>
            </w:r>
            <w:r w:rsidR="00FA597E" w:rsidRPr="00EB01A8">
              <w:rPr>
                <w:rFonts w:cstheme="minorHAnsi"/>
                <w:color w:val="000000"/>
                <w:sz w:val="16"/>
                <w:szCs w:val="16"/>
                <w:lang w:eastAsia="cs-CZ"/>
              </w:rPr>
              <w:t xml:space="preserve">z toho inkaso za NACE </w:t>
            </w:r>
            <w:r>
              <w:rPr>
                <w:rFonts w:cstheme="minorHAnsi"/>
                <w:color w:val="000000"/>
                <w:sz w:val="16"/>
                <w:szCs w:val="16"/>
                <w:lang w:eastAsia="cs-CZ"/>
              </w:rPr>
              <w:br/>
              <w:t xml:space="preserve"> </w:t>
            </w:r>
            <w:r w:rsidR="00FA597E" w:rsidRPr="00EB01A8">
              <w:rPr>
                <w:rFonts w:cstheme="minorHAnsi"/>
                <w:color w:val="000000"/>
                <w:sz w:val="16"/>
                <w:szCs w:val="16"/>
                <w:lang w:eastAsia="cs-CZ"/>
              </w:rPr>
              <w:t>1.</w:t>
            </w:r>
            <w:r w:rsidR="00EB01A8">
              <w:rPr>
                <w:rFonts w:cstheme="minorHAnsi"/>
                <w:color w:val="000000"/>
                <w:sz w:val="16"/>
                <w:szCs w:val="16"/>
                <w:lang w:eastAsia="cs-CZ"/>
              </w:rPr>
              <w:t> </w:t>
            </w:r>
            <w:r w:rsidR="00FA597E" w:rsidRPr="00EB01A8">
              <w:rPr>
                <w:rFonts w:cstheme="minorHAnsi"/>
                <w:color w:val="000000"/>
                <w:sz w:val="16"/>
                <w:szCs w:val="16"/>
                <w:lang w:eastAsia="cs-CZ"/>
              </w:rPr>
              <w:t>a</w:t>
            </w:r>
            <w:r w:rsidR="00A00444">
              <w:rPr>
                <w:rFonts w:cstheme="minorHAnsi"/>
                <w:color w:val="000000"/>
                <w:sz w:val="16"/>
                <w:szCs w:val="16"/>
                <w:lang w:eastAsia="cs-CZ"/>
              </w:rPr>
              <w:t> </w:t>
            </w:r>
            <w:r w:rsidR="00FA597E" w:rsidRPr="00EB01A8">
              <w:rPr>
                <w:rFonts w:cstheme="minorHAnsi"/>
                <w:color w:val="000000"/>
                <w:sz w:val="16"/>
                <w:szCs w:val="16"/>
                <w:lang w:eastAsia="cs-CZ"/>
              </w:rPr>
              <w:t>2. vlny EET</w:t>
            </w:r>
          </w:p>
        </w:tc>
        <w:tc>
          <w:tcPr>
            <w:tcW w:w="376" w:type="pct"/>
            <w:tcBorders>
              <w:top w:val="nil"/>
              <w:left w:val="nil"/>
              <w:bottom w:val="single" w:sz="4" w:space="0" w:color="auto"/>
              <w:right w:val="single" w:sz="4" w:space="0" w:color="auto"/>
            </w:tcBorders>
            <w:shd w:val="clear" w:color="auto" w:fill="auto"/>
            <w:vAlign w:val="center"/>
            <w:hideMark/>
          </w:tcPr>
          <w:p w14:paraId="66604CCE" w14:textId="13CCF8E3" w:rsidR="00FA597E" w:rsidRPr="00EB01A8" w:rsidRDefault="00FA597E" w:rsidP="00EB01A8">
            <w:pPr>
              <w:keepNext/>
              <w:spacing w:after="0"/>
              <w:jc w:val="right"/>
              <w:rPr>
                <w:rFonts w:cstheme="minorHAnsi"/>
                <w:color w:val="000000"/>
                <w:sz w:val="16"/>
                <w:szCs w:val="16"/>
                <w:lang w:eastAsia="cs-CZ"/>
              </w:rPr>
            </w:pPr>
          </w:p>
        </w:tc>
        <w:tc>
          <w:tcPr>
            <w:tcW w:w="395" w:type="pct"/>
            <w:tcBorders>
              <w:top w:val="nil"/>
              <w:left w:val="nil"/>
              <w:bottom w:val="single" w:sz="4" w:space="0" w:color="auto"/>
              <w:right w:val="single" w:sz="4" w:space="0" w:color="auto"/>
            </w:tcBorders>
            <w:shd w:val="clear" w:color="auto" w:fill="auto"/>
            <w:vAlign w:val="center"/>
            <w:hideMark/>
          </w:tcPr>
          <w:p w14:paraId="176F5D72" w14:textId="3974C8E6" w:rsidR="00FA597E" w:rsidRPr="00EB01A8" w:rsidRDefault="00FA597E" w:rsidP="00EB01A8">
            <w:pPr>
              <w:keepNext/>
              <w:spacing w:after="0"/>
              <w:jc w:val="right"/>
              <w:rPr>
                <w:rFonts w:cstheme="minorHAnsi"/>
                <w:color w:val="000000"/>
                <w:sz w:val="16"/>
                <w:szCs w:val="16"/>
                <w:lang w:eastAsia="cs-CZ"/>
              </w:rPr>
            </w:pPr>
          </w:p>
        </w:tc>
        <w:tc>
          <w:tcPr>
            <w:tcW w:w="395" w:type="pct"/>
            <w:tcBorders>
              <w:top w:val="nil"/>
              <w:left w:val="nil"/>
              <w:bottom w:val="single" w:sz="4" w:space="0" w:color="auto"/>
              <w:right w:val="single" w:sz="4" w:space="0" w:color="auto"/>
            </w:tcBorders>
            <w:shd w:val="clear" w:color="auto" w:fill="auto"/>
            <w:vAlign w:val="center"/>
            <w:hideMark/>
          </w:tcPr>
          <w:p w14:paraId="26609364" w14:textId="504BEE61" w:rsidR="00FA597E" w:rsidRPr="00EB01A8" w:rsidRDefault="00FA597E" w:rsidP="00EB01A8">
            <w:pPr>
              <w:keepNext/>
              <w:spacing w:after="0"/>
              <w:jc w:val="right"/>
              <w:rPr>
                <w:rFonts w:cstheme="minorHAnsi"/>
                <w:color w:val="000000"/>
                <w:sz w:val="16"/>
                <w:szCs w:val="16"/>
                <w:lang w:eastAsia="cs-CZ"/>
              </w:rPr>
            </w:pPr>
          </w:p>
        </w:tc>
        <w:tc>
          <w:tcPr>
            <w:tcW w:w="395" w:type="pct"/>
            <w:tcBorders>
              <w:top w:val="nil"/>
              <w:left w:val="nil"/>
              <w:bottom w:val="single" w:sz="4" w:space="0" w:color="auto"/>
              <w:right w:val="single" w:sz="4" w:space="0" w:color="auto"/>
            </w:tcBorders>
            <w:shd w:val="clear" w:color="000000" w:fill="FFFFFF"/>
            <w:noWrap/>
            <w:vAlign w:val="center"/>
            <w:hideMark/>
          </w:tcPr>
          <w:p w14:paraId="620326E9" w14:textId="77777777" w:rsidR="00FA597E" w:rsidRPr="00EB01A8" w:rsidRDefault="00FA597E" w:rsidP="00EB01A8">
            <w:pPr>
              <w:keepNext/>
              <w:spacing w:after="0"/>
              <w:jc w:val="right"/>
              <w:rPr>
                <w:rFonts w:cstheme="minorHAnsi"/>
                <w:color w:val="000000"/>
                <w:sz w:val="16"/>
                <w:szCs w:val="16"/>
                <w:lang w:eastAsia="cs-CZ"/>
              </w:rPr>
            </w:pPr>
            <w:r w:rsidRPr="00EB01A8">
              <w:rPr>
                <w:rFonts w:cstheme="minorHAnsi"/>
                <w:color w:val="000000"/>
                <w:sz w:val="16"/>
                <w:szCs w:val="16"/>
                <w:lang w:eastAsia="cs-CZ"/>
              </w:rPr>
              <w:t>102 359</w:t>
            </w:r>
          </w:p>
        </w:tc>
        <w:tc>
          <w:tcPr>
            <w:tcW w:w="395" w:type="pct"/>
            <w:tcBorders>
              <w:top w:val="nil"/>
              <w:left w:val="nil"/>
              <w:bottom w:val="single" w:sz="4" w:space="0" w:color="auto"/>
              <w:right w:val="single" w:sz="4" w:space="0" w:color="auto"/>
            </w:tcBorders>
            <w:shd w:val="clear" w:color="000000" w:fill="FFFFFF"/>
            <w:noWrap/>
            <w:vAlign w:val="center"/>
            <w:hideMark/>
          </w:tcPr>
          <w:p w14:paraId="2DF8B2B4" w14:textId="77777777" w:rsidR="00FA597E" w:rsidRPr="00EB01A8" w:rsidRDefault="00FA597E" w:rsidP="00A00444">
            <w:pPr>
              <w:keepNext/>
              <w:spacing w:after="0"/>
              <w:ind w:left="-91" w:right="-35"/>
              <w:jc w:val="right"/>
              <w:rPr>
                <w:rFonts w:cstheme="minorHAnsi"/>
                <w:color w:val="000000"/>
                <w:sz w:val="16"/>
                <w:szCs w:val="16"/>
                <w:lang w:eastAsia="cs-CZ"/>
              </w:rPr>
            </w:pPr>
            <w:r w:rsidRPr="00EB01A8">
              <w:rPr>
                <w:rFonts w:cstheme="minorHAnsi"/>
                <w:color w:val="000000"/>
                <w:sz w:val="16"/>
                <w:szCs w:val="16"/>
                <w:lang w:eastAsia="cs-CZ"/>
              </w:rPr>
              <w:t>103 825</w:t>
            </w:r>
          </w:p>
        </w:tc>
        <w:tc>
          <w:tcPr>
            <w:tcW w:w="395" w:type="pct"/>
            <w:tcBorders>
              <w:top w:val="nil"/>
              <w:left w:val="nil"/>
              <w:bottom w:val="single" w:sz="4" w:space="0" w:color="auto"/>
              <w:right w:val="single" w:sz="4" w:space="0" w:color="auto"/>
            </w:tcBorders>
            <w:shd w:val="clear" w:color="000000" w:fill="FFFFFF"/>
            <w:noWrap/>
            <w:vAlign w:val="center"/>
            <w:hideMark/>
          </w:tcPr>
          <w:p w14:paraId="38EC791C" w14:textId="77777777" w:rsidR="00FA597E" w:rsidRPr="00EB01A8" w:rsidRDefault="00FA597E" w:rsidP="00A00444">
            <w:pPr>
              <w:keepNext/>
              <w:spacing w:after="0"/>
              <w:ind w:left="-91" w:right="-35"/>
              <w:jc w:val="right"/>
              <w:rPr>
                <w:rFonts w:cstheme="minorHAnsi"/>
                <w:color w:val="000000"/>
                <w:sz w:val="16"/>
                <w:szCs w:val="16"/>
                <w:lang w:eastAsia="cs-CZ"/>
              </w:rPr>
            </w:pPr>
            <w:r w:rsidRPr="00EB01A8">
              <w:rPr>
                <w:rFonts w:cstheme="minorHAnsi"/>
                <w:color w:val="000000"/>
                <w:sz w:val="16"/>
                <w:szCs w:val="16"/>
                <w:lang w:eastAsia="cs-CZ"/>
              </w:rPr>
              <w:t>117 419</w:t>
            </w:r>
          </w:p>
        </w:tc>
        <w:tc>
          <w:tcPr>
            <w:tcW w:w="395" w:type="pct"/>
            <w:tcBorders>
              <w:top w:val="nil"/>
              <w:left w:val="nil"/>
              <w:bottom w:val="single" w:sz="4" w:space="0" w:color="auto"/>
              <w:right w:val="single" w:sz="4" w:space="0" w:color="auto"/>
            </w:tcBorders>
            <w:shd w:val="clear" w:color="000000" w:fill="FFFFFF"/>
            <w:noWrap/>
            <w:vAlign w:val="center"/>
            <w:hideMark/>
          </w:tcPr>
          <w:p w14:paraId="62EEF937" w14:textId="77777777" w:rsidR="00FA597E" w:rsidRPr="00EB01A8" w:rsidRDefault="00FA597E" w:rsidP="00A00444">
            <w:pPr>
              <w:keepNext/>
              <w:spacing w:after="0"/>
              <w:ind w:left="-91" w:right="-35"/>
              <w:jc w:val="right"/>
              <w:rPr>
                <w:rFonts w:cstheme="minorHAnsi"/>
                <w:color w:val="000000"/>
                <w:sz w:val="16"/>
                <w:szCs w:val="16"/>
                <w:lang w:eastAsia="cs-CZ"/>
              </w:rPr>
            </w:pPr>
            <w:r w:rsidRPr="00EB01A8">
              <w:rPr>
                <w:rFonts w:cstheme="minorHAnsi"/>
                <w:color w:val="000000"/>
                <w:sz w:val="16"/>
                <w:szCs w:val="16"/>
                <w:lang w:eastAsia="cs-CZ"/>
              </w:rPr>
              <w:t>119 101</w:t>
            </w:r>
          </w:p>
        </w:tc>
        <w:tc>
          <w:tcPr>
            <w:tcW w:w="375" w:type="pct"/>
            <w:tcBorders>
              <w:top w:val="nil"/>
              <w:left w:val="nil"/>
              <w:bottom w:val="single" w:sz="4" w:space="0" w:color="auto"/>
              <w:right w:val="single" w:sz="4" w:space="0" w:color="auto"/>
            </w:tcBorders>
            <w:shd w:val="clear" w:color="000000" w:fill="FFFFFF"/>
            <w:noWrap/>
            <w:vAlign w:val="center"/>
            <w:hideMark/>
          </w:tcPr>
          <w:p w14:paraId="04DBAF37" w14:textId="77777777" w:rsidR="00FA597E" w:rsidRPr="00EB01A8" w:rsidRDefault="00FA597E" w:rsidP="00A00444">
            <w:pPr>
              <w:keepNext/>
              <w:spacing w:after="0"/>
              <w:ind w:left="-91" w:right="-35"/>
              <w:jc w:val="right"/>
              <w:rPr>
                <w:rFonts w:cstheme="minorHAnsi"/>
                <w:color w:val="000000"/>
                <w:sz w:val="16"/>
                <w:szCs w:val="16"/>
                <w:lang w:eastAsia="cs-CZ"/>
              </w:rPr>
            </w:pPr>
            <w:r w:rsidRPr="00EB01A8">
              <w:rPr>
                <w:rFonts w:cstheme="minorHAnsi"/>
                <w:color w:val="000000"/>
                <w:sz w:val="16"/>
                <w:szCs w:val="16"/>
                <w:lang w:eastAsia="cs-CZ"/>
              </w:rPr>
              <w:t>117 001</w:t>
            </w:r>
          </w:p>
        </w:tc>
        <w:tc>
          <w:tcPr>
            <w:tcW w:w="395" w:type="pct"/>
            <w:tcBorders>
              <w:top w:val="nil"/>
              <w:left w:val="nil"/>
              <w:bottom w:val="single" w:sz="4" w:space="0" w:color="auto"/>
              <w:right w:val="single" w:sz="4" w:space="0" w:color="auto"/>
            </w:tcBorders>
            <w:shd w:val="clear" w:color="000000" w:fill="FFFFFF"/>
            <w:noWrap/>
            <w:vAlign w:val="center"/>
            <w:hideMark/>
          </w:tcPr>
          <w:p w14:paraId="7ADD8A99" w14:textId="77777777" w:rsidR="00FA597E" w:rsidRPr="00EB01A8" w:rsidRDefault="00FA597E" w:rsidP="00A00444">
            <w:pPr>
              <w:keepNext/>
              <w:spacing w:after="0"/>
              <w:ind w:left="-91" w:right="-35"/>
              <w:jc w:val="right"/>
              <w:rPr>
                <w:rFonts w:cstheme="minorHAnsi"/>
                <w:color w:val="000000"/>
                <w:sz w:val="16"/>
                <w:szCs w:val="16"/>
                <w:lang w:eastAsia="cs-CZ"/>
              </w:rPr>
            </w:pPr>
            <w:r w:rsidRPr="00EB01A8">
              <w:rPr>
                <w:rFonts w:cstheme="minorHAnsi"/>
                <w:color w:val="000000"/>
                <w:sz w:val="16"/>
                <w:szCs w:val="16"/>
                <w:lang w:eastAsia="cs-CZ"/>
              </w:rPr>
              <w:t>128 406</w:t>
            </w:r>
          </w:p>
        </w:tc>
        <w:tc>
          <w:tcPr>
            <w:tcW w:w="386" w:type="pct"/>
            <w:tcBorders>
              <w:top w:val="nil"/>
              <w:left w:val="nil"/>
              <w:bottom w:val="single" w:sz="4" w:space="0" w:color="auto"/>
              <w:right w:val="single" w:sz="4" w:space="0" w:color="auto"/>
            </w:tcBorders>
            <w:shd w:val="clear" w:color="000000" w:fill="FFFFFF"/>
            <w:noWrap/>
            <w:vAlign w:val="center"/>
            <w:hideMark/>
          </w:tcPr>
          <w:p w14:paraId="201B0393" w14:textId="77777777" w:rsidR="00FA597E" w:rsidRPr="00EB01A8" w:rsidRDefault="00FA597E" w:rsidP="00A00444">
            <w:pPr>
              <w:keepNext/>
              <w:spacing w:after="0"/>
              <w:ind w:left="-91" w:right="-35"/>
              <w:jc w:val="right"/>
              <w:rPr>
                <w:rFonts w:cstheme="minorHAnsi"/>
                <w:color w:val="000000"/>
                <w:sz w:val="16"/>
                <w:szCs w:val="16"/>
                <w:lang w:eastAsia="cs-CZ"/>
              </w:rPr>
            </w:pPr>
            <w:r w:rsidRPr="00EB01A8">
              <w:rPr>
                <w:rFonts w:cstheme="minorHAnsi"/>
                <w:color w:val="000000"/>
                <w:sz w:val="16"/>
                <w:szCs w:val="16"/>
                <w:lang w:eastAsia="cs-CZ"/>
              </w:rPr>
              <w:t>145 814</w:t>
            </w:r>
          </w:p>
        </w:tc>
      </w:tr>
    </w:tbl>
    <w:p w14:paraId="2138B12C" w14:textId="31872040" w:rsidR="00507EF8" w:rsidRPr="00562DA8" w:rsidRDefault="00FA597E" w:rsidP="00562DA8">
      <w:pPr>
        <w:spacing w:after="0"/>
        <w:ind w:left="567" w:hanging="567"/>
        <w:jc w:val="both"/>
        <w:rPr>
          <w:rFonts w:eastAsia="Calibri" w:cstheme="minorHAnsi"/>
          <w:iCs/>
          <w:sz w:val="20"/>
          <w:szCs w:val="20"/>
        </w:rPr>
      </w:pPr>
      <w:r w:rsidRPr="00562DA8">
        <w:rPr>
          <w:rFonts w:eastAsia="Calibri" w:cstheme="minorHAnsi"/>
          <w:b/>
          <w:bCs/>
          <w:iCs/>
          <w:sz w:val="20"/>
          <w:szCs w:val="20"/>
        </w:rPr>
        <w:t>Zdroj:</w:t>
      </w:r>
      <w:r w:rsidRPr="00562DA8">
        <w:rPr>
          <w:rFonts w:eastAsia="Calibri" w:cstheme="minorHAnsi"/>
          <w:iCs/>
          <w:sz w:val="20"/>
          <w:szCs w:val="20"/>
        </w:rPr>
        <w:t xml:space="preserve"> </w:t>
      </w:r>
      <w:r w:rsidR="00F912E1">
        <w:rPr>
          <w:rFonts w:eastAsia="Calibri" w:cstheme="minorHAnsi"/>
          <w:iCs/>
          <w:sz w:val="20"/>
          <w:szCs w:val="20"/>
        </w:rPr>
        <w:tab/>
      </w:r>
      <w:r w:rsidRPr="00562DA8">
        <w:rPr>
          <w:rFonts w:eastAsia="Calibri" w:cstheme="minorHAnsi"/>
          <w:iCs/>
          <w:sz w:val="20"/>
          <w:szCs w:val="20"/>
        </w:rPr>
        <w:t>GFŘ, webové stránky FS ČR (rok</w:t>
      </w:r>
      <w:r w:rsidR="007A0F1A">
        <w:rPr>
          <w:rFonts w:eastAsia="Calibri" w:cstheme="minorHAnsi"/>
          <w:iCs/>
          <w:sz w:val="20"/>
          <w:szCs w:val="20"/>
        </w:rPr>
        <w:t>y</w:t>
      </w:r>
      <w:r w:rsidRPr="00562DA8">
        <w:rPr>
          <w:rFonts w:eastAsia="Calibri" w:cstheme="minorHAnsi"/>
          <w:iCs/>
          <w:sz w:val="20"/>
          <w:szCs w:val="20"/>
        </w:rPr>
        <w:t xml:space="preserve"> 2013</w:t>
      </w:r>
      <w:r w:rsidR="007A0F1A">
        <w:rPr>
          <w:rFonts w:eastAsia="Calibri" w:cstheme="minorHAnsi"/>
          <w:iCs/>
          <w:sz w:val="20"/>
          <w:szCs w:val="20"/>
        </w:rPr>
        <w:t>–</w:t>
      </w:r>
      <w:r w:rsidRPr="00562DA8">
        <w:rPr>
          <w:rFonts w:eastAsia="Calibri" w:cstheme="minorHAnsi"/>
          <w:iCs/>
          <w:sz w:val="20"/>
          <w:szCs w:val="20"/>
        </w:rPr>
        <w:t xml:space="preserve">2015). </w:t>
      </w:r>
    </w:p>
    <w:p w14:paraId="02DCEA84" w14:textId="13C59844" w:rsidR="00FA597E" w:rsidRPr="00562DA8" w:rsidRDefault="00FA597E" w:rsidP="00562DA8">
      <w:pPr>
        <w:ind w:left="567" w:hanging="567"/>
        <w:jc w:val="both"/>
        <w:rPr>
          <w:rFonts w:eastAsia="Calibri" w:cstheme="minorHAnsi"/>
          <w:iCs/>
          <w:sz w:val="20"/>
          <w:szCs w:val="20"/>
        </w:rPr>
      </w:pPr>
      <w:r w:rsidRPr="00562DA8">
        <w:rPr>
          <w:rFonts w:eastAsia="Calibri" w:cstheme="minorHAnsi"/>
          <w:b/>
          <w:bCs/>
          <w:iCs/>
          <w:sz w:val="20"/>
          <w:szCs w:val="20"/>
        </w:rPr>
        <w:t>Pozn.</w:t>
      </w:r>
      <w:r w:rsidR="00A00444" w:rsidRPr="00562DA8">
        <w:rPr>
          <w:rFonts w:eastAsia="Calibri" w:cstheme="minorHAnsi"/>
          <w:b/>
          <w:bCs/>
          <w:iCs/>
          <w:sz w:val="20"/>
          <w:szCs w:val="20"/>
        </w:rPr>
        <w:t>:</w:t>
      </w:r>
      <w:r w:rsidRPr="00562DA8">
        <w:rPr>
          <w:rFonts w:eastAsia="Calibri" w:cstheme="minorHAnsi"/>
          <w:iCs/>
          <w:sz w:val="20"/>
          <w:szCs w:val="20"/>
        </w:rPr>
        <w:t xml:space="preserve"> </w:t>
      </w:r>
      <w:r w:rsidR="00F912E1">
        <w:rPr>
          <w:rFonts w:eastAsia="Calibri" w:cstheme="minorHAnsi"/>
          <w:iCs/>
          <w:sz w:val="20"/>
          <w:szCs w:val="20"/>
        </w:rPr>
        <w:tab/>
      </w:r>
      <w:r w:rsidR="007A0F1A">
        <w:rPr>
          <w:rFonts w:eastAsia="Calibri" w:cstheme="minorHAnsi"/>
          <w:iCs/>
          <w:sz w:val="20"/>
          <w:szCs w:val="20"/>
        </w:rPr>
        <w:t>K</w:t>
      </w:r>
      <w:r w:rsidRPr="00562DA8">
        <w:rPr>
          <w:rFonts w:eastAsia="Calibri" w:cstheme="minorHAnsi"/>
          <w:iCs/>
          <w:sz w:val="20"/>
          <w:szCs w:val="20"/>
        </w:rPr>
        <w:t xml:space="preserve">ódy NACE zjistilo </w:t>
      </w:r>
      <w:r w:rsidR="007A0F1A" w:rsidRPr="00BD400E">
        <w:rPr>
          <w:rFonts w:eastAsia="Calibri" w:cstheme="minorHAnsi"/>
          <w:iCs/>
          <w:sz w:val="20"/>
          <w:szCs w:val="20"/>
        </w:rPr>
        <w:t xml:space="preserve">GFŘ </w:t>
      </w:r>
      <w:r w:rsidRPr="00562DA8">
        <w:rPr>
          <w:rFonts w:eastAsia="Calibri" w:cstheme="minorHAnsi"/>
          <w:iCs/>
          <w:sz w:val="20"/>
          <w:szCs w:val="20"/>
        </w:rPr>
        <w:t>z aktuálního stavu registru subjektů</w:t>
      </w:r>
      <w:r w:rsidR="007A0F1A">
        <w:rPr>
          <w:rFonts w:eastAsia="Calibri" w:cstheme="minorHAnsi"/>
          <w:iCs/>
          <w:sz w:val="20"/>
          <w:szCs w:val="20"/>
        </w:rPr>
        <w:t>,</w:t>
      </w:r>
      <w:r w:rsidRPr="00562DA8">
        <w:rPr>
          <w:rFonts w:eastAsia="Calibri" w:cstheme="minorHAnsi"/>
          <w:iCs/>
          <w:sz w:val="20"/>
          <w:szCs w:val="20"/>
        </w:rPr>
        <w:t xml:space="preserve"> zadaná činnost </w:t>
      </w:r>
      <w:r w:rsidR="007A0F1A">
        <w:rPr>
          <w:rFonts w:eastAsia="Calibri" w:cstheme="minorHAnsi"/>
          <w:iCs/>
          <w:sz w:val="20"/>
          <w:szCs w:val="20"/>
        </w:rPr>
        <w:t xml:space="preserve">však </w:t>
      </w:r>
      <w:r w:rsidRPr="00562DA8">
        <w:rPr>
          <w:rFonts w:eastAsia="Calibri" w:cstheme="minorHAnsi"/>
          <w:iCs/>
          <w:sz w:val="20"/>
          <w:szCs w:val="20"/>
        </w:rPr>
        <w:t>nemusí plně odpovídat realitě, neboť jde o činnost, kterou subjekt uvádí při registraci.</w:t>
      </w:r>
    </w:p>
    <w:p w14:paraId="5AB298DE" w14:textId="77777777" w:rsidR="00EB01A8" w:rsidRDefault="00EB01A8" w:rsidP="00562DA8">
      <w:pPr>
        <w:spacing w:line="240" w:lineRule="auto"/>
        <w:jc w:val="both"/>
        <w:rPr>
          <w:rFonts w:eastAsia="Calibri" w:cstheme="minorHAnsi"/>
          <w:sz w:val="24"/>
          <w:szCs w:val="24"/>
        </w:rPr>
      </w:pPr>
    </w:p>
    <w:p w14:paraId="701D8179" w14:textId="0E3D933E" w:rsidR="00B616DC" w:rsidRPr="00562DA8" w:rsidRDefault="00B616DC" w:rsidP="00D2282E">
      <w:pPr>
        <w:spacing w:after="0" w:line="240" w:lineRule="auto"/>
        <w:jc w:val="both"/>
        <w:rPr>
          <w:rFonts w:eastAsia="Calibri" w:cstheme="minorHAnsi"/>
          <w:b/>
          <w:bCs/>
          <w:sz w:val="24"/>
          <w:szCs w:val="24"/>
        </w:rPr>
      </w:pPr>
      <w:r w:rsidRPr="00562DA8">
        <w:rPr>
          <w:rFonts w:eastAsia="Calibri" w:cstheme="minorHAnsi"/>
          <w:b/>
          <w:bCs/>
          <w:sz w:val="24"/>
          <w:szCs w:val="24"/>
        </w:rPr>
        <w:t xml:space="preserve">Tabulka č. </w:t>
      </w:r>
      <w:r w:rsidR="002B6460" w:rsidRPr="00562DA8">
        <w:rPr>
          <w:rFonts w:eastAsia="Calibri" w:cstheme="minorHAnsi"/>
          <w:b/>
          <w:bCs/>
          <w:sz w:val="24"/>
          <w:szCs w:val="24"/>
        </w:rPr>
        <w:t>5</w:t>
      </w:r>
      <w:r w:rsidR="007A0F1A" w:rsidRPr="00562DA8">
        <w:rPr>
          <w:rFonts w:eastAsia="Calibri" w:cstheme="minorHAnsi"/>
          <w:b/>
          <w:bCs/>
          <w:sz w:val="24"/>
          <w:szCs w:val="24"/>
        </w:rPr>
        <w:t>:</w:t>
      </w:r>
      <w:r w:rsidRPr="00562DA8">
        <w:rPr>
          <w:rFonts w:eastAsia="Calibri" w:cstheme="minorHAnsi"/>
          <w:b/>
          <w:bCs/>
          <w:sz w:val="24"/>
          <w:szCs w:val="24"/>
        </w:rPr>
        <w:t xml:space="preserve"> Počet </w:t>
      </w:r>
      <w:r w:rsidR="007A0F1A" w:rsidRPr="00EB6766">
        <w:rPr>
          <w:rFonts w:eastAsia="Calibri" w:cstheme="minorHAnsi"/>
          <w:b/>
          <w:bCs/>
          <w:sz w:val="24"/>
          <w:szCs w:val="24"/>
        </w:rPr>
        <w:t xml:space="preserve">subjektů </w:t>
      </w:r>
      <w:r w:rsidRPr="00562DA8">
        <w:rPr>
          <w:rFonts w:eastAsia="Calibri" w:cstheme="minorHAnsi"/>
          <w:b/>
          <w:bCs/>
          <w:sz w:val="24"/>
          <w:szCs w:val="24"/>
        </w:rPr>
        <w:t>registrovaných k DPH z důvodu překročení limitu</w:t>
      </w:r>
    </w:p>
    <w:tbl>
      <w:tblPr>
        <w:tblW w:w="9077" w:type="dxa"/>
        <w:tblInd w:w="-5" w:type="dxa"/>
        <w:tblCellMar>
          <w:left w:w="70" w:type="dxa"/>
          <w:right w:w="70" w:type="dxa"/>
        </w:tblCellMar>
        <w:tblLook w:val="04A0" w:firstRow="1" w:lastRow="0" w:firstColumn="1" w:lastColumn="0" w:noHBand="0" w:noVBand="1"/>
      </w:tblPr>
      <w:tblGrid>
        <w:gridCol w:w="1700"/>
        <w:gridCol w:w="907"/>
        <w:gridCol w:w="924"/>
        <w:gridCol w:w="924"/>
        <w:gridCol w:w="925"/>
        <w:gridCol w:w="924"/>
        <w:gridCol w:w="924"/>
        <w:gridCol w:w="924"/>
        <w:gridCol w:w="925"/>
      </w:tblGrid>
      <w:tr w:rsidR="00B616DC" w:rsidRPr="00C47E97" w14:paraId="06B746F7" w14:textId="77777777" w:rsidTr="00562DA8">
        <w:trPr>
          <w:trHeight w:val="397"/>
        </w:trPr>
        <w:tc>
          <w:tcPr>
            <w:tcW w:w="1700" w:type="dxa"/>
            <w:tcBorders>
              <w:top w:val="single" w:sz="4" w:space="0" w:color="auto"/>
              <w:left w:val="single" w:sz="4" w:space="0" w:color="auto"/>
              <w:bottom w:val="single" w:sz="4" w:space="0" w:color="auto"/>
              <w:right w:val="single" w:sz="4" w:space="0" w:color="auto"/>
            </w:tcBorders>
            <w:shd w:val="clear" w:color="000000" w:fill="E5F1FF"/>
            <w:vAlign w:val="center"/>
            <w:hideMark/>
          </w:tcPr>
          <w:p w14:paraId="36FCEFA7" w14:textId="77777777" w:rsidR="00B616DC" w:rsidRPr="00C47E97" w:rsidRDefault="00B616DC" w:rsidP="007A0F1A">
            <w:pPr>
              <w:spacing w:after="0" w:line="240" w:lineRule="auto"/>
              <w:contextualSpacing/>
              <w:jc w:val="center"/>
              <w:rPr>
                <w:rFonts w:cstheme="minorHAnsi"/>
                <w:b/>
                <w:sz w:val="18"/>
                <w:szCs w:val="18"/>
              </w:rPr>
            </w:pPr>
            <w:r w:rsidRPr="00C47E97">
              <w:rPr>
                <w:rFonts w:cstheme="minorHAnsi"/>
                <w:b/>
                <w:sz w:val="18"/>
                <w:szCs w:val="18"/>
              </w:rPr>
              <w:t>Rok registrace</w:t>
            </w:r>
          </w:p>
        </w:tc>
        <w:tc>
          <w:tcPr>
            <w:tcW w:w="907" w:type="dxa"/>
            <w:tcBorders>
              <w:top w:val="single" w:sz="4" w:space="0" w:color="auto"/>
              <w:left w:val="nil"/>
              <w:bottom w:val="single" w:sz="4" w:space="0" w:color="auto"/>
              <w:right w:val="single" w:sz="4" w:space="0" w:color="auto"/>
            </w:tcBorders>
            <w:shd w:val="clear" w:color="000000" w:fill="FFFFFF"/>
            <w:vAlign w:val="center"/>
            <w:hideMark/>
          </w:tcPr>
          <w:p w14:paraId="2082AB6B" w14:textId="77777777" w:rsidR="00B616DC" w:rsidRPr="00C47E97" w:rsidRDefault="00B616DC" w:rsidP="007A0F1A">
            <w:pPr>
              <w:spacing w:after="0" w:line="240" w:lineRule="auto"/>
              <w:contextualSpacing/>
              <w:jc w:val="center"/>
              <w:rPr>
                <w:rFonts w:cstheme="minorHAnsi"/>
                <w:b/>
                <w:sz w:val="18"/>
                <w:szCs w:val="18"/>
              </w:rPr>
            </w:pPr>
            <w:r w:rsidRPr="00C47E97">
              <w:rPr>
                <w:rFonts w:cstheme="minorHAnsi"/>
                <w:b/>
                <w:sz w:val="18"/>
                <w:szCs w:val="18"/>
              </w:rPr>
              <w:t>2015</w:t>
            </w:r>
          </w:p>
        </w:tc>
        <w:tc>
          <w:tcPr>
            <w:tcW w:w="924" w:type="dxa"/>
            <w:tcBorders>
              <w:top w:val="single" w:sz="4" w:space="0" w:color="auto"/>
              <w:left w:val="nil"/>
              <w:bottom w:val="single" w:sz="4" w:space="0" w:color="auto"/>
              <w:right w:val="single" w:sz="4" w:space="0" w:color="auto"/>
            </w:tcBorders>
            <w:shd w:val="clear" w:color="000000" w:fill="FFFFFF"/>
            <w:vAlign w:val="center"/>
            <w:hideMark/>
          </w:tcPr>
          <w:p w14:paraId="4FF6E1DD" w14:textId="77777777" w:rsidR="00B616DC" w:rsidRPr="00C47E97" w:rsidRDefault="00B616DC" w:rsidP="007A0F1A">
            <w:pPr>
              <w:spacing w:after="0" w:line="240" w:lineRule="auto"/>
              <w:contextualSpacing/>
              <w:jc w:val="center"/>
              <w:rPr>
                <w:rFonts w:cstheme="minorHAnsi"/>
                <w:b/>
                <w:sz w:val="18"/>
                <w:szCs w:val="18"/>
              </w:rPr>
            </w:pPr>
            <w:r w:rsidRPr="00C47E97">
              <w:rPr>
                <w:rFonts w:cstheme="minorHAnsi"/>
                <w:b/>
                <w:sz w:val="18"/>
                <w:szCs w:val="18"/>
              </w:rPr>
              <w:t>2016</w:t>
            </w:r>
          </w:p>
        </w:tc>
        <w:tc>
          <w:tcPr>
            <w:tcW w:w="924" w:type="dxa"/>
            <w:tcBorders>
              <w:top w:val="single" w:sz="4" w:space="0" w:color="auto"/>
              <w:left w:val="nil"/>
              <w:bottom w:val="single" w:sz="4" w:space="0" w:color="auto"/>
              <w:right w:val="single" w:sz="4" w:space="0" w:color="auto"/>
            </w:tcBorders>
            <w:shd w:val="clear" w:color="000000" w:fill="FFFFFF"/>
            <w:vAlign w:val="center"/>
            <w:hideMark/>
          </w:tcPr>
          <w:p w14:paraId="4D43CBC1" w14:textId="77777777" w:rsidR="00B616DC" w:rsidRPr="00C47E97" w:rsidRDefault="00B616DC" w:rsidP="007A0F1A">
            <w:pPr>
              <w:spacing w:after="0" w:line="240" w:lineRule="auto"/>
              <w:contextualSpacing/>
              <w:jc w:val="center"/>
              <w:rPr>
                <w:rFonts w:cstheme="minorHAnsi"/>
                <w:b/>
                <w:sz w:val="18"/>
                <w:szCs w:val="18"/>
              </w:rPr>
            </w:pPr>
            <w:r w:rsidRPr="00C47E97">
              <w:rPr>
                <w:rFonts w:cstheme="minorHAnsi"/>
                <w:b/>
                <w:sz w:val="18"/>
                <w:szCs w:val="18"/>
              </w:rPr>
              <w:t>2017</w:t>
            </w:r>
          </w:p>
        </w:tc>
        <w:tc>
          <w:tcPr>
            <w:tcW w:w="925" w:type="dxa"/>
            <w:tcBorders>
              <w:top w:val="single" w:sz="4" w:space="0" w:color="auto"/>
              <w:left w:val="nil"/>
              <w:bottom w:val="single" w:sz="4" w:space="0" w:color="auto"/>
              <w:right w:val="single" w:sz="4" w:space="0" w:color="auto"/>
            </w:tcBorders>
            <w:shd w:val="clear" w:color="000000" w:fill="FFFFFF"/>
            <w:vAlign w:val="center"/>
            <w:hideMark/>
          </w:tcPr>
          <w:p w14:paraId="3CEC773E" w14:textId="77777777" w:rsidR="00B616DC" w:rsidRPr="00C47E97" w:rsidRDefault="00B616DC" w:rsidP="007A0F1A">
            <w:pPr>
              <w:spacing w:after="0" w:line="240" w:lineRule="auto"/>
              <w:contextualSpacing/>
              <w:jc w:val="center"/>
              <w:rPr>
                <w:rFonts w:cstheme="minorHAnsi"/>
                <w:b/>
                <w:sz w:val="18"/>
                <w:szCs w:val="18"/>
              </w:rPr>
            </w:pPr>
            <w:r w:rsidRPr="00C47E97">
              <w:rPr>
                <w:rFonts w:cstheme="minorHAnsi"/>
                <w:b/>
                <w:sz w:val="18"/>
                <w:szCs w:val="18"/>
              </w:rPr>
              <w:t>2018</w:t>
            </w:r>
          </w:p>
        </w:tc>
        <w:tc>
          <w:tcPr>
            <w:tcW w:w="924" w:type="dxa"/>
            <w:tcBorders>
              <w:top w:val="single" w:sz="4" w:space="0" w:color="auto"/>
              <w:left w:val="nil"/>
              <w:bottom w:val="single" w:sz="4" w:space="0" w:color="auto"/>
              <w:right w:val="single" w:sz="4" w:space="0" w:color="auto"/>
            </w:tcBorders>
            <w:shd w:val="clear" w:color="000000" w:fill="FFFFFF"/>
            <w:vAlign w:val="center"/>
            <w:hideMark/>
          </w:tcPr>
          <w:p w14:paraId="56A74DFA" w14:textId="77777777" w:rsidR="00B616DC" w:rsidRPr="00C47E97" w:rsidRDefault="00B616DC" w:rsidP="007A0F1A">
            <w:pPr>
              <w:spacing w:after="0" w:line="240" w:lineRule="auto"/>
              <w:contextualSpacing/>
              <w:jc w:val="center"/>
              <w:rPr>
                <w:rFonts w:cstheme="minorHAnsi"/>
                <w:b/>
                <w:sz w:val="18"/>
                <w:szCs w:val="18"/>
              </w:rPr>
            </w:pPr>
            <w:r w:rsidRPr="00C47E97">
              <w:rPr>
                <w:rFonts w:cstheme="minorHAnsi"/>
                <w:b/>
                <w:sz w:val="18"/>
                <w:szCs w:val="18"/>
              </w:rPr>
              <w:t>2019</w:t>
            </w:r>
          </w:p>
        </w:tc>
        <w:tc>
          <w:tcPr>
            <w:tcW w:w="924" w:type="dxa"/>
            <w:tcBorders>
              <w:top w:val="single" w:sz="4" w:space="0" w:color="auto"/>
              <w:left w:val="nil"/>
              <w:bottom w:val="single" w:sz="4" w:space="0" w:color="auto"/>
              <w:right w:val="single" w:sz="4" w:space="0" w:color="auto"/>
            </w:tcBorders>
            <w:shd w:val="clear" w:color="000000" w:fill="FFFFFF"/>
            <w:vAlign w:val="center"/>
            <w:hideMark/>
          </w:tcPr>
          <w:p w14:paraId="6B676275" w14:textId="77777777" w:rsidR="00B616DC" w:rsidRPr="00C47E97" w:rsidRDefault="00B616DC" w:rsidP="007A0F1A">
            <w:pPr>
              <w:spacing w:after="0" w:line="240" w:lineRule="auto"/>
              <w:contextualSpacing/>
              <w:jc w:val="center"/>
              <w:rPr>
                <w:rFonts w:cstheme="minorHAnsi"/>
                <w:b/>
                <w:sz w:val="18"/>
                <w:szCs w:val="18"/>
              </w:rPr>
            </w:pPr>
            <w:r w:rsidRPr="00C47E97">
              <w:rPr>
                <w:rFonts w:cstheme="minorHAnsi"/>
                <w:b/>
                <w:sz w:val="18"/>
                <w:szCs w:val="18"/>
              </w:rPr>
              <w:t>2020</w:t>
            </w:r>
          </w:p>
        </w:tc>
        <w:tc>
          <w:tcPr>
            <w:tcW w:w="924" w:type="dxa"/>
            <w:tcBorders>
              <w:top w:val="single" w:sz="4" w:space="0" w:color="auto"/>
              <w:left w:val="nil"/>
              <w:bottom w:val="single" w:sz="4" w:space="0" w:color="auto"/>
              <w:right w:val="single" w:sz="4" w:space="0" w:color="auto"/>
            </w:tcBorders>
            <w:shd w:val="clear" w:color="000000" w:fill="FFFFFF"/>
            <w:vAlign w:val="center"/>
            <w:hideMark/>
          </w:tcPr>
          <w:p w14:paraId="78391F42" w14:textId="77777777" w:rsidR="00B616DC" w:rsidRPr="00C47E97" w:rsidRDefault="00B616DC" w:rsidP="007A0F1A">
            <w:pPr>
              <w:spacing w:after="0" w:line="240" w:lineRule="auto"/>
              <w:contextualSpacing/>
              <w:jc w:val="center"/>
              <w:rPr>
                <w:rFonts w:cstheme="minorHAnsi"/>
                <w:b/>
                <w:sz w:val="18"/>
                <w:szCs w:val="18"/>
              </w:rPr>
            </w:pPr>
            <w:r w:rsidRPr="00C47E97">
              <w:rPr>
                <w:rFonts w:cstheme="minorHAnsi"/>
                <w:b/>
                <w:sz w:val="18"/>
                <w:szCs w:val="18"/>
              </w:rPr>
              <w:t>2021</w:t>
            </w:r>
          </w:p>
        </w:tc>
        <w:tc>
          <w:tcPr>
            <w:tcW w:w="925" w:type="dxa"/>
            <w:tcBorders>
              <w:top w:val="single" w:sz="4" w:space="0" w:color="auto"/>
              <w:left w:val="nil"/>
              <w:bottom w:val="single" w:sz="4" w:space="0" w:color="auto"/>
              <w:right w:val="single" w:sz="4" w:space="0" w:color="auto"/>
            </w:tcBorders>
            <w:shd w:val="clear" w:color="000000" w:fill="FFFFFF"/>
            <w:vAlign w:val="center"/>
            <w:hideMark/>
          </w:tcPr>
          <w:p w14:paraId="42711173" w14:textId="77777777" w:rsidR="00B616DC" w:rsidRPr="00C47E97" w:rsidRDefault="00B616DC" w:rsidP="007A0F1A">
            <w:pPr>
              <w:spacing w:after="0" w:line="240" w:lineRule="auto"/>
              <w:contextualSpacing/>
              <w:jc w:val="center"/>
              <w:rPr>
                <w:rFonts w:cstheme="minorHAnsi"/>
                <w:b/>
                <w:sz w:val="18"/>
                <w:szCs w:val="18"/>
              </w:rPr>
            </w:pPr>
            <w:r w:rsidRPr="00C47E97">
              <w:rPr>
                <w:rFonts w:cstheme="minorHAnsi"/>
                <w:b/>
                <w:sz w:val="18"/>
                <w:szCs w:val="18"/>
              </w:rPr>
              <w:t>2022</w:t>
            </w:r>
          </w:p>
        </w:tc>
      </w:tr>
      <w:tr w:rsidR="00B616DC" w:rsidRPr="00C47E97" w14:paraId="76C81232" w14:textId="77777777" w:rsidTr="00562DA8">
        <w:trPr>
          <w:trHeight w:val="765"/>
        </w:trPr>
        <w:tc>
          <w:tcPr>
            <w:tcW w:w="1700" w:type="dxa"/>
            <w:tcBorders>
              <w:top w:val="nil"/>
              <w:left w:val="single" w:sz="4" w:space="0" w:color="auto"/>
              <w:bottom w:val="single" w:sz="4" w:space="0" w:color="auto"/>
              <w:right w:val="single" w:sz="4" w:space="0" w:color="auto"/>
            </w:tcBorders>
            <w:shd w:val="clear" w:color="000000" w:fill="E5F1FF"/>
            <w:vAlign w:val="center"/>
            <w:hideMark/>
          </w:tcPr>
          <w:p w14:paraId="402A3192" w14:textId="77777777" w:rsidR="00B616DC" w:rsidRPr="00C47E97" w:rsidRDefault="00B616DC" w:rsidP="00EA5C95">
            <w:pPr>
              <w:spacing w:after="120" w:line="240" w:lineRule="auto"/>
              <w:jc w:val="center"/>
              <w:rPr>
                <w:rFonts w:eastAsia="Times New Roman" w:cstheme="minorHAnsi"/>
                <w:bCs/>
                <w:color w:val="000000"/>
                <w:sz w:val="18"/>
                <w:szCs w:val="18"/>
                <w:lang w:eastAsia="cs-CZ"/>
              </w:rPr>
            </w:pPr>
            <w:r w:rsidRPr="00C47E97">
              <w:rPr>
                <w:rFonts w:eastAsia="Times New Roman" w:cstheme="minorHAnsi"/>
                <w:bCs/>
                <w:color w:val="000000"/>
                <w:sz w:val="18"/>
                <w:szCs w:val="18"/>
                <w:lang w:eastAsia="cs-CZ"/>
              </w:rPr>
              <w:t>Počet registrací k DPH z důvodu překročení limitu</w:t>
            </w:r>
          </w:p>
        </w:tc>
        <w:tc>
          <w:tcPr>
            <w:tcW w:w="907" w:type="dxa"/>
            <w:tcBorders>
              <w:top w:val="nil"/>
              <w:left w:val="nil"/>
              <w:bottom w:val="single" w:sz="4" w:space="0" w:color="auto"/>
              <w:right w:val="single" w:sz="4" w:space="0" w:color="auto"/>
            </w:tcBorders>
            <w:shd w:val="clear" w:color="000000" w:fill="FFFFFF"/>
            <w:vAlign w:val="center"/>
            <w:hideMark/>
          </w:tcPr>
          <w:p w14:paraId="2DBC7E97" w14:textId="77777777" w:rsidR="00B616DC" w:rsidRPr="00C47E97" w:rsidRDefault="00B616DC" w:rsidP="00562DA8">
            <w:pPr>
              <w:spacing w:after="120" w:line="240" w:lineRule="auto"/>
              <w:ind w:right="113"/>
              <w:jc w:val="right"/>
              <w:rPr>
                <w:rFonts w:eastAsia="Times New Roman" w:cstheme="minorHAnsi"/>
                <w:color w:val="000000"/>
                <w:sz w:val="18"/>
                <w:szCs w:val="18"/>
                <w:lang w:eastAsia="cs-CZ"/>
              </w:rPr>
            </w:pPr>
            <w:r w:rsidRPr="00C47E97">
              <w:rPr>
                <w:rFonts w:eastAsia="Times New Roman" w:cstheme="minorHAnsi"/>
                <w:color w:val="000000"/>
                <w:sz w:val="18"/>
                <w:szCs w:val="18"/>
                <w:lang w:eastAsia="cs-CZ"/>
              </w:rPr>
              <w:t>64</w:t>
            </w:r>
          </w:p>
        </w:tc>
        <w:tc>
          <w:tcPr>
            <w:tcW w:w="924" w:type="dxa"/>
            <w:tcBorders>
              <w:top w:val="nil"/>
              <w:left w:val="nil"/>
              <w:bottom w:val="single" w:sz="4" w:space="0" w:color="auto"/>
              <w:right w:val="single" w:sz="4" w:space="0" w:color="auto"/>
            </w:tcBorders>
            <w:shd w:val="clear" w:color="000000" w:fill="FFFFFF"/>
            <w:vAlign w:val="center"/>
            <w:hideMark/>
          </w:tcPr>
          <w:p w14:paraId="33512473" w14:textId="77777777" w:rsidR="00B616DC" w:rsidRPr="00C47E97" w:rsidRDefault="00B616DC" w:rsidP="00562DA8">
            <w:pPr>
              <w:spacing w:after="120" w:line="240" w:lineRule="auto"/>
              <w:ind w:right="113"/>
              <w:jc w:val="right"/>
              <w:rPr>
                <w:rFonts w:eastAsia="Times New Roman" w:cstheme="minorHAnsi"/>
                <w:color w:val="000000"/>
                <w:sz w:val="18"/>
                <w:szCs w:val="18"/>
                <w:lang w:eastAsia="cs-CZ"/>
              </w:rPr>
            </w:pPr>
            <w:r w:rsidRPr="00C47E97">
              <w:rPr>
                <w:rFonts w:eastAsia="Times New Roman" w:cstheme="minorHAnsi"/>
                <w:color w:val="000000"/>
                <w:sz w:val="18"/>
                <w:szCs w:val="18"/>
                <w:lang w:eastAsia="cs-CZ"/>
              </w:rPr>
              <w:t>69</w:t>
            </w:r>
          </w:p>
        </w:tc>
        <w:tc>
          <w:tcPr>
            <w:tcW w:w="924" w:type="dxa"/>
            <w:tcBorders>
              <w:top w:val="nil"/>
              <w:left w:val="nil"/>
              <w:bottom w:val="single" w:sz="4" w:space="0" w:color="auto"/>
              <w:right w:val="single" w:sz="4" w:space="0" w:color="auto"/>
            </w:tcBorders>
            <w:shd w:val="clear" w:color="000000" w:fill="FFFFFF"/>
            <w:vAlign w:val="center"/>
            <w:hideMark/>
          </w:tcPr>
          <w:p w14:paraId="4AF00F17" w14:textId="77777777" w:rsidR="00B616DC" w:rsidRPr="00C47E97" w:rsidRDefault="00B616DC" w:rsidP="00562DA8">
            <w:pPr>
              <w:spacing w:after="120" w:line="240" w:lineRule="auto"/>
              <w:ind w:right="113"/>
              <w:jc w:val="right"/>
              <w:rPr>
                <w:rFonts w:eastAsia="Times New Roman" w:cstheme="minorHAnsi"/>
                <w:color w:val="000000"/>
                <w:sz w:val="18"/>
                <w:szCs w:val="18"/>
                <w:lang w:eastAsia="cs-CZ"/>
              </w:rPr>
            </w:pPr>
            <w:r w:rsidRPr="00C47E97">
              <w:rPr>
                <w:rFonts w:eastAsia="Times New Roman" w:cstheme="minorHAnsi"/>
                <w:color w:val="000000"/>
                <w:sz w:val="18"/>
                <w:szCs w:val="18"/>
                <w:lang w:eastAsia="cs-CZ"/>
              </w:rPr>
              <w:t>1 312</w:t>
            </w:r>
          </w:p>
        </w:tc>
        <w:tc>
          <w:tcPr>
            <w:tcW w:w="925" w:type="dxa"/>
            <w:tcBorders>
              <w:top w:val="nil"/>
              <w:left w:val="nil"/>
              <w:bottom w:val="single" w:sz="4" w:space="0" w:color="auto"/>
              <w:right w:val="single" w:sz="4" w:space="0" w:color="auto"/>
            </w:tcBorders>
            <w:shd w:val="clear" w:color="000000" w:fill="FFFFFF"/>
            <w:vAlign w:val="center"/>
            <w:hideMark/>
          </w:tcPr>
          <w:p w14:paraId="767FD1D9" w14:textId="77777777" w:rsidR="00B616DC" w:rsidRPr="00C47E97" w:rsidRDefault="00B616DC" w:rsidP="00562DA8">
            <w:pPr>
              <w:spacing w:after="120" w:line="240" w:lineRule="auto"/>
              <w:ind w:right="113"/>
              <w:jc w:val="right"/>
              <w:rPr>
                <w:rFonts w:eastAsia="Times New Roman" w:cstheme="minorHAnsi"/>
                <w:color w:val="000000"/>
                <w:sz w:val="18"/>
                <w:szCs w:val="18"/>
                <w:lang w:eastAsia="cs-CZ"/>
              </w:rPr>
            </w:pPr>
            <w:r w:rsidRPr="00C47E97">
              <w:rPr>
                <w:rFonts w:eastAsia="Times New Roman" w:cstheme="minorHAnsi"/>
                <w:color w:val="000000"/>
                <w:sz w:val="18"/>
                <w:szCs w:val="18"/>
                <w:lang w:eastAsia="cs-CZ"/>
              </w:rPr>
              <w:t>2 407</w:t>
            </w:r>
          </w:p>
        </w:tc>
        <w:tc>
          <w:tcPr>
            <w:tcW w:w="924" w:type="dxa"/>
            <w:tcBorders>
              <w:top w:val="nil"/>
              <w:left w:val="nil"/>
              <w:bottom w:val="single" w:sz="4" w:space="0" w:color="auto"/>
              <w:right w:val="single" w:sz="4" w:space="0" w:color="auto"/>
            </w:tcBorders>
            <w:shd w:val="clear" w:color="000000" w:fill="FFFFFF"/>
            <w:vAlign w:val="center"/>
            <w:hideMark/>
          </w:tcPr>
          <w:p w14:paraId="20A272A3" w14:textId="77777777" w:rsidR="00B616DC" w:rsidRPr="00C47E97" w:rsidRDefault="00B616DC" w:rsidP="00562DA8">
            <w:pPr>
              <w:spacing w:after="120" w:line="240" w:lineRule="auto"/>
              <w:ind w:right="113"/>
              <w:jc w:val="right"/>
              <w:rPr>
                <w:rFonts w:eastAsia="Times New Roman" w:cstheme="minorHAnsi"/>
                <w:color w:val="000000"/>
                <w:sz w:val="18"/>
                <w:szCs w:val="18"/>
                <w:lang w:eastAsia="cs-CZ"/>
              </w:rPr>
            </w:pPr>
            <w:r w:rsidRPr="00C47E97">
              <w:rPr>
                <w:rFonts w:eastAsia="Times New Roman" w:cstheme="minorHAnsi"/>
                <w:color w:val="000000"/>
                <w:sz w:val="18"/>
                <w:szCs w:val="18"/>
                <w:lang w:eastAsia="cs-CZ"/>
              </w:rPr>
              <w:t>2 509</w:t>
            </w:r>
          </w:p>
        </w:tc>
        <w:tc>
          <w:tcPr>
            <w:tcW w:w="924" w:type="dxa"/>
            <w:tcBorders>
              <w:top w:val="nil"/>
              <w:left w:val="nil"/>
              <w:bottom w:val="single" w:sz="4" w:space="0" w:color="auto"/>
              <w:right w:val="single" w:sz="4" w:space="0" w:color="auto"/>
            </w:tcBorders>
            <w:shd w:val="clear" w:color="000000" w:fill="FFFFFF"/>
            <w:vAlign w:val="center"/>
            <w:hideMark/>
          </w:tcPr>
          <w:p w14:paraId="131493FC" w14:textId="77777777" w:rsidR="00B616DC" w:rsidRPr="00C47E97" w:rsidRDefault="00B616DC" w:rsidP="00562DA8">
            <w:pPr>
              <w:spacing w:after="120" w:line="240" w:lineRule="auto"/>
              <w:ind w:right="113"/>
              <w:jc w:val="right"/>
              <w:rPr>
                <w:rFonts w:eastAsia="Times New Roman" w:cstheme="minorHAnsi"/>
                <w:color w:val="000000"/>
                <w:sz w:val="18"/>
                <w:szCs w:val="18"/>
                <w:lang w:eastAsia="cs-CZ"/>
              </w:rPr>
            </w:pPr>
            <w:r w:rsidRPr="00C47E97">
              <w:rPr>
                <w:rFonts w:eastAsia="Times New Roman" w:cstheme="minorHAnsi"/>
                <w:color w:val="000000"/>
                <w:sz w:val="18"/>
                <w:szCs w:val="18"/>
                <w:lang w:eastAsia="cs-CZ"/>
              </w:rPr>
              <w:t>895</w:t>
            </w:r>
          </w:p>
        </w:tc>
        <w:tc>
          <w:tcPr>
            <w:tcW w:w="924" w:type="dxa"/>
            <w:tcBorders>
              <w:top w:val="nil"/>
              <w:left w:val="nil"/>
              <w:bottom w:val="single" w:sz="4" w:space="0" w:color="auto"/>
              <w:right w:val="single" w:sz="4" w:space="0" w:color="auto"/>
            </w:tcBorders>
            <w:shd w:val="clear" w:color="000000" w:fill="FFFFFF"/>
            <w:vAlign w:val="center"/>
            <w:hideMark/>
          </w:tcPr>
          <w:p w14:paraId="177DE9F0" w14:textId="77777777" w:rsidR="00B616DC" w:rsidRPr="00C47E97" w:rsidRDefault="00B616DC" w:rsidP="00562DA8">
            <w:pPr>
              <w:spacing w:after="120" w:line="240" w:lineRule="auto"/>
              <w:ind w:right="113"/>
              <w:jc w:val="right"/>
              <w:rPr>
                <w:rFonts w:eastAsia="Times New Roman" w:cstheme="minorHAnsi"/>
                <w:color w:val="000000"/>
                <w:sz w:val="18"/>
                <w:szCs w:val="18"/>
                <w:lang w:eastAsia="cs-CZ"/>
              </w:rPr>
            </w:pPr>
            <w:r w:rsidRPr="00C47E97">
              <w:rPr>
                <w:rFonts w:eastAsia="Times New Roman" w:cstheme="minorHAnsi"/>
                <w:color w:val="000000"/>
                <w:sz w:val="18"/>
                <w:szCs w:val="18"/>
                <w:lang w:eastAsia="cs-CZ"/>
              </w:rPr>
              <w:t>23</w:t>
            </w:r>
          </w:p>
        </w:tc>
        <w:tc>
          <w:tcPr>
            <w:tcW w:w="925" w:type="dxa"/>
            <w:tcBorders>
              <w:top w:val="nil"/>
              <w:left w:val="nil"/>
              <w:bottom w:val="single" w:sz="4" w:space="0" w:color="auto"/>
              <w:right w:val="single" w:sz="4" w:space="0" w:color="auto"/>
            </w:tcBorders>
            <w:shd w:val="clear" w:color="000000" w:fill="FFFFFF"/>
            <w:vAlign w:val="center"/>
            <w:hideMark/>
          </w:tcPr>
          <w:p w14:paraId="5484694A" w14:textId="77777777" w:rsidR="00B616DC" w:rsidRPr="00C47E97" w:rsidRDefault="00B616DC" w:rsidP="00562DA8">
            <w:pPr>
              <w:spacing w:after="120" w:line="240" w:lineRule="auto"/>
              <w:ind w:right="113"/>
              <w:jc w:val="right"/>
              <w:rPr>
                <w:rFonts w:eastAsia="Times New Roman" w:cstheme="minorHAnsi"/>
                <w:color w:val="000000"/>
                <w:sz w:val="18"/>
                <w:szCs w:val="18"/>
                <w:lang w:eastAsia="cs-CZ"/>
              </w:rPr>
            </w:pPr>
            <w:r w:rsidRPr="00C47E97">
              <w:rPr>
                <w:rFonts w:eastAsia="Times New Roman" w:cstheme="minorHAnsi"/>
                <w:color w:val="000000"/>
                <w:sz w:val="18"/>
                <w:szCs w:val="18"/>
                <w:lang w:eastAsia="cs-CZ"/>
              </w:rPr>
              <w:t>21</w:t>
            </w:r>
          </w:p>
        </w:tc>
      </w:tr>
    </w:tbl>
    <w:p w14:paraId="746F11F4" w14:textId="5B2D6631" w:rsidR="00B616DC" w:rsidRPr="00562DA8" w:rsidRDefault="00B616DC" w:rsidP="00B616DC">
      <w:pPr>
        <w:spacing w:after="120" w:line="240" w:lineRule="auto"/>
        <w:jc w:val="both"/>
        <w:rPr>
          <w:rFonts w:eastAsia="Calibri" w:cstheme="minorHAnsi"/>
          <w:sz w:val="20"/>
          <w:szCs w:val="20"/>
        </w:rPr>
      </w:pPr>
      <w:r w:rsidRPr="00562DA8">
        <w:rPr>
          <w:rFonts w:eastAsia="Calibri" w:cstheme="minorHAnsi"/>
          <w:b/>
          <w:bCs/>
          <w:sz w:val="20"/>
          <w:szCs w:val="20"/>
        </w:rPr>
        <w:t>Zdroj:</w:t>
      </w:r>
      <w:r w:rsidRPr="00562DA8">
        <w:rPr>
          <w:rFonts w:eastAsia="Calibri" w:cstheme="minorHAnsi"/>
          <w:sz w:val="20"/>
          <w:szCs w:val="20"/>
        </w:rPr>
        <w:t xml:space="preserve"> GFŘ</w:t>
      </w:r>
      <w:r w:rsidR="00EB01A8">
        <w:rPr>
          <w:rFonts w:eastAsia="Calibri" w:cstheme="minorHAnsi"/>
          <w:sz w:val="20"/>
          <w:szCs w:val="20"/>
        </w:rPr>
        <w:t>.</w:t>
      </w:r>
    </w:p>
    <w:sectPr w:rsidR="00B616DC" w:rsidRPr="00562DA8" w:rsidSect="00F62E1F">
      <w:footerReference w:type="default" r:id="rId18"/>
      <w:headerReference w:type="first" r:id="rId19"/>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51AA4955" w16cex:dateUtc="2024-05-30T10:14:00Z"/>
  <w16cex:commentExtensible w16cex:durableId="330CA5D9" w16cex:dateUtc="2024-05-30T10:40:00Z"/>
  <w16cex:commentExtensible w16cex:durableId="63989E68" w16cex:dateUtc="2024-05-30T15:04:00Z"/>
  <w16cex:commentExtensible w16cex:durableId="5BED93E6" w16cex:dateUtc="2024-05-30T16:17:00Z"/>
  <w16cex:commentExtensible w16cex:durableId="3EF29BD1" w16cex:dateUtc="2024-05-30T16:25:00Z"/>
  <w16cex:commentExtensible w16cex:durableId="3C668E1E" w16cex:dateUtc="2024-05-31T12:11:00Z"/>
  <w16cex:commentExtensible w16cex:durableId="41FA650D" w16cex:dateUtc="2024-05-31T07:40:00Z"/>
  <w16cex:commentExtensible w16cex:durableId="3E8F3CC3" w16cex:dateUtc="2024-05-31T07:53:00Z"/>
  <w16cex:commentExtensible w16cex:durableId="23100D2D" w16cex:dateUtc="2024-05-31T08:09:00Z"/>
  <w16cex:commentExtensible w16cex:durableId="142E8262" w16cex:dateUtc="2024-05-31T09: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3FD77" w14:textId="77777777" w:rsidR="000A558B" w:rsidRDefault="000A558B">
      <w:pPr>
        <w:spacing w:after="0" w:line="240" w:lineRule="auto"/>
      </w:pPr>
      <w:r>
        <w:separator/>
      </w:r>
    </w:p>
    <w:p w14:paraId="1D7F9320" w14:textId="77777777" w:rsidR="000A558B" w:rsidRDefault="000A558B"/>
  </w:endnote>
  <w:endnote w:type="continuationSeparator" w:id="0">
    <w:p w14:paraId="138EF03A" w14:textId="77777777" w:rsidR="000A558B" w:rsidRDefault="000A558B">
      <w:pPr>
        <w:spacing w:after="0" w:line="240" w:lineRule="auto"/>
      </w:pPr>
      <w:r>
        <w:continuationSeparator/>
      </w:r>
    </w:p>
    <w:p w14:paraId="6DA29691" w14:textId="77777777" w:rsidR="000A558B" w:rsidRDefault="000A55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0325275"/>
      <w:docPartObj>
        <w:docPartGallery w:val="Page Numbers (Bottom of Page)"/>
        <w:docPartUnique/>
      </w:docPartObj>
    </w:sdtPr>
    <w:sdtEndPr>
      <w:rPr>
        <w:rFonts w:ascii="Calibri" w:hAnsi="Calibri" w:cs="Calibri"/>
        <w:sz w:val="24"/>
      </w:rPr>
    </w:sdtEndPr>
    <w:sdtContent>
      <w:p w14:paraId="105BA990" w14:textId="77777777" w:rsidR="000A558B" w:rsidRPr="005F18B5" w:rsidRDefault="000A558B" w:rsidP="006C35E2">
        <w:pPr>
          <w:pStyle w:val="Zpat"/>
          <w:jc w:val="center"/>
          <w:rPr>
            <w:rFonts w:ascii="Calibri" w:hAnsi="Calibri" w:cs="Calibri"/>
            <w:sz w:val="24"/>
          </w:rPr>
        </w:pPr>
        <w:r w:rsidRPr="005F18B5">
          <w:rPr>
            <w:rFonts w:ascii="Calibri" w:hAnsi="Calibri" w:cs="Calibri"/>
            <w:sz w:val="24"/>
          </w:rPr>
          <w:fldChar w:fldCharType="begin"/>
        </w:r>
        <w:r w:rsidRPr="005F18B5">
          <w:rPr>
            <w:rFonts w:ascii="Calibri" w:hAnsi="Calibri" w:cs="Calibri"/>
            <w:sz w:val="24"/>
          </w:rPr>
          <w:instrText>PAGE   \* MERGEFORMAT</w:instrText>
        </w:r>
        <w:r w:rsidRPr="005F18B5">
          <w:rPr>
            <w:rFonts w:ascii="Calibri" w:hAnsi="Calibri" w:cs="Calibri"/>
            <w:sz w:val="24"/>
          </w:rPr>
          <w:fldChar w:fldCharType="separate"/>
        </w:r>
        <w:r w:rsidRPr="005F18B5">
          <w:rPr>
            <w:rFonts w:ascii="Calibri" w:hAnsi="Calibri" w:cs="Calibri"/>
            <w:sz w:val="24"/>
          </w:rPr>
          <w:t>2</w:t>
        </w:r>
        <w:r w:rsidRPr="005F18B5">
          <w:rPr>
            <w:rFonts w:ascii="Calibri" w:hAnsi="Calibri" w:cs="Calibri"/>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91057" w14:textId="77777777" w:rsidR="000A558B" w:rsidRDefault="000A558B" w:rsidP="004058E2">
      <w:pPr>
        <w:spacing w:after="0" w:line="240" w:lineRule="auto"/>
      </w:pPr>
      <w:r>
        <w:separator/>
      </w:r>
    </w:p>
  </w:footnote>
  <w:footnote w:type="continuationSeparator" w:id="0">
    <w:p w14:paraId="215F1DDE" w14:textId="77777777" w:rsidR="000A558B" w:rsidRDefault="000A558B" w:rsidP="004058E2">
      <w:pPr>
        <w:spacing w:after="0" w:line="240" w:lineRule="auto"/>
      </w:pPr>
      <w:r>
        <w:continuationSeparator/>
      </w:r>
    </w:p>
    <w:p w14:paraId="5909997A" w14:textId="77777777" w:rsidR="000A558B" w:rsidRDefault="000A558B"/>
  </w:footnote>
  <w:footnote w:id="1">
    <w:p w14:paraId="3BAAB592" w14:textId="6EAAB6BD" w:rsidR="000A558B" w:rsidRPr="00E2589A" w:rsidRDefault="000A558B" w:rsidP="00507EF8">
      <w:pPr>
        <w:pStyle w:val="Textpoznpodarou"/>
        <w:ind w:left="284" w:hanging="284"/>
        <w:jc w:val="both"/>
        <w:rPr>
          <w:rFonts w:asciiTheme="minorHAnsi" w:hAnsiTheme="minorHAnsi" w:cstheme="minorHAnsi"/>
        </w:rPr>
      </w:pPr>
      <w:r w:rsidRPr="00E2589A">
        <w:rPr>
          <w:rStyle w:val="Znakapoznpodarou"/>
          <w:rFonts w:asciiTheme="minorHAnsi" w:hAnsiTheme="minorHAnsi" w:cstheme="minorHAnsi"/>
        </w:rPr>
        <w:footnoteRef/>
      </w:r>
      <w:r w:rsidRPr="00E2589A">
        <w:rPr>
          <w:rFonts w:asciiTheme="minorHAnsi" w:hAnsiTheme="minorHAnsi" w:cstheme="minorHAnsi"/>
        </w:rPr>
        <w:t xml:space="preserve"> </w:t>
      </w:r>
      <w:r>
        <w:rPr>
          <w:rFonts w:asciiTheme="minorHAnsi" w:hAnsiTheme="minorHAnsi" w:cstheme="minorHAnsi"/>
        </w:rPr>
        <w:tab/>
      </w:r>
      <w:r w:rsidRPr="00E2589A">
        <w:rPr>
          <w:rFonts w:asciiTheme="minorHAnsi" w:hAnsiTheme="minorHAnsi" w:cstheme="minorHAnsi"/>
        </w:rPr>
        <w:t>Zákonem č. 360/2014 Sb., kterým se mění zákon č. 235/2004 Sb., o dani z přidané hodnoty, ve znění pozdějších předpisů, a další související zákony.</w:t>
      </w:r>
    </w:p>
  </w:footnote>
  <w:footnote w:id="2">
    <w:p w14:paraId="1F046720" w14:textId="263164E0" w:rsidR="000A558B" w:rsidRPr="00E2589A" w:rsidRDefault="000A558B" w:rsidP="00997524">
      <w:pPr>
        <w:pStyle w:val="Textpoznpodarou"/>
        <w:ind w:left="284" w:hanging="284"/>
        <w:jc w:val="both"/>
        <w:rPr>
          <w:rFonts w:asciiTheme="minorHAnsi" w:hAnsiTheme="minorHAnsi" w:cstheme="minorHAnsi"/>
        </w:rPr>
      </w:pPr>
      <w:r w:rsidRPr="00E2589A">
        <w:rPr>
          <w:rStyle w:val="Znakapoznpodarou"/>
          <w:rFonts w:asciiTheme="minorHAnsi" w:hAnsiTheme="minorHAnsi" w:cstheme="minorHAnsi"/>
        </w:rPr>
        <w:footnoteRef/>
      </w:r>
      <w:r w:rsidRPr="00E2589A">
        <w:rPr>
          <w:rFonts w:asciiTheme="minorHAnsi" w:hAnsiTheme="minorHAnsi" w:cstheme="minorHAnsi"/>
        </w:rPr>
        <w:t xml:space="preserve"> </w:t>
      </w:r>
      <w:r>
        <w:rPr>
          <w:rFonts w:asciiTheme="minorHAnsi" w:hAnsiTheme="minorHAnsi" w:cstheme="minorHAnsi"/>
        </w:rPr>
        <w:tab/>
      </w:r>
      <w:r w:rsidRPr="00E2589A">
        <w:rPr>
          <w:rFonts w:asciiTheme="minorHAnsi" w:hAnsiTheme="minorHAnsi" w:cstheme="minorHAnsi"/>
        </w:rPr>
        <w:t>Z</w:t>
      </w:r>
      <w:r w:rsidRPr="00E2589A">
        <w:rPr>
          <w:rFonts w:asciiTheme="minorHAnsi" w:eastAsia="Calibri" w:hAnsiTheme="minorHAnsi" w:cstheme="minorHAnsi"/>
        </w:rPr>
        <w:t>ákonem č. 112/2016 Sb., o evidenci tržeb (dále také „zákon o EET“).</w:t>
      </w:r>
    </w:p>
  </w:footnote>
  <w:footnote w:id="3">
    <w:p w14:paraId="06F4FC3D" w14:textId="4FF7B4B9" w:rsidR="000A558B" w:rsidRPr="00E2589A" w:rsidRDefault="000A558B" w:rsidP="00997524">
      <w:pPr>
        <w:pStyle w:val="Textpoznpodarou"/>
        <w:ind w:left="284" w:hanging="284"/>
        <w:jc w:val="both"/>
        <w:rPr>
          <w:rFonts w:asciiTheme="minorHAnsi" w:hAnsiTheme="minorHAnsi" w:cstheme="minorHAnsi"/>
        </w:rPr>
      </w:pPr>
      <w:r w:rsidRPr="00E2589A">
        <w:rPr>
          <w:rStyle w:val="Znakapoznpodarou"/>
          <w:rFonts w:asciiTheme="minorHAnsi" w:hAnsiTheme="minorHAnsi" w:cstheme="minorHAnsi"/>
        </w:rPr>
        <w:footnoteRef/>
      </w:r>
      <w:r w:rsidRPr="00E2589A">
        <w:rPr>
          <w:rFonts w:asciiTheme="minorHAnsi" w:hAnsiTheme="minorHAnsi" w:cstheme="minorHAnsi"/>
        </w:rPr>
        <w:t xml:space="preserve"> </w:t>
      </w:r>
      <w:r>
        <w:rPr>
          <w:rFonts w:asciiTheme="minorHAnsi" w:hAnsiTheme="minorHAnsi" w:cstheme="minorHAnsi"/>
        </w:rPr>
        <w:tab/>
      </w:r>
      <w:r w:rsidRPr="00E2589A">
        <w:rPr>
          <w:rFonts w:asciiTheme="minorHAnsi" w:hAnsiTheme="minorHAnsi" w:cstheme="minorHAnsi"/>
        </w:rPr>
        <w:t xml:space="preserve">Důvodová zpráva k zákonu č. 112/2016 Sb. </w:t>
      </w:r>
    </w:p>
  </w:footnote>
  <w:footnote w:id="4">
    <w:p w14:paraId="7F7D59D1" w14:textId="39C7F406" w:rsidR="000A558B" w:rsidRPr="00E2589A" w:rsidRDefault="000A558B" w:rsidP="00997524">
      <w:pPr>
        <w:pStyle w:val="Textpoznpodarou"/>
        <w:ind w:left="284" w:hanging="284"/>
        <w:jc w:val="both"/>
        <w:rPr>
          <w:rFonts w:asciiTheme="minorHAnsi" w:hAnsiTheme="minorHAnsi" w:cstheme="minorHAnsi"/>
        </w:rPr>
      </w:pPr>
      <w:r w:rsidRPr="00E2589A">
        <w:rPr>
          <w:rStyle w:val="Znakapoznpodarou"/>
          <w:rFonts w:asciiTheme="minorHAnsi" w:hAnsiTheme="minorHAnsi" w:cstheme="minorHAnsi"/>
        </w:rPr>
        <w:footnoteRef/>
      </w:r>
      <w:r w:rsidRPr="00E2589A">
        <w:rPr>
          <w:rFonts w:asciiTheme="minorHAnsi" w:hAnsiTheme="minorHAnsi" w:cstheme="minorHAnsi"/>
        </w:rPr>
        <w:t xml:space="preserve"> </w:t>
      </w:r>
      <w:r>
        <w:rPr>
          <w:rFonts w:asciiTheme="minorHAnsi" w:hAnsiTheme="minorHAnsi" w:cstheme="minorHAnsi"/>
        </w:rPr>
        <w:tab/>
      </w:r>
      <w:r w:rsidRPr="00E2589A">
        <w:rPr>
          <w:rFonts w:asciiTheme="minorHAnsi" w:hAnsiTheme="minorHAnsi" w:cstheme="minorHAnsi"/>
        </w:rPr>
        <w:t xml:space="preserve">Nález Ústavního soudu </w:t>
      </w:r>
      <w:proofErr w:type="spellStart"/>
      <w:r w:rsidRPr="00E2589A">
        <w:rPr>
          <w:rFonts w:asciiTheme="minorHAnsi" w:hAnsiTheme="minorHAnsi" w:cstheme="minorHAnsi"/>
        </w:rPr>
        <w:t>sp</w:t>
      </w:r>
      <w:proofErr w:type="spellEnd"/>
      <w:r w:rsidRPr="00E2589A">
        <w:rPr>
          <w:rFonts w:asciiTheme="minorHAnsi" w:hAnsiTheme="minorHAnsi" w:cstheme="minorHAnsi"/>
        </w:rPr>
        <w:t xml:space="preserve">. zn. Pl. ÚS 26/16 ze dne 12. 12. 2017 zrušil </w:t>
      </w:r>
      <w:r>
        <w:rPr>
          <w:rFonts w:asciiTheme="minorHAnsi" w:hAnsiTheme="minorHAnsi" w:cstheme="minorHAnsi"/>
        </w:rPr>
        <w:t xml:space="preserve">ustanovení zákona č. 112/2016 Sb., </w:t>
      </w:r>
      <w:r>
        <w:rPr>
          <w:rFonts w:asciiTheme="minorHAnsi" w:hAnsiTheme="minorHAnsi" w:cstheme="minorHAnsi"/>
        </w:rPr>
        <w:br/>
        <w:t>na jejichž základě měla být realizována</w:t>
      </w:r>
      <w:r w:rsidRPr="00E2589A">
        <w:rPr>
          <w:rFonts w:asciiTheme="minorHAnsi" w:hAnsiTheme="minorHAnsi" w:cstheme="minorHAnsi"/>
        </w:rPr>
        <w:t xml:space="preserve"> 3. a 4. vln</w:t>
      </w:r>
      <w:r>
        <w:rPr>
          <w:rFonts w:asciiTheme="minorHAnsi" w:hAnsiTheme="minorHAnsi" w:cstheme="minorHAnsi"/>
        </w:rPr>
        <w:t>a</w:t>
      </w:r>
      <w:r w:rsidRPr="00E2589A">
        <w:rPr>
          <w:rFonts w:asciiTheme="minorHAnsi" w:hAnsiTheme="minorHAnsi" w:cstheme="minorHAnsi"/>
        </w:rPr>
        <w:t xml:space="preserve"> EET</w:t>
      </w:r>
      <w:r>
        <w:rPr>
          <w:rFonts w:asciiTheme="minorHAnsi" w:hAnsiTheme="minorHAnsi" w:cstheme="minorHAnsi"/>
        </w:rPr>
        <w:t>.</w:t>
      </w:r>
    </w:p>
  </w:footnote>
  <w:footnote w:id="5">
    <w:p w14:paraId="06EBA6D5" w14:textId="76BB72EB" w:rsidR="000A558B" w:rsidRPr="00E2589A" w:rsidRDefault="000A558B" w:rsidP="00997524">
      <w:pPr>
        <w:pStyle w:val="Textpoznpodarou"/>
        <w:ind w:left="284" w:hanging="284"/>
        <w:jc w:val="both"/>
        <w:rPr>
          <w:rFonts w:asciiTheme="minorHAnsi" w:hAnsiTheme="minorHAnsi" w:cstheme="minorHAnsi"/>
        </w:rPr>
      </w:pPr>
      <w:r w:rsidRPr="00E2589A">
        <w:rPr>
          <w:rStyle w:val="Znakapoznpodarou"/>
          <w:rFonts w:asciiTheme="minorHAnsi" w:hAnsiTheme="minorHAnsi" w:cstheme="minorHAnsi"/>
        </w:rPr>
        <w:footnoteRef/>
      </w:r>
      <w:r w:rsidRPr="00E2589A">
        <w:rPr>
          <w:rFonts w:asciiTheme="minorHAnsi" w:hAnsiTheme="minorHAnsi" w:cstheme="minorHAnsi"/>
        </w:rPr>
        <w:t xml:space="preserve"> </w:t>
      </w:r>
      <w:r>
        <w:rPr>
          <w:rFonts w:asciiTheme="minorHAnsi" w:hAnsiTheme="minorHAnsi" w:cstheme="minorHAnsi"/>
        </w:rPr>
        <w:tab/>
      </w:r>
      <w:r w:rsidRPr="00E2589A">
        <w:rPr>
          <w:rFonts w:asciiTheme="minorHAnsi" w:hAnsiTheme="minorHAnsi" w:cstheme="minorHAnsi"/>
        </w:rPr>
        <w:t>Pozastavení povinnosti EET pro již povinné subjekty a odklad povinnosti EET pro subjekty 3. a 4. vlny</w:t>
      </w:r>
      <w:r w:rsidRPr="00E2589A" w:rsidDel="0098629F">
        <w:rPr>
          <w:rFonts w:asciiTheme="minorHAnsi" w:hAnsiTheme="minorHAnsi" w:cstheme="minorHAnsi"/>
        </w:rPr>
        <w:t xml:space="preserve"> </w:t>
      </w:r>
      <w:r w:rsidRPr="00E2589A">
        <w:rPr>
          <w:rFonts w:asciiTheme="minorHAnsi" w:hAnsiTheme="minorHAnsi" w:cstheme="minorHAnsi"/>
        </w:rPr>
        <w:t>trval</w:t>
      </w:r>
      <w:r>
        <w:rPr>
          <w:rFonts w:asciiTheme="minorHAnsi" w:hAnsiTheme="minorHAnsi" w:cstheme="minorHAnsi"/>
        </w:rPr>
        <w:t>y</w:t>
      </w:r>
      <w:r w:rsidRPr="00E2589A">
        <w:rPr>
          <w:rFonts w:asciiTheme="minorHAnsi" w:hAnsiTheme="minorHAnsi" w:cstheme="minorHAnsi"/>
        </w:rPr>
        <w:t xml:space="preserve"> </w:t>
      </w:r>
      <w:r>
        <w:rPr>
          <w:rFonts w:asciiTheme="minorHAnsi" w:hAnsiTheme="minorHAnsi" w:cstheme="minorHAnsi"/>
        </w:rPr>
        <w:br/>
      </w:r>
      <w:r w:rsidRPr="00E2589A">
        <w:rPr>
          <w:rFonts w:asciiTheme="minorHAnsi" w:hAnsiTheme="minorHAnsi" w:cstheme="minorHAnsi"/>
        </w:rPr>
        <w:t xml:space="preserve">od 27. 3. 2020 do 31. 12. 2022 (zákony č. 137/2020 Sb., č. 263/2020 Sb. a č. 449/2020 Sb.), </w:t>
      </w:r>
      <w:r>
        <w:rPr>
          <w:rFonts w:asciiTheme="minorHAnsi" w:hAnsiTheme="minorHAnsi" w:cstheme="minorHAnsi"/>
        </w:rPr>
        <w:t>(</w:t>
      </w:r>
      <w:r w:rsidRPr="00E2589A">
        <w:rPr>
          <w:rFonts w:asciiTheme="minorHAnsi" w:hAnsiTheme="minorHAnsi" w:cstheme="minorHAnsi"/>
        </w:rPr>
        <w:t>dále také „pozastavení EET“ nebo „pozastavení povinnosti evidovat tržby“</w:t>
      </w:r>
      <w:r>
        <w:rPr>
          <w:rFonts w:asciiTheme="minorHAnsi" w:hAnsiTheme="minorHAnsi" w:cstheme="minorHAnsi"/>
        </w:rPr>
        <w:t>)</w:t>
      </w:r>
      <w:r w:rsidRPr="00E2589A">
        <w:rPr>
          <w:rFonts w:asciiTheme="minorHAnsi" w:hAnsiTheme="minorHAnsi" w:cstheme="minorHAnsi"/>
        </w:rPr>
        <w:t>.</w:t>
      </w:r>
    </w:p>
  </w:footnote>
  <w:footnote w:id="6">
    <w:p w14:paraId="196BEF41" w14:textId="5400135C" w:rsidR="000A558B" w:rsidRDefault="000A558B" w:rsidP="00997524">
      <w:pPr>
        <w:pStyle w:val="Textpoznpodarou"/>
        <w:ind w:left="284" w:hanging="284"/>
        <w:jc w:val="both"/>
      </w:pPr>
      <w:r w:rsidRPr="00E2589A">
        <w:rPr>
          <w:rStyle w:val="Znakapoznpodarou"/>
          <w:rFonts w:asciiTheme="minorHAnsi" w:hAnsiTheme="minorHAnsi" w:cstheme="minorHAnsi"/>
        </w:rPr>
        <w:footnoteRef/>
      </w:r>
      <w:r w:rsidRPr="00E2589A">
        <w:rPr>
          <w:rFonts w:asciiTheme="minorHAnsi" w:hAnsiTheme="minorHAnsi" w:cstheme="minorHAnsi"/>
        </w:rPr>
        <w:t xml:space="preserve"> </w:t>
      </w:r>
      <w:r>
        <w:rPr>
          <w:rFonts w:asciiTheme="minorHAnsi" w:hAnsiTheme="minorHAnsi" w:cstheme="minorHAnsi"/>
        </w:rPr>
        <w:tab/>
      </w:r>
      <w:r w:rsidRPr="00E2589A">
        <w:rPr>
          <w:rFonts w:asciiTheme="minorHAnsi" w:hAnsiTheme="minorHAnsi" w:cstheme="minorHAnsi"/>
        </w:rPr>
        <w:t>Zákon č. 458/2022 Sb., kterým se zrušuje zákon č. 112/2016 Sb., o evidenci tržeb, ve znění pozdějších předpisů, a mění a zrušují další související právní předpisy.</w:t>
      </w:r>
    </w:p>
  </w:footnote>
  <w:footnote w:id="7">
    <w:p w14:paraId="5CC65B17" w14:textId="471EDEAB" w:rsidR="000A558B" w:rsidRPr="003211DC" w:rsidRDefault="000A558B" w:rsidP="00997524">
      <w:pPr>
        <w:pStyle w:val="Textpoznpodarou"/>
        <w:ind w:left="284" w:hanging="284"/>
        <w:jc w:val="both"/>
        <w:rPr>
          <w:rFonts w:asciiTheme="minorHAnsi" w:hAnsiTheme="minorHAnsi" w:cstheme="minorHAnsi"/>
        </w:rPr>
      </w:pPr>
      <w:r w:rsidRPr="003211DC">
        <w:rPr>
          <w:rStyle w:val="Znakapoznpodarou"/>
          <w:rFonts w:asciiTheme="minorHAnsi" w:hAnsiTheme="minorHAnsi" w:cstheme="minorHAnsi"/>
        </w:rPr>
        <w:footnoteRef/>
      </w:r>
      <w:r w:rsidRPr="003211DC">
        <w:rPr>
          <w:rFonts w:asciiTheme="minorHAnsi" w:hAnsiTheme="minorHAnsi" w:cstheme="minorHAnsi"/>
        </w:rPr>
        <w:t xml:space="preserve"> </w:t>
      </w:r>
      <w:r>
        <w:rPr>
          <w:rFonts w:asciiTheme="minorHAnsi" w:hAnsiTheme="minorHAnsi" w:cstheme="minorHAnsi"/>
        </w:rPr>
        <w:tab/>
      </w:r>
      <w:r w:rsidRPr="003211DC">
        <w:rPr>
          <w:rFonts w:asciiTheme="minorHAnsi" w:hAnsiTheme="minorHAnsi" w:cstheme="minorHAnsi"/>
        </w:rPr>
        <w:t>Zákon o EET nabyl účinnosti v ustanoveních § 10 až § 17 a § 32 již dne 1. 9. 2016, v ostatních ustanoveních nabyl účinnosti 1. 12. 2016</w:t>
      </w:r>
      <w:r>
        <w:rPr>
          <w:rFonts w:asciiTheme="minorHAnsi" w:hAnsiTheme="minorHAnsi" w:cstheme="minorHAnsi"/>
        </w:rPr>
        <w:t>.</w:t>
      </w:r>
    </w:p>
  </w:footnote>
  <w:footnote w:id="8">
    <w:p w14:paraId="40A17053" w14:textId="152C044E" w:rsidR="000A558B" w:rsidRPr="003211DC" w:rsidRDefault="000A558B" w:rsidP="00997524">
      <w:pPr>
        <w:pStyle w:val="Textpoznpodarou"/>
        <w:ind w:left="284" w:hanging="284"/>
        <w:jc w:val="both"/>
        <w:rPr>
          <w:rFonts w:asciiTheme="minorHAnsi" w:hAnsiTheme="minorHAnsi" w:cstheme="minorHAnsi"/>
        </w:rPr>
      </w:pPr>
      <w:r w:rsidRPr="003211DC">
        <w:rPr>
          <w:rStyle w:val="Znakapoznpodarou"/>
          <w:rFonts w:asciiTheme="minorHAnsi" w:hAnsiTheme="minorHAnsi" w:cstheme="minorHAnsi"/>
        </w:rPr>
        <w:footnoteRef/>
      </w:r>
      <w:r w:rsidRPr="003211DC">
        <w:rPr>
          <w:rFonts w:asciiTheme="minorHAnsi" w:hAnsiTheme="minorHAnsi" w:cstheme="minorHAnsi"/>
        </w:rPr>
        <w:t xml:space="preserve"> </w:t>
      </w:r>
      <w:r>
        <w:rPr>
          <w:rFonts w:asciiTheme="minorHAnsi" w:hAnsiTheme="minorHAnsi" w:cstheme="minorHAnsi"/>
        </w:rPr>
        <w:tab/>
      </w:r>
      <w:r w:rsidRPr="003211DC">
        <w:rPr>
          <w:rFonts w:asciiTheme="minorHAnsi" w:hAnsiTheme="minorHAnsi" w:cstheme="minorHAnsi"/>
        </w:rPr>
        <w:t>Viz ustanovení § 5 zákona o EET a důvodová zpráva k tomuto zákonu.</w:t>
      </w:r>
    </w:p>
  </w:footnote>
  <w:footnote w:id="9">
    <w:p w14:paraId="0C5EFA5F" w14:textId="3B60E8D8" w:rsidR="000A558B" w:rsidRPr="003211DC" w:rsidRDefault="000A558B" w:rsidP="00997524">
      <w:pPr>
        <w:pStyle w:val="Textpoznpodarou"/>
        <w:ind w:left="284" w:hanging="284"/>
        <w:jc w:val="both"/>
        <w:rPr>
          <w:rFonts w:asciiTheme="minorHAnsi" w:hAnsiTheme="minorHAnsi" w:cstheme="minorHAnsi"/>
        </w:rPr>
      </w:pPr>
      <w:r w:rsidRPr="003211DC">
        <w:rPr>
          <w:rStyle w:val="Znakapoznpodarou"/>
          <w:rFonts w:asciiTheme="minorHAnsi" w:hAnsiTheme="minorHAnsi" w:cstheme="minorHAnsi"/>
        </w:rPr>
        <w:footnoteRef/>
      </w:r>
      <w:r w:rsidRPr="003211DC">
        <w:rPr>
          <w:rFonts w:asciiTheme="minorHAnsi" w:hAnsiTheme="minorHAnsi" w:cstheme="minorHAnsi"/>
        </w:rPr>
        <w:t xml:space="preserve"> </w:t>
      </w:r>
      <w:r>
        <w:rPr>
          <w:rFonts w:asciiTheme="minorHAnsi" w:hAnsiTheme="minorHAnsi" w:cstheme="minorHAnsi"/>
        </w:rPr>
        <w:tab/>
      </w:r>
      <w:r w:rsidRPr="003211DC">
        <w:rPr>
          <w:rFonts w:asciiTheme="minorHAnsi" w:hAnsiTheme="minorHAnsi" w:cstheme="minorHAnsi"/>
        </w:rPr>
        <w:t>Zákon č. 137/2020 Sb., o některých úpravách v oblasti evidence tržeb v souvislosti s vyhlášením nouzového stavu.</w:t>
      </w:r>
    </w:p>
  </w:footnote>
  <w:footnote w:id="10">
    <w:p w14:paraId="32B7B64D" w14:textId="0FD16BEE" w:rsidR="000A558B" w:rsidRPr="003211DC" w:rsidRDefault="000A558B" w:rsidP="00997524">
      <w:pPr>
        <w:pStyle w:val="Textpoznpodarou"/>
        <w:ind w:left="284" w:hanging="284"/>
        <w:jc w:val="both"/>
        <w:rPr>
          <w:rFonts w:asciiTheme="minorHAnsi" w:hAnsiTheme="minorHAnsi" w:cstheme="minorHAnsi"/>
        </w:rPr>
      </w:pPr>
      <w:r w:rsidRPr="003211DC">
        <w:rPr>
          <w:rStyle w:val="Znakapoznpodarou"/>
          <w:rFonts w:asciiTheme="minorHAnsi" w:hAnsiTheme="minorHAnsi" w:cstheme="minorHAnsi"/>
        </w:rPr>
        <w:footnoteRef/>
      </w:r>
      <w:r w:rsidRPr="003211DC">
        <w:rPr>
          <w:rFonts w:asciiTheme="minorHAnsi" w:hAnsiTheme="minorHAnsi" w:cstheme="minorHAnsi"/>
        </w:rPr>
        <w:t xml:space="preserve"> </w:t>
      </w:r>
      <w:r>
        <w:rPr>
          <w:rFonts w:asciiTheme="minorHAnsi" w:hAnsiTheme="minorHAnsi" w:cstheme="minorHAnsi"/>
        </w:rPr>
        <w:tab/>
      </w:r>
      <w:r w:rsidRPr="003211DC">
        <w:rPr>
          <w:rFonts w:asciiTheme="minorHAnsi" w:hAnsiTheme="minorHAnsi" w:cstheme="minorHAnsi"/>
        </w:rPr>
        <w:t>Z</w:t>
      </w:r>
      <w:r w:rsidRPr="003211DC">
        <w:rPr>
          <w:rFonts w:asciiTheme="minorHAnsi" w:hAnsiTheme="minorHAnsi" w:cstheme="minorHAnsi"/>
          <w:iCs/>
        </w:rPr>
        <w:t xml:space="preserve">ákon č. 263/2020 Sb., </w:t>
      </w:r>
      <w:r w:rsidRPr="003211DC">
        <w:rPr>
          <w:rFonts w:asciiTheme="minorHAnsi" w:hAnsiTheme="minorHAnsi" w:cstheme="minorHAnsi"/>
          <w:bCs/>
        </w:rPr>
        <w:t>kterým se mění zákon č. 137/2020 Sb., o některých úpravách v oblasti evidence tržeb v souvislosti s vyhlášením nouzového stavu</w:t>
      </w:r>
      <w:r w:rsidRPr="003211DC">
        <w:rPr>
          <w:rFonts w:asciiTheme="minorHAnsi" w:hAnsiTheme="minorHAnsi" w:cstheme="minorHAnsi"/>
          <w:iCs/>
        </w:rPr>
        <w:t>.</w:t>
      </w:r>
    </w:p>
  </w:footnote>
  <w:footnote w:id="11">
    <w:p w14:paraId="4CD96CC2" w14:textId="70264B8C" w:rsidR="000A558B" w:rsidRPr="003211DC" w:rsidRDefault="000A558B" w:rsidP="00997524">
      <w:pPr>
        <w:pStyle w:val="Textpoznpodarou"/>
        <w:ind w:left="284" w:hanging="284"/>
        <w:jc w:val="both"/>
        <w:rPr>
          <w:rFonts w:asciiTheme="minorHAnsi" w:hAnsiTheme="minorHAnsi" w:cstheme="minorHAnsi"/>
        </w:rPr>
      </w:pPr>
      <w:r w:rsidRPr="003211DC">
        <w:rPr>
          <w:rStyle w:val="Znakapoznpodarou"/>
          <w:rFonts w:asciiTheme="minorHAnsi" w:hAnsiTheme="minorHAnsi" w:cstheme="minorHAnsi"/>
        </w:rPr>
        <w:footnoteRef/>
      </w:r>
      <w:r w:rsidRPr="003211DC">
        <w:rPr>
          <w:rFonts w:asciiTheme="minorHAnsi" w:hAnsiTheme="minorHAnsi" w:cstheme="minorHAnsi"/>
        </w:rPr>
        <w:t xml:space="preserve"> </w:t>
      </w:r>
      <w:r>
        <w:rPr>
          <w:rFonts w:asciiTheme="minorHAnsi" w:hAnsiTheme="minorHAnsi" w:cstheme="minorHAnsi"/>
        </w:rPr>
        <w:tab/>
      </w:r>
      <w:r w:rsidRPr="003211DC">
        <w:rPr>
          <w:rFonts w:asciiTheme="minorHAnsi" w:hAnsiTheme="minorHAnsi" w:cstheme="minorHAnsi"/>
        </w:rPr>
        <w:t>Zákon č. 449/2020 Sb., kterým se mění zákon č. 137/2020 Sb., o některých úpravách v oblasti evidence tržeb v souvislosti s vyhlášením nouzového stavu, ve znění pozdějších předpisů.</w:t>
      </w:r>
    </w:p>
  </w:footnote>
  <w:footnote w:id="12">
    <w:p w14:paraId="4C2E1E93" w14:textId="082D1BA5" w:rsidR="000A558B" w:rsidRPr="004E38E8" w:rsidRDefault="000A558B" w:rsidP="00997524">
      <w:pPr>
        <w:pStyle w:val="Textpoznpodarou"/>
        <w:ind w:left="284" w:hanging="284"/>
        <w:jc w:val="both"/>
        <w:rPr>
          <w:rFonts w:asciiTheme="minorHAnsi" w:hAnsiTheme="minorHAnsi"/>
        </w:rPr>
      </w:pPr>
      <w:r w:rsidRPr="003211DC">
        <w:rPr>
          <w:rStyle w:val="Znakapoznpodarou"/>
          <w:rFonts w:asciiTheme="minorHAnsi" w:hAnsiTheme="minorHAnsi" w:cstheme="minorHAnsi"/>
        </w:rPr>
        <w:footnoteRef/>
      </w:r>
      <w:r w:rsidRPr="003211DC">
        <w:rPr>
          <w:rFonts w:asciiTheme="minorHAnsi" w:hAnsiTheme="minorHAnsi" w:cstheme="minorHAnsi"/>
        </w:rPr>
        <w:t xml:space="preserve"> </w:t>
      </w:r>
      <w:r>
        <w:rPr>
          <w:rFonts w:asciiTheme="minorHAnsi" w:hAnsiTheme="minorHAnsi" w:cstheme="minorHAnsi"/>
        </w:rPr>
        <w:tab/>
      </w:r>
      <w:r w:rsidRPr="003211DC">
        <w:rPr>
          <w:rFonts w:asciiTheme="minorHAnsi" w:hAnsiTheme="minorHAnsi" w:cstheme="minorHAnsi"/>
        </w:rPr>
        <w:t>Zákon č. 458/2022 Sb., kterým se zrušuje zákon č. 112/2016 Sb., o evidenci tržeb, ve znění pozdějších předpisů, a mění a zrušují další související právní předpisy (o zrušení zákona o evidenci tržeb).</w:t>
      </w:r>
    </w:p>
  </w:footnote>
  <w:footnote w:id="13">
    <w:p w14:paraId="2057CDEA" w14:textId="458A3E11" w:rsidR="000A558B" w:rsidRPr="003211DC" w:rsidRDefault="000A558B" w:rsidP="00997524">
      <w:pPr>
        <w:pStyle w:val="Textpoznpodarou"/>
        <w:ind w:left="284" w:hanging="284"/>
        <w:jc w:val="both"/>
        <w:rPr>
          <w:rFonts w:asciiTheme="minorHAnsi" w:hAnsiTheme="minorHAnsi" w:cstheme="minorHAnsi"/>
          <w:b/>
        </w:rPr>
      </w:pPr>
      <w:r w:rsidRPr="003211DC">
        <w:rPr>
          <w:rStyle w:val="Znakapoznpodarou"/>
          <w:rFonts w:asciiTheme="minorHAnsi" w:hAnsiTheme="minorHAnsi" w:cstheme="minorHAnsi"/>
        </w:rPr>
        <w:footnoteRef/>
      </w:r>
      <w:r w:rsidRPr="003211DC">
        <w:rPr>
          <w:rFonts w:asciiTheme="minorHAnsi" w:hAnsiTheme="minorHAnsi" w:cstheme="minorHAnsi"/>
        </w:rPr>
        <w:t xml:space="preserve"> </w:t>
      </w:r>
      <w:r>
        <w:rPr>
          <w:rFonts w:asciiTheme="minorHAnsi" w:hAnsiTheme="minorHAnsi" w:cstheme="minorHAnsi"/>
        </w:rPr>
        <w:tab/>
      </w:r>
      <w:r w:rsidRPr="003211DC">
        <w:rPr>
          <w:rFonts w:asciiTheme="minorHAnsi" w:hAnsiTheme="minorHAnsi" w:cstheme="minorHAnsi"/>
        </w:rPr>
        <w:t>Zákon č. 360/2014 Sb., kterým se mění zákon č. 235/2004 Sb., o dani z přidané hodnoty, ve znění pozdějších předpisů, a další související zákony.</w:t>
      </w:r>
    </w:p>
  </w:footnote>
  <w:footnote w:id="14">
    <w:p w14:paraId="63833BAF" w14:textId="637BE3B2" w:rsidR="000A558B" w:rsidRPr="003211DC" w:rsidRDefault="000A558B" w:rsidP="00997524">
      <w:pPr>
        <w:pStyle w:val="Textpoznpodarou"/>
        <w:ind w:left="284" w:hanging="284"/>
        <w:jc w:val="both"/>
        <w:rPr>
          <w:rFonts w:asciiTheme="minorHAnsi" w:hAnsiTheme="minorHAnsi" w:cstheme="minorHAnsi"/>
        </w:rPr>
      </w:pPr>
      <w:r w:rsidRPr="003211DC">
        <w:rPr>
          <w:rStyle w:val="Znakapoznpodarou"/>
          <w:rFonts w:asciiTheme="minorHAnsi" w:hAnsiTheme="minorHAnsi" w:cstheme="minorHAnsi"/>
        </w:rPr>
        <w:footnoteRef/>
      </w:r>
      <w:r w:rsidRPr="003211DC">
        <w:rPr>
          <w:rFonts w:asciiTheme="minorHAnsi" w:hAnsiTheme="minorHAnsi" w:cstheme="minorHAnsi"/>
        </w:rPr>
        <w:t xml:space="preserve"> </w:t>
      </w:r>
      <w:r>
        <w:rPr>
          <w:rFonts w:asciiTheme="minorHAnsi" w:hAnsiTheme="minorHAnsi" w:cstheme="minorHAnsi"/>
        </w:rPr>
        <w:tab/>
      </w:r>
      <w:r w:rsidRPr="003211DC">
        <w:rPr>
          <w:rFonts w:asciiTheme="minorHAnsi" w:hAnsiTheme="minorHAnsi" w:cstheme="minorHAnsi"/>
        </w:rPr>
        <w:t>Zákon č. 235/2004 Sb., o dani z přidané hodnoty.</w:t>
      </w:r>
    </w:p>
  </w:footnote>
  <w:footnote w:id="15">
    <w:p w14:paraId="3C9592D3" w14:textId="204D7E29" w:rsidR="000A558B" w:rsidRPr="003211DC" w:rsidRDefault="000A558B" w:rsidP="00997524">
      <w:pPr>
        <w:pStyle w:val="Textpoznpodarou"/>
        <w:ind w:left="284" w:hanging="284"/>
        <w:jc w:val="both"/>
        <w:rPr>
          <w:rFonts w:asciiTheme="minorHAnsi" w:hAnsiTheme="minorHAnsi" w:cstheme="minorHAnsi"/>
        </w:rPr>
      </w:pPr>
      <w:r w:rsidRPr="003211DC">
        <w:rPr>
          <w:rStyle w:val="Znakapoznpodarou"/>
          <w:rFonts w:asciiTheme="minorHAnsi" w:hAnsiTheme="minorHAnsi" w:cstheme="minorHAnsi"/>
        </w:rPr>
        <w:footnoteRef/>
      </w:r>
      <w:r w:rsidRPr="003211DC">
        <w:rPr>
          <w:rFonts w:asciiTheme="minorHAnsi" w:hAnsiTheme="minorHAnsi" w:cstheme="minorHAnsi"/>
        </w:rPr>
        <w:t xml:space="preserve"> </w:t>
      </w:r>
      <w:r>
        <w:rPr>
          <w:rFonts w:asciiTheme="minorHAnsi" w:hAnsiTheme="minorHAnsi" w:cstheme="minorHAnsi"/>
        </w:rPr>
        <w:tab/>
      </w:r>
      <w:r w:rsidRPr="003211DC">
        <w:rPr>
          <w:rFonts w:asciiTheme="minorHAnsi" w:hAnsiTheme="minorHAnsi" w:cstheme="minorHAnsi"/>
        </w:rPr>
        <w:t>Ustanovení § 101d odst. 1 zákona o DPH</w:t>
      </w:r>
      <w:r>
        <w:rPr>
          <w:rFonts w:asciiTheme="minorHAnsi" w:hAnsiTheme="minorHAnsi" w:cstheme="minorHAnsi"/>
        </w:rPr>
        <w:t>.</w:t>
      </w:r>
    </w:p>
  </w:footnote>
  <w:footnote w:id="16">
    <w:p w14:paraId="512E71DB" w14:textId="7112F8B1" w:rsidR="000A558B" w:rsidRPr="003211DC" w:rsidRDefault="000A558B" w:rsidP="00997524">
      <w:pPr>
        <w:pStyle w:val="Textpoznpodarou"/>
        <w:ind w:left="284" w:hanging="284"/>
        <w:jc w:val="both"/>
        <w:rPr>
          <w:rFonts w:asciiTheme="minorHAnsi" w:hAnsiTheme="minorHAnsi" w:cstheme="minorHAnsi"/>
        </w:rPr>
      </w:pPr>
      <w:r w:rsidRPr="003211DC">
        <w:rPr>
          <w:rStyle w:val="Znakapoznpodarou"/>
          <w:rFonts w:asciiTheme="minorHAnsi" w:hAnsiTheme="minorHAnsi" w:cstheme="minorHAnsi"/>
        </w:rPr>
        <w:footnoteRef/>
      </w:r>
      <w:r w:rsidRPr="003211DC">
        <w:rPr>
          <w:rFonts w:asciiTheme="minorHAnsi" w:hAnsiTheme="minorHAnsi" w:cstheme="minorHAnsi"/>
        </w:rPr>
        <w:t xml:space="preserve"> </w:t>
      </w:r>
      <w:r>
        <w:rPr>
          <w:rFonts w:asciiTheme="minorHAnsi" w:hAnsiTheme="minorHAnsi" w:cstheme="minorHAnsi"/>
        </w:rPr>
        <w:tab/>
      </w:r>
      <w:r w:rsidRPr="003211DC">
        <w:rPr>
          <w:rFonts w:asciiTheme="minorHAnsi" w:hAnsiTheme="minorHAnsi" w:cstheme="minorHAnsi"/>
        </w:rPr>
        <w:t xml:space="preserve">Ustanovení </w:t>
      </w:r>
      <w:r w:rsidRPr="003211DC">
        <w:rPr>
          <w:rFonts w:asciiTheme="minorHAnsi" w:hAnsiTheme="minorHAnsi" w:cstheme="minorHAnsi"/>
          <w:bCs/>
          <w:color w:val="000000"/>
          <w:shd w:val="clear" w:color="auto" w:fill="FFFFFF"/>
        </w:rPr>
        <w:t>§ 101e odst. 1</w:t>
      </w:r>
      <w:r>
        <w:rPr>
          <w:rFonts w:asciiTheme="minorHAnsi" w:hAnsiTheme="minorHAnsi" w:cstheme="minorHAnsi"/>
          <w:bCs/>
          <w:color w:val="000000"/>
          <w:shd w:val="clear" w:color="auto" w:fill="FFFFFF"/>
        </w:rPr>
        <w:t xml:space="preserve"> a</w:t>
      </w:r>
      <w:r w:rsidRPr="003211DC">
        <w:rPr>
          <w:rFonts w:asciiTheme="minorHAnsi" w:hAnsiTheme="minorHAnsi" w:cstheme="minorHAnsi"/>
          <w:bCs/>
          <w:color w:val="000000"/>
          <w:shd w:val="clear" w:color="auto" w:fill="FFFFFF"/>
        </w:rPr>
        <w:t xml:space="preserve"> 2 zákona o DPH</w:t>
      </w:r>
      <w:r>
        <w:rPr>
          <w:rFonts w:asciiTheme="minorHAnsi" w:hAnsiTheme="minorHAnsi" w:cstheme="minorHAnsi"/>
          <w:bCs/>
          <w:color w:val="000000"/>
          <w:shd w:val="clear" w:color="auto" w:fill="FFFFFF"/>
        </w:rPr>
        <w:t>.</w:t>
      </w:r>
    </w:p>
  </w:footnote>
  <w:footnote w:id="17">
    <w:p w14:paraId="7DD2CA27" w14:textId="6131312B" w:rsidR="000A558B" w:rsidRPr="003211DC" w:rsidRDefault="000A558B" w:rsidP="00997524">
      <w:pPr>
        <w:pStyle w:val="Textpoznpodarou"/>
        <w:ind w:left="284" w:hanging="284"/>
        <w:jc w:val="both"/>
        <w:rPr>
          <w:rFonts w:asciiTheme="minorHAnsi" w:hAnsiTheme="minorHAnsi" w:cstheme="minorHAnsi"/>
        </w:rPr>
      </w:pPr>
      <w:r w:rsidRPr="003211DC">
        <w:rPr>
          <w:rStyle w:val="Znakapoznpodarou"/>
          <w:rFonts w:asciiTheme="minorHAnsi" w:hAnsiTheme="minorHAnsi" w:cstheme="minorHAnsi"/>
        </w:rPr>
        <w:footnoteRef/>
      </w:r>
      <w:r w:rsidRPr="003211DC">
        <w:rPr>
          <w:rFonts w:asciiTheme="minorHAnsi" w:hAnsiTheme="minorHAnsi" w:cstheme="minorHAnsi"/>
        </w:rPr>
        <w:t xml:space="preserve"> </w:t>
      </w:r>
      <w:r>
        <w:rPr>
          <w:rFonts w:asciiTheme="minorHAnsi" w:hAnsiTheme="minorHAnsi" w:cstheme="minorHAnsi"/>
        </w:rPr>
        <w:tab/>
      </w:r>
      <w:r w:rsidRPr="003211DC">
        <w:rPr>
          <w:rFonts w:asciiTheme="minorHAnsi" w:hAnsiTheme="minorHAnsi" w:cstheme="minorHAnsi"/>
        </w:rPr>
        <w:t xml:space="preserve">FS ČR je soustavou správních orgánů pro výkon správy daní. Orgány FS ČR tvoří Generální finanční ředitelství, Odvolací finanční ředitelství a finanční úřady, které jsou správními úřady a organizačními složkami státu. </w:t>
      </w:r>
    </w:p>
  </w:footnote>
  <w:footnote w:id="18">
    <w:p w14:paraId="1AA23414" w14:textId="37383801" w:rsidR="000A558B" w:rsidRDefault="000A558B" w:rsidP="00997524">
      <w:pPr>
        <w:pStyle w:val="Textpoznpodarou"/>
        <w:ind w:left="284" w:hanging="284"/>
        <w:jc w:val="both"/>
      </w:pPr>
      <w:r w:rsidRPr="003211DC">
        <w:rPr>
          <w:rStyle w:val="Znakapoznpodarou"/>
          <w:rFonts w:asciiTheme="minorHAnsi" w:hAnsiTheme="minorHAnsi" w:cstheme="minorHAnsi"/>
        </w:rPr>
        <w:footnoteRef/>
      </w:r>
      <w:r w:rsidRPr="003211DC">
        <w:rPr>
          <w:rFonts w:asciiTheme="minorHAnsi" w:hAnsiTheme="minorHAnsi" w:cstheme="minorHAnsi"/>
        </w:rPr>
        <w:t xml:space="preserve"> </w:t>
      </w:r>
      <w:r>
        <w:rPr>
          <w:rFonts w:asciiTheme="minorHAnsi" w:hAnsiTheme="minorHAnsi" w:cstheme="minorHAnsi"/>
        </w:rPr>
        <w:tab/>
      </w:r>
      <w:r w:rsidRPr="003211DC">
        <w:rPr>
          <w:rFonts w:asciiTheme="minorHAnsi" w:hAnsiTheme="minorHAnsi" w:cstheme="minorHAnsi"/>
        </w:rPr>
        <w:t>CS ČR je soustavou správních orgánů a ozbrojeným bezpečnostním sborem. Orgány CS ČR tvoří Generální ředitelství cel a celní úřady, které jsou správními úřady a organizačními složkami státu.</w:t>
      </w:r>
    </w:p>
  </w:footnote>
  <w:footnote w:id="19">
    <w:p w14:paraId="5BB4AB1F" w14:textId="3032ACA5" w:rsidR="000A558B" w:rsidRPr="004108C0" w:rsidRDefault="000A558B" w:rsidP="00997524">
      <w:pPr>
        <w:pStyle w:val="Textpoznpodarou"/>
        <w:ind w:left="284" w:hanging="284"/>
        <w:jc w:val="both"/>
        <w:rPr>
          <w:rFonts w:asciiTheme="minorHAnsi" w:hAnsiTheme="minorHAnsi" w:cstheme="minorHAnsi"/>
        </w:rPr>
      </w:pPr>
      <w:r w:rsidRPr="004108C0">
        <w:rPr>
          <w:rStyle w:val="Znakapoznpodarou"/>
          <w:rFonts w:asciiTheme="minorHAnsi" w:hAnsiTheme="minorHAnsi" w:cstheme="minorHAnsi"/>
        </w:rPr>
        <w:footnoteRef/>
      </w:r>
      <w:r w:rsidRPr="004108C0">
        <w:rPr>
          <w:rFonts w:asciiTheme="minorHAnsi" w:hAnsiTheme="minorHAnsi" w:cstheme="minorHAnsi"/>
        </w:rPr>
        <w:t xml:space="preserve"> </w:t>
      </w:r>
      <w:bookmarkStart w:id="11" w:name="_Hlk165379580"/>
      <w:r>
        <w:rPr>
          <w:rFonts w:asciiTheme="minorHAnsi" w:hAnsiTheme="minorHAnsi" w:cstheme="minorHAnsi"/>
        </w:rPr>
        <w:tab/>
      </w:r>
      <w:r w:rsidRPr="004108C0">
        <w:rPr>
          <w:rFonts w:asciiTheme="minorHAnsi" w:hAnsiTheme="minorHAnsi" w:cstheme="minorHAnsi"/>
        </w:rPr>
        <w:t>V souladu s § 1 odst. 2 zákona č. 280/2009 Sb., daňový řád</w:t>
      </w:r>
      <w:bookmarkEnd w:id="11"/>
      <w:r>
        <w:rPr>
          <w:rFonts w:asciiTheme="minorHAnsi" w:hAnsiTheme="minorHAnsi" w:cstheme="minorHAnsi"/>
        </w:rPr>
        <w:t>.</w:t>
      </w:r>
    </w:p>
  </w:footnote>
  <w:footnote w:id="20">
    <w:p w14:paraId="3D15A585" w14:textId="2315F735" w:rsidR="000A558B" w:rsidRPr="004E38E8" w:rsidRDefault="000A558B" w:rsidP="00997524">
      <w:pPr>
        <w:pStyle w:val="Textpoznpodarou"/>
        <w:ind w:left="284" w:hanging="284"/>
        <w:jc w:val="both"/>
        <w:rPr>
          <w:rFonts w:asciiTheme="minorHAnsi" w:hAnsiTheme="minorHAnsi"/>
        </w:rPr>
      </w:pPr>
      <w:r w:rsidRPr="004E38E8">
        <w:rPr>
          <w:rStyle w:val="Znakapoznpodarou"/>
          <w:rFonts w:asciiTheme="minorHAnsi" w:hAnsiTheme="minorHAnsi"/>
        </w:rPr>
        <w:footnoteRef/>
      </w:r>
      <w:r w:rsidRPr="004E38E8">
        <w:rPr>
          <w:rFonts w:asciiTheme="minorHAnsi" w:hAnsiTheme="minorHAnsi"/>
        </w:rPr>
        <w:t xml:space="preserve"> </w:t>
      </w:r>
      <w:r>
        <w:rPr>
          <w:rFonts w:asciiTheme="minorHAnsi" w:hAnsiTheme="minorHAnsi"/>
        </w:rPr>
        <w:tab/>
      </w:r>
      <w:r w:rsidRPr="004E38E8">
        <w:rPr>
          <w:rFonts w:asciiTheme="minorHAnsi" w:hAnsiTheme="minorHAnsi"/>
        </w:rPr>
        <w:t>Zákon č. 280/2009 Sb., daňový řád</w:t>
      </w:r>
      <w:r>
        <w:rPr>
          <w:rFonts w:asciiTheme="minorHAnsi" w:hAnsiTheme="minorHAnsi"/>
        </w:rPr>
        <w:t>.</w:t>
      </w:r>
    </w:p>
  </w:footnote>
  <w:footnote w:id="21">
    <w:p w14:paraId="26C8A6B8" w14:textId="7C088559" w:rsidR="000A558B" w:rsidRPr="003211DC" w:rsidRDefault="000A558B" w:rsidP="00997524">
      <w:pPr>
        <w:pStyle w:val="Textpoznpodarou"/>
        <w:ind w:left="284" w:hanging="284"/>
        <w:jc w:val="both"/>
        <w:rPr>
          <w:rFonts w:asciiTheme="minorHAnsi" w:hAnsiTheme="minorHAnsi" w:cstheme="minorHAnsi"/>
        </w:rPr>
      </w:pPr>
      <w:r w:rsidRPr="003211DC">
        <w:rPr>
          <w:rStyle w:val="Znakapoznpodarou"/>
          <w:rFonts w:asciiTheme="minorHAnsi" w:hAnsiTheme="minorHAnsi" w:cstheme="minorHAnsi"/>
        </w:rPr>
        <w:footnoteRef/>
      </w:r>
      <w:r w:rsidRPr="003211DC">
        <w:rPr>
          <w:rFonts w:asciiTheme="minorHAnsi" w:hAnsiTheme="minorHAnsi" w:cstheme="minorHAnsi"/>
        </w:rPr>
        <w:t xml:space="preserve"> </w:t>
      </w:r>
      <w:r>
        <w:rPr>
          <w:rFonts w:asciiTheme="minorHAnsi" w:hAnsiTheme="minorHAnsi" w:cstheme="minorHAnsi"/>
        </w:rPr>
        <w:tab/>
      </w:r>
      <w:r w:rsidRPr="003211DC">
        <w:rPr>
          <w:rFonts w:asciiTheme="minorHAnsi" w:hAnsiTheme="minorHAnsi" w:cstheme="minorHAnsi"/>
        </w:rPr>
        <w:t xml:space="preserve">Viz </w:t>
      </w:r>
      <w:r>
        <w:rPr>
          <w:rFonts w:asciiTheme="minorHAnsi" w:hAnsiTheme="minorHAnsi" w:cstheme="minorHAnsi"/>
        </w:rPr>
        <w:t xml:space="preserve">rozsudek Nejvyššího správního soudu </w:t>
      </w:r>
      <w:r w:rsidRPr="003211DC">
        <w:rPr>
          <w:rFonts w:asciiTheme="minorHAnsi" w:hAnsiTheme="minorHAnsi" w:cstheme="minorHAnsi"/>
        </w:rPr>
        <w:t>8 Afs 201/2021-74</w:t>
      </w:r>
      <w:r>
        <w:rPr>
          <w:rFonts w:asciiTheme="minorHAnsi" w:hAnsiTheme="minorHAnsi" w:cstheme="minorHAnsi"/>
        </w:rPr>
        <w:t>.</w:t>
      </w:r>
    </w:p>
  </w:footnote>
  <w:footnote w:id="22">
    <w:p w14:paraId="5E27D476" w14:textId="416884DD" w:rsidR="000A558B" w:rsidRPr="004E38E8" w:rsidRDefault="000A558B" w:rsidP="00997524">
      <w:pPr>
        <w:pStyle w:val="Textpoznpodarou"/>
        <w:ind w:left="284" w:hanging="284"/>
        <w:jc w:val="both"/>
        <w:rPr>
          <w:rFonts w:asciiTheme="minorHAnsi" w:hAnsiTheme="minorHAnsi"/>
        </w:rPr>
      </w:pPr>
      <w:r w:rsidRPr="003211DC">
        <w:rPr>
          <w:rStyle w:val="Znakapoznpodarou"/>
          <w:rFonts w:asciiTheme="minorHAnsi" w:hAnsiTheme="minorHAnsi" w:cstheme="minorHAnsi"/>
        </w:rPr>
        <w:footnoteRef/>
      </w:r>
      <w:r w:rsidRPr="003211DC">
        <w:rPr>
          <w:rFonts w:asciiTheme="minorHAnsi" w:hAnsiTheme="minorHAnsi" w:cstheme="minorHAnsi"/>
        </w:rPr>
        <w:t xml:space="preserve"> </w:t>
      </w:r>
      <w:r>
        <w:rPr>
          <w:rFonts w:asciiTheme="minorHAnsi" w:hAnsiTheme="minorHAnsi" w:cstheme="minorHAnsi"/>
        </w:rPr>
        <w:tab/>
      </w:r>
      <w:r w:rsidRPr="003211DC">
        <w:rPr>
          <w:rFonts w:asciiTheme="minorHAnsi" w:hAnsiTheme="minorHAnsi" w:cstheme="minorHAnsi"/>
        </w:rPr>
        <w:t>Klasifikace ekonomických činností uvedená v nařízení Evropského parlamentu a Rady (ES) č. 1893/2006 ze dne 20. prosince 2006, kterým se zavádí statistická klasifikace ekonomických činností NACE Revize 2 a kterým se mění</w:t>
      </w:r>
      <w:r w:rsidRPr="004E38E8">
        <w:rPr>
          <w:rFonts w:asciiTheme="minorHAnsi" w:hAnsiTheme="minorHAnsi"/>
        </w:rPr>
        <w:t xml:space="preserve"> nařízení Rady (EHS) č. 3037/90 a některá nařízení ES o specifických statistických oblastech, v platném znění.</w:t>
      </w:r>
    </w:p>
  </w:footnote>
  <w:footnote w:id="23">
    <w:p w14:paraId="390EA62F" w14:textId="6DF09CF8" w:rsidR="000A558B" w:rsidRPr="003211DC" w:rsidRDefault="000A558B" w:rsidP="00997524">
      <w:pPr>
        <w:pStyle w:val="Textpoznpodarou"/>
        <w:ind w:left="284" w:hanging="284"/>
        <w:jc w:val="both"/>
        <w:rPr>
          <w:rFonts w:asciiTheme="minorHAnsi" w:hAnsiTheme="minorHAnsi" w:cstheme="minorHAnsi"/>
        </w:rPr>
      </w:pPr>
      <w:r w:rsidRPr="003211DC">
        <w:rPr>
          <w:rStyle w:val="Znakapoznpodarou"/>
          <w:rFonts w:asciiTheme="minorHAnsi" w:hAnsiTheme="minorHAnsi" w:cstheme="minorHAnsi"/>
        </w:rPr>
        <w:footnoteRef/>
      </w:r>
      <w:r w:rsidRPr="003211DC">
        <w:rPr>
          <w:rFonts w:asciiTheme="minorHAnsi" w:hAnsiTheme="minorHAnsi" w:cstheme="minorHAnsi"/>
        </w:rPr>
        <w:t xml:space="preserve"> </w:t>
      </w:r>
      <w:r>
        <w:rPr>
          <w:rFonts w:asciiTheme="minorHAnsi" w:hAnsiTheme="minorHAnsi" w:cstheme="minorHAnsi"/>
        </w:rPr>
        <w:tab/>
      </w:r>
      <w:r w:rsidRPr="003211DC">
        <w:rPr>
          <w:rFonts w:asciiTheme="minorHAnsi" w:hAnsiTheme="minorHAnsi" w:cstheme="minorHAnsi"/>
        </w:rPr>
        <w:t xml:space="preserve">Tj. dle § 5 </w:t>
      </w:r>
      <w:r>
        <w:rPr>
          <w:rFonts w:asciiTheme="minorHAnsi" w:hAnsiTheme="minorHAnsi" w:cstheme="minorHAnsi"/>
        </w:rPr>
        <w:t xml:space="preserve">písm. </w:t>
      </w:r>
      <w:r w:rsidRPr="003211DC">
        <w:rPr>
          <w:rFonts w:asciiTheme="minorHAnsi" w:hAnsiTheme="minorHAnsi" w:cstheme="minorHAnsi"/>
        </w:rPr>
        <w:t>b</w:t>
      </w:r>
      <w:r>
        <w:rPr>
          <w:rFonts w:asciiTheme="minorHAnsi" w:hAnsiTheme="minorHAnsi" w:cstheme="minorHAnsi"/>
        </w:rPr>
        <w:t>)</w:t>
      </w:r>
      <w:r w:rsidRPr="003211DC">
        <w:rPr>
          <w:rFonts w:asciiTheme="minorHAnsi" w:hAnsiTheme="minorHAnsi" w:cstheme="minorHAnsi"/>
        </w:rPr>
        <w:t xml:space="preserve"> zákona o EET: </w:t>
      </w:r>
      <w:r>
        <w:rPr>
          <w:rFonts w:asciiTheme="minorHAnsi" w:hAnsiTheme="minorHAnsi" w:cstheme="minorHAnsi"/>
        </w:rPr>
        <w:t xml:space="preserve">platba uskutečněná </w:t>
      </w:r>
      <w:r w:rsidRPr="003211DC">
        <w:rPr>
          <w:rFonts w:asciiTheme="minorHAnsi" w:hAnsiTheme="minorHAnsi" w:cstheme="minorHAnsi"/>
        </w:rPr>
        <w:t>bezhotovostním převodem peněžních prostředků, k</w:t>
      </w:r>
      <w:r>
        <w:rPr>
          <w:rFonts w:asciiTheme="minorHAnsi" w:hAnsiTheme="minorHAnsi" w:cstheme="minorHAnsi"/>
        </w:rPr>
        <w:t> </w:t>
      </w:r>
      <w:r w:rsidRPr="003211DC">
        <w:rPr>
          <w:rFonts w:asciiTheme="minorHAnsi" w:hAnsiTheme="minorHAnsi" w:cstheme="minorHAnsi"/>
        </w:rPr>
        <w:t>němuž dává příkaz plátce prostřednictvím příjemce, kterým je poplatník, který má tržbu evidovat.</w:t>
      </w:r>
    </w:p>
  </w:footnote>
  <w:footnote w:id="24">
    <w:p w14:paraId="020A3876" w14:textId="4FD5E540" w:rsidR="000A558B" w:rsidRDefault="000A558B" w:rsidP="00997524">
      <w:pPr>
        <w:pStyle w:val="Textpoznpodarou"/>
        <w:ind w:left="284" w:hanging="284"/>
        <w:jc w:val="both"/>
      </w:pPr>
      <w:r w:rsidRPr="003211DC">
        <w:rPr>
          <w:rStyle w:val="Znakapoznpodarou"/>
          <w:rFonts w:asciiTheme="minorHAnsi" w:hAnsiTheme="minorHAnsi" w:cstheme="minorHAnsi"/>
        </w:rPr>
        <w:footnoteRef/>
      </w:r>
      <w:r w:rsidRPr="003211DC">
        <w:rPr>
          <w:rFonts w:asciiTheme="minorHAnsi" w:hAnsiTheme="minorHAnsi" w:cstheme="minorHAnsi"/>
        </w:rPr>
        <w:t xml:space="preserve"> </w:t>
      </w:r>
      <w:r>
        <w:rPr>
          <w:rFonts w:asciiTheme="minorHAnsi" w:hAnsiTheme="minorHAnsi" w:cstheme="minorHAnsi"/>
        </w:rPr>
        <w:tab/>
      </w:r>
      <w:r w:rsidRPr="003211DC">
        <w:rPr>
          <w:rFonts w:asciiTheme="minorHAnsi" w:hAnsiTheme="minorHAnsi" w:cstheme="minorHAnsi"/>
        </w:rPr>
        <w:t>Zákon č. 256/2019 Sb., kterým se mění zákon č. 112/2016 Sb., o evidenci tržeb, ve znění pozdějších předpisů, a zákon č. 235/2004 Sb., o dani z přidané hodnoty, ve znění pozdějších předpisů.</w:t>
      </w:r>
    </w:p>
  </w:footnote>
  <w:footnote w:id="25">
    <w:p w14:paraId="5D24C31C" w14:textId="669219A2" w:rsidR="000A558B" w:rsidRPr="008E4917" w:rsidRDefault="000A558B" w:rsidP="00997524">
      <w:pPr>
        <w:pStyle w:val="Textpoznpodarou"/>
        <w:ind w:left="284" w:hanging="284"/>
        <w:jc w:val="both"/>
        <w:rPr>
          <w:rFonts w:asciiTheme="minorHAnsi" w:hAnsiTheme="minorHAnsi"/>
        </w:rPr>
      </w:pPr>
      <w:r w:rsidRPr="008E4917">
        <w:rPr>
          <w:rStyle w:val="Znakapoznpodarou"/>
          <w:rFonts w:asciiTheme="minorHAnsi" w:hAnsiTheme="minorHAnsi"/>
        </w:rPr>
        <w:footnoteRef/>
      </w:r>
      <w:r w:rsidRPr="008E4917">
        <w:rPr>
          <w:rFonts w:asciiTheme="minorHAnsi" w:hAnsiTheme="minorHAnsi"/>
        </w:rPr>
        <w:t xml:space="preserve"> </w:t>
      </w:r>
      <w:r>
        <w:rPr>
          <w:rFonts w:asciiTheme="minorHAnsi" w:hAnsiTheme="minorHAnsi"/>
        </w:rPr>
        <w:tab/>
      </w:r>
      <w:r w:rsidRPr="008E4917">
        <w:rPr>
          <w:rFonts w:asciiTheme="minorHAnsi" w:hAnsiTheme="minorHAnsi"/>
        </w:rPr>
        <w:t>Stanovisko NKÚ k návrhu státního závěrečného účtu České republiky za rok 2017</w:t>
      </w:r>
      <w:r>
        <w:rPr>
          <w:rFonts w:asciiTheme="minorHAnsi" w:hAnsiTheme="minorHAnsi"/>
        </w:rPr>
        <w:t>.</w:t>
      </w:r>
    </w:p>
  </w:footnote>
  <w:footnote w:id="26">
    <w:p w14:paraId="665DE483" w14:textId="28BB18A8" w:rsidR="000A558B" w:rsidRPr="00AF0FE2" w:rsidRDefault="000A558B" w:rsidP="00997524">
      <w:pPr>
        <w:pStyle w:val="Textpoznpodarou"/>
        <w:ind w:left="284" w:hanging="284"/>
        <w:jc w:val="both"/>
        <w:rPr>
          <w:rFonts w:asciiTheme="minorHAnsi" w:hAnsiTheme="minorHAnsi"/>
        </w:rPr>
      </w:pPr>
      <w:r w:rsidRPr="00AF0FE2">
        <w:rPr>
          <w:rStyle w:val="Znakapoznpodarou"/>
          <w:rFonts w:asciiTheme="minorHAnsi" w:eastAsiaTheme="majorEastAsia" w:hAnsiTheme="minorHAnsi"/>
        </w:rPr>
        <w:footnoteRef/>
      </w:r>
      <w:r w:rsidRPr="00AF0FE2">
        <w:rPr>
          <w:rFonts w:asciiTheme="minorHAnsi" w:hAnsiTheme="minorHAnsi"/>
        </w:rPr>
        <w:t xml:space="preserve"> </w:t>
      </w:r>
      <w:r>
        <w:rPr>
          <w:rFonts w:asciiTheme="minorHAnsi" w:hAnsiTheme="minorHAnsi"/>
        </w:rPr>
        <w:tab/>
      </w:r>
      <w:r w:rsidRPr="00AF0FE2">
        <w:rPr>
          <w:rFonts w:asciiTheme="minorHAnsi" w:hAnsiTheme="minorHAnsi"/>
        </w:rPr>
        <w:t>GFŘ odhadlo růst skutečného inkasa DPH v odvětvích, kter</w:t>
      </w:r>
      <w:r>
        <w:rPr>
          <w:rFonts w:asciiTheme="minorHAnsi" w:hAnsiTheme="minorHAnsi"/>
        </w:rPr>
        <w:t>á</w:t>
      </w:r>
      <w:r w:rsidRPr="00AF0FE2">
        <w:rPr>
          <w:rFonts w:asciiTheme="minorHAnsi" w:hAnsiTheme="minorHAnsi"/>
        </w:rPr>
        <w:t xml:space="preserve"> spadal</w:t>
      </w:r>
      <w:r>
        <w:rPr>
          <w:rFonts w:asciiTheme="minorHAnsi" w:hAnsiTheme="minorHAnsi"/>
        </w:rPr>
        <w:t>a</w:t>
      </w:r>
      <w:r w:rsidRPr="00AF0FE2">
        <w:rPr>
          <w:rFonts w:asciiTheme="minorHAnsi" w:hAnsiTheme="minorHAnsi"/>
        </w:rPr>
        <w:t xml:space="preserve"> do EET</w:t>
      </w:r>
      <w:r>
        <w:rPr>
          <w:rFonts w:asciiTheme="minorHAnsi" w:hAnsiTheme="minorHAnsi"/>
        </w:rPr>
        <w:t>,</w:t>
      </w:r>
      <w:r w:rsidRPr="00AF0FE2">
        <w:rPr>
          <w:rFonts w:asciiTheme="minorHAnsi" w:hAnsiTheme="minorHAnsi"/>
        </w:rPr>
        <w:t xml:space="preserve"> a nárůst inkasa způsoben</w:t>
      </w:r>
      <w:r>
        <w:rPr>
          <w:rFonts w:asciiTheme="minorHAnsi" w:hAnsiTheme="minorHAnsi"/>
        </w:rPr>
        <w:t>ý</w:t>
      </w:r>
      <w:r w:rsidRPr="00AF0FE2">
        <w:rPr>
          <w:rFonts w:asciiTheme="minorHAnsi" w:hAnsiTheme="minorHAnsi"/>
        </w:rPr>
        <w:t xml:space="preserve"> růstem ekonomiky </w:t>
      </w:r>
      <w:r>
        <w:rPr>
          <w:rFonts w:asciiTheme="minorHAnsi" w:hAnsiTheme="minorHAnsi"/>
        </w:rPr>
        <w:t xml:space="preserve">a </w:t>
      </w:r>
      <w:r w:rsidRPr="00AF0FE2">
        <w:rPr>
          <w:rFonts w:asciiTheme="minorHAnsi" w:hAnsiTheme="minorHAnsi"/>
        </w:rPr>
        <w:t>očištěn</w:t>
      </w:r>
      <w:r>
        <w:rPr>
          <w:rFonts w:asciiTheme="minorHAnsi" w:hAnsiTheme="minorHAnsi"/>
        </w:rPr>
        <w:t>ý</w:t>
      </w:r>
      <w:r w:rsidRPr="00AF0FE2">
        <w:rPr>
          <w:rFonts w:asciiTheme="minorHAnsi" w:hAnsiTheme="minorHAnsi"/>
        </w:rPr>
        <w:t xml:space="preserve"> o další možné vlivy. Rozdíl je hodnota vlivu EET na inkaso DPH.</w:t>
      </w:r>
    </w:p>
  </w:footnote>
  <w:footnote w:id="27">
    <w:p w14:paraId="3B14502E" w14:textId="11D36A6E" w:rsidR="000A558B" w:rsidRDefault="000A558B" w:rsidP="00997524">
      <w:pPr>
        <w:pStyle w:val="Textpoznpodarou"/>
        <w:ind w:left="284" w:hanging="284"/>
        <w:jc w:val="both"/>
      </w:pPr>
      <w:r w:rsidRPr="00AF0FE2">
        <w:rPr>
          <w:rStyle w:val="Znakapoznpodarou"/>
          <w:rFonts w:asciiTheme="minorHAnsi" w:eastAsiaTheme="majorEastAsia" w:hAnsiTheme="minorHAnsi"/>
        </w:rPr>
        <w:footnoteRef/>
      </w:r>
      <w:r w:rsidRPr="00AF0FE2">
        <w:rPr>
          <w:rFonts w:asciiTheme="minorHAnsi" w:hAnsiTheme="minorHAnsi"/>
        </w:rPr>
        <w:t xml:space="preserve"> </w:t>
      </w:r>
      <w:r>
        <w:rPr>
          <w:rFonts w:asciiTheme="minorHAnsi" w:hAnsiTheme="minorHAnsi"/>
        </w:rPr>
        <w:tab/>
      </w:r>
      <w:r w:rsidRPr="00AF0FE2">
        <w:rPr>
          <w:rFonts w:asciiTheme="minorHAnsi" w:hAnsiTheme="minorHAnsi"/>
        </w:rPr>
        <w:t>Jedná se o kladný rozdíl mezi skutečným inkasem a teoretickým inkasem daně. Hrubý meziroční rozdíl inkasa byl očištěn o autonomní růst (se zohledněním vlivu tvorb</w:t>
      </w:r>
      <w:r>
        <w:rPr>
          <w:rFonts w:asciiTheme="minorHAnsi" w:hAnsiTheme="minorHAnsi"/>
        </w:rPr>
        <w:t>y</w:t>
      </w:r>
      <w:r w:rsidRPr="00AF0FE2">
        <w:rPr>
          <w:rFonts w:asciiTheme="minorHAnsi" w:hAnsiTheme="minorHAnsi"/>
        </w:rPr>
        <w:t xml:space="preserve"> hrubého fixního kapitálu</w:t>
      </w:r>
      <w:r>
        <w:rPr>
          <w:rFonts w:asciiTheme="minorHAnsi" w:hAnsiTheme="minorHAnsi"/>
        </w:rPr>
        <w:t xml:space="preserve"> a </w:t>
      </w:r>
      <w:r w:rsidRPr="00AF0FE2">
        <w:rPr>
          <w:rFonts w:asciiTheme="minorHAnsi" w:hAnsiTheme="minorHAnsi"/>
        </w:rPr>
        <w:t>vývoje výdajů na spotřebu domácností</w:t>
      </w:r>
      <w:r>
        <w:rPr>
          <w:rFonts w:asciiTheme="minorHAnsi" w:hAnsiTheme="minorHAnsi"/>
        </w:rPr>
        <w:t xml:space="preserve"> a</w:t>
      </w:r>
      <w:r w:rsidRPr="00AF0FE2">
        <w:rPr>
          <w:rFonts w:asciiTheme="minorHAnsi" w:hAnsiTheme="minorHAnsi"/>
        </w:rPr>
        <w:t xml:space="preserve"> vlády), o vliv diskrečních opatření, kter</w:t>
      </w:r>
      <w:r>
        <w:rPr>
          <w:rFonts w:asciiTheme="minorHAnsi" w:hAnsiTheme="minorHAnsi"/>
        </w:rPr>
        <w:t>á</w:t>
      </w:r>
      <w:r w:rsidRPr="00AF0FE2">
        <w:rPr>
          <w:rFonts w:asciiTheme="minorHAnsi" w:hAnsiTheme="minorHAnsi"/>
        </w:rPr>
        <w:t xml:space="preserve"> mají vliv na inkaso v daném roce</w:t>
      </w:r>
      <w:r>
        <w:rPr>
          <w:rFonts w:asciiTheme="minorHAnsi" w:hAnsiTheme="minorHAnsi"/>
        </w:rPr>
        <w:t>,</w:t>
      </w:r>
      <w:r w:rsidRPr="00AF0FE2">
        <w:rPr>
          <w:rFonts w:asciiTheme="minorHAnsi" w:hAnsiTheme="minorHAnsi"/>
        </w:rPr>
        <w:t xml:space="preserve"> a dále byl zohledněn vývoj </w:t>
      </w:r>
      <w:r w:rsidRPr="0032644B">
        <w:rPr>
          <w:rFonts w:asciiTheme="minorHAnsi" w:hAnsiTheme="minorHAnsi"/>
        </w:rPr>
        <w:t>zadržených nadměrných odpočtů.</w:t>
      </w:r>
    </w:p>
  </w:footnote>
  <w:footnote w:id="28">
    <w:p w14:paraId="6F3D4325" w14:textId="3364F110" w:rsidR="000A558B" w:rsidRPr="00350220" w:rsidRDefault="000A558B" w:rsidP="00997524">
      <w:pPr>
        <w:pStyle w:val="Textpoznpodarou"/>
        <w:ind w:left="284" w:hanging="284"/>
        <w:jc w:val="both"/>
        <w:rPr>
          <w:rFonts w:asciiTheme="minorHAnsi" w:hAnsiTheme="minorHAnsi"/>
        </w:rPr>
      </w:pPr>
      <w:r w:rsidRPr="00350220">
        <w:rPr>
          <w:rStyle w:val="Znakapoznpodarou"/>
          <w:rFonts w:asciiTheme="minorHAnsi" w:hAnsiTheme="minorHAnsi"/>
        </w:rPr>
        <w:footnoteRef/>
      </w:r>
      <w:r w:rsidRPr="00350220">
        <w:rPr>
          <w:rFonts w:asciiTheme="minorHAnsi" w:hAnsiTheme="minorHAnsi"/>
        </w:rPr>
        <w:t xml:space="preserve"> </w:t>
      </w:r>
      <w:r>
        <w:rPr>
          <w:rFonts w:asciiTheme="minorHAnsi" w:hAnsiTheme="minorHAnsi"/>
        </w:rPr>
        <w:tab/>
      </w:r>
      <w:r w:rsidRPr="00350220">
        <w:rPr>
          <w:rFonts w:asciiTheme="minorHAnsi" w:hAnsiTheme="minorHAnsi"/>
        </w:rPr>
        <w:t xml:space="preserve">Osoba povinná k dani se při </w:t>
      </w:r>
      <w:r>
        <w:rPr>
          <w:rFonts w:asciiTheme="minorHAnsi" w:hAnsiTheme="minorHAnsi"/>
        </w:rPr>
        <w:t>s</w:t>
      </w:r>
      <w:r w:rsidRPr="00350220">
        <w:rPr>
          <w:rFonts w:asciiTheme="minorHAnsi" w:hAnsiTheme="minorHAnsi"/>
        </w:rPr>
        <w:t xml:space="preserve">plnění podmínek zákona o dani z přidané hodnoty stává plátcem DPH, např. subjekt, který </w:t>
      </w:r>
      <w:r>
        <w:rPr>
          <w:rFonts w:asciiTheme="minorHAnsi" w:hAnsiTheme="minorHAnsi"/>
        </w:rPr>
        <w:t xml:space="preserve">nejvýše </w:t>
      </w:r>
      <w:r w:rsidRPr="00350220">
        <w:rPr>
          <w:rFonts w:asciiTheme="minorHAnsi" w:hAnsiTheme="minorHAnsi"/>
        </w:rPr>
        <w:t>ve dvanácti po sobě jdoucích kalendářních měsících překročí obrat 1 000 000 Kč. Pokud tato osoba nepodá přihlášku k registraci, zahájí registrační řízení správce daně. Osoba povinná k dani uvedená v</w:t>
      </w:r>
      <w:r>
        <w:rPr>
          <w:rFonts w:asciiTheme="minorHAnsi" w:hAnsiTheme="minorHAnsi"/>
        </w:rPr>
        <w:t xml:space="preserve"> ustanovení </w:t>
      </w:r>
      <w:r w:rsidRPr="00350220">
        <w:rPr>
          <w:rFonts w:asciiTheme="minorHAnsi" w:hAnsiTheme="minorHAnsi"/>
        </w:rPr>
        <w:t xml:space="preserve">§ 6 </w:t>
      </w:r>
      <w:r>
        <w:rPr>
          <w:rFonts w:asciiTheme="minorHAnsi" w:hAnsiTheme="minorHAnsi"/>
        </w:rPr>
        <w:t xml:space="preserve">odst. 1 zákona o </w:t>
      </w:r>
      <w:r w:rsidRPr="00350220">
        <w:rPr>
          <w:rFonts w:asciiTheme="minorHAnsi" w:hAnsiTheme="minorHAnsi"/>
        </w:rPr>
        <w:t xml:space="preserve">DPH je povinna podat přihlášku k registraci do 15 dnů po skončení kalendářního měsíce, ve kterém překročila stanovený obrat (§ 94 odst. 1 </w:t>
      </w:r>
      <w:r>
        <w:rPr>
          <w:rFonts w:asciiTheme="minorHAnsi" w:hAnsiTheme="minorHAnsi"/>
        </w:rPr>
        <w:t xml:space="preserve">zákona o </w:t>
      </w:r>
      <w:r w:rsidRPr="00350220">
        <w:rPr>
          <w:rFonts w:asciiTheme="minorHAnsi" w:hAnsiTheme="minorHAnsi"/>
        </w:rPr>
        <w:t>DPH).</w:t>
      </w:r>
    </w:p>
  </w:footnote>
  <w:footnote w:id="29">
    <w:p w14:paraId="1C45DAC7" w14:textId="56AAEF6D" w:rsidR="000A558B" w:rsidRPr="003211DC" w:rsidRDefault="000A558B" w:rsidP="00997524">
      <w:pPr>
        <w:pStyle w:val="Textpoznpodarou"/>
        <w:ind w:left="284" w:hanging="284"/>
        <w:jc w:val="both"/>
        <w:rPr>
          <w:rFonts w:asciiTheme="minorHAnsi" w:hAnsiTheme="minorHAnsi" w:cstheme="minorHAnsi"/>
        </w:rPr>
      </w:pPr>
      <w:r w:rsidRPr="003211DC">
        <w:rPr>
          <w:rStyle w:val="Znakapoznpodarou"/>
          <w:rFonts w:asciiTheme="minorHAnsi" w:hAnsiTheme="minorHAnsi" w:cstheme="minorHAnsi"/>
        </w:rPr>
        <w:footnoteRef/>
      </w:r>
      <w:r w:rsidRPr="003211DC">
        <w:rPr>
          <w:rFonts w:asciiTheme="minorHAnsi" w:hAnsiTheme="minorHAnsi" w:cstheme="minorHAnsi"/>
        </w:rPr>
        <w:t xml:space="preserve"> </w:t>
      </w:r>
      <w:r>
        <w:rPr>
          <w:rFonts w:asciiTheme="minorHAnsi" w:hAnsiTheme="minorHAnsi" w:cstheme="minorHAnsi"/>
        </w:rPr>
        <w:tab/>
      </w:r>
      <w:r w:rsidRPr="003211DC">
        <w:rPr>
          <w:rFonts w:asciiTheme="minorHAnsi" w:hAnsiTheme="minorHAnsi" w:cstheme="minorHAnsi"/>
        </w:rPr>
        <w:t xml:space="preserve">Za období </w:t>
      </w:r>
      <w:r>
        <w:rPr>
          <w:rFonts w:asciiTheme="minorHAnsi" w:hAnsiTheme="minorHAnsi" w:cstheme="minorHAnsi"/>
        </w:rPr>
        <w:t xml:space="preserve">od </w:t>
      </w:r>
      <w:r w:rsidRPr="003211DC">
        <w:rPr>
          <w:rFonts w:asciiTheme="minorHAnsi" w:hAnsiTheme="minorHAnsi" w:cstheme="minorHAnsi"/>
        </w:rPr>
        <w:t xml:space="preserve">1. 12. 2016 </w:t>
      </w:r>
      <w:r>
        <w:rPr>
          <w:rFonts w:asciiTheme="minorHAnsi" w:hAnsiTheme="minorHAnsi" w:cstheme="minorHAnsi"/>
        </w:rPr>
        <w:t>do</w:t>
      </w:r>
      <w:r w:rsidRPr="003211DC">
        <w:rPr>
          <w:rFonts w:asciiTheme="minorHAnsi" w:hAnsiTheme="minorHAnsi" w:cstheme="minorHAnsi"/>
        </w:rPr>
        <w:t xml:space="preserve"> 31. 12. 2017 nejsou uvedeny údaje z důvodu nastavení interních předpisů GŘC, kdy došlo ke smazání těchto dat z důvodu nastavení retence dat 5 let.</w:t>
      </w:r>
    </w:p>
  </w:footnote>
  <w:footnote w:id="30">
    <w:p w14:paraId="3EE6D358" w14:textId="1C0CDA32" w:rsidR="000A558B" w:rsidRPr="003211DC" w:rsidRDefault="000A558B" w:rsidP="00997524">
      <w:pPr>
        <w:pStyle w:val="Textpoznpodarou"/>
        <w:ind w:left="284" w:hanging="284"/>
        <w:jc w:val="both"/>
        <w:rPr>
          <w:rFonts w:asciiTheme="minorHAnsi" w:hAnsiTheme="minorHAnsi" w:cstheme="minorHAnsi"/>
        </w:rPr>
      </w:pPr>
      <w:r w:rsidRPr="003211DC">
        <w:rPr>
          <w:rStyle w:val="Znakapoznpodarou"/>
          <w:rFonts w:asciiTheme="minorHAnsi" w:hAnsiTheme="minorHAnsi" w:cstheme="minorHAnsi"/>
        </w:rPr>
        <w:footnoteRef/>
      </w:r>
      <w:r w:rsidRPr="003211DC">
        <w:rPr>
          <w:rFonts w:asciiTheme="minorHAnsi" w:hAnsiTheme="minorHAnsi" w:cstheme="minorHAnsi"/>
        </w:rPr>
        <w:t xml:space="preserve"> </w:t>
      </w:r>
      <w:r>
        <w:rPr>
          <w:rFonts w:asciiTheme="minorHAnsi" w:hAnsiTheme="minorHAnsi" w:cstheme="minorHAnsi"/>
        </w:rPr>
        <w:tab/>
      </w:r>
      <w:r w:rsidRPr="003211DC">
        <w:rPr>
          <w:rFonts w:asciiTheme="minorHAnsi" w:hAnsiTheme="minorHAnsi" w:cstheme="minorHAnsi"/>
        </w:rPr>
        <w:t xml:space="preserve">V souladu se zákonem č. 17/2012 Sb., o Celní správě České republiky, zákonem č. 456/2011 Sb., o Finanční správě České republiky, zákonem č. 141/1961 Sb., o trestním řízení soudním (trestní řád), zákonem </w:t>
      </w:r>
      <w:r>
        <w:rPr>
          <w:rFonts w:asciiTheme="minorHAnsi" w:hAnsiTheme="minorHAnsi" w:cstheme="minorHAnsi"/>
        </w:rPr>
        <w:br/>
      </w:r>
      <w:r w:rsidRPr="003211DC">
        <w:rPr>
          <w:rFonts w:asciiTheme="minorHAnsi" w:hAnsiTheme="minorHAnsi" w:cstheme="minorHAnsi"/>
        </w:rPr>
        <w:t>č. 280/2009 Sb., daňový řád</w:t>
      </w:r>
      <w:r>
        <w:rPr>
          <w:rFonts w:asciiTheme="minorHAnsi" w:hAnsiTheme="minorHAnsi" w:cstheme="minorHAnsi"/>
        </w:rPr>
        <w:t>,</w:t>
      </w:r>
      <w:r w:rsidRPr="003211DC">
        <w:rPr>
          <w:rFonts w:asciiTheme="minorHAnsi" w:hAnsiTheme="minorHAnsi" w:cstheme="minorHAnsi"/>
        </w:rPr>
        <w:t xml:space="preserve"> a zákonem č. 101/2000 Sb., o ochraně osobních údajů a o změně některých zákonů.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B1CE3" w14:textId="77777777" w:rsidR="000A558B" w:rsidRPr="00CF2F84" w:rsidRDefault="000A558B" w:rsidP="00A805DE">
    <w:pPr>
      <w:pStyle w:val="Zhlav"/>
      <w:jc w:val="right"/>
      <w:rPr>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2pt;height:42.2pt" o:bullet="t">
        <v:imagedata r:id="rId1" o:title="clip_image001"/>
      </v:shape>
    </w:pict>
  </w:numPicBullet>
  <w:abstractNum w:abstractNumId="0" w15:restartNumberingAfterBreak="0">
    <w:nsid w:val="054D038F"/>
    <w:multiLevelType w:val="hybridMultilevel"/>
    <w:tmpl w:val="87E495E0"/>
    <w:lvl w:ilvl="0" w:tplc="52BC8386">
      <w:start w:val="1"/>
      <w:numFmt w:val="bullet"/>
      <w:lvlText w:val="•"/>
      <w:lvlJc w:val="left"/>
      <w:pPr>
        <w:tabs>
          <w:tab w:val="num" w:pos="720"/>
        </w:tabs>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D12FF3"/>
    <w:multiLevelType w:val="hybridMultilevel"/>
    <w:tmpl w:val="F78C590C"/>
    <w:lvl w:ilvl="0" w:tplc="B72487B6">
      <w:start w:val="53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0A0258"/>
    <w:multiLevelType w:val="hybridMultilevel"/>
    <w:tmpl w:val="F92A5E96"/>
    <w:lvl w:ilvl="0" w:tplc="3DB00AFE">
      <w:start w:val="34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65E3B1E"/>
    <w:multiLevelType w:val="multilevel"/>
    <w:tmpl w:val="76041D7C"/>
    <w:lvl w:ilvl="0">
      <w:start w:val="1"/>
      <w:numFmt w:val="decimal"/>
      <w:pStyle w:val="Nadpis2"/>
      <w:lvlText w:val="%1."/>
      <w:lvlJc w:val="left"/>
      <w:pPr>
        <w:ind w:left="720" w:hanging="360"/>
      </w:pPr>
      <w:rPr>
        <w:rFonts w:hint="default"/>
      </w:rPr>
    </w:lvl>
    <w:lvl w:ilvl="1">
      <w:start w:val="1"/>
      <w:numFmt w:val="decimal"/>
      <w:pStyle w:val="Nadpis3"/>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E387C5A"/>
    <w:multiLevelType w:val="hybridMultilevel"/>
    <w:tmpl w:val="B5BC76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26948BD"/>
    <w:multiLevelType w:val="hybridMultilevel"/>
    <w:tmpl w:val="D2324DF6"/>
    <w:lvl w:ilvl="0" w:tplc="10C4A58E">
      <w:start w:val="35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55B3D8F"/>
    <w:multiLevelType w:val="hybridMultilevel"/>
    <w:tmpl w:val="C9E04A0A"/>
    <w:lvl w:ilvl="0" w:tplc="21922EF4">
      <w:start w:val="384"/>
      <w:numFmt w:val="decimal"/>
      <w:lvlText w:val="%1"/>
      <w:lvlJc w:val="left"/>
      <w:pPr>
        <w:ind w:left="269" w:hanging="360"/>
      </w:pPr>
      <w:rPr>
        <w:rFonts w:hint="default"/>
      </w:rPr>
    </w:lvl>
    <w:lvl w:ilvl="1" w:tplc="04050019" w:tentative="1">
      <w:start w:val="1"/>
      <w:numFmt w:val="lowerLetter"/>
      <w:lvlText w:val="%2."/>
      <w:lvlJc w:val="left"/>
      <w:pPr>
        <w:ind w:left="989" w:hanging="360"/>
      </w:pPr>
    </w:lvl>
    <w:lvl w:ilvl="2" w:tplc="0405001B" w:tentative="1">
      <w:start w:val="1"/>
      <w:numFmt w:val="lowerRoman"/>
      <w:lvlText w:val="%3."/>
      <w:lvlJc w:val="right"/>
      <w:pPr>
        <w:ind w:left="1709" w:hanging="180"/>
      </w:pPr>
    </w:lvl>
    <w:lvl w:ilvl="3" w:tplc="0405000F" w:tentative="1">
      <w:start w:val="1"/>
      <w:numFmt w:val="decimal"/>
      <w:lvlText w:val="%4."/>
      <w:lvlJc w:val="left"/>
      <w:pPr>
        <w:ind w:left="2429" w:hanging="360"/>
      </w:pPr>
    </w:lvl>
    <w:lvl w:ilvl="4" w:tplc="04050019" w:tentative="1">
      <w:start w:val="1"/>
      <w:numFmt w:val="lowerLetter"/>
      <w:lvlText w:val="%5."/>
      <w:lvlJc w:val="left"/>
      <w:pPr>
        <w:ind w:left="3149" w:hanging="360"/>
      </w:pPr>
    </w:lvl>
    <w:lvl w:ilvl="5" w:tplc="0405001B" w:tentative="1">
      <w:start w:val="1"/>
      <w:numFmt w:val="lowerRoman"/>
      <w:lvlText w:val="%6."/>
      <w:lvlJc w:val="right"/>
      <w:pPr>
        <w:ind w:left="3869" w:hanging="180"/>
      </w:pPr>
    </w:lvl>
    <w:lvl w:ilvl="6" w:tplc="0405000F" w:tentative="1">
      <w:start w:val="1"/>
      <w:numFmt w:val="decimal"/>
      <w:lvlText w:val="%7."/>
      <w:lvlJc w:val="left"/>
      <w:pPr>
        <w:ind w:left="4589" w:hanging="360"/>
      </w:pPr>
    </w:lvl>
    <w:lvl w:ilvl="7" w:tplc="04050019" w:tentative="1">
      <w:start w:val="1"/>
      <w:numFmt w:val="lowerLetter"/>
      <w:lvlText w:val="%8."/>
      <w:lvlJc w:val="left"/>
      <w:pPr>
        <w:ind w:left="5309" w:hanging="360"/>
      </w:pPr>
    </w:lvl>
    <w:lvl w:ilvl="8" w:tplc="0405001B" w:tentative="1">
      <w:start w:val="1"/>
      <w:numFmt w:val="lowerRoman"/>
      <w:lvlText w:val="%9."/>
      <w:lvlJc w:val="right"/>
      <w:pPr>
        <w:ind w:left="6029" w:hanging="180"/>
      </w:pPr>
    </w:lvl>
  </w:abstractNum>
  <w:abstractNum w:abstractNumId="7" w15:restartNumberingAfterBreak="0">
    <w:nsid w:val="28D7080A"/>
    <w:multiLevelType w:val="hybridMultilevel"/>
    <w:tmpl w:val="BDB2EE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C625BC5"/>
    <w:multiLevelType w:val="hybridMultilevel"/>
    <w:tmpl w:val="28BE6DCC"/>
    <w:lvl w:ilvl="0" w:tplc="DD1AE5B0">
      <w:start w:val="43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CA6089F"/>
    <w:multiLevelType w:val="hybridMultilevel"/>
    <w:tmpl w:val="F86277CA"/>
    <w:lvl w:ilvl="0" w:tplc="52BC8386">
      <w:start w:val="1"/>
      <w:numFmt w:val="bullet"/>
      <w:lvlText w:val="•"/>
      <w:lvlJc w:val="left"/>
      <w:pPr>
        <w:tabs>
          <w:tab w:val="num" w:pos="720"/>
        </w:tabs>
        <w:ind w:left="720" w:hanging="360"/>
      </w:pPr>
      <w:rPr>
        <w:rFonts w:ascii="Times New Roman" w:hAnsi="Times New Roman" w:hint="default"/>
      </w:rPr>
    </w:lvl>
    <w:lvl w:ilvl="1" w:tplc="186E83AA" w:tentative="1">
      <w:start w:val="1"/>
      <w:numFmt w:val="bullet"/>
      <w:lvlText w:val="•"/>
      <w:lvlJc w:val="left"/>
      <w:pPr>
        <w:tabs>
          <w:tab w:val="num" w:pos="1440"/>
        </w:tabs>
        <w:ind w:left="1440" w:hanging="360"/>
      </w:pPr>
      <w:rPr>
        <w:rFonts w:ascii="Times New Roman" w:hAnsi="Times New Roman" w:hint="default"/>
      </w:rPr>
    </w:lvl>
    <w:lvl w:ilvl="2" w:tplc="72F20D04" w:tentative="1">
      <w:start w:val="1"/>
      <w:numFmt w:val="bullet"/>
      <w:lvlText w:val="•"/>
      <w:lvlJc w:val="left"/>
      <w:pPr>
        <w:tabs>
          <w:tab w:val="num" w:pos="2160"/>
        </w:tabs>
        <w:ind w:left="2160" w:hanging="360"/>
      </w:pPr>
      <w:rPr>
        <w:rFonts w:ascii="Times New Roman" w:hAnsi="Times New Roman" w:hint="default"/>
      </w:rPr>
    </w:lvl>
    <w:lvl w:ilvl="3" w:tplc="B0BE0D3C" w:tentative="1">
      <w:start w:val="1"/>
      <w:numFmt w:val="bullet"/>
      <w:lvlText w:val="•"/>
      <w:lvlJc w:val="left"/>
      <w:pPr>
        <w:tabs>
          <w:tab w:val="num" w:pos="2880"/>
        </w:tabs>
        <w:ind w:left="2880" w:hanging="360"/>
      </w:pPr>
      <w:rPr>
        <w:rFonts w:ascii="Times New Roman" w:hAnsi="Times New Roman" w:hint="default"/>
      </w:rPr>
    </w:lvl>
    <w:lvl w:ilvl="4" w:tplc="38ECFD10" w:tentative="1">
      <w:start w:val="1"/>
      <w:numFmt w:val="bullet"/>
      <w:lvlText w:val="•"/>
      <w:lvlJc w:val="left"/>
      <w:pPr>
        <w:tabs>
          <w:tab w:val="num" w:pos="3600"/>
        </w:tabs>
        <w:ind w:left="3600" w:hanging="360"/>
      </w:pPr>
      <w:rPr>
        <w:rFonts w:ascii="Times New Roman" w:hAnsi="Times New Roman" w:hint="default"/>
      </w:rPr>
    </w:lvl>
    <w:lvl w:ilvl="5" w:tplc="068EB56A" w:tentative="1">
      <w:start w:val="1"/>
      <w:numFmt w:val="bullet"/>
      <w:lvlText w:val="•"/>
      <w:lvlJc w:val="left"/>
      <w:pPr>
        <w:tabs>
          <w:tab w:val="num" w:pos="4320"/>
        </w:tabs>
        <w:ind w:left="4320" w:hanging="360"/>
      </w:pPr>
      <w:rPr>
        <w:rFonts w:ascii="Times New Roman" w:hAnsi="Times New Roman" w:hint="default"/>
      </w:rPr>
    </w:lvl>
    <w:lvl w:ilvl="6" w:tplc="2E34F7DC" w:tentative="1">
      <w:start w:val="1"/>
      <w:numFmt w:val="bullet"/>
      <w:lvlText w:val="•"/>
      <w:lvlJc w:val="left"/>
      <w:pPr>
        <w:tabs>
          <w:tab w:val="num" w:pos="5040"/>
        </w:tabs>
        <w:ind w:left="5040" w:hanging="360"/>
      </w:pPr>
      <w:rPr>
        <w:rFonts w:ascii="Times New Roman" w:hAnsi="Times New Roman" w:hint="default"/>
      </w:rPr>
    </w:lvl>
    <w:lvl w:ilvl="7" w:tplc="726E6588" w:tentative="1">
      <w:start w:val="1"/>
      <w:numFmt w:val="bullet"/>
      <w:lvlText w:val="•"/>
      <w:lvlJc w:val="left"/>
      <w:pPr>
        <w:tabs>
          <w:tab w:val="num" w:pos="5760"/>
        </w:tabs>
        <w:ind w:left="5760" w:hanging="360"/>
      </w:pPr>
      <w:rPr>
        <w:rFonts w:ascii="Times New Roman" w:hAnsi="Times New Roman" w:hint="default"/>
      </w:rPr>
    </w:lvl>
    <w:lvl w:ilvl="8" w:tplc="7ABC123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08D477C"/>
    <w:multiLevelType w:val="hybridMultilevel"/>
    <w:tmpl w:val="FBE4EC7A"/>
    <w:lvl w:ilvl="0" w:tplc="E6CCCA8C">
      <w:start w:val="30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96F1060"/>
    <w:multiLevelType w:val="hybridMultilevel"/>
    <w:tmpl w:val="69B80DE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C670DC2"/>
    <w:multiLevelType w:val="hybridMultilevel"/>
    <w:tmpl w:val="04E8AF9C"/>
    <w:lvl w:ilvl="0" w:tplc="37D0A3A2">
      <w:start w:val="46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D02489F"/>
    <w:multiLevelType w:val="hybridMultilevel"/>
    <w:tmpl w:val="3530FD74"/>
    <w:lvl w:ilvl="0" w:tplc="74E28002">
      <w:start w:val="416"/>
      <w:numFmt w:val="decimal"/>
      <w:lvlText w:val="%1"/>
      <w:lvlJc w:val="left"/>
      <w:pPr>
        <w:ind w:left="269" w:hanging="360"/>
      </w:pPr>
      <w:rPr>
        <w:rFonts w:hint="default"/>
      </w:rPr>
    </w:lvl>
    <w:lvl w:ilvl="1" w:tplc="04050019" w:tentative="1">
      <w:start w:val="1"/>
      <w:numFmt w:val="lowerLetter"/>
      <w:lvlText w:val="%2."/>
      <w:lvlJc w:val="left"/>
      <w:pPr>
        <w:ind w:left="989" w:hanging="360"/>
      </w:pPr>
    </w:lvl>
    <w:lvl w:ilvl="2" w:tplc="0405001B" w:tentative="1">
      <w:start w:val="1"/>
      <w:numFmt w:val="lowerRoman"/>
      <w:lvlText w:val="%3."/>
      <w:lvlJc w:val="right"/>
      <w:pPr>
        <w:ind w:left="1709" w:hanging="180"/>
      </w:pPr>
    </w:lvl>
    <w:lvl w:ilvl="3" w:tplc="0405000F" w:tentative="1">
      <w:start w:val="1"/>
      <w:numFmt w:val="decimal"/>
      <w:lvlText w:val="%4."/>
      <w:lvlJc w:val="left"/>
      <w:pPr>
        <w:ind w:left="2429" w:hanging="360"/>
      </w:pPr>
    </w:lvl>
    <w:lvl w:ilvl="4" w:tplc="04050019" w:tentative="1">
      <w:start w:val="1"/>
      <w:numFmt w:val="lowerLetter"/>
      <w:lvlText w:val="%5."/>
      <w:lvlJc w:val="left"/>
      <w:pPr>
        <w:ind w:left="3149" w:hanging="360"/>
      </w:pPr>
    </w:lvl>
    <w:lvl w:ilvl="5" w:tplc="0405001B" w:tentative="1">
      <w:start w:val="1"/>
      <w:numFmt w:val="lowerRoman"/>
      <w:lvlText w:val="%6."/>
      <w:lvlJc w:val="right"/>
      <w:pPr>
        <w:ind w:left="3869" w:hanging="180"/>
      </w:pPr>
    </w:lvl>
    <w:lvl w:ilvl="6" w:tplc="0405000F" w:tentative="1">
      <w:start w:val="1"/>
      <w:numFmt w:val="decimal"/>
      <w:lvlText w:val="%7."/>
      <w:lvlJc w:val="left"/>
      <w:pPr>
        <w:ind w:left="4589" w:hanging="360"/>
      </w:pPr>
    </w:lvl>
    <w:lvl w:ilvl="7" w:tplc="04050019" w:tentative="1">
      <w:start w:val="1"/>
      <w:numFmt w:val="lowerLetter"/>
      <w:lvlText w:val="%8."/>
      <w:lvlJc w:val="left"/>
      <w:pPr>
        <w:ind w:left="5309" w:hanging="360"/>
      </w:pPr>
    </w:lvl>
    <w:lvl w:ilvl="8" w:tplc="0405001B" w:tentative="1">
      <w:start w:val="1"/>
      <w:numFmt w:val="lowerRoman"/>
      <w:lvlText w:val="%9."/>
      <w:lvlJc w:val="right"/>
      <w:pPr>
        <w:ind w:left="6029" w:hanging="180"/>
      </w:pPr>
    </w:lvl>
  </w:abstractNum>
  <w:abstractNum w:abstractNumId="14" w15:restartNumberingAfterBreak="0">
    <w:nsid w:val="491F0147"/>
    <w:multiLevelType w:val="hybridMultilevel"/>
    <w:tmpl w:val="651C7C56"/>
    <w:lvl w:ilvl="0" w:tplc="1D6631B6">
      <w:start w:val="42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A99040D"/>
    <w:multiLevelType w:val="hybridMultilevel"/>
    <w:tmpl w:val="2CC25876"/>
    <w:lvl w:ilvl="0" w:tplc="413E4764">
      <w:start w:val="1"/>
      <w:numFmt w:val="bullet"/>
      <w:lvlText w:val=""/>
      <w:lvlJc w:val="left"/>
      <w:pPr>
        <w:ind w:left="720" w:hanging="360"/>
      </w:pPr>
      <w:rPr>
        <w:rFonts w:ascii="Symbol" w:hAnsi="Symbol" w:hint="default"/>
      </w:rPr>
    </w:lvl>
    <w:lvl w:ilvl="1" w:tplc="3398C566" w:tentative="1">
      <w:start w:val="1"/>
      <w:numFmt w:val="bullet"/>
      <w:lvlText w:val="o"/>
      <w:lvlJc w:val="left"/>
      <w:pPr>
        <w:ind w:left="1440" w:hanging="360"/>
      </w:pPr>
      <w:rPr>
        <w:rFonts w:ascii="Courier New" w:hAnsi="Courier New" w:cs="Courier New" w:hint="default"/>
      </w:rPr>
    </w:lvl>
    <w:lvl w:ilvl="2" w:tplc="88DA816E" w:tentative="1">
      <w:start w:val="1"/>
      <w:numFmt w:val="bullet"/>
      <w:lvlText w:val=""/>
      <w:lvlJc w:val="left"/>
      <w:pPr>
        <w:ind w:left="2160" w:hanging="360"/>
      </w:pPr>
      <w:rPr>
        <w:rFonts w:ascii="Wingdings" w:hAnsi="Wingdings" w:hint="default"/>
      </w:rPr>
    </w:lvl>
    <w:lvl w:ilvl="3" w:tplc="D7D008AA" w:tentative="1">
      <w:start w:val="1"/>
      <w:numFmt w:val="bullet"/>
      <w:lvlText w:val=""/>
      <w:lvlJc w:val="left"/>
      <w:pPr>
        <w:ind w:left="2880" w:hanging="360"/>
      </w:pPr>
      <w:rPr>
        <w:rFonts w:ascii="Symbol" w:hAnsi="Symbol" w:hint="default"/>
      </w:rPr>
    </w:lvl>
    <w:lvl w:ilvl="4" w:tplc="AAA88368" w:tentative="1">
      <w:start w:val="1"/>
      <w:numFmt w:val="bullet"/>
      <w:lvlText w:val="o"/>
      <w:lvlJc w:val="left"/>
      <w:pPr>
        <w:ind w:left="3600" w:hanging="360"/>
      </w:pPr>
      <w:rPr>
        <w:rFonts w:ascii="Courier New" w:hAnsi="Courier New" w:cs="Courier New" w:hint="default"/>
      </w:rPr>
    </w:lvl>
    <w:lvl w:ilvl="5" w:tplc="9C366242" w:tentative="1">
      <w:start w:val="1"/>
      <w:numFmt w:val="bullet"/>
      <w:lvlText w:val=""/>
      <w:lvlJc w:val="left"/>
      <w:pPr>
        <w:ind w:left="4320" w:hanging="360"/>
      </w:pPr>
      <w:rPr>
        <w:rFonts w:ascii="Wingdings" w:hAnsi="Wingdings" w:hint="default"/>
      </w:rPr>
    </w:lvl>
    <w:lvl w:ilvl="6" w:tplc="E684F088" w:tentative="1">
      <w:start w:val="1"/>
      <w:numFmt w:val="bullet"/>
      <w:lvlText w:val=""/>
      <w:lvlJc w:val="left"/>
      <w:pPr>
        <w:ind w:left="5040" w:hanging="360"/>
      </w:pPr>
      <w:rPr>
        <w:rFonts w:ascii="Symbol" w:hAnsi="Symbol" w:hint="default"/>
      </w:rPr>
    </w:lvl>
    <w:lvl w:ilvl="7" w:tplc="53A66860" w:tentative="1">
      <w:start w:val="1"/>
      <w:numFmt w:val="bullet"/>
      <w:lvlText w:val="o"/>
      <w:lvlJc w:val="left"/>
      <w:pPr>
        <w:ind w:left="5760" w:hanging="360"/>
      </w:pPr>
      <w:rPr>
        <w:rFonts w:ascii="Courier New" w:hAnsi="Courier New" w:cs="Courier New" w:hint="default"/>
      </w:rPr>
    </w:lvl>
    <w:lvl w:ilvl="8" w:tplc="99F0040E" w:tentative="1">
      <w:start w:val="1"/>
      <w:numFmt w:val="bullet"/>
      <w:lvlText w:val=""/>
      <w:lvlJc w:val="left"/>
      <w:pPr>
        <w:ind w:left="6480" w:hanging="360"/>
      </w:pPr>
      <w:rPr>
        <w:rFonts w:ascii="Wingdings" w:hAnsi="Wingdings" w:hint="default"/>
      </w:rPr>
    </w:lvl>
  </w:abstractNum>
  <w:abstractNum w:abstractNumId="16" w15:restartNumberingAfterBreak="0">
    <w:nsid w:val="4E001D7B"/>
    <w:multiLevelType w:val="hybridMultilevel"/>
    <w:tmpl w:val="2F1EEEB8"/>
    <w:lvl w:ilvl="0" w:tplc="CDA85A00">
      <w:start w:val="32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4650044"/>
    <w:multiLevelType w:val="hybridMultilevel"/>
    <w:tmpl w:val="A64ADF72"/>
    <w:lvl w:ilvl="0" w:tplc="BBF2C416">
      <w:start w:val="1"/>
      <w:numFmt w:val="bullet"/>
      <w:pStyle w:val="Odrka1"/>
      <w:lvlText w:val=""/>
      <w:lvlJc w:val="left"/>
      <w:pPr>
        <w:ind w:left="720" w:hanging="360"/>
      </w:pPr>
      <w:rPr>
        <w:rFonts w:ascii="Symbol" w:hAnsi="Symbol" w:hint="default"/>
      </w:rPr>
    </w:lvl>
    <w:lvl w:ilvl="1" w:tplc="21540E84" w:tentative="1">
      <w:start w:val="1"/>
      <w:numFmt w:val="bullet"/>
      <w:lvlText w:val="o"/>
      <w:lvlJc w:val="left"/>
      <w:pPr>
        <w:ind w:left="1440" w:hanging="360"/>
      </w:pPr>
      <w:rPr>
        <w:rFonts w:ascii="Courier New" w:hAnsi="Courier New" w:cs="Courier New" w:hint="default"/>
      </w:rPr>
    </w:lvl>
    <w:lvl w:ilvl="2" w:tplc="5184BBCC">
      <w:start w:val="1"/>
      <w:numFmt w:val="bullet"/>
      <w:lvlText w:val=""/>
      <w:lvlJc w:val="left"/>
      <w:pPr>
        <w:ind w:left="2160" w:hanging="360"/>
      </w:pPr>
      <w:rPr>
        <w:rFonts w:ascii="Wingdings" w:hAnsi="Wingdings" w:hint="default"/>
      </w:rPr>
    </w:lvl>
    <w:lvl w:ilvl="3" w:tplc="FB962F3A" w:tentative="1">
      <w:start w:val="1"/>
      <w:numFmt w:val="bullet"/>
      <w:lvlText w:val=""/>
      <w:lvlJc w:val="left"/>
      <w:pPr>
        <w:ind w:left="2880" w:hanging="360"/>
      </w:pPr>
      <w:rPr>
        <w:rFonts w:ascii="Symbol" w:hAnsi="Symbol" w:hint="default"/>
      </w:rPr>
    </w:lvl>
    <w:lvl w:ilvl="4" w:tplc="5332FB18" w:tentative="1">
      <w:start w:val="1"/>
      <w:numFmt w:val="bullet"/>
      <w:lvlText w:val="o"/>
      <w:lvlJc w:val="left"/>
      <w:pPr>
        <w:ind w:left="3600" w:hanging="360"/>
      </w:pPr>
      <w:rPr>
        <w:rFonts w:ascii="Courier New" w:hAnsi="Courier New" w:cs="Courier New" w:hint="default"/>
      </w:rPr>
    </w:lvl>
    <w:lvl w:ilvl="5" w:tplc="585C1D96" w:tentative="1">
      <w:start w:val="1"/>
      <w:numFmt w:val="bullet"/>
      <w:lvlText w:val=""/>
      <w:lvlJc w:val="left"/>
      <w:pPr>
        <w:ind w:left="4320" w:hanging="360"/>
      </w:pPr>
      <w:rPr>
        <w:rFonts w:ascii="Wingdings" w:hAnsi="Wingdings" w:hint="default"/>
      </w:rPr>
    </w:lvl>
    <w:lvl w:ilvl="6" w:tplc="824061D0" w:tentative="1">
      <w:start w:val="1"/>
      <w:numFmt w:val="bullet"/>
      <w:lvlText w:val=""/>
      <w:lvlJc w:val="left"/>
      <w:pPr>
        <w:ind w:left="5040" w:hanging="360"/>
      </w:pPr>
      <w:rPr>
        <w:rFonts w:ascii="Symbol" w:hAnsi="Symbol" w:hint="default"/>
      </w:rPr>
    </w:lvl>
    <w:lvl w:ilvl="7" w:tplc="D416DB58" w:tentative="1">
      <w:start w:val="1"/>
      <w:numFmt w:val="bullet"/>
      <w:lvlText w:val="o"/>
      <w:lvlJc w:val="left"/>
      <w:pPr>
        <w:ind w:left="5760" w:hanging="360"/>
      </w:pPr>
      <w:rPr>
        <w:rFonts w:ascii="Courier New" w:hAnsi="Courier New" w:cs="Courier New" w:hint="default"/>
      </w:rPr>
    </w:lvl>
    <w:lvl w:ilvl="8" w:tplc="3F087CF6" w:tentative="1">
      <w:start w:val="1"/>
      <w:numFmt w:val="bullet"/>
      <w:lvlText w:val=""/>
      <w:lvlJc w:val="left"/>
      <w:pPr>
        <w:ind w:left="6480" w:hanging="360"/>
      </w:pPr>
      <w:rPr>
        <w:rFonts w:ascii="Wingdings" w:hAnsi="Wingdings" w:hint="default"/>
      </w:rPr>
    </w:lvl>
  </w:abstractNum>
  <w:abstractNum w:abstractNumId="18" w15:restartNumberingAfterBreak="0">
    <w:nsid w:val="59B71CD6"/>
    <w:multiLevelType w:val="multilevel"/>
    <w:tmpl w:val="6B5039CA"/>
    <w:lvl w:ilvl="0">
      <w:start w:val="1"/>
      <w:numFmt w:val="upperRoman"/>
      <w:pStyle w:val="Nadpis1"/>
      <w:lvlText w:val="%1."/>
      <w:lvlJc w:val="right"/>
      <w:pPr>
        <w:ind w:left="360" w:hanging="360"/>
      </w:pPr>
      <w:rPr>
        <w:b/>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9" w15:restartNumberingAfterBreak="0">
    <w:nsid w:val="5BDF447B"/>
    <w:multiLevelType w:val="hybridMultilevel"/>
    <w:tmpl w:val="72103612"/>
    <w:lvl w:ilvl="0" w:tplc="40EAA930">
      <w:start w:val="4"/>
      <w:numFmt w:val="bullet"/>
      <w:lvlText w:val="-"/>
      <w:lvlJc w:val="left"/>
      <w:pPr>
        <w:ind w:left="720" w:hanging="360"/>
      </w:pPr>
      <w:rPr>
        <w:rFonts w:ascii="Calibri" w:eastAsia="Times New Roman" w:hAnsi="Calibri" w:cs="Calibri" w:hint="default"/>
      </w:rPr>
    </w:lvl>
    <w:lvl w:ilvl="1" w:tplc="16647FD2" w:tentative="1">
      <w:start w:val="1"/>
      <w:numFmt w:val="bullet"/>
      <w:lvlText w:val="o"/>
      <w:lvlJc w:val="left"/>
      <w:pPr>
        <w:ind w:left="1440" w:hanging="360"/>
      </w:pPr>
      <w:rPr>
        <w:rFonts w:ascii="Courier New" w:hAnsi="Courier New" w:cs="Courier New" w:hint="default"/>
      </w:rPr>
    </w:lvl>
    <w:lvl w:ilvl="2" w:tplc="1D94367A" w:tentative="1">
      <w:start w:val="1"/>
      <w:numFmt w:val="bullet"/>
      <w:lvlText w:val=""/>
      <w:lvlJc w:val="left"/>
      <w:pPr>
        <w:ind w:left="2160" w:hanging="360"/>
      </w:pPr>
      <w:rPr>
        <w:rFonts w:ascii="Wingdings" w:hAnsi="Wingdings" w:hint="default"/>
      </w:rPr>
    </w:lvl>
    <w:lvl w:ilvl="3" w:tplc="59D6FEE8" w:tentative="1">
      <w:start w:val="1"/>
      <w:numFmt w:val="bullet"/>
      <w:lvlText w:val=""/>
      <w:lvlJc w:val="left"/>
      <w:pPr>
        <w:ind w:left="2880" w:hanging="360"/>
      </w:pPr>
      <w:rPr>
        <w:rFonts w:ascii="Symbol" w:hAnsi="Symbol" w:hint="default"/>
      </w:rPr>
    </w:lvl>
    <w:lvl w:ilvl="4" w:tplc="CEE47748" w:tentative="1">
      <w:start w:val="1"/>
      <w:numFmt w:val="bullet"/>
      <w:lvlText w:val="o"/>
      <w:lvlJc w:val="left"/>
      <w:pPr>
        <w:ind w:left="3600" w:hanging="360"/>
      </w:pPr>
      <w:rPr>
        <w:rFonts w:ascii="Courier New" w:hAnsi="Courier New" w:cs="Courier New" w:hint="default"/>
      </w:rPr>
    </w:lvl>
    <w:lvl w:ilvl="5" w:tplc="644C0DA4" w:tentative="1">
      <w:start w:val="1"/>
      <w:numFmt w:val="bullet"/>
      <w:lvlText w:val=""/>
      <w:lvlJc w:val="left"/>
      <w:pPr>
        <w:ind w:left="4320" w:hanging="360"/>
      </w:pPr>
      <w:rPr>
        <w:rFonts w:ascii="Wingdings" w:hAnsi="Wingdings" w:hint="default"/>
      </w:rPr>
    </w:lvl>
    <w:lvl w:ilvl="6" w:tplc="B1F20C92" w:tentative="1">
      <w:start w:val="1"/>
      <w:numFmt w:val="bullet"/>
      <w:lvlText w:val=""/>
      <w:lvlJc w:val="left"/>
      <w:pPr>
        <w:ind w:left="5040" w:hanging="360"/>
      </w:pPr>
      <w:rPr>
        <w:rFonts w:ascii="Symbol" w:hAnsi="Symbol" w:hint="default"/>
      </w:rPr>
    </w:lvl>
    <w:lvl w:ilvl="7" w:tplc="B84CACD6" w:tentative="1">
      <w:start w:val="1"/>
      <w:numFmt w:val="bullet"/>
      <w:lvlText w:val="o"/>
      <w:lvlJc w:val="left"/>
      <w:pPr>
        <w:ind w:left="5760" w:hanging="360"/>
      </w:pPr>
      <w:rPr>
        <w:rFonts w:ascii="Courier New" w:hAnsi="Courier New" w:cs="Courier New" w:hint="default"/>
      </w:rPr>
    </w:lvl>
    <w:lvl w:ilvl="8" w:tplc="4236694A" w:tentative="1">
      <w:start w:val="1"/>
      <w:numFmt w:val="bullet"/>
      <w:lvlText w:val=""/>
      <w:lvlJc w:val="left"/>
      <w:pPr>
        <w:ind w:left="6480" w:hanging="360"/>
      </w:pPr>
      <w:rPr>
        <w:rFonts w:ascii="Wingdings" w:hAnsi="Wingdings" w:hint="default"/>
      </w:rPr>
    </w:lvl>
  </w:abstractNum>
  <w:abstractNum w:abstractNumId="20" w15:restartNumberingAfterBreak="0">
    <w:nsid w:val="646C55A1"/>
    <w:multiLevelType w:val="hybridMultilevel"/>
    <w:tmpl w:val="5C9C33BE"/>
    <w:lvl w:ilvl="0" w:tplc="CA6C4786">
      <w:start w:val="5"/>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8333E01"/>
    <w:multiLevelType w:val="hybridMultilevel"/>
    <w:tmpl w:val="DEDC3DC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C2B6E32"/>
    <w:multiLevelType w:val="hybridMultilevel"/>
    <w:tmpl w:val="650289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37C2702"/>
    <w:multiLevelType w:val="multilevel"/>
    <w:tmpl w:val="46884224"/>
    <w:lvl w:ilvl="0">
      <w:start w:val="1"/>
      <w:numFmt w:val="decimal"/>
      <w:pStyle w:val="NadpisKZ"/>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474569C"/>
    <w:multiLevelType w:val="hybridMultilevel"/>
    <w:tmpl w:val="6D781236"/>
    <w:lvl w:ilvl="0" w:tplc="67708D3E">
      <w:start w:val="1"/>
      <w:numFmt w:val="bullet"/>
      <w:lvlText w:val=""/>
      <w:lvlPicBulletId w:val="0"/>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3"/>
  </w:num>
  <w:num w:numId="4">
    <w:abstractNumId w:val="23"/>
  </w:num>
  <w:num w:numId="5">
    <w:abstractNumId w:val="9"/>
  </w:num>
  <w:num w:numId="6">
    <w:abstractNumId w:val="0"/>
  </w:num>
  <w:num w:numId="7">
    <w:abstractNumId w:val="20"/>
  </w:num>
  <w:num w:numId="8">
    <w:abstractNumId w:val="23"/>
  </w:num>
  <w:num w:numId="9">
    <w:abstractNumId w:val="23"/>
  </w:num>
  <w:num w:numId="10">
    <w:abstractNumId w:val="23"/>
  </w:num>
  <w:num w:numId="11">
    <w:abstractNumId w:val="23"/>
  </w:num>
  <w:num w:numId="12">
    <w:abstractNumId w:val="23"/>
  </w:num>
  <w:num w:numId="13">
    <w:abstractNumId w:val="23"/>
  </w:num>
  <w:num w:numId="14">
    <w:abstractNumId w:val="23"/>
  </w:num>
  <w:num w:numId="15">
    <w:abstractNumId w:val="23"/>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9"/>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3"/>
  </w:num>
  <w:num w:numId="22">
    <w:abstractNumId w:val="15"/>
  </w:num>
  <w:num w:numId="23">
    <w:abstractNumId w:val="23"/>
  </w:num>
  <w:num w:numId="24">
    <w:abstractNumId w:val="4"/>
  </w:num>
  <w:num w:numId="25">
    <w:abstractNumId w:val="7"/>
  </w:num>
  <w:num w:numId="26">
    <w:abstractNumId w:val="24"/>
  </w:num>
  <w:num w:numId="27">
    <w:abstractNumId w:val="23"/>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21"/>
  </w:num>
  <w:num w:numId="31">
    <w:abstractNumId w:val="11"/>
  </w:num>
  <w:num w:numId="32">
    <w:abstractNumId w:val="22"/>
  </w:num>
  <w:num w:numId="33">
    <w:abstractNumId w:val="1"/>
  </w:num>
  <w:num w:numId="34">
    <w:abstractNumId w:val="12"/>
  </w:num>
  <w:num w:numId="35">
    <w:abstractNumId w:val="14"/>
  </w:num>
  <w:num w:numId="36">
    <w:abstractNumId w:val="8"/>
  </w:num>
  <w:num w:numId="37">
    <w:abstractNumId w:val="13"/>
  </w:num>
  <w:num w:numId="38">
    <w:abstractNumId w:val="6"/>
  </w:num>
  <w:num w:numId="39">
    <w:abstractNumId w:val="5"/>
  </w:num>
  <w:num w:numId="40">
    <w:abstractNumId w:val="2"/>
  </w:num>
  <w:num w:numId="41">
    <w:abstractNumId w:val="16"/>
  </w:num>
  <w:num w:numId="42">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activeWritingStyle w:appName="MSWord" w:lang="cs-CZ" w:vendorID="64" w:dllVersion="4096" w:nlCheck="1" w:checkStyle="0"/>
  <w:activeWritingStyle w:appName="MSWord" w:lang="cs-CZ" w:vendorID="64" w:dllVersion="0" w:nlCheck="1" w:checkStyle="0"/>
  <w:proofState w:spelling="clean" w:grammar="clean"/>
  <w:doNotTrackMoves/>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445"/>
    <w:rsid w:val="0000046E"/>
    <w:rsid w:val="000008B5"/>
    <w:rsid w:val="000013DE"/>
    <w:rsid w:val="00001D8B"/>
    <w:rsid w:val="00002BE8"/>
    <w:rsid w:val="00003D0B"/>
    <w:rsid w:val="00003D30"/>
    <w:rsid w:val="00006969"/>
    <w:rsid w:val="00007101"/>
    <w:rsid w:val="0001190A"/>
    <w:rsid w:val="00011FC5"/>
    <w:rsid w:val="000132C1"/>
    <w:rsid w:val="000145EB"/>
    <w:rsid w:val="00014752"/>
    <w:rsid w:val="00014A0E"/>
    <w:rsid w:val="00015524"/>
    <w:rsid w:val="000166C5"/>
    <w:rsid w:val="00016EC5"/>
    <w:rsid w:val="00017BC7"/>
    <w:rsid w:val="0002049B"/>
    <w:rsid w:val="00020B1D"/>
    <w:rsid w:val="000210EA"/>
    <w:rsid w:val="0002237A"/>
    <w:rsid w:val="00022D6F"/>
    <w:rsid w:val="00023C30"/>
    <w:rsid w:val="00024D96"/>
    <w:rsid w:val="000256EB"/>
    <w:rsid w:val="00025DA9"/>
    <w:rsid w:val="000260A7"/>
    <w:rsid w:val="00026667"/>
    <w:rsid w:val="000274E3"/>
    <w:rsid w:val="00030B17"/>
    <w:rsid w:val="00030B76"/>
    <w:rsid w:val="00030BCD"/>
    <w:rsid w:val="0003108A"/>
    <w:rsid w:val="000310E2"/>
    <w:rsid w:val="00032055"/>
    <w:rsid w:val="00032F17"/>
    <w:rsid w:val="00032FF5"/>
    <w:rsid w:val="0003315B"/>
    <w:rsid w:val="00033F53"/>
    <w:rsid w:val="00034028"/>
    <w:rsid w:val="0003545A"/>
    <w:rsid w:val="000355C1"/>
    <w:rsid w:val="00035758"/>
    <w:rsid w:val="00035AFD"/>
    <w:rsid w:val="0003660E"/>
    <w:rsid w:val="0003749E"/>
    <w:rsid w:val="00037528"/>
    <w:rsid w:val="000378E6"/>
    <w:rsid w:val="00040D2F"/>
    <w:rsid w:val="00040E1E"/>
    <w:rsid w:val="00041444"/>
    <w:rsid w:val="00041497"/>
    <w:rsid w:val="0004172D"/>
    <w:rsid w:val="00041825"/>
    <w:rsid w:val="000421DB"/>
    <w:rsid w:val="0004260A"/>
    <w:rsid w:val="00042A64"/>
    <w:rsid w:val="000438FA"/>
    <w:rsid w:val="00043A92"/>
    <w:rsid w:val="00044615"/>
    <w:rsid w:val="0004549D"/>
    <w:rsid w:val="000459B0"/>
    <w:rsid w:val="0004671A"/>
    <w:rsid w:val="0004671C"/>
    <w:rsid w:val="00046AC2"/>
    <w:rsid w:val="000470B6"/>
    <w:rsid w:val="000478D8"/>
    <w:rsid w:val="000503AF"/>
    <w:rsid w:val="0005354F"/>
    <w:rsid w:val="00054B3F"/>
    <w:rsid w:val="0005618D"/>
    <w:rsid w:val="000561D8"/>
    <w:rsid w:val="00056C9F"/>
    <w:rsid w:val="00060431"/>
    <w:rsid w:val="000604E1"/>
    <w:rsid w:val="00060D02"/>
    <w:rsid w:val="00060E98"/>
    <w:rsid w:val="00061FFD"/>
    <w:rsid w:val="00062435"/>
    <w:rsid w:val="00062464"/>
    <w:rsid w:val="000631A8"/>
    <w:rsid w:val="000632A4"/>
    <w:rsid w:val="000639B6"/>
    <w:rsid w:val="000644A7"/>
    <w:rsid w:val="00064672"/>
    <w:rsid w:val="00064E4D"/>
    <w:rsid w:val="00066868"/>
    <w:rsid w:val="0006691C"/>
    <w:rsid w:val="0007113C"/>
    <w:rsid w:val="0007120C"/>
    <w:rsid w:val="00071930"/>
    <w:rsid w:val="0007206E"/>
    <w:rsid w:val="00072F4C"/>
    <w:rsid w:val="000743E6"/>
    <w:rsid w:val="00074DD4"/>
    <w:rsid w:val="00074E9F"/>
    <w:rsid w:val="00075D43"/>
    <w:rsid w:val="00075E5B"/>
    <w:rsid w:val="00075ED3"/>
    <w:rsid w:val="00076446"/>
    <w:rsid w:val="00076AF4"/>
    <w:rsid w:val="00077C57"/>
    <w:rsid w:val="0008055A"/>
    <w:rsid w:val="00080B26"/>
    <w:rsid w:val="000817A0"/>
    <w:rsid w:val="00081D37"/>
    <w:rsid w:val="0008202B"/>
    <w:rsid w:val="00082A5F"/>
    <w:rsid w:val="00082C0A"/>
    <w:rsid w:val="00083B08"/>
    <w:rsid w:val="00085677"/>
    <w:rsid w:val="00085A74"/>
    <w:rsid w:val="000866FA"/>
    <w:rsid w:val="00086DDC"/>
    <w:rsid w:val="00086F0E"/>
    <w:rsid w:val="00086F5E"/>
    <w:rsid w:val="00091A5D"/>
    <w:rsid w:val="00091B0F"/>
    <w:rsid w:val="00091FB9"/>
    <w:rsid w:val="00092241"/>
    <w:rsid w:val="00092B29"/>
    <w:rsid w:val="00093D9B"/>
    <w:rsid w:val="00093E86"/>
    <w:rsid w:val="0009647B"/>
    <w:rsid w:val="0009687B"/>
    <w:rsid w:val="000968BD"/>
    <w:rsid w:val="0009795F"/>
    <w:rsid w:val="000A06A0"/>
    <w:rsid w:val="000A0710"/>
    <w:rsid w:val="000A0800"/>
    <w:rsid w:val="000A090D"/>
    <w:rsid w:val="000A0D9B"/>
    <w:rsid w:val="000A3A6E"/>
    <w:rsid w:val="000A3B12"/>
    <w:rsid w:val="000A3C2C"/>
    <w:rsid w:val="000A4A27"/>
    <w:rsid w:val="000A4AB6"/>
    <w:rsid w:val="000A558B"/>
    <w:rsid w:val="000A6005"/>
    <w:rsid w:val="000A609A"/>
    <w:rsid w:val="000A6300"/>
    <w:rsid w:val="000A76F1"/>
    <w:rsid w:val="000B11D4"/>
    <w:rsid w:val="000B2108"/>
    <w:rsid w:val="000B33EA"/>
    <w:rsid w:val="000B3FD4"/>
    <w:rsid w:val="000B462A"/>
    <w:rsid w:val="000B4653"/>
    <w:rsid w:val="000B505A"/>
    <w:rsid w:val="000B5436"/>
    <w:rsid w:val="000B5714"/>
    <w:rsid w:val="000B5B5C"/>
    <w:rsid w:val="000B5BC7"/>
    <w:rsid w:val="000B74E2"/>
    <w:rsid w:val="000B7538"/>
    <w:rsid w:val="000C0FFF"/>
    <w:rsid w:val="000C2FC0"/>
    <w:rsid w:val="000C40DE"/>
    <w:rsid w:val="000C4F02"/>
    <w:rsid w:val="000C561B"/>
    <w:rsid w:val="000C59BB"/>
    <w:rsid w:val="000C6290"/>
    <w:rsid w:val="000C62F7"/>
    <w:rsid w:val="000C675F"/>
    <w:rsid w:val="000C6CBF"/>
    <w:rsid w:val="000C7473"/>
    <w:rsid w:val="000C774E"/>
    <w:rsid w:val="000C7C18"/>
    <w:rsid w:val="000D0B85"/>
    <w:rsid w:val="000D0E07"/>
    <w:rsid w:val="000D0F73"/>
    <w:rsid w:val="000D1F18"/>
    <w:rsid w:val="000D1FD5"/>
    <w:rsid w:val="000D2A24"/>
    <w:rsid w:val="000D308B"/>
    <w:rsid w:val="000D4DAA"/>
    <w:rsid w:val="000D6767"/>
    <w:rsid w:val="000D6BA7"/>
    <w:rsid w:val="000D7B3B"/>
    <w:rsid w:val="000D7BE0"/>
    <w:rsid w:val="000E0008"/>
    <w:rsid w:val="000E0E48"/>
    <w:rsid w:val="000E1175"/>
    <w:rsid w:val="000E1713"/>
    <w:rsid w:val="000E3326"/>
    <w:rsid w:val="000E3DE8"/>
    <w:rsid w:val="000E42F9"/>
    <w:rsid w:val="000E47A6"/>
    <w:rsid w:val="000E527B"/>
    <w:rsid w:val="000E5727"/>
    <w:rsid w:val="000E5A51"/>
    <w:rsid w:val="000E619C"/>
    <w:rsid w:val="000E66F8"/>
    <w:rsid w:val="000E75FD"/>
    <w:rsid w:val="000F029A"/>
    <w:rsid w:val="000F0317"/>
    <w:rsid w:val="000F0447"/>
    <w:rsid w:val="000F0C06"/>
    <w:rsid w:val="000F0CAB"/>
    <w:rsid w:val="000F103A"/>
    <w:rsid w:val="000F1F6C"/>
    <w:rsid w:val="000F24B9"/>
    <w:rsid w:val="000F281A"/>
    <w:rsid w:val="000F307F"/>
    <w:rsid w:val="000F3A51"/>
    <w:rsid w:val="000F4490"/>
    <w:rsid w:val="000F4718"/>
    <w:rsid w:val="000F52BB"/>
    <w:rsid w:val="000F5340"/>
    <w:rsid w:val="000F56DC"/>
    <w:rsid w:val="000F584C"/>
    <w:rsid w:val="000F59CB"/>
    <w:rsid w:val="000F60B7"/>
    <w:rsid w:val="000F6304"/>
    <w:rsid w:val="000F702E"/>
    <w:rsid w:val="000F7A70"/>
    <w:rsid w:val="0010046C"/>
    <w:rsid w:val="00100676"/>
    <w:rsid w:val="00101D4E"/>
    <w:rsid w:val="00102858"/>
    <w:rsid w:val="00103295"/>
    <w:rsid w:val="001034A3"/>
    <w:rsid w:val="001035E6"/>
    <w:rsid w:val="00103A79"/>
    <w:rsid w:val="0010423B"/>
    <w:rsid w:val="00104294"/>
    <w:rsid w:val="00104386"/>
    <w:rsid w:val="001044BD"/>
    <w:rsid w:val="00104A9A"/>
    <w:rsid w:val="001051AE"/>
    <w:rsid w:val="00106985"/>
    <w:rsid w:val="00107AD4"/>
    <w:rsid w:val="00107DAB"/>
    <w:rsid w:val="001101D4"/>
    <w:rsid w:val="00110DE1"/>
    <w:rsid w:val="001119E3"/>
    <w:rsid w:val="00112698"/>
    <w:rsid w:val="001126F3"/>
    <w:rsid w:val="001129F8"/>
    <w:rsid w:val="00112A11"/>
    <w:rsid w:val="00112CB0"/>
    <w:rsid w:val="00114425"/>
    <w:rsid w:val="001147EF"/>
    <w:rsid w:val="001148FE"/>
    <w:rsid w:val="00114E71"/>
    <w:rsid w:val="00115967"/>
    <w:rsid w:val="00115EFB"/>
    <w:rsid w:val="00116CF9"/>
    <w:rsid w:val="0012192F"/>
    <w:rsid w:val="00121FE5"/>
    <w:rsid w:val="00123225"/>
    <w:rsid w:val="00123676"/>
    <w:rsid w:val="00123DCB"/>
    <w:rsid w:val="00126B88"/>
    <w:rsid w:val="00127048"/>
    <w:rsid w:val="001276F4"/>
    <w:rsid w:val="00127B8C"/>
    <w:rsid w:val="00127DD1"/>
    <w:rsid w:val="00127F3C"/>
    <w:rsid w:val="00130725"/>
    <w:rsid w:val="0013111A"/>
    <w:rsid w:val="00131614"/>
    <w:rsid w:val="00131A9D"/>
    <w:rsid w:val="00131FAA"/>
    <w:rsid w:val="00133339"/>
    <w:rsid w:val="00133F3E"/>
    <w:rsid w:val="00133FF1"/>
    <w:rsid w:val="00134260"/>
    <w:rsid w:val="00135FD2"/>
    <w:rsid w:val="001375D7"/>
    <w:rsid w:val="00137654"/>
    <w:rsid w:val="00140B5C"/>
    <w:rsid w:val="00141804"/>
    <w:rsid w:val="00142973"/>
    <w:rsid w:val="00142BD2"/>
    <w:rsid w:val="0014309A"/>
    <w:rsid w:val="00143462"/>
    <w:rsid w:val="001436F9"/>
    <w:rsid w:val="00144B22"/>
    <w:rsid w:val="00144C39"/>
    <w:rsid w:val="00144CC0"/>
    <w:rsid w:val="001452E4"/>
    <w:rsid w:val="00145B82"/>
    <w:rsid w:val="0014665A"/>
    <w:rsid w:val="00147A66"/>
    <w:rsid w:val="00147C2B"/>
    <w:rsid w:val="00150094"/>
    <w:rsid w:val="00150764"/>
    <w:rsid w:val="00150AE6"/>
    <w:rsid w:val="00151145"/>
    <w:rsid w:val="00151785"/>
    <w:rsid w:val="00151EDA"/>
    <w:rsid w:val="00151FD0"/>
    <w:rsid w:val="001534A9"/>
    <w:rsid w:val="00154052"/>
    <w:rsid w:val="001548E5"/>
    <w:rsid w:val="00155588"/>
    <w:rsid w:val="00155659"/>
    <w:rsid w:val="00155E0D"/>
    <w:rsid w:val="00155E4C"/>
    <w:rsid w:val="00155E9B"/>
    <w:rsid w:val="00156016"/>
    <w:rsid w:val="00156E10"/>
    <w:rsid w:val="0015725D"/>
    <w:rsid w:val="001577D7"/>
    <w:rsid w:val="00160289"/>
    <w:rsid w:val="00160496"/>
    <w:rsid w:val="0016071C"/>
    <w:rsid w:val="0016076F"/>
    <w:rsid w:val="00160A63"/>
    <w:rsid w:val="00160ABC"/>
    <w:rsid w:val="00161FEA"/>
    <w:rsid w:val="00162277"/>
    <w:rsid w:val="00163480"/>
    <w:rsid w:val="00163911"/>
    <w:rsid w:val="00163A54"/>
    <w:rsid w:val="00165489"/>
    <w:rsid w:val="001664C8"/>
    <w:rsid w:val="0016791F"/>
    <w:rsid w:val="00167D00"/>
    <w:rsid w:val="00167E21"/>
    <w:rsid w:val="00167FE4"/>
    <w:rsid w:val="001711E2"/>
    <w:rsid w:val="001713F3"/>
    <w:rsid w:val="0017146B"/>
    <w:rsid w:val="00171A6A"/>
    <w:rsid w:val="00171EC0"/>
    <w:rsid w:val="00171FDE"/>
    <w:rsid w:val="0017253A"/>
    <w:rsid w:val="00172B02"/>
    <w:rsid w:val="0017337F"/>
    <w:rsid w:val="0017414E"/>
    <w:rsid w:val="00176A1E"/>
    <w:rsid w:val="00176A9B"/>
    <w:rsid w:val="00176B8A"/>
    <w:rsid w:val="00177ECE"/>
    <w:rsid w:val="00180D25"/>
    <w:rsid w:val="00180D78"/>
    <w:rsid w:val="0018283F"/>
    <w:rsid w:val="00182B1C"/>
    <w:rsid w:val="00182D7A"/>
    <w:rsid w:val="001836FE"/>
    <w:rsid w:val="0018374E"/>
    <w:rsid w:val="001840F8"/>
    <w:rsid w:val="0018428D"/>
    <w:rsid w:val="0018496C"/>
    <w:rsid w:val="001862E7"/>
    <w:rsid w:val="0018658E"/>
    <w:rsid w:val="00186980"/>
    <w:rsid w:val="0018771D"/>
    <w:rsid w:val="00187EA8"/>
    <w:rsid w:val="00187F60"/>
    <w:rsid w:val="00190481"/>
    <w:rsid w:val="0019069E"/>
    <w:rsid w:val="00190AB8"/>
    <w:rsid w:val="001919CE"/>
    <w:rsid w:val="00191FFD"/>
    <w:rsid w:val="0019221D"/>
    <w:rsid w:val="0019339A"/>
    <w:rsid w:val="001940C5"/>
    <w:rsid w:val="001943B9"/>
    <w:rsid w:val="001944DD"/>
    <w:rsid w:val="001954B3"/>
    <w:rsid w:val="001955F2"/>
    <w:rsid w:val="001958FE"/>
    <w:rsid w:val="001961E8"/>
    <w:rsid w:val="00196DC6"/>
    <w:rsid w:val="001974B0"/>
    <w:rsid w:val="001979CF"/>
    <w:rsid w:val="001A0364"/>
    <w:rsid w:val="001A0796"/>
    <w:rsid w:val="001A09FB"/>
    <w:rsid w:val="001A0D86"/>
    <w:rsid w:val="001A11C6"/>
    <w:rsid w:val="001A1EE4"/>
    <w:rsid w:val="001A290C"/>
    <w:rsid w:val="001A2BB4"/>
    <w:rsid w:val="001A36DF"/>
    <w:rsid w:val="001A4BF2"/>
    <w:rsid w:val="001A515E"/>
    <w:rsid w:val="001A6903"/>
    <w:rsid w:val="001B0179"/>
    <w:rsid w:val="001B07BB"/>
    <w:rsid w:val="001B099C"/>
    <w:rsid w:val="001B3145"/>
    <w:rsid w:val="001B3516"/>
    <w:rsid w:val="001B3938"/>
    <w:rsid w:val="001B3E03"/>
    <w:rsid w:val="001B4471"/>
    <w:rsid w:val="001B45FC"/>
    <w:rsid w:val="001B4930"/>
    <w:rsid w:val="001B5318"/>
    <w:rsid w:val="001B5396"/>
    <w:rsid w:val="001B64DD"/>
    <w:rsid w:val="001B6D7F"/>
    <w:rsid w:val="001B6F41"/>
    <w:rsid w:val="001C015D"/>
    <w:rsid w:val="001C0436"/>
    <w:rsid w:val="001C0A9C"/>
    <w:rsid w:val="001C109F"/>
    <w:rsid w:val="001C3058"/>
    <w:rsid w:val="001C42B3"/>
    <w:rsid w:val="001C43CE"/>
    <w:rsid w:val="001C441D"/>
    <w:rsid w:val="001C4C39"/>
    <w:rsid w:val="001C567C"/>
    <w:rsid w:val="001C57A7"/>
    <w:rsid w:val="001C5FC1"/>
    <w:rsid w:val="001C6407"/>
    <w:rsid w:val="001C6D52"/>
    <w:rsid w:val="001D037A"/>
    <w:rsid w:val="001D08C9"/>
    <w:rsid w:val="001D0C03"/>
    <w:rsid w:val="001D0DF0"/>
    <w:rsid w:val="001D17C5"/>
    <w:rsid w:val="001D49B1"/>
    <w:rsid w:val="001D4C99"/>
    <w:rsid w:val="001D5D4E"/>
    <w:rsid w:val="001D6334"/>
    <w:rsid w:val="001D7100"/>
    <w:rsid w:val="001D7A61"/>
    <w:rsid w:val="001E00E3"/>
    <w:rsid w:val="001E03AD"/>
    <w:rsid w:val="001E0D04"/>
    <w:rsid w:val="001E14EE"/>
    <w:rsid w:val="001E2278"/>
    <w:rsid w:val="001E269B"/>
    <w:rsid w:val="001E3036"/>
    <w:rsid w:val="001E36CA"/>
    <w:rsid w:val="001E3CCA"/>
    <w:rsid w:val="001E4553"/>
    <w:rsid w:val="001E4B81"/>
    <w:rsid w:val="001E4C28"/>
    <w:rsid w:val="001E4CAD"/>
    <w:rsid w:val="001E5B3D"/>
    <w:rsid w:val="001E5BDA"/>
    <w:rsid w:val="001E6499"/>
    <w:rsid w:val="001E699B"/>
    <w:rsid w:val="001E6A85"/>
    <w:rsid w:val="001E6D92"/>
    <w:rsid w:val="001E707E"/>
    <w:rsid w:val="001E7A9C"/>
    <w:rsid w:val="001F0B94"/>
    <w:rsid w:val="001F1CFE"/>
    <w:rsid w:val="001F251D"/>
    <w:rsid w:val="001F2821"/>
    <w:rsid w:val="001F2E4B"/>
    <w:rsid w:val="001F3719"/>
    <w:rsid w:val="001F41C6"/>
    <w:rsid w:val="001F4956"/>
    <w:rsid w:val="001F5677"/>
    <w:rsid w:val="001F5B42"/>
    <w:rsid w:val="001F5D92"/>
    <w:rsid w:val="001F675D"/>
    <w:rsid w:val="001F6854"/>
    <w:rsid w:val="001F79C4"/>
    <w:rsid w:val="001F7CF7"/>
    <w:rsid w:val="00201B7C"/>
    <w:rsid w:val="00202F71"/>
    <w:rsid w:val="002039DD"/>
    <w:rsid w:val="00204061"/>
    <w:rsid w:val="00205408"/>
    <w:rsid w:val="00205B61"/>
    <w:rsid w:val="002067F9"/>
    <w:rsid w:val="00206C3C"/>
    <w:rsid w:val="00207035"/>
    <w:rsid w:val="002102BE"/>
    <w:rsid w:val="00210408"/>
    <w:rsid w:val="00211A62"/>
    <w:rsid w:val="00211B14"/>
    <w:rsid w:val="00212109"/>
    <w:rsid w:val="00212F14"/>
    <w:rsid w:val="00213721"/>
    <w:rsid w:val="002138E8"/>
    <w:rsid w:val="00214023"/>
    <w:rsid w:val="0021479B"/>
    <w:rsid w:val="0021588B"/>
    <w:rsid w:val="0021618E"/>
    <w:rsid w:val="0021619F"/>
    <w:rsid w:val="0021622E"/>
    <w:rsid w:val="0021670F"/>
    <w:rsid w:val="00216969"/>
    <w:rsid w:val="00216B64"/>
    <w:rsid w:val="00216E1C"/>
    <w:rsid w:val="00217482"/>
    <w:rsid w:val="0021750C"/>
    <w:rsid w:val="00217CD2"/>
    <w:rsid w:val="00220287"/>
    <w:rsid w:val="002202BE"/>
    <w:rsid w:val="00221373"/>
    <w:rsid w:val="0022298C"/>
    <w:rsid w:val="0022338C"/>
    <w:rsid w:val="00224B17"/>
    <w:rsid w:val="002252E7"/>
    <w:rsid w:val="00225B12"/>
    <w:rsid w:val="0022670F"/>
    <w:rsid w:val="00227A6B"/>
    <w:rsid w:val="002302A4"/>
    <w:rsid w:val="00230AEA"/>
    <w:rsid w:val="00230F9F"/>
    <w:rsid w:val="002312DE"/>
    <w:rsid w:val="002317E6"/>
    <w:rsid w:val="0023198A"/>
    <w:rsid w:val="00232C1D"/>
    <w:rsid w:val="002333ED"/>
    <w:rsid w:val="00234FAB"/>
    <w:rsid w:val="00235626"/>
    <w:rsid w:val="00236720"/>
    <w:rsid w:val="00236993"/>
    <w:rsid w:val="002372CB"/>
    <w:rsid w:val="00237A56"/>
    <w:rsid w:val="00237CC5"/>
    <w:rsid w:val="00237F67"/>
    <w:rsid w:val="002402FE"/>
    <w:rsid w:val="002406F5"/>
    <w:rsid w:val="00241AD4"/>
    <w:rsid w:val="00241C15"/>
    <w:rsid w:val="00241D96"/>
    <w:rsid w:val="002425BD"/>
    <w:rsid w:val="002425E0"/>
    <w:rsid w:val="002429DB"/>
    <w:rsid w:val="00244E35"/>
    <w:rsid w:val="002452C7"/>
    <w:rsid w:val="00245419"/>
    <w:rsid w:val="00245E89"/>
    <w:rsid w:val="0024688D"/>
    <w:rsid w:val="002468CE"/>
    <w:rsid w:val="00250C8C"/>
    <w:rsid w:val="00253742"/>
    <w:rsid w:val="00253BEF"/>
    <w:rsid w:val="002560AB"/>
    <w:rsid w:val="002563DD"/>
    <w:rsid w:val="002578A9"/>
    <w:rsid w:val="0026004F"/>
    <w:rsid w:val="002608B7"/>
    <w:rsid w:val="00260C58"/>
    <w:rsid w:val="00261816"/>
    <w:rsid w:val="0026185E"/>
    <w:rsid w:val="00261C7C"/>
    <w:rsid w:val="002627DB"/>
    <w:rsid w:val="00262A8D"/>
    <w:rsid w:val="00262ACE"/>
    <w:rsid w:val="00262DC9"/>
    <w:rsid w:val="00263A1E"/>
    <w:rsid w:val="00263EA8"/>
    <w:rsid w:val="0026423A"/>
    <w:rsid w:val="0026435E"/>
    <w:rsid w:val="00264734"/>
    <w:rsid w:val="00264977"/>
    <w:rsid w:val="00265093"/>
    <w:rsid w:val="00265A1A"/>
    <w:rsid w:val="00265A29"/>
    <w:rsid w:val="002660E1"/>
    <w:rsid w:val="0026667F"/>
    <w:rsid w:val="00266DE2"/>
    <w:rsid w:val="00267DBC"/>
    <w:rsid w:val="002716BE"/>
    <w:rsid w:val="002717F2"/>
    <w:rsid w:val="00271EA2"/>
    <w:rsid w:val="002722B0"/>
    <w:rsid w:val="00272785"/>
    <w:rsid w:val="00272AED"/>
    <w:rsid w:val="00272B9B"/>
    <w:rsid w:val="00272DB5"/>
    <w:rsid w:val="002734B6"/>
    <w:rsid w:val="002742B7"/>
    <w:rsid w:val="00274FAE"/>
    <w:rsid w:val="0027522C"/>
    <w:rsid w:val="00275DF9"/>
    <w:rsid w:val="002770E8"/>
    <w:rsid w:val="00277C87"/>
    <w:rsid w:val="00277F3D"/>
    <w:rsid w:val="00280259"/>
    <w:rsid w:val="00280EC1"/>
    <w:rsid w:val="002812CC"/>
    <w:rsid w:val="00281615"/>
    <w:rsid w:val="002829BD"/>
    <w:rsid w:val="002838EE"/>
    <w:rsid w:val="00283BD0"/>
    <w:rsid w:val="00283E11"/>
    <w:rsid w:val="00284758"/>
    <w:rsid w:val="00285734"/>
    <w:rsid w:val="002859E0"/>
    <w:rsid w:val="00285E97"/>
    <w:rsid w:val="00286A02"/>
    <w:rsid w:val="002873C5"/>
    <w:rsid w:val="0028744A"/>
    <w:rsid w:val="002874A8"/>
    <w:rsid w:val="00290AD3"/>
    <w:rsid w:val="002919E8"/>
    <w:rsid w:val="00291EA0"/>
    <w:rsid w:val="00291EBD"/>
    <w:rsid w:val="00292726"/>
    <w:rsid w:val="00292D17"/>
    <w:rsid w:val="002937B6"/>
    <w:rsid w:val="00293FF9"/>
    <w:rsid w:val="00294423"/>
    <w:rsid w:val="002945FF"/>
    <w:rsid w:val="002960E4"/>
    <w:rsid w:val="002964C1"/>
    <w:rsid w:val="002964F4"/>
    <w:rsid w:val="00296ACF"/>
    <w:rsid w:val="00296E25"/>
    <w:rsid w:val="00297020"/>
    <w:rsid w:val="002970FB"/>
    <w:rsid w:val="002975DA"/>
    <w:rsid w:val="00297B61"/>
    <w:rsid w:val="002A0CB1"/>
    <w:rsid w:val="002A13BC"/>
    <w:rsid w:val="002A1F3F"/>
    <w:rsid w:val="002A3449"/>
    <w:rsid w:val="002A3517"/>
    <w:rsid w:val="002A3570"/>
    <w:rsid w:val="002A38F9"/>
    <w:rsid w:val="002A46E7"/>
    <w:rsid w:val="002A562A"/>
    <w:rsid w:val="002A6084"/>
    <w:rsid w:val="002B1C56"/>
    <w:rsid w:val="002B22A4"/>
    <w:rsid w:val="002B3DFF"/>
    <w:rsid w:val="002B404D"/>
    <w:rsid w:val="002B493D"/>
    <w:rsid w:val="002B507D"/>
    <w:rsid w:val="002B50F2"/>
    <w:rsid w:val="002B5365"/>
    <w:rsid w:val="002B54A8"/>
    <w:rsid w:val="002B6460"/>
    <w:rsid w:val="002B6562"/>
    <w:rsid w:val="002B6AE7"/>
    <w:rsid w:val="002B7594"/>
    <w:rsid w:val="002B7614"/>
    <w:rsid w:val="002B79A6"/>
    <w:rsid w:val="002B7CD7"/>
    <w:rsid w:val="002C00AC"/>
    <w:rsid w:val="002C2077"/>
    <w:rsid w:val="002C2558"/>
    <w:rsid w:val="002C2ABD"/>
    <w:rsid w:val="002C2E6B"/>
    <w:rsid w:val="002C2F43"/>
    <w:rsid w:val="002C3589"/>
    <w:rsid w:val="002C5477"/>
    <w:rsid w:val="002C5932"/>
    <w:rsid w:val="002C6A96"/>
    <w:rsid w:val="002C7480"/>
    <w:rsid w:val="002C74A3"/>
    <w:rsid w:val="002C7EC7"/>
    <w:rsid w:val="002C7F8B"/>
    <w:rsid w:val="002D21AC"/>
    <w:rsid w:val="002D313C"/>
    <w:rsid w:val="002D3C07"/>
    <w:rsid w:val="002D3CD1"/>
    <w:rsid w:val="002D48A4"/>
    <w:rsid w:val="002D4F45"/>
    <w:rsid w:val="002D5308"/>
    <w:rsid w:val="002D680C"/>
    <w:rsid w:val="002D6AA8"/>
    <w:rsid w:val="002D7E84"/>
    <w:rsid w:val="002E2CC4"/>
    <w:rsid w:val="002E2E2C"/>
    <w:rsid w:val="002E32D7"/>
    <w:rsid w:val="002E330D"/>
    <w:rsid w:val="002E3688"/>
    <w:rsid w:val="002E36A0"/>
    <w:rsid w:val="002E36E8"/>
    <w:rsid w:val="002E376B"/>
    <w:rsid w:val="002E41B3"/>
    <w:rsid w:val="002E4D67"/>
    <w:rsid w:val="002E4DF2"/>
    <w:rsid w:val="002E4FB2"/>
    <w:rsid w:val="002E5486"/>
    <w:rsid w:val="002E6503"/>
    <w:rsid w:val="002E6E3F"/>
    <w:rsid w:val="002F0260"/>
    <w:rsid w:val="002F1316"/>
    <w:rsid w:val="002F2DF6"/>
    <w:rsid w:val="002F30FC"/>
    <w:rsid w:val="002F3550"/>
    <w:rsid w:val="002F35C1"/>
    <w:rsid w:val="002F3B3E"/>
    <w:rsid w:val="002F555C"/>
    <w:rsid w:val="002F55A4"/>
    <w:rsid w:val="002F6D8F"/>
    <w:rsid w:val="002F74F3"/>
    <w:rsid w:val="002F760E"/>
    <w:rsid w:val="002F7C82"/>
    <w:rsid w:val="00300385"/>
    <w:rsid w:val="00300C0C"/>
    <w:rsid w:val="00301C5D"/>
    <w:rsid w:val="00303640"/>
    <w:rsid w:val="003038B7"/>
    <w:rsid w:val="00304098"/>
    <w:rsid w:val="003046EB"/>
    <w:rsid w:val="00304F2F"/>
    <w:rsid w:val="00305483"/>
    <w:rsid w:val="0030571D"/>
    <w:rsid w:val="00307980"/>
    <w:rsid w:val="00307F6A"/>
    <w:rsid w:val="00307FED"/>
    <w:rsid w:val="00311081"/>
    <w:rsid w:val="0031212D"/>
    <w:rsid w:val="00312293"/>
    <w:rsid w:val="0031277F"/>
    <w:rsid w:val="00312FDE"/>
    <w:rsid w:val="00314579"/>
    <w:rsid w:val="00314757"/>
    <w:rsid w:val="003156D7"/>
    <w:rsid w:val="00315D4C"/>
    <w:rsid w:val="003162ED"/>
    <w:rsid w:val="0031640D"/>
    <w:rsid w:val="003164E7"/>
    <w:rsid w:val="0032032F"/>
    <w:rsid w:val="003211DC"/>
    <w:rsid w:val="00321255"/>
    <w:rsid w:val="00322458"/>
    <w:rsid w:val="003224C1"/>
    <w:rsid w:val="003225DC"/>
    <w:rsid w:val="00323327"/>
    <w:rsid w:val="00323614"/>
    <w:rsid w:val="00323E15"/>
    <w:rsid w:val="003240D3"/>
    <w:rsid w:val="0032548F"/>
    <w:rsid w:val="0032644B"/>
    <w:rsid w:val="00327EC5"/>
    <w:rsid w:val="00330937"/>
    <w:rsid w:val="00330E40"/>
    <w:rsid w:val="00330FCE"/>
    <w:rsid w:val="00332511"/>
    <w:rsid w:val="00332FA5"/>
    <w:rsid w:val="00333BBB"/>
    <w:rsid w:val="00334E2D"/>
    <w:rsid w:val="00335D44"/>
    <w:rsid w:val="00336170"/>
    <w:rsid w:val="00336B43"/>
    <w:rsid w:val="003370CC"/>
    <w:rsid w:val="00337256"/>
    <w:rsid w:val="00340158"/>
    <w:rsid w:val="00340BB8"/>
    <w:rsid w:val="003410B3"/>
    <w:rsid w:val="0034156B"/>
    <w:rsid w:val="00341C2F"/>
    <w:rsid w:val="00342576"/>
    <w:rsid w:val="00342B57"/>
    <w:rsid w:val="00343B25"/>
    <w:rsid w:val="00344DA8"/>
    <w:rsid w:val="00345C50"/>
    <w:rsid w:val="00345D48"/>
    <w:rsid w:val="0034673D"/>
    <w:rsid w:val="00347870"/>
    <w:rsid w:val="00350220"/>
    <w:rsid w:val="0035051F"/>
    <w:rsid w:val="003511FD"/>
    <w:rsid w:val="00351349"/>
    <w:rsid w:val="003516FE"/>
    <w:rsid w:val="00351744"/>
    <w:rsid w:val="00351C12"/>
    <w:rsid w:val="00351E68"/>
    <w:rsid w:val="00351F88"/>
    <w:rsid w:val="00351F9B"/>
    <w:rsid w:val="0035338E"/>
    <w:rsid w:val="00353425"/>
    <w:rsid w:val="0035392E"/>
    <w:rsid w:val="00353FD6"/>
    <w:rsid w:val="0035609C"/>
    <w:rsid w:val="003566D8"/>
    <w:rsid w:val="00356A69"/>
    <w:rsid w:val="003600C0"/>
    <w:rsid w:val="003604F3"/>
    <w:rsid w:val="00361543"/>
    <w:rsid w:val="00362A79"/>
    <w:rsid w:val="00362C1D"/>
    <w:rsid w:val="00363562"/>
    <w:rsid w:val="003637E3"/>
    <w:rsid w:val="00363A43"/>
    <w:rsid w:val="003640EF"/>
    <w:rsid w:val="00365783"/>
    <w:rsid w:val="003657C9"/>
    <w:rsid w:val="00365C77"/>
    <w:rsid w:val="003663B3"/>
    <w:rsid w:val="00366867"/>
    <w:rsid w:val="003677C2"/>
    <w:rsid w:val="00370121"/>
    <w:rsid w:val="003701E5"/>
    <w:rsid w:val="0037056E"/>
    <w:rsid w:val="003707B6"/>
    <w:rsid w:val="00370AC1"/>
    <w:rsid w:val="00370CC1"/>
    <w:rsid w:val="00371596"/>
    <w:rsid w:val="00371789"/>
    <w:rsid w:val="00371A41"/>
    <w:rsid w:val="00371C3A"/>
    <w:rsid w:val="00372263"/>
    <w:rsid w:val="003725AC"/>
    <w:rsid w:val="0037278C"/>
    <w:rsid w:val="00372871"/>
    <w:rsid w:val="00372FC6"/>
    <w:rsid w:val="00374294"/>
    <w:rsid w:val="003749A2"/>
    <w:rsid w:val="00375565"/>
    <w:rsid w:val="00377330"/>
    <w:rsid w:val="00377C3E"/>
    <w:rsid w:val="00381EC1"/>
    <w:rsid w:val="00382886"/>
    <w:rsid w:val="0038334A"/>
    <w:rsid w:val="003838AC"/>
    <w:rsid w:val="00384052"/>
    <w:rsid w:val="0038408C"/>
    <w:rsid w:val="003847F6"/>
    <w:rsid w:val="00384CA2"/>
    <w:rsid w:val="00384EE3"/>
    <w:rsid w:val="00385708"/>
    <w:rsid w:val="00385F0E"/>
    <w:rsid w:val="00385FD8"/>
    <w:rsid w:val="003865EA"/>
    <w:rsid w:val="00386D95"/>
    <w:rsid w:val="00391A9D"/>
    <w:rsid w:val="00392596"/>
    <w:rsid w:val="00392A9C"/>
    <w:rsid w:val="003932D7"/>
    <w:rsid w:val="003934BD"/>
    <w:rsid w:val="00393AFA"/>
    <w:rsid w:val="00393C44"/>
    <w:rsid w:val="0039477A"/>
    <w:rsid w:val="00394DB2"/>
    <w:rsid w:val="00396526"/>
    <w:rsid w:val="00396A92"/>
    <w:rsid w:val="00397B05"/>
    <w:rsid w:val="003A0119"/>
    <w:rsid w:val="003A08C1"/>
    <w:rsid w:val="003A133A"/>
    <w:rsid w:val="003A14B8"/>
    <w:rsid w:val="003A2160"/>
    <w:rsid w:val="003A38A3"/>
    <w:rsid w:val="003A3F1A"/>
    <w:rsid w:val="003A448E"/>
    <w:rsid w:val="003A4984"/>
    <w:rsid w:val="003A4BF5"/>
    <w:rsid w:val="003A4CFD"/>
    <w:rsid w:val="003A5E79"/>
    <w:rsid w:val="003A7627"/>
    <w:rsid w:val="003A7F76"/>
    <w:rsid w:val="003B051D"/>
    <w:rsid w:val="003B0558"/>
    <w:rsid w:val="003B1183"/>
    <w:rsid w:val="003B1A78"/>
    <w:rsid w:val="003B1B52"/>
    <w:rsid w:val="003B1CB3"/>
    <w:rsid w:val="003B1CD5"/>
    <w:rsid w:val="003B200F"/>
    <w:rsid w:val="003B2102"/>
    <w:rsid w:val="003B2434"/>
    <w:rsid w:val="003B25D8"/>
    <w:rsid w:val="003B338B"/>
    <w:rsid w:val="003B3E35"/>
    <w:rsid w:val="003B40EA"/>
    <w:rsid w:val="003B4307"/>
    <w:rsid w:val="003B5BC0"/>
    <w:rsid w:val="003B6256"/>
    <w:rsid w:val="003B6879"/>
    <w:rsid w:val="003B6AFA"/>
    <w:rsid w:val="003B73C7"/>
    <w:rsid w:val="003B79B4"/>
    <w:rsid w:val="003C045A"/>
    <w:rsid w:val="003C06FD"/>
    <w:rsid w:val="003C0D9E"/>
    <w:rsid w:val="003C27AF"/>
    <w:rsid w:val="003C4B8C"/>
    <w:rsid w:val="003C5528"/>
    <w:rsid w:val="003C6E92"/>
    <w:rsid w:val="003C728F"/>
    <w:rsid w:val="003C743E"/>
    <w:rsid w:val="003C7777"/>
    <w:rsid w:val="003C7A55"/>
    <w:rsid w:val="003D0053"/>
    <w:rsid w:val="003D21AD"/>
    <w:rsid w:val="003D286B"/>
    <w:rsid w:val="003D28D0"/>
    <w:rsid w:val="003D301C"/>
    <w:rsid w:val="003D58A1"/>
    <w:rsid w:val="003D63BB"/>
    <w:rsid w:val="003D6F76"/>
    <w:rsid w:val="003D75C0"/>
    <w:rsid w:val="003D7FB0"/>
    <w:rsid w:val="003E1178"/>
    <w:rsid w:val="003E2207"/>
    <w:rsid w:val="003E2882"/>
    <w:rsid w:val="003E29E9"/>
    <w:rsid w:val="003E2E49"/>
    <w:rsid w:val="003E39DA"/>
    <w:rsid w:val="003E4F48"/>
    <w:rsid w:val="003E5237"/>
    <w:rsid w:val="003E615E"/>
    <w:rsid w:val="003E6238"/>
    <w:rsid w:val="003E68B0"/>
    <w:rsid w:val="003E6A5F"/>
    <w:rsid w:val="003E71CF"/>
    <w:rsid w:val="003F0C56"/>
    <w:rsid w:val="003F0DBF"/>
    <w:rsid w:val="003F0F17"/>
    <w:rsid w:val="003F1246"/>
    <w:rsid w:val="003F167F"/>
    <w:rsid w:val="003F26AE"/>
    <w:rsid w:val="003F2CA0"/>
    <w:rsid w:val="003F3FA5"/>
    <w:rsid w:val="003F4951"/>
    <w:rsid w:val="003F4B80"/>
    <w:rsid w:val="003F5AB5"/>
    <w:rsid w:val="003F6CE1"/>
    <w:rsid w:val="003F7420"/>
    <w:rsid w:val="003F7E92"/>
    <w:rsid w:val="00400FCD"/>
    <w:rsid w:val="00401457"/>
    <w:rsid w:val="0040176C"/>
    <w:rsid w:val="00402A9A"/>
    <w:rsid w:val="004031A7"/>
    <w:rsid w:val="0040519D"/>
    <w:rsid w:val="004058E2"/>
    <w:rsid w:val="00405F2E"/>
    <w:rsid w:val="004071D2"/>
    <w:rsid w:val="00407D08"/>
    <w:rsid w:val="004108C0"/>
    <w:rsid w:val="00410C55"/>
    <w:rsid w:val="004118D8"/>
    <w:rsid w:val="0041299F"/>
    <w:rsid w:val="0041534F"/>
    <w:rsid w:val="00415C4F"/>
    <w:rsid w:val="00416D9C"/>
    <w:rsid w:val="00417529"/>
    <w:rsid w:val="00422B37"/>
    <w:rsid w:val="00422CE4"/>
    <w:rsid w:val="00423C34"/>
    <w:rsid w:val="00424027"/>
    <w:rsid w:val="00424B78"/>
    <w:rsid w:val="00424ED3"/>
    <w:rsid w:val="0042673D"/>
    <w:rsid w:val="00426806"/>
    <w:rsid w:val="0042691B"/>
    <w:rsid w:val="004272CC"/>
    <w:rsid w:val="004276D4"/>
    <w:rsid w:val="0042774B"/>
    <w:rsid w:val="00427757"/>
    <w:rsid w:val="004305C8"/>
    <w:rsid w:val="00430762"/>
    <w:rsid w:val="00431FFA"/>
    <w:rsid w:val="004326A7"/>
    <w:rsid w:val="00432A96"/>
    <w:rsid w:val="00432D8B"/>
    <w:rsid w:val="00433461"/>
    <w:rsid w:val="00435640"/>
    <w:rsid w:val="00435E5A"/>
    <w:rsid w:val="00436C65"/>
    <w:rsid w:val="00436D4C"/>
    <w:rsid w:val="004371E0"/>
    <w:rsid w:val="004374C4"/>
    <w:rsid w:val="00437A11"/>
    <w:rsid w:val="00437C21"/>
    <w:rsid w:val="00441234"/>
    <w:rsid w:val="0044183D"/>
    <w:rsid w:val="00442EDF"/>
    <w:rsid w:val="00443ADA"/>
    <w:rsid w:val="00444A81"/>
    <w:rsid w:val="00445206"/>
    <w:rsid w:val="004456A2"/>
    <w:rsid w:val="0044620C"/>
    <w:rsid w:val="00446D67"/>
    <w:rsid w:val="00447A44"/>
    <w:rsid w:val="00447B51"/>
    <w:rsid w:val="004503E4"/>
    <w:rsid w:val="00450FFF"/>
    <w:rsid w:val="00451FA0"/>
    <w:rsid w:val="004523E5"/>
    <w:rsid w:val="00455A3F"/>
    <w:rsid w:val="00455CA1"/>
    <w:rsid w:val="00457B5C"/>
    <w:rsid w:val="00460513"/>
    <w:rsid w:val="00460987"/>
    <w:rsid w:val="004629F4"/>
    <w:rsid w:val="00462CE7"/>
    <w:rsid w:val="00464B38"/>
    <w:rsid w:val="00466C89"/>
    <w:rsid w:val="00466CDC"/>
    <w:rsid w:val="004671CB"/>
    <w:rsid w:val="00467611"/>
    <w:rsid w:val="00467AAD"/>
    <w:rsid w:val="00470173"/>
    <w:rsid w:val="00471B73"/>
    <w:rsid w:val="0047312B"/>
    <w:rsid w:val="0047339C"/>
    <w:rsid w:val="00473A33"/>
    <w:rsid w:val="004745EC"/>
    <w:rsid w:val="004751A3"/>
    <w:rsid w:val="004760C6"/>
    <w:rsid w:val="00480067"/>
    <w:rsid w:val="004800F8"/>
    <w:rsid w:val="0048092B"/>
    <w:rsid w:val="00481117"/>
    <w:rsid w:val="00483CB7"/>
    <w:rsid w:val="004841D1"/>
    <w:rsid w:val="004849A0"/>
    <w:rsid w:val="00485E7D"/>
    <w:rsid w:val="00485FF0"/>
    <w:rsid w:val="00486380"/>
    <w:rsid w:val="00486DED"/>
    <w:rsid w:val="00487683"/>
    <w:rsid w:val="004879BA"/>
    <w:rsid w:val="00490C8B"/>
    <w:rsid w:val="00490D9B"/>
    <w:rsid w:val="00490EEE"/>
    <w:rsid w:val="00492212"/>
    <w:rsid w:val="00492DF3"/>
    <w:rsid w:val="00493217"/>
    <w:rsid w:val="004947BE"/>
    <w:rsid w:val="0049682F"/>
    <w:rsid w:val="00496935"/>
    <w:rsid w:val="00497985"/>
    <w:rsid w:val="00497DC8"/>
    <w:rsid w:val="004A04AF"/>
    <w:rsid w:val="004A0937"/>
    <w:rsid w:val="004A106A"/>
    <w:rsid w:val="004A2ECB"/>
    <w:rsid w:val="004A33B8"/>
    <w:rsid w:val="004A398A"/>
    <w:rsid w:val="004A3D49"/>
    <w:rsid w:val="004A4CA2"/>
    <w:rsid w:val="004A7A0C"/>
    <w:rsid w:val="004B0078"/>
    <w:rsid w:val="004B01C2"/>
    <w:rsid w:val="004B035F"/>
    <w:rsid w:val="004B0AC6"/>
    <w:rsid w:val="004B0CE5"/>
    <w:rsid w:val="004B1D77"/>
    <w:rsid w:val="004B20FA"/>
    <w:rsid w:val="004B4A8C"/>
    <w:rsid w:val="004B4B06"/>
    <w:rsid w:val="004B4CC4"/>
    <w:rsid w:val="004B5479"/>
    <w:rsid w:val="004B5A05"/>
    <w:rsid w:val="004B5B03"/>
    <w:rsid w:val="004B6215"/>
    <w:rsid w:val="004B661E"/>
    <w:rsid w:val="004B6FAC"/>
    <w:rsid w:val="004B77FA"/>
    <w:rsid w:val="004B7969"/>
    <w:rsid w:val="004B7B00"/>
    <w:rsid w:val="004C094D"/>
    <w:rsid w:val="004C0A66"/>
    <w:rsid w:val="004C1775"/>
    <w:rsid w:val="004C178B"/>
    <w:rsid w:val="004C245B"/>
    <w:rsid w:val="004C266A"/>
    <w:rsid w:val="004C4231"/>
    <w:rsid w:val="004C4689"/>
    <w:rsid w:val="004C4BE9"/>
    <w:rsid w:val="004C517A"/>
    <w:rsid w:val="004C5DE9"/>
    <w:rsid w:val="004C5F55"/>
    <w:rsid w:val="004C61D2"/>
    <w:rsid w:val="004C63A6"/>
    <w:rsid w:val="004C6528"/>
    <w:rsid w:val="004C68F7"/>
    <w:rsid w:val="004C698D"/>
    <w:rsid w:val="004C72C3"/>
    <w:rsid w:val="004C7E4D"/>
    <w:rsid w:val="004D06C1"/>
    <w:rsid w:val="004D0AF3"/>
    <w:rsid w:val="004D1308"/>
    <w:rsid w:val="004D13A7"/>
    <w:rsid w:val="004D14AD"/>
    <w:rsid w:val="004D1642"/>
    <w:rsid w:val="004D24EB"/>
    <w:rsid w:val="004D5E6E"/>
    <w:rsid w:val="004E02EE"/>
    <w:rsid w:val="004E1278"/>
    <w:rsid w:val="004E13DD"/>
    <w:rsid w:val="004E1CBC"/>
    <w:rsid w:val="004E20D7"/>
    <w:rsid w:val="004E2CA5"/>
    <w:rsid w:val="004E33F6"/>
    <w:rsid w:val="004E3742"/>
    <w:rsid w:val="004E38E8"/>
    <w:rsid w:val="004E396A"/>
    <w:rsid w:val="004E3B29"/>
    <w:rsid w:val="004E47E4"/>
    <w:rsid w:val="004E4AF4"/>
    <w:rsid w:val="004E539C"/>
    <w:rsid w:val="004E5549"/>
    <w:rsid w:val="004E5679"/>
    <w:rsid w:val="004E6124"/>
    <w:rsid w:val="004E6552"/>
    <w:rsid w:val="004E6ACD"/>
    <w:rsid w:val="004E7073"/>
    <w:rsid w:val="004E730C"/>
    <w:rsid w:val="004F02CF"/>
    <w:rsid w:val="004F03C1"/>
    <w:rsid w:val="004F05D1"/>
    <w:rsid w:val="004F196B"/>
    <w:rsid w:val="004F1B46"/>
    <w:rsid w:val="004F26C8"/>
    <w:rsid w:val="004F2792"/>
    <w:rsid w:val="004F2850"/>
    <w:rsid w:val="004F2A05"/>
    <w:rsid w:val="004F2A83"/>
    <w:rsid w:val="004F2B3C"/>
    <w:rsid w:val="004F2FD4"/>
    <w:rsid w:val="004F4038"/>
    <w:rsid w:val="004F4AD4"/>
    <w:rsid w:val="004F6382"/>
    <w:rsid w:val="004F7A0B"/>
    <w:rsid w:val="00500791"/>
    <w:rsid w:val="005009D8"/>
    <w:rsid w:val="00501894"/>
    <w:rsid w:val="00501F66"/>
    <w:rsid w:val="005040E2"/>
    <w:rsid w:val="0050423B"/>
    <w:rsid w:val="005047C6"/>
    <w:rsid w:val="00504863"/>
    <w:rsid w:val="005049C4"/>
    <w:rsid w:val="00504EA5"/>
    <w:rsid w:val="00504F09"/>
    <w:rsid w:val="00505659"/>
    <w:rsid w:val="00505A9D"/>
    <w:rsid w:val="00506860"/>
    <w:rsid w:val="00506944"/>
    <w:rsid w:val="005070AC"/>
    <w:rsid w:val="00507EF8"/>
    <w:rsid w:val="00510BB6"/>
    <w:rsid w:val="00510ECD"/>
    <w:rsid w:val="00511272"/>
    <w:rsid w:val="0051181D"/>
    <w:rsid w:val="00511A98"/>
    <w:rsid w:val="00511CFA"/>
    <w:rsid w:val="005120DE"/>
    <w:rsid w:val="00512201"/>
    <w:rsid w:val="00513ACD"/>
    <w:rsid w:val="00515B7D"/>
    <w:rsid w:val="0051714C"/>
    <w:rsid w:val="00517C51"/>
    <w:rsid w:val="00521A40"/>
    <w:rsid w:val="0052249D"/>
    <w:rsid w:val="00523277"/>
    <w:rsid w:val="0052372E"/>
    <w:rsid w:val="00523C86"/>
    <w:rsid w:val="005241FD"/>
    <w:rsid w:val="005249A6"/>
    <w:rsid w:val="00524CE5"/>
    <w:rsid w:val="00524FC7"/>
    <w:rsid w:val="00525A43"/>
    <w:rsid w:val="00525C95"/>
    <w:rsid w:val="0052616F"/>
    <w:rsid w:val="005265B0"/>
    <w:rsid w:val="005266A8"/>
    <w:rsid w:val="00526A92"/>
    <w:rsid w:val="00526C59"/>
    <w:rsid w:val="0052712D"/>
    <w:rsid w:val="005277FF"/>
    <w:rsid w:val="00527D65"/>
    <w:rsid w:val="00527D9A"/>
    <w:rsid w:val="00527E21"/>
    <w:rsid w:val="005309B6"/>
    <w:rsid w:val="0053158B"/>
    <w:rsid w:val="00532435"/>
    <w:rsid w:val="005327BD"/>
    <w:rsid w:val="00533517"/>
    <w:rsid w:val="0053552C"/>
    <w:rsid w:val="00535DA9"/>
    <w:rsid w:val="0053647A"/>
    <w:rsid w:val="0053651F"/>
    <w:rsid w:val="00536554"/>
    <w:rsid w:val="005365D5"/>
    <w:rsid w:val="00540464"/>
    <w:rsid w:val="005405D8"/>
    <w:rsid w:val="00541BD5"/>
    <w:rsid w:val="0054245D"/>
    <w:rsid w:val="00543070"/>
    <w:rsid w:val="00544312"/>
    <w:rsid w:val="00544B75"/>
    <w:rsid w:val="00544FF1"/>
    <w:rsid w:val="005468C4"/>
    <w:rsid w:val="005469B1"/>
    <w:rsid w:val="00546B7A"/>
    <w:rsid w:val="00547BD4"/>
    <w:rsid w:val="00551818"/>
    <w:rsid w:val="00552151"/>
    <w:rsid w:val="00552972"/>
    <w:rsid w:val="00552CB8"/>
    <w:rsid w:val="00552E79"/>
    <w:rsid w:val="00553172"/>
    <w:rsid w:val="00553F5E"/>
    <w:rsid w:val="005543BE"/>
    <w:rsid w:val="005546D6"/>
    <w:rsid w:val="00554DAE"/>
    <w:rsid w:val="00555224"/>
    <w:rsid w:val="00555B21"/>
    <w:rsid w:val="00555DB7"/>
    <w:rsid w:val="00556EEB"/>
    <w:rsid w:val="005571ED"/>
    <w:rsid w:val="0055731A"/>
    <w:rsid w:val="00557B42"/>
    <w:rsid w:val="00561DB0"/>
    <w:rsid w:val="005624BD"/>
    <w:rsid w:val="00562DA8"/>
    <w:rsid w:val="0056381F"/>
    <w:rsid w:val="005645EA"/>
    <w:rsid w:val="0056461B"/>
    <w:rsid w:val="00564A0B"/>
    <w:rsid w:val="005652FC"/>
    <w:rsid w:val="00565BE5"/>
    <w:rsid w:val="0056632D"/>
    <w:rsid w:val="00566572"/>
    <w:rsid w:val="00566A54"/>
    <w:rsid w:val="00566B67"/>
    <w:rsid w:val="00567352"/>
    <w:rsid w:val="00567793"/>
    <w:rsid w:val="005706D2"/>
    <w:rsid w:val="0057089C"/>
    <w:rsid w:val="00571BA3"/>
    <w:rsid w:val="005721EF"/>
    <w:rsid w:val="00573E85"/>
    <w:rsid w:val="0057447F"/>
    <w:rsid w:val="00576050"/>
    <w:rsid w:val="00576B26"/>
    <w:rsid w:val="00576BEB"/>
    <w:rsid w:val="00577B05"/>
    <w:rsid w:val="00580883"/>
    <w:rsid w:val="00580CD1"/>
    <w:rsid w:val="00581A00"/>
    <w:rsid w:val="00581F03"/>
    <w:rsid w:val="00582BC2"/>
    <w:rsid w:val="00582FBF"/>
    <w:rsid w:val="00583C0A"/>
    <w:rsid w:val="00583C8C"/>
    <w:rsid w:val="00583ED4"/>
    <w:rsid w:val="00583FE2"/>
    <w:rsid w:val="0058406D"/>
    <w:rsid w:val="005840BD"/>
    <w:rsid w:val="00584A88"/>
    <w:rsid w:val="00584E44"/>
    <w:rsid w:val="00587278"/>
    <w:rsid w:val="00587453"/>
    <w:rsid w:val="00587710"/>
    <w:rsid w:val="00587BA5"/>
    <w:rsid w:val="00587DA0"/>
    <w:rsid w:val="00587DE5"/>
    <w:rsid w:val="005902C1"/>
    <w:rsid w:val="00590A90"/>
    <w:rsid w:val="00590C80"/>
    <w:rsid w:val="005917B4"/>
    <w:rsid w:val="005919ED"/>
    <w:rsid w:val="005931DE"/>
    <w:rsid w:val="00594203"/>
    <w:rsid w:val="005942A4"/>
    <w:rsid w:val="00594F1F"/>
    <w:rsid w:val="0059536E"/>
    <w:rsid w:val="005962E4"/>
    <w:rsid w:val="005A0E3B"/>
    <w:rsid w:val="005A17CC"/>
    <w:rsid w:val="005A1961"/>
    <w:rsid w:val="005A228F"/>
    <w:rsid w:val="005A278A"/>
    <w:rsid w:val="005A27BB"/>
    <w:rsid w:val="005A3102"/>
    <w:rsid w:val="005A60C6"/>
    <w:rsid w:val="005A7415"/>
    <w:rsid w:val="005B0A57"/>
    <w:rsid w:val="005B0C61"/>
    <w:rsid w:val="005B15AE"/>
    <w:rsid w:val="005B1D64"/>
    <w:rsid w:val="005B2379"/>
    <w:rsid w:val="005B2391"/>
    <w:rsid w:val="005B2DD7"/>
    <w:rsid w:val="005B2F9C"/>
    <w:rsid w:val="005B31E8"/>
    <w:rsid w:val="005B368F"/>
    <w:rsid w:val="005B3E22"/>
    <w:rsid w:val="005B3F3C"/>
    <w:rsid w:val="005B40F0"/>
    <w:rsid w:val="005B4149"/>
    <w:rsid w:val="005B46A4"/>
    <w:rsid w:val="005B58B8"/>
    <w:rsid w:val="005B6237"/>
    <w:rsid w:val="005B64DD"/>
    <w:rsid w:val="005C00FD"/>
    <w:rsid w:val="005C10CB"/>
    <w:rsid w:val="005C1750"/>
    <w:rsid w:val="005C4229"/>
    <w:rsid w:val="005C56DA"/>
    <w:rsid w:val="005C60F2"/>
    <w:rsid w:val="005C6293"/>
    <w:rsid w:val="005C6457"/>
    <w:rsid w:val="005C65B0"/>
    <w:rsid w:val="005C6824"/>
    <w:rsid w:val="005C728A"/>
    <w:rsid w:val="005D020E"/>
    <w:rsid w:val="005D023F"/>
    <w:rsid w:val="005D0959"/>
    <w:rsid w:val="005D1690"/>
    <w:rsid w:val="005D177C"/>
    <w:rsid w:val="005D2334"/>
    <w:rsid w:val="005D3071"/>
    <w:rsid w:val="005D3CFD"/>
    <w:rsid w:val="005D3E5C"/>
    <w:rsid w:val="005D3F27"/>
    <w:rsid w:val="005D515E"/>
    <w:rsid w:val="005E1446"/>
    <w:rsid w:val="005E1BF8"/>
    <w:rsid w:val="005E4496"/>
    <w:rsid w:val="005E56D3"/>
    <w:rsid w:val="005E574F"/>
    <w:rsid w:val="005E63C8"/>
    <w:rsid w:val="005E6AE9"/>
    <w:rsid w:val="005E6E8D"/>
    <w:rsid w:val="005E76F5"/>
    <w:rsid w:val="005E775E"/>
    <w:rsid w:val="005E7FB2"/>
    <w:rsid w:val="005F0144"/>
    <w:rsid w:val="005F05DF"/>
    <w:rsid w:val="005F18B5"/>
    <w:rsid w:val="005F2830"/>
    <w:rsid w:val="005F2C7E"/>
    <w:rsid w:val="005F39C0"/>
    <w:rsid w:val="005F3A67"/>
    <w:rsid w:val="005F444E"/>
    <w:rsid w:val="005F45AF"/>
    <w:rsid w:val="005F4B3A"/>
    <w:rsid w:val="005F4B7A"/>
    <w:rsid w:val="005F533A"/>
    <w:rsid w:val="005F5393"/>
    <w:rsid w:val="005F6678"/>
    <w:rsid w:val="005F7C43"/>
    <w:rsid w:val="00601564"/>
    <w:rsid w:val="0060181F"/>
    <w:rsid w:val="00602484"/>
    <w:rsid w:val="00602FDE"/>
    <w:rsid w:val="00603464"/>
    <w:rsid w:val="00604DB6"/>
    <w:rsid w:val="00605EAF"/>
    <w:rsid w:val="0060636D"/>
    <w:rsid w:val="0060637E"/>
    <w:rsid w:val="006069C6"/>
    <w:rsid w:val="00607915"/>
    <w:rsid w:val="00610E10"/>
    <w:rsid w:val="00610F51"/>
    <w:rsid w:val="00611A9A"/>
    <w:rsid w:val="00611E0D"/>
    <w:rsid w:val="00612F4D"/>
    <w:rsid w:val="0061328C"/>
    <w:rsid w:val="006140C9"/>
    <w:rsid w:val="0061561A"/>
    <w:rsid w:val="006164CE"/>
    <w:rsid w:val="00616F13"/>
    <w:rsid w:val="00620F31"/>
    <w:rsid w:val="0062127B"/>
    <w:rsid w:val="00621424"/>
    <w:rsid w:val="006215FF"/>
    <w:rsid w:val="00621C90"/>
    <w:rsid w:val="00621FC5"/>
    <w:rsid w:val="00622267"/>
    <w:rsid w:val="00622403"/>
    <w:rsid w:val="00624083"/>
    <w:rsid w:val="006245A8"/>
    <w:rsid w:val="00624761"/>
    <w:rsid w:val="00625085"/>
    <w:rsid w:val="00625613"/>
    <w:rsid w:val="006260ED"/>
    <w:rsid w:val="00626748"/>
    <w:rsid w:val="00626B57"/>
    <w:rsid w:val="0063106A"/>
    <w:rsid w:val="006317BA"/>
    <w:rsid w:val="00632C3E"/>
    <w:rsid w:val="0063361A"/>
    <w:rsid w:val="006342AF"/>
    <w:rsid w:val="00635610"/>
    <w:rsid w:val="00635DF3"/>
    <w:rsid w:val="00635EEE"/>
    <w:rsid w:val="00636153"/>
    <w:rsid w:val="00636861"/>
    <w:rsid w:val="00636E67"/>
    <w:rsid w:val="00637189"/>
    <w:rsid w:val="006378B5"/>
    <w:rsid w:val="00637BC1"/>
    <w:rsid w:val="00640262"/>
    <w:rsid w:val="00640791"/>
    <w:rsid w:val="00640D77"/>
    <w:rsid w:val="00641428"/>
    <w:rsid w:val="00642298"/>
    <w:rsid w:val="00642A1C"/>
    <w:rsid w:val="00642E30"/>
    <w:rsid w:val="006438A5"/>
    <w:rsid w:val="0064585B"/>
    <w:rsid w:val="00646218"/>
    <w:rsid w:val="00646353"/>
    <w:rsid w:val="006464DF"/>
    <w:rsid w:val="00647128"/>
    <w:rsid w:val="00647802"/>
    <w:rsid w:val="00647F0F"/>
    <w:rsid w:val="00647F54"/>
    <w:rsid w:val="0065022C"/>
    <w:rsid w:val="00650DFC"/>
    <w:rsid w:val="00651277"/>
    <w:rsid w:val="00651501"/>
    <w:rsid w:val="00651EFF"/>
    <w:rsid w:val="0065205A"/>
    <w:rsid w:val="00652AAE"/>
    <w:rsid w:val="00653AA0"/>
    <w:rsid w:val="0065436F"/>
    <w:rsid w:val="00654E77"/>
    <w:rsid w:val="0065569A"/>
    <w:rsid w:val="0065593A"/>
    <w:rsid w:val="00655ACD"/>
    <w:rsid w:val="00655C41"/>
    <w:rsid w:val="00657884"/>
    <w:rsid w:val="00657E1E"/>
    <w:rsid w:val="006600D7"/>
    <w:rsid w:val="006602D5"/>
    <w:rsid w:val="006607BC"/>
    <w:rsid w:val="006613C9"/>
    <w:rsid w:val="00662358"/>
    <w:rsid w:val="00662BF9"/>
    <w:rsid w:val="006632CD"/>
    <w:rsid w:val="00663C2C"/>
    <w:rsid w:val="00663CC6"/>
    <w:rsid w:val="006643BA"/>
    <w:rsid w:val="00664AC2"/>
    <w:rsid w:val="0066564F"/>
    <w:rsid w:val="00666CBF"/>
    <w:rsid w:val="00667F6B"/>
    <w:rsid w:val="006708F1"/>
    <w:rsid w:val="00670C0F"/>
    <w:rsid w:val="0067120F"/>
    <w:rsid w:val="0067220F"/>
    <w:rsid w:val="00672269"/>
    <w:rsid w:val="00672322"/>
    <w:rsid w:val="00672509"/>
    <w:rsid w:val="00672D1A"/>
    <w:rsid w:val="00672FEB"/>
    <w:rsid w:val="00672FF3"/>
    <w:rsid w:val="006755DE"/>
    <w:rsid w:val="006769D4"/>
    <w:rsid w:val="00677215"/>
    <w:rsid w:val="006775C9"/>
    <w:rsid w:val="00677A9C"/>
    <w:rsid w:val="006804B4"/>
    <w:rsid w:val="00680610"/>
    <w:rsid w:val="006814F6"/>
    <w:rsid w:val="006819F2"/>
    <w:rsid w:val="00682016"/>
    <w:rsid w:val="006822B1"/>
    <w:rsid w:val="006823BF"/>
    <w:rsid w:val="006839DB"/>
    <w:rsid w:val="00684CE7"/>
    <w:rsid w:val="0068591E"/>
    <w:rsid w:val="006867E4"/>
    <w:rsid w:val="006869B1"/>
    <w:rsid w:val="00687744"/>
    <w:rsid w:val="006878EA"/>
    <w:rsid w:val="0068797C"/>
    <w:rsid w:val="00690439"/>
    <w:rsid w:val="00690902"/>
    <w:rsid w:val="006931C6"/>
    <w:rsid w:val="0069414F"/>
    <w:rsid w:val="00694454"/>
    <w:rsid w:val="006945B3"/>
    <w:rsid w:val="00694F56"/>
    <w:rsid w:val="006952EB"/>
    <w:rsid w:val="00696BE7"/>
    <w:rsid w:val="00697EAE"/>
    <w:rsid w:val="006A1E57"/>
    <w:rsid w:val="006A2B32"/>
    <w:rsid w:val="006A307D"/>
    <w:rsid w:val="006A363D"/>
    <w:rsid w:val="006A3921"/>
    <w:rsid w:val="006A4EC2"/>
    <w:rsid w:val="006A57EB"/>
    <w:rsid w:val="006A59E4"/>
    <w:rsid w:val="006A5A48"/>
    <w:rsid w:val="006A5C3A"/>
    <w:rsid w:val="006A5E0E"/>
    <w:rsid w:val="006A5F90"/>
    <w:rsid w:val="006A6504"/>
    <w:rsid w:val="006A6E8C"/>
    <w:rsid w:val="006A7EB8"/>
    <w:rsid w:val="006B03A6"/>
    <w:rsid w:val="006B1900"/>
    <w:rsid w:val="006B202D"/>
    <w:rsid w:val="006B22C1"/>
    <w:rsid w:val="006B2309"/>
    <w:rsid w:val="006B2C47"/>
    <w:rsid w:val="006B3639"/>
    <w:rsid w:val="006B364E"/>
    <w:rsid w:val="006B3994"/>
    <w:rsid w:val="006B3AB4"/>
    <w:rsid w:val="006B3D8B"/>
    <w:rsid w:val="006B41BC"/>
    <w:rsid w:val="006B4C4C"/>
    <w:rsid w:val="006B500A"/>
    <w:rsid w:val="006B5A1D"/>
    <w:rsid w:val="006B5EF8"/>
    <w:rsid w:val="006B66A9"/>
    <w:rsid w:val="006B6836"/>
    <w:rsid w:val="006B785F"/>
    <w:rsid w:val="006C0122"/>
    <w:rsid w:val="006C0182"/>
    <w:rsid w:val="006C1283"/>
    <w:rsid w:val="006C1786"/>
    <w:rsid w:val="006C218B"/>
    <w:rsid w:val="006C231B"/>
    <w:rsid w:val="006C24A8"/>
    <w:rsid w:val="006C2862"/>
    <w:rsid w:val="006C34E8"/>
    <w:rsid w:val="006C35E2"/>
    <w:rsid w:val="006C3663"/>
    <w:rsid w:val="006C3C43"/>
    <w:rsid w:val="006C4A65"/>
    <w:rsid w:val="006C4E39"/>
    <w:rsid w:val="006C4EA3"/>
    <w:rsid w:val="006C50D9"/>
    <w:rsid w:val="006C51FB"/>
    <w:rsid w:val="006C5BEF"/>
    <w:rsid w:val="006C5DA2"/>
    <w:rsid w:val="006C6E7A"/>
    <w:rsid w:val="006C745F"/>
    <w:rsid w:val="006C7729"/>
    <w:rsid w:val="006C79F4"/>
    <w:rsid w:val="006D00EF"/>
    <w:rsid w:val="006D0DA0"/>
    <w:rsid w:val="006D1899"/>
    <w:rsid w:val="006D21B4"/>
    <w:rsid w:val="006D3453"/>
    <w:rsid w:val="006D351C"/>
    <w:rsid w:val="006D48C7"/>
    <w:rsid w:val="006D4AC1"/>
    <w:rsid w:val="006D4EE8"/>
    <w:rsid w:val="006D5332"/>
    <w:rsid w:val="006D5807"/>
    <w:rsid w:val="006D5B20"/>
    <w:rsid w:val="006D76C0"/>
    <w:rsid w:val="006D7778"/>
    <w:rsid w:val="006E0788"/>
    <w:rsid w:val="006E1958"/>
    <w:rsid w:val="006E1CE3"/>
    <w:rsid w:val="006E22C8"/>
    <w:rsid w:val="006E2DC8"/>
    <w:rsid w:val="006E340E"/>
    <w:rsid w:val="006E37C6"/>
    <w:rsid w:val="006E3E96"/>
    <w:rsid w:val="006E43BB"/>
    <w:rsid w:val="006E4CBA"/>
    <w:rsid w:val="006E4E76"/>
    <w:rsid w:val="006E55D4"/>
    <w:rsid w:val="006E6649"/>
    <w:rsid w:val="006E6BCB"/>
    <w:rsid w:val="006E6FE4"/>
    <w:rsid w:val="006E701E"/>
    <w:rsid w:val="006E77E9"/>
    <w:rsid w:val="006E7A82"/>
    <w:rsid w:val="006F0826"/>
    <w:rsid w:val="006F3000"/>
    <w:rsid w:val="006F31C6"/>
    <w:rsid w:val="006F3A57"/>
    <w:rsid w:val="006F4601"/>
    <w:rsid w:val="006F4B36"/>
    <w:rsid w:val="006F6683"/>
    <w:rsid w:val="006F6EFC"/>
    <w:rsid w:val="006F762A"/>
    <w:rsid w:val="00700C64"/>
    <w:rsid w:val="00701F4A"/>
    <w:rsid w:val="0070240F"/>
    <w:rsid w:val="00702562"/>
    <w:rsid w:val="00702A24"/>
    <w:rsid w:val="007031FE"/>
    <w:rsid w:val="00704009"/>
    <w:rsid w:val="00706009"/>
    <w:rsid w:val="00706452"/>
    <w:rsid w:val="00706840"/>
    <w:rsid w:val="007070CC"/>
    <w:rsid w:val="00707D25"/>
    <w:rsid w:val="0071269F"/>
    <w:rsid w:val="00712977"/>
    <w:rsid w:val="00712D43"/>
    <w:rsid w:val="007130A2"/>
    <w:rsid w:val="007136F9"/>
    <w:rsid w:val="007137A4"/>
    <w:rsid w:val="0071557C"/>
    <w:rsid w:val="00716290"/>
    <w:rsid w:val="00716528"/>
    <w:rsid w:val="007167BB"/>
    <w:rsid w:val="007169DF"/>
    <w:rsid w:val="007173F0"/>
    <w:rsid w:val="007200E7"/>
    <w:rsid w:val="0072026A"/>
    <w:rsid w:val="0072184F"/>
    <w:rsid w:val="00721F81"/>
    <w:rsid w:val="00722A90"/>
    <w:rsid w:val="007239AB"/>
    <w:rsid w:val="00723ABC"/>
    <w:rsid w:val="00724359"/>
    <w:rsid w:val="007249AA"/>
    <w:rsid w:val="0072503D"/>
    <w:rsid w:val="0072542A"/>
    <w:rsid w:val="00725A5D"/>
    <w:rsid w:val="0072607D"/>
    <w:rsid w:val="00726203"/>
    <w:rsid w:val="007306F9"/>
    <w:rsid w:val="007308B0"/>
    <w:rsid w:val="00731195"/>
    <w:rsid w:val="00731250"/>
    <w:rsid w:val="00731EBA"/>
    <w:rsid w:val="0073340E"/>
    <w:rsid w:val="00733A89"/>
    <w:rsid w:val="00733D53"/>
    <w:rsid w:val="007344FD"/>
    <w:rsid w:val="00734FBD"/>
    <w:rsid w:val="00735660"/>
    <w:rsid w:val="0073612A"/>
    <w:rsid w:val="0073645A"/>
    <w:rsid w:val="0073724D"/>
    <w:rsid w:val="0074022E"/>
    <w:rsid w:val="007415E8"/>
    <w:rsid w:val="00741DDC"/>
    <w:rsid w:val="007420D1"/>
    <w:rsid w:val="00742485"/>
    <w:rsid w:val="007427A7"/>
    <w:rsid w:val="00743BAD"/>
    <w:rsid w:val="007444ED"/>
    <w:rsid w:val="007506B2"/>
    <w:rsid w:val="00751219"/>
    <w:rsid w:val="00752B74"/>
    <w:rsid w:val="00752C89"/>
    <w:rsid w:val="0075395A"/>
    <w:rsid w:val="0075405D"/>
    <w:rsid w:val="00754300"/>
    <w:rsid w:val="00754707"/>
    <w:rsid w:val="007549F0"/>
    <w:rsid w:val="00754F05"/>
    <w:rsid w:val="0075501F"/>
    <w:rsid w:val="00755069"/>
    <w:rsid w:val="00755A19"/>
    <w:rsid w:val="00755FBD"/>
    <w:rsid w:val="00756C38"/>
    <w:rsid w:val="00757C10"/>
    <w:rsid w:val="007610C0"/>
    <w:rsid w:val="007620A7"/>
    <w:rsid w:val="00762441"/>
    <w:rsid w:val="0076260E"/>
    <w:rsid w:val="007627F5"/>
    <w:rsid w:val="007631F3"/>
    <w:rsid w:val="00763425"/>
    <w:rsid w:val="007634E8"/>
    <w:rsid w:val="007635DE"/>
    <w:rsid w:val="0076436C"/>
    <w:rsid w:val="00764C4F"/>
    <w:rsid w:val="00765050"/>
    <w:rsid w:val="00766001"/>
    <w:rsid w:val="007671E7"/>
    <w:rsid w:val="00767EBB"/>
    <w:rsid w:val="0077000E"/>
    <w:rsid w:val="007702BC"/>
    <w:rsid w:val="0077121A"/>
    <w:rsid w:val="0077249C"/>
    <w:rsid w:val="00774299"/>
    <w:rsid w:val="007748A1"/>
    <w:rsid w:val="00775AD3"/>
    <w:rsid w:val="007771FA"/>
    <w:rsid w:val="007775F3"/>
    <w:rsid w:val="00780481"/>
    <w:rsid w:val="0078182F"/>
    <w:rsid w:val="00782F72"/>
    <w:rsid w:val="00783368"/>
    <w:rsid w:val="00783938"/>
    <w:rsid w:val="00784821"/>
    <w:rsid w:val="00785B8F"/>
    <w:rsid w:val="00785CD6"/>
    <w:rsid w:val="00786875"/>
    <w:rsid w:val="00786F43"/>
    <w:rsid w:val="00787E3B"/>
    <w:rsid w:val="007907F6"/>
    <w:rsid w:val="00790A01"/>
    <w:rsid w:val="00791527"/>
    <w:rsid w:val="00791978"/>
    <w:rsid w:val="0079227E"/>
    <w:rsid w:val="007922EE"/>
    <w:rsid w:val="00792686"/>
    <w:rsid w:val="00792C28"/>
    <w:rsid w:val="00792FCC"/>
    <w:rsid w:val="00793854"/>
    <w:rsid w:val="00794CE2"/>
    <w:rsid w:val="00794DCC"/>
    <w:rsid w:val="00796B78"/>
    <w:rsid w:val="00796E02"/>
    <w:rsid w:val="00797E99"/>
    <w:rsid w:val="007A0170"/>
    <w:rsid w:val="007A0F1A"/>
    <w:rsid w:val="007A1AB7"/>
    <w:rsid w:val="007A1E05"/>
    <w:rsid w:val="007A30D5"/>
    <w:rsid w:val="007A3BAB"/>
    <w:rsid w:val="007A3D4B"/>
    <w:rsid w:val="007A458B"/>
    <w:rsid w:val="007A4E7D"/>
    <w:rsid w:val="007A5B62"/>
    <w:rsid w:val="007A6793"/>
    <w:rsid w:val="007A6888"/>
    <w:rsid w:val="007A6A9C"/>
    <w:rsid w:val="007A6F21"/>
    <w:rsid w:val="007A76CE"/>
    <w:rsid w:val="007A7DC4"/>
    <w:rsid w:val="007B01FB"/>
    <w:rsid w:val="007B02FC"/>
    <w:rsid w:val="007B0402"/>
    <w:rsid w:val="007B0825"/>
    <w:rsid w:val="007B0933"/>
    <w:rsid w:val="007B0A86"/>
    <w:rsid w:val="007B0F5B"/>
    <w:rsid w:val="007B127E"/>
    <w:rsid w:val="007B1F26"/>
    <w:rsid w:val="007B29CE"/>
    <w:rsid w:val="007B2CF6"/>
    <w:rsid w:val="007B3069"/>
    <w:rsid w:val="007B323D"/>
    <w:rsid w:val="007B38A7"/>
    <w:rsid w:val="007B3BCE"/>
    <w:rsid w:val="007B413F"/>
    <w:rsid w:val="007B4D40"/>
    <w:rsid w:val="007B4DCF"/>
    <w:rsid w:val="007B6111"/>
    <w:rsid w:val="007B626B"/>
    <w:rsid w:val="007B68BA"/>
    <w:rsid w:val="007B6BBB"/>
    <w:rsid w:val="007B7C33"/>
    <w:rsid w:val="007C0520"/>
    <w:rsid w:val="007C1053"/>
    <w:rsid w:val="007C4502"/>
    <w:rsid w:val="007C58C1"/>
    <w:rsid w:val="007C599B"/>
    <w:rsid w:val="007C60EA"/>
    <w:rsid w:val="007C633B"/>
    <w:rsid w:val="007C65A7"/>
    <w:rsid w:val="007C728E"/>
    <w:rsid w:val="007C741D"/>
    <w:rsid w:val="007C7870"/>
    <w:rsid w:val="007C7A83"/>
    <w:rsid w:val="007C7BE2"/>
    <w:rsid w:val="007D01CE"/>
    <w:rsid w:val="007D0250"/>
    <w:rsid w:val="007D1133"/>
    <w:rsid w:val="007D17C7"/>
    <w:rsid w:val="007D2D54"/>
    <w:rsid w:val="007D2F8F"/>
    <w:rsid w:val="007D33EB"/>
    <w:rsid w:val="007D35B0"/>
    <w:rsid w:val="007D387B"/>
    <w:rsid w:val="007D4BA2"/>
    <w:rsid w:val="007D53F2"/>
    <w:rsid w:val="007D5B52"/>
    <w:rsid w:val="007D62D6"/>
    <w:rsid w:val="007D637A"/>
    <w:rsid w:val="007E045A"/>
    <w:rsid w:val="007E0812"/>
    <w:rsid w:val="007E132E"/>
    <w:rsid w:val="007E2475"/>
    <w:rsid w:val="007E2F33"/>
    <w:rsid w:val="007E3017"/>
    <w:rsid w:val="007E3139"/>
    <w:rsid w:val="007E415C"/>
    <w:rsid w:val="007E4433"/>
    <w:rsid w:val="007E49ED"/>
    <w:rsid w:val="007E554F"/>
    <w:rsid w:val="007E59DA"/>
    <w:rsid w:val="007E5E1E"/>
    <w:rsid w:val="007E7760"/>
    <w:rsid w:val="007E7C6B"/>
    <w:rsid w:val="007F02D7"/>
    <w:rsid w:val="007F0BC6"/>
    <w:rsid w:val="007F13A5"/>
    <w:rsid w:val="007F1938"/>
    <w:rsid w:val="007F1A68"/>
    <w:rsid w:val="007F1D4C"/>
    <w:rsid w:val="007F3770"/>
    <w:rsid w:val="007F38EF"/>
    <w:rsid w:val="007F4126"/>
    <w:rsid w:val="007F43D3"/>
    <w:rsid w:val="007F43E1"/>
    <w:rsid w:val="007F4C84"/>
    <w:rsid w:val="007F55EE"/>
    <w:rsid w:val="007F619C"/>
    <w:rsid w:val="007F670A"/>
    <w:rsid w:val="007F68CA"/>
    <w:rsid w:val="007F6C92"/>
    <w:rsid w:val="007F7BBE"/>
    <w:rsid w:val="00800413"/>
    <w:rsid w:val="00800CC3"/>
    <w:rsid w:val="00803430"/>
    <w:rsid w:val="008042A0"/>
    <w:rsid w:val="00804316"/>
    <w:rsid w:val="008044AE"/>
    <w:rsid w:val="00806188"/>
    <w:rsid w:val="00806EF3"/>
    <w:rsid w:val="00807206"/>
    <w:rsid w:val="00810F63"/>
    <w:rsid w:val="00811143"/>
    <w:rsid w:val="00811199"/>
    <w:rsid w:val="00811C8A"/>
    <w:rsid w:val="00811EDC"/>
    <w:rsid w:val="00812056"/>
    <w:rsid w:val="008133F7"/>
    <w:rsid w:val="00814A00"/>
    <w:rsid w:val="00814EB6"/>
    <w:rsid w:val="0081533A"/>
    <w:rsid w:val="00815569"/>
    <w:rsid w:val="00820AA0"/>
    <w:rsid w:val="0082124F"/>
    <w:rsid w:val="0082250E"/>
    <w:rsid w:val="008226E6"/>
    <w:rsid w:val="00822FBA"/>
    <w:rsid w:val="00823367"/>
    <w:rsid w:val="00823DEB"/>
    <w:rsid w:val="0082491B"/>
    <w:rsid w:val="0082565C"/>
    <w:rsid w:val="008257C9"/>
    <w:rsid w:val="008259B8"/>
    <w:rsid w:val="00825BF1"/>
    <w:rsid w:val="00825F0F"/>
    <w:rsid w:val="00826C26"/>
    <w:rsid w:val="00826D23"/>
    <w:rsid w:val="00826FE6"/>
    <w:rsid w:val="00827B25"/>
    <w:rsid w:val="00827B8A"/>
    <w:rsid w:val="00830103"/>
    <w:rsid w:val="00831B7A"/>
    <w:rsid w:val="008326DD"/>
    <w:rsid w:val="00832A13"/>
    <w:rsid w:val="00833758"/>
    <w:rsid w:val="008346C3"/>
    <w:rsid w:val="00836564"/>
    <w:rsid w:val="00837E2A"/>
    <w:rsid w:val="008411A6"/>
    <w:rsid w:val="00841DB2"/>
    <w:rsid w:val="00842611"/>
    <w:rsid w:val="00842EFB"/>
    <w:rsid w:val="00843083"/>
    <w:rsid w:val="008432AB"/>
    <w:rsid w:val="00843BA5"/>
    <w:rsid w:val="00844531"/>
    <w:rsid w:val="00845017"/>
    <w:rsid w:val="0084615C"/>
    <w:rsid w:val="00846601"/>
    <w:rsid w:val="00846B2F"/>
    <w:rsid w:val="00847074"/>
    <w:rsid w:val="008476AD"/>
    <w:rsid w:val="00850B7E"/>
    <w:rsid w:val="008511AD"/>
    <w:rsid w:val="008514D2"/>
    <w:rsid w:val="008520F1"/>
    <w:rsid w:val="008522CA"/>
    <w:rsid w:val="00853838"/>
    <w:rsid w:val="0085416F"/>
    <w:rsid w:val="0085428B"/>
    <w:rsid w:val="00855FF3"/>
    <w:rsid w:val="008564A4"/>
    <w:rsid w:val="00856767"/>
    <w:rsid w:val="0085682D"/>
    <w:rsid w:val="00857829"/>
    <w:rsid w:val="00857C66"/>
    <w:rsid w:val="00860813"/>
    <w:rsid w:val="008609BB"/>
    <w:rsid w:val="0086177E"/>
    <w:rsid w:val="00861E9F"/>
    <w:rsid w:val="00864026"/>
    <w:rsid w:val="00864F92"/>
    <w:rsid w:val="0086533E"/>
    <w:rsid w:val="00865609"/>
    <w:rsid w:val="00867254"/>
    <w:rsid w:val="008679D1"/>
    <w:rsid w:val="00867AB5"/>
    <w:rsid w:val="008700D6"/>
    <w:rsid w:val="008707D0"/>
    <w:rsid w:val="00870950"/>
    <w:rsid w:val="00871672"/>
    <w:rsid w:val="00871AF1"/>
    <w:rsid w:val="00871C4A"/>
    <w:rsid w:val="00871DFC"/>
    <w:rsid w:val="00872058"/>
    <w:rsid w:val="0087298D"/>
    <w:rsid w:val="00873F35"/>
    <w:rsid w:val="0087552D"/>
    <w:rsid w:val="00875E3F"/>
    <w:rsid w:val="0087715A"/>
    <w:rsid w:val="00880070"/>
    <w:rsid w:val="00880442"/>
    <w:rsid w:val="0088146F"/>
    <w:rsid w:val="00882D3A"/>
    <w:rsid w:val="008836CC"/>
    <w:rsid w:val="00883E57"/>
    <w:rsid w:val="008846BA"/>
    <w:rsid w:val="008857B7"/>
    <w:rsid w:val="0088580B"/>
    <w:rsid w:val="00887295"/>
    <w:rsid w:val="008902DF"/>
    <w:rsid w:val="00890859"/>
    <w:rsid w:val="00891950"/>
    <w:rsid w:val="00892F31"/>
    <w:rsid w:val="008934A8"/>
    <w:rsid w:val="00893D8C"/>
    <w:rsid w:val="008962E4"/>
    <w:rsid w:val="00896689"/>
    <w:rsid w:val="0089750D"/>
    <w:rsid w:val="0089754F"/>
    <w:rsid w:val="00897EA3"/>
    <w:rsid w:val="008A02CE"/>
    <w:rsid w:val="008A039D"/>
    <w:rsid w:val="008A094D"/>
    <w:rsid w:val="008A0FC7"/>
    <w:rsid w:val="008A1481"/>
    <w:rsid w:val="008A1FA3"/>
    <w:rsid w:val="008A2A07"/>
    <w:rsid w:val="008A3252"/>
    <w:rsid w:val="008A36DA"/>
    <w:rsid w:val="008A4E20"/>
    <w:rsid w:val="008A4F72"/>
    <w:rsid w:val="008A5408"/>
    <w:rsid w:val="008A5DC6"/>
    <w:rsid w:val="008A6168"/>
    <w:rsid w:val="008A6B13"/>
    <w:rsid w:val="008A6C54"/>
    <w:rsid w:val="008A71E8"/>
    <w:rsid w:val="008A7368"/>
    <w:rsid w:val="008A79C7"/>
    <w:rsid w:val="008A7AFF"/>
    <w:rsid w:val="008B0272"/>
    <w:rsid w:val="008B0C89"/>
    <w:rsid w:val="008B0D0B"/>
    <w:rsid w:val="008B1549"/>
    <w:rsid w:val="008B2587"/>
    <w:rsid w:val="008B2F19"/>
    <w:rsid w:val="008B3150"/>
    <w:rsid w:val="008B3613"/>
    <w:rsid w:val="008B3783"/>
    <w:rsid w:val="008B5A37"/>
    <w:rsid w:val="008B6BAA"/>
    <w:rsid w:val="008B7976"/>
    <w:rsid w:val="008B79EB"/>
    <w:rsid w:val="008C10ED"/>
    <w:rsid w:val="008C114B"/>
    <w:rsid w:val="008C16FF"/>
    <w:rsid w:val="008C2294"/>
    <w:rsid w:val="008C2306"/>
    <w:rsid w:val="008C2788"/>
    <w:rsid w:val="008C316E"/>
    <w:rsid w:val="008C3C7F"/>
    <w:rsid w:val="008C3D6F"/>
    <w:rsid w:val="008C461E"/>
    <w:rsid w:val="008C4D1C"/>
    <w:rsid w:val="008C566D"/>
    <w:rsid w:val="008C66D2"/>
    <w:rsid w:val="008C7444"/>
    <w:rsid w:val="008D0862"/>
    <w:rsid w:val="008D0F23"/>
    <w:rsid w:val="008D273E"/>
    <w:rsid w:val="008D2F8C"/>
    <w:rsid w:val="008D4732"/>
    <w:rsid w:val="008D5302"/>
    <w:rsid w:val="008D59DF"/>
    <w:rsid w:val="008D5AF6"/>
    <w:rsid w:val="008D5E48"/>
    <w:rsid w:val="008D66B5"/>
    <w:rsid w:val="008D674E"/>
    <w:rsid w:val="008D75A8"/>
    <w:rsid w:val="008D7D76"/>
    <w:rsid w:val="008E015A"/>
    <w:rsid w:val="008E096F"/>
    <w:rsid w:val="008E098F"/>
    <w:rsid w:val="008E204F"/>
    <w:rsid w:val="008E20BD"/>
    <w:rsid w:val="008E3B15"/>
    <w:rsid w:val="008E3D60"/>
    <w:rsid w:val="008E4039"/>
    <w:rsid w:val="008E4917"/>
    <w:rsid w:val="008E4DB7"/>
    <w:rsid w:val="008E51BC"/>
    <w:rsid w:val="008E7833"/>
    <w:rsid w:val="008F2000"/>
    <w:rsid w:val="008F2975"/>
    <w:rsid w:val="008F29F7"/>
    <w:rsid w:val="008F2B06"/>
    <w:rsid w:val="008F4DD7"/>
    <w:rsid w:val="008F56D7"/>
    <w:rsid w:val="008F583F"/>
    <w:rsid w:val="008F59C6"/>
    <w:rsid w:val="008F70F2"/>
    <w:rsid w:val="008F7623"/>
    <w:rsid w:val="0090063E"/>
    <w:rsid w:val="009008B2"/>
    <w:rsid w:val="00901220"/>
    <w:rsid w:val="009041AF"/>
    <w:rsid w:val="00904328"/>
    <w:rsid w:val="00904761"/>
    <w:rsid w:val="0090493B"/>
    <w:rsid w:val="009053C8"/>
    <w:rsid w:val="00906B35"/>
    <w:rsid w:val="0090759A"/>
    <w:rsid w:val="00907DAC"/>
    <w:rsid w:val="00910258"/>
    <w:rsid w:val="0091052B"/>
    <w:rsid w:val="009109DB"/>
    <w:rsid w:val="00911445"/>
    <w:rsid w:val="009138F8"/>
    <w:rsid w:val="00913A98"/>
    <w:rsid w:val="00915885"/>
    <w:rsid w:val="00917124"/>
    <w:rsid w:val="00917699"/>
    <w:rsid w:val="009201E8"/>
    <w:rsid w:val="0092034F"/>
    <w:rsid w:val="0092053C"/>
    <w:rsid w:val="00920870"/>
    <w:rsid w:val="009210A8"/>
    <w:rsid w:val="009214BC"/>
    <w:rsid w:val="00921B8B"/>
    <w:rsid w:val="00921E32"/>
    <w:rsid w:val="00921E84"/>
    <w:rsid w:val="00922712"/>
    <w:rsid w:val="009237C7"/>
    <w:rsid w:val="00923F3C"/>
    <w:rsid w:val="00926DD5"/>
    <w:rsid w:val="00927709"/>
    <w:rsid w:val="00927CE7"/>
    <w:rsid w:val="009311A5"/>
    <w:rsid w:val="009320E6"/>
    <w:rsid w:val="0093232C"/>
    <w:rsid w:val="00932D28"/>
    <w:rsid w:val="00932D56"/>
    <w:rsid w:val="009330A1"/>
    <w:rsid w:val="009340B4"/>
    <w:rsid w:val="009349AA"/>
    <w:rsid w:val="00934C16"/>
    <w:rsid w:val="00935697"/>
    <w:rsid w:val="00935E07"/>
    <w:rsid w:val="009369B9"/>
    <w:rsid w:val="00936E09"/>
    <w:rsid w:val="0093751E"/>
    <w:rsid w:val="009376BF"/>
    <w:rsid w:val="00937F31"/>
    <w:rsid w:val="00940A7B"/>
    <w:rsid w:val="00941014"/>
    <w:rsid w:val="00941DBF"/>
    <w:rsid w:val="00941FE8"/>
    <w:rsid w:val="00942BA4"/>
    <w:rsid w:val="00943645"/>
    <w:rsid w:val="0094391C"/>
    <w:rsid w:val="0094446A"/>
    <w:rsid w:val="009444B7"/>
    <w:rsid w:val="009452A1"/>
    <w:rsid w:val="009461C3"/>
    <w:rsid w:val="0094686B"/>
    <w:rsid w:val="00946BEC"/>
    <w:rsid w:val="0094717A"/>
    <w:rsid w:val="0094780E"/>
    <w:rsid w:val="00950DED"/>
    <w:rsid w:val="009524D6"/>
    <w:rsid w:val="00953355"/>
    <w:rsid w:val="0095384E"/>
    <w:rsid w:val="00954B7E"/>
    <w:rsid w:val="00955021"/>
    <w:rsid w:val="00955100"/>
    <w:rsid w:val="00955ECB"/>
    <w:rsid w:val="00956E85"/>
    <w:rsid w:val="009572D9"/>
    <w:rsid w:val="009575A2"/>
    <w:rsid w:val="00960A27"/>
    <w:rsid w:val="00961085"/>
    <w:rsid w:val="009626C4"/>
    <w:rsid w:val="00962EB2"/>
    <w:rsid w:val="00962FD5"/>
    <w:rsid w:val="00963066"/>
    <w:rsid w:val="0096319F"/>
    <w:rsid w:val="00963970"/>
    <w:rsid w:val="00963C1C"/>
    <w:rsid w:val="009656C5"/>
    <w:rsid w:val="00965B2A"/>
    <w:rsid w:val="00965F1F"/>
    <w:rsid w:val="0096681E"/>
    <w:rsid w:val="009672B4"/>
    <w:rsid w:val="0097002E"/>
    <w:rsid w:val="009704CC"/>
    <w:rsid w:val="009707FD"/>
    <w:rsid w:val="00971A7C"/>
    <w:rsid w:val="00972F9B"/>
    <w:rsid w:val="009742C5"/>
    <w:rsid w:val="00974944"/>
    <w:rsid w:val="00974C2B"/>
    <w:rsid w:val="00975E47"/>
    <w:rsid w:val="00975F9C"/>
    <w:rsid w:val="00976978"/>
    <w:rsid w:val="00976BD8"/>
    <w:rsid w:val="00976C35"/>
    <w:rsid w:val="0097702A"/>
    <w:rsid w:val="00977137"/>
    <w:rsid w:val="009777AD"/>
    <w:rsid w:val="009779AC"/>
    <w:rsid w:val="009821D1"/>
    <w:rsid w:val="00982E71"/>
    <w:rsid w:val="00985B30"/>
    <w:rsid w:val="00985E4F"/>
    <w:rsid w:val="0098621D"/>
    <w:rsid w:val="0098629F"/>
    <w:rsid w:val="009865F1"/>
    <w:rsid w:val="00986ADD"/>
    <w:rsid w:val="0098723B"/>
    <w:rsid w:val="00987460"/>
    <w:rsid w:val="00987E98"/>
    <w:rsid w:val="00990492"/>
    <w:rsid w:val="0099078E"/>
    <w:rsid w:val="0099085A"/>
    <w:rsid w:val="00990890"/>
    <w:rsid w:val="00990D78"/>
    <w:rsid w:val="00991A87"/>
    <w:rsid w:val="0099355B"/>
    <w:rsid w:val="009947AC"/>
    <w:rsid w:val="00995C0C"/>
    <w:rsid w:val="009963F2"/>
    <w:rsid w:val="00997524"/>
    <w:rsid w:val="009977A2"/>
    <w:rsid w:val="00997E01"/>
    <w:rsid w:val="00997FC8"/>
    <w:rsid w:val="009A0482"/>
    <w:rsid w:val="009A0D25"/>
    <w:rsid w:val="009A0FA3"/>
    <w:rsid w:val="009A195E"/>
    <w:rsid w:val="009A218C"/>
    <w:rsid w:val="009A2908"/>
    <w:rsid w:val="009A31EA"/>
    <w:rsid w:val="009A3459"/>
    <w:rsid w:val="009A3F28"/>
    <w:rsid w:val="009A4903"/>
    <w:rsid w:val="009A56AB"/>
    <w:rsid w:val="009A5B8E"/>
    <w:rsid w:val="009A5FE7"/>
    <w:rsid w:val="009A634A"/>
    <w:rsid w:val="009A677E"/>
    <w:rsid w:val="009A6A38"/>
    <w:rsid w:val="009A6A98"/>
    <w:rsid w:val="009A6E50"/>
    <w:rsid w:val="009B031A"/>
    <w:rsid w:val="009B0FFD"/>
    <w:rsid w:val="009B1AC3"/>
    <w:rsid w:val="009B1F04"/>
    <w:rsid w:val="009B207A"/>
    <w:rsid w:val="009B2465"/>
    <w:rsid w:val="009B382F"/>
    <w:rsid w:val="009B49A1"/>
    <w:rsid w:val="009B53E5"/>
    <w:rsid w:val="009B5B1A"/>
    <w:rsid w:val="009B6105"/>
    <w:rsid w:val="009B6214"/>
    <w:rsid w:val="009B7374"/>
    <w:rsid w:val="009B7429"/>
    <w:rsid w:val="009B7CF7"/>
    <w:rsid w:val="009C0003"/>
    <w:rsid w:val="009C027F"/>
    <w:rsid w:val="009C358A"/>
    <w:rsid w:val="009C4B4E"/>
    <w:rsid w:val="009C582E"/>
    <w:rsid w:val="009C708A"/>
    <w:rsid w:val="009C70B9"/>
    <w:rsid w:val="009C70D2"/>
    <w:rsid w:val="009C77B4"/>
    <w:rsid w:val="009C7E88"/>
    <w:rsid w:val="009C7ECE"/>
    <w:rsid w:val="009D0830"/>
    <w:rsid w:val="009D09FE"/>
    <w:rsid w:val="009D1238"/>
    <w:rsid w:val="009D17C3"/>
    <w:rsid w:val="009D1F9D"/>
    <w:rsid w:val="009D238A"/>
    <w:rsid w:val="009D2AD0"/>
    <w:rsid w:val="009D3A82"/>
    <w:rsid w:val="009D6790"/>
    <w:rsid w:val="009E18B7"/>
    <w:rsid w:val="009E4934"/>
    <w:rsid w:val="009E4E59"/>
    <w:rsid w:val="009E55CE"/>
    <w:rsid w:val="009E6281"/>
    <w:rsid w:val="009E63CB"/>
    <w:rsid w:val="009E6B14"/>
    <w:rsid w:val="009E71E9"/>
    <w:rsid w:val="009E7395"/>
    <w:rsid w:val="009E7A5E"/>
    <w:rsid w:val="009E7B0D"/>
    <w:rsid w:val="009F0211"/>
    <w:rsid w:val="009F02C4"/>
    <w:rsid w:val="009F2BD5"/>
    <w:rsid w:val="009F2C3E"/>
    <w:rsid w:val="009F3E0A"/>
    <w:rsid w:val="009F53E8"/>
    <w:rsid w:val="009F6D60"/>
    <w:rsid w:val="00A00444"/>
    <w:rsid w:val="00A00ABB"/>
    <w:rsid w:val="00A0201A"/>
    <w:rsid w:val="00A028D6"/>
    <w:rsid w:val="00A037BC"/>
    <w:rsid w:val="00A05D3F"/>
    <w:rsid w:val="00A068BE"/>
    <w:rsid w:val="00A06AC4"/>
    <w:rsid w:val="00A06ECD"/>
    <w:rsid w:val="00A07249"/>
    <w:rsid w:val="00A07EE2"/>
    <w:rsid w:val="00A111FB"/>
    <w:rsid w:val="00A11B5C"/>
    <w:rsid w:val="00A129FD"/>
    <w:rsid w:val="00A13525"/>
    <w:rsid w:val="00A13DCB"/>
    <w:rsid w:val="00A14331"/>
    <w:rsid w:val="00A15129"/>
    <w:rsid w:val="00A1758E"/>
    <w:rsid w:val="00A20C32"/>
    <w:rsid w:val="00A218A9"/>
    <w:rsid w:val="00A21B74"/>
    <w:rsid w:val="00A22524"/>
    <w:rsid w:val="00A229CD"/>
    <w:rsid w:val="00A229DF"/>
    <w:rsid w:val="00A22F78"/>
    <w:rsid w:val="00A240B8"/>
    <w:rsid w:val="00A24AF4"/>
    <w:rsid w:val="00A24CEA"/>
    <w:rsid w:val="00A256F1"/>
    <w:rsid w:val="00A31942"/>
    <w:rsid w:val="00A319B3"/>
    <w:rsid w:val="00A31A44"/>
    <w:rsid w:val="00A31F84"/>
    <w:rsid w:val="00A321BA"/>
    <w:rsid w:val="00A327C0"/>
    <w:rsid w:val="00A32E77"/>
    <w:rsid w:val="00A341EE"/>
    <w:rsid w:val="00A34AAA"/>
    <w:rsid w:val="00A34B29"/>
    <w:rsid w:val="00A34DAD"/>
    <w:rsid w:val="00A34DC6"/>
    <w:rsid w:val="00A361C4"/>
    <w:rsid w:val="00A366D2"/>
    <w:rsid w:val="00A36779"/>
    <w:rsid w:val="00A36D3B"/>
    <w:rsid w:val="00A374F5"/>
    <w:rsid w:val="00A3797B"/>
    <w:rsid w:val="00A379C0"/>
    <w:rsid w:val="00A40C6C"/>
    <w:rsid w:val="00A4172F"/>
    <w:rsid w:val="00A417EE"/>
    <w:rsid w:val="00A420D7"/>
    <w:rsid w:val="00A420F3"/>
    <w:rsid w:val="00A427D0"/>
    <w:rsid w:val="00A42A3A"/>
    <w:rsid w:val="00A42B39"/>
    <w:rsid w:val="00A4323C"/>
    <w:rsid w:val="00A43BA7"/>
    <w:rsid w:val="00A44069"/>
    <w:rsid w:val="00A45F34"/>
    <w:rsid w:val="00A472CF"/>
    <w:rsid w:val="00A478FF"/>
    <w:rsid w:val="00A5043C"/>
    <w:rsid w:val="00A523A8"/>
    <w:rsid w:val="00A528CF"/>
    <w:rsid w:val="00A52EA5"/>
    <w:rsid w:val="00A54002"/>
    <w:rsid w:val="00A54483"/>
    <w:rsid w:val="00A54A8B"/>
    <w:rsid w:val="00A554EF"/>
    <w:rsid w:val="00A55918"/>
    <w:rsid w:val="00A56379"/>
    <w:rsid w:val="00A61109"/>
    <w:rsid w:val="00A61448"/>
    <w:rsid w:val="00A6292A"/>
    <w:rsid w:val="00A630EE"/>
    <w:rsid w:val="00A63F0C"/>
    <w:rsid w:val="00A64171"/>
    <w:rsid w:val="00A65632"/>
    <w:rsid w:val="00A65B07"/>
    <w:rsid w:val="00A65C58"/>
    <w:rsid w:val="00A65CE3"/>
    <w:rsid w:val="00A66289"/>
    <w:rsid w:val="00A66EA8"/>
    <w:rsid w:val="00A6781A"/>
    <w:rsid w:val="00A67FCE"/>
    <w:rsid w:val="00A71582"/>
    <w:rsid w:val="00A71BFB"/>
    <w:rsid w:val="00A723F9"/>
    <w:rsid w:val="00A72689"/>
    <w:rsid w:val="00A72835"/>
    <w:rsid w:val="00A7398C"/>
    <w:rsid w:val="00A74345"/>
    <w:rsid w:val="00A753D8"/>
    <w:rsid w:val="00A75BD4"/>
    <w:rsid w:val="00A76E78"/>
    <w:rsid w:val="00A77462"/>
    <w:rsid w:val="00A805DE"/>
    <w:rsid w:val="00A80CC8"/>
    <w:rsid w:val="00A812E5"/>
    <w:rsid w:val="00A819AB"/>
    <w:rsid w:val="00A81C73"/>
    <w:rsid w:val="00A81DC9"/>
    <w:rsid w:val="00A82075"/>
    <w:rsid w:val="00A8256C"/>
    <w:rsid w:val="00A826CA"/>
    <w:rsid w:val="00A838E1"/>
    <w:rsid w:val="00A83B4E"/>
    <w:rsid w:val="00A85E07"/>
    <w:rsid w:val="00A86737"/>
    <w:rsid w:val="00A86DCE"/>
    <w:rsid w:val="00A86F87"/>
    <w:rsid w:val="00A87BB1"/>
    <w:rsid w:val="00A918F2"/>
    <w:rsid w:val="00A91E69"/>
    <w:rsid w:val="00A92D09"/>
    <w:rsid w:val="00A92DF0"/>
    <w:rsid w:val="00A93286"/>
    <w:rsid w:val="00A93C69"/>
    <w:rsid w:val="00A944DB"/>
    <w:rsid w:val="00A949A4"/>
    <w:rsid w:val="00A94DF9"/>
    <w:rsid w:val="00A957E0"/>
    <w:rsid w:val="00A95A48"/>
    <w:rsid w:val="00A96375"/>
    <w:rsid w:val="00A96B21"/>
    <w:rsid w:val="00A9779D"/>
    <w:rsid w:val="00A977AC"/>
    <w:rsid w:val="00AA0A49"/>
    <w:rsid w:val="00AA115C"/>
    <w:rsid w:val="00AA1C90"/>
    <w:rsid w:val="00AA29F5"/>
    <w:rsid w:val="00AA357C"/>
    <w:rsid w:val="00AA3DBA"/>
    <w:rsid w:val="00AA4543"/>
    <w:rsid w:val="00AA464F"/>
    <w:rsid w:val="00AA4861"/>
    <w:rsid w:val="00AA54A7"/>
    <w:rsid w:val="00AA5976"/>
    <w:rsid w:val="00AA5E7E"/>
    <w:rsid w:val="00AA639A"/>
    <w:rsid w:val="00AA715C"/>
    <w:rsid w:val="00AA74AB"/>
    <w:rsid w:val="00AA7BDF"/>
    <w:rsid w:val="00AB1645"/>
    <w:rsid w:val="00AB20CF"/>
    <w:rsid w:val="00AB3151"/>
    <w:rsid w:val="00AB378F"/>
    <w:rsid w:val="00AB4FFE"/>
    <w:rsid w:val="00AB5784"/>
    <w:rsid w:val="00AB5CF6"/>
    <w:rsid w:val="00AB6CD5"/>
    <w:rsid w:val="00AC031C"/>
    <w:rsid w:val="00AC049F"/>
    <w:rsid w:val="00AC0FB0"/>
    <w:rsid w:val="00AC1071"/>
    <w:rsid w:val="00AC11C4"/>
    <w:rsid w:val="00AC11EC"/>
    <w:rsid w:val="00AC1FEA"/>
    <w:rsid w:val="00AC3721"/>
    <w:rsid w:val="00AC4282"/>
    <w:rsid w:val="00AC43D3"/>
    <w:rsid w:val="00AC4FE9"/>
    <w:rsid w:val="00AC5024"/>
    <w:rsid w:val="00AC53FC"/>
    <w:rsid w:val="00AC5B29"/>
    <w:rsid w:val="00AC750F"/>
    <w:rsid w:val="00AD0444"/>
    <w:rsid w:val="00AD0D21"/>
    <w:rsid w:val="00AD2A03"/>
    <w:rsid w:val="00AD2AF7"/>
    <w:rsid w:val="00AD302A"/>
    <w:rsid w:val="00AD316E"/>
    <w:rsid w:val="00AD4857"/>
    <w:rsid w:val="00AD48A0"/>
    <w:rsid w:val="00AD4A0A"/>
    <w:rsid w:val="00AD584F"/>
    <w:rsid w:val="00AD6F89"/>
    <w:rsid w:val="00AD769A"/>
    <w:rsid w:val="00AE0727"/>
    <w:rsid w:val="00AE0ECE"/>
    <w:rsid w:val="00AE10D2"/>
    <w:rsid w:val="00AE3F06"/>
    <w:rsid w:val="00AE527B"/>
    <w:rsid w:val="00AE6223"/>
    <w:rsid w:val="00AE7DC4"/>
    <w:rsid w:val="00AF104C"/>
    <w:rsid w:val="00AF21A0"/>
    <w:rsid w:val="00AF2699"/>
    <w:rsid w:val="00AF2CA1"/>
    <w:rsid w:val="00AF32C1"/>
    <w:rsid w:val="00AF3801"/>
    <w:rsid w:val="00AF4494"/>
    <w:rsid w:val="00AF4606"/>
    <w:rsid w:val="00AF4FED"/>
    <w:rsid w:val="00AF4FFE"/>
    <w:rsid w:val="00AF599C"/>
    <w:rsid w:val="00AF6335"/>
    <w:rsid w:val="00B00493"/>
    <w:rsid w:val="00B00759"/>
    <w:rsid w:val="00B00C3C"/>
    <w:rsid w:val="00B00D43"/>
    <w:rsid w:val="00B010D0"/>
    <w:rsid w:val="00B01611"/>
    <w:rsid w:val="00B016C5"/>
    <w:rsid w:val="00B01807"/>
    <w:rsid w:val="00B01CE8"/>
    <w:rsid w:val="00B023CA"/>
    <w:rsid w:val="00B05F3E"/>
    <w:rsid w:val="00B07123"/>
    <w:rsid w:val="00B07FA0"/>
    <w:rsid w:val="00B10A38"/>
    <w:rsid w:val="00B115DE"/>
    <w:rsid w:val="00B11C22"/>
    <w:rsid w:val="00B11EFE"/>
    <w:rsid w:val="00B12573"/>
    <w:rsid w:val="00B12E22"/>
    <w:rsid w:val="00B13474"/>
    <w:rsid w:val="00B1374E"/>
    <w:rsid w:val="00B1437D"/>
    <w:rsid w:val="00B143E0"/>
    <w:rsid w:val="00B1517F"/>
    <w:rsid w:val="00B1569D"/>
    <w:rsid w:val="00B164C9"/>
    <w:rsid w:val="00B16DEE"/>
    <w:rsid w:val="00B17B4B"/>
    <w:rsid w:val="00B20837"/>
    <w:rsid w:val="00B2091E"/>
    <w:rsid w:val="00B20C56"/>
    <w:rsid w:val="00B2167F"/>
    <w:rsid w:val="00B216DF"/>
    <w:rsid w:val="00B22DAA"/>
    <w:rsid w:val="00B251C0"/>
    <w:rsid w:val="00B253E8"/>
    <w:rsid w:val="00B2557D"/>
    <w:rsid w:val="00B25704"/>
    <w:rsid w:val="00B25E30"/>
    <w:rsid w:val="00B26855"/>
    <w:rsid w:val="00B2686B"/>
    <w:rsid w:val="00B26BD6"/>
    <w:rsid w:val="00B26E8D"/>
    <w:rsid w:val="00B26FAF"/>
    <w:rsid w:val="00B26FEF"/>
    <w:rsid w:val="00B3003E"/>
    <w:rsid w:val="00B304D1"/>
    <w:rsid w:val="00B30802"/>
    <w:rsid w:val="00B3090E"/>
    <w:rsid w:val="00B3091D"/>
    <w:rsid w:val="00B30CF5"/>
    <w:rsid w:val="00B30D11"/>
    <w:rsid w:val="00B3260E"/>
    <w:rsid w:val="00B32A27"/>
    <w:rsid w:val="00B32FEA"/>
    <w:rsid w:val="00B33750"/>
    <w:rsid w:val="00B33CF9"/>
    <w:rsid w:val="00B33E36"/>
    <w:rsid w:val="00B34659"/>
    <w:rsid w:val="00B34E9A"/>
    <w:rsid w:val="00B34F95"/>
    <w:rsid w:val="00B351DB"/>
    <w:rsid w:val="00B351DC"/>
    <w:rsid w:val="00B35521"/>
    <w:rsid w:val="00B3558A"/>
    <w:rsid w:val="00B358F6"/>
    <w:rsid w:val="00B36B29"/>
    <w:rsid w:val="00B371BB"/>
    <w:rsid w:val="00B4068A"/>
    <w:rsid w:val="00B41778"/>
    <w:rsid w:val="00B41C1D"/>
    <w:rsid w:val="00B41D33"/>
    <w:rsid w:val="00B42F5E"/>
    <w:rsid w:val="00B43088"/>
    <w:rsid w:val="00B4389C"/>
    <w:rsid w:val="00B444DB"/>
    <w:rsid w:val="00B44CC7"/>
    <w:rsid w:val="00B455CD"/>
    <w:rsid w:val="00B4567F"/>
    <w:rsid w:val="00B4570B"/>
    <w:rsid w:val="00B457CF"/>
    <w:rsid w:val="00B46899"/>
    <w:rsid w:val="00B46FCE"/>
    <w:rsid w:val="00B4703E"/>
    <w:rsid w:val="00B477B0"/>
    <w:rsid w:val="00B47E8B"/>
    <w:rsid w:val="00B5092E"/>
    <w:rsid w:val="00B518E5"/>
    <w:rsid w:val="00B530D3"/>
    <w:rsid w:val="00B53124"/>
    <w:rsid w:val="00B533C4"/>
    <w:rsid w:val="00B53558"/>
    <w:rsid w:val="00B53E8F"/>
    <w:rsid w:val="00B5425C"/>
    <w:rsid w:val="00B55131"/>
    <w:rsid w:val="00B55425"/>
    <w:rsid w:val="00B554D1"/>
    <w:rsid w:val="00B5611E"/>
    <w:rsid w:val="00B566E1"/>
    <w:rsid w:val="00B56EF2"/>
    <w:rsid w:val="00B56EFC"/>
    <w:rsid w:val="00B57E79"/>
    <w:rsid w:val="00B60624"/>
    <w:rsid w:val="00B61370"/>
    <w:rsid w:val="00B6140D"/>
    <w:rsid w:val="00B616DC"/>
    <w:rsid w:val="00B619C6"/>
    <w:rsid w:val="00B6354B"/>
    <w:rsid w:val="00B6391F"/>
    <w:rsid w:val="00B63A69"/>
    <w:rsid w:val="00B63F10"/>
    <w:rsid w:val="00B641E4"/>
    <w:rsid w:val="00B64E27"/>
    <w:rsid w:val="00B67F9E"/>
    <w:rsid w:val="00B704D4"/>
    <w:rsid w:val="00B70A82"/>
    <w:rsid w:val="00B70D43"/>
    <w:rsid w:val="00B71809"/>
    <w:rsid w:val="00B71A53"/>
    <w:rsid w:val="00B720C9"/>
    <w:rsid w:val="00B72235"/>
    <w:rsid w:val="00B73EF9"/>
    <w:rsid w:val="00B74D10"/>
    <w:rsid w:val="00B76339"/>
    <w:rsid w:val="00B7654A"/>
    <w:rsid w:val="00B76C4C"/>
    <w:rsid w:val="00B77E01"/>
    <w:rsid w:val="00B80E0F"/>
    <w:rsid w:val="00B814AF"/>
    <w:rsid w:val="00B81791"/>
    <w:rsid w:val="00B831B5"/>
    <w:rsid w:val="00B83D98"/>
    <w:rsid w:val="00B84C03"/>
    <w:rsid w:val="00B8535F"/>
    <w:rsid w:val="00B86B7B"/>
    <w:rsid w:val="00B8787D"/>
    <w:rsid w:val="00B90BD4"/>
    <w:rsid w:val="00B91992"/>
    <w:rsid w:val="00B9241E"/>
    <w:rsid w:val="00B92B92"/>
    <w:rsid w:val="00B92F81"/>
    <w:rsid w:val="00B930B9"/>
    <w:rsid w:val="00B93380"/>
    <w:rsid w:val="00B93C0A"/>
    <w:rsid w:val="00B94299"/>
    <w:rsid w:val="00B94ABA"/>
    <w:rsid w:val="00B953A1"/>
    <w:rsid w:val="00B9556C"/>
    <w:rsid w:val="00B95638"/>
    <w:rsid w:val="00B95D7A"/>
    <w:rsid w:val="00B96084"/>
    <w:rsid w:val="00B963FE"/>
    <w:rsid w:val="00B96786"/>
    <w:rsid w:val="00B97D1A"/>
    <w:rsid w:val="00B97FBB"/>
    <w:rsid w:val="00BA07C8"/>
    <w:rsid w:val="00BA14D1"/>
    <w:rsid w:val="00BA1F9F"/>
    <w:rsid w:val="00BA2191"/>
    <w:rsid w:val="00BA281D"/>
    <w:rsid w:val="00BA549F"/>
    <w:rsid w:val="00BA5D66"/>
    <w:rsid w:val="00BB1144"/>
    <w:rsid w:val="00BB1486"/>
    <w:rsid w:val="00BB1807"/>
    <w:rsid w:val="00BB3748"/>
    <w:rsid w:val="00BB3970"/>
    <w:rsid w:val="00BB411D"/>
    <w:rsid w:val="00BB4DFF"/>
    <w:rsid w:val="00BB56E4"/>
    <w:rsid w:val="00BB5DC1"/>
    <w:rsid w:val="00BB5DFA"/>
    <w:rsid w:val="00BB7997"/>
    <w:rsid w:val="00BB7BAE"/>
    <w:rsid w:val="00BB7BC6"/>
    <w:rsid w:val="00BC08CE"/>
    <w:rsid w:val="00BC1A6D"/>
    <w:rsid w:val="00BC1B58"/>
    <w:rsid w:val="00BC1D34"/>
    <w:rsid w:val="00BC2CE9"/>
    <w:rsid w:val="00BC2D1C"/>
    <w:rsid w:val="00BC340E"/>
    <w:rsid w:val="00BC4A61"/>
    <w:rsid w:val="00BC4B7B"/>
    <w:rsid w:val="00BC5293"/>
    <w:rsid w:val="00BC52DC"/>
    <w:rsid w:val="00BC54CD"/>
    <w:rsid w:val="00BC55C3"/>
    <w:rsid w:val="00BC5630"/>
    <w:rsid w:val="00BC5A7C"/>
    <w:rsid w:val="00BC6440"/>
    <w:rsid w:val="00BC779A"/>
    <w:rsid w:val="00BD0F2C"/>
    <w:rsid w:val="00BD2E48"/>
    <w:rsid w:val="00BD3555"/>
    <w:rsid w:val="00BD360C"/>
    <w:rsid w:val="00BD3655"/>
    <w:rsid w:val="00BD447E"/>
    <w:rsid w:val="00BD447F"/>
    <w:rsid w:val="00BD464B"/>
    <w:rsid w:val="00BD59A4"/>
    <w:rsid w:val="00BD62CD"/>
    <w:rsid w:val="00BD66EB"/>
    <w:rsid w:val="00BD718A"/>
    <w:rsid w:val="00BD72CF"/>
    <w:rsid w:val="00BD7547"/>
    <w:rsid w:val="00BE00E1"/>
    <w:rsid w:val="00BE042C"/>
    <w:rsid w:val="00BE05B1"/>
    <w:rsid w:val="00BE1AD0"/>
    <w:rsid w:val="00BE306A"/>
    <w:rsid w:val="00BE3211"/>
    <w:rsid w:val="00BE33A1"/>
    <w:rsid w:val="00BE3A19"/>
    <w:rsid w:val="00BE3D7F"/>
    <w:rsid w:val="00BE4E62"/>
    <w:rsid w:val="00BE50B7"/>
    <w:rsid w:val="00BE652C"/>
    <w:rsid w:val="00BE6955"/>
    <w:rsid w:val="00BE6C19"/>
    <w:rsid w:val="00BE7CBC"/>
    <w:rsid w:val="00BE7F64"/>
    <w:rsid w:val="00BF022C"/>
    <w:rsid w:val="00BF03A7"/>
    <w:rsid w:val="00BF05C6"/>
    <w:rsid w:val="00BF0B59"/>
    <w:rsid w:val="00BF0F2D"/>
    <w:rsid w:val="00BF23EF"/>
    <w:rsid w:val="00BF247E"/>
    <w:rsid w:val="00BF2796"/>
    <w:rsid w:val="00BF3492"/>
    <w:rsid w:val="00BF351C"/>
    <w:rsid w:val="00BF3984"/>
    <w:rsid w:val="00BF3C5B"/>
    <w:rsid w:val="00BF443C"/>
    <w:rsid w:val="00BF4546"/>
    <w:rsid w:val="00BF4D79"/>
    <w:rsid w:val="00BF7255"/>
    <w:rsid w:val="00C00258"/>
    <w:rsid w:val="00C0093C"/>
    <w:rsid w:val="00C01128"/>
    <w:rsid w:val="00C02906"/>
    <w:rsid w:val="00C02C84"/>
    <w:rsid w:val="00C02E21"/>
    <w:rsid w:val="00C03040"/>
    <w:rsid w:val="00C030AD"/>
    <w:rsid w:val="00C030CA"/>
    <w:rsid w:val="00C0444A"/>
    <w:rsid w:val="00C05334"/>
    <w:rsid w:val="00C06E16"/>
    <w:rsid w:val="00C07857"/>
    <w:rsid w:val="00C1061D"/>
    <w:rsid w:val="00C11A29"/>
    <w:rsid w:val="00C11D09"/>
    <w:rsid w:val="00C12EC5"/>
    <w:rsid w:val="00C1382F"/>
    <w:rsid w:val="00C13BAB"/>
    <w:rsid w:val="00C15170"/>
    <w:rsid w:val="00C15F12"/>
    <w:rsid w:val="00C16840"/>
    <w:rsid w:val="00C16F19"/>
    <w:rsid w:val="00C1743C"/>
    <w:rsid w:val="00C20D2D"/>
    <w:rsid w:val="00C215F8"/>
    <w:rsid w:val="00C21F02"/>
    <w:rsid w:val="00C22201"/>
    <w:rsid w:val="00C231ED"/>
    <w:rsid w:val="00C241EB"/>
    <w:rsid w:val="00C25E0D"/>
    <w:rsid w:val="00C26EF5"/>
    <w:rsid w:val="00C27365"/>
    <w:rsid w:val="00C2768A"/>
    <w:rsid w:val="00C30AE7"/>
    <w:rsid w:val="00C30BE7"/>
    <w:rsid w:val="00C30D6B"/>
    <w:rsid w:val="00C30F7D"/>
    <w:rsid w:val="00C31400"/>
    <w:rsid w:val="00C31586"/>
    <w:rsid w:val="00C332A9"/>
    <w:rsid w:val="00C337D1"/>
    <w:rsid w:val="00C33CB6"/>
    <w:rsid w:val="00C33CDE"/>
    <w:rsid w:val="00C33E6A"/>
    <w:rsid w:val="00C33E7B"/>
    <w:rsid w:val="00C34ED1"/>
    <w:rsid w:val="00C35396"/>
    <w:rsid w:val="00C3581D"/>
    <w:rsid w:val="00C359F4"/>
    <w:rsid w:val="00C36466"/>
    <w:rsid w:val="00C36899"/>
    <w:rsid w:val="00C37A55"/>
    <w:rsid w:val="00C40CEE"/>
    <w:rsid w:val="00C41ECA"/>
    <w:rsid w:val="00C41F1D"/>
    <w:rsid w:val="00C42679"/>
    <w:rsid w:val="00C427C7"/>
    <w:rsid w:val="00C43A91"/>
    <w:rsid w:val="00C44565"/>
    <w:rsid w:val="00C448DD"/>
    <w:rsid w:val="00C4505E"/>
    <w:rsid w:val="00C46B82"/>
    <w:rsid w:val="00C471A8"/>
    <w:rsid w:val="00C47287"/>
    <w:rsid w:val="00C472DC"/>
    <w:rsid w:val="00C47E97"/>
    <w:rsid w:val="00C505FB"/>
    <w:rsid w:val="00C5067C"/>
    <w:rsid w:val="00C508C0"/>
    <w:rsid w:val="00C50AA3"/>
    <w:rsid w:val="00C50D23"/>
    <w:rsid w:val="00C50EAD"/>
    <w:rsid w:val="00C51512"/>
    <w:rsid w:val="00C51F66"/>
    <w:rsid w:val="00C5295C"/>
    <w:rsid w:val="00C52DDB"/>
    <w:rsid w:val="00C53E4A"/>
    <w:rsid w:val="00C550AF"/>
    <w:rsid w:val="00C561B1"/>
    <w:rsid w:val="00C5779B"/>
    <w:rsid w:val="00C57B12"/>
    <w:rsid w:val="00C600F5"/>
    <w:rsid w:val="00C60F52"/>
    <w:rsid w:val="00C627E9"/>
    <w:rsid w:val="00C63000"/>
    <w:rsid w:val="00C6383A"/>
    <w:rsid w:val="00C645AE"/>
    <w:rsid w:val="00C64B85"/>
    <w:rsid w:val="00C65376"/>
    <w:rsid w:val="00C653BF"/>
    <w:rsid w:val="00C660EE"/>
    <w:rsid w:val="00C670EC"/>
    <w:rsid w:val="00C70323"/>
    <w:rsid w:val="00C70641"/>
    <w:rsid w:val="00C7090C"/>
    <w:rsid w:val="00C70EC6"/>
    <w:rsid w:val="00C712AE"/>
    <w:rsid w:val="00C72179"/>
    <w:rsid w:val="00C7278B"/>
    <w:rsid w:val="00C73682"/>
    <w:rsid w:val="00C7409B"/>
    <w:rsid w:val="00C7504E"/>
    <w:rsid w:val="00C75DCD"/>
    <w:rsid w:val="00C7613E"/>
    <w:rsid w:val="00C76D61"/>
    <w:rsid w:val="00C77CAE"/>
    <w:rsid w:val="00C77F5C"/>
    <w:rsid w:val="00C804C0"/>
    <w:rsid w:val="00C81103"/>
    <w:rsid w:val="00C82F7C"/>
    <w:rsid w:val="00C831D2"/>
    <w:rsid w:val="00C83C64"/>
    <w:rsid w:val="00C83E08"/>
    <w:rsid w:val="00C842BB"/>
    <w:rsid w:val="00C84EF2"/>
    <w:rsid w:val="00C85003"/>
    <w:rsid w:val="00C854B3"/>
    <w:rsid w:val="00C856EF"/>
    <w:rsid w:val="00C85993"/>
    <w:rsid w:val="00C865C9"/>
    <w:rsid w:val="00C867A9"/>
    <w:rsid w:val="00C87505"/>
    <w:rsid w:val="00C87B10"/>
    <w:rsid w:val="00C87DF2"/>
    <w:rsid w:val="00C900F1"/>
    <w:rsid w:val="00C90E0B"/>
    <w:rsid w:val="00C914CA"/>
    <w:rsid w:val="00C92F33"/>
    <w:rsid w:val="00C93824"/>
    <w:rsid w:val="00C9542C"/>
    <w:rsid w:val="00C959CE"/>
    <w:rsid w:val="00C97443"/>
    <w:rsid w:val="00CA129E"/>
    <w:rsid w:val="00CA29E5"/>
    <w:rsid w:val="00CA33CA"/>
    <w:rsid w:val="00CA5625"/>
    <w:rsid w:val="00CA62BE"/>
    <w:rsid w:val="00CA6328"/>
    <w:rsid w:val="00CA652E"/>
    <w:rsid w:val="00CA66C3"/>
    <w:rsid w:val="00CA7601"/>
    <w:rsid w:val="00CB254A"/>
    <w:rsid w:val="00CB2837"/>
    <w:rsid w:val="00CB2BC3"/>
    <w:rsid w:val="00CB3055"/>
    <w:rsid w:val="00CB383B"/>
    <w:rsid w:val="00CB4706"/>
    <w:rsid w:val="00CB4C6F"/>
    <w:rsid w:val="00CB4D85"/>
    <w:rsid w:val="00CB5BB3"/>
    <w:rsid w:val="00CB5F71"/>
    <w:rsid w:val="00CB60F6"/>
    <w:rsid w:val="00CB6250"/>
    <w:rsid w:val="00CB6295"/>
    <w:rsid w:val="00CB6E05"/>
    <w:rsid w:val="00CB7C2F"/>
    <w:rsid w:val="00CC106B"/>
    <w:rsid w:val="00CC14F0"/>
    <w:rsid w:val="00CC16DA"/>
    <w:rsid w:val="00CC1C72"/>
    <w:rsid w:val="00CC2670"/>
    <w:rsid w:val="00CC2B98"/>
    <w:rsid w:val="00CC33E6"/>
    <w:rsid w:val="00CC3AE8"/>
    <w:rsid w:val="00CC4AAF"/>
    <w:rsid w:val="00CC4E24"/>
    <w:rsid w:val="00CC5F8B"/>
    <w:rsid w:val="00CC6562"/>
    <w:rsid w:val="00CC6E05"/>
    <w:rsid w:val="00CC7948"/>
    <w:rsid w:val="00CC7A9D"/>
    <w:rsid w:val="00CC7AF8"/>
    <w:rsid w:val="00CD0763"/>
    <w:rsid w:val="00CD1716"/>
    <w:rsid w:val="00CD1EED"/>
    <w:rsid w:val="00CD25C9"/>
    <w:rsid w:val="00CD26DB"/>
    <w:rsid w:val="00CD29A0"/>
    <w:rsid w:val="00CD31F8"/>
    <w:rsid w:val="00CD385B"/>
    <w:rsid w:val="00CD3F83"/>
    <w:rsid w:val="00CD4662"/>
    <w:rsid w:val="00CD565A"/>
    <w:rsid w:val="00CD6033"/>
    <w:rsid w:val="00CD6D9A"/>
    <w:rsid w:val="00CD6E87"/>
    <w:rsid w:val="00CD757C"/>
    <w:rsid w:val="00CD7926"/>
    <w:rsid w:val="00CD7A21"/>
    <w:rsid w:val="00CE0022"/>
    <w:rsid w:val="00CE0769"/>
    <w:rsid w:val="00CE1115"/>
    <w:rsid w:val="00CE299C"/>
    <w:rsid w:val="00CE342E"/>
    <w:rsid w:val="00CE4A0D"/>
    <w:rsid w:val="00CE4E74"/>
    <w:rsid w:val="00CE5452"/>
    <w:rsid w:val="00CF2F84"/>
    <w:rsid w:val="00CF37D1"/>
    <w:rsid w:val="00CF4DF9"/>
    <w:rsid w:val="00CF5C07"/>
    <w:rsid w:val="00CF609E"/>
    <w:rsid w:val="00CF6FED"/>
    <w:rsid w:val="00D00319"/>
    <w:rsid w:val="00D0088E"/>
    <w:rsid w:val="00D01182"/>
    <w:rsid w:val="00D0169B"/>
    <w:rsid w:val="00D01D97"/>
    <w:rsid w:val="00D01F23"/>
    <w:rsid w:val="00D0210B"/>
    <w:rsid w:val="00D03823"/>
    <w:rsid w:val="00D0475B"/>
    <w:rsid w:val="00D0525B"/>
    <w:rsid w:val="00D058CC"/>
    <w:rsid w:val="00D06712"/>
    <w:rsid w:val="00D07122"/>
    <w:rsid w:val="00D07C60"/>
    <w:rsid w:val="00D07EFC"/>
    <w:rsid w:val="00D128AF"/>
    <w:rsid w:val="00D13408"/>
    <w:rsid w:val="00D1474D"/>
    <w:rsid w:val="00D15022"/>
    <w:rsid w:val="00D158FA"/>
    <w:rsid w:val="00D15A1A"/>
    <w:rsid w:val="00D15C06"/>
    <w:rsid w:val="00D15D07"/>
    <w:rsid w:val="00D161BC"/>
    <w:rsid w:val="00D165C4"/>
    <w:rsid w:val="00D17AEC"/>
    <w:rsid w:val="00D218F1"/>
    <w:rsid w:val="00D21971"/>
    <w:rsid w:val="00D21BA1"/>
    <w:rsid w:val="00D225AA"/>
    <w:rsid w:val="00D2282E"/>
    <w:rsid w:val="00D22D1B"/>
    <w:rsid w:val="00D2352D"/>
    <w:rsid w:val="00D2540E"/>
    <w:rsid w:val="00D268AF"/>
    <w:rsid w:val="00D30F88"/>
    <w:rsid w:val="00D3107C"/>
    <w:rsid w:val="00D3166C"/>
    <w:rsid w:val="00D3188D"/>
    <w:rsid w:val="00D326FB"/>
    <w:rsid w:val="00D32819"/>
    <w:rsid w:val="00D33862"/>
    <w:rsid w:val="00D33953"/>
    <w:rsid w:val="00D33DFA"/>
    <w:rsid w:val="00D34902"/>
    <w:rsid w:val="00D34C31"/>
    <w:rsid w:val="00D36C48"/>
    <w:rsid w:val="00D375F0"/>
    <w:rsid w:val="00D40476"/>
    <w:rsid w:val="00D40D92"/>
    <w:rsid w:val="00D42846"/>
    <w:rsid w:val="00D4325D"/>
    <w:rsid w:val="00D451D4"/>
    <w:rsid w:val="00D45B8B"/>
    <w:rsid w:val="00D46874"/>
    <w:rsid w:val="00D46A09"/>
    <w:rsid w:val="00D504CD"/>
    <w:rsid w:val="00D51358"/>
    <w:rsid w:val="00D51A27"/>
    <w:rsid w:val="00D51E44"/>
    <w:rsid w:val="00D52244"/>
    <w:rsid w:val="00D52515"/>
    <w:rsid w:val="00D5298B"/>
    <w:rsid w:val="00D52B1B"/>
    <w:rsid w:val="00D52DAC"/>
    <w:rsid w:val="00D53F6D"/>
    <w:rsid w:val="00D568DB"/>
    <w:rsid w:val="00D56A2C"/>
    <w:rsid w:val="00D56EB5"/>
    <w:rsid w:val="00D56F67"/>
    <w:rsid w:val="00D57BE9"/>
    <w:rsid w:val="00D6143A"/>
    <w:rsid w:val="00D6172B"/>
    <w:rsid w:val="00D62047"/>
    <w:rsid w:val="00D63343"/>
    <w:rsid w:val="00D633DB"/>
    <w:rsid w:val="00D64E50"/>
    <w:rsid w:val="00D6501B"/>
    <w:rsid w:val="00D6530A"/>
    <w:rsid w:val="00D653B4"/>
    <w:rsid w:val="00D657BE"/>
    <w:rsid w:val="00D66EDA"/>
    <w:rsid w:val="00D673D6"/>
    <w:rsid w:val="00D70227"/>
    <w:rsid w:val="00D704FB"/>
    <w:rsid w:val="00D71674"/>
    <w:rsid w:val="00D7236D"/>
    <w:rsid w:val="00D72D21"/>
    <w:rsid w:val="00D730D0"/>
    <w:rsid w:val="00D73B27"/>
    <w:rsid w:val="00D7513C"/>
    <w:rsid w:val="00D7755C"/>
    <w:rsid w:val="00D813D2"/>
    <w:rsid w:val="00D813DB"/>
    <w:rsid w:val="00D81DF0"/>
    <w:rsid w:val="00D82356"/>
    <w:rsid w:val="00D82C02"/>
    <w:rsid w:val="00D8327F"/>
    <w:rsid w:val="00D84136"/>
    <w:rsid w:val="00D851FD"/>
    <w:rsid w:val="00D85903"/>
    <w:rsid w:val="00D85996"/>
    <w:rsid w:val="00D85AC5"/>
    <w:rsid w:val="00D86340"/>
    <w:rsid w:val="00D86895"/>
    <w:rsid w:val="00D9177A"/>
    <w:rsid w:val="00D91FFC"/>
    <w:rsid w:val="00D924AE"/>
    <w:rsid w:val="00D9290D"/>
    <w:rsid w:val="00D935AF"/>
    <w:rsid w:val="00D93CFC"/>
    <w:rsid w:val="00D951E4"/>
    <w:rsid w:val="00D95A36"/>
    <w:rsid w:val="00D95D90"/>
    <w:rsid w:val="00D9615D"/>
    <w:rsid w:val="00D974B9"/>
    <w:rsid w:val="00D97879"/>
    <w:rsid w:val="00DA012A"/>
    <w:rsid w:val="00DA17BD"/>
    <w:rsid w:val="00DA1FE0"/>
    <w:rsid w:val="00DA2969"/>
    <w:rsid w:val="00DA2A50"/>
    <w:rsid w:val="00DA311F"/>
    <w:rsid w:val="00DA3486"/>
    <w:rsid w:val="00DA4058"/>
    <w:rsid w:val="00DA430A"/>
    <w:rsid w:val="00DA447C"/>
    <w:rsid w:val="00DA49A5"/>
    <w:rsid w:val="00DA4C48"/>
    <w:rsid w:val="00DA51BF"/>
    <w:rsid w:val="00DA547F"/>
    <w:rsid w:val="00DA59B4"/>
    <w:rsid w:val="00DA5FCB"/>
    <w:rsid w:val="00DA61D0"/>
    <w:rsid w:val="00DA6486"/>
    <w:rsid w:val="00DA6B4A"/>
    <w:rsid w:val="00DA78A8"/>
    <w:rsid w:val="00DB09CE"/>
    <w:rsid w:val="00DB19E8"/>
    <w:rsid w:val="00DB1E6D"/>
    <w:rsid w:val="00DB2264"/>
    <w:rsid w:val="00DB2CFD"/>
    <w:rsid w:val="00DB325B"/>
    <w:rsid w:val="00DB4330"/>
    <w:rsid w:val="00DB48AF"/>
    <w:rsid w:val="00DB548D"/>
    <w:rsid w:val="00DB571C"/>
    <w:rsid w:val="00DB5D3F"/>
    <w:rsid w:val="00DB620A"/>
    <w:rsid w:val="00DB66DE"/>
    <w:rsid w:val="00DB6874"/>
    <w:rsid w:val="00DB6FE8"/>
    <w:rsid w:val="00DB7CF1"/>
    <w:rsid w:val="00DC029D"/>
    <w:rsid w:val="00DC042A"/>
    <w:rsid w:val="00DC1B0B"/>
    <w:rsid w:val="00DC22DF"/>
    <w:rsid w:val="00DC23DB"/>
    <w:rsid w:val="00DC3DFF"/>
    <w:rsid w:val="00DC3FD9"/>
    <w:rsid w:val="00DC49B2"/>
    <w:rsid w:val="00DC4AB1"/>
    <w:rsid w:val="00DC4C80"/>
    <w:rsid w:val="00DC63F5"/>
    <w:rsid w:val="00DC70E7"/>
    <w:rsid w:val="00DC7BDF"/>
    <w:rsid w:val="00DD2127"/>
    <w:rsid w:val="00DD26D7"/>
    <w:rsid w:val="00DD2732"/>
    <w:rsid w:val="00DD3513"/>
    <w:rsid w:val="00DD37DA"/>
    <w:rsid w:val="00DD4AAB"/>
    <w:rsid w:val="00DD4AFB"/>
    <w:rsid w:val="00DD5CAA"/>
    <w:rsid w:val="00DD67F1"/>
    <w:rsid w:val="00DD6E33"/>
    <w:rsid w:val="00DD78E3"/>
    <w:rsid w:val="00DD7C2B"/>
    <w:rsid w:val="00DE088F"/>
    <w:rsid w:val="00DE095C"/>
    <w:rsid w:val="00DE17F9"/>
    <w:rsid w:val="00DE1DC8"/>
    <w:rsid w:val="00DE1DDC"/>
    <w:rsid w:val="00DE1E62"/>
    <w:rsid w:val="00DE256E"/>
    <w:rsid w:val="00DE2B3F"/>
    <w:rsid w:val="00DE2DE0"/>
    <w:rsid w:val="00DE2E61"/>
    <w:rsid w:val="00DE3820"/>
    <w:rsid w:val="00DE41E3"/>
    <w:rsid w:val="00DE49E4"/>
    <w:rsid w:val="00DE53C1"/>
    <w:rsid w:val="00DE5DB4"/>
    <w:rsid w:val="00DE6CF2"/>
    <w:rsid w:val="00DE6DB1"/>
    <w:rsid w:val="00DE734E"/>
    <w:rsid w:val="00DF13A1"/>
    <w:rsid w:val="00DF140A"/>
    <w:rsid w:val="00DF1662"/>
    <w:rsid w:val="00DF18B5"/>
    <w:rsid w:val="00DF1D20"/>
    <w:rsid w:val="00DF3390"/>
    <w:rsid w:val="00DF33FD"/>
    <w:rsid w:val="00DF4793"/>
    <w:rsid w:val="00DF54B6"/>
    <w:rsid w:val="00DF6264"/>
    <w:rsid w:val="00DF7E31"/>
    <w:rsid w:val="00E00E16"/>
    <w:rsid w:val="00E00E95"/>
    <w:rsid w:val="00E00EDC"/>
    <w:rsid w:val="00E0153C"/>
    <w:rsid w:val="00E01815"/>
    <w:rsid w:val="00E02C2F"/>
    <w:rsid w:val="00E03C01"/>
    <w:rsid w:val="00E03F54"/>
    <w:rsid w:val="00E04779"/>
    <w:rsid w:val="00E049EC"/>
    <w:rsid w:val="00E04BE7"/>
    <w:rsid w:val="00E04F01"/>
    <w:rsid w:val="00E051DE"/>
    <w:rsid w:val="00E0553E"/>
    <w:rsid w:val="00E05A74"/>
    <w:rsid w:val="00E05DAC"/>
    <w:rsid w:val="00E05FC3"/>
    <w:rsid w:val="00E06515"/>
    <w:rsid w:val="00E079F9"/>
    <w:rsid w:val="00E07D64"/>
    <w:rsid w:val="00E07D72"/>
    <w:rsid w:val="00E11870"/>
    <w:rsid w:val="00E12846"/>
    <w:rsid w:val="00E1289F"/>
    <w:rsid w:val="00E1394C"/>
    <w:rsid w:val="00E13AAA"/>
    <w:rsid w:val="00E1429F"/>
    <w:rsid w:val="00E144E4"/>
    <w:rsid w:val="00E14507"/>
    <w:rsid w:val="00E14D9B"/>
    <w:rsid w:val="00E16169"/>
    <w:rsid w:val="00E17066"/>
    <w:rsid w:val="00E17468"/>
    <w:rsid w:val="00E17508"/>
    <w:rsid w:val="00E17AB0"/>
    <w:rsid w:val="00E17C2E"/>
    <w:rsid w:val="00E210C5"/>
    <w:rsid w:val="00E217E1"/>
    <w:rsid w:val="00E22266"/>
    <w:rsid w:val="00E232AD"/>
    <w:rsid w:val="00E24C81"/>
    <w:rsid w:val="00E251DC"/>
    <w:rsid w:val="00E2526D"/>
    <w:rsid w:val="00E2529A"/>
    <w:rsid w:val="00E253B6"/>
    <w:rsid w:val="00E2589A"/>
    <w:rsid w:val="00E27AFF"/>
    <w:rsid w:val="00E27FCA"/>
    <w:rsid w:val="00E314CC"/>
    <w:rsid w:val="00E31E4C"/>
    <w:rsid w:val="00E31F27"/>
    <w:rsid w:val="00E32472"/>
    <w:rsid w:val="00E32D1F"/>
    <w:rsid w:val="00E32FFD"/>
    <w:rsid w:val="00E33703"/>
    <w:rsid w:val="00E34210"/>
    <w:rsid w:val="00E3445A"/>
    <w:rsid w:val="00E35B7B"/>
    <w:rsid w:val="00E35BA8"/>
    <w:rsid w:val="00E35D41"/>
    <w:rsid w:val="00E367FD"/>
    <w:rsid w:val="00E371D1"/>
    <w:rsid w:val="00E37D37"/>
    <w:rsid w:val="00E37E40"/>
    <w:rsid w:val="00E409FD"/>
    <w:rsid w:val="00E417E0"/>
    <w:rsid w:val="00E41E41"/>
    <w:rsid w:val="00E427C2"/>
    <w:rsid w:val="00E4395C"/>
    <w:rsid w:val="00E43CBC"/>
    <w:rsid w:val="00E44079"/>
    <w:rsid w:val="00E44C54"/>
    <w:rsid w:val="00E44D7E"/>
    <w:rsid w:val="00E44E32"/>
    <w:rsid w:val="00E451B6"/>
    <w:rsid w:val="00E45D4E"/>
    <w:rsid w:val="00E46180"/>
    <w:rsid w:val="00E47220"/>
    <w:rsid w:val="00E4799F"/>
    <w:rsid w:val="00E50432"/>
    <w:rsid w:val="00E506D2"/>
    <w:rsid w:val="00E50B0F"/>
    <w:rsid w:val="00E50D7E"/>
    <w:rsid w:val="00E534BA"/>
    <w:rsid w:val="00E536F8"/>
    <w:rsid w:val="00E5486C"/>
    <w:rsid w:val="00E54FB8"/>
    <w:rsid w:val="00E558E3"/>
    <w:rsid w:val="00E5763C"/>
    <w:rsid w:val="00E5767D"/>
    <w:rsid w:val="00E62527"/>
    <w:rsid w:val="00E62624"/>
    <w:rsid w:val="00E62C99"/>
    <w:rsid w:val="00E63556"/>
    <w:rsid w:val="00E63B6F"/>
    <w:rsid w:val="00E64182"/>
    <w:rsid w:val="00E6445F"/>
    <w:rsid w:val="00E648DD"/>
    <w:rsid w:val="00E64A04"/>
    <w:rsid w:val="00E64E10"/>
    <w:rsid w:val="00E66AEC"/>
    <w:rsid w:val="00E66C39"/>
    <w:rsid w:val="00E66D61"/>
    <w:rsid w:val="00E67777"/>
    <w:rsid w:val="00E70288"/>
    <w:rsid w:val="00E70590"/>
    <w:rsid w:val="00E71DD1"/>
    <w:rsid w:val="00E72036"/>
    <w:rsid w:val="00E72BD3"/>
    <w:rsid w:val="00E73022"/>
    <w:rsid w:val="00E739EC"/>
    <w:rsid w:val="00E73C49"/>
    <w:rsid w:val="00E73D42"/>
    <w:rsid w:val="00E7410B"/>
    <w:rsid w:val="00E760EA"/>
    <w:rsid w:val="00E7695C"/>
    <w:rsid w:val="00E769B1"/>
    <w:rsid w:val="00E82442"/>
    <w:rsid w:val="00E82FEA"/>
    <w:rsid w:val="00E835C3"/>
    <w:rsid w:val="00E84BD3"/>
    <w:rsid w:val="00E85385"/>
    <w:rsid w:val="00E854C1"/>
    <w:rsid w:val="00E86DEF"/>
    <w:rsid w:val="00E8793B"/>
    <w:rsid w:val="00E90089"/>
    <w:rsid w:val="00E903CF"/>
    <w:rsid w:val="00E912C9"/>
    <w:rsid w:val="00E91468"/>
    <w:rsid w:val="00E9321F"/>
    <w:rsid w:val="00E934E5"/>
    <w:rsid w:val="00E935DE"/>
    <w:rsid w:val="00E93DC1"/>
    <w:rsid w:val="00E94254"/>
    <w:rsid w:val="00E94370"/>
    <w:rsid w:val="00E95064"/>
    <w:rsid w:val="00E96553"/>
    <w:rsid w:val="00E96F7F"/>
    <w:rsid w:val="00E97395"/>
    <w:rsid w:val="00E97F80"/>
    <w:rsid w:val="00EA0373"/>
    <w:rsid w:val="00EA03D1"/>
    <w:rsid w:val="00EA07C2"/>
    <w:rsid w:val="00EA0EC5"/>
    <w:rsid w:val="00EA16F1"/>
    <w:rsid w:val="00EA37A9"/>
    <w:rsid w:val="00EA45D3"/>
    <w:rsid w:val="00EA53E6"/>
    <w:rsid w:val="00EA5C95"/>
    <w:rsid w:val="00EA60D6"/>
    <w:rsid w:val="00EA64E7"/>
    <w:rsid w:val="00EA654B"/>
    <w:rsid w:val="00EA66F0"/>
    <w:rsid w:val="00EA7473"/>
    <w:rsid w:val="00EA7BE4"/>
    <w:rsid w:val="00EB01A8"/>
    <w:rsid w:val="00EB01FB"/>
    <w:rsid w:val="00EB03E7"/>
    <w:rsid w:val="00EB0789"/>
    <w:rsid w:val="00EB18F4"/>
    <w:rsid w:val="00EB200B"/>
    <w:rsid w:val="00EB42DA"/>
    <w:rsid w:val="00EB4974"/>
    <w:rsid w:val="00EB6222"/>
    <w:rsid w:val="00EB7898"/>
    <w:rsid w:val="00EC0176"/>
    <w:rsid w:val="00EC1A3E"/>
    <w:rsid w:val="00EC1E4D"/>
    <w:rsid w:val="00EC1F22"/>
    <w:rsid w:val="00EC2562"/>
    <w:rsid w:val="00EC29C1"/>
    <w:rsid w:val="00EC2F7F"/>
    <w:rsid w:val="00EC39AE"/>
    <w:rsid w:val="00EC5EF2"/>
    <w:rsid w:val="00EC6A7A"/>
    <w:rsid w:val="00EC77EC"/>
    <w:rsid w:val="00EC7C82"/>
    <w:rsid w:val="00EC7FCC"/>
    <w:rsid w:val="00ED14CB"/>
    <w:rsid w:val="00ED19F5"/>
    <w:rsid w:val="00ED284D"/>
    <w:rsid w:val="00ED380C"/>
    <w:rsid w:val="00ED3E59"/>
    <w:rsid w:val="00ED3F4C"/>
    <w:rsid w:val="00ED46C3"/>
    <w:rsid w:val="00ED4A15"/>
    <w:rsid w:val="00ED4EC6"/>
    <w:rsid w:val="00ED5465"/>
    <w:rsid w:val="00ED5AC1"/>
    <w:rsid w:val="00ED6BA8"/>
    <w:rsid w:val="00ED6C88"/>
    <w:rsid w:val="00EE2680"/>
    <w:rsid w:val="00EE330E"/>
    <w:rsid w:val="00EE3D54"/>
    <w:rsid w:val="00EE3E19"/>
    <w:rsid w:val="00EE63E7"/>
    <w:rsid w:val="00EE6903"/>
    <w:rsid w:val="00EE6DE7"/>
    <w:rsid w:val="00EE7757"/>
    <w:rsid w:val="00EE77FE"/>
    <w:rsid w:val="00EF03C2"/>
    <w:rsid w:val="00EF095C"/>
    <w:rsid w:val="00EF0E38"/>
    <w:rsid w:val="00EF149D"/>
    <w:rsid w:val="00EF153B"/>
    <w:rsid w:val="00EF1A67"/>
    <w:rsid w:val="00EF1BA6"/>
    <w:rsid w:val="00EF1EC1"/>
    <w:rsid w:val="00EF2903"/>
    <w:rsid w:val="00EF34DF"/>
    <w:rsid w:val="00EF3520"/>
    <w:rsid w:val="00EF3749"/>
    <w:rsid w:val="00EF3CE0"/>
    <w:rsid w:val="00EF61C4"/>
    <w:rsid w:val="00EF6D92"/>
    <w:rsid w:val="00EF7DD0"/>
    <w:rsid w:val="00F00464"/>
    <w:rsid w:val="00F00836"/>
    <w:rsid w:val="00F012C3"/>
    <w:rsid w:val="00F0208A"/>
    <w:rsid w:val="00F02BC3"/>
    <w:rsid w:val="00F064BD"/>
    <w:rsid w:val="00F06562"/>
    <w:rsid w:val="00F067F8"/>
    <w:rsid w:val="00F0696B"/>
    <w:rsid w:val="00F06EBB"/>
    <w:rsid w:val="00F076D4"/>
    <w:rsid w:val="00F076D5"/>
    <w:rsid w:val="00F07D18"/>
    <w:rsid w:val="00F104DF"/>
    <w:rsid w:val="00F11099"/>
    <w:rsid w:val="00F1154E"/>
    <w:rsid w:val="00F1249C"/>
    <w:rsid w:val="00F130CD"/>
    <w:rsid w:val="00F1387D"/>
    <w:rsid w:val="00F1487C"/>
    <w:rsid w:val="00F14FAE"/>
    <w:rsid w:val="00F1509E"/>
    <w:rsid w:val="00F17C39"/>
    <w:rsid w:val="00F17FA1"/>
    <w:rsid w:val="00F20340"/>
    <w:rsid w:val="00F207F4"/>
    <w:rsid w:val="00F2080A"/>
    <w:rsid w:val="00F20F9A"/>
    <w:rsid w:val="00F20FF6"/>
    <w:rsid w:val="00F25086"/>
    <w:rsid w:val="00F25327"/>
    <w:rsid w:val="00F27B1E"/>
    <w:rsid w:val="00F30403"/>
    <w:rsid w:val="00F31389"/>
    <w:rsid w:val="00F31892"/>
    <w:rsid w:val="00F31CBD"/>
    <w:rsid w:val="00F322ED"/>
    <w:rsid w:val="00F34289"/>
    <w:rsid w:val="00F35331"/>
    <w:rsid w:val="00F36209"/>
    <w:rsid w:val="00F37909"/>
    <w:rsid w:val="00F37D06"/>
    <w:rsid w:val="00F37E40"/>
    <w:rsid w:val="00F40986"/>
    <w:rsid w:val="00F41030"/>
    <w:rsid w:val="00F41337"/>
    <w:rsid w:val="00F4283F"/>
    <w:rsid w:val="00F42BFA"/>
    <w:rsid w:val="00F42EAA"/>
    <w:rsid w:val="00F42EBC"/>
    <w:rsid w:val="00F44728"/>
    <w:rsid w:val="00F474A4"/>
    <w:rsid w:val="00F47AF6"/>
    <w:rsid w:val="00F506B1"/>
    <w:rsid w:val="00F5081E"/>
    <w:rsid w:val="00F50837"/>
    <w:rsid w:val="00F50C40"/>
    <w:rsid w:val="00F51128"/>
    <w:rsid w:val="00F529E7"/>
    <w:rsid w:val="00F52A57"/>
    <w:rsid w:val="00F533A2"/>
    <w:rsid w:val="00F53491"/>
    <w:rsid w:val="00F54592"/>
    <w:rsid w:val="00F5553A"/>
    <w:rsid w:val="00F55EC3"/>
    <w:rsid w:val="00F55F3D"/>
    <w:rsid w:val="00F5626B"/>
    <w:rsid w:val="00F56628"/>
    <w:rsid w:val="00F568EC"/>
    <w:rsid w:val="00F57365"/>
    <w:rsid w:val="00F57652"/>
    <w:rsid w:val="00F57705"/>
    <w:rsid w:val="00F603C7"/>
    <w:rsid w:val="00F604E9"/>
    <w:rsid w:val="00F617CD"/>
    <w:rsid w:val="00F61A57"/>
    <w:rsid w:val="00F62E1F"/>
    <w:rsid w:val="00F6314D"/>
    <w:rsid w:val="00F63435"/>
    <w:rsid w:val="00F63447"/>
    <w:rsid w:val="00F6383A"/>
    <w:rsid w:val="00F6423A"/>
    <w:rsid w:val="00F646FE"/>
    <w:rsid w:val="00F647F0"/>
    <w:rsid w:val="00F65DB2"/>
    <w:rsid w:val="00F65F1E"/>
    <w:rsid w:val="00F70E32"/>
    <w:rsid w:val="00F72530"/>
    <w:rsid w:val="00F72873"/>
    <w:rsid w:val="00F7297B"/>
    <w:rsid w:val="00F72C43"/>
    <w:rsid w:val="00F734CF"/>
    <w:rsid w:val="00F734F0"/>
    <w:rsid w:val="00F737F6"/>
    <w:rsid w:val="00F73DA6"/>
    <w:rsid w:val="00F73DE4"/>
    <w:rsid w:val="00F73EB5"/>
    <w:rsid w:val="00F741AE"/>
    <w:rsid w:val="00F74EDE"/>
    <w:rsid w:val="00F75B2E"/>
    <w:rsid w:val="00F7660B"/>
    <w:rsid w:val="00F800EB"/>
    <w:rsid w:val="00F8294C"/>
    <w:rsid w:val="00F82EB3"/>
    <w:rsid w:val="00F83794"/>
    <w:rsid w:val="00F8386C"/>
    <w:rsid w:val="00F83982"/>
    <w:rsid w:val="00F83C82"/>
    <w:rsid w:val="00F8418D"/>
    <w:rsid w:val="00F84769"/>
    <w:rsid w:val="00F849A5"/>
    <w:rsid w:val="00F856D0"/>
    <w:rsid w:val="00F85DDE"/>
    <w:rsid w:val="00F867B1"/>
    <w:rsid w:val="00F86FA6"/>
    <w:rsid w:val="00F87938"/>
    <w:rsid w:val="00F912E1"/>
    <w:rsid w:val="00F91301"/>
    <w:rsid w:val="00F91420"/>
    <w:rsid w:val="00F9238F"/>
    <w:rsid w:val="00F92467"/>
    <w:rsid w:val="00F930F4"/>
    <w:rsid w:val="00F93BF1"/>
    <w:rsid w:val="00F94A07"/>
    <w:rsid w:val="00F95597"/>
    <w:rsid w:val="00F95A31"/>
    <w:rsid w:val="00F95C63"/>
    <w:rsid w:val="00F960F4"/>
    <w:rsid w:val="00F973BE"/>
    <w:rsid w:val="00F97848"/>
    <w:rsid w:val="00FA0B99"/>
    <w:rsid w:val="00FA2380"/>
    <w:rsid w:val="00FA278E"/>
    <w:rsid w:val="00FA2EB9"/>
    <w:rsid w:val="00FA3171"/>
    <w:rsid w:val="00FA5131"/>
    <w:rsid w:val="00FA597E"/>
    <w:rsid w:val="00FA5C6E"/>
    <w:rsid w:val="00FA6883"/>
    <w:rsid w:val="00FA7863"/>
    <w:rsid w:val="00FA7F24"/>
    <w:rsid w:val="00FB0C66"/>
    <w:rsid w:val="00FB0E25"/>
    <w:rsid w:val="00FB1451"/>
    <w:rsid w:val="00FB2144"/>
    <w:rsid w:val="00FB23D1"/>
    <w:rsid w:val="00FB4608"/>
    <w:rsid w:val="00FB4DEC"/>
    <w:rsid w:val="00FB6018"/>
    <w:rsid w:val="00FB78D8"/>
    <w:rsid w:val="00FC002D"/>
    <w:rsid w:val="00FC0069"/>
    <w:rsid w:val="00FC024B"/>
    <w:rsid w:val="00FC2803"/>
    <w:rsid w:val="00FC2B36"/>
    <w:rsid w:val="00FC39DF"/>
    <w:rsid w:val="00FC3DE5"/>
    <w:rsid w:val="00FC41E1"/>
    <w:rsid w:val="00FC44D7"/>
    <w:rsid w:val="00FC5104"/>
    <w:rsid w:val="00FC51E8"/>
    <w:rsid w:val="00FC5A79"/>
    <w:rsid w:val="00FC6F18"/>
    <w:rsid w:val="00FC7135"/>
    <w:rsid w:val="00FD1DDB"/>
    <w:rsid w:val="00FD2208"/>
    <w:rsid w:val="00FD2474"/>
    <w:rsid w:val="00FD2961"/>
    <w:rsid w:val="00FD44FA"/>
    <w:rsid w:val="00FD4F10"/>
    <w:rsid w:val="00FD508D"/>
    <w:rsid w:val="00FD5B64"/>
    <w:rsid w:val="00FD6B70"/>
    <w:rsid w:val="00FD6FE1"/>
    <w:rsid w:val="00FD7944"/>
    <w:rsid w:val="00FE0037"/>
    <w:rsid w:val="00FE06B0"/>
    <w:rsid w:val="00FE110F"/>
    <w:rsid w:val="00FE15D7"/>
    <w:rsid w:val="00FE20AE"/>
    <w:rsid w:val="00FE2C4A"/>
    <w:rsid w:val="00FE3B8B"/>
    <w:rsid w:val="00FE40A2"/>
    <w:rsid w:val="00FE426C"/>
    <w:rsid w:val="00FE4899"/>
    <w:rsid w:val="00FE4D34"/>
    <w:rsid w:val="00FE5081"/>
    <w:rsid w:val="00FE5E9A"/>
    <w:rsid w:val="00FE7092"/>
    <w:rsid w:val="00FE79E2"/>
    <w:rsid w:val="00FF2624"/>
    <w:rsid w:val="00FF27CD"/>
    <w:rsid w:val="00FF293F"/>
    <w:rsid w:val="00FF46CC"/>
    <w:rsid w:val="00FF57B2"/>
    <w:rsid w:val="00FF5E58"/>
    <w:rsid w:val="00FF6780"/>
    <w:rsid w:val="00FF7091"/>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2"/>
    </o:shapelayout>
  </w:shapeDefaults>
  <w:decimalSymbol w:val=","/>
  <w:listSeparator w:val=";"/>
  <w14:docId w14:val="29C4373A"/>
  <w15:chartTrackingRefBased/>
  <w15:docId w15:val="{0C9DBBFE-3E4E-42F2-AD39-AA98AEF7C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616DC"/>
  </w:style>
  <w:style w:type="paragraph" w:styleId="Nadpis1">
    <w:name w:val="heading 1"/>
    <w:basedOn w:val="Normln"/>
    <w:next w:val="Normln"/>
    <w:link w:val="Nadpis1Char"/>
    <w:uiPriority w:val="9"/>
    <w:qFormat/>
    <w:rsid w:val="00911445"/>
    <w:pPr>
      <w:keepNext/>
      <w:numPr>
        <w:numId w:val="1"/>
      </w:numPr>
      <w:overflowPunct w:val="0"/>
      <w:autoSpaceDE w:val="0"/>
      <w:autoSpaceDN w:val="0"/>
      <w:adjustRightInd w:val="0"/>
      <w:spacing w:before="480" w:after="120" w:line="240" w:lineRule="auto"/>
      <w:jc w:val="center"/>
      <w:textAlignment w:val="baseline"/>
      <w:outlineLvl w:val="0"/>
    </w:pPr>
    <w:rPr>
      <w:rFonts w:eastAsia="Times New Roman" w:cstheme="minorHAnsi"/>
      <w:b/>
      <w:color w:val="000000"/>
      <w:sz w:val="24"/>
      <w:szCs w:val="20"/>
      <w:lang w:eastAsia="cs-CZ"/>
    </w:rPr>
  </w:style>
  <w:style w:type="paragraph" w:styleId="Nadpis2">
    <w:name w:val="heading 2"/>
    <w:basedOn w:val="Normln"/>
    <w:next w:val="Normln"/>
    <w:link w:val="Nadpis2Char"/>
    <w:uiPriority w:val="9"/>
    <w:unhideWhenUsed/>
    <w:qFormat/>
    <w:rsid w:val="00F2080A"/>
    <w:pPr>
      <w:keepNext/>
      <w:keepLines/>
      <w:numPr>
        <w:numId w:val="3"/>
      </w:numPr>
      <w:spacing w:before="40" w:after="120"/>
      <w:jc w:val="both"/>
      <w:outlineLvl w:val="1"/>
    </w:pPr>
    <w:rPr>
      <w:rFonts w:eastAsiaTheme="majorEastAsia" w:cstheme="majorBidi"/>
      <w:b/>
      <w:sz w:val="24"/>
      <w:szCs w:val="26"/>
      <w:lang w:eastAsia="cs-CZ"/>
    </w:rPr>
  </w:style>
  <w:style w:type="paragraph" w:styleId="Nadpis3">
    <w:name w:val="heading 3"/>
    <w:basedOn w:val="Normln"/>
    <w:next w:val="Normln"/>
    <w:link w:val="Nadpis3Char"/>
    <w:uiPriority w:val="9"/>
    <w:unhideWhenUsed/>
    <w:qFormat/>
    <w:rsid w:val="001974B0"/>
    <w:pPr>
      <w:keepNext/>
      <w:keepLines/>
      <w:numPr>
        <w:ilvl w:val="1"/>
        <w:numId w:val="3"/>
      </w:numPr>
      <w:spacing w:before="40" w:after="120" w:line="240" w:lineRule="auto"/>
      <w:jc w:val="both"/>
      <w:outlineLvl w:val="2"/>
    </w:pPr>
    <w:rPr>
      <w:rFonts w:eastAsiaTheme="majorEastAsia" w:cstheme="majorBidi"/>
      <w:b/>
      <w:bCs/>
      <w:color w:val="000000"/>
      <w:sz w:val="24"/>
      <w:szCs w:val="24"/>
      <w:lang w:eastAsia="cs-CZ"/>
    </w:rPr>
  </w:style>
  <w:style w:type="paragraph" w:styleId="Nadpis4">
    <w:name w:val="heading 4"/>
    <w:basedOn w:val="Normln"/>
    <w:next w:val="Normln"/>
    <w:link w:val="Nadpis4Char"/>
    <w:uiPriority w:val="9"/>
    <w:unhideWhenUsed/>
    <w:qFormat/>
    <w:rsid w:val="00A1758E"/>
    <w:pPr>
      <w:keepNext/>
      <w:keepLines/>
      <w:spacing w:after="240" w:line="240" w:lineRule="auto"/>
      <w:ind w:left="862" w:hanging="862"/>
      <w:outlineLvl w:val="3"/>
    </w:pPr>
    <w:rPr>
      <w:rFonts w:eastAsiaTheme="majorEastAsia" w:cstheme="minorHAnsi"/>
      <w:b/>
      <w:iCs/>
      <w:color w:val="000000" w:themeColor="text1"/>
      <w:sz w:val="24"/>
      <w:szCs w:val="24"/>
    </w:rPr>
  </w:style>
  <w:style w:type="paragraph" w:styleId="Nadpis5">
    <w:name w:val="heading 5"/>
    <w:basedOn w:val="Normln"/>
    <w:next w:val="Normln"/>
    <w:link w:val="Nadpis5Char"/>
    <w:uiPriority w:val="9"/>
    <w:semiHidden/>
    <w:unhideWhenUsed/>
    <w:qFormat/>
    <w:rsid w:val="00911445"/>
    <w:pPr>
      <w:keepNext/>
      <w:keepLines/>
      <w:numPr>
        <w:ilvl w:val="4"/>
        <w:numId w:val="1"/>
      </w:numPr>
      <w:spacing w:before="40" w:after="0" w:line="240" w:lineRule="auto"/>
      <w:outlineLvl w:val="4"/>
    </w:pPr>
    <w:rPr>
      <w:rFonts w:asciiTheme="majorHAnsi" w:eastAsiaTheme="majorEastAsia" w:hAnsiTheme="majorHAnsi" w:cstheme="majorBidi"/>
      <w:color w:val="2E74B5" w:themeColor="accent1" w:themeShade="BF"/>
      <w:sz w:val="24"/>
      <w:szCs w:val="24"/>
    </w:rPr>
  </w:style>
  <w:style w:type="paragraph" w:styleId="Nadpis6">
    <w:name w:val="heading 6"/>
    <w:basedOn w:val="Normln"/>
    <w:next w:val="Normln"/>
    <w:link w:val="Nadpis6Char"/>
    <w:uiPriority w:val="9"/>
    <w:semiHidden/>
    <w:unhideWhenUsed/>
    <w:qFormat/>
    <w:rsid w:val="00911445"/>
    <w:pPr>
      <w:keepNext/>
      <w:keepLines/>
      <w:numPr>
        <w:ilvl w:val="5"/>
        <w:numId w:val="1"/>
      </w:numPr>
      <w:spacing w:before="40" w:after="0" w:line="240" w:lineRule="auto"/>
      <w:outlineLvl w:val="5"/>
    </w:pPr>
    <w:rPr>
      <w:rFonts w:asciiTheme="majorHAnsi" w:eastAsiaTheme="majorEastAsia" w:hAnsiTheme="majorHAnsi" w:cstheme="majorBidi"/>
      <w:color w:val="1F4D78" w:themeColor="accent1" w:themeShade="7F"/>
      <w:sz w:val="24"/>
      <w:szCs w:val="24"/>
    </w:rPr>
  </w:style>
  <w:style w:type="paragraph" w:styleId="Nadpis7">
    <w:name w:val="heading 7"/>
    <w:basedOn w:val="Normln"/>
    <w:next w:val="Normln"/>
    <w:link w:val="Nadpis7Char"/>
    <w:uiPriority w:val="9"/>
    <w:semiHidden/>
    <w:unhideWhenUsed/>
    <w:qFormat/>
    <w:rsid w:val="00911445"/>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 w:val="24"/>
      <w:szCs w:val="24"/>
    </w:rPr>
  </w:style>
  <w:style w:type="paragraph" w:styleId="Nadpis8">
    <w:name w:val="heading 8"/>
    <w:basedOn w:val="Normln"/>
    <w:next w:val="Normln"/>
    <w:link w:val="Nadpis8Char"/>
    <w:uiPriority w:val="9"/>
    <w:semiHidden/>
    <w:unhideWhenUsed/>
    <w:qFormat/>
    <w:rsid w:val="00911445"/>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911445"/>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11445"/>
    <w:rPr>
      <w:rFonts w:eastAsia="Times New Roman" w:cstheme="minorHAnsi"/>
      <w:b/>
      <w:color w:val="000000"/>
      <w:sz w:val="24"/>
      <w:szCs w:val="20"/>
      <w:lang w:eastAsia="cs-CZ"/>
    </w:rPr>
  </w:style>
  <w:style w:type="character" w:customStyle="1" w:styleId="Nadpis3Char">
    <w:name w:val="Nadpis 3 Char"/>
    <w:basedOn w:val="Standardnpsmoodstavce"/>
    <w:link w:val="Nadpis3"/>
    <w:uiPriority w:val="9"/>
    <w:rsid w:val="001974B0"/>
    <w:rPr>
      <w:rFonts w:eastAsiaTheme="majorEastAsia" w:cstheme="majorBidi"/>
      <w:b/>
      <w:bCs/>
      <w:color w:val="000000"/>
      <w:sz w:val="24"/>
      <w:szCs w:val="24"/>
      <w:lang w:eastAsia="cs-CZ"/>
    </w:rPr>
  </w:style>
  <w:style w:type="character" w:customStyle="1" w:styleId="Nadpis4Char">
    <w:name w:val="Nadpis 4 Char"/>
    <w:basedOn w:val="Standardnpsmoodstavce"/>
    <w:link w:val="Nadpis4"/>
    <w:uiPriority w:val="9"/>
    <w:rsid w:val="00A1758E"/>
    <w:rPr>
      <w:rFonts w:eastAsiaTheme="majorEastAsia" w:cstheme="minorHAnsi"/>
      <w:b/>
      <w:iCs/>
      <w:color w:val="000000" w:themeColor="text1"/>
      <w:sz w:val="24"/>
      <w:szCs w:val="24"/>
    </w:rPr>
  </w:style>
  <w:style w:type="character" w:customStyle="1" w:styleId="Nadpis5Char">
    <w:name w:val="Nadpis 5 Char"/>
    <w:basedOn w:val="Standardnpsmoodstavce"/>
    <w:link w:val="Nadpis5"/>
    <w:uiPriority w:val="9"/>
    <w:semiHidden/>
    <w:rsid w:val="00911445"/>
    <w:rPr>
      <w:rFonts w:asciiTheme="majorHAnsi" w:eastAsiaTheme="majorEastAsia" w:hAnsiTheme="majorHAnsi" w:cstheme="majorBidi"/>
      <w:color w:val="2E74B5" w:themeColor="accent1" w:themeShade="BF"/>
      <w:sz w:val="24"/>
      <w:szCs w:val="24"/>
    </w:rPr>
  </w:style>
  <w:style w:type="character" w:customStyle="1" w:styleId="Nadpis6Char">
    <w:name w:val="Nadpis 6 Char"/>
    <w:basedOn w:val="Standardnpsmoodstavce"/>
    <w:link w:val="Nadpis6"/>
    <w:uiPriority w:val="9"/>
    <w:semiHidden/>
    <w:rsid w:val="00911445"/>
    <w:rPr>
      <w:rFonts w:asciiTheme="majorHAnsi" w:eastAsiaTheme="majorEastAsia" w:hAnsiTheme="majorHAnsi" w:cstheme="majorBidi"/>
      <w:color w:val="1F4D78" w:themeColor="accent1" w:themeShade="7F"/>
      <w:sz w:val="24"/>
      <w:szCs w:val="24"/>
    </w:rPr>
  </w:style>
  <w:style w:type="character" w:customStyle="1" w:styleId="Nadpis7Char">
    <w:name w:val="Nadpis 7 Char"/>
    <w:basedOn w:val="Standardnpsmoodstavce"/>
    <w:link w:val="Nadpis7"/>
    <w:uiPriority w:val="9"/>
    <w:semiHidden/>
    <w:rsid w:val="00911445"/>
    <w:rPr>
      <w:rFonts w:asciiTheme="majorHAnsi" w:eastAsiaTheme="majorEastAsia" w:hAnsiTheme="majorHAnsi" w:cstheme="majorBidi"/>
      <w:i/>
      <w:iCs/>
      <w:color w:val="1F4D78" w:themeColor="accent1" w:themeShade="7F"/>
      <w:sz w:val="24"/>
      <w:szCs w:val="24"/>
    </w:rPr>
  </w:style>
  <w:style w:type="character" w:customStyle="1" w:styleId="Nadpis8Char">
    <w:name w:val="Nadpis 8 Char"/>
    <w:basedOn w:val="Standardnpsmoodstavce"/>
    <w:link w:val="Nadpis8"/>
    <w:uiPriority w:val="9"/>
    <w:semiHidden/>
    <w:rsid w:val="00911445"/>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911445"/>
    <w:rPr>
      <w:rFonts w:asciiTheme="majorHAnsi" w:eastAsiaTheme="majorEastAsia" w:hAnsiTheme="majorHAnsi" w:cstheme="majorBidi"/>
      <w:i/>
      <w:iCs/>
      <w:color w:val="272727" w:themeColor="text1" w:themeTint="D8"/>
      <w:sz w:val="21"/>
      <w:szCs w:val="21"/>
    </w:rPr>
  </w:style>
  <w:style w:type="paragraph" w:styleId="Textpoznpodarou">
    <w:name w:val="footnote text"/>
    <w:aliases w:val="Text pozn. pod čarou Char Char,Text pozn. pod čarou Char Char Char Char,Text pozn. pod čarou Char1,Text pozn. pod čarou Char1 Char Char,Text pozn. pod čarou Char1 Char Char Char Char,poznamky_pod_carou,studie-poznámka pod čarou,Char"/>
    <w:basedOn w:val="Normln"/>
    <w:link w:val="TextpoznpodarouChar"/>
    <w:uiPriority w:val="99"/>
    <w:unhideWhenUsed/>
    <w:qFormat/>
    <w:rsid w:val="004058E2"/>
    <w:pPr>
      <w:spacing w:after="0" w:line="240" w:lineRule="auto"/>
    </w:pPr>
    <w:rPr>
      <w:rFonts w:ascii="Times New Roman" w:eastAsia="Times New Roman" w:hAnsi="Times New Roman" w:cs="Times New Roman"/>
      <w:sz w:val="20"/>
      <w:szCs w:val="20"/>
    </w:rPr>
  </w:style>
  <w:style w:type="character" w:customStyle="1" w:styleId="TextpoznpodarouChar">
    <w:name w:val="Text pozn. pod čarou Char"/>
    <w:aliases w:val="Text pozn. pod čarou Char Char Char,Text pozn. pod čarou Char Char Char Char Char,Text pozn. pod čarou Char1 Char,Text pozn. pod čarou Char1 Char Char Char,Text pozn. pod čarou Char1 Char Char Char Char Char,Char Char"/>
    <w:basedOn w:val="Standardnpsmoodstavce"/>
    <w:link w:val="Textpoznpodarou"/>
    <w:uiPriority w:val="99"/>
    <w:qFormat/>
    <w:rsid w:val="004058E2"/>
    <w:rPr>
      <w:rFonts w:ascii="Times New Roman" w:eastAsia="Times New Roman" w:hAnsi="Times New Roman" w:cs="Times New Roman"/>
      <w:sz w:val="20"/>
      <w:szCs w:val="20"/>
    </w:rPr>
  </w:style>
  <w:style w:type="character" w:styleId="Znakapoznpodarou">
    <w:name w:val="footnote reference"/>
    <w:aliases w:val=" Char1,Char1,EN Footnote Reference,EN Footnote text,Exposant 3 Point,Footnote,Footnote Refernece,Footnote number,Footnote reference number,Footnote symbol,Fussnota,Nota,Ref,SUPERS,Times 10 Point,de nota al pie,note TESI,4_G,12 b."/>
    <w:basedOn w:val="Standardnpsmoodstavce"/>
    <w:link w:val="BVIfnrCharChar"/>
    <w:uiPriority w:val="99"/>
    <w:unhideWhenUsed/>
    <w:qFormat/>
    <w:rsid w:val="004058E2"/>
    <w:rPr>
      <w:vertAlign w:val="superscript"/>
    </w:rPr>
  </w:style>
  <w:style w:type="paragraph" w:customStyle="1" w:styleId="Odrka1">
    <w:name w:val="Odrážka 1"/>
    <w:basedOn w:val="Normln"/>
    <w:qFormat/>
    <w:rsid w:val="00647F54"/>
    <w:pPr>
      <w:numPr>
        <w:numId w:val="2"/>
      </w:numPr>
      <w:spacing w:after="120" w:line="240" w:lineRule="auto"/>
      <w:jc w:val="both"/>
    </w:pPr>
    <w:rPr>
      <w:rFonts w:ascii="Calibri" w:hAnsi="Calibri"/>
      <w:sz w:val="24"/>
    </w:rPr>
  </w:style>
  <w:style w:type="paragraph" w:styleId="Odstavecseseznamem">
    <w:name w:val="List Paragraph"/>
    <w:aliases w:val="Bullet List,Bullet Number,Conclusion de partie,FooterText,List Paragraph1,List Paragraph_0,NAKIT List Paragraph,Nad,Nadpis pro KZ,Název grafu,Odstavec_muj,Paragraphe de liste1,cp_Odstavec se seznamem,nad 1,numbered,odrážky,列出段落,Nad1"/>
    <w:basedOn w:val="Normln"/>
    <w:link w:val="OdstavecseseznamemChar"/>
    <w:uiPriority w:val="34"/>
    <w:qFormat/>
    <w:rsid w:val="00647F54"/>
    <w:pPr>
      <w:ind w:left="720"/>
      <w:contextualSpacing/>
    </w:pPr>
  </w:style>
  <w:style w:type="paragraph" w:styleId="Textbubliny">
    <w:name w:val="Balloon Text"/>
    <w:basedOn w:val="Normln"/>
    <w:link w:val="TextbublinyChar"/>
    <w:uiPriority w:val="99"/>
    <w:semiHidden/>
    <w:unhideWhenUsed/>
    <w:rsid w:val="008A5DC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A5DC6"/>
    <w:rPr>
      <w:rFonts w:ascii="Segoe UI" w:hAnsi="Segoe UI" w:cs="Segoe UI"/>
      <w:sz w:val="18"/>
      <w:szCs w:val="18"/>
    </w:rPr>
  </w:style>
  <w:style w:type="paragraph" w:styleId="Zhlav">
    <w:name w:val="header"/>
    <w:basedOn w:val="Normln"/>
    <w:link w:val="ZhlavChar"/>
    <w:uiPriority w:val="99"/>
    <w:unhideWhenUsed/>
    <w:rsid w:val="00755FB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55FBD"/>
  </w:style>
  <w:style w:type="paragraph" w:styleId="Zpat">
    <w:name w:val="footer"/>
    <w:basedOn w:val="Normln"/>
    <w:link w:val="ZpatChar"/>
    <w:uiPriority w:val="99"/>
    <w:unhideWhenUsed/>
    <w:rsid w:val="00755FBD"/>
    <w:pPr>
      <w:tabs>
        <w:tab w:val="center" w:pos="4536"/>
        <w:tab w:val="right" w:pos="9072"/>
      </w:tabs>
      <w:spacing w:after="0" w:line="240" w:lineRule="auto"/>
    </w:pPr>
  </w:style>
  <w:style w:type="character" w:customStyle="1" w:styleId="ZpatChar">
    <w:name w:val="Zápatí Char"/>
    <w:basedOn w:val="Standardnpsmoodstavce"/>
    <w:link w:val="Zpat"/>
    <w:uiPriority w:val="99"/>
    <w:rsid w:val="00755FBD"/>
  </w:style>
  <w:style w:type="paragraph" w:styleId="Normlnweb">
    <w:name w:val="Normal (Web)"/>
    <w:basedOn w:val="Normln"/>
    <w:uiPriority w:val="99"/>
    <w:unhideWhenUsed/>
    <w:rsid w:val="00731EB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kladntext">
    <w:name w:val="Základní text_"/>
    <w:basedOn w:val="Standardnpsmoodstavce"/>
    <w:link w:val="Zkladntext1"/>
    <w:rsid w:val="00C9542C"/>
    <w:rPr>
      <w:rFonts w:ascii="Calibri" w:eastAsia="Calibri" w:hAnsi="Calibri" w:cs="Calibri"/>
      <w:sz w:val="24"/>
      <w:szCs w:val="24"/>
      <w:shd w:val="clear" w:color="auto" w:fill="FFFFFF"/>
    </w:rPr>
  </w:style>
  <w:style w:type="paragraph" w:customStyle="1" w:styleId="Zkladntext1">
    <w:name w:val="Základní text1"/>
    <w:basedOn w:val="Normln"/>
    <w:link w:val="Zkladntext"/>
    <w:rsid w:val="00C9542C"/>
    <w:pPr>
      <w:widowControl w:val="0"/>
      <w:shd w:val="clear" w:color="auto" w:fill="FFFFFF"/>
      <w:spacing w:after="100" w:line="240" w:lineRule="auto"/>
      <w:jc w:val="both"/>
    </w:pPr>
    <w:rPr>
      <w:rFonts w:ascii="Calibri" w:eastAsia="Calibri" w:hAnsi="Calibri" w:cs="Calibri"/>
      <w:sz w:val="24"/>
      <w:szCs w:val="24"/>
    </w:rPr>
  </w:style>
  <w:style w:type="character" w:customStyle="1" w:styleId="Zkladntext4">
    <w:name w:val="Základní text (4)_"/>
    <w:basedOn w:val="Standardnpsmoodstavce"/>
    <w:link w:val="Zkladntext40"/>
    <w:rsid w:val="00266DE2"/>
    <w:rPr>
      <w:rFonts w:ascii="Times New Roman" w:eastAsia="Times New Roman" w:hAnsi="Times New Roman" w:cs="Times New Roman"/>
      <w:color w:val="403871"/>
      <w:sz w:val="92"/>
      <w:szCs w:val="92"/>
      <w:shd w:val="clear" w:color="auto" w:fill="FFFFFF"/>
    </w:rPr>
  </w:style>
  <w:style w:type="paragraph" w:customStyle="1" w:styleId="Zkladntext40">
    <w:name w:val="Základní text (4)"/>
    <w:basedOn w:val="Normln"/>
    <w:link w:val="Zkladntext4"/>
    <w:rsid w:val="00266DE2"/>
    <w:pPr>
      <w:widowControl w:val="0"/>
      <w:shd w:val="clear" w:color="auto" w:fill="FFFFFF"/>
      <w:spacing w:after="0" w:line="240" w:lineRule="auto"/>
    </w:pPr>
    <w:rPr>
      <w:rFonts w:ascii="Times New Roman" w:eastAsia="Times New Roman" w:hAnsi="Times New Roman" w:cs="Times New Roman"/>
      <w:color w:val="403871"/>
      <w:sz w:val="92"/>
      <w:szCs w:val="92"/>
    </w:rPr>
  </w:style>
  <w:style w:type="character" w:styleId="Odkaznakoment">
    <w:name w:val="annotation reference"/>
    <w:basedOn w:val="Standardnpsmoodstavce"/>
    <w:uiPriority w:val="99"/>
    <w:semiHidden/>
    <w:unhideWhenUsed/>
    <w:rsid w:val="00227A6B"/>
    <w:rPr>
      <w:sz w:val="16"/>
      <w:szCs w:val="16"/>
    </w:rPr>
  </w:style>
  <w:style w:type="paragraph" w:styleId="Textkomente">
    <w:name w:val="annotation text"/>
    <w:basedOn w:val="Normln"/>
    <w:link w:val="TextkomenteChar"/>
    <w:uiPriority w:val="99"/>
    <w:unhideWhenUsed/>
    <w:rsid w:val="00227A6B"/>
    <w:pPr>
      <w:spacing w:line="240" w:lineRule="auto"/>
    </w:pPr>
    <w:rPr>
      <w:sz w:val="20"/>
      <w:szCs w:val="20"/>
    </w:rPr>
  </w:style>
  <w:style w:type="character" w:customStyle="1" w:styleId="TextkomenteChar">
    <w:name w:val="Text komentáře Char"/>
    <w:basedOn w:val="Standardnpsmoodstavce"/>
    <w:link w:val="Textkomente"/>
    <w:uiPriority w:val="99"/>
    <w:rsid w:val="00227A6B"/>
    <w:rPr>
      <w:sz w:val="20"/>
      <w:szCs w:val="20"/>
    </w:rPr>
  </w:style>
  <w:style w:type="paragraph" w:styleId="Pedmtkomente">
    <w:name w:val="annotation subject"/>
    <w:basedOn w:val="Textkomente"/>
    <w:next w:val="Textkomente"/>
    <w:link w:val="PedmtkomenteChar"/>
    <w:uiPriority w:val="99"/>
    <w:semiHidden/>
    <w:unhideWhenUsed/>
    <w:rsid w:val="00227A6B"/>
    <w:rPr>
      <w:b/>
      <w:bCs/>
    </w:rPr>
  </w:style>
  <w:style w:type="character" w:customStyle="1" w:styleId="PedmtkomenteChar">
    <w:name w:val="Předmět komentáře Char"/>
    <w:basedOn w:val="TextkomenteChar"/>
    <w:link w:val="Pedmtkomente"/>
    <w:uiPriority w:val="99"/>
    <w:semiHidden/>
    <w:rsid w:val="00227A6B"/>
    <w:rPr>
      <w:b/>
      <w:bCs/>
      <w:sz w:val="20"/>
      <w:szCs w:val="20"/>
    </w:rPr>
  </w:style>
  <w:style w:type="character" w:customStyle="1" w:styleId="OdstavecseseznamemChar">
    <w:name w:val="Odstavec se seznamem Char"/>
    <w:aliases w:val="Bullet List Char,Bullet Number Char,Conclusion de partie Char,FooterText Char,List Paragraph1 Char,List Paragraph_0 Char,NAKIT List Paragraph Char,Nad Char,Nadpis pro KZ Char,Název grafu Char,Odstavec_muj Char,nad 1 Char"/>
    <w:link w:val="Odstavecseseznamem"/>
    <w:uiPriority w:val="34"/>
    <w:qFormat/>
    <w:rsid w:val="00BC1D34"/>
  </w:style>
  <w:style w:type="table" w:styleId="Mkatabulky">
    <w:name w:val="Table Grid"/>
    <w:basedOn w:val="Normlntabulka"/>
    <w:uiPriority w:val="39"/>
    <w:rsid w:val="00B53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iPriority w:val="35"/>
    <w:unhideWhenUsed/>
    <w:qFormat/>
    <w:rsid w:val="00F97848"/>
    <w:pPr>
      <w:spacing w:after="200" w:line="240" w:lineRule="auto"/>
    </w:pPr>
    <w:rPr>
      <w:i/>
      <w:iCs/>
      <w:color w:val="44546A" w:themeColor="text2"/>
      <w:sz w:val="18"/>
      <w:szCs w:val="18"/>
    </w:rPr>
  </w:style>
  <w:style w:type="character" w:customStyle="1" w:styleId="Nadpis2Char">
    <w:name w:val="Nadpis 2 Char"/>
    <w:basedOn w:val="Standardnpsmoodstavce"/>
    <w:link w:val="Nadpis2"/>
    <w:uiPriority w:val="9"/>
    <w:rsid w:val="00F2080A"/>
    <w:rPr>
      <w:rFonts w:eastAsiaTheme="majorEastAsia" w:cstheme="majorBidi"/>
      <w:b/>
      <w:sz w:val="24"/>
      <w:szCs w:val="26"/>
      <w:lang w:eastAsia="cs-CZ"/>
    </w:rPr>
  </w:style>
  <w:style w:type="character" w:styleId="Hypertextovodkaz">
    <w:name w:val="Hyperlink"/>
    <w:basedOn w:val="Standardnpsmoodstavce"/>
    <w:uiPriority w:val="99"/>
    <w:unhideWhenUsed/>
    <w:rsid w:val="002919E8"/>
    <w:rPr>
      <w:color w:val="0563C1" w:themeColor="hyperlink"/>
      <w:u w:val="single"/>
    </w:rPr>
  </w:style>
  <w:style w:type="character" w:styleId="Nevyeenzmnka">
    <w:name w:val="Unresolved Mention"/>
    <w:basedOn w:val="Standardnpsmoodstavce"/>
    <w:uiPriority w:val="99"/>
    <w:semiHidden/>
    <w:unhideWhenUsed/>
    <w:rsid w:val="002919E8"/>
    <w:rPr>
      <w:color w:val="605E5C"/>
      <w:shd w:val="clear" w:color="auto" w:fill="E1DFDD"/>
    </w:rPr>
  </w:style>
  <w:style w:type="paragraph" w:customStyle="1" w:styleId="Tabulka">
    <w:name w:val="Tabulka č."/>
    <w:basedOn w:val="Normln"/>
    <w:link w:val="TabulkaChar"/>
    <w:autoRedefine/>
    <w:qFormat/>
    <w:rsid w:val="00D91FFC"/>
    <w:pPr>
      <w:keepNext/>
      <w:spacing w:after="40" w:line="240" w:lineRule="auto"/>
      <w:ind w:left="1418" w:hanging="1418"/>
      <w:jc w:val="both"/>
    </w:pPr>
    <w:rPr>
      <w:rFonts w:ascii="Calibri" w:eastAsia="Calibri" w:hAnsi="Calibri"/>
      <w:b/>
      <w:sz w:val="24"/>
      <w:szCs w:val="24"/>
    </w:rPr>
  </w:style>
  <w:style w:type="character" w:customStyle="1" w:styleId="TabulkaChar">
    <w:name w:val="Tabulka č. Char"/>
    <w:basedOn w:val="Standardnpsmoodstavce"/>
    <w:link w:val="Tabulka"/>
    <w:rsid w:val="00D91FFC"/>
    <w:rPr>
      <w:rFonts w:ascii="Calibri" w:eastAsia="Calibri" w:hAnsi="Calibri"/>
      <w:b/>
      <w:sz w:val="24"/>
      <w:szCs w:val="24"/>
    </w:rPr>
  </w:style>
  <w:style w:type="paragraph" w:customStyle="1" w:styleId="BVIfnrCharChar">
    <w:name w:val="BVI fnr Char Char"/>
    <w:aliases w:val="Char1 Char Char,Exposant 3 Point Char Char,Footnote Char Char,Footnote reference number Char Char,Footnote symbol Char Char,Ref Char Char,Times 10 Point Char Char,de nota al pie Char Char"/>
    <w:basedOn w:val="Normln"/>
    <w:link w:val="Znakapoznpodarou"/>
    <w:uiPriority w:val="99"/>
    <w:rsid w:val="00662358"/>
    <w:pPr>
      <w:spacing w:line="240" w:lineRule="exact"/>
      <w:jc w:val="both"/>
    </w:pPr>
    <w:rPr>
      <w:vertAlign w:val="superscript"/>
    </w:rPr>
  </w:style>
  <w:style w:type="character" w:customStyle="1" w:styleId="A1">
    <w:name w:val="A1"/>
    <w:uiPriority w:val="99"/>
    <w:rsid w:val="00662358"/>
    <w:rPr>
      <w:color w:val="000000"/>
      <w:sz w:val="28"/>
      <w:szCs w:val="28"/>
    </w:rPr>
  </w:style>
  <w:style w:type="character" w:styleId="Siln">
    <w:name w:val="Strong"/>
    <w:basedOn w:val="Standardnpsmoodstavce"/>
    <w:uiPriority w:val="22"/>
    <w:qFormat/>
    <w:rsid w:val="001E6A85"/>
    <w:rPr>
      <w:b/>
      <w:bCs/>
    </w:rPr>
  </w:style>
  <w:style w:type="character" w:customStyle="1" w:styleId="A3">
    <w:name w:val="A3"/>
    <w:uiPriority w:val="99"/>
    <w:rsid w:val="00D0088E"/>
    <w:rPr>
      <w:color w:val="000000"/>
      <w:sz w:val="16"/>
      <w:szCs w:val="16"/>
    </w:rPr>
  </w:style>
  <w:style w:type="paragraph" w:customStyle="1" w:styleId="NadpisKZ">
    <w:name w:val="Nadpis KZ"/>
    <w:basedOn w:val="Nadpis1"/>
    <w:next w:val="Normln"/>
    <w:link w:val="NadpisKZChar"/>
    <w:qFormat/>
    <w:rsid w:val="00115967"/>
    <w:pPr>
      <w:numPr>
        <w:numId w:val="4"/>
      </w:numPr>
      <w:tabs>
        <w:tab w:val="left" w:pos="360"/>
      </w:tabs>
      <w:spacing w:before="0"/>
      <w:jc w:val="both"/>
    </w:pPr>
    <w:rPr>
      <w:szCs w:val="24"/>
    </w:rPr>
  </w:style>
  <w:style w:type="table" w:customStyle="1" w:styleId="Mkatabulky1">
    <w:name w:val="Mřížka tabulky1"/>
    <w:basedOn w:val="Normlntabulka"/>
    <w:next w:val="Mkatabulky"/>
    <w:uiPriority w:val="39"/>
    <w:rsid w:val="00790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KZChar">
    <w:name w:val="Nadpis KZ Char"/>
    <w:basedOn w:val="OdstavecseseznamemChar"/>
    <w:link w:val="NadpisKZ"/>
    <w:rsid w:val="00115967"/>
    <w:rPr>
      <w:rFonts w:eastAsia="Times New Roman" w:cstheme="minorHAnsi"/>
      <w:b/>
      <w:color w:val="000000"/>
      <w:sz w:val="24"/>
      <w:szCs w:val="24"/>
      <w:lang w:eastAsia="cs-CZ"/>
    </w:rPr>
  </w:style>
  <w:style w:type="paragraph" w:customStyle="1" w:styleId="text">
    <w:name w:val="text"/>
    <w:basedOn w:val="Normln"/>
    <w:uiPriority w:val="99"/>
    <w:rsid w:val="00790A01"/>
    <w:pPr>
      <w:spacing w:before="120" w:after="0" w:line="240" w:lineRule="auto"/>
      <w:ind w:firstLine="357"/>
      <w:jc w:val="both"/>
    </w:pPr>
    <w:rPr>
      <w:rFonts w:ascii="Times New Roman" w:eastAsia="Times New Roman" w:hAnsi="Times New Roman" w:cs="Times New Roman"/>
      <w:noProof/>
      <w:sz w:val="24"/>
      <w:szCs w:val="24"/>
      <w:lang w:eastAsia="cs-CZ"/>
    </w:rPr>
  </w:style>
  <w:style w:type="paragraph" w:customStyle="1" w:styleId="Default">
    <w:name w:val="Default"/>
    <w:rsid w:val="000F029A"/>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Bezmezer">
    <w:name w:val="No Spacing"/>
    <w:uiPriority w:val="1"/>
    <w:qFormat/>
    <w:rsid w:val="00237A56"/>
    <w:pPr>
      <w:spacing w:after="0" w:line="240" w:lineRule="auto"/>
    </w:pPr>
  </w:style>
  <w:style w:type="paragraph" w:styleId="Revize">
    <w:name w:val="Revision"/>
    <w:hidden/>
    <w:uiPriority w:val="99"/>
    <w:semiHidden/>
    <w:rsid w:val="004E73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3894">
      <w:bodyDiv w:val="1"/>
      <w:marLeft w:val="0"/>
      <w:marRight w:val="0"/>
      <w:marTop w:val="0"/>
      <w:marBottom w:val="0"/>
      <w:divBdr>
        <w:top w:val="none" w:sz="0" w:space="0" w:color="auto"/>
        <w:left w:val="none" w:sz="0" w:space="0" w:color="auto"/>
        <w:bottom w:val="none" w:sz="0" w:space="0" w:color="auto"/>
        <w:right w:val="none" w:sz="0" w:space="0" w:color="auto"/>
      </w:divBdr>
    </w:div>
    <w:div w:id="13849231">
      <w:bodyDiv w:val="1"/>
      <w:marLeft w:val="0"/>
      <w:marRight w:val="0"/>
      <w:marTop w:val="0"/>
      <w:marBottom w:val="0"/>
      <w:divBdr>
        <w:top w:val="none" w:sz="0" w:space="0" w:color="auto"/>
        <w:left w:val="none" w:sz="0" w:space="0" w:color="auto"/>
        <w:bottom w:val="none" w:sz="0" w:space="0" w:color="auto"/>
        <w:right w:val="none" w:sz="0" w:space="0" w:color="auto"/>
      </w:divBdr>
    </w:div>
    <w:div w:id="25369336">
      <w:bodyDiv w:val="1"/>
      <w:marLeft w:val="0"/>
      <w:marRight w:val="0"/>
      <w:marTop w:val="0"/>
      <w:marBottom w:val="0"/>
      <w:divBdr>
        <w:top w:val="none" w:sz="0" w:space="0" w:color="auto"/>
        <w:left w:val="none" w:sz="0" w:space="0" w:color="auto"/>
        <w:bottom w:val="none" w:sz="0" w:space="0" w:color="auto"/>
        <w:right w:val="none" w:sz="0" w:space="0" w:color="auto"/>
      </w:divBdr>
    </w:div>
    <w:div w:id="48192436">
      <w:bodyDiv w:val="1"/>
      <w:marLeft w:val="0"/>
      <w:marRight w:val="0"/>
      <w:marTop w:val="0"/>
      <w:marBottom w:val="0"/>
      <w:divBdr>
        <w:top w:val="none" w:sz="0" w:space="0" w:color="auto"/>
        <w:left w:val="none" w:sz="0" w:space="0" w:color="auto"/>
        <w:bottom w:val="none" w:sz="0" w:space="0" w:color="auto"/>
        <w:right w:val="none" w:sz="0" w:space="0" w:color="auto"/>
      </w:divBdr>
    </w:div>
    <w:div w:id="92016391">
      <w:bodyDiv w:val="1"/>
      <w:marLeft w:val="0"/>
      <w:marRight w:val="0"/>
      <w:marTop w:val="0"/>
      <w:marBottom w:val="0"/>
      <w:divBdr>
        <w:top w:val="none" w:sz="0" w:space="0" w:color="auto"/>
        <w:left w:val="none" w:sz="0" w:space="0" w:color="auto"/>
        <w:bottom w:val="none" w:sz="0" w:space="0" w:color="auto"/>
        <w:right w:val="none" w:sz="0" w:space="0" w:color="auto"/>
      </w:divBdr>
    </w:div>
    <w:div w:id="92820275">
      <w:bodyDiv w:val="1"/>
      <w:marLeft w:val="0"/>
      <w:marRight w:val="0"/>
      <w:marTop w:val="0"/>
      <w:marBottom w:val="0"/>
      <w:divBdr>
        <w:top w:val="none" w:sz="0" w:space="0" w:color="auto"/>
        <w:left w:val="none" w:sz="0" w:space="0" w:color="auto"/>
        <w:bottom w:val="none" w:sz="0" w:space="0" w:color="auto"/>
        <w:right w:val="none" w:sz="0" w:space="0" w:color="auto"/>
      </w:divBdr>
    </w:div>
    <w:div w:id="96290889">
      <w:bodyDiv w:val="1"/>
      <w:marLeft w:val="0"/>
      <w:marRight w:val="0"/>
      <w:marTop w:val="0"/>
      <w:marBottom w:val="0"/>
      <w:divBdr>
        <w:top w:val="none" w:sz="0" w:space="0" w:color="auto"/>
        <w:left w:val="none" w:sz="0" w:space="0" w:color="auto"/>
        <w:bottom w:val="none" w:sz="0" w:space="0" w:color="auto"/>
        <w:right w:val="none" w:sz="0" w:space="0" w:color="auto"/>
      </w:divBdr>
    </w:div>
    <w:div w:id="148836656">
      <w:bodyDiv w:val="1"/>
      <w:marLeft w:val="0"/>
      <w:marRight w:val="0"/>
      <w:marTop w:val="0"/>
      <w:marBottom w:val="0"/>
      <w:divBdr>
        <w:top w:val="none" w:sz="0" w:space="0" w:color="auto"/>
        <w:left w:val="none" w:sz="0" w:space="0" w:color="auto"/>
        <w:bottom w:val="none" w:sz="0" w:space="0" w:color="auto"/>
        <w:right w:val="none" w:sz="0" w:space="0" w:color="auto"/>
      </w:divBdr>
    </w:div>
    <w:div w:id="187908960">
      <w:bodyDiv w:val="1"/>
      <w:marLeft w:val="0"/>
      <w:marRight w:val="0"/>
      <w:marTop w:val="0"/>
      <w:marBottom w:val="0"/>
      <w:divBdr>
        <w:top w:val="none" w:sz="0" w:space="0" w:color="auto"/>
        <w:left w:val="none" w:sz="0" w:space="0" w:color="auto"/>
        <w:bottom w:val="none" w:sz="0" w:space="0" w:color="auto"/>
        <w:right w:val="none" w:sz="0" w:space="0" w:color="auto"/>
      </w:divBdr>
    </w:div>
    <w:div w:id="192811221">
      <w:bodyDiv w:val="1"/>
      <w:marLeft w:val="0"/>
      <w:marRight w:val="0"/>
      <w:marTop w:val="0"/>
      <w:marBottom w:val="0"/>
      <w:divBdr>
        <w:top w:val="none" w:sz="0" w:space="0" w:color="auto"/>
        <w:left w:val="none" w:sz="0" w:space="0" w:color="auto"/>
        <w:bottom w:val="none" w:sz="0" w:space="0" w:color="auto"/>
        <w:right w:val="none" w:sz="0" w:space="0" w:color="auto"/>
      </w:divBdr>
    </w:div>
    <w:div w:id="207305755">
      <w:bodyDiv w:val="1"/>
      <w:marLeft w:val="0"/>
      <w:marRight w:val="0"/>
      <w:marTop w:val="0"/>
      <w:marBottom w:val="0"/>
      <w:divBdr>
        <w:top w:val="none" w:sz="0" w:space="0" w:color="auto"/>
        <w:left w:val="none" w:sz="0" w:space="0" w:color="auto"/>
        <w:bottom w:val="none" w:sz="0" w:space="0" w:color="auto"/>
        <w:right w:val="none" w:sz="0" w:space="0" w:color="auto"/>
      </w:divBdr>
    </w:div>
    <w:div w:id="208424185">
      <w:bodyDiv w:val="1"/>
      <w:marLeft w:val="0"/>
      <w:marRight w:val="0"/>
      <w:marTop w:val="0"/>
      <w:marBottom w:val="0"/>
      <w:divBdr>
        <w:top w:val="none" w:sz="0" w:space="0" w:color="auto"/>
        <w:left w:val="none" w:sz="0" w:space="0" w:color="auto"/>
        <w:bottom w:val="none" w:sz="0" w:space="0" w:color="auto"/>
        <w:right w:val="none" w:sz="0" w:space="0" w:color="auto"/>
      </w:divBdr>
    </w:div>
    <w:div w:id="210271305">
      <w:bodyDiv w:val="1"/>
      <w:marLeft w:val="0"/>
      <w:marRight w:val="0"/>
      <w:marTop w:val="0"/>
      <w:marBottom w:val="0"/>
      <w:divBdr>
        <w:top w:val="none" w:sz="0" w:space="0" w:color="auto"/>
        <w:left w:val="none" w:sz="0" w:space="0" w:color="auto"/>
        <w:bottom w:val="none" w:sz="0" w:space="0" w:color="auto"/>
        <w:right w:val="none" w:sz="0" w:space="0" w:color="auto"/>
      </w:divBdr>
    </w:div>
    <w:div w:id="232357639">
      <w:bodyDiv w:val="1"/>
      <w:marLeft w:val="0"/>
      <w:marRight w:val="0"/>
      <w:marTop w:val="0"/>
      <w:marBottom w:val="0"/>
      <w:divBdr>
        <w:top w:val="none" w:sz="0" w:space="0" w:color="auto"/>
        <w:left w:val="none" w:sz="0" w:space="0" w:color="auto"/>
        <w:bottom w:val="none" w:sz="0" w:space="0" w:color="auto"/>
        <w:right w:val="none" w:sz="0" w:space="0" w:color="auto"/>
      </w:divBdr>
    </w:div>
    <w:div w:id="233010104">
      <w:bodyDiv w:val="1"/>
      <w:marLeft w:val="0"/>
      <w:marRight w:val="0"/>
      <w:marTop w:val="0"/>
      <w:marBottom w:val="0"/>
      <w:divBdr>
        <w:top w:val="none" w:sz="0" w:space="0" w:color="auto"/>
        <w:left w:val="none" w:sz="0" w:space="0" w:color="auto"/>
        <w:bottom w:val="none" w:sz="0" w:space="0" w:color="auto"/>
        <w:right w:val="none" w:sz="0" w:space="0" w:color="auto"/>
      </w:divBdr>
    </w:div>
    <w:div w:id="234514776">
      <w:bodyDiv w:val="1"/>
      <w:marLeft w:val="0"/>
      <w:marRight w:val="0"/>
      <w:marTop w:val="0"/>
      <w:marBottom w:val="0"/>
      <w:divBdr>
        <w:top w:val="none" w:sz="0" w:space="0" w:color="auto"/>
        <w:left w:val="none" w:sz="0" w:space="0" w:color="auto"/>
        <w:bottom w:val="none" w:sz="0" w:space="0" w:color="auto"/>
        <w:right w:val="none" w:sz="0" w:space="0" w:color="auto"/>
      </w:divBdr>
    </w:div>
    <w:div w:id="265426265">
      <w:bodyDiv w:val="1"/>
      <w:marLeft w:val="0"/>
      <w:marRight w:val="0"/>
      <w:marTop w:val="0"/>
      <w:marBottom w:val="0"/>
      <w:divBdr>
        <w:top w:val="none" w:sz="0" w:space="0" w:color="auto"/>
        <w:left w:val="none" w:sz="0" w:space="0" w:color="auto"/>
        <w:bottom w:val="none" w:sz="0" w:space="0" w:color="auto"/>
        <w:right w:val="none" w:sz="0" w:space="0" w:color="auto"/>
      </w:divBdr>
    </w:div>
    <w:div w:id="323749225">
      <w:bodyDiv w:val="1"/>
      <w:marLeft w:val="0"/>
      <w:marRight w:val="0"/>
      <w:marTop w:val="0"/>
      <w:marBottom w:val="0"/>
      <w:divBdr>
        <w:top w:val="none" w:sz="0" w:space="0" w:color="auto"/>
        <w:left w:val="none" w:sz="0" w:space="0" w:color="auto"/>
        <w:bottom w:val="none" w:sz="0" w:space="0" w:color="auto"/>
        <w:right w:val="none" w:sz="0" w:space="0" w:color="auto"/>
      </w:divBdr>
    </w:div>
    <w:div w:id="335957734">
      <w:bodyDiv w:val="1"/>
      <w:marLeft w:val="0"/>
      <w:marRight w:val="0"/>
      <w:marTop w:val="0"/>
      <w:marBottom w:val="0"/>
      <w:divBdr>
        <w:top w:val="none" w:sz="0" w:space="0" w:color="auto"/>
        <w:left w:val="none" w:sz="0" w:space="0" w:color="auto"/>
        <w:bottom w:val="none" w:sz="0" w:space="0" w:color="auto"/>
        <w:right w:val="none" w:sz="0" w:space="0" w:color="auto"/>
      </w:divBdr>
    </w:div>
    <w:div w:id="383798102">
      <w:bodyDiv w:val="1"/>
      <w:marLeft w:val="0"/>
      <w:marRight w:val="0"/>
      <w:marTop w:val="0"/>
      <w:marBottom w:val="0"/>
      <w:divBdr>
        <w:top w:val="none" w:sz="0" w:space="0" w:color="auto"/>
        <w:left w:val="none" w:sz="0" w:space="0" w:color="auto"/>
        <w:bottom w:val="none" w:sz="0" w:space="0" w:color="auto"/>
        <w:right w:val="none" w:sz="0" w:space="0" w:color="auto"/>
      </w:divBdr>
    </w:div>
    <w:div w:id="405687686">
      <w:bodyDiv w:val="1"/>
      <w:marLeft w:val="0"/>
      <w:marRight w:val="0"/>
      <w:marTop w:val="0"/>
      <w:marBottom w:val="0"/>
      <w:divBdr>
        <w:top w:val="none" w:sz="0" w:space="0" w:color="auto"/>
        <w:left w:val="none" w:sz="0" w:space="0" w:color="auto"/>
        <w:bottom w:val="none" w:sz="0" w:space="0" w:color="auto"/>
        <w:right w:val="none" w:sz="0" w:space="0" w:color="auto"/>
      </w:divBdr>
    </w:div>
    <w:div w:id="419301507">
      <w:bodyDiv w:val="1"/>
      <w:marLeft w:val="0"/>
      <w:marRight w:val="0"/>
      <w:marTop w:val="0"/>
      <w:marBottom w:val="0"/>
      <w:divBdr>
        <w:top w:val="none" w:sz="0" w:space="0" w:color="auto"/>
        <w:left w:val="none" w:sz="0" w:space="0" w:color="auto"/>
        <w:bottom w:val="none" w:sz="0" w:space="0" w:color="auto"/>
        <w:right w:val="none" w:sz="0" w:space="0" w:color="auto"/>
      </w:divBdr>
    </w:div>
    <w:div w:id="428046141">
      <w:bodyDiv w:val="1"/>
      <w:marLeft w:val="0"/>
      <w:marRight w:val="0"/>
      <w:marTop w:val="0"/>
      <w:marBottom w:val="0"/>
      <w:divBdr>
        <w:top w:val="none" w:sz="0" w:space="0" w:color="auto"/>
        <w:left w:val="none" w:sz="0" w:space="0" w:color="auto"/>
        <w:bottom w:val="none" w:sz="0" w:space="0" w:color="auto"/>
        <w:right w:val="none" w:sz="0" w:space="0" w:color="auto"/>
      </w:divBdr>
    </w:div>
    <w:div w:id="456216926">
      <w:bodyDiv w:val="1"/>
      <w:marLeft w:val="0"/>
      <w:marRight w:val="0"/>
      <w:marTop w:val="0"/>
      <w:marBottom w:val="0"/>
      <w:divBdr>
        <w:top w:val="none" w:sz="0" w:space="0" w:color="auto"/>
        <w:left w:val="none" w:sz="0" w:space="0" w:color="auto"/>
        <w:bottom w:val="none" w:sz="0" w:space="0" w:color="auto"/>
        <w:right w:val="none" w:sz="0" w:space="0" w:color="auto"/>
      </w:divBdr>
    </w:div>
    <w:div w:id="466238504">
      <w:bodyDiv w:val="1"/>
      <w:marLeft w:val="0"/>
      <w:marRight w:val="0"/>
      <w:marTop w:val="0"/>
      <w:marBottom w:val="0"/>
      <w:divBdr>
        <w:top w:val="none" w:sz="0" w:space="0" w:color="auto"/>
        <w:left w:val="none" w:sz="0" w:space="0" w:color="auto"/>
        <w:bottom w:val="none" w:sz="0" w:space="0" w:color="auto"/>
        <w:right w:val="none" w:sz="0" w:space="0" w:color="auto"/>
      </w:divBdr>
    </w:div>
    <w:div w:id="538467761">
      <w:bodyDiv w:val="1"/>
      <w:marLeft w:val="0"/>
      <w:marRight w:val="0"/>
      <w:marTop w:val="0"/>
      <w:marBottom w:val="0"/>
      <w:divBdr>
        <w:top w:val="none" w:sz="0" w:space="0" w:color="auto"/>
        <w:left w:val="none" w:sz="0" w:space="0" w:color="auto"/>
        <w:bottom w:val="none" w:sz="0" w:space="0" w:color="auto"/>
        <w:right w:val="none" w:sz="0" w:space="0" w:color="auto"/>
      </w:divBdr>
    </w:div>
    <w:div w:id="541745947">
      <w:bodyDiv w:val="1"/>
      <w:marLeft w:val="0"/>
      <w:marRight w:val="0"/>
      <w:marTop w:val="0"/>
      <w:marBottom w:val="0"/>
      <w:divBdr>
        <w:top w:val="none" w:sz="0" w:space="0" w:color="auto"/>
        <w:left w:val="none" w:sz="0" w:space="0" w:color="auto"/>
        <w:bottom w:val="none" w:sz="0" w:space="0" w:color="auto"/>
        <w:right w:val="none" w:sz="0" w:space="0" w:color="auto"/>
      </w:divBdr>
    </w:div>
    <w:div w:id="624506596">
      <w:bodyDiv w:val="1"/>
      <w:marLeft w:val="0"/>
      <w:marRight w:val="0"/>
      <w:marTop w:val="0"/>
      <w:marBottom w:val="0"/>
      <w:divBdr>
        <w:top w:val="none" w:sz="0" w:space="0" w:color="auto"/>
        <w:left w:val="none" w:sz="0" w:space="0" w:color="auto"/>
        <w:bottom w:val="none" w:sz="0" w:space="0" w:color="auto"/>
        <w:right w:val="none" w:sz="0" w:space="0" w:color="auto"/>
      </w:divBdr>
    </w:div>
    <w:div w:id="649402048">
      <w:bodyDiv w:val="1"/>
      <w:marLeft w:val="0"/>
      <w:marRight w:val="0"/>
      <w:marTop w:val="0"/>
      <w:marBottom w:val="0"/>
      <w:divBdr>
        <w:top w:val="none" w:sz="0" w:space="0" w:color="auto"/>
        <w:left w:val="none" w:sz="0" w:space="0" w:color="auto"/>
        <w:bottom w:val="none" w:sz="0" w:space="0" w:color="auto"/>
        <w:right w:val="none" w:sz="0" w:space="0" w:color="auto"/>
      </w:divBdr>
    </w:div>
    <w:div w:id="673654469">
      <w:bodyDiv w:val="1"/>
      <w:marLeft w:val="0"/>
      <w:marRight w:val="0"/>
      <w:marTop w:val="0"/>
      <w:marBottom w:val="0"/>
      <w:divBdr>
        <w:top w:val="none" w:sz="0" w:space="0" w:color="auto"/>
        <w:left w:val="none" w:sz="0" w:space="0" w:color="auto"/>
        <w:bottom w:val="none" w:sz="0" w:space="0" w:color="auto"/>
        <w:right w:val="none" w:sz="0" w:space="0" w:color="auto"/>
      </w:divBdr>
    </w:div>
    <w:div w:id="686293616">
      <w:bodyDiv w:val="1"/>
      <w:marLeft w:val="0"/>
      <w:marRight w:val="0"/>
      <w:marTop w:val="0"/>
      <w:marBottom w:val="0"/>
      <w:divBdr>
        <w:top w:val="none" w:sz="0" w:space="0" w:color="auto"/>
        <w:left w:val="none" w:sz="0" w:space="0" w:color="auto"/>
        <w:bottom w:val="none" w:sz="0" w:space="0" w:color="auto"/>
        <w:right w:val="none" w:sz="0" w:space="0" w:color="auto"/>
      </w:divBdr>
    </w:div>
    <w:div w:id="688727396">
      <w:bodyDiv w:val="1"/>
      <w:marLeft w:val="0"/>
      <w:marRight w:val="0"/>
      <w:marTop w:val="0"/>
      <w:marBottom w:val="0"/>
      <w:divBdr>
        <w:top w:val="none" w:sz="0" w:space="0" w:color="auto"/>
        <w:left w:val="none" w:sz="0" w:space="0" w:color="auto"/>
        <w:bottom w:val="none" w:sz="0" w:space="0" w:color="auto"/>
        <w:right w:val="none" w:sz="0" w:space="0" w:color="auto"/>
      </w:divBdr>
    </w:div>
    <w:div w:id="740370466">
      <w:bodyDiv w:val="1"/>
      <w:marLeft w:val="0"/>
      <w:marRight w:val="0"/>
      <w:marTop w:val="0"/>
      <w:marBottom w:val="0"/>
      <w:divBdr>
        <w:top w:val="none" w:sz="0" w:space="0" w:color="auto"/>
        <w:left w:val="none" w:sz="0" w:space="0" w:color="auto"/>
        <w:bottom w:val="none" w:sz="0" w:space="0" w:color="auto"/>
        <w:right w:val="none" w:sz="0" w:space="0" w:color="auto"/>
      </w:divBdr>
    </w:div>
    <w:div w:id="742141145">
      <w:bodyDiv w:val="1"/>
      <w:marLeft w:val="0"/>
      <w:marRight w:val="0"/>
      <w:marTop w:val="0"/>
      <w:marBottom w:val="0"/>
      <w:divBdr>
        <w:top w:val="none" w:sz="0" w:space="0" w:color="auto"/>
        <w:left w:val="none" w:sz="0" w:space="0" w:color="auto"/>
        <w:bottom w:val="none" w:sz="0" w:space="0" w:color="auto"/>
        <w:right w:val="none" w:sz="0" w:space="0" w:color="auto"/>
      </w:divBdr>
    </w:div>
    <w:div w:id="770517689">
      <w:bodyDiv w:val="1"/>
      <w:marLeft w:val="0"/>
      <w:marRight w:val="0"/>
      <w:marTop w:val="0"/>
      <w:marBottom w:val="0"/>
      <w:divBdr>
        <w:top w:val="none" w:sz="0" w:space="0" w:color="auto"/>
        <w:left w:val="none" w:sz="0" w:space="0" w:color="auto"/>
        <w:bottom w:val="none" w:sz="0" w:space="0" w:color="auto"/>
        <w:right w:val="none" w:sz="0" w:space="0" w:color="auto"/>
      </w:divBdr>
    </w:div>
    <w:div w:id="772097058">
      <w:bodyDiv w:val="1"/>
      <w:marLeft w:val="0"/>
      <w:marRight w:val="0"/>
      <w:marTop w:val="0"/>
      <w:marBottom w:val="0"/>
      <w:divBdr>
        <w:top w:val="none" w:sz="0" w:space="0" w:color="auto"/>
        <w:left w:val="none" w:sz="0" w:space="0" w:color="auto"/>
        <w:bottom w:val="none" w:sz="0" w:space="0" w:color="auto"/>
        <w:right w:val="none" w:sz="0" w:space="0" w:color="auto"/>
      </w:divBdr>
    </w:div>
    <w:div w:id="815606009">
      <w:bodyDiv w:val="1"/>
      <w:marLeft w:val="0"/>
      <w:marRight w:val="0"/>
      <w:marTop w:val="0"/>
      <w:marBottom w:val="0"/>
      <w:divBdr>
        <w:top w:val="none" w:sz="0" w:space="0" w:color="auto"/>
        <w:left w:val="none" w:sz="0" w:space="0" w:color="auto"/>
        <w:bottom w:val="none" w:sz="0" w:space="0" w:color="auto"/>
        <w:right w:val="none" w:sz="0" w:space="0" w:color="auto"/>
      </w:divBdr>
    </w:div>
    <w:div w:id="827555834">
      <w:bodyDiv w:val="1"/>
      <w:marLeft w:val="0"/>
      <w:marRight w:val="0"/>
      <w:marTop w:val="0"/>
      <w:marBottom w:val="0"/>
      <w:divBdr>
        <w:top w:val="none" w:sz="0" w:space="0" w:color="auto"/>
        <w:left w:val="none" w:sz="0" w:space="0" w:color="auto"/>
        <w:bottom w:val="none" w:sz="0" w:space="0" w:color="auto"/>
        <w:right w:val="none" w:sz="0" w:space="0" w:color="auto"/>
      </w:divBdr>
    </w:div>
    <w:div w:id="853807271">
      <w:bodyDiv w:val="1"/>
      <w:marLeft w:val="0"/>
      <w:marRight w:val="0"/>
      <w:marTop w:val="0"/>
      <w:marBottom w:val="0"/>
      <w:divBdr>
        <w:top w:val="none" w:sz="0" w:space="0" w:color="auto"/>
        <w:left w:val="none" w:sz="0" w:space="0" w:color="auto"/>
        <w:bottom w:val="none" w:sz="0" w:space="0" w:color="auto"/>
        <w:right w:val="none" w:sz="0" w:space="0" w:color="auto"/>
      </w:divBdr>
    </w:div>
    <w:div w:id="879827279">
      <w:bodyDiv w:val="1"/>
      <w:marLeft w:val="0"/>
      <w:marRight w:val="0"/>
      <w:marTop w:val="0"/>
      <w:marBottom w:val="0"/>
      <w:divBdr>
        <w:top w:val="none" w:sz="0" w:space="0" w:color="auto"/>
        <w:left w:val="none" w:sz="0" w:space="0" w:color="auto"/>
        <w:bottom w:val="none" w:sz="0" w:space="0" w:color="auto"/>
        <w:right w:val="none" w:sz="0" w:space="0" w:color="auto"/>
      </w:divBdr>
    </w:div>
    <w:div w:id="881550424">
      <w:bodyDiv w:val="1"/>
      <w:marLeft w:val="0"/>
      <w:marRight w:val="0"/>
      <w:marTop w:val="0"/>
      <w:marBottom w:val="0"/>
      <w:divBdr>
        <w:top w:val="none" w:sz="0" w:space="0" w:color="auto"/>
        <w:left w:val="none" w:sz="0" w:space="0" w:color="auto"/>
        <w:bottom w:val="none" w:sz="0" w:space="0" w:color="auto"/>
        <w:right w:val="none" w:sz="0" w:space="0" w:color="auto"/>
      </w:divBdr>
    </w:div>
    <w:div w:id="924456199">
      <w:bodyDiv w:val="1"/>
      <w:marLeft w:val="0"/>
      <w:marRight w:val="0"/>
      <w:marTop w:val="0"/>
      <w:marBottom w:val="0"/>
      <w:divBdr>
        <w:top w:val="none" w:sz="0" w:space="0" w:color="auto"/>
        <w:left w:val="none" w:sz="0" w:space="0" w:color="auto"/>
        <w:bottom w:val="none" w:sz="0" w:space="0" w:color="auto"/>
        <w:right w:val="none" w:sz="0" w:space="0" w:color="auto"/>
      </w:divBdr>
    </w:div>
    <w:div w:id="947542455">
      <w:bodyDiv w:val="1"/>
      <w:marLeft w:val="0"/>
      <w:marRight w:val="0"/>
      <w:marTop w:val="0"/>
      <w:marBottom w:val="0"/>
      <w:divBdr>
        <w:top w:val="none" w:sz="0" w:space="0" w:color="auto"/>
        <w:left w:val="none" w:sz="0" w:space="0" w:color="auto"/>
        <w:bottom w:val="none" w:sz="0" w:space="0" w:color="auto"/>
        <w:right w:val="none" w:sz="0" w:space="0" w:color="auto"/>
      </w:divBdr>
    </w:div>
    <w:div w:id="982735840">
      <w:bodyDiv w:val="1"/>
      <w:marLeft w:val="0"/>
      <w:marRight w:val="0"/>
      <w:marTop w:val="0"/>
      <w:marBottom w:val="0"/>
      <w:divBdr>
        <w:top w:val="none" w:sz="0" w:space="0" w:color="auto"/>
        <w:left w:val="none" w:sz="0" w:space="0" w:color="auto"/>
        <w:bottom w:val="none" w:sz="0" w:space="0" w:color="auto"/>
        <w:right w:val="none" w:sz="0" w:space="0" w:color="auto"/>
      </w:divBdr>
    </w:div>
    <w:div w:id="1000351335">
      <w:bodyDiv w:val="1"/>
      <w:marLeft w:val="0"/>
      <w:marRight w:val="0"/>
      <w:marTop w:val="0"/>
      <w:marBottom w:val="0"/>
      <w:divBdr>
        <w:top w:val="none" w:sz="0" w:space="0" w:color="auto"/>
        <w:left w:val="none" w:sz="0" w:space="0" w:color="auto"/>
        <w:bottom w:val="none" w:sz="0" w:space="0" w:color="auto"/>
        <w:right w:val="none" w:sz="0" w:space="0" w:color="auto"/>
      </w:divBdr>
    </w:div>
    <w:div w:id="1106077334">
      <w:bodyDiv w:val="1"/>
      <w:marLeft w:val="0"/>
      <w:marRight w:val="0"/>
      <w:marTop w:val="0"/>
      <w:marBottom w:val="0"/>
      <w:divBdr>
        <w:top w:val="none" w:sz="0" w:space="0" w:color="auto"/>
        <w:left w:val="none" w:sz="0" w:space="0" w:color="auto"/>
        <w:bottom w:val="none" w:sz="0" w:space="0" w:color="auto"/>
        <w:right w:val="none" w:sz="0" w:space="0" w:color="auto"/>
      </w:divBdr>
      <w:divsChild>
        <w:div w:id="128479845">
          <w:marLeft w:val="547"/>
          <w:marRight w:val="0"/>
          <w:marTop w:val="0"/>
          <w:marBottom w:val="0"/>
          <w:divBdr>
            <w:top w:val="none" w:sz="0" w:space="0" w:color="auto"/>
            <w:left w:val="none" w:sz="0" w:space="0" w:color="auto"/>
            <w:bottom w:val="none" w:sz="0" w:space="0" w:color="auto"/>
            <w:right w:val="none" w:sz="0" w:space="0" w:color="auto"/>
          </w:divBdr>
        </w:div>
        <w:div w:id="395400444">
          <w:marLeft w:val="547"/>
          <w:marRight w:val="0"/>
          <w:marTop w:val="0"/>
          <w:marBottom w:val="0"/>
          <w:divBdr>
            <w:top w:val="none" w:sz="0" w:space="0" w:color="auto"/>
            <w:left w:val="none" w:sz="0" w:space="0" w:color="auto"/>
            <w:bottom w:val="none" w:sz="0" w:space="0" w:color="auto"/>
            <w:right w:val="none" w:sz="0" w:space="0" w:color="auto"/>
          </w:divBdr>
        </w:div>
        <w:div w:id="1639188551">
          <w:marLeft w:val="547"/>
          <w:marRight w:val="0"/>
          <w:marTop w:val="0"/>
          <w:marBottom w:val="0"/>
          <w:divBdr>
            <w:top w:val="none" w:sz="0" w:space="0" w:color="auto"/>
            <w:left w:val="none" w:sz="0" w:space="0" w:color="auto"/>
            <w:bottom w:val="none" w:sz="0" w:space="0" w:color="auto"/>
            <w:right w:val="none" w:sz="0" w:space="0" w:color="auto"/>
          </w:divBdr>
        </w:div>
        <w:div w:id="1728144299">
          <w:marLeft w:val="547"/>
          <w:marRight w:val="0"/>
          <w:marTop w:val="0"/>
          <w:marBottom w:val="0"/>
          <w:divBdr>
            <w:top w:val="none" w:sz="0" w:space="0" w:color="auto"/>
            <w:left w:val="none" w:sz="0" w:space="0" w:color="auto"/>
            <w:bottom w:val="none" w:sz="0" w:space="0" w:color="auto"/>
            <w:right w:val="none" w:sz="0" w:space="0" w:color="auto"/>
          </w:divBdr>
        </w:div>
        <w:div w:id="1844322347">
          <w:marLeft w:val="547"/>
          <w:marRight w:val="0"/>
          <w:marTop w:val="0"/>
          <w:marBottom w:val="0"/>
          <w:divBdr>
            <w:top w:val="none" w:sz="0" w:space="0" w:color="auto"/>
            <w:left w:val="none" w:sz="0" w:space="0" w:color="auto"/>
            <w:bottom w:val="none" w:sz="0" w:space="0" w:color="auto"/>
            <w:right w:val="none" w:sz="0" w:space="0" w:color="auto"/>
          </w:divBdr>
        </w:div>
        <w:div w:id="2135713474">
          <w:marLeft w:val="547"/>
          <w:marRight w:val="0"/>
          <w:marTop w:val="0"/>
          <w:marBottom w:val="0"/>
          <w:divBdr>
            <w:top w:val="none" w:sz="0" w:space="0" w:color="auto"/>
            <w:left w:val="none" w:sz="0" w:space="0" w:color="auto"/>
            <w:bottom w:val="none" w:sz="0" w:space="0" w:color="auto"/>
            <w:right w:val="none" w:sz="0" w:space="0" w:color="auto"/>
          </w:divBdr>
        </w:div>
      </w:divsChild>
    </w:div>
    <w:div w:id="1147822448">
      <w:bodyDiv w:val="1"/>
      <w:marLeft w:val="0"/>
      <w:marRight w:val="0"/>
      <w:marTop w:val="0"/>
      <w:marBottom w:val="0"/>
      <w:divBdr>
        <w:top w:val="none" w:sz="0" w:space="0" w:color="auto"/>
        <w:left w:val="none" w:sz="0" w:space="0" w:color="auto"/>
        <w:bottom w:val="none" w:sz="0" w:space="0" w:color="auto"/>
        <w:right w:val="none" w:sz="0" w:space="0" w:color="auto"/>
      </w:divBdr>
    </w:div>
    <w:div w:id="1190795766">
      <w:bodyDiv w:val="1"/>
      <w:marLeft w:val="0"/>
      <w:marRight w:val="0"/>
      <w:marTop w:val="0"/>
      <w:marBottom w:val="0"/>
      <w:divBdr>
        <w:top w:val="none" w:sz="0" w:space="0" w:color="auto"/>
        <w:left w:val="none" w:sz="0" w:space="0" w:color="auto"/>
        <w:bottom w:val="none" w:sz="0" w:space="0" w:color="auto"/>
        <w:right w:val="none" w:sz="0" w:space="0" w:color="auto"/>
      </w:divBdr>
    </w:div>
    <w:div w:id="1197085580">
      <w:bodyDiv w:val="1"/>
      <w:marLeft w:val="0"/>
      <w:marRight w:val="0"/>
      <w:marTop w:val="0"/>
      <w:marBottom w:val="0"/>
      <w:divBdr>
        <w:top w:val="none" w:sz="0" w:space="0" w:color="auto"/>
        <w:left w:val="none" w:sz="0" w:space="0" w:color="auto"/>
        <w:bottom w:val="none" w:sz="0" w:space="0" w:color="auto"/>
        <w:right w:val="none" w:sz="0" w:space="0" w:color="auto"/>
      </w:divBdr>
    </w:div>
    <w:div w:id="1257593318">
      <w:bodyDiv w:val="1"/>
      <w:marLeft w:val="0"/>
      <w:marRight w:val="0"/>
      <w:marTop w:val="0"/>
      <w:marBottom w:val="0"/>
      <w:divBdr>
        <w:top w:val="none" w:sz="0" w:space="0" w:color="auto"/>
        <w:left w:val="none" w:sz="0" w:space="0" w:color="auto"/>
        <w:bottom w:val="none" w:sz="0" w:space="0" w:color="auto"/>
        <w:right w:val="none" w:sz="0" w:space="0" w:color="auto"/>
      </w:divBdr>
    </w:div>
    <w:div w:id="1264722350">
      <w:bodyDiv w:val="1"/>
      <w:marLeft w:val="0"/>
      <w:marRight w:val="0"/>
      <w:marTop w:val="0"/>
      <w:marBottom w:val="0"/>
      <w:divBdr>
        <w:top w:val="none" w:sz="0" w:space="0" w:color="auto"/>
        <w:left w:val="none" w:sz="0" w:space="0" w:color="auto"/>
        <w:bottom w:val="none" w:sz="0" w:space="0" w:color="auto"/>
        <w:right w:val="none" w:sz="0" w:space="0" w:color="auto"/>
      </w:divBdr>
    </w:div>
    <w:div w:id="1289311508">
      <w:bodyDiv w:val="1"/>
      <w:marLeft w:val="0"/>
      <w:marRight w:val="0"/>
      <w:marTop w:val="0"/>
      <w:marBottom w:val="0"/>
      <w:divBdr>
        <w:top w:val="none" w:sz="0" w:space="0" w:color="auto"/>
        <w:left w:val="none" w:sz="0" w:space="0" w:color="auto"/>
        <w:bottom w:val="none" w:sz="0" w:space="0" w:color="auto"/>
        <w:right w:val="none" w:sz="0" w:space="0" w:color="auto"/>
      </w:divBdr>
    </w:div>
    <w:div w:id="1309819157">
      <w:bodyDiv w:val="1"/>
      <w:marLeft w:val="0"/>
      <w:marRight w:val="0"/>
      <w:marTop w:val="0"/>
      <w:marBottom w:val="0"/>
      <w:divBdr>
        <w:top w:val="none" w:sz="0" w:space="0" w:color="auto"/>
        <w:left w:val="none" w:sz="0" w:space="0" w:color="auto"/>
        <w:bottom w:val="none" w:sz="0" w:space="0" w:color="auto"/>
        <w:right w:val="none" w:sz="0" w:space="0" w:color="auto"/>
      </w:divBdr>
    </w:div>
    <w:div w:id="1338925409">
      <w:bodyDiv w:val="1"/>
      <w:marLeft w:val="0"/>
      <w:marRight w:val="0"/>
      <w:marTop w:val="0"/>
      <w:marBottom w:val="0"/>
      <w:divBdr>
        <w:top w:val="none" w:sz="0" w:space="0" w:color="auto"/>
        <w:left w:val="none" w:sz="0" w:space="0" w:color="auto"/>
        <w:bottom w:val="none" w:sz="0" w:space="0" w:color="auto"/>
        <w:right w:val="none" w:sz="0" w:space="0" w:color="auto"/>
      </w:divBdr>
      <w:divsChild>
        <w:div w:id="772094734">
          <w:marLeft w:val="547"/>
          <w:marRight w:val="0"/>
          <w:marTop w:val="0"/>
          <w:marBottom w:val="0"/>
          <w:divBdr>
            <w:top w:val="none" w:sz="0" w:space="0" w:color="auto"/>
            <w:left w:val="none" w:sz="0" w:space="0" w:color="auto"/>
            <w:bottom w:val="none" w:sz="0" w:space="0" w:color="auto"/>
            <w:right w:val="none" w:sz="0" w:space="0" w:color="auto"/>
          </w:divBdr>
        </w:div>
        <w:div w:id="1703046517">
          <w:marLeft w:val="547"/>
          <w:marRight w:val="0"/>
          <w:marTop w:val="0"/>
          <w:marBottom w:val="0"/>
          <w:divBdr>
            <w:top w:val="none" w:sz="0" w:space="0" w:color="auto"/>
            <w:left w:val="none" w:sz="0" w:space="0" w:color="auto"/>
            <w:bottom w:val="none" w:sz="0" w:space="0" w:color="auto"/>
            <w:right w:val="none" w:sz="0" w:space="0" w:color="auto"/>
          </w:divBdr>
        </w:div>
        <w:div w:id="1982953729">
          <w:marLeft w:val="547"/>
          <w:marRight w:val="0"/>
          <w:marTop w:val="0"/>
          <w:marBottom w:val="0"/>
          <w:divBdr>
            <w:top w:val="none" w:sz="0" w:space="0" w:color="auto"/>
            <w:left w:val="none" w:sz="0" w:space="0" w:color="auto"/>
            <w:bottom w:val="none" w:sz="0" w:space="0" w:color="auto"/>
            <w:right w:val="none" w:sz="0" w:space="0" w:color="auto"/>
          </w:divBdr>
        </w:div>
        <w:div w:id="2058814140">
          <w:marLeft w:val="547"/>
          <w:marRight w:val="0"/>
          <w:marTop w:val="0"/>
          <w:marBottom w:val="0"/>
          <w:divBdr>
            <w:top w:val="none" w:sz="0" w:space="0" w:color="auto"/>
            <w:left w:val="none" w:sz="0" w:space="0" w:color="auto"/>
            <w:bottom w:val="none" w:sz="0" w:space="0" w:color="auto"/>
            <w:right w:val="none" w:sz="0" w:space="0" w:color="auto"/>
          </w:divBdr>
        </w:div>
      </w:divsChild>
    </w:div>
    <w:div w:id="1374161547">
      <w:bodyDiv w:val="1"/>
      <w:marLeft w:val="0"/>
      <w:marRight w:val="0"/>
      <w:marTop w:val="0"/>
      <w:marBottom w:val="0"/>
      <w:divBdr>
        <w:top w:val="none" w:sz="0" w:space="0" w:color="auto"/>
        <w:left w:val="none" w:sz="0" w:space="0" w:color="auto"/>
        <w:bottom w:val="none" w:sz="0" w:space="0" w:color="auto"/>
        <w:right w:val="none" w:sz="0" w:space="0" w:color="auto"/>
      </w:divBdr>
    </w:div>
    <w:div w:id="1561938918">
      <w:bodyDiv w:val="1"/>
      <w:marLeft w:val="0"/>
      <w:marRight w:val="0"/>
      <w:marTop w:val="0"/>
      <w:marBottom w:val="0"/>
      <w:divBdr>
        <w:top w:val="none" w:sz="0" w:space="0" w:color="auto"/>
        <w:left w:val="none" w:sz="0" w:space="0" w:color="auto"/>
        <w:bottom w:val="none" w:sz="0" w:space="0" w:color="auto"/>
        <w:right w:val="none" w:sz="0" w:space="0" w:color="auto"/>
      </w:divBdr>
    </w:div>
    <w:div w:id="1596479423">
      <w:bodyDiv w:val="1"/>
      <w:marLeft w:val="0"/>
      <w:marRight w:val="0"/>
      <w:marTop w:val="0"/>
      <w:marBottom w:val="0"/>
      <w:divBdr>
        <w:top w:val="none" w:sz="0" w:space="0" w:color="auto"/>
        <w:left w:val="none" w:sz="0" w:space="0" w:color="auto"/>
        <w:bottom w:val="none" w:sz="0" w:space="0" w:color="auto"/>
        <w:right w:val="none" w:sz="0" w:space="0" w:color="auto"/>
      </w:divBdr>
    </w:div>
    <w:div w:id="1623001646">
      <w:bodyDiv w:val="1"/>
      <w:marLeft w:val="0"/>
      <w:marRight w:val="0"/>
      <w:marTop w:val="0"/>
      <w:marBottom w:val="0"/>
      <w:divBdr>
        <w:top w:val="none" w:sz="0" w:space="0" w:color="auto"/>
        <w:left w:val="none" w:sz="0" w:space="0" w:color="auto"/>
        <w:bottom w:val="none" w:sz="0" w:space="0" w:color="auto"/>
        <w:right w:val="none" w:sz="0" w:space="0" w:color="auto"/>
      </w:divBdr>
    </w:div>
    <w:div w:id="1626934807">
      <w:bodyDiv w:val="1"/>
      <w:marLeft w:val="0"/>
      <w:marRight w:val="0"/>
      <w:marTop w:val="0"/>
      <w:marBottom w:val="0"/>
      <w:divBdr>
        <w:top w:val="none" w:sz="0" w:space="0" w:color="auto"/>
        <w:left w:val="none" w:sz="0" w:space="0" w:color="auto"/>
        <w:bottom w:val="none" w:sz="0" w:space="0" w:color="auto"/>
        <w:right w:val="none" w:sz="0" w:space="0" w:color="auto"/>
      </w:divBdr>
    </w:div>
    <w:div w:id="1657492045">
      <w:bodyDiv w:val="1"/>
      <w:marLeft w:val="0"/>
      <w:marRight w:val="0"/>
      <w:marTop w:val="0"/>
      <w:marBottom w:val="0"/>
      <w:divBdr>
        <w:top w:val="none" w:sz="0" w:space="0" w:color="auto"/>
        <w:left w:val="none" w:sz="0" w:space="0" w:color="auto"/>
        <w:bottom w:val="none" w:sz="0" w:space="0" w:color="auto"/>
        <w:right w:val="none" w:sz="0" w:space="0" w:color="auto"/>
      </w:divBdr>
    </w:div>
    <w:div w:id="1665939241">
      <w:bodyDiv w:val="1"/>
      <w:marLeft w:val="0"/>
      <w:marRight w:val="0"/>
      <w:marTop w:val="0"/>
      <w:marBottom w:val="0"/>
      <w:divBdr>
        <w:top w:val="none" w:sz="0" w:space="0" w:color="auto"/>
        <w:left w:val="none" w:sz="0" w:space="0" w:color="auto"/>
        <w:bottom w:val="none" w:sz="0" w:space="0" w:color="auto"/>
        <w:right w:val="none" w:sz="0" w:space="0" w:color="auto"/>
      </w:divBdr>
    </w:div>
    <w:div w:id="1726637400">
      <w:bodyDiv w:val="1"/>
      <w:marLeft w:val="0"/>
      <w:marRight w:val="0"/>
      <w:marTop w:val="0"/>
      <w:marBottom w:val="0"/>
      <w:divBdr>
        <w:top w:val="none" w:sz="0" w:space="0" w:color="auto"/>
        <w:left w:val="none" w:sz="0" w:space="0" w:color="auto"/>
        <w:bottom w:val="none" w:sz="0" w:space="0" w:color="auto"/>
        <w:right w:val="none" w:sz="0" w:space="0" w:color="auto"/>
      </w:divBdr>
    </w:div>
    <w:div w:id="1771927446">
      <w:bodyDiv w:val="1"/>
      <w:marLeft w:val="0"/>
      <w:marRight w:val="0"/>
      <w:marTop w:val="0"/>
      <w:marBottom w:val="0"/>
      <w:divBdr>
        <w:top w:val="none" w:sz="0" w:space="0" w:color="auto"/>
        <w:left w:val="none" w:sz="0" w:space="0" w:color="auto"/>
        <w:bottom w:val="none" w:sz="0" w:space="0" w:color="auto"/>
        <w:right w:val="none" w:sz="0" w:space="0" w:color="auto"/>
      </w:divBdr>
    </w:div>
    <w:div w:id="1771966704">
      <w:bodyDiv w:val="1"/>
      <w:marLeft w:val="0"/>
      <w:marRight w:val="0"/>
      <w:marTop w:val="0"/>
      <w:marBottom w:val="0"/>
      <w:divBdr>
        <w:top w:val="none" w:sz="0" w:space="0" w:color="auto"/>
        <w:left w:val="none" w:sz="0" w:space="0" w:color="auto"/>
        <w:bottom w:val="none" w:sz="0" w:space="0" w:color="auto"/>
        <w:right w:val="none" w:sz="0" w:space="0" w:color="auto"/>
      </w:divBdr>
    </w:div>
    <w:div w:id="1787196178">
      <w:bodyDiv w:val="1"/>
      <w:marLeft w:val="0"/>
      <w:marRight w:val="0"/>
      <w:marTop w:val="0"/>
      <w:marBottom w:val="0"/>
      <w:divBdr>
        <w:top w:val="none" w:sz="0" w:space="0" w:color="auto"/>
        <w:left w:val="none" w:sz="0" w:space="0" w:color="auto"/>
        <w:bottom w:val="none" w:sz="0" w:space="0" w:color="auto"/>
        <w:right w:val="none" w:sz="0" w:space="0" w:color="auto"/>
      </w:divBdr>
    </w:div>
    <w:div w:id="1793524028">
      <w:bodyDiv w:val="1"/>
      <w:marLeft w:val="0"/>
      <w:marRight w:val="0"/>
      <w:marTop w:val="0"/>
      <w:marBottom w:val="0"/>
      <w:divBdr>
        <w:top w:val="none" w:sz="0" w:space="0" w:color="auto"/>
        <w:left w:val="none" w:sz="0" w:space="0" w:color="auto"/>
        <w:bottom w:val="none" w:sz="0" w:space="0" w:color="auto"/>
        <w:right w:val="none" w:sz="0" w:space="0" w:color="auto"/>
      </w:divBdr>
    </w:div>
    <w:div w:id="1810049768">
      <w:bodyDiv w:val="1"/>
      <w:marLeft w:val="0"/>
      <w:marRight w:val="0"/>
      <w:marTop w:val="0"/>
      <w:marBottom w:val="0"/>
      <w:divBdr>
        <w:top w:val="none" w:sz="0" w:space="0" w:color="auto"/>
        <w:left w:val="none" w:sz="0" w:space="0" w:color="auto"/>
        <w:bottom w:val="none" w:sz="0" w:space="0" w:color="auto"/>
        <w:right w:val="none" w:sz="0" w:space="0" w:color="auto"/>
      </w:divBdr>
    </w:div>
    <w:div w:id="1820490437">
      <w:bodyDiv w:val="1"/>
      <w:marLeft w:val="0"/>
      <w:marRight w:val="0"/>
      <w:marTop w:val="0"/>
      <w:marBottom w:val="0"/>
      <w:divBdr>
        <w:top w:val="none" w:sz="0" w:space="0" w:color="auto"/>
        <w:left w:val="none" w:sz="0" w:space="0" w:color="auto"/>
        <w:bottom w:val="none" w:sz="0" w:space="0" w:color="auto"/>
        <w:right w:val="none" w:sz="0" w:space="0" w:color="auto"/>
      </w:divBdr>
    </w:div>
    <w:div w:id="1827935335">
      <w:bodyDiv w:val="1"/>
      <w:marLeft w:val="0"/>
      <w:marRight w:val="0"/>
      <w:marTop w:val="0"/>
      <w:marBottom w:val="0"/>
      <w:divBdr>
        <w:top w:val="none" w:sz="0" w:space="0" w:color="auto"/>
        <w:left w:val="none" w:sz="0" w:space="0" w:color="auto"/>
        <w:bottom w:val="none" w:sz="0" w:space="0" w:color="auto"/>
        <w:right w:val="none" w:sz="0" w:space="0" w:color="auto"/>
      </w:divBdr>
    </w:div>
    <w:div w:id="1835952224">
      <w:bodyDiv w:val="1"/>
      <w:marLeft w:val="0"/>
      <w:marRight w:val="0"/>
      <w:marTop w:val="0"/>
      <w:marBottom w:val="0"/>
      <w:divBdr>
        <w:top w:val="none" w:sz="0" w:space="0" w:color="auto"/>
        <w:left w:val="none" w:sz="0" w:space="0" w:color="auto"/>
        <w:bottom w:val="none" w:sz="0" w:space="0" w:color="auto"/>
        <w:right w:val="none" w:sz="0" w:space="0" w:color="auto"/>
      </w:divBdr>
    </w:div>
    <w:div w:id="1861703463">
      <w:bodyDiv w:val="1"/>
      <w:marLeft w:val="0"/>
      <w:marRight w:val="0"/>
      <w:marTop w:val="0"/>
      <w:marBottom w:val="0"/>
      <w:divBdr>
        <w:top w:val="none" w:sz="0" w:space="0" w:color="auto"/>
        <w:left w:val="none" w:sz="0" w:space="0" w:color="auto"/>
        <w:bottom w:val="none" w:sz="0" w:space="0" w:color="auto"/>
        <w:right w:val="none" w:sz="0" w:space="0" w:color="auto"/>
      </w:divBdr>
    </w:div>
    <w:div w:id="1868595135">
      <w:bodyDiv w:val="1"/>
      <w:marLeft w:val="0"/>
      <w:marRight w:val="0"/>
      <w:marTop w:val="0"/>
      <w:marBottom w:val="0"/>
      <w:divBdr>
        <w:top w:val="none" w:sz="0" w:space="0" w:color="auto"/>
        <w:left w:val="none" w:sz="0" w:space="0" w:color="auto"/>
        <w:bottom w:val="none" w:sz="0" w:space="0" w:color="auto"/>
        <w:right w:val="none" w:sz="0" w:space="0" w:color="auto"/>
      </w:divBdr>
    </w:div>
    <w:div w:id="1928922487">
      <w:bodyDiv w:val="1"/>
      <w:marLeft w:val="0"/>
      <w:marRight w:val="0"/>
      <w:marTop w:val="0"/>
      <w:marBottom w:val="0"/>
      <w:divBdr>
        <w:top w:val="none" w:sz="0" w:space="0" w:color="auto"/>
        <w:left w:val="none" w:sz="0" w:space="0" w:color="auto"/>
        <w:bottom w:val="none" w:sz="0" w:space="0" w:color="auto"/>
        <w:right w:val="none" w:sz="0" w:space="0" w:color="auto"/>
      </w:divBdr>
      <w:divsChild>
        <w:div w:id="661856050">
          <w:marLeft w:val="547"/>
          <w:marRight w:val="0"/>
          <w:marTop w:val="0"/>
          <w:marBottom w:val="0"/>
          <w:divBdr>
            <w:top w:val="none" w:sz="0" w:space="0" w:color="auto"/>
            <w:left w:val="none" w:sz="0" w:space="0" w:color="auto"/>
            <w:bottom w:val="none" w:sz="0" w:space="0" w:color="auto"/>
            <w:right w:val="none" w:sz="0" w:space="0" w:color="auto"/>
          </w:divBdr>
        </w:div>
        <w:div w:id="824199303">
          <w:marLeft w:val="547"/>
          <w:marRight w:val="0"/>
          <w:marTop w:val="0"/>
          <w:marBottom w:val="0"/>
          <w:divBdr>
            <w:top w:val="none" w:sz="0" w:space="0" w:color="auto"/>
            <w:left w:val="none" w:sz="0" w:space="0" w:color="auto"/>
            <w:bottom w:val="none" w:sz="0" w:space="0" w:color="auto"/>
            <w:right w:val="none" w:sz="0" w:space="0" w:color="auto"/>
          </w:divBdr>
        </w:div>
        <w:div w:id="1474785629">
          <w:marLeft w:val="547"/>
          <w:marRight w:val="0"/>
          <w:marTop w:val="0"/>
          <w:marBottom w:val="0"/>
          <w:divBdr>
            <w:top w:val="none" w:sz="0" w:space="0" w:color="auto"/>
            <w:left w:val="none" w:sz="0" w:space="0" w:color="auto"/>
            <w:bottom w:val="none" w:sz="0" w:space="0" w:color="auto"/>
            <w:right w:val="none" w:sz="0" w:space="0" w:color="auto"/>
          </w:divBdr>
        </w:div>
        <w:div w:id="1974679193">
          <w:marLeft w:val="547"/>
          <w:marRight w:val="0"/>
          <w:marTop w:val="0"/>
          <w:marBottom w:val="0"/>
          <w:divBdr>
            <w:top w:val="none" w:sz="0" w:space="0" w:color="auto"/>
            <w:left w:val="none" w:sz="0" w:space="0" w:color="auto"/>
            <w:bottom w:val="none" w:sz="0" w:space="0" w:color="auto"/>
            <w:right w:val="none" w:sz="0" w:space="0" w:color="auto"/>
          </w:divBdr>
        </w:div>
      </w:divsChild>
    </w:div>
    <w:div w:id="1977103316">
      <w:bodyDiv w:val="1"/>
      <w:marLeft w:val="0"/>
      <w:marRight w:val="0"/>
      <w:marTop w:val="0"/>
      <w:marBottom w:val="0"/>
      <w:divBdr>
        <w:top w:val="none" w:sz="0" w:space="0" w:color="auto"/>
        <w:left w:val="none" w:sz="0" w:space="0" w:color="auto"/>
        <w:bottom w:val="none" w:sz="0" w:space="0" w:color="auto"/>
        <w:right w:val="none" w:sz="0" w:space="0" w:color="auto"/>
      </w:divBdr>
      <w:divsChild>
        <w:div w:id="772866608">
          <w:marLeft w:val="547"/>
          <w:marRight w:val="0"/>
          <w:marTop w:val="0"/>
          <w:marBottom w:val="0"/>
          <w:divBdr>
            <w:top w:val="none" w:sz="0" w:space="0" w:color="auto"/>
            <w:left w:val="none" w:sz="0" w:space="0" w:color="auto"/>
            <w:bottom w:val="none" w:sz="0" w:space="0" w:color="auto"/>
            <w:right w:val="none" w:sz="0" w:space="0" w:color="auto"/>
          </w:divBdr>
        </w:div>
      </w:divsChild>
    </w:div>
    <w:div w:id="2041738976">
      <w:bodyDiv w:val="1"/>
      <w:marLeft w:val="0"/>
      <w:marRight w:val="0"/>
      <w:marTop w:val="0"/>
      <w:marBottom w:val="0"/>
      <w:divBdr>
        <w:top w:val="none" w:sz="0" w:space="0" w:color="auto"/>
        <w:left w:val="none" w:sz="0" w:space="0" w:color="auto"/>
        <w:bottom w:val="none" w:sz="0" w:space="0" w:color="auto"/>
        <w:right w:val="none" w:sz="0" w:space="0" w:color="auto"/>
      </w:divBdr>
    </w:div>
    <w:div w:id="2058628140">
      <w:bodyDiv w:val="1"/>
      <w:marLeft w:val="0"/>
      <w:marRight w:val="0"/>
      <w:marTop w:val="0"/>
      <w:marBottom w:val="0"/>
      <w:divBdr>
        <w:top w:val="none" w:sz="0" w:space="0" w:color="auto"/>
        <w:left w:val="none" w:sz="0" w:space="0" w:color="auto"/>
        <w:bottom w:val="none" w:sz="0" w:space="0" w:color="auto"/>
        <w:right w:val="none" w:sz="0" w:space="0" w:color="auto"/>
      </w:divBdr>
    </w:div>
    <w:div w:id="2104834142">
      <w:bodyDiv w:val="1"/>
      <w:marLeft w:val="0"/>
      <w:marRight w:val="0"/>
      <w:marTop w:val="0"/>
      <w:marBottom w:val="0"/>
      <w:divBdr>
        <w:top w:val="none" w:sz="0" w:space="0" w:color="auto"/>
        <w:left w:val="none" w:sz="0" w:space="0" w:color="auto"/>
        <w:bottom w:val="none" w:sz="0" w:space="0" w:color="auto"/>
        <w:right w:val="none" w:sz="0" w:space="0" w:color="auto"/>
      </w:divBdr>
    </w:div>
    <w:div w:id="2129860368">
      <w:bodyDiv w:val="1"/>
      <w:marLeft w:val="0"/>
      <w:marRight w:val="0"/>
      <w:marTop w:val="0"/>
      <w:marBottom w:val="0"/>
      <w:divBdr>
        <w:top w:val="none" w:sz="0" w:space="0" w:color="auto"/>
        <w:left w:val="none" w:sz="0" w:space="0" w:color="auto"/>
        <w:bottom w:val="none" w:sz="0" w:space="0" w:color="auto"/>
        <w:right w:val="none" w:sz="0" w:space="0" w:color="auto"/>
      </w:divBdr>
    </w:div>
    <w:div w:id="214318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8.jp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32"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image" Target="media/image6.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F7A625AE9F5AB4A939F92BCAA7FEC02" ma:contentTypeVersion="1" ma:contentTypeDescription="Vytvoří nový dokument" ma:contentTypeScope="" ma:versionID="41ef85cfa56222539d111f4b1ed27123">
  <xsd:schema xmlns:xsd="http://www.w3.org/2001/XMLSchema" xmlns:xs="http://www.w3.org/2001/XMLSchema" xmlns:p="http://schemas.microsoft.com/office/2006/metadata/properties" xmlns:ns1="http://schemas.microsoft.com/sharepoint/v3" targetNamespace="http://schemas.microsoft.com/office/2006/metadata/properties" ma:root="true" ma:fieldsID="82835b98b50f7b97a7aacca622fbbc4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Datum zahájení plánování je sloupec webu, který vytvořila funkce Publikování. Používá se k zadání data a času, od kterého se tato stránka začne návštěvníkům webu zobrazovat." ma:internalName="PublishingStartDate">
      <xsd:simpleType>
        <xsd:restriction base="dms:Unknown"/>
      </xsd:simpleType>
    </xsd:element>
    <xsd:element name="PublishingExpirationDate" ma:index="9" nillable="true" ma:displayName="Datum ukončení plánování" ma:description="Datum ukončení plánování je sloupec webu, který vytvořila funkce Publikování. Používá se k zadání data a času, od kterého se tato stránka už nebude návštěvníkům webu zobrazovat."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01A09-E5F7-40ED-8F33-BE78568CD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78F1B2-DCC4-4AF2-A694-30875346727C}">
  <ds:schemaRefs>
    <ds:schemaRef ds:uri="http://schemas.microsoft.com/sharepoint/v3/contenttype/forms"/>
  </ds:schemaRefs>
</ds:datastoreItem>
</file>

<file path=customXml/itemProps3.xml><?xml version="1.0" encoding="utf-8"?>
<ds:datastoreItem xmlns:ds="http://schemas.openxmlformats.org/officeDocument/2006/customXml" ds:itemID="{2BA6082F-280D-43E7-8123-957A36FDEEF4}">
  <ds:schemaRefs>
    <ds:schemaRef ds:uri="http://www.w3.org/XML/1998/namespace"/>
    <ds:schemaRef ds:uri="http://purl.org/dc/dcmitype/"/>
    <ds:schemaRef ds:uri="http://schemas.microsoft.com/office/2006/documentManagement/types"/>
    <ds:schemaRef ds:uri="http://schemas.microsoft.com/sharepoint/v3"/>
    <ds:schemaRef ds:uri="http://schemas.microsoft.com/office/infopath/2007/PartnerControls"/>
    <ds:schemaRef ds:uri="http://schemas.openxmlformats.org/package/2006/metadata/core-properties"/>
    <ds:schemaRef ds:uri="http://schemas.microsoft.com/office/2006/metadata/properties"/>
    <ds:schemaRef ds:uri="http://purl.org/dc/terms/"/>
    <ds:schemaRef ds:uri="http://purl.org/dc/elements/1.1/"/>
  </ds:schemaRefs>
</ds:datastoreItem>
</file>

<file path=customXml/itemProps4.xml><?xml version="1.0" encoding="utf-8"?>
<ds:datastoreItem xmlns:ds="http://schemas.openxmlformats.org/officeDocument/2006/customXml" ds:itemID="{473FFFEC-7F42-4BA4-A4AB-4D6186EBD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Pages>
  <Words>4901</Words>
  <Characters>28918</Characters>
  <Application>Microsoft Office Word</Application>
  <DocSecurity>0</DocSecurity>
  <Lines>240</Lines>
  <Paragraphs>67</Paragraphs>
  <ScaleCrop>false</ScaleCrop>
  <HeadingPairs>
    <vt:vector size="2" baseType="variant">
      <vt:variant>
        <vt:lpstr>Název</vt:lpstr>
      </vt:variant>
      <vt:variant>
        <vt:i4>1</vt:i4>
      </vt:variant>
    </vt:vector>
  </HeadingPairs>
  <TitlesOfParts>
    <vt:vector size="1" baseType="lpstr">
      <vt:lpstr>Kontrolní závěr z kontrolní akce NKÚ č. 23/09 - Peněžní prostředky státu určené na vybraná opatření proti daňovým únikům</vt:lpstr>
    </vt:vector>
  </TitlesOfParts>
  <Company>NKU</Company>
  <LinksUpToDate>false</LinksUpToDate>
  <CharactersWithSpaces>33752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Kontrolní závěr z kontrolní akce NKÚ č. 23/09 - Peněžní prostředky státu určené na vybraná opatření proti daňovým únikům</dc:title>
  <dc:subject>Kontrolní závěr z kontrolní akce NKÚ č. 23/09 - Peněžní prostředky státu určené na vybraná opatření proti daňovým únikům</dc:subject>
  <dc:creator>Nejvyšší kontrolní úřad</dc:creator>
  <cp:keywords>kontrolní závěr; daňové úniky; DPH; daň z přidané hodnoty</cp:keywords>
  <dc:description/>
  <cp:lastModifiedBy>KOKRDA Daniel</cp:lastModifiedBy>
  <cp:revision>4</cp:revision>
  <cp:lastPrinted>2024-07-04T10:27:00Z</cp:lastPrinted>
  <dcterms:created xsi:type="dcterms:W3CDTF">2024-06-26T10:39:00Z</dcterms:created>
  <dcterms:modified xsi:type="dcterms:W3CDTF">2024-07-04T10:35:00Z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179/22-NKU200/525/22</vt:lpwstr>
  </property>
  <property fmtid="{D5CDD505-2E9C-101B-9397-08002B2CF9AE}" pid="5" name="CJ_PostaDoruc_PisemnostOdpovedNa_Pisemnost">
    <vt:lpwstr>XXX-XXX-XXX</vt:lpwstr>
  </property>
  <property fmtid="{D5CDD505-2E9C-101B-9397-08002B2CF9AE}" pid="6" name="CJ_Spis_Pisemnost">
    <vt:lpwstr>200/3/22</vt:lpwstr>
  </property>
  <property fmtid="{D5CDD505-2E9C-101B-9397-08002B2CF9AE}" pid="7" name="Contact_PostaOdes">
    <vt:lpwstr>{NameAddress_Contact_PostaOdes}
{FullAddress_Contact_PostaOdes}</vt:lpwstr>
  </property>
  <property fmtid="{D5CDD505-2E9C-101B-9397-08002B2CF9AE}" pid="8" name="Contact_PostaOdes_All">
    <vt:lpwstr>ROZDĚLOVNÍK...</vt:lpwstr>
  </property>
  <property fmtid="{D5CDD505-2E9C-101B-9397-08002B2CF9AE}" pid="9" name="DatumNaroz">
    <vt:lpwstr/>
  </property>
  <property fmtid="{D5CDD505-2E9C-101B-9397-08002B2CF9AE}" pid="10" name="DatumPlatnosti_PisemnostTypZpristupneniInformaciZOSZ_Pisemnost">
    <vt:lpwstr>ZOSZ_DatumPlatnosti</vt:lpwstr>
  </property>
  <property fmtid="{D5CDD505-2E9C-101B-9397-08002B2CF9AE}" pid="11" name="DatumPoriz_Pisemnost">
    <vt:lpwstr>6.10.2022</vt:lpwstr>
  </property>
  <property fmtid="{D5CDD505-2E9C-101B-9397-08002B2CF9AE}" pid="12" name="DisplayName_CisloObalky_PostaOdes">
    <vt:lpwstr>ČÍSLO OBÁLKY</vt:lpwstr>
  </property>
  <property fmtid="{D5CDD505-2E9C-101B-9397-08002B2CF9AE}" pid="13" name="DisplayName_CJCol">
    <vt:lpwstr>&lt;TABLE&gt;&lt;TR&gt;&lt;TD&gt;Č.j.:&lt;/TD&gt;&lt;TD&gt;179/22-NKU200/525/22&lt;/TD&gt;&lt;/TR&gt;&lt;TR&gt;&lt;TD&gt;&lt;/TD&gt;&lt;TD&gt;&lt;/TD&gt;&lt;/TR&gt;&lt;/TABLE&gt;</vt:lpwstr>
  </property>
  <property fmtid="{D5CDD505-2E9C-101B-9397-08002B2CF9AE}" pid="14" name="DisplayName_SlozkaStupenUtajeniCollection_Slozka_Pisemnost">
    <vt:lpwstr/>
  </property>
  <property fmtid="{D5CDD505-2E9C-101B-9397-08002B2CF9AE}" pid="15" name="DisplayName_SpisovyUzel_PoziceZodpo_Pisemnost">
    <vt:lpwstr>Sekce kontrolní</vt:lpwstr>
  </property>
  <property fmtid="{D5CDD505-2E9C-101B-9397-08002B2CF9AE}" pid="16" name="DisplayName_UserPoriz_Pisemnost">
    <vt:lpwstr>Ivana Růžičková</vt:lpwstr>
  </property>
  <property fmtid="{D5CDD505-2E9C-101B-9397-08002B2CF9AE}" pid="17" name="DuvodZmeny_SlozkaStupenUtajeniCollection_Slozka_Pisemnost">
    <vt:lpwstr/>
  </property>
  <property fmtid="{D5CDD505-2E9C-101B-9397-08002B2CF9AE}" pid="18" name="EC_Pisemnost">
    <vt:lpwstr>22-13415/NKU</vt:lpwstr>
  </property>
  <property fmtid="{D5CDD505-2E9C-101B-9397-08002B2CF9AE}" pid="19" name="Key_BarCode_Pisemnost">
    <vt:lpwstr>*B000419890*</vt:lpwstr>
  </property>
  <property fmtid="{D5CDD505-2E9C-101B-9397-08002B2CF9AE}" pid="20" name="Key_BarCode_PostaOdes">
    <vt:lpwstr>11101001011</vt:lpwstr>
  </property>
  <property fmtid="{D5CDD505-2E9C-101B-9397-08002B2CF9AE}" pid="21" name="KRukam">
    <vt:lpwstr>{KRukam}</vt:lpwstr>
  </property>
  <property fmtid="{D5CDD505-2E9C-101B-9397-08002B2CF9AE}" pid="22" name="NameAddress_Contact_SpisovyUzel_PoziceZodpo_Pisemnost">
    <vt:lpwstr>ADRESÁT SU...</vt:lpwstr>
  </property>
  <property fmtid="{D5CDD505-2E9C-101B-9397-08002B2CF9AE}" pid="23" name="NamePostalAddress_Contact_PostaOdes">
    <vt:lpwstr>{NameAddress_Contact_PostaOdes}
{PostalAddress_Contact_PostaOdes}</vt:lpwstr>
  </property>
  <property fmtid="{D5CDD505-2E9C-101B-9397-08002B2CF9AE}" pid="24" name="Odkaz">
    <vt:lpwstr>ODKAZ</vt:lpwstr>
  </property>
  <property fmtid="{D5CDD505-2E9C-101B-9397-08002B2CF9AE}" pid="25" name="Password_PisemnostTypZpristupneniInformaciZOSZ_Pisemnost">
    <vt:lpwstr>ZOSZ_Password</vt:lpwstr>
  </property>
  <property fmtid="{D5CDD505-2E9C-101B-9397-08002B2CF9AE}" pid="26" name="PocetListuDokumentu_Pisemnost">
    <vt:lpwstr>1</vt:lpwstr>
  </property>
  <property fmtid="{D5CDD505-2E9C-101B-9397-08002B2CF9AE}" pid="27" name="PocetListu_Pisemnost">
    <vt:lpwstr>1</vt:lpwstr>
  </property>
  <property fmtid="{D5CDD505-2E9C-101B-9397-08002B2CF9AE}" pid="28" name="PocetPriloh_Pisemnost">
    <vt:lpwstr>POČET PŘÍLOH</vt:lpwstr>
  </property>
  <property fmtid="{D5CDD505-2E9C-101B-9397-08002B2CF9AE}" pid="29" name="Podpis">
    <vt:lpwstr/>
  </property>
  <property fmtid="{D5CDD505-2E9C-101B-9397-08002B2CF9AE}" pid="30" name="PoleVlastnost">
    <vt:lpwstr/>
  </property>
  <property fmtid="{D5CDD505-2E9C-101B-9397-08002B2CF9AE}" pid="31" name="PostalAddress_Contact_SpisovyUzel_PoziceZodpo_Pisemnost">
    <vt:lpwstr>ADRESA SU...</vt:lpwstr>
  </property>
  <property fmtid="{D5CDD505-2E9C-101B-9397-08002B2CF9AE}" pid="32" name="QREC_Pisemnost">
    <vt:lpwstr>22-13415/NKU</vt:lpwstr>
  </property>
  <property fmtid="{D5CDD505-2E9C-101B-9397-08002B2CF9AE}" pid="33" name="RC">
    <vt:lpwstr/>
  </property>
  <property fmtid="{D5CDD505-2E9C-101B-9397-08002B2CF9AE}" pid="34" name="SkartacniZnakLhuta_PisemnostZnak">
    <vt:lpwstr>?/?</vt:lpwstr>
  </property>
  <property fmtid="{D5CDD505-2E9C-101B-9397-08002B2CF9AE}" pid="35" name="SmlouvaCislo">
    <vt:lpwstr>ČÍSLO SMLOUVY</vt:lpwstr>
  </property>
  <property fmtid="{D5CDD505-2E9C-101B-9397-08002B2CF9AE}" pid="36" name="SZ_Spis_Pisemnost">
    <vt:lpwstr>179/22</vt:lpwstr>
  </property>
  <property fmtid="{D5CDD505-2E9C-101B-9397-08002B2CF9AE}" pid="37" name="TEST">
    <vt:lpwstr>testovací pole</vt:lpwstr>
  </property>
  <property fmtid="{D5CDD505-2E9C-101B-9397-08002B2CF9AE}" pid="38" name="TypPrilohy_Pisemnost">
    <vt:lpwstr>TYP PŘÍLOHY</vt:lpwstr>
  </property>
  <property fmtid="{D5CDD505-2E9C-101B-9397-08002B2CF9AE}" pid="39" name="UserName_PisemnostTypZpristupneniInformaciZOSZ_Pisemnost">
    <vt:lpwstr>ZOSZ_UserName</vt:lpwstr>
  </property>
  <property fmtid="{D5CDD505-2E9C-101B-9397-08002B2CF9AE}" pid="40" name="Vec_Pisemnost">
    <vt:lpwstr>KZ 21/23 - připomínkové řízení</vt:lpwstr>
  </property>
  <property fmtid="{D5CDD505-2E9C-101B-9397-08002B2CF9AE}" pid="41" name="Zkratka_SpisovyUzel_PoziceZodpo_Pisemnost">
    <vt:lpwstr>200</vt:lpwstr>
  </property>
  <property fmtid="{D5CDD505-2E9C-101B-9397-08002B2CF9AE}" pid="42" name="ContentTypeId">
    <vt:lpwstr>0x0101002F7A625AE9F5AB4A939F92BCAA7FEC02</vt:lpwstr>
  </property>
  <property fmtid="{D5CDD505-2E9C-101B-9397-08002B2CF9AE}" pid="43" name="MSIP_Label_add5c8b0-3e5e-4a7d-9265-2b692c9bb577_Enabled">
    <vt:lpwstr>true</vt:lpwstr>
  </property>
  <property fmtid="{D5CDD505-2E9C-101B-9397-08002B2CF9AE}" pid="44" name="MSIP_Label_add5c8b0-3e5e-4a7d-9265-2b692c9bb577_SetDate">
    <vt:lpwstr>2024-05-30T10:56:56Z</vt:lpwstr>
  </property>
  <property fmtid="{D5CDD505-2E9C-101B-9397-08002B2CF9AE}" pid="45" name="MSIP_Label_add5c8b0-3e5e-4a7d-9265-2b692c9bb577_Method">
    <vt:lpwstr>Standard</vt:lpwstr>
  </property>
  <property fmtid="{D5CDD505-2E9C-101B-9397-08002B2CF9AE}" pid="46" name="MSIP_Label_add5c8b0-3e5e-4a7d-9265-2b692c9bb577_Name">
    <vt:lpwstr>Informace verejne</vt:lpwstr>
  </property>
  <property fmtid="{D5CDD505-2E9C-101B-9397-08002B2CF9AE}" pid="47" name="MSIP_Label_add5c8b0-3e5e-4a7d-9265-2b692c9bb577_SiteId">
    <vt:lpwstr>e6d36204-fa0a-4bdb-9b60-80f84bb090cf</vt:lpwstr>
  </property>
  <property fmtid="{D5CDD505-2E9C-101B-9397-08002B2CF9AE}" pid="48" name="MSIP_Label_add5c8b0-3e5e-4a7d-9265-2b692c9bb577_ActionId">
    <vt:lpwstr>3e200b6b-e88f-48c9-9a72-e46ddc4fe3ac</vt:lpwstr>
  </property>
  <property fmtid="{D5CDD505-2E9C-101B-9397-08002B2CF9AE}" pid="49" name="MSIP_Label_add5c8b0-3e5e-4a7d-9265-2b692c9bb577_ContentBits">
    <vt:lpwstr>0</vt:lpwstr>
  </property>
</Properties>
</file>